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er1999.xml" ContentType="application/vnd.openxmlformats-officedocument.wordprocessingml.footer+xml"/>
  <Override PartName="/word/footer2002.xml" ContentType="application/vnd.openxmlformats-officedocument.wordprocessingml.footer+xml"/>
  <Override PartName="/word/footer2005.xml" ContentType="application/vnd.openxmlformats-officedocument.wordprocessingml.footer+xml"/>
  <Override PartName="/word/footer2008.xml" ContentType="application/vnd.openxmlformats-officedocument.wordprocessingml.footer+xml"/>
  <Override PartName="/word/footer2011.xml" ContentType="application/vnd.openxmlformats-officedocument.wordprocessingml.footer+xml"/>
  <Override PartName="/word/footer2014.xml" ContentType="application/vnd.openxmlformats-officedocument.wordprocessingml.footer+xml"/>
  <Override PartName="/word/footer2017.xml" ContentType="application/vnd.openxmlformats-officedocument.wordprocessingml.footer+xml"/>
  <Override PartName="/word/footer2020.xml" ContentType="application/vnd.openxmlformats-officedocument.wordprocessingml.footer+xml"/>
  <Override PartName="/word/footer2023.xml" ContentType="application/vnd.openxmlformats-officedocument.wordprocessingml.footer+xml"/>
  <Override PartName="/word/footer2026.xml" ContentType="application/vnd.openxmlformats-officedocument.wordprocessingml.footer+xml"/>
  <Override PartName="/word/footer2029.xml" ContentType="application/vnd.openxmlformats-officedocument.wordprocessingml.footer+xml"/>
  <Override PartName="/word/footer2032.xml" ContentType="application/vnd.openxmlformats-officedocument.wordprocessingml.footer+xml"/>
  <Override PartName="/word/footer2035.xml" ContentType="application/vnd.openxmlformats-officedocument.wordprocessingml.footer+xml"/>
  <Override PartName="/word/footer2038.xml" ContentType="application/vnd.openxmlformats-officedocument.wordprocessingml.footer+xml"/>
  <Override PartName="/word/footer2041.xml" ContentType="application/vnd.openxmlformats-officedocument.wordprocessingml.footer+xml"/>
  <Override PartName="/word/footer2044.xml" ContentType="application/vnd.openxmlformats-officedocument.wordprocessingml.footer+xml"/>
  <Override PartName="/word/footer2047.xml" ContentType="application/vnd.openxmlformats-officedocument.wordprocessingml.footer+xml"/>
  <Override PartName="/word/footer2050.xml" ContentType="application/vnd.openxmlformats-officedocument.wordprocessingml.footer+xml"/>
  <Override PartName="/word/footer2053.xml" ContentType="application/vnd.openxmlformats-officedocument.wordprocessingml.footer+xml"/>
  <Override PartName="/word/footer2056.xml" ContentType="application/vnd.openxmlformats-officedocument.wordprocessingml.footer+xml"/>
  <Override PartName="/word/footer2059.xml" ContentType="application/vnd.openxmlformats-officedocument.wordprocessingml.footer+xml"/>
  <Override PartName="/word/footer2062.xml" ContentType="application/vnd.openxmlformats-officedocument.wordprocessingml.footer+xml"/>
  <Override PartName="/word/footer2065.xml" ContentType="application/vnd.openxmlformats-officedocument.wordprocessingml.footer+xml"/>
  <Override PartName="/word/footer2068.xml" ContentType="application/vnd.openxmlformats-officedocument.wordprocessingml.footer+xml"/>
  <Override PartName="/word/footer2071.xml" ContentType="application/vnd.openxmlformats-officedocument.wordprocessingml.footer+xml"/>
  <Override PartName="/word/footer2074.xml" ContentType="application/vnd.openxmlformats-officedocument.wordprocessingml.footer+xml"/>
  <Override PartName="/word/footer2077.xml" ContentType="application/vnd.openxmlformats-officedocument.wordprocessingml.footer+xml"/>
  <Override PartName="/word/footer2080.xml" ContentType="application/vnd.openxmlformats-officedocument.wordprocessingml.footer+xml"/>
  <Override PartName="/word/footer2083.xml" ContentType="application/vnd.openxmlformats-officedocument.wordprocessingml.footer+xml"/>
  <Override PartName="/word/footer2086.xml" ContentType="application/vnd.openxmlformats-officedocument.wordprocessingml.footer+xml"/>
  <Override PartName="/word/footer2089.xml" ContentType="application/vnd.openxmlformats-officedocument.wordprocessingml.footer+xml"/>
  <Override PartName="/word/footer2092.xml" ContentType="application/vnd.openxmlformats-officedocument.wordprocessingml.footer+xml"/>
  <Override PartName="/word/footer2095.xml" ContentType="application/vnd.openxmlformats-officedocument.wordprocessingml.footer+xml"/>
  <Override PartName="/word/footer2098.xml" ContentType="application/vnd.openxmlformats-officedocument.wordprocessingml.footer+xml"/>
  <Override PartName="/word/footer2101.xml" ContentType="application/vnd.openxmlformats-officedocument.wordprocessingml.footer+xml"/>
  <Override PartName="/word/footer2104.xml" ContentType="application/vnd.openxmlformats-officedocument.wordprocessingml.footer+xml"/>
  <Override PartName="/word/footer2107.xml" ContentType="application/vnd.openxmlformats-officedocument.wordprocessingml.footer+xml"/>
  <Override PartName="/word/footer2110.xml" ContentType="application/vnd.openxmlformats-officedocument.wordprocessingml.footer+xml"/>
  <Override PartName="/word/footer2113.xml" ContentType="application/vnd.openxmlformats-officedocument.wordprocessingml.footer+xml"/>
  <Override PartName="/word/footer2116.xml" ContentType="application/vnd.openxmlformats-officedocument.wordprocessingml.footer+xml"/>
  <Override PartName="/word/footer2119.xml" ContentType="application/vnd.openxmlformats-officedocument.wordprocessingml.footer+xml"/>
  <Override PartName="/word/footer2122.xml" ContentType="application/vnd.openxmlformats-officedocument.wordprocessingml.footer+xml"/>
  <Override PartName="/word/footer2125.xml" ContentType="application/vnd.openxmlformats-officedocument.wordprocessingml.footer+xml"/>
  <Override PartName="/word/footer2128.xml" ContentType="application/vnd.openxmlformats-officedocument.wordprocessingml.footer+xml"/>
  <Override PartName="/word/footer2131.xml" ContentType="application/vnd.openxmlformats-officedocument.wordprocessingml.footer+xml"/>
  <Override PartName="/word/footer2134.xml" ContentType="application/vnd.openxmlformats-officedocument.wordprocessingml.footer+xml"/>
  <Override PartName="/word/footer2137.xml" ContentType="application/vnd.openxmlformats-officedocument.wordprocessingml.footer+xml"/>
  <Override PartName="/word/footer2140.xml" ContentType="application/vnd.openxmlformats-officedocument.wordprocessingml.footer+xml"/>
  <Override PartName="/word/footer2143.xml" ContentType="application/vnd.openxmlformats-officedocument.wordprocessingml.footer+xml"/>
  <Override PartName="/word/footer2146.xml" ContentType="application/vnd.openxmlformats-officedocument.wordprocessingml.footer+xml"/>
  <Override PartName="/word/footer2149.xml" ContentType="application/vnd.openxmlformats-officedocument.wordprocessingml.footer+xml"/>
  <Override PartName="/word/footer2152.xml" ContentType="application/vnd.openxmlformats-officedocument.wordprocessingml.footer+xml"/>
  <Override PartName="/word/footer2155.xml" ContentType="application/vnd.openxmlformats-officedocument.wordprocessingml.footer+xml"/>
  <Override PartName="/word/footer2158.xml" ContentType="application/vnd.openxmlformats-officedocument.wordprocessingml.footer+xml"/>
  <Override PartName="/word/footer2161.xml" ContentType="application/vnd.openxmlformats-officedocument.wordprocessingml.footer+xml"/>
  <Override PartName="/word/footer2164.xml" ContentType="application/vnd.openxmlformats-officedocument.wordprocessingml.footer+xml"/>
  <Override PartName="/word/footer2167.xml" ContentType="application/vnd.openxmlformats-officedocument.wordprocessingml.footer+xml"/>
  <Override PartName="/word/footer2170.xml" ContentType="application/vnd.openxmlformats-officedocument.wordprocessingml.footer+xml"/>
  <Override PartName="/word/footer2173.xml" ContentType="application/vnd.openxmlformats-officedocument.wordprocessingml.footer+xml"/>
  <Override PartName="/word/footer2176.xml" ContentType="application/vnd.openxmlformats-officedocument.wordprocessingml.footer+xml"/>
  <Override PartName="/word/footer2179.xml" ContentType="application/vnd.openxmlformats-officedocument.wordprocessingml.footer+xml"/>
  <Override PartName="/word/footer2182.xml" ContentType="application/vnd.openxmlformats-officedocument.wordprocessingml.footer+xml"/>
  <Override PartName="/word/footer2185.xml" ContentType="application/vnd.openxmlformats-officedocument.wordprocessingml.footer+xml"/>
  <Override PartName="/word/footer2188.xml" ContentType="application/vnd.openxmlformats-officedocument.wordprocessingml.footer+xml"/>
  <Override PartName="/word/footer2191.xml" ContentType="application/vnd.openxmlformats-officedocument.wordprocessingml.footer+xml"/>
  <Override PartName="/word/footer2194.xml" ContentType="application/vnd.openxmlformats-officedocument.wordprocessingml.footer+xml"/>
  <Override PartName="/word/footer2197.xml" ContentType="application/vnd.openxmlformats-officedocument.wordprocessingml.footer+xml"/>
  <Override PartName="/word/footer2200.xml" ContentType="application/vnd.openxmlformats-officedocument.wordprocessingml.footer+xml"/>
  <Override PartName="/word/footer2203.xml" ContentType="application/vnd.openxmlformats-officedocument.wordprocessingml.footer+xml"/>
  <Override PartName="/word/footer2206.xml" ContentType="application/vnd.openxmlformats-officedocument.wordprocessingml.footer+xml"/>
  <Override PartName="/word/footer2209.xml" ContentType="application/vnd.openxmlformats-officedocument.wordprocessingml.footer+xml"/>
  <Override PartName="/word/footer2212.xml" ContentType="application/vnd.openxmlformats-officedocument.wordprocessingml.footer+xml"/>
  <Override PartName="/word/footer2215.xml" ContentType="application/vnd.openxmlformats-officedocument.wordprocessingml.footer+xml"/>
  <Override PartName="/word/footer2218.xml" ContentType="application/vnd.openxmlformats-officedocument.wordprocessingml.footer+xml"/>
  <Override PartName="/word/footer2221.xml" ContentType="application/vnd.openxmlformats-officedocument.wordprocessingml.footer+xml"/>
  <Override PartName="/word/footer2224.xml" ContentType="application/vnd.openxmlformats-officedocument.wordprocessingml.footer+xml"/>
  <Override PartName="/word/footer2227.xml" ContentType="application/vnd.openxmlformats-officedocument.wordprocessingml.footer+xml"/>
  <Override PartName="/word/footer2230.xml" ContentType="application/vnd.openxmlformats-officedocument.wordprocessingml.footer+xml"/>
  <Override PartName="/word/footer2233.xml" ContentType="application/vnd.openxmlformats-officedocument.wordprocessingml.footer+xml"/>
  <Override PartName="/word/footer2236.xml" ContentType="application/vnd.openxmlformats-officedocument.wordprocessingml.footer+xml"/>
  <Override PartName="/word/footer2239.xml" ContentType="application/vnd.openxmlformats-officedocument.wordprocessingml.footer+xml"/>
  <Override PartName="/word/footer2242.xml" ContentType="application/vnd.openxmlformats-officedocument.wordprocessingml.footer+xml"/>
  <Override PartName="/word/footer2245.xml" ContentType="application/vnd.openxmlformats-officedocument.wordprocessingml.footer+xml"/>
  <Override PartName="/word/footer2248.xml" ContentType="application/vnd.openxmlformats-officedocument.wordprocessingml.footer+xml"/>
  <Override PartName="/word/footer2251.xml" ContentType="application/vnd.openxmlformats-officedocument.wordprocessingml.footer+xml"/>
  <Override PartName="/word/footer2254.xml" ContentType="application/vnd.openxmlformats-officedocument.wordprocessingml.footer+xml"/>
  <Override PartName="/word/footer2257.xml" ContentType="application/vnd.openxmlformats-officedocument.wordprocessingml.footer+xml"/>
  <Override PartName="/word/footer2260.xml" ContentType="application/vnd.openxmlformats-officedocument.wordprocessingml.footer+xml"/>
  <Override PartName="/word/footer2263.xml" ContentType="application/vnd.openxmlformats-officedocument.wordprocessingml.footer+xml"/>
  <Override PartName="/word/footer2266.xml" ContentType="application/vnd.openxmlformats-officedocument.wordprocessingml.footer+xml"/>
  <Override PartName="/word/footer2269.xml" ContentType="application/vnd.openxmlformats-officedocument.wordprocessingml.footer+xml"/>
  <Override PartName="/word/footer2272.xml" ContentType="application/vnd.openxmlformats-officedocument.wordprocessingml.footer+xml"/>
  <Override PartName="/word/footer2275.xml" ContentType="application/vnd.openxmlformats-officedocument.wordprocessingml.footer+xml"/>
  <Override PartName="/word/footer2278.xml" ContentType="application/vnd.openxmlformats-officedocument.wordprocessingml.footer+xml"/>
  <Override PartName="/word/footer2281.xml" ContentType="application/vnd.openxmlformats-officedocument.wordprocessingml.footer+xml"/>
  <Override PartName="/word/footer2284.xml" ContentType="application/vnd.openxmlformats-officedocument.wordprocessingml.footer+xml"/>
  <Override PartName="/word/footer2287.xml" ContentType="application/vnd.openxmlformats-officedocument.wordprocessingml.footer+xml"/>
  <Override PartName="/word/footer2290.xml" ContentType="application/vnd.openxmlformats-officedocument.wordprocessingml.footer+xml"/>
  <Override PartName="/word/footer2293.xml" ContentType="application/vnd.openxmlformats-officedocument.wordprocessingml.footer+xml"/>
  <Override PartName="/word/footer2296.xml" ContentType="application/vnd.openxmlformats-officedocument.wordprocessingml.footer+xml"/>
  <Override PartName="/word/footer2299.xml" ContentType="application/vnd.openxmlformats-officedocument.wordprocessingml.footer+xml"/>
  <Override PartName="/word/footer2302.xml" ContentType="application/vnd.openxmlformats-officedocument.wordprocessingml.footer+xml"/>
  <Override PartName="/word/footer2305.xml" ContentType="application/vnd.openxmlformats-officedocument.wordprocessingml.footer+xml"/>
  <Override PartName="/word/footer2308.xml" ContentType="application/vnd.openxmlformats-officedocument.wordprocessingml.footer+xml"/>
  <Override PartName="/word/footer2311.xml" ContentType="application/vnd.openxmlformats-officedocument.wordprocessingml.footer+xml"/>
  <Override PartName="/word/footer2314.xml" ContentType="application/vnd.openxmlformats-officedocument.wordprocessingml.footer+xml"/>
  <Override PartName="/word/footer2317.xml" ContentType="application/vnd.openxmlformats-officedocument.wordprocessingml.footer+xml"/>
  <Override PartName="/word/footer2320.xml" ContentType="application/vnd.openxmlformats-officedocument.wordprocessingml.footer+xml"/>
  <Override PartName="/word/footer2323.xml" ContentType="application/vnd.openxmlformats-officedocument.wordprocessingml.footer+xml"/>
  <Override PartName="/word/footer2326.xml" ContentType="application/vnd.openxmlformats-officedocument.wordprocessingml.footer+xml"/>
  <Override PartName="/word/footer2329.xml" ContentType="application/vnd.openxmlformats-officedocument.wordprocessingml.footer+xml"/>
  <Override PartName="/word/footer2332.xml" ContentType="application/vnd.openxmlformats-officedocument.wordprocessingml.footer+xml"/>
  <Override PartName="/word/footer2335.xml" ContentType="application/vnd.openxmlformats-officedocument.wordprocessingml.footer+xml"/>
  <Override PartName="/word/footer2338.xml" ContentType="application/vnd.openxmlformats-officedocument.wordprocessingml.footer+xml"/>
  <Override PartName="/word/footer2341.xml" ContentType="application/vnd.openxmlformats-officedocument.wordprocessingml.footer+xml"/>
  <Override PartName="/word/footer2344.xml" ContentType="application/vnd.openxmlformats-officedocument.wordprocessingml.footer+xml"/>
  <Override PartName="/word/footer2347.xml" ContentType="application/vnd.openxmlformats-officedocument.wordprocessingml.footer+xml"/>
  <Override PartName="/word/footer2350.xml" ContentType="application/vnd.openxmlformats-officedocument.wordprocessingml.footer+xml"/>
  <Override PartName="/word/footer2353.xml" ContentType="application/vnd.openxmlformats-officedocument.wordprocessingml.footer+xml"/>
  <Override PartName="/word/footer2356.xml" ContentType="application/vnd.openxmlformats-officedocument.wordprocessingml.footer+xml"/>
  <Override PartName="/word/footer2359.xml" ContentType="application/vnd.openxmlformats-officedocument.wordprocessingml.footer+xml"/>
  <Override PartName="/word/footer2362.xml" ContentType="application/vnd.openxmlformats-officedocument.wordprocessingml.footer+xml"/>
  <Override PartName="/word/footer2365.xml" ContentType="application/vnd.openxmlformats-officedocument.wordprocessingml.footer+xml"/>
  <Override PartName="/word/footer2368.xml" ContentType="application/vnd.openxmlformats-officedocument.wordprocessingml.footer+xml"/>
  <Override PartName="/word/footer2371.xml" ContentType="application/vnd.openxmlformats-officedocument.wordprocessingml.footer+xml"/>
  <Override PartName="/word/footer2374.xml" ContentType="application/vnd.openxmlformats-officedocument.wordprocessingml.footer+xml"/>
  <Override PartName="/word/footer2377.xml" ContentType="application/vnd.openxmlformats-officedocument.wordprocessingml.footer+xml"/>
  <Override PartName="/word/footer2380.xml" ContentType="application/vnd.openxmlformats-officedocument.wordprocessingml.footer+xml"/>
  <Override PartName="/word/footer2383.xml" ContentType="application/vnd.openxmlformats-officedocument.wordprocessingml.footer+xml"/>
  <Override PartName="/word/footer2386.xml" ContentType="application/vnd.openxmlformats-officedocument.wordprocessingml.footer+xml"/>
  <Override PartName="/word/footer2389.xml" ContentType="application/vnd.openxmlformats-officedocument.wordprocessingml.footer+xml"/>
  <Override PartName="/word/footer2392.xml" ContentType="application/vnd.openxmlformats-officedocument.wordprocessingml.footer+xml"/>
  <Override PartName="/word/footer2395.xml" ContentType="application/vnd.openxmlformats-officedocument.wordprocessingml.footer+xml"/>
  <Override PartName="/word/footer2398.xml" ContentType="application/vnd.openxmlformats-officedocument.wordprocessingml.footer+xml"/>
  <Override PartName="/word/footer2401.xml" ContentType="application/vnd.openxmlformats-officedocument.wordprocessingml.footer+xml"/>
  <Override PartName="/word/footer2404.xml" ContentType="application/vnd.openxmlformats-officedocument.wordprocessingml.footer+xml"/>
  <Override PartName="/word/footer2407.xml" ContentType="application/vnd.openxmlformats-officedocument.wordprocessingml.footer+xml"/>
  <Override PartName="/word/footer2410.xml" ContentType="application/vnd.openxmlformats-officedocument.wordprocessingml.footer+xml"/>
  <Override PartName="/word/footer2413.xml" ContentType="application/vnd.openxmlformats-officedocument.wordprocessingml.footer+xml"/>
  <Override PartName="/word/footer2416.xml" ContentType="application/vnd.openxmlformats-officedocument.wordprocessingml.footer+xml"/>
  <Override PartName="/word/footer2419.xml" ContentType="application/vnd.openxmlformats-officedocument.wordprocessingml.footer+xml"/>
  <Override PartName="/word/footer2422.xml" ContentType="application/vnd.openxmlformats-officedocument.wordprocessingml.footer+xml"/>
  <Override PartName="/word/footer2425.xml" ContentType="application/vnd.openxmlformats-officedocument.wordprocessingml.footer+xml"/>
  <Override PartName="/word/footer2428.xml" ContentType="application/vnd.openxmlformats-officedocument.wordprocessingml.footer+xml"/>
  <Override PartName="/word/footer2431.xml" ContentType="application/vnd.openxmlformats-officedocument.wordprocessingml.footer+xml"/>
  <Override PartName="/word/footer2434.xml" ContentType="application/vnd.openxmlformats-officedocument.wordprocessingml.footer+xml"/>
  <Override PartName="/word/footer2437.xml" ContentType="application/vnd.openxmlformats-officedocument.wordprocessingml.footer+xml"/>
  <Override PartName="/word/footer2440.xml" ContentType="application/vnd.openxmlformats-officedocument.wordprocessingml.footer+xml"/>
  <Override PartName="/word/footer2443.xml" ContentType="application/vnd.openxmlformats-officedocument.wordprocessingml.footer+xml"/>
  <Override PartName="/word/footer2446.xml" ContentType="application/vnd.openxmlformats-officedocument.wordprocessingml.footer+xml"/>
  <Override PartName="/word/footer2449.xml" ContentType="application/vnd.openxmlformats-officedocument.wordprocessingml.footer+xml"/>
  <Override PartName="/word/footer2452.xml" ContentType="application/vnd.openxmlformats-officedocument.wordprocessingml.footer+xml"/>
  <Override PartName="/word/footer2455.xml" ContentType="application/vnd.openxmlformats-officedocument.wordprocessingml.footer+xml"/>
  <Override PartName="/word/footer2458.xml" ContentType="application/vnd.openxmlformats-officedocument.wordprocessingml.footer+xml"/>
  <Override PartName="/word/footer2461.xml" ContentType="application/vnd.openxmlformats-officedocument.wordprocessingml.footer+xml"/>
  <Override PartName="/word/footer2464.xml" ContentType="application/vnd.openxmlformats-officedocument.wordprocessingml.footer+xml"/>
  <Override PartName="/word/footer2467.xml" ContentType="application/vnd.openxmlformats-officedocument.wordprocessingml.footer+xml"/>
  <Override PartName="/word/footer2470.xml" ContentType="application/vnd.openxmlformats-officedocument.wordprocessingml.footer+xml"/>
  <Override PartName="/word/footer2473.xml" ContentType="application/vnd.openxmlformats-officedocument.wordprocessingml.footer+xml"/>
  <Override PartName="/word/footer2476.xml" ContentType="application/vnd.openxmlformats-officedocument.wordprocessingml.footer+xml"/>
  <Override PartName="/word/footer2479.xml" ContentType="application/vnd.openxmlformats-officedocument.wordprocessingml.footer+xml"/>
  <Override PartName="/word/footer2482.xml" ContentType="application/vnd.openxmlformats-officedocument.wordprocessingml.footer+xml"/>
  <Override PartName="/word/footer2485.xml" ContentType="application/vnd.openxmlformats-officedocument.wordprocessingml.footer+xml"/>
  <Override PartName="/word/footer2488.xml" ContentType="application/vnd.openxmlformats-officedocument.wordprocessingml.footer+xml"/>
  <Override PartName="/word/footer2491.xml" ContentType="application/vnd.openxmlformats-officedocument.wordprocessingml.footer+xml"/>
  <Override PartName="/word/footer2494.xml" ContentType="application/vnd.openxmlformats-officedocument.wordprocessingml.footer+xml"/>
  <Override PartName="/word/footer2497.xml" ContentType="application/vnd.openxmlformats-officedocument.wordprocessingml.footer+xml"/>
  <Override PartName="/word/footer2500.xml" ContentType="application/vnd.openxmlformats-officedocument.wordprocessingml.footer+xml"/>
  <Override PartName="/word/footer2503.xml" ContentType="application/vnd.openxmlformats-officedocument.wordprocessingml.footer+xml"/>
  <Override PartName="/word/footer2506.xml" ContentType="application/vnd.openxmlformats-officedocument.wordprocessingml.footer+xml"/>
  <Override PartName="/word/footer2509.xml" ContentType="application/vnd.openxmlformats-officedocument.wordprocessingml.footer+xml"/>
  <Override PartName="/word/footer2512.xml" ContentType="application/vnd.openxmlformats-officedocument.wordprocessingml.footer+xml"/>
  <Override PartName="/word/footer2515.xml" ContentType="application/vnd.openxmlformats-officedocument.wordprocessingml.footer+xml"/>
  <Override PartName="/word/footer2518.xml" ContentType="application/vnd.openxmlformats-officedocument.wordprocessingml.footer+xml"/>
  <Override PartName="/word/footer2521.xml" ContentType="application/vnd.openxmlformats-officedocument.wordprocessingml.footer+xml"/>
  <Override PartName="/word/footer2524.xml" ContentType="application/vnd.openxmlformats-officedocument.wordprocessingml.footer+xml"/>
  <Override PartName="/word/footer2527.xml" ContentType="application/vnd.openxmlformats-officedocument.wordprocessingml.footer+xml"/>
  <Override PartName="/word/footer2530.xml" ContentType="application/vnd.openxmlformats-officedocument.wordprocessingml.footer+xml"/>
  <Override PartName="/word/footer2533.xml" ContentType="application/vnd.openxmlformats-officedocument.wordprocessingml.footer+xml"/>
  <Override PartName="/word/footer2536.xml" ContentType="application/vnd.openxmlformats-officedocument.wordprocessingml.footer+xml"/>
  <Override PartName="/word/footer2539.xml" ContentType="application/vnd.openxmlformats-officedocument.wordprocessingml.footer+xml"/>
  <Override PartName="/word/footer2542.xml" ContentType="application/vnd.openxmlformats-officedocument.wordprocessingml.footer+xml"/>
  <Override PartName="/word/footer2545.xml" ContentType="application/vnd.openxmlformats-officedocument.wordprocessingml.footer+xml"/>
  <Override PartName="/word/footer2548.xml" ContentType="application/vnd.openxmlformats-officedocument.wordprocessingml.footer+xml"/>
  <Override PartName="/word/footer2551.xml" ContentType="application/vnd.openxmlformats-officedocument.wordprocessingml.footer+xml"/>
  <Override PartName="/word/footer2554.xml" ContentType="application/vnd.openxmlformats-officedocument.wordprocessingml.footer+xml"/>
  <Override PartName="/word/footer2557.xml" ContentType="application/vnd.openxmlformats-officedocument.wordprocessingml.footer+xml"/>
  <Override PartName="/word/footer2560.xml" ContentType="application/vnd.openxmlformats-officedocument.wordprocessingml.footer+xml"/>
  <Override PartName="/word/footer2563.xml" ContentType="application/vnd.openxmlformats-officedocument.wordprocessingml.footer+xml"/>
  <Override PartName="/word/footer2566.xml" ContentType="application/vnd.openxmlformats-officedocument.wordprocessingml.footer+xml"/>
  <Override PartName="/word/footer2569.xml" ContentType="application/vnd.openxmlformats-officedocument.wordprocessingml.footer+xml"/>
  <Override PartName="/word/footer2572.xml" ContentType="application/vnd.openxmlformats-officedocument.wordprocessingml.footer+xml"/>
  <Override PartName="/word/footer2575.xml" ContentType="application/vnd.openxmlformats-officedocument.wordprocessingml.footer+xml"/>
  <Override PartName="/word/footer2578.xml" ContentType="application/vnd.openxmlformats-officedocument.wordprocessingml.footer+xml"/>
  <Override PartName="/word/footer2581.xml" ContentType="application/vnd.openxmlformats-officedocument.wordprocessingml.footer+xml"/>
  <Override PartName="/word/footer2584.xml" ContentType="application/vnd.openxmlformats-officedocument.wordprocessingml.footer+xml"/>
  <Override PartName="/word/footer2587.xml" ContentType="application/vnd.openxmlformats-officedocument.wordprocessingml.footer+xml"/>
  <Override PartName="/word/footer2590.xml" ContentType="application/vnd.openxmlformats-officedocument.wordprocessingml.footer+xml"/>
  <Override PartName="/word/footer2593.xml" ContentType="application/vnd.openxmlformats-officedocument.wordprocessingml.footer+xml"/>
  <Override PartName="/word/footer2596.xml" ContentType="application/vnd.openxmlformats-officedocument.wordprocessingml.footer+xml"/>
  <Override PartName="/word/footer2599.xml" ContentType="application/vnd.openxmlformats-officedocument.wordprocessingml.footer+xml"/>
  <Override PartName="/word/footer2602.xml" ContentType="application/vnd.openxmlformats-officedocument.wordprocessingml.footer+xml"/>
  <Override PartName="/word/footer2605.xml" ContentType="application/vnd.openxmlformats-officedocument.wordprocessingml.footer+xml"/>
  <Override PartName="/word/footer2608.xml" ContentType="application/vnd.openxmlformats-officedocument.wordprocessingml.footer+xml"/>
  <Override PartName="/word/footer2611.xml" ContentType="application/vnd.openxmlformats-officedocument.wordprocessingml.footer+xml"/>
  <Override PartName="/word/footer2614.xml" ContentType="application/vnd.openxmlformats-officedocument.wordprocessingml.footer+xml"/>
  <Override PartName="/word/footer2617.xml" ContentType="application/vnd.openxmlformats-officedocument.wordprocessingml.footer+xml"/>
  <Override PartName="/word/footer2620.xml" ContentType="application/vnd.openxmlformats-officedocument.wordprocessingml.footer+xml"/>
  <Override PartName="/word/footer2623.xml" ContentType="application/vnd.openxmlformats-officedocument.wordprocessingml.footer+xml"/>
  <Override PartName="/word/footer2626.xml" ContentType="application/vnd.openxmlformats-officedocument.wordprocessingml.footer+xml"/>
  <Override PartName="/word/footer2629.xml" ContentType="application/vnd.openxmlformats-officedocument.wordprocessingml.footer+xml"/>
  <Override PartName="/word/footer2632.xml" ContentType="application/vnd.openxmlformats-officedocument.wordprocessingml.footer+xml"/>
  <Override PartName="/word/footer2635.xml" ContentType="application/vnd.openxmlformats-officedocument.wordprocessingml.footer+xml"/>
  <Override PartName="/word/footer2638.xml" ContentType="application/vnd.openxmlformats-officedocument.wordprocessingml.footer+xml"/>
  <Override PartName="/word/footer2641.xml" ContentType="application/vnd.openxmlformats-officedocument.wordprocessingml.footer+xml"/>
  <Override PartName="/word/footer2644.xml" ContentType="application/vnd.openxmlformats-officedocument.wordprocessingml.footer+xml"/>
  <Override PartName="/word/footer2647.xml" ContentType="application/vnd.openxmlformats-officedocument.wordprocessingml.footer+xml"/>
  <Override PartName="/word/footer2650.xml" ContentType="application/vnd.openxmlformats-officedocument.wordprocessingml.footer+xml"/>
  <Override PartName="/word/footer2653.xml" ContentType="application/vnd.openxmlformats-officedocument.wordprocessingml.footer+xml"/>
  <Override PartName="/word/footer2656.xml" ContentType="application/vnd.openxmlformats-officedocument.wordprocessingml.footer+xml"/>
  <Override PartName="/word/footer2659.xml" ContentType="application/vnd.openxmlformats-officedocument.wordprocessingml.footer+xml"/>
  <Override PartName="/word/footer2662.xml" ContentType="application/vnd.openxmlformats-officedocument.wordprocessingml.footer+xml"/>
  <Override PartName="/word/footer2665.xml" ContentType="application/vnd.openxmlformats-officedocument.wordprocessingml.footer+xml"/>
  <Override PartName="/word/footer2668.xml" ContentType="application/vnd.openxmlformats-officedocument.wordprocessingml.footer+xml"/>
  <Override PartName="/word/footer2671.xml" ContentType="application/vnd.openxmlformats-officedocument.wordprocessingml.footer+xml"/>
  <Override PartName="/word/footer2674.xml" ContentType="application/vnd.openxmlformats-officedocument.wordprocessingml.footer+xml"/>
  <Override PartName="/word/footer2677.xml" ContentType="application/vnd.openxmlformats-officedocument.wordprocessingml.footer+xml"/>
  <Override PartName="/word/footer2680.xml" ContentType="application/vnd.openxmlformats-officedocument.wordprocessingml.footer+xml"/>
  <Override PartName="/word/footer2683.xml" ContentType="application/vnd.openxmlformats-officedocument.wordprocessingml.footer+xml"/>
  <Override PartName="/word/footer2686.xml" ContentType="application/vnd.openxmlformats-officedocument.wordprocessingml.footer+xml"/>
  <Override PartName="/word/footer2689.xml" ContentType="application/vnd.openxmlformats-officedocument.wordprocessingml.footer+xml"/>
  <Override PartName="/word/footer2692.xml" ContentType="application/vnd.openxmlformats-officedocument.wordprocessingml.footer+xml"/>
  <Override PartName="/word/footer2695.xml" ContentType="application/vnd.openxmlformats-officedocument.wordprocessingml.footer+xml"/>
  <Override PartName="/word/footer2698.xml" ContentType="application/vnd.openxmlformats-officedocument.wordprocessingml.footer+xml"/>
  <Override PartName="/word/footer2701.xml" ContentType="application/vnd.openxmlformats-officedocument.wordprocessingml.footer+xml"/>
  <Override PartName="/word/footer2704.xml" ContentType="application/vnd.openxmlformats-officedocument.wordprocessingml.footer+xml"/>
  <Override PartName="/word/footer2707.xml" ContentType="application/vnd.openxmlformats-officedocument.wordprocessingml.footer+xml"/>
  <Override PartName="/word/footer2710.xml" ContentType="application/vnd.openxmlformats-officedocument.wordprocessingml.footer+xml"/>
  <Override PartName="/word/footer2713.xml" ContentType="application/vnd.openxmlformats-officedocument.wordprocessingml.footer+xml"/>
  <Override PartName="/word/footer2716.xml" ContentType="application/vnd.openxmlformats-officedocument.wordprocessingml.footer+xml"/>
  <Override PartName="/word/footer2719.xml" ContentType="application/vnd.openxmlformats-officedocument.wordprocessingml.footer+xml"/>
  <Override PartName="/word/footer2722.xml" ContentType="application/vnd.openxmlformats-officedocument.wordprocessingml.footer+xml"/>
  <Override PartName="/word/footer2725.xml" ContentType="application/vnd.openxmlformats-officedocument.wordprocessingml.footer+xml"/>
  <Override PartName="/word/footer2728.xml" ContentType="application/vnd.openxmlformats-officedocument.wordprocessingml.footer+xml"/>
  <Override PartName="/word/footer2731.xml" ContentType="application/vnd.openxmlformats-officedocument.wordprocessingml.footer+xml"/>
  <Override PartName="/word/footer2734.xml" ContentType="application/vnd.openxmlformats-officedocument.wordprocessingml.footer+xml"/>
  <Override PartName="/word/footer2737.xml" ContentType="application/vnd.openxmlformats-officedocument.wordprocessingml.footer+xml"/>
  <Override PartName="/word/footer2740.xml" ContentType="application/vnd.openxmlformats-officedocument.wordprocessingml.footer+xml"/>
  <Override PartName="/word/footer2743.xml" ContentType="application/vnd.openxmlformats-officedocument.wordprocessingml.footer+xml"/>
  <Override PartName="/word/footer2746.xml" ContentType="application/vnd.openxmlformats-officedocument.wordprocessingml.footer+xml"/>
  <Override PartName="/word/footer2749.xml" ContentType="application/vnd.openxmlformats-officedocument.wordprocessingml.footer+xml"/>
  <Override PartName="/word/footer2752.xml" ContentType="application/vnd.openxmlformats-officedocument.wordprocessingml.footer+xml"/>
  <Override PartName="/word/footer2755.xml" ContentType="application/vnd.openxmlformats-officedocument.wordprocessingml.footer+xml"/>
  <Override PartName="/word/footer2758.xml" ContentType="application/vnd.openxmlformats-officedocument.wordprocessingml.footer+xml"/>
  <Override PartName="/word/footer2761.xml" ContentType="application/vnd.openxmlformats-officedocument.wordprocessingml.footer+xml"/>
  <Override PartName="/word/footer2764.xml" ContentType="application/vnd.openxmlformats-officedocument.wordprocessingml.footer+xml"/>
  <Override PartName="/word/footer2767.xml" ContentType="application/vnd.openxmlformats-officedocument.wordprocessingml.footer+xml"/>
  <Override PartName="/word/footer2770.xml" ContentType="application/vnd.openxmlformats-officedocument.wordprocessingml.footer+xml"/>
  <Override PartName="/word/footer2773.xml" ContentType="application/vnd.openxmlformats-officedocument.wordprocessingml.footer+xml"/>
  <Override PartName="/word/footer2776.xml" ContentType="application/vnd.openxmlformats-officedocument.wordprocessingml.footer+xml"/>
  <Override PartName="/word/footer2779.xml" ContentType="application/vnd.openxmlformats-officedocument.wordprocessingml.footer+xml"/>
  <Override PartName="/word/footer2782.xml" ContentType="application/vnd.openxmlformats-officedocument.wordprocessingml.footer+xml"/>
  <Override PartName="/word/footer2785.xml" ContentType="application/vnd.openxmlformats-officedocument.wordprocessingml.footer+xml"/>
  <Override PartName="/word/footer2788.xml" ContentType="application/vnd.openxmlformats-officedocument.wordprocessingml.footer+xml"/>
  <Override PartName="/word/footer2791.xml" ContentType="application/vnd.openxmlformats-officedocument.wordprocessingml.footer+xml"/>
  <Override PartName="/word/footer2794.xml" ContentType="application/vnd.openxmlformats-officedocument.wordprocessingml.footer+xml"/>
  <Override PartName="/word/footer2797.xml" ContentType="application/vnd.openxmlformats-officedocument.wordprocessingml.footer+xml"/>
  <Override PartName="/word/footer2800.xml" ContentType="application/vnd.openxmlformats-officedocument.wordprocessingml.footer+xml"/>
  <Override PartName="/word/footer2803.xml" ContentType="application/vnd.openxmlformats-officedocument.wordprocessingml.footer+xml"/>
  <Override PartName="/word/footer2806.xml" ContentType="application/vnd.openxmlformats-officedocument.wordprocessingml.footer+xml"/>
  <Override PartName="/word/footer2809.xml" ContentType="application/vnd.openxmlformats-officedocument.wordprocessingml.footer+xml"/>
  <Override PartName="/word/footer2812.xml" ContentType="application/vnd.openxmlformats-officedocument.wordprocessingml.footer+xml"/>
  <Override PartName="/word/footer2815.xml" ContentType="application/vnd.openxmlformats-officedocument.wordprocessingml.footer+xml"/>
  <Override PartName="/word/footer2818.xml" ContentType="application/vnd.openxmlformats-officedocument.wordprocessingml.footer+xml"/>
  <Override PartName="/word/footer2821.xml" ContentType="application/vnd.openxmlformats-officedocument.wordprocessingml.footer+xml"/>
  <Override PartName="/word/footer2824.xml" ContentType="application/vnd.openxmlformats-officedocument.wordprocessingml.footer+xml"/>
  <Override PartName="/word/footer2827.xml" ContentType="application/vnd.openxmlformats-officedocument.wordprocessingml.footer+xml"/>
  <Override PartName="/word/footer2830.xml" ContentType="application/vnd.openxmlformats-officedocument.wordprocessingml.footer+xml"/>
  <Override PartName="/word/footer2833.xml" ContentType="application/vnd.openxmlformats-officedocument.wordprocessingml.footer+xml"/>
  <Override PartName="/word/footer2836.xml" ContentType="application/vnd.openxmlformats-officedocument.wordprocessingml.footer+xml"/>
  <Override PartName="/word/footer2839.xml" ContentType="application/vnd.openxmlformats-officedocument.wordprocessingml.footer+xml"/>
  <Override PartName="/word/footer2842.xml" ContentType="application/vnd.openxmlformats-officedocument.wordprocessingml.footer+xml"/>
  <Override PartName="/word/footer2845.xml" ContentType="application/vnd.openxmlformats-officedocument.wordprocessingml.footer+xml"/>
  <Override PartName="/word/footer2848.xml" ContentType="application/vnd.openxmlformats-officedocument.wordprocessingml.footer+xml"/>
  <Override PartName="/word/footer2851.xml" ContentType="application/vnd.openxmlformats-officedocument.wordprocessingml.footer+xml"/>
  <Override PartName="/word/footer2854.xml" ContentType="application/vnd.openxmlformats-officedocument.wordprocessingml.footer+xml"/>
  <Override PartName="/word/footer2857.xml" ContentType="application/vnd.openxmlformats-officedocument.wordprocessingml.footer+xml"/>
  <Override PartName="/word/footer2860.xml" ContentType="application/vnd.openxmlformats-officedocument.wordprocessingml.footer+xml"/>
  <Override PartName="/word/footer2863.xml" ContentType="application/vnd.openxmlformats-officedocument.wordprocessingml.footer+xml"/>
  <Override PartName="/word/footer2866.xml" ContentType="application/vnd.openxmlformats-officedocument.wordprocessingml.footer+xml"/>
  <Override PartName="/word/footer2869.xml" ContentType="application/vnd.openxmlformats-officedocument.wordprocessingml.footer+xml"/>
  <Override PartName="/word/footer2872.xml" ContentType="application/vnd.openxmlformats-officedocument.wordprocessingml.footer+xml"/>
  <Override PartName="/word/footer2875.xml" ContentType="application/vnd.openxmlformats-officedocument.wordprocessingml.footer+xml"/>
  <Override PartName="/word/footer2878.xml" ContentType="application/vnd.openxmlformats-officedocument.wordprocessingml.footer+xml"/>
  <Override PartName="/word/footer2881.xml" ContentType="application/vnd.openxmlformats-officedocument.wordprocessingml.footer+xml"/>
  <Override PartName="/word/footer2884.xml" ContentType="application/vnd.openxmlformats-officedocument.wordprocessingml.footer+xml"/>
  <Override PartName="/word/footer2887.xml" ContentType="application/vnd.openxmlformats-officedocument.wordprocessingml.footer+xml"/>
  <Override PartName="/word/footer2890.xml" ContentType="application/vnd.openxmlformats-officedocument.wordprocessingml.footer+xml"/>
  <Override PartName="/word/footer2893.xml" ContentType="application/vnd.openxmlformats-officedocument.wordprocessingml.footer+xml"/>
  <Override PartName="/word/footer2896.xml" ContentType="application/vnd.openxmlformats-officedocument.wordprocessingml.footer+xml"/>
  <Override PartName="/word/footer2899.xml" ContentType="application/vnd.openxmlformats-officedocument.wordprocessingml.footer+xml"/>
  <Override PartName="/word/footer2902.xml" ContentType="application/vnd.openxmlformats-officedocument.wordprocessingml.footer+xml"/>
  <Override PartName="/word/footer2905.xml" ContentType="application/vnd.openxmlformats-officedocument.wordprocessingml.footer+xml"/>
  <Override PartName="/word/footer2908.xml" ContentType="application/vnd.openxmlformats-officedocument.wordprocessingml.footer+xml"/>
  <Override PartName="/word/footer2911.xml" ContentType="application/vnd.openxmlformats-officedocument.wordprocessingml.footer+xml"/>
  <Override PartName="/word/footer2914.xml" ContentType="application/vnd.openxmlformats-officedocument.wordprocessingml.footer+xml"/>
  <Override PartName="/word/footer2917.xml" ContentType="application/vnd.openxmlformats-officedocument.wordprocessingml.footer+xml"/>
  <Override PartName="/word/footer2920.xml" ContentType="application/vnd.openxmlformats-officedocument.wordprocessingml.footer+xml"/>
  <Override PartName="/word/footer2923.xml" ContentType="application/vnd.openxmlformats-officedocument.wordprocessingml.footer+xml"/>
  <Override PartName="/word/footer2926.xml" ContentType="application/vnd.openxmlformats-officedocument.wordprocessingml.footer+xml"/>
  <Override PartName="/word/footer2929.xml" ContentType="application/vnd.openxmlformats-officedocument.wordprocessingml.footer+xml"/>
  <Override PartName="/word/footer2932.xml" ContentType="application/vnd.openxmlformats-officedocument.wordprocessingml.footer+xml"/>
  <Override PartName="/word/footer2935.xml" ContentType="application/vnd.openxmlformats-officedocument.wordprocessingml.footer+xml"/>
  <Override PartName="/word/footer2938.xml" ContentType="application/vnd.openxmlformats-officedocument.wordprocessingml.footer+xml"/>
  <Override PartName="/word/footer2941.xml" ContentType="application/vnd.openxmlformats-officedocument.wordprocessingml.footer+xml"/>
  <Override PartName="/word/footer2944.xml" ContentType="application/vnd.openxmlformats-officedocument.wordprocessingml.footer+xml"/>
  <Override PartName="/word/footer2947.xml" ContentType="application/vnd.openxmlformats-officedocument.wordprocessingml.footer+xml"/>
  <Override PartName="/word/footer2950.xml" ContentType="application/vnd.openxmlformats-officedocument.wordprocessingml.footer+xml"/>
  <Override PartName="/word/footer2953.xml" ContentType="application/vnd.openxmlformats-officedocument.wordprocessingml.footer+xml"/>
  <Override PartName="/word/footer2956.xml" ContentType="application/vnd.openxmlformats-officedocument.wordprocessingml.footer+xml"/>
  <Override PartName="/word/footer2959.xml" ContentType="application/vnd.openxmlformats-officedocument.wordprocessingml.footer+xml"/>
  <Override PartName="/word/footer2962.xml" ContentType="application/vnd.openxmlformats-officedocument.wordprocessingml.footer+xml"/>
  <Override PartName="/word/footer2965.xml" ContentType="application/vnd.openxmlformats-officedocument.wordprocessingml.footer+xml"/>
  <Override PartName="/word/footer2968.xml" ContentType="application/vnd.openxmlformats-officedocument.wordprocessingml.footer+xml"/>
  <Override PartName="/word/footer2971.xml" ContentType="application/vnd.openxmlformats-officedocument.wordprocessingml.footer+xml"/>
  <Override PartName="/word/footer2974.xml" ContentType="application/vnd.openxmlformats-officedocument.wordprocessingml.footer+xml"/>
  <Override PartName="/word/footer2977.xml" ContentType="application/vnd.openxmlformats-officedocument.wordprocessingml.footer+xml"/>
  <Override PartName="/word/footer2980.xml" ContentType="application/vnd.openxmlformats-officedocument.wordprocessingml.footer+xml"/>
  <Override PartName="/word/footer2983.xml" ContentType="application/vnd.openxmlformats-officedocument.wordprocessingml.footer+xml"/>
  <Override PartName="/word/footer2986.xml" ContentType="application/vnd.openxmlformats-officedocument.wordprocessingml.footer+xml"/>
  <Override PartName="/word/footer2989.xml" ContentType="application/vnd.openxmlformats-officedocument.wordprocessingml.footer+xml"/>
  <Override PartName="/word/footer2992.xml" ContentType="application/vnd.openxmlformats-officedocument.wordprocessingml.footer+xml"/>
  <Override PartName="/word/footer2995.xml" ContentType="application/vnd.openxmlformats-officedocument.wordprocessingml.footer+xml"/>
  <Override PartName="/word/footer2998.xml" ContentType="application/vnd.openxmlformats-officedocument.wordprocessingml.footer+xml"/>
  <Override PartName="/word/footer3001.xml" ContentType="application/vnd.openxmlformats-officedocument.wordprocessingml.footer+xml"/>
  <Override PartName="/word/footer3004.xml" ContentType="application/vnd.openxmlformats-officedocument.wordprocessingml.footer+xml"/>
  <Override PartName="/word/footer3007.xml" ContentType="application/vnd.openxmlformats-officedocument.wordprocessingml.footer+xml"/>
  <Override PartName="/word/footer3010.xml" ContentType="application/vnd.openxmlformats-officedocument.wordprocessingml.footer+xml"/>
  <Override PartName="/word/footer3013.xml" ContentType="application/vnd.openxmlformats-officedocument.wordprocessingml.footer+xml"/>
  <Override PartName="/word/footer3016.xml" ContentType="application/vnd.openxmlformats-officedocument.wordprocessingml.footer+xml"/>
  <Override PartName="/word/footer3019.xml" ContentType="application/vnd.openxmlformats-officedocument.wordprocessingml.footer+xml"/>
  <Override PartName="/word/footer3022.xml" ContentType="application/vnd.openxmlformats-officedocument.wordprocessingml.footer+xml"/>
  <Override PartName="/word/footer3025.xml" ContentType="application/vnd.openxmlformats-officedocument.wordprocessingml.footer+xml"/>
  <Override PartName="/word/footer3028.xml" ContentType="application/vnd.openxmlformats-officedocument.wordprocessingml.footer+xml"/>
  <Override PartName="/word/footer3031.xml" ContentType="application/vnd.openxmlformats-officedocument.wordprocessingml.footer+xml"/>
  <Override PartName="/word/footer3034.xml" ContentType="application/vnd.openxmlformats-officedocument.wordprocessingml.footer+xml"/>
  <Override PartName="/word/footer3037.xml" ContentType="application/vnd.openxmlformats-officedocument.wordprocessingml.footer+xml"/>
  <Override PartName="/word/footer3040.xml" ContentType="application/vnd.openxmlformats-officedocument.wordprocessingml.footer+xml"/>
  <Override PartName="/word/footer3043.xml" ContentType="application/vnd.openxmlformats-officedocument.wordprocessingml.footer+xml"/>
  <Override PartName="/word/footer3046.xml" ContentType="application/vnd.openxmlformats-officedocument.wordprocessingml.footer+xml"/>
  <Override PartName="/word/footer3049.xml" ContentType="application/vnd.openxmlformats-officedocument.wordprocessingml.footer+xml"/>
  <Override PartName="/word/footer3052.xml" ContentType="application/vnd.openxmlformats-officedocument.wordprocessingml.footer+xml"/>
  <Override PartName="/word/footer3055.xml" ContentType="application/vnd.openxmlformats-officedocument.wordprocessingml.footer+xml"/>
  <Override PartName="/word/footer3058.xml" ContentType="application/vnd.openxmlformats-officedocument.wordprocessingml.footer+xml"/>
  <Override PartName="/word/footer3061.xml" ContentType="application/vnd.openxmlformats-officedocument.wordprocessingml.footer+xml"/>
  <Override PartName="/word/footer3064.xml" ContentType="application/vnd.openxmlformats-officedocument.wordprocessingml.footer+xml"/>
  <Override PartName="/word/footer3067.xml" ContentType="application/vnd.openxmlformats-officedocument.wordprocessingml.footer+xml"/>
  <Override PartName="/word/footer3070.xml" ContentType="application/vnd.openxmlformats-officedocument.wordprocessingml.footer+xml"/>
  <Override PartName="/word/footer3073.xml" ContentType="application/vnd.openxmlformats-officedocument.wordprocessingml.footer+xml"/>
  <Override PartName="/word/footer3076.xml" ContentType="application/vnd.openxmlformats-officedocument.wordprocessingml.footer+xml"/>
  <Override PartName="/word/footer3079.xml" ContentType="application/vnd.openxmlformats-officedocument.wordprocessingml.footer+xml"/>
  <Override PartName="/word/footer3082.xml" ContentType="application/vnd.openxmlformats-officedocument.wordprocessingml.footer+xml"/>
  <Override PartName="/word/footer3085.xml" ContentType="application/vnd.openxmlformats-officedocument.wordprocessingml.footer+xml"/>
  <Override PartName="/word/footer3088.xml" ContentType="application/vnd.openxmlformats-officedocument.wordprocessingml.footer+xml"/>
  <Override PartName="/word/footer3091.xml" ContentType="application/vnd.openxmlformats-officedocument.wordprocessingml.footer+xml"/>
  <Override PartName="/word/footer3094.xml" ContentType="application/vnd.openxmlformats-officedocument.wordprocessingml.footer+xml"/>
  <Override PartName="/word/footer3097.xml" ContentType="application/vnd.openxmlformats-officedocument.wordprocessingml.footer+xml"/>
  <Override PartName="/word/footer3100.xml" ContentType="application/vnd.openxmlformats-officedocument.wordprocessingml.footer+xml"/>
  <Override PartName="/word/footer3103.xml" ContentType="application/vnd.openxmlformats-officedocument.wordprocessingml.footer+xml"/>
  <Override PartName="/word/footer3106.xml" ContentType="application/vnd.openxmlformats-officedocument.wordprocessingml.footer+xml"/>
  <Override PartName="/word/footer3109.xml" ContentType="application/vnd.openxmlformats-officedocument.wordprocessingml.footer+xml"/>
  <Override PartName="/word/footer3112.xml" ContentType="application/vnd.openxmlformats-officedocument.wordprocessingml.footer+xml"/>
  <Override PartName="/word/footer3115.xml" ContentType="application/vnd.openxmlformats-officedocument.wordprocessingml.footer+xml"/>
  <Override PartName="/word/footer3118.xml" ContentType="application/vnd.openxmlformats-officedocument.wordprocessingml.footer+xml"/>
  <Override PartName="/word/footer3121.xml" ContentType="application/vnd.openxmlformats-officedocument.wordprocessingml.footer+xml"/>
  <Override PartName="/word/footer3124.xml" ContentType="application/vnd.openxmlformats-officedocument.wordprocessingml.footer+xml"/>
  <Override PartName="/word/footer3127.xml" ContentType="application/vnd.openxmlformats-officedocument.wordprocessingml.footer+xml"/>
  <Override PartName="/word/footer3130.xml" ContentType="application/vnd.openxmlformats-officedocument.wordprocessingml.footer+xml"/>
  <Override PartName="/word/footer3133.xml" ContentType="application/vnd.openxmlformats-officedocument.wordprocessingml.footer+xml"/>
  <Override PartName="/word/footer3136.xml" ContentType="application/vnd.openxmlformats-officedocument.wordprocessingml.footer+xml"/>
  <Override PartName="/word/footer3139.xml" ContentType="application/vnd.openxmlformats-officedocument.wordprocessingml.footer+xml"/>
  <Override PartName="/word/footer3142.xml" ContentType="application/vnd.openxmlformats-officedocument.wordprocessingml.footer+xml"/>
  <Override PartName="/word/footer3145.xml" ContentType="application/vnd.openxmlformats-officedocument.wordprocessingml.footer+xml"/>
  <Override PartName="/word/footer3148.xml" ContentType="application/vnd.openxmlformats-officedocument.wordprocessingml.footer+xml"/>
  <Override PartName="/word/footer3151.xml" ContentType="application/vnd.openxmlformats-officedocument.wordprocessingml.footer+xml"/>
  <Override PartName="/word/footer3154.xml" ContentType="application/vnd.openxmlformats-officedocument.wordprocessingml.footer+xml"/>
  <Override PartName="/word/footer3157.xml" ContentType="application/vnd.openxmlformats-officedocument.wordprocessingml.footer+xml"/>
  <Override PartName="/word/footer3160.xml" ContentType="application/vnd.openxmlformats-officedocument.wordprocessingml.footer+xml"/>
  <Override PartName="/word/footer3163.xml" ContentType="application/vnd.openxmlformats-officedocument.wordprocessingml.footer+xml"/>
  <Override PartName="/word/footer3166.xml" ContentType="application/vnd.openxmlformats-officedocument.wordprocessingml.footer+xml"/>
  <Override PartName="/word/footer3169.xml" ContentType="application/vnd.openxmlformats-officedocument.wordprocessingml.footer+xml"/>
  <Override PartName="/word/footer3172.xml" ContentType="application/vnd.openxmlformats-officedocument.wordprocessingml.footer+xml"/>
  <Override PartName="/word/footer3175.xml" ContentType="application/vnd.openxmlformats-officedocument.wordprocessingml.footer+xml"/>
  <Override PartName="/word/footer3178.xml" ContentType="application/vnd.openxmlformats-officedocument.wordprocessingml.footer+xml"/>
  <Override PartName="/word/footer3181.xml" ContentType="application/vnd.openxmlformats-officedocument.wordprocessingml.footer+xml"/>
  <Override PartName="/word/footer3184.xml" ContentType="application/vnd.openxmlformats-officedocument.wordprocessingml.footer+xml"/>
  <Override PartName="/word/footer3187.xml" ContentType="application/vnd.openxmlformats-officedocument.wordprocessingml.footer+xml"/>
  <Override PartName="/word/footer3190.xml" ContentType="application/vnd.openxmlformats-officedocument.wordprocessingml.footer+xml"/>
  <Override PartName="/word/footer3193.xml" ContentType="application/vnd.openxmlformats-officedocument.wordprocessingml.footer+xml"/>
  <Override PartName="/word/footer3196.xml" ContentType="application/vnd.openxmlformats-officedocument.wordprocessingml.footer+xml"/>
  <Override PartName="/word/footer3199.xml" ContentType="application/vnd.openxmlformats-officedocument.wordprocessingml.footer+xml"/>
  <Override PartName="/word/footer3202.xml" ContentType="application/vnd.openxmlformats-officedocument.wordprocessingml.footer+xml"/>
  <Override PartName="/word/footer3205.xml" ContentType="application/vnd.openxmlformats-officedocument.wordprocessingml.footer+xml"/>
  <Override PartName="/word/footer3208.xml" ContentType="application/vnd.openxmlformats-officedocument.wordprocessingml.footer+xml"/>
  <Override PartName="/word/footer3211.xml" ContentType="application/vnd.openxmlformats-officedocument.wordprocessingml.footer+xml"/>
  <Override PartName="/word/footer3214.xml" ContentType="application/vnd.openxmlformats-officedocument.wordprocessingml.footer+xml"/>
  <Override PartName="/word/footer3217.xml" ContentType="application/vnd.openxmlformats-officedocument.wordprocessingml.footer+xml"/>
  <Override PartName="/word/footer3220.xml" ContentType="application/vnd.openxmlformats-officedocument.wordprocessingml.footer+xml"/>
  <Override PartName="/word/footer3223.xml" ContentType="application/vnd.openxmlformats-officedocument.wordprocessingml.footer+xml"/>
  <Override PartName="/word/footer3226.xml" ContentType="application/vnd.openxmlformats-officedocument.wordprocessingml.footer+xml"/>
  <Override PartName="/word/footer3229.xml" ContentType="application/vnd.openxmlformats-officedocument.wordprocessingml.footer+xml"/>
  <Override PartName="/word/footer3232.xml" ContentType="application/vnd.openxmlformats-officedocument.wordprocessingml.footer+xml"/>
  <Override PartName="/word/footer3235.xml" ContentType="application/vnd.openxmlformats-officedocument.wordprocessingml.footer+xml"/>
  <Override PartName="/word/footer3238.xml" ContentType="application/vnd.openxmlformats-officedocument.wordprocessingml.footer+xml"/>
  <Override PartName="/word/footer3241.xml" ContentType="application/vnd.openxmlformats-officedocument.wordprocessingml.footer+xml"/>
  <Override PartName="/word/footer3244.xml" ContentType="application/vnd.openxmlformats-officedocument.wordprocessingml.footer+xml"/>
  <Override PartName="/word/footer3247.xml" ContentType="application/vnd.openxmlformats-officedocument.wordprocessingml.footer+xml"/>
  <Override PartName="/word/footer3250.xml" ContentType="application/vnd.openxmlformats-officedocument.wordprocessingml.footer+xml"/>
  <Override PartName="/word/footer3253.xml" ContentType="application/vnd.openxmlformats-officedocument.wordprocessingml.footer+xml"/>
  <Override PartName="/word/footer3256.xml" ContentType="application/vnd.openxmlformats-officedocument.wordprocessingml.footer+xml"/>
  <Override PartName="/word/footer3259.xml" ContentType="application/vnd.openxmlformats-officedocument.wordprocessingml.footer+xml"/>
  <Override PartName="/word/footer3262.xml" ContentType="application/vnd.openxmlformats-officedocument.wordprocessingml.footer+xml"/>
  <Override PartName="/word/footer3265.xml" ContentType="application/vnd.openxmlformats-officedocument.wordprocessingml.footer+xml"/>
  <Override PartName="/word/footer3268.xml" ContentType="application/vnd.openxmlformats-officedocument.wordprocessingml.footer+xml"/>
  <Override PartName="/word/footer3271.xml" ContentType="application/vnd.openxmlformats-officedocument.wordprocessingml.footer+xml"/>
  <Override PartName="/word/footer3274.xml" ContentType="application/vnd.openxmlformats-officedocument.wordprocessingml.footer+xml"/>
  <Override PartName="/word/footer3277.xml" ContentType="application/vnd.openxmlformats-officedocument.wordprocessingml.footer+xml"/>
  <Override PartName="/word/footer3280.xml" ContentType="application/vnd.openxmlformats-officedocument.wordprocessingml.footer+xml"/>
  <Override PartName="/word/footer3283.xml" ContentType="application/vnd.openxmlformats-officedocument.wordprocessingml.footer+xml"/>
  <Override PartName="/word/footer3286.xml" ContentType="application/vnd.openxmlformats-officedocument.wordprocessingml.footer+xml"/>
  <Override PartName="/word/footer3289.xml" ContentType="application/vnd.openxmlformats-officedocument.wordprocessingml.footer+xml"/>
  <Override PartName="/word/footer3292.xml" ContentType="application/vnd.openxmlformats-officedocument.wordprocessingml.footer+xml"/>
  <Override PartName="/word/footer3295.xml" ContentType="application/vnd.openxmlformats-officedocument.wordprocessingml.footer+xml"/>
  <Override PartName="/word/footer3298.xml" ContentType="application/vnd.openxmlformats-officedocument.wordprocessingml.footer+xml"/>
  <Override PartName="/word/footer3301.xml" ContentType="application/vnd.openxmlformats-officedocument.wordprocessingml.footer+xml"/>
  <Override PartName="/word/footer3304.xml" ContentType="application/vnd.openxmlformats-officedocument.wordprocessingml.footer+xml"/>
  <Override PartName="/word/footer3307.xml" ContentType="application/vnd.openxmlformats-officedocument.wordprocessingml.footer+xml"/>
  <Override PartName="/word/footer3310.xml" ContentType="application/vnd.openxmlformats-officedocument.wordprocessingml.footer+xml"/>
  <Override PartName="/word/footer3313.xml" ContentType="application/vnd.openxmlformats-officedocument.wordprocessingml.footer+xml"/>
  <Override PartName="/word/footer3316.xml" ContentType="application/vnd.openxmlformats-officedocument.wordprocessingml.footer+xml"/>
  <Override PartName="/word/footer3319.xml" ContentType="application/vnd.openxmlformats-officedocument.wordprocessingml.footer+xml"/>
  <Override PartName="/word/footer3322.xml" ContentType="application/vnd.openxmlformats-officedocument.wordprocessingml.footer+xml"/>
  <Override PartName="/word/footer3325.xml" ContentType="application/vnd.openxmlformats-officedocument.wordprocessingml.footer+xml"/>
  <Override PartName="/word/footer3328.xml" ContentType="application/vnd.openxmlformats-officedocument.wordprocessingml.footer+xml"/>
  <Override PartName="/word/footer3331.xml" ContentType="application/vnd.openxmlformats-officedocument.wordprocessingml.footer+xml"/>
  <Override PartName="/word/footer3334.xml" ContentType="application/vnd.openxmlformats-officedocument.wordprocessingml.footer+xml"/>
  <Override PartName="/word/footer3337.xml" ContentType="application/vnd.openxmlformats-officedocument.wordprocessingml.footer+xml"/>
  <Override PartName="/word/footer3340.xml" ContentType="application/vnd.openxmlformats-officedocument.wordprocessingml.footer+xml"/>
  <Override PartName="/word/footer3343.xml" ContentType="application/vnd.openxmlformats-officedocument.wordprocessingml.footer+xml"/>
  <Override PartName="/word/footer3346.xml" ContentType="application/vnd.openxmlformats-officedocument.wordprocessingml.footer+xml"/>
  <Override PartName="/word/footer3349.xml" ContentType="application/vnd.openxmlformats-officedocument.wordprocessingml.footer+xml"/>
  <Override PartName="/word/footer3352.xml" ContentType="application/vnd.openxmlformats-officedocument.wordprocessingml.footer+xml"/>
  <Override PartName="/word/footer3355.xml" ContentType="application/vnd.openxmlformats-officedocument.wordprocessingml.footer+xml"/>
  <Override PartName="/word/footer3358.xml" ContentType="application/vnd.openxmlformats-officedocument.wordprocessingml.footer+xml"/>
  <Override PartName="/word/footer3361.xml" ContentType="application/vnd.openxmlformats-officedocument.wordprocessingml.footer+xml"/>
  <Override PartName="/word/footer3364.xml" ContentType="application/vnd.openxmlformats-officedocument.wordprocessingml.footer+xml"/>
  <Override PartName="/word/footer3367.xml" ContentType="application/vnd.openxmlformats-officedocument.wordprocessingml.footer+xml"/>
  <Override PartName="/word/footer3370.xml" ContentType="application/vnd.openxmlformats-officedocument.wordprocessingml.footer+xml"/>
  <Override PartName="/word/footer3373.xml" ContentType="application/vnd.openxmlformats-officedocument.wordprocessingml.footer+xml"/>
  <Override PartName="/word/footer3376.xml" ContentType="application/vnd.openxmlformats-officedocument.wordprocessingml.footer+xml"/>
  <Override PartName="/word/footer3379.xml" ContentType="application/vnd.openxmlformats-officedocument.wordprocessingml.footer+xml"/>
  <Override PartName="/word/footer3382.xml" ContentType="application/vnd.openxmlformats-officedocument.wordprocessingml.footer+xml"/>
  <Override PartName="/word/footer3385.xml" ContentType="application/vnd.openxmlformats-officedocument.wordprocessingml.footer+xml"/>
  <Override PartName="/word/footer3388.xml" ContentType="application/vnd.openxmlformats-officedocument.wordprocessingml.footer+xml"/>
  <Override PartName="/word/footer3391.xml" ContentType="application/vnd.openxmlformats-officedocument.wordprocessingml.footer+xml"/>
  <Override PartName="/word/footer3394.xml" ContentType="application/vnd.openxmlformats-officedocument.wordprocessingml.footer+xml"/>
  <Override PartName="/word/footer3397.xml" ContentType="application/vnd.openxmlformats-officedocument.wordprocessingml.footer+xml"/>
  <Override PartName="/word/footer3400.xml" ContentType="application/vnd.openxmlformats-officedocument.wordprocessingml.footer+xml"/>
  <Override PartName="/word/footer3403.xml" ContentType="application/vnd.openxmlformats-officedocument.wordprocessingml.footer+xml"/>
  <Override PartName="/word/footer3406.xml" ContentType="application/vnd.openxmlformats-officedocument.wordprocessingml.footer+xml"/>
  <Override PartName="/word/footer3409.xml" ContentType="application/vnd.openxmlformats-officedocument.wordprocessingml.footer+xml"/>
  <Override PartName="/word/footer3412.xml" ContentType="application/vnd.openxmlformats-officedocument.wordprocessingml.footer+xml"/>
  <Override PartName="/word/footer3415.xml" ContentType="application/vnd.openxmlformats-officedocument.wordprocessingml.footer+xml"/>
  <Override PartName="/word/footer3418.xml" ContentType="application/vnd.openxmlformats-officedocument.wordprocessingml.footer+xml"/>
  <Override PartName="/word/footer3421.xml" ContentType="application/vnd.openxmlformats-officedocument.wordprocessingml.footer+xml"/>
  <Override PartName="/word/footer3424.xml" ContentType="application/vnd.openxmlformats-officedocument.wordprocessingml.footer+xml"/>
  <Override PartName="/word/footer3427.xml" ContentType="application/vnd.openxmlformats-officedocument.wordprocessingml.footer+xml"/>
  <Override PartName="/word/footer3430.xml" ContentType="application/vnd.openxmlformats-officedocument.wordprocessingml.footer+xml"/>
  <Override PartName="/word/footer3433.xml" ContentType="application/vnd.openxmlformats-officedocument.wordprocessingml.footer+xml"/>
  <Override PartName="/word/footer3436.xml" ContentType="application/vnd.openxmlformats-officedocument.wordprocessingml.footer+xml"/>
  <Override PartName="/word/footer3439.xml" ContentType="application/vnd.openxmlformats-officedocument.wordprocessingml.footer+xml"/>
  <Override PartName="/word/footer3442.xml" ContentType="application/vnd.openxmlformats-officedocument.wordprocessingml.footer+xml"/>
  <Override PartName="/word/footer3445.xml" ContentType="application/vnd.openxmlformats-officedocument.wordprocessingml.footer+xml"/>
  <Override PartName="/word/footer3448.xml" ContentType="application/vnd.openxmlformats-officedocument.wordprocessingml.footer+xml"/>
  <Override PartName="/word/footer3451.xml" ContentType="application/vnd.openxmlformats-officedocument.wordprocessingml.footer+xml"/>
  <Override PartName="/word/footer3454.xml" ContentType="application/vnd.openxmlformats-officedocument.wordprocessingml.footer+xml"/>
  <Override PartName="/word/footer3457.xml" ContentType="application/vnd.openxmlformats-officedocument.wordprocessingml.footer+xml"/>
  <Override PartName="/word/footer3460.xml" ContentType="application/vnd.openxmlformats-officedocument.wordprocessingml.footer+xml"/>
  <Override PartName="/word/footer3463.xml" ContentType="application/vnd.openxmlformats-officedocument.wordprocessingml.footer+xml"/>
  <Override PartName="/word/footer3466.xml" ContentType="application/vnd.openxmlformats-officedocument.wordprocessingml.footer+xml"/>
  <Override PartName="/word/footer3469.xml" ContentType="application/vnd.openxmlformats-officedocument.wordprocessingml.footer+xml"/>
  <Override PartName="/word/footer3472.xml" ContentType="application/vnd.openxmlformats-officedocument.wordprocessingml.footer+xml"/>
  <Override PartName="/word/footer3475.xml" ContentType="application/vnd.openxmlformats-officedocument.wordprocessingml.footer+xml"/>
  <Override PartName="/word/footer3478.xml" ContentType="application/vnd.openxmlformats-officedocument.wordprocessingml.footer+xml"/>
  <Override PartName="/word/footer3481.xml" ContentType="application/vnd.openxmlformats-officedocument.wordprocessingml.footer+xml"/>
  <Override PartName="/word/footer3484.xml" ContentType="application/vnd.openxmlformats-officedocument.wordprocessingml.footer+xml"/>
  <Override PartName="/word/footer3487.xml" ContentType="application/vnd.openxmlformats-officedocument.wordprocessingml.footer+xml"/>
  <Override PartName="/word/footer3490.xml" ContentType="application/vnd.openxmlformats-officedocument.wordprocessingml.footer+xml"/>
  <Override PartName="/word/footer3493.xml" ContentType="application/vnd.openxmlformats-officedocument.wordprocessingml.footer+xml"/>
  <Override PartName="/word/footer3496.xml" ContentType="application/vnd.openxmlformats-officedocument.wordprocessingml.footer+xml"/>
  <Override PartName="/word/footer3499.xml" ContentType="application/vnd.openxmlformats-officedocument.wordprocessingml.footer+xml"/>
  <Override PartName="/word/footer3502.xml" ContentType="application/vnd.openxmlformats-officedocument.wordprocessingml.footer+xml"/>
  <Override PartName="/word/footer3505.xml" ContentType="application/vnd.openxmlformats-officedocument.wordprocessingml.footer+xml"/>
  <Override PartName="/word/footer3508.xml" ContentType="application/vnd.openxmlformats-officedocument.wordprocessingml.footer+xml"/>
  <Override PartName="/word/footer3511.xml" ContentType="application/vnd.openxmlformats-officedocument.wordprocessingml.footer+xml"/>
  <Override PartName="/word/footer3514.xml" ContentType="application/vnd.openxmlformats-officedocument.wordprocessingml.footer+xml"/>
  <Override PartName="/word/footer3517.xml" ContentType="application/vnd.openxmlformats-officedocument.wordprocessingml.footer+xml"/>
  <Override PartName="/word/footer3520.xml" ContentType="application/vnd.openxmlformats-officedocument.wordprocessingml.footer+xml"/>
  <Override PartName="/word/footer3523.xml" ContentType="application/vnd.openxmlformats-officedocument.wordprocessingml.footer+xml"/>
  <Override PartName="/word/footer3526.xml" ContentType="application/vnd.openxmlformats-officedocument.wordprocessingml.footer+xml"/>
  <Override PartName="/word/footer3529.xml" ContentType="application/vnd.openxmlformats-officedocument.wordprocessingml.footer+xml"/>
  <Override PartName="/word/footer3532.xml" ContentType="application/vnd.openxmlformats-officedocument.wordprocessingml.footer+xml"/>
  <Override PartName="/word/footer3535.xml" ContentType="application/vnd.openxmlformats-officedocument.wordprocessingml.footer+xml"/>
  <Override PartName="/word/footer3538.xml" ContentType="application/vnd.openxmlformats-officedocument.wordprocessingml.footer+xml"/>
  <Override PartName="/word/footer3541.xml" ContentType="application/vnd.openxmlformats-officedocument.wordprocessingml.footer+xml"/>
  <Override PartName="/word/footer3544.xml" ContentType="application/vnd.openxmlformats-officedocument.wordprocessingml.footer+xml"/>
  <Override PartName="/word/footer3547.xml" ContentType="application/vnd.openxmlformats-officedocument.wordprocessingml.footer+xml"/>
  <Override PartName="/word/footer3550.xml" ContentType="application/vnd.openxmlformats-officedocument.wordprocessingml.footer+xml"/>
  <Override PartName="/word/footer3553.xml" ContentType="application/vnd.openxmlformats-officedocument.wordprocessingml.footer+xml"/>
  <Override PartName="/word/footer3556.xml" ContentType="application/vnd.openxmlformats-officedocument.wordprocessingml.footer+xml"/>
  <Override PartName="/word/footer3559.xml" ContentType="application/vnd.openxmlformats-officedocument.wordprocessingml.footer+xml"/>
  <Override PartName="/word/footer3562.xml" ContentType="application/vnd.openxmlformats-officedocument.wordprocessingml.footer+xml"/>
  <Override PartName="/word/footer3565.xml" ContentType="application/vnd.openxmlformats-officedocument.wordprocessingml.footer+xml"/>
  <Override PartName="/word/footer3568.xml" ContentType="application/vnd.openxmlformats-officedocument.wordprocessingml.footer+xml"/>
  <Override PartName="/word/footer3571.xml" ContentType="application/vnd.openxmlformats-officedocument.wordprocessingml.footer+xml"/>
  <Override PartName="/word/footer3574.xml" ContentType="application/vnd.openxmlformats-officedocument.wordprocessingml.footer+xml"/>
  <Override PartName="/word/footer3577.xml" ContentType="application/vnd.openxmlformats-officedocument.wordprocessingml.footer+xml"/>
  <Override PartName="/word/footer3580.xml" ContentType="application/vnd.openxmlformats-officedocument.wordprocessingml.footer+xml"/>
  <Override PartName="/word/footer3583.xml" ContentType="application/vnd.openxmlformats-officedocument.wordprocessingml.footer+xml"/>
  <Override PartName="/word/footer3586.xml" ContentType="application/vnd.openxmlformats-officedocument.wordprocessingml.footer+xml"/>
  <Override PartName="/word/footer3589.xml" ContentType="application/vnd.openxmlformats-officedocument.wordprocessingml.footer+xml"/>
  <Override PartName="/word/footer3592.xml" ContentType="application/vnd.openxmlformats-officedocument.wordprocessingml.footer+xml"/>
  <Override PartName="/word/footer3595.xml" ContentType="application/vnd.openxmlformats-officedocument.wordprocessingml.footer+xml"/>
  <Override PartName="/word/footer3598.xml" ContentType="application/vnd.openxmlformats-officedocument.wordprocessingml.footer+xml"/>
  <Override PartName="/word/footer3601.xml" ContentType="application/vnd.openxmlformats-officedocument.wordprocessingml.footer+xml"/>
  <Override PartName="/word/footer3604.xml" ContentType="application/vnd.openxmlformats-officedocument.wordprocessingml.footer+xml"/>
  <Override PartName="/word/footer3607.xml" ContentType="application/vnd.openxmlformats-officedocument.wordprocessingml.footer+xml"/>
  <Override PartName="/word/footer3610.xml" ContentType="application/vnd.openxmlformats-officedocument.wordprocessingml.footer+xml"/>
  <Override PartName="/word/footer3613.xml" ContentType="application/vnd.openxmlformats-officedocument.wordprocessingml.footer+xml"/>
  <Override PartName="/word/footer3616.xml" ContentType="application/vnd.openxmlformats-officedocument.wordprocessingml.footer+xml"/>
  <Override PartName="/word/footer3619.xml" ContentType="application/vnd.openxmlformats-officedocument.wordprocessingml.footer+xml"/>
  <Override PartName="/word/footer3622.xml" ContentType="application/vnd.openxmlformats-officedocument.wordprocessingml.footer+xml"/>
  <Override PartName="/word/footer3625.xml" ContentType="application/vnd.openxmlformats-officedocument.wordprocessingml.footer+xml"/>
  <Override PartName="/word/footer3628.xml" ContentType="application/vnd.openxmlformats-officedocument.wordprocessingml.footer+xml"/>
  <Override PartName="/word/footer3631.xml" ContentType="application/vnd.openxmlformats-officedocument.wordprocessingml.footer+xml"/>
  <Override PartName="/word/footer3634.xml" ContentType="application/vnd.openxmlformats-officedocument.wordprocessingml.footer+xml"/>
  <Override PartName="/word/footer3637.xml" ContentType="application/vnd.openxmlformats-officedocument.wordprocessingml.footer+xml"/>
  <Override PartName="/word/footer3640.xml" ContentType="application/vnd.openxmlformats-officedocument.wordprocessingml.footer+xml"/>
  <Override PartName="/word/footer3643.xml" ContentType="application/vnd.openxmlformats-officedocument.wordprocessingml.footer+xml"/>
  <Override PartName="/word/footer3646.xml" ContentType="application/vnd.openxmlformats-officedocument.wordprocessingml.footer+xml"/>
  <Override PartName="/word/footer3649.xml" ContentType="application/vnd.openxmlformats-officedocument.wordprocessingml.footer+xml"/>
  <Override PartName="/word/footer3652.xml" ContentType="application/vnd.openxmlformats-officedocument.wordprocessingml.footer+xml"/>
  <Override PartName="/word/footer3655.xml" ContentType="application/vnd.openxmlformats-officedocument.wordprocessingml.footer+xml"/>
  <Override PartName="/word/footer3658.xml" ContentType="application/vnd.openxmlformats-officedocument.wordprocessingml.footer+xml"/>
  <Override PartName="/word/footer3661.xml" ContentType="application/vnd.openxmlformats-officedocument.wordprocessingml.footer+xml"/>
  <Override PartName="/word/footer3664.xml" ContentType="application/vnd.openxmlformats-officedocument.wordprocessingml.footer+xml"/>
  <Override PartName="/word/footer3667.xml" ContentType="application/vnd.openxmlformats-officedocument.wordprocessingml.footer+xml"/>
  <Override PartName="/word/footer3670.xml" ContentType="application/vnd.openxmlformats-officedocument.wordprocessingml.footer+xml"/>
  <Override PartName="/word/footer3673.xml" ContentType="application/vnd.openxmlformats-officedocument.wordprocessingml.footer+xml"/>
  <Override PartName="/word/footer3676.xml" ContentType="application/vnd.openxmlformats-officedocument.wordprocessingml.footer+xml"/>
  <Override PartName="/word/footer3679.xml" ContentType="application/vnd.openxmlformats-officedocument.wordprocessingml.footer+xml"/>
  <Override PartName="/word/footer3682.xml" ContentType="application/vnd.openxmlformats-officedocument.wordprocessingml.footer+xml"/>
  <Override PartName="/word/footer3685.xml" ContentType="application/vnd.openxmlformats-officedocument.wordprocessingml.footer+xml"/>
  <Override PartName="/word/footer3688.xml" ContentType="application/vnd.openxmlformats-officedocument.wordprocessingml.footer+xml"/>
  <Override PartName="/word/footer3691.xml" ContentType="application/vnd.openxmlformats-officedocument.wordprocessingml.footer+xml"/>
  <Override PartName="/word/footer3694.xml" ContentType="application/vnd.openxmlformats-officedocument.wordprocessingml.footer+xml"/>
  <Override PartName="/word/footer3697.xml" ContentType="application/vnd.openxmlformats-officedocument.wordprocessingml.footer+xml"/>
  <Override PartName="/word/footer3700.xml" ContentType="application/vnd.openxmlformats-officedocument.wordprocessingml.footer+xml"/>
  <Override PartName="/word/footer3703.xml" ContentType="application/vnd.openxmlformats-officedocument.wordprocessingml.footer+xml"/>
  <Override PartName="/word/footer3706.xml" ContentType="application/vnd.openxmlformats-officedocument.wordprocessingml.footer+xml"/>
  <Override PartName="/word/footer3709.xml" ContentType="application/vnd.openxmlformats-officedocument.wordprocessingml.footer+xml"/>
  <Override PartName="/word/footer3712.xml" ContentType="application/vnd.openxmlformats-officedocument.wordprocessingml.footer+xml"/>
  <Override PartName="/word/footer3715.xml" ContentType="application/vnd.openxmlformats-officedocument.wordprocessingml.footer+xml"/>
  <Override PartName="/word/footer3718.xml" ContentType="application/vnd.openxmlformats-officedocument.wordprocessingml.footer+xml"/>
  <Override PartName="/word/footer3721.xml" ContentType="application/vnd.openxmlformats-officedocument.wordprocessingml.footer+xml"/>
  <Override PartName="/word/footer3724.xml" ContentType="application/vnd.openxmlformats-officedocument.wordprocessingml.footer+xml"/>
  <Override PartName="/word/footer3727.xml" ContentType="application/vnd.openxmlformats-officedocument.wordprocessingml.footer+xml"/>
  <Override PartName="/word/footer3730.xml" ContentType="application/vnd.openxmlformats-officedocument.wordprocessingml.footer+xml"/>
  <Override PartName="/word/footer3733.xml" ContentType="application/vnd.openxmlformats-officedocument.wordprocessingml.footer+xml"/>
  <Override PartName="/word/footer3736.xml" ContentType="application/vnd.openxmlformats-officedocument.wordprocessingml.footer+xml"/>
  <Override PartName="/word/footer3739.xml" ContentType="application/vnd.openxmlformats-officedocument.wordprocessingml.footer+xml"/>
  <Override PartName="/word/footer3742.xml" ContentType="application/vnd.openxmlformats-officedocument.wordprocessingml.footer+xml"/>
  <Override PartName="/word/footer3745.xml" ContentType="application/vnd.openxmlformats-officedocument.wordprocessingml.footer+xml"/>
  <Override PartName="/word/footer3748.xml" ContentType="application/vnd.openxmlformats-officedocument.wordprocessingml.footer+xml"/>
  <Override PartName="/word/footer3751.xml" ContentType="application/vnd.openxmlformats-officedocument.wordprocessingml.footer+xml"/>
  <Override PartName="/word/footer3754.xml" ContentType="application/vnd.openxmlformats-officedocument.wordprocessingml.footer+xml"/>
  <Override PartName="/word/footer3757.xml" ContentType="application/vnd.openxmlformats-officedocument.wordprocessingml.footer+xml"/>
  <Override PartName="/word/footer3760.xml" ContentType="application/vnd.openxmlformats-officedocument.wordprocessingml.footer+xml"/>
  <Override PartName="/word/footer3763.xml" ContentType="application/vnd.openxmlformats-officedocument.wordprocessingml.footer+xml"/>
  <Override PartName="/word/footer3766.xml" ContentType="application/vnd.openxmlformats-officedocument.wordprocessingml.footer+xml"/>
  <Override PartName="/word/footer3769.xml" ContentType="application/vnd.openxmlformats-officedocument.wordprocessingml.footer+xml"/>
  <Override PartName="/word/footer3772.xml" ContentType="application/vnd.openxmlformats-officedocument.wordprocessingml.footer+xml"/>
  <Override PartName="/word/footer3775.xml" ContentType="application/vnd.openxmlformats-officedocument.wordprocessingml.footer+xml"/>
  <Override PartName="/word/footer3778.xml" ContentType="application/vnd.openxmlformats-officedocument.wordprocessingml.footer+xml"/>
  <Override PartName="/word/footer3781.xml" ContentType="application/vnd.openxmlformats-officedocument.wordprocessingml.footer+xml"/>
  <Override PartName="/word/footer3784.xml" ContentType="application/vnd.openxmlformats-officedocument.wordprocessingml.footer+xml"/>
  <Override PartName="/word/footer3787.xml" ContentType="application/vnd.openxmlformats-officedocument.wordprocessingml.footer+xml"/>
  <Override PartName="/word/footer3790.xml" ContentType="application/vnd.openxmlformats-officedocument.wordprocessingml.footer+xml"/>
  <Override PartName="/word/footer3793.xml" ContentType="application/vnd.openxmlformats-officedocument.wordprocessingml.footer+xml"/>
  <Override PartName="/word/footer3796.xml" ContentType="application/vnd.openxmlformats-officedocument.wordprocessingml.footer+xml"/>
  <Override PartName="/word/footer3799.xml" ContentType="application/vnd.openxmlformats-officedocument.wordprocessingml.footer+xml"/>
  <Override PartName="/word/footer3802.xml" ContentType="application/vnd.openxmlformats-officedocument.wordprocessingml.footer+xml"/>
  <Override PartName="/word/footer3805.xml" ContentType="application/vnd.openxmlformats-officedocument.wordprocessingml.footer+xml"/>
  <Override PartName="/word/footer3808.xml" ContentType="application/vnd.openxmlformats-officedocument.wordprocessingml.footer+xml"/>
  <Override PartName="/word/footer3811.xml" ContentType="application/vnd.openxmlformats-officedocument.wordprocessingml.footer+xml"/>
  <Override PartName="/word/footer3814.xml" ContentType="application/vnd.openxmlformats-officedocument.wordprocessingml.footer+xml"/>
  <Override PartName="/word/footer3817.xml" ContentType="application/vnd.openxmlformats-officedocument.wordprocessingml.footer+xml"/>
  <Override PartName="/word/footer3820.xml" ContentType="application/vnd.openxmlformats-officedocument.wordprocessingml.footer+xml"/>
  <Override PartName="/word/footer3823.xml" ContentType="application/vnd.openxmlformats-officedocument.wordprocessingml.footer+xml"/>
  <Override PartName="/word/footer3826.xml" ContentType="application/vnd.openxmlformats-officedocument.wordprocessingml.footer+xml"/>
  <Override PartName="/word/footer3829.xml" ContentType="application/vnd.openxmlformats-officedocument.wordprocessingml.footer+xml"/>
  <Override PartName="/word/footer3832.xml" ContentType="application/vnd.openxmlformats-officedocument.wordprocessingml.footer+xml"/>
  <Override PartName="/word/footer3835.xml" ContentType="application/vnd.openxmlformats-officedocument.wordprocessingml.footer+xml"/>
  <Override PartName="/word/footer3838.xml" ContentType="application/vnd.openxmlformats-officedocument.wordprocessingml.footer+xml"/>
  <Override PartName="/word/footer3841.xml" ContentType="application/vnd.openxmlformats-officedocument.wordprocessingml.footer+xml"/>
  <Override PartName="/word/footer3844.xml" ContentType="application/vnd.openxmlformats-officedocument.wordprocessingml.footer+xml"/>
  <Override PartName="/word/footer3847.xml" ContentType="application/vnd.openxmlformats-officedocument.wordprocessingml.footer+xml"/>
  <Override PartName="/word/footer3850.xml" ContentType="application/vnd.openxmlformats-officedocument.wordprocessingml.footer+xml"/>
  <Override PartName="/word/footer3853.xml" ContentType="application/vnd.openxmlformats-officedocument.wordprocessingml.footer+xml"/>
  <Override PartName="/word/footer3856.xml" ContentType="application/vnd.openxmlformats-officedocument.wordprocessingml.footer+xml"/>
  <Override PartName="/word/footer3859.xml" ContentType="application/vnd.openxmlformats-officedocument.wordprocessingml.footer+xml"/>
  <Override PartName="/word/footer3862.xml" ContentType="application/vnd.openxmlformats-officedocument.wordprocessingml.footer+xml"/>
  <Override PartName="/word/footer3865.xml" ContentType="application/vnd.openxmlformats-officedocument.wordprocessingml.footer+xml"/>
  <Override PartName="/word/footer3868.xml" ContentType="application/vnd.openxmlformats-officedocument.wordprocessingml.footer+xml"/>
  <Override PartName="/word/footer3871.xml" ContentType="application/vnd.openxmlformats-officedocument.wordprocessingml.footer+xml"/>
  <Override PartName="/word/footer3874.xml" ContentType="application/vnd.openxmlformats-officedocument.wordprocessingml.footer+xml"/>
  <Override PartName="/word/footer3877.xml" ContentType="application/vnd.openxmlformats-officedocument.wordprocessingml.footer+xml"/>
  <Override PartName="/word/footer3880.xml" ContentType="application/vnd.openxmlformats-officedocument.wordprocessingml.footer+xml"/>
  <Override PartName="/word/footer3883.xml" ContentType="application/vnd.openxmlformats-officedocument.wordprocessingml.footer+xml"/>
  <Override PartName="/word/footer3886.xml" ContentType="application/vnd.openxmlformats-officedocument.wordprocessingml.footer+xml"/>
  <Override PartName="/word/footer3889.xml" ContentType="application/vnd.openxmlformats-officedocument.wordprocessingml.footer+xml"/>
  <Override PartName="/word/footer3892.xml" ContentType="application/vnd.openxmlformats-officedocument.wordprocessingml.footer+xml"/>
  <Override PartName="/word/footer3895.xml" ContentType="application/vnd.openxmlformats-officedocument.wordprocessingml.footer+xml"/>
  <Override PartName="/word/footer3898.xml" ContentType="application/vnd.openxmlformats-officedocument.wordprocessingml.footer+xml"/>
  <Override PartName="/word/footer3901.xml" ContentType="application/vnd.openxmlformats-officedocument.wordprocessingml.footer+xml"/>
  <Override PartName="/word/footer3904.xml" ContentType="application/vnd.openxmlformats-officedocument.wordprocessingml.footer+xml"/>
  <Override PartName="/word/footer3907.xml" ContentType="application/vnd.openxmlformats-officedocument.wordprocessingml.footer+xml"/>
  <Override PartName="/word/footer3910.xml" ContentType="application/vnd.openxmlformats-officedocument.wordprocessingml.footer+xml"/>
  <Override PartName="/word/footer3913.xml" ContentType="application/vnd.openxmlformats-officedocument.wordprocessingml.footer+xml"/>
  <Override PartName="/word/footer3916.xml" ContentType="application/vnd.openxmlformats-officedocument.wordprocessingml.footer+xml"/>
  <Override PartName="/word/footer3919.xml" ContentType="application/vnd.openxmlformats-officedocument.wordprocessingml.footer+xml"/>
  <Override PartName="/word/footer3922.xml" ContentType="application/vnd.openxmlformats-officedocument.wordprocessingml.footer+xml"/>
  <Override PartName="/word/footer3925.xml" ContentType="application/vnd.openxmlformats-officedocument.wordprocessingml.footer+xml"/>
  <Override PartName="/word/footer3928.xml" ContentType="application/vnd.openxmlformats-officedocument.wordprocessingml.footer+xml"/>
  <Override PartName="/word/footer3931.xml" ContentType="application/vnd.openxmlformats-officedocument.wordprocessingml.footer+xml"/>
  <Override PartName="/word/footer3934.xml" ContentType="application/vnd.openxmlformats-officedocument.wordprocessingml.footer+xml"/>
  <Override PartName="/word/footer3937.xml" ContentType="application/vnd.openxmlformats-officedocument.wordprocessingml.footer+xml"/>
  <Override PartName="/word/footer3940.xml" ContentType="application/vnd.openxmlformats-officedocument.wordprocessingml.footer+xml"/>
  <Override PartName="/word/footer3943.xml" ContentType="application/vnd.openxmlformats-officedocument.wordprocessingml.footer+xml"/>
  <Override PartName="/word/footer3946.xml" ContentType="application/vnd.openxmlformats-officedocument.wordprocessingml.footer+xml"/>
  <Override PartName="/word/footer3949.xml" ContentType="application/vnd.openxmlformats-officedocument.wordprocessingml.footer+xml"/>
  <Override PartName="/word/footer3952.xml" ContentType="application/vnd.openxmlformats-officedocument.wordprocessingml.footer+xml"/>
  <Override PartName="/word/footer3955.xml" ContentType="application/vnd.openxmlformats-officedocument.wordprocessingml.footer+xml"/>
  <Override PartName="/word/footer3958.xml" ContentType="application/vnd.openxmlformats-officedocument.wordprocessingml.footer+xml"/>
  <Override PartName="/word/footer3961.xml" ContentType="application/vnd.openxmlformats-officedocument.wordprocessingml.footer+xml"/>
  <Override PartName="/word/footer3964.xml" ContentType="application/vnd.openxmlformats-officedocument.wordprocessingml.footer+xml"/>
  <Override PartName="/word/footer3967.xml" ContentType="application/vnd.openxmlformats-officedocument.wordprocessingml.footer+xml"/>
  <Override PartName="/word/footer3970.xml" ContentType="application/vnd.openxmlformats-officedocument.wordprocessingml.footer+xml"/>
  <Override PartName="/word/footer3973.xml" ContentType="application/vnd.openxmlformats-officedocument.wordprocessingml.footer+xml"/>
  <Override PartName="/word/footer3976.xml" ContentType="application/vnd.openxmlformats-officedocument.wordprocessingml.footer+xml"/>
  <Override PartName="/word/footer3979.xml" ContentType="application/vnd.openxmlformats-officedocument.wordprocessingml.footer+xml"/>
  <Override PartName="/word/footer3982.xml" ContentType="application/vnd.openxmlformats-officedocument.wordprocessingml.footer+xml"/>
  <Override PartName="/word/footer3985.xml" ContentType="application/vnd.openxmlformats-officedocument.wordprocessingml.footer+xml"/>
  <Override PartName="/word/footer3988.xml" ContentType="application/vnd.openxmlformats-officedocument.wordprocessingml.footer+xml"/>
  <Override PartName="/word/footer3991.xml" ContentType="application/vnd.openxmlformats-officedocument.wordprocessingml.footer+xml"/>
  <Override PartName="/word/footer3994.xml" ContentType="application/vnd.openxmlformats-officedocument.wordprocessingml.footer+xml"/>
  <Override PartName="/word/footer3997.xml" ContentType="application/vnd.openxmlformats-officedocument.wordprocessingml.footer+xml"/>
  <Override PartName="/word/footer4000.xml" ContentType="application/vnd.openxmlformats-officedocument.wordprocessingml.footer+xml"/>
  <Override PartName="/word/footer4003.xml" ContentType="application/vnd.openxmlformats-officedocument.wordprocessingml.footer+xml"/>
  <Override PartName="/word/footer4006.xml" ContentType="application/vnd.openxmlformats-officedocument.wordprocessingml.footer+xml"/>
  <Override PartName="/word/footer4009.xml" ContentType="application/vnd.openxmlformats-officedocument.wordprocessingml.footer+xml"/>
  <Override PartName="/word/footer4012.xml" ContentType="application/vnd.openxmlformats-officedocument.wordprocessingml.footer+xml"/>
  <Override PartName="/word/footer4015.xml" ContentType="application/vnd.openxmlformats-officedocument.wordprocessingml.footer+xml"/>
  <Override PartName="/word/footer4018.xml" ContentType="application/vnd.openxmlformats-officedocument.wordprocessingml.footer+xml"/>
  <Override PartName="/word/footer4021.xml" ContentType="application/vnd.openxmlformats-officedocument.wordprocessingml.footer+xml"/>
  <Override PartName="/word/footer4024.xml" ContentType="application/vnd.openxmlformats-officedocument.wordprocessingml.footer+xml"/>
  <Override PartName="/word/footer4027.xml" ContentType="application/vnd.openxmlformats-officedocument.wordprocessingml.footer+xml"/>
  <Override PartName="/word/footer4030.xml" ContentType="application/vnd.openxmlformats-officedocument.wordprocessingml.footer+xml"/>
  <Override PartName="/word/footer4033.xml" ContentType="application/vnd.openxmlformats-officedocument.wordprocessingml.footer+xml"/>
  <Override PartName="/word/footer4036.xml" ContentType="application/vnd.openxmlformats-officedocument.wordprocessingml.footer+xml"/>
  <Override PartName="/word/footer4039.xml" ContentType="application/vnd.openxmlformats-officedocument.wordprocessingml.footer+xml"/>
  <Override PartName="/word/footer4042.xml" ContentType="application/vnd.openxmlformats-officedocument.wordprocessingml.footer+xml"/>
  <Override PartName="/word/footer4045.xml" ContentType="application/vnd.openxmlformats-officedocument.wordprocessingml.footer+xml"/>
  <Override PartName="/word/footer4048.xml" ContentType="application/vnd.openxmlformats-officedocument.wordprocessingml.footer+xml"/>
  <Override PartName="/word/footer4051.xml" ContentType="application/vnd.openxmlformats-officedocument.wordprocessingml.footer+xml"/>
  <Override PartName="/word/footer4054.xml" ContentType="application/vnd.openxmlformats-officedocument.wordprocessingml.footer+xml"/>
  <Override PartName="/word/footer4057.xml" ContentType="application/vnd.openxmlformats-officedocument.wordprocessingml.footer+xml"/>
  <Override PartName="/word/footer4060.xml" ContentType="application/vnd.openxmlformats-officedocument.wordprocessingml.footer+xml"/>
  <Override PartName="/word/footer4063.xml" ContentType="application/vnd.openxmlformats-officedocument.wordprocessingml.footer+xml"/>
  <Override PartName="/word/footer4066.xml" ContentType="application/vnd.openxmlformats-officedocument.wordprocessingml.footer+xml"/>
  <Override PartName="/word/footer4069.xml" ContentType="application/vnd.openxmlformats-officedocument.wordprocessingml.footer+xml"/>
  <Override PartName="/word/footer4072.xml" ContentType="application/vnd.openxmlformats-officedocument.wordprocessingml.footer+xml"/>
  <Override PartName="/word/footer4075.xml" ContentType="application/vnd.openxmlformats-officedocument.wordprocessingml.footer+xml"/>
  <Override PartName="/word/footer4078.xml" ContentType="application/vnd.openxmlformats-officedocument.wordprocessingml.footer+xml"/>
  <Override PartName="/word/footer4081.xml" ContentType="application/vnd.openxmlformats-officedocument.wordprocessingml.footer+xml"/>
  <Override PartName="/word/footer4084.xml" ContentType="application/vnd.openxmlformats-officedocument.wordprocessingml.footer+xml"/>
  <Override PartName="/word/footer4087.xml" ContentType="application/vnd.openxmlformats-officedocument.wordprocessingml.footer+xml"/>
  <Override PartName="/word/footer4090.xml" ContentType="application/vnd.openxmlformats-officedocument.wordprocessingml.footer+xml"/>
  <Override PartName="/word/footer4093.xml" ContentType="application/vnd.openxmlformats-officedocument.wordprocessingml.footer+xml"/>
  <Override PartName="/word/footer4096.xml" ContentType="application/vnd.openxmlformats-officedocument.wordprocessingml.footer+xml"/>
  <Override PartName="/word/footer4099.xml" ContentType="application/vnd.openxmlformats-officedocument.wordprocessingml.footer+xml"/>
  <Override PartName="/word/footer4102.xml" ContentType="application/vnd.openxmlformats-officedocument.wordprocessingml.footer+xml"/>
  <Override PartName="/word/footer4105.xml" ContentType="application/vnd.openxmlformats-officedocument.wordprocessingml.footer+xml"/>
  <Override PartName="/word/footer4108.xml" ContentType="application/vnd.openxmlformats-officedocument.wordprocessingml.footer+xml"/>
  <Override PartName="/word/footer4111.xml" ContentType="application/vnd.openxmlformats-officedocument.wordprocessingml.footer+xml"/>
  <Override PartName="/word/footer4114.xml" ContentType="application/vnd.openxmlformats-officedocument.wordprocessingml.footer+xml"/>
  <Override PartName="/word/footer4117.xml" ContentType="application/vnd.openxmlformats-officedocument.wordprocessingml.footer+xml"/>
  <Override PartName="/word/footer4120.xml" ContentType="application/vnd.openxmlformats-officedocument.wordprocessingml.footer+xml"/>
  <Override PartName="/word/footer4123.xml" ContentType="application/vnd.openxmlformats-officedocument.wordprocessingml.footer+xml"/>
  <Override PartName="/word/footer4126.xml" ContentType="application/vnd.openxmlformats-officedocument.wordprocessingml.footer+xml"/>
  <Override PartName="/word/footer4129.xml" ContentType="application/vnd.openxmlformats-officedocument.wordprocessingml.footer+xml"/>
  <Override PartName="/word/footer4132.xml" ContentType="application/vnd.openxmlformats-officedocument.wordprocessingml.footer+xml"/>
  <Override PartName="/word/footer4135.xml" ContentType="application/vnd.openxmlformats-officedocument.wordprocessingml.footer+xml"/>
  <Override PartName="/word/footer4138.xml" ContentType="application/vnd.openxmlformats-officedocument.wordprocessingml.footer+xml"/>
  <Override PartName="/word/footer4141.xml" ContentType="application/vnd.openxmlformats-officedocument.wordprocessingml.footer+xml"/>
  <Override PartName="/word/footer4144.xml" ContentType="application/vnd.openxmlformats-officedocument.wordprocessingml.footer+xml"/>
  <Override PartName="/word/footer4147.xml" ContentType="application/vnd.openxmlformats-officedocument.wordprocessingml.footer+xml"/>
  <Override PartName="/word/footer4150.xml" ContentType="application/vnd.openxmlformats-officedocument.wordprocessingml.footer+xml"/>
  <Override PartName="/word/footer4153.xml" ContentType="application/vnd.openxmlformats-officedocument.wordprocessingml.footer+xml"/>
  <Override PartName="/word/footer4156.xml" ContentType="application/vnd.openxmlformats-officedocument.wordprocessingml.footer+xml"/>
  <Override PartName="/word/footer4159.xml" ContentType="application/vnd.openxmlformats-officedocument.wordprocessingml.footer+xml"/>
  <Override PartName="/word/footer4162.xml" ContentType="application/vnd.openxmlformats-officedocument.wordprocessingml.footer+xml"/>
  <Override PartName="/word/footer4165.xml" ContentType="application/vnd.openxmlformats-officedocument.wordprocessingml.footer+xml"/>
  <Override PartName="/word/footer4168.xml" ContentType="application/vnd.openxmlformats-officedocument.wordprocessingml.footer+xml"/>
  <Override PartName="/word/footer4171.xml" ContentType="application/vnd.openxmlformats-officedocument.wordprocessingml.footer+xml"/>
  <Override PartName="/word/footer4174.xml" ContentType="application/vnd.openxmlformats-officedocument.wordprocessingml.footer+xml"/>
  <Override PartName="/word/footer4177.xml" ContentType="application/vnd.openxmlformats-officedocument.wordprocessingml.footer+xml"/>
  <Override PartName="/word/footer4180.xml" ContentType="application/vnd.openxmlformats-officedocument.wordprocessingml.footer+xml"/>
  <Override PartName="/word/footer4183.xml" ContentType="application/vnd.openxmlformats-officedocument.wordprocessingml.footer+xml"/>
  <Override PartName="/word/footer4186.xml" ContentType="application/vnd.openxmlformats-officedocument.wordprocessingml.footer+xml"/>
  <Override PartName="/word/footer4189.xml" ContentType="application/vnd.openxmlformats-officedocument.wordprocessingml.footer+xml"/>
  <Override PartName="/word/footer4192.xml" ContentType="application/vnd.openxmlformats-officedocument.wordprocessingml.footer+xml"/>
  <Override PartName="/word/footer4195.xml" ContentType="application/vnd.openxmlformats-officedocument.wordprocessingml.footer+xml"/>
  <Override PartName="/word/footer4198.xml" ContentType="application/vnd.openxmlformats-officedocument.wordprocessingml.footer+xml"/>
  <Override PartName="/word/footer4201.xml" ContentType="application/vnd.openxmlformats-officedocument.wordprocessingml.footer+xml"/>
  <Override PartName="/word/footer4204.xml" ContentType="application/vnd.openxmlformats-officedocument.wordprocessingml.footer+xml"/>
  <Override PartName="/word/footer4207.xml" ContentType="application/vnd.openxmlformats-officedocument.wordprocessingml.footer+xml"/>
  <Override PartName="/word/footer4210.xml" ContentType="application/vnd.openxmlformats-officedocument.wordprocessingml.footer+xml"/>
  <Override PartName="/word/footer4213.xml" ContentType="application/vnd.openxmlformats-officedocument.wordprocessingml.footer+xml"/>
  <Override PartName="/word/footer4216.xml" ContentType="application/vnd.openxmlformats-officedocument.wordprocessingml.footer+xml"/>
  <Override PartName="/word/footer4219.xml" ContentType="application/vnd.openxmlformats-officedocument.wordprocessingml.footer+xml"/>
  <Override PartName="/word/footer4222.xml" ContentType="application/vnd.openxmlformats-officedocument.wordprocessingml.footer+xml"/>
  <Override PartName="/word/footer4225.xml" ContentType="application/vnd.openxmlformats-officedocument.wordprocessingml.footer+xml"/>
  <Override PartName="/word/footer4228.xml" ContentType="application/vnd.openxmlformats-officedocument.wordprocessingml.footer+xml"/>
  <Override PartName="/word/footer4231.xml" ContentType="application/vnd.openxmlformats-officedocument.wordprocessingml.footer+xml"/>
  <Override PartName="/word/footer4234.xml" ContentType="application/vnd.openxmlformats-officedocument.wordprocessingml.footer+xml"/>
  <Override PartName="/word/footer4237.xml" ContentType="application/vnd.openxmlformats-officedocument.wordprocessingml.footer+xml"/>
  <Override PartName="/word/footer4240.xml" ContentType="application/vnd.openxmlformats-officedocument.wordprocessingml.footer+xml"/>
  <Override PartName="/word/footer4243.xml" ContentType="application/vnd.openxmlformats-officedocument.wordprocessingml.footer+xml"/>
  <Override PartName="/word/footer4246.xml" ContentType="application/vnd.openxmlformats-officedocument.wordprocessingml.footer+xml"/>
  <Override PartName="/word/footer4249.xml" ContentType="application/vnd.openxmlformats-officedocument.wordprocessingml.footer+xml"/>
  <Override PartName="/word/footer4252.xml" ContentType="application/vnd.openxmlformats-officedocument.wordprocessingml.footer+xml"/>
  <Override PartName="/word/footer4255.xml" ContentType="application/vnd.openxmlformats-officedocument.wordprocessingml.footer+xml"/>
  <Override PartName="/word/footer4258.xml" ContentType="application/vnd.openxmlformats-officedocument.wordprocessingml.footer+xml"/>
  <Override PartName="/word/footer4261.xml" ContentType="application/vnd.openxmlformats-officedocument.wordprocessingml.footer+xml"/>
  <Override PartName="/word/footer4264.xml" ContentType="application/vnd.openxmlformats-officedocument.wordprocessingml.footer+xml"/>
  <Override PartName="/word/footer4267.xml" ContentType="application/vnd.openxmlformats-officedocument.wordprocessingml.footer+xml"/>
  <Override PartName="/word/footer4270.xml" ContentType="application/vnd.openxmlformats-officedocument.wordprocessingml.footer+xml"/>
  <Override PartName="/word/footer4273.xml" ContentType="application/vnd.openxmlformats-officedocument.wordprocessingml.footer+xml"/>
  <Override PartName="/word/footer4276.xml" ContentType="application/vnd.openxmlformats-officedocument.wordprocessingml.footer+xml"/>
  <Override PartName="/word/footer4279.xml" ContentType="application/vnd.openxmlformats-officedocument.wordprocessingml.footer+xml"/>
  <Override PartName="/word/footer4282.xml" ContentType="application/vnd.openxmlformats-officedocument.wordprocessingml.footer+xml"/>
  <Override PartName="/word/footer4285.xml" ContentType="application/vnd.openxmlformats-officedocument.wordprocessingml.footer+xml"/>
  <Override PartName="/word/footer4288.xml" ContentType="application/vnd.openxmlformats-officedocument.wordprocessingml.footer+xml"/>
  <Override PartName="/word/footer4291.xml" ContentType="application/vnd.openxmlformats-officedocument.wordprocessingml.footer+xml"/>
  <Override PartName="/word/footer4294.xml" ContentType="application/vnd.openxmlformats-officedocument.wordprocessingml.footer+xml"/>
  <Override PartName="/word/footer4297.xml" ContentType="application/vnd.openxmlformats-officedocument.wordprocessingml.footer+xml"/>
  <Override PartName="/word/footer4300.xml" ContentType="application/vnd.openxmlformats-officedocument.wordprocessingml.footer+xml"/>
  <Override PartName="/word/footer4303.xml" ContentType="application/vnd.openxmlformats-officedocument.wordprocessingml.footer+xml"/>
  <Override PartName="/word/footer4306.xml" ContentType="application/vnd.openxmlformats-officedocument.wordprocessingml.footer+xml"/>
  <Override PartName="/word/footer4309.xml" ContentType="application/vnd.openxmlformats-officedocument.wordprocessingml.footer+xml"/>
  <Override PartName="/word/footer4312.xml" ContentType="application/vnd.openxmlformats-officedocument.wordprocessingml.footer+xml"/>
  <Override PartName="/word/footer4315.xml" ContentType="application/vnd.openxmlformats-officedocument.wordprocessingml.footer+xml"/>
  <Override PartName="/word/footer4318.xml" ContentType="application/vnd.openxmlformats-officedocument.wordprocessingml.footer+xml"/>
  <Override PartName="/word/footer4321.xml" ContentType="application/vnd.openxmlformats-officedocument.wordprocessingml.footer+xml"/>
  <Override PartName="/word/footer4324.xml" ContentType="application/vnd.openxmlformats-officedocument.wordprocessingml.footer+xml"/>
  <Override PartName="/word/footer4327.xml" ContentType="application/vnd.openxmlformats-officedocument.wordprocessingml.footer+xml"/>
  <Override PartName="/word/footer4330.xml" ContentType="application/vnd.openxmlformats-officedocument.wordprocessingml.footer+xml"/>
  <Override PartName="/word/footer4333.xml" ContentType="application/vnd.openxmlformats-officedocument.wordprocessingml.footer+xml"/>
  <Override PartName="/word/footer4336.xml" ContentType="application/vnd.openxmlformats-officedocument.wordprocessingml.footer+xml"/>
  <Override PartName="/word/footer4339.xml" ContentType="application/vnd.openxmlformats-officedocument.wordprocessingml.footer+xml"/>
  <Override PartName="/word/footer4342.xml" ContentType="application/vnd.openxmlformats-officedocument.wordprocessingml.footer+xml"/>
  <Override PartName="/word/footer4345.xml" ContentType="application/vnd.openxmlformats-officedocument.wordprocessingml.footer+xml"/>
  <Override PartName="/word/footer4348.xml" ContentType="application/vnd.openxmlformats-officedocument.wordprocessingml.footer+xml"/>
  <Override PartName="/word/footer4351.xml" ContentType="application/vnd.openxmlformats-officedocument.wordprocessingml.footer+xml"/>
  <Override PartName="/word/footer4354.xml" ContentType="application/vnd.openxmlformats-officedocument.wordprocessingml.footer+xml"/>
  <Override PartName="/word/footer4357.xml" ContentType="application/vnd.openxmlformats-officedocument.wordprocessingml.footer+xml"/>
  <Override PartName="/word/footer4360.xml" ContentType="application/vnd.openxmlformats-officedocument.wordprocessingml.footer+xml"/>
  <Override PartName="/word/footer4363.xml" ContentType="application/vnd.openxmlformats-officedocument.wordprocessingml.footer+xml"/>
  <Override PartName="/word/footer4366.xml" ContentType="application/vnd.openxmlformats-officedocument.wordprocessingml.footer+xml"/>
  <Override PartName="/word/footer4369.xml" ContentType="application/vnd.openxmlformats-officedocument.wordprocessingml.footer+xml"/>
  <Override PartName="/word/footer4372.xml" ContentType="application/vnd.openxmlformats-officedocument.wordprocessingml.footer+xml"/>
  <Override PartName="/word/footer4375.xml" ContentType="application/vnd.openxmlformats-officedocument.wordprocessingml.footer+xml"/>
  <Override PartName="/word/footer4378.xml" ContentType="application/vnd.openxmlformats-officedocument.wordprocessingml.footer+xml"/>
  <Override PartName="/word/footer4381.xml" ContentType="application/vnd.openxmlformats-officedocument.wordprocessingml.footer+xml"/>
  <Override PartName="/word/footer4384.xml" ContentType="application/vnd.openxmlformats-officedocument.wordprocessingml.footer+xml"/>
  <Override PartName="/word/footer4387.xml" ContentType="application/vnd.openxmlformats-officedocument.wordprocessingml.footer+xml"/>
  <Override PartName="/word/footer4390.xml" ContentType="application/vnd.openxmlformats-officedocument.wordprocessingml.footer+xml"/>
  <Override PartName="/word/footer4393.xml" ContentType="application/vnd.openxmlformats-officedocument.wordprocessingml.footer+xml"/>
  <Override PartName="/word/footer4396.xml" ContentType="application/vnd.openxmlformats-officedocument.wordprocessingml.footer+xml"/>
  <Override PartName="/word/footer4399.xml" ContentType="application/vnd.openxmlformats-officedocument.wordprocessingml.footer+xml"/>
  <Override PartName="/word/footer4402.xml" ContentType="application/vnd.openxmlformats-officedocument.wordprocessingml.footer+xml"/>
  <Override PartName="/word/footer4405.xml" ContentType="application/vnd.openxmlformats-officedocument.wordprocessingml.footer+xml"/>
  <Override PartName="/word/footer4408.xml" ContentType="application/vnd.openxmlformats-officedocument.wordprocessingml.footer+xml"/>
  <Override PartName="/word/footer4411.xml" ContentType="application/vnd.openxmlformats-officedocument.wordprocessingml.footer+xml"/>
  <Override PartName="/word/footer4414.xml" ContentType="application/vnd.openxmlformats-officedocument.wordprocessingml.footer+xml"/>
  <Override PartName="/word/footer4417.xml" ContentType="application/vnd.openxmlformats-officedocument.wordprocessingml.footer+xml"/>
  <Override PartName="/word/footer4420.xml" ContentType="application/vnd.openxmlformats-officedocument.wordprocessingml.footer+xml"/>
  <Override PartName="/word/footer4423.xml" ContentType="application/vnd.openxmlformats-officedocument.wordprocessingml.footer+xml"/>
  <Override PartName="/word/footer4426.xml" ContentType="application/vnd.openxmlformats-officedocument.wordprocessingml.footer+xml"/>
  <Override PartName="/word/footer4429.xml" ContentType="application/vnd.openxmlformats-officedocument.wordprocessingml.footer+xml"/>
  <Override PartName="/word/footer4432.xml" ContentType="application/vnd.openxmlformats-officedocument.wordprocessingml.footer+xml"/>
  <Override PartName="/word/footer4435.xml" ContentType="application/vnd.openxmlformats-officedocument.wordprocessingml.footer+xml"/>
  <Override PartName="/word/footer4438.xml" ContentType="application/vnd.openxmlformats-officedocument.wordprocessingml.footer+xml"/>
  <Override PartName="/word/footer4441.xml" ContentType="application/vnd.openxmlformats-officedocument.wordprocessingml.footer+xml"/>
  <Override PartName="/word/footer4444.xml" ContentType="application/vnd.openxmlformats-officedocument.wordprocessingml.footer+xml"/>
  <Override PartName="/word/footer4447.xml" ContentType="application/vnd.openxmlformats-officedocument.wordprocessingml.footer+xml"/>
  <Override PartName="/word/footer4450.xml" ContentType="application/vnd.openxmlformats-officedocument.wordprocessingml.footer+xml"/>
  <Override PartName="/word/footer4453.xml" ContentType="application/vnd.openxmlformats-officedocument.wordprocessingml.footer+xml"/>
  <Override PartName="/word/footer4456.xml" ContentType="application/vnd.openxmlformats-officedocument.wordprocessingml.footer+xml"/>
  <Override PartName="/word/footer4459.xml" ContentType="application/vnd.openxmlformats-officedocument.wordprocessingml.footer+xml"/>
  <Override PartName="/word/footer4462.xml" ContentType="application/vnd.openxmlformats-officedocument.wordprocessingml.footer+xml"/>
  <Override PartName="/word/footer4465.xml" ContentType="application/vnd.openxmlformats-officedocument.wordprocessingml.footer+xml"/>
  <Override PartName="/word/footer4468.xml" ContentType="application/vnd.openxmlformats-officedocument.wordprocessingml.footer+xml"/>
  <Override PartName="/word/footer4471.xml" ContentType="application/vnd.openxmlformats-officedocument.wordprocessingml.footer+xml"/>
  <Override PartName="/word/footer4474.xml" ContentType="application/vnd.openxmlformats-officedocument.wordprocessingml.footer+xml"/>
  <Override PartName="/word/footer4477.xml" ContentType="application/vnd.openxmlformats-officedocument.wordprocessingml.footer+xml"/>
  <Override PartName="/word/footer4480.xml" ContentType="application/vnd.openxmlformats-officedocument.wordprocessingml.footer+xml"/>
  <Override PartName="/word/footer4483.xml" ContentType="application/vnd.openxmlformats-officedocument.wordprocessingml.footer+xml"/>
  <Override PartName="/word/footer4486.xml" ContentType="application/vnd.openxmlformats-officedocument.wordprocessingml.footer+xml"/>
  <Override PartName="/word/footer4489.xml" ContentType="application/vnd.openxmlformats-officedocument.wordprocessingml.footer+xml"/>
  <Override PartName="/word/footer4492.xml" ContentType="application/vnd.openxmlformats-officedocument.wordprocessingml.footer+xml"/>
  <Override PartName="/word/footer4495.xml" ContentType="application/vnd.openxmlformats-officedocument.wordprocessingml.footer+xml"/>
  <Override PartName="/word/footer4498.xml" ContentType="application/vnd.openxmlformats-officedocument.wordprocessingml.footer+xml"/>
  <Override PartName="/word/footer4501.xml" ContentType="application/vnd.openxmlformats-officedocument.wordprocessingml.footer+xml"/>
  <Override PartName="/word/footer4504.xml" ContentType="application/vnd.openxmlformats-officedocument.wordprocessingml.footer+xml"/>
  <Override PartName="/word/footer4507.xml" ContentType="application/vnd.openxmlformats-officedocument.wordprocessingml.footer+xml"/>
  <Override PartName="/word/footer4510.xml" ContentType="application/vnd.openxmlformats-officedocument.wordprocessingml.footer+xml"/>
  <Override PartName="/word/footer4513.xml" ContentType="application/vnd.openxmlformats-officedocument.wordprocessingml.footer+xml"/>
  <Override PartName="/word/footer4516.xml" ContentType="application/vnd.openxmlformats-officedocument.wordprocessingml.footer+xml"/>
  <Override PartName="/word/footer4519.xml" ContentType="application/vnd.openxmlformats-officedocument.wordprocessingml.footer+xml"/>
  <Override PartName="/word/footer4522.xml" ContentType="application/vnd.openxmlformats-officedocument.wordprocessingml.footer+xml"/>
  <Override PartName="/word/footer4525.xml" ContentType="application/vnd.openxmlformats-officedocument.wordprocessingml.footer+xml"/>
  <Override PartName="/word/footer4528.xml" ContentType="application/vnd.openxmlformats-officedocument.wordprocessingml.footer+xml"/>
  <Override PartName="/word/footer4531.xml" ContentType="application/vnd.openxmlformats-officedocument.wordprocessingml.footer+xml"/>
  <Override PartName="/word/footer4534.xml" ContentType="application/vnd.openxmlformats-officedocument.wordprocessingml.footer+xml"/>
  <Override PartName="/word/footer4537.xml" ContentType="application/vnd.openxmlformats-officedocument.wordprocessingml.footer+xml"/>
  <Override PartName="/word/footer4540.xml" ContentType="application/vnd.openxmlformats-officedocument.wordprocessingml.footer+xml"/>
  <Override PartName="/word/footer4543.xml" ContentType="application/vnd.openxmlformats-officedocument.wordprocessingml.footer+xml"/>
  <Override PartName="/word/footer4546.xml" ContentType="application/vnd.openxmlformats-officedocument.wordprocessingml.footer+xml"/>
  <Override PartName="/word/footer4549.xml" ContentType="application/vnd.openxmlformats-officedocument.wordprocessingml.footer+xml"/>
  <Override PartName="/word/footer4552.xml" ContentType="application/vnd.openxmlformats-officedocument.wordprocessingml.footer+xml"/>
  <Override PartName="/word/footer4555.xml" ContentType="application/vnd.openxmlformats-officedocument.wordprocessingml.footer+xml"/>
  <Override PartName="/word/footer4558.xml" ContentType="application/vnd.openxmlformats-officedocument.wordprocessingml.footer+xml"/>
  <Override PartName="/word/footer4561.xml" ContentType="application/vnd.openxmlformats-officedocument.wordprocessingml.footer+xml"/>
  <Override PartName="/word/footer4564.xml" ContentType="application/vnd.openxmlformats-officedocument.wordprocessingml.footer+xml"/>
  <Override PartName="/word/footer4567.xml" ContentType="application/vnd.openxmlformats-officedocument.wordprocessingml.footer+xml"/>
  <Override PartName="/word/footer4570.xml" ContentType="application/vnd.openxmlformats-officedocument.wordprocessingml.footer+xml"/>
  <Override PartName="/word/footer4573.xml" ContentType="application/vnd.openxmlformats-officedocument.wordprocessingml.footer+xml"/>
  <Override PartName="/word/footer4576.xml" ContentType="application/vnd.openxmlformats-officedocument.wordprocessingml.footer+xml"/>
  <Override PartName="/word/footer4579.xml" ContentType="application/vnd.openxmlformats-officedocument.wordprocessingml.footer+xml"/>
  <Override PartName="/word/footer4582.xml" ContentType="application/vnd.openxmlformats-officedocument.wordprocessingml.footer+xml"/>
  <Override PartName="/word/footer4585.xml" ContentType="application/vnd.openxmlformats-officedocument.wordprocessingml.footer+xml"/>
  <Override PartName="/word/footer4588.xml" ContentType="application/vnd.openxmlformats-officedocument.wordprocessingml.footer+xml"/>
  <Override PartName="/word/footer4591.xml" ContentType="application/vnd.openxmlformats-officedocument.wordprocessingml.footer+xml"/>
  <Override PartName="/word/footer4594.xml" ContentType="application/vnd.openxmlformats-officedocument.wordprocessingml.footer+xml"/>
  <Override PartName="/word/footer4597.xml" ContentType="application/vnd.openxmlformats-officedocument.wordprocessingml.footer+xml"/>
  <Override PartName="/word/footer4600.xml" ContentType="application/vnd.openxmlformats-officedocument.wordprocessingml.footer+xml"/>
  <Override PartName="/word/footer4603.xml" ContentType="application/vnd.openxmlformats-officedocument.wordprocessingml.footer+xml"/>
  <Override PartName="/word/footer4606.xml" ContentType="application/vnd.openxmlformats-officedocument.wordprocessingml.footer+xml"/>
  <Override PartName="/word/footer4609.xml" ContentType="application/vnd.openxmlformats-officedocument.wordprocessingml.footer+xml"/>
  <Override PartName="/word/footer4612.xml" ContentType="application/vnd.openxmlformats-officedocument.wordprocessingml.footer+xml"/>
  <Override PartName="/word/footer4615.xml" ContentType="application/vnd.openxmlformats-officedocument.wordprocessingml.footer+xml"/>
  <Override PartName="/word/footer4618.xml" ContentType="application/vnd.openxmlformats-officedocument.wordprocessingml.footer+xml"/>
  <Override PartName="/word/footer4621.xml" ContentType="application/vnd.openxmlformats-officedocument.wordprocessingml.footer+xml"/>
  <Override PartName="/word/footer4624.xml" ContentType="application/vnd.openxmlformats-officedocument.wordprocessingml.footer+xml"/>
  <Override PartName="/word/footer4627.xml" ContentType="application/vnd.openxmlformats-officedocument.wordprocessingml.footer+xml"/>
  <Override PartName="/word/footer4630.xml" ContentType="application/vnd.openxmlformats-officedocument.wordprocessingml.footer+xml"/>
  <Override PartName="/word/footer4633.xml" ContentType="application/vnd.openxmlformats-officedocument.wordprocessingml.footer+xml"/>
  <Override PartName="/word/footer4636.xml" ContentType="application/vnd.openxmlformats-officedocument.wordprocessingml.footer+xml"/>
  <Override PartName="/word/footer4639.xml" ContentType="application/vnd.openxmlformats-officedocument.wordprocessingml.footer+xml"/>
  <Override PartName="/word/footer4642.xml" ContentType="application/vnd.openxmlformats-officedocument.wordprocessingml.footer+xml"/>
  <Override PartName="/word/footer4645.xml" ContentType="application/vnd.openxmlformats-officedocument.wordprocessingml.footer+xml"/>
  <Override PartName="/word/footer4648.xml" ContentType="application/vnd.openxmlformats-officedocument.wordprocessingml.footer+xml"/>
  <Override PartName="/word/footer4651.xml" ContentType="application/vnd.openxmlformats-officedocument.wordprocessingml.footer+xml"/>
  <Override PartName="/word/footer4654.xml" ContentType="application/vnd.openxmlformats-officedocument.wordprocessingml.footer+xml"/>
  <Override PartName="/word/footer4657.xml" ContentType="application/vnd.openxmlformats-officedocument.wordprocessingml.footer+xml"/>
  <Override PartName="/word/footer4660.xml" ContentType="application/vnd.openxmlformats-officedocument.wordprocessingml.footer+xml"/>
  <Override PartName="/word/footer4663.xml" ContentType="application/vnd.openxmlformats-officedocument.wordprocessingml.footer+xml"/>
  <Override PartName="/word/footer4666.xml" ContentType="application/vnd.openxmlformats-officedocument.wordprocessingml.footer+xml"/>
  <Override PartName="/word/footer4669.xml" ContentType="application/vnd.openxmlformats-officedocument.wordprocessingml.footer+xml"/>
  <Override PartName="/word/footer4672.xml" ContentType="application/vnd.openxmlformats-officedocument.wordprocessingml.footer+xml"/>
  <Override PartName="/word/footer4675.xml" ContentType="application/vnd.openxmlformats-officedocument.wordprocessingml.footer+xml"/>
  <Override PartName="/word/footer4678.xml" ContentType="application/vnd.openxmlformats-officedocument.wordprocessingml.footer+xml"/>
  <Override PartName="/word/footer4681.xml" ContentType="application/vnd.openxmlformats-officedocument.wordprocessingml.footer+xml"/>
  <Override PartName="/word/footer4684.xml" ContentType="application/vnd.openxmlformats-officedocument.wordprocessingml.footer+xml"/>
  <Override PartName="/word/footer4687.xml" ContentType="application/vnd.openxmlformats-officedocument.wordprocessingml.footer+xml"/>
  <Override PartName="/word/footer4690.xml" ContentType="application/vnd.openxmlformats-officedocument.wordprocessingml.footer+xml"/>
  <Override PartName="/word/footer4693.xml" ContentType="application/vnd.openxmlformats-officedocument.wordprocessingml.footer+xml"/>
  <Override PartName="/word/footer4696.xml" ContentType="application/vnd.openxmlformats-officedocument.wordprocessingml.footer+xml"/>
  <Override PartName="/word/footer4699.xml" ContentType="application/vnd.openxmlformats-officedocument.wordprocessingml.footer+xml"/>
  <Override PartName="/word/footer4702.xml" ContentType="application/vnd.openxmlformats-officedocument.wordprocessingml.footer+xml"/>
  <Override PartName="/word/footer4705.xml" ContentType="application/vnd.openxmlformats-officedocument.wordprocessingml.footer+xml"/>
  <Override PartName="/word/footer4708.xml" ContentType="application/vnd.openxmlformats-officedocument.wordprocessingml.footer+xml"/>
  <Override PartName="/word/footer4711.xml" ContentType="application/vnd.openxmlformats-officedocument.wordprocessingml.footer+xml"/>
  <Override PartName="/word/footer4714.xml" ContentType="application/vnd.openxmlformats-officedocument.wordprocessingml.footer+xml"/>
  <Override PartName="/word/footer4717.xml" ContentType="application/vnd.openxmlformats-officedocument.wordprocessingml.footer+xml"/>
  <Override PartName="/word/footer4720.xml" ContentType="application/vnd.openxmlformats-officedocument.wordprocessingml.footer+xml"/>
  <Override PartName="/word/footer4723.xml" ContentType="application/vnd.openxmlformats-officedocument.wordprocessingml.footer+xml"/>
  <Override PartName="/word/footer4726.xml" ContentType="application/vnd.openxmlformats-officedocument.wordprocessingml.footer+xml"/>
  <Override PartName="/word/footer4729.xml" ContentType="application/vnd.openxmlformats-officedocument.wordprocessingml.footer+xml"/>
  <Override PartName="/word/footer4732.xml" ContentType="application/vnd.openxmlformats-officedocument.wordprocessingml.footer+xml"/>
  <Override PartName="/word/footer4735.xml" ContentType="application/vnd.openxmlformats-officedocument.wordprocessingml.footer+xml"/>
  <Override PartName="/word/footer4738.xml" ContentType="application/vnd.openxmlformats-officedocument.wordprocessingml.footer+xml"/>
  <Override PartName="/word/footer4741.xml" ContentType="application/vnd.openxmlformats-officedocument.wordprocessingml.footer+xml"/>
  <Override PartName="/word/footer4744.xml" ContentType="application/vnd.openxmlformats-officedocument.wordprocessingml.footer+xml"/>
  <Override PartName="/word/footer4747.xml" ContentType="application/vnd.openxmlformats-officedocument.wordprocessingml.footer+xml"/>
  <Override PartName="/word/footer4750.xml" ContentType="application/vnd.openxmlformats-officedocument.wordprocessingml.footer+xml"/>
  <Override PartName="/word/footer4753.xml" ContentType="application/vnd.openxmlformats-officedocument.wordprocessingml.footer+xml"/>
  <Override PartName="/word/footer4756.xml" ContentType="application/vnd.openxmlformats-officedocument.wordprocessingml.footer+xml"/>
  <Override PartName="/word/footer4759.xml" ContentType="application/vnd.openxmlformats-officedocument.wordprocessingml.footer+xml"/>
  <Override PartName="/word/footer4762.xml" ContentType="application/vnd.openxmlformats-officedocument.wordprocessingml.footer+xml"/>
  <Override PartName="/word/footer4765.xml" ContentType="application/vnd.openxmlformats-officedocument.wordprocessingml.footer+xml"/>
  <Override PartName="/word/footer4768.xml" ContentType="application/vnd.openxmlformats-officedocument.wordprocessingml.footer+xml"/>
  <Override PartName="/word/footer4771.xml" ContentType="application/vnd.openxmlformats-officedocument.wordprocessingml.footer+xml"/>
  <Override PartName="/word/footer4774.xml" ContentType="application/vnd.openxmlformats-officedocument.wordprocessingml.footer+xml"/>
  <Override PartName="/word/footer4777.xml" ContentType="application/vnd.openxmlformats-officedocument.wordprocessingml.footer+xml"/>
  <Override PartName="/word/footer4780.xml" ContentType="application/vnd.openxmlformats-officedocument.wordprocessingml.footer+xml"/>
  <Override PartName="/word/footer4783.xml" ContentType="application/vnd.openxmlformats-officedocument.wordprocessingml.footer+xml"/>
  <Override PartName="/word/footer4786.xml" ContentType="application/vnd.openxmlformats-officedocument.wordprocessingml.footer+xml"/>
  <Override PartName="/word/footer4789.xml" ContentType="application/vnd.openxmlformats-officedocument.wordprocessingml.footer+xml"/>
  <Override PartName="/word/footer4792.xml" ContentType="application/vnd.openxmlformats-officedocument.wordprocessingml.footer+xml"/>
  <Override PartName="/word/footer4795.xml" ContentType="application/vnd.openxmlformats-officedocument.wordprocessingml.footer+xml"/>
  <Override PartName="/word/footer4798.xml" ContentType="application/vnd.openxmlformats-officedocument.wordprocessingml.footer+xml"/>
  <Override PartName="/word/footer4801.xml" ContentType="application/vnd.openxmlformats-officedocument.wordprocessingml.footer+xml"/>
  <Override PartName="/word/footer4804.xml" ContentType="application/vnd.openxmlformats-officedocument.wordprocessingml.footer+xml"/>
  <Override PartName="/word/footer4807.xml" ContentType="application/vnd.openxmlformats-officedocument.wordprocessingml.footer+xml"/>
  <Override PartName="/word/footer4810.xml" ContentType="application/vnd.openxmlformats-officedocument.wordprocessingml.footer+xml"/>
  <Override PartName="/word/footer4813.xml" ContentType="application/vnd.openxmlformats-officedocument.wordprocessingml.footer+xml"/>
  <Override PartName="/word/footer4816.xml" ContentType="application/vnd.openxmlformats-officedocument.wordprocessingml.footer+xml"/>
  <Override PartName="/word/footer4819.xml" ContentType="application/vnd.openxmlformats-officedocument.wordprocessingml.footer+xml"/>
  <Override PartName="/word/footer4822.xml" ContentType="application/vnd.openxmlformats-officedocument.wordprocessingml.footer+xml"/>
  <Override PartName="/word/footer4825.xml" ContentType="application/vnd.openxmlformats-officedocument.wordprocessingml.footer+xml"/>
  <Override PartName="/word/footer4828.xml" ContentType="application/vnd.openxmlformats-officedocument.wordprocessingml.footer+xml"/>
  <Override PartName="/word/footer4831.xml" ContentType="application/vnd.openxmlformats-officedocument.wordprocessingml.footer+xml"/>
  <Override PartName="/word/footer4834.xml" ContentType="application/vnd.openxmlformats-officedocument.wordprocessingml.footer+xml"/>
  <Override PartName="/word/footer4837.xml" ContentType="application/vnd.openxmlformats-officedocument.wordprocessingml.footer+xml"/>
  <Override PartName="/word/footer4840.xml" ContentType="application/vnd.openxmlformats-officedocument.wordprocessingml.footer+xml"/>
  <Override PartName="/word/footer4843.xml" ContentType="application/vnd.openxmlformats-officedocument.wordprocessingml.footer+xml"/>
  <Override PartName="/word/footer4846.xml" ContentType="application/vnd.openxmlformats-officedocument.wordprocessingml.footer+xml"/>
  <Override PartName="/word/footer4849.xml" ContentType="application/vnd.openxmlformats-officedocument.wordprocessingml.footer+xml"/>
  <Override PartName="/word/footer4852.xml" ContentType="application/vnd.openxmlformats-officedocument.wordprocessingml.footer+xml"/>
  <Override PartName="/word/footer4855.xml" ContentType="application/vnd.openxmlformats-officedocument.wordprocessingml.footer+xml"/>
  <Override PartName="/word/footer4858.xml" ContentType="application/vnd.openxmlformats-officedocument.wordprocessingml.footer+xml"/>
  <Override PartName="/word/footer4861.xml" ContentType="application/vnd.openxmlformats-officedocument.wordprocessingml.footer+xml"/>
  <Override PartName="/word/footer4864.xml" ContentType="application/vnd.openxmlformats-officedocument.wordprocessingml.footer+xml"/>
  <Override PartName="/word/footer4867.xml" ContentType="application/vnd.openxmlformats-officedocument.wordprocessingml.footer+xml"/>
  <Override PartName="/word/footer4870.xml" ContentType="application/vnd.openxmlformats-officedocument.wordprocessingml.footer+xml"/>
  <Override PartName="/word/footer4873.xml" ContentType="application/vnd.openxmlformats-officedocument.wordprocessingml.footer+xml"/>
  <Override PartName="/word/footer4876.xml" ContentType="application/vnd.openxmlformats-officedocument.wordprocessingml.footer+xml"/>
  <Override PartName="/word/footer4879.xml" ContentType="application/vnd.openxmlformats-officedocument.wordprocessingml.footer+xml"/>
  <Override PartName="/word/footer4882.xml" ContentType="application/vnd.openxmlformats-officedocument.wordprocessingml.footer+xml"/>
  <Override PartName="/word/footer4885.xml" ContentType="application/vnd.openxmlformats-officedocument.wordprocessingml.footer+xml"/>
  <Override PartName="/word/footer4888.xml" ContentType="application/vnd.openxmlformats-officedocument.wordprocessingml.footer+xml"/>
  <Override PartName="/word/footer4891.xml" ContentType="application/vnd.openxmlformats-officedocument.wordprocessingml.footer+xml"/>
  <Override PartName="/word/footer4894.xml" ContentType="application/vnd.openxmlformats-officedocument.wordprocessingml.footer+xml"/>
  <Override PartName="/word/footer4897.xml" ContentType="application/vnd.openxmlformats-officedocument.wordprocessingml.footer+xml"/>
  <Override PartName="/word/footer4900.xml" ContentType="application/vnd.openxmlformats-officedocument.wordprocessingml.footer+xml"/>
  <Override PartName="/word/footer4903.xml" ContentType="application/vnd.openxmlformats-officedocument.wordprocessingml.footer+xml"/>
  <Override PartName="/word/footer4906.xml" ContentType="application/vnd.openxmlformats-officedocument.wordprocessingml.footer+xml"/>
  <Override PartName="/word/footer4909.xml" ContentType="application/vnd.openxmlformats-officedocument.wordprocessingml.footer+xml"/>
  <Override PartName="/word/footer4912.xml" ContentType="application/vnd.openxmlformats-officedocument.wordprocessingml.footer+xml"/>
  <Override PartName="/word/footer4915.xml" ContentType="application/vnd.openxmlformats-officedocument.wordprocessingml.footer+xml"/>
  <Override PartName="/word/footer4918.xml" ContentType="application/vnd.openxmlformats-officedocument.wordprocessingml.footer+xml"/>
  <Override PartName="/word/footer4921.xml" ContentType="application/vnd.openxmlformats-officedocument.wordprocessingml.footer+xml"/>
  <Override PartName="/word/footer4924.xml" ContentType="application/vnd.openxmlformats-officedocument.wordprocessingml.footer+xml"/>
  <Override PartName="/word/footer4927.xml" ContentType="application/vnd.openxmlformats-officedocument.wordprocessingml.footer+xml"/>
  <Override PartName="/word/footer4930.xml" ContentType="application/vnd.openxmlformats-officedocument.wordprocessingml.footer+xml"/>
  <Override PartName="/word/footer4933.xml" ContentType="application/vnd.openxmlformats-officedocument.wordprocessingml.footer+xml"/>
  <Override PartName="/word/footer4936.xml" ContentType="application/vnd.openxmlformats-officedocument.wordprocessingml.footer+xml"/>
  <Override PartName="/word/footer4939.xml" ContentType="application/vnd.openxmlformats-officedocument.wordprocessingml.footer+xml"/>
  <Override PartName="/word/footer4942.xml" ContentType="application/vnd.openxmlformats-officedocument.wordprocessingml.footer+xml"/>
  <Override PartName="/word/footer4945.xml" ContentType="application/vnd.openxmlformats-officedocument.wordprocessingml.footer+xml"/>
  <Override PartName="/word/footer4948.xml" ContentType="application/vnd.openxmlformats-officedocument.wordprocessingml.footer+xml"/>
  <Override PartName="/word/footer4951.xml" ContentType="application/vnd.openxmlformats-officedocument.wordprocessingml.footer+xml"/>
  <Override PartName="/word/footer4954.xml" ContentType="application/vnd.openxmlformats-officedocument.wordprocessingml.footer+xml"/>
  <Override PartName="/word/footer4957.xml" ContentType="application/vnd.openxmlformats-officedocument.wordprocessingml.footer+xml"/>
  <Override PartName="/word/footer4960.xml" ContentType="application/vnd.openxmlformats-officedocument.wordprocessingml.footer+xml"/>
  <Override PartName="/word/footer4963.xml" ContentType="application/vnd.openxmlformats-officedocument.wordprocessingml.footer+xml"/>
  <Override PartName="/word/footer4966.xml" ContentType="application/vnd.openxmlformats-officedocument.wordprocessingml.footer+xml"/>
  <Override PartName="/word/footer4969.xml" ContentType="application/vnd.openxmlformats-officedocument.wordprocessingml.footer+xml"/>
  <Override PartName="/word/footer4972.xml" ContentType="application/vnd.openxmlformats-officedocument.wordprocessingml.footer+xml"/>
  <Override PartName="/word/footer4975.xml" ContentType="application/vnd.openxmlformats-officedocument.wordprocessingml.footer+xml"/>
  <Override PartName="/word/footer4978.xml" ContentType="application/vnd.openxmlformats-officedocument.wordprocessingml.footer+xml"/>
  <Override PartName="/word/footer4981.xml" ContentType="application/vnd.openxmlformats-officedocument.wordprocessingml.footer+xml"/>
  <Override PartName="/word/footer4984.xml" ContentType="application/vnd.openxmlformats-officedocument.wordprocessingml.footer+xml"/>
  <Override PartName="/word/footer4987.xml" ContentType="application/vnd.openxmlformats-officedocument.wordprocessingml.footer+xml"/>
  <Override PartName="/word/footer4990.xml" ContentType="application/vnd.openxmlformats-officedocument.wordprocessingml.footer+xml"/>
  <Override PartName="/word/footer4993.xml" ContentType="application/vnd.openxmlformats-officedocument.wordprocessingml.footer+xml"/>
  <Override PartName="/word/footer4996.xml" ContentType="application/vnd.openxmlformats-officedocument.wordprocessingml.footer+xml"/>
  <Override PartName="/word/footer4999.xml" ContentType="application/vnd.openxmlformats-officedocument.wordprocessingml.footer+xml"/>
  <Override PartName="/word/footer5002.xml" ContentType="application/vnd.openxmlformats-officedocument.wordprocessingml.footer+xml"/>
  <Override PartName="/word/footer5005.xml" ContentType="application/vnd.openxmlformats-officedocument.wordprocessingml.footer+xml"/>
  <Override PartName="/word/footer5008.xml" ContentType="application/vnd.openxmlformats-officedocument.wordprocessingml.footer+xml"/>
  <Override PartName="/word/footer5011.xml" ContentType="application/vnd.openxmlformats-officedocument.wordprocessingml.footer+xml"/>
  <Override PartName="/word/footer5014.xml" ContentType="application/vnd.openxmlformats-officedocument.wordprocessingml.footer+xml"/>
  <Override PartName="/word/footer5017.xml" ContentType="application/vnd.openxmlformats-officedocument.wordprocessingml.footer+xml"/>
  <Override PartName="/word/footer5020.xml" ContentType="application/vnd.openxmlformats-officedocument.wordprocessingml.footer+xml"/>
  <Override PartName="/word/footer5023.xml" ContentType="application/vnd.openxmlformats-officedocument.wordprocessingml.footer+xml"/>
  <Override PartName="/word/footer5026.xml" ContentType="application/vnd.openxmlformats-officedocument.wordprocessingml.footer+xml"/>
  <Override PartName="/word/footer5029.xml" ContentType="application/vnd.openxmlformats-officedocument.wordprocessingml.footer+xml"/>
  <Override PartName="/word/footer5032.xml" ContentType="application/vnd.openxmlformats-officedocument.wordprocessingml.footer+xml"/>
  <Override PartName="/word/footer5035.xml" ContentType="application/vnd.openxmlformats-officedocument.wordprocessingml.footer+xml"/>
  <Override PartName="/word/footer5038.xml" ContentType="application/vnd.openxmlformats-officedocument.wordprocessingml.footer+xml"/>
  <Override PartName="/word/footer5041.xml" ContentType="application/vnd.openxmlformats-officedocument.wordprocessingml.footer+xml"/>
  <Override PartName="/word/footer5044.xml" ContentType="application/vnd.openxmlformats-officedocument.wordprocessingml.footer+xml"/>
  <Override PartName="/word/footer5047.xml" ContentType="application/vnd.openxmlformats-officedocument.wordprocessingml.footer+xml"/>
  <Override PartName="/word/footer5050.xml" ContentType="application/vnd.openxmlformats-officedocument.wordprocessingml.footer+xml"/>
  <Override PartName="/word/footer5053.xml" ContentType="application/vnd.openxmlformats-officedocument.wordprocessingml.footer+xml"/>
  <Override PartName="/word/footer5056.xml" ContentType="application/vnd.openxmlformats-officedocument.wordprocessingml.footer+xml"/>
  <Override PartName="/word/footer5059.xml" ContentType="application/vnd.openxmlformats-officedocument.wordprocessingml.footer+xml"/>
  <Override PartName="/word/footer5062.xml" ContentType="application/vnd.openxmlformats-officedocument.wordprocessingml.footer+xml"/>
  <Override PartName="/word/footer5065.xml" ContentType="application/vnd.openxmlformats-officedocument.wordprocessingml.footer+xml"/>
  <Override PartName="/word/footer5068.xml" ContentType="application/vnd.openxmlformats-officedocument.wordprocessingml.footer+xml"/>
  <Override PartName="/word/footer5071.xml" ContentType="application/vnd.openxmlformats-officedocument.wordprocessingml.footer+xml"/>
  <Override PartName="/word/footer5074.xml" ContentType="application/vnd.openxmlformats-officedocument.wordprocessingml.footer+xml"/>
  <Override PartName="/word/footer5077.xml" ContentType="application/vnd.openxmlformats-officedocument.wordprocessingml.footer+xml"/>
  <Override PartName="/word/footer5080.xml" ContentType="application/vnd.openxmlformats-officedocument.wordprocessingml.footer+xml"/>
  <Override PartName="/word/footer5083.xml" ContentType="application/vnd.openxmlformats-officedocument.wordprocessingml.footer+xml"/>
  <Override PartName="/word/footer5086.xml" ContentType="application/vnd.openxmlformats-officedocument.wordprocessingml.footer+xml"/>
  <Override PartName="/word/footer5089.xml" ContentType="application/vnd.openxmlformats-officedocument.wordprocessingml.footer+xml"/>
  <Override PartName="/word/footer5092.xml" ContentType="application/vnd.openxmlformats-officedocument.wordprocessingml.footer+xml"/>
  <Override PartName="/word/footer5095.xml" ContentType="application/vnd.openxmlformats-officedocument.wordprocessingml.footer+xml"/>
  <Override PartName="/word/footer5098.xml" ContentType="application/vnd.openxmlformats-officedocument.wordprocessingml.footer+xml"/>
  <Override PartName="/word/footer5101.xml" ContentType="application/vnd.openxmlformats-officedocument.wordprocessingml.footer+xml"/>
  <Override PartName="/word/footer5104.xml" ContentType="application/vnd.openxmlformats-officedocument.wordprocessingml.footer+xml"/>
  <Override PartName="/word/footer5107.xml" ContentType="application/vnd.openxmlformats-officedocument.wordprocessingml.footer+xml"/>
  <Override PartName="/word/footer5110.xml" ContentType="application/vnd.openxmlformats-officedocument.wordprocessingml.footer+xml"/>
  <Override PartName="/word/footer5113.xml" ContentType="application/vnd.openxmlformats-officedocument.wordprocessingml.footer+xml"/>
  <Override PartName="/word/footer5116.xml" ContentType="application/vnd.openxmlformats-officedocument.wordprocessingml.footer+xml"/>
  <Override PartName="/word/footer5119.xml" ContentType="application/vnd.openxmlformats-officedocument.wordprocessingml.footer+xml"/>
  <Override PartName="/word/footer5122.xml" ContentType="application/vnd.openxmlformats-officedocument.wordprocessingml.footer+xml"/>
  <Override PartName="/word/footer5125.xml" ContentType="application/vnd.openxmlformats-officedocument.wordprocessingml.footer+xml"/>
  <Override PartName="/word/footer5128.xml" ContentType="application/vnd.openxmlformats-officedocument.wordprocessingml.footer+xml"/>
  <Override PartName="/word/footer5131.xml" ContentType="application/vnd.openxmlformats-officedocument.wordprocessingml.footer+xml"/>
  <Override PartName="/word/footer5134.xml" ContentType="application/vnd.openxmlformats-officedocument.wordprocessingml.footer+xml"/>
  <Override PartName="/word/footer5137.xml" ContentType="application/vnd.openxmlformats-officedocument.wordprocessingml.footer+xml"/>
  <Override PartName="/word/footer5140.xml" ContentType="application/vnd.openxmlformats-officedocument.wordprocessingml.footer+xml"/>
  <Override PartName="/word/footer5143.xml" ContentType="application/vnd.openxmlformats-officedocument.wordprocessingml.footer+xml"/>
  <Override PartName="/word/footer5146.xml" ContentType="application/vnd.openxmlformats-officedocument.wordprocessingml.footer+xml"/>
  <Override PartName="/word/footer5149.xml" ContentType="application/vnd.openxmlformats-officedocument.wordprocessingml.footer+xml"/>
  <Override PartName="/word/footer5152.xml" ContentType="application/vnd.openxmlformats-officedocument.wordprocessingml.footer+xml"/>
  <Override PartName="/word/footer5155.xml" ContentType="application/vnd.openxmlformats-officedocument.wordprocessingml.footer+xml"/>
  <Override PartName="/word/footer5158.xml" ContentType="application/vnd.openxmlformats-officedocument.wordprocessingml.footer+xml"/>
  <Override PartName="/word/footer5161.xml" ContentType="application/vnd.openxmlformats-officedocument.wordprocessingml.footer+xml"/>
  <Override PartName="/word/footer5164.xml" ContentType="application/vnd.openxmlformats-officedocument.wordprocessingml.footer+xml"/>
  <Override PartName="/word/footer5167.xml" ContentType="application/vnd.openxmlformats-officedocument.wordprocessingml.footer+xml"/>
  <Override PartName="/word/footer5170.xml" ContentType="application/vnd.openxmlformats-officedocument.wordprocessingml.footer+xml"/>
  <Override PartName="/word/footer5173.xml" ContentType="application/vnd.openxmlformats-officedocument.wordprocessingml.footer+xml"/>
  <Override PartName="/word/footer5176.xml" ContentType="application/vnd.openxmlformats-officedocument.wordprocessingml.footer+xml"/>
  <Override PartName="/word/footer5179.xml" ContentType="application/vnd.openxmlformats-officedocument.wordprocessingml.footer+xml"/>
  <Override PartName="/word/footer5182.xml" ContentType="application/vnd.openxmlformats-officedocument.wordprocessingml.footer+xml"/>
  <Override PartName="/word/footer5185.xml" ContentType="application/vnd.openxmlformats-officedocument.wordprocessingml.footer+xml"/>
  <Override PartName="/word/footer5188.xml" ContentType="application/vnd.openxmlformats-officedocument.wordprocessingml.footer+xml"/>
  <Override PartName="/word/footer5191.xml" ContentType="application/vnd.openxmlformats-officedocument.wordprocessingml.footer+xml"/>
  <Override PartName="/word/footer5194.xml" ContentType="application/vnd.openxmlformats-officedocument.wordprocessingml.footer+xml"/>
  <Override PartName="/word/footer5197.xml" ContentType="application/vnd.openxmlformats-officedocument.wordprocessingml.footer+xml"/>
  <Override PartName="/word/footer5200.xml" ContentType="application/vnd.openxmlformats-officedocument.wordprocessingml.footer+xml"/>
  <Override PartName="/word/footer5203.xml" ContentType="application/vnd.openxmlformats-officedocument.wordprocessingml.footer+xml"/>
  <Override PartName="/word/footer5206.xml" ContentType="application/vnd.openxmlformats-officedocument.wordprocessingml.footer+xml"/>
  <Override PartName="/word/footer5209.xml" ContentType="application/vnd.openxmlformats-officedocument.wordprocessingml.footer+xml"/>
  <Override PartName="/word/footer5212.xml" ContentType="application/vnd.openxmlformats-officedocument.wordprocessingml.footer+xml"/>
  <Override PartName="/word/footer5215.xml" ContentType="application/vnd.openxmlformats-officedocument.wordprocessingml.footer+xml"/>
  <Override PartName="/word/footer5218.xml" ContentType="application/vnd.openxmlformats-officedocument.wordprocessingml.footer+xml"/>
  <Override PartName="/word/footer5221.xml" ContentType="application/vnd.openxmlformats-officedocument.wordprocessingml.footer+xml"/>
  <Override PartName="/word/footer5224.xml" ContentType="application/vnd.openxmlformats-officedocument.wordprocessingml.footer+xml"/>
  <Override PartName="/word/footer5227.xml" ContentType="application/vnd.openxmlformats-officedocument.wordprocessingml.footer+xml"/>
  <Override PartName="/word/footer5230.xml" ContentType="application/vnd.openxmlformats-officedocument.wordprocessingml.footer+xml"/>
  <Override PartName="/word/footer5233.xml" ContentType="application/vnd.openxmlformats-officedocument.wordprocessingml.footer+xml"/>
  <Override PartName="/word/footer5236.xml" ContentType="application/vnd.openxmlformats-officedocument.wordprocessingml.footer+xml"/>
  <Override PartName="/word/footer5239.xml" ContentType="application/vnd.openxmlformats-officedocument.wordprocessingml.footer+xml"/>
  <Override PartName="/word/footer5242.xml" ContentType="application/vnd.openxmlformats-officedocument.wordprocessingml.footer+xml"/>
  <Override PartName="/word/footer5245.xml" ContentType="application/vnd.openxmlformats-officedocument.wordprocessingml.footer+xml"/>
  <Override PartName="/word/footer5248.xml" ContentType="application/vnd.openxmlformats-officedocument.wordprocessingml.footer+xml"/>
  <Override PartName="/word/footer5251.xml" ContentType="application/vnd.openxmlformats-officedocument.wordprocessingml.footer+xml"/>
  <Override PartName="/word/footer5254.xml" ContentType="application/vnd.openxmlformats-officedocument.wordprocessingml.footer+xml"/>
  <Override PartName="/word/footer5257.xml" ContentType="application/vnd.openxmlformats-officedocument.wordprocessingml.footer+xml"/>
  <Override PartName="/word/footer5260.xml" ContentType="application/vnd.openxmlformats-officedocument.wordprocessingml.footer+xml"/>
  <Override PartName="/word/footer5263.xml" ContentType="application/vnd.openxmlformats-officedocument.wordprocessingml.footer+xml"/>
  <Override PartName="/word/footer5266.xml" ContentType="application/vnd.openxmlformats-officedocument.wordprocessingml.footer+xml"/>
  <Override PartName="/word/footer5269.xml" ContentType="application/vnd.openxmlformats-officedocument.wordprocessingml.footer+xml"/>
  <Override PartName="/word/footer5272.xml" ContentType="application/vnd.openxmlformats-officedocument.wordprocessingml.footer+xml"/>
  <Override PartName="/word/footer5275.xml" ContentType="application/vnd.openxmlformats-officedocument.wordprocessingml.footer+xml"/>
  <Override PartName="/word/footer5278.xml" ContentType="application/vnd.openxmlformats-officedocument.wordprocessingml.footer+xml"/>
  <Override PartName="/word/footer5281.xml" ContentType="application/vnd.openxmlformats-officedocument.wordprocessingml.footer+xml"/>
  <Override PartName="/word/footer5284.xml" ContentType="application/vnd.openxmlformats-officedocument.wordprocessingml.footer+xml"/>
  <Override PartName="/word/footer5287.xml" ContentType="application/vnd.openxmlformats-officedocument.wordprocessingml.footer+xml"/>
  <Override PartName="/word/footer5290.xml" ContentType="application/vnd.openxmlformats-officedocument.wordprocessingml.footer+xml"/>
  <Override PartName="/word/footer5293.xml" ContentType="application/vnd.openxmlformats-officedocument.wordprocessingml.footer+xml"/>
  <Override PartName="/word/footer5296.xml" ContentType="application/vnd.openxmlformats-officedocument.wordprocessingml.footer+xml"/>
  <Override PartName="/word/footer5299.xml" ContentType="application/vnd.openxmlformats-officedocument.wordprocessingml.footer+xml"/>
  <Override PartName="/word/footer5302.xml" ContentType="application/vnd.openxmlformats-officedocument.wordprocessingml.footer+xml"/>
  <Override PartName="/word/footer5305.xml" ContentType="application/vnd.openxmlformats-officedocument.wordprocessingml.footer+xml"/>
  <Override PartName="/word/footer5308.xml" ContentType="application/vnd.openxmlformats-officedocument.wordprocessingml.footer+xml"/>
  <Override PartName="/word/footer5311.xml" ContentType="application/vnd.openxmlformats-officedocument.wordprocessingml.footer+xml"/>
  <Override PartName="/word/footer5314.xml" ContentType="application/vnd.openxmlformats-officedocument.wordprocessingml.footer+xml"/>
  <Override PartName="/word/footer5317.xml" ContentType="application/vnd.openxmlformats-officedocument.wordprocessingml.footer+xml"/>
  <Override PartName="/word/footer5320.xml" ContentType="application/vnd.openxmlformats-officedocument.wordprocessingml.footer+xml"/>
  <Override PartName="/word/footer5323.xml" ContentType="application/vnd.openxmlformats-officedocument.wordprocessingml.footer+xml"/>
  <Override PartName="/word/footer5326.xml" ContentType="application/vnd.openxmlformats-officedocument.wordprocessingml.footer+xml"/>
  <Override PartName="/word/footer5329.xml" ContentType="application/vnd.openxmlformats-officedocument.wordprocessingml.footer+xml"/>
  <Override PartName="/word/footer5332.xml" ContentType="application/vnd.openxmlformats-officedocument.wordprocessingml.footer+xml"/>
  <Override PartName="/word/footer5335.xml" ContentType="application/vnd.openxmlformats-officedocument.wordprocessingml.footer+xml"/>
  <Override PartName="/word/footer5338.xml" ContentType="application/vnd.openxmlformats-officedocument.wordprocessingml.footer+xml"/>
  <Override PartName="/word/footer5341.xml" ContentType="application/vnd.openxmlformats-officedocument.wordprocessingml.footer+xml"/>
  <Override PartName="/word/footer5344.xml" ContentType="application/vnd.openxmlformats-officedocument.wordprocessingml.footer+xml"/>
  <Override PartName="/word/footer5347.xml" ContentType="application/vnd.openxmlformats-officedocument.wordprocessingml.footer+xml"/>
  <Override PartName="/word/footer5350.xml" ContentType="application/vnd.openxmlformats-officedocument.wordprocessingml.footer+xml"/>
  <Override PartName="/word/footer5353.xml" ContentType="application/vnd.openxmlformats-officedocument.wordprocessingml.footer+xml"/>
  <Override PartName="/word/footer5356.xml" ContentType="application/vnd.openxmlformats-officedocument.wordprocessingml.footer+xml"/>
  <Override PartName="/word/footer5359.xml" ContentType="application/vnd.openxmlformats-officedocument.wordprocessingml.footer+xml"/>
  <Override PartName="/word/footer5362.xml" ContentType="application/vnd.openxmlformats-officedocument.wordprocessingml.footer+xml"/>
  <Override PartName="/word/footer5365.xml" ContentType="application/vnd.openxmlformats-officedocument.wordprocessingml.footer+xml"/>
  <Override PartName="/word/footer5368.xml" ContentType="application/vnd.openxmlformats-officedocument.wordprocessingml.footer+xml"/>
  <Override PartName="/word/footer5371.xml" ContentType="application/vnd.openxmlformats-officedocument.wordprocessingml.footer+xml"/>
  <Override PartName="/word/footer5374.xml" ContentType="application/vnd.openxmlformats-officedocument.wordprocessingml.footer+xml"/>
  <Override PartName="/word/footer5377.xml" ContentType="application/vnd.openxmlformats-officedocument.wordprocessingml.footer+xml"/>
  <Override PartName="/word/footer5380.xml" ContentType="application/vnd.openxmlformats-officedocument.wordprocessingml.footer+xml"/>
  <Override PartName="/word/footer5383.xml" ContentType="application/vnd.openxmlformats-officedocument.wordprocessingml.footer+xml"/>
  <Override PartName="/word/footer5386.xml" ContentType="application/vnd.openxmlformats-officedocument.wordprocessingml.footer+xml"/>
  <Override PartName="/word/footer5389.xml" ContentType="application/vnd.openxmlformats-officedocument.wordprocessingml.footer+xml"/>
  <Override PartName="/word/footer5392.xml" ContentType="application/vnd.openxmlformats-officedocument.wordprocessingml.footer+xml"/>
  <Override PartName="/word/footer5395.xml" ContentType="application/vnd.openxmlformats-officedocument.wordprocessingml.footer+xml"/>
  <Override PartName="/word/footer5398.xml" ContentType="application/vnd.openxmlformats-officedocument.wordprocessingml.footer+xml"/>
  <Override PartName="/word/footer5401.xml" ContentType="application/vnd.openxmlformats-officedocument.wordprocessingml.footer+xml"/>
  <Override PartName="/word/footer5404.xml" ContentType="application/vnd.openxmlformats-officedocument.wordprocessingml.footer+xml"/>
  <Override PartName="/word/footer5407.xml" ContentType="application/vnd.openxmlformats-officedocument.wordprocessingml.footer+xml"/>
  <Override PartName="/word/footer5410.xml" ContentType="application/vnd.openxmlformats-officedocument.wordprocessingml.footer+xml"/>
  <Override PartName="/word/footer5413.xml" ContentType="application/vnd.openxmlformats-officedocument.wordprocessingml.footer+xml"/>
  <Override PartName="/word/footer5416.xml" ContentType="application/vnd.openxmlformats-officedocument.wordprocessingml.footer+xml"/>
  <Override PartName="/word/footer5419.xml" ContentType="application/vnd.openxmlformats-officedocument.wordprocessingml.footer+xml"/>
  <Override PartName="/word/footer5422.xml" ContentType="application/vnd.openxmlformats-officedocument.wordprocessingml.footer+xml"/>
  <Override PartName="/word/footer5425.xml" ContentType="application/vnd.openxmlformats-officedocument.wordprocessingml.footer+xml"/>
  <Override PartName="/word/footer5428.xml" ContentType="application/vnd.openxmlformats-officedocument.wordprocessingml.footer+xml"/>
  <Override PartName="/word/footer5431.xml" ContentType="application/vnd.openxmlformats-officedocument.wordprocessingml.footer+xml"/>
  <Override PartName="/word/footer5434.xml" ContentType="application/vnd.openxmlformats-officedocument.wordprocessingml.footer+xml"/>
  <Override PartName="/word/footer5437.xml" ContentType="application/vnd.openxmlformats-officedocument.wordprocessingml.footer+xml"/>
  <Override PartName="/word/footer5440.xml" ContentType="application/vnd.openxmlformats-officedocument.wordprocessingml.footer+xml"/>
  <Override PartName="/word/footer5443.xml" ContentType="application/vnd.openxmlformats-officedocument.wordprocessingml.footer+xml"/>
  <Override PartName="/word/footer5446.xml" ContentType="application/vnd.openxmlformats-officedocument.wordprocessingml.footer+xml"/>
  <Override PartName="/word/footer5449.xml" ContentType="application/vnd.openxmlformats-officedocument.wordprocessingml.footer+xml"/>
  <Override PartName="/word/footer5452.xml" ContentType="application/vnd.openxmlformats-officedocument.wordprocessingml.footer+xml"/>
  <Override PartName="/word/footer5455.xml" ContentType="application/vnd.openxmlformats-officedocument.wordprocessingml.footer+xml"/>
  <Override PartName="/word/footer5458.xml" ContentType="application/vnd.openxmlformats-officedocument.wordprocessingml.footer+xml"/>
  <Override PartName="/word/footer5461.xml" ContentType="application/vnd.openxmlformats-officedocument.wordprocessingml.footer+xml"/>
  <Override PartName="/word/footer5464.xml" ContentType="application/vnd.openxmlformats-officedocument.wordprocessingml.footer+xml"/>
  <Override PartName="/word/footer5467.xml" ContentType="application/vnd.openxmlformats-officedocument.wordprocessingml.footer+xml"/>
  <Override PartName="/word/footer5470.xml" ContentType="application/vnd.openxmlformats-officedocument.wordprocessingml.footer+xml"/>
  <Override PartName="/word/footer5473.xml" ContentType="application/vnd.openxmlformats-officedocument.wordprocessingml.footer+xml"/>
  <Override PartName="/word/footer5476.xml" ContentType="application/vnd.openxmlformats-officedocument.wordprocessingml.footer+xml"/>
  <Override PartName="/word/footer5479.xml" ContentType="application/vnd.openxmlformats-officedocument.wordprocessingml.footer+xml"/>
  <Override PartName="/word/footer5482.xml" ContentType="application/vnd.openxmlformats-officedocument.wordprocessingml.footer+xml"/>
  <Override PartName="/word/footer5485.xml" ContentType="application/vnd.openxmlformats-officedocument.wordprocessingml.footer+xml"/>
  <Override PartName="/word/footer5488.xml" ContentType="application/vnd.openxmlformats-officedocument.wordprocessingml.footer+xml"/>
  <Override PartName="/word/footer5491.xml" ContentType="application/vnd.openxmlformats-officedocument.wordprocessingml.footer+xml"/>
  <Override PartName="/word/footer5494.xml" ContentType="application/vnd.openxmlformats-officedocument.wordprocessingml.footer+xml"/>
  <Override PartName="/word/footer5497.xml" ContentType="application/vnd.openxmlformats-officedocument.wordprocessingml.footer+xml"/>
  <Override PartName="/word/footer5500.xml" ContentType="application/vnd.openxmlformats-officedocument.wordprocessingml.footer+xml"/>
  <Override PartName="/word/footer5503.xml" ContentType="application/vnd.openxmlformats-officedocument.wordprocessingml.footer+xml"/>
  <Override PartName="/word/footer5506.xml" ContentType="application/vnd.openxmlformats-officedocument.wordprocessingml.footer+xml"/>
  <Override PartName="/word/footer5509.xml" ContentType="application/vnd.openxmlformats-officedocument.wordprocessingml.footer+xml"/>
  <Override PartName="/word/footer5512.xml" ContentType="application/vnd.openxmlformats-officedocument.wordprocessingml.footer+xml"/>
  <Override PartName="/word/footer5515.xml" ContentType="application/vnd.openxmlformats-officedocument.wordprocessingml.footer+xml"/>
  <Override PartName="/word/footer5518.xml" ContentType="application/vnd.openxmlformats-officedocument.wordprocessingml.footer+xml"/>
  <Override PartName="/word/footer5521.xml" ContentType="application/vnd.openxmlformats-officedocument.wordprocessingml.footer+xml"/>
  <Override PartName="/word/footer5524.xml" ContentType="application/vnd.openxmlformats-officedocument.wordprocessingml.footer+xml"/>
  <Override PartName="/word/footer5527.xml" ContentType="application/vnd.openxmlformats-officedocument.wordprocessingml.footer+xml"/>
  <Override PartName="/word/footer5530.xml" ContentType="application/vnd.openxmlformats-officedocument.wordprocessingml.footer+xml"/>
  <Override PartName="/word/footer5533.xml" ContentType="application/vnd.openxmlformats-officedocument.wordprocessingml.footer+xml"/>
  <Override PartName="/word/footer5536.xml" ContentType="application/vnd.openxmlformats-officedocument.wordprocessingml.footer+xml"/>
  <Override PartName="/word/footer5539.xml" ContentType="application/vnd.openxmlformats-officedocument.wordprocessingml.footer+xml"/>
  <Override PartName="/word/footer5542.xml" ContentType="application/vnd.openxmlformats-officedocument.wordprocessingml.footer+xml"/>
  <Override PartName="/word/footer5545.xml" ContentType="application/vnd.openxmlformats-officedocument.wordprocessingml.footer+xml"/>
  <Override PartName="/word/footer5548.xml" ContentType="application/vnd.openxmlformats-officedocument.wordprocessingml.footer+xml"/>
  <Override PartName="/word/footer5551.xml" ContentType="application/vnd.openxmlformats-officedocument.wordprocessingml.footer+xml"/>
  <Override PartName="/word/footer5554.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دروس حوزه علمیه جدید پایه اول تا دهم جلد 8</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اصول</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فرائد الاصول المجلد 2 (شکّ)</w:t>
        </w:r>
        <w:r>
          <w:tab/>
        </w:r>
        <w:r>
          <w:fldChar w:fldCharType="begin"/>
        </w:r>
        <w:r>
          <w:instrText xml:space="preserve">PAGEREF 3 \h</w:instrText>
        </w:r>
        <w:r>
          <w:fldChar w:fldCharType="end"/>
        </w:r>
      </w:hyperlink>
    </w:p>
    <w:p>
      <w:pPr>
        <w:tabs>
          <w:tab w:val="right" w:leader="dot" w:pos="9062"/>
        </w:tabs>
        <w:ind w:left="66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660"/>
      </w:pPr>
      <w:hyperlink w:anchor="_Toc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المقصد الثّالث : فی الشّکّ</w:t>
        </w:r>
        <w:r>
          <w:tab/>
        </w:r>
        <w:r>
          <w:fldChar w:fldCharType="begin"/>
        </w:r>
        <w:r>
          <w:instrText xml:space="preserve">PAGEREF 6 \h</w:instrText>
        </w:r>
        <w:r>
          <w:fldChar w:fldCharType="end"/>
        </w:r>
      </w:hyperlink>
    </w:p>
    <w:p>
      <w:pPr>
        <w:tabs>
          <w:tab w:val="right" w:leader="dot" w:pos="9062"/>
        </w:tabs>
        <w:ind w:left="880"/>
      </w:pPr>
      <w:hyperlink w:anchor="_Toc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 \h</w:instrText>
        </w:r>
        <w:r>
          <w:fldChar w:fldCharType="end"/>
        </w:r>
      </w:hyperlink>
    </w:p>
    <w:p>
      <w:pPr>
        <w:tabs>
          <w:tab w:val="right" w:leader="dot" w:pos="9062"/>
        </w:tabs>
        <w:ind w:left="880"/>
      </w:pPr>
      <w:hyperlink w:anchor="_Toc8" w:history="1">
        <w:r>
          <w:rPr>
            <w:rFonts w:ascii="IRNazanin" w:hAnsi="IRNazanin" w:eastAsia="IRNazanin" w:cs="IRNazanin"/>
            <w:color w:val="111111"/>
            <w:sz w:val="22"/>
            <w:szCs w:val="22"/>
            <w:b w:val="0"/>
            <w:bCs w:val="0"/>
            <w:i w:val="0"/>
            <w:iCs w:val="0"/>
          </w:rPr>
          <w:t>[المکلّف الملتفت إلی الحکم الشرعی]</w:t>
        </w:r>
        <w:r>
          <w:tab/>
        </w:r>
        <w:r>
          <w:fldChar w:fldCharType="begin"/>
        </w:r>
        <w:r>
          <w:instrText xml:space="preserve">PAGEREF 8 \h</w:instrText>
        </w:r>
        <w:r>
          <w:fldChar w:fldCharType="end"/>
        </w:r>
      </w:hyperlink>
    </w:p>
    <w:p>
      <w:pPr>
        <w:tabs>
          <w:tab w:val="right" w:leader="dot" w:pos="9062"/>
        </w:tabs>
        <w:ind w:left="880"/>
      </w:pPr>
      <w:hyperlink w:anchor="_Toc9" w:history="1">
        <w:r>
          <w:rPr>
            <w:rFonts w:ascii="IRNazanin" w:hAnsi="IRNazanin" w:eastAsia="IRNazanin" w:cs="IRNazanin"/>
            <w:color w:val="111111"/>
            <w:sz w:val="22"/>
            <w:szCs w:val="22"/>
            <w:b w:val="0"/>
            <w:bCs w:val="0"/>
            <w:i w:val="0"/>
            <w:iCs w:val="0"/>
          </w:rPr>
          <w:t>[إمکان اعتبار الظنّ]</w:t>
        </w:r>
        <w:r>
          <w:tab/>
        </w:r>
        <w:r>
          <w:fldChar w:fldCharType="begin"/>
        </w:r>
        <w:r>
          <w:instrText xml:space="preserve">PAGEREF 9 \h</w:instrText>
        </w:r>
        <w:r>
          <w:fldChar w:fldCharType="end"/>
        </w:r>
      </w:hyperlink>
    </w:p>
    <w:p>
      <w:pPr>
        <w:tabs>
          <w:tab w:val="right" w:leader="dot" w:pos="9062"/>
        </w:tabs>
        <w:ind w:left="880"/>
      </w:pPr>
      <w:hyperlink w:anchor="_Toc10" w:history="1">
        <w:r>
          <w:rPr>
            <w:rFonts w:ascii="IRNazanin" w:hAnsi="IRNazanin" w:eastAsia="IRNazanin" w:cs="IRNazanin"/>
            <w:color w:val="111111"/>
            <w:sz w:val="22"/>
            <w:szCs w:val="22"/>
            <w:b w:val="0"/>
            <w:bCs w:val="0"/>
            <w:i w:val="0"/>
            <w:iCs w:val="0"/>
          </w:rPr>
          <w:t>[عدم إمکان اعتبار الشکّ]</w:t>
        </w:r>
        <w:r>
          <w:tab/>
        </w:r>
        <w:r>
          <w:fldChar w:fldCharType="begin"/>
        </w:r>
        <w:r>
          <w:instrText xml:space="preserve">PAGEREF 10 \h</w:instrText>
        </w:r>
        <w:r>
          <w:fldChar w:fldCharType="end"/>
        </w:r>
      </w:hyperlink>
    </w:p>
    <w:p>
      <w:pPr>
        <w:tabs>
          <w:tab w:val="right" w:leader="dot" w:pos="9062"/>
        </w:tabs>
        <w:ind w:left="880"/>
      </w:pPr>
      <w:hyperlink w:anchor="_Toc11" w:history="1">
        <w:r>
          <w:rPr>
            <w:rFonts w:ascii="IRNazanin" w:hAnsi="IRNazanin" w:eastAsia="IRNazanin" w:cs="IRNazanin"/>
            <w:color w:val="111111"/>
            <w:sz w:val="22"/>
            <w:szCs w:val="22"/>
            <w:b w:val="0"/>
            <w:bCs w:val="0"/>
            <w:i w:val="0"/>
            <w:iCs w:val="0"/>
          </w:rPr>
          <w:t>[الحکم الواقعی و الظاهری]</w:t>
        </w:r>
        <w:r>
          <w:tab/>
        </w:r>
        <w:r>
          <w:fldChar w:fldCharType="begin"/>
        </w:r>
        <w:r>
          <w:instrText xml:space="preserve">PAGEREF 11 \h</w:instrText>
        </w:r>
        <w:r>
          <w:fldChar w:fldCharType="end"/>
        </w:r>
      </w:hyperlink>
    </w:p>
    <w:p>
      <w:pPr>
        <w:tabs>
          <w:tab w:val="right" w:leader="dot" w:pos="9062"/>
        </w:tabs>
        <w:ind w:left="880"/>
      </w:pPr>
      <w:hyperlink w:anchor="_Toc12" w:history="1">
        <w:r>
          <w:rPr>
            <w:rFonts w:ascii="IRNazanin" w:hAnsi="IRNazanin" w:eastAsia="IRNazanin" w:cs="IRNazanin"/>
            <w:color w:val="111111"/>
            <w:sz w:val="22"/>
            <w:szCs w:val="22"/>
            <w:b w:val="0"/>
            <w:bCs w:val="0"/>
            <w:i w:val="0"/>
            <w:iCs w:val="0"/>
          </w:rPr>
          <w:t>[الدلیل«الاجتهادی»و«الفقاهتی»]</w:t>
        </w:r>
        <w:r>
          <w:tab/>
        </w:r>
        <w:r>
          <w:fldChar w:fldCharType="begin"/>
        </w:r>
        <w:r>
          <w:instrText xml:space="preserve">PAGEREF 12 \h</w:instrText>
        </w:r>
        <w:r>
          <w:fldChar w:fldCharType="end"/>
        </w:r>
      </w:hyperlink>
    </w:p>
    <w:p>
      <w:pPr>
        <w:tabs>
          <w:tab w:val="right" w:leader="dot" w:pos="9062"/>
        </w:tabs>
        <w:ind w:left="880"/>
      </w:pPr>
      <w:hyperlink w:anchor="_Toc13" w:history="1">
        <w:r>
          <w:rPr>
            <w:rFonts w:ascii="IRNazanin" w:hAnsi="IRNazanin" w:eastAsia="IRNazanin" w:cs="IRNazanin"/>
            <w:color w:val="111111"/>
            <w:sz w:val="22"/>
            <w:szCs w:val="22"/>
            <w:b w:val="0"/>
            <w:bCs w:val="0"/>
            <w:i w:val="0"/>
            <w:iCs w:val="0"/>
          </w:rPr>
          <w:t>[وجه تقدیم الأدلّة علی الاصول]</w:t>
        </w:r>
        <w:r>
          <w:tab/>
        </w:r>
        <w:r>
          <w:fldChar w:fldCharType="begin"/>
        </w:r>
        <w:r>
          <w:instrText xml:space="preserve">PAGEREF 13 \h</w:instrText>
        </w:r>
        <w:r>
          <w:fldChar w:fldCharType="end"/>
        </w:r>
      </w:hyperlink>
    </w:p>
    <w:p>
      <w:pPr>
        <w:tabs>
          <w:tab w:val="right" w:leader="dot" w:pos="9062"/>
        </w:tabs>
        <w:ind w:left="880"/>
      </w:pPr>
      <w:hyperlink w:anchor="_Toc14" w:history="1">
        <w:r>
          <w:rPr>
            <w:rFonts w:ascii="IRNazanin" w:hAnsi="IRNazanin" w:eastAsia="IRNazanin" w:cs="IRNazanin"/>
            <w:color w:val="111111"/>
            <w:sz w:val="22"/>
            <w:szCs w:val="22"/>
            <w:b w:val="0"/>
            <w:bCs w:val="0"/>
            <w:i w:val="0"/>
            <w:iCs w:val="0"/>
          </w:rPr>
          <w:t>[أخصّیة الأدلّة غیر العلمیّة من الاصول]</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[الدلیل العلمی رافع لموضوع الأصل]</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[التحقیق حکومة دلیل الأمارة علی الاصول الشرعیّة]</w:t>
        </w:r>
        <w:r>
          <w:tab/>
        </w:r>
        <w:r>
          <w:fldChar w:fldCharType="begin"/>
        </w:r>
        <w:r>
          <w:instrText xml:space="preserve">PAGEREF 16 \h</w:instrText>
        </w:r>
        <w:r>
          <w:fldChar w:fldCharType="end"/>
        </w:r>
      </w:hyperlink>
    </w:p>
    <w:p>
      <w:pPr>
        <w:tabs>
          <w:tab w:val="right" w:leader="dot" w:pos="9062"/>
        </w:tabs>
        <w:ind w:left="880"/>
      </w:pPr>
      <w:hyperlink w:anchor="_Toc17" w:history="1">
        <w:r>
          <w:rPr>
            <w:rFonts w:ascii="IRNazanin" w:hAnsi="IRNazanin" w:eastAsia="IRNazanin" w:cs="IRNazanin"/>
            <w:color w:val="111111"/>
            <w:sz w:val="22"/>
            <w:szCs w:val="22"/>
            <w:b w:val="0"/>
            <w:bCs w:val="0"/>
            <w:i w:val="0"/>
            <w:iCs w:val="0"/>
          </w:rPr>
          <w:t>[ارتفاع موضوع الاصول العقلیّة بالأدلّة الظنّیة]</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[انحصار الاصول فی أربعة]</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[الانحصار عقلیّ]</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[مجاری الاصول الأربعة]</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[تداخل موارد الاصول أحیانا]</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المقام الأوّل فی البراءة و الاشتغال و التّخییر</w:t>
        </w:r>
        <w:r>
          <w:tab/>
        </w:r>
        <w:r>
          <w:fldChar w:fldCharType="begin"/>
        </w:r>
        <w:r>
          <w:instrText xml:space="preserve">PAGEREF 22 \h</w:instrText>
        </w:r>
        <w:r>
          <w:fldChar w:fldCharType="end"/>
        </w:r>
      </w:hyperlink>
    </w:p>
    <w:p>
      <w:pPr>
        <w:tabs>
          <w:tab w:val="right" w:leader="dot" w:pos="9062"/>
        </w:tabs>
        <w:ind w:left="1100"/>
      </w:pPr>
      <w:hyperlink w:anchor="_Toc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 \h</w:instrText>
        </w:r>
        <w:r>
          <w:fldChar w:fldCharType="end"/>
        </w:r>
      </w:hyperlink>
    </w:p>
    <w:p>
      <w:pPr>
        <w:tabs>
          <w:tab w:val="right" w:leader="dot" w:pos="9062"/>
        </w:tabs>
        <w:ind w:left="1100"/>
      </w:pPr>
      <w:hyperlink w:anchor="_Toc24" w:history="1">
        <w:r>
          <w:rPr>
            <w:rFonts w:ascii="IRNazanin" w:hAnsi="IRNazanin" w:eastAsia="IRNazanin" w:cs="IRNazanin"/>
            <w:color w:val="111111"/>
            <w:sz w:val="22"/>
            <w:szCs w:val="22"/>
            <w:b w:val="0"/>
            <w:bCs w:val="0"/>
            <w:i w:val="0"/>
            <w:iCs w:val="0"/>
          </w:rPr>
          <w:t>[الموضع الأوّل]الشکّ فی نفس التکلیف،و فیه مطالب:</w:t>
        </w:r>
        <w:r>
          <w:tab/>
        </w:r>
        <w:r>
          <w:fldChar w:fldCharType="begin"/>
        </w:r>
        <w:r>
          <w:instrText xml:space="preserve">PAGEREF 24 \h</w:instrText>
        </w:r>
        <w:r>
          <w:fldChar w:fldCharType="end"/>
        </w:r>
      </w:hyperlink>
    </w:p>
    <w:p>
      <w:pPr>
        <w:tabs>
          <w:tab w:val="right" w:leader="dot" w:pos="9062"/>
        </w:tabs>
        <w:ind w:left="1100"/>
      </w:pPr>
      <w:hyperlink w:anchor="_Toc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 \h</w:instrText>
        </w:r>
        <w:r>
          <w:fldChar w:fldCharType="end"/>
        </w:r>
      </w:hyperlink>
    </w:p>
    <w:p>
      <w:pPr>
        <w:tabs>
          <w:tab w:val="right" w:leader="dot" w:pos="9062"/>
        </w:tabs>
        <w:ind w:left="1100"/>
      </w:pPr>
      <w:hyperlink w:anchor="_Toc26" w:history="1">
        <w:r>
          <w:rPr>
            <w:rFonts w:ascii="IRNazanin" w:hAnsi="IRNazanin" w:eastAsia="IRNazanin" w:cs="IRNazanin"/>
            <w:color w:val="111111"/>
            <w:sz w:val="22"/>
            <w:szCs w:val="22"/>
            <w:b w:val="0"/>
            <w:bCs w:val="0"/>
            <w:i w:val="0"/>
            <w:iCs w:val="0"/>
          </w:rPr>
          <w:t>فالمطلب الأوّل فیما دار الأمر فیه بین الحرمة و غیر الوجوب</w:t>
        </w:r>
        <w:r>
          <w:tab/>
        </w:r>
        <w:r>
          <w:fldChar w:fldCharType="begin"/>
        </w:r>
        <w:r>
          <w:instrText xml:space="preserve">PAGEREF 26 \h</w:instrText>
        </w:r>
        <w:r>
          <w:fldChar w:fldCharType="end"/>
        </w:r>
      </w:hyperlink>
    </w:p>
    <w:p>
      <w:pPr>
        <w:tabs>
          <w:tab w:val="right" w:leader="dot" w:pos="9062"/>
        </w:tabs>
        <w:ind w:left="1100"/>
      </w:pPr>
      <w:hyperlink w:anchor="_Toc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 \h</w:instrText>
        </w:r>
        <w:r>
          <w:fldChar w:fldCharType="end"/>
        </w:r>
      </w:hyperlink>
    </w:p>
    <w:p>
      <w:pPr>
        <w:tabs>
          <w:tab w:val="right" w:leader="dot" w:pos="9062"/>
        </w:tabs>
        <w:ind w:left="1100"/>
      </w:pPr>
      <w:hyperlink w:anchor="_Toc28" w:history="1">
        <w:r>
          <w:rPr>
            <w:rFonts w:ascii="IRNazanin" w:hAnsi="IRNazanin" w:eastAsia="IRNazanin" w:cs="IRNazanin"/>
            <w:color w:val="111111"/>
            <w:sz w:val="22"/>
            <w:szCs w:val="22"/>
            <w:b w:val="0"/>
            <w:bCs w:val="0"/>
            <w:i w:val="0"/>
            <w:iCs w:val="0"/>
          </w:rPr>
          <w:t>المسألة الاولی ما لا نصّ فیه</w:t>
        </w:r>
        <w:r>
          <w:tab/>
        </w:r>
        <w:r>
          <w:fldChar w:fldCharType="begin"/>
        </w:r>
        <w:r>
          <w:instrText xml:space="preserve">PAGEREF 28 \h</w:instrText>
        </w:r>
        <w:r>
          <w:fldChar w:fldCharType="end"/>
        </w:r>
      </w:hyperlink>
    </w:p>
    <w:p>
      <w:pPr>
        <w:tabs>
          <w:tab w:val="right" w:leader="dot" w:pos="9062"/>
        </w:tabs>
        <w:ind w:left="1100"/>
      </w:pPr>
      <w:hyperlink w:anchor="_Toc29" w:history="1">
        <w:r>
          <w:rPr>
            <w:rFonts w:ascii="IRNazanin" w:hAnsi="IRNazanin" w:eastAsia="IRNazanin" w:cs="IRNazanin"/>
            <w:color w:val="111111"/>
            <w:sz w:val="22"/>
            <w:szCs w:val="22"/>
            <w:b w:val="0"/>
            <w:bCs w:val="0"/>
            <w:i w:val="0"/>
            <w:iCs w:val="0"/>
          </w:rPr>
          <w:t>[قولان فی المسألة]</w:t>
        </w:r>
        <w:r>
          <w:tab/>
        </w:r>
        <w:r>
          <w:fldChar w:fldCharType="begin"/>
        </w:r>
        <w:r>
          <w:instrText xml:space="preserve">PAGEREF 29 \h</w:instrText>
        </w:r>
        <w:r>
          <w:fldChar w:fldCharType="end"/>
        </w:r>
      </w:hyperlink>
    </w:p>
    <w:p>
      <w:pPr>
        <w:tabs>
          <w:tab w:val="right" w:leader="dot" w:pos="9062"/>
        </w:tabs>
        <w:ind w:left="1100"/>
      </w:pPr>
      <w:hyperlink w:anchor="_Toc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 \h</w:instrText>
        </w:r>
        <w:r>
          <w:fldChar w:fldCharType="end"/>
        </w:r>
      </w:hyperlink>
    </w:p>
    <w:p>
      <w:pPr>
        <w:tabs>
          <w:tab w:val="right" w:leader="dot" w:pos="9062"/>
        </w:tabs>
        <w:ind w:left="1100"/>
      </w:pPr>
      <w:hyperlink w:anchor="_Toc31" w:history="1">
        <w:r>
          <w:rPr>
            <w:rFonts w:ascii="IRNazanin" w:hAnsi="IRNazanin" w:eastAsia="IRNazanin" w:cs="IRNazanin"/>
            <w:color w:val="111111"/>
            <w:sz w:val="22"/>
            <w:szCs w:val="22"/>
            <w:b w:val="0"/>
            <w:bCs w:val="0"/>
            <w:i w:val="0"/>
            <w:iCs w:val="0"/>
          </w:rPr>
          <w:t>احتجّ للقول الأوّل بالأدلّة الأربعة:</w:t>
        </w:r>
        <w:r>
          <w:tab/>
        </w:r>
        <w:r>
          <w:fldChar w:fldCharType="begin"/>
        </w:r>
        <w:r>
          <w:instrText xml:space="preserve">PAGEREF 31 \h</w:instrText>
        </w:r>
        <w:r>
          <w:fldChar w:fldCharType="end"/>
        </w:r>
      </w:hyperlink>
    </w:p>
    <w:p>
      <w:pPr>
        <w:tabs>
          <w:tab w:val="right" w:leader="dot" w:pos="9062"/>
        </w:tabs>
        <w:ind w:left="1100"/>
      </w:pPr>
      <w:hyperlink w:anchor="_Toc32" w:history="1">
        <w:r>
          <w:rPr>
            <w:rFonts w:ascii="IRNazanin" w:hAnsi="IRNazanin" w:eastAsia="IRNazanin" w:cs="IRNazanin"/>
            <w:color w:val="111111"/>
            <w:sz w:val="22"/>
            <w:szCs w:val="22"/>
            <w:b w:val="0"/>
            <w:bCs w:val="0"/>
            <w:i w:val="0"/>
            <w:iCs w:val="0"/>
          </w:rPr>
          <w:t>فمن الکتاب آیات:</w:t>
        </w:r>
        <w:r>
          <w:tab/>
        </w:r>
        <w:r>
          <w:fldChar w:fldCharType="begin"/>
        </w:r>
        <w:r>
          <w:instrText xml:space="preserve">PAGEREF 32 \h</w:instrText>
        </w:r>
        <w:r>
          <w:fldChar w:fldCharType="end"/>
        </w:r>
      </w:hyperlink>
    </w:p>
    <w:p>
      <w:pPr>
        <w:tabs>
          <w:tab w:val="right" w:leader="dot" w:pos="9062"/>
        </w:tabs>
        <w:ind w:left="1100"/>
      </w:pPr>
      <w:hyperlink w:anchor="_Toc33" w:history="1">
        <w:r>
          <w:rPr>
            <w:rFonts w:ascii="IRNazanin" w:hAnsi="IRNazanin" w:eastAsia="IRNazanin" w:cs="IRNazanin"/>
            <w:color w:val="111111"/>
            <w:sz w:val="22"/>
            <w:szCs w:val="22"/>
            <w:b w:val="0"/>
            <w:bCs w:val="0"/>
            <w:i w:val="0"/>
            <w:iCs w:val="0"/>
          </w:rPr>
          <w:t>منها:قوله تعالی: لاٰ یُکَلِّفُ اللّٰهُ نَفْساً إِلاّٰ مٰا آتٰاهٰا</w:t>
        </w:r>
        <w:r>
          <w:tab/>
        </w:r>
        <w:r>
          <w:fldChar w:fldCharType="begin"/>
        </w:r>
        <w:r>
          <w:instrText xml:space="preserve">PAGEREF 33 \h</w:instrText>
        </w:r>
        <w:r>
          <w:fldChar w:fldCharType="end"/>
        </w:r>
      </w:hyperlink>
    </w:p>
    <w:p>
      <w:pPr>
        <w:tabs>
          <w:tab w:val="right" w:leader="dot" w:pos="9062"/>
        </w:tabs>
        <w:ind w:left="1100"/>
      </w:pPr>
      <w:hyperlink w:anchor="_Toc34" w:history="1">
        <w:r>
          <w:rPr>
            <w:rFonts w:ascii="IRNazanin" w:hAnsi="IRNazanin" w:eastAsia="IRNazanin" w:cs="IRNazanin"/>
            <w:color w:val="111111"/>
            <w:sz w:val="22"/>
            <w:szCs w:val="22"/>
            <w:b w:val="0"/>
            <w:bCs w:val="0"/>
            <w:i w:val="0"/>
            <w:iCs w:val="0"/>
          </w:rPr>
          <w:t>و منها:قوله تعالی: وَ مٰا کُنّٰا مُعَذِّبِینَ حَتّٰی نَبْعَثَ رَسُولاً</w:t>
        </w:r>
        <w:r>
          <w:tab/>
        </w:r>
        <w:r>
          <w:fldChar w:fldCharType="begin"/>
        </w:r>
        <w:r>
          <w:instrText xml:space="preserve">PAGEREF 34 \h</w:instrText>
        </w:r>
        <w:r>
          <w:fldChar w:fldCharType="end"/>
        </w:r>
      </w:hyperlink>
    </w:p>
    <w:p>
      <w:pPr>
        <w:tabs>
          <w:tab w:val="right" w:leader="dot" w:pos="9062"/>
        </w:tabs>
        <w:ind w:left="1100"/>
      </w:pPr>
      <w:hyperlink w:anchor="_Toc35" w:history="1">
        <w:r>
          <w:rPr>
            <w:rFonts w:ascii="IRNazanin" w:hAnsi="IRNazanin" w:eastAsia="IRNazanin" w:cs="IRNazanin"/>
            <w:color w:val="111111"/>
            <w:sz w:val="22"/>
            <w:szCs w:val="22"/>
            <w:b w:val="0"/>
            <w:bCs w:val="0"/>
            <w:i w:val="0"/>
            <w:iCs w:val="0"/>
          </w:rPr>
          <w:t>و منها:قوله تعالی: وَ مٰا کٰانَ اللّٰهُ لِیُضِلَّ قَوْماً بَعْدَ إِذْ هَدٰاهُمْ حَتّٰی یُبَیِّنَ لَهُمْ مٰا یَتَّقُونَ</w:t>
        </w:r>
        <w:r>
          <w:tab/>
        </w:r>
        <w:r>
          <w:fldChar w:fldCharType="begin"/>
        </w:r>
        <w:r>
          <w:instrText xml:space="preserve">PAGEREF 35 \h</w:instrText>
        </w:r>
        <w:r>
          <w:fldChar w:fldCharType="end"/>
        </w:r>
      </w:hyperlink>
    </w:p>
    <w:p>
      <w:pPr>
        <w:tabs>
          <w:tab w:val="right" w:leader="dot" w:pos="9062"/>
        </w:tabs>
        <w:ind w:left="1100"/>
      </w:pPr>
      <w:hyperlink w:anchor="_Toc36" w:history="1">
        <w:r>
          <w:rPr>
            <w:rFonts w:ascii="IRNazanin" w:hAnsi="IRNazanin" w:eastAsia="IRNazanin" w:cs="IRNazanin"/>
            <w:color w:val="111111"/>
            <w:sz w:val="22"/>
            <w:szCs w:val="22"/>
            <w:b w:val="0"/>
            <w:bCs w:val="0"/>
            <w:i w:val="0"/>
            <w:iCs w:val="0"/>
          </w:rPr>
          <w:t>و منها:قوله تعالی مخاطبا لنبیّه صلّی اللّه علیه و آله و سلّم،ملقّنا إیّاه طریق الردّ علی الیهود حیث حرّموا بعض ما رزقهم اللّه افتراء علیه: قُلْ لاٰ أَجِدُ فِی مٰا أُوحِیَ إِلَیَّ مُحَرَّماً عَلیٰ طٰاعِمٍ یَطْعَمُهُ إِلاّٰ أَنْ یَکُونَ مَیْتَةً أَوْ دَماً مَسْفُوحاً</w:t>
        </w:r>
        <w:r>
          <w:tab/>
        </w:r>
        <w:r>
          <w:fldChar w:fldCharType="begin"/>
        </w:r>
        <w:r>
          <w:instrText xml:space="preserve">PAGEREF 36 \h</w:instrText>
        </w:r>
        <w:r>
          <w:fldChar w:fldCharType="end"/>
        </w:r>
      </w:hyperlink>
    </w:p>
    <w:p>
      <w:pPr>
        <w:tabs>
          <w:tab w:val="right" w:leader="dot" w:pos="9062"/>
        </w:tabs>
        <w:ind w:left="1100"/>
      </w:pPr>
      <w:hyperlink w:anchor="_Toc37" w:history="1">
        <w:r>
          <w:rPr>
            <w:rFonts w:ascii="IRNazanin" w:hAnsi="IRNazanin" w:eastAsia="IRNazanin" w:cs="IRNazanin"/>
            <w:color w:val="111111"/>
            <w:sz w:val="22"/>
            <w:szCs w:val="22"/>
            <w:b w:val="0"/>
            <w:bCs w:val="0"/>
            <w:i w:val="0"/>
            <w:iCs w:val="0"/>
          </w:rPr>
          <w:t>و منها:قوله تعالی: وَ مٰا لَکُمْ أَلاّٰ تَأْکُلُوا مِمّٰا ذُکِرَ اسْمُ اللّٰهِ عَلَیْهِ وَ قَدْ فَصَّلَ لَکُمْ مٰا حَرَّمَ عَلَیْکُمْ</w:t>
        </w:r>
        <w:r>
          <w:tab/>
        </w:r>
        <w:r>
          <w:fldChar w:fldCharType="begin"/>
        </w:r>
        <w:r>
          <w:instrText xml:space="preserve">PAGEREF 37 \h</w:instrText>
        </w:r>
        <w:r>
          <w:fldChar w:fldCharType="end"/>
        </w:r>
      </w:hyperlink>
    </w:p>
    <w:p>
      <w:pPr>
        <w:tabs>
          <w:tab w:val="right" w:leader="dot" w:pos="9062"/>
        </w:tabs>
        <w:ind w:left="1100"/>
      </w:pPr>
      <w:hyperlink w:anchor="_Toc38" w:history="1">
        <w:r>
          <w:rPr>
            <w:rFonts w:ascii="IRNazanin" w:hAnsi="IRNazanin" w:eastAsia="IRNazanin" w:cs="IRNazanin"/>
            <w:color w:val="111111"/>
            <w:sz w:val="22"/>
            <w:szCs w:val="22"/>
            <w:b w:val="0"/>
            <w:bCs w:val="0"/>
            <w:i w:val="0"/>
            <w:iCs w:val="0"/>
          </w:rPr>
          <w:t>[عدم نهوض الآیات المذکورة لإبطال وجوب الاحتیاط]</w:t>
        </w:r>
        <w:r>
          <w:tab/>
        </w:r>
        <w:r>
          <w:fldChar w:fldCharType="begin"/>
        </w:r>
        <w:r>
          <w:instrText xml:space="preserve">PAGEREF 38 \h</w:instrText>
        </w:r>
        <w:r>
          <w:fldChar w:fldCharType="end"/>
        </w:r>
      </w:hyperlink>
    </w:p>
    <w:p>
      <w:pPr>
        <w:tabs>
          <w:tab w:val="right" w:leader="dot" w:pos="9062"/>
        </w:tabs>
        <w:ind w:left="1100"/>
      </w:pPr>
      <w:hyperlink w:anchor="_Toc39" w:history="1">
        <w:r>
          <w:rPr>
            <w:rFonts w:ascii="IRNazanin" w:hAnsi="IRNazanin" w:eastAsia="IRNazanin" w:cs="IRNazanin"/>
            <w:color w:val="111111"/>
            <w:sz w:val="22"/>
            <w:szCs w:val="22"/>
            <w:b w:val="0"/>
            <w:bCs w:val="0"/>
            <w:i w:val="0"/>
            <w:iCs w:val="0"/>
          </w:rPr>
          <w:t>[الاستدلال علی البراءة بالسنّة:]</w:t>
        </w:r>
        <w:r>
          <w:tab/>
        </w:r>
        <w:r>
          <w:fldChar w:fldCharType="begin"/>
        </w:r>
        <w:r>
          <w:instrText xml:space="preserve">PAGEREF 39 \h</w:instrText>
        </w:r>
        <w:r>
          <w:fldChar w:fldCharType="end"/>
        </w:r>
      </w:hyperlink>
    </w:p>
    <w:p>
      <w:pPr>
        <w:tabs>
          <w:tab w:val="right" w:leader="dot" w:pos="9062"/>
        </w:tabs>
        <w:ind w:left="1100"/>
      </w:pPr>
      <w:hyperlink w:anchor="_Toc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40 \h</w:instrText>
        </w:r>
        <w:r>
          <w:fldChar w:fldCharType="end"/>
        </w:r>
      </w:hyperlink>
    </w:p>
    <w:p>
      <w:pPr>
        <w:tabs>
          <w:tab w:val="right" w:leader="dot" w:pos="9062"/>
        </w:tabs>
        <w:ind w:left="1100"/>
      </w:pPr>
      <w:hyperlink w:anchor="_Toc41" w:history="1">
        <w:r>
          <w:rPr>
            <w:rFonts w:ascii="IRNazanin" w:hAnsi="IRNazanin" w:eastAsia="IRNazanin" w:cs="IRNazanin"/>
            <w:color w:val="111111"/>
            <w:sz w:val="22"/>
            <w:szCs w:val="22"/>
            <w:b w:val="0"/>
            <w:bCs w:val="0"/>
            <w:i w:val="0"/>
            <w:iCs w:val="0"/>
          </w:rPr>
          <w:t>منها [الاستدلال بحدیث«الرفع»]</w:t>
        </w:r>
        <w:r>
          <w:tab/>
        </w:r>
        <w:r>
          <w:fldChar w:fldCharType="begin"/>
        </w:r>
        <w:r>
          <w:instrText xml:space="preserve">PAGEREF 41 \h</w:instrText>
        </w:r>
        <w:r>
          <w:fldChar w:fldCharType="end"/>
        </w:r>
      </w:hyperlink>
    </w:p>
    <w:p>
      <w:pPr>
        <w:tabs>
          <w:tab w:val="right" w:leader="dot" w:pos="9062"/>
        </w:tabs>
        <w:ind w:left="1100"/>
      </w:pPr>
      <w:hyperlink w:anchor="_Toc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42 \h</w:instrText>
        </w:r>
        <w:r>
          <w:fldChar w:fldCharType="end"/>
        </w:r>
      </w:hyperlink>
    </w:p>
    <w:p>
      <w:pPr>
        <w:tabs>
          <w:tab w:val="right" w:leader="dot" w:pos="9062"/>
        </w:tabs>
        <w:ind w:left="1100"/>
      </w:pPr>
      <w:hyperlink w:anchor="_Toc43" w:history="1">
        <w:r>
          <w:rPr>
            <w:rFonts w:ascii="IRNazanin" w:hAnsi="IRNazanin" w:eastAsia="IRNazanin" w:cs="IRNazanin"/>
            <w:color w:val="111111"/>
            <w:sz w:val="22"/>
            <w:szCs w:val="22"/>
            <w:b w:val="0"/>
            <w:bCs w:val="0"/>
            <w:i w:val="0"/>
            <w:iCs w:val="0"/>
          </w:rPr>
          <w:t>[المناقشة فی الاستدلال]</w:t>
        </w:r>
        <w:r>
          <w:tab/>
        </w:r>
        <w:r>
          <w:fldChar w:fldCharType="begin"/>
        </w:r>
        <w:r>
          <w:instrText xml:space="preserve">PAGEREF 43 \h</w:instrText>
        </w:r>
        <w:r>
          <w:fldChar w:fldCharType="end"/>
        </w:r>
      </w:hyperlink>
    </w:p>
    <w:p>
      <w:pPr>
        <w:tabs>
          <w:tab w:val="right" w:leader="dot" w:pos="9062"/>
        </w:tabs>
        <w:ind w:left="1100"/>
      </w:pPr>
      <w:hyperlink w:anchor="_Toc44" w:history="1">
        <w:r>
          <w:rPr>
            <w:rFonts w:ascii="IRNazanin" w:hAnsi="IRNazanin" w:eastAsia="IRNazanin" w:cs="IRNazanin"/>
            <w:color w:val="111111"/>
            <w:sz w:val="22"/>
            <w:szCs w:val="22"/>
            <w:b w:val="0"/>
            <w:bCs w:val="0"/>
            <w:i w:val="0"/>
            <w:iCs w:val="0"/>
          </w:rPr>
          <w:t>[المرفوع هو الآثار الشرعیّة دون العقلیّة و العادیّة]</w:t>
        </w:r>
        <w:r>
          <w:tab/>
        </w:r>
        <w:r>
          <w:fldChar w:fldCharType="begin"/>
        </w:r>
        <w:r>
          <w:instrText xml:space="preserve">PAGEREF 44 \h</w:instrText>
        </w:r>
        <w:r>
          <w:fldChar w:fldCharType="end"/>
        </w:r>
      </w:hyperlink>
    </w:p>
    <w:p>
      <w:pPr>
        <w:tabs>
          <w:tab w:val="right" w:leader="dot" w:pos="9062"/>
        </w:tabs>
        <w:ind w:left="1100"/>
      </w:pPr>
      <w:hyperlink w:anchor="_Toc45" w:history="1">
        <w:r>
          <w:rPr>
            <w:rFonts w:ascii="IRNazanin" w:hAnsi="IRNazanin" w:eastAsia="IRNazanin" w:cs="IRNazanin"/>
            <w:color w:val="111111"/>
            <w:sz w:val="22"/>
            <w:szCs w:val="22"/>
            <w:b w:val="0"/>
            <w:bCs w:val="0"/>
            <w:i w:val="0"/>
            <w:iCs w:val="0"/>
          </w:rPr>
          <w:t>[المراد من الرفع:]</w:t>
        </w:r>
        <w:r>
          <w:tab/>
        </w:r>
        <w:r>
          <w:fldChar w:fldCharType="begin"/>
        </w:r>
        <w:r>
          <w:instrText xml:space="preserve">PAGEREF 45 \h</w:instrText>
        </w:r>
        <w:r>
          <w:fldChar w:fldCharType="end"/>
        </w:r>
      </w:hyperlink>
    </w:p>
    <w:p>
      <w:pPr>
        <w:tabs>
          <w:tab w:val="right" w:leader="dot" w:pos="9062"/>
        </w:tabs>
        <w:ind w:left="1100"/>
      </w:pPr>
      <w:hyperlink w:anchor="_Toc46" w:history="1">
        <w:r>
          <w:rPr>
            <w:rFonts w:ascii="IRNazanin" w:hAnsi="IRNazanin" w:eastAsia="IRNazanin" w:cs="IRNazanin"/>
            <w:color w:val="111111"/>
            <w:sz w:val="22"/>
            <w:szCs w:val="22"/>
            <w:b w:val="0"/>
            <w:bCs w:val="0"/>
            <w:i w:val="0"/>
            <w:iCs w:val="0"/>
          </w:rPr>
          <w:t>[المرتفع هو إیجاب التحفّظ و الاحتیاط]</w:t>
        </w:r>
        <w:r>
          <w:tab/>
        </w:r>
        <w:r>
          <w:fldChar w:fldCharType="begin"/>
        </w:r>
        <w:r>
          <w:instrText xml:space="preserve">PAGEREF 46 \h</w:instrText>
        </w:r>
        <w:r>
          <w:fldChar w:fldCharType="end"/>
        </w:r>
      </w:hyperlink>
    </w:p>
    <w:p>
      <w:pPr>
        <w:tabs>
          <w:tab w:val="right" w:leader="dot" w:pos="9062"/>
        </w:tabs>
        <w:ind w:left="1100"/>
      </w:pPr>
      <w:hyperlink w:anchor="_Toc47" w:history="1">
        <w:r>
          <w:rPr>
            <w:rFonts w:ascii="IRNazanin" w:hAnsi="IRNazanin" w:eastAsia="IRNazanin" w:cs="IRNazanin"/>
            <w:color w:val="111111"/>
            <w:sz w:val="22"/>
            <w:szCs w:val="22"/>
            <w:b w:val="0"/>
            <w:bCs w:val="0"/>
            <w:i w:val="0"/>
            <w:iCs w:val="0"/>
          </w:rPr>
          <w:t>[اختصاص الرفع بما لا یکون فی رفعه ما ینافی الامتنان]</w:t>
        </w:r>
        <w:r>
          <w:tab/>
        </w:r>
        <w:r>
          <w:fldChar w:fldCharType="begin"/>
        </w:r>
        <w:r>
          <w:instrText xml:space="preserve">PAGEREF 47 \h</w:instrText>
        </w:r>
        <w:r>
          <w:fldChar w:fldCharType="end"/>
        </w:r>
      </w:hyperlink>
    </w:p>
    <w:p>
      <w:pPr>
        <w:tabs>
          <w:tab w:val="right" w:leader="dot" w:pos="9062"/>
        </w:tabs>
        <w:ind w:left="1100"/>
      </w:pPr>
      <w:hyperlink w:anchor="_Toc48" w:history="1">
        <w:r>
          <w:rPr>
            <w:rFonts w:ascii="IRNazanin" w:hAnsi="IRNazanin" w:eastAsia="IRNazanin" w:cs="IRNazanin"/>
            <w:color w:val="111111"/>
            <w:sz w:val="22"/>
            <w:szCs w:val="22"/>
            <w:b w:val="0"/>
            <w:bCs w:val="0"/>
            <w:i w:val="0"/>
            <w:iCs w:val="0"/>
          </w:rPr>
          <w:t>[المراد من رفع الحسد و الطیرة و التفکّر فی الوسوسة فی الخلق]</w:t>
        </w:r>
        <w:r>
          <w:tab/>
        </w:r>
        <w:r>
          <w:fldChar w:fldCharType="begin"/>
        </w:r>
        <w:r>
          <w:instrText xml:space="preserve">PAGEREF 48 \h</w:instrText>
        </w:r>
        <w:r>
          <w:fldChar w:fldCharType="end"/>
        </w:r>
      </w:hyperlink>
    </w:p>
    <w:p>
      <w:pPr>
        <w:tabs>
          <w:tab w:val="right" w:leader="dot" w:pos="9062"/>
        </w:tabs>
        <w:ind w:left="1100"/>
      </w:pPr>
      <w:hyperlink w:anchor="_Toc49" w:history="1">
        <w:r>
          <w:rPr>
            <w:rFonts w:ascii="IRNazanin" w:hAnsi="IRNazanin" w:eastAsia="IRNazanin" w:cs="IRNazanin"/>
            <w:color w:val="111111"/>
            <w:sz w:val="22"/>
            <w:szCs w:val="22"/>
            <w:b w:val="0"/>
            <w:bCs w:val="0"/>
            <w:i w:val="0"/>
            <w:iCs w:val="0"/>
          </w:rPr>
          <w:t>[ما ذکره الصدوق فی تفسیر الطیرة و الحسد و الوسوسة]</w:t>
        </w:r>
        <w:r>
          <w:tab/>
        </w:r>
        <w:r>
          <w:fldChar w:fldCharType="begin"/>
        </w:r>
        <w:r>
          <w:instrText xml:space="preserve">PAGEREF 49 \h</w:instrText>
        </w:r>
        <w:r>
          <w:fldChar w:fldCharType="end"/>
        </w:r>
      </w:hyperlink>
    </w:p>
    <w:p>
      <w:pPr>
        <w:tabs>
          <w:tab w:val="right" w:leader="dot" w:pos="9062"/>
        </w:tabs>
        <w:ind w:left="1100"/>
      </w:pPr>
      <w:hyperlink w:anchor="_Toc50" w:history="1">
        <w:r>
          <w:rPr>
            <w:rFonts w:ascii="IRNazanin" w:hAnsi="IRNazanin" w:eastAsia="IRNazanin" w:cs="IRNazanin"/>
            <w:color w:val="111111"/>
            <w:sz w:val="22"/>
            <w:szCs w:val="22"/>
            <w:b w:val="0"/>
            <w:bCs w:val="0"/>
            <w:i w:val="0"/>
            <w:iCs w:val="0"/>
          </w:rPr>
          <w:t>[الاستدلال بحدیث«الحجب»و المناقشة فیه]</w:t>
        </w:r>
        <w:r>
          <w:tab/>
        </w:r>
        <w:r>
          <w:fldChar w:fldCharType="begin"/>
        </w:r>
        <w:r>
          <w:instrText xml:space="preserve">PAGEREF 50 \h</w:instrText>
        </w:r>
        <w:r>
          <w:fldChar w:fldCharType="end"/>
        </w:r>
      </w:hyperlink>
    </w:p>
    <w:p>
      <w:pPr>
        <w:tabs>
          <w:tab w:val="right" w:leader="dot" w:pos="9062"/>
        </w:tabs>
        <w:ind w:left="1100"/>
      </w:pPr>
      <w:hyperlink w:anchor="_Toc51" w:history="1">
        <w:r>
          <w:rPr>
            <w:rFonts w:ascii="IRNazanin" w:hAnsi="IRNazanin" w:eastAsia="IRNazanin" w:cs="IRNazanin"/>
            <w:color w:val="111111"/>
            <w:sz w:val="22"/>
            <w:szCs w:val="22"/>
            <w:b w:val="0"/>
            <w:bCs w:val="0"/>
            <w:i w:val="0"/>
            <w:iCs w:val="0"/>
          </w:rPr>
          <w:t>[الاستدلال بحدیث«السعة»و المناقشة فیه]</w:t>
        </w:r>
        <w:r>
          <w:tab/>
        </w:r>
        <w:r>
          <w:fldChar w:fldCharType="begin"/>
        </w:r>
        <w:r>
          <w:instrText xml:space="preserve">PAGEREF 51 \h</w:instrText>
        </w:r>
        <w:r>
          <w:fldChar w:fldCharType="end"/>
        </w:r>
      </w:hyperlink>
    </w:p>
    <w:p>
      <w:pPr>
        <w:tabs>
          <w:tab w:val="right" w:leader="dot" w:pos="9062"/>
        </w:tabs>
        <w:ind w:left="1100"/>
      </w:pPr>
      <w:hyperlink w:anchor="_Toc52" w:history="1">
        <w:r>
          <w:rPr>
            <w:rFonts w:ascii="IRNazanin" w:hAnsi="IRNazanin" w:eastAsia="IRNazanin" w:cs="IRNazanin"/>
            <w:color w:val="111111"/>
            <w:sz w:val="22"/>
            <w:szCs w:val="22"/>
            <w:b w:val="0"/>
            <w:bCs w:val="0"/>
            <w:i w:val="0"/>
            <w:iCs w:val="0"/>
          </w:rPr>
          <w:t>[الاستدلال بروایة«عبد الأعلی»و المناقشة فیه]</w:t>
        </w:r>
        <w:r>
          <w:tab/>
        </w:r>
        <w:r>
          <w:fldChar w:fldCharType="begin"/>
        </w:r>
        <w:r>
          <w:instrText xml:space="preserve">PAGEREF 52 \h</w:instrText>
        </w:r>
        <w:r>
          <w:fldChar w:fldCharType="end"/>
        </w:r>
      </w:hyperlink>
    </w:p>
    <w:p>
      <w:pPr>
        <w:tabs>
          <w:tab w:val="right" w:leader="dot" w:pos="9062"/>
        </w:tabs>
        <w:ind w:left="1100"/>
      </w:pPr>
      <w:hyperlink w:anchor="_Toc53" w:history="1">
        <w:r>
          <w:rPr>
            <w:rFonts w:ascii="IRNazanin" w:hAnsi="IRNazanin" w:eastAsia="IRNazanin" w:cs="IRNazanin"/>
            <w:color w:val="111111"/>
            <w:sz w:val="22"/>
            <w:szCs w:val="22"/>
            <w:b w:val="0"/>
            <w:bCs w:val="0"/>
            <w:i w:val="0"/>
            <w:iCs w:val="0"/>
          </w:rPr>
          <w:t>[الاستدلال بروایة«أیّما امرئ...»و المناقشة فیه]</w:t>
        </w:r>
        <w:r>
          <w:tab/>
        </w:r>
        <w:r>
          <w:fldChar w:fldCharType="begin"/>
        </w:r>
        <w:r>
          <w:instrText xml:space="preserve">PAGEREF 53 \h</w:instrText>
        </w:r>
        <w:r>
          <w:fldChar w:fldCharType="end"/>
        </w:r>
      </w:hyperlink>
    </w:p>
    <w:p>
      <w:pPr>
        <w:tabs>
          <w:tab w:val="right" w:leader="dot" w:pos="9062"/>
        </w:tabs>
        <w:ind w:left="1100"/>
      </w:pPr>
      <w:hyperlink w:anchor="_Toc54" w:history="1">
        <w:r>
          <w:rPr>
            <w:rFonts w:ascii="IRNazanin" w:hAnsi="IRNazanin" w:eastAsia="IRNazanin" w:cs="IRNazanin"/>
            <w:color w:val="111111"/>
            <w:sz w:val="22"/>
            <w:szCs w:val="22"/>
            <w:b w:val="0"/>
            <w:bCs w:val="0"/>
            <w:i w:val="0"/>
            <w:iCs w:val="0"/>
          </w:rPr>
          <w:t>[الاستدلال بروایة«إنّ اللّه تعالی یحتجّ...»و المناقشة فیه]</w:t>
        </w:r>
        <w:r>
          <w:tab/>
        </w:r>
        <w:r>
          <w:fldChar w:fldCharType="begin"/>
        </w:r>
        <w:r>
          <w:instrText xml:space="preserve">PAGEREF 54 \h</w:instrText>
        </w:r>
        <w:r>
          <w:fldChar w:fldCharType="end"/>
        </w:r>
      </w:hyperlink>
    </w:p>
    <w:p>
      <w:pPr>
        <w:tabs>
          <w:tab w:val="right" w:leader="dot" w:pos="9062"/>
        </w:tabs>
        <w:ind w:left="1100"/>
      </w:pPr>
      <w:hyperlink w:anchor="_Toc55" w:history="1">
        <w:r>
          <w:rPr>
            <w:rFonts w:ascii="IRNazanin" w:hAnsi="IRNazanin" w:eastAsia="IRNazanin" w:cs="IRNazanin"/>
            <w:color w:val="111111"/>
            <w:sz w:val="22"/>
            <w:szCs w:val="22"/>
            <w:b w:val="0"/>
            <w:bCs w:val="0"/>
            <w:i w:val="0"/>
            <w:iCs w:val="0"/>
          </w:rPr>
          <w:t>[الاستدلال بمرسلة الفقیه]</w:t>
        </w:r>
        <w:r>
          <w:tab/>
        </w:r>
        <w:r>
          <w:fldChar w:fldCharType="begin"/>
        </w:r>
        <w:r>
          <w:instrText xml:space="preserve">PAGEREF 55 \h</w:instrText>
        </w:r>
        <w:r>
          <w:fldChar w:fldCharType="end"/>
        </w:r>
      </w:hyperlink>
    </w:p>
    <w:p>
      <w:pPr>
        <w:tabs>
          <w:tab w:val="right" w:leader="dot" w:pos="9062"/>
        </w:tabs>
        <w:ind w:left="1100"/>
      </w:pPr>
      <w:hyperlink w:anchor="_Toc56" w:history="1">
        <w:r>
          <w:rPr>
            <w:rFonts w:ascii="IRNazanin" w:hAnsi="IRNazanin" w:eastAsia="IRNazanin" w:cs="IRNazanin"/>
            <w:color w:val="111111"/>
            <w:sz w:val="22"/>
            <w:szCs w:val="22"/>
            <w:b w:val="0"/>
            <w:bCs w:val="0"/>
            <w:i w:val="0"/>
            <w:iCs w:val="0"/>
          </w:rPr>
          <w:t>[الاستدلال بصحیحة عبد الرحمن بن الحجّاج]</w:t>
        </w:r>
        <w:r>
          <w:tab/>
        </w:r>
        <w:r>
          <w:fldChar w:fldCharType="begin"/>
        </w:r>
        <w:r>
          <w:instrText xml:space="preserve">PAGEREF 56 \h</w:instrText>
        </w:r>
        <w:r>
          <w:fldChar w:fldCharType="end"/>
        </w:r>
      </w:hyperlink>
    </w:p>
    <w:p>
      <w:pPr>
        <w:tabs>
          <w:tab w:val="right" w:leader="dot" w:pos="9062"/>
        </w:tabs>
        <w:ind w:left="1100"/>
      </w:pPr>
      <w:hyperlink w:anchor="_Toc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57 \h</w:instrText>
        </w:r>
        <w:r>
          <w:fldChar w:fldCharType="end"/>
        </w:r>
      </w:hyperlink>
    </w:p>
    <w:p>
      <w:pPr>
        <w:tabs>
          <w:tab w:val="right" w:leader="dot" w:pos="9062"/>
        </w:tabs>
        <w:ind w:left="1100"/>
      </w:pPr>
      <w:hyperlink w:anchor="_Toc58" w:history="1">
        <w:r>
          <w:rPr>
            <w:rFonts w:ascii="IRNazanin" w:hAnsi="IRNazanin" w:eastAsia="IRNazanin" w:cs="IRNazanin"/>
            <w:color w:val="111111"/>
            <w:sz w:val="22"/>
            <w:szCs w:val="22"/>
            <w:b w:val="0"/>
            <w:bCs w:val="0"/>
            <w:i w:val="0"/>
            <w:iCs w:val="0"/>
          </w:rPr>
          <w:t>[المناقشة فی الاستدلال بالصحیحة]</w:t>
        </w:r>
        <w:r>
          <w:tab/>
        </w:r>
        <w:r>
          <w:fldChar w:fldCharType="begin"/>
        </w:r>
        <w:r>
          <w:instrText xml:space="preserve">PAGEREF 58 \h</w:instrText>
        </w:r>
        <w:r>
          <w:fldChar w:fldCharType="end"/>
        </w:r>
      </w:hyperlink>
    </w:p>
    <w:p>
      <w:pPr>
        <w:tabs>
          <w:tab w:val="right" w:leader="dot" w:pos="9062"/>
        </w:tabs>
        <w:ind w:left="1100"/>
      </w:pPr>
      <w:hyperlink w:anchor="_Toc59" w:history="1">
        <w:r>
          <w:rPr>
            <w:rFonts w:ascii="IRNazanin" w:hAnsi="IRNazanin" w:eastAsia="IRNazanin" w:cs="IRNazanin"/>
            <w:color w:val="111111"/>
            <w:sz w:val="22"/>
            <w:szCs w:val="22"/>
            <w:b w:val="0"/>
            <w:bCs w:val="0"/>
            <w:i w:val="0"/>
            <w:iCs w:val="0"/>
          </w:rPr>
          <w:t>[الاستدلال بروایة«کلّ شیء فیه حلال و حرام...»]</w:t>
        </w:r>
        <w:r>
          <w:tab/>
        </w:r>
        <w:r>
          <w:fldChar w:fldCharType="begin"/>
        </w:r>
        <w:r>
          <w:instrText xml:space="preserve">PAGEREF 59 \h</w:instrText>
        </w:r>
        <w:r>
          <w:fldChar w:fldCharType="end"/>
        </w:r>
      </w:hyperlink>
    </w:p>
    <w:p>
      <w:pPr>
        <w:tabs>
          <w:tab w:val="right" w:leader="dot" w:pos="9062"/>
        </w:tabs>
        <w:ind w:left="1100"/>
      </w:pPr>
      <w:hyperlink w:anchor="_Toc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60 \h</w:instrText>
        </w:r>
        <w:r>
          <w:fldChar w:fldCharType="end"/>
        </w:r>
      </w:hyperlink>
    </w:p>
    <w:p>
      <w:pPr>
        <w:tabs>
          <w:tab w:val="right" w:leader="dot" w:pos="9062"/>
        </w:tabs>
        <w:ind w:left="1100"/>
      </w:pPr>
      <w:hyperlink w:anchor="_Toc61" w:history="1">
        <w:r>
          <w:rPr>
            <w:rFonts w:ascii="IRNazanin" w:hAnsi="IRNazanin" w:eastAsia="IRNazanin" w:cs="IRNazanin"/>
            <w:color w:val="111111"/>
            <w:sz w:val="22"/>
            <w:szCs w:val="22"/>
            <w:b w:val="0"/>
            <w:bCs w:val="0"/>
            <w:i w:val="0"/>
            <w:iCs w:val="0"/>
          </w:rPr>
          <w:t>[المناقشة فی الاستدلال]</w:t>
        </w:r>
        <w:r>
          <w:tab/>
        </w:r>
        <w:r>
          <w:fldChar w:fldCharType="begin"/>
        </w:r>
        <w:r>
          <w:instrText xml:space="preserve">PAGEREF 61 \h</w:instrText>
        </w:r>
        <w:r>
          <w:fldChar w:fldCharType="end"/>
        </w:r>
      </w:hyperlink>
    </w:p>
    <w:p>
      <w:pPr>
        <w:tabs>
          <w:tab w:val="right" w:leader="dot" w:pos="9062"/>
        </w:tabs>
        <w:ind w:left="1100"/>
      </w:pPr>
      <w:hyperlink w:anchor="_Toc62" w:history="1">
        <w:r>
          <w:rPr>
            <w:rFonts w:ascii="IRNazanin" w:hAnsi="IRNazanin" w:eastAsia="IRNazanin" w:cs="IRNazanin"/>
            <w:color w:val="111111"/>
            <w:sz w:val="22"/>
            <w:szCs w:val="22"/>
            <w:b w:val="0"/>
            <w:bCs w:val="0"/>
            <w:i w:val="0"/>
            <w:iCs w:val="0"/>
          </w:rPr>
          <w:t>[المحصّل من الأخبار المستدلّ بها علی البراءة]</w:t>
        </w:r>
        <w:r>
          <w:tab/>
        </w:r>
        <w:r>
          <w:fldChar w:fldCharType="begin"/>
        </w:r>
        <w:r>
          <w:instrText xml:space="preserve">PAGEREF 62 \h</w:instrText>
        </w:r>
        <w:r>
          <w:fldChar w:fldCharType="end"/>
        </w:r>
      </w:hyperlink>
    </w:p>
    <w:p>
      <w:pPr>
        <w:tabs>
          <w:tab w:val="right" w:leader="dot" w:pos="9062"/>
        </w:tabs>
        <w:ind w:left="1100"/>
      </w:pPr>
      <w:hyperlink w:anchor="_Toc63" w:history="1">
        <w:r>
          <w:rPr>
            <w:rFonts w:ascii="IRNazanin" w:hAnsi="IRNazanin" w:eastAsia="IRNazanin" w:cs="IRNazanin"/>
            <w:color w:val="111111"/>
            <w:sz w:val="22"/>
            <w:szCs w:val="22"/>
            <w:b w:val="0"/>
            <w:bCs w:val="0"/>
            <w:i w:val="0"/>
            <w:iCs w:val="0"/>
          </w:rPr>
          <w:t>[الاستدلال علی البراءة بالإجماع:]</w:t>
        </w:r>
        <w:r>
          <w:tab/>
        </w:r>
        <w:r>
          <w:fldChar w:fldCharType="begin"/>
        </w:r>
        <w:r>
          <w:instrText xml:space="preserve">PAGEREF 63 \h</w:instrText>
        </w:r>
        <w:r>
          <w:fldChar w:fldCharType="end"/>
        </w:r>
      </w:hyperlink>
    </w:p>
    <w:p>
      <w:pPr>
        <w:tabs>
          <w:tab w:val="right" w:leader="dot" w:pos="9062"/>
        </w:tabs>
        <w:ind w:left="1100"/>
      </w:pPr>
      <w:hyperlink w:anchor="_Toc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64 \h</w:instrText>
        </w:r>
        <w:r>
          <w:fldChar w:fldCharType="end"/>
        </w:r>
      </w:hyperlink>
    </w:p>
    <w:p>
      <w:pPr>
        <w:tabs>
          <w:tab w:val="right" w:leader="dot" w:pos="9062"/>
        </w:tabs>
        <w:ind w:left="1100"/>
      </w:pPr>
      <w:hyperlink w:anchor="_Toc65" w:history="1">
        <w:r>
          <w:rPr>
            <w:rFonts w:ascii="IRNazanin" w:hAnsi="IRNazanin" w:eastAsia="IRNazanin" w:cs="IRNazanin"/>
            <w:color w:val="111111"/>
            <w:sz w:val="22"/>
            <w:szCs w:val="22"/>
            <w:b w:val="0"/>
            <w:bCs w:val="0"/>
            <w:i w:val="0"/>
            <w:iCs w:val="0"/>
          </w:rPr>
          <w:t>فتقریره من وجهین</w:t>
        </w:r>
        <w:r>
          <w:tab/>
        </w:r>
        <w:r>
          <w:fldChar w:fldCharType="begin"/>
        </w:r>
        <w:r>
          <w:instrText xml:space="preserve">PAGEREF 65 \h</w:instrText>
        </w:r>
        <w:r>
          <w:fldChar w:fldCharType="end"/>
        </w:r>
      </w:hyperlink>
    </w:p>
    <w:p>
      <w:pPr>
        <w:tabs>
          <w:tab w:val="right" w:leader="dot" w:pos="9062"/>
        </w:tabs>
        <w:ind w:left="1100"/>
      </w:pPr>
      <w:hyperlink w:anchor="_Toc66" w:history="1">
        <w:r>
          <w:rPr>
            <w:rFonts w:ascii="IRNazanin" w:hAnsi="IRNazanin" w:eastAsia="IRNazanin" w:cs="IRNazanin"/>
            <w:color w:val="111111"/>
            <w:sz w:val="22"/>
            <w:szCs w:val="22"/>
            <w:b w:val="0"/>
            <w:bCs w:val="0"/>
            <w:i w:val="0"/>
            <w:iCs w:val="0"/>
          </w:rPr>
          <w:t>و تحصیل الإجماع بهذا النحو من وجوه</w:t>
        </w:r>
        <w:r>
          <w:tab/>
        </w:r>
        <w:r>
          <w:fldChar w:fldCharType="begin"/>
        </w:r>
        <w:r>
          <w:instrText xml:space="preserve">PAGEREF 66 \h</w:instrText>
        </w:r>
        <w:r>
          <w:fldChar w:fldCharType="end"/>
        </w:r>
      </w:hyperlink>
    </w:p>
    <w:p>
      <w:pPr>
        <w:tabs>
          <w:tab w:val="right" w:leader="dot" w:pos="9062"/>
        </w:tabs>
        <w:ind w:left="1100"/>
      </w:pPr>
      <w:hyperlink w:anchor="_Toc67" w:history="1">
        <w:r>
          <w:rPr>
            <w:rFonts w:ascii="IRNazanin" w:hAnsi="IRNazanin" w:eastAsia="IRNazanin" w:cs="IRNazanin"/>
            <w:color w:val="111111"/>
            <w:sz w:val="22"/>
            <w:szCs w:val="22"/>
            <w:b w:val="0"/>
            <w:bCs w:val="0"/>
            <w:i w:val="0"/>
            <w:iCs w:val="0"/>
          </w:rPr>
          <w:t>الأوّل : ملاحظة فتاوی العلماء فی موارد الفقه</w:t>
        </w:r>
        <w:r>
          <w:tab/>
        </w:r>
        <w:r>
          <w:fldChar w:fldCharType="begin"/>
        </w:r>
        <w:r>
          <w:instrText xml:space="preserve">PAGEREF 67 \h</w:instrText>
        </w:r>
        <w:r>
          <w:fldChar w:fldCharType="end"/>
        </w:r>
      </w:hyperlink>
    </w:p>
    <w:p>
      <w:pPr>
        <w:tabs>
          <w:tab w:val="right" w:leader="dot" w:pos="9062"/>
        </w:tabs>
        <w:ind w:left="1100"/>
      </w:pPr>
      <w:hyperlink w:anchor="_Toc68" w:history="1">
        <w:r>
          <w:rPr>
            <w:rFonts w:ascii="IRNazanin" w:hAnsi="IRNazanin" w:eastAsia="IRNazanin" w:cs="IRNazanin"/>
            <w:color w:val="111111"/>
            <w:sz w:val="22"/>
            <w:szCs w:val="22"/>
            <w:b w:val="0"/>
            <w:bCs w:val="0"/>
            <w:i w:val="0"/>
            <w:iCs w:val="0"/>
          </w:rPr>
          <w:t>الثانی : الإجماعات المنقولة و الشهرة المحقّقة</w:t>
        </w:r>
        <w:r>
          <w:tab/>
        </w:r>
        <w:r>
          <w:fldChar w:fldCharType="begin"/>
        </w:r>
        <w:r>
          <w:instrText xml:space="preserve">PAGEREF 68 \h</w:instrText>
        </w:r>
        <w:r>
          <w:fldChar w:fldCharType="end"/>
        </w:r>
      </w:hyperlink>
    </w:p>
    <w:p>
      <w:pPr>
        <w:tabs>
          <w:tab w:val="right" w:leader="dot" w:pos="9062"/>
        </w:tabs>
        <w:ind w:left="1100"/>
      </w:pPr>
      <w:hyperlink w:anchor="_Toc69" w:history="1">
        <w:r>
          <w:rPr>
            <w:rFonts w:ascii="IRNazanin" w:hAnsi="IRNazanin" w:eastAsia="IRNazanin" w:cs="IRNazanin"/>
            <w:color w:val="111111"/>
            <w:sz w:val="22"/>
            <w:szCs w:val="22"/>
            <w:b w:val="0"/>
            <w:bCs w:val="0"/>
            <w:i w:val="0"/>
            <w:iCs w:val="0"/>
          </w:rPr>
          <w:t>الثالث : الإجماع العملیّ الکاشف عن رضا المعصوم علیه السّلام</w:t>
        </w:r>
        <w:r>
          <w:tab/>
        </w:r>
        <w:r>
          <w:fldChar w:fldCharType="begin"/>
        </w:r>
        <w:r>
          <w:instrText xml:space="preserve">PAGEREF 69 \h</w:instrText>
        </w:r>
        <w:r>
          <w:fldChar w:fldCharType="end"/>
        </w:r>
      </w:hyperlink>
    </w:p>
    <w:p>
      <w:pPr>
        <w:tabs>
          <w:tab w:val="right" w:leader="dot" w:pos="9062"/>
        </w:tabs>
        <w:ind w:left="1100"/>
      </w:pPr>
      <w:hyperlink w:anchor="_Toc70" w:history="1">
        <w:r>
          <w:rPr>
            <w:rFonts w:ascii="IRNazanin" w:hAnsi="IRNazanin" w:eastAsia="IRNazanin" w:cs="IRNazanin"/>
            <w:color w:val="111111"/>
            <w:sz w:val="22"/>
            <w:szCs w:val="22"/>
            <w:b w:val="0"/>
            <w:bCs w:val="0"/>
            <w:i w:val="0"/>
            <w:iCs w:val="0"/>
          </w:rPr>
          <w:t>[الدلیل العقلی علی البراءة : «قاعدة قبح العقاب بلا بیان»]</w:t>
        </w:r>
        <w:r>
          <w:tab/>
        </w:r>
        <w:r>
          <w:fldChar w:fldCharType="begin"/>
        </w:r>
        <w:r>
          <w:instrText xml:space="preserve">PAGEREF 70 \h</w:instrText>
        </w:r>
        <w:r>
          <w:fldChar w:fldCharType="end"/>
        </w:r>
      </w:hyperlink>
    </w:p>
    <w:p>
      <w:pPr>
        <w:tabs>
          <w:tab w:val="right" w:leader="dot" w:pos="9062"/>
        </w:tabs>
        <w:ind w:left="1100"/>
      </w:pPr>
      <w:hyperlink w:anchor="_Toc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71 \h</w:instrText>
        </w:r>
        <w:r>
          <w:fldChar w:fldCharType="end"/>
        </w:r>
      </w:hyperlink>
    </w:p>
    <w:p>
      <w:pPr>
        <w:tabs>
          <w:tab w:val="right" w:leader="dot" w:pos="9062"/>
        </w:tabs>
        <w:ind w:left="1100"/>
      </w:pPr>
      <w:hyperlink w:anchor="_Toc72" w:history="1">
        <w:r>
          <w:rPr>
            <w:rFonts w:ascii="IRNazanin" w:hAnsi="IRNazanin" w:eastAsia="IRNazanin" w:cs="IRNazanin"/>
            <w:color w:val="111111"/>
            <w:sz w:val="22"/>
            <w:szCs w:val="22"/>
            <w:b w:val="0"/>
            <w:bCs w:val="0"/>
            <w:i w:val="0"/>
            <w:iCs w:val="0"/>
          </w:rPr>
          <w:t>[حکم العقل بوجوب دفع الضرر المحتمل لا یکون بیانا]</w:t>
        </w:r>
        <w:r>
          <w:tab/>
        </w:r>
        <w:r>
          <w:fldChar w:fldCharType="begin"/>
        </w:r>
        <w:r>
          <w:instrText xml:space="preserve">PAGEREF 72 \h</w:instrText>
        </w:r>
        <w:r>
          <w:fldChar w:fldCharType="end"/>
        </w:r>
      </w:hyperlink>
    </w:p>
    <w:p>
      <w:pPr>
        <w:tabs>
          <w:tab w:val="right" w:leader="dot" w:pos="9062"/>
        </w:tabs>
        <w:ind w:left="1100"/>
      </w:pPr>
      <w:hyperlink w:anchor="_Toc73" w:history="1">
        <w:r>
          <w:rPr>
            <w:rFonts w:ascii="IRNazanin" w:hAnsi="IRNazanin" w:eastAsia="IRNazanin" w:cs="IRNazanin"/>
            <w:color w:val="111111"/>
            <w:sz w:val="22"/>
            <w:szCs w:val="22"/>
            <w:b w:val="0"/>
            <w:bCs w:val="0"/>
            <w:i w:val="0"/>
            <w:iCs w:val="0"/>
          </w:rPr>
          <w:t>[ما ذکره فی الغنیة:من أنّ التکلیف بما لا طریق إلی العلم به تکلیف بما لا یطاق]</w:t>
        </w:r>
        <w:r>
          <w:tab/>
        </w:r>
        <w:r>
          <w:fldChar w:fldCharType="begin"/>
        </w:r>
        <w:r>
          <w:instrText xml:space="preserve">PAGEREF 73 \h</w:instrText>
        </w:r>
        <w:r>
          <w:fldChar w:fldCharType="end"/>
        </w:r>
      </w:hyperlink>
    </w:p>
    <w:p>
      <w:pPr>
        <w:tabs>
          <w:tab w:val="right" w:leader="dot" w:pos="9062"/>
        </w:tabs>
        <w:ind w:left="1100"/>
      </w:pPr>
      <w:hyperlink w:anchor="_Toc74" w:history="1">
        <w:r>
          <w:rPr>
            <w:rFonts w:ascii="IRNazanin" w:hAnsi="IRNazanin" w:eastAsia="IRNazanin" w:cs="IRNazanin"/>
            <w:color w:val="111111"/>
            <w:sz w:val="22"/>
            <w:szCs w:val="22"/>
            <w:b w:val="0"/>
            <w:bCs w:val="0"/>
            <w:i w:val="0"/>
            <w:iCs w:val="0"/>
          </w:rPr>
          <w:t>[المراد ب«ما لا یطاق»]</w:t>
        </w:r>
        <w:r>
          <w:tab/>
        </w:r>
        <w:r>
          <w:fldChar w:fldCharType="begin"/>
        </w:r>
        <w:r>
          <w:instrText xml:space="preserve">PAGEREF 74 \h</w:instrText>
        </w:r>
        <w:r>
          <w:fldChar w:fldCharType="end"/>
        </w:r>
      </w:hyperlink>
    </w:p>
    <w:p>
      <w:pPr>
        <w:tabs>
          <w:tab w:val="right" w:leader="dot" w:pos="9062"/>
        </w:tabs>
        <w:ind w:left="1100"/>
      </w:pPr>
      <w:hyperlink w:anchor="_Toc75" w:history="1">
        <w:r>
          <w:rPr>
            <w:rFonts w:ascii="IRNazanin" w:hAnsi="IRNazanin" w:eastAsia="IRNazanin" w:cs="IRNazanin"/>
            <w:color w:val="111111"/>
            <w:sz w:val="22"/>
            <w:szCs w:val="22"/>
            <w:b w:val="0"/>
            <w:bCs w:val="0"/>
            <w:i w:val="0"/>
            <w:iCs w:val="0"/>
          </w:rPr>
          <w:t>[الدلیل العقلی المذکور لیس من أدلّة البراءة]</w:t>
        </w:r>
        <w:r>
          <w:tab/>
        </w:r>
        <w:r>
          <w:fldChar w:fldCharType="begin"/>
        </w:r>
        <w:r>
          <w:instrText xml:space="preserve">PAGEREF 75 \h</w:instrText>
        </w:r>
        <w:r>
          <w:fldChar w:fldCharType="end"/>
        </w:r>
      </w:hyperlink>
    </w:p>
    <w:p>
      <w:pPr>
        <w:tabs>
          <w:tab w:val="right" w:leader="dot" w:pos="9062"/>
        </w:tabs>
        <w:ind w:left="1100"/>
      </w:pPr>
      <w:hyperlink w:anchor="_Toc76" w:history="1">
        <w:r>
          <w:rPr>
            <w:rFonts w:ascii="IRNazanin" w:hAnsi="IRNazanin" w:eastAsia="IRNazanin" w:cs="IRNazanin"/>
            <w:color w:val="111111"/>
            <w:sz w:val="22"/>
            <w:szCs w:val="22"/>
            <w:b w:val="0"/>
            <w:bCs w:val="0"/>
            <w:i w:val="0"/>
            <w:iCs w:val="0"/>
          </w:rPr>
          <w:t>و قد یستدل علی البراءة بوجوه غیر ناهضة</w:t>
        </w:r>
        <w:r>
          <w:tab/>
        </w:r>
        <w:r>
          <w:fldChar w:fldCharType="begin"/>
        </w:r>
        <w:r>
          <w:instrText xml:space="preserve">PAGEREF 76 \h</w:instrText>
        </w:r>
        <w:r>
          <w:fldChar w:fldCharType="end"/>
        </w:r>
      </w:hyperlink>
    </w:p>
    <w:p>
      <w:pPr>
        <w:tabs>
          <w:tab w:val="right" w:leader="dot" w:pos="9062"/>
        </w:tabs>
        <w:ind w:left="1100"/>
      </w:pPr>
      <w:hyperlink w:anchor="_Toc77" w:history="1">
        <w:r>
          <w:rPr>
            <w:rFonts w:ascii="IRNazanin" w:hAnsi="IRNazanin" w:eastAsia="IRNazanin" w:cs="IRNazanin"/>
            <w:color w:val="111111"/>
            <w:sz w:val="22"/>
            <w:szCs w:val="22"/>
            <w:b w:val="0"/>
            <w:bCs w:val="0"/>
            <w:i w:val="0"/>
            <w:iCs w:val="0"/>
          </w:rPr>
          <w:t>منها : استصحاب البراءة المتیقّنة حال الصغر أو الجنون</w:t>
        </w:r>
        <w:r>
          <w:tab/>
        </w:r>
        <w:r>
          <w:fldChar w:fldCharType="begin"/>
        </w:r>
        <w:r>
          <w:instrText xml:space="preserve">PAGEREF 77 \h</w:instrText>
        </w:r>
        <w:r>
          <w:fldChar w:fldCharType="end"/>
        </w:r>
      </w:hyperlink>
    </w:p>
    <w:p>
      <w:pPr>
        <w:tabs>
          <w:tab w:val="right" w:leader="dot" w:pos="9062"/>
        </w:tabs>
        <w:ind w:left="1100"/>
      </w:pPr>
      <w:hyperlink w:anchor="_Toc78" w:history="1">
        <w:r>
          <w:rPr>
            <w:rFonts w:ascii="IRNazanin" w:hAnsi="IRNazanin" w:eastAsia="IRNazanin" w:cs="IRNazanin"/>
            <w:color w:val="111111"/>
            <w:sz w:val="22"/>
            <w:szCs w:val="22"/>
            <w:b w:val="0"/>
            <w:bCs w:val="0"/>
            <w:i w:val="0"/>
            <w:iCs w:val="0"/>
          </w:rPr>
          <w:t>و منها : أنّ الاحتیاط عسر منفیّ وجوبه</w:t>
        </w:r>
        <w:r>
          <w:tab/>
        </w:r>
        <w:r>
          <w:fldChar w:fldCharType="begin"/>
        </w:r>
        <w:r>
          <w:instrText xml:space="preserve">PAGEREF 78 \h</w:instrText>
        </w:r>
        <w:r>
          <w:fldChar w:fldCharType="end"/>
        </w:r>
      </w:hyperlink>
    </w:p>
    <w:p>
      <w:pPr>
        <w:tabs>
          <w:tab w:val="right" w:leader="dot" w:pos="9062"/>
        </w:tabs>
        <w:ind w:left="1100"/>
      </w:pPr>
      <w:hyperlink w:anchor="_Toc79" w:history="1">
        <w:r>
          <w:rPr>
            <w:rFonts w:ascii="IRNazanin" w:hAnsi="IRNazanin" w:eastAsia="IRNazanin" w:cs="IRNazanin"/>
            <w:color w:val="111111"/>
            <w:sz w:val="22"/>
            <w:szCs w:val="22"/>
            <w:b w:val="0"/>
            <w:bCs w:val="0"/>
            <w:i w:val="0"/>
            <w:iCs w:val="0"/>
          </w:rPr>
          <w:t>و منها : أنّ الاحتیاط قد یتعذّر</w:t>
        </w:r>
        <w:r>
          <w:tab/>
        </w:r>
        <w:r>
          <w:fldChar w:fldCharType="begin"/>
        </w:r>
        <w:r>
          <w:instrText xml:space="preserve">PAGEREF 79 \h</w:instrText>
        </w:r>
        <w:r>
          <w:fldChar w:fldCharType="end"/>
        </w:r>
      </w:hyperlink>
    </w:p>
    <w:p>
      <w:pPr>
        <w:tabs>
          <w:tab w:val="right" w:leader="dot" w:pos="9062"/>
        </w:tabs>
        <w:ind w:left="1100"/>
      </w:pPr>
      <w:hyperlink w:anchor="_Toc80" w:history="1">
        <w:r>
          <w:rPr>
            <w:rFonts w:ascii="IRNazanin" w:hAnsi="IRNazanin" w:eastAsia="IRNazanin" w:cs="IRNazanin"/>
            <w:color w:val="111111"/>
            <w:sz w:val="22"/>
            <w:szCs w:val="22"/>
            <w:b w:val="0"/>
            <w:bCs w:val="0"/>
            <w:i w:val="0"/>
            <w:iCs w:val="0"/>
          </w:rPr>
          <w:t>[أدلّة القول بالاحتیاط]</w:t>
        </w:r>
        <w:r>
          <w:tab/>
        </w:r>
        <w:r>
          <w:fldChar w:fldCharType="begin"/>
        </w:r>
        <w:r>
          <w:instrText xml:space="preserve">PAGEREF 80 \h</w:instrText>
        </w:r>
        <w:r>
          <w:fldChar w:fldCharType="end"/>
        </w:r>
      </w:hyperlink>
    </w:p>
    <w:p>
      <w:pPr>
        <w:tabs>
          <w:tab w:val="right" w:leader="dot" w:pos="9062"/>
        </w:tabs>
        <w:ind w:left="1100"/>
      </w:pPr>
      <w:hyperlink w:anchor="_Toc81" w:history="1">
        <w:r>
          <w:rPr>
            <w:rFonts w:ascii="IRNazanin" w:hAnsi="IRNazanin" w:eastAsia="IRNazanin" w:cs="IRNazanin"/>
            <w:color w:val="111111"/>
            <w:sz w:val="22"/>
            <w:szCs w:val="22"/>
            <w:b w:val="0"/>
            <w:bCs w:val="0"/>
            <w:i w:val="0"/>
            <w:iCs w:val="0"/>
          </w:rPr>
          <w:t>اشارة</w:t>
        </w:r>
        <w:r>
          <w:tab/>
        </w:r>
        <w:r>
          <w:fldChar w:fldCharType="begin"/>
        </w:r>
        <w:r>
          <w:instrText xml:space="preserve">PAGEREF 81 \h</w:instrText>
        </w:r>
        <w:r>
          <w:fldChar w:fldCharType="end"/>
        </w:r>
      </w:hyperlink>
    </w:p>
    <w:p>
      <w:pPr>
        <w:tabs>
          <w:tab w:val="right" w:leader="dot" w:pos="9062"/>
        </w:tabs>
        <w:ind w:left="1100"/>
      </w:pPr>
      <w:hyperlink w:anchor="_Toc82" w:history="1">
        <w:r>
          <w:rPr>
            <w:rFonts w:ascii="IRNazanin" w:hAnsi="IRNazanin" w:eastAsia="IRNazanin" w:cs="IRNazanin"/>
            <w:color w:val="111111"/>
            <w:sz w:val="22"/>
            <w:szCs w:val="22"/>
            <w:b w:val="0"/>
            <w:bCs w:val="0"/>
            <w:i w:val="0"/>
            <w:iCs w:val="0"/>
          </w:rPr>
          <w:t>فمن الکتاب طائفتان</w:t>
        </w:r>
        <w:r>
          <w:tab/>
        </w:r>
        <w:r>
          <w:fldChar w:fldCharType="begin"/>
        </w:r>
        <w:r>
          <w:instrText xml:space="preserve">PAGEREF 82 \h</w:instrText>
        </w:r>
        <w:r>
          <w:fldChar w:fldCharType="end"/>
        </w:r>
      </w:hyperlink>
    </w:p>
    <w:p>
      <w:pPr>
        <w:tabs>
          <w:tab w:val="right" w:leader="dot" w:pos="9062"/>
        </w:tabs>
        <w:ind w:left="1100"/>
      </w:pPr>
      <w:hyperlink w:anchor="_Toc83" w:history="1">
        <w:r>
          <w:rPr>
            <w:rFonts w:ascii="IRNazanin" w:hAnsi="IRNazanin" w:eastAsia="IRNazanin" w:cs="IRNazanin"/>
            <w:color w:val="111111"/>
            <w:sz w:val="22"/>
            <w:szCs w:val="22"/>
            <w:b w:val="0"/>
            <w:bCs w:val="0"/>
            <w:i w:val="0"/>
            <w:iCs w:val="0"/>
          </w:rPr>
          <w:t>إحداهما : ما دلّ علی النهی عن القول بغیر علم</w:t>
        </w:r>
        <w:r>
          <w:tab/>
        </w:r>
        <w:r>
          <w:fldChar w:fldCharType="begin"/>
        </w:r>
        <w:r>
          <w:instrText xml:space="preserve">PAGEREF 83 \h</w:instrText>
        </w:r>
        <w:r>
          <w:fldChar w:fldCharType="end"/>
        </w:r>
      </w:hyperlink>
    </w:p>
    <w:p>
      <w:pPr>
        <w:tabs>
          <w:tab w:val="right" w:leader="dot" w:pos="9062"/>
        </w:tabs>
        <w:ind w:left="1100"/>
      </w:pPr>
      <w:hyperlink w:anchor="_Toc84" w:history="1">
        <w:r>
          <w:rPr>
            <w:rFonts w:ascii="IRNazanin" w:hAnsi="IRNazanin" w:eastAsia="IRNazanin" w:cs="IRNazanin"/>
            <w:color w:val="111111"/>
            <w:sz w:val="22"/>
            <w:szCs w:val="22"/>
            <w:b w:val="0"/>
            <w:bCs w:val="0"/>
            <w:i w:val="0"/>
            <w:iCs w:val="0"/>
          </w:rPr>
          <w:t>و الاخری : ما دلّ بظاهره علی لزوم الاحتیاط و الاتّقاء و التورّع</w:t>
        </w:r>
        <w:r>
          <w:tab/>
        </w:r>
        <w:r>
          <w:fldChar w:fldCharType="begin"/>
        </w:r>
        <w:r>
          <w:instrText xml:space="preserve">PAGEREF 84 \h</w:instrText>
        </w:r>
        <w:r>
          <w:fldChar w:fldCharType="end"/>
        </w:r>
      </w:hyperlink>
    </w:p>
    <w:p>
      <w:pPr>
        <w:tabs>
          <w:tab w:val="right" w:leader="dot" w:pos="9062"/>
        </w:tabs>
        <w:ind w:left="1100"/>
      </w:pPr>
      <w:hyperlink w:anchor="_Toc85" w:history="1">
        <w:r>
          <w:rPr>
            <w:rFonts w:ascii="IRNazanin" w:hAnsi="IRNazanin" w:eastAsia="IRNazanin" w:cs="IRNazanin"/>
            <w:color w:val="111111"/>
            <w:sz w:val="22"/>
            <w:szCs w:val="22"/>
            <w:b w:val="0"/>
            <w:bCs w:val="0"/>
            <w:i w:val="0"/>
            <w:iCs w:val="0"/>
          </w:rPr>
          <w:t>[الجواب عن آیات النهی عن القول بغیر علم]</w:t>
        </w:r>
        <w:r>
          <w:tab/>
        </w:r>
        <w:r>
          <w:fldChar w:fldCharType="begin"/>
        </w:r>
        <w:r>
          <w:instrText xml:space="preserve">PAGEREF 85 \h</w:instrText>
        </w:r>
        <w:r>
          <w:fldChar w:fldCharType="end"/>
        </w:r>
      </w:hyperlink>
    </w:p>
    <w:p>
      <w:pPr>
        <w:tabs>
          <w:tab w:val="right" w:leader="dot" w:pos="9062"/>
        </w:tabs>
        <w:ind w:left="1100"/>
      </w:pPr>
      <w:hyperlink w:anchor="_Toc86" w:history="1">
        <w:r>
          <w:rPr>
            <w:rFonts w:ascii="IRNazanin" w:hAnsi="IRNazanin" w:eastAsia="IRNazanin" w:cs="IRNazanin"/>
            <w:color w:val="111111"/>
            <w:sz w:val="22"/>
            <w:szCs w:val="22"/>
            <w:b w:val="0"/>
            <w:bCs w:val="0"/>
            <w:i w:val="0"/>
            <w:iCs w:val="0"/>
          </w:rPr>
          <w:t>[الجواب عن آیات الاحتیاط]</w:t>
        </w:r>
        <w:r>
          <w:tab/>
        </w:r>
        <w:r>
          <w:fldChar w:fldCharType="begin"/>
        </w:r>
        <w:r>
          <w:instrText xml:space="preserve">PAGEREF 86 \h</w:instrText>
        </w:r>
        <w:r>
          <w:fldChar w:fldCharType="end"/>
        </w:r>
      </w:hyperlink>
    </w:p>
    <w:p>
      <w:pPr>
        <w:tabs>
          <w:tab w:val="right" w:leader="dot" w:pos="9062"/>
        </w:tabs>
        <w:ind w:left="1100"/>
      </w:pPr>
      <w:hyperlink w:anchor="_Toc87" w:history="1">
        <w:r>
          <w:rPr>
            <w:rFonts w:ascii="IRNazanin" w:hAnsi="IRNazanin" w:eastAsia="IRNazanin" w:cs="IRNazanin"/>
            <w:color w:val="111111"/>
            <w:sz w:val="22"/>
            <w:szCs w:val="22"/>
            <w:b w:val="0"/>
            <w:bCs w:val="0"/>
            <w:i w:val="0"/>
            <w:iCs w:val="0"/>
          </w:rPr>
          <w:t>و من السنّة طوائف</w:t>
        </w:r>
        <w:r>
          <w:tab/>
        </w:r>
        <w:r>
          <w:fldChar w:fldCharType="begin"/>
        </w:r>
        <w:r>
          <w:instrText xml:space="preserve">PAGEREF 87 \h</w:instrText>
        </w:r>
        <w:r>
          <w:fldChar w:fldCharType="end"/>
        </w:r>
      </w:hyperlink>
    </w:p>
    <w:p>
      <w:pPr>
        <w:tabs>
          <w:tab w:val="right" w:leader="dot" w:pos="9062"/>
        </w:tabs>
        <w:ind w:left="1100"/>
      </w:pPr>
      <w:hyperlink w:anchor="_Toc88" w:history="1">
        <w:r>
          <w:rPr>
            <w:rFonts w:ascii="IRNazanin" w:hAnsi="IRNazanin" w:eastAsia="IRNazanin" w:cs="IRNazanin"/>
            <w:color w:val="111111"/>
            <w:sz w:val="22"/>
            <w:szCs w:val="22"/>
            <w:b w:val="0"/>
            <w:bCs w:val="0"/>
            <w:i w:val="0"/>
            <w:iCs w:val="0"/>
          </w:rPr>
          <w:t>إحداها : ما دلّ علی حرمة القول و العمل بغیر العلم</w:t>
        </w:r>
        <w:r>
          <w:tab/>
        </w:r>
        <w:r>
          <w:fldChar w:fldCharType="begin"/>
        </w:r>
        <w:r>
          <w:instrText xml:space="preserve">PAGEREF 88 \h</w:instrText>
        </w:r>
        <w:r>
          <w:fldChar w:fldCharType="end"/>
        </w:r>
      </w:hyperlink>
    </w:p>
    <w:p>
      <w:pPr>
        <w:tabs>
          <w:tab w:val="right" w:leader="dot" w:pos="9062"/>
        </w:tabs>
        <w:ind w:left="1100"/>
      </w:pPr>
      <w:hyperlink w:anchor="_Toc89" w:history="1">
        <w:r>
          <w:rPr>
            <w:rFonts w:ascii="IRNazanin" w:hAnsi="IRNazanin" w:eastAsia="IRNazanin" w:cs="IRNazanin"/>
            <w:color w:val="111111"/>
            <w:sz w:val="22"/>
            <w:szCs w:val="22"/>
            <w:b w:val="0"/>
            <w:bCs w:val="0"/>
            <w:i w:val="0"/>
            <w:iCs w:val="0"/>
          </w:rPr>
          <w:t>و الثانیة : ما دلّ علی وجوب التوقّف عند الشبهة و عدم العلم</w:t>
        </w:r>
        <w:r>
          <w:tab/>
        </w:r>
        <w:r>
          <w:fldChar w:fldCharType="begin"/>
        </w:r>
        <w:r>
          <w:instrText xml:space="preserve">PAGEREF 89 \h</w:instrText>
        </w:r>
        <w:r>
          <w:fldChar w:fldCharType="end"/>
        </w:r>
      </w:hyperlink>
    </w:p>
    <w:p>
      <w:pPr>
        <w:tabs>
          <w:tab w:val="right" w:leader="dot" w:pos="9062"/>
        </w:tabs>
        <w:ind w:left="1100"/>
      </w:pPr>
      <w:hyperlink w:anchor="_Toc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90 \h</w:instrText>
        </w:r>
        <w:r>
          <w:fldChar w:fldCharType="end"/>
        </w:r>
      </w:hyperlink>
    </w:p>
    <w:p>
      <w:pPr>
        <w:tabs>
          <w:tab w:val="right" w:leader="dot" w:pos="9062"/>
        </w:tabs>
        <w:ind w:left="1100"/>
      </w:pPr>
      <w:hyperlink w:anchor="_Toc91" w:history="1">
        <w:r>
          <w:rPr>
            <w:rFonts w:ascii="IRNazanin" w:hAnsi="IRNazanin" w:eastAsia="IRNazanin" w:cs="IRNazanin"/>
            <w:color w:val="111111"/>
            <w:sz w:val="22"/>
            <w:szCs w:val="22"/>
            <w:b w:val="0"/>
            <w:bCs w:val="0"/>
            <w:i w:val="0"/>
            <w:iCs w:val="0"/>
          </w:rPr>
          <w:t>و الجواب [عن الاستدلال بأخبار التوقّف]</w:t>
        </w:r>
        <w:r>
          <w:tab/>
        </w:r>
        <w:r>
          <w:fldChar w:fldCharType="begin"/>
        </w:r>
        <w:r>
          <w:instrText xml:space="preserve">PAGEREF 91 \h</w:instrText>
        </w:r>
        <w:r>
          <w:fldChar w:fldCharType="end"/>
        </w:r>
      </w:hyperlink>
    </w:p>
    <w:p>
      <w:pPr>
        <w:tabs>
          <w:tab w:val="right" w:leader="dot" w:pos="9062"/>
        </w:tabs>
        <w:ind w:left="1100"/>
      </w:pPr>
      <w:hyperlink w:anchor="_Toc92" w:history="1">
        <w:r>
          <w:rPr>
            <w:rFonts w:ascii="IRNazanin" w:hAnsi="IRNazanin" w:eastAsia="IRNazanin" w:cs="IRNazanin"/>
            <w:color w:val="111111"/>
            <w:sz w:val="22"/>
            <w:szCs w:val="22"/>
            <w:b w:val="0"/>
            <w:bCs w:val="0"/>
            <w:i w:val="0"/>
            <w:iCs w:val="0"/>
          </w:rPr>
          <w:t>[استعمال خیریّة الوقوف عند الشبهة فی مقامین:]</w:t>
        </w:r>
        <w:r>
          <w:tab/>
        </w:r>
        <w:r>
          <w:fldChar w:fldCharType="begin"/>
        </w:r>
        <w:r>
          <w:instrText xml:space="preserve">PAGEREF 92 \h</w:instrText>
        </w:r>
        <w:r>
          <w:fldChar w:fldCharType="end"/>
        </w:r>
      </w:hyperlink>
    </w:p>
    <w:p>
      <w:pPr>
        <w:tabs>
          <w:tab w:val="right" w:leader="dot" w:pos="9062"/>
        </w:tabs>
        <w:ind w:left="1100"/>
      </w:pPr>
      <w:hyperlink w:anchor="_Toc93" w:history="1">
        <w:r>
          <w:rPr>
            <w:rFonts w:ascii="IRNazanin" w:hAnsi="IRNazanin" w:eastAsia="IRNazanin" w:cs="IRNazanin"/>
            <w:color w:val="111111"/>
            <w:sz w:val="22"/>
            <w:szCs w:val="22"/>
            <w:b w:val="0"/>
            <w:bCs w:val="0"/>
            <w:i w:val="0"/>
            <w:iCs w:val="0"/>
          </w:rPr>
          <w:t>اشارة</w:t>
        </w:r>
        <w:r>
          <w:tab/>
        </w:r>
        <w:r>
          <w:fldChar w:fldCharType="begin"/>
        </w:r>
        <w:r>
          <w:instrText xml:space="preserve">PAGEREF 93 \h</w:instrText>
        </w:r>
        <w:r>
          <w:fldChar w:fldCharType="end"/>
        </w:r>
      </w:hyperlink>
    </w:p>
    <w:p>
      <w:pPr>
        <w:tabs>
          <w:tab w:val="right" w:leader="dot" w:pos="9062"/>
        </w:tabs>
        <w:ind w:left="1100"/>
      </w:pPr>
      <w:hyperlink w:anchor="_Toc94" w:history="1">
        <w:r>
          <w:rPr>
            <w:rFonts w:ascii="IRNazanin" w:hAnsi="IRNazanin" w:eastAsia="IRNazanin" w:cs="IRNazanin"/>
            <w:color w:val="111111"/>
            <w:sz w:val="22"/>
            <w:szCs w:val="22"/>
            <w:b w:val="0"/>
            <w:bCs w:val="0"/>
            <w:i w:val="0"/>
            <w:iCs w:val="0"/>
          </w:rPr>
          <w:t>[1-استعمالها فی مقام لزوم التوقّف:]</w:t>
        </w:r>
        <w:r>
          <w:tab/>
        </w:r>
        <w:r>
          <w:fldChar w:fldCharType="begin"/>
        </w:r>
        <w:r>
          <w:instrText xml:space="preserve">PAGEREF 94 \h</w:instrText>
        </w:r>
        <w:r>
          <w:fldChar w:fldCharType="end"/>
        </w:r>
      </w:hyperlink>
    </w:p>
    <w:p>
      <w:pPr>
        <w:tabs>
          <w:tab w:val="right" w:leader="dot" w:pos="9062"/>
        </w:tabs>
        <w:ind w:left="1100"/>
      </w:pPr>
      <w:hyperlink w:anchor="_Toc95" w:history="1">
        <w:r>
          <w:rPr>
            <w:rFonts w:ascii="IRNazanin" w:hAnsi="IRNazanin" w:eastAsia="IRNazanin" w:cs="IRNazanin"/>
            <w:color w:val="111111"/>
            <w:sz w:val="22"/>
            <w:szCs w:val="22"/>
            <w:b w:val="0"/>
            <w:bCs w:val="0"/>
            <w:i w:val="0"/>
            <w:iCs w:val="0"/>
          </w:rPr>
          <w:t>[2-استعمالها فی غیر اللازم:]</w:t>
        </w:r>
        <w:r>
          <w:tab/>
        </w:r>
        <w:r>
          <w:fldChar w:fldCharType="begin"/>
        </w:r>
        <w:r>
          <w:instrText xml:space="preserve">PAGEREF 95 \h</w:instrText>
        </w:r>
        <w:r>
          <w:fldChar w:fldCharType="end"/>
        </w:r>
      </w:hyperlink>
    </w:p>
    <w:p>
      <w:pPr>
        <w:tabs>
          <w:tab w:val="right" w:leader="dot" w:pos="9062"/>
        </w:tabs>
        <w:ind w:left="1100"/>
      </w:pPr>
      <w:hyperlink w:anchor="_Toc96" w:history="1">
        <w:r>
          <w:rPr>
            <w:rFonts w:ascii="IRNazanin" w:hAnsi="IRNazanin" w:eastAsia="IRNazanin" w:cs="IRNazanin"/>
            <w:color w:val="111111"/>
            <w:sz w:val="22"/>
            <w:szCs w:val="22"/>
            <w:b w:val="0"/>
            <w:bCs w:val="0"/>
            <w:i w:val="0"/>
            <w:iCs w:val="0"/>
          </w:rPr>
          <w:t>و قد یجاب عن أخبار التوقّف بوجوه غیر خالیة عن النظر:</w:t>
        </w:r>
        <w:r>
          <w:tab/>
        </w:r>
        <w:r>
          <w:fldChar w:fldCharType="begin"/>
        </w:r>
        <w:r>
          <w:instrText xml:space="preserve">PAGEREF 96 \h</w:instrText>
        </w:r>
        <w:r>
          <w:fldChar w:fldCharType="end"/>
        </w:r>
      </w:hyperlink>
    </w:p>
    <w:p>
      <w:pPr>
        <w:tabs>
          <w:tab w:val="right" w:leader="dot" w:pos="9062"/>
        </w:tabs>
        <w:ind w:left="1100"/>
      </w:pPr>
      <w:hyperlink w:anchor="_Toc97" w:history="1">
        <w:r>
          <w:rPr>
            <w:rFonts w:ascii="IRNazanin" w:hAnsi="IRNazanin" w:eastAsia="IRNazanin" w:cs="IRNazanin"/>
            <w:color w:val="111111"/>
            <w:sz w:val="22"/>
            <w:szCs w:val="22"/>
            <w:b w:val="0"/>
            <w:bCs w:val="0"/>
            <w:i w:val="0"/>
            <w:iCs w:val="0"/>
          </w:rPr>
          <w:t>الثالثة : ما دلّ علی وجوب الاحتیاط</w:t>
        </w:r>
        <w:r>
          <w:tab/>
        </w:r>
        <w:r>
          <w:fldChar w:fldCharType="begin"/>
        </w:r>
        <w:r>
          <w:instrText xml:space="preserve">PAGEREF 97 \h</w:instrText>
        </w:r>
        <w:r>
          <w:fldChar w:fldCharType="end"/>
        </w:r>
      </w:hyperlink>
    </w:p>
    <w:p>
      <w:pPr>
        <w:tabs>
          <w:tab w:val="right" w:leader="dot" w:pos="9062"/>
        </w:tabs>
        <w:ind w:left="1100"/>
      </w:pPr>
      <w:hyperlink w:anchor="_Toc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98 \h</w:instrText>
        </w:r>
        <w:r>
          <w:fldChar w:fldCharType="end"/>
        </w:r>
      </w:hyperlink>
    </w:p>
    <w:p>
      <w:pPr>
        <w:tabs>
          <w:tab w:val="right" w:leader="dot" w:pos="9062"/>
        </w:tabs>
        <w:ind w:left="1100"/>
      </w:pPr>
      <w:hyperlink w:anchor="_Toc99" w:history="1">
        <w:r>
          <w:rPr>
            <w:rFonts w:ascii="IRNazanin" w:hAnsi="IRNazanin" w:eastAsia="IRNazanin" w:cs="IRNazanin"/>
            <w:color w:val="111111"/>
            <w:sz w:val="22"/>
            <w:szCs w:val="22"/>
            <w:b w:val="0"/>
            <w:bCs w:val="0"/>
            <w:i w:val="0"/>
            <w:iCs w:val="0"/>
          </w:rPr>
          <w:t>و الجواب [عن الاستدلال بأخبار الاحتیاط]</w:t>
        </w:r>
        <w:r>
          <w:tab/>
        </w:r>
        <w:r>
          <w:fldChar w:fldCharType="begin"/>
        </w:r>
        <w:r>
          <w:instrText xml:space="preserve">PAGEREF 99 \h</w:instrText>
        </w:r>
        <w:r>
          <w:fldChar w:fldCharType="end"/>
        </w:r>
      </w:hyperlink>
    </w:p>
    <w:p>
      <w:pPr>
        <w:tabs>
          <w:tab w:val="right" w:leader="dot" w:pos="9062"/>
        </w:tabs>
        <w:ind w:left="1100"/>
      </w:pPr>
      <w:hyperlink w:anchor="_Toc100" w:history="1">
        <w:r>
          <w:rPr>
            <w:rFonts w:ascii="IRNazanin" w:hAnsi="IRNazanin" w:eastAsia="IRNazanin" w:cs="IRNazanin"/>
            <w:color w:val="111111"/>
            <w:sz w:val="22"/>
            <w:szCs w:val="22"/>
            <w:b w:val="0"/>
            <w:bCs w:val="0"/>
            <w:i w:val="0"/>
            <w:iCs w:val="0"/>
          </w:rPr>
          <w:t>[الرابعة-أخبار التثلیث]</w:t>
        </w:r>
        <w:r>
          <w:tab/>
        </w:r>
        <w:r>
          <w:fldChar w:fldCharType="begin"/>
        </w:r>
        <w:r>
          <w:instrText xml:space="preserve">PAGEREF 100 \h</w:instrText>
        </w:r>
        <w:r>
          <w:fldChar w:fldCharType="end"/>
        </w:r>
      </w:hyperlink>
    </w:p>
    <w:p>
      <w:pPr>
        <w:tabs>
          <w:tab w:val="right" w:leader="dot" w:pos="9062"/>
        </w:tabs>
        <w:ind w:left="1100"/>
      </w:pPr>
      <w:hyperlink w:anchor="_Toc10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101 \h</w:instrText>
        </w:r>
        <w:r>
          <w:fldChar w:fldCharType="end"/>
        </w:r>
      </w:hyperlink>
    </w:p>
    <w:p>
      <w:pPr>
        <w:tabs>
          <w:tab w:val="right" w:leader="dot" w:pos="9062"/>
        </w:tabs>
        <w:ind w:left="1100"/>
      </w:pPr>
      <w:hyperlink w:anchor="_Toc102" w:history="1">
        <w:r>
          <w:rPr>
            <w:rFonts w:ascii="IRNazanin" w:hAnsi="IRNazanin" w:eastAsia="IRNazanin" w:cs="IRNazanin"/>
            <w:color w:val="111111"/>
            <w:sz w:val="22"/>
            <w:szCs w:val="22"/>
            <w:b w:val="0"/>
            <w:bCs w:val="0"/>
            <w:i w:val="0"/>
            <w:iCs w:val="0"/>
          </w:rPr>
          <w:t>[وجه الاستدلال]</w:t>
        </w:r>
        <w:r>
          <w:tab/>
        </w:r>
        <w:r>
          <w:fldChar w:fldCharType="begin"/>
        </w:r>
        <w:r>
          <w:instrText xml:space="preserve">PAGEREF 102 \h</w:instrText>
        </w:r>
        <w:r>
          <w:fldChar w:fldCharType="end"/>
        </w:r>
      </w:hyperlink>
    </w:p>
    <w:p>
      <w:pPr>
        <w:tabs>
          <w:tab w:val="right" w:leader="dot" w:pos="9062"/>
        </w:tabs>
        <w:ind w:left="1100"/>
      </w:pPr>
      <w:hyperlink w:anchor="_Toc1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103 \h</w:instrText>
        </w:r>
        <w:r>
          <w:fldChar w:fldCharType="end"/>
        </w:r>
      </w:hyperlink>
    </w:p>
    <w:p>
      <w:pPr>
        <w:tabs>
          <w:tab w:val="right" w:leader="dot" w:pos="9062"/>
        </w:tabs>
        <w:ind w:left="1100"/>
      </w:pPr>
      <w:hyperlink w:anchor="_Toc104" w:history="1">
        <w:r>
          <w:rPr>
            <w:rFonts w:ascii="IRNazanin" w:hAnsi="IRNazanin" w:eastAsia="IRNazanin" w:cs="IRNazanin"/>
            <w:color w:val="111111"/>
            <w:sz w:val="22"/>
            <w:szCs w:val="22"/>
            <w:b w:val="0"/>
            <w:bCs w:val="0"/>
            <w:i w:val="0"/>
            <w:iCs w:val="0"/>
          </w:rPr>
          <w:t>[المناقشة فی الاستدلال]</w:t>
        </w:r>
        <w:r>
          <w:tab/>
        </w:r>
        <w:r>
          <w:fldChar w:fldCharType="begin"/>
        </w:r>
        <w:r>
          <w:instrText xml:space="preserve">PAGEREF 104 \h</w:instrText>
        </w:r>
        <w:r>
          <w:fldChar w:fldCharType="end"/>
        </w:r>
      </w:hyperlink>
    </w:p>
    <w:p>
      <w:pPr>
        <w:tabs>
          <w:tab w:val="right" w:leader="dot" w:pos="9062"/>
        </w:tabs>
        <w:ind w:left="1100"/>
      </w:pPr>
      <w:hyperlink w:anchor="_Toc105" w:history="1">
        <w:r>
          <w:rPr>
            <w:rFonts w:ascii="IRNazanin" w:hAnsi="IRNazanin" w:eastAsia="IRNazanin" w:cs="IRNazanin"/>
            <w:color w:val="111111"/>
            <w:sz w:val="22"/>
            <w:szCs w:val="22"/>
            <w:b w:val="0"/>
            <w:bCs w:val="0"/>
            <w:i w:val="0"/>
            <w:iCs w:val="0"/>
          </w:rPr>
          <w:t>[لیس المقصود من الأمر بطرح الشبهات خصوص الإلزام]</w:t>
        </w:r>
        <w:r>
          <w:tab/>
        </w:r>
        <w:r>
          <w:fldChar w:fldCharType="begin"/>
        </w:r>
        <w:r>
          <w:instrText xml:space="preserve">PAGEREF 105 \h</w:instrText>
        </w:r>
        <w:r>
          <w:fldChar w:fldCharType="end"/>
        </w:r>
      </w:hyperlink>
    </w:p>
    <w:p>
      <w:pPr>
        <w:tabs>
          <w:tab w:val="right" w:leader="dot" w:pos="9062"/>
        </w:tabs>
        <w:ind w:left="1100"/>
      </w:pPr>
      <w:hyperlink w:anchor="_Toc106" w:history="1">
        <w:r>
          <w:rPr>
            <w:rFonts w:ascii="IRNazanin" w:hAnsi="IRNazanin" w:eastAsia="IRNazanin" w:cs="IRNazanin"/>
            <w:color w:val="111111"/>
            <w:sz w:val="22"/>
            <w:szCs w:val="22"/>
            <w:b w:val="0"/>
            <w:bCs w:val="0"/>
            <w:i w:val="0"/>
            <w:iCs w:val="0"/>
          </w:rPr>
          <w:t>[المؤیّد لما ذکرنا امور:]</w:t>
        </w:r>
        <w:r>
          <w:tab/>
        </w:r>
        <w:r>
          <w:fldChar w:fldCharType="begin"/>
        </w:r>
        <w:r>
          <w:instrText xml:space="preserve">PAGEREF 106 \h</w:instrText>
        </w:r>
        <w:r>
          <w:fldChar w:fldCharType="end"/>
        </w:r>
      </w:hyperlink>
    </w:p>
    <w:p>
      <w:pPr>
        <w:tabs>
          <w:tab w:val="right" w:leader="dot" w:pos="9062"/>
        </w:tabs>
        <w:ind w:left="1100"/>
      </w:pPr>
      <w:hyperlink w:anchor="_Toc10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107 \h</w:instrText>
        </w:r>
        <w:r>
          <w:fldChar w:fldCharType="end"/>
        </w:r>
      </w:hyperlink>
    </w:p>
    <w:p>
      <w:pPr>
        <w:tabs>
          <w:tab w:val="right" w:leader="dot" w:pos="9062"/>
        </w:tabs>
        <w:ind w:left="1100"/>
      </w:pPr>
      <w:hyperlink w:anchor="_Toc108" w:history="1">
        <w:r>
          <w:rPr>
            <w:rFonts w:ascii="IRNazanin" w:hAnsi="IRNazanin" w:eastAsia="IRNazanin" w:cs="IRNazanin"/>
            <w:color w:val="111111"/>
            <w:sz w:val="22"/>
            <w:szCs w:val="22"/>
            <w:b w:val="0"/>
            <w:bCs w:val="0"/>
            <w:i w:val="0"/>
            <w:iCs w:val="0"/>
          </w:rPr>
          <w:t>أحدها : عموم الشبهات للشبهة الموضوعیّة التحریمیّة</w:t>
        </w:r>
        <w:r>
          <w:tab/>
        </w:r>
        <w:r>
          <w:fldChar w:fldCharType="begin"/>
        </w:r>
        <w:r>
          <w:instrText xml:space="preserve">PAGEREF 108 \h</w:instrText>
        </w:r>
        <w:r>
          <w:fldChar w:fldCharType="end"/>
        </w:r>
      </w:hyperlink>
    </w:p>
    <w:p>
      <w:pPr>
        <w:tabs>
          <w:tab w:val="right" w:leader="dot" w:pos="9062"/>
        </w:tabs>
        <w:ind w:left="1100"/>
      </w:pPr>
      <w:hyperlink w:anchor="_Toc109" w:history="1">
        <w:r>
          <w:rPr>
            <w:rFonts w:ascii="IRNazanin" w:hAnsi="IRNazanin" w:eastAsia="IRNazanin" w:cs="IRNazanin"/>
            <w:color w:val="111111"/>
            <w:sz w:val="22"/>
            <w:szCs w:val="22"/>
            <w:b w:val="0"/>
            <w:bCs w:val="0"/>
            <w:i w:val="0"/>
            <w:iCs w:val="0"/>
          </w:rPr>
          <w:t>الثانی : [کون المراد جنس الشبهة]</w:t>
        </w:r>
        <w:r>
          <w:tab/>
        </w:r>
        <w:r>
          <w:fldChar w:fldCharType="begin"/>
        </w:r>
        <w:r>
          <w:instrText xml:space="preserve">PAGEREF 109 \h</w:instrText>
        </w:r>
        <w:r>
          <w:fldChar w:fldCharType="end"/>
        </w:r>
      </w:hyperlink>
    </w:p>
    <w:p>
      <w:pPr>
        <w:tabs>
          <w:tab w:val="right" w:leader="dot" w:pos="9062"/>
        </w:tabs>
        <w:ind w:left="1100"/>
      </w:pPr>
      <w:hyperlink w:anchor="_Toc110" w:history="1">
        <w:r>
          <w:rPr>
            <w:rFonts w:ascii="IRNazanin" w:hAnsi="IRNazanin" w:eastAsia="IRNazanin" w:cs="IRNazanin"/>
            <w:color w:val="111111"/>
            <w:sz w:val="22"/>
            <w:szCs w:val="22"/>
            <w:b w:val="0"/>
            <w:bCs w:val="0"/>
            <w:i w:val="0"/>
            <w:iCs w:val="0"/>
          </w:rPr>
          <w:t>الثالث : الأخبار الکثیرة</w:t>
        </w:r>
        <w:r>
          <w:tab/>
        </w:r>
        <w:r>
          <w:fldChar w:fldCharType="begin"/>
        </w:r>
        <w:r>
          <w:instrText xml:space="preserve">PAGEREF 110 \h</w:instrText>
        </w:r>
        <w:r>
          <w:fldChar w:fldCharType="end"/>
        </w:r>
      </w:hyperlink>
    </w:p>
    <w:p>
      <w:pPr>
        <w:tabs>
          <w:tab w:val="right" w:leader="dot" w:pos="9062"/>
        </w:tabs>
        <w:ind w:left="1100"/>
      </w:pPr>
      <w:hyperlink w:anchor="_Toc111" w:history="1">
        <w:r>
          <w:rPr>
            <w:rFonts w:ascii="IRNazanin" w:hAnsi="IRNazanin" w:eastAsia="IRNazanin" w:cs="IRNazanin"/>
            <w:color w:val="111111"/>
            <w:sz w:val="22"/>
            <w:szCs w:val="22"/>
            <w:b w:val="0"/>
            <w:bCs w:val="0"/>
            <w:i w:val="0"/>
            <w:iCs w:val="0"/>
          </w:rPr>
          <w:t>[الدلیل العقلی علی وجوب الاحتیاط من وجهین:]</w:t>
        </w:r>
        <w:r>
          <w:tab/>
        </w:r>
        <w:r>
          <w:fldChar w:fldCharType="begin"/>
        </w:r>
        <w:r>
          <w:instrText xml:space="preserve">PAGEREF 111 \h</w:instrText>
        </w:r>
        <w:r>
          <w:fldChar w:fldCharType="end"/>
        </w:r>
      </w:hyperlink>
    </w:p>
    <w:p>
      <w:pPr>
        <w:tabs>
          <w:tab w:val="right" w:leader="dot" w:pos="9062"/>
        </w:tabs>
        <w:ind w:left="1100"/>
      </w:pPr>
      <w:hyperlink w:anchor="_Toc1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112 \h</w:instrText>
        </w:r>
        <w:r>
          <w:fldChar w:fldCharType="end"/>
        </w:r>
      </w:hyperlink>
    </w:p>
    <w:p>
      <w:pPr>
        <w:tabs>
          <w:tab w:val="right" w:leader="dot" w:pos="9062"/>
        </w:tabs>
        <w:ind w:left="1100"/>
      </w:pPr>
      <w:hyperlink w:anchor="_Toc113" w:history="1">
        <w:r>
          <w:rPr>
            <w:rFonts w:ascii="IRNazanin" w:hAnsi="IRNazanin" w:eastAsia="IRNazanin" w:cs="IRNazanin"/>
            <w:color w:val="111111"/>
            <w:sz w:val="22"/>
            <w:szCs w:val="22"/>
            <w:b w:val="0"/>
            <w:bCs w:val="0"/>
            <w:i w:val="0"/>
            <w:iCs w:val="0"/>
          </w:rPr>
          <w:t>أحدهما: [العلم الإجمالی بوجود محرّمات کثیرة]</w:t>
        </w:r>
        <w:r>
          <w:tab/>
        </w:r>
        <w:r>
          <w:fldChar w:fldCharType="begin"/>
        </w:r>
        <w:r>
          <w:instrText xml:space="preserve">PAGEREF 113 \h</w:instrText>
        </w:r>
        <w:r>
          <w:fldChar w:fldCharType="end"/>
        </w:r>
      </w:hyperlink>
    </w:p>
    <w:p>
      <w:pPr>
        <w:tabs>
          <w:tab w:val="right" w:leader="dot" w:pos="9062"/>
        </w:tabs>
        <w:ind w:left="1100"/>
      </w:pPr>
      <w:hyperlink w:anchor="_Toc1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114 \h</w:instrText>
        </w:r>
        <w:r>
          <w:fldChar w:fldCharType="end"/>
        </w:r>
      </w:hyperlink>
    </w:p>
    <w:p>
      <w:pPr>
        <w:tabs>
          <w:tab w:val="right" w:leader="dot" w:pos="9062"/>
        </w:tabs>
        <w:ind w:left="1100"/>
      </w:pPr>
      <w:hyperlink w:anchor="_Toc115" w:history="1">
        <w:r>
          <w:rPr>
            <w:rFonts w:ascii="IRNazanin" w:hAnsi="IRNazanin" w:eastAsia="IRNazanin" w:cs="IRNazanin"/>
            <w:color w:val="111111"/>
            <w:sz w:val="22"/>
            <w:szCs w:val="22"/>
            <w:b w:val="0"/>
            <w:bCs w:val="0"/>
            <w:i w:val="0"/>
            <w:iCs w:val="0"/>
          </w:rPr>
          <w:t>و الجواب [عن هذا الوجه]</w:t>
        </w:r>
        <w:r>
          <w:tab/>
        </w:r>
        <w:r>
          <w:fldChar w:fldCharType="begin"/>
        </w:r>
        <w:r>
          <w:instrText xml:space="preserve">PAGEREF 115 \h</w:instrText>
        </w:r>
        <w:r>
          <w:fldChar w:fldCharType="end"/>
        </w:r>
      </w:hyperlink>
    </w:p>
    <w:p>
      <w:pPr>
        <w:tabs>
          <w:tab w:val="right" w:leader="dot" w:pos="9062"/>
        </w:tabs>
        <w:ind w:left="1100"/>
      </w:pPr>
      <w:hyperlink w:anchor="_Toc116" w:history="1">
        <w:r>
          <w:rPr>
            <w:rFonts w:ascii="IRNazanin" w:hAnsi="IRNazanin" w:eastAsia="IRNazanin" w:cs="IRNazanin"/>
            <w:color w:val="111111"/>
            <w:sz w:val="22"/>
            <w:szCs w:val="22"/>
            <w:b w:val="0"/>
            <w:bCs w:val="0"/>
            <w:i w:val="0"/>
            <w:iCs w:val="0"/>
          </w:rPr>
          <w:t>الوجه الثانی [أصالة الحظر فی الأفعال] :</w:t>
        </w:r>
        <w:r>
          <w:tab/>
        </w:r>
        <w:r>
          <w:fldChar w:fldCharType="begin"/>
        </w:r>
        <w:r>
          <w:instrText xml:space="preserve">PAGEREF 116 \h</w:instrText>
        </w:r>
        <w:r>
          <w:fldChar w:fldCharType="end"/>
        </w:r>
      </w:hyperlink>
    </w:p>
    <w:p>
      <w:pPr>
        <w:tabs>
          <w:tab w:val="right" w:leader="dot" w:pos="9062"/>
        </w:tabs>
        <w:ind w:left="1100"/>
      </w:pPr>
      <w:hyperlink w:anchor="_Toc1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117 \h</w:instrText>
        </w:r>
        <w:r>
          <w:fldChar w:fldCharType="end"/>
        </w:r>
      </w:hyperlink>
    </w:p>
    <w:p>
      <w:pPr>
        <w:tabs>
          <w:tab w:val="right" w:leader="dot" w:pos="9062"/>
        </w:tabs>
        <w:ind w:left="1100"/>
      </w:pPr>
      <w:hyperlink w:anchor="_Toc118" w:history="1">
        <w:r>
          <w:rPr>
            <w:rFonts w:ascii="IRNazanin" w:hAnsi="IRNazanin" w:eastAsia="IRNazanin" w:cs="IRNazanin"/>
            <w:color w:val="111111"/>
            <w:sz w:val="22"/>
            <w:szCs w:val="22"/>
            <w:b w:val="0"/>
            <w:bCs w:val="0"/>
            <w:i w:val="0"/>
            <w:iCs w:val="0"/>
          </w:rPr>
          <w:t>و الجواب [ عن هذا الوجه أیضا]</w:t>
        </w:r>
        <w:r>
          <w:tab/>
        </w:r>
        <w:r>
          <w:fldChar w:fldCharType="begin"/>
        </w:r>
        <w:r>
          <w:instrText xml:space="preserve">PAGEREF 118 \h</w:instrText>
        </w:r>
        <w:r>
          <w:fldChar w:fldCharType="end"/>
        </w:r>
      </w:hyperlink>
    </w:p>
    <w:p>
      <w:pPr>
        <w:tabs>
          <w:tab w:val="right" w:leader="dot" w:pos="9062"/>
        </w:tabs>
        <w:ind w:left="1100"/>
      </w:pPr>
      <w:hyperlink w:anchor="_Toc119" w:history="1">
        <w:r>
          <w:rPr>
            <w:rFonts w:ascii="IRNazanin" w:hAnsi="IRNazanin" w:eastAsia="IRNazanin" w:cs="IRNazanin"/>
            <w:color w:val="111111"/>
            <w:sz w:val="22"/>
            <w:szCs w:val="22"/>
            <w:b w:val="0"/>
            <w:bCs w:val="0"/>
            <w:i w:val="0"/>
            <w:iCs w:val="0"/>
          </w:rPr>
          <w:t>و ینبغی التنبیه علی امور:</w:t>
        </w:r>
        <w:r>
          <w:tab/>
        </w:r>
        <w:r>
          <w:fldChar w:fldCharType="begin"/>
        </w:r>
        <w:r>
          <w:instrText xml:space="preserve">PAGEREF 119 \h</w:instrText>
        </w:r>
        <w:r>
          <w:fldChar w:fldCharType="end"/>
        </w:r>
      </w:hyperlink>
    </w:p>
    <w:p>
      <w:pPr>
        <w:tabs>
          <w:tab w:val="right" w:leader="dot" w:pos="9062"/>
        </w:tabs>
        <w:ind w:left="1100"/>
      </w:pPr>
      <w:hyperlink w:anchor="_Toc120" w:history="1">
        <w:r>
          <w:rPr>
            <w:rFonts w:ascii="IRNazanin" w:hAnsi="IRNazanin" w:eastAsia="IRNazanin" w:cs="IRNazanin"/>
            <w:color w:val="111111"/>
            <w:sz w:val="22"/>
            <w:szCs w:val="22"/>
            <w:b w:val="0"/>
            <w:bCs w:val="0"/>
            <w:i w:val="0"/>
            <w:iCs w:val="0"/>
          </w:rPr>
          <w:t>الأوّل [:التفصیل المحکی عن المحقّق بین ما یعمّ به البلوی و غیره]</w:t>
        </w:r>
        <w:r>
          <w:tab/>
        </w:r>
        <w:r>
          <w:fldChar w:fldCharType="begin"/>
        </w:r>
        <w:r>
          <w:instrText xml:space="preserve">PAGEREF 120 \h</w:instrText>
        </w:r>
        <w:r>
          <w:fldChar w:fldCharType="end"/>
        </w:r>
      </w:hyperlink>
    </w:p>
    <w:p>
      <w:pPr>
        <w:tabs>
          <w:tab w:val="right" w:leader="dot" w:pos="9062"/>
        </w:tabs>
        <w:ind w:left="1100"/>
      </w:pPr>
      <w:hyperlink w:anchor="_Toc1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121 \h</w:instrText>
        </w:r>
        <w:r>
          <w:fldChar w:fldCharType="end"/>
        </w:r>
      </w:hyperlink>
    </w:p>
    <w:p>
      <w:pPr>
        <w:tabs>
          <w:tab w:val="right" w:leader="dot" w:pos="9062"/>
        </w:tabs>
        <w:ind w:left="1100"/>
      </w:pPr>
      <w:hyperlink w:anchor="_Toc122" w:history="1">
        <w:r>
          <w:rPr>
            <w:rFonts w:ascii="IRNazanin" w:hAnsi="IRNazanin" w:eastAsia="IRNazanin" w:cs="IRNazanin"/>
            <w:color w:val="111111"/>
            <w:sz w:val="22"/>
            <w:szCs w:val="22"/>
            <w:b w:val="0"/>
            <w:bCs w:val="0"/>
            <w:i w:val="0"/>
            <w:iCs w:val="0"/>
          </w:rPr>
          <w:t>[المناقشة فیما أفاده المحقّق قدّس سرّه]</w:t>
        </w:r>
        <w:r>
          <w:tab/>
        </w:r>
        <w:r>
          <w:fldChar w:fldCharType="begin"/>
        </w:r>
        <w:r>
          <w:instrText xml:space="preserve">PAGEREF 122 \h</w:instrText>
        </w:r>
        <w:r>
          <w:fldChar w:fldCharType="end"/>
        </w:r>
      </w:hyperlink>
    </w:p>
    <w:p>
      <w:pPr>
        <w:tabs>
          <w:tab w:val="right" w:leader="dot" w:pos="9062"/>
        </w:tabs>
        <w:ind w:left="1100"/>
      </w:pPr>
      <w:hyperlink w:anchor="_Toc123" w:history="1">
        <w:r>
          <w:rPr>
            <w:rFonts w:ascii="IRNazanin" w:hAnsi="IRNazanin" w:eastAsia="IRNazanin" w:cs="IRNazanin"/>
            <w:color w:val="111111"/>
            <w:sz w:val="22"/>
            <w:szCs w:val="22"/>
            <w:b w:val="0"/>
            <w:bCs w:val="0"/>
            <w:i w:val="0"/>
            <w:iCs w:val="0"/>
          </w:rPr>
          <w:t>الثانی [:هل أنّ أصالة الإباحة من الأدلّة الظنّیة أو من الاصول؟]</w:t>
        </w:r>
        <w:r>
          <w:tab/>
        </w:r>
        <w:r>
          <w:fldChar w:fldCharType="begin"/>
        </w:r>
        <w:r>
          <w:instrText xml:space="preserve">PAGEREF 123 \h</w:instrText>
        </w:r>
        <w:r>
          <w:fldChar w:fldCharType="end"/>
        </w:r>
      </w:hyperlink>
    </w:p>
    <w:p>
      <w:pPr>
        <w:tabs>
          <w:tab w:val="right" w:leader="dot" w:pos="9062"/>
        </w:tabs>
        <w:ind w:left="1100"/>
      </w:pPr>
      <w:hyperlink w:anchor="_Toc124" w:history="1">
        <w:r>
          <w:rPr>
            <w:rFonts w:ascii="IRNazanin" w:hAnsi="IRNazanin" w:eastAsia="IRNazanin" w:cs="IRNazanin"/>
            <w:color w:val="111111"/>
            <w:sz w:val="22"/>
            <w:szCs w:val="22"/>
            <w:b w:val="0"/>
            <w:bCs w:val="0"/>
            <w:i w:val="0"/>
            <w:iCs w:val="0"/>
          </w:rPr>
          <w:t>الثالث [:هل أنّ أوامر الاحتیاط للاستحباب أو للإرشاد؟]</w:t>
        </w:r>
        <w:r>
          <w:tab/>
        </w:r>
        <w:r>
          <w:fldChar w:fldCharType="begin"/>
        </w:r>
        <w:r>
          <w:instrText xml:space="preserve">PAGEREF 124 \h</w:instrText>
        </w:r>
        <w:r>
          <w:fldChar w:fldCharType="end"/>
        </w:r>
      </w:hyperlink>
    </w:p>
    <w:p>
      <w:pPr>
        <w:tabs>
          <w:tab w:val="right" w:leader="dot" w:pos="9062"/>
        </w:tabs>
        <w:ind w:left="1100"/>
      </w:pPr>
      <w:hyperlink w:anchor="_Toc1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125 \h</w:instrText>
        </w:r>
        <w:r>
          <w:fldChar w:fldCharType="end"/>
        </w:r>
      </w:hyperlink>
    </w:p>
    <w:p>
      <w:pPr>
        <w:tabs>
          <w:tab w:val="right" w:leader="dot" w:pos="9062"/>
        </w:tabs>
        <w:ind w:left="1100"/>
      </w:pPr>
      <w:hyperlink w:anchor="_Toc126" w:history="1">
        <w:r>
          <w:rPr>
            <w:rFonts w:ascii="IRNazanin" w:hAnsi="IRNazanin" w:eastAsia="IRNazanin" w:cs="IRNazanin"/>
            <w:color w:val="111111"/>
            <w:sz w:val="22"/>
            <w:szCs w:val="22"/>
            <w:b w:val="0"/>
            <w:bCs w:val="0"/>
            <w:i w:val="0"/>
            <w:iCs w:val="0"/>
          </w:rPr>
          <w:t>[الظاهر کونها للإرشاد]</w:t>
        </w:r>
        <w:r>
          <w:tab/>
        </w:r>
        <w:r>
          <w:fldChar w:fldCharType="begin"/>
        </w:r>
        <w:r>
          <w:instrText xml:space="preserve">PAGEREF 126 \h</w:instrText>
        </w:r>
        <w:r>
          <w:fldChar w:fldCharType="end"/>
        </w:r>
      </w:hyperlink>
    </w:p>
    <w:p>
      <w:pPr>
        <w:tabs>
          <w:tab w:val="right" w:leader="dot" w:pos="9062"/>
        </w:tabs>
        <w:ind w:left="1100"/>
      </w:pPr>
      <w:hyperlink w:anchor="_Toc127" w:history="1">
        <w:r>
          <w:rPr>
            <w:rFonts w:ascii="IRNazanin" w:hAnsi="IRNazanin" w:eastAsia="IRNazanin" w:cs="IRNazanin"/>
            <w:color w:val="111111"/>
            <w:sz w:val="22"/>
            <w:szCs w:val="22"/>
            <w:b w:val="0"/>
            <w:bCs w:val="0"/>
            <w:i w:val="0"/>
            <w:iCs w:val="0"/>
          </w:rPr>
          <w:t>[ظاهر بعض الأخبار کونها للاستحباب]</w:t>
        </w:r>
        <w:r>
          <w:tab/>
        </w:r>
        <w:r>
          <w:fldChar w:fldCharType="begin"/>
        </w:r>
        <w:r>
          <w:instrText xml:space="preserve">PAGEREF 127 \h</w:instrText>
        </w:r>
        <w:r>
          <w:fldChar w:fldCharType="end"/>
        </w:r>
      </w:hyperlink>
    </w:p>
    <w:p>
      <w:pPr>
        <w:tabs>
          <w:tab w:val="right" w:leader="dot" w:pos="9062"/>
        </w:tabs>
        <w:ind w:left="1100"/>
      </w:pPr>
      <w:hyperlink w:anchor="_Toc128" w:history="1">
        <w:r>
          <w:rPr>
            <w:rFonts w:ascii="IRNazanin" w:hAnsi="IRNazanin" w:eastAsia="IRNazanin" w:cs="IRNazanin"/>
            <w:color w:val="111111"/>
            <w:sz w:val="22"/>
            <w:szCs w:val="22"/>
            <w:b w:val="0"/>
            <w:bCs w:val="0"/>
            <w:i w:val="0"/>
            <w:iCs w:val="0"/>
          </w:rPr>
          <w:t>الأمر الرابع [:المذاهب الأربعة المنسوبة إلی الأخباریین فیما لا نصّ فیه]</w:t>
        </w:r>
        <w:r>
          <w:tab/>
        </w:r>
        <w:r>
          <w:fldChar w:fldCharType="begin"/>
        </w:r>
        <w:r>
          <w:instrText xml:space="preserve">PAGEREF 128 \h</w:instrText>
        </w:r>
        <w:r>
          <w:fldChar w:fldCharType="end"/>
        </w:r>
      </w:hyperlink>
    </w:p>
    <w:p>
      <w:pPr>
        <w:tabs>
          <w:tab w:val="right" w:leader="dot" w:pos="9062"/>
        </w:tabs>
        <w:ind w:left="1100"/>
      </w:pPr>
      <w:hyperlink w:anchor="_Toc1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129 \h</w:instrText>
        </w:r>
        <w:r>
          <w:fldChar w:fldCharType="end"/>
        </w:r>
      </w:hyperlink>
    </w:p>
    <w:p>
      <w:pPr>
        <w:tabs>
          <w:tab w:val="right" w:leader="dot" w:pos="9062"/>
        </w:tabs>
        <w:ind w:left="1100"/>
      </w:pPr>
      <w:hyperlink w:anchor="_Toc130" w:history="1">
        <w:r>
          <w:rPr>
            <w:rFonts w:ascii="IRNazanin" w:hAnsi="IRNazanin" w:eastAsia="IRNazanin" w:cs="IRNazanin"/>
            <w:color w:val="111111"/>
            <w:sz w:val="22"/>
            <w:szCs w:val="22"/>
            <w:b w:val="0"/>
            <w:bCs w:val="0"/>
            <w:i w:val="0"/>
            <w:iCs w:val="0"/>
          </w:rPr>
          <w:t>[التوقّف أعمّ من الاحتیاط بحسب المورد]</w:t>
        </w:r>
        <w:r>
          <w:tab/>
        </w:r>
        <w:r>
          <w:fldChar w:fldCharType="begin"/>
        </w:r>
        <w:r>
          <w:instrText xml:space="preserve">PAGEREF 130 \h</w:instrText>
        </w:r>
        <w:r>
          <w:fldChar w:fldCharType="end"/>
        </w:r>
      </w:hyperlink>
    </w:p>
    <w:p>
      <w:pPr>
        <w:tabs>
          <w:tab w:val="right" w:leader="dot" w:pos="9062"/>
        </w:tabs>
        <w:ind w:left="1100"/>
      </w:pPr>
      <w:hyperlink w:anchor="_Toc131" w:history="1">
        <w:r>
          <w:rPr>
            <w:rFonts w:ascii="IRNazanin" w:hAnsi="IRNazanin" w:eastAsia="IRNazanin" w:cs="IRNazanin"/>
            <w:color w:val="111111"/>
            <w:sz w:val="22"/>
            <w:szCs w:val="22"/>
            <w:b w:val="0"/>
            <w:bCs w:val="0"/>
            <w:i w:val="0"/>
            <w:iCs w:val="0"/>
          </w:rPr>
          <w:t>و الاحتیاط أعمّ من موارد احتمال التحریم</w:t>
        </w:r>
        <w:r>
          <w:tab/>
        </w:r>
        <w:r>
          <w:fldChar w:fldCharType="begin"/>
        </w:r>
        <w:r>
          <w:instrText xml:space="preserve">PAGEREF 131 \h</w:instrText>
        </w:r>
        <w:r>
          <w:fldChar w:fldCharType="end"/>
        </w:r>
      </w:hyperlink>
    </w:p>
    <w:p>
      <w:pPr>
        <w:tabs>
          <w:tab w:val="right" w:leader="dot" w:pos="9062"/>
        </w:tabs>
        <w:ind w:left="1100"/>
      </w:pPr>
      <w:hyperlink w:anchor="_Toc132" w:history="1">
        <w:r>
          <w:rPr>
            <w:rFonts w:ascii="IRNazanin" w:hAnsi="IRNazanin" w:eastAsia="IRNazanin" w:cs="IRNazanin"/>
            <w:color w:val="111111"/>
            <w:sz w:val="22"/>
            <w:szCs w:val="22"/>
            <w:b w:val="0"/>
            <w:bCs w:val="0"/>
            <w:i w:val="0"/>
            <w:iCs w:val="0"/>
          </w:rPr>
          <w:t>[الفرق بین الحرمة الظاهریّة و الواقعیّة]</w:t>
        </w:r>
        <w:r>
          <w:tab/>
        </w:r>
        <w:r>
          <w:fldChar w:fldCharType="begin"/>
        </w:r>
        <w:r>
          <w:instrText xml:space="preserve">PAGEREF 132 \h</w:instrText>
        </w:r>
        <w:r>
          <w:fldChar w:fldCharType="end"/>
        </w:r>
      </w:hyperlink>
    </w:p>
    <w:p>
      <w:pPr>
        <w:tabs>
          <w:tab w:val="right" w:leader="dot" w:pos="9062"/>
        </w:tabs>
        <w:ind w:left="1100"/>
      </w:pPr>
      <w:hyperlink w:anchor="_Toc133" w:history="1">
        <w:r>
          <w:rPr>
            <w:rFonts w:ascii="IRNazanin" w:hAnsi="IRNazanin" w:eastAsia="IRNazanin" w:cs="IRNazanin"/>
            <w:color w:val="111111"/>
            <w:sz w:val="22"/>
            <w:szCs w:val="22"/>
            <w:b w:val="0"/>
            <w:bCs w:val="0"/>
            <w:i w:val="0"/>
            <w:iCs w:val="0"/>
          </w:rPr>
          <w:t>[أوامر الاحتیاط إرشادیّة]</w:t>
        </w:r>
        <w:r>
          <w:tab/>
        </w:r>
        <w:r>
          <w:fldChar w:fldCharType="begin"/>
        </w:r>
        <w:r>
          <w:instrText xml:space="preserve">PAGEREF 133 \h</w:instrText>
        </w:r>
        <w:r>
          <w:fldChar w:fldCharType="end"/>
        </w:r>
      </w:hyperlink>
    </w:p>
    <w:p>
      <w:pPr>
        <w:tabs>
          <w:tab w:val="right" w:leader="dot" w:pos="9062"/>
        </w:tabs>
        <w:ind w:left="1100"/>
      </w:pPr>
      <w:hyperlink w:anchor="_Toc134" w:history="1">
        <w:r>
          <w:rPr>
            <w:rFonts w:ascii="IRNazanin" w:hAnsi="IRNazanin" w:eastAsia="IRNazanin" w:cs="IRNazanin"/>
            <w:color w:val="111111"/>
            <w:sz w:val="22"/>
            <w:szCs w:val="22"/>
            <w:b w:val="0"/>
            <w:bCs w:val="0"/>
            <w:i w:val="0"/>
            <w:iCs w:val="0"/>
          </w:rPr>
          <w:t>الأمر الخامس [:أصل الإباحة إنّما هو مع عدم أصل موضوعیّ حاکم علیه]</w:t>
        </w:r>
        <w:r>
          <w:tab/>
        </w:r>
        <w:r>
          <w:fldChar w:fldCharType="begin"/>
        </w:r>
        <w:r>
          <w:instrText xml:space="preserve">PAGEREF 134 \h</w:instrText>
        </w:r>
        <w:r>
          <w:fldChar w:fldCharType="end"/>
        </w:r>
      </w:hyperlink>
    </w:p>
    <w:p>
      <w:pPr>
        <w:tabs>
          <w:tab w:val="right" w:leader="dot" w:pos="9062"/>
        </w:tabs>
        <w:ind w:left="1100"/>
      </w:pPr>
      <w:hyperlink w:anchor="_Toc1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135 \h</w:instrText>
        </w:r>
        <w:r>
          <w:fldChar w:fldCharType="end"/>
        </w:r>
      </w:hyperlink>
    </w:p>
    <w:p>
      <w:pPr>
        <w:tabs>
          <w:tab w:val="right" w:leader="dot" w:pos="9062"/>
        </w:tabs>
        <w:ind w:left="1100"/>
      </w:pPr>
      <w:hyperlink w:anchor="_Toc136" w:history="1">
        <w:r>
          <w:rPr>
            <w:rFonts w:ascii="IRNazanin" w:hAnsi="IRNazanin" w:eastAsia="IRNazanin" w:cs="IRNazanin"/>
            <w:color w:val="111111"/>
            <w:sz w:val="22"/>
            <w:szCs w:val="22"/>
            <w:b w:val="0"/>
            <w:bCs w:val="0"/>
            <w:i w:val="0"/>
            <w:iCs w:val="0"/>
          </w:rPr>
          <w:t>[ما یظهر من المحقّق و الشهید الثانیین فی حیوان متولّد من طاهر و نجس و المناقشة فی ذلک]</w:t>
        </w:r>
        <w:r>
          <w:tab/>
        </w:r>
        <w:r>
          <w:fldChar w:fldCharType="begin"/>
        </w:r>
        <w:r>
          <w:instrText xml:space="preserve">PAGEREF 136 \h</w:instrText>
        </w:r>
        <w:r>
          <w:fldChar w:fldCharType="end"/>
        </w:r>
      </w:hyperlink>
    </w:p>
    <w:p>
      <w:pPr>
        <w:tabs>
          <w:tab w:val="right" w:leader="dot" w:pos="9062"/>
        </w:tabs>
        <w:ind w:left="1100"/>
      </w:pPr>
      <w:hyperlink w:anchor="_Toc137" w:history="1">
        <w:r>
          <w:rPr>
            <w:rFonts w:ascii="IRNazanin" w:hAnsi="IRNazanin" w:eastAsia="IRNazanin" w:cs="IRNazanin"/>
            <w:color w:val="111111"/>
            <w:sz w:val="22"/>
            <w:szCs w:val="22"/>
            <w:b w:val="0"/>
            <w:bCs w:val="0"/>
            <w:i w:val="0"/>
            <w:iCs w:val="0"/>
          </w:rPr>
          <w:t>[ما ذکره شارح الروضة فی المسألة و المناقشة فیه]</w:t>
        </w:r>
        <w:r>
          <w:tab/>
        </w:r>
        <w:r>
          <w:fldChar w:fldCharType="begin"/>
        </w:r>
        <w:r>
          <w:instrText xml:space="preserve">PAGEREF 137 \h</w:instrText>
        </w:r>
        <w:r>
          <w:fldChar w:fldCharType="end"/>
        </w:r>
      </w:hyperlink>
    </w:p>
    <w:p>
      <w:pPr>
        <w:tabs>
          <w:tab w:val="right" w:leader="dot" w:pos="9062"/>
        </w:tabs>
        <w:ind w:left="1100"/>
      </w:pPr>
      <w:hyperlink w:anchor="_Toc138" w:history="1">
        <w:r>
          <w:rPr>
            <w:rFonts w:ascii="IRNazanin" w:hAnsi="IRNazanin" w:eastAsia="IRNazanin" w:cs="IRNazanin"/>
            <w:color w:val="111111"/>
            <w:sz w:val="22"/>
            <w:szCs w:val="22"/>
            <w:b w:val="0"/>
            <w:bCs w:val="0"/>
            <w:i w:val="0"/>
            <w:iCs w:val="0"/>
          </w:rPr>
          <w:t>الأمر السادس [:اعتراض بعض الأخباریّین علی الاصولیّین و مناقشته]</w:t>
        </w:r>
        <w:r>
          <w:tab/>
        </w:r>
        <w:r>
          <w:fldChar w:fldCharType="begin"/>
        </w:r>
        <w:r>
          <w:instrText xml:space="preserve">PAGEREF 138 \h</w:instrText>
        </w:r>
        <w:r>
          <w:fldChar w:fldCharType="end"/>
        </w:r>
      </w:hyperlink>
    </w:p>
    <w:p>
      <w:pPr>
        <w:tabs>
          <w:tab w:val="right" w:leader="dot" w:pos="9062"/>
        </w:tabs>
        <w:ind w:left="1100"/>
      </w:pPr>
      <w:hyperlink w:anchor="_Toc139" w:history="1">
        <w:r>
          <w:rPr>
            <w:rFonts w:ascii="IRNazanin" w:hAnsi="IRNazanin" w:eastAsia="IRNazanin" w:cs="IRNazanin"/>
            <w:color w:val="111111"/>
            <w:sz w:val="22"/>
            <w:szCs w:val="22"/>
            <w:b w:val="0"/>
            <w:bCs w:val="0"/>
            <w:i w:val="0"/>
            <w:iCs w:val="0"/>
          </w:rPr>
          <w:t>المسألة الثانیة [:الشبهة التحریمیّة من جهة إجمال النصّ]</w:t>
        </w:r>
        <w:r>
          <w:tab/>
        </w:r>
        <w:r>
          <w:fldChar w:fldCharType="begin"/>
        </w:r>
        <w:r>
          <w:instrText xml:space="preserve">PAGEREF 139 \h</w:instrText>
        </w:r>
        <w:r>
          <w:fldChar w:fldCharType="end"/>
        </w:r>
      </w:hyperlink>
    </w:p>
    <w:p>
      <w:pPr>
        <w:tabs>
          <w:tab w:val="right" w:leader="dot" w:pos="9062"/>
        </w:tabs>
        <w:ind w:left="1100"/>
      </w:pPr>
      <w:hyperlink w:anchor="_Toc140" w:history="1">
        <w:r>
          <w:rPr>
            <w:rFonts w:ascii="IRNazanin" w:hAnsi="IRNazanin" w:eastAsia="IRNazanin" w:cs="IRNazanin"/>
            <w:color w:val="111111"/>
            <w:sz w:val="22"/>
            <w:szCs w:val="22"/>
            <w:b w:val="0"/>
            <w:bCs w:val="0"/>
            <w:i w:val="0"/>
            <w:iCs w:val="0"/>
          </w:rPr>
          <w:t>المسألة الثالثة [:الشبهة التحریمیّة من جهة تعارض النصّین]</w:t>
        </w:r>
        <w:r>
          <w:tab/>
        </w:r>
        <w:r>
          <w:fldChar w:fldCharType="begin"/>
        </w:r>
        <w:r>
          <w:instrText xml:space="preserve">PAGEREF 140 \h</w:instrText>
        </w:r>
        <w:r>
          <w:fldChar w:fldCharType="end"/>
        </w:r>
      </w:hyperlink>
    </w:p>
    <w:p>
      <w:pPr>
        <w:tabs>
          <w:tab w:val="right" w:leader="dot" w:pos="9062"/>
        </w:tabs>
        <w:ind w:left="1100"/>
      </w:pPr>
      <w:hyperlink w:anchor="_Toc1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141 \h</w:instrText>
        </w:r>
        <w:r>
          <w:fldChar w:fldCharType="end"/>
        </w:r>
      </w:hyperlink>
    </w:p>
    <w:p>
      <w:pPr>
        <w:tabs>
          <w:tab w:val="right" w:leader="dot" w:pos="9062"/>
        </w:tabs>
        <w:ind w:left="1100"/>
      </w:pPr>
      <w:hyperlink w:anchor="_Toc142" w:history="1">
        <w:r>
          <w:rPr>
            <w:rFonts w:ascii="IRNazanin" w:hAnsi="IRNazanin" w:eastAsia="IRNazanin" w:cs="IRNazanin"/>
            <w:color w:val="111111"/>
            <w:sz w:val="22"/>
            <w:szCs w:val="22"/>
            <w:b w:val="0"/>
            <w:bCs w:val="0"/>
            <w:i w:val="0"/>
            <w:iCs w:val="0"/>
          </w:rPr>
          <w:t>و الأقوی فیه أیضا عدم وجوب الاحتیاط</w:t>
        </w:r>
        <w:r>
          <w:tab/>
        </w:r>
        <w:r>
          <w:fldChar w:fldCharType="begin"/>
        </w:r>
        <w:r>
          <w:instrText xml:space="preserve">PAGEREF 142 \h</w:instrText>
        </w:r>
        <w:r>
          <w:fldChar w:fldCharType="end"/>
        </w:r>
      </w:hyperlink>
    </w:p>
    <w:p>
      <w:pPr>
        <w:tabs>
          <w:tab w:val="right" w:leader="dot" w:pos="9062"/>
        </w:tabs>
        <w:ind w:left="1100"/>
      </w:pPr>
      <w:hyperlink w:anchor="_Toc143" w:history="1">
        <w:r>
          <w:rPr>
            <w:rFonts w:ascii="IRNazanin" w:hAnsi="IRNazanin" w:eastAsia="IRNazanin" w:cs="IRNazanin"/>
            <w:color w:val="111111"/>
            <w:sz w:val="22"/>
            <w:szCs w:val="22"/>
            <w:b w:val="0"/>
            <w:bCs w:val="0"/>
            <w:i w:val="0"/>
            <w:iCs w:val="0"/>
          </w:rPr>
          <w:t>[ظاهر مرفوعة زرارة وجوب الاحتیاط]</w:t>
        </w:r>
        <w:r>
          <w:tab/>
        </w:r>
        <w:r>
          <w:fldChar w:fldCharType="begin"/>
        </w:r>
        <w:r>
          <w:instrText xml:space="preserve">PAGEREF 143 \h</w:instrText>
        </w:r>
        <w:r>
          <w:fldChar w:fldCharType="end"/>
        </w:r>
      </w:hyperlink>
    </w:p>
    <w:p>
      <w:pPr>
        <w:tabs>
          <w:tab w:val="right" w:leader="dot" w:pos="9062"/>
        </w:tabs>
        <w:ind w:left="1100"/>
      </w:pPr>
      <w:hyperlink w:anchor="_Toc1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144 \h</w:instrText>
        </w:r>
        <w:r>
          <w:fldChar w:fldCharType="end"/>
        </w:r>
      </w:hyperlink>
    </w:p>
    <w:p>
      <w:pPr>
        <w:tabs>
          <w:tab w:val="right" w:leader="dot" w:pos="9062"/>
        </w:tabs>
        <w:ind w:left="1100"/>
      </w:pPr>
      <w:hyperlink w:anchor="_Toc145" w:history="1">
        <w:r>
          <w:rPr>
            <w:rFonts w:ascii="IRNazanin" w:hAnsi="IRNazanin" w:eastAsia="IRNazanin" w:cs="IRNazanin"/>
            <w:color w:val="111111"/>
            <w:sz w:val="22"/>
            <w:szCs w:val="22"/>
            <w:b w:val="0"/>
            <w:bCs w:val="0"/>
            <w:i w:val="0"/>
            <w:iCs w:val="0"/>
          </w:rPr>
          <w:t>[الجواب عن المرفوعة]</w:t>
        </w:r>
        <w:r>
          <w:tab/>
        </w:r>
        <w:r>
          <w:fldChar w:fldCharType="begin"/>
        </w:r>
        <w:r>
          <w:instrText xml:space="preserve">PAGEREF 145 \h</w:instrText>
        </w:r>
        <w:r>
          <w:fldChar w:fldCharType="end"/>
        </w:r>
      </w:hyperlink>
    </w:p>
    <w:p>
      <w:pPr>
        <w:tabs>
          <w:tab w:val="right" w:leader="dot" w:pos="9062"/>
        </w:tabs>
        <w:ind w:left="1100"/>
      </w:pPr>
      <w:hyperlink w:anchor="_Toc146" w:history="1">
        <w:r>
          <w:rPr>
            <w:rFonts w:ascii="IRNazanin" w:hAnsi="IRNazanin" w:eastAsia="IRNazanin" w:cs="IRNazanin"/>
            <w:color w:val="111111"/>
            <w:sz w:val="22"/>
            <w:szCs w:val="22"/>
            <w:b w:val="0"/>
            <w:bCs w:val="0"/>
            <w:i w:val="0"/>
            <w:iCs w:val="0"/>
          </w:rPr>
          <w:t>[تعارض«المقرّر و الناقل»،و«المبیح و الحاظر»]</w:t>
        </w:r>
        <w:r>
          <w:tab/>
        </w:r>
        <w:r>
          <w:fldChar w:fldCharType="begin"/>
        </w:r>
        <w:r>
          <w:instrText xml:space="preserve">PAGEREF 146 \h</w:instrText>
        </w:r>
        <w:r>
          <w:fldChar w:fldCharType="end"/>
        </w:r>
      </w:hyperlink>
    </w:p>
    <w:p>
      <w:pPr>
        <w:tabs>
          <w:tab w:val="right" w:leader="dot" w:pos="9062"/>
        </w:tabs>
        <w:ind w:left="1100"/>
      </w:pPr>
      <w:hyperlink w:anchor="_Toc1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147 \h</w:instrText>
        </w:r>
        <w:r>
          <w:fldChar w:fldCharType="end"/>
        </w:r>
      </w:hyperlink>
    </w:p>
    <w:p>
      <w:pPr>
        <w:tabs>
          <w:tab w:val="right" w:leader="dot" w:pos="9062"/>
        </w:tabs>
        <w:ind w:left="1100"/>
      </w:pPr>
      <w:hyperlink w:anchor="_Toc148" w:history="1">
        <w:r>
          <w:rPr>
            <w:rFonts w:ascii="IRNazanin" w:hAnsi="IRNazanin" w:eastAsia="IRNazanin" w:cs="IRNazanin"/>
            <w:color w:val="111111"/>
            <w:sz w:val="22"/>
            <w:szCs w:val="22"/>
            <w:b w:val="0"/>
            <w:bCs w:val="0"/>
            <w:i w:val="0"/>
            <w:iCs w:val="0"/>
          </w:rPr>
          <w:t>[الفرق بین المسألتین]</w:t>
        </w:r>
        <w:r>
          <w:tab/>
        </w:r>
        <w:r>
          <w:fldChar w:fldCharType="begin"/>
        </w:r>
        <w:r>
          <w:instrText xml:space="preserve">PAGEREF 148 \h</w:instrText>
        </w:r>
        <w:r>
          <w:fldChar w:fldCharType="end"/>
        </w:r>
      </w:hyperlink>
    </w:p>
    <w:p>
      <w:pPr>
        <w:tabs>
          <w:tab w:val="right" w:leader="dot" w:pos="9062"/>
        </w:tabs>
        <w:ind w:left="1100"/>
      </w:pPr>
      <w:hyperlink w:anchor="_Toc149" w:history="1">
        <w:r>
          <w:rPr>
            <w:rFonts w:ascii="IRNazanin" w:hAnsi="IRNazanin" w:eastAsia="IRNazanin" w:cs="IRNazanin"/>
            <w:color w:val="111111"/>
            <w:sz w:val="22"/>
            <w:szCs w:val="22"/>
            <w:b w:val="0"/>
            <w:bCs w:val="0"/>
            <w:i w:val="0"/>
            <w:iCs w:val="0"/>
          </w:rPr>
          <w:t>المسألة الرابعة [:الشبهة التحریمیّة من جهة اشتباه الموضوع]</w:t>
        </w:r>
        <w:r>
          <w:tab/>
        </w:r>
        <w:r>
          <w:fldChar w:fldCharType="begin"/>
        </w:r>
        <w:r>
          <w:instrText xml:space="preserve">PAGEREF 149 \h</w:instrText>
        </w:r>
        <w:r>
          <w:fldChar w:fldCharType="end"/>
        </w:r>
      </w:hyperlink>
    </w:p>
    <w:p>
      <w:pPr>
        <w:tabs>
          <w:tab w:val="right" w:leader="dot" w:pos="9062"/>
        </w:tabs>
        <w:ind w:left="1100"/>
      </w:pPr>
      <w:hyperlink w:anchor="_Toc1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150 \h</w:instrText>
        </w:r>
        <w:r>
          <w:fldChar w:fldCharType="end"/>
        </w:r>
      </w:hyperlink>
    </w:p>
    <w:p>
      <w:pPr>
        <w:tabs>
          <w:tab w:val="right" w:leader="dot" w:pos="9062"/>
        </w:tabs>
        <w:ind w:left="1100"/>
      </w:pPr>
      <w:hyperlink w:anchor="_Toc151" w:history="1">
        <w:r>
          <w:rPr>
            <w:rFonts w:ascii="IRNazanin" w:hAnsi="IRNazanin" w:eastAsia="IRNazanin" w:cs="IRNazanin"/>
            <w:color w:val="111111"/>
            <w:sz w:val="22"/>
            <w:szCs w:val="22"/>
            <w:b w:val="0"/>
            <w:bCs w:val="0"/>
            <w:i w:val="0"/>
            <w:iCs w:val="0"/>
          </w:rPr>
          <w:t>[عدم الخلاف فی الإباحة]</w:t>
        </w:r>
        <w:r>
          <w:tab/>
        </w:r>
        <w:r>
          <w:fldChar w:fldCharType="begin"/>
        </w:r>
        <w:r>
          <w:instrText xml:space="preserve">PAGEREF 151 \h</w:instrText>
        </w:r>
        <w:r>
          <w:fldChar w:fldCharType="end"/>
        </w:r>
      </w:hyperlink>
    </w:p>
    <w:p>
      <w:pPr>
        <w:tabs>
          <w:tab w:val="right" w:leader="dot" w:pos="9062"/>
        </w:tabs>
        <w:ind w:left="1100"/>
      </w:pPr>
      <w:hyperlink w:anchor="_Toc152" w:history="1">
        <w:r>
          <w:rPr>
            <w:rFonts w:ascii="IRNazanin" w:hAnsi="IRNazanin" w:eastAsia="IRNazanin" w:cs="IRNazanin"/>
            <w:color w:val="111111"/>
            <w:sz w:val="22"/>
            <w:szCs w:val="22"/>
            <w:b w:val="0"/>
            <w:bCs w:val="0"/>
            <w:i w:val="0"/>
            <w:iCs w:val="0"/>
          </w:rPr>
          <w:t>[استدلال العلاّمة بروایة مسعدة]</w:t>
        </w:r>
        <w:r>
          <w:tab/>
        </w:r>
        <w:r>
          <w:fldChar w:fldCharType="begin"/>
        </w:r>
        <w:r>
          <w:instrText xml:space="preserve">PAGEREF 152 \h</w:instrText>
        </w:r>
        <w:r>
          <w:fldChar w:fldCharType="end"/>
        </w:r>
      </w:hyperlink>
    </w:p>
    <w:p>
      <w:pPr>
        <w:tabs>
          <w:tab w:val="right" w:leader="dot" w:pos="9062"/>
        </w:tabs>
        <w:ind w:left="1100"/>
      </w:pPr>
      <w:hyperlink w:anchor="_Toc153" w:history="1">
        <w:r>
          <w:rPr>
            <w:rFonts w:ascii="IRNazanin" w:hAnsi="IRNazanin" w:eastAsia="IRNazanin" w:cs="IRNazanin"/>
            <w:color w:val="111111"/>
            <w:sz w:val="22"/>
            <w:szCs w:val="22"/>
            <w:b w:val="0"/>
            <w:bCs w:val="0"/>
            <w:i w:val="0"/>
            <w:iCs w:val="0"/>
          </w:rPr>
          <w:t>[الإشکال فی الأمثلة المذکورة فی الروایة]</w:t>
        </w:r>
        <w:r>
          <w:tab/>
        </w:r>
        <w:r>
          <w:fldChar w:fldCharType="begin"/>
        </w:r>
        <w:r>
          <w:instrText xml:space="preserve">PAGEREF 153 \h</w:instrText>
        </w:r>
        <w:r>
          <w:fldChar w:fldCharType="end"/>
        </w:r>
      </w:hyperlink>
    </w:p>
    <w:p>
      <w:pPr>
        <w:tabs>
          <w:tab w:val="right" w:leader="dot" w:pos="9062"/>
        </w:tabs>
        <w:ind w:left="1100"/>
      </w:pPr>
      <w:hyperlink w:anchor="_Toc154" w:history="1">
        <w:r>
          <w:rPr>
            <w:rFonts w:ascii="IRNazanin" w:hAnsi="IRNazanin" w:eastAsia="IRNazanin" w:cs="IRNazanin"/>
            <w:color w:val="111111"/>
            <w:sz w:val="22"/>
            <w:szCs w:val="22"/>
            <w:b w:val="0"/>
            <w:bCs w:val="0"/>
            <w:i w:val="0"/>
            <w:iCs w:val="0"/>
          </w:rPr>
          <w:t>[توهّم عدم جریان قبح التکلیف من غیر بیان فی المسألة و الجواب عنه]</w:t>
        </w:r>
        <w:r>
          <w:tab/>
        </w:r>
        <w:r>
          <w:fldChar w:fldCharType="begin"/>
        </w:r>
        <w:r>
          <w:instrText xml:space="preserve">PAGEREF 154 \h</w:instrText>
        </w:r>
        <w:r>
          <w:fldChar w:fldCharType="end"/>
        </w:r>
      </w:hyperlink>
    </w:p>
    <w:p>
      <w:pPr>
        <w:tabs>
          <w:tab w:val="right" w:leader="dot" w:pos="9062"/>
        </w:tabs>
        <w:ind w:left="1100"/>
      </w:pPr>
      <w:hyperlink w:anchor="_Toc155" w:history="1">
        <w:r>
          <w:rPr>
            <w:rFonts w:ascii="IRNazanin" w:hAnsi="IRNazanin" w:eastAsia="IRNazanin" w:cs="IRNazanin"/>
            <w:color w:val="111111"/>
            <w:sz w:val="22"/>
            <w:szCs w:val="22"/>
            <w:b w:val="0"/>
            <w:bCs w:val="0"/>
            <w:i w:val="0"/>
            <w:iCs w:val="0"/>
          </w:rPr>
          <w:t>[تقریر التوهّم بوجه آخر و الجواب عنه أیضا]</w:t>
        </w:r>
        <w:r>
          <w:tab/>
        </w:r>
        <w:r>
          <w:fldChar w:fldCharType="begin"/>
        </w:r>
        <w:r>
          <w:instrText xml:space="preserve">PAGEREF 155 \h</w:instrText>
        </w:r>
        <w:r>
          <w:fldChar w:fldCharType="end"/>
        </w:r>
      </w:hyperlink>
    </w:p>
    <w:p>
      <w:pPr>
        <w:tabs>
          <w:tab w:val="right" w:leader="dot" w:pos="9062"/>
        </w:tabs>
        <w:ind w:left="1100"/>
      </w:pPr>
      <w:hyperlink w:anchor="_Toc156" w:history="1">
        <w:r>
          <w:rPr>
            <w:rFonts w:ascii="IRNazanin" w:hAnsi="IRNazanin" w:eastAsia="IRNazanin" w:cs="IRNazanin"/>
            <w:color w:val="111111"/>
            <w:sz w:val="22"/>
            <w:szCs w:val="22"/>
            <w:b w:val="0"/>
            <w:bCs w:val="0"/>
            <w:i w:val="0"/>
            <w:iCs w:val="0"/>
          </w:rPr>
          <w:t>[عدم حکم العقل بوجوب دفع الضرر إذا ترتّب علیه نفع اخروی]</w:t>
        </w:r>
        <w:r>
          <w:tab/>
        </w:r>
        <w:r>
          <w:fldChar w:fldCharType="begin"/>
        </w:r>
        <w:r>
          <w:instrText xml:space="preserve">PAGEREF 156 \h</w:instrText>
        </w:r>
        <w:r>
          <w:fldChar w:fldCharType="end"/>
        </w:r>
      </w:hyperlink>
    </w:p>
    <w:p>
      <w:pPr>
        <w:tabs>
          <w:tab w:val="right" w:leader="dot" w:pos="9062"/>
        </w:tabs>
        <w:ind w:left="1100"/>
      </w:pPr>
      <w:hyperlink w:anchor="_Toc157" w:history="1">
        <w:r>
          <w:rPr>
            <w:rFonts w:ascii="IRNazanin" w:hAnsi="IRNazanin" w:eastAsia="IRNazanin" w:cs="IRNazanin"/>
            <w:color w:val="111111"/>
            <w:sz w:val="22"/>
            <w:szCs w:val="22"/>
            <w:b w:val="0"/>
            <w:bCs w:val="0"/>
            <w:i w:val="0"/>
            <w:iCs w:val="0"/>
          </w:rPr>
          <w:t>و ینبغی التنبیه علی امور:</w:t>
        </w:r>
        <w:r>
          <w:tab/>
        </w:r>
        <w:r>
          <w:fldChar w:fldCharType="begin"/>
        </w:r>
        <w:r>
          <w:instrText xml:space="preserve">PAGEREF 157 \h</w:instrText>
        </w:r>
        <w:r>
          <w:fldChar w:fldCharType="end"/>
        </w:r>
      </w:hyperlink>
    </w:p>
    <w:p>
      <w:pPr>
        <w:tabs>
          <w:tab w:val="right" w:leader="dot" w:pos="9062"/>
        </w:tabs>
        <w:ind w:left="1100"/>
      </w:pPr>
      <w:hyperlink w:anchor="_Toc158" w:history="1">
        <w:r>
          <w:rPr>
            <w:rFonts w:ascii="IRNazanin" w:hAnsi="IRNazanin" w:eastAsia="IRNazanin" w:cs="IRNazanin"/>
            <w:color w:val="111111"/>
            <w:sz w:val="22"/>
            <w:szCs w:val="22"/>
            <w:b w:val="0"/>
            <w:bCs w:val="0"/>
            <w:i w:val="0"/>
            <w:iCs w:val="0"/>
          </w:rPr>
          <w:t>الأمر الأوّل:محلّ الکلام فی الشبهة الموضوعیّة ما إذا لم یکن أصل موضوعیّ یقضی بالحرمة</w:t>
        </w:r>
        <w:r>
          <w:tab/>
        </w:r>
        <w:r>
          <w:fldChar w:fldCharType="begin"/>
        </w:r>
        <w:r>
          <w:instrText xml:space="preserve">PAGEREF 158 \h</w:instrText>
        </w:r>
        <w:r>
          <w:fldChar w:fldCharType="end"/>
        </w:r>
      </w:hyperlink>
    </w:p>
    <w:p>
      <w:pPr>
        <w:tabs>
          <w:tab w:val="right" w:leader="dot" w:pos="9062"/>
        </w:tabs>
        <w:ind w:left="1100"/>
      </w:pPr>
      <w:hyperlink w:anchor="_Toc159" w:history="1">
        <w:r>
          <w:rPr>
            <w:rFonts w:ascii="IRNazanin" w:hAnsi="IRNazanin" w:eastAsia="IRNazanin" w:cs="IRNazanin"/>
            <w:color w:val="111111"/>
            <w:sz w:val="22"/>
            <w:szCs w:val="22"/>
            <w:b w:val="0"/>
            <w:bCs w:val="0"/>
            <w:i w:val="0"/>
            <w:iCs w:val="0"/>
          </w:rPr>
          <w:t>الأمر الثانی:کلمات المحدّث العاملی فی الفرق بین الشبهة فی نفس الحکم و بین الشبهة فی طریقه و المناقشة فیها</w:t>
        </w:r>
        <w:r>
          <w:tab/>
        </w:r>
        <w:r>
          <w:fldChar w:fldCharType="begin"/>
        </w:r>
        <w:r>
          <w:instrText xml:space="preserve">PAGEREF 159 \h</w:instrText>
        </w:r>
        <w:r>
          <w:fldChar w:fldCharType="end"/>
        </w:r>
      </w:hyperlink>
    </w:p>
    <w:p>
      <w:pPr>
        <w:tabs>
          <w:tab w:val="right" w:leader="dot" w:pos="9062"/>
        </w:tabs>
        <w:ind w:left="1100"/>
      </w:pPr>
      <w:hyperlink w:anchor="_Toc160" w:history="1">
        <w:r>
          <w:rPr>
            <w:rFonts w:ascii="IRNazanin" w:hAnsi="IRNazanin" w:eastAsia="IRNazanin" w:cs="IRNazanin"/>
            <w:color w:val="111111"/>
            <w:sz w:val="22"/>
            <w:szCs w:val="22"/>
            <w:b w:val="0"/>
            <w:bCs w:val="0"/>
            <w:i w:val="0"/>
            <w:iCs w:val="0"/>
          </w:rPr>
          <w:t>الأمر الثالث [:الاحتیاط التامّ موجب لاختلال النظام]</w:t>
        </w:r>
        <w:r>
          <w:tab/>
        </w:r>
        <w:r>
          <w:fldChar w:fldCharType="begin"/>
        </w:r>
        <w:r>
          <w:instrText xml:space="preserve">PAGEREF 160 \h</w:instrText>
        </w:r>
        <w:r>
          <w:fldChar w:fldCharType="end"/>
        </w:r>
      </w:hyperlink>
    </w:p>
    <w:p>
      <w:pPr>
        <w:tabs>
          <w:tab w:val="right" w:leader="dot" w:pos="9062"/>
        </w:tabs>
        <w:ind w:left="1100"/>
      </w:pPr>
      <w:hyperlink w:anchor="_Toc1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161 \h</w:instrText>
        </w:r>
        <w:r>
          <w:fldChar w:fldCharType="end"/>
        </w:r>
      </w:hyperlink>
    </w:p>
    <w:p>
      <w:pPr>
        <w:tabs>
          <w:tab w:val="right" w:leader="dot" w:pos="9062"/>
        </w:tabs>
        <w:ind w:left="1100"/>
      </w:pPr>
      <w:hyperlink w:anchor="_Toc162" w:history="1">
        <w:r>
          <w:rPr>
            <w:rFonts w:ascii="IRNazanin" w:hAnsi="IRNazanin" w:eastAsia="IRNazanin" w:cs="IRNazanin"/>
            <w:color w:val="111111"/>
            <w:sz w:val="22"/>
            <w:szCs w:val="22"/>
            <w:b w:val="0"/>
            <w:bCs w:val="0"/>
            <w:i w:val="0"/>
            <w:iCs w:val="0"/>
          </w:rPr>
          <w:t>[التبعیض بحسب الاحتمالات]</w:t>
        </w:r>
        <w:r>
          <w:tab/>
        </w:r>
        <w:r>
          <w:fldChar w:fldCharType="begin"/>
        </w:r>
        <w:r>
          <w:instrText xml:space="preserve">PAGEREF 162 \h</w:instrText>
        </w:r>
        <w:r>
          <w:fldChar w:fldCharType="end"/>
        </w:r>
      </w:hyperlink>
    </w:p>
    <w:p>
      <w:pPr>
        <w:tabs>
          <w:tab w:val="right" w:leader="dot" w:pos="9062"/>
        </w:tabs>
        <w:ind w:left="1100"/>
      </w:pPr>
      <w:hyperlink w:anchor="_Toc163" w:history="1">
        <w:r>
          <w:rPr>
            <w:rFonts w:ascii="IRNazanin" w:hAnsi="IRNazanin" w:eastAsia="IRNazanin" w:cs="IRNazanin"/>
            <w:color w:val="111111"/>
            <w:sz w:val="22"/>
            <w:szCs w:val="22"/>
            <w:b w:val="0"/>
            <w:bCs w:val="0"/>
            <w:i w:val="0"/>
            <w:iCs w:val="0"/>
          </w:rPr>
          <w:t>[التبعیض بحسب المحتملات]</w:t>
        </w:r>
        <w:r>
          <w:tab/>
        </w:r>
        <w:r>
          <w:fldChar w:fldCharType="begin"/>
        </w:r>
        <w:r>
          <w:instrText xml:space="preserve">PAGEREF 163 \h</w:instrText>
        </w:r>
        <w:r>
          <w:fldChar w:fldCharType="end"/>
        </w:r>
      </w:hyperlink>
    </w:p>
    <w:p>
      <w:pPr>
        <w:tabs>
          <w:tab w:val="right" w:leader="dot" w:pos="9062"/>
        </w:tabs>
        <w:ind w:left="1100"/>
      </w:pPr>
      <w:hyperlink w:anchor="_Toc164" w:history="1">
        <w:r>
          <w:rPr>
            <w:rFonts w:ascii="IRNazanin" w:hAnsi="IRNazanin" w:eastAsia="IRNazanin" w:cs="IRNazanin"/>
            <w:color w:val="111111"/>
            <w:sz w:val="22"/>
            <w:szCs w:val="22"/>
            <w:b w:val="0"/>
            <w:bCs w:val="0"/>
            <w:i w:val="0"/>
            <w:iCs w:val="0"/>
          </w:rPr>
          <w:t>[التبعیض بین مورد الأمارة علی الإباحة و بین غیره]</w:t>
        </w:r>
        <w:r>
          <w:tab/>
        </w:r>
        <w:r>
          <w:fldChar w:fldCharType="begin"/>
        </w:r>
        <w:r>
          <w:instrText xml:space="preserve">PAGEREF 164 \h</w:instrText>
        </w:r>
        <w:r>
          <w:fldChar w:fldCharType="end"/>
        </w:r>
      </w:hyperlink>
    </w:p>
    <w:p>
      <w:pPr>
        <w:tabs>
          <w:tab w:val="right" w:leader="dot" w:pos="9062"/>
        </w:tabs>
        <w:ind w:left="1100"/>
      </w:pPr>
      <w:hyperlink w:anchor="_Toc165" w:history="1">
        <w:r>
          <w:rPr>
            <w:rFonts w:ascii="IRNazanin" w:hAnsi="IRNazanin" w:eastAsia="IRNazanin" w:cs="IRNazanin"/>
            <w:color w:val="111111"/>
            <w:sz w:val="22"/>
            <w:szCs w:val="22"/>
            <w:b w:val="0"/>
            <w:bCs w:val="0"/>
            <w:i w:val="0"/>
            <w:iCs w:val="0"/>
          </w:rPr>
          <w:t>الأمر الرابع [:عدم اختصاص الإباحة بالعاجز عن الاستعلام]</w:t>
        </w:r>
        <w:r>
          <w:tab/>
        </w:r>
        <w:r>
          <w:fldChar w:fldCharType="begin"/>
        </w:r>
        <w:r>
          <w:instrText xml:space="preserve">PAGEREF 165 \h</w:instrText>
        </w:r>
        <w:r>
          <w:fldChar w:fldCharType="end"/>
        </w:r>
      </w:hyperlink>
    </w:p>
    <w:p>
      <w:pPr>
        <w:tabs>
          <w:tab w:val="right" w:leader="dot" w:pos="9062"/>
        </w:tabs>
        <w:ind w:left="1100"/>
      </w:pPr>
      <w:hyperlink w:anchor="_Toc166" w:history="1">
        <w:r>
          <w:rPr>
            <w:rFonts w:ascii="IRNazanin" w:hAnsi="IRNazanin" w:eastAsia="IRNazanin" w:cs="IRNazanin"/>
            <w:color w:val="111111"/>
            <w:sz w:val="22"/>
            <w:szCs w:val="22"/>
            <w:b w:val="0"/>
            <w:bCs w:val="0"/>
            <w:i w:val="0"/>
            <w:iCs w:val="0"/>
          </w:rPr>
          <w:t>المطلب الثانی [:الشبهة الوجوبیّة،و فیه مسائل:]</w:t>
        </w:r>
        <w:r>
          <w:tab/>
        </w:r>
        <w:r>
          <w:fldChar w:fldCharType="begin"/>
        </w:r>
        <w:r>
          <w:instrText xml:space="preserve">PAGEREF 166 \h</w:instrText>
        </w:r>
        <w:r>
          <w:fldChar w:fldCharType="end"/>
        </w:r>
      </w:hyperlink>
    </w:p>
    <w:p>
      <w:pPr>
        <w:tabs>
          <w:tab w:val="right" w:leader="dot" w:pos="9062"/>
        </w:tabs>
        <w:ind w:left="1100"/>
      </w:pPr>
      <w:hyperlink w:anchor="_Toc1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167 \h</w:instrText>
        </w:r>
        <w:r>
          <w:fldChar w:fldCharType="end"/>
        </w:r>
      </w:hyperlink>
    </w:p>
    <w:p>
      <w:pPr>
        <w:tabs>
          <w:tab w:val="right" w:leader="dot" w:pos="9062"/>
        </w:tabs>
        <w:ind w:left="1100"/>
      </w:pPr>
      <w:hyperlink w:anchor="_Toc168" w:history="1">
        <w:r>
          <w:rPr>
            <w:rFonts w:ascii="IRNazanin" w:hAnsi="IRNazanin" w:eastAsia="IRNazanin" w:cs="IRNazanin"/>
            <w:color w:val="111111"/>
            <w:sz w:val="22"/>
            <w:szCs w:val="22"/>
            <w:b w:val="0"/>
            <w:bCs w:val="0"/>
            <w:i w:val="0"/>
            <w:iCs w:val="0"/>
          </w:rPr>
          <w:t>المسألة الاولی [:الشبهة الوجوبیّة من جهة فقدان النصّ]</w:t>
        </w:r>
        <w:r>
          <w:tab/>
        </w:r>
        <w:r>
          <w:fldChar w:fldCharType="begin"/>
        </w:r>
        <w:r>
          <w:instrText xml:space="preserve">PAGEREF 168 \h</w:instrText>
        </w:r>
        <w:r>
          <w:fldChar w:fldCharType="end"/>
        </w:r>
      </w:hyperlink>
    </w:p>
    <w:p>
      <w:pPr>
        <w:tabs>
          <w:tab w:val="right" w:leader="dot" w:pos="9062"/>
        </w:tabs>
        <w:ind w:left="1100"/>
      </w:pPr>
      <w:hyperlink w:anchor="_Toc16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169 \h</w:instrText>
        </w:r>
        <w:r>
          <w:fldChar w:fldCharType="end"/>
        </w:r>
      </w:hyperlink>
    </w:p>
    <w:p>
      <w:pPr>
        <w:tabs>
          <w:tab w:val="right" w:leader="dot" w:pos="9062"/>
        </w:tabs>
        <w:ind w:left="1100"/>
      </w:pPr>
      <w:hyperlink w:anchor="_Toc170" w:history="1">
        <w:r>
          <w:rPr>
            <w:rFonts w:ascii="IRNazanin" w:hAnsi="IRNazanin" w:eastAsia="IRNazanin" w:cs="IRNazanin"/>
            <w:color w:val="111111"/>
            <w:sz w:val="22"/>
            <w:szCs w:val="22"/>
            <w:b w:val="0"/>
            <w:bCs w:val="0"/>
            <w:i w:val="0"/>
            <w:iCs w:val="0"/>
          </w:rPr>
          <w:t>[المعروف من الأخباریّین عدم وجوب الاحتیاط]</w:t>
        </w:r>
        <w:r>
          <w:tab/>
        </w:r>
        <w:r>
          <w:fldChar w:fldCharType="begin"/>
        </w:r>
        <w:r>
          <w:instrText xml:space="preserve">PAGEREF 170 \h</w:instrText>
        </w:r>
        <w:r>
          <w:fldChar w:fldCharType="end"/>
        </w:r>
      </w:hyperlink>
    </w:p>
    <w:p>
      <w:pPr>
        <w:tabs>
          <w:tab w:val="right" w:leader="dot" w:pos="9062"/>
        </w:tabs>
        <w:ind w:left="1100"/>
      </w:pPr>
      <w:hyperlink w:anchor="_Toc171" w:history="1">
        <w:r>
          <w:rPr>
            <w:rFonts w:ascii="IRNazanin" w:hAnsi="IRNazanin" w:eastAsia="IRNazanin" w:cs="IRNazanin"/>
            <w:color w:val="111111"/>
            <w:sz w:val="22"/>
            <w:szCs w:val="22"/>
            <w:b w:val="0"/>
            <w:bCs w:val="0"/>
            <w:i w:val="0"/>
            <w:iCs w:val="0"/>
          </w:rPr>
          <w:t>[المسألة خلافیّة و الأقوی البراءة]</w:t>
        </w:r>
        <w:r>
          <w:tab/>
        </w:r>
        <w:r>
          <w:fldChar w:fldCharType="begin"/>
        </w:r>
        <w:r>
          <w:instrText xml:space="preserve">PAGEREF 171 \h</w:instrText>
        </w:r>
        <w:r>
          <w:fldChar w:fldCharType="end"/>
        </w:r>
      </w:hyperlink>
    </w:p>
    <w:p>
      <w:pPr>
        <w:tabs>
          <w:tab w:val="right" w:leader="dot" w:pos="9062"/>
        </w:tabs>
        <w:ind w:left="1100"/>
      </w:pPr>
      <w:hyperlink w:anchor="_Toc172" w:history="1">
        <w:r>
          <w:rPr>
            <w:rFonts w:ascii="IRNazanin" w:hAnsi="IRNazanin" w:eastAsia="IRNazanin" w:cs="IRNazanin"/>
            <w:color w:val="111111"/>
            <w:sz w:val="22"/>
            <w:szCs w:val="22"/>
            <w:b w:val="0"/>
            <w:bCs w:val="0"/>
            <w:i w:val="0"/>
            <w:iCs w:val="0"/>
          </w:rPr>
          <w:t>و ینبغی التنبیه علی امور</w:t>
        </w:r>
        <w:r>
          <w:tab/>
        </w:r>
        <w:r>
          <w:fldChar w:fldCharType="begin"/>
        </w:r>
        <w:r>
          <w:instrText xml:space="preserve">PAGEREF 172 \h</w:instrText>
        </w:r>
        <w:r>
          <w:fldChar w:fldCharType="end"/>
        </w:r>
      </w:hyperlink>
    </w:p>
    <w:p>
      <w:pPr>
        <w:tabs>
          <w:tab w:val="right" w:leader="dot" w:pos="9062"/>
        </w:tabs>
        <w:ind w:left="1100"/>
      </w:pPr>
      <w:hyperlink w:anchor="_Toc173" w:history="1">
        <w:r>
          <w:rPr>
            <w:rFonts w:ascii="IRNazanin" w:hAnsi="IRNazanin" w:eastAsia="IRNazanin" w:cs="IRNazanin"/>
            <w:color w:val="111111"/>
            <w:sz w:val="22"/>
            <w:szCs w:val="22"/>
            <w:b w:val="0"/>
            <w:bCs w:val="0"/>
            <w:i w:val="0"/>
            <w:iCs w:val="0"/>
          </w:rPr>
          <w:t>الأمر الأوّل [:محلّ الکلام فی المسألة]</w:t>
        </w:r>
        <w:r>
          <w:tab/>
        </w:r>
        <w:r>
          <w:fldChar w:fldCharType="begin"/>
        </w:r>
        <w:r>
          <w:instrText xml:space="preserve">PAGEREF 173 \h</w:instrText>
        </w:r>
        <w:r>
          <w:fldChar w:fldCharType="end"/>
        </w:r>
      </w:hyperlink>
    </w:p>
    <w:p>
      <w:pPr>
        <w:tabs>
          <w:tab w:val="right" w:leader="dot" w:pos="9062"/>
        </w:tabs>
        <w:ind w:left="1100"/>
      </w:pPr>
      <w:hyperlink w:anchor="_Toc174" w:history="1">
        <w:r>
          <w:rPr>
            <w:rFonts w:ascii="IRNazanin" w:hAnsi="IRNazanin" w:eastAsia="IRNazanin" w:cs="IRNazanin"/>
            <w:color w:val="111111"/>
            <w:sz w:val="22"/>
            <w:szCs w:val="22"/>
            <w:b w:val="0"/>
            <w:bCs w:val="0"/>
            <w:i w:val="0"/>
            <w:iCs w:val="0"/>
          </w:rPr>
          <w:t>الأمر الثانی [:رجحان الاحتیاط و ترتّب الثواب علیه]</w:t>
        </w:r>
        <w:r>
          <w:tab/>
        </w:r>
        <w:r>
          <w:fldChar w:fldCharType="begin"/>
        </w:r>
        <w:r>
          <w:instrText xml:space="preserve">PAGEREF 174 \h</w:instrText>
        </w:r>
        <w:r>
          <w:fldChar w:fldCharType="end"/>
        </w:r>
      </w:hyperlink>
    </w:p>
    <w:p>
      <w:pPr>
        <w:tabs>
          <w:tab w:val="right" w:leader="dot" w:pos="9062"/>
        </w:tabs>
        <w:ind w:left="1100"/>
      </w:pPr>
      <w:hyperlink w:anchor="_Toc1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175 \h</w:instrText>
        </w:r>
        <w:r>
          <w:fldChar w:fldCharType="end"/>
        </w:r>
      </w:hyperlink>
    </w:p>
    <w:p>
      <w:pPr>
        <w:tabs>
          <w:tab w:val="right" w:leader="dot" w:pos="9062"/>
        </w:tabs>
        <w:ind w:left="1100"/>
      </w:pPr>
      <w:hyperlink w:anchor="_Toc176" w:history="1">
        <w:r>
          <w:rPr>
            <w:rFonts w:ascii="IRNazanin" w:hAnsi="IRNazanin" w:eastAsia="IRNazanin" w:cs="IRNazanin"/>
            <w:color w:val="111111"/>
            <w:sz w:val="22"/>
            <w:szCs w:val="22"/>
            <w:b w:val="0"/>
            <w:bCs w:val="0"/>
            <w:i w:val="0"/>
            <w:iCs w:val="0"/>
          </w:rPr>
          <w:t>[الإشکال فی جریان الاحتیاط فی العبادات عند دوران الأمر بین الوجوب و غیر الاستحباب]</w:t>
        </w:r>
        <w:r>
          <w:tab/>
        </w:r>
        <w:r>
          <w:fldChar w:fldCharType="begin"/>
        </w:r>
        <w:r>
          <w:instrText xml:space="preserve">PAGEREF 176 \h</w:instrText>
        </w:r>
        <w:r>
          <w:fldChar w:fldCharType="end"/>
        </w:r>
      </w:hyperlink>
    </w:p>
    <w:p>
      <w:pPr>
        <w:tabs>
          <w:tab w:val="right" w:leader="dot" w:pos="9062"/>
        </w:tabs>
        <w:ind w:left="1100"/>
      </w:pPr>
      <w:hyperlink w:anchor="_Toc177" w:history="1">
        <w:r>
          <w:rPr>
            <w:rFonts w:ascii="IRNazanin" w:hAnsi="IRNazanin" w:eastAsia="IRNazanin" w:cs="IRNazanin"/>
            <w:color w:val="111111"/>
            <w:sz w:val="22"/>
            <w:szCs w:val="22"/>
            <w:b w:val="0"/>
            <w:bCs w:val="0"/>
            <w:i w:val="0"/>
            <w:iCs w:val="0"/>
          </w:rPr>
          <w:t>[احتمال الجریان]</w:t>
        </w:r>
        <w:r>
          <w:tab/>
        </w:r>
        <w:r>
          <w:fldChar w:fldCharType="begin"/>
        </w:r>
        <w:r>
          <w:instrText xml:space="preserve">PAGEREF 177 \h</w:instrText>
        </w:r>
        <w:r>
          <w:fldChar w:fldCharType="end"/>
        </w:r>
      </w:hyperlink>
    </w:p>
    <w:p>
      <w:pPr>
        <w:tabs>
          <w:tab w:val="right" w:leader="dot" w:pos="9062"/>
        </w:tabs>
        <w:ind w:left="1100"/>
      </w:pPr>
      <w:hyperlink w:anchor="_Toc178" w:history="1">
        <w:r>
          <w:rPr>
            <w:rFonts w:ascii="IRNazanin" w:hAnsi="IRNazanin" w:eastAsia="IRNazanin" w:cs="IRNazanin"/>
            <w:color w:val="111111"/>
            <w:sz w:val="22"/>
            <w:szCs w:val="22"/>
            <w:b w:val="0"/>
            <w:bCs w:val="0"/>
            <w:i w:val="0"/>
            <w:iCs w:val="0"/>
          </w:rPr>
          <w:t>[التحقیق فی المسألة:]</w:t>
        </w:r>
        <w:r>
          <w:tab/>
        </w:r>
        <w:r>
          <w:fldChar w:fldCharType="begin"/>
        </w:r>
        <w:r>
          <w:instrText xml:space="preserve">PAGEREF 178 \h</w:instrText>
        </w:r>
        <w:r>
          <w:fldChar w:fldCharType="end"/>
        </w:r>
      </w:hyperlink>
    </w:p>
    <w:p>
      <w:pPr>
        <w:tabs>
          <w:tab w:val="right" w:leader="dot" w:pos="9062"/>
        </w:tabs>
        <w:ind w:left="1100"/>
      </w:pPr>
      <w:hyperlink w:anchor="_Toc179" w:history="1">
        <w:r>
          <w:rPr>
            <w:rFonts w:ascii="IRNazanin" w:hAnsi="IRNazanin" w:eastAsia="IRNazanin" w:cs="IRNazanin"/>
            <w:color w:val="111111"/>
            <w:sz w:val="22"/>
            <w:szCs w:val="22"/>
            <w:b w:val="0"/>
            <w:bCs w:val="0"/>
            <w:i w:val="0"/>
            <w:iCs w:val="0"/>
          </w:rPr>
          <w:t>[قاعدة التسامح فی أدلّة السنن]</w:t>
        </w:r>
        <w:r>
          <w:tab/>
        </w:r>
        <w:r>
          <w:fldChar w:fldCharType="begin"/>
        </w:r>
        <w:r>
          <w:instrText xml:space="preserve">PAGEREF 179 \h</w:instrText>
        </w:r>
        <w:r>
          <w:fldChar w:fldCharType="end"/>
        </w:r>
      </w:hyperlink>
    </w:p>
    <w:p>
      <w:pPr>
        <w:tabs>
          <w:tab w:val="right" w:leader="dot" w:pos="9062"/>
        </w:tabs>
        <w:ind w:left="1100"/>
      </w:pPr>
      <w:hyperlink w:anchor="_Toc1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180 \h</w:instrText>
        </w:r>
        <w:r>
          <w:fldChar w:fldCharType="end"/>
        </w:r>
      </w:hyperlink>
    </w:p>
    <w:p>
      <w:pPr>
        <w:tabs>
          <w:tab w:val="right" w:leader="dot" w:pos="9062"/>
        </w:tabs>
        <w:ind w:left="1100"/>
      </w:pPr>
      <w:hyperlink w:anchor="_Toc181" w:history="1">
        <w:r>
          <w:rPr>
            <w:rFonts w:ascii="IRNazanin" w:hAnsi="IRNazanin" w:eastAsia="IRNazanin" w:cs="IRNazanin"/>
            <w:color w:val="111111"/>
            <w:sz w:val="22"/>
            <w:szCs w:val="22"/>
            <w:b w:val="0"/>
            <w:bCs w:val="0"/>
            <w:i w:val="0"/>
            <w:iCs w:val="0"/>
          </w:rPr>
          <w:t>[الاستدلال علی القاعدة ب«أخبار من بلغ»]</w:t>
        </w:r>
        <w:r>
          <w:tab/>
        </w:r>
        <w:r>
          <w:fldChar w:fldCharType="begin"/>
        </w:r>
        <w:r>
          <w:instrText xml:space="preserve">PAGEREF 181 \h</w:instrText>
        </w:r>
        <w:r>
          <w:fldChar w:fldCharType="end"/>
        </w:r>
      </w:hyperlink>
    </w:p>
    <w:p>
      <w:pPr>
        <w:tabs>
          <w:tab w:val="right" w:leader="dot" w:pos="9062"/>
        </w:tabs>
        <w:ind w:left="1100"/>
      </w:pPr>
      <w:hyperlink w:anchor="_Toc1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182 \h</w:instrText>
        </w:r>
        <w:r>
          <w:fldChar w:fldCharType="end"/>
        </w:r>
      </w:hyperlink>
    </w:p>
    <w:p>
      <w:pPr>
        <w:tabs>
          <w:tab w:val="right" w:leader="dot" w:pos="9062"/>
        </w:tabs>
        <w:ind w:left="1100"/>
      </w:pPr>
      <w:hyperlink w:anchor="_Toc183" w:history="1">
        <w:r>
          <w:rPr>
            <w:rFonts w:ascii="IRNazanin" w:hAnsi="IRNazanin" w:eastAsia="IRNazanin" w:cs="IRNazanin"/>
            <w:color w:val="111111"/>
            <w:sz w:val="22"/>
            <w:szCs w:val="22"/>
            <w:b w:val="0"/>
            <w:bCs w:val="0"/>
            <w:i w:val="0"/>
            <w:iCs w:val="0"/>
          </w:rPr>
          <w:t>[ما یورد علی الاستدلال]</w:t>
        </w:r>
        <w:r>
          <w:tab/>
        </w:r>
        <w:r>
          <w:fldChar w:fldCharType="begin"/>
        </w:r>
        <w:r>
          <w:instrText xml:space="preserve">PAGEREF 183 \h</w:instrText>
        </w:r>
        <w:r>
          <w:fldChar w:fldCharType="end"/>
        </w:r>
      </w:hyperlink>
    </w:p>
    <w:p>
      <w:pPr>
        <w:tabs>
          <w:tab w:val="right" w:leader="dot" w:pos="9062"/>
        </w:tabs>
        <w:ind w:left="1100"/>
      </w:pPr>
      <w:hyperlink w:anchor="_Toc1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184 \h</w:instrText>
        </w:r>
        <w:r>
          <w:fldChar w:fldCharType="end"/>
        </w:r>
      </w:hyperlink>
    </w:p>
    <w:p>
      <w:pPr>
        <w:tabs>
          <w:tab w:val="right" w:leader="dot" w:pos="9062"/>
        </w:tabs>
        <w:ind w:left="1100"/>
      </w:pPr>
      <w:hyperlink w:anchor="_Toc185" w:history="1">
        <w:r>
          <w:rPr>
            <w:rFonts w:ascii="IRNazanin" w:hAnsi="IRNazanin" w:eastAsia="IRNazanin" w:cs="IRNazanin"/>
            <w:color w:val="111111"/>
            <w:sz w:val="22"/>
            <w:szCs w:val="22"/>
            <w:b w:val="0"/>
            <w:bCs w:val="0"/>
            <w:i w:val="0"/>
            <w:iCs w:val="0"/>
          </w:rPr>
          <w:t>[عدم دلالة ثبوت الأجر علی الاستحباب الشرعی]</w:t>
        </w:r>
        <w:r>
          <w:tab/>
        </w:r>
        <w:r>
          <w:fldChar w:fldCharType="begin"/>
        </w:r>
        <w:r>
          <w:instrText xml:space="preserve">PAGEREF 185 \h</w:instrText>
        </w:r>
        <w:r>
          <w:fldChar w:fldCharType="end"/>
        </w:r>
      </w:hyperlink>
    </w:p>
    <w:p>
      <w:pPr>
        <w:tabs>
          <w:tab w:val="right" w:leader="dot" w:pos="9062"/>
        </w:tabs>
        <w:ind w:left="1100"/>
      </w:pPr>
      <w:hyperlink w:anchor="_Toc186" w:history="1">
        <w:r>
          <w:rPr>
            <w:rFonts w:ascii="IRNazanin" w:hAnsi="IRNazanin" w:eastAsia="IRNazanin" w:cs="IRNazanin"/>
            <w:color w:val="111111"/>
            <w:sz w:val="22"/>
            <w:szCs w:val="22"/>
            <w:b w:val="0"/>
            <w:bCs w:val="0"/>
            <w:i w:val="0"/>
            <w:iCs w:val="0"/>
          </w:rPr>
          <w:t>[دلالة«أخبار من بلغ»علی الأمر الإرشادی]</w:t>
        </w:r>
        <w:r>
          <w:tab/>
        </w:r>
        <w:r>
          <w:fldChar w:fldCharType="begin"/>
        </w:r>
        <w:r>
          <w:instrText xml:space="preserve">PAGEREF 186 \h</w:instrText>
        </w:r>
        <w:r>
          <w:fldChar w:fldCharType="end"/>
        </w:r>
      </w:hyperlink>
    </w:p>
    <w:p>
      <w:pPr>
        <w:tabs>
          <w:tab w:val="right" w:leader="dot" w:pos="9062"/>
        </w:tabs>
        <w:ind w:left="1100"/>
      </w:pPr>
      <w:hyperlink w:anchor="_Toc187" w:history="1">
        <w:r>
          <w:rPr>
            <w:rFonts w:ascii="IRNazanin" w:hAnsi="IRNazanin" w:eastAsia="IRNazanin" w:cs="IRNazanin"/>
            <w:color w:val="111111"/>
            <w:sz w:val="22"/>
            <w:szCs w:val="22"/>
            <w:b w:val="0"/>
            <w:bCs w:val="0"/>
            <w:i w:val="0"/>
            <w:iCs w:val="0"/>
          </w:rPr>
          <w:t>[الثمرة بین الأمر الإرشادی و الاستحباب الشرعی]</w:t>
        </w:r>
        <w:r>
          <w:tab/>
        </w:r>
        <w:r>
          <w:fldChar w:fldCharType="begin"/>
        </w:r>
        <w:r>
          <w:instrText xml:space="preserve">PAGEREF 187 \h</w:instrText>
        </w:r>
        <w:r>
          <w:fldChar w:fldCharType="end"/>
        </w:r>
      </w:hyperlink>
    </w:p>
    <w:p>
      <w:pPr>
        <w:tabs>
          <w:tab w:val="right" w:leader="dot" w:pos="9062"/>
        </w:tabs>
        <w:ind w:left="1100"/>
      </w:pPr>
      <w:hyperlink w:anchor="_Toc188" w:history="1">
        <w:r>
          <w:rPr>
            <w:rFonts w:ascii="IRNazanin" w:hAnsi="IRNazanin" w:eastAsia="IRNazanin" w:cs="IRNazanin"/>
            <w:color w:val="111111"/>
            <w:sz w:val="22"/>
            <w:szCs w:val="22"/>
            <w:b w:val="0"/>
            <w:bCs w:val="0"/>
            <w:i w:val="0"/>
            <w:iCs w:val="0"/>
          </w:rPr>
          <w:t>الأمر الثالث [:اختصاص أدلّة البراءة بالشکّ فی الوجوب التعیینی]</w:t>
        </w:r>
        <w:r>
          <w:tab/>
        </w:r>
        <w:r>
          <w:fldChar w:fldCharType="begin"/>
        </w:r>
        <w:r>
          <w:instrText xml:space="preserve">PAGEREF 188 \h</w:instrText>
        </w:r>
        <w:r>
          <w:fldChar w:fldCharType="end"/>
        </w:r>
      </w:hyperlink>
    </w:p>
    <w:p>
      <w:pPr>
        <w:tabs>
          <w:tab w:val="right" w:leader="dot" w:pos="9062"/>
        </w:tabs>
        <w:ind w:left="1100"/>
      </w:pPr>
      <w:hyperlink w:anchor="_Toc18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189 \h</w:instrText>
        </w:r>
        <w:r>
          <w:fldChar w:fldCharType="end"/>
        </w:r>
      </w:hyperlink>
    </w:p>
    <w:p>
      <w:pPr>
        <w:tabs>
          <w:tab w:val="right" w:leader="dot" w:pos="9062"/>
        </w:tabs>
        <w:ind w:left="1100"/>
      </w:pPr>
      <w:hyperlink w:anchor="_Toc190" w:history="1">
        <w:r>
          <w:rPr>
            <w:rFonts w:ascii="IRNazanin" w:hAnsi="IRNazanin" w:eastAsia="IRNazanin" w:cs="IRNazanin"/>
            <w:color w:val="111111"/>
            <w:sz w:val="22"/>
            <w:szCs w:val="22"/>
            <w:b w:val="0"/>
            <w:bCs w:val="0"/>
            <w:i w:val="0"/>
            <w:iCs w:val="0"/>
          </w:rPr>
          <w:t>[لو شکّ فی الوجوب التخییری و الإباحة]</w:t>
        </w:r>
        <w:r>
          <w:tab/>
        </w:r>
        <w:r>
          <w:fldChar w:fldCharType="begin"/>
        </w:r>
        <w:r>
          <w:instrText xml:space="preserve">PAGEREF 190 \h</w:instrText>
        </w:r>
        <w:r>
          <w:fldChar w:fldCharType="end"/>
        </w:r>
      </w:hyperlink>
    </w:p>
    <w:p>
      <w:pPr>
        <w:tabs>
          <w:tab w:val="right" w:leader="dot" w:pos="9062"/>
        </w:tabs>
        <w:ind w:left="1100"/>
      </w:pPr>
      <w:hyperlink w:anchor="_Toc191" w:history="1">
        <w:r>
          <w:rPr>
            <w:rFonts w:ascii="IRNazanin" w:hAnsi="IRNazanin" w:eastAsia="IRNazanin" w:cs="IRNazanin"/>
            <w:color w:val="111111"/>
            <w:sz w:val="22"/>
            <w:szCs w:val="22"/>
            <w:b w:val="0"/>
            <w:bCs w:val="0"/>
            <w:i w:val="0"/>
            <w:iCs w:val="0"/>
          </w:rPr>
          <w:t>[هل یجب الائتمام علی من عجز عن القراءة و تعلّمها؟]</w:t>
        </w:r>
        <w:r>
          <w:tab/>
        </w:r>
        <w:r>
          <w:fldChar w:fldCharType="begin"/>
        </w:r>
        <w:r>
          <w:instrText xml:space="preserve">PAGEREF 191 \h</w:instrText>
        </w:r>
        <w:r>
          <w:fldChar w:fldCharType="end"/>
        </w:r>
      </w:hyperlink>
    </w:p>
    <w:p>
      <w:pPr>
        <w:tabs>
          <w:tab w:val="right" w:leader="dot" w:pos="9062"/>
        </w:tabs>
        <w:ind w:left="1100"/>
      </w:pPr>
      <w:hyperlink w:anchor="_Toc192" w:history="1">
        <w:r>
          <w:rPr>
            <w:rFonts w:ascii="IRNazanin" w:hAnsi="IRNazanin" w:eastAsia="IRNazanin" w:cs="IRNazanin"/>
            <w:color w:val="111111"/>
            <w:sz w:val="22"/>
            <w:szCs w:val="22"/>
            <w:b w:val="0"/>
            <w:bCs w:val="0"/>
            <w:i w:val="0"/>
            <w:iCs w:val="0"/>
          </w:rPr>
          <w:t>[کلام فخر المحقّقین فی أنّ قراءة الإمام بدل أو مسقط]</w:t>
        </w:r>
        <w:r>
          <w:tab/>
        </w:r>
        <w:r>
          <w:fldChar w:fldCharType="begin"/>
        </w:r>
        <w:r>
          <w:instrText xml:space="preserve">PAGEREF 192 \h</w:instrText>
        </w:r>
        <w:r>
          <w:fldChar w:fldCharType="end"/>
        </w:r>
      </w:hyperlink>
    </w:p>
    <w:p>
      <w:pPr>
        <w:tabs>
          <w:tab w:val="right" w:leader="dot" w:pos="9062"/>
        </w:tabs>
        <w:ind w:left="1100"/>
      </w:pPr>
      <w:hyperlink w:anchor="_Toc193" w:history="1">
        <w:r>
          <w:rPr>
            <w:rFonts w:ascii="IRNazanin" w:hAnsi="IRNazanin" w:eastAsia="IRNazanin" w:cs="IRNazanin"/>
            <w:color w:val="111111"/>
            <w:sz w:val="22"/>
            <w:szCs w:val="22"/>
            <w:b w:val="0"/>
            <w:bCs w:val="0"/>
            <w:i w:val="0"/>
            <w:iCs w:val="0"/>
          </w:rPr>
          <w:t>[الشکّ فی الوجوب الکفائی]</w:t>
        </w:r>
        <w:r>
          <w:tab/>
        </w:r>
        <w:r>
          <w:fldChar w:fldCharType="begin"/>
        </w:r>
        <w:r>
          <w:instrText xml:space="preserve">PAGEREF 193 \h</w:instrText>
        </w:r>
        <w:r>
          <w:fldChar w:fldCharType="end"/>
        </w:r>
      </w:hyperlink>
    </w:p>
    <w:p>
      <w:pPr>
        <w:tabs>
          <w:tab w:val="right" w:leader="dot" w:pos="9062"/>
        </w:tabs>
        <w:ind w:left="1100"/>
      </w:pPr>
      <w:hyperlink w:anchor="_Toc194" w:history="1">
        <w:r>
          <w:rPr>
            <w:rFonts w:ascii="IRNazanin" w:hAnsi="IRNazanin" w:eastAsia="IRNazanin" w:cs="IRNazanin"/>
            <w:color w:val="111111"/>
            <w:sz w:val="22"/>
            <w:szCs w:val="22"/>
            <w:b w:val="0"/>
            <w:bCs w:val="0"/>
            <w:i w:val="0"/>
            <w:iCs w:val="0"/>
          </w:rPr>
          <w:t>المسألة الثانیة فیما اشتبه حکمه الشرعیّ من جهة إجمال اللفظ</w:t>
        </w:r>
        <w:r>
          <w:tab/>
        </w:r>
        <w:r>
          <w:fldChar w:fldCharType="begin"/>
        </w:r>
        <w:r>
          <w:instrText xml:space="preserve">PAGEREF 194 \h</w:instrText>
        </w:r>
        <w:r>
          <w:fldChar w:fldCharType="end"/>
        </w:r>
      </w:hyperlink>
    </w:p>
    <w:p>
      <w:pPr>
        <w:tabs>
          <w:tab w:val="right" w:leader="dot" w:pos="9062"/>
        </w:tabs>
        <w:ind w:left="1100"/>
      </w:pPr>
      <w:hyperlink w:anchor="_Toc19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195 \h</w:instrText>
        </w:r>
        <w:r>
          <w:fldChar w:fldCharType="end"/>
        </w:r>
      </w:hyperlink>
    </w:p>
    <w:p>
      <w:pPr>
        <w:tabs>
          <w:tab w:val="right" w:leader="dot" w:pos="9062"/>
        </w:tabs>
        <w:ind w:left="1100"/>
      </w:pPr>
      <w:hyperlink w:anchor="_Toc196" w:history="1">
        <w:r>
          <w:rPr>
            <w:rFonts w:ascii="IRNazanin" w:hAnsi="IRNazanin" w:eastAsia="IRNazanin" w:cs="IRNazanin"/>
            <w:color w:val="111111"/>
            <w:sz w:val="22"/>
            <w:szCs w:val="22"/>
            <w:b w:val="0"/>
            <w:bCs w:val="0"/>
            <w:i w:val="0"/>
            <w:iCs w:val="0"/>
          </w:rPr>
          <w:t>[المعروف عدم وجوب الاحتیاط]</w:t>
        </w:r>
        <w:r>
          <w:tab/>
        </w:r>
        <w:r>
          <w:fldChar w:fldCharType="begin"/>
        </w:r>
        <w:r>
          <w:instrText xml:space="preserve">PAGEREF 196 \h</w:instrText>
        </w:r>
        <w:r>
          <w:fldChar w:fldCharType="end"/>
        </w:r>
      </w:hyperlink>
    </w:p>
    <w:p>
      <w:pPr>
        <w:tabs>
          <w:tab w:val="right" w:leader="dot" w:pos="9062"/>
        </w:tabs>
        <w:ind w:left="1100"/>
      </w:pPr>
      <w:hyperlink w:anchor="_Toc197" w:history="1">
        <w:r>
          <w:rPr>
            <w:rFonts w:ascii="IRNazanin" w:hAnsi="IRNazanin" w:eastAsia="IRNazanin" w:cs="IRNazanin"/>
            <w:color w:val="111111"/>
            <w:sz w:val="22"/>
            <w:szCs w:val="22"/>
            <w:b w:val="0"/>
            <w:bCs w:val="0"/>
            <w:i w:val="0"/>
            <w:iCs w:val="0"/>
          </w:rPr>
          <w:t>[تصریح المحدّثین الأسترابادی و البحرانی بوجوب التوقّف و الاحتیاط]</w:t>
        </w:r>
        <w:r>
          <w:tab/>
        </w:r>
        <w:r>
          <w:fldChar w:fldCharType="begin"/>
        </w:r>
        <w:r>
          <w:instrText xml:space="preserve">PAGEREF 197 \h</w:instrText>
        </w:r>
        <w:r>
          <w:fldChar w:fldCharType="end"/>
        </w:r>
      </w:hyperlink>
    </w:p>
    <w:p>
      <w:pPr>
        <w:tabs>
          <w:tab w:val="right" w:leader="dot" w:pos="9062"/>
        </w:tabs>
        <w:ind w:left="1100"/>
      </w:pPr>
      <w:hyperlink w:anchor="_Toc198" w:history="1">
        <w:r>
          <w:rPr>
            <w:rFonts w:ascii="IRNazanin" w:hAnsi="IRNazanin" w:eastAsia="IRNazanin" w:cs="IRNazanin"/>
            <w:color w:val="111111"/>
            <w:sz w:val="22"/>
            <w:szCs w:val="22"/>
            <w:b w:val="0"/>
            <w:bCs w:val="0"/>
            <w:i w:val="0"/>
            <w:iCs w:val="0"/>
          </w:rPr>
          <w:t>المسألة الثالثة فیما اشتبه حکمه الشرعیّ من جهة تعارض النصّین</w:t>
        </w:r>
        <w:r>
          <w:tab/>
        </w:r>
        <w:r>
          <w:fldChar w:fldCharType="begin"/>
        </w:r>
        <w:r>
          <w:instrText xml:space="preserve">PAGEREF 198 \h</w:instrText>
        </w:r>
        <w:r>
          <w:fldChar w:fldCharType="end"/>
        </w:r>
      </w:hyperlink>
    </w:p>
    <w:p>
      <w:pPr>
        <w:tabs>
          <w:tab w:val="right" w:leader="dot" w:pos="9062"/>
        </w:tabs>
        <w:ind w:left="1100"/>
      </w:pPr>
      <w:hyperlink w:anchor="_Toc19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199 \h</w:instrText>
        </w:r>
        <w:r>
          <w:fldChar w:fldCharType="end"/>
        </w:r>
      </w:hyperlink>
    </w:p>
    <w:p>
      <w:pPr>
        <w:tabs>
          <w:tab w:val="right" w:leader="dot" w:pos="9062"/>
        </w:tabs>
        <w:ind w:left="1100"/>
      </w:pPr>
      <w:hyperlink w:anchor="_Toc200" w:history="1">
        <w:r>
          <w:rPr>
            <w:rFonts w:ascii="IRNazanin" w:hAnsi="IRNazanin" w:eastAsia="IRNazanin" w:cs="IRNazanin"/>
            <w:color w:val="111111"/>
            <w:sz w:val="22"/>
            <w:szCs w:val="22"/>
            <w:b w:val="0"/>
            <w:bCs w:val="0"/>
            <w:i w:val="0"/>
            <w:iCs w:val="0"/>
          </w:rPr>
          <w:t>[المعروف عدم وجوب الاحتیاط خلافا للأسترآبادی و البحرانی]</w:t>
        </w:r>
        <w:r>
          <w:tab/>
        </w:r>
        <w:r>
          <w:fldChar w:fldCharType="begin"/>
        </w:r>
        <w:r>
          <w:instrText xml:space="preserve">PAGEREF 200 \h</w:instrText>
        </w:r>
        <w:r>
          <w:fldChar w:fldCharType="end"/>
        </w:r>
      </w:hyperlink>
    </w:p>
    <w:p>
      <w:pPr>
        <w:tabs>
          <w:tab w:val="right" w:leader="dot" w:pos="9062"/>
        </w:tabs>
        <w:ind w:left="1100"/>
      </w:pPr>
      <w:hyperlink w:anchor="_Toc201" w:history="1">
        <w:r>
          <w:rPr>
            <w:rFonts w:ascii="IRNazanin" w:hAnsi="IRNazanin" w:eastAsia="IRNazanin" w:cs="IRNazanin"/>
            <w:color w:val="111111"/>
            <w:sz w:val="22"/>
            <w:szCs w:val="22"/>
            <w:b w:val="0"/>
            <w:bCs w:val="0"/>
            <w:i w:val="0"/>
            <w:iCs w:val="0"/>
          </w:rPr>
          <w:t>[الجواب عن مرفوعة زرارة الآمرة بالاحتیاط]</w:t>
        </w:r>
        <w:r>
          <w:tab/>
        </w:r>
        <w:r>
          <w:fldChar w:fldCharType="begin"/>
        </w:r>
        <w:r>
          <w:instrText xml:space="preserve">PAGEREF 201 \h</w:instrText>
        </w:r>
        <w:r>
          <w:fldChar w:fldCharType="end"/>
        </w:r>
      </w:hyperlink>
    </w:p>
    <w:p>
      <w:pPr>
        <w:tabs>
          <w:tab w:val="right" w:leader="dot" w:pos="9062"/>
        </w:tabs>
        <w:ind w:left="1100"/>
      </w:pPr>
      <w:hyperlink w:anchor="_Toc202" w:history="1">
        <w:r>
          <w:rPr>
            <w:rFonts w:ascii="IRNazanin" w:hAnsi="IRNazanin" w:eastAsia="IRNazanin" w:cs="IRNazanin"/>
            <w:color w:val="111111"/>
            <w:sz w:val="22"/>
            <w:szCs w:val="22"/>
            <w:b w:val="0"/>
            <w:bCs w:val="0"/>
            <w:i w:val="0"/>
            <w:iCs w:val="0"/>
          </w:rPr>
          <w:t>[ممّا یدلّ علی التخییر فی المسألة]</w:t>
        </w:r>
        <w:r>
          <w:tab/>
        </w:r>
        <w:r>
          <w:fldChar w:fldCharType="begin"/>
        </w:r>
        <w:r>
          <w:instrText xml:space="preserve">PAGEREF 202 \h</w:instrText>
        </w:r>
        <w:r>
          <w:fldChar w:fldCharType="end"/>
        </w:r>
      </w:hyperlink>
    </w:p>
    <w:p>
      <w:pPr>
        <w:tabs>
          <w:tab w:val="right" w:leader="dot" w:pos="9062"/>
        </w:tabs>
        <w:ind w:left="1100"/>
      </w:pPr>
      <w:hyperlink w:anchor="_Toc203" w:history="1">
        <w:r>
          <w:rPr>
            <w:rFonts w:ascii="IRNazanin" w:hAnsi="IRNazanin" w:eastAsia="IRNazanin" w:cs="IRNazanin"/>
            <w:color w:val="111111"/>
            <w:sz w:val="22"/>
            <w:szCs w:val="22"/>
            <w:b w:val="0"/>
            <w:bCs w:val="0"/>
            <w:i w:val="0"/>
            <w:iCs w:val="0"/>
          </w:rPr>
          <w:t>[ما ذکره الاصولیّون فی باب التراجیح]</w:t>
        </w:r>
        <w:r>
          <w:tab/>
        </w:r>
        <w:r>
          <w:fldChar w:fldCharType="begin"/>
        </w:r>
        <w:r>
          <w:instrText xml:space="preserve">PAGEREF 203 \h</w:instrText>
        </w:r>
        <w:r>
          <w:fldChar w:fldCharType="end"/>
        </w:r>
      </w:hyperlink>
    </w:p>
    <w:p>
      <w:pPr>
        <w:tabs>
          <w:tab w:val="right" w:leader="dot" w:pos="9062"/>
        </w:tabs>
        <w:ind w:left="1100"/>
      </w:pPr>
      <w:hyperlink w:anchor="_Toc204" w:history="1">
        <w:r>
          <w:rPr>
            <w:rFonts w:ascii="IRNazanin" w:hAnsi="IRNazanin" w:eastAsia="IRNazanin" w:cs="IRNazanin"/>
            <w:color w:val="111111"/>
            <w:sz w:val="22"/>
            <w:szCs w:val="22"/>
            <w:b w:val="0"/>
            <w:bCs w:val="0"/>
            <w:i w:val="0"/>
            <w:iCs w:val="0"/>
          </w:rPr>
          <w:t>المسألة الرابعة دوران الأمر بین الوجوب و غیره،من جهة الاشتباه فی موضوع الحکم</w:t>
        </w:r>
        <w:r>
          <w:tab/>
        </w:r>
        <w:r>
          <w:fldChar w:fldCharType="begin"/>
        </w:r>
        <w:r>
          <w:instrText xml:space="preserve">PAGEREF 204 \h</w:instrText>
        </w:r>
        <w:r>
          <w:fldChar w:fldCharType="end"/>
        </w:r>
      </w:hyperlink>
    </w:p>
    <w:p>
      <w:pPr>
        <w:tabs>
          <w:tab w:val="right" w:leader="dot" w:pos="9062"/>
        </w:tabs>
        <w:ind w:left="1100"/>
      </w:pPr>
      <w:hyperlink w:anchor="_Toc205" w:history="1">
        <w:r>
          <w:rPr>
            <w:rFonts w:ascii="IRNazanin" w:hAnsi="IRNazanin" w:eastAsia="IRNazanin" w:cs="IRNazanin"/>
            <w:color w:val="111111"/>
            <w:sz w:val="22"/>
            <w:szCs w:val="22"/>
            <w:b w:val="0"/>
            <w:bCs w:val="0"/>
            <w:i w:val="0"/>
            <w:iCs w:val="0"/>
          </w:rPr>
          <w:t>[جریان أدلّة البراءة]</w:t>
        </w:r>
        <w:r>
          <w:tab/>
        </w:r>
        <w:r>
          <w:fldChar w:fldCharType="begin"/>
        </w:r>
        <w:r>
          <w:instrText xml:space="preserve">PAGEREF 205 \h</w:instrText>
        </w:r>
        <w:r>
          <w:fldChar w:fldCharType="end"/>
        </w:r>
      </w:hyperlink>
    </w:p>
    <w:p>
      <w:pPr>
        <w:tabs>
          <w:tab w:val="right" w:leader="dot" w:pos="9062"/>
        </w:tabs>
        <w:ind w:left="1100"/>
      </w:pPr>
      <w:hyperlink w:anchor="_Toc206" w:history="1">
        <w:r>
          <w:rPr>
            <w:rFonts w:ascii="IRNazanin" w:hAnsi="IRNazanin" w:eastAsia="IRNazanin" w:cs="IRNazanin"/>
            <w:color w:val="111111"/>
            <w:sz w:val="22"/>
            <w:szCs w:val="22"/>
            <w:b w:val="0"/>
            <w:bCs w:val="0"/>
            <w:i w:val="0"/>
            <w:iCs w:val="0"/>
          </w:rPr>
          <w:t>[لو تردّدت الفائتة بین الأقلّ و الاکثر]</w:t>
        </w:r>
        <w:r>
          <w:tab/>
        </w:r>
        <w:r>
          <w:fldChar w:fldCharType="begin"/>
        </w:r>
        <w:r>
          <w:instrText xml:space="preserve">PAGEREF 206 \h</w:instrText>
        </w:r>
        <w:r>
          <w:fldChar w:fldCharType="end"/>
        </w:r>
      </w:hyperlink>
    </w:p>
    <w:p>
      <w:pPr>
        <w:tabs>
          <w:tab w:val="right" w:leader="dot" w:pos="9062"/>
        </w:tabs>
        <w:ind w:left="1100"/>
      </w:pPr>
      <w:hyperlink w:anchor="_Toc207" w:history="1">
        <w:r>
          <w:rPr>
            <w:rFonts w:ascii="IRNazanin" w:hAnsi="IRNazanin" w:eastAsia="IRNazanin" w:cs="IRNazanin"/>
            <w:color w:val="111111"/>
            <w:sz w:val="22"/>
            <w:szCs w:val="22"/>
            <w:b w:val="0"/>
            <w:bCs w:val="0"/>
            <w:i w:val="0"/>
            <w:iCs w:val="0"/>
          </w:rPr>
          <w:t>[المشهور وجوب القضاء حتّی یظنّ الفراغ]</w:t>
        </w:r>
        <w:r>
          <w:tab/>
        </w:r>
        <w:r>
          <w:fldChar w:fldCharType="begin"/>
        </w:r>
        <w:r>
          <w:instrText xml:space="preserve">PAGEREF 207 \h</w:instrText>
        </w:r>
        <w:r>
          <w:fldChar w:fldCharType="end"/>
        </w:r>
      </w:hyperlink>
    </w:p>
    <w:p>
      <w:pPr>
        <w:tabs>
          <w:tab w:val="right" w:leader="dot" w:pos="9062"/>
        </w:tabs>
        <w:ind w:left="1100"/>
      </w:pPr>
      <w:hyperlink w:anchor="_Toc208" w:history="1">
        <w:r>
          <w:rPr>
            <w:rFonts w:ascii="IRNazanin" w:hAnsi="IRNazanin" w:eastAsia="IRNazanin" w:cs="IRNazanin"/>
            <w:color w:val="111111"/>
            <w:sz w:val="22"/>
            <w:szCs w:val="22"/>
            <w:b w:val="0"/>
            <w:bCs w:val="0"/>
            <w:i w:val="0"/>
            <w:iCs w:val="0"/>
          </w:rPr>
          <w:t>[المورد من موارد جریان أصالة البراءة]</w:t>
        </w:r>
        <w:r>
          <w:tab/>
        </w:r>
        <w:r>
          <w:fldChar w:fldCharType="begin"/>
        </w:r>
        <w:r>
          <w:instrText xml:space="preserve">PAGEREF 208 \h</w:instrText>
        </w:r>
        <w:r>
          <w:fldChar w:fldCharType="end"/>
        </w:r>
      </w:hyperlink>
    </w:p>
    <w:p>
      <w:pPr>
        <w:tabs>
          <w:tab w:val="right" w:leader="dot" w:pos="9062"/>
        </w:tabs>
        <w:ind w:left="1100"/>
      </w:pPr>
      <w:hyperlink w:anchor="_Toc209" w:history="1">
        <w:r>
          <w:rPr>
            <w:rFonts w:ascii="IRNazanin" w:hAnsi="IRNazanin" w:eastAsia="IRNazanin" w:cs="IRNazanin"/>
            <w:color w:val="111111"/>
            <w:sz w:val="22"/>
            <w:szCs w:val="22"/>
            <w:b w:val="0"/>
            <w:bCs w:val="0"/>
            <w:i w:val="0"/>
            <w:iCs w:val="0"/>
          </w:rPr>
          <w:t>[توجیه فتوی المشهور]</w:t>
        </w:r>
        <w:r>
          <w:tab/>
        </w:r>
        <w:r>
          <w:fldChar w:fldCharType="begin"/>
        </w:r>
        <w:r>
          <w:instrText xml:space="preserve">PAGEREF 209 \h</w:instrText>
        </w:r>
        <w:r>
          <w:fldChar w:fldCharType="end"/>
        </w:r>
      </w:hyperlink>
    </w:p>
    <w:p>
      <w:pPr>
        <w:tabs>
          <w:tab w:val="right" w:leader="dot" w:pos="9062"/>
        </w:tabs>
        <w:ind w:left="1100"/>
      </w:pPr>
      <w:hyperlink w:anchor="_Toc2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210 \h</w:instrText>
        </w:r>
        <w:r>
          <w:fldChar w:fldCharType="end"/>
        </w:r>
      </w:hyperlink>
    </w:p>
    <w:p>
      <w:pPr>
        <w:tabs>
          <w:tab w:val="right" w:leader="dot" w:pos="9062"/>
        </w:tabs>
        <w:ind w:left="1100"/>
      </w:pPr>
      <w:hyperlink w:anchor="_Toc211" w:history="1">
        <w:r>
          <w:rPr>
            <w:rFonts w:ascii="IRNazanin" w:hAnsi="IRNazanin" w:eastAsia="IRNazanin" w:cs="IRNazanin"/>
            <w:color w:val="111111"/>
            <w:sz w:val="22"/>
            <w:szCs w:val="22"/>
            <w:b w:val="0"/>
            <w:bCs w:val="0"/>
            <w:i w:val="0"/>
            <w:iCs w:val="0"/>
          </w:rPr>
          <w:t>[ضعف التوجیه المذکور]</w:t>
        </w:r>
        <w:r>
          <w:tab/>
        </w:r>
        <w:r>
          <w:fldChar w:fldCharType="begin"/>
        </w:r>
        <w:r>
          <w:instrText xml:space="preserve">PAGEREF 211 \h</w:instrText>
        </w:r>
        <w:r>
          <w:fldChar w:fldCharType="end"/>
        </w:r>
      </w:hyperlink>
    </w:p>
    <w:p>
      <w:pPr>
        <w:tabs>
          <w:tab w:val="right" w:leader="dot" w:pos="9062"/>
        </w:tabs>
        <w:ind w:left="1100"/>
      </w:pPr>
      <w:hyperlink w:anchor="_Toc212" w:history="1">
        <w:r>
          <w:rPr>
            <w:rFonts w:ascii="IRNazanin" w:hAnsi="IRNazanin" w:eastAsia="IRNazanin" w:cs="IRNazanin"/>
            <w:color w:val="111111"/>
            <w:sz w:val="22"/>
            <w:szCs w:val="22"/>
            <w:b w:val="0"/>
            <w:bCs w:val="0"/>
            <w:i w:val="0"/>
            <w:iCs w:val="0"/>
          </w:rPr>
          <w:t>[التوجیه الأضعف]</w:t>
        </w:r>
        <w:r>
          <w:tab/>
        </w:r>
        <w:r>
          <w:fldChar w:fldCharType="begin"/>
        </w:r>
        <w:r>
          <w:instrText xml:space="preserve">PAGEREF 212 \h</w:instrText>
        </w:r>
        <w:r>
          <w:fldChar w:fldCharType="end"/>
        </w:r>
      </w:hyperlink>
    </w:p>
    <w:p>
      <w:pPr>
        <w:tabs>
          <w:tab w:val="right" w:leader="dot" w:pos="9062"/>
        </w:tabs>
        <w:ind w:left="1100"/>
      </w:pPr>
      <w:hyperlink w:anchor="_Toc213" w:history="1">
        <w:r>
          <w:rPr>
            <w:rFonts w:ascii="IRNazanin" w:hAnsi="IRNazanin" w:eastAsia="IRNazanin" w:cs="IRNazanin"/>
            <w:color w:val="111111"/>
            <w:sz w:val="22"/>
            <w:szCs w:val="22"/>
            <w:b w:val="0"/>
            <w:bCs w:val="0"/>
            <w:i w:val="0"/>
            <w:iCs w:val="0"/>
          </w:rPr>
          <w:t>المطلب الثالث فیما دار الأمر فیه بین الوجوب و الحرمة</w:t>
        </w:r>
        <w:r>
          <w:tab/>
        </w:r>
        <w:r>
          <w:fldChar w:fldCharType="begin"/>
        </w:r>
        <w:r>
          <w:instrText xml:space="preserve">PAGEREF 213 \h</w:instrText>
        </w:r>
        <w:r>
          <w:fldChar w:fldCharType="end"/>
        </w:r>
      </w:hyperlink>
    </w:p>
    <w:p>
      <w:pPr>
        <w:tabs>
          <w:tab w:val="right" w:leader="dot" w:pos="9062"/>
        </w:tabs>
        <w:ind w:left="1100"/>
      </w:pPr>
      <w:hyperlink w:anchor="_Toc2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214 \h</w:instrText>
        </w:r>
        <w:r>
          <w:fldChar w:fldCharType="end"/>
        </w:r>
      </w:hyperlink>
    </w:p>
    <w:p>
      <w:pPr>
        <w:tabs>
          <w:tab w:val="right" w:leader="dot" w:pos="9062"/>
        </w:tabs>
        <w:ind w:left="1100"/>
      </w:pPr>
      <w:hyperlink w:anchor="_Toc215" w:history="1">
        <w:r>
          <w:rPr>
            <w:rFonts w:ascii="IRNazanin" w:hAnsi="IRNazanin" w:eastAsia="IRNazanin" w:cs="IRNazanin"/>
            <w:color w:val="111111"/>
            <w:sz w:val="22"/>
            <w:szCs w:val="22"/>
            <w:b w:val="0"/>
            <w:bCs w:val="0"/>
            <w:i w:val="0"/>
            <w:iCs w:val="0"/>
          </w:rPr>
          <w:t>المسألة الاولی فی حکم دوران الأمر بین الوجوب و الحرمة من جهة عدم الدلیل علی تعیین أحدهما بعد قیام الدلیل علی أحدهما</w:t>
        </w:r>
        <w:r>
          <w:tab/>
        </w:r>
        <w:r>
          <w:fldChar w:fldCharType="begin"/>
        </w:r>
        <w:r>
          <w:instrText xml:space="preserve">PAGEREF 215 \h</w:instrText>
        </w:r>
        <w:r>
          <w:fldChar w:fldCharType="end"/>
        </w:r>
      </w:hyperlink>
    </w:p>
    <w:p>
      <w:pPr>
        <w:tabs>
          <w:tab w:val="right" w:leader="dot" w:pos="9062"/>
        </w:tabs>
        <w:ind w:left="1100"/>
      </w:pPr>
      <w:hyperlink w:anchor="_Toc2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216 \h</w:instrText>
        </w:r>
        <w:r>
          <w:fldChar w:fldCharType="end"/>
        </w:r>
      </w:hyperlink>
    </w:p>
    <w:p>
      <w:pPr>
        <w:tabs>
          <w:tab w:val="right" w:leader="dot" w:pos="9062"/>
        </w:tabs>
        <w:ind w:left="1100"/>
      </w:pPr>
      <w:hyperlink w:anchor="_Toc217" w:history="1">
        <w:r>
          <w:rPr>
            <w:rFonts w:ascii="IRNazanin" w:hAnsi="IRNazanin" w:eastAsia="IRNazanin" w:cs="IRNazanin"/>
            <w:color w:val="111111"/>
            <w:sz w:val="22"/>
            <w:szCs w:val="22"/>
            <w:b w:val="0"/>
            <w:bCs w:val="0"/>
            <w:i w:val="0"/>
            <w:iCs w:val="0"/>
          </w:rPr>
          <w:t>[هل الحکم فی المسألة،الإباحة أو التوقّف أو التخییر؟]</w:t>
        </w:r>
        <w:r>
          <w:tab/>
        </w:r>
        <w:r>
          <w:fldChar w:fldCharType="begin"/>
        </w:r>
        <w:r>
          <w:instrText xml:space="preserve">PAGEREF 217 \h</w:instrText>
        </w:r>
        <w:r>
          <w:fldChar w:fldCharType="end"/>
        </w:r>
      </w:hyperlink>
    </w:p>
    <w:p>
      <w:pPr>
        <w:tabs>
          <w:tab w:val="right" w:leader="dot" w:pos="9062"/>
        </w:tabs>
        <w:ind w:left="1100"/>
      </w:pPr>
      <w:hyperlink w:anchor="_Toc218" w:history="1">
        <w:r>
          <w:rPr>
            <w:rFonts w:ascii="IRNazanin" w:hAnsi="IRNazanin" w:eastAsia="IRNazanin" w:cs="IRNazanin"/>
            <w:color w:val="111111"/>
            <w:sz w:val="22"/>
            <w:szCs w:val="22"/>
            <w:b w:val="0"/>
            <w:bCs w:val="0"/>
            <w:i w:val="0"/>
            <w:iCs w:val="0"/>
          </w:rPr>
          <w:t>[الحکم بالإباحة ظاهرا و دلیله]</w:t>
        </w:r>
        <w:r>
          <w:tab/>
        </w:r>
        <w:r>
          <w:fldChar w:fldCharType="begin"/>
        </w:r>
        <w:r>
          <w:instrText xml:space="preserve">PAGEREF 218 \h</w:instrText>
        </w:r>
        <w:r>
          <w:fldChar w:fldCharType="end"/>
        </w:r>
      </w:hyperlink>
    </w:p>
    <w:p>
      <w:pPr>
        <w:tabs>
          <w:tab w:val="right" w:leader="dot" w:pos="9062"/>
        </w:tabs>
        <w:ind w:left="1100"/>
      </w:pPr>
      <w:hyperlink w:anchor="_Toc219" w:history="1">
        <w:r>
          <w:rPr>
            <w:rFonts w:ascii="IRNazanin" w:hAnsi="IRNazanin" w:eastAsia="IRNazanin" w:cs="IRNazanin"/>
            <w:color w:val="111111"/>
            <w:sz w:val="22"/>
            <w:szCs w:val="22"/>
            <w:b w:val="0"/>
            <w:bCs w:val="0"/>
            <w:i w:val="0"/>
            <w:iCs w:val="0"/>
          </w:rPr>
          <w:t>[دعوی وجوب الالتزام بحکم اللّه تعالی و الجواب عنها]</w:t>
        </w:r>
        <w:r>
          <w:tab/>
        </w:r>
        <w:r>
          <w:fldChar w:fldCharType="begin"/>
        </w:r>
        <w:r>
          <w:instrText xml:space="preserve">PAGEREF 219 \h</w:instrText>
        </w:r>
        <w:r>
          <w:fldChar w:fldCharType="end"/>
        </w:r>
      </w:hyperlink>
    </w:p>
    <w:p>
      <w:pPr>
        <w:tabs>
          <w:tab w:val="right" w:leader="dot" w:pos="9062"/>
        </w:tabs>
        <w:ind w:left="1100"/>
      </w:pPr>
      <w:hyperlink w:anchor="_Toc220" w:history="1">
        <w:r>
          <w:rPr>
            <w:rFonts w:ascii="IRNazanin" w:hAnsi="IRNazanin" w:eastAsia="IRNazanin" w:cs="IRNazanin"/>
            <w:color w:val="111111"/>
            <w:sz w:val="22"/>
            <w:szCs w:val="22"/>
            <w:b w:val="0"/>
            <w:bCs w:val="0"/>
            <w:i w:val="0"/>
            <w:iCs w:val="0"/>
          </w:rPr>
          <w:t>[دعوی أن الحکم بالإباحة طرح لحکم اللّه الواقعی و الجواب عنها]</w:t>
        </w:r>
        <w:r>
          <w:tab/>
        </w:r>
        <w:r>
          <w:fldChar w:fldCharType="begin"/>
        </w:r>
        <w:r>
          <w:instrText xml:space="preserve">PAGEREF 220 \h</w:instrText>
        </w:r>
        <w:r>
          <w:fldChar w:fldCharType="end"/>
        </w:r>
      </w:hyperlink>
    </w:p>
    <w:p>
      <w:pPr>
        <w:tabs>
          <w:tab w:val="right" w:leader="dot" w:pos="9062"/>
        </w:tabs>
        <w:ind w:left="1100"/>
      </w:pPr>
      <w:hyperlink w:anchor="_Toc221" w:history="1">
        <w:r>
          <w:rPr>
            <w:rFonts w:ascii="IRNazanin" w:hAnsi="IRNazanin" w:eastAsia="IRNazanin" w:cs="IRNazanin"/>
            <w:color w:val="111111"/>
            <w:sz w:val="22"/>
            <w:szCs w:val="22"/>
            <w:b w:val="0"/>
            <w:bCs w:val="0"/>
            <w:i w:val="0"/>
            <w:iCs w:val="0"/>
          </w:rPr>
          <w:t>[عدم صحّة قیاس ما نحن فیه بصورة تعارض الخبرین]</w:t>
        </w:r>
        <w:r>
          <w:tab/>
        </w:r>
        <w:r>
          <w:fldChar w:fldCharType="begin"/>
        </w:r>
        <w:r>
          <w:instrText xml:space="preserve">PAGEREF 221 \h</w:instrText>
        </w:r>
        <w:r>
          <w:fldChar w:fldCharType="end"/>
        </w:r>
      </w:hyperlink>
    </w:p>
    <w:p>
      <w:pPr>
        <w:tabs>
          <w:tab w:val="right" w:leader="dot" w:pos="9062"/>
        </w:tabs>
        <w:ind w:left="1100"/>
      </w:pPr>
      <w:hyperlink w:anchor="_Toc222" w:history="1">
        <w:r>
          <w:rPr>
            <w:rFonts w:ascii="IRNazanin" w:hAnsi="IRNazanin" w:eastAsia="IRNazanin" w:cs="IRNazanin"/>
            <w:color w:val="111111"/>
            <w:sz w:val="22"/>
            <w:szCs w:val="22"/>
            <w:b w:val="0"/>
            <w:bCs w:val="0"/>
            <w:i w:val="0"/>
            <w:iCs w:val="0"/>
          </w:rPr>
          <w:t>[عدم شمول ما ذکروه فی مسألة اختلاف الامّة لما نحن فیه]</w:t>
        </w:r>
        <w:r>
          <w:tab/>
        </w:r>
        <w:r>
          <w:fldChar w:fldCharType="begin"/>
        </w:r>
        <w:r>
          <w:instrText xml:space="preserve">PAGEREF 222 \h</w:instrText>
        </w:r>
        <w:r>
          <w:fldChar w:fldCharType="end"/>
        </w:r>
      </w:hyperlink>
    </w:p>
    <w:p>
      <w:pPr>
        <w:tabs>
          <w:tab w:val="right" w:leader="dot" w:pos="9062"/>
        </w:tabs>
        <w:ind w:left="1100"/>
      </w:pPr>
      <w:hyperlink w:anchor="_Toc223" w:history="1">
        <w:r>
          <w:rPr>
            <w:rFonts w:ascii="IRNazanin" w:hAnsi="IRNazanin" w:eastAsia="IRNazanin" w:cs="IRNazanin"/>
            <w:color w:val="111111"/>
            <w:sz w:val="22"/>
            <w:szCs w:val="22"/>
            <w:b w:val="0"/>
            <w:bCs w:val="0"/>
            <w:i w:val="0"/>
            <w:iCs w:val="0"/>
          </w:rPr>
          <w:t>[شمول أدلّة الإباحة لما نحن فیه]</w:t>
        </w:r>
        <w:r>
          <w:tab/>
        </w:r>
        <w:r>
          <w:fldChar w:fldCharType="begin"/>
        </w:r>
        <w:r>
          <w:instrText xml:space="preserve">PAGEREF 223 \h</w:instrText>
        </w:r>
        <w:r>
          <w:fldChar w:fldCharType="end"/>
        </w:r>
      </w:hyperlink>
    </w:p>
    <w:p>
      <w:pPr>
        <w:tabs>
          <w:tab w:val="right" w:leader="dot" w:pos="9062"/>
        </w:tabs>
        <w:ind w:left="1100"/>
      </w:pPr>
      <w:hyperlink w:anchor="_Toc224" w:history="1">
        <w:r>
          <w:rPr>
            <w:rFonts w:ascii="IRNazanin" w:hAnsi="IRNazanin" w:eastAsia="IRNazanin" w:cs="IRNazanin"/>
            <w:color w:val="111111"/>
            <w:sz w:val="22"/>
            <w:szCs w:val="22"/>
            <w:b w:val="0"/>
            <w:bCs w:val="0"/>
            <w:i w:val="0"/>
            <w:iCs w:val="0"/>
          </w:rPr>
          <w:t>[اللازم فی المسألة هو التوقّف]</w:t>
        </w:r>
        <w:r>
          <w:tab/>
        </w:r>
        <w:r>
          <w:fldChar w:fldCharType="begin"/>
        </w:r>
        <w:r>
          <w:instrText xml:space="preserve">PAGEREF 224 \h</w:instrText>
        </w:r>
        <w:r>
          <w:fldChar w:fldCharType="end"/>
        </w:r>
      </w:hyperlink>
    </w:p>
    <w:p>
      <w:pPr>
        <w:tabs>
          <w:tab w:val="right" w:leader="dot" w:pos="9062"/>
        </w:tabs>
        <w:ind w:left="1100"/>
      </w:pPr>
      <w:hyperlink w:anchor="_Toc225" w:history="1">
        <w:r>
          <w:rPr>
            <w:rFonts w:ascii="IRNazanin" w:hAnsi="IRNazanin" w:eastAsia="IRNazanin" w:cs="IRNazanin"/>
            <w:color w:val="111111"/>
            <w:sz w:val="22"/>
            <w:szCs w:val="22"/>
            <w:b w:val="0"/>
            <w:bCs w:val="0"/>
            <w:i w:val="0"/>
            <w:iCs w:val="0"/>
          </w:rPr>
          <w:t>[بناء علی وجوب الأخذ،هل یتعیّن الأخذ بالحرمة أو یتخیّر؟]</w:t>
        </w:r>
        <w:r>
          <w:tab/>
        </w:r>
        <w:r>
          <w:fldChar w:fldCharType="begin"/>
        </w:r>
        <w:r>
          <w:instrText xml:space="preserve">PAGEREF 225 \h</w:instrText>
        </w:r>
        <w:r>
          <w:fldChar w:fldCharType="end"/>
        </w:r>
      </w:hyperlink>
    </w:p>
    <w:p>
      <w:pPr>
        <w:tabs>
          <w:tab w:val="right" w:leader="dot" w:pos="9062"/>
        </w:tabs>
        <w:ind w:left="1100"/>
      </w:pPr>
      <w:hyperlink w:anchor="_Toc226" w:history="1">
        <w:r>
          <w:rPr>
            <w:rFonts w:ascii="IRNazanin" w:hAnsi="IRNazanin" w:eastAsia="IRNazanin" w:cs="IRNazanin"/>
            <w:color w:val="111111"/>
            <w:sz w:val="22"/>
            <w:szCs w:val="22"/>
            <w:b w:val="0"/>
            <w:bCs w:val="0"/>
            <w:i w:val="0"/>
            <w:iCs w:val="0"/>
          </w:rPr>
          <w:t>[أدلّة تعیّن الأخذ بالحرمة]</w:t>
        </w:r>
        <w:r>
          <w:tab/>
        </w:r>
        <w:r>
          <w:fldChar w:fldCharType="begin"/>
        </w:r>
        <w:r>
          <w:instrText xml:space="preserve">PAGEREF 226 \h</w:instrText>
        </w:r>
        <w:r>
          <w:fldChar w:fldCharType="end"/>
        </w:r>
      </w:hyperlink>
    </w:p>
    <w:p>
      <w:pPr>
        <w:tabs>
          <w:tab w:val="right" w:leader="dot" w:pos="9062"/>
        </w:tabs>
        <w:ind w:left="1100"/>
      </w:pPr>
      <w:hyperlink w:anchor="_Toc227" w:history="1">
        <w:r>
          <w:rPr>
            <w:rFonts w:ascii="IRNazanin" w:hAnsi="IRNazanin" w:eastAsia="IRNazanin" w:cs="IRNazanin"/>
            <w:color w:val="111111"/>
            <w:sz w:val="22"/>
            <w:szCs w:val="22"/>
            <w:b w:val="0"/>
            <w:bCs w:val="0"/>
            <w:i w:val="0"/>
            <w:iCs w:val="0"/>
          </w:rPr>
          <w:t>[المناقشة فی الأدلّة]</w:t>
        </w:r>
        <w:r>
          <w:tab/>
        </w:r>
        <w:r>
          <w:fldChar w:fldCharType="begin"/>
        </w:r>
        <w:r>
          <w:instrText xml:space="preserve">PAGEREF 227 \h</w:instrText>
        </w:r>
        <w:r>
          <w:fldChar w:fldCharType="end"/>
        </w:r>
      </w:hyperlink>
    </w:p>
    <w:p>
      <w:pPr>
        <w:tabs>
          <w:tab w:val="right" w:leader="dot" w:pos="9062"/>
        </w:tabs>
        <w:ind w:left="1100"/>
      </w:pPr>
      <w:hyperlink w:anchor="_Toc228" w:history="1">
        <w:r>
          <w:rPr>
            <w:rFonts w:ascii="IRNazanin" w:hAnsi="IRNazanin" w:eastAsia="IRNazanin" w:cs="IRNazanin"/>
            <w:color w:val="111111"/>
            <w:sz w:val="22"/>
            <w:szCs w:val="22"/>
            <w:b w:val="0"/>
            <w:bCs w:val="0"/>
            <w:i w:val="0"/>
            <w:iCs w:val="0"/>
          </w:rPr>
          <w:t>[هل التخییر علی القول به،ابتدائی أو استمراری؟]</w:t>
        </w:r>
        <w:r>
          <w:tab/>
        </w:r>
        <w:r>
          <w:fldChar w:fldCharType="begin"/>
        </w:r>
        <w:r>
          <w:instrText xml:space="preserve">PAGEREF 228 \h</w:instrText>
        </w:r>
        <w:r>
          <w:fldChar w:fldCharType="end"/>
        </w:r>
      </w:hyperlink>
    </w:p>
    <w:p>
      <w:pPr>
        <w:tabs>
          <w:tab w:val="right" w:leader="dot" w:pos="9062"/>
        </w:tabs>
        <w:ind w:left="1100"/>
      </w:pPr>
      <w:hyperlink w:anchor="_Toc229" w:history="1">
        <w:r>
          <w:rPr>
            <w:rFonts w:ascii="IRNazanin" w:hAnsi="IRNazanin" w:eastAsia="IRNazanin" w:cs="IRNazanin"/>
            <w:color w:val="111111"/>
            <w:sz w:val="22"/>
            <w:szCs w:val="22"/>
            <w:b w:val="0"/>
            <w:bCs w:val="0"/>
            <w:i w:val="0"/>
            <w:iCs w:val="0"/>
          </w:rPr>
          <w:t>[ما استدلّ به للتخییر الابتدائی]</w:t>
        </w:r>
        <w:r>
          <w:tab/>
        </w:r>
        <w:r>
          <w:fldChar w:fldCharType="begin"/>
        </w:r>
        <w:r>
          <w:instrText xml:space="preserve">PAGEREF 229 \h</w:instrText>
        </w:r>
        <w:r>
          <w:fldChar w:fldCharType="end"/>
        </w:r>
      </w:hyperlink>
    </w:p>
    <w:p>
      <w:pPr>
        <w:tabs>
          <w:tab w:val="right" w:leader="dot" w:pos="9062"/>
        </w:tabs>
        <w:ind w:left="1100"/>
      </w:pPr>
      <w:hyperlink w:anchor="_Toc2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230 \h</w:instrText>
        </w:r>
        <w:r>
          <w:fldChar w:fldCharType="end"/>
        </w:r>
      </w:hyperlink>
    </w:p>
    <w:p>
      <w:pPr>
        <w:tabs>
          <w:tab w:val="right" w:leader="dot" w:pos="9062"/>
        </w:tabs>
        <w:ind w:left="1100"/>
      </w:pPr>
      <w:hyperlink w:anchor="_Toc231" w:history="1">
        <w:r>
          <w:rPr>
            <w:rFonts w:ascii="IRNazanin" w:hAnsi="IRNazanin" w:eastAsia="IRNazanin" w:cs="IRNazanin"/>
            <w:color w:val="111111"/>
            <w:sz w:val="22"/>
            <w:szCs w:val="22"/>
            <w:b w:val="0"/>
            <w:bCs w:val="0"/>
            <w:i w:val="0"/>
            <w:iCs w:val="0"/>
          </w:rPr>
          <w:t>[المناقشة فیما استدلّ]</w:t>
        </w:r>
        <w:r>
          <w:tab/>
        </w:r>
        <w:r>
          <w:fldChar w:fldCharType="begin"/>
        </w:r>
        <w:r>
          <w:instrText xml:space="preserve">PAGEREF 231 \h</w:instrText>
        </w:r>
        <w:r>
          <w:fldChar w:fldCharType="end"/>
        </w:r>
      </w:hyperlink>
    </w:p>
    <w:p>
      <w:pPr>
        <w:tabs>
          <w:tab w:val="right" w:leader="dot" w:pos="9062"/>
        </w:tabs>
        <w:ind w:left="1100"/>
      </w:pPr>
      <w:hyperlink w:anchor="_Toc232" w:history="1">
        <w:r>
          <w:rPr>
            <w:rFonts w:ascii="IRNazanin" w:hAnsi="IRNazanin" w:eastAsia="IRNazanin" w:cs="IRNazanin"/>
            <w:color w:val="111111"/>
            <w:sz w:val="22"/>
            <w:szCs w:val="22"/>
            <w:b w:val="0"/>
            <w:bCs w:val="0"/>
            <w:i w:val="0"/>
            <w:iCs w:val="0"/>
          </w:rPr>
          <w:t>[الأقوی هو التخییر الاستمراری]</w:t>
        </w:r>
        <w:r>
          <w:tab/>
        </w:r>
        <w:r>
          <w:fldChar w:fldCharType="begin"/>
        </w:r>
        <w:r>
          <w:instrText xml:space="preserve">PAGEREF 232 \h</w:instrText>
        </w:r>
        <w:r>
          <w:fldChar w:fldCharType="end"/>
        </w:r>
      </w:hyperlink>
    </w:p>
    <w:p>
      <w:pPr>
        <w:tabs>
          <w:tab w:val="right" w:leader="dot" w:pos="9062"/>
        </w:tabs>
        <w:ind w:left="1100"/>
      </w:pPr>
      <w:hyperlink w:anchor="_Toc233" w:history="1">
        <w:r>
          <w:rPr>
            <w:rFonts w:ascii="IRNazanin" w:hAnsi="IRNazanin" w:eastAsia="IRNazanin" w:cs="IRNazanin"/>
            <w:color w:val="111111"/>
            <w:sz w:val="22"/>
            <w:szCs w:val="22"/>
            <w:b w:val="0"/>
            <w:bCs w:val="0"/>
            <w:i w:val="0"/>
            <w:iCs w:val="0"/>
          </w:rPr>
          <w:t>المسألة الثانیة إذا دار الأمر بین الوجوب و الحرمة من جهة إجمال الدلیل</w:t>
        </w:r>
        <w:r>
          <w:tab/>
        </w:r>
        <w:r>
          <w:fldChar w:fldCharType="begin"/>
        </w:r>
        <w:r>
          <w:instrText xml:space="preserve">PAGEREF 233 \h</w:instrText>
        </w:r>
        <w:r>
          <w:fldChar w:fldCharType="end"/>
        </w:r>
      </w:hyperlink>
    </w:p>
    <w:p>
      <w:pPr>
        <w:tabs>
          <w:tab w:val="right" w:leader="dot" w:pos="9062"/>
        </w:tabs>
        <w:ind w:left="1100"/>
      </w:pPr>
      <w:hyperlink w:anchor="_Toc234" w:history="1">
        <w:r>
          <w:rPr>
            <w:rFonts w:ascii="IRNazanin" w:hAnsi="IRNazanin" w:eastAsia="IRNazanin" w:cs="IRNazanin"/>
            <w:color w:val="111111"/>
            <w:sz w:val="22"/>
            <w:szCs w:val="22"/>
            <w:b w:val="0"/>
            <w:bCs w:val="0"/>
            <w:i w:val="0"/>
            <w:iCs w:val="0"/>
          </w:rPr>
          <w:t>المسألة الثالثة لو دار الأمر بین الوجوب و التحریم من جهة تعارض الأدلّة</w:t>
        </w:r>
        <w:r>
          <w:tab/>
        </w:r>
        <w:r>
          <w:fldChar w:fldCharType="begin"/>
        </w:r>
        <w:r>
          <w:instrText xml:space="preserve">PAGEREF 234 \h</w:instrText>
        </w:r>
        <w:r>
          <w:fldChar w:fldCharType="end"/>
        </w:r>
      </w:hyperlink>
    </w:p>
    <w:p>
      <w:pPr>
        <w:tabs>
          <w:tab w:val="right" w:leader="dot" w:pos="9062"/>
        </w:tabs>
        <w:ind w:left="1100"/>
      </w:pPr>
      <w:hyperlink w:anchor="_Toc235" w:history="1">
        <w:r>
          <w:rPr>
            <w:rFonts w:ascii="IRNazanin" w:hAnsi="IRNazanin" w:eastAsia="IRNazanin" w:cs="IRNazanin"/>
            <w:color w:val="111111"/>
            <w:sz w:val="22"/>
            <w:szCs w:val="22"/>
            <w:b w:val="0"/>
            <w:bCs w:val="0"/>
            <w:i w:val="0"/>
            <w:iCs w:val="0"/>
          </w:rPr>
          <w:t>[الحکم هو التخییر و الاستدلال علیه]</w:t>
        </w:r>
        <w:r>
          <w:tab/>
        </w:r>
        <w:r>
          <w:fldChar w:fldCharType="begin"/>
        </w:r>
        <w:r>
          <w:instrText xml:space="preserve">PAGEREF 235 \h</w:instrText>
        </w:r>
        <w:r>
          <w:fldChar w:fldCharType="end"/>
        </w:r>
      </w:hyperlink>
    </w:p>
    <w:p>
      <w:pPr>
        <w:tabs>
          <w:tab w:val="right" w:leader="dot" w:pos="9062"/>
        </w:tabs>
        <w:ind w:left="1100"/>
      </w:pPr>
      <w:hyperlink w:anchor="_Toc236" w:history="1">
        <w:r>
          <w:rPr>
            <w:rFonts w:ascii="IRNazanin" w:hAnsi="IRNazanin" w:eastAsia="IRNazanin" w:cs="IRNazanin"/>
            <w:color w:val="111111"/>
            <w:sz w:val="22"/>
            <w:szCs w:val="22"/>
            <w:b w:val="0"/>
            <w:bCs w:val="0"/>
            <w:i w:val="0"/>
            <w:iCs w:val="0"/>
          </w:rPr>
          <w:t>[هل التخییر ابتدائیّ أو استمراریّ؟وجوه]</w:t>
        </w:r>
        <w:r>
          <w:tab/>
        </w:r>
        <w:r>
          <w:fldChar w:fldCharType="begin"/>
        </w:r>
        <w:r>
          <w:instrText xml:space="preserve">PAGEREF 236 \h</w:instrText>
        </w:r>
        <w:r>
          <w:fldChar w:fldCharType="end"/>
        </w:r>
      </w:hyperlink>
    </w:p>
    <w:p>
      <w:pPr>
        <w:tabs>
          <w:tab w:val="right" w:leader="dot" w:pos="9062"/>
        </w:tabs>
        <w:ind w:left="1100"/>
      </w:pPr>
      <w:hyperlink w:anchor="_Toc237" w:history="1">
        <w:r>
          <w:rPr>
            <w:rFonts w:ascii="IRNazanin" w:hAnsi="IRNazanin" w:eastAsia="IRNazanin" w:cs="IRNazanin"/>
            <w:color w:val="111111"/>
            <w:sz w:val="22"/>
            <w:szCs w:val="22"/>
            <w:b w:val="0"/>
            <w:bCs w:val="0"/>
            <w:i w:val="0"/>
            <w:iCs w:val="0"/>
          </w:rPr>
          <w:t>[اللازم الاستمرار علی ما اختار]</w:t>
        </w:r>
        <w:r>
          <w:tab/>
        </w:r>
        <w:r>
          <w:fldChar w:fldCharType="begin"/>
        </w:r>
        <w:r>
          <w:instrText xml:space="preserve">PAGEREF 237 \h</w:instrText>
        </w:r>
        <w:r>
          <w:fldChar w:fldCharType="end"/>
        </w:r>
      </w:hyperlink>
    </w:p>
    <w:p>
      <w:pPr>
        <w:tabs>
          <w:tab w:val="right" w:leader="dot" w:pos="9062"/>
        </w:tabs>
        <w:ind w:left="1100"/>
      </w:pPr>
      <w:hyperlink w:anchor="_Toc238" w:history="1">
        <w:r>
          <w:rPr>
            <w:rFonts w:ascii="IRNazanin" w:hAnsi="IRNazanin" w:eastAsia="IRNazanin" w:cs="IRNazanin"/>
            <w:color w:val="111111"/>
            <w:sz w:val="22"/>
            <w:szCs w:val="22"/>
            <w:b w:val="0"/>
            <w:bCs w:val="0"/>
            <w:i w:val="0"/>
            <w:iCs w:val="0"/>
          </w:rPr>
          <w:t>المسألة الرابعة لو دار الأمر بین الوجوب و الحرمة من جهة اشتباه الموضوع</w:t>
        </w:r>
        <w:r>
          <w:tab/>
        </w:r>
        <w:r>
          <w:fldChar w:fldCharType="begin"/>
        </w:r>
        <w:r>
          <w:instrText xml:space="preserve">PAGEREF 238 \h</w:instrText>
        </w:r>
        <w:r>
          <w:fldChar w:fldCharType="end"/>
        </w:r>
      </w:hyperlink>
    </w:p>
    <w:p>
      <w:pPr>
        <w:tabs>
          <w:tab w:val="right" w:leader="dot" w:pos="9062"/>
        </w:tabs>
        <w:ind w:left="1100"/>
      </w:pPr>
      <w:hyperlink w:anchor="_Toc239" w:history="1">
        <w:r>
          <w:rPr>
            <w:rFonts w:ascii="IRNazanin" w:hAnsi="IRNazanin" w:eastAsia="IRNazanin" w:cs="IRNazanin"/>
            <w:color w:val="111111"/>
            <w:sz w:val="22"/>
            <w:szCs w:val="22"/>
            <w:b w:val="0"/>
            <w:bCs w:val="0"/>
            <w:i w:val="0"/>
            <w:iCs w:val="0"/>
          </w:rPr>
          <w:t>[ما مثّل به للمسألة]</w:t>
        </w:r>
        <w:r>
          <w:tab/>
        </w:r>
        <w:r>
          <w:fldChar w:fldCharType="begin"/>
        </w:r>
        <w:r>
          <w:instrText xml:space="preserve">PAGEREF 239 \h</w:instrText>
        </w:r>
        <w:r>
          <w:fldChar w:fldCharType="end"/>
        </w:r>
      </w:hyperlink>
    </w:p>
    <w:p>
      <w:pPr>
        <w:tabs>
          <w:tab w:val="right" w:leader="dot" w:pos="9062"/>
        </w:tabs>
        <w:ind w:left="1100"/>
      </w:pPr>
      <w:hyperlink w:anchor="_Toc2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240 \h</w:instrText>
        </w:r>
        <w:r>
          <w:fldChar w:fldCharType="end"/>
        </w:r>
      </w:hyperlink>
    </w:p>
    <w:p>
      <w:pPr>
        <w:tabs>
          <w:tab w:val="right" w:leader="dot" w:pos="9062"/>
        </w:tabs>
        <w:ind w:left="1100"/>
      </w:pPr>
      <w:hyperlink w:anchor="_Toc241" w:history="1">
        <w:r>
          <w:rPr>
            <w:rFonts w:ascii="IRNazanin" w:hAnsi="IRNazanin" w:eastAsia="IRNazanin" w:cs="IRNazanin"/>
            <w:color w:val="111111"/>
            <w:sz w:val="22"/>
            <w:szCs w:val="22"/>
            <w:b w:val="0"/>
            <w:bCs w:val="0"/>
            <w:i w:val="0"/>
            <w:iCs w:val="0"/>
          </w:rPr>
          <w:t>[المناقشة فی الأمثلة]</w:t>
        </w:r>
        <w:r>
          <w:tab/>
        </w:r>
        <w:r>
          <w:fldChar w:fldCharType="begin"/>
        </w:r>
        <w:r>
          <w:instrText xml:space="preserve">PAGEREF 241 \h</w:instrText>
        </w:r>
        <w:r>
          <w:fldChar w:fldCharType="end"/>
        </w:r>
      </w:hyperlink>
    </w:p>
    <w:p>
      <w:pPr>
        <w:tabs>
          <w:tab w:val="right" w:leader="dot" w:pos="9062"/>
        </w:tabs>
        <w:ind w:left="1100"/>
      </w:pPr>
      <w:hyperlink w:anchor="_Toc242" w:history="1">
        <w:r>
          <w:rPr>
            <w:rFonts w:ascii="IRNazanin" w:hAnsi="IRNazanin" w:eastAsia="IRNazanin" w:cs="IRNazanin"/>
            <w:color w:val="111111"/>
            <w:sz w:val="22"/>
            <w:szCs w:val="22"/>
            <w:b w:val="0"/>
            <w:bCs w:val="0"/>
            <w:i w:val="0"/>
            <w:iCs w:val="0"/>
          </w:rPr>
          <w:t>[دوران الأمر بین ما عدا الوجوب و الحرمة من الأحکام]</w:t>
        </w:r>
        <w:r>
          <w:tab/>
        </w:r>
        <w:r>
          <w:fldChar w:fldCharType="begin"/>
        </w:r>
        <w:r>
          <w:instrText xml:space="preserve">PAGEREF 242 \h</w:instrText>
        </w:r>
        <w:r>
          <w:fldChar w:fldCharType="end"/>
        </w:r>
      </w:hyperlink>
    </w:p>
    <w:p>
      <w:pPr>
        <w:tabs>
          <w:tab w:val="right" w:leader="dot" w:pos="9062"/>
        </w:tabs>
        <w:ind w:left="1100"/>
      </w:pPr>
      <w:hyperlink w:anchor="_Toc243" w:history="1">
        <w:r>
          <w:rPr>
            <w:rFonts w:ascii="IRNazanin" w:hAnsi="IRNazanin" w:eastAsia="IRNazanin" w:cs="IRNazanin"/>
            <w:color w:val="111111"/>
            <w:sz w:val="22"/>
            <w:szCs w:val="22"/>
            <w:b w:val="0"/>
            <w:bCs w:val="0"/>
            <w:i w:val="0"/>
            <w:iCs w:val="0"/>
          </w:rPr>
          <w:t>الموضع الثانی فی الشکّ فی المکلّف به مع العلم بنوع التکلیف</w:t>
        </w:r>
        <w:r>
          <w:tab/>
        </w:r>
        <w:r>
          <w:fldChar w:fldCharType="begin"/>
        </w:r>
        <w:r>
          <w:instrText xml:space="preserve">PAGEREF 243 \h</w:instrText>
        </w:r>
        <w:r>
          <w:fldChar w:fldCharType="end"/>
        </w:r>
      </w:hyperlink>
    </w:p>
    <w:p>
      <w:pPr>
        <w:tabs>
          <w:tab w:val="right" w:leader="dot" w:pos="9062"/>
        </w:tabs>
        <w:ind w:left="1100"/>
      </w:pPr>
      <w:hyperlink w:anchor="_Toc2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244 \h</w:instrText>
        </w:r>
        <w:r>
          <w:fldChar w:fldCharType="end"/>
        </w:r>
      </w:hyperlink>
    </w:p>
    <w:p>
      <w:pPr>
        <w:tabs>
          <w:tab w:val="right" w:leader="dot" w:pos="9062"/>
        </w:tabs>
        <w:ind w:left="1100"/>
      </w:pPr>
      <w:hyperlink w:anchor="_Toc245" w:history="1">
        <w:r>
          <w:rPr>
            <w:rFonts w:ascii="IRNazanin" w:hAnsi="IRNazanin" w:eastAsia="IRNazanin" w:cs="IRNazanin"/>
            <w:color w:val="111111"/>
            <w:sz w:val="22"/>
            <w:szCs w:val="22"/>
            <w:b w:val="0"/>
            <w:bCs w:val="0"/>
            <w:i w:val="0"/>
            <w:iCs w:val="0"/>
          </w:rPr>
          <w:t>المطلب الأوّل فی دوران الأمر بین الحرام و غیر الواجب</w:t>
        </w:r>
        <w:r>
          <w:tab/>
        </w:r>
        <w:r>
          <w:fldChar w:fldCharType="begin"/>
        </w:r>
        <w:r>
          <w:instrText xml:space="preserve">PAGEREF 245 \h</w:instrText>
        </w:r>
        <w:r>
          <w:fldChar w:fldCharType="end"/>
        </w:r>
      </w:hyperlink>
    </w:p>
    <w:p>
      <w:pPr>
        <w:tabs>
          <w:tab w:val="right" w:leader="dot" w:pos="9062"/>
        </w:tabs>
        <w:ind w:left="1100"/>
      </w:pPr>
      <w:hyperlink w:anchor="_Toc2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246 \h</w:instrText>
        </w:r>
        <w:r>
          <w:fldChar w:fldCharType="end"/>
        </w:r>
      </w:hyperlink>
    </w:p>
    <w:p>
      <w:pPr>
        <w:tabs>
          <w:tab w:val="right" w:leader="dot" w:pos="9062"/>
        </w:tabs>
        <w:ind w:left="1100"/>
      </w:pPr>
      <w:hyperlink w:anchor="_Toc247" w:history="1">
        <w:r>
          <w:rPr>
            <w:rFonts w:ascii="IRNazanin" w:hAnsi="IRNazanin" w:eastAsia="IRNazanin" w:cs="IRNazanin"/>
            <w:color w:val="111111"/>
            <w:sz w:val="22"/>
            <w:szCs w:val="22"/>
            <w:b w:val="0"/>
            <w:bCs w:val="0"/>
            <w:i w:val="0"/>
            <w:iCs w:val="0"/>
          </w:rPr>
          <w:t>المسألة الاولی : لو علم التحریم و شکّ فی الحرام من جهة اشتباه الموضوع الخارجی</w:t>
        </w:r>
        <w:r>
          <w:tab/>
        </w:r>
        <w:r>
          <w:fldChar w:fldCharType="begin"/>
        </w:r>
        <w:r>
          <w:instrText xml:space="preserve">PAGEREF 247 \h</w:instrText>
        </w:r>
        <w:r>
          <w:fldChar w:fldCharType="end"/>
        </w:r>
      </w:hyperlink>
    </w:p>
    <w:p>
      <w:pPr>
        <w:tabs>
          <w:tab w:val="right" w:leader="dot" w:pos="9062"/>
        </w:tabs>
        <w:ind w:left="1100"/>
      </w:pPr>
      <w:hyperlink w:anchor="_Toc2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248 \h</w:instrText>
        </w:r>
        <w:r>
          <w:fldChar w:fldCharType="end"/>
        </w:r>
      </w:hyperlink>
    </w:p>
    <w:p>
      <w:pPr>
        <w:tabs>
          <w:tab w:val="right" w:leader="dot" w:pos="9062"/>
        </w:tabs>
        <w:ind w:left="1100"/>
      </w:pPr>
      <w:hyperlink w:anchor="_Toc249" w:history="1">
        <w:r>
          <w:rPr>
            <w:rFonts w:ascii="IRNazanin" w:hAnsi="IRNazanin" w:eastAsia="IRNazanin" w:cs="IRNazanin"/>
            <w:color w:val="111111"/>
            <w:sz w:val="22"/>
            <w:szCs w:val="22"/>
            <w:b w:val="0"/>
            <w:bCs w:val="0"/>
            <w:i w:val="0"/>
            <w:iCs w:val="0"/>
          </w:rPr>
          <w:t>أمّا[المقام] الأوّل [فی الشبهة المحصورة][،و فیه مقامان:]</w:t>
        </w:r>
        <w:r>
          <w:tab/>
        </w:r>
        <w:r>
          <w:fldChar w:fldCharType="begin"/>
        </w:r>
        <w:r>
          <w:instrText xml:space="preserve">PAGEREF 249 \h</w:instrText>
        </w:r>
        <w:r>
          <w:fldChar w:fldCharType="end"/>
        </w:r>
      </w:hyperlink>
    </w:p>
    <w:p>
      <w:pPr>
        <w:tabs>
          <w:tab w:val="right" w:leader="dot" w:pos="9062"/>
        </w:tabs>
        <w:ind w:left="1100"/>
      </w:pPr>
      <w:hyperlink w:anchor="_Toc2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250 \h</w:instrText>
        </w:r>
        <w:r>
          <w:fldChar w:fldCharType="end"/>
        </w:r>
      </w:hyperlink>
    </w:p>
    <w:p>
      <w:pPr>
        <w:tabs>
          <w:tab w:val="right" w:leader="dot" w:pos="9062"/>
        </w:tabs>
        <w:ind w:left="1100"/>
      </w:pPr>
      <w:hyperlink w:anchor="_Toc251" w:history="1">
        <w:r>
          <w:rPr>
            <w:rFonts w:ascii="IRNazanin" w:hAnsi="IRNazanin" w:eastAsia="IRNazanin" w:cs="IRNazanin"/>
            <w:color w:val="111111"/>
            <w:sz w:val="22"/>
            <w:szCs w:val="22"/>
            <w:b w:val="0"/>
            <w:bCs w:val="0"/>
            <w:i w:val="0"/>
            <w:iCs w:val="0"/>
          </w:rPr>
          <w:t>[المقام الأوّل : هل یجوز ارتکاب جمیع المشتبهات؟]</w:t>
        </w:r>
        <w:r>
          <w:tab/>
        </w:r>
        <w:r>
          <w:fldChar w:fldCharType="begin"/>
        </w:r>
        <w:r>
          <w:instrText xml:space="preserve">PAGEREF 251 \h</w:instrText>
        </w:r>
        <w:r>
          <w:fldChar w:fldCharType="end"/>
        </w:r>
      </w:hyperlink>
    </w:p>
    <w:p>
      <w:pPr>
        <w:tabs>
          <w:tab w:val="right" w:leader="dot" w:pos="9062"/>
        </w:tabs>
        <w:ind w:left="1100"/>
      </w:pPr>
      <w:hyperlink w:anchor="_Toc2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252 \h</w:instrText>
        </w:r>
        <w:r>
          <w:fldChar w:fldCharType="end"/>
        </w:r>
      </w:hyperlink>
    </w:p>
    <w:p>
      <w:pPr>
        <w:tabs>
          <w:tab w:val="right" w:leader="dot" w:pos="9062"/>
        </w:tabs>
        <w:ind w:left="1100"/>
      </w:pPr>
      <w:hyperlink w:anchor="_Toc253" w:history="1">
        <w:r>
          <w:rPr>
            <w:rFonts w:ascii="IRNazanin" w:hAnsi="IRNazanin" w:eastAsia="IRNazanin" w:cs="IRNazanin"/>
            <w:color w:val="111111"/>
            <w:sz w:val="22"/>
            <w:szCs w:val="22"/>
            <w:b w:val="0"/>
            <w:bCs w:val="0"/>
            <w:i w:val="0"/>
            <w:iCs w:val="0"/>
          </w:rPr>
          <w:t>[الحقّ حرمة المخالفة القطعیّة و الاستدلال علیه]</w:t>
        </w:r>
        <w:r>
          <w:tab/>
        </w:r>
        <w:r>
          <w:fldChar w:fldCharType="begin"/>
        </w:r>
        <w:r>
          <w:instrText xml:space="preserve">PAGEREF 253 \h</w:instrText>
        </w:r>
        <w:r>
          <w:fldChar w:fldCharType="end"/>
        </w:r>
      </w:hyperlink>
    </w:p>
    <w:p>
      <w:pPr>
        <w:tabs>
          <w:tab w:val="right" w:leader="dot" w:pos="9062"/>
        </w:tabs>
        <w:ind w:left="1100"/>
      </w:pPr>
      <w:hyperlink w:anchor="_Toc254" w:history="1">
        <w:r>
          <w:rPr>
            <w:rFonts w:ascii="IRNazanin" w:hAnsi="IRNazanin" w:eastAsia="IRNazanin" w:cs="IRNazanin"/>
            <w:color w:val="111111"/>
            <w:sz w:val="22"/>
            <w:szCs w:val="22"/>
            <w:b w:val="0"/>
            <w:bCs w:val="0"/>
            <w:i w:val="0"/>
            <w:iCs w:val="0"/>
          </w:rPr>
          <w:t>[عدم صلاحیّة أخبار«الحلّ»للمنع عن الحرمة]</w:t>
        </w:r>
        <w:r>
          <w:tab/>
        </w:r>
        <w:r>
          <w:fldChar w:fldCharType="begin"/>
        </w:r>
        <w:r>
          <w:instrText xml:space="preserve">PAGEREF 254 \h</w:instrText>
        </w:r>
        <w:r>
          <w:fldChar w:fldCharType="end"/>
        </w:r>
      </w:hyperlink>
    </w:p>
    <w:p>
      <w:pPr>
        <w:tabs>
          <w:tab w:val="right" w:leader="dot" w:pos="9062"/>
        </w:tabs>
        <w:ind w:left="1100"/>
      </w:pPr>
      <w:hyperlink w:anchor="_Toc255" w:history="1">
        <w:r>
          <w:rPr>
            <w:rFonts w:ascii="IRNazanin" w:hAnsi="IRNazanin" w:eastAsia="IRNazanin" w:cs="IRNazanin"/>
            <w:color w:val="111111"/>
            <w:sz w:val="22"/>
            <w:szCs w:val="22"/>
            <w:b w:val="0"/>
            <w:bCs w:val="0"/>
            <w:i w:val="0"/>
            <w:iCs w:val="0"/>
          </w:rPr>
          <w:t>[ما هو غایة الحلّ فی أخبار«الحلّ»؟]</w:t>
        </w:r>
        <w:r>
          <w:tab/>
        </w:r>
        <w:r>
          <w:fldChar w:fldCharType="begin"/>
        </w:r>
        <w:r>
          <w:instrText xml:space="preserve">PAGEREF 255 \h</w:instrText>
        </w:r>
        <w:r>
          <w:fldChar w:fldCharType="end"/>
        </w:r>
      </w:hyperlink>
    </w:p>
    <w:p>
      <w:pPr>
        <w:tabs>
          <w:tab w:val="right" w:leader="dot" w:pos="9062"/>
        </w:tabs>
        <w:ind w:left="1100"/>
      </w:pPr>
      <w:hyperlink w:anchor="_Toc256" w:history="1">
        <w:r>
          <w:rPr>
            <w:rFonts w:ascii="IRNazanin" w:hAnsi="IRNazanin" w:eastAsia="IRNazanin" w:cs="IRNazanin"/>
            <w:color w:val="111111"/>
            <w:sz w:val="22"/>
            <w:szCs w:val="22"/>
            <w:b w:val="0"/>
            <w:bCs w:val="0"/>
            <w:i w:val="0"/>
            <w:iCs w:val="0"/>
          </w:rPr>
          <w:t>[قبح جعل الحکم الظاهری مع علم المکلّف بمخالفته للحکم الواقعی]</w:t>
        </w:r>
        <w:r>
          <w:tab/>
        </w:r>
        <w:r>
          <w:fldChar w:fldCharType="begin"/>
        </w:r>
        <w:r>
          <w:instrText xml:space="preserve">PAGEREF 256 \h</w:instrText>
        </w:r>
        <w:r>
          <w:fldChar w:fldCharType="end"/>
        </w:r>
      </w:hyperlink>
    </w:p>
    <w:p>
      <w:pPr>
        <w:tabs>
          <w:tab w:val="right" w:leader="dot" w:pos="9062"/>
        </w:tabs>
        <w:ind w:left="1100"/>
      </w:pPr>
      <w:hyperlink w:anchor="_Toc257" w:history="1">
        <w:r>
          <w:rPr>
            <w:rFonts w:ascii="IRNazanin" w:hAnsi="IRNazanin" w:eastAsia="IRNazanin" w:cs="IRNazanin"/>
            <w:color w:val="111111"/>
            <w:sz w:val="22"/>
            <w:szCs w:val="22"/>
            <w:b w:val="0"/>
            <w:bCs w:val="0"/>
            <w:i w:val="0"/>
            <w:iCs w:val="0"/>
          </w:rPr>
          <w:t>[وجوب الاحتیاط فیما لا یرتکب إلاّ تدریجا أیضا]</w:t>
        </w:r>
        <w:r>
          <w:tab/>
        </w:r>
        <w:r>
          <w:fldChar w:fldCharType="begin"/>
        </w:r>
        <w:r>
          <w:instrText xml:space="preserve">PAGEREF 257 \h</w:instrText>
        </w:r>
        <w:r>
          <w:fldChar w:fldCharType="end"/>
        </w:r>
      </w:hyperlink>
    </w:p>
    <w:p>
      <w:pPr>
        <w:tabs>
          <w:tab w:val="right" w:leader="dot" w:pos="9062"/>
        </w:tabs>
        <w:ind w:left="1100"/>
      </w:pPr>
      <w:hyperlink w:anchor="_Toc258" w:history="1">
        <w:r>
          <w:rPr>
            <w:rFonts w:ascii="IRNazanin" w:hAnsi="IRNazanin" w:eastAsia="IRNazanin" w:cs="IRNazanin"/>
            <w:color w:val="111111"/>
            <w:sz w:val="22"/>
            <w:szCs w:val="22"/>
            <w:b w:val="0"/>
            <w:bCs w:val="0"/>
            <w:i w:val="0"/>
            <w:iCs w:val="0"/>
          </w:rPr>
          <w:t>[توهّم وجود المخالفة القطعیّة للعلم الإجمالی فی الشرعیّات]</w:t>
        </w:r>
        <w:r>
          <w:tab/>
        </w:r>
        <w:r>
          <w:fldChar w:fldCharType="begin"/>
        </w:r>
        <w:r>
          <w:instrText xml:space="preserve">PAGEREF 258 \h</w:instrText>
        </w:r>
        <w:r>
          <w:fldChar w:fldCharType="end"/>
        </w:r>
      </w:hyperlink>
    </w:p>
    <w:p>
      <w:pPr>
        <w:tabs>
          <w:tab w:val="right" w:leader="dot" w:pos="9062"/>
        </w:tabs>
        <w:ind w:left="1100"/>
      </w:pPr>
      <w:hyperlink w:anchor="_Toc2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259 \h</w:instrText>
        </w:r>
        <w:r>
          <w:fldChar w:fldCharType="end"/>
        </w:r>
      </w:hyperlink>
    </w:p>
    <w:p>
      <w:pPr>
        <w:tabs>
          <w:tab w:val="right" w:leader="dot" w:pos="9062"/>
        </w:tabs>
        <w:ind w:left="1100"/>
      </w:pPr>
      <w:hyperlink w:anchor="_Toc260" w:history="1">
        <w:r>
          <w:rPr>
            <w:rFonts w:ascii="IRNazanin" w:hAnsi="IRNazanin" w:eastAsia="IRNazanin" w:cs="IRNazanin"/>
            <w:color w:val="111111"/>
            <w:sz w:val="22"/>
            <w:szCs w:val="22"/>
            <w:b w:val="0"/>
            <w:bCs w:val="0"/>
            <w:i w:val="0"/>
            <w:iCs w:val="0"/>
          </w:rPr>
          <w:t>[الجواب عن التوهّم المذکور]</w:t>
        </w:r>
        <w:r>
          <w:tab/>
        </w:r>
        <w:r>
          <w:fldChar w:fldCharType="begin"/>
        </w:r>
        <w:r>
          <w:instrText xml:space="preserve">PAGEREF 260 \h</w:instrText>
        </w:r>
        <w:r>
          <w:fldChar w:fldCharType="end"/>
        </w:r>
      </w:hyperlink>
    </w:p>
    <w:p>
      <w:pPr>
        <w:tabs>
          <w:tab w:val="right" w:leader="dot" w:pos="9062"/>
        </w:tabs>
        <w:ind w:left="1100"/>
      </w:pPr>
      <w:hyperlink w:anchor="_Toc261" w:history="1">
        <w:r>
          <w:rPr>
            <w:rFonts w:ascii="IRNazanin" w:hAnsi="IRNazanin" w:eastAsia="IRNazanin" w:cs="IRNazanin"/>
            <w:color w:val="111111"/>
            <w:sz w:val="22"/>
            <w:szCs w:val="22"/>
            <w:b w:val="0"/>
            <w:bCs w:val="0"/>
            <w:i w:val="0"/>
            <w:iCs w:val="0"/>
          </w:rPr>
          <w:t>[تفصیل صاحب الحدائق فی الشبهة المحصورة]</w:t>
        </w:r>
        <w:r>
          <w:tab/>
        </w:r>
        <w:r>
          <w:fldChar w:fldCharType="begin"/>
        </w:r>
        <w:r>
          <w:instrText xml:space="preserve">PAGEREF 261 \h</w:instrText>
        </w:r>
        <w:r>
          <w:fldChar w:fldCharType="end"/>
        </w:r>
      </w:hyperlink>
    </w:p>
    <w:p>
      <w:pPr>
        <w:tabs>
          <w:tab w:val="right" w:leader="dot" w:pos="9062"/>
        </w:tabs>
        <w:ind w:left="1100"/>
      </w:pPr>
      <w:hyperlink w:anchor="_Toc262" w:history="1">
        <w:r>
          <w:rPr>
            <w:rFonts w:ascii="IRNazanin" w:hAnsi="IRNazanin" w:eastAsia="IRNazanin" w:cs="IRNazanin"/>
            <w:color w:val="111111"/>
            <w:sz w:val="22"/>
            <w:szCs w:val="22"/>
            <w:b w:val="0"/>
            <w:bCs w:val="0"/>
            <w:i w:val="0"/>
            <w:iCs w:val="0"/>
          </w:rPr>
          <w:t>[المقام الثانی : هل یجب اجتناب جمیع المشتبهات؟]</w:t>
        </w:r>
        <w:r>
          <w:tab/>
        </w:r>
        <w:r>
          <w:fldChar w:fldCharType="begin"/>
        </w:r>
        <w:r>
          <w:instrText xml:space="preserve">PAGEREF 262 \h</w:instrText>
        </w:r>
        <w:r>
          <w:fldChar w:fldCharType="end"/>
        </w:r>
      </w:hyperlink>
    </w:p>
    <w:p>
      <w:pPr>
        <w:tabs>
          <w:tab w:val="right" w:leader="dot" w:pos="9062"/>
        </w:tabs>
        <w:ind w:left="1100"/>
      </w:pPr>
      <w:hyperlink w:anchor="_Toc26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263 \h</w:instrText>
        </w:r>
        <w:r>
          <w:fldChar w:fldCharType="end"/>
        </w:r>
      </w:hyperlink>
    </w:p>
    <w:p>
      <w:pPr>
        <w:tabs>
          <w:tab w:val="right" w:leader="dot" w:pos="9062"/>
        </w:tabs>
        <w:ind w:left="1100"/>
      </w:pPr>
      <w:hyperlink w:anchor="_Toc264" w:history="1">
        <w:r>
          <w:rPr>
            <w:rFonts w:ascii="IRNazanin" w:hAnsi="IRNazanin" w:eastAsia="IRNazanin" w:cs="IRNazanin"/>
            <w:color w:val="111111"/>
            <w:sz w:val="22"/>
            <w:szCs w:val="22"/>
            <w:b w:val="0"/>
            <w:bCs w:val="0"/>
            <w:i w:val="0"/>
            <w:iCs w:val="0"/>
          </w:rPr>
          <w:t>[الحقّ وجوب الاجتناب و الاحتیاط]</w:t>
        </w:r>
        <w:r>
          <w:tab/>
        </w:r>
        <w:r>
          <w:fldChar w:fldCharType="begin"/>
        </w:r>
        <w:r>
          <w:instrText xml:space="preserve">PAGEREF 264 \h</w:instrText>
        </w:r>
        <w:r>
          <w:fldChar w:fldCharType="end"/>
        </w:r>
      </w:hyperlink>
    </w:p>
    <w:p>
      <w:pPr>
        <w:tabs>
          <w:tab w:val="right" w:leader="dot" w:pos="9062"/>
        </w:tabs>
        <w:ind w:left="1100"/>
      </w:pPr>
      <w:hyperlink w:anchor="_Toc2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265 \h</w:instrText>
        </w:r>
        <w:r>
          <w:fldChar w:fldCharType="end"/>
        </w:r>
      </w:hyperlink>
    </w:p>
    <w:p>
      <w:pPr>
        <w:tabs>
          <w:tab w:val="right" w:leader="dot" w:pos="9062"/>
        </w:tabs>
        <w:ind w:left="1100"/>
      </w:pPr>
      <w:hyperlink w:anchor="_Toc266" w:history="1">
        <w:r>
          <w:rPr>
            <w:rFonts w:ascii="IRNazanin" w:hAnsi="IRNazanin" w:eastAsia="IRNazanin" w:cs="IRNazanin"/>
            <w:color w:val="111111"/>
            <w:sz w:val="22"/>
            <w:szCs w:val="22"/>
            <w:b w:val="0"/>
            <w:bCs w:val="0"/>
            <w:i w:val="0"/>
            <w:iCs w:val="0"/>
          </w:rPr>
          <w:t>[الاستدلال علیه]</w:t>
        </w:r>
        <w:r>
          <w:tab/>
        </w:r>
        <w:r>
          <w:fldChar w:fldCharType="begin"/>
        </w:r>
        <w:r>
          <w:instrText xml:space="preserve">PAGEREF 266 \h</w:instrText>
        </w:r>
        <w:r>
          <w:fldChar w:fldCharType="end"/>
        </w:r>
      </w:hyperlink>
    </w:p>
    <w:p>
      <w:pPr>
        <w:tabs>
          <w:tab w:val="right" w:leader="dot" w:pos="9062"/>
        </w:tabs>
        <w:ind w:left="1100"/>
      </w:pPr>
      <w:hyperlink w:anchor="_Toc267" w:history="1">
        <w:r>
          <w:rPr>
            <w:rFonts w:ascii="IRNazanin" w:hAnsi="IRNazanin" w:eastAsia="IRNazanin" w:cs="IRNazanin"/>
            <w:color w:val="111111"/>
            <w:sz w:val="22"/>
            <w:szCs w:val="22"/>
            <w:b w:val="0"/>
            <w:bCs w:val="0"/>
            <w:i w:val="0"/>
            <w:iCs w:val="0"/>
          </w:rPr>
          <w:t>[توهّم جریان أصالة الحلّ فی کلا المشتبهین و التخییر بینهما و دفعه]</w:t>
        </w:r>
        <w:r>
          <w:tab/>
        </w:r>
        <w:r>
          <w:fldChar w:fldCharType="begin"/>
        </w:r>
        <w:r>
          <w:instrText xml:space="preserve">PAGEREF 267 \h</w:instrText>
        </w:r>
        <w:r>
          <w:fldChar w:fldCharType="end"/>
        </w:r>
      </w:hyperlink>
    </w:p>
    <w:p>
      <w:pPr>
        <w:tabs>
          <w:tab w:val="right" w:leader="dot" w:pos="9062"/>
        </w:tabs>
        <w:ind w:left="1100"/>
      </w:pPr>
      <w:hyperlink w:anchor="_Toc268" w:history="1">
        <w:r>
          <w:rPr>
            <w:rFonts w:ascii="IRNazanin" w:hAnsi="IRNazanin" w:eastAsia="IRNazanin" w:cs="IRNazanin"/>
            <w:color w:val="111111"/>
            <w:sz w:val="22"/>
            <w:szCs w:val="22"/>
            <w:b w:val="0"/>
            <w:bCs w:val="0"/>
            <w:i w:val="0"/>
            <w:iCs w:val="0"/>
          </w:rPr>
          <w:t>[الحکم فی تعارض الأصلین هو التساقط،لا التخییر]</w:t>
        </w:r>
        <w:r>
          <w:tab/>
        </w:r>
        <w:r>
          <w:fldChar w:fldCharType="begin"/>
        </w:r>
        <w:r>
          <w:instrText xml:space="preserve">PAGEREF 268 \h</w:instrText>
        </w:r>
        <w:r>
          <w:fldChar w:fldCharType="end"/>
        </w:r>
      </w:hyperlink>
    </w:p>
    <w:p>
      <w:pPr>
        <w:tabs>
          <w:tab w:val="right" w:leader="dot" w:pos="9062"/>
        </w:tabs>
        <w:ind w:left="1100"/>
      </w:pPr>
      <w:hyperlink w:anchor="_Toc269" w:history="1">
        <w:r>
          <w:rPr>
            <w:rFonts w:ascii="IRNazanin" w:hAnsi="IRNazanin" w:eastAsia="IRNazanin" w:cs="IRNazanin"/>
            <w:color w:val="111111"/>
            <w:sz w:val="22"/>
            <w:szCs w:val="22"/>
            <w:b w:val="0"/>
            <w:bCs w:val="0"/>
            <w:i w:val="0"/>
            <w:iCs w:val="0"/>
          </w:rPr>
          <w:t>[عدم استفادة الحلیّة علی البدل من أخبار«الحلّ»]</w:t>
        </w:r>
        <w:r>
          <w:tab/>
        </w:r>
        <w:r>
          <w:fldChar w:fldCharType="begin"/>
        </w:r>
        <w:r>
          <w:instrText xml:space="preserve">PAGEREF 269 \h</w:instrText>
        </w:r>
        <w:r>
          <w:fldChar w:fldCharType="end"/>
        </w:r>
      </w:hyperlink>
    </w:p>
    <w:p>
      <w:pPr>
        <w:tabs>
          <w:tab w:val="right" w:leader="dot" w:pos="9062"/>
        </w:tabs>
        <w:ind w:left="1100"/>
      </w:pPr>
      <w:hyperlink w:anchor="_Toc270" w:history="1">
        <w:r>
          <w:rPr>
            <w:rFonts w:ascii="IRNazanin" w:hAnsi="IRNazanin" w:eastAsia="IRNazanin" w:cs="IRNazanin"/>
            <w:color w:val="111111"/>
            <w:sz w:val="22"/>
            <w:szCs w:val="22"/>
            <w:b w:val="0"/>
            <w:bCs w:val="0"/>
            <w:i w:val="0"/>
            <w:iCs w:val="0"/>
          </w:rPr>
          <w:t>احتجّ من جوّز ارتکاب ما عدا مقدار الحرام و منع عنه بوجهین</w:t>
        </w:r>
        <w:r>
          <w:tab/>
        </w:r>
        <w:r>
          <w:fldChar w:fldCharType="begin"/>
        </w:r>
        <w:r>
          <w:instrText xml:space="preserve">PAGEREF 270 \h</w:instrText>
        </w:r>
        <w:r>
          <w:fldChar w:fldCharType="end"/>
        </w:r>
      </w:hyperlink>
    </w:p>
    <w:p>
      <w:pPr>
        <w:tabs>
          <w:tab w:val="right" w:leader="dot" w:pos="9062"/>
        </w:tabs>
        <w:ind w:left="1100"/>
      </w:pPr>
      <w:hyperlink w:anchor="_Toc271" w:history="1">
        <w:r>
          <w:rPr>
            <w:rFonts w:ascii="IRNazanin" w:hAnsi="IRNazanin" w:eastAsia="IRNazanin" w:cs="IRNazanin"/>
            <w:color w:val="111111"/>
            <w:sz w:val="22"/>
            <w:szCs w:val="22"/>
            <w:b w:val="0"/>
            <w:bCs w:val="0"/>
            <w:i w:val="0"/>
            <w:iCs w:val="0"/>
          </w:rPr>
          <w:t>الوجه الأوّل : الأخبار الدالّة علی حلّ ما لم یعلم حرمته التی تقدّم بعضها</w:t>
        </w:r>
        <w:r>
          <w:tab/>
        </w:r>
        <w:r>
          <w:fldChar w:fldCharType="begin"/>
        </w:r>
        <w:r>
          <w:instrText xml:space="preserve">PAGEREF 271 \h</w:instrText>
        </w:r>
        <w:r>
          <w:fldChar w:fldCharType="end"/>
        </w:r>
      </w:hyperlink>
    </w:p>
    <w:p>
      <w:pPr>
        <w:tabs>
          <w:tab w:val="right" w:leader="dot" w:pos="9062"/>
        </w:tabs>
        <w:ind w:left="1100"/>
      </w:pPr>
      <w:hyperlink w:anchor="_Toc272" w:history="1">
        <w:r>
          <w:rPr>
            <w:rFonts w:ascii="IRNazanin" w:hAnsi="IRNazanin" w:eastAsia="IRNazanin" w:cs="IRNazanin"/>
            <w:color w:val="111111"/>
            <w:sz w:val="22"/>
            <w:szCs w:val="22"/>
            <w:b w:val="0"/>
            <w:bCs w:val="0"/>
            <w:i w:val="0"/>
            <w:iCs w:val="0"/>
          </w:rPr>
          <w:t>الوجه الثانی : ما دلّ علی جواز تناول الشبهة المحصورة</w:t>
        </w:r>
        <w:r>
          <w:tab/>
        </w:r>
        <w:r>
          <w:fldChar w:fldCharType="begin"/>
        </w:r>
        <w:r>
          <w:instrText xml:space="preserve">PAGEREF 272 \h</w:instrText>
        </w:r>
        <w:r>
          <w:fldChar w:fldCharType="end"/>
        </w:r>
      </w:hyperlink>
    </w:p>
    <w:p>
      <w:pPr>
        <w:tabs>
          <w:tab w:val="right" w:leader="dot" w:pos="9062"/>
        </w:tabs>
        <w:ind w:left="1100"/>
      </w:pPr>
      <w:hyperlink w:anchor="_Toc2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273 \h</w:instrText>
        </w:r>
        <w:r>
          <w:fldChar w:fldCharType="end"/>
        </w:r>
      </w:hyperlink>
    </w:p>
    <w:p>
      <w:pPr>
        <w:tabs>
          <w:tab w:val="right" w:leader="dot" w:pos="9062"/>
        </w:tabs>
        <w:ind w:left="1100"/>
      </w:pPr>
      <w:hyperlink w:anchor="_Toc274" w:history="1">
        <w:r>
          <w:rPr>
            <w:rFonts w:ascii="IRNazanin" w:hAnsi="IRNazanin" w:eastAsia="IRNazanin" w:cs="IRNazanin"/>
            <w:color w:val="111111"/>
            <w:sz w:val="22"/>
            <w:szCs w:val="22"/>
            <w:b w:val="0"/>
            <w:bCs w:val="0"/>
            <w:i w:val="0"/>
            <w:iCs w:val="0"/>
          </w:rPr>
          <w:t>[أ-موثّقة سماعة]</w:t>
        </w:r>
        <w:r>
          <w:tab/>
        </w:r>
        <w:r>
          <w:fldChar w:fldCharType="begin"/>
        </w:r>
        <w:r>
          <w:instrText xml:space="preserve">PAGEREF 274 \h</w:instrText>
        </w:r>
        <w:r>
          <w:fldChar w:fldCharType="end"/>
        </w:r>
      </w:hyperlink>
    </w:p>
    <w:p>
      <w:pPr>
        <w:tabs>
          <w:tab w:val="right" w:leader="dot" w:pos="9062"/>
        </w:tabs>
        <w:ind w:left="1100"/>
      </w:pPr>
      <w:hyperlink w:anchor="_Toc2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275 \h</w:instrText>
        </w:r>
        <w:r>
          <w:fldChar w:fldCharType="end"/>
        </w:r>
      </w:hyperlink>
    </w:p>
    <w:p>
      <w:pPr>
        <w:tabs>
          <w:tab w:val="right" w:leader="dot" w:pos="9062"/>
        </w:tabs>
        <w:ind w:left="1100"/>
      </w:pPr>
      <w:hyperlink w:anchor="_Toc276" w:history="1">
        <w:r>
          <w:rPr>
            <w:rFonts w:ascii="IRNazanin" w:hAnsi="IRNazanin" w:eastAsia="IRNazanin" w:cs="IRNazanin"/>
            <w:color w:val="111111"/>
            <w:sz w:val="22"/>
            <w:szCs w:val="22"/>
            <w:b w:val="0"/>
            <w:bCs w:val="0"/>
            <w:i w:val="0"/>
            <w:iCs w:val="0"/>
          </w:rPr>
          <w:t>[الجواب عن الموثّقة]</w:t>
        </w:r>
        <w:r>
          <w:tab/>
        </w:r>
        <w:r>
          <w:fldChar w:fldCharType="begin"/>
        </w:r>
        <w:r>
          <w:instrText xml:space="preserve">PAGEREF 276 \h</w:instrText>
        </w:r>
        <w:r>
          <w:fldChar w:fldCharType="end"/>
        </w:r>
      </w:hyperlink>
    </w:p>
    <w:p>
      <w:pPr>
        <w:tabs>
          <w:tab w:val="right" w:leader="dot" w:pos="9062"/>
        </w:tabs>
        <w:ind w:left="1100"/>
      </w:pPr>
      <w:hyperlink w:anchor="_Toc277" w:history="1">
        <w:r>
          <w:rPr>
            <w:rFonts w:ascii="IRNazanin" w:hAnsi="IRNazanin" w:eastAsia="IRNazanin" w:cs="IRNazanin"/>
            <w:color w:val="111111"/>
            <w:sz w:val="22"/>
            <w:szCs w:val="22"/>
            <w:b w:val="0"/>
            <w:bCs w:val="0"/>
            <w:i w:val="0"/>
            <w:iCs w:val="0"/>
          </w:rPr>
          <w:t>[ب-الأخبار الواردة فی حلّیة ما لم یعلم حرمته:]</w:t>
        </w:r>
        <w:r>
          <w:tab/>
        </w:r>
        <w:r>
          <w:fldChar w:fldCharType="begin"/>
        </w:r>
        <w:r>
          <w:instrText xml:space="preserve">PAGEREF 277 \h</w:instrText>
        </w:r>
        <w:r>
          <w:fldChar w:fldCharType="end"/>
        </w:r>
      </w:hyperlink>
    </w:p>
    <w:p>
      <w:pPr>
        <w:tabs>
          <w:tab w:val="right" w:leader="dot" w:pos="9062"/>
        </w:tabs>
        <w:ind w:left="1100"/>
      </w:pPr>
      <w:hyperlink w:anchor="_Toc27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278 \h</w:instrText>
        </w:r>
        <w:r>
          <w:fldChar w:fldCharType="end"/>
        </w:r>
      </w:hyperlink>
    </w:p>
    <w:p>
      <w:pPr>
        <w:tabs>
          <w:tab w:val="right" w:leader="dot" w:pos="9062"/>
        </w:tabs>
        <w:ind w:left="1100"/>
      </w:pPr>
      <w:hyperlink w:anchor="_Toc279" w:history="1">
        <w:r>
          <w:rPr>
            <w:rFonts w:ascii="IRNazanin" w:hAnsi="IRNazanin" w:eastAsia="IRNazanin" w:cs="IRNazanin"/>
            <w:color w:val="111111"/>
            <w:sz w:val="22"/>
            <w:szCs w:val="22"/>
            <w:b w:val="0"/>
            <w:bCs w:val="0"/>
            <w:i w:val="0"/>
            <w:iCs w:val="0"/>
          </w:rPr>
          <w:t>[1-أخبار الحلّ و الجواب عنها]</w:t>
        </w:r>
        <w:r>
          <w:tab/>
        </w:r>
        <w:r>
          <w:fldChar w:fldCharType="begin"/>
        </w:r>
        <w:r>
          <w:instrText xml:space="preserve">PAGEREF 279 \h</w:instrText>
        </w:r>
        <w:r>
          <w:fldChar w:fldCharType="end"/>
        </w:r>
      </w:hyperlink>
    </w:p>
    <w:p>
      <w:pPr>
        <w:tabs>
          <w:tab w:val="right" w:leader="dot" w:pos="9062"/>
        </w:tabs>
        <w:ind w:left="1100"/>
      </w:pPr>
      <w:hyperlink w:anchor="_Toc280" w:history="1">
        <w:r>
          <w:rPr>
            <w:rFonts w:ascii="IRNazanin" w:hAnsi="IRNazanin" w:eastAsia="IRNazanin" w:cs="IRNazanin"/>
            <w:color w:val="111111"/>
            <w:sz w:val="22"/>
            <w:szCs w:val="22"/>
            <w:b w:val="0"/>
            <w:bCs w:val="0"/>
            <w:i w:val="0"/>
            <w:iCs w:val="0"/>
          </w:rPr>
          <w:t>[2-ما دلّ علی ارتکاب کلا المشتبهین فی الشبهة المحصورة و الجواب عنه]</w:t>
        </w:r>
        <w:r>
          <w:tab/>
        </w:r>
        <w:r>
          <w:fldChar w:fldCharType="begin"/>
        </w:r>
        <w:r>
          <w:instrText xml:space="preserve">PAGEREF 280 \h</w:instrText>
        </w:r>
        <w:r>
          <w:fldChar w:fldCharType="end"/>
        </w:r>
      </w:hyperlink>
    </w:p>
    <w:p>
      <w:pPr>
        <w:tabs>
          <w:tab w:val="right" w:leader="dot" w:pos="9062"/>
        </w:tabs>
        <w:ind w:left="1100"/>
      </w:pPr>
      <w:hyperlink w:anchor="_Toc281" w:history="1">
        <w:r>
          <w:rPr>
            <w:rFonts w:ascii="IRNazanin" w:hAnsi="IRNazanin" w:eastAsia="IRNazanin" w:cs="IRNazanin"/>
            <w:color w:val="111111"/>
            <w:sz w:val="22"/>
            <w:szCs w:val="22"/>
            <w:b w:val="0"/>
            <w:bCs w:val="0"/>
            <w:i w:val="0"/>
            <w:iCs w:val="0"/>
          </w:rPr>
          <w:t>[3-أخبار جواز الأخذ من العامل و السارق و السلطان و الجواب عنها]</w:t>
        </w:r>
        <w:r>
          <w:tab/>
        </w:r>
        <w:r>
          <w:fldChar w:fldCharType="begin"/>
        </w:r>
        <w:r>
          <w:instrText xml:space="preserve">PAGEREF 281 \h</w:instrText>
        </w:r>
        <w:r>
          <w:fldChar w:fldCharType="end"/>
        </w:r>
      </w:hyperlink>
    </w:p>
    <w:p>
      <w:pPr>
        <w:tabs>
          <w:tab w:val="right" w:leader="dot" w:pos="9062"/>
        </w:tabs>
        <w:ind w:left="1100"/>
      </w:pPr>
      <w:hyperlink w:anchor="_Toc282" w:history="1">
        <w:r>
          <w:rPr>
            <w:rFonts w:ascii="IRNazanin" w:hAnsi="IRNazanin" w:eastAsia="IRNazanin" w:cs="IRNazanin"/>
            <w:color w:val="111111"/>
            <w:sz w:val="22"/>
            <w:szCs w:val="22"/>
            <w:b w:val="0"/>
            <w:bCs w:val="0"/>
            <w:i w:val="0"/>
            <w:iCs w:val="0"/>
          </w:rPr>
          <w:t>[قاعدة وجوب دفع الضرر المقطوع به بین المشتبهین عقلا]</w:t>
        </w:r>
        <w:r>
          <w:tab/>
        </w:r>
        <w:r>
          <w:fldChar w:fldCharType="begin"/>
        </w:r>
        <w:r>
          <w:instrText xml:space="preserve">PAGEREF 282 \h</w:instrText>
        </w:r>
        <w:r>
          <w:fldChar w:fldCharType="end"/>
        </w:r>
      </w:hyperlink>
    </w:p>
    <w:p>
      <w:pPr>
        <w:tabs>
          <w:tab w:val="right" w:leader="dot" w:pos="9062"/>
        </w:tabs>
        <w:ind w:left="1100"/>
      </w:pPr>
      <w:hyperlink w:anchor="_Toc28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283 \h</w:instrText>
        </w:r>
        <w:r>
          <w:fldChar w:fldCharType="end"/>
        </w:r>
      </w:hyperlink>
    </w:p>
    <w:p>
      <w:pPr>
        <w:tabs>
          <w:tab w:val="right" w:leader="dot" w:pos="9062"/>
        </w:tabs>
        <w:ind w:left="1100"/>
      </w:pPr>
      <w:hyperlink w:anchor="_Toc284" w:history="1">
        <w:r>
          <w:rPr>
            <w:rFonts w:ascii="IRNazanin" w:hAnsi="IRNazanin" w:eastAsia="IRNazanin" w:cs="IRNazanin"/>
            <w:color w:val="111111"/>
            <w:sz w:val="22"/>
            <w:szCs w:val="22"/>
            <w:b w:val="0"/>
            <w:bCs w:val="0"/>
            <w:i w:val="0"/>
            <w:iCs w:val="0"/>
          </w:rPr>
          <w:t>[اعتضاد القاعدة بوجهین آخرین:]</w:t>
        </w:r>
        <w:r>
          <w:tab/>
        </w:r>
        <w:r>
          <w:fldChar w:fldCharType="begin"/>
        </w:r>
        <w:r>
          <w:instrText xml:space="preserve">PAGEREF 284 \h</w:instrText>
        </w:r>
        <w:r>
          <w:fldChar w:fldCharType="end"/>
        </w:r>
      </w:hyperlink>
    </w:p>
    <w:p>
      <w:pPr>
        <w:tabs>
          <w:tab w:val="right" w:leader="dot" w:pos="9062"/>
        </w:tabs>
        <w:ind w:left="1100"/>
      </w:pPr>
      <w:hyperlink w:anchor="_Toc285" w:history="1">
        <w:r>
          <w:rPr>
            <w:rFonts w:ascii="IRNazanin" w:hAnsi="IRNazanin" w:eastAsia="IRNazanin" w:cs="IRNazanin"/>
            <w:color w:val="111111"/>
            <w:sz w:val="22"/>
            <w:szCs w:val="22"/>
            <w:b w:val="0"/>
            <w:bCs w:val="0"/>
            <w:i w:val="0"/>
            <w:iCs w:val="0"/>
          </w:rPr>
          <w:t>أحدهما : الأخبار الدالّة علی هذا المعنی</w:t>
        </w:r>
        <w:r>
          <w:tab/>
        </w:r>
        <w:r>
          <w:fldChar w:fldCharType="begin"/>
        </w:r>
        <w:r>
          <w:instrText xml:space="preserve">PAGEREF 285 \h</w:instrText>
        </w:r>
        <w:r>
          <w:fldChar w:fldCharType="end"/>
        </w:r>
      </w:hyperlink>
    </w:p>
    <w:p>
      <w:pPr>
        <w:tabs>
          <w:tab w:val="right" w:leader="dot" w:pos="9062"/>
        </w:tabs>
        <w:ind w:left="1100"/>
      </w:pPr>
      <w:hyperlink w:anchor="_Toc286" w:history="1">
        <w:r>
          <w:rPr>
            <w:rFonts w:ascii="IRNazanin" w:hAnsi="IRNazanin" w:eastAsia="IRNazanin" w:cs="IRNazanin"/>
            <w:color w:val="111111"/>
            <w:sz w:val="22"/>
            <w:szCs w:val="22"/>
            <w:b w:val="0"/>
            <w:bCs w:val="0"/>
            <w:i w:val="0"/>
            <w:iCs w:val="0"/>
          </w:rPr>
          <w:t>الثانی : ما یستفاد من أخبار کثیرة</w:t>
        </w:r>
        <w:r>
          <w:tab/>
        </w:r>
        <w:r>
          <w:fldChar w:fldCharType="begin"/>
        </w:r>
        <w:r>
          <w:instrText xml:space="preserve">PAGEREF 286 \h</w:instrText>
        </w:r>
        <w:r>
          <w:fldChar w:fldCharType="end"/>
        </w:r>
      </w:hyperlink>
    </w:p>
    <w:p>
      <w:pPr>
        <w:tabs>
          <w:tab w:val="right" w:leader="dot" w:pos="9062"/>
        </w:tabs>
        <w:ind w:left="1100"/>
      </w:pPr>
      <w:hyperlink w:anchor="_Toc287" w:history="1">
        <w:r>
          <w:rPr>
            <w:rFonts w:ascii="IRNazanin" w:hAnsi="IRNazanin" w:eastAsia="IRNazanin" w:cs="IRNazanin"/>
            <w:color w:val="111111"/>
            <w:sz w:val="22"/>
            <w:szCs w:val="22"/>
            <w:b w:val="0"/>
            <w:bCs w:val="0"/>
            <w:i w:val="0"/>
            <w:iCs w:val="0"/>
          </w:rPr>
          <w:t>[الاستئناس لما ذکرنا بروایة وجوب القرعة فی قطیع الغنم]</w:t>
        </w:r>
        <w:r>
          <w:tab/>
        </w:r>
        <w:r>
          <w:fldChar w:fldCharType="begin"/>
        </w:r>
        <w:r>
          <w:instrText xml:space="preserve">PAGEREF 287 \h</w:instrText>
        </w:r>
        <w:r>
          <w:fldChar w:fldCharType="end"/>
        </w:r>
      </w:hyperlink>
    </w:p>
    <w:p>
      <w:pPr>
        <w:tabs>
          <w:tab w:val="right" w:leader="dot" w:pos="9062"/>
        </w:tabs>
        <w:ind w:left="1100"/>
      </w:pPr>
      <w:hyperlink w:anchor="_Toc288" w:history="1">
        <w:r>
          <w:rPr>
            <w:rFonts w:ascii="IRNazanin" w:hAnsi="IRNazanin" w:eastAsia="IRNazanin" w:cs="IRNazanin"/>
            <w:color w:val="111111"/>
            <w:sz w:val="22"/>
            <w:szCs w:val="22"/>
            <w:b w:val="0"/>
            <w:bCs w:val="0"/>
            <w:i w:val="0"/>
            <w:iCs w:val="0"/>
          </w:rPr>
          <w:t>[الروایة أدلّ علی مطلب الخصم]</w:t>
        </w:r>
        <w:r>
          <w:tab/>
        </w:r>
        <w:r>
          <w:fldChar w:fldCharType="begin"/>
        </w:r>
        <w:r>
          <w:instrText xml:space="preserve">PAGEREF 288 \h</w:instrText>
        </w:r>
        <w:r>
          <w:fldChar w:fldCharType="end"/>
        </w:r>
      </w:hyperlink>
    </w:p>
    <w:p>
      <w:pPr>
        <w:tabs>
          <w:tab w:val="right" w:leader="dot" w:pos="9062"/>
        </w:tabs>
        <w:ind w:left="1100"/>
      </w:pPr>
      <w:hyperlink w:anchor="_Toc289" w:history="1">
        <w:r>
          <w:rPr>
            <w:rFonts w:ascii="IRNazanin" w:hAnsi="IRNazanin" w:eastAsia="IRNazanin" w:cs="IRNazanin"/>
            <w:color w:val="111111"/>
            <w:sz w:val="22"/>
            <w:szCs w:val="22"/>
            <w:b w:val="0"/>
            <w:bCs w:val="0"/>
            <w:i w:val="0"/>
            <w:iCs w:val="0"/>
          </w:rPr>
          <w:t>و ینبغی التنبیه علی امور:</w:t>
        </w:r>
        <w:r>
          <w:tab/>
        </w:r>
        <w:r>
          <w:fldChar w:fldCharType="begin"/>
        </w:r>
        <w:r>
          <w:instrText xml:space="preserve">PAGEREF 289 \h</w:instrText>
        </w:r>
        <w:r>
          <w:fldChar w:fldCharType="end"/>
        </w:r>
      </w:hyperlink>
    </w:p>
    <w:p>
      <w:pPr>
        <w:tabs>
          <w:tab w:val="right" w:leader="dot" w:pos="9062"/>
        </w:tabs>
        <w:ind w:left="1100"/>
      </w:pPr>
      <w:hyperlink w:anchor="_Toc290" w:history="1">
        <w:r>
          <w:rPr>
            <w:rFonts w:ascii="IRNazanin" w:hAnsi="IRNazanin" w:eastAsia="IRNazanin" w:cs="IRNazanin"/>
            <w:color w:val="111111"/>
            <w:sz w:val="22"/>
            <w:szCs w:val="22"/>
            <w:b w:val="0"/>
            <w:bCs w:val="0"/>
            <w:i w:val="0"/>
            <w:iCs w:val="0"/>
          </w:rPr>
          <w:t>الأمر الأوّل [:عدم الفرق فی وجوب الاجتناب بین کون المشتبهین مندرجین تحت حقیقة واحدة و غیره]</w:t>
        </w:r>
        <w:r>
          <w:tab/>
        </w:r>
        <w:r>
          <w:fldChar w:fldCharType="begin"/>
        </w:r>
        <w:r>
          <w:instrText xml:space="preserve">PAGEREF 290 \h</w:instrText>
        </w:r>
        <w:r>
          <w:fldChar w:fldCharType="end"/>
        </w:r>
      </w:hyperlink>
    </w:p>
    <w:p>
      <w:pPr>
        <w:tabs>
          <w:tab w:val="right" w:leader="dot" w:pos="9062"/>
        </w:tabs>
        <w:ind w:left="1100"/>
      </w:pPr>
      <w:hyperlink w:anchor="_Toc29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291 \h</w:instrText>
        </w:r>
        <w:r>
          <w:fldChar w:fldCharType="end"/>
        </w:r>
      </w:hyperlink>
    </w:p>
    <w:p>
      <w:pPr>
        <w:tabs>
          <w:tab w:val="right" w:leader="dot" w:pos="9062"/>
        </w:tabs>
        <w:ind w:left="1100"/>
      </w:pPr>
      <w:hyperlink w:anchor="_Toc292" w:history="1">
        <w:r>
          <w:rPr>
            <w:rFonts w:ascii="IRNazanin" w:hAnsi="IRNazanin" w:eastAsia="IRNazanin" w:cs="IRNazanin"/>
            <w:color w:val="111111"/>
            <w:sz w:val="22"/>
            <w:szCs w:val="22"/>
            <w:b w:val="0"/>
            <w:bCs w:val="0"/>
            <w:i w:val="0"/>
            <w:iCs w:val="0"/>
          </w:rPr>
          <w:t>[ظاهر صاحب الحدائق التفصیل بینهما]</w:t>
        </w:r>
        <w:r>
          <w:tab/>
        </w:r>
        <w:r>
          <w:fldChar w:fldCharType="begin"/>
        </w:r>
        <w:r>
          <w:instrText xml:space="preserve">PAGEREF 292 \h</w:instrText>
        </w:r>
        <w:r>
          <w:fldChar w:fldCharType="end"/>
        </w:r>
      </w:hyperlink>
    </w:p>
    <w:p>
      <w:pPr>
        <w:tabs>
          <w:tab w:val="right" w:leader="dot" w:pos="9062"/>
        </w:tabs>
        <w:ind w:left="1100"/>
      </w:pPr>
      <w:hyperlink w:anchor="_Toc29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293 \h</w:instrText>
        </w:r>
        <w:r>
          <w:fldChar w:fldCharType="end"/>
        </w:r>
      </w:hyperlink>
    </w:p>
    <w:p>
      <w:pPr>
        <w:tabs>
          <w:tab w:val="right" w:leader="dot" w:pos="9062"/>
        </w:tabs>
        <w:ind w:left="1100"/>
      </w:pPr>
      <w:hyperlink w:anchor="_Toc294" w:history="1">
        <w:r>
          <w:rPr>
            <w:rFonts w:ascii="IRNazanin" w:hAnsi="IRNazanin" w:eastAsia="IRNazanin" w:cs="IRNazanin"/>
            <w:color w:val="111111"/>
            <w:sz w:val="22"/>
            <w:szCs w:val="22"/>
            <w:b w:val="0"/>
            <w:bCs w:val="0"/>
            <w:i w:val="0"/>
            <w:iCs w:val="0"/>
          </w:rPr>
          <w:t>[کلام صاحب الحدائق فی جواب صاحب المدارک]</w:t>
        </w:r>
        <w:r>
          <w:tab/>
        </w:r>
        <w:r>
          <w:fldChar w:fldCharType="begin"/>
        </w:r>
        <w:r>
          <w:instrText xml:space="preserve">PAGEREF 294 \h</w:instrText>
        </w:r>
        <w:r>
          <w:fldChar w:fldCharType="end"/>
        </w:r>
      </w:hyperlink>
    </w:p>
    <w:p>
      <w:pPr>
        <w:tabs>
          <w:tab w:val="right" w:leader="dot" w:pos="9062"/>
        </w:tabs>
        <w:ind w:left="1100"/>
      </w:pPr>
      <w:hyperlink w:anchor="_Toc295" w:history="1">
        <w:r>
          <w:rPr>
            <w:rFonts w:ascii="IRNazanin" w:hAnsi="IRNazanin" w:eastAsia="IRNazanin" w:cs="IRNazanin"/>
            <w:color w:val="111111"/>
            <w:sz w:val="22"/>
            <w:szCs w:val="22"/>
            <w:b w:val="0"/>
            <w:bCs w:val="0"/>
            <w:i w:val="0"/>
            <w:iCs w:val="0"/>
          </w:rPr>
          <w:t>[المناقشة فیما أفاده صاحب الحدائق قدّس سرّه]</w:t>
        </w:r>
        <w:r>
          <w:tab/>
        </w:r>
        <w:r>
          <w:fldChar w:fldCharType="begin"/>
        </w:r>
        <w:r>
          <w:instrText xml:space="preserve">PAGEREF 295 \h</w:instrText>
        </w:r>
        <w:r>
          <w:fldChar w:fldCharType="end"/>
        </w:r>
      </w:hyperlink>
    </w:p>
    <w:p>
      <w:pPr>
        <w:tabs>
          <w:tab w:val="right" w:leader="dot" w:pos="9062"/>
        </w:tabs>
        <w:ind w:left="1100"/>
      </w:pPr>
      <w:hyperlink w:anchor="_Toc296" w:history="1">
        <w:r>
          <w:rPr>
            <w:rFonts w:ascii="IRNazanin" w:hAnsi="IRNazanin" w:eastAsia="IRNazanin" w:cs="IRNazanin"/>
            <w:color w:val="111111"/>
            <w:sz w:val="22"/>
            <w:szCs w:val="22"/>
            <w:b w:val="0"/>
            <w:bCs w:val="0"/>
            <w:i w:val="0"/>
            <w:iCs w:val="0"/>
          </w:rPr>
          <w:t>[هل یشترط فی العنوان المحرّم الواقعی المردّد بین المشتبهین أن یکون علی کلّ تقدیر متعلّقا لحکم واحد،أم لا؟]</w:t>
        </w:r>
        <w:r>
          <w:tab/>
        </w:r>
        <w:r>
          <w:fldChar w:fldCharType="begin"/>
        </w:r>
        <w:r>
          <w:instrText xml:space="preserve">PAGEREF 296 \h</w:instrText>
        </w:r>
        <w:r>
          <w:fldChar w:fldCharType="end"/>
        </w:r>
      </w:hyperlink>
    </w:p>
    <w:p>
      <w:pPr>
        <w:tabs>
          <w:tab w:val="right" w:leader="dot" w:pos="9062"/>
        </w:tabs>
        <w:ind w:left="1100"/>
      </w:pPr>
      <w:hyperlink w:anchor="_Toc297" w:history="1">
        <w:r>
          <w:rPr>
            <w:rFonts w:ascii="IRNazanin" w:hAnsi="IRNazanin" w:eastAsia="IRNazanin" w:cs="IRNazanin"/>
            <w:color w:val="111111"/>
            <w:sz w:val="22"/>
            <w:szCs w:val="22"/>
            <w:b w:val="0"/>
            <w:bCs w:val="0"/>
            <w:i w:val="0"/>
            <w:iCs w:val="0"/>
          </w:rPr>
          <w:t>[لو کان المحرّم علی کل تقدیر عنوانا غیره علی التقدیر الآخر]</w:t>
        </w:r>
        <w:r>
          <w:tab/>
        </w:r>
        <w:r>
          <w:fldChar w:fldCharType="begin"/>
        </w:r>
        <w:r>
          <w:instrText xml:space="preserve">PAGEREF 297 \h</w:instrText>
        </w:r>
        <w:r>
          <w:fldChar w:fldCharType="end"/>
        </w:r>
      </w:hyperlink>
    </w:p>
    <w:p>
      <w:pPr>
        <w:tabs>
          <w:tab w:val="right" w:leader="dot" w:pos="9062"/>
        </w:tabs>
        <w:ind w:left="1100"/>
      </w:pPr>
      <w:hyperlink w:anchor="_Toc298" w:history="1">
        <w:r>
          <w:rPr>
            <w:rFonts w:ascii="IRNazanin" w:hAnsi="IRNazanin" w:eastAsia="IRNazanin" w:cs="IRNazanin"/>
            <w:color w:val="111111"/>
            <w:sz w:val="22"/>
            <w:szCs w:val="22"/>
            <w:b w:val="0"/>
            <w:bCs w:val="0"/>
            <w:i w:val="0"/>
            <w:iCs w:val="0"/>
          </w:rPr>
          <w:t>[لو تردّد الأمر بین کون هذه المرأة أجنبیّة أو هذا المائع خمرا]</w:t>
        </w:r>
        <w:r>
          <w:tab/>
        </w:r>
        <w:r>
          <w:fldChar w:fldCharType="begin"/>
        </w:r>
        <w:r>
          <w:instrText xml:space="preserve">PAGEREF 298 \h</w:instrText>
        </w:r>
        <w:r>
          <w:fldChar w:fldCharType="end"/>
        </w:r>
      </w:hyperlink>
    </w:p>
    <w:p>
      <w:pPr>
        <w:tabs>
          <w:tab w:val="right" w:leader="dot" w:pos="9062"/>
        </w:tabs>
        <w:ind w:left="1100"/>
      </w:pPr>
      <w:hyperlink w:anchor="_Toc299" w:history="1">
        <w:r>
          <w:rPr>
            <w:rFonts w:ascii="IRNazanin" w:hAnsi="IRNazanin" w:eastAsia="IRNazanin" w:cs="IRNazanin"/>
            <w:color w:val="111111"/>
            <w:sz w:val="22"/>
            <w:szCs w:val="22"/>
            <w:b w:val="0"/>
            <w:bCs w:val="0"/>
            <w:i w:val="0"/>
            <w:iCs w:val="0"/>
          </w:rPr>
          <w:t>[الأقوی عدم جواز المخالفة القطعیّة فی جمیع ذلک]</w:t>
        </w:r>
        <w:r>
          <w:tab/>
        </w:r>
        <w:r>
          <w:fldChar w:fldCharType="begin"/>
        </w:r>
        <w:r>
          <w:instrText xml:space="preserve">PAGEREF 299 \h</w:instrText>
        </w:r>
        <w:r>
          <w:fldChar w:fldCharType="end"/>
        </w:r>
      </w:hyperlink>
    </w:p>
    <w:p>
      <w:pPr>
        <w:tabs>
          <w:tab w:val="right" w:leader="dot" w:pos="9062"/>
        </w:tabs>
        <w:ind w:left="1100"/>
      </w:pPr>
      <w:hyperlink w:anchor="_Toc300" w:history="1">
        <w:r>
          <w:rPr>
            <w:rFonts w:ascii="IRNazanin" w:hAnsi="IRNazanin" w:eastAsia="IRNazanin" w:cs="IRNazanin"/>
            <w:color w:val="111111"/>
            <w:sz w:val="22"/>
            <w:szCs w:val="22"/>
            <w:b w:val="0"/>
            <w:bCs w:val="0"/>
            <w:i w:val="0"/>
            <w:iCs w:val="0"/>
          </w:rPr>
          <w:t>[الأقوی وجوب الموافقة القطعیّة أیضا]</w:t>
        </w:r>
        <w:r>
          <w:tab/>
        </w:r>
        <w:r>
          <w:fldChar w:fldCharType="begin"/>
        </w:r>
        <w:r>
          <w:instrText xml:space="preserve">PAGEREF 300 \h</w:instrText>
        </w:r>
        <w:r>
          <w:fldChar w:fldCharType="end"/>
        </w:r>
      </w:hyperlink>
    </w:p>
    <w:p>
      <w:pPr>
        <w:tabs>
          <w:tab w:val="right" w:leader="dot" w:pos="9062"/>
        </w:tabs>
        <w:ind w:left="1100"/>
      </w:pPr>
      <w:hyperlink w:anchor="_Toc301" w:history="1">
        <w:r>
          <w:rPr>
            <w:rFonts w:ascii="IRNazanin" w:hAnsi="IRNazanin" w:eastAsia="IRNazanin" w:cs="IRNazanin"/>
            <w:color w:val="111111"/>
            <w:sz w:val="22"/>
            <w:szCs w:val="22"/>
            <w:b w:val="0"/>
            <w:bCs w:val="0"/>
            <w:i w:val="0"/>
            <w:iCs w:val="0"/>
          </w:rPr>
          <w:t>الأمر الثانی [:هل تختصّ المؤاخذة بصورة الوقوع فی الحرام،أم لا؟]</w:t>
        </w:r>
        <w:r>
          <w:tab/>
        </w:r>
        <w:r>
          <w:fldChar w:fldCharType="begin"/>
        </w:r>
        <w:r>
          <w:instrText xml:space="preserve">PAGEREF 301 \h</w:instrText>
        </w:r>
        <w:r>
          <w:fldChar w:fldCharType="end"/>
        </w:r>
      </w:hyperlink>
    </w:p>
    <w:p>
      <w:pPr>
        <w:tabs>
          <w:tab w:val="right" w:leader="dot" w:pos="9062"/>
        </w:tabs>
        <w:ind w:left="1100"/>
      </w:pPr>
      <w:hyperlink w:anchor="_Toc30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302 \h</w:instrText>
        </w:r>
        <w:r>
          <w:fldChar w:fldCharType="end"/>
        </w:r>
      </w:hyperlink>
    </w:p>
    <w:p>
      <w:pPr>
        <w:tabs>
          <w:tab w:val="right" w:leader="dot" w:pos="9062"/>
        </w:tabs>
        <w:ind w:left="1100"/>
      </w:pPr>
      <w:hyperlink w:anchor="_Toc303" w:history="1">
        <w:r>
          <w:rPr>
            <w:rFonts w:ascii="IRNazanin" w:hAnsi="IRNazanin" w:eastAsia="IRNazanin" w:cs="IRNazanin"/>
            <w:color w:val="111111"/>
            <w:sz w:val="22"/>
            <w:szCs w:val="22"/>
            <w:b w:val="0"/>
            <w:bCs w:val="0"/>
            <w:i w:val="0"/>
            <w:iCs w:val="0"/>
          </w:rPr>
          <w:t>[الأقوی الاختصاص و الدلیل علیه]</w:t>
        </w:r>
        <w:r>
          <w:tab/>
        </w:r>
        <w:r>
          <w:fldChar w:fldCharType="begin"/>
        </w:r>
        <w:r>
          <w:instrText xml:space="preserve">PAGEREF 303 \h</w:instrText>
        </w:r>
        <w:r>
          <w:fldChar w:fldCharType="end"/>
        </w:r>
      </w:hyperlink>
    </w:p>
    <w:p>
      <w:pPr>
        <w:tabs>
          <w:tab w:val="right" w:leader="dot" w:pos="9062"/>
        </w:tabs>
        <w:ind w:left="1100"/>
      </w:pPr>
      <w:hyperlink w:anchor="_Toc304" w:history="1">
        <w:r>
          <w:rPr>
            <w:rFonts w:ascii="IRNazanin" w:hAnsi="IRNazanin" w:eastAsia="IRNazanin" w:cs="IRNazanin"/>
            <w:color w:val="111111"/>
            <w:sz w:val="22"/>
            <w:szCs w:val="22"/>
            <w:b w:val="0"/>
            <w:bCs w:val="0"/>
            <w:i w:val="0"/>
            <w:iCs w:val="0"/>
          </w:rPr>
          <w:t>[التمسّک للحرمة فی المسألة بکونه تجرّیا و المناقشة فیه]</w:t>
        </w:r>
        <w:r>
          <w:tab/>
        </w:r>
        <w:r>
          <w:fldChar w:fldCharType="begin"/>
        </w:r>
        <w:r>
          <w:instrText xml:space="preserve">PAGEREF 304 \h</w:instrText>
        </w:r>
        <w:r>
          <w:fldChar w:fldCharType="end"/>
        </w:r>
      </w:hyperlink>
    </w:p>
    <w:p>
      <w:pPr>
        <w:tabs>
          <w:tab w:val="right" w:leader="dot" w:pos="9062"/>
        </w:tabs>
        <w:ind w:left="1100"/>
      </w:pPr>
      <w:hyperlink w:anchor="_Toc305" w:history="1">
        <w:r>
          <w:rPr>
            <w:rFonts w:ascii="IRNazanin" w:hAnsi="IRNazanin" w:eastAsia="IRNazanin" w:cs="IRNazanin"/>
            <w:color w:val="111111"/>
            <w:sz w:val="22"/>
            <w:szCs w:val="22"/>
            <w:b w:val="0"/>
            <w:bCs w:val="0"/>
            <w:i w:val="0"/>
            <w:iCs w:val="0"/>
          </w:rPr>
          <w:t>[التمسّک بالأدلّة الشرعیّة الدالّة علی الاحتیاط و المناقشة فیه أیضا]</w:t>
        </w:r>
        <w:r>
          <w:tab/>
        </w:r>
        <w:r>
          <w:fldChar w:fldCharType="begin"/>
        </w:r>
        <w:r>
          <w:instrText xml:space="preserve">PAGEREF 305 \h</w:instrText>
        </w:r>
        <w:r>
          <w:fldChar w:fldCharType="end"/>
        </w:r>
      </w:hyperlink>
    </w:p>
    <w:p>
      <w:pPr>
        <w:tabs>
          <w:tab w:val="right" w:leader="dot" w:pos="9062"/>
        </w:tabs>
        <w:ind w:left="1100"/>
      </w:pPr>
      <w:hyperlink w:anchor="_Toc306" w:history="1">
        <w:r>
          <w:rPr>
            <w:rFonts w:ascii="IRNazanin" w:hAnsi="IRNazanin" w:eastAsia="IRNazanin" w:cs="IRNazanin"/>
            <w:color w:val="111111"/>
            <w:sz w:val="22"/>
            <w:szCs w:val="22"/>
            <w:b w:val="0"/>
            <w:bCs w:val="0"/>
            <w:i w:val="0"/>
            <w:iCs w:val="0"/>
          </w:rPr>
          <w:t>الأمر الثالث [:وجوب الاجتناب إنّما هو مع تنجّز التکلیف علی کلّ تقدیر]</w:t>
        </w:r>
        <w:r>
          <w:tab/>
        </w:r>
        <w:r>
          <w:fldChar w:fldCharType="begin"/>
        </w:r>
        <w:r>
          <w:instrText xml:space="preserve">PAGEREF 306 \h</w:instrText>
        </w:r>
        <w:r>
          <w:fldChar w:fldCharType="end"/>
        </w:r>
      </w:hyperlink>
    </w:p>
    <w:p>
      <w:pPr>
        <w:tabs>
          <w:tab w:val="right" w:leader="dot" w:pos="9062"/>
        </w:tabs>
        <w:ind w:left="1100"/>
      </w:pPr>
      <w:hyperlink w:anchor="_Toc30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307 \h</w:instrText>
        </w:r>
        <w:r>
          <w:fldChar w:fldCharType="end"/>
        </w:r>
      </w:hyperlink>
    </w:p>
    <w:p>
      <w:pPr>
        <w:tabs>
          <w:tab w:val="right" w:leader="dot" w:pos="9062"/>
        </w:tabs>
        <w:ind w:left="1100"/>
      </w:pPr>
      <w:hyperlink w:anchor="_Toc308" w:history="1">
        <w:r>
          <w:rPr>
            <w:rFonts w:ascii="IRNazanin" w:hAnsi="IRNazanin" w:eastAsia="IRNazanin" w:cs="IRNazanin"/>
            <w:color w:val="111111"/>
            <w:sz w:val="22"/>
            <w:szCs w:val="22"/>
            <w:b w:val="0"/>
            <w:bCs w:val="0"/>
            <w:i w:val="0"/>
            <w:iCs w:val="0"/>
          </w:rPr>
          <w:t>[لو لم یکلّف بالتکلیف علی کلّ تقدیر]</w:t>
        </w:r>
        <w:r>
          <w:tab/>
        </w:r>
        <w:r>
          <w:fldChar w:fldCharType="begin"/>
        </w:r>
        <w:r>
          <w:instrText xml:space="preserve">PAGEREF 308 \h</w:instrText>
        </w:r>
        <w:r>
          <w:fldChar w:fldCharType="end"/>
        </w:r>
      </w:hyperlink>
    </w:p>
    <w:p>
      <w:pPr>
        <w:tabs>
          <w:tab w:val="right" w:leader="dot" w:pos="9062"/>
        </w:tabs>
        <w:ind w:left="1100"/>
      </w:pPr>
      <w:hyperlink w:anchor="_Toc309" w:history="1">
        <w:r>
          <w:rPr>
            <w:rFonts w:ascii="IRNazanin" w:hAnsi="IRNazanin" w:eastAsia="IRNazanin" w:cs="IRNazanin"/>
            <w:color w:val="111111"/>
            <w:sz w:val="22"/>
            <w:szCs w:val="22"/>
            <w:b w:val="0"/>
            <w:bCs w:val="0"/>
            <w:i w:val="0"/>
            <w:iCs w:val="0"/>
          </w:rPr>
          <w:t>[لو کان التکلیف فی أحدهما معلّقا علی تمکّن المکلّف منه]</w:t>
        </w:r>
        <w:r>
          <w:tab/>
        </w:r>
        <w:r>
          <w:fldChar w:fldCharType="begin"/>
        </w:r>
        <w:r>
          <w:instrText xml:space="preserve">PAGEREF 309 \h</w:instrText>
        </w:r>
        <w:r>
          <w:fldChar w:fldCharType="end"/>
        </w:r>
      </w:hyperlink>
    </w:p>
    <w:p>
      <w:pPr>
        <w:tabs>
          <w:tab w:val="right" w:leader="dot" w:pos="9062"/>
        </w:tabs>
        <w:ind w:left="1100"/>
      </w:pPr>
      <w:hyperlink w:anchor="_Toc310" w:history="1">
        <w:r>
          <w:rPr>
            <w:rFonts w:ascii="IRNazanin" w:hAnsi="IRNazanin" w:eastAsia="IRNazanin" w:cs="IRNazanin"/>
            <w:color w:val="111111"/>
            <w:sz w:val="22"/>
            <w:szCs w:val="22"/>
            <w:b w:val="0"/>
            <w:bCs w:val="0"/>
            <w:i w:val="0"/>
            <w:iCs w:val="0"/>
          </w:rPr>
          <w:t>[لو کان أحدهما المعیّن غیر مبتلی به]</w:t>
        </w:r>
        <w:r>
          <w:tab/>
        </w:r>
        <w:r>
          <w:fldChar w:fldCharType="begin"/>
        </w:r>
        <w:r>
          <w:instrText xml:space="preserve">PAGEREF 310 \h</w:instrText>
        </w:r>
        <w:r>
          <w:fldChar w:fldCharType="end"/>
        </w:r>
      </w:hyperlink>
    </w:p>
    <w:p>
      <w:pPr>
        <w:tabs>
          <w:tab w:val="right" w:leader="dot" w:pos="9062"/>
        </w:tabs>
        <w:ind w:left="1100"/>
      </w:pPr>
      <w:hyperlink w:anchor="_Toc311" w:history="1">
        <w:r>
          <w:rPr>
            <w:rFonts w:ascii="IRNazanin" w:hAnsi="IRNazanin" w:eastAsia="IRNazanin" w:cs="IRNazanin"/>
            <w:color w:val="111111"/>
            <w:sz w:val="22"/>
            <w:szCs w:val="22"/>
            <w:b w:val="0"/>
            <w:bCs w:val="0"/>
            <w:i w:val="0"/>
            <w:iCs w:val="0"/>
          </w:rPr>
          <w:t>[اختصاص النواهی بمن یعدّ مبتلی بالواقعة المنهیّة عنها و السرّ فی ذلک]</w:t>
        </w:r>
        <w:r>
          <w:tab/>
        </w:r>
        <w:r>
          <w:fldChar w:fldCharType="begin"/>
        </w:r>
        <w:r>
          <w:instrText xml:space="preserve">PAGEREF 311 \h</w:instrText>
        </w:r>
        <w:r>
          <w:fldChar w:fldCharType="end"/>
        </w:r>
      </w:hyperlink>
    </w:p>
    <w:p>
      <w:pPr>
        <w:tabs>
          <w:tab w:val="right" w:leader="dot" w:pos="9062"/>
        </w:tabs>
        <w:ind w:left="1100"/>
      </w:pPr>
      <w:hyperlink w:anchor="_Toc312" w:history="1">
        <w:r>
          <w:rPr>
            <w:rFonts w:ascii="IRNazanin" w:hAnsi="IRNazanin" w:eastAsia="IRNazanin" w:cs="IRNazanin"/>
            <w:color w:val="111111"/>
            <w:sz w:val="22"/>
            <w:szCs w:val="22"/>
            <w:b w:val="0"/>
            <w:bCs w:val="0"/>
            <w:i w:val="0"/>
            <w:iCs w:val="0"/>
          </w:rPr>
          <w:t>[حلّ الإشکال بما ذکرنا عن کثیر من مواقع عدم وجوب الاجتناب فی الشبهة المحصورة]</w:t>
        </w:r>
        <w:r>
          <w:tab/>
        </w:r>
        <w:r>
          <w:fldChar w:fldCharType="begin"/>
        </w:r>
        <w:r>
          <w:instrText xml:space="preserve">PAGEREF 312 \h</w:instrText>
        </w:r>
        <w:r>
          <w:fldChar w:fldCharType="end"/>
        </w:r>
      </w:hyperlink>
    </w:p>
    <w:p>
      <w:pPr>
        <w:tabs>
          <w:tab w:val="right" w:leader="dot" w:pos="9062"/>
        </w:tabs>
        <w:ind w:left="1100"/>
      </w:pPr>
      <w:hyperlink w:anchor="_Toc313" w:history="1">
        <w:r>
          <w:rPr>
            <w:rFonts w:ascii="IRNazanin" w:hAnsi="IRNazanin" w:eastAsia="IRNazanin" w:cs="IRNazanin"/>
            <w:color w:val="111111"/>
            <w:sz w:val="22"/>
            <w:szCs w:val="22"/>
            <w:b w:val="0"/>
            <w:bCs w:val="0"/>
            <w:i w:val="0"/>
            <w:iCs w:val="0"/>
          </w:rPr>
          <w:t>[اندفاع ما أفاده صاحب المدارک فیما تقدّم بما ذکرنا]</w:t>
        </w:r>
        <w:r>
          <w:tab/>
        </w:r>
        <w:r>
          <w:fldChar w:fldCharType="begin"/>
        </w:r>
        <w:r>
          <w:instrText xml:space="preserve">PAGEREF 313 \h</w:instrText>
        </w:r>
        <w:r>
          <w:fldChar w:fldCharType="end"/>
        </w:r>
      </w:hyperlink>
    </w:p>
    <w:p>
      <w:pPr>
        <w:tabs>
          <w:tab w:val="right" w:leader="dot" w:pos="9062"/>
        </w:tabs>
        <w:ind w:left="1100"/>
      </w:pPr>
      <w:hyperlink w:anchor="_Toc314" w:history="1">
        <w:r>
          <w:rPr>
            <w:rFonts w:ascii="IRNazanin" w:hAnsi="IRNazanin" w:eastAsia="IRNazanin" w:cs="IRNazanin"/>
            <w:color w:val="111111"/>
            <w:sz w:val="22"/>
            <w:szCs w:val="22"/>
            <w:b w:val="0"/>
            <w:bCs w:val="0"/>
            <w:i w:val="0"/>
            <w:iCs w:val="0"/>
          </w:rPr>
          <w:t>[خفاء تشخیص موارد الابتلاء و عدمه غالبا]</w:t>
        </w:r>
        <w:r>
          <w:tab/>
        </w:r>
        <w:r>
          <w:fldChar w:fldCharType="begin"/>
        </w:r>
        <w:r>
          <w:instrText xml:space="preserve">PAGEREF 314 \h</w:instrText>
        </w:r>
        <w:r>
          <w:fldChar w:fldCharType="end"/>
        </w:r>
      </w:hyperlink>
    </w:p>
    <w:p>
      <w:pPr>
        <w:tabs>
          <w:tab w:val="right" w:leader="dot" w:pos="9062"/>
        </w:tabs>
        <w:ind w:left="1100"/>
      </w:pPr>
      <w:hyperlink w:anchor="_Toc315" w:history="1">
        <w:r>
          <w:rPr>
            <w:rFonts w:ascii="IRNazanin" w:hAnsi="IRNazanin" w:eastAsia="IRNazanin" w:cs="IRNazanin"/>
            <w:color w:val="111111"/>
            <w:sz w:val="22"/>
            <w:szCs w:val="22"/>
            <w:b w:val="0"/>
            <w:bCs w:val="0"/>
            <w:i w:val="0"/>
            <w:iCs w:val="0"/>
          </w:rPr>
          <w:t>[المعیار صحّة التکلیف و حسنه غیر مقیّد بصورة الابتلاء]</w:t>
        </w:r>
        <w:r>
          <w:tab/>
        </w:r>
        <w:r>
          <w:fldChar w:fldCharType="begin"/>
        </w:r>
        <w:r>
          <w:instrText xml:space="preserve">PAGEREF 315 \h</w:instrText>
        </w:r>
        <w:r>
          <w:fldChar w:fldCharType="end"/>
        </w:r>
      </w:hyperlink>
    </w:p>
    <w:p>
      <w:pPr>
        <w:tabs>
          <w:tab w:val="right" w:leader="dot" w:pos="9062"/>
        </w:tabs>
        <w:ind w:left="1100"/>
      </w:pPr>
      <w:hyperlink w:anchor="_Toc316" w:history="1">
        <w:r>
          <w:rPr>
            <w:rFonts w:ascii="IRNazanin" w:hAnsi="IRNazanin" w:eastAsia="IRNazanin" w:cs="IRNazanin"/>
            <w:color w:val="111111"/>
            <w:sz w:val="22"/>
            <w:szCs w:val="22"/>
            <w:b w:val="0"/>
            <w:bCs w:val="0"/>
            <w:i w:val="0"/>
            <w:iCs w:val="0"/>
          </w:rPr>
          <w:t>[لو شکّ فی حسن التکلیف التنجیزی فالأصل البراءة]</w:t>
        </w:r>
        <w:r>
          <w:tab/>
        </w:r>
        <w:r>
          <w:fldChar w:fldCharType="begin"/>
        </w:r>
        <w:r>
          <w:instrText xml:space="preserve">PAGEREF 316 \h</w:instrText>
        </w:r>
        <w:r>
          <w:fldChar w:fldCharType="end"/>
        </w:r>
      </w:hyperlink>
    </w:p>
    <w:p>
      <w:pPr>
        <w:tabs>
          <w:tab w:val="right" w:leader="dot" w:pos="9062"/>
        </w:tabs>
        <w:ind w:left="1100"/>
      </w:pPr>
      <w:hyperlink w:anchor="_Toc317" w:history="1">
        <w:r>
          <w:rPr>
            <w:rFonts w:ascii="IRNazanin" w:hAnsi="IRNazanin" w:eastAsia="IRNazanin" w:cs="IRNazanin"/>
            <w:color w:val="111111"/>
            <w:sz w:val="22"/>
            <w:szCs w:val="22"/>
            <w:b w:val="0"/>
            <w:bCs w:val="0"/>
            <w:i w:val="0"/>
            <w:iCs w:val="0"/>
          </w:rPr>
          <w:t>[الأولی الرجوع إلی الإطلاقات]</w:t>
        </w:r>
        <w:r>
          <w:tab/>
        </w:r>
        <w:r>
          <w:fldChar w:fldCharType="begin"/>
        </w:r>
        <w:r>
          <w:instrText xml:space="preserve">PAGEREF 317 \h</w:instrText>
        </w:r>
        <w:r>
          <w:fldChar w:fldCharType="end"/>
        </w:r>
      </w:hyperlink>
    </w:p>
    <w:p>
      <w:pPr>
        <w:tabs>
          <w:tab w:val="right" w:leader="dot" w:pos="9062"/>
        </w:tabs>
        <w:ind w:left="1100"/>
      </w:pPr>
      <w:hyperlink w:anchor="_Toc318" w:history="1">
        <w:r>
          <w:rPr>
            <w:rFonts w:ascii="IRNazanin" w:hAnsi="IRNazanin" w:eastAsia="IRNazanin" w:cs="IRNazanin"/>
            <w:color w:val="111111"/>
            <w:sz w:val="22"/>
            <w:szCs w:val="22"/>
            <w:b w:val="0"/>
            <w:bCs w:val="0"/>
            <w:i w:val="0"/>
            <w:iCs w:val="0"/>
          </w:rPr>
          <w:t>الأمر الرابع [:الثابت فی المشتبهین وجوب الاجتناب دون سائر الآثار الشرعیّة]</w:t>
        </w:r>
        <w:r>
          <w:tab/>
        </w:r>
        <w:r>
          <w:fldChar w:fldCharType="begin"/>
        </w:r>
        <w:r>
          <w:instrText xml:space="preserve">PAGEREF 318 \h</w:instrText>
        </w:r>
        <w:r>
          <w:fldChar w:fldCharType="end"/>
        </w:r>
      </w:hyperlink>
    </w:p>
    <w:p>
      <w:pPr>
        <w:tabs>
          <w:tab w:val="right" w:leader="dot" w:pos="9062"/>
        </w:tabs>
        <w:ind w:left="1100"/>
      </w:pPr>
      <w:hyperlink w:anchor="_Toc3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319 \h</w:instrText>
        </w:r>
        <w:r>
          <w:fldChar w:fldCharType="end"/>
        </w:r>
      </w:hyperlink>
    </w:p>
    <w:p>
      <w:pPr>
        <w:tabs>
          <w:tab w:val="right" w:leader="dot" w:pos="9062"/>
        </w:tabs>
        <w:ind w:left="1100"/>
      </w:pPr>
      <w:hyperlink w:anchor="_Toc320" w:history="1">
        <w:r>
          <w:rPr>
            <w:rFonts w:ascii="IRNazanin" w:hAnsi="IRNazanin" w:eastAsia="IRNazanin" w:cs="IRNazanin"/>
            <w:color w:val="111111"/>
            <w:sz w:val="22"/>
            <w:szCs w:val="22"/>
            <w:b w:val="0"/>
            <w:bCs w:val="0"/>
            <w:i w:val="0"/>
            <w:iCs w:val="0"/>
          </w:rPr>
          <w:t>[هل یحکم بتنجّس ملاقی أحد المشتبهین؟]</w:t>
        </w:r>
        <w:r>
          <w:tab/>
        </w:r>
        <w:r>
          <w:fldChar w:fldCharType="begin"/>
        </w:r>
        <w:r>
          <w:instrText xml:space="preserve">PAGEREF 320 \h</w:instrText>
        </w:r>
        <w:r>
          <w:fldChar w:fldCharType="end"/>
        </w:r>
      </w:hyperlink>
    </w:p>
    <w:p>
      <w:pPr>
        <w:tabs>
          <w:tab w:val="right" w:leader="dot" w:pos="9062"/>
        </w:tabs>
        <w:ind w:left="1100"/>
      </w:pPr>
      <w:hyperlink w:anchor="_Toc321" w:history="1">
        <w:r>
          <w:rPr>
            <w:rFonts w:ascii="IRNazanin" w:hAnsi="IRNazanin" w:eastAsia="IRNazanin" w:cs="IRNazanin"/>
            <w:color w:val="111111"/>
            <w:sz w:val="22"/>
            <w:szCs w:val="22"/>
            <w:b w:val="0"/>
            <w:bCs w:val="0"/>
            <w:i w:val="0"/>
            <w:iCs w:val="0"/>
          </w:rPr>
          <w:t>[الأقوی عدم الحکم بالتنجّس و عدم تمامیّة الأدلّة المذکورة]</w:t>
        </w:r>
        <w:r>
          <w:tab/>
        </w:r>
        <w:r>
          <w:fldChar w:fldCharType="begin"/>
        </w:r>
        <w:r>
          <w:instrText xml:space="preserve">PAGEREF 321 \h</w:instrText>
        </w:r>
        <w:r>
          <w:fldChar w:fldCharType="end"/>
        </w:r>
      </w:hyperlink>
    </w:p>
    <w:p>
      <w:pPr>
        <w:tabs>
          <w:tab w:val="right" w:leader="dot" w:pos="9062"/>
        </w:tabs>
        <w:ind w:left="1100"/>
      </w:pPr>
      <w:hyperlink w:anchor="_Toc322" w:history="1">
        <w:r>
          <w:rPr>
            <w:rFonts w:ascii="IRNazanin" w:hAnsi="IRNazanin" w:eastAsia="IRNazanin" w:cs="IRNazanin"/>
            <w:color w:val="111111"/>
            <w:sz w:val="22"/>
            <w:szCs w:val="22"/>
            <w:b w:val="0"/>
            <w:bCs w:val="0"/>
            <w:i w:val="0"/>
            <w:iCs w:val="0"/>
          </w:rPr>
          <w:t>[الاستدلال بروایة عمرو بن شمر علی تنجّس الملاقی]</w:t>
        </w:r>
        <w:r>
          <w:tab/>
        </w:r>
        <w:r>
          <w:fldChar w:fldCharType="begin"/>
        </w:r>
        <w:r>
          <w:instrText xml:space="preserve">PAGEREF 322 \h</w:instrText>
        </w:r>
        <w:r>
          <w:fldChar w:fldCharType="end"/>
        </w:r>
      </w:hyperlink>
    </w:p>
    <w:p>
      <w:pPr>
        <w:tabs>
          <w:tab w:val="right" w:leader="dot" w:pos="9062"/>
        </w:tabs>
        <w:ind w:left="1100"/>
      </w:pPr>
      <w:hyperlink w:anchor="_Toc3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323 \h</w:instrText>
        </w:r>
        <w:r>
          <w:fldChar w:fldCharType="end"/>
        </w:r>
      </w:hyperlink>
    </w:p>
    <w:p>
      <w:pPr>
        <w:tabs>
          <w:tab w:val="right" w:leader="dot" w:pos="9062"/>
        </w:tabs>
        <w:ind w:left="1100"/>
      </w:pPr>
      <w:hyperlink w:anchor="_Toc324" w:history="1">
        <w:r>
          <w:rPr>
            <w:rFonts w:ascii="IRNazanin" w:hAnsi="IRNazanin" w:eastAsia="IRNazanin" w:cs="IRNazanin"/>
            <w:color w:val="111111"/>
            <w:sz w:val="22"/>
            <w:szCs w:val="22"/>
            <w:b w:val="0"/>
            <w:bCs w:val="0"/>
            <w:i w:val="0"/>
            <w:iCs w:val="0"/>
          </w:rPr>
          <w:t>[الجواب عن الروایة]</w:t>
        </w:r>
        <w:r>
          <w:tab/>
        </w:r>
        <w:r>
          <w:fldChar w:fldCharType="begin"/>
        </w:r>
        <w:r>
          <w:instrText xml:space="preserve">PAGEREF 324 \h</w:instrText>
        </w:r>
        <w:r>
          <w:fldChar w:fldCharType="end"/>
        </w:r>
      </w:hyperlink>
    </w:p>
    <w:p>
      <w:pPr>
        <w:tabs>
          <w:tab w:val="right" w:leader="dot" w:pos="9062"/>
        </w:tabs>
        <w:ind w:left="1100"/>
      </w:pPr>
      <w:hyperlink w:anchor="_Toc325" w:history="1">
        <w:r>
          <w:rPr>
            <w:rFonts w:ascii="IRNazanin" w:hAnsi="IRNazanin" w:eastAsia="IRNazanin" w:cs="IRNazanin"/>
            <w:color w:val="111111"/>
            <w:sz w:val="22"/>
            <w:szCs w:val="22"/>
            <w:b w:val="0"/>
            <w:bCs w:val="0"/>
            <w:i w:val="0"/>
            <w:iCs w:val="0"/>
          </w:rPr>
          <w:t>[أصالة الطهارة و الحلّ فی الملاقی سلیمة عن المعارض]</w:t>
        </w:r>
        <w:r>
          <w:tab/>
        </w:r>
        <w:r>
          <w:fldChar w:fldCharType="begin"/>
        </w:r>
        <w:r>
          <w:instrText xml:space="preserve">PAGEREF 325 \h</w:instrText>
        </w:r>
        <w:r>
          <w:fldChar w:fldCharType="end"/>
        </w:r>
      </w:hyperlink>
    </w:p>
    <w:p>
      <w:pPr>
        <w:tabs>
          <w:tab w:val="right" w:leader="dot" w:pos="9062"/>
        </w:tabs>
        <w:ind w:left="1100"/>
      </w:pPr>
      <w:hyperlink w:anchor="_Toc326" w:history="1">
        <w:r>
          <w:rPr>
            <w:rFonts w:ascii="IRNazanin" w:hAnsi="IRNazanin" w:eastAsia="IRNazanin" w:cs="IRNazanin"/>
            <w:color w:val="111111"/>
            <w:sz w:val="22"/>
            <w:szCs w:val="22"/>
            <w:b w:val="0"/>
            <w:bCs w:val="0"/>
            <w:i w:val="0"/>
            <w:iCs w:val="0"/>
          </w:rPr>
          <w:t>[التحقیق فی تعارض الأصلین الرجوع إلی ما وراءهما من الاصول]</w:t>
        </w:r>
        <w:r>
          <w:tab/>
        </w:r>
        <w:r>
          <w:fldChar w:fldCharType="begin"/>
        </w:r>
        <w:r>
          <w:instrText xml:space="preserve">PAGEREF 326 \h</w:instrText>
        </w:r>
        <w:r>
          <w:fldChar w:fldCharType="end"/>
        </w:r>
      </w:hyperlink>
    </w:p>
    <w:p>
      <w:pPr>
        <w:tabs>
          <w:tab w:val="right" w:leader="dot" w:pos="9062"/>
        </w:tabs>
        <w:ind w:left="1100"/>
      </w:pPr>
      <w:hyperlink w:anchor="_Toc327" w:history="1">
        <w:r>
          <w:rPr>
            <w:rFonts w:ascii="IRNazanin" w:hAnsi="IRNazanin" w:eastAsia="IRNazanin" w:cs="IRNazanin"/>
            <w:color w:val="111111"/>
            <w:sz w:val="22"/>
            <w:szCs w:val="22"/>
            <w:b w:val="0"/>
            <w:bCs w:val="0"/>
            <w:i w:val="0"/>
            <w:iCs w:val="0"/>
          </w:rPr>
          <w:t>الأمر الخامس [:الاضطرار إلی بعض المحتملات]</w:t>
        </w:r>
        <w:r>
          <w:tab/>
        </w:r>
        <w:r>
          <w:fldChar w:fldCharType="begin"/>
        </w:r>
        <w:r>
          <w:instrText xml:space="preserve">PAGEREF 327 \h</w:instrText>
        </w:r>
        <w:r>
          <w:fldChar w:fldCharType="end"/>
        </w:r>
      </w:hyperlink>
    </w:p>
    <w:p>
      <w:pPr>
        <w:tabs>
          <w:tab w:val="right" w:leader="dot" w:pos="9062"/>
        </w:tabs>
        <w:ind w:left="1100"/>
      </w:pPr>
      <w:hyperlink w:anchor="_Toc3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328 \h</w:instrText>
        </w:r>
        <w:r>
          <w:fldChar w:fldCharType="end"/>
        </w:r>
      </w:hyperlink>
    </w:p>
    <w:p>
      <w:pPr>
        <w:tabs>
          <w:tab w:val="right" w:leader="dot" w:pos="9062"/>
        </w:tabs>
        <w:ind w:left="1100"/>
      </w:pPr>
      <w:hyperlink w:anchor="_Toc329" w:history="1">
        <w:r>
          <w:rPr>
            <w:rFonts w:ascii="IRNazanin" w:hAnsi="IRNazanin" w:eastAsia="IRNazanin" w:cs="IRNazanin"/>
            <w:color w:val="111111"/>
            <w:sz w:val="22"/>
            <w:szCs w:val="22"/>
            <w:b w:val="0"/>
            <w:bCs w:val="0"/>
            <w:i w:val="0"/>
            <w:iCs w:val="0"/>
          </w:rPr>
          <w:t>[لو کان المضطرّ إلیه بعضا معیّنا]</w:t>
        </w:r>
        <w:r>
          <w:tab/>
        </w:r>
        <w:r>
          <w:fldChar w:fldCharType="begin"/>
        </w:r>
        <w:r>
          <w:instrText xml:space="preserve">PAGEREF 329 \h</w:instrText>
        </w:r>
        <w:r>
          <w:fldChar w:fldCharType="end"/>
        </w:r>
      </w:hyperlink>
    </w:p>
    <w:p>
      <w:pPr>
        <w:tabs>
          <w:tab w:val="right" w:leader="dot" w:pos="9062"/>
        </w:tabs>
        <w:ind w:left="1100"/>
      </w:pPr>
      <w:hyperlink w:anchor="_Toc330" w:history="1">
        <w:r>
          <w:rPr>
            <w:rFonts w:ascii="IRNazanin" w:hAnsi="IRNazanin" w:eastAsia="IRNazanin" w:cs="IRNazanin"/>
            <w:color w:val="111111"/>
            <w:sz w:val="22"/>
            <w:szCs w:val="22"/>
            <w:b w:val="0"/>
            <w:bCs w:val="0"/>
            <w:i w:val="0"/>
            <w:iCs w:val="0"/>
          </w:rPr>
          <w:t>[لو کان المضطرّ إلیه بعضا غیر معیّن]</w:t>
        </w:r>
        <w:r>
          <w:tab/>
        </w:r>
        <w:r>
          <w:fldChar w:fldCharType="begin"/>
        </w:r>
        <w:r>
          <w:instrText xml:space="preserve">PAGEREF 330 \h</w:instrText>
        </w:r>
        <w:r>
          <w:fldChar w:fldCharType="end"/>
        </w:r>
      </w:hyperlink>
    </w:p>
    <w:p>
      <w:pPr>
        <w:tabs>
          <w:tab w:val="right" w:leader="dot" w:pos="9062"/>
        </w:tabs>
        <w:ind w:left="1100"/>
      </w:pPr>
      <w:hyperlink w:anchor="_Toc331" w:history="1">
        <w:r>
          <w:rPr>
            <w:rFonts w:ascii="IRNazanin" w:hAnsi="IRNazanin" w:eastAsia="IRNazanin" w:cs="IRNazanin"/>
            <w:color w:val="111111"/>
            <w:sz w:val="22"/>
            <w:szCs w:val="22"/>
            <w:b w:val="0"/>
            <w:bCs w:val="0"/>
            <w:i w:val="0"/>
            <w:iCs w:val="0"/>
          </w:rPr>
          <w:t>الأمر السادس [:لو کانت المشتبهات ممّا توجد تدریجا]</w:t>
        </w:r>
        <w:r>
          <w:tab/>
        </w:r>
        <w:r>
          <w:fldChar w:fldCharType="begin"/>
        </w:r>
        <w:r>
          <w:instrText xml:space="preserve">PAGEREF 331 \h</w:instrText>
        </w:r>
        <w:r>
          <w:fldChar w:fldCharType="end"/>
        </w:r>
      </w:hyperlink>
    </w:p>
    <w:p>
      <w:pPr>
        <w:tabs>
          <w:tab w:val="right" w:leader="dot" w:pos="9062"/>
        </w:tabs>
        <w:ind w:left="1100"/>
      </w:pPr>
      <w:hyperlink w:anchor="_Toc3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332 \h</w:instrText>
        </w:r>
        <w:r>
          <w:fldChar w:fldCharType="end"/>
        </w:r>
      </w:hyperlink>
    </w:p>
    <w:p>
      <w:pPr>
        <w:tabs>
          <w:tab w:val="right" w:leader="dot" w:pos="9062"/>
        </w:tabs>
        <w:ind w:left="1100"/>
      </w:pPr>
      <w:hyperlink w:anchor="_Toc333" w:history="1">
        <w:r>
          <w:rPr>
            <w:rFonts w:ascii="IRNazanin" w:hAnsi="IRNazanin" w:eastAsia="IRNazanin" w:cs="IRNazanin"/>
            <w:color w:val="111111"/>
            <w:sz w:val="22"/>
            <w:szCs w:val="22"/>
            <w:b w:val="0"/>
            <w:bCs w:val="0"/>
            <w:i w:val="0"/>
            <w:iCs w:val="0"/>
          </w:rPr>
          <w:t>[عدم الابتلاء دفعة فی التدریجیّات]</w:t>
        </w:r>
        <w:r>
          <w:tab/>
        </w:r>
        <w:r>
          <w:fldChar w:fldCharType="begin"/>
        </w:r>
        <w:r>
          <w:instrText xml:space="preserve">PAGEREF 333 \h</w:instrText>
        </w:r>
        <w:r>
          <w:fldChar w:fldCharType="end"/>
        </w:r>
      </w:hyperlink>
    </w:p>
    <w:p>
      <w:pPr>
        <w:tabs>
          <w:tab w:val="right" w:leader="dot" w:pos="9062"/>
        </w:tabs>
        <w:ind w:left="1100"/>
      </w:pPr>
      <w:hyperlink w:anchor="_Toc334" w:history="1">
        <w:r>
          <w:rPr>
            <w:rFonts w:ascii="IRNazanin" w:hAnsi="IRNazanin" w:eastAsia="IRNazanin" w:cs="IRNazanin"/>
            <w:color w:val="111111"/>
            <w:sz w:val="22"/>
            <w:szCs w:val="22"/>
            <w:b w:val="0"/>
            <w:bCs w:val="0"/>
            <w:i w:val="0"/>
            <w:iCs w:val="0"/>
          </w:rPr>
          <w:t>[بناء علی عدم وجوب الاحتیاط فی الشبهة التدریجیّة فالظاهر جواز المخالفة القطعیّة]</w:t>
        </w:r>
        <w:r>
          <w:tab/>
        </w:r>
        <w:r>
          <w:fldChar w:fldCharType="begin"/>
        </w:r>
        <w:r>
          <w:instrText xml:space="preserve">PAGEREF 334 \h</w:instrText>
        </w:r>
        <w:r>
          <w:fldChar w:fldCharType="end"/>
        </w:r>
      </w:hyperlink>
    </w:p>
    <w:p>
      <w:pPr>
        <w:tabs>
          <w:tab w:val="right" w:leader="dot" w:pos="9062"/>
        </w:tabs>
        <w:ind w:left="1100"/>
      </w:pPr>
      <w:hyperlink w:anchor="_Toc335" w:history="1">
        <w:r>
          <w:rPr>
            <w:rFonts w:ascii="IRNazanin" w:hAnsi="IRNazanin" w:eastAsia="IRNazanin" w:cs="IRNazanin"/>
            <w:color w:val="111111"/>
            <w:sz w:val="22"/>
            <w:szCs w:val="22"/>
            <w:b w:val="0"/>
            <w:bCs w:val="0"/>
            <w:i w:val="0"/>
            <w:iCs w:val="0"/>
          </w:rPr>
          <w:t>الأمر السابع [:العلم الإجمالی فی الشبهة المحصورة قد ینشأ عن اشتباه المکلّف به و قد یکون من جهة اشتباه المکلّف]</w:t>
        </w:r>
        <w:r>
          <w:tab/>
        </w:r>
        <w:r>
          <w:fldChar w:fldCharType="begin"/>
        </w:r>
        <w:r>
          <w:instrText xml:space="preserve">PAGEREF 335 \h</w:instrText>
        </w:r>
        <w:r>
          <w:fldChar w:fldCharType="end"/>
        </w:r>
      </w:hyperlink>
    </w:p>
    <w:p>
      <w:pPr>
        <w:tabs>
          <w:tab w:val="right" w:leader="dot" w:pos="9062"/>
        </w:tabs>
        <w:ind w:left="1100"/>
      </w:pPr>
      <w:hyperlink w:anchor="_Toc3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336 \h</w:instrText>
        </w:r>
        <w:r>
          <w:fldChar w:fldCharType="end"/>
        </w:r>
      </w:hyperlink>
    </w:p>
    <w:p>
      <w:pPr>
        <w:tabs>
          <w:tab w:val="right" w:leader="dot" w:pos="9062"/>
        </w:tabs>
        <w:ind w:left="1100"/>
      </w:pPr>
      <w:hyperlink w:anchor="_Toc337" w:history="1">
        <w:r>
          <w:rPr>
            <w:rFonts w:ascii="IRNazanin" w:hAnsi="IRNazanin" w:eastAsia="IRNazanin" w:cs="IRNazanin"/>
            <w:color w:val="111111"/>
            <w:sz w:val="22"/>
            <w:szCs w:val="22"/>
            <w:b w:val="0"/>
            <w:bCs w:val="0"/>
            <w:i w:val="0"/>
            <w:iCs w:val="0"/>
          </w:rPr>
          <w:t>[حکم الخنثی]</w:t>
        </w:r>
        <w:r>
          <w:tab/>
        </w:r>
        <w:r>
          <w:fldChar w:fldCharType="begin"/>
        </w:r>
        <w:r>
          <w:instrText xml:space="preserve">PAGEREF 337 \h</w:instrText>
        </w:r>
        <w:r>
          <w:fldChar w:fldCharType="end"/>
        </w:r>
      </w:hyperlink>
    </w:p>
    <w:p>
      <w:pPr>
        <w:tabs>
          <w:tab w:val="right" w:leader="dot" w:pos="9062"/>
        </w:tabs>
        <w:ind w:left="1100"/>
      </w:pPr>
      <w:hyperlink w:anchor="_Toc338" w:history="1">
        <w:r>
          <w:rPr>
            <w:rFonts w:ascii="IRNazanin" w:hAnsi="IRNazanin" w:eastAsia="IRNazanin" w:cs="IRNazanin"/>
            <w:color w:val="111111"/>
            <w:sz w:val="22"/>
            <w:szCs w:val="22"/>
            <w:b w:val="0"/>
            <w:bCs w:val="0"/>
            <w:i w:val="0"/>
            <w:iCs w:val="0"/>
          </w:rPr>
          <w:t>[القول بعدم توجّه الخطابات التکلیفیّة المختصّة إلیها]</w:t>
        </w:r>
        <w:r>
          <w:tab/>
        </w:r>
        <w:r>
          <w:fldChar w:fldCharType="begin"/>
        </w:r>
        <w:r>
          <w:instrText xml:space="preserve">PAGEREF 338 \h</w:instrText>
        </w:r>
        <w:r>
          <w:fldChar w:fldCharType="end"/>
        </w:r>
      </w:hyperlink>
    </w:p>
    <w:p>
      <w:pPr>
        <w:tabs>
          <w:tab w:val="right" w:leader="dot" w:pos="9062"/>
        </w:tabs>
        <w:ind w:left="1100"/>
      </w:pPr>
      <w:hyperlink w:anchor="_Toc3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339 \h</w:instrText>
        </w:r>
        <w:r>
          <w:fldChar w:fldCharType="end"/>
        </w:r>
      </w:hyperlink>
    </w:p>
    <w:p>
      <w:pPr>
        <w:tabs>
          <w:tab w:val="right" w:leader="dot" w:pos="9062"/>
        </w:tabs>
        <w:ind w:left="1100"/>
      </w:pPr>
      <w:hyperlink w:anchor="_Toc340" w:history="1">
        <w:r>
          <w:rPr>
            <w:rFonts w:ascii="IRNazanin" w:hAnsi="IRNazanin" w:eastAsia="IRNazanin" w:cs="IRNazanin"/>
            <w:color w:val="111111"/>
            <w:sz w:val="22"/>
            <w:szCs w:val="22"/>
            <w:b w:val="0"/>
            <w:bCs w:val="0"/>
            <w:i w:val="0"/>
            <w:iCs w:val="0"/>
          </w:rPr>
          <w:t>[المناقشة فی القول المذکور]</w:t>
        </w:r>
        <w:r>
          <w:tab/>
        </w:r>
        <w:r>
          <w:fldChar w:fldCharType="begin"/>
        </w:r>
        <w:r>
          <w:instrText xml:space="preserve">PAGEREF 340 \h</w:instrText>
        </w:r>
        <w:r>
          <w:fldChar w:fldCharType="end"/>
        </w:r>
      </w:hyperlink>
    </w:p>
    <w:p>
      <w:pPr>
        <w:tabs>
          <w:tab w:val="right" w:leader="dot" w:pos="9062"/>
        </w:tabs>
        <w:ind w:left="1100"/>
      </w:pPr>
      <w:hyperlink w:anchor="_Toc341" w:history="1">
        <w:r>
          <w:rPr>
            <w:rFonts w:ascii="IRNazanin" w:hAnsi="IRNazanin" w:eastAsia="IRNazanin" w:cs="IRNazanin"/>
            <w:color w:val="111111"/>
            <w:sz w:val="22"/>
            <w:szCs w:val="22"/>
            <w:b w:val="0"/>
            <w:bCs w:val="0"/>
            <w:i w:val="0"/>
            <w:iCs w:val="0"/>
          </w:rPr>
          <w:t>الأمر الثامن [:التسویة بین کون الأصل فی کلّ واحد من المشتبهین هو الحلّ أو الحرمة]</w:t>
        </w:r>
        <w:r>
          <w:tab/>
        </w:r>
        <w:r>
          <w:fldChar w:fldCharType="begin"/>
        </w:r>
        <w:r>
          <w:instrText xml:space="preserve">PAGEREF 341 \h</w:instrText>
        </w:r>
        <w:r>
          <w:fldChar w:fldCharType="end"/>
        </w:r>
      </w:hyperlink>
    </w:p>
    <w:p>
      <w:pPr>
        <w:tabs>
          <w:tab w:val="right" w:leader="dot" w:pos="9062"/>
        </w:tabs>
        <w:ind w:left="1100"/>
      </w:pPr>
      <w:hyperlink w:anchor="_Toc342" w:history="1">
        <w:r>
          <w:rPr>
            <w:rFonts w:ascii="IRNazanin" w:hAnsi="IRNazanin" w:eastAsia="IRNazanin" w:cs="IRNazanin"/>
            <w:color w:val="111111"/>
            <w:sz w:val="22"/>
            <w:szCs w:val="22"/>
            <w:b w:val="0"/>
            <w:bCs w:val="0"/>
            <w:i w:val="0"/>
            <w:iCs w:val="0"/>
          </w:rPr>
          <w:t>الأمر التاسع [:المشتبه بأحد المشتبهین حکمه حکمهما]</w:t>
        </w:r>
        <w:r>
          <w:tab/>
        </w:r>
        <w:r>
          <w:fldChar w:fldCharType="begin"/>
        </w:r>
        <w:r>
          <w:instrText xml:space="preserve">PAGEREF 342 \h</w:instrText>
        </w:r>
        <w:r>
          <w:fldChar w:fldCharType="end"/>
        </w:r>
      </w:hyperlink>
    </w:p>
    <w:p>
      <w:pPr>
        <w:tabs>
          <w:tab w:val="right" w:leader="dot" w:pos="9062"/>
        </w:tabs>
        <w:ind w:left="1100"/>
      </w:pPr>
      <w:hyperlink w:anchor="_Toc343" w:history="1">
        <w:r>
          <w:rPr>
            <w:rFonts w:ascii="IRNazanin" w:hAnsi="IRNazanin" w:eastAsia="IRNazanin" w:cs="IRNazanin"/>
            <w:color w:val="111111"/>
            <w:sz w:val="22"/>
            <w:szCs w:val="22"/>
            <w:b w:val="0"/>
            <w:bCs w:val="0"/>
            <w:i w:val="0"/>
            <w:iCs w:val="0"/>
          </w:rPr>
          <w:t>المقام الثانی فی الشبهة الغیر المحصورة</w:t>
        </w:r>
        <w:r>
          <w:tab/>
        </w:r>
        <w:r>
          <w:fldChar w:fldCharType="begin"/>
        </w:r>
        <w:r>
          <w:instrText xml:space="preserve">PAGEREF 343 \h</w:instrText>
        </w:r>
        <w:r>
          <w:fldChar w:fldCharType="end"/>
        </w:r>
      </w:hyperlink>
    </w:p>
    <w:p>
      <w:pPr>
        <w:tabs>
          <w:tab w:val="right" w:leader="dot" w:pos="9062"/>
        </w:tabs>
        <w:ind w:left="1100"/>
      </w:pPr>
      <w:hyperlink w:anchor="_Toc3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344 \h</w:instrText>
        </w:r>
        <w:r>
          <w:fldChar w:fldCharType="end"/>
        </w:r>
      </w:hyperlink>
    </w:p>
    <w:p>
      <w:pPr>
        <w:tabs>
          <w:tab w:val="right" w:leader="dot" w:pos="9062"/>
        </w:tabs>
        <w:ind w:left="1100"/>
      </w:pPr>
      <w:hyperlink w:anchor="_Toc345" w:history="1">
        <w:r>
          <w:rPr>
            <w:rFonts w:ascii="IRNazanin" w:hAnsi="IRNazanin" w:eastAsia="IRNazanin" w:cs="IRNazanin"/>
            <w:color w:val="111111"/>
            <w:sz w:val="22"/>
            <w:szCs w:val="22"/>
            <w:b w:val="0"/>
            <w:bCs w:val="0"/>
            <w:i w:val="0"/>
            <w:iCs w:val="0"/>
          </w:rPr>
          <w:t>الأوّل [الإجماع]</w:t>
        </w:r>
        <w:r>
          <w:tab/>
        </w:r>
        <w:r>
          <w:fldChar w:fldCharType="begin"/>
        </w:r>
        <w:r>
          <w:instrText xml:space="preserve">PAGEREF 345 \h</w:instrText>
        </w:r>
        <w:r>
          <w:fldChar w:fldCharType="end"/>
        </w:r>
      </w:hyperlink>
    </w:p>
    <w:p>
      <w:pPr>
        <w:tabs>
          <w:tab w:val="right" w:leader="dot" w:pos="9062"/>
        </w:tabs>
        <w:ind w:left="1100"/>
      </w:pPr>
      <w:hyperlink w:anchor="_Toc346" w:history="1">
        <w:r>
          <w:rPr>
            <w:rFonts w:ascii="IRNazanin" w:hAnsi="IRNazanin" w:eastAsia="IRNazanin" w:cs="IRNazanin"/>
            <w:color w:val="111111"/>
            <w:sz w:val="22"/>
            <w:szCs w:val="22"/>
            <w:b w:val="0"/>
            <w:bCs w:val="0"/>
            <w:i w:val="0"/>
            <w:iCs w:val="0"/>
          </w:rPr>
          <w:t>الثانی [لزوم المشقّة فی الاجتناب]</w:t>
        </w:r>
        <w:r>
          <w:tab/>
        </w:r>
        <w:r>
          <w:fldChar w:fldCharType="begin"/>
        </w:r>
        <w:r>
          <w:instrText xml:space="preserve">PAGEREF 346 \h</w:instrText>
        </w:r>
        <w:r>
          <w:fldChar w:fldCharType="end"/>
        </w:r>
      </w:hyperlink>
    </w:p>
    <w:p>
      <w:pPr>
        <w:tabs>
          <w:tab w:val="right" w:leader="dot" w:pos="9062"/>
        </w:tabs>
        <w:ind w:left="1100"/>
      </w:pPr>
      <w:hyperlink w:anchor="_Toc3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347 \h</w:instrText>
        </w:r>
        <w:r>
          <w:fldChar w:fldCharType="end"/>
        </w:r>
      </w:hyperlink>
    </w:p>
    <w:p>
      <w:pPr>
        <w:tabs>
          <w:tab w:val="right" w:leader="dot" w:pos="9062"/>
        </w:tabs>
        <w:ind w:left="1100"/>
      </w:pPr>
      <w:hyperlink w:anchor="_Toc348" w:history="1">
        <w:r>
          <w:rPr>
            <w:rFonts w:ascii="IRNazanin" w:hAnsi="IRNazanin" w:eastAsia="IRNazanin" w:cs="IRNazanin"/>
            <w:color w:val="111111"/>
            <w:sz w:val="22"/>
            <w:szCs w:val="22"/>
            <w:b w:val="0"/>
            <w:bCs w:val="0"/>
            <w:i w:val="0"/>
            <w:iCs w:val="0"/>
          </w:rPr>
          <w:t>[المناقشة فی هذا الاستدلال]</w:t>
        </w:r>
        <w:r>
          <w:tab/>
        </w:r>
        <w:r>
          <w:fldChar w:fldCharType="begin"/>
        </w:r>
        <w:r>
          <w:instrText xml:space="preserve">PAGEREF 348 \h</w:instrText>
        </w:r>
        <w:r>
          <w:fldChar w:fldCharType="end"/>
        </w:r>
      </w:hyperlink>
    </w:p>
    <w:p>
      <w:pPr>
        <w:tabs>
          <w:tab w:val="right" w:leader="dot" w:pos="9062"/>
        </w:tabs>
        <w:ind w:left="1100"/>
      </w:pPr>
      <w:hyperlink w:anchor="_Toc349" w:history="1">
        <w:r>
          <w:rPr>
            <w:rFonts w:ascii="IRNazanin" w:hAnsi="IRNazanin" w:eastAsia="IRNazanin" w:cs="IRNazanin"/>
            <w:color w:val="111111"/>
            <w:sz w:val="22"/>
            <w:szCs w:val="22"/>
            <w:b w:val="0"/>
            <w:bCs w:val="0"/>
            <w:i w:val="0"/>
            <w:iCs w:val="0"/>
          </w:rPr>
          <w:t>[عدم فائدة دوران الأحکام مدار السهولة علی الأغلب فیما نحن فیه]</w:t>
        </w:r>
        <w:r>
          <w:tab/>
        </w:r>
        <w:r>
          <w:fldChar w:fldCharType="begin"/>
        </w:r>
        <w:r>
          <w:instrText xml:space="preserve">PAGEREF 349 \h</w:instrText>
        </w:r>
        <w:r>
          <w:fldChar w:fldCharType="end"/>
        </w:r>
      </w:hyperlink>
    </w:p>
    <w:p>
      <w:pPr>
        <w:tabs>
          <w:tab w:val="right" w:leader="dot" w:pos="9062"/>
        </w:tabs>
        <w:ind w:left="1100"/>
      </w:pPr>
      <w:hyperlink w:anchor="_Toc350" w:history="1">
        <w:r>
          <w:rPr>
            <w:rFonts w:ascii="IRNazanin" w:hAnsi="IRNazanin" w:eastAsia="IRNazanin" w:cs="IRNazanin"/>
            <w:color w:val="111111"/>
            <w:sz w:val="22"/>
            <w:szCs w:val="22"/>
            <w:b w:val="0"/>
            <w:bCs w:val="0"/>
            <w:i w:val="0"/>
            <w:iCs w:val="0"/>
          </w:rPr>
          <w:t>[عدم لزوم الحرج فی الاجتناب عن الشبهة غیر المحصورة]</w:t>
        </w:r>
        <w:r>
          <w:tab/>
        </w:r>
        <w:r>
          <w:fldChar w:fldCharType="begin"/>
        </w:r>
        <w:r>
          <w:instrText xml:space="preserve">PAGEREF 350 \h</w:instrText>
        </w:r>
        <w:r>
          <w:fldChar w:fldCharType="end"/>
        </w:r>
      </w:hyperlink>
    </w:p>
    <w:p>
      <w:pPr>
        <w:tabs>
          <w:tab w:val="right" w:leader="dot" w:pos="9062"/>
        </w:tabs>
        <w:ind w:left="1100"/>
      </w:pPr>
      <w:hyperlink w:anchor="_Toc351" w:history="1">
        <w:r>
          <w:rPr>
            <w:rFonts w:ascii="IRNazanin" w:hAnsi="IRNazanin" w:eastAsia="IRNazanin" w:cs="IRNazanin"/>
            <w:color w:val="111111"/>
            <w:sz w:val="22"/>
            <w:szCs w:val="22"/>
            <w:b w:val="0"/>
            <w:bCs w:val="0"/>
            <w:i w:val="0"/>
            <w:iCs w:val="0"/>
          </w:rPr>
          <w:t>الوجه الثالث: [أخبار الحل]</w:t>
        </w:r>
        <w:r>
          <w:tab/>
        </w:r>
        <w:r>
          <w:fldChar w:fldCharType="begin"/>
        </w:r>
        <w:r>
          <w:instrText xml:space="preserve">PAGEREF 351 \h</w:instrText>
        </w:r>
        <w:r>
          <w:fldChar w:fldCharType="end"/>
        </w:r>
      </w:hyperlink>
    </w:p>
    <w:p>
      <w:pPr>
        <w:tabs>
          <w:tab w:val="right" w:leader="dot" w:pos="9062"/>
        </w:tabs>
        <w:ind w:left="1100"/>
      </w:pPr>
      <w:hyperlink w:anchor="_Toc3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352 \h</w:instrText>
        </w:r>
        <w:r>
          <w:fldChar w:fldCharType="end"/>
        </w:r>
      </w:hyperlink>
    </w:p>
    <w:p>
      <w:pPr>
        <w:tabs>
          <w:tab w:val="right" w:leader="dot" w:pos="9062"/>
        </w:tabs>
        <w:ind w:left="1100"/>
      </w:pPr>
      <w:hyperlink w:anchor="_Toc353" w:history="1">
        <w:r>
          <w:rPr>
            <w:rFonts w:ascii="IRNazanin" w:hAnsi="IRNazanin" w:eastAsia="IRNazanin" w:cs="IRNazanin"/>
            <w:color w:val="111111"/>
            <w:sz w:val="22"/>
            <w:szCs w:val="22"/>
            <w:b w:val="0"/>
            <w:bCs w:val="0"/>
            <w:i w:val="0"/>
            <w:iCs w:val="0"/>
          </w:rPr>
          <w:t>[المناقشة فی هذا الاستدلال]</w:t>
        </w:r>
        <w:r>
          <w:tab/>
        </w:r>
        <w:r>
          <w:fldChar w:fldCharType="begin"/>
        </w:r>
        <w:r>
          <w:instrText xml:space="preserve">PAGEREF 353 \h</w:instrText>
        </w:r>
        <w:r>
          <w:fldChar w:fldCharType="end"/>
        </w:r>
      </w:hyperlink>
    </w:p>
    <w:p>
      <w:pPr>
        <w:tabs>
          <w:tab w:val="right" w:leader="dot" w:pos="9062"/>
        </w:tabs>
        <w:ind w:left="1100"/>
      </w:pPr>
      <w:hyperlink w:anchor="_Toc354" w:history="1">
        <w:r>
          <w:rPr>
            <w:rFonts w:ascii="IRNazanin" w:hAnsi="IRNazanin" w:eastAsia="IRNazanin" w:cs="IRNazanin"/>
            <w:color w:val="111111"/>
            <w:sz w:val="22"/>
            <w:szCs w:val="22"/>
            <w:b w:val="0"/>
            <w:bCs w:val="0"/>
            <w:i w:val="0"/>
            <w:iCs w:val="0"/>
          </w:rPr>
          <w:t>الوجه الرابع: [بعض الأخبار فی خصوص المسألة]</w:t>
        </w:r>
        <w:r>
          <w:tab/>
        </w:r>
        <w:r>
          <w:fldChar w:fldCharType="begin"/>
        </w:r>
        <w:r>
          <w:instrText xml:space="preserve">PAGEREF 354 \h</w:instrText>
        </w:r>
        <w:r>
          <w:fldChar w:fldCharType="end"/>
        </w:r>
      </w:hyperlink>
    </w:p>
    <w:p>
      <w:pPr>
        <w:tabs>
          <w:tab w:val="right" w:leader="dot" w:pos="9062"/>
        </w:tabs>
        <w:ind w:left="1100"/>
      </w:pPr>
      <w:hyperlink w:anchor="_Toc355" w:history="1">
        <w:r>
          <w:rPr>
            <w:rFonts w:ascii="IRNazanin" w:hAnsi="IRNazanin" w:eastAsia="IRNazanin" w:cs="IRNazanin"/>
            <w:color w:val="111111"/>
            <w:sz w:val="22"/>
            <w:szCs w:val="22"/>
            <w:b w:val="0"/>
            <w:bCs w:val="0"/>
            <w:i w:val="0"/>
            <w:iCs w:val="0"/>
          </w:rPr>
          <w:t>الوجه الخامس: [أصالة البراءة]</w:t>
        </w:r>
        <w:r>
          <w:tab/>
        </w:r>
        <w:r>
          <w:fldChar w:fldCharType="begin"/>
        </w:r>
        <w:r>
          <w:instrText xml:space="preserve">PAGEREF 355 \h</w:instrText>
        </w:r>
        <w:r>
          <w:fldChar w:fldCharType="end"/>
        </w:r>
      </w:hyperlink>
    </w:p>
    <w:p>
      <w:pPr>
        <w:tabs>
          <w:tab w:val="right" w:leader="dot" w:pos="9062"/>
        </w:tabs>
        <w:ind w:left="1100"/>
      </w:pPr>
      <w:hyperlink w:anchor="_Toc3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356 \h</w:instrText>
        </w:r>
        <w:r>
          <w:fldChar w:fldCharType="end"/>
        </w:r>
      </w:hyperlink>
    </w:p>
    <w:p>
      <w:pPr>
        <w:tabs>
          <w:tab w:val="right" w:leader="dot" w:pos="9062"/>
        </w:tabs>
        <w:ind w:left="1100"/>
      </w:pPr>
      <w:hyperlink w:anchor="_Toc357" w:history="1">
        <w:r>
          <w:rPr>
            <w:rFonts w:ascii="IRNazanin" w:hAnsi="IRNazanin" w:eastAsia="IRNazanin" w:cs="IRNazanin"/>
            <w:color w:val="111111"/>
            <w:sz w:val="22"/>
            <w:szCs w:val="22"/>
            <w:b w:val="0"/>
            <w:bCs w:val="0"/>
            <w:i w:val="0"/>
            <w:iCs w:val="0"/>
          </w:rPr>
          <w:t>و حاصل هذا الوجه:</w:t>
        </w:r>
        <w:r>
          <w:tab/>
        </w:r>
        <w:r>
          <w:fldChar w:fldCharType="begin"/>
        </w:r>
        <w:r>
          <w:instrText xml:space="preserve">PAGEREF 357 \h</w:instrText>
        </w:r>
        <w:r>
          <w:fldChar w:fldCharType="end"/>
        </w:r>
      </w:hyperlink>
    </w:p>
    <w:p>
      <w:pPr>
        <w:tabs>
          <w:tab w:val="right" w:leader="dot" w:pos="9062"/>
        </w:tabs>
        <w:ind w:left="1100"/>
      </w:pPr>
      <w:hyperlink w:anchor="_Toc358" w:history="1">
        <w:r>
          <w:rPr>
            <w:rFonts w:ascii="IRNazanin" w:hAnsi="IRNazanin" w:eastAsia="IRNazanin" w:cs="IRNazanin"/>
            <w:color w:val="111111"/>
            <w:sz w:val="22"/>
            <w:szCs w:val="22"/>
            <w:b w:val="0"/>
            <w:bCs w:val="0"/>
            <w:i w:val="0"/>
            <w:iCs w:val="0"/>
          </w:rPr>
          <w:t>الوجه السادس: [عدم الابتلاء إلاّ ببعض معیّن]</w:t>
        </w:r>
        <w:r>
          <w:tab/>
        </w:r>
        <w:r>
          <w:fldChar w:fldCharType="begin"/>
        </w:r>
        <w:r>
          <w:instrText xml:space="preserve">PAGEREF 358 \h</w:instrText>
        </w:r>
        <w:r>
          <w:fldChar w:fldCharType="end"/>
        </w:r>
      </w:hyperlink>
    </w:p>
    <w:p>
      <w:pPr>
        <w:tabs>
          <w:tab w:val="right" w:leader="dot" w:pos="9062"/>
        </w:tabs>
        <w:ind w:left="1100"/>
      </w:pPr>
      <w:hyperlink w:anchor="_Toc359" w:history="1">
        <w:r>
          <w:rPr>
            <w:rFonts w:ascii="IRNazanin" w:hAnsi="IRNazanin" w:eastAsia="IRNazanin" w:cs="IRNazanin"/>
            <w:color w:val="111111"/>
            <w:sz w:val="22"/>
            <w:szCs w:val="22"/>
            <w:b w:val="0"/>
            <w:bCs w:val="0"/>
            <w:i w:val="0"/>
            <w:iCs w:val="0"/>
          </w:rPr>
          <w:t>[المستفاد من الأدلّة المذکورة]</w:t>
        </w:r>
        <w:r>
          <w:tab/>
        </w:r>
        <w:r>
          <w:fldChar w:fldCharType="begin"/>
        </w:r>
        <w:r>
          <w:instrText xml:space="preserve">PAGEREF 359 \h</w:instrText>
        </w:r>
        <w:r>
          <w:fldChar w:fldCharType="end"/>
        </w:r>
      </w:hyperlink>
    </w:p>
    <w:p>
      <w:pPr>
        <w:tabs>
          <w:tab w:val="right" w:leader="dot" w:pos="9062"/>
        </w:tabs>
        <w:ind w:left="1100"/>
      </w:pPr>
      <w:hyperlink w:anchor="_Toc360" w:history="1">
        <w:r>
          <w:rPr>
            <w:rFonts w:ascii="IRNazanin" w:hAnsi="IRNazanin" w:eastAsia="IRNazanin" w:cs="IRNazanin"/>
            <w:color w:val="111111"/>
            <w:sz w:val="22"/>
            <w:szCs w:val="22"/>
            <w:b w:val="0"/>
            <w:bCs w:val="0"/>
            <w:i w:val="0"/>
            <w:iCs w:val="0"/>
          </w:rPr>
          <w:t>إلاّ أنّ الکلام یقع فی موارد</w:t>
        </w:r>
        <w:r>
          <w:tab/>
        </w:r>
        <w:r>
          <w:fldChar w:fldCharType="begin"/>
        </w:r>
        <w:r>
          <w:instrText xml:space="preserve">PAGEREF 360 \h</w:instrText>
        </w:r>
        <w:r>
          <w:fldChar w:fldCharType="end"/>
        </w:r>
      </w:hyperlink>
    </w:p>
    <w:p>
      <w:pPr>
        <w:tabs>
          <w:tab w:val="right" w:leader="dot" w:pos="9062"/>
        </w:tabs>
        <w:ind w:left="1100"/>
      </w:pPr>
      <w:hyperlink w:anchor="_Toc3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361 \h</w:instrText>
        </w:r>
        <w:r>
          <w:fldChar w:fldCharType="end"/>
        </w:r>
      </w:hyperlink>
    </w:p>
    <w:p>
      <w:pPr>
        <w:tabs>
          <w:tab w:val="right" w:leader="dot" w:pos="9062"/>
        </w:tabs>
        <w:ind w:left="1100"/>
      </w:pPr>
      <w:hyperlink w:anchor="_Toc362" w:history="1">
        <w:r>
          <w:rPr>
            <w:rFonts w:ascii="IRNazanin" w:hAnsi="IRNazanin" w:eastAsia="IRNazanin" w:cs="IRNazanin"/>
            <w:color w:val="111111"/>
            <w:sz w:val="22"/>
            <w:szCs w:val="22"/>
            <w:b w:val="0"/>
            <w:bCs w:val="0"/>
            <w:i w:val="0"/>
            <w:iCs w:val="0"/>
          </w:rPr>
          <w:t>المورد الأوّل [:هل یجوز ارتکاب جمیع المشتبهات فی غیر المحصور؟]</w:t>
        </w:r>
        <w:r>
          <w:tab/>
        </w:r>
        <w:r>
          <w:fldChar w:fldCharType="begin"/>
        </w:r>
        <w:r>
          <w:instrText xml:space="preserve">PAGEREF 362 \h</w:instrText>
        </w:r>
        <w:r>
          <w:fldChar w:fldCharType="end"/>
        </w:r>
      </w:hyperlink>
    </w:p>
    <w:p>
      <w:pPr>
        <w:tabs>
          <w:tab w:val="right" w:leader="dot" w:pos="9062"/>
        </w:tabs>
        <w:ind w:left="1100"/>
      </w:pPr>
      <w:hyperlink w:anchor="_Toc36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363 \h</w:instrText>
        </w:r>
        <w:r>
          <w:fldChar w:fldCharType="end"/>
        </w:r>
      </w:hyperlink>
    </w:p>
    <w:p>
      <w:pPr>
        <w:tabs>
          <w:tab w:val="right" w:leader="dot" w:pos="9062"/>
        </w:tabs>
        <w:ind w:left="1100"/>
      </w:pPr>
      <w:hyperlink w:anchor="_Toc364" w:history="1">
        <w:r>
          <w:rPr>
            <w:rFonts w:ascii="IRNazanin" w:hAnsi="IRNazanin" w:eastAsia="IRNazanin" w:cs="IRNazanin"/>
            <w:color w:val="111111"/>
            <w:sz w:val="22"/>
            <w:szCs w:val="22"/>
            <w:b w:val="0"/>
            <w:bCs w:val="0"/>
            <w:i w:val="0"/>
            <w:iCs w:val="0"/>
          </w:rPr>
          <w:t>[التحقیق عدم جواز ارتکاب الکلّ]</w:t>
        </w:r>
        <w:r>
          <w:tab/>
        </w:r>
        <w:r>
          <w:fldChar w:fldCharType="begin"/>
        </w:r>
        <w:r>
          <w:instrText xml:space="preserve">PAGEREF 364 \h</w:instrText>
        </w:r>
        <w:r>
          <w:fldChar w:fldCharType="end"/>
        </w:r>
      </w:hyperlink>
    </w:p>
    <w:p>
      <w:pPr>
        <w:tabs>
          <w:tab w:val="right" w:leader="dot" w:pos="9062"/>
        </w:tabs>
        <w:ind w:left="1100"/>
      </w:pPr>
      <w:hyperlink w:anchor="_Toc365" w:history="1">
        <w:r>
          <w:rPr>
            <w:rFonts w:ascii="IRNazanin" w:hAnsi="IRNazanin" w:eastAsia="IRNazanin" w:cs="IRNazanin"/>
            <w:color w:val="111111"/>
            <w:sz w:val="22"/>
            <w:szCs w:val="22"/>
            <w:b w:val="0"/>
            <w:bCs w:val="0"/>
            <w:i w:val="0"/>
            <w:iCs w:val="0"/>
          </w:rPr>
          <w:t>المورد الثانی [:ضابط المحصور و غیر المحصور]</w:t>
        </w:r>
        <w:r>
          <w:tab/>
        </w:r>
        <w:r>
          <w:fldChar w:fldCharType="begin"/>
        </w:r>
        <w:r>
          <w:instrText xml:space="preserve">PAGEREF 365 \h</w:instrText>
        </w:r>
        <w:r>
          <w:fldChar w:fldCharType="end"/>
        </w:r>
      </w:hyperlink>
    </w:p>
    <w:p>
      <w:pPr>
        <w:tabs>
          <w:tab w:val="right" w:leader="dot" w:pos="9062"/>
        </w:tabs>
        <w:ind w:left="1100"/>
      </w:pPr>
      <w:hyperlink w:anchor="_Toc366" w:history="1">
        <w:r>
          <w:rPr>
            <w:rFonts w:ascii="IRNazanin" w:hAnsi="IRNazanin" w:eastAsia="IRNazanin" w:cs="IRNazanin"/>
            <w:color w:val="111111"/>
            <w:sz w:val="22"/>
            <w:szCs w:val="22"/>
            <w:b w:val="0"/>
            <w:bCs w:val="0"/>
            <w:i w:val="0"/>
            <w:iCs w:val="0"/>
          </w:rPr>
          <w:t>[القول بأنّ المرجع فیه العرف و المناقشة فیه]</w:t>
        </w:r>
        <w:r>
          <w:tab/>
        </w:r>
        <w:r>
          <w:fldChar w:fldCharType="begin"/>
        </w:r>
        <w:r>
          <w:instrText xml:space="preserve">PAGEREF 366 \h</w:instrText>
        </w:r>
        <w:r>
          <w:fldChar w:fldCharType="end"/>
        </w:r>
      </w:hyperlink>
    </w:p>
    <w:p>
      <w:pPr>
        <w:tabs>
          <w:tab w:val="right" w:leader="dot" w:pos="9062"/>
        </w:tabs>
        <w:ind w:left="1100"/>
      </w:pPr>
      <w:hyperlink w:anchor="_Toc367" w:history="1">
        <w:r>
          <w:rPr>
            <w:rFonts w:ascii="IRNazanin" w:hAnsi="IRNazanin" w:eastAsia="IRNazanin" w:cs="IRNazanin"/>
            <w:color w:val="111111"/>
            <w:sz w:val="22"/>
            <w:szCs w:val="22"/>
            <w:b w:val="0"/>
            <w:bCs w:val="0"/>
            <w:i w:val="0"/>
            <w:iCs w:val="0"/>
          </w:rPr>
          <w:t>[ما ذکره المحقّق الثانی من الضابط و المناقشة فیه]</w:t>
        </w:r>
        <w:r>
          <w:tab/>
        </w:r>
        <w:r>
          <w:fldChar w:fldCharType="begin"/>
        </w:r>
        <w:r>
          <w:instrText xml:space="preserve">PAGEREF 367 \h</w:instrText>
        </w:r>
        <w:r>
          <w:fldChar w:fldCharType="end"/>
        </w:r>
      </w:hyperlink>
    </w:p>
    <w:p>
      <w:pPr>
        <w:tabs>
          <w:tab w:val="right" w:leader="dot" w:pos="9062"/>
        </w:tabs>
        <w:ind w:left="1100"/>
      </w:pPr>
      <w:hyperlink w:anchor="_Toc368" w:history="1">
        <w:r>
          <w:rPr>
            <w:rFonts w:ascii="IRNazanin" w:hAnsi="IRNazanin" w:eastAsia="IRNazanin" w:cs="IRNazanin"/>
            <w:color w:val="111111"/>
            <w:sz w:val="22"/>
            <w:szCs w:val="22"/>
            <w:b w:val="0"/>
            <w:bCs w:val="0"/>
            <w:i w:val="0"/>
            <w:iCs w:val="0"/>
          </w:rPr>
          <w:t>[ما ذکره الفاضل الهندی من الضابط و المناقشة فیه]</w:t>
        </w:r>
        <w:r>
          <w:tab/>
        </w:r>
        <w:r>
          <w:fldChar w:fldCharType="begin"/>
        </w:r>
        <w:r>
          <w:instrText xml:space="preserve">PAGEREF 368 \h</w:instrText>
        </w:r>
        <w:r>
          <w:fldChar w:fldCharType="end"/>
        </w:r>
      </w:hyperlink>
    </w:p>
    <w:p>
      <w:pPr>
        <w:tabs>
          <w:tab w:val="right" w:leader="dot" w:pos="9062"/>
        </w:tabs>
        <w:ind w:left="1100"/>
      </w:pPr>
      <w:hyperlink w:anchor="_Toc369" w:history="1">
        <w:r>
          <w:rPr>
            <w:rFonts w:ascii="IRNazanin" w:hAnsi="IRNazanin" w:eastAsia="IRNazanin" w:cs="IRNazanin"/>
            <w:color w:val="111111"/>
            <w:sz w:val="22"/>
            <w:szCs w:val="22"/>
            <w:b w:val="0"/>
            <w:bCs w:val="0"/>
            <w:i w:val="0"/>
            <w:iCs w:val="0"/>
          </w:rPr>
          <w:t>[الضابط بنظر المصنّف]</w:t>
        </w:r>
        <w:r>
          <w:tab/>
        </w:r>
        <w:r>
          <w:fldChar w:fldCharType="begin"/>
        </w:r>
        <w:r>
          <w:instrText xml:space="preserve">PAGEREF 369 \h</w:instrText>
        </w:r>
        <w:r>
          <w:fldChar w:fldCharType="end"/>
        </w:r>
      </w:hyperlink>
    </w:p>
    <w:p>
      <w:pPr>
        <w:tabs>
          <w:tab w:val="right" w:leader="dot" w:pos="9062"/>
        </w:tabs>
        <w:ind w:left="1100"/>
      </w:pPr>
      <w:hyperlink w:anchor="_Toc370" w:history="1">
        <w:r>
          <w:rPr>
            <w:rFonts w:ascii="IRNazanin" w:hAnsi="IRNazanin" w:eastAsia="IRNazanin" w:cs="IRNazanin"/>
            <w:color w:val="111111"/>
            <w:sz w:val="22"/>
            <w:szCs w:val="22"/>
            <w:b w:val="0"/>
            <w:bCs w:val="0"/>
            <w:i w:val="0"/>
            <w:iCs w:val="0"/>
          </w:rPr>
          <w:t>[إذا شکّ فی کون الشبهة محصورة أو غیر محصورة]</w:t>
        </w:r>
        <w:r>
          <w:tab/>
        </w:r>
        <w:r>
          <w:fldChar w:fldCharType="begin"/>
        </w:r>
        <w:r>
          <w:instrText xml:space="preserve">PAGEREF 370 \h</w:instrText>
        </w:r>
        <w:r>
          <w:fldChar w:fldCharType="end"/>
        </w:r>
      </w:hyperlink>
    </w:p>
    <w:p>
      <w:pPr>
        <w:tabs>
          <w:tab w:val="right" w:leader="dot" w:pos="9062"/>
        </w:tabs>
        <w:ind w:left="1100"/>
      </w:pPr>
      <w:hyperlink w:anchor="_Toc371" w:history="1">
        <w:r>
          <w:rPr>
            <w:rFonts w:ascii="IRNazanin" w:hAnsi="IRNazanin" w:eastAsia="IRNazanin" w:cs="IRNazanin"/>
            <w:color w:val="111111"/>
            <w:sz w:val="22"/>
            <w:szCs w:val="22"/>
            <w:b w:val="0"/>
            <w:bCs w:val="0"/>
            <w:i w:val="0"/>
            <w:iCs w:val="0"/>
          </w:rPr>
          <w:t>المورد الثالث [:إذا کان المردّد بین الامور غیر المحصورة أفرادا کثیرة]</w:t>
        </w:r>
        <w:r>
          <w:tab/>
        </w:r>
        <w:r>
          <w:fldChar w:fldCharType="begin"/>
        </w:r>
        <w:r>
          <w:instrText xml:space="preserve">PAGEREF 371 \h</w:instrText>
        </w:r>
        <w:r>
          <w:fldChar w:fldCharType="end"/>
        </w:r>
      </w:hyperlink>
    </w:p>
    <w:p>
      <w:pPr>
        <w:tabs>
          <w:tab w:val="right" w:leader="dot" w:pos="9062"/>
        </w:tabs>
        <w:ind w:left="1100"/>
      </w:pPr>
      <w:hyperlink w:anchor="_Toc372" w:history="1">
        <w:r>
          <w:rPr>
            <w:rFonts w:ascii="IRNazanin" w:hAnsi="IRNazanin" w:eastAsia="IRNazanin" w:cs="IRNazanin"/>
            <w:color w:val="111111"/>
            <w:sz w:val="22"/>
            <w:szCs w:val="22"/>
            <w:b w:val="0"/>
            <w:bCs w:val="0"/>
            <w:i w:val="0"/>
            <w:iCs w:val="0"/>
          </w:rPr>
          <w:t>المورد الرابع [:أقسام الشکّ فی الحرام مع العلم بالحرمة]</w:t>
        </w:r>
        <w:r>
          <w:tab/>
        </w:r>
        <w:r>
          <w:fldChar w:fldCharType="begin"/>
        </w:r>
        <w:r>
          <w:instrText xml:space="preserve">PAGEREF 372 \h</w:instrText>
        </w:r>
        <w:r>
          <w:fldChar w:fldCharType="end"/>
        </w:r>
      </w:hyperlink>
    </w:p>
    <w:p>
      <w:pPr>
        <w:tabs>
          <w:tab w:val="right" w:leader="dot" w:pos="9062"/>
        </w:tabs>
        <w:ind w:left="1100"/>
      </w:pPr>
      <w:hyperlink w:anchor="_Toc3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373 \h</w:instrText>
        </w:r>
        <w:r>
          <w:fldChar w:fldCharType="end"/>
        </w:r>
      </w:hyperlink>
    </w:p>
    <w:p>
      <w:pPr>
        <w:tabs>
          <w:tab w:val="right" w:leader="dot" w:pos="9062"/>
        </w:tabs>
        <w:ind w:left="1100"/>
      </w:pPr>
      <w:hyperlink w:anchor="_Toc374" w:history="1">
        <w:r>
          <w:rPr>
            <w:rFonts w:ascii="IRNazanin" w:hAnsi="IRNazanin" w:eastAsia="IRNazanin" w:cs="IRNazanin"/>
            <w:color w:val="111111"/>
            <w:sz w:val="22"/>
            <w:szCs w:val="22"/>
            <w:b w:val="0"/>
            <w:bCs w:val="0"/>
            <w:i w:val="0"/>
            <w:iCs w:val="0"/>
          </w:rPr>
          <w:t>[المسائل الثلاث الأخر:اشتباه الحرام بغیر الواجب من جهة اشتباه الحکم]</w:t>
        </w:r>
        <w:r>
          <w:tab/>
        </w:r>
        <w:r>
          <w:fldChar w:fldCharType="begin"/>
        </w:r>
        <w:r>
          <w:instrText xml:space="preserve">PAGEREF 374 \h</w:instrText>
        </w:r>
        <w:r>
          <w:fldChar w:fldCharType="end"/>
        </w:r>
      </w:hyperlink>
    </w:p>
    <w:p>
      <w:pPr>
        <w:tabs>
          <w:tab w:val="right" w:leader="dot" w:pos="9062"/>
        </w:tabs>
        <w:ind w:left="1100"/>
      </w:pPr>
      <w:hyperlink w:anchor="_Toc375" w:history="1">
        <w:r>
          <w:rPr>
            <w:rFonts w:ascii="IRNazanin" w:hAnsi="IRNazanin" w:eastAsia="IRNazanin" w:cs="IRNazanin"/>
            <w:color w:val="111111"/>
            <w:sz w:val="22"/>
            <w:szCs w:val="22"/>
            <w:b w:val="0"/>
            <w:bCs w:val="0"/>
            <w:i w:val="0"/>
            <w:iCs w:val="0"/>
          </w:rPr>
          <w:t>المطلب الثانی فی اشتباه الواجب بغیر الحرام و هو علی قسمین</w:t>
        </w:r>
        <w:r>
          <w:tab/>
        </w:r>
        <w:r>
          <w:fldChar w:fldCharType="begin"/>
        </w:r>
        <w:r>
          <w:instrText xml:space="preserve">PAGEREF 375 \h</w:instrText>
        </w:r>
        <w:r>
          <w:fldChar w:fldCharType="end"/>
        </w:r>
      </w:hyperlink>
    </w:p>
    <w:p>
      <w:pPr>
        <w:tabs>
          <w:tab w:val="right" w:leader="dot" w:pos="9062"/>
        </w:tabs>
        <w:ind w:left="1100"/>
      </w:pPr>
      <w:hyperlink w:anchor="_Toc3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376 \h</w:instrText>
        </w:r>
        <w:r>
          <w:fldChar w:fldCharType="end"/>
        </w:r>
      </w:hyperlink>
    </w:p>
    <w:p>
      <w:pPr>
        <w:tabs>
          <w:tab w:val="right" w:leader="dot" w:pos="9062"/>
        </w:tabs>
        <w:ind w:left="1100"/>
      </w:pPr>
      <w:hyperlink w:anchor="_Toc377" w:history="1">
        <w:r>
          <w:rPr>
            <w:rFonts w:ascii="IRNazanin" w:hAnsi="IRNazanin" w:eastAsia="IRNazanin" w:cs="IRNazanin"/>
            <w:color w:val="111111"/>
            <w:sz w:val="22"/>
            <w:szCs w:val="22"/>
            <w:b w:val="0"/>
            <w:bCs w:val="0"/>
            <w:i w:val="0"/>
            <w:iCs w:val="0"/>
          </w:rPr>
          <w:t>[القسم الأوّل:دوران الأمر بین المتباینین،و فیه مسائل:]</w:t>
        </w:r>
        <w:r>
          <w:tab/>
        </w:r>
        <w:r>
          <w:fldChar w:fldCharType="begin"/>
        </w:r>
        <w:r>
          <w:instrText xml:space="preserve">PAGEREF 377 \h</w:instrText>
        </w:r>
        <w:r>
          <w:fldChar w:fldCharType="end"/>
        </w:r>
      </w:hyperlink>
    </w:p>
    <w:p>
      <w:pPr>
        <w:tabs>
          <w:tab w:val="right" w:leader="dot" w:pos="9062"/>
        </w:tabs>
        <w:ind w:left="1100"/>
      </w:pPr>
      <w:hyperlink w:anchor="_Toc37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378 \h</w:instrText>
        </w:r>
        <w:r>
          <w:fldChar w:fldCharType="end"/>
        </w:r>
      </w:hyperlink>
    </w:p>
    <w:p>
      <w:pPr>
        <w:tabs>
          <w:tab w:val="right" w:leader="dot" w:pos="9062"/>
        </w:tabs>
        <w:ind w:left="1100"/>
      </w:pPr>
      <w:hyperlink w:anchor="_Toc379" w:history="1">
        <w:r>
          <w:rPr>
            <w:rFonts w:ascii="IRNazanin" w:hAnsi="IRNazanin" w:eastAsia="IRNazanin" w:cs="IRNazanin"/>
            <w:color w:val="111111"/>
            <w:sz w:val="22"/>
            <w:szCs w:val="22"/>
            <w:b w:val="0"/>
            <w:bCs w:val="0"/>
            <w:i w:val="0"/>
            <w:iCs w:val="0"/>
          </w:rPr>
          <w:t>[المسألة الاولی] [ما إذا اشتبه الواجب بغیره من جهة عدم النص]</w:t>
        </w:r>
        <w:r>
          <w:tab/>
        </w:r>
        <w:r>
          <w:fldChar w:fldCharType="begin"/>
        </w:r>
        <w:r>
          <w:instrText xml:space="preserve">PAGEREF 379 \h</w:instrText>
        </w:r>
        <w:r>
          <w:fldChar w:fldCharType="end"/>
        </w:r>
      </w:hyperlink>
    </w:p>
    <w:p>
      <w:pPr>
        <w:tabs>
          <w:tab w:val="right" w:leader="dot" w:pos="9062"/>
        </w:tabs>
        <w:ind w:left="1100"/>
      </w:pPr>
      <w:hyperlink w:anchor="_Toc3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380 \h</w:instrText>
        </w:r>
        <w:r>
          <w:fldChar w:fldCharType="end"/>
        </w:r>
      </w:hyperlink>
    </w:p>
    <w:p>
      <w:pPr>
        <w:tabs>
          <w:tab w:val="right" w:leader="dot" w:pos="9062"/>
        </w:tabs>
        <w:ind w:left="1100"/>
      </w:pPr>
      <w:hyperlink w:anchor="_Toc381" w:history="1">
        <w:r>
          <w:rPr>
            <w:rFonts w:ascii="IRNazanin" w:hAnsi="IRNazanin" w:eastAsia="IRNazanin" w:cs="IRNazanin"/>
            <w:color w:val="111111"/>
            <w:sz w:val="22"/>
            <w:szCs w:val="22"/>
            <w:b w:val="0"/>
            <w:bCs w:val="0"/>
            <w:i w:val="0"/>
            <w:iCs w:val="0"/>
          </w:rPr>
          <w:t>[الظاهر حرمة المخالفة القطعیّة و الدلیل علیه]</w:t>
        </w:r>
        <w:r>
          <w:tab/>
        </w:r>
        <w:r>
          <w:fldChar w:fldCharType="begin"/>
        </w:r>
        <w:r>
          <w:instrText xml:space="preserve">PAGEREF 381 \h</w:instrText>
        </w:r>
        <w:r>
          <w:fldChar w:fldCharType="end"/>
        </w:r>
      </w:hyperlink>
    </w:p>
    <w:p>
      <w:pPr>
        <w:tabs>
          <w:tab w:val="right" w:leader="dot" w:pos="9062"/>
        </w:tabs>
        <w:ind w:left="1100"/>
      </w:pPr>
      <w:hyperlink w:anchor="_Toc382" w:history="1">
        <w:r>
          <w:rPr>
            <w:rFonts w:ascii="IRNazanin" w:hAnsi="IRNazanin" w:eastAsia="IRNazanin" w:cs="IRNazanin"/>
            <w:color w:val="111111"/>
            <w:sz w:val="22"/>
            <w:szCs w:val="22"/>
            <w:b w:val="0"/>
            <w:bCs w:val="0"/>
            <w:i w:val="0"/>
            <w:iCs w:val="0"/>
          </w:rPr>
          <w:t>[الأقوی وجوب الموافقة القطعیّة و الدلیل علیه]</w:t>
        </w:r>
        <w:r>
          <w:tab/>
        </w:r>
        <w:r>
          <w:fldChar w:fldCharType="begin"/>
        </w:r>
        <w:r>
          <w:instrText xml:space="preserve">PAGEREF 382 \h</w:instrText>
        </w:r>
        <w:r>
          <w:fldChar w:fldCharType="end"/>
        </w:r>
      </w:hyperlink>
    </w:p>
    <w:p>
      <w:pPr>
        <w:tabs>
          <w:tab w:val="right" w:leader="dot" w:pos="9062"/>
        </w:tabs>
        <w:ind w:left="1100"/>
      </w:pPr>
      <w:hyperlink w:anchor="_Toc383" w:history="1">
        <w:r>
          <w:rPr>
            <w:rFonts w:ascii="IRNazanin" w:hAnsi="IRNazanin" w:eastAsia="IRNazanin" w:cs="IRNazanin"/>
            <w:color w:val="111111"/>
            <w:sz w:val="22"/>
            <w:szCs w:val="22"/>
            <w:b w:val="0"/>
            <w:bCs w:val="0"/>
            <w:i w:val="0"/>
            <w:iCs w:val="0"/>
          </w:rPr>
          <w:t>[عدم کون الجهل التفصیلی عذرا لا عقلا و لا نقلا]</w:t>
        </w:r>
        <w:r>
          <w:tab/>
        </w:r>
        <w:r>
          <w:fldChar w:fldCharType="begin"/>
        </w:r>
        <w:r>
          <w:instrText xml:space="preserve">PAGEREF 383 \h</w:instrText>
        </w:r>
        <w:r>
          <w:fldChar w:fldCharType="end"/>
        </w:r>
      </w:hyperlink>
    </w:p>
    <w:p>
      <w:pPr>
        <w:tabs>
          <w:tab w:val="right" w:leader="dot" w:pos="9062"/>
        </w:tabs>
        <w:ind w:left="1100"/>
      </w:pPr>
      <w:hyperlink w:anchor="_Toc384" w:history="1">
        <w:r>
          <w:rPr>
            <w:rFonts w:ascii="IRNazanin" w:hAnsi="IRNazanin" w:eastAsia="IRNazanin" w:cs="IRNazanin"/>
            <w:color w:val="111111"/>
            <w:sz w:val="22"/>
            <w:szCs w:val="22"/>
            <w:b w:val="0"/>
            <w:bCs w:val="0"/>
            <w:i w:val="0"/>
            <w:iCs w:val="0"/>
          </w:rPr>
          <w:t>[دلالة بعض الأخبار علی وجوب الاحتیاط فی المسألة]</w:t>
        </w:r>
        <w:r>
          <w:tab/>
        </w:r>
        <w:r>
          <w:fldChar w:fldCharType="begin"/>
        </w:r>
        <w:r>
          <w:instrText xml:space="preserve">PAGEREF 384 \h</w:instrText>
        </w:r>
        <w:r>
          <w:fldChar w:fldCharType="end"/>
        </w:r>
      </w:hyperlink>
    </w:p>
    <w:p>
      <w:pPr>
        <w:tabs>
          <w:tab w:val="right" w:leader="dot" w:pos="9062"/>
        </w:tabs>
        <w:ind w:left="1100"/>
      </w:pPr>
      <w:hyperlink w:anchor="_Toc385" w:history="1">
        <w:r>
          <w:rPr>
            <w:rFonts w:ascii="IRNazanin" w:hAnsi="IRNazanin" w:eastAsia="IRNazanin" w:cs="IRNazanin"/>
            <w:color w:val="111111"/>
            <w:sz w:val="22"/>
            <w:szCs w:val="22"/>
            <w:b w:val="0"/>
            <w:bCs w:val="0"/>
            <w:i w:val="0"/>
            <w:iCs w:val="0"/>
          </w:rPr>
          <w:t>[العلم الإجمالی کالتفصیلی علّة تامّة لتنجّز التکلیف بالمعلوم]</w:t>
        </w:r>
        <w:r>
          <w:tab/>
        </w:r>
        <w:r>
          <w:fldChar w:fldCharType="begin"/>
        </w:r>
        <w:r>
          <w:instrText xml:space="preserve">PAGEREF 385 \h</w:instrText>
        </w:r>
        <w:r>
          <w:fldChar w:fldCharType="end"/>
        </w:r>
      </w:hyperlink>
    </w:p>
    <w:p>
      <w:pPr>
        <w:tabs>
          <w:tab w:val="right" w:leader="dot" w:pos="9062"/>
        </w:tabs>
        <w:ind w:left="1100"/>
      </w:pPr>
      <w:hyperlink w:anchor="_Toc386" w:history="1">
        <w:r>
          <w:rPr>
            <w:rFonts w:ascii="IRNazanin" w:hAnsi="IRNazanin" w:eastAsia="IRNazanin" w:cs="IRNazanin"/>
            <w:color w:val="111111"/>
            <w:sz w:val="22"/>
            <w:szCs w:val="22"/>
            <w:b w:val="0"/>
            <w:bCs w:val="0"/>
            <w:i w:val="0"/>
            <w:iCs w:val="0"/>
          </w:rPr>
          <w:t>[عدم جواز التمسّک فی المسألة بأدلّة البراءة]</w:t>
        </w:r>
        <w:r>
          <w:tab/>
        </w:r>
        <w:r>
          <w:fldChar w:fldCharType="begin"/>
        </w:r>
        <w:r>
          <w:instrText xml:space="preserve">PAGEREF 386 \h</w:instrText>
        </w:r>
        <w:r>
          <w:fldChar w:fldCharType="end"/>
        </w:r>
      </w:hyperlink>
    </w:p>
    <w:p>
      <w:pPr>
        <w:tabs>
          <w:tab w:val="right" w:leader="dot" w:pos="9062"/>
        </w:tabs>
        <w:ind w:left="1100"/>
      </w:pPr>
      <w:hyperlink w:anchor="_Toc387" w:history="1">
        <w:r>
          <w:rPr>
            <w:rFonts w:ascii="IRNazanin" w:hAnsi="IRNazanin" w:eastAsia="IRNazanin" w:cs="IRNazanin"/>
            <w:color w:val="111111"/>
            <w:sz w:val="22"/>
            <w:szCs w:val="22"/>
            <w:b w:val="0"/>
            <w:bCs w:val="0"/>
            <w:i w:val="0"/>
            <w:iCs w:val="0"/>
          </w:rPr>
          <w:t>[إذا سقط قصد التعیین فبأیّهما ینوی الوجوب و القربة؟]</w:t>
        </w:r>
        <w:r>
          <w:tab/>
        </w:r>
        <w:r>
          <w:fldChar w:fldCharType="begin"/>
        </w:r>
        <w:r>
          <w:instrText xml:space="preserve">PAGEREF 387 \h</w:instrText>
        </w:r>
        <w:r>
          <w:fldChar w:fldCharType="end"/>
        </w:r>
      </w:hyperlink>
    </w:p>
    <w:p>
      <w:pPr>
        <w:tabs>
          <w:tab w:val="right" w:leader="dot" w:pos="9062"/>
        </w:tabs>
        <w:ind w:left="1100"/>
      </w:pPr>
      <w:hyperlink w:anchor="_Toc388" w:history="1">
        <w:r>
          <w:rPr>
            <w:rFonts w:ascii="IRNazanin" w:hAnsi="IRNazanin" w:eastAsia="IRNazanin" w:cs="IRNazanin"/>
            <w:color w:val="111111"/>
            <w:sz w:val="22"/>
            <w:szCs w:val="22"/>
            <w:b w:val="0"/>
            <w:bCs w:val="0"/>
            <w:i w:val="0"/>
            <w:iCs w:val="0"/>
          </w:rPr>
          <w:t>[توهّم أنّ الجمع بین المحتملین مستلزم لإتیان غیر الواجب علی جهة العبادة،و دفعه]</w:t>
        </w:r>
        <w:r>
          <w:tab/>
        </w:r>
        <w:r>
          <w:fldChar w:fldCharType="begin"/>
        </w:r>
        <w:r>
          <w:instrText xml:space="preserve">PAGEREF 388 \h</w:instrText>
        </w:r>
        <w:r>
          <w:fldChar w:fldCharType="end"/>
        </w:r>
      </w:hyperlink>
    </w:p>
    <w:p>
      <w:pPr>
        <w:tabs>
          <w:tab w:val="right" w:leader="dot" w:pos="9062"/>
        </w:tabs>
        <w:ind w:left="1100"/>
      </w:pPr>
      <w:hyperlink w:anchor="_Toc389" w:history="1">
        <w:r>
          <w:rPr>
            <w:rFonts w:ascii="IRNazanin" w:hAnsi="IRNazanin" w:eastAsia="IRNazanin" w:cs="IRNazanin"/>
            <w:color w:val="111111"/>
            <w:sz w:val="22"/>
            <w:szCs w:val="22"/>
            <w:b w:val="0"/>
            <w:bCs w:val="0"/>
            <w:i w:val="0"/>
            <w:iCs w:val="0"/>
          </w:rPr>
          <w:t>[معنی نیّة الفعل]</w:t>
        </w:r>
        <w:r>
          <w:tab/>
        </w:r>
        <w:r>
          <w:fldChar w:fldCharType="begin"/>
        </w:r>
        <w:r>
          <w:instrText xml:space="preserve">PAGEREF 389 \h</w:instrText>
        </w:r>
        <w:r>
          <w:fldChar w:fldCharType="end"/>
        </w:r>
      </w:hyperlink>
    </w:p>
    <w:p>
      <w:pPr>
        <w:tabs>
          <w:tab w:val="right" w:leader="dot" w:pos="9062"/>
        </w:tabs>
        <w:ind w:left="1100"/>
      </w:pPr>
      <w:hyperlink w:anchor="_Toc390" w:history="1">
        <w:r>
          <w:rPr>
            <w:rFonts w:ascii="IRNazanin" w:hAnsi="IRNazanin" w:eastAsia="IRNazanin" w:cs="IRNazanin"/>
            <w:color w:val="111111"/>
            <w:sz w:val="22"/>
            <w:szCs w:val="22"/>
            <w:b w:val="0"/>
            <w:bCs w:val="0"/>
            <w:i w:val="0"/>
            <w:iCs w:val="0"/>
          </w:rPr>
          <w:t>[هل یمکن إثبات الوجوب الشرعی المصحّح لنیّة الوجه و القربة؟]</w:t>
        </w:r>
        <w:r>
          <w:tab/>
        </w:r>
        <w:r>
          <w:fldChar w:fldCharType="begin"/>
        </w:r>
        <w:r>
          <w:instrText xml:space="preserve">PAGEREF 390 \h</w:instrText>
        </w:r>
        <w:r>
          <w:fldChar w:fldCharType="end"/>
        </w:r>
      </w:hyperlink>
    </w:p>
    <w:p>
      <w:pPr>
        <w:tabs>
          <w:tab w:val="right" w:leader="dot" w:pos="9062"/>
        </w:tabs>
        <w:ind w:left="1100"/>
      </w:pPr>
      <w:hyperlink w:anchor="_Toc391" w:history="1">
        <w:r>
          <w:rPr>
            <w:rFonts w:ascii="IRNazanin" w:hAnsi="IRNazanin" w:eastAsia="IRNazanin" w:cs="IRNazanin"/>
            <w:color w:val="111111"/>
            <w:sz w:val="22"/>
            <w:szCs w:val="22"/>
            <w:b w:val="0"/>
            <w:bCs w:val="0"/>
            <w:i w:val="0"/>
            <w:iCs w:val="0"/>
          </w:rPr>
          <w:t>المسألة الثانیة ما إذا اشتبه الواجب فی الشریعة بغیره</w:t>
        </w:r>
        <w:r>
          <w:tab/>
        </w:r>
        <w:r>
          <w:fldChar w:fldCharType="begin"/>
        </w:r>
        <w:r>
          <w:instrText xml:space="preserve">PAGEREF 391 \h</w:instrText>
        </w:r>
        <w:r>
          <w:fldChar w:fldCharType="end"/>
        </w:r>
      </w:hyperlink>
    </w:p>
    <w:p>
      <w:pPr>
        <w:tabs>
          <w:tab w:val="right" w:leader="dot" w:pos="9062"/>
        </w:tabs>
        <w:ind w:left="1100"/>
      </w:pPr>
      <w:hyperlink w:anchor="_Toc3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392 \h</w:instrText>
        </w:r>
        <w:r>
          <w:fldChar w:fldCharType="end"/>
        </w:r>
      </w:hyperlink>
    </w:p>
    <w:p>
      <w:pPr>
        <w:tabs>
          <w:tab w:val="right" w:leader="dot" w:pos="9062"/>
        </w:tabs>
        <w:ind w:left="1100"/>
      </w:pPr>
      <w:hyperlink w:anchor="_Toc393" w:history="1">
        <w:r>
          <w:rPr>
            <w:rFonts w:ascii="IRNazanin" w:hAnsi="IRNazanin" w:eastAsia="IRNazanin" w:cs="IRNazanin"/>
            <w:color w:val="111111"/>
            <w:sz w:val="22"/>
            <w:szCs w:val="22"/>
            <w:b w:val="0"/>
            <w:bCs w:val="0"/>
            <w:i w:val="0"/>
            <w:iCs w:val="0"/>
          </w:rPr>
          <w:t>[مختار المصنّف فی المسألة]</w:t>
        </w:r>
        <w:r>
          <w:tab/>
        </w:r>
        <w:r>
          <w:fldChar w:fldCharType="begin"/>
        </w:r>
        <w:r>
          <w:instrText xml:space="preserve">PAGEREF 393 \h</w:instrText>
        </w:r>
        <w:r>
          <w:fldChar w:fldCharType="end"/>
        </w:r>
      </w:hyperlink>
    </w:p>
    <w:p>
      <w:pPr>
        <w:tabs>
          <w:tab w:val="right" w:leader="dot" w:pos="9062"/>
        </w:tabs>
        <w:ind w:left="1100"/>
      </w:pPr>
      <w:hyperlink w:anchor="_Toc394" w:history="1">
        <w:r>
          <w:rPr>
            <w:rFonts w:ascii="IRNazanin" w:hAnsi="IRNazanin" w:eastAsia="IRNazanin" w:cs="IRNazanin"/>
            <w:color w:val="111111"/>
            <w:sz w:val="22"/>
            <w:szCs w:val="22"/>
            <w:b w:val="0"/>
            <w:bCs w:val="0"/>
            <w:i w:val="0"/>
            <w:iCs w:val="0"/>
          </w:rPr>
          <w:t>المسألة الثالثة ما إذا اشتبه الواجب بغیره لتکافؤ النصّین</w:t>
        </w:r>
        <w:r>
          <w:tab/>
        </w:r>
        <w:r>
          <w:fldChar w:fldCharType="begin"/>
        </w:r>
        <w:r>
          <w:instrText xml:space="preserve">PAGEREF 394 \h</w:instrText>
        </w:r>
        <w:r>
          <w:fldChar w:fldCharType="end"/>
        </w:r>
      </w:hyperlink>
    </w:p>
    <w:p>
      <w:pPr>
        <w:tabs>
          <w:tab w:val="right" w:leader="dot" w:pos="9062"/>
        </w:tabs>
        <w:ind w:left="1100"/>
      </w:pPr>
      <w:hyperlink w:anchor="_Toc395" w:history="1">
        <w:r>
          <w:rPr>
            <w:rFonts w:ascii="IRNazanin" w:hAnsi="IRNazanin" w:eastAsia="IRNazanin" w:cs="IRNazanin"/>
            <w:color w:val="111111"/>
            <w:sz w:val="22"/>
            <w:szCs w:val="22"/>
            <w:b w:val="0"/>
            <w:bCs w:val="0"/>
            <w:i w:val="0"/>
            <w:iCs w:val="0"/>
          </w:rPr>
          <w:t>المسألة الرابعة ما إذا اشتبه الواجب بغیره من جهة اشتباه الموضوع</w:t>
        </w:r>
        <w:r>
          <w:tab/>
        </w:r>
        <w:r>
          <w:fldChar w:fldCharType="begin"/>
        </w:r>
        <w:r>
          <w:instrText xml:space="preserve">PAGEREF 395 \h</w:instrText>
        </w:r>
        <w:r>
          <w:fldChar w:fldCharType="end"/>
        </w:r>
      </w:hyperlink>
    </w:p>
    <w:p>
      <w:pPr>
        <w:tabs>
          <w:tab w:val="right" w:leader="dot" w:pos="9062"/>
        </w:tabs>
        <w:ind w:left="1100"/>
      </w:pPr>
      <w:hyperlink w:anchor="_Toc39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396 \h</w:instrText>
        </w:r>
        <w:r>
          <w:fldChar w:fldCharType="end"/>
        </w:r>
      </w:hyperlink>
    </w:p>
    <w:p>
      <w:pPr>
        <w:tabs>
          <w:tab w:val="right" w:leader="dot" w:pos="9062"/>
        </w:tabs>
        <w:ind w:left="1100"/>
      </w:pPr>
      <w:hyperlink w:anchor="_Toc397" w:history="1">
        <w:r>
          <w:rPr>
            <w:rFonts w:ascii="IRNazanin" w:hAnsi="IRNazanin" w:eastAsia="IRNazanin" w:cs="IRNazanin"/>
            <w:color w:val="111111"/>
            <w:sz w:val="22"/>
            <w:szCs w:val="22"/>
            <w:b w:val="0"/>
            <w:bCs w:val="0"/>
            <w:i w:val="0"/>
            <w:iCs w:val="0"/>
          </w:rPr>
          <w:t>[الأقوی وجوب الاحتیاط]</w:t>
        </w:r>
        <w:r>
          <w:tab/>
        </w:r>
        <w:r>
          <w:fldChar w:fldCharType="begin"/>
        </w:r>
        <w:r>
          <w:instrText xml:space="preserve">PAGEREF 397 \h</w:instrText>
        </w:r>
        <w:r>
          <w:fldChar w:fldCharType="end"/>
        </w:r>
      </w:hyperlink>
    </w:p>
    <w:p>
      <w:pPr>
        <w:tabs>
          <w:tab w:val="right" w:leader="dot" w:pos="9062"/>
        </w:tabs>
        <w:ind w:left="1100"/>
      </w:pPr>
      <w:hyperlink w:anchor="_Toc398" w:history="1">
        <w:r>
          <w:rPr>
            <w:rFonts w:ascii="IRNazanin" w:hAnsi="IRNazanin" w:eastAsia="IRNazanin" w:cs="IRNazanin"/>
            <w:color w:val="111111"/>
            <w:sz w:val="22"/>
            <w:szCs w:val="22"/>
            <w:b w:val="0"/>
            <w:bCs w:val="0"/>
            <w:i w:val="0"/>
            <w:iCs w:val="0"/>
          </w:rPr>
          <w:t>و ینبغی التنبیه علی امور:</w:t>
        </w:r>
        <w:r>
          <w:tab/>
        </w:r>
        <w:r>
          <w:fldChar w:fldCharType="begin"/>
        </w:r>
        <w:r>
          <w:instrText xml:space="preserve">PAGEREF 398 \h</w:instrText>
        </w:r>
        <w:r>
          <w:fldChar w:fldCharType="end"/>
        </w:r>
      </w:hyperlink>
    </w:p>
    <w:p>
      <w:pPr>
        <w:tabs>
          <w:tab w:val="right" w:leader="dot" w:pos="9062"/>
        </w:tabs>
        <w:ind w:left="1100"/>
      </w:pPr>
      <w:hyperlink w:anchor="_Toc399" w:history="1">
        <w:r>
          <w:rPr>
            <w:rFonts w:ascii="IRNazanin" w:hAnsi="IRNazanin" w:eastAsia="IRNazanin" w:cs="IRNazanin"/>
            <w:color w:val="111111"/>
            <w:sz w:val="22"/>
            <w:szCs w:val="22"/>
            <w:b w:val="0"/>
            <w:bCs w:val="0"/>
            <w:i w:val="0"/>
            <w:iCs w:val="0"/>
          </w:rPr>
          <w:t>الأمر الأوّل [:لو کان الاشتباه الموضوعی فی شرط من شروط الواجب]</w:t>
        </w:r>
        <w:r>
          <w:tab/>
        </w:r>
        <w:r>
          <w:fldChar w:fldCharType="begin"/>
        </w:r>
        <w:r>
          <w:instrText xml:space="preserve">PAGEREF 399 \h</w:instrText>
        </w:r>
        <w:r>
          <w:fldChar w:fldCharType="end"/>
        </w:r>
      </w:hyperlink>
    </w:p>
    <w:p>
      <w:pPr>
        <w:tabs>
          <w:tab w:val="right" w:leader="dot" w:pos="9062"/>
        </w:tabs>
        <w:ind w:left="1100"/>
      </w:pPr>
      <w:hyperlink w:anchor="_Toc400" w:history="1">
        <w:r>
          <w:rPr>
            <w:rFonts w:ascii="IRNazanin" w:hAnsi="IRNazanin" w:eastAsia="IRNazanin" w:cs="IRNazanin"/>
            <w:color w:val="111111"/>
            <w:sz w:val="22"/>
            <w:szCs w:val="22"/>
            <w:b w:val="0"/>
            <w:bCs w:val="0"/>
            <w:i w:val="0"/>
            <w:iCs w:val="0"/>
          </w:rPr>
          <w:t>اشارة</w:t>
        </w:r>
        <w:r>
          <w:tab/>
        </w:r>
        <w:r>
          <w:fldChar w:fldCharType="begin"/>
        </w:r>
        <w:r>
          <w:instrText xml:space="preserve">PAGEREF 400 \h</w:instrText>
        </w:r>
        <w:r>
          <w:fldChar w:fldCharType="end"/>
        </w:r>
      </w:hyperlink>
    </w:p>
    <w:p>
      <w:pPr>
        <w:tabs>
          <w:tab w:val="right" w:leader="dot" w:pos="9062"/>
        </w:tabs>
        <w:ind w:left="1100"/>
      </w:pPr>
      <w:hyperlink w:anchor="_Toc401" w:history="1">
        <w:r>
          <w:rPr>
            <w:rFonts w:ascii="IRNazanin" w:hAnsi="IRNazanin" w:eastAsia="IRNazanin" w:cs="IRNazanin"/>
            <w:color w:val="111111"/>
            <w:sz w:val="22"/>
            <w:szCs w:val="22"/>
            <w:b w:val="0"/>
            <w:bCs w:val="0"/>
            <w:i w:val="0"/>
            <w:iCs w:val="0"/>
          </w:rPr>
          <w:t>[دعوی سقوط الشرط المجهول لوجهین]</w:t>
        </w:r>
        <w:r>
          <w:tab/>
        </w:r>
        <w:r>
          <w:fldChar w:fldCharType="begin"/>
        </w:r>
        <w:r>
          <w:instrText xml:space="preserve">PAGEREF 401 \h</w:instrText>
        </w:r>
        <w:r>
          <w:fldChar w:fldCharType="end"/>
        </w:r>
      </w:hyperlink>
    </w:p>
    <w:p>
      <w:pPr>
        <w:tabs>
          <w:tab w:val="right" w:leader="dot" w:pos="9062"/>
        </w:tabs>
        <w:ind w:left="1100"/>
      </w:pPr>
      <w:hyperlink w:anchor="_Toc402" w:history="1">
        <w:r>
          <w:rPr>
            <w:rFonts w:ascii="IRNazanin" w:hAnsi="IRNazanin" w:eastAsia="IRNazanin" w:cs="IRNazanin"/>
            <w:color w:val="111111"/>
            <w:sz w:val="22"/>
            <w:szCs w:val="22"/>
            <w:b w:val="0"/>
            <w:bCs w:val="0"/>
            <w:i w:val="0"/>
            <w:iCs w:val="0"/>
          </w:rPr>
          <w:t>[المناقشة فی الوجهین]</w:t>
        </w:r>
        <w:r>
          <w:tab/>
        </w:r>
        <w:r>
          <w:fldChar w:fldCharType="begin"/>
        </w:r>
        <w:r>
          <w:instrText xml:space="preserve">PAGEREF 402 \h</w:instrText>
        </w:r>
        <w:r>
          <w:fldChar w:fldCharType="end"/>
        </w:r>
      </w:hyperlink>
    </w:p>
    <w:p>
      <w:pPr>
        <w:tabs>
          <w:tab w:val="right" w:leader="dot" w:pos="9062"/>
        </w:tabs>
        <w:ind w:left="1100"/>
      </w:pPr>
      <w:hyperlink w:anchor="_Toc403" w:history="1">
        <w:r>
          <w:rPr>
            <w:rFonts w:ascii="IRNazanin" w:hAnsi="IRNazanin" w:eastAsia="IRNazanin" w:cs="IRNazanin"/>
            <w:color w:val="111111"/>
            <w:sz w:val="22"/>
            <w:szCs w:val="22"/>
            <w:b w:val="0"/>
            <w:bCs w:val="0"/>
            <w:i w:val="0"/>
            <w:iCs w:val="0"/>
          </w:rPr>
          <w:t>الأمر الثانی [:کیفیّة النیّة فی الصلوات المتعدّدة فی مسألة اشتباه القبلة و نحوها]</w:t>
        </w:r>
        <w:r>
          <w:tab/>
        </w:r>
        <w:r>
          <w:fldChar w:fldCharType="begin"/>
        </w:r>
        <w:r>
          <w:instrText xml:space="preserve">PAGEREF 403 \h</w:instrText>
        </w:r>
        <w:r>
          <w:fldChar w:fldCharType="end"/>
        </w:r>
      </w:hyperlink>
    </w:p>
    <w:p>
      <w:pPr>
        <w:tabs>
          <w:tab w:val="right" w:leader="dot" w:pos="9062"/>
        </w:tabs>
        <w:ind w:left="1100"/>
      </w:pPr>
      <w:hyperlink w:anchor="_Toc404" w:history="1">
        <w:r>
          <w:rPr>
            <w:rFonts w:ascii="IRNazanin" w:hAnsi="IRNazanin" w:eastAsia="IRNazanin" w:cs="IRNazanin"/>
            <w:color w:val="111111"/>
            <w:sz w:val="22"/>
            <w:szCs w:val="22"/>
            <w:b w:val="0"/>
            <w:bCs w:val="0"/>
            <w:i w:val="0"/>
            <w:iCs w:val="0"/>
          </w:rPr>
          <w:t>الأمر الثالث [:وجوب کلّ من المحتملات عقلیّ لا شرعی]</w:t>
        </w:r>
        <w:r>
          <w:tab/>
        </w:r>
        <w:r>
          <w:fldChar w:fldCharType="begin"/>
        </w:r>
        <w:r>
          <w:instrText xml:space="preserve">PAGEREF 404 \h</w:instrText>
        </w:r>
        <w:r>
          <w:fldChar w:fldCharType="end"/>
        </w:r>
      </w:hyperlink>
    </w:p>
    <w:p>
      <w:pPr>
        <w:tabs>
          <w:tab w:val="right" w:leader="dot" w:pos="9062"/>
        </w:tabs>
        <w:ind w:left="1100"/>
      </w:pPr>
      <w:hyperlink w:anchor="_Toc405" w:history="1">
        <w:r>
          <w:rPr>
            <w:rFonts w:ascii="IRNazanin" w:hAnsi="IRNazanin" w:eastAsia="IRNazanin" w:cs="IRNazanin"/>
            <w:color w:val="111111"/>
            <w:sz w:val="22"/>
            <w:szCs w:val="22"/>
            <w:b w:val="0"/>
            <w:bCs w:val="0"/>
            <w:i w:val="0"/>
            <w:iCs w:val="0"/>
          </w:rPr>
          <w:t>الأمر الرابع [:لو انکشفت مطابقة المأتیّ به للواقع قبل فعل الباقی]</w:t>
        </w:r>
        <w:r>
          <w:tab/>
        </w:r>
        <w:r>
          <w:fldChar w:fldCharType="begin"/>
        </w:r>
        <w:r>
          <w:instrText xml:space="preserve">PAGEREF 405 \h</w:instrText>
        </w:r>
        <w:r>
          <w:fldChar w:fldCharType="end"/>
        </w:r>
      </w:hyperlink>
    </w:p>
    <w:p>
      <w:pPr>
        <w:tabs>
          <w:tab w:val="right" w:leader="dot" w:pos="9062"/>
        </w:tabs>
        <w:ind w:left="1100"/>
      </w:pPr>
      <w:hyperlink w:anchor="_Toc406" w:history="1">
        <w:r>
          <w:rPr>
            <w:rFonts w:ascii="IRNazanin" w:hAnsi="IRNazanin" w:eastAsia="IRNazanin" w:cs="IRNazanin"/>
            <w:color w:val="111111"/>
            <w:sz w:val="22"/>
            <w:szCs w:val="22"/>
            <w:b w:val="0"/>
            <w:bCs w:val="0"/>
            <w:i w:val="0"/>
            <w:iCs w:val="0"/>
          </w:rPr>
          <w:t>الأمر الخامس [:لو کانت محتملات الواجب غیر محصورة]</w:t>
        </w:r>
        <w:r>
          <w:tab/>
        </w:r>
        <w:r>
          <w:fldChar w:fldCharType="begin"/>
        </w:r>
        <w:r>
          <w:instrText xml:space="preserve">PAGEREF 406 \h</w:instrText>
        </w:r>
        <w:r>
          <w:fldChar w:fldCharType="end"/>
        </w:r>
      </w:hyperlink>
    </w:p>
    <w:p>
      <w:pPr>
        <w:tabs>
          <w:tab w:val="right" w:leader="dot" w:pos="9062"/>
        </w:tabs>
        <w:ind w:left="1100"/>
      </w:pPr>
      <w:hyperlink w:anchor="_Toc407" w:history="1">
        <w:r>
          <w:rPr>
            <w:rFonts w:ascii="IRNazanin" w:hAnsi="IRNazanin" w:eastAsia="IRNazanin" w:cs="IRNazanin"/>
            <w:color w:val="111111"/>
            <w:sz w:val="22"/>
            <w:szCs w:val="22"/>
            <w:b w:val="0"/>
            <w:bCs w:val="0"/>
            <w:i w:val="0"/>
            <w:iCs w:val="0"/>
          </w:rPr>
          <w:t>الأمر السادس [:هل یشترط فی الامتثال الإجمالی عدم التمکّن من الامتثال التفصیلی؟]</w:t>
        </w:r>
        <w:r>
          <w:tab/>
        </w:r>
        <w:r>
          <w:fldChar w:fldCharType="begin"/>
        </w:r>
        <w:r>
          <w:instrText xml:space="preserve">PAGEREF 407 \h</w:instrText>
        </w:r>
        <w:r>
          <w:fldChar w:fldCharType="end"/>
        </w:r>
      </w:hyperlink>
    </w:p>
    <w:p>
      <w:pPr>
        <w:tabs>
          <w:tab w:val="right" w:leader="dot" w:pos="9062"/>
        </w:tabs>
        <w:ind w:left="1100"/>
      </w:pPr>
      <w:hyperlink w:anchor="_Toc4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408 \h</w:instrText>
        </w:r>
        <w:r>
          <w:fldChar w:fldCharType="end"/>
        </w:r>
      </w:hyperlink>
    </w:p>
    <w:p>
      <w:pPr>
        <w:tabs>
          <w:tab w:val="right" w:leader="dot" w:pos="9062"/>
        </w:tabs>
        <w:ind w:left="1100"/>
      </w:pPr>
      <w:hyperlink w:anchor="_Toc409" w:history="1">
        <w:r>
          <w:rPr>
            <w:rFonts w:ascii="IRNazanin" w:hAnsi="IRNazanin" w:eastAsia="IRNazanin" w:cs="IRNazanin"/>
            <w:color w:val="111111"/>
            <w:sz w:val="22"/>
            <w:szCs w:val="22"/>
            <w:b w:val="0"/>
            <w:bCs w:val="0"/>
            <w:i w:val="0"/>
            <w:iCs w:val="0"/>
          </w:rPr>
          <w:t>[لو قدر علی العلم التفصیلی من بعض الجهات و عجز عنه من جهة اخری]</w:t>
        </w:r>
        <w:r>
          <w:tab/>
        </w:r>
        <w:r>
          <w:fldChar w:fldCharType="begin"/>
        </w:r>
        <w:r>
          <w:instrText xml:space="preserve">PAGEREF 409 \h</w:instrText>
        </w:r>
        <w:r>
          <w:fldChar w:fldCharType="end"/>
        </w:r>
      </w:hyperlink>
    </w:p>
    <w:p>
      <w:pPr>
        <w:tabs>
          <w:tab w:val="right" w:leader="dot" w:pos="9062"/>
        </w:tabs>
        <w:ind w:left="1100"/>
      </w:pPr>
      <w:hyperlink w:anchor="_Toc410" w:history="1">
        <w:r>
          <w:rPr>
            <w:rFonts w:ascii="IRNazanin" w:hAnsi="IRNazanin" w:eastAsia="IRNazanin" w:cs="IRNazanin"/>
            <w:color w:val="111111"/>
            <w:sz w:val="22"/>
            <w:szCs w:val="22"/>
            <w:b w:val="0"/>
            <w:bCs w:val="0"/>
            <w:i w:val="0"/>
            <w:iCs w:val="0"/>
          </w:rPr>
          <w:t>الأمر السابع [:لو کان الواجب المشتبه أمرین مترتّبین شرعا]</w:t>
        </w:r>
        <w:r>
          <w:tab/>
        </w:r>
        <w:r>
          <w:fldChar w:fldCharType="begin"/>
        </w:r>
        <w:r>
          <w:instrText xml:space="preserve">PAGEREF 410 \h</w:instrText>
        </w:r>
        <w:r>
          <w:fldChar w:fldCharType="end"/>
        </w:r>
      </w:hyperlink>
    </w:p>
    <w:p>
      <w:pPr>
        <w:tabs>
          <w:tab w:val="right" w:leader="dot" w:pos="9062"/>
        </w:tabs>
        <w:ind w:left="1100"/>
      </w:pPr>
      <w:hyperlink w:anchor="_Toc4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411 \h</w:instrText>
        </w:r>
        <w:r>
          <w:fldChar w:fldCharType="end"/>
        </w:r>
      </w:hyperlink>
    </w:p>
    <w:p>
      <w:pPr>
        <w:tabs>
          <w:tab w:val="right" w:leader="dot" w:pos="9062"/>
        </w:tabs>
        <w:ind w:left="1100"/>
      </w:pPr>
      <w:hyperlink w:anchor="_Toc412" w:history="1">
        <w:r>
          <w:rPr>
            <w:rFonts w:ascii="IRNazanin" w:hAnsi="IRNazanin" w:eastAsia="IRNazanin" w:cs="IRNazanin"/>
            <w:color w:val="111111"/>
            <w:sz w:val="22"/>
            <w:szCs w:val="22"/>
            <w:b w:val="0"/>
            <w:bCs w:val="0"/>
            <w:i w:val="0"/>
            <w:iCs w:val="0"/>
          </w:rPr>
          <w:t>[قولان فی المسألة]</w:t>
        </w:r>
        <w:r>
          <w:tab/>
        </w:r>
        <w:r>
          <w:fldChar w:fldCharType="begin"/>
        </w:r>
        <w:r>
          <w:instrText xml:space="preserve">PAGEREF 412 \h</w:instrText>
        </w:r>
        <w:r>
          <w:fldChar w:fldCharType="end"/>
        </w:r>
      </w:hyperlink>
    </w:p>
    <w:p>
      <w:pPr>
        <w:tabs>
          <w:tab w:val="right" w:leader="dot" w:pos="9062"/>
        </w:tabs>
        <w:ind w:left="1100"/>
      </w:pPr>
      <w:hyperlink w:anchor="_Toc413" w:history="1">
        <w:r>
          <w:rPr>
            <w:rFonts w:ascii="IRNazanin" w:hAnsi="IRNazanin" w:eastAsia="IRNazanin" w:cs="IRNazanin"/>
            <w:color w:val="111111"/>
            <w:sz w:val="22"/>
            <w:szCs w:val="22"/>
            <w:b w:val="0"/>
            <w:bCs w:val="0"/>
            <w:i w:val="0"/>
            <w:iCs w:val="0"/>
          </w:rPr>
          <w:t>[إذا تحقّق الأمر بأحدهما فی الوقت المختصّ]</w:t>
        </w:r>
        <w:r>
          <w:tab/>
        </w:r>
        <w:r>
          <w:fldChar w:fldCharType="begin"/>
        </w:r>
        <w:r>
          <w:instrText xml:space="preserve">PAGEREF 413 \h</w:instrText>
        </w:r>
        <w:r>
          <w:fldChar w:fldCharType="end"/>
        </w:r>
      </w:hyperlink>
    </w:p>
    <w:p>
      <w:pPr>
        <w:tabs>
          <w:tab w:val="right" w:leader="dot" w:pos="9062"/>
        </w:tabs>
        <w:ind w:left="1100"/>
      </w:pPr>
      <w:hyperlink w:anchor="_Toc414" w:history="1">
        <w:r>
          <w:rPr>
            <w:rFonts w:ascii="IRNazanin" w:hAnsi="IRNazanin" w:eastAsia="IRNazanin" w:cs="IRNazanin"/>
            <w:color w:val="111111"/>
            <w:sz w:val="22"/>
            <w:szCs w:val="22"/>
            <w:b w:val="0"/>
            <w:bCs w:val="0"/>
            <w:i w:val="0"/>
            <w:iCs w:val="0"/>
          </w:rPr>
          <w:t>القسم الثانی فیما إذا دار الأمر فی الواجب بین الأقلّ و الأکثر [،و هو علی قسمین:]</w:t>
        </w:r>
        <w:r>
          <w:tab/>
        </w:r>
        <w:r>
          <w:fldChar w:fldCharType="begin"/>
        </w:r>
        <w:r>
          <w:instrText xml:space="preserve">PAGEREF 414 \h</w:instrText>
        </w:r>
        <w:r>
          <w:fldChar w:fldCharType="end"/>
        </w:r>
      </w:hyperlink>
    </w:p>
    <w:p>
      <w:pPr>
        <w:tabs>
          <w:tab w:val="right" w:leader="dot" w:pos="9062"/>
        </w:tabs>
        <w:ind w:left="1100"/>
      </w:pPr>
      <w:hyperlink w:anchor="_Toc4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415 \h</w:instrText>
        </w:r>
        <w:r>
          <w:fldChar w:fldCharType="end"/>
        </w:r>
      </w:hyperlink>
    </w:p>
    <w:p>
      <w:pPr>
        <w:tabs>
          <w:tab w:val="right" w:leader="dot" w:pos="9062"/>
        </w:tabs>
        <w:ind w:left="1100"/>
      </w:pPr>
      <w:hyperlink w:anchor="_Toc416" w:history="1">
        <w:r>
          <w:rPr>
            <w:rFonts w:ascii="IRNazanin" w:hAnsi="IRNazanin" w:eastAsia="IRNazanin" w:cs="IRNazanin"/>
            <w:color w:val="111111"/>
            <w:sz w:val="22"/>
            <w:szCs w:val="22"/>
            <w:b w:val="0"/>
            <w:bCs w:val="0"/>
            <w:i w:val="0"/>
            <w:iCs w:val="0"/>
          </w:rPr>
          <w:t>أمّا مسائل القسم الأوّل،و هو الشکّ فی الجزء الخارجیّ</w:t>
        </w:r>
        <w:r>
          <w:tab/>
        </w:r>
        <w:r>
          <w:fldChar w:fldCharType="begin"/>
        </w:r>
        <w:r>
          <w:instrText xml:space="preserve">PAGEREF 416 \h</w:instrText>
        </w:r>
        <w:r>
          <w:fldChar w:fldCharType="end"/>
        </w:r>
      </w:hyperlink>
    </w:p>
    <w:p>
      <w:pPr>
        <w:tabs>
          <w:tab w:val="right" w:leader="dot" w:pos="9062"/>
        </w:tabs>
        <w:ind w:left="1100"/>
      </w:pPr>
      <w:hyperlink w:anchor="_Toc417" w:history="1">
        <w:r>
          <w:rPr>
            <w:rFonts w:ascii="IRNazanin" w:hAnsi="IRNazanin" w:eastAsia="IRNazanin" w:cs="IRNazanin"/>
            <w:color w:val="111111"/>
            <w:sz w:val="22"/>
            <w:szCs w:val="22"/>
            <w:b w:val="0"/>
            <w:bCs w:val="0"/>
            <w:i w:val="0"/>
            <w:iCs w:val="0"/>
          </w:rPr>
          <w:t>فالاولی منها أن یکون ذلک مع عدم النصّ المعتبر فی المسألة</w:t>
        </w:r>
        <w:r>
          <w:tab/>
        </w:r>
        <w:r>
          <w:fldChar w:fldCharType="begin"/>
        </w:r>
        <w:r>
          <w:instrText xml:space="preserve">PAGEREF 417 \h</w:instrText>
        </w:r>
        <w:r>
          <w:fldChar w:fldCharType="end"/>
        </w:r>
      </w:hyperlink>
    </w:p>
    <w:p>
      <w:pPr>
        <w:tabs>
          <w:tab w:val="right" w:leader="dot" w:pos="9062"/>
        </w:tabs>
        <w:ind w:left="1100"/>
      </w:pPr>
      <w:hyperlink w:anchor="_Toc4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418 \h</w:instrText>
        </w:r>
        <w:r>
          <w:fldChar w:fldCharType="end"/>
        </w:r>
      </w:hyperlink>
    </w:p>
    <w:p>
      <w:pPr>
        <w:tabs>
          <w:tab w:val="right" w:leader="dot" w:pos="9062"/>
        </w:tabs>
        <w:ind w:left="1100"/>
      </w:pPr>
      <w:hyperlink w:anchor="_Toc419" w:history="1">
        <w:r>
          <w:rPr>
            <w:rFonts w:ascii="IRNazanin" w:hAnsi="IRNazanin" w:eastAsia="IRNazanin" w:cs="IRNazanin"/>
            <w:color w:val="111111"/>
            <w:sz w:val="22"/>
            <w:szCs w:val="22"/>
            <w:b w:val="0"/>
            <w:bCs w:val="0"/>
            <w:i w:val="0"/>
            <w:iCs w:val="0"/>
          </w:rPr>
          <w:t>[المشهور إجراء أصالة البراءة فی المسألة]</w:t>
        </w:r>
        <w:r>
          <w:tab/>
        </w:r>
        <w:r>
          <w:fldChar w:fldCharType="begin"/>
        </w:r>
        <w:r>
          <w:instrText xml:space="preserve">PAGEREF 419 \h</w:instrText>
        </w:r>
        <w:r>
          <w:fldChar w:fldCharType="end"/>
        </w:r>
      </w:hyperlink>
    </w:p>
    <w:p>
      <w:pPr>
        <w:tabs>
          <w:tab w:val="right" w:leader="dot" w:pos="9062"/>
        </w:tabs>
        <w:ind w:left="1100"/>
      </w:pPr>
      <w:hyperlink w:anchor="_Toc4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420 \h</w:instrText>
        </w:r>
        <w:r>
          <w:fldChar w:fldCharType="end"/>
        </w:r>
      </w:hyperlink>
    </w:p>
    <w:p>
      <w:pPr>
        <w:tabs>
          <w:tab w:val="right" w:leader="dot" w:pos="9062"/>
        </w:tabs>
        <w:ind w:left="1100"/>
      </w:pPr>
      <w:hyperlink w:anchor="_Toc421" w:history="1">
        <w:r>
          <w:rPr>
            <w:rFonts w:ascii="IRNazanin" w:hAnsi="IRNazanin" w:eastAsia="IRNazanin" w:cs="IRNazanin"/>
            <w:color w:val="111111"/>
            <w:sz w:val="22"/>
            <w:szCs w:val="22"/>
            <w:b w:val="0"/>
            <w:bCs w:val="0"/>
            <w:i w:val="0"/>
            <w:iCs w:val="0"/>
          </w:rPr>
          <w:t>[الاستدلال علیه من العقل]</w:t>
        </w:r>
        <w:r>
          <w:tab/>
        </w:r>
        <w:r>
          <w:fldChar w:fldCharType="begin"/>
        </w:r>
        <w:r>
          <w:instrText xml:space="preserve">PAGEREF 421 \h</w:instrText>
        </w:r>
        <w:r>
          <w:fldChar w:fldCharType="end"/>
        </w:r>
      </w:hyperlink>
    </w:p>
    <w:p>
      <w:pPr>
        <w:tabs>
          <w:tab w:val="right" w:leader="dot" w:pos="9062"/>
        </w:tabs>
        <w:ind w:left="1100"/>
      </w:pPr>
      <w:hyperlink w:anchor="_Toc422" w:history="1">
        <w:r>
          <w:rPr>
            <w:rFonts w:ascii="IRNazanin" w:hAnsi="IRNazanin" w:eastAsia="IRNazanin" w:cs="IRNazanin"/>
            <w:color w:val="111111"/>
            <w:sz w:val="22"/>
            <w:szCs w:val="22"/>
            <w:b w:val="0"/>
            <w:bCs w:val="0"/>
            <w:i w:val="0"/>
            <w:iCs w:val="0"/>
          </w:rPr>
          <w:t>[قبح المؤاخذة إذا عجز العبد عن تحصیل العلم بجزء]</w:t>
        </w:r>
        <w:r>
          <w:tab/>
        </w:r>
        <w:r>
          <w:fldChar w:fldCharType="begin"/>
        </w:r>
        <w:r>
          <w:instrText xml:space="preserve">PAGEREF 422 \h</w:instrText>
        </w:r>
        <w:r>
          <w:fldChar w:fldCharType="end"/>
        </w:r>
      </w:hyperlink>
    </w:p>
    <w:p>
      <w:pPr>
        <w:tabs>
          <w:tab w:val="right" w:leader="dot" w:pos="9062"/>
        </w:tabs>
        <w:ind w:left="1100"/>
      </w:pPr>
      <w:hyperlink w:anchor="_Toc423" w:history="1">
        <w:r>
          <w:rPr>
            <w:rFonts w:ascii="IRNazanin" w:hAnsi="IRNazanin" w:eastAsia="IRNazanin" w:cs="IRNazanin"/>
            <w:color w:val="111111"/>
            <w:sz w:val="22"/>
            <w:szCs w:val="22"/>
            <w:b w:val="0"/>
            <w:bCs w:val="0"/>
            <w:i w:val="0"/>
            <w:iCs w:val="0"/>
          </w:rPr>
          <w:t>[عدم ابتناء مسألة البراءة و الاحتیاط علی مسألة اللطف]</w:t>
        </w:r>
        <w:r>
          <w:tab/>
        </w:r>
        <w:r>
          <w:fldChar w:fldCharType="begin"/>
        </w:r>
        <w:r>
          <w:instrText xml:space="preserve">PAGEREF 423 \h</w:instrText>
        </w:r>
        <w:r>
          <w:fldChar w:fldCharType="end"/>
        </w:r>
      </w:hyperlink>
    </w:p>
    <w:p>
      <w:pPr>
        <w:tabs>
          <w:tab w:val="right" w:leader="dot" w:pos="9062"/>
        </w:tabs>
        <w:ind w:left="1100"/>
      </w:pPr>
      <w:hyperlink w:anchor="_Toc424" w:history="1">
        <w:r>
          <w:rPr>
            <w:rFonts w:ascii="IRNazanin" w:hAnsi="IRNazanin" w:eastAsia="IRNazanin" w:cs="IRNazanin"/>
            <w:color w:val="111111"/>
            <w:sz w:val="22"/>
            <w:szCs w:val="22"/>
            <w:b w:val="0"/>
            <w:bCs w:val="0"/>
            <w:i w:val="0"/>
            <w:iCs w:val="0"/>
          </w:rPr>
          <w:t>[اللطف إنّما هو فی الإتیان علی وجه الامتثال]</w:t>
        </w:r>
        <w:r>
          <w:tab/>
        </w:r>
        <w:r>
          <w:fldChar w:fldCharType="begin"/>
        </w:r>
        <w:r>
          <w:instrText xml:space="preserve">PAGEREF 424 \h</w:instrText>
        </w:r>
        <w:r>
          <w:fldChar w:fldCharType="end"/>
        </w:r>
      </w:hyperlink>
    </w:p>
    <w:p>
      <w:pPr>
        <w:tabs>
          <w:tab w:val="right" w:leader="dot" w:pos="9062"/>
        </w:tabs>
        <w:ind w:left="1100"/>
      </w:pPr>
      <w:hyperlink w:anchor="_Toc425" w:history="1">
        <w:r>
          <w:rPr>
            <w:rFonts w:ascii="IRNazanin" w:hAnsi="IRNazanin" w:eastAsia="IRNazanin" w:cs="IRNazanin"/>
            <w:color w:val="111111"/>
            <w:sz w:val="22"/>
            <w:szCs w:val="22"/>
            <w:b w:val="0"/>
            <w:bCs w:val="0"/>
            <w:i w:val="0"/>
            <w:iCs w:val="0"/>
          </w:rPr>
          <w:t>[الجهل مانع عقلی عن توجّه التکلیف بالجزء المشکوک]</w:t>
        </w:r>
        <w:r>
          <w:tab/>
        </w:r>
        <w:r>
          <w:fldChar w:fldCharType="begin"/>
        </w:r>
        <w:r>
          <w:instrText xml:space="preserve">PAGEREF 425 \h</w:instrText>
        </w:r>
        <w:r>
          <w:fldChar w:fldCharType="end"/>
        </w:r>
      </w:hyperlink>
    </w:p>
    <w:p>
      <w:pPr>
        <w:tabs>
          <w:tab w:val="right" w:leader="dot" w:pos="9062"/>
        </w:tabs>
        <w:ind w:left="1100"/>
      </w:pPr>
      <w:hyperlink w:anchor="_Toc426" w:history="1">
        <w:r>
          <w:rPr>
            <w:rFonts w:ascii="IRNazanin" w:hAnsi="IRNazanin" w:eastAsia="IRNazanin" w:cs="IRNazanin"/>
            <w:color w:val="111111"/>
            <w:sz w:val="22"/>
            <w:szCs w:val="22"/>
            <w:b w:val="0"/>
            <w:bCs w:val="0"/>
            <w:i w:val="0"/>
            <w:iCs w:val="0"/>
          </w:rPr>
          <w:t>[عدم جریان الدلیل العقلی المتقدّم فی المتباینین فیما نحن فیه]</w:t>
        </w:r>
        <w:r>
          <w:tab/>
        </w:r>
        <w:r>
          <w:fldChar w:fldCharType="begin"/>
        </w:r>
        <w:r>
          <w:instrText xml:space="preserve">PAGEREF 426 \h</w:instrText>
        </w:r>
        <w:r>
          <w:fldChar w:fldCharType="end"/>
        </w:r>
      </w:hyperlink>
    </w:p>
    <w:p>
      <w:pPr>
        <w:tabs>
          <w:tab w:val="right" w:leader="dot" w:pos="9062"/>
        </w:tabs>
        <w:ind w:left="1100"/>
      </w:pPr>
      <w:hyperlink w:anchor="_Toc427" w:history="1">
        <w:r>
          <w:rPr>
            <w:rFonts w:ascii="IRNazanin" w:hAnsi="IRNazanin" w:eastAsia="IRNazanin" w:cs="IRNazanin"/>
            <w:color w:val="111111"/>
            <w:sz w:val="22"/>
            <w:szCs w:val="22"/>
            <w:b w:val="0"/>
            <w:bCs w:val="0"/>
            <w:i w:val="0"/>
            <w:iCs w:val="0"/>
          </w:rPr>
          <w:t>[عدم معذوریّة الجاهل المقصّر]</w:t>
        </w:r>
        <w:r>
          <w:tab/>
        </w:r>
        <w:r>
          <w:fldChar w:fldCharType="begin"/>
        </w:r>
        <w:r>
          <w:instrText xml:space="preserve">PAGEREF 427 \h</w:instrText>
        </w:r>
        <w:r>
          <w:fldChar w:fldCharType="end"/>
        </w:r>
      </w:hyperlink>
    </w:p>
    <w:p>
      <w:pPr>
        <w:tabs>
          <w:tab w:val="right" w:leader="dot" w:pos="9062"/>
        </w:tabs>
        <w:ind w:left="1100"/>
      </w:pPr>
      <w:hyperlink w:anchor="_Toc428" w:history="1">
        <w:r>
          <w:rPr>
            <w:rFonts w:ascii="IRNazanin" w:hAnsi="IRNazanin" w:eastAsia="IRNazanin" w:cs="IRNazanin"/>
            <w:color w:val="111111"/>
            <w:sz w:val="22"/>
            <w:szCs w:val="22"/>
            <w:b w:val="0"/>
            <w:bCs w:val="0"/>
            <w:i w:val="0"/>
            <w:iCs w:val="0"/>
          </w:rPr>
          <w:t>[العلم الإجمالی فیما نحن فیه غیر مؤثّر فی وجوب الاحتیاط]</w:t>
        </w:r>
        <w:r>
          <w:tab/>
        </w:r>
        <w:r>
          <w:fldChar w:fldCharType="begin"/>
        </w:r>
        <w:r>
          <w:instrText xml:space="preserve">PAGEREF 428 \h</w:instrText>
        </w:r>
        <w:r>
          <w:fldChar w:fldCharType="end"/>
        </w:r>
      </w:hyperlink>
    </w:p>
    <w:p>
      <w:pPr>
        <w:tabs>
          <w:tab w:val="right" w:leader="dot" w:pos="9062"/>
        </w:tabs>
        <w:ind w:left="1100"/>
      </w:pPr>
      <w:hyperlink w:anchor="_Toc429" w:history="1">
        <w:r>
          <w:rPr>
            <w:rFonts w:ascii="IRNazanin" w:hAnsi="IRNazanin" w:eastAsia="IRNazanin" w:cs="IRNazanin"/>
            <w:color w:val="111111"/>
            <w:sz w:val="22"/>
            <w:szCs w:val="22"/>
            <w:b w:val="0"/>
            <w:bCs w:val="0"/>
            <w:i w:val="0"/>
            <w:iCs w:val="0"/>
          </w:rPr>
          <w:t>[التمسّک بأصالة عدم وجوب الأکثر فی المسألة]</w:t>
        </w:r>
        <w:r>
          <w:tab/>
        </w:r>
        <w:r>
          <w:fldChar w:fldCharType="begin"/>
        </w:r>
        <w:r>
          <w:instrText xml:space="preserve">PAGEREF 429 \h</w:instrText>
        </w:r>
        <w:r>
          <w:fldChar w:fldCharType="end"/>
        </w:r>
      </w:hyperlink>
    </w:p>
    <w:p>
      <w:pPr>
        <w:tabs>
          <w:tab w:val="right" w:leader="dot" w:pos="9062"/>
        </w:tabs>
        <w:ind w:left="1100"/>
      </w:pPr>
      <w:hyperlink w:anchor="_Toc4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430 \h</w:instrText>
        </w:r>
        <w:r>
          <w:fldChar w:fldCharType="end"/>
        </w:r>
      </w:hyperlink>
    </w:p>
    <w:p>
      <w:pPr>
        <w:tabs>
          <w:tab w:val="right" w:leader="dot" w:pos="9062"/>
        </w:tabs>
        <w:ind w:left="1100"/>
      </w:pPr>
      <w:hyperlink w:anchor="_Toc431" w:history="1">
        <w:r>
          <w:rPr>
            <w:rFonts w:ascii="IRNazanin" w:hAnsi="IRNazanin" w:eastAsia="IRNazanin" w:cs="IRNazanin"/>
            <w:color w:val="111111"/>
            <w:sz w:val="22"/>
            <w:szCs w:val="22"/>
            <w:b w:val="0"/>
            <w:bCs w:val="0"/>
            <w:i w:val="0"/>
            <w:iCs w:val="0"/>
          </w:rPr>
          <w:t>[المناقشة فی هذا الأصل]</w:t>
        </w:r>
        <w:r>
          <w:tab/>
        </w:r>
        <w:r>
          <w:fldChar w:fldCharType="begin"/>
        </w:r>
        <w:r>
          <w:instrText xml:space="preserve">PAGEREF 431 \h</w:instrText>
        </w:r>
        <w:r>
          <w:fldChar w:fldCharType="end"/>
        </w:r>
      </w:hyperlink>
    </w:p>
    <w:p>
      <w:pPr>
        <w:tabs>
          <w:tab w:val="right" w:leader="dot" w:pos="9062"/>
        </w:tabs>
        <w:ind w:left="1100"/>
      </w:pPr>
      <w:hyperlink w:anchor="_Toc432" w:history="1">
        <w:r>
          <w:rPr>
            <w:rFonts w:ascii="IRNazanin" w:hAnsi="IRNazanin" w:eastAsia="IRNazanin" w:cs="IRNazanin"/>
            <w:color w:val="111111"/>
            <w:sz w:val="22"/>
            <w:szCs w:val="22"/>
            <w:b w:val="0"/>
            <w:bCs w:val="0"/>
            <w:i w:val="0"/>
            <w:iCs w:val="0"/>
          </w:rPr>
          <w:t>[سائر ما یتمسّک به لوجوب الاحتیاط فی المسألة،و المناقشة فیها]</w:t>
        </w:r>
        <w:r>
          <w:tab/>
        </w:r>
        <w:r>
          <w:fldChar w:fldCharType="begin"/>
        </w:r>
        <w:r>
          <w:instrText xml:space="preserve">PAGEREF 432 \h</w:instrText>
        </w:r>
        <w:r>
          <w:fldChar w:fldCharType="end"/>
        </w:r>
      </w:hyperlink>
    </w:p>
    <w:p>
      <w:pPr>
        <w:tabs>
          <w:tab w:val="right" w:leader="dot" w:pos="9062"/>
        </w:tabs>
        <w:ind w:left="1100"/>
      </w:pPr>
      <w:hyperlink w:anchor="_Toc433" w:history="1">
        <w:r>
          <w:rPr>
            <w:rFonts w:ascii="IRNazanin" w:hAnsi="IRNazanin" w:eastAsia="IRNazanin" w:cs="IRNazanin"/>
            <w:color w:val="111111"/>
            <w:sz w:val="22"/>
            <w:szCs w:val="22"/>
            <w:b w:val="0"/>
            <w:bCs w:val="0"/>
            <w:i w:val="0"/>
            <w:iCs w:val="0"/>
          </w:rPr>
          <w:t>[کیف تقصد القربة بإتیان الأقلّ؟]</w:t>
        </w:r>
        <w:r>
          <w:tab/>
        </w:r>
        <w:r>
          <w:fldChar w:fldCharType="begin"/>
        </w:r>
        <w:r>
          <w:instrText xml:space="preserve">PAGEREF 433 \h</w:instrText>
        </w:r>
        <w:r>
          <w:fldChar w:fldCharType="end"/>
        </w:r>
      </w:hyperlink>
    </w:p>
    <w:p>
      <w:pPr>
        <w:tabs>
          <w:tab w:val="right" w:leader="dot" w:pos="9062"/>
        </w:tabs>
        <w:ind w:left="1100"/>
      </w:pPr>
      <w:hyperlink w:anchor="_Toc434" w:history="1">
        <w:r>
          <w:rPr>
            <w:rFonts w:ascii="IRNazanin" w:hAnsi="IRNazanin" w:eastAsia="IRNazanin" w:cs="IRNazanin"/>
            <w:color w:val="111111"/>
            <w:sz w:val="22"/>
            <w:szCs w:val="22"/>
            <w:b w:val="0"/>
            <w:bCs w:val="0"/>
            <w:i w:val="0"/>
            <w:iCs w:val="0"/>
          </w:rPr>
          <w:t>[الاستدلال بالأخبار علی البراءة فی المسألة:]</w:t>
        </w:r>
        <w:r>
          <w:tab/>
        </w:r>
        <w:r>
          <w:fldChar w:fldCharType="begin"/>
        </w:r>
        <w:r>
          <w:instrText xml:space="preserve">PAGEREF 434 \h</w:instrText>
        </w:r>
        <w:r>
          <w:fldChar w:fldCharType="end"/>
        </w:r>
      </w:hyperlink>
    </w:p>
    <w:p>
      <w:pPr>
        <w:tabs>
          <w:tab w:val="right" w:leader="dot" w:pos="9062"/>
        </w:tabs>
        <w:ind w:left="1100"/>
      </w:pPr>
      <w:hyperlink w:anchor="_Toc4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435 \h</w:instrText>
        </w:r>
        <w:r>
          <w:fldChar w:fldCharType="end"/>
        </w:r>
      </w:hyperlink>
    </w:p>
    <w:p>
      <w:pPr>
        <w:tabs>
          <w:tab w:val="right" w:leader="dot" w:pos="9062"/>
        </w:tabs>
        <w:ind w:left="1100"/>
      </w:pPr>
      <w:hyperlink w:anchor="_Toc436" w:history="1">
        <w:r>
          <w:rPr>
            <w:rFonts w:ascii="IRNazanin" w:hAnsi="IRNazanin" w:eastAsia="IRNazanin" w:cs="IRNazanin"/>
            <w:color w:val="111111"/>
            <w:sz w:val="22"/>
            <w:szCs w:val="22"/>
            <w:b w:val="0"/>
            <w:bCs w:val="0"/>
            <w:i w:val="0"/>
            <w:iCs w:val="0"/>
          </w:rPr>
          <w:t>[1-حدیث الحجب]</w:t>
        </w:r>
        <w:r>
          <w:tab/>
        </w:r>
        <w:r>
          <w:fldChar w:fldCharType="begin"/>
        </w:r>
        <w:r>
          <w:instrText xml:space="preserve">PAGEREF 436 \h</w:instrText>
        </w:r>
        <w:r>
          <w:fldChar w:fldCharType="end"/>
        </w:r>
      </w:hyperlink>
    </w:p>
    <w:p>
      <w:pPr>
        <w:tabs>
          <w:tab w:val="right" w:leader="dot" w:pos="9062"/>
        </w:tabs>
        <w:ind w:left="1100"/>
      </w:pPr>
      <w:hyperlink w:anchor="_Toc437" w:history="1">
        <w:r>
          <w:rPr>
            <w:rFonts w:ascii="IRNazanin" w:hAnsi="IRNazanin" w:eastAsia="IRNazanin" w:cs="IRNazanin"/>
            <w:color w:val="111111"/>
            <w:sz w:val="22"/>
            <w:szCs w:val="22"/>
            <w:b w:val="0"/>
            <w:bCs w:val="0"/>
            <w:i w:val="0"/>
            <w:iCs w:val="0"/>
          </w:rPr>
          <w:t>[2-حدیث الرفع]</w:t>
        </w:r>
        <w:r>
          <w:tab/>
        </w:r>
        <w:r>
          <w:fldChar w:fldCharType="begin"/>
        </w:r>
        <w:r>
          <w:instrText xml:space="preserve">PAGEREF 437 \h</w:instrText>
        </w:r>
        <w:r>
          <w:fldChar w:fldCharType="end"/>
        </w:r>
      </w:hyperlink>
    </w:p>
    <w:p>
      <w:pPr>
        <w:tabs>
          <w:tab w:val="right" w:leader="dot" w:pos="9062"/>
        </w:tabs>
        <w:ind w:left="1100"/>
      </w:pPr>
      <w:hyperlink w:anchor="_Toc438" w:history="1">
        <w:r>
          <w:rPr>
            <w:rFonts w:ascii="IRNazanin" w:hAnsi="IRNazanin" w:eastAsia="IRNazanin" w:cs="IRNazanin"/>
            <w:color w:val="111111"/>
            <w:sz w:val="22"/>
            <w:szCs w:val="22"/>
            <w:b w:val="0"/>
            <w:bCs w:val="0"/>
            <w:i w:val="0"/>
            <w:iCs w:val="0"/>
          </w:rPr>
          <w:t>[عدم الفرق فی أخبار البراءة بین الشکّ فی الوجوب النفسی أو فی الوجوب الغیری]</w:t>
        </w:r>
        <w:r>
          <w:tab/>
        </w:r>
        <w:r>
          <w:fldChar w:fldCharType="begin"/>
        </w:r>
        <w:r>
          <w:instrText xml:space="preserve">PAGEREF 438 \h</w:instrText>
        </w:r>
        <w:r>
          <w:fldChar w:fldCharType="end"/>
        </w:r>
      </w:hyperlink>
    </w:p>
    <w:p>
      <w:pPr>
        <w:tabs>
          <w:tab w:val="right" w:leader="dot" w:pos="9062"/>
        </w:tabs>
        <w:ind w:left="1100"/>
      </w:pPr>
      <w:hyperlink w:anchor="_Toc439" w:history="1">
        <w:r>
          <w:rPr>
            <w:rFonts w:ascii="IRNazanin" w:hAnsi="IRNazanin" w:eastAsia="IRNazanin" w:cs="IRNazanin"/>
            <w:color w:val="111111"/>
            <w:sz w:val="22"/>
            <w:szCs w:val="22"/>
            <w:b w:val="0"/>
            <w:bCs w:val="0"/>
            <w:i w:val="0"/>
            <w:iCs w:val="0"/>
          </w:rPr>
          <w:t>[حکومة أخبار البراءة علی الدلیل العقلیّ المتقدّم لوجوب الاحتیاط]</w:t>
        </w:r>
        <w:r>
          <w:tab/>
        </w:r>
        <w:r>
          <w:fldChar w:fldCharType="begin"/>
        </w:r>
        <w:r>
          <w:instrText xml:space="preserve">PAGEREF 439 \h</w:instrText>
        </w:r>
        <w:r>
          <w:fldChar w:fldCharType="end"/>
        </w:r>
      </w:hyperlink>
    </w:p>
    <w:p>
      <w:pPr>
        <w:tabs>
          <w:tab w:val="right" w:leader="dot" w:pos="9062"/>
        </w:tabs>
        <w:ind w:left="1100"/>
      </w:pPr>
      <w:hyperlink w:anchor="_Toc440" w:history="1">
        <w:r>
          <w:rPr>
            <w:rFonts w:ascii="IRNazanin" w:hAnsi="IRNazanin" w:eastAsia="IRNazanin" w:cs="IRNazanin"/>
            <w:color w:val="111111"/>
            <w:sz w:val="22"/>
            <w:szCs w:val="22"/>
            <w:b w:val="0"/>
            <w:bCs w:val="0"/>
            <w:i w:val="0"/>
            <w:iCs w:val="0"/>
          </w:rPr>
          <w:t>[کلام صاحب الفصول فی حکومة أدلّة الاحتیاط علی أخبار البراءة فی المسألة]</w:t>
        </w:r>
        <w:r>
          <w:tab/>
        </w:r>
        <w:r>
          <w:fldChar w:fldCharType="begin"/>
        </w:r>
        <w:r>
          <w:instrText xml:space="preserve">PAGEREF 440 \h</w:instrText>
        </w:r>
        <w:r>
          <w:fldChar w:fldCharType="end"/>
        </w:r>
      </w:hyperlink>
    </w:p>
    <w:p>
      <w:pPr>
        <w:tabs>
          <w:tab w:val="right" w:leader="dot" w:pos="9062"/>
        </w:tabs>
        <w:ind w:left="1100"/>
      </w:pPr>
      <w:hyperlink w:anchor="_Toc4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441 \h</w:instrText>
        </w:r>
        <w:r>
          <w:fldChar w:fldCharType="end"/>
        </w:r>
      </w:hyperlink>
    </w:p>
    <w:p>
      <w:pPr>
        <w:tabs>
          <w:tab w:val="right" w:leader="dot" w:pos="9062"/>
        </w:tabs>
        <w:ind w:left="1100"/>
      </w:pPr>
      <w:hyperlink w:anchor="_Toc442" w:history="1">
        <w:r>
          <w:rPr>
            <w:rFonts w:ascii="IRNazanin" w:hAnsi="IRNazanin" w:eastAsia="IRNazanin" w:cs="IRNazanin"/>
            <w:color w:val="111111"/>
            <w:sz w:val="22"/>
            <w:szCs w:val="22"/>
            <w:b w:val="0"/>
            <w:bCs w:val="0"/>
            <w:i w:val="0"/>
            <w:iCs w:val="0"/>
          </w:rPr>
          <w:t>[المناقشة فیما أفاده صاحب الفصول]</w:t>
        </w:r>
        <w:r>
          <w:tab/>
        </w:r>
        <w:r>
          <w:fldChar w:fldCharType="begin"/>
        </w:r>
        <w:r>
          <w:instrText xml:space="preserve">PAGEREF 442 \h</w:instrText>
        </w:r>
        <w:r>
          <w:fldChar w:fldCharType="end"/>
        </w:r>
      </w:hyperlink>
    </w:p>
    <w:p>
      <w:pPr>
        <w:tabs>
          <w:tab w:val="right" w:leader="dot" w:pos="9062"/>
        </w:tabs>
        <w:ind w:left="1100"/>
      </w:pPr>
      <w:hyperlink w:anchor="_Toc443" w:history="1">
        <w:r>
          <w:rPr>
            <w:rFonts w:ascii="IRNazanin" w:hAnsi="IRNazanin" w:eastAsia="IRNazanin" w:cs="IRNazanin"/>
            <w:color w:val="111111"/>
            <w:sz w:val="22"/>
            <w:szCs w:val="22"/>
            <w:b w:val="0"/>
            <w:bCs w:val="0"/>
            <w:i w:val="0"/>
            <w:iCs w:val="0"/>
          </w:rPr>
          <w:t>[حکومة أخبار البراءة علی استصحاب الاشتغال أیضا]</w:t>
        </w:r>
        <w:r>
          <w:tab/>
        </w:r>
        <w:r>
          <w:fldChar w:fldCharType="begin"/>
        </w:r>
        <w:r>
          <w:instrText xml:space="preserve">PAGEREF 443 \h</w:instrText>
        </w:r>
        <w:r>
          <w:fldChar w:fldCharType="end"/>
        </w:r>
      </w:hyperlink>
    </w:p>
    <w:p>
      <w:pPr>
        <w:tabs>
          <w:tab w:val="right" w:leader="dot" w:pos="9062"/>
        </w:tabs>
        <w:ind w:left="1100"/>
      </w:pPr>
      <w:hyperlink w:anchor="_Toc444" w:history="1">
        <w:r>
          <w:rPr>
            <w:rFonts w:ascii="IRNazanin" w:hAnsi="IRNazanin" w:eastAsia="IRNazanin" w:cs="IRNazanin"/>
            <w:color w:val="111111"/>
            <w:sz w:val="22"/>
            <w:szCs w:val="22"/>
            <w:b w:val="0"/>
            <w:bCs w:val="0"/>
            <w:i w:val="0"/>
            <w:iCs w:val="0"/>
          </w:rPr>
          <w:t>[استدلال صاحب الفصول بأخبار البراءة علی نفی الحکم الوضعی]</w:t>
        </w:r>
        <w:r>
          <w:tab/>
        </w:r>
        <w:r>
          <w:fldChar w:fldCharType="begin"/>
        </w:r>
        <w:r>
          <w:instrText xml:space="preserve">PAGEREF 444 \h</w:instrText>
        </w:r>
        <w:r>
          <w:fldChar w:fldCharType="end"/>
        </w:r>
      </w:hyperlink>
    </w:p>
    <w:p>
      <w:pPr>
        <w:tabs>
          <w:tab w:val="right" w:leader="dot" w:pos="9062"/>
        </w:tabs>
        <w:ind w:left="1100"/>
      </w:pPr>
      <w:hyperlink w:anchor="_Toc4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445 \h</w:instrText>
        </w:r>
        <w:r>
          <w:fldChar w:fldCharType="end"/>
        </w:r>
      </w:hyperlink>
    </w:p>
    <w:p>
      <w:pPr>
        <w:tabs>
          <w:tab w:val="right" w:leader="dot" w:pos="9062"/>
        </w:tabs>
        <w:ind w:left="1100"/>
      </w:pPr>
      <w:hyperlink w:anchor="_Toc446" w:history="1">
        <w:r>
          <w:rPr>
            <w:rFonts w:ascii="IRNazanin" w:hAnsi="IRNazanin" w:eastAsia="IRNazanin" w:cs="IRNazanin"/>
            <w:color w:val="111111"/>
            <w:sz w:val="22"/>
            <w:szCs w:val="22"/>
            <w:b w:val="0"/>
            <w:bCs w:val="0"/>
            <w:i w:val="0"/>
            <w:iCs w:val="0"/>
          </w:rPr>
          <w:t>[المناقشة فیما أفاده صاحب الفصول]</w:t>
        </w:r>
        <w:r>
          <w:tab/>
        </w:r>
        <w:r>
          <w:fldChar w:fldCharType="begin"/>
        </w:r>
        <w:r>
          <w:instrText xml:space="preserve">PAGEREF 446 \h</w:instrText>
        </w:r>
        <w:r>
          <w:fldChar w:fldCharType="end"/>
        </w:r>
      </w:hyperlink>
    </w:p>
    <w:p>
      <w:pPr>
        <w:tabs>
          <w:tab w:val="right" w:leader="dot" w:pos="9062"/>
        </w:tabs>
        <w:ind w:left="1100"/>
      </w:pPr>
      <w:hyperlink w:anchor="_Toc447" w:history="1">
        <w:r>
          <w:rPr>
            <w:rFonts w:ascii="IRNazanin" w:hAnsi="IRNazanin" w:eastAsia="IRNazanin" w:cs="IRNazanin"/>
            <w:color w:val="111111"/>
            <w:sz w:val="22"/>
            <w:szCs w:val="22"/>
            <w:b w:val="0"/>
            <w:bCs w:val="0"/>
            <w:i w:val="0"/>
            <w:iCs w:val="0"/>
          </w:rPr>
          <w:t>[اصول أخر قد یتمسّک بها علی البراءة فی المسألة:]</w:t>
        </w:r>
        <w:r>
          <w:tab/>
        </w:r>
        <w:r>
          <w:fldChar w:fldCharType="begin"/>
        </w:r>
        <w:r>
          <w:instrText xml:space="preserve">PAGEREF 447 \h</w:instrText>
        </w:r>
        <w:r>
          <w:fldChar w:fldCharType="end"/>
        </w:r>
      </w:hyperlink>
    </w:p>
    <w:p>
      <w:pPr>
        <w:tabs>
          <w:tab w:val="right" w:leader="dot" w:pos="9062"/>
        </w:tabs>
        <w:ind w:left="1100"/>
      </w:pPr>
      <w:hyperlink w:anchor="_Toc4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448 \h</w:instrText>
        </w:r>
        <w:r>
          <w:fldChar w:fldCharType="end"/>
        </w:r>
      </w:hyperlink>
    </w:p>
    <w:p>
      <w:pPr>
        <w:tabs>
          <w:tab w:val="right" w:leader="dot" w:pos="9062"/>
        </w:tabs>
        <w:ind w:left="1100"/>
      </w:pPr>
      <w:hyperlink w:anchor="_Toc449" w:history="1">
        <w:r>
          <w:rPr>
            <w:rFonts w:ascii="IRNazanin" w:hAnsi="IRNazanin" w:eastAsia="IRNazanin" w:cs="IRNazanin"/>
            <w:color w:val="111111"/>
            <w:sz w:val="22"/>
            <w:szCs w:val="22"/>
            <w:b w:val="0"/>
            <w:bCs w:val="0"/>
            <w:i w:val="0"/>
            <w:iCs w:val="0"/>
          </w:rPr>
          <w:t>منها : أصالة عدم وجوب الأکثر</w:t>
        </w:r>
        <w:r>
          <w:tab/>
        </w:r>
        <w:r>
          <w:fldChar w:fldCharType="begin"/>
        </w:r>
        <w:r>
          <w:instrText xml:space="preserve">PAGEREF 449 \h</w:instrText>
        </w:r>
        <w:r>
          <w:fldChar w:fldCharType="end"/>
        </w:r>
      </w:hyperlink>
    </w:p>
    <w:p>
      <w:pPr>
        <w:tabs>
          <w:tab w:val="right" w:leader="dot" w:pos="9062"/>
        </w:tabs>
        <w:ind w:left="1100"/>
      </w:pPr>
      <w:hyperlink w:anchor="_Toc450" w:history="1">
        <w:r>
          <w:rPr>
            <w:rFonts w:ascii="IRNazanin" w:hAnsi="IRNazanin" w:eastAsia="IRNazanin" w:cs="IRNazanin"/>
            <w:color w:val="111111"/>
            <w:sz w:val="22"/>
            <w:szCs w:val="22"/>
            <w:b w:val="0"/>
            <w:bCs w:val="0"/>
            <w:i w:val="0"/>
            <w:iCs w:val="0"/>
          </w:rPr>
          <w:t>و منها : أصالة عدم وجوب الشیء المشکوک فی جزئیّته</w:t>
        </w:r>
        <w:r>
          <w:tab/>
        </w:r>
        <w:r>
          <w:fldChar w:fldCharType="begin"/>
        </w:r>
        <w:r>
          <w:instrText xml:space="preserve">PAGEREF 450 \h</w:instrText>
        </w:r>
        <w:r>
          <w:fldChar w:fldCharType="end"/>
        </w:r>
      </w:hyperlink>
    </w:p>
    <w:p>
      <w:pPr>
        <w:tabs>
          <w:tab w:val="right" w:leader="dot" w:pos="9062"/>
        </w:tabs>
        <w:ind w:left="1100"/>
      </w:pPr>
      <w:hyperlink w:anchor="_Toc451" w:history="1">
        <w:r>
          <w:rPr>
            <w:rFonts w:ascii="IRNazanin" w:hAnsi="IRNazanin" w:eastAsia="IRNazanin" w:cs="IRNazanin"/>
            <w:color w:val="111111"/>
            <w:sz w:val="22"/>
            <w:szCs w:val="22"/>
            <w:b w:val="0"/>
            <w:bCs w:val="0"/>
            <w:i w:val="0"/>
            <w:iCs w:val="0"/>
          </w:rPr>
          <w:t>و منها : أصالة عدم جزئیّة الشیء المشکوک</w:t>
        </w:r>
        <w:r>
          <w:tab/>
        </w:r>
        <w:r>
          <w:fldChar w:fldCharType="begin"/>
        </w:r>
        <w:r>
          <w:instrText xml:space="preserve">PAGEREF 451 \h</w:instrText>
        </w:r>
        <w:r>
          <w:fldChar w:fldCharType="end"/>
        </w:r>
      </w:hyperlink>
    </w:p>
    <w:p>
      <w:pPr>
        <w:tabs>
          <w:tab w:val="right" w:leader="dot" w:pos="9062"/>
        </w:tabs>
        <w:ind w:left="1100"/>
      </w:pPr>
      <w:hyperlink w:anchor="_Toc452" w:history="1">
        <w:r>
          <w:rPr>
            <w:rFonts w:ascii="IRNazanin" w:hAnsi="IRNazanin" w:eastAsia="IRNazanin" w:cs="IRNazanin"/>
            <w:color w:val="111111"/>
            <w:sz w:val="22"/>
            <w:szCs w:val="22"/>
            <w:b w:val="0"/>
            <w:bCs w:val="0"/>
            <w:i w:val="0"/>
            <w:iCs w:val="0"/>
          </w:rPr>
          <w:t>المسألة الثانیة ما إذا کان الشکّ فی الجزئیّة ناشئا من إجمال الدلیل</w:t>
        </w:r>
        <w:r>
          <w:tab/>
        </w:r>
        <w:r>
          <w:fldChar w:fldCharType="begin"/>
        </w:r>
        <w:r>
          <w:instrText xml:space="preserve">PAGEREF 452 \h</w:instrText>
        </w:r>
        <w:r>
          <w:fldChar w:fldCharType="end"/>
        </w:r>
      </w:hyperlink>
    </w:p>
    <w:p>
      <w:pPr>
        <w:tabs>
          <w:tab w:val="right" w:leader="dot" w:pos="9062"/>
        </w:tabs>
        <w:ind w:left="1100"/>
      </w:pPr>
      <w:hyperlink w:anchor="_Toc4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453 \h</w:instrText>
        </w:r>
        <w:r>
          <w:fldChar w:fldCharType="end"/>
        </w:r>
      </w:hyperlink>
    </w:p>
    <w:p>
      <w:pPr>
        <w:tabs>
          <w:tab w:val="right" w:leader="dot" w:pos="9062"/>
        </w:tabs>
        <w:ind w:left="1100"/>
      </w:pPr>
      <w:hyperlink w:anchor="_Toc454" w:history="1">
        <w:r>
          <w:rPr>
            <w:rFonts w:ascii="IRNazanin" w:hAnsi="IRNazanin" w:eastAsia="IRNazanin" w:cs="IRNazanin"/>
            <w:color w:val="111111"/>
            <w:sz w:val="22"/>
            <w:szCs w:val="22"/>
            <w:b w:val="0"/>
            <w:bCs w:val="0"/>
            <w:i w:val="0"/>
            <w:iCs w:val="0"/>
          </w:rPr>
          <w:t>[الإجمال قد یکون فی المعنی العرفی و قد یکون فی المعنی الشرعی]</w:t>
        </w:r>
        <w:r>
          <w:tab/>
        </w:r>
        <w:r>
          <w:fldChar w:fldCharType="begin"/>
        </w:r>
        <w:r>
          <w:instrText xml:space="preserve">PAGEREF 454 \h</w:instrText>
        </w:r>
        <w:r>
          <w:fldChar w:fldCharType="end"/>
        </w:r>
      </w:hyperlink>
    </w:p>
    <w:p>
      <w:pPr>
        <w:tabs>
          <w:tab w:val="right" w:leader="dot" w:pos="9062"/>
        </w:tabs>
        <w:ind w:left="1100"/>
      </w:pPr>
      <w:hyperlink w:anchor="_Toc455" w:history="1">
        <w:r>
          <w:rPr>
            <w:rFonts w:ascii="IRNazanin" w:hAnsi="IRNazanin" w:eastAsia="IRNazanin" w:cs="IRNazanin"/>
            <w:color w:val="111111"/>
            <w:sz w:val="22"/>
            <w:szCs w:val="22"/>
            <w:b w:val="0"/>
            <w:bCs w:val="0"/>
            <w:i w:val="0"/>
            <w:iCs w:val="0"/>
          </w:rPr>
          <w:t>[الأقوی جریان أصالة البراءة أیضا]</w:t>
        </w:r>
        <w:r>
          <w:tab/>
        </w:r>
        <w:r>
          <w:fldChar w:fldCharType="begin"/>
        </w:r>
        <w:r>
          <w:instrText xml:space="preserve">PAGEREF 455 \h</w:instrText>
        </w:r>
        <w:r>
          <w:fldChar w:fldCharType="end"/>
        </w:r>
      </w:hyperlink>
    </w:p>
    <w:p>
      <w:pPr>
        <w:tabs>
          <w:tab w:val="right" w:leader="dot" w:pos="9062"/>
        </w:tabs>
        <w:ind w:left="1100"/>
      </w:pPr>
      <w:hyperlink w:anchor="_Toc456" w:history="1">
        <w:r>
          <w:rPr>
            <w:rFonts w:ascii="IRNazanin" w:hAnsi="IRNazanin" w:eastAsia="IRNazanin" w:cs="IRNazanin"/>
            <w:color w:val="111111"/>
            <w:sz w:val="22"/>
            <w:szCs w:val="22"/>
            <w:b w:val="0"/>
            <w:bCs w:val="0"/>
            <w:i w:val="0"/>
            <w:iCs w:val="0"/>
          </w:rPr>
          <w:t>[تخیّل جریان قاعدة الاشتغال فی المسألة،و دفعه]</w:t>
        </w:r>
        <w:r>
          <w:tab/>
        </w:r>
        <w:r>
          <w:fldChar w:fldCharType="begin"/>
        </w:r>
        <w:r>
          <w:instrText xml:space="preserve">PAGEREF 456 \h</w:instrText>
        </w:r>
        <w:r>
          <w:fldChar w:fldCharType="end"/>
        </w:r>
      </w:hyperlink>
    </w:p>
    <w:p>
      <w:pPr>
        <w:tabs>
          <w:tab w:val="right" w:leader="dot" w:pos="9062"/>
        </w:tabs>
        <w:ind w:left="1100"/>
      </w:pPr>
      <w:hyperlink w:anchor="_Toc457" w:history="1">
        <w:r>
          <w:rPr>
            <w:rFonts w:ascii="IRNazanin" w:hAnsi="IRNazanin" w:eastAsia="IRNazanin" w:cs="IRNazanin"/>
            <w:color w:val="111111"/>
            <w:sz w:val="22"/>
            <w:szCs w:val="22"/>
            <w:b w:val="0"/>
            <w:bCs w:val="0"/>
            <w:i w:val="0"/>
            <w:iCs w:val="0"/>
          </w:rPr>
          <w:t>[عدم تعلّق التکلیف بمفهوم المراد من اللفظ بل بمصداقه]</w:t>
        </w:r>
        <w:r>
          <w:tab/>
        </w:r>
        <w:r>
          <w:fldChar w:fldCharType="begin"/>
        </w:r>
        <w:r>
          <w:instrText xml:space="preserve">PAGEREF 457 \h</w:instrText>
        </w:r>
        <w:r>
          <w:fldChar w:fldCharType="end"/>
        </w:r>
      </w:hyperlink>
    </w:p>
    <w:p>
      <w:pPr>
        <w:tabs>
          <w:tab w:val="right" w:leader="dot" w:pos="9062"/>
        </w:tabs>
        <w:ind w:left="1100"/>
      </w:pPr>
      <w:hyperlink w:anchor="_Toc458" w:history="1">
        <w:r>
          <w:rPr>
            <w:rFonts w:ascii="IRNazanin" w:hAnsi="IRNazanin" w:eastAsia="IRNazanin" w:cs="IRNazanin"/>
            <w:color w:val="111111"/>
            <w:sz w:val="22"/>
            <w:szCs w:val="22"/>
            <w:b w:val="0"/>
            <w:bCs w:val="0"/>
            <w:i w:val="0"/>
            <w:iCs w:val="0"/>
          </w:rPr>
          <w:t>[ما ذکره بعض من الثمرة بین الصحیحی و الأعمّی]</w:t>
        </w:r>
        <w:r>
          <w:tab/>
        </w:r>
        <w:r>
          <w:fldChar w:fldCharType="begin"/>
        </w:r>
        <w:r>
          <w:instrText xml:space="preserve">PAGEREF 458 \h</w:instrText>
        </w:r>
        <w:r>
          <w:fldChar w:fldCharType="end"/>
        </w:r>
      </w:hyperlink>
    </w:p>
    <w:p>
      <w:pPr>
        <w:tabs>
          <w:tab w:val="right" w:leader="dot" w:pos="9062"/>
        </w:tabs>
        <w:ind w:left="1100"/>
      </w:pPr>
      <w:hyperlink w:anchor="_Toc459" w:history="1">
        <w:r>
          <w:rPr>
            <w:rFonts w:ascii="IRNazanin" w:hAnsi="IRNazanin" w:eastAsia="IRNazanin" w:cs="IRNazanin"/>
            <w:color w:val="111111"/>
            <w:sz w:val="22"/>
            <w:szCs w:val="22"/>
            <w:b w:val="0"/>
            <w:bCs w:val="0"/>
            <w:i w:val="0"/>
            <w:iCs w:val="0"/>
          </w:rPr>
          <w:t>[عدم کون الثمرة وجوب الاحتیاط بناء علی الصحیحی]</w:t>
        </w:r>
        <w:r>
          <w:tab/>
        </w:r>
        <w:r>
          <w:fldChar w:fldCharType="begin"/>
        </w:r>
        <w:r>
          <w:instrText xml:space="preserve">PAGEREF 459 \h</w:instrText>
        </w:r>
        <w:r>
          <w:fldChar w:fldCharType="end"/>
        </w:r>
      </w:hyperlink>
    </w:p>
    <w:p>
      <w:pPr>
        <w:tabs>
          <w:tab w:val="right" w:leader="dot" w:pos="9062"/>
        </w:tabs>
        <w:ind w:left="1100"/>
      </w:pPr>
      <w:hyperlink w:anchor="_Toc460" w:history="1">
        <w:r>
          <w:rPr>
            <w:rFonts w:ascii="IRNazanin" w:hAnsi="IRNazanin" w:eastAsia="IRNazanin" w:cs="IRNazanin"/>
            <w:color w:val="111111"/>
            <w:sz w:val="22"/>
            <w:szCs w:val="22"/>
            <w:b w:val="0"/>
            <w:bCs w:val="0"/>
            <w:i w:val="0"/>
            <w:iCs w:val="0"/>
          </w:rPr>
          <w:t>[توضیح ما ذکروه ثمرة للصحیحی و الأعمّی]</w:t>
        </w:r>
        <w:r>
          <w:tab/>
        </w:r>
        <w:r>
          <w:fldChar w:fldCharType="begin"/>
        </w:r>
        <w:r>
          <w:instrText xml:space="preserve">PAGEREF 460 \h</w:instrText>
        </w:r>
        <w:r>
          <w:fldChar w:fldCharType="end"/>
        </w:r>
      </w:hyperlink>
    </w:p>
    <w:p>
      <w:pPr>
        <w:tabs>
          <w:tab w:val="right" w:leader="dot" w:pos="9062"/>
        </w:tabs>
        <w:ind w:left="1100"/>
      </w:pPr>
      <w:hyperlink w:anchor="_Toc461" w:history="1">
        <w:r>
          <w:rPr>
            <w:rFonts w:ascii="IRNazanin" w:hAnsi="IRNazanin" w:eastAsia="IRNazanin" w:cs="IRNazanin"/>
            <w:color w:val="111111"/>
            <w:sz w:val="22"/>
            <w:szCs w:val="22"/>
            <w:b w:val="0"/>
            <w:bCs w:val="0"/>
            <w:i w:val="0"/>
            <w:iCs w:val="0"/>
          </w:rPr>
          <w:t>[عدم کون الثمرة البراءة بناء علی الأعمّی]</w:t>
        </w:r>
        <w:r>
          <w:tab/>
        </w:r>
        <w:r>
          <w:fldChar w:fldCharType="begin"/>
        </w:r>
        <w:r>
          <w:instrText xml:space="preserve">PAGEREF 461 \h</w:instrText>
        </w:r>
        <w:r>
          <w:fldChar w:fldCharType="end"/>
        </w:r>
      </w:hyperlink>
    </w:p>
    <w:p>
      <w:pPr>
        <w:tabs>
          <w:tab w:val="right" w:leader="dot" w:pos="9062"/>
        </w:tabs>
        <w:ind w:left="1100"/>
      </w:pPr>
      <w:hyperlink w:anchor="_Toc462" w:history="1">
        <w:r>
          <w:rPr>
            <w:rFonts w:ascii="IRNazanin" w:hAnsi="IRNazanin" w:eastAsia="IRNazanin" w:cs="IRNazanin"/>
            <w:color w:val="111111"/>
            <w:sz w:val="22"/>
            <w:szCs w:val="22"/>
            <w:b w:val="0"/>
            <w:bCs w:val="0"/>
            <w:i w:val="0"/>
            <w:iCs w:val="0"/>
          </w:rPr>
          <w:t>[ما ینبغی أن یقال فی ثمرة الخلاف بین الصحیحی و الأعمّی]</w:t>
        </w:r>
        <w:r>
          <w:tab/>
        </w:r>
        <w:r>
          <w:fldChar w:fldCharType="begin"/>
        </w:r>
        <w:r>
          <w:instrText xml:space="preserve">PAGEREF 462 \h</w:instrText>
        </w:r>
        <w:r>
          <w:fldChar w:fldCharType="end"/>
        </w:r>
      </w:hyperlink>
    </w:p>
    <w:p>
      <w:pPr>
        <w:tabs>
          <w:tab w:val="right" w:leader="dot" w:pos="9062"/>
        </w:tabs>
        <w:ind w:left="1100"/>
      </w:pPr>
      <w:hyperlink w:anchor="_Toc463" w:history="1">
        <w:r>
          <w:rPr>
            <w:rFonts w:ascii="IRNazanin" w:hAnsi="IRNazanin" w:eastAsia="IRNazanin" w:cs="IRNazanin"/>
            <w:color w:val="111111"/>
            <w:sz w:val="22"/>
            <w:szCs w:val="22"/>
            <w:b w:val="0"/>
            <w:bCs w:val="0"/>
            <w:i w:val="0"/>
            <w:iCs w:val="0"/>
          </w:rPr>
          <w:t>المسألة الثالثة فیما إذا تعارض نصّان متکافئان فی جزئیّة شیء لشیء و عدمها</w:t>
        </w:r>
        <w:r>
          <w:tab/>
        </w:r>
        <w:r>
          <w:fldChar w:fldCharType="begin"/>
        </w:r>
        <w:r>
          <w:instrText xml:space="preserve">PAGEREF 463 \h</w:instrText>
        </w:r>
        <w:r>
          <w:fldChar w:fldCharType="end"/>
        </w:r>
      </w:hyperlink>
    </w:p>
    <w:p>
      <w:pPr>
        <w:tabs>
          <w:tab w:val="right" w:leader="dot" w:pos="9062"/>
        </w:tabs>
        <w:ind w:left="1100"/>
      </w:pPr>
      <w:hyperlink w:anchor="_Toc4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464 \h</w:instrText>
        </w:r>
        <w:r>
          <w:fldChar w:fldCharType="end"/>
        </w:r>
      </w:hyperlink>
    </w:p>
    <w:p>
      <w:pPr>
        <w:tabs>
          <w:tab w:val="right" w:leader="dot" w:pos="9062"/>
        </w:tabs>
        <w:ind w:left="1100"/>
      </w:pPr>
      <w:hyperlink w:anchor="_Toc465" w:history="1">
        <w:r>
          <w:rPr>
            <w:rFonts w:ascii="IRNazanin" w:hAnsi="IRNazanin" w:eastAsia="IRNazanin" w:cs="IRNazanin"/>
            <w:color w:val="111111"/>
            <w:sz w:val="22"/>
            <w:szCs w:val="22"/>
            <w:b w:val="0"/>
            <w:bCs w:val="0"/>
            <w:i w:val="0"/>
            <w:iCs w:val="0"/>
          </w:rPr>
          <w:t>[مقتضی إطلاق أکثر الأصحاب ثبوت التخییر]</w:t>
        </w:r>
        <w:r>
          <w:tab/>
        </w:r>
        <w:r>
          <w:fldChar w:fldCharType="begin"/>
        </w:r>
        <w:r>
          <w:instrText xml:space="preserve">PAGEREF 465 \h</w:instrText>
        </w:r>
        <w:r>
          <w:fldChar w:fldCharType="end"/>
        </w:r>
      </w:hyperlink>
    </w:p>
    <w:p>
      <w:pPr>
        <w:tabs>
          <w:tab w:val="right" w:leader="dot" w:pos="9062"/>
        </w:tabs>
        <w:ind w:left="1100"/>
      </w:pPr>
      <w:hyperlink w:anchor="_Toc466" w:history="1">
        <w:r>
          <w:rPr>
            <w:rFonts w:ascii="IRNazanin" w:hAnsi="IRNazanin" w:eastAsia="IRNazanin" w:cs="IRNazanin"/>
            <w:color w:val="111111"/>
            <w:sz w:val="22"/>
            <w:szCs w:val="22"/>
            <w:b w:val="0"/>
            <w:bCs w:val="0"/>
            <w:i w:val="0"/>
            <w:iCs w:val="0"/>
          </w:rPr>
          <w:t>[موضوع المسألة]</w:t>
        </w:r>
        <w:r>
          <w:tab/>
        </w:r>
        <w:r>
          <w:fldChar w:fldCharType="begin"/>
        </w:r>
        <w:r>
          <w:instrText xml:space="preserve">PAGEREF 466 \h</w:instrText>
        </w:r>
        <w:r>
          <w:fldChar w:fldCharType="end"/>
        </w:r>
      </w:hyperlink>
    </w:p>
    <w:p>
      <w:pPr>
        <w:tabs>
          <w:tab w:val="right" w:leader="dot" w:pos="9062"/>
        </w:tabs>
        <w:ind w:left="1100"/>
      </w:pPr>
      <w:hyperlink w:anchor="_Toc467" w:history="1">
        <w:r>
          <w:rPr>
            <w:rFonts w:ascii="IRNazanin" w:hAnsi="IRNazanin" w:eastAsia="IRNazanin" w:cs="IRNazanin"/>
            <w:color w:val="111111"/>
            <w:sz w:val="22"/>
            <w:szCs w:val="22"/>
            <w:b w:val="0"/>
            <w:bCs w:val="0"/>
            <w:i w:val="0"/>
            <w:iCs w:val="0"/>
          </w:rPr>
          <w:t>[المتعارضان مع وجود المطلق]</w:t>
        </w:r>
        <w:r>
          <w:tab/>
        </w:r>
        <w:r>
          <w:fldChar w:fldCharType="begin"/>
        </w:r>
        <w:r>
          <w:instrText xml:space="preserve">PAGEREF 467 \h</w:instrText>
        </w:r>
        <w:r>
          <w:fldChar w:fldCharType="end"/>
        </w:r>
      </w:hyperlink>
    </w:p>
    <w:p>
      <w:pPr>
        <w:tabs>
          <w:tab w:val="right" w:leader="dot" w:pos="9062"/>
        </w:tabs>
        <w:ind w:left="1100"/>
      </w:pPr>
      <w:hyperlink w:anchor="_Toc468" w:history="1">
        <w:r>
          <w:rPr>
            <w:rFonts w:ascii="IRNazanin" w:hAnsi="IRNazanin" w:eastAsia="IRNazanin" w:cs="IRNazanin"/>
            <w:color w:val="111111"/>
            <w:sz w:val="22"/>
            <w:szCs w:val="22"/>
            <w:b w:val="0"/>
            <w:bCs w:val="0"/>
            <w:i w:val="0"/>
            <w:iCs w:val="0"/>
          </w:rPr>
          <w:t>[الفرق بین أصالة الإطلاق و سائر الاصول العقلیّة و النقلیّة]</w:t>
        </w:r>
        <w:r>
          <w:tab/>
        </w:r>
        <w:r>
          <w:fldChar w:fldCharType="begin"/>
        </w:r>
        <w:r>
          <w:instrText xml:space="preserve">PAGEREF 468 \h</w:instrText>
        </w:r>
        <w:r>
          <w:fldChar w:fldCharType="end"/>
        </w:r>
      </w:hyperlink>
    </w:p>
    <w:p>
      <w:pPr>
        <w:tabs>
          <w:tab w:val="right" w:leader="dot" w:pos="9062"/>
        </w:tabs>
        <w:ind w:left="1100"/>
      </w:pPr>
      <w:hyperlink w:anchor="_Toc469" w:history="1">
        <w:r>
          <w:rPr>
            <w:rFonts w:ascii="IRNazanin" w:hAnsi="IRNazanin" w:eastAsia="IRNazanin" w:cs="IRNazanin"/>
            <w:color w:val="111111"/>
            <w:sz w:val="22"/>
            <w:szCs w:val="22"/>
            <w:b w:val="0"/>
            <w:bCs w:val="0"/>
            <w:i w:val="0"/>
            <w:iCs w:val="0"/>
          </w:rPr>
          <w:t>[الإنصاف حکومة أخبار التخییر علی أصالة الإطلاق]</w:t>
        </w:r>
        <w:r>
          <w:tab/>
        </w:r>
        <w:r>
          <w:fldChar w:fldCharType="begin"/>
        </w:r>
        <w:r>
          <w:instrText xml:space="preserve">PAGEREF 469 \h</w:instrText>
        </w:r>
        <w:r>
          <w:fldChar w:fldCharType="end"/>
        </w:r>
      </w:hyperlink>
    </w:p>
    <w:p>
      <w:pPr>
        <w:tabs>
          <w:tab w:val="right" w:leader="dot" w:pos="9062"/>
        </w:tabs>
        <w:ind w:left="1100"/>
      </w:pPr>
      <w:hyperlink w:anchor="_Toc470" w:history="1">
        <w:r>
          <w:rPr>
            <w:rFonts w:ascii="IRNazanin" w:hAnsi="IRNazanin" w:eastAsia="IRNazanin" w:cs="IRNazanin"/>
            <w:color w:val="111111"/>
            <w:sz w:val="22"/>
            <w:szCs w:val="22"/>
            <w:b w:val="0"/>
            <w:bCs w:val="0"/>
            <w:i w:val="0"/>
            <w:iCs w:val="0"/>
          </w:rPr>
          <w:t>المسألة الرابعة فیما إذا شکّ فی جزئیّة شیء للمأمور به من جهة الشبهة فی الموضوع الخارجیّ</w:t>
        </w:r>
        <w:r>
          <w:tab/>
        </w:r>
        <w:r>
          <w:fldChar w:fldCharType="begin"/>
        </w:r>
        <w:r>
          <w:instrText xml:space="preserve">PAGEREF 470 \h</w:instrText>
        </w:r>
        <w:r>
          <w:fldChar w:fldCharType="end"/>
        </w:r>
      </w:hyperlink>
    </w:p>
    <w:p>
      <w:pPr>
        <w:tabs>
          <w:tab w:val="right" w:leader="dot" w:pos="9062"/>
        </w:tabs>
        <w:ind w:left="1100"/>
      </w:pPr>
      <w:hyperlink w:anchor="_Toc4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471 \h</w:instrText>
        </w:r>
        <w:r>
          <w:fldChar w:fldCharType="end"/>
        </w:r>
      </w:hyperlink>
    </w:p>
    <w:p>
      <w:pPr>
        <w:tabs>
          <w:tab w:val="right" w:leader="dot" w:pos="9062"/>
        </w:tabs>
        <w:ind w:left="1100"/>
      </w:pPr>
      <w:hyperlink w:anchor="_Toc472" w:history="1">
        <w:r>
          <w:rPr>
            <w:rFonts w:ascii="IRNazanin" w:hAnsi="IRNazanin" w:eastAsia="IRNazanin" w:cs="IRNazanin"/>
            <w:color w:val="111111"/>
            <w:sz w:val="22"/>
            <w:szCs w:val="22"/>
            <w:b w:val="0"/>
            <w:bCs w:val="0"/>
            <w:i w:val="0"/>
            <w:iCs w:val="0"/>
          </w:rPr>
          <w:t>[اللازم فی المسألة الاحتیاط]</w:t>
        </w:r>
        <w:r>
          <w:tab/>
        </w:r>
        <w:r>
          <w:fldChar w:fldCharType="begin"/>
        </w:r>
        <w:r>
          <w:instrText xml:space="preserve">PAGEREF 472 \h</w:instrText>
        </w:r>
        <w:r>
          <w:fldChar w:fldCharType="end"/>
        </w:r>
      </w:hyperlink>
    </w:p>
    <w:p>
      <w:pPr>
        <w:tabs>
          <w:tab w:val="right" w:leader="dot" w:pos="9062"/>
        </w:tabs>
        <w:ind w:left="1100"/>
      </w:pPr>
      <w:hyperlink w:anchor="_Toc473" w:history="1">
        <w:r>
          <w:rPr>
            <w:rFonts w:ascii="IRNazanin" w:hAnsi="IRNazanin" w:eastAsia="IRNazanin" w:cs="IRNazanin"/>
            <w:color w:val="111111"/>
            <w:sz w:val="22"/>
            <w:szCs w:val="22"/>
            <w:b w:val="0"/>
            <w:bCs w:val="0"/>
            <w:i w:val="0"/>
            <w:iCs w:val="0"/>
          </w:rPr>
          <w:t>[عدم جریان أدلّة البراءة فی المسألة]</w:t>
        </w:r>
        <w:r>
          <w:tab/>
        </w:r>
        <w:r>
          <w:fldChar w:fldCharType="begin"/>
        </w:r>
        <w:r>
          <w:instrText xml:space="preserve">PAGEREF 473 \h</w:instrText>
        </w:r>
        <w:r>
          <w:fldChar w:fldCharType="end"/>
        </w:r>
      </w:hyperlink>
    </w:p>
    <w:p>
      <w:pPr>
        <w:tabs>
          <w:tab w:val="right" w:leader="dot" w:pos="9062"/>
        </w:tabs>
        <w:ind w:left="1100"/>
      </w:pPr>
      <w:hyperlink w:anchor="_Toc474" w:history="1">
        <w:r>
          <w:rPr>
            <w:rFonts w:ascii="IRNazanin" w:hAnsi="IRNazanin" w:eastAsia="IRNazanin" w:cs="IRNazanin"/>
            <w:color w:val="111111"/>
            <w:sz w:val="22"/>
            <w:szCs w:val="22"/>
            <w:b w:val="0"/>
            <w:bCs w:val="0"/>
            <w:i w:val="0"/>
            <w:iCs w:val="0"/>
          </w:rPr>
          <w:t>[الفرق بین المسألة و المسائل المتقدّمة من الشبهة الحکمیّة]</w:t>
        </w:r>
        <w:r>
          <w:tab/>
        </w:r>
        <w:r>
          <w:fldChar w:fldCharType="begin"/>
        </w:r>
        <w:r>
          <w:instrText xml:space="preserve">PAGEREF 474 \h</w:instrText>
        </w:r>
        <w:r>
          <w:fldChar w:fldCharType="end"/>
        </w:r>
      </w:hyperlink>
    </w:p>
    <w:p>
      <w:pPr>
        <w:tabs>
          <w:tab w:val="right" w:leader="dot" w:pos="9062"/>
        </w:tabs>
        <w:ind w:left="1100"/>
      </w:pPr>
      <w:hyperlink w:anchor="_Toc475" w:history="1">
        <w:r>
          <w:rPr>
            <w:rFonts w:ascii="IRNazanin" w:hAnsi="IRNazanin" w:eastAsia="IRNazanin" w:cs="IRNazanin"/>
            <w:color w:val="111111"/>
            <w:sz w:val="22"/>
            <w:szCs w:val="22"/>
            <w:b w:val="0"/>
            <w:bCs w:val="0"/>
            <w:i w:val="0"/>
            <w:iCs w:val="0"/>
          </w:rPr>
          <w:t>و أمّا القسم الثانی،و هو الشکّ فی کون الشیء قیدا للمأمور به</w:t>
        </w:r>
        <w:r>
          <w:tab/>
        </w:r>
        <w:r>
          <w:fldChar w:fldCharType="begin"/>
        </w:r>
        <w:r>
          <w:instrText xml:space="preserve">PAGEREF 475 \h</w:instrText>
        </w:r>
        <w:r>
          <w:fldChar w:fldCharType="end"/>
        </w:r>
      </w:hyperlink>
    </w:p>
    <w:p>
      <w:pPr>
        <w:tabs>
          <w:tab w:val="right" w:leader="dot" w:pos="9062"/>
        </w:tabs>
        <w:ind w:left="1100"/>
      </w:pPr>
      <w:hyperlink w:anchor="_Toc476" w:history="1">
        <w:r>
          <w:rPr>
            <w:rFonts w:ascii="IRNazanin" w:hAnsi="IRNazanin" w:eastAsia="IRNazanin" w:cs="IRNazanin"/>
            <w:color w:val="111111"/>
            <w:sz w:val="22"/>
            <w:szCs w:val="22"/>
            <w:b w:val="0"/>
            <w:bCs w:val="0"/>
            <w:i w:val="0"/>
            <w:iCs w:val="0"/>
          </w:rPr>
          <w:t>[القید قد یکون منشؤه مغایرا للمقیّد و قد یکون قیدا متّحدا معه]</w:t>
        </w:r>
        <w:r>
          <w:tab/>
        </w:r>
        <w:r>
          <w:fldChar w:fldCharType="begin"/>
        </w:r>
        <w:r>
          <w:instrText xml:space="preserve">PAGEREF 476 \h</w:instrText>
        </w:r>
        <w:r>
          <w:fldChar w:fldCharType="end"/>
        </w:r>
      </w:hyperlink>
    </w:p>
    <w:p>
      <w:pPr>
        <w:tabs>
          <w:tab w:val="right" w:leader="dot" w:pos="9062"/>
        </w:tabs>
        <w:ind w:left="1100"/>
      </w:pPr>
      <w:hyperlink w:anchor="_Toc477" w:history="1">
        <w:r>
          <w:rPr>
            <w:rFonts w:ascii="IRNazanin" w:hAnsi="IRNazanin" w:eastAsia="IRNazanin" w:cs="IRNazanin"/>
            <w:color w:val="111111"/>
            <w:sz w:val="22"/>
            <w:szCs w:val="22"/>
            <w:b w:val="0"/>
            <w:bCs w:val="0"/>
            <w:i w:val="0"/>
            <w:iCs w:val="0"/>
          </w:rPr>
          <w:t>[الظاهر اتّحاد حکمهما]</w:t>
        </w:r>
        <w:r>
          <w:tab/>
        </w:r>
        <w:r>
          <w:fldChar w:fldCharType="begin"/>
        </w:r>
        <w:r>
          <w:instrText xml:space="preserve">PAGEREF 477 \h</w:instrText>
        </w:r>
        <w:r>
          <w:fldChar w:fldCharType="end"/>
        </w:r>
      </w:hyperlink>
    </w:p>
    <w:p>
      <w:pPr>
        <w:tabs>
          <w:tab w:val="right" w:leader="dot" w:pos="9062"/>
        </w:tabs>
        <w:ind w:left="1100"/>
      </w:pPr>
      <w:hyperlink w:anchor="_Toc478" w:history="1">
        <w:r>
          <w:rPr>
            <w:rFonts w:ascii="IRNazanin" w:hAnsi="IRNazanin" w:eastAsia="IRNazanin" w:cs="IRNazanin"/>
            <w:color w:val="111111"/>
            <w:sz w:val="22"/>
            <w:szCs w:val="22"/>
            <w:b w:val="0"/>
            <w:bCs w:val="0"/>
            <w:i w:val="0"/>
            <w:iCs w:val="0"/>
          </w:rPr>
          <w:t>[قد یفرّق بین القسمین بإلحاق الأوّل بالشکّ فی الجزئیّة دون الثانی]</w:t>
        </w:r>
        <w:r>
          <w:tab/>
        </w:r>
        <w:r>
          <w:fldChar w:fldCharType="begin"/>
        </w:r>
        <w:r>
          <w:instrText xml:space="preserve">PAGEREF 478 \h</w:instrText>
        </w:r>
        <w:r>
          <w:fldChar w:fldCharType="end"/>
        </w:r>
      </w:hyperlink>
    </w:p>
    <w:p>
      <w:pPr>
        <w:tabs>
          <w:tab w:val="right" w:leader="dot" w:pos="9062"/>
        </w:tabs>
        <w:ind w:left="1100"/>
      </w:pPr>
      <w:hyperlink w:anchor="_Toc4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479 \h</w:instrText>
        </w:r>
        <w:r>
          <w:fldChar w:fldCharType="end"/>
        </w:r>
      </w:hyperlink>
    </w:p>
    <w:p>
      <w:pPr>
        <w:tabs>
          <w:tab w:val="right" w:leader="dot" w:pos="9062"/>
        </w:tabs>
        <w:ind w:left="1100"/>
      </w:pPr>
      <w:hyperlink w:anchor="_Toc480" w:history="1">
        <w:r>
          <w:rPr>
            <w:rFonts w:ascii="IRNazanin" w:hAnsi="IRNazanin" w:eastAsia="IRNazanin" w:cs="IRNazanin"/>
            <w:color w:val="111111"/>
            <w:sz w:val="22"/>
            <w:szCs w:val="22"/>
            <w:b w:val="0"/>
            <w:bCs w:val="0"/>
            <w:i w:val="0"/>
            <w:iCs w:val="0"/>
          </w:rPr>
          <w:t>[المناقشة فیما ذکر من الفرق بین القسمین]</w:t>
        </w:r>
        <w:r>
          <w:tab/>
        </w:r>
        <w:r>
          <w:fldChar w:fldCharType="begin"/>
        </w:r>
        <w:r>
          <w:instrText xml:space="preserve">PAGEREF 480 \h</w:instrText>
        </w:r>
        <w:r>
          <w:fldChar w:fldCharType="end"/>
        </w:r>
      </w:hyperlink>
    </w:p>
    <w:p>
      <w:pPr>
        <w:tabs>
          <w:tab w:val="right" w:leader="dot" w:pos="9062"/>
        </w:tabs>
        <w:ind w:left="1100"/>
      </w:pPr>
      <w:hyperlink w:anchor="_Toc481" w:history="1">
        <w:r>
          <w:rPr>
            <w:rFonts w:ascii="IRNazanin" w:hAnsi="IRNazanin" w:eastAsia="IRNazanin" w:cs="IRNazanin"/>
            <w:color w:val="111111"/>
            <w:sz w:val="22"/>
            <w:szCs w:val="22"/>
            <w:b w:val="0"/>
            <w:bCs w:val="0"/>
            <w:i w:val="0"/>
            <w:iCs w:val="0"/>
          </w:rPr>
          <w:t>[دوران الأمر بین التخییر و التعیین]</w:t>
        </w:r>
        <w:r>
          <w:tab/>
        </w:r>
        <w:r>
          <w:fldChar w:fldCharType="begin"/>
        </w:r>
        <w:r>
          <w:instrText xml:space="preserve">PAGEREF 481 \h</w:instrText>
        </w:r>
        <w:r>
          <w:fldChar w:fldCharType="end"/>
        </w:r>
      </w:hyperlink>
    </w:p>
    <w:p>
      <w:pPr>
        <w:tabs>
          <w:tab w:val="right" w:leader="dot" w:pos="9062"/>
        </w:tabs>
        <w:ind w:left="1100"/>
      </w:pPr>
      <w:hyperlink w:anchor="_Toc4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482 \h</w:instrText>
        </w:r>
        <w:r>
          <w:fldChar w:fldCharType="end"/>
        </w:r>
      </w:hyperlink>
    </w:p>
    <w:p>
      <w:pPr>
        <w:tabs>
          <w:tab w:val="right" w:leader="dot" w:pos="9062"/>
        </w:tabs>
        <w:ind w:left="1100"/>
      </w:pPr>
      <w:hyperlink w:anchor="_Toc483" w:history="1">
        <w:r>
          <w:rPr>
            <w:rFonts w:ascii="IRNazanin" w:hAnsi="IRNazanin" w:eastAsia="IRNazanin" w:cs="IRNazanin"/>
            <w:color w:val="111111"/>
            <w:sz w:val="22"/>
            <w:szCs w:val="22"/>
            <w:b w:val="0"/>
            <w:bCs w:val="0"/>
            <w:i w:val="0"/>
            <w:iCs w:val="0"/>
          </w:rPr>
          <w:t>[المسألة فی غایة الإشکال]</w:t>
        </w:r>
        <w:r>
          <w:tab/>
        </w:r>
        <w:r>
          <w:fldChar w:fldCharType="begin"/>
        </w:r>
        <w:r>
          <w:instrText xml:space="preserve">PAGEREF 483 \h</w:instrText>
        </w:r>
        <w:r>
          <w:fldChar w:fldCharType="end"/>
        </w:r>
      </w:hyperlink>
    </w:p>
    <w:p>
      <w:pPr>
        <w:tabs>
          <w:tab w:val="right" w:leader="dot" w:pos="9062"/>
        </w:tabs>
        <w:ind w:left="1100"/>
      </w:pPr>
      <w:hyperlink w:anchor="_Toc484" w:history="1">
        <w:r>
          <w:rPr>
            <w:rFonts w:ascii="IRNazanin" w:hAnsi="IRNazanin" w:eastAsia="IRNazanin" w:cs="IRNazanin"/>
            <w:color w:val="111111"/>
            <w:sz w:val="22"/>
            <w:szCs w:val="22"/>
            <w:b w:val="0"/>
            <w:bCs w:val="0"/>
            <w:i w:val="0"/>
            <w:iCs w:val="0"/>
          </w:rPr>
          <w:t>[الشکّ فی المانعیّة]</w:t>
        </w:r>
        <w:r>
          <w:tab/>
        </w:r>
        <w:r>
          <w:fldChar w:fldCharType="begin"/>
        </w:r>
        <w:r>
          <w:instrText xml:space="preserve">PAGEREF 484 \h</w:instrText>
        </w:r>
        <w:r>
          <w:fldChar w:fldCharType="end"/>
        </w:r>
      </w:hyperlink>
    </w:p>
    <w:p>
      <w:pPr>
        <w:tabs>
          <w:tab w:val="right" w:leader="dot" w:pos="9062"/>
        </w:tabs>
        <w:ind w:left="1100"/>
      </w:pPr>
      <w:hyperlink w:anchor="_Toc485" w:history="1">
        <w:r>
          <w:rPr>
            <w:rFonts w:ascii="IRNazanin" w:hAnsi="IRNazanin" w:eastAsia="IRNazanin" w:cs="IRNazanin"/>
            <w:color w:val="111111"/>
            <w:sz w:val="22"/>
            <w:szCs w:val="22"/>
            <w:b w:val="0"/>
            <w:bCs w:val="0"/>
            <w:i w:val="0"/>
            <w:iCs w:val="0"/>
          </w:rPr>
          <w:t>[الشکّ فی القاطعیّة]</w:t>
        </w:r>
        <w:r>
          <w:tab/>
        </w:r>
        <w:r>
          <w:fldChar w:fldCharType="begin"/>
        </w:r>
        <w:r>
          <w:instrText xml:space="preserve">PAGEREF 485 \h</w:instrText>
        </w:r>
        <w:r>
          <w:fldChar w:fldCharType="end"/>
        </w:r>
      </w:hyperlink>
    </w:p>
    <w:p>
      <w:pPr>
        <w:tabs>
          <w:tab w:val="right" w:leader="dot" w:pos="9062"/>
        </w:tabs>
        <w:ind w:left="1100"/>
      </w:pPr>
      <w:hyperlink w:anchor="_Toc486" w:history="1">
        <w:r>
          <w:rPr>
            <w:rFonts w:ascii="IRNazanin" w:hAnsi="IRNazanin" w:eastAsia="IRNazanin" w:cs="IRNazanin"/>
            <w:color w:val="111111"/>
            <w:sz w:val="22"/>
            <w:szCs w:val="22"/>
            <w:b w:val="0"/>
            <w:bCs w:val="0"/>
            <w:i w:val="0"/>
            <w:iCs w:val="0"/>
          </w:rPr>
          <w:t>[إذا کان الشکّ فی الجزئیّة أو الشرطیّة ناشئا عن الشکّ فی حکم تکلیفی نفسی]</w:t>
        </w:r>
        <w:r>
          <w:tab/>
        </w:r>
        <w:r>
          <w:fldChar w:fldCharType="begin"/>
        </w:r>
        <w:r>
          <w:instrText xml:space="preserve">PAGEREF 486 \h</w:instrText>
        </w:r>
        <w:r>
          <w:fldChar w:fldCharType="end"/>
        </w:r>
      </w:hyperlink>
    </w:p>
    <w:p>
      <w:pPr>
        <w:tabs>
          <w:tab w:val="right" w:leader="dot" w:pos="9062"/>
        </w:tabs>
        <w:ind w:left="1100"/>
      </w:pPr>
      <w:hyperlink w:anchor="_Toc487" w:history="1">
        <w:r>
          <w:rPr>
            <w:rFonts w:ascii="IRNazanin" w:hAnsi="IRNazanin" w:eastAsia="IRNazanin" w:cs="IRNazanin"/>
            <w:color w:val="111111"/>
            <w:sz w:val="22"/>
            <w:szCs w:val="22"/>
            <w:b w:val="0"/>
            <w:bCs w:val="0"/>
            <w:i w:val="0"/>
            <w:iCs w:val="0"/>
          </w:rPr>
          <w:t>و ینبغی التنبیه علی امور متعلّقة بالجزء و الشرط</w:t>
        </w:r>
        <w:r>
          <w:tab/>
        </w:r>
        <w:r>
          <w:fldChar w:fldCharType="begin"/>
        </w:r>
        <w:r>
          <w:instrText xml:space="preserve">PAGEREF 487 \h</w:instrText>
        </w:r>
        <w:r>
          <w:fldChar w:fldCharType="end"/>
        </w:r>
      </w:hyperlink>
    </w:p>
    <w:p>
      <w:pPr>
        <w:tabs>
          <w:tab w:val="right" w:leader="dot" w:pos="9062"/>
        </w:tabs>
        <w:ind w:left="1100"/>
      </w:pPr>
      <w:hyperlink w:anchor="_Toc488" w:history="1">
        <w:r>
          <w:rPr>
            <w:rFonts w:ascii="IRNazanin" w:hAnsi="IRNazanin" w:eastAsia="IRNazanin" w:cs="IRNazanin"/>
            <w:color w:val="111111"/>
            <w:sz w:val="22"/>
            <w:szCs w:val="22"/>
            <w:b w:val="0"/>
            <w:bCs w:val="0"/>
            <w:i w:val="0"/>
            <w:iCs w:val="0"/>
          </w:rPr>
          <w:t>الأمر الأوّل [:الشکّ فی الرکنیّة]</w:t>
        </w:r>
        <w:r>
          <w:tab/>
        </w:r>
        <w:r>
          <w:fldChar w:fldCharType="begin"/>
        </w:r>
        <w:r>
          <w:instrText xml:space="preserve">PAGEREF 488 \h</w:instrText>
        </w:r>
        <w:r>
          <w:fldChar w:fldCharType="end"/>
        </w:r>
      </w:hyperlink>
    </w:p>
    <w:p>
      <w:pPr>
        <w:tabs>
          <w:tab w:val="right" w:leader="dot" w:pos="9062"/>
        </w:tabs>
        <w:ind w:left="1100"/>
      </w:pPr>
      <w:hyperlink w:anchor="_Toc489" w:history="1">
        <w:r>
          <w:rPr>
            <w:rFonts w:ascii="IRNazanin" w:hAnsi="IRNazanin" w:eastAsia="IRNazanin" w:cs="IRNazanin"/>
            <w:color w:val="111111"/>
            <w:sz w:val="22"/>
            <w:szCs w:val="22"/>
            <w:b w:val="0"/>
            <w:bCs w:val="0"/>
            <w:i w:val="0"/>
            <w:iCs w:val="0"/>
          </w:rPr>
          <w:t>اشارة</w:t>
        </w:r>
        <w:r>
          <w:tab/>
        </w:r>
        <w:r>
          <w:fldChar w:fldCharType="begin"/>
        </w:r>
        <w:r>
          <w:instrText xml:space="preserve">PAGEREF 489 \h</w:instrText>
        </w:r>
        <w:r>
          <w:fldChar w:fldCharType="end"/>
        </w:r>
      </w:hyperlink>
    </w:p>
    <w:p>
      <w:pPr>
        <w:tabs>
          <w:tab w:val="right" w:leader="dot" w:pos="9062"/>
        </w:tabs>
        <w:ind w:left="1100"/>
      </w:pPr>
      <w:hyperlink w:anchor="_Toc490" w:history="1">
        <w:r>
          <w:rPr>
            <w:rFonts w:ascii="IRNazanin" w:hAnsi="IRNazanin" w:eastAsia="IRNazanin" w:cs="IRNazanin"/>
            <w:color w:val="111111"/>
            <w:sz w:val="22"/>
            <w:szCs w:val="22"/>
            <w:b w:val="0"/>
            <w:bCs w:val="0"/>
            <w:i w:val="0"/>
            <w:iCs w:val="0"/>
          </w:rPr>
          <w:t>[الرکن فی اصطلاح الفقهاء]</w:t>
        </w:r>
        <w:r>
          <w:tab/>
        </w:r>
        <w:r>
          <w:fldChar w:fldCharType="begin"/>
        </w:r>
        <w:r>
          <w:instrText xml:space="preserve">PAGEREF 490 \h</w:instrText>
        </w:r>
        <w:r>
          <w:fldChar w:fldCharType="end"/>
        </w:r>
      </w:hyperlink>
    </w:p>
    <w:p>
      <w:pPr>
        <w:tabs>
          <w:tab w:val="right" w:leader="dot" w:pos="9062"/>
        </w:tabs>
        <w:ind w:left="1100"/>
      </w:pPr>
      <w:hyperlink w:anchor="_Toc491" w:history="1">
        <w:r>
          <w:rPr>
            <w:rFonts w:ascii="IRNazanin" w:hAnsi="IRNazanin" w:eastAsia="IRNazanin" w:cs="IRNazanin"/>
            <w:color w:val="111111"/>
            <w:sz w:val="22"/>
            <w:szCs w:val="22"/>
            <w:b w:val="0"/>
            <w:bCs w:val="0"/>
            <w:i w:val="0"/>
            <w:iCs w:val="0"/>
          </w:rPr>
          <w:t>[حکم الإخلال بالجزء نقیصة و زیادة]</w:t>
        </w:r>
        <w:r>
          <w:tab/>
        </w:r>
        <w:r>
          <w:fldChar w:fldCharType="begin"/>
        </w:r>
        <w:r>
          <w:instrText xml:space="preserve">PAGEREF 491 \h</w:instrText>
        </w:r>
        <w:r>
          <w:fldChar w:fldCharType="end"/>
        </w:r>
      </w:hyperlink>
    </w:p>
    <w:p>
      <w:pPr>
        <w:tabs>
          <w:tab w:val="right" w:leader="dot" w:pos="9062"/>
        </w:tabs>
        <w:ind w:left="1100"/>
      </w:pPr>
      <w:hyperlink w:anchor="_Toc4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492 \h</w:instrText>
        </w:r>
        <w:r>
          <w:fldChar w:fldCharType="end"/>
        </w:r>
      </w:hyperlink>
    </w:p>
    <w:p>
      <w:pPr>
        <w:tabs>
          <w:tab w:val="right" w:leader="dot" w:pos="9062"/>
        </w:tabs>
        <w:ind w:left="1100"/>
      </w:pPr>
      <w:hyperlink w:anchor="_Toc493" w:history="1">
        <w:r>
          <w:rPr>
            <w:rFonts w:ascii="IRNazanin" w:hAnsi="IRNazanin" w:eastAsia="IRNazanin" w:cs="IRNazanin"/>
            <w:color w:val="111111"/>
            <w:sz w:val="22"/>
            <w:szCs w:val="22"/>
            <w:b w:val="0"/>
            <w:bCs w:val="0"/>
            <w:i w:val="0"/>
            <w:iCs w:val="0"/>
          </w:rPr>
          <w:t>[المسألة الاولی] [:هل تبطل العبادة] [فی ترک الجزء سهوا]</w:t>
        </w:r>
        <w:r>
          <w:tab/>
        </w:r>
        <w:r>
          <w:fldChar w:fldCharType="begin"/>
        </w:r>
        <w:r>
          <w:instrText xml:space="preserve">PAGEREF 493 \h</w:instrText>
        </w:r>
        <w:r>
          <w:fldChar w:fldCharType="end"/>
        </w:r>
      </w:hyperlink>
    </w:p>
    <w:p>
      <w:pPr>
        <w:tabs>
          <w:tab w:val="right" w:leader="dot" w:pos="9062"/>
        </w:tabs>
        <w:ind w:left="1100"/>
      </w:pPr>
      <w:hyperlink w:anchor="_Toc49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494 \h</w:instrText>
        </w:r>
        <w:r>
          <w:fldChar w:fldCharType="end"/>
        </w:r>
      </w:hyperlink>
    </w:p>
    <w:p>
      <w:pPr>
        <w:tabs>
          <w:tab w:val="right" w:leader="dot" w:pos="9062"/>
        </w:tabs>
        <w:ind w:left="1100"/>
      </w:pPr>
      <w:hyperlink w:anchor="_Toc495" w:history="1">
        <w:r>
          <w:rPr>
            <w:rFonts w:ascii="IRNazanin" w:hAnsi="IRNazanin" w:eastAsia="IRNazanin" w:cs="IRNazanin"/>
            <w:color w:val="111111"/>
            <w:sz w:val="22"/>
            <w:szCs w:val="22"/>
            <w:b w:val="0"/>
            <w:bCs w:val="0"/>
            <w:i w:val="0"/>
            <w:iCs w:val="0"/>
          </w:rPr>
          <w:t>[الأصل البطلان و الدلیل علیه]</w:t>
        </w:r>
        <w:r>
          <w:tab/>
        </w:r>
        <w:r>
          <w:fldChar w:fldCharType="begin"/>
        </w:r>
        <w:r>
          <w:instrText xml:space="preserve">PAGEREF 495 \h</w:instrText>
        </w:r>
        <w:r>
          <w:fldChar w:fldCharType="end"/>
        </w:r>
      </w:hyperlink>
    </w:p>
    <w:p>
      <w:pPr>
        <w:tabs>
          <w:tab w:val="right" w:leader="dot" w:pos="9062"/>
        </w:tabs>
        <w:ind w:left="1100"/>
      </w:pPr>
      <w:hyperlink w:anchor="_Toc496" w:history="1">
        <w:r>
          <w:rPr>
            <w:rFonts w:ascii="IRNazanin" w:hAnsi="IRNazanin" w:eastAsia="IRNazanin" w:cs="IRNazanin"/>
            <w:color w:val="111111"/>
            <w:sz w:val="22"/>
            <w:szCs w:val="22"/>
            <w:b w:val="0"/>
            <w:bCs w:val="0"/>
            <w:i w:val="0"/>
            <w:iCs w:val="0"/>
          </w:rPr>
          <w:t>[عدم کون هذه المسألة من مسألة الإجزاء]</w:t>
        </w:r>
        <w:r>
          <w:tab/>
        </w:r>
        <w:r>
          <w:fldChar w:fldCharType="begin"/>
        </w:r>
        <w:r>
          <w:instrText xml:space="preserve">PAGEREF 496 \h</w:instrText>
        </w:r>
        <w:r>
          <w:fldChar w:fldCharType="end"/>
        </w:r>
      </w:hyperlink>
    </w:p>
    <w:p>
      <w:pPr>
        <w:tabs>
          <w:tab w:val="right" w:leader="dot" w:pos="9062"/>
        </w:tabs>
        <w:ind w:left="1100"/>
      </w:pPr>
      <w:hyperlink w:anchor="_Toc497" w:history="1">
        <w:r>
          <w:rPr>
            <w:rFonts w:ascii="IRNazanin" w:hAnsi="IRNazanin" w:eastAsia="IRNazanin" w:cs="IRNazanin"/>
            <w:color w:val="111111"/>
            <w:sz w:val="22"/>
            <w:szCs w:val="22"/>
            <w:b w:val="0"/>
            <w:bCs w:val="0"/>
            <w:i w:val="0"/>
            <w:iCs w:val="0"/>
          </w:rPr>
          <w:t>[التمسّک فی المسألة باستصحاب الصحّة و المناقشة فیه]</w:t>
        </w:r>
        <w:r>
          <w:tab/>
        </w:r>
        <w:r>
          <w:fldChar w:fldCharType="begin"/>
        </w:r>
        <w:r>
          <w:instrText xml:space="preserve">PAGEREF 497 \h</w:instrText>
        </w:r>
        <w:r>
          <w:fldChar w:fldCharType="end"/>
        </w:r>
      </w:hyperlink>
    </w:p>
    <w:p>
      <w:pPr>
        <w:tabs>
          <w:tab w:val="right" w:leader="dot" w:pos="9062"/>
        </w:tabs>
        <w:ind w:left="1100"/>
      </w:pPr>
      <w:hyperlink w:anchor="_Toc498" w:history="1">
        <w:r>
          <w:rPr>
            <w:rFonts w:ascii="IRNazanin" w:hAnsi="IRNazanin" w:eastAsia="IRNazanin" w:cs="IRNazanin"/>
            <w:color w:val="111111"/>
            <w:sz w:val="22"/>
            <w:szCs w:val="22"/>
            <w:b w:val="0"/>
            <w:bCs w:val="0"/>
            <w:i w:val="0"/>
            <w:iCs w:val="0"/>
          </w:rPr>
          <w:t>[توهّم أصل ثانوی فی المسألة من جهة حدیث الرفع]</w:t>
        </w:r>
        <w:r>
          <w:tab/>
        </w:r>
        <w:r>
          <w:fldChar w:fldCharType="begin"/>
        </w:r>
        <w:r>
          <w:instrText xml:space="preserve">PAGEREF 498 \h</w:instrText>
        </w:r>
        <w:r>
          <w:fldChar w:fldCharType="end"/>
        </w:r>
      </w:hyperlink>
    </w:p>
    <w:p>
      <w:pPr>
        <w:tabs>
          <w:tab w:val="right" w:leader="dot" w:pos="9062"/>
        </w:tabs>
        <w:ind w:left="1100"/>
      </w:pPr>
      <w:hyperlink w:anchor="_Toc499" w:history="1">
        <w:r>
          <w:rPr>
            <w:rFonts w:ascii="IRNazanin" w:hAnsi="IRNazanin" w:eastAsia="IRNazanin" w:cs="IRNazanin"/>
            <w:color w:val="111111"/>
            <w:sz w:val="22"/>
            <w:szCs w:val="22"/>
            <w:b w:val="0"/>
            <w:bCs w:val="0"/>
            <w:i w:val="0"/>
            <w:iCs w:val="0"/>
          </w:rPr>
          <w:t>[المناقشة فی التمسّک بحدیث الرفع]</w:t>
        </w:r>
        <w:r>
          <w:tab/>
        </w:r>
        <w:r>
          <w:fldChar w:fldCharType="begin"/>
        </w:r>
        <w:r>
          <w:instrText xml:space="preserve">PAGEREF 499 \h</w:instrText>
        </w:r>
        <w:r>
          <w:fldChar w:fldCharType="end"/>
        </w:r>
      </w:hyperlink>
    </w:p>
    <w:p>
      <w:pPr>
        <w:tabs>
          <w:tab w:val="right" w:leader="dot" w:pos="9062"/>
        </w:tabs>
        <w:ind w:left="1100"/>
      </w:pPr>
      <w:hyperlink w:anchor="_Toc500" w:history="1">
        <w:r>
          <w:rPr>
            <w:rFonts w:ascii="IRNazanin" w:hAnsi="IRNazanin" w:eastAsia="IRNazanin" w:cs="IRNazanin"/>
            <w:color w:val="111111"/>
            <w:sz w:val="22"/>
            <w:szCs w:val="22"/>
            <w:b w:val="0"/>
            <w:bCs w:val="0"/>
            <w:i w:val="0"/>
            <w:iCs w:val="0"/>
          </w:rPr>
          <w:t>[إمکان دعوی أصل ثانوی فی خصوص الصلاة]</w:t>
        </w:r>
        <w:r>
          <w:tab/>
        </w:r>
        <w:r>
          <w:fldChar w:fldCharType="begin"/>
        </w:r>
        <w:r>
          <w:instrText xml:space="preserve">PAGEREF 500 \h</w:instrText>
        </w:r>
        <w:r>
          <w:fldChar w:fldCharType="end"/>
        </w:r>
      </w:hyperlink>
    </w:p>
    <w:p>
      <w:pPr>
        <w:tabs>
          <w:tab w:val="right" w:leader="dot" w:pos="9062"/>
        </w:tabs>
        <w:ind w:left="1100"/>
      </w:pPr>
      <w:hyperlink w:anchor="_Toc501" w:history="1">
        <w:r>
          <w:rPr>
            <w:rFonts w:ascii="IRNazanin" w:hAnsi="IRNazanin" w:eastAsia="IRNazanin" w:cs="IRNazanin"/>
            <w:color w:val="111111"/>
            <w:sz w:val="22"/>
            <w:szCs w:val="22"/>
            <w:b w:val="0"/>
            <w:bCs w:val="0"/>
            <w:i w:val="0"/>
            <w:iCs w:val="0"/>
          </w:rPr>
          <w:t>المسألة الثانیة [:هل تبطل العبادة] فی زیادة الجزء عمدا؟</w:t>
        </w:r>
        <w:r>
          <w:tab/>
        </w:r>
        <w:r>
          <w:fldChar w:fldCharType="begin"/>
        </w:r>
        <w:r>
          <w:instrText xml:space="preserve">PAGEREF 501 \h</w:instrText>
        </w:r>
        <w:r>
          <w:fldChar w:fldCharType="end"/>
        </w:r>
      </w:hyperlink>
    </w:p>
    <w:p>
      <w:pPr>
        <w:tabs>
          <w:tab w:val="right" w:leader="dot" w:pos="9062"/>
        </w:tabs>
        <w:ind w:left="1100"/>
      </w:pPr>
      <w:hyperlink w:anchor="_Toc502" w:history="1">
        <w:r>
          <w:rPr>
            <w:rFonts w:ascii="IRNazanin" w:hAnsi="IRNazanin" w:eastAsia="IRNazanin" w:cs="IRNazanin"/>
            <w:color w:val="111111"/>
            <w:sz w:val="22"/>
            <w:szCs w:val="22"/>
            <w:b w:val="0"/>
            <w:bCs w:val="0"/>
            <w:i w:val="0"/>
            <w:iCs w:val="0"/>
          </w:rPr>
          <w:t>[موضوع المسألة]</w:t>
        </w:r>
        <w:r>
          <w:tab/>
        </w:r>
        <w:r>
          <w:fldChar w:fldCharType="begin"/>
        </w:r>
        <w:r>
          <w:instrText xml:space="preserve">PAGEREF 502 \h</w:instrText>
        </w:r>
        <w:r>
          <w:fldChar w:fldCharType="end"/>
        </w:r>
      </w:hyperlink>
    </w:p>
    <w:p>
      <w:pPr>
        <w:tabs>
          <w:tab w:val="right" w:leader="dot" w:pos="9062"/>
        </w:tabs>
        <w:ind w:left="1100"/>
      </w:pPr>
      <w:hyperlink w:anchor="_Toc503" w:history="1">
        <w:r>
          <w:rPr>
            <w:rFonts w:ascii="IRNazanin" w:hAnsi="IRNazanin" w:eastAsia="IRNazanin" w:cs="IRNazanin"/>
            <w:color w:val="111111"/>
            <w:sz w:val="22"/>
            <w:szCs w:val="22"/>
            <w:b w:val="0"/>
            <w:bCs w:val="0"/>
            <w:i w:val="0"/>
            <w:iCs w:val="0"/>
          </w:rPr>
          <w:t>[أقسام الزیادة العمدیّة:]</w:t>
        </w:r>
        <w:r>
          <w:tab/>
        </w:r>
        <w:r>
          <w:fldChar w:fldCharType="begin"/>
        </w:r>
        <w:r>
          <w:instrText xml:space="preserve">PAGEREF 503 \h</w:instrText>
        </w:r>
        <w:r>
          <w:fldChar w:fldCharType="end"/>
        </w:r>
      </w:hyperlink>
    </w:p>
    <w:p>
      <w:pPr>
        <w:tabs>
          <w:tab w:val="right" w:leader="dot" w:pos="9062"/>
        </w:tabs>
        <w:ind w:left="1100"/>
      </w:pPr>
      <w:hyperlink w:anchor="_Toc504" w:history="1">
        <w:r>
          <w:rPr>
            <w:rFonts w:ascii="IRNazanin" w:hAnsi="IRNazanin" w:eastAsia="IRNazanin" w:cs="IRNazanin"/>
            <w:color w:val="111111"/>
            <w:sz w:val="22"/>
            <w:szCs w:val="22"/>
            <w:b w:val="0"/>
            <w:bCs w:val="0"/>
            <w:i w:val="0"/>
            <w:iCs w:val="0"/>
          </w:rPr>
          <w:t>اشارة</w:t>
        </w:r>
        <w:r>
          <w:tab/>
        </w:r>
        <w:r>
          <w:fldChar w:fldCharType="begin"/>
        </w:r>
        <w:r>
          <w:instrText xml:space="preserve">PAGEREF 504 \h</w:instrText>
        </w:r>
        <w:r>
          <w:fldChar w:fldCharType="end"/>
        </w:r>
      </w:hyperlink>
    </w:p>
    <w:p>
      <w:pPr>
        <w:tabs>
          <w:tab w:val="right" w:leader="dot" w:pos="9062"/>
        </w:tabs>
        <w:ind w:left="1100"/>
      </w:pPr>
      <w:hyperlink w:anchor="_Toc505" w:history="1">
        <w:r>
          <w:rPr>
            <w:rFonts w:ascii="IRNazanin" w:hAnsi="IRNazanin" w:eastAsia="IRNazanin" w:cs="IRNazanin"/>
            <w:color w:val="111111"/>
            <w:sz w:val="22"/>
            <w:szCs w:val="22"/>
            <w:b w:val="0"/>
            <w:bCs w:val="0"/>
            <w:i w:val="0"/>
            <w:iCs w:val="0"/>
          </w:rPr>
          <w:t>أحدها : أن یزید جزءا من أجزاء الصلاة بقصد کون الزائد جزءا مستقلا</w:t>
        </w:r>
        <w:r>
          <w:tab/>
        </w:r>
        <w:r>
          <w:fldChar w:fldCharType="begin"/>
        </w:r>
        <w:r>
          <w:instrText xml:space="preserve">PAGEREF 505 \h</w:instrText>
        </w:r>
        <w:r>
          <w:fldChar w:fldCharType="end"/>
        </w:r>
      </w:hyperlink>
    </w:p>
    <w:p>
      <w:pPr>
        <w:tabs>
          <w:tab w:val="right" w:leader="dot" w:pos="9062"/>
        </w:tabs>
        <w:ind w:left="1100"/>
      </w:pPr>
      <w:hyperlink w:anchor="_Toc506" w:history="1">
        <w:r>
          <w:rPr>
            <w:rFonts w:ascii="IRNazanin" w:hAnsi="IRNazanin" w:eastAsia="IRNazanin" w:cs="IRNazanin"/>
            <w:color w:val="111111"/>
            <w:sz w:val="22"/>
            <w:szCs w:val="22"/>
            <w:b w:val="0"/>
            <w:bCs w:val="0"/>
            <w:i w:val="0"/>
            <w:iCs w:val="0"/>
          </w:rPr>
          <w:t>الثانی : أن یقصد کون مجموع الزائد و المزید علیه جزءا واحدا</w:t>
        </w:r>
        <w:r>
          <w:tab/>
        </w:r>
        <w:r>
          <w:fldChar w:fldCharType="begin"/>
        </w:r>
        <w:r>
          <w:instrText xml:space="preserve">PAGEREF 506 \h</w:instrText>
        </w:r>
        <w:r>
          <w:fldChar w:fldCharType="end"/>
        </w:r>
      </w:hyperlink>
    </w:p>
    <w:p>
      <w:pPr>
        <w:tabs>
          <w:tab w:val="right" w:leader="dot" w:pos="9062"/>
        </w:tabs>
        <w:ind w:left="1100"/>
      </w:pPr>
      <w:hyperlink w:anchor="_Toc507" w:history="1">
        <w:r>
          <w:rPr>
            <w:rFonts w:ascii="IRNazanin" w:hAnsi="IRNazanin" w:eastAsia="IRNazanin" w:cs="IRNazanin"/>
            <w:color w:val="111111"/>
            <w:sz w:val="22"/>
            <w:szCs w:val="22"/>
            <w:b w:val="0"/>
            <w:bCs w:val="0"/>
            <w:i w:val="0"/>
            <w:iCs w:val="0"/>
          </w:rPr>
          <w:t>الثالث : أن یأتی بالزائد بدلا عن المزید علیه</w:t>
        </w:r>
        <w:r>
          <w:tab/>
        </w:r>
        <w:r>
          <w:fldChar w:fldCharType="begin"/>
        </w:r>
        <w:r>
          <w:instrText xml:space="preserve">PAGEREF 507 \h</w:instrText>
        </w:r>
        <w:r>
          <w:fldChar w:fldCharType="end"/>
        </w:r>
      </w:hyperlink>
    </w:p>
    <w:p>
      <w:pPr>
        <w:tabs>
          <w:tab w:val="right" w:leader="dot" w:pos="9062"/>
        </w:tabs>
        <w:ind w:left="1100"/>
      </w:pPr>
      <w:hyperlink w:anchor="_Toc508" w:history="1">
        <w:r>
          <w:rPr>
            <w:rFonts w:ascii="IRNazanin" w:hAnsi="IRNazanin" w:eastAsia="IRNazanin" w:cs="IRNazanin"/>
            <w:color w:val="111111"/>
            <w:sz w:val="22"/>
            <w:szCs w:val="22"/>
            <w:b w:val="0"/>
            <w:bCs w:val="0"/>
            <w:i w:val="0"/>
            <w:iCs w:val="0"/>
          </w:rPr>
          <w:t>[بطلان العبادة فی القسم الأوّل]</w:t>
        </w:r>
        <w:r>
          <w:tab/>
        </w:r>
        <w:r>
          <w:fldChar w:fldCharType="begin"/>
        </w:r>
        <w:r>
          <w:instrText xml:space="preserve">PAGEREF 508 \h</w:instrText>
        </w:r>
        <w:r>
          <w:fldChar w:fldCharType="end"/>
        </w:r>
      </w:hyperlink>
    </w:p>
    <w:p>
      <w:pPr>
        <w:tabs>
          <w:tab w:val="right" w:leader="dot" w:pos="9062"/>
        </w:tabs>
        <w:ind w:left="1100"/>
      </w:pPr>
      <w:hyperlink w:anchor="_Toc509" w:history="1">
        <w:r>
          <w:rPr>
            <w:rFonts w:ascii="IRNazanin" w:hAnsi="IRNazanin" w:eastAsia="IRNazanin" w:cs="IRNazanin"/>
            <w:color w:val="111111"/>
            <w:sz w:val="22"/>
            <w:szCs w:val="22"/>
            <w:b w:val="0"/>
            <w:bCs w:val="0"/>
            <w:i w:val="0"/>
            <w:iCs w:val="0"/>
          </w:rPr>
          <w:t>[عدم البطلان فی القسمین الأخیرین]</w:t>
        </w:r>
        <w:r>
          <w:tab/>
        </w:r>
        <w:r>
          <w:fldChar w:fldCharType="begin"/>
        </w:r>
        <w:r>
          <w:instrText xml:space="preserve">PAGEREF 509 \h</w:instrText>
        </w:r>
        <w:r>
          <w:fldChar w:fldCharType="end"/>
        </w:r>
      </w:hyperlink>
    </w:p>
    <w:p>
      <w:pPr>
        <w:tabs>
          <w:tab w:val="right" w:leader="dot" w:pos="9062"/>
        </w:tabs>
        <w:ind w:left="1100"/>
      </w:pPr>
      <w:hyperlink w:anchor="_Toc510" w:history="1">
        <w:r>
          <w:rPr>
            <w:rFonts w:ascii="IRNazanin" w:hAnsi="IRNazanin" w:eastAsia="IRNazanin" w:cs="IRNazanin"/>
            <w:color w:val="111111"/>
            <w:sz w:val="22"/>
            <w:szCs w:val="22"/>
            <w:b w:val="0"/>
            <w:bCs w:val="0"/>
            <w:i w:val="0"/>
            <w:iCs w:val="0"/>
          </w:rPr>
          <w:t>[استدلال المحقّق علی البطلان و المناقشة فیه]</w:t>
        </w:r>
        <w:r>
          <w:tab/>
        </w:r>
        <w:r>
          <w:fldChar w:fldCharType="begin"/>
        </w:r>
        <w:r>
          <w:instrText xml:space="preserve">PAGEREF 510 \h</w:instrText>
        </w:r>
        <w:r>
          <w:fldChar w:fldCharType="end"/>
        </w:r>
      </w:hyperlink>
    </w:p>
    <w:p>
      <w:pPr>
        <w:tabs>
          <w:tab w:val="right" w:leader="dot" w:pos="9062"/>
        </w:tabs>
        <w:ind w:left="1100"/>
      </w:pPr>
      <w:hyperlink w:anchor="_Toc511" w:history="1">
        <w:r>
          <w:rPr>
            <w:rFonts w:ascii="IRNazanin" w:hAnsi="IRNazanin" w:eastAsia="IRNazanin" w:cs="IRNazanin"/>
            <w:color w:val="111111"/>
            <w:sz w:val="22"/>
            <w:szCs w:val="22"/>
            <w:b w:val="0"/>
            <w:bCs w:val="0"/>
            <w:i w:val="0"/>
            <w:iCs w:val="0"/>
          </w:rPr>
          <w:t>[الاستدلال علی الصحّة باستصحاب الصحّة و المناقشة فیه]</w:t>
        </w:r>
        <w:r>
          <w:tab/>
        </w:r>
        <w:r>
          <w:fldChar w:fldCharType="begin"/>
        </w:r>
        <w:r>
          <w:instrText xml:space="preserve">PAGEREF 511 \h</w:instrText>
        </w:r>
        <w:r>
          <w:fldChar w:fldCharType="end"/>
        </w:r>
      </w:hyperlink>
    </w:p>
    <w:p>
      <w:pPr>
        <w:tabs>
          <w:tab w:val="right" w:leader="dot" w:pos="9062"/>
        </w:tabs>
        <w:ind w:left="1100"/>
      </w:pPr>
      <w:hyperlink w:anchor="_Toc512" w:history="1">
        <w:r>
          <w:rPr>
            <w:rFonts w:ascii="IRNazanin" w:hAnsi="IRNazanin" w:eastAsia="IRNazanin" w:cs="IRNazanin"/>
            <w:color w:val="111111"/>
            <w:sz w:val="22"/>
            <w:szCs w:val="22"/>
            <w:b w:val="0"/>
            <w:bCs w:val="0"/>
            <w:i w:val="0"/>
            <w:iCs w:val="0"/>
          </w:rPr>
          <w:t>[عدم الحاجة إلی استصحاب صحّة الأجزاء السابقة]</w:t>
        </w:r>
        <w:r>
          <w:tab/>
        </w:r>
        <w:r>
          <w:fldChar w:fldCharType="begin"/>
        </w:r>
        <w:r>
          <w:instrText xml:space="preserve">PAGEREF 512 \h</w:instrText>
        </w:r>
        <w:r>
          <w:fldChar w:fldCharType="end"/>
        </w:r>
      </w:hyperlink>
    </w:p>
    <w:p>
      <w:pPr>
        <w:tabs>
          <w:tab w:val="right" w:leader="dot" w:pos="9062"/>
        </w:tabs>
        <w:ind w:left="1100"/>
      </w:pPr>
      <w:hyperlink w:anchor="_Toc513" w:history="1">
        <w:r>
          <w:rPr>
            <w:rFonts w:ascii="IRNazanin" w:hAnsi="IRNazanin" w:eastAsia="IRNazanin" w:cs="IRNazanin"/>
            <w:color w:val="111111"/>
            <w:sz w:val="22"/>
            <w:szCs w:val="22"/>
            <w:b w:val="0"/>
            <w:bCs w:val="0"/>
            <w:i w:val="0"/>
            <w:iCs w:val="0"/>
          </w:rPr>
          <w:t>[صحّة الاستصحاب إذا شکّ فی القاطعیّة]</w:t>
        </w:r>
        <w:r>
          <w:tab/>
        </w:r>
        <w:r>
          <w:fldChar w:fldCharType="begin"/>
        </w:r>
        <w:r>
          <w:instrText xml:space="preserve">PAGEREF 513 \h</w:instrText>
        </w:r>
        <w:r>
          <w:fldChar w:fldCharType="end"/>
        </w:r>
      </w:hyperlink>
    </w:p>
    <w:p>
      <w:pPr>
        <w:tabs>
          <w:tab w:val="right" w:leader="dot" w:pos="9062"/>
        </w:tabs>
        <w:ind w:left="1100"/>
      </w:pPr>
      <w:hyperlink w:anchor="_Toc514" w:history="1">
        <w:r>
          <w:rPr>
            <w:rFonts w:ascii="IRNazanin" w:hAnsi="IRNazanin" w:eastAsia="IRNazanin" w:cs="IRNazanin"/>
            <w:color w:val="111111"/>
            <w:sz w:val="22"/>
            <w:szCs w:val="22"/>
            <w:b w:val="0"/>
            <w:bCs w:val="0"/>
            <w:i w:val="0"/>
            <w:iCs w:val="0"/>
          </w:rPr>
          <w:t>[الفرق بین الشکّ فی المانعیّة و القاطعیّة]</w:t>
        </w:r>
        <w:r>
          <w:tab/>
        </w:r>
        <w:r>
          <w:fldChar w:fldCharType="begin"/>
        </w:r>
        <w:r>
          <w:instrText xml:space="preserve">PAGEREF 514 \h</w:instrText>
        </w:r>
        <w:r>
          <w:fldChar w:fldCharType="end"/>
        </w:r>
      </w:hyperlink>
    </w:p>
    <w:p>
      <w:pPr>
        <w:tabs>
          <w:tab w:val="right" w:leader="dot" w:pos="9062"/>
        </w:tabs>
        <w:ind w:left="1100"/>
      </w:pPr>
      <w:hyperlink w:anchor="_Toc515" w:history="1">
        <w:r>
          <w:rPr>
            <w:rFonts w:ascii="IRNazanin" w:hAnsi="IRNazanin" w:eastAsia="IRNazanin" w:cs="IRNazanin"/>
            <w:color w:val="111111"/>
            <w:sz w:val="22"/>
            <w:szCs w:val="22"/>
            <w:b w:val="0"/>
            <w:bCs w:val="0"/>
            <w:i w:val="0"/>
            <w:iCs w:val="0"/>
          </w:rPr>
          <w:t>[الإشکال فی الاستصحاب إذا شکّ فی القاطعیّة أیضا]</w:t>
        </w:r>
        <w:r>
          <w:tab/>
        </w:r>
        <w:r>
          <w:fldChar w:fldCharType="begin"/>
        </w:r>
        <w:r>
          <w:instrText xml:space="preserve">PAGEREF 515 \h</w:instrText>
        </w:r>
        <w:r>
          <w:fldChar w:fldCharType="end"/>
        </w:r>
      </w:hyperlink>
    </w:p>
    <w:p>
      <w:pPr>
        <w:tabs>
          <w:tab w:val="right" w:leader="dot" w:pos="9062"/>
        </w:tabs>
        <w:ind w:left="1100"/>
      </w:pPr>
      <w:hyperlink w:anchor="_Toc5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516 \h</w:instrText>
        </w:r>
        <w:r>
          <w:fldChar w:fldCharType="end"/>
        </w:r>
      </w:hyperlink>
    </w:p>
    <w:p>
      <w:pPr>
        <w:tabs>
          <w:tab w:val="right" w:leader="dot" w:pos="9062"/>
        </w:tabs>
        <w:ind w:left="1100"/>
      </w:pPr>
      <w:hyperlink w:anchor="_Toc517" w:history="1">
        <w:r>
          <w:rPr>
            <w:rFonts w:ascii="IRNazanin" w:hAnsi="IRNazanin" w:eastAsia="IRNazanin" w:cs="IRNazanin"/>
            <w:color w:val="111111"/>
            <w:sz w:val="22"/>
            <w:szCs w:val="22"/>
            <w:b w:val="0"/>
            <w:bCs w:val="0"/>
            <w:i w:val="0"/>
            <w:iCs w:val="0"/>
          </w:rPr>
          <w:t>[دفع الإشکال]</w:t>
        </w:r>
        <w:r>
          <w:tab/>
        </w:r>
        <w:r>
          <w:fldChar w:fldCharType="begin"/>
        </w:r>
        <w:r>
          <w:instrText xml:space="preserve">PAGEREF 517 \h</w:instrText>
        </w:r>
        <w:r>
          <w:fldChar w:fldCharType="end"/>
        </w:r>
      </w:hyperlink>
    </w:p>
    <w:p>
      <w:pPr>
        <w:tabs>
          <w:tab w:val="right" w:leader="dot" w:pos="9062"/>
        </w:tabs>
        <w:ind w:left="1100"/>
      </w:pPr>
      <w:hyperlink w:anchor="_Toc518" w:history="1">
        <w:r>
          <w:rPr>
            <w:rFonts w:ascii="IRNazanin" w:hAnsi="IRNazanin" w:eastAsia="IRNazanin" w:cs="IRNazanin"/>
            <w:color w:val="111111"/>
            <w:sz w:val="22"/>
            <w:szCs w:val="22"/>
            <w:b w:val="0"/>
            <w:bCs w:val="0"/>
            <w:i w:val="0"/>
            <w:iCs w:val="0"/>
          </w:rPr>
          <w:t>[الاستدلال علی الصحّة بقوله تعالی:«لا تبطلوا أعمالکم»]</w:t>
        </w:r>
        <w:r>
          <w:tab/>
        </w:r>
        <w:r>
          <w:fldChar w:fldCharType="begin"/>
        </w:r>
        <w:r>
          <w:instrText xml:space="preserve">PAGEREF 518 \h</w:instrText>
        </w:r>
        <w:r>
          <w:fldChar w:fldCharType="end"/>
        </w:r>
      </w:hyperlink>
    </w:p>
    <w:p>
      <w:pPr>
        <w:tabs>
          <w:tab w:val="right" w:leader="dot" w:pos="9062"/>
        </w:tabs>
        <w:ind w:left="1100"/>
      </w:pPr>
      <w:hyperlink w:anchor="_Toc5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519 \h</w:instrText>
        </w:r>
        <w:r>
          <w:fldChar w:fldCharType="end"/>
        </w:r>
      </w:hyperlink>
    </w:p>
    <w:p>
      <w:pPr>
        <w:tabs>
          <w:tab w:val="right" w:leader="dot" w:pos="9062"/>
        </w:tabs>
        <w:ind w:left="1100"/>
      </w:pPr>
      <w:hyperlink w:anchor="_Toc520" w:history="1">
        <w:r>
          <w:rPr>
            <w:rFonts w:ascii="IRNazanin" w:hAnsi="IRNazanin" w:eastAsia="IRNazanin" w:cs="IRNazanin"/>
            <w:color w:val="111111"/>
            <w:sz w:val="22"/>
            <w:szCs w:val="22"/>
            <w:b w:val="0"/>
            <w:bCs w:val="0"/>
            <w:i w:val="0"/>
            <w:iCs w:val="0"/>
          </w:rPr>
          <w:t>[المناقشة فی الاستدلال]</w:t>
        </w:r>
        <w:r>
          <w:tab/>
        </w:r>
        <w:r>
          <w:fldChar w:fldCharType="begin"/>
        </w:r>
        <w:r>
          <w:instrText xml:space="preserve">PAGEREF 520 \h</w:instrText>
        </w:r>
        <w:r>
          <w:fldChar w:fldCharType="end"/>
        </w:r>
      </w:hyperlink>
    </w:p>
    <w:p>
      <w:pPr>
        <w:tabs>
          <w:tab w:val="right" w:leader="dot" w:pos="9062"/>
        </w:tabs>
        <w:ind w:left="1100"/>
      </w:pPr>
      <w:hyperlink w:anchor="_Toc521" w:history="1">
        <w:r>
          <w:rPr>
            <w:rFonts w:ascii="IRNazanin" w:hAnsi="IRNazanin" w:eastAsia="IRNazanin" w:cs="IRNazanin"/>
            <w:color w:val="111111"/>
            <w:sz w:val="22"/>
            <w:szCs w:val="22"/>
            <w:b w:val="0"/>
            <w:bCs w:val="0"/>
            <w:i w:val="0"/>
            <w:iCs w:val="0"/>
          </w:rPr>
          <w:t>[معانی حرمة إبطال العمل]</w:t>
        </w:r>
        <w:r>
          <w:tab/>
        </w:r>
        <w:r>
          <w:fldChar w:fldCharType="begin"/>
        </w:r>
        <w:r>
          <w:instrText xml:space="preserve">PAGEREF 521 \h</w:instrText>
        </w:r>
        <w:r>
          <w:fldChar w:fldCharType="end"/>
        </w:r>
      </w:hyperlink>
    </w:p>
    <w:p>
      <w:pPr>
        <w:tabs>
          <w:tab w:val="right" w:leader="dot" w:pos="9062"/>
        </w:tabs>
        <w:ind w:left="1100"/>
      </w:pPr>
      <w:hyperlink w:anchor="_Toc522" w:history="1">
        <w:r>
          <w:rPr>
            <w:rFonts w:ascii="IRNazanin" w:hAnsi="IRNazanin" w:eastAsia="IRNazanin" w:cs="IRNazanin"/>
            <w:color w:val="111111"/>
            <w:sz w:val="22"/>
            <w:szCs w:val="22"/>
            <w:b w:val="0"/>
            <w:bCs w:val="0"/>
            <w:i w:val="0"/>
            <w:iCs w:val="0"/>
          </w:rPr>
          <w:t>[الاستدلال علی الصحّة باستصحاب حرمة القطع و المناقشة فیه]</w:t>
        </w:r>
        <w:r>
          <w:tab/>
        </w:r>
        <w:r>
          <w:fldChar w:fldCharType="begin"/>
        </w:r>
        <w:r>
          <w:instrText xml:space="preserve">PAGEREF 522 \h</w:instrText>
        </w:r>
        <w:r>
          <w:fldChar w:fldCharType="end"/>
        </w:r>
      </w:hyperlink>
    </w:p>
    <w:p>
      <w:pPr>
        <w:tabs>
          <w:tab w:val="right" w:leader="dot" w:pos="9062"/>
        </w:tabs>
        <w:ind w:left="1100"/>
      </w:pPr>
      <w:hyperlink w:anchor="_Toc523" w:history="1">
        <w:r>
          <w:rPr>
            <w:rFonts w:ascii="IRNazanin" w:hAnsi="IRNazanin" w:eastAsia="IRNazanin" w:cs="IRNazanin"/>
            <w:color w:val="111111"/>
            <w:sz w:val="22"/>
            <w:szCs w:val="22"/>
            <w:b w:val="0"/>
            <w:bCs w:val="0"/>
            <w:i w:val="0"/>
            <w:iCs w:val="0"/>
          </w:rPr>
          <w:t>[الاستدلال علی الصحّة باستصحاب وجوب الإتمام و المناقشة فیه]</w:t>
        </w:r>
        <w:r>
          <w:tab/>
        </w:r>
        <w:r>
          <w:fldChar w:fldCharType="begin"/>
        </w:r>
        <w:r>
          <w:instrText xml:space="preserve">PAGEREF 523 \h</w:instrText>
        </w:r>
        <w:r>
          <w:fldChar w:fldCharType="end"/>
        </w:r>
      </w:hyperlink>
    </w:p>
    <w:p>
      <w:pPr>
        <w:tabs>
          <w:tab w:val="right" w:leader="dot" w:pos="9062"/>
        </w:tabs>
        <w:ind w:left="1100"/>
      </w:pPr>
      <w:hyperlink w:anchor="_Toc5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524 \h</w:instrText>
        </w:r>
        <w:r>
          <w:fldChar w:fldCharType="end"/>
        </w:r>
      </w:hyperlink>
    </w:p>
    <w:p>
      <w:pPr>
        <w:tabs>
          <w:tab w:val="right" w:leader="dot" w:pos="9062"/>
        </w:tabs>
        <w:ind w:left="1100"/>
      </w:pPr>
      <w:hyperlink w:anchor="_Toc525" w:history="1">
        <w:r>
          <w:rPr>
            <w:rFonts w:ascii="IRNazanin" w:hAnsi="IRNazanin" w:eastAsia="IRNazanin" w:cs="IRNazanin"/>
            <w:color w:val="111111"/>
            <w:sz w:val="22"/>
            <w:szCs w:val="22"/>
            <w:b w:val="0"/>
            <w:bCs w:val="0"/>
            <w:i w:val="0"/>
            <w:iCs w:val="0"/>
          </w:rPr>
          <w:t>[الجواب عن الاستصحابین بوجه آخر،و المناقشة فی هذا الجواب]</w:t>
        </w:r>
        <w:r>
          <w:tab/>
        </w:r>
        <w:r>
          <w:fldChar w:fldCharType="begin"/>
        </w:r>
        <w:r>
          <w:instrText xml:space="preserve">PAGEREF 525 \h</w:instrText>
        </w:r>
        <w:r>
          <w:fldChar w:fldCharType="end"/>
        </w:r>
      </w:hyperlink>
    </w:p>
    <w:p>
      <w:pPr>
        <w:tabs>
          <w:tab w:val="right" w:leader="dot" w:pos="9062"/>
        </w:tabs>
        <w:ind w:left="1100"/>
      </w:pPr>
      <w:hyperlink w:anchor="_Toc526" w:history="1">
        <w:r>
          <w:rPr>
            <w:rFonts w:ascii="IRNazanin" w:hAnsi="IRNazanin" w:eastAsia="IRNazanin" w:cs="IRNazanin"/>
            <w:color w:val="111111"/>
            <w:sz w:val="22"/>
            <w:szCs w:val="22"/>
            <w:b w:val="0"/>
            <w:bCs w:val="0"/>
            <w:i w:val="0"/>
            <w:iCs w:val="0"/>
          </w:rPr>
          <w:t>[الدلیل الخاصّ علی مبطلیّة الزیادة فی بعض العبادات]</w:t>
        </w:r>
        <w:r>
          <w:tab/>
        </w:r>
        <w:r>
          <w:fldChar w:fldCharType="begin"/>
        </w:r>
        <w:r>
          <w:instrText xml:space="preserve">PAGEREF 526 \h</w:instrText>
        </w:r>
        <w:r>
          <w:fldChar w:fldCharType="end"/>
        </w:r>
      </w:hyperlink>
    </w:p>
    <w:p>
      <w:pPr>
        <w:tabs>
          <w:tab w:val="right" w:leader="dot" w:pos="9062"/>
        </w:tabs>
        <w:ind w:left="1100"/>
      </w:pPr>
      <w:hyperlink w:anchor="_Toc5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527 \h</w:instrText>
        </w:r>
        <w:r>
          <w:fldChar w:fldCharType="end"/>
        </w:r>
      </w:hyperlink>
    </w:p>
    <w:p>
      <w:pPr>
        <w:tabs>
          <w:tab w:val="right" w:leader="dot" w:pos="9062"/>
        </w:tabs>
        <w:ind w:left="1100"/>
      </w:pPr>
      <w:hyperlink w:anchor="_Toc528" w:history="1">
        <w:r>
          <w:rPr>
            <w:rFonts w:ascii="IRNazanin" w:hAnsi="IRNazanin" w:eastAsia="IRNazanin" w:cs="IRNazanin"/>
            <w:color w:val="111111"/>
            <w:sz w:val="22"/>
            <w:szCs w:val="22"/>
            <w:b w:val="0"/>
            <w:bCs w:val="0"/>
            <w:i w:val="0"/>
            <w:iCs w:val="0"/>
          </w:rPr>
          <w:t>[ما ورد فی الصلاة]</w:t>
        </w:r>
        <w:r>
          <w:tab/>
        </w:r>
        <w:r>
          <w:fldChar w:fldCharType="begin"/>
        </w:r>
        <w:r>
          <w:instrText xml:space="preserve">PAGEREF 528 \h</w:instrText>
        </w:r>
        <w:r>
          <w:fldChar w:fldCharType="end"/>
        </w:r>
      </w:hyperlink>
    </w:p>
    <w:p>
      <w:pPr>
        <w:tabs>
          <w:tab w:val="right" w:leader="dot" w:pos="9062"/>
        </w:tabs>
        <w:ind w:left="1100"/>
      </w:pPr>
      <w:hyperlink w:anchor="_Toc529" w:history="1">
        <w:r>
          <w:rPr>
            <w:rFonts w:ascii="IRNazanin" w:hAnsi="IRNazanin" w:eastAsia="IRNazanin" w:cs="IRNazanin"/>
            <w:color w:val="111111"/>
            <w:sz w:val="22"/>
            <w:szCs w:val="22"/>
            <w:b w:val="0"/>
            <w:bCs w:val="0"/>
            <w:i w:val="0"/>
            <w:iCs w:val="0"/>
          </w:rPr>
          <w:t>[ما ورد فی الطواف]</w:t>
        </w:r>
        <w:r>
          <w:tab/>
        </w:r>
        <w:r>
          <w:fldChar w:fldCharType="begin"/>
        </w:r>
        <w:r>
          <w:instrText xml:space="preserve">PAGEREF 529 \h</w:instrText>
        </w:r>
        <w:r>
          <w:fldChar w:fldCharType="end"/>
        </w:r>
      </w:hyperlink>
    </w:p>
    <w:p>
      <w:pPr>
        <w:tabs>
          <w:tab w:val="right" w:leader="dot" w:pos="9062"/>
        </w:tabs>
        <w:ind w:left="1100"/>
      </w:pPr>
      <w:hyperlink w:anchor="_Toc530" w:history="1">
        <w:r>
          <w:rPr>
            <w:rFonts w:ascii="IRNazanin" w:hAnsi="IRNazanin" w:eastAsia="IRNazanin" w:cs="IRNazanin"/>
            <w:color w:val="111111"/>
            <w:sz w:val="22"/>
            <w:szCs w:val="22"/>
            <w:b w:val="0"/>
            <w:bCs w:val="0"/>
            <w:i w:val="0"/>
            <w:iCs w:val="0"/>
          </w:rPr>
          <w:t>المسألة الثالثة فی ذکر الزیادة سهوا [هل تبطل العبادة بزیادة الجزء سهوا؟]</w:t>
        </w:r>
        <w:r>
          <w:tab/>
        </w:r>
        <w:r>
          <w:fldChar w:fldCharType="begin"/>
        </w:r>
        <w:r>
          <w:instrText xml:space="preserve">PAGEREF 530 \h</w:instrText>
        </w:r>
        <w:r>
          <w:fldChar w:fldCharType="end"/>
        </w:r>
      </w:hyperlink>
    </w:p>
    <w:p>
      <w:pPr>
        <w:tabs>
          <w:tab w:val="right" w:leader="dot" w:pos="9062"/>
        </w:tabs>
        <w:ind w:left="1100"/>
      </w:pPr>
      <w:hyperlink w:anchor="_Toc5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531 \h</w:instrText>
        </w:r>
        <w:r>
          <w:fldChar w:fldCharType="end"/>
        </w:r>
      </w:hyperlink>
    </w:p>
    <w:p>
      <w:pPr>
        <w:tabs>
          <w:tab w:val="right" w:leader="dot" w:pos="9062"/>
        </w:tabs>
        <w:ind w:left="1100"/>
      </w:pPr>
      <w:hyperlink w:anchor="_Toc532" w:history="1">
        <w:r>
          <w:rPr>
            <w:rFonts w:ascii="IRNazanin" w:hAnsi="IRNazanin" w:eastAsia="IRNazanin" w:cs="IRNazanin"/>
            <w:color w:val="111111"/>
            <w:sz w:val="22"/>
            <w:szCs w:val="22"/>
            <w:b w:val="0"/>
            <w:bCs w:val="0"/>
            <w:i w:val="0"/>
            <w:iCs w:val="0"/>
          </w:rPr>
          <w:t>[الأقوی البطلان]</w:t>
        </w:r>
        <w:r>
          <w:tab/>
        </w:r>
        <w:r>
          <w:fldChar w:fldCharType="begin"/>
        </w:r>
        <w:r>
          <w:instrText xml:space="preserve">PAGEREF 532 \h</w:instrText>
        </w:r>
        <w:r>
          <w:fldChar w:fldCharType="end"/>
        </w:r>
      </w:hyperlink>
    </w:p>
    <w:p>
      <w:pPr>
        <w:tabs>
          <w:tab w:val="right" w:leader="dot" w:pos="9062"/>
        </w:tabs>
        <w:ind w:left="1100"/>
      </w:pPr>
      <w:hyperlink w:anchor="_Toc533" w:history="1">
        <w:r>
          <w:rPr>
            <w:rFonts w:ascii="IRNazanin" w:hAnsi="IRNazanin" w:eastAsia="IRNazanin" w:cs="IRNazanin"/>
            <w:color w:val="111111"/>
            <w:sz w:val="22"/>
            <w:szCs w:val="22"/>
            <w:b w:val="0"/>
            <w:bCs w:val="0"/>
            <w:i w:val="0"/>
            <w:iCs w:val="0"/>
          </w:rPr>
          <w:t>[مقتضی الاصول]</w:t>
        </w:r>
        <w:r>
          <w:tab/>
        </w:r>
        <w:r>
          <w:fldChar w:fldCharType="begin"/>
        </w:r>
        <w:r>
          <w:instrText xml:space="preserve">PAGEREF 533 \h</w:instrText>
        </w:r>
        <w:r>
          <w:fldChar w:fldCharType="end"/>
        </w:r>
      </w:hyperlink>
    </w:p>
    <w:p>
      <w:pPr>
        <w:tabs>
          <w:tab w:val="right" w:leader="dot" w:pos="9062"/>
        </w:tabs>
        <w:ind w:left="1100"/>
      </w:pPr>
      <w:hyperlink w:anchor="_Toc534" w:history="1">
        <w:r>
          <w:rPr>
            <w:rFonts w:ascii="IRNazanin" w:hAnsi="IRNazanin" w:eastAsia="IRNazanin" w:cs="IRNazanin"/>
            <w:color w:val="111111"/>
            <w:sz w:val="22"/>
            <w:szCs w:val="22"/>
            <w:b w:val="0"/>
            <w:bCs w:val="0"/>
            <w:i w:val="0"/>
            <w:iCs w:val="0"/>
          </w:rPr>
          <w:t>[مقتضی القواعد الحاکمة علی الاصول]</w:t>
        </w:r>
        <w:r>
          <w:tab/>
        </w:r>
        <w:r>
          <w:fldChar w:fldCharType="begin"/>
        </w:r>
        <w:r>
          <w:instrText xml:space="preserve">PAGEREF 534 \h</w:instrText>
        </w:r>
        <w:r>
          <w:fldChar w:fldCharType="end"/>
        </w:r>
      </w:hyperlink>
    </w:p>
    <w:p>
      <w:pPr>
        <w:tabs>
          <w:tab w:val="right" w:leader="dot" w:pos="9062"/>
        </w:tabs>
        <w:ind w:left="1100"/>
      </w:pPr>
      <w:hyperlink w:anchor="_Toc535" w:history="1">
        <w:r>
          <w:rPr>
            <w:rFonts w:ascii="IRNazanin" w:hAnsi="IRNazanin" w:eastAsia="IRNazanin" w:cs="IRNazanin"/>
            <w:color w:val="111111"/>
            <w:sz w:val="22"/>
            <w:szCs w:val="22"/>
            <w:b w:val="0"/>
            <w:bCs w:val="0"/>
            <w:i w:val="0"/>
            <w:iCs w:val="0"/>
          </w:rPr>
          <w:t>الأمر الثانی [:هل یسقط التکلیف بالکلّ أو المشروط إذا تعذّر الجزء أو الشرط،أم لا؟]</w:t>
        </w:r>
        <w:r>
          <w:tab/>
        </w:r>
        <w:r>
          <w:fldChar w:fldCharType="begin"/>
        </w:r>
        <w:r>
          <w:instrText xml:space="preserve">PAGEREF 535 \h</w:instrText>
        </w:r>
        <w:r>
          <w:fldChar w:fldCharType="end"/>
        </w:r>
      </w:hyperlink>
    </w:p>
    <w:p>
      <w:pPr>
        <w:tabs>
          <w:tab w:val="right" w:leader="dot" w:pos="9062"/>
        </w:tabs>
        <w:ind w:left="1100"/>
      </w:pPr>
      <w:hyperlink w:anchor="_Toc5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536 \h</w:instrText>
        </w:r>
        <w:r>
          <w:fldChar w:fldCharType="end"/>
        </w:r>
      </w:hyperlink>
    </w:p>
    <w:p>
      <w:pPr>
        <w:tabs>
          <w:tab w:val="right" w:leader="dot" w:pos="9062"/>
        </w:tabs>
        <w:ind w:left="1100"/>
      </w:pPr>
      <w:hyperlink w:anchor="_Toc537" w:history="1">
        <w:r>
          <w:rPr>
            <w:rFonts w:ascii="IRNazanin" w:hAnsi="IRNazanin" w:eastAsia="IRNazanin" w:cs="IRNazanin"/>
            <w:color w:val="111111"/>
            <w:sz w:val="22"/>
            <w:szCs w:val="22"/>
            <w:b w:val="0"/>
            <w:bCs w:val="0"/>
            <w:i w:val="0"/>
            <w:iCs w:val="0"/>
          </w:rPr>
          <w:t>[القول بالسقوط و دلیله]</w:t>
        </w:r>
        <w:r>
          <w:tab/>
        </w:r>
        <w:r>
          <w:fldChar w:fldCharType="begin"/>
        </w:r>
        <w:r>
          <w:instrText xml:space="preserve">PAGEREF 537 \h</w:instrText>
        </w:r>
        <w:r>
          <w:fldChar w:fldCharType="end"/>
        </w:r>
      </w:hyperlink>
    </w:p>
    <w:p>
      <w:pPr>
        <w:tabs>
          <w:tab w:val="right" w:leader="dot" w:pos="9062"/>
        </w:tabs>
        <w:ind w:left="1100"/>
      </w:pPr>
      <w:hyperlink w:anchor="_Toc538" w:history="1">
        <w:r>
          <w:rPr>
            <w:rFonts w:ascii="IRNazanin" w:hAnsi="IRNazanin" w:eastAsia="IRNazanin" w:cs="IRNazanin"/>
            <w:color w:val="111111"/>
            <w:sz w:val="22"/>
            <w:szCs w:val="22"/>
            <w:b w:val="0"/>
            <w:bCs w:val="0"/>
            <w:i w:val="0"/>
            <w:iCs w:val="0"/>
          </w:rPr>
          <w:t>[القول بعدم السقوط و دلیله]</w:t>
        </w:r>
        <w:r>
          <w:tab/>
        </w:r>
        <w:r>
          <w:fldChar w:fldCharType="begin"/>
        </w:r>
        <w:r>
          <w:instrText xml:space="preserve">PAGEREF 538 \h</w:instrText>
        </w:r>
        <w:r>
          <w:fldChar w:fldCharType="end"/>
        </w:r>
      </w:hyperlink>
    </w:p>
    <w:p>
      <w:pPr>
        <w:tabs>
          <w:tab w:val="right" w:leader="dot" w:pos="9062"/>
        </w:tabs>
        <w:ind w:left="1100"/>
      </w:pPr>
      <w:hyperlink w:anchor="_Toc539" w:history="1">
        <w:r>
          <w:rPr>
            <w:rFonts w:ascii="IRNazanin" w:hAnsi="IRNazanin" w:eastAsia="IRNazanin" w:cs="IRNazanin"/>
            <w:color w:val="111111"/>
            <w:sz w:val="22"/>
            <w:szCs w:val="22"/>
            <w:b w:val="0"/>
            <w:bCs w:val="0"/>
            <w:i w:val="0"/>
            <w:iCs w:val="0"/>
          </w:rPr>
          <w:t>[الاستدلال علی هذا القول بثلاثة روایات أیضا]</w:t>
        </w:r>
        <w:r>
          <w:tab/>
        </w:r>
        <w:r>
          <w:fldChar w:fldCharType="begin"/>
        </w:r>
        <w:r>
          <w:instrText xml:space="preserve">PAGEREF 539 \h</w:instrText>
        </w:r>
        <w:r>
          <w:fldChar w:fldCharType="end"/>
        </w:r>
      </w:hyperlink>
    </w:p>
    <w:p>
      <w:pPr>
        <w:tabs>
          <w:tab w:val="right" w:leader="dot" w:pos="9062"/>
        </w:tabs>
        <w:ind w:left="1100"/>
      </w:pPr>
      <w:hyperlink w:anchor="_Toc540" w:history="1">
        <w:r>
          <w:rPr>
            <w:rFonts w:ascii="IRNazanin" w:hAnsi="IRNazanin" w:eastAsia="IRNazanin" w:cs="IRNazanin"/>
            <w:color w:val="111111"/>
            <w:sz w:val="22"/>
            <w:szCs w:val="22"/>
            <w:b w:val="0"/>
            <w:bCs w:val="0"/>
            <w:i w:val="0"/>
            <w:iCs w:val="0"/>
          </w:rPr>
          <w:t>و أمّا الکلام فی الشروط: [فالأصل فیها ما مرّ فی الأجزاء]</w:t>
        </w:r>
        <w:r>
          <w:tab/>
        </w:r>
        <w:r>
          <w:fldChar w:fldCharType="begin"/>
        </w:r>
        <w:r>
          <w:instrText xml:space="preserve">PAGEREF 540 \h</w:instrText>
        </w:r>
        <w:r>
          <w:fldChar w:fldCharType="end"/>
        </w:r>
      </w:hyperlink>
    </w:p>
    <w:p>
      <w:pPr>
        <w:tabs>
          <w:tab w:val="right" w:leader="dot" w:pos="9062"/>
        </w:tabs>
        <w:ind w:left="1100"/>
      </w:pPr>
      <w:hyperlink w:anchor="_Toc541" w:history="1">
        <w:r>
          <w:rPr>
            <w:rFonts w:ascii="IRNazanin" w:hAnsi="IRNazanin" w:eastAsia="IRNazanin" w:cs="IRNazanin"/>
            <w:color w:val="111111"/>
            <w:sz w:val="22"/>
            <w:szCs w:val="22"/>
            <w:b w:val="0"/>
            <w:bCs w:val="0"/>
            <w:i w:val="0"/>
            <w:iCs w:val="0"/>
          </w:rPr>
          <w:t>[عدم جریان القاعدة المستفادة من الروایات فی الشروط]</w:t>
        </w:r>
        <w:r>
          <w:tab/>
        </w:r>
        <w:r>
          <w:fldChar w:fldCharType="begin"/>
        </w:r>
        <w:r>
          <w:instrText xml:space="preserve">PAGEREF 541 \h</w:instrText>
        </w:r>
        <w:r>
          <w:fldChar w:fldCharType="end"/>
        </w:r>
      </w:hyperlink>
    </w:p>
    <w:p>
      <w:pPr>
        <w:tabs>
          <w:tab w:val="right" w:leader="dot" w:pos="9062"/>
        </w:tabs>
        <w:ind w:left="1100"/>
      </w:pPr>
      <w:hyperlink w:anchor="_Toc542" w:history="1">
        <w:r>
          <w:rPr>
            <w:rFonts w:ascii="IRNazanin" w:hAnsi="IRNazanin" w:eastAsia="IRNazanin" w:cs="IRNazanin"/>
            <w:color w:val="111111"/>
            <w:sz w:val="22"/>
            <w:szCs w:val="22"/>
            <w:b w:val="0"/>
            <w:bCs w:val="0"/>
            <w:i w:val="0"/>
            <w:iCs w:val="0"/>
          </w:rPr>
          <w:t>[جریان القاعدة فی بعض الشروط]</w:t>
        </w:r>
        <w:r>
          <w:tab/>
        </w:r>
        <w:r>
          <w:fldChar w:fldCharType="begin"/>
        </w:r>
        <w:r>
          <w:instrText xml:space="preserve">PAGEREF 542 \h</w:instrText>
        </w:r>
        <w:r>
          <w:fldChar w:fldCharType="end"/>
        </w:r>
      </w:hyperlink>
    </w:p>
    <w:p>
      <w:pPr>
        <w:tabs>
          <w:tab w:val="right" w:leader="dot" w:pos="9062"/>
        </w:tabs>
        <w:ind w:left="1100"/>
      </w:pPr>
      <w:hyperlink w:anchor="_Toc543" w:history="1">
        <w:r>
          <w:rPr>
            <w:rFonts w:ascii="IRNazanin" w:hAnsi="IRNazanin" w:eastAsia="IRNazanin" w:cs="IRNazanin"/>
            <w:color w:val="111111"/>
            <w:sz w:val="22"/>
            <w:szCs w:val="22"/>
            <w:b w:val="0"/>
            <w:bCs w:val="0"/>
            <w:i w:val="0"/>
            <w:iCs w:val="0"/>
          </w:rPr>
          <w:t>[الاستدلال بروایة عبد الأعلی علی عدم سقوط المشروط بتعذّر شرطه]</w:t>
        </w:r>
        <w:r>
          <w:tab/>
        </w:r>
        <w:r>
          <w:fldChar w:fldCharType="begin"/>
        </w:r>
        <w:r>
          <w:instrText xml:space="preserve">PAGEREF 543 \h</w:instrText>
        </w:r>
        <w:r>
          <w:fldChar w:fldCharType="end"/>
        </w:r>
      </w:hyperlink>
    </w:p>
    <w:p>
      <w:pPr>
        <w:tabs>
          <w:tab w:val="right" w:leader="dot" w:pos="9062"/>
        </w:tabs>
        <w:ind w:left="1100"/>
      </w:pPr>
      <w:hyperlink w:anchor="_Toc544" w:history="1">
        <w:r>
          <w:rPr>
            <w:rFonts w:ascii="IRNazanin" w:hAnsi="IRNazanin" w:eastAsia="IRNazanin" w:cs="IRNazanin"/>
            <w:color w:val="111111"/>
            <w:sz w:val="22"/>
            <w:szCs w:val="22"/>
            <w:b w:val="0"/>
            <w:bCs w:val="0"/>
            <w:i w:val="0"/>
            <w:iCs w:val="0"/>
          </w:rPr>
          <w:t>فرعان:</w:t>
        </w:r>
        <w:r>
          <w:tab/>
        </w:r>
        <w:r>
          <w:fldChar w:fldCharType="begin"/>
        </w:r>
        <w:r>
          <w:instrText xml:space="preserve">PAGEREF 544 \h</w:instrText>
        </w:r>
        <w:r>
          <w:fldChar w:fldCharType="end"/>
        </w:r>
      </w:hyperlink>
    </w:p>
    <w:p>
      <w:pPr>
        <w:tabs>
          <w:tab w:val="right" w:leader="dot" w:pos="9062"/>
        </w:tabs>
        <w:ind w:left="1100"/>
      </w:pPr>
      <w:hyperlink w:anchor="_Toc545" w:history="1">
        <w:r>
          <w:rPr>
            <w:rFonts w:ascii="IRNazanin" w:hAnsi="IRNazanin" w:eastAsia="IRNazanin" w:cs="IRNazanin"/>
            <w:color w:val="111111"/>
            <w:sz w:val="22"/>
            <w:szCs w:val="22"/>
            <w:b w:val="0"/>
            <w:bCs w:val="0"/>
            <w:i w:val="0"/>
            <w:iCs w:val="0"/>
          </w:rPr>
          <w:t>الفرع الأوّل : لو دار الأمر بین ترک الجزء و ترک الشرط</w:t>
        </w:r>
        <w:r>
          <w:tab/>
        </w:r>
        <w:r>
          <w:fldChar w:fldCharType="begin"/>
        </w:r>
        <w:r>
          <w:instrText xml:space="preserve">PAGEREF 545 \h</w:instrText>
        </w:r>
        <w:r>
          <w:fldChar w:fldCharType="end"/>
        </w:r>
      </w:hyperlink>
    </w:p>
    <w:p>
      <w:pPr>
        <w:tabs>
          <w:tab w:val="right" w:leader="dot" w:pos="9062"/>
        </w:tabs>
        <w:ind w:left="1100"/>
      </w:pPr>
      <w:hyperlink w:anchor="_Toc546" w:history="1">
        <w:r>
          <w:rPr>
            <w:rFonts w:ascii="IRNazanin" w:hAnsi="IRNazanin" w:eastAsia="IRNazanin" w:cs="IRNazanin"/>
            <w:color w:val="111111"/>
            <w:sz w:val="22"/>
            <w:szCs w:val="22"/>
            <w:b w:val="0"/>
            <w:bCs w:val="0"/>
            <w:i w:val="0"/>
            <w:iCs w:val="0"/>
          </w:rPr>
          <w:t>الفرع الثانی : لو جعل الشارع للکلّ بدلا اضطراریّا کالتیمّم</w:t>
        </w:r>
        <w:r>
          <w:tab/>
        </w:r>
        <w:r>
          <w:fldChar w:fldCharType="begin"/>
        </w:r>
        <w:r>
          <w:instrText xml:space="preserve">PAGEREF 546 \h</w:instrText>
        </w:r>
        <w:r>
          <w:fldChar w:fldCharType="end"/>
        </w:r>
      </w:hyperlink>
    </w:p>
    <w:p>
      <w:pPr>
        <w:tabs>
          <w:tab w:val="right" w:leader="dot" w:pos="9062"/>
        </w:tabs>
        <w:ind w:left="1100"/>
      </w:pPr>
      <w:hyperlink w:anchor="_Toc547" w:history="1">
        <w:r>
          <w:rPr>
            <w:rFonts w:ascii="IRNazanin" w:hAnsi="IRNazanin" w:eastAsia="IRNazanin" w:cs="IRNazanin"/>
            <w:color w:val="111111"/>
            <w:sz w:val="22"/>
            <w:szCs w:val="22"/>
            <w:b w:val="0"/>
            <w:bCs w:val="0"/>
            <w:i w:val="0"/>
            <w:iCs w:val="0"/>
          </w:rPr>
          <w:t>الأمر الثالث لو دار الأمر بین الشرطیّة و الجزئیّة</w:t>
        </w:r>
        <w:r>
          <w:tab/>
        </w:r>
        <w:r>
          <w:fldChar w:fldCharType="begin"/>
        </w:r>
        <w:r>
          <w:instrText xml:space="preserve">PAGEREF 547 \h</w:instrText>
        </w:r>
        <w:r>
          <w:fldChar w:fldCharType="end"/>
        </w:r>
      </w:hyperlink>
    </w:p>
    <w:p>
      <w:pPr>
        <w:tabs>
          <w:tab w:val="right" w:leader="dot" w:pos="9062"/>
        </w:tabs>
        <w:ind w:left="1100"/>
      </w:pPr>
      <w:hyperlink w:anchor="_Toc548" w:history="1">
        <w:r>
          <w:rPr>
            <w:rFonts w:ascii="IRNazanin" w:hAnsi="IRNazanin" w:eastAsia="IRNazanin" w:cs="IRNazanin"/>
            <w:color w:val="111111"/>
            <w:sz w:val="22"/>
            <w:szCs w:val="22"/>
            <w:b w:val="0"/>
            <w:bCs w:val="0"/>
            <w:i w:val="0"/>
            <w:iCs w:val="0"/>
          </w:rPr>
          <w:t>الأمر الرابع لو دار الأمر بین کون شیء شرطا أو مانعا،أو بین کونه جزءا أو</w:t>
        </w:r>
        <w:r>
          <w:tab/>
        </w:r>
        <w:r>
          <w:fldChar w:fldCharType="begin"/>
        </w:r>
        <w:r>
          <w:instrText xml:space="preserve">PAGEREF 548 \h</w:instrText>
        </w:r>
        <w:r>
          <w:fldChar w:fldCharType="end"/>
        </w:r>
      </w:hyperlink>
    </w:p>
    <w:p>
      <w:pPr>
        <w:tabs>
          <w:tab w:val="right" w:leader="dot" w:pos="9062"/>
        </w:tabs>
        <w:ind w:left="1100"/>
      </w:pPr>
      <w:hyperlink w:anchor="_Toc5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549 \h</w:instrText>
        </w:r>
        <w:r>
          <w:fldChar w:fldCharType="end"/>
        </w:r>
      </w:hyperlink>
    </w:p>
    <w:p>
      <w:pPr>
        <w:tabs>
          <w:tab w:val="right" w:leader="dot" w:pos="9062"/>
        </w:tabs>
        <w:ind w:left="1100"/>
      </w:pPr>
      <w:hyperlink w:anchor="_Toc550" w:history="1">
        <w:r>
          <w:rPr>
            <w:rFonts w:ascii="IRNazanin" w:hAnsi="IRNazanin" w:eastAsia="IRNazanin" w:cs="IRNazanin"/>
            <w:color w:val="111111"/>
            <w:sz w:val="22"/>
            <w:szCs w:val="22"/>
            <w:b w:val="0"/>
            <w:bCs w:val="0"/>
            <w:i w:val="0"/>
            <w:iCs w:val="0"/>
          </w:rPr>
          <w:t>وجهان [فی المسألة] :</w:t>
        </w:r>
        <w:r>
          <w:tab/>
        </w:r>
        <w:r>
          <w:fldChar w:fldCharType="begin"/>
        </w:r>
        <w:r>
          <w:instrText xml:space="preserve">PAGEREF 550 \h</w:instrText>
        </w:r>
        <w:r>
          <w:fldChar w:fldCharType="end"/>
        </w:r>
      </w:hyperlink>
    </w:p>
    <w:p>
      <w:pPr>
        <w:tabs>
          <w:tab w:val="right" w:leader="dot" w:pos="9062"/>
        </w:tabs>
        <w:ind w:left="1100"/>
      </w:pPr>
      <w:hyperlink w:anchor="_Toc551" w:history="1">
        <w:r>
          <w:rPr>
            <w:rFonts w:ascii="IRNazanin" w:hAnsi="IRNazanin" w:eastAsia="IRNazanin" w:cs="IRNazanin"/>
            <w:color w:val="111111"/>
            <w:sz w:val="22"/>
            <w:szCs w:val="22"/>
            <w:b w:val="0"/>
            <w:bCs w:val="0"/>
            <w:i w:val="0"/>
            <w:iCs w:val="0"/>
          </w:rPr>
          <w:t>[التخییر و الدلیل علیه]</w:t>
        </w:r>
        <w:r>
          <w:tab/>
        </w:r>
        <w:r>
          <w:fldChar w:fldCharType="begin"/>
        </w:r>
        <w:r>
          <w:instrText xml:space="preserve">PAGEREF 551 \h</w:instrText>
        </w:r>
        <w:r>
          <w:fldChar w:fldCharType="end"/>
        </w:r>
      </w:hyperlink>
    </w:p>
    <w:p>
      <w:pPr>
        <w:tabs>
          <w:tab w:val="right" w:leader="dot" w:pos="9062"/>
        </w:tabs>
        <w:ind w:left="1100"/>
      </w:pPr>
      <w:hyperlink w:anchor="_Toc552" w:history="1">
        <w:r>
          <w:rPr>
            <w:rFonts w:ascii="IRNazanin" w:hAnsi="IRNazanin" w:eastAsia="IRNazanin" w:cs="IRNazanin"/>
            <w:color w:val="111111"/>
            <w:sz w:val="22"/>
            <w:szCs w:val="22"/>
            <w:b w:val="0"/>
            <w:bCs w:val="0"/>
            <w:i w:val="0"/>
            <w:iCs w:val="0"/>
          </w:rPr>
          <w:t>[وجوب الاحتیاط و الدلیل علیه]</w:t>
        </w:r>
        <w:r>
          <w:tab/>
        </w:r>
        <w:r>
          <w:fldChar w:fldCharType="begin"/>
        </w:r>
        <w:r>
          <w:instrText xml:space="preserve">PAGEREF 552 \h</w:instrText>
        </w:r>
        <w:r>
          <w:fldChar w:fldCharType="end"/>
        </w:r>
      </w:hyperlink>
    </w:p>
    <w:p>
      <w:pPr>
        <w:tabs>
          <w:tab w:val="right" w:leader="dot" w:pos="9062"/>
        </w:tabs>
        <w:ind w:left="1100"/>
      </w:pPr>
      <w:hyperlink w:anchor="_Toc553" w:history="1">
        <w:r>
          <w:rPr>
            <w:rFonts w:ascii="IRNazanin" w:hAnsi="IRNazanin" w:eastAsia="IRNazanin" w:cs="IRNazanin"/>
            <w:color w:val="111111"/>
            <w:sz w:val="22"/>
            <w:szCs w:val="22"/>
            <w:b w:val="0"/>
            <w:bCs w:val="0"/>
            <w:i w:val="0"/>
            <w:iCs w:val="0"/>
          </w:rPr>
          <w:t>[التحقیق فی المسألة]</w:t>
        </w:r>
        <w:r>
          <w:tab/>
        </w:r>
        <w:r>
          <w:fldChar w:fldCharType="begin"/>
        </w:r>
        <w:r>
          <w:instrText xml:space="preserve">PAGEREF 553 \h</w:instrText>
        </w:r>
        <w:r>
          <w:fldChar w:fldCharType="end"/>
        </w:r>
      </w:hyperlink>
    </w:p>
    <w:p>
      <w:pPr>
        <w:tabs>
          <w:tab w:val="right" w:leader="dot" w:pos="9062"/>
        </w:tabs>
        <w:ind w:left="1100"/>
      </w:pPr>
      <w:hyperlink w:anchor="_Toc554" w:history="1">
        <w:r>
          <w:rPr>
            <w:rFonts w:ascii="IRNazanin" w:hAnsi="IRNazanin" w:eastAsia="IRNazanin" w:cs="IRNazanin"/>
            <w:color w:val="111111"/>
            <w:sz w:val="22"/>
            <w:szCs w:val="22"/>
            <w:b w:val="0"/>
            <w:bCs w:val="0"/>
            <w:i w:val="0"/>
            <w:iCs w:val="0"/>
          </w:rPr>
          <w:t>المطلب الثالث فی اشتباه الواجب بالحرام</w:t>
        </w:r>
        <w:r>
          <w:tab/>
        </w:r>
        <w:r>
          <w:fldChar w:fldCharType="begin"/>
        </w:r>
        <w:r>
          <w:instrText xml:space="preserve">PAGEREF 554 \h</w:instrText>
        </w:r>
        <w:r>
          <w:fldChar w:fldCharType="end"/>
        </w:r>
      </w:hyperlink>
    </w:p>
    <w:p>
      <w:pPr>
        <w:tabs>
          <w:tab w:val="right" w:leader="dot" w:pos="9062"/>
        </w:tabs>
        <w:ind w:left="1100"/>
      </w:pPr>
      <w:hyperlink w:anchor="_Toc5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555 \h</w:instrText>
        </w:r>
        <w:r>
          <w:fldChar w:fldCharType="end"/>
        </w:r>
      </w:hyperlink>
    </w:p>
    <w:p>
      <w:pPr>
        <w:tabs>
          <w:tab w:val="right" w:leader="dot" w:pos="9062"/>
        </w:tabs>
        <w:ind w:left="1100"/>
      </w:pPr>
      <w:hyperlink w:anchor="_Toc556" w:history="1">
        <w:r>
          <w:rPr>
            <w:rFonts w:ascii="IRNazanin" w:hAnsi="IRNazanin" w:eastAsia="IRNazanin" w:cs="IRNazanin"/>
            <w:color w:val="111111"/>
            <w:sz w:val="22"/>
            <w:szCs w:val="22"/>
            <w:b w:val="0"/>
            <w:bCs w:val="0"/>
            <w:i w:val="0"/>
            <w:iCs w:val="0"/>
          </w:rPr>
          <w:t>[حکم المسألة]</w:t>
        </w:r>
        <w:r>
          <w:tab/>
        </w:r>
        <w:r>
          <w:fldChar w:fldCharType="begin"/>
        </w:r>
        <w:r>
          <w:instrText xml:space="preserve">PAGEREF 556 \h</w:instrText>
        </w:r>
        <w:r>
          <w:fldChar w:fldCharType="end"/>
        </w:r>
      </w:hyperlink>
    </w:p>
    <w:p>
      <w:pPr>
        <w:tabs>
          <w:tab w:val="right" w:leader="dot" w:pos="9062"/>
        </w:tabs>
        <w:ind w:left="1100"/>
      </w:pPr>
      <w:hyperlink w:anchor="_Toc557" w:history="1">
        <w:r>
          <w:rPr>
            <w:rFonts w:ascii="IRNazanin" w:hAnsi="IRNazanin" w:eastAsia="IRNazanin" w:cs="IRNazanin"/>
            <w:color w:val="111111"/>
            <w:sz w:val="22"/>
            <w:szCs w:val="22"/>
            <w:b w:val="0"/>
            <w:bCs w:val="0"/>
            <w:i w:val="0"/>
            <w:iCs w:val="0"/>
          </w:rPr>
          <w:t>خاتمة فیما یعتبر فی العمل بالأصل [،و الکلام فی مقامین:]</w:t>
        </w:r>
        <w:r>
          <w:tab/>
        </w:r>
        <w:r>
          <w:fldChar w:fldCharType="begin"/>
        </w:r>
        <w:r>
          <w:instrText xml:space="preserve">PAGEREF 557 \h</w:instrText>
        </w:r>
        <w:r>
          <w:fldChar w:fldCharType="end"/>
        </w:r>
      </w:hyperlink>
    </w:p>
    <w:p>
      <w:pPr>
        <w:tabs>
          <w:tab w:val="right" w:leader="dot" w:pos="9062"/>
        </w:tabs>
        <w:ind w:left="1100"/>
      </w:pPr>
      <w:hyperlink w:anchor="_Toc5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558 \h</w:instrText>
        </w:r>
        <w:r>
          <w:fldChar w:fldCharType="end"/>
        </w:r>
      </w:hyperlink>
    </w:p>
    <w:p>
      <w:pPr>
        <w:tabs>
          <w:tab w:val="right" w:leader="dot" w:pos="9062"/>
        </w:tabs>
        <w:ind w:left="1100"/>
      </w:pPr>
      <w:hyperlink w:anchor="_Toc559" w:history="1">
        <w:r>
          <w:rPr>
            <w:rFonts w:ascii="IRNazanin" w:hAnsi="IRNazanin" w:eastAsia="IRNazanin" w:cs="IRNazanin"/>
            <w:color w:val="111111"/>
            <w:sz w:val="22"/>
            <w:szCs w:val="22"/>
            <w:b w:val="0"/>
            <w:bCs w:val="0"/>
            <w:i w:val="0"/>
            <w:iCs w:val="0"/>
          </w:rPr>
          <w:t>[المقام الأوّل:ما یعتبر فی العمل بالاحتیاط]</w:t>
        </w:r>
        <w:r>
          <w:tab/>
        </w:r>
        <w:r>
          <w:fldChar w:fldCharType="begin"/>
        </w:r>
        <w:r>
          <w:instrText xml:space="preserve">PAGEREF 559 \h</w:instrText>
        </w:r>
        <w:r>
          <w:fldChar w:fldCharType="end"/>
        </w:r>
      </w:hyperlink>
    </w:p>
    <w:p>
      <w:pPr>
        <w:tabs>
          <w:tab w:val="right" w:leader="dot" w:pos="9062"/>
        </w:tabs>
        <w:ind w:left="1100"/>
      </w:pPr>
      <w:hyperlink w:anchor="_Toc5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560 \h</w:instrText>
        </w:r>
        <w:r>
          <w:fldChar w:fldCharType="end"/>
        </w:r>
      </w:hyperlink>
    </w:p>
    <w:p>
      <w:pPr>
        <w:tabs>
          <w:tab w:val="right" w:leader="dot" w:pos="9062"/>
        </w:tabs>
        <w:ind w:left="1100"/>
      </w:pPr>
      <w:hyperlink w:anchor="_Toc561" w:history="1">
        <w:r>
          <w:rPr>
            <w:rFonts w:ascii="IRNazanin" w:hAnsi="IRNazanin" w:eastAsia="IRNazanin" w:cs="IRNazanin"/>
            <w:color w:val="111111"/>
            <w:sz w:val="22"/>
            <w:szCs w:val="22"/>
            <w:b w:val="0"/>
            <w:bCs w:val="0"/>
            <w:i w:val="0"/>
            <w:iCs w:val="0"/>
          </w:rPr>
          <w:t>[المشهور عدم تحقّق الاحتیاط فی العبادات إلاّ بعد الفحص]</w:t>
        </w:r>
        <w:r>
          <w:tab/>
        </w:r>
        <w:r>
          <w:fldChar w:fldCharType="begin"/>
        </w:r>
        <w:r>
          <w:instrText xml:space="preserve">PAGEREF 561 \h</w:instrText>
        </w:r>
        <w:r>
          <w:fldChar w:fldCharType="end"/>
        </w:r>
      </w:hyperlink>
    </w:p>
    <w:p>
      <w:pPr>
        <w:tabs>
          <w:tab w:val="right" w:leader="dot" w:pos="9062"/>
        </w:tabs>
        <w:ind w:left="1100"/>
      </w:pPr>
      <w:hyperlink w:anchor="_Toc562" w:history="1">
        <w:r>
          <w:rPr>
            <w:rFonts w:ascii="IRNazanin" w:hAnsi="IRNazanin" w:eastAsia="IRNazanin" w:cs="IRNazanin"/>
            <w:color w:val="111111"/>
            <w:sz w:val="22"/>
            <w:szCs w:val="22"/>
            <w:b w:val="0"/>
            <w:bCs w:val="0"/>
            <w:i w:val="0"/>
            <w:iCs w:val="0"/>
          </w:rPr>
          <w:t>[المشهور بطلان عبادة تارک طریقی الاجتهاد و التقلید]</w:t>
        </w:r>
        <w:r>
          <w:tab/>
        </w:r>
        <w:r>
          <w:fldChar w:fldCharType="begin"/>
        </w:r>
        <w:r>
          <w:instrText xml:space="preserve">PAGEREF 562 \h</w:instrText>
        </w:r>
        <w:r>
          <w:fldChar w:fldCharType="end"/>
        </w:r>
      </w:hyperlink>
    </w:p>
    <w:p>
      <w:pPr>
        <w:tabs>
          <w:tab w:val="right" w:leader="dot" w:pos="9062"/>
        </w:tabs>
        <w:ind w:left="1100"/>
      </w:pPr>
      <w:hyperlink w:anchor="_Toc563" w:history="1">
        <w:r>
          <w:rPr>
            <w:rFonts w:ascii="IRNazanin" w:hAnsi="IRNazanin" w:eastAsia="IRNazanin" w:cs="IRNazanin"/>
            <w:color w:val="111111"/>
            <w:sz w:val="22"/>
            <w:szCs w:val="22"/>
            <w:b w:val="0"/>
            <w:bCs w:val="0"/>
            <w:i w:val="0"/>
            <w:iCs w:val="0"/>
          </w:rPr>
          <w:t>[لو کان التارک للطریقین بانیا علی الاحتیاط]</w:t>
        </w:r>
        <w:r>
          <w:tab/>
        </w:r>
        <w:r>
          <w:fldChar w:fldCharType="begin"/>
        </w:r>
        <w:r>
          <w:instrText xml:space="preserve">PAGEREF 563 \h</w:instrText>
        </w:r>
        <w:r>
          <w:fldChar w:fldCharType="end"/>
        </w:r>
      </w:hyperlink>
    </w:p>
    <w:p>
      <w:pPr>
        <w:tabs>
          <w:tab w:val="right" w:leader="dot" w:pos="9062"/>
        </w:tabs>
        <w:ind w:left="1100"/>
      </w:pPr>
      <w:hyperlink w:anchor="_Toc564" w:history="1">
        <w:r>
          <w:rPr>
            <w:rFonts w:ascii="IRNazanin" w:hAnsi="IRNazanin" w:eastAsia="IRNazanin" w:cs="IRNazanin"/>
            <w:color w:val="111111"/>
            <w:sz w:val="22"/>
            <w:szCs w:val="22"/>
            <w:b w:val="0"/>
            <w:bCs w:val="0"/>
            <w:i w:val="0"/>
            <w:iCs w:val="0"/>
          </w:rPr>
          <w:t>[الأقوی الصحّة إذا لم یتوقّف الاحتیاط علی التکرار]</w:t>
        </w:r>
        <w:r>
          <w:tab/>
        </w:r>
        <w:r>
          <w:fldChar w:fldCharType="begin"/>
        </w:r>
        <w:r>
          <w:instrText xml:space="preserve">PAGEREF 564 \h</w:instrText>
        </w:r>
        <w:r>
          <w:fldChar w:fldCharType="end"/>
        </w:r>
      </w:hyperlink>
    </w:p>
    <w:p>
      <w:pPr>
        <w:tabs>
          <w:tab w:val="right" w:leader="dot" w:pos="9062"/>
        </w:tabs>
        <w:ind w:left="1100"/>
      </w:pPr>
      <w:hyperlink w:anchor="_Toc565" w:history="1">
        <w:r>
          <w:rPr>
            <w:rFonts w:ascii="IRNazanin" w:hAnsi="IRNazanin" w:eastAsia="IRNazanin" w:cs="IRNazanin"/>
            <w:color w:val="111111"/>
            <w:sz w:val="22"/>
            <w:szCs w:val="22"/>
            <w:b w:val="0"/>
            <w:bCs w:val="0"/>
            <w:i w:val="0"/>
            <w:iCs w:val="0"/>
          </w:rPr>
          <w:t>[الأحوط عدم الاکتفاء بالاحتیاط]</w:t>
        </w:r>
        <w:r>
          <w:tab/>
        </w:r>
        <w:r>
          <w:fldChar w:fldCharType="begin"/>
        </w:r>
        <w:r>
          <w:instrText xml:space="preserve">PAGEREF 565 \h</w:instrText>
        </w:r>
        <w:r>
          <w:fldChar w:fldCharType="end"/>
        </w:r>
      </w:hyperlink>
    </w:p>
    <w:p>
      <w:pPr>
        <w:tabs>
          <w:tab w:val="right" w:leader="dot" w:pos="9062"/>
        </w:tabs>
        <w:ind w:left="1100"/>
      </w:pPr>
      <w:hyperlink w:anchor="_Toc566" w:history="1">
        <w:r>
          <w:rPr>
            <w:rFonts w:ascii="IRNazanin" w:hAnsi="IRNazanin" w:eastAsia="IRNazanin" w:cs="IRNazanin"/>
            <w:color w:val="111111"/>
            <w:sz w:val="22"/>
            <w:szCs w:val="22"/>
            <w:b w:val="0"/>
            <w:bCs w:val="0"/>
            <w:i w:val="0"/>
            <w:iCs w:val="0"/>
          </w:rPr>
          <w:t>[لو توقّف الاحتیاط علی التکرار]</w:t>
        </w:r>
        <w:r>
          <w:tab/>
        </w:r>
        <w:r>
          <w:fldChar w:fldCharType="begin"/>
        </w:r>
        <w:r>
          <w:instrText xml:space="preserve">PAGEREF 566 \h</w:instrText>
        </w:r>
        <w:r>
          <w:fldChar w:fldCharType="end"/>
        </w:r>
      </w:hyperlink>
    </w:p>
    <w:p>
      <w:pPr>
        <w:tabs>
          <w:tab w:val="right" w:leader="dot" w:pos="9062"/>
        </w:tabs>
        <w:ind w:left="1100"/>
      </w:pPr>
      <w:hyperlink w:anchor="_Toc567" w:history="1">
        <w:r>
          <w:rPr>
            <w:rFonts w:ascii="IRNazanin" w:hAnsi="IRNazanin" w:eastAsia="IRNazanin" w:cs="IRNazanin"/>
            <w:color w:val="111111"/>
            <w:sz w:val="22"/>
            <w:szCs w:val="22"/>
            <w:b w:val="0"/>
            <w:bCs w:val="0"/>
            <w:i w:val="0"/>
            <w:iCs w:val="0"/>
          </w:rPr>
          <w:t>[قوّة احتمال اعتبار الإطاعة التفصیلیّة دون الاحتمالیّة]</w:t>
        </w:r>
        <w:r>
          <w:tab/>
        </w:r>
        <w:r>
          <w:fldChar w:fldCharType="begin"/>
        </w:r>
        <w:r>
          <w:instrText xml:space="preserve">PAGEREF 567 \h</w:instrText>
        </w:r>
        <w:r>
          <w:fldChar w:fldCharType="end"/>
        </w:r>
      </w:hyperlink>
    </w:p>
    <w:p>
      <w:pPr>
        <w:tabs>
          <w:tab w:val="right" w:leader="dot" w:pos="9062"/>
        </w:tabs>
        <w:ind w:left="1100"/>
      </w:pPr>
      <w:hyperlink w:anchor="_Toc568" w:history="1">
        <w:r>
          <w:rPr>
            <w:rFonts w:ascii="IRNazanin" w:hAnsi="IRNazanin" w:eastAsia="IRNazanin" w:cs="IRNazanin"/>
            <w:color w:val="111111"/>
            <w:sz w:val="22"/>
            <w:szCs w:val="22"/>
            <w:b w:val="0"/>
            <w:bCs w:val="0"/>
            <w:i w:val="0"/>
            <w:iCs w:val="0"/>
          </w:rPr>
          <w:t>[المقام الثانی:ما یعتبر فی العمل بالبراءة]</w:t>
        </w:r>
        <w:r>
          <w:tab/>
        </w:r>
        <w:r>
          <w:fldChar w:fldCharType="begin"/>
        </w:r>
        <w:r>
          <w:instrText xml:space="preserve">PAGEREF 568 \h</w:instrText>
        </w:r>
        <w:r>
          <w:fldChar w:fldCharType="end"/>
        </w:r>
      </w:hyperlink>
    </w:p>
    <w:p>
      <w:pPr>
        <w:tabs>
          <w:tab w:val="right" w:leader="dot" w:pos="9062"/>
        </w:tabs>
        <w:ind w:left="1100"/>
      </w:pPr>
      <w:hyperlink w:anchor="_Toc569" w:history="1">
        <w:r>
          <w:rPr>
            <w:rFonts w:ascii="IRNazanin" w:hAnsi="IRNazanin" w:eastAsia="IRNazanin" w:cs="IRNazanin"/>
            <w:color w:val="111111"/>
            <w:sz w:val="22"/>
            <w:szCs w:val="22"/>
            <w:b w:val="0"/>
            <w:bCs w:val="0"/>
            <w:i w:val="0"/>
            <w:iCs w:val="0"/>
          </w:rPr>
          <w:t>اشارة</w:t>
        </w:r>
        <w:r>
          <w:tab/>
        </w:r>
        <w:r>
          <w:fldChar w:fldCharType="begin"/>
        </w:r>
        <w:r>
          <w:instrText xml:space="preserve">PAGEREF 569 \h</w:instrText>
        </w:r>
        <w:r>
          <w:fldChar w:fldCharType="end"/>
        </w:r>
      </w:hyperlink>
    </w:p>
    <w:p>
      <w:pPr>
        <w:tabs>
          <w:tab w:val="right" w:leader="dot" w:pos="9062"/>
        </w:tabs>
        <w:ind w:left="1100"/>
      </w:pPr>
      <w:hyperlink w:anchor="_Toc570" w:history="1">
        <w:r>
          <w:rPr>
            <w:rFonts w:ascii="IRNazanin" w:hAnsi="IRNazanin" w:eastAsia="IRNazanin" w:cs="IRNazanin"/>
            <w:color w:val="111111"/>
            <w:sz w:val="22"/>
            <w:szCs w:val="22"/>
            <w:b w:val="0"/>
            <w:bCs w:val="0"/>
            <w:i w:val="0"/>
            <w:iCs w:val="0"/>
          </w:rPr>
          <w:t>[عدم اعتبار الفحص فی الشبهة الموضوعیّة]</w:t>
        </w:r>
        <w:r>
          <w:tab/>
        </w:r>
        <w:r>
          <w:fldChar w:fldCharType="begin"/>
        </w:r>
        <w:r>
          <w:instrText xml:space="preserve">PAGEREF 570 \h</w:instrText>
        </w:r>
        <w:r>
          <w:fldChar w:fldCharType="end"/>
        </w:r>
      </w:hyperlink>
    </w:p>
    <w:p>
      <w:pPr>
        <w:tabs>
          <w:tab w:val="right" w:leader="dot" w:pos="9062"/>
        </w:tabs>
        <w:ind w:left="1100"/>
      </w:pPr>
      <w:hyperlink w:anchor="_Toc571" w:history="1">
        <w:r>
          <w:rPr>
            <w:rFonts w:ascii="IRNazanin" w:hAnsi="IRNazanin" w:eastAsia="IRNazanin" w:cs="IRNazanin"/>
            <w:color w:val="111111"/>
            <w:sz w:val="22"/>
            <w:szCs w:val="22"/>
            <w:b w:val="0"/>
            <w:bCs w:val="0"/>
            <w:i w:val="0"/>
            <w:iCs w:val="0"/>
          </w:rPr>
          <w:t>المقام الاول[وجوب أصل الفحص]</w:t>
        </w:r>
        <w:r>
          <w:tab/>
        </w:r>
        <w:r>
          <w:fldChar w:fldCharType="begin"/>
        </w:r>
        <w:r>
          <w:instrText xml:space="preserve">PAGEREF 571 \h</w:instrText>
        </w:r>
        <w:r>
          <w:fldChar w:fldCharType="end"/>
        </w:r>
      </w:hyperlink>
    </w:p>
    <w:p>
      <w:pPr>
        <w:tabs>
          <w:tab w:val="right" w:leader="dot" w:pos="9062"/>
        </w:tabs>
        <w:ind w:left="1100"/>
      </w:pPr>
      <w:hyperlink w:anchor="_Toc5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572 \h</w:instrText>
        </w:r>
        <w:r>
          <w:fldChar w:fldCharType="end"/>
        </w:r>
      </w:hyperlink>
    </w:p>
    <w:p>
      <w:pPr>
        <w:tabs>
          <w:tab w:val="right" w:leader="dot" w:pos="9062"/>
        </w:tabs>
        <w:ind w:left="1100"/>
      </w:pPr>
      <w:hyperlink w:anchor="_Toc573" w:history="1">
        <w:r>
          <w:rPr>
            <w:rFonts w:ascii="IRNazanin" w:hAnsi="IRNazanin" w:eastAsia="IRNazanin" w:cs="IRNazanin"/>
            <w:color w:val="111111"/>
            <w:sz w:val="22"/>
            <w:szCs w:val="22"/>
            <w:b w:val="0"/>
            <w:bCs w:val="0"/>
            <w:i w:val="0"/>
            <w:iCs w:val="0"/>
          </w:rPr>
          <w:t>[أدلّة وجوب الفحص:]</w:t>
        </w:r>
        <w:r>
          <w:tab/>
        </w:r>
        <w:r>
          <w:fldChar w:fldCharType="begin"/>
        </w:r>
        <w:r>
          <w:instrText xml:space="preserve">PAGEREF 573 \h</w:instrText>
        </w:r>
        <w:r>
          <w:fldChar w:fldCharType="end"/>
        </w:r>
      </w:hyperlink>
    </w:p>
    <w:p>
      <w:pPr>
        <w:tabs>
          <w:tab w:val="right" w:leader="dot" w:pos="9062"/>
        </w:tabs>
        <w:ind w:left="1100"/>
      </w:pPr>
      <w:hyperlink w:anchor="_Toc574" w:history="1">
        <w:r>
          <w:rPr>
            <w:rFonts w:ascii="IRNazanin" w:hAnsi="IRNazanin" w:eastAsia="IRNazanin" w:cs="IRNazanin"/>
            <w:color w:val="111111"/>
            <w:sz w:val="22"/>
            <w:szCs w:val="22"/>
            <w:b w:val="0"/>
            <w:bCs w:val="0"/>
            <w:i w:val="0"/>
            <w:iCs w:val="0"/>
          </w:rPr>
          <w:t>الأوّل : الإجماع</w:t>
        </w:r>
        <w:r>
          <w:tab/>
        </w:r>
        <w:r>
          <w:fldChar w:fldCharType="begin"/>
        </w:r>
        <w:r>
          <w:instrText xml:space="preserve">PAGEREF 574 \h</w:instrText>
        </w:r>
        <w:r>
          <w:fldChar w:fldCharType="end"/>
        </w:r>
      </w:hyperlink>
    </w:p>
    <w:p>
      <w:pPr>
        <w:tabs>
          <w:tab w:val="right" w:leader="dot" w:pos="9062"/>
        </w:tabs>
        <w:ind w:left="1100"/>
      </w:pPr>
      <w:hyperlink w:anchor="_Toc575" w:history="1">
        <w:r>
          <w:rPr>
            <w:rFonts w:ascii="IRNazanin" w:hAnsi="IRNazanin" w:eastAsia="IRNazanin" w:cs="IRNazanin"/>
            <w:color w:val="111111"/>
            <w:sz w:val="22"/>
            <w:szCs w:val="22"/>
            <w:b w:val="0"/>
            <w:bCs w:val="0"/>
            <w:i w:val="0"/>
            <w:iCs w:val="0"/>
          </w:rPr>
          <w:t>الثانی : الأدلّة الدالّة علی وجوب تحصیل العلم</w:t>
        </w:r>
        <w:r>
          <w:tab/>
        </w:r>
        <w:r>
          <w:fldChar w:fldCharType="begin"/>
        </w:r>
        <w:r>
          <w:instrText xml:space="preserve">PAGEREF 575 \h</w:instrText>
        </w:r>
        <w:r>
          <w:fldChar w:fldCharType="end"/>
        </w:r>
      </w:hyperlink>
    </w:p>
    <w:p>
      <w:pPr>
        <w:tabs>
          <w:tab w:val="right" w:leader="dot" w:pos="9062"/>
        </w:tabs>
        <w:ind w:left="1100"/>
      </w:pPr>
      <w:hyperlink w:anchor="_Toc576" w:history="1">
        <w:r>
          <w:rPr>
            <w:rFonts w:ascii="IRNazanin" w:hAnsi="IRNazanin" w:eastAsia="IRNazanin" w:cs="IRNazanin"/>
            <w:color w:val="111111"/>
            <w:sz w:val="22"/>
            <w:szCs w:val="22"/>
            <w:b w:val="0"/>
            <w:bCs w:val="0"/>
            <w:i w:val="0"/>
            <w:iCs w:val="0"/>
          </w:rPr>
          <w:t>الثالث : ما دلّ علی مؤاخذة الجهّال بفعل المعاصی المجهولة</w:t>
        </w:r>
        <w:r>
          <w:tab/>
        </w:r>
        <w:r>
          <w:fldChar w:fldCharType="begin"/>
        </w:r>
        <w:r>
          <w:instrText xml:space="preserve">PAGEREF 576 \h</w:instrText>
        </w:r>
        <w:r>
          <w:fldChar w:fldCharType="end"/>
        </w:r>
      </w:hyperlink>
    </w:p>
    <w:p>
      <w:pPr>
        <w:tabs>
          <w:tab w:val="right" w:leader="dot" w:pos="9062"/>
        </w:tabs>
        <w:ind w:left="1100"/>
      </w:pPr>
      <w:hyperlink w:anchor="_Toc577" w:history="1">
        <w:r>
          <w:rPr>
            <w:rFonts w:ascii="IRNazanin" w:hAnsi="IRNazanin" w:eastAsia="IRNazanin" w:cs="IRNazanin"/>
            <w:color w:val="111111"/>
            <w:sz w:val="22"/>
            <w:szCs w:val="22"/>
            <w:b w:val="0"/>
            <w:bCs w:val="0"/>
            <w:i w:val="0"/>
            <w:iCs w:val="0"/>
          </w:rPr>
          <w:t>الرابع : [العقل]</w:t>
        </w:r>
        <w:r>
          <w:tab/>
        </w:r>
        <w:r>
          <w:fldChar w:fldCharType="begin"/>
        </w:r>
        <w:r>
          <w:instrText xml:space="preserve">PAGEREF 577 \h</w:instrText>
        </w:r>
        <w:r>
          <w:fldChar w:fldCharType="end"/>
        </w:r>
      </w:hyperlink>
    </w:p>
    <w:p>
      <w:pPr>
        <w:tabs>
          <w:tab w:val="right" w:leader="dot" w:pos="9062"/>
        </w:tabs>
        <w:ind w:left="1100"/>
      </w:pPr>
      <w:hyperlink w:anchor="_Toc578" w:history="1">
        <w:r>
          <w:rPr>
            <w:rFonts w:ascii="IRNazanin" w:hAnsi="IRNazanin" w:eastAsia="IRNazanin" w:cs="IRNazanin"/>
            <w:color w:val="111111"/>
            <w:sz w:val="22"/>
            <w:szCs w:val="22"/>
            <w:b w:val="0"/>
            <w:bCs w:val="0"/>
            <w:i w:val="0"/>
            <w:iCs w:val="0"/>
          </w:rPr>
          <w:t>الخامس : حصول العلم الإجمالیّ</w:t>
        </w:r>
        <w:r>
          <w:tab/>
        </w:r>
        <w:r>
          <w:fldChar w:fldCharType="begin"/>
        </w:r>
        <w:r>
          <w:instrText xml:space="preserve">PAGEREF 578 \h</w:instrText>
        </w:r>
        <w:r>
          <w:fldChar w:fldCharType="end"/>
        </w:r>
      </w:hyperlink>
    </w:p>
    <w:p>
      <w:pPr>
        <w:tabs>
          <w:tab w:val="right" w:leader="dot" w:pos="9062"/>
        </w:tabs>
        <w:ind w:left="1100"/>
      </w:pPr>
      <w:hyperlink w:anchor="_Toc5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579 \h</w:instrText>
        </w:r>
        <w:r>
          <w:fldChar w:fldCharType="end"/>
        </w:r>
      </w:hyperlink>
    </w:p>
    <w:p>
      <w:pPr>
        <w:tabs>
          <w:tab w:val="right" w:leader="dot" w:pos="9062"/>
        </w:tabs>
        <w:ind w:left="1100"/>
      </w:pPr>
      <w:hyperlink w:anchor="_Toc580" w:history="1">
        <w:r>
          <w:rPr>
            <w:rFonts w:ascii="IRNazanin" w:hAnsi="IRNazanin" w:eastAsia="IRNazanin" w:cs="IRNazanin"/>
            <w:color w:val="111111"/>
            <w:sz w:val="22"/>
            <w:szCs w:val="22"/>
            <w:b w:val="0"/>
            <w:bCs w:val="0"/>
            <w:i w:val="0"/>
            <w:iCs w:val="0"/>
          </w:rPr>
          <w:t>[المناقشة فی العلم الإجمالی]</w:t>
        </w:r>
        <w:r>
          <w:tab/>
        </w:r>
        <w:r>
          <w:fldChar w:fldCharType="begin"/>
        </w:r>
        <w:r>
          <w:instrText xml:space="preserve">PAGEREF 580 \h</w:instrText>
        </w:r>
        <w:r>
          <w:fldChar w:fldCharType="end"/>
        </w:r>
      </w:hyperlink>
    </w:p>
    <w:p>
      <w:pPr>
        <w:tabs>
          <w:tab w:val="right" w:leader="dot" w:pos="9062"/>
        </w:tabs>
        <w:ind w:left="1100"/>
      </w:pPr>
      <w:hyperlink w:anchor="_Toc581" w:history="1">
        <w:r>
          <w:rPr>
            <w:rFonts w:ascii="IRNazanin" w:hAnsi="IRNazanin" w:eastAsia="IRNazanin" w:cs="IRNazanin"/>
            <w:color w:val="111111"/>
            <w:sz w:val="22"/>
            <w:szCs w:val="22"/>
            <w:b w:val="0"/>
            <w:bCs w:val="0"/>
            <w:i w:val="0"/>
            <w:iCs w:val="0"/>
          </w:rPr>
          <w:t>[الأولی ما ذکر فی الوجه الرابع]</w:t>
        </w:r>
        <w:r>
          <w:tab/>
        </w:r>
        <w:r>
          <w:fldChar w:fldCharType="begin"/>
        </w:r>
        <w:r>
          <w:instrText xml:space="preserve">PAGEREF 581 \h</w:instrText>
        </w:r>
        <w:r>
          <w:fldChar w:fldCharType="end"/>
        </w:r>
      </w:hyperlink>
    </w:p>
    <w:p>
      <w:pPr>
        <w:tabs>
          <w:tab w:val="right" w:leader="dot" w:pos="9062"/>
        </w:tabs>
        <w:ind w:left="1100"/>
      </w:pPr>
      <w:hyperlink w:anchor="_Toc582" w:history="1">
        <w:r>
          <w:rPr>
            <w:rFonts w:ascii="IRNazanin" w:hAnsi="IRNazanin" w:eastAsia="IRNazanin" w:cs="IRNazanin"/>
            <w:color w:val="111111"/>
            <w:sz w:val="22"/>
            <w:szCs w:val="22"/>
            <w:b w:val="0"/>
            <w:bCs w:val="0"/>
            <w:i w:val="0"/>
            <w:iCs w:val="0"/>
          </w:rPr>
          <w:t>[الأخذ بالبراءة مع ترک الفحص]</w:t>
        </w:r>
        <w:r>
          <w:tab/>
        </w:r>
        <w:r>
          <w:fldChar w:fldCharType="begin"/>
        </w:r>
        <w:r>
          <w:instrText xml:space="preserve">PAGEREF 582 \h</w:instrText>
        </w:r>
        <w:r>
          <w:fldChar w:fldCharType="end"/>
        </w:r>
      </w:hyperlink>
    </w:p>
    <w:p>
      <w:pPr>
        <w:tabs>
          <w:tab w:val="right" w:leader="dot" w:pos="9062"/>
        </w:tabs>
        <w:ind w:left="1100"/>
      </w:pPr>
      <w:hyperlink w:anchor="_Toc583" w:history="1">
        <w:r>
          <w:rPr>
            <w:rFonts w:ascii="IRNazanin" w:hAnsi="IRNazanin" w:eastAsia="IRNazanin" w:cs="IRNazanin"/>
            <w:color w:val="111111"/>
            <w:sz w:val="22"/>
            <w:szCs w:val="22"/>
            <w:b w:val="0"/>
            <w:bCs w:val="0"/>
            <w:i w:val="0"/>
            <w:iCs w:val="0"/>
          </w:rPr>
          <w:t>أمّا العقاب: [فالمشهور أنّ عقاب الجاهل المقصّر علی مخالفة الواقع]</w:t>
        </w:r>
        <w:r>
          <w:tab/>
        </w:r>
        <w:r>
          <w:fldChar w:fldCharType="begin"/>
        </w:r>
        <w:r>
          <w:instrText xml:space="preserve">PAGEREF 583 \h</w:instrText>
        </w:r>
        <w:r>
          <w:fldChar w:fldCharType="end"/>
        </w:r>
      </w:hyperlink>
    </w:p>
    <w:p>
      <w:pPr>
        <w:tabs>
          <w:tab w:val="right" w:leader="dot" w:pos="9062"/>
        </w:tabs>
        <w:ind w:left="1100"/>
      </w:pPr>
      <w:hyperlink w:anchor="_Toc584" w:history="1">
        <w:r>
          <w:rPr>
            <w:rFonts w:ascii="IRNazanin" w:hAnsi="IRNazanin" w:eastAsia="IRNazanin" w:cs="IRNazanin"/>
            <w:color w:val="111111"/>
            <w:sz w:val="22"/>
            <w:szCs w:val="22"/>
            <w:b w:val="0"/>
            <w:bCs w:val="0"/>
            <w:i w:val="0"/>
            <w:iCs w:val="0"/>
          </w:rPr>
          <w:t>[عدم العقاب مع عدم مخالفة الواقع]</w:t>
        </w:r>
        <w:r>
          <w:tab/>
        </w:r>
        <w:r>
          <w:fldChar w:fldCharType="begin"/>
        </w:r>
        <w:r>
          <w:instrText xml:space="preserve">PAGEREF 584 \h</w:instrText>
        </w:r>
        <w:r>
          <w:fldChar w:fldCharType="end"/>
        </w:r>
      </w:hyperlink>
    </w:p>
    <w:p>
      <w:pPr>
        <w:tabs>
          <w:tab w:val="right" w:leader="dot" w:pos="9062"/>
        </w:tabs>
        <w:ind w:left="1100"/>
      </w:pPr>
      <w:hyperlink w:anchor="_Toc585" w:history="1">
        <w:r>
          <w:rPr>
            <w:rFonts w:ascii="IRNazanin" w:hAnsi="IRNazanin" w:eastAsia="IRNazanin" w:cs="IRNazanin"/>
            <w:color w:val="111111"/>
            <w:sz w:val="22"/>
            <w:szCs w:val="22"/>
            <w:b w:val="0"/>
            <w:bCs w:val="0"/>
            <w:i w:val="0"/>
            <w:iCs w:val="0"/>
          </w:rPr>
          <w:t>[الاستدلال علی العقاب عند مخالفة الواقع]</w:t>
        </w:r>
        <w:r>
          <w:tab/>
        </w:r>
        <w:r>
          <w:fldChar w:fldCharType="begin"/>
        </w:r>
        <w:r>
          <w:instrText xml:space="preserve">PAGEREF 585 \h</w:instrText>
        </w:r>
        <w:r>
          <w:fldChar w:fldCharType="end"/>
        </w:r>
      </w:hyperlink>
    </w:p>
    <w:p>
      <w:pPr>
        <w:tabs>
          <w:tab w:val="right" w:leader="dot" w:pos="9062"/>
        </w:tabs>
        <w:ind w:left="1100"/>
      </w:pPr>
      <w:hyperlink w:anchor="_Toc586" w:history="1">
        <w:r>
          <w:rPr>
            <w:rFonts w:ascii="IRNazanin" w:hAnsi="IRNazanin" w:eastAsia="IRNazanin" w:cs="IRNazanin"/>
            <w:color w:val="111111"/>
            <w:sz w:val="22"/>
            <w:szCs w:val="22"/>
            <w:b w:val="0"/>
            <w:bCs w:val="0"/>
            <w:i w:val="0"/>
            <w:iCs w:val="0"/>
          </w:rPr>
          <w:t>[عدم کون الجهل مانعا من العقاب لا عقلا و لا شرعا]</w:t>
        </w:r>
        <w:r>
          <w:tab/>
        </w:r>
        <w:r>
          <w:fldChar w:fldCharType="begin"/>
        </w:r>
        <w:r>
          <w:instrText xml:space="preserve">PAGEREF 586 \h</w:instrText>
        </w:r>
        <w:r>
          <w:fldChar w:fldCharType="end"/>
        </w:r>
      </w:hyperlink>
    </w:p>
    <w:p>
      <w:pPr>
        <w:tabs>
          <w:tab w:val="right" w:leader="dot" w:pos="9062"/>
        </w:tabs>
        <w:ind w:left="1100"/>
      </w:pPr>
      <w:hyperlink w:anchor="_Toc587" w:history="1">
        <w:r>
          <w:rPr>
            <w:rFonts w:ascii="IRNazanin" w:hAnsi="IRNazanin" w:eastAsia="IRNazanin" w:cs="IRNazanin"/>
            <w:color w:val="111111"/>
            <w:sz w:val="22"/>
            <w:szCs w:val="22"/>
            <w:b w:val="0"/>
            <w:bCs w:val="0"/>
            <w:i w:val="0"/>
            <w:iCs w:val="0"/>
          </w:rPr>
          <w:t>[الاستدلال علی العقاب بالاجماع علی مؤاخذة الکفّار علی الفروع و المناقشة فیه]</w:t>
        </w:r>
        <w:r>
          <w:tab/>
        </w:r>
        <w:r>
          <w:fldChar w:fldCharType="begin"/>
        </w:r>
        <w:r>
          <w:instrText xml:space="preserve">PAGEREF 587 \h</w:instrText>
        </w:r>
        <w:r>
          <w:fldChar w:fldCharType="end"/>
        </w:r>
      </w:hyperlink>
    </w:p>
    <w:p>
      <w:pPr>
        <w:tabs>
          <w:tab w:val="right" w:leader="dot" w:pos="9062"/>
        </w:tabs>
        <w:ind w:left="1100"/>
      </w:pPr>
      <w:hyperlink w:anchor="_Toc588" w:history="1">
        <w:r>
          <w:rPr>
            <w:rFonts w:ascii="IRNazanin" w:hAnsi="IRNazanin" w:eastAsia="IRNazanin" w:cs="IRNazanin"/>
            <w:color w:val="111111"/>
            <w:sz w:val="22"/>
            <w:szCs w:val="22"/>
            <w:b w:val="0"/>
            <w:bCs w:val="0"/>
            <w:i w:val="0"/>
            <w:iCs w:val="0"/>
          </w:rPr>
          <w:t>[جعل العقاب علی ترک التعلّم فی کلام صاحب المدارک]</w:t>
        </w:r>
        <w:r>
          <w:tab/>
        </w:r>
        <w:r>
          <w:fldChar w:fldCharType="begin"/>
        </w:r>
        <w:r>
          <w:instrText xml:space="preserve">PAGEREF 588 \h</w:instrText>
        </w:r>
        <w:r>
          <w:fldChar w:fldCharType="end"/>
        </w:r>
      </w:hyperlink>
    </w:p>
    <w:p>
      <w:pPr>
        <w:tabs>
          <w:tab w:val="right" w:leader="dot" w:pos="9062"/>
        </w:tabs>
        <w:ind w:left="1100"/>
      </w:pPr>
      <w:hyperlink w:anchor="_Toc589" w:history="1">
        <w:r>
          <w:rPr>
            <w:rFonts w:ascii="IRNazanin" w:hAnsi="IRNazanin" w:eastAsia="IRNazanin" w:cs="IRNazanin"/>
            <w:color w:val="111111"/>
            <w:sz w:val="22"/>
            <w:szCs w:val="22"/>
            <w:b w:val="0"/>
            <w:bCs w:val="0"/>
            <w:i w:val="0"/>
            <w:iCs w:val="0"/>
          </w:rPr>
          <w:t>اشارة</w:t>
        </w:r>
        <w:r>
          <w:tab/>
        </w:r>
        <w:r>
          <w:fldChar w:fldCharType="begin"/>
        </w:r>
        <w:r>
          <w:instrText xml:space="preserve">PAGEREF 589 \h</w:instrText>
        </w:r>
        <w:r>
          <w:fldChar w:fldCharType="end"/>
        </w:r>
      </w:hyperlink>
    </w:p>
    <w:p>
      <w:pPr>
        <w:tabs>
          <w:tab w:val="right" w:leader="dot" w:pos="9062"/>
        </w:tabs>
        <w:ind w:left="1100"/>
      </w:pPr>
      <w:hyperlink w:anchor="_Toc590" w:history="1">
        <w:r>
          <w:rPr>
            <w:rFonts w:ascii="IRNazanin" w:hAnsi="IRNazanin" w:eastAsia="IRNazanin" w:cs="IRNazanin"/>
            <w:color w:val="111111"/>
            <w:sz w:val="22"/>
            <w:szCs w:val="22"/>
            <w:b w:val="0"/>
            <w:bCs w:val="0"/>
            <w:i w:val="0"/>
            <w:iCs w:val="0"/>
          </w:rPr>
          <w:t>[توجیه کلام صاحب المدارک]</w:t>
        </w:r>
        <w:r>
          <w:tab/>
        </w:r>
        <w:r>
          <w:fldChar w:fldCharType="begin"/>
        </w:r>
        <w:r>
          <w:instrText xml:space="preserve">PAGEREF 590 \h</w:instrText>
        </w:r>
        <w:r>
          <w:fldChar w:fldCharType="end"/>
        </w:r>
      </w:hyperlink>
    </w:p>
    <w:p>
      <w:pPr>
        <w:tabs>
          <w:tab w:val="right" w:leader="dot" w:pos="9062"/>
        </w:tabs>
        <w:ind w:left="1100"/>
      </w:pPr>
      <w:hyperlink w:anchor="_Toc591" w:history="1">
        <w:r>
          <w:rPr>
            <w:rFonts w:ascii="IRNazanin" w:hAnsi="IRNazanin" w:eastAsia="IRNazanin" w:cs="IRNazanin"/>
            <w:color w:val="111111"/>
            <w:sz w:val="22"/>
            <w:szCs w:val="22"/>
            <w:b w:val="0"/>
            <w:bCs w:val="0"/>
            <w:i w:val="0"/>
            <w:iCs w:val="0"/>
          </w:rPr>
          <w:t>[ما هو مراد المشهور القائلین بالعقاب علی مخالفة الواقع؟]</w:t>
        </w:r>
        <w:r>
          <w:tab/>
        </w:r>
        <w:r>
          <w:fldChar w:fldCharType="begin"/>
        </w:r>
        <w:r>
          <w:instrText xml:space="preserve">PAGEREF 591 \h</w:instrText>
        </w:r>
        <w:r>
          <w:fldChar w:fldCharType="end"/>
        </w:r>
      </w:hyperlink>
    </w:p>
    <w:p>
      <w:pPr>
        <w:tabs>
          <w:tab w:val="right" w:leader="dot" w:pos="9062"/>
        </w:tabs>
        <w:ind w:left="1100"/>
      </w:pPr>
      <w:hyperlink w:anchor="_Toc592" w:history="1">
        <w:r>
          <w:rPr>
            <w:rFonts w:ascii="IRNazanin" w:hAnsi="IRNazanin" w:eastAsia="IRNazanin" w:cs="IRNazanin"/>
            <w:color w:val="111111"/>
            <w:sz w:val="22"/>
            <w:szCs w:val="22"/>
            <w:b w:val="0"/>
            <w:bCs w:val="0"/>
            <w:i w:val="0"/>
            <w:iCs w:val="0"/>
          </w:rPr>
          <w:t>[ظاهر بعض کلماتهم توجّه النهی إلی الجاهل حین غفلته]</w:t>
        </w:r>
        <w:r>
          <w:tab/>
        </w:r>
        <w:r>
          <w:fldChar w:fldCharType="begin"/>
        </w:r>
        <w:r>
          <w:instrText xml:space="preserve">PAGEREF 592 \h</w:instrText>
        </w:r>
        <w:r>
          <w:fldChar w:fldCharType="end"/>
        </w:r>
      </w:hyperlink>
    </w:p>
    <w:p>
      <w:pPr>
        <w:tabs>
          <w:tab w:val="right" w:leader="dot" w:pos="9062"/>
        </w:tabs>
        <w:ind w:left="1100"/>
      </w:pPr>
      <w:hyperlink w:anchor="_Toc593" w:history="1">
        <w:r>
          <w:rPr>
            <w:rFonts w:ascii="IRNazanin" w:hAnsi="IRNazanin" w:eastAsia="IRNazanin" w:cs="IRNazanin"/>
            <w:color w:val="111111"/>
            <w:sz w:val="22"/>
            <w:szCs w:val="22"/>
            <w:b w:val="0"/>
            <w:bCs w:val="0"/>
            <w:i w:val="0"/>
            <w:iCs w:val="0"/>
          </w:rPr>
          <w:t>[الفرق بین جاهل الحکم و جاهل الموضوع]</w:t>
        </w:r>
        <w:r>
          <w:tab/>
        </w:r>
        <w:r>
          <w:fldChar w:fldCharType="begin"/>
        </w:r>
        <w:r>
          <w:instrText xml:space="preserve">PAGEREF 593 \h</w:instrText>
        </w:r>
        <w:r>
          <w:fldChar w:fldCharType="end"/>
        </w:r>
      </w:hyperlink>
    </w:p>
    <w:p>
      <w:pPr>
        <w:tabs>
          <w:tab w:val="right" w:leader="dot" w:pos="9062"/>
        </w:tabs>
        <w:ind w:left="1100"/>
      </w:pPr>
      <w:hyperlink w:anchor="_Toc594" w:history="1">
        <w:r>
          <w:rPr>
            <w:rFonts w:ascii="IRNazanin" w:hAnsi="IRNazanin" w:eastAsia="IRNazanin" w:cs="IRNazanin"/>
            <w:color w:val="111111"/>
            <w:sz w:val="22"/>
            <w:szCs w:val="22"/>
            <w:b w:val="0"/>
            <w:bCs w:val="0"/>
            <w:i w:val="0"/>
            <w:iCs w:val="0"/>
          </w:rPr>
          <w:t>[الإشکال فی ناسی الحکم خصوصا المقصّر]</w:t>
        </w:r>
        <w:r>
          <w:tab/>
        </w:r>
        <w:r>
          <w:fldChar w:fldCharType="begin"/>
        </w:r>
        <w:r>
          <w:instrText xml:space="preserve">PAGEREF 594 \h</w:instrText>
        </w:r>
        <w:r>
          <w:fldChar w:fldCharType="end"/>
        </w:r>
      </w:hyperlink>
    </w:p>
    <w:p>
      <w:pPr>
        <w:tabs>
          <w:tab w:val="right" w:leader="dot" w:pos="9062"/>
        </w:tabs>
        <w:ind w:left="1100"/>
      </w:pPr>
      <w:hyperlink w:anchor="_Toc595" w:history="1">
        <w:r>
          <w:rPr>
            <w:rFonts w:ascii="IRNazanin" w:hAnsi="IRNazanin" w:eastAsia="IRNazanin" w:cs="IRNazanin"/>
            <w:color w:val="111111"/>
            <w:sz w:val="22"/>
            <w:szCs w:val="22"/>
            <w:b w:val="0"/>
            <w:bCs w:val="0"/>
            <w:i w:val="0"/>
            <w:iCs w:val="0"/>
          </w:rPr>
          <w:t>[عدم إباء کلام صاحب المدارک عن کون العلم واجبا نفسیا]</w:t>
        </w:r>
        <w:r>
          <w:tab/>
        </w:r>
        <w:r>
          <w:fldChar w:fldCharType="begin"/>
        </w:r>
        <w:r>
          <w:instrText xml:space="preserve">PAGEREF 595 \h</w:instrText>
        </w:r>
        <w:r>
          <w:fldChar w:fldCharType="end"/>
        </w:r>
      </w:hyperlink>
    </w:p>
    <w:p>
      <w:pPr>
        <w:tabs>
          <w:tab w:val="right" w:leader="dot" w:pos="9062"/>
        </w:tabs>
        <w:ind w:left="1100"/>
      </w:pPr>
      <w:hyperlink w:anchor="_Toc596" w:history="1">
        <w:r>
          <w:rPr>
            <w:rFonts w:ascii="IRNazanin" w:hAnsi="IRNazanin" w:eastAsia="IRNazanin" w:cs="IRNazanin"/>
            <w:color w:val="111111"/>
            <w:sz w:val="22"/>
            <w:szCs w:val="22"/>
            <w:b w:val="0"/>
            <w:bCs w:val="0"/>
            <w:i w:val="0"/>
            <w:iCs w:val="0"/>
          </w:rPr>
          <w:t>[ظاهر أدلّة وجوب العلم کونه واجبا غیریّا]</w:t>
        </w:r>
        <w:r>
          <w:tab/>
        </w:r>
        <w:r>
          <w:fldChar w:fldCharType="begin"/>
        </w:r>
        <w:r>
          <w:instrText xml:space="preserve">PAGEREF 596 \h</w:instrText>
        </w:r>
        <w:r>
          <w:fldChar w:fldCharType="end"/>
        </w:r>
      </w:hyperlink>
    </w:p>
    <w:p>
      <w:pPr>
        <w:tabs>
          <w:tab w:val="right" w:leader="dot" w:pos="9062"/>
        </w:tabs>
        <w:ind w:left="1100"/>
      </w:pPr>
      <w:hyperlink w:anchor="_Toc597" w:history="1">
        <w:r>
          <w:rPr>
            <w:rFonts w:ascii="IRNazanin" w:hAnsi="IRNazanin" w:eastAsia="IRNazanin" w:cs="IRNazanin"/>
            <w:color w:val="111111"/>
            <w:sz w:val="22"/>
            <w:szCs w:val="22"/>
            <w:b w:val="0"/>
            <w:bCs w:val="0"/>
            <w:i w:val="0"/>
            <w:iCs w:val="0"/>
          </w:rPr>
          <w:t>[هل العمل الصادر من الجاهل صحیح أو فاسد؟]</w:t>
        </w:r>
        <w:r>
          <w:tab/>
        </w:r>
        <w:r>
          <w:fldChar w:fldCharType="begin"/>
        </w:r>
        <w:r>
          <w:instrText xml:space="preserve">PAGEREF 597 \h</w:instrText>
        </w:r>
        <w:r>
          <w:fldChar w:fldCharType="end"/>
        </w:r>
      </w:hyperlink>
    </w:p>
    <w:p>
      <w:pPr>
        <w:tabs>
          <w:tab w:val="right" w:leader="dot" w:pos="9062"/>
        </w:tabs>
        <w:ind w:left="1100"/>
      </w:pPr>
      <w:hyperlink w:anchor="_Toc5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598 \h</w:instrText>
        </w:r>
        <w:r>
          <w:fldChar w:fldCharType="end"/>
        </w:r>
      </w:hyperlink>
    </w:p>
    <w:p>
      <w:pPr>
        <w:tabs>
          <w:tab w:val="right" w:leader="dot" w:pos="9062"/>
        </w:tabs>
        <w:ind w:left="1100"/>
      </w:pPr>
      <w:hyperlink w:anchor="_Toc599" w:history="1">
        <w:r>
          <w:rPr>
            <w:rFonts w:ascii="IRNazanin" w:hAnsi="IRNazanin" w:eastAsia="IRNazanin" w:cs="IRNazanin"/>
            <w:color w:val="111111"/>
            <w:sz w:val="22"/>
            <w:szCs w:val="22"/>
            <w:b w:val="0"/>
            <w:bCs w:val="0"/>
            <w:i w:val="0"/>
            <w:iCs w:val="0"/>
          </w:rPr>
          <w:t>أمّا المعاملات:</w:t>
        </w:r>
        <w:r>
          <w:tab/>
        </w:r>
        <w:r>
          <w:fldChar w:fldCharType="begin"/>
        </w:r>
        <w:r>
          <w:instrText xml:space="preserve">PAGEREF 599 \h</w:instrText>
        </w:r>
        <w:r>
          <w:fldChar w:fldCharType="end"/>
        </w:r>
      </w:hyperlink>
    </w:p>
    <w:p>
      <w:pPr>
        <w:tabs>
          <w:tab w:val="right" w:leader="dot" w:pos="9062"/>
        </w:tabs>
        <w:ind w:left="1100"/>
      </w:pPr>
      <w:hyperlink w:anchor="_Toc600" w:history="1">
        <w:r>
          <w:rPr>
            <w:rFonts w:ascii="IRNazanin" w:hAnsi="IRNazanin" w:eastAsia="IRNazanin" w:cs="IRNazanin"/>
            <w:color w:val="111111"/>
            <w:sz w:val="22"/>
            <w:szCs w:val="22"/>
            <w:b w:val="0"/>
            <w:bCs w:val="0"/>
            <w:i w:val="0"/>
            <w:iCs w:val="0"/>
          </w:rPr>
          <w:t>اشارة</w:t>
        </w:r>
        <w:r>
          <w:tab/>
        </w:r>
        <w:r>
          <w:fldChar w:fldCharType="begin"/>
        </w:r>
        <w:r>
          <w:instrText xml:space="preserve">PAGEREF 600 \h</w:instrText>
        </w:r>
        <w:r>
          <w:fldChar w:fldCharType="end"/>
        </w:r>
      </w:hyperlink>
    </w:p>
    <w:p>
      <w:pPr>
        <w:tabs>
          <w:tab w:val="right" w:leader="dot" w:pos="9062"/>
        </w:tabs>
        <w:ind w:left="1100"/>
      </w:pPr>
      <w:hyperlink w:anchor="_Toc601" w:history="1">
        <w:r>
          <w:rPr>
            <w:rFonts w:ascii="IRNazanin" w:hAnsi="IRNazanin" w:eastAsia="IRNazanin" w:cs="IRNazanin"/>
            <w:color w:val="111111"/>
            <w:sz w:val="22"/>
            <w:szCs w:val="22"/>
            <w:b w:val="0"/>
            <w:bCs w:val="0"/>
            <w:i w:val="0"/>
            <w:iCs w:val="0"/>
          </w:rPr>
          <w:t>[عدم الفرق فی صحّة معاملة الجاهل بین شکّه فی الصحّة حین صدورها أو قطعه بفسادها]</w:t>
        </w:r>
        <w:r>
          <w:tab/>
        </w:r>
        <w:r>
          <w:fldChar w:fldCharType="begin"/>
        </w:r>
        <w:r>
          <w:instrText xml:space="preserve">PAGEREF 601 \h</w:instrText>
        </w:r>
        <w:r>
          <w:fldChar w:fldCharType="end"/>
        </w:r>
      </w:hyperlink>
    </w:p>
    <w:p>
      <w:pPr>
        <w:tabs>
          <w:tab w:val="right" w:leader="dot" w:pos="9062"/>
        </w:tabs>
        <w:ind w:left="1100"/>
      </w:pPr>
      <w:hyperlink w:anchor="_Toc602" w:history="1">
        <w:r>
          <w:rPr>
            <w:rFonts w:ascii="IRNazanin" w:hAnsi="IRNazanin" w:eastAsia="IRNazanin" w:cs="IRNazanin"/>
            <w:color w:val="111111"/>
            <w:sz w:val="22"/>
            <w:szCs w:val="22"/>
            <w:b w:val="0"/>
            <w:bCs w:val="0"/>
            <w:i w:val="0"/>
            <w:iCs w:val="0"/>
          </w:rPr>
          <w:t>و أمّا العبادات: [إذا أوقع الجاهل عبادة عمل فیها بما تقتضیه البراءة]</w:t>
        </w:r>
        <w:r>
          <w:tab/>
        </w:r>
        <w:r>
          <w:fldChar w:fldCharType="begin"/>
        </w:r>
        <w:r>
          <w:instrText xml:space="preserve">PAGEREF 602 \h</w:instrText>
        </w:r>
        <w:r>
          <w:fldChar w:fldCharType="end"/>
        </w:r>
      </w:hyperlink>
    </w:p>
    <w:p>
      <w:pPr>
        <w:tabs>
          <w:tab w:val="right" w:leader="dot" w:pos="9062"/>
        </w:tabs>
        <w:ind w:left="1100"/>
      </w:pPr>
      <w:hyperlink w:anchor="_Toc6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603 \h</w:instrText>
        </w:r>
        <w:r>
          <w:fldChar w:fldCharType="end"/>
        </w:r>
      </w:hyperlink>
    </w:p>
    <w:p>
      <w:pPr>
        <w:tabs>
          <w:tab w:val="right" w:leader="dot" w:pos="9062"/>
        </w:tabs>
        <w:ind w:left="1100"/>
      </w:pPr>
      <w:hyperlink w:anchor="_Toc604" w:history="1">
        <w:r>
          <w:rPr>
            <w:rFonts w:ascii="IRNazanin" w:hAnsi="IRNazanin" w:eastAsia="IRNazanin" w:cs="IRNazanin"/>
            <w:color w:val="111111"/>
            <w:sz w:val="22"/>
            <w:szCs w:val="22"/>
            <w:b w:val="0"/>
            <w:bCs w:val="0"/>
            <w:i w:val="0"/>
            <w:iCs w:val="0"/>
          </w:rPr>
          <w:t>[عدم تحقّق قصد القربة مع الشکّ فی کون العمل مقرّبا]</w:t>
        </w:r>
        <w:r>
          <w:tab/>
        </w:r>
        <w:r>
          <w:fldChar w:fldCharType="begin"/>
        </w:r>
        <w:r>
          <w:instrText xml:space="preserve">PAGEREF 604 \h</w:instrText>
        </w:r>
        <w:r>
          <w:fldChar w:fldCharType="end"/>
        </w:r>
      </w:hyperlink>
    </w:p>
    <w:p>
      <w:pPr>
        <w:tabs>
          <w:tab w:val="right" w:leader="dot" w:pos="9062"/>
        </w:tabs>
        <w:ind w:left="1100"/>
      </w:pPr>
      <w:hyperlink w:anchor="_Toc605" w:history="1">
        <w:r>
          <w:rPr>
            <w:rFonts w:ascii="IRNazanin" w:hAnsi="IRNazanin" w:eastAsia="IRNazanin" w:cs="IRNazanin"/>
            <w:color w:val="111111"/>
            <w:sz w:val="22"/>
            <w:szCs w:val="22"/>
            <w:b w:val="0"/>
            <w:bCs w:val="0"/>
            <w:i w:val="0"/>
            <w:iCs w:val="0"/>
          </w:rPr>
          <w:t>[إذا کان غافلا و عمل باعتقاد التقرّب]</w:t>
        </w:r>
        <w:r>
          <w:tab/>
        </w:r>
        <w:r>
          <w:fldChar w:fldCharType="begin"/>
        </w:r>
        <w:r>
          <w:instrText xml:space="preserve">PAGEREF 605 \h</w:instrText>
        </w:r>
        <w:r>
          <w:fldChar w:fldCharType="end"/>
        </w:r>
      </w:hyperlink>
    </w:p>
    <w:p>
      <w:pPr>
        <w:tabs>
          <w:tab w:val="right" w:leader="dot" w:pos="9062"/>
        </w:tabs>
        <w:ind w:left="1100"/>
      </w:pPr>
      <w:hyperlink w:anchor="_Toc606" w:history="1">
        <w:r>
          <w:rPr>
            <w:rFonts w:ascii="IRNazanin" w:hAnsi="IRNazanin" w:eastAsia="IRNazanin" w:cs="IRNazanin"/>
            <w:color w:val="111111"/>
            <w:sz w:val="22"/>
            <w:szCs w:val="22"/>
            <w:b w:val="0"/>
            <w:bCs w:val="0"/>
            <w:i w:val="0"/>
            <w:iCs w:val="0"/>
          </w:rPr>
          <w:t>و لنختم الکلام فی الجاهل العامل قبل الفحص بامور</w:t>
        </w:r>
        <w:r>
          <w:tab/>
        </w:r>
        <w:r>
          <w:fldChar w:fldCharType="begin"/>
        </w:r>
        <w:r>
          <w:instrText xml:space="preserve">PAGEREF 606 \h</w:instrText>
        </w:r>
        <w:r>
          <w:fldChar w:fldCharType="end"/>
        </w:r>
      </w:hyperlink>
    </w:p>
    <w:p>
      <w:pPr>
        <w:tabs>
          <w:tab w:val="right" w:leader="dot" w:pos="9062"/>
        </w:tabs>
        <w:ind w:left="1100"/>
      </w:pPr>
      <w:hyperlink w:anchor="_Toc607" w:history="1">
        <w:r>
          <w:rPr>
            <w:rFonts w:ascii="IRNazanin" w:hAnsi="IRNazanin" w:eastAsia="IRNazanin" w:cs="IRNazanin"/>
            <w:color w:val="111111"/>
            <w:sz w:val="22"/>
            <w:szCs w:val="22"/>
            <w:b w:val="0"/>
            <w:bCs w:val="0"/>
            <w:i w:val="0"/>
            <w:iCs w:val="0"/>
          </w:rPr>
          <w:t>الأمر الأوّل [:هل العبرة فی عقاب الجاهل بمخالفة الواقع أو الطریق؟]</w:t>
        </w:r>
        <w:r>
          <w:tab/>
        </w:r>
        <w:r>
          <w:fldChar w:fldCharType="begin"/>
        </w:r>
        <w:r>
          <w:instrText xml:space="preserve">PAGEREF 607 \h</w:instrText>
        </w:r>
        <w:r>
          <w:fldChar w:fldCharType="end"/>
        </w:r>
      </w:hyperlink>
    </w:p>
    <w:p>
      <w:pPr>
        <w:tabs>
          <w:tab w:val="right" w:leader="dot" w:pos="9062"/>
        </w:tabs>
        <w:ind w:left="1100"/>
      </w:pPr>
      <w:hyperlink w:anchor="_Toc608" w:history="1">
        <w:r>
          <w:rPr>
            <w:rFonts w:ascii="IRNazanin" w:hAnsi="IRNazanin" w:eastAsia="IRNazanin" w:cs="IRNazanin"/>
            <w:color w:val="111111"/>
            <w:sz w:val="22"/>
            <w:szCs w:val="22"/>
            <w:b w:val="0"/>
            <w:bCs w:val="0"/>
            <w:i w:val="0"/>
            <w:iCs w:val="0"/>
          </w:rPr>
          <w:t>الأمر الثانی [:معذوریّة الجاهل بالقصر و الإتمام و الجهر و الإخفات]</w:t>
        </w:r>
        <w:r>
          <w:tab/>
        </w:r>
        <w:r>
          <w:fldChar w:fldCharType="begin"/>
        </w:r>
        <w:r>
          <w:instrText xml:space="preserve">PAGEREF 608 \h</w:instrText>
        </w:r>
        <w:r>
          <w:fldChar w:fldCharType="end"/>
        </w:r>
      </w:hyperlink>
    </w:p>
    <w:p>
      <w:pPr>
        <w:tabs>
          <w:tab w:val="right" w:leader="dot" w:pos="9062"/>
        </w:tabs>
        <w:ind w:left="1100"/>
      </w:pPr>
      <w:hyperlink w:anchor="_Toc609" w:history="1">
        <w:r>
          <w:rPr>
            <w:rFonts w:ascii="IRNazanin" w:hAnsi="IRNazanin" w:eastAsia="IRNazanin" w:cs="IRNazanin"/>
            <w:color w:val="111111"/>
            <w:sz w:val="22"/>
            <w:szCs w:val="22"/>
            <w:b w:val="0"/>
            <w:bCs w:val="0"/>
            <w:i w:val="0"/>
            <w:iCs w:val="0"/>
          </w:rPr>
          <w:t>اشارة</w:t>
        </w:r>
        <w:r>
          <w:tab/>
        </w:r>
        <w:r>
          <w:fldChar w:fldCharType="begin"/>
        </w:r>
        <w:r>
          <w:instrText xml:space="preserve">PAGEREF 609 \h</w:instrText>
        </w:r>
        <w:r>
          <w:fldChar w:fldCharType="end"/>
        </w:r>
      </w:hyperlink>
    </w:p>
    <w:p>
      <w:pPr>
        <w:tabs>
          <w:tab w:val="right" w:leader="dot" w:pos="9062"/>
        </w:tabs>
        <w:ind w:left="1100"/>
      </w:pPr>
      <w:hyperlink w:anchor="_Toc610" w:history="1">
        <w:r>
          <w:rPr>
            <w:rFonts w:ascii="IRNazanin" w:hAnsi="IRNazanin" w:eastAsia="IRNazanin" w:cs="IRNazanin"/>
            <w:color w:val="111111"/>
            <w:sz w:val="22"/>
            <w:szCs w:val="22"/>
            <w:b w:val="0"/>
            <w:bCs w:val="0"/>
            <w:i w:val="0"/>
            <w:iCs w:val="0"/>
          </w:rPr>
          <w:t>[الإشکال الوارد فی المسألة]</w:t>
        </w:r>
        <w:r>
          <w:tab/>
        </w:r>
        <w:r>
          <w:fldChar w:fldCharType="begin"/>
        </w:r>
        <w:r>
          <w:instrText xml:space="preserve">PAGEREF 610 \h</w:instrText>
        </w:r>
        <w:r>
          <w:fldChar w:fldCharType="end"/>
        </w:r>
      </w:hyperlink>
    </w:p>
    <w:p>
      <w:pPr>
        <w:tabs>
          <w:tab w:val="right" w:leader="dot" w:pos="9062"/>
        </w:tabs>
        <w:ind w:left="1100"/>
      </w:pPr>
      <w:hyperlink w:anchor="_Toc611" w:history="1">
        <w:r>
          <w:rPr>
            <w:rFonts w:ascii="IRNazanin" w:hAnsi="IRNazanin" w:eastAsia="IRNazanin" w:cs="IRNazanin"/>
            <w:color w:val="111111"/>
            <w:sz w:val="22"/>
            <w:szCs w:val="22"/>
            <w:b w:val="0"/>
            <w:bCs w:val="0"/>
            <w:i w:val="0"/>
            <w:iCs w:val="0"/>
          </w:rPr>
          <w:t>[دفع الإشکال من وجوه،و المناقشة فیها]</w:t>
        </w:r>
        <w:r>
          <w:tab/>
        </w:r>
        <w:r>
          <w:fldChar w:fldCharType="begin"/>
        </w:r>
        <w:r>
          <w:instrText xml:space="preserve">PAGEREF 611 \h</w:instrText>
        </w:r>
        <w:r>
          <w:fldChar w:fldCharType="end"/>
        </w:r>
      </w:hyperlink>
    </w:p>
    <w:p>
      <w:pPr>
        <w:tabs>
          <w:tab w:val="right" w:leader="dot" w:pos="9062"/>
        </w:tabs>
        <w:ind w:left="1100"/>
      </w:pPr>
      <w:hyperlink w:anchor="_Toc612" w:history="1">
        <w:r>
          <w:rPr>
            <w:rFonts w:ascii="IRNazanin" w:hAnsi="IRNazanin" w:eastAsia="IRNazanin" w:cs="IRNazanin"/>
            <w:color w:val="111111"/>
            <w:sz w:val="22"/>
            <w:szCs w:val="22"/>
            <w:b w:val="0"/>
            <w:bCs w:val="0"/>
            <w:i w:val="0"/>
            <w:iCs w:val="0"/>
          </w:rPr>
          <w:t>الأمر الثالث [:عدم وجوب الفحص فی الشبهة الموضوعیّة التحریمیّة]</w:t>
        </w:r>
        <w:r>
          <w:tab/>
        </w:r>
        <w:r>
          <w:fldChar w:fldCharType="begin"/>
        </w:r>
        <w:r>
          <w:instrText xml:space="preserve">PAGEREF 612 \h</w:instrText>
        </w:r>
        <w:r>
          <w:fldChar w:fldCharType="end"/>
        </w:r>
      </w:hyperlink>
    </w:p>
    <w:p>
      <w:pPr>
        <w:tabs>
          <w:tab w:val="right" w:leader="dot" w:pos="9062"/>
        </w:tabs>
        <w:ind w:left="1100"/>
      </w:pPr>
      <w:hyperlink w:anchor="_Toc6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613 \h</w:instrText>
        </w:r>
        <w:r>
          <w:fldChar w:fldCharType="end"/>
        </w:r>
      </w:hyperlink>
    </w:p>
    <w:p>
      <w:pPr>
        <w:tabs>
          <w:tab w:val="right" w:leader="dot" w:pos="9062"/>
        </w:tabs>
        <w:ind w:left="1100"/>
      </w:pPr>
      <w:hyperlink w:anchor="_Toc614" w:history="1">
        <w:r>
          <w:rPr>
            <w:rFonts w:ascii="IRNazanin" w:hAnsi="IRNazanin" w:eastAsia="IRNazanin" w:cs="IRNazanin"/>
            <w:color w:val="111111"/>
            <w:sz w:val="22"/>
            <w:szCs w:val="22"/>
            <w:b w:val="0"/>
            <w:bCs w:val="0"/>
            <w:i w:val="0"/>
            <w:iCs w:val="0"/>
          </w:rPr>
          <w:t>[هل یجب الفحص فی الشبهة الموضوعیّة الوجوبیّة؟]</w:t>
        </w:r>
        <w:r>
          <w:tab/>
        </w:r>
        <w:r>
          <w:fldChar w:fldCharType="begin"/>
        </w:r>
        <w:r>
          <w:instrText xml:space="preserve">PAGEREF 614 \h</w:instrText>
        </w:r>
        <w:r>
          <w:fldChar w:fldCharType="end"/>
        </w:r>
      </w:hyperlink>
    </w:p>
    <w:p>
      <w:pPr>
        <w:tabs>
          <w:tab w:val="right" w:leader="dot" w:pos="9062"/>
        </w:tabs>
        <w:ind w:left="1100"/>
      </w:pPr>
      <w:hyperlink w:anchor="_Toc615" w:history="1">
        <w:r>
          <w:rPr>
            <w:rFonts w:ascii="IRNazanin" w:hAnsi="IRNazanin" w:eastAsia="IRNazanin" w:cs="IRNazanin"/>
            <w:color w:val="111111"/>
            <w:sz w:val="22"/>
            <w:szCs w:val="22"/>
            <w:b w:val="0"/>
            <w:bCs w:val="0"/>
            <w:i w:val="0"/>
            <w:iCs w:val="0"/>
          </w:rPr>
          <w:t>[بناء العقلاء فی بعض الموارد علی الفحص]</w:t>
        </w:r>
        <w:r>
          <w:tab/>
        </w:r>
        <w:r>
          <w:fldChar w:fldCharType="begin"/>
        </w:r>
        <w:r>
          <w:instrText xml:space="preserve">PAGEREF 615 \h</w:instrText>
        </w:r>
        <w:r>
          <w:fldChar w:fldCharType="end"/>
        </w:r>
      </w:hyperlink>
    </w:p>
    <w:p>
      <w:pPr>
        <w:tabs>
          <w:tab w:val="right" w:leader="dot" w:pos="9062"/>
        </w:tabs>
        <w:ind w:left="1100"/>
      </w:pPr>
      <w:hyperlink w:anchor="_Toc616" w:history="1">
        <w:r>
          <w:rPr>
            <w:rFonts w:ascii="IRNazanin" w:hAnsi="IRNazanin" w:eastAsia="IRNazanin" w:cs="IRNazanin"/>
            <w:color w:val="111111"/>
            <w:sz w:val="22"/>
            <w:szCs w:val="22"/>
            <w:b w:val="0"/>
            <w:bCs w:val="0"/>
            <w:i w:val="0"/>
            <w:iCs w:val="0"/>
          </w:rPr>
          <w:t>[کلام صاحب المعالم فی وجوب الفحص فی خبر مجهول الحال]</w:t>
        </w:r>
        <w:r>
          <w:tab/>
        </w:r>
        <w:r>
          <w:fldChar w:fldCharType="begin"/>
        </w:r>
        <w:r>
          <w:instrText xml:space="preserve">PAGEREF 616 \h</w:instrText>
        </w:r>
        <w:r>
          <w:fldChar w:fldCharType="end"/>
        </w:r>
      </w:hyperlink>
    </w:p>
    <w:p>
      <w:pPr>
        <w:tabs>
          <w:tab w:val="right" w:leader="dot" w:pos="9062"/>
        </w:tabs>
        <w:ind w:left="1100"/>
      </w:pPr>
      <w:hyperlink w:anchor="_Toc617" w:history="1">
        <w:r>
          <w:rPr>
            <w:rFonts w:ascii="IRNazanin" w:hAnsi="IRNazanin" w:eastAsia="IRNazanin" w:cs="IRNazanin"/>
            <w:color w:val="111111"/>
            <w:sz w:val="22"/>
            <w:szCs w:val="22"/>
            <w:b w:val="0"/>
            <w:bCs w:val="0"/>
            <w:i w:val="0"/>
            <w:iCs w:val="0"/>
          </w:rPr>
          <w:t>[اختلاف کلمات الفقهاء فی فروع المسألة]</w:t>
        </w:r>
        <w:r>
          <w:tab/>
        </w:r>
        <w:r>
          <w:fldChar w:fldCharType="begin"/>
        </w:r>
        <w:r>
          <w:instrText xml:space="preserve">PAGEREF 617 \h</w:instrText>
        </w:r>
        <w:r>
          <w:fldChar w:fldCharType="end"/>
        </w:r>
      </w:hyperlink>
    </w:p>
    <w:p>
      <w:pPr>
        <w:tabs>
          <w:tab w:val="right" w:leader="dot" w:pos="9062"/>
        </w:tabs>
        <w:ind w:left="1100"/>
      </w:pPr>
      <w:hyperlink w:anchor="_Toc6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618 \h</w:instrText>
        </w:r>
        <w:r>
          <w:fldChar w:fldCharType="end"/>
        </w:r>
      </w:hyperlink>
    </w:p>
    <w:p>
      <w:pPr>
        <w:tabs>
          <w:tab w:val="right" w:leader="dot" w:pos="9062"/>
        </w:tabs>
        <w:ind w:left="1100"/>
      </w:pPr>
      <w:hyperlink w:anchor="_Toc619" w:history="1">
        <w:r>
          <w:rPr>
            <w:rFonts w:ascii="IRNazanin" w:hAnsi="IRNazanin" w:eastAsia="IRNazanin" w:cs="IRNazanin"/>
            <w:color w:val="111111"/>
            <w:sz w:val="22"/>
            <w:szCs w:val="22"/>
            <w:b w:val="0"/>
            <w:bCs w:val="0"/>
            <w:i w:val="0"/>
            <w:iCs w:val="0"/>
          </w:rPr>
          <w:t>[المناقشة فیما ذکره صاحب المعالم]</w:t>
        </w:r>
        <w:r>
          <w:tab/>
        </w:r>
        <w:r>
          <w:fldChar w:fldCharType="begin"/>
        </w:r>
        <w:r>
          <w:instrText xml:space="preserve">PAGEREF 619 \h</w:instrText>
        </w:r>
        <w:r>
          <w:fldChar w:fldCharType="end"/>
        </w:r>
      </w:hyperlink>
    </w:p>
    <w:p>
      <w:pPr>
        <w:tabs>
          <w:tab w:val="right" w:leader="dot" w:pos="9062"/>
        </w:tabs>
        <w:ind w:left="1100"/>
      </w:pPr>
      <w:hyperlink w:anchor="_Toc620" w:history="1">
        <w:r>
          <w:rPr>
            <w:rFonts w:ascii="IRNazanin" w:hAnsi="IRNazanin" w:eastAsia="IRNazanin" w:cs="IRNazanin"/>
            <w:color w:val="111111"/>
            <w:sz w:val="22"/>
            <w:szCs w:val="22"/>
            <w:b w:val="0"/>
            <w:bCs w:val="0"/>
            <w:i w:val="0"/>
            <w:iCs w:val="0"/>
          </w:rPr>
          <w:t>[ما یمکن أن یقال فی المسألة]</w:t>
        </w:r>
        <w:r>
          <w:tab/>
        </w:r>
        <w:r>
          <w:fldChar w:fldCharType="begin"/>
        </w:r>
        <w:r>
          <w:instrText xml:space="preserve">PAGEREF 620 \h</w:instrText>
        </w:r>
        <w:r>
          <w:fldChar w:fldCharType="end"/>
        </w:r>
      </w:hyperlink>
    </w:p>
    <w:p>
      <w:pPr>
        <w:tabs>
          <w:tab w:val="right" w:leader="dot" w:pos="9062"/>
        </w:tabs>
        <w:ind w:left="1100"/>
      </w:pPr>
      <w:hyperlink w:anchor="_Toc621" w:history="1">
        <w:r>
          <w:rPr>
            <w:rFonts w:ascii="IRNazanin" w:hAnsi="IRNazanin" w:eastAsia="IRNazanin" w:cs="IRNazanin"/>
            <w:color w:val="111111"/>
            <w:sz w:val="22"/>
            <w:szCs w:val="22"/>
            <w:b w:val="0"/>
            <w:bCs w:val="0"/>
            <w:i w:val="0"/>
            <w:iCs w:val="0"/>
          </w:rPr>
          <w:t>[المقام الثانی:] [مقدار الفحص]</w:t>
        </w:r>
        <w:r>
          <w:tab/>
        </w:r>
        <w:r>
          <w:fldChar w:fldCharType="begin"/>
        </w:r>
        <w:r>
          <w:instrText xml:space="preserve">PAGEREF 621 \h</w:instrText>
        </w:r>
        <w:r>
          <w:fldChar w:fldCharType="end"/>
        </w:r>
      </w:hyperlink>
    </w:p>
    <w:p>
      <w:pPr>
        <w:tabs>
          <w:tab w:val="right" w:leader="dot" w:pos="9062"/>
        </w:tabs>
        <w:ind w:left="1100"/>
      </w:pPr>
      <w:hyperlink w:anchor="_Toc6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622 \h</w:instrText>
        </w:r>
        <w:r>
          <w:fldChar w:fldCharType="end"/>
        </w:r>
      </w:hyperlink>
    </w:p>
    <w:p>
      <w:pPr>
        <w:tabs>
          <w:tab w:val="right" w:leader="dot" w:pos="9062"/>
        </w:tabs>
        <w:ind w:left="1100"/>
      </w:pPr>
      <w:hyperlink w:anchor="_Toc623" w:history="1">
        <w:r>
          <w:rPr>
            <w:rFonts w:ascii="IRNazanin" w:hAnsi="IRNazanin" w:eastAsia="IRNazanin" w:cs="IRNazanin"/>
            <w:color w:val="111111"/>
            <w:sz w:val="22"/>
            <w:szCs w:val="22"/>
            <w:b w:val="0"/>
            <w:bCs w:val="0"/>
            <w:i w:val="0"/>
            <w:iCs w:val="0"/>
          </w:rPr>
          <w:t>تذنیب [:شرطان آخران ذکرهما الفاضل التونی لأصل البراءة]</w:t>
        </w:r>
        <w:r>
          <w:tab/>
        </w:r>
        <w:r>
          <w:fldChar w:fldCharType="begin"/>
        </w:r>
        <w:r>
          <w:instrText xml:space="preserve">PAGEREF 623 \h</w:instrText>
        </w:r>
        <w:r>
          <w:fldChar w:fldCharType="end"/>
        </w:r>
      </w:hyperlink>
    </w:p>
    <w:p>
      <w:pPr>
        <w:tabs>
          <w:tab w:val="right" w:leader="dot" w:pos="9062"/>
        </w:tabs>
        <w:ind w:left="1100"/>
      </w:pPr>
      <w:hyperlink w:anchor="_Toc6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624 \h</w:instrText>
        </w:r>
        <w:r>
          <w:fldChar w:fldCharType="end"/>
        </w:r>
      </w:hyperlink>
    </w:p>
    <w:p>
      <w:pPr>
        <w:tabs>
          <w:tab w:val="right" w:leader="dot" w:pos="9062"/>
        </w:tabs>
        <w:ind w:left="1100"/>
      </w:pPr>
      <w:hyperlink w:anchor="_Toc625" w:history="1">
        <w:r>
          <w:rPr>
            <w:rFonts w:ascii="IRNazanin" w:hAnsi="IRNazanin" w:eastAsia="IRNazanin" w:cs="IRNazanin"/>
            <w:color w:val="111111"/>
            <w:sz w:val="22"/>
            <w:szCs w:val="22"/>
            <w:b w:val="0"/>
            <w:bCs w:val="0"/>
            <w:i w:val="0"/>
            <w:iCs w:val="0"/>
          </w:rPr>
          <w:t>الشرط الأوّل: [أن لا یکون موجبا لثبوت حکم آخر]</w:t>
        </w:r>
        <w:r>
          <w:tab/>
        </w:r>
        <w:r>
          <w:fldChar w:fldCharType="begin"/>
        </w:r>
        <w:r>
          <w:instrText xml:space="preserve">PAGEREF 625 \h</w:instrText>
        </w:r>
        <w:r>
          <w:fldChar w:fldCharType="end"/>
        </w:r>
      </w:hyperlink>
    </w:p>
    <w:p>
      <w:pPr>
        <w:tabs>
          <w:tab w:val="right" w:leader="dot" w:pos="9062"/>
        </w:tabs>
        <w:ind w:left="1100"/>
      </w:pPr>
      <w:hyperlink w:anchor="_Toc6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626 \h</w:instrText>
        </w:r>
        <w:r>
          <w:fldChar w:fldCharType="end"/>
        </w:r>
      </w:hyperlink>
    </w:p>
    <w:p>
      <w:pPr>
        <w:tabs>
          <w:tab w:val="right" w:leader="dot" w:pos="9062"/>
        </w:tabs>
        <w:ind w:left="1100"/>
      </w:pPr>
      <w:hyperlink w:anchor="_Toc627" w:history="1">
        <w:r>
          <w:rPr>
            <w:rFonts w:ascii="IRNazanin" w:hAnsi="IRNazanin" w:eastAsia="IRNazanin" w:cs="IRNazanin"/>
            <w:color w:val="111111"/>
            <w:sz w:val="22"/>
            <w:szCs w:val="22"/>
            <w:b w:val="0"/>
            <w:bCs w:val="0"/>
            <w:i w:val="0"/>
            <w:iCs w:val="0"/>
          </w:rPr>
          <w:t>[توضیح المقام و مناقشة کلام الفاضل التونی]</w:t>
        </w:r>
        <w:r>
          <w:tab/>
        </w:r>
        <w:r>
          <w:fldChar w:fldCharType="begin"/>
        </w:r>
        <w:r>
          <w:instrText xml:space="preserve">PAGEREF 627 \h</w:instrText>
        </w:r>
        <w:r>
          <w:fldChar w:fldCharType="end"/>
        </w:r>
      </w:hyperlink>
    </w:p>
    <w:p>
      <w:pPr>
        <w:tabs>
          <w:tab w:val="right" w:leader="dot" w:pos="9062"/>
        </w:tabs>
        <w:ind w:left="1100"/>
      </w:pPr>
      <w:hyperlink w:anchor="_Toc628" w:history="1">
        <w:r>
          <w:rPr>
            <w:rFonts w:ascii="IRNazanin" w:hAnsi="IRNazanin" w:eastAsia="IRNazanin" w:cs="IRNazanin"/>
            <w:color w:val="111111"/>
            <w:sz w:val="22"/>
            <w:szCs w:val="22"/>
            <w:b w:val="0"/>
            <w:bCs w:val="0"/>
            <w:i w:val="0"/>
            <w:iCs w:val="0"/>
          </w:rPr>
          <w:t>[إذا ارید بإعمال الأصل إثبات موضوع لحکم شرعی]</w:t>
        </w:r>
        <w:r>
          <w:tab/>
        </w:r>
        <w:r>
          <w:fldChar w:fldCharType="begin"/>
        </w:r>
        <w:r>
          <w:instrText xml:space="preserve">PAGEREF 628 \h</w:instrText>
        </w:r>
        <w:r>
          <w:fldChar w:fldCharType="end"/>
        </w:r>
      </w:hyperlink>
    </w:p>
    <w:p>
      <w:pPr>
        <w:tabs>
          <w:tab w:val="right" w:leader="dot" w:pos="9062"/>
        </w:tabs>
        <w:ind w:left="1100"/>
      </w:pPr>
      <w:hyperlink w:anchor="_Toc629" w:history="1">
        <w:r>
          <w:rPr>
            <w:rFonts w:ascii="IRNazanin" w:hAnsi="IRNazanin" w:eastAsia="IRNazanin" w:cs="IRNazanin"/>
            <w:color w:val="111111"/>
            <w:sz w:val="22"/>
            <w:szCs w:val="22"/>
            <w:b w:val="0"/>
            <w:bCs w:val="0"/>
            <w:i w:val="0"/>
            <w:iCs w:val="0"/>
          </w:rPr>
          <w:t>[إذا ارید بإعمال الأصل نفی أحد الحکمین و إثبات الآخر]</w:t>
        </w:r>
        <w:r>
          <w:tab/>
        </w:r>
        <w:r>
          <w:fldChar w:fldCharType="begin"/>
        </w:r>
        <w:r>
          <w:instrText xml:space="preserve">PAGEREF 629 \h</w:instrText>
        </w:r>
        <w:r>
          <w:fldChar w:fldCharType="end"/>
        </w:r>
      </w:hyperlink>
    </w:p>
    <w:p>
      <w:pPr>
        <w:tabs>
          <w:tab w:val="right" w:leader="dot" w:pos="9062"/>
        </w:tabs>
        <w:ind w:left="1100"/>
      </w:pPr>
      <w:hyperlink w:anchor="_Toc630" w:history="1">
        <w:r>
          <w:rPr>
            <w:rFonts w:ascii="IRNazanin" w:hAnsi="IRNazanin" w:eastAsia="IRNazanin" w:cs="IRNazanin"/>
            <w:color w:val="111111"/>
            <w:sz w:val="22"/>
            <w:szCs w:val="22"/>
            <w:b w:val="0"/>
            <w:bCs w:val="0"/>
            <w:i w:val="0"/>
            <w:iCs w:val="0"/>
          </w:rPr>
          <w:t>[إذا ارید مجرّد نفی أحد الحکمین]</w:t>
        </w:r>
        <w:r>
          <w:tab/>
        </w:r>
        <w:r>
          <w:fldChar w:fldCharType="begin"/>
        </w:r>
        <w:r>
          <w:instrText xml:space="preserve">PAGEREF 630 \h</w:instrText>
        </w:r>
        <w:r>
          <w:fldChar w:fldCharType="end"/>
        </w:r>
      </w:hyperlink>
    </w:p>
    <w:p>
      <w:pPr>
        <w:tabs>
          <w:tab w:val="right" w:leader="dot" w:pos="9062"/>
        </w:tabs>
        <w:ind w:left="1100"/>
      </w:pPr>
      <w:hyperlink w:anchor="_Toc631" w:history="1">
        <w:r>
          <w:rPr>
            <w:rFonts w:ascii="IRNazanin" w:hAnsi="IRNazanin" w:eastAsia="IRNazanin" w:cs="IRNazanin"/>
            <w:color w:val="111111"/>
            <w:sz w:val="22"/>
            <w:szCs w:val="22"/>
            <w:b w:val="0"/>
            <w:bCs w:val="0"/>
            <w:i w:val="0"/>
            <w:iCs w:val="0"/>
          </w:rPr>
          <w:t>[سقوط العمل بکلّ أصل لأجل المعارض]</w:t>
        </w:r>
        <w:r>
          <w:tab/>
        </w:r>
        <w:r>
          <w:fldChar w:fldCharType="begin"/>
        </w:r>
        <w:r>
          <w:instrText xml:space="preserve">PAGEREF 631 \h</w:instrText>
        </w:r>
        <w:r>
          <w:fldChar w:fldCharType="end"/>
        </w:r>
      </w:hyperlink>
    </w:p>
    <w:p>
      <w:pPr>
        <w:tabs>
          <w:tab w:val="right" w:leader="dot" w:pos="9062"/>
        </w:tabs>
        <w:ind w:left="1100"/>
      </w:pPr>
      <w:hyperlink w:anchor="_Toc632" w:history="1">
        <w:r>
          <w:rPr>
            <w:rFonts w:ascii="IRNazanin" w:hAnsi="IRNazanin" w:eastAsia="IRNazanin" w:cs="IRNazanin"/>
            <w:color w:val="111111"/>
            <w:sz w:val="22"/>
            <w:szCs w:val="22"/>
            <w:b w:val="0"/>
            <w:bCs w:val="0"/>
            <w:i w:val="0"/>
            <w:iCs w:val="0"/>
          </w:rPr>
          <w:t>[عدم الفرق بین أصالة عدم بلوغ الملاقی للنجاسة کرّا و أصالة البراءة من الدّین]</w:t>
        </w:r>
        <w:r>
          <w:tab/>
        </w:r>
        <w:r>
          <w:fldChar w:fldCharType="begin"/>
        </w:r>
        <w:r>
          <w:instrText xml:space="preserve">PAGEREF 632 \h</w:instrText>
        </w:r>
        <w:r>
          <w:fldChar w:fldCharType="end"/>
        </w:r>
      </w:hyperlink>
    </w:p>
    <w:p>
      <w:pPr>
        <w:tabs>
          <w:tab w:val="right" w:leader="dot" w:pos="9062"/>
        </w:tabs>
        <w:ind w:left="1100"/>
      </w:pPr>
      <w:hyperlink w:anchor="_Toc633" w:history="1">
        <w:r>
          <w:rPr>
            <w:rFonts w:ascii="IRNazanin" w:hAnsi="IRNazanin" w:eastAsia="IRNazanin" w:cs="IRNazanin"/>
            <w:color w:val="111111"/>
            <w:sz w:val="22"/>
            <w:szCs w:val="22"/>
            <w:b w:val="0"/>
            <w:bCs w:val="0"/>
            <w:i w:val="0"/>
            <w:iCs w:val="0"/>
          </w:rPr>
          <w:t>[مورد الشکّ فی البلوغ کرّا]</w:t>
        </w:r>
        <w:r>
          <w:tab/>
        </w:r>
        <w:r>
          <w:fldChar w:fldCharType="begin"/>
        </w:r>
        <w:r>
          <w:instrText xml:space="preserve">PAGEREF 633 \h</w:instrText>
        </w:r>
        <w:r>
          <w:fldChar w:fldCharType="end"/>
        </w:r>
      </w:hyperlink>
    </w:p>
    <w:p>
      <w:pPr>
        <w:tabs>
          <w:tab w:val="right" w:leader="dot" w:pos="9062"/>
        </w:tabs>
        <w:ind w:left="1100"/>
      </w:pPr>
      <w:hyperlink w:anchor="_Toc634" w:history="1">
        <w:r>
          <w:rPr>
            <w:rFonts w:ascii="IRNazanin" w:hAnsi="IRNazanin" w:eastAsia="IRNazanin" w:cs="IRNazanin"/>
            <w:color w:val="111111"/>
            <w:sz w:val="22"/>
            <w:szCs w:val="22"/>
            <w:b w:val="0"/>
            <w:bCs w:val="0"/>
            <w:i w:val="0"/>
            <w:iCs w:val="0"/>
          </w:rPr>
          <w:t>[أصالة عدم تقدّم الکرّیة علی الملاقاة]</w:t>
        </w:r>
        <w:r>
          <w:tab/>
        </w:r>
        <w:r>
          <w:fldChar w:fldCharType="begin"/>
        </w:r>
        <w:r>
          <w:instrText xml:space="preserve">PAGEREF 634 \h</w:instrText>
        </w:r>
        <w:r>
          <w:fldChar w:fldCharType="end"/>
        </w:r>
      </w:hyperlink>
    </w:p>
    <w:p>
      <w:pPr>
        <w:tabs>
          <w:tab w:val="right" w:leader="dot" w:pos="9062"/>
        </w:tabs>
        <w:ind w:left="1100"/>
      </w:pPr>
      <w:hyperlink w:anchor="_Toc635" w:history="1">
        <w:r>
          <w:rPr>
            <w:rFonts w:ascii="IRNazanin" w:hAnsi="IRNazanin" w:eastAsia="IRNazanin" w:cs="IRNazanin"/>
            <w:color w:val="111111"/>
            <w:sz w:val="22"/>
            <w:szCs w:val="22"/>
            <w:b w:val="0"/>
            <w:bCs w:val="0"/>
            <w:i w:val="0"/>
            <w:iCs w:val="0"/>
          </w:rPr>
          <w:t>[تفصیل صاحب الفصول فی مسألة الکرّیة و الملاقاة]</w:t>
        </w:r>
        <w:r>
          <w:tab/>
        </w:r>
        <w:r>
          <w:fldChar w:fldCharType="begin"/>
        </w:r>
        <w:r>
          <w:instrText xml:space="preserve">PAGEREF 635 \h</w:instrText>
        </w:r>
        <w:r>
          <w:fldChar w:fldCharType="end"/>
        </w:r>
      </w:hyperlink>
    </w:p>
    <w:p>
      <w:pPr>
        <w:tabs>
          <w:tab w:val="right" w:leader="dot" w:pos="9062"/>
        </w:tabs>
        <w:ind w:left="1100"/>
      </w:pPr>
      <w:hyperlink w:anchor="_Toc636" w:history="1">
        <w:r>
          <w:rPr>
            <w:rFonts w:ascii="IRNazanin" w:hAnsi="IRNazanin" w:eastAsia="IRNazanin" w:cs="IRNazanin"/>
            <w:color w:val="111111"/>
            <w:sz w:val="22"/>
            <w:szCs w:val="22"/>
            <w:b w:val="0"/>
            <w:bCs w:val="0"/>
            <w:i w:val="0"/>
            <w:iCs w:val="0"/>
          </w:rPr>
          <w:t>[المناقشة فیما أفاده صاحب الفصول]</w:t>
        </w:r>
        <w:r>
          <w:tab/>
        </w:r>
        <w:r>
          <w:fldChar w:fldCharType="begin"/>
        </w:r>
        <w:r>
          <w:instrText xml:space="preserve">PAGEREF 636 \h</w:instrText>
        </w:r>
        <w:r>
          <w:fldChar w:fldCharType="end"/>
        </w:r>
      </w:hyperlink>
    </w:p>
    <w:p>
      <w:pPr>
        <w:tabs>
          <w:tab w:val="right" w:leader="dot" w:pos="9062"/>
        </w:tabs>
        <w:ind w:left="1100"/>
      </w:pPr>
      <w:hyperlink w:anchor="_Toc637" w:history="1">
        <w:r>
          <w:rPr>
            <w:rFonts w:ascii="IRNazanin" w:hAnsi="IRNazanin" w:eastAsia="IRNazanin" w:cs="IRNazanin"/>
            <w:color w:val="111111"/>
            <w:sz w:val="22"/>
            <w:szCs w:val="22"/>
            <w:b w:val="0"/>
            <w:bCs w:val="0"/>
            <w:i w:val="0"/>
            <w:iCs w:val="0"/>
          </w:rPr>
          <w:t>الشرط الثانی [الذی ذکره الفاضل التونی لأصل البراءة:</w:t>
        </w:r>
        <w:r>
          <w:tab/>
        </w:r>
        <w:r>
          <w:fldChar w:fldCharType="begin"/>
        </w:r>
        <w:r>
          <w:instrText xml:space="preserve">PAGEREF 637 \h</w:instrText>
        </w:r>
        <w:r>
          <w:fldChar w:fldCharType="end"/>
        </w:r>
      </w:hyperlink>
    </w:p>
    <w:p>
      <w:pPr>
        <w:tabs>
          <w:tab w:val="right" w:leader="dot" w:pos="9062"/>
        </w:tabs>
        <w:ind w:left="1100"/>
      </w:pPr>
      <w:hyperlink w:anchor="_Toc638" w:history="1">
        <w:r>
          <w:rPr>
            <w:rFonts w:ascii="IRNazanin" w:hAnsi="IRNazanin" w:eastAsia="IRNazanin" w:cs="IRNazanin"/>
            <w:color w:val="111111"/>
            <w:sz w:val="22"/>
            <w:szCs w:val="22"/>
            <w:b w:val="0"/>
            <w:bCs w:val="0"/>
            <w:i w:val="0"/>
            <w:iCs w:val="0"/>
          </w:rPr>
          <w:t>[قاعدة لا ضرر و لا ضرار]</w:t>
        </w:r>
        <w:r>
          <w:tab/>
        </w:r>
        <w:r>
          <w:fldChar w:fldCharType="begin"/>
        </w:r>
        <w:r>
          <w:instrText xml:space="preserve">PAGEREF 638 \h</w:instrText>
        </w:r>
        <w:r>
          <w:fldChar w:fldCharType="end"/>
        </w:r>
      </w:hyperlink>
    </w:p>
    <w:p>
      <w:pPr>
        <w:tabs>
          <w:tab w:val="right" w:leader="dot" w:pos="9062"/>
        </w:tabs>
        <w:ind w:left="1100"/>
      </w:pPr>
      <w:hyperlink w:anchor="_Toc6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639 \h</w:instrText>
        </w:r>
        <w:r>
          <w:fldChar w:fldCharType="end"/>
        </w:r>
      </w:hyperlink>
    </w:p>
    <w:p>
      <w:pPr>
        <w:tabs>
          <w:tab w:val="right" w:leader="dot" w:pos="9062"/>
        </w:tabs>
        <w:ind w:left="1100"/>
      </w:pPr>
      <w:hyperlink w:anchor="_Toc640" w:history="1">
        <w:r>
          <w:rPr>
            <w:rFonts w:ascii="IRNazanin" w:hAnsi="IRNazanin" w:eastAsia="IRNazanin" w:cs="IRNazanin"/>
            <w:color w:val="111111"/>
            <w:sz w:val="22"/>
            <w:szCs w:val="22"/>
            <w:b w:val="0"/>
            <w:bCs w:val="0"/>
            <w:i w:val="0"/>
            <w:iCs w:val="0"/>
          </w:rPr>
          <w:t>[دعوی فخر الدین تواتر الأخبار بنفی الضرر و الضرار]</w:t>
        </w:r>
        <w:r>
          <w:tab/>
        </w:r>
        <w:r>
          <w:fldChar w:fldCharType="begin"/>
        </w:r>
        <w:r>
          <w:instrText xml:space="preserve">PAGEREF 640 \h</w:instrText>
        </w:r>
        <w:r>
          <w:fldChar w:fldCharType="end"/>
        </w:r>
      </w:hyperlink>
    </w:p>
    <w:p>
      <w:pPr>
        <w:tabs>
          <w:tab w:val="right" w:leader="dot" w:pos="9062"/>
        </w:tabs>
        <w:ind w:left="1100"/>
      </w:pPr>
      <w:hyperlink w:anchor="_Toc641" w:history="1">
        <w:r>
          <w:rPr>
            <w:rFonts w:ascii="IRNazanin" w:hAnsi="IRNazanin" w:eastAsia="IRNazanin" w:cs="IRNazanin"/>
            <w:color w:val="111111"/>
            <w:sz w:val="22"/>
            <w:szCs w:val="22"/>
            <w:b w:val="0"/>
            <w:bCs w:val="0"/>
            <w:i w:val="0"/>
            <w:iCs w:val="0"/>
          </w:rPr>
          <w:t>[الروایة المتضمّنة لقضیّة سمرة بن جندب]</w:t>
        </w:r>
        <w:r>
          <w:tab/>
        </w:r>
        <w:r>
          <w:fldChar w:fldCharType="begin"/>
        </w:r>
        <w:r>
          <w:instrText xml:space="preserve">PAGEREF 641 \h</w:instrText>
        </w:r>
        <w:r>
          <w:fldChar w:fldCharType="end"/>
        </w:r>
      </w:hyperlink>
    </w:p>
    <w:p>
      <w:pPr>
        <w:tabs>
          <w:tab w:val="right" w:leader="dot" w:pos="9062"/>
        </w:tabs>
        <w:ind w:left="1100"/>
      </w:pPr>
      <w:hyperlink w:anchor="_Toc642" w:history="1">
        <w:r>
          <w:rPr>
            <w:rFonts w:ascii="IRNazanin" w:hAnsi="IRNazanin" w:eastAsia="IRNazanin" w:cs="IRNazanin"/>
            <w:color w:val="111111"/>
            <w:sz w:val="22"/>
            <w:szCs w:val="22"/>
            <w:b w:val="0"/>
            <w:bCs w:val="0"/>
            <w:i w:val="0"/>
            <w:iCs w:val="0"/>
          </w:rPr>
          <w:t>[معنی«الضرر»و«الضرار»]</w:t>
        </w:r>
        <w:r>
          <w:tab/>
        </w:r>
        <w:r>
          <w:fldChar w:fldCharType="begin"/>
        </w:r>
        <w:r>
          <w:instrText xml:space="preserve">PAGEREF 642 \h</w:instrText>
        </w:r>
        <w:r>
          <w:fldChar w:fldCharType="end"/>
        </w:r>
      </w:hyperlink>
    </w:p>
    <w:p>
      <w:pPr>
        <w:tabs>
          <w:tab w:val="right" w:leader="dot" w:pos="9062"/>
        </w:tabs>
        <w:ind w:left="1100"/>
      </w:pPr>
      <w:hyperlink w:anchor="_Toc643" w:history="1">
        <w:r>
          <w:rPr>
            <w:rFonts w:ascii="IRNazanin" w:hAnsi="IRNazanin" w:eastAsia="IRNazanin" w:cs="IRNazanin"/>
            <w:color w:val="111111"/>
            <w:sz w:val="22"/>
            <w:szCs w:val="22"/>
            <w:b w:val="0"/>
            <w:bCs w:val="0"/>
            <w:i w:val="0"/>
            <w:iCs w:val="0"/>
          </w:rPr>
          <w:t>[معانی«لا ضرر و لا ضرار»فی الروایة:]</w:t>
        </w:r>
        <w:r>
          <w:tab/>
        </w:r>
        <w:r>
          <w:fldChar w:fldCharType="begin"/>
        </w:r>
        <w:r>
          <w:instrText xml:space="preserve">PAGEREF 643 \h</w:instrText>
        </w:r>
        <w:r>
          <w:fldChar w:fldCharType="end"/>
        </w:r>
      </w:hyperlink>
    </w:p>
    <w:p>
      <w:pPr>
        <w:tabs>
          <w:tab w:val="right" w:leader="dot" w:pos="9062"/>
        </w:tabs>
        <w:ind w:left="1100"/>
      </w:pPr>
      <w:hyperlink w:anchor="_Toc6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644 \h</w:instrText>
        </w:r>
        <w:r>
          <w:fldChar w:fldCharType="end"/>
        </w:r>
      </w:hyperlink>
    </w:p>
    <w:p>
      <w:pPr>
        <w:tabs>
          <w:tab w:val="right" w:leader="dot" w:pos="9062"/>
        </w:tabs>
        <w:ind w:left="1100"/>
      </w:pPr>
      <w:hyperlink w:anchor="_Toc645" w:history="1">
        <w:r>
          <w:rPr>
            <w:rFonts w:ascii="IRNazanin" w:hAnsi="IRNazanin" w:eastAsia="IRNazanin" w:cs="IRNazanin"/>
            <w:color w:val="111111"/>
            <w:sz w:val="22"/>
            <w:szCs w:val="22"/>
            <w:b w:val="0"/>
            <w:bCs w:val="0"/>
            <w:i w:val="0"/>
            <w:iCs w:val="0"/>
          </w:rPr>
          <w:t>[1-عدم تشریع الضرر]</w:t>
        </w:r>
        <w:r>
          <w:tab/>
        </w:r>
        <w:r>
          <w:fldChar w:fldCharType="begin"/>
        </w:r>
        <w:r>
          <w:instrText xml:space="preserve">PAGEREF 645 \h</w:instrText>
        </w:r>
        <w:r>
          <w:fldChar w:fldCharType="end"/>
        </w:r>
      </w:hyperlink>
    </w:p>
    <w:p>
      <w:pPr>
        <w:tabs>
          <w:tab w:val="right" w:leader="dot" w:pos="9062"/>
        </w:tabs>
        <w:ind w:left="1100"/>
      </w:pPr>
      <w:hyperlink w:anchor="_Toc646" w:history="1">
        <w:r>
          <w:rPr>
            <w:rFonts w:ascii="IRNazanin" w:hAnsi="IRNazanin" w:eastAsia="IRNazanin" w:cs="IRNazanin"/>
            <w:color w:val="111111"/>
            <w:sz w:val="22"/>
            <w:szCs w:val="22"/>
            <w:b w:val="0"/>
            <w:bCs w:val="0"/>
            <w:i w:val="0"/>
            <w:iCs w:val="0"/>
          </w:rPr>
          <w:t>[2-حمل النفی علی النهی]</w:t>
        </w:r>
        <w:r>
          <w:tab/>
        </w:r>
        <w:r>
          <w:fldChar w:fldCharType="begin"/>
        </w:r>
        <w:r>
          <w:instrText xml:space="preserve">PAGEREF 646 \h</w:instrText>
        </w:r>
        <w:r>
          <w:fldChar w:fldCharType="end"/>
        </w:r>
      </w:hyperlink>
    </w:p>
    <w:p>
      <w:pPr>
        <w:tabs>
          <w:tab w:val="right" w:leader="dot" w:pos="9062"/>
        </w:tabs>
        <w:ind w:left="1100"/>
      </w:pPr>
      <w:hyperlink w:anchor="_Toc647" w:history="1">
        <w:r>
          <w:rPr>
            <w:rFonts w:ascii="IRNazanin" w:hAnsi="IRNazanin" w:eastAsia="IRNazanin" w:cs="IRNazanin"/>
            <w:color w:val="111111"/>
            <w:sz w:val="22"/>
            <w:szCs w:val="22"/>
            <w:b w:val="0"/>
            <w:bCs w:val="0"/>
            <w:i w:val="0"/>
            <w:iCs w:val="0"/>
          </w:rPr>
          <w:t>[الأظهر المعنی الأوّل]</w:t>
        </w:r>
        <w:r>
          <w:tab/>
        </w:r>
        <w:r>
          <w:fldChar w:fldCharType="begin"/>
        </w:r>
        <w:r>
          <w:instrText xml:space="preserve">PAGEREF 647 \h</w:instrText>
        </w:r>
        <w:r>
          <w:fldChar w:fldCharType="end"/>
        </w:r>
      </w:hyperlink>
    </w:p>
    <w:p>
      <w:pPr>
        <w:tabs>
          <w:tab w:val="right" w:leader="dot" w:pos="9062"/>
        </w:tabs>
        <w:ind w:left="1100"/>
      </w:pPr>
      <w:hyperlink w:anchor="_Toc648" w:history="1">
        <w:r>
          <w:rPr>
            <w:rFonts w:ascii="IRNazanin" w:hAnsi="IRNazanin" w:eastAsia="IRNazanin" w:cs="IRNazanin"/>
            <w:color w:val="111111"/>
            <w:sz w:val="22"/>
            <w:szCs w:val="22"/>
            <w:b w:val="0"/>
            <w:bCs w:val="0"/>
            <w:i w:val="0"/>
            <w:iCs w:val="0"/>
          </w:rPr>
          <w:t>[حکومة هذه القاعدة علی عمومات تشریع الأحکام الضرریّة]</w:t>
        </w:r>
        <w:r>
          <w:tab/>
        </w:r>
        <w:r>
          <w:fldChar w:fldCharType="begin"/>
        </w:r>
        <w:r>
          <w:instrText xml:space="preserve">PAGEREF 648 \h</w:instrText>
        </w:r>
        <w:r>
          <w:fldChar w:fldCharType="end"/>
        </w:r>
      </w:hyperlink>
    </w:p>
    <w:p>
      <w:pPr>
        <w:tabs>
          <w:tab w:val="right" w:leader="dot" w:pos="9062"/>
        </w:tabs>
        <w:ind w:left="1100"/>
      </w:pPr>
      <w:hyperlink w:anchor="_Toc6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649 \h</w:instrText>
        </w:r>
        <w:r>
          <w:fldChar w:fldCharType="end"/>
        </w:r>
      </w:hyperlink>
    </w:p>
    <w:p>
      <w:pPr>
        <w:tabs>
          <w:tab w:val="right" w:leader="dot" w:pos="9062"/>
        </w:tabs>
        <w:ind w:left="1100"/>
      </w:pPr>
      <w:hyperlink w:anchor="_Toc650" w:history="1">
        <w:r>
          <w:rPr>
            <w:rFonts w:ascii="IRNazanin" w:hAnsi="IRNazanin" w:eastAsia="IRNazanin" w:cs="IRNazanin"/>
            <w:color w:val="111111"/>
            <w:sz w:val="22"/>
            <w:szCs w:val="22"/>
            <w:b w:val="0"/>
            <w:bCs w:val="0"/>
            <w:i w:val="0"/>
            <w:iCs w:val="0"/>
          </w:rPr>
          <w:t>[المراد من الحکومة]</w:t>
        </w:r>
        <w:r>
          <w:tab/>
        </w:r>
        <w:r>
          <w:fldChar w:fldCharType="begin"/>
        </w:r>
        <w:r>
          <w:instrText xml:space="preserve">PAGEREF 650 \h</w:instrText>
        </w:r>
        <w:r>
          <w:fldChar w:fldCharType="end"/>
        </w:r>
      </w:hyperlink>
    </w:p>
    <w:p>
      <w:pPr>
        <w:tabs>
          <w:tab w:val="right" w:leader="dot" w:pos="9062"/>
        </w:tabs>
        <w:ind w:left="1100"/>
      </w:pPr>
      <w:hyperlink w:anchor="_Toc651" w:history="1">
        <w:r>
          <w:rPr>
            <w:rFonts w:ascii="IRNazanin" w:hAnsi="IRNazanin" w:eastAsia="IRNazanin" w:cs="IRNazanin"/>
            <w:color w:val="111111"/>
            <w:sz w:val="22"/>
            <w:szCs w:val="22"/>
            <w:b w:val="0"/>
            <w:bCs w:val="0"/>
            <w:i w:val="0"/>
            <w:iCs w:val="0"/>
          </w:rPr>
          <w:t>[توهّم أن الضرر یتدارک بمصلحة الحکم الضرری المجعول]</w:t>
        </w:r>
        <w:r>
          <w:tab/>
        </w:r>
        <w:r>
          <w:fldChar w:fldCharType="begin"/>
        </w:r>
        <w:r>
          <w:instrText xml:space="preserve">PAGEREF 651 \h</w:instrText>
        </w:r>
        <w:r>
          <w:fldChar w:fldCharType="end"/>
        </w:r>
      </w:hyperlink>
    </w:p>
    <w:p>
      <w:pPr>
        <w:tabs>
          <w:tab w:val="right" w:leader="dot" w:pos="9062"/>
        </w:tabs>
        <w:ind w:left="1100"/>
      </w:pPr>
      <w:hyperlink w:anchor="_Toc6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652 \h</w:instrText>
        </w:r>
        <w:r>
          <w:fldChar w:fldCharType="end"/>
        </w:r>
      </w:hyperlink>
    </w:p>
    <w:p>
      <w:pPr>
        <w:tabs>
          <w:tab w:val="right" w:leader="dot" w:pos="9062"/>
        </w:tabs>
        <w:ind w:left="1100"/>
      </w:pPr>
      <w:hyperlink w:anchor="_Toc653" w:history="1">
        <w:r>
          <w:rPr>
            <w:rFonts w:ascii="IRNazanin" w:hAnsi="IRNazanin" w:eastAsia="IRNazanin" w:cs="IRNazanin"/>
            <w:color w:val="111111"/>
            <w:sz w:val="22"/>
            <w:szCs w:val="22"/>
            <w:b w:val="0"/>
            <w:bCs w:val="0"/>
            <w:i w:val="0"/>
            <w:iCs w:val="0"/>
          </w:rPr>
          <w:t>[فساد هذا التوهّم]</w:t>
        </w:r>
        <w:r>
          <w:tab/>
        </w:r>
        <w:r>
          <w:fldChar w:fldCharType="begin"/>
        </w:r>
        <w:r>
          <w:instrText xml:space="preserve">PAGEREF 653 \h</w:instrText>
        </w:r>
        <w:r>
          <w:fldChar w:fldCharType="end"/>
        </w:r>
      </w:hyperlink>
    </w:p>
    <w:p>
      <w:pPr>
        <w:tabs>
          <w:tab w:val="right" w:leader="dot" w:pos="9062"/>
        </w:tabs>
        <w:ind w:left="1100"/>
      </w:pPr>
      <w:hyperlink w:anchor="_Toc654" w:history="1">
        <w:r>
          <w:rPr>
            <w:rFonts w:ascii="IRNazanin" w:hAnsi="IRNazanin" w:eastAsia="IRNazanin" w:cs="IRNazanin"/>
            <w:color w:val="111111"/>
            <w:sz w:val="22"/>
            <w:szCs w:val="22"/>
            <w:b w:val="0"/>
            <w:bCs w:val="0"/>
            <w:i w:val="0"/>
            <w:iCs w:val="0"/>
          </w:rPr>
          <w:t>[تمامیّة القاعدة سندا و دلالة]</w:t>
        </w:r>
        <w:r>
          <w:tab/>
        </w:r>
        <w:r>
          <w:fldChar w:fldCharType="begin"/>
        </w:r>
        <w:r>
          <w:instrText xml:space="preserve">PAGEREF 654 \h</w:instrText>
        </w:r>
        <w:r>
          <w:fldChar w:fldCharType="end"/>
        </w:r>
      </w:hyperlink>
    </w:p>
    <w:p>
      <w:pPr>
        <w:tabs>
          <w:tab w:val="right" w:leader="dot" w:pos="9062"/>
        </w:tabs>
        <w:ind w:left="1100"/>
      </w:pPr>
      <w:hyperlink w:anchor="_Toc655" w:history="1">
        <w:r>
          <w:rPr>
            <w:rFonts w:ascii="IRNazanin" w:hAnsi="IRNazanin" w:eastAsia="IRNazanin" w:cs="IRNazanin"/>
            <w:color w:val="111111"/>
            <w:sz w:val="22"/>
            <w:szCs w:val="22"/>
            <w:b w:val="0"/>
            <w:bCs w:val="0"/>
            <w:i w:val="0"/>
            <w:iCs w:val="0"/>
          </w:rPr>
          <w:t>[وهن القاعدة بکثرة التخصیصات و الجواب عنه]</w:t>
        </w:r>
        <w:r>
          <w:tab/>
        </w:r>
        <w:r>
          <w:fldChar w:fldCharType="begin"/>
        </w:r>
        <w:r>
          <w:instrText xml:space="preserve">PAGEREF 655 \h</w:instrText>
        </w:r>
        <w:r>
          <w:fldChar w:fldCharType="end"/>
        </w:r>
      </w:hyperlink>
    </w:p>
    <w:p>
      <w:pPr>
        <w:tabs>
          <w:tab w:val="right" w:leader="dot" w:pos="9062"/>
        </w:tabs>
        <w:ind w:left="1100"/>
      </w:pPr>
      <w:hyperlink w:anchor="_Toc656" w:history="1">
        <w:r>
          <w:rPr>
            <w:rFonts w:ascii="IRNazanin" w:hAnsi="IRNazanin" w:eastAsia="IRNazanin" w:cs="IRNazanin"/>
            <w:color w:val="111111"/>
            <w:sz w:val="22"/>
            <w:szCs w:val="22"/>
            <w:b w:val="0"/>
            <w:bCs w:val="0"/>
            <w:i w:val="0"/>
            <w:iCs w:val="0"/>
          </w:rPr>
          <w:t>[وجه التمسّک بکثیر من العمومات مع خروج أکثر أفرادها]</w:t>
        </w:r>
        <w:r>
          <w:tab/>
        </w:r>
        <w:r>
          <w:fldChar w:fldCharType="begin"/>
        </w:r>
        <w:r>
          <w:instrText xml:space="preserve">PAGEREF 656 \h</w:instrText>
        </w:r>
        <w:r>
          <w:fldChar w:fldCharType="end"/>
        </w:r>
      </w:hyperlink>
    </w:p>
    <w:p>
      <w:pPr>
        <w:tabs>
          <w:tab w:val="right" w:leader="dot" w:pos="9062"/>
        </w:tabs>
        <w:ind w:left="1100"/>
      </w:pPr>
      <w:hyperlink w:anchor="_Toc657" w:history="1">
        <w:r>
          <w:rPr>
            <w:rFonts w:ascii="IRNazanin" w:hAnsi="IRNazanin" w:eastAsia="IRNazanin" w:cs="IRNazanin"/>
            <w:color w:val="111111"/>
            <w:sz w:val="22"/>
            <w:szCs w:val="22"/>
            <w:b w:val="0"/>
            <w:bCs w:val="0"/>
            <w:i w:val="0"/>
            <w:iCs w:val="0"/>
          </w:rPr>
          <w:t>[الضرر المنفی هو الضرر النوعی لا الشخصی]</w:t>
        </w:r>
        <w:r>
          <w:tab/>
        </w:r>
        <w:r>
          <w:fldChar w:fldCharType="begin"/>
        </w:r>
        <w:r>
          <w:instrText xml:space="preserve">PAGEREF 657 \h</w:instrText>
        </w:r>
        <w:r>
          <w:fldChar w:fldCharType="end"/>
        </w:r>
      </w:hyperlink>
    </w:p>
    <w:p>
      <w:pPr>
        <w:tabs>
          <w:tab w:val="right" w:leader="dot" w:pos="9062"/>
        </w:tabs>
        <w:ind w:left="1100"/>
      </w:pPr>
      <w:hyperlink w:anchor="_Toc658" w:history="1">
        <w:r>
          <w:rPr>
            <w:rFonts w:ascii="IRNazanin" w:hAnsi="IRNazanin" w:eastAsia="IRNazanin" w:cs="IRNazanin"/>
            <w:color w:val="111111"/>
            <w:sz w:val="22"/>
            <w:szCs w:val="22"/>
            <w:b w:val="0"/>
            <w:bCs w:val="0"/>
            <w:i w:val="0"/>
            <w:iCs w:val="0"/>
          </w:rPr>
          <w:t>[تعارض الضررین]</w:t>
        </w:r>
        <w:r>
          <w:tab/>
        </w:r>
        <w:r>
          <w:fldChar w:fldCharType="begin"/>
        </w:r>
        <w:r>
          <w:instrText xml:space="preserve">PAGEREF 658 \h</w:instrText>
        </w:r>
        <w:r>
          <w:fldChar w:fldCharType="end"/>
        </w:r>
      </w:hyperlink>
    </w:p>
    <w:p>
      <w:pPr>
        <w:tabs>
          <w:tab w:val="right" w:leader="dot" w:pos="9062"/>
        </w:tabs>
        <w:ind w:left="1100"/>
      </w:pPr>
      <w:hyperlink w:anchor="_Toc659" w:history="1">
        <w:r>
          <w:rPr>
            <w:rFonts w:ascii="IRNazanin" w:hAnsi="IRNazanin" w:eastAsia="IRNazanin" w:cs="IRNazanin"/>
            <w:color w:val="111111"/>
            <w:sz w:val="22"/>
            <w:szCs w:val="22"/>
            <w:b w:val="0"/>
            <w:bCs w:val="0"/>
            <w:i w:val="0"/>
            <w:iCs w:val="0"/>
          </w:rPr>
          <w:t>[تعارض ضرر المالک و ضرر الغیر]</w:t>
        </w:r>
        <w:r>
          <w:tab/>
        </w:r>
        <w:r>
          <w:fldChar w:fldCharType="begin"/>
        </w:r>
        <w:r>
          <w:instrText xml:space="preserve">PAGEREF 659 \h</w:instrText>
        </w:r>
        <w:r>
          <w:fldChar w:fldCharType="end"/>
        </w:r>
      </w:hyperlink>
    </w:p>
    <w:p>
      <w:pPr>
        <w:tabs>
          <w:tab w:val="right" w:leader="dot" w:pos="9062"/>
        </w:tabs>
        <w:ind w:left="1100"/>
      </w:pPr>
      <w:hyperlink w:anchor="_Toc660" w:history="1">
        <w:r>
          <w:rPr>
            <w:rFonts w:ascii="IRNazanin" w:hAnsi="IRNazanin" w:eastAsia="IRNazanin" w:cs="IRNazanin"/>
            <w:color w:val="111111"/>
            <w:sz w:val="22"/>
            <w:szCs w:val="22"/>
            <w:b w:val="0"/>
            <w:bCs w:val="0"/>
            <w:i w:val="0"/>
            <w:iCs w:val="0"/>
          </w:rPr>
          <w:t>[جواز تصرّف المالک و إن تضرّر الجار]</w:t>
        </w:r>
        <w:r>
          <w:tab/>
        </w:r>
        <w:r>
          <w:fldChar w:fldCharType="begin"/>
        </w:r>
        <w:r>
          <w:instrText xml:space="preserve">PAGEREF 660 \h</w:instrText>
        </w:r>
        <w:r>
          <w:fldChar w:fldCharType="end"/>
        </w:r>
      </w:hyperlink>
    </w:p>
    <w:p>
      <w:pPr>
        <w:tabs>
          <w:tab w:val="right" w:leader="dot" w:pos="9062"/>
        </w:tabs>
        <w:ind w:left="1100"/>
      </w:pPr>
      <w:hyperlink w:anchor="_Toc6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661 \h</w:instrText>
        </w:r>
        <w:r>
          <w:fldChar w:fldCharType="end"/>
        </w:r>
      </w:hyperlink>
    </w:p>
    <w:p>
      <w:pPr>
        <w:tabs>
          <w:tab w:val="right" w:leader="dot" w:pos="9062"/>
        </w:tabs>
        <w:ind w:left="1100"/>
      </w:pPr>
      <w:hyperlink w:anchor="_Toc662" w:history="1">
        <w:r>
          <w:rPr>
            <w:rFonts w:ascii="IRNazanin" w:hAnsi="IRNazanin" w:eastAsia="IRNazanin" w:cs="IRNazanin"/>
            <w:color w:val="111111"/>
            <w:sz w:val="22"/>
            <w:szCs w:val="22"/>
            <w:b w:val="0"/>
            <w:bCs w:val="0"/>
            <w:i w:val="0"/>
            <w:iCs w:val="0"/>
          </w:rPr>
          <w:t>[إشکال المحقّق السبزواری فیما إذا تضرّر الجار ضررا فاحشا]</w:t>
        </w:r>
        <w:r>
          <w:tab/>
        </w:r>
        <w:r>
          <w:fldChar w:fldCharType="begin"/>
        </w:r>
        <w:r>
          <w:instrText xml:space="preserve">PAGEREF 662 \h</w:instrText>
        </w:r>
        <w:r>
          <w:fldChar w:fldCharType="end"/>
        </w:r>
      </w:hyperlink>
    </w:p>
    <w:p>
      <w:pPr>
        <w:tabs>
          <w:tab w:val="right" w:leader="dot" w:pos="9062"/>
        </w:tabs>
        <w:ind w:left="1100"/>
      </w:pPr>
      <w:hyperlink w:anchor="_Toc663" w:history="1">
        <w:r>
          <w:rPr>
            <w:rFonts w:ascii="IRNazanin" w:hAnsi="IRNazanin" w:eastAsia="IRNazanin" w:cs="IRNazanin"/>
            <w:color w:val="111111"/>
            <w:sz w:val="22"/>
            <w:szCs w:val="22"/>
            <w:b w:val="0"/>
            <w:bCs w:val="0"/>
            <w:i w:val="0"/>
            <w:iCs w:val="0"/>
          </w:rPr>
          <w:t>[الأوفق بالقواعد تقدیم المالک]</w:t>
        </w:r>
        <w:r>
          <w:tab/>
        </w:r>
        <w:r>
          <w:fldChar w:fldCharType="begin"/>
        </w:r>
        <w:r>
          <w:instrText xml:space="preserve">PAGEREF 663 \h</w:instrText>
        </w:r>
        <w:r>
          <w:fldChar w:fldCharType="end"/>
        </w:r>
      </w:hyperlink>
    </w:p>
    <w:p>
      <w:pPr>
        <w:tabs>
          <w:tab w:val="right" w:leader="dot" w:pos="9062"/>
        </w:tabs>
        <w:ind w:left="1100"/>
      </w:pPr>
      <w:hyperlink w:anchor="_Toc664" w:history="1">
        <w:r>
          <w:rPr>
            <w:rFonts w:ascii="IRNazanin" w:hAnsi="IRNazanin" w:eastAsia="IRNazanin" w:cs="IRNazanin"/>
            <w:color w:val="111111"/>
            <w:sz w:val="22"/>
            <w:szCs w:val="22"/>
            <w:b w:val="0"/>
            <w:bCs w:val="0"/>
            <w:i w:val="0"/>
            <w:iCs w:val="0"/>
          </w:rPr>
          <w:t>[عدم الفرق بین کون ضرر المالک أشدّ من ضرر الغیر أو أقلّ]</w:t>
        </w:r>
        <w:r>
          <w:tab/>
        </w:r>
        <w:r>
          <w:fldChar w:fldCharType="begin"/>
        </w:r>
        <w:r>
          <w:instrText xml:space="preserve">PAGEREF 664 \h</w:instrText>
        </w:r>
        <w:r>
          <w:fldChar w:fldCharType="end"/>
        </w:r>
      </w:hyperlink>
    </w:p>
    <w:p>
      <w:pPr>
        <w:tabs>
          <w:tab w:val="right" w:leader="dot" w:pos="9062"/>
        </w:tabs>
        <w:ind w:left="1100"/>
      </w:pPr>
      <w:hyperlink w:anchor="_Toc665" w:history="1">
        <w:r>
          <w:rPr>
            <w:rFonts w:ascii="IRNazanin" w:hAnsi="IRNazanin" w:eastAsia="IRNazanin" w:cs="IRNazanin"/>
            <w:color w:val="111111"/>
            <w:sz w:val="22"/>
            <w:szCs w:val="22"/>
            <w:b w:val="0"/>
            <w:bCs w:val="0"/>
            <w:i w:val="0"/>
            <w:iCs w:val="0"/>
          </w:rPr>
          <w:t>[تعارض ضرر المالکین]</w:t>
        </w:r>
        <w:r>
          <w:tab/>
        </w:r>
        <w:r>
          <w:fldChar w:fldCharType="begin"/>
        </w:r>
        <w:r>
          <w:instrText xml:space="preserve">PAGEREF 665 \h</w:instrText>
        </w:r>
        <w:r>
          <w:fldChar w:fldCharType="end"/>
        </w:r>
      </w:hyperlink>
    </w:p>
    <w:p>
      <w:pPr>
        <w:tabs>
          <w:tab w:val="right" w:leader="dot" w:pos="9062"/>
        </w:tabs>
        <w:ind w:left="660"/>
      </w:pPr>
      <w:hyperlink w:anchor="_Toc666" w:history="1">
        <w:r>
          <w:rPr>
            <w:rFonts w:ascii="IRNazanin" w:hAnsi="IRNazanin" w:eastAsia="IRNazanin" w:cs="IRNazanin"/>
            <w:color w:val="111111"/>
            <w:sz w:val="22"/>
            <w:szCs w:val="22"/>
            <w:b w:val="0"/>
            <w:bCs w:val="0"/>
            <w:i w:val="0"/>
            <w:iCs w:val="0"/>
          </w:rPr>
          <w:t>العناوین العامّة</w:t>
        </w:r>
        <w:r>
          <w:tab/>
        </w:r>
        <w:r>
          <w:fldChar w:fldCharType="begin"/>
        </w:r>
        <w:r>
          <w:instrText xml:space="preserve">PAGEREF 666 \h</w:instrText>
        </w:r>
        <w:r>
          <w:fldChar w:fldCharType="end"/>
        </w:r>
      </w:hyperlink>
    </w:p>
    <w:p>
      <w:pPr>
        <w:tabs>
          <w:tab w:val="right" w:leader="dot" w:pos="9062"/>
        </w:tabs>
        <w:ind w:left="660"/>
      </w:pPr>
      <w:hyperlink w:anchor="_Toc667" w:history="1">
        <w:r>
          <w:rPr>
            <w:rFonts w:ascii="IRNazanin" w:hAnsi="IRNazanin" w:eastAsia="IRNazanin" w:cs="IRNazanin"/>
            <w:color w:val="111111"/>
            <w:sz w:val="22"/>
            <w:szCs w:val="22"/>
            <w:b w:val="0"/>
            <w:bCs w:val="0"/>
            <w:i w:val="0"/>
            <w:iCs w:val="0"/>
          </w:rPr>
          <w:t>فهرس المحتوی</w:t>
        </w:r>
        <w:r>
          <w:tab/>
        </w:r>
        <w:r>
          <w:fldChar w:fldCharType="begin"/>
        </w:r>
        <w:r>
          <w:instrText xml:space="preserve">PAGEREF 667 \h</w:instrText>
        </w:r>
        <w:r>
          <w:fldChar w:fldCharType="end"/>
        </w:r>
      </w:hyperlink>
    </w:p>
    <w:p>
      <w:pPr>
        <w:tabs>
          <w:tab w:val="right" w:leader="dot" w:pos="9062"/>
        </w:tabs>
        <w:ind w:left="440"/>
      </w:pPr>
      <w:hyperlink w:anchor="_Toc668" w:history="1">
        <w:r>
          <w:rPr>
            <w:rFonts w:ascii="IRNazanin" w:hAnsi="IRNazanin" w:eastAsia="IRNazanin" w:cs="IRNazanin"/>
            <w:color w:val="111111"/>
            <w:sz w:val="22"/>
            <w:szCs w:val="22"/>
            <w:b w:val="0"/>
            <w:bCs w:val="0"/>
            <w:i w:val="0"/>
            <w:iCs w:val="0"/>
          </w:rPr>
          <w:t>فرائد الاصول المجلد 3 (الاستصحاب)</w:t>
        </w:r>
        <w:r>
          <w:tab/>
        </w:r>
        <w:r>
          <w:fldChar w:fldCharType="begin"/>
        </w:r>
        <w:r>
          <w:instrText xml:space="preserve">PAGEREF 668 \h</w:instrText>
        </w:r>
        <w:r>
          <w:fldChar w:fldCharType="end"/>
        </w:r>
      </w:hyperlink>
    </w:p>
    <w:p>
      <w:pPr>
        <w:tabs>
          <w:tab w:val="right" w:leader="dot" w:pos="9062"/>
        </w:tabs>
        <w:ind w:left="660"/>
      </w:pPr>
      <w:hyperlink w:anchor="_Toc669" w:history="1">
        <w:r>
          <w:rPr>
            <w:rFonts w:ascii="IRNazanin" w:hAnsi="IRNazanin" w:eastAsia="IRNazanin" w:cs="IRNazanin"/>
            <w:color w:val="111111"/>
            <w:sz w:val="22"/>
            <w:szCs w:val="22"/>
            <w:b w:val="0"/>
            <w:bCs w:val="0"/>
            <w:i w:val="0"/>
            <w:iCs w:val="0"/>
          </w:rPr>
          <w:t>اشارة</w:t>
        </w:r>
        <w:r>
          <w:tab/>
        </w:r>
        <w:r>
          <w:fldChar w:fldCharType="begin"/>
        </w:r>
        <w:r>
          <w:instrText xml:space="preserve">PAGEREF 669 \h</w:instrText>
        </w:r>
        <w:r>
          <w:fldChar w:fldCharType="end"/>
        </w:r>
      </w:hyperlink>
    </w:p>
    <w:p>
      <w:pPr>
        <w:tabs>
          <w:tab w:val="right" w:leader="dot" w:pos="9062"/>
        </w:tabs>
        <w:ind w:left="660"/>
      </w:pPr>
      <w:hyperlink w:anchor="_Toc6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670 \h</w:instrText>
        </w:r>
        <w:r>
          <w:fldChar w:fldCharType="end"/>
        </w:r>
      </w:hyperlink>
    </w:p>
    <w:p>
      <w:pPr>
        <w:tabs>
          <w:tab w:val="right" w:leader="dot" w:pos="9062"/>
        </w:tabs>
        <w:ind w:left="660"/>
      </w:pPr>
      <w:hyperlink w:anchor="_Toc671" w:history="1">
        <w:r>
          <w:rPr>
            <w:rFonts w:ascii="IRNazanin" w:hAnsi="IRNazanin" w:eastAsia="IRNazanin" w:cs="IRNazanin"/>
            <w:color w:val="111111"/>
            <w:sz w:val="22"/>
            <w:szCs w:val="22"/>
            <w:b w:val="0"/>
            <w:bCs w:val="0"/>
            <w:i w:val="0"/>
            <w:iCs w:val="0"/>
          </w:rPr>
          <w:t>المقام الثانی : فی الاستصحاب</w:t>
        </w:r>
        <w:r>
          <w:tab/>
        </w:r>
        <w:r>
          <w:fldChar w:fldCharType="begin"/>
        </w:r>
        <w:r>
          <w:instrText xml:space="preserve">PAGEREF 671 \h</w:instrText>
        </w:r>
        <w:r>
          <w:fldChar w:fldCharType="end"/>
        </w:r>
      </w:hyperlink>
    </w:p>
    <w:p>
      <w:pPr>
        <w:tabs>
          <w:tab w:val="right" w:leader="dot" w:pos="9062"/>
        </w:tabs>
        <w:ind w:left="880"/>
      </w:pPr>
      <w:hyperlink w:anchor="_Toc6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672 \h</w:instrText>
        </w:r>
        <w:r>
          <w:fldChar w:fldCharType="end"/>
        </w:r>
      </w:hyperlink>
    </w:p>
    <w:p>
      <w:pPr>
        <w:tabs>
          <w:tab w:val="right" w:leader="dot" w:pos="9062"/>
        </w:tabs>
        <w:ind w:left="880"/>
      </w:pPr>
      <w:hyperlink w:anchor="_Toc673" w:history="1">
        <w:r>
          <w:rPr>
            <w:rFonts w:ascii="IRNazanin" w:hAnsi="IRNazanin" w:eastAsia="IRNazanin" w:cs="IRNazanin"/>
            <w:color w:val="111111"/>
            <w:sz w:val="22"/>
            <w:szCs w:val="22"/>
            <w:b w:val="0"/>
            <w:bCs w:val="0"/>
            <w:i w:val="0"/>
            <w:iCs w:val="0"/>
          </w:rPr>
          <w:t>[تعاریف الاستصحاب:]</w:t>
        </w:r>
        <w:r>
          <w:tab/>
        </w:r>
        <w:r>
          <w:fldChar w:fldCharType="begin"/>
        </w:r>
        <w:r>
          <w:instrText xml:space="preserve">PAGEREF 673 \h</w:instrText>
        </w:r>
        <w:r>
          <w:fldChar w:fldCharType="end"/>
        </w:r>
      </w:hyperlink>
    </w:p>
    <w:p>
      <w:pPr>
        <w:tabs>
          <w:tab w:val="right" w:leader="dot" w:pos="9062"/>
        </w:tabs>
        <w:ind w:left="1100"/>
      </w:pPr>
      <w:hyperlink w:anchor="_Toc674" w:history="1">
        <w:r>
          <w:rPr>
            <w:rFonts w:ascii="IRNazanin" w:hAnsi="IRNazanin" w:eastAsia="IRNazanin" w:cs="IRNazanin"/>
            <w:color w:val="111111"/>
            <w:sz w:val="22"/>
            <w:szCs w:val="22"/>
            <w:b w:val="0"/>
            <w:bCs w:val="0"/>
            <w:i w:val="0"/>
            <w:iCs w:val="0"/>
          </w:rPr>
          <w:t>[الاستصحاب لغة و اصطلاحا]</w:t>
        </w:r>
        <w:r>
          <w:tab/>
        </w:r>
        <w:r>
          <w:fldChar w:fldCharType="begin"/>
        </w:r>
        <w:r>
          <w:instrText xml:space="preserve">PAGEREF 674 \h</w:instrText>
        </w:r>
        <w:r>
          <w:fldChar w:fldCharType="end"/>
        </w:r>
      </w:hyperlink>
    </w:p>
    <w:p>
      <w:pPr>
        <w:tabs>
          <w:tab w:val="right" w:leader="dot" w:pos="9062"/>
        </w:tabs>
        <w:ind w:left="1100"/>
      </w:pPr>
      <w:hyperlink w:anchor="_Toc675" w:history="1">
        <w:r>
          <w:rPr>
            <w:rFonts w:ascii="IRNazanin" w:hAnsi="IRNazanin" w:eastAsia="IRNazanin" w:cs="IRNazanin"/>
            <w:color w:val="111111"/>
            <w:sz w:val="22"/>
            <w:szCs w:val="22"/>
            <w:b w:val="0"/>
            <w:bCs w:val="0"/>
            <w:i w:val="0"/>
            <w:iCs w:val="0"/>
          </w:rPr>
          <w:t>[تعریف صاحب القوانین و المناقشة فیه:]</w:t>
        </w:r>
        <w:r>
          <w:tab/>
        </w:r>
        <w:r>
          <w:fldChar w:fldCharType="begin"/>
        </w:r>
        <w:r>
          <w:instrText xml:space="preserve">PAGEREF 675 \h</w:instrText>
        </w:r>
        <w:r>
          <w:fldChar w:fldCharType="end"/>
        </w:r>
      </w:hyperlink>
    </w:p>
    <w:p>
      <w:pPr>
        <w:tabs>
          <w:tab w:val="right" w:leader="dot" w:pos="9062"/>
        </w:tabs>
        <w:ind w:left="1100"/>
      </w:pPr>
      <w:hyperlink w:anchor="_Toc6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676 \h</w:instrText>
        </w:r>
        <w:r>
          <w:fldChar w:fldCharType="end"/>
        </w:r>
      </w:hyperlink>
    </w:p>
    <w:p>
      <w:pPr>
        <w:tabs>
          <w:tab w:val="right" w:leader="dot" w:pos="9062"/>
        </w:tabs>
        <w:ind w:left="1100"/>
      </w:pPr>
      <w:hyperlink w:anchor="_Toc677" w:history="1">
        <w:r>
          <w:rPr>
            <w:rFonts w:ascii="IRNazanin" w:hAnsi="IRNazanin" w:eastAsia="IRNazanin" w:cs="IRNazanin"/>
            <w:color w:val="111111"/>
            <w:sz w:val="22"/>
            <w:szCs w:val="22"/>
            <w:b w:val="0"/>
            <w:bCs w:val="0"/>
            <w:i w:val="0"/>
            <w:iCs w:val="0"/>
          </w:rPr>
          <w:t>[توجیه تعریف القوانین:]</w:t>
        </w:r>
        <w:r>
          <w:tab/>
        </w:r>
        <w:r>
          <w:fldChar w:fldCharType="begin"/>
        </w:r>
        <w:r>
          <w:instrText xml:space="preserve">PAGEREF 677 \h</w:instrText>
        </w:r>
        <w:r>
          <w:fldChar w:fldCharType="end"/>
        </w:r>
      </w:hyperlink>
    </w:p>
    <w:p>
      <w:pPr>
        <w:tabs>
          <w:tab w:val="right" w:leader="dot" w:pos="9062"/>
        </w:tabs>
        <w:ind w:left="1100"/>
      </w:pPr>
      <w:hyperlink w:anchor="_Toc678" w:history="1">
        <w:r>
          <w:rPr>
            <w:rFonts w:ascii="IRNazanin" w:hAnsi="IRNazanin" w:eastAsia="IRNazanin" w:cs="IRNazanin"/>
            <w:color w:val="111111"/>
            <w:sz w:val="22"/>
            <w:szCs w:val="22"/>
            <w:b w:val="0"/>
            <w:bCs w:val="0"/>
            <w:i w:val="0"/>
            <w:iCs w:val="0"/>
          </w:rPr>
          <w:t>اشارة</w:t>
        </w:r>
        <w:r>
          <w:tab/>
        </w:r>
        <w:r>
          <w:fldChar w:fldCharType="begin"/>
        </w:r>
        <w:r>
          <w:instrText xml:space="preserve">PAGEREF 678 \h</w:instrText>
        </w:r>
        <w:r>
          <w:fldChar w:fldCharType="end"/>
        </w:r>
      </w:hyperlink>
    </w:p>
    <w:p>
      <w:pPr>
        <w:tabs>
          <w:tab w:val="right" w:leader="dot" w:pos="9062"/>
        </w:tabs>
        <w:ind w:left="1100"/>
      </w:pPr>
      <w:hyperlink w:anchor="_Toc679" w:history="1">
        <w:r>
          <w:rPr>
            <w:rFonts w:ascii="IRNazanin" w:hAnsi="IRNazanin" w:eastAsia="IRNazanin" w:cs="IRNazanin"/>
            <w:color w:val="111111"/>
            <w:sz w:val="22"/>
            <w:szCs w:val="22"/>
            <w:b w:val="0"/>
            <w:bCs w:val="0"/>
            <w:i w:val="0"/>
            <w:iCs w:val="0"/>
          </w:rPr>
          <w:t>[عدم تمامیة التوجیه المذکور:]</w:t>
        </w:r>
        <w:r>
          <w:tab/>
        </w:r>
        <w:r>
          <w:fldChar w:fldCharType="begin"/>
        </w:r>
        <w:r>
          <w:instrText xml:space="preserve">PAGEREF 679 \h</w:instrText>
        </w:r>
        <w:r>
          <w:fldChar w:fldCharType="end"/>
        </w:r>
      </w:hyperlink>
    </w:p>
    <w:p>
      <w:pPr>
        <w:tabs>
          <w:tab w:val="right" w:leader="dot" w:pos="9062"/>
        </w:tabs>
        <w:ind w:left="1100"/>
      </w:pPr>
      <w:hyperlink w:anchor="_Toc680" w:history="1">
        <w:r>
          <w:rPr>
            <w:rFonts w:ascii="IRNazanin" w:hAnsi="IRNazanin" w:eastAsia="IRNazanin" w:cs="IRNazanin"/>
            <w:color w:val="111111"/>
            <w:sz w:val="22"/>
            <w:szCs w:val="22"/>
            <w:b w:val="0"/>
            <w:bCs w:val="0"/>
            <w:i w:val="0"/>
            <w:iCs w:val="0"/>
          </w:rPr>
          <w:t>[تعریف شارح المختصر:]</w:t>
        </w:r>
        <w:r>
          <w:tab/>
        </w:r>
        <w:r>
          <w:fldChar w:fldCharType="begin"/>
        </w:r>
        <w:r>
          <w:instrText xml:space="preserve">PAGEREF 680 \h</w:instrText>
        </w:r>
        <w:r>
          <w:fldChar w:fldCharType="end"/>
        </w:r>
      </w:hyperlink>
    </w:p>
    <w:p>
      <w:pPr>
        <w:tabs>
          <w:tab w:val="right" w:leader="dot" w:pos="9062"/>
        </w:tabs>
        <w:ind w:left="1100"/>
      </w:pPr>
      <w:hyperlink w:anchor="_Toc681" w:history="1">
        <w:r>
          <w:rPr>
            <w:rFonts w:ascii="IRNazanin" w:hAnsi="IRNazanin" w:eastAsia="IRNazanin" w:cs="IRNazanin"/>
            <w:color w:val="111111"/>
            <w:sz w:val="22"/>
            <w:szCs w:val="22"/>
            <w:b w:val="0"/>
            <w:bCs w:val="0"/>
            <w:i w:val="0"/>
            <w:iCs w:val="0"/>
          </w:rPr>
          <w:t>[تعریف صاحب الوافیة:]</w:t>
        </w:r>
        <w:r>
          <w:tab/>
        </w:r>
        <w:r>
          <w:fldChar w:fldCharType="begin"/>
        </w:r>
        <w:r>
          <w:instrText xml:space="preserve">PAGEREF 681 \h</w:instrText>
        </w:r>
        <w:r>
          <w:fldChar w:fldCharType="end"/>
        </w:r>
      </w:hyperlink>
    </w:p>
    <w:p>
      <w:pPr>
        <w:tabs>
          <w:tab w:val="right" w:leader="dot" w:pos="9062"/>
        </w:tabs>
        <w:ind w:left="880"/>
      </w:pPr>
      <w:hyperlink w:anchor="_Toc682" w:history="1">
        <w:r>
          <w:rPr>
            <w:rFonts w:ascii="IRNazanin" w:hAnsi="IRNazanin" w:eastAsia="IRNazanin" w:cs="IRNazanin"/>
            <w:color w:val="111111"/>
            <w:sz w:val="22"/>
            <w:szCs w:val="22"/>
            <w:b w:val="0"/>
            <w:bCs w:val="0"/>
            <w:i w:val="0"/>
            <w:iCs w:val="0"/>
          </w:rPr>
          <w:t>بقی الکلام فی امور</w:t>
        </w:r>
        <w:r>
          <w:tab/>
        </w:r>
        <w:r>
          <w:fldChar w:fldCharType="begin"/>
        </w:r>
        <w:r>
          <w:instrText xml:space="preserve">PAGEREF 682 \h</w:instrText>
        </w:r>
        <w:r>
          <w:fldChar w:fldCharType="end"/>
        </w:r>
      </w:hyperlink>
    </w:p>
    <w:p>
      <w:pPr>
        <w:tabs>
          <w:tab w:val="right" w:leader="dot" w:pos="9062"/>
        </w:tabs>
        <w:ind w:left="1100"/>
      </w:pPr>
      <w:hyperlink w:anchor="_Toc683" w:history="1">
        <w:r>
          <w:rPr>
            <w:rFonts w:ascii="IRNazanin" w:hAnsi="IRNazanin" w:eastAsia="IRNazanin" w:cs="IRNazanin"/>
            <w:color w:val="111111"/>
            <w:sz w:val="22"/>
            <w:szCs w:val="22"/>
            <w:b w:val="0"/>
            <w:bCs w:val="0"/>
            <w:i w:val="0"/>
            <w:iCs w:val="0"/>
          </w:rPr>
          <w:t>[الأمر ] الأوّل [:هل الاستصحاب أصل عملیّ أو أمارة ظنّیة؟]</w:t>
        </w:r>
        <w:r>
          <w:tab/>
        </w:r>
        <w:r>
          <w:fldChar w:fldCharType="begin"/>
        </w:r>
        <w:r>
          <w:instrText xml:space="preserve">PAGEREF 683 \h</w:instrText>
        </w:r>
        <w:r>
          <w:fldChar w:fldCharType="end"/>
        </w:r>
      </w:hyperlink>
    </w:p>
    <w:p>
      <w:pPr>
        <w:tabs>
          <w:tab w:val="right" w:leader="dot" w:pos="9062"/>
        </w:tabs>
        <w:ind w:left="1100"/>
      </w:pPr>
      <w:hyperlink w:anchor="_Toc6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684 \h</w:instrText>
        </w:r>
        <w:r>
          <w:fldChar w:fldCharType="end"/>
        </w:r>
      </w:hyperlink>
    </w:p>
    <w:p>
      <w:pPr>
        <w:tabs>
          <w:tab w:val="right" w:leader="dot" w:pos="9062"/>
        </w:tabs>
        <w:ind w:left="1100"/>
      </w:pPr>
      <w:hyperlink w:anchor="_Toc685" w:history="1">
        <w:r>
          <w:rPr>
            <w:rFonts w:ascii="IRNazanin" w:hAnsi="IRNazanin" w:eastAsia="IRNazanin" w:cs="IRNazanin"/>
            <w:color w:val="111111"/>
            <w:sz w:val="22"/>
            <w:szCs w:val="22"/>
            <w:b w:val="0"/>
            <w:bCs w:val="0"/>
            <w:i w:val="0"/>
            <w:iCs w:val="0"/>
          </w:rPr>
          <w:t>[المختار کونه من الاصول العملیّة:]</w:t>
        </w:r>
        <w:r>
          <w:tab/>
        </w:r>
        <w:r>
          <w:fldChar w:fldCharType="begin"/>
        </w:r>
        <w:r>
          <w:instrText xml:space="preserve">PAGEREF 685 \h</w:instrText>
        </w:r>
        <w:r>
          <w:fldChar w:fldCharType="end"/>
        </w:r>
      </w:hyperlink>
    </w:p>
    <w:p>
      <w:pPr>
        <w:tabs>
          <w:tab w:val="right" w:leader="dot" w:pos="9062"/>
        </w:tabs>
        <w:ind w:left="1100"/>
      </w:pPr>
      <w:hyperlink w:anchor="_Toc686" w:history="1">
        <w:r>
          <w:rPr>
            <w:rFonts w:ascii="IRNazanin" w:hAnsi="IRNazanin" w:eastAsia="IRNazanin" w:cs="IRNazanin"/>
            <w:color w:val="111111"/>
            <w:sz w:val="22"/>
            <w:szCs w:val="22"/>
            <w:b w:val="0"/>
            <w:bCs w:val="0"/>
            <w:i w:val="0"/>
            <w:iCs w:val="0"/>
          </w:rPr>
          <w:t>[الأمر ] الثانی [:الوجه فی عدّ الاستصحاب من الأدلّة العقلیّة]</w:t>
        </w:r>
        <w:r>
          <w:tab/>
        </w:r>
        <w:r>
          <w:fldChar w:fldCharType="begin"/>
        </w:r>
        <w:r>
          <w:instrText xml:space="preserve">PAGEREF 686 \h</w:instrText>
        </w:r>
        <w:r>
          <w:fldChar w:fldCharType="end"/>
        </w:r>
      </w:hyperlink>
    </w:p>
    <w:p>
      <w:pPr>
        <w:tabs>
          <w:tab w:val="right" w:leader="dot" w:pos="9062"/>
        </w:tabs>
        <w:ind w:left="1100"/>
      </w:pPr>
      <w:hyperlink w:anchor="_Toc687" w:history="1">
        <w:r>
          <w:rPr>
            <w:rFonts w:ascii="IRNazanin" w:hAnsi="IRNazanin" w:eastAsia="IRNazanin" w:cs="IRNazanin"/>
            <w:color w:val="111111"/>
            <w:sz w:val="22"/>
            <w:szCs w:val="22"/>
            <w:b w:val="0"/>
            <w:bCs w:val="0"/>
            <w:i w:val="0"/>
            <w:iCs w:val="0"/>
          </w:rPr>
          <w:t>[الأمر ] الثالث [:هل الاستصحاب مسألة اصولیّة أو فقهیّة؟]</w:t>
        </w:r>
        <w:r>
          <w:tab/>
        </w:r>
        <w:r>
          <w:fldChar w:fldCharType="begin"/>
        </w:r>
        <w:r>
          <w:instrText xml:space="preserve">PAGEREF 687 \h</w:instrText>
        </w:r>
        <w:r>
          <w:fldChar w:fldCharType="end"/>
        </w:r>
      </w:hyperlink>
    </w:p>
    <w:p>
      <w:pPr>
        <w:tabs>
          <w:tab w:val="right" w:leader="dot" w:pos="9062"/>
        </w:tabs>
        <w:ind w:left="1100"/>
      </w:pPr>
      <w:hyperlink w:anchor="_Toc6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688 \h</w:instrText>
        </w:r>
        <w:r>
          <w:fldChar w:fldCharType="end"/>
        </w:r>
      </w:hyperlink>
    </w:p>
    <w:p>
      <w:pPr>
        <w:tabs>
          <w:tab w:val="right" w:leader="dot" w:pos="9062"/>
        </w:tabs>
        <w:ind w:left="1100"/>
      </w:pPr>
      <w:hyperlink w:anchor="_Toc689" w:history="1">
        <w:r>
          <w:rPr>
            <w:rFonts w:ascii="IRNazanin" w:hAnsi="IRNazanin" w:eastAsia="IRNazanin" w:cs="IRNazanin"/>
            <w:color w:val="111111"/>
            <w:sz w:val="22"/>
            <w:szCs w:val="22"/>
            <w:b w:val="0"/>
            <w:bCs w:val="0"/>
            <w:i w:val="0"/>
            <w:iCs w:val="0"/>
          </w:rPr>
          <w:t>[بناء علی کونه حکما عقلیا فهو مسألة اصولیّة:]</w:t>
        </w:r>
        <w:r>
          <w:tab/>
        </w:r>
        <w:r>
          <w:fldChar w:fldCharType="begin"/>
        </w:r>
        <w:r>
          <w:instrText xml:space="preserve">PAGEREF 689 \h</w:instrText>
        </w:r>
        <w:r>
          <w:fldChar w:fldCharType="end"/>
        </w:r>
      </w:hyperlink>
    </w:p>
    <w:p>
      <w:pPr>
        <w:tabs>
          <w:tab w:val="right" w:leader="dot" w:pos="9062"/>
        </w:tabs>
        <w:ind w:left="1100"/>
      </w:pPr>
      <w:hyperlink w:anchor="_Toc690" w:history="1">
        <w:r>
          <w:rPr>
            <w:rFonts w:ascii="IRNazanin" w:hAnsi="IRNazanin" w:eastAsia="IRNazanin" w:cs="IRNazanin"/>
            <w:color w:val="111111"/>
            <w:sz w:val="22"/>
            <w:szCs w:val="22"/>
            <w:b w:val="0"/>
            <w:bCs w:val="0"/>
            <w:i w:val="0"/>
            <w:iCs w:val="0"/>
          </w:rPr>
          <w:t>[بناء علی کونه من الاصول العملیّة ففی کونه من المسائل الاصولیّة غموض:]</w:t>
        </w:r>
        <w:r>
          <w:tab/>
        </w:r>
        <w:r>
          <w:fldChar w:fldCharType="begin"/>
        </w:r>
        <w:r>
          <w:instrText xml:space="preserve">PAGEREF 690 \h</w:instrText>
        </w:r>
        <w:r>
          <w:fldChar w:fldCharType="end"/>
        </w:r>
      </w:hyperlink>
    </w:p>
    <w:p>
      <w:pPr>
        <w:tabs>
          <w:tab w:val="right" w:leader="dot" w:pos="9062"/>
        </w:tabs>
        <w:ind w:left="1100"/>
      </w:pPr>
      <w:hyperlink w:anchor="_Toc691" w:history="1">
        <w:r>
          <w:rPr>
            <w:rFonts w:ascii="IRNazanin" w:hAnsi="IRNazanin" w:eastAsia="IRNazanin" w:cs="IRNazanin"/>
            <w:color w:val="111111"/>
            <w:sz w:val="22"/>
            <w:szCs w:val="22"/>
            <w:b w:val="0"/>
            <w:bCs w:val="0"/>
            <w:i w:val="0"/>
            <w:iCs w:val="0"/>
          </w:rPr>
          <w:t>[الإشکال فی کون الاستصحاب من المسائل الفرعیة:]</w:t>
        </w:r>
        <w:r>
          <w:tab/>
        </w:r>
        <w:r>
          <w:fldChar w:fldCharType="begin"/>
        </w:r>
        <w:r>
          <w:instrText xml:space="preserve">PAGEREF 691 \h</w:instrText>
        </w:r>
        <w:r>
          <w:fldChar w:fldCharType="end"/>
        </w:r>
      </w:hyperlink>
    </w:p>
    <w:p>
      <w:pPr>
        <w:tabs>
          <w:tab w:val="right" w:leader="dot" w:pos="9062"/>
        </w:tabs>
        <w:ind w:left="1100"/>
      </w:pPr>
      <w:hyperlink w:anchor="_Toc692" w:history="1">
        <w:r>
          <w:rPr>
            <w:rFonts w:ascii="IRNazanin" w:hAnsi="IRNazanin" w:eastAsia="IRNazanin" w:cs="IRNazanin"/>
            <w:color w:val="111111"/>
            <w:sz w:val="22"/>
            <w:szCs w:val="22"/>
            <w:b w:val="0"/>
            <w:bCs w:val="0"/>
            <w:i w:val="0"/>
            <w:iCs w:val="0"/>
          </w:rPr>
          <w:t>[کلام السید بحر العلوم فیما یرتبط بالمقام:]</w:t>
        </w:r>
        <w:r>
          <w:tab/>
        </w:r>
        <w:r>
          <w:fldChar w:fldCharType="begin"/>
        </w:r>
        <w:r>
          <w:instrText xml:space="preserve">PAGEREF 692 \h</w:instrText>
        </w:r>
        <w:r>
          <w:fldChar w:fldCharType="end"/>
        </w:r>
      </w:hyperlink>
    </w:p>
    <w:p>
      <w:pPr>
        <w:tabs>
          <w:tab w:val="right" w:leader="dot" w:pos="9062"/>
        </w:tabs>
        <w:ind w:left="1100"/>
      </w:pPr>
      <w:hyperlink w:anchor="_Toc693" w:history="1">
        <w:r>
          <w:rPr>
            <w:rFonts w:ascii="IRNazanin" w:hAnsi="IRNazanin" w:eastAsia="IRNazanin" w:cs="IRNazanin"/>
            <w:color w:val="111111"/>
            <w:sz w:val="22"/>
            <w:szCs w:val="22"/>
            <w:b w:val="0"/>
            <w:bCs w:val="0"/>
            <w:i w:val="0"/>
            <w:iCs w:val="0"/>
          </w:rPr>
          <w:t>اشارة</w:t>
        </w:r>
        <w:r>
          <w:tab/>
        </w:r>
        <w:r>
          <w:fldChar w:fldCharType="begin"/>
        </w:r>
        <w:r>
          <w:instrText xml:space="preserve">PAGEREF 693 \h</w:instrText>
        </w:r>
        <w:r>
          <w:fldChar w:fldCharType="end"/>
        </w:r>
      </w:hyperlink>
    </w:p>
    <w:p>
      <w:pPr>
        <w:tabs>
          <w:tab w:val="right" w:leader="dot" w:pos="9062"/>
        </w:tabs>
        <w:ind w:left="1100"/>
      </w:pPr>
      <w:hyperlink w:anchor="_Toc694" w:history="1">
        <w:r>
          <w:rPr>
            <w:rFonts w:ascii="IRNazanin" w:hAnsi="IRNazanin" w:eastAsia="IRNazanin" w:cs="IRNazanin"/>
            <w:color w:val="111111"/>
            <w:sz w:val="22"/>
            <w:szCs w:val="22"/>
            <w:b w:val="0"/>
            <w:bCs w:val="0"/>
            <w:i w:val="0"/>
            <w:iCs w:val="0"/>
          </w:rPr>
          <w:t>[المناقشة فیما أفاده بحر العلوم:]</w:t>
        </w:r>
        <w:r>
          <w:tab/>
        </w:r>
        <w:r>
          <w:fldChar w:fldCharType="begin"/>
        </w:r>
        <w:r>
          <w:instrText xml:space="preserve">PAGEREF 694 \h</w:instrText>
        </w:r>
        <w:r>
          <w:fldChar w:fldCharType="end"/>
        </w:r>
      </w:hyperlink>
    </w:p>
    <w:p>
      <w:pPr>
        <w:tabs>
          <w:tab w:val="right" w:leader="dot" w:pos="9062"/>
        </w:tabs>
        <w:ind w:left="1100"/>
      </w:pPr>
      <w:hyperlink w:anchor="_Toc695" w:history="1">
        <w:r>
          <w:rPr>
            <w:rFonts w:ascii="IRNazanin" w:hAnsi="IRNazanin" w:eastAsia="IRNazanin" w:cs="IRNazanin"/>
            <w:color w:val="111111"/>
            <w:sz w:val="22"/>
            <w:szCs w:val="22"/>
            <w:b w:val="0"/>
            <w:bCs w:val="0"/>
            <w:i w:val="0"/>
            <w:iCs w:val="0"/>
          </w:rPr>
          <w:t>[الاستصحاب الجاری فی الشبهة الموضوعیّة:]</w:t>
        </w:r>
        <w:r>
          <w:tab/>
        </w:r>
        <w:r>
          <w:fldChar w:fldCharType="begin"/>
        </w:r>
        <w:r>
          <w:instrText xml:space="preserve">PAGEREF 695 \h</w:instrText>
        </w:r>
        <w:r>
          <w:fldChar w:fldCharType="end"/>
        </w:r>
      </w:hyperlink>
    </w:p>
    <w:p>
      <w:pPr>
        <w:tabs>
          <w:tab w:val="right" w:leader="dot" w:pos="9062"/>
        </w:tabs>
        <w:ind w:left="1100"/>
      </w:pPr>
      <w:hyperlink w:anchor="_Toc696" w:history="1">
        <w:r>
          <w:rPr>
            <w:rFonts w:ascii="IRNazanin" w:hAnsi="IRNazanin" w:eastAsia="IRNazanin" w:cs="IRNazanin"/>
            <w:color w:val="111111"/>
            <w:sz w:val="22"/>
            <w:szCs w:val="22"/>
            <w:b w:val="0"/>
            <w:bCs w:val="0"/>
            <w:i w:val="0"/>
            <w:iCs w:val="0"/>
          </w:rPr>
          <w:t>[الأمر ] الرابع [:مناط الاستصحاب بناء علی کونه من باب التعبّد]</w:t>
        </w:r>
        <w:r>
          <w:tab/>
        </w:r>
        <w:r>
          <w:fldChar w:fldCharType="begin"/>
        </w:r>
        <w:r>
          <w:instrText xml:space="preserve">PAGEREF 696 \h</w:instrText>
        </w:r>
        <w:r>
          <w:fldChar w:fldCharType="end"/>
        </w:r>
      </w:hyperlink>
    </w:p>
    <w:p>
      <w:pPr>
        <w:tabs>
          <w:tab w:val="right" w:leader="dot" w:pos="9062"/>
        </w:tabs>
        <w:ind w:left="1100"/>
      </w:pPr>
      <w:hyperlink w:anchor="_Toc697" w:history="1">
        <w:r>
          <w:rPr>
            <w:rFonts w:ascii="IRNazanin" w:hAnsi="IRNazanin" w:eastAsia="IRNazanin" w:cs="IRNazanin"/>
            <w:color w:val="111111"/>
            <w:sz w:val="22"/>
            <w:szCs w:val="22"/>
            <w:b w:val="0"/>
            <w:bCs w:val="0"/>
            <w:i w:val="0"/>
            <w:iCs w:val="0"/>
          </w:rPr>
          <w:t>اشارة</w:t>
        </w:r>
        <w:r>
          <w:tab/>
        </w:r>
        <w:r>
          <w:fldChar w:fldCharType="begin"/>
        </w:r>
        <w:r>
          <w:instrText xml:space="preserve">PAGEREF 697 \h</w:instrText>
        </w:r>
        <w:r>
          <w:fldChar w:fldCharType="end"/>
        </w:r>
      </w:hyperlink>
    </w:p>
    <w:p>
      <w:pPr>
        <w:tabs>
          <w:tab w:val="right" w:leader="dot" w:pos="9062"/>
        </w:tabs>
        <w:ind w:left="1100"/>
      </w:pPr>
      <w:hyperlink w:anchor="_Toc698" w:history="1">
        <w:r>
          <w:rPr>
            <w:rFonts w:ascii="IRNazanin" w:hAnsi="IRNazanin" w:eastAsia="IRNazanin" w:cs="IRNazanin"/>
            <w:color w:val="111111"/>
            <w:sz w:val="22"/>
            <w:szCs w:val="22"/>
            <w:b w:val="0"/>
            <w:bCs w:val="0"/>
            <w:i w:val="0"/>
            <w:iCs w:val="0"/>
          </w:rPr>
          <w:t>[لیس المناط الظنّ الشخصی بناء علی کونه من باب الظنّ:]</w:t>
        </w:r>
        <w:r>
          <w:tab/>
        </w:r>
        <w:r>
          <w:fldChar w:fldCharType="begin"/>
        </w:r>
        <w:r>
          <w:instrText xml:space="preserve">PAGEREF 698 \h</w:instrText>
        </w:r>
        <w:r>
          <w:fldChar w:fldCharType="end"/>
        </w:r>
      </w:hyperlink>
    </w:p>
    <w:p>
      <w:pPr>
        <w:tabs>
          <w:tab w:val="right" w:leader="dot" w:pos="9062"/>
        </w:tabs>
        <w:ind w:left="1100"/>
      </w:pPr>
      <w:hyperlink w:anchor="_Toc699" w:history="1">
        <w:r>
          <w:rPr>
            <w:rFonts w:ascii="IRNazanin" w:hAnsi="IRNazanin" w:eastAsia="IRNazanin" w:cs="IRNazanin"/>
            <w:color w:val="111111"/>
            <w:sz w:val="22"/>
            <w:szCs w:val="22"/>
            <w:b w:val="0"/>
            <w:bCs w:val="0"/>
            <w:i w:val="0"/>
            <w:iCs w:val="0"/>
          </w:rPr>
          <w:t>[کلام الشیخ البهائی فی أن المناط الظن الشخصی:]</w:t>
        </w:r>
        <w:r>
          <w:tab/>
        </w:r>
        <w:r>
          <w:fldChar w:fldCharType="begin"/>
        </w:r>
        <w:r>
          <w:instrText xml:space="preserve">PAGEREF 699 \h</w:instrText>
        </w:r>
        <w:r>
          <w:fldChar w:fldCharType="end"/>
        </w:r>
      </w:hyperlink>
    </w:p>
    <w:p>
      <w:pPr>
        <w:tabs>
          <w:tab w:val="right" w:leader="dot" w:pos="9062"/>
        </w:tabs>
        <w:ind w:left="1100"/>
      </w:pPr>
      <w:hyperlink w:anchor="_Toc700" w:history="1">
        <w:r>
          <w:rPr>
            <w:rFonts w:ascii="IRNazanin" w:hAnsi="IRNazanin" w:eastAsia="IRNazanin" w:cs="IRNazanin"/>
            <w:color w:val="111111"/>
            <w:sz w:val="22"/>
            <w:szCs w:val="22"/>
            <w:b w:val="0"/>
            <w:bCs w:val="0"/>
            <w:i w:val="0"/>
            <w:iCs w:val="0"/>
          </w:rPr>
          <w:t>[ظاهر شارح الدروس ارتضاؤه ذلک:]</w:t>
        </w:r>
        <w:r>
          <w:tab/>
        </w:r>
        <w:r>
          <w:fldChar w:fldCharType="begin"/>
        </w:r>
        <w:r>
          <w:instrText xml:space="preserve">PAGEREF 700 \h</w:instrText>
        </w:r>
        <w:r>
          <w:fldChar w:fldCharType="end"/>
        </w:r>
      </w:hyperlink>
    </w:p>
    <w:p>
      <w:pPr>
        <w:tabs>
          <w:tab w:val="right" w:leader="dot" w:pos="9062"/>
        </w:tabs>
        <w:ind w:left="1100"/>
      </w:pPr>
      <w:hyperlink w:anchor="_Toc701" w:history="1">
        <w:r>
          <w:rPr>
            <w:rFonts w:ascii="IRNazanin" w:hAnsi="IRNazanin" w:eastAsia="IRNazanin" w:cs="IRNazanin"/>
            <w:color w:val="111111"/>
            <w:sz w:val="22"/>
            <w:szCs w:val="22"/>
            <w:b w:val="0"/>
            <w:bCs w:val="0"/>
            <w:i w:val="0"/>
            <w:iCs w:val="0"/>
          </w:rPr>
          <w:t>[استظهار ذلک من کلام الشهید قدّس سرّه فی الذکری:]</w:t>
        </w:r>
        <w:r>
          <w:tab/>
        </w:r>
        <w:r>
          <w:fldChar w:fldCharType="begin"/>
        </w:r>
        <w:r>
          <w:instrText xml:space="preserve">PAGEREF 701 \h</w:instrText>
        </w:r>
        <w:r>
          <w:fldChar w:fldCharType="end"/>
        </w:r>
      </w:hyperlink>
    </w:p>
    <w:p>
      <w:pPr>
        <w:tabs>
          <w:tab w:val="right" w:leader="dot" w:pos="9062"/>
        </w:tabs>
        <w:ind w:left="1100"/>
      </w:pPr>
      <w:hyperlink w:anchor="_Toc702" w:history="1">
        <w:r>
          <w:rPr>
            <w:rFonts w:ascii="IRNazanin" w:hAnsi="IRNazanin" w:eastAsia="IRNazanin" w:cs="IRNazanin"/>
            <w:color w:val="111111"/>
            <w:sz w:val="22"/>
            <w:szCs w:val="22"/>
            <w:b w:val="0"/>
            <w:bCs w:val="0"/>
            <w:i w:val="0"/>
            <w:iCs w:val="0"/>
          </w:rPr>
          <w:t>[الأمر ] الخامس:تقوّم الاستصحاب بأمرین:الیقین بالحدوث،و الشکّ فی البقاء</w:t>
        </w:r>
        <w:r>
          <w:tab/>
        </w:r>
        <w:r>
          <w:fldChar w:fldCharType="begin"/>
        </w:r>
        <w:r>
          <w:instrText xml:space="preserve">PAGEREF 702 \h</w:instrText>
        </w:r>
        <w:r>
          <w:fldChar w:fldCharType="end"/>
        </w:r>
      </w:hyperlink>
    </w:p>
    <w:p>
      <w:pPr>
        <w:tabs>
          <w:tab w:val="right" w:leader="dot" w:pos="9062"/>
        </w:tabs>
        <w:ind w:left="1100"/>
      </w:pPr>
      <w:hyperlink w:anchor="_Toc7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703 \h</w:instrText>
        </w:r>
        <w:r>
          <w:fldChar w:fldCharType="end"/>
        </w:r>
      </w:hyperlink>
    </w:p>
    <w:p>
      <w:pPr>
        <w:tabs>
          <w:tab w:val="right" w:leader="dot" w:pos="9062"/>
        </w:tabs>
        <w:ind w:left="1100"/>
      </w:pPr>
      <w:hyperlink w:anchor="_Toc704" w:history="1">
        <w:r>
          <w:rPr>
            <w:rFonts w:ascii="IRNazanin" w:hAnsi="IRNazanin" w:eastAsia="IRNazanin" w:cs="IRNazanin"/>
            <w:color w:val="111111"/>
            <w:sz w:val="22"/>
            <w:szCs w:val="22"/>
            <w:b w:val="0"/>
            <w:bCs w:val="0"/>
            <w:i w:val="0"/>
            <w:iCs w:val="0"/>
          </w:rPr>
          <w:t>[الاستصحاب القهقری:]</w:t>
        </w:r>
        <w:r>
          <w:tab/>
        </w:r>
        <w:r>
          <w:fldChar w:fldCharType="begin"/>
        </w:r>
        <w:r>
          <w:instrText xml:space="preserve">PAGEREF 704 \h</w:instrText>
        </w:r>
        <w:r>
          <w:fldChar w:fldCharType="end"/>
        </w:r>
      </w:hyperlink>
    </w:p>
    <w:p>
      <w:pPr>
        <w:tabs>
          <w:tab w:val="right" w:leader="dot" w:pos="9062"/>
        </w:tabs>
        <w:ind w:left="1100"/>
      </w:pPr>
      <w:hyperlink w:anchor="_Toc705" w:history="1">
        <w:r>
          <w:rPr>
            <w:rFonts w:ascii="IRNazanin" w:hAnsi="IRNazanin" w:eastAsia="IRNazanin" w:cs="IRNazanin"/>
            <w:color w:val="111111"/>
            <w:sz w:val="22"/>
            <w:szCs w:val="22"/>
            <w:b w:val="0"/>
            <w:bCs w:val="0"/>
            <w:i w:val="0"/>
            <w:iCs w:val="0"/>
          </w:rPr>
          <w:t>[المعتبر هو الشکّ الفعلیّ]</w:t>
        </w:r>
        <w:r>
          <w:tab/>
        </w:r>
        <w:r>
          <w:fldChar w:fldCharType="begin"/>
        </w:r>
        <w:r>
          <w:instrText xml:space="preserve">PAGEREF 705 \h</w:instrText>
        </w:r>
        <w:r>
          <w:fldChar w:fldCharType="end"/>
        </w:r>
      </w:hyperlink>
    </w:p>
    <w:p>
      <w:pPr>
        <w:tabs>
          <w:tab w:val="right" w:leader="dot" w:pos="9062"/>
        </w:tabs>
        <w:ind w:left="1100"/>
      </w:pPr>
      <w:hyperlink w:anchor="_Toc706" w:history="1">
        <w:r>
          <w:rPr>
            <w:rFonts w:ascii="IRNazanin" w:hAnsi="IRNazanin" w:eastAsia="IRNazanin" w:cs="IRNazanin"/>
            <w:color w:val="111111"/>
            <w:sz w:val="22"/>
            <w:szCs w:val="22"/>
            <w:b w:val="0"/>
            <w:bCs w:val="0"/>
            <w:i w:val="0"/>
            <w:iCs w:val="0"/>
          </w:rPr>
          <w:t>[الأمر ] السادس:تقسیم الاستصحاب من وجوه:</w:t>
        </w:r>
        <w:r>
          <w:tab/>
        </w:r>
        <w:r>
          <w:fldChar w:fldCharType="begin"/>
        </w:r>
        <w:r>
          <w:instrText xml:space="preserve">PAGEREF 706 \h</w:instrText>
        </w:r>
        <w:r>
          <w:fldChar w:fldCharType="end"/>
        </w:r>
      </w:hyperlink>
    </w:p>
    <w:p>
      <w:pPr>
        <w:tabs>
          <w:tab w:val="right" w:leader="dot" w:pos="9062"/>
        </w:tabs>
        <w:ind w:left="1100"/>
      </w:pPr>
      <w:hyperlink w:anchor="_Toc70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707 \h</w:instrText>
        </w:r>
        <w:r>
          <w:fldChar w:fldCharType="end"/>
        </w:r>
      </w:hyperlink>
    </w:p>
    <w:p>
      <w:pPr>
        <w:tabs>
          <w:tab w:val="right" w:leader="dot" w:pos="9062"/>
        </w:tabs>
        <w:ind w:left="1100"/>
      </w:pPr>
      <w:hyperlink w:anchor="_Toc708" w:history="1">
        <w:r>
          <w:rPr>
            <w:rFonts w:ascii="IRNazanin" w:hAnsi="IRNazanin" w:eastAsia="IRNazanin" w:cs="IRNazanin"/>
            <w:color w:val="111111"/>
            <w:sz w:val="22"/>
            <w:szCs w:val="22"/>
            <w:b w:val="0"/>
            <w:bCs w:val="0"/>
            <w:i w:val="0"/>
            <w:iCs w:val="0"/>
          </w:rPr>
          <w:t>[1-تقسیم الاستصحاب باعتبار المستصحب]</w:t>
        </w:r>
        <w:r>
          <w:tab/>
        </w:r>
        <w:r>
          <w:fldChar w:fldCharType="begin"/>
        </w:r>
        <w:r>
          <w:instrText xml:space="preserve">PAGEREF 708 \h</w:instrText>
        </w:r>
        <w:r>
          <w:fldChar w:fldCharType="end"/>
        </w:r>
      </w:hyperlink>
    </w:p>
    <w:p>
      <w:pPr>
        <w:tabs>
          <w:tab w:val="right" w:leader="dot" w:pos="9062"/>
        </w:tabs>
        <w:ind w:left="1100"/>
      </w:pPr>
      <w:hyperlink w:anchor="_Toc709" w:history="1">
        <w:r>
          <w:rPr>
            <w:rFonts w:ascii="IRNazanin" w:hAnsi="IRNazanin" w:eastAsia="IRNazanin" w:cs="IRNazanin"/>
            <w:color w:val="111111"/>
            <w:sz w:val="22"/>
            <w:szCs w:val="22"/>
            <w:b w:val="0"/>
            <w:bCs w:val="0"/>
            <w:i w:val="0"/>
            <w:iCs w:val="0"/>
          </w:rPr>
          <w:t>اشارة</w:t>
        </w:r>
        <w:r>
          <w:tab/>
        </w:r>
        <w:r>
          <w:fldChar w:fldCharType="begin"/>
        </w:r>
        <w:r>
          <w:instrText xml:space="preserve">PAGEREF 709 \h</w:instrText>
        </w:r>
        <w:r>
          <w:fldChar w:fldCharType="end"/>
        </w:r>
      </w:hyperlink>
    </w:p>
    <w:p>
      <w:pPr>
        <w:tabs>
          <w:tab w:val="right" w:leader="dot" w:pos="9062"/>
        </w:tabs>
        <w:ind w:left="1100"/>
      </w:pPr>
      <w:hyperlink w:anchor="_Toc710" w:history="1">
        <w:r>
          <w:rPr>
            <w:rFonts w:ascii="IRNazanin" w:hAnsi="IRNazanin" w:eastAsia="IRNazanin" w:cs="IRNazanin"/>
            <w:color w:val="111111"/>
            <w:sz w:val="22"/>
            <w:szCs w:val="22"/>
            <w:b w:val="0"/>
            <w:bCs w:val="0"/>
            <w:i w:val="0"/>
            <w:iCs w:val="0"/>
          </w:rPr>
          <w:t>الوجه الأوّل:المستصحب إمّا وجودیّ و إمّا عدمیّ:</w:t>
        </w:r>
        <w:r>
          <w:tab/>
        </w:r>
        <w:r>
          <w:fldChar w:fldCharType="begin"/>
        </w:r>
        <w:r>
          <w:instrText xml:space="preserve">PAGEREF 710 \h</w:instrText>
        </w:r>
        <w:r>
          <w:fldChar w:fldCharType="end"/>
        </w:r>
      </w:hyperlink>
    </w:p>
    <w:p>
      <w:pPr>
        <w:tabs>
          <w:tab w:val="right" w:leader="dot" w:pos="9062"/>
        </w:tabs>
        <w:ind w:left="1100"/>
      </w:pPr>
      <w:hyperlink w:anchor="_Toc711" w:history="1">
        <w:r>
          <w:rPr>
            <w:rFonts w:ascii="IRNazanin" w:hAnsi="IRNazanin" w:eastAsia="IRNazanin" w:cs="IRNazanin"/>
            <w:color w:val="111111"/>
            <w:sz w:val="22"/>
            <w:szCs w:val="22"/>
            <w:b w:val="0"/>
            <w:bCs w:val="0"/>
            <w:i w:val="0"/>
            <w:iCs w:val="0"/>
          </w:rPr>
          <w:t>[کلام شریف العلماء فی خروج العدمیّات عن محلّ النزاع:]</w:t>
        </w:r>
        <w:r>
          <w:tab/>
        </w:r>
        <w:r>
          <w:fldChar w:fldCharType="begin"/>
        </w:r>
        <w:r>
          <w:instrText xml:space="preserve">PAGEREF 711 \h</w:instrText>
        </w:r>
        <w:r>
          <w:fldChar w:fldCharType="end"/>
        </w:r>
      </w:hyperlink>
    </w:p>
    <w:p>
      <w:pPr>
        <w:tabs>
          <w:tab w:val="right" w:leader="dot" w:pos="9062"/>
        </w:tabs>
        <w:ind w:left="1100"/>
      </w:pPr>
      <w:hyperlink w:anchor="_Toc712" w:history="1">
        <w:r>
          <w:rPr>
            <w:rFonts w:ascii="IRNazanin" w:hAnsi="IRNazanin" w:eastAsia="IRNazanin" w:cs="IRNazanin"/>
            <w:color w:val="111111"/>
            <w:sz w:val="22"/>
            <w:szCs w:val="22"/>
            <w:b w:val="0"/>
            <w:bCs w:val="0"/>
            <w:i w:val="0"/>
            <w:iCs w:val="0"/>
          </w:rPr>
          <w:t>[المناقشة فیما أفاده شریف العلماء:]</w:t>
        </w:r>
        <w:r>
          <w:tab/>
        </w:r>
        <w:r>
          <w:fldChar w:fldCharType="begin"/>
        </w:r>
        <w:r>
          <w:instrText xml:space="preserve">PAGEREF 712 \h</w:instrText>
        </w:r>
        <w:r>
          <w:fldChar w:fldCharType="end"/>
        </w:r>
      </w:hyperlink>
    </w:p>
    <w:p>
      <w:pPr>
        <w:tabs>
          <w:tab w:val="right" w:leader="dot" w:pos="9062"/>
        </w:tabs>
        <w:ind w:left="1100"/>
      </w:pPr>
      <w:hyperlink w:anchor="_Toc713" w:history="1">
        <w:r>
          <w:rPr>
            <w:rFonts w:ascii="IRNazanin" w:hAnsi="IRNazanin" w:eastAsia="IRNazanin" w:cs="IRNazanin"/>
            <w:color w:val="111111"/>
            <w:sz w:val="22"/>
            <w:szCs w:val="22"/>
            <w:b w:val="0"/>
            <w:bCs w:val="0"/>
            <w:i w:val="0"/>
            <w:iCs w:val="0"/>
          </w:rPr>
          <w:t>[قیام السیرة علی التمسّک بالاصول الوجودیّة و العدمیّة فی باب الألفاظ]</w:t>
        </w:r>
        <w:r>
          <w:tab/>
        </w:r>
        <w:r>
          <w:fldChar w:fldCharType="begin"/>
        </w:r>
        <w:r>
          <w:instrText xml:space="preserve">PAGEREF 713 \h</w:instrText>
        </w:r>
        <w:r>
          <w:fldChar w:fldCharType="end"/>
        </w:r>
      </w:hyperlink>
    </w:p>
    <w:p>
      <w:pPr>
        <w:tabs>
          <w:tab w:val="right" w:leader="dot" w:pos="9062"/>
        </w:tabs>
        <w:ind w:left="1100"/>
      </w:pPr>
      <w:hyperlink w:anchor="_Toc714" w:history="1">
        <w:r>
          <w:rPr>
            <w:rFonts w:ascii="IRNazanin" w:hAnsi="IRNazanin" w:eastAsia="IRNazanin" w:cs="IRNazanin"/>
            <w:color w:val="111111"/>
            <w:sz w:val="22"/>
            <w:szCs w:val="22"/>
            <w:b w:val="0"/>
            <w:bCs w:val="0"/>
            <w:i w:val="0"/>
            <w:iCs w:val="0"/>
          </w:rPr>
          <w:t>[کلام الوحید البهبهانی فی ذلک:]</w:t>
        </w:r>
        <w:r>
          <w:tab/>
        </w:r>
        <w:r>
          <w:fldChar w:fldCharType="begin"/>
        </w:r>
        <w:r>
          <w:instrText xml:space="preserve">PAGEREF 714 \h</w:instrText>
        </w:r>
        <w:r>
          <w:fldChar w:fldCharType="end"/>
        </w:r>
      </w:hyperlink>
    </w:p>
    <w:p>
      <w:pPr>
        <w:tabs>
          <w:tab w:val="right" w:leader="dot" w:pos="9062"/>
        </w:tabs>
        <w:ind w:left="1100"/>
      </w:pPr>
      <w:hyperlink w:anchor="_Toc715" w:history="1">
        <w:r>
          <w:rPr>
            <w:rFonts w:ascii="IRNazanin" w:hAnsi="IRNazanin" w:eastAsia="IRNazanin" w:cs="IRNazanin"/>
            <w:color w:val="111111"/>
            <w:sz w:val="22"/>
            <w:szCs w:val="22"/>
            <w:b w:val="0"/>
            <w:bCs w:val="0"/>
            <w:i w:val="0"/>
            <w:iCs w:val="0"/>
          </w:rPr>
          <w:t>[ما یظهر منه الاختصاص بالوجودیّات و مناقشته:]</w:t>
        </w:r>
        <w:r>
          <w:tab/>
        </w:r>
        <w:r>
          <w:fldChar w:fldCharType="begin"/>
        </w:r>
        <w:r>
          <w:instrText xml:space="preserve">PAGEREF 715 \h</w:instrText>
        </w:r>
        <w:r>
          <w:fldChar w:fldCharType="end"/>
        </w:r>
      </w:hyperlink>
    </w:p>
    <w:p>
      <w:pPr>
        <w:tabs>
          <w:tab w:val="right" w:leader="dot" w:pos="9062"/>
        </w:tabs>
        <w:ind w:left="1100"/>
      </w:pPr>
      <w:hyperlink w:anchor="_Toc716" w:history="1">
        <w:r>
          <w:rPr>
            <w:rFonts w:ascii="IRNazanin" w:hAnsi="IRNazanin" w:eastAsia="IRNazanin" w:cs="IRNazanin"/>
            <w:color w:val="111111"/>
            <w:sz w:val="22"/>
            <w:szCs w:val="22"/>
            <w:b w:val="0"/>
            <w:bCs w:val="0"/>
            <w:i w:val="0"/>
            <w:iCs w:val="0"/>
          </w:rPr>
          <w:t>[التتبّع یشهد بعدم خروج العدمیّات عن محلّ النزاع:]</w:t>
        </w:r>
        <w:r>
          <w:tab/>
        </w:r>
        <w:r>
          <w:fldChar w:fldCharType="begin"/>
        </w:r>
        <w:r>
          <w:instrText xml:space="preserve">PAGEREF 716 \h</w:instrText>
        </w:r>
        <w:r>
          <w:fldChar w:fldCharType="end"/>
        </w:r>
      </w:hyperlink>
    </w:p>
    <w:p>
      <w:pPr>
        <w:tabs>
          <w:tab w:val="right" w:leader="dot" w:pos="9062"/>
        </w:tabs>
        <w:ind w:left="1100"/>
      </w:pPr>
      <w:hyperlink w:anchor="_Toc717" w:history="1">
        <w:r>
          <w:rPr>
            <w:rFonts w:ascii="IRNazanin" w:hAnsi="IRNazanin" w:eastAsia="IRNazanin" w:cs="IRNazanin"/>
            <w:color w:val="111111"/>
            <w:sz w:val="22"/>
            <w:szCs w:val="22"/>
            <w:b w:val="0"/>
            <w:bCs w:val="0"/>
            <w:i w:val="0"/>
            <w:iCs w:val="0"/>
          </w:rPr>
          <w:t>[ظاهر جماعة خروج بعض العدمیّات عن محلّ النزاع:]</w:t>
        </w:r>
        <w:r>
          <w:tab/>
        </w:r>
        <w:r>
          <w:fldChar w:fldCharType="begin"/>
        </w:r>
        <w:r>
          <w:instrText xml:space="preserve">PAGEREF 717 \h</w:instrText>
        </w:r>
        <w:r>
          <w:fldChar w:fldCharType="end"/>
        </w:r>
      </w:hyperlink>
    </w:p>
    <w:p>
      <w:pPr>
        <w:tabs>
          <w:tab w:val="right" w:leader="dot" w:pos="9062"/>
        </w:tabs>
        <w:ind w:left="1100"/>
      </w:pPr>
      <w:hyperlink w:anchor="_Toc718" w:history="1">
        <w:r>
          <w:rPr>
            <w:rFonts w:ascii="IRNazanin" w:hAnsi="IRNazanin" w:eastAsia="IRNazanin" w:cs="IRNazanin"/>
            <w:color w:val="111111"/>
            <w:sz w:val="22"/>
            <w:szCs w:val="22"/>
            <w:b w:val="0"/>
            <w:bCs w:val="0"/>
            <w:i w:val="0"/>
            <w:iCs w:val="0"/>
          </w:rPr>
          <w:t>الوجه الثانی: [المستصحب إمّا حکم شرعیّ و إمّا من الامور الخارجیّة:]</w:t>
        </w:r>
        <w:r>
          <w:tab/>
        </w:r>
        <w:r>
          <w:fldChar w:fldCharType="begin"/>
        </w:r>
        <w:r>
          <w:instrText xml:space="preserve">PAGEREF 718 \h</w:instrText>
        </w:r>
        <w:r>
          <w:fldChar w:fldCharType="end"/>
        </w:r>
      </w:hyperlink>
    </w:p>
    <w:p>
      <w:pPr>
        <w:tabs>
          <w:tab w:val="right" w:leader="dot" w:pos="9062"/>
        </w:tabs>
        <w:ind w:left="1100"/>
      </w:pPr>
      <w:hyperlink w:anchor="_Toc719" w:history="1">
        <w:r>
          <w:rPr>
            <w:rFonts w:ascii="IRNazanin" w:hAnsi="IRNazanin" w:eastAsia="IRNazanin" w:cs="IRNazanin"/>
            <w:color w:val="111111"/>
            <w:sz w:val="22"/>
            <w:szCs w:val="22"/>
            <w:b w:val="0"/>
            <w:bCs w:val="0"/>
            <w:i w:val="0"/>
            <w:iCs w:val="0"/>
          </w:rPr>
          <w:t>[وقوع الخلاف فی کلیهما:]</w:t>
        </w:r>
        <w:r>
          <w:tab/>
        </w:r>
        <w:r>
          <w:fldChar w:fldCharType="begin"/>
        </w:r>
        <w:r>
          <w:instrText xml:space="preserve">PAGEREF 719 \h</w:instrText>
        </w:r>
        <w:r>
          <w:fldChar w:fldCharType="end"/>
        </w:r>
      </w:hyperlink>
    </w:p>
    <w:p>
      <w:pPr>
        <w:tabs>
          <w:tab w:val="right" w:leader="dot" w:pos="9062"/>
        </w:tabs>
        <w:ind w:left="1100"/>
      </w:pPr>
      <w:hyperlink w:anchor="_Toc720" w:history="1">
        <w:r>
          <w:rPr>
            <w:rFonts w:ascii="IRNazanin" w:hAnsi="IRNazanin" w:eastAsia="IRNazanin" w:cs="IRNazanin"/>
            <w:color w:val="111111"/>
            <w:sz w:val="22"/>
            <w:szCs w:val="22"/>
            <w:b w:val="0"/>
            <w:bCs w:val="0"/>
            <w:i w:val="0"/>
            <w:iCs w:val="0"/>
          </w:rPr>
          <w:t>[للحکم الشرعی إطلاقان:</w:t>
        </w:r>
        <w:r>
          <w:tab/>
        </w:r>
        <w:r>
          <w:fldChar w:fldCharType="begin"/>
        </w:r>
        <w:r>
          <w:instrText xml:space="preserve">PAGEREF 720 \h</w:instrText>
        </w:r>
        <w:r>
          <w:fldChar w:fldCharType="end"/>
        </w:r>
      </w:hyperlink>
    </w:p>
    <w:p>
      <w:pPr>
        <w:tabs>
          <w:tab w:val="right" w:leader="dot" w:pos="9062"/>
        </w:tabs>
        <w:ind w:left="1100"/>
      </w:pPr>
      <w:hyperlink w:anchor="_Toc721" w:history="1">
        <w:r>
          <w:rPr>
            <w:rFonts w:ascii="IRNazanin" w:hAnsi="IRNazanin" w:eastAsia="IRNazanin" w:cs="IRNazanin"/>
            <w:color w:val="111111"/>
            <w:sz w:val="22"/>
            <w:szCs w:val="22"/>
            <w:b w:val="0"/>
            <w:bCs w:val="0"/>
            <w:i w:val="0"/>
            <w:iCs w:val="0"/>
          </w:rPr>
          <w:t>[إنکار الأخباریین جریان الاستصحاب فی الحکم بالإطلاق الأوّل]</w:t>
        </w:r>
        <w:r>
          <w:tab/>
        </w:r>
        <w:r>
          <w:fldChar w:fldCharType="begin"/>
        </w:r>
        <w:r>
          <w:instrText xml:space="preserve">PAGEREF 721 \h</w:instrText>
        </w:r>
        <w:r>
          <w:fldChar w:fldCharType="end"/>
        </w:r>
      </w:hyperlink>
    </w:p>
    <w:p>
      <w:pPr>
        <w:tabs>
          <w:tab w:val="right" w:leader="dot" w:pos="9062"/>
        </w:tabs>
        <w:ind w:left="1100"/>
      </w:pPr>
      <w:hyperlink w:anchor="_Toc722" w:history="1">
        <w:r>
          <w:rPr>
            <w:rFonts w:ascii="IRNazanin" w:hAnsi="IRNazanin" w:eastAsia="IRNazanin" w:cs="IRNazanin"/>
            <w:color w:val="111111"/>
            <w:sz w:val="22"/>
            <w:szCs w:val="22"/>
            <w:b w:val="0"/>
            <w:bCs w:val="0"/>
            <w:i w:val="0"/>
            <w:iCs w:val="0"/>
          </w:rPr>
          <w:t>[الأقوی فی حجّیة الاستصحاب من حیث هذا التقسیم]</w:t>
        </w:r>
        <w:r>
          <w:tab/>
        </w:r>
        <w:r>
          <w:fldChar w:fldCharType="begin"/>
        </w:r>
        <w:r>
          <w:instrText xml:space="preserve">PAGEREF 722 \h</w:instrText>
        </w:r>
        <w:r>
          <w:fldChar w:fldCharType="end"/>
        </w:r>
      </w:hyperlink>
    </w:p>
    <w:p>
      <w:pPr>
        <w:tabs>
          <w:tab w:val="right" w:leader="dot" w:pos="9062"/>
        </w:tabs>
        <w:ind w:left="1100"/>
      </w:pPr>
      <w:hyperlink w:anchor="_Toc723" w:history="1">
        <w:r>
          <w:rPr>
            <w:rFonts w:ascii="IRNazanin" w:hAnsi="IRNazanin" w:eastAsia="IRNazanin" w:cs="IRNazanin"/>
            <w:color w:val="111111"/>
            <w:sz w:val="22"/>
            <w:szCs w:val="22"/>
            <w:b w:val="0"/>
            <w:bCs w:val="0"/>
            <w:i w:val="0"/>
            <w:iCs w:val="0"/>
          </w:rPr>
          <w:t>الوجه الثالث: [المستصحب إمّا حکم تکلیفی و إمّا حکم وضعی:]</w:t>
        </w:r>
        <w:r>
          <w:tab/>
        </w:r>
        <w:r>
          <w:fldChar w:fldCharType="begin"/>
        </w:r>
        <w:r>
          <w:instrText xml:space="preserve">PAGEREF 723 \h</w:instrText>
        </w:r>
        <w:r>
          <w:fldChar w:fldCharType="end"/>
        </w:r>
      </w:hyperlink>
    </w:p>
    <w:p>
      <w:pPr>
        <w:tabs>
          <w:tab w:val="right" w:leader="dot" w:pos="9062"/>
        </w:tabs>
        <w:ind w:left="1100"/>
      </w:pPr>
      <w:hyperlink w:anchor="_Toc724" w:history="1">
        <w:r>
          <w:rPr>
            <w:rFonts w:ascii="IRNazanin" w:hAnsi="IRNazanin" w:eastAsia="IRNazanin" w:cs="IRNazanin"/>
            <w:color w:val="111111"/>
            <w:sz w:val="22"/>
            <w:szCs w:val="22"/>
            <w:b w:val="0"/>
            <w:bCs w:val="0"/>
            <w:i w:val="0"/>
            <w:iCs w:val="0"/>
          </w:rPr>
          <w:t>[القول بالتفصیل بین التکلیفی و غیره:]</w:t>
        </w:r>
        <w:r>
          <w:tab/>
        </w:r>
        <w:r>
          <w:fldChar w:fldCharType="begin"/>
        </w:r>
        <w:r>
          <w:instrText xml:space="preserve">PAGEREF 724 \h</w:instrText>
        </w:r>
        <w:r>
          <w:fldChar w:fldCharType="end"/>
        </w:r>
      </w:hyperlink>
    </w:p>
    <w:p>
      <w:pPr>
        <w:tabs>
          <w:tab w:val="right" w:leader="dot" w:pos="9062"/>
        </w:tabs>
        <w:ind w:left="1100"/>
      </w:pPr>
      <w:hyperlink w:anchor="_Toc725" w:history="1">
        <w:r>
          <w:rPr>
            <w:rFonts w:ascii="IRNazanin" w:hAnsi="IRNazanin" w:eastAsia="IRNazanin" w:cs="IRNazanin"/>
            <w:color w:val="111111"/>
            <w:sz w:val="22"/>
            <w:szCs w:val="22"/>
            <w:b w:val="0"/>
            <w:bCs w:val="0"/>
            <w:i w:val="0"/>
            <w:iCs w:val="0"/>
          </w:rPr>
          <w:t>[2-تقسیم الاستصحاب باعتبار دلیل المستصحب]</w:t>
        </w:r>
        <w:r>
          <w:tab/>
        </w:r>
        <w:r>
          <w:fldChar w:fldCharType="begin"/>
        </w:r>
        <w:r>
          <w:instrText xml:space="preserve">PAGEREF 725 \h</w:instrText>
        </w:r>
        <w:r>
          <w:fldChar w:fldCharType="end"/>
        </w:r>
      </w:hyperlink>
    </w:p>
    <w:p>
      <w:pPr>
        <w:tabs>
          <w:tab w:val="right" w:leader="dot" w:pos="9062"/>
        </w:tabs>
        <w:ind w:left="1100"/>
      </w:pPr>
      <w:hyperlink w:anchor="_Toc7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726 \h</w:instrText>
        </w:r>
        <w:r>
          <w:fldChar w:fldCharType="end"/>
        </w:r>
      </w:hyperlink>
    </w:p>
    <w:p>
      <w:pPr>
        <w:tabs>
          <w:tab w:val="right" w:leader="dot" w:pos="9062"/>
        </w:tabs>
        <w:ind w:left="1100"/>
      </w:pPr>
      <w:hyperlink w:anchor="_Toc727" w:history="1">
        <w:r>
          <w:rPr>
            <w:rFonts w:ascii="IRNazanin" w:hAnsi="IRNazanin" w:eastAsia="IRNazanin" w:cs="IRNazanin"/>
            <w:color w:val="111111"/>
            <w:sz w:val="22"/>
            <w:szCs w:val="22"/>
            <w:b w:val="0"/>
            <w:bCs w:val="0"/>
            <w:i w:val="0"/>
            <w:iCs w:val="0"/>
          </w:rPr>
          <w:t>أحدها: [دلیل المستصحب إمّا الإجماع و إمّا غیره:]</w:t>
        </w:r>
        <w:r>
          <w:tab/>
        </w:r>
        <w:r>
          <w:fldChar w:fldCharType="begin"/>
        </w:r>
        <w:r>
          <w:instrText xml:space="preserve">PAGEREF 727 \h</w:instrText>
        </w:r>
        <w:r>
          <w:fldChar w:fldCharType="end"/>
        </w:r>
      </w:hyperlink>
    </w:p>
    <w:p>
      <w:pPr>
        <w:tabs>
          <w:tab w:val="right" w:leader="dot" w:pos="9062"/>
        </w:tabs>
        <w:ind w:left="1100"/>
      </w:pPr>
      <w:hyperlink w:anchor="_Toc728" w:history="1">
        <w:r>
          <w:rPr>
            <w:rFonts w:ascii="IRNazanin" w:hAnsi="IRNazanin" w:eastAsia="IRNazanin" w:cs="IRNazanin"/>
            <w:color w:val="111111"/>
            <w:sz w:val="22"/>
            <w:szCs w:val="22"/>
            <w:b w:val="0"/>
            <w:bCs w:val="0"/>
            <w:i w:val="0"/>
            <w:iCs w:val="0"/>
          </w:rPr>
          <w:t>[الوجه ] الثانی: [المستصحب إمّا یثبت بالدلیل العقلی و إمّا بالدلیل الشرعی]</w:t>
        </w:r>
        <w:r>
          <w:tab/>
        </w:r>
        <w:r>
          <w:fldChar w:fldCharType="begin"/>
        </w:r>
        <w:r>
          <w:instrText xml:space="preserve">PAGEREF 728 \h</w:instrText>
        </w:r>
        <w:r>
          <w:fldChar w:fldCharType="end"/>
        </w:r>
      </w:hyperlink>
    </w:p>
    <w:p>
      <w:pPr>
        <w:tabs>
          <w:tab w:val="right" w:leader="dot" w:pos="9062"/>
        </w:tabs>
        <w:ind w:left="1100"/>
      </w:pPr>
      <w:hyperlink w:anchor="_Toc729" w:history="1">
        <w:r>
          <w:rPr>
            <w:rFonts w:ascii="IRNazanin" w:hAnsi="IRNazanin" w:eastAsia="IRNazanin" w:cs="IRNazanin"/>
            <w:color w:val="111111"/>
            <w:sz w:val="22"/>
            <w:szCs w:val="22"/>
            <w:b w:val="0"/>
            <w:bCs w:val="0"/>
            <w:i w:val="0"/>
            <w:iCs w:val="0"/>
          </w:rPr>
          <w:t>[الإشکال فی الاستصحاب مع ثبوت الحکم بالدلیل العقلی]</w:t>
        </w:r>
        <w:r>
          <w:tab/>
        </w:r>
        <w:r>
          <w:fldChar w:fldCharType="begin"/>
        </w:r>
        <w:r>
          <w:instrText xml:space="preserve">PAGEREF 729 \h</w:instrText>
        </w:r>
        <w:r>
          <w:fldChar w:fldCharType="end"/>
        </w:r>
      </w:hyperlink>
    </w:p>
    <w:p>
      <w:pPr>
        <w:tabs>
          <w:tab w:val="right" w:leader="dot" w:pos="9062"/>
        </w:tabs>
        <w:ind w:left="1100"/>
      </w:pPr>
      <w:hyperlink w:anchor="_Toc730" w:history="1">
        <w:r>
          <w:rPr>
            <w:rFonts w:ascii="IRNazanin" w:hAnsi="IRNazanin" w:eastAsia="IRNazanin" w:cs="IRNazanin"/>
            <w:color w:val="111111"/>
            <w:sz w:val="22"/>
            <w:szCs w:val="22"/>
            <w:b w:val="0"/>
            <w:bCs w:val="0"/>
            <w:i w:val="0"/>
            <w:iCs w:val="0"/>
          </w:rPr>
          <w:t>[عدم جریان الاستصحاب فی الأحکام العقلیّة و لا فی الأحکام الشرعیّة المستندة إلیها]</w:t>
        </w:r>
        <w:r>
          <w:tab/>
        </w:r>
        <w:r>
          <w:fldChar w:fldCharType="begin"/>
        </w:r>
        <w:r>
          <w:instrText xml:space="preserve">PAGEREF 730 \h</w:instrText>
        </w:r>
        <w:r>
          <w:fldChar w:fldCharType="end"/>
        </w:r>
      </w:hyperlink>
    </w:p>
    <w:p>
      <w:pPr>
        <w:tabs>
          <w:tab w:val="right" w:leader="dot" w:pos="9062"/>
        </w:tabs>
        <w:ind w:left="1100"/>
      </w:pPr>
      <w:hyperlink w:anchor="_Toc731" w:history="1">
        <w:r>
          <w:rPr>
            <w:rFonts w:ascii="IRNazanin" w:hAnsi="IRNazanin" w:eastAsia="IRNazanin" w:cs="IRNazanin"/>
            <w:color w:val="111111"/>
            <w:sz w:val="22"/>
            <w:szCs w:val="22"/>
            <w:b w:val="0"/>
            <w:bCs w:val="0"/>
            <w:i w:val="0"/>
            <w:iCs w:val="0"/>
          </w:rPr>
          <w:t>[استصحاب حال العقل لا یستند إلی القضیّة العقلیّة:]</w:t>
        </w:r>
        <w:r>
          <w:tab/>
        </w:r>
        <w:r>
          <w:fldChar w:fldCharType="begin"/>
        </w:r>
        <w:r>
          <w:instrText xml:space="preserve">PAGEREF 731 \h</w:instrText>
        </w:r>
        <w:r>
          <w:fldChar w:fldCharType="end"/>
        </w:r>
      </w:hyperlink>
    </w:p>
    <w:p>
      <w:pPr>
        <w:tabs>
          <w:tab w:val="right" w:leader="dot" w:pos="9062"/>
        </w:tabs>
        <w:ind w:left="1100"/>
      </w:pPr>
      <w:hyperlink w:anchor="_Toc732" w:history="1">
        <w:r>
          <w:rPr>
            <w:rFonts w:ascii="IRNazanin" w:hAnsi="IRNazanin" w:eastAsia="IRNazanin" w:cs="IRNazanin"/>
            <w:color w:val="111111"/>
            <w:sz w:val="22"/>
            <w:szCs w:val="22"/>
            <w:b w:val="0"/>
            <w:bCs w:val="0"/>
            <w:i w:val="0"/>
            <w:iCs w:val="0"/>
          </w:rPr>
          <w:t>[الوجه ] الثالث: [دلیل المستصحب قد یدلّ علی الاستمرار و قد لا یدلّ]</w:t>
        </w:r>
        <w:r>
          <w:tab/>
        </w:r>
        <w:r>
          <w:fldChar w:fldCharType="begin"/>
        </w:r>
        <w:r>
          <w:instrText xml:space="preserve">PAGEREF 732 \h</w:instrText>
        </w:r>
        <w:r>
          <w:fldChar w:fldCharType="end"/>
        </w:r>
      </w:hyperlink>
    </w:p>
    <w:p>
      <w:pPr>
        <w:tabs>
          <w:tab w:val="right" w:leader="dot" w:pos="9062"/>
        </w:tabs>
        <w:ind w:left="1100"/>
      </w:pPr>
      <w:hyperlink w:anchor="_Toc733" w:history="1">
        <w:r>
          <w:rPr>
            <w:rFonts w:ascii="IRNazanin" w:hAnsi="IRNazanin" w:eastAsia="IRNazanin" w:cs="IRNazanin"/>
            <w:color w:val="111111"/>
            <w:sz w:val="22"/>
            <w:szCs w:val="22"/>
            <w:b w:val="0"/>
            <w:bCs w:val="0"/>
            <w:i w:val="0"/>
            <w:iCs w:val="0"/>
          </w:rPr>
          <w:t>[3-تقسیم الاستصحاب باعتبار الشکّ المأخوذ فیه]</w:t>
        </w:r>
        <w:r>
          <w:tab/>
        </w:r>
        <w:r>
          <w:fldChar w:fldCharType="begin"/>
        </w:r>
        <w:r>
          <w:instrText xml:space="preserve">PAGEREF 733 \h</w:instrText>
        </w:r>
        <w:r>
          <w:fldChar w:fldCharType="end"/>
        </w:r>
      </w:hyperlink>
    </w:p>
    <w:p>
      <w:pPr>
        <w:tabs>
          <w:tab w:val="right" w:leader="dot" w:pos="9062"/>
        </w:tabs>
        <w:ind w:left="1100"/>
      </w:pPr>
      <w:hyperlink w:anchor="_Toc7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734 \h</w:instrText>
        </w:r>
        <w:r>
          <w:fldChar w:fldCharType="end"/>
        </w:r>
      </w:hyperlink>
    </w:p>
    <w:p>
      <w:pPr>
        <w:tabs>
          <w:tab w:val="right" w:leader="dot" w:pos="9062"/>
        </w:tabs>
        <w:ind w:left="1100"/>
      </w:pPr>
      <w:hyperlink w:anchor="_Toc735" w:history="1">
        <w:r>
          <w:rPr>
            <w:rFonts w:ascii="IRNazanin" w:hAnsi="IRNazanin" w:eastAsia="IRNazanin" w:cs="IRNazanin"/>
            <w:color w:val="111111"/>
            <w:sz w:val="22"/>
            <w:szCs w:val="22"/>
            <w:b w:val="0"/>
            <w:bCs w:val="0"/>
            <w:i w:val="0"/>
            <w:iCs w:val="0"/>
          </w:rPr>
          <w:t>أحدها: [منشأ الشکّ إمّا اشتباه الأمر الخارجی و إمّا اشتباه الحکم الشرعی]</w:t>
        </w:r>
        <w:r>
          <w:tab/>
        </w:r>
        <w:r>
          <w:fldChar w:fldCharType="begin"/>
        </w:r>
        <w:r>
          <w:instrText xml:space="preserve">PAGEREF 735 \h</w:instrText>
        </w:r>
        <w:r>
          <w:fldChar w:fldCharType="end"/>
        </w:r>
      </w:hyperlink>
    </w:p>
    <w:p>
      <w:pPr>
        <w:tabs>
          <w:tab w:val="right" w:leader="dot" w:pos="9062"/>
        </w:tabs>
        <w:ind w:left="1100"/>
      </w:pPr>
      <w:hyperlink w:anchor="_Toc736" w:history="1">
        <w:r>
          <w:rPr>
            <w:rFonts w:ascii="IRNazanin" w:hAnsi="IRNazanin" w:eastAsia="IRNazanin" w:cs="IRNazanin"/>
            <w:color w:val="111111"/>
            <w:sz w:val="22"/>
            <w:szCs w:val="22"/>
            <w:b w:val="0"/>
            <w:bCs w:val="0"/>
            <w:i w:val="0"/>
            <w:iCs w:val="0"/>
          </w:rPr>
          <w:t>[دخول القسمین فی محلّ النزاع:]</w:t>
        </w:r>
        <w:r>
          <w:tab/>
        </w:r>
        <w:r>
          <w:fldChar w:fldCharType="begin"/>
        </w:r>
        <w:r>
          <w:instrText xml:space="preserve">PAGEREF 736 \h</w:instrText>
        </w:r>
        <w:r>
          <w:fldChar w:fldCharType="end"/>
        </w:r>
      </w:hyperlink>
    </w:p>
    <w:p>
      <w:pPr>
        <w:tabs>
          <w:tab w:val="right" w:leader="dot" w:pos="9062"/>
        </w:tabs>
        <w:ind w:left="1100"/>
      </w:pPr>
      <w:hyperlink w:anchor="_Toc737" w:history="1">
        <w:r>
          <w:rPr>
            <w:rFonts w:ascii="IRNazanin" w:hAnsi="IRNazanin" w:eastAsia="IRNazanin" w:cs="IRNazanin"/>
            <w:color w:val="111111"/>
            <w:sz w:val="22"/>
            <w:szCs w:val="22"/>
            <w:b w:val="0"/>
            <w:bCs w:val="0"/>
            <w:i w:val="0"/>
            <w:iCs w:val="0"/>
          </w:rPr>
          <w:t>[المحکی عن الأخباریین اختصاص النزاع بالشبهة الحکمیّة:]</w:t>
        </w:r>
        <w:r>
          <w:tab/>
        </w:r>
        <w:r>
          <w:fldChar w:fldCharType="begin"/>
        </w:r>
        <w:r>
          <w:instrText xml:space="preserve">PAGEREF 737 \h</w:instrText>
        </w:r>
        <w:r>
          <w:fldChar w:fldCharType="end"/>
        </w:r>
      </w:hyperlink>
    </w:p>
    <w:p>
      <w:pPr>
        <w:tabs>
          <w:tab w:val="right" w:leader="dot" w:pos="9062"/>
        </w:tabs>
        <w:ind w:left="1100"/>
      </w:pPr>
      <w:hyperlink w:anchor="_Toc738" w:history="1">
        <w:r>
          <w:rPr>
            <w:rFonts w:ascii="IRNazanin" w:hAnsi="IRNazanin" w:eastAsia="IRNazanin" w:cs="IRNazanin"/>
            <w:color w:val="111111"/>
            <w:sz w:val="22"/>
            <w:szCs w:val="22"/>
            <w:b w:val="0"/>
            <w:bCs w:val="0"/>
            <w:i w:val="0"/>
            <w:iCs w:val="0"/>
          </w:rPr>
          <w:t>[کلام المحدّث الأسترابادی فی الفوائد المدنیة:]</w:t>
        </w:r>
        <w:r>
          <w:tab/>
        </w:r>
        <w:r>
          <w:fldChar w:fldCharType="begin"/>
        </w:r>
        <w:r>
          <w:instrText xml:space="preserve">PAGEREF 738 \h</w:instrText>
        </w:r>
        <w:r>
          <w:fldChar w:fldCharType="end"/>
        </w:r>
      </w:hyperlink>
    </w:p>
    <w:p>
      <w:pPr>
        <w:tabs>
          <w:tab w:val="right" w:leader="dot" w:pos="9062"/>
        </w:tabs>
        <w:ind w:left="1100"/>
      </w:pPr>
      <w:hyperlink w:anchor="_Toc739" w:history="1">
        <w:r>
          <w:rPr>
            <w:rFonts w:ascii="IRNazanin" w:hAnsi="IRNazanin" w:eastAsia="IRNazanin" w:cs="IRNazanin"/>
            <w:color w:val="111111"/>
            <w:sz w:val="22"/>
            <w:szCs w:val="22"/>
            <w:b w:val="0"/>
            <w:bCs w:val="0"/>
            <w:i w:val="0"/>
            <w:iCs w:val="0"/>
          </w:rPr>
          <w:t>[کلامه فی الفوائد المکیة:]</w:t>
        </w:r>
        <w:r>
          <w:tab/>
        </w:r>
        <w:r>
          <w:fldChar w:fldCharType="begin"/>
        </w:r>
        <w:r>
          <w:instrText xml:space="preserve">PAGEREF 739 \h</w:instrText>
        </w:r>
        <w:r>
          <w:fldChar w:fldCharType="end"/>
        </w:r>
      </w:hyperlink>
    </w:p>
    <w:p>
      <w:pPr>
        <w:tabs>
          <w:tab w:val="right" w:leader="dot" w:pos="9062"/>
        </w:tabs>
        <w:ind w:left="1100"/>
      </w:pPr>
      <w:hyperlink w:anchor="_Toc740" w:history="1">
        <w:r>
          <w:rPr>
            <w:rFonts w:ascii="IRNazanin" w:hAnsi="IRNazanin" w:eastAsia="IRNazanin" w:cs="IRNazanin"/>
            <w:color w:val="111111"/>
            <w:sz w:val="22"/>
            <w:szCs w:val="22"/>
            <w:b w:val="0"/>
            <w:bCs w:val="0"/>
            <w:i w:val="0"/>
            <w:iCs w:val="0"/>
          </w:rPr>
          <w:t>[الوجه ] الثانی: [الشکّ فی البقاء قد یکون مع تساوی الطرفین و قد یکون مع رجحان البقاء أو الارتفاع]</w:t>
        </w:r>
        <w:r>
          <w:tab/>
        </w:r>
        <w:r>
          <w:fldChar w:fldCharType="begin"/>
        </w:r>
        <w:r>
          <w:instrText xml:space="preserve">PAGEREF 740 \h</w:instrText>
        </w:r>
        <w:r>
          <w:fldChar w:fldCharType="end"/>
        </w:r>
      </w:hyperlink>
    </w:p>
    <w:p>
      <w:pPr>
        <w:tabs>
          <w:tab w:val="right" w:leader="dot" w:pos="9062"/>
        </w:tabs>
        <w:ind w:left="1100"/>
      </w:pPr>
      <w:hyperlink w:anchor="_Toc741" w:history="1">
        <w:r>
          <w:rPr>
            <w:rFonts w:ascii="IRNazanin" w:hAnsi="IRNazanin" w:eastAsia="IRNazanin" w:cs="IRNazanin"/>
            <w:color w:val="111111"/>
            <w:sz w:val="22"/>
            <w:szCs w:val="22"/>
            <w:b w:val="0"/>
            <w:bCs w:val="0"/>
            <w:i w:val="0"/>
            <w:iCs w:val="0"/>
          </w:rPr>
          <w:t>[محلّ الخلاف فی هذه الصور:]</w:t>
        </w:r>
        <w:r>
          <w:tab/>
        </w:r>
        <w:r>
          <w:fldChar w:fldCharType="begin"/>
        </w:r>
        <w:r>
          <w:instrText xml:space="preserve">PAGEREF 741 \h</w:instrText>
        </w:r>
        <w:r>
          <w:fldChar w:fldCharType="end"/>
        </w:r>
      </w:hyperlink>
    </w:p>
    <w:p>
      <w:pPr>
        <w:tabs>
          <w:tab w:val="right" w:leader="dot" w:pos="9062"/>
        </w:tabs>
        <w:ind w:left="1100"/>
      </w:pPr>
      <w:hyperlink w:anchor="_Toc742" w:history="1">
        <w:r>
          <w:rPr>
            <w:rFonts w:ascii="IRNazanin" w:hAnsi="IRNazanin" w:eastAsia="IRNazanin" w:cs="IRNazanin"/>
            <w:color w:val="111111"/>
            <w:sz w:val="22"/>
            <w:szCs w:val="22"/>
            <w:b w:val="0"/>
            <w:bCs w:val="0"/>
            <w:i w:val="0"/>
            <w:iCs w:val="0"/>
          </w:rPr>
          <w:t>الثالث: [الشکّ إمّا فی المقتضی و إمّا فی الرافع]</w:t>
        </w:r>
        <w:r>
          <w:tab/>
        </w:r>
        <w:r>
          <w:fldChar w:fldCharType="begin"/>
        </w:r>
        <w:r>
          <w:instrText xml:space="preserve">PAGEREF 742 \h</w:instrText>
        </w:r>
        <w:r>
          <w:fldChar w:fldCharType="end"/>
        </w:r>
      </w:hyperlink>
    </w:p>
    <w:p>
      <w:pPr>
        <w:tabs>
          <w:tab w:val="right" w:leader="dot" w:pos="9062"/>
        </w:tabs>
        <w:ind w:left="1100"/>
      </w:pPr>
      <w:hyperlink w:anchor="_Toc743" w:history="1">
        <w:r>
          <w:rPr>
            <w:rFonts w:ascii="IRNazanin" w:hAnsi="IRNazanin" w:eastAsia="IRNazanin" w:cs="IRNazanin"/>
            <w:color w:val="111111"/>
            <w:sz w:val="22"/>
            <w:szCs w:val="22"/>
            <w:b w:val="0"/>
            <w:bCs w:val="0"/>
            <w:i w:val="0"/>
            <w:iCs w:val="0"/>
          </w:rPr>
          <w:t>[أقسام الشکّ من جهة الرافع:]</w:t>
        </w:r>
        <w:r>
          <w:tab/>
        </w:r>
        <w:r>
          <w:fldChar w:fldCharType="begin"/>
        </w:r>
        <w:r>
          <w:instrText xml:space="preserve">PAGEREF 743 \h</w:instrText>
        </w:r>
        <w:r>
          <w:fldChar w:fldCharType="end"/>
        </w:r>
      </w:hyperlink>
    </w:p>
    <w:p>
      <w:pPr>
        <w:tabs>
          <w:tab w:val="right" w:leader="dot" w:pos="9062"/>
        </w:tabs>
        <w:ind w:left="1100"/>
      </w:pPr>
      <w:hyperlink w:anchor="_Toc744" w:history="1">
        <w:r>
          <w:rPr>
            <w:rFonts w:ascii="IRNazanin" w:hAnsi="IRNazanin" w:eastAsia="IRNazanin" w:cs="IRNazanin"/>
            <w:color w:val="111111"/>
            <w:sz w:val="22"/>
            <w:szCs w:val="22"/>
            <w:b w:val="0"/>
            <w:bCs w:val="0"/>
            <w:i w:val="0"/>
            <w:iCs w:val="0"/>
          </w:rPr>
          <w:t>[محل الخلاف من هذه الأقسام:]</w:t>
        </w:r>
        <w:r>
          <w:tab/>
        </w:r>
        <w:r>
          <w:fldChar w:fldCharType="begin"/>
        </w:r>
        <w:r>
          <w:instrText xml:space="preserve">PAGEREF 744 \h</w:instrText>
        </w:r>
        <w:r>
          <w:fldChar w:fldCharType="end"/>
        </w:r>
      </w:hyperlink>
    </w:p>
    <w:p>
      <w:pPr>
        <w:tabs>
          <w:tab w:val="right" w:leader="dot" w:pos="9062"/>
        </w:tabs>
        <w:ind w:left="880"/>
      </w:pPr>
      <w:hyperlink w:anchor="_Toc745" w:history="1">
        <w:r>
          <w:rPr>
            <w:rFonts w:ascii="IRNazanin" w:hAnsi="IRNazanin" w:eastAsia="IRNazanin" w:cs="IRNazanin"/>
            <w:color w:val="111111"/>
            <w:sz w:val="22"/>
            <w:szCs w:val="22"/>
            <w:b w:val="0"/>
            <w:bCs w:val="0"/>
            <w:i w:val="0"/>
            <w:iCs w:val="0"/>
          </w:rPr>
          <w:t>[الأقوال فی حجّیة الاستصحاب]</w:t>
        </w:r>
        <w:r>
          <w:tab/>
        </w:r>
        <w:r>
          <w:fldChar w:fldCharType="begin"/>
        </w:r>
        <w:r>
          <w:instrText xml:space="preserve">PAGEREF 745 \h</w:instrText>
        </w:r>
        <w:r>
          <w:fldChar w:fldCharType="end"/>
        </w:r>
      </w:hyperlink>
    </w:p>
    <w:p>
      <w:pPr>
        <w:tabs>
          <w:tab w:val="right" w:leader="dot" w:pos="9062"/>
        </w:tabs>
        <w:ind w:left="1100"/>
      </w:pPr>
      <w:hyperlink w:anchor="_Toc7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746 \h</w:instrText>
        </w:r>
        <w:r>
          <w:fldChar w:fldCharType="end"/>
        </w:r>
      </w:hyperlink>
    </w:p>
    <w:p>
      <w:pPr>
        <w:tabs>
          <w:tab w:val="right" w:leader="dot" w:pos="9062"/>
        </w:tabs>
        <w:ind w:left="1100"/>
      </w:pPr>
      <w:hyperlink w:anchor="_Toc747" w:history="1">
        <w:r>
          <w:rPr>
            <w:rFonts w:ascii="IRNazanin" w:hAnsi="IRNazanin" w:eastAsia="IRNazanin" w:cs="IRNazanin"/>
            <w:color w:val="111111"/>
            <w:sz w:val="22"/>
            <w:szCs w:val="22"/>
            <w:b w:val="0"/>
            <w:bCs w:val="0"/>
            <w:i w:val="0"/>
            <w:iCs w:val="0"/>
          </w:rPr>
          <w:t>الأوّل:القول بالحجّیة مطلقا.</w:t>
        </w:r>
        <w:r>
          <w:tab/>
        </w:r>
        <w:r>
          <w:fldChar w:fldCharType="begin"/>
        </w:r>
        <w:r>
          <w:instrText xml:space="preserve">PAGEREF 747 \h</w:instrText>
        </w:r>
        <w:r>
          <w:fldChar w:fldCharType="end"/>
        </w:r>
      </w:hyperlink>
    </w:p>
    <w:p>
      <w:pPr>
        <w:tabs>
          <w:tab w:val="right" w:leader="dot" w:pos="9062"/>
        </w:tabs>
        <w:ind w:left="1100"/>
      </w:pPr>
      <w:hyperlink w:anchor="_Toc748" w:history="1">
        <w:r>
          <w:rPr>
            <w:rFonts w:ascii="IRNazanin" w:hAnsi="IRNazanin" w:eastAsia="IRNazanin" w:cs="IRNazanin"/>
            <w:color w:val="111111"/>
            <w:sz w:val="22"/>
            <w:szCs w:val="22"/>
            <w:b w:val="0"/>
            <w:bCs w:val="0"/>
            <w:i w:val="0"/>
            <w:iCs w:val="0"/>
          </w:rPr>
          <w:t>الثانی:عدمها مطلقا.</w:t>
        </w:r>
        <w:r>
          <w:tab/>
        </w:r>
        <w:r>
          <w:fldChar w:fldCharType="begin"/>
        </w:r>
        <w:r>
          <w:instrText xml:space="preserve">PAGEREF 748 \h</w:instrText>
        </w:r>
        <w:r>
          <w:fldChar w:fldCharType="end"/>
        </w:r>
      </w:hyperlink>
    </w:p>
    <w:p>
      <w:pPr>
        <w:tabs>
          <w:tab w:val="right" w:leader="dot" w:pos="9062"/>
        </w:tabs>
        <w:ind w:left="1100"/>
      </w:pPr>
      <w:hyperlink w:anchor="_Toc749" w:history="1">
        <w:r>
          <w:rPr>
            <w:rFonts w:ascii="IRNazanin" w:hAnsi="IRNazanin" w:eastAsia="IRNazanin" w:cs="IRNazanin"/>
            <w:color w:val="111111"/>
            <w:sz w:val="22"/>
            <w:szCs w:val="22"/>
            <w:b w:val="0"/>
            <w:bCs w:val="0"/>
            <w:i w:val="0"/>
            <w:iCs w:val="0"/>
          </w:rPr>
          <w:t>الثالث:التفصیل بین العدمیّ و الوجودیّ.</w:t>
        </w:r>
        <w:r>
          <w:tab/>
        </w:r>
        <w:r>
          <w:fldChar w:fldCharType="begin"/>
        </w:r>
        <w:r>
          <w:instrText xml:space="preserve">PAGEREF 749 \h</w:instrText>
        </w:r>
        <w:r>
          <w:fldChar w:fldCharType="end"/>
        </w:r>
      </w:hyperlink>
    </w:p>
    <w:p>
      <w:pPr>
        <w:tabs>
          <w:tab w:val="right" w:leader="dot" w:pos="9062"/>
        </w:tabs>
        <w:ind w:left="1100"/>
      </w:pPr>
      <w:hyperlink w:anchor="_Toc750" w:history="1">
        <w:r>
          <w:rPr>
            <w:rFonts w:ascii="IRNazanin" w:hAnsi="IRNazanin" w:eastAsia="IRNazanin" w:cs="IRNazanin"/>
            <w:color w:val="111111"/>
            <w:sz w:val="22"/>
            <w:szCs w:val="22"/>
            <w:b w:val="0"/>
            <w:bCs w:val="0"/>
            <w:i w:val="0"/>
            <w:iCs w:val="0"/>
          </w:rPr>
          <w:t>الرابع:التفصیل بین الامور الخارجیّة و بین الحکم الشرعیّ مطلقا،</w:t>
        </w:r>
        <w:r>
          <w:tab/>
        </w:r>
        <w:r>
          <w:fldChar w:fldCharType="begin"/>
        </w:r>
        <w:r>
          <w:instrText xml:space="preserve">PAGEREF 750 \h</w:instrText>
        </w:r>
        <w:r>
          <w:fldChar w:fldCharType="end"/>
        </w:r>
      </w:hyperlink>
    </w:p>
    <w:p>
      <w:pPr>
        <w:tabs>
          <w:tab w:val="right" w:leader="dot" w:pos="9062"/>
        </w:tabs>
        <w:ind w:left="1100"/>
      </w:pPr>
      <w:hyperlink w:anchor="_Toc751" w:history="1">
        <w:r>
          <w:rPr>
            <w:rFonts w:ascii="IRNazanin" w:hAnsi="IRNazanin" w:eastAsia="IRNazanin" w:cs="IRNazanin"/>
            <w:color w:val="111111"/>
            <w:sz w:val="22"/>
            <w:szCs w:val="22"/>
            <w:b w:val="0"/>
            <w:bCs w:val="0"/>
            <w:i w:val="0"/>
            <w:iCs w:val="0"/>
          </w:rPr>
          <w:t>الخامس:التفصیل بین الحکم الشرعیّ الکلّی و غیره</w:t>
        </w:r>
        <w:r>
          <w:tab/>
        </w:r>
        <w:r>
          <w:fldChar w:fldCharType="begin"/>
        </w:r>
        <w:r>
          <w:instrText xml:space="preserve">PAGEREF 751 \h</w:instrText>
        </w:r>
        <w:r>
          <w:fldChar w:fldCharType="end"/>
        </w:r>
      </w:hyperlink>
    </w:p>
    <w:p>
      <w:pPr>
        <w:tabs>
          <w:tab w:val="right" w:leader="dot" w:pos="9062"/>
        </w:tabs>
        <w:ind w:left="1100"/>
      </w:pPr>
      <w:hyperlink w:anchor="_Toc752" w:history="1">
        <w:r>
          <w:rPr>
            <w:rFonts w:ascii="IRNazanin" w:hAnsi="IRNazanin" w:eastAsia="IRNazanin" w:cs="IRNazanin"/>
            <w:color w:val="111111"/>
            <w:sz w:val="22"/>
            <w:szCs w:val="22"/>
            <w:b w:val="0"/>
            <w:bCs w:val="0"/>
            <w:i w:val="0"/>
            <w:iCs w:val="0"/>
          </w:rPr>
          <w:t>السادس:التفصیل بین الحکم الجزئی و غیره</w:t>
        </w:r>
        <w:r>
          <w:tab/>
        </w:r>
        <w:r>
          <w:fldChar w:fldCharType="begin"/>
        </w:r>
        <w:r>
          <w:instrText xml:space="preserve">PAGEREF 752 \h</w:instrText>
        </w:r>
        <w:r>
          <w:fldChar w:fldCharType="end"/>
        </w:r>
      </w:hyperlink>
    </w:p>
    <w:p>
      <w:pPr>
        <w:tabs>
          <w:tab w:val="right" w:leader="dot" w:pos="9062"/>
        </w:tabs>
        <w:ind w:left="1100"/>
      </w:pPr>
      <w:hyperlink w:anchor="_Toc753" w:history="1">
        <w:r>
          <w:rPr>
            <w:rFonts w:ascii="IRNazanin" w:hAnsi="IRNazanin" w:eastAsia="IRNazanin" w:cs="IRNazanin"/>
            <w:color w:val="111111"/>
            <w:sz w:val="22"/>
            <w:szCs w:val="22"/>
            <w:b w:val="0"/>
            <w:bCs w:val="0"/>
            <w:i w:val="0"/>
            <w:iCs w:val="0"/>
          </w:rPr>
          <w:t>السابع:التفصیل بین الأحکام الوضعیّة</w:t>
        </w:r>
        <w:r>
          <w:tab/>
        </w:r>
        <w:r>
          <w:fldChar w:fldCharType="begin"/>
        </w:r>
        <w:r>
          <w:instrText xml:space="preserve">PAGEREF 753 \h</w:instrText>
        </w:r>
        <w:r>
          <w:fldChar w:fldCharType="end"/>
        </w:r>
      </w:hyperlink>
    </w:p>
    <w:p>
      <w:pPr>
        <w:tabs>
          <w:tab w:val="right" w:leader="dot" w:pos="9062"/>
        </w:tabs>
        <w:ind w:left="1100"/>
      </w:pPr>
      <w:hyperlink w:anchor="_Toc754" w:history="1">
        <w:r>
          <w:rPr>
            <w:rFonts w:ascii="IRNazanin" w:hAnsi="IRNazanin" w:eastAsia="IRNazanin" w:cs="IRNazanin"/>
            <w:color w:val="111111"/>
            <w:sz w:val="22"/>
            <w:szCs w:val="22"/>
            <w:b w:val="0"/>
            <w:bCs w:val="0"/>
            <w:i w:val="0"/>
            <w:iCs w:val="0"/>
          </w:rPr>
          <w:t>الثامن:التفصیل بین ما ثبت بالإجماع و غیره</w:t>
        </w:r>
        <w:r>
          <w:tab/>
        </w:r>
        <w:r>
          <w:fldChar w:fldCharType="begin"/>
        </w:r>
        <w:r>
          <w:instrText xml:space="preserve">PAGEREF 754 \h</w:instrText>
        </w:r>
        <w:r>
          <w:fldChar w:fldCharType="end"/>
        </w:r>
      </w:hyperlink>
    </w:p>
    <w:p>
      <w:pPr>
        <w:tabs>
          <w:tab w:val="right" w:leader="dot" w:pos="9062"/>
        </w:tabs>
        <w:ind w:left="1100"/>
      </w:pPr>
      <w:hyperlink w:anchor="_Toc755" w:history="1">
        <w:r>
          <w:rPr>
            <w:rFonts w:ascii="IRNazanin" w:hAnsi="IRNazanin" w:eastAsia="IRNazanin" w:cs="IRNazanin"/>
            <w:color w:val="111111"/>
            <w:sz w:val="22"/>
            <w:szCs w:val="22"/>
            <w:b w:val="0"/>
            <w:bCs w:val="0"/>
            <w:i w:val="0"/>
            <w:iCs w:val="0"/>
          </w:rPr>
          <w:t>التاسع:التفصیل بین کون المستصحب ممّا ثبت بدلیله أو من الخارج</w:t>
        </w:r>
        <w:r>
          <w:tab/>
        </w:r>
        <w:r>
          <w:fldChar w:fldCharType="begin"/>
        </w:r>
        <w:r>
          <w:instrText xml:space="preserve">PAGEREF 755 \h</w:instrText>
        </w:r>
        <w:r>
          <w:fldChar w:fldCharType="end"/>
        </w:r>
      </w:hyperlink>
    </w:p>
    <w:p>
      <w:pPr>
        <w:tabs>
          <w:tab w:val="right" w:leader="dot" w:pos="9062"/>
        </w:tabs>
        <w:ind w:left="1100"/>
      </w:pPr>
      <w:hyperlink w:anchor="_Toc756" w:history="1">
        <w:r>
          <w:rPr>
            <w:rFonts w:ascii="IRNazanin" w:hAnsi="IRNazanin" w:eastAsia="IRNazanin" w:cs="IRNazanin"/>
            <w:color w:val="111111"/>
            <w:sz w:val="22"/>
            <w:szCs w:val="22"/>
            <w:b w:val="0"/>
            <w:bCs w:val="0"/>
            <w:i w:val="0"/>
            <w:iCs w:val="0"/>
          </w:rPr>
          <w:t>العاشر:هذا التفصیل مع اختصاص الشکّ بوجود الغایة</w:t>
        </w:r>
        <w:r>
          <w:tab/>
        </w:r>
        <w:r>
          <w:fldChar w:fldCharType="begin"/>
        </w:r>
        <w:r>
          <w:instrText xml:space="preserve">PAGEREF 756 \h</w:instrText>
        </w:r>
        <w:r>
          <w:fldChar w:fldCharType="end"/>
        </w:r>
      </w:hyperlink>
    </w:p>
    <w:p>
      <w:pPr>
        <w:tabs>
          <w:tab w:val="right" w:leader="dot" w:pos="9062"/>
        </w:tabs>
        <w:ind w:left="1100"/>
      </w:pPr>
      <w:hyperlink w:anchor="_Toc757" w:history="1">
        <w:r>
          <w:rPr>
            <w:rFonts w:ascii="IRNazanin" w:hAnsi="IRNazanin" w:eastAsia="IRNazanin" w:cs="IRNazanin"/>
            <w:color w:val="111111"/>
            <w:sz w:val="22"/>
            <w:szCs w:val="22"/>
            <w:b w:val="0"/>
            <w:bCs w:val="0"/>
            <w:i w:val="0"/>
            <w:iCs w:val="0"/>
          </w:rPr>
          <w:t>الحادی عشر:زیادة الشکّ فی مصداق الغایة من جهة الاشتباه</w:t>
        </w:r>
        <w:r>
          <w:tab/>
        </w:r>
        <w:r>
          <w:fldChar w:fldCharType="begin"/>
        </w:r>
        <w:r>
          <w:instrText xml:space="preserve">PAGEREF 757 \h</w:instrText>
        </w:r>
        <w:r>
          <w:fldChar w:fldCharType="end"/>
        </w:r>
      </w:hyperlink>
    </w:p>
    <w:p>
      <w:pPr>
        <w:tabs>
          <w:tab w:val="right" w:leader="dot" w:pos="9062"/>
        </w:tabs>
        <w:ind w:left="880"/>
      </w:pPr>
      <w:hyperlink w:anchor="_Toc758" w:history="1">
        <w:r>
          <w:rPr>
            <w:rFonts w:ascii="IRNazanin" w:hAnsi="IRNazanin" w:eastAsia="IRNazanin" w:cs="IRNazanin"/>
            <w:color w:val="111111"/>
            <w:sz w:val="22"/>
            <w:szCs w:val="22"/>
            <w:b w:val="0"/>
            <w:bCs w:val="0"/>
            <w:i w:val="0"/>
            <w:iCs w:val="0"/>
          </w:rPr>
          <w:t>[أقوی الأقوال فی الاستصحاب]</w:t>
        </w:r>
        <w:r>
          <w:tab/>
        </w:r>
        <w:r>
          <w:fldChar w:fldCharType="begin"/>
        </w:r>
        <w:r>
          <w:instrText xml:space="preserve">PAGEREF 758 \h</w:instrText>
        </w:r>
        <w:r>
          <w:fldChar w:fldCharType="end"/>
        </w:r>
      </w:hyperlink>
    </w:p>
    <w:p>
      <w:pPr>
        <w:tabs>
          <w:tab w:val="right" w:leader="dot" w:pos="9062"/>
        </w:tabs>
        <w:ind w:left="880"/>
      </w:pPr>
      <w:hyperlink w:anchor="_Toc759" w:history="1">
        <w:r>
          <w:rPr>
            <w:rFonts w:ascii="IRNazanin" w:hAnsi="IRNazanin" w:eastAsia="IRNazanin" w:cs="IRNazanin"/>
            <w:color w:val="111111"/>
            <w:sz w:val="22"/>
            <w:szCs w:val="22"/>
            <w:b w:val="0"/>
            <w:bCs w:val="0"/>
            <w:i w:val="0"/>
            <w:iCs w:val="0"/>
          </w:rPr>
          <w:t>[کلام المحقق فی المعارج:]</w:t>
        </w:r>
        <w:r>
          <w:tab/>
        </w:r>
        <w:r>
          <w:fldChar w:fldCharType="begin"/>
        </w:r>
        <w:r>
          <w:instrText xml:space="preserve">PAGEREF 759 \h</w:instrText>
        </w:r>
        <w:r>
          <w:fldChar w:fldCharType="end"/>
        </w:r>
      </w:hyperlink>
    </w:p>
    <w:p>
      <w:pPr>
        <w:tabs>
          <w:tab w:val="right" w:leader="dot" w:pos="9062"/>
        </w:tabs>
        <w:ind w:left="880"/>
      </w:pPr>
      <w:hyperlink w:anchor="_Toc760" w:history="1">
        <w:r>
          <w:rPr>
            <w:rFonts w:ascii="IRNazanin" w:hAnsi="IRNazanin" w:eastAsia="IRNazanin" w:cs="IRNazanin"/>
            <w:color w:val="111111"/>
            <w:sz w:val="22"/>
            <w:szCs w:val="22"/>
            <w:b w:val="0"/>
            <w:bCs w:val="0"/>
            <w:i w:val="0"/>
            <w:iCs w:val="0"/>
          </w:rPr>
          <w:t>[الاستدلال علی القول المختار]</w:t>
        </w:r>
        <w:r>
          <w:tab/>
        </w:r>
        <w:r>
          <w:fldChar w:fldCharType="begin"/>
        </w:r>
        <w:r>
          <w:instrText xml:space="preserve">PAGEREF 760 \h</w:instrText>
        </w:r>
        <w:r>
          <w:fldChar w:fldCharType="end"/>
        </w:r>
      </w:hyperlink>
    </w:p>
    <w:p>
      <w:pPr>
        <w:tabs>
          <w:tab w:val="right" w:leader="dot" w:pos="9062"/>
        </w:tabs>
        <w:ind w:left="1100"/>
      </w:pPr>
      <w:hyperlink w:anchor="_Toc7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761 \h</w:instrText>
        </w:r>
        <w:r>
          <w:fldChar w:fldCharType="end"/>
        </w:r>
      </w:hyperlink>
    </w:p>
    <w:p>
      <w:pPr>
        <w:tabs>
          <w:tab w:val="right" w:leader="dot" w:pos="9062"/>
        </w:tabs>
        <w:ind w:left="1100"/>
      </w:pPr>
      <w:hyperlink w:anchor="_Toc762" w:history="1">
        <w:r>
          <w:rPr>
            <w:rFonts w:ascii="IRNazanin" w:hAnsi="IRNazanin" w:eastAsia="IRNazanin" w:cs="IRNazanin"/>
            <w:color w:val="111111"/>
            <w:sz w:val="22"/>
            <w:szCs w:val="22"/>
            <w:b w:val="0"/>
            <w:bCs w:val="0"/>
            <w:i w:val="0"/>
            <w:iCs w:val="0"/>
          </w:rPr>
          <w:t>[الوجه ] الأوّل:ظهور کلمات جماعة فی الاتّفاق علیه.</w:t>
        </w:r>
        <w:r>
          <w:tab/>
        </w:r>
        <w:r>
          <w:fldChar w:fldCharType="begin"/>
        </w:r>
        <w:r>
          <w:instrText xml:space="preserve">PAGEREF 762 \h</w:instrText>
        </w:r>
        <w:r>
          <w:fldChar w:fldCharType="end"/>
        </w:r>
      </w:hyperlink>
    </w:p>
    <w:p>
      <w:pPr>
        <w:tabs>
          <w:tab w:val="right" w:leader="dot" w:pos="9062"/>
        </w:tabs>
        <w:ind w:left="1100"/>
      </w:pPr>
      <w:hyperlink w:anchor="_Toc763" w:history="1">
        <w:r>
          <w:rPr>
            <w:rFonts w:ascii="IRNazanin" w:hAnsi="IRNazanin" w:eastAsia="IRNazanin" w:cs="IRNazanin"/>
            <w:color w:val="111111"/>
            <w:sz w:val="22"/>
            <w:szCs w:val="22"/>
            <w:b w:val="0"/>
            <w:bCs w:val="0"/>
            <w:i w:val="0"/>
            <w:iCs w:val="0"/>
          </w:rPr>
          <w:t>[الوجه ] الثانی: [الاستقراء:]</w:t>
        </w:r>
        <w:r>
          <w:tab/>
        </w:r>
        <w:r>
          <w:fldChar w:fldCharType="begin"/>
        </w:r>
        <w:r>
          <w:instrText xml:space="preserve">PAGEREF 763 \h</w:instrText>
        </w:r>
        <w:r>
          <w:fldChar w:fldCharType="end"/>
        </w:r>
      </w:hyperlink>
    </w:p>
    <w:p>
      <w:pPr>
        <w:tabs>
          <w:tab w:val="right" w:leader="dot" w:pos="9062"/>
        </w:tabs>
        <w:ind w:left="1100"/>
      </w:pPr>
      <w:hyperlink w:anchor="_Toc764" w:history="1">
        <w:r>
          <w:rPr>
            <w:rFonts w:ascii="IRNazanin" w:hAnsi="IRNazanin" w:eastAsia="IRNazanin" w:cs="IRNazanin"/>
            <w:color w:val="111111"/>
            <w:sz w:val="22"/>
            <w:szCs w:val="22"/>
            <w:b w:val="0"/>
            <w:bCs w:val="0"/>
            <w:i w:val="0"/>
            <w:iCs w:val="0"/>
          </w:rPr>
          <w:t>[الوجه ] الثالث:الأخبار المستفیضة</w:t>
        </w:r>
        <w:r>
          <w:tab/>
        </w:r>
        <w:r>
          <w:fldChar w:fldCharType="begin"/>
        </w:r>
        <w:r>
          <w:instrText xml:space="preserve">PAGEREF 764 \h</w:instrText>
        </w:r>
        <w:r>
          <w:fldChar w:fldCharType="end"/>
        </w:r>
      </w:hyperlink>
    </w:p>
    <w:p>
      <w:pPr>
        <w:tabs>
          <w:tab w:val="right" w:leader="dot" w:pos="9062"/>
        </w:tabs>
        <w:ind w:left="1100"/>
      </w:pPr>
      <w:hyperlink w:anchor="_Toc765" w:history="1">
        <w:r>
          <w:rPr>
            <w:rFonts w:ascii="IRNazanin" w:hAnsi="IRNazanin" w:eastAsia="IRNazanin" w:cs="IRNazanin"/>
            <w:color w:val="111111"/>
            <w:sz w:val="22"/>
            <w:szCs w:val="22"/>
            <w:b w:val="0"/>
            <w:bCs w:val="0"/>
            <w:i w:val="0"/>
            <w:iCs w:val="0"/>
          </w:rPr>
          <w:t>[1-صحیحة زرارة الاولی:]</w:t>
        </w:r>
        <w:r>
          <w:tab/>
        </w:r>
        <w:r>
          <w:fldChar w:fldCharType="begin"/>
        </w:r>
        <w:r>
          <w:instrText xml:space="preserve">PAGEREF 765 \h</w:instrText>
        </w:r>
        <w:r>
          <w:fldChar w:fldCharType="end"/>
        </w:r>
      </w:hyperlink>
    </w:p>
    <w:p>
      <w:pPr>
        <w:tabs>
          <w:tab w:val="right" w:leader="dot" w:pos="9062"/>
        </w:tabs>
        <w:ind w:left="1100"/>
      </w:pPr>
      <w:hyperlink w:anchor="_Toc7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766 \h</w:instrText>
        </w:r>
        <w:r>
          <w:fldChar w:fldCharType="end"/>
        </w:r>
      </w:hyperlink>
    </w:p>
    <w:p>
      <w:pPr>
        <w:tabs>
          <w:tab w:val="right" w:leader="dot" w:pos="9062"/>
        </w:tabs>
        <w:ind w:left="1100"/>
      </w:pPr>
      <w:hyperlink w:anchor="_Toc767" w:history="1">
        <w:r>
          <w:rPr>
            <w:rFonts w:ascii="IRNazanin" w:hAnsi="IRNazanin" w:eastAsia="IRNazanin" w:cs="IRNazanin"/>
            <w:color w:val="111111"/>
            <w:sz w:val="22"/>
            <w:szCs w:val="22"/>
            <w:b w:val="0"/>
            <w:bCs w:val="0"/>
            <w:i w:val="0"/>
            <w:iCs w:val="0"/>
          </w:rPr>
          <w:t>تقریر الاستدلال</w:t>
        </w:r>
        <w:r>
          <w:tab/>
        </w:r>
        <w:r>
          <w:fldChar w:fldCharType="begin"/>
        </w:r>
        <w:r>
          <w:instrText xml:space="preserve">PAGEREF 767 \h</w:instrText>
        </w:r>
        <w:r>
          <w:fldChar w:fldCharType="end"/>
        </w:r>
      </w:hyperlink>
    </w:p>
    <w:p>
      <w:pPr>
        <w:tabs>
          <w:tab w:val="right" w:leader="dot" w:pos="9062"/>
        </w:tabs>
        <w:ind w:left="1100"/>
      </w:pPr>
      <w:hyperlink w:anchor="_Toc768" w:history="1">
        <w:r>
          <w:rPr>
            <w:rFonts w:ascii="IRNazanin" w:hAnsi="IRNazanin" w:eastAsia="IRNazanin" w:cs="IRNazanin"/>
            <w:color w:val="111111"/>
            <w:sz w:val="22"/>
            <w:szCs w:val="22"/>
            <w:b w:val="0"/>
            <w:bCs w:val="0"/>
            <w:i w:val="0"/>
            <w:iCs w:val="0"/>
          </w:rPr>
          <w:t>[معنی الروایة:]</w:t>
        </w:r>
        <w:r>
          <w:tab/>
        </w:r>
        <w:r>
          <w:fldChar w:fldCharType="begin"/>
        </w:r>
        <w:r>
          <w:instrText xml:space="preserve">PAGEREF 768 \h</w:instrText>
        </w:r>
        <w:r>
          <w:fldChar w:fldCharType="end"/>
        </w:r>
      </w:hyperlink>
    </w:p>
    <w:p>
      <w:pPr>
        <w:tabs>
          <w:tab w:val="right" w:leader="dot" w:pos="9062"/>
        </w:tabs>
        <w:ind w:left="1100"/>
      </w:pPr>
      <w:hyperlink w:anchor="_Toc769" w:history="1">
        <w:r>
          <w:rPr>
            <w:rFonts w:ascii="IRNazanin" w:hAnsi="IRNazanin" w:eastAsia="IRNazanin" w:cs="IRNazanin"/>
            <w:color w:val="111111"/>
            <w:sz w:val="22"/>
            <w:szCs w:val="22"/>
            <w:b w:val="0"/>
            <w:bCs w:val="0"/>
            <w:i w:val="0"/>
            <w:iCs w:val="0"/>
          </w:rPr>
          <w:t>[کون اللام فی«الیقین»للجنس:]</w:t>
        </w:r>
        <w:r>
          <w:tab/>
        </w:r>
        <w:r>
          <w:fldChar w:fldCharType="begin"/>
        </w:r>
        <w:r>
          <w:instrText xml:space="preserve">PAGEREF 769 \h</w:instrText>
        </w:r>
        <w:r>
          <w:fldChar w:fldCharType="end"/>
        </w:r>
      </w:hyperlink>
    </w:p>
    <w:p>
      <w:pPr>
        <w:tabs>
          <w:tab w:val="right" w:leader="dot" w:pos="9062"/>
        </w:tabs>
        <w:ind w:left="1100"/>
      </w:pPr>
      <w:hyperlink w:anchor="_Toc770" w:history="1">
        <w:r>
          <w:rPr>
            <w:rFonts w:ascii="IRNazanin" w:hAnsi="IRNazanin" w:eastAsia="IRNazanin" w:cs="IRNazanin"/>
            <w:color w:val="111111"/>
            <w:sz w:val="22"/>
            <w:szCs w:val="22"/>
            <w:b w:val="0"/>
            <w:bCs w:val="0"/>
            <w:i w:val="0"/>
            <w:iCs w:val="0"/>
          </w:rPr>
          <w:t>[2-صحیحة زرارة الثانیة:]</w:t>
        </w:r>
        <w:r>
          <w:tab/>
        </w:r>
        <w:r>
          <w:fldChar w:fldCharType="begin"/>
        </w:r>
        <w:r>
          <w:instrText xml:space="preserve">PAGEREF 770 \h</w:instrText>
        </w:r>
        <w:r>
          <w:fldChar w:fldCharType="end"/>
        </w:r>
      </w:hyperlink>
    </w:p>
    <w:p>
      <w:pPr>
        <w:tabs>
          <w:tab w:val="right" w:leader="dot" w:pos="9062"/>
        </w:tabs>
        <w:ind w:left="1100"/>
      </w:pPr>
      <w:hyperlink w:anchor="_Toc7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771 \h</w:instrText>
        </w:r>
        <w:r>
          <w:fldChar w:fldCharType="end"/>
        </w:r>
      </w:hyperlink>
    </w:p>
    <w:p>
      <w:pPr>
        <w:tabs>
          <w:tab w:val="right" w:leader="dot" w:pos="9062"/>
        </w:tabs>
        <w:ind w:left="1100"/>
      </w:pPr>
      <w:hyperlink w:anchor="_Toc772" w:history="1">
        <w:r>
          <w:rPr>
            <w:rFonts w:ascii="IRNazanin" w:hAnsi="IRNazanin" w:eastAsia="IRNazanin" w:cs="IRNazanin"/>
            <w:color w:val="111111"/>
            <w:sz w:val="22"/>
            <w:szCs w:val="22"/>
            <w:b w:val="0"/>
            <w:bCs w:val="0"/>
            <w:i w:val="0"/>
            <w:iCs w:val="0"/>
          </w:rPr>
          <w:t>[فقه الحدیث و مورد الاستدلال:]</w:t>
        </w:r>
        <w:r>
          <w:tab/>
        </w:r>
        <w:r>
          <w:fldChar w:fldCharType="begin"/>
        </w:r>
        <w:r>
          <w:instrText xml:space="preserve">PAGEREF 772 \h</w:instrText>
        </w:r>
        <w:r>
          <w:fldChar w:fldCharType="end"/>
        </w:r>
      </w:hyperlink>
    </w:p>
    <w:p>
      <w:pPr>
        <w:tabs>
          <w:tab w:val="right" w:leader="dot" w:pos="9062"/>
        </w:tabs>
        <w:ind w:left="1100"/>
      </w:pPr>
      <w:hyperlink w:anchor="_Toc773" w:history="1">
        <w:r>
          <w:rPr>
            <w:rFonts w:ascii="IRNazanin" w:hAnsi="IRNazanin" w:eastAsia="IRNazanin" w:cs="IRNazanin"/>
            <w:color w:val="111111"/>
            <w:sz w:val="22"/>
            <w:szCs w:val="22"/>
            <w:b w:val="0"/>
            <w:bCs w:val="0"/>
            <w:i w:val="0"/>
            <w:iCs w:val="0"/>
          </w:rPr>
          <w:t>[3-صحیحة زرارة الثالثة:]</w:t>
        </w:r>
        <w:r>
          <w:tab/>
        </w:r>
        <w:r>
          <w:fldChar w:fldCharType="begin"/>
        </w:r>
        <w:r>
          <w:instrText xml:space="preserve">PAGEREF 773 \h</w:instrText>
        </w:r>
        <w:r>
          <w:fldChar w:fldCharType="end"/>
        </w:r>
      </w:hyperlink>
    </w:p>
    <w:p>
      <w:pPr>
        <w:tabs>
          <w:tab w:val="right" w:leader="dot" w:pos="9062"/>
        </w:tabs>
        <w:ind w:left="1100"/>
      </w:pPr>
      <w:hyperlink w:anchor="_Toc7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774 \h</w:instrText>
        </w:r>
        <w:r>
          <w:fldChar w:fldCharType="end"/>
        </w:r>
      </w:hyperlink>
    </w:p>
    <w:p>
      <w:pPr>
        <w:tabs>
          <w:tab w:val="right" w:leader="dot" w:pos="9062"/>
        </w:tabs>
        <w:ind w:left="1100"/>
      </w:pPr>
      <w:hyperlink w:anchor="_Toc775" w:history="1">
        <w:r>
          <w:rPr>
            <w:rFonts w:ascii="IRNazanin" w:hAnsi="IRNazanin" w:eastAsia="IRNazanin" w:cs="IRNazanin"/>
            <w:color w:val="111111"/>
            <w:sz w:val="22"/>
            <w:szCs w:val="22"/>
            <w:b w:val="0"/>
            <w:bCs w:val="0"/>
            <w:i w:val="0"/>
            <w:iCs w:val="0"/>
          </w:rPr>
          <w:t>[التأمّل فی الاستدلال بهذه الصحیحة:]</w:t>
        </w:r>
        <w:r>
          <w:tab/>
        </w:r>
        <w:r>
          <w:fldChar w:fldCharType="begin"/>
        </w:r>
        <w:r>
          <w:instrText xml:space="preserve">PAGEREF 775 \h</w:instrText>
        </w:r>
        <w:r>
          <w:fldChar w:fldCharType="end"/>
        </w:r>
      </w:hyperlink>
    </w:p>
    <w:p>
      <w:pPr>
        <w:tabs>
          <w:tab w:val="right" w:leader="dot" w:pos="9062"/>
        </w:tabs>
        <w:ind w:left="1100"/>
      </w:pPr>
      <w:hyperlink w:anchor="_Toc776" w:history="1">
        <w:r>
          <w:rPr>
            <w:rFonts w:ascii="IRNazanin" w:hAnsi="IRNazanin" w:eastAsia="IRNazanin" w:cs="IRNazanin"/>
            <w:color w:val="111111"/>
            <w:sz w:val="22"/>
            <w:szCs w:val="22"/>
            <w:b w:val="0"/>
            <w:bCs w:val="0"/>
            <w:i w:val="0"/>
            <w:iCs w:val="0"/>
          </w:rPr>
          <w:t>[المراد من«الیقین»فی هذه الصحیحة:]</w:t>
        </w:r>
        <w:r>
          <w:tab/>
        </w:r>
        <w:r>
          <w:fldChar w:fldCharType="begin"/>
        </w:r>
        <w:r>
          <w:instrText xml:space="preserve">PAGEREF 776 \h</w:instrText>
        </w:r>
        <w:r>
          <w:fldChar w:fldCharType="end"/>
        </w:r>
      </w:hyperlink>
    </w:p>
    <w:p>
      <w:pPr>
        <w:tabs>
          <w:tab w:val="right" w:leader="dot" w:pos="9062"/>
        </w:tabs>
        <w:ind w:left="1100"/>
      </w:pPr>
      <w:hyperlink w:anchor="_Toc777" w:history="1">
        <w:r>
          <w:rPr>
            <w:rFonts w:ascii="IRNazanin" w:hAnsi="IRNazanin" w:eastAsia="IRNazanin" w:cs="IRNazanin"/>
            <w:color w:val="111111"/>
            <w:sz w:val="22"/>
            <w:szCs w:val="22"/>
            <w:b w:val="0"/>
            <w:bCs w:val="0"/>
            <w:i w:val="0"/>
            <w:iCs w:val="0"/>
          </w:rPr>
          <w:t>[المراد من«البناء علی الیقین»فی الأخبار:]</w:t>
        </w:r>
        <w:r>
          <w:tab/>
        </w:r>
        <w:r>
          <w:fldChar w:fldCharType="begin"/>
        </w:r>
        <w:r>
          <w:instrText xml:space="preserve">PAGEREF 777 \h</w:instrText>
        </w:r>
        <w:r>
          <w:fldChar w:fldCharType="end"/>
        </w:r>
      </w:hyperlink>
    </w:p>
    <w:p>
      <w:pPr>
        <w:tabs>
          <w:tab w:val="right" w:leader="dot" w:pos="9062"/>
        </w:tabs>
        <w:ind w:left="1100"/>
      </w:pPr>
      <w:hyperlink w:anchor="_Toc778" w:history="1">
        <w:r>
          <w:rPr>
            <w:rFonts w:ascii="IRNazanin" w:hAnsi="IRNazanin" w:eastAsia="IRNazanin" w:cs="IRNazanin"/>
            <w:color w:val="111111"/>
            <w:sz w:val="22"/>
            <w:szCs w:val="22"/>
            <w:b w:val="0"/>
            <w:bCs w:val="0"/>
            <w:i w:val="0"/>
            <w:iCs w:val="0"/>
          </w:rPr>
          <w:t>[4-الاستدلال بموثّقة إسحاق بن عمّار و الإشکال فیه:]</w:t>
        </w:r>
        <w:r>
          <w:tab/>
        </w:r>
        <w:r>
          <w:fldChar w:fldCharType="begin"/>
        </w:r>
        <w:r>
          <w:instrText xml:space="preserve">PAGEREF 778 \h</w:instrText>
        </w:r>
        <w:r>
          <w:fldChar w:fldCharType="end"/>
        </w:r>
      </w:hyperlink>
    </w:p>
    <w:p>
      <w:pPr>
        <w:tabs>
          <w:tab w:val="right" w:leader="dot" w:pos="9062"/>
        </w:tabs>
        <w:ind w:left="1100"/>
      </w:pPr>
      <w:hyperlink w:anchor="_Toc779" w:history="1">
        <w:r>
          <w:rPr>
            <w:rFonts w:ascii="IRNazanin" w:hAnsi="IRNazanin" w:eastAsia="IRNazanin" w:cs="IRNazanin"/>
            <w:color w:val="111111"/>
            <w:sz w:val="22"/>
            <w:szCs w:val="22"/>
            <w:b w:val="0"/>
            <w:bCs w:val="0"/>
            <w:i w:val="0"/>
            <w:iCs w:val="0"/>
          </w:rPr>
          <w:t>[5-الاستدلال بروایة الخصال و روایة اخری:]</w:t>
        </w:r>
        <w:r>
          <w:tab/>
        </w:r>
        <w:r>
          <w:fldChar w:fldCharType="begin"/>
        </w:r>
        <w:r>
          <w:instrText xml:space="preserve">PAGEREF 779 \h</w:instrText>
        </w:r>
        <w:r>
          <w:fldChar w:fldCharType="end"/>
        </w:r>
      </w:hyperlink>
    </w:p>
    <w:p>
      <w:pPr>
        <w:tabs>
          <w:tab w:val="right" w:leader="dot" w:pos="9062"/>
        </w:tabs>
        <w:ind w:left="1100"/>
      </w:pPr>
      <w:hyperlink w:anchor="_Toc7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780 \h</w:instrText>
        </w:r>
        <w:r>
          <w:fldChar w:fldCharType="end"/>
        </w:r>
      </w:hyperlink>
    </w:p>
    <w:p>
      <w:pPr>
        <w:tabs>
          <w:tab w:val="right" w:leader="dot" w:pos="9062"/>
        </w:tabs>
        <w:ind w:left="1100"/>
      </w:pPr>
      <w:hyperlink w:anchor="_Toc781" w:history="1">
        <w:r>
          <w:rPr>
            <w:rFonts w:ascii="IRNazanin" w:hAnsi="IRNazanin" w:eastAsia="IRNazanin" w:cs="IRNazanin"/>
            <w:color w:val="111111"/>
            <w:sz w:val="22"/>
            <w:szCs w:val="22"/>
            <w:b w:val="0"/>
            <w:bCs w:val="0"/>
            <w:i w:val="0"/>
            <w:iCs w:val="0"/>
          </w:rPr>
          <w:t>[المناقشة فی الاستدلال بهاتین الروایتین:]</w:t>
        </w:r>
        <w:r>
          <w:tab/>
        </w:r>
        <w:r>
          <w:fldChar w:fldCharType="begin"/>
        </w:r>
        <w:r>
          <w:instrText xml:space="preserve">PAGEREF 781 \h</w:instrText>
        </w:r>
        <w:r>
          <w:fldChar w:fldCharType="end"/>
        </w:r>
      </w:hyperlink>
    </w:p>
    <w:p>
      <w:pPr>
        <w:tabs>
          <w:tab w:val="right" w:leader="dot" w:pos="9062"/>
        </w:tabs>
        <w:ind w:left="1100"/>
      </w:pPr>
      <w:hyperlink w:anchor="_Toc782" w:history="1">
        <w:r>
          <w:rPr>
            <w:rFonts w:ascii="IRNazanin" w:hAnsi="IRNazanin" w:eastAsia="IRNazanin" w:cs="IRNazanin"/>
            <w:color w:val="111111"/>
            <w:sz w:val="22"/>
            <w:szCs w:val="22"/>
            <w:b w:val="0"/>
            <w:bCs w:val="0"/>
            <w:i w:val="0"/>
            <w:iCs w:val="0"/>
          </w:rPr>
          <w:t>[إمکان دفع المناقشة المذکورة:]</w:t>
        </w:r>
        <w:r>
          <w:tab/>
        </w:r>
        <w:r>
          <w:fldChar w:fldCharType="begin"/>
        </w:r>
        <w:r>
          <w:instrText xml:space="preserve">PAGEREF 782 \h</w:instrText>
        </w:r>
        <w:r>
          <w:fldChar w:fldCharType="end"/>
        </w:r>
      </w:hyperlink>
    </w:p>
    <w:p>
      <w:pPr>
        <w:tabs>
          <w:tab w:val="right" w:leader="dot" w:pos="9062"/>
        </w:tabs>
        <w:ind w:left="1100"/>
      </w:pPr>
      <w:hyperlink w:anchor="_Toc783" w:history="1">
        <w:r>
          <w:rPr>
            <w:rFonts w:ascii="IRNazanin" w:hAnsi="IRNazanin" w:eastAsia="IRNazanin" w:cs="IRNazanin"/>
            <w:color w:val="111111"/>
            <w:sz w:val="22"/>
            <w:szCs w:val="22"/>
            <w:b w:val="0"/>
            <w:bCs w:val="0"/>
            <w:i w:val="0"/>
            <w:iCs w:val="0"/>
          </w:rPr>
          <w:t>[6-مکاتبة علی بن محمّد القاسانی:]</w:t>
        </w:r>
        <w:r>
          <w:tab/>
        </w:r>
        <w:r>
          <w:fldChar w:fldCharType="begin"/>
        </w:r>
        <w:r>
          <w:instrText xml:space="preserve">PAGEREF 783 \h</w:instrText>
        </w:r>
        <w:r>
          <w:fldChar w:fldCharType="end"/>
        </w:r>
      </w:hyperlink>
    </w:p>
    <w:p>
      <w:pPr>
        <w:tabs>
          <w:tab w:val="right" w:leader="dot" w:pos="9062"/>
        </w:tabs>
        <w:ind w:left="1100"/>
      </w:pPr>
      <w:hyperlink w:anchor="_Toc7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784 \h</w:instrText>
        </w:r>
        <w:r>
          <w:fldChar w:fldCharType="end"/>
        </w:r>
      </w:hyperlink>
    </w:p>
    <w:p>
      <w:pPr>
        <w:tabs>
          <w:tab w:val="right" w:leader="dot" w:pos="9062"/>
        </w:tabs>
        <w:ind w:left="1100"/>
      </w:pPr>
      <w:hyperlink w:anchor="_Toc785" w:history="1">
        <w:r>
          <w:rPr>
            <w:rFonts w:ascii="IRNazanin" w:hAnsi="IRNazanin" w:eastAsia="IRNazanin" w:cs="IRNazanin"/>
            <w:color w:val="111111"/>
            <w:sz w:val="22"/>
            <w:szCs w:val="22"/>
            <w:b w:val="0"/>
            <w:bCs w:val="0"/>
            <w:i w:val="0"/>
            <w:iCs w:val="0"/>
          </w:rPr>
          <w:t>[تقریب الاستدلال:]</w:t>
        </w:r>
        <w:r>
          <w:tab/>
        </w:r>
        <w:r>
          <w:fldChar w:fldCharType="begin"/>
        </w:r>
        <w:r>
          <w:instrText xml:space="preserve">PAGEREF 785 \h</w:instrText>
        </w:r>
        <w:r>
          <w:fldChar w:fldCharType="end"/>
        </w:r>
      </w:hyperlink>
    </w:p>
    <w:p>
      <w:pPr>
        <w:tabs>
          <w:tab w:val="right" w:leader="dot" w:pos="9062"/>
        </w:tabs>
        <w:ind w:left="1100"/>
      </w:pPr>
      <w:hyperlink w:anchor="_Toc786" w:history="1">
        <w:r>
          <w:rPr>
            <w:rFonts w:ascii="IRNazanin" w:hAnsi="IRNazanin" w:eastAsia="IRNazanin" w:cs="IRNazanin"/>
            <w:color w:val="111111"/>
            <w:sz w:val="22"/>
            <w:szCs w:val="22"/>
            <w:b w:val="0"/>
            <w:bCs w:val="0"/>
            <w:i w:val="0"/>
            <w:iCs w:val="0"/>
          </w:rPr>
          <w:t>[تأیید المختار بالأخبار الخاصّة:]</w:t>
        </w:r>
        <w:r>
          <w:tab/>
        </w:r>
        <w:r>
          <w:fldChar w:fldCharType="begin"/>
        </w:r>
        <w:r>
          <w:instrText xml:space="preserve">PAGEREF 786 \h</w:instrText>
        </w:r>
        <w:r>
          <w:fldChar w:fldCharType="end"/>
        </w:r>
      </w:hyperlink>
    </w:p>
    <w:p>
      <w:pPr>
        <w:tabs>
          <w:tab w:val="right" w:leader="dot" w:pos="9062"/>
        </w:tabs>
        <w:ind w:left="1100"/>
      </w:pPr>
      <w:hyperlink w:anchor="_Toc78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787 \h</w:instrText>
        </w:r>
        <w:r>
          <w:fldChar w:fldCharType="end"/>
        </w:r>
      </w:hyperlink>
    </w:p>
    <w:p>
      <w:pPr>
        <w:tabs>
          <w:tab w:val="right" w:leader="dot" w:pos="9062"/>
        </w:tabs>
        <w:ind w:left="1100"/>
      </w:pPr>
      <w:hyperlink w:anchor="_Toc788" w:history="1">
        <w:r>
          <w:rPr>
            <w:rFonts w:ascii="IRNazanin" w:hAnsi="IRNazanin" w:eastAsia="IRNazanin" w:cs="IRNazanin"/>
            <w:color w:val="111111"/>
            <w:sz w:val="22"/>
            <w:szCs w:val="22"/>
            <w:b w:val="0"/>
            <w:bCs w:val="0"/>
            <w:i w:val="0"/>
            <w:iCs w:val="0"/>
          </w:rPr>
          <w:t>[1-روایة عبد اللّه بن سنان:]</w:t>
        </w:r>
        <w:r>
          <w:tab/>
        </w:r>
        <w:r>
          <w:fldChar w:fldCharType="begin"/>
        </w:r>
        <w:r>
          <w:instrText xml:space="preserve">PAGEREF 788 \h</w:instrText>
        </w:r>
        <w:r>
          <w:fldChar w:fldCharType="end"/>
        </w:r>
      </w:hyperlink>
    </w:p>
    <w:p>
      <w:pPr>
        <w:tabs>
          <w:tab w:val="right" w:leader="dot" w:pos="9062"/>
        </w:tabs>
        <w:ind w:left="1100"/>
      </w:pPr>
      <w:hyperlink w:anchor="_Toc789" w:history="1">
        <w:r>
          <w:rPr>
            <w:rFonts w:ascii="IRNazanin" w:hAnsi="IRNazanin" w:eastAsia="IRNazanin" w:cs="IRNazanin"/>
            <w:color w:val="111111"/>
            <w:sz w:val="22"/>
            <w:szCs w:val="22"/>
            <w:b w:val="0"/>
            <w:bCs w:val="0"/>
            <w:i w:val="0"/>
            <w:iCs w:val="0"/>
          </w:rPr>
          <w:t>اشارة</w:t>
        </w:r>
        <w:r>
          <w:tab/>
        </w:r>
        <w:r>
          <w:fldChar w:fldCharType="begin"/>
        </w:r>
        <w:r>
          <w:instrText xml:space="preserve">PAGEREF 789 \h</w:instrText>
        </w:r>
        <w:r>
          <w:fldChar w:fldCharType="end"/>
        </w:r>
      </w:hyperlink>
    </w:p>
    <w:p>
      <w:pPr>
        <w:tabs>
          <w:tab w:val="right" w:leader="dot" w:pos="9062"/>
        </w:tabs>
        <w:ind w:left="1100"/>
      </w:pPr>
      <w:hyperlink w:anchor="_Toc790" w:history="1">
        <w:r>
          <w:rPr>
            <w:rFonts w:ascii="IRNazanin" w:hAnsi="IRNazanin" w:eastAsia="IRNazanin" w:cs="IRNazanin"/>
            <w:color w:val="111111"/>
            <w:sz w:val="22"/>
            <w:szCs w:val="22"/>
            <w:b w:val="0"/>
            <w:bCs w:val="0"/>
            <w:i w:val="0"/>
            <w:iCs w:val="0"/>
          </w:rPr>
          <w:t>[تقریب الاستدلال:]</w:t>
        </w:r>
        <w:r>
          <w:tab/>
        </w:r>
        <w:r>
          <w:fldChar w:fldCharType="begin"/>
        </w:r>
        <w:r>
          <w:instrText xml:space="preserve">PAGEREF 790 \h</w:instrText>
        </w:r>
        <w:r>
          <w:fldChar w:fldCharType="end"/>
        </w:r>
      </w:hyperlink>
    </w:p>
    <w:p>
      <w:pPr>
        <w:tabs>
          <w:tab w:val="right" w:leader="dot" w:pos="9062"/>
        </w:tabs>
        <w:ind w:left="1100"/>
      </w:pPr>
      <w:hyperlink w:anchor="_Toc791" w:history="1">
        <w:r>
          <w:rPr>
            <w:rFonts w:ascii="IRNazanin" w:hAnsi="IRNazanin" w:eastAsia="IRNazanin" w:cs="IRNazanin"/>
            <w:color w:val="111111"/>
            <w:sz w:val="22"/>
            <w:szCs w:val="22"/>
            <w:b w:val="0"/>
            <w:bCs w:val="0"/>
            <w:i w:val="0"/>
            <w:iCs w:val="0"/>
          </w:rPr>
          <w:t>[2-موثّقة عمّار:]</w:t>
        </w:r>
        <w:r>
          <w:tab/>
        </w:r>
        <w:r>
          <w:fldChar w:fldCharType="begin"/>
        </w:r>
        <w:r>
          <w:instrText xml:space="preserve">PAGEREF 791 \h</w:instrText>
        </w:r>
        <w:r>
          <w:fldChar w:fldCharType="end"/>
        </w:r>
      </w:hyperlink>
    </w:p>
    <w:p>
      <w:pPr>
        <w:tabs>
          <w:tab w:val="right" w:leader="dot" w:pos="9062"/>
        </w:tabs>
        <w:ind w:left="1100"/>
      </w:pPr>
      <w:hyperlink w:anchor="_Toc7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792 \h</w:instrText>
        </w:r>
        <w:r>
          <w:fldChar w:fldCharType="end"/>
        </w:r>
      </w:hyperlink>
    </w:p>
    <w:p>
      <w:pPr>
        <w:tabs>
          <w:tab w:val="right" w:leader="dot" w:pos="9062"/>
        </w:tabs>
        <w:ind w:left="1100"/>
      </w:pPr>
      <w:hyperlink w:anchor="_Toc793" w:history="1">
        <w:r>
          <w:rPr>
            <w:rFonts w:ascii="IRNazanin" w:hAnsi="IRNazanin" w:eastAsia="IRNazanin" w:cs="IRNazanin"/>
            <w:color w:val="111111"/>
            <w:sz w:val="22"/>
            <w:szCs w:val="22"/>
            <w:b w:val="0"/>
            <w:bCs w:val="0"/>
            <w:i w:val="0"/>
            <w:iCs w:val="0"/>
          </w:rPr>
          <w:t>[معنی الموثّقة إمّا الاستصحاب أو قاعدة الطهارة:]</w:t>
        </w:r>
        <w:r>
          <w:tab/>
        </w:r>
        <w:r>
          <w:fldChar w:fldCharType="begin"/>
        </w:r>
        <w:r>
          <w:instrText xml:space="preserve">PAGEREF 793 \h</w:instrText>
        </w:r>
        <w:r>
          <w:fldChar w:fldCharType="end"/>
        </w:r>
      </w:hyperlink>
    </w:p>
    <w:p>
      <w:pPr>
        <w:tabs>
          <w:tab w:val="right" w:leader="dot" w:pos="9062"/>
        </w:tabs>
        <w:ind w:left="1100"/>
      </w:pPr>
      <w:hyperlink w:anchor="_Toc794" w:history="1">
        <w:r>
          <w:rPr>
            <w:rFonts w:ascii="IRNazanin" w:hAnsi="IRNazanin" w:eastAsia="IRNazanin" w:cs="IRNazanin"/>
            <w:color w:val="111111"/>
            <w:sz w:val="22"/>
            <w:szCs w:val="22"/>
            <w:b w:val="0"/>
            <w:bCs w:val="0"/>
            <w:i w:val="0"/>
            <w:iCs w:val="0"/>
          </w:rPr>
          <w:t>[عدم إمکان إرادة القاعدة و الاستصحاب معا من الموثّقة:]</w:t>
        </w:r>
        <w:r>
          <w:tab/>
        </w:r>
        <w:r>
          <w:fldChar w:fldCharType="begin"/>
        </w:r>
        <w:r>
          <w:instrText xml:space="preserve">PAGEREF 794 \h</w:instrText>
        </w:r>
        <w:r>
          <w:fldChar w:fldCharType="end"/>
        </w:r>
      </w:hyperlink>
    </w:p>
    <w:p>
      <w:pPr>
        <w:tabs>
          <w:tab w:val="right" w:leader="dot" w:pos="9062"/>
        </w:tabs>
        <w:ind w:left="1100"/>
      </w:pPr>
      <w:hyperlink w:anchor="_Toc795" w:history="1">
        <w:r>
          <w:rPr>
            <w:rFonts w:ascii="IRNazanin" w:hAnsi="IRNazanin" w:eastAsia="IRNazanin" w:cs="IRNazanin"/>
            <w:color w:val="111111"/>
            <w:sz w:val="22"/>
            <w:szCs w:val="22"/>
            <w:b w:val="0"/>
            <w:bCs w:val="0"/>
            <w:i w:val="0"/>
            <w:iCs w:val="0"/>
          </w:rPr>
          <w:t>[کلام صاحب الفصول فی جواز إرادة کلیهما منها:]</w:t>
        </w:r>
        <w:r>
          <w:tab/>
        </w:r>
        <w:r>
          <w:fldChar w:fldCharType="begin"/>
        </w:r>
        <w:r>
          <w:instrText xml:space="preserve">PAGEREF 795 \h</w:instrText>
        </w:r>
        <w:r>
          <w:fldChar w:fldCharType="end"/>
        </w:r>
      </w:hyperlink>
    </w:p>
    <w:p>
      <w:pPr>
        <w:tabs>
          <w:tab w:val="right" w:leader="dot" w:pos="9062"/>
        </w:tabs>
        <w:ind w:left="1100"/>
      </w:pPr>
      <w:hyperlink w:anchor="_Toc796" w:history="1">
        <w:r>
          <w:rPr>
            <w:rFonts w:ascii="IRNazanin" w:hAnsi="IRNazanin" w:eastAsia="IRNazanin" w:cs="IRNazanin"/>
            <w:color w:val="111111"/>
            <w:sz w:val="22"/>
            <w:szCs w:val="22"/>
            <w:b w:val="0"/>
            <w:bCs w:val="0"/>
            <w:i w:val="0"/>
            <w:iCs w:val="0"/>
          </w:rPr>
          <w:t>[المناقشة فیما أفاده صاحب الفصول:]</w:t>
        </w:r>
        <w:r>
          <w:tab/>
        </w:r>
        <w:r>
          <w:fldChar w:fldCharType="begin"/>
        </w:r>
        <w:r>
          <w:instrText xml:space="preserve">PAGEREF 796 \h</w:instrText>
        </w:r>
        <w:r>
          <w:fldChar w:fldCharType="end"/>
        </w:r>
      </w:hyperlink>
    </w:p>
    <w:p>
      <w:pPr>
        <w:tabs>
          <w:tab w:val="right" w:leader="dot" w:pos="9062"/>
        </w:tabs>
        <w:ind w:left="1100"/>
      </w:pPr>
      <w:hyperlink w:anchor="_Toc797" w:history="1">
        <w:r>
          <w:rPr>
            <w:rFonts w:ascii="IRNazanin" w:hAnsi="IRNazanin" w:eastAsia="IRNazanin" w:cs="IRNazanin"/>
            <w:color w:val="111111"/>
            <w:sz w:val="22"/>
            <w:szCs w:val="22"/>
            <w:b w:val="0"/>
            <w:bCs w:val="0"/>
            <w:i w:val="0"/>
            <w:iCs w:val="0"/>
          </w:rPr>
          <w:t>[الظاهر إرادة القاعدة:]</w:t>
        </w:r>
        <w:r>
          <w:tab/>
        </w:r>
        <w:r>
          <w:fldChar w:fldCharType="begin"/>
        </w:r>
        <w:r>
          <w:instrText xml:space="preserve">PAGEREF 797 \h</w:instrText>
        </w:r>
        <w:r>
          <w:fldChar w:fldCharType="end"/>
        </w:r>
      </w:hyperlink>
    </w:p>
    <w:p>
      <w:pPr>
        <w:tabs>
          <w:tab w:val="right" w:leader="dot" w:pos="9062"/>
        </w:tabs>
        <w:ind w:left="1100"/>
      </w:pPr>
      <w:hyperlink w:anchor="_Toc798" w:history="1">
        <w:r>
          <w:rPr>
            <w:rFonts w:ascii="IRNazanin" w:hAnsi="IRNazanin" w:eastAsia="IRNazanin" w:cs="IRNazanin"/>
            <w:color w:val="111111"/>
            <w:sz w:val="22"/>
            <w:szCs w:val="22"/>
            <w:b w:val="0"/>
            <w:bCs w:val="0"/>
            <w:i w:val="0"/>
            <w:iCs w:val="0"/>
          </w:rPr>
          <w:t>[3-الروایة الثالثة:]</w:t>
        </w:r>
        <w:r>
          <w:tab/>
        </w:r>
        <w:r>
          <w:fldChar w:fldCharType="begin"/>
        </w:r>
        <w:r>
          <w:instrText xml:space="preserve">PAGEREF 798 \h</w:instrText>
        </w:r>
        <w:r>
          <w:fldChar w:fldCharType="end"/>
        </w:r>
      </w:hyperlink>
    </w:p>
    <w:p>
      <w:pPr>
        <w:tabs>
          <w:tab w:val="right" w:leader="dot" w:pos="9062"/>
        </w:tabs>
        <w:ind w:left="1100"/>
      </w:pPr>
      <w:hyperlink w:anchor="_Toc799" w:history="1">
        <w:r>
          <w:rPr>
            <w:rFonts w:ascii="IRNazanin" w:hAnsi="IRNazanin" w:eastAsia="IRNazanin" w:cs="IRNazanin"/>
            <w:color w:val="111111"/>
            <w:sz w:val="22"/>
            <w:szCs w:val="22"/>
            <w:b w:val="0"/>
            <w:bCs w:val="0"/>
            <w:i w:val="0"/>
            <w:iCs w:val="0"/>
          </w:rPr>
          <w:t>[4-الروایة الرابعة:]</w:t>
        </w:r>
        <w:r>
          <w:tab/>
        </w:r>
        <w:r>
          <w:fldChar w:fldCharType="begin"/>
        </w:r>
        <w:r>
          <w:instrText xml:space="preserve">PAGEREF 799 \h</w:instrText>
        </w:r>
        <w:r>
          <w:fldChar w:fldCharType="end"/>
        </w:r>
      </w:hyperlink>
    </w:p>
    <w:p>
      <w:pPr>
        <w:tabs>
          <w:tab w:val="right" w:leader="dot" w:pos="9062"/>
        </w:tabs>
        <w:ind w:left="1100"/>
      </w:pPr>
      <w:hyperlink w:anchor="_Toc800" w:history="1">
        <w:r>
          <w:rPr>
            <w:rFonts w:ascii="IRNazanin" w:hAnsi="IRNazanin" w:eastAsia="IRNazanin" w:cs="IRNazanin"/>
            <w:color w:val="111111"/>
            <w:sz w:val="22"/>
            <w:szCs w:val="22"/>
            <w:b w:val="0"/>
            <w:bCs w:val="0"/>
            <w:i w:val="0"/>
            <w:iCs w:val="0"/>
          </w:rPr>
          <w:t>[اختصاص الأخبار بالشکّ فی الرافع]</w:t>
        </w:r>
        <w:r>
          <w:tab/>
        </w:r>
        <w:r>
          <w:fldChar w:fldCharType="begin"/>
        </w:r>
        <w:r>
          <w:instrText xml:space="preserve">PAGEREF 800 \h</w:instrText>
        </w:r>
        <w:r>
          <w:fldChar w:fldCharType="end"/>
        </w:r>
      </w:hyperlink>
    </w:p>
    <w:p>
      <w:pPr>
        <w:tabs>
          <w:tab w:val="right" w:leader="dot" w:pos="9062"/>
        </w:tabs>
        <w:ind w:left="1100"/>
      </w:pPr>
      <w:hyperlink w:anchor="_Toc801" w:history="1">
        <w:r>
          <w:rPr>
            <w:rFonts w:ascii="IRNazanin" w:hAnsi="IRNazanin" w:eastAsia="IRNazanin" w:cs="IRNazanin"/>
            <w:color w:val="111111"/>
            <w:sz w:val="22"/>
            <w:szCs w:val="22"/>
            <w:b w:val="0"/>
            <w:bCs w:val="0"/>
            <w:i w:val="0"/>
            <w:iCs w:val="0"/>
          </w:rPr>
          <w:t>اشارة</w:t>
        </w:r>
        <w:r>
          <w:tab/>
        </w:r>
        <w:r>
          <w:fldChar w:fldCharType="begin"/>
        </w:r>
        <w:r>
          <w:instrText xml:space="preserve">PAGEREF 801 \h</w:instrText>
        </w:r>
        <w:r>
          <w:fldChar w:fldCharType="end"/>
        </w:r>
      </w:hyperlink>
    </w:p>
    <w:p>
      <w:pPr>
        <w:tabs>
          <w:tab w:val="right" w:leader="dot" w:pos="9062"/>
        </w:tabs>
        <w:ind w:left="1100"/>
      </w:pPr>
      <w:hyperlink w:anchor="_Toc802" w:history="1">
        <w:r>
          <w:rPr>
            <w:rFonts w:ascii="IRNazanin" w:hAnsi="IRNazanin" w:eastAsia="IRNazanin" w:cs="IRNazanin"/>
            <w:color w:val="111111"/>
            <w:sz w:val="22"/>
            <w:szCs w:val="22"/>
            <w:b w:val="0"/>
            <w:bCs w:val="0"/>
            <w:i w:val="0"/>
            <w:iCs w:val="0"/>
          </w:rPr>
          <w:t>[تأمّل المحقّق الخوانساری فی الاستدلال بالأخبار علی الحجّیة مطلقا:]</w:t>
        </w:r>
        <w:r>
          <w:tab/>
        </w:r>
        <w:r>
          <w:fldChar w:fldCharType="begin"/>
        </w:r>
        <w:r>
          <w:instrText xml:space="preserve">PAGEREF 802 \h</w:instrText>
        </w:r>
        <w:r>
          <w:fldChar w:fldCharType="end"/>
        </w:r>
      </w:hyperlink>
    </w:p>
    <w:p>
      <w:pPr>
        <w:tabs>
          <w:tab w:val="right" w:leader="dot" w:pos="9062"/>
        </w:tabs>
        <w:ind w:left="1100"/>
      </w:pPr>
      <w:hyperlink w:anchor="_Toc803" w:history="1">
        <w:r>
          <w:rPr>
            <w:rFonts w:ascii="IRNazanin" w:hAnsi="IRNazanin" w:eastAsia="IRNazanin" w:cs="IRNazanin"/>
            <w:color w:val="111111"/>
            <w:sz w:val="22"/>
            <w:szCs w:val="22"/>
            <w:b w:val="0"/>
            <w:bCs w:val="0"/>
            <w:i w:val="0"/>
            <w:iCs w:val="0"/>
          </w:rPr>
          <w:t>[المراد من«نقض الیقین»:]</w:t>
        </w:r>
        <w:r>
          <w:tab/>
        </w:r>
        <w:r>
          <w:fldChar w:fldCharType="begin"/>
        </w:r>
        <w:r>
          <w:instrText xml:space="preserve">PAGEREF 803 \h</w:instrText>
        </w:r>
        <w:r>
          <w:fldChar w:fldCharType="end"/>
        </w:r>
      </w:hyperlink>
    </w:p>
    <w:p>
      <w:pPr>
        <w:tabs>
          <w:tab w:val="right" w:leader="dot" w:pos="9062"/>
        </w:tabs>
        <w:ind w:left="880"/>
      </w:pPr>
      <w:hyperlink w:anchor="_Toc804" w:history="1">
        <w:r>
          <w:rPr>
            <w:rFonts w:ascii="IRNazanin" w:hAnsi="IRNazanin" w:eastAsia="IRNazanin" w:cs="IRNazanin"/>
            <w:color w:val="111111"/>
            <w:sz w:val="22"/>
            <w:szCs w:val="22"/>
            <w:b w:val="0"/>
            <w:bCs w:val="0"/>
            <w:i w:val="0"/>
            <w:iCs w:val="0"/>
          </w:rPr>
          <w:t>[حجة القول الأوّل]: [الاستدلال علی الحجیة مطلقا:]</w:t>
        </w:r>
        <w:r>
          <w:tab/>
        </w:r>
        <w:r>
          <w:fldChar w:fldCharType="begin"/>
        </w:r>
        <w:r>
          <w:instrText xml:space="preserve">PAGEREF 804 \h</w:instrText>
        </w:r>
        <w:r>
          <w:fldChar w:fldCharType="end"/>
        </w:r>
      </w:hyperlink>
    </w:p>
    <w:p>
      <w:pPr>
        <w:tabs>
          <w:tab w:val="right" w:leader="dot" w:pos="9062"/>
        </w:tabs>
        <w:ind w:left="1100"/>
      </w:pPr>
      <w:hyperlink w:anchor="_Toc805" w:history="1">
        <w:r>
          <w:rPr>
            <w:rFonts w:ascii="IRNazanin" w:hAnsi="IRNazanin" w:eastAsia="IRNazanin" w:cs="IRNazanin"/>
            <w:color w:val="111111"/>
            <w:sz w:val="22"/>
            <w:szCs w:val="22"/>
            <w:b w:val="0"/>
            <w:bCs w:val="0"/>
            <w:i w:val="0"/>
            <w:iCs w:val="0"/>
          </w:rPr>
          <w:t>اشارة</w:t>
        </w:r>
        <w:r>
          <w:tab/>
        </w:r>
        <w:r>
          <w:fldChar w:fldCharType="begin"/>
        </w:r>
        <w:r>
          <w:instrText xml:space="preserve">PAGEREF 805 \h</w:instrText>
        </w:r>
        <w:r>
          <w:fldChar w:fldCharType="end"/>
        </w:r>
      </w:hyperlink>
    </w:p>
    <w:p>
      <w:pPr>
        <w:tabs>
          <w:tab w:val="right" w:leader="dot" w:pos="9062"/>
        </w:tabs>
        <w:ind w:left="1100"/>
      </w:pPr>
      <w:hyperlink w:anchor="_Toc806" w:history="1">
        <w:r>
          <w:rPr>
            <w:rFonts w:ascii="IRNazanin" w:hAnsi="IRNazanin" w:eastAsia="IRNazanin" w:cs="IRNazanin"/>
            <w:color w:val="111111"/>
            <w:sz w:val="22"/>
            <w:szCs w:val="22"/>
            <w:b w:val="0"/>
            <w:bCs w:val="0"/>
            <w:i w:val="0"/>
            <w:iCs w:val="0"/>
          </w:rPr>
          <w:t>[الوجه الأوّل و المناقشة فیه:]</w:t>
        </w:r>
        <w:r>
          <w:tab/>
        </w:r>
        <w:r>
          <w:fldChar w:fldCharType="begin"/>
        </w:r>
        <w:r>
          <w:instrText xml:space="preserve">PAGEREF 806 \h</w:instrText>
        </w:r>
        <w:r>
          <w:fldChar w:fldCharType="end"/>
        </w:r>
      </w:hyperlink>
    </w:p>
    <w:p>
      <w:pPr>
        <w:tabs>
          <w:tab w:val="right" w:leader="dot" w:pos="9062"/>
        </w:tabs>
        <w:ind w:left="1100"/>
      </w:pPr>
      <w:hyperlink w:anchor="_Toc807" w:history="1">
        <w:r>
          <w:rPr>
            <w:rFonts w:ascii="IRNazanin" w:hAnsi="IRNazanin" w:eastAsia="IRNazanin" w:cs="IRNazanin"/>
            <w:color w:val="111111"/>
            <w:sz w:val="22"/>
            <w:szCs w:val="22"/>
            <w:b w:val="0"/>
            <w:bCs w:val="0"/>
            <w:i w:val="0"/>
            <w:iCs w:val="0"/>
          </w:rPr>
          <w:t>[الوجه الثانی:]</w:t>
        </w:r>
        <w:r>
          <w:tab/>
        </w:r>
        <w:r>
          <w:fldChar w:fldCharType="begin"/>
        </w:r>
        <w:r>
          <w:instrText xml:space="preserve">PAGEREF 807 \h</w:instrText>
        </w:r>
        <w:r>
          <w:fldChar w:fldCharType="end"/>
        </w:r>
      </w:hyperlink>
    </w:p>
    <w:p>
      <w:pPr>
        <w:tabs>
          <w:tab w:val="right" w:leader="dot" w:pos="9062"/>
        </w:tabs>
        <w:ind w:left="1100"/>
      </w:pPr>
      <w:hyperlink w:anchor="_Toc8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808 \h</w:instrText>
        </w:r>
        <w:r>
          <w:fldChar w:fldCharType="end"/>
        </w:r>
      </w:hyperlink>
    </w:p>
    <w:p>
      <w:pPr>
        <w:tabs>
          <w:tab w:val="right" w:leader="dot" w:pos="9062"/>
        </w:tabs>
        <w:ind w:left="1100"/>
      </w:pPr>
      <w:hyperlink w:anchor="_Toc809" w:history="1">
        <w:r>
          <w:rPr>
            <w:rFonts w:ascii="IRNazanin" w:hAnsi="IRNazanin" w:eastAsia="IRNazanin" w:cs="IRNazanin"/>
            <w:color w:val="111111"/>
            <w:sz w:val="22"/>
            <w:szCs w:val="22"/>
            <w:b w:val="0"/>
            <w:bCs w:val="0"/>
            <w:i w:val="0"/>
            <w:iCs w:val="0"/>
          </w:rPr>
          <w:t>[المناقشة فی الوجه الثانی:]</w:t>
        </w:r>
        <w:r>
          <w:tab/>
        </w:r>
        <w:r>
          <w:fldChar w:fldCharType="begin"/>
        </w:r>
        <w:r>
          <w:instrText xml:space="preserve">PAGEREF 809 \h</w:instrText>
        </w:r>
        <w:r>
          <w:fldChar w:fldCharType="end"/>
        </w:r>
      </w:hyperlink>
    </w:p>
    <w:p>
      <w:pPr>
        <w:tabs>
          <w:tab w:val="right" w:leader="dot" w:pos="9062"/>
        </w:tabs>
        <w:ind w:left="1100"/>
      </w:pPr>
      <w:hyperlink w:anchor="_Toc810" w:history="1">
        <w:r>
          <w:rPr>
            <w:rFonts w:ascii="IRNazanin" w:hAnsi="IRNazanin" w:eastAsia="IRNazanin" w:cs="IRNazanin"/>
            <w:color w:val="111111"/>
            <w:sz w:val="22"/>
            <w:szCs w:val="22"/>
            <w:b w:val="0"/>
            <w:bCs w:val="0"/>
            <w:i w:val="0"/>
            <w:iCs w:val="0"/>
          </w:rPr>
          <w:t>[الوجه الثالث:]</w:t>
        </w:r>
        <w:r>
          <w:tab/>
        </w:r>
        <w:r>
          <w:fldChar w:fldCharType="begin"/>
        </w:r>
        <w:r>
          <w:instrText xml:space="preserve">PAGEREF 810 \h</w:instrText>
        </w:r>
        <w:r>
          <w:fldChar w:fldCharType="end"/>
        </w:r>
      </w:hyperlink>
    </w:p>
    <w:p>
      <w:pPr>
        <w:tabs>
          <w:tab w:val="right" w:leader="dot" w:pos="9062"/>
        </w:tabs>
        <w:ind w:left="1100"/>
      </w:pPr>
      <w:hyperlink w:anchor="_Toc8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811 \h</w:instrText>
        </w:r>
        <w:r>
          <w:fldChar w:fldCharType="end"/>
        </w:r>
      </w:hyperlink>
    </w:p>
    <w:p>
      <w:pPr>
        <w:tabs>
          <w:tab w:val="right" w:leader="dot" w:pos="9062"/>
        </w:tabs>
        <w:ind w:left="1100"/>
      </w:pPr>
      <w:hyperlink w:anchor="_Toc812" w:history="1">
        <w:r>
          <w:rPr>
            <w:rFonts w:ascii="IRNazanin" w:hAnsi="IRNazanin" w:eastAsia="IRNazanin" w:cs="IRNazanin"/>
            <w:color w:val="111111"/>
            <w:sz w:val="22"/>
            <w:szCs w:val="22"/>
            <w:b w:val="0"/>
            <w:bCs w:val="0"/>
            <w:i w:val="0"/>
            <w:iCs w:val="0"/>
          </w:rPr>
          <w:t>[المناقشة فی الوجه الثالث:]</w:t>
        </w:r>
        <w:r>
          <w:tab/>
        </w:r>
        <w:r>
          <w:fldChar w:fldCharType="begin"/>
        </w:r>
        <w:r>
          <w:instrText xml:space="preserve">PAGEREF 812 \h</w:instrText>
        </w:r>
        <w:r>
          <w:fldChar w:fldCharType="end"/>
        </w:r>
      </w:hyperlink>
    </w:p>
    <w:p>
      <w:pPr>
        <w:tabs>
          <w:tab w:val="right" w:leader="dot" w:pos="9062"/>
        </w:tabs>
        <w:ind w:left="1100"/>
      </w:pPr>
      <w:hyperlink w:anchor="_Toc8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813 \h</w:instrText>
        </w:r>
        <w:r>
          <w:fldChar w:fldCharType="end"/>
        </w:r>
      </w:hyperlink>
    </w:p>
    <w:p>
      <w:pPr>
        <w:tabs>
          <w:tab w:val="right" w:leader="dot" w:pos="9062"/>
        </w:tabs>
        <w:ind w:left="1100"/>
      </w:pPr>
      <w:hyperlink w:anchor="_Toc814" w:history="1">
        <w:r>
          <w:rPr>
            <w:rFonts w:ascii="IRNazanin" w:hAnsi="IRNazanin" w:eastAsia="IRNazanin" w:cs="IRNazanin"/>
            <w:color w:val="111111"/>
            <w:sz w:val="22"/>
            <w:szCs w:val="22"/>
            <w:b w:val="0"/>
            <w:bCs w:val="0"/>
            <w:i w:val="0"/>
            <w:iCs w:val="0"/>
          </w:rPr>
          <w:t>[دعوی أنّ وجود الشیء سابقا یقتضی الظنّ ببقائه و الجواب عنها:]</w:t>
        </w:r>
        <w:r>
          <w:tab/>
        </w:r>
        <w:r>
          <w:fldChar w:fldCharType="begin"/>
        </w:r>
        <w:r>
          <w:instrText xml:space="preserve">PAGEREF 814 \h</w:instrText>
        </w:r>
        <w:r>
          <w:fldChar w:fldCharType="end"/>
        </w:r>
      </w:hyperlink>
    </w:p>
    <w:p>
      <w:pPr>
        <w:tabs>
          <w:tab w:val="right" w:leader="dot" w:pos="9062"/>
        </w:tabs>
        <w:ind w:left="1100"/>
      </w:pPr>
      <w:hyperlink w:anchor="_Toc815" w:history="1">
        <w:r>
          <w:rPr>
            <w:rFonts w:ascii="IRNazanin" w:hAnsi="IRNazanin" w:eastAsia="IRNazanin" w:cs="IRNazanin"/>
            <w:color w:val="111111"/>
            <w:sz w:val="22"/>
            <w:szCs w:val="22"/>
            <w:b w:val="0"/>
            <w:bCs w:val="0"/>
            <w:i w:val="0"/>
            <w:iCs w:val="0"/>
          </w:rPr>
          <w:t>[کلام السید الصدر فی المقام:]</w:t>
        </w:r>
        <w:r>
          <w:tab/>
        </w:r>
        <w:r>
          <w:fldChar w:fldCharType="begin"/>
        </w:r>
        <w:r>
          <w:instrText xml:space="preserve">PAGEREF 815 \h</w:instrText>
        </w:r>
        <w:r>
          <w:fldChar w:fldCharType="end"/>
        </w:r>
      </w:hyperlink>
    </w:p>
    <w:p>
      <w:pPr>
        <w:tabs>
          <w:tab w:val="right" w:leader="dot" w:pos="9062"/>
        </w:tabs>
        <w:ind w:left="1100"/>
      </w:pPr>
      <w:hyperlink w:anchor="_Toc816" w:history="1">
        <w:r>
          <w:rPr>
            <w:rFonts w:ascii="IRNazanin" w:hAnsi="IRNazanin" w:eastAsia="IRNazanin" w:cs="IRNazanin"/>
            <w:color w:val="111111"/>
            <w:sz w:val="22"/>
            <w:szCs w:val="22"/>
            <w:b w:val="0"/>
            <w:bCs w:val="0"/>
            <w:i w:val="0"/>
            <w:iCs w:val="0"/>
          </w:rPr>
          <w:t>[المناقشة فیما أفاده السید الصدر:]</w:t>
        </w:r>
        <w:r>
          <w:tab/>
        </w:r>
        <w:r>
          <w:fldChar w:fldCharType="begin"/>
        </w:r>
        <w:r>
          <w:instrText xml:space="preserve">PAGEREF 816 \h</w:instrText>
        </w:r>
        <w:r>
          <w:fldChar w:fldCharType="end"/>
        </w:r>
      </w:hyperlink>
    </w:p>
    <w:p>
      <w:pPr>
        <w:tabs>
          <w:tab w:val="right" w:leader="dot" w:pos="9062"/>
        </w:tabs>
        <w:ind w:left="1100"/>
      </w:pPr>
      <w:hyperlink w:anchor="_Toc817" w:history="1">
        <w:r>
          <w:rPr>
            <w:rFonts w:ascii="IRNazanin" w:hAnsi="IRNazanin" w:eastAsia="IRNazanin" w:cs="IRNazanin"/>
            <w:color w:val="111111"/>
            <w:sz w:val="22"/>
            <w:szCs w:val="22"/>
            <w:b w:val="0"/>
            <w:bCs w:val="0"/>
            <w:i w:val="0"/>
            <w:iCs w:val="0"/>
          </w:rPr>
          <w:t>[کلام صاحب القوانین فی المقام:]</w:t>
        </w:r>
        <w:r>
          <w:tab/>
        </w:r>
        <w:r>
          <w:fldChar w:fldCharType="begin"/>
        </w:r>
        <w:r>
          <w:instrText xml:space="preserve">PAGEREF 817 \h</w:instrText>
        </w:r>
        <w:r>
          <w:fldChar w:fldCharType="end"/>
        </w:r>
      </w:hyperlink>
    </w:p>
    <w:p>
      <w:pPr>
        <w:tabs>
          <w:tab w:val="right" w:leader="dot" w:pos="9062"/>
        </w:tabs>
        <w:ind w:left="1100"/>
      </w:pPr>
      <w:hyperlink w:anchor="_Toc818" w:history="1">
        <w:r>
          <w:rPr>
            <w:rFonts w:ascii="IRNazanin" w:hAnsi="IRNazanin" w:eastAsia="IRNazanin" w:cs="IRNazanin"/>
            <w:color w:val="111111"/>
            <w:sz w:val="22"/>
            <w:szCs w:val="22"/>
            <w:b w:val="0"/>
            <w:bCs w:val="0"/>
            <w:i w:val="0"/>
            <w:iCs w:val="0"/>
          </w:rPr>
          <w:t>[المناقشة فیما أفاده صاحب القوانین:]</w:t>
        </w:r>
        <w:r>
          <w:tab/>
        </w:r>
        <w:r>
          <w:fldChar w:fldCharType="begin"/>
        </w:r>
        <w:r>
          <w:instrText xml:space="preserve">PAGEREF 818 \h</w:instrText>
        </w:r>
        <w:r>
          <w:fldChar w:fldCharType="end"/>
        </w:r>
      </w:hyperlink>
    </w:p>
    <w:p>
      <w:pPr>
        <w:tabs>
          <w:tab w:val="right" w:leader="dot" w:pos="9062"/>
        </w:tabs>
        <w:ind w:left="1100"/>
      </w:pPr>
      <w:hyperlink w:anchor="_Toc819" w:history="1">
        <w:r>
          <w:rPr>
            <w:rFonts w:ascii="IRNazanin" w:hAnsi="IRNazanin" w:eastAsia="IRNazanin" w:cs="IRNazanin"/>
            <w:color w:val="111111"/>
            <w:sz w:val="22"/>
            <w:szCs w:val="22"/>
            <w:b w:val="0"/>
            <w:bCs w:val="0"/>
            <w:i w:val="0"/>
            <w:iCs w:val="0"/>
          </w:rPr>
          <w:t>[الوجه الرابع:بناء العقلاء:]</w:t>
        </w:r>
        <w:r>
          <w:tab/>
        </w:r>
        <w:r>
          <w:fldChar w:fldCharType="begin"/>
        </w:r>
        <w:r>
          <w:instrText xml:space="preserve">PAGEREF 819 \h</w:instrText>
        </w:r>
        <w:r>
          <w:fldChar w:fldCharType="end"/>
        </w:r>
      </w:hyperlink>
    </w:p>
    <w:p>
      <w:pPr>
        <w:tabs>
          <w:tab w:val="right" w:leader="dot" w:pos="9062"/>
        </w:tabs>
        <w:ind w:left="1100"/>
      </w:pPr>
      <w:hyperlink w:anchor="_Toc8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820 \h</w:instrText>
        </w:r>
        <w:r>
          <w:fldChar w:fldCharType="end"/>
        </w:r>
      </w:hyperlink>
    </w:p>
    <w:p>
      <w:pPr>
        <w:tabs>
          <w:tab w:val="right" w:leader="dot" w:pos="9062"/>
        </w:tabs>
        <w:ind w:left="1100"/>
      </w:pPr>
      <w:hyperlink w:anchor="_Toc821" w:history="1">
        <w:r>
          <w:rPr>
            <w:rFonts w:ascii="IRNazanin" w:hAnsi="IRNazanin" w:eastAsia="IRNazanin" w:cs="IRNazanin"/>
            <w:color w:val="111111"/>
            <w:sz w:val="22"/>
            <w:szCs w:val="22"/>
            <w:b w:val="0"/>
            <w:bCs w:val="0"/>
            <w:i w:val="0"/>
            <w:iCs w:val="0"/>
          </w:rPr>
          <w:t>[المناقشة فی الوجه الرابع:]</w:t>
        </w:r>
        <w:r>
          <w:tab/>
        </w:r>
        <w:r>
          <w:fldChar w:fldCharType="begin"/>
        </w:r>
        <w:r>
          <w:instrText xml:space="preserve">PAGEREF 821 \h</w:instrText>
        </w:r>
        <w:r>
          <w:fldChar w:fldCharType="end"/>
        </w:r>
      </w:hyperlink>
    </w:p>
    <w:p>
      <w:pPr>
        <w:tabs>
          <w:tab w:val="right" w:leader="dot" w:pos="9062"/>
        </w:tabs>
        <w:ind w:left="1100"/>
      </w:pPr>
      <w:hyperlink w:anchor="_Toc8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822 \h</w:instrText>
        </w:r>
        <w:r>
          <w:fldChar w:fldCharType="end"/>
        </w:r>
      </w:hyperlink>
    </w:p>
    <w:p>
      <w:pPr>
        <w:tabs>
          <w:tab w:val="right" w:leader="dot" w:pos="9062"/>
        </w:tabs>
        <w:ind w:left="1100"/>
      </w:pPr>
      <w:hyperlink w:anchor="_Toc823" w:history="1">
        <w:r>
          <w:rPr>
            <w:rFonts w:ascii="IRNazanin" w:hAnsi="IRNazanin" w:eastAsia="IRNazanin" w:cs="IRNazanin"/>
            <w:color w:val="111111"/>
            <w:sz w:val="22"/>
            <w:szCs w:val="22"/>
            <w:b w:val="0"/>
            <w:bCs w:val="0"/>
            <w:i w:val="0"/>
            <w:iCs w:val="0"/>
          </w:rPr>
          <w:t>[کلام الشیخ الطوسی فی العدة:]</w:t>
        </w:r>
        <w:r>
          <w:tab/>
        </w:r>
        <w:r>
          <w:fldChar w:fldCharType="begin"/>
        </w:r>
        <w:r>
          <w:instrText xml:space="preserve">PAGEREF 823 \h</w:instrText>
        </w:r>
        <w:r>
          <w:fldChar w:fldCharType="end"/>
        </w:r>
      </w:hyperlink>
    </w:p>
    <w:p>
      <w:pPr>
        <w:tabs>
          <w:tab w:val="right" w:leader="dot" w:pos="9062"/>
        </w:tabs>
        <w:ind w:left="880"/>
      </w:pPr>
      <w:hyperlink w:anchor="_Toc824" w:history="1">
        <w:r>
          <w:rPr>
            <w:rFonts w:ascii="IRNazanin" w:hAnsi="IRNazanin" w:eastAsia="IRNazanin" w:cs="IRNazanin"/>
            <w:color w:val="111111"/>
            <w:sz w:val="22"/>
            <w:szCs w:val="22"/>
            <w:b w:val="0"/>
            <w:bCs w:val="0"/>
            <w:i w:val="0"/>
            <w:iCs w:val="0"/>
          </w:rPr>
          <w:t>[حجة القول الثانی]: [الاستدلال علی عدم الحجیة مطلقا:]</w:t>
        </w:r>
        <w:r>
          <w:tab/>
        </w:r>
        <w:r>
          <w:fldChar w:fldCharType="begin"/>
        </w:r>
        <w:r>
          <w:instrText xml:space="preserve">PAGEREF 824 \h</w:instrText>
        </w:r>
        <w:r>
          <w:fldChar w:fldCharType="end"/>
        </w:r>
      </w:hyperlink>
    </w:p>
    <w:p>
      <w:pPr>
        <w:tabs>
          <w:tab w:val="right" w:leader="dot" w:pos="9062"/>
        </w:tabs>
        <w:ind w:left="1100"/>
      </w:pPr>
      <w:hyperlink w:anchor="_Toc8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825 \h</w:instrText>
        </w:r>
        <w:r>
          <w:fldChar w:fldCharType="end"/>
        </w:r>
      </w:hyperlink>
    </w:p>
    <w:p>
      <w:pPr>
        <w:tabs>
          <w:tab w:val="right" w:leader="dot" w:pos="9062"/>
        </w:tabs>
        <w:ind w:left="1100"/>
      </w:pPr>
      <w:hyperlink w:anchor="_Toc826" w:history="1">
        <w:r>
          <w:rPr>
            <w:rFonts w:ascii="IRNazanin" w:hAnsi="IRNazanin" w:eastAsia="IRNazanin" w:cs="IRNazanin"/>
            <w:color w:val="111111"/>
            <w:sz w:val="22"/>
            <w:szCs w:val="22"/>
            <w:b w:val="0"/>
            <w:bCs w:val="0"/>
            <w:i w:val="0"/>
            <w:iCs w:val="0"/>
          </w:rPr>
          <w:t>[1-دعوی أنّ الاستصحاب إثبات للحکم من غیر دلیل:]</w:t>
        </w:r>
        <w:r>
          <w:tab/>
        </w:r>
        <w:r>
          <w:fldChar w:fldCharType="begin"/>
        </w:r>
        <w:r>
          <w:instrText xml:space="preserve">PAGEREF 826 \h</w:instrText>
        </w:r>
        <w:r>
          <w:fldChar w:fldCharType="end"/>
        </w:r>
      </w:hyperlink>
    </w:p>
    <w:p>
      <w:pPr>
        <w:tabs>
          <w:tab w:val="right" w:leader="dot" w:pos="9062"/>
        </w:tabs>
        <w:ind w:left="1100"/>
      </w:pPr>
      <w:hyperlink w:anchor="_Toc8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827 \h</w:instrText>
        </w:r>
        <w:r>
          <w:fldChar w:fldCharType="end"/>
        </w:r>
      </w:hyperlink>
    </w:p>
    <w:p>
      <w:pPr>
        <w:tabs>
          <w:tab w:val="right" w:leader="dot" w:pos="9062"/>
        </w:tabs>
        <w:ind w:left="1100"/>
      </w:pPr>
      <w:hyperlink w:anchor="_Toc828" w:history="1">
        <w:r>
          <w:rPr>
            <w:rFonts w:ascii="IRNazanin" w:hAnsi="IRNazanin" w:eastAsia="IRNazanin" w:cs="IRNazanin"/>
            <w:color w:val="111111"/>
            <w:sz w:val="22"/>
            <w:szCs w:val="22"/>
            <w:b w:val="0"/>
            <w:bCs w:val="0"/>
            <w:i w:val="0"/>
            <w:iCs w:val="0"/>
          </w:rPr>
          <w:t>[المناقشة فی ذلک:]</w:t>
        </w:r>
        <w:r>
          <w:tab/>
        </w:r>
        <w:r>
          <w:fldChar w:fldCharType="begin"/>
        </w:r>
        <w:r>
          <w:instrText xml:space="preserve">PAGEREF 828 \h</w:instrText>
        </w:r>
        <w:r>
          <w:fldChar w:fldCharType="end"/>
        </w:r>
      </w:hyperlink>
    </w:p>
    <w:p>
      <w:pPr>
        <w:tabs>
          <w:tab w:val="right" w:leader="dot" w:pos="9062"/>
        </w:tabs>
        <w:ind w:left="1100"/>
      </w:pPr>
      <w:hyperlink w:anchor="_Toc829" w:history="1">
        <w:r>
          <w:rPr>
            <w:rFonts w:ascii="IRNazanin" w:hAnsi="IRNazanin" w:eastAsia="IRNazanin" w:cs="IRNazanin"/>
            <w:color w:val="111111"/>
            <w:sz w:val="22"/>
            <w:szCs w:val="22"/>
            <w:b w:val="0"/>
            <w:bCs w:val="0"/>
            <w:i w:val="0"/>
            <w:iCs w:val="0"/>
          </w:rPr>
          <w:t>[2-لزوم القطع بالبقاء بناء علی حجّیة الاستصحاب:]</w:t>
        </w:r>
        <w:r>
          <w:tab/>
        </w:r>
        <w:r>
          <w:fldChar w:fldCharType="begin"/>
        </w:r>
        <w:r>
          <w:instrText xml:space="preserve">PAGEREF 829 \h</w:instrText>
        </w:r>
        <w:r>
          <w:fldChar w:fldCharType="end"/>
        </w:r>
      </w:hyperlink>
    </w:p>
    <w:p>
      <w:pPr>
        <w:tabs>
          <w:tab w:val="right" w:leader="dot" w:pos="9062"/>
        </w:tabs>
        <w:ind w:left="1100"/>
      </w:pPr>
      <w:hyperlink w:anchor="_Toc8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830 \h</w:instrText>
        </w:r>
        <w:r>
          <w:fldChar w:fldCharType="end"/>
        </w:r>
      </w:hyperlink>
    </w:p>
    <w:p>
      <w:pPr>
        <w:tabs>
          <w:tab w:val="right" w:leader="dot" w:pos="9062"/>
        </w:tabs>
        <w:ind w:left="1100"/>
      </w:pPr>
      <w:hyperlink w:anchor="_Toc831" w:history="1">
        <w:r>
          <w:rPr>
            <w:rFonts w:ascii="IRNazanin" w:hAnsi="IRNazanin" w:eastAsia="IRNazanin" w:cs="IRNazanin"/>
            <w:color w:val="111111"/>
            <w:sz w:val="22"/>
            <w:szCs w:val="22"/>
            <w:b w:val="0"/>
            <w:bCs w:val="0"/>
            <w:i w:val="0"/>
            <w:iCs w:val="0"/>
          </w:rPr>
          <w:t>[المناقشة فیه:]</w:t>
        </w:r>
        <w:r>
          <w:tab/>
        </w:r>
        <w:r>
          <w:fldChar w:fldCharType="begin"/>
        </w:r>
        <w:r>
          <w:instrText xml:space="preserve">PAGEREF 831 \h</w:instrText>
        </w:r>
        <w:r>
          <w:fldChar w:fldCharType="end"/>
        </w:r>
      </w:hyperlink>
    </w:p>
    <w:p>
      <w:pPr>
        <w:tabs>
          <w:tab w:val="right" w:leader="dot" w:pos="9062"/>
        </w:tabs>
        <w:ind w:left="1100"/>
      </w:pPr>
      <w:hyperlink w:anchor="_Toc832" w:history="1">
        <w:r>
          <w:rPr>
            <w:rFonts w:ascii="IRNazanin" w:hAnsi="IRNazanin" w:eastAsia="IRNazanin" w:cs="IRNazanin"/>
            <w:color w:val="111111"/>
            <w:sz w:val="22"/>
            <w:szCs w:val="22"/>
            <w:b w:val="0"/>
            <w:bCs w:val="0"/>
            <w:i w:val="0"/>
            <w:iCs w:val="0"/>
          </w:rPr>
          <w:t>[3-لزوم التناقض بناء علی الحجّیة و المناقشة فیه:]</w:t>
        </w:r>
        <w:r>
          <w:tab/>
        </w:r>
        <w:r>
          <w:fldChar w:fldCharType="begin"/>
        </w:r>
        <w:r>
          <w:instrText xml:space="preserve">PAGEREF 832 \h</w:instrText>
        </w:r>
        <w:r>
          <w:fldChar w:fldCharType="end"/>
        </w:r>
      </w:hyperlink>
    </w:p>
    <w:p>
      <w:pPr>
        <w:tabs>
          <w:tab w:val="right" w:leader="dot" w:pos="9062"/>
        </w:tabs>
        <w:ind w:left="1100"/>
      </w:pPr>
      <w:hyperlink w:anchor="_Toc8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833 \h</w:instrText>
        </w:r>
        <w:r>
          <w:fldChar w:fldCharType="end"/>
        </w:r>
      </w:hyperlink>
    </w:p>
    <w:p>
      <w:pPr>
        <w:tabs>
          <w:tab w:val="right" w:leader="dot" w:pos="9062"/>
        </w:tabs>
        <w:ind w:left="1100"/>
      </w:pPr>
      <w:hyperlink w:anchor="_Toc834" w:history="1">
        <w:r>
          <w:rPr>
            <w:rFonts w:ascii="IRNazanin" w:hAnsi="IRNazanin" w:eastAsia="IRNazanin" w:cs="IRNazanin"/>
            <w:color w:val="111111"/>
            <w:sz w:val="22"/>
            <w:szCs w:val="22"/>
            <w:b w:val="0"/>
            <w:bCs w:val="0"/>
            <w:i w:val="0"/>
            <w:iCs w:val="0"/>
          </w:rPr>
          <w:t>[المناقشة فیه:]</w:t>
        </w:r>
        <w:r>
          <w:tab/>
        </w:r>
        <w:r>
          <w:fldChar w:fldCharType="begin"/>
        </w:r>
        <w:r>
          <w:instrText xml:space="preserve">PAGEREF 834 \h</w:instrText>
        </w:r>
        <w:r>
          <w:fldChar w:fldCharType="end"/>
        </w:r>
      </w:hyperlink>
    </w:p>
    <w:p>
      <w:pPr>
        <w:tabs>
          <w:tab w:val="right" w:leader="dot" w:pos="9062"/>
        </w:tabs>
        <w:ind w:left="1100"/>
      </w:pPr>
      <w:hyperlink w:anchor="_Toc835" w:history="1">
        <w:r>
          <w:rPr>
            <w:rFonts w:ascii="IRNazanin" w:hAnsi="IRNazanin" w:eastAsia="IRNazanin" w:cs="IRNazanin"/>
            <w:color w:val="111111"/>
            <w:sz w:val="22"/>
            <w:szCs w:val="22"/>
            <w:b w:val="0"/>
            <w:bCs w:val="0"/>
            <w:i w:val="0"/>
            <w:iCs w:val="0"/>
          </w:rPr>
          <w:t>[4-استلزام القول بالحجّیة ترجیح بیّنة النافی:]</w:t>
        </w:r>
        <w:r>
          <w:tab/>
        </w:r>
        <w:r>
          <w:fldChar w:fldCharType="begin"/>
        </w:r>
        <w:r>
          <w:instrText xml:space="preserve">PAGEREF 835 \h</w:instrText>
        </w:r>
        <w:r>
          <w:fldChar w:fldCharType="end"/>
        </w:r>
      </w:hyperlink>
    </w:p>
    <w:p>
      <w:pPr>
        <w:tabs>
          <w:tab w:val="right" w:leader="dot" w:pos="9062"/>
        </w:tabs>
        <w:ind w:left="1100"/>
      </w:pPr>
      <w:hyperlink w:anchor="_Toc8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836 \h</w:instrText>
        </w:r>
        <w:r>
          <w:fldChar w:fldCharType="end"/>
        </w:r>
      </w:hyperlink>
    </w:p>
    <w:p>
      <w:pPr>
        <w:tabs>
          <w:tab w:val="right" w:leader="dot" w:pos="9062"/>
        </w:tabs>
        <w:ind w:left="1100"/>
      </w:pPr>
      <w:hyperlink w:anchor="_Toc837" w:history="1">
        <w:r>
          <w:rPr>
            <w:rFonts w:ascii="IRNazanin" w:hAnsi="IRNazanin" w:eastAsia="IRNazanin" w:cs="IRNazanin"/>
            <w:color w:val="111111"/>
            <w:sz w:val="22"/>
            <w:szCs w:val="22"/>
            <w:b w:val="0"/>
            <w:bCs w:val="0"/>
            <w:i w:val="0"/>
            <w:iCs w:val="0"/>
          </w:rPr>
          <w:t>[المناقشة فی ذلک:]</w:t>
        </w:r>
        <w:r>
          <w:tab/>
        </w:r>
        <w:r>
          <w:fldChar w:fldCharType="begin"/>
        </w:r>
        <w:r>
          <w:instrText xml:space="preserve">PAGEREF 837 \h</w:instrText>
        </w:r>
        <w:r>
          <w:fldChar w:fldCharType="end"/>
        </w:r>
      </w:hyperlink>
    </w:p>
    <w:p>
      <w:pPr>
        <w:tabs>
          <w:tab w:val="right" w:leader="dot" w:pos="9062"/>
        </w:tabs>
        <w:ind w:left="880"/>
      </w:pPr>
      <w:hyperlink w:anchor="_Toc838" w:history="1">
        <w:r>
          <w:rPr>
            <w:rFonts w:ascii="IRNazanin" w:hAnsi="IRNazanin" w:eastAsia="IRNazanin" w:cs="IRNazanin"/>
            <w:color w:val="111111"/>
            <w:sz w:val="22"/>
            <w:szCs w:val="22"/>
            <w:b w:val="0"/>
            <w:bCs w:val="0"/>
            <w:i w:val="0"/>
            <w:iCs w:val="0"/>
          </w:rPr>
          <w:t>[حجّة القول الثالث] : [القول بالتفصیل بین العدمی و الوجودی:]</w:t>
        </w:r>
        <w:r>
          <w:tab/>
        </w:r>
        <w:r>
          <w:fldChar w:fldCharType="begin"/>
        </w:r>
        <w:r>
          <w:instrText xml:space="preserve">PAGEREF 838 \h</w:instrText>
        </w:r>
        <w:r>
          <w:fldChar w:fldCharType="end"/>
        </w:r>
      </w:hyperlink>
    </w:p>
    <w:p>
      <w:pPr>
        <w:tabs>
          <w:tab w:val="right" w:leader="dot" w:pos="9062"/>
        </w:tabs>
        <w:ind w:left="1100"/>
      </w:pPr>
      <w:hyperlink w:anchor="_Toc8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839 \h</w:instrText>
        </w:r>
        <w:r>
          <w:fldChar w:fldCharType="end"/>
        </w:r>
      </w:hyperlink>
    </w:p>
    <w:p>
      <w:pPr>
        <w:tabs>
          <w:tab w:val="right" w:leader="dot" w:pos="9062"/>
        </w:tabs>
        <w:ind w:left="1100"/>
      </w:pPr>
      <w:hyperlink w:anchor="_Toc840" w:history="1">
        <w:r>
          <w:rPr>
            <w:rFonts w:ascii="IRNazanin" w:hAnsi="IRNazanin" w:eastAsia="IRNazanin" w:cs="IRNazanin"/>
            <w:color w:val="111111"/>
            <w:sz w:val="22"/>
            <w:szCs w:val="22"/>
            <w:b w:val="0"/>
            <w:bCs w:val="0"/>
            <w:i w:val="0"/>
            <w:iCs w:val="0"/>
          </w:rPr>
          <w:t>[عدم استقامة هذا القول بناء علی اعتبار الاستصحاب من باب الظنّ:]</w:t>
        </w:r>
        <w:r>
          <w:tab/>
        </w:r>
        <w:r>
          <w:fldChar w:fldCharType="begin"/>
        </w:r>
        <w:r>
          <w:instrText xml:space="preserve">PAGEREF 840 \h</w:instrText>
        </w:r>
        <w:r>
          <w:fldChar w:fldCharType="end"/>
        </w:r>
      </w:hyperlink>
    </w:p>
    <w:p>
      <w:pPr>
        <w:tabs>
          <w:tab w:val="right" w:leader="dot" w:pos="9062"/>
        </w:tabs>
        <w:ind w:left="1100"/>
      </w:pPr>
      <w:hyperlink w:anchor="_Toc841" w:history="1">
        <w:r>
          <w:rPr>
            <w:rFonts w:ascii="IRNazanin" w:hAnsi="IRNazanin" w:eastAsia="IRNazanin" w:cs="IRNazanin"/>
            <w:color w:val="111111"/>
            <w:sz w:val="22"/>
            <w:szCs w:val="22"/>
            <w:b w:val="0"/>
            <w:bCs w:val="0"/>
            <w:i w:val="0"/>
            <w:iCs w:val="0"/>
          </w:rPr>
          <w:t>[معنی عدم اعتبار الاستصحاب فی الوجودی:]</w:t>
        </w:r>
        <w:r>
          <w:tab/>
        </w:r>
        <w:r>
          <w:fldChar w:fldCharType="begin"/>
        </w:r>
        <w:r>
          <w:instrText xml:space="preserve">PAGEREF 841 \h</w:instrText>
        </w:r>
        <w:r>
          <w:fldChar w:fldCharType="end"/>
        </w:r>
      </w:hyperlink>
    </w:p>
    <w:p>
      <w:pPr>
        <w:tabs>
          <w:tab w:val="right" w:leader="dot" w:pos="9062"/>
        </w:tabs>
        <w:ind w:left="1100"/>
      </w:pPr>
      <w:hyperlink w:anchor="_Toc842" w:history="1">
        <w:r>
          <w:rPr>
            <w:rFonts w:ascii="IRNazanin" w:hAnsi="IRNazanin" w:eastAsia="IRNazanin" w:cs="IRNazanin"/>
            <w:color w:val="111111"/>
            <w:sz w:val="22"/>
            <w:szCs w:val="22"/>
            <w:b w:val="0"/>
            <w:bCs w:val="0"/>
            <w:i w:val="0"/>
            <w:iCs w:val="0"/>
          </w:rPr>
          <w:t>[ما یمکن أن یحتجّ به لهذا القول:]</w:t>
        </w:r>
        <w:r>
          <w:tab/>
        </w:r>
        <w:r>
          <w:fldChar w:fldCharType="begin"/>
        </w:r>
        <w:r>
          <w:instrText xml:space="preserve">PAGEREF 842 \h</w:instrText>
        </w:r>
        <w:r>
          <w:fldChar w:fldCharType="end"/>
        </w:r>
      </w:hyperlink>
    </w:p>
    <w:p>
      <w:pPr>
        <w:tabs>
          <w:tab w:val="right" w:leader="dot" w:pos="9062"/>
        </w:tabs>
        <w:ind w:left="1100"/>
      </w:pPr>
      <w:hyperlink w:anchor="_Toc8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843 \h</w:instrText>
        </w:r>
        <w:r>
          <w:fldChar w:fldCharType="end"/>
        </w:r>
      </w:hyperlink>
    </w:p>
    <w:p>
      <w:pPr>
        <w:tabs>
          <w:tab w:val="right" w:leader="dot" w:pos="9062"/>
        </w:tabs>
        <w:ind w:left="1100"/>
      </w:pPr>
      <w:hyperlink w:anchor="_Toc844" w:history="1">
        <w:r>
          <w:rPr>
            <w:rFonts w:ascii="IRNazanin" w:hAnsi="IRNazanin" w:eastAsia="IRNazanin" w:cs="IRNazanin"/>
            <w:color w:val="111111"/>
            <w:sz w:val="22"/>
            <w:szCs w:val="22"/>
            <w:b w:val="0"/>
            <w:bCs w:val="0"/>
            <w:i w:val="0"/>
            <w:iCs w:val="0"/>
          </w:rPr>
          <w:t>[المناقشة فی الاحتجاج المذکور:]</w:t>
        </w:r>
        <w:r>
          <w:tab/>
        </w:r>
        <w:r>
          <w:fldChar w:fldCharType="begin"/>
        </w:r>
        <w:r>
          <w:instrText xml:space="preserve">PAGEREF 844 \h</w:instrText>
        </w:r>
        <w:r>
          <w:fldChar w:fldCharType="end"/>
        </w:r>
      </w:hyperlink>
    </w:p>
    <w:p>
      <w:pPr>
        <w:tabs>
          <w:tab w:val="right" w:leader="dot" w:pos="9062"/>
        </w:tabs>
        <w:ind w:left="880"/>
      </w:pPr>
      <w:hyperlink w:anchor="_Toc845" w:history="1">
        <w:r>
          <w:rPr>
            <w:rFonts w:ascii="IRNazanin" w:hAnsi="IRNazanin" w:eastAsia="IRNazanin" w:cs="IRNazanin"/>
            <w:color w:val="111111"/>
            <w:sz w:val="22"/>
            <w:szCs w:val="22"/>
            <w:b w:val="0"/>
            <w:bCs w:val="0"/>
            <w:i w:val="0"/>
            <w:iCs w:val="0"/>
          </w:rPr>
          <w:t>[حجّة القول الرابع] : [حجة القول بالتفصیل بین الأمور الخارجیة و الحکم الشرعی مطلقا:]</w:t>
        </w:r>
        <w:r>
          <w:tab/>
        </w:r>
        <w:r>
          <w:fldChar w:fldCharType="begin"/>
        </w:r>
        <w:r>
          <w:instrText xml:space="preserve">PAGEREF 845 \h</w:instrText>
        </w:r>
        <w:r>
          <w:fldChar w:fldCharType="end"/>
        </w:r>
      </w:hyperlink>
    </w:p>
    <w:p>
      <w:pPr>
        <w:tabs>
          <w:tab w:val="right" w:leader="dot" w:pos="9062"/>
        </w:tabs>
        <w:ind w:left="1100"/>
      </w:pPr>
      <w:hyperlink w:anchor="_Toc8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846 \h</w:instrText>
        </w:r>
        <w:r>
          <w:fldChar w:fldCharType="end"/>
        </w:r>
      </w:hyperlink>
    </w:p>
    <w:p>
      <w:pPr>
        <w:tabs>
          <w:tab w:val="right" w:leader="dot" w:pos="9062"/>
        </w:tabs>
        <w:ind w:left="1100"/>
      </w:pPr>
      <w:hyperlink w:anchor="_Toc847" w:history="1">
        <w:r>
          <w:rPr>
            <w:rFonts w:ascii="IRNazanin" w:hAnsi="IRNazanin" w:eastAsia="IRNazanin" w:cs="IRNazanin"/>
            <w:color w:val="111111"/>
            <w:sz w:val="22"/>
            <w:szCs w:val="22"/>
            <w:b w:val="0"/>
            <w:bCs w:val="0"/>
            <w:i w:val="0"/>
            <w:iCs w:val="0"/>
          </w:rPr>
          <w:t>[المناقشة فیه:]</w:t>
        </w:r>
        <w:r>
          <w:tab/>
        </w:r>
        <w:r>
          <w:fldChar w:fldCharType="begin"/>
        </w:r>
        <w:r>
          <w:instrText xml:space="preserve">PAGEREF 847 \h</w:instrText>
        </w:r>
        <w:r>
          <w:fldChar w:fldCharType="end"/>
        </w:r>
      </w:hyperlink>
    </w:p>
    <w:p>
      <w:pPr>
        <w:tabs>
          <w:tab w:val="right" w:leader="dot" w:pos="9062"/>
        </w:tabs>
        <w:ind w:left="880"/>
      </w:pPr>
      <w:hyperlink w:anchor="_Toc848" w:history="1">
        <w:r>
          <w:rPr>
            <w:rFonts w:ascii="IRNazanin" w:hAnsi="IRNazanin" w:eastAsia="IRNazanin" w:cs="IRNazanin"/>
            <w:color w:val="111111"/>
            <w:sz w:val="22"/>
            <w:szCs w:val="22"/>
            <w:b w:val="0"/>
            <w:bCs w:val="0"/>
            <w:i w:val="0"/>
            <w:iCs w:val="0"/>
          </w:rPr>
          <w:t>[حجّة القول الخامس] : [القول بالتفصیل بین الحکم الشرعی الکلی و غیره:]</w:t>
        </w:r>
        <w:r>
          <w:tab/>
        </w:r>
        <w:r>
          <w:fldChar w:fldCharType="begin"/>
        </w:r>
        <w:r>
          <w:instrText xml:space="preserve">PAGEREF 848 \h</w:instrText>
        </w:r>
        <w:r>
          <w:fldChar w:fldCharType="end"/>
        </w:r>
      </w:hyperlink>
    </w:p>
    <w:p>
      <w:pPr>
        <w:tabs>
          <w:tab w:val="right" w:leader="dot" w:pos="9062"/>
        </w:tabs>
        <w:ind w:left="1100"/>
      </w:pPr>
      <w:hyperlink w:anchor="_Toc8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849 \h</w:instrText>
        </w:r>
        <w:r>
          <w:fldChar w:fldCharType="end"/>
        </w:r>
      </w:hyperlink>
    </w:p>
    <w:p>
      <w:pPr>
        <w:tabs>
          <w:tab w:val="right" w:leader="dot" w:pos="9062"/>
        </w:tabs>
        <w:ind w:left="1100"/>
      </w:pPr>
      <w:hyperlink w:anchor="_Toc850" w:history="1">
        <w:r>
          <w:rPr>
            <w:rFonts w:ascii="IRNazanin" w:hAnsi="IRNazanin" w:eastAsia="IRNazanin" w:cs="IRNazanin"/>
            <w:color w:val="111111"/>
            <w:sz w:val="22"/>
            <w:szCs w:val="22"/>
            <w:b w:val="0"/>
            <w:bCs w:val="0"/>
            <w:i w:val="0"/>
            <w:iCs w:val="0"/>
          </w:rPr>
          <w:t>[کلام المحدّث الأسترابادی فی الاستدلال علی هذا القول:]</w:t>
        </w:r>
        <w:r>
          <w:tab/>
        </w:r>
        <w:r>
          <w:fldChar w:fldCharType="begin"/>
        </w:r>
        <w:r>
          <w:instrText xml:space="preserve">PAGEREF 850 \h</w:instrText>
        </w:r>
        <w:r>
          <w:fldChar w:fldCharType="end"/>
        </w:r>
      </w:hyperlink>
    </w:p>
    <w:p>
      <w:pPr>
        <w:tabs>
          <w:tab w:val="right" w:leader="dot" w:pos="9062"/>
        </w:tabs>
        <w:ind w:left="1100"/>
      </w:pPr>
      <w:hyperlink w:anchor="_Toc8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851 \h</w:instrText>
        </w:r>
        <w:r>
          <w:fldChar w:fldCharType="end"/>
        </w:r>
      </w:hyperlink>
    </w:p>
    <w:p>
      <w:pPr>
        <w:tabs>
          <w:tab w:val="right" w:leader="dot" w:pos="9062"/>
        </w:tabs>
        <w:ind w:left="1100"/>
      </w:pPr>
      <w:hyperlink w:anchor="_Toc852" w:history="1">
        <w:r>
          <w:rPr>
            <w:rFonts w:ascii="IRNazanin" w:hAnsi="IRNazanin" w:eastAsia="IRNazanin" w:cs="IRNazanin"/>
            <w:color w:val="111111"/>
            <w:sz w:val="22"/>
            <w:szCs w:val="22"/>
            <w:b w:val="0"/>
            <w:bCs w:val="0"/>
            <w:i w:val="0"/>
            <w:iCs w:val="0"/>
          </w:rPr>
          <w:t>[المناقشة فیما أفاده المحدّث الأسترابادی:]</w:t>
        </w:r>
        <w:r>
          <w:tab/>
        </w:r>
        <w:r>
          <w:fldChar w:fldCharType="begin"/>
        </w:r>
        <w:r>
          <w:instrText xml:space="preserve">PAGEREF 852 \h</w:instrText>
        </w:r>
        <w:r>
          <w:fldChar w:fldCharType="end"/>
        </w:r>
      </w:hyperlink>
    </w:p>
    <w:p>
      <w:pPr>
        <w:tabs>
          <w:tab w:val="right" w:leader="dot" w:pos="9062"/>
        </w:tabs>
        <w:ind w:left="880"/>
      </w:pPr>
      <w:hyperlink w:anchor="_Toc853" w:history="1">
        <w:r>
          <w:rPr>
            <w:rFonts w:ascii="IRNazanin" w:hAnsi="IRNazanin" w:eastAsia="IRNazanin" w:cs="IRNazanin"/>
            <w:color w:val="111111"/>
            <w:sz w:val="22"/>
            <w:szCs w:val="22"/>
            <w:b w:val="0"/>
            <w:bCs w:val="0"/>
            <w:i w:val="0"/>
            <w:iCs w:val="0"/>
          </w:rPr>
          <w:t>[حجّة القول السادس] : التفصیل بین الحکم الجزئی و غیره و الجواب عنه</w:t>
        </w:r>
        <w:r>
          <w:tab/>
        </w:r>
        <w:r>
          <w:fldChar w:fldCharType="begin"/>
        </w:r>
        <w:r>
          <w:instrText xml:space="preserve">PAGEREF 853 \h</w:instrText>
        </w:r>
        <w:r>
          <w:fldChar w:fldCharType="end"/>
        </w:r>
      </w:hyperlink>
    </w:p>
    <w:p>
      <w:pPr>
        <w:tabs>
          <w:tab w:val="right" w:leader="dot" w:pos="9062"/>
        </w:tabs>
        <w:ind w:left="880"/>
      </w:pPr>
      <w:hyperlink w:anchor="_Toc854" w:history="1">
        <w:r>
          <w:rPr>
            <w:rFonts w:ascii="IRNazanin" w:hAnsi="IRNazanin" w:eastAsia="IRNazanin" w:cs="IRNazanin"/>
            <w:color w:val="111111"/>
            <w:sz w:val="22"/>
            <w:szCs w:val="22"/>
            <w:b w:val="0"/>
            <w:bCs w:val="0"/>
            <w:i w:val="0"/>
            <w:iCs w:val="0"/>
          </w:rPr>
          <w:t>[حجّة القول السابع] : التفصیل بین الحکم التکلیفی و الوضعی</w:t>
        </w:r>
        <w:r>
          <w:tab/>
        </w:r>
        <w:r>
          <w:fldChar w:fldCharType="begin"/>
        </w:r>
        <w:r>
          <w:instrText xml:space="preserve">PAGEREF 854 \h</w:instrText>
        </w:r>
        <w:r>
          <w:fldChar w:fldCharType="end"/>
        </w:r>
      </w:hyperlink>
    </w:p>
    <w:p>
      <w:pPr>
        <w:tabs>
          <w:tab w:val="right" w:leader="dot" w:pos="9062"/>
        </w:tabs>
        <w:ind w:left="1100"/>
      </w:pPr>
      <w:hyperlink w:anchor="_Toc8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855 \h</w:instrText>
        </w:r>
        <w:r>
          <w:fldChar w:fldCharType="end"/>
        </w:r>
      </w:hyperlink>
    </w:p>
    <w:p>
      <w:pPr>
        <w:tabs>
          <w:tab w:val="right" w:leader="dot" w:pos="9062"/>
        </w:tabs>
        <w:ind w:left="1100"/>
      </w:pPr>
      <w:hyperlink w:anchor="_Toc856" w:history="1">
        <w:r>
          <w:rPr>
            <w:rFonts w:ascii="IRNazanin" w:hAnsi="IRNazanin" w:eastAsia="IRNazanin" w:cs="IRNazanin"/>
            <w:color w:val="111111"/>
            <w:sz w:val="22"/>
            <w:szCs w:val="22"/>
            <w:b w:val="0"/>
            <w:bCs w:val="0"/>
            <w:i w:val="0"/>
            <w:iCs w:val="0"/>
          </w:rPr>
          <w:t>[کلام الفاضل التونی:]</w:t>
        </w:r>
        <w:r>
          <w:tab/>
        </w:r>
        <w:r>
          <w:fldChar w:fldCharType="begin"/>
        </w:r>
        <w:r>
          <w:instrText xml:space="preserve">PAGEREF 856 \h</w:instrText>
        </w:r>
        <w:r>
          <w:fldChar w:fldCharType="end"/>
        </w:r>
      </w:hyperlink>
    </w:p>
    <w:p>
      <w:pPr>
        <w:tabs>
          <w:tab w:val="right" w:leader="dot" w:pos="9062"/>
        </w:tabs>
        <w:ind w:left="1100"/>
      </w:pPr>
      <w:hyperlink w:anchor="_Toc857" w:history="1">
        <w:r>
          <w:rPr>
            <w:rFonts w:ascii="IRNazanin" w:hAnsi="IRNazanin" w:eastAsia="IRNazanin" w:cs="IRNazanin"/>
            <w:color w:val="111111"/>
            <w:sz w:val="22"/>
            <w:szCs w:val="22"/>
            <w:b w:val="0"/>
            <w:bCs w:val="0"/>
            <w:i w:val="0"/>
            <w:iCs w:val="0"/>
          </w:rPr>
          <w:t>[الکلام فی الأحکام الوضعیّة]</w:t>
        </w:r>
        <w:r>
          <w:tab/>
        </w:r>
        <w:r>
          <w:fldChar w:fldCharType="begin"/>
        </w:r>
        <w:r>
          <w:instrText xml:space="preserve">PAGEREF 857 \h</w:instrText>
        </w:r>
        <w:r>
          <w:fldChar w:fldCharType="end"/>
        </w:r>
      </w:hyperlink>
    </w:p>
    <w:p>
      <w:pPr>
        <w:tabs>
          <w:tab w:val="right" w:leader="dot" w:pos="9062"/>
        </w:tabs>
        <w:ind w:left="1100"/>
      </w:pPr>
      <w:hyperlink w:anchor="_Toc8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858 \h</w:instrText>
        </w:r>
        <w:r>
          <w:fldChar w:fldCharType="end"/>
        </w:r>
      </w:hyperlink>
    </w:p>
    <w:p>
      <w:pPr>
        <w:tabs>
          <w:tab w:val="right" w:leader="dot" w:pos="9062"/>
        </w:tabs>
        <w:ind w:left="1100"/>
      </w:pPr>
      <w:hyperlink w:anchor="_Toc859" w:history="1">
        <w:r>
          <w:rPr>
            <w:rFonts w:ascii="IRNazanin" w:hAnsi="IRNazanin" w:eastAsia="IRNazanin" w:cs="IRNazanin"/>
            <w:color w:val="111111"/>
            <w:sz w:val="22"/>
            <w:szCs w:val="22"/>
            <w:b w:val="0"/>
            <w:bCs w:val="0"/>
            <w:i w:val="0"/>
            <w:iCs w:val="0"/>
          </w:rPr>
          <w:t>[هل الحکم الوضعی حکم مستقل مجعول،أو لا؟:]</w:t>
        </w:r>
        <w:r>
          <w:tab/>
        </w:r>
        <w:r>
          <w:fldChar w:fldCharType="begin"/>
        </w:r>
        <w:r>
          <w:instrText xml:space="preserve">PAGEREF 859 \h</w:instrText>
        </w:r>
        <w:r>
          <w:fldChar w:fldCharType="end"/>
        </w:r>
      </w:hyperlink>
    </w:p>
    <w:p>
      <w:pPr>
        <w:tabs>
          <w:tab w:val="right" w:leader="dot" w:pos="9062"/>
        </w:tabs>
        <w:ind w:left="1100"/>
      </w:pPr>
      <w:hyperlink w:anchor="_Toc860" w:history="1">
        <w:r>
          <w:rPr>
            <w:rFonts w:ascii="IRNazanin" w:hAnsi="IRNazanin" w:eastAsia="IRNazanin" w:cs="IRNazanin"/>
            <w:color w:val="111111"/>
            <w:sz w:val="22"/>
            <w:szCs w:val="22"/>
            <w:b w:val="0"/>
            <w:bCs w:val="0"/>
            <w:i w:val="0"/>
            <w:iCs w:val="0"/>
          </w:rPr>
          <w:t>[کلام السید الکاظمی:]</w:t>
        </w:r>
        <w:r>
          <w:tab/>
        </w:r>
        <w:r>
          <w:fldChar w:fldCharType="begin"/>
        </w:r>
        <w:r>
          <w:instrText xml:space="preserve">PAGEREF 860 \h</w:instrText>
        </w:r>
        <w:r>
          <w:fldChar w:fldCharType="end"/>
        </w:r>
      </w:hyperlink>
    </w:p>
    <w:p>
      <w:pPr>
        <w:tabs>
          <w:tab w:val="right" w:leader="dot" w:pos="9062"/>
        </w:tabs>
        <w:ind w:left="1100"/>
      </w:pPr>
      <w:hyperlink w:anchor="_Toc8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861 \h</w:instrText>
        </w:r>
        <w:r>
          <w:fldChar w:fldCharType="end"/>
        </w:r>
      </w:hyperlink>
    </w:p>
    <w:p>
      <w:pPr>
        <w:tabs>
          <w:tab w:val="right" w:leader="dot" w:pos="9062"/>
        </w:tabs>
        <w:ind w:left="1100"/>
      </w:pPr>
      <w:hyperlink w:anchor="_Toc862" w:history="1">
        <w:r>
          <w:rPr>
            <w:rFonts w:ascii="IRNazanin" w:hAnsi="IRNazanin" w:eastAsia="IRNazanin" w:cs="IRNazanin"/>
            <w:color w:val="111111"/>
            <w:sz w:val="22"/>
            <w:szCs w:val="22"/>
            <w:b w:val="0"/>
            <w:bCs w:val="0"/>
            <w:i w:val="0"/>
            <w:iCs w:val="0"/>
          </w:rPr>
          <w:t>[مناقشة کلام السید الکاظمی:]</w:t>
        </w:r>
        <w:r>
          <w:tab/>
        </w:r>
        <w:r>
          <w:fldChar w:fldCharType="begin"/>
        </w:r>
        <w:r>
          <w:instrText xml:space="preserve">PAGEREF 862 \h</w:instrText>
        </w:r>
        <w:r>
          <w:fldChar w:fldCharType="end"/>
        </w:r>
      </w:hyperlink>
    </w:p>
    <w:p>
      <w:pPr>
        <w:tabs>
          <w:tab w:val="right" w:leader="dot" w:pos="9062"/>
        </w:tabs>
        <w:ind w:left="1100"/>
      </w:pPr>
      <w:hyperlink w:anchor="_Toc863" w:history="1">
        <w:r>
          <w:rPr>
            <w:rFonts w:ascii="IRNazanin" w:hAnsi="IRNazanin" w:eastAsia="IRNazanin" w:cs="IRNazanin"/>
            <w:color w:val="111111"/>
            <w:sz w:val="22"/>
            <w:szCs w:val="22"/>
            <w:b w:val="0"/>
            <w:bCs w:val="0"/>
            <w:i w:val="0"/>
            <w:iCs w:val="0"/>
          </w:rPr>
          <w:t>[الکلام فی الصحّة و الفساد:]</w:t>
        </w:r>
        <w:r>
          <w:tab/>
        </w:r>
        <w:r>
          <w:fldChar w:fldCharType="begin"/>
        </w:r>
        <w:r>
          <w:instrText xml:space="preserve">PAGEREF 863 \h</w:instrText>
        </w:r>
        <w:r>
          <w:fldChar w:fldCharType="end"/>
        </w:r>
      </w:hyperlink>
    </w:p>
    <w:p>
      <w:pPr>
        <w:tabs>
          <w:tab w:val="right" w:leader="dot" w:pos="9062"/>
        </w:tabs>
        <w:ind w:left="1100"/>
      </w:pPr>
      <w:hyperlink w:anchor="_Toc864" w:history="1">
        <w:r>
          <w:rPr>
            <w:rFonts w:ascii="IRNazanin" w:hAnsi="IRNazanin" w:eastAsia="IRNazanin" w:cs="IRNazanin"/>
            <w:color w:val="111111"/>
            <w:sz w:val="22"/>
            <w:szCs w:val="22"/>
            <w:b w:val="0"/>
            <w:bCs w:val="0"/>
            <w:i w:val="0"/>
            <w:iCs w:val="0"/>
          </w:rPr>
          <w:t>[رجوع إلی کلام الفاضل التونی:]</w:t>
        </w:r>
        <w:r>
          <w:tab/>
        </w:r>
        <w:r>
          <w:fldChar w:fldCharType="begin"/>
        </w:r>
        <w:r>
          <w:instrText xml:space="preserve">PAGEREF 864 \h</w:instrText>
        </w:r>
        <w:r>
          <w:fldChar w:fldCharType="end"/>
        </w:r>
      </w:hyperlink>
    </w:p>
    <w:p>
      <w:pPr>
        <w:tabs>
          <w:tab w:val="right" w:leader="dot" w:pos="9062"/>
        </w:tabs>
        <w:ind w:left="1100"/>
      </w:pPr>
      <w:hyperlink w:anchor="_Toc8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865 \h</w:instrText>
        </w:r>
        <w:r>
          <w:fldChar w:fldCharType="end"/>
        </w:r>
      </w:hyperlink>
    </w:p>
    <w:p>
      <w:pPr>
        <w:tabs>
          <w:tab w:val="right" w:leader="dot" w:pos="9062"/>
        </w:tabs>
        <w:ind w:left="1100"/>
      </w:pPr>
      <w:hyperlink w:anchor="_Toc866" w:history="1">
        <w:r>
          <w:rPr>
            <w:rFonts w:ascii="IRNazanin" w:hAnsi="IRNazanin" w:eastAsia="IRNazanin" w:cs="IRNazanin"/>
            <w:color w:val="111111"/>
            <w:sz w:val="22"/>
            <w:szCs w:val="22"/>
            <w:b w:val="0"/>
            <w:bCs w:val="0"/>
            <w:i w:val="0"/>
            <w:iCs w:val="0"/>
          </w:rPr>
          <w:t>[ما أورد علیه:]</w:t>
        </w:r>
        <w:r>
          <w:tab/>
        </w:r>
        <w:r>
          <w:fldChar w:fldCharType="begin"/>
        </w:r>
        <w:r>
          <w:instrText xml:space="preserve">PAGEREF 866 \h</w:instrText>
        </w:r>
        <w:r>
          <w:fldChar w:fldCharType="end"/>
        </w:r>
      </w:hyperlink>
    </w:p>
    <w:p>
      <w:pPr>
        <w:tabs>
          <w:tab w:val="right" w:leader="dot" w:pos="9062"/>
        </w:tabs>
        <w:ind w:left="1100"/>
      </w:pPr>
      <w:hyperlink w:anchor="_Toc867" w:history="1">
        <w:r>
          <w:rPr>
            <w:rFonts w:ascii="IRNazanin" w:hAnsi="IRNazanin" w:eastAsia="IRNazanin" w:cs="IRNazanin"/>
            <w:color w:val="111111"/>
            <w:sz w:val="22"/>
            <w:szCs w:val="22"/>
            <w:b w:val="0"/>
            <w:bCs w:val="0"/>
            <w:i w:val="0"/>
            <w:iCs w:val="0"/>
          </w:rPr>
          <w:t>[عدم ورود شیء ممّا اورد علیه:]</w:t>
        </w:r>
        <w:r>
          <w:tab/>
        </w:r>
        <w:r>
          <w:fldChar w:fldCharType="begin"/>
        </w:r>
        <w:r>
          <w:instrText xml:space="preserve">PAGEREF 867 \h</w:instrText>
        </w:r>
        <w:r>
          <w:fldChar w:fldCharType="end"/>
        </w:r>
      </w:hyperlink>
    </w:p>
    <w:p>
      <w:pPr>
        <w:tabs>
          <w:tab w:val="right" w:leader="dot" w:pos="9062"/>
        </w:tabs>
        <w:ind w:left="1100"/>
      </w:pPr>
      <w:hyperlink w:anchor="_Toc868" w:history="1">
        <w:r>
          <w:rPr>
            <w:rFonts w:ascii="IRNazanin" w:hAnsi="IRNazanin" w:eastAsia="IRNazanin" w:cs="IRNazanin"/>
            <w:color w:val="111111"/>
            <w:sz w:val="22"/>
            <w:szCs w:val="22"/>
            <w:b w:val="0"/>
            <w:bCs w:val="0"/>
            <w:i w:val="0"/>
            <w:iCs w:val="0"/>
          </w:rPr>
          <w:t>[رجوع إلی کلام الفاضل التونی و التعلیق علیه:]</w:t>
        </w:r>
        <w:r>
          <w:tab/>
        </w:r>
        <w:r>
          <w:fldChar w:fldCharType="begin"/>
        </w:r>
        <w:r>
          <w:instrText xml:space="preserve">PAGEREF 868 \h</w:instrText>
        </w:r>
        <w:r>
          <w:fldChar w:fldCharType="end"/>
        </w:r>
      </w:hyperlink>
    </w:p>
    <w:p>
      <w:pPr>
        <w:tabs>
          <w:tab w:val="right" w:leader="dot" w:pos="9062"/>
        </w:tabs>
        <w:ind w:left="1100"/>
      </w:pPr>
      <w:hyperlink w:anchor="_Toc869" w:history="1">
        <w:r>
          <w:rPr>
            <w:rFonts w:ascii="IRNazanin" w:hAnsi="IRNazanin" w:eastAsia="IRNazanin" w:cs="IRNazanin"/>
            <w:color w:val="111111"/>
            <w:sz w:val="22"/>
            <w:szCs w:val="22"/>
            <w:b w:val="0"/>
            <w:bCs w:val="0"/>
            <w:i w:val="0"/>
            <w:iCs w:val="0"/>
          </w:rPr>
          <w:t>[شبهة اخری فی منع جریان الاستصحاب فی الأحکام التکلیفیّة:]</w:t>
        </w:r>
        <w:r>
          <w:tab/>
        </w:r>
        <w:r>
          <w:fldChar w:fldCharType="begin"/>
        </w:r>
        <w:r>
          <w:instrText xml:space="preserve">PAGEREF 869 \h</w:instrText>
        </w:r>
        <w:r>
          <w:fldChar w:fldCharType="end"/>
        </w:r>
      </w:hyperlink>
    </w:p>
    <w:p>
      <w:pPr>
        <w:tabs>
          <w:tab w:val="right" w:leader="dot" w:pos="9062"/>
        </w:tabs>
        <w:ind w:left="1100"/>
      </w:pPr>
      <w:hyperlink w:anchor="_Toc8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870 \h</w:instrText>
        </w:r>
        <w:r>
          <w:fldChar w:fldCharType="end"/>
        </w:r>
      </w:hyperlink>
    </w:p>
    <w:p>
      <w:pPr>
        <w:tabs>
          <w:tab w:val="right" w:leader="dot" w:pos="9062"/>
        </w:tabs>
        <w:ind w:left="1100"/>
      </w:pPr>
      <w:hyperlink w:anchor="_Toc871" w:history="1">
        <w:r>
          <w:rPr>
            <w:rFonts w:ascii="IRNazanin" w:hAnsi="IRNazanin" w:eastAsia="IRNazanin" w:cs="IRNazanin"/>
            <w:color w:val="111111"/>
            <w:sz w:val="22"/>
            <w:szCs w:val="22"/>
            <w:b w:val="0"/>
            <w:bCs w:val="0"/>
            <w:i w:val="0"/>
            <w:iCs w:val="0"/>
          </w:rPr>
          <w:t>[الجواب عن هذه الشبهة:]</w:t>
        </w:r>
        <w:r>
          <w:tab/>
        </w:r>
        <w:r>
          <w:fldChar w:fldCharType="begin"/>
        </w:r>
        <w:r>
          <w:instrText xml:space="preserve">PAGEREF 871 \h</w:instrText>
        </w:r>
        <w:r>
          <w:fldChar w:fldCharType="end"/>
        </w:r>
      </w:hyperlink>
    </w:p>
    <w:p>
      <w:pPr>
        <w:tabs>
          <w:tab w:val="right" w:leader="dot" w:pos="9062"/>
        </w:tabs>
        <w:ind w:left="880"/>
      </w:pPr>
      <w:hyperlink w:anchor="_Toc872" w:history="1">
        <w:r>
          <w:rPr>
            <w:rFonts w:ascii="IRNazanin" w:hAnsi="IRNazanin" w:eastAsia="IRNazanin" w:cs="IRNazanin"/>
            <w:color w:val="111111"/>
            <w:sz w:val="22"/>
            <w:szCs w:val="22"/>
            <w:b w:val="0"/>
            <w:bCs w:val="0"/>
            <w:i w:val="0"/>
            <w:iCs w:val="0"/>
          </w:rPr>
          <w:t>[حجّة القول الثامن] : [التفصیل بین ما ثبت بالإجماع و غیره و نسبته الی الغزالی:]</w:t>
        </w:r>
        <w:r>
          <w:tab/>
        </w:r>
        <w:r>
          <w:fldChar w:fldCharType="begin"/>
        </w:r>
        <w:r>
          <w:instrText xml:space="preserve">PAGEREF 872 \h</w:instrText>
        </w:r>
        <w:r>
          <w:fldChar w:fldCharType="end"/>
        </w:r>
      </w:hyperlink>
    </w:p>
    <w:p>
      <w:pPr>
        <w:tabs>
          <w:tab w:val="right" w:leader="dot" w:pos="9062"/>
        </w:tabs>
        <w:ind w:left="1100"/>
      </w:pPr>
      <w:hyperlink w:anchor="_Toc8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873 \h</w:instrText>
        </w:r>
        <w:r>
          <w:fldChar w:fldCharType="end"/>
        </w:r>
      </w:hyperlink>
    </w:p>
    <w:p>
      <w:pPr>
        <w:tabs>
          <w:tab w:val="right" w:leader="dot" w:pos="9062"/>
        </w:tabs>
        <w:ind w:left="1100"/>
      </w:pPr>
      <w:hyperlink w:anchor="_Toc874" w:history="1">
        <w:r>
          <w:rPr>
            <w:rFonts w:ascii="IRNazanin" w:hAnsi="IRNazanin" w:eastAsia="IRNazanin" w:cs="IRNazanin"/>
            <w:color w:val="111111"/>
            <w:sz w:val="22"/>
            <w:szCs w:val="22"/>
            <w:b w:val="0"/>
            <w:bCs w:val="0"/>
            <w:i w:val="0"/>
            <w:iCs w:val="0"/>
          </w:rPr>
          <w:t>[ظاهر کلام الغزالی إنکار الاستصحاب مطلقا:]</w:t>
        </w:r>
        <w:r>
          <w:tab/>
        </w:r>
        <w:r>
          <w:fldChar w:fldCharType="begin"/>
        </w:r>
        <w:r>
          <w:instrText xml:space="preserve">PAGEREF 874 \h</w:instrText>
        </w:r>
        <w:r>
          <w:fldChar w:fldCharType="end"/>
        </w:r>
      </w:hyperlink>
    </w:p>
    <w:p>
      <w:pPr>
        <w:tabs>
          <w:tab w:val="right" w:leader="dot" w:pos="9062"/>
        </w:tabs>
        <w:ind w:left="1100"/>
      </w:pPr>
      <w:hyperlink w:anchor="_Toc875" w:history="1">
        <w:r>
          <w:rPr>
            <w:rFonts w:ascii="IRNazanin" w:hAnsi="IRNazanin" w:eastAsia="IRNazanin" w:cs="IRNazanin"/>
            <w:color w:val="111111"/>
            <w:sz w:val="22"/>
            <w:szCs w:val="22"/>
            <w:b w:val="0"/>
            <w:bCs w:val="0"/>
            <w:i w:val="0"/>
            <w:iCs w:val="0"/>
          </w:rPr>
          <w:t>[منشأ نسبة هذا التفصیل إلی الغزالی:]</w:t>
        </w:r>
        <w:r>
          <w:tab/>
        </w:r>
        <w:r>
          <w:fldChar w:fldCharType="begin"/>
        </w:r>
        <w:r>
          <w:instrText xml:space="preserve">PAGEREF 875 \h</w:instrText>
        </w:r>
        <w:r>
          <w:fldChar w:fldCharType="end"/>
        </w:r>
      </w:hyperlink>
    </w:p>
    <w:p>
      <w:pPr>
        <w:tabs>
          <w:tab w:val="right" w:leader="dot" w:pos="9062"/>
        </w:tabs>
        <w:ind w:left="1100"/>
      </w:pPr>
      <w:hyperlink w:anchor="_Toc876" w:history="1">
        <w:r>
          <w:rPr>
            <w:rFonts w:ascii="IRNazanin" w:hAnsi="IRNazanin" w:eastAsia="IRNazanin" w:cs="IRNazanin"/>
            <w:color w:val="111111"/>
            <w:sz w:val="22"/>
            <w:szCs w:val="22"/>
            <w:b w:val="0"/>
            <w:bCs w:val="0"/>
            <w:i w:val="0"/>
            <w:iCs w:val="0"/>
          </w:rPr>
          <w:t>[کلام الغزالیّ:]</w:t>
        </w:r>
        <w:r>
          <w:tab/>
        </w:r>
        <w:r>
          <w:fldChar w:fldCharType="begin"/>
        </w:r>
        <w:r>
          <w:instrText xml:space="preserve">PAGEREF 876 \h</w:instrText>
        </w:r>
        <w:r>
          <w:fldChar w:fldCharType="end"/>
        </w:r>
      </w:hyperlink>
    </w:p>
    <w:p>
      <w:pPr>
        <w:tabs>
          <w:tab w:val="right" w:leader="dot" w:pos="9062"/>
        </w:tabs>
        <w:ind w:left="1100"/>
      </w:pPr>
      <w:hyperlink w:anchor="_Toc877" w:history="1">
        <w:r>
          <w:rPr>
            <w:rFonts w:ascii="IRNazanin" w:hAnsi="IRNazanin" w:eastAsia="IRNazanin" w:cs="IRNazanin"/>
            <w:color w:val="111111"/>
            <w:sz w:val="22"/>
            <w:szCs w:val="22"/>
            <w:b w:val="0"/>
            <w:bCs w:val="0"/>
            <w:i w:val="0"/>
            <w:iCs w:val="0"/>
          </w:rPr>
          <w:t>[نسبة شارح المختصر القول بحجّیة الاستصحاب مطلقا إلی الغزالی:]</w:t>
        </w:r>
        <w:r>
          <w:tab/>
        </w:r>
        <w:r>
          <w:fldChar w:fldCharType="begin"/>
        </w:r>
        <w:r>
          <w:instrText xml:space="preserve">PAGEREF 877 \h</w:instrText>
        </w:r>
        <w:r>
          <w:fldChar w:fldCharType="end"/>
        </w:r>
      </w:hyperlink>
    </w:p>
    <w:p>
      <w:pPr>
        <w:tabs>
          <w:tab w:val="right" w:leader="dot" w:pos="9062"/>
        </w:tabs>
        <w:ind w:left="1100"/>
      </w:pPr>
      <w:hyperlink w:anchor="_Toc878" w:history="1">
        <w:r>
          <w:rPr>
            <w:rFonts w:ascii="IRNazanin" w:hAnsi="IRNazanin" w:eastAsia="IRNazanin" w:cs="IRNazanin"/>
            <w:color w:val="111111"/>
            <w:sz w:val="22"/>
            <w:szCs w:val="22"/>
            <w:b w:val="0"/>
            <w:bCs w:val="0"/>
            <w:i w:val="0"/>
            <w:iCs w:val="0"/>
          </w:rPr>
          <w:t>[کلام السیّد الصدر فی الجمع بین قولی الغزالی:]</w:t>
        </w:r>
        <w:r>
          <w:tab/>
        </w:r>
        <w:r>
          <w:fldChar w:fldCharType="begin"/>
        </w:r>
        <w:r>
          <w:instrText xml:space="preserve">PAGEREF 878 \h</w:instrText>
        </w:r>
        <w:r>
          <w:fldChar w:fldCharType="end"/>
        </w:r>
      </w:hyperlink>
    </w:p>
    <w:p>
      <w:pPr>
        <w:tabs>
          <w:tab w:val="right" w:leader="dot" w:pos="9062"/>
        </w:tabs>
        <w:ind w:left="1100"/>
      </w:pPr>
      <w:hyperlink w:anchor="_Toc8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879 \h</w:instrText>
        </w:r>
        <w:r>
          <w:fldChar w:fldCharType="end"/>
        </w:r>
      </w:hyperlink>
    </w:p>
    <w:p>
      <w:pPr>
        <w:tabs>
          <w:tab w:val="right" w:leader="dot" w:pos="9062"/>
        </w:tabs>
        <w:ind w:left="1100"/>
      </w:pPr>
      <w:hyperlink w:anchor="_Toc880" w:history="1">
        <w:r>
          <w:rPr>
            <w:rFonts w:ascii="IRNazanin" w:hAnsi="IRNazanin" w:eastAsia="IRNazanin" w:cs="IRNazanin"/>
            <w:color w:val="111111"/>
            <w:sz w:val="22"/>
            <w:szCs w:val="22"/>
            <w:b w:val="0"/>
            <w:bCs w:val="0"/>
            <w:i w:val="0"/>
            <w:iCs w:val="0"/>
          </w:rPr>
          <w:t>[المناقشة فی ما أفاده السیّد الصدر:]</w:t>
        </w:r>
        <w:r>
          <w:tab/>
        </w:r>
        <w:r>
          <w:fldChar w:fldCharType="begin"/>
        </w:r>
        <w:r>
          <w:instrText xml:space="preserve">PAGEREF 880 \h</w:instrText>
        </w:r>
        <w:r>
          <w:fldChar w:fldCharType="end"/>
        </w:r>
      </w:hyperlink>
    </w:p>
    <w:p>
      <w:pPr>
        <w:tabs>
          <w:tab w:val="right" w:leader="dot" w:pos="9062"/>
        </w:tabs>
        <w:ind w:left="880"/>
      </w:pPr>
      <w:hyperlink w:anchor="_Toc881" w:history="1">
        <w:r>
          <w:rPr>
            <w:rFonts w:ascii="IRNazanin" w:hAnsi="IRNazanin" w:eastAsia="IRNazanin" w:cs="IRNazanin"/>
            <w:color w:val="111111"/>
            <w:sz w:val="22"/>
            <w:szCs w:val="22"/>
            <w:b w:val="0"/>
            <w:bCs w:val="0"/>
            <w:i w:val="0"/>
            <w:iCs w:val="0"/>
          </w:rPr>
          <w:t>حجّة القول التاسع [:التفصیل بین الشک فی المقتضی و الشک فی الرافع:]</w:t>
        </w:r>
        <w:r>
          <w:tab/>
        </w:r>
        <w:r>
          <w:fldChar w:fldCharType="begin"/>
        </w:r>
        <w:r>
          <w:instrText xml:space="preserve">PAGEREF 881 \h</w:instrText>
        </w:r>
        <w:r>
          <w:fldChar w:fldCharType="end"/>
        </w:r>
      </w:hyperlink>
    </w:p>
    <w:p>
      <w:pPr>
        <w:tabs>
          <w:tab w:val="right" w:leader="dot" w:pos="9062"/>
        </w:tabs>
        <w:ind w:left="1100"/>
      </w:pPr>
      <w:hyperlink w:anchor="_Toc8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882 \h</w:instrText>
        </w:r>
        <w:r>
          <w:fldChar w:fldCharType="end"/>
        </w:r>
      </w:hyperlink>
    </w:p>
    <w:p>
      <w:pPr>
        <w:tabs>
          <w:tab w:val="right" w:leader="dot" w:pos="9062"/>
        </w:tabs>
        <w:ind w:left="1100"/>
      </w:pPr>
      <w:hyperlink w:anchor="_Toc883" w:history="1">
        <w:r>
          <w:rPr>
            <w:rFonts w:ascii="IRNazanin" w:hAnsi="IRNazanin" w:eastAsia="IRNazanin" w:cs="IRNazanin"/>
            <w:color w:val="111111"/>
            <w:sz w:val="22"/>
            <w:szCs w:val="22"/>
            <w:b w:val="0"/>
            <w:bCs w:val="0"/>
            <w:i w:val="0"/>
            <w:iCs w:val="0"/>
          </w:rPr>
          <w:t>[ما استدلّ به فی المعارج علی هذا القول:]</w:t>
        </w:r>
        <w:r>
          <w:tab/>
        </w:r>
        <w:r>
          <w:fldChar w:fldCharType="begin"/>
        </w:r>
        <w:r>
          <w:instrText xml:space="preserve">PAGEREF 883 \h</w:instrText>
        </w:r>
        <w:r>
          <w:fldChar w:fldCharType="end"/>
        </w:r>
      </w:hyperlink>
    </w:p>
    <w:p>
      <w:pPr>
        <w:tabs>
          <w:tab w:val="right" w:leader="dot" w:pos="9062"/>
        </w:tabs>
        <w:ind w:left="1100"/>
      </w:pPr>
      <w:hyperlink w:anchor="_Toc8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884 \h</w:instrText>
        </w:r>
        <w:r>
          <w:fldChar w:fldCharType="end"/>
        </w:r>
      </w:hyperlink>
    </w:p>
    <w:p>
      <w:pPr>
        <w:tabs>
          <w:tab w:val="right" w:leader="dot" w:pos="9062"/>
        </w:tabs>
        <w:ind w:left="1100"/>
      </w:pPr>
      <w:hyperlink w:anchor="_Toc885" w:history="1">
        <w:r>
          <w:rPr>
            <w:rFonts w:ascii="IRNazanin" w:hAnsi="IRNazanin" w:eastAsia="IRNazanin" w:cs="IRNazanin"/>
            <w:color w:val="111111"/>
            <w:sz w:val="22"/>
            <w:szCs w:val="22"/>
            <w:b w:val="0"/>
            <w:bCs w:val="0"/>
            <w:i w:val="0"/>
            <w:iCs w:val="0"/>
          </w:rPr>
          <w:t>[المناقشة فی الدلیل المذکور:]</w:t>
        </w:r>
        <w:r>
          <w:tab/>
        </w:r>
        <w:r>
          <w:fldChar w:fldCharType="begin"/>
        </w:r>
        <w:r>
          <w:instrText xml:space="preserve">PAGEREF 885 \h</w:instrText>
        </w:r>
        <w:r>
          <w:fldChar w:fldCharType="end"/>
        </w:r>
      </w:hyperlink>
    </w:p>
    <w:p>
      <w:pPr>
        <w:tabs>
          <w:tab w:val="right" w:leader="dot" w:pos="9062"/>
        </w:tabs>
        <w:ind w:left="1100"/>
      </w:pPr>
      <w:hyperlink w:anchor="_Toc8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886 \h</w:instrText>
        </w:r>
        <w:r>
          <w:fldChar w:fldCharType="end"/>
        </w:r>
      </w:hyperlink>
    </w:p>
    <w:p>
      <w:pPr>
        <w:tabs>
          <w:tab w:val="right" w:leader="dot" w:pos="9062"/>
        </w:tabs>
        <w:ind w:left="1100"/>
      </w:pPr>
      <w:hyperlink w:anchor="_Toc887" w:history="1">
        <w:r>
          <w:rPr>
            <w:rFonts w:ascii="IRNazanin" w:hAnsi="IRNazanin" w:eastAsia="IRNazanin" w:cs="IRNazanin"/>
            <w:color w:val="111111"/>
            <w:sz w:val="22"/>
            <w:szCs w:val="22"/>
            <w:b w:val="0"/>
            <w:bCs w:val="0"/>
            <w:i w:val="0"/>
            <w:iCs w:val="0"/>
          </w:rPr>
          <w:t>[الأولی فی الاستدلال علی هذا القول:]</w:t>
        </w:r>
        <w:r>
          <w:tab/>
        </w:r>
        <w:r>
          <w:fldChar w:fldCharType="begin"/>
        </w:r>
        <w:r>
          <w:instrText xml:space="preserve">PAGEREF 887 \h</w:instrText>
        </w:r>
        <w:r>
          <w:fldChar w:fldCharType="end"/>
        </w:r>
      </w:hyperlink>
    </w:p>
    <w:p>
      <w:pPr>
        <w:tabs>
          <w:tab w:val="right" w:leader="dot" w:pos="9062"/>
        </w:tabs>
        <w:ind w:left="1100"/>
      </w:pPr>
      <w:hyperlink w:anchor="_Toc888" w:history="1">
        <w:r>
          <w:rPr>
            <w:rFonts w:ascii="IRNazanin" w:hAnsi="IRNazanin" w:eastAsia="IRNazanin" w:cs="IRNazanin"/>
            <w:color w:val="111111"/>
            <w:sz w:val="22"/>
            <w:szCs w:val="22"/>
            <w:b w:val="0"/>
            <w:bCs w:val="0"/>
            <w:i w:val="0"/>
            <w:iCs w:val="0"/>
          </w:rPr>
          <w:t>[مبنی نسبة هذا القول إلی المحقّق:]</w:t>
        </w:r>
        <w:r>
          <w:tab/>
        </w:r>
        <w:r>
          <w:fldChar w:fldCharType="begin"/>
        </w:r>
        <w:r>
          <w:instrText xml:space="preserve">PAGEREF 888 \h</w:instrText>
        </w:r>
        <w:r>
          <w:fldChar w:fldCharType="end"/>
        </w:r>
      </w:hyperlink>
    </w:p>
    <w:p>
      <w:pPr>
        <w:tabs>
          <w:tab w:val="right" w:leader="dot" w:pos="9062"/>
        </w:tabs>
        <w:ind w:left="1100"/>
      </w:pPr>
      <w:hyperlink w:anchor="_Toc889" w:history="1">
        <w:r>
          <w:rPr>
            <w:rFonts w:ascii="IRNazanin" w:hAnsi="IRNazanin" w:eastAsia="IRNazanin" w:cs="IRNazanin"/>
            <w:color w:val="111111"/>
            <w:sz w:val="22"/>
            <w:szCs w:val="22"/>
            <w:b w:val="0"/>
            <w:bCs w:val="0"/>
            <w:i w:val="0"/>
            <w:iCs w:val="0"/>
          </w:rPr>
          <w:t>اشارة</w:t>
        </w:r>
        <w:r>
          <w:tab/>
        </w:r>
        <w:r>
          <w:fldChar w:fldCharType="begin"/>
        </w:r>
        <w:r>
          <w:instrText xml:space="preserve">PAGEREF 889 \h</w:instrText>
        </w:r>
        <w:r>
          <w:fldChar w:fldCharType="end"/>
        </w:r>
      </w:hyperlink>
    </w:p>
    <w:p>
      <w:pPr>
        <w:tabs>
          <w:tab w:val="right" w:leader="dot" w:pos="9062"/>
        </w:tabs>
        <w:ind w:left="1100"/>
      </w:pPr>
      <w:hyperlink w:anchor="_Toc890" w:history="1">
        <w:r>
          <w:rPr>
            <w:rFonts w:ascii="IRNazanin" w:hAnsi="IRNazanin" w:eastAsia="IRNazanin" w:cs="IRNazanin"/>
            <w:color w:val="111111"/>
            <w:sz w:val="22"/>
            <w:szCs w:val="22"/>
            <w:b w:val="0"/>
            <w:bCs w:val="0"/>
            <w:i w:val="0"/>
            <w:iCs w:val="0"/>
          </w:rPr>
          <w:t>[المناقشة فی المبنی المذکور:]</w:t>
        </w:r>
        <w:r>
          <w:tab/>
        </w:r>
        <w:r>
          <w:fldChar w:fldCharType="begin"/>
        </w:r>
        <w:r>
          <w:instrText xml:space="preserve">PAGEREF 890 \h</w:instrText>
        </w:r>
        <w:r>
          <w:fldChar w:fldCharType="end"/>
        </w:r>
      </w:hyperlink>
    </w:p>
    <w:p>
      <w:pPr>
        <w:tabs>
          <w:tab w:val="right" w:leader="dot" w:pos="9062"/>
        </w:tabs>
        <w:ind w:left="1100"/>
      </w:pPr>
      <w:hyperlink w:anchor="_Toc891" w:history="1">
        <w:r>
          <w:rPr>
            <w:rFonts w:ascii="IRNazanin" w:hAnsi="IRNazanin" w:eastAsia="IRNazanin" w:cs="IRNazanin"/>
            <w:color w:val="111111"/>
            <w:sz w:val="22"/>
            <w:szCs w:val="22"/>
            <w:b w:val="0"/>
            <w:bCs w:val="0"/>
            <w:i w:val="0"/>
            <w:iCs w:val="0"/>
          </w:rPr>
          <w:t>[توجیه نسبة هذا القول إلی المحقّق:]</w:t>
        </w:r>
        <w:r>
          <w:tab/>
        </w:r>
        <w:r>
          <w:fldChar w:fldCharType="begin"/>
        </w:r>
        <w:r>
          <w:instrText xml:space="preserve">PAGEREF 891 \h</w:instrText>
        </w:r>
        <w:r>
          <w:fldChar w:fldCharType="end"/>
        </w:r>
      </w:hyperlink>
    </w:p>
    <w:p>
      <w:pPr>
        <w:tabs>
          <w:tab w:val="right" w:leader="dot" w:pos="9062"/>
        </w:tabs>
        <w:ind w:left="880"/>
      </w:pPr>
      <w:hyperlink w:anchor="_Toc892" w:history="1">
        <w:r>
          <w:rPr>
            <w:rFonts w:ascii="IRNazanin" w:hAnsi="IRNazanin" w:eastAsia="IRNazanin" w:cs="IRNazanin"/>
            <w:color w:val="111111"/>
            <w:sz w:val="22"/>
            <w:szCs w:val="22"/>
            <w:b w:val="0"/>
            <w:bCs w:val="0"/>
            <w:i w:val="0"/>
            <w:iCs w:val="0"/>
          </w:rPr>
          <w:t>حجّة القول العاشر [التفصیل بین الشک فی وجود الغایة و عدمه:]</w:t>
        </w:r>
        <w:r>
          <w:tab/>
        </w:r>
        <w:r>
          <w:fldChar w:fldCharType="begin"/>
        </w:r>
        <w:r>
          <w:instrText xml:space="preserve">PAGEREF 892 \h</w:instrText>
        </w:r>
        <w:r>
          <w:fldChar w:fldCharType="end"/>
        </w:r>
      </w:hyperlink>
    </w:p>
    <w:p>
      <w:pPr>
        <w:tabs>
          <w:tab w:val="right" w:leader="dot" w:pos="9062"/>
        </w:tabs>
        <w:ind w:left="1100"/>
      </w:pPr>
      <w:hyperlink w:anchor="_Toc893" w:history="1">
        <w:r>
          <w:rPr>
            <w:rFonts w:ascii="IRNazanin" w:hAnsi="IRNazanin" w:eastAsia="IRNazanin" w:cs="IRNazanin"/>
            <w:color w:val="111111"/>
            <w:sz w:val="22"/>
            <w:szCs w:val="22"/>
            <w:b w:val="0"/>
            <w:bCs w:val="0"/>
            <w:i w:val="0"/>
            <w:iCs w:val="0"/>
          </w:rPr>
          <w:t>اشارة</w:t>
        </w:r>
        <w:r>
          <w:tab/>
        </w:r>
        <w:r>
          <w:fldChar w:fldCharType="begin"/>
        </w:r>
        <w:r>
          <w:instrText xml:space="preserve">PAGEREF 893 \h</w:instrText>
        </w:r>
        <w:r>
          <w:fldChar w:fldCharType="end"/>
        </w:r>
      </w:hyperlink>
    </w:p>
    <w:p>
      <w:pPr>
        <w:tabs>
          <w:tab w:val="right" w:leader="dot" w:pos="9062"/>
        </w:tabs>
        <w:ind w:left="1100"/>
      </w:pPr>
      <w:hyperlink w:anchor="_Toc894" w:history="1">
        <w:r>
          <w:rPr>
            <w:rFonts w:ascii="IRNazanin" w:hAnsi="IRNazanin" w:eastAsia="IRNazanin" w:cs="IRNazanin"/>
            <w:color w:val="111111"/>
            <w:sz w:val="22"/>
            <w:szCs w:val="22"/>
            <w:b w:val="0"/>
            <w:bCs w:val="0"/>
            <w:i w:val="0"/>
            <w:iCs w:val="0"/>
          </w:rPr>
          <w:t>[ما استدلّ به المحقّق السبزواری علی هذا القول:]</w:t>
        </w:r>
        <w:r>
          <w:tab/>
        </w:r>
        <w:r>
          <w:fldChar w:fldCharType="begin"/>
        </w:r>
        <w:r>
          <w:instrText xml:space="preserve">PAGEREF 894 \h</w:instrText>
        </w:r>
        <w:r>
          <w:fldChar w:fldCharType="end"/>
        </w:r>
      </w:hyperlink>
    </w:p>
    <w:p>
      <w:pPr>
        <w:tabs>
          <w:tab w:val="right" w:leader="dot" w:pos="9062"/>
        </w:tabs>
        <w:ind w:left="1100"/>
      </w:pPr>
      <w:hyperlink w:anchor="_Toc895" w:history="1">
        <w:r>
          <w:rPr>
            <w:rFonts w:ascii="IRNazanin" w:hAnsi="IRNazanin" w:eastAsia="IRNazanin" w:cs="IRNazanin"/>
            <w:color w:val="111111"/>
            <w:sz w:val="22"/>
            <w:szCs w:val="22"/>
            <w:b w:val="0"/>
            <w:bCs w:val="0"/>
            <w:i w:val="0"/>
            <w:iCs w:val="0"/>
          </w:rPr>
          <w:t>اشارة</w:t>
        </w:r>
        <w:r>
          <w:tab/>
        </w:r>
        <w:r>
          <w:fldChar w:fldCharType="begin"/>
        </w:r>
        <w:r>
          <w:instrText xml:space="preserve">PAGEREF 895 \h</w:instrText>
        </w:r>
        <w:r>
          <w:fldChar w:fldCharType="end"/>
        </w:r>
      </w:hyperlink>
    </w:p>
    <w:p>
      <w:pPr>
        <w:tabs>
          <w:tab w:val="right" w:leader="dot" w:pos="9062"/>
        </w:tabs>
        <w:ind w:left="1100"/>
      </w:pPr>
      <w:hyperlink w:anchor="_Toc896" w:history="1">
        <w:r>
          <w:rPr>
            <w:rFonts w:ascii="IRNazanin" w:hAnsi="IRNazanin" w:eastAsia="IRNazanin" w:cs="IRNazanin"/>
            <w:color w:val="111111"/>
            <w:sz w:val="22"/>
            <w:szCs w:val="22"/>
            <w:b w:val="0"/>
            <w:bCs w:val="0"/>
            <w:i w:val="0"/>
            <w:iCs w:val="0"/>
          </w:rPr>
          <w:t>[المناقشة فیما أفاده المحقّق السبزواری:]</w:t>
        </w:r>
        <w:r>
          <w:tab/>
        </w:r>
        <w:r>
          <w:fldChar w:fldCharType="begin"/>
        </w:r>
        <w:r>
          <w:instrText xml:space="preserve">PAGEREF 896 \h</w:instrText>
        </w:r>
        <w:r>
          <w:fldChar w:fldCharType="end"/>
        </w:r>
      </w:hyperlink>
    </w:p>
    <w:p>
      <w:pPr>
        <w:tabs>
          <w:tab w:val="right" w:leader="dot" w:pos="9062"/>
        </w:tabs>
        <w:ind w:left="880"/>
      </w:pPr>
      <w:hyperlink w:anchor="_Toc897" w:history="1">
        <w:r>
          <w:rPr>
            <w:rFonts w:ascii="IRNazanin" w:hAnsi="IRNazanin" w:eastAsia="IRNazanin" w:cs="IRNazanin"/>
            <w:color w:val="111111"/>
            <w:sz w:val="22"/>
            <w:szCs w:val="22"/>
            <w:b w:val="0"/>
            <w:bCs w:val="0"/>
            <w:i w:val="0"/>
            <w:iCs w:val="0"/>
          </w:rPr>
          <w:t>حجّة القول الحادی عشر [التفصیل المتقدم مع زیادة الشک فی مصداق الغایة:]</w:t>
        </w:r>
        <w:r>
          <w:tab/>
        </w:r>
        <w:r>
          <w:fldChar w:fldCharType="begin"/>
        </w:r>
        <w:r>
          <w:instrText xml:space="preserve">PAGEREF 897 \h</w:instrText>
        </w:r>
        <w:r>
          <w:fldChar w:fldCharType="end"/>
        </w:r>
      </w:hyperlink>
    </w:p>
    <w:p>
      <w:pPr>
        <w:tabs>
          <w:tab w:val="right" w:leader="dot" w:pos="9062"/>
        </w:tabs>
        <w:ind w:left="1100"/>
      </w:pPr>
      <w:hyperlink w:anchor="_Toc898" w:history="1">
        <w:r>
          <w:rPr>
            <w:rFonts w:ascii="IRNazanin" w:hAnsi="IRNazanin" w:eastAsia="IRNazanin" w:cs="IRNazanin"/>
            <w:color w:val="111111"/>
            <w:sz w:val="22"/>
            <w:szCs w:val="22"/>
            <w:b w:val="0"/>
            <w:bCs w:val="0"/>
            <w:i w:val="0"/>
            <w:iCs w:val="0"/>
          </w:rPr>
          <w:t>[استدلال المحقّق الخوانساری علی هذا القول:]</w:t>
        </w:r>
        <w:r>
          <w:tab/>
        </w:r>
        <w:r>
          <w:fldChar w:fldCharType="begin"/>
        </w:r>
        <w:r>
          <w:instrText xml:space="preserve">PAGEREF 898 \h</w:instrText>
        </w:r>
        <w:r>
          <w:fldChar w:fldCharType="end"/>
        </w:r>
      </w:hyperlink>
    </w:p>
    <w:p>
      <w:pPr>
        <w:tabs>
          <w:tab w:val="right" w:leader="dot" w:pos="9062"/>
        </w:tabs>
        <w:ind w:left="1100"/>
      </w:pPr>
      <w:hyperlink w:anchor="_Toc899" w:history="1">
        <w:r>
          <w:rPr>
            <w:rFonts w:ascii="IRNazanin" w:hAnsi="IRNazanin" w:eastAsia="IRNazanin" w:cs="IRNazanin"/>
            <w:color w:val="111111"/>
            <w:sz w:val="22"/>
            <w:szCs w:val="22"/>
            <w:b w:val="0"/>
            <w:bCs w:val="0"/>
            <w:i w:val="0"/>
            <w:iCs w:val="0"/>
          </w:rPr>
          <w:t>اشارة</w:t>
        </w:r>
        <w:r>
          <w:tab/>
        </w:r>
        <w:r>
          <w:fldChar w:fldCharType="begin"/>
        </w:r>
        <w:r>
          <w:instrText xml:space="preserve">PAGEREF 899 \h</w:instrText>
        </w:r>
        <w:r>
          <w:fldChar w:fldCharType="end"/>
        </w:r>
      </w:hyperlink>
    </w:p>
    <w:p>
      <w:pPr>
        <w:tabs>
          <w:tab w:val="right" w:leader="dot" w:pos="9062"/>
        </w:tabs>
        <w:ind w:left="1100"/>
      </w:pPr>
      <w:hyperlink w:anchor="_Toc900" w:history="1">
        <w:r>
          <w:rPr>
            <w:rFonts w:ascii="IRNazanin" w:hAnsi="IRNazanin" w:eastAsia="IRNazanin" w:cs="IRNazanin"/>
            <w:color w:val="111111"/>
            <w:sz w:val="22"/>
            <w:szCs w:val="22"/>
            <w:b w:val="0"/>
            <w:bCs w:val="0"/>
            <w:i w:val="0"/>
            <w:iCs w:val="0"/>
          </w:rPr>
          <w:t>[المناقشة فیما أفاده المحقّق الخوانساری:]</w:t>
        </w:r>
        <w:r>
          <w:tab/>
        </w:r>
        <w:r>
          <w:fldChar w:fldCharType="begin"/>
        </w:r>
        <w:r>
          <w:instrText xml:space="preserve">PAGEREF 900 \h</w:instrText>
        </w:r>
        <w:r>
          <w:fldChar w:fldCharType="end"/>
        </w:r>
      </w:hyperlink>
    </w:p>
    <w:p>
      <w:pPr>
        <w:tabs>
          <w:tab w:val="right" w:leader="dot" w:pos="9062"/>
        </w:tabs>
        <w:ind w:left="1100"/>
      </w:pPr>
      <w:hyperlink w:anchor="_Toc901" w:history="1">
        <w:r>
          <w:rPr>
            <w:rFonts w:ascii="IRNazanin" w:hAnsi="IRNazanin" w:eastAsia="IRNazanin" w:cs="IRNazanin"/>
            <w:color w:val="111111"/>
            <w:sz w:val="22"/>
            <w:szCs w:val="22"/>
            <w:b w:val="0"/>
            <w:bCs w:val="0"/>
            <w:i w:val="0"/>
            <w:iCs w:val="0"/>
          </w:rPr>
          <w:t>[توجیه ما ذکره المحقق الخوانساری فی الحکم التخییری:]</w:t>
        </w:r>
        <w:r>
          <w:tab/>
        </w:r>
        <w:r>
          <w:fldChar w:fldCharType="begin"/>
        </w:r>
        <w:r>
          <w:instrText xml:space="preserve">PAGEREF 901 \h</w:instrText>
        </w:r>
        <w:r>
          <w:fldChar w:fldCharType="end"/>
        </w:r>
      </w:hyperlink>
    </w:p>
    <w:p>
      <w:pPr>
        <w:tabs>
          <w:tab w:val="right" w:leader="dot" w:pos="9062"/>
        </w:tabs>
        <w:ind w:left="1100"/>
      </w:pPr>
      <w:hyperlink w:anchor="_Toc902" w:history="1">
        <w:r>
          <w:rPr>
            <w:rFonts w:ascii="IRNazanin" w:hAnsi="IRNazanin" w:eastAsia="IRNazanin" w:cs="IRNazanin"/>
            <w:color w:val="111111"/>
            <w:sz w:val="22"/>
            <w:szCs w:val="22"/>
            <w:b w:val="0"/>
            <w:bCs w:val="0"/>
            <w:i w:val="0"/>
            <w:iCs w:val="0"/>
          </w:rPr>
          <w:t>[توجیه المحقّق القمّی:]</w:t>
        </w:r>
        <w:r>
          <w:tab/>
        </w:r>
        <w:r>
          <w:fldChar w:fldCharType="begin"/>
        </w:r>
        <w:r>
          <w:instrText xml:space="preserve">PAGEREF 902 \h</w:instrText>
        </w:r>
        <w:r>
          <w:fldChar w:fldCharType="end"/>
        </w:r>
      </w:hyperlink>
    </w:p>
    <w:p>
      <w:pPr>
        <w:tabs>
          <w:tab w:val="right" w:leader="dot" w:pos="9062"/>
        </w:tabs>
        <w:ind w:left="1100"/>
      </w:pPr>
      <w:hyperlink w:anchor="_Toc9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903 \h</w:instrText>
        </w:r>
        <w:r>
          <w:fldChar w:fldCharType="end"/>
        </w:r>
      </w:hyperlink>
    </w:p>
    <w:p>
      <w:pPr>
        <w:tabs>
          <w:tab w:val="right" w:leader="dot" w:pos="9062"/>
        </w:tabs>
        <w:ind w:left="1100"/>
      </w:pPr>
      <w:hyperlink w:anchor="_Toc904" w:history="1">
        <w:r>
          <w:rPr>
            <w:rFonts w:ascii="IRNazanin" w:hAnsi="IRNazanin" w:eastAsia="IRNazanin" w:cs="IRNazanin"/>
            <w:color w:val="111111"/>
            <w:sz w:val="22"/>
            <w:szCs w:val="22"/>
            <w:b w:val="0"/>
            <w:bCs w:val="0"/>
            <w:i w:val="0"/>
            <w:iCs w:val="0"/>
          </w:rPr>
          <w:t>[المناقشة فی توجیه المحقّق القمّی:]</w:t>
        </w:r>
        <w:r>
          <w:tab/>
        </w:r>
        <w:r>
          <w:fldChar w:fldCharType="begin"/>
        </w:r>
        <w:r>
          <w:instrText xml:space="preserve">PAGEREF 904 \h</w:instrText>
        </w:r>
        <w:r>
          <w:fldChar w:fldCharType="end"/>
        </w:r>
      </w:hyperlink>
    </w:p>
    <w:p>
      <w:pPr>
        <w:tabs>
          <w:tab w:val="right" w:leader="dot" w:pos="9062"/>
        </w:tabs>
        <w:ind w:left="1100"/>
      </w:pPr>
      <w:hyperlink w:anchor="_Toc905" w:history="1">
        <w:r>
          <w:rPr>
            <w:rFonts w:ascii="IRNazanin" w:hAnsi="IRNazanin" w:eastAsia="IRNazanin" w:cs="IRNazanin"/>
            <w:color w:val="111111"/>
            <w:sz w:val="22"/>
            <w:szCs w:val="22"/>
            <w:b w:val="0"/>
            <w:bCs w:val="0"/>
            <w:i w:val="0"/>
            <w:iCs w:val="0"/>
          </w:rPr>
          <w:t>[ما أورده السید الصدر علی المحقق الخوانساری:]</w:t>
        </w:r>
        <w:r>
          <w:tab/>
        </w:r>
        <w:r>
          <w:fldChar w:fldCharType="begin"/>
        </w:r>
        <w:r>
          <w:instrText xml:space="preserve">PAGEREF 905 \h</w:instrText>
        </w:r>
        <w:r>
          <w:fldChar w:fldCharType="end"/>
        </w:r>
      </w:hyperlink>
    </w:p>
    <w:p>
      <w:pPr>
        <w:tabs>
          <w:tab w:val="right" w:leader="dot" w:pos="9062"/>
        </w:tabs>
        <w:ind w:left="1100"/>
      </w:pPr>
      <w:hyperlink w:anchor="_Toc906" w:history="1">
        <w:r>
          <w:rPr>
            <w:rFonts w:ascii="IRNazanin" w:hAnsi="IRNazanin" w:eastAsia="IRNazanin" w:cs="IRNazanin"/>
            <w:color w:val="111111"/>
            <w:sz w:val="22"/>
            <w:szCs w:val="22"/>
            <w:b w:val="0"/>
            <w:bCs w:val="0"/>
            <w:i w:val="0"/>
            <w:iCs w:val="0"/>
          </w:rPr>
          <w:t>اشارة</w:t>
        </w:r>
        <w:r>
          <w:tab/>
        </w:r>
        <w:r>
          <w:fldChar w:fldCharType="begin"/>
        </w:r>
        <w:r>
          <w:instrText xml:space="preserve">PAGEREF 906 \h</w:instrText>
        </w:r>
        <w:r>
          <w:fldChar w:fldCharType="end"/>
        </w:r>
      </w:hyperlink>
    </w:p>
    <w:p>
      <w:pPr>
        <w:tabs>
          <w:tab w:val="right" w:leader="dot" w:pos="9062"/>
        </w:tabs>
        <w:ind w:left="1100"/>
      </w:pPr>
      <w:hyperlink w:anchor="_Toc907" w:history="1">
        <w:r>
          <w:rPr>
            <w:rFonts w:ascii="IRNazanin" w:hAnsi="IRNazanin" w:eastAsia="IRNazanin" w:cs="IRNazanin"/>
            <w:color w:val="111111"/>
            <w:sz w:val="22"/>
            <w:szCs w:val="22"/>
            <w:b w:val="0"/>
            <w:bCs w:val="0"/>
            <w:i w:val="0"/>
            <w:iCs w:val="0"/>
          </w:rPr>
          <w:t>[المناقشة فی الإیراد:]</w:t>
        </w:r>
        <w:r>
          <w:tab/>
        </w:r>
        <w:r>
          <w:fldChar w:fldCharType="begin"/>
        </w:r>
        <w:r>
          <w:instrText xml:space="preserve">PAGEREF 907 \h</w:instrText>
        </w:r>
        <w:r>
          <w:fldChar w:fldCharType="end"/>
        </w:r>
      </w:hyperlink>
    </w:p>
    <w:p>
      <w:pPr>
        <w:tabs>
          <w:tab w:val="right" w:leader="dot" w:pos="9062"/>
        </w:tabs>
        <w:ind w:left="1100"/>
      </w:pPr>
      <w:hyperlink w:anchor="_Toc908" w:history="1">
        <w:r>
          <w:rPr>
            <w:rFonts w:ascii="IRNazanin" w:hAnsi="IRNazanin" w:eastAsia="IRNazanin" w:cs="IRNazanin"/>
            <w:color w:val="111111"/>
            <w:sz w:val="22"/>
            <w:szCs w:val="22"/>
            <w:b w:val="0"/>
            <w:bCs w:val="0"/>
            <w:i w:val="0"/>
            <w:iCs w:val="0"/>
          </w:rPr>
          <w:t>[رجوع إلی کلام المحقق الخوانساری:]</w:t>
        </w:r>
        <w:r>
          <w:tab/>
        </w:r>
        <w:r>
          <w:fldChar w:fldCharType="begin"/>
        </w:r>
        <w:r>
          <w:instrText xml:space="preserve">PAGEREF 908 \h</w:instrText>
        </w:r>
        <w:r>
          <w:fldChar w:fldCharType="end"/>
        </w:r>
      </w:hyperlink>
    </w:p>
    <w:p>
      <w:pPr>
        <w:tabs>
          <w:tab w:val="right" w:leader="dot" w:pos="9062"/>
        </w:tabs>
        <w:ind w:left="1100"/>
      </w:pPr>
      <w:hyperlink w:anchor="_Toc909" w:history="1">
        <w:r>
          <w:rPr>
            <w:rFonts w:ascii="IRNazanin" w:hAnsi="IRNazanin" w:eastAsia="IRNazanin" w:cs="IRNazanin"/>
            <w:color w:val="111111"/>
            <w:sz w:val="22"/>
            <w:szCs w:val="22"/>
            <w:b w:val="0"/>
            <w:bCs w:val="0"/>
            <w:i w:val="0"/>
            <w:iCs w:val="0"/>
          </w:rPr>
          <w:t>[أقوی الأقوال القول التاسع،و بعده المشهور:]</w:t>
        </w:r>
        <w:r>
          <w:tab/>
        </w:r>
        <w:r>
          <w:fldChar w:fldCharType="begin"/>
        </w:r>
        <w:r>
          <w:instrText xml:space="preserve">PAGEREF 909 \h</w:instrText>
        </w:r>
        <w:r>
          <w:fldChar w:fldCharType="end"/>
        </w:r>
      </w:hyperlink>
    </w:p>
    <w:p>
      <w:pPr>
        <w:tabs>
          <w:tab w:val="right" w:leader="dot" w:pos="9062"/>
        </w:tabs>
        <w:ind w:left="880"/>
      </w:pPr>
      <w:hyperlink w:anchor="_Toc910" w:history="1">
        <w:r>
          <w:rPr>
            <w:rFonts w:ascii="IRNazanin" w:hAnsi="IRNazanin" w:eastAsia="IRNazanin" w:cs="IRNazanin"/>
            <w:color w:val="111111"/>
            <w:sz w:val="22"/>
            <w:szCs w:val="22"/>
            <w:b w:val="0"/>
            <w:bCs w:val="0"/>
            <w:i w:val="0"/>
            <w:iCs w:val="0"/>
          </w:rPr>
          <w:t>و ینبغی التنبیه علی امور:</w:t>
        </w:r>
        <w:r>
          <w:tab/>
        </w:r>
        <w:r>
          <w:fldChar w:fldCharType="begin"/>
        </w:r>
        <w:r>
          <w:instrText xml:space="preserve">PAGEREF 910 \h</w:instrText>
        </w:r>
        <w:r>
          <w:fldChar w:fldCharType="end"/>
        </w:r>
      </w:hyperlink>
    </w:p>
    <w:p>
      <w:pPr>
        <w:tabs>
          <w:tab w:val="right" w:leader="dot" w:pos="9062"/>
        </w:tabs>
        <w:ind w:left="1100"/>
      </w:pPr>
      <w:hyperlink w:anchor="_Toc9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911 \h</w:instrText>
        </w:r>
        <w:r>
          <w:fldChar w:fldCharType="end"/>
        </w:r>
      </w:hyperlink>
    </w:p>
    <w:p>
      <w:pPr>
        <w:tabs>
          <w:tab w:val="right" w:leader="dot" w:pos="9062"/>
        </w:tabs>
        <w:ind w:left="1100"/>
      </w:pPr>
      <w:hyperlink w:anchor="_Toc912" w:history="1">
        <w:r>
          <w:rPr>
            <w:rFonts w:ascii="IRNazanin" w:hAnsi="IRNazanin" w:eastAsia="IRNazanin" w:cs="IRNazanin"/>
            <w:color w:val="111111"/>
            <w:sz w:val="22"/>
            <w:szCs w:val="22"/>
            <w:b w:val="0"/>
            <w:bCs w:val="0"/>
            <w:i w:val="0"/>
            <w:iCs w:val="0"/>
          </w:rPr>
          <w:t>الأوّل: [أقسام استصحاب الکلّی]</w:t>
        </w:r>
        <w:r>
          <w:tab/>
        </w:r>
        <w:r>
          <w:fldChar w:fldCharType="begin"/>
        </w:r>
        <w:r>
          <w:instrText xml:space="preserve">PAGEREF 912 \h</w:instrText>
        </w:r>
        <w:r>
          <w:fldChar w:fldCharType="end"/>
        </w:r>
      </w:hyperlink>
    </w:p>
    <w:p>
      <w:pPr>
        <w:tabs>
          <w:tab w:val="right" w:leader="dot" w:pos="9062"/>
        </w:tabs>
        <w:ind w:left="1100"/>
      </w:pPr>
      <w:hyperlink w:anchor="_Toc9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913 \h</w:instrText>
        </w:r>
        <w:r>
          <w:fldChar w:fldCharType="end"/>
        </w:r>
      </w:hyperlink>
    </w:p>
    <w:p>
      <w:pPr>
        <w:tabs>
          <w:tab w:val="right" w:leader="dot" w:pos="9062"/>
        </w:tabs>
        <w:ind w:left="1100"/>
      </w:pPr>
      <w:hyperlink w:anchor="_Toc914" w:history="1">
        <w:r>
          <w:rPr>
            <w:rFonts w:ascii="IRNazanin" w:hAnsi="IRNazanin" w:eastAsia="IRNazanin" w:cs="IRNazanin"/>
            <w:color w:val="111111"/>
            <w:sz w:val="22"/>
            <w:szCs w:val="22"/>
            <w:b w:val="0"/>
            <w:bCs w:val="0"/>
            <w:i w:val="0"/>
            <w:iCs w:val="0"/>
          </w:rPr>
          <w:t>[جواز استصحاب الکلّی و الفرد فی القسم الأوّل:]</w:t>
        </w:r>
        <w:r>
          <w:tab/>
        </w:r>
        <w:r>
          <w:fldChar w:fldCharType="begin"/>
        </w:r>
        <w:r>
          <w:instrText xml:space="preserve">PAGEREF 914 \h</w:instrText>
        </w:r>
        <w:r>
          <w:fldChar w:fldCharType="end"/>
        </w:r>
      </w:hyperlink>
    </w:p>
    <w:p>
      <w:pPr>
        <w:tabs>
          <w:tab w:val="right" w:leader="dot" w:pos="9062"/>
        </w:tabs>
        <w:ind w:left="1100"/>
      </w:pPr>
      <w:hyperlink w:anchor="_Toc915" w:history="1">
        <w:r>
          <w:rPr>
            <w:rFonts w:ascii="IRNazanin" w:hAnsi="IRNazanin" w:eastAsia="IRNazanin" w:cs="IRNazanin"/>
            <w:color w:val="111111"/>
            <w:sz w:val="22"/>
            <w:szCs w:val="22"/>
            <w:b w:val="0"/>
            <w:bCs w:val="0"/>
            <w:i w:val="0"/>
            <w:iCs w:val="0"/>
          </w:rPr>
          <w:t>[جواز استصحاب الکلّی فی القسم الثانی دون الفرد:]</w:t>
        </w:r>
        <w:r>
          <w:tab/>
        </w:r>
        <w:r>
          <w:fldChar w:fldCharType="begin"/>
        </w:r>
        <w:r>
          <w:instrText xml:space="preserve">PAGEREF 915 \h</w:instrText>
        </w:r>
        <w:r>
          <w:fldChar w:fldCharType="end"/>
        </w:r>
      </w:hyperlink>
    </w:p>
    <w:p>
      <w:pPr>
        <w:tabs>
          <w:tab w:val="right" w:leader="dot" w:pos="9062"/>
        </w:tabs>
        <w:ind w:left="1100"/>
      </w:pPr>
      <w:hyperlink w:anchor="_Toc9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916 \h</w:instrText>
        </w:r>
        <w:r>
          <w:fldChar w:fldCharType="end"/>
        </w:r>
      </w:hyperlink>
    </w:p>
    <w:p>
      <w:pPr>
        <w:tabs>
          <w:tab w:val="right" w:leader="dot" w:pos="9062"/>
        </w:tabs>
        <w:ind w:left="1100"/>
      </w:pPr>
      <w:hyperlink w:anchor="_Toc917" w:history="1">
        <w:r>
          <w:rPr>
            <w:rFonts w:ascii="IRNazanin" w:hAnsi="IRNazanin" w:eastAsia="IRNazanin" w:cs="IRNazanin"/>
            <w:color w:val="111111"/>
            <w:sz w:val="22"/>
            <w:szCs w:val="22"/>
            <w:b w:val="0"/>
            <w:bCs w:val="0"/>
            <w:i w:val="0"/>
            <w:iCs w:val="0"/>
          </w:rPr>
          <w:t>[توهّم عدم جریان استصحاب الکلّی فی هذا القسم و دفعه:]</w:t>
        </w:r>
        <w:r>
          <w:tab/>
        </w:r>
        <w:r>
          <w:fldChar w:fldCharType="begin"/>
        </w:r>
        <w:r>
          <w:instrText xml:space="preserve">PAGEREF 917 \h</w:instrText>
        </w:r>
        <w:r>
          <w:fldChar w:fldCharType="end"/>
        </w:r>
      </w:hyperlink>
    </w:p>
    <w:p>
      <w:pPr>
        <w:tabs>
          <w:tab w:val="right" w:leader="dot" w:pos="9062"/>
        </w:tabs>
        <w:ind w:left="1100"/>
      </w:pPr>
      <w:hyperlink w:anchor="_Toc918" w:history="1">
        <w:r>
          <w:rPr>
            <w:rFonts w:ascii="IRNazanin" w:hAnsi="IRNazanin" w:eastAsia="IRNazanin" w:cs="IRNazanin"/>
            <w:color w:val="111111"/>
            <w:sz w:val="22"/>
            <w:szCs w:val="22"/>
            <w:b w:val="0"/>
            <w:bCs w:val="0"/>
            <w:i w:val="0"/>
            <w:iCs w:val="0"/>
          </w:rPr>
          <w:t>[توهّم آخر و دفعه:]</w:t>
        </w:r>
        <w:r>
          <w:tab/>
        </w:r>
        <w:r>
          <w:fldChar w:fldCharType="begin"/>
        </w:r>
        <w:r>
          <w:instrText xml:space="preserve">PAGEREF 918 \h</w:instrText>
        </w:r>
        <w:r>
          <w:fldChar w:fldCharType="end"/>
        </w:r>
      </w:hyperlink>
    </w:p>
    <w:p>
      <w:pPr>
        <w:tabs>
          <w:tab w:val="right" w:leader="dot" w:pos="9062"/>
        </w:tabs>
        <w:ind w:left="1100"/>
      </w:pPr>
      <w:hyperlink w:anchor="_Toc919" w:history="1">
        <w:r>
          <w:rPr>
            <w:rFonts w:ascii="IRNazanin" w:hAnsi="IRNazanin" w:eastAsia="IRNazanin" w:cs="IRNazanin"/>
            <w:color w:val="111111"/>
            <w:sz w:val="22"/>
            <w:szCs w:val="22"/>
            <w:b w:val="0"/>
            <w:bCs w:val="0"/>
            <w:i w:val="0"/>
            <w:iCs w:val="0"/>
          </w:rPr>
          <w:t>[ظاهر المحقّق القمّی عدم الجریان:]</w:t>
        </w:r>
        <w:r>
          <w:tab/>
        </w:r>
        <w:r>
          <w:fldChar w:fldCharType="begin"/>
        </w:r>
        <w:r>
          <w:instrText xml:space="preserve">PAGEREF 919 \h</w:instrText>
        </w:r>
        <w:r>
          <w:fldChar w:fldCharType="end"/>
        </w:r>
      </w:hyperlink>
    </w:p>
    <w:p>
      <w:pPr>
        <w:tabs>
          <w:tab w:val="right" w:leader="dot" w:pos="9062"/>
        </w:tabs>
        <w:ind w:left="1100"/>
      </w:pPr>
      <w:hyperlink w:anchor="_Toc920" w:history="1">
        <w:r>
          <w:rPr>
            <w:rFonts w:ascii="IRNazanin" w:hAnsi="IRNazanin" w:eastAsia="IRNazanin" w:cs="IRNazanin"/>
            <w:color w:val="111111"/>
            <w:sz w:val="22"/>
            <w:szCs w:val="22"/>
            <w:b w:val="0"/>
            <w:bCs w:val="0"/>
            <w:i w:val="0"/>
            <w:iCs w:val="0"/>
          </w:rPr>
          <w:t>[المناقشة فیما أفاده المحقق القمی:]</w:t>
        </w:r>
        <w:r>
          <w:tab/>
        </w:r>
        <w:r>
          <w:fldChar w:fldCharType="begin"/>
        </w:r>
        <w:r>
          <w:instrText xml:space="preserve">PAGEREF 920 \h</w:instrText>
        </w:r>
        <w:r>
          <w:fldChar w:fldCharType="end"/>
        </w:r>
      </w:hyperlink>
    </w:p>
    <w:p>
      <w:pPr>
        <w:tabs>
          <w:tab w:val="right" w:leader="dot" w:pos="9062"/>
        </w:tabs>
        <w:ind w:left="1100"/>
      </w:pPr>
      <w:hyperlink w:anchor="_Toc921" w:history="1">
        <w:r>
          <w:rPr>
            <w:rFonts w:ascii="IRNazanin" w:hAnsi="IRNazanin" w:eastAsia="IRNazanin" w:cs="IRNazanin"/>
            <w:color w:val="111111"/>
            <w:sz w:val="22"/>
            <w:szCs w:val="22"/>
            <w:b w:val="0"/>
            <w:bCs w:val="0"/>
            <w:i w:val="0"/>
            <w:iCs w:val="0"/>
          </w:rPr>
          <w:t>[هل یجری الاستصحاب فی القسمین أو لا یجری فی کلیهما أو فیه تفصیل؟:]</w:t>
        </w:r>
        <w:r>
          <w:tab/>
        </w:r>
        <w:r>
          <w:fldChar w:fldCharType="begin"/>
        </w:r>
        <w:r>
          <w:instrText xml:space="preserve">PAGEREF 921 \h</w:instrText>
        </w:r>
        <w:r>
          <w:fldChar w:fldCharType="end"/>
        </w:r>
      </w:hyperlink>
    </w:p>
    <w:p>
      <w:pPr>
        <w:tabs>
          <w:tab w:val="right" w:leader="dot" w:pos="9062"/>
        </w:tabs>
        <w:ind w:left="1100"/>
      </w:pPr>
      <w:hyperlink w:anchor="_Toc922" w:history="1">
        <w:r>
          <w:rPr>
            <w:rFonts w:ascii="IRNazanin" w:hAnsi="IRNazanin" w:eastAsia="IRNazanin" w:cs="IRNazanin"/>
            <w:color w:val="111111"/>
            <w:sz w:val="22"/>
            <w:szCs w:val="22"/>
            <w:b w:val="0"/>
            <w:bCs w:val="0"/>
            <w:i w:val="0"/>
            <w:iCs w:val="0"/>
          </w:rPr>
          <w:t>[مختار المصنف هو التفصیل:]</w:t>
        </w:r>
        <w:r>
          <w:tab/>
        </w:r>
        <w:r>
          <w:fldChar w:fldCharType="begin"/>
        </w:r>
        <w:r>
          <w:instrText xml:space="preserve">PAGEREF 922 \h</w:instrText>
        </w:r>
        <w:r>
          <w:fldChar w:fldCharType="end"/>
        </w:r>
      </w:hyperlink>
    </w:p>
    <w:p>
      <w:pPr>
        <w:tabs>
          <w:tab w:val="right" w:leader="dot" w:pos="9062"/>
        </w:tabs>
        <w:ind w:left="1100"/>
      </w:pPr>
      <w:hyperlink w:anchor="_Toc923" w:history="1">
        <w:r>
          <w:rPr>
            <w:rFonts w:ascii="IRNazanin" w:hAnsi="IRNazanin" w:eastAsia="IRNazanin" w:cs="IRNazanin"/>
            <w:color w:val="111111"/>
            <w:sz w:val="22"/>
            <w:szCs w:val="22"/>
            <w:b w:val="0"/>
            <w:bCs w:val="0"/>
            <w:i w:val="0"/>
            <w:iCs w:val="0"/>
          </w:rPr>
          <w:t>[استثناء مورد واحد من القسم الثانی:]</w:t>
        </w:r>
        <w:r>
          <w:tab/>
        </w:r>
        <w:r>
          <w:fldChar w:fldCharType="begin"/>
        </w:r>
        <w:r>
          <w:instrText xml:space="preserve">PAGEREF 923 \h</w:instrText>
        </w:r>
        <w:r>
          <w:fldChar w:fldCharType="end"/>
        </w:r>
      </w:hyperlink>
    </w:p>
    <w:p>
      <w:pPr>
        <w:tabs>
          <w:tab w:val="right" w:leader="dot" w:pos="9062"/>
        </w:tabs>
        <w:ind w:left="1100"/>
      </w:pPr>
      <w:hyperlink w:anchor="_Toc924" w:history="1">
        <w:r>
          <w:rPr>
            <w:rFonts w:ascii="IRNazanin" w:hAnsi="IRNazanin" w:eastAsia="IRNazanin" w:cs="IRNazanin"/>
            <w:color w:val="111111"/>
            <w:sz w:val="22"/>
            <w:szCs w:val="22"/>
            <w:b w:val="0"/>
            <w:bCs w:val="0"/>
            <w:i w:val="0"/>
            <w:iCs w:val="0"/>
          </w:rPr>
          <w:t>[العبرة فی جریان الاستصحاب:]</w:t>
        </w:r>
        <w:r>
          <w:tab/>
        </w:r>
        <w:r>
          <w:fldChar w:fldCharType="begin"/>
        </w:r>
        <w:r>
          <w:instrText xml:space="preserve">PAGEREF 924 \h</w:instrText>
        </w:r>
        <w:r>
          <w:fldChar w:fldCharType="end"/>
        </w:r>
      </w:hyperlink>
    </w:p>
    <w:p>
      <w:pPr>
        <w:tabs>
          <w:tab w:val="right" w:leader="dot" w:pos="9062"/>
        </w:tabs>
        <w:ind w:left="1100"/>
      </w:pPr>
      <w:hyperlink w:anchor="_Toc925" w:history="1">
        <w:r>
          <w:rPr>
            <w:rFonts w:ascii="IRNazanin" w:hAnsi="IRNazanin" w:eastAsia="IRNazanin" w:cs="IRNazanin"/>
            <w:color w:val="111111"/>
            <w:sz w:val="22"/>
            <w:szCs w:val="22"/>
            <w:b w:val="0"/>
            <w:bCs w:val="0"/>
            <w:i w:val="0"/>
            <w:iCs w:val="0"/>
          </w:rPr>
          <w:t>[کلام الفاضل التونی تأییدا لبعض ما ذکرنا:]</w:t>
        </w:r>
        <w:r>
          <w:tab/>
        </w:r>
        <w:r>
          <w:fldChar w:fldCharType="begin"/>
        </w:r>
        <w:r>
          <w:instrText xml:space="preserve">PAGEREF 925 \h</w:instrText>
        </w:r>
        <w:r>
          <w:fldChar w:fldCharType="end"/>
        </w:r>
      </w:hyperlink>
    </w:p>
    <w:p>
      <w:pPr>
        <w:tabs>
          <w:tab w:val="right" w:leader="dot" w:pos="9062"/>
        </w:tabs>
        <w:ind w:left="1100"/>
      </w:pPr>
      <w:hyperlink w:anchor="_Toc926" w:history="1">
        <w:r>
          <w:rPr>
            <w:rFonts w:ascii="IRNazanin" w:hAnsi="IRNazanin" w:eastAsia="IRNazanin" w:cs="IRNazanin"/>
            <w:color w:val="111111"/>
            <w:sz w:val="22"/>
            <w:szCs w:val="22"/>
            <w:b w:val="0"/>
            <w:bCs w:val="0"/>
            <w:i w:val="0"/>
            <w:iCs w:val="0"/>
          </w:rPr>
          <w:t>[بعض المناقشات فیما أفاد الفاضل التونی:]</w:t>
        </w:r>
        <w:r>
          <w:tab/>
        </w:r>
        <w:r>
          <w:fldChar w:fldCharType="begin"/>
        </w:r>
        <w:r>
          <w:instrText xml:space="preserve">PAGEREF 926 \h</w:instrText>
        </w:r>
        <w:r>
          <w:fldChar w:fldCharType="end"/>
        </w:r>
      </w:hyperlink>
    </w:p>
    <w:p>
      <w:pPr>
        <w:tabs>
          <w:tab w:val="right" w:leader="dot" w:pos="9062"/>
        </w:tabs>
        <w:ind w:left="1100"/>
      </w:pPr>
      <w:hyperlink w:anchor="_Toc927" w:history="1">
        <w:r>
          <w:rPr>
            <w:rFonts w:ascii="IRNazanin" w:hAnsi="IRNazanin" w:eastAsia="IRNazanin" w:cs="IRNazanin"/>
            <w:color w:val="111111"/>
            <w:sz w:val="22"/>
            <w:szCs w:val="22"/>
            <w:b w:val="0"/>
            <w:bCs w:val="0"/>
            <w:i w:val="0"/>
            <w:iCs w:val="0"/>
          </w:rPr>
          <w:t>[المناقشة فی ما مثل به الفاضل التونی لما نحن فیه:]</w:t>
        </w:r>
        <w:r>
          <w:tab/>
        </w:r>
        <w:r>
          <w:fldChar w:fldCharType="begin"/>
        </w:r>
        <w:r>
          <w:instrText xml:space="preserve">PAGEREF 927 \h</w:instrText>
        </w:r>
        <w:r>
          <w:fldChar w:fldCharType="end"/>
        </w:r>
      </w:hyperlink>
    </w:p>
    <w:p>
      <w:pPr>
        <w:tabs>
          <w:tab w:val="right" w:leader="dot" w:pos="9062"/>
        </w:tabs>
        <w:ind w:left="1100"/>
      </w:pPr>
      <w:hyperlink w:anchor="_Toc928" w:history="1">
        <w:r>
          <w:rPr>
            <w:rFonts w:ascii="IRNazanin" w:hAnsi="IRNazanin" w:eastAsia="IRNazanin" w:cs="IRNazanin"/>
            <w:color w:val="111111"/>
            <w:sz w:val="22"/>
            <w:szCs w:val="22"/>
            <w:b w:val="0"/>
            <w:bCs w:val="0"/>
            <w:i w:val="0"/>
            <w:iCs w:val="0"/>
          </w:rPr>
          <w:t>الأمر الثانی [:هل یجری الاستصحاب فی الزمان و الزمانیّات؟]</w:t>
        </w:r>
        <w:r>
          <w:tab/>
        </w:r>
        <w:r>
          <w:fldChar w:fldCharType="begin"/>
        </w:r>
        <w:r>
          <w:instrText xml:space="preserve">PAGEREF 928 \h</w:instrText>
        </w:r>
        <w:r>
          <w:fldChar w:fldCharType="end"/>
        </w:r>
      </w:hyperlink>
    </w:p>
    <w:p>
      <w:pPr>
        <w:tabs>
          <w:tab w:val="right" w:leader="dot" w:pos="9062"/>
        </w:tabs>
        <w:ind w:left="1100"/>
      </w:pPr>
      <w:hyperlink w:anchor="_Toc9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929 \h</w:instrText>
        </w:r>
        <w:r>
          <w:fldChar w:fldCharType="end"/>
        </w:r>
      </w:hyperlink>
    </w:p>
    <w:p>
      <w:pPr>
        <w:tabs>
          <w:tab w:val="right" w:leader="dot" w:pos="9062"/>
        </w:tabs>
        <w:ind w:left="1100"/>
      </w:pPr>
      <w:hyperlink w:anchor="_Toc930" w:history="1">
        <w:r>
          <w:rPr>
            <w:rFonts w:ascii="IRNazanin" w:hAnsi="IRNazanin" w:eastAsia="IRNazanin" w:cs="IRNazanin"/>
            <w:color w:val="111111"/>
            <w:sz w:val="22"/>
            <w:szCs w:val="22"/>
            <w:b w:val="0"/>
            <w:bCs w:val="0"/>
            <w:i w:val="0"/>
            <w:iCs w:val="0"/>
          </w:rPr>
          <w:t>[الأقسام ثلاثة:]</w:t>
        </w:r>
        <w:r>
          <w:tab/>
        </w:r>
        <w:r>
          <w:fldChar w:fldCharType="begin"/>
        </w:r>
        <w:r>
          <w:instrText xml:space="preserve">PAGEREF 930 \h</w:instrText>
        </w:r>
        <w:r>
          <w:fldChar w:fldCharType="end"/>
        </w:r>
      </w:hyperlink>
    </w:p>
    <w:p>
      <w:pPr>
        <w:tabs>
          <w:tab w:val="right" w:leader="dot" w:pos="9062"/>
        </w:tabs>
        <w:ind w:left="1100"/>
      </w:pPr>
      <w:hyperlink w:anchor="_Toc9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931 \h</w:instrText>
        </w:r>
        <w:r>
          <w:fldChar w:fldCharType="end"/>
        </w:r>
      </w:hyperlink>
    </w:p>
    <w:p>
      <w:pPr>
        <w:tabs>
          <w:tab w:val="right" w:leader="dot" w:pos="9062"/>
        </w:tabs>
        <w:ind w:left="1100"/>
      </w:pPr>
      <w:hyperlink w:anchor="_Toc932" w:history="1">
        <w:r>
          <w:rPr>
            <w:rFonts w:ascii="IRNazanin" w:hAnsi="IRNazanin" w:eastAsia="IRNazanin" w:cs="IRNazanin"/>
            <w:color w:val="111111"/>
            <w:sz w:val="22"/>
            <w:szCs w:val="22"/>
            <w:b w:val="0"/>
            <w:bCs w:val="0"/>
            <w:i w:val="0"/>
            <w:iCs w:val="0"/>
          </w:rPr>
          <w:t>[1-استصحاب نفس الزمان:]</w:t>
        </w:r>
        <w:r>
          <w:tab/>
        </w:r>
        <w:r>
          <w:fldChar w:fldCharType="begin"/>
        </w:r>
        <w:r>
          <w:instrText xml:space="preserve">PAGEREF 932 \h</w:instrText>
        </w:r>
        <w:r>
          <w:fldChar w:fldCharType="end"/>
        </w:r>
      </w:hyperlink>
    </w:p>
    <w:p>
      <w:pPr>
        <w:tabs>
          <w:tab w:val="right" w:leader="dot" w:pos="9062"/>
        </w:tabs>
        <w:ind w:left="1100"/>
      </w:pPr>
      <w:hyperlink w:anchor="_Toc933" w:history="1">
        <w:r>
          <w:rPr>
            <w:rFonts w:ascii="IRNazanin" w:hAnsi="IRNazanin" w:eastAsia="IRNazanin" w:cs="IRNazanin"/>
            <w:color w:val="111111"/>
            <w:sz w:val="22"/>
            <w:szCs w:val="22"/>
            <w:b w:val="0"/>
            <w:bCs w:val="0"/>
            <w:i w:val="0"/>
            <w:iCs w:val="0"/>
          </w:rPr>
          <w:t>[2-استصحاب الامور التدریجیّة غیر القارّة:]</w:t>
        </w:r>
        <w:r>
          <w:tab/>
        </w:r>
        <w:r>
          <w:fldChar w:fldCharType="begin"/>
        </w:r>
        <w:r>
          <w:instrText xml:space="preserve">PAGEREF 933 \h</w:instrText>
        </w:r>
        <w:r>
          <w:fldChar w:fldCharType="end"/>
        </w:r>
      </w:hyperlink>
    </w:p>
    <w:p>
      <w:pPr>
        <w:tabs>
          <w:tab w:val="right" w:leader="dot" w:pos="9062"/>
        </w:tabs>
        <w:ind w:left="1100"/>
      </w:pPr>
      <w:hyperlink w:anchor="_Toc934" w:history="1">
        <w:r>
          <w:rPr>
            <w:rFonts w:ascii="IRNazanin" w:hAnsi="IRNazanin" w:eastAsia="IRNazanin" w:cs="IRNazanin"/>
            <w:color w:val="111111"/>
            <w:sz w:val="22"/>
            <w:szCs w:val="22"/>
            <w:b w:val="0"/>
            <w:bCs w:val="0"/>
            <w:i w:val="0"/>
            <w:iCs w:val="0"/>
          </w:rPr>
          <w:t>[3-استصحاب الامور المقیّدة بالزمان:]</w:t>
        </w:r>
        <w:r>
          <w:tab/>
        </w:r>
        <w:r>
          <w:fldChar w:fldCharType="begin"/>
        </w:r>
        <w:r>
          <w:instrText xml:space="preserve">PAGEREF 934 \h</w:instrText>
        </w:r>
        <w:r>
          <w:fldChar w:fldCharType="end"/>
        </w:r>
      </w:hyperlink>
    </w:p>
    <w:p>
      <w:pPr>
        <w:tabs>
          <w:tab w:val="right" w:leader="dot" w:pos="9062"/>
        </w:tabs>
        <w:ind w:left="1100"/>
      </w:pPr>
      <w:hyperlink w:anchor="_Toc935" w:history="1">
        <w:r>
          <w:rPr>
            <w:rFonts w:ascii="IRNazanin" w:hAnsi="IRNazanin" w:eastAsia="IRNazanin" w:cs="IRNazanin"/>
            <w:color w:val="111111"/>
            <w:sz w:val="22"/>
            <w:szCs w:val="22"/>
            <w:b w:val="0"/>
            <w:bCs w:val="0"/>
            <w:i w:val="0"/>
            <w:iCs w:val="0"/>
          </w:rPr>
          <w:t>[ما ذکره الفاضل النراقی:من معارضة استصحاب عدم الأمر الوجودی المتیقّن سابقا مع استصحاب وجوده:]</w:t>
        </w:r>
        <w:r>
          <w:tab/>
        </w:r>
        <w:r>
          <w:fldChar w:fldCharType="begin"/>
        </w:r>
        <w:r>
          <w:instrText xml:space="preserve">PAGEREF 935 \h</w:instrText>
        </w:r>
        <w:r>
          <w:fldChar w:fldCharType="end"/>
        </w:r>
      </w:hyperlink>
    </w:p>
    <w:p>
      <w:pPr>
        <w:tabs>
          <w:tab w:val="right" w:leader="dot" w:pos="9062"/>
        </w:tabs>
        <w:ind w:left="1100"/>
      </w:pPr>
      <w:hyperlink w:anchor="_Toc936" w:history="1">
        <w:r>
          <w:rPr>
            <w:rFonts w:ascii="IRNazanin" w:hAnsi="IRNazanin" w:eastAsia="IRNazanin" w:cs="IRNazanin"/>
            <w:color w:val="111111"/>
            <w:sz w:val="22"/>
            <w:szCs w:val="22"/>
            <w:b w:val="0"/>
            <w:bCs w:val="0"/>
            <w:i w:val="0"/>
            <w:iCs w:val="0"/>
          </w:rPr>
          <w:t>[مناقشات فی ما أفاده الفاضل النراقی:]</w:t>
        </w:r>
        <w:r>
          <w:tab/>
        </w:r>
        <w:r>
          <w:fldChar w:fldCharType="begin"/>
        </w:r>
        <w:r>
          <w:instrText xml:space="preserve">PAGEREF 936 \h</w:instrText>
        </w:r>
        <w:r>
          <w:fldChar w:fldCharType="end"/>
        </w:r>
      </w:hyperlink>
    </w:p>
    <w:p>
      <w:pPr>
        <w:tabs>
          <w:tab w:val="right" w:leader="dot" w:pos="9062"/>
        </w:tabs>
        <w:ind w:left="1100"/>
      </w:pPr>
      <w:hyperlink w:anchor="_Toc937" w:history="1">
        <w:r>
          <w:rPr>
            <w:rFonts w:ascii="IRNazanin" w:hAnsi="IRNazanin" w:eastAsia="IRNazanin" w:cs="IRNazanin"/>
            <w:color w:val="111111"/>
            <w:sz w:val="22"/>
            <w:szCs w:val="22"/>
            <w:b w:val="0"/>
            <w:bCs w:val="0"/>
            <w:i w:val="0"/>
            <w:iCs w:val="0"/>
          </w:rPr>
          <w:t>[مناقشة أولی:الزمان قد یؤخذ قیدا و قد یؤخذ ظرفا:]</w:t>
        </w:r>
        <w:r>
          <w:tab/>
        </w:r>
        <w:r>
          <w:fldChar w:fldCharType="begin"/>
        </w:r>
        <w:r>
          <w:instrText xml:space="preserve">PAGEREF 937 \h</w:instrText>
        </w:r>
        <w:r>
          <w:fldChar w:fldCharType="end"/>
        </w:r>
      </w:hyperlink>
    </w:p>
    <w:p>
      <w:pPr>
        <w:tabs>
          <w:tab w:val="right" w:leader="dot" w:pos="9062"/>
        </w:tabs>
        <w:ind w:left="1100"/>
      </w:pPr>
      <w:hyperlink w:anchor="_Toc938" w:history="1">
        <w:r>
          <w:rPr>
            <w:rFonts w:ascii="IRNazanin" w:hAnsi="IRNazanin" w:eastAsia="IRNazanin" w:cs="IRNazanin"/>
            <w:color w:val="111111"/>
            <w:sz w:val="22"/>
            <w:szCs w:val="22"/>
            <w:b w:val="0"/>
            <w:bCs w:val="0"/>
            <w:i w:val="0"/>
            <w:iCs w:val="0"/>
          </w:rPr>
          <w:t>[مناقشة ثانیة فیما أفاده النراقی:]</w:t>
        </w:r>
        <w:r>
          <w:tab/>
        </w:r>
        <w:r>
          <w:fldChar w:fldCharType="begin"/>
        </w:r>
        <w:r>
          <w:instrText xml:space="preserve">PAGEREF 938 \h</w:instrText>
        </w:r>
        <w:r>
          <w:fldChar w:fldCharType="end"/>
        </w:r>
      </w:hyperlink>
    </w:p>
    <w:p>
      <w:pPr>
        <w:tabs>
          <w:tab w:val="right" w:leader="dot" w:pos="9062"/>
        </w:tabs>
        <w:ind w:left="1100"/>
      </w:pPr>
      <w:hyperlink w:anchor="_Toc939" w:history="1">
        <w:r>
          <w:rPr>
            <w:rFonts w:ascii="IRNazanin" w:hAnsi="IRNazanin" w:eastAsia="IRNazanin" w:cs="IRNazanin"/>
            <w:color w:val="111111"/>
            <w:sz w:val="22"/>
            <w:szCs w:val="22"/>
            <w:b w:val="0"/>
            <w:bCs w:val="0"/>
            <w:i w:val="0"/>
            <w:iCs w:val="0"/>
          </w:rPr>
          <w:t>[مناقشة ثالثة فیما أفاده النراقی:]</w:t>
        </w:r>
        <w:r>
          <w:tab/>
        </w:r>
        <w:r>
          <w:fldChar w:fldCharType="begin"/>
        </w:r>
        <w:r>
          <w:instrText xml:space="preserve">PAGEREF 939 \h</w:instrText>
        </w:r>
        <w:r>
          <w:fldChar w:fldCharType="end"/>
        </w:r>
      </w:hyperlink>
    </w:p>
    <w:p>
      <w:pPr>
        <w:tabs>
          <w:tab w:val="right" w:leader="dot" w:pos="9062"/>
        </w:tabs>
        <w:ind w:left="1100"/>
      </w:pPr>
      <w:hyperlink w:anchor="_Toc940" w:history="1">
        <w:r>
          <w:rPr>
            <w:rFonts w:ascii="IRNazanin" w:hAnsi="IRNazanin" w:eastAsia="IRNazanin" w:cs="IRNazanin"/>
            <w:color w:val="111111"/>
            <w:sz w:val="22"/>
            <w:szCs w:val="22"/>
            <w:b w:val="0"/>
            <w:bCs w:val="0"/>
            <w:i w:val="0"/>
            <w:iCs w:val="0"/>
          </w:rPr>
          <w:t>الأمر الثالث [:عدم جریان الاستصحاب فی الأحکام العقلیّة]</w:t>
        </w:r>
        <w:r>
          <w:tab/>
        </w:r>
        <w:r>
          <w:fldChar w:fldCharType="begin"/>
        </w:r>
        <w:r>
          <w:instrText xml:space="preserve">PAGEREF 940 \h</w:instrText>
        </w:r>
        <w:r>
          <w:fldChar w:fldCharType="end"/>
        </w:r>
      </w:hyperlink>
    </w:p>
    <w:p>
      <w:pPr>
        <w:tabs>
          <w:tab w:val="right" w:leader="dot" w:pos="9062"/>
        </w:tabs>
        <w:ind w:left="1100"/>
      </w:pPr>
      <w:hyperlink w:anchor="_Toc9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941 \h</w:instrText>
        </w:r>
        <w:r>
          <w:fldChar w:fldCharType="end"/>
        </w:r>
      </w:hyperlink>
    </w:p>
    <w:p>
      <w:pPr>
        <w:tabs>
          <w:tab w:val="right" w:leader="dot" w:pos="9062"/>
        </w:tabs>
        <w:ind w:left="1100"/>
      </w:pPr>
      <w:hyperlink w:anchor="_Toc942" w:history="1">
        <w:r>
          <w:rPr>
            <w:rFonts w:ascii="IRNazanin" w:hAnsi="IRNazanin" w:eastAsia="IRNazanin" w:cs="IRNazanin"/>
            <w:color w:val="111111"/>
            <w:sz w:val="22"/>
            <w:szCs w:val="22"/>
            <w:b w:val="0"/>
            <w:bCs w:val="0"/>
            <w:i w:val="0"/>
            <w:iCs w:val="0"/>
          </w:rPr>
          <w:t>[عدم جریان الاستصحاب فی الحکم الشرعی المستند إلی الحکم العقلی أیضا:]</w:t>
        </w:r>
        <w:r>
          <w:tab/>
        </w:r>
        <w:r>
          <w:fldChar w:fldCharType="begin"/>
        </w:r>
        <w:r>
          <w:instrText xml:space="preserve">PAGEREF 942 \h</w:instrText>
        </w:r>
        <w:r>
          <w:fldChar w:fldCharType="end"/>
        </w:r>
      </w:hyperlink>
    </w:p>
    <w:p>
      <w:pPr>
        <w:tabs>
          <w:tab w:val="right" w:leader="dot" w:pos="9062"/>
        </w:tabs>
        <w:ind w:left="1100"/>
      </w:pPr>
      <w:hyperlink w:anchor="_Toc943" w:history="1">
        <w:r>
          <w:rPr>
            <w:rFonts w:ascii="IRNazanin" w:hAnsi="IRNazanin" w:eastAsia="IRNazanin" w:cs="IRNazanin"/>
            <w:color w:val="111111"/>
            <w:sz w:val="22"/>
            <w:szCs w:val="22"/>
            <w:b w:val="0"/>
            <w:bCs w:val="0"/>
            <w:i w:val="0"/>
            <w:iCs w:val="0"/>
          </w:rPr>
          <w:t>[هل یجری الاستصحاب فی موضوع الحکم العقلی؟:]</w:t>
        </w:r>
        <w:r>
          <w:tab/>
        </w:r>
        <w:r>
          <w:fldChar w:fldCharType="begin"/>
        </w:r>
        <w:r>
          <w:instrText xml:space="preserve">PAGEREF 943 \h</w:instrText>
        </w:r>
        <w:r>
          <w:fldChar w:fldCharType="end"/>
        </w:r>
      </w:hyperlink>
    </w:p>
    <w:p>
      <w:pPr>
        <w:tabs>
          <w:tab w:val="right" w:leader="dot" w:pos="9062"/>
        </w:tabs>
        <w:ind w:left="1100"/>
      </w:pPr>
      <w:hyperlink w:anchor="_Toc944" w:history="1">
        <w:r>
          <w:rPr>
            <w:rFonts w:ascii="IRNazanin" w:hAnsi="IRNazanin" w:eastAsia="IRNazanin" w:cs="IRNazanin"/>
            <w:color w:val="111111"/>
            <w:sz w:val="22"/>
            <w:szCs w:val="22"/>
            <w:b w:val="0"/>
            <w:bCs w:val="0"/>
            <w:i w:val="0"/>
            <w:iCs w:val="0"/>
          </w:rPr>
          <w:t>الأمر الرابع [:هل یجری الاستصحاب التعلیقی؟]</w:t>
        </w:r>
        <w:r>
          <w:tab/>
        </w:r>
        <w:r>
          <w:fldChar w:fldCharType="begin"/>
        </w:r>
        <w:r>
          <w:instrText xml:space="preserve">PAGEREF 944 \h</w:instrText>
        </w:r>
        <w:r>
          <w:fldChar w:fldCharType="end"/>
        </w:r>
      </w:hyperlink>
    </w:p>
    <w:p>
      <w:pPr>
        <w:tabs>
          <w:tab w:val="right" w:leader="dot" w:pos="9062"/>
        </w:tabs>
        <w:ind w:left="1100"/>
      </w:pPr>
      <w:hyperlink w:anchor="_Toc9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945 \h</w:instrText>
        </w:r>
        <w:r>
          <w:fldChar w:fldCharType="end"/>
        </w:r>
      </w:hyperlink>
    </w:p>
    <w:p>
      <w:pPr>
        <w:tabs>
          <w:tab w:val="right" w:leader="dot" w:pos="9062"/>
        </w:tabs>
        <w:ind w:left="1100"/>
      </w:pPr>
      <w:hyperlink w:anchor="_Toc946" w:history="1">
        <w:r>
          <w:rPr>
            <w:rFonts w:ascii="IRNazanin" w:hAnsi="IRNazanin" w:eastAsia="IRNazanin" w:cs="IRNazanin"/>
            <w:color w:val="111111"/>
            <w:sz w:val="22"/>
            <w:szCs w:val="22"/>
            <w:b w:val="0"/>
            <w:bCs w:val="0"/>
            <w:i w:val="0"/>
            <w:iCs w:val="0"/>
          </w:rPr>
          <w:t>[توضیح هذا الاستصحاب:]</w:t>
        </w:r>
        <w:r>
          <w:tab/>
        </w:r>
        <w:r>
          <w:fldChar w:fldCharType="begin"/>
        </w:r>
        <w:r>
          <w:instrText xml:space="preserve">PAGEREF 946 \h</w:instrText>
        </w:r>
        <w:r>
          <w:fldChar w:fldCharType="end"/>
        </w:r>
      </w:hyperlink>
    </w:p>
    <w:p>
      <w:pPr>
        <w:tabs>
          <w:tab w:val="right" w:leader="dot" w:pos="9062"/>
        </w:tabs>
        <w:ind w:left="1100"/>
      </w:pPr>
      <w:hyperlink w:anchor="_Toc947" w:history="1">
        <w:r>
          <w:rPr>
            <w:rFonts w:ascii="IRNazanin" w:hAnsi="IRNazanin" w:eastAsia="IRNazanin" w:cs="IRNazanin"/>
            <w:color w:val="111111"/>
            <w:sz w:val="22"/>
            <w:szCs w:val="22"/>
            <w:b w:val="0"/>
            <w:bCs w:val="0"/>
            <w:i w:val="0"/>
            <w:iCs w:val="0"/>
          </w:rPr>
          <w:t>[کلام صاحب المناهل فی عدم جریان الاستصحاب التعلیقی:]</w:t>
        </w:r>
        <w:r>
          <w:tab/>
        </w:r>
        <w:r>
          <w:fldChar w:fldCharType="begin"/>
        </w:r>
        <w:r>
          <w:instrText xml:space="preserve">PAGEREF 947 \h</w:instrText>
        </w:r>
        <w:r>
          <w:fldChar w:fldCharType="end"/>
        </w:r>
      </w:hyperlink>
    </w:p>
    <w:p>
      <w:pPr>
        <w:tabs>
          <w:tab w:val="right" w:leader="dot" w:pos="9062"/>
        </w:tabs>
        <w:ind w:left="1100"/>
      </w:pPr>
      <w:hyperlink w:anchor="_Toc9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948 \h</w:instrText>
        </w:r>
        <w:r>
          <w:fldChar w:fldCharType="end"/>
        </w:r>
      </w:hyperlink>
    </w:p>
    <w:p>
      <w:pPr>
        <w:tabs>
          <w:tab w:val="right" w:leader="dot" w:pos="9062"/>
        </w:tabs>
        <w:ind w:left="1100"/>
      </w:pPr>
      <w:hyperlink w:anchor="_Toc949" w:history="1">
        <w:r>
          <w:rPr>
            <w:rFonts w:ascii="IRNazanin" w:hAnsi="IRNazanin" w:eastAsia="IRNazanin" w:cs="IRNazanin"/>
            <w:color w:val="111111"/>
            <w:sz w:val="22"/>
            <w:szCs w:val="22"/>
            <w:b w:val="0"/>
            <w:bCs w:val="0"/>
            <w:i w:val="0"/>
            <w:iCs w:val="0"/>
          </w:rPr>
          <w:t>[المناقشة فی ما أفاده صاحب المناهل:]</w:t>
        </w:r>
        <w:r>
          <w:tab/>
        </w:r>
        <w:r>
          <w:fldChar w:fldCharType="begin"/>
        </w:r>
        <w:r>
          <w:instrText xml:space="preserve">PAGEREF 949 \h</w:instrText>
        </w:r>
        <w:r>
          <w:fldChar w:fldCharType="end"/>
        </w:r>
      </w:hyperlink>
    </w:p>
    <w:p>
      <w:pPr>
        <w:tabs>
          <w:tab w:val="right" w:leader="dot" w:pos="9062"/>
        </w:tabs>
        <w:ind w:left="1100"/>
      </w:pPr>
      <w:hyperlink w:anchor="_Toc950" w:history="1">
        <w:r>
          <w:rPr>
            <w:rFonts w:ascii="IRNazanin" w:hAnsi="IRNazanin" w:eastAsia="IRNazanin" w:cs="IRNazanin"/>
            <w:color w:val="111111"/>
            <w:sz w:val="22"/>
            <w:szCs w:val="22"/>
            <w:b w:val="0"/>
            <w:bCs w:val="0"/>
            <w:i w:val="0"/>
            <w:iCs w:val="0"/>
          </w:rPr>
          <w:t>[بعض المناقشات فی الاستصحاب التعلیقی و دفعها:]</w:t>
        </w:r>
        <w:r>
          <w:tab/>
        </w:r>
        <w:r>
          <w:fldChar w:fldCharType="begin"/>
        </w:r>
        <w:r>
          <w:instrText xml:space="preserve">PAGEREF 950 \h</w:instrText>
        </w:r>
        <w:r>
          <w:fldChar w:fldCharType="end"/>
        </w:r>
      </w:hyperlink>
    </w:p>
    <w:p>
      <w:pPr>
        <w:tabs>
          <w:tab w:val="right" w:leader="dot" w:pos="9062"/>
        </w:tabs>
        <w:ind w:left="1100"/>
      </w:pPr>
      <w:hyperlink w:anchor="_Toc951" w:history="1">
        <w:r>
          <w:rPr>
            <w:rFonts w:ascii="IRNazanin" w:hAnsi="IRNazanin" w:eastAsia="IRNazanin" w:cs="IRNazanin"/>
            <w:color w:val="111111"/>
            <w:sz w:val="22"/>
            <w:szCs w:val="22"/>
            <w:b w:val="0"/>
            <w:bCs w:val="0"/>
            <w:i w:val="0"/>
            <w:iCs w:val="0"/>
          </w:rPr>
          <w:t>[مختار المصنّف فی المسألة:]</w:t>
        </w:r>
        <w:r>
          <w:tab/>
        </w:r>
        <w:r>
          <w:fldChar w:fldCharType="begin"/>
        </w:r>
        <w:r>
          <w:instrText xml:space="preserve">PAGEREF 951 \h</w:instrText>
        </w:r>
        <w:r>
          <w:fldChar w:fldCharType="end"/>
        </w:r>
      </w:hyperlink>
    </w:p>
    <w:p>
      <w:pPr>
        <w:tabs>
          <w:tab w:val="right" w:leader="dot" w:pos="9062"/>
        </w:tabs>
        <w:ind w:left="1100"/>
      </w:pPr>
      <w:hyperlink w:anchor="_Toc952" w:history="1">
        <w:r>
          <w:rPr>
            <w:rFonts w:ascii="IRNazanin" w:hAnsi="IRNazanin" w:eastAsia="IRNazanin" w:cs="IRNazanin"/>
            <w:color w:val="111111"/>
            <w:sz w:val="22"/>
            <w:szCs w:val="22"/>
            <w:b w:val="0"/>
            <w:bCs w:val="0"/>
            <w:i w:val="0"/>
            <w:iCs w:val="0"/>
          </w:rPr>
          <w:t>الأمر الخامس [:استصحاب أحکام الشرائع السابقة]</w:t>
        </w:r>
        <w:r>
          <w:tab/>
        </w:r>
        <w:r>
          <w:fldChar w:fldCharType="begin"/>
        </w:r>
        <w:r>
          <w:instrText xml:space="preserve">PAGEREF 952 \h</w:instrText>
        </w:r>
        <w:r>
          <w:fldChar w:fldCharType="end"/>
        </w:r>
      </w:hyperlink>
    </w:p>
    <w:p>
      <w:pPr>
        <w:tabs>
          <w:tab w:val="right" w:leader="dot" w:pos="9062"/>
        </w:tabs>
        <w:ind w:left="1100"/>
      </w:pPr>
      <w:hyperlink w:anchor="_Toc9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953 \h</w:instrText>
        </w:r>
        <w:r>
          <w:fldChar w:fldCharType="end"/>
        </w:r>
      </w:hyperlink>
    </w:p>
    <w:p>
      <w:pPr>
        <w:tabs>
          <w:tab w:val="right" w:leader="dot" w:pos="9062"/>
        </w:tabs>
        <w:ind w:left="1100"/>
      </w:pPr>
      <w:hyperlink w:anchor="_Toc954" w:history="1">
        <w:r>
          <w:rPr>
            <w:rFonts w:ascii="IRNazanin" w:hAnsi="IRNazanin" w:eastAsia="IRNazanin" w:cs="IRNazanin"/>
            <w:color w:val="111111"/>
            <w:sz w:val="22"/>
            <w:szCs w:val="22"/>
            <w:b w:val="0"/>
            <w:bCs w:val="0"/>
            <w:i w:val="0"/>
            <w:iCs w:val="0"/>
          </w:rPr>
          <w:t>[ما ذکره صاحب الفصول فی وجه المنع عن هذا الاستصحاب:]</w:t>
        </w:r>
        <w:r>
          <w:tab/>
        </w:r>
        <w:r>
          <w:fldChar w:fldCharType="begin"/>
        </w:r>
        <w:r>
          <w:instrText xml:space="preserve">PAGEREF 954 \h</w:instrText>
        </w:r>
        <w:r>
          <w:fldChar w:fldCharType="end"/>
        </w:r>
      </w:hyperlink>
    </w:p>
    <w:p>
      <w:pPr>
        <w:tabs>
          <w:tab w:val="right" w:leader="dot" w:pos="9062"/>
        </w:tabs>
        <w:ind w:left="1100"/>
      </w:pPr>
      <w:hyperlink w:anchor="_Toc9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955 \h</w:instrText>
        </w:r>
        <w:r>
          <w:fldChar w:fldCharType="end"/>
        </w:r>
      </w:hyperlink>
    </w:p>
    <w:p>
      <w:pPr>
        <w:tabs>
          <w:tab w:val="right" w:leader="dot" w:pos="9062"/>
        </w:tabs>
        <w:ind w:left="1100"/>
      </w:pPr>
      <w:hyperlink w:anchor="_Toc956" w:history="1">
        <w:r>
          <w:rPr>
            <w:rFonts w:ascii="IRNazanin" w:hAnsi="IRNazanin" w:eastAsia="IRNazanin" w:cs="IRNazanin"/>
            <w:color w:val="111111"/>
            <w:sz w:val="22"/>
            <w:szCs w:val="22"/>
            <w:b w:val="0"/>
            <w:bCs w:val="0"/>
            <w:i w:val="0"/>
            <w:iCs w:val="0"/>
          </w:rPr>
          <w:t>[المناقشة فی ما أفاده صاحب الفصول:]</w:t>
        </w:r>
        <w:r>
          <w:tab/>
        </w:r>
        <w:r>
          <w:fldChar w:fldCharType="begin"/>
        </w:r>
        <w:r>
          <w:instrText xml:space="preserve">PAGEREF 956 \h</w:instrText>
        </w:r>
        <w:r>
          <w:fldChar w:fldCharType="end"/>
        </w:r>
      </w:hyperlink>
    </w:p>
    <w:p>
      <w:pPr>
        <w:tabs>
          <w:tab w:val="right" w:leader="dot" w:pos="9062"/>
        </w:tabs>
        <w:ind w:left="1100"/>
      </w:pPr>
      <w:hyperlink w:anchor="_Toc957" w:history="1">
        <w:r>
          <w:rPr>
            <w:rFonts w:ascii="IRNazanin" w:hAnsi="IRNazanin" w:eastAsia="IRNazanin" w:cs="IRNazanin"/>
            <w:color w:val="111111"/>
            <w:sz w:val="22"/>
            <w:szCs w:val="22"/>
            <w:b w:val="0"/>
            <w:bCs w:val="0"/>
            <w:i w:val="0"/>
            <w:iCs w:val="0"/>
          </w:rPr>
          <w:t>[وجه آخر للمنع و دفعه:]</w:t>
        </w:r>
        <w:r>
          <w:tab/>
        </w:r>
        <w:r>
          <w:fldChar w:fldCharType="begin"/>
        </w:r>
        <w:r>
          <w:instrText xml:space="preserve">PAGEREF 957 \h</w:instrText>
        </w:r>
        <w:r>
          <w:fldChar w:fldCharType="end"/>
        </w:r>
      </w:hyperlink>
    </w:p>
    <w:p>
      <w:pPr>
        <w:tabs>
          <w:tab w:val="right" w:leader="dot" w:pos="9062"/>
        </w:tabs>
        <w:ind w:left="1100"/>
      </w:pPr>
      <w:hyperlink w:anchor="_Toc958" w:history="1">
        <w:r>
          <w:rPr>
            <w:rFonts w:ascii="IRNazanin" w:hAnsi="IRNazanin" w:eastAsia="IRNazanin" w:cs="IRNazanin"/>
            <w:color w:val="111111"/>
            <w:sz w:val="22"/>
            <w:szCs w:val="22"/>
            <w:b w:val="0"/>
            <w:bCs w:val="0"/>
            <w:i w:val="0"/>
            <w:iCs w:val="0"/>
          </w:rPr>
          <w:t>[ما ذکره المحقّق القمّی فی وجه المنع:]</w:t>
        </w:r>
        <w:r>
          <w:tab/>
        </w:r>
        <w:r>
          <w:fldChar w:fldCharType="begin"/>
        </w:r>
        <w:r>
          <w:instrText xml:space="preserve">PAGEREF 958 \h</w:instrText>
        </w:r>
        <w:r>
          <w:fldChar w:fldCharType="end"/>
        </w:r>
      </w:hyperlink>
    </w:p>
    <w:p>
      <w:pPr>
        <w:tabs>
          <w:tab w:val="right" w:leader="dot" w:pos="9062"/>
        </w:tabs>
        <w:ind w:left="1100"/>
      </w:pPr>
      <w:hyperlink w:anchor="_Toc9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959 \h</w:instrText>
        </w:r>
        <w:r>
          <w:fldChar w:fldCharType="end"/>
        </w:r>
      </w:hyperlink>
    </w:p>
    <w:p>
      <w:pPr>
        <w:tabs>
          <w:tab w:val="right" w:leader="dot" w:pos="9062"/>
        </w:tabs>
        <w:ind w:left="1100"/>
      </w:pPr>
      <w:hyperlink w:anchor="_Toc960" w:history="1">
        <w:r>
          <w:rPr>
            <w:rFonts w:ascii="IRNazanin" w:hAnsi="IRNazanin" w:eastAsia="IRNazanin" w:cs="IRNazanin"/>
            <w:color w:val="111111"/>
            <w:sz w:val="22"/>
            <w:szCs w:val="22"/>
            <w:b w:val="0"/>
            <w:bCs w:val="0"/>
            <w:i w:val="0"/>
            <w:iCs w:val="0"/>
          </w:rPr>
          <w:t>[الجواب عمّا ذکره المحقّق القمّی:]</w:t>
        </w:r>
        <w:r>
          <w:tab/>
        </w:r>
        <w:r>
          <w:fldChar w:fldCharType="begin"/>
        </w:r>
        <w:r>
          <w:instrText xml:space="preserve">PAGEREF 960 \h</w:instrText>
        </w:r>
        <w:r>
          <w:fldChar w:fldCharType="end"/>
        </w:r>
      </w:hyperlink>
    </w:p>
    <w:p>
      <w:pPr>
        <w:tabs>
          <w:tab w:val="right" w:leader="dot" w:pos="9062"/>
        </w:tabs>
        <w:ind w:left="1100"/>
      </w:pPr>
      <w:hyperlink w:anchor="_Toc961" w:history="1">
        <w:r>
          <w:rPr>
            <w:rFonts w:ascii="IRNazanin" w:hAnsi="IRNazanin" w:eastAsia="IRNazanin" w:cs="IRNazanin"/>
            <w:color w:val="111111"/>
            <w:sz w:val="22"/>
            <w:szCs w:val="22"/>
            <w:b w:val="0"/>
            <w:bCs w:val="0"/>
            <w:i w:val="0"/>
            <w:iCs w:val="0"/>
          </w:rPr>
          <w:t>[الثمرات المذکورة لهذه المسألة و مناقشتها:]</w:t>
        </w:r>
        <w:r>
          <w:tab/>
        </w:r>
        <w:r>
          <w:fldChar w:fldCharType="begin"/>
        </w:r>
        <w:r>
          <w:instrText xml:space="preserve">PAGEREF 961 \h</w:instrText>
        </w:r>
        <w:r>
          <w:fldChar w:fldCharType="end"/>
        </w:r>
      </w:hyperlink>
    </w:p>
    <w:p>
      <w:pPr>
        <w:tabs>
          <w:tab w:val="right" w:leader="dot" w:pos="9062"/>
        </w:tabs>
        <w:ind w:left="1100"/>
      </w:pPr>
      <w:hyperlink w:anchor="_Toc9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962 \h</w:instrText>
        </w:r>
        <w:r>
          <w:fldChar w:fldCharType="end"/>
        </w:r>
      </w:hyperlink>
    </w:p>
    <w:p>
      <w:pPr>
        <w:tabs>
          <w:tab w:val="right" w:leader="dot" w:pos="9062"/>
        </w:tabs>
        <w:ind w:left="1100"/>
      </w:pPr>
      <w:hyperlink w:anchor="_Toc963" w:history="1">
        <w:r>
          <w:rPr>
            <w:rFonts w:ascii="IRNazanin" w:hAnsi="IRNazanin" w:eastAsia="IRNazanin" w:cs="IRNazanin"/>
            <w:color w:val="111111"/>
            <w:sz w:val="22"/>
            <w:szCs w:val="22"/>
            <w:b w:val="0"/>
            <w:bCs w:val="0"/>
            <w:i w:val="0"/>
            <w:iCs w:val="0"/>
          </w:rPr>
          <w:t>[الثمرة الأولی:]</w:t>
        </w:r>
        <w:r>
          <w:tab/>
        </w:r>
        <w:r>
          <w:fldChar w:fldCharType="begin"/>
        </w:r>
        <w:r>
          <w:instrText xml:space="preserve">PAGEREF 963 \h</w:instrText>
        </w:r>
        <w:r>
          <w:fldChar w:fldCharType="end"/>
        </w:r>
      </w:hyperlink>
    </w:p>
    <w:p>
      <w:pPr>
        <w:tabs>
          <w:tab w:val="right" w:leader="dot" w:pos="9062"/>
        </w:tabs>
        <w:ind w:left="1100"/>
      </w:pPr>
      <w:hyperlink w:anchor="_Toc964" w:history="1">
        <w:r>
          <w:rPr>
            <w:rFonts w:ascii="IRNazanin" w:hAnsi="IRNazanin" w:eastAsia="IRNazanin" w:cs="IRNazanin"/>
            <w:color w:val="111111"/>
            <w:sz w:val="22"/>
            <w:szCs w:val="22"/>
            <w:b w:val="0"/>
            <w:bCs w:val="0"/>
            <w:i w:val="0"/>
            <w:iCs w:val="0"/>
          </w:rPr>
          <w:t>[الثمرة الثانیة:]</w:t>
        </w:r>
        <w:r>
          <w:tab/>
        </w:r>
        <w:r>
          <w:fldChar w:fldCharType="begin"/>
        </w:r>
        <w:r>
          <w:instrText xml:space="preserve">PAGEREF 964 \h</w:instrText>
        </w:r>
        <w:r>
          <w:fldChar w:fldCharType="end"/>
        </w:r>
      </w:hyperlink>
    </w:p>
    <w:p>
      <w:pPr>
        <w:tabs>
          <w:tab w:val="right" w:leader="dot" w:pos="9062"/>
        </w:tabs>
        <w:ind w:left="1100"/>
      </w:pPr>
      <w:hyperlink w:anchor="_Toc965" w:history="1">
        <w:r>
          <w:rPr>
            <w:rFonts w:ascii="IRNazanin" w:hAnsi="IRNazanin" w:eastAsia="IRNazanin" w:cs="IRNazanin"/>
            <w:color w:val="111111"/>
            <w:sz w:val="22"/>
            <w:szCs w:val="22"/>
            <w:b w:val="0"/>
            <w:bCs w:val="0"/>
            <w:i w:val="0"/>
            <w:iCs w:val="0"/>
          </w:rPr>
          <w:t>[الثمرة الثالثة:]</w:t>
        </w:r>
        <w:r>
          <w:tab/>
        </w:r>
        <w:r>
          <w:fldChar w:fldCharType="begin"/>
        </w:r>
        <w:r>
          <w:instrText xml:space="preserve">PAGEREF 965 \h</w:instrText>
        </w:r>
        <w:r>
          <w:fldChar w:fldCharType="end"/>
        </w:r>
      </w:hyperlink>
    </w:p>
    <w:p>
      <w:pPr>
        <w:tabs>
          <w:tab w:val="right" w:leader="dot" w:pos="9062"/>
        </w:tabs>
        <w:ind w:left="1100"/>
      </w:pPr>
      <w:hyperlink w:anchor="_Toc966" w:history="1">
        <w:r>
          <w:rPr>
            <w:rFonts w:ascii="IRNazanin" w:hAnsi="IRNazanin" w:eastAsia="IRNazanin" w:cs="IRNazanin"/>
            <w:color w:val="111111"/>
            <w:sz w:val="22"/>
            <w:szCs w:val="22"/>
            <w:b w:val="0"/>
            <w:bCs w:val="0"/>
            <w:i w:val="0"/>
            <w:iCs w:val="0"/>
          </w:rPr>
          <w:t>[الثمرة الرابعة:]</w:t>
        </w:r>
        <w:r>
          <w:tab/>
        </w:r>
        <w:r>
          <w:fldChar w:fldCharType="begin"/>
        </w:r>
        <w:r>
          <w:instrText xml:space="preserve">PAGEREF 966 \h</w:instrText>
        </w:r>
        <w:r>
          <w:fldChar w:fldCharType="end"/>
        </w:r>
      </w:hyperlink>
    </w:p>
    <w:p>
      <w:pPr>
        <w:tabs>
          <w:tab w:val="right" w:leader="dot" w:pos="9062"/>
        </w:tabs>
        <w:ind w:left="1100"/>
      </w:pPr>
      <w:hyperlink w:anchor="_Toc967" w:history="1">
        <w:r>
          <w:rPr>
            <w:rFonts w:ascii="IRNazanin" w:hAnsi="IRNazanin" w:eastAsia="IRNazanin" w:cs="IRNazanin"/>
            <w:color w:val="111111"/>
            <w:sz w:val="22"/>
            <w:szCs w:val="22"/>
            <w:b w:val="0"/>
            <w:bCs w:val="0"/>
            <w:i w:val="0"/>
            <w:iCs w:val="0"/>
          </w:rPr>
          <w:t>[الثمرة الخامسة:]</w:t>
        </w:r>
        <w:r>
          <w:tab/>
        </w:r>
        <w:r>
          <w:fldChar w:fldCharType="begin"/>
        </w:r>
        <w:r>
          <w:instrText xml:space="preserve">PAGEREF 967 \h</w:instrText>
        </w:r>
        <w:r>
          <w:fldChar w:fldCharType="end"/>
        </w:r>
      </w:hyperlink>
    </w:p>
    <w:p>
      <w:pPr>
        <w:tabs>
          <w:tab w:val="right" w:leader="dot" w:pos="9062"/>
        </w:tabs>
        <w:ind w:left="1100"/>
      </w:pPr>
      <w:hyperlink w:anchor="_Toc968" w:history="1">
        <w:r>
          <w:rPr>
            <w:rFonts w:ascii="IRNazanin" w:hAnsi="IRNazanin" w:eastAsia="IRNazanin" w:cs="IRNazanin"/>
            <w:color w:val="111111"/>
            <w:sz w:val="22"/>
            <w:szCs w:val="22"/>
            <w:b w:val="0"/>
            <w:bCs w:val="0"/>
            <w:i w:val="0"/>
            <w:iCs w:val="0"/>
          </w:rPr>
          <w:t>[الثمرة السادسة:]</w:t>
        </w:r>
        <w:r>
          <w:tab/>
        </w:r>
        <w:r>
          <w:fldChar w:fldCharType="begin"/>
        </w:r>
        <w:r>
          <w:instrText xml:space="preserve">PAGEREF 968 \h</w:instrText>
        </w:r>
        <w:r>
          <w:fldChar w:fldCharType="end"/>
        </w:r>
      </w:hyperlink>
    </w:p>
    <w:p>
      <w:pPr>
        <w:tabs>
          <w:tab w:val="right" w:leader="dot" w:pos="9062"/>
        </w:tabs>
        <w:ind w:left="1100"/>
      </w:pPr>
      <w:hyperlink w:anchor="_Toc969" w:history="1">
        <w:r>
          <w:rPr>
            <w:rFonts w:ascii="IRNazanin" w:hAnsi="IRNazanin" w:eastAsia="IRNazanin" w:cs="IRNazanin"/>
            <w:color w:val="111111"/>
            <w:sz w:val="22"/>
            <w:szCs w:val="22"/>
            <w:b w:val="0"/>
            <w:bCs w:val="0"/>
            <w:i w:val="0"/>
            <w:iCs w:val="0"/>
          </w:rPr>
          <w:t>الأمر السادس [:عدم ترتّب الآثار غیر الشرعیّة علی الاستصحاب و الدلیل علیه]</w:t>
        </w:r>
        <w:r>
          <w:tab/>
        </w:r>
        <w:r>
          <w:fldChar w:fldCharType="begin"/>
        </w:r>
        <w:r>
          <w:instrText xml:space="preserve">PAGEREF 969 \h</w:instrText>
        </w:r>
        <w:r>
          <w:fldChar w:fldCharType="end"/>
        </w:r>
      </w:hyperlink>
    </w:p>
    <w:p>
      <w:pPr>
        <w:tabs>
          <w:tab w:val="right" w:leader="dot" w:pos="9062"/>
        </w:tabs>
        <w:ind w:left="1100"/>
      </w:pPr>
      <w:hyperlink w:anchor="_Toc9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970 \h</w:instrText>
        </w:r>
        <w:r>
          <w:fldChar w:fldCharType="end"/>
        </w:r>
      </w:hyperlink>
    </w:p>
    <w:p>
      <w:pPr>
        <w:tabs>
          <w:tab w:val="right" w:leader="dot" w:pos="9062"/>
        </w:tabs>
        <w:ind w:left="1100"/>
      </w:pPr>
      <w:hyperlink w:anchor="_Toc971" w:history="1">
        <w:r>
          <w:rPr>
            <w:rFonts w:ascii="IRNazanin" w:hAnsi="IRNazanin" w:eastAsia="IRNazanin" w:cs="IRNazanin"/>
            <w:color w:val="111111"/>
            <w:sz w:val="22"/>
            <w:szCs w:val="22"/>
            <w:b w:val="0"/>
            <w:bCs w:val="0"/>
            <w:i w:val="0"/>
            <w:iCs w:val="0"/>
          </w:rPr>
          <w:t>[المراد من نفی الاصول المثبتة:]</w:t>
        </w:r>
        <w:r>
          <w:tab/>
        </w:r>
        <w:r>
          <w:fldChar w:fldCharType="begin"/>
        </w:r>
        <w:r>
          <w:instrText xml:space="preserve">PAGEREF 971 \h</w:instrText>
        </w:r>
        <w:r>
          <w:fldChar w:fldCharType="end"/>
        </w:r>
      </w:hyperlink>
    </w:p>
    <w:p>
      <w:pPr>
        <w:tabs>
          <w:tab w:val="right" w:leader="dot" w:pos="9062"/>
        </w:tabs>
        <w:ind w:left="1100"/>
      </w:pPr>
      <w:hyperlink w:anchor="_Toc972" w:history="1">
        <w:r>
          <w:rPr>
            <w:rFonts w:ascii="IRNazanin" w:hAnsi="IRNazanin" w:eastAsia="IRNazanin" w:cs="IRNazanin"/>
            <w:color w:val="111111"/>
            <w:sz w:val="22"/>
            <w:szCs w:val="22"/>
            <w:b w:val="0"/>
            <w:bCs w:val="0"/>
            <w:i w:val="0"/>
            <w:iCs w:val="0"/>
          </w:rPr>
          <w:t>[عدم ترتّب الآثار و اللوازم غیر الشرعیّة مطلقا:]</w:t>
        </w:r>
        <w:r>
          <w:tab/>
        </w:r>
        <w:r>
          <w:fldChar w:fldCharType="begin"/>
        </w:r>
        <w:r>
          <w:instrText xml:space="preserve">PAGEREF 972 \h</w:instrText>
        </w:r>
        <w:r>
          <w:fldChar w:fldCharType="end"/>
        </w:r>
      </w:hyperlink>
    </w:p>
    <w:p>
      <w:pPr>
        <w:tabs>
          <w:tab w:val="right" w:leader="dot" w:pos="9062"/>
        </w:tabs>
        <w:ind w:left="1100"/>
      </w:pPr>
      <w:hyperlink w:anchor="_Toc973" w:history="1">
        <w:r>
          <w:rPr>
            <w:rFonts w:ascii="IRNazanin" w:hAnsi="IRNazanin" w:eastAsia="IRNazanin" w:cs="IRNazanin"/>
            <w:color w:val="111111"/>
            <w:sz w:val="22"/>
            <w:szCs w:val="22"/>
            <w:b w:val="0"/>
            <w:bCs w:val="0"/>
            <w:i w:val="0"/>
            <w:iCs w:val="0"/>
          </w:rPr>
          <w:t>[ما استدلّ به صاحب الفصول علی عدم حجّیة الأصل المثبت:]</w:t>
        </w:r>
        <w:r>
          <w:tab/>
        </w:r>
        <w:r>
          <w:fldChar w:fldCharType="begin"/>
        </w:r>
        <w:r>
          <w:instrText xml:space="preserve">PAGEREF 973 \h</w:instrText>
        </w:r>
        <w:r>
          <w:fldChar w:fldCharType="end"/>
        </w:r>
      </w:hyperlink>
    </w:p>
    <w:p>
      <w:pPr>
        <w:tabs>
          <w:tab w:val="right" w:leader="dot" w:pos="9062"/>
        </w:tabs>
        <w:ind w:left="1100"/>
      </w:pPr>
      <w:hyperlink w:anchor="_Toc9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974 \h</w:instrText>
        </w:r>
        <w:r>
          <w:fldChar w:fldCharType="end"/>
        </w:r>
      </w:hyperlink>
    </w:p>
    <w:p>
      <w:pPr>
        <w:tabs>
          <w:tab w:val="right" w:leader="dot" w:pos="9062"/>
        </w:tabs>
        <w:ind w:left="1100"/>
      </w:pPr>
      <w:hyperlink w:anchor="_Toc975" w:history="1">
        <w:r>
          <w:rPr>
            <w:rFonts w:ascii="IRNazanin" w:hAnsi="IRNazanin" w:eastAsia="IRNazanin" w:cs="IRNazanin"/>
            <w:color w:val="111111"/>
            <w:sz w:val="22"/>
            <w:szCs w:val="22"/>
            <w:b w:val="0"/>
            <w:bCs w:val="0"/>
            <w:i w:val="0"/>
            <w:iCs w:val="0"/>
          </w:rPr>
          <w:t>[المناقشة فی ما أفاده صاحب الفصول:]</w:t>
        </w:r>
        <w:r>
          <w:tab/>
        </w:r>
        <w:r>
          <w:fldChar w:fldCharType="begin"/>
        </w:r>
        <w:r>
          <w:instrText xml:space="preserve">PAGEREF 975 \h</w:instrText>
        </w:r>
        <w:r>
          <w:fldChar w:fldCharType="end"/>
        </w:r>
      </w:hyperlink>
    </w:p>
    <w:p>
      <w:pPr>
        <w:tabs>
          <w:tab w:val="right" w:leader="dot" w:pos="9062"/>
        </w:tabs>
        <w:ind w:left="1100"/>
      </w:pPr>
      <w:hyperlink w:anchor="_Toc976" w:history="1">
        <w:r>
          <w:rPr>
            <w:rFonts w:ascii="IRNazanin" w:hAnsi="IRNazanin" w:eastAsia="IRNazanin" w:cs="IRNazanin"/>
            <w:color w:val="111111"/>
            <w:sz w:val="22"/>
            <w:szCs w:val="22"/>
            <w:b w:val="0"/>
            <w:bCs w:val="0"/>
            <w:i w:val="0"/>
            <w:iCs w:val="0"/>
          </w:rPr>
          <w:t>[وجوب الالتزام بالاصول المثبتة بناء علی اعتبار الاستصحاب من باب الظنّ:]</w:t>
        </w:r>
        <w:r>
          <w:tab/>
        </w:r>
        <w:r>
          <w:fldChar w:fldCharType="begin"/>
        </w:r>
        <w:r>
          <w:instrText xml:space="preserve">PAGEREF 976 \h</w:instrText>
        </w:r>
        <w:r>
          <w:fldChar w:fldCharType="end"/>
        </w:r>
      </w:hyperlink>
    </w:p>
    <w:p>
      <w:pPr>
        <w:tabs>
          <w:tab w:val="right" w:leader="dot" w:pos="9062"/>
        </w:tabs>
        <w:ind w:left="1100"/>
      </w:pPr>
      <w:hyperlink w:anchor="_Toc977" w:history="1">
        <w:r>
          <w:rPr>
            <w:rFonts w:ascii="IRNazanin" w:hAnsi="IRNazanin" w:eastAsia="IRNazanin" w:cs="IRNazanin"/>
            <w:color w:val="111111"/>
            <w:sz w:val="22"/>
            <w:szCs w:val="22"/>
            <w:b w:val="0"/>
            <w:bCs w:val="0"/>
            <w:i w:val="0"/>
            <w:iCs w:val="0"/>
          </w:rPr>
          <w:t>[فروع تمسّکوا فیها بالاصول المثبتة:]</w:t>
        </w:r>
        <w:r>
          <w:tab/>
        </w:r>
        <w:r>
          <w:fldChar w:fldCharType="begin"/>
        </w:r>
        <w:r>
          <w:instrText xml:space="preserve">PAGEREF 977 \h</w:instrText>
        </w:r>
        <w:r>
          <w:fldChar w:fldCharType="end"/>
        </w:r>
      </w:hyperlink>
    </w:p>
    <w:p>
      <w:pPr>
        <w:tabs>
          <w:tab w:val="right" w:leader="dot" w:pos="9062"/>
        </w:tabs>
        <w:ind w:left="1100"/>
      </w:pPr>
      <w:hyperlink w:anchor="_Toc978" w:history="1">
        <w:r>
          <w:rPr>
            <w:rFonts w:ascii="IRNazanin" w:hAnsi="IRNazanin" w:eastAsia="IRNazanin" w:cs="IRNazanin"/>
            <w:color w:val="111111"/>
            <w:sz w:val="22"/>
            <w:szCs w:val="22"/>
            <w:b w:val="0"/>
            <w:bCs w:val="0"/>
            <w:i w:val="0"/>
            <w:iCs w:val="0"/>
          </w:rPr>
          <w:t>اشارة</w:t>
        </w:r>
        <w:r>
          <w:tab/>
        </w:r>
        <w:r>
          <w:fldChar w:fldCharType="begin"/>
        </w:r>
        <w:r>
          <w:instrText xml:space="preserve">PAGEREF 978 \h</w:instrText>
        </w:r>
        <w:r>
          <w:fldChar w:fldCharType="end"/>
        </w:r>
      </w:hyperlink>
    </w:p>
    <w:p>
      <w:pPr>
        <w:tabs>
          <w:tab w:val="right" w:leader="dot" w:pos="9062"/>
        </w:tabs>
        <w:ind w:left="1100"/>
      </w:pPr>
      <w:hyperlink w:anchor="_Toc979" w:history="1">
        <w:r>
          <w:rPr>
            <w:rFonts w:ascii="IRNazanin" w:hAnsi="IRNazanin" w:eastAsia="IRNazanin" w:cs="IRNazanin"/>
            <w:color w:val="111111"/>
            <w:sz w:val="22"/>
            <w:szCs w:val="22"/>
            <w:b w:val="0"/>
            <w:bCs w:val="0"/>
            <w:i w:val="0"/>
            <w:iCs w:val="0"/>
          </w:rPr>
          <w:t>[الفرع الأول:]</w:t>
        </w:r>
        <w:r>
          <w:tab/>
        </w:r>
        <w:r>
          <w:fldChar w:fldCharType="begin"/>
        </w:r>
        <w:r>
          <w:instrText xml:space="preserve">PAGEREF 979 \h</w:instrText>
        </w:r>
        <w:r>
          <w:fldChar w:fldCharType="end"/>
        </w:r>
      </w:hyperlink>
    </w:p>
    <w:p>
      <w:pPr>
        <w:tabs>
          <w:tab w:val="right" w:leader="dot" w:pos="9062"/>
        </w:tabs>
        <w:ind w:left="1100"/>
      </w:pPr>
      <w:hyperlink w:anchor="_Toc980" w:history="1">
        <w:r>
          <w:rPr>
            <w:rFonts w:ascii="IRNazanin" w:hAnsi="IRNazanin" w:eastAsia="IRNazanin" w:cs="IRNazanin"/>
            <w:color w:val="111111"/>
            <w:sz w:val="22"/>
            <w:szCs w:val="22"/>
            <w:b w:val="0"/>
            <w:bCs w:val="0"/>
            <w:i w:val="0"/>
            <w:iCs w:val="0"/>
          </w:rPr>
          <w:t>[الفرع الثانی:]</w:t>
        </w:r>
        <w:r>
          <w:tab/>
        </w:r>
        <w:r>
          <w:fldChar w:fldCharType="begin"/>
        </w:r>
        <w:r>
          <w:instrText xml:space="preserve">PAGEREF 980 \h</w:instrText>
        </w:r>
        <w:r>
          <w:fldChar w:fldCharType="end"/>
        </w:r>
      </w:hyperlink>
    </w:p>
    <w:p>
      <w:pPr>
        <w:tabs>
          <w:tab w:val="right" w:leader="dot" w:pos="9062"/>
        </w:tabs>
        <w:ind w:left="1100"/>
      </w:pPr>
      <w:hyperlink w:anchor="_Toc981" w:history="1">
        <w:r>
          <w:rPr>
            <w:rFonts w:ascii="IRNazanin" w:hAnsi="IRNazanin" w:eastAsia="IRNazanin" w:cs="IRNazanin"/>
            <w:color w:val="111111"/>
            <w:sz w:val="22"/>
            <w:szCs w:val="22"/>
            <w:b w:val="0"/>
            <w:bCs w:val="0"/>
            <w:i w:val="0"/>
            <w:iCs w:val="0"/>
          </w:rPr>
          <w:t>[الفرع الثالث:]</w:t>
        </w:r>
        <w:r>
          <w:tab/>
        </w:r>
        <w:r>
          <w:fldChar w:fldCharType="begin"/>
        </w:r>
        <w:r>
          <w:instrText xml:space="preserve">PAGEREF 981 \h</w:instrText>
        </w:r>
        <w:r>
          <w:fldChar w:fldCharType="end"/>
        </w:r>
      </w:hyperlink>
    </w:p>
    <w:p>
      <w:pPr>
        <w:tabs>
          <w:tab w:val="right" w:leader="dot" w:pos="9062"/>
        </w:tabs>
        <w:ind w:left="1100"/>
      </w:pPr>
      <w:hyperlink w:anchor="_Toc982" w:history="1">
        <w:r>
          <w:rPr>
            <w:rFonts w:ascii="IRNazanin" w:hAnsi="IRNazanin" w:eastAsia="IRNazanin" w:cs="IRNazanin"/>
            <w:color w:val="111111"/>
            <w:sz w:val="22"/>
            <w:szCs w:val="22"/>
            <w:b w:val="0"/>
            <w:bCs w:val="0"/>
            <w:i w:val="0"/>
            <w:iCs w:val="0"/>
          </w:rPr>
          <w:t>[الفرع الرابع:]</w:t>
        </w:r>
        <w:r>
          <w:tab/>
        </w:r>
        <w:r>
          <w:fldChar w:fldCharType="begin"/>
        </w:r>
        <w:r>
          <w:instrText xml:space="preserve">PAGEREF 982 \h</w:instrText>
        </w:r>
        <w:r>
          <w:fldChar w:fldCharType="end"/>
        </w:r>
      </w:hyperlink>
    </w:p>
    <w:p>
      <w:pPr>
        <w:tabs>
          <w:tab w:val="right" w:leader="dot" w:pos="9062"/>
        </w:tabs>
        <w:ind w:left="1100"/>
      </w:pPr>
      <w:hyperlink w:anchor="_Toc983" w:history="1">
        <w:r>
          <w:rPr>
            <w:rFonts w:ascii="IRNazanin" w:hAnsi="IRNazanin" w:eastAsia="IRNazanin" w:cs="IRNazanin"/>
            <w:color w:val="111111"/>
            <w:sz w:val="22"/>
            <w:szCs w:val="22"/>
            <w:b w:val="0"/>
            <w:bCs w:val="0"/>
            <w:i w:val="0"/>
            <w:iCs w:val="0"/>
          </w:rPr>
          <w:t>[الفرع الخامس:]</w:t>
        </w:r>
        <w:r>
          <w:tab/>
        </w:r>
        <w:r>
          <w:fldChar w:fldCharType="begin"/>
        </w:r>
        <w:r>
          <w:instrText xml:space="preserve">PAGEREF 983 \h</w:instrText>
        </w:r>
        <w:r>
          <w:fldChar w:fldCharType="end"/>
        </w:r>
      </w:hyperlink>
    </w:p>
    <w:p>
      <w:pPr>
        <w:tabs>
          <w:tab w:val="right" w:leader="dot" w:pos="9062"/>
        </w:tabs>
        <w:ind w:left="1100"/>
      </w:pPr>
      <w:hyperlink w:anchor="_Toc984" w:history="1">
        <w:r>
          <w:rPr>
            <w:rFonts w:ascii="IRNazanin" w:hAnsi="IRNazanin" w:eastAsia="IRNazanin" w:cs="IRNazanin"/>
            <w:color w:val="111111"/>
            <w:sz w:val="22"/>
            <w:szCs w:val="22"/>
            <w:b w:val="0"/>
            <w:bCs w:val="0"/>
            <w:i w:val="0"/>
            <w:iCs w:val="0"/>
          </w:rPr>
          <w:t>[عدم عمل الأصحاب بکلّ أصل مثبت:]</w:t>
        </w:r>
        <w:r>
          <w:tab/>
        </w:r>
        <w:r>
          <w:fldChar w:fldCharType="begin"/>
        </w:r>
        <w:r>
          <w:instrText xml:space="preserve">PAGEREF 984 \h</w:instrText>
        </w:r>
        <w:r>
          <w:fldChar w:fldCharType="end"/>
        </w:r>
      </w:hyperlink>
    </w:p>
    <w:p>
      <w:pPr>
        <w:tabs>
          <w:tab w:val="right" w:leader="dot" w:pos="9062"/>
        </w:tabs>
        <w:ind w:left="1100"/>
      </w:pPr>
      <w:hyperlink w:anchor="_Toc985" w:history="1">
        <w:r>
          <w:rPr>
            <w:rFonts w:ascii="IRNazanin" w:hAnsi="IRNazanin" w:eastAsia="IRNazanin" w:cs="IRNazanin"/>
            <w:color w:val="111111"/>
            <w:sz w:val="22"/>
            <w:szCs w:val="22"/>
            <w:b w:val="0"/>
            <w:bCs w:val="0"/>
            <w:i w:val="0"/>
            <w:iCs w:val="0"/>
          </w:rPr>
          <w:t>[حجّیة الأصل المثبت مع خفاء الواسطة:]</w:t>
        </w:r>
        <w:r>
          <w:tab/>
        </w:r>
        <w:r>
          <w:fldChar w:fldCharType="begin"/>
        </w:r>
        <w:r>
          <w:instrText xml:space="preserve">PAGEREF 985 \h</w:instrText>
        </w:r>
        <w:r>
          <w:fldChar w:fldCharType="end"/>
        </w:r>
      </w:hyperlink>
    </w:p>
    <w:p>
      <w:pPr>
        <w:tabs>
          <w:tab w:val="right" w:leader="dot" w:pos="9062"/>
        </w:tabs>
        <w:ind w:left="1100"/>
      </w:pPr>
      <w:hyperlink w:anchor="_Toc9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986 \h</w:instrText>
        </w:r>
        <w:r>
          <w:fldChar w:fldCharType="end"/>
        </w:r>
      </w:hyperlink>
    </w:p>
    <w:p>
      <w:pPr>
        <w:tabs>
          <w:tab w:val="right" w:leader="dot" w:pos="9062"/>
        </w:tabs>
        <w:ind w:left="1100"/>
      </w:pPr>
      <w:hyperlink w:anchor="_Toc987" w:history="1">
        <w:r>
          <w:rPr>
            <w:rFonts w:ascii="IRNazanin" w:hAnsi="IRNazanin" w:eastAsia="IRNazanin" w:cs="IRNazanin"/>
            <w:color w:val="111111"/>
            <w:sz w:val="22"/>
            <w:szCs w:val="22"/>
            <w:b w:val="0"/>
            <w:bCs w:val="0"/>
            <w:i w:val="0"/>
            <w:iCs w:val="0"/>
          </w:rPr>
          <w:t>[نماذج من خفاء الواسطة:]</w:t>
        </w:r>
        <w:r>
          <w:tab/>
        </w:r>
        <w:r>
          <w:fldChar w:fldCharType="begin"/>
        </w:r>
        <w:r>
          <w:instrText xml:space="preserve">PAGEREF 987 \h</w:instrText>
        </w:r>
        <w:r>
          <w:fldChar w:fldCharType="end"/>
        </w:r>
      </w:hyperlink>
    </w:p>
    <w:p>
      <w:pPr>
        <w:tabs>
          <w:tab w:val="right" w:leader="dot" w:pos="9062"/>
        </w:tabs>
        <w:ind w:left="1100"/>
      </w:pPr>
      <w:hyperlink w:anchor="_Toc988" w:history="1">
        <w:r>
          <w:rPr>
            <w:rFonts w:ascii="IRNazanin" w:hAnsi="IRNazanin" w:eastAsia="IRNazanin" w:cs="IRNazanin"/>
            <w:color w:val="111111"/>
            <w:sz w:val="22"/>
            <w:szCs w:val="22"/>
            <w:b w:val="0"/>
            <w:bCs w:val="0"/>
            <w:i w:val="0"/>
            <w:iCs w:val="0"/>
          </w:rPr>
          <w:t>الأمر السابع [:هل تجری أصالة تأخّر الحادث؟]</w:t>
        </w:r>
        <w:r>
          <w:tab/>
        </w:r>
        <w:r>
          <w:fldChar w:fldCharType="begin"/>
        </w:r>
        <w:r>
          <w:instrText xml:space="preserve">PAGEREF 988 \h</w:instrText>
        </w:r>
        <w:r>
          <w:fldChar w:fldCharType="end"/>
        </w:r>
      </w:hyperlink>
    </w:p>
    <w:p>
      <w:pPr>
        <w:tabs>
          <w:tab w:val="right" w:leader="dot" w:pos="9062"/>
        </w:tabs>
        <w:ind w:left="1100"/>
      </w:pPr>
      <w:hyperlink w:anchor="_Toc989" w:history="1">
        <w:r>
          <w:rPr>
            <w:rFonts w:ascii="IRNazanin" w:hAnsi="IRNazanin" w:eastAsia="IRNazanin" w:cs="IRNazanin"/>
            <w:color w:val="111111"/>
            <w:sz w:val="22"/>
            <w:szCs w:val="22"/>
            <w:b w:val="0"/>
            <w:bCs w:val="0"/>
            <w:i w:val="0"/>
            <w:iCs w:val="0"/>
          </w:rPr>
          <w:t>اشارة</w:t>
        </w:r>
        <w:r>
          <w:tab/>
        </w:r>
        <w:r>
          <w:fldChar w:fldCharType="begin"/>
        </w:r>
        <w:r>
          <w:instrText xml:space="preserve">PAGEREF 989 \h</w:instrText>
        </w:r>
        <w:r>
          <w:fldChar w:fldCharType="end"/>
        </w:r>
      </w:hyperlink>
    </w:p>
    <w:p>
      <w:pPr>
        <w:tabs>
          <w:tab w:val="right" w:leader="dot" w:pos="9062"/>
        </w:tabs>
        <w:ind w:left="1100"/>
      </w:pPr>
      <w:hyperlink w:anchor="_Toc990" w:history="1">
        <w:r>
          <w:rPr>
            <w:rFonts w:ascii="IRNazanin" w:hAnsi="IRNazanin" w:eastAsia="IRNazanin" w:cs="IRNazanin"/>
            <w:color w:val="111111"/>
            <w:sz w:val="22"/>
            <w:szCs w:val="22"/>
            <w:b w:val="0"/>
            <w:bCs w:val="0"/>
            <w:i w:val="0"/>
            <w:iCs w:val="0"/>
          </w:rPr>
          <w:t>[صور تأخّر الحادث:]</w:t>
        </w:r>
        <w:r>
          <w:tab/>
        </w:r>
        <w:r>
          <w:fldChar w:fldCharType="begin"/>
        </w:r>
        <w:r>
          <w:instrText xml:space="preserve">PAGEREF 990 \h</w:instrText>
        </w:r>
        <w:r>
          <w:fldChar w:fldCharType="end"/>
        </w:r>
      </w:hyperlink>
    </w:p>
    <w:p>
      <w:pPr>
        <w:tabs>
          <w:tab w:val="right" w:leader="dot" w:pos="9062"/>
        </w:tabs>
        <w:ind w:left="1100"/>
      </w:pPr>
      <w:hyperlink w:anchor="_Toc991" w:history="1">
        <w:r>
          <w:rPr>
            <w:rFonts w:ascii="IRNazanin" w:hAnsi="IRNazanin" w:eastAsia="IRNazanin" w:cs="IRNazanin"/>
            <w:color w:val="111111"/>
            <w:sz w:val="22"/>
            <w:szCs w:val="22"/>
            <w:b w:val="0"/>
            <w:bCs w:val="0"/>
            <w:i w:val="0"/>
            <w:iCs w:val="0"/>
          </w:rPr>
          <w:t>اشارة</w:t>
        </w:r>
        <w:r>
          <w:tab/>
        </w:r>
        <w:r>
          <w:fldChar w:fldCharType="begin"/>
        </w:r>
        <w:r>
          <w:instrText xml:space="preserve">PAGEREF 991 \h</w:instrText>
        </w:r>
        <w:r>
          <w:fldChar w:fldCharType="end"/>
        </w:r>
      </w:hyperlink>
    </w:p>
    <w:p>
      <w:pPr>
        <w:tabs>
          <w:tab w:val="right" w:leader="dot" w:pos="9062"/>
        </w:tabs>
        <w:ind w:left="1100"/>
      </w:pPr>
      <w:hyperlink w:anchor="_Toc992" w:history="1">
        <w:r>
          <w:rPr>
            <w:rFonts w:ascii="IRNazanin" w:hAnsi="IRNazanin" w:eastAsia="IRNazanin" w:cs="IRNazanin"/>
            <w:color w:val="111111"/>
            <w:sz w:val="22"/>
            <w:szCs w:val="22"/>
            <w:b w:val="0"/>
            <w:bCs w:val="0"/>
            <w:i w:val="0"/>
            <w:iCs w:val="0"/>
          </w:rPr>
          <w:t>[1-إذا لوحظ تأخّر الحادث بالقیاس إلی ما قبله من أجزاء الزمان:]</w:t>
        </w:r>
        <w:r>
          <w:tab/>
        </w:r>
        <w:r>
          <w:fldChar w:fldCharType="begin"/>
        </w:r>
        <w:r>
          <w:instrText xml:space="preserve">PAGEREF 992 \h</w:instrText>
        </w:r>
        <w:r>
          <w:fldChar w:fldCharType="end"/>
        </w:r>
      </w:hyperlink>
    </w:p>
    <w:p>
      <w:pPr>
        <w:tabs>
          <w:tab w:val="right" w:leader="dot" w:pos="9062"/>
        </w:tabs>
        <w:ind w:left="1100"/>
      </w:pPr>
      <w:hyperlink w:anchor="_Toc993" w:history="1">
        <w:r>
          <w:rPr>
            <w:rFonts w:ascii="IRNazanin" w:hAnsi="IRNazanin" w:eastAsia="IRNazanin" w:cs="IRNazanin"/>
            <w:color w:val="111111"/>
            <w:sz w:val="22"/>
            <w:szCs w:val="22"/>
            <w:b w:val="0"/>
            <w:bCs w:val="0"/>
            <w:i w:val="0"/>
            <w:iCs w:val="0"/>
          </w:rPr>
          <w:t>[2-إذا لوحظ بالقیاس إلی حادث آخر و جهل تأریخهما:]</w:t>
        </w:r>
        <w:r>
          <w:tab/>
        </w:r>
        <w:r>
          <w:fldChar w:fldCharType="begin"/>
        </w:r>
        <w:r>
          <w:instrText xml:space="preserve">PAGEREF 993 \h</w:instrText>
        </w:r>
        <w:r>
          <w:fldChar w:fldCharType="end"/>
        </w:r>
      </w:hyperlink>
    </w:p>
    <w:p>
      <w:pPr>
        <w:tabs>
          <w:tab w:val="right" w:leader="dot" w:pos="9062"/>
        </w:tabs>
        <w:ind w:left="1100"/>
      </w:pPr>
      <w:hyperlink w:anchor="_Toc994" w:history="1">
        <w:r>
          <w:rPr>
            <w:rFonts w:ascii="IRNazanin" w:hAnsi="IRNazanin" w:eastAsia="IRNazanin" w:cs="IRNazanin"/>
            <w:color w:val="111111"/>
            <w:sz w:val="22"/>
            <w:szCs w:val="22"/>
            <w:b w:val="0"/>
            <w:bCs w:val="0"/>
            <w:i w:val="0"/>
            <w:iCs w:val="0"/>
          </w:rPr>
          <w:t>[لو کان أحدهما معلوم التأریخ:]</w:t>
        </w:r>
        <w:r>
          <w:tab/>
        </w:r>
        <w:r>
          <w:fldChar w:fldCharType="begin"/>
        </w:r>
        <w:r>
          <w:instrText xml:space="preserve">PAGEREF 994 \h</w:instrText>
        </w:r>
        <w:r>
          <w:fldChar w:fldCharType="end"/>
        </w:r>
      </w:hyperlink>
    </w:p>
    <w:p>
      <w:pPr>
        <w:tabs>
          <w:tab w:val="right" w:leader="dot" w:pos="9062"/>
        </w:tabs>
        <w:ind w:left="1100"/>
      </w:pPr>
      <w:hyperlink w:anchor="_Toc995" w:history="1">
        <w:r>
          <w:rPr>
            <w:rFonts w:ascii="IRNazanin" w:hAnsi="IRNazanin" w:eastAsia="IRNazanin" w:cs="IRNazanin"/>
            <w:color w:val="111111"/>
            <w:sz w:val="22"/>
            <w:szCs w:val="22"/>
            <w:b w:val="0"/>
            <w:bCs w:val="0"/>
            <w:i w:val="0"/>
            <w:iCs w:val="0"/>
          </w:rPr>
          <w:t>[قولان آخران فی هذه الصورة:]</w:t>
        </w:r>
        <w:r>
          <w:tab/>
        </w:r>
        <w:r>
          <w:fldChar w:fldCharType="begin"/>
        </w:r>
        <w:r>
          <w:instrText xml:space="preserve">PAGEREF 995 \h</w:instrText>
        </w:r>
        <w:r>
          <w:fldChar w:fldCharType="end"/>
        </w:r>
      </w:hyperlink>
    </w:p>
    <w:p>
      <w:pPr>
        <w:tabs>
          <w:tab w:val="right" w:leader="dot" w:pos="9062"/>
        </w:tabs>
        <w:ind w:left="1100"/>
      </w:pPr>
      <w:hyperlink w:anchor="_Toc996" w:history="1">
        <w:r>
          <w:rPr>
            <w:rFonts w:ascii="IRNazanin" w:hAnsi="IRNazanin" w:eastAsia="IRNazanin" w:cs="IRNazanin"/>
            <w:color w:val="111111"/>
            <w:sz w:val="22"/>
            <w:szCs w:val="22"/>
            <w:b w:val="0"/>
            <w:bCs w:val="0"/>
            <w:i w:val="0"/>
            <w:iCs w:val="0"/>
          </w:rPr>
          <w:t>أحدهما:جریان هذا الأصل فی طرف مجهول التأریخ</w:t>
        </w:r>
        <w:r>
          <w:tab/>
        </w:r>
        <w:r>
          <w:fldChar w:fldCharType="begin"/>
        </w:r>
        <w:r>
          <w:instrText xml:space="preserve">PAGEREF 996 \h</w:instrText>
        </w:r>
        <w:r>
          <w:fldChar w:fldCharType="end"/>
        </w:r>
      </w:hyperlink>
    </w:p>
    <w:p>
      <w:pPr>
        <w:tabs>
          <w:tab w:val="right" w:leader="dot" w:pos="9062"/>
        </w:tabs>
        <w:ind w:left="1100"/>
      </w:pPr>
      <w:hyperlink w:anchor="_Toc997" w:history="1">
        <w:r>
          <w:rPr>
            <w:rFonts w:ascii="IRNazanin" w:hAnsi="IRNazanin" w:eastAsia="IRNazanin" w:cs="IRNazanin"/>
            <w:color w:val="111111"/>
            <w:sz w:val="22"/>
            <w:szCs w:val="22"/>
            <w:b w:val="0"/>
            <w:bCs w:val="0"/>
            <w:i w:val="0"/>
            <w:iCs w:val="0"/>
          </w:rPr>
          <w:t>الثانی:عدم العمل بالأصل و إلحاق صورة جهل تأریخ أحدهما بصورة جهل تأریخهما.</w:t>
        </w:r>
        <w:r>
          <w:tab/>
        </w:r>
        <w:r>
          <w:fldChar w:fldCharType="begin"/>
        </w:r>
        <w:r>
          <w:instrText xml:space="preserve">PAGEREF 997 \h</w:instrText>
        </w:r>
        <w:r>
          <w:fldChar w:fldCharType="end"/>
        </w:r>
      </w:hyperlink>
    </w:p>
    <w:p>
      <w:pPr>
        <w:tabs>
          <w:tab w:val="right" w:leader="dot" w:pos="9062"/>
        </w:tabs>
        <w:ind w:left="1100"/>
      </w:pPr>
      <w:hyperlink w:anchor="_Toc998" w:history="1">
        <w:r>
          <w:rPr>
            <w:rFonts w:ascii="IRNazanin" w:hAnsi="IRNazanin" w:eastAsia="IRNazanin" w:cs="IRNazanin"/>
            <w:color w:val="111111"/>
            <w:sz w:val="22"/>
            <w:szCs w:val="22"/>
            <w:b w:val="0"/>
            <w:bCs w:val="0"/>
            <w:i w:val="0"/>
            <w:iCs w:val="0"/>
          </w:rPr>
          <w:t>[صحّة الاستصحاب القهقری بناء علی الأصل المثبت:]</w:t>
        </w:r>
        <w:r>
          <w:tab/>
        </w:r>
        <w:r>
          <w:fldChar w:fldCharType="begin"/>
        </w:r>
        <w:r>
          <w:instrText xml:space="preserve">PAGEREF 998 \h</w:instrText>
        </w:r>
        <w:r>
          <w:fldChar w:fldCharType="end"/>
        </w:r>
      </w:hyperlink>
    </w:p>
    <w:p>
      <w:pPr>
        <w:tabs>
          <w:tab w:val="right" w:leader="dot" w:pos="9062"/>
        </w:tabs>
        <w:ind w:left="1100"/>
      </w:pPr>
      <w:hyperlink w:anchor="_Toc999" w:history="1">
        <w:r>
          <w:rPr>
            <w:rFonts w:ascii="IRNazanin" w:hAnsi="IRNazanin" w:eastAsia="IRNazanin" w:cs="IRNazanin"/>
            <w:color w:val="111111"/>
            <w:sz w:val="22"/>
            <w:szCs w:val="22"/>
            <w:b w:val="0"/>
            <w:bCs w:val="0"/>
            <w:i w:val="0"/>
            <w:iCs w:val="0"/>
          </w:rPr>
          <w:t>اشارة</w:t>
        </w:r>
        <w:r>
          <w:tab/>
        </w:r>
        <w:r>
          <w:fldChar w:fldCharType="begin"/>
        </w:r>
        <w:r>
          <w:instrText xml:space="preserve">PAGEREF 999 \h</w:instrText>
        </w:r>
        <w:r>
          <w:fldChar w:fldCharType="end"/>
        </w:r>
      </w:hyperlink>
    </w:p>
    <w:p>
      <w:pPr>
        <w:tabs>
          <w:tab w:val="right" w:leader="dot" w:pos="9062"/>
        </w:tabs>
        <w:ind w:left="1100"/>
      </w:pPr>
      <w:hyperlink w:anchor="_Toc1000" w:history="1">
        <w:r>
          <w:rPr>
            <w:rFonts w:ascii="IRNazanin" w:hAnsi="IRNazanin" w:eastAsia="IRNazanin" w:cs="IRNazanin"/>
            <w:color w:val="111111"/>
            <w:sz w:val="22"/>
            <w:szCs w:val="22"/>
            <w:b w:val="0"/>
            <w:bCs w:val="0"/>
            <w:i w:val="0"/>
            <w:iCs w:val="0"/>
          </w:rPr>
          <w:t>[الاتفاق علی هذا الاستصحاب فی الاصول اللفظیّة:]</w:t>
        </w:r>
        <w:r>
          <w:tab/>
        </w:r>
        <w:r>
          <w:fldChar w:fldCharType="begin"/>
        </w:r>
        <w:r>
          <w:instrText xml:space="preserve">PAGEREF 1000 \h</w:instrText>
        </w:r>
        <w:r>
          <w:fldChar w:fldCharType="end"/>
        </w:r>
      </w:hyperlink>
    </w:p>
    <w:p>
      <w:pPr>
        <w:tabs>
          <w:tab w:val="right" w:leader="dot" w:pos="9062"/>
        </w:tabs>
        <w:ind w:left="1100"/>
      </w:pPr>
      <w:hyperlink w:anchor="_Toc1001" w:history="1">
        <w:r>
          <w:rPr>
            <w:rFonts w:ascii="IRNazanin" w:hAnsi="IRNazanin" w:eastAsia="IRNazanin" w:cs="IRNazanin"/>
            <w:color w:val="111111"/>
            <w:sz w:val="22"/>
            <w:szCs w:val="22"/>
            <w:b w:val="0"/>
            <w:bCs w:val="0"/>
            <w:i w:val="0"/>
            <w:iCs w:val="0"/>
          </w:rPr>
          <w:t>الأمر الثامن [:هل یجری استصحاب صحّة العبادة عند الشکّ فی طروء مفسد؟]</w:t>
        </w:r>
        <w:r>
          <w:tab/>
        </w:r>
        <w:r>
          <w:fldChar w:fldCharType="begin"/>
        </w:r>
        <w:r>
          <w:instrText xml:space="preserve">PAGEREF 1001 \h</w:instrText>
        </w:r>
        <w:r>
          <w:fldChar w:fldCharType="end"/>
        </w:r>
      </w:hyperlink>
    </w:p>
    <w:p>
      <w:pPr>
        <w:tabs>
          <w:tab w:val="right" w:leader="dot" w:pos="9062"/>
        </w:tabs>
        <w:ind w:left="1100"/>
      </w:pPr>
      <w:hyperlink w:anchor="_Toc100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1002 \h</w:instrText>
        </w:r>
        <w:r>
          <w:fldChar w:fldCharType="end"/>
        </w:r>
      </w:hyperlink>
    </w:p>
    <w:p>
      <w:pPr>
        <w:tabs>
          <w:tab w:val="right" w:leader="dot" w:pos="9062"/>
        </w:tabs>
        <w:ind w:left="1100"/>
      </w:pPr>
      <w:hyperlink w:anchor="_Toc1003" w:history="1">
        <w:r>
          <w:rPr>
            <w:rFonts w:ascii="IRNazanin" w:hAnsi="IRNazanin" w:eastAsia="IRNazanin" w:cs="IRNazanin"/>
            <w:color w:val="111111"/>
            <w:sz w:val="22"/>
            <w:szCs w:val="22"/>
            <w:b w:val="0"/>
            <w:bCs w:val="0"/>
            <w:i w:val="0"/>
            <w:iCs w:val="0"/>
          </w:rPr>
          <w:t>[مختار المصنّف التفصیل:]</w:t>
        </w:r>
        <w:r>
          <w:tab/>
        </w:r>
        <w:r>
          <w:fldChar w:fldCharType="begin"/>
        </w:r>
        <w:r>
          <w:instrText xml:space="preserve">PAGEREF 1003 \h</w:instrText>
        </w:r>
        <w:r>
          <w:fldChar w:fldCharType="end"/>
        </w:r>
      </w:hyperlink>
    </w:p>
    <w:p>
      <w:pPr>
        <w:tabs>
          <w:tab w:val="right" w:leader="dot" w:pos="9062"/>
        </w:tabs>
        <w:ind w:left="1100"/>
      </w:pPr>
      <w:hyperlink w:anchor="_Toc1004" w:history="1">
        <w:r>
          <w:rPr>
            <w:rFonts w:ascii="IRNazanin" w:hAnsi="IRNazanin" w:eastAsia="IRNazanin" w:cs="IRNazanin"/>
            <w:color w:val="111111"/>
            <w:sz w:val="22"/>
            <w:szCs w:val="22"/>
            <w:b w:val="0"/>
            <w:bCs w:val="0"/>
            <w:i w:val="0"/>
            <w:iCs w:val="0"/>
          </w:rPr>
          <w:t>[التمسّک فی مطلق الشکّ فی الفساد باستصحاب حرمة القطع و غیر ذلک و مناقشتها:]</w:t>
        </w:r>
        <w:r>
          <w:tab/>
        </w:r>
        <w:r>
          <w:fldChar w:fldCharType="begin"/>
        </w:r>
        <w:r>
          <w:instrText xml:space="preserve">PAGEREF 1004 \h</w:instrText>
        </w:r>
        <w:r>
          <w:fldChar w:fldCharType="end"/>
        </w:r>
      </w:hyperlink>
    </w:p>
    <w:p>
      <w:pPr>
        <w:tabs>
          <w:tab w:val="right" w:leader="dot" w:pos="9062"/>
        </w:tabs>
        <w:ind w:left="1100"/>
      </w:pPr>
      <w:hyperlink w:anchor="_Toc1005" w:history="1">
        <w:r>
          <w:rPr>
            <w:rFonts w:ascii="IRNazanin" w:hAnsi="IRNazanin" w:eastAsia="IRNazanin" w:cs="IRNazanin"/>
            <w:color w:val="111111"/>
            <w:sz w:val="22"/>
            <w:szCs w:val="22"/>
            <w:b w:val="0"/>
            <w:bCs w:val="0"/>
            <w:i w:val="0"/>
            <w:iCs w:val="0"/>
          </w:rPr>
          <w:t>الأمر التاسع [:عدم جریان الاستصحاب فی الامور الاعتقادیّة]</w:t>
        </w:r>
        <w:r>
          <w:tab/>
        </w:r>
        <w:r>
          <w:fldChar w:fldCharType="begin"/>
        </w:r>
        <w:r>
          <w:instrText xml:space="preserve">PAGEREF 1005 \h</w:instrText>
        </w:r>
        <w:r>
          <w:fldChar w:fldCharType="end"/>
        </w:r>
      </w:hyperlink>
    </w:p>
    <w:p>
      <w:pPr>
        <w:tabs>
          <w:tab w:val="right" w:leader="dot" w:pos="9062"/>
        </w:tabs>
        <w:ind w:left="1100"/>
      </w:pPr>
      <w:hyperlink w:anchor="_Toc100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1006 \h</w:instrText>
        </w:r>
        <w:r>
          <w:fldChar w:fldCharType="end"/>
        </w:r>
      </w:hyperlink>
    </w:p>
    <w:p>
      <w:pPr>
        <w:tabs>
          <w:tab w:val="right" w:leader="dot" w:pos="9062"/>
        </w:tabs>
        <w:ind w:left="1100"/>
      </w:pPr>
      <w:hyperlink w:anchor="_Toc1007" w:history="1">
        <w:r>
          <w:rPr>
            <w:rFonts w:ascii="IRNazanin" w:hAnsi="IRNazanin" w:eastAsia="IRNazanin" w:cs="IRNazanin"/>
            <w:color w:val="111111"/>
            <w:sz w:val="22"/>
            <w:szCs w:val="22"/>
            <w:b w:val="0"/>
            <w:bCs w:val="0"/>
            <w:i w:val="0"/>
            <w:iCs w:val="0"/>
          </w:rPr>
          <w:t>[لو شکّ فی نسخ أصل الشریعة؟:]</w:t>
        </w:r>
        <w:r>
          <w:tab/>
        </w:r>
        <w:r>
          <w:fldChar w:fldCharType="begin"/>
        </w:r>
        <w:r>
          <w:instrText xml:space="preserve">PAGEREF 1007 \h</w:instrText>
        </w:r>
        <w:r>
          <w:fldChar w:fldCharType="end"/>
        </w:r>
      </w:hyperlink>
    </w:p>
    <w:p>
      <w:pPr>
        <w:tabs>
          <w:tab w:val="right" w:leader="dot" w:pos="9062"/>
        </w:tabs>
        <w:ind w:left="1100"/>
      </w:pPr>
      <w:hyperlink w:anchor="_Toc1008" w:history="1">
        <w:r>
          <w:rPr>
            <w:rFonts w:ascii="IRNazanin" w:hAnsi="IRNazanin" w:eastAsia="IRNazanin" w:cs="IRNazanin"/>
            <w:color w:val="111111"/>
            <w:sz w:val="22"/>
            <w:szCs w:val="22"/>
            <w:b w:val="0"/>
            <w:bCs w:val="0"/>
            <w:i w:val="0"/>
            <w:iCs w:val="0"/>
          </w:rPr>
          <w:t>[تمسّک بعض أهل الکتاب باستصحاب شرعه:]</w:t>
        </w:r>
        <w:r>
          <w:tab/>
        </w:r>
        <w:r>
          <w:fldChar w:fldCharType="begin"/>
        </w:r>
        <w:r>
          <w:instrText xml:space="preserve">PAGEREF 1008 \h</w:instrText>
        </w:r>
        <w:r>
          <w:fldChar w:fldCharType="end"/>
        </w:r>
      </w:hyperlink>
    </w:p>
    <w:p>
      <w:pPr>
        <w:tabs>
          <w:tab w:val="right" w:leader="dot" w:pos="9062"/>
        </w:tabs>
        <w:ind w:left="1100"/>
      </w:pPr>
      <w:hyperlink w:anchor="_Toc100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1009 \h</w:instrText>
        </w:r>
        <w:r>
          <w:fldChar w:fldCharType="end"/>
        </w:r>
      </w:hyperlink>
    </w:p>
    <w:p>
      <w:pPr>
        <w:tabs>
          <w:tab w:val="right" w:leader="dot" w:pos="9062"/>
        </w:tabs>
        <w:ind w:left="1100"/>
      </w:pPr>
      <w:hyperlink w:anchor="_Toc1010" w:history="1">
        <w:r>
          <w:rPr>
            <w:rFonts w:ascii="IRNazanin" w:hAnsi="IRNazanin" w:eastAsia="IRNazanin" w:cs="IRNazanin"/>
            <w:color w:val="111111"/>
            <w:sz w:val="22"/>
            <w:szCs w:val="22"/>
            <w:b w:val="0"/>
            <w:bCs w:val="0"/>
            <w:i w:val="0"/>
            <w:iCs w:val="0"/>
          </w:rPr>
          <w:t>[بعض الأجوبة عن استصحاب الکتابی و مناقشتها:]</w:t>
        </w:r>
        <w:r>
          <w:tab/>
        </w:r>
        <w:r>
          <w:fldChar w:fldCharType="begin"/>
        </w:r>
        <w:r>
          <w:instrText xml:space="preserve">PAGEREF 1010 \h</w:instrText>
        </w:r>
        <w:r>
          <w:fldChar w:fldCharType="end"/>
        </w:r>
      </w:hyperlink>
    </w:p>
    <w:p>
      <w:pPr>
        <w:tabs>
          <w:tab w:val="right" w:leader="dot" w:pos="9062"/>
        </w:tabs>
        <w:ind w:left="1100"/>
      </w:pPr>
      <w:hyperlink w:anchor="_Toc1011" w:history="1">
        <w:r>
          <w:rPr>
            <w:rFonts w:ascii="IRNazanin" w:hAnsi="IRNazanin" w:eastAsia="IRNazanin" w:cs="IRNazanin"/>
            <w:color w:val="111111"/>
            <w:sz w:val="22"/>
            <w:szCs w:val="22"/>
            <w:b w:val="0"/>
            <w:bCs w:val="0"/>
            <w:i w:val="0"/>
            <w:iCs w:val="0"/>
          </w:rPr>
          <w:t>[1-ما ذکره بعض الفضلاء:]</w:t>
        </w:r>
        <w:r>
          <w:tab/>
        </w:r>
        <w:r>
          <w:fldChar w:fldCharType="begin"/>
        </w:r>
        <w:r>
          <w:instrText xml:space="preserve">PAGEREF 1011 \h</w:instrText>
        </w:r>
        <w:r>
          <w:fldChar w:fldCharType="end"/>
        </w:r>
      </w:hyperlink>
    </w:p>
    <w:p>
      <w:pPr>
        <w:tabs>
          <w:tab w:val="right" w:leader="dot" w:pos="9062"/>
        </w:tabs>
        <w:ind w:left="1100"/>
      </w:pPr>
      <w:hyperlink w:anchor="_Toc1012" w:history="1">
        <w:r>
          <w:rPr>
            <w:rFonts w:ascii="IRNazanin" w:hAnsi="IRNazanin" w:eastAsia="IRNazanin" w:cs="IRNazanin"/>
            <w:color w:val="111111"/>
            <w:sz w:val="22"/>
            <w:szCs w:val="22"/>
            <w:b w:val="0"/>
            <w:bCs w:val="0"/>
            <w:i w:val="0"/>
            <w:iCs w:val="0"/>
          </w:rPr>
          <w:t>[2-ما ذکره الفاضل النراقی:]</w:t>
        </w:r>
        <w:r>
          <w:tab/>
        </w:r>
        <w:r>
          <w:fldChar w:fldCharType="begin"/>
        </w:r>
        <w:r>
          <w:instrText xml:space="preserve">PAGEREF 1012 \h</w:instrText>
        </w:r>
        <w:r>
          <w:fldChar w:fldCharType="end"/>
        </w:r>
      </w:hyperlink>
    </w:p>
    <w:p>
      <w:pPr>
        <w:tabs>
          <w:tab w:val="right" w:leader="dot" w:pos="9062"/>
        </w:tabs>
        <w:ind w:left="1100"/>
      </w:pPr>
      <w:hyperlink w:anchor="_Toc1013" w:history="1">
        <w:r>
          <w:rPr>
            <w:rFonts w:ascii="IRNazanin" w:hAnsi="IRNazanin" w:eastAsia="IRNazanin" w:cs="IRNazanin"/>
            <w:color w:val="111111"/>
            <w:sz w:val="22"/>
            <w:szCs w:val="22"/>
            <w:b w:val="0"/>
            <w:bCs w:val="0"/>
            <w:i w:val="0"/>
            <w:iCs w:val="0"/>
          </w:rPr>
          <w:t>[3-ما ذکره المحقّق القمّی:]</w:t>
        </w:r>
        <w:r>
          <w:tab/>
        </w:r>
        <w:r>
          <w:fldChar w:fldCharType="begin"/>
        </w:r>
        <w:r>
          <w:instrText xml:space="preserve">PAGEREF 1013 \h</w:instrText>
        </w:r>
        <w:r>
          <w:fldChar w:fldCharType="end"/>
        </w:r>
      </w:hyperlink>
    </w:p>
    <w:p>
      <w:pPr>
        <w:tabs>
          <w:tab w:val="right" w:leader="dot" w:pos="9062"/>
        </w:tabs>
        <w:ind w:left="1100"/>
      </w:pPr>
      <w:hyperlink w:anchor="_Toc1014" w:history="1">
        <w:r>
          <w:rPr>
            <w:rFonts w:ascii="IRNazanin" w:hAnsi="IRNazanin" w:eastAsia="IRNazanin" w:cs="IRNazanin"/>
            <w:color w:val="111111"/>
            <w:sz w:val="22"/>
            <w:szCs w:val="22"/>
            <w:b w:val="0"/>
            <w:bCs w:val="0"/>
            <w:i w:val="0"/>
            <w:iCs w:val="0"/>
          </w:rPr>
          <w:t>[المناقشة فی ما أفاده المحقّق القمّی:]</w:t>
        </w:r>
        <w:r>
          <w:tab/>
        </w:r>
        <w:r>
          <w:fldChar w:fldCharType="begin"/>
        </w:r>
        <w:r>
          <w:instrText xml:space="preserve">PAGEREF 1014 \h</w:instrText>
        </w:r>
        <w:r>
          <w:fldChar w:fldCharType="end"/>
        </w:r>
      </w:hyperlink>
    </w:p>
    <w:p>
      <w:pPr>
        <w:tabs>
          <w:tab w:val="right" w:leader="dot" w:pos="9062"/>
        </w:tabs>
        <w:ind w:left="1100"/>
      </w:pPr>
      <w:hyperlink w:anchor="_Toc1015" w:history="1">
        <w:r>
          <w:rPr>
            <w:rFonts w:ascii="IRNazanin" w:hAnsi="IRNazanin" w:eastAsia="IRNazanin" w:cs="IRNazanin"/>
            <w:color w:val="111111"/>
            <w:sz w:val="22"/>
            <w:szCs w:val="22"/>
            <w:b w:val="0"/>
            <w:bCs w:val="0"/>
            <w:i w:val="0"/>
            <w:iCs w:val="0"/>
          </w:rPr>
          <w:t>[کلام آخر للمحقق القمی:]</w:t>
        </w:r>
        <w:r>
          <w:tab/>
        </w:r>
        <w:r>
          <w:fldChar w:fldCharType="begin"/>
        </w:r>
        <w:r>
          <w:instrText xml:space="preserve">PAGEREF 1015 \h</w:instrText>
        </w:r>
        <w:r>
          <w:fldChar w:fldCharType="end"/>
        </w:r>
      </w:hyperlink>
    </w:p>
    <w:p>
      <w:pPr>
        <w:tabs>
          <w:tab w:val="right" w:leader="dot" w:pos="9062"/>
        </w:tabs>
        <w:ind w:left="1100"/>
      </w:pPr>
      <w:hyperlink w:anchor="_Toc1016" w:history="1">
        <w:r>
          <w:rPr>
            <w:rFonts w:ascii="IRNazanin" w:hAnsi="IRNazanin" w:eastAsia="IRNazanin" w:cs="IRNazanin"/>
            <w:color w:val="111111"/>
            <w:sz w:val="22"/>
            <w:szCs w:val="22"/>
            <w:b w:val="0"/>
            <w:bCs w:val="0"/>
            <w:i w:val="0"/>
            <w:iCs w:val="0"/>
          </w:rPr>
          <w:t>[الجواب عن استصحاب الکتابی بوجوه أخر:]</w:t>
        </w:r>
        <w:r>
          <w:tab/>
        </w:r>
        <w:r>
          <w:fldChar w:fldCharType="begin"/>
        </w:r>
        <w:r>
          <w:instrText xml:space="preserve">PAGEREF 1016 \h</w:instrText>
        </w:r>
        <w:r>
          <w:fldChar w:fldCharType="end"/>
        </w:r>
      </w:hyperlink>
    </w:p>
    <w:p>
      <w:pPr>
        <w:tabs>
          <w:tab w:val="right" w:leader="dot" w:pos="9062"/>
        </w:tabs>
        <w:ind w:left="1100"/>
      </w:pPr>
      <w:hyperlink w:anchor="_Toc1017" w:history="1">
        <w:r>
          <w:rPr>
            <w:rFonts w:ascii="IRNazanin" w:hAnsi="IRNazanin" w:eastAsia="IRNazanin" w:cs="IRNazanin"/>
            <w:color w:val="111111"/>
            <w:sz w:val="22"/>
            <w:szCs w:val="22"/>
            <w:b w:val="0"/>
            <w:bCs w:val="0"/>
            <w:i w:val="0"/>
            <w:iCs w:val="0"/>
          </w:rPr>
          <w:t>الوجه الأوّل:أنّ المقصود من التمسّک به:</w:t>
        </w:r>
        <w:r>
          <w:tab/>
        </w:r>
        <w:r>
          <w:fldChar w:fldCharType="begin"/>
        </w:r>
        <w:r>
          <w:instrText xml:space="preserve">PAGEREF 1017 \h</w:instrText>
        </w:r>
        <w:r>
          <w:fldChar w:fldCharType="end"/>
        </w:r>
      </w:hyperlink>
    </w:p>
    <w:p>
      <w:pPr>
        <w:tabs>
          <w:tab w:val="right" w:leader="dot" w:pos="9062"/>
        </w:tabs>
        <w:ind w:left="1100"/>
      </w:pPr>
      <w:hyperlink w:anchor="_Toc1018" w:history="1">
        <w:r>
          <w:rPr>
            <w:rFonts w:ascii="IRNazanin" w:hAnsi="IRNazanin" w:eastAsia="IRNazanin" w:cs="IRNazanin"/>
            <w:color w:val="111111"/>
            <w:sz w:val="22"/>
            <w:szCs w:val="22"/>
            <w:b w:val="0"/>
            <w:bCs w:val="0"/>
            <w:i w:val="0"/>
            <w:iCs w:val="0"/>
          </w:rPr>
          <w:t>الوجه الثانی:أنّ اعتبار الاستصحاب إن کان من باب الأخبار</w:t>
        </w:r>
        <w:r>
          <w:tab/>
        </w:r>
        <w:r>
          <w:fldChar w:fldCharType="begin"/>
        </w:r>
        <w:r>
          <w:instrText xml:space="preserve">PAGEREF 1018 \h</w:instrText>
        </w:r>
        <w:r>
          <w:fldChar w:fldCharType="end"/>
        </w:r>
      </w:hyperlink>
    </w:p>
    <w:p>
      <w:pPr>
        <w:tabs>
          <w:tab w:val="right" w:leader="dot" w:pos="9062"/>
        </w:tabs>
        <w:ind w:left="1100"/>
      </w:pPr>
      <w:hyperlink w:anchor="_Toc1019" w:history="1">
        <w:r>
          <w:rPr>
            <w:rFonts w:ascii="IRNazanin" w:hAnsi="IRNazanin" w:eastAsia="IRNazanin" w:cs="IRNazanin"/>
            <w:color w:val="111111"/>
            <w:sz w:val="22"/>
            <w:szCs w:val="22"/>
            <w:b w:val="0"/>
            <w:bCs w:val="0"/>
            <w:i w:val="0"/>
            <w:iCs w:val="0"/>
          </w:rPr>
          <w:t>الوجه الثالث:أنّا لم نجزم بالمستصحب-و هی نبوّة موسی أو عیسی</w:t>
        </w:r>
        <w:r>
          <w:tab/>
        </w:r>
        <w:r>
          <w:fldChar w:fldCharType="begin"/>
        </w:r>
        <w:r>
          <w:instrText xml:space="preserve">PAGEREF 1019 \h</w:instrText>
        </w:r>
        <w:r>
          <w:fldChar w:fldCharType="end"/>
        </w:r>
      </w:hyperlink>
    </w:p>
    <w:p>
      <w:pPr>
        <w:tabs>
          <w:tab w:val="right" w:leader="dot" w:pos="9062"/>
        </w:tabs>
        <w:ind w:left="1100"/>
      </w:pPr>
      <w:hyperlink w:anchor="_Toc1020" w:history="1">
        <w:r>
          <w:rPr>
            <w:rFonts w:ascii="IRNazanin" w:hAnsi="IRNazanin" w:eastAsia="IRNazanin" w:cs="IRNazanin"/>
            <w:color w:val="111111"/>
            <w:sz w:val="22"/>
            <w:szCs w:val="22"/>
            <w:b w:val="0"/>
            <w:bCs w:val="0"/>
            <w:i w:val="0"/>
            <w:iCs w:val="0"/>
          </w:rPr>
          <w:t>الوجه الرابع:أنّ مرجع النبوّة المستصحبة لیس إلاّ إلی وجوب التدیّن</w:t>
        </w:r>
        <w:r>
          <w:tab/>
        </w:r>
        <w:r>
          <w:fldChar w:fldCharType="begin"/>
        </w:r>
        <w:r>
          <w:instrText xml:space="preserve">PAGEREF 1020 \h</w:instrText>
        </w:r>
        <w:r>
          <w:fldChar w:fldCharType="end"/>
        </w:r>
      </w:hyperlink>
    </w:p>
    <w:p>
      <w:pPr>
        <w:tabs>
          <w:tab w:val="right" w:leader="dot" w:pos="9062"/>
        </w:tabs>
        <w:ind w:left="1100"/>
      </w:pPr>
      <w:hyperlink w:anchor="_Toc1021" w:history="1">
        <w:r>
          <w:rPr>
            <w:rFonts w:ascii="IRNazanin" w:hAnsi="IRNazanin" w:eastAsia="IRNazanin" w:cs="IRNazanin"/>
            <w:color w:val="111111"/>
            <w:sz w:val="22"/>
            <w:szCs w:val="22"/>
            <w:b w:val="0"/>
            <w:bCs w:val="0"/>
            <w:i w:val="0"/>
            <w:iCs w:val="0"/>
          </w:rPr>
          <w:t>[الوجه ] الخامس:أن یقال:</w:t>
        </w:r>
        <w:r>
          <w:tab/>
        </w:r>
        <w:r>
          <w:fldChar w:fldCharType="begin"/>
        </w:r>
        <w:r>
          <w:instrText xml:space="preserve">PAGEREF 1021 \h</w:instrText>
        </w:r>
        <w:r>
          <w:fldChar w:fldCharType="end"/>
        </w:r>
      </w:hyperlink>
    </w:p>
    <w:p>
      <w:pPr>
        <w:tabs>
          <w:tab w:val="right" w:leader="dot" w:pos="9062"/>
        </w:tabs>
        <w:ind w:left="1100"/>
      </w:pPr>
      <w:hyperlink w:anchor="_Toc1022" w:history="1">
        <w:r>
          <w:rPr>
            <w:rFonts w:ascii="IRNazanin" w:hAnsi="IRNazanin" w:eastAsia="IRNazanin" w:cs="IRNazanin"/>
            <w:color w:val="111111"/>
            <w:sz w:val="22"/>
            <w:szCs w:val="22"/>
            <w:b w:val="0"/>
            <w:bCs w:val="0"/>
            <w:i w:val="0"/>
            <w:iCs w:val="0"/>
          </w:rPr>
          <w:t>[کلام الإمام الرضا علیه السّلام فی جواب الجاثلیق:]</w:t>
        </w:r>
        <w:r>
          <w:tab/>
        </w:r>
        <w:r>
          <w:fldChar w:fldCharType="begin"/>
        </w:r>
        <w:r>
          <w:instrText xml:space="preserve">PAGEREF 1022 \h</w:instrText>
        </w:r>
        <w:r>
          <w:fldChar w:fldCharType="end"/>
        </w:r>
      </w:hyperlink>
    </w:p>
    <w:p>
      <w:pPr>
        <w:tabs>
          <w:tab w:val="right" w:leader="dot" w:pos="9062"/>
        </w:tabs>
        <w:ind w:left="1100"/>
      </w:pPr>
      <w:hyperlink w:anchor="_Toc1023" w:history="1">
        <w:r>
          <w:rPr>
            <w:rFonts w:ascii="IRNazanin" w:hAnsi="IRNazanin" w:eastAsia="IRNazanin" w:cs="IRNazanin"/>
            <w:color w:val="111111"/>
            <w:sz w:val="22"/>
            <w:szCs w:val="22"/>
            <w:b w:val="0"/>
            <w:bCs w:val="0"/>
            <w:i w:val="0"/>
            <w:iCs w:val="0"/>
          </w:rPr>
          <w:t>الأمر العاشر [:دوران الأمر بین التمسّک بالعامّ أو استصحاب حکم المخصّص]</w:t>
        </w:r>
        <w:r>
          <w:tab/>
        </w:r>
        <w:r>
          <w:fldChar w:fldCharType="begin"/>
        </w:r>
        <w:r>
          <w:instrText xml:space="preserve">PAGEREF 1023 \h</w:instrText>
        </w:r>
        <w:r>
          <w:fldChar w:fldCharType="end"/>
        </w:r>
      </w:hyperlink>
    </w:p>
    <w:p>
      <w:pPr>
        <w:tabs>
          <w:tab w:val="right" w:leader="dot" w:pos="9062"/>
        </w:tabs>
        <w:ind w:left="1100"/>
      </w:pPr>
      <w:hyperlink w:anchor="_Toc1024" w:history="1">
        <w:r>
          <w:rPr>
            <w:rFonts w:ascii="IRNazanin" w:hAnsi="IRNazanin" w:eastAsia="IRNazanin" w:cs="IRNazanin"/>
            <w:color w:val="111111"/>
            <w:sz w:val="22"/>
            <w:szCs w:val="22"/>
            <w:b w:val="0"/>
            <w:bCs w:val="0"/>
            <w:i w:val="0"/>
            <w:iCs w:val="0"/>
          </w:rPr>
          <w:t>[الدلیل الدالّ علی الحکم فی الزمان السابق علی ثلاثة أنحاء:]</w:t>
        </w:r>
        <w:r>
          <w:tab/>
        </w:r>
        <w:r>
          <w:fldChar w:fldCharType="begin"/>
        </w:r>
        <w:r>
          <w:instrText xml:space="preserve">PAGEREF 1024 \h</w:instrText>
        </w:r>
        <w:r>
          <w:fldChar w:fldCharType="end"/>
        </w:r>
      </w:hyperlink>
    </w:p>
    <w:p>
      <w:pPr>
        <w:tabs>
          <w:tab w:val="right" w:leader="dot" w:pos="9062"/>
        </w:tabs>
        <w:ind w:left="1100"/>
      </w:pPr>
      <w:hyperlink w:anchor="_Toc1025" w:history="1">
        <w:r>
          <w:rPr>
            <w:rFonts w:ascii="IRNazanin" w:hAnsi="IRNazanin" w:eastAsia="IRNazanin" w:cs="IRNazanin"/>
            <w:color w:val="111111"/>
            <w:sz w:val="22"/>
            <w:szCs w:val="22"/>
            <w:b w:val="0"/>
            <w:bCs w:val="0"/>
            <w:i w:val="0"/>
            <w:iCs w:val="0"/>
          </w:rPr>
          <w:t>[هل یجری استصحاب حکم المخصّص مع العموم الأزمانی أم لا؟:]</w:t>
        </w:r>
        <w:r>
          <w:tab/>
        </w:r>
        <w:r>
          <w:fldChar w:fldCharType="begin"/>
        </w:r>
        <w:r>
          <w:instrText xml:space="preserve">PAGEREF 1025 \h</w:instrText>
        </w:r>
        <w:r>
          <w:fldChar w:fldCharType="end"/>
        </w:r>
      </w:hyperlink>
    </w:p>
    <w:p>
      <w:pPr>
        <w:tabs>
          <w:tab w:val="right" w:leader="dot" w:pos="9062"/>
        </w:tabs>
        <w:ind w:left="1100"/>
      </w:pPr>
      <w:hyperlink w:anchor="_Toc10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1026 \h</w:instrText>
        </w:r>
        <w:r>
          <w:fldChar w:fldCharType="end"/>
        </w:r>
      </w:hyperlink>
    </w:p>
    <w:p>
      <w:pPr>
        <w:tabs>
          <w:tab w:val="right" w:leader="dot" w:pos="9062"/>
        </w:tabs>
        <w:ind w:left="1100"/>
      </w:pPr>
      <w:hyperlink w:anchor="_Toc1027" w:history="1">
        <w:r>
          <w:rPr>
            <w:rFonts w:ascii="IRNazanin" w:hAnsi="IRNazanin" w:eastAsia="IRNazanin" w:cs="IRNazanin"/>
            <w:color w:val="111111"/>
            <w:sz w:val="22"/>
            <w:szCs w:val="22"/>
            <w:b w:val="0"/>
            <w:bCs w:val="0"/>
            <w:i w:val="0"/>
            <w:iCs w:val="0"/>
          </w:rPr>
          <w:t>[إذا کان العموم الأزمانی أفرادیّا:]</w:t>
        </w:r>
        <w:r>
          <w:tab/>
        </w:r>
        <w:r>
          <w:fldChar w:fldCharType="begin"/>
        </w:r>
        <w:r>
          <w:instrText xml:space="preserve">PAGEREF 1027 \h</w:instrText>
        </w:r>
        <w:r>
          <w:fldChar w:fldCharType="end"/>
        </w:r>
      </w:hyperlink>
    </w:p>
    <w:p>
      <w:pPr>
        <w:tabs>
          <w:tab w:val="right" w:leader="dot" w:pos="9062"/>
        </w:tabs>
        <w:ind w:left="1100"/>
      </w:pPr>
      <w:hyperlink w:anchor="_Toc1028" w:history="1">
        <w:r>
          <w:rPr>
            <w:rFonts w:ascii="IRNazanin" w:hAnsi="IRNazanin" w:eastAsia="IRNazanin" w:cs="IRNazanin"/>
            <w:color w:val="111111"/>
            <w:sz w:val="22"/>
            <w:szCs w:val="22"/>
            <w:b w:val="0"/>
            <w:bCs w:val="0"/>
            <w:i w:val="0"/>
            <w:iCs w:val="0"/>
          </w:rPr>
          <w:t>[إذا کان العموم الأزمانی استمراریّا:]</w:t>
        </w:r>
        <w:r>
          <w:tab/>
        </w:r>
        <w:r>
          <w:fldChar w:fldCharType="begin"/>
        </w:r>
        <w:r>
          <w:instrText xml:space="preserve">PAGEREF 1028 \h</w:instrText>
        </w:r>
        <w:r>
          <w:fldChar w:fldCharType="end"/>
        </w:r>
      </w:hyperlink>
    </w:p>
    <w:p>
      <w:pPr>
        <w:tabs>
          <w:tab w:val="right" w:leader="dot" w:pos="9062"/>
        </w:tabs>
        <w:ind w:left="1100"/>
      </w:pPr>
      <w:hyperlink w:anchor="_Toc1029" w:history="1">
        <w:r>
          <w:rPr>
            <w:rFonts w:ascii="IRNazanin" w:hAnsi="IRNazanin" w:eastAsia="IRNazanin" w:cs="IRNazanin"/>
            <w:color w:val="111111"/>
            <w:sz w:val="22"/>
            <w:szCs w:val="22"/>
            <w:b w:val="0"/>
            <w:bCs w:val="0"/>
            <w:i w:val="0"/>
            <w:iCs w:val="0"/>
          </w:rPr>
          <w:t>[المخالفة لما ذکرنا فی موضعین:]</w:t>
        </w:r>
        <w:r>
          <w:tab/>
        </w:r>
        <w:r>
          <w:fldChar w:fldCharType="begin"/>
        </w:r>
        <w:r>
          <w:instrText xml:space="preserve">PAGEREF 1029 \h</w:instrText>
        </w:r>
        <w:r>
          <w:fldChar w:fldCharType="end"/>
        </w:r>
      </w:hyperlink>
    </w:p>
    <w:p>
      <w:pPr>
        <w:tabs>
          <w:tab w:val="right" w:leader="dot" w:pos="9062"/>
        </w:tabs>
        <w:ind w:left="1100"/>
      </w:pPr>
      <w:hyperlink w:anchor="_Toc10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1030 \h</w:instrText>
        </w:r>
        <w:r>
          <w:fldChar w:fldCharType="end"/>
        </w:r>
      </w:hyperlink>
    </w:p>
    <w:p>
      <w:pPr>
        <w:tabs>
          <w:tab w:val="right" w:leader="dot" w:pos="9062"/>
        </w:tabs>
        <w:ind w:left="1100"/>
      </w:pPr>
      <w:hyperlink w:anchor="_Toc1031" w:history="1">
        <w:r>
          <w:rPr>
            <w:rFonts w:ascii="IRNazanin" w:hAnsi="IRNazanin" w:eastAsia="IRNazanin" w:cs="IRNazanin"/>
            <w:color w:val="111111"/>
            <w:sz w:val="22"/>
            <w:szCs w:val="22"/>
            <w:b w:val="0"/>
            <w:bCs w:val="0"/>
            <w:i w:val="0"/>
            <w:iCs w:val="0"/>
          </w:rPr>
          <w:t>[:1-ما ذکره المحقّق الثانی فی مسألة خیار الغبن و ما یرد علیه:]</w:t>
        </w:r>
        <w:r>
          <w:tab/>
        </w:r>
        <w:r>
          <w:fldChar w:fldCharType="begin"/>
        </w:r>
        <w:r>
          <w:instrText xml:space="preserve">PAGEREF 1031 \h</w:instrText>
        </w:r>
        <w:r>
          <w:fldChar w:fldCharType="end"/>
        </w:r>
      </w:hyperlink>
    </w:p>
    <w:p>
      <w:pPr>
        <w:tabs>
          <w:tab w:val="right" w:leader="dot" w:pos="9062"/>
        </w:tabs>
        <w:ind w:left="1100"/>
      </w:pPr>
      <w:hyperlink w:anchor="_Toc1032" w:history="1">
        <w:r>
          <w:rPr>
            <w:rFonts w:ascii="IRNazanin" w:hAnsi="IRNazanin" w:eastAsia="IRNazanin" w:cs="IRNazanin"/>
            <w:color w:val="111111"/>
            <w:sz w:val="22"/>
            <w:szCs w:val="22"/>
            <w:b w:val="0"/>
            <w:bCs w:val="0"/>
            <w:i w:val="0"/>
            <w:iCs w:val="0"/>
          </w:rPr>
          <w:t>[2-ما ذکره السیّد بحر العلوم قدّس سرّه:]</w:t>
        </w:r>
        <w:r>
          <w:tab/>
        </w:r>
        <w:r>
          <w:fldChar w:fldCharType="begin"/>
        </w:r>
        <w:r>
          <w:instrText xml:space="preserve">PAGEREF 1032 \h</w:instrText>
        </w:r>
        <w:r>
          <w:fldChar w:fldCharType="end"/>
        </w:r>
      </w:hyperlink>
    </w:p>
    <w:p>
      <w:pPr>
        <w:tabs>
          <w:tab w:val="right" w:leader="dot" w:pos="9062"/>
        </w:tabs>
        <w:ind w:left="1100"/>
      </w:pPr>
      <w:hyperlink w:anchor="_Toc1033" w:history="1">
        <w:r>
          <w:rPr>
            <w:rFonts w:ascii="IRNazanin" w:hAnsi="IRNazanin" w:eastAsia="IRNazanin" w:cs="IRNazanin"/>
            <w:color w:val="111111"/>
            <w:sz w:val="22"/>
            <w:szCs w:val="22"/>
            <w:b w:val="0"/>
            <w:bCs w:val="0"/>
            <w:i w:val="0"/>
            <w:iCs w:val="0"/>
          </w:rPr>
          <w:t>[المناقشة فی ما أفاده بحر العلوم:]</w:t>
        </w:r>
        <w:r>
          <w:tab/>
        </w:r>
        <w:r>
          <w:fldChar w:fldCharType="begin"/>
        </w:r>
        <w:r>
          <w:instrText xml:space="preserve">PAGEREF 1033 \h</w:instrText>
        </w:r>
        <w:r>
          <w:fldChar w:fldCharType="end"/>
        </w:r>
      </w:hyperlink>
    </w:p>
    <w:p>
      <w:pPr>
        <w:tabs>
          <w:tab w:val="right" w:leader="dot" w:pos="9062"/>
        </w:tabs>
        <w:ind w:left="1100"/>
      </w:pPr>
      <w:hyperlink w:anchor="_Toc1034" w:history="1">
        <w:r>
          <w:rPr>
            <w:rFonts w:ascii="IRNazanin" w:hAnsi="IRNazanin" w:eastAsia="IRNazanin" w:cs="IRNazanin"/>
            <w:color w:val="111111"/>
            <w:sz w:val="22"/>
            <w:szCs w:val="22"/>
            <w:b w:val="0"/>
            <w:bCs w:val="0"/>
            <w:i w:val="0"/>
            <w:iCs w:val="0"/>
          </w:rPr>
          <w:t>[توجیه کلام بحر العلوم:]</w:t>
        </w:r>
        <w:r>
          <w:tab/>
        </w:r>
        <w:r>
          <w:fldChar w:fldCharType="begin"/>
        </w:r>
        <w:r>
          <w:instrText xml:space="preserve">PAGEREF 1034 \h</w:instrText>
        </w:r>
        <w:r>
          <w:fldChar w:fldCharType="end"/>
        </w:r>
      </w:hyperlink>
    </w:p>
    <w:p>
      <w:pPr>
        <w:tabs>
          <w:tab w:val="right" w:leader="dot" w:pos="9062"/>
        </w:tabs>
        <w:ind w:left="1100"/>
      </w:pPr>
      <w:hyperlink w:anchor="_Toc1035" w:history="1">
        <w:r>
          <w:rPr>
            <w:rFonts w:ascii="IRNazanin" w:hAnsi="IRNazanin" w:eastAsia="IRNazanin" w:cs="IRNazanin"/>
            <w:color w:val="111111"/>
            <w:sz w:val="22"/>
            <w:szCs w:val="22"/>
            <w:b w:val="0"/>
            <w:bCs w:val="0"/>
            <w:i w:val="0"/>
            <w:iCs w:val="0"/>
          </w:rPr>
          <w:t>الأمر الحادی عشر [:لو تعذّر بعض المأمور به فهل یستصحب وجوب الباقی؟]</w:t>
        </w:r>
        <w:r>
          <w:tab/>
        </w:r>
        <w:r>
          <w:fldChar w:fldCharType="begin"/>
        </w:r>
        <w:r>
          <w:instrText xml:space="preserve">PAGEREF 1035 \h</w:instrText>
        </w:r>
        <w:r>
          <w:fldChar w:fldCharType="end"/>
        </w:r>
      </w:hyperlink>
    </w:p>
    <w:p>
      <w:pPr>
        <w:tabs>
          <w:tab w:val="right" w:leader="dot" w:pos="9062"/>
        </w:tabs>
        <w:ind w:left="1100"/>
      </w:pPr>
      <w:hyperlink w:anchor="_Toc10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1036 \h</w:instrText>
        </w:r>
        <w:r>
          <w:fldChar w:fldCharType="end"/>
        </w:r>
      </w:hyperlink>
    </w:p>
    <w:p>
      <w:pPr>
        <w:tabs>
          <w:tab w:val="right" w:leader="dot" w:pos="9062"/>
        </w:tabs>
        <w:ind w:left="1100"/>
      </w:pPr>
      <w:hyperlink w:anchor="_Toc1037" w:history="1">
        <w:r>
          <w:rPr>
            <w:rFonts w:ascii="IRNazanin" w:hAnsi="IRNazanin" w:eastAsia="IRNazanin" w:cs="IRNazanin"/>
            <w:color w:val="111111"/>
            <w:sz w:val="22"/>
            <w:szCs w:val="22"/>
            <w:b w:val="0"/>
            <w:bCs w:val="0"/>
            <w:i w:val="0"/>
            <w:iCs w:val="0"/>
          </w:rPr>
          <w:t>[الإشکال فی هذا الاستصحاب:]</w:t>
        </w:r>
        <w:r>
          <w:tab/>
        </w:r>
        <w:r>
          <w:fldChar w:fldCharType="begin"/>
        </w:r>
        <w:r>
          <w:instrText xml:space="preserve">PAGEREF 1037 \h</w:instrText>
        </w:r>
        <w:r>
          <w:fldChar w:fldCharType="end"/>
        </w:r>
      </w:hyperlink>
    </w:p>
    <w:p>
      <w:pPr>
        <w:tabs>
          <w:tab w:val="right" w:leader="dot" w:pos="9062"/>
        </w:tabs>
        <w:ind w:left="1100"/>
      </w:pPr>
      <w:hyperlink w:anchor="_Toc1038" w:history="1">
        <w:r>
          <w:rPr>
            <w:rFonts w:ascii="IRNazanin" w:hAnsi="IRNazanin" w:eastAsia="IRNazanin" w:cs="IRNazanin"/>
            <w:color w:val="111111"/>
            <w:sz w:val="22"/>
            <w:szCs w:val="22"/>
            <w:b w:val="0"/>
            <w:bCs w:val="0"/>
            <w:i w:val="0"/>
            <w:iCs w:val="0"/>
          </w:rPr>
          <w:t>[توجیه الاستصحاب بوجوه ثلاثة:]</w:t>
        </w:r>
        <w:r>
          <w:tab/>
        </w:r>
        <w:r>
          <w:fldChar w:fldCharType="begin"/>
        </w:r>
        <w:r>
          <w:instrText xml:space="preserve">PAGEREF 1038 \h</w:instrText>
        </w:r>
        <w:r>
          <w:fldChar w:fldCharType="end"/>
        </w:r>
      </w:hyperlink>
    </w:p>
    <w:p>
      <w:pPr>
        <w:tabs>
          <w:tab w:val="right" w:leader="dot" w:pos="9062"/>
        </w:tabs>
        <w:ind w:left="1100"/>
      </w:pPr>
      <w:hyperlink w:anchor="_Toc1039" w:history="1">
        <w:r>
          <w:rPr>
            <w:rFonts w:ascii="IRNazanin" w:hAnsi="IRNazanin" w:eastAsia="IRNazanin" w:cs="IRNazanin"/>
            <w:color w:val="111111"/>
            <w:sz w:val="22"/>
            <w:szCs w:val="22"/>
            <w:b w:val="0"/>
            <w:bCs w:val="0"/>
            <w:i w:val="0"/>
            <w:iCs w:val="0"/>
          </w:rPr>
          <w:t>[ثمرة هذه التوجیهات:]</w:t>
        </w:r>
        <w:r>
          <w:tab/>
        </w:r>
        <w:r>
          <w:fldChar w:fldCharType="begin"/>
        </w:r>
        <w:r>
          <w:instrText xml:space="preserve">PAGEREF 1039 \h</w:instrText>
        </w:r>
        <w:r>
          <w:fldChar w:fldCharType="end"/>
        </w:r>
      </w:hyperlink>
    </w:p>
    <w:p>
      <w:pPr>
        <w:tabs>
          <w:tab w:val="right" w:leader="dot" w:pos="9062"/>
        </w:tabs>
        <w:ind w:left="1100"/>
      </w:pPr>
      <w:hyperlink w:anchor="_Toc1040" w:history="1">
        <w:r>
          <w:rPr>
            <w:rFonts w:ascii="IRNazanin" w:hAnsi="IRNazanin" w:eastAsia="IRNazanin" w:cs="IRNazanin"/>
            <w:color w:val="111111"/>
            <w:sz w:val="22"/>
            <w:szCs w:val="22"/>
            <w:b w:val="0"/>
            <w:bCs w:val="0"/>
            <w:i w:val="0"/>
            <w:iCs w:val="0"/>
          </w:rPr>
          <w:t>[الصحیح من هذه التوجیهات:]</w:t>
        </w:r>
        <w:r>
          <w:tab/>
        </w:r>
        <w:r>
          <w:fldChar w:fldCharType="begin"/>
        </w:r>
        <w:r>
          <w:instrText xml:space="preserve">PAGEREF 1040 \h</w:instrText>
        </w:r>
        <w:r>
          <w:fldChar w:fldCharType="end"/>
        </w:r>
      </w:hyperlink>
    </w:p>
    <w:p>
      <w:pPr>
        <w:tabs>
          <w:tab w:val="right" w:leader="dot" w:pos="9062"/>
        </w:tabs>
        <w:ind w:left="1100"/>
      </w:pPr>
      <w:hyperlink w:anchor="_Toc1041" w:history="1">
        <w:r>
          <w:rPr>
            <w:rFonts w:ascii="IRNazanin" w:hAnsi="IRNazanin" w:eastAsia="IRNazanin" w:cs="IRNazanin"/>
            <w:color w:val="111111"/>
            <w:sz w:val="22"/>
            <w:szCs w:val="22"/>
            <w:b w:val="0"/>
            <w:bCs w:val="0"/>
            <w:i w:val="0"/>
            <w:iCs w:val="0"/>
          </w:rPr>
          <w:t>[عدم الفرق بناء علی جریان الاستصحاب بین تعذّر الجزء بعد تنجّز التکلیف أو قبله:]</w:t>
        </w:r>
        <w:r>
          <w:tab/>
        </w:r>
        <w:r>
          <w:fldChar w:fldCharType="begin"/>
        </w:r>
        <w:r>
          <w:instrText xml:space="preserve">PAGEREF 1041 \h</w:instrText>
        </w:r>
        <w:r>
          <w:fldChar w:fldCharType="end"/>
        </w:r>
      </w:hyperlink>
    </w:p>
    <w:p>
      <w:pPr>
        <w:tabs>
          <w:tab w:val="right" w:leader="dot" w:pos="9062"/>
        </w:tabs>
        <w:ind w:left="1100"/>
      </w:pPr>
      <w:hyperlink w:anchor="_Toc1042" w:history="1">
        <w:r>
          <w:rPr>
            <w:rFonts w:ascii="IRNazanin" w:hAnsi="IRNazanin" w:eastAsia="IRNazanin" w:cs="IRNazanin"/>
            <w:color w:val="111111"/>
            <w:sz w:val="22"/>
            <w:szCs w:val="22"/>
            <w:b w:val="0"/>
            <w:bCs w:val="0"/>
            <w:i w:val="0"/>
            <w:iCs w:val="0"/>
          </w:rPr>
          <w:t>[تخیّل و دفع:]</w:t>
        </w:r>
        <w:r>
          <w:tab/>
        </w:r>
        <w:r>
          <w:fldChar w:fldCharType="begin"/>
        </w:r>
        <w:r>
          <w:instrText xml:space="preserve">PAGEREF 1042 \h</w:instrText>
        </w:r>
        <w:r>
          <w:fldChar w:fldCharType="end"/>
        </w:r>
      </w:hyperlink>
    </w:p>
    <w:p>
      <w:pPr>
        <w:tabs>
          <w:tab w:val="right" w:leader="dot" w:pos="9062"/>
        </w:tabs>
        <w:ind w:left="1100"/>
      </w:pPr>
      <w:hyperlink w:anchor="_Toc1043" w:history="1">
        <w:r>
          <w:rPr>
            <w:rFonts w:ascii="IRNazanin" w:hAnsi="IRNazanin" w:eastAsia="IRNazanin" w:cs="IRNazanin"/>
            <w:color w:val="111111"/>
            <w:sz w:val="22"/>
            <w:szCs w:val="22"/>
            <w:b w:val="0"/>
            <w:bCs w:val="0"/>
            <w:i w:val="0"/>
            <w:iCs w:val="0"/>
          </w:rPr>
          <w:t>[نسبة التمسّک بالاستصحاب فی هذه المسألة إلی الفاضلین:]</w:t>
        </w:r>
        <w:r>
          <w:tab/>
        </w:r>
        <w:r>
          <w:fldChar w:fldCharType="begin"/>
        </w:r>
        <w:r>
          <w:instrText xml:space="preserve">PAGEREF 1043 \h</w:instrText>
        </w:r>
        <w:r>
          <w:fldChar w:fldCharType="end"/>
        </w:r>
      </w:hyperlink>
    </w:p>
    <w:p>
      <w:pPr>
        <w:tabs>
          <w:tab w:val="right" w:leader="dot" w:pos="9062"/>
        </w:tabs>
        <w:ind w:left="1100"/>
      </w:pPr>
      <w:hyperlink w:anchor="_Toc10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1044 \h</w:instrText>
        </w:r>
        <w:r>
          <w:fldChar w:fldCharType="end"/>
        </w:r>
      </w:hyperlink>
    </w:p>
    <w:p>
      <w:pPr>
        <w:tabs>
          <w:tab w:val="right" w:leader="dot" w:pos="9062"/>
        </w:tabs>
        <w:ind w:left="1100"/>
      </w:pPr>
      <w:hyperlink w:anchor="_Toc1045" w:history="1">
        <w:r>
          <w:rPr>
            <w:rFonts w:ascii="IRNazanin" w:hAnsi="IRNazanin" w:eastAsia="IRNazanin" w:cs="IRNazanin"/>
            <w:color w:val="111111"/>
            <w:sz w:val="22"/>
            <w:szCs w:val="22"/>
            <w:b w:val="0"/>
            <w:bCs w:val="0"/>
            <w:i w:val="0"/>
            <w:iCs w:val="0"/>
          </w:rPr>
          <w:t>[المناقشة فی هذه النسبة:]</w:t>
        </w:r>
        <w:r>
          <w:tab/>
        </w:r>
        <w:r>
          <w:fldChar w:fldCharType="begin"/>
        </w:r>
        <w:r>
          <w:instrText xml:space="preserve">PAGEREF 1045 \h</w:instrText>
        </w:r>
        <w:r>
          <w:fldChar w:fldCharType="end"/>
        </w:r>
      </w:hyperlink>
    </w:p>
    <w:p>
      <w:pPr>
        <w:tabs>
          <w:tab w:val="right" w:leader="dot" w:pos="9062"/>
        </w:tabs>
        <w:ind w:left="1100"/>
      </w:pPr>
      <w:hyperlink w:anchor="_Toc1046" w:history="1">
        <w:r>
          <w:rPr>
            <w:rFonts w:ascii="IRNazanin" w:hAnsi="IRNazanin" w:eastAsia="IRNazanin" w:cs="IRNazanin"/>
            <w:color w:val="111111"/>
            <w:sz w:val="22"/>
            <w:szCs w:val="22"/>
            <w:b w:val="0"/>
            <w:bCs w:val="0"/>
            <w:i w:val="0"/>
            <w:iCs w:val="0"/>
          </w:rPr>
          <w:t>الأمر الثانی عشر [:جریان الاستصحاب حتّی مع الظنّ بالخلاف و الدلیل علیه من وجوه]</w:t>
        </w:r>
        <w:r>
          <w:tab/>
        </w:r>
        <w:r>
          <w:fldChar w:fldCharType="begin"/>
        </w:r>
        <w:r>
          <w:instrText xml:space="preserve">PAGEREF 1046 \h</w:instrText>
        </w:r>
        <w:r>
          <w:fldChar w:fldCharType="end"/>
        </w:r>
      </w:hyperlink>
    </w:p>
    <w:p>
      <w:pPr>
        <w:tabs>
          <w:tab w:val="right" w:leader="dot" w:pos="9062"/>
        </w:tabs>
        <w:ind w:left="1100"/>
      </w:pPr>
      <w:hyperlink w:anchor="_Toc10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1047 \h</w:instrText>
        </w:r>
        <w:r>
          <w:fldChar w:fldCharType="end"/>
        </w:r>
      </w:hyperlink>
    </w:p>
    <w:p>
      <w:pPr>
        <w:tabs>
          <w:tab w:val="right" w:leader="dot" w:pos="9062"/>
        </w:tabs>
        <w:ind w:left="1100"/>
      </w:pPr>
      <w:hyperlink w:anchor="_Toc1048" w:history="1">
        <w:r>
          <w:rPr>
            <w:rFonts w:ascii="IRNazanin" w:hAnsi="IRNazanin" w:eastAsia="IRNazanin" w:cs="IRNazanin"/>
            <w:color w:val="111111"/>
            <w:sz w:val="22"/>
            <w:szCs w:val="22"/>
            <w:b w:val="0"/>
            <w:bCs w:val="0"/>
            <w:i w:val="0"/>
            <w:iCs w:val="0"/>
          </w:rPr>
          <w:t>[الوجه ] الأوّل:الإجماع القطعیّ</w:t>
        </w:r>
        <w:r>
          <w:tab/>
        </w:r>
        <w:r>
          <w:fldChar w:fldCharType="begin"/>
        </w:r>
        <w:r>
          <w:instrText xml:space="preserve">PAGEREF 1048 \h</w:instrText>
        </w:r>
        <w:r>
          <w:fldChar w:fldCharType="end"/>
        </w:r>
      </w:hyperlink>
    </w:p>
    <w:p>
      <w:pPr>
        <w:tabs>
          <w:tab w:val="right" w:leader="dot" w:pos="9062"/>
        </w:tabs>
        <w:ind w:left="1100"/>
      </w:pPr>
      <w:hyperlink w:anchor="_Toc1049" w:history="1">
        <w:r>
          <w:rPr>
            <w:rFonts w:ascii="IRNazanin" w:hAnsi="IRNazanin" w:eastAsia="IRNazanin" w:cs="IRNazanin"/>
            <w:color w:val="111111"/>
            <w:sz w:val="22"/>
            <w:szCs w:val="22"/>
            <w:b w:val="0"/>
            <w:bCs w:val="0"/>
            <w:i w:val="0"/>
            <w:iCs w:val="0"/>
          </w:rPr>
          <w:t>[الوجه:] الثانی:أنّ المراد بالشکّ فی الروایات معناه اللغویّ،</w:t>
        </w:r>
        <w:r>
          <w:tab/>
        </w:r>
        <w:r>
          <w:fldChar w:fldCharType="begin"/>
        </w:r>
        <w:r>
          <w:instrText xml:space="preserve">PAGEREF 1049 \h</w:instrText>
        </w:r>
        <w:r>
          <w:fldChar w:fldCharType="end"/>
        </w:r>
      </w:hyperlink>
    </w:p>
    <w:p>
      <w:pPr>
        <w:tabs>
          <w:tab w:val="right" w:leader="dot" w:pos="9062"/>
        </w:tabs>
        <w:ind w:left="1100"/>
      </w:pPr>
      <w:hyperlink w:anchor="_Toc1050" w:history="1">
        <w:r>
          <w:rPr>
            <w:rFonts w:ascii="IRNazanin" w:hAnsi="IRNazanin" w:eastAsia="IRNazanin" w:cs="IRNazanin"/>
            <w:color w:val="111111"/>
            <w:sz w:val="22"/>
            <w:szCs w:val="22"/>
            <w:b w:val="0"/>
            <w:bCs w:val="0"/>
            <w:i w:val="0"/>
            <w:iCs w:val="0"/>
          </w:rPr>
          <w:t>[الوجه:] الثالث:أنّ الظنّ الغیر المعتبر إن علم بعدم اعتباره</w:t>
        </w:r>
        <w:r>
          <w:tab/>
        </w:r>
        <w:r>
          <w:fldChar w:fldCharType="begin"/>
        </w:r>
        <w:r>
          <w:instrText xml:space="preserve">PAGEREF 1050 \h</w:instrText>
        </w:r>
        <w:r>
          <w:fldChar w:fldCharType="end"/>
        </w:r>
      </w:hyperlink>
    </w:p>
    <w:p>
      <w:pPr>
        <w:tabs>
          <w:tab w:val="right" w:leader="dot" w:pos="9062"/>
        </w:tabs>
        <w:ind w:left="1100"/>
      </w:pPr>
      <w:hyperlink w:anchor="_Toc10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1051 \h</w:instrText>
        </w:r>
        <w:r>
          <w:fldChar w:fldCharType="end"/>
        </w:r>
      </w:hyperlink>
    </w:p>
    <w:p>
      <w:pPr>
        <w:tabs>
          <w:tab w:val="right" w:leader="dot" w:pos="9062"/>
        </w:tabs>
        <w:ind w:left="1100"/>
      </w:pPr>
      <w:hyperlink w:anchor="_Toc1052" w:history="1">
        <w:r>
          <w:rPr>
            <w:rFonts w:ascii="IRNazanin" w:hAnsi="IRNazanin" w:eastAsia="IRNazanin" w:cs="IRNazanin"/>
            <w:color w:val="111111"/>
            <w:sz w:val="22"/>
            <w:szCs w:val="22"/>
            <w:b w:val="0"/>
            <w:bCs w:val="0"/>
            <w:i w:val="0"/>
            <w:iCs w:val="0"/>
          </w:rPr>
          <w:t>تنبیه: [کلام الشهید فی الذکری]</w:t>
        </w:r>
        <w:r>
          <w:tab/>
        </w:r>
        <w:r>
          <w:fldChar w:fldCharType="begin"/>
        </w:r>
        <w:r>
          <w:instrText xml:space="preserve">PAGEREF 1052 \h</w:instrText>
        </w:r>
        <w:r>
          <w:fldChar w:fldCharType="end"/>
        </w:r>
      </w:hyperlink>
    </w:p>
    <w:p>
      <w:pPr>
        <w:tabs>
          <w:tab w:val="right" w:leader="dot" w:pos="9062"/>
        </w:tabs>
        <w:ind w:left="1100"/>
      </w:pPr>
      <w:hyperlink w:anchor="_Toc1053" w:history="1">
        <w:r>
          <w:rPr>
            <w:rFonts w:ascii="IRNazanin" w:hAnsi="IRNazanin" w:eastAsia="IRNazanin" w:cs="IRNazanin"/>
            <w:color w:val="111111"/>
            <w:sz w:val="22"/>
            <w:szCs w:val="22"/>
            <w:b w:val="0"/>
            <w:bCs w:val="0"/>
            <w:i w:val="0"/>
            <w:iCs w:val="0"/>
          </w:rPr>
          <w:t>[توجیه کلام الشهید«قدس سره»:]</w:t>
        </w:r>
        <w:r>
          <w:tab/>
        </w:r>
        <w:r>
          <w:fldChar w:fldCharType="begin"/>
        </w:r>
        <w:r>
          <w:instrText xml:space="preserve">PAGEREF 1053 \h</w:instrText>
        </w:r>
        <w:r>
          <w:fldChar w:fldCharType="end"/>
        </w:r>
      </w:hyperlink>
    </w:p>
    <w:p>
      <w:pPr>
        <w:tabs>
          <w:tab w:val="right" w:leader="dot" w:pos="9062"/>
        </w:tabs>
        <w:ind w:left="1100"/>
      </w:pPr>
      <w:hyperlink w:anchor="_Toc1054" w:history="1">
        <w:r>
          <w:rPr>
            <w:rFonts w:ascii="IRNazanin" w:hAnsi="IRNazanin" w:eastAsia="IRNazanin" w:cs="IRNazanin"/>
            <w:color w:val="111111"/>
            <w:sz w:val="22"/>
            <w:szCs w:val="22"/>
            <w:b w:val="0"/>
            <w:bCs w:val="0"/>
            <w:i w:val="0"/>
            <w:iCs w:val="0"/>
          </w:rPr>
          <w:t>[ما یرد علی هذا التوجیه:]</w:t>
        </w:r>
        <w:r>
          <w:tab/>
        </w:r>
        <w:r>
          <w:fldChar w:fldCharType="begin"/>
        </w:r>
        <w:r>
          <w:instrText xml:space="preserve">PAGEREF 1054 \h</w:instrText>
        </w:r>
        <w:r>
          <w:fldChar w:fldCharType="end"/>
        </w:r>
      </w:hyperlink>
    </w:p>
    <w:p>
      <w:pPr>
        <w:tabs>
          <w:tab w:val="right" w:leader="dot" w:pos="9062"/>
        </w:tabs>
        <w:ind w:left="1100"/>
      </w:pPr>
      <w:hyperlink w:anchor="_Toc1055" w:history="1">
        <w:r>
          <w:rPr>
            <w:rFonts w:ascii="IRNazanin" w:hAnsi="IRNazanin" w:eastAsia="IRNazanin" w:cs="IRNazanin"/>
            <w:color w:val="111111"/>
            <w:sz w:val="22"/>
            <w:szCs w:val="22"/>
            <w:b w:val="0"/>
            <w:bCs w:val="0"/>
            <w:i w:val="0"/>
            <w:iCs w:val="0"/>
          </w:rPr>
          <w:t>[المراد من قولهم:«الیقین لا یرفعه الشکّ»:]</w:t>
        </w:r>
        <w:r>
          <w:tab/>
        </w:r>
        <w:r>
          <w:fldChar w:fldCharType="begin"/>
        </w:r>
        <w:r>
          <w:instrText xml:space="preserve">PAGEREF 1055 \h</w:instrText>
        </w:r>
        <w:r>
          <w:fldChar w:fldCharType="end"/>
        </w:r>
      </w:hyperlink>
    </w:p>
    <w:p>
      <w:pPr>
        <w:tabs>
          <w:tab w:val="right" w:leader="dot" w:pos="9062"/>
        </w:tabs>
        <w:ind w:left="880"/>
      </w:pPr>
      <w:hyperlink w:anchor="_Toc1056" w:history="1">
        <w:r>
          <w:rPr>
            <w:rFonts w:ascii="IRNazanin" w:hAnsi="IRNazanin" w:eastAsia="IRNazanin" w:cs="IRNazanin"/>
            <w:color w:val="111111"/>
            <w:sz w:val="22"/>
            <w:szCs w:val="22"/>
            <w:b w:val="0"/>
            <w:bCs w:val="0"/>
            <w:i w:val="0"/>
            <w:iCs w:val="0"/>
          </w:rPr>
          <w:t>خاتمة</w:t>
        </w:r>
        <w:r>
          <w:tab/>
        </w:r>
        <w:r>
          <w:fldChar w:fldCharType="begin"/>
        </w:r>
        <w:r>
          <w:instrText xml:space="preserve">PAGEREF 1056 \h</w:instrText>
        </w:r>
        <w:r>
          <w:fldChar w:fldCharType="end"/>
        </w:r>
      </w:hyperlink>
    </w:p>
    <w:p>
      <w:pPr>
        <w:tabs>
          <w:tab w:val="right" w:leader="dot" w:pos="9062"/>
        </w:tabs>
        <w:ind w:left="1100"/>
      </w:pPr>
      <w:hyperlink w:anchor="_Toc1057" w:history="1">
        <w:r>
          <w:rPr>
            <w:rFonts w:ascii="IRNazanin" w:hAnsi="IRNazanin" w:eastAsia="IRNazanin" w:cs="IRNazanin"/>
            <w:color w:val="111111"/>
            <w:sz w:val="22"/>
            <w:szCs w:val="22"/>
            <w:b w:val="0"/>
            <w:bCs w:val="0"/>
            <w:i w:val="0"/>
            <w:iCs w:val="0"/>
          </w:rPr>
          <w:t>[شرائط العمل بالاستصحاب:]</w:t>
        </w:r>
        <w:r>
          <w:tab/>
        </w:r>
        <w:r>
          <w:fldChar w:fldCharType="begin"/>
        </w:r>
        <w:r>
          <w:instrText xml:space="preserve">PAGEREF 1057 \h</w:instrText>
        </w:r>
        <w:r>
          <w:fldChar w:fldCharType="end"/>
        </w:r>
      </w:hyperlink>
    </w:p>
    <w:p>
      <w:pPr>
        <w:tabs>
          <w:tab w:val="right" w:leader="dot" w:pos="9062"/>
        </w:tabs>
        <w:ind w:left="1100"/>
      </w:pPr>
      <w:hyperlink w:anchor="_Toc10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1058 \h</w:instrText>
        </w:r>
        <w:r>
          <w:fldChar w:fldCharType="end"/>
        </w:r>
      </w:hyperlink>
    </w:p>
    <w:p>
      <w:pPr>
        <w:tabs>
          <w:tab w:val="right" w:leader="dot" w:pos="9062"/>
        </w:tabs>
        <w:ind w:left="1100"/>
      </w:pPr>
      <w:hyperlink w:anchor="_Toc1059" w:history="1">
        <w:r>
          <w:rPr>
            <w:rFonts w:ascii="IRNazanin" w:hAnsi="IRNazanin" w:eastAsia="IRNazanin" w:cs="IRNazanin"/>
            <w:color w:val="111111"/>
            <w:sz w:val="22"/>
            <w:szCs w:val="22"/>
            <w:b w:val="0"/>
            <w:bCs w:val="0"/>
            <w:i w:val="0"/>
            <w:iCs w:val="0"/>
          </w:rPr>
          <w:t>الأمر الأوّل [:اشتراط بقاء الموضوع:]</w:t>
        </w:r>
        <w:r>
          <w:tab/>
        </w:r>
        <w:r>
          <w:fldChar w:fldCharType="begin"/>
        </w:r>
        <w:r>
          <w:instrText xml:space="preserve">PAGEREF 1059 \h</w:instrText>
        </w:r>
        <w:r>
          <w:fldChar w:fldCharType="end"/>
        </w:r>
      </w:hyperlink>
    </w:p>
    <w:p>
      <w:pPr>
        <w:tabs>
          <w:tab w:val="right" w:leader="dot" w:pos="9062"/>
        </w:tabs>
        <w:ind w:left="1100"/>
      </w:pPr>
      <w:hyperlink w:anchor="_Toc10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1060 \h</w:instrText>
        </w:r>
        <w:r>
          <w:fldChar w:fldCharType="end"/>
        </w:r>
      </w:hyperlink>
    </w:p>
    <w:p>
      <w:pPr>
        <w:tabs>
          <w:tab w:val="right" w:leader="dot" w:pos="9062"/>
        </w:tabs>
        <w:ind w:left="1100"/>
      </w:pPr>
      <w:hyperlink w:anchor="_Toc1061" w:history="1">
        <w:r>
          <w:rPr>
            <w:rFonts w:ascii="IRNazanin" w:hAnsi="IRNazanin" w:eastAsia="IRNazanin" w:cs="IRNazanin"/>
            <w:color w:val="111111"/>
            <w:sz w:val="22"/>
            <w:szCs w:val="22"/>
            <w:b w:val="0"/>
            <w:bCs w:val="0"/>
            <w:i w:val="0"/>
            <w:iCs w:val="0"/>
          </w:rPr>
          <w:t>[الدلیل علی هذا الشرط:]</w:t>
        </w:r>
        <w:r>
          <w:tab/>
        </w:r>
        <w:r>
          <w:fldChar w:fldCharType="begin"/>
        </w:r>
        <w:r>
          <w:instrText xml:space="preserve">PAGEREF 1061 \h</w:instrText>
        </w:r>
        <w:r>
          <w:fldChar w:fldCharType="end"/>
        </w:r>
      </w:hyperlink>
    </w:p>
    <w:p>
      <w:pPr>
        <w:tabs>
          <w:tab w:val="right" w:leader="dot" w:pos="9062"/>
        </w:tabs>
        <w:ind w:left="1100"/>
      </w:pPr>
      <w:hyperlink w:anchor="_Toc1062" w:history="1">
        <w:r>
          <w:rPr>
            <w:rFonts w:ascii="IRNazanin" w:hAnsi="IRNazanin" w:eastAsia="IRNazanin" w:cs="IRNazanin"/>
            <w:color w:val="111111"/>
            <w:sz w:val="22"/>
            <w:szCs w:val="22"/>
            <w:b w:val="0"/>
            <w:bCs w:val="0"/>
            <w:i w:val="0"/>
            <w:iCs w:val="0"/>
          </w:rPr>
          <w:t>[المعتبر هو العلم ببقاء الموضوع:]</w:t>
        </w:r>
        <w:r>
          <w:tab/>
        </w:r>
        <w:r>
          <w:fldChar w:fldCharType="begin"/>
        </w:r>
        <w:r>
          <w:instrText xml:space="preserve">PAGEREF 1062 \h</w:instrText>
        </w:r>
        <w:r>
          <w:fldChar w:fldCharType="end"/>
        </w:r>
      </w:hyperlink>
    </w:p>
    <w:p>
      <w:pPr>
        <w:tabs>
          <w:tab w:val="right" w:leader="dot" w:pos="9062"/>
        </w:tabs>
        <w:ind w:left="1100"/>
      </w:pPr>
      <w:hyperlink w:anchor="_Toc1063" w:history="1">
        <w:r>
          <w:rPr>
            <w:rFonts w:ascii="IRNazanin" w:hAnsi="IRNazanin" w:eastAsia="IRNazanin" w:cs="IRNazanin"/>
            <w:color w:val="111111"/>
            <w:sz w:val="22"/>
            <w:szCs w:val="22"/>
            <w:b w:val="0"/>
            <w:bCs w:val="0"/>
            <w:i w:val="0"/>
            <w:iCs w:val="0"/>
          </w:rPr>
          <w:t>[هل یجوز إحراز الموضوع فی الزمان اللاحق بالاستصحاب؟:]</w:t>
        </w:r>
        <w:r>
          <w:tab/>
        </w:r>
        <w:r>
          <w:fldChar w:fldCharType="begin"/>
        </w:r>
        <w:r>
          <w:instrText xml:space="preserve">PAGEREF 1063 \h</w:instrText>
        </w:r>
        <w:r>
          <w:fldChar w:fldCharType="end"/>
        </w:r>
      </w:hyperlink>
    </w:p>
    <w:p>
      <w:pPr>
        <w:tabs>
          <w:tab w:val="right" w:leader="dot" w:pos="9062"/>
        </w:tabs>
        <w:ind w:left="1100"/>
      </w:pPr>
      <w:hyperlink w:anchor="_Toc1064" w:history="1">
        <w:r>
          <w:rPr>
            <w:rFonts w:ascii="IRNazanin" w:hAnsi="IRNazanin" w:eastAsia="IRNazanin" w:cs="IRNazanin"/>
            <w:color w:val="111111"/>
            <w:sz w:val="22"/>
            <w:szCs w:val="22"/>
            <w:b w:val="0"/>
            <w:bCs w:val="0"/>
            <w:i w:val="0"/>
            <w:iCs w:val="0"/>
          </w:rPr>
          <w:t>[الشکّ فی الحکم من جهة الشکّ فی القیود المأخوذة فی الموضوع:]</w:t>
        </w:r>
        <w:r>
          <w:tab/>
        </w:r>
        <w:r>
          <w:fldChar w:fldCharType="begin"/>
        </w:r>
        <w:r>
          <w:instrText xml:space="preserve">PAGEREF 1064 \h</w:instrText>
        </w:r>
        <w:r>
          <w:fldChar w:fldCharType="end"/>
        </w:r>
      </w:hyperlink>
    </w:p>
    <w:p>
      <w:pPr>
        <w:tabs>
          <w:tab w:val="right" w:leader="dot" w:pos="9062"/>
        </w:tabs>
        <w:ind w:left="1100"/>
      </w:pPr>
      <w:hyperlink w:anchor="_Toc1065" w:history="1">
        <w:r>
          <w:rPr>
            <w:rFonts w:ascii="IRNazanin" w:hAnsi="IRNazanin" w:eastAsia="IRNazanin" w:cs="IRNazanin"/>
            <w:color w:val="111111"/>
            <w:sz w:val="22"/>
            <w:szCs w:val="22"/>
            <w:b w:val="0"/>
            <w:bCs w:val="0"/>
            <w:i w:val="0"/>
            <w:iCs w:val="0"/>
          </w:rPr>
          <w:t>[ما یمیّز به القیود المأخوذة فی الموضوع أحد امور:]</w:t>
        </w:r>
        <w:r>
          <w:tab/>
        </w:r>
        <w:r>
          <w:fldChar w:fldCharType="begin"/>
        </w:r>
        <w:r>
          <w:instrText xml:space="preserve">PAGEREF 1065 \h</w:instrText>
        </w:r>
        <w:r>
          <w:fldChar w:fldCharType="end"/>
        </w:r>
      </w:hyperlink>
    </w:p>
    <w:p>
      <w:pPr>
        <w:tabs>
          <w:tab w:val="right" w:leader="dot" w:pos="9062"/>
        </w:tabs>
        <w:ind w:left="1100"/>
      </w:pPr>
      <w:hyperlink w:anchor="_Toc1066" w:history="1">
        <w:r>
          <w:rPr>
            <w:rFonts w:ascii="IRNazanin" w:hAnsi="IRNazanin" w:eastAsia="IRNazanin" w:cs="IRNazanin"/>
            <w:color w:val="111111"/>
            <w:sz w:val="22"/>
            <w:szCs w:val="22"/>
            <w:b w:val="0"/>
            <w:bCs w:val="0"/>
            <w:i w:val="0"/>
            <w:iCs w:val="0"/>
          </w:rPr>
          <w:t>الأوّل:العقل</w:t>
        </w:r>
        <w:r>
          <w:tab/>
        </w:r>
        <w:r>
          <w:fldChar w:fldCharType="begin"/>
        </w:r>
        <w:r>
          <w:instrText xml:space="preserve">PAGEREF 1066 \h</w:instrText>
        </w:r>
        <w:r>
          <w:fldChar w:fldCharType="end"/>
        </w:r>
      </w:hyperlink>
    </w:p>
    <w:p>
      <w:pPr>
        <w:tabs>
          <w:tab w:val="right" w:leader="dot" w:pos="9062"/>
        </w:tabs>
        <w:ind w:left="1100"/>
      </w:pPr>
      <w:hyperlink w:anchor="_Toc1067" w:history="1">
        <w:r>
          <w:rPr>
            <w:rFonts w:ascii="IRNazanin" w:hAnsi="IRNazanin" w:eastAsia="IRNazanin" w:cs="IRNazanin"/>
            <w:color w:val="111111"/>
            <w:sz w:val="22"/>
            <w:szCs w:val="22"/>
            <w:b w:val="0"/>
            <w:bCs w:val="0"/>
            <w:i w:val="0"/>
            <w:iCs w:val="0"/>
          </w:rPr>
          <w:t>الثانی: [لسان الدلیل]</w:t>
        </w:r>
        <w:r>
          <w:tab/>
        </w:r>
        <w:r>
          <w:fldChar w:fldCharType="begin"/>
        </w:r>
        <w:r>
          <w:instrText xml:space="preserve">PAGEREF 1067 \h</w:instrText>
        </w:r>
        <w:r>
          <w:fldChar w:fldCharType="end"/>
        </w:r>
      </w:hyperlink>
    </w:p>
    <w:p>
      <w:pPr>
        <w:tabs>
          <w:tab w:val="right" w:leader="dot" w:pos="9062"/>
        </w:tabs>
        <w:ind w:left="1100"/>
      </w:pPr>
      <w:hyperlink w:anchor="_Toc1068" w:history="1">
        <w:r>
          <w:rPr>
            <w:rFonts w:ascii="IRNazanin" w:hAnsi="IRNazanin" w:eastAsia="IRNazanin" w:cs="IRNazanin"/>
            <w:color w:val="111111"/>
            <w:sz w:val="22"/>
            <w:szCs w:val="22"/>
            <w:b w:val="0"/>
            <w:bCs w:val="0"/>
            <w:i w:val="0"/>
            <w:iCs w:val="0"/>
          </w:rPr>
          <w:t>الثالث:أن یرجع فی ذلک إلی العرف</w:t>
        </w:r>
        <w:r>
          <w:tab/>
        </w:r>
        <w:r>
          <w:fldChar w:fldCharType="begin"/>
        </w:r>
        <w:r>
          <w:instrText xml:space="preserve">PAGEREF 1068 \h</w:instrText>
        </w:r>
        <w:r>
          <w:fldChar w:fldCharType="end"/>
        </w:r>
      </w:hyperlink>
    </w:p>
    <w:p>
      <w:pPr>
        <w:tabs>
          <w:tab w:val="right" w:leader="dot" w:pos="9062"/>
        </w:tabs>
        <w:ind w:left="1100"/>
      </w:pPr>
      <w:hyperlink w:anchor="_Toc1069" w:history="1">
        <w:r>
          <w:rPr>
            <w:rFonts w:ascii="IRNazanin" w:hAnsi="IRNazanin" w:eastAsia="IRNazanin" w:cs="IRNazanin"/>
            <w:color w:val="111111"/>
            <w:sz w:val="22"/>
            <w:szCs w:val="22"/>
            <w:b w:val="0"/>
            <w:bCs w:val="0"/>
            <w:i w:val="0"/>
            <w:iCs w:val="0"/>
          </w:rPr>
          <w:t>[کلام الفاضلین تأییدا لکون المیزان نظر العرف:]</w:t>
        </w:r>
        <w:r>
          <w:tab/>
        </w:r>
        <w:r>
          <w:fldChar w:fldCharType="begin"/>
        </w:r>
        <w:r>
          <w:instrText xml:space="preserve">PAGEREF 1069 \h</w:instrText>
        </w:r>
        <w:r>
          <w:fldChar w:fldCharType="end"/>
        </w:r>
      </w:hyperlink>
    </w:p>
    <w:p>
      <w:pPr>
        <w:tabs>
          <w:tab w:val="right" w:leader="dot" w:pos="9062"/>
        </w:tabs>
        <w:ind w:left="1100"/>
      </w:pPr>
      <w:hyperlink w:anchor="_Toc1070" w:history="1">
        <w:r>
          <w:rPr>
            <w:rFonts w:ascii="IRNazanin" w:hAnsi="IRNazanin" w:eastAsia="IRNazanin" w:cs="IRNazanin"/>
            <w:color w:val="111111"/>
            <w:sz w:val="22"/>
            <w:szCs w:val="22"/>
            <w:b w:val="0"/>
            <w:bCs w:val="0"/>
            <w:i w:val="0"/>
            <w:iCs w:val="0"/>
          </w:rPr>
          <w:t>[الفرق بین نجس العین و المتنجّس عند الاستحالة:]</w:t>
        </w:r>
        <w:r>
          <w:tab/>
        </w:r>
        <w:r>
          <w:fldChar w:fldCharType="begin"/>
        </w:r>
        <w:r>
          <w:instrText xml:space="preserve">PAGEREF 1070 \h</w:instrText>
        </w:r>
        <w:r>
          <w:fldChar w:fldCharType="end"/>
        </w:r>
      </w:hyperlink>
    </w:p>
    <w:p>
      <w:pPr>
        <w:tabs>
          <w:tab w:val="right" w:leader="dot" w:pos="9062"/>
        </w:tabs>
        <w:ind w:left="1100"/>
      </w:pPr>
      <w:hyperlink w:anchor="_Toc1071" w:history="1">
        <w:r>
          <w:rPr>
            <w:rFonts w:ascii="IRNazanin" w:hAnsi="IRNazanin" w:eastAsia="IRNazanin" w:cs="IRNazanin"/>
            <w:color w:val="111111"/>
            <w:sz w:val="22"/>
            <w:szCs w:val="22"/>
            <w:b w:val="0"/>
            <w:bCs w:val="0"/>
            <w:i w:val="0"/>
            <w:iCs w:val="0"/>
          </w:rPr>
          <w:t>[الإشکال فی هذا الفرق:]</w:t>
        </w:r>
        <w:r>
          <w:tab/>
        </w:r>
        <w:r>
          <w:fldChar w:fldCharType="begin"/>
        </w:r>
        <w:r>
          <w:instrText xml:space="preserve">PAGEREF 1071 \h</w:instrText>
        </w:r>
        <w:r>
          <w:fldChar w:fldCharType="end"/>
        </w:r>
      </w:hyperlink>
    </w:p>
    <w:p>
      <w:pPr>
        <w:tabs>
          <w:tab w:val="right" w:leader="dot" w:pos="9062"/>
        </w:tabs>
        <w:ind w:left="1100"/>
      </w:pPr>
      <w:hyperlink w:anchor="_Toc1072" w:history="1">
        <w:r>
          <w:rPr>
            <w:rFonts w:ascii="IRNazanin" w:hAnsi="IRNazanin" w:eastAsia="IRNazanin" w:cs="IRNazanin"/>
            <w:color w:val="111111"/>
            <w:sz w:val="22"/>
            <w:szCs w:val="22"/>
            <w:b w:val="0"/>
            <w:bCs w:val="0"/>
            <w:i w:val="0"/>
            <w:iCs w:val="0"/>
          </w:rPr>
          <w:t>[عدم الفرق بناء علی کون المحکّم نظر العرف:]</w:t>
        </w:r>
        <w:r>
          <w:tab/>
        </w:r>
        <w:r>
          <w:fldChar w:fldCharType="begin"/>
        </w:r>
        <w:r>
          <w:instrText xml:space="preserve">PAGEREF 1072 \h</w:instrText>
        </w:r>
        <w:r>
          <w:fldChar w:fldCharType="end"/>
        </w:r>
      </w:hyperlink>
    </w:p>
    <w:p>
      <w:pPr>
        <w:tabs>
          <w:tab w:val="right" w:leader="dot" w:pos="9062"/>
        </w:tabs>
        <w:ind w:left="1100"/>
      </w:pPr>
      <w:hyperlink w:anchor="_Toc1073" w:history="1">
        <w:r>
          <w:rPr>
            <w:rFonts w:ascii="IRNazanin" w:hAnsi="IRNazanin" w:eastAsia="IRNazanin" w:cs="IRNazanin"/>
            <w:color w:val="111111"/>
            <w:sz w:val="22"/>
            <w:szCs w:val="22"/>
            <w:b w:val="0"/>
            <w:bCs w:val="0"/>
            <w:i w:val="0"/>
            <w:iCs w:val="0"/>
          </w:rPr>
          <w:t>[مراتب التغیّر و الأحکام مختلفة:]</w:t>
        </w:r>
        <w:r>
          <w:tab/>
        </w:r>
        <w:r>
          <w:fldChar w:fldCharType="begin"/>
        </w:r>
        <w:r>
          <w:instrText xml:space="preserve">PAGEREF 1073 \h</w:instrText>
        </w:r>
        <w:r>
          <w:fldChar w:fldCharType="end"/>
        </w:r>
      </w:hyperlink>
    </w:p>
    <w:p>
      <w:pPr>
        <w:tabs>
          <w:tab w:val="right" w:leader="dot" w:pos="9062"/>
        </w:tabs>
        <w:ind w:left="1100"/>
      </w:pPr>
      <w:hyperlink w:anchor="_Toc1074" w:history="1">
        <w:r>
          <w:rPr>
            <w:rFonts w:ascii="IRNazanin" w:hAnsi="IRNazanin" w:eastAsia="IRNazanin" w:cs="IRNazanin"/>
            <w:color w:val="111111"/>
            <w:sz w:val="22"/>
            <w:szCs w:val="22"/>
            <w:b w:val="0"/>
            <w:bCs w:val="0"/>
            <w:i w:val="0"/>
            <w:iCs w:val="0"/>
          </w:rPr>
          <w:t>[معنی قولهم:«الأحکام تدور مدار الأسماء»:]</w:t>
        </w:r>
        <w:r>
          <w:tab/>
        </w:r>
        <w:r>
          <w:fldChar w:fldCharType="begin"/>
        </w:r>
        <w:r>
          <w:instrText xml:space="preserve">PAGEREF 1074 \h</w:instrText>
        </w:r>
        <w:r>
          <w:fldChar w:fldCharType="end"/>
        </w:r>
      </w:hyperlink>
    </w:p>
    <w:p>
      <w:pPr>
        <w:tabs>
          <w:tab w:val="right" w:leader="dot" w:pos="9062"/>
        </w:tabs>
        <w:ind w:left="1100"/>
      </w:pPr>
      <w:hyperlink w:anchor="_Toc1075" w:history="1">
        <w:r>
          <w:rPr>
            <w:rFonts w:ascii="IRNazanin" w:hAnsi="IRNazanin" w:eastAsia="IRNazanin" w:cs="IRNazanin"/>
            <w:color w:val="111111"/>
            <w:sz w:val="22"/>
            <w:szCs w:val="22"/>
            <w:b w:val="0"/>
            <w:bCs w:val="0"/>
            <w:i w:val="0"/>
            <w:iCs w:val="0"/>
          </w:rPr>
          <w:t>[الأمر الثانی]</w:t>
        </w:r>
        <w:r>
          <w:tab/>
        </w:r>
        <w:r>
          <w:fldChar w:fldCharType="begin"/>
        </w:r>
        <w:r>
          <w:instrText xml:space="preserve">PAGEREF 1075 \h</w:instrText>
        </w:r>
        <w:r>
          <w:fldChar w:fldCharType="end"/>
        </w:r>
      </w:hyperlink>
    </w:p>
    <w:p>
      <w:pPr>
        <w:tabs>
          <w:tab w:val="right" w:leader="dot" w:pos="9062"/>
        </w:tabs>
        <w:ind w:left="1100"/>
      </w:pPr>
      <w:hyperlink w:anchor="_Toc10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1076 \h</w:instrText>
        </w:r>
        <w:r>
          <w:fldChar w:fldCharType="end"/>
        </w:r>
      </w:hyperlink>
    </w:p>
    <w:p>
      <w:pPr>
        <w:tabs>
          <w:tab w:val="right" w:leader="dot" w:pos="9062"/>
        </w:tabs>
        <w:ind w:left="1100"/>
      </w:pPr>
      <w:hyperlink w:anchor="_Toc1077" w:history="1">
        <w:r>
          <w:rPr>
            <w:rFonts w:ascii="IRNazanin" w:hAnsi="IRNazanin" w:eastAsia="IRNazanin" w:cs="IRNazanin"/>
            <w:color w:val="111111"/>
            <w:sz w:val="22"/>
            <w:szCs w:val="22"/>
            <w:b w:val="0"/>
            <w:bCs w:val="0"/>
            <w:i w:val="0"/>
            <w:iCs w:val="0"/>
          </w:rPr>
          <w:t>[الدلیل علی اعتبار هذا الشرط:]</w:t>
        </w:r>
        <w:r>
          <w:tab/>
        </w:r>
        <w:r>
          <w:fldChar w:fldCharType="begin"/>
        </w:r>
        <w:r>
          <w:instrText xml:space="preserve">PAGEREF 1077 \h</w:instrText>
        </w:r>
        <w:r>
          <w:fldChar w:fldCharType="end"/>
        </w:r>
      </w:hyperlink>
    </w:p>
    <w:p>
      <w:pPr>
        <w:tabs>
          <w:tab w:val="right" w:leader="dot" w:pos="9062"/>
        </w:tabs>
        <w:ind w:left="1100"/>
      </w:pPr>
      <w:hyperlink w:anchor="_Toc1078" w:history="1">
        <w:r>
          <w:rPr>
            <w:rFonts w:ascii="IRNazanin" w:hAnsi="IRNazanin" w:eastAsia="IRNazanin" w:cs="IRNazanin"/>
            <w:color w:val="111111"/>
            <w:sz w:val="22"/>
            <w:szCs w:val="22"/>
            <w:b w:val="0"/>
            <w:bCs w:val="0"/>
            <w:i w:val="0"/>
            <w:iCs w:val="0"/>
          </w:rPr>
          <w:t>[قاعدة الیقین و الشکّ الساری:]</w:t>
        </w:r>
        <w:r>
          <w:tab/>
        </w:r>
        <w:r>
          <w:fldChar w:fldCharType="begin"/>
        </w:r>
        <w:r>
          <w:instrText xml:space="preserve">PAGEREF 1078 \h</w:instrText>
        </w:r>
        <w:r>
          <w:fldChar w:fldCharType="end"/>
        </w:r>
      </w:hyperlink>
    </w:p>
    <w:p>
      <w:pPr>
        <w:tabs>
          <w:tab w:val="right" w:leader="dot" w:pos="9062"/>
        </w:tabs>
        <w:ind w:left="1100"/>
      </w:pPr>
      <w:hyperlink w:anchor="_Toc1079" w:history="1">
        <w:r>
          <w:rPr>
            <w:rFonts w:ascii="IRNazanin" w:hAnsi="IRNazanin" w:eastAsia="IRNazanin" w:cs="IRNazanin"/>
            <w:color w:val="111111"/>
            <w:sz w:val="22"/>
            <w:szCs w:val="22"/>
            <w:b w:val="0"/>
            <w:bCs w:val="0"/>
            <w:i w:val="0"/>
            <w:iCs w:val="0"/>
          </w:rPr>
          <w:t>[تصریح الفاضل السبزواری بأنّ أدلّة الاستصحاب تشمل قاعدة «الیقین»:]</w:t>
        </w:r>
        <w:r>
          <w:tab/>
        </w:r>
        <w:r>
          <w:fldChar w:fldCharType="begin"/>
        </w:r>
        <w:r>
          <w:instrText xml:space="preserve">PAGEREF 1079 \h</w:instrText>
        </w:r>
        <w:r>
          <w:fldChar w:fldCharType="end"/>
        </w:r>
      </w:hyperlink>
    </w:p>
    <w:p>
      <w:pPr>
        <w:tabs>
          <w:tab w:val="right" w:leader="dot" w:pos="9062"/>
        </w:tabs>
        <w:ind w:left="1100"/>
      </w:pPr>
      <w:hyperlink w:anchor="_Toc1080" w:history="1">
        <w:r>
          <w:rPr>
            <w:rFonts w:ascii="IRNazanin" w:hAnsi="IRNazanin" w:eastAsia="IRNazanin" w:cs="IRNazanin"/>
            <w:color w:val="111111"/>
            <w:sz w:val="22"/>
            <w:szCs w:val="22"/>
            <w:b w:val="0"/>
            <w:bCs w:val="0"/>
            <w:i w:val="0"/>
            <w:iCs w:val="0"/>
          </w:rPr>
          <w:t>[دفع التوهّم المذکور و توضیح مناط قاعدة الاستصحاب و قاعدة الیقین:]</w:t>
        </w:r>
        <w:r>
          <w:tab/>
        </w:r>
        <w:r>
          <w:fldChar w:fldCharType="begin"/>
        </w:r>
        <w:r>
          <w:instrText xml:space="preserve">PAGEREF 1080 \h</w:instrText>
        </w:r>
        <w:r>
          <w:fldChar w:fldCharType="end"/>
        </w:r>
      </w:hyperlink>
    </w:p>
    <w:p>
      <w:pPr>
        <w:tabs>
          <w:tab w:val="right" w:leader="dot" w:pos="9062"/>
        </w:tabs>
        <w:ind w:left="1100"/>
      </w:pPr>
      <w:hyperlink w:anchor="_Toc1081" w:history="1">
        <w:r>
          <w:rPr>
            <w:rFonts w:ascii="IRNazanin" w:hAnsi="IRNazanin" w:eastAsia="IRNazanin" w:cs="IRNazanin"/>
            <w:color w:val="111111"/>
            <w:sz w:val="22"/>
            <w:szCs w:val="22"/>
            <w:b w:val="0"/>
            <w:bCs w:val="0"/>
            <w:i w:val="0"/>
            <w:iCs w:val="0"/>
          </w:rPr>
          <w:t>[عدم إرادة القاعدتین من قوله علیه السّلام:«فلیمض علی یقینه»:]</w:t>
        </w:r>
        <w:r>
          <w:tab/>
        </w:r>
        <w:r>
          <w:fldChar w:fldCharType="begin"/>
        </w:r>
        <w:r>
          <w:instrText xml:space="preserve">PAGEREF 1081 \h</w:instrText>
        </w:r>
        <w:r>
          <w:fldChar w:fldCharType="end"/>
        </w:r>
      </w:hyperlink>
    </w:p>
    <w:p>
      <w:pPr>
        <w:tabs>
          <w:tab w:val="right" w:leader="dot" w:pos="9062"/>
        </w:tabs>
        <w:ind w:left="1100"/>
      </w:pPr>
      <w:hyperlink w:anchor="_Toc1082" w:history="1">
        <w:r>
          <w:rPr>
            <w:rFonts w:ascii="IRNazanin" w:hAnsi="IRNazanin" w:eastAsia="IRNazanin" w:cs="IRNazanin"/>
            <w:color w:val="111111"/>
            <w:sz w:val="22"/>
            <w:szCs w:val="22"/>
            <w:b w:val="0"/>
            <w:bCs w:val="0"/>
            <w:i w:val="0"/>
            <w:iCs w:val="0"/>
          </w:rPr>
          <w:t>[عدم إرادة القاعدتین من سائر الأخبار أیضا:]</w:t>
        </w:r>
        <w:r>
          <w:tab/>
        </w:r>
        <w:r>
          <w:fldChar w:fldCharType="begin"/>
        </w:r>
        <w:r>
          <w:instrText xml:space="preserve">PAGEREF 1082 \h</w:instrText>
        </w:r>
        <w:r>
          <w:fldChar w:fldCharType="end"/>
        </w:r>
      </w:hyperlink>
    </w:p>
    <w:p>
      <w:pPr>
        <w:tabs>
          <w:tab w:val="right" w:leader="dot" w:pos="9062"/>
        </w:tabs>
        <w:ind w:left="1100"/>
      </w:pPr>
      <w:hyperlink w:anchor="_Toc1083" w:history="1">
        <w:r>
          <w:rPr>
            <w:rFonts w:ascii="IRNazanin" w:hAnsi="IRNazanin" w:eastAsia="IRNazanin" w:cs="IRNazanin"/>
            <w:color w:val="111111"/>
            <w:sz w:val="22"/>
            <w:szCs w:val="22"/>
            <w:b w:val="0"/>
            <w:bCs w:val="0"/>
            <w:i w:val="0"/>
            <w:iCs w:val="0"/>
          </w:rPr>
          <w:t>[اختصاص مدلول الأخبار بقاعدة الاستصحاب:]</w:t>
        </w:r>
        <w:r>
          <w:tab/>
        </w:r>
        <w:r>
          <w:fldChar w:fldCharType="begin"/>
        </w:r>
        <w:r>
          <w:instrText xml:space="preserve">PAGEREF 1083 \h</w:instrText>
        </w:r>
        <w:r>
          <w:fldChar w:fldCharType="end"/>
        </w:r>
      </w:hyperlink>
    </w:p>
    <w:p>
      <w:pPr>
        <w:tabs>
          <w:tab w:val="right" w:leader="dot" w:pos="9062"/>
        </w:tabs>
        <w:ind w:left="1100"/>
      </w:pPr>
      <w:hyperlink w:anchor="_Toc1084" w:history="1">
        <w:r>
          <w:rPr>
            <w:rFonts w:ascii="IRNazanin" w:hAnsi="IRNazanin" w:eastAsia="IRNazanin" w:cs="IRNazanin"/>
            <w:color w:val="111111"/>
            <w:sz w:val="22"/>
            <w:szCs w:val="22"/>
            <w:b w:val="0"/>
            <w:bCs w:val="0"/>
            <w:i w:val="0"/>
            <w:iCs w:val="0"/>
          </w:rPr>
          <w:t>[قاعدة الیقین]</w:t>
        </w:r>
        <w:r>
          <w:tab/>
        </w:r>
        <w:r>
          <w:fldChar w:fldCharType="begin"/>
        </w:r>
        <w:r>
          <w:instrText xml:space="preserve">PAGEREF 1084 \h</w:instrText>
        </w:r>
        <w:r>
          <w:fldChar w:fldCharType="end"/>
        </w:r>
      </w:hyperlink>
    </w:p>
    <w:p>
      <w:pPr>
        <w:tabs>
          <w:tab w:val="right" w:leader="dot" w:pos="9062"/>
        </w:tabs>
        <w:ind w:left="1100"/>
      </w:pPr>
      <w:hyperlink w:anchor="_Toc1085" w:history="1">
        <w:r>
          <w:rPr>
            <w:rFonts w:ascii="IRNazanin" w:hAnsi="IRNazanin" w:eastAsia="IRNazanin" w:cs="IRNazanin"/>
            <w:color w:val="111111"/>
            <w:sz w:val="22"/>
            <w:szCs w:val="22"/>
            <w:b w:val="0"/>
            <w:bCs w:val="0"/>
            <w:i w:val="0"/>
            <w:iCs w:val="0"/>
          </w:rPr>
          <w:t>[هل یوجد مدرک لقاعدة«الیقین»غیر هذه الأخبار؟:]</w:t>
        </w:r>
        <w:r>
          <w:tab/>
        </w:r>
        <w:r>
          <w:fldChar w:fldCharType="begin"/>
        </w:r>
        <w:r>
          <w:instrText xml:space="preserve">PAGEREF 1085 \h</w:instrText>
        </w:r>
        <w:r>
          <w:fldChar w:fldCharType="end"/>
        </w:r>
      </w:hyperlink>
    </w:p>
    <w:p>
      <w:pPr>
        <w:tabs>
          <w:tab w:val="right" w:leader="dot" w:pos="9062"/>
        </w:tabs>
        <w:ind w:left="1100"/>
      </w:pPr>
      <w:hyperlink w:anchor="_Toc1086" w:history="1">
        <w:r>
          <w:rPr>
            <w:rFonts w:ascii="IRNazanin" w:hAnsi="IRNazanin" w:eastAsia="IRNazanin" w:cs="IRNazanin"/>
            <w:color w:val="111111"/>
            <w:sz w:val="22"/>
            <w:szCs w:val="22"/>
            <w:b w:val="0"/>
            <w:bCs w:val="0"/>
            <w:i w:val="0"/>
            <w:iCs w:val="0"/>
          </w:rPr>
          <w:t>[لو ارید من القاعدة إثبات الحدوث و البقاء معا:]</w:t>
        </w:r>
        <w:r>
          <w:tab/>
        </w:r>
        <w:r>
          <w:fldChar w:fldCharType="begin"/>
        </w:r>
        <w:r>
          <w:instrText xml:space="preserve">PAGEREF 1086 \h</w:instrText>
        </w:r>
        <w:r>
          <w:fldChar w:fldCharType="end"/>
        </w:r>
      </w:hyperlink>
    </w:p>
    <w:p>
      <w:pPr>
        <w:tabs>
          <w:tab w:val="right" w:leader="dot" w:pos="9062"/>
        </w:tabs>
        <w:ind w:left="1100"/>
      </w:pPr>
      <w:hyperlink w:anchor="_Toc1087" w:history="1">
        <w:r>
          <w:rPr>
            <w:rFonts w:ascii="IRNazanin" w:hAnsi="IRNazanin" w:eastAsia="IRNazanin" w:cs="IRNazanin"/>
            <w:color w:val="111111"/>
            <w:sz w:val="22"/>
            <w:szCs w:val="22"/>
            <w:b w:val="0"/>
            <w:bCs w:val="0"/>
            <w:i w:val="0"/>
            <w:iCs w:val="0"/>
          </w:rPr>
          <w:t>[عدم صحّة الاستدلال بأدلّة عدم الاعتناء بالشکّ بعد تجاوز المحلّ:]</w:t>
        </w:r>
        <w:r>
          <w:tab/>
        </w:r>
        <w:r>
          <w:fldChar w:fldCharType="begin"/>
        </w:r>
        <w:r>
          <w:instrText xml:space="preserve">PAGEREF 1087 \h</w:instrText>
        </w:r>
        <w:r>
          <w:fldChar w:fldCharType="end"/>
        </w:r>
      </w:hyperlink>
    </w:p>
    <w:p>
      <w:pPr>
        <w:tabs>
          <w:tab w:val="right" w:leader="dot" w:pos="9062"/>
        </w:tabs>
        <w:ind w:left="1100"/>
      </w:pPr>
      <w:hyperlink w:anchor="_Toc1088" w:history="1">
        <w:r>
          <w:rPr>
            <w:rFonts w:ascii="IRNazanin" w:hAnsi="IRNazanin" w:eastAsia="IRNazanin" w:cs="IRNazanin"/>
            <w:color w:val="111111"/>
            <w:sz w:val="22"/>
            <w:szCs w:val="22"/>
            <w:b w:val="0"/>
            <w:bCs w:val="0"/>
            <w:i w:val="0"/>
            <w:iCs w:val="0"/>
          </w:rPr>
          <w:t>[ضعف الاستدلال بأصالة الصحّة فی الاعتقاد:]</w:t>
        </w:r>
        <w:r>
          <w:tab/>
        </w:r>
        <w:r>
          <w:fldChar w:fldCharType="begin"/>
        </w:r>
        <w:r>
          <w:instrText xml:space="preserve">PAGEREF 1088 \h</w:instrText>
        </w:r>
        <w:r>
          <w:fldChar w:fldCharType="end"/>
        </w:r>
      </w:hyperlink>
    </w:p>
    <w:p>
      <w:pPr>
        <w:tabs>
          <w:tab w:val="right" w:leader="dot" w:pos="9062"/>
        </w:tabs>
        <w:ind w:left="1100"/>
      </w:pPr>
      <w:hyperlink w:anchor="_Toc1089" w:history="1">
        <w:r>
          <w:rPr>
            <w:rFonts w:ascii="IRNazanin" w:hAnsi="IRNazanin" w:eastAsia="IRNazanin" w:cs="IRNazanin"/>
            <w:color w:val="111111"/>
            <w:sz w:val="22"/>
            <w:szCs w:val="22"/>
            <w:b w:val="0"/>
            <w:bCs w:val="0"/>
            <w:i w:val="0"/>
            <w:iCs w:val="0"/>
          </w:rPr>
          <w:t>[تفصیل کاشف الغطاء:]</w:t>
        </w:r>
        <w:r>
          <w:tab/>
        </w:r>
        <w:r>
          <w:fldChar w:fldCharType="begin"/>
        </w:r>
        <w:r>
          <w:instrText xml:space="preserve">PAGEREF 1089 \h</w:instrText>
        </w:r>
        <w:r>
          <w:fldChar w:fldCharType="end"/>
        </w:r>
      </w:hyperlink>
    </w:p>
    <w:p>
      <w:pPr>
        <w:tabs>
          <w:tab w:val="right" w:leader="dot" w:pos="9062"/>
        </w:tabs>
        <w:ind w:left="1100"/>
      </w:pPr>
      <w:hyperlink w:anchor="_Toc1090" w:history="1">
        <w:r>
          <w:rPr>
            <w:rFonts w:ascii="IRNazanin" w:hAnsi="IRNazanin" w:eastAsia="IRNazanin" w:cs="IRNazanin"/>
            <w:color w:val="111111"/>
            <w:sz w:val="22"/>
            <w:szCs w:val="22"/>
            <w:b w:val="0"/>
            <w:bCs w:val="0"/>
            <w:i w:val="0"/>
            <w:iCs w:val="0"/>
          </w:rPr>
          <w:t>[لو ارید من القاعدة إثبات مجرّد الحدوث:]</w:t>
        </w:r>
        <w:r>
          <w:tab/>
        </w:r>
        <w:r>
          <w:fldChar w:fldCharType="begin"/>
        </w:r>
        <w:r>
          <w:instrText xml:space="preserve">PAGEREF 1090 \h</w:instrText>
        </w:r>
        <w:r>
          <w:fldChar w:fldCharType="end"/>
        </w:r>
      </w:hyperlink>
    </w:p>
    <w:p>
      <w:pPr>
        <w:tabs>
          <w:tab w:val="right" w:leader="dot" w:pos="9062"/>
        </w:tabs>
        <w:ind w:left="1100"/>
      </w:pPr>
      <w:hyperlink w:anchor="_Toc1091" w:history="1">
        <w:r>
          <w:rPr>
            <w:rFonts w:ascii="IRNazanin" w:hAnsi="IRNazanin" w:eastAsia="IRNazanin" w:cs="IRNazanin"/>
            <w:color w:val="111111"/>
            <w:sz w:val="22"/>
            <w:szCs w:val="22"/>
            <w:b w:val="0"/>
            <w:bCs w:val="0"/>
            <w:i w:val="0"/>
            <w:iCs w:val="0"/>
          </w:rPr>
          <w:t>[لو ارید منها مجرّد إمضاء الآثار المترتّبة سابقا:]</w:t>
        </w:r>
        <w:r>
          <w:tab/>
        </w:r>
        <w:r>
          <w:fldChar w:fldCharType="begin"/>
        </w:r>
        <w:r>
          <w:instrText xml:space="preserve">PAGEREF 1091 \h</w:instrText>
        </w:r>
        <w:r>
          <w:fldChar w:fldCharType="end"/>
        </w:r>
      </w:hyperlink>
    </w:p>
    <w:p>
      <w:pPr>
        <w:tabs>
          <w:tab w:val="right" w:leader="dot" w:pos="9062"/>
        </w:tabs>
        <w:ind w:left="1100"/>
      </w:pPr>
      <w:hyperlink w:anchor="_Toc1092" w:history="1">
        <w:r>
          <w:rPr>
            <w:rFonts w:ascii="IRNazanin" w:hAnsi="IRNazanin" w:eastAsia="IRNazanin" w:cs="IRNazanin"/>
            <w:color w:val="111111"/>
            <w:sz w:val="22"/>
            <w:szCs w:val="22"/>
            <w:b w:val="0"/>
            <w:bCs w:val="0"/>
            <w:i w:val="0"/>
            <w:iCs w:val="0"/>
          </w:rPr>
          <w:t>[حاصل الکلام فی المسألة:]</w:t>
        </w:r>
        <w:r>
          <w:tab/>
        </w:r>
        <w:r>
          <w:fldChar w:fldCharType="begin"/>
        </w:r>
        <w:r>
          <w:instrText xml:space="preserve">PAGEREF 1092 \h</w:instrText>
        </w:r>
        <w:r>
          <w:fldChar w:fldCharType="end"/>
        </w:r>
      </w:hyperlink>
    </w:p>
    <w:p>
      <w:pPr>
        <w:tabs>
          <w:tab w:val="right" w:leader="dot" w:pos="9062"/>
        </w:tabs>
        <w:ind w:left="1100"/>
      </w:pPr>
      <w:hyperlink w:anchor="_Toc1093" w:history="1">
        <w:r>
          <w:rPr>
            <w:rFonts w:ascii="IRNazanin" w:hAnsi="IRNazanin" w:eastAsia="IRNazanin" w:cs="IRNazanin"/>
            <w:color w:val="111111"/>
            <w:sz w:val="22"/>
            <w:szCs w:val="22"/>
            <w:b w:val="0"/>
            <w:bCs w:val="0"/>
            <w:i w:val="0"/>
            <w:iCs w:val="0"/>
          </w:rPr>
          <w:t>[الأمر]</w:t>
        </w:r>
        <w:r>
          <w:tab/>
        </w:r>
        <w:r>
          <w:fldChar w:fldCharType="begin"/>
        </w:r>
        <w:r>
          <w:instrText xml:space="preserve">PAGEREF 1093 \h</w:instrText>
        </w:r>
        <w:r>
          <w:fldChar w:fldCharType="end"/>
        </w:r>
      </w:hyperlink>
    </w:p>
    <w:p>
      <w:pPr>
        <w:tabs>
          <w:tab w:val="right" w:leader="dot" w:pos="9062"/>
        </w:tabs>
        <w:ind w:left="1100"/>
      </w:pPr>
      <w:hyperlink w:anchor="_Toc109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1094 \h</w:instrText>
        </w:r>
        <w:r>
          <w:fldChar w:fldCharType="end"/>
        </w:r>
      </w:hyperlink>
    </w:p>
    <w:p>
      <w:pPr>
        <w:tabs>
          <w:tab w:val="right" w:leader="dot" w:pos="9062"/>
        </w:tabs>
        <w:ind w:left="1100"/>
      </w:pPr>
      <w:hyperlink w:anchor="_Toc1095" w:history="1">
        <w:r>
          <w:rPr>
            <w:rFonts w:ascii="IRNazanin" w:hAnsi="IRNazanin" w:eastAsia="IRNazanin" w:cs="IRNazanin"/>
            <w:color w:val="111111"/>
            <w:sz w:val="22"/>
            <w:szCs w:val="22"/>
            <w:b w:val="0"/>
            <w:bCs w:val="0"/>
            <w:i w:val="0"/>
            <w:iCs w:val="0"/>
          </w:rPr>
          <w:t>[حکومة الأدلّة الاجتهادیّة علی أدلّة الاستصحاب:]</w:t>
        </w:r>
        <w:r>
          <w:tab/>
        </w:r>
        <w:r>
          <w:fldChar w:fldCharType="begin"/>
        </w:r>
        <w:r>
          <w:instrText xml:space="preserve">PAGEREF 1095 \h</w:instrText>
        </w:r>
        <w:r>
          <w:fldChar w:fldCharType="end"/>
        </w:r>
      </w:hyperlink>
    </w:p>
    <w:p>
      <w:pPr>
        <w:tabs>
          <w:tab w:val="right" w:leader="dot" w:pos="9062"/>
        </w:tabs>
        <w:ind w:left="1100"/>
      </w:pPr>
      <w:hyperlink w:anchor="_Toc1096" w:history="1">
        <w:r>
          <w:rPr>
            <w:rFonts w:ascii="IRNazanin" w:hAnsi="IRNazanin" w:eastAsia="IRNazanin" w:cs="IRNazanin"/>
            <w:color w:val="111111"/>
            <w:sz w:val="22"/>
            <w:szCs w:val="22"/>
            <w:b w:val="0"/>
            <w:bCs w:val="0"/>
            <w:i w:val="0"/>
            <w:iCs w:val="0"/>
          </w:rPr>
          <w:t>معنی الحکومة:</w:t>
        </w:r>
        <w:r>
          <w:tab/>
        </w:r>
        <w:r>
          <w:fldChar w:fldCharType="begin"/>
        </w:r>
        <w:r>
          <w:instrText xml:space="preserve">PAGEREF 1096 \h</w:instrText>
        </w:r>
        <w:r>
          <w:fldChar w:fldCharType="end"/>
        </w:r>
      </w:hyperlink>
    </w:p>
    <w:p>
      <w:pPr>
        <w:tabs>
          <w:tab w:val="right" w:leader="dot" w:pos="9062"/>
        </w:tabs>
        <w:ind w:left="1100"/>
      </w:pPr>
      <w:hyperlink w:anchor="_Toc1097" w:history="1">
        <w:r>
          <w:rPr>
            <w:rFonts w:ascii="IRNazanin" w:hAnsi="IRNazanin" w:eastAsia="IRNazanin" w:cs="IRNazanin"/>
            <w:color w:val="111111"/>
            <w:sz w:val="22"/>
            <w:szCs w:val="22"/>
            <w:b w:val="0"/>
            <w:bCs w:val="0"/>
            <w:i w:val="0"/>
            <w:iCs w:val="0"/>
          </w:rPr>
          <w:t>[احتمال أن یکون العمل بالأدلّة فی مقابل الاستصحاب من باب التخصّص:]</w:t>
        </w:r>
        <w:r>
          <w:tab/>
        </w:r>
        <w:r>
          <w:fldChar w:fldCharType="begin"/>
        </w:r>
        <w:r>
          <w:instrText xml:space="preserve">PAGEREF 1097 \h</w:instrText>
        </w:r>
        <w:r>
          <w:fldChar w:fldCharType="end"/>
        </w:r>
      </w:hyperlink>
    </w:p>
    <w:p>
      <w:pPr>
        <w:tabs>
          <w:tab w:val="right" w:leader="dot" w:pos="9062"/>
        </w:tabs>
        <w:ind w:left="1100"/>
      </w:pPr>
      <w:hyperlink w:anchor="_Toc1098" w:history="1">
        <w:r>
          <w:rPr>
            <w:rFonts w:ascii="IRNazanin" w:hAnsi="IRNazanin" w:eastAsia="IRNazanin" w:cs="IRNazanin"/>
            <w:color w:val="111111"/>
            <w:sz w:val="22"/>
            <w:szCs w:val="22"/>
            <w:b w:val="0"/>
            <w:bCs w:val="0"/>
            <w:i w:val="0"/>
            <w:iCs w:val="0"/>
          </w:rPr>
          <w:t>[ضعف هذا الاحتمال:]</w:t>
        </w:r>
        <w:r>
          <w:tab/>
        </w:r>
        <w:r>
          <w:fldChar w:fldCharType="begin"/>
        </w:r>
        <w:r>
          <w:instrText xml:space="preserve">PAGEREF 1098 \h</w:instrText>
        </w:r>
        <w:r>
          <w:fldChar w:fldCharType="end"/>
        </w:r>
      </w:hyperlink>
    </w:p>
    <w:p>
      <w:pPr>
        <w:tabs>
          <w:tab w:val="right" w:leader="dot" w:pos="9062"/>
        </w:tabs>
        <w:ind w:left="1100"/>
      </w:pPr>
      <w:hyperlink w:anchor="_Toc1099" w:history="1">
        <w:r>
          <w:rPr>
            <w:rFonts w:ascii="IRNazanin" w:hAnsi="IRNazanin" w:eastAsia="IRNazanin" w:cs="IRNazanin"/>
            <w:color w:val="111111"/>
            <w:sz w:val="22"/>
            <w:szCs w:val="22"/>
            <w:b w:val="0"/>
            <w:bCs w:val="0"/>
            <w:i w:val="0"/>
            <w:iCs w:val="0"/>
          </w:rPr>
          <w:t>[المسامحة فیما جعله الفاضل التونی من شرائط الاستصحاب:]</w:t>
        </w:r>
        <w:r>
          <w:tab/>
        </w:r>
        <w:r>
          <w:fldChar w:fldCharType="begin"/>
        </w:r>
        <w:r>
          <w:instrText xml:space="preserve">PAGEREF 1099 \h</w:instrText>
        </w:r>
        <w:r>
          <w:fldChar w:fldCharType="end"/>
        </w:r>
      </w:hyperlink>
    </w:p>
    <w:p>
      <w:pPr>
        <w:tabs>
          <w:tab w:val="right" w:leader="dot" w:pos="9062"/>
        </w:tabs>
        <w:ind w:left="1100"/>
      </w:pPr>
      <w:hyperlink w:anchor="_Toc1100" w:history="1">
        <w:r>
          <w:rPr>
            <w:rFonts w:ascii="IRNazanin" w:hAnsi="IRNazanin" w:eastAsia="IRNazanin" w:cs="IRNazanin"/>
            <w:color w:val="111111"/>
            <w:sz w:val="22"/>
            <w:szCs w:val="22"/>
            <w:b w:val="0"/>
            <w:bCs w:val="0"/>
            <w:i w:val="0"/>
            <w:iCs w:val="0"/>
          </w:rPr>
          <w:t>[ما أورده المحقّق القمّی علی الفاضل التونی و المناقشة فیه:]</w:t>
        </w:r>
        <w:r>
          <w:tab/>
        </w:r>
        <w:r>
          <w:fldChar w:fldCharType="begin"/>
        </w:r>
        <w:r>
          <w:instrText xml:space="preserve">PAGEREF 1100 \h</w:instrText>
        </w:r>
        <w:r>
          <w:fldChar w:fldCharType="end"/>
        </w:r>
      </w:hyperlink>
    </w:p>
    <w:p>
      <w:pPr>
        <w:tabs>
          <w:tab w:val="right" w:leader="dot" w:pos="9062"/>
        </w:tabs>
        <w:ind w:left="1100"/>
      </w:pPr>
      <w:hyperlink w:anchor="_Toc1101" w:history="1">
        <w:r>
          <w:rPr>
            <w:rFonts w:ascii="IRNazanin" w:hAnsi="IRNazanin" w:eastAsia="IRNazanin" w:cs="IRNazanin"/>
            <w:color w:val="111111"/>
            <w:sz w:val="22"/>
            <w:szCs w:val="22"/>
            <w:b w:val="0"/>
            <w:bCs w:val="0"/>
            <w:i w:val="0"/>
            <w:iCs w:val="0"/>
          </w:rPr>
          <w:t>[المراد من«الأدلّة الاجتهادیّة»و«الاصول»:]</w:t>
        </w:r>
        <w:r>
          <w:tab/>
        </w:r>
        <w:r>
          <w:fldChar w:fldCharType="begin"/>
        </w:r>
        <w:r>
          <w:instrText xml:space="preserve">PAGEREF 1101 \h</w:instrText>
        </w:r>
        <w:r>
          <w:fldChar w:fldCharType="end"/>
        </w:r>
      </w:hyperlink>
    </w:p>
    <w:p>
      <w:pPr>
        <w:tabs>
          <w:tab w:val="right" w:leader="dot" w:pos="9062"/>
        </w:tabs>
        <w:ind w:left="1100"/>
      </w:pPr>
      <w:hyperlink w:anchor="_Toc1102" w:history="1">
        <w:r>
          <w:rPr>
            <w:rFonts w:ascii="IRNazanin" w:hAnsi="IRNazanin" w:eastAsia="IRNazanin" w:cs="IRNazanin"/>
            <w:color w:val="111111"/>
            <w:sz w:val="22"/>
            <w:szCs w:val="22"/>
            <w:b w:val="0"/>
            <w:bCs w:val="0"/>
            <w:i w:val="0"/>
            <w:iCs w:val="0"/>
          </w:rPr>
          <w:t>[تردّد الشیء بین کونه دلیلا أو أصلا:]</w:t>
        </w:r>
        <w:r>
          <w:tab/>
        </w:r>
        <w:r>
          <w:fldChar w:fldCharType="begin"/>
        </w:r>
        <w:r>
          <w:instrText xml:space="preserve">PAGEREF 1102 \h</w:instrText>
        </w:r>
        <w:r>
          <w:fldChar w:fldCharType="end"/>
        </w:r>
      </w:hyperlink>
    </w:p>
    <w:p>
      <w:pPr>
        <w:tabs>
          <w:tab w:val="right" w:leader="dot" w:pos="9062"/>
        </w:tabs>
        <w:ind w:left="1100"/>
      </w:pPr>
      <w:hyperlink w:anchor="_Toc1103" w:history="1">
        <w:r>
          <w:rPr>
            <w:rFonts w:ascii="IRNazanin" w:hAnsi="IRNazanin" w:eastAsia="IRNazanin" w:cs="IRNazanin"/>
            <w:color w:val="111111"/>
            <w:sz w:val="22"/>
            <w:szCs w:val="22"/>
            <w:b w:val="0"/>
            <w:bCs w:val="0"/>
            <w:i w:val="0"/>
            <w:iCs w:val="0"/>
          </w:rPr>
          <w:t>[تعارض الاستصحاب مع سائر الأمارات و الاصول]</w:t>
        </w:r>
        <w:r>
          <w:tab/>
        </w:r>
        <w:r>
          <w:fldChar w:fldCharType="begin"/>
        </w:r>
        <w:r>
          <w:instrText xml:space="preserve">PAGEREF 1103 \h</w:instrText>
        </w:r>
        <w:r>
          <w:fldChar w:fldCharType="end"/>
        </w:r>
      </w:hyperlink>
    </w:p>
    <w:p>
      <w:pPr>
        <w:tabs>
          <w:tab w:val="right" w:leader="dot" w:pos="9062"/>
        </w:tabs>
        <w:ind w:left="1100"/>
      </w:pPr>
      <w:hyperlink w:anchor="_Toc110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1104 \h</w:instrText>
        </w:r>
        <w:r>
          <w:fldChar w:fldCharType="end"/>
        </w:r>
      </w:hyperlink>
    </w:p>
    <w:p>
      <w:pPr>
        <w:tabs>
          <w:tab w:val="right" w:leader="dot" w:pos="9062"/>
        </w:tabs>
        <w:ind w:left="1100"/>
      </w:pPr>
      <w:hyperlink w:anchor="_Toc1105" w:history="1">
        <w:r>
          <w:rPr>
            <w:rFonts w:ascii="IRNazanin" w:hAnsi="IRNazanin" w:eastAsia="IRNazanin" w:cs="IRNazanin"/>
            <w:color w:val="111111"/>
            <w:sz w:val="22"/>
            <w:szCs w:val="22"/>
            <w:b w:val="0"/>
            <w:bCs w:val="0"/>
            <w:i w:val="0"/>
            <w:iCs w:val="0"/>
          </w:rPr>
          <w:t>[المقام الأوّل:عدم معارضة الاستصحاب لبعض الأمارات،و فیه مسائل:]</w:t>
        </w:r>
        <w:r>
          <w:tab/>
        </w:r>
        <w:r>
          <w:fldChar w:fldCharType="begin"/>
        </w:r>
        <w:r>
          <w:instrText xml:space="preserve">PAGEREF 1105 \h</w:instrText>
        </w:r>
        <w:r>
          <w:fldChar w:fldCharType="end"/>
        </w:r>
      </w:hyperlink>
    </w:p>
    <w:p>
      <w:pPr>
        <w:tabs>
          <w:tab w:val="right" w:leader="dot" w:pos="9062"/>
        </w:tabs>
        <w:ind w:left="1100"/>
      </w:pPr>
      <w:hyperlink w:anchor="_Toc110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1106 \h</w:instrText>
        </w:r>
        <w:r>
          <w:fldChar w:fldCharType="end"/>
        </w:r>
      </w:hyperlink>
    </w:p>
    <w:p>
      <w:pPr>
        <w:tabs>
          <w:tab w:val="right" w:leader="dot" w:pos="9062"/>
        </w:tabs>
        <w:ind w:left="1100"/>
      </w:pPr>
      <w:hyperlink w:anchor="_Toc1107" w:history="1">
        <w:r>
          <w:rPr>
            <w:rFonts w:ascii="IRNazanin" w:hAnsi="IRNazanin" w:eastAsia="IRNazanin" w:cs="IRNazanin"/>
            <w:color w:val="111111"/>
            <w:sz w:val="22"/>
            <w:szCs w:val="22"/>
            <w:b w:val="0"/>
            <w:bCs w:val="0"/>
            <w:i w:val="0"/>
            <w:iCs w:val="0"/>
          </w:rPr>
          <w:t>[المسألة ] الاولی [:تقدّم«الید»علی الاستصحاب و الاستدلال علیه]</w:t>
        </w:r>
        <w:r>
          <w:tab/>
        </w:r>
        <w:r>
          <w:fldChar w:fldCharType="begin"/>
        </w:r>
        <w:r>
          <w:instrText xml:space="preserve">PAGEREF 1107 \h</w:instrText>
        </w:r>
        <w:r>
          <w:fldChar w:fldCharType="end"/>
        </w:r>
      </w:hyperlink>
    </w:p>
    <w:p>
      <w:pPr>
        <w:tabs>
          <w:tab w:val="right" w:leader="dot" w:pos="9062"/>
        </w:tabs>
        <w:ind w:left="1100"/>
      </w:pPr>
      <w:hyperlink w:anchor="_Toc1108" w:history="1">
        <w:r>
          <w:rPr>
            <w:rFonts w:ascii="IRNazanin" w:hAnsi="IRNazanin" w:eastAsia="IRNazanin" w:cs="IRNazanin"/>
            <w:color w:val="111111"/>
            <w:sz w:val="22"/>
            <w:szCs w:val="22"/>
            <w:b w:val="0"/>
            <w:bCs w:val="0"/>
            <w:i w:val="0"/>
            <w:iCs w:val="0"/>
          </w:rPr>
          <w:t>[الوجه فی الرجوع إلی الاستصحاب لو تقارنت«الید»بالإقرار:]</w:t>
        </w:r>
        <w:r>
          <w:tab/>
        </w:r>
        <w:r>
          <w:fldChar w:fldCharType="begin"/>
        </w:r>
        <w:r>
          <w:instrText xml:space="preserve">PAGEREF 1108 \h</w:instrText>
        </w:r>
        <w:r>
          <w:fldChar w:fldCharType="end"/>
        </w:r>
      </w:hyperlink>
    </w:p>
    <w:p>
      <w:pPr>
        <w:tabs>
          <w:tab w:val="right" w:leader="dot" w:pos="9062"/>
        </w:tabs>
        <w:ind w:left="1100"/>
      </w:pPr>
      <w:hyperlink w:anchor="_Toc1109" w:history="1">
        <w:r>
          <w:rPr>
            <w:rFonts w:ascii="IRNazanin" w:hAnsi="IRNazanin" w:eastAsia="IRNazanin" w:cs="IRNazanin"/>
            <w:color w:val="111111"/>
            <w:sz w:val="22"/>
            <w:szCs w:val="22"/>
            <w:b w:val="0"/>
            <w:bCs w:val="0"/>
            <w:i w:val="0"/>
            <w:iCs w:val="0"/>
          </w:rPr>
          <w:t>[«الید»علی تقدیر کونها من الاصول مقدّمة علی الاستصحاب و إن جعلناه من الأمارات:]</w:t>
        </w:r>
        <w:r>
          <w:tab/>
        </w:r>
        <w:r>
          <w:fldChar w:fldCharType="begin"/>
        </w:r>
        <w:r>
          <w:instrText xml:space="preserve">PAGEREF 1109 \h</w:instrText>
        </w:r>
        <w:r>
          <w:fldChar w:fldCharType="end"/>
        </w:r>
      </w:hyperlink>
    </w:p>
    <w:p>
      <w:pPr>
        <w:tabs>
          <w:tab w:val="right" w:leader="dot" w:pos="9062"/>
        </w:tabs>
        <w:ind w:left="1100"/>
      </w:pPr>
      <w:hyperlink w:anchor="_Toc1110" w:history="1">
        <w:r>
          <w:rPr>
            <w:rFonts w:ascii="IRNazanin" w:hAnsi="IRNazanin" w:eastAsia="IRNazanin" w:cs="IRNazanin"/>
            <w:color w:val="111111"/>
            <w:sz w:val="22"/>
            <w:szCs w:val="22"/>
            <w:b w:val="0"/>
            <w:bCs w:val="0"/>
            <w:i w:val="0"/>
            <w:iCs w:val="0"/>
          </w:rPr>
          <w:t>[تقدّم البیّنة علی«الید»و الوجه فی ذلک:]</w:t>
        </w:r>
        <w:r>
          <w:tab/>
        </w:r>
        <w:r>
          <w:fldChar w:fldCharType="begin"/>
        </w:r>
        <w:r>
          <w:instrText xml:space="preserve">PAGEREF 1110 \h</w:instrText>
        </w:r>
        <w:r>
          <w:fldChar w:fldCharType="end"/>
        </w:r>
      </w:hyperlink>
    </w:p>
    <w:p>
      <w:pPr>
        <w:tabs>
          <w:tab w:val="right" w:leader="dot" w:pos="9062"/>
        </w:tabs>
        <w:ind w:left="1100"/>
      </w:pPr>
      <w:hyperlink w:anchor="_Toc1111" w:history="1">
        <w:r>
          <w:rPr>
            <w:rFonts w:ascii="IRNazanin" w:hAnsi="IRNazanin" w:eastAsia="IRNazanin" w:cs="IRNazanin"/>
            <w:color w:val="111111"/>
            <w:sz w:val="22"/>
            <w:szCs w:val="22"/>
            <w:b w:val="0"/>
            <w:bCs w:val="0"/>
            <w:i w:val="0"/>
            <w:iCs w:val="0"/>
          </w:rPr>
          <w:t>المسألة الثانیة [:فی قاعدة«الفراغ و التجاوز»]</w:t>
        </w:r>
        <w:r>
          <w:tab/>
        </w:r>
        <w:r>
          <w:fldChar w:fldCharType="begin"/>
        </w:r>
        <w:r>
          <w:instrText xml:space="preserve">PAGEREF 1111 \h</w:instrText>
        </w:r>
        <w:r>
          <w:fldChar w:fldCharType="end"/>
        </w:r>
      </w:hyperlink>
    </w:p>
    <w:p>
      <w:pPr>
        <w:tabs>
          <w:tab w:val="right" w:leader="dot" w:pos="9062"/>
        </w:tabs>
        <w:ind w:left="1100"/>
      </w:pPr>
      <w:hyperlink w:anchor="_Toc1112" w:history="1">
        <w:r>
          <w:rPr>
            <w:rFonts w:ascii="IRNazanin" w:hAnsi="IRNazanin" w:eastAsia="IRNazanin" w:cs="IRNazanin"/>
            <w:color w:val="111111"/>
            <w:sz w:val="22"/>
            <w:szCs w:val="22"/>
            <w:b w:val="0"/>
            <w:bCs w:val="0"/>
            <w:i w:val="0"/>
            <w:iCs w:val="0"/>
          </w:rPr>
          <w:t>[تقدّم قاعدة«الفراغ و التجاوز»علی الاستصحاب و الاستدلال علیه]</w:t>
        </w:r>
        <w:r>
          <w:tab/>
        </w:r>
        <w:r>
          <w:fldChar w:fldCharType="begin"/>
        </w:r>
        <w:r>
          <w:instrText xml:space="preserve">PAGEREF 1112 \h</w:instrText>
        </w:r>
        <w:r>
          <w:fldChar w:fldCharType="end"/>
        </w:r>
      </w:hyperlink>
    </w:p>
    <w:p>
      <w:pPr>
        <w:tabs>
          <w:tab w:val="right" w:leader="dot" w:pos="9062"/>
        </w:tabs>
        <w:ind w:left="1100"/>
      </w:pPr>
      <w:hyperlink w:anchor="_Toc1113" w:history="1">
        <w:r>
          <w:rPr>
            <w:rFonts w:ascii="IRNazanin" w:hAnsi="IRNazanin" w:eastAsia="IRNazanin" w:cs="IRNazanin"/>
            <w:color w:val="111111"/>
            <w:sz w:val="22"/>
            <w:szCs w:val="22"/>
            <w:b w:val="0"/>
            <w:bCs w:val="0"/>
            <w:i w:val="0"/>
            <w:iCs w:val="0"/>
          </w:rPr>
          <w:t>[أخبار القاعدة:]</w:t>
        </w:r>
        <w:r>
          <w:tab/>
        </w:r>
        <w:r>
          <w:fldChar w:fldCharType="begin"/>
        </w:r>
        <w:r>
          <w:instrText xml:space="preserve">PAGEREF 1113 \h</w:instrText>
        </w:r>
        <w:r>
          <w:fldChar w:fldCharType="end"/>
        </w:r>
      </w:hyperlink>
    </w:p>
    <w:p>
      <w:pPr>
        <w:tabs>
          <w:tab w:val="right" w:leader="dot" w:pos="9062"/>
        </w:tabs>
        <w:ind w:left="1100"/>
      </w:pPr>
      <w:hyperlink w:anchor="_Toc1114" w:history="1">
        <w:r>
          <w:rPr>
            <w:rFonts w:ascii="IRNazanin" w:hAnsi="IRNazanin" w:eastAsia="IRNazanin" w:cs="IRNazanin"/>
            <w:color w:val="111111"/>
            <w:sz w:val="22"/>
            <w:szCs w:val="22"/>
            <w:b w:val="0"/>
            <w:bCs w:val="0"/>
            <w:i w:val="0"/>
            <w:iCs w:val="0"/>
          </w:rPr>
          <w:t>[1-الأخبار العامّة:]</w:t>
        </w:r>
        <w:r>
          <w:tab/>
        </w:r>
        <w:r>
          <w:fldChar w:fldCharType="begin"/>
        </w:r>
        <w:r>
          <w:instrText xml:space="preserve">PAGEREF 1114 \h</w:instrText>
        </w:r>
        <w:r>
          <w:fldChar w:fldCharType="end"/>
        </w:r>
      </w:hyperlink>
    </w:p>
    <w:p>
      <w:pPr>
        <w:tabs>
          <w:tab w:val="right" w:leader="dot" w:pos="9062"/>
        </w:tabs>
        <w:ind w:left="1100"/>
      </w:pPr>
      <w:hyperlink w:anchor="_Toc1115" w:history="1">
        <w:r>
          <w:rPr>
            <w:rFonts w:ascii="IRNazanin" w:hAnsi="IRNazanin" w:eastAsia="IRNazanin" w:cs="IRNazanin"/>
            <w:color w:val="111111"/>
            <w:sz w:val="22"/>
            <w:szCs w:val="22"/>
            <w:b w:val="0"/>
            <w:bCs w:val="0"/>
            <w:i w:val="0"/>
            <w:iCs w:val="0"/>
          </w:rPr>
          <w:t>[2-الأخبار الخاصّة:]</w:t>
        </w:r>
        <w:r>
          <w:tab/>
        </w:r>
        <w:r>
          <w:fldChar w:fldCharType="begin"/>
        </w:r>
        <w:r>
          <w:instrText xml:space="preserve">PAGEREF 1115 \h</w:instrText>
        </w:r>
        <w:r>
          <w:fldChar w:fldCharType="end"/>
        </w:r>
      </w:hyperlink>
    </w:p>
    <w:p>
      <w:pPr>
        <w:tabs>
          <w:tab w:val="right" w:leader="dot" w:pos="9062"/>
        </w:tabs>
        <w:ind w:left="1100"/>
      </w:pPr>
      <w:hyperlink w:anchor="_Toc1116" w:history="1">
        <w:r>
          <w:rPr>
            <w:rFonts w:ascii="IRNazanin" w:hAnsi="IRNazanin" w:eastAsia="IRNazanin" w:cs="IRNazanin"/>
            <w:color w:val="111111"/>
            <w:sz w:val="22"/>
            <w:szCs w:val="22"/>
            <w:b w:val="0"/>
            <w:bCs w:val="0"/>
            <w:i w:val="0"/>
            <w:iCs w:val="0"/>
          </w:rPr>
          <w:t>[تنقیح مضامین الأخبار:]</w:t>
        </w:r>
        <w:r>
          <w:tab/>
        </w:r>
        <w:r>
          <w:fldChar w:fldCharType="begin"/>
        </w:r>
        <w:r>
          <w:instrText xml:space="preserve">PAGEREF 1116 \h</w:instrText>
        </w:r>
        <w:r>
          <w:fldChar w:fldCharType="end"/>
        </w:r>
      </w:hyperlink>
    </w:p>
    <w:p>
      <w:pPr>
        <w:tabs>
          <w:tab w:val="right" w:leader="dot" w:pos="9062"/>
        </w:tabs>
        <w:ind w:left="1100"/>
      </w:pPr>
      <w:hyperlink w:anchor="_Toc1117" w:history="1">
        <w:r>
          <w:rPr>
            <w:rFonts w:ascii="IRNazanin" w:hAnsi="IRNazanin" w:eastAsia="IRNazanin" w:cs="IRNazanin"/>
            <w:color w:val="111111"/>
            <w:sz w:val="22"/>
            <w:szCs w:val="22"/>
            <w:b w:val="0"/>
            <w:bCs w:val="0"/>
            <w:i w:val="0"/>
            <w:iCs w:val="0"/>
          </w:rPr>
          <w:t>الموضع الأوّل [:ما هو المراد من«الشکّ فی الشیء»؟]</w:t>
        </w:r>
        <w:r>
          <w:tab/>
        </w:r>
        <w:r>
          <w:fldChar w:fldCharType="begin"/>
        </w:r>
        <w:r>
          <w:instrText xml:space="preserve">PAGEREF 1117 \h</w:instrText>
        </w:r>
        <w:r>
          <w:fldChar w:fldCharType="end"/>
        </w:r>
      </w:hyperlink>
    </w:p>
    <w:p>
      <w:pPr>
        <w:tabs>
          <w:tab w:val="right" w:leader="dot" w:pos="9062"/>
        </w:tabs>
        <w:ind w:left="1100"/>
      </w:pPr>
      <w:hyperlink w:anchor="_Toc1118" w:history="1">
        <w:r>
          <w:rPr>
            <w:rFonts w:ascii="IRNazanin" w:hAnsi="IRNazanin" w:eastAsia="IRNazanin" w:cs="IRNazanin"/>
            <w:color w:val="111111"/>
            <w:sz w:val="22"/>
            <w:szCs w:val="22"/>
            <w:b w:val="0"/>
            <w:bCs w:val="0"/>
            <w:i w:val="0"/>
            <w:iCs w:val="0"/>
          </w:rPr>
          <w:t>الموضع الثانی [:ما هو المراد من«محلّ الشیء المشکوک فیه»؟]</w:t>
        </w:r>
        <w:r>
          <w:tab/>
        </w:r>
        <w:r>
          <w:fldChar w:fldCharType="begin"/>
        </w:r>
        <w:r>
          <w:instrText xml:space="preserve">PAGEREF 1118 \h</w:instrText>
        </w:r>
        <w:r>
          <w:fldChar w:fldCharType="end"/>
        </w:r>
      </w:hyperlink>
    </w:p>
    <w:p>
      <w:pPr>
        <w:tabs>
          <w:tab w:val="right" w:leader="dot" w:pos="9062"/>
        </w:tabs>
        <w:ind w:left="1100"/>
      </w:pPr>
      <w:hyperlink w:anchor="_Toc1119" w:history="1">
        <w:r>
          <w:rPr>
            <w:rFonts w:ascii="IRNazanin" w:hAnsi="IRNazanin" w:eastAsia="IRNazanin" w:cs="IRNazanin"/>
            <w:color w:val="111111"/>
            <w:sz w:val="22"/>
            <w:szCs w:val="22"/>
            <w:b w:val="0"/>
            <w:bCs w:val="0"/>
            <w:i w:val="0"/>
            <w:iCs w:val="0"/>
          </w:rPr>
          <w:t>الموضع الثالث [هل یعتبر فی التجاوز و الفراغ الدخول فی الغیر،أم لا؟:]</w:t>
        </w:r>
        <w:r>
          <w:tab/>
        </w:r>
        <w:r>
          <w:fldChar w:fldCharType="begin"/>
        </w:r>
        <w:r>
          <w:instrText xml:space="preserve">PAGEREF 1119 \h</w:instrText>
        </w:r>
        <w:r>
          <w:fldChar w:fldCharType="end"/>
        </w:r>
      </w:hyperlink>
    </w:p>
    <w:p>
      <w:pPr>
        <w:tabs>
          <w:tab w:val="right" w:leader="dot" w:pos="9062"/>
        </w:tabs>
        <w:ind w:left="1100"/>
      </w:pPr>
      <w:hyperlink w:anchor="_Toc1120" w:history="1">
        <w:r>
          <w:rPr>
            <w:rFonts w:ascii="IRNazanin" w:hAnsi="IRNazanin" w:eastAsia="IRNazanin" w:cs="IRNazanin"/>
            <w:color w:val="111111"/>
            <w:sz w:val="22"/>
            <w:szCs w:val="22"/>
            <w:b w:val="0"/>
            <w:bCs w:val="0"/>
            <w:i w:val="0"/>
            <w:iCs w:val="0"/>
          </w:rPr>
          <w:t>[ما هو المراد من«الغیر»؟:]</w:t>
        </w:r>
        <w:r>
          <w:tab/>
        </w:r>
        <w:r>
          <w:fldChar w:fldCharType="begin"/>
        </w:r>
        <w:r>
          <w:instrText xml:space="preserve">PAGEREF 1120 \h</w:instrText>
        </w:r>
        <w:r>
          <w:fldChar w:fldCharType="end"/>
        </w:r>
      </w:hyperlink>
    </w:p>
    <w:p>
      <w:pPr>
        <w:tabs>
          <w:tab w:val="right" w:leader="dot" w:pos="9062"/>
        </w:tabs>
        <w:ind w:left="1100"/>
      </w:pPr>
      <w:hyperlink w:anchor="_Toc1121" w:history="1">
        <w:r>
          <w:rPr>
            <w:rFonts w:ascii="IRNazanin" w:hAnsi="IRNazanin" w:eastAsia="IRNazanin" w:cs="IRNazanin"/>
            <w:color w:val="111111"/>
            <w:sz w:val="22"/>
            <w:szCs w:val="22"/>
            <w:b w:val="0"/>
            <w:bCs w:val="0"/>
            <w:i w:val="0"/>
            <w:iCs w:val="0"/>
          </w:rPr>
          <w:t>[عدم کفایة الدخول فی مقدّمات الغیر:]</w:t>
        </w:r>
        <w:r>
          <w:tab/>
        </w:r>
        <w:r>
          <w:fldChar w:fldCharType="begin"/>
        </w:r>
        <w:r>
          <w:instrText xml:space="preserve">PAGEREF 1121 \h</w:instrText>
        </w:r>
        <w:r>
          <w:fldChar w:fldCharType="end"/>
        </w:r>
      </w:hyperlink>
    </w:p>
    <w:p>
      <w:pPr>
        <w:tabs>
          <w:tab w:val="right" w:leader="dot" w:pos="9062"/>
        </w:tabs>
        <w:ind w:left="1100"/>
      </w:pPr>
      <w:hyperlink w:anchor="_Toc1122" w:history="1">
        <w:r>
          <w:rPr>
            <w:rFonts w:ascii="IRNazanin" w:hAnsi="IRNazanin" w:eastAsia="IRNazanin" w:cs="IRNazanin"/>
            <w:color w:val="111111"/>
            <w:sz w:val="22"/>
            <w:szCs w:val="22"/>
            <w:b w:val="0"/>
            <w:bCs w:val="0"/>
            <w:i w:val="0"/>
            <w:iCs w:val="0"/>
          </w:rPr>
          <w:t>[الأقوی اعتبار الدخول فی الغیر و عدم کفایة مجرّد الفراغ:]</w:t>
        </w:r>
        <w:r>
          <w:tab/>
        </w:r>
        <w:r>
          <w:fldChar w:fldCharType="begin"/>
        </w:r>
        <w:r>
          <w:instrText xml:space="preserve">PAGEREF 1122 \h</w:instrText>
        </w:r>
        <w:r>
          <w:fldChar w:fldCharType="end"/>
        </w:r>
      </w:hyperlink>
    </w:p>
    <w:p>
      <w:pPr>
        <w:tabs>
          <w:tab w:val="right" w:leader="dot" w:pos="9062"/>
        </w:tabs>
        <w:ind w:left="1100"/>
      </w:pPr>
      <w:hyperlink w:anchor="_Toc1123" w:history="1">
        <w:r>
          <w:rPr>
            <w:rFonts w:ascii="IRNazanin" w:hAnsi="IRNazanin" w:eastAsia="IRNazanin" w:cs="IRNazanin"/>
            <w:color w:val="111111"/>
            <w:sz w:val="22"/>
            <w:szCs w:val="22"/>
            <w:b w:val="0"/>
            <w:bCs w:val="0"/>
            <w:i w:val="0"/>
            <w:iCs w:val="0"/>
          </w:rPr>
          <w:t>[عدم صحّة التفصیل بین الصلاة و الوضوء:]</w:t>
        </w:r>
        <w:r>
          <w:tab/>
        </w:r>
        <w:r>
          <w:fldChar w:fldCharType="begin"/>
        </w:r>
        <w:r>
          <w:instrText xml:space="preserve">PAGEREF 1123 \h</w:instrText>
        </w:r>
        <w:r>
          <w:fldChar w:fldCharType="end"/>
        </w:r>
      </w:hyperlink>
    </w:p>
    <w:p>
      <w:pPr>
        <w:tabs>
          <w:tab w:val="right" w:leader="dot" w:pos="9062"/>
        </w:tabs>
        <w:ind w:left="1100"/>
      </w:pPr>
      <w:hyperlink w:anchor="_Toc1124" w:history="1">
        <w:r>
          <w:rPr>
            <w:rFonts w:ascii="IRNazanin" w:hAnsi="IRNazanin" w:eastAsia="IRNazanin" w:cs="IRNazanin"/>
            <w:color w:val="111111"/>
            <w:sz w:val="22"/>
            <w:szCs w:val="22"/>
            <w:b w:val="0"/>
            <w:bCs w:val="0"/>
            <w:i w:val="0"/>
            <w:iCs w:val="0"/>
          </w:rPr>
          <w:t>الموضع الرابع [عدم جریان القاعدة فی أفعال الطهارات الثلاث]</w:t>
        </w:r>
        <w:r>
          <w:tab/>
        </w:r>
        <w:r>
          <w:fldChar w:fldCharType="begin"/>
        </w:r>
        <w:r>
          <w:instrText xml:space="preserve">PAGEREF 1124 \h</w:instrText>
        </w:r>
        <w:r>
          <w:fldChar w:fldCharType="end"/>
        </w:r>
      </w:hyperlink>
    </w:p>
    <w:p>
      <w:pPr>
        <w:tabs>
          <w:tab w:val="right" w:leader="dot" w:pos="9062"/>
        </w:tabs>
        <w:ind w:left="1100"/>
      </w:pPr>
      <w:hyperlink w:anchor="_Toc1125" w:history="1">
        <w:r>
          <w:rPr>
            <w:rFonts w:ascii="IRNazanin" w:hAnsi="IRNazanin" w:eastAsia="IRNazanin" w:cs="IRNazanin"/>
            <w:color w:val="111111"/>
            <w:sz w:val="22"/>
            <w:szCs w:val="22"/>
            <w:b w:val="0"/>
            <w:bCs w:val="0"/>
            <w:i w:val="0"/>
            <w:iCs w:val="0"/>
          </w:rPr>
          <w:t>[مستند الخروج:]</w:t>
        </w:r>
        <w:r>
          <w:tab/>
        </w:r>
        <w:r>
          <w:fldChar w:fldCharType="begin"/>
        </w:r>
        <w:r>
          <w:instrText xml:space="preserve">PAGEREF 1125 \h</w:instrText>
        </w:r>
        <w:r>
          <w:fldChar w:fldCharType="end"/>
        </w:r>
      </w:hyperlink>
    </w:p>
    <w:p>
      <w:pPr>
        <w:tabs>
          <w:tab w:val="right" w:leader="dot" w:pos="9062"/>
        </w:tabs>
        <w:ind w:left="1100"/>
      </w:pPr>
      <w:hyperlink w:anchor="_Toc1126" w:history="1">
        <w:r>
          <w:rPr>
            <w:rFonts w:ascii="IRNazanin" w:hAnsi="IRNazanin" w:eastAsia="IRNazanin" w:cs="IRNazanin"/>
            <w:color w:val="111111"/>
            <w:sz w:val="22"/>
            <w:szCs w:val="22"/>
            <w:b w:val="0"/>
            <w:bCs w:val="0"/>
            <w:i w:val="0"/>
            <w:iCs w:val="0"/>
          </w:rPr>
          <w:t>[ظاهر روایة ابن أبی یعفور أنّ حکم الوضوء من باب القاعدة:]</w:t>
        </w:r>
        <w:r>
          <w:tab/>
        </w:r>
        <w:r>
          <w:fldChar w:fldCharType="begin"/>
        </w:r>
        <w:r>
          <w:instrText xml:space="preserve">PAGEREF 1126 \h</w:instrText>
        </w:r>
        <w:r>
          <w:fldChar w:fldCharType="end"/>
        </w:r>
      </w:hyperlink>
    </w:p>
    <w:p>
      <w:pPr>
        <w:tabs>
          <w:tab w:val="right" w:leader="dot" w:pos="9062"/>
        </w:tabs>
        <w:ind w:left="1100"/>
      </w:pPr>
      <w:hyperlink w:anchor="_Toc1127" w:history="1">
        <w:r>
          <w:rPr>
            <w:rFonts w:ascii="IRNazanin" w:hAnsi="IRNazanin" w:eastAsia="IRNazanin" w:cs="IRNazanin"/>
            <w:color w:val="111111"/>
            <w:sz w:val="22"/>
            <w:szCs w:val="22"/>
            <w:b w:val="0"/>
            <w:bCs w:val="0"/>
            <w:i w:val="0"/>
            <w:iCs w:val="0"/>
          </w:rPr>
          <w:t>[الإشکال فی ظاهر ذیل الروایة:]</w:t>
        </w:r>
        <w:r>
          <w:tab/>
        </w:r>
        <w:r>
          <w:fldChar w:fldCharType="begin"/>
        </w:r>
        <w:r>
          <w:instrText xml:space="preserve">PAGEREF 1127 \h</w:instrText>
        </w:r>
        <w:r>
          <w:fldChar w:fldCharType="end"/>
        </w:r>
      </w:hyperlink>
    </w:p>
    <w:p>
      <w:pPr>
        <w:tabs>
          <w:tab w:val="right" w:leader="dot" w:pos="9062"/>
        </w:tabs>
        <w:ind w:left="1100"/>
      </w:pPr>
      <w:hyperlink w:anchor="_Toc1128" w:history="1">
        <w:r>
          <w:rPr>
            <w:rFonts w:ascii="IRNazanin" w:hAnsi="IRNazanin" w:eastAsia="IRNazanin" w:cs="IRNazanin"/>
            <w:color w:val="111111"/>
            <w:sz w:val="22"/>
            <w:szCs w:val="22"/>
            <w:b w:val="0"/>
            <w:bCs w:val="0"/>
            <w:i w:val="0"/>
            <w:iCs w:val="0"/>
          </w:rPr>
          <w:t>[دفع الإشکال عن الروایة:]</w:t>
        </w:r>
        <w:r>
          <w:tab/>
        </w:r>
        <w:r>
          <w:fldChar w:fldCharType="begin"/>
        </w:r>
        <w:r>
          <w:instrText xml:space="preserve">PAGEREF 1128 \h</w:instrText>
        </w:r>
        <w:r>
          <w:fldChar w:fldCharType="end"/>
        </w:r>
      </w:hyperlink>
    </w:p>
    <w:p>
      <w:pPr>
        <w:tabs>
          <w:tab w:val="right" w:leader="dot" w:pos="9062"/>
        </w:tabs>
        <w:ind w:left="1100"/>
      </w:pPr>
      <w:hyperlink w:anchor="_Toc1129" w:history="1">
        <w:r>
          <w:rPr>
            <w:rFonts w:ascii="IRNazanin" w:hAnsi="IRNazanin" w:eastAsia="IRNazanin" w:cs="IRNazanin"/>
            <w:color w:val="111111"/>
            <w:sz w:val="22"/>
            <w:szCs w:val="22"/>
            <w:b w:val="0"/>
            <w:bCs w:val="0"/>
            <w:i w:val="0"/>
            <w:iCs w:val="0"/>
          </w:rPr>
          <w:t>[عدم غرابة فرض الوضوء فعلا واحدا:]</w:t>
        </w:r>
        <w:r>
          <w:tab/>
        </w:r>
        <w:r>
          <w:fldChar w:fldCharType="begin"/>
        </w:r>
        <w:r>
          <w:instrText xml:space="preserve">PAGEREF 1129 \h</w:instrText>
        </w:r>
        <w:r>
          <w:fldChar w:fldCharType="end"/>
        </w:r>
      </w:hyperlink>
    </w:p>
    <w:p>
      <w:pPr>
        <w:tabs>
          <w:tab w:val="right" w:leader="dot" w:pos="9062"/>
        </w:tabs>
        <w:ind w:left="1100"/>
      </w:pPr>
      <w:hyperlink w:anchor="_Toc1130" w:history="1">
        <w:r>
          <w:rPr>
            <w:rFonts w:ascii="IRNazanin" w:hAnsi="IRNazanin" w:eastAsia="IRNazanin" w:cs="IRNazanin"/>
            <w:color w:val="111111"/>
            <w:sz w:val="22"/>
            <w:szCs w:val="22"/>
            <w:b w:val="0"/>
            <w:bCs w:val="0"/>
            <w:i w:val="0"/>
            <w:iCs w:val="0"/>
          </w:rPr>
          <w:t>الموضع الخامس [:هل تجری القاعدة فی الشروط کما تجری فی الأجزاء؟]</w:t>
        </w:r>
        <w:r>
          <w:tab/>
        </w:r>
        <w:r>
          <w:fldChar w:fldCharType="begin"/>
        </w:r>
        <w:r>
          <w:instrText xml:space="preserve">PAGEREF 1130 \h</w:instrText>
        </w:r>
        <w:r>
          <w:fldChar w:fldCharType="end"/>
        </w:r>
      </w:hyperlink>
    </w:p>
    <w:p>
      <w:pPr>
        <w:tabs>
          <w:tab w:val="right" w:leader="dot" w:pos="9062"/>
        </w:tabs>
        <w:ind w:left="1100"/>
      </w:pPr>
      <w:hyperlink w:anchor="_Toc1131" w:history="1">
        <w:r>
          <w:rPr>
            <w:rFonts w:ascii="IRNazanin" w:hAnsi="IRNazanin" w:eastAsia="IRNazanin" w:cs="IRNazanin"/>
            <w:color w:val="111111"/>
            <w:sz w:val="22"/>
            <w:szCs w:val="22"/>
            <w:b w:val="0"/>
            <w:bCs w:val="0"/>
            <w:i w:val="0"/>
            <w:iCs w:val="0"/>
          </w:rPr>
          <w:t>[الأقوی التفصیل:]</w:t>
        </w:r>
        <w:r>
          <w:tab/>
        </w:r>
        <w:r>
          <w:fldChar w:fldCharType="begin"/>
        </w:r>
        <w:r>
          <w:instrText xml:space="preserve">PAGEREF 1131 \h</w:instrText>
        </w:r>
        <w:r>
          <w:fldChar w:fldCharType="end"/>
        </w:r>
      </w:hyperlink>
    </w:p>
    <w:p>
      <w:pPr>
        <w:tabs>
          <w:tab w:val="right" w:leader="dot" w:pos="9062"/>
        </w:tabs>
        <w:ind w:left="1100"/>
      </w:pPr>
      <w:hyperlink w:anchor="_Toc1132" w:history="1">
        <w:r>
          <w:rPr>
            <w:rFonts w:ascii="IRNazanin" w:hAnsi="IRNazanin" w:eastAsia="IRNazanin" w:cs="IRNazanin"/>
            <w:color w:val="111111"/>
            <w:sz w:val="22"/>
            <w:szCs w:val="22"/>
            <w:b w:val="0"/>
            <w:bCs w:val="0"/>
            <w:i w:val="0"/>
            <w:iCs w:val="0"/>
          </w:rPr>
          <w:t>[معنی عدم العبرة بالشکّ بعد تجاوز المحلّ:]</w:t>
        </w:r>
        <w:r>
          <w:tab/>
        </w:r>
        <w:r>
          <w:fldChar w:fldCharType="begin"/>
        </w:r>
        <w:r>
          <w:instrText xml:space="preserve">PAGEREF 1132 \h</w:instrText>
        </w:r>
        <w:r>
          <w:fldChar w:fldCharType="end"/>
        </w:r>
      </w:hyperlink>
    </w:p>
    <w:p>
      <w:pPr>
        <w:tabs>
          <w:tab w:val="right" w:leader="dot" w:pos="9062"/>
        </w:tabs>
        <w:ind w:left="1100"/>
      </w:pPr>
      <w:hyperlink w:anchor="_Toc1133" w:history="1">
        <w:r>
          <w:rPr>
            <w:rFonts w:ascii="IRNazanin" w:hAnsi="IRNazanin" w:eastAsia="IRNazanin" w:cs="IRNazanin"/>
            <w:color w:val="111111"/>
            <w:sz w:val="22"/>
            <w:szCs w:val="22"/>
            <w:b w:val="0"/>
            <w:bCs w:val="0"/>
            <w:i w:val="0"/>
            <w:iCs w:val="0"/>
          </w:rPr>
          <w:t>[التفصیل بین الوضوء و نحوه و بین غیره:]</w:t>
        </w:r>
        <w:r>
          <w:tab/>
        </w:r>
        <w:r>
          <w:fldChar w:fldCharType="begin"/>
        </w:r>
        <w:r>
          <w:instrText xml:space="preserve">PAGEREF 1133 \h</w:instrText>
        </w:r>
        <w:r>
          <w:fldChar w:fldCharType="end"/>
        </w:r>
      </w:hyperlink>
    </w:p>
    <w:p>
      <w:pPr>
        <w:tabs>
          <w:tab w:val="right" w:leader="dot" w:pos="9062"/>
        </w:tabs>
        <w:ind w:left="1100"/>
      </w:pPr>
      <w:hyperlink w:anchor="_Toc1134" w:history="1">
        <w:r>
          <w:rPr>
            <w:rFonts w:ascii="IRNazanin" w:hAnsi="IRNazanin" w:eastAsia="IRNazanin" w:cs="IRNazanin"/>
            <w:color w:val="111111"/>
            <w:sz w:val="22"/>
            <w:szCs w:val="22"/>
            <w:b w:val="0"/>
            <w:bCs w:val="0"/>
            <w:i w:val="0"/>
            <w:iCs w:val="0"/>
          </w:rPr>
          <w:t>الموضع السادس [:هَل یلحق الشکّ فی الصحّة بالشکّ فی الإتیان؟]</w:t>
        </w:r>
        <w:r>
          <w:tab/>
        </w:r>
        <w:r>
          <w:fldChar w:fldCharType="begin"/>
        </w:r>
        <w:r>
          <w:instrText xml:space="preserve">PAGEREF 1134 \h</w:instrText>
        </w:r>
        <w:r>
          <w:fldChar w:fldCharType="end"/>
        </w:r>
      </w:hyperlink>
    </w:p>
    <w:p>
      <w:pPr>
        <w:tabs>
          <w:tab w:val="right" w:leader="dot" w:pos="9062"/>
        </w:tabs>
        <w:ind w:left="1100"/>
      </w:pPr>
      <w:hyperlink w:anchor="_Toc1135" w:history="1">
        <w:r>
          <w:rPr>
            <w:rFonts w:ascii="IRNazanin" w:hAnsi="IRNazanin" w:eastAsia="IRNazanin" w:cs="IRNazanin"/>
            <w:color w:val="111111"/>
            <w:sz w:val="22"/>
            <w:szCs w:val="22"/>
            <w:b w:val="0"/>
            <w:bCs w:val="0"/>
            <w:i w:val="0"/>
            <w:iCs w:val="0"/>
          </w:rPr>
          <w:t>الموضع السابع [ المراد من الشکّ فی موضوع هذه القاعدة:]</w:t>
        </w:r>
        <w:r>
          <w:tab/>
        </w:r>
        <w:r>
          <w:fldChar w:fldCharType="begin"/>
        </w:r>
        <w:r>
          <w:instrText xml:space="preserve">PAGEREF 1135 \h</w:instrText>
        </w:r>
        <w:r>
          <w:fldChar w:fldCharType="end"/>
        </w:r>
      </w:hyperlink>
    </w:p>
    <w:p>
      <w:pPr>
        <w:tabs>
          <w:tab w:val="right" w:leader="dot" w:pos="9062"/>
        </w:tabs>
        <w:ind w:left="1100"/>
      </w:pPr>
      <w:hyperlink w:anchor="_Toc1136" w:history="1">
        <w:r>
          <w:rPr>
            <w:rFonts w:ascii="IRNazanin" w:hAnsi="IRNazanin" w:eastAsia="IRNazanin" w:cs="IRNazanin"/>
            <w:color w:val="111111"/>
            <w:sz w:val="22"/>
            <w:szCs w:val="22"/>
            <w:b w:val="0"/>
            <w:bCs w:val="0"/>
            <w:i w:val="0"/>
            <w:iCs w:val="0"/>
          </w:rPr>
          <w:t>[عدم الفرق بین أن یکون المحتمل الترک نسیانا أو تعمّدا:]</w:t>
        </w:r>
        <w:r>
          <w:tab/>
        </w:r>
        <w:r>
          <w:fldChar w:fldCharType="begin"/>
        </w:r>
        <w:r>
          <w:instrText xml:space="preserve">PAGEREF 1136 \h</w:instrText>
        </w:r>
        <w:r>
          <w:fldChar w:fldCharType="end"/>
        </w:r>
      </w:hyperlink>
    </w:p>
    <w:p>
      <w:pPr>
        <w:tabs>
          <w:tab w:val="right" w:leader="dot" w:pos="9062"/>
        </w:tabs>
        <w:ind w:left="1100"/>
      </w:pPr>
      <w:hyperlink w:anchor="_Toc1137" w:history="1">
        <w:r>
          <w:rPr>
            <w:rFonts w:ascii="IRNazanin" w:hAnsi="IRNazanin" w:eastAsia="IRNazanin" w:cs="IRNazanin"/>
            <w:color w:val="111111"/>
            <w:sz w:val="22"/>
            <w:szCs w:val="22"/>
            <w:b w:val="0"/>
            <w:bCs w:val="0"/>
            <w:i w:val="0"/>
            <w:iCs w:val="0"/>
          </w:rPr>
          <w:t>المسألة الثالثة فی أصالة الصحّة فی فعل الغیر</w:t>
        </w:r>
        <w:r>
          <w:tab/>
        </w:r>
        <w:r>
          <w:fldChar w:fldCharType="begin"/>
        </w:r>
        <w:r>
          <w:instrText xml:space="preserve">PAGEREF 1137 \h</w:instrText>
        </w:r>
        <w:r>
          <w:fldChar w:fldCharType="end"/>
        </w:r>
      </w:hyperlink>
    </w:p>
    <w:p>
      <w:pPr>
        <w:tabs>
          <w:tab w:val="right" w:leader="dot" w:pos="9062"/>
        </w:tabs>
        <w:ind w:left="1100"/>
      </w:pPr>
      <w:hyperlink w:anchor="_Toc1138" w:history="1">
        <w:r>
          <w:rPr>
            <w:rFonts w:ascii="IRNazanin" w:hAnsi="IRNazanin" w:eastAsia="IRNazanin" w:cs="IRNazanin"/>
            <w:color w:val="111111"/>
            <w:sz w:val="22"/>
            <w:szCs w:val="22"/>
            <w:b w:val="0"/>
            <w:bCs w:val="0"/>
            <w:i w:val="0"/>
            <w:iCs w:val="0"/>
          </w:rPr>
          <w:t>[أصالة الصحّة من الاصول المجمع علیها بین المسلمین:]</w:t>
        </w:r>
        <w:r>
          <w:tab/>
        </w:r>
        <w:r>
          <w:fldChar w:fldCharType="begin"/>
        </w:r>
        <w:r>
          <w:instrText xml:space="preserve">PAGEREF 1138 \h</w:instrText>
        </w:r>
        <w:r>
          <w:fldChar w:fldCharType="end"/>
        </w:r>
      </w:hyperlink>
    </w:p>
    <w:p>
      <w:pPr>
        <w:tabs>
          <w:tab w:val="right" w:leader="dot" w:pos="9062"/>
        </w:tabs>
        <w:ind w:left="1100"/>
      </w:pPr>
      <w:hyperlink w:anchor="_Toc1139" w:history="1">
        <w:r>
          <w:rPr>
            <w:rFonts w:ascii="IRNazanin" w:hAnsi="IRNazanin" w:eastAsia="IRNazanin" w:cs="IRNazanin"/>
            <w:color w:val="111111"/>
            <w:sz w:val="22"/>
            <w:szCs w:val="22"/>
            <w:b w:val="0"/>
            <w:bCs w:val="0"/>
            <w:i w:val="0"/>
            <w:iCs w:val="0"/>
          </w:rPr>
          <w:t>[مدرک أصالة الصحّة:]</w:t>
        </w:r>
        <w:r>
          <w:tab/>
        </w:r>
        <w:r>
          <w:fldChar w:fldCharType="begin"/>
        </w:r>
        <w:r>
          <w:instrText xml:space="preserve">PAGEREF 1139 \h</w:instrText>
        </w:r>
        <w:r>
          <w:fldChar w:fldCharType="end"/>
        </w:r>
      </w:hyperlink>
    </w:p>
    <w:p>
      <w:pPr>
        <w:tabs>
          <w:tab w:val="right" w:leader="dot" w:pos="9062"/>
        </w:tabs>
        <w:ind w:left="1100"/>
      </w:pPr>
      <w:hyperlink w:anchor="_Toc1140" w:history="1">
        <w:r>
          <w:rPr>
            <w:rFonts w:ascii="IRNazanin" w:hAnsi="IRNazanin" w:eastAsia="IRNazanin" w:cs="IRNazanin"/>
            <w:color w:val="111111"/>
            <w:sz w:val="22"/>
            <w:szCs w:val="22"/>
            <w:b w:val="0"/>
            <w:bCs w:val="0"/>
            <w:i w:val="0"/>
            <w:iCs w:val="0"/>
          </w:rPr>
          <w:t>[الاستدلال بالآیات و المناقشة فیه:]</w:t>
        </w:r>
        <w:r>
          <w:tab/>
        </w:r>
        <w:r>
          <w:fldChar w:fldCharType="begin"/>
        </w:r>
        <w:r>
          <w:instrText xml:space="preserve">PAGEREF 1140 \h</w:instrText>
        </w:r>
        <w:r>
          <w:fldChar w:fldCharType="end"/>
        </w:r>
      </w:hyperlink>
    </w:p>
    <w:p>
      <w:pPr>
        <w:tabs>
          <w:tab w:val="right" w:leader="dot" w:pos="9062"/>
        </w:tabs>
        <w:ind w:left="1100"/>
      </w:pPr>
      <w:hyperlink w:anchor="_Toc1141" w:history="1">
        <w:r>
          <w:rPr>
            <w:rFonts w:ascii="IRNazanin" w:hAnsi="IRNazanin" w:eastAsia="IRNazanin" w:cs="IRNazanin"/>
            <w:color w:val="111111"/>
            <w:sz w:val="22"/>
            <w:szCs w:val="22"/>
            <w:b w:val="0"/>
            <w:bCs w:val="0"/>
            <w:i w:val="0"/>
            <w:iCs w:val="0"/>
          </w:rPr>
          <w:t>و أمّا السنّة: [الاستدلال بالأخبار]</w:t>
        </w:r>
        <w:r>
          <w:tab/>
        </w:r>
        <w:r>
          <w:fldChar w:fldCharType="begin"/>
        </w:r>
        <w:r>
          <w:instrText xml:space="preserve">PAGEREF 1141 \h</w:instrText>
        </w:r>
        <w:r>
          <w:fldChar w:fldCharType="end"/>
        </w:r>
      </w:hyperlink>
    </w:p>
    <w:p>
      <w:pPr>
        <w:tabs>
          <w:tab w:val="right" w:leader="dot" w:pos="9062"/>
        </w:tabs>
        <w:ind w:left="1100"/>
      </w:pPr>
      <w:hyperlink w:anchor="_Toc1142" w:history="1">
        <w:r>
          <w:rPr>
            <w:rFonts w:ascii="IRNazanin" w:hAnsi="IRNazanin" w:eastAsia="IRNazanin" w:cs="IRNazanin"/>
            <w:color w:val="111111"/>
            <w:sz w:val="22"/>
            <w:szCs w:val="22"/>
            <w:b w:val="0"/>
            <w:bCs w:val="0"/>
            <w:i w:val="0"/>
            <w:iCs w:val="0"/>
          </w:rPr>
          <w:t>[المناقشة فی دلالة الأخبار:]</w:t>
        </w:r>
        <w:r>
          <w:tab/>
        </w:r>
        <w:r>
          <w:fldChar w:fldCharType="begin"/>
        </w:r>
        <w:r>
          <w:instrText xml:space="preserve">PAGEREF 1142 \h</w:instrText>
        </w:r>
        <w:r>
          <w:fldChar w:fldCharType="end"/>
        </w:r>
      </w:hyperlink>
    </w:p>
    <w:p>
      <w:pPr>
        <w:tabs>
          <w:tab w:val="right" w:leader="dot" w:pos="9062"/>
        </w:tabs>
        <w:ind w:left="1100"/>
      </w:pPr>
      <w:hyperlink w:anchor="_Toc1143" w:history="1">
        <w:r>
          <w:rPr>
            <w:rFonts w:ascii="IRNazanin" w:hAnsi="IRNazanin" w:eastAsia="IRNazanin" w:cs="IRNazanin"/>
            <w:color w:val="111111"/>
            <w:sz w:val="22"/>
            <w:szCs w:val="22"/>
            <w:b w:val="0"/>
            <w:bCs w:val="0"/>
            <w:i w:val="0"/>
            <w:iCs w:val="0"/>
          </w:rPr>
          <w:t>الثالث:الإجماع القولیّ و العملیّ</w:t>
        </w:r>
        <w:r>
          <w:tab/>
        </w:r>
        <w:r>
          <w:fldChar w:fldCharType="begin"/>
        </w:r>
        <w:r>
          <w:instrText xml:space="preserve">PAGEREF 1143 \h</w:instrText>
        </w:r>
        <w:r>
          <w:fldChar w:fldCharType="end"/>
        </w:r>
      </w:hyperlink>
    </w:p>
    <w:p>
      <w:pPr>
        <w:tabs>
          <w:tab w:val="right" w:leader="dot" w:pos="9062"/>
        </w:tabs>
        <w:ind w:left="1100"/>
      </w:pPr>
      <w:hyperlink w:anchor="_Toc1144" w:history="1">
        <w:r>
          <w:rPr>
            <w:rFonts w:ascii="IRNazanin" w:hAnsi="IRNazanin" w:eastAsia="IRNazanin" w:cs="IRNazanin"/>
            <w:color w:val="111111"/>
            <w:sz w:val="22"/>
            <w:szCs w:val="22"/>
            <w:b w:val="0"/>
            <w:bCs w:val="0"/>
            <w:i w:val="0"/>
            <w:iCs w:val="0"/>
          </w:rPr>
          <w:t>أمّا القولیّ</w:t>
        </w:r>
        <w:r>
          <w:tab/>
        </w:r>
        <w:r>
          <w:fldChar w:fldCharType="begin"/>
        </w:r>
        <w:r>
          <w:instrText xml:space="preserve">PAGEREF 1144 \h</w:instrText>
        </w:r>
        <w:r>
          <w:fldChar w:fldCharType="end"/>
        </w:r>
      </w:hyperlink>
    </w:p>
    <w:p>
      <w:pPr>
        <w:tabs>
          <w:tab w:val="right" w:leader="dot" w:pos="9062"/>
        </w:tabs>
        <w:ind w:left="1100"/>
      </w:pPr>
      <w:hyperlink w:anchor="_Toc1145" w:history="1">
        <w:r>
          <w:rPr>
            <w:rFonts w:ascii="IRNazanin" w:hAnsi="IRNazanin" w:eastAsia="IRNazanin" w:cs="IRNazanin"/>
            <w:color w:val="111111"/>
            <w:sz w:val="22"/>
            <w:szCs w:val="22"/>
            <w:b w:val="0"/>
            <w:bCs w:val="0"/>
            <w:i w:val="0"/>
            <w:iCs w:val="0"/>
          </w:rPr>
          <w:t>و أمّا العملیّ</w:t>
        </w:r>
        <w:r>
          <w:tab/>
        </w:r>
        <w:r>
          <w:fldChar w:fldCharType="begin"/>
        </w:r>
        <w:r>
          <w:instrText xml:space="preserve">PAGEREF 1145 \h</w:instrText>
        </w:r>
        <w:r>
          <w:fldChar w:fldCharType="end"/>
        </w:r>
      </w:hyperlink>
    </w:p>
    <w:p>
      <w:pPr>
        <w:tabs>
          <w:tab w:val="right" w:leader="dot" w:pos="9062"/>
        </w:tabs>
        <w:ind w:left="1100"/>
      </w:pPr>
      <w:hyperlink w:anchor="_Toc1146" w:history="1">
        <w:r>
          <w:rPr>
            <w:rFonts w:ascii="IRNazanin" w:hAnsi="IRNazanin" w:eastAsia="IRNazanin" w:cs="IRNazanin"/>
            <w:color w:val="111111"/>
            <w:sz w:val="22"/>
            <w:szCs w:val="22"/>
            <w:b w:val="0"/>
            <w:bCs w:val="0"/>
            <w:i w:val="0"/>
            <w:iCs w:val="0"/>
          </w:rPr>
          <w:t>الرابع:العقل المستقلّ</w:t>
        </w:r>
        <w:r>
          <w:tab/>
        </w:r>
        <w:r>
          <w:fldChar w:fldCharType="begin"/>
        </w:r>
        <w:r>
          <w:instrText xml:space="preserve">PAGEREF 1146 \h</w:instrText>
        </w:r>
        <w:r>
          <w:fldChar w:fldCharType="end"/>
        </w:r>
      </w:hyperlink>
    </w:p>
    <w:p>
      <w:pPr>
        <w:tabs>
          <w:tab w:val="right" w:leader="dot" w:pos="9062"/>
        </w:tabs>
        <w:ind w:left="1100"/>
      </w:pPr>
      <w:hyperlink w:anchor="_Toc1147" w:history="1">
        <w:r>
          <w:rPr>
            <w:rFonts w:ascii="IRNazanin" w:hAnsi="IRNazanin" w:eastAsia="IRNazanin" w:cs="IRNazanin"/>
            <w:color w:val="111111"/>
            <w:sz w:val="22"/>
            <w:szCs w:val="22"/>
            <w:b w:val="0"/>
            <w:bCs w:val="0"/>
            <w:i w:val="0"/>
            <w:iCs w:val="0"/>
          </w:rPr>
          <w:t>و ینبغی التنبیه علی أمور:</w:t>
        </w:r>
        <w:r>
          <w:tab/>
        </w:r>
        <w:r>
          <w:fldChar w:fldCharType="begin"/>
        </w:r>
        <w:r>
          <w:instrText xml:space="preserve">PAGEREF 1147 \h</w:instrText>
        </w:r>
        <w:r>
          <w:fldChar w:fldCharType="end"/>
        </w:r>
      </w:hyperlink>
    </w:p>
    <w:p>
      <w:pPr>
        <w:tabs>
          <w:tab w:val="right" w:leader="dot" w:pos="9062"/>
        </w:tabs>
        <w:ind w:left="1100"/>
      </w:pPr>
      <w:hyperlink w:anchor="_Toc1148" w:history="1">
        <w:r>
          <w:rPr>
            <w:rFonts w:ascii="IRNazanin" w:hAnsi="IRNazanin" w:eastAsia="IRNazanin" w:cs="IRNazanin"/>
            <w:color w:val="111111"/>
            <w:sz w:val="22"/>
            <w:szCs w:val="22"/>
            <w:b w:val="0"/>
            <w:bCs w:val="0"/>
            <w:i w:val="0"/>
            <w:iCs w:val="0"/>
          </w:rPr>
          <w:t>[الأمر ] الأوّل [:هل یحمل فعل المسلم علی الصحّة الواقعیّة أو الصحّة عند الفاعل؟]</w:t>
        </w:r>
        <w:r>
          <w:tab/>
        </w:r>
        <w:r>
          <w:fldChar w:fldCharType="begin"/>
        </w:r>
        <w:r>
          <w:instrText xml:space="preserve">PAGEREF 1148 \h</w:instrText>
        </w:r>
        <w:r>
          <w:fldChar w:fldCharType="end"/>
        </w:r>
      </w:hyperlink>
    </w:p>
    <w:p>
      <w:pPr>
        <w:tabs>
          <w:tab w:val="right" w:leader="dot" w:pos="9062"/>
        </w:tabs>
        <w:ind w:left="1100"/>
      </w:pPr>
      <w:hyperlink w:anchor="_Toc1149" w:history="1">
        <w:r>
          <w:rPr>
            <w:rFonts w:ascii="IRNazanin" w:hAnsi="IRNazanin" w:eastAsia="IRNazanin" w:cs="IRNazanin"/>
            <w:color w:val="111111"/>
            <w:sz w:val="22"/>
            <w:szCs w:val="22"/>
            <w:b w:val="0"/>
            <w:bCs w:val="0"/>
            <w:i w:val="0"/>
            <w:iCs w:val="0"/>
          </w:rPr>
          <w:t>ظاهر المشهور الحمل علی الصحّة الواقعیّة</w:t>
        </w:r>
        <w:r>
          <w:tab/>
        </w:r>
        <w:r>
          <w:fldChar w:fldCharType="begin"/>
        </w:r>
        <w:r>
          <w:instrText xml:space="preserve">PAGEREF 1149 \h</w:instrText>
        </w:r>
        <w:r>
          <w:fldChar w:fldCharType="end"/>
        </w:r>
      </w:hyperlink>
    </w:p>
    <w:p>
      <w:pPr>
        <w:tabs>
          <w:tab w:val="right" w:leader="dot" w:pos="9062"/>
        </w:tabs>
        <w:ind w:left="1100"/>
      </w:pPr>
      <w:hyperlink w:anchor="_Toc1150" w:history="1">
        <w:r>
          <w:rPr>
            <w:rFonts w:ascii="IRNazanin" w:hAnsi="IRNazanin" w:eastAsia="IRNazanin" w:cs="IRNazanin"/>
            <w:color w:val="111111"/>
            <w:sz w:val="22"/>
            <w:szCs w:val="22"/>
            <w:b w:val="0"/>
            <w:bCs w:val="0"/>
            <w:i w:val="0"/>
            <w:iCs w:val="0"/>
          </w:rPr>
          <w:t>[ظاهر بعض المتأخّرین الحمل علی الصحّة باعتقاد الفاعل:]</w:t>
        </w:r>
        <w:r>
          <w:tab/>
        </w:r>
        <w:r>
          <w:fldChar w:fldCharType="begin"/>
        </w:r>
        <w:r>
          <w:instrText xml:space="preserve">PAGEREF 1150 \h</w:instrText>
        </w:r>
        <w:r>
          <w:fldChar w:fldCharType="end"/>
        </w:r>
      </w:hyperlink>
    </w:p>
    <w:p>
      <w:pPr>
        <w:tabs>
          <w:tab w:val="right" w:leader="dot" w:pos="9062"/>
        </w:tabs>
        <w:ind w:left="1100"/>
      </w:pPr>
      <w:hyperlink w:anchor="_Toc1151" w:history="1">
        <w:r>
          <w:rPr>
            <w:rFonts w:ascii="IRNazanin" w:hAnsi="IRNazanin" w:eastAsia="IRNazanin" w:cs="IRNazanin"/>
            <w:color w:val="111111"/>
            <w:sz w:val="22"/>
            <w:szCs w:val="22"/>
            <w:b w:val="0"/>
            <w:bCs w:val="0"/>
            <w:i w:val="0"/>
            <w:iCs w:val="0"/>
          </w:rPr>
          <w:t>و المسألة محلّ إشکال:</w:t>
        </w:r>
        <w:r>
          <w:tab/>
        </w:r>
        <w:r>
          <w:fldChar w:fldCharType="begin"/>
        </w:r>
        <w:r>
          <w:instrText xml:space="preserve">PAGEREF 1151 \h</w:instrText>
        </w:r>
        <w:r>
          <w:fldChar w:fldCharType="end"/>
        </w:r>
      </w:hyperlink>
    </w:p>
    <w:p>
      <w:pPr>
        <w:tabs>
          <w:tab w:val="right" w:leader="dot" w:pos="9062"/>
        </w:tabs>
        <w:ind w:left="1100"/>
      </w:pPr>
      <w:hyperlink w:anchor="_Toc1152" w:history="1">
        <w:r>
          <w:rPr>
            <w:rFonts w:ascii="IRNazanin" w:hAnsi="IRNazanin" w:eastAsia="IRNazanin" w:cs="IRNazanin"/>
            <w:color w:val="111111"/>
            <w:sz w:val="22"/>
            <w:szCs w:val="22"/>
            <w:b w:val="0"/>
            <w:bCs w:val="0"/>
            <w:i w:val="0"/>
            <w:iCs w:val="0"/>
          </w:rPr>
          <w:t>[صور المسألة:]</w:t>
        </w:r>
        <w:r>
          <w:tab/>
        </w:r>
        <w:r>
          <w:fldChar w:fldCharType="begin"/>
        </w:r>
        <w:r>
          <w:instrText xml:space="preserve">PAGEREF 1152 \h</w:instrText>
        </w:r>
        <w:r>
          <w:fldChar w:fldCharType="end"/>
        </w:r>
      </w:hyperlink>
    </w:p>
    <w:p>
      <w:pPr>
        <w:tabs>
          <w:tab w:val="right" w:leader="dot" w:pos="9062"/>
        </w:tabs>
        <w:ind w:left="1100"/>
      </w:pPr>
      <w:hyperlink w:anchor="_Toc1153" w:history="1">
        <w:r>
          <w:rPr>
            <w:rFonts w:ascii="IRNazanin" w:hAnsi="IRNazanin" w:eastAsia="IRNazanin" w:cs="IRNazanin"/>
            <w:color w:val="111111"/>
            <w:sz w:val="22"/>
            <w:szCs w:val="22"/>
            <w:b w:val="0"/>
            <w:bCs w:val="0"/>
            <w:i w:val="0"/>
            <w:iCs w:val="0"/>
          </w:rPr>
          <w:t>[1-أن یعلم کون الفاعل عالما بالصحّة و الفساد:]</w:t>
        </w:r>
        <w:r>
          <w:tab/>
        </w:r>
        <w:r>
          <w:fldChar w:fldCharType="begin"/>
        </w:r>
        <w:r>
          <w:instrText xml:space="preserve">PAGEREF 1153 \h</w:instrText>
        </w:r>
        <w:r>
          <w:fldChar w:fldCharType="end"/>
        </w:r>
      </w:hyperlink>
    </w:p>
    <w:p>
      <w:pPr>
        <w:tabs>
          <w:tab w:val="right" w:leader="dot" w:pos="9062"/>
        </w:tabs>
        <w:ind w:left="1100"/>
      </w:pPr>
      <w:hyperlink w:anchor="_Toc1154" w:history="1">
        <w:r>
          <w:rPr>
            <w:rFonts w:ascii="IRNazanin" w:hAnsi="IRNazanin" w:eastAsia="IRNazanin" w:cs="IRNazanin"/>
            <w:color w:val="111111"/>
            <w:sz w:val="22"/>
            <w:szCs w:val="22"/>
            <w:b w:val="0"/>
            <w:bCs w:val="0"/>
            <w:i w:val="0"/>
            <w:iCs w:val="0"/>
          </w:rPr>
          <w:t>[2-أن یعلم کونه جاهلا:]</w:t>
        </w:r>
        <w:r>
          <w:tab/>
        </w:r>
        <w:r>
          <w:fldChar w:fldCharType="begin"/>
        </w:r>
        <w:r>
          <w:instrText xml:space="preserve">PAGEREF 1154 \h</w:instrText>
        </w:r>
        <w:r>
          <w:fldChar w:fldCharType="end"/>
        </w:r>
      </w:hyperlink>
    </w:p>
    <w:p>
      <w:pPr>
        <w:tabs>
          <w:tab w:val="right" w:leader="dot" w:pos="9062"/>
        </w:tabs>
        <w:ind w:left="1100"/>
      </w:pPr>
      <w:hyperlink w:anchor="_Toc1155" w:history="1">
        <w:r>
          <w:rPr>
            <w:rFonts w:ascii="IRNazanin" w:hAnsi="IRNazanin" w:eastAsia="IRNazanin" w:cs="IRNazanin"/>
            <w:color w:val="111111"/>
            <w:sz w:val="22"/>
            <w:szCs w:val="22"/>
            <w:b w:val="0"/>
            <w:bCs w:val="0"/>
            <w:i w:val="0"/>
            <w:iCs w:val="0"/>
          </w:rPr>
          <w:t>[الأمر ] الثانی [هل یعتبر فی جریان أصالة الصحّة فی العقود استکمال أرکان العقد؟]</w:t>
        </w:r>
        <w:r>
          <w:tab/>
        </w:r>
        <w:r>
          <w:fldChar w:fldCharType="begin"/>
        </w:r>
        <w:r>
          <w:instrText xml:space="preserve">PAGEREF 1155 \h</w:instrText>
        </w:r>
        <w:r>
          <w:fldChar w:fldCharType="end"/>
        </w:r>
      </w:hyperlink>
    </w:p>
    <w:p>
      <w:pPr>
        <w:tabs>
          <w:tab w:val="right" w:leader="dot" w:pos="9062"/>
        </w:tabs>
        <w:ind w:left="1100"/>
      </w:pPr>
      <w:hyperlink w:anchor="_Toc1156" w:history="1">
        <w:r>
          <w:rPr>
            <w:rFonts w:ascii="IRNazanin" w:hAnsi="IRNazanin" w:eastAsia="IRNazanin" w:cs="IRNazanin"/>
            <w:color w:val="111111"/>
            <w:sz w:val="22"/>
            <w:szCs w:val="22"/>
            <w:b w:val="0"/>
            <w:bCs w:val="0"/>
            <w:i w:val="0"/>
            <w:iCs w:val="0"/>
          </w:rPr>
          <w:t>[کلام المحقق الثانی فی باب الضمان:]</w:t>
        </w:r>
        <w:r>
          <w:tab/>
        </w:r>
        <w:r>
          <w:fldChar w:fldCharType="begin"/>
        </w:r>
        <w:r>
          <w:instrText xml:space="preserve">PAGEREF 1156 \h</w:instrText>
        </w:r>
        <w:r>
          <w:fldChar w:fldCharType="end"/>
        </w:r>
      </w:hyperlink>
    </w:p>
    <w:p>
      <w:pPr>
        <w:tabs>
          <w:tab w:val="right" w:leader="dot" w:pos="9062"/>
        </w:tabs>
        <w:ind w:left="1100"/>
      </w:pPr>
      <w:hyperlink w:anchor="_Toc1157" w:history="1">
        <w:r>
          <w:rPr>
            <w:rFonts w:ascii="IRNazanin" w:hAnsi="IRNazanin" w:eastAsia="IRNazanin" w:cs="IRNazanin"/>
            <w:color w:val="111111"/>
            <w:sz w:val="22"/>
            <w:szCs w:val="22"/>
            <w:b w:val="0"/>
            <w:bCs w:val="0"/>
            <w:i w:val="0"/>
            <w:iCs w:val="0"/>
          </w:rPr>
          <w:t>[کلامه فی باب الاجارة:]</w:t>
        </w:r>
        <w:r>
          <w:tab/>
        </w:r>
        <w:r>
          <w:fldChar w:fldCharType="begin"/>
        </w:r>
        <w:r>
          <w:instrText xml:space="preserve">PAGEREF 1157 \h</w:instrText>
        </w:r>
        <w:r>
          <w:fldChar w:fldCharType="end"/>
        </w:r>
      </w:hyperlink>
    </w:p>
    <w:p>
      <w:pPr>
        <w:tabs>
          <w:tab w:val="right" w:leader="dot" w:pos="9062"/>
        </w:tabs>
        <w:ind w:left="1100"/>
      </w:pPr>
      <w:hyperlink w:anchor="_Toc1158" w:history="1">
        <w:r>
          <w:rPr>
            <w:rFonts w:ascii="IRNazanin" w:hAnsi="IRNazanin" w:eastAsia="IRNazanin" w:cs="IRNazanin"/>
            <w:color w:val="111111"/>
            <w:sz w:val="22"/>
            <w:szCs w:val="22"/>
            <w:b w:val="0"/>
            <w:bCs w:val="0"/>
            <w:i w:val="0"/>
            <w:iCs w:val="0"/>
          </w:rPr>
          <w:t>[کلام العلاّمة رحمه اللّه فی القواعد:]</w:t>
        </w:r>
        <w:r>
          <w:tab/>
        </w:r>
        <w:r>
          <w:fldChar w:fldCharType="begin"/>
        </w:r>
        <w:r>
          <w:instrText xml:space="preserve">PAGEREF 1158 \h</w:instrText>
        </w:r>
        <w:r>
          <w:fldChar w:fldCharType="end"/>
        </w:r>
      </w:hyperlink>
    </w:p>
    <w:p>
      <w:pPr>
        <w:tabs>
          <w:tab w:val="right" w:leader="dot" w:pos="9062"/>
        </w:tabs>
        <w:ind w:left="1100"/>
      </w:pPr>
      <w:hyperlink w:anchor="_Toc1159" w:history="1">
        <w:r>
          <w:rPr>
            <w:rFonts w:ascii="IRNazanin" w:hAnsi="IRNazanin" w:eastAsia="IRNazanin" w:cs="IRNazanin"/>
            <w:color w:val="111111"/>
            <w:sz w:val="22"/>
            <w:szCs w:val="22"/>
            <w:b w:val="0"/>
            <w:bCs w:val="0"/>
            <w:i w:val="0"/>
            <w:iCs w:val="0"/>
          </w:rPr>
          <w:t>[کلامه فی التذکرة:]</w:t>
        </w:r>
        <w:r>
          <w:tab/>
        </w:r>
        <w:r>
          <w:fldChar w:fldCharType="begin"/>
        </w:r>
        <w:r>
          <w:instrText xml:space="preserve">PAGEREF 1159 \h</w:instrText>
        </w:r>
        <w:r>
          <w:fldChar w:fldCharType="end"/>
        </w:r>
      </w:hyperlink>
    </w:p>
    <w:p>
      <w:pPr>
        <w:tabs>
          <w:tab w:val="right" w:leader="dot" w:pos="9062"/>
        </w:tabs>
        <w:ind w:left="1100"/>
      </w:pPr>
      <w:hyperlink w:anchor="_Toc1160" w:history="1">
        <w:r>
          <w:rPr>
            <w:rFonts w:ascii="IRNazanin" w:hAnsi="IRNazanin" w:eastAsia="IRNazanin" w:cs="IRNazanin"/>
            <w:color w:val="111111"/>
            <w:sz w:val="22"/>
            <w:szCs w:val="22"/>
            <w:b w:val="0"/>
            <w:bCs w:val="0"/>
            <w:i w:val="0"/>
            <w:iCs w:val="0"/>
          </w:rPr>
          <w:t>[الأقوی التعمیم و عدم اعتبار استکمال الأرکان:]</w:t>
        </w:r>
        <w:r>
          <w:tab/>
        </w:r>
        <w:r>
          <w:fldChar w:fldCharType="begin"/>
        </w:r>
        <w:r>
          <w:instrText xml:space="preserve">PAGEREF 1160 \h</w:instrText>
        </w:r>
        <w:r>
          <w:fldChar w:fldCharType="end"/>
        </w:r>
      </w:hyperlink>
    </w:p>
    <w:p>
      <w:pPr>
        <w:tabs>
          <w:tab w:val="right" w:leader="dot" w:pos="9062"/>
        </w:tabs>
        <w:ind w:left="1100"/>
      </w:pPr>
      <w:hyperlink w:anchor="_Toc1161" w:history="1">
        <w:r>
          <w:rPr>
            <w:rFonts w:ascii="IRNazanin" w:hAnsi="IRNazanin" w:eastAsia="IRNazanin" w:cs="IRNazanin"/>
            <w:color w:val="111111"/>
            <w:sz w:val="22"/>
            <w:szCs w:val="22"/>
            <w:b w:val="0"/>
            <w:bCs w:val="0"/>
            <w:i w:val="0"/>
            <w:iCs w:val="0"/>
          </w:rPr>
          <w:t>[المناقشة فیما ذکره المحقق الثانی:]</w:t>
        </w:r>
        <w:r>
          <w:tab/>
        </w:r>
        <w:r>
          <w:fldChar w:fldCharType="begin"/>
        </w:r>
        <w:r>
          <w:instrText xml:space="preserve">PAGEREF 1161 \h</w:instrText>
        </w:r>
        <w:r>
          <w:fldChar w:fldCharType="end"/>
        </w:r>
      </w:hyperlink>
    </w:p>
    <w:p>
      <w:pPr>
        <w:tabs>
          <w:tab w:val="right" w:leader="dot" w:pos="9062"/>
        </w:tabs>
        <w:ind w:left="1100"/>
      </w:pPr>
      <w:hyperlink w:anchor="_Toc1162" w:history="1">
        <w:r>
          <w:rPr>
            <w:rFonts w:ascii="IRNazanin" w:hAnsi="IRNazanin" w:eastAsia="IRNazanin" w:cs="IRNazanin"/>
            <w:color w:val="111111"/>
            <w:sz w:val="22"/>
            <w:szCs w:val="22"/>
            <w:b w:val="0"/>
            <w:bCs w:val="0"/>
            <w:i w:val="0"/>
            <w:iCs w:val="0"/>
          </w:rPr>
          <w:t>الثالث [صحّة کلّ شیء بحسبه و باعتبار آثار نفسه]</w:t>
        </w:r>
        <w:r>
          <w:tab/>
        </w:r>
        <w:r>
          <w:fldChar w:fldCharType="begin"/>
        </w:r>
        <w:r>
          <w:instrText xml:space="preserve">PAGEREF 1162 \h</w:instrText>
        </w:r>
        <w:r>
          <w:fldChar w:fldCharType="end"/>
        </w:r>
      </w:hyperlink>
    </w:p>
    <w:p>
      <w:pPr>
        <w:tabs>
          <w:tab w:val="right" w:leader="dot" w:pos="9062"/>
        </w:tabs>
        <w:ind w:left="1100"/>
      </w:pPr>
      <w:hyperlink w:anchor="_Toc1163" w:history="1">
        <w:r>
          <w:rPr>
            <w:rFonts w:ascii="IRNazanin" w:hAnsi="IRNazanin" w:eastAsia="IRNazanin" w:cs="IRNazanin"/>
            <w:color w:val="111111"/>
            <w:sz w:val="22"/>
            <w:szCs w:val="22"/>
            <w:b w:val="0"/>
            <w:bCs w:val="0"/>
            <w:i w:val="0"/>
            <w:iCs w:val="0"/>
          </w:rPr>
          <w:t>و ممّا یتفرّع علی ذلک أیضا:</w:t>
        </w:r>
        <w:r>
          <w:tab/>
        </w:r>
        <w:r>
          <w:fldChar w:fldCharType="begin"/>
        </w:r>
        <w:r>
          <w:instrText xml:space="preserve">PAGEREF 1163 \h</w:instrText>
        </w:r>
        <w:r>
          <w:fldChar w:fldCharType="end"/>
        </w:r>
      </w:hyperlink>
    </w:p>
    <w:p>
      <w:pPr>
        <w:tabs>
          <w:tab w:val="right" w:leader="dot" w:pos="9062"/>
        </w:tabs>
        <w:ind w:left="1100"/>
      </w:pPr>
      <w:hyperlink w:anchor="_Toc1164" w:history="1">
        <w:r>
          <w:rPr>
            <w:rFonts w:ascii="IRNazanin" w:hAnsi="IRNazanin" w:eastAsia="IRNazanin" w:cs="IRNazanin"/>
            <w:color w:val="111111"/>
            <w:sz w:val="22"/>
            <w:szCs w:val="22"/>
            <w:b w:val="0"/>
            <w:bCs w:val="0"/>
            <w:i w:val="0"/>
            <w:iCs w:val="0"/>
          </w:rPr>
          <w:t>الرابع [اعتبار إحراز أصل العمل فی أصالة الصحّة]</w:t>
        </w:r>
        <w:r>
          <w:tab/>
        </w:r>
        <w:r>
          <w:fldChar w:fldCharType="begin"/>
        </w:r>
        <w:r>
          <w:instrText xml:space="preserve">PAGEREF 1164 \h</w:instrText>
        </w:r>
        <w:r>
          <w:fldChar w:fldCharType="end"/>
        </w:r>
      </w:hyperlink>
    </w:p>
    <w:p>
      <w:pPr>
        <w:tabs>
          <w:tab w:val="right" w:leader="dot" w:pos="9062"/>
        </w:tabs>
        <w:ind w:left="1100"/>
      </w:pPr>
      <w:hyperlink w:anchor="_Toc1165" w:history="1">
        <w:r>
          <w:rPr>
            <w:rFonts w:ascii="IRNazanin" w:hAnsi="IRNazanin" w:eastAsia="IRNazanin" w:cs="IRNazanin"/>
            <w:color w:val="111111"/>
            <w:sz w:val="22"/>
            <w:szCs w:val="22"/>
            <w:b w:val="0"/>
            <w:bCs w:val="0"/>
            <w:i w:val="0"/>
            <w:iCs w:val="0"/>
          </w:rPr>
          <w:t>[الإشکال فی الفرق بین صلاة الغیر علی المیّت و بین الصلاة عن المیت تبرّعا أو بالإجارة:]</w:t>
        </w:r>
        <w:r>
          <w:tab/>
        </w:r>
        <w:r>
          <w:fldChar w:fldCharType="begin"/>
        </w:r>
        <w:r>
          <w:instrText xml:space="preserve">PAGEREF 1165 \h</w:instrText>
        </w:r>
        <w:r>
          <w:fldChar w:fldCharType="end"/>
        </w:r>
      </w:hyperlink>
    </w:p>
    <w:p>
      <w:pPr>
        <w:tabs>
          <w:tab w:val="right" w:leader="dot" w:pos="9062"/>
        </w:tabs>
        <w:ind w:left="1100"/>
      </w:pPr>
      <w:hyperlink w:anchor="_Toc1166" w:history="1">
        <w:r>
          <w:rPr>
            <w:rFonts w:ascii="IRNazanin" w:hAnsi="IRNazanin" w:eastAsia="IRNazanin" w:cs="IRNazanin"/>
            <w:color w:val="111111"/>
            <w:sz w:val="22"/>
            <w:szCs w:val="22"/>
            <w:b w:val="0"/>
            <w:bCs w:val="0"/>
            <w:i w:val="0"/>
            <w:iCs w:val="0"/>
          </w:rPr>
          <w:t>[توجیه الفرق:]</w:t>
        </w:r>
        <w:r>
          <w:tab/>
        </w:r>
        <w:r>
          <w:fldChar w:fldCharType="begin"/>
        </w:r>
        <w:r>
          <w:instrText xml:space="preserve">PAGEREF 1166 \h</w:instrText>
        </w:r>
        <w:r>
          <w:fldChar w:fldCharType="end"/>
        </w:r>
      </w:hyperlink>
    </w:p>
    <w:p>
      <w:pPr>
        <w:tabs>
          <w:tab w:val="right" w:leader="dot" w:pos="9062"/>
        </w:tabs>
        <w:ind w:left="1100"/>
      </w:pPr>
      <w:hyperlink w:anchor="_Toc1167" w:history="1">
        <w:r>
          <w:rPr>
            <w:rFonts w:ascii="IRNazanin" w:hAnsi="IRNazanin" w:eastAsia="IRNazanin" w:cs="IRNazanin"/>
            <w:color w:val="111111"/>
            <w:sz w:val="22"/>
            <w:szCs w:val="22"/>
            <w:b w:val="0"/>
            <w:bCs w:val="0"/>
            <w:i w:val="0"/>
            <w:iCs w:val="0"/>
          </w:rPr>
          <w:t>الخامس [عدم جواز الأخذ باللوازم فی أصالة الصحّة]</w:t>
        </w:r>
        <w:r>
          <w:tab/>
        </w:r>
        <w:r>
          <w:fldChar w:fldCharType="begin"/>
        </w:r>
        <w:r>
          <w:instrText xml:space="preserve">PAGEREF 1167 \h</w:instrText>
        </w:r>
        <w:r>
          <w:fldChar w:fldCharType="end"/>
        </w:r>
      </w:hyperlink>
    </w:p>
    <w:p>
      <w:pPr>
        <w:tabs>
          <w:tab w:val="right" w:leader="dot" w:pos="9062"/>
        </w:tabs>
        <w:ind w:left="1100"/>
      </w:pPr>
      <w:hyperlink w:anchor="_Toc1168" w:history="1">
        <w:r>
          <w:rPr>
            <w:rFonts w:ascii="IRNazanin" w:hAnsi="IRNazanin" w:eastAsia="IRNazanin" w:cs="IRNazanin"/>
            <w:color w:val="111111"/>
            <w:sz w:val="22"/>
            <w:szCs w:val="22"/>
            <w:b w:val="0"/>
            <w:bCs w:val="0"/>
            <w:i w:val="0"/>
            <w:iCs w:val="0"/>
          </w:rPr>
          <w:t>السادس [وجه تقدیم أصالة الصحّة علی استصحاب الفساد]</w:t>
        </w:r>
        <w:r>
          <w:tab/>
        </w:r>
        <w:r>
          <w:fldChar w:fldCharType="begin"/>
        </w:r>
        <w:r>
          <w:instrText xml:space="preserve">PAGEREF 1168 \h</w:instrText>
        </w:r>
        <w:r>
          <w:fldChar w:fldCharType="end"/>
        </w:r>
      </w:hyperlink>
    </w:p>
    <w:p>
      <w:pPr>
        <w:tabs>
          <w:tab w:val="right" w:leader="dot" w:pos="9062"/>
        </w:tabs>
        <w:ind w:left="1100"/>
      </w:pPr>
      <w:hyperlink w:anchor="_Toc1169" w:history="1">
        <w:r>
          <w:rPr>
            <w:rFonts w:ascii="IRNazanin" w:hAnsi="IRNazanin" w:eastAsia="IRNazanin" w:cs="IRNazanin"/>
            <w:color w:val="111111"/>
            <w:sz w:val="22"/>
            <w:szCs w:val="22"/>
            <w:b w:val="0"/>
            <w:bCs w:val="0"/>
            <w:i w:val="0"/>
            <w:iCs w:val="0"/>
          </w:rPr>
          <w:t>[اضطراب کلمات الأصحاب فی تقدیم أصالة الصحّة علی الاستصحابات الموضوعیّة:]</w:t>
        </w:r>
        <w:r>
          <w:tab/>
        </w:r>
        <w:r>
          <w:fldChar w:fldCharType="begin"/>
        </w:r>
        <w:r>
          <w:instrText xml:space="preserve">PAGEREF 1169 \h</w:instrText>
        </w:r>
        <w:r>
          <w:fldChar w:fldCharType="end"/>
        </w:r>
      </w:hyperlink>
    </w:p>
    <w:p>
      <w:pPr>
        <w:tabs>
          <w:tab w:val="right" w:leader="dot" w:pos="9062"/>
        </w:tabs>
        <w:ind w:left="1100"/>
      </w:pPr>
      <w:hyperlink w:anchor="_Toc1170" w:history="1">
        <w:r>
          <w:rPr>
            <w:rFonts w:ascii="IRNazanin" w:hAnsi="IRNazanin" w:eastAsia="IRNazanin" w:cs="IRNazanin"/>
            <w:color w:val="111111"/>
            <w:sz w:val="22"/>
            <w:szCs w:val="22"/>
            <w:b w:val="0"/>
            <w:bCs w:val="0"/>
            <w:i w:val="0"/>
            <w:iCs w:val="0"/>
          </w:rPr>
          <w:t>[التحقیق فی المسألة:]</w:t>
        </w:r>
        <w:r>
          <w:tab/>
        </w:r>
        <w:r>
          <w:fldChar w:fldCharType="begin"/>
        </w:r>
        <w:r>
          <w:instrText xml:space="preserve">PAGEREF 1170 \h</w:instrText>
        </w:r>
        <w:r>
          <w:fldChar w:fldCharType="end"/>
        </w:r>
      </w:hyperlink>
    </w:p>
    <w:p>
      <w:pPr>
        <w:tabs>
          <w:tab w:val="right" w:leader="dot" w:pos="9062"/>
        </w:tabs>
        <w:ind w:left="1100"/>
      </w:pPr>
      <w:hyperlink w:anchor="_Toc1171" w:history="1">
        <w:r>
          <w:rPr>
            <w:rFonts w:ascii="IRNazanin" w:hAnsi="IRNazanin" w:eastAsia="IRNazanin" w:cs="IRNazanin"/>
            <w:color w:val="111111"/>
            <w:sz w:val="22"/>
            <w:szCs w:val="22"/>
            <w:b w:val="0"/>
            <w:bCs w:val="0"/>
            <w:i w:val="0"/>
            <w:iCs w:val="0"/>
          </w:rPr>
          <w:t>بقی الکلام فی أصالة الصحّة فی الأقوال و الاعتقادات</w:t>
        </w:r>
        <w:r>
          <w:tab/>
        </w:r>
        <w:r>
          <w:fldChar w:fldCharType="begin"/>
        </w:r>
        <w:r>
          <w:instrText xml:space="preserve">PAGEREF 1171 \h</w:instrText>
        </w:r>
        <w:r>
          <w:fldChar w:fldCharType="end"/>
        </w:r>
      </w:hyperlink>
    </w:p>
    <w:p>
      <w:pPr>
        <w:tabs>
          <w:tab w:val="right" w:leader="dot" w:pos="9062"/>
        </w:tabs>
        <w:ind w:left="1100"/>
      </w:pPr>
      <w:hyperlink w:anchor="_Toc1172" w:history="1">
        <w:r>
          <w:rPr>
            <w:rFonts w:ascii="IRNazanin" w:hAnsi="IRNazanin" w:eastAsia="IRNazanin" w:cs="IRNazanin"/>
            <w:color w:val="111111"/>
            <w:sz w:val="22"/>
            <w:szCs w:val="22"/>
            <w:b w:val="0"/>
            <w:bCs w:val="0"/>
            <w:i w:val="0"/>
            <w:iCs w:val="0"/>
          </w:rPr>
          <w:t>[أصالة الصحّة فی الأقوال:]</w:t>
        </w:r>
        <w:r>
          <w:tab/>
        </w:r>
        <w:r>
          <w:fldChar w:fldCharType="begin"/>
        </w:r>
        <w:r>
          <w:instrText xml:space="preserve">PAGEREF 1172 \h</w:instrText>
        </w:r>
        <w:r>
          <w:fldChar w:fldCharType="end"/>
        </w:r>
      </w:hyperlink>
    </w:p>
    <w:p>
      <w:pPr>
        <w:tabs>
          <w:tab w:val="right" w:leader="dot" w:pos="9062"/>
        </w:tabs>
        <w:ind w:left="1100"/>
      </w:pPr>
      <w:hyperlink w:anchor="_Toc1173" w:history="1">
        <w:r>
          <w:rPr>
            <w:rFonts w:ascii="IRNazanin" w:hAnsi="IRNazanin" w:eastAsia="IRNazanin" w:cs="IRNazanin"/>
            <w:color w:val="111111"/>
            <w:sz w:val="22"/>
            <w:szCs w:val="22"/>
            <w:b w:val="0"/>
            <w:bCs w:val="0"/>
            <w:i w:val="0"/>
            <w:iCs w:val="0"/>
          </w:rPr>
          <w:t>[أصالة الصحّة فی الاعتقادات:]</w:t>
        </w:r>
        <w:r>
          <w:tab/>
        </w:r>
        <w:r>
          <w:fldChar w:fldCharType="begin"/>
        </w:r>
        <w:r>
          <w:instrText xml:space="preserve">PAGEREF 1173 \h</w:instrText>
        </w:r>
        <w:r>
          <w:fldChar w:fldCharType="end"/>
        </w:r>
      </w:hyperlink>
    </w:p>
    <w:p>
      <w:pPr>
        <w:tabs>
          <w:tab w:val="right" w:leader="dot" w:pos="9062"/>
        </w:tabs>
        <w:ind w:left="1100"/>
      </w:pPr>
      <w:hyperlink w:anchor="_Toc1174" w:history="1">
        <w:r>
          <w:rPr>
            <w:rFonts w:ascii="IRNazanin" w:hAnsi="IRNazanin" w:eastAsia="IRNazanin" w:cs="IRNazanin"/>
            <w:color w:val="111111"/>
            <w:sz w:val="22"/>
            <w:szCs w:val="22"/>
            <w:b w:val="0"/>
            <w:bCs w:val="0"/>
            <w:i w:val="0"/>
            <w:iCs w:val="0"/>
          </w:rPr>
          <w:t>المقام الثانی فی بیان تعارض الاستصحاب مع القرعة</w:t>
        </w:r>
        <w:r>
          <w:tab/>
        </w:r>
        <w:r>
          <w:fldChar w:fldCharType="begin"/>
        </w:r>
        <w:r>
          <w:instrText xml:space="preserve">PAGEREF 1174 \h</w:instrText>
        </w:r>
        <w:r>
          <w:fldChar w:fldCharType="end"/>
        </w:r>
      </w:hyperlink>
    </w:p>
    <w:p>
      <w:pPr>
        <w:tabs>
          <w:tab w:val="right" w:leader="dot" w:pos="9062"/>
        </w:tabs>
        <w:ind w:left="1100"/>
      </w:pPr>
      <w:hyperlink w:anchor="_Toc1175" w:history="1">
        <w:r>
          <w:rPr>
            <w:rFonts w:ascii="IRNazanin" w:hAnsi="IRNazanin" w:eastAsia="IRNazanin" w:cs="IRNazanin"/>
            <w:color w:val="111111"/>
            <w:sz w:val="22"/>
            <w:szCs w:val="22"/>
            <w:b w:val="0"/>
            <w:bCs w:val="0"/>
            <w:i w:val="0"/>
            <w:iCs w:val="0"/>
          </w:rPr>
          <w:t>[تقدم الاستصحاب علی القرعة:]</w:t>
        </w:r>
        <w:r>
          <w:tab/>
        </w:r>
        <w:r>
          <w:fldChar w:fldCharType="begin"/>
        </w:r>
        <w:r>
          <w:instrText xml:space="preserve">PAGEREF 1175 \h</w:instrText>
        </w:r>
        <w:r>
          <w:fldChar w:fldCharType="end"/>
        </w:r>
      </w:hyperlink>
    </w:p>
    <w:p>
      <w:pPr>
        <w:tabs>
          <w:tab w:val="right" w:leader="dot" w:pos="9062"/>
        </w:tabs>
        <w:ind w:left="1100"/>
      </w:pPr>
      <w:hyperlink w:anchor="_Toc1176" w:history="1">
        <w:r>
          <w:rPr>
            <w:rFonts w:ascii="IRNazanin" w:hAnsi="IRNazanin" w:eastAsia="IRNazanin" w:cs="IRNazanin"/>
            <w:color w:val="111111"/>
            <w:sz w:val="22"/>
            <w:szCs w:val="22"/>
            <w:b w:val="0"/>
            <w:bCs w:val="0"/>
            <w:i w:val="0"/>
            <w:iCs w:val="0"/>
          </w:rPr>
          <w:t>[تعارض القرعة مع سائر الأصول:]</w:t>
        </w:r>
        <w:r>
          <w:tab/>
        </w:r>
        <w:r>
          <w:fldChar w:fldCharType="begin"/>
        </w:r>
        <w:r>
          <w:instrText xml:space="preserve">PAGEREF 1176 \h</w:instrText>
        </w:r>
        <w:r>
          <w:fldChar w:fldCharType="end"/>
        </w:r>
      </w:hyperlink>
    </w:p>
    <w:p>
      <w:pPr>
        <w:tabs>
          <w:tab w:val="right" w:leader="dot" w:pos="9062"/>
        </w:tabs>
        <w:ind w:left="1100"/>
      </w:pPr>
      <w:hyperlink w:anchor="_Toc1177" w:history="1">
        <w:r>
          <w:rPr>
            <w:rFonts w:ascii="IRNazanin" w:hAnsi="IRNazanin" w:eastAsia="IRNazanin" w:cs="IRNazanin"/>
            <w:color w:val="111111"/>
            <w:sz w:val="22"/>
            <w:szCs w:val="22"/>
            <w:b w:val="0"/>
            <w:bCs w:val="0"/>
            <w:i w:val="0"/>
            <w:iCs w:val="0"/>
          </w:rPr>
          <w:t>المقام الثالث فی تعارض الاستصحاب مع ما عداه من الاصول العملیّة</w:t>
        </w:r>
        <w:r>
          <w:tab/>
        </w:r>
        <w:r>
          <w:fldChar w:fldCharType="begin"/>
        </w:r>
        <w:r>
          <w:instrText xml:space="preserve">PAGEREF 1177 \h</w:instrText>
        </w:r>
        <w:r>
          <w:fldChar w:fldCharType="end"/>
        </w:r>
      </w:hyperlink>
    </w:p>
    <w:p>
      <w:pPr>
        <w:tabs>
          <w:tab w:val="right" w:leader="dot" w:pos="9062"/>
        </w:tabs>
        <w:ind w:left="1100"/>
      </w:pPr>
      <w:hyperlink w:anchor="_Toc117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1178 \h</w:instrText>
        </w:r>
        <w:r>
          <w:fldChar w:fldCharType="end"/>
        </w:r>
      </w:hyperlink>
    </w:p>
    <w:p>
      <w:pPr>
        <w:tabs>
          <w:tab w:val="right" w:leader="dot" w:pos="9062"/>
        </w:tabs>
        <w:ind w:left="1100"/>
      </w:pPr>
      <w:hyperlink w:anchor="_Toc1179" w:history="1">
        <w:r>
          <w:rPr>
            <w:rFonts w:ascii="IRNazanin" w:hAnsi="IRNazanin" w:eastAsia="IRNazanin" w:cs="IRNazanin"/>
            <w:color w:val="111111"/>
            <w:sz w:val="22"/>
            <w:szCs w:val="22"/>
            <w:b w:val="0"/>
            <w:bCs w:val="0"/>
            <w:i w:val="0"/>
            <w:iCs w:val="0"/>
          </w:rPr>
          <w:t>[الأوّل:تعارض البراءة مع الاستصحاب]</w:t>
        </w:r>
        <w:r>
          <w:tab/>
        </w:r>
        <w:r>
          <w:fldChar w:fldCharType="begin"/>
        </w:r>
        <w:r>
          <w:instrText xml:space="preserve">PAGEREF 1179 \h</w:instrText>
        </w:r>
        <w:r>
          <w:fldChar w:fldCharType="end"/>
        </w:r>
      </w:hyperlink>
    </w:p>
    <w:p>
      <w:pPr>
        <w:tabs>
          <w:tab w:val="right" w:leader="dot" w:pos="9062"/>
        </w:tabs>
        <w:ind w:left="1100"/>
      </w:pPr>
      <w:hyperlink w:anchor="_Toc1180" w:history="1">
        <w:r>
          <w:rPr>
            <w:rFonts w:ascii="IRNazanin" w:hAnsi="IRNazanin" w:eastAsia="IRNazanin" w:cs="IRNazanin"/>
            <w:color w:val="111111"/>
            <w:sz w:val="22"/>
            <w:szCs w:val="22"/>
            <w:b w:val="0"/>
            <w:bCs w:val="0"/>
            <w:i w:val="0"/>
            <w:iCs w:val="0"/>
          </w:rPr>
          <w:t>[تقدّم الاستصحاب و غیره من الأدلّة و الاصول علی أصالة البراءة:]</w:t>
        </w:r>
        <w:r>
          <w:tab/>
        </w:r>
        <w:r>
          <w:fldChar w:fldCharType="begin"/>
        </w:r>
        <w:r>
          <w:instrText xml:space="preserve">PAGEREF 1180 \h</w:instrText>
        </w:r>
        <w:r>
          <w:fldChar w:fldCharType="end"/>
        </w:r>
      </w:hyperlink>
    </w:p>
    <w:p>
      <w:pPr>
        <w:tabs>
          <w:tab w:val="right" w:leader="dot" w:pos="9062"/>
        </w:tabs>
        <w:ind w:left="1100"/>
      </w:pPr>
      <w:hyperlink w:anchor="_Toc1181" w:history="1">
        <w:r>
          <w:rPr>
            <w:rFonts w:ascii="IRNazanin" w:hAnsi="IRNazanin" w:eastAsia="IRNazanin" w:cs="IRNazanin"/>
            <w:color w:val="111111"/>
            <w:sz w:val="22"/>
            <w:szCs w:val="22"/>
            <w:b w:val="0"/>
            <w:bCs w:val="0"/>
            <w:i w:val="0"/>
            <w:iCs w:val="0"/>
          </w:rPr>
          <w:t>[حکومة دلیل الاستصحاب علی قوله علیه السّلام:«کلّ شیء مطلق حتی یرد فیه نهی»:]</w:t>
        </w:r>
        <w:r>
          <w:tab/>
        </w:r>
        <w:r>
          <w:fldChar w:fldCharType="begin"/>
        </w:r>
        <w:r>
          <w:instrText xml:space="preserve">PAGEREF 1181 \h</w:instrText>
        </w:r>
        <w:r>
          <w:fldChar w:fldCharType="end"/>
        </w:r>
      </w:hyperlink>
    </w:p>
    <w:p>
      <w:pPr>
        <w:tabs>
          <w:tab w:val="right" w:leader="dot" w:pos="9062"/>
        </w:tabs>
        <w:ind w:left="1100"/>
      </w:pPr>
      <w:hyperlink w:anchor="_Toc1182" w:history="1">
        <w:r>
          <w:rPr>
            <w:rFonts w:ascii="IRNazanin" w:hAnsi="IRNazanin" w:eastAsia="IRNazanin" w:cs="IRNazanin"/>
            <w:color w:val="111111"/>
            <w:sz w:val="22"/>
            <w:szCs w:val="22"/>
            <w:b w:val="0"/>
            <w:bCs w:val="0"/>
            <w:i w:val="0"/>
            <w:iCs w:val="0"/>
          </w:rPr>
          <w:t>[الإشکال فی بعض أخبار أصالة البراءة فی الشبهة الموضوعیّة:]</w:t>
        </w:r>
        <w:r>
          <w:tab/>
        </w:r>
        <w:r>
          <w:fldChar w:fldCharType="begin"/>
        </w:r>
        <w:r>
          <w:instrText xml:space="preserve">PAGEREF 1182 \h</w:instrText>
        </w:r>
        <w:r>
          <w:fldChar w:fldCharType="end"/>
        </w:r>
      </w:hyperlink>
    </w:p>
    <w:p>
      <w:pPr>
        <w:tabs>
          <w:tab w:val="right" w:leader="dot" w:pos="9062"/>
        </w:tabs>
        <w:ind w:left="1100"/>
      </w:pPr>
      <w:hyperlink w:anchor="_Toc1183" w:history="1">
        <w:r>
          <w:rPr>
            <w:rFonts w:ascii="IRNazanin" w:hAnsi="IRNazanin" w:eastAsia="IRNazanin" w:cs="IRNazanin"/>
            <w:color w:val="111111"/>
            <w:sz w:val="22"/>
            <w:szCs w:val="22"/>
            <w:b w:val="0"/>
            <w:bCs w:val="0"/>
            <w:i w:val="0"/>
            <w:iCs w:val="0"/>
          </w:rPr>
          <w:t>الثانی:تعارض قاعدة الاشتغال مع الاستصحاب</w:t>
        </w:r>
        <w:r>
          <w:tab/>
        </w:r>
        <w:r>
          <w:fldChar w:fldCharType="begin"/>
        </w:r>
        <w:r>
          <w:instrText xml:space="preserve">PAGEREF 1183 \h</w:instrText>
        </w:r>
        <w:r>
          <w:fldChar w:fldCharType="end"/>
        </w:r>
      </w:hyperlink>
    </w:p>
    <w:p>
      <w:pPr>
        <w:tabs>
          <w:tab w:val="right" w:leader="dot" w:pos="9062"/>
        </w:tabs>
        <w:ind w:left="1100"/>
      </w:pPr>
      <w:hyperlink w:anchor="_Toc1184" w:history="1">
        <w:r>
          <w:rPr>
            <w:rFonts w:ascii="IRNazanin" w:hAnsi="IRNazanin" w:eastAsia="IRNazanin" w:cs="IRNazanin"/>
            <w:color w:val="111111"/>
            <w:sz w:val="22"/>
            <w:szCs w:val="22"/>
            <w:b w:val="0"/>
            <w:bCs w:val="0"/>
            <w:i w:val="0"/>
            <w:iCs w:val="0"/>
          </w:rPr>
          <w:t>[ورود الاستصحاب علی قاعدة الاشتغال:]</w:t>
        </w:r>
        <w:r>
          <w:tab/>
        </w:r>
        <w:r>
          <w:fldChar w:fldCharType="begin"/>
        </w:r>
        <w:r>
          <w:instrText xml:space="preserve">PAGEREF 1184 \h</w:instrText>
        </w:r>
        <w:r>
          <w:fldChar w:fldCharType="end"/>
        </w:r>
      </w:hyperlink>
    </w:p>
    <w:p>
      <w:pPr>
        <w:tabs>
          <w:tab w:val="right" w:leader="dot" w:pos="9062"/>
        </w:tabs>
        <w:ind w:left="1100"/>
      </w:pPr>
      <w:hyperlink w:anchor="_Toc1185" w:history="1">
        <w:r>
          <w:rPr>
            <w:rFonts w:ascii="IRNazanin" w:hAnsi="IRNazanin" w:eastAsia="IRNazanin" w:cs="IRNazanin"/>
            <w:color w:val="111111"/>
            <w:sz w:val="22"/>
            <w:szCs w:val="22"/>
            <w:b w:val="0"/>
            <w:bCs w:val="0"/>
            <w:i w:val="0"/>
            <w:iCs w:val="0"/>
          </w:rPr>
          <w:t>الثالث:[تعارض قاعدة]</w:t>
        </w:r>
        <w:r>
          <w:tab/>
        </w:r>
        <w:r>
          <w:fldChar w:fldCharType="begin"/>
        </w:r>
        <w:r>
          <w:instrText xml:space="preserve">PAGEREF 1185 \h</w:instrText>
        </w:r>
        <w:r>
          <w:fldChar w:fldCharType="end"/>
        </w:r>
      </w:hyperlink>
    </w:p>
    <w:p>
      <w:pPr>
        <w:tabs>
          <w:tab w:val="right" w:leader="dot" w:pos="9062"/>
        </w:tabs>
        <w:ind w:left="1100"/>
      </w:pPr>
      <w:hyperlink w:anchor="_Toc1186" w:history="1">
        <w:r>
          <w:rPr>
            <w:rFonts w:ascii="IRNazanin" w:hAnsi="IRNazanin" w:eastAsia="IRNazanin" w:cs="IRNazanin"/>
            <w:color w:val="111111"/>
            <w:sz w:val="22"/>
            <w:szCs w:val="22"/>
            <w:b w:val="0"/>
            <w:bCs w:val="0"/>
            <w:i w:val="0"/>
            <w:iCs w:val="0"/>
          </w:rPr>
          <w:t>[ورود الاستصحاب علی قاعدة التخییر:]</w:t>
        </w:r>
        <w:r>
          <w:tab/>
        </w:r>
        <w:r>
          <w:fldChar w:fldCharType="begin"/>
        </w:r>
        <w:r>
          <w:instrText xml:space="preserve">PAGEREF 1186 \h</w:instrText>
        </w:r>
        <w:r>
          <w:fldChar w:fldCharType="end"/>
        </w:r>
      </w:hyperlink>
    </w:p>
    <w:p>
      <w:pPr>
        <w:tabs>
          <w:tab w:val="right" w:leader="dot" w:pos="9062"/>
        </w:tabs>
        <w:ind w:left="1100"/>
      </w:pPr>
      <w:hyperlink w:anchor="_Toc1187" w:history="1">
        <w:r>
          <w:rPr>
            <w:rFonts w:ascii="IRNazanin" w:hAnsi="IRNazanin" w:eastAsia="IRNazanin" w:cs="IRNazanin"/>
            <w:color w:val="111111"/>
            <w:sz w:val="22"/>
            <w:szCs w:val="22"/>
            <w:b w:val="0"/>
            <w:bCs w:val="0"/>
            <w:i w:val="0"/>
            <w:iCs w:val="0"/>
          </w:rPr>
          <w:t>[تعارض الاستصحابین]</w:t>
        </w:r>
        <w:r>
          <w:tab/>
        </w:r>
        <w:r>
          <w:fldChar w:fldCharType="begin"/>
        </w:r>
        <w:r>
          <w:instrText xml:space="preserve">PAGEREF 1187 \h</w:instrText>
        </w:r>
        <w:r>
          <w:fldChar w:fldCharType="end"/>
        </w:r>
      </w:hyperlink>
    </w:p>
    <w:p>
      <w:pPr>
        <w:tabs>
          <w:tab w:val="right" w:leader="dot" w:pos="9062"/>
        </w:tabs>
        <w:ind w:left="1100"/>
      </w:pPr>
      <w:hyperlink w:anchor="_Toc11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1188 \h</w:instrText>
        </w:r>
        <w:r>
          <w:fldChar w:fldCharType="end"/>
        </w:r>
      </w:hyperlink>
    </w:p>
    <w:p>
      <w:pPr>
        <w:tabs>
          <w:tab w:val="right" w:leader="dot" w:pos="9062"/>
        </w:tabs>
        <w:ind w:left="1100"/>
      </w:pPr>
      <w:hyperlink w:anchor="_Toc1189" w:history="1">
        <w:r>
          <w:rPr>
            <w:rFonts w:ascii="IRNazanin" w:hAnsi="IRNazanin" w:eastAsia="IRNazanin" w:cs="IRNazanin"/>
            <w:color w:val="111111"/>
            <w:sz w:val="22"/>
            <w:szCs w:val="22"/>
            <w:b w:val="0"/>
            <w:bCs w:val="0"/>
            <w:i w:val="0"/>
            <w:iCs w:val="0"/>
          </w:rPr>
          <w:t>[أقسام الاستصحابین المتعارضین:]</w:t>
        </w:r>
        <w:r>
          <w:tab/>
        </w:r>
        <w:r>
          <w:fldChar w:fldCharType="begin"/>
        </w:r>
        <w:r>
          <w:instrText xml:space="preserve">PAGEREF 1189 \h</w:instrText>
        </w:r>
        <w:r>
          <w:fldChar w:fldCharType="end"/>
        </w:r>
      </w:hyperlink>
    </w:p>
    <w:p>
      <w:pPr>
        <w:tabs>
          <w:tab w:val="right" w:leader="dot" w:pos="9062"/>
        </w:tabs>
        <w:ind w:left="1100"/>
      </w:pPr>
      <w:hyperlink w:anchor="_Toc11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1190 \h</w:instrText>
        </w:r>
        <w:r>
          <w:fldChar w:fldCharType="end"/>
        </w:r>
      </w:hyperlink>
    </w:p>
    <w:p>
      <w:pPr>
        <w:tabs>
          <w:tab w:val="right" w:leader="dot" w:pos="9062"/>
        </w:tabs>
        <w:ind w:left="1100"/>
      </w:pPr>
      <w:hyperlink w:anchor="_Toc1191" w:history="1">
        <w:r>
          <w:rPr>
            <w:rFonts w:ascii="IRNazanin" w:hAnsi="IRNazanin" w:eastAsia="IRNazanin" w:cs="IRNazanin"/>
            <w:color w:val="111111"/>
            <w:sz w:val="22"/>
            <w:szCs w:val="22"/>
            <w:b w:val="0"/>
            <w:bCs w:val="0"/>
            <w:i w:val="0"/>
            <w:iCs w:val="0"/>
          </w:rPr>
          <w:t>القسم الأوّل: [إذا کان الشکّ فی أحدهما مسبّبا عن الشکّ فی الآخر]</w:t>
        </w:r>
        <w:r>
          <w:tab/>
        </w:r>
        <w:r>
          <w:fldChar w:fldCharType="begin"/>
        </w:r>
        <w:r>
          <w:instrText xml:space="preserve">PAGEREF 1191 \h</w:instrText>
        </w:r>
        <w:r>
          <w:fldChar w:fldCharType="end"/>
        </w:r>
      </w:hyperlink>
    </w:p>
    <w:p>
      <w:pPr>
        <w:tabs>
          <w:tab w:val="right" w:leader="dot" w:pos="9062"/>
        </w:tabs>
        <w:ind w:left="1100"/>
      </w:pPr>
      <w:hyperlink w:anchor="_Toc1192" w:history="1">
        <w:r>
          <w:rPr>
            <w:rFonts w:ascii="IRNazanin" w:hAnsi="IRNazanin" w:eastAsia="IRNazanin" w:cs="IRNazanin"/>
            <w:color w:val="111111"/>
            <w:sz w:val="22"/>
            <w:szCs w:val="22"/>
            <w:b w:val="0"/>
            <w:bCs w:val="0"/>
            <w:i w:val="0"/>
            <w:iCs w:val="0"/>
          </w:rPr>
          <w:t>[تقدّم الاستصحاب السببی علی المسبّبی و الاستدلال علیه:]</w:t>
        </w:r>
        <w:r>
          <w:tab/>
        </w:r>
        <w:r>
          <w:fldChar w:fldCharType="begin"/>
        </w:r>
        <w:r>
          <w:instrText xml:space="preserve">PAGEREF 1192 \h</w:instrText>
        </w:r>
        <w:r>
          <w:fldChar w:fldCharType="end"/>
        </w:r>
      </w:hyperlink>
    </w:p>
    <w:p>
      <w:pPr>
        <w:tabs>
          <w:tab w:val="right" w:leader="dot" w:pos="9062"/>
        </w:tabs>
        <w:ind w:left="1100"/>
      </w:pPr>
      <w:hyperlink w:anchor="_Toc1193" w:history="1">
        <w:r>
          <w:rPr>
            <w:rFonts w:ascii="IRNazanin" w:hAnsi="IRNazanin" w:eastAsia="IRNazanin" w:cs="IRNazanin"/>
            <w:color w:val="111111"/>
            <w:sz w:val="22"/>
            <w:szCs w:val="22"/>
            <w:b w:val="0"/>
            <w:bCs w:val="0"/>
            <w:i w:val="0"/>
            <w:iCs w:val="0"/>
          </w:rPr>
          <w:t>[الدلیل ] الأوّل:الإجماع</w:t>
        </w:r>
        <w:r>
          <w:tab/>
        </w:r>
        <w:r>
          <w:fldChar w:fldCharType="begin"/>
        </w:r>
        <w:r>
          <w:instrText xml:space="preserve">PAGEREF 1193 \h</w:instrText>
        </w:r>
        <w:r>
          <w:fldChar w:fldCharType="end"/>
        </w:r>
      </w:hyperlink>
    </w:p>
    <w:p>
      <w:pPr>
        <w:tabs>
          <w:tab w:val="right" w:leader="dot" w:pos="9062"/>
        </w:tabs>
        <w:ind w:left="1100"/>
      </w:pPr>
      <w:hyperlink w:anchor="_Toc1194" w:history="1">
        <w:r>
          <w:rPr>
            <w:rFonts w:ascii="IRNazanin" w:hAnsi="IRNazanin" w:eastAsia="IRNazanin" w:cs="IRNazanin"/>
            <w:color w:val="111111"/>
            <w:sz w:val="22"/>
            <w:szCs w:val="22"/>
            <w:b w:val="0"/>
            <w:bCs w:val="0"/>
            <w:i w:val="0"/>
            <w:iCs w:val="0"/>
          </w:rPr>
          <w:t>[الدلیل ] الثانی:أنّ قوله علیه السّلام:«لا تنقض الیقین بالشکّ»</w:t>
        </w:r>
        <w:r>
          <w:tab/>
        </w:r>
        <w:r>
          <w:fldChar w:fldCharType="begin"/>
        </w:r>
        <w:r>
          <w:instrText xml:space="preserve">PAGEREF 1194 \h</w:instrText>
        </w:r>
        <w:r>
          <w:fldChar w:fldCharType="end"/>
        </w:r>
      </w:hyperlink>
    </w:p>
    <w:p>
      <w:pPr>
        <w:tabs>
          <w:tab w:val="right" w:leader="dot" w:pos="9062"/>
        </w:tabs>
        <w:ind w:left="1100"/>
      </w:pPr>
      <w:hyperlink w:anchor="_Toc1195" w:history="1">
        <w:r>
          <w:rPr>
            <w:rFonts w:ascii="IRNazanin" w:hAnsi="IRNazanin" w:eastAsia="IRNazanin" w:cs="IRNazanin"/>
            <w:color w:val="111111"/>
            <w:sz w:val="22"/>
            <w:szCs w:val="22"/>
            <w:b w:val="0"/>
            <w:bCs w:val="0"/>
            <w:i w:val="0"/>
            <w:iCs w:val="0"/>
          </w:rPr>
          <w:t>[الدلیل ] الثالث:أنّه لو لم یبن علی تقدیم الاستصحاب فی الشکّ السببیّ</w:t>
        </w:r>
        <w:r>
          <w:tab/>
        </w:r>
        <w:r>
          <w:fldChar w:fldCharType="begin"/>
        </w:r>
        <w:r>
          <w:instrText xml:space="preserve">PAGEREF 1195 \h</w:instrText>
        </w:r>
        <w:r>
          <w:fldChar w:fldCharType="end"/>
        </w:r>
      </w:hyperlink>
    </w:p>
    <w:p>
      <w:pPr>
        <w:tabs>
          <w:tab w:val="right" w:leader="dot" w:pos="9062"/>
        </w:tabs>
        <w:ind w:left="1100"/>
      </w:pPr>
      <w:hyperlink w:anchor="_Toc1196" w:history="1">
        <w:r>
          <w:rPr>
            <w:rFonts w:ascii="IRNazanin" w:hAnsi="IRNazanin" w:eastAsia="IRNazanin" w:cs="IRNazanin"/>
            <w:color w:val="111111"/>
            <w:sz w:val="22"/>
            <w:szCs w:val="22"/>
            <w:b w:val="0"/>
            <w:bCs w:val="0"/>
            <w:i w:val="0"/>
            <w:iCs w:val="0"/>
          </w:rPr>
          <w:t>[عدم تمامیة الدلیل الثالث:]</w:t>
        </w:r>
        <w:r>
          <w:tab/>
        </w:r>
        <w:r>
          <w:fldChar w:fldCharType="begin"/>
        </w:r>
        <w:r>
          <w:instrText xml:space="preserve">PAGEREF 1196 \h</w:instrText>
        </w:r>
        <w:r>
          <w:fldChar w:fldCharType="end"/>
        </w:r>
      </w:hyperlink>
    </w:p>
    <w:p>
      <w:pPr>
        <w:tabs>
          <w:tab w:val="right" w:leader="dot" w:pos="9062"/>
        </w:tabs>
        <w:ind w:left="1100"/>
      </w:pPr>
      <w:hyperlink w:anchor="_Toc1197" w:history="1">
        <w:r>
          <w:rPr>
            <w:rFonts w:ascii="IRNazanin" w:hAnsi="IRNazanin" w:eastAsia="IRNazanin" w:cs="IRNazanin"/>
            <w:color w:val="111111"/>
            <w:sz w:val="22"/>
            <w:szCs w:val="22"/>
            <w:b w:val="0"/>
            <w:bCs w:val="0"/>
            <w:i w:val="0"/>
            <w:iCs w:val="0"/>
          </w:rPr>
          <w:t>[الدلیل ] الرابع:أنّ المستفاد من الأخبار عدم الاعتبار بالیقین السابق فی مورد الشکّ المسبّب.</w:t>
        </w:r>
        <w:r>
          <w:tab/>
        </w:r>
        <w:r>
          <w:fldChar w:fldCharType="begin"/>
        </w:r>
        <w:r>
          <w:instrText xml:space="preserve">PAGEREF 1197 \h</w:instrText>
        </w:r>
        <w:r>
          <w:fldChar w:fldCharType="end"/>
        </w:r>
      </w:hyperlink>
    </w:p>
    <w:p>
      <w:pPr>
        <w:tabs>
          <w:tab w:val="right" w:leader="dot" w:pos="9062"/>
        </w:tabs>
        <w:ind w:left="1100"/>
      </w:pPr>
      <w:hyperlink w:anchor="_Toc1198" w:history="1">
        <w:r>
          <w:rPr>
            <w:rFonts w:ascii="IRNazanin" w:hAnsi="IRNazanin" w:eastAsia="IRNazanin" w:cs="IRNazanin"/>
            <w:color w:val="111111"/>
            <w:sz w:val="22"/>
            <w:szCs w:val="22"/>
            <w:b w:val="0"/>
            <w:bCs w:val="0"/>
            <w:i w:val="0"/>
            <w:iCs w:val="0"/>
          </w:rPr>
          <w:t>[لا تأمل فی ترجیح الاستصحاب السببی:]</w:t>
        </w:r>
        <w:r>
          <w:tab/>
        </w:r>
        <w:r>
          <w:fldChar w:fldCharType="begin"/>
        </w:r>
        <w:r>
          <w:instrText xml:space="preserve">PAGEREF 1198 \h</w:instrText>
        </w:r>
        <w:r>
          <w:fldChar w:fldCharType="end"/>
        </w:r>
      </w:hyperlink>
    </w:p>
    <w:p>
      <w:pPr>
        <w:tabs>
          <w:tab w:val="right" w:leader="dot" w:pos="9062"/>
        </w:tabs>
        <w:ind w:left="1100"/>
      </w:pPr>
      <w:hyperlink w:anchor="_Toc1199" w:history="1">
        <w:r>
          <w:rPr>
            <w:rFonts w:ascii="IRNazanin" w:hAnsi="IRNazanin" w:eastAsia="IRNazanin" w:cs="IRNazanin"/>
            <w:color w:val="111111"/>
            <w:sz w:val="22"/>
            <w:szCs w:val="22"/>
            <w:b w:val="0"/>
            <w:bCs w:val="0"/>
            <w:i w:val="0"/>
            <w:iCs w:val="0"/>
          </w:rPr>
          <w:t>[لو عملنا بالاستصحاب من باب الظنّ فالحکم أوضح:]</w:t>
        </w:r>
        <w:r>
          <w:tab/>
        </w:r>
        <w:r>
          <w:fldChar w:fldCharType="begin"/>
        </w:r>
        <w:r>
          <w:instrText xml:space="preserve">PAGEREF 1199 \h</w:instrText>
        </w:r>
        <w:r>
          <w:fldChar w:fldCharType="end"/>
        </w:r>
      </w:hyperlink>
    </w:p>
    <w:p>
      <w:pPr>
        <w:tabs>
          <w:tab w:val="right" w:leader="dot" w:pos="9062"/>
        </w:tabs>
        <w:ind w:left="1100"/>
      </w:pPr>
      <w:hyperlink w:anchor="_Toc1200" w:history="1">
        <w:r>
          <w:rPr>
            <w:rFonts w:ascii="IRNazanin" w:hAnsi="IRNazanin" w:eastAsia="IRNazanin" w:cs="IRNazanin"/>
            <w:color w:val="111111"/>
            <w:sz w:val="22"/>
            <w:szCs w:val="22"/>
            <w:b w:val="0"/>
            <w:bCs w:val="0"/>
            <w:i w:val="0"/>
            <w:iCs w:val="0"/>
          </w:rPr>
          <w:t>[ظهور الخلاف فی المسألة عن جماعة:]</w:t>
        </w:r>
        <w:r>
          <w:tab/>
        </w:r>
        <w:r>
          <w:fldChar w:fldCharType="begin"/>
        </w:r>
        <w:r>
          <w:instrText xml:space="preserve">PAGEREF 1200 \h</w:instrText>
        </w:r>
        <w:r>
          <w:fldChar w:fldCharType="end"/>
        </w:r>
      </w:hyperlink>
    </w:p>
    <w:p>
      <w:pPr>
        <w:tabs>
          <w:tab w:val="right" w:leader="dot" w:pos="9062"/>
        </w:tabs>
        <w:ind w:left="1100"/>
      </w:pPr>
      <w:hyperlink w:anchor="_Toc1201" w:history="1">
        <w:r>
          <w:rPr>
            <w:rFonts w:ascii="IRNazanin" w:hAnsi="IRNazanin" w:eastAsia="IRNazanin" w:cs="IRNazanin"/>
            <w:color w:val="111111"/>
            <w:sz w:val="22"/>
            <w:szCs w:val="22"/>
            <w:b w:val="0"/>
            <w:bCs w:val="0"/>
            <w:i w:val="0"/>
            <w:iCs w:val="0"/>
          </w:rPr>
          <w:t>[تصریح بعضهم بالجمع بین الاستصحابین«السببی و المسبّبی»:]</w:t>
        </w:r>
        <w:r>
          <w:tab/>
        </w:r>
        <w:r>
          <w:fldChar w:fldCharType="begin"/>
        </w:r>
        <w:r>
          <w:instrText xml:space="preserve">PAGEREF 1201 \h</w:instrText>
        </w:r>
        <w:r>
          <w:fldChar w:fldCharType="end"/>
        </w:r>
      </w:hyperlink>
    </w:p>
    <w:p>
      <w:pPr>
        <w:tabs>
          <w:tab w:val="right" w:leader="dot" w:pos="9062"/>
        </w:tabs>
        <w:ind w:left="1100"/>
      </w:pPr>
      <w:hyperlink w:anchor="_Toc1202" w:history="1">
        <w:r>
          <w:rPr>
            <w:rFonts w:ascii="IRNazanin" w:hAnsi="IRNazanin" w:eastAsia="IRNazanin" w:cs="IRNazanin"/>
            <w:color w:val="111111"/>
            <w:sz w:val="22"/>
            <w:szCs w:val="22"/>
            <w:b w:val="0"/>
            <w:bCs w:val="0"/>
            <w:i w:val="0"/>
            <w:iCs w:val="0"/>
          </w:rPr>
          <w:t>[عدم صحّة الجمع:]</w:t>
        </w:r>
        <w:r>
          <w:tab/>
        </w:r>
        <w:r>
          <w:fldChar w:fldCharType="begin"/>
        </w:r>
        <w:r>
          <w:instrText xml:space="preserve">PAGEREF 1202 \h</w:instrText>
        </w:r>
        <w:r>
          <w:fldChar w:fldCharType="end"/>
        </w:r>
      </w:hyperlink>
    </w:p>
    <w:p>
      <w:pPr>
        <w:tabs>
          <w:tab w:val="right" w:leader="dot" w:pos="9062"/>
        </w:tabs>
        <w:ind w:left="1100"/>
      </w:pPr>
      <w:hyperlink w:anchor="_Toc1203" w:history="1">
        <w:r>
          <w:rPr>
            <w:rFonts w:ascii="IRNazanin" w:hAnsi="IRNazanin" w:eastAsia="IRNazanin" w:cs="IRNazanin"/>
            <w:color w:val="111111"/>
            <w:sz w:val="22"/>
            <w:szCs w:val="22"/>
            <w:b w:val="0"/>
            <w:bCs w:val="0"/>
            <w:i w:val="0"/>
            <w:iCs w:val="0"/>
          </w:rPr>
          <w:t>[دعوی الإجماع علی تقدیم الاستصحاب الموضوعیّ علی الحکمیّ.]</w:t>
        </w:r>
        <w:r>
          <w:tab/>
        </w:r>
        <w:r>
          <w:fldChar w:fldCharType="begin"/>
        </w:r>
        <w:r>
          <w:instrText xml:space="preserve">PAGEREF 1203 \h</w:instrText>
        </w:r>
        <w:r>
          <w:fldChar w:fldCharType="end"/>
        </w:r>
      </w:hyperlink>
    </w:p>
    <w:p>
      <w:pPr>
        <w:tabs>
          <w:tab w:val="right" w:leader="dot" w:pos="9062"/>
        </w:tabs>
        <w:ind w:left="1100"/>
      </w:pPr>
      <w:hyperlink w:anchor="_Toc1204" w:history="1">
        <w:r>
          <w:rPr>
            <w:rFonts w:ascii="IRNazanin" w:hAnsi="IRNazanin" w:eastAsia="IRNazanin" w:cs="IRNazanin"/>
            <w:color w:val="111111"/>
            <w:sz w:val="22"/>
            <w:szCs w:val="22"/>
            <w:b w:val="0"/>
            <w:bCs w:val="0"/>
            <w:i w:val="0"/>
            <w:iCs w:val="0"/>
          </w:rPr>
          <w:t>و أمّا القسم الثانی:إذا کان الشکّ فی کلیهما مسبّبا عن أمر ثالث</w:t>
        </w:r>
        <w:r>
          <w:tab/>
        </w:r>
        <w:r>
          <w:fldChar w:fldCharType="begin"/>
        </w:r>
        <w:r>
          <w:instrText xml:space="preserve">PAGEREF 1204 \h</w:instrText>
        </w:r>
        <w:r>
          <w:fldChar w:fldCharType="end"/>
        </w:r>
      </w:hyperlink>
    </w:p>
    <w:p>
      <w:pPr>
        <w:tabs>
          <w:tab w:val="right" w:leader="dot" w:pos="9062"/>
        </w:tabs>
        <w:ind w:left="1100"/>
      </w:pPr>
      <w:hyperlink w:anchor="_Toc1205" w:history="1">
        <w:r>
          <w:rPr>
            <w:rFonts w:ascii="IRNazanin" w:hAnsi="IRNazanin" w:eastAsia="IRNazanin" w:cs="IRNazanin"/>
            <w:color w:val="111111"/>
            <w:sz w:val="22"/>
            <w:szCs w:val="22"/>
            <w:b w:val="0"/>
            <w:bCs w:val="0"/>
            <w:i w:val="0"/>
            <w:iCs w:val="0"/>
          </w:rPr>
          <w:t>[صور المسألة:]</w:t>
        </w:r>
        <w:r>
          <w:tab/>
        </w:r>
        <w:r>
          <w:fldChar w:fldCharType="begin"/>
        </w:r>
        <w:r>
          <w:instrText xml:space="preserve">PAGEREF 1205 \h</w:instrText>
        </w:r>
        <w:r>
          <w:fldChar w:fldCharType="end"/>
        </w:r>
      </w:hyperlink>
    </w:p>
    <w:p>
      <w:pPr>
        <w:tabs>
          <w:tab w:val="right" w:leader="dot" w:pos="9062"/>
        </w:tabs>
        <w:ind w:left="1100"/>
      </w:pPr>
      <w:hyperlink w:anchor="_Toc1206" w:history="1">
        <w:r>
          <w:rPr>
            <w:rFonts w:ascii="IRNazanin" w:hAnsi="IRNazanin" w:eastAsia="IRNazanin" w:cs="IRNazanin"/>
            <w:color w:val="111111"/>
            <w:sz w:val="22"/>
            <w:szCs w:val="22"/>
            <w:b w:val="0"/>
            <w:bCs w:val="0"/>
            <w:i w:val="0"/>
            <w:iCs w:val="0"/>
          </w:rPr>
          <w:t>أمّا الأولیان، [لو کان العمل بالاستصحابین مستلزما لمخالفة قطعیّة عملیّة أو قام الدلیل علی عدم الجمع بینهما]</w:t>
        </w:r>
        <w:r>
          <w:tab/>
        </w:r>
        <w:r>
          <w:fldChar w:fldCharType="begin"/>
        </w:r>
        <w:r>
          <w:instrText xml:space="preserve">PAGEREF 1206 \h</w:instrText>
        </w:r>
        <w:r>
          <w:fldChar w:fldCharType="end"/>
        </w:r>
      </w:hyperlink>
    </w:p>
    <w:p>
      <w:pPr>
        <w:tabs>
          <w:tab w:val="right" w:leader="dot" w:pos="9062"/>
        </w:tabs>
        <w:ind w:left="1100"/>
      </w:pPr>
      <w:hyperlink w:anchor="_Toc1207" w:history="1">
        <w:r>
          <w:rPr>
            <w:rFonts w:ascii="IRNazanin" w:hAnsi="IRNazanin" w:eastAsia="IRNazanin" w:cs="IRNazanin"/>
            <w:color w:val="111111"/>
            <w:sz w:val="22"/>
            <w:szCs w:val="22"/>
            <w:b w:val="0"/>
            <w:bCs w:val="0"/>
            <w:i w:val="0"/>
            <w:iCs w:val="0"/>
          </w:rPr>
          <w:t>فهنا دعویان:</w:t>
        </w:r>
        <w:r>
          <w:tab/>
        </w:r>
        <w:r>
          <w:fldChar w:fldCharType="begin"/>
        </w:r>
        <w:r>
          <w:instrText xml:space="preserve">PAGEREF 1207 \h</w:instrText>
        </w:r>
        <w:r>
          <w:fldChar w:fldCharType="end"/>
        </w:r>
      </w:hyperlink>
    </w:p>
    <w:p>
      <w:pPr>
        <w:tabs>
          <w:tab w:val="right" w:leader="dot" w:pos="9062"/>
        </w:tabs>
        <w:ind w:left="1100"/>
      </w:pPr>
      <w:hyperlink w:anchor="_Toc1208" w:history="1">
        <w:r>
          <w:rPr>
            <w:rFonts w:ascii="IRNazanin" w:hAnsi="IRNazanin" w:eastAsia="IRNazanin" w:cs="IRNazanin"/>
            <w:color w:val="111111"/>
            <w:sz w:val="22"/>
            <w:szCs w:val="22"/>
            <w:b w:val="0"/>
            <w:bCs w:val="0"/>
            <w:i w:val="0"/>
            <w:iCs w:val="0"/>
          </w:rPr>
          <w:t>الاولی:عدم الترجیح</w:t>
        </w:r>
        <w:r>
          <w:tab/>
        </w:r>
        <w:r>
          <w:fldChar w:fldCharType="begin"/>
        </w:r>
        <w:r>
          <w:instrText xml:space="preserve">PAGEREF 1208 \h</w:instrText>
        </w:r>
        <w:r>
          <w:fldChar w:fldCharType="end"/>
        </w:r>
      </w:hyperlink>
    </w:p>
    <w:p>
      <w:pPr>
        <w:tabs>
          <w:tab w:val="right" w:leader="dot" w:pos="9062"/>
        </w:tabs>
        <w:ind w:left="1100"/>
      </w:pPr>
      <w:hyperlink w:anchor="_Toc1209" w:history="1">
        <w:r>
          <w:rPr>
            <w:rFonts w:ascii="IRNazanin" w:hAnsi="IRNazanin" w:eastAsia="IRNazanin" w:cs="IRNazanin"/>
            <w:color w:val="111111"/>
            <w:sz w:val="22"/>
            <w:szCs w:val="22"/>
            <w:b w:val="0"/>
            <w:bCs w:val="0"/>
            <w:i w:val="0"/>
            <w:iCs w:val="0"/>
          </w:rPr>
          <w:t>[الدلیل علی عدم الترجیح:]</w:t>
        </w:r>
        <w:r>
          <w:tab/>
        </w:r>
        <w:r>
          <w:fldChar w:fldCharType="begin"/>
        </w:r>
        <w:r>
          <w:instrText xml:space="preserve">PAGEREF 1209 \h</w:instrText>
        </w:r>
        <w:r>
          <w:fldChar w:fldCharType="end"/>
        </w:r>
      </w:hyperlink>
    </w:p>
    <w:p>
      <w:pPr>
        <w:tabs>
          <w:tab w:val="right" w:leader="dot" w:pos="9062"/>
        </w:tabs>
        <w:ind w:left="1100"/>
      </w:pPr>
      <w:hyperlink w:anchor="_Toc1210" w:history="1">
        <w:r>
          <w:rPr>
            <w:rFonts w:ascii="IRNazanin" w:hAnsi="IRNazanin" w:eastAsia="IRNazanin" w:cs="IRNazanin"/>
            <w:color w:val="111111"/>
            <w:sz w:val="22"/>
            <w:szCs w:val="22"/>
            <w:b w:val="0"/>
            <w:bCs w:val="0"/>
            <w:i w:val="0"/>
            <w:iCs w:val="0"/>
          </w:rPr>
          <w:t>الثانیة: [أنّ الحکم هو التساقط دون التخییر و الدلیل علیه]</w:t>
        </w:r>
        <w:r>
          <w:tab/>
        </w:r>
        <w:r>
          <w:fldChar w:fldCharType="begin"/>
        </w:r>
        <w:r>
          <w:instrText xml:space="preserve">PAGEREF 1210 \h</w:instrText>
        </w:r>
        <w:r>
          <w:fldChar w:fldCharType="end"/>
        </w:r>
      </w:hyperlink>
    </w:p>
    <w:p>
      <w:pPr>
        <w:tabs>
          <w:tab w:val="right" w:leader="dot" w:pos="9062"/>
        </w:tabs>
        <w:ind w:left="1100"/>
      </w:pPr>
      <w:hyperlink w:anchor="_Toc1211" w:history="1">
        <w:r>
          <w:rPr>
            <w:rFonts w:ascii="IRNazanin" w:hAnsi="IRNazanin" w:eastAsia="IRNazanin" w:cs="IRNazanin"/>
            <w:color w:val="111111"/>
            <w:sz w:val="22"/>
            <w:szCs w:val="22"/>
            <w:b w:val="0"/>
            <w:bCs w:val="0"/>
            <w:i w:val="0"/>
            <w:iCs w:val="0"/>
          </w:rPr>
          <w:t>و أمّا الصورة الثالثة،و هی ما یعمل فیه بالاستصحابین.</w:t>
        </w:r>
        <w:r>
          <w:tab/>
        </w:r>
        <w:r>
          <w:fldChar w:fldCharType="begin"/>
        </w:r>
        <w:r>
          <w:instrText xml:space="preserve">PAGEREF 1211 \h</w:instrText>
        </w:r>
        <w:r>
          <w:fldChar w:fldCharType="end"/>
        </w:r>
      </w:hyperlink>
    </w:p>
    <w:p>
      <w:pPr>
        <w:tabs>
          <w:tab w:val="right" w:leader="dot" w:pos="9062"/>
        </w:tabs>
        <w:ind w:left="1100"/>
      </w:pPr>
      <w:hyperlink w:anchor="_Toc1212" w:history="1">
        <w:r>
          <w:rPr>
            <w:rFonts w:ascii="IRNazanin" w:hAnsi="IRNazanin" w:eastAsia="IRNazanin" w:cs="IRNazanin"/>
            <w:color w:val="111111"/>
            <w:sz w:val="22"/>
            <w:szCs w:val="22"/>
            <w:b w:val="0"/>
            <w:bCs w:val="0"/>
            <w:i w:val="0"/>
            <w:iCs w:val="0"/>
          </w:rPr>
          <w:t>و أمّا الصورة الرابعة،و هی ما یعمل فیه بأحد الاستصحابین.</w:t>
        </w:r>
        <w:r>
          <w:tab/>
        </w:r>
        <w:r>
          <w:fldChar w:fldCharType="begin"/>
        </w:r>
        <w:r>
          <w:instrText xml:space="preserve">PAGEREF 1212 \h</w:instrText>
        </w:r>
        <w:r>
          <w:fldChar w:fldCharType="end"/>
        </w:r>
      </w:hyperlink>
    </w:p>
    <w:p>
      <w:pPr>
        <w:tabs>
          <w:tab w:val="right" w:leader="dot" w:pos="9062"/>
        </w:tabs>
        <w:ind w:left="660"/>
      </w:pPr>
      <w:hyperlink w:anchor="_Toc1213" w:history="1">
        <w:r>
          <w:rPr>
            <w:rFonts w:ascii="IRNazanin" w:hAnsi="IRNazanin" w:eastAsia="IRNazanin" w:cs="IRNazanin"/>
            <w:color w:val="111111"/>
            <w:sz w:val="22"/>
            <w:szCs w:val="22"/>
            <w:b w:val="0"/>
            <w:bCs w:val="0"/>
            <w:i w:val="0"/>
            <w:iCs w:val="0"/>
          </w:rPr>
          <w:t>العناوین العامّة</w:t>
        </w:r>
        <w:r>
          <w:tab/>
        </w:r>
        <w:r>
          <w:fldChar w:fldCharType="begin"/>
        </w:r>
        <w:r>
          <w:instrText xml:space="preserve">PAGEREF 1213 \h</w:instrText>
        </w:r>
        <w:r>
          <w:fldChar w:fldCharType="end"/>
        </w:r>
      </w:hyperlink>
    </w:p>
    <w:p>
      <w:pPr>
        <w:tabs>
          <w:tab w:val="right" w:leader="dot" w:pos="9062"/>
        </w:tabs>
        <w:ind w:left="880"/>
      </w:pPr>
      <w:hyperlink w:anchor="_Toc12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1214 \h</w:instrText>
        </w:r>
        <w:r>
          <w:fldChar w:fldCharType="end"/>
        </w:r>
      </w:hyperlink>
    </w:p>
    <w:p>
      <w:pPr>
        <w:tabs>
          <w:tab w:val="right" w:leader="dot" w:pos="9062"/>
        </w:tabs>
        <w:ind w:left="880"/>
      </w:pPr>
      <w:hyperlink w:anchor="_Toc1215" w:history="1">
        <w:r>
          <w:rPr>
            <w:rFonts w:ascii="IRNazanin" w:hAnsi="IRNazanin" w:eastAsia="IRNazanin" w:cs="IRNazanin"/>
            <w:color w:val="111111"/>
            <w:sz w:val="22"/>
            <w:szCs w:val="22"/>
            <w:b w:val="0"/>
            <w:bCs w:val="0"/>
            <w:i w:val="0"/>
            <w:iCs w:val="0"/>
          </w:rPr>
          <w:t>فهرس المحتوی</w:t>
        </w:r>
        <w:r>
          <w:tab/>
        </w:r>
        <w:r>
          <w:fldChar w:fldCharType="begin"/>
        </w:r>
        <w:r>
          <w:instrText xml:space="preserve">PAGEREF 1215 \h</w:instrText>
        </w:r>
        <w:r>
          <w:fldChar w:fldCharType="end"/>
        </w:r>
      </w:hyperlink>
    </w:p>
    <w:p>
      <w:pPr>
        <w:tabs>
          <w:tab w:val="right" w:leader="dot" w:pos="9062"/>
        </w:tabs>
        <w:ind w:left="220"/>
      </w:pPr>
      <w:hyperlink w:anchor="_Toc1216" w:history="1">
        <w:r>
          <w:rPr>
            <w:rFonts w:ascii="IRNazanin" w:hAnsi="IRNazanin" w:eastAsia="IRNazanin" w:cs="IRNazanin"/>
            <w:color w:val="111111"/>
            <w:sz w:val="22"/>
            <w:szCs w:val="22"/>
            <w:b w:val="0"/>
            <w:bCs w:val="0"/>
            <w:i w:val="0"/>
            <w:iCs w:val="0"/>
          </w:rPr>
          <w:t>فقه</w:t>
        </w:r>
        <w:r>
          <w:tab/>
        </w:r>
        <w:r>
          <w:fldChar w:fldCharType="begin"/>
        </w:r>
        <w:r>
          <w:instrText xml:space="preserve">PAGEREF 1216 \h</w:instrText>
        </w:r>
        <w:r>
          <w:fldChar w:fldCharType="end"/>
        </w:r>
      </w:hyperlink>
    </w:p>
    <w:p>
      <w:pPr>
        <w:tabs>
          <w:tab w:val="right" w:leader="dot" w:pos="9062"/>
        </w:tabs>
        <w:ind w:left="440"/>
      </w:pPr>
      <w:hyperlink w:anchor="_Toc1217" w:history="1">
        <w:r>
          <w:rPr>
            <w:rFonts w:ascii="IRNazanin" w:hAnsi="IRNazanin" w:eastAsia="IRNazanin" w:cs="IRNazanin"/>
            <w:color w:val="111111"/>
            <w:sz w:val="22"/>
            <w:szCs w:val="22"/>
            <w:b w:val="0"/>
            <w:bCs w:val="0"/>
            <w:i w:val="0"/>
            <w:iCs w:val="0"/>
          </w:rPr>
          <w:t>فقه 3 (المکاسب : از «کتاب البیع» تا پایان «القول فی الإجازة و الرّد»)</w:t>
        </w:r>
        <w:r>
          <w:tab/>
        </w:r>
        <w:r>
          <w:fldChar w:fldCharType="begin"/>
        </w:r>
        <w:r>
          <w:instrText xml:space="preserve">PAGEREF 1217 \h</w:instrText>
        </w:r>
        <w:r>
          <w:fldChar w:fldCharType="end"/>
        </w:r>
      </w:hyperlink>
    </w:p>
    <w:p>
      <w:pPr>
        <w:tabs>
          <w:tab w:val="right" w:leader="dot" w:pos="9062"/>
        </w:tabs>
        <w:ind w:left="660"/>
      </w:pPr>
      <w:hyperlink w:anchor="_Toc1218" w:history="1">
        <w:r>
          <w:rPr>
            <w:rFonts w:ascii="IRNazanin" w:hAnsi="IRNazanin" w:eastAsia="IRNazanin" w:cs="IRNazanin"/>
            <w:color w:val="111111"/>
            <w:sz w:val="22"/>
            <w:szCs w:val="22"/>
            <w:b w:val="0"/>
            <w:bCs w:val="0"/>
            <w:i w:val="0"/>
            <w:iCs w:val="0"/>
          </w:rPr>
          <w:t>المجلد 3</w:t>
        </w:r>
        <w:r>
          <w:tab/>
        </w:r>
        <w:r>
          <w:fldChar w:fldCharType="begin"/>
        </w:r>
        <w:r>
          <w:instrText xml:space="preserve">PAGEREF 1218 \h</w:instrText>
        </w:r>
        <w:r>
          <w:fldChar w:fldCharType="end"/>
        </w:r>
      </w:hyperlink>
    </w:p>
    <w:p>
      <w:pPr>
        <w:tabs>
          <w:tab w:val="right" w:leader="dot" w:pos="9062"/>
        </w:tabs>
        <w:ind w:left="880"/>
      </w:pPr>
      <w:hyperlink w:anchor="_Toc1219" w:history="1">
        <w:r>
          <w:rPr>
            <w:rFonts w:ascii="IRNazanin" w:hAnsi="IRNazanin" w:eastAsia="IRNazanin" w:cs="IRNazanin"/>
            <w:color w:val="111111"/>
            <w:sz w:val="22"/>
            <w:szCs w:val="22"/>
            <w:b w:val="0"/>
            <w:bCs w:val="0"/>
            <w:i w:val="0"/>
            <w:iCs w:val="0"/>
          </w:rPr>
          <w:t>[کتاب البیع]</w:t>
        </w:r>
        <w:r>
          <w:tab/>
        </w:r>
        <w:r>
          <w:fldChar w:fldCharType="begin"/>
        </w:r>
        <w:r>
          <w:instrText xml:space="preserve">PAGEREF 1219 \h</w:instrText>
        </w:r>
        <w:r>
          <w:fldChar w:fldCharType="end"/>
        </w:r>
      </w:hyperlink>
    </w:p>
    <w:p>
      <w:pPr>
        <w:tabs>
          <w:tab w:val="right" w:leader="dot" w:pos="9062"/>
        </w:tabs>
        <w:ind w:left="1100"/>
      </w:pPr>
      <w:hyperlink w:anchor="_Toc1220" w:history="1">
        <w:r>
          <w:rPr>
            <w:rFonts w:ascii="IRNazanin" w:hAnsi="IRNazanin" w:eastAsia="IRNazanin" w:cs="IRNazanin"/>
            <w:color w:val="111111"/>
            <w:sz w:val="22"/>
            <w:szCs w:val="22"/>
            <w:b w:val="0"/>
            <w:bCs w:val="0"/>
            <w:i w:val="0"/>
            <w:iCs w:val="0"/>
          </w:rPr>
          <w:t>الکلام فی شروط المتعاقدین</w:t>
        </w:r>
        <w:r>
          <w:tab/>
        </w:r>
        <w:r>
          <w:fldChar w:fldCharType="begin"/>
        </w:r>
        <w:r>
          <w:instrText xml:space="preserve">PAGEREF 1220 \h</w:instrText>
        </w:r>
        <w:r>
          <w:fldChar w:fldCharType="end"/>
        </w:r>
      </w:hyperlink>
    </w:p>
    <w:p>
      <w:pPr>
        <w:tabs>
          <w:tab w:val="right" w:leader="dot" w:pos="9062"/>
        </w:tabs>
        <w:ind w:left="1100"/>
      </w:pPr>
      <w:hyperlink w:anchor="_Toc12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1221 \h</w:instrText>
        </w:r>
        <w:r>
          <w:fldChar w:fldCharType="end"/>
        </w:r>
      </w:hyperlink>
    </w:p>
    <w:p>
      <w:pPr>
        <w:tabs>
          <w:tab w:val="right" w:leader="dot" w:pos="9062"/>
        </w:tabs>
        <w:ind w:left="1100"/>
      </w:pPr>
      <w:hyperlink w:anchor="_Toc1222" w:history="1">
        <w:r>
          <w:rPr>
            <w:rFonts w:ascii="IRNazanin" w:hAnsi="IRNazanin" w:eastAsia="IRNazanin" w:cs="IRNazanin"/>
            <w:color w:val="111111"/>
            <w:sz w:val="22"/>
            <w:szCs w:val="22"/>
            <w:b w:val="0"/>
            <w:bCs w:val="0"/>
            <w:i w:val="0"/>
            <w:iCs w:val="0"/>
          </w:rPr>
          <w:t>مسألة [من شروط المتعاقدین البلوغ]</w:t>
        </w:r>
        <w:r>
          <w:tab/>
        </w:r>
        <w:r>
          <w:fldChar w:fldCharType="begin"/>
        </w:r>
        <w:r>
          <w:instrText xml:space="preserve">PAGEREF 1222 \h</w:instrText>
        </w:r>
        <w:r>
          <w:fldChar w:fldCharType="end"/>
        </w:r>
      </w:hyperlink>
    </w:p>
    <w:p>
      <w:pPr>
        <w:tabs>
          <w:tab w:val="right" w:leader="dot" w:pos="9062"/>
        </w:tabs>
        <w:ind w:left="1100"/>
      </w:pPr>
      <w:hyperlink w:anchor="_Toc1223" w:history="1">
        <w:r>
          <w:rPr>
            <w:rFonts w:ascii="IRNazanin" w:hAnsi="IRNazanin" w:eastAsia="IRNazanin" w:cs="IRNazanin"/>
            <w:color w:val="111111"/>
            <w:sz w:val="22"/>
            <w:szCs w:val="22"/>
            <w:b w:val="0"/>
            <w:bCs w:val="0"/>
            <w:i w:val="0"/>
            <w:iCs w:val="0"/>
          </w:rPr>
          <w:t>[فی عقد الصبی]</w:t>
        </w:r>
        <w:r>
          <w:tab/>
        </w:r>
        <w:r>
          <w:fldChar w:fldCharType="begin"/>
        </w:r>
        <w:r>
          <w:instrText xml:space="preserve">PAGEREF 1223 \h</w:instrText>
        </w:r>
        <w:r>
          <w:fldChar w:fldCharType="end"/>
        </w:r>
      </w:hyperlink>
    </w:p>
    <w:p>
      <w:pPr>
        <w:tabs>
          <w:tab w:val="right" w:leader="dot" w:pos="9062"/>
        </w:tabs>
        <w:ind w:left="1100"/>
      </w:pPr>
      <w:hyperlink w:anchor="_Toc1224" w:history="1">
        <w:r>
          <w:rPr>
            <w:rFonts w:ascii="IRNazanin" w:hAnsi="IRNazanin" w:eastAsia="IRNazanin" w:cs="IRNazanin"/>
            <w:color w:val="111111"/>
            <w:sz w:val="22"/>
            <w:szCs w:val="22"/>
            <w:b w:val="0"/>
            <w:bCs w:val="0"/>
            <w:i w:val="0"/>
            <w:iCs w:val="0"/>
          </w:rPr>
          <w:t>[المشهور بطلان عقد الصبی]</w:t>
        </w:r>
        <w:r>
          <w:tab/>
        </w:r>
        <w:r>
          <w:fldChar w:fldCharType="begin"/>
        </w:r>
        <w:r>
          <w:instrText xml:space="preserve">PAGEREF 1224 \h</w:instrText>
        </w:r>
        <w:r>
          <w:fldChar w:fldCharType="end"/>
        </w:r>
      </w:hyperlink>
    </w:p>
    <w:p>
      <w:pPr>
        <w:tabs>
          <w:tab w:val="right" w:leader="dot" w:pos="9062"/>
        </w:tabs>
        <w:ind w:left="1100"/>
      </w:pPr>
      <w:hyperlink w:anchor="_Toc1225" w:history="1">
        <w:r>
          <w:rPr>
            <w:rFonts w:ascii="IRNazanin" w:hAnsi="IRNazanin" w:eastAsia="IRNazanin" w:cs="IRNazanin"/>
            <w:color w:val="111111"/>
            <w:sz w:val="22"/>
            <w:szCs w:val="22"/>
            <w:b w:val="0"/>
            <w:bCs w:val="0"/>
            <w:i w:val="0"/>
            <w:iCs w:val="0"/>
          </w:rPr>
          <w:t>[الاستدلال علی البطلان بحدیث رفع القلم]</w:t>
        </w:r>
        <w:r>
          <w:tab/>
        </w:r>
        <w:r>
          <w:fldChar w:fldCharType="begin"/>
        </w:r>
        <w:r>
          <w:instrText xml:space="preserve">PAGEREF 1225 \h</w:instrText>
        </w:r>
        <w:r>
          <w:fldChar w:fldCharType="end"/>
        </w:r>
      </w:hyperlink>
    </w:p>
    <w:p>
      <w:pPr>
        <w:tabs>
          <w:tab w:val="right" w:leader="dot" w:pos="9062"/>
        </w:tabs>
        <w:ind w:left="1100"/>
      </w:pPr>
      <w:hyperlink w:anchor="_Toc1226" w:history="1">
        <w:r>
          <w:rPr>
            <w:rFonts w:ascii="IRNazanin" w:hAnsi="IRNazanin" w:eastAsia="IRNazanin" w:cs="IRNazanin"/>
            <w:color w:val="111111"/>
            <w:sz w:val="22"/>
            <w:szCs w:val="22"/>
            <w:b w:val="0"/>
            <w:bCs w:val="0"/>
            <w:i w:val="0"/>
            <w:iCs w:val="0"/>
          </w:rPr>
          <w:t>[الاستدلال بروایات عدم جواز أمر الصبی]</w:t>
        </w:r>
        <w:r>
          <w:tab/>
        </w:r>
        <w:r>
          <w:fldChar w:fldCharType="begin"/>
        </w:r>
        <w:r>
          <w:instrText xml:space="preserve">PAGEREF 1226 \h</w:instrText>
        </w:r>
        <w:r>
          <w:fldChar w:fldCharType="end"/>
        </w:r>
      </w:hyperlink>
    </w:p>
    <w:p>
      <w:pPr>
        <w:tabs>
          <w:tab w:val="right" w:leader="dot" w:pos="9062"/>
        </w:tabs>
        <w:ind w:left="1100"/>
      </w:pPr>
      <w:hyperlink w:anchor="_Toc1227" w:history="1">
        <w:r>
          <w:rPr>
            <w:rFonts w:ascii="IRNazanin" w:hAnsi="IRNazanin" w:eastAsia="IRNazanin" w:cs="IRNazanin"/>
            <w:color w:val="111111"/>
            <w:sz w:val="22"/>
            <w:szCs w:val="22"/>
            <w:b w:val="0"/>
            <w:bCs w:val="0"/>
            <w:i w:val="0"/>
            <w:iCs w:val="0"/>
          </w:rPr>
          <w:t>[المناقشة فی دلالة هذه الروایات]</w:t>
        </w:r>
        <w:r>
          <w:tab/>
        </w:r>
        <w:r>
          <w:fldChar w:fldCharType="begin"/>
        </w:r>
        <w:r>
          <w:instrText xml:space="preserve">PAGEREF 1227 \h</w:instrText>
        </w:r>
        <w:r>
          <w:fldChar w:fldCharType="end"/>
        </w:r>
      </w:hyperlink>
    </w:p>
    <w:p>
      <w:pPr>
        <w:tabs>
          <w:tab w:val="right" w:leader="dot" w:pos="9062"/>
        </w:tabs>
        <w:ind w:left="1100"/>
      </w:pPr>
      <w:hyperlink w:anchor="_Toc1228" w:history="1">
        <w:r>
          <w:rPr>
            <w:rFonts w:ascii="IRNazanin" w:hAnsi="IRNazanin" w:eastAsia="IRNazanin" w:cs="IRNazanin"/>
            <w:color w:val="111111"/>
            <w:sz w:val="22"/>
            <w:szCs w:val="22"/>
            <w:b w:val="0"/>
            <w:bCs w:val="0"/>
            <w:i w:val="0"/>
            <w:iCs w:val="0"/>
          </w:rPr>
          <w:t>[الحجة فی المسألة هی الشهرة و الإجماع المحکی]</w:t>
        </w:r>
        <w:r>
          <w:tab/>
        </w:r>
        <w:r>
          <w:fldChar w:fldCharType="begin"/>
        </w:r>
        <w:r>
          <w:instrText xml:space="preserve">PAGEREF 1228 \h</w:instrText>
        </w:r>
        <w:r>
          <w:fldChar w:fldCharType="end"/>
        </w:r>
      </w:hyperlink>
    </w:p>
    <w:p>
      <w:pPr>
        <w:tabs>
          <w:tab w:val="right" w:leader="dot" w:pos="9062"/>
        </w:tabs>
        <w:ind w:left="1100"/>
      </w:pPr>
      <w:hyperlink w:anchor="_Toc1229" w:history="1">
        <w:r>
          <w:rPr>
            <w:rFonts w:ascii="IRNazanin" w:hAnsi="IRNazanin" w:eastAsia="IRNazanin" w:cs="IRNazanin"/>
            <w:color w:val="111111"/>
            <w:sz w:val="22"/>
            <w:szCs w:val="22"/>
            <w:b w:val="0"/>
            <w:bCs w:val="0"/>
            <w:i w:val="0"/>
            <w:iCs w:val="0"/>
          </w:rPr>
          <w:t>[المناقشة فی تحقق الإجماع]</w:t>
        </w:r>
        <w:r>
          <w:tab/>
        </w:r>
        <w:r>
          <w:fldChar w:fldCharType="begin"/>
        </w:r>
        <w:r>
          <w:instrText xml:space="preserve">PAGEREF 1229 \h</w:instrText>
        </w:r>
        <w:r>
          <w:fldChar w:fldCharType="end"/>
        </w:r>
      </w:hyperlink>
    </w:p>
    <w:p>
      <w:pPr>
        <w:tabs>
          <w:tab w:val="right" w:leader="dot" w:pos="9062"/>
        </w:tabs>
        <w:ind w:left="1100"/>
      </w:pPr>
      <w:hyperlink w:anchor="_Toc1230" w:history="1">
        <w:r>
          <w:rPr>
            <w:rFonts w:ascii="IRNazanin" w:hAnsi="IRNazanin" w:eastAsia="IRNazanin" w:cs="IRNazanin"/>
            <w:color w:val="111111"/>
            <w:sz w:val="22"/>
            <w:szCs w:val="22"/>
            <w:b w:val="0"/>
            <w:bCs w:val="0"/>
            <w:i w:val="0"/>
            <w:iCs w:val="0"/>
          </w:rPr>
          <w:t>[ما یستأنس به للبطلان]</w:t>
        </w:r>
        <w:r>
          <w:tab/>
        </w:r>
        <w:r>
          <w:fldChar w:fldCharType="begin"/>
        </w:r>
        <w:r>
          <w:instrText xml:space="preserve">PAGEREF 1230 \h</w:instrText>
        </w:r>
        <w:r>
          <w:fldChar w:fldCharType="end"/>
        </w:r>
      </w:hyperlink>
    </w:p>
    <w:p>
      <w:pPr>
        <w:tabs>
          <w:tab w:val="right" w:leader="dot" w:pos="9062"/>
        </w:tabs>
        <w:ind w:left="1100"/>
      </w:pPr>
      <w:hyperlink w:anchor="_Toc1231" w:history="1">
        <w:r>
          <w:rPr>
            <w:rFonts w:ascii="IRNazanin" w:hAnsi="IRNazanin" w:eastAsia="IRNazanin" w:cs="IRNazanin"/>
            <w:color w:val="111111"/>
            <w:sz w:val="22"/>
            <w:szCs w:val="22"/>
            <w:b w:val="0"/>
            <w:bCs w:val="0"/>
            <w:i w:val="0"/>
            <w:iCs w:val="0"/>
          </w:rPr>
          <w:t>[استظهار البطلان من حدیث رفع القلم]</w:t>
        </w:r>
        <w:r>
          <w:tab/>
        </w:r>
        <w:r>
          <w:fldChar w:fldCharType="begin"/>
        </w:r>
        <w:r>
          <w:instrText xml:space="preserve">PAGEREF 1231 \h</w:instrText>
        </w:r>
        <w:r>
          <w:fldChar w:fldCharType="end"/>
        </w:r>
      </w:hyperlink>
    </w:p>
    <w:p>
      <w:pPr>
        <w:tabs>
          <w:tab w:val="right" w:leader="dot" w:pos="9062"/>
        </w:tabs>
        <w:ind w:left="1100"/>
      </w:pPr>
      <w:hyperlink w:anchor="_Toc1232" w:history="1">
        <w:r>
          <w:rPr>
            <w:rFonts w:ascii="IRNazanin" w:hAnsi="IRNazanin" w:eastAsia="IRNazanin" w:cs="IRNazanin"/>
            <w:color w:val="111111"/>
            <w:sz w:val="22"/>
            <w:szCs w:val="22"/>
            <w:b w:val="0"/>
            <w:bCs w:val="0"/>
            <w:i w:val="0"/>
            <w:iCs w:val="0"/>
          </w:rPr>
          <w:t>[رأی المؤلف فی المسألة و دلیله]</w:t>
        </w:r>
        <w:r>
          <w:tab/>
        </w:r>
        <w:r>
          <w:fldChar w:fldCharType="begin"/>
        </w:r>
        <w:r>
          <w:instrText xml:space="preserve">PAGEREF 1232 \h</w:instrText>
        </w:r>
        <w:r>
          <w:fldChar w:fldCharType="end"/>
        </w:r>
      </w:hyperlink>
    </w:p>
    <w:p>
      <w:pPr>
        <w:tabs>
          <w:tab w:val="right" w:leader="dot" w:pos="9062"/>
        </w:tabs>
        <w:ind w:left="1100"/>
      </w:pPr>
      <w:hyperlink w:anchor="_Toc1233" w:history="1">
        <w:r>
          <w:rPr>
            <w:rFonts w:ascii="IRNazanin" w:hAnsi="IRNazanin" w:eastAsia="IRNazanin" w:cs="IRNazanin"/>
            <w:color w:val="111111"/>
            <w:sz w:val="22"/>
            <w:szCs w:val="22"/>
            <w:b w:val="0"/>
            <w:bCs w:val="0"/>
            <w:i w:val="0"/>
            <w:iCs w:val="0"/>
          </w:rPr>
          <w:t>[کلام العلامة فی عدم صحة تصرفات الصبی]</w:t>
        </w:r>
        <w:r>
          <w:tab/>
        </w:r>
        <w:r>
          <w:fldChar w:fldCharType="begin"/>
        </w:r>
        <w:r>
          <w:instrText xml:space="preserve">PAGEREF 1233 \h</w:instrText>
        </w:r>
        <w:r>
          <w:fldChar w:fldCharType="end"/>
        </w:r>
      </w:hyperlink>
    </w:p>
    <w:p>
      <w:pPr>
        <w:tabs>
          <w:tab w:val="right" w:leader="dot" w:pos="9062"/>
        </w:tabs>
        <w:ind w:left="1100"/>
      </w:pPr>
      <w:hyperlink w:anchor="_Toc1234" w:history="1">
        <w:r>
          <w:rPr>
            <w:rFonts w:ascii="IRNazanin" w:hAnsi="IRNazanin" w:eastAsia="IRNazanin" w:cs="IRNazanin"/>
            <w:color w:val="111111"/>
            <w:sz w:val="22"/>
            <w:szCs w:val="22"/>
            <w:b w:val="0"/>
            <w:bCs w:val="0"/>
            <w:i w:val="0"/>
            <w:iCs w:val="0"/>
          </w:rPr>
          <w:t>[لا فرق فی معاملة الصبی بین الأشیاء الیسیرة و الخطیرة]</w:t>
        </w:r>
        <w:r>
          <w:tab/>
        </w:r>
        <w:r>
          <w:fldChar w:fldCharType="begin"/>
        </w:r>
        <w:r>
          <w:instrText xml:space="preserve">PAGEREF 1234 \h</w:instrText>
        </w:r>
        <w:r>
          <w:fldChar w:fldCharType="end"/>
        </w:r>
      </w:hyperlink>
    </w:p>
    <w:p>
      <w:pPr>
        <w:tabs>
          <w:tab w:val="right" w:leader="dot" w:pos="9062"/>
        </w:tabs>
        <w:ind w:left="1100"/>
      </w:pPr>
      <w:hyperlink w:anchor="_Toc1235" w:history="1">
        <w:r>
          <w:rPr>
            <w:rFonts w:ascii="IRNazanin" w:hAnsi="IRNazanin" w:eastAsia="IRNazanin" w:cs="IRNazanin"/>
            <w:color w:val="111111"/>
            <w:sz w:val="22"/>
            <w:szCs w:val="22"/>
            <w:b w:val="0"/>
            <w:bCs w:val="0"/>
            <w:i w:val="0"/>
            <w:iCs w:val="0"/>
          </w:rPr>
          <w:t>[تصحیح المعاملة لو کان الصبی بمنزلة الآلة]</w:t>
        </w:r>
        <w:r>
          <w:tab/>
        </w:r>
        <w:r>
          <w:fldChar w:fldCharType="begin"/>
        </w:r>
        <w:r>
          <w:instrText xml:space="preserve">PAGEREF 1235 \h</w:instrText>
        </w:r>
        <w:r>
          <w:fldChar w:fldCharType="end"/>
        </w:r>
      </w:hyperlink>
    </w:p>
    <w:p>
      <w:pPr>
        <w:tabs>
          <w:tab w:val="right" w:leader="dot" w:pos="9062"/>
        </w:tabs>
        <w:ind w:left="1100"/>
      </w:pPr>
      <w:hyperlink w:anchor="_Toc1236" w:history="1">
        <w:r>
          <w:rPr>
            <w:rFonts w:ascii="IRNazanin" w:hAnsi="IRNazanin" w:eastAsia="IRNazanin" w:cs="IRNazanin"/>
            <w:color w:val="111111"/>
            <w:sz w:val="22"/>
            <w:szCs w:val="22"/>
            <w:b w:val="0"/>
            <w:bCs w:val="0"/>
            <w:i w:val="0"/>
            <w:iCs w:val="0"/>
          </w:rPr>
          <w:t>[دعوی کاشف الغطاء إفادة معاملة الصبی الإباحة لو کان مأذونا و المناقشات فیه]</w:t>
        </w:r>
        <w:r>
          <w:tab/>
        </w:r>
        <w:r>
          <w:fldChar w:fldCharType="begin"/>
        </w:r>
        <w:r>
          <w:instrText xml:space="preserve">PAGEREF 1236 \h</w:instrText>
        </w:r>
        <w:r>
          <w:fldChar w:fldCharType="end"/>
        </w:r>
      </w:hyperlink>
    </w:p>
    <w:p>
      <w:pPr>
        <w:tabs>
          <w:tab w:val="right" w:leader="dot" w:pos="9062"/>
        </w:tabs>
        <w:ind w:left="1100"/>
      </w:pPr>
      <w:hyperlink w:anchor="_Toc1237" w:history="1">
        <w:r>
          <w:rPr>
            <w:rFonts w:ascii="IRNazanin" w:hAnsi="IRNazanin" w:eastAsia="IRNazanin" w:cs="IRNazanin"/>
            <w:color w:val="111111"/>
            <w:sz w:val="22"/>
            <w:szCs w:val="22"/>
            <w:b w:val="0"/>
            <w:bCs w:val="0"/>
            <w:i w:val="0"/>
            <w:iCs w:val="0"/>
          </w:rPr>
          <w:t>مسألة و من جملة شرائط المتعاقدین:قصدهما لمدلول العقد الذی یتلفّظان به.</w:t>
        </w:r>
        <w:r>
          <w:tab/>
        </w:r>
        <w:r>
          <w:fldChar w:fldCharType="begin"/>
        </w:r>
        <w:r>
          <w:instrText xml:space="preserve">PAGEREF 1237 \h</w:instrText>
        </w:r>
        <w:r>
          <w:fldChar w:fldCharType="end"/>
        </w:r>
      </w:hyperlink>
    </w:p>
    <w:p>
      <w:pPr>
        <w:tabs>
          <w:tab w:val="right" w:leader="dot" w:pos="9062"/>
        </w:tabs>
        <w:ind w:left="1100"/>
      </w:pPr>
      <w:hyperlink w:anchor="_Toc12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1238 \h</w:instrText>
        </w:r>
        <w:r>
          <w:fldChar w:fldCharType="end"/>
        </w:r>
      </w:hyperlink>
    </w:p>
    <w:p>
      <w:pPr>
        <w:tabs>
          <w:tab w:val="right" w:leader="dot" w:pos="9062"/>
        </w:tabs>
        <w:ind w:left="1100"/>
      </w:pPr>
      <w:hyperlink w:anchor="_Toc1239" w:history="1">
        <w:r>
          <w:rPr>
            <w:rFonts w:ascii="IRNazanin" w:hAnsi="IRNazanin" w:eastAsia="IRNazanin" w:cs="IRNazanin"/>
            <w:color w:val="111111"/>
            <w:sz w:val="22"/>
            <w:szCs w:val="22"/>
            <w:b w:val="0"/>
            <w:bCs w:val="0"/>
            <w:i w:val="0"/>
            <w:iCs w:val="0"/>
          </w:rPr>
          <w:t>[کلام صاحب المقابس فی اعتبار تعیین المالکین و المناقشات فیه]</w:t>
        </w:r>
        <w:r>
          <w:tab/>
        </w:r>
        <w:r>
          <w:fldChar w:fldCharType="begin"/>
        </w:r>
        <w:r>
          <w:instrText xml:space="preserve">PAGEREF 1239 \h</w:instrText>
        </w:r>
        <w:r>
          <w:fldChar w:fldCharType="end"/>
        </w:r>
      </w:hyperlink>
    </w:p>
    <w:p>
      <w:pPr>
        <w:tabs>
          <w:tab w:val="right" w:leader="dot" w:pos="9062"/>
        </w:tabs>
        <w:ind w:left="1100"/>
      </w:pPr>
      <w:hyperlink w:anchor="_Toc1240" w:history="1">
        <w:r>
          <w:rPr>
            <w:rFonts w:ascii="IRNazanin" w:hAnsi="IRNazanin" w:eastAsia="IRNazanin" w:cs="IRNazanin"/>
            <w:color w:val="111111"/>
            <w:sz w:val="22"/>
            <w:szCs w:val="22"/>
            <w:b w:val="0"/>
            <w:bCs w:val="0"/>
            <w:i w:val="0"/>
            <w:iCs w:val="0"/>
          </w:rPr>
          <w:t>[هل یعتبر تعیین الموجب للمشتری و القابل للبائع؟]</w:t>
        </w:r>
        <w:r>
          <w:tab/>
        </w:r>
        <w:r>
          <w:fldChar w:fldCharType="begin"/>
        </w:r>
        <w:r>
          <w:instrText xml:space="preserve">PAGEREF 1240 \h</w:instrText>
        </w:r>
        <w:r>
          <w:fldChar w:fldCharType="end"/>
        </w:r>
      </w:hyperlink>
    </w:p>
    <w:p>
      <w:pPr>
        <w:tabs>
          <w:tab w:val="right" w:leader="dot" w:pos="9062"/>
        </w:tabs>
        <w:ind w:left="1100"/>
      </w:pPr>
      <w:hyperlink w:anchor="_Toc12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1241 \h</w:instrText>
        </w:r>
        <w:r>
          <w:fldChar w:fldCharType="end"/>
        </w:r>
      </w:hyperlink>
    </w:p>
    <w:p>
      <w:pPr>
        <w:tabs>
          <w:tab w:val="right" w:leader="dot" w:pos="9062"/>
        </w:tabs>
        <w:ind w:left="1100"/>
      </w:pPr>
      <w:hyperlink w:anchor="_Toc1242" w:history="1">
        <w:r>
          <w:rPr>
            <w:rFonts w:ascii="IRNazanin" w:hAnsi="IRNazanin" w:eastAsia="IRNazanin" w:cs="IRNazanin"/>
            <w:color w:val="111111"/>
            <w:sz w:val="22"/>
            <w:szCs w:val="22"/>
            <w:b w:val="0"/>
            <w:bCs w:val="0"/>
            <w:i w:val="0"/>
            <w:iCs w:val="0"/>
          </w:rPr>
          <w:t>[مختار المؤلف و دلیله]</w:t>
        </w:r>
        <w:r>
          <w:tab/>
        </w:r>
        <w:r>
          <w:fldChar w:fldCharType="begin"/>
        </w:r>
        <w:r>
          <w:instrText xml:space="preserve">PAGEREF 1242 \h</w:instrText>
        </w:r>
        <w:r>
          <w:fldChar w:fldCharType="end"/>
        </w:r>
      </w:hyperlink>
    </w:p>
    <w:p>
      <w:pPr>
        <w:tabs>
          <w:tab w:val="right" w:leader="dot" w:pos="9062"/>
        </w:tabs>
        <w:ind w:left="1100"/>
      </w:pPr>
      <w:hyperlink w:anchor="_Toc1243" w:history="1">
        <w:r>
          <w:rPr>
            <w:rFonts w:ascii="IRNazanin" w:hAnsi="IRNazanin" w:eastAsia="IRNazanin" w:cs="IRNazanin"/>
            <w:color w:val="111111"/>
            <w:sz w:val="22"/>
            <w:szCs w:val="22"/>
            <w:b w:val="0"/>
            <w:bCs w:val="0"/>
            <w:i w:val="0"/>
            <w:iCs w:val="0"/>
          </w:rPr>
          <w:t>[کلام العلامة فی الفرق بین البیع و شبهه و بین النکاح و المناقشة فیه]</w:t>
        </w:r>
        <w:r>
          <w:tab/>
        </w:r>
        <w:r>
          <w:fldChar w:fldCharType="begin"/>
        </w:r>
        <w:r>
          <w:instrText xml:space="preserve">PAGEREF 1243 \h</w:instrText>
        </w:r>
        <w:r>
          <w:fldChar w:fldCharType="end"/>
        </w:r>
      </w:hyperlink>
    </w:p>
    <w:p>
      <w:pPr>
        <w:tabs>
          <w:tab w:val="right" w:leader="dot" w:pos="9062"/>
        </w:tabs>
        <w:ind w:left="1100"/>
      </w:pPr>
      <w:hyperlink w:anchor="_Toc1244" w:history="1">
        <w:r>
          <w:rPr>
            <w:rFonts w:ascii="IRNazanin" w:hAnsi="IRNazanin" w:eastAsia="IRNazanin" w:cs="IRNazanin"/>
            <w:color w:val="111111"/>
            <w:sz w:val="22"/>
            <w:szCs w:val="22"/>
            <w:b w:val="0"/>
            <w:bCs w:val="0"/>
            <w:i w:val="0"/>
            <w:iCs w:val="0"/>
          </w:rPr>
          <w:t>[الأولی فی الفرق بین النکاح و البیع]</w:t>
        </w:r>
        <w:r>
          <w:tab/>
        </w:r>
        <w:r>
          <w:fldChar w:fldCharType="begin"/>
        </w:r>
        <w:r>
          <w:instrText xml:space="preserve">PAGEREF 1244 \h</w:instrText>
        </w:r>
        <w:r>
          <w:fldChar w:fldCharType="end"/>
        </w:r>
      </w:hyperlink>
    </w:p>
    <w:p>
      <w:pPr>
        <w:tabs>
          <w:tab w:val="right" w:leader="dot" w:pos="9062"/>
        </w:tabs>
        <w:ind w:left="1100"/>
      </w:pPr>
      <w:hyperlink w:anchor="_Toc1245" w:history="1">
        <w:r>
          <w:rPr>
            <w:rFonts w:ascii="IRNazanin" w:hAnsi="IRNazanin" w:eastAsia="IRNazanin" w:cs="IRNazanin"/>
            <w:color w:val="111111"/>
            <w:sz w:val="22"/>
            <w:szCs w:val="22"/>
            <w:b w:val="0"/>
            <w:bCs w:val="0"/>
            <w:i w:val="0"/>
            <w:iCs w:val="0"/>
          </w:rPr>
          <w:t>مسألة و من شرائط المتعاقدین:الاختیار</w:t>
        </w:r>
        <w:r>
          <w:tab/>
        </w:r>
        <w:r>
          <w:fldChar w:fldCharType="begin"/>
        </w:r>
        <w:r>
          <w:instrText xml:space="preserve">PAGEREF 1245 \h</w:instrText>
        </w:r>
        <w:r>
          <w:fldChar w:fldCharType="end"/>
        </w:r>
      </w:hyperlink>
    </w:p>
    <w:p>
      <w:pPr>
        <w:tabs>
          <w:tab w:val="right" w:leader="dot" w:pos="9062"/>
        </w:tabs>
        <w:ind w:left="1100"/>
      </w:pPr>
      <w:hyperlink w:anchor="_Toc12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1246 \h</w:instrText>
        </w:r>
        <w:r>
          <w:fldChar w:fldCharType="end"/>
        </w:r>
      </w:hyperlink>
    </w:p>
    <w:p>
      <w:pPr>
        <w:tabs>
          <w:tab w:val="right" w:leader="dot" w:pos="9062"/>
        </w:tabs>
        <w:ind w:left="1100"/>
      </w:pPr>
      <w:hyperlink w:anchor="_Toc1247" w:history="1">
        <w:r>
          <w:rPr>
            <w:rFonts w:ascii="IRNazanin" w:hAnsi="IRNazanin" w:eastAsia="IRNazanin" w:cs="IRNazanin"/>
            <w:color w:val="111111"/>
            <w:sz w:val="22"/>
            <w:szCs w:val="22"/>
            <w:b w:val="0"/>
            <w:bCs w:val="0"/>
            <w:i w:val="0"/>
            <w:iCs w:val="0"/>
          </w:rPr>
          <w:t>[ما یدل علی اشتراط الاختیار]</w:t>
        </w:r>
        <w:r>
          <w:tab/>
        </w:r>
        <w:r>
          <w:fldChar w:fldCharType="begin"/>
        </w:r>
        <w:r>
          <w:instrText xml:space="preserve">PAGEREF 1247 \h</w:instrText>
        </w:r>
        <w:r>
          <w:fldChar w:fldCharType="end"/>
        </w:r>
      </w:hyperlink>
    </w:p>
    <w:p>
      <w:pPr>
        <w:tabs>
          <w:tab w:val="right" w:leader="dot" w:pos="9062"/>
        </w:tabs>
        <w:ind w:left="1100"/>
      </w:pPr>
      <w:hyperlink w:anchor="_Toc1248" w:history="1">
        <w:r>
          <w:rPr>
            <w:rFonts w:ascii="IRNazanin" w:hAnsi="IRNazanin" w:eastAsia="IRNazanin" w:cs="IRNazanin"/>
            <w:color w:val="111111"/>
            <w:sz w:val="22"/>
            <w:szCs w:val="22"/>
            <w:b w:val="0"/>
            <w:bCs w:val="0"/>
            <w:i w:val="0"/>
            <w:iCs w:val="0"/>
          </w:rPr>
          <w:t>[المراد من قولهم المکره قاصد إلی اللفظ غیر قاصد إلی مدلوله]</w:t>
        </w:r>
        <w:r>
          <w:tab/>
        </w:r>
        <w:r>
          <w:fldChar w:fldCharType="begin"/>
        </w:r>
        <w:r>
          <w:instrText xml:space="preserve">PAGEREF 1248 \h</w:instrText>
        </w:r>
        <w:r>
          <w:fldChar w:fldCharType="end"/>
        </w:r>
      </w:hyperlink>
    </w:p>
    <w:p>
      <w:pPr>
        <w:tabs>
          <w:tab w:val="right" w:leader="dot" w:pos="9062"/>
        </w:tabs>
        <w:ind w:left="1100"/>
      </w:pPr>
      <w:hyperlink w:anchor="_Toc1249" w:history="1">
        <w:r>
          <w:rPr>
            <w:rFonts w:ascii="IRNazanin" w:hAnsi="IRNazanin" w:eastAsia="IRNazanin" w:cs="IRNazanin"/>
            <w:color w:val="111111"/>
            <w:sz w:val="22"/>
            <w:szCs w:val="22"/>
            <w:b w:val="0"/>
            <w:bCs w:val="0"/>
            <w:i w:val="0"/>
            <w:iCs w:val="0"/>
          </w:rPr>
          <w:t>[حقیقة الإکراه]</w:t>
        </w:r>
        <w:r>
          <w:tab/>
        </w:r>
        <w:r>
          <w:fldChar w:fldCharType="begin"/>
        </w:r>
        <w:r>
          <w:instrText xml:space="preserve">PAGEREF 1249 \h</w:instrText>
        </w:r>
        <w:r>
          <w:fldChar w:fldCharType="end"/>
        </w:r>
      </w:hyperlink>
    </w:p>
    <w:p>
      <w:pPr>
        <w:tabs>
          <w:tab w:val="right" w:leader="dot" w:pos="9062"/>
        </w:tabs>
        <w:ind w:left="1100"/>
      </w:pPr>
      <w:hyperlink w:anchor="_Toc1250" w:history="1">
        <w:r>
          <w:rPr>
            <w:rFonts w:ascii="IRNazanin" w:hAnsi="IRNazanin" w:eastAsia="IRNazanin" w:cs="IRNazanin"/>
            <w:color w:val="111111"/>
            <w:sz w:val="22"/>
            <w:szCs w:val="22"/>
            <w:b w:val="0"/>
            <w:bCs w:val="0"/>
            <w:i w:val="0"/>
            <w:iCs w:val="0"/>
          </w:rPr>
          <w:t>[هل یعتبر عدم إمکان التفصی عن الضرر بما لا ضرر فیه]</w:t>
        </w:r>
        <w:r>
          <w:tab/>
        </w:r>
        <w:r>
          <w:fldChar w:fldCharType="begin"/>
        </w:r>
        <w:r>
          <w:instrText xml:space="preserve">PAGEREF 1250 \h</w:instrText>
        </w:r>
        <w:r>
          <w:fldChar w:fldCharType="end"/>
        </w:r>
      </w:hyperlink>
    </w:p>
    <w:p>
      <w:pPr>
        <w:tabs>
          <w:tab w:val="right" w:leader="dot" w:pos="9062"/>
        </w:tabs>
        <w:ind w:left="1100"/>
      </w:pPr>
      <w:hyperlink w:anchor="_Toc12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1251 \h</w:instrText>
        </w:r>
        <w:r>
          <w:fldChar w:fldCharType="end"/>
        </w:r>
      </w:hyperlink>
    </w:p>
    <w:p>
      <w:pPr>
        <w:tabs>
          <w:tab w:val="right" w:leader="dot" w:pos="9062"/>
        </w:tabs>
        <w:ind w:left="1100"/>
      </w:pPr>
      <w:hyperlink w:anchor="_Toc1252" w:history="1">
        <w:r>
          <w:rPr>
            <w:rFonts w:ascii="IRNazanin" w:hAnsi="IRNazanin" w:eastAsia="IRNazanin" w:cs="IRNazanin"/>
            <w:color w:val="111111"/>
            <w:sz w:val="22"/>
            <w:szCs w:val="22"/>
            <w:b w:val="0"/>
            <w:bCs w:val="0"/>
            <w:i w:val="0"/>
            <w:iCs w:val="0"/>
          </w:rPr>
          <w:t>[عدم اعتبار العجز عن التوریة]</w:t>
        </w:r>
        <w:r>
          <w:tab/>
        </w:r>
        <w:r>
          <w:fldChar w:fldCharType="begin"/>
        </w:r>
        <w:r>
          <w:instrText xml:space="preserve">PAGEREF 1252 \h</w:instrText>
        </w:r>
        <w:r>
          <w:fldChar w:fldCharType="end"/>
        </w:r>
      </w:hyperlink>
    </w:p>
    <w:p>
      <w:pPr>
        <w:tabs>
          <w:tab w:val="right" w:leader="dot" w:pos="9062"/>
        </w:tabs>
        <w:ind w:left="1100"/>
      </w:pPr>
      <w:hyperlink w:anchor="_Toc1253" w:history="1">
        <w:r>
          <w:rPr>
            <w:rFonts w:ascii="IRNazanin" w:hAnsi="IRNazanin" w:eastAsia="IRNazanin" w:cs="IRNazanin"/>
            <w:color w:val="111111"/>
            <w:sz w:val="22"/>
            <w:szCs w:val="22"/>
            <w:b w:val="0"/>
            <w:bCs w:val="0"/>
            <w:i w:val="0"/>
            <w:iCs w:val="0"/>
          </w:rPr>
          <w:t>[هل یعتبر العجز عن التخلص بغیر التوریة]</w:t>
        </w:r>
        <w:r>
          <w:tab/>
        </w:r>
        <w:r>
          <w:fldChar w:fldCharType="begin"/>
        </w:r>
        <w:r>
          <w:instrText xml:space="preserve">PAGEREF 1253 \h</w:instrText>
        </w:r>
        <w:r>
          <w:fldChar w:fldCharType="end"/>
        </w:r>
      </w:hyperlink>
    </w:p>
    <w:p>
      <w:pPr>
        <w:tabs>
          <w:tab w:val="right" w:leader="dot" w:pos="9062"/>
        </w:tabs>
        <w:ind w:left="1100"/>
      </w:pPr>
      <w:hyperlink w:anchor="_Toc1254" w:history="1">
        <w:r>
          <w:rPr>
            <w:rFonts w:ascii="IRNazanin" w:hAnsi="IRNazanin" w:eastAsia="IRNazanin" w:cs="IRNazanin"/>
            <w:color w:val="111111"/>
            <w:sz w:val="22"/>
            <w:szCs w:val="22"/>
            <w:b w:val="0"/>
            <w:bCs w:val="0"/>
            <w:i w:val="0"/>
            <w:iCs w:val="0"/>
          </w:rPr>
          <w:t>[اعتبار العجز عن التخلص بغیر التوریة]</w:t>
        </w:r>
        <w:r>
          <w:tab/>
        </w:r>
        <w:r>
          <w:fldChar w:fldCharType="begin"/>
        </w:r>
        <w:r>
          <w:instrText xml:space="preserve">PAGEREF 1254 \h</w:instrText>
        </w:r>
        <w:r>
          <w:fldChar w:fldCharType="end"/>
        </w:r>
      </w:hyperlink>
    </w:p>
    <w:p>
      <w:pPr>
        <w:tabs>
          <w:tab w:val="right" w:leader="dot" w:pos="9062"/>
        </w:tabs>
        <w:ind w:left="1100"/>
      </w:pPr>
      <w:hyperlink w:anchor="_Toc1255" w:history="1">
        <w:r>
          <w:rPr>
            <w:rFonts w:ascii="IRNazanin" w:hAnsi="IRNazanin" w:eastAsia="IRNazanin" w:cs="IRNazanin"/>
            <w:color w:val="111111"/>
            <w:sz w:val="22"/>
            <w:szCs w:val="22"/>
            <w:b w:val="0"/>
            <w:bCs w:val="0"/>
            <w:i w:val="0"/>
            <w:iCs w:val="0"/>
          </w:rPr>
          <w:t>[الفرق بین إمکان التفصی بالتوریة و إمکانه بغیرها]</w:t>
        </w:r>
        <w:r>
          <w:tab/>
        </w:r>
        <w:r>
          <w:fldChar w:fldCharType="begin"/>
        </w:r>
        <w:r>
          <w:instrText xml:space="preserve">PAGEREF 1255 \h</w:instrText>
        </w:r>
        <w:r>
          <w:fldChar w:fldCharType="end"/>
        </w:r>
      </w:hyperlink>
    </w:p>
    <w:p>
      <w:pPr>
        <w:tabs>
          <w:tab w:val="right" w:leader="dot" w:pos="9062"/>
        </w:tabs>
        <w:ind w:left="1100"/>
      </w:pPr>
      <w:hyperlink w:anchor="_Toc1256" w:history="1">
        <w:r>
          <w:rPr>
            <w:rFonts w:ascii="IRNazanin" w:hAnsi="IRNazanin" w:eastAsia="IRNazanin" w:cs="IRNazanin"/>
            <w:color w:val="111111"/>
            <w:sz w:val="22"/>
            <w:szCs w:val="22"/>
            <w:b w:val="0"/>
            <w:bCs w:val="0"/>
            <w:i w:val="0"/>
            <w:iCs w:val="0"/>
          </w:rPr>
          <w:t>[عدم اعتبار العجز فی الإکراه الرافع لأثر المعاملات]</w:t>
        </w:r>
        <w:r>
          <w:tab/>
        </w:r>
        <w:r>
          <w:fldChar w:fldCharType="begin"/>
        </w:r>
        <w:r>
          <w:instrText xml:space="preserve">PAGEREF 1256 \h</w:instrText>
        </w:r>
        <w:r>
          <w:fldChar w:fldCharType="end"/>
        </w:r>
      </w:hyperlink>
    </w:p>
    <w:p>
      <w:pPr>
        <w:tabs>
          <w:tab w:val="right" w:leader="dot" w:pos="9062"/>
        </w:tabs>
        <w:ind w:left="1100"/>
      </w:pPr>
      <w:hyperlink w:anchor="_Toc12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1257 \h</w:instrText>
        </w:r>
        <w:r>
          <w:fldChar w:fldCharType="end"/>
        </w:r>
      </w:hyperlink>
    </w:p>
    <w:p>
      <w:pPr>
        <w:tabs>
          <w:tab w:val="right" w:leader="dot" w:pos="9062"/>
        </w:tabs>
        <w:ind w:left="1100"/>
      </w:pPr>
      <w:hyperlink w:anchor="_Toc1258" w:history="1">
        <w:r>
          <w:rPr>
            <w:rFonts w:ascii="IRNazanin" w:hAnsi="IRNazanin" w:eastAsia="IRNazanin" w:cs="IRNazanin"/>
            <w:color w:val="111111"/>
            <w:sz w:val="22"/>
            <w:szCs w:val="22"/>
            <w:b w:val="0"/>
            <w:bCs w:val="0"/>
            <w:i w:val="0"/>
            <w:iCs w:val="0"/>
          </w:rPr>
          <w:t>[المراد من الإکراه الرافع لأثر المعاملات]</w:t>
        </w:r>
        <w:r>
          <w:tab/>
        </w:r>
        <w:r>
          <w:fldChar w:fldCharType="begin"/>
        </w:r>
        <w:r>
          <w:instrText xml:space="preserve">PAGEREF 1258 \h</w:instrText>
        </w:r>
        <w:r>
          <w:fldChar w:fldCharType="end"/>
        </w:r>
      </w:hyperlink>
    </w:p>
    <w:p>
      <w:pPr>
        <w:tabs>
          <w:tab w:val="right" w:leader="dot" w:pos="9062"/>
        </w:tabs>
        <w:ind w:left="1100"/>
      </w:pPr>
      <w:hyperlink w:anchor="_Toc1259" w:history="1">
        <w:r>
          <w:rPr>
            <w:rFonts w:ascii="IRNazanin" w:hAnsi="IRNazanin" w:eastAsia="IRNazanin" w:cs="IRNazanin"/>
            <w:color w:val="111111"/>
            <w:sz w:val="22"/>
            <w:szCs w:val="22"/>
            <w:b w:val="0"/>
            <w:bCs w:val="0"/>
            <w:i w:val="0"/>
            <w:iCs w:val="0"/>
          </w:rPr>
          <w:t>[الفرق بین الأحکام التکلیفیة و الأحکام الوضعیة]</w:t>
        </w:r>
        <w:r>
          <w:tab/>
        </w:r>
        <w:r>
          <w:fldChar w:fldCharType="begin"/>
        </w:r>
        <w:r>
          <w:instrText xml:space="preserve">PAGEREF 1259 \h</w:instrText>
        </w:r>
        <w:r>
          <w:fldChar w:fldCharType="end"/>
        </w:r>
      </w:hyperlink>
    </w:p>
    <w:p>
      <w:pPr>
        <w:tabs>
          <w:tab w:val="right" w:leader="dot" w:pos="9062"/>
        </w:tabs>
        <w:ind w:left="1100"/>
      </w:pPr>
      <w:hyperlink w:anchor="_Toc1260" w:history="1">
        <w:r>
          <w:rPr>
            <w:rFonts w:ascii="IRNazanin" w:hAnsi="IRNazanin" w:eastAsia="IRNazanin" w:cs="IRNazanin"/>
            <w:color w:val="111111"/>
            <w:sz w:val="22"/>
            <w:szCs w:val="22"/>
            <w:b w:val="0"/>
            <w:bCs w:val="0"/>
            <w:i w:val="0"/>
            <w:iCs w:val="0"/>
          </w:rPr>
          <w:t>[لو أکره الشخص علی أحد الأمرین]</w:t>
        </w:r>
        <w:r>
          <w:tab/>
        </w:r>
        <w:r>
          <w:fldChar w:fldCharType="begin"/>
        </w:r>
        <w:r>
          <w:instrText xml:space="preserve">PAGEREF 1260 \h</w:instrText>
        </w:r>
        <w:r>
          <w:fldChar w:fldCharType="end"/>
        </w:r>
      </w:hyperlink>
    </w:p>
    <w:p>
      <w:pPr>
        <w:tabs>
          <w:tab w:val="right" w:leader="dot" w:pos="9062"/>
        </w:tabs>
        <w:ind w:left="1100"/>
      </w:pPr>
      <w:hyperlink w:anchor="_Toc1261" w:history="1">
        <w:r>
          <w:rPr>
            <w:rFonts w:ascii="IRNazanin" w:hAnsi="IRNazanin" w:eastAsia="IRNazanin" w:cs="IRNazanin"/>
            <w:color w:val="111111"/>
            <w:sz w:val="22"/>
            <w:szCs w:val="22"/>
            <w:b w:val="0"/>
            <w:bCs w:val="0"/>
            <w:i w:val="0"/>
            <w:iCs w:val="0"/>
          </w:rPr>
          <w:t>[لو أکره أحد الشخصین علی فعل واحد]</w:t>
        </w:r>
        <w:r>
          <w:tab/>
        </w:r>
        <w:r>
          <w:fldChar w:fldCharType="begin"/>
        </w:r>
        <w:r>
          <w:instrText xml:space="preserve">PAGEREF 1261 \h</w:instrText>
        </w:r>
        <w:r>
          <w:fldChar w:fldCharType="end"/>
        </w:r>
      </w:hyperlink>
    </w:p>
    <w:p>
      <w:pPr>
        <w:tabs>
          <w:tab w:val="right" w:leader="dot" w:pos="9062"/>
        </w:tabs>
        <w:ind w:left="1100"/>
      </w:pPr>
      <w:hyperlink w:anchor="_Toc1262" w:history="1">
        <w:r>
          <w:rPr>
            <w:rFonts w:ascii="IRNazanin" w:hAnsi="IRNazanin" w:eastAsia="IRNazanin" w:cs="IRNazanin"/>
            <w:color w:val="111111"/>
            <w:sz w:val="22"/>
            <w:szCs w:val="22"/>
            <w:b w:val="0"/>
            <w:bCs w:val="0"/>
            <w:i w:val="0"/>
            <w:iCs w:val="0"/>
          </w:rPr>
          <w:t>[صور تعلق الإکراه]</w:t>
        </w:r>
        <w:r>
          <w:tab/>
        </w:r>
        <w:r>
          <w:fldChar w:fldCharType="begin"/>
        </w:r>
        <w:r>
          <w:instrText xml:space="preserve">PAGEREF 1262 \h</w:instrText>
        </w:r>
        <w:r>
          <w:fldChar w:fldCharType="end"/>
        </w:r>
      </w:hyperlink>
    </w:p>
    <w:p>
      <w:pPr>
        <w:tabs>
          <w:tab w:val="right" w:leader="dot" w:pos="9062"/>
        </w:tabs>
        <w:ind w:left="1100"/>
      </w:pPr>
      <w:hyperlink w:anchor="_Toc1263" w:history="1">
        <w:r>
          <w:rPr>
            <w:rFonts w:ascii="IRNazanin" w:hAnsi="IRNazanin" w:eastAsia="IRNazanin" w:cs="IRNazanin"/>
            <w:color w:val="111111"/>
            <w:sz w:val="22"/>
            <w:szCs w:val="22"/>
            <w:b w:val="0"/>
            <w:bCs w:val="0"/>
            <w:i w:val="0"/>
            <w:iCs w:val="0"/>
          </w:rPr>
          <w:t>«فروع»</w:t>
        </w:r>
        <w:r>
          <w:tab/>
        </w:r>
        <w:r>
          <w:fldChar w:fldCharType="begin"/>
        </w:r>
        <w:r>
          <w:instrText xml:space="preserve">PAGEREF 1263 \h</w:instrText>
        </w:r>
        <w:r>
          <w:fldChar w:fldCharType="end"/>
        </w:r>
      </w:hyperlink>
    </w:p>
    <w:p>
      <w:pPr>
        <w:tabs>
          <w:tab w:val="right" w:leader="dot" w:pos="9062"/>
        </w:tabs>
        <w:ind w:left="1100"/>
      </w:pPr>
      <w:hyperlink w:anchor="_Toc12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1264 \h</w:instrText>
        </w:r>
        <w:r>
          <w:fldChar w:fldCharType="end"/>
        </w:r>
      </w:hyperlink>
    </w:p>
    <w:p>
      <w:pPr>
        <w:tabs>
          <w:tab w:val="right" w:leader="dot" w:pos="9062"/>
        </w:tabs>
        <w:ind w:left="1100"/>
      </w:pPr>
      <w:hyperlink w:anchor="_Toc1265" w:history="1">
        <w:r>
          <w:rPr>
            <w:rFonts w:ascii="IRNazanin" w:hAnsi="IRNazanin" w:eastAsia="IRNazanin" w:cs="IRNazanin"/>
            <w:color w:val="111111"/>
            <w:sz w:val="22"/>
            <w:szCs w:val="22"/>
            <w:b w:val="0"/>
            <w:bCs w:val="0"/>
            <w:i w:val="0"/>
            <w:iCs w:val="0"/>
          </w:rPr>
          <w:t>[الإکراه علی بیع عبد من عبدین]</w:t>
        </w:r>
        <w:r>
          <w:tab/>
        </w:r>
        <w:r>
          <w:fldChar w:fldCharType="begin"/>
        </w:r>
        <w:r>
          <w:instrText xml:space="preserve">PAGEREF 1265 \h</w:instrText>
        </w:r>
        <w:r>
          <w:fldChar w:fldCharType="end"/>
        </w:r>
      </w:hyperlink>
    </w:p>
    <w:p>
      <w:pPr>
        <w:tabs>
          <w:tab w:val="right" w:leader="dot" w:pos="9062"/>
        </w:tabs>
        <w:ind w:left="1100"/>
      </w:pPr>
      <w:hyperlink w:anchor="_Toc1266" w:history="1">
        <w:r>
          <w:rPr>
            <w:rFonts w:ascii="IRNazanin" w:hAnsi="IRNazanin" w:eastAsia="IRNazanin" w:cs="IRNazanin"/>
            <w:color w:val="111111"/>
            <w:sz w:val="22"/>
            <w:szCs w:val="22"/>
            <w:b w:val="0"/>
            <w:bCs w:val="0"/>
            <w:i w:val="0"/>
            <w:iCs w:val="0"/>
          </w:rPr>
          <w:t>[الإکراه علی معین فضم غیره إلیه]</w:t>
        </w:r>
        <w:r>
          <w:tab/>
        </w:r>
        <w:r>
          <w:fldChar w:fldCharType="begin"/>
        </w:r>
        <w:r>
          <w:instrText xml:space="preserve">PAGEREF 1266 \h</w:instrText>
        </w:r>
        <w:r>
          <w:fldChar w:fldCharType="end"/>
        </w:r>
      </w:hyperlink>
    </w:p>
    <w:p>
      <w:pPr>
        <w:tabs>
          <w:tab w:val="right" w:leader="dot" w:pos="9062"/>
        </w:tabs>
        <w:ind w:left="1100"/>
      </w:pPr>
      <w:hyperlink w:anchor="_Toc1267" w:history="1">
        <w:r>
          <w:rPr>
            <w:rFonts w:ascii="IRNazanin" w:hAnsi="IRNazanin" w:eastAsia="IRNazanin" w:cs="IRNazanin"/>
            <w:color w:val="111111"/>
            <w:sz w:val="22"/>
            <w:szCs w:val="22"/>
            <w:b w:val="0"/>
            <w:bCs w:val="0"/>
            <w:i w:val="0"/>
            <w:iCs w:val="0"/>
          </w:rPr>
          <w:t>[الإکراه علی الطلاق]</w:t>
        </w:r>
        <w:r>
          <w:tab/>
        </w:r>
        <w:r>
          <w:fldChar w:fldCharType="begin"/>
        </w:r>
        <w:r>
          <w:instrText xml:space="preserve">PAGEREF 1267 \h</w:instrText>
        </w:r>
        <w:r>
          <w:fldChar w:fldCharType="end"/>
        </w:r>
      </w:hyperlink>
    </w:p>
    <w:p>
      <w:pPr>
        <w:tabs>
          <w:tab w:val="right" w:leader="dot" w:pos="9062"/>
        </w:tabs>
        <w:ind w:left="1100"/>
      </w:pPr>
      <w:hyperlink w:anchor="_Toc1268" w:history="1">
        <w:r>
          <w:rPr>
            <w:rFonts w:ascii="IRNazanin" w:hAnsi="IRNazanin" w:eastAsia="IRNazanin" w:cs="IRNazanin"/>
            <w:color w:val="111111"/>
            <w:sz w:val="22"/>
            <w:szCs w:val="22"/>
            <w:b w:val="0"/>
            <w:bCs w:val="0"/>
            <w:i w:val="0"/>
            <w:iCs w:val="0"/>
          </w:rPr>
          <w:t>[أقسام الإکراه علی الطلاق،و أحکامها]</w:t>
        </w:r>
        <w:r>
          <w:tab/>
        </w:r>
        <w:r>
          <w:fldChar w:fldCharType="begin"/>
        </w:r>
        <w:r>
          <w:instrText xml:space="preserve">PAGEREF 1268 \h</w:instrText>
        </w:r>
        <w:r>
          <w:fldChar w:fldCharType="end"/>
        </w:r>
      </w:hyperlink>
    </w:p>
    <w:p>
      <w:pPr>
        <w:tabs>
          <w:tab w:val="right" w:leader="dot" w:pos="9062"/>
        </w:tabs>
        <w:ind w:left="1100"/>
      </w:pPr>
      <w:hyperlink w:anchor="_Toc1269" w:history="1">
        <w:r>
          <w:rPr>
            <w:rFonts w:ascii="IRNazanin" w:hAnsi="IRNazanin" w:eastAsia="IRNazanin" w:cs="IRNazanin"/>
            <w:color w:val="111111"/>
            <w:sz w:val="22"/>
            <w:szCs w:val="22"/>
            <w:b w:val="0"/>
            <w:bCs w:val="0"/>
            <w:i w:val="0"/>
            <w:iCs w:val="0"/>
          </w:rPr>
          <w:t>[عقد المکره لو تعقبه الرضا]</w:t>
        </w:r>
        <w:r>
          <w:tab/>
        </w:r>
        <w:r>
          <w:fldChar w:fldCharType="begin"/>
        </w:r>
        <w:r>
          <w:instrText xml:space="preserve">PAGEREF 1269 \h</w:instrText>
        </w:r>
        <w:r>
          <w:fldChar w:fldCharType="end"/>
        </w:r>
      </w:hyperlink>
    </w:p>
    <w:p>
      <w:pPr>
        <w:tabs>
          <w:tab w:val="right" w:leader="dot" w:pos="9062"/>
        </w:tabs>
        <w:ind w:left="1100"/>
      </w:pPr>
      <w:hyperlink w:anchor="_Toc1270" w:history="1">
        <w:r>
          <w:rPr>
            <w:rFonts w:ascii="IRNazanin" w:hAnsi="IRNazanin" w:eastAsia="IRNazanin" w:cs="IRNazanin"/>
            <w:color w:val="111111"/>
            <w:sz w:val="22"/>
            <w:szCs w:val="22"/>
            <w:b w:val="0"/>
            <w:bCs w:val="0"/>
            <w:i w:val="0"/>
            <w:iCs w:val="0"/>
          </w:rPr>
          <w:t>بقی الکلام فی أنّ الرضا المتأخّر ناقلٌ أو کاشف؟</w:t>
        </w:r>
        <w:r>
          <w:tab/>
        </w:r>
        <w:r>
          <w:fldChar w:fldCharType="begin"/>
        </w:r>
        <w:r>
          <w:instrText xml:space="preserve">PAGEREF 1270 \h</w:instrText>
        </w:r>
        <w:r>
          <w:fldChar w:fldCharType="end"/>
        </w:r>
      </w:hyperlink>
    </w:p>
    <w:p>
      <w:pPr>
        <w:tabs>
          <w:tab w:val="right" w:leader="dot" w:pos="9062"/>
        </w:tabs>
        <w:ind w:left="1100"/>
      </w:pPr>
      <w:hyperlink w:anchor="_Toc1271" w:history="1">
        <w:r>
          <w:rPr>
            <w:rFonts w:ascii="IRNazanin" w:hAnsi="IRNazanin" w:eastAsia="IRNazanin" w:cs="IRNazanin"/>
            <w:color w:val="111111"/>
            <w:sz w:val="22"/>
            <w:szCs w:val="22"/>
            <w:b w:val="0"/>
            <w:bCs w:val="0"/>
            <w:i w:val="0"/>
            <w:iCs w:val="0"/>
          </w:rPr>
          <w:t>مسألة و من شروط المتعاقدین:إذن السیّد لو کان العاقد عبداً،</w:t>
        </w:r>
        <w:r>
          <w:tab/>
        </w:r>
        <w:r>
          <w:fldChar w:fldCharType="begin"/>
        </w:r>
        <w:r>
          <w:instrText xml:space="preserve">PAGEREF 1271 \h</w:instrText>
        </w:r>
        <w:r>
          <w:fldChar w:fldCharType="end"/>
        </w:r>
      </w:hyperlink>
    </w:p>
    <w:p>
      <w:pPr>
        <w:tabs>
          <w:tab w:val="right" w:leader="dot" w:pos="9062"/>
        </w:tabs>
        <w:ind w:left="1100"/>
      </w:pPr>
      <w:hyperlink w:anchor="_Toc12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1272 \h</w:instrText>
        </w:r>
        <w:r>
          <w:fldChar w:fldCharType="end"/>
        </w:r>
      </w:hyperlink>
    </w:p>
    <w:p>
      <w:pPr>
        <w:tabs>
          <w:tab w:val="right" w:leader="dot" w:pos="9062"/>
        </w:tabs>
        <w:ind w:left="1100"/>
      </w:pPr>
      <w:hyperlink w:anchor="_Toc1273" w:history="1">
        <w:r>
          <w:rPr>
            <w:rFonts w:ascii="IRNazanin" w:hAnsi="IRNazanin" w:eastAsia="IRNazanin" w:cs="IRNazanin"/>
            <w:color w:val="111111"/>
            <w:sz w:val="22"/>
            <w:szCs w:val="22"/>
            <w:b w:val="0"/>
            <w:bCs w:val="0"/>
            <w:i w:val="0"/>
            <w:iCs w:val="0"/>
          </w:rPr>
          <w:t>[هل ینفذ إنشاء العبد إذا لحقته إجازة السید؟]</w:t>
        </w:r>
        <w:r>
          <w:tab/>
        </w:r>
        <w:r>
          <w:fldChar w:fldCharType="begin"/>
        </w:r>
        <w:r>
          <w:instrText xml:space="preserve">PAGEREF 1273 \h</w:instrText>
        </w:r>
        <w:r>
          <w:fldChar w:fldCharType="end"/>
        </w:r>
      </w:hyperlink>
    </w:p>
    <w:p>
      <w:pPr>
        <w:tabs>
          <w:tab w:val="right" w:leader="dot" w:pos="9062"/>
        </w:tabs>
        <w:ind w:left="1100"/>
      </w:pPr>
      <w:hyperlink w:anchor="_Toc1274" w:history="1">
        <w:r>
          <w:rPr>
            <w:rFonts w:ascii="IRNazanin" w:hAnsi="IRNazanin" w:eastAsia="IRNazanin" w:cs="IRNazanin"/>
            <w:color w:val="111111"/>
            <w:sz w:val="22"/>
            <w:szCs w:val="22"/>
            <w:b w:val="0"/>
            <w:bCs w:val="0"/>
            <w:i w:val="0"/>
            <w:iCs w:val="0"/>
          </w:rPr>
          <w:t>«فرع» : لو أمر العبدَ آمرٌ أن یشتری نفسه من مولاه فباعه مولاه صحّ و لزم</w:t>
        </w:r>
        <w:r>
          <w:tab/>
        </w:r>
        <w:r>
          <w:fldChar w:fldCharType="begin"/>
        </w:r>
        <w:r>
          <w:instrText xml:space="preserve">PAGEREF 1274 \h</w:instrText>
        </w:r>
        <w:r>
          <w:fldChar w:fldCharType="end"/>
        </w:r>
      </w:hyperlink>
    </w:p>
    <w:p>
      <w:pPr>
        <w:tabs>
          <w:tab w:val="right" w:leader="dot" w:pos="9062"/>
        </w:tabs>
        <w:ind w:left="1100"/>
      </w:pPr>
      <w:hyperlink w:anchor="_Toc1275" w:history="1">
        <w:r>
          <w:rPr>
            <w:rFonts w:ascii="IRNazanin" w:hAnsi="IRNazanin" w:eastAsia="IRNazanin" w:cs="IRNazanin"/>
            <w:color w:val="111111"/>
            <w:sz w:val="22"/>
            <w:szCs w:val="22"/>
            <w:b w:val="0"/>
            <w:bCs w:val="0"/>
            <w:i w:val="0"/>
            <w:iCs w:val="0"/>
          </w:rPr>
          <w:t>مسألة و من شروط المتعاقدین:أن یکونا مالِکَین أو مأذونَین من المالک أو الشارع</w:t>
        </w:r>
        <w:r>
          <w:tab/>
        </w:r>
        <w:r>
          <w:fldChar w:fldCharType="begin"/>
        </w:r>
        <w:r>
          <w:instrText xml:space="preserve">PAGEREF 1275 \h</w:instrText>
        </w:r>
        <w:r>
          <w:fldChar w:fldCharType="end"/>
        </w:r>
      </w:hyperlink>
    </w:p>
    <w:p>
      <w:pPr>
        <w:tabs>
          <w:tab w:val="right" w:leader="dot" w:pos="9062"/>
        </w:tabs>
        <w:ind w:left="1100"/>
      </w:pPr>
      <w:hyperlink w:anchor="_Toc12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1276 \h</w:instrText>
        </w:r>
        <w:r>
          <w:fldChar w:fldCharType="end"/>
        </w:r>
      </w:hyperlink>
    </w:p>
    <w:p>
      <w:pPr>
        <w:tabs>
          <w:tab w:val="right" w:leader="dot" w:pos="9062"/>
        </w:tabs>
        <w:ind w:left="1100"/>
      </w:pPr>
      <w:hyperlink w:anchor="_Toc1277" w:history="1">
        <w:r>
          <w:rPr>
            <w:rFonts w:ascii="IRNazanin" w:hAnsi="IRNazanin" w:eastAsia="IRNazanin" w:cs="IRNazanin"/>
            <w:color w:val="111111"/>
            <w:sz w:val="22"/>
            <w:szCs w:val="22"/>
            <w:b w:val="0"/>
            <w:bCs w:val="0"/>
            <w:i w:val="0"/>
            <w:iCs w:val="0"/>
          </w:rPr>
          <w:t>[الکلام فی عقد الفضولی]</w:t>
        </w:r>
        <w:r>
          <w:tab/>
        </w:r>
        <w:r>
          <w:fldChar w:fldCharType="begin"/>
        </w:r>
        <w:r>
          <w:instrText xml:space="preserve">PAGEREF 1277 \h</w:instrText>
        </w:r>
        <w:r>
          <w:fldChar w:fldCharType="end"/>
        </w:r>
      </w:hyperlink>
    </w:p>
    <w:p>
      <w:pPr>
        <w:tabs>
          <w:tab w:val="right" w:leader="dot" w:pos="9062"/>
        </w:tabs>
        <w:ind w:left="1100"/>
      </w:pPr>
      <w:hyperlink w:anchor="_Toc127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1278 \h</w:instrText>
        </w:r>
        <w:r>
          <w:fldChar w:fldCharType="end"/>
        </w:r>
      </w:hyperlink>
    </w:p>
    <w:p>
      <w:pPr>
        <w:tabs>
          <w:tab w:val="right" w:leader="dot" w:pos="9062"/>
        </w:tabs>
        <w:ind w:left="1100"/>
      </w:pPr>
      <w:hyperlink w:anchor="_Toc1279" w:history="1">
        <w:r>
          <w:rPr>
            <w:rFonts w:ascii="IRNazanin" w:hAnsi="IRNazanin" w:eastAsia="IRNazanin" w:cs="IRNazanin"/>
            <w:color w:val="111111"/>
            <w:sz w:val="22"/>
            <w:szCs w:val="22"/>
            <w:b w:val="0"/>
            <w:bCs w:val="0"/>
            <w:i w:val="0"/>
            <w:iCs w:val="0"/>
          </w:rPr>
          <w:t>اختلف الأصحاب و غیرهم فی بیع الفضولی</w:t>
        </w:r>
        <w:r>
          <w:tab/>
        </w:r>
        <w:r>
          <w:fldChar w:fldCharType="begin"/>
        </w:r>
        <w:r>
          <w:instrText xml:space="preserve">PAGEREF 1279 \h</w:instrText>
        </w:r>
        <w:r>
          <w:fldChar w:fldCharType="end"/>
        </w:r>
      </w:hyperlink>
    </w:p>
    <w:p>
      <w:pPr>
        <w:tabs>
          <w:tab w:val="right" w:leader="dot" w:pos="9062"/>
        </w:tabs>
        <w:ind w:left="1100"/>
      </w:pPr>
      <w:hyperlink w:anchor="_Toc1280" w:history="1">
        <w:r>
          <w:rPr>
            <w:rFonts w:ascii="IRNazanin" w:hAnsi="IRNazanin" w:eastAsia="IRNazanin" w:cs="IRNazanin"/>
            <w:color w:val="111111"/>
            <w:sz w:val="22"/>
            <w:szCs w:val="22"/>
            <w:b w:val="0"/>
            <w:bCs w:val="0"/>
            <w:i w:val="0"/>
            <w:iCs w:val="0"/>
          </w:rPr>
          <w:t>[صور بیع الفضولی]</w:t>
        </w:r>
        <w:r>
          <w:tab/>
        </w:r>
        <w:r>
          <w:fldChar w:fldCharType="begin"/>
        </w:r>
        <w:r>
          <w:instrText xml:space="preserve">PAGEREF 1280 \h</w:instrText>
        </w:r>
        <w:r>
          <w:fldChar w:fldCharType="end"/>
        </w:r>
      </w:hyperlink>
    </w:p>
    <w:p>
      <w:pPr>
        <w:tabs>
          <w:tab w:val="right" w:leader="dot" w:pos="9062"/>
        </w:tabs>
        <w:ind w:left="1100"/>
      </w:pPr>
      <w:hyperlink w:anchor="_Toc128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1281 \h</w:instrText>
        </w:r>
        <w:r>
          <w:fldChar w:fldCharType="end"/>
        </w:r>
      </w:hyperlink>
    </w:p>
    <w:p>
      <w:pPr>
        <w:tabs>
          <w:tab w:val="right" w:leader="dot" w:pos="9062"/>
        </w:tabs>
        <w:ind w:left="1100"/>
      </w:pPr>
      <w:hyperlink w:anchor="_Toc1282" w:history="1">
        <w:r>
          <w:rPr>
            <w:rFonts w:ascii="IRNazanin" w:hAnsi="IRNazanin" w:eastAsia="IRNazanin" w:cs="IRNazanin"/>
            <w:color w:val="111111"/>
            <w:sz w:val="22"/>
            <w:szCs w:val="22"/>
            <w:b w:val="0"/>
            <w:bCs w:val="0"/>
            <w:i w:val="0"/>
            <w:iCs w:val="0"/>
          </w:rPr>
          <w:t>الاُولی : أن یبیع للمالک مع عدم سبق منعٍ من المالک</w:t>
        </w:r>
        <w:r>
          <w:tab/>
        </w:r>
        <w:r>
          <w:fldChar w:fldCharType="begin"/>
        </w:r>
        <w:r>
          <w:instrText xml:space="preserve">PAGEREF 1282 \h</w:instrText>
        </w:r>
        <w:r>
          <w:fldChar w:fldCharType="end"/>
        </w:r>
      </w:hyperlink>
    </w:p>
    <w:p>
      <w:pPr>
        <w:tabs>
          <w:tab w:val="right" w:leader="dot" w:pos="9062"/>
        </w:tabs>
        <w:ind w:left="1100"/>
      </w:pPr>
      <w:hyperlink w:anchor="_Toc128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1283 \h</w:instrText>
        </w:r>
        <w:r>
          <w:fldChar w:fldCharType="end"/>
        </w:r>
      </w:hyperlink>
    </w:p>
    <w:p>
      <w:pPr>
        <w:tabs>
          <w:tab w:val="right" w:leader="dot" w:pos="9062"/>
        </w:tabs>
        <w:ind w:left="1100"/>
      </w:pPr>
      <w:hyperlink w:anchor="_Toc1284" w:history="1">
        <w:r>
          <w:rPr>
            <w:rFonts w:ascii="IRNazanin" w:hAnsi="IRNazanin" w:eastAsia="IRNazanin" w:cs="IRNazanin"/>
            <w:color w:val="111111"/>
            <w:sz w:val="22"/>
            <w:szCs w:val="22"/>
            <w:b w:val="0"/>
            <w:bCs w:val="0"/>
            <w:i w:val="0"/>
            <w:iCs w:val="0"/>
          </w:rPr>
          <w:t>[المناقشة فی الاستدلال بقضیة عروة البارقی]</w:t>
        </w:r>
        <w:r>
          <w:tab/>
        </w:r>
        <w:r>
          <w:fldChar w:fldCharType="begin"/>
        </w:r>
        <w:r>
          <w:instrText xml:space="preserve">PAGEREF 1284 \h</w:instrText>
        </w:r>
        <w:r>
          <w:fldChar w:fldCharType="end"/>
        </w:r>
      </w:hyperlink>
    </w:p>
    <w:p>
      <w:pPr>
        <w:tabs>
          <w:tab w:val="right" w:leader="dot" w:pos="9062"/>
        </w:tabs>
        <w:ind w:left="1100"/>
      </w:pPr>
      <w:hyperlink w:anchor="_Toc1285" w:history="1">
        <w:r>
          <w:rPr>
            <w:rFonts w:ascii="IRNazanin" w:hAnsi="IRNazanin" w:eastAsia="IRNazanin" w:cs="IRNazanin"/>
            <w:color w:val="111111"/>
            <w:sz w:val="22"/>
            <w:szCs w:val="22"/>
            <w:b w:val="0"/>
            <w:bCs w:val="0"/>
            <w:i w:val="0"/>
            <w:iCs w:val="0"/>
          </w:rPr>
          <w:t>[الاستدلال للصحة بصحیحة محمد بن قیس]</w:t>
        </w:r>
        <w:r>
          <w:tab/>
        </w:r>
        <w:r>
          <w:fldChar w:fldCharType="begin"/>
        </w:r>
        <w:r>
          <w:instrText xml:space="preserve">PAGEREF 1285 \h</w:instrText>
        </w:r>
        <w:r>
          <w:fldChar w:fldCharType="end"/>
        </w:r>
      </w:hyperlink>
    </w:p>
    <w:p>
      <w:pPr>
        <w:tabs>
          <w:tab w:val="right" w:leader="dot" w:pos="9062"/>
        </w:tabs>
        <w:ind w:left="1100"/>
      </w:pPr>
      <w:hyperlink w:anchor="_Toc1286" w:history="1">
        <w:r>
          <w:rPr>
            <w:rFonts w:ascii="IRNazanin" w:hAnsi="IRNazanin" w:eastAsia="IRNazanin" w:cs="IRNazanin"/>
            <w:color w:val="111111"/>
            <w:sz w:val="22"/>
            <w:szCs w:val="22"/>
            <w:b w:val="0"/>
            <w:bCs w:val="0"/>
            <w:i w:val="0"/>
            <w:iCs w:val="0"/>
          </w:rPr>
          <w:t>[المناقشة فی الاستدلال بصحیحة محمد بن قیس]</w:t>
        </w:r>
        <w:r>
          <w:tab/>
        </w:r>
        <w:r>
          <w:fldChar w:fldCharType="begin"/>
        </w:r>
        <w:r>
          <w:instrText xml:space="preserve">PAGEREF 1286 \h</w:instrText>
        </w:r>
        <w:r>
          <w:fldChar w:fldCharType="end"/>
        </w:r>
      </w:hyperlink>
    </w:p>
    <w:p>
      <w:pPr>
        <w:tabs>
          <w:tab w:val="right" w:leader="dot" w:pos="9062"/>
        </w:tabs>
        <w:ind w:left="1100"/>
      </w:pPr>
      <w:hyperlink w:anchor="_Toc1287" w:history="1">
        <w:r>
          <w:rPr>
            <w:rFonts w:ascii="IRNazanin" w:hAnsi="IRNazanin" w:eastAsia="IRNazanin" w:cs="IRNazanin"/>
            <w:color w:val="111111"/>
            <w:sz w:val="22"/>
            <w:szCs w:val="22"/>
            <w:b w:val="0"/>
            <w:bCs w:val="0"/>
            <w:i w:val="0"/>
            <w:iCs w:val="0"/>
          </w:rPr>
          <w:t>[توجیه الاستدلال بصحیحة محمد بن قیس]</w:t>
        </w:r>
        <w:r>
          <w:tab/>
        </w:r>
        <w:r>
          <w:fldChar w:fldCharType="begin"/>
        </w:r>
        <w:r>
          <w:instrText xml:space="preserve">PAGEREF 1287 \h</w:instrText>
        </w:r>
        <w:r>
          <w:fldChar w:fldCharType="end"/>
        </w:r>
      </w:hyperlink>
    </w:p>
    <w:p>
      <w:pPr>
        <w:tabs>
          <w:tab w:val="right" w:leader="dot" w:pos="9062"/>
        </w:tabs>
        <w:ind w:left="1100"/>
      </w:pPr>
      <w:hyperlink w:anchor="_Toc1288" w:history="1">
        <w:r>
          <w:rPr>
            <w:rFonts w:ascii="IRNazanin" w:hAnsi="IRNazanin" w:eastAsia="IRNazanin" w:cs="IRNazanin"/>
            <w:color w:val="111111"/>
            <w:sz w:val="22"/>
            <w:szCs w:val="22"/>
            <w:b w:val="0"/>
            <w:bCs w:val="0"/>
            <w:i w:val="0"/>
            <w:iCs w:val="0"/>
          </w:rPr>
          <w:t>[الاستدلال لصحة بیع الفضولی بفحوی صحة نکاحه]</w:t>
        </w:r>
        <w:r>
          <w:tab/>
        </w:r>
        <w:r>
          <w:fldChar w:fldCharType="begin"/>
        </w:r>
        <w:r>
          <w:instrText xml:space="preserve">PAGEREF 1288 \h</w:instrText>
        </w:r>
        <w:r>
          <w:fldChar w:fldCharType="end"/>
        </w:r>
      </w:hyperlink>
    </w:p>
    <w:p>
      <w:pPr>
        <w:tabs>
          <w:tab w:val="right" w:leader="dot" w:pos="9062"/>
        </w:tabs>
        <w:ind w:left="1100"/>
      </w:pPr>
      <w:hyperlink w:anchor="_Toc1289" w:history="1">
        <w:r>
          <w:rPr>
            <w:rFonts w:ascii="IRNazanin" w:hAnsi="IRNazanin" w:eastAsia="IRNazanin" w:cs="IRNazanin"/>
            <w:color w:val="111111"/>
            <w:sz w:val="22"/>
            <w:szCs w:val="22"/>
            <w:b w:val="0"/>
            <w:bCs w:val="0"/>
            <w:i w:val="0"/>
            <w:iCs w:val="0"/>
          </w:rPr>
          <w:t>[المناقشة فی الاستدلال المذکور]</w:t>
        </w:r>
        <w:r>
          <w:tab/>
        </w:r>
        <w:r>
          <w:fldChar w:fldCharType="begin"/>
        </w:r>
        <w:r>
          <w:instrText xml:space="preserve">PAGEREF 1289 \h</w:instrText>
        </w:r>
        <w:r>
          <w:fldChar w:fldCharType="end"/>
        </w:r>
      </w:hyperlink>
    </w:p>
    <w:p>
      <w:pPr>
        <w:tabs>
          <w:tab w:val="right" w:leader="dot" w:pos="9062"/>
        </w:tabs>
        <w:ind w:left="1100"/>
      </w:pPr>
      <w:hyperlink w:anchor="_Toc1290" w:history="1">
        <w:r>
          <w:rPr>
            <w:rFonts w:ascii="IRNazanin" w:hAnsi="IRNazanin" w:eastAsia="IRNazanin" w:cs="IRNazanin"/>
            <w:color w:val="111111"/>
            <w:sz w:val="22"/>
            <w:szCs w:val="22"/>
            <w:b w:val="0"/>
            <w:bCs w:val="0"/>
            <w:i w:val="0"/>
            <w:iCs w:val="0"/>
          </w:rPr>
          <w:t>[ما یؤید لصحة بیع الفضولی]</w:t>
        </w:r>
        <w:r>
          <w:tab/>
        </w:r>
        <w:r>
          <w:fldChar w:fldCharType="begin"/>
        </w:r>
        <w:r>
          <w:instrText xml:space="preserve">PAGEREF 1290 \h</w:instrText>
        </w:r>
        <w:r>
          <w:fldChar w:fldCharType="end"/>
        </w:r>
      </w:hyperlink>
    </w:p>
    <w:p>
      <w:pPr>
        <w:tabs>
          <w:tab w:val="right" w:leader="dot" w:pos="9062"/>
        </w:tabs>
        <w:ind w:left="1100"/>
      </w:pPr>
      <w:hyperlink w:anchor="_Toc1291" w:history="1">
        <w:r>
          <w:rPr>
            <w:rFonts w:ascii="IRNazanin" w:hAnsi="IRNazanin" w:eastAsia="IRNazanin" w:cs="IRNazanin"/>
            <w:color w:val="111111"/>
            <w:sz w:val="22"/>
            <w:szCs w:val="22"/>
            <w:b w:val="0"/>
            <w:bCs w:val="0"/>
            <w:i w:val="0"/>
            <w:iCs w:val="0"/>
          </w:rPr>
          <w:t>[ما ورد فی المضاربة]</w:t>
        </w:r>
        <w:r>
          <w:tab/>
        </w:r>
        <w:r>
          <w:fldChar w:fldCharType="begin"/>
        </w:r>
        <w:r>
          <w:instrText xml:space="preserve">PAGEREF 1291 \h</w:instrText>
        </w:r>
        <w:r>
          <w:fldChar w:fldCharType="end"/>
        </w:r>
      </w:hyperlink>
    </w:p>
    <w:p>
      <w:pPr>
        <w:tabs>
          <w:tab w:val="right" w:leader="dot" w:pos="9062"/>
        </w:tabs>
        <w:ind w:left="1100"/>
      </w:pPr>
      <w:hyperlink w:anchor="_Toc1292" w:history="1">
        <w:r>
          <w:rPr>
            <w:rFonts w:ascii="IRNazanin" w:hAnsi="IRNazanin" w:eastAsia="IRNazanin" w:cs="IRNazanin"/>
            <w:color w:val="111111"/>
            <w:sz w:val="22"/>
            <w:szCs w:val="22"/>
            <w:b w:val="0"/>
            <w:bCs w:val="0"/>
            <w:i w:val="0"/>
            <w:iCs w:val="0"/>
          </w:rPr>
          <w:t>[ما ورد فی اتجار غیر الولی فی مال الیتیم]</w:t>
        </w:r>
        <w:r>
          <w:tab/>
        </w:r>
        <w:r>
          <w:fldChar w:fldCharType="begin"/>
        </w:r>
        <w:r>
          <w:instrText xml:space="preserve">PAGEREF 1292 \h</w:instrText>
        </w:r>
        <w:r>
          <w:fldChar w:fldCharType="end"/>
        </w:r>
      </w:hyperlink>
    </w:p>
    <w:p>
      <w:pPr>
        <w:tabs>
          <w:tab w:val="right" w:leader="dot" w:pos="9062"/>
        </w:tabs>
        <w:ind w:left="1100"/>
      </w:pPr>
      <w:hyperlink w:anchor="_Toc1293" w:history="1">
        <w:r>
          <w:rPr>
            <w:rFonts w:ascii="IRNazanin" w:hAnsi="IRNazanin" w:eastAsia="IRNazanin" w:cs="IRNazanin"/>
            <w:color w:val="111111"/>
            <w:sz w:val="22"/>
            <w:szCs w:val="22"/>
            <w:b w:val="0"/>
            <w:bCs w:val="0"/>
            <w:i w:val="0"/>
            <w:iCs w:val="0"/>
          </w:rPr>
          <w:t>[روایة ابن أشیم]</w:t>
        </w:r>
        <w:r>
          <w:tab/>
        </w:r>
        <w:r>
          <w:fldChar w:fldCharType="begin"/>
        </w:r>
        <w:r>
          <w:instrText xml:space="preserve">PAGEREF 1293 \h</w:instrText>
        </w:r>
        <w:r>
          <w:fldChar w:fldCharType="end"/>
        </w:r>
      </w:hyperlink>
    </w:p>
    <w:p>
      <w:pPr>
        <w:tabs>
          <w:tab w:val="right" w:leader="dot" w:pos="9062"/>
        </w:tabs>
        <w:ind w:left="1100"/>
      </w:pPr>
      <w:hyperlink w:anchor="_Toc1294" w:history="1">
        <w:r>
          <w:rPr>
            <w:rFonts w:ascii="IRNazanin" w:hAnsi="IRNazanin" w:eastAsia="IRNazanin" w:cs="IRNazanin"/>
            <w:color w:val="111111"/>
            <w:sz w:val="22"/>
            <w:szCs w:val="22"/>
            <w:b w:val="0"/>
            <w:bCs w:val="0"/>
            <w:i w:val="0"/>
            <w:iCs w:val="0"/>
          </w:rPr>
          <w:t>[صحیحة الحلبی]</w:t>
        </w:r>
        <w:r>
          <w:tab/>
        </w:r>
        <w:r>
          <w:fldChar w:fldCharType="begin"/>
        </w:r>
        <w:r>
          <w:instrText xml:space="preserve">PAGEREF 1294 \h</w:instrText>
        </w:r>
        <w:r>
          <w:fldChar w:fldCharType="end"/>
        </w:r>
      </w:hyperlink>
    </w:p>
    <w:p>
      <w:pPr>
        <w:tabs>
          <w:tab w:val="right" w:leader="dot" w:pos="9062"/>
        </w:tabs>
        <w:ind w:left="1100"/>
      </w:pPr>
      <w:hyperlink w:anchor="_Toc1295" w:history="1">
        <w:r>
          <w:rPr>
            <w:rFonts w:ascii="IRNazanin" w:hAnsi="IRNazanin" w:eastAsia="IRNazanin" w:cs="IRNazanin"/>
            <w:color w:val="111111"/>
            <w:sz w:val="22"/>
            <w:szCs w:val="22"/>
            <w:b w:val="0"/>
            <w:bCs w:val="0"/>
            <w:i w:val="0"/>
            <w:iCs w:val="0"/>
          </w:rPr>
          <w:t>[موثقة عبد الله]</w:t>
        </w:r>
        <w:r>
          <w:tab/>
        </w:r>
        <w:r>
          <w:fldChar w:fldCharType="begin"/>
        </w:r>
        <w:r>
          <w:instrText xml:space="preserve">PAGEREF 1295 \h</w:instrText>
        </w:r>
        <w:r>
          <w:fldChar w:fldCharType="end"/>
        </w:r>
      </w:hyperlink>
    </w:p>
    <w:p>
      <w:pPr>
        <w:tabs>
          <w:tab w:val="right" w:leader="dot" w:pos="9062"/>
        </w:tabs>
        <w:ind w:left="1100"/>
      </w:pPr>
      <w:hyperlink w:anchor="_Toc1296" w:history="1">
        <w:r>
          <w:rPr>
            <w:rFonts w:ascii="IRNazanin" w:hAnsi="IRNazanin" w:eastAsia="IRNazanin" w:cs="IRNazanin"/>
            <w:color w:val="111111"/>
            <w:sz w:val="22"/>
            <w:szCs w:val="22"/>
            <w:b w:val="0"/>
            <w:bCs w:val="0"/>
            <w:i w:val="0"/>
            <w:iCs w:val="0"/>
          </w:rPr>
          <w:t>[أخبار نکاح العبد بدون إذن مولاه]</w:t>
        </w:r>
        <w:r>
          <w:tab/>
        </w:r>
        <w:r>
          <w:fldChar w:fldCharType="begin"/>
        </w:r>
        <w:r>
          <w:instrText xml:space="preserve">PAGEREF 1296 \h</w:instrText>
        </w:r>
        <w:r>
          <w:fldChar w:fldCharType="end"/>
        </w:r>
      </w:hyperlink>
    </w:p>
    <w:p>
      <w:pPr>
        <w:tabs>
          <w:tab w:val="right" w:leader="dot" w:pos="9062"/>
        </w:tabs>
        <w:ind w:left="1100"/>
      </w:pPr>
      <w:hyperlink w:anchor="_Toc1297" w:history="1">
        <w:r>
          <w:rPr>
            <w:rFonts w:ascii="IRNazanin" w:hAnsi="IRNazanin" w:eastAsia="IRNazanin" w:cs="IRNazanin"/>
            <w:color w:val="111111"/>
            <w:sz w:val="22"/>
            <w:szCs w:val="22"/>
            <w:b w:val="0"/>
            <w:bCs w:val="0"/>
            <w:i w:val="0"/>
            <w:iCs w:val="0"/>
          </w:rPr>
          <w:t>[مختار المؤلف الصحة]</w:t>
        </w:r>
        <w:r>
          <w:tab/>
        </w:r>
        <w:r>
          <w:fldChar w:fldCharType="begin"/>
        </w:r>
        <w:r>
          <w:instrText xml:space="preserve">PAGEREF 1297 \h</w:instrText>
        </w:r>
        <w:r>
          <w:fldChar w:fldCharType="end"/>
        </w:r>
      </w:hyperlink>
    </w:p>
    <w:p>
      <w:pPr>
        <w:tabs>
          <w:tab w:val="right" w:leader="dot" w:pos="9062"/>
        </w:tabs>
        <w:ind w:left="1100"/>
      </w:pPr>
      <w:hyperlink w:anchor="_Toc1298" w:history="1">
        <w:r>
          <w:rPr>
            <w:rFonts w:ascii="IRNazanin" w:hAnsi="IRNazanin" w:eastAsia="IRNazanin" w:cs="IRNazanin"/>
            <w:color w:val="111111"/>
            <w:sz w:val="22"/>
            <w:szCs w:val="22"/>
            <w:b w:val="0"/>
            <w:bCs w:val="0"/>
            <w:i w:val="0"/>
            <w:iCs w:val="0"/>
          </w:rPr>
          <w:t>و احتجّ للبطلان بالأدلّة الأربعة</w:t>
        </w:r>
        <w:r>
          <w:tab/>
        </w:r>
        <w:r>
          <w:fldChar w:fldCharType="begin"/>
        </w:r>
        <w:r>
          <w:instrText xml:space="preserve">PAGEREF 1298 \h</w:instrText>
        </w:r>
        <w:r>
          <w:fldChar w:fldCharType="end"/>
        </w:r>
      </w:hyperlink>
    </w:p>
    <w:p>
      <w:pPr>
        <w:tabs>
          <w:tab w:val="right" w:leader="dot" w:pos="9062"/>
        </w:tabs>
        <w:ind w:left="1100"/>
      </w:pPr>
      <w:hyperlink w:anchor="_Toc1299" w:history="1">
        <w:r>
          <w:rPr>
            <w:rFonts w:ascii="IRNazanin" w:hAnsi="IRNazanin" w:eastAsia="IRNazanin" w:cs="IRNazanin"/>
            <w:color w:val="111111"/>
            <w:sz w:val="22"/>
            <w:szCs w:val="22"/>
            <w:b w:val="0"/>
            <w:bCs w:val="0"/>
            <w:i w:val="0"/>
            <w:iCs w:val="0"/>
          </w:rPr>
          <w:t>أمّا الکتاب : [الاستدلال بآیة التجارة عن تراض]</w:t>
        </w:r>
        <w:r>
          <w:tab/>
        </w:r>
        <w:r>
          <w:fldChar w:fldCharType="begin"/>
        </w:r>
        <w:r>
          <w:instrText xml:space="preserve">PAGEREF 1299 \h</w:instrText>
        </w:r>
        <w:r>
          <w:fldChar w:fldCharType="end"/>
        </w:r>
      </w:hyperlink>
    </w:p>
    <w:p>
      <w:pPr>
        <w:tabs>
          <w:tab w:val="right" w:leader="dot" w:pos="9062"/>
        </w:tabs>
        <w:ind w:left="1100"/>
      </w:pPr>
      <w:hyperlink w:anchor="_Toc1300" w:history="1">
        <w:r>
          <w:rPr>
            <w:rFonts w:ascii="IRNazanin" w:hAnsi="IRNazanin" w:eastAsia="IRNazanin" w:cs="IRNazanin"/>
            <w:color w:val="111111"/>
            <w:sz w:val="22"/>
            <w:szCs w:val="22"/>
            <w:b w:val="0"/>
            <w:bCs w:val="0"/>
            <w:i w:val="0"/>
            <w:iCs w:val="0"/>
          </w:rPr>
          <w:t>و أمّا السنّة : فهی أخبار</w:t>
        </w:r>
        <w:r>
          <w:tab/>
        </w:r>
        <w:r>
          <w:fldChar w:fldCharType="begin"/>
        </w:r>
        <w:r>
          <w:instrText xml:space="preserve">PAGEREF 1300 \h</w:instrText>
        </w:r>
        <w:r>
          <w:fldChar w:fldCharType="end"/>
        </w:r>
      </w:hyperlink>
    </w:p>
    <w:p>
      <w:pPr>
        <w:tabs>
          <w:tab w:val="right" w:leader="dot" w:pos="9062"/>
        </w:tabs>
        <w:ind w:left="1100"/>
      </w:pPr>
      <w:hyperlink w:anchor="_Toc130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1301 \h</w:instrText>
        </w:r>
        <w:r>
          <w:fldChar w:fldCharType="end"/>
        </w:r>
      </w:hyperlink>
    </w:p>
    <w:p>
      <w:pPr>
        <w:tabs>
          <w:tab w:val="right" w:leader="dot" w:pos="9062"/>
        </w:tabs>
        <w:ind w:left="1100"/>
      </w:pPr>
      <w:hyperlink w:anchor="_Toc1302" w:history="1">
        <w:r>
          <w:rPr>
            <w:rFonts w:ascii="IRNazanin" w:hAnsi="IRNazanin" w:eastAsia="IRNazanin" w:cs="IRNazanin"/>
            <w:color w:val="111111"/>
            <w:sz w:val="22"/>
            <w:szCs w:val="22"/>
            <w:b w:val="0"/>
            <w:bCs w:val="0"/>
            <w:i w:val="0"/>
            <w:iCs w:val="0"/>
          </w:rPr>
          <w:t>[المناقشة فی الاستدلال بالروایات]</w:t>
        </w:r>
        <w:r>
          <w:tab/>
        </w:r>
        <w:r>
          <w:fldChar w:fldCharType="begin"/>
        </w:r>
        <w:r>
          <w:instrText xml:space="preserve">PAGEREF 1302 \h</w:instrText>
        </w:r>
        <w:r>
          <w:fldChar w:fldCharType="end"/>
        </w:r>
      </w:hyperlink>
    </w:p>
    <w:p>
      <w:pPr>
        <w:tabs>
          <w:tab w:val="right" w:leader="dot" w:pos="9062"/>
        </w:tabs>
        <w:ind w:left="1100"/>
      </w:pPr>
      <w:hyperlink w:anchor="_Toc1303" w:history="1">
        <w:r>
          <w:rPr>
            <w:rFonts w:ascii="IRNazanin" w:hAnsi="IRNazanin" w:eastAsia="IRNazanin" w:cs="IRNazanin"/>
            <w:color w:val="111111"/>
            <w:sz w:val="22"/>
            <w:szCs w:val="22"/>
            <w:b w:val="0"/>
            <w:bCs w:val="0"/>
            <w:i w:val="0"/>
            <w:iCs w:val="0"/>
          </w:rPr>
          <w:t>الثالث : الإجماع علی البطلان</w:t>
        </w:r>
        <w:r>
          <w:tab/>
        </w:r>
        <w:r>
          <w:fldChar w:fldCharType="begin"/>
        </w:r>
        <w:r>
          <w:instrText xml:space="preserve">PAGEREF 1303 \h</w:instrText>
        </w:r>
        <w:r>
          <w:fldChar w:fldCharType="end"/>
        </w:r>
      </w:hyperlink>
    </w:p>
    <w:p>
      <w:pPr>
        <w:tabs>
          <w:tab w:val="right" w:leader="dot" w:pos="9062"/>
        </w:tabs>
        <w:ind w:left="1100"/>
      </w:pPr>
      <w:hyperlink w:anchor="_Toc1304" w:history="1">
        <w:r>
          <w:rPr>
            <w:rFonts w:ascii="IRNazanin" w:hAnsi="IRNazanin" w:eastAsia="IRNazanin" w:cs="IRNazanin"/>
            <w:color w:val="111111"/>
            <w:sz w:val="22"/>
            <w:szCs w:val="22"/>
            <w:b w:val="0"/>
            <w:bCs w:val="0"/>
            <w:i w:val="0"/>
            <w:iCs w:val="0"/>
          </w:rPr>
          <w:t>الرابع : ما دلّ من العقل و النقل</w:t>
        </w:r>
        <w:r>
          <w:tab/>
        </w:r>
        <w:r>
          <w:fldChar w:fldCharType="begin"/>
        </w:r>
        <w:r>
          <w:instrText xml:space="preserve">PAGEREF 1304 \h</w:instrText>
        </w:r>
        <w:r>
          <w:fldChar w:fldCharType="end"/>
        </w:r>
      </w:hyperlink>
    </w:p>
    <w:p>
      <w:pPr>
        <w:tabs>
          <w:tab w:val="right" w:leader="dot" w:pos="9062"/>
        </w:tabs>
        <w:ind w:left="1100"/>
      </w:pPr>
      <w:hyperlink w:anchor="_Toc1305" w:history="1">
        <w:r>
          <w:rPr>
            <w:rFonts w:ascii="IRNazanin" w:hAnsi="IRNazanin" w:eastAsia="IRNazanin" w:cs="IRNazanin"/>
            <w:color w:val="111111"/>
            <w:sz w:val="22"/>
            <w:szCs w:val="22"/>
            <w:b w:val="0"/>
            <w:bCs w:val="0"/>
            <w:i w:val="0"/>
            <w:iCs w:val="0"/>
          </w:rPr>
          <w:t>و قد یستدلّ للمنع بوجوه أُخر ضعیفة</w:t>
        </w:r>
        <w:r>
          <w:tab/>
        </w:r>
        <w:r>
          <w:fldChar w:fldCharType="begin"/>
        </w:r>
        <w:r>
          <w:instrText xml:space="preserve">PAGEREF 1305 \h</w:instrText>
        </w:r>
        <w:r>
          <w:fldChar w:fldCharType="end"/>
        </w:r>
      </w:hyperlink>
    </w:p>
    <w:p>
      <w:pPr>
        <w:tabs>
          <w:tab w:val="right" w:leader="dot" w:pos="9062"/>
        </w:tabs>
        <w:ind w:left="1100"/>
      </w:pPr>
      <w:hyperlink w:anchor="_Toc1306" w:history="1">
        <w:r>
          <w:rPr>
            <w:rFonts w:ascii="IRNazanin" w:hAnsi="IRNazanin" w:eastAsia="IRNazanin" w:cs="IRNazanin"/>
            <w:color w:val="111111"/>
            <w:sz w:val="22"/>
            <w:szCs w:val="22"/>
            <w:b w:val="0"/>
            <w:bCs w:val="0"/>
            <w:i w:val="0"/>
            <w:iCs w:val="0"/>
          </w:rPr>
          <w:t>المسألة الثانیة : أن یسبقه منع المالک</w:t>
        </w:r>
        <w:r>
          <w:tab/>
        </w:r>
        <w:r>
          <w:fldChar w:fldCharType="begin"/>
        </w:r>
        <w:r>
          <w:instrText xml:space="preserve">PAGEREF 1306 \h</w:instrText>
        </w:r>
        <w:r>
          <w:fldChar w:fldCharType="end"/>
        </w:r>
      </w:hyperlink>
    </w:p>
    <w:p>
      <w:pPr>
        <w:tabs>
          <w:tab w:val="right" w:leader="dot" w:pos="9062"/>
        </w:tabs>
        <w:ind w:left="1100"/>
      </w:pPr>
      <w:hyperlink w:anchor="_Toc1307" w:history="1">
        <w:r>
          <w:rPr>
            <w:rFonts w:ascii="IRNazanin" w:hAnsi="IRNazanin" w:eastAsia="IRNazanin" w:cs="IRNazanin"/>
            <w:color w:val="111111"/>
            <w:sz w:val="22"/>
            <w:szCs w:val="22"/>
            <w:b w:val="0"/>
            <w:bCs w:val="0"/>
            <w:i w:val="0"/>
            <w:iCs w:val="0"/>
          </w:rPr>
          <w:t>المسألة الثالثة : أن یبیع الفضولی لنفسه</w:t>
        </w:r>
        <w:r>
          <w:tab/>
        </w:r>
        <w:r>
          <w:fldChar w:fldCharType="begin"/>
        </w:r>
        <w:r>
          <w:instrText xml:space="preserve">PAGEREF 1307 \h</w:instrText>
        </w:r>
        <w:r>
          <w:fldChar w:fldCharType="end"/>
        </w:r>
      </w:hyperlink>
    </w:p>
    <w:p>
      <w:pPr>
        <w:tabs>
          <w:tab w:val="right" w:leader="dot" w:pos="9062"/>
        </w:tabs>
        <w:ind w:left="1100"/>
      </w:pPr>
      <w:hyperlink w:anchor="_Toc13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1308 \h</w:instrText>
        </w:r>
        <w:r>
          <w:fldChar w:fldCharType="end"/>
        </w:r>
      </w:hyperlink>
    </w:p>
    <w:p>
      <w:pPr>
        <w:tabs>
          <w:tab w:val="right" w:leader="dot" w:pos="9062"/>
        </w:tabs>
        <w:ind w:left="1100"/>
      </w:pPr>
      <w:hyperlink w:anchor="_Toc1309" w:history="1">
        <w:r>
          <w:rPr>
            <w:rFonts w:ascii="IRNazanin" w:hAnsi="IRNazanin" w:eastAsia="IRNazanin" w:cs="IRNazanin"/>
            <w:color w:val="111111"/>
            <w:sz w:val="22"/>
            <w:szCs w:val="22"/>
            <w:b w:val="0"/>
            <w:bCs w:val="0"/>
            <w:i w:val="0"/>
            <w:iCs w:val="0"/>
          </w:rPr>
          <w:t>[الأقوی الصحة و الدلیل علیه]</w:t>
        </w:r>
        <w:r>
          <w:tab/>
        </w:r>
        <w:r>
          <w:fldChar w:fldCharType="begin"/>
        </w:r>
        <w:r>
          <w:instrText xml:space="preserve">PAGEREF 1309 \h</w:instrText>
        </w:r>
        <w:r>
          <w:fldChar w:fldCharType="end"/>
        </w:r>
      </w:hyperlink>
    </w:p>
    <w:p>
      <w:pPr>
        <w:tabs>
          <w:tab w:val="right" w:leader="dot" w:pos="9062"/>
        </w:tabs>
        <w:ind w:left="1100"/>
      </w:pPr>
      <w:hyperlink w:anchor="_Toc1310" w:history="1">
        <w:r>
          <w:rPr>
            <w:rFonts w:ascii="IRNazanin" w:hAnsi="IRNazanin" w:eastAsia="IRNazanin" w:cs="IRNazanin"/>
            <w:color w:val="111111"/>
            <w:sz w:val="22"/>
            <w:szCs w:val="22"/>
            <w:b w:val="0"/>
            <w:bCs w:val="0"/>
            <w:i w:val="0"/>
            <w:iCs w:val="0"/>
          </w:rPr>
          <w:t>[الإشکال علی صحة هذا البیع من وجوه]</w:t>
        </w:r>
        <w:r>
          <w:tab/>
        </w:r>
        <w:r>
          <w:fldChar w:fldCharType="begin"/>
        </w:r>
        <w:r>
          <w:instrText xml:space="preserve">PAGEREF 1310 \h</w:instrText>
        </w:r>
        <w:r>
          <w:fldChar w:fldCharType="end"/>
        </w:r>
      </w:hyperlink>
    </w:p>
    <w:p>
      <w:pPr>
        <w:tabs>
          <w:tab w:val="right" w:leader="dot" w:pos="9062"/>
        </w:tabs>
        <w:ind w:left="1100"/>
      </w:pPr>
      <w:hyperlink w:anchor="_Toc13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1311 \h</w:instrText>
        </w:r>
        <w:r>
          <w:fldChar w:fldCharType="end"/>
        </w:r>
      </w:hyperlink>
    </w:p>
    <w:p>
      <w:pPr>
        <w:tabs>
          <w:tab w:val="right" w:leader="dot" w:pos="9062"/>
        </w:tabs>
        <w:ind w:left="1100"/>
      </w:pPr>
      <w:hyperlink w:anchor="_Toc1312" w:history="1">
        <w:r>
          <w:rPr>
            <w:rFonts w:ascii="IRNazanin" w:hAnsi="IRNazanin" w:eastAsia="IRNazanin" w:cs="IRNazanin"/>
            <w:color w:val="111111"/>
            <w:sz w:val="22"/>
            <w:szCs w:val="22"/>
            <w:b w:val="0"/>
            <w:bCs w:val="0"/>
            <w:i w:val="0"/>
            <w:iCs w:val="0"/>
          </w:rPr>
          <w:t>[الوجه الأول و جوابه]</w:t>
        </w:r>
        <w:r>
          <w:tab/>
        </w:r>
        <w:r>
          <w:fldChar w:fldCharType="begin"/>
        </w:r>
        <w:r>
          <w:instrText xml:space="preserve">PAGEREF 1312 \h</w:instrText>
        </w:r>
        <w:r>
          <w:fldChar w:fldCharType="end"/>
        </w:r>
      </w:hyperlink>
    </w:p>
    <w:p>
      <w:pPr>
        <w:tabs>
          <w:tab w:val="right" w:leader="dot" w:pos="9062"/>
        </w:tabs>
        <w:ind w:left="1100"/>
      </w:pPr>
      <w:hyperlink w:anchor="_Toc1313" w:history="1">
        <w:r>
          <w:rPr>
            <w:rFonts w:ascii="IRNazanin" w:hAnsi="IRNazanin" w:eastAsia="IRNazanin" w:cs="IRNazanin"/>
            <w:color w:val="111111"/>
            <w:sz w:val="22"/>
            <w:szCs w:val="22"/>
            <w:b w:val="0"/>
            <w:bCs w:val="0"/>
            <w:i w:val="0"/>
            <w:iCs w:val="0"/>
          </w:rPr>
          <w:t>[الوجه الثانی و جوابه]</w:t>
        </w:r>
        <w:r>
          <w:tab/>
        </w:r>
        <w:r>
          <w:fldChar w:fldCharType="begin"/>
        </w:r>
        <w:r>
          <w:instrText xml:space="preserve">PAGEREF 1313 \h</w:instrText>
        </w:r>
        <w:r>
          <w:fldChar w:fldCharType="end"/>
        </w:r>
      </w:hyperlink>
    </w:p>
    <w:p>
      <w:pPr>
        <w:tabs>
          <w:tab w:val="right" w:leader="dot" w:pos="9062"/>
        </w:tabs>
        <w:ind w:left="1100"/>
      </w:pPr>
      <w:hyperlink w:anchor="_Toc1314" w:history="1">
        <w:r>
          <w:rPr>
            <w:rFonts w:ascii="IRNazanin" w:hAnsi="IRNazanin" w:eastAsia="IRNazanin" w:cs="IRNazanin"/>
            <w:color w:val="111111"/>
            <w:sz w:val="22"/>
            <w:szCs w:val="22"/>
            <w:b w:val="0"/>
            <w:bCs w:val="0"/>
            <w:i w:val="0"/>
            <w:iCs w:val="0"/>
          </w:rPr>
          <w:t>[الوجه الثالث و جوابه]</w:t>
        </w:r>
        <w:r>
          <w:tab/>
        </w:r>
        <w:r>
          <w:fldChar w:fldCharType="begin"/>
        </w:r>
        <w:r>
          <w:instrText xml:space="preserve">PAGEREF 1314 \h</w:instrText>
        </w:r>
        <w:r>
          <w:fldChar w:fldCharType="end"/>
        </w:r>
      </w:hyperlink>
    </w:p>
    <w:p>
      <w:pPr>
        <w:tabs>
          <w:tab w:val="right" w:leader="dot" w:pos="9062"/>
        </w:tabs>
        <w:ind w:left="1100"/>
      </w:pPr>
      <w:hyperlink w:anchor="_Toc1315" w:history="1">
        <w:r>
          <w:rPr>
            <w:rFonts w:ascii="IRNazanin" w:hAnsi="IRNazanin" w:eastAsia="IRNazanin" w:cs="IRNazanin"/>
            <w:color w:val="111111"/>
            <w:sz w:val="22"/>
            <w:szCs w:val="22"/>
            <w:b w:val="0"/>
            <w:bCs w:val="0"/>
            <w:i w:val="0"/>
            <w:iCs w:val="0"/>
          </w:rPr>
          <w:t>[الوجه الرابع و المناقشات فیه و الجواب عنها]</w:t>
        </w:r>
        <w:r>
          <w:tab/>
        </w:r>
        <w:r>
          <w:fldChar w:fldCharType="begin"/>
        </w:r>
        <w:r>
          <w:instrText xml:space="preserve">PAGEREF 1315 \h</w:instrText>
        </w:r>
        <w:r>
          <w:fldChar w:fldCharType="end"/>
        </w:r>
      </w:hyperlink>
    </w:p>
    <w:p>
      <w:pPr>
        <w:tabs>
          <w:tab w:val="right" w:leader="dot" w:pos="9062"/>
        </w:tabs>
        <w:ind w:left="1100"/>
      </w:pPr>
      <w:hyperlink w:anchor="_Toc1316" w:history="1">
        <w:r>
          <w:rPr>
            <w:rFonts w:ascii="IRNazanin" w:hAnsi="IRNazanin" w:eastAsia="IRNazanin" w:cs="IRNazanin"/>
            <w:color w:val="111111"/>
            <w:sz w:val="22"/>
            <w:szCs w:val="22"/>
            <w:b w:val="0"/>
            <w:bCs w:val="0"/>
            <w:i w:val="0"/>
            <w:iCs w:val="0"/>
          </w:rPr>
          <w:t>[الوجه الخامس و جوابه]</w:t>
        </w:r>
        <w:r>
          <w:tab/>
        </w:r>
        <w:r>
          <w:fldChar w:fldCharType="begin"/>
        </w:r>
        <w:r>
          <w:instrText xml:space="preserve">PAGEREF 1316 \h</w:instrText>
        </w:r>
        <w:r>
          <w:fldChar w:fldCharType="end"/>
        </w:r>
      </w:hyperlink>
    </w:p>
    <w:p>
      <w:pPr>
        <w:tabs>
          <w:tab w:val="right" w:leader="dot" w:pos="9062"/>
        </w:tabs>
        <w:ind w:left="1100"/>
      </w:pPr>
      <w:hyperlink w:anchor="_Toc1317" w:history="1">
        <w:r>
          <w:rPr>
            <w:rFonts w:ascii="IRNazanin" w:hAnsi="IRNazanin" w:eastAsia="IRNazanin" w:cs="IRNazanin"/>
            <w:color w:val="111111"/>
            <w:sz w:val="22"/>
            <w:szCs w:val="22"/>
            <w:b w:val="0"/>
            <w:bCs w:val="0"/>
            <w:i w:val="0"/>
            <w:iCs w:val="0"/>
          </w:rPr>
          <w:t>بقی هنا أمران</w:t>
        </w:r>
        <w:r>
          <w:tab/>
        </w:r>
        <w:r>
          <w:fldChar w:fldCharType="begin"/>
        </w:r>
        <w:r>
          <w:instrText xml:space="preserve">PAGEREF 1317 \h</w:instrText>
        </w:r>
        <w:r>
          <w:fldChar w:fldCharType="end"/>
        </w:r>
      </w:hyperlink>
    </w:p>
    <w:p>
      <w:pPr>
        <w:tabs>
          <w:tab w:val="right" w:leader="dot" w:pos="9062"/>
        </w:tabs>
        <w:ind w:left="1100"/>
      </w:pPr>
      <w:hyperlink w:anchor="_Toc1318" w:history="1">
        <w:r>
          <w:rPr>
            <w:rFonts w:ascii="IRNazanin" w:hAnsi="IRNazanin" w:eastAsia="IRNazanin" w:cs="IRNazanin"/>
            <w:color w:val="111111"/>
            <w:sz w:val="22"/>
            <w:szCs w:val="22"/>
            <w:b w:val="0"/>
            <w:bCs w:val="0"/>
            <w:i w:val="0"/>
            <w:iCs w:val="0"/>
          </w:rPr>
          <w:t>الأوّل : أنّه لا فرق علی القول بصحّة بیع الفضولی بین کون مال الغیر عیناً أو دیناً</w:t>
        </w:r>
        <w:r>
          <w:tab/>
        </w:r>
        <w:r>
          <w:fldChar w:fldCharType="begin"/>
        </w:r>
        <w:r>
          <w:instrText xml:space="preserve">PAGEREF 1318 \h</w:instrText>
        </w:r>
        <w:r>
          <w:fldChar w:fldCharType="end"/>
        </w:r>
      </w:hyperlink>
    </w:p>
    <w:p>
      <w:pPr>
        <w:tabs>
          <w:tab w:val="right" w:leader="dot" w:pos="9062"/>
        </w:tabs>
        <w:ind w:left="1100"/>
      </w:pPr>
      <w:hyperlink w:anchor="_Toc1319" w:history="1">
        <w:r>
          <w:rPr>
            <w:rFonts w:ascii="IRNazanin" w:hAnsi="IRNazanin" w:eastAsia="IRNazanin" w:cs="IRNazanin"/>
            <w:color w:val="111111"/>
            <w:sz w:val="22"/>
            <w:szCs w:val="22"/>
            <w:b w:val="0"/>
            <w:bCs w:val="0"/>
            <w:i w:val="0"/>
            <w:iCs w:val="0"/>
          </w:rPr>
          <w:t>الثانی : الظاهر أنّه لا فرق فیما ذکرنا من أقسام بیع الفضولی بین البیع العقدی و المعاطاة</w:t>
        </w:r>
        <w:r>
          <w:tab/>
        </w:r>
        <w:r>
          <w:fldChar w:fldCharType="begin"/>
        </w:r>
        <w:r>
          <w:instrText xml:space="preserve">PAGEREF 1319 \h</w:instrText>
        </w:r>
        <w:r>
          <w:fldChar w:fldCharType="end"/>
        </w:r>
      </w:hyperlink>
    </w:p>
    <w:p>
      <w:pPr>
        <w:tabs>
          <w:tab w:val="right" w:leader="dot" w:pos="9062"/>
        </w:tabs>
        <w:ind w:left="1100"/>
      </w:pPr>
      <w:hyperlink w:anchor="_Toc1320" w:history="1">
        <w:r>
          <w:rPr>
            <w:rFonts w:ascii="IRNazanin" w:hAnsi="IRNazanin" w:eastAsia="IRNazanin" w:cs="IRNazanin"/>
            <w:color w:val="111111"/>
            <w:sz w:val="22"/>
            <w:szCs w:val="22"/>
            <w:b w:val="0"/>
            <w:bCs w:val="0"/>
            <w:i w:val="0"/>
            <w:iCs w:val="0"/>
          </w:rPr>
          <w:t>القول فی الإجازة و الردّ</w:t>
        </w:r>
        <w:r>
          <w:tab/>
        </w:r>
        <w:r>
          <w:fldChar w:fldCharType="begin"/>
        </w:r>
        <w:r>
          <w:instrText xml:space="preserve">PAGEREF 1320 \h</w:instrText>
        </w:r>
        <w:r>
          <w:fldChar w:fldCharType="end"/>
        </w:r>
      </w:hyperlink>
    </w:p>
    <w:p>
      <w:pPr>
        <w:tabs>
          <w:tab w:val="right" w:leader="dot" w:pos="9062"/>
        </w:tabs>
        <w:ind w:left="1100"/>
      </w:pPr>
      <w:hyperlink w:anchor="_Toc1321" w:history="1">
        <w:r>
          <w:rPr>
            <w:rFonts w:ascii="IRNazanin" w:hAnsi="IRNazanin" w:eastAsia="IRNazanin" w:cs="IRNazanin"/>
            <w:color w:val="111111"/>
            <w:sz w:val="22"/>
            <w:szCs w:val="22"/>
            <w:b w:val="0"/>
            <w:bCs w:val="0"/>
            <w:i w:val="0"/>
            <w:iCs w:val="0"/>
          </w:rPr>
          <w:t>أمّا الکلام فی الإجازة</w:t>
        </w:r>
        <w:r>
          <w:tab/>
        </w:r>
        <w:r>
          <w:fldChar w:fldCharType="begin"/>
        </w:r>
        <w:r>
          <w:instrText xml:space="preserve">PAGEREF 1321 \h</w:instrText>
        </w:r>
        <w:r>
          <w:fldChar w:fldCharType="end"/>
        </w:r>
      </w:hyperlink>
    </w:p>
    <w:p>
      <w:pPr>
        <w:tabs>
          <w:tab w:val="right" w:leader="dot" w:pos="9062"/>
        </w:tabs>
        <w:ind w:left="1100"/>
      </w:pPr>
      <w:hyperlink w:anchor="_Toc13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1322 \h</w:instrText>
        </w:r>
        <w:r>
          <w:fldChar w:fldCharType="end"/>
        </w:r>
      </w:hyperlink>
    </w:p>
    <w:p>
      <w:pPr>
        <w:tabs>
          <w:tab w:val="right" w:leader="dot" w:pos="9062"/>
        </w:tabs>
        <w:ind w:left="1100"/>
      </w:pPr>
      <w:hyperlink w:anchor="_Toc1323" w:history="1">
        <w:r>
          <w:rPr>
            <w:rFonts w:ascii="IRNazanin" w:hAnsi="IRNazanin" w:eastAsia="IRNazanin" w:cs="IRNazanin"/>
            <w:color w:val="111111"/>
            <w:sz w:val="22"/>
            <w:szCs w:val="22"/>
            <w:b w:val="0"/>
            <w:bCs w:val="0"/>
            <w:i w:val="0"/>
            <w:iCs w:val="0"/>
          </w:rPr>
          <w:t>[هل الإجازة کاشفة أم ناقلة]</w:t>
        </w:r>
        <w:r>
          <w:tab/>
        </w:r>
        <w:r>
          <w:fldChar w:fldCharType="begin"/>
        </w:r>
        <w:r>
          <w:instrText xml:space="preserve">PAGEREF 1323 \h</w:instrText>
        </w:r>
        <w:r>
          <w:fldChar w:fldCharType="end"/>
        </w:r>
      </w:hyperlink>
    </w:p>
    <w:p>
      <w:pPr>
        <w:tabs>
          <w:tab w:val="right" w:leader="dot" w:pos="9062"/>
        </w:tabs>
        <w:ind w:left="1100"/>
      </w:pPr>
      <w:hyperlink w:anchor="_Toc1324" w:history="1">
        <w:r>
          <w:rPr>
            <w:rFonts w:ascii="IRNazanin" w:hAnsi="IRNazanin" w:eastAsia="IRNazanin" w:cs="IRNazanin"/>
            <w:color w:val="111111"/>
            <w:sz w:val="22"/>
            <w:szCs w:val="22"/>
            <w:b w:val="0"/>
            <w:bCs w:val="0"/>
            <w:i w:val="0"/>
            <w:iCs w:val="0"/>
          </w:rPr>
          <w:t>أمّا حکمها : فقد اختلف القائلون بصحّة الفضولی</w:t>
        </w:r>
        <w:r>
          <w:tab/>
        </w:r>
        <w:r>
          <w:fldChar w:fldCharType="begin"/>
        </w:r>
        <w:r>
          <w:instrText xml:space="preserve">PAGEREF 1324 \h</w:instrText>
        </w:r>
        <w:r>
          <w:fldChar w:fldCharType="end"/>
        </w:r>
      </w:hyperlink>
    </w:p>
    <w:p>
      <w:pPr>
        <w:tabs>
          <w:tab w:val="right" w:leader="dot" w:pos="9062"/>
        </w:tabs>
        <w:ind w:left="1100"/>
      </w:pPr>
      <w:hyperlink w:anchor="_Toc13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1325 \h</w:instrText>
        </w:r>
        <w:r>
          <w:fldChar w:fldCharType="end"/>
        </w:r>
      </w:hyperlink>
    </w:p>
    <w:p>
      <w:pPr>
        <w:tabs>
          <w:tab w:val="right" w:leader="dot" w:pos="9062"/>
        </w:tabs>
        <w:ind w:left="1100"/>
      </w:pPr>
      <w:hyperlink w:anchor="_Toc1326" w:history="1">
        <w:r>
          <w:rPr>
            <w:rFonts w:ascii="IRNazanin" w:hAnsi="IRNazanin" w:eastAsia="IRNazanin" w:cs="IRNazanin"/>
            <w:color w:val="111111"/>
            <w:sz w:val="22"/>
            <w:szCs w:val="22"/>
            <w:b w:val="0"/>
            <w:bCs w:val="0"/>
            <w:i w:val="0"/>
            <w:iCs w:val="0"/>
          </w:rPr>
          <w:t>[الأکثر علی الکشف]</w:t>
        </w:r>
        <w:r>
          <w:tab/>
        </w:r>
        <w:r>
          <w:fldChar w:fldCharType="begin"/>
        </w:r>
        <w:r>
          <w:instrText xml:space="preserve">PAGEREF 1326 \h</w:instrText>
        </w:r>
        <w:r>
          <w:fldChar w:fldCharType="end"/>
        </w:r>
      </w:hyperlink>
    </w:p>
    <w:p>
      <w:pPr>
        <w:tabs>
          <w:tab w:val="right" w:leader="dot" w:pos="9062"/>
        </w:tabs>
        <w:ind w:left="1100"/>
      </w:pPr>
      <w:hyperlink w:anchor="_Toc1327" w:history="1">
        <w:r>
          <w:rPr>
            <w:rFonts w:ascii="IRNazanin" w:hAnsi="IRNazanin" w:eastAsia="IRNazanin" w:cs="IRNazanin"/>
            <w:color w:val="111111"/>
            <w:sz w:val="22"/>
            <w:szCs w:val="22"/>
            <w:b w:val="0"/>
            <w:bCs w:val="0"/>
            <w:i w:val="0"/>
            <w:iCs w:val="0"/>
          </w:rPr>
          <w:t>[الکلام فی أدلة القائلین بالکشف و المناقشات فیها]</w:t>
        </w:r>
        <w:r>
          <w:tab/>
        </w:r>
        <w:r>
          <w:fldChar w:fldCharType="begin"/>
        </w:r>
        <w:r>
          <w:instrText xml:space="preserve">PAGEREF 1327 \h</w:instrText>
        </w:r>
        <w:r>
          <w:fldChar w:fldCharType="end"/>
        </w:r>
      </w:hyperlink>
    </w:p>
    <w:p>
      <w:pPr>
        <w:tabs>
          <w:tab w:val="right" w:leader="dot" w:pos="9062"/>
        </w:tabs>
        <w:ind w:left="1100"/>
      </w:pPr>
      <w:hyperlink w:anchor="_Toc1328" w:history="1">
        <w:r>
          <w:rPr>
            <w:rFonts w:ascii="IRNazanin" w:hAnsi="IRNazanin" w:eastAsia="IRNazanin" w:cs="IRNazanin"/>
            <w:color w:val="111111"/>
            <w:sz w:val="22"/>
            <w:szCs w:val="22"/>
            <w:b w:val="0"/>
            <w:bCs w:val="0"/>
            <w:i w:val="0"/>
            <w:iCs w:val="0"/>
          </w:rPr>
          <w:t>[معانی الکشف]</w:t>
        </w:r>
        <w:r>
          <w:tab/>
        </w:r>
        <w:r>
          <w:fldChar w:fldCharType="begin"/>
        </w:r>
        <w:r>
          <w:instrText xml:space="preserve">PAGEREF 1328 \h</w:instrText>
        </w:r>
        <w:r>
          <w:fldChar w:fldCharType="end"/>
        </w:r>
      </w:hyperlink>
    </w:p>
    <w:p>
      <w:pPr>
        <w:tabs>
          <w:tab w:val="right" w:leader="dot" w:pos="9062"/>
        </w:tabs>
        <w:ind w:left="1100"/>
      </w:pPr>
      <w:hyperlink w:anchor="_Toc1329" w:history="1">
        <w:r>
          <w:rPr>
            <w:rFonts w:ascii="IRNazanin" w:hAnsi="IRNazanin" w:eastAsia="IRNazanin" w:cs="IRNazanin"/>
            <w:color w:val="111111"/>
            <w:sz w:val="22"/>
            <w:szCs w:val="22"/>
            <w:b w:val="0"/>
            <w:bCs w:val="0"/>
            <w:i w:val="0"/>
            <w:iCs w:val="0"/>
          </w:rPr>
          <w:t>ثمّ إنّهم ذکروا للثمرة بین الکشف و النقل مواضع</w:t>
        </w:r>
        <w:r>
          <w:tab/>
        </w:r>
        <w:r>
          <w:fldChar w:fldCharType="begin"/>
        </w:r>
        <w:r>
          <w:instrText xml:space="preserve">PAGEREF 1329 \h</w:instrText>
        </w:r>
        <w:r>
          <w:fldChar w:fldCharType="end"/>
        </w:r>
      </w:hyperlink>
    </w:p>
    <w:p>
      <w:pPr>
        <w:tabs>
          <w:tab w:val="right" w:leader="dot" w:pos="9062"/>
        </w:tabs>
        <w:ind w:left="1100"/>
      </w:pPr>
      <w:hyperlink w:anchor="_Toc1330" w:history="1">
        <w:r>
          <w:rPr>
            <w:rFonts w:ascii="IRNazanin" w:hAnsi="IRNazanin" w:eastAsia="IRNazanin" w:cs="IRNazanin"/>
            <w:color w:val="111111"/>
            <w:sz w:val="22"/>
            <w:szCs w:val="22"/>
            <w:b w:val="0"/>
            <w:bCs w:val="0"/>
            <w:i w:val="0"/>
            <w:iCs w:val="0"/>
          </w:rPr>
          <w:t>منها : النماء</w:t>
        </w:r>
        <w:r>
          <w:tab/>
        </w:r>
        <w:r>
          <w:fldChar w:fldCharType="begin"/>
        </w:r>
        <w:r>
          <w:instrText xml:space="preserve">PAGEREF 1330 \h</w:instrText>
        </w:r>
        <w:r>
          <w:fldChar w:fldCharType="end"/>
        </w:r>
      </w:hyperlink>
    </w:p>
    <w:p>
      <w:pPr>
        <w:tabs>
          <w:tab w:val="right" w:leader="dot" w:pos="9062"/>
        </w:tabs>
        <w:ind w:left="1100"/>
      </w:pPr>
      <w:hyperlink w:anchor="_Toc1331" w:history="1">
        <w:r>
          <w:rPr>
            <w:rFonts w:ascii="IRNazanin" w:hAnsi="IRNazanin" w:eastAsia="IRNazanin" w:cs="IRNazanin"/>
            <w:color w:val="111111"/>
            <w:sz w:val="22"/>
            <w:szCs w:val="22"/>
            <w:b w:val="0"/>
            <w:bCs w:val="0"/>
            <w:i w:val="0"/>
            <w:iCs w:val="0"/>
          </w:rPr>
          <w:t>و منها : أنّ فسخ الأصیل لإنشائه قبل إجازة الآخر مبطل له علی القول بالنقل،دون الکشف</w:t>
        </w:r>
        <w:r>
          <w:tab/>
        </w:r>
        <w:r>
          <w:fldChar w:fldCharType="begin"/>
        </w:r>
        <w:r>
          <w:instrText xml:space="preserve">PAGEREF 1331 \h</w:instrText>
        </w:r>
        <w:r>
          <w:fldChar w:fldCharType="end"/>
        </w:r>
      </w:hyperlink>
    </w:p>
    <w:p>
      <w:pPr>
        <w:tabs>
          <w:tab w:val="right" w:leader="dot" w:pos="9062"/>
        </w:tabs>
        <w:ind w:left="1100"/>
      </w:pPr>
      <w:hyperlink w:anchor="_Toc1332" w:history="1">
        <w:r>
          <w:rPr>
            <w:rFonts w:ascii="IRNazanin" w:hAnsi="IRNazanin" w:eastAsia="IRNazanin" w:cs="IRNazanin"/>
            <w:color w:val="111111"/>
            <w:sz w:val="22"/>
            <w:szCs w:val="22"/>
            <w:b w:val="0"/>
            <w:bCs w:val="0"/>
            <w:i w:val="0"/>
            <w:iCs w:val="0"/>
          </w:rPr>
          <w:t>و منها : جواز تصرّف الأصیل فیما انتقل عنه بناءً علی النقل</w:t>
        </w:r>
        <w:r>
          <w:tab/>
        </w:r>
        <w:r>
          <w:fldChar w:fldCharType="begin"/>
        </w:r>
        <w:r>
          <w:instrText xml:space="preserve">PAGEREF 1332 \h</w:instrText>
        </w:r>
        <w:r>
          <w:fldChar w:fldCharType="end"/>
        </w:r>
      </w:hyperlink>
    </w:p>
    <w:p>
      <w:pPr>
        <w:tabs>
          <w:tab w:val="right" w:leader="dot" w:pos="9062"/>
        </w:tabs>
        <w:ind w:left="1100"/>
      </w:pPr>
      <w:hyperlink w:anchor="_Toc1333" w:history="1">
        <w:r>
          <w:rPr>
            <w:rFonts w:ascii="IRNazanin" w:hAnsi="IRNazanin" w:eastAsia="IRNazanin" w:cs="IRNazanin"/>
            <w:color w:val="111111"/>
            <w:sz w:val="22"/>
            <w:szCs w:val="22"/>
            <w:b w:val="0"/>
            <w:bCs w:val="0"/>
            <w:i w:val="0"/>
            <w:iCs w:val="0"/>
          </w:rPr>
          <w:t>[أما شروطها]</w:t>
        </w:r>
        <w:r>
          <w:tab/>
        </w:r>
        <w:r>
          <w:fldChar w:fldCharType="begin"/>
        </w:r>
        <w:r>
          <w:instrText xml:space="preserve">PAGEREF 1333 \h</w:instrText>
        </w:r>
        <w:r>
          <w:fldChar w:fldCharType="end"/>
        </w:r>
      </w:hyperlink>
    </w:p>
    <w:p>
      <w:pPr>
        <w:tabs>
          <w:tab w:val="right" w:leader="dot" w:pos="9062"/>
        </w:tabs>
        <w:ind w:left="1100"/>
      </w:pPr>
      <w:hyperlink w:anchor="_Toc1334" w:history="1">
        <w:r>
          <w:rPr>
            <w:rFonts w:ascii="IRNazanin" w:hAnsi="IRNazanin" w:eastAsia="IRNazanin" w:cs="IRNazanin"/>
            <w:color w:val="111111"/>
            <w:sz w:val="22"/>
            <w:szCs w:val="22"/>
            <w:b w:val="0"/>
            <w:bCs w:val="0"/>
            <w:i w:val="0"/>
            <w:iCs w:val="0"/>
          </w:rPr>
          <w:t>و ینبغی التنبیه علی أُمور</w:t>
        </w:r>
        <w:r>
          <w:tab/>
        </w:r>
        <w:r>
          <w:fldChar w:fldCharType="begin"/>
        </w:r>
        <w:r>
          <w:instrText xml:space="preserve">PAGEREF 1334 \h</w:instrText>
        </w:r>
        <w:r>
          <w:fldChar w:fldCharType="end"/>
        </w:r>
      </w:hyperlink>
    </w:p>
    <w:p>
      <w:pPr>
        <w:tabs>
          <w:tab w:val="right" w:leader="dot" w:pos="9062"/>
        </w:tabs>
        <w:ind w:left="1100"/>
      </w:pPr>
      <w:hyperlink w:anchor="_Toc1335" w:history="1">
        <w:r>
          <w:rPr>
            <w:rFonts w:ascii="IRNazanin" w:hAnsi="IRNazanin" w:eastAsia="IRNazanin" w:cs="IRNazanin"/>
            <w:color w:val="111111"/>
            <w:sz w:val="22"/>
            <w:szCs w:val="22"/>
            <w:b w:val="0"/>
            <w:bCs w:val="0"/>
            <w:i w:val="0"/>
            <w:iCs w:val="0"/>
          </w:rPr>
          <w:t>الأوّل : أنّ الخلاف فی کون الإجازة کاشفة أو ناقلة لیس فی مفهومها اللغوی</w:t>
        </w:r>
        <w:r>
          <w:tab/>
        </w:r>
        <w:r>
          <w:fldChar w:fldCharType="begin"/>
        </w:r>
        <w:r>
          <w:instrText xml:space="preserve">PAGEREF 1335 \h</w:instrText>
        </w:r>
        <w:r>
          <w:fldChar w:fldCharType="end"/>
        </w:r>
      </w:hyperlink>
    </w:p>
    <w:p>
      <w:pPr>
        <w:tabs>
          <w:tab w:val="right" w:leader="dot" w:pos="9062"/>
        </w:tabs>
        <w:ind w:left="1100"/>
      </w:pPr>
      <w:hyperlink w:anchor="_Toc1336" w:history="1">
        <w:r>
          <w:rPr>
            <w:rFonts w:ascii="IRNazanin" w:hAnsi="IRNazanin" w:eastAsia="IRNazanin" w:cs="IRNazanin"/>
            <w:color w:val="111111"/>
            <w:sz w:val="22"/>
            <w:szCs w:val="22"/>
            <w:b w:val="0"/>
            <w:bCs w:val="0"/>
            <w:i w:val="0"/>
            <w:iCs w:val="0"/>
          </w:rPr>
          <w:t>الثانی : أنّه یشترط فی الإجازة أن یکون باللفظ الدالّ علیه</w:t>
        </w:r>
        <w:r>
          <w:tab/>
        </w:r>
        <w:r>
          <w:fldChar w:fldCharType="begin"/>
        </w:r>
        <w:r>
          <w:instrText xml:space="preserve">PAGEREF 1336 \h</w:instrText>
        </w:r>
        <w:r>
          <w:fldChar w:fldCharType="end"/>
        </w:r>
      </w:hyperlink>
    </w:p>
    <w:p>
      <w:pPr>
        <w:tabs>
          <w:tab w:val="right" w:leader="dot" w:pos="9062"/>
        </w:tabs>
        <w:ind w:left="1100"/>
      </w:pPr>
      <w:hyperlink w:anchor="_Toc13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1337 \h</w:instrText>
        </w:r>
        <w:r>
          <w:fldChar w:fldCharType="end"/>
        </w:r>
      </w:hyperlink>
    </w:p>
    <w:p>
      <w:pPr>
        <w:tabs>
          <w:tab w:val="right" w:leader="dot" w:pos="9062"/>
        </w:tabs>
        <w:ind w:left="1100"/>
      </w:pPr>
      <w:hyperlink w:anchor="_Toc1338" w:history="1">
        <w:r>
          <w:rPr>
            <w:rFonts w:ascii="IRNazanin" w:hAnsi="IRNazanin" w:eastAsia="IRNazanin" w:cs="IRNazanin"/>
            <w:color w:val="111111"/>
            <w:sz w:val="22"/>
            <w:szCs w:val="22"/>
            <w:b w:val="0"/>
            <w:bCs w:val="0"/>
            <w:i w:val="0"/>
            <w:iCs w:val="0"/>
          </w:rPr>
          <w:t>[کفایة الفعل الکاشف عن الرضا فی الإجازة]</w:t>
        </w:r>
        <w:r>
          <w:tab/>
        </w:r>
        <w:r>
          <w:fldChar w:fldCharType="begin"/>
        </w:r>
        <w:r>
          <w:instrText xml:space="preserve">PAGEREF 1338 \h</w:instrText>
        </w:r>
        <w:r>
          <w:fldChar w:fldCharType="end"/>
        </w:r>
      </w:hyperlink>
    </w:p>
    <w:p>
      <w:pPr>
        <w:tabs>
          <w:tab w:val="right" w:leader="dot" w:pos="9062"/>
        </w:tabs>
        <w:ind w:left="1100"/>
      </w:pPr>
      <w:hyperlink w:anchor="_Toc1339" w:history="1">
        <w:r>
          <w:rPr>
            <w:rFonts w:ascii="IRNazanin" w:hAnsi="IRNazanin" w:eastAsia="IRNazanin" w:cs="IRNazanin"/>
            <w:color w:val="111111"/>
            <w:sz w:val="22"/>
            <w:szCs w:val="22"/>
            <w:b w:val="0"/>
            <w:bCs w:val="0"/>
            <w:i w:val="0"/>
            <w:iCs w:val="0"/>
          </w:rPr>
          <w:t>[کفایة الرضا الباطنی،و الاستدلال علیه]</w:t>
        </w:r>
        <w:r>
          <w:tab/>
        </w:r>
        <w:r>
          <w:fldChar w:fldCharType="begin"/>
        </w:r>
        <w:r>
          <w:instrText xml:space="preserve">PAGEREF 1339 \h</w:instrText>
        </w:r>
        <w:r>
          <w:fldChar w:fldCharType="end"/>
        </w:r>
      </w:hyperlink>
    </w:p>
    <w:p>
      <w:pPr>
        <w:tabs>
          <w:tab w:val="right" w:leader="dot" w:pos="9062"/>
        </w:tabs>
        <w:ind w:left="1100"/>
      </w:pPr>
      <w:hyperlink w:anchor="_Toc1340" w:history="1">
        <w:r>
          <w:rPr>
            <w:rFonts w:ascii="IRNazanin" w:hAnsi="IRNazanin" w:eastAsia="IRNazanin" w:cs="IRNazanin"/>
            <w:color w:val="111111"/>
            <w:sz w:val="22"/>
            <w:szCs w:val="22"/>
            <w:b w:val="0"/>
            <w:bCs w:val="0"/>
            <w:i w:val="0"/>
            <w:iCs w:val="0"/>
          </w:rPr>
          <w:t>[هل یکفی الرضا مقارنا للعقد أو سابقا علیه؟]</w:t>
        </w:r>
        <w:r>
          <w:tab/>
        </w:r>
        <w:r>
          <w:fldChar w:fldCharType="begin"/>
        </w:r>
        <w:r>
          <w:instrText xml:space="preserve">PAGEREF 1340 \h</w:instrText>
        </w:r>
        <w:r>
          <w:fldChar w:fldCharType="end"/>
        </w:r>
      </w:hyperlink>
    </w:p>
    <w:p>
      <w:pPr>
        <w:tabs>
          <w:tab w:val="right" w:leader="dot" w:pos="9062"/>
        </w:tabs>
        <w:ind w:left="1100"/>
      </w:pPr>
      <w:hyperlink w:anchor="_Toc1341" w:history="1">
        <w:r>
          <w:rPr>
            <w:rFonts w:ascii="IRNazanin" w:hAnsi="IRNazanin" w:eastAsia="IRNazanin" w:cs="IRNazanin"/>
            <w:color w:val="111111"/>
            <w:sz w:val="22"/>
            <w:szCs w:val="22"/>
            <w:b w:val="0"/>
            <w:bCs w:val="0"/>
            <w:i w:val="0"/>
            <w:iCs w:val="0"/>
          </w:rPr>
          <w:t>الثالث من شروط الإجازة : أن لا یسبقها الردّ</w:t>
        </w:r>
        <w:r>
          <w:tab/>
        </w:r>
        <w:r>
          <w:fldChar w:fldCharType="begin"/>
        </w:r>
        <w:r>
          <w:instrText xml:space="preserve">PAGEREF 1341 \h</w:instrText>
        </w:r>
        <w:r>
          <w:fldChar w:fldCharType="end"/>
        </w:r>
      </w:hyperlink>
    </w:p>
    <w:p>
      <w:pPr>
        <w:tabs>
          <w:tab w:val="right" w:leader="dot" w:pos="9062"/>
        </w:tabs>
        <w:ind w:left="1100"/>
      </w:pPr>
      <w:hyperlink w:anchor="_Toc1342" w:history="1">
        <w:r>
          <w:rPr>
            <w:rFonts w:ascii="IRNazanin" w:hAnsi="IRNazanin" w:eastAsia="IRNazanin" w:cs="IRNazanin"/>
            <w:color w:val="111111"/>
            <w:sz w:val="22"/>
            <w:szCs w:val="22"/>
            <w:b w:val="0"/>
            <w:bCs w:val="0"/>
            <w:i w:val="0"/>
            <w:iCs w:val="0"/>
          </w:rPr>
          <w:t>الرابع : الإجازة أثر من آثار سلطنة المالک علی ماله</w:t>
        </w:r>
        <w:r>
          <w:tab/>
        </w:r>
        <w:r>
          <w:fldChar w:fldCharType="begin"/>
        </w:r>
        <w:r>
          <w:instrText xml:space="preserve">PAGEREF 1342 \h</w:instrText>
        </w:r>
        <w:r>
          <w:fldChar w:fldCharType="end"/>
        </w:r>
      </w:hyperlink>
    </w:p>
    <w:p>
      <w:pPr>
        <w:tabs>
          <w:tab w:val="right" w:leader="dot" w:pos="9062"/>
        </w:tabs>
        <w:ind w:left="1100"/>
      </w:pPr>
      <w:hyperlink w:anchor="_Toc1343" w:history="1">
        <w:r>
          <w:rPr>
            <w:rFonts w:ascii="IRNazanin" w:hAnsi="IRNazanin" w:eastAsia="IRNazanin" w:cs="IRNazanin"/>
            <w:color w:val="111111"/>
            <w:sz w:val="22"/>
            <w:szCs w:val="22"/>
            <w:b w:val="0"/>
            <w:bCs w:val="0"/>
            <w:i w:val="0"/>
            <w:iCs w:val="0"/>
          </w:rPr>
          <w:t>الخامس : إجازة البیع لیست إجازة لقبض الثمن،و لا لإقباض المبیع</w:t>
        </w:r>
        <w:r>
          <w:tab/>
        </w:r>
        <w:r>
          <w:fldChar w:fldCharType="begin"/>
        </w:r>
        <w:r>
          <w:instrText xml:space="preserve">PAGEREF 1343 \h</w:instrText>
        </w:r>
        <w:r>
          <w:fldChar w:fldCharType="end"/>
        </w:r>
      </w:hyperlink>
    </w:p>
    <w:p>
      <w:pPr>
        <w:tabs>
          <w:tab w:val="right" w:leader="dot" w:pos="9062"/>
        </w:tabs>
        <w:ind w:left="1100"/>
      </w:pPr>
      <w:hyperlink w:anchor="_Toc1344" w:history="1">
        <w:r>
          <w:rPr>
            <w:rFonts w:ascii="IRNazanin" w:hAnsi="IRNazanin" w:eastAsia="IRNazanin" w:cs="IRNazanin"/>
            <w:color w:val="111111"/>
            <w:sz w:val="22"/>
            <w:szCs w:val="22"/>
            <w:b w:val="0"/>
            <w:bCs w:val="0"/>
            <w:i w:val="0"/>
            <w:iCs w:val="0"/>
          </w:rPr>
          <w:t>السادس : الإجازة لیست علی الفور</w:t>
        </w:r>
        <w:r>
          <w:tab/>
        </w:r>
        <w:r>
          <w:fldChar w:fldCharType="begin"/>
        </w:r>
        <w:r>
          <w:instrText xml:space="preserve">PAGEREF 1344 \h</w:instrText>
        </w:r>
        <w:r>
          <w:fldChar w:fldCharType="end"/>
        </w:r>
      </w:hyperlink>
    </w:p>
    <w:p>
      <w:pPr>
        <w:tabs>
          <w:tab w:val="right" w:leader="dot" w:pos="9062"/>
        </w:tabs>
        <w:ind w:left="1100"/>
      </w:pPr>
      <w:hyperlink w:anchor="_Toc1345" w:history="1">
        <w:r>
          <w:rPr>
            <w:rFonts w:ascii="IRNazanin" w:hAnsi="IRNazanin" w:eastAsia="IRNazanin" w:cs="IRNazanin"/>
            <w:color w:val="111111"/>
            <w:sz w:val="22"/>
            <w:szCs w:val="22"/>
            <w:b w:val="0"/>
            <w:bCs w:val="0"/>
            <w:i w:val="0"/>
            <w:iCs w:val="0"/>
          </w:rPr>
          <w:t>السابع : هل یعتبر فی صحّة الإجازة مطابقتها للعقد الواقع عموماً أو خصوصاً،أم لا؟</w:t>
        </w:r>
        <w:r>
          <w:tab/>
        </w:r>
        <w:r>
          <w:fldChar w:fldCharType="begin"/>
        </w:r>
        <w:r>
          <w:instrText xml:space="preserve">PAGEREF 1345 \h</w:instrText>
        </w:r>
        <w:r>
          <w:fldChar w:fldCharType="end"/>
        </w:r>
      </w:hyperlink>
    </w:p>
    <w:p>
      <w:pPr>
        <w:tabs>
          <w:tab w:val="right" w:leader="dot" w:pos="9062"/>
        </w:tabs>
        <w:ind w:left="1100"/>
      </w:pPr>
      <w:hyperlink w:anchor="_Toc1346" w:history="1">
        <w:r>
          <w:rPr>
            <w:rFonts w:ascii="IRNazanin" w:hAnsi="IRNazanin" w:eastAsia="IRNazanin" w:cs="IRNazanin"/>
            <w:color w:val="111111"/>
            <w:sz w:val="22"/>
            <w:szCs w:val="22"/>
            <w:b w:val="0"/>
            <w:bCs w:val="0"/>
            <w:i w:val="0"/>
            <w:iCs w:val="0"/>
          </w:rPr>
          <w:t>و أمّا القول فی المجیز</w:t>
        </w:r>
        <w:r>
          <w:tab/>
        </w:r>
        <w:r>
          <w:fldChar w:fldCharType="begin"/>
        </w:r>
        <w:r>
          <w:instrText xml:space="preserve">PAGEREF 1346 \h</w:instrText>
        </w:r>
        <w:r>
          <w:fldChar w:fldCharType="end"/>
        </w:r>
      </w:hyperlink>
    </w:p>
    <w:p>
      <w:pPr>
        <w:tabs>
          <w:tab w:val="right" w:leader="dot" w:pos="9062"/>
        </w:tabs>
        <w:ind w:left="1100"/>
      </w:pPr>
      <w:hyperlink w:anchor="_Toc13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1347 \h</w:instrText>
        </w:r>
        <w:r>
          <w:fldChar w:fldCharType="end"/>
        </w:r>
      </w:hyperlink>
    </w:p>
    <w:p>
      <w:pPr>
        <w:tabs>
          <w:tab w:val="right" w:leader="dot" w:pos="9062"/>
        </w:tabs>
        <w:ind w:left="1100"/>
      </w:pPr>
      <w:hyperlink w:anchor="_Toc1348" w:history="1">
        <w:r>
          <w:rPr>
            <w:rFonts w:ascii="IRNazanin" w:hAnsi="IRNazanin" w:eastAsia="IRNazanin" w:cs="IRNazanin"/>
            <w:color w:val="111111"/>
            <w:sz w:val="22"/>
            <w:szCs w:val="22"/>
            <w:b w:val="0"/>
            <w:bCs w:val="0"/>
            <w:i w:val="0"/>
            <w:iCs w:val="0"/>
          </w:rPr>
          <w:t>الأوّل : یشترط فی المجیز أن یکون حین الإجازة جائز التصرّف بالبلوغ و العقل و الرشد</w:t>
        </w:r>
        <w:r>
          <w:tab/>
        </w:r>
        <w:r>
          <w:fldChar w:fldCharType="begin"/>
        </w:r>
        <w:r>
          <w:instrText xml:space="preserve">PAGEREF 1348 \h</w:instrText>
        </w:r>
        <w:r>
          <w:fldChar w:fldCharType="end"/>
        </w:r>
      </w:hyperlink>
    </w:p>
    <w:p>
      <w:pPr>
        <w:tabs>
          <w:tab w:val="right" w:leader="dot" w:pos="9062"/>
        </w:tabs>
        <w:ind w:left="1100"/>
      </w:pPr>
      <w:hyperlink w:anchor="_Toc1349" w:history="1">
        <w:r>
          <w:rPr>
            <w:rFonts w:ascii="IRNazanin" w:hAnsi="IRNazanin" w:eastAsia="IRNazanin" w:cs="IRNazanin"/>
            <w:color w:val="111111"/>
            <w:sz w:val="22"/>
            <w:szCs w:val="22"/>
            <w:b w:val="0"/>
            <w:bCs w:val="0"/>
            <w:i w:val="0"/>
            <w:iCs w:val="0"/>
          </w:rPr>
          <w:t>الثانی : هل یشترط فی صحّة عقد الفضولی وجود مجیزٍ حین العقد</w:t>
        </w:r>
        <w:r>
          <w:tab/>
        </w:r>
        <w:r>
          <w:fldChar w:fldCharType="begin"/>
        </w:r>
        <w:r>
          <w:instrText xml:space="preserve">PAGEREF 1349 \h</w:instrText>
        </w:r>
        <w:r>
          <w:fldChar w:fldCharType="end"/>
        </w:r>
      </w:hyperlink>
    </w:p>
    <w:p>
      <w:pPr>
        <w:tabs>
          <w:tab w:val="right" w:leader="dot" w:pos="9062"/>
        </w:tabs>
        <w:ind w:left="1100"/>
      </w:pPr>
      <w:hyperlink w:anchor="_Toc1350" w:history="1">
        <w:r>
          <w:rPr>
            <w:rFonts w:ascii="IRNazanin" w:hAnsi="IRNazanin" w:eastAsia="IRNazanin" w:cs="IRNazanin"/>
            <w:color w:val="111111"/>
            <w:sz w:val="22"/>
            <w:szCs w:val="22"/>
            <w:b w:val="0"/>
            <w:bCs w:val="0"/>
            <w:i w:val="0"/>
            <w:iCs w:val="0"/>
          </w:rPr>
          <w:t>الثالث : لا یشترط فی المجیز کونه جائز التصرّف حال العقد</w:t>
        </w:r>
        <w:r>
          <w:tab/>
        </w:r>
        <w:r>
          <w:fldChar w:fldCharType="begin"/>
        </w:r>
        <w:r>
          <w:instrText xml:space="preserve">PAGEREF 1350 \h</w:instrText>
        </w:r>
        <w:r>
          <w:fldChar w:fldCharType="end"/>
        </w:r>
      </w:hyperlink>
    </w:p>
    <w:p>
      <w:pPr>
        <w:tabs>
          <w:tab w:val="right" w:leader="dot" w:pos="9062"/>
        </w:tabs>
        <w:ind w:left="1100"/>
      </w:pPr>
      <w:hyperlink w:anchor="_Toc1351" w:history="1">
        <w:r>
          <w:rPr>
            <w:rFonts w:ascii="IRNazanin" w:hAnsi="IRNazanin" w:eastAsia="IRNazanin" w:cs="IRNazanin"/>
            <w:color w:val="111111"/>
            <w:sz w:val="22"/>
            <w:szCs w:val="22"/>
            <w:b w:val="0"/>
            <w:bCs w:val="0"/>
            <w:i w:val="0"/>
            <w:iCs w:val="0"/>
          </w:rPr>
          <w:t>فالکلام یقع فی مسائل</w:t>
        </w:r>
        <w:r>
          <w:tab/>
        </w:r>
        <w:r>
          <w:fldChar w:fldCharType="begin"/>
        </w:r>
        <w:r>
          <w:instrText xml:space="preserve">PAGEREF 1351 \h</w:instrText>
        </w:r>
        <w:r>
          <w:fldChar w:fldCharType="end"/>
        </w:r>
      </w:hyperlink>
    </w:p>
    <w:p>
      <w:pPr>
        <w:tabs>
          <w:tab w:val="right" w:leader="dot" w:pos="9062"/>
        </w:tabs>
        <w:ind w:left="1100"/>
      </w:pPr>
      <w:hyperlink w:anchor="_Toc1352" w:history="1">
        <w:r>
          <w:rPr>
            <w:rFonts w:ascii="IRNazanin" w:hAnsi="IRNazanin" w:eastAsia="IRNazanin" w:cs="IRNazanin"/>
            <w:color w:val="111111"/>
            <w:sz w:val="22"/>
            <w:szCs w:val="22"/>
            <w:b w:val="0"/>
            <w:bCs w:val="0"/>
            <w:i w:val="0"/>
            <w:iCs w:val="0"/>
          </w:rPr>
          <w:t>المسألة الاُولی : أن یکون المالک حال العقد هو المالک حال الإجازة</w:t>
        </w:r>
        <w:r>
          <w:tab/>
        </w:r>
        <w:r>
          <w:fldChar w:fldCharType="begin"/>
        </w:r>
        <w:r>
          <w:instrText xml:space="preserve">PAGEREF 1352 \h</w:instrText>
        </w:r>
        <w:r>
          <w:fldChar w:fldCharType="end"/>
        </w:r>
      </w:hyperlink>
    </w:p>
    <w:p>
      <w:pPr>
        <w:tabs>
          <w:tab w:val="right" w:leader="dot" w:pos="9062"/>
        </w:tabs>
        <w:ind w:left="1100"/>
      </w:pPr>
      <w:hyperlink w:anchor="_Toc1353" w:history="1">
        <w:r>
          <w:rPr>
            <w:rFonts w:ascii="IRNazanin" w:hAnsi="IRNazanin" w:eastAsia="IRNazanin" w:cs="IRNazanin"/>
            <w:color w:val="111111"/>
            <w:sz w:val="22"/>
            <w:szCs w:val="22"/>
            <w:b w:val="0"/>
            <w:bCs w:val="0"/>
            <w:i w:val="0"/>
            <w:iCs w:val="0"/>
          </w:rPr>
          <w:t>[المسألة] الثانیة : أن یتجدّد الملک بعد العقد فیجیز المالک الجدید سواء کان هو البائع أو غیره</w:t>
        </w:r>
        <w:r>
          <w:tab/>
        </w:r>
        <w:r>
          <w:fldChar w:fldCharType="begin"/>
        </w:r>
        <w:r>
          <w:instrText xml:space="preserve">PAGEREF 1353 \h</w:instrText>
        </w:r>
        <w:r>
          <w:fldChar w:fldCharType="end"/>
        </w:r>
      </w:hyperlink>
    </w:p>
    <w:p>
      <w:pPr>
        <w:tabs>
          <w:tab w:val="right" w:leader="dot" w:pos="9062"/>
        </w:tabs>
        <w:ind w:left="1100"/>
      </w:pPr>
      <w:hyperlink w:anchor="_Toc13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1354 \h</w:instrText>
        </w:r>
        <w:r>
          <w:fldChar w:fldCharType="end"/>
        </w:r>
      </w:hyperlink>
    </w:p>
    <w:p>
      <w:pPr>
        <w:tabs>
          <w:tab w:val="right" w:leader="dot" w:pos="9062"/>
        </w:tabs>
        <w:ind w:left="1100"/>
      </w:pPr>
      <w:hyperlink w:anchor="_Toc1355" w:history="1">
        <w:r>
          <w:rPr>
            <w:rFonts w:ascii="IRNazanin" w:hAnsi="IRNazanin" w:eastAsia="IRNazanin" w:cs="IRNazanin"/>
            <w:color w:val="111111"/>
            <w:sz w:val="22"/>
            <w:szCs w:val="22"/>
            <w:b w:val="0"/>
            <w:bCs w:val="0"/>
            <w:i w:val="0"/>
            <w:iCs w:val="0"/>
          </w:rPr>
          <w:t>[لو باع لنفسه ثم اشتراه و أجاز]</w:t>
        </w:r>
        <w:r>
          <w:tab/>
        </w:r>
        <w:r>
          <w:fldChar w:fldCharType="begin"/>
        </w:r>
        <w:r>
          <w:instrText xml:space="preserve">PAGEREF 1355 \h</w:instrText>
        </w:r>
        <w:r>
          <w:fldChar w:fldCharType="end"/>
        </w:r>
      </w:hyperlink>
    </w:p>
    <w:p>
      <w:pPr>
        <w:tabs>
          <w:tab w:val="right" w:leader="dot" w:pos="9062"/>
        </w:tabs>
        <w:ind w:left="1100"/>
      </w:pPr>
      <w:hyperlink w:anchor="_Toc1356" w:history="1">
        <w:r>
          <w:rPr>
            <w:rFonts w:ascii="IRNazanin" w:hAnsi="IRNazanin" w:eastAsia="IRNazanin" w:cs="IRNazanin"/>
            <w:color w:val="111111"/>
            <w:sz w:val="22"/>
            <w:szCs w:val="22"/>
            <w:b w:val="0"/>
            <w:bCs w:val="0"/>
            <w:i w:val="0"/>
            <w:iCs w:val="0"/>
          </w:rPr>
          <w:t>[الأقوی الصحة]</w:t>
        </w:r>
        <w:r>
          <w:tab/>
        </w:r>
        <w:r>
          <w:fldChar w:fldCharType="begin"/>
        </w:r>
        <w:r>
          <w:instrText xml:space="preserve">PAGEREF 1356 \h</w:instrText>
        </w:r>
        <w:r>
          <w:fldChar w:fldCharType="end"/>
        </w:r>
      </w:hyperlink>
    </w:p>
    <w:p>
      <w:pPr>
        <w:tabs>
          <w:tab w:val="right" w:leader="dot" w:pos="9062"/>
        </w:tabs>
        <w:ind w:left="1100"/>
      </w:pPr>
      <w:hyperlink w:anchor="_Toc1357" w:history="1">
        <w:r>
          <w:rPr>
            <w:rFonts w:ascii="IRNazanin" w:hAnsi="IRNazanin" w:eastAsia="IRNazanin" w:cs="IRNazanin"/>
            <w:color w:val="111111"/>
            <w:sz w:val="22"/>
            <w:szCs w:val="22"/>
            <w:b w:val="0"/>
            <w:bCs w:val="0"/>
            <w:i w:val="0"/>
            <w:iCs w:val="0"/>
          </w:rPr>
          <w:t>[ما أورده المحقق التستری علی الصحة و الجواب عنه]</w:t>
        </w:r>
        <w:r>
          <w:tab/>
        </w:r>
        <w:r>
          <w:fldChar w:fldCharType="begin"/>
        </w:r>
        <w:r>
          <w:instrText xml:space="preserve">PAGEREF 1357 \h</w:instrText>
        </w:r>
        <w:r>
          <w:fldChar w:fldCharType="end"/>
        </w:r>
      </w:hyperlink>
    </w:p>
    <w:p>
      <w:pPr>
        <w:tabs>
          <w:tab w:val="right" w:leader="dot" w:pos="9062"/>
        </w:tabs>
        <w:ind w:left="1100"/>
      </w:pPr>
      <w:hyperlink w:anchor="_Toc13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1358 \h</w:instrText>
        </w:r>
        <w:r>
          <w:fldChar w:fldCharType="end"/>
        </w:r>
      </w:hyperlink>
    </w:p>
    <w:p>
      <w:pPr>
        <w:tabs>
          <w:tab w:val="right" w:leader="dot" w:pos="9062"/>
        </w:tabs>
        <w:ind w:left="1100"/>
      </w:pPr>
      <w:hyperlink w:anchor="_Toc1359" w:history="1">
        <w:r>
          <w:rPr>
            <w:rFonts w:ascii="IRNazanin" w:hAnsi="IRNazanin" w:eastAsia="IRNazanin" w:cs="IRNazanin"/>
            <w:color w:val="111111"/>
            <w:sz w:val="22"/>
            <w:szCs w:val="22"/>
            <w:b w:val="0"/>
            <w:bCs w:val="0"/>
            <w:i w:val="0"/>
            <w:iCs w:val="0"/>
          </w:rPr>
          <w:t>الأوّل : أنّه باع مال الغیر لنفسه</w:t>
        </w:r>
        <w:r>
          <w:tab/>
        </w:r>
        <w:r>
          <w:fldChar w:fldCharType="begin"/>
        </w:r>
        <w:r>
          <w:instrText xml:space="preserve">PAGEREF 1359 \h</w:instrText>
        </w:r>
        <w:r>
          <w:fldChar w:fldCharType="end"/>
        </w:r>
      </w:hyperlink>
    </w:p>
    <w:p>
      <w:pPr>
        <w:tabs>
          <w:tab w:val="right" w:leader="dot" w:pos="9062"/>
        </w:tabs>
        <w:ind w:left="1100"/>
      </w:pPr>
      <w:hyperlink w:anchor="_Toc1360" w:history="1">
        <w:r>
          <w:rPr>
            <w:rFonts w:ascii="IRNazanin" w:hAnsi="IRNazanin" w:eastAsia="IRNazanin" w:cs="IRNazanin"/>
            <w:color w:val="111111"/>
            <w:sz w:val="22"/>
            <w:szCs w:val="22"/>
            <w:b w:val="0"/>
            <w:bCs w:val="0"/>
            <w:i w:val="0"/>
            <w:iCs w:val="0"/>
          </w:rPr>
          <w:t>الثانی : إنّا حیث جوّزنا بیع غیر المملوک مع انتفاء الملک و رضا المالک و القدرة علی التسلیم اکتفینا بحصول ذلک للمالک المجیز</w:t>
        </w:r>
        <w:r>
          <w:tab/>
        </w:r>
        <w:r>
          <w:fldChar w:fldCharType="begin"/>
        </w:r>
        <w:r>
          <w:instrText xml:space="preserve">PAGEREF 1360 \h</w:instrText>
        </w:r>
        <w:r>
          <w:fldChar w:fldCharType="end"/>
        </w:r>
      </w:hyperlink>
    </w:p>
    <w:p>
      <w:pPr>
        <w:tabs>
          <w:tab w:val="right" w:leader="dot" w:pos="9062"/>
        </w:tabs>
        <w:ind w:left="1100"/>
      </w:pPr>
      <w:hyperlink w:anchor="_Toc1361" w:history="1">
        <w:r>
          <w:rPr>
            <w:rFonts w:ascii="IRNazanin" w:hAnsi="IRNazanin" w:eastAsia="IRNazanin" w:cs="IRNazanin"/>
            <w:color w:val="111111"/>
            <w:sz w:val="22"/>
            <w:szCs w:val="22"/>
            <w:b w:val="0"/>
            <w:bCs w:val="0"/>
            <w:i w:val="0"/>
            <w:iCs w:val="0"/>
          </w:rPr>
          <w:t>الثالث : أنّ الإجازة حیث صحّت کاشفة-علی الأصحّ-مطلقاً</w:t>
        </w:r>
        <w:r>
          <w:tab/>
        </w:r>
        <w:r>
          <w:fldChar w:fldCharType="begin"/>
        </w:r>
        <w:r>
          <w:instrText xml:space="preserve">PAGEREF 1361 \h</w:instrText>
        </w:r>
        <w:r>
          <w:fldChar w:fldCharType="end"/>
        </w:r>
      </w:hyperlink>
    </w:p>
    <w:p>
      <w:pPr>
        <w:tabs>
          <w:tab w:val="right" w:leader="dot" w:pos="9062"/>
        </w:tabs>
        <w:ind w:left="1100"/>
      </w:pPr>
      <w:hyperlink w:anchor="_Toc1362" w:history="1">
        <w:r>
          <w:rPr>
            <w:rFonts w:ascii="IRNazanin" w:hAnsi="IRNazanin" w:eastAsia="IRNazanin" w:cs="IRNazanin"/>
            <w:color w:val="111111"/>
            <w:sz w:val="22"/>
            <w:szCs w:val="22"/>
            <w:b w:val="0"/>
            <w:bCs w:val="0"/>
            <w:i w:val="0"/>
            <w:iCs w:val="0"/>
          </w:rPr>
          <w:t>الرابع : أنّ العقد الأوّل إنّما صحّ و ترتّب علیه أثره بإجازة الفضولی</w:t>
        </w:r>
        <w:r>
          <w:tab/>
        </w:r>
        <w:r>
          <w:fldChar w:fldCharType="begin"/>
        </w:r>
        <w:r>
          <w:instrText xml:space="preserve">PAGEREF 1362 \h</w:instrText>
        </w:r>
        <w:r>
          <w:fldChar w:fldCharType="end"/>
        </w:r>
      </w:hyperlink>
    </w:p>
    <w:p>
      <w:pPr>
        <w:tabs>
          <w:tab w:val="right" w:leader="dot" w:pos="9062"/>
        </w:tabs>
        <w:ind w:left="1100"/>
      </w:pPr>
      <w:hyperlink w:anchor="_Toc1363" w:history="1">
        <w:r>
          <w:rPr>
            <w:rFonts w:ascii="IRNazanin" w:hAnsi="IRNazanin" w:eastAsia="IRNazanin" w:cs="IRNazanin"/>
            <w:color w:val="111111"/>
            <w:sz w:val="22"/>
            <w:szCs w:val="22"/>
            <w:b w:val="0"/>
            <w:bCs w:val="0"/>
            <w:i w:val="0"/>
            <w:iCs w:val="0"/>
          </w:rPr>
          <w:t>الخامس : أنّ الإجازة المتأخّرة لمّا کشفت عن صحّة العقد الأوّل و عن کون المال ملک المشتری الأوّل،فقد وقع العقد الثانی علی ماله</w:t>
        </w:r>
        <w:r>
          <w:tab/>
        </w:r>
        <w:r>
          <w:fldChar w:fldCharType="begin"/>
        </w:r>
        <w:r>
          <w:instrText xml:space="preserve">PAGEREF 1363 \h</w:instrText>
        </w:r>
        <w:r>
          <w:fldChar w:fldCharType="end"/>
        </w:r>
      </w:hyperlink>
    </w:p>
    <w:p>
      <w:pPr>
        <w:tabs>
          <w:tab w:val="right" w:leader="dot" w:pos="9062"/>
        </w:tabs>
        <w:ind w:left="1100"/>
      </w:pPr>
      <w:hyperlink w:anchor="_Toc1364" w:history="1">
        <w:r>
          <w:rPr>
            <w:rFonts w:ascii="IRNazanin" w:hAnsi="IRNazanin" w:eastAsia="IRNazanin" w:cs="IRNazanin"/>
            <w:color w:val="111111"/>
            <w:sz w:val="22"/>
            <w:szCs w:val="22"/>
            <w:b w:val="0"/>
            <w:bCs w:val="0"/>
            <w:i w:val="0"/>
            <w:iCs w:val="0"/>
          </w:rPr>
          <w:t>السادس : أنّ من المعلوم أنّه یکفی فی إجازة المالک و فسخه فعل ما هو من لوازمهما</w:t>
        </w:r>
        <w:r>
          <w:tab/>
        </w:r>
        <w:r>
          <w:fldChar w:fldCharType="begin"/>
        </w:r>
        <w:r>
          <w:instrText xml:space="preserve">PAGEREF 1364 \h</w:instrText>
        </w:r>
        <w:r>
          <w:fldChar w:fldCharType="end"/>
        </w:r>
      </w:hyperlink>
    </w:p>
    <w:p>
      <w:pPr>
        <w:tabs>
          <w:tab w:val="right" w:leader="dot" w:pos="9062"/>
        </w:tabs>
        <w:ind w:left="1100"/>
      </w:pPr>
      <w:hyperlink w:anchor="_Toc1365" w:history="1">
        <w:r>
          <w:rPr>
            <w:rFonts w:ascii="IRNazanin" w:hAnsi="IRNazanin" w:eastAsia="IRNazanin" w:cs="IRNazanin"/>
            <w:color w:val="111111"/>
            <w:sz w:val="22"/>
            <w:szCs w:val="22"/>
            <w:b w:val="0"/>
            <w:bCs w:val="0"/>
            <w:i w:val="0"/>
            <w:iCs w:val="0"/>
          </w:rPr>
          <w:t>السابع : الأخبار المستفیضة الحاکیة لنهی النبیّ صلّی اللّه علیه و آله عن بیع ما لیس عندک</w:t>
        </w:r>
        <w:r>
          <w:tab/>
        </w:r>
        <w:r>
          <w:fldChar w:fldCharType="begin"/>
        </w:r>
        <w:r>
          <w:instrText xml:space="preserve">PAGEREF 1365 \h</w:instrText>
        </w:r>
        <w:r>
          <w:fldChar w:fldCharType="end"/>
        </w:r>
      </w:hyperlink>
    </w:p>
    <w:p>
      <w:pPr>
        <w:tabs>
          <w:tab w:val="right" w:leader="dot" w:pos="9062"/>
        </w:tabs>
        <w:ind w:left="1100"/>
      </w:pPr>
      <w:hyperlink w:anchor="_Toc1366" w:history="1">
        <w:r>
          <w:rPr>
            <w:rFonts w:ascii="IRNazanin" w:hAnsi="IRNazanin" w:eastAsia="IRNazanin" w:cs="IRNazanin"/>
            <w:color w:val="111111"/>
            <w:sz w:val="22"/>
            <w:szCs w:val="22"/>
            <w:b w:val="0"/>
            <w:bCs w:val="0"/>
            <w:i w:val="0"/>
            <w:iCs w:val="0"/>
          </w:rPr>
          <w:t>[مورد الروایات ما لو باع لنفسه غیر مترقب للإجازة]</w:t>
        </w:r>
        <w:r>
          <w:tab/>
        </w:r>
        <w:r>
          <w:fldChar w:fldCharType="begin"/>
        </w:r>
        <w:r>
          <w:instrText xml:space="preserve">PAGEREF 1366 \h</w:instrText>
        </w:r>
        <w:r>
          <w:fldChar w:fldCharType="end"/>
        </w:r>
      </w:hyperlink>
    </w:p>
    <w:p>
      <w:pPr>
        <w:tabs>
          <w:tab w:val="right" w:leader="dot" w:pos="9062"/>
        </w:tabs>
        <w:ind w:left="1100"/>
      </w:pPr>
      <w:hyperlink w:anchor="_Toc1367" w:history="1">
        <w:r>
          <w:rPr>
            <w:rFonts w:ascii="IRNazanin" w:hAnsi="IRNazanin" w:eastAsia="IRNazanin" w:cs="IRNazanin"/>
            <w:color w:val="111111"/>
            <w:sz w:val="22"/>
            <w:szCs w:val="22"/>
            <w:b w:val="0"/>
            <w:bCs w:val="0"/>
            <w:i w:val="0"/>
            <w:iCs w:val="0"/>
          </w:rPr>
          <w:t>[لو باع لنفسه ثم تملکه و لم یجز]</w:t>
        </w:r>
        <w:r>
          <w:tab/>
        </w:r>
        <w:r>
          <w:fldChar w:fldCharType="begin"/>
        </w:r>
        <w:r>
          <w:instrText xml:space="preserve">PAGEREF 1367 \h</w:instrText>
        </w:r>
        <w:r>
          <w:fldChar w:fldCharType="end"/>
        </w:r>
      </w:hyperlink>
    </w:p>
    <w:p>
      <w:pPr>
        <w:tabs>
          <w:tab w:val="right" w:leader="dot" w:pos="9062"/>
        </w:tabs>
        <w:ind w:left="1100"/>
      </w:pPr>
      <w:hyperlink w:anchor="_Toc1368" w:history="1">
        <w:r>
          <w:rPr>
            <w:rFonts w:ascii="IRNazanin" w:hAnsi="IRNazanin" w:eastAsia="IRNazanin" w:cs="IRNazanin"/>
            <w:color w:val="111111"/>
            <w:sz w:val="22"/>
            <w:szCs w:val="22"/>
            <w:b w:val="0"/>
            <w:bCs w:val="0"/>
            <w:i w:val="0"/>
            <w:iCs w:val="0"/>
          </w:rPr>
          <w:t>المسألة الثالثة : ما لو باع معتقداً لکونه غیر جائز التصرّف فبان کونه جائز التصرّف</w:t>
        </w:r>
        <w:r>
          <w:tab/>
        </w:r>
        <w:r>
          <w:fldChar w:fldCharType="begin"/>
        </w:r>
        <w:r>
          <w:instrText xml:space="preserve">PAGEREF 1368 \h</w:instrText>
        </w:r>
        <w:r>
          <w:fldChar w:fldCharType="end"/>
        </w:r>
      </w:hyperlink>
    </w:p>
    <w:p>
      <w:pPr>
        <w:tabs>
          <w:tab w:val="right" w:leader="dot" w:pos="9062"/>
        </w:tabs>
        <w:ind w:left="1100"/>
      </w:pPr>
      <w:hyperlink w:anchor="_Toc136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1369 \h</w:instrText>
        </w:r>
        <w:r>
          <w:fldChar w:fldCharType="end"/>
        </w:r>
      </w:hyperlink>
    </w:p>
    <w:p>
      <w:pPr>
        <w:tabs>
          <w:tab w:val="right" w:leader="dot" w:pos="9062"/>
        </w:tabs>
        <w:ind w:left="1100"/>
      </w:pPr>
      <w:hyperlink w:anchor="_Toc1370" w:history="1">
        <w:r>
          <w:rPr>
            <w:rFonts w:ascii="IRNazanin" w:hAnsi="IRNazanin" w:eastAsia="IRNazanin" w:cs="IRNazanin"/>
            <w:color w:val="111111"/>
            <w:sz w:val="22"/>
            <w:szCs w:val="22"/>
            <w:b w:val="0"/>
            <w:bCs w:val="0"/>
            <w:i w:val="0"/>
            <w:iCs w:val="0"/>
          </w:rPr>
          <w:t>الاُولی : أن یبیع عن المالک فانکشف</w:t>
        </w:r>
        <w:r>
          <w:tab/>
        </w:r>
        <w:r>
          <w:fldChar w:fldCharType="begin"/>
        </w:r>
        <w:r>
          <w:instrText xml:space="preserve">PAGEREF 1370 \h</w:instrText>
        </w:r>
        <w:r>
          <w:fldChar w:fldCharType="end"/>
        </w:r>
      </w:hyperlink>
    </w:p>
    <w:p>
      <w:pPr>
        <w:tabs>
          <w:tab w:val="right" w:leader="dot" w:pos="9062"/>
        </w:tabs>
        <w:ind w:left="1100"/>
      </w:pPr>
      <w:hyperlink w:anchor="_Toc1371" w:history="1">
        <w:r>
          <w:rPr>
            <w:rFonts w:ascii="IRNazanin" w:hAnsi="IRNazanin" w:eastAsia="IRNazanin" w:cs="IRNazanin"/>
            <w:color w:val="111111"/>
            <w:sz w:val="22"/>
            <w:szCs w:val="22"/>
            <w:b w:val="0"/>
            <w:bCs w:val="0"/>
            <w:i w:val="0"/>
            <w:iCs w:val="0"/>
          </w:rPr>
          <w:t>الثانیة : أن یبیع لنفسه فانکشف کونه ولیّاً</w:t>
        </w:r>
        <w:r>
          <w:tab/>
        </w:r>
        <w:r>
          <w:fldChar w:fldCharType="begin"/>
        </w:r>
        <w:r>
          <w:instrText xml:space="preserve">PAGEREF 1371 \h</w:instrText>
        </w:r>
        <w:r>
          <w:fldChar w:fldCharType="end"/>
        </w:r>
      </w:hyperlink>
    </w:p>
    <w:p>
      <w:pPr>
        <w:tabs>
          <w:tab w:val="right" w:leader="dot" w:pos="9062"/>
        </w:tabs>
        <w:ind w:left="1100"/>
      </w:pPr>
      <w:hyperlink w:anchor="_Toc1372" w:history="1">
        <w:r>
          <w:rPr>
            <w:rFonts w:ascii="IRNazanin" w:hAnsi="IRNazanin" w:eastAsia="IRNazanin" w:cs="IRNazanin"/>
            <w:color w:val="111111"/>
            <w:sz w:val="22"/>
            <w:szCs w:val="22"/>
            <w:b w:val="0"/>
            <w:bCs w:val="0"/>
            <w:i w:val="0"/>
            <w:iCs w:val="0"/>
          </w:rPr>
          <w:t>الثالثة : أن یبیع عن المالک ثمّ ینکشف کونه مالکاً</w:t>
        </w:r>
        <w:r>
          <w:tab/>
        </w:r>
        <w:r>
          <w:fldChar w:fldCharType="begin"/>
        </w:r>
        <w:r>
          <w:instrText xml:space="preserve">PAGEREF 1372 \h</w:instrText>
        </w:r>
        <w:r>
          <w:fldChar w:fldCharType="end"/>
        </w:r>
      </w:hyperlink>
    </w:p>
    <w:p>
      <w:pPr>
        <w:tabs>
          <w:tab w:val="right" w:leader="dot" w:pos="9062"/>
        </w:tabs>
        <w:ind w:left="1100"/>
      </w:pPr>
      <w:hyperlink w:anchor="_Toc1373" w:history="1">
        <w:r>
          <w:rPr>
            <w:rFonts w:ascii="IRNazanin" w:hAnsi="IRNazanin" w:eastAsia="IRNazanin" w:cs="IRNazanin"/>
            <w:color w:val="111111"/>
            <w:sz w:val="22"/>
            <w:szCs w:val="22"/>
            <w:b w:val="0"/>
            <w:bCs w:val="0"/>
            <w:i w:val="0"/>
            <w:iCs w:val="0"/>
          </w:rPr>
          <w:t>الرابعة : أن یبیع لنفسه باعتقاد أنّه لغیره فانکشف أنّه له</w:t>
        </w:r>
        <w:r>
          <w:tab/>
        </w:r>
        <w:r>
          <w:fldChar w:fldCharType="begin"/>
        </w:r>
        <w:r>
          <w:instrText xml:space="preserve">PAGEREF 1373 \h</w:instrText>
        </w:r>
        <w:r>
          <w:fldChar w:fldCharType="end"/>
        </w:r>
      </w:hyperlink>
    </w:p>
    <w:p>
      <w:pPr>
        <w:tabs>
          <w:tab w:val="right" w:leader="dot" w:pos="9062"/>
        </w:tabs>
        <w:ind w:left="1100"/>
      </w:pPr>
      <w:hyperlink w:anchor="_Toc1374" w:history="1">
        <w:r>
          <w:rPr>
            <w:rFonts w:ascii="IRNazanin" w:hAnsi="IRNazanin" w:eastAsia="IRNazanin" w:cs="IRNazanin"/>
            <w:color w:val="111111"/>
            <w:sz w:val="22"/>
            <w:szCs w:val="22"/>
            <w:b w:val="0"/>
            <w:bCs w:val="0"/>
            <w:i w:val="0"/>
            <w:iCs w:val="0"/>
          </w:rPr>
          <w:t>و أمّا القول فی المجاز</w:t>
        </w:r>
        <w:r>
          <w:tab/>
        </w:r>
        <w:r>
          <w:fldChar w:fldCharType="begin"/>
        </w:r>
        <w:r>
          <w:instrText xml:space="preserve">PAGEREF 1374 \h</w:instrText>
        </w:r>
        <w:r>
          <w:fldChar w:fldCharType="end"/>
        </w:r>
      </w:hyperlink>
    </w:p>
    <w:p>
      <w:pPr>
        <w:tabs>
          <w:tab w:val="right" w:leader="dot" w:pos="9062"/>
        </w:tabs>
        <w:ind w:left="1100"/>
      </w:pPr>
      <w:hyperlink w:anchor="_Toc13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1375 \h</w:instrText>
        </w:r>
        <w:r>
          <w:fldChar w:fldCharType="end"/>
        </w:r>
      </w:hyperlink>
    </w:p>
    <w:p>
      <w:pPr>
        <w:tabs>
          <w:tab w:val="right" w:leader="dot" w:pos="9062"/>
        </w:tabs>
        <w:ind w:left="1100"/>
      </w:pPr>
      <w:hyperlink w:anchor="_Toc1376" w:history="1">
        <w:r>
          <w:rPr>
            <w:rFonts w:ascii="IRNazanin" w:hAnsi="IRNazanin" w:eastAsia="IRNazanin" w:cs="IRNazanin"/>
            <w:color w:val="111111"/>
            <w:sz w:val="22"/>
            <w:szCs w:val="22"/>
            <w:b w:val="0"/>
            <w:bCs w:val="0"/>
            <w:i w:val="0"/>
            <w:iCs w:val="0"/>
          </w:rPr>
          <w:t>الأوّل : یشترط فیه کونه جامعاً لجمیع الشروط المعتبرة فی تأثیره عدا رضا المالک</w:t>
        </w:r>
        <w:r>
          <w:tab/>
        </w:r>
        <w:r>
          <w:fldChar w:fldCharType="begin"/>
        </w:r>
        <w:r>
          <w:instrText xml:space="preserve">PAGEREF 1376 \h</w:instrText>
        </w:r>
        <w:r>
          <w:fldChar w:fldCharType="end"/>
        </w:r>
      </w:hyperlink>
    </w:p>
    <w:p>
      <w:pPr>
        <w:tabs>
          <w:tab w:val="right" w:leader="dot" w:pos="9062"/>
        </w:tabs>
        <w:ind w:left="1100"/>
      </w:pPr>
      <w:hyperlink w:anchor="_Toc1377" w:history="1">
        <w:r>
          <w:rPr>
            <w:rFonts w:ascii="IRNazanin" w:hAnsi="IRNazanin" w:eastAsia="IRNazanin" w:cs="IRNazanin"/>
            <w:color w:val="111111"/>
            <w:sz w:val="22"/>
            <w:szCs w:val="22"/>
            <w:b w:val="0"/>
            <w:bCs w:val="0"/>
            <w:i w:val="0"/>
            <w:iCs w:val="0"/>
          </w:rPr>
          <w:t>الثانی : هل یشترط فی المجاز کونه معلوماً للمجیز بالتفصیل</w:t>
        </w:r>
        <w:r>
          <w:tab/>
        </w:r>
        <w:r>
          <w:fldChar w:fldCharType="begin"/>
        </w:r>
        <w:r>
          <w:instrText xml:space="preserve">PAGEREF 1377 \h</w:instrText>
        </w:r>
        <w:r>
          <w:fldChar w:fldCharType="end"/>
        </w:r>
      </w:hyperlink>
    </w:p>
    <w:p>
      <w:pPr>
        <w:tabs>
          <w:tab w:val="right" w:leader="dot" w:pos="9062"/>
        </w:tabs>
        <w:ind w:left="1100"/>
      </w:pPr>
      <w:hyperlink w:anchor="_Toc1378" w:history="1">
        <w:r>
          <w:rPr>
            <w:rFonts w:ascii="IRNazanin" w:hAnsi="IRNazanin" w:eastAsia="IRNazanin" w:cs="IRNazanin"/>
            <w:color w:val="111111"/>
            <w:sz w:val="22"/>
            <w:szCs w:val="22"/>
            <w:b w:val="0"/>
            <w:bCs w:val="0"/>
            <w:i w:val="0"/>
            <w:iCs w:val="0"/>
          </w:rPr>
          <w:t>الثالث : المجاز،إمّا العقد الواقع علی نفس مال الغیر،و إمّا العقد الواقع علی عوضه</w:t>
        </w:r>
        <w:r>
          <w:tab/>
        </w:r>
        <w:r>
          <w:fldChar w:fldCharType="begin"/>
        </w:r>
        <w:r>
          <w:instrText xml:space="preserve">PAGEREF 1378 \h</w:instrText>
        </w:r>
        <w:r>
          <w:fldChar w:fldCharType="end"/>
        </w:r>
      </w:hyperlink>
    </w:p>
    <w:p>
      <w:pPr>
        <w:tabs>
          <w:tab w:val="right" w:leader="dot" w:pos="9062"/>
        </w:tabs>
        <w:ind w:left="1100"/>
      </w:pPr>
      <w:hyperlink w:anchor="_Toc1379" w:history="1">
        <w:r>
          <w:rPr>
            <w:rFonts w:ascii="IRNazanin" w:hAnsi="IRNazanin" w:eastAsia="IRNazanin" w:cs="IRNazanin"/>
            <w:color w:val="111111"/>
            <w:sz w:val="22"/>
            <w:szCs w:val="22"/>
            <w:b w:val="0"/>
            <w:bCs w:val="0"/>
            <w:i w:val="0"/>
            <w:iCs w:val="0"/>
          </w:rPr>
          <w:t>مسألة فی أحکام الردّ</w:t>
        </w:r>
        <w:r>
          <w:tab/>
        </w:r>
        <w:r>
          <w:fldChar w:fldCharType="begin"/>
        </w:r>
        <w:r>
          <w:instrText xml:space="preserve">PAGEREF 1379 \h</w:instrText>
        </w:r>
        <w:r>
          <w:fldChar w:fldCharType="end"/>
        </w:r>
      </w:hyperlink>
    </w:p>
    <w:p>
      <w:pPr>
        <w:tabs>
          <w:tab w:val="right" w:leader="dot" w:pos="9062"/>
        </w:tabs>
        <w:ind w:left="1100"/>
      </w:pPr>
      <w:hyperlink w:anchor="_Toc1380" w:history="1">
        <w:r>
          <w:rPr>
            <w:rFonts w:ascii="IRNazanin" w:hAnsi="IRNazanin" w:eastAsia="IRNazanin" w:cs="IRNazanin"/>
            <w:color w:val="111111"/>
            <w:sz w:val="22"/>
            <w:szCs w:val="22"/>
            <w:b w:val="0"/>
            <w:bCs w:val="0"/>
            <w:i w:val="0"/>
            <w:iCs w:val="0"/>
          </w:rPr>
          <w:t>[ما یتحقق به الرد]</w:t>
        </w:r>
        <w:r>
          <w:tab/>
        </w:r>
        <w:r>
          <w:fldChar w:fldCharType="begin"/>
        </w:r>
        <w:r>
          <w:instrText xml:space="preserve">PAGEREF 1380 \h</w:instrText>
        </w:r>
        <w:r>
          <w:fldChar w:fldCharType="end"/>
        </w:r>
      </w:hyperlink>
    </w:p>
    <w:p>
      <w:pPr>
        <w:tabs>
          <w:tab w:val="right" w:leader="dot" w:pos="9062"/>
        </w:tabs>
        <w:ind w:left="1100"/>
      </w:pPr>
      <w:hyperlink w:anchor="_Toc1381" w:history="1">
        <w:r>
          <w:rPr>
            <w:rFonts w:ascii="IRNazanin" w:hAnsi="IRNazanin" w:eastAsia="IRNazanin" w:cs="IRNazanin"/>
            <w:color w:val="111111"/>
            <w:sz w:val="22"/>
            <w:szCs w:val="22"/>
            <w:b w:val="0"/>
            <w:bCs w:val="0"/>
            <w:i w:val="0"/>
            <w:iCs w:val="0"/>
          </w:rPr>
          <w:t>[هل یتحقق الرد بالتصرف غیر المخرج عن الملک؟]</w:t>
        </w:r>
        <w:r>
          <w:tab/>
        </w:r>
        <w:r>
          <w:fldChar w:fldCharType="begin"/>
        </w:r>
        <w:r>
          <w:instrText xml:space="preserve">PAGEREF 1381 \h</w:instrText>
        </w:r>
        <w:r>
          <w:fldChar w:fldCharType="end"/>
        </w:r>
      </w:hyperlink>
    </w:p>
    <w:p>
      <w:pPr>
        <w:tabs>
          <w:tab w:val="right" w:leader="dot" w:pos="9062"/>
        </w:tabs>
        <w:ind w:left="1100"/>
      </w:pPr>
      <w:hyperlink w:anchor="_Toc1382" w:history="1">
        <w:r>
          <w:rPr>
            <w:rFonts w:ascii="IRNazanin" w:hAnsi="IRNazanin" w:eastAsia="IRNazanin" w:cs="IRNazanin"/>
            <w:color w:val="111111"/>
            <w:sz w:val="22"/>
            <w:szCs w:val="22"/>
            <w:b w:val="0"/>
            <w:bCs w:val="0"/>
            <w:i w:val="0"/>
            <w:iCs w:val="0"/>
          </w:rPr>
          <w:t>[التصرفات الغیر المنافیة لملک المشتری]</w:t>
        </w:r>
        <w:r>
          <w:tab/>
        </w:r>
        <w:r>
          <w:fldChar w:fldCharType="begin"/>
        </w:r>
        <w:r>
          <w:instrText xml:space="preserve">PAGEREF 1382 \h</w:instrText>
        </w:r>
        <w:r>
          <w:fldChar w:fldCharType="end"/>
        </w:r>
      </w:hyperlink>
    </w:p>
    <w:p>
      <w:pPr>
        <w:tabs>
          <w:tab w:val="right" w:leader="dot" w:pos="9062"/>
        </w:tabs>
        <w:ind w:left="1100"/>
      </w:pPr>
      <w:hyperlink w:anchor="_Toc1383" w:history="1">
        <w:r>
          <w:rPr>
            <w:rFonts w:ascii="IRNazanin" w:hAnsi="IRNazanin" w:eastAsia="IRNazanin" w:cs="IRNazanin"/>
            <w:color w:val="111111"/>
            <w:sz w:val="22"/>
            <w:szCs w:val="22"/>
            <w:b w:val="0"/>
            <w:bCs w:val="0"/>
            <w:i w:val="0"/>
            <w:iCs w:val="0"/>
          </w:rPr>
          <w:t>[مسائل متفرقة]</w:t>
        </w:r>
        <w:r>
          <w:tab/>
        </w:r>
        <w:r>
          <w:fldChar w:fldCharType="begin"/>
        </w:r>
        <w:r>
          <w:instrText xml:space="preserve">PAGEREF 1383 \h</w:instrText>
        </w:r>
        <w:r>
          <w:fldChar w:fldCharType="end"/>
        </w:r>
      </w:hyperlink>
    </w:p>
    <w:p>
      <w:pPr>
        <w:tabs>
          <w:tab w:val="right" w:leader="dot" w:pos="9062"/>
        </w:tabs>
        <w:ind w:left="1100"/>
      </w:pPr>
      <w:hyperlink w:anchor="_Toc1384" w:history="1">
        <w:r>
          <w:rPr>
            <w:rFonts w:ascii="IRNazanin" w:hAnsi="IRNazanin" w:eastAsia="IRNazanin" w:cs="IRNazanin"/>
            <w:color w:val="111111"/>
            <w:sz w:val="22"/>
            <w:szCs w:val="22"/>
            <w:b w:val="0"/>
            <w:bCs w:val="0"/>
            <w:i w:val="0"/>
            <w:iCs w:val="0"/>
          </w:rPr>
          <w:t>مسألة : لو لم یجز المالک،فإن کان المبیع فی یده فهو،و إلّا فله انتزاعه</w:t>
        </w:r>
        <w:r>
          <w:tab/>
        </w:r>
        <w:r>
          <w:fldChar w:fldCharType="begin"/>
        </w:r>
        <w:r>
          <w:instrText xml:space="preserve">PAGEREF 1384 \h</w:instrText>
        </w:r>
        <w:r>
          <w:fldChar w:fldCharType="end"/>
        </w:r>
      </w:hyperlink>
    </w:p>
    <w:p>
      <w:pPr>
        <w:tabs>
          <w:tab w:val="right" w:leader="dot" w:pos="9062"/>
        </w:tabs>
        <w:ind w:left="1100"/>
      </w:pPr>
      <w:hyperlink w:anchor="_Toc1385" w:history="1">
        <w:r>
          <w:rPr>
            <w:rFonts w:ascii="IRNazanin" w:hAnsi="IRNazanin" w:eastAsia="IRNazanin" w:cs="IRNazanin"/>
            <w:color w:val="111111"/>
            <w:sz w:val="22"/>
            <w:szCs w:val="22"/>
            <w:b w:val="0"/>
            <w:bCs w:val="0"/>
            <w:i w:val="0"/>
            <w:iCs w:val="0"/>
          </w:rPr>
          <w:t>مسألة : لو باع الفضولی مال غیره مع مال نفسه</w:t>
        </w:r>
        <w:r>
          <w:tab/>
        </w:r>
        <w:r>
          <w:fldChar w:fldCharType="begin"/>
        </w:r>
        <w:r>
          <w:instrText xml:space="preserve">PAGEREF 1385 \h</w:instrText>
        </w:r>
        <w:r>
          <w:fldChar w:fldCharType="end"/>
        </w:r>
      </w:hyperlink>
    </w:p>
    <w:p>
      <w:pPr>
        <w:tabs>
          <w:tab w:val="right" w:leader="dot" w:pos="9062"/>
        </w:tabs>
        <w:ind w:left="1100"/>
      </w:pPr>
      <w:hyperlink w:anchor="_Toc1386" w:history="1">
        <w:r>
          <w:rPr>
            <w:rFonts w:ascii="IRNazanin" w:hAnsi="IRNazanin" w:eastAsia="IRNazanin" w:cs="IRNazanin"/>
            <w:color w:val="111111"/>
            <w:sz w:val="22"/>
            <w:szCs w:val="22"/>
            <w:b w:val="0"/>
            <w:bCs w:val="0"/>
            <w:i w:val="0"/>
            <w:iCs w:val="0"/>
          </w:rPr>
          <w:t>مسألة : لو باع من له نصف الدار نصف ملک</w:t>
        </w:r>
        <w:r>
          <w:tab/>
        </w:r>
        <w:r>
          <w:fldChar w:fldCharType="begin"/>
        </w:r>
        <w:r>
          <w:instrText xml:space="preserve">PAGEREF 1386 \h</w:instrText>
        </w:r>
        <w:r>
          <w:fldChar w:fldCharType="end"/>
        </w:r>
      </w:hyperlink>
    </w:p>
    <w:p>
      <w:pPr>
        <w:tabs>
          <w:tab w:val="right" w:leader="dot" w:pos="9062"/>
        </w:tabs>
        <w:ind w:left="1100"/>
      </w:pPr>
      <w:hyperlink w:anchor="_Toc1387" w:history="1">
        <w:r>
          <w:rPr>
            <w:rFonts w:ascii="IRNazanin" w:hAnsi="IRNazanin" w:eastAsia="IRNazanin" w:cs="IRNazanin"/>
            <w:color w:val="111111"/>
            <w:sz w:val="22"/>
            <w:szCs w:val="22"/>
            <w:b w:val="0"/>
            <w:bCs w:val="0"/>
            <w:i w:val="0"/>
            <w:iCs w:val="0"/>
          </w:rPr>
          <w:t>مسألة : لو باع ما یقبل التملّک و ما لا یقبله</w:t>
        </w:r>
        <w:r>
          <w:tab/>
        </w:r>
        <w:r>
          <w:fldChar w:fldCharType="begin"/>
        </w:r>
        <w:r>
          <w:instrText xml:space="preserve">PAGEREF 1387 \h</w:instrText>
        </w:r>
        <w:r>
          <w:fldChar w:fldCharType="end"/>
        </w:r>
      </w:hyperlink>
    </w:p>
    <w:p>
      <w:pPr>
        <w:tabs>
          <w:tab w:val="right" w:leader="dot" w:pos="9062"/>
        </w:tabs>
        <w:ind w:left="1100"/>
      </w:pPr>
      <w:hyperlink w:anchor="_Toc1388" w:history="1">
        <w:r>
          <w:rPr>
            <w:rFonts w:ascii="IRNazanin" w:hAnsi="IRNazanin" w:eastAsia="IRNazanin" w:cs="IRNazanin"/>
            <w:color w:val="111111"/>
            <w:sz w:val="22"/>
            <w:szCs w:val="22"/>
            <w:b w:val="0"/>
            <w:bCs w:val="0"/>
            <w:i w:val="0"/>
            <w:iCs w:val="0"/>
          </w:rPr>
          <w:t>مسألة [فی ولایة الأب و الجدّ]</w:t>
        </w:r>
        <w:r>
          <w:tab/>
        </w:r>
        <w:r>
          <w:fldChar w:fldCharType="begin"/>
        </w:r>
        <w:r>
          <w:instrText xml:space="preserve">PAGEREF 1388 \h</w:instrText>
        </w:r>
        <w:r>
          <w:fldChar w:fldCharType="end"/>
        </w:r>
      </w:hyperlink>
    </w:p>
    <w:p>
      <w:pPr>
        <w:tabs>
          <w:tab w:val="right" w:leader="dot" w:pos="9062"/>
        </w:tabs>
        <w:ind w:left="1100"/>
      </w:pPr>
      <w:hyperlink w:anchor="_Toc1389" w:history="1">
        <w:r>
          <w:rPr>
            <w:rFonts w:ascii="IRNazanin" w:hAnsi="IRNazanin" w:eastAsia="IRNazanin" w:cs="IRNazanin"/>
            <w:color w:val="111111"/>
            <w:sz w:val="22"/>
            <w:szCs w:val="22"/>
            <w:b w:val="0"/>
            <w:bCs w:val="0"/>
            <w:i w:val="0"/>
            <w:iCs w:val="0"/>
          </w:rPr>
          <w:t>مسألة [فی ولایة الفقیه]</w:t>
        </w:r>
        <w:r>
          <w:tab/>
        </w:r>
        <w:r>
          <w:fldChar w:fldCharType="begin"/>
        </w:r>
        <w:r>
          <w:instrText xml:space="preserve">PAGEREF 1389 \h</w:instrText>
        </w:r>
        <w:r>
          <w:fldChar w:fldCharType="end"/>
        </w:r>
      </w:hyperlink>
    </w:p>
    <w:p>
      <w:pPr>
        <w:tabs>
          <w:tab w:val="right" w:leader="dot" w:pos="9062"/>
        </w:tabs>
        <w:ind w:left="1100"/>
      </w:pPr>
      <w:hyperlink w:anchor="_Toc1390" w:history="1">
        <w:r>
          <w:rPr>
            <w:rFonts w:ascii="IRNazanin" w:hAnsi="IRNazanin" w:eastAsia="IRNazanin" w:cs="IRNazanin"/>
            <w:color w:val="111111"/>
            <w:sz w:val="22"/>
            <w:szCs w:val="22"/>
            <w:b w:val="0"/>
            <w:bCs w:val="0"/>
            <w:i w:val="0"/>
            <w:iCs w:val="0"/>
          </w:rPr>
          <w:t>للفقیه الجامع للشرائط مناصب ثلاثة</w:t>
        </w:r>
        <w:r>
          <w:tab/>
        </w:r>
        <w:r>
          <w:fldChar w:fldCharType="begin"/>
        </w:r>
        <w:r>
          <w:instrText xml:space="preserve">PAGEREF 1390 \h</w:instrText>
        </w:r>
        <w:r>
          <w:fldChar w:fldCharType="end"/>
        </w:r>
      </w:hyperlink>
    </w:p>
    <w:p>
      <w:pPr>
        <w:tabs>
          <w:tab w:val="right" w:leader="dot" w:pos="9062"/>
        </w:tabs>
        <w:ind w:left="1100"/>
      </w:pPr>
      <w:hyperlink w:anchor="_Toc1391" w:history="1">
        <w:r>
          <w:rPr>
            <w:rFonts w:ascii="IRNazanin" w:hAnsi="IRNazanin" w:eastAsia="IRNazanin" w:cs="IRNazanin"/>
            <w:color w:val="111111"/>
            <w:sz w:val="22"/>
            <w:szCs w:val="22"/>
            <w:b w:val="0"/>
            <w:bCs w:val="0"/>
            <w:i w:val="0"/>
            <w:iCs w:val="0"/>
          </w:rPr>
          <w:t>أحدها : الإفتاء فیما یحتاج إلیها العامی فی عمله</w:t>
        </w:r>
        <w:r>
          <w:tab/>
        </w:r>
        <w:r>
          <w:fldChar w:fldCharType="begin"/>
        </w:r>
        <w:r>
          <w:instrText xml:space="preserve">PAGEREF 1391 \h</w:instrText>
        </w:r>
        <w:r>
          <w:fldChar w:fldCharType="end"/>
        </w:r>
      </w:hyperlink>
    </w:p>
    <w:p>
      <w:pPr>
        <w:tabs>
          <w:tab w:val="right" w:leader="dot" w:pos="9062"/>
        </w:tabs>
        <w:ind w:left="1100"/>
      </w:pPr>
      <w:hyperlink w:anchor="_Toc1392" w:history="1">
        <w:r>
          <w:rPr>
            <w:rFonts w:ascii="IRNazanin" w:hAnsi="IRNazanin" w:eastAsia="IRNazanin" w:cs="IRNazanin"/>
            <w:color w:val="111111"/>
            <w:sz w:val="22"/>
            <w:szCs w:val="22"/>
            <w:b w:val="0"/>
            <w:bCs w:val="0"/>
            <w:i w:val="0"/>
            <w:iCs w:val="0"/>
          </w:rPr>
          <w:t>الثانی : الحکومة</w:t>
        </w:r>
        <w:r>
          <w:tab/>
        </w:r>
        <w:r>
          <w:fldChar w:fldCharType="begin"/>
        </w:r>
        <w:r>
          <w:instrText xml:space="preserve">PAGEREF 1392 \h</w:instrText>
        </w:r>
        <w:r>
          <w:fldChar w:fldCharType="end"/>
        </w:r>
      </w:hyperlink>
    </w:p>
    <w:p>
      <w:pPr>
        <w:tabs>
          <w:tab w:val="right" w:leader="dot" w:pos="9062"/>
        </w:tabs>
        <w:ind w:left="1100"/>
      </w:pPr>
      <w:hyperlink w:anchor="_Toc1393" w:history="1">
        <w:r>
          <w:rPr>
            <w:rFonts w:ascii="IRNazanin" w:hAnsi="IRNazanin" w:eastAsia="IRNazanin" w:cs="IRNazanin"/>
            <w:color w:val="111111"/>
            <w:sz w:val="22"/>
            <w:szCs w:val="22"/>
            <w:b w:val="0"/>
            <w:bCs w:val="0"/>
            <w:i w:val="0"/>
            <w:iCs w:val="0"/>
          </w:rPr>
          <w:t>الثالث : ولایة التصرّف فی الأموال و الأنفس</w:t>
        </w:r>
        <w:r>
          <w:tab/>
        </w:r>
        <w:r>
          <w:fldChar w:fldCharType="begin"/>
        </w:r>
        <w:r>
          <w:instrText xml:space="preserve">PAGEREF 1393 \h</w:instrText>
        </w:r>
        <w:r>
          <w:fldChar w:fldCharType="end"/>
        </w:r>
      </w:hyperlink>
    </w:p>
    <w:p>
      <w:pPr>
        <w:tabs>
          <w:tab w:val="right" w:leader="dot" w:pos="9062"/>
        </w:tabs>
        <w:ind w:left="1100"/>
      </w:pPr>
      <w:hyperlink w:anchor="_Toc139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1394 \h</w:instrText>
        </w:r>
        <w:r>
          <w:fldChar w:fldCharType="end"/>
        </w:r>
      </w:hyperlink>
    </w:p>
    <w:p>
      <w:pPr>
        <w:tabs>
          <w:tab w:val="right" w:leader="dot" w:pos="9062"/>
        </w:tabs>
        <w:ind w:left="1100"/>
      </w:pPr>
      <w:hyperlink w:anchor="_Toc1395" w:history="1">
        <w:r>
          <w:rPr>
            <w:rFonts w:ascii="IRNazanin" w:hAnsi="IRNazanin" w:eastAsia="IRNazanin" w:cs="IRNazanin"/>
            <w:color w:val="111111"/>
            <w:sz w:val="22"/>
            <w:szCs w:val="22"/>
            <w:b w:val="0"/>
            <w:bCs w:val="0"/>
            <w:i w:val="0"/>
            <w:iCs w:val="0"/>
          </w:rPr>
          <w:t>الأوّل : استقلال الولی بالتصرّف</w:t>
        </w:r>
        <w:r>
          <w:tab/>
        </w:r>
        <w:r>
          <w:fldChar w:fldCharType="begin"/>
        </w:r>
        <w:r>
          <w:instrText xml:space="preserve">PAGEREF 1395 \h</w:instrText>
        </w:r>
        <w:r>
          <w:fldChar w:fldCharType="end"/>
        </w:r>
      </w:hyperlink>
    </w:p>
    <w:p>
      <w:pPr>
        <w:tabs>
          <w:tab w:val="right" w:leader="dot" w:pos="9062"/>
        </w:tabs>
        <w:ind w:left="1100"/>
      </w:pPr>
      <w:hyperlink w:anchor="_Toc1396" w:history="1">
        <w:r>
          <w:rPr>
            <w:rFonts w:ascii="IRNazanin" w:hAnsi="IRNazanin" w:eastAsia="IRNazanin" w:cs="IRNazanin"/>
            <w:color w:val="111111"/>
            <w:sz w:val="22"/>
            <w:szCs w:val="22"/>
            <w:b w:val="0"/>
            <w:bCs w:val="0"/>
            <w:i w:val="0"/>
            <w:iCs w:val="0"/>
          </w:rPr>
          <w:t>الثانی : عدم استقلال غیره بالتصرّف</w:t>
        </w:r>
        <w:r>
          <w:tab/>
        </w:r>
        <w:r>
          <w:fldChar w:fldCharType="begin"/>
        </w:r>
        <w:r>
          <w:instrText xml:space="preserve">PAGEREF 1396 \h</w:instrText>
        </w:r>
        <w:r>
          <w:fldChar w:fldCharType="end"/>
        </w:r>
      </w:hyperlink>
    </w:p>
    <w:p>
      <w:pPr>
        <w:tabs>
          <w:tab w:val="right" w:leader="dot" w:pos="9062"/>
        </w:tabs>
        <w:ind w:left="1100"/>
      </w:pPr>
      <w:hyperlink w:anchor="_Toc1397" w:history="1">
        <w:r>
          <w:rPr>
            <w:rFonts w:ascii="IRNazanin" w:hAnsi="IRNazanin" w:eastAsia="IRNazanin" w:cs="IRNazanin"/>
            <w:color w:val="111111"/>
            <w:sz w:val="22"/>
            <w:szCs w:val="22"/>
            <w:b w:val="0"/>
            <w:bCs w:val="0"/>
            <w:i w:val="0"/>
            <w:iCs w:val="0"/>
          </w:rPr>
          <w:t>[ثبوت الولایة بالمعنی الأول للنبی و الأئمة علیهم السلام]</w:t>
        </w:r>
        <w:r>
          <w:tab/>
        </w:r>
        <w:r>
          <w:fldChar w:fldCharType="begin"/>
        </w:r>
        <w:r>
          <w:instrText xml:space="preserve">PAGEREF 1397 \h</w:instrText>
        </w:r>
        <w:r>
          <w:fldChar w:fldCharType="end"/>
        </w:r>
      </w:hyperlink>
    </w:p>
    <w:p>
      <w:pPr>
        <w:tabs>
          <w:tab w:val="right" w:leader="dot" w:pos="9062"/>
        </w:tabs>
        <w:ind w:left="1100"/>
      </w:pPr>
      <w:hyperlink w:anchor="_Toc13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1398 \h</w:instrText>
        </w:r>
        <w:r>
          <w:fldChar w:fldCharType="end"/>
        </w:r>
      </w:hyperlink>
    </w:p>
    <w:p>
      <w:pPr>
        <w:tabs>
          <w:tab w:val="right" w:leader="dot" w:pos="9062"/>
        </w:tabs>
        <w:ind w:left="1100"/>
      </w:pPr>
      <w:hyperlink w:anchor="_Toc1399" w:history="1">
        <w:r>
          <w:rPr>
            <w:rFonts w:ascii="IRNazanin" w:hAnsi="IRNazanin" w:eastAsia="IRNazanin" w:cs="IRNazanin"/>
            <w:color w:val="111111"/>
            <w:sz w:val="22"/>
            <w:szCs w:val="22"/>
            <w:b w:val="0"/>
            <w:bCs w:val="0"/>
            <w:i w:val="0"/>
            <w:iCs w:val="0"/>
          </w:rPr>
          <w:t>[الاستدلال بالکتاب]</w:t>
        </w:r>
        <w:r>
          <w:tab/>
        </w:r>
        <w:r>
          <w:fldChar w:fldCharType="begin"/>
        </w:r>
        <w:r>
          <w:instrText xml:space="preserve">PAGEREF 1399 \h</w:instrText>
        </w:r>
        <w:r>
          <w:fldChar w:fldCharType="end"/>
        </w:r>
      </w:hyperlink>
    </w:p>
    <w:p>
      <w:pPr>
        <w:tabs>
          <w:tab w:val="right" w:leader="dot" w:pos="9062"/>
        </w:tabs>
        <w:ind w:left="1100"/>
      </w:pPr>
      <w:hyperlink w:anchor="_Toc1400" w:history="1">
        <w:r>
          <w:rPr>
            <w:rFonts w:ascii="IRNazanin" w:hAnsi="IRNazanin" w:eastAsia="IRNazanin" w:cs="IRNazanin"/>
            <w:color w:val="111111"/>
            <w:sz w:val="22"/>
            <w:szCs w:val="22"/>
            <w:b w:val="0"/>
            <w:bCs w:val="0"/>
            <w:i w:val="0"/>
            <w:iCs w:val="0"/>
          </w:rPr>
          <w:t>[الاستدلال بالروایات]</w:t>
        </w:r>
        <w:r>
          <w:tab/>
        </w:r>
        <w:r>
          <w:fldChar w:fldCharType="begin"/>
        </w:r>
        <w:r>
          <w:instrText xml:space="preserve">PAGEREF 1400 \h</w:instrText>
        </w:r>
        <w:r>
          <w:fldChar w:fldCharType="end"/>
        </w:r>
      </w:hyperlink>
    </w:p>
    <w:p>
      <w:pPr>
        <w:tabs>
          <w:tab w:val="right" w:leader="dot" w:pos="9062"/>
        </w:tabs>
        <w:ind w:left="1100"/>
      </w:pPr>
      <w:hyperlink w:anchor="_Toc1401" w:history="1">
        <w:r>
          <w:rPr>
            <w:rFonts w:ascii="IRNazanin" w:hAnsi="IRNazanin" w:eastAsia="IRNazanin" w:cs="IRNazanin"/>
            <w:color w:val="111111"/>
            <w:sz w:val="22"/>
            <w:szCs w:val="22"/>
            <w:b w:val="0"/>
            <w:bCs w:val="0"/>
            <w:i w:val="0"/>
            <w:iCs w:val="0"/>
          </w:rPr>
          <w:t>[الاستدلال بالإجماع و العقل]</w:t>
        </w:r>
        <w:r>
          <w:tab/>
        </w:r>
        <w:r>
          <w:fldChar w:fldCharType="begin"/>
        </w:r>
        <w:r>
          <w:instrText xml:space="preserve">PAGEREF 1401 \h</w:instrText>
        </w:r>
        <w:r>
          <w:fldChar w:fldCharType="end"/>
        </w:r>
      </w:hyperlink>
    </w:p>
    <w:p>
      <w:pPr>
        <w:tabs>
          <w:tab w:val="right" w:leader="dot" w:pos="9062"/>
        </w:tabs>
        <w:ind w:left="1100"/>
      </w:pPr>
      <w:hyperlink w:anchor="_Toc1402" w:history="1">
        <w:r>
          <w:rPr>
            <w:rFonts w:ascii="IRNazanin" w:hAnsi="IRNazanin" w:eastAsia="IRNazanin" w:cs="IRNazanin"/>
            <w:color w:val="111111"/>
            <w:sz w:val="22"/>
            <w:szCs w:val="22"/>
            <w:b w:val="0"/>
            <w:bCs w:val="0"/>
            <w:i w:val="0"/>
            <w:iCs w:val="0"/>
          </w:rPr>
          <w:t>[الاستدلال بالروایات بالمعنی الثانی و الاستدلال علیه]</w:t>
        </w:r>
        <w:r>
          <w:tab/>
        </w:r>
        <w:r>
          <w:fldChar w:fldCharType="begin"/>
        </w:r>
        <w:r>
          <w:instrText xml:space="preserve">PAGEREF 1402 \h</w:instrText>
        </w:r>
        <w:r>
          <w:fldChar w:fldCharType="end"/>
        </w:r>
      </w:hyperlink>
    </w:p>
    <w:p>
      <w:pPr>
        <w:tabs>
          <w:tab w:val="right" w:leader="dot" w:pos="9062"/>
        </w:tabs>
        <w:ind w:left="1100"/>
      </w:pPr>
      <w:hyperlink w:anchor="_Toc1403" w:history="1">
        <w:r>
          <w:rPr>
            <w:rFonts w:ascii="IRNazanin" w:hAnsi="IRNazanin" w:eastAsia="IRNazanin" w:cs="IRNazanin"/>
            <w:color w:val="111111"/>
            <w:sz w:val="22"/>
            <w:szCs w:val="22"/>
            <w:b w:val="0"/>
            <w:bCs w:val="0"/>
            <w:i w:val="0"/>
            <w:iCs w:val="0"/>
          </w:rPr>
          <w:t>[الکلام فی ولایة الفقیه بالمعنی الأول]</w:t>
        </w:r>
        <w:r>
          <w:tab/>
        </w:r>
        <w:r>
          <w:fldChar w:fldCharType="begin"/>
        </w:r>
        <w:r>
          <w:instrText xml:space="preserve">PAGEREF 1403 \h</w:instrText>
        </w:r>
        <w:r>
          <w:fldChar w:fldCharType="end"/>
        </w:r>
      </w:hyperlink>
    </w:p>
    <w:p>
      <w:pPr>
        <w:tabs>
          <w:tab w:val="right" w:leader="dot" w:pos="9062"/>
        </w:tabs>
        <w:ind w:left="1100"/>
      </w:pPr>
      <w:hyperlink w:anchor="_Toc140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1404 \h</w:instrText>
        </w:r>
        <w:r>
          <w:fldChar w:fldCharType="end"/>
        </w:r>
      </w:hyperlink>
    </w:p>
    <w:p>
      <w:pPr>
        <w:tabs>
          <w:tab w:val="right" w:leader="dot" w:pos="9062"/>
        </w:tabs>
        <w:ind w:left="1100"/>
      </w:pPr>
      <w:hyperlink w:anchor="_Toc1405" w:history="1">
        <w:r>
          <w:rPr>
            <w:rFonts w:ascii="IRNazanin" w:hAnsi="IRNazanin" w:eastAsia="IRNazanin" w:cs="IRNazanin"/>
            <w:color w:val="111111"/>
            <w:sz w:val="22"/>
            <w:szCs w:val="22"/>
            <w:b w:val="0"/>
            <w:bCs w:val="0"/>
            <w:i w:val="0"/>
            <w:iCs w:val="0"/>
          </w:rPr>
          <w:t>[الاستدلال علیها بالروایات]</w:t>
        </w:r>
        <w:r>
          <w:tab/>
        </w:r>
        <w:r>
          <w:fldChar w:fldCharType="begin"/>
        </w:r>
        <w:r>
          <w:instrText xml:space="preserve">PAGEREF 1405 \h</w:instrText>
        </w:r>
        <w:r>
          <w:fldChar w:fldCharType="end"/>
        </w:r>
      </w:hyperlink>
    </w:p>
    <w:p>
      <w:pPr>
        <w:tabs>
          <w:tab w:val="right" w:leader="dot" w:pos="9062"/>
        </w:tabs>
        <w:ind w:left="1100"/>
      </w:pPr>
      <w:hyperlink w:anchor="_Toc1406" w:history="1">
        <w:r>
          <w:rPr>
            <w:rFonts w:ascii="IRNazanin" w:hAnsi="IRNazanin" w:eastAsia="IRNazanin" w:cs="IRNazanin"/>
            <w:color w:val="111111"/>
            <w:sz w:val="22"/>
            <w:szCs w:val="22"/>
            <w:b w:val="0"/>
            <w:bCs w:val="0"/>
            <w:i w:val="0"/>
            <w:iCs w:val="0"/>
          </w:rPr>
          <w:t>[المناقشة فی الاستدلال]</w:t>
        </w:r>
        <w:r>
          <w:tab/>
        </w:r>
        <w:r>
          <w:fldChar w:fldCharType="begin"/>
        </w:r>
        <w:r>
          <w:instrText xml:space="preserve">PAGEREF 1406 \h</w:instrText>
        </w:r>
        <w:r>
          <w:fldChar w:fldCharType="end"/>
        </w:r>
      </w:hyperlink>
    </w:p>
    <w:p>
      <w:pPr>
        <w:tabs>
          <w:tab w:val="right" w:leader="dot" w:pos="9062"/>
        </w:tabs>
        <w:ind w:left="1100"/>
      </w:pPr>
      <w:hyperlink w:anchor="_Toc1407" w:history="1">
        <w:r>
          <w:rPr>
            <w:rFonts w:ascii="IRNazanin" w:hAnsi="IRNazanin" w:eastAsia="IRNazanin" w:cs="IRNazanin"/>
            <w:color w:val="111111"/>
            <w:sz w:val="22"/>
            <w:szCs w:val="22"/>
            <w:b w:val="0"/>
            <w:bCs w:val="0"/>
            <w:i w:val="0"/>
            <w:iCs w:val="0"/>
          </w:rPr>
          <w:t>بقی الکلام فی ولایته علی الوجه الثانی</w:t>
        </w:r>
        <w:r>
          <w:tab/>
        </w:r>
        <w:r>
          <w:fldChar w:fldCharType="begin"/>
        </w:r>
        <w:r>
          <w:instrText xml:space="preserve">PAGEREF 1407 \h</w:instrText>
        </w:r>
        <w:r>
          <w:fldChar w:fldCharType="end"/>
        </w:r>
      </w:hyperlink>
    </w:p>
    <w:p>
      <w:pPr>
        <w:tabs>
          <w:tab w:val="right" w:leader="dot" w:pos="9062"/>
        </w:tabs>
        <w:ind w:left="1100"/>
      </w:pPr>
      <w:hyperlink w:anchor="_Toc14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1408 \h</w:instrText>
        </w:r>
        <w:r>
          <w:fldChar w:fldCharType="end"/>
        </w:r>
      </w:hyperlink>
    </w:p>
    <w:p>
      <w:pPr>
        <w:tabs>
          <w:tab w:val="right" w:leader="dot" w:pos="9062"/>
        </w:tabs>
        <w:ind w:left="1100"/>
      </w:pPr>
      <w:hyperlink w:anchor="_Toc1409" w:history="1">
        <w:r>
          <w:rPr>
            <w:rFonts w:ascii="IRNazanin" w:hAnsi="IRNazanin" w:eastAsia="IRNazanin" w:cs="IRNazanin"/>
            <w:color w:val="111111"/>
            <w:sz w:val="22"/>
            <w:szCs w:val="22"/>
            <w:b w:val="0"/>
            <w:bCs w:val="0"/>
            <w:i w:val="0"/>
            <w:iCs w:val="0"/>
          </w:rPr>
          <w:t>[الضابطة لما یجب استئذان الفقیه فیه]</w:t>
        </w:r>
        <w:r>
          <w:tab/>
        </w:r>
        <w:r>
          <w:fldChar w:fldCharType="begin"/>
        </w:r>
        <w:r>
          <w:instrText xml:space="preserve">PAGEREF 1409 \h</w:instrText>
        </w:r>
        <w:r>
          <w:fldChar w:fldCharType="end"/>
        </w:r>
      </w:hyperlink>
    </w:p>
    <w:p>
      <w:pPr>
        <w:tabs>
          <w:tab w:val="right" w:leader="dot" w:pos="9062"/>
        </w:tabs>
        <w:ind w:left="1100"/>
      </w:pPr>
      <w:hyperlink w:anchor="_Toc1410" w:history="1">
        <w:r>
          <w:rPr>
            <w:rFonts w:ascii="IRNazanin" w:hAnsi="IRNazanin" w:eastAsia="IRNazanin" w:cs="IRNazanin"/>
            <w:color w:val="111111"/>
            <w:sz w:val="22"/>
            <w:szCs w:val="22"/>
            <w:b w:val="0"/>
            <w:bCs w:val="0"/>
            <w:i w:val="0"/>
            <w:iCs w:val="0"/>
          </w:rPr>
          <w:t>[ما یدل علی وجوب استئذان الفقیه فی الأمور المذکورة]</w:t>
        </w:r>
        <w:r>
          <w:tab/>
        </w:r>
        <w:r>
          <w:fldChar w:fldCharType="begin"/>
        </w:r>
        <w:r>
          <w:instrText xml:space="preserve">PAGEREF 1410 \h</w:instrText>
        </w:r>
        <w:r>
          <w:fldChar w:fldCharType="end"/>
        </w:r>
      </w:hyperlink>
    </w:p>
    <w:p>
      <w:pPr>
        <w:tabs>
          <w:tab w:val="right" w:leader="dot" w:pos="9062"/>
        </w:tabs>
        <w:ind w:left="1100"/>
      </w:pPr>
      <w:hyperlink w:anchor="_Toc1411" w:history="1">
        <w:r>
          <w:rPr>
            <w:rFonts w:ascii="IRNazanin" w:hAnsi="IRNazanin" w:eastAsia="IRNazanin" w:cs="IRNazanin"/>
            <w:color w:val="111111"/>
            <w:sz w:val="22"/>
            <w:szCs w:val="22"/>
            <w:b w:val="0"/>
            <w:bCs w:val="0"/>
            <w:i w:val="0"/>
            <w:iCs w:val="0"/>
          </w:rPr>
          <w:t>مسألة : فی ولایة عدول المؤمنین</w:t>
        </w:r>
        <w:r>
          <w:tab/>
        </w:r>
        <w:r>
          <w:fldChar w:fldCharType="begin"/>
        </w:r>
        <w:r>
          <w:instrText xml:space="preserve">PAGEREF 1411 \h</w:instrText>
        </w:r>
        <w:r>
          <w:fldChar w:fldCharType="end"/>
        </w:r>
      </w:hyperlink>
    </w:p>
    <w:p>
      <w:pPr>
        <w:tabs>
          <w:tab w:val="right" w:leader="dot" w:pos="9062"/>
        </w:tabs>
        <w:ind w:left="1100"/>
      </w:pPr>
      <w:hyperlink w:anchor="_Toc14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1412 \h</w:instrText>
        </w:r>
        <w:r>
          <w:fldChar w:fldCharType="end"/>
        </w:r>
      </w:hyperlink>
    </w:p>
    <w:p>
      <w:pPr>
        <w:tabs>
          <w:tab w:val="right" w:leader="dot" w:pos="9062"/>
        </w:tabs>
        <w:ind w:left="1100"/>
      </w:pPr>
      <w:hyperlink w:anchor="_Toc1413" w:history="1">
        <w:r>
          <w:rPr>
            <w:rFonts w:ascii="IRNazanin" w:hAnsi="IRNazanin" w:eastAsia="IRNazanin" w:cs="IRNazanin"/>
            <w:color w:val="111111"/>
            <w:sz w:val="22"/>
            <w:szCs w:val="22"/>
            <w:b w:val="0"/>
            <w:bCs w:val="0"/>
            <w:i w:val="0"/>
            <w:iCs w:val="0"/>
          </w:rPr>
          <w:t>[حدود ولایة المؤمنین]</w:t>
        </w:r>
        <w:r>
          <w:tab/>
        </w:r>
        <w:r>
          <w:fldChar w:fldCharType="begin"/>
        </w:r>
        <w:r>
          <w:instrText xml:space="preserve">PAGEREF 1413 \h</w:instrText>
        </w:r>
        <w:r>
          <w:fldChar w:fldCharType="end"/>
        </w:r>
      </w:hyperlink>
    </w:p>
    <w:p>
      <w:pPr>
        <w:tabs>
          <w:tab w:val="right" w:leader="dot" w:pos="9062"/>
        </w:tabs>
        <w:ind w:left="1100"/>
      </w:pPr>
      <w:hyperlink w:anchor="_Toc1414" w:history="1">
        <w:r>
          <w:rPr>
            <w:rFonts w:ascii="IRNazanin" w:hAnsi="IRNazanin" w:eastAsia="IRNazanin" w:cs="IRNazanin"/>
            <w:color w:val="111111"/>
            <w:sz w:val="22"/>
            <w:szCs w:val="22"/>
            <w:b w:val="0"/>
            <w:bCs w:val="0"/>
            <w:i w:val="0"/>
            <w:iCs w:val="0"/>
          </w:rPr>
          <w:t>بقی الکلام فی اشتراط العدالة فی المؤمن الذی یتولّی المصلحة عند فقد الحاکم</w:t>
        </w:r>
        <w:r>
          <w:tab/>
        </w:r>
        <w:r>
          <w:fldChar w:fldCharType="begin"/>
        </w:r>
        <w:r>
          <w:instrText xml:space="preserve">PAGEREF 1414 \h</w:instrText>
        </w:r>
        <w:r>
          <w:fldChar w:fldCharType="end"/>
        </w:r>
      </w:hyperlink>
    </w:p>
    <w:p>
      <w:pPr>
        <w:tabs>
          <w:tab w:val="right" w:leader="dot" w:pos="9062"/>
        </w:tabs>
        <w:ind w:left="1100"/>
      </w:pPr>
      <w:hyperlink w:anchor="_Toc1415" w:history="1">
        <w:r>
          <w:rPr>
            <w:rFonts w:ascii="IRNazanin" w:hAnsi="IRNazanin" w:eastAsia="IRNazanin" w:cs="IRNazanin"/>
            <w:color w:val="111111"/>
            <w:sz w:val="22"/>
            <w:szCs w:val="22"/>
            <w:b w:val="0"/>
            <w:bCs w:val="0"/>
            <w:i w:val="0"/>
            <w:iCs w:val="0"/>
          </w:rPr>
          <w:t>[الظاهر عدم اعتبار العدالة فی المباشرة]</w:t>
        </w:r>
        <w:r>
          <w:tab/>
        </w:r>
        <w:r>
          <w:fldChar w:fldCharType="begin"/>
        </w:r>
        <w:r>
          <w:instrText xml:space="preserve">PAGEREF 1415 \h</w:instrText>
        </w:r>
        <w:r>
          <w:fldChar w:fldCharType="end"/>
        </w:r>
      </w:hyperlink>
    </w:p>
    <w:p>
      <w:pPr>
        <w:tabs>
          <w:tab w:val="right" w:leader="dot" w:pos="9062"/>
        </w:tabs>
        <w:ind w:left="1100"/>
      </w:pPr>
      <w:hyperlink w:anchor="_Toc1416" w:history="1">
        <w:r>
          <w:rPr>
            <w:rFonts w:ascii="IRNazanin" w:hAnsi="IRNazanin" w:eastAsia="IRNazanin" w:cs="IRNazanin"/>
            <w:color w:val="111111"/>
            <w:sz w:val="22"/>
            <w:szCs w:val="22"/>
            <w:b w:val="0"/>
            <w:bCs w:val="0"/>
            <w:i w:val="0"/>
            <w:iCs w:val="0"/>
          </w:rPr>
          <w:t>[الظاهر اشتراط العدالة فیما یتعلق بفعل الغیر]</w:t>
        </w:r>
        <w:r>
          <w:tab/>
        </w:r>
        <w:r>
          <w:fldChar w:fldCharType="begin"/>
        </w:r>
        <w:r>
          <w:instrText xml:space="preserve">PAGEREF 1416 \h</w:instrText>
        </w:r>
        <w:r>
          <w:fldChar w:fldCharType="end"/>
        </w:r>
      </w:hyperlink>
    </w:p>
    <w:p>
      <w:pPr>
        <w:tabs>
          <w:tab w:val="right" w:leader="dot" w:pos="9062"/>
        </w:tabs>
        <w:ind w:left="1100"/>
      </w:pPr>
      <w:hyperlink w:anchor="_Toc1417" w:history="1">
        <w:r>
          <w:rPr>
            <w:rFonts w:ascii="IRNazanin" w:hAnsi="IRNazanin" w:eastAsia="IRNazanin" w:cs="IRNazanin"/>
            <w:color w:val="111111"/>
            <w:sz w:val="22"/>
            <w:szCs w:val="22"/>
            <w:b w:val="0"/>
            <w:bCs w:val="0"/>
            <w:i w:val="0"/>
            <w:iCs w:val="0"/>
          </w:rPr>
          <w:t>[هل یجوز مزاحمة من تصدی من المؤمنین]</w:t>
        </w:r>
        <w:r>
          <w:tab/>
        </w:r>
        <w:r>
          <w:fldChar w:fldCharType="begin"/>
        </w:r>
        <w:r>
          <w:instrText xml:space="preserve">PAGEREF 1417 \h</w:instrText>
        </w:r>
        <w:r>
          <w:fldChar w:fldCharType="end"/>
        </w:r>
      </w:hyperlink>
    </w:p>
    <w:p>
      <w:pPr>
        <w:tabs>
          <w:tab w:val="right" w:leader="dot" w:pos="9062"/>
        </w:tabs>
        <w:ind w:left="1100"/>
      </w:pPr>
      <w:hyperlink w:anchor="_Toc1418" w:history="1">
        <w:r>
          <w:rPr>
            <w:rFonts w:ascii="IRNazanin" w:hAnsi="IRNazanin" w:eastAsia="IRNazanin" w:cs="IRNazanin"/>
            <w:color w:val="111111"/>
            <w:sz w:val="22"/>
            <w:szCs w:val="22"/>
            <w:b w:val="0"/>
            <w:bCs w:val="0"/>
            <w:i w:val="0"/>
            <w:iCs w:val="0"/>
          </w:rPr>
          <w:t>[مزاحمة فقیه لفقیه آخر]</w:t>
        </w:r>
        <w:r>
          <w:tab/>
        </w:r>
        <w:r>
          <w:fldChar w:fldCharType="begin"/>
        </w:r>
        <w:r>
          <w:instrText xml:space="preserve">PAGEREF 1418 \h</w:instrText>
        </w:r>
        <w:r>
          <w:fldChar w:fldCharType="end"/>
        </w:r>
      </w:hyperlink>
    </w:p>
    <w:p>
      <w:pPr>
        <w:tabs>
          <w:tab w:val="right" w:leader="dot" w:pos="9062"/>
        </w:tabs>
        <w:ind w:left="1100"/>
      </w:pPr>
      <w:hyperlink w:anchor="_Toc1419" w:history="1">
        <w:r>
          <w:rPr>
            <w:rFonts w:ascii="IRNazanin" w:hAnsi="IRNazanin" w:eastAsia="IRNazanin" w:cs="IRNazanin"/>
            <w:color w:val="111111"/>
            <w:sz w:val="22"/>
            <w:szCs w:val="22"/>
            <w:b w:val="0"/>
            <w:bCs w:val="0"/>
            <w:i w:val="0"/>
            <w:iCs w:val="0"/>
          </w:rPr>
          <w:t>[هل یشترط فی ولایة غیر الأب و الجد ملاحظة الغبطة للیتیم؟]</w:t>
        </w:r>
        <w:r>
          <w:tab/>
        </w:r>
        <w:r>
          <w:fldChar w:fldCharType="begin"/>
        </w:r>
        <w:r>
          <w:instrText xml:space="preserve">PAGEREF 1419 \h</w:instrText>
        </w:r>
        <w:r>
          <w:fldChar w:fldCharType="end"/>
        </w:r>
      </w:hyperlink>
    </w:p>
    <w:p>
      <w:pPr>
        <w:tabs>
          <w:tab w:val="right" w:leader="dot" w:pos="9062"/>
        </w:tabs>
        <w:ind w:left="1100"/>
      </w:pPr>
      <w:hyperlink w:anchor="_Toc1420" w:history="1">
        <w:r>
          <w:rPr>
            <w:rFonts w:ascii="IRNazanin" w:hAnsi="IRNazanin" w:eastAsia="IRNazanin" w:cs="IRNazanin"/>
            <w:color w:val="111111"/>
            <w:sz w:val="22"/>
            <w:szCs w:val="22"/>
            <w:b w:val="0"/>
            <w:bCs w:val="0"/>
            <w:i w:val="0"/>
            <w:iCs w:val="0"/>
          </w:rPr>
          <w:t>[الاستدلال بقوله تعالی: وَ لاٰ تَقْرَبُوا مٰالَ الْیَتِیمِ إِلاّٰ بِالَّتِی هِیَ أَحْسَنُ ]</w:t>
        </w:r>
        <w:r>
          <w:tab/>
        </w:r>
        <w:r>
          <w:fldChar w:fldCharType="begin"/>
        </w:r>
        <w:r>
          <w:instrText xml:space="preserve">PAGEREF 1420 \h</w:instrText>
        </w:r>
        <w:r>
          <w:fldChar w:fldCharType="end"/>
        </w:r>
      </w:hyperlink>
    </w:p>
    <w:p>
      <w:pPr>
        <w:tabs>
          <w:tab w:val="right" w:leader="dot" w:pos="9062"/>
        </w:tabs>
        <w:ind w:left="1100"/>
      </w:pPr>
      <w:hyperlink w:anchor="_Toc1421" w:history="1">
        <w:r>
          <w:rPr>
            <w:rFonts w:ascii="IRNazanin" w:hAnsi="IRNazanin" w:eastAsia="IRNazanin" w:cs="IRNazanin"/>
            <w:color w:val="111111"/>
            <w:sz w:val="22"/>
            <w:szCs w:val="22"/>
            <w:b w:val="0"/>
            <w:bCs w:val="0"/>
            <w:i w:val="0"/>
            <w:iCs w:val="0"/>
          </w:rPr>
          <w:t>[ظاهر بعض الروایات کفایة عدم المفسدة]</w:t>
        </w:r>
        <w:r>
          <w:tab/>
        </w:r>
        <w:r>
          <w:fldChar w:fldCharType="begin"/>
        </w:r>
        <w:r>
          <w:instrText xml:space="preserve">PAGEREF 1421 \h</w:instrText>
        </w:r>
        <w:r>
          <w:fldChar w:fldCharType="end"/>
        </w:r>
      </w:hyperlink>
    </w:p>
    <w:p>
      <w:pPr>
        <w:tabs>
          <w:tab w:val="right" w:leader="dot" w:pos="9062"/>
        </w:tabs>
        <w:ind w:left="1100"/>
      </w:pPr>
      <w:hyperlink w:anchor="_Toc1422" w:history="1">
        <w:r>
          <w:rPr>
            <w:rFonts w:ascii="IRNazanin" w:hAnsi="IRNazanin" w:eastAsia="IRNazanin" w:cs="IRNazanin"/>
            <w:color w:val="111111"/>
            <w:sz w:val="22"/>
            <w:szCs w:val="22"/>
            <w:b w:val="0"/>
            <w:bCs w:val="0"/>
            <w:i w:val="0"/>
            <w:iCs w:val="0"/>
          </w:rPr>
          <w:t>و هل یجب مراعاة الأصلح أم لا؟</w:t>
        </w:r>
        <w:r>
          <w:tab/>
        </w:r>
        <w:r>
          <w:fldChar w:fldCharType="begin"/>
        </w:r>
        <w:r>
          <w:instrText xml:space="preserve">PAGEREF 1422 \h</w:instrText>
        </w:r>
        <w:r>
          <w:fldChar w:fldCharType="end"/>
        </w:r>
      </w:hyperlink>
    </w:p>
    <w:p>
      <w:pPr>
        <w:tabs>
          <w:tab w:val="right" w:leader="dot" w:pos="9062"/>
        </w:tabs>
        <w:ind w:left="1100"/>
      </w:pPr>
      <w:hyperlink w:anchor="_Toc1423" w:history="1">
        <w:r>
          <w:rPr>
            <w:rFonts w:ascii="IRNazanin" w:hAnsi="IRNazanin" w:eastAsia="IRNazanin" w:cs="IRNazanin"/>
            <w:color w:val="111111"/>
            <w:sz w:val="22"/>
            <w:szCs w:val="22"/>
            <w:b w:val="0"/>
            <w:bCs w:val="0"/>
            <w:i w:val="0"/>
            <w:iCs w:val="0"/>
          </w:rPr>
          <w:t>مسألة : یشترط فی من ینتقل إلیه العبد المسلم-ثمناً أو مثمناً-أن یکون مسلماً</w:t>
        </w:r>
        <w:r>
          <w:tab/>
        </w:r>
        <w:r>
          <w:fldChar w:fldCharType="begin"/>
        </w:r>
        <w:r>
          <w:instrText xml:space="preserve">PAGEREF 1423 \h</w:instrText>
        </w:r>
        <w:r>
          <w:fldChar w:fldCharType="end"/>
        </w:r>
      </w:hyperlink>
    </w:p>
    <w:p>
      <w:pPr>
        <w:tabs>
          <w:tab w:val="right" w:leader="dot" w:pos="9062"/>
        </w:tabs>
        <w:ind w:left="1100"/>
      </w:pPr>
      <w:hyperlink w:anchor="_Toc14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1424 \h</w:instrText>
        </w:r>
        <w:r>
          <w:fldChar w:fldCharType="end"/>
        </w:r>
      </w:hyperlink>
    </w:p>
    <w:p>
      <w:pPr>
        <w:tabs>
          <w:tab w:val="right" w:leader="dot" w:pos="9062"/>
        </w:tabs>
        <w:ind w:left="1100"/>
      </w:pPr>
      <w:hyperlink w:anchor="_Toc1425" w:history="1">
        <w:r>
          <w:rPr>
            <w:rFonts w:ascii="IRNazanin" w:hAnsi="IRNazanin" w:eastAsia="IRNazanin" w:cs="IRNazanin"/>
            <w:color w:val="111111"/>
            <w:sz w:val="22"/>
            <w:szCs w:val="22"/>
            <w:b w:val="0"/>
            <w:bCs w:val="0"/>
            <w:i w:val="0"/>
            <w:iCs w:val="0"/>
          </w:rPr>
          <w:t>[المشهور عدم صحة نقل العبد المسلم إلی الکافر]</w:t>
        </w:r>
        <w:r>
          <w:tab/>
        </w:r>
        <w:r>
          <w:fldChar w:fldCharType="begin"/>
        </w:r>
        <w:r>
          <w:instrText xml:space="preserve">PAGEREF 1425 \h</w:instrText>
        </w:r>
        <w:r>
          <w:fldChar w:fldCharType="end"/>
        </w:r>
      </w:hyperlink>
    </w:p>
    <w:p>
      <w:pPr>
        <w:tabs>
          <w:tab w:val="right" w:leader="dot" w:pos="9062"/>
        </w:tabs>
        <w:ind w:left="1100"/>
      </w:pPr>
      <w:hyperlink w:anchor="_Toc1426" w:history="1">
        <w:r>
          <w:rPr>
            <w:rFonts w:ascii="IRNazanin" w:hAnsi="IRNazanin" w:eastAsia="IRNazanin" w:cs="IRNazanin"/>
            <w:color w:val="111111"/>
            <w:sz w:val="22"/>
            <w:szCs w:val="22"/>
            <w:b w:val="0"/>
            <w:bCs w:val="0"/>
            <w:i w:val="0"/>
            <w:iCs w:val="0"/>
          </w:rPr>
          <w:t>[تملیک منافع المسلم من الکافر]</w:t>
        </w:r>
        <w:r>
          <w:tab/>
        </w:r>
        <w:r>
          <w:fldChar w:fldCharType="begin"/>
        </w:r>
        <w:r>
          <w:instrText xml:space="preserve">PAGEREF 1426 \h</w:instrText>
        </w:r>
        <w:r>
          <w:fldChar w:fldCharType="end"/>
        </w:r>
      </w:hyperlink>
    </w:p>
    <w:p>
      <w:pPr>
        <w:tabs>
          <w:tab w:val="right" w:leader="dot" w:pos="9062"/>
        </w:tabs>
        <w:ind w:left="1100"/>
      </w:pPr>
      <w:hyperlink w:anchor="_Toc1427" w:history="1">
        <w:r>
          <w:rPr>
            <w:rFonts w:ascii="IRNazanin" w:hAnsi="IRNazanin" w:eastAsia="IRNazanin" w:cs="IRNazanin"/>
            <w:color w:val="111111"/>
            <w:sz w:val="22"/>
            <w:szCs w:val="22"/>
            <w:b w:val="0"/>
            <w:bCs w:val="0"/>
            <w:i w:val="0"/>
            <w:iCs w:val="0"/>
          </w:rPr>
          <w:t>[ارتهان العبد المسلم عند الکافر]</w:t>
        </w:r>
        <w:r>
          <w:tab/>
        </w:r>
        <w:r>
          <w:fldChar w:fldCharType="begin"/>
        </w:r>
        <w:r>
          <w:instrText xml:space="preserve">PAGEREF 1427 \h</w:instrText>
        </w:r>
        <w:r>
          <w:fldChar w:fldCharType="end"/>
        </w:r>
      </w:hyperlink>
    </w:p>
    <w:p>
      <w:pPr>
        <w:tabs>
          <w:tab w:val="right" w:leader="dot" w:pos="9062"/>
        </w:tabs>
        <w:ind w:left="1100"/>
      </w:pPr>
      <w:hyperlink w:anchor="_Toc1428" w:history="1">
        <w:r>
          <w:rPr>
            <w:rFonts w:ascii="IRNazanin" w:hAnsi="IRNazanin" w:eastAsia="IRNazanin" w:cs="IRNazanin"/>
            <w:color w:val="111111"/>
            <w:sz w:val="22"/>
            <w:szCs w:val="22"/>
            <w:b w:val="0"/>
            <w:bCs w:val="0"/>
            <w:i w:val="0"/>
            <w:iCs w:val="0"/>
          </w:rPr>
          <w:t>[إعارة العبد المسلم و إیداعه من الکافر]</w:t>
        </w:r>
        <w:r>
          <w:tab/>
        </w:r>
        <w:r>
          <w:fldChar w:fldCharType="begin"/>
        </w:r>
        <w:r>
          <w:instrText xml:space="preserve">PAGEREF 1428 \h</w:instrText>
        </w:r>
        <w:r>
          <w:fldChar w:fldCharType="end"/>
        </w:r>
      </w:hyperlink>
    </w:p>
    <w:p>
      <w:pPr>
        <w:tabs>
          <w:tab w:val="right" w:leader="dot" w:pos="9062"/>
        </w:tabs>
        <w:ind w:left="1100"/>
      </w:pPr>
      <w:hyperlink w:anchor="_Toc1429" w:history="1">
        <w:r>
          <w:rPr>
            <w:rFonts w:ascii="IRNazanin" w:hAnsi="IRNazanin" w:eastAsia="IRNazanin" w:cs="IRNazanin"/>
            <w:color w:val="111111"/>
            <w:sz w:val="22"/>
            <w:szCs w:val="22"/>
            <w:b w:val="0"/>
            <w:bCs w:val="0"/>
            <w:i w:val="0"/>
            <w:iCs w:val="0"/>
          </w:rPr>
          <w:t>[الظاهر من الکافر]</w:t>
        </w:r>
        <w:r>
          <w:tab/>
        </w:r>
        <w:r>
          <w:fldChar w:fldCharType="begin"/>
        </w:r>
        <w:r>
          <w:instrText xml:space="preserve">PAGEREF 1429 \h</w:instrText>
        </w:r>
        <w:r>
          <w:fldChar w:fldCharType="end"/>
        </w:r>
      </w:hyperlink>
    </w:p>
    <w:p>
      <w:pPr>
        <w:tabs>
          <w:tab w:val="right" w:leader="dot" w:pos="9062"/>
        </w:tabs>
        <w:ind w:left="1100"/>
      </w:pPr>
      <w:hyperlink w:anchor="_Toc1430" w:history="1">
        <w:r>
          <w:rPr>
            <w:rFonts w:ascii="IRNazanin" w:hAnsi="IRNazanin" w:eastAsia="IRNazanin" w:cs="IRNazanin"/>
            <w:color w:val="111111"/>
            <w:sz w:val="22"/>
            <w:szCs w:val="22"/>
            <w:b w:val="0"/>
            <w:bCs w:val="0"/>
            <w:i w:val="0"/>
            <w:iCs w:val="0"/>
          </w:rPr>
          <w:t>[بیع العبد المؤمن من المخالف]</w:t>
        </w:r>
        <w:r>
          <w:tab/>
        </w:r>
        <w:r>
          <w:fldChar w:fldCharType="begin"/>
        </w:r>
        <w:r>
          <w:instrText xml:space="preserve">PAGEREF 1430 \h</w:instrText>
        </w:r>
        <w:r>
          <w:fldChar w:fldCharType="end"/>
        </w:r>
      </w:hyperlink>
    </w:p>
    <w:p>
      <w:pPr>
        <w:tabs>
          <w:tab w:val="right" w:leader="dot" w:pos="9062"/>
        </w:tabs>
        <w:ind w:left="1100"/>
      </w:pPr>
      <w:hyperlink w:anchor="_Toc1431" w:history="1">
        <w:r>
          <w:rPr>
            <w:rFonts w:ascii="IRNazanin" w:hAnsi="IRNazanin" w:eastAsia="IRNazanin" w:cs="IRNazanin"/>
            <w:color w:val="111111"/>
            <w:sz w:val="22"/>
            <w:szCs w:val="22"/>
            <w:b w:val="0"/>
            <w:bCs w:val="0"/>
            <w:i w:val="0"/>
            <w:iCs w:val="0"/>
          </w:rPr>
          <w:t>[موارد جواز تملک الکافر للعبد المسلم]</w:t>
        </w:r>
        <w:r>
          <w:tab/>
        </w:r>
        <w:r>
          <w:fldChar w:fldCharType="begin"/>
        </w:r>
        <w:r>
          <w:instrText xml:space="preserve">PAGEREF 1431 \h</w:instrText>
        </w:r>
        <w:r>
          <w:fldChar w:fldCharType="end"/>
        </w:r>
      </w:hyperlink>
    </w:p>
    <w:p>
      <w:pPr>
        <w:tabs>
          <w:tab w:val="right" w:leader="dot" w:pos="9062"/>
        </w:tabs>
        <w:ind w:left="1100"/>
      </w:pPr>
      <w:hyperlink w:anchor="_Toc14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1432 \h</w:instrText>
        </w:r>
        <w:r>
          <w:fldChar w:fldCharType="end"/>
        </w:r>
      </w:hyperlink>
    </w:p>
    <w:p>
      <w:pPr>
        <w:tabs>
          <w:tab w:val="right" w:leader="dot" w:pos="9062"/>
        </w:tabs>
        <w:ind w:left="1100"/>
      </w:pPr>
      <w:hyperlink w:anchor="_Toc1433" w:history="1">
        <w:r>
          <w:rPr>
            <w:rFonts w:ascii="IRNazanin" w:hAnsi="IRNazanin" w:eastAsia="IRNazanin" w:cs="IRNazanin"/>
            <w:color w:val="111111"/>
            <w:sz w:val="22"/>
            <w:szCs w:val="22"/>
            <w:b w:val="0"/>
            <w:bCs w:val="0"/>
            <w:i w:val="0"/>
            <w:iCs w:val="0"/>
          </w:rPr>
          <w:t>منها : ما إذا کان الشراء مستعقباً للانعتاق</w:t>
        </w:r>
        <w:r>
          <w:tab/>
        </w:r>
        <w:r>
          <w:fldChar w:fldCharType="begin"/>
        </w:r>
        <w:r>
          <w:instrText xml:space="preserve">PAGEREF 1433 \h</w:instrText>
        </w:r>
        <w:r>
          <w:fldChar w:fldCharType="end"/>
        </w:r>
      </w:hyperlink>
    </w:p>
    <w:p>
      <w:pPr>
        <w:tabs>
          <w:tab w:val="right" w:leader="dot" w:pos="9062"/>
        </w:tabs>
        <w:ind w:left="1100"/>
      </w:pPr>
      <w:hyperlink w:anchor="_Toc1434" w:history="1">
        <w:r>
          <w:rPr>
            <w:rFonts w:ascii="IRNazanin" w:hAnsi="IRNazanin" w:eastAsia="IRNazanin" w:cs="IRNazanin"/>
            <w:color w:val="111111"/>
            <w:sz w:val="22"/>
            <w:szCs w:val="22"/>
            <w:b w:val="0"/>
            <w:bCs w:val="0"/>
            <w:i w:val="0"/>
            <w:iCs w:val="0"/>
          </w:rPr>
          <w:t>و منها : ما لو اشترط البائع عتقه</w:t>
        </w:r>
        <w:r>
          <w:tab/>
        </w:r>
        <w:r>
          <w:fldChar w:fldCharType="begin"/>
        </w:r>
        <w:r>
          <w:instrText xml:space="preserve">PAGEREF 1434 \h</w:instrText>
        </w:r>
        <w:r>
          <w:fldChar w:fldCharType="end"/>
        </w:r>
      </w:hyperlink>
    </w:p>
    <w:p>
      <w:pPr>
        <w:tabs>
          <w:tab w:val="right" w:leader="dot" w:pos="9062"/>
        </w:tabs>
        <w:ind w:left="1100"/>
      </w:pPr>
      <w:hyperlink w:anchor="_Toc1435" w:history="1">
        <w:r>
          <w:rPr>
            <w:rFonts w:ascii="IRNazanin" w:hAnsi="IRNazanin" w:eastAsia="IRNazanin" w:cs="IRNazanin"/>
            <w:color w:val="111111"/>
            <w:sz w:val="22"/>
            <w:szCs w:val="22"/>
            <w:b w:val="0"/>
            <w:bCs w:val="0"/>
            <w:i w:val="0"/>
            <w:iCs w:val="0"/>
          </w:rPr>
          <w:t>[حکم تملک الکافر للمسلم قهرا]</w:t>
        </w:r>
        <w:r>
          <w:tab/>
        </w:r>
        <w:r>
          <w:fldChar w:fldCharType="begin"/>
        </w:r>
        <w:r>
          <w:instrText xml:space="preserve">PAGEREF 1435 \h</w:instrText>
        </w:r>
        <w:r>
          <w:fldChar w:fldCharType="end"/>
        </w:r>
      </w:hyperlink>
    </w:p>
    <w:p>
      <w:pPr>
        <w:tabs>
          <w:tab w:val="right" w:leader="dot" w:pos="9062"/>
        </w:tabs>
        <w:ind w:left="1100"/>
      </w:pPr>
      <w:hyperlink w:anchor="_Toc1436" w:history="1">
        <w:r>
          <w:rPr>
            <w:rFonts w:ascii="IRNazanin" w:hAnsi="IRNazanin" w:eastAsia="IRNazanin" w:cs="IRNazanin"/>
            <w:color w:val="111111"/>
            <w:sz w:val="22"/>
            <w:szCs w:val="22"/>
            <w:b w:val="0"/>
            <w:bCs w:val="0"/>
            <w:i w:val="0"/>
            <w:iCs w:val="0"/>
          </w:rPr>
          <w:t>[عدم استقرار المسلم علی ملک الکافر و وجوب بیعه علیه]</w:t>
        </w:r>
        <w:r>
          <w:tab/>
        </w:r>
        <w:r>
          <w:fldChar w:fldCharType="begin"/>
        </w:r>
        <w:r>
          <w:instrText xml:space="preserve">PAGEREF 1436 \h</w:instrText>
        </w:r>
        <w:r>
          <w:fldChar w:fldCharType="end"/>
        </w:r>
      </w:hyperlink>
    </w:p>
    <w:p>
      <w:pPr>
        <w:tabs>
          <w:tab w:val="right" w:leader="dot" w:pos="9062"/>
        </w:tabs>
        <w:ind w:left="1100"/>
      </w:pPr>
      <w:hyperlink w:anchor="_Toc1437" w:history="1">
        <w:r>
          <w:rPr>
            <w:rFonts w:ascii="IRNazanin" w:hAnsi="IRNazanin" w:eastAsia="IRNazanin" w:cs="IRNazanin"/>
            <w:color w:val="111111"/>
            <w:sz w:val="22"/>
            <w:szCs w:val="22"/>
            <w:b w:val="0"/>
            <w:bCs w:val="0"/>
            <w:i w:val="0"/>
            <w:iCs w:val="0"/>
          </w:rPr>
          <w:t>مسألة : المشهور عدم جواز نقل المصحف إلی الکافر</w:t>
        </w:r>
        <w:r>
          <w:tab/>
        </w:r>
        <w:r>
          <w:fldChar w:fldCharType="begin"/>
        </w:r>
        <w:r>
          <w:instrText xml:space="preserve">PAGEREF 1437 \h</w:instrText>
        </w:r>
        <w:r>
          <w:fldChar w:fldCharType="end"/>
        </w:r>
      </w:hyperlink>
    </w:p>
    <w:p>
      <w:pPr>
        <w:tabs>
          <w:tab w:val="right" w:leader="dot" w:pos="9062"/>
        </w:tabs>
        <w:ind w:left="220"/>
      </w:pPr>
      <w:hyperlink w:anchor="_Toc1438" w:history="1">
        <w:r>
          <w:rPr>
            <w:rFonts w:ascii="IRNazanin" w:hAnsi="IRNazanin" w:eastAsia="IRNazanin" w:cs="IRNazanin"/>
            <w:color w:val="111111"/>
            <w:sz w:val="22"/>
            <w:szCs w:val="22"/>
            <w:b w:val="0"/>
            <w:bCs w:val="0"/>
            <w:i w:val="0"/>
            <w:iCs w:val="0"/>
          </w:rPr>
          <w:t>تفسیر</w:t>
        </w:r>
        <w:r>
          <w:tab/>
        </w:r>
        <w:r>
          <w:fldChar w:fldCharType="begin"/>
        </w:r>
        <w:r>
          <w:instrText xml:space="preserve">PAGEREF 1438 \h</w:instrText>
        </w:r>
        <w:r>
          <w:fldChar w:fldCharType="end"/>
        </w:r>
      </w:hyperlink>
    </w:p>
    <w:p>
      <w:pPr>
        <w:tabs>
          <w:tab w:val="right" w:leader="dot" w:pos="9062"/>
        </w:tabs>
        <w:ind w:left="440"/>
      </w:pPr>
      <w:hyperlink w:anchor="_Toc1439" w:history="1">
        <w:r>
          <w:rPr>
            <w:rFonts w:ascii="IRNazanin" w:hAnsi="IRNazanin" w:eastAsia="IRNazanin" w:cs="IRNazanin"/>
            <w:color w:val="111111"/>
            <w:sz w:val="22"/>
            <w:szCs w:val="22"/>
            <w:b w:val="0"/>
            <w:bCs w:val="0"/>
            <w:i w:val="0"/>
            <w:iCs w:val="0"/>
          </w:rPr>
          <w:t>ترجمه تفسیر جوامع الجامع (سوره یوسف علیه السلام و رعد)</w:t>
        </w:r>
        <w:r>
          <w:tab/>
        </w:r>
        <w:r>
          <w:fldChar w:fldCharType="begin"/>
        </w:r>
        <w:r>
          <w:instrText xml:space="preserve">PAGEREF 1439 \h</w:instrText>
        </w:r>
        <w:r>
          <w:fldChar w:fldCharType="end"/>
        </w:r>
      </w:hyperlink>
    </w:p>
    <w:p>
      <w:pPr>
        <w:tabs>
          <w:tab w:val="right" w:leader="dot" w:pos="9062"/>
        </w:tabs>
        <w:ind w:left="660"/>
      </w:pPr>
      <w:hyperlink w:anchor="_Toc1440" w:history="1">
        <w:r>
          <w:rPr>
            <w:rFonts w:ascii="IRNazanin" w:hAnsi="IRNazanin" w:eastAsia="IRNazanin" w:cs="IRNazanin"/>
            <w:color w:val="111111"/>
            <w:sz w:val="22"/>
            <w:szCs w:val="22"/>
            <w:b w:val="0"/>
            <w:bCs w:val="0"/>
            <w:i w:val="0"/>
            <w:iCs w:val="0"/>
          </w:rPr>
          <w:t>جلد 3</w:t>
        </w:r>
        <w:r>
          <w:tab/>
        </w:r>
        <w:r>
          <w:fldChar w:fldCharType="begin"/>
        </w:r>
        <w:r>
          <w:instrText xml:space="preserve">PAGEREF 1440 \h</w:instrText>
        </w:r>
        <w:r>
          <w:fldChar w:fldCharType="end"/>
        </w:r>
      </w:hyperlink>
    </w:p>
    <w:p>
      <w:pPr>
        <w:tabs>
          <w:tab w:val="right" w:leader="dot" w:pos="9062"/>
        </w:tabs>
        <w:ind w:left="880"/>
      </w:pPr>
      <w:hyperlink w:anchor="_Toc144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1441 \h</w:instrText>
        </w:r>
        <w:r>
          <w:fldChar w:fldCharType="end"/>
        </w:r>
      </w:hyperlink>
    </w:p>
    <w:p>
      <w:pPr>
        <w:tabs>
          <w:tab w:val="right" w:leader="dot" w:pos="9062"/>
        </w:tabs>
        <w:ind w:left="880"/>
      </w:pPr>
      <w:hyperlink w:anchor="_Toc1442" w:history="1">
        <w:r>
          <w:rPr>
            <w:rFonts w:ascii="IRNazanin" w:hAnsi="IRNazanin" w:eastAsia="IRNazanin" w:cs="IRNazanin"/>
            <w:color w:val="111111"/>
            <w:sz w:val="22"/>
            <w:szCs w:val="22"/>
            <w:b w:val="0"/>
            <w:bCs w:val="0"/>
            <w:i w:val="0"/>
            <w:iCs w:val="0"/>
          </w:rPr>
          <w:t>سوره یوسف علیه السّلام</w:t>
        </w:r>
        <w:r>
          <w:tab/>
        </w:r>
        <w:r>
          <w:fldChar w:fldCharType="begin"/>
        </w:r>
        <w:r>
          <w:instrText xml:space="preserve">PAGEREF 1442 \h</w:instrText>
        </w:r>
        <w:r>
          <w:fldChar w:fldCharType="end"/>
        </w:r>
      </w:hyperlink>
    </w:p>
    <w:p>
      <w:pPr>
        <w:tabs>
          <w:tab w:val="right" w:leader="dot" w:pos="9062"/>
        </w:tabs>
        <w:ind w:left="1100"/>
      </w:pPr>
      <w:hyperlink w:anchor="_Toc144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1443 \h</w:instrText>
        </w:r>
        <w:r>
          <w:fldChar w:fldCharType="end"/>
        </w:r>
      </w:hyperlink>
    </w:p>
    <w:p>
      <w:pPr>
        <w:tabs>
          <w:tab w:val="right" w:leader="dot" w:pos="9062"/>
        </w:tabs>
        <w:ind w:left="1100"/>
      </w:pPr>
      <w:hyperlink w:anchor="_Toc1444" w:history="1">
        <w:r>
          <w:rPr>
            <w:rFonts w:ascii="IRNazanin" w:hAnsi="IRNazanin" w:eastAsia="IRNazanin" w:cs="IRNazanin"/>
            <w:color w:val="111111"/>
            <w:sz w:val="22"/>
            <w:szCs w:val="22"/>
            <w:b w:val="0"/>
            <w:bCs w:val="0"/>
            <w:i w:val="0"/>
            <w:iCs w:val="0"/>
          </w:rPr>
          <w:t>[فضیلت قرائت این سوره‏]:</w:t>
        </w:r>
        <w:r>
          <w:tab/>
        </w:r>
        <w:r>
          <w:fldChar w:fldCharType="begin"/>
        </w:r>
        <w:r>
          <w:instrText xml:space="preserve">PAGEREF 1444 \h</w:instrText>
        </w:r>
        <w:r>
          <w:fldChar w:fldCharType="end"/>
        </w:r>
      </w:hyperlink>
    </w:p>
    <w:p>
      <w:pPr>
        <w:tabs>
          <w:tab w:val="right" w:leader="dot" w:pos="9062"/>
        </w:tabs>
        <w:ind w:left="1100"/>
      </w:pPr>
      <w:hyperlink w:anchor="_Toc1445" w:history="1">
        <w:r>
          <w:rPr>
            <w:rFonts w:ascii="IRNazanin" w:hAnsi="IRNazanin" w:eastAsia="IRNazanin" w:cs="IRNazanin"/>
            <w:color w:val="111111"/>
            <w:sz w:val="22"/>
            <w:szCs w:val="22"/>
            <w:b w:val="0"/>
            <w:bCs w:val="0"/>
            <w:i w:val="0"/>
            <w:iCs w:val="0"/>
          </w:rPr>
          <w:t>[سوره یوسف «12»: آیات 1 تا 5]</w:t>
        </w:r>
        <w:r>
          <w:tab/>
        </w:r>
        <w:r>
          <w:fldChar w:fldCharType="begin"/>
        </w:r>
        <w:r>
          <w:instrText xml:space="preserve">PAGEREF 1445 \h</w:instrText>
        </w:r>
        <w:r>
          <w:fldChar w:fldCharType="end"/>
        </w:r>
      </w:hyperlink>
    </w:p>
    <w:p>
      <w:pPr>
        <w:tabs>
          <w:tab w:val="right" w:leader="dot" w:pos="9062"/>
        </w:tabs>
        <w:ind w:left="1100"/>
      </w:pPr>
      <w:hyperlink w:anchor="_Toc144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1446 \h</w:instrText>
        </w:r>
        <w:r>
          <w:fldChar w:fldCharType="end"/>
        </w:r>
      </w:hyperlink>
    </w:p>
    <w:p>
      <w:pPr>
        <w:tabs>
          <w:tab w:val="right" w:leader="dot" w:pos="9062"/>
        </w:tabs>
        <w:ind w:left="1100"/>
      </w:pPr>
      <w:hyperlink w:anchor="_Toc1447" w:history="1">
        <w:r>
          <w:rPr>
            <w:rFonts w:ascii="IRNazanin" w:hAnsi="IRNazanin" w:eastAsia="IRNazanin" w:cs="IRNazanin"/>
            <w:color w:val="111111"/>
            <w:sz w:val="22"/>
            <w:szCs w:val="22"/>
            <w:b w:val="0"/>
            <w:bCs w:val="0"/>
            <w:i w:val="0"/>
            <w:iCs w:val="0"/>
          </w:rPr>
          <w:t>ترجمه:</w:t>
        </w:r>
        <w:r>
          <w:tab/>
        </w:r>
        <w:r>
          <w:fldChar w:fldCharType="begin"/>
        </w:r>
        <w:r>
          <w:instrText xml:space="preserve">PAGEREF 1447 \h</w:instrText>
        </w:r>
        <w:r>
          <w:fldChar w:fldCharType="end"/>
        </w:r>
      </w:hyperlink>
    </w:p>
    <w:p>
      <w:pPr>
        <w:tabs>
          <w:tab w:val="right" w:leader="dot" w:pos="9062"/>
        </w:tabs>
        <w:ind w:left="1100"/>
      </w:pPr>
      <w:hyperlink w:anchor="_Toc1448" w:history="1">
        <w:r>
          <w:rPr>
            <w:rFonts w:ascii="IRNazanin" w:hAnsi="IRNazanin" w:eastAsia="IRNazanin" w:cs="IRNazanin"/>
            <w:color w:val="111111"/>
            <w:sz w:val="22"/>
            <w:szCs w:val="22"/>
            <w:b w:val="0"/>
            <w:bCs w:val="0"/>
            <w:i w:val="0"/>
            <w:iCs w:val="0"/>
          </w:rPr>
          <w:t>تفسیر:</w:t>
        </w:r>
        <w:r>
          <w:tab/>
        </w:r>
        <w:r>
          <w:fldChar w:fldCharType="begin"/>
        </w:r>
        <w:r>
          <w:instrText xml:space="preserve">PAGEREF 1448 \h</w:instrText>
        </w:r>
        <w:r>
          <w:fldChar w:fldCharType="end"/>
        </w:r>
      </w:hyperlink>
    </w:p>
    <w:p>
      <w:pPr>
        <w:tabs>
          <w:tab w:val="right" w:leader="dot" w:pos="9062"/>
        </w:tabs>
        <w:ind w:left="1100"/>
      </w:pPr>
      <w:hyperlink w:anchor="_Toc1449" w:history="1">
        <w:r>
          <w:rPr>
            <w:rFonts w:ascii="IRNazanin" w:hAnsi="IRNazanin" w:eastAsia="IRNazanin" w:cs="IRNazanin"/>
            <w:color w:val="111111"/>
            <w:sz w:val="22"/>
            <w:szCs w:val="22"/>
            <w:b w:val="0"/>
            <w:bCs w:val="0"/>
            <w:i w:val="0"/>
            <w:iCs w:val="0"/>
          </w:rPr>
          <w:t>[سوره یوسف «12»: آیات 6 تا 9]</w:t>
        </w:r>
        <w:r>
          <w:tab/>
        </w:r>
        <w:r>
          <w:fldChar w:fldCharType="begin"/>
        </w:r>
        <w:r>
          <w:instrText xml:space="preserve">PAGEREF 1449 \h</w:instrText>
        </w:r>
        <w:r>
          <w:fldChar w:fldCharType="end"/>
        </w:r>
      </w:hyperlink>
    </w:p>
    <w:p>
      <w:pPr>
        <w:tabs>
          <w:tab w:val="right" w:leader="dot" w:pos="9062"/>
        </w:tabs>
        <w:ind w:left="1100"/>
      </w:pPr>
      <w:hyperlink w:anchor="_Toc145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1450 \h</w:instrText>
        </w:r>
        <w:r>
          <w:fldChar w:fldCharType="end"/>
        </w:r>
      </w:hyperlink>
    </w:p>
    <w:p>
      <w:pPr>
        <w:tabs>
          <w:tab w:val="right" w:leader="dot" w:pos="9062"/>
        </w:tabs>
        <w:ind w:left="1100"/>
      </w:pPr>
      <w:hyperlink w:anchor="_Toc1451" w:history="1">
        <w:r>
          <w:rPr>
            <w:rFonts w:ascii="IRNazanin" w:hAnsi="IRNazanin" w:eastAsia="IRNazanin" w:cs="IRNazanin"/>
            <w:color w:val="111111"/>
            <w:sz w:val="22"/>
            <w:szCs w:val="22"/>
            <w:b w:val="0"/>
            <w:bCs w:val="0"/>
            <w:i w:val="0"/>
            <w:iCs w:val="0"/>
          </w:rPr>
          <w:t>ترجمه:</w:t>
        </w:r>
        <w:r>
          <w:tab/>
        </w:r>
        <w:r>
          <w:fldChar w:fldCharType="begin"/>
        </w:r>
        <w:r>
          <w:instrText xml:space="preserve">PAGEREF 1451 \h</w:instrText>
        </w:r>
        <w:r>
          <w:fldChar w:fldCharType="end"/>
        </w:r>
      </w:hyperlink>
    </w:p>
    <w:p>
      <w:pPr>
        <w:tabs>
          <w:tab w:val="right" w:leader="dot" w:pos="9062"/>
        </w:tabs>
        <w:ind w:left="1100"/>
      </w:pPr>
      <w:hyperlink w:anchor="_Toc1452" w:history="1">
        <w:r>
          <w:rPr>
            <w:rFonts w:ascii="IRNazanin" w:hAnsi="IRNazanin" w:eastAsia="IRNazanin" w:cs="IRNazanin"/>
            <w:color w:val="111111"/>
            <w:sz w:val="22"/>
            <w:szCs w:val="22"/>
            <w:b w:val="0"/>
            <w:bCs w:val="0"/>
            <w:i w:val="0"/>
            <w:iCs w:val="0"/>
          </w:rPr>
          <w:t>تفسیر:</w:t>
        </w:r>
        <w:r>
          <w:tab/>
        </w:r>
        <w:r>
          <w:fldChar w:fldCharType="begin"/>
        </w:r>
        <w:r>
          <w:instrText xml:space="preserve">PAGEREF 1452 \h</w:instrText>
        </w:r>
        <w:r>
          <w:fldChar w:fldCharType="end"/>
        </w:r>
      </w:hyperlink>
    </w:p>
    <w:p>
      <w:pPr>
        <w:tabs>
          <w:tab w:val="right" w:leader="dot" w:pos="9062"/>
        </w:tabs>
        <w:ind w:left="1100"/>
      </w:pPr>
      <w:hyperlink w:anchor="_Toc1453" w:history="1">
        <w:r>
          <w:rPr>
            <w:rFonts w:ascii="IRNazanin" w:hAnsi="IRNazanin" w:eastAsia="IRNazanin" w:cs="IRNazanin"/>
            <w:color w:val="111111"/>
            <w:sz w:val="22"/>
            <w:szCs w:val="22"/>
            <w:b w:val="0"/>
            <w:bCs w:val="0"/>
            <w:i w:val="0"/>
            <w:iCs w:val="0"/>
          </w:rPr>
          <w:t>[سوره یوسف «12»: آیات 10 تا 14]</w:t>
        </w:r>
        <w:r>
          <w:tab/>
        </w:r>
        <w:r>
          <w:fldChar w:fldCharType="begin"/>
        </w:r>
        <w:r>
          <w:instrText xml:space="preserve">PAGEREF 1453 \h</w:instrText>
        </w:r>
        <w:r>
          <w:fldChar w:fldCharType="end"/>
        </w:r>
      </w:hyperlink>
    </w:p>
    <w:p>
      <w:pPr>
        <w:tabs>
          <w:tab w:val="right" w:leader="dot" w:pos="9062"/>
        </w:tabs>
        <w:ind w:left="1100"/>
      </w:pPr>
      <w:hyperlink w:anchor="_Toc145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1454 \h</w:instrText>
        </w:r>
        <w:r>
          <w:fldChar w:fldCharType="end"/>
        </w:r>
      </w:hyperlink>
    </w:p>
    <w:p>
      <w:pPr>
        <w:tabs>
          <w:tab w:val="right" w:leader="dot" w:pos="9062"/>
        </w:tabs>
        <w:ind w:left="1100"/>
      </w:pPr>
      <w:hyperlink w:anchor="_Toc1455" w:history="1">
        <w:r>
          <w:rPr>
            <w:rFonts w:ascii="IRNazanin" w:hAnsi="IRNazanin" w:eastAsia="IRNazanin" w:cs="IRNazanin"/>
            <w:color w:val="111111"/>
            <w:sz w:val="22"/>
            <w:szCs w:val="22"/>
            <w:b w:val="0"/>
            <w:bCs w:val="0"/>
            <w:i w:val="0"/>
            <w:iCs w:val="0"/>
          </w:rPr>
          <w:t>ترجمه:</w:t>
        </w:r>
        <w:r>
          <w:tab/>
        </w:r>
        <w:r>
          <w:fldChar w:fldCharType="begin"/>
        </w:r>
        <w:r>
          <w:instrText xml:space="preserve">PAGEREF 1455 \h</w:instrText>
        </w:r>
        <w:r>
          <w:fldChar w:fldCharType="end"/>
        </w:r>
      </w:hyperlink>
    </w:p>
    <w:p>
      <w:pPr>
        <w:tabs>
          <w:tab w:val="right" w:leader="dot" w:pos="9062"/>
        </w:tabs>
        <w:ind w:left="1100"/>
      </w:pPr>
      <w:hyperlink w:anchor="_Toc1456" w:history="1">
        <w:r>
          <w:rPr>
            <w:rFonts w:ascii="IRNazanin" w:hAnsi="IRNazanin" w:eastAsia="IRNazanin" w:cs="IRNazanin"/>
            <w:color w:val="111111"/>
            <w:sz w:val="22"/>
            <w:szCs w:val="22"/>
            <w:b w:val="0"/>
            <w:bCs w:val="0"/>
            <w:i w:val="0"/>
            <w:iCs w:val="0"/>
          </w:rPr>
          <w:t>تفسیر:</w:t>
        </w:r>
        <w:r>
          <w:tab/>
        </w:r>
        <w:r>
          <w:fldChar w:fldCharType="begin"/>
        </w:r>
        <w:r>
          <w:instrText xml:space="preserve">PAGEREF 1456 \h</w:instrText>
        </w:r>
        <w:r>
          <w:fldChar w:fldCharType="end"/>
        </w:r>
      </w:hyperlink>
    </w:p>
    <w:p>
      <w:pPr>
        <w:tabs>
          <w:tab w:val="right" w:leader="dot" w:pos="9062"/>
        </w:tabs>
        <w:ind w:left="1100"/>
      </w:pPr>
      <w:hyperlink w:anchor="_Toc1457" w:history="1">
        <w:r>
          <w:rPr>
            <w:rFonts w:ascii="IRNazanin" w:hAnsi="IRNazanin" w:eastAsia="IRNazanin" w:cs="IRNazanin"/>
            <w:color w:val="111111"/>
            <w:sz w:val="22"/>
            <w:szCs w:val="22"/>
            <w:b w:val="0"/>
            <w:bCs w:val="0"/>
            <w:i w:val="0"/>
            <w:iCs w:val="0"/>
          </w:rPr>
          <w:t>[سوره یوسف «12»: آیات 15 تا 18]</w:t>
        </w:r>
        <w:r>
          <w:tab/>
        </w:r>
        <w:r>
          <w:fldChar w:fldCharType="begin"/>
        </w:r>
        <w:r>
          <w:instrText xml:space="preserve">PAGEREF 1457 \h</w:instrText>
        </w:r>
        <w:r>
          <w:fldChar w:fldCharType="end"/>
        </w:r>
      </w:hyperlink>
    </w:p>
    <w:p>
      <w:pPr>
        <w:tabs>
          <w:tab w:val="right" w:leader="dot" w:pos="9062"/>
        </w:tabs>
        <w:ind w:left="1100"/>
      </w:pPr>
      <w:hyperlink w:anchor="_Toc145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1458 \h</w:instrText>
        </w:r>
        <w:r>
          <w:fldChar w:fldCharType="end"/>
        </w:r>
      </w:hyperlink>
    </w:p>
    <w:p>
      <w:pPr>
        <w:tabs>
          <w:tab w:val="right" w:leader="dot" w:pos="9062"/>
        </w:tabs>
        <w:ind w:left="1100"/>
      </w:pPr>
      <w:hyperlink w:anchor="_Toc1459" w:history="1">
        <w:r>
          <w:rPr>
            <w:rFonts w:ascii="IRNazanin" w:hAnsi="IRNazanin" w:eastAsia="IRNazanin" w:cs="IRNazanin"/>
            <w:color w:val="111111"/>
            <w:sz w:val="22"/>
            <w:szCs w:val="22"/>
            <w:b w:val="0"/>
            <w:bCs w:val="0"/>
            <w:i w:val="0"/>
            <w:iCs w:val="0"/>
          </w:rPr>
          <w:t>ترجمه:</w:t>
        </w:r>
        <w:r>
          <w:tab/>
        </w:r>
        <w:r>
          <w:fldChar w:fldCharType="begin"/>
        </w:r>
        <w:r>
          <w:instrText xml:space="preserve">PAGEREF 1459 \h</w:instrText>
        </w:r>
        <w:r>
          <w:fldChar w:fldCharType="end"/>
        </w:r>
      </w:hyperlink>
    </w:p>
    <w:p>
      <w:pPr>
        <w:tabs>
          <w:tab w:val="right" w:leader="dot" w:pos="9062"/>
        </w:tabs>
        <w:ind w:left="1100"/>
      </w:pPr>
      <w:hyperlink w:anchor="_Toc1460" w:history="1">
        <w:r>
          <w:rPr>
            <w:rFonts w:ascii="IRNazanin" w:hAnsi="IRNazanin" w:eastAsia="IRNazanin" w:cs="IRNazanin"/>
            <w:color w:val="111111"/>
            <w:sz w:val="22"/>
            <w:szCs w:val="22"/>
            <w:b w:val="0"/>
            <w:bCs w:val="0"/>
            <w:i w:val="0"/>
            <w:iCs w:val="0"/>
          </w:rPr>
          <w:t>تفسیر:</w:t>
        </w:r>
        <w:r>
          <w:tab/>
        </w:r>
        <w:r>
          <w:fldChar w:fldCharType="begin"/>
        </w:r>
        <w:r>
          <w:instrText xml:space="preserve">PAGEREF 1460 \h</w:instrText>
        </w:r>
        <w:r>
          <w:fldChar w:fldCharType="end"/>
        </w:r>
      </w:hyperlink>
    </w:p>
    <w:p>
      <w:pPr>
        <w:tabs>
          <w:tab w:val="right" w:leader="dot" w:pos="9062"/>
        </w:tabs>
        <w:ind w:left="1100"/>
      </w:pPr>
      <w:hyperlink w:anchor="_Toc1461" w:history="1">
        <w:r>
          <w:rPr>
            <w:rFonts w:ascii="IRNazanin" w:hAnsi="IRNazanin" w:eastAsia="IRNazanin" w:cs="IRNazanin"/>
            <w:color w:val="111111"/>
            <w:sz w:val="22"/>
            <w:szCs w:val="22"/>
            <w:b w:val="0"/>
            <w:bCs w:val="0"/>
            <w:i w:val="0"/>
            <w:iCs w:val="0"/>
          </w:rPr>
          <w:t>[سوره یوسف «12»: آیات 19 تا 20]</w:t>
        </w:r>
        <w:r>
          <w:tab/>
        </w:r>
        <w:r>
          <w:fldChar w:fldCharType="begin"/>
        </w:r>
        <w:r>
          <w:instrText xml:space="preserve">PAGEREF 1461 \h</w:instrText>
        </w:r>
        <w:r>
          <w:fldChar w:fldCharType="end"/>
        </w:r>
      </w:hyperlink>
    </w:p>
    <w:p>
      <w:pPr>
        <w:tabs>
          <w:tab w:val="right" w:leader="dot" w:pos="9062"/>
        </w:tabs>
        <w:ind w:left="1100"/>
      </w:pPr>
      <w:hyperlink w:anchor="_Toc146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1462 \h</w:instrText>
        </w:r>
        <w:r>
          <w:fldChar w:fldCharType="end"/>
        </w:r>
      </w:hyperlink>
    </w:p>
    <w:p>
      <w:pPr>
        <w:tabs>
          <w:tab w:val="right" w:leader="dot" w:pos="9062"/>
        </w:tabs>
        <w:ind w:left="1100"/>
      </w:pPr>
      <w:hyperlink w:anchor="_Toc1463" w:history="1">
        <w:r>
          <w:rPr>
            <w:rFonts w:ascii="IRNazanin" w:hAnsi="IRNazanin" w:eastAsia="IRNazanin" w:cs="IRNazanin"/>
            <w:color w:val="111111"/>
            <w:sz w:val="22"/>
            <w:szCs w:val="22"/>
            <w:b w:val="0"/>
            <w:bCs w:val="0"/>
            <w:i w:val="0"/>
            <w:iCs w:val="0"/>
          </w:rPr>
          <w:t>ترجمه:</w:t>
        </w:r>
        <w:r>
          <w:tab/>
        </w:r>
        <w:r>
          <w:fldChar w:fldCharType="begin"/>
        </w:r>
        <w:r>
          <w:instrText xml:space="preserve">PAGEREF 1463 \h</w:instrText>
        </w:r>
        <w:r>
          <w:fldChar w:fldCharType="end"/>
        </w:r>
      </w:hyperlink>
    </w:p>
    <w:p>
      <w:pPr>
        <w:tabs>
          <w:tab w:val="right" w:leader="dot" w:pos="9062"/>
        </w:tabs>
        <w:ind w:left="1100"/>
      </w:pPr>
      <w:hyperlink w:anchor="_Toc1464" w:history="1">
        <w:r>
          <w:rPr>
            <w:rFonts w:ascii="IRNazanin" w:hAnsi="IRNazanin" w:eastAsia="IRNazanin" w:cs="IRNazanin"/>
            <w:color w:val="111111"/>
            <w:sz w:val="22"/>
            <w:szCs w:val="22"/>
            <w:b w:val="0"/>
            <w:bCs w:val="0"/>
            <w:i w:val="0"/>
            <w:iCs w:val="0"/>
          </w:rPr>
          <w:t>تفسیر:</w:t>
        </w:r>
        <w:r>
          <w:tab/>
        </w:r>
        <w:r>
          <w:fldChar w:fldCharType="begin"/>
        </w:r>
        <w:r>
          <w:instrText xml:space="preserve">PAGEREF 1464 \h</w:instrText>
        </w:r>
        <w:r>
          <w:fldChar w:fldCharType="end"/>
        </w:r>
      </w:hyperlink>
    </w:p>
    <w:p>
      <w:pPr>
        <w:tabs>
          <w:tab w:val="right" w:leader="dot" w:pos="9062"/>
        </w:tabs>
        <w:ind w:left="1100"/>
      </w:pPr>
      <w:hyperlink w:anchor="_Toc1465" w:history="1">
        <w:r>
          <w:rPr>
            <w:rFonts w:ascii="IRNazanin" w:hAnsi="IRNazanin" w:eastAsia="IRNazanin" w:cs="IRNazanin"/>
            <w:color w:val="111111"/>
            <w:sz w:val="22"/>
            <w:szCs w:val="22"/>
            <w:b w:val="0"/>
            <w:bCs w:val="0"/>
            <w:i w:val="0"/>
            <w:iCs w:val="0"/>
          </w:rPr>
          <w:t>[سوره یوسف «12»: آیات 21 تا 23]</w:t>
        </w:r>
        <w:r>
          <w:tab/>
        </w:r>
        <w:r>
          <w:fldChar w:fldCharType="begin"/>
        </w:r>
        <w:r>
          <w:instrText xml:space="preserve">PAGEREF 1465 \h</w:instrText>
        </w:r>
        <w:r>
          <w:fldChar w:fldCharType="end"/>
        </w:r>
      </w:hyperlink>
    </w:p>
    <w:p>
      <w:pPr>
        <w:tabs>
          <w:tab w:val="right" w:leader="dot" w:pos="9062"/>
        </w:tabs>
        <w:ind w:left="1100"/>
      </w:pPr>
      <w:hyperlink w:anchor="_Toc146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1466 \h</w:instrText>
        </w:r>
        <w:r>
          <w:fldChar w:fldCharType="end"/>
        </w:r>
      </w:hyperlink>
    </w:p>
    <w:p>
      <w:pPr>
        <w:tabs>
          <w:tab w:val="right" w:leader="dot" w:pos="9062"/>
        </w:tabs>
        <w:ind w:left="1100"/>
      </w:pPr>
      <w:hyperlink w:anchor="_Toc1467" w:history="1">
        <w:r>
          <w:rPr>
            <w:rFonts w:ascii="IRNazanin" w:hAnsi="IRNazanin" w:eastAsia="IRNazanin" w:cs="IRNazanin"/>
            <w:color w:val="111111"/>
            <w:sz w:val="22"/>
            <w:szCs w:val="22"/>
            <w:b w:val="0"/>
            <w:bCs w:val="0"/>
            <w:i w:val="0"/>
            <w:iCs w:val="0"/>
          </w:rPr>
          <w:t>ترجمه:</w:t>
        </w:r>
        <w:r>
          <w:tab/>
        </w:r>
        <w:r>
          <w:fldChar w:fldCharType="begin"/>
        </w:r>
        <w:r>
          <w:instrText xml:space="preserve">PAGEREF 1467 \h</w:instrText>
        </w:r>
        <w:r>
          <w:fldChar w:fldCharType="end"/>
        </w:r>
      </w:hyperlink>
    </w:p>
    <w:p>
      <w:pPr>
        <w:tabs>
          <w:tab w:val="right" w:leader="dot" w:pos="9062"/>
        </w:tabs>
        <w:ind w:left="1100"/>
      </w:pPr>
      <w:hyperlink w:anchor="_Toc1468" w:history="1">
        <w:r>
          <w:rPr>
            <w:rFonts w:ascii="IRNazanin" w:hAnsi="IRNazanin" w:eastAsia="IRNazanin" w:cs="IRNazanin"/>
            <w:color w:val="111111"/>
            <w:sz w:val="22"/>
            <w:szCs w:val="22"/>
            <w:b w:val="0"/>
            <w:bCs w:val="0"/>
            <w:i w:val="0"/>
            <w:iCs w:val="0"/>
          </w:rPr>
          <w:t>تفسیر:</w:t>
        </w:r>
        <w:r>
          <w:tab/>
        </w:r>
        <w:r>
          <w:fldChar w:fldCharType="begin"/>
        </w:r>
        <w:r>
          <w:instrText xml:space="preserve">PAGEREF 1468 \h</w:instrText>
        </w:r>
        <w:r>
          <w:fldChar w:fldCharType="end"/>
        </w:r>
      </w:hyperlink>
    </w:p>
    <w:p>
      <w:pPr>
        <w:tabs>
          <w:tab w:val="right" w:leader="dot" w:pos="9062"/>
        </w:tabs>
        <w:ind w:left="1100"/>
      </w:pPr>
      <w:hyperlink w:anchor="_Toc1469" w:history="1">
        <w:r>
          <w:rPr>
            <w:rFonts w:ascii="IRNazanin" w:hAnsi="IRNazanin" w:eastAsia="IRNazanin" w:cs="IRNazanin"/>
            <w:color w:val="111111"/>
            <w:sz w:val="22"/>
            <w:szCs w:val="22"/>
            <w:b w:val="0"/>
            <w:bCs w:val="0"/>
            <w:i w:val="0"/>
            <w:iCs w:val="0"/>
          </w:rPr>
          <w:t>[سوره یوسف «12»: آیات 24 تا 29]</w:t>
        </w:r>
        <w:r>
          <w:tab/>
        </w:r>
        <w:r>
          <w:fldChar w:fldCharType="begin"/>
        </w:r>
        <w:r>
          <w:instrText xml:space="preserve">PAGEREF 1469 \h</w:instrText>
        </w:r>
        <w:r>
          <w:fldChar w:fldCharType="end"/>
        </w:r>
      </w:hyperlink>
    </w:p>
    <w:p>
      <w:pPr>
        <w:tabs>
          <w:tab w:val="right" w:leader="dot" w:pos="9062"/>
        </w:tabs>
        <w:ind w:left="1100"/>
      </w:pPr>
      <w:hyperlink w:anchor="_Toc147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1470 \h</w:instrText>
        </w:r>
        <w:r>
          <w:fldChar w:fldCharType="end"/>
        </w:r>
      </w:hyperlink>
    </w:p>
    <w:p>
      <w:pPr>
        <w:tabs>
          <w:tab w:val="right" w:leader="dot" w:pos="9062"/>
        </w:tabs>
        <w:ind w:left="1100"/>
      </w:pPr>
      <w:hyperlink w:anchor="_Toc1471" w:history="1">
        <w:r>
          <w:rPr>
            <w:rFonts w:ascii="IRNazanin" w:hAnsi="IRNazanin" w:eastAsia="IRNazanin" w:cs="IRNazanin"/>
            <w:color w:val="111111"/>
            <w:sz w:val="22"/>
            <w:szCs w:val="22"/>
            <w:b w:val="0"/>
            <w:bCs w:val="0"/>
            <w:i w:val="0"/>
            <w:iCs w:val="0"/>
          </w:rPr>
          <w:t>ترجمه:</w:t>
        </w:r>
        <w:r>
          <w:tab/>
        </w:r>
        <w:r>
          <w:fldChar w:fldCharType="begin"/>
        </w:r>
        <w:r>
          <w:instrText xml:space="preserve">PAGEREF 1471 \h</w:instrText>
        </w:r>
        <w:r>
          <w:fldChar w:fldCharType="end"/>
        </w:r>
      </w:hyperlink>
    </w:p>
    <w:p>
      <w:pPr>
        <w:tabs>
          <w:tab w:val="right" w:leader="dot" w:pos="9062"/>
        </w:tabs>
        <w:ind w:left="1100"/>
      </w:pPr>
      <w:hyperlink w:anchor="_Toc1472" w:history="1">
        <w:r>
          <w:rPr>
            <w:rFonts w:ascii="IRNazanin" w:hAnsi="IRNazanin" w:eastAsia="IRNazanin" w:cs="IRNazanin"/>
            <w:color w:val="111111"/>
            <w:sz w:val="22"/>
            <w:szCs w:val="22"/>
            <w:b w:val="0"/>
            <w:bCs w:val="0"/>
            <w:i w:val="0"/>
            <w:iCs w:val="0"/>
          </w:rPr>
          <w:t>تفسیر:</w:t>
        </w:r>
        <w:r>
          <w:tab/>
        </w:r>
        <w:r>
          <w:fldChar w:fldCharType="begin"/>
        </w:r>
        <w:r>
          <w:instrText xml:space="preserve">PAGEREF 1472 \h</w:instrText>
        </w:r>
        <w:r>
          <w:fldChar w:fldCharType="end"/>
        </w:r>
      </w:hyperlink>
    </w:p>
    <w:p>
      <w:pPr>
        <w:tabs>
          <w:tab w:val="right" w:leader="dot" w:pos="9062"/>
        </w:tabs>
        <w:ind w:left="1100"/>
      </w:pPr>
      <w:hyperlink w:anchor="_Toc1473" w:history="1">
        <w:r>
          <w:rPr>
            <w:rFonts w:ascii="IRNazanin" w:hAnsi="IRNazanin" w:eastAsia="IRNazanin" w:cs="IRNazanin"/>
            <w:color w:val="111111"/>
            <w:sz w:val="22"/>
            <w:szCs w:val="22"/>
            <w:b w:val="0"/>
            <w:bCs w:val="0"/>
            <w:i w:val="0"/>
            <w:iCs w:val="0"/>
          </w:rPr>
          <w:t>[سوره یوسف «12»: آیات 30 تا 35]</w:t>
        </w:r>
        <w:r>
          <w:tab/>
        </w:r>
        <w:r>
          <w:fldChar w:fldCharType="begin"/>
        </w:r>
        <w:r>
          <w:instrText xml:space="preserve">PAGEREF 1473 \h</w:instrText>
        </w:r>
        <w:r>
          <w:fldChar w:fldCharType="end"/>
        </w:r>
      </w:hyperlink>
    </w:p>
    <w:p>
      <w:pPr>
        <w:tabs>
          <w:tab w:val="right" w:leader="dot" w:pos="9062"/>
        </w:tabs>
        <w:ind w:left="1100"/>
      </w:pPr>
      <w:hyperlink w:anchor="_Toc147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1474 \h</w:instrText>
        </w:r>
        <w:r>
          <w:fldChar w:fldCharType="end"/>
        </w:r>
      </w:hyperlink>
    </w:p>
    <w:p>
      <w:pPr>
        <w:tabs>
          <w:tab w:val="right" w:leader="dot" w:pos="9062"/>
        </w:tabs>
        <w:ind w:left="1100"/>
      </w:pPr>
      <w:hyperlink w:anchor="_Toc1475" w:history="1">
        <w:r>
          <w:rPr>
            <w:rFonts w:ascii="IRNazanin" w:hAnsi="IRNazanin" w:eastAsia="IRNazanin" w:cs="IRNazanin"/>
            <w:color w:val="111111"/>
            <w:sz w:val="22"/>
            <w:szCs w:val="22"/>
            <w:b w:val="0"/>
            <w:bCs w:val="0"/>
            <w:i w:val="0"/>
            <w:iCs w:val="0"/>
          </w:rPr>
          <w:t>ترجمه:</w:t>
        </w:r>
        <w:r>
          <w:tab/>
        </w:r>
        <w:r>
          <w:fldChar w:fldCharType="begin"/>
        </w:r>
        <w:r>
          <w:instrText xml:space="preserve">PAGEREF 1475 \h</w:instrText>
        </w:r>
        <w:r>
          <w:fldChar w:fldCharType="end"/>
        </w:r>
      </w:hyperlink>
    </w:p>
    <w:p>
      <w:pPr>
        <w:tabs>
          <w:tab w:val="right" w:leader="dot" w:pos="9062"/>
        </w:tabs>
        <w:ind w:left="1100"/>
      </w:pPr>
      <w:hyperlink w:anchor="_Toc1476" w:history="1">
        <w:r>
          <w:rPr>
            <w:rFonts w:ascii="IRNazanin" w:hAnsi="IRNazanin" w:eastAsia="IRNazanin" w:cs="IRNazanin"/>
            <w:color w:val="111111"/>
            <w:sz w:val="22"/>
            <w:szCs w:val="22"/>
            <w:b w:val="0"/>
            <w:bCs w:val="0"/>
            <w:i w:val="0"/>
            <w:iCs w:val="0"/>
          </w:rPr>
          <w:t>تفسیر:</w:t>
        </w:r>
        <w:r>
          <w:tab/>
        </w:r>
        <w:r>
          <w:fldChar w:fldCharType="begin"/>
        </w:r>
        <w:r>
          <w:instrText xml:space="preserve">PAGEREF 1476 \h</w:instrText>
        </w:r>
        <w:r>
          <w:fldChar w:fldCharType="end"/>
        </w:r>
      </w:hyperlink>
    </w:p>
    <w:p>
      <w:pPr>
        <w:tabs>
          <w:tab w:val="right" w:leader="dot" w:pos="9062"/>
        </w:tabs>
        <w:ind w:left="1100"/>
      </w:pPr>
      <w:hyperlink w:anchor="_Toc1477" w:history="1">
        <w:r>
          <w:rPr>
            <w:rFonts w:ascii="IRNazanin" w:hAnsi="IRNazanin" w:eastAsia="IRNazanin" w:cs="IRNazanin"/>
            <w:color w:val="111111"/>
            <w:sz w:val="22"/>
            <w:szCs w:val="22"/>
            <w:b w:val="0"/>
            <w:bCs w:val="0"/>
            <w:i w:val="0"/>
            <w:iCs w:val="0"/>
          </w:rPr>
          <w:t>[سوره یوسف «12»: آیات 36 تا 40]</w:t>
        </w:r>
        <w:r>
          <w:tab/>
        </w:r>
        <w:r>
          <w:fldChar w:fldCharType="begin"/>
        </w:r>
        <w:r>
          <w:instrText xml:space="preserve">PAGEREF 1477 \h</w:instrText>
        </w:r>
        <w:r>
          <w:fldChar w:fldCharType="end"/>
        </w:r>
      </w:hyperlink>
    </w:p>
    <w:p>
      <w:pPr>
        <w:tabs>
          <w:tab w:val="right" w:leader="dot" w:pos="9062"/>
        </w:tabs>
        <w:ind w:left="1100"/>
      </w:pPr>
      <w:hyperlink w:anchor="_Toc147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1478 \h</w:instrText>
        </w:r>
        <w:r>
          <w:fldChar w:fldCharType="end"/>
        </w:r>
      </w:hyperlink>
    </w:p>
    <w:p>
      <w:pPr>
        <w:tabs>
          <w:tab w:val="right" w:leader="dot" w:pos="9062"/>
        </w:tabs>
        <w:ind w:left="1100"/>
      </w:pPr>
      <w:hyperlink w:anchor="_Toc1479" w:history="1">
        <w:r>
          <w:rPr>
            <w:rFonts w:ascii="IRNazanin" w:hAnsi="IRNazanin" w:eastAsia="IRNazanin" w:cs="IRNazanin"/>
            <w:color w:val="111111"/>
            <w:sz w:val="22"/>
            <w:szCs w:val="22"/>
            <w:b w:val="0"/>
            <w:bCs w:val="0"/>
            <w:i w:val="0"/>
            <w:iCs w:val="0"/>
          </w:rPr>
          <w:t>ترجمه:</w:t>
        </w:r>
        <w:r>
          <w:tab/>
        </w:r>
        <w:r>
          <w:fldChar w:fldCharType="begin"/>
        </w:r>
        <w:r>
          <w:instrText xml:space="preserve">PAGEREF 1479 \h</w:instrText>
        </w:r>
        <w:r>
          <w:fldChar w:fldCharType="end"/>
        </w:r>
      </w:hyperlink>
    </w:p>
    <w:p>
      <w:pPr>
        <w:tabs>
          <w:tab w:val="right" w:leader="dot" w:pos="9062"/>
        </w:tabs>
        <w:ind w:left="1100"/>
      </w:pPr>
      <w:hyperlink w:anchor="_Toc1480" w:history="1">
        <w:r>
          <w:rPr>
            <w:rFonts w:ascii="IRNazanin" w:hAnsi="IRNazanin" w:eastAsia="IRNazanin" w:cs="IRNazanin"/>
            <w:color w:val="111111"/>
            <w:sz w:val="22"/>
            <w:szCs w:val="22"/>
            <w:b w:val="0"/>
            <w:bCs w:val="0"/>
            <w:i w:val="0"/>
            <w:iCs w:val="0"/>
          </w:rPr>
          <w:t>تفسیر:</w:t>
        </w:r>
        <w:r>
          <w:tab/>
        </w:r>
        <w:r>
          <w:fldChar w:fldCharType="begin"/>
        </w:r>
        <w:r>
          <w:instrText xml:space="preserve">PAGEREF 1480 \h</w:instrText>
        </w:r>
        <w:r>
          <w:fldChar w:fldCharType="end"/>
        </w:r>
      </w:hyperlink>
    </w:p>
    <w:p>
      <w:pPr>
        <w:tabs>
          <w:tab w:val="right" w:leader="dot" w:pos="9062"/>
        </w:tabs>
        <w:ind w:left="1100"/>
      </w:pPr>
      <w:hyperlink w:anchor="_Toc1481" w:history="1">
        <w:r>
          <w:rPr>
            <w:rFonts w:ascii="IRNazanin" w:hAnsi="IRNazanin" w:eastAsia="IRNazanin" w:cs="IRNazanin"/>
            <w:color w:val="111111"/>
            <w:sz w:val="22"/>
            <w:szCs w:val="22"/>
            <w:b w:val="0"/>
            <w:bCs w:val="0"/>
            <w:i w:val="0"/>
            <w:iCs w:val="0"/>
          </w:rPr>
          <w:t>[سوره یوسف «12»: آیات 41 تا 42]</w:t>
        </w:r>
        <w:r>
          <w:tab/>
        </w:r>
        <w:r>
          <w:fldChar w:fldCharType="begin"/>
        </w:r>
        <w:r>
          <w:instrText xml:space="preserve">PAGEREF 1481 \h</w:instrText>
        </w:r>
        <w:r>
          <w:fldChar w:fldCharType="end"/>
        </w:r>
      </w:hyperlink>
    </w:p>
    <w:p>
      <w:pPr>
        <w:tabs>
          <w:tab w:val="right" w:leader="dot" w:pos="9062"/>
        </w:tabs>
        <w:ind w:left="1100"/>
      </w:pPr>
      <w:hyperlink w:anchor="_Toc148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1482 \h</w:instrText>
        </w:r>
        <w:r>
          <w:fldChar w:fldCharType="end"/>
        </w:r>
      </w:hyperlink>
    </w:p>
    <w:p>
      <w:pPr>
        <w:tabs>
          <w:tab w:val="right" w:leader="dot" w:pos="9062"/>
        </w:tabs>
        <w:ind w:left="1100"/>
      </w:pPr>
      <w:hyperlink w:anchor="_Toc1483" w:history="1">
        <w:r>
          <w:rPr>
            <w:rFonts w:ascii="IRNazanin" w:hAnsi="IRNazanin" w:eastAsia="IRNazanin" w:cs="IRNazanin"/>
            <w:color w:val="111111"/>
            <w:sz w:val="22"/>
            <w:szCs w:val="22"/>
            <w:b w:val="0"/>
            <w:bCs w:val="0"/>
            <w:i w:val="0"/>
            <w:iCs w:val="0"/>
          </w:rPr>
          <w:t>ترجمه:</w:t>
        </w:r>
        <w:r>
          <w:tab/>
        </w:r>
        <w:r>
          <w:fldChar w:fldCharType="begin"/>
        </w:r>
        <w:r>
          <w:instrText xml:space="preserve">PAGEREF 1483 \h</w:instrText>
        </w:r>
        <w:r>
          <w:fldChar w:fldCharType="end"/>
        </w:r>
      </w:hyperlink>
    </w:p>
    <w:p>
      <w:pPr>
        <w:tabs>
          <w:tab w:val="right" w:leader="dot" w:pos="9062"/>
        </w:tabs>
        <w:ind w:left="1100"/>
      </w:pPr>
      <w:hyperlink w:anchor="_Toc1484" w:history="1">
        <w:r>
          <w:rPr>
            <w:rFonts w:ascii="IRNazanin" w:hAnsi="IRNazanin" w:eastAsia="IRNazanin" w:cs="IRNazanin"/>
            <w:color w:val="111111"/>
            <w:sz w:val="22"/>
            <w:szCs w:val="22"/>
            <w:b w:val="0"/>
            <w:bCs w:val="0"/>
            <w:i w:val="0"/>
            <w:iCs w:val="0"/>
          </w:rPr>
          <w:t>تفسیر:</w:t>
        </w:r>
        <w:r>
          <w:tab/>
        </w:r>
        <w:r>
          <w:fldChar w:fldCharType="begin"/>
        </w:r>
        <w:r>
          <w:instrText xml:space="preserve">PAGEREF 1484 \h</w:instrText>
        </w:r>
        <w:r>
          <w:fldChar w:fldCharType="end"/>
        </w:r>
      </w:hyperlink>
    </w:p>
    <w:p>
      <w:pPr>
        <w:tabs>
          <w:tab w:val="right" w:leader="dot" w:pos="9062"/>
        </w:tabs>
        <w:ind w:left="1100"/>
      </w:pPr>
      <w:hyperlink w:anchor="_Toc1485" w:history="1">
        <w:r>
          <w:rPr>
            <w:rFonts w:ascii="IRNazanin" w:hAnsi="IRNazanin" w:eastAsia="IRNazanin" w:cs="IRNazanin"/>
            <w:color w:val="111111"/>
            <w:sz w:val="22"/>
            <w:szCs w:val="22"/>
            <w:b w:val="0"/>
            <w:bCs w:val="0"/>
            <w:i w:val="0"/>
            <w:iCs w:val="0"/>
          </w:rPr>
          <w:t>[سوره یوسف «12»: آیات 43 تا 49]</w:t>
        </w:r>
        <w:r>
          <w:tab/>
        </w:r>
        <w:r>
          <w:fldChar w:fldCharType="begin"/>
        </w:r>
        <w:r>
          <w:instrText xml:space="preserve">PAGEREF 1485 \h</w:instrText>
        </w:r>
        <w:r>
          <w:fldChar w:fldCharType="end"/>
        </w:r>
      </w:hyperlink>
    </w:p>
    <w:p>
      <w:pPr>
        <w:tabs>
          <w:tab w:val="right" w:leader="dot" w:pos="9062"/>
        </w:tabs>
        <w:ind w:left="1100"/>
      </w:pPr>
      <w:hyperlink w:anchor="_Toc148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1486 \h</w:instrText>
        </w:r>
        <w:r>
          <w:fldChar w:fldCharType="end"/>
        </w:r>
      </w:hyperlink>
    </w:p>
    <w:p>
      <w:pPr>
        <w:tabs>
          <w:tab w:val="right" w:leader="dot" w:pos="9062"/>
        </w:tabs>
        <w:ind w:left="1100"/>
      </w:pPr>
      <w:hyperlink w:anchor="_Toc1487" w:history="1">
        <w:r>
          <w:rPr>
            <w:rFonts w:ascii="IRNazanin" w:hAnsi="IRNazanin" w:eastAsia="IRNazanin" w:cs="IRNazanin"/>
            <w:color w:val="111111"/>
            <w:sz w:val="22"/>
            <w:szCs w:val="22"/>
            <w:b w:val="0"/>
            <w:bCs w:val="0"/>
            <w:i w:val="0"/>
            <w:iCs w:val="0"/>
          </w:rPr>
          <w:t>ترجمه:</w:t>
        </w:r>
        <w:r>
          <w:tab/>
        </w:r>
        <w:r>
          <w:fldChar w:fldCharType="begin"/>
        </w:r>
        <w:r>
          <w:instrText xml:space="preserve">PAGEREF 1487 \h</w:instrText>
        </w:r>
        <w:r>
          <w:fldChar w:fldCharType="end"/>
        </w:r>
      </w:hyperlink>
    </w:p>
    <w:p>
      <w:pPr>
        <w:tabs>
          <w:tab w:val="right" w:leader="dot" w:pos="9062"/>
        </w:tabs>
        <w:ind w:left="1100"/>
      </w:pPr>
      <w:hyperlink w:anchor="_Toc1488" w:history="1">
        <w:r>
          <w:rPr>
            <w:rFonts w:ascii="IRNazanin" w:hAnsi="IRNazanin" w:eastAsia="IRNazanin" w:cs="IRNazanin"/>
            <w:color w:val="111111"/>
            <w:sz w:val="22"/>
            <w:szCs w:val="22"/>
            <w:b w:val="0"/>
            <w:bCs w:val="0"/>
            <w:i w:val="0"/>
            <w:iCs w:val="0"/>
          </w:rPr>
          <w:t>تفسیر:</w:t>
        </w:r>
        <w:r>
          <w:tab/>
        </w:r>
        <w:r>
          <w:fldChar w:fldCharType="begin"/>
        </w:r>
        <w:r>
          <w:instrText xml:space="preserve">PAGEREF 1488 \h</w:instrText>
        </w:r>
        <w:r>
          <w:fldChar w:fldCharType="end"/>
        </w:r>
      </w:hyperlink>
    </w:p>
    <w:p>
      <w:pPr>
        <w:tabs>
          <w:tab w:val="right" w:leader="dot" w:pos="9062"/>
        </w:tabs>
        <w:ind w:left="1100"/>
      </w:pPr>
      <w:hyperlink w:anchor="_Toc1489" w:history="1">
        <w:r>
          <w:rPr>
            <w:rFonts w:ascii="IRNazanin" w:hAnsi="IRNazanin" w:eastAsia="IRNazanin" w:cs="IRNazanin"/>
            <w:color w:val="111111"/>
            <w:sz w:val="22"/>
            <w:szCs w:val="22"/>
            <w:b w:val="0"/>
            <w:bCs w:val="0"/>
            <w:i w:val="0"/>
            <w:iCs w:val="0"/>
          </w:rPr>
          <w:t>[سوره یوسف «12»: آیات 50 تا 52]</w:t>
        </w:r>
        <w:r>
          <w:tab/>
        </w:r>
        <w:r>
          <w:fldChar w:fldCharType="begin"/>
        </w:r>
        <w:r>
          <w:instrText xml:space="preserve">PAGEREF 1489 \h</w:instrText>
        </w:r>
        <w:r>
          <w:fldChar w:fldCharType="end"/>
        </w:r>
      </w:hyperlink>
    </w:p>
    <w:p>
      <w:pPr>
        <w:tabs>
          <w:tab w:val="right" w:leader="dot" w:pos="9062"/>
        </w:tabs>
        <w:ind w:left="1100"/>
      </w:pPr>
      <w:hyperlink w:anchor="_Toc149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1490 \h</w:instrText>
        </w:r>
        <w:r>
          <w:fldChar w:fldCharType="end"/>
        </w:r>
      </w:hyperlink>
    </w:p>
    <w:p>
      <w:pPr>
        <w:tabs>
          <w:tab w:val="right" w:leader="dot" w:pos="9062"/>
        </w:tabs>
        <w:ind w:left="1100"/>
      </w:pPr>
      <w:hyperlink w:anchor="_Toc1491" w:history="1">
        <w:r>
          <w:rPr>
            <w:rFonts w:ascii="IRNazanin" w:hAnsi="IRNazanin" w:eastAsia="IRNazanin" w:cs="IRNazanin"/>
            <w:color w:val="111111"/>
            <w:sz w:val="22"/>
            <w:szCs w:val="22"/>
            <w:b w:val="0"/>
            <w:bCs w:val="0"/>
            <w:i w:val="0"/>
            <w:iCs w:val="0"/>
          </w:rPr>
          <w:t>ترجمه:</w:t>
        </w:r>
        <w:r>
          <w:tab/>
        </w:r>
        <w:r>
          <w:fldChar w:fldCharType="begin"/>
        </w:r>
        <w:r>
          <w:instrText xml:space="preserve">PAGEREF 1491 \h</w:instrText>
        </w:r>
        <w:r>
          <w:fldChar w:fldCharType="end"/>
        </w:r>
      </w:hyperlink>
    </w:p>
    <w:p>
      <w:pPr>
        <w:tabs>
          <w:tab w:val="right" w:leader="dot" w:pos="9062"/>
        </w:tabs>
        <w:ind w:left="1100"/>
      </w:pPr>
      <w:hyperlink w:anchor="_Toc1492" w:history="1">
        <w:r>
          <w:rPr>
            <w:rFonts w:ascii="IRNazanin" w:hAnsi="IRNazanin" w:eastAsia="IRNazanin" w:cs="IRNazanin"/>
            <w:color w:val="111111"/>
            <w:sz w:val="22"/>
            <w:szCs w:val="22"/>
            <w:b w:val="0"/>
            <w:bCs w:val="0"/>
            <w:i w:val="0"/>
            <w:iCs w:val="0"/>
          </w:rPr>
          <w:t>تفسیر:</w:t>
        </w:r>
        <w:r>
          <w:tab/>
        </w:r>
        <w:r>
          <w:fldChar w:fldCharType="begin"/>
        </w:r>
        <w:r>
          <w:instrText xml:space="preserve">PAGEREF 1492 \h</w:instrText>
        </w:r>
        <w:r>
          <w:fldChar w:fldCharType="end"/>
        </w:r>
      </w:hyperlink>
    </w:p>
    <w:p>
      <w:pPr>
        <w:tabs>
          <w:tab w:val="right" w:leader="dot" w:pos="9062"/>
        </w:tabs>
        <w:ind w:left="1100"/>
      </w:pPr>
      <w:hyperlink w:anchor="_Toc1493" w:history="1">
        <w:r>
          <w:rPr>
            <w:rFonts w:ascii="IRNazanin" w:hAnsi="IRNazanin" w:eastAsia="IRNazanin" w:cs="IRNazanin"/>
            <w:color w:val="111111"/>
            <w:sz w:val="22"/>
            <w:szCs w:val="22"/>
            <w:b w:val="0"/>
            <w:bCs w:val="0"/>
            <w:i w:val="0"/>
            <w:iCs w:val="0"/>
          </w:rPr>
          <w:t>[سوره یوسف «12»: آیات 53 تا 57]</w:t>
        </w:r>
        <w:r>
          <w:tab/>
        </w:r>
        <w:r>
          <w:fldChar w:fldCharType="begin"/>
        </w:r>
        <w:r>
          <w:instrText xml:space="preserve">PAGEREF 1493 \h</w:instrText>
        </w:r>
        <w:r>
          <w:fldChar w:fldCharType="end"/>
        </w:r>
      </w:hyperlink>
    </w:p>
    <w:p>
      <w:pPr>
        <w:tabs>
          <w:tab w:val="right" w:leader="dot" w:pos="9062"/>
        </w:tabs>
        <w:ind w:left="1100"/>
      </w:pPr>
      <w:hyperlink w:anchor="_Toc149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1494 \h</w:instrText>
        </w:r>
        <w:r>
          <w:fldChar w:fldCharType="end"/>
        </w:r>
      </w:hyperlink>
    </w:p>
    <w:p>
      <w:pPr>
        <w:tabs>
          <w:tab w:val="right" w:leader="dot" w:pos="9062"/>
        </w:tabs>
        <w:ind w:left="1100"/>
      </w:pPr>
      <w:hyperlink w:anchor="_Toc1495" w:history="1">
        <w:r>
          <w:rPr>
            <w:rFonts w:ascii="IRNazanin" w:hAnsi="IRNazanin" w:eastAsia="IRNazanin" w:cs="IRNazanin"/>
            <w:color w:val="111111"/>
            <w:sz w:val="22"/>
            <w:szCs w:val="22"/>
            <w:b w:val="0"/>
            <w:bCs w:val="0"/>
            <w:i w:val="0"/>
            <w:iCs w:val="0"/>
          </w:rPr>
          <w:t>ترجمه:</w:t>
        </w:r>
        <w:r>
          <w:tab/>
        </w:r>
        <w:r>
          <w:fldChar w:fldCharType="begin"/>
        </w:r>
        <w:r>
          <w:instrText xml:space="preserve">PAGEREF 1495 \h</w:instrText>
        </w:r>
        <w:r>
          <w:fldChar w:fldCharType="end"/>
        </w:r>
      </w:hyperlink>
    </w:p>
    <w:p>
      <w:pPr>
        <w:tabs>
          <w:tab w:val="right" w:leader="dot" w:pos="9062"/>
        </w:tabs>
        <w:ind w:left="1100"/>
      </w:pPr>
      <w:hyperlink w:anchor="_Toc1496" w:history="1">
        <w:r>
          <w:rPr>
            <w:rFonts w:ascii="IRNazanin" w:hAnsi="IRNazanin" w:eastAsia="IRNazanin" w:cs="IRNazanin"/>
            <w:color w:val="111111"/>
            <w:sz w:val="22"/>
            <w:szCs w:val="22"/>
            <w:b w:val="0"/>
            <w:bCs w:val="0"/>
            <w:i w:val="0"/>
            <w:iCs w:val="0"/>
          </w:rPr>
          <w:t>تفسیر:</w:t>
        </w:r>
        <w:r>
          <w:tab/>
        </w:r>
        <w:r>
          <w:fldChar w:fldCharType="begin"/>
        </w:r>
        <w:r>
          <w:instrText xml:space="preserve">PAGEREF 1496 \h</w:instrText>
        </w:r>
        <w:r>
          <w:fldChar w:fldCharType="end"/>
        </w:r>
      </w:hyperlink>
    </w:p>
    <w:p>
      <w:pPr>
        <w:tabs>
          <w:tab w:val="right" w:leader="dot" w:pos="9062"/>
        </w:tabs>
        <w:ind w:left="1100"/>
      </w:pPr>
      <w:hyperlink w:anchor="_Toc1497" w:history="1">
        <w:r>
          <w:rPr>
            <w:rFonts w:ascii="IRNazanin" w:hAnsi="IRNazanin" w:eastAsia="IRNazanin" w:cs="IRNazanin"/>
            <w:color w:val="111111"/>
            <w:sz w:val="22"/>
            <w:szCs w:val="22"/>
            <w:b w:val="0"/>
            <w:bCs w:val="0"/>
            <w:i w:val="0"/>
            <w:iCs w:val="0"/>
          </w:rPr>
          <w:t>[سوره یوسف «12»: آیات 58 تا 62]</w:t>
        </w:r>
        <w:r>
          <w:tab/>
        </w:r>
        <w:r>
          <w:fldChar w:fldCharType="begin"/>
        </w:r>
        <w:r>
          <w:instrText xml:space="preserve">PAGEREF 1497 \h</w:instrText>
        </w:r>
        <w:r>
          <w:fldChar w:fldCharType="end"/>
        </w:r>
      </w:hyperlink>
    </w:p>
    <w:p>
      <w:pPr>
        <w:tabs>
          <w:tab w:val="right" w:leader="dot" w:pos="9062"/>
        </w:tabs>
        <w:ind w:left="1100"/>
      </w:pPr>
      <w:hyperlink w:anchor="_Toc149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1498 \h</w:instrText>
        </w:r>
        <w:r>
          <w:fldChar w:fldCharType="end"/>
        </w:r>
      </w:hyperlink>
    </w:p>
    <w:p>
      <w:pPr>
        <w:tabs>
          <w:tab w:val="right" w:leader="dot" w:pos="9062"/>
        </w:tabs>
        <w:ind w:left="1100"/>
      </w:pPr>
      <w:hyperlink w:anchor="_Toc1499" w:history="1">
        <w:r>
          <w:rPr>
            <w:rFonts w:ascii="IRNazanin" w:hAnsi="IRNazanin" w:eastAsia="IRNazanin" w:cs="IRNazanin"/>
            <w:color w:val="111111"/>
            <w:sz w:val="22"/>
            <w:szCs w:val="22"/>
            <w:b w:val="0"/>
            <w:bCs w:val="0"/>
            <w:i w:val="0"/>
            <w:iCs w:val="0"/>
          </w:rPr>
          <w:t>ترجمه:</w:t>
        </w:r>
        <w:r>
          <w:tab/>
        </w:r>
        <w:r>
          <w:fldChar w:fldCharType="begin"/>
        </w:r>
        <w:r>
          <w:instrText xml:space="preserve">PAGEREF 1499 \h</w:instrText>
        </w:r>
        <w:r>
          <w:fldChar w:fldCharType="end"/>
        </w:r>
      </w:hyperlink>
    </w:p>
    <w:p>
      <w:pPr>
        <w:tabs>
          <w:tab w:val="right" w:leader="dot" w:pos="9062"/>
        </w:tabs>
        <w:ind w:left="1100"/>
      </w:pPr>
      <w:hyperlink w:anchor="_Toc1500" w:history="1">
        <w:r>
          <w:rPr>
            <w:rFonts w:ascii="IRNazanin" w:hAnsi="IRNazanin" w:eastAsia="IRNazanin" w:cs="IRNazanin"/>
            <w:color w:val="111111"/>
            <w:sz w:val="22"/>
            <w:szCs w:val="22"/>
            <w:b w:val="0"/>
            <w:bCs w:val="0"/>
            <w:i w:val="0"/>
            <w:iCs w:val="0"/>
          </w:rPr>
          <w:t>تفسیر:</w:t>
        </w:r>
        <w:r>
          <w:tab/>
        </w:r>
        <w:r>
          <w:fldChar w:fldCharType="begin"/>
        </w:r>
        <w:r>
          <w:instrText xml:space="preserve">PAGEREF 1500 \h</w:instrText>
        </w:r>
        <w:r>
          <w:fldChar w:fldCharType="end"/>
        </w:r>
      </w:hyperlink>
    </w:p>
    <w:p>
      <w:pPr>
        <w:tabs>
          <w:tab w:val="right" w:leader="dot" w:pos="9062"/>
        </w:tabs>
        <w:ind w:left="1100"/>
      </w:pPr>
      <w:hyperlink w:anchor="_Toc1501" w:history="1">
        <w:r>
          <w:rPr>
            <w:rFonts w:ascii="IRNazanin" w:hAnsi="IRNazanin" w:eastAsia="IRNazanin" w:cs="IRNazanin"/>
            <w:color w:val="111111"/>
            <w:sz w:val="22"/>
            <w:szCs w:val="22"/>
            <w:b w:val="0"/>
            <w:bCs w:val="0"/>
            <w:i w:val="0"/>
            <w:iCs w:val="0"/>
          </w:rPr>
          <w:t>[سوره یوسف «12»: آیات 63 تا 66]</w:t>
        </w:r>
        <w:r>
          <w:tab/>
        </w:r>
        <w:r>
          <w:fldChar w:fldCharType="begin"/>
        </w:r>
        <w:r>
          <w:instrText xml:space="preserve">PAGEREF 1501 \h</w:instrText>
        </w:r>
        <w:r>
          <w:fldChar w:fldCharType="end"/>
        </w:r>
      </w:hyperlink>
    </w:p>
    <w:p>
      <w:pPr>
        <w:tabs>
          <w:tab w:val="right" w:leader="dot" w:pos="9062"/>
        </w:tabs>
        <w:ind w:left="1100"/>
      </w:pPr>
      <w:hyperlink w:anchor="_Toc150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1502 \h</w:instrText>
        </w:r>
        <w:r>
          <w:fldChar w:fldCharType="end"/>
        </w:r>
      </w:hyperlink>
    </w:p>
    <w:p>
      <w:pPr>
        <w:tabs>
          <w:tab w:val="right" w:leader="dot" w:pos="9062"/>
        </w:tabs>
        <w:ind w:left="1100"/>
      </w:pPr>
      <w:hyperlink w:anchor="_Toc1503" w:history="1">
        <w:r>
          <w:rPr>
            <w:rFonts w:ascii="IRNazanin" w:hAnsi="IRNazanin" w:eastAsia="IRNazanin" w:cs="IRNazanin"/>
            <w:color w:val="111111"/>
            <w:sz w:val="22"/>
            <w:szCs w:val="22"/>
            <w:b w:val="0"/>
            <w:bCs w:val="0"/>
            <w:i w:val="0"/>
            <w:iCs w:val="0"/>
          </w:rPr>
          <w:t>ترجمه:</w:t>
        </w:r>
        <w:r>
          <w:tab/>
        </w:r>
        <w:r>
          <w:fldChar w:fldCharType="begin"/>
        </w:r>
        <w:r>
          <w:instrText xml:space="preserve">PAGEREF 1503 \h</w:instrText>
        </w:r>
        <w:r>
          <w:fldChar w:fldCharType="end"/>
        </w:r>
      </w:hyperlink>
    </w:p>
    <w:p>
      <w:pPr>
        <w:tabs>
          <w:tab w:val="right" w:leader="dot" w:pos="9062"/>
        </w:tabs>
        <w:ind w:left="1100"/>
      </w:pPr>
      <w:hyperlink w:anchor="_Toc1504" w:history="1">
        <w:r>
          <w:rPr>
            <w:rFonts w:ascii="IRNazanin" w:hAnsi="IRNazanin" w:eastAsia="IRNazanin" w:cs="IRNazanin"/>
            <w:color w:val="111111"/>
            <w:sz w:val="22"/>
            <w:szCs w:val="22"/>
            <w:b w:val="0"/>
            <w:bCs w:val="0"/>
            <w:i w:val="0"/>
            <w:iCs w:val="0"/>
          </w:rPr>
          <w:t>تفسیر:</w:t>
        </w:r>
        <w:r>
          <w:tab/>
        </w:r>
        <w:r>
          <w:fldChar w:fldCharType="begin"/>
        </w:r>
        <w:r>
          <w:instrText xml:space="preserve">PAGEREF 1504 \h</w:instrText>
        </w:r>
        <w:r>
          <w:fldChar w:fldCharType="end"/>
        </w:r>
      </w:hyperlink>
    </w:p>
    <w:p>
      <w:pPr>
        <w:tabs>
          <w:tab w:val="right" w:leader="dot" w:pos="9062"/>
        </w:tabs>
        <w:ind w:left="1100"/>
      </w:pPr>
      <w:hyperlink w:anchor="_Toc1505" w:history="1">
        <w:r>
          <w:rPr>
            <w:rFonts w:ascii="IRNazanin" w:hAnsi="IRNazanin" w:eastAsia="IRNazanin" w:cs="IRNazanin"/>
            <w:color w:val="111111"/>
            <w:sz w:val="22"/>
            <w:szCs w:val="22"/>
            <w:b w:val="0"/>
            <w:bCs w:val="0"/>
            <w:i w:val="0"/>
            <w:iCs w:val="0"/>
          </w:rPr>
          <w:t>[سوره یوسف «12»: آیات 67 تا 68]</w:t>
        </w:r>
        <w:r>
          <w:tab/>
        </w:r>
        <w:r>
          <w:fldChar w:fldCharType="begin"/>
        </w:r>
        <w:r>
          <w:instrText xml:space="preserve">PAGEREF 1505 \h</w:instrText>
        </w:r>
        <w:r>
          <w:fldChar w:fldCharType="end"/>
        </w:r>
      </w:hyperlink>
    </w:p>
    <w:p>
      <w:pPr>
        <w:tabs>
          <w:tab w:val="right" w:leader="dot" w:pos="9062"/>
        </w:tabs>
        <w:ind w:left="1100"/>
      </w:pPr>
      <w:hyperlink w:anchor="_Toc150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1506 \h</w:instrText>
        </w:r>
        <w:r>
          <w:fldChar w:fldCharType="end"/>
        </w:r>
      </w:hyperlink>
    </w:p>
    <w:p>
      <w:pPr>
        <w:tabs>
          <w:tab w:val="right" w:leader="dot" w:pos="9062"/>
        </w:tabs>
        <w:ind w:left="1100"/>
      </w:pPr>
      <w:hyperlink w:anchor="_Toc1507" w:history="1">
        <w:r>
          <w:rPr>
            <w:rFonts w:ascii="IRNazanin" w:hAnsi="IRNazanin" w:eastAsia="IRNazanin" w:cs="IRNazanin"/>
            <w:color w:val="111111"/>
            <w:sz w:val="22"/>
            <w:szCs w:val="22"/>
            <w:b w:val="0"/>
            <w:bCs w:val="0"/>
            <w:i w:val="0"/>
            <w:iCs w:val="0"/>
          </w:rPr>
          <w:t>ترجمه:</w:t>
        </w:r>
        <w:r>
          <w:tab/>
        </w:r>
        <w:r>
          <w:fldChar w:fldCharType="begin"/>
        </w:r>
        <w:r>
          <w:instrText xml:space="preserve">PAGEREF 1507 \h</w:instrText>
        </w:r>
        <w:r>
          <w:fldChar w:fldCharType="end"/>
        </w:r>
      </w:hyperlink>
    </w:p>
    <w:p>
      <w:pPr>
        <w:tabs>
          <w:tab w:val="right" w:leader="dot" w:pos="9062"/>
        </w:tabs>
        <w:ind w:left="1100"/>
      </w:pPr>
      <w:hyperlink w:anchor="_Toc1508" w:history="1">
        <w:r>
          <w:rPr>
            <w:rFonts w:ascii="IRNazanin" w:hAnsi="IRNazanin" w:eastAsia="IRNazanin" w:cs="IRNazanin"/>
            <w:color w:val="111111"/>
            <w:sz w:val="22"/>
            <w:szCs w:val="22"/>
            <w:b w:val="0"/>
            <w:bCs w:val="0"/>
            <w:i w:val="0"/>
            <w:iCs w:val="0"/>
          </w:rPr>
          <w:t>تفسیر:</w:t>
        </w:r>
        <w:r>
          <w:tab/>
        </w:r>
        <w:r>
          <w:fldChar w:fldCharType="begin"/>
        </w:r>
        <w:r>
          <w:instrText xml:space="preserve">PAGEREF 1508 \h</w:instrText>
        </w:r>
        <w:r>
          <w:fldChar w:fldCharType="end"/>
        </w:r>
      </w:hyperlink>
    </w:p>
    <w:p>
      <w:pPr>
        <w:tabs>
          <w:tab w:val="right" w:leader="dot" w:pos="9062"/>
        </w:tabs>
        <w:ind w:left="1100"/>
      </w:pPr>
      <w:hyperlink w:anchor="_Toc1509" w:history="1">
        <w:r>
          <w:rPr>
            <w:rFonts w:ascii="IRNazanin" w:hAnsi="IRNazanin" w:eastAsia="IRNazanin" w:cs="IRNazanin"/>
            <w:color w:val="111111"/>
            <w:sz w:val="22"/>
            <w:szCs w:val="22"/>
            <w:b w:val="0"/>
            <w:bCs w:val="0"/>
            <w:i w:val="0"/>
            <w:iCs w:val="0"/>
          </w:rPr>
          <w:t>[سوره یوسف «12»: آیات 69 تا 76]</w:t>
        </w:r>
        <w:r>
          <w:tab/>
        </w:r>
        <w:r>
          <w:fldChar w:fldCharType="begin"/>
        </w:r>
        <w:r>
          <w:instrText xml:space="preserve">PAGEREF 1509 \h</w:instrText>
        </w:r>
        <w:r>
          <w:fldChar w:fldCharType="end"/>
        </w:r>
      </w:hyperlink>
    </w:p>
    <w:p>
      <w:pPr>
        <w:tabs>
          <w:tab w:val="right" w:leader="dot" w:pos="9062"/>
        </w:tabs>
        <w:ind w:left="1100"/>
      </w:pPr>
      <w:hyperlink w:anchor="_Toc151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1510 \h</w:instrText>
        </w:r>
        <w:r>
          <w:fldChar w:fldCharType="end"/>
        </w:r>
      </w:hyperlink>
    </w:p>
    <w:p>
      <w:pPr>
        <w:tabs>
          <w:tab w:val="right" w:leader="dot" w:pos="9062"/>
        </w:tabs>
        <w:ind w:left="1100"/>
      </w:pPr>
      <w:hyperlink w:anchor="_Toc1511" w:history="1">
        <w:r>
          <w:rPr>
            <w:rFonts w:ascii="IRNazanin" w:hAnsi="IRNazanin" w:eastAsia="IRNazanin" w:cs="IRNazanin"/>
            <w:color w:val="111111"/>
            <w:sz w:val="22"/>
            <w:szCs w:val="22"/>
            <w:b w:val="0"/>
            <w:bCs w:val="0"/>
            <w:i w:val="0"/>
            <w:iCs w:val="0"/>
          </w:rPr>
          <w:t>ترجمه:</w:t>
        </w:r>
        <w:r>
          <w:tab/>
        </w:r>
        <w:r>
          <w:fldChar w:fldCharType="begin"/>
        </w:r>
        <w:r>
          <w:instrText xml:space="preserve">PAGEREF 1511 \h</w:instrText>
        </w:r>
        <w:r>
          <w:fldChar w:fldCharType="end"/>
        </w:r>
      </w:hyperlink>
    </w:p>
    <w:p>
      <w:pPr>
        <w:tabs>
          <w:tab w:val="right" w:leader="dot" w:pos="9062"/>
        </w:tabs>
        <w:ind w:left="1100"/>
      </w:pPr>
      <w:hyperlink w:anchor="_Toc1512" w:history="1">
        <w:r>
          <w:rPr>
            <w:rFonts w:ascii="IRNazanin" w:hAnsi="IRNazanin" w:eastAsia="IRNazanin" w:cs="IRNazanin"/>
            <w:color w:val="111111"/>
            <w:sz w:val="22"/>
            <w:szCs w:val="22"/>
            <w:b w:val="0"/>
            <w:bCs w:val="0"/>
            <w:i w:val="0"/>
            <w:iCs w:val="0"/>
          </w:rPr>
          <w:t>تفسیر:</w:t>
        </w:r>
        <w:r>
          <w:tab/>
        </w:r>
        <w:r>
          <w:fldChar w:fldCharType="begin"/>
        </w:r>
        <w:r>
          <w:instrText xml:space="preserve">PAGEREF 1512 \h</w:instrText>
        </w:r>
        <w:r>
          <w:fldChar w:fldCharType="end"/>
        </w:r>
      </w:hyperlink>
    </w:p>
    <w:p>
      <w:pPr>
        <w:tabs>
          <w:tab w:val="right" w:leader="dot" w:pos="9062"/>
        </w:tabs>
        <w:ind w:left="1100"/>
      </w:pPr>
      <w:hyperlink w:anchor="_Toc1513" w:history="1">
        <w:r>
          <w:rPr>
            <w:rFonts w:ascii="IRNazanin" w:hAnsi="IRNazanin" w:eastAsia="IRNazanin" w:cs="IRNazanin"/>
            <w:color w:val="111111"/>
            <w:sz w:val="22"/>
            <w:szCs w:val="22"/>
            <w:b w:val="0"/>
            <w:bCs w:val="0"/>
            <w:i w:val="0"/>
            <w:iCs w:val="0"/>
          </w:rPr>
          <w:t>[سوره یوسف «12»: آیات 77 تا 80]</w:t>
        </w:r>
        <w:r>
          <w:tab/>
        </w:r>
        <w:r>
          <w:fldChar w:fldCharType="begin"/>
        </w:r>
        <w:r>
          <w:instrText xml:space="preserve">PAGEREF 1513 \h</w:instrText>
        </w:r>
        <w:r>
          <w:fldChar w:fldCharType="end"/>
        </w:r>
      </w:hyperlink>
    </w:p>
    <w:p>
      <w:pPr>
        <w:tabs>
          <w:tab w:val="right" w:leader="dot" w:pos="9062"/>
        </w:tabs>
        <w:ind w:left="1100"/>
      </w:pPr>
      <w:hyperlink w:anchor="_Toc151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1514 \h</w:instrText>
        </w:r>
        <w:r>
          <w:fldChar w:fldCharType="end"/>
        </w:r>
      </w:hyperlink>
    </w:p>
    <w:p>
      <w:pPr>
        <w:tabs>
          <w:tab w:val="right" w:leader="dot" w:pos="9062"/>
        </w:tabs>
        <w:ind w:left="1100"/>
      </w:pPr>
      <w:hyperlink w:anchor="_Toc1515" w:history="1">
        <w:r>
          <w:rPr>
            <w:rFonts w:ascii="IRNazanin" w:hAnsi="IRNazanin" w:eastAsia="IRNazanin" w:cs="IRNazanin"/>
            <w:color w:val="111111"/>
            <w:sz w:val="22"/>
            <w:szCs w:val="22"/>
            <w:b w:val="0"/>
            <w:bCs w:val="0"/>
            <w:i w:val="0"/>
            <w:iCs w:val="0"/>
          </w:rPr>
          <w:t>ترجمه:</w:t>
        </w:r>
        <w:r>
          <w:tab/>
        </w:r>
        <w:r>
          <w:fldChar w:fldCharType="begin"/>
        </w:r>
        <w:r>
          <w:instrText xml:space="preserve">PAGEREF 1515 \h</w:instrText>
        </w:r>
        <w:r>
          <w:fldChar w:fldCharType="end"/>
        </w:r>
      </w:hyperlink>
    </w:p>
    <w:p>
      <w:pPr>
        <w:tabs>
          <w:tab w:val="right" w:leader="dot" w:pos="9062"/>
        </w:tabs>
        <w:ind w:left="1100"/>
      </w:pPr>
      <w:hyperlink w:anchor="_Toc1516" w:history="1">
        <w:r>
          <w:rPr>
            <w:rFonts w:ascii="IRNazanin" w:hAnsi="IRNazanin" w:eastAsia="IRNazanin" w:cs="IRNazanin"/>
            <w:color w:val="111111"/>
            <w:sz w:val="22"/>
            <w:szCs w:val="22"/>
            <w:b w:val="0"/>
            <w:bCs w:val="0"/>
            <w:i w:val="0"/>
            <w:iCs w:val="0"/>
          </w:rPr>
          <w:t>تفسیر:</w:t>
        </w:r>
        <w:r>
          <w:tab/>
        </w:r>
        <w:r>
          <w:fldChar w:fldCharType="begin"/>
        </w:r>
        <w:r>
          <w:instrText xml:space="preserve">PAGEREF 1516 \h</w:instrText>
        </w:r>
        <w:r>
          <w:fldChar w:fldCharType="end"/>
        </w:r>
      </w:hyperlink>
    </w:p>
    <w:p>
      <w:pPr>
        <w:tabs>
          <w:tab w:val="right" w:leader="dot" w:pos="9062"/>
        </w:tabs>
        <w:ind w:left="1100"/>
      </w:pPr>
      <w:hyperlink w:anchor="_Toc1517" w:history="1">
        <w:r>
          <w:rPr>
            <w:rFonts w:ascii="IRNazanin" w:hAnsi="IRNazanin" w:eastAsia="IRNazanin" w:cs="IRNazanin"/>
            <w:color w:val="111111"/>
            <w:sz w:val="22"/>
            <w:szCs w:val="22"/>
            <w:b w:val="0"/>
            <w:bCs w:val="0"/>
            <w:i w:val="0"/>
            <w:iCs w:val="0"/>
          </w:rPr>
          <w:t>[سوره یوسف «12»: آیات 81 تا 87]</w:t>
        </w:r>
        <w:r>
          <w:tab/>
        </w:r>
        <w:r>
          <w:fldChar w:fldCharType="begin"/>
        </w:r>
        <w:r>
          <w:instrText xml:space="preserve">PAGEREF 1517 \h</w:instrText>
        </w:r>
        <w:r>
          <w:fldChar w:fldCharType="end"/>
        </w:r>
      </w:hyperlink>
    </w:p>
    <w:p>
      <w:pPr>
        <w:tabs>
          <w:tab w:val="right" w:leader="dot" w:pos="9062"/>
        </w:tabs>
        <w:ind w:left="1100"/>
      </w:pPr>
      <w:hyperlink w:anchor="_Toc151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1518 \h</w:instrText>
        </w:r>
        <w:r>
          <w:fldChar w:fldCharType="end"/>
        </w:r>
      </w:hyperlink>
    </w:p>
    <w:p>
      <w:pPr>
        <w:tabs>
          <w:tab w:val="right" w:leader="dot" w:pos="9062"/>
        </w:tabs>
        <w:ind w:left="1100"/>
      </w:pPr>
      <w:hyperlink w:anchor="_Toc1519" w:history="1">
        <w:r>
          <w:rPr>
            <w:rFonts w:ascii="IRNazanin" w:hAnsi="IRNazanin" w:eastAsia="IRNazanin" w:cs="IRNazanin"/>
            <w:color w:val="111111"/>
            <w:sz w:val="22"/>
            <w:szCs w:val="22"/>
            <w:b w:val="0"/>
            <w:bCs w:val="0"/>
            <w:i w:val="0"/>
            <w:iCs w:val="0"/>
          </w:rPr>
          <w:t>ترجمه:</w:t>
        </w:r>
        <w:r>
          <w:tab/>
        </w:r>
        <w:r>
          <w:fldChar w:fldCharType="begin"/>
        </w:r>
        <w:r>
          <w:instrText xml:space="preserve">PAGEREF 1519 \h</w:instrText>
        </w:r>
        <w:r>
          <w:fldChar w:fldCharType="end"/>
        </w:r>
      </w:hyperlink>
    </w:p>
    <w:p>
      <w:pPr>
        <w:tabs>
          <w:tab w:val="right" w:leader="dot" w:pos="9062"/>
        </w:tabs>
        <w:ind w:left="1100"/>
      </w:pPr>
      <w:hyperlink w:anchor="_Toc1520" w:history="1">
        <w:r>
          <w:rPr>
            <w:rFonts w:ascii="IRNazanin" w:hAnsi="IRNazanin" w:eastAsia="IRNazanin" w:cs="IRNazanin"/>
            <w:color w:val="111111"/>
            <w:sz w:val="22"/>
            <w:szCs w:val="22"/>
            <w:b w:val="0"/>
            <w:bCs w:val="0"/>
            <w:i w:val="0"/>
            <w:iCs w:val="0"/>
          </w:rPr>
          <w:t>تفسیر:</w:t>
        </w:r>
        <w:r>
          <w:tab/>
        </w:r>
        <w:r>
          <w:fldChar w:fldCharType="begin"/>
        </w:r>
        <w:r>
          <w:instrText xml:space="preserve">PAGEREF 1520 \h</w:instrText>
        </w:r>
        <w:r>
          <w:fldChar w:fldCharType="end"/>
        </w:r>
      </w:hyperlink>
    </w:p>
    <w:p>
      <w:pPr>
        <w:tabs>
          <w:tab w:val="right" w:leader="dot" w:pos="9062"/>
        </w:tabs>
        <w:ind w:left="1100"/>
      </w:pPr>
      <w:hyperlink w:anchor="_Toc1521" w:history="1">
        <w:r>
          <w:rPr>
            <w:rFonts w:ascii="IRNazanin" w:hAnsi="IRNazanin" w:eastAsia="IRNazanin" w:cs="IRNazanin"/>
            <w:color w:val="111111"/>
            <w:sz w:val="22"/>
            <w:szCs w:val="22"/>
            <w:b w:val="0"/>
            <w:bCs w:val="0"/>
            <w:i w:val="0"/>
            <w:iCs w:val="0"/>
          </w:rPr>
          <w:t>[سوره یوسف «12»: آیات 88 تا 93]</w:t>
        </w:r>
        <w:r>
          <w:tab/>
        </w:r>
        <w:r>
          <w:fldChar w:fldCharType="begin"/>
        </w:r>
        <w:r>
          <w:instrText xml:space="preserve">PAGEREF 1521 \h</w:instrText>
        </w:r>
        <w:r>
          <w:fldChar w:fldCharType="end"/>
        </w:r>
      </w:hyperlink>
    </w:p>
    <w:p>
      <w:pPr>
        <w:tabs>
          <w:tab w:val="right" w:leader="dot" w:pos="9062"/>
        </w:tabs>
        <w:ind w:left="1100"/>
      </w:pPr>
      <w:hyperlink w:anchor="_Toc152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1522 \h</w:instrText>
        </w:r>
        <w:r>
          <w:fldChar w:fldCharType="end"/>
        </w:r>
      </w:hyperlink>
    </w:p>
    <w:p>
      <w:pPr>
        <w:tabs>
          <w:tab w:val="right" w:leader="dot" w:pos="9062"/>
        </w:tabs>
        <w:ind w:left="1100"/>
      </w:pPr>
      <w:hyperlink w:anchor="_Toc1523" w:history="1">
        <w:r>
          <w:rPr>
            <w:rFonts w:ascii="IRNazanin" w:hAnsi="IRNazanin" w:eastAsia="IRNazanin" w:cs="IRNazanin"/>
            <w:color w:val="111111"/>
            <w:sz w:val="22"/>
            <w:szCs w:val="22"/>
            <w:b w:val="0"/>
            <w:bCs w:val="0"/>
            <w:i w:val="0"/>
            <w:iCs w:val="0"/>
          </w:rPr>
          <w:t>ترجمه:</w:t>
        </w:r>
        <w:r>
          <w:tab/>
        </w:r>
        <w:r>
          <w:fldChar w:fldCharType="begin"/>
        </w:r>
        <w:r>
          <w:instrText xml:space="preserve">PAGEREF 1523 \h</w:instrText>
        </w:r>
        <w:r>
          <w:fldChar w:fldCharType="end"/>
        </w:r>
      </w:hyperlink>
    </w:p>
    <w:p>
      <w:pPr>
        <w:tabs>
          <w:tab w:val="right" w:leader="dot" w:pos="9062"/>
        </w:tabs>
        <w:ind w:left="1100"/>
      </w:pPr>
      <w:hyperlink w:anchor="_Toc1524" w:history="1">
        <w:r>
          <w:rPr>
            <w:rFonts w:ascii="IRNazanin" w:hAnsi="IRNazanin" w:eastAsia="IRNazanin" w:cs="IRNazanin"/>
            <w:color w:val="111111"/>
            <w:sz w:val="22"/>
            <w:szCs w:val="22"/>
            <w:b w:val="0"/>
            <w:bCs w:val="0"/>
            <w:i w:val="0"/>
            <w:iCs w:val="0"/>
          </w:rPr>
          <w:t>تفسیر:</w:t>
        </w:r>
        <w:r>
          <w:tab/>
        </w:r>
        <w:r>
          <w:fldChar w:fldCharType="begin"/>
        </w:r>
        <w:r>
          <w:instrText xml:space="preserve">PAGEREF 1524 \h</w:instrText>
        </w:r>
        <w:r>
          <w:fldChar w:fldCharType="end"/>
        </w:r>
      </w:hyperlink>
    </w:p>
    <w:p>
      <w:pPr>
        <w:tabs>
          <w:tab w:val="right" w:leader="dot" w:pos="9062"/>
        </w:tabs>
        <w:ind w:left="1100"/>
      </w:pPr>
      <w:hyperlink w:anchor="_Toc1525" w:history="1">
        <w:r>
          <w:rPr>
            <w:rFonts w:ascii="IRNazanin" w:hAnsi="IRNazanin" w:eastAsia="IRNazanin" w:cs="IRNazanin"/>
            <w:color w:val="111111"/>
            <w:sz w:val="22"/>
            <w:szCs w:val="22"/>
            <w:b w:val="0"/>
            <w:bCs w:val="0"/>
            <w:i w:val="0"/>
            <w:iCs w:val="0"/>
          </w:rPr>
          <w:t>[سوره یوسف «12»: آیات 94 تا 98]</w:t>
        </w:r>
        <w:r>
          <w:tab/>
        </w:r>
        <w:r>
          <w:fldChar w:fldCharType="begin"/>
        </w:r>
        <w:r>
          <w:instrText xml:space="preserve">PAGEREF 1525 \h</w:instrText>
        </w:r>
        <w:r>
          <w:fldChar w:fldCharType="end"/>
        </w:r>
      </w:hyperlink>
    </w:p>
    <w:p>
      <w:pPr>
        <w:tabs>
          <w:tab w:val="right" w:leader="dot" w:pos="9062"/>
        </w:tabs>
        <w:ind w:left="1100"/>
      </w:pPr>
      <w:hyperlink w:anchor="_Toc152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1526 \h</w:instrText>
        </w:r>
        <w:r>
          <w:fldChar w:fldCharType="end"/>
        </w:r>
      </w:hyperlink>
    </w:p>
    <w:p>
      <w:pPr>
        <w:tabs>
          <w:tab w:val="right" w:leader="dot" w:pos="9062"/>
        </w:tabs>
        <w:ind w:left="1100"/>
      </w:pPr>
      <w:hyperlink w:anchor="_Toc1527" w:history="1">
        <w:r>
          <w:rPr>
            <w:rFonts w:ascii="IRNazanin" w:hAnsi="IRNazanin" w:eastAsia="IRNazanin" w:cs="IRNazanin"/>
            <w:color w:val="111111"/>
            <w:sz w:val="22"/>
            <w:szCs w:val="22"/>
            <w:b w:val="0"/>
            <w:bCs w:val="0"/>
            <w:i w:val="0"/>
            <w:iCs w:val="0"/>
          </w:rPr>
          <w:t>ترجمه:</w:t>
        </w:r>
        <w:r>
          <w:tab/>
        </w:r>
        <w:r>
          <w:fldChar w:fldCharType="begin"/>
        </w:r>
        <w:r>
          <w:instrText xml:space="preserve">PAGEREF 1527 \h</w:instrText>
        </w:r>
        <w:r>
          <w:fldChar w:fldCharType="end"/>
        </w:r>
      </w:hyperlink>
    </w:p>
    <w:p>
      <w:pPr>
        <w:tabs>
          <w:tab w:val="right" w:leader="dot" w:pos="9062"/>
        </w:tabs>
        <w:ind w:left="1100"/>
      </w:pPr>
      <w:hyperlink w:anchor="_Toc1528" w:history="1">
        <w:r>
          <w:rPr>
            <w:rFonts w:ascii="IRNazanin" w:hAnsi="IRNazanin" w:eastAsia="IRNazanin" w:cs="IRNazanin"/>
            <w:color w:val="111111"/>
            <w:sz w:val="22"/>
            <w:szCs w:val="22"/>
            <w:b w:val="0"/>
            <w:bCs w:val="0"/>
            <w:i w:val="0"/>
            <w:iCs w:val="0"/>
          </w:rPr>
          <w:t>تفسیر:</w:t>
        </w:r>
        <w:r>
          <w:tab/>
        </w:r>
        <w:r>
          <w:fldChar w:fldCharType="begin"/>
        </w:r>
        <w:r>
          <w:instrText xml:space="preserve">PAGEREF 1528 \h</w:instrText>
        </w:r>
        <w:r>
          <w:fldChar w:fldCharType="end"/>
        </w:r>
      </w:hyperlink>
    </w:p>
    <w:p>
      <w:pPr>
        <w:tabs>
          <w:tab w:val="right" w:leader="dot" w:pos="9062"/>
        </w:tabs>
        <w:ind w:left="1100"/>
      </w:pPr>
      <w:hyperlink w:anchor="_Toc1529" w:history="1">
        <w:r>
          <w:rPr>
            <w:rFonts w:ascii="IRNazanin" w:hAnsi="IRNazanin" w:eastAsia="IRNazanin" w:cs="IRNazanin"/>
            <w:color w:val="111111"/>
            <w:sz w:val="22"/>
            <w:szCs w:val="22"/>
            <w:b w:val="0"/>
            <w:bCs w:val="0"/>
            <w:i w:val="0"/>
            <w:iCs w:val="0"/>
          </w:rPr>
          <w:t>[سوره یوسف «12»: آیات 99 تا 102]</w:t>
        </w:r>
        <w:r>
          <w:tab/>
        </w:r>
        <w:r>
          <w:fldChar w:fldCharType="begin"/>
        </w:r>
        <w:r>
          <w:instrText xml:space="preserve">PAGEREF 1529 \h</w:instrText>
        </w:r>
        <w:r>
          <w:fldChar w:fldCharType="end"/>
        </w:r>
      </w:hyperlink>
    </w:p>
    <w:p>
      <w:pPr>
        <w:tabs>
          <w:tab w:val="right" w:leader="dot" w:pos="9062"/>
        </w:tabs>
        <w:ind w:left="1100"/>
      </w:pPr>
      <w:hyperlink w:anchor="_Toc153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1530 \h</w:instrText>
        </w:r>
        <w:r>
          <w:fldChar w:fldCharType="end"/>
        </w:r>
      </w:hyperlink>
    </w:p>
    <w:p>
      <w:pPr>
        <w:tabs>
          <w:tab w:val="right" w:leader="dot" w:pos="9062"/>
        </w:tabs>
        <w:ind w:left="1100"/>
      </w:pPr>
      <w:hyperlink w:anchor="_Toc1531" w:history="1">
        <w:r>
          <w:rPr>
            <w:rFonts w:ascii="IRNazanin" w:hAnsi="IRNazanin" w:eastAsia="IRNazanin" w:cs="IRNazanin"/>
            <w:color w:val="111111"/>
            <w:sz w:val="22"/>
            <w:szCs w:val="22"/>
            <w:b w:val="0"/>
            <w:bCs w:val="0"/>
            <w:i w:val="0"/>
            <w:iCs w:val="0"/>
          </w:rPr>
          <w:t>ترجمه:</w:t>
        </w:r>
        <w:r>
          <w:tab/>
        </w:r>
        <w:r>
          <w:fldChar w:fldCharType="begin"/>
        </w:r>
        <w:r>
          <w:instrText xml:space="preserve">PAGEREF 1531 \h</w:instrText>
        </w:r>
        <w:r>
          <w:fldChar w:fldCharType="end"/>
        </w:r>
      </w:hyperlink>
    </w:p>
    <w:p>
      <w:pPr>
        <w:tabs>
          <w:tab w:val="right" w:leader="dot" w:pos="9062"/>
        </w:tabs>
        <w:ind w:left="1100"/>
      </w:pPr>
      <w:hyperlink w:anchor="_Toc1532" w:history="1">
        <w:r>
          <w:rPr>
            <w:rFonts w:ascii="IRNazanin" w:hAnsi="IRNazanin" w:eastAsia="IRNazanin" w:cs="IRNazanin"/>
            <w:color w:val="111111"/>
            <w:sz w:val="22"/>
            <w:szCs w:val="22"/>
            <w:b w:val="0"/>
            <w:bCs w:val="0"/>
            <w:i w:val="0"/>
            <w:iCs w:val="0"/>
          </w:rPr>
          <w:t>تفسیر:</w:t>
        </w:r>
        <w:r>
          <w:tab/>
        </w:r>
        <w:r>
          <w:fldChar w:fldCharType="begin"/>
        </w:r>
        <w:r>
          <w:instrText xml:space="preserve">PAGEREF 1532 \h</w:instrText>
        </w:r>
        <w:r>
          <w:fldChar w:fldCharType="end"/>
        </w:r>
      </w:hyperlink>
    </w:p>
    <w:p>
      <w:pPr>
        <w:tabs>
          <w:tab w:val="right" w:leader="dot" w:pos="9062"/>
        </w:tabs>
        <w:ind w:left="1100"/>
      </w:pPr>
      <w:hyperlink w:anchor="_Toc1533" w:history="1">
        <w:r>
          <w:rPr>
            <w:rFonts w:ascii="IRNazanin" w:hAnsi="IRNazanin" w:eastAsia="IRNazanin" w:cs="IRNazanin"/>
            <w:color w:val="111111"/>
            <w:sz w:val="22"/>
            <w:szCs w:val="22"/>
            <w:b w:val="0"/>
            <w:bCs w:val="0"/>
            <w:i w:val="0"/>
            <w:iCs w:val="0"/>
          </w:rPr>
          <w:t>[سوره یوسف «12»: آیات 103 تا 109]</w:t>
        </w:r>
        <w:r>
          <w:tab/>
        </w:r>
        <w:r>
          <w:fldChar w:fldCharType="begin"/>
        </w:r>
        <w:r>
          <w:instrText xml:space="preserve">PAGEREF 1533 \h</w:instrText>
        </w:r>
        <w:r>
          <w:fldChar w:fldCharType="end"/>
        </w:r>
      </w:hyperlink>
    </w:p>
    <w:p>
      <w:pPr>
        <w:tabs>
          <w:tab w:val="right" w:leader="dot" w:pos="9062"/>
        </w:tabs>
        <w:ind w:left="1100"/>
      </w:pPr>
      <w:hyperlink w:anchor="_Toc153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1534 \h</w:instrText>
        </w:r>
        <w:r>
          <w:fldChar w:fldCharType="end"/>
        </w:r>
      </w:hyperlink>
    </w:p>
    <w:p>
      <w:pPr>
        <w:tabs>
          <w:tab w:val="right" w:leader="dot" w:pos="9062"/>
        </w:tabs>
        <w:ind w:left="1100"/>
      </w:pPr>
      <w:hyperlink w:anchor="_Toc1535" w:history="1">
        <w:r>
          <w:rPr>
            <w:rFonts w:ascii="IRNazanin" w:hAnsi="IRNazanin" w:eastAsia="IRNazanin" w:cs="IRNazanin"/>
            <w:color w:val="111111"/>
            <w:sz w:val="22"/>
            <w:szCs w:val="22"/>
            <w:b w:val="0"/>
            <w:bCs w:val="0"/>
            <w:i w:val="0"/>
            <w:iCs w:val="0"/>
          </w:rPr>
          <w:t>ترجمه:</w:t>
        </w:r>
        <w:r>
          <w:tab/>
        </w:r>
        <w:r>
          <w:fldChar w:fldCharType="begin"/>
        </w:r>
        <w:r>
          <w:instrText xml:space="preserve">PAGEREF 1535 \h</w:instrText>
        </w:r>
        <w:r>
          <w:fldChar w:fldCharType="end"/>
        </w:r>
      </w:hyperlink>
    </w:p>
    <w:p>
      <w:pPr>
        <w:tabs>
          <w:tab w:val="right" w:leader="dot" w:pos="9062"/>
        </w:tabs>
        <w:ind w:left="1100"/>
      </w:pPr>
      <w:hyperlink w:anchor="_Toc1536" w:history="1">
        <w:r>
          <w:rPr>
            <w:rFonts w:ascii="IRNazanin" w:hAnsi="IRNazanin" w:eastAsia="IRNazanin" w:cs="IRNazanin"/>
            <w:color w:val="111111"/>
            <w:sz w:val="22"/>
            <w:szCs w:val="22"/>
            <w:b w:val="0"/>
            <w:bCs w:val="0"/>
            <w:i w:val="0"/>
            <w:iCs w:val="0"/>
          </w:rPr>
          <w:t>تفسیر:</w:t>
        </w:r>
        <w:r>
          <w:tab/>
        </w:r>
        <w:r>
          <w:fldChar w:fldCharType="begin"/>
        </w:r>
        <w:r>
          <w:instrText xml:space="preserve">PAGEREF 1536 \h</w:instrText>
        </w:r>
        <w:r>
          <w:fldChar w:fldCharType="end"/>
        </w:r>
      </w:hyperlink>
    </w:p>
    <w:p>
      <w:pPr>
        <w:tabs>
          <w:tab w:val="right" w:leader="dot" w:pos="9062"/>
        </w:tabs>
        <w:ind w:left="1100"/>
      </w:pPr>
      <w:hyperlink w:anchor="_Toc1537" w:history="1">
        <w:r>
          <w:rPr>
            <w:rFonts w:ascii="IRNazanin" w:hAnsi="IRNazanin" w:eastAsia="IRNazanin" w:cs="IRNazanin"/>
            <w:color w:val="111111"/>
            <w:sz w:val="22"/>
            <w:szCs w:val="22"/>
            <w:b w:val="0"/>
            <w:bCs w:val="0"/>
            <w:i w:val="0"/>
            <w:iCs w:val="0"/>
          </w:rPr>
          <w:t>[سوره یوسف «12»: آیات 110 تا 111]</w:t>
        </w:r>
        <w:r>
          <w:tab/>
        </w:r>
        <w:r>
          <w:fldChar w:fldCharType="begin"/>
        </w:r>
        <w:r>
          <w:instrText xml:space="preserve">PAGEREF 1537 \h</w:instrText>
        </w:r>
        <w:r>
          <w:fldChar w:fldCharType="end"/>
        </w:r>
      </w:hyperlink>
    </w:p>
    <w:p>
      <w:pPr>
        <w:tabs>
          <w:tab w:val="right" w:leader="dot" w:pos="9062"/>
        </w:tabs>
        <w:ind w:left="1100"/>
      </w:pPr>
      <w:hyperlink w:anchor="_Toc153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1538 \h</w:instrText>
        </w:r>
        <w:r>
          <w:fldChar w:fldCharType="end"/>
        </w:r>
      </w:hyperlink>
    </w:p>
    <w:p>
      <w:pPr>
        <w:tabs>
          <w:tab w:val="right" w:leader="dot" w:pos="9062"/>
        </w:tabs>
        <w:ind w:left="1100"/>
      </w:pPr>
      <w:hyperlink w:anchor="_Toc1539" w:history="1">
        <w:r>
          <w:rPr>
            <w:rFonts w:ascii="IRNazanin" w:hAnsi="IRNazanin" w:eastAsia="IRNazanin" w:cs="IRNazanin"/>
            <w:color w:val="111111"/>
            <w:sz w:val="22"/>
            <w:szCs w:val="22"/>
            <w:b w:val="0"/>
            <w:bCs w:val="0"/>
            <w:i w:val="0"/>
            <w:iCs w:val="0"/>
          </w:rPr>
          <w:t>ترجمه:</w:t>
        </w:r>
        <w:r>
          <w:tab/>
        </w:r>
        <w:r>
          <w:fldChar w:fldCharType="begin"/>
        </w:r>
        <w:r>
          <w:instrText xml:space="preserve">PAGEREF 1539 \h</w:instrText>
        </w:r>
        <w:r>
          <w:fldChar w:fldCharType="end"/>
        </w:r>
      </w:hyperlink>
    </w:p>
    <w:p>
      <w:pPr>
        <w:tabs>
          <w:tab w:val="right" w:leader="dot" w:pos="9062"/>
        </w:tabs>
        <w:ind w:left="1100"/>
      </w:pPr>
      <w:hyperlink w:anchor="_Toc1540" w:history="1">
        <w:r>
          <w:rPr>
            <w:rFonts w:ascii="IRNazanin" w:hAnsi="IRNazanin" w:eastAsia="IRNazanin" w:cs="IRNazanin"/>
            <w:color w:val="111111"/>
            <w:sz w:val="22"/>
            <w:szCs w:val="22"/>
            <w:b w:val="0"/>
            <w:bCs w:val="0"/>
            <w:i w:val="0"/>
            <w:iCs w:val="0"/>
          </w:rPr>
          <w:t>تفسیر:</w:t>
        </w:r>
        <w:r>
          <w:tab/>
        </w:r>
        <w:r>
          <w:fldChar w:fldCharType="begin"/>
        </w:r>
        <w:r>
          <w:instrText xml:space="preserve">PAGEREF 1540 \h</w:instrText>
        </w:r>
        <w:r>
          <w:fldChar w:fldCharType="end"/>
        </w:r>
      </w:hyperlink>
    </w:p>
    <w:p>
      <w:pPr>
        <w:tabs>
          <w:tab w:val="right" w:leader="dot" w:pos="9062"/>
        </w:tabs>
        <w:ind w:left="880"/>
      </w:pPr>
      <w:hyperlink w:anchor="_Toc1541" w:history="1">
        <w:r>
          <w:rPr>
            <w:rFonts w:ascii="IRNazanin" w:hAnsi="IRNazanin" w:eastAsia="IRNazanin" w:cs="IRNazanin"/>
            <w:color w:val="111111"/>
            <w:sz w:val="22"/>
            <w:szCs w:val="22"/>
            <w:b w:val="0"/>
            <w:bCs w:val="0"/>
            <w:i w:val="0"/>
            <w:iCs w:val="0"/>
          </w:rPr>
          <w:t>سوره رعد</w:t>
        </w:r>
        <w:r>
          <w:tab/>
        </w:r>
        <w:r>
          <w:fldChar w:fldCharType="begin"/>
        </w:r>
        <w:r>
          <w:instrText xml:space="preserve">PAGEREF 1541 \h</w:instrText>
        </w:r>
        <w:r>
          <w:fldChar w:fldCharType="end"/>
        </w:r>
      </w:hyperlink>
    </w:p>
    <w:p>
      <w:pPr>
        <w:tabs>
          <w:tab w:val="right" w:leader="dot" w:pos="9062"/>
        </w:tabs>
        <w:ind w:left="1100"/>
      </w:pPr>
      <w:hyperlink w:anchor="_Toc154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1542 \h</w:instrText>
        </w:r>
        <w:r>
          <w:fldChar w:fldCharType="end"/>
        </w:r>
      </w:hyperlink>
    </w:p>
    <w:p>
      <w:pPr>
        <w:tabs>
          <w:tab w:val="right" w:leader="dot" w:pos="9062"/>
        </w:tabs>
        <w:ind w:left="1100"/>
      </w:pPr>
      <w:hyperlink w:anchor="_Toc1543" w:history="1">
        <w:r>
          <w:rPr>
            <w:rFonts w:ascii="IRNazanin" w:hAnsi="IRNazanin" w:eastAsia="IRNazanin" w:cs="IRNazanin"/>
            <w:color w:val="111111"/>
            <w:sz w:val="22"/>
            <w:szCs w:val="22"/>
            <w:b w:val="0"/>
            <w:bCs w:val="0"/>
            <w:i w:val="0"/>
            <w:iCs w:val="0"/>
          </w:rPr>
          <w:t>[فضیلت قرائت این سوره‏]:</w:t>
        </w:r>
        <w:r>
          <w:tab/>
        </w:r>
        <w:r>
          <w:fldChar w:fldCharType="begin"/>
        </w:r>
        <w:r>
          <w:instrText xml:space="preserve">PAGEREF 1543 \h</w:instrText>
        </w:r>
        <w:r>
          <w:fldChar w:fldCharType="end"/>
        </w:r>
      </w:hyperlink>
    </w:p>
    <w:p>
      <w:pPr>
        <w:tabs>
          <w:tab w:val="right" w:leader="dot" w:pos="9062"/>
        </w:tabs>
        <w:ind w:left="1100"/>
      </w:pPr>
      <w:hyperlink w:anchor="_Toc1544" w:history="1">
        <w:r>
          <w:rPr>
            <w:rFonts w:ascii="IRNazanin" w:hAnsi="IRNazanin" w:eastAsia="IRNazanin" w:cs="IRNazanin"/>
            <w:color w:val="111111"/>
            <w:sz w:val="22"/>
            <w:szCs w:val="22"/>
            <w:b w:val="0"/>
            <w:bCs w:val="0"/>
            <w:i w:val="0"/>
            <w:iCs w:val="0"/>
          </w:rPr>
          <w:t>[سوره الرعد «13»: آیات 1 تا 3]</w:t>
        </w:r>
        <w:r>
          <w:tab/>
        </w:r>
        <w:r>
          <w:fldChar w:fldCharType="begin"/>
        </w:r>
        <w:r>
          <w:instrText xml:space="preserve">PAGEREF 1544 \h</w:instrText>
        </w:r>
        <w:r>
          <w:fldChar w:fldCharType="end"/>
        </w:r>
      </w:hyperlink>
    </w:p>
    <w:p>
      <w:pPr>
        <w:tabs>
          <w:tab w:val="right" w:leader="dot" w:pos="9062"/>
        </w:tabs>
        <w:ind w:left="1100"/>
      </w:pPr>
      <w:hyperlink w:anchor="_Toc154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1545 \h</w:instrText>
        </w:r>
        <w:r>
          <w:fldChar w:fldCharType="end"/>
        </w:r>
      </w:hyperlink>
    </w:p>
    <w:p>
      <w:pPr>
        <w:tabs>
          <w:tab w:val="right" w:leader="dot" w:pos="9062"/>
        </w:tabs>
        <w:ind w:left="1100"/>
      </w:pPr>
      <w:hyperlink w:anchor="_Toc1546" w:history="1">
        <w:r>
          <w:rPr>
            <w:rFonts w:ascii="IRNazanin" w:hAnsi="IRNazanin" w:eastAsia="IRNazanin" w:cs="IRNazanin"/>
            <w:color w:val="111111"/>
            <w:sz w:val="22"/>
            <w:szCs w:val="22"/>
            <w:b w:val="0"/>
            <w:bCs w:val="0"/>
            <w:i w:val="0"/>
            <w:iCs w:val="0"/>
          </w:rPr>
          <w:t>ترجمه:</w:t>
        </w:r>
        <w:r>
          <w:tab/>
        </w:r>
        <w:r>
          <w:fldChar w:fldCharType="begin"/>
        </w:r>
        <w:r>
          <w:instrText xml:space="preserve">PAGEREF 1546 \h</w:instrText>
        </w:r>
        <w:r>
          <w:fldChar w:fldCharType="end"/>
        </w:r>
      </w:hyperlink>
    </w:p>
    <w:p>
      <w:pPr>
        <w:tabs>
          <w:tab w:val="right" w:leader="dot" w:pos="9062"/>
        </w:tabs>
        <w:ind w:left="1100"/>
      </w:pPr>
      <w:hyperlink w:anchor="_Toc1547" w:history="1">
        <w:r>
          <w:rPr>
            <w:rFonts w:ascii="IRNazanin" w:hAnsi="IRNazanin" w:eastAsia="IRNazanin" w:cs="IRNazanin"/>
            <w:color w:val="111111"/>
            <w:sz w:val="22"/>
            <w:szCs w:val="22"/>
            <w:b w:val="0"/>
            <w:bCs w:val="0"/>
            <w:i w:val="0"/>
            <w:iCs w:val="0"/>
          </w:rPr>
          <w:t>تفسیر:</w:t>
        </w:r>
        <w:r>
          <w:tab/>
        </w:r>
        <w:r>
          <w:fldChar w:fldCharType="begin"/>
        </w:r>
        <w:r>
          <w:instrText xml:space="preserve">PAGEREF 1547 \h</w:instrText>
        </w:r>
        <w:r>
          <w:fldChar w:fldCharType="end"/>
        </w:r>
      </w:hyperlink>
    </w:p>
    <w:p>
      <w:pPr>
        <w:tabs>
          <w:tab w:val="right" w:leader="dot" w:pos="9062"/>
        </w:tabs>
        <w:ind w:left="1100"/>
      </w:pPr>
      <w:hyperlink w:anchor="_Toc1548" w:history="1">
        <w:r>
          <w:rPr>
            <w:rFonts w:ascii="IRNazanin" w:hAnsi="IRNazanin" w:eastAsia="IRNazanin" w:cs="IRNazanin"/>
            <w:color w:val="111111"/>
            <w:sz w:val="22"/>
            <w:szCs w:val="22"/>
            <w:b w:val="0"/>
            <w:bCs w:val="0"/>
            <w:i w:val="0"/>
            <w:iCs w:val="0"/>
          </w:rPr>
          <w:t>[سوره الرعد «13»: آیات 4 تا 5]</w:t>
        </w:r>
        <w:r>
          <w:tab/>
        </w:r>
        <w:r>
          <w:fldChar w:fldCharType="begin"/>
        </w:r>
        <w:r>
          <w:instrText xml:space="preserve">PAGEREF 1548 \h</w:instrText>
        </w:r>
        <w:r>
          <w:fldChar w:fldCharType="end"/>
        </w:r>
      </w:hyperlink>
    </w:p>
    <w:p>
      <w:pPr>
        <w:tabs>
          <w:tab w:val="right" w:leader="dot" w:pos="9062"/>
        </w:tabs>
        <w:ind w:left="1100"/>
      </w:pPr>
      <w:hyperlink w:anchor="_Toc154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1549 \h</w:instrText>
        </w:r>
        <w:r>
          <w:fldChar w:fldCharType="end"/>
        </w:r>
      </w:hyperlink>
    </w:p>
    <w:p>
      <w:pPr>
        <w:tabs>
          <w:tab w:val="right" w:leader="dot" w:pos="9062"/>
        </w:tabs>
        <w:ind w:left="1100"/>
      </w:pPr>
      <w:hyperlink w:anchor="_Toc1550" w:history="1">
        <w:r>
          <w:rPr>
            <w:rFonts w:ascii="IRNazanin" w:hAnsi="IRNazanin" w:eastAsia="IRNazanin" w:cs="IRNazanin"/>
            <w:color w:val="111111"/>
            <w:sz w:val="22"/>
            <w:szCs w:val="22"/>
            <w:b w:val="0"/>
            <w:bCs w:val="0"/>
            <w:i w:val="0"/>
            <w:iCs w:val="0"/>
          </w:rPr>
          <w:t>ترجمه:</w:t>
        </w:r>
        <w:r>
          <w:tab/>
        </w:r>
        <w:r>
          <w:fldChar w:fldCharType="begin"/>
        </w:r>
        <w:r>
          <w:instrText xml:space="preserve">PAGEREF 1550 \h</w:instrText>
        </w:r>
        <w:r>
          <w:fldChar w:fldCharType="end"/>
        </w:r>
      </w:hyperlink>
    </w:p>
    <w:p>
      <w:pPr>
        <w:tabs>
          <w:tab w:val="right" w:leader="dot" w:pos="9062"/>
        </w:tabs>
        <w:ind w:left="1100"/>
      </w:pPr>
      <w:hyperlink w:anchor="_Toc1551" w:history="1">
        <w:r>
          <w:rPr>
            <w:rFonts w:ascii="IRNazanin" w:hAnsi="IRNazanin" w:eastAsia="IRNazanin" w:cs="IRNazanin"/>
            <w:color w:val="111111"/>
            <w:sz w:val="22"/>
            <w:szCs w:val="22"/>
            <w:b w:val="0"/>
            <w:bCs w:val="0"/>
            <w:i w:val="0"/>
            <w:iCs w:val="0"/>
          </w:rPr>
          <w:t>تفسیر:</w:t>
        </w:r>
        <w:r>
          <w:tab/>
        </w:r>
        <w:r>
          <w:fldChar w:fldCharType="begin"/>
        </w:r>
        <w:r>
          <w:instrText xml:space="preserve">PAGEREF 1551 \h</w:instrText>
        </w:r>
        <w:r>
          <w:fldChar w:fldCharType="end"/>
        </w:r>
      </w:hyperlink>
    </w:p>
    <w:p>
      <w:pPr>
        <w:tabs>
          <w:tab w:val="right" w:leader="dot" w:pos="9062"/>
        </w:tabs>
        <w:ind w:left="1100"/>
      </w:pPr>
      <w:hyperlink w:anchor="_Toc1552" w:history="1">
        <w:r>
          <w:rPr>
            <w:rFonts w:ascii="IRNazanin" w:hAnsi="IRNazanin" w:eastAsia="IRNazanin" w:cs="IRNazanin"/>
            <w:color w:val="111111"/>
            <w:sz w:val="22"/>
            <w:szCs w:val="22"/>
            <w:b w:val="0"/>
            <w:bCs w:val="0"/>
            <w:i w:val="0"/>
            <w:iCs w:val="0"/>
          </w:rPr>
          <w:t>[سوره الرعد «13»: آیات 6 تا 11]</w:t>
        </w:r>
        <w:r>
          <w:tab/>
        </w:r>
        <w:r>
          <w:fldChar w:fldCharType="begin"/>
        </w:r>
        <w:r>
          <w:instrText xml:space="preserve">PAGEREF 1552 \h</w:instrText>
        </w:r>
        <w:r>
          <w:fldChar w:fldCharType="end"/>
        </w:r>
      </w:hyperlink>
    </w:p>
    <w:p>
      <w:pPr>
        <w:tabs>
          <w:tab w:val="right" w:leader="dot" w:pos="9062"/>
        </w:tabs>
        <w:ind w:left="1100"/>
      </w:pPr>
      <w:hyperlink w:anchor="_Toc155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1553 \h</w:instrText>
        </w:r>
        <w:r>
          <w:fldChar w:fldCharType="end"/>
        </w:r>
      </w:hyperlink>
    </w:p>
    <w:p>
      <w:pPr>
        <w:tabs>
          <w:tab w:val="right" w:leader="dot" w:pos="9062"/>
        </w:tabs>
        <w:ind w:left="1100"/>
      </w:pPr>
      <w:hyperlink w:anchor="_Toc1554" w:history="1">
        <w:r>
          <w:rPr>
            <w:rFonts w:ascii="IRNazanin" w:hAnsi="IRNazanin" w:eastAsia="IRNazanin" w:cs="IRNazanin"/>
            <w:color w:val="111111"/>
            <w:sz w:val="22"/>
            <w:szCs w:val="22"/>
            <w:b w:val="0"/>
            <w:bCs w:val="0"/>
            <w:i w:val="0"/>
            <w:iCs w:val="0"/>
          </w:rPr>
          <w:t>ترجمه:</w:t>
        </w:r>
        <w:r>
          <w:tab/>
        </w:r>
        <w:r>
          <w:fldChar w:fldCharType="begin"/>
        </w:r>
        <w:r>
          <w:instrText xml:space="preserve">PAGEREF 1554 \h</w:instrText>
        </w:r>
        <w:r>
          <w:fldChar w:fldCharType="end"/>
        </w:r>
      </w:hyperlink>
    </w:p>
    <w:p>
      <w:pPr>
        <w:tabs>
          <w:tab w:val="right" w:leader="dot" w:pos="9062"/>
        </w:tabs>
        <w:ind w:left="1100"/>
      </w:pPr>
      <w:hyperlink w:anchor="_Toc1555" w:history="1">
        <w:r>
          <w:rPr>
            <w:rFonts w:ascii="IRNazanin" w:hAnsi="IRNazanin" w:eastAsia="IRNazanin" w:cs="IRNazanin"/>
            <w:color w:val="111111"/>
            <w:sz w:val="22"/>
            <w:szCs w:val="22"/>
            <w:b w:val="0"/>
            <w:bCs w:val="0"/>
            <w:i w:val="0"/>
            <w:iCs w:val="0"/>
          </w:rPr>
          <w:t>تفسیر:</w:t>
        </w:r>
        <w:r>
          <w:tab/>
        </w:r>
        <w:r>
          <w:fldChar w:fldCharType="begin"/>
        </w:r>
        <w:r>
          <w:instrText xml:space="preserve">PAGEREF 1555 \h</w:instrText>
        </w:r>
        <w:r>
          <w:fldChar w:fldCharType="end"/>
        </w:r>
      </w:hyperlink>
    </w:p>
    <w:p>
      <w:pPr>
        <w:tabs>
          <w:tab w:val="right" w:leader="dot" w:pos="9062"/>
        </w:tabs>
        <w:ind w:left="1100"/>
      </w:pPr>
      <w:hyperlink w:anchor="_Toc1556" w:history="1">
        <w:r>
          <w:rPr>
            <w:rFonts w:ascii="IRNazanin" w:hAnsi="IRNazanin" w:eastAsia="IRNazanin" w:cs="IRNazanin"/>
            <w:color w:val="111111"/>
            <w:sz w:val="22"/>
            <w:szCs w:val="22"/>
            <w:b w:val="0"/>
            <w:bCs w:val="0"/>
            <w:i w:val="0"/>
            <w:iCs w:val="0"/>
          </w:rPr>
          <w:t>[سوره الرعد «13»: آیات 12 تا 15]</w:t>
        </w:r>
        <w:r>
          <w:tab/>
        </w:r>
        <w:r>
          <w:fldChar w:fldCharType="begin"/>
        </w:r>
        <w:r>
          <w:instrText xml:space="preserve">PAGEREF 1556 \h</w:instrText>
        </w:r>
        <w:r>
          <w:fldChar w:fldCharType="end"/>
        </w:r>
      </w:hyperlink>
    </w:p>
    <w:p>
      <w:pPr>
        <w:tabs>
          <w:tab w:val="right" w:leader="dot" w:pos="9062"/>
        </w:tabs>
        <w:ind w:left="1100"/>
      </w:pPr>
      <w:hyperlink w:anchor="_Toc155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1557 \h</w:instrText>
        </w:r>
        <w:r>
          <w:fldChar w:fldCharType="end"/>
        </w:r>
      </w:hyperlink>
    </w:p>
    <w:p>
      <w:pPr>
        <w:tabs>
          <w:tab w:val="right" w:leader="dot" w:pos="9062"/>
        </w:tabs>
        <w:ind w:left="1100"/>
      </w:pPr>
      <w:hyperlink w:anchor="_Toc1558" w:history="1">
        <w:r>
          <w:rPr>
            <w:rFonts w:ascii="IRNazanin" w:hAnsi="IRNazanin" w:eastAsia="IRNazanin" w:cs="IRNazanin"/>
            <w:color w:val="111111"/>
            <w:sz w:val="22"/>
            <w:szCs w:val="22"/>
            <w:b w:val="0"/>
            <w:bCs w:val="0"/>
            <w:i w:val="0"/>
            <w:iCs w:val="0"/>
          </w:rPr>
          <w:t>ترجمه:</w:t>
        </w:r>
        <w:r>
          <w:tab/>
        </w:r>
        <w:r>
          <w:fldChar w:fldCharType="begin"/>
        </w:r>
        <w:r>
          <w:instrText xml:space="preserve">PAGEREF 1558 \h</w:instrText>
        </w:r>
        <w:r>
          <w:fldChar w:fldCharType="end"/>
        </w:r>
      </w:hyperlink>
    </w:p>
    <w:p>
      <w:pPr>
        <w:tabs>
          <w:tab w:val="right" w:leader="dot" w:pos="9062"/>
        </w:tabs>
        <w:ind w:left="1100"/>
      </w:pPr>
      <w:hyperlink w:anchor="_Toc1559" w:history="1">
        <w:r>
          <w:rPr>
            <w:rFonts w:ascii="IRNazanin" w:hAnsi="IRNazanin" w:eastAsia="IRNazanin" w:cs="IRNazanin"/>
            <w:color w:val="111111"/>
            <w:sz w:val="22"/>
            <w:szCs w:val="22"/>
            <w:b w:val="0"/>
            <w:bCs w:val="0"/>
            <w:i w:val="0"/>
            <w:iCs w:val="0"/>
          </w:rPr>
          <w:t>تفسیر:</w:t>
        </w:r>
        <w:r>
          <w:tab/>
        </w:r>
        <w:r>
          <w:fldChar w:fldCharType="begin"/>
        </w:r>
        <w:r>
          <w:instrText xml:space="preserve">PAGEREF 1559 \h</w:instrText>
        </w:r>
        <w:r>
          <w:fldChar w:fldCharType="end"/>
        </w:r>
      </w:hyperlink>
    </w:p>
    <w:p>
      <w:pPr>
        <w:tabs>
          <w:tab w:val="right" w:leader="dot" w:pos="9062"/>
        </w:tabs>
        <w:ind w:left="1100"/>
      </w:pPr>
      <w:hyperlink w:anchor="_Toc1560" w:history="1">
        <w:r>
          <w:rPr>
            <w:rFonts w:ascii="IRNazanin" w:hAnsi="IRNazanin" w:eastAsia="IRNazanin" w:cs="IRNazanin"/>
            <w:color w:val="111111"/>
            <w:sz w:val="22"/>
            <w:szCs w:val="22"/>
            <w:b w:val="0"/>
            <w:bCs w:val="0"/>
            <w:i w:val="0"/>
            <w:iCs w:val="0"/>
          </w:rPr>
          <w:t>[سوره الرعد «13»: آیه 16]</w:t>
        </w:r>
        <w:r>
          <w:tab/>
        </w:r>
        <w:r>
          <w:fldChar w:fldCharType="begin"/>
        </w:r>
        <w:r>
          <w:instrText xml:space="preserve">PAGEREF 1560 \h</w:instrText>
        </w:r>
        <w:r>
          <w:fldChar w:fldCharType="end"/>
        </w:r>
      </w:hyperlink>
    </w:p>
    <w:p>
      <w:pPr>
        <w:tabs>
          <w:tab w:val="right" w:leader="dot" w:pos="9062"/>
        </w:tabs>
        <w:ind w:left="1100"/>
      </w:pPr>
      <w:hyperlink w:anchor="_Toc156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1561 \h</w:instrText>
        </w:r>
        <w:r>
          <w:fldChar w:fldCharType="end"/>
        </w:r>
      </w:hyperlink>
    </w:p>
    <w:p>
      <w:pPr>
        <w:tabs>
          <w:tab w:val="right" w:leader="dot" w:pos="9062"/>
        </w:tabs>
        <w:ind w:left="1100"/>
      </w:pPr>
      <w:hyperlink w:anchor="_Toc1562" w:history="1">
        <w:r>
          <w:rPr>
            <w:rFonts w:ascii="IRNazanin" w:hAnsi="IRNazanin" w:eastAsia="IRNazanin" w:cs="IRNazanin"/>
            <w:color w:val="111111"/>
            <w:sz w:val="22"/>
            <w:szCs w:val="22"/>
            <w:b w:val="0"/>
            <w:bCs w:val="0"/>
            <w:i w:val="0"/>
            <w:iCs w:val="0"/>
          </w:rPr>
          <w:t>ترجمه:</w:t>
        </w:r>
        <w:r>
          <w:tab/>
        </w:r>
        <w:r>
          <w:fldChar w:fldCharType="begin"/>
        </w:r>
        <w:r>
          <w:instrText xml:space="preserve">PAGEREF 1562 \h</w:instrText>
        </w:r>
        <w:r>
          <w:fldChar w:fldCharType="end"/>
        </w:r>
      </w:hyperlink>
    </w:p>
    <w:p>
      <w:pPr>
        <w:tabs>
          <w:tab w:val="right" w:leader="dot" w:pos="9062"/>
        </w:tabs>
        <w:ind w:left="1100"/>
      </w:pPr>
      <w:hyperlink w:anchor="_Toc1563" w:history="1">
        <w:r>
          <w:rPr>
            <w:rFonts w:ascii="IRNazanin" w:hAnsi="IRNazanin" w:eastAsia="IRNazanin" w:cs="IRNazanin"/>
            <w:color w:val="111111"/>
            <w:sz w:val="22"/>
            <w:szCs w:val="22"/>
            <w:b w:val="0"/>
            <w:bCs w:val="0"/>
            <w:i w:val="0"/>
            <w:iCs w:val="0"/>
          </w:rPr>
          <w:t>تفسیر:</w:t>
        </w:r>
        <w:r>
          <w:tab/>
        </w:r>
        <w:r>
          <w:fldChar w:fldCharType="begin"/>
        </w:r>
        <w:r>
          <w:instrText xml:space="preserve">PAGEREF 1563 \h</w:instrText>
        </w:r>
        <w:r>
          <w:fldChar w:fldCharType="end"/>
        </w:r>
      </w:hyperlink>
    </w:p>
    <w:p>
      <w:pPr>
        <w:tabs>
          <w:tab w:val="right" w:leader="dot" w:pos="9062"/>
        </w:tabs>
        <w:ind w:left="1100"/>
      </w:pPr>
      <w:hyperlink w:anchor="_Toc1564" w:history="1">
        <w:r>
          <w:rPr>
            <w:rFonts w:ascii="IRNazanin" w:hAnsi="IRNazanin" w:eastAsia="IRNazanin" w:cs="IRNazanin"/>
            <w:color w:val="111111"/>
            <w:sz w:val="22"/>
            <w:szCs w:val="22"/>
            <w:b w:val="0"/>
            <w:bCs w:val="0"/>
            <w:i w:val="0"/>
            <w:iCs w:val="0"/>
          </w:rPr>
          <w:t>[سوره الرعد «13»: آیات 17 تا 18]</w:t>
        </w:r>
        <w:r>
          <w:tab/>
        </w:r>
        <w:r>
          <w:fldChar w:fldCharType="begin"/>
        </w:r>
        <w:r>
          <w:instrText xml:space="preserve">PAGEREF 1564 \h</w:instrText>
        </w:r>
        <w:r>
          <w:fldChar w:fldCharType="end"/>
        </w:r>
      </w:hyperlink>
    </w:p>
    <w:p>
      <w:pPr>
        <w:tabs>
          <w:tab w:val="right" w:leader="dot" w:pos="9062"/>
        </w:tabs>
        <w:ind w:left="1100"/>
      </w:pPr>
      <w:hyperlink w:anchor="_Toc156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1565 \h</w:instrText>
        </w:r>
        <w:r>
          <w:fldChar w:fldCharType="end"/>
        </w:r>
      </w:hyperlink>
    </w:p>
    <w:p>
      <w:pPr>
        <w:tabs>
          <w:tab w:val="right" w:leader="dot" w:pos="9062"/>
        </w:tabs>
        <w:ind w:left="1100"/>
      </w:pPr>
      <w:hyperlink w:anchor="_Toc1566" w:history="1">
        <w:r>
          <w:rPr>
            <w:rFonts w:ascii="IRNazanin" w:hAnsi="IRNazanin" w:eastAsia="IRNazanin" w:cs="IRNazanin"/>
            <w:color w:val="111111"/>
            <w:sz w:val="22"/>
            <w:szCs w:val="22"/>
            <w:b w:val="0"/>
            <w:bCs w:val="0"/>
            <w:i w:val="0"/>
            <w:iCs w:val="0"/>
          </w:rPr>
          <w:t>ترجمه:</w:t>
        </w:r>
        <w:r>
          <w:tab/>
        </w:r>
        <w:r>
          <w:fldChar w:fldCharType="begin"/>
        </w:r>
        <w:r>
          <w:instrText xml:space="preserve">PAGEREF 1566 \h</w:instrText>
        </w:r>
        <w:r>
          <w:fldChar w:fldCharType="end"/>
        </w:r>
      </w:hyperlink>
    </w:p>
    <w:p>
      <w:pPr>
        <w:tabs>
          <w:tab w:val="right" w:leader="dot" w:pos="9062"/>
        </w:tabs>
        <w:ind w:left="1100"/>
      </w:pPr>
      <w:hyperlink w:anchor="_Toc1567" w:history="1">
        <w:r>
          <w:rPr>
            <w:rFonts w:ascii="IRNazanin" w:hAnsi="IRNazanin" w:eastAsia="IRNazanin" w:cs="IRNazanin"/>
            <w:color w:val="111111"/>
            <w:sz w:val="22"/>
            <w:szCs w:val="22"/>
            <w:b w:val="0"/>
            <w:bCs w:val="0"/>
            <w:i w:val="0"/>
            <w:iCs w:val="0"/>
          </w:rPr>
          <w:t>تفسیر:</w:t>
        </w:r>
        <w:r>
          <w:tab/>
        </w:r>
        <w:r>
          <w:fldChar w:fldCharType="begin"/>
        </w:r>
        <w:r>
          <w:instrText xml:space="preserve">PAGEREF 1567 \h</w:instrText>
        </w:r>
        <w:r>
          <w:fldChar w:fldCharType="end"/>
        </w:r>
      </w:hyperlink>
    </w:p>
    <w:p>
      <w:pPr>
        <w:tabs>
          <w:tab w:val="right" w:leader="dot" w:pos="9062"/>
        </w:tabs>
        <w:ind w:left="1100"/>
      </w:pPr>
      <w:hyperlink w:anchor="_Toc1568" w:history="1">
        <w:r>
          <w:rPr>
            <w:rFonts w:ascii="IRNazanin" w:hAnsi="IRNazanin" w:eastAsia="IRNazanin" w:cs="IRNazanin"/>
            <w:color w:val="111111"/>
            <w:sz w:val="22"/>
            <w:szCs w:val="22"/>
            <w:b w:val="0"/>
            <w:bCs w:val="0"/>
            <w:i w:val="0"/>
            <w:iCs w:val="0"/>
          </w:rPr>
          <w:t>[سوره الرعد «13»: آیات 19 تا 24]</w:t>
        </w:r>
        <w:r>
          <w:tab/>
        </w:r>
        <w:r>
          <w:fldChar w:fldCharType="begin"/>
        </w:r>
        <w:r>
          <w:instrText xml:space="preserve">PAGEREF 1568 \h</w:instrText>
        </w:r>
        <w:r>
          <w:fldChar w:fldCharType="end"/>
        </w:r>
      </w:hyperlink>
    </w:p>
    <w:p>
      <w:pPr>
        <w:tabs>
          <w:tab w:val="right" w:leader="dot" w:pos="9062"/>
        </w:tabs>
        <w:ind w:left="1100"/>
      </w:pPr>
      <w:hyperlink w:anchor="_Toc156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1569 \h</w:instrText>
        </w:r>
        <w:r>
          <w:fldChar w:fldCharType="end"/>
        </w:r>
      </w:hyperlink>
    </w:p>
    <w:p>
      <w:pPr>
        <w:tabs>
          <w:tab w:val="right" w:leader="dot" w:pos="9062"/>
        </w:tabs>
        <w:ind w:left="1100"/>
      </w:pPr>
      <w:hyperlink w:anchor="_Toc1570" w:history="1">
        <w:r>
          <w:rPr>
            <w:rFonts w:ascii="IRNazanin" w:hAnsi="IRNazanin" w:eastAsia="IRNazanin" w:cs="IRNazanin"/>
            <w:color w:val="111111"/>
            <w:sz w:val="22"/>
            <w:szCs w:val="22"/>
            <w:b w:val="0"/>
            <w:bCs w:val="0"/>
            <w:i w:val="0"/>
            <w:iCs w:val="0"/>
          </w:rPr>
          <w:t>ترجمه:</w:t>
        </w:r>
        <w:r>
          <w:tab/>
        </w:r>
        <w:r>
          <w:fldChar w:fldCharType="begin"/>
        </w:r>
        <w:r>
          <w:instrText xml:space="preserve">PAGEREF 1570 \h</w:instrText>
        </w:r>
        <w:r>
          <w:fldChar w:fldCharType="end"/>
        </w:r>
      </w:hyperlink>
    </w:p>
    <w:p>
      <w:pPr>
        <w:tabs>
          <w:tab w:val="right" w:leader="dot" w:pos="9062"/>
        </w:tabs>
        <w:ind w:left="1100"/>
      </w:pPr>
      <w:hyperlink w:anchor="_Toc1571" w:history="1">
        <w:r>
          <w:rPr>
            <w:rFonts w:ascii="IRNazanin" w:hAnsi="IRNazanin" w:eastAsia="IRNazanin" w:cs="IRNazanin"/>
            <w:color w:val="111111"/>
            <w:sz w:val="22"/>
            <w:szCs w:val="22"/>
            <w:b w:val="0"/>
            <w:bCs w:val="0"/>
            <w:i w:val="0"/>
            <w:iCs w:val="0"/>
          </w:rPr>
          <w:t>تفسیر:</w:t>
        </w:r>
        <w:r>
          <w:tab/>
        </w:r>
        <w:r>
          <w:fldChar w:fldCharType="begin"/>
        </w:r>
        <w:r>
          <w:instrText xml:space="preserve">PAGEREF 1571 \h</w:instrText>
        </w:r>
        <w:r>
          <w:fldChar w:fldCharType="end"/>
        </w:r>
      </w:hyperlink>
    </w:p>
    <w:p>
      <w:pPr>
        <w:tabs>
          <w:tab w:val="right" w:leader="dot" w:pos="9062"/>
        </w:tabs>
        <w:ind w:left="1100"/>
      </w:pPr>
      <w:hyperlink w:anchor="_Toc1572" w:history="1">
        <w:r>
          <w:rPr>
            <w:rFonts w:ascii="IRNazanin" w:hAnsi="IRNazanin" w:eastAsia="IRNazanin" w:cs="IRNazanin"/>
            <w:color w:val="111111"/>
            <w:sz w:val="22"/>
            <w:szCs w:val="22"/>
            <w:b w:val="0"/>
            <w:bCs w:val="0"/>
            <w:i w:val="0"/>
            <w:iCs w:val="0"/>
          </w:rPr>
          <w:t>[سوره الرعد «13»: آیات 25 تا 30]</w:t>
        </w:r>
        <w:r>
          <w:tab/>
        </w:r>
        <w:r>
          <w:fldChar w:fldCharType="begin"/>
        </w:r>
        <w:r>
          <w:instrText xml:space="preserve">PAGEREF 1572 \h</w:instrText>
        </w:r>
        <w:r>
          <w:fldChar w:fldCharType="end"/>
        </w:r>
      </w:hyperlink>
    </w:p>
    <w:p>
      <w:pPr>
        <w:tabs>
          <w:tab w:val="right" w:leader="dot" w:pos="9062"/>
        </w:tabs>
        <w:ind w:left="1100"/>
      </w:pPr>
      <w:hyperlink w:anchor="_Toc157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1573 \h</w:instrText>
        </w:r>
        <w:r>
          <w:fldChar w:fldCharType="end"/>
        </w:r>
      </w:hyperlink>
    </w:p>
    <w:p>
      <w:pPr>
        <w:tabs>
          <w:tab w:val="right" w:leader="dot" w:pos="9062"/>
        </w:tabs>
        <w:ind w:left="1100"/>
      </w:pPr>
      <w:hyperlink w:anchor="_Toc1574" w:history="1">
        <w:r>
          <w:rPr>
            <w:rFonts w:ascii="IRNazanin" w:hAnsi="IRNazanin" w:eastAsia="IRNazanin" w:cs="IRNazanin"/>
            <w:color w:val="111111"/>
            <w:sz w:val="22"/>
            <w:szCs w:val="22"/>
            <w:b w:val="0"/>
            <w:bCs w:val="0"/>
            <w:i w:val="0"/>
            <w:iCs w:val="0"/>
          </w:rPr>
          <w:t>ترجمه:</w:t>
        </w:r>
        <w:r>
          <w:tab/>
        </w:r>
        <w:r>
          <w:fldChar w:fldCharType="begin"/>
        </w:r>
        <w:r>
          <w:instrText xml:space="preserve">PAGEREF 1574 \h</w:instrText>
        </w:r>
        <w:r>
          <w:fldChar w:fldCharType="end"/>
        </w:r>
      </w:hyperlink>
    </w:p>
    <w:p>
      <w:pPr>
        <w:tabs>
          <w:tab w:val="right" w:leader="dot" w:pos="9062"/>
        </w:tabs>
        <w:ind w:left="1100"/>
      </w:pPr>
      <w:hyperlink w:anchor="_Toc1575" w:history="1">
        <w:r>
          <w:rPr>
            <w:rFonts w:ascii="IRNazanin" w:hAnsi="IRNazanin" w:eastAsia="IRNazanin" w:cs="IRNazanin"/>
            <w:color w:val="111111"/>
            <w:sz w:val="22"/>
            <w:szCs w:val="22"/>
            <w:b w:val="0"/>
            <w:bCs w:val="0"/>
            <w:i w:val="0"/>
            <w:iCs w:val="0"/>
          </w:rPr>
          <w:t>تفسیر:</w:t>
        </w:r>
        <w:r>
          <w:tab/>
        </w:r>
        <w:r>
          <w:fldChar w:fldCharType="begin"/>
        </w:r>
        <w:r>
          <w:instrText xml:space="preserve">PAGEREF 1575 \h</w:instrText>
        </w:r>
        <w:r>
          <w:fldChar w:fldCharType="end"/>
        </w:r>
      </w:hyperlink>
    </w:p>
    <w:p>
      <w:pPr>
        <w:tabs>
          <w:tab w:val="right" w:leader="dot" w:pos="9062"/>
        </w:tabs>
        <w:ind w:left="1100"/>
      </w:pPr>
      <w:hyperlink w:anchor="_Toc1576" w:history="1">
        <w:r>
          <w:rPr>
            <w:rFonts w:ascii="IRNazanin" w:hAnsi="IRNazanin" w:eastAsia="IRNazanin" w:cs="IRNazanin"/>
            <w:color w:val="111111"/>
            <w:sz w:val="22"/>
            <w:szCs w:val="22"/>
            <w:b w:val="0"/>
            <w:bCs w:val="0"/>
            <w:i w:val="0"/>
            <w:iCs w:val="0"/>
          </w:rPr>
          <w:t>[سوره الرعد «13»: آیات 31 تا 34]</w:t>
        </w:r>
        <w:r>
          <w:tab/>
        </w:r>
        <w:r>
          <w:fldChar w:fldCharType="begin"/>
        </w:r>
        <w:r>
          <w:instrText xml:space="preserve">PAGEREF 1576 \h</w:instrText>
        </w:r>
        <w:r>
          <w:fldChar w:fldCharType="end"/>
        </w:r>
      </w:hyperlink>
    </w:p>
    <w:p>
      <w:pPr>
        <w:tabs>
          <w:tab w:val="right" w:leader="dot" w:pos="9062"/>
        </w:tabs>
        <w:ind w:left="1100"/>
      </w:pPr>
      <w:hyperlink w:anchor="_Toc157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1577 \h</w:instrText>
        </w:r>
        <w:r>
          <w:fldChar w:fldCharType="end"/>
        </w:r>
      </w:hyperlink>
    </w:p>
    <w:p>
      <w:pPr>
        <w:tabs>
          <w:tab w:val="right" w:leader="dot" w:pos="9062"/>
        </w:tabs>
        <w:ind w:left="1100"/>
      </w:pPr>
      <w:hyperlink w:anchor="_Toc1578" w:history="1">
        <w:r>
          <w:rPr>
            <w:rFonts w:ascii="IRNazanin" w:hAnsi="IRNazanin" w:eastAsia="IRNazanin" w:cs="IRNazanin"/>
            <w:color w:val="111111"/>
            <w:sz w:val="22"/>
            <w:szCs w:val="22"/>
            <w:b w:val="0"/>
            <w:bCs w:val="0"/>
            <w:i w:val="0"/>
            <w:iCs w:val="0"/>
          </w:rPr>
          <w:t>ترجمه:</w:t>
        </w:r>
        <w:r>
          <w:tab/>
        </w:r>
        <w:r>
          <w:fldChar w:fldCharType="begin"/>
        </w:r>
        <w:r>
          <w:instrText xml:space="preserve">PAGEREF 1578 \h</w:instrText>
        </w:r>
        <w:r>
          <w:fldChar w:fldCharType="end"/>
        </w:r>
      </w:hyperlink>
    </w:p>
    <w:p>
      <w:pPr>
        <w:tabs>
          <w:tab w:val="right" w:leader="dot" w:pos="9062"/>
        </w:tabs>
        <w:ind w:left="1100"/>
      </w:pPr>
      <w:hyperlink w:anchor="_Toc1579" w:history="1">
        <w:r>
          <w:rPr>
            <w:rFonts w:ascii="IRNazanin" w:hAnsi="IRNazanin" w:eastAsia="IRNazanin" w:cs="IRNazanin"/>
            <w:color w:val="111111"/>
            <w:sz w:val="22"/>
            <w:szCs w:val="22"/>
            <w:b w:val="0"/>
            <w:bCs w:val="0"/>
            <w:i w:val="0"/>
            <w:iCs w:val="0"/>
          </w:rPr>
          <w:t>تفسیر:</w:t>
        </w:r>
        <w:r>
          <w:tab/>
        </w:r>
        <w:r>
          <w:fldChar w:fldCharType="begin"/>
        </w:r>
        <w:r>
          <w:instrText xml:space="preserve">PAGEREF 1579 \h</w:instrText>
        </w:r>
        <w:r>
          <w:fldChar w:fldCharType="end"/>
        </w:r>
      </w:hyperlink>
    </w:p>
    <w:p>
      <w:pPr>
        <w:tabs>
          <w:tab w:val="right" w:leader="dot" w:pos="9062"/>
        </w:tabs>
        <w:ind w:left="1100"/>
      </w:pPr>
      <w:hyperlink w:anchor="_Toc1580" w:history="1">
        <w:r>
          <w:rPr>
            <w:rFonts w:ascii="IRNazanin" w:hAnsi="IRNazanin" w:eastAsia="IRNazanin" w:cs="IRNazanin"/>
            <w:color w:val="111111"/>
            <w:sz w:val="22"/>
            <w:szCs w:val="22"/>
            <w:b w:val="0"/>
            <w:bCs w:val="0"/>
            <w:i w:val="0"/>
            <w:iCs w:val="0"/>
          </w:rPr>
          <w:t>[سوره الرعد «13»: آیات 35 تا 37]</w:t>
        </w:r>
        <w:r>
          <w:tab/>
        </w:r>
        <w:r>
          <w:fldChar w:fldCharType="begin"/>
        </w:r>
        <w:r>
          <w:instrText xml:space="preserve">PAGEREF 1580 \h</w:instrText>
        </w:r>
        <w:r>
          <w:fldChar w:fldCharType="end"/>
        </w:r>
      </w:hyperlink>
    </w:p>
    <w:p>
      <w:pPr>
        <w:tabs>
          <w:tab w:val="right" w:leader="dot" w:pos="9062"/>
        </w:tabs>
        <w:ind w:left="1100"/>
      </w:pPr>
      <w:hyperlink w:anchor="_Toc158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1581 \h</w:instrText>
        </w:r>
        <w:r>
          <w:fldChar w:fldCharType="end"/>
        </w:r>
      </w:hyperlink>
    </w:p>
    <w:p>
      <w:pPr>
        <w:tabs>
          <w:tab w:val="right" w:leader="dot" w:pos="9062"/>
        </w:tabs>
        <w:ind w:left="1100"/>
      </w:pPr>
      <w:hyperlink w:anchor="_Toc1582" w:history="1">
        <w:r>
          <w:rPr>
            <w:rFonts w:ascii="IRNazanin" w:hAnsi="IRNazanin" w:eastAsia="IRNazanin" w:cs="IRNazanin"/>
            <w:color w:val="111111"/>
            <w:sz w:val="22"/>
            <w:szCs w:val="22"/>
            <w:b w:val="0"/>
            <w:bCs w:val="0"/>
            <w:i w:val="0"/>
            <w:iCs w:val="0"/>
          </w:rPr>
          <w:t>ترجمه:</w:t>
        </w:r>
        <w:r>
          <w:tab/>
        </w:r>
        <w:r>
          <w:fldChar w:fldCharType="begin"/>
        </w:r>
        <w:r>
          <w:instrText xml:space="preserve">PAGEREF 1582 \h</w:instrText>
        </w:r>
        <w:r>
          <w:fldChar w:fldCharType="end"/>
        </w:r>
      </w:hyperlink>
    </w:p>
    <w:p>
      <w:pPr>
        <w:tabs>
          <w:tab w:val="right" w:leader="dot" w:pos="9062"/>
        </w:tabs>
        <w:ind w:left="1100"/>
      </w:pPr>
      <w:hyperlink w:anchor="_Toc1583" w:history="1">
        <w:r>
          <w:rPr>
            <w:rFonts w:ascii="IRNazanin" w:hAnsi="IRNazanin" w:eastAsia="IRNazanin" w:cs="IRNazanin"/>
            <w:color w:val="111111"/>
            <w:sz w:val="22"/>
            <w:szCs w:val="22"/>
            <w:b w:val="0"/>
            <w:bCs w:val="0"/>
            <w:i w:val="0"/>
            <w:iCs w:val="0"/>
          </w:rPr>
          <w:t>تفسیر:</w:t>
        </w:r>
        <w:r>
          <w:tab/>
        </w:r>
        <w:r>
          <w:fldChar w:fldCharType="begin"/>
        </w:r>
        <w:r>
          <w:instrText xml:space="preserve">PAGEREF 1583 \h</w:instrText>
        </w:r>
        <w:r>
          <w:fldChar w:fldCharType="end"/>
        </w:r>
      </w:hyperlink>
    </w:p>
    <w:p>
      <w:pPr>
        <w:tabs>
          <w:tab w:val="right" w:leader="dot" w:pos="9062"/>
        </w:tabs>
        <w:ind w:left="1100"/>
      </w:pPr>
      <w:hyperlink w:anchor="_Toc1584" w:history="1">
        <w:r>
          <w:rPr>
            <w:rFonts w:ascii="IRNazanin" w:hAnsi="IRNazanin" w:eastAsia="IRNazanin" w:cs="IRNazanin"/>
            <w:color w:val="111111"/>
            <w:sz w:val="22"/>
            <w:szCs w:val="22"/>
            <w:b w:val="0"/>
            <w:bCs w:val="0"/>
            <w:i w:val="0"/>
            <w:iCs w:val="0"/>
          </w:rPr>
          <w:t>[سوره الرعد «13»: آیات 38 تا 40]</w:t>
        </w:r>
        <w:r>
          <w:tab/>
        </w:r>
        <w:r>
          <w:fldChar w:fldCharType="begin"/>
        </w:r>
        <w:r>
          <w:instrText xml:space="preserve">PAGEREF 1584 \h</w:instrText>
        </w:r>
        <w:r>
          <w:fldChar w:fldCharType="end"/>
        </w:r>
      </w:hyperlink>
    </w:p>
    <w:p>
      <w:pPr>
        <w:tabs>
          <w:tab w:val="right" w:leader="dot" w:pos="9062"/>
        </w:tabs>
        <w:ind w:left="1100"/>
      </w:pPr>
      <w:hyperlink w:anchor="_Toc158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1585 \h</w:instrText>
        </w:r>
        <w:r>
          <w:fldChar w:fldCharType="end"/>
        </w:r>
      </w:hyperlink>
    </w:p>
    <w:p>
      <w:pPr>
        <w:tabs>
          <w:tab w:val="right" w:leader="dot" w:pos="9062"/>
        </w:tabs>
        <w:ind w:left="1100"/>
      </w:pPr>
      <w:hyperlink w:anchor="_Toc1586" w:history="1">
        <w:r>
          <w:rPr>
            <w:rFonts w:ascii="IRNazanin" w:hAnsi="IRNazanin" w:eastAsia="IRNazanin" w:cs="IRNazanin"/>
            <w:color w:val="111111"/>
            <w:sz w:val="22"/>
            <w:szCs w:val="22"/>
            <w:b w:val="0"/>
            <w:bCs w:val="0"/>
            <w:i w:val="0"/>
            <w:iCs w:val="0"/>
          </w:rPr>
          <w:t>ترجمه:</w:t>
        </w:r>
        <w:r>
          <w:tab/>
        </w:r>
        <w:r>
          <w:fldChar w:fldCharType="begin"/>
        </w:r>
        <w:r>
          <w:instrText xml:space="preserve">PAGEREF 1586 \h</w:instrText>
        </w:r>
        <w:r>
          <w:fldChar w:fldCharType="end"/>
        </w:r>
      </w:hyperlink>
    </w:p>
    <w:p>
      <w:pPr>
        <w:tabs>
          <w:tab w:val="right" w:leader="dot" w:pos="9062"/>
        </w:tabs>
        <w:ind w:left="1100"/>
      </w:pPr>
      <w:hyperlink w:anchor="_Toc1587" w:history="1">
        <w:r>
          <w:rPr>
            <w:rFonts w:ascii="IRNazanin" w:hAnsi="IRNazanin" w:eastAsia="IRNazanin" w:cs="IRNazanin"/>
            <w:color w:val="111111"/>
            <w:sz w:val="22"/>
            <w:szCs w:val="22"/>
            <w:b w:val="0"/>
            <w:bCs w:val="0"/>
            <w:i w:val="0"/>
            <w:iCs w:val="0"/>
          </w:rPr>
          <w:t>تفسیر:</w:t>
        </w:r>
        <w:r>
          <w:tab/>
        </w:r>
        <w:r>
          <w:fldChar w:fldCharType="begin"/>
        </w:r>
        <w:r>
          <w:instrText xml:space="preserve">PAGEREF 1587 \h</w:instrText>
        </w:r>
        <w:r>
          <w:fldChar w:fldCharType="end"/>
        </w:r>
      </w:hyperlink>
    </w:p>
    <w:p>
      <w:pPr>
        <w:tabs>
          <w:tab w:val="right" w:leader="dot" w:pos="9062"/>
        </w:tabs>
        <w:ind w:left="1100"/>
      </w:pPr>
      <w:hyperlink w:anchor="_Toc1588" w:history="1">
        <w:r>
          <w:rPr>
            <w:rFonts w:ascii="IRNazanin" w:hAnsi="IRNazanin" w:eastAsia="IRNazanin" w:cs="IRNazanin"/>
            <w:color w:val="111111"/>
            <w:sz w:val="22"/>
            <w:szCs w:val="22"/>
            <w:b w:val="0"/>
            <w:bCs w:val="0"/>
            <w:i w:val="0"/>
            <w:iCs w:val="0"/>
          </w:rPr>
          <w:t>[سوره الرعد «13»: آیات 41 تا 43]</w:t>
        </w:r>
        <w:r>
          <w:tab/>
        </w:r>
        <w:r>
          <w:fldChar w:fldCharType="begin"/>
        </w:r>
        <w:r>
          <w:instrText xml:space="preserve">PAGEREF 1588 \h</w:instrText>
        </w:r>
        <w:r>
          <w:fldChar w:fldCharType="end"/>
        </w:r>
      </w:hyperlink>
    </w:p>
    <w:p>
      <w:pPr>
        <w:tabs>
          <w:tab w:val="right" w:leader="dot" w:pos="9062"/>
        </w:tabs>
        <w:ind w:left="1100"/>
      </w:pPr>
      <w:hyperlink w:anchor="_Toc158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1589 \h</w:instrText>
        </w:r>
        <w:r>
          <w:fldChar w:fldCharType="end"/>
        </w:r>
      </w:hyperlink>
    </w:p>
    <w:p>
      <w:pPr>
        <w:tabs>
          <w:tab w:val="right" w:leader="dot" w:pos="9062"/>
        </w:tabs>
        <w:ind w:left="1100"/>
      </w:pPr>
      <w:hyperlink w:anchor="_Toc1590" w:history="1">
        <w:r>
          <w:rPr>
            <w:rFonts w:ascii="IRNazanin" w:hAnsi="IRNazanin" w:eastAsia="IRNazanin" w:cs="IRNazanin"/>
            <w:color w:val="111111"/>
            <w:sz w:val="22"/>
            <w:szCs w:val="22"/>
            <w:b w:val="0"/>
            <w:bCs w:val="0"/>
            <w:i w:val="0"/>
            <w:iCs w:val="0"/>
          </w:rPr>
          <w:t>ترجمه:</w:t>
        </w:r>
        <w:r>
          <w:tab/>
        </w:r>
        <w:r>
          <w:fldChar w:fldCharType="begin"/>
        </w:r>
        <w:r>
          <w:instrText xml:space="preserve">PAGEREF 1590 \h</w:instrText>
        </w:r>
        <w:r>
          <w:fldChar w:fldCharType="end"/>
        </w:r>
      </w:hyperlink>
    </w:p>
    <w:p>
      <w:pPr>
        <w:tabs>
          <w:tab w:val="right" w:leader="dot" w:pos="9062"/>
        </w:tabs>
        <w:ind w:left="1100"/>
      </w:pPr>
      <w:hyperlink w:anchor="_Toc1591" w:history="1">
        <w:r>
          <w:rPr>
            <w:rFonts w:ascii="IRNazanin" w:hAnsi="IRNazanin" w:eastAsia="IRNazanin" w:cs="IRNazanin"/>
            <w:color w:val="111111"/>
            <w:sz w:val="22"/>
            <w:szCs w:val="22"/>
            <w:b w:val="0"/>
            <w:bCs w:val="0"/>
            <w:i w:val="0"/>
            <w:iCs w:val="0"/>
          </w:rPr>
          <w:t>تفسیر:</w:t>
        </w:r>
        <w:r>
          <w:tab/>
        </w:r>
        <w:r>
          <w:fldChar w:fldCharType="begin"/>
        </w:r>
        <w:r>
          <w:instrText xml:space="preserve">PAGEREF 1591 \h</w:instrText>
        </w:r>
        <w:r>
          <w:fldChar w:fldCharType="end"/>
        </w:r>
      </w:hyperlink>
    </w:p>
    <w:p>
      <w:pPr>
        <w:tabs>
          <w:tab w:val="right" w:leader="dot" w:pos="9062"/>
        </w:tabs>
        <w:ind w:left="220"/>
      </w:pPr>
      <w:hyperlink w:anchor="_Toc1592" w:history="1">
        <w:r>
          <w:rPr>
            <w:rFonts w:ascii="IRNazanin" w:hAnsi="IRNazanin" w:eastAsia="IRNazanin" w:cs="IRNazanin"/>
            <w:color w:val="111111"/>
            <w:sz w:val="22"/>
            <w:szCs w:val="22"/>
            <w:b w:val="0"/>
            <w:bCs w:val="0"/>
            <w:i w:val="0"/>
            <w:iCs w:val="0"/>
          </w:rPr>
          <w:t>عقاید</w:t>
        </w:r>
        <w:r>
          <w:tab/>
        </w:r>
        <w:r>
          <w:fldChar w:fldCharType="begin"/>
        </w:r>
        <w:r>
          <w:instrText xml:space="preserve">PAGEREF 1592 \h</w:instrText>
        </w:r>
        <w:r>
          <w:fldChar w:fldCharType="end"/>
        </w:r>
      </w:hyperlink>
    </w:p>
    <w:p>
      <w:pPr>
        <w:tabs>
          <w:tab w:val="right" w:leader="dot" w:pos="9062"/>
        </w:tabs>
        <w:ind w:left="440"/>
      </w:pPr>
      <w:hyperlink w:anchor="_Toc1593" w:history="1">
        <w:r>
          <w:rPr>
            <w:rFonts w:ascii="IRNazanin" w:hAnsi="IRNazanin" w:eastAsia="IRNazanin" w:cs="IRNazanin"/>
            <w:color w:val="111111"/>
            <w:sz w:val="22"/>
            <w:szCs w:val="22"/>
            <w:b w:val="0"/>
            <w:bCs w:val="0"/>
            <w:i w:val="0"/>
            <w:iCs w:val="0"/>
          </w:rPr>
          <w:t>محاضرات فی الالهیات (از الباب الخامس تا پایان)</w:t>
        </w:r>
        <w:r>
          <w:tab/>
        </w:r>
        <w:r>
          <w:fldChar w:fldCharType="begin"/>
        </w:r>
        <w:r>
          <w:instrText xml:space="preserve">PAGEREF 1593 \h</w:instrText>
        </w:r>
        <w:r>
          <w:fldChar w:fldCharType="end"/>
        </w:r>
      </w:hyperlink>
    </w:p>
    <w:p>
      <w:pPr>
        <w:tabs>
          <w:tab w:val="right" w:leader="dot" w:pos="9062"/>
        </w:tabs>
        <w:ind w:left="660"/>
      </w:pPr>
      <w:hyperlink w:anchor="_Toc1594" w:history="1">
        <w:r>
          <w:rPr>
            <w:rFonts w:ascii="IRNazanin" w:hAnsi="IRNazanin" w:eastAsia="IRNazanin" w:cs="IRNazanin"/>
            <w:color w:val="111111"/>
            <w:sz w:val="22"/>
            <w:szCs w:val="22"/>
            <w:b w:val="0"/>
            <w:bCs w:val="0"/>
            <w:i w:val="0"/>
            <w:iCs w:val="0"/>
          </w:rPr>
          <w:t>الباب الخامس : فی النبوّة العامّة و فیه خمسة فصول:</w:t>
        </w:r>
        <w:r>
          <w:tab/>
        </w:r>
        <w:r>
          <w:fldChar w:fldCharType="begin"/>
        </w:r>
        <w:r>
          <w:instrText xml:space="preserve">PAGEREF 1594 \h</w:instrText>
        </w:r>
        <w:r>
          <w:fldChar w:fldCharType="end"/>
        </w:r>
      </w:hyperlink>
    </w:p>
    <w:p>
      <w:pPr>
        <w:tabs>
          <w:tab w:val="right" w:leader="dot" w:pos="9062"/>
        </w:tabs>
        <w:ind w:left="880"/>
      </w:pPr>
      <w:hyperlink w:anchor="_Toc159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1595 \h</w:instrText>
        </w:r>
        <w:r>
          <w:fldChar w:fldCharType="end"/>
        </w:r>
      </w:hyperlink>
    </w:p>
    <w:p>
      <w:pPr>
        <w:tabs>
          <w:tab w:val="right" w:leader="dot" w:pos="9062"/>
        </w:tabs>
        <w:ind w:left="880"/>
      </w:pPr>
      <w:hyperlink w:anchor="_Toc1596" w:history="1">
        <w:r>
          <w:rPr>
            <w:rFonts w:ascii="IRNazanin" w:hAnsi="IRNazanin" w:eastAsia="IRNazanin" w:cs="IRNazanin"/>
            <w:color w:val="111111"/>
            <w:sz w:val="22"/>
            <w:szCs w:val="22"/>
            <w:b w:val="0"/>
            <w:bCs w:val="0"/>
            <w:i w:val="0"/>
            <w:iCs w:val="0"/>
          </w:rPr>
          <w:t>مقدمة:</w:t>
        </w:r>
        <w:r>
          <w:tab/>
        </w:r>
        <w:r>
          <w:fldChar w:fldCharType="begin"/>
        </w:r>
        <w:r>
          <w:instrText xml:space="preserve">PAGEREF 1596 \h</w:instrText>
        </w:r>
        <w:r>
          <w:fldChar w:fldCharType="end"/>
        </w:r>
      </w:hyperlink>
    </w:p>
    <w:p>
      <w:pPr>
        <w:tabs>
          <w:tab w:val="right" w:leader="dot" w:pos="9062"/>
        </w:tabs>
        <w:ind w:left="880"/>
      </w:pPr>
      <w:hyperlink w:anchor="_Toc1597" w:history="1">
        <w:r>
          <w:rPr>
            <w:rFonts w:ascii="IRNazanin" w:hAnsi="IRNazanin" w:eastAsia="IRNazanin" w:cs="IRNazanin"/>
            <w:color w:val="111111"/>
            <w:sz w:val="22"/>
            <w:szCs w:val="22"/>
            <w:b w:val="0"/>
            <w:bCs w:val="0"/>
            <w:i w:val="0"/>
            <w:iCs w:val="0"/>
          </w:rPr>
          <w:t>الفصل الأوّل : أدلّة لزوم البعثة:</w:t>
        </w:r>
        <w:r>
          <w:tab/>
        </w:r>
        <w:r>
          <w:fldChar w:fldCharType="begin"/>
        </w:r>
        <w:r>
          <w:instrText xml:space="preserve">PAGEREF 1597 \h</w:instrText>
        </w:r>
        <w:r>
          <w:fldChar w:fldCharType="end"/>
        </w:r>
      </w:hyperlink>
    </w:p>
    <w:p>
      <w:pPr>
        <w:tabs>
          <w:tab w:val="right" w:leader="dot" w:pos="9062"/>
        </w:tabs>
        <w:ind w:left="1100"/>
      </w:pPr>
      <w:hyperlink w:anchor="_Toc1598" w:history="1">
        <w:r>
          <w:rPr>
            <w:rFonts w:ascii="IRNazanin" w:hAnsi="IRNazanin" w:eastAsia="IRNazanin" w:cs="IRNazanin"/>
            <w:color w:val="111111"/>
            <w:sz w:val="22"/>
            <w:szCs w:val="22"/>
            <w:b w:val="0"/>
            <w:bCs w:val="0"/>
            <w:i w:val="0"/>
            <w:iCs w:val="0"/>
          </w:rPr>
          <w:t>1. حاجة المجتمع إلی القانون الکامل</w:t>
        </w:r>
        <w:r>
          <w:tab/>
        </w:r>
        <w:r>
          <w:fldChar w:fldCharType="begin"/>
        </w:r>
        <w:r>
          <w:instrText xml:space="preserve">PAGEREF 1598 \h</w:instrText>
        </w:r>
        <w:r>
          <w:fldChar w:fldCharType="end"/>
        </w:r>
      </w:hyperlink>
    </w:p>
    <w:p>
      <w:pPr>
        <w:tabs>
          <w:tab w:val="right" w:leader="dot" w:pos="9062"/>
        </w:tabs>
        <w:ind w:left="1100"/>
      </w:pPr>
      <w:hyperlink w:anchor="_Toc1599" w:history="1">
        <w:r>
          <w:rPr>
            <w:rFonts w:ascii="IRNazanin" w:hAnsi="IRNazanin" w:eastAsia="IRNazanin" w:cs="IRNazanin"/>
            <w:color w:val="111111"/>
            <w:sz w:val="22"/>
            <w:szCs w:val="22"/>
            <w:b w:val="0"/>
            <w:bCs w:val="0"/>
            <w:i w:val="0"/>
            <w:iCs w:val="0"/>
          </w:rPr>
          <w:t>2. حاجة الانسان إلی المعارف العالیة</w:t>
        </w:r>
        <w:r>
          <w:tab/>
        </w:r>
        <w:r>
          <w:fldChar w:fldCharType="begin"/>
        </w:r>
        <w:r>
          <w:instrText xml:space="preserve">PAGEREF 1599 \h</w:instrText>
        </w:r>
        <w:r>
          <w:fldChar w:fldCharType="end"/>
        </w:r>
      </w:hyperlink>
    </w:p>
    <w:p>
      <w:pPr>
        <w:tabs>
          <w:tab w:val="right" w:leader="dot" w:pos="9062"/>
        </w:tabs>
        <w:ind w:left="880"/>
      </w:pPr>
      <w:hyperlink w:anchor="_Toc1600" w:history="1">
        <w:r>
          <w:rPr>
            <w:rFonts w:ascii="IRNazanin" w:hAnsi="IRNazanin" w:eastAsia="IRNazanin" w:cs="IRNazanin"/>
            <w:color w:val="111111"/>
            <w:sz w:val="22"/>
            <w:szCs w:val="22"/>
            <w:b w:val="0"/>
            <w:bCs w:val="0"/>
            <w:i w:val="0"/>
            <w:iCs w:val="0"/>
          </w:rPr>
          <w:t>الفصل الثانی : أدلّة منکری بعثة الأنبیاء</w:t>
        </w:r>
        <w:r>
          <w:tab/>
        </w:r>
        <w:r>
          <w:fldChar w:fldCharType="begin"/>
        </w:r>
        <w:r>
          <w:instrText xml:space="preserve">PAGEREF 1600 \h</w:instrText>
        </w:r>
        <w:r>
          <w:fldChar w:fldCharType="end"/>
        </w:r>
      </w:hyperlink>
    </w:p>
    <w:p>
      <w:pPr>
        <w:tabs>
          <w:tab w:val="right" w:leader="dot" w:pos="9062"/>
        </w:tabs>
        <w:ind w:left="1100"/>
      </w:pPr>
      <w:hyperlink w:anchor="_Toc160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1601 \h</w:instrText>
        </w:r>
        <w:r>
          <w:fldChar w:fldCharType="end"/>
        </w:r>
      </w:hyperlink>
    </w:p>
    <w:p>
      <w:pPr>
        <w:tabs>
          <w:tab w:val="right" w:leader="dot" w:pos="9062"/>
        </w:tabs>
        <w:ind w:left="1100"/>
      </w:pPr>
      <w:hyperlink w:anchor="_Toc1602" w:history="1">
        <w:r>
          <w:rPr>
            <w:rFonts w:ascii="IRNazanin" w:hAnsi="IRNazanin" w:eastAsia="IRNazanin" w:cs="IRNazanin"/>
            <w:color w:val="111111"/>
            <w:sz w:val="22"/>
            <w:szCs w:val="22"/>
            <w:b w:val="0"/>
            <w:bCs w:val="0"/>
            <w:i w:val="0"/>
            <w:iCs w:val="0"/>
          </w:rPr>
          <w:t>الدلیل الأوّل</w:t>
        </w:r>
        <w:r>
          <w:tab/>
        </w:r>
        <w:r>
          <w:fldChar w:fldCharType="begin"/>
        </w:r>
        <w:r>
          <w:instrText xml:space="preserve">PAGEREF 1602 \h</w:instrText>
        </w:r>
        <w:r>
          <w:fldChar w:fldCharType="end"/>
        </w:r>
      </w:hyperlink>
    </w:p>
    <w:p>
      <w:pPr>
        <w:tabs>
          <w:tab w:val="right" w:leader="dot" w:pos="9062"/>
        </w:tabs>
        <w:ind w:left="1100"/>
      </w:pPr>
      <w:hyperlink w:anchor="_Toc1603" w:history="1">
        <w:r>
          <w:rPr>
            <w:rFonts w:ascii="IRNazanin" w:hAnsi="IRNazanin" w:eastAsia="IRNazanin" w:cs="IRNazanin"/>
            <w:color w:val="111111"/>
            <w:sz w:val="22"/>
            <w:szCs w:val="22"/>
            <w:b w:val="0"/>
            <w:bCs w:val="0"/>
            <w:i w:val="0"/>
            <w:iCs w:val="0"/>
          </w:rPr>
          <w:t>الدلیل الثانی:</w:t>
        </w:r>
        <w:r>
          <w:tab/>
        </w:r>
        <w:r>
          <w:fldChar w:fldCharType="begin"/>
        </w:r>
        <w:r>
          <w:instrText xml:space="preserve">PAGEREF 1603 \h</w:instrText>
        </w:r>
        <w:r>
          <w:fldChar w:fldCharType="end"/>
        </w:r>
      </w:hyperlink>
    </w:p>
    <w:p>
      <w:pPr>
        <w:tabs>
          <w:tab w:val="right" w:leader="dot" w:pos="9062"/>
        </w:tabs>
        <w:ind w:left="1100"/>
      </w:pPr>
      <w:hyperlink w:anchor="_Toc1604" w:history="1">
        <w:r>
          <w:rPr>
            <w:rFonts w:ascii="IRNazanin" w:hAnsi="IRNazanin" w:eastAsia="IRNazanin" w:cs="IRNazanin"/>
            <w:color w:val="111111"/>
            <w:sz w:val="22"/>
            <w:szCs w:val="22"/>
            <w:b w:val="0"/>
            <w:bCs w:val="0"/>
            <w:i w:val="0"/>
            <w:iCs w:val="0"/>
          </w:rPr>
          <w:t>الدلیل الثالث:</w:t>
        </w:r>
        <w:r>
          <w:tab/>
        </w:r>
        <w:r>
          <w:fldChar w:fldCharType="begin"/>
        </w:r>
        <w:r>
          <w:instrText xml:space="preserve">PAGEREF 1604 \h</w:instrText>
        </w:r>
        <w:r>
          <w:fldChar w:fldCharType="end"/>
        </w:r>
      </w:hyperlink>
    </w:p>
    <w:p>
      <w:pPr>
        <w:tabs>
          <w:tab w:val="right" w:leader="dot" w:pos="9062"/>
        </w:tabs>
        <w:ind w:left="880"/>
      </w:pPr>
      <w:hyperlink w:anchor="_Toc1605" w:history="1">
        <w:r>
          <w:rPr>
            <w:rFonts w:ascii="IRNazanin" w:hAnsi="IRNazanin" w:eastAsia="IRNazanin" w:cs="IRNazanin"/>
            <w:color w:val="111111"/>
            <w:sz w:val="22"/>
            <w:szCs w:val="22"/>
            <w:b w:val="0"/>
            <w:bCs w:val="0"/>
            <w:i w:val="0"/>
            <w:iCs w:val="0"/>
          </w:rPr>
          <w:t>الفصل الثالث : المعجزة و إثبات صدق دعوی النبوّة</w:t>
        </w:r>
        <w:r>
          <w:tab/>
        </w:r>
        <w:r>
          <w:fldChar w:fldCharType="begin"/>
        </w:r>
        <w:r>
          <w:instrText xml:space="preserve">PAGEREF 1605 \h</w:instrText>
        </w:r>
        <w:r>
          <w:fldChar w:fldCharType="end"/>
        </w:r>
      </w:hyperlink>
    </w:p>
    <w:p>
      <w:pPr>
        <w:tabs>
          <w:tab w:val="right" w:leader="dot" w:pos="9062"/>
        </w:tabs>
        <w:ind w:left="1100"/>
      </w:pPr>
      <w:hyperlink w:anchor="_Toc160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1606 \h</w:instrText>
        </w:r>
        <w:r>
          <w:fldChar w:fldCharType="end"/>
        </w:r>
      </w:hyperlink>
    </w:p>
    <w:p>
      <w:pPr>
        <w:tabs>
          <w:tab w:val="right" w:leader="dot" w:pos="9062"/>
        </w:tabs>
        <w:ind w:left="1100"/>
      </w:pPr>
      <w:hyperlink w:anchor="_Toc1607" w:history="1">
        <w:r>
          <w:rPr>
            <w:rFonts w:ascii="IRNazanin" w:hAnsi="IRNazanin" w:eastAsia="IRNazanin" w:cs="IRNazanin"/>
            <w:color w:val="111111"/>
            <w:sz w:val="22"/>
            <w:szCs w:val="22"/>
            <w:b w:val="0"/>
            <w:bCs w:val="0"/>
            <w:i w:val="0"/>
            <w:iCs w:val="0"/>
          </w:rPr>
          <w:t>تعریف المعجزة</w:t>
        </w:r>
        <w:r>
          <w:tab/>
        </w:r>
        <w:r>
          <w:fldChar w:fldCharType="begin"/>
        </w:r>
        <w:r>
          <w:instrText xml:space="preserve">PAGEREF 1607 \h</w:instrText>
        </w:r>
        <w:r>
          <w:fldChar w:fldCharType="end"/>
        </w:r>
      </w:hyperlink>
    </w:p>
    <w:p>
      <w:pPr>
        <w:tabs>
          <w:tab w:val="right" w:leader="dot" w:pos="9062"/>
        </w:tabs>
        <w:ind w:left="1100"/>
      </w:pPr>
      <w:hyperlink w:anchor="_Toc1608" w:history="1">
        <w:r>
          <w:rPr>
            <w:rFonts w:ascii="IRNazanin" w:hAnsi="IRNazanin" w:eastAsia="IRNazanin" w:cs="IRNazanin"/>
            <w:color w:val="111111"/>
            <w:sz w:val="22"/>
            <w:szCs w:val="22"/>
            <w:b w:val="0"/>
            <w:bCs w:val="0"/>
            <w:i w:val="0"/>
            <w:iCs w:val="0"/>
          </w:rPr>
          <w:t>دلالة المعجزة و قاعدة الحسن و القبح العقلیین</w:t>
        </w:r>
        <w:r>
          <w:tab/>
        </w:r>
        <w:r>
          <w:fldChar w:fldCharType="begin"/>
        </w:r>
        <w:r>
          <w:instrText xml:space="preserve">PAGEREF 1608 \h</w:instrText>
        </w:r>
        <w:r>
          <w:fldChar w:fldCharType="end"/>
        </w:r>
      </w:hyperlink>
    </w:p>
    <w:p>
      <w:pPr>
        <w:tabs>
          <w:tab w:val="right" w:leader="dot" w:pos="9062"/>
        </w:tabs>
        <w:ind w:left="1100"/>
      </w:pPr>
      <w:hyperlink w:anchor="_Toc1609" w:history="1">
        <w:r>
          <w:rPr>
            <w:rFonts w:ascii="IRNazanin" w:hAnsi="IRNazanin" w:eastAsia="IRNazanin" w:cs="IRNazanin"/>
            <w:color w:val="111111"/>
            <w:sz w:val="22"/>
            <w:szCs w:val="22"/>
            <w:b w:val="0"/>
            <w:bCs w:val="0"/>
            <w:i w:val="0"/>
            <w:iCs w:val="0"/>
          </w:rPr>
          <w:t>المعجزة دلیل برهانی</w:t>
        </w:r>
        <w:r>
          <w:tab/>
        </w:r>
        <w:r>
          <w:fldChar w:fldCharType="begin"/>
        </w:r>
        <w:r>
          <w:instrText xml:space="preserve">PAGEREF 1609 \h</w:instrText>
        </w:r>
        <w:r>
          <w:fldChar w:fldCharType="end"/>
        </w:r>
      </w:hyperlink>
    </w:p>
    <w:p>
      <w:pPr>
        <w:tabs>
          <w:tab w:val="right" w:leader="dot" w:pos="9062"/>
        </w:tabs>
        <w:ind w:left="1100"/>
      </w:pPr>
      <w:hyperlink w:anchor="_Toc1610" w:history="1">
        <w:r>
          <w:rPr>
            <w:rFonts w:ascii="IRNazanin" w:hAnsi="IRNazanin" w:eastAsia="IRNazanin" w:cs="IRNazanin"/>
            <w:color w:val="111111"/>
            <w:sz w:val="22"/>
            <w:szCs w:val="22"/>
            <w:b w:val="0"/>
            <w:bCs w:val="0"/>
            <w:i w:val="0"/>
            <w:iCs w:val="0"/>
          </w:rPr>
          <w:t>فوارق المعجزة لسائر خوارق العادة</w:t>
        </w:r>
        <w:r>
          <w:tab/>
        </w:r>
        <w:r>
          <w:fldChar w:fldCharType="begin"/>
        </w:r>
        <w:r>
          <w:instrText xml:space="preserve">PAGEREF 1610 \h</w:instrText>
        </w:r>
        <w:r>
          <w:fldChar w:fldCharType="end"/>
        </w:r>
      </w:hyperlink>
    </w:p>
    <w:p>
      <w:pPr>
        <w:tabs>
          <w:tab w:val="right" w:leader="dot" w:pos="9062"/>
        </w:tabs>
        <w:ind w:left="1100"/>
      </w:pPr>
      <w:hyperlink w:anchor="_Toc1611" w:history="1">
        <w:r>
          <w:rPr>
            <w:rFonts w:ascii="IRNazanin" w:hAnsi="IRNazanin" w:eastAsia="IRNazanin" w:cs="IRNazanin"/>
            <w:color w:val="111111"/>
            <w:sz w:val="22"/>
            <w:szCs w:val="22"/>
            <w:b w:val="0"/>
            <w:bCs w:val="0"/>
            <w:i w:val="0"/>
            <w:iCs w:val="0"/>
          </w:rPr>
          <w:t>المعجزة و قانون العلّیة</w:t>
        </w:r>
        <w:r>
          <w:tab/>
        </w:r>
        <w:r>
          <w:fldChar w:fldCharType="begin"/>
        </w:r>
        <w:r>
          <w:instrText xml:space="preserve">PAGEREF 1611 \h</w:instrText>
        </w:r>
        <w:r>
          <w:fldChar w:fldCharType="end"/>
        </w:r>
      </w:hyperlink>
    </w:p>
    <w:p>
      <w:pPr>
        <w:tabs>
          <w:tab w:val="right" w:leader="dot" w:pos="9062"/>
        </w:tabs>
        <w:ind w:left="880"/>
      </w:pPr>
      <w:hyperlink w:anchor="_Toc1612" w:history="1">
        <w:r>
          <w:rPr>
            <w:rFonts w:ascii="IRNazanin" w:hAnsi="IRNazanin" w:eastAsia="IRNazanin" w:cs="IRNazanin"/>
            <w:color w:val="111111"/>
            <w:sz w:val="22"/>
            <w:szCs w:val="22"/>
            <w:b w:val="0"/>
            <w:bCs w:val="0"/>
            <w:i w:val="0"/>
            <w:iCs w:val="0"/>
          </w:rPr>
          <w:t>الفصل الرابع : حقیقة الوحی فی النبوّة</w:t>
        </w:r>
        <w:r>
          <w:tab/>
        </w:r>
        <w:r>
          <w:fldChar w:fldCharType="begin"/>
        </w:r>
        <w:r>
          <w:instrText xml:space="preserve">PAGEREF 1612 \h</w:instrText>
        </w:r>
        <w:r>
          <w:fldChar w:fldCharType="end"/>
        </w:r>
      </w:hyperlink>
    </w:p>
    <w:p>
      <w:pPr>
        <w:tabs>
          <w:tab w:val="right" w:leader="dot" w:pos="9062"/>
        </w:tabs>
        <w:ind w:left="1100"/>
      </w:pPr>
      <w:hyperlink w:anchor="_Toc16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1613 \h</w:instrText>
        </w:r>
        <w:r>
          <w:fldChar w:fldCharType="end"/>
        </w:r>
      </w:hyperlink>
    </w:p>
    <w:p>
      <w:pPr>
        <w:tabs>
          <w:tab w:val="right" w:leader="dot" w:pos="9062"/>
        </w:tabs>
        <w:ind w:left="1100"/>
      </w:pPr>
      <w:hyperlink w:anchor="_Toc1614" w:history="1">
        <w:r>
          <w:rPr>
            <w:rFonts w:ascii="IRNazanin" w:hAnsi="IRNazanin" w:eastAsia="IRNazanin" w:cs="IRNazanin"/>
            <w:color w:val="111111"/>
            <w:sz w:val="22"/>
            <w:szCs w:val="22"/>
            <w:b w:val="0"/>
            <w:bCs w:val="0"/>
            <w:i w:val="0"/>
            <w:iCs w:val="0"/>
          </w:rPr>
          <w:t>وحی النبوّة</w:t>
        </w:r>
        <w:r>
          <w:tab/>
        </w:r>
        <w:r>
          <w:fldChar w:fldCharType="begin"/>
        </w:r>
        <w:r>
          <w:instrText xml:space="preserve">PAGEREF 1614 \h</w:instrText>
        </w:r>
        <w:r>
          <w:fldChar w:fldCharType="end"/>
        </w:r>
      </w:hyperlink>
    </w:p>
    <w:p>
      <w:pPr>
        <w:tabs>
          <w:tab w:val="right" w:leader="dot" w:pos="9062"/>
        </w:tabs>
        <w:ind w:left="1100"/>
      </w:pPr>
      <w:hyperlink w:anchor="_Toc1615" w:history="1">
        <w:r>
          <w:rPr>
            <w:rFonts w:ascii="IRNazanin" w:hAnsi="IRNazanin" w:eastAsia="IRNazanin" w:cs="IRNazanin"/>
            <w:color w:val="111111"/>
            <w:sz w:val="22"/>
            <w:szCs w:val="22"/>
            <w:b w:val="0"/>
            <w:bCs w:val="0"/>
            <w:i w:val="0"/>
            <w:iCs w:val="0"/>
          </w:rPr>
          <w:t>فرضیّة النبوغ</w:t>
        </w:r>
        <w:r>
          <w:tab/>
        </w:r>
        <w:r>
          <w:fldChar w:fldCharType="begin"/>
        </w:r>
        <w:r>
          <w:instrText xml:space="preserve">PAGEREF 1615 \h</w:instrText>
        </w:r>
        <w:r>
          <w:fldChar w:fldCharType="end"/>
        </w:r>
      </w:hyperlink>
    </w:p>
    <w:p>
      <w:pPr>
        <w:tabs>
          <w:tab w:val="right" w:leader="dot" w:pos="9062"/>
        </w:tabs>
        <w:ind w:left="1100"/>
      </w:pPr>
      <w:hyperlink w:anchor="_Toc1616" w:history="1">
        <w:r>
          <w:rPr>
            <w:rFonts w:ascii="IRNazanin" w:hAnsi="IRNazanin" w:eastAsia="IRNazanin" w:cs="IRNazanin"/>
            <w:color w:val="111111"/>
            <w:sz w:val="22"/>
            <w:szCs w:val="22"/>
            <w:b w:val="0"/>
            <w:bCs w:val="0"/>
            <w:i w:val="0"/>
            <w:iCs w:val="0"/>
          </w:rPr>
          <w:t>هل الوحی نتیجة تجلّی الأحوال الروحیّة؟</w:t>
        </w:r>
        <w:r>
          <w:tab/>
        </w:r>
        <w:r>
          <w:fldChar w:fldCharType="begin"/>
        </w:r>
        <w:r>
          <w:instrText xml:space="preserve">PAGEREF 1616 \h</w:instrText>
        </w:r>
        <w:r>
          <w:fldChar w:fldCharType="end"/>
        </w:r>
      </w:hyperlink>
    </w:p>
    <w:p>
      <w:pPr>
        <w:tabs>
          <w:tab w:val="right" w:leader="dot" w:pos="9062"/>
        </w:tabs>
        <w:ind w:left="1100"/>
      </w:pPr>
      <w:hyperlink w:anchor="_Toc1617" w:history="1">
        <w:r>
          <w:rPr>
            <w:rFonts w:ascii="IRNazanin" w:hAnsi="IRNazanin" w:eastAsia="IRNazanin" w:cs="IRNazanin"/>
            <w:color w:val="111111"/>
            <w:sz w:val="22"/>
            <w:szCs w:val="22"/>
            <w:b w:val="0"/>
            <w:bCs w:val="0"/>
            <w:i w:val="0"/>
            <w:iCs w:val="0"/>
          </w:rPr>
          <w:t>نقد هذه النظریّة</w:t>
        </w:r>
        <w:r>
          <w:tab/>
        </w:r>
        <w:r>
          <w:fldChar w:fldCharType="begin"/>
        </w:r>
        <w:r>
          <w:instrText xml:space="preserve">PAGEREF 1617 \h</w:instrText>
        </w:r>
        <w:r>
          <w:fldChar w:fldCharType="end"/>
        </w:r>
      </w:hyperlink>
    </w:p>
    <w:p>
      <w:pPr>
        <w:tabs>
          <w:tab w:val="right" w:leader="dot" w:pos="9062"/>
        </w:tabs>
        <w:ind w:left="1100"/>
      </w:pPr>
      <w:hyperlink w:anchor="_Toc1618" w:history="1">
        <w:r>
          <w:rPr>
            <w:rFonts w:ascii="IRNazanin" w:hAnsi="IRNazanin" w:eastAsia="IRNazanin" w:cs="IRNazanin"/>
            <w:color w:val="111111"/>
            <w:sz w:val="22"/>
            <w:szCs w:val="22"/>
            <w:b w:val="0"/>
            <w:bCs w:val="0"/>
            <w:i w:val="0"/>
            <w:iCs w:val="0"/>
          </w:rPr>
          <w:t>الوحی و الشخصیة الباطنة</w:t>
        </w:r>
        <w:r>
          <w:tab/>
        </w:r>
        <w:r>
          <w:fldChar w:fldCharType="begin"/>
        </w:r>
        <w:r>
          <w:instrText xml:space="preserve">PAGEREF 1618 \h</w:instrText>
        </w:r>
        <w:r>
          <w:fldChar w:fldCharType="end"/>
        </w:r>
      </w:hyperlink>
    </w:p>
    <w:p>
      <w:pPr>
        <w:tabs>
          <w:tab w:val="right" w:leader="dot" w:pos="9062"/>
        </w:tabs>
        <w:ind w:left="880"/>
      </w:pPr>
      <w:hyperlink w:anchor="_Toc1619" w:history="1">
        <w:r>
          <w:rPr>
            <w:rFonts w:ascii="IRNazanin" w:hAnsi="IRNazanin" w:eastAsia="IRNazanin" w:cs="IRNazanin"/>
            <w:color w:val="111111"/>
            <w:sz w:val="22"/>
            <w:szCs w:val="22"/>
            <w:b w:val="0"/>
            <w:bCs w:val="0"/>
            <w:i w:val="0"/>
            <w:iCs w:val="0"/>
          </w:rPr>
          <w:t>الفصل الخامس : عصمة أنبیاء اللّه تعالی</w:t>
        </w:r>
        <w:r>
          <w:tab/>
        </w:r>
        <w:r>
          <w:fldChar w:fldCharType="begin"/>
        </w:r>
        <w:r>
          <w:instrText xml:space="preserve">PAGEREF 1619 \h</w:instrText>
        </w:r>
        <w:r>
          <w:fldChar w:fldCharType="end"/>
        </w:r>
      </w:hyperlink>
    </w:p>
    <w:p>
      <w:pPr>
        <w:tabs>
          <w:tab w:val="right" w:leader="dot" w:pos="9062"/>
        </w:tabs>
        <w:ind w:left="1100"/>
      </w:pPr>
      <w:hyperlink w:anchor="_Toc16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1620 \h</w:instrText>
        </w:r>
        <w:r>
          <w:fldChar w:fldCharType="end"/>
        </w:r>
      </w:hyperlink>
    </w:p>
    <w:p>
      <w:pPr>
        <w:tabs>
          <w:tab w:val="right" w:leader="dot" w:pos="9062"/>
        </w:tabs>
        <w:ind w:left="1100"/>
      </w:pPr>
      <w:hyperlink w:anchor="_Toc1621" w:history="1">
        <w:r>
          <w:rPr>
            <w:rFonts w:ascii="IRNazanin" w:hAnsi="IRNazanin" w:eastAsia="IRNazanin" w:cs="IRNazanin"/>
            <w:color w:val="111111"/>
            <w:sz w:val="22"/>
            <w:szCs w:val="22"/>
            <w:b w:val="0"/>
            <w:bCs w:val="0"/>
            <w:i w:val="0"/>
            <w:iCs w:val="0"/>
          </w:rPr>
          <w:t>العصمة فی اللّغة و الاصطلاح</w:t>
        </w:r>
        <w:r>
          <w:tab/>
        </w:r>
        <w:r>
          <w:fldChar w:fldCharType="begin"/>
        </w:r>
        <w:r>
          <w:instrText xml:space="preserve">PAGEREF 1621 \h</w:instrText>
        </w:r>
        <w:r>
          <w:fldChar w:fldCharType="end"/>
        </w:r>
      </w:hyperlink>
    </w:p>
    <w:p>
      <w:pPr>
        <w:tabs>
          <w:tab w:val="right" w:leader="dot" w:pos="9062"/>
        </w:tabs>
        <w:ind w:left="1100"/>
      </w:pPr>
      <w:hyperlink w:anchor="_Toc1622" w:history="1">
        <w:r>
          <w:rPr>
            <w:rFonts w:ascii="IRNazanin" w:hAnsi="IRNazanin" w:eastAsia="IRNazanin" w:cs="IRNazanin"/>
            <w:color w:val="111111"/>
            <w:sz w:val="22"/>
            <w:szCs w:val="22"/>
            <w:b w:val="0"/>
            <w:bCs w:val="0"/>
            <w:i w:val="0"/>
            <w:iCs w:val="0"/>
          </w:rPr>
          <w:t>عصمة الأنبیاء فی تلقّی الوحی و إبلاغه</w:t>
        </w:r>
        <w:r>
          <w:tab/>
        </w:r>
        <w:r>
          <w:fldChar w:fldCharType="begin"/>
        </w:r>
        <w:r>
          <w:instrText xml:space="preserve">PAGEREF 1622 \h</w:instrText>
        </w:r>
        <w:r>
          <w:fldChar w:fldCharType="end"/>
        </w:r>
      </w:hyperlink>
    </w:p>
    <w:p>
      <w:pPr>
        <w:tabs>
          <w:tab w:val="right" w:leader="dot" w:pos="9062"/>
        </w:tabs>
        <w:ind w:left="1100"/>
      </w:pPr>
      <w:hyperlink w:anchor="_Toc1623" w:history="1">
        <w:r>
          <w:rPr>
            <w:rFonts w:ascii="IRNazanin" w:hAnsi="IRNazanin" w:eastAsia="IRNazanin" w:cs="IRNazanin"/>
            <w:color w:val="111111"/>
            <w:sz w:val="22"/>
            <w:szCs w:val="22"/>
            <w:b w:val="0"/>
            <w:bCs w:val="0"/>
            <w:i w:val="0"/>
            <w:iCs w:val="0"/>
          </w:rPr>
          <w:t>لزوم عصمة الأنبیاء عن المعاصی</w:t>
        </w:r>
        <w:r>
          <w:tab/>
        </w:r>
        <w:r>
          <w:fldChar w:fldCharType="begin"/>
        </w:r>
        <w:r>
          <w:instrText xml:space="preserve">PAGEREF 1623 \h</w:instrText>
        </w:r>
        <w:r>
          <w:fldChar w:fldCharType="end"/>
        </w:r>
      </w:hyperlink>
    </w:p>
    <w:p>
      <w:pPr>
        <w:tabs>
          <w:tab w:val="right" w:leader="dot" w:pos="9062"/>
        </w:tabs>
        <w:ind w:left="1100"/>
      </w:pPr>
      <w:hyperlink w:anchor="_Toc1624" w:history="1">
        <w:r>
          <w:rPr>
            <w:rFonts w:ascii="IRNazanin" w:hAnsi="IRNazanin" w:eastAsia="IRNazanin" w:cs="IRNazanin"/>
            <w:color w:val="111111"/>
            <w:sz w:val="22"/>
            <w:szCs w:val="22"/>
            <w:b w:val="0"/>
            <w:bCs w:val="0"/>
            <w:i w:val="0"/>
            <w:iCs w:val="0"/>
          </w:rPr>
          <w:t>عصمة الأنبیاء فی الکتاب العزیز</w:t>
        </w:r>
        <w:r>
          <w:tab/>
        </w:r>
        <w:r>
          <w:fldChar w:fldCharType="begin"/>
        </w:r>
        <w:r>
          <w:instrText xml:space="preserve">PAGEREF 1624 \h</w:instrText>
        </w:r>
        <w:r>
          <w:fldChar w:fldCharType="end"/>
        </w:r>
      </w:hyperlink>
    </w:p>
    <w:p>
      <w:pPr>
        <w:tabs>
          <w:tab w:val="right" w:leader="dot" w:pos="9062"/>
        </w:tabs>
        <w:ind w:left="1100"/>
      </w:pPr>
      <w:hyperlink w:anchor="_Toc1625" w:history="1">
        <w:r>
          <w:rPr>
            <w:rFonts w:ascii="IRNazanin" w:hAnsi="IRNazanin" w:eastAsia="IRNazanin" w:cs="IRNazanin"/>
            <w:color w:val="111111"/>
            <w:sz w:val="22"/>
            <w:szCs w:val="22"/>
            <w:b w:val="0"/>
            <w:bCs w:val="0"/>
            <w:i w:val="0"/>
            <w:iCs w:val="0"/>
          </w:rPr>
          <w:t>العصمة عن الخطأ فی تطبیق الشریعة و الأُمور العادیة</w:t>
        </w:r>
        <w:r>
          <w:tab/>
        </w:r>
        <w:r>
          <w:fldChar w:fldCharType="begin"/>
        </w:r>
        <w:r>
          <w:instrText xml:space="preserve">PAGEREF 1625 \h</w:instrText>
        </w:r>
        <w:r>
          <w:fldChar w:fldCharType="end"/>
        </w:r>
      </w:hyperlink>
    </w:p>
    <w:p>
      <w:pPr>
        <w:tabs>
          <w:tab w:val="right" w:leader="dot" w:pos="9062"/>
        </w:tabs>
        <w:ind w:left="660"/>
      </w:pPr>
      <w:hyperlink w:anchor="_Toc1626" w:history="1">
        <w:r>
          <w:rPr>
            <w:rFonts w:ascii="IRNazanin" w:hAnsi="IRNazanin" w:eastAsia="IRNazanin" w:cs="IRNazanin"/>
            <w:color w:val="111111"/>
            <w:sz w:val="22"/>
            <w:szCs w:val="22"/>
            <w:b w:val="0"/>
            <w:bCs w:val="0"/>
            <w:i w:val="0"/>
            <w:iCs w:val="0"/>
          </w:rPr>
          <w:t>الباب السادس : فی النبوّة الخاصة</w:t>
        </w:r>
        <w:r>
          <w:tab/>
        </w:r>
        <w:r>
          <w:fldChar w:fldCharType="begin"/>
        </w:r>
        <w:r>
          <w:instrText xml:space="preserve">PAGEREF 1626 \h</w:instrText>
        </w:r>
        <w:r>
          <w:fldChar w:fldCharType="end"/>
        </w:r>
      </w:hyperlink>
    </w:p>
    <w:p>
      <w:pPr>
        <w:tabs>
          <w:tab w:val="right" w:leader="dot" w:pos="9062"/>
        </w:tabs>
        <w:ind w:left="880"/>
      </w:pPr>
      <w:hyperlink w:anchor="_Toc16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1627 \h</w:instrText>
        </w:r>
        <w:r>
          <w:fldChar w:fldCharType="end"/>
        </w:r>
      </w:hyperlink>
    </w:p>
    <w:p>
      <w:pPr>
        <w:tabs>
          <w:tab w:val="right" w:leader="dot" w:pos="9062"/>
        </w:tabs>
        <w:ind w:left="880"/>
      </w:pPr>
      <w:hyperlink w:anchor="_Toc1628" w:history="1">
        <w:r>
          <w:rPr>
            <w:rFonts w:ascii="IRNazanin" w:hAnsi="IRNazanin" w:eastAsia="IRNazanin" w:cs="IRNazanin"/>
            <w:color w:val="111111"/>
            <w:sz w:val="22"/>
            <w:szCs w:val="22"/>
            <w:b w:val="0"/>
            <w:bCs w:val="0"/>
            <w:i w:val="0"/>
            <w:iCs w:val="0"/>
          </w:rPr>
          <w:t>تمهید</w:t>
        </w:r>
        <w:r>
          <w:tab/>
        </w:r>
        <w:r>
          <w:fldChar w:fldCharType="begin"/>
        </w:r>
        <w:r>
          <w:instrText xml:space="preserve">PAGEREF 1628 \h</w:instrText>
        </w:r>
        <w:r>
          <w:fldChar w:fldCharType="end"/>
        </w:r>
      </w:hyperlink>
    </w:p>
    <w:p>
      <w:pPr>
        <w:tabs>
          <w:tab w:val="right" w:leader="dot" w:pos="9062"/>
        </w:tabs>
        <w:ind w:left="880"/>
      </w:pPr>
      <w:hyperlink w:anchor="_Toc1629" w:history="1">
        <w:r>
          <w:rPr>
            <w:rFonts w:ascii="IRNazanin" w:hAnsi="IRNazanin" w:eastAsia="IRNazanin" w:cs="IRNazanin"/>
            <w:color w:val="111111"/>
            <w:sz w:val="22"/>
            <w:szCs w:val="22"/>
            <w:b w:val="0"/>
            <w:bCs w:val="0"/>
            <w:i w:val="0"/>
            <w:iCs w:val="0"/>
          </w:rPr>
          <w:t>الفصل الأوّل : الإعجاز البیانی للقرآن الکریم</w:t>
        </w:r>
        <w:r>
          <w:tab/>
        </w:r>
        <w:r>
          <w:fldChar w:fldCharType="begin"/>
        </w:r>
        <w:r>
          <w:instrText xml:space="preserve">PAGEREF 1629 \h</w:instrText>
        </w:r>
        <w:r>
          <w:fldChar w:fldCharType="end"/>
        </w:r>
      </w:hyperlink>
    </w:p>
    <w:p>
      <w:pPr>
        <w:tabs>
          <w:tab w:val="right" w:leader="dot" w:pos="9062"/>
        </w:tabs>
        <w:ind w:left="1100"/>
      </w:pPr>
      <w:hyperlink w:anchor="_Toc16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1630 \h</w:instrText>
        </w:r>
        <w:r>
          <w:fldChar w:fldCharType="end"/>
        </w:r>
      </w:hyperlink>
    </w:p>
    <w:p>
      <w:pPr>
        <w:tabs>
          <w:tab w:val="right" w:leader="dot" w:pos="9062"/>
        </w:tabs>
        <w:ind w:left="1100"/>
      </w:pPr>
      <w:hyperlink w:anchor="_Toc1631" w:history="1">
        <w:r>
          <w:rPr>
            <w:rFonts w:ascii="IRNazanin" w:hAnsi="IRNazanin" w:eastAsia="IRNazanin" w:cs="IRNazanin"/>
            <w:color w:val="111111"/>
            <w:sz w:val="22"/>
            <w:szCs w:val="22"/>
            <w:b w:val="0"/>
            <w:bCs w:val="0"/>
            <w:i w:val="0"/>
            <w:iCs w:val="0"/>
          </w:rPr>
          <w:t>اعتراف بلغاء العرب بإعجاز القرآن البیانی</w:t>
        </w:r>
        <w:r>
          <w:tab/>
        </w:r>
        <w:r>
          <w:fldChar w:fldCharType="begin"/>
        </w:r>
        <w:r>
          <w:instrText xml:space="preserve">PAGEREF 1631 \h</w:instrText>
        </w:r>
        <w:r>
          <w:fldChar w:fldCharType="end"/>
        </w:r>
      </w:hyperlink>
    </w:p>
    <w:p>
      <w:pPr>
        <w:tabs>
          <w:tab w:val="right" w:leader="dot" w:pos="9062"/>
        </w:tabs>
        <w:ind w:left="880"/>
      </w:pPr>
      <w:hyperlink w:anchor="_Toc1632" w:history="1">
        <w:r>
          <w:rPr>
            <w:rFonts w:ascii="IRNazanin" w:hAnsi="IRNazanin" w:eastAsia="IRNazanin" w:cs="IRNazanin"/>
            <w:color w:val="111111"/>
            <w:sz w:val="22"/>
            <w:szCs w:val="22"/>
            <w:b w:val="0"/>
            <w:bCs w:val="0"/>
            <w:i w:val="0"/>
            <w:iCs w:val="0"/>
          </w:rPr>
          <w:t>الفصل الثانی : إعجاز القرآن من جهات أُخری</w:t>
        </w:r>
        <w:r>
          <w:tab/>
        </w:r>
        <w:r>
          <w:fldChar w:fldCharType="begin"/>
        </w:r>
        <w:r>
          <w:instrText xml:space="preserve">PAGEREF 1632 \h</w:instrText>
        </w:r>
        <w:r>
          <w:fldChar w:fldCharType="end"/>
        </w:r>
      </w:hyperlink>
    </w:p>
    <w:p>
      <w:pPr>
        <w:tabs>
          <w:tab w:val="right" w:leader="dot" w:pos="9062"/>
        </w:tabs>
        <w:ind w:left="1100"/>
      </w:pPr>
      <w:hyperlink w:anchor="_Toc16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1633 \h</w:instrText>
        </w:r>
        <w:r>
          <w:fldChar w:fldCharType="end"/>
        </w:r>
      </w:hyperlink>
    </w:p>
    <w:p>
      <w:pPr>
        <w:tabs>
          <w:tab w:val="right" w:leader="dot" w:pos="9062"/>
        </w:tabs>
        <w:ind w:left="1100"/>
      </w:pPr>
      <w:hyperlink w:anchor="_Toc1634" w:history="1">
        <w:r>
          <w:rPr>
            <w:rFonts w:ascii="IRNazanin" w:hAnsi="IRNazanin" w:eastAsia="IRNazanin" w:cs="IRNazanin"/>
            <w:color w:val="111111"/>
            <w:sz w:val="22"/>
            <w:szCs w:val="22"/>
            <w:b w:val="0"/>
            <w:bCs w:val="0"/>
            <w:i w:val="0"/>
            <w:iCs w:val="0"/>
          </w:rPr>
          <w:t>1. عدم التناقض و الاختلاف</w:t>
        </w:r>
        <w:r>
          <w:tab/>
        </w:r>
        <w:r>
          <w:fldChar w:fldCharType="begin"/>
        </w:r>
        <w:r>
          <w:instrText xml:space="preserve">PAGEREF 1634 \h</w:instrText>
        </w:r>
        <w:r>
          <w:fldChar w:fldCharType="end"/>
        </w:r>
      </w:hyperlink>
    </w:p>
    <w:p>
      <w:pPr>
        <w:tabs>
          <w:tab w:val="right" w:leader="dot" w:pos="9062"/>
        </w:tabs>
        <w:ind w:left="1100"/>
      </w:pPr>
      <w:hyperlink w:anchor="_Toc1635" w:history="1">
        <w:r>
          <w:rPr>
            <w:rFonts w:ascii="IRNazanin" w:hAnsi="IRNazanin" w:eastAsia="IRNazanin" w:cs="IRNazanin"/>
            <w:color w:val="111111"/>
            <w:sz w:val="22"/>
            <w:szCs w:val="22"/>
            <w:b w:val="0"/>
            <w:bCs w:val="0"/>
            <w:i w:val="0"/>
            <w:iCs w:val="0"/>
          </w:rPr>
          <w:t>2. الإخبار عن الغیب</w:t>
        </w:r>
        <w:r>
          <w:tab/>
        </w:r>
        <w:r>
          <w:fldChar w:fldCharType="begin"/>
        </w:r>
        <w:r>
          <w:instrText xml:space="preserve">PAGEREF 1635 \h</w:instrText>
        </w:r>
        <w:r>
          <w:fldChar w:fldCharType="end"/>
        </w:r>
      </w:hyperlink>
    </w:p>
    <w:p>
      <w:pPr>
        <w:tabs>
          <w:tab w:val="right" w:leader="dot" w:pos="9062"/>
        </w:tabs>
        <w:ind w:left="1100"/>
      </w:pPr>
      <w:hyperlink w:anchor="_Toc1636" w:history="1">
        <w:r>
          <w:rPr>
            <w:rFonts w:ascii="IRNazanin" w:hAnsi="IRNazanin" w:eastAsia="IRNazanin" w:cs="IRNazanin"/>
            <w:color w:val="111111"/>
            <w:sz w:val="22"/>
            <w:szCs w:val="22"/>
            <w:b w:val="0"/>
            <w:bCs w:val="0"/>
            <w:i w:val="0"/>
            <w:iCs w:val="0"/>
          </w:rPr>
          <w:t>3. الإخبار عن القوانین الکونیة</w:t>
        </w:r>
        <w:r>
          <w:tab/>
        </w:r>
        <w:r>
          <w:fldChar w:fldCharType="begin"/>
        </w:r>
        <w:r>
          <w:instrText xml:space="preserve">PAGEREF 1636 \h</w:instrText>
        </w:r>
        <w:r>
          <w:fldChar w:fldCharType="end"/>
        </w:r>
      </w:hyperlink>
    </w:p>
    <w:p>
      <w:pPr>
        <w:tabs>
          <w:tab w:val="right" w:leader="dot" w:pos="9062"/>
        </w:tabs>
        <w:ind w:left="1100"/>
      </w:pPr>
      <w:hyperlink w:anchor="_Toc1637" w:history="1">
        <w:r>
          <w:rPr>
            <w:rFonts w:ascii="IRNazanin" w:hAnsi="IRNazanin" w:eastAsia="IRNazanin" w:cs="IRNazanin"/>
            <w:color w:val="111111"/>
            <w:sz w:val="22"/>
            <w:szCs w:val="22"/>
            <w:b w:val="0"/>
            <w:bCs w:val="0"/>
            <w:i w:val="0"/>
            <w:iCs w:val="0"/>
          </w:rPr>
          <w:t>4. الجامعیّة فی التشریع</w:t>
        </w:r>
        <w:r>
          <w:tab/>
        </w:r>
        <w:r>
          <w:fldChar w:fldCharType="begin"/>
        </w:r>
        <w:r>
          <w:instrText xml:space="preserve">PAGEREF 1637 \h</w:instrText>
        </w:r>
        <w:r>
          <w:fldChar w:fldCharType="end"/>
        </w:r>
      </w:hyperlink>
    </w:p>
    <w:p>
      <w:pPr>
        <w:tabs>
          <w:tab w:val="right" w:leader="dot" w:pos="9062"/>
        </w:tabs>
        <w:ind w:left="1100"/>
      </w:pPr>
      <w:hyperlink w:anchor="_Toc1638" w:history="1">
        <w:r>
          <w:rPr>
            <w:rFonts w:ascii="IRNazanin" w:hAnsi="IRNazanin" w:eastAsia="IRNazanin" w:cs="IRNazanin"/>
            <w:color w:val="111111"/>
            <w:sz w:val="22"/>
            <w:szCs w:val="22"/>
            <w:b w:val="0"/>
            <w:bCs w:val="0"/>
            <w:i w:val="0"/>
            <w:iCs w:val="0"/>
          </w:rPr>
          <w:t>5. أُمّیّة حامل الرسالة</w:t>
        </w:r>
        <w:r>
          <w:tab/>
        </w:r>
        <w:r>
          <w:fldChar w:fldCharType="begin"/>
        </w:r>
        <w:r>
          <w:instrText xml:space="preserve">PAGEREF 1638 \h</w:instrText>
        </w:r>
        <w:r>
          <w:fldChar w:fldCharType="end"/>
        </w:r>
      </w:hyperlink>
    </w:p>
    <w:p>
      <w:pPr>
        <w:tabs>
          <w:tab w:val="right" w:leader="dot" w:pos="9062"/>
        </w:tabs>
        <w:ind w:left="880"/>
      </w:pPr>
      <w:hyperlink w:anchor="_Toc1639" w:history="1">
        <w:r>
          <w:rPr>
            <w:rFonts w:ascii="IRNazanin" w:hAnsi="IRNazanin" w:eastAsia="IRNazanin" w:cs="IRNazanin"/>
            <w:color w:val="111111"/>
            <w:sz w:val="22"/>
            <w:szCs w:val="22"/>
            <w:b w:val="0"/>
            <w:bCs w:val="0"/>
            <w:i w:val="0"/>
            <w:iCs w:val="0"/>
          </w:rPr>
          <w:t>الفصل الثالث : الخاتمیة فی ضوء العقل و الوحی</w:t>
        </w:r>
        <w:r>
          <w:tab/>
        </w:r>
        <w:r>
          <w:fldChar w:fldCharType="begin"/>
        </w:r>
        <w:r>
          <w:instrText xml:space="preserve">PAGEREF 1639 \h</w:instrText>
        </w:r>
        <w:r>
          <w:fldChar w:fldCharType="end"/>
        </w:r>
      </w:hyperlink>
    </w:p>
    <w:p>
      <w:pPr>
        <w:tabs>
          <w:tab w:val="right" w:leader="dot" w:pos="9062"/>
        </w:tabs>
        <w:ind w:left="1100"/>
      </w:pPr>
      <w:hyperlink w:anchor="_Toc16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1640 \h</w:instrText>
        </w:r>
        <w:r>
          <w:fldChar w:fldCharType="end"/>
        </w:r>
      </w:hyperlink>
    </w:p>
    <w:p>
      <w:pPr>
        <w:tabs>
          <w:tab w:val="right" w:leader="dot" w:pos="9062"/>
        </w:tabs>
        <w:ind w:left="1100"/>
      </w:pPr>
      <w:hyperlink w:anchor="_Toc1641" w:history="1">
        <w:r>
          <w:rPr>
            <w:rFonts w:ascii="IRNazanin" w:hAnsi="IRNazanin" w:eastAsia="IRNazanin" w:cs="IRNazanin"/>
            <w:color w:val="111111"/>
            <w:sz w:val="22"/>
            <w:szCs w:val="22"/>
            <w:b w:val="0"/>
            <w:bCs w:val="0"/>
            <w:i w:val="0"/>
            <w:iCs w:val="0"/>
          </w:rPr>
          <w:t>شبهة واهیة</w:t>
        </w:r>
        <w:r>
          <w:tab/>
        </w:r>
        <w:r>
          <w:fldChar w:fldCharType="begin"/>
        </w:r>
        <w:r>
          <w:instrText xml:space="preserve">PAGEREF 1641 \h</w:instrText>
        </w:r>
        <w:r>
          <w:fldChar w:fldCharType="end"/>
        </w:r>
      </w:hyperlink>
    </w:p>
    <w:p>
      <w:pPr>
        <w:tabs>
          <w:tab w:val="right" w:leader="dot" w:pos="9062"/>
        </w:tabs>
        <w:ind w:left="1100"/>
      </w:pPr>
      <w:hyperlink w:anchor="_Toc1642" w:history="1">
        <w:r>
          <w:rPr>
            <w:rFonts w:ascii="IRNazanin" w:hAnsi="IRNazanin" w:eastAsia="IRNazanin" w:cs="IRNazanin"/>
            <w:color w:val="111111"/>
            <w:sz w:val="22"/>
            <w:szCs w:val="22"/>
            <w:b w:val="0"/>
            <w:bCs w:val="0"/>
            <w:i w:val="0"/>
            <w:iCs w:val="0"/>
          </w:rPr>
          <w:t>الخاتمیة و خلود التشریع الإسلامی</w:t>
        </w:r>
        <w:r>
          <w:tab/>
        </w:r>
        <w:r>
          <w:fldChar w:fldCharType="begin"/>
        </w:r>
        <w:r>
          <w:instrText xml:space="preserve">PAGEREF 1642 \h</w:instrText>
        </w:r>
        <w:r>
          <w:fldChar w:fldCharType="end"/>
        </w:r>
      </w:hyperlink>
    </w:p>
    <w:p>
      <w:pPr>
        <w:tabs>
          <w:tab w:val="right" w:leader="dot" w:pos="9062"/>
        </w:tabs>
        <w:ind w:left="1100"/>
      </w:pPr>
      <w:hyperlink w:anchor="_Toc16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1643 \h</w:instrText>
        </w:r>
        <w:r>
          <w:fldChar w:fldCharType="end"/>
        </w:r>
      </w:hyperlink>
    </w:p>
    <w:p>
      <w:pPr>
        <w:tabs>
          <w:tab w:val="right" w:leader="dot" w:pos="9062"/>
        </w:tabs>
        <w:ind w:left="1100"/>
      </w:pPr>
      <w:hyperlink w:anchor="_Toc1644" w:history="1">
        <w:r>
          <w:rPr>
            <w:rFonts w:ascii="IRNazanin" w:hAnsi="IRNazanin" w:eastAsia="IRNazanin" w:cs="IRNazanin"/>
            <w:color w:val="111111"/>
            <w:sz w:val="22"/>
            <w:szCs w:val="22"/>
            <w:b w:val="0"/>
            <w:bCs w:val="0"/>
            <w:i w:val="0"/>
            <w:iCs w:val="0"/>
          </w:rPr>
          <w:t>1. حجیّة العقل فی مجالات خاصّة</w:t>
        </w:r>
        <w:r>
          <w:tab/>
        </w:r>
        <w:r>
          <w:fldChar w:fldCharType="begin"/>
        </w:r>
        <w:r>
          <w:instrText xml:space="preserve">PAGEREF 1644 \h</w:instrText>
        </w:r>
        <w:r>
          <w:fldChar w:fldCharType="end"/>
        </w:r>
      </w:hyperlink>
    </w:p>
    <w:p>
      <w:pPr>
        <w:tabs>
          <w:tab w:val="right" w:leader="dot" w:pos="9062"/>
        </w:tabs>
        <w:ind w:left="1100"/>
      </w:pPr>
      <w:hyperlink w:anchor="_Toc1645" w:history="1">
        <w:r>
          <w:rPr>
            <w:rFonts w:ascii="IRNazanin" w:hAnsi="IRNazanin" w:eastAsia="IRNazanin" w:cs="IRNazanin"/>
            <w:color w:val="111111"/>
            <w:sz w:val="22"/>
            <w:szCs w:val="22"/>
            <w:b w:val="0"/>
            <w:bCs w:val="0"/>
            <w:i w:val="0"/>
            <w:iCs w:val="0"/>
          </w:rPr>
          <w:t>2. تشریع الاجتهاد</w:t>
        </w:r>
        <w:r>
          <w:tab/>
        </w:r>
        <w:r>
          <w:fldChar w:fldCharType="begin"/>
        </w:r>
        <w:r>
          <w:instrText xml:space="preserve">PAGEREF 1645 \h</w:instrText>
        </w:r>
        <w:r>
          <w:fldChar w:fldCharType="end"/>
        </w:r>
      </w:hyperlink>
    </w:p>
    <w:p>
      <w:pPr>
        <w:tabs>
          <w:tab w:val="right" w:leader="dot" w:pos="9062"/>
        </w:tabs>
        <w:ind w:left="1100"/>
      </w:pPr>
      <w:hyperlink w:anchor="_Toc1646" w:history="1">
        <w:r>
          <w:rPr>
            <w:rFonts w:ascii="IRNazanin" w:hAnsi="IRNazanin" w:eastAsia="IRNazanin" w:cs="IRNazanin"/>
            <w:color w:val="111111"/>
            <w:sz w:val="22"/>
            <w:szCs w:val="22"/>
            <w:b w:val="0"/>
            <w:bCs w:val="0"/>
            <w:i w:val="0"/>
            <w:iCs w:val="0"/>
          </w:rPr>
          <w:t>3. صلاحیات الحاکم الإسلامی و شئونه</w:t>
        </w:r>
        <w:r>
          <w:tab/>
        </w:r>
        <w:r>
          <w:fldChar w:fldCharType="begin"/>
        </w:r>
        <w:r>
          <w:instrText xml:space="preserve">PAGEREF 1646 \h</w:instrText>
        </w:r>
        <w:r>
          <w:fldChar w:fldCharType="end"/>
        </w:r>
      </w:hyperlink>
    </w:p>
    <w:p>
      <w:pPr>
        <w:tabs>
          <w:tab w:val="right" w:leader="dot" w:pos="9062"/>
        </w:tabs>
        <w:ind w:left="1100"/>
      </w:pPr>
      <w:hyperlink w:anchor="_Toc1647" w:history="1">
        <w:r>
          <w:rPr>
            <w:rFonts w:ascii="IRNazanin" w:hAnsi="IRNazanin" w:eastAsia="IRNazanin" w:cs="IRNazanin"/>
            <w:color w:val="111111"/>
            <w:sz w:val="22"/>
            <w:szCs w:val="22"/>
            <w:b w:val="0"/>
            <w:bCs w:val="0"/>
            <w:i w:val="0"/>
            <w:iCs w:val="0"/>
          </w:rPr>
          <w:t>4. الأحکام الّتی لها دور التحدید</w:t>
        </w:r>
        <w:r>
          <w:tab/>
        </w:r>
        <w:r>
          <w:fldChar w:fldCharType="begin"/>
        </w:r>
        <w:r>
          <w:instrText xml:space="preserve">PAGEREF 1647 \h</w:instrText>
        </w:r>
        <w:r>
          <w:fldChar w:fldCharType="end"/>
        </w:r>
      </w:hyperlink>
    </w:p>
    <w:p>
      <w:pPr>
        <w:tabs>
          <w:tab w:val="right" w:leader="dot" w:pos="9062"/>
        </w:tabs>
        <w:ind w:left="1100"/>
      </w:pPr>
      <w:hyperlink w:anchor="_Toc1648" w:history="1">
        <w:r>
          <w:rPr>
            <w:rFonts w:ascii="IRNazanin" w:hAnsi="IRNazanin" w:eastAsia="IRNazanin" w:cs="IRNazanin"/>
            <w:color w:val="111111"/>
            <w:sz w:val="22"/>
            <w:szCs w:val="22"/>
            <w:b w:val="0"/>
            <w:bCs w:val="0"/>
            <w:i w:val="0"/>
            <w:iCs w:val="0"/>
          </w:rPr>
          <w:t>5. الاعتدال فی التشریع</w:t>
        </w:r>
        <w:r>
          <w:tab/>
        </w:r>
        <w:r>
          <w:fldChar w:fldCharType="begin"/>
        </w:r>
        <w:r>
          <w:instrText xml:space="preserve">PAGEREF 1648 \h</w:instrText>
        </w:r>
        <w:r>
          <w:fldChar w:fldCharType="end"/>
        </w:r>
      </w:hyperlink>
    </w:p>
    <w:p>
      <w:pPr>
        <w:tabs>
          <w:tab w:val="right" w:leader="dot" w:pos="9062"/>
        </w:tabs>
        <w:ind w:left="660"/>
      </w:pPr>
      <w:hyperlink w:anchor="_Toc1649" w:history="1">
        <w:r>
          <w:rPr>
            <w:rFonts w:ascii="IRNazanin" w:hAnsi="IRNazanin" w:eastAsia="IRNazanin" w:cs="IRNazanin"/>
            <w:color w:val="111111"/>
            <w:sz w:val="22"/>
            <w:szCs w:val="22"/>
            <w:b w:val="0"/>
            <w:bCs w:val="0"/>
            <w:i w:val="0"/>
            <w:iCs w:val="0"/>
          </w:rPr>
          <w:t>الباب السابع : فی الإمامة و الخلافة</w:t>
        </w:r>
        <w:r>
          <w:tab/>
        </w:r>
        <w:r>
          <w:fldChar w:fldCharType="begin"/>
        </w:r>
        <w:r>
          <w:instrText xml:space="preserve">PAGEREF 1649 \h</w:instrText>
        </w:r>
        <w:r>
          <w:fldChar w:fldCharType="end"/>
        </w:r>
      </w:hyperlink>
    </w:p>
    <w:p>
      <w:pPr>
        <w:tabs>
          <w:tab w:val="right" w:leader="dot" w:pos="9062"/>
        </w:tabs>
        <w:ind w:left="880"/>
      </w:pPr>
      <w:hyperlink w:anchor="_Toc16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1650 \h</w:instrText>
        </w:r>
        <w:r>
          <w:fldChar w:fldCharType="end"/>
        </w:r>
      </w:hyperlink>
    </w:p>
    <w:p>
      <w:pPr>
        <w:tabs>
          <w:tab w:val="right" w:leader="dot" w:pos="9062"/>
        </w:tabs>
        <w:ind w:left="880"/>
      </w:pPr>
      <w:hyperlink w:anchor="_Toc1651" w:history="1">
        <w:r>
          <w:rPr>
            <w:rFonts w:ascii="IRNazanin" w:hAnsi="IRNazanin" w:eastAsia="IRNazanin" w:cs="IRNazanin"/>
            <w:color w:val="111111"/>
            <w:sz w:val="22"/>
            <w:szCs w:val="22"/>
            <w:b w:val="0"/>
            <w:bCs w:val="0"/>
            <w:i w:val="0"/>
            <w:iCs w:val="0"/>
          </w:rPr>
          <w:t>الفصل الأوّل : لما ذا نبحث عن الإمامة؟</w:t>
        </w:r>
        <w:r>
          <w:tab/>
        </w:r>
        <w:r>
          <w:fldChar w:fldCharType="begin"/>
        </w:r>
        <w:r>
          <w:instrText xml:space="preserve">PAGEREF 1651 \h</w:instrText>
        </w:r>
        <w:r>
          <w:fldChar w:fldCharType="end"/>
        </w:r>
      </w:hyperlink>
    </w:p>
    <w:p>
      <w:pPr>
        <w:tabs>
          <w:tab w:val="right" w:leader="dot" w:pos="9062"/>
        </w:tabs>
        <w:ind w:left="880"/>
      </w:pPr>
      <w:hyperlink w:anchor="_Toc1652" w:history="1">
        <w:r>
          <w:rPr>
            <w:rFonts w:ascii="IRNazanin" w:hAnsi="IRNazanin" w:eastAsia="IRNazanin" w:cs="IRNazanin"/>
            <w:color w:val="111111"/>
            <w:sz w:val="22"/>
            <w:szCs w:val="22"/>
            <w:b w:val="0"/>
            <w:bCs w:val="0"/>
            <w:i w:val="0"/>
            <w:iCs w:val="0"/>
          </w:rPr>
          <w:t>الفصل الثانی : حقیقة الإمامة عند الشیعة و أهل السنّة</w:t>
        </w:r>
        <w:r>
          <w:tab/>
        </w:r>
        <w:r>
          <w:fldChar w:fldCharType="begin"/>
        </w:r>
        <w:r>
          <w:instrText xml:space="preserve">PAGEREF 1652 \h</w:instrText>
        </w:r>
        <w:r>
          <w:fldChar w:fldCharType="end"/>
        </w:r>
      </w:hyperlink>
    </w:p>
    <w:p>
      <w:pPr>
        <w:tabs>
          <w:tab w:val="right" w:leader="dot" w:pos="9062"/>
        </w:tabs>
        <w:ind w:left="1100"/>
      </w:pPr>
      <w:hyperlink w:anchor="_Toc16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1653 \h</w:instrText>
        </w:r>
        <w:r>
          <w:fldChar w:fldCharType="end"/>
        </w:r>
      </w:hyperlink>
    </w:p>
    <w:p>
      <w:pPr>
        <w:tabs>
          <w:tab w:val="right" w:leader="dot" w:pos="9062"/>
        </w:tabs>
        <w:ind w:left="1100"/>
      </w:pPr>
      <w:hyperlink w:anchor="_Toc1654" w:history="1">
        <w:r>
          <w:rPr>
            <w:rFonts w:ascii="IRNazanin" w:hAnsi="IRNazanin" w:eastAsia="IRNazanin" w:cs="IRNazanin"/>
            <w:color w:val="111111"/>
            <w:sz w:val="22"/>
            <w:szCs w:val="22"/>
            <w:b w:val="0"/>
            <w:bCs w:val="0"/>
            <w:i w:val="0"/>
            <w:iCs w:val="0"/>
          </w:rPr>
          <w:t>مؤهِّلات الإمام و صفاته</w:t>
        </w:r>
        <w:r>
          <w:tab/>
        </w:r>
        <w:r>
          <w:fldChar w:fldCharType="begin"/>
        </w:r>
        <w:r>
          <w:instrText xml:space="preserve">PAGEREF 1654 \h</w:instrText>
        </w:r>
        <w:r>
          <w:fldChar w:fldCharType="end"/>
        </w:r>
      </w:hyperlink>
    </w:p>
    <w:p>
      <w:pPr>
        <w:tabs>
          <w:tab w:val="right" w:leader="dot" w:pos="9062"/>
        </w:tabs>
        <w:ind w:left="880"/>
      </w:pPr>
      <w:hyperlink w:anchor="_Toc1655" w:history="1">
        <w:r>
          <w:rPr>
            <w:rFonts w:ascii="IRNazanin" w:hAnsi="IRNazanin" w:eastAsia="IRNazanin" w:cs="IRNazanin"/>
            <w:color w:val="111111"/>
            <w:sz w:val="22"/>
            <w:szCs w:val="22"/>
            <w:b w:val="0"/>
            <w:bCs w:val="0"/>
            <w:i w:val="0"/>
            <w:iCs w:val="0"/>
          </w:rPr>
          <w:t>الفصل الثالث : طرق إثبات الإمامة عند أهل السنّة</w:t>
        </w:r>
        <w:r>
          <w:tab/>
        </w:r>
        <w:r>
          <w:fldChar w:fldCharType="begin"/>
        </w:r>
        <w:r>
          <w:instrText xml:space="preserve">PAGEREF 1655 \h</w:instrText>
        </w:r>
        <w:r>
          <w:fldChar w:fldCharType="end"/>
        </w:r>
      </w:hyperlink>
    </w:p>
    <w:p>
      <w:pPr>
        <w:tabs>
          <w:tab w:val="right" w:leader="dot" w:pos="9062"/>
        </w:tabs>
        <w:ind w:left="1100"/>
      </w:pPr>
      <w:hyperlink w:anchor="_Toc16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1656 \h</w:instrText>
        </w:r>
        <w:r>
          <w:fldChar w:fldCharType="end"/>
        </w:r>
      </w:hyperlink>
    </w:p>
    <w:p>
      <w:pPr>
        <w:tabs>
          <w:tab w:val="right" w:leader="dot" w:pos="9062"/>
        </w:tabs>
        <w:ind w:left="1100"/>
      </w:pPr>
      <w:hyperlink w:anchor="_Toc1657" w:history="1">
        <w:r>
          <w:rPr>
            <w:rFonts w:ascii="IRNazanin" w:hAnsi="IRNazanin" w:eastAsia="IRNazanin" w:cs="IRNazanin"/>
            <w:color w:val="111111"/>
            <w:sz w:val="22"/>
            <w:szCs w:val="22"/>
            <w:b w:val="0"/>
            <w:bCs w:val="0"/>
            <w:i w:val="0"/>
            <w:iCs w:val="0"/>
          </w:rPr>
          <w:t>تصوّر النبیّ الأکرم للقیادة بعده</w:t>
        </w:r>
        <w:r>
          <w:tab/>
        </w:r>
        <w:r>
          <w:fldChar w:fldCharType="begin"/>
        </w:r>
        <w:r>
          <w:instrText xml:space="preserve">PAGEREF 1657 \h</w:instrText>
        </w:r>
        <w:r>
          <w:fldChar w:fldCharType="end"/>
        </w:r>
      </w:hyperlink>
    </w:p>
    <w:p>
      <w:pPr>
        <w:tabs>
          <w:tab w:val="right" w:leader="dot" w:pos="9062"/>
        </w:tabs>
        <w:ind w:left="880"/>
      </w:pPr>
      <w:hyperlink w:anchor="_Toc1658" w:history="1">
        <w:r>
          <w:rPr>
            <w:rFonts w:ascii="IRNazanin" w:hAnsi="IRNazanin" w:eastAsia="IRNazanin" w:cs="IRNazanin"/>
            <w:color w:val="111111"/>
            <w:sz w:val="22"/>
            <w:szCs w:val="22"/>
            <w:b w:val="0"/>
            <w:bCs w:val="0"/>
            <w:i w:val="0"/>
            <w:iCs w:val="0"/>
          </w:rPr>
          <w:t>الفصل الرابع : أدلة وجوب النصّ فی الإمامة عند الشیعة الإمامیة</w:t>
        </w:r>
        <w:r>
          <w:tab/>
        </w:r>
        <w:r>
          <w:fldChar w:fldCharType="begin"/>
        </w:r>
        <w:r>
          <w:instrText xml:space="preserve">PAGEREF 1658 \h</w:instrText>
        </w:r>
        <w:r>
          <w:fldChar w:fldCharType="end"/>
        </w:r>
      </w:hyperlink>
    </w:p>
    <w:p>
      <w:pPr>
        <w:tabs>
          <w:tab w:val="right" w:leader="dot" w:pos="9062"/>
        </w:tabs>
        <w:ind w:left="1100"/>
      </w:pPr>
      <w:hyperlink w:anchor="_Toc16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1659 \h</w:instrText>
        </w:r>
        <w:r>
          <w:fldChar w:fldCharType="end"/>
        </w:r>
      </w:hyperlink>
    </w:p>
    <w:p>
      <w:pPr>
        <w:tabs>
          <w:tab w:val="right" w:leader="dot" w:pos="9062"/>
        </w:tabs>
        <w:ind w:left="1100"/>
      </w:pPr>
      <w:hyperlink w:anchor="_Toc1660" w:history="1">
        <w:r>
          <w:rPr>
            <w:rFonts w:ascii="IRNazanin" w:hAnsi="IRNazanin" w:eastAsia="IRNazanin" w:cs="IRNazanin"/>
            <w:color w:val="111111"/>
            <w:sz w:val="22"/>
            <w:szCs w:val="22"/>
            <w:b w:val="0"/>
            <w:bCs w:val="0"/>
            <w:i w:val="0"/>
            <w:iCs w:val="0"/>
          </w:rPr>
          <w:t>أ) الفراغات الهائلة بعد النبیّ صلی الله علیه و آله فی مجالات أربعة</w:t>
        </w:r>
        <w:r>
          <w:tab/>
        </w:r>
        <w:r>
          <w:fldChar w:fldCharType="begin"/>
        </w:r>
        <w:r>
          <w:instrText xml:space="preserve">PAGEREF 1660 \h</w:instrText>
        </w:r>
        <w:r>
          <w:fldChar w:fldCharType="end"/>
        </w:r>
      </w:hyperlink>
    </w:p>
    <w:p>
      <w:pPr>
        <w:tabs>
          <w:tab w:val="right" w:leader="dot" w:pos="9062"/>
        </w:tabs>
        <w:ind w:left="1100"/>
      </w:pPr>
      <w:hyperlink w:anchor="_Toc1661" w:history="1">
        <w:r>
          <w:rPr>
            <w:rFonts w:ascii="IRNazanin" w:hAnsi="IRNazanin" w:eastAsia="IRNazanin" w:cs="IRNazanin"/>
            <w:color w:val="111111"/>
            <w:sz w:val="22"/>
            <w:szCs w:val="22"/>
            <w:b w:val="0"/>
            <w:bCs w:val="0"/>
            <w:i w:val="0"/>
            <w:iCs w:val="0"/>
          </w:rPr>
          <w:t>ب) الأُمّة الإسلامیة و مثلث الخطر الدّاهم</w:t>
        </w:r>
        <w:r>
          <w:tab/>
        </w:r>
        <w:r>
          <w:fldChar w:fldCharType="begin"/>
        </w:r>
        <w:r>
          <w:instrText xml:space="preserve">PAGEREF 1661 \h</w:instrText>
        </w:r>
        <w:r>
          <w:fldChar w:fldCharType="end"/>
        </w:r>
      </w:hyperlink>
    </w:p>
    <w:p>
      <w:pPr>
        <w:tabs>
          <w:tab w:val="right" w:leader="dot" w:pos="9062"/>
        </w:tabs>
        <w:ind w:left="1100"/>
      </w:pPr>
      <w:hyperlink w:anchor="_Toc1662" w:history="1">
        <w:r>
          <w:rPr>
            <w:rFonts w:ascii="IRNazanin" w:hAnsi="IRNazanin" w:eastAsia="IRNazanin" w:cs="IRNazanin"/>
            <w:color w:val="111111"/>
            <w:sz w:val="22"/>
            <w:szCs w:val="22"/>
            <w:b w:val="0"/>
            <w:bCs w:val="0"/>
            <w:i w:val="0"/>
            <w:iCs w:val="0"/>
          </w:rPr>
          <w:t>ج) نصب الإمام لطف إلهی</w:t>
        </w:r>
        <w:r>
          <w:tab/>
        </w:r>
        <w:r>
          <w:fldChar w:fldCharType="begin"/>
        </w:r>
        <w:r>
          <w:instrText xml:space="preserve">PAGEREF 1662 \h</w:instrText>
        </w:r>
        <w:r>
          <w:fldChar w:fldCharType="end"/>
        </w:r>
      </w:hyperlink>
    </w:p>
    <w:p>
      <w:pPr>
        <w:tabs>
          <w:tab w:val="right" w:leader="dot" w:pos="9062"/>
        </w:tabs>
        <w:ind w:left="880"/>
      </w:pPr>
      <w:hyperlink w:anchor="_Toc1663" w:history="1">
        <w:r>
          <w:rPr>
            <w:rFonts w:ascii="IRNazanin" w:hAnsi="IRNazanin" w:eastAsia="IRNazanin" w:cs="IRNazanin"/>
            <w:color w:val="111111"/>
            <w:sz w:val="22"/>
            <w:szCs w:val="22"/>
            <w:b w:val="0"/>
            <w:bCs w:val="0"/>
            <w:i w:val="0"/>
            <w:iCs w:val="0"/>
          </w:rPr>
          <w:t>الفصل الخامس : وجوب العصمة فی الإمام</w:t>
        </w:r>
        <w:r>
          <w:tab/>
        </w:r>
        <w:r>
          <w:fldChar w:fldCharType="begin"/>
        </w:r>
        <w:r>
          <w:instrText xml:space="preserve">PAGEREF 1663 \h</w:instrText>
        </w:r>
        <w:r>
          <w:fldChar w:fldCharType="end"/>
        </w:r>
      </w:hyperlink>
    </w:p>
    <w:p>
      <w:pPr>
        <w:tabs>
          <w:tab w:val="right" w:leader="dot" w:pos="9062"/>
        </w:tabs>
        <w:ind w:left="1100"/>
      </w:pPr>
      <w:hyperlink w:anchor="_Toc16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1664 \h</w:instrText>
        </w:r>
        <w:r>
          <w:fldChar w:fldCharType="end"/>
        </w:r>
      </w:hyperlink>
    </w:p>
    <w:p>
      <w:pPr>
        <w:tabs>
          <w:tab w:val="right" w:leader="dot" w:pos="9062"/>
        </w:tabs>
        <w:ind w:left="1100"/>
      </w:pPr>
      <w:hyperlink w:anchor="_Toc1665" w:history="1">
        <w:r>
          <w:rPr>
            <w:rFonts w:ascii="IRNazanin" w:hAnsi="IRNazanin" w:eastAsia="IRNazanin" w:cs="IRNazanin"/>
            <w:color w:val="111111"/>
            <w:sz w:val="22"/>
            <w:szCs w:val="22"/>
            <w:b w:val="0"/>
            <w:bCs w:val="0"/>
            <w:i w:val="0"/>
            <w:iCs w:val="0"/>
          </w:rPr>
          <w:t>1. الإمام حافظ للشریعة کالنبیّ صلی الله علیه و آله</w:t>
        </w:r>
        <w:r>
          <w:tab/>
        </w:r>
        <w:r>
          <w:fldChar w:fldCharType="begin"/>
        </w:r>
        <w:r>
          <w:instrText xml:space="preserve">PAGEREF 1665 \h</w:instrText>
        </w:r>
        <w:r>
          <w:fldChar w:fldCharType="end"/>
        </w:r>
      </w:hyperlink>
    </w:p>
    <w:p>
      <w:pPr>
        <w:tabs>
          <w:tab w:val="right" w:leader="dot" w:pos="9062"/>
        </w:tabs>
        <w:ind w:left="1100"/>
      </w:pPr>
      <w:hyperlink w:anchor="_Toc1666" w:history="1">
        <w:r>
          <w:rPr>
            <w:rFonts w:ascii="IRNazanin" w:hAnsi="IRNazanin" w:eastAsia="IRNazanin" w:cs="IRNazanin"/>
            <w:color w:val="111111"/>
            <w:sz w:val="22"/>
            <w:szCs w:val="22"/>
            <w:b w:val="0"/>
            <w:bCs w:val="0"/>
            <w:i w:val="0"/>
            <w:iCs w:val="0"/>
          </w:rPr>
          <w:t>2. آیة ابتلاء إبراهیم علیه السلام</w:t>
        </w:r>
        <w:r>
          <w:tab/>
        </w:r>
        <w:r>
          <w:fldChar w:fldCharType="begin"/>
        </w:r>
        <w:r>
          <w:instrText xml:space="preserve">PAGEREF 1666 \h</w:instrText>
        </w:r>
        <w:r>
          <w:fldChar w:fldCharType="end"/>
        </w:r>
      </w:hyperlink>
    </w:p>
    <w:p>
      <w:pPr>
        <w:tabs>
          <w:tab w:val="right" w:leader="dot" w:pos="9062"/>
        </w:tabs>
        <w:ind w:left="1100"/>
      </w:pPr>
      <w:hyperlink w:anchor="_Toc1667" w:history="1">
        <w:r>
          <w:rPr>
            <w:rFonts w:ascii="IRNazanin" w:hAnsi="IRNazanin" w:eastAsia="IRNazanin" w:cs="IRNazanin"/>
            <w:color w:val="111111"/>
            <w:sz w:val="22"/>
            <w:szCs w:val="22"/>
            <w:b w:val="0"/>
            <w:bCs w:val="0"/>
            <w:i w:val="0"/>
            <w:iCs w:val="0"/>
          </w:rPr>
          <w:t>3. آیة إطاعة أولی الأمر</w:t>
        </w:r>
        <w:r>
          <w:tab/>
        </w:r>
        <w:r>
          <w:fldChar w:fldCharType="begin"/>
        </w:r>
        <w:r>
          <w:instrText xml:space="preserve">PAGEREF 1667 \h</w:instrText>
        </w:r>
        <w:r>
          <w:fldChar w:fldCharType="end"/>
        </w:r>
      </w:hyperlink>
    </w:p>
    <w:p>
      <w:pPr>
        <w:tabs>
          <w:tab w:val="right" w:leader="dot" w:pos="9062"/>
        </w:tabs>
        <w:ind w:left="880"/>
      </w:pPr>
      <w:hyperlink w:anchor="_Toc1668" w:history="1">
        <w:r>
          <w:rPr>
            <w:rFonts w:ascii="IRNazanin" w:hAnsi="IRNazanin" w:eastAsia="IRNazanin" w:cs="IRNazanin"/>
            <w:color w:val="111111"/>
            <w:sz w:val="22"/>
            <w:szCs w:val="22"/>
            <w:b w:val="0"/>
            <w:bCs w:val="0"/>
            <w:i w:val="0"/>
            <w:iCs w:val="0"/>
          </w:rPr>
          <w:t>الفصل السادس : النصوص الدینیة و تنصیب علی علیه السلام للإمامة</w:t>
        </w:r>
        <w:r>
          <w:tab/>
        </w:r>
        <w:r>
          <w:fldChar w:fldCharType="begin"/>
        </w:r>
        <w:r>
          <w:instrText xml:space="preserve">PAGEREF 1668 \h</w:instrText>
        </w:r>
        <w:r>
          <w:fldChar w:fldCharType="end"/>
        </w:r>
      </w:hyperlink>
    </w:p>
    <w:p>
      <w:pPr>
        <w:tabs>
          <w:tab w:val="right" w:leader="dot" w:pos="9062"/>
        </w:tabs>
        <w:ind w:left="1100"/>
      </w:pPr>
      <w:hyperlink w:anchor="_Toc166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1669 \h</w:instrText>
        </w:r>
        <w:r>
          <w:fldChar w:fldCharType="end"/>
        </w:r>
      </w:hyperlink>
    </w:p>
    <w:p>
      <w:pPr>
        <w:tabs>
          <w:tab w:val="right" w:leader="dot" w:pos="9062"/>
        </w:tabs>
        <w:ind w:left="1100"/>
      </w:pPr>
      <w:hyperlink w:anchor="_Toc1670" w:history="1">
        <w:r>
          <w:rPr>
            <w:rFonts w:ascii="IRNazanin" w:hAnsi="IRNazanin" w:eastAsia="IRNazanin" w:cs="IRNazanin"/>
            <w:color w:val="111111"/>
            <w:sz w:val="22"/>
            <w:szCs w:val="22"/>
            <w:b w:val="0"/>
            <w:bCs w:val="0"/>
            <w:i w:val="0"/>
            <w:iCs w:val="0"/>
          </w:rPr>
          <w:t>آیة الولایة</w:t>
        </w:r>
        <w:r>
          <w:tab/>
        </w:r>
        <w:r>
          <w:fldChar w:fldCharType="begin"/>
        </w:r>
        <w:r>
          <w:instrText xml:space="preserve">PAGEREF 1670 \h</w:instrText>
        </w:r>
        <w:r>
          <w:fldChar w:fldCharType="end"/>
        </w:r>
      </w:hyperlink>
    </w:p>
    <w:p>
      <w:pPr>
        <w:tabs>
          <w:tab w:val="right" w:leader="dot" w:pos="9062"/>
        </w:tabs>
        <w:ind w:left="1100"/>
      </w:pPr>
      <w:hyperlink w:anchor="_Toc1671" w:history="1">
        <w:r>
          <w:rPr>
            <w:rFonts w:ascii="IRNazanin" w:hAnsi="IRNazanin" w:eastAsia="IRNazanin" w:cs="IRNazanin"/>
            <w:color w:val="111111"/>
            <w:sz w:val="22"/>
            <w:szCs w:val="22"/>
            <w:b w:val="0"/>
            <w:bCs w:val="0"/>
            <w:i w:val="0"/>
            <w:iCs w:val="0"/>
          </w:rPr>
          <w:t>حدیث «المنزلة»</w:t>
        </w:r>
        <w:r>
          <w:tab/>
        </w:r>
        <w:r>
          <w:fldChar w:fldCharType="begin"/>
        </w:r>
        <w:r>
          <w:instrText xml:space="preserve">PAGEREF 1671 \h</w:instrText>
        </w:r>
        <w:r>
          <w:fldChar w:fldCharType="end"/>
        </w:r>
      </w:hyperlink>
    </w:p>
    <w:p>
      <w:pPr>
        <w:tabs>
          <w:tab w:val="right" w:leader="dot" w:pos="9062"/>
        </w:tabs>
        <w:ind w:left="1100"/>
      </w:pPr>
      <w:hyperlink w:anchor="_Toc1672" w:history="1">
        <w:r>
          <w:rPr>
            <w:rFonts w:ascii="IRNazanin" w:hAnsi="IRNazanin" w:eastAsia="IRNazanin" w:cs="IRNazanin"/>
            <w:color w:val="111111"/>
            <w:sz w:val="22"/>
            <w:szCs w:val="22"/>
            <w:b w:val="0"/>
            <w:bCs w:val="0"/>
            <w:i w:val="0"/>
            <w:iCs w:val="0"/>
          </w:rPr>
          <w:t>حدیث «الغدیر»</w:t>
        </w:r>
        <w:r>
          <w:tab/>
        </w:r>
        <w:r>
          <w:fldChar w:fldCharType="begin"/>
        </w:r>
        <w:r>
          <w:instrText xml:space="preserve">PAGEREF 1672 \h</w:instrText>
        </w:r>
        <w:r>
          <w:fldChar w:fldCharType="end"/>
        </w:r>
      </w:hyperlink>
    </w:p>
    <w:p>
      <w:pPr>
        <w:tabs>
          <w:tab w:val="right" w:leader="dot" w:pos="9062"/>
        </w:tabs>
        <w:ind w:left="1100"/>
      </w:pPr>
      <w:hyperlink w:anchor="_Toc1673" w:history="1">
        <w:r>
          <w:rPr>
            <w:rFonts w:ascii="IRNazanin" w:hAnsi="IRNazanin" w:eastAsia="IRNazanin" w:cs="IRNazanin"/>
            <w:color w:val="111111"/>
            <w:sz w:val="22"/>
            <w:szCs w:val="22"/>
            <w:b w:val="0"/>
            <w:bCs w:val="0"/>
            <w:i w:val="0"/>
            <w:iCs w:val="0"/>
          </w:rPr>
          <w:t>دلالة الحدیث</w:t>
        </w:r>
        <w:r>
          <w:tab/>
        </w:r>
        <w:r>
          <w:fldChar w:fldCharType="begin"/>
        </w:r>
        <w:r>
          <w:instrText xml:space="preserve">PAGEREF 1673 \h</w:instrText>
        </w:r>
        <w:r>
          <w:fldChar w:fldCharType="end"/>
        </w:r>
      </w:hyperlink>
    </w:p>
    <w:p>
      <w:pPr>
        <w:tabs>
          <w:tab w:val="right" w:leader="dot" w:pos="9062"/>
        </w:tabs>
        <w:ind w:left="1100"/>
      </w:pPr>
      <w:hyperlink w:anchor="_Toc1674" w:history="1">
        <w:r>
          <w:rPr>
            <w:rFonts w:ascii="IRNazanin" w:hAnsi="IRNazanin" w:eastAsia="IRNazanin" w:cs="IRNazanin"/>
            <w:color w:val="111111"/>
            <w:sz w:val="22"/>
            <w:szCs w:val="22"/>
            <w:b w:val="0"/>
            <w:bCs w:val="0"/>
            <w:i w:val="0"/>
            <w:iCs w:val="0"/>
          </w:rPr>
          <w:t>لما ذا أعرض الصحابة عن مدلول حدیث الغدیر؟</w:t>
        </w:r>
        <w:r>
          <w:tab/>
        </w:r>
        <w:r>
          <w:fldChar w:fldCharType="begin"/>
        </w:r>
        <w:r>
          <w:instrText xml:space="preserve">PAGEREF 1674 \h</w:instrText>
        </w:r>
        <w:r>
          <w:fldChar w:fldCharType="end"/>
        </w:r>
      </w:hyperlink>
    </w:p>
    <w:p>
      <w:pPr>
        <w:tabs>
          <w:tab w:val="right" w:leader="dot" w:pos="9062"/>
        </w:tabs>
        <w:ind w:left="880"/>
      </w:pPr>
      <w:hyperlink w:anchor="_Toc1675" w:history="1">
        <w:r>
          <w:rPr>
            <w:rFonts w:ascii="IRNazanin" w:hAnsi="IRNazanin" w:eastAsia="IRNazanin" w:cs="IRNazanin"/>
            <w:color w:val="111111"/>
            <w:sz w:val="22"/>
            <w:szCs w:val="22"/>
            <w:b w:val="0"/>
            <w:bCs w:val="0"/>
            <w:i w:val="0"/>
            <w:iCs w:val="0"/>
          </w:rPr>
          <w:t>الفصل السابع : السنّة النبویّة و الأئمّة الاثنا عشر:حدیث اثنی عشر خلیفة</w:t>
        </w:r>
        <w:r>
          <w:tab/>
        </w:r>
        <w:r>
          <w:fldChar w:fldCharType="begin"/>
        </w:r>
        <w:r>
          <w:instrText xml:space="preserve">PAGEREF 1675 \h</w:instrText>
        </w:r>
        <w:r>
          <w:fldChar w:fldCharType="end"/>
        </w:r>
      </w:hyperlink>
    </w:p>
    <w:p>
      <w:pPr>
        <w:tabs>
          <w:tab w:val="right" w:leader="dot" w:pos="9062"/>
        </w:tabs>
        <w:ind w:left="1100"/>
      </w:pPr>
      <w:hyperlink w:anchor="_Toc16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1676 \h</w:instrText>
        </w:r>
        <w:r>
          <w:fldChar w:fldCharType="end"/>
        </w:r>
      </w:hyperlink>
    </w:p>
    <w:p>
      <w:pPr>
        <w:tabs>
          <w:tab w:val="right" w:leader="dot" w:pos="9062"/>
        </w:tabs>
        <w:ind w:left="1100"/>
      </w:pPr>
      <w:hyperlink w:anchor="_Toc1677" w:history="1">
        <w:r>
          <w:rPr>
            <w:rFonts w:ascii="IRNazanin" w:hAnsi="IRNazanin" w:eastAsia="IRNazanin" w:cs="IRNazanin"/>
            <w:color w:val="111111"/>
            <w:sz w:val="22"/>
            <w:szCs w:val="22"/>
            <w:b w:val="0"/>
            <w:bCs w:val="0"/>
            <w:i w:val="0"/>
            <w:iCs w:val="0"/>
          </w:rPr>
          <w:t>حدیث الثقلین</w:t>
        </w:r>
        <w:r>
          <w:tab/>
        </w:r>
        <w:r>
          <w:fldChar w:fldCharType="begin"/>
        </w:r>
        <w:r>
          <w:instrText xml:space="preserve">PAGEREF 1677 \h</w:instrText>
        </w:r>
        <w:r>
          <w:fldChar w:fldCharType="end"/>
        </w:r>
      </w:hyperlink>
    </w:p>
    <w:p>
      <w:pPr>
        <w:tabs>
          <w:tab w:val="right" w:leader="dot" w:pos="9062"/>
        </w:tabs>
        <w:ind w:left="880"/>
      </w:pPr>
      <w:hyperlink w:anchor="_Toc1678" w:history="1">
        <w:r>
          <w:rPr>
            <w:rFonts w:ascii="IRNazanin" w:hAnsi="IRNazanin" w:eastAsia="IRNazanin" w:cs="IRNazanin"/>
            <w:color w:val="111111"/>
            <w:sz w:val="22"/>
            <w:szCs w:val="22"/>
            <w:b w:val="0"/>
            <w:bCs w:val="0"/>
            <w:i w:val="0"/>
            <w:iCs w:val="0"/>
          </w:rPr>
          <w:t>الفصل الثامن : الإمام الثانی عشر فی الکتاب و السنّة</w:t>
        </w:r>
        <w:r>
          <w:tab/>
        </w:r>
        <w:r>
          <w:fldChar w:fldCharType="begin"/>
        </w:r>
        <w:r>
          <w:instrText xml:space="preserve">PAGEREF 1678 \h</w:instrText>
        </w:r>
        <w:r>
          <w:fldChar w:fldCharType="end"/>
        </w:r>
      </w:hyperlink>
    </w:p>
    <w:p>
      <w:pPr>
        <w:tabs>
          <w:tab w:val="right" w:leader="dot" w:pos="9062"/>
        </w:tabs>
        <w:ind w:left="1100"/>
      </w:pPr>
      <w:hyperlink w:anchor="_Toc16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1679 \h</w:instrText>
        </w:r>
        <w:r>
          <w:fldChar w:fldCharType="end"/>
        </w:r>
      </w:hyperlink>
    </w:p>
    <w:p>
      <w:pPr>
        <w:tabs>
          <w:tab w:val="right" w:leader="dot" w:pos="9062"/>
        </w:tabs>
        <w:ind w:left="1100"/>
      </w:pPr>
      <w:hyperlink w:anchor="_Toc1680" w:history="1">
        <w:r>
          <w:rPr>
            <w:rFonts w:ascii="IRNazanin" w:hAnsi="IRNazanin" w:eastAsia="IRNazanin" w:cs="IRNazanin"/>
            <w:color w:val="111111"/>
            <w:sz w:val="22"/>
            <w:szCs w:val="22"/>
            <w:b w:val="0"/>
            <w:bCs w:val="0"/>
            <w:i w:val="0"/>
            <w:iCs w:val="0"/>
          </w:rPr>
          <w:t>أسئلة حول المهدی المنتظر</w:t>
        </w:r>
        <w:r>
          <w:tab/>
        </w:r>
        <w:r>
          <w:fldChar w:fldCharType="begin"/>
        </w:r>
        <w:r>
          <w:instrText xml:space="preserve">PAGEREF 1680 \h</w:instrText>
        </w:r>
        <w:r>
          <w:fldChar w:fldCharType="end"/>
        </w:r>
      </w:hyperlink>
    </w:p>
    <w:p>
      <w:pPr>
        <w:tabs>
          <w:tab w:val="right" w:leader="dot" w:pos="9062"/>
        </w:tabs>
        <w:ind w:left="880"/>
      </w:pPr>
      <w:hyperlink w:anchor="_Toc1681" w:history="1">
        <w:r>
          <w:rPr>
            <w:rFonts w:ascii="IRNazanin" w:hAnsi="IRNazanin" w:eastAsia="IRNazanin" w:cs="IRNazanin"/>
            <w:color w:val="111111"/>
            <w:sz w:val="22"/>
            <w:szCs w:val="22"/>
            <w:b w:val="0"/>
            <w:bCs w:val="0"/>
            <w:i w:val="0"/>
            <w:iCs w:val="0"/>
          </w:rPr>
          <w:t>الفصل التاسع : الرجعة</w:t>
        </w:r>
        <w:r>
          <w:tab/>
        </w:r>
        <w:r>
          <w:fldChar w:fldCharType="begin"/>
        </w:r>
        <w:r>
          <w:instrText xml:space="preserve">PAGEREF 1681 \h</w:instrText>
        </w:r>
        <w:r>
          <w:fldChar w:fldCharType="end"/>
        </w:r>
      </w:hyperlink>
    </w:p>
    <w:p>
      <w:pPr>
        <w:tabs>
          <w:tab w:val="right" w:leader="dot" w:pos="9062"/>
        </w:tabs>
        <w:ind w:left="1100"/>
      </w:pPr>
      <w:hyperlink w:anchor="_Toc16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1682 \h</w:instrText>
        </w:r>
        <w:r>
          <w:fldChar w:fldCharType="end"/>
        </w:r>
      </w:hyperlink>
    </w:p>
    <w:p>
      <w:pPr>
        <w:tabs>
          <w:tab w:val="right" w:leader="dot" w:pos="9062"/>
        </w:tabs>
        <w:ind w:left="1100"/>
      </w:pPr>
      <w:hyperlink w:anchor="_Toc1683" w:history="1">
        <w:r>
          <w:rPr>
            <w:rFonts w:ascii="IRNazanin" w:hAnsi="IRNazanin" w:eastAsia="IRNazanin" w:cs="IRNazanin"/>
            <w:color w:val="111111"/>
            <w:sz w:val="22"/>
            <w:szCs w:val="22"/>
            <w:b w:val="0"/>
            <w:bCs w:val="0"/>
            <w:i w:val="0"/>
            <w:iCs w:val="0"/>
          </w:rPr>
          <w:t>أسئلة و أجوبتها</w:t>
        </w:r>
        <w:r>
          <w:tab/>
        </w:r>
        <w:r>
          <w:fldChar w:fldCharType="begin"/>
        </w:r>
        <w:r>
          <w:instrText xml:space="preserve">PAGEREF 1683 \h</w:instrText>
        </w:r>
        <w:r>
          <w:fldChar w:fldCharType="end"/>
        </w:r>
      </w:hyperlink>
    </w:p>
    <w:p>
      <w:pPr>
        <w:tabs>
          <w:tab w:val="right" w:leader="dot" w:pos="9062"/>
        </w:tabs>
        <w:ind w:left="660"/>
      </w:pPr>
      <w:hyperlink w:anchor="_Toc1684" w:history="1">
        <w:r>
          <w:rPr>
            <w:rFonts w:ascii="IRNazanin" w:hAnsi="IRNazanin" w:eastAsia="IRNazanin" w:cs="IRNazanin"/>
            <w:color w:val="111111"/>
            <w:sz w:val="22"/>
            <w:szCs w:val="22"/>
            <w:b w:val="0"/>
            <w:bCs w:val="0"/>
            <w:i w:val="0"/>
            <w:iCs w:val="0"/>
          </w:rPr>
          <w:t>الباب الثامن : فی المعاد و فیه عشرة فصول</w:t>
        </w:r>
        <w:r>
          <w:tab/>
        </w:r>
        <w:r>
          <w:fldChar w:fldCharType="begin"/>
        </w:r>
        <w:r>
          <w:instrText xml:space="preserve">PAGEREF 1684 \h</w:instrText>
        </w:r>
        <w:r>
          <w:fldChar w:fldCharType="end"/>
        </w:r>
      </w:hyperlink>
    </w:p>
    <w:p>
      <w:pPr>
        <w:tabs>
          <w:tab w:val="right" w:leader="dot" w:pos="9062"/>
        </w:tabs>
        <w:ind w:left="880"/>
      </w:pPr>
      <w:hyperlink w:anchor="_Toc168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1685 \h</w:instrText>
        </w:r>
        <w:r>
          <w:fldChar w:fldCharType="end"/>
        </w:r>
      </w:hyperlink>
    </w:p>
    <w:p>
      <w:pPr>
        <w:tabs>
          <w:tab w:val="right" w:leader="dot" w:pos="9062"/>
        </w:tabs>
        <w:ind w:left="880"/>
      </w:pPr>
      <w:hyperlink w:anchor="_Toc1686" w:history="1">
        <w:r>
          <w:rPr>
            <w:rFonts w:ascii="IRNazanin" w:hAnsi="IRNazanin" w:eastAsia="IRNazanin" w:cs="IRNazanin"/>
            <w:color w:val="111111"/>
            <w:sz w:val="22"/>
            <w:szCs w:val="22"/>
            <w:b w:val="0"/>
            <w:bCs w:val="0"/>
            <w:i w:val="0"/>
            <w:iCs w:val="0"/>
          </w:rPr>
          <w:t>الفصل الأوّل : براهین إثبات المعاد</w:t>
        </w:r>
        <w:r>
          <w:tab/>
        </w:r>
        <w:r>
          <w:fldChar w:fldCharType="begin"/>
        </w:r>
        <w:r>
          <w:instrText xml:space="preserve">PAGEREF 1686 \h</w:instrText>
        </w:r>
        <w:r>
          <w:fldChar w:fldCharType="end"/>
        </w:r>
      </w:hyperlink>
    </w:p>
    <w:p>
      <w:pPr>
        <w:tabs>
          <w:tab w:val="right" w:leader="dot" w:pos="9062"/>
        </w:tabs>
        <w:ind w:left="1100"/>
      </w:pPr>
      <w:hyperlink w:anchor="_Toc168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1687 \h</w:instrText>
        </w:r>
        <w:r>
          <w:fldChar w:fldCharType="end"/>
        </w:r>
      </w:hyperlink>
    </w:p>
    <w:p>
      <w:pPr>
        <w:tabs>
          <w:tab w:val="right" w:leader="dot" w:pos="9062"/>
        </w:tabs>
        <w:ind w:left="1100"/>
      </w:pPr>
      <w:hyperlink w:anchor="_Toc1688" w:history="1">
        <w:r>
          <w:rPr>
            <w:rFonts w:ascii="IRNazanin" w:hAnsi="IRNazanin" w:eastAsia="IRNazanin" w:cs="IRNazanin"/>
            <w:color w:val="111111"/>
            <w:sz w:val="22"/>
            <w:szCs w:val="22"/>
            <w:b w:val="0"/>
            <w:bCs w:val="0"/>
            <w:i w:val="0"/>
            <w:iCs w:val="0"/>
          </w:rPr>
          <w:t>الأوّل: صیانة الخلقة عن العبث</w:t>
        </w:r>
        <w:r>
          <w:tab/>
        </w:r>
        <w:r>
          <w:fldChar w:fldCharType="begin"/>
        </w:r>
        <w:r>
          <w:instrText xml:space="preserve">PAGEREF 1688 \h</w:instrText>
        </w:r>
        <w:r>
          <w:fldChar w:fldCharType="end"/>
        </w:r>
      </w:hyperlink>
    </w:p>
    <w:p>
      <w:pPr>
        <w:tabs>
          <w:tab w:val="right" w:leader="dot" w:pos="9062"/>
        </w:tabs>
        <w:ind w:left="1100"/>
      </w:pPr>
      <w:hyperlink w:anchor="_Toc1689" w:history="1">
        <w:r>
          <w:rPr>
            <w:rFonts w:ascii="IRNazanin" w:hAnsi="IRNazanin" w:eastAsia="IRNazanin" w:cs="IRNazanin"/>
            <w:color w:val="111111"/>
            <w:sz w:val="22"/>
            <w:szCs w:val="22"/>
            <w:b w:val="0"/>
            <w:bCs w:val="0"/>
            <w:i w:val="0"/>
            <w:iCs w:val="0"/>
          </w:rPr>
          <w:t>الثانی: المعاد مقتضی العدل الإلهی</w:t>
        </w:r>
        <w:r>
          <w:tab/>
        </w:r>
        <w:r>
          <w:fldChar w:fldCharType="begin"/>
        </w:r>
        <w:r>
          <w:instrText xml:space="preserve">PAGEREF 1689 \h</w:instrText>
        </w:r>
        <w:r>
          <w:fldChar w:fldCharType="end"/>
        </w:r>
      </w:hyperlink>
    </w:p>
    <w:p>
      <w:pPr>
        <w:tabs>
          <w:tab w:val="right" w:leader="dot" w:pos="9062"/>
        </w:tabs>
        <w:ind w:left="1100"/>
      </w:pPr>
      <w:hyperlink w:anchor="_Toc1690" w:history="1">
        <w:r>
          <w:rPr>
            <w:rFonts w:ascii="IRNazanin" w:hAnsi="IRNazanin" w:eastAsia="IRNazanin" w:cs="IRNazanin"/>
            <w:color w:val="111111"/>
            <w:sz w:val="22"/>
            <w:szCs w:val="22"/>
            <w:b w:val="0"/>
            <w:bCs w:val="0"/>
            <w:i w:val="0"/>
            <w:iCs w:val="0"/>
          </w:rPr>
          <w:t>الثالث: المعاد مجلی لتحقّق مواعیده تعالی</w:t>
        </w:r>
        <w:r>
          <w:tab/>
        </w:r>
        <w:r>
          <w:fldChar w:fldCharType="begin"/>
        </w:r>
        <w:r>
          <w:instrText xml:space="preserve">PAGEREF 1690 \h</w:instrText>
        </w:r>
        <w:r>
          <w:fldChar w:fldCharType="end"/>
        </w:r>
      </w:hyperlink>
    </w:p>
    <w:p>
      <w:pPr>
        <w:tabs>
          <w:tab w:val="right" w:leader="dot" w:pos="9062"/>
        </w:tabs>
        <w:ind w:left="880"/>
      </w:pPr>
      <w:hyperlink w:anchor="_Toc1691" w:history="1">
        <w:r>
          <w:rPr>
            <w:rFonts w:ascii="IRNazanin" w:hAnsi="IRNazanin" w:eastAsia="IRNazanin" w:cs="IRNazanin"/>
            <w:color w:val="111111"/>
            <w:sz w:val="22"/>
            <w:szCs w:val="22"/>
            <w:b w:val="0"/>
            <w:bCs w:val="0"/>
            <w:i w:val="0"/>
            <w:iCs w:val="0"/>
          </w:rPr>
          <w:t>الفصل الثانی : بقاء النفس الإنسانیة بعد الموت</w:t>
        </w:r>
        <w:r>
          <w:tab/>
        </w:r>
        <w:r>
          <w:fldChar w:fldCharType="begin"/>
        </w:r>
        <w:r>
          <w:instrText xml:space="preserve">PAGEREF 1691 \h</w:instrText>
        </w:r>
        <w:r>
          <w:fldChar w:fldCharType="end"/>
        </w:r>
      </w:hyperlink>
    </w:p>
    <w:p>
      <w:pPr>
        <w:tabs>
          <w:tab w:val="right" w:leader="dot" w:pos="9062"/>
        </w:tabs>
        <w:ind w:left="1100"/>
      </w:pPr>
      <w:hyperlink w:anchor="_Toc16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1692 \h</w:instrText>
        </w:r>
        <w:r>
          <w:fldChar w:fldCharType="end"/>
        </w:r>
      </w:hyperlink>
    </w:p>
    <w:p>
      <w:pPr>
        <w:tabs>
          <w:tab w:val="right" w:leader="dot" w:pos="9062"/>
        </w:tabs>
        <w:ind w:left="1100"/>
      </w:pPr>
      <w:hyperlink w:anchor="_Toc1693" w:history="1">
        <w:r>
          <w:rPr>
            <w:rFonts w:ascii="IRNazanin" w:hAnsi="IRNazanin" w:eastAsia="IRNazanin" w:cs="IRNazanin"/>
            <w:color w:val="111111"/>
            <w:sz w:val="22"/>
            <w:szCs w:val="22"/>
            <w:b w:val="0"/>
            <w:bCs w:val="0"/>
            <w:i w:val="0"/>
            <w:iCs w:val="0"/>
          </w:rPr>
          <w:t>أ) البراهین العقلیة</w:t>
        </w:r>
        <w:r>
          <w:tab/>
        </w:r>
        <w:r>
          <w:fldChar w:fldCharType="begin"/>
        </w:r>
        <w:r>
          <w:instrText xml:space="preserve">PAGEREF 1693 \h</w:instrText>
        </w:r>
        <w:r>
          <w:fldChar w:fldCharType="end"/>
        </w:r>
      </w:hyperlink>
    </w:p>
    <w:p>
      <w:pPr>
        <w:tabs>
          <w:tab w:val="right" w:leader="dot" w:pos="9062"/>
        </w:tabs>
        <w:ind w:left="1100"/>
      </w:pPr>
      <w:hyperlink w:anchor="_Toc1694" w:history="1">
        <w:r>
          <w:rPr>
            <w:rFonts w:ascii="IRNazanin" w:hAnsi="IRNazanin" w:eastAsia="IRNazanin" w:cs="IRNazanin"/>
            <w:color w:val="111111"/>
            <w:sz w:val="22"/>
            <w:szCs w:val="22"/>
            <w:b w:val="0"/>
            <w:bCs w:val="0"/>
            <w:i w:val="0"/>
            <w:iCs w:val="0"/>
          </w:rPr>
          <w:t>ب) القرآن و تجرّد النفس</w:t>
        </w:r>
        <w:r>
          <w:tab/>
        </w:r>
        <w:r>
          <w:fldChar w:fldCharType="begin"/>
        </w:r>
        <w:r>
          <w:instrText xml:space="preserve">PAGEREF 1694 \h</w:instrText>
        </w:r>
        <w:r>
          <w:fldChar w:fldCharType="end"/>
        </w:r>
      </w:hyperlink>
    </w:p>
    <w:p>
      <w:pPr>
        <w:tabs>
          <w:tab w:val="right" w:leader="dot" w:pos="9062"/>
        </w:tabs>
        <w:ind w:left="880"/>
      </w:pPr>
      <w:hyperlink w:anchor="_Toc1695" w:history="1">
        <w:r>
          <w:rPr>
            <w:rFonts w:ascii="IRNazanin" w:hAnsi="IRNazanin" w:eastAsia="IRNazanin" w:cs="IRNazanin"/>
            <w:color w:val="111111"/>
            <w:sz w:val="22"/>
            <w:szCs w:val="22"/>
            <w:b w:val="0"/>
            <w:bCs w:val="0"/>
            <w:i w:val="0"/>
            <w:iCs w:val="0"/>
          </w:rPr>
          <w:t>الفصل الثالث : المعاد الجسمانی و الروحانی فی القرآن الکریم</w:t>
        </w:r>
        <w:r>
          <w:tab/>
        </w:r>
        <w:r>
          <w:fldChar w:fldCharType="begin"/>
        </w:r>
        <w:r>
          <w:instrText xml:space="preserve">PAGEREF 1695 \h</w:instrText>
        </w:r>
        <w:r>
          <w:fldChar w:fldCharType="end"/>
        </w:r>
      </w:hyperlink>
    </w:p>
    <w:p>
      <w:pPr>
        <w:tabs>
          <w:tab w:val="right" w:leader="dot" w:pos="9062"/>
        </w:tabs>
        <w:ind w:left="1100"/>
      </w:pPr>
      <w:hyperlink w:anchor="_Toc169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1696 \h</w:instrText>
        </w:r>
        <w:r>
          <w:fldChar w:fldCharType="end"/>
        </w:r>
      </w:hyperlink>
    </w:p>
    <w:p>
      <w:pPr>
        <w:tabs>
          <w:tab w:val="right" w:leader="dot" w:pos="9062"/>
        </w:tabs>
        <w:ind w:left="1100"/>
      </w:pPr>
      <w:hyperlink w:anchor="_Toc1697" w:history="1">
        <w:r>
          <w:rPr>
            <w:rFonts w:ascii="IRNazanin" w:hAnsi="IRNazanin" w:eastAsia="IRNazanin" w:cs="IRNazanin"/>
            <w:color w:val="111111"/>
            <w:sz w:val="22"/>
            <w:szCs w:val="22"/>
            <w:b w:val="0"/>
            <w:bCs w:val="0"/>
            <w:i w:val="0"/>
            <w:iCs w:val="0"/>
          </w:rPr>
          <w:t>شبهة الآکل و المأکول</w:t>
        </w:r>
        <w:r>
          <w:tab/>
        </w:r>
        <w:r>
          <w:fldChar w:fldCharType="begin"/>
        </w:r>
        <w:r>
          <w:instrText xml:space="preserve">PAGEREF 1697 \h</w:instrText>
        </w:r>
        <w:r>
          <w:fldChar w:fldCharType="end"/>
        </w:r>
      </w:hyperlink>
    </w:p>
    <w:p>
      <w:pPr>
        <w:tabs>
          <w:tab w:val="right" w:leader="dot" w:pos="9062"/>
        </w:tabs>
        <w:ind w:left="880"/>
      </w:pPr>
      <w:hyperlink w:anchor="_Toc1698" w:history="1">
        <w:r>
          <w:rPr>
            <w:rFonts w:ascii="IRNazanin" w:hAnsi="IRNazanin" w:eastAsia="IRNazanin" w:cs="IRNazanin"/>
            <w:color w:val="111111"/>
            <w:sz w:val="22"/>
            <w:szCs w:val="22"/>
            <w:b w:val="0"/>
            <w:bCs w:val="0"/>
            <w:i w:val="0"/>
            <w:iCs w:val="0"/>
          </w:rPr>
          <w:t>الفصل الرابع : براهین بطلان التناسخ</w:t>
        </w:r>
        <w:r>
          <w:tab/>
        </w:r>
        <w:r>
          <w:fldChar w:fldCharType="begin"/>
        </w:r>
        <w:r>
          <w:instrText xml:space="preserve">PAGEREF 1698 \h</w:instrText>
        </w:r>
        <w:r>
          <w:fldChar w:fldCharType="end"/>
        </w:r>
      </w:hyperlink>
    </w:p>
    <w:p>
      <w:pPr>
        <w:tabs>
          <w:tab w:val="right" w:leader="dot" w:pos="9062"/>
        </w:tabs>
        <w:ind w:left="1100"/>
      </w:pPr>
      <w:hyperlink w:anchor="_Toc169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1699 \h</w:instrText>
        </w:r>
        <w:r>
          <w:fldChar w:fldCharType="end"/>
        </w:r>
      </w:hyperlink>
    </w:p>
    <w:p>
      <w:pPr>
        <w:tabs>
          <w:tab w:val="right" w:leader="dot" w:pos="9062"/>
        </w:tabs>
        <w:ind w:left="1100"/>
      </w:pPr>
      <w:hyperlink w:anchor="_Toc1700" w:history="1">
        <w:r>
          <w:rPr>
            <w:rFonts w:ascii="IRNazanin" w:hAnsi="IRNazanin" w:eastAsia="IRNazanin" w:cs="IRNazanin"/>
            <w:color w:val="111111"/>
            <w:sz w:val="22"/>
            <w:szCs w:val="22"/>
            <w:b w:val="0"/>
            <w:bCs w:val="0"/>
            <w:i w:val="0"/>
            <w:iCs w:val="0"/>
          </w:rPr>
          <w:t>التناسخ و المسخ</w:t>
        </w:r>
        <w:r>
          <w:tab/>
        </w:r>
        <w:r>
          <w:fldChar w:fldCharType="begin"/>
        </w:r>
        <w:r>
          <w:instrText xml:space="preserve">PAGEREF 1700 \h</w:instrText>
        </w:r>
        <w:r>
          <w:fldChar w:fldCharType="end"/>
        </w:r>
      </w:hyperlink>
    </w:p>
    <w:p>
      <w:pPr>
        <w:tabs>
          <w:tab w:val="right" w:leader="dot" w:pos="9062"/>
        </w:tabs>
        <w:ind w:left="1100"/>
      </w:pPr>
      <w:hyperlink w:anchor="_Toc1701" w:history="1">
        <w:r>
          <w:rPr>
            <w:rFonts w:ascii="IRNazanin" w:hAnsi="IRNazanin" w:eastAsia="IRNazanin" w:cs="IRNazanin"/>
            <w:color w:val="111111"/>
            <w:sz w:val="22"/>
            <w:szCs w:val="22"/>
            <w:b w:val="0"/>
            <w:bCs w:val="0"/>
            <w:i w:val="0"/>
            <w:iCs w:val="0"/>
          </w:rPr>
          <w:t>التناسخ و الرجعة</w:t>
        </w:r>
        <w:r>
          <w:tab/>
        </w:r>
        <w:r>
          <w:fldChar w:fldCharType="begin"/>
        </w:r>
        <w:r>
          <w:instrText xml:space="preserve">PAGEREF 1701 \h</w:instrText>
        </w:r>
        <w:r>
          <w:fldChar w:fldCharType="end"/>
        </w:r>
      </w:hyperlink>
    </w:p>
    <w:p>
      <w:pPr>
        <w:tabs>
          <w:tab w:val="right" w:leader="dot" w:pos="9062"/>
        </w:tabs>
        <w:ind w:left="880"/>
      </w:pPr>
      <w:hyperlink w:anchor="_Toc1702" w:history="1">
        <w:r>
          <w:rPr>
            <w:rFonts w:ascii="IRNazanin" w:hAnsi="IRNazanin" w:eastAsia="IRNazanin" w:cs="IRNazanin"/>
            <w:color w:val="111111"/>
            <w:sz w:val="22"/>
            <w:szCs w:val="22"/>
            <w:b w:val="0"/>
            <w:bCs w:val="0"/>
            <w:i w:val="0"/>
            <w:iCs w:val="0"/>
          </w:rPr>
          <w:t>الفصل الخامس : القبر و البرزخ</w:t>
        </w:r>
        <w:r>
          <w:tab/>
        </w:r>
        <w:r>
          <w:fldChar w:fldCharType="begin"/>
        </w:r>
        <w:r>
          <w:instrText xml:space="preserve">PAGEREF 1702 \h</w:instrText>
        </w:r>
        <w:r>
          <w:fldChar w:fldCharType="end"/>
        </w:r>
      </w:hyperlink>
    </w:p>
    <w:p>
      <w:pPr>
        <w:tabs>
          <w:tab w:val="right" w:leader="dot" w:pos="9062"/>
        </w:tabs>
        <w:ind w:left="1100"/>
      </w:pPr>
      <w:hyperlink w:anchor="_Toc17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1703 \h</w:instrText>
        </w:r>
        <w:r>
          <w:fldChar w:fldCharType="end"/>
        </w:r>
      </w:hyperlink>
    </w:p>
    <w:p>
      <w:pPr>
        <w:tabs>
          <w:tab w:val="right" w:leader="dot" w:pos="9062"/>
        </w:tabs>
        <w:ind w:left="1100"/>
      </w:pPr>
      <w:hyperlink w:anchor="_Toc1704" w:history="1">
        <w:r>
          <w:rPr>
            <w:rFonts w:ascii="IRNazanin" w:hAnsi="IRNazanin" w:eastAsia="IRNazanin" w:cs="IRNazanin"/>
            <w:color w:val="111111"/>
            <w:sz w:val="22"/>
            <w:szCs w:val="22"/>
            <w:b w:val="0"/>
            <w:bCs w:val="0"/>
            <w:i w:val="0"/>
            <w:iCs w:val="0"/>
          </w:rPr>
          <w:t>السؤال فی القبر و عذابه و نعیمه</w:t>
        </w:r>
        <w:r>
          <w:tab/>
        </w:r>
        <w:r>
          <w:fldChar w:fldCharType="begin"/>
        </w:r>
        <w:r>
          <w:instrText xml:space="preserve">PAGEREF 1704 \h</w:instrText>
        </w:r>
        <w:r>
          <w:fldChar w:fldCharType="end"/>
        </w:r>
      </w:hyperlink>
    </w:p>
    <w:p>
      <w:pPr>
        <w:tabs>
          <w:tab w:val="right" w:leader="dot" w:pos="9062"/>
        </w:tabs>
        <w:ind w:left="880"/>
      </w:pPr>
      <w:hyperlink w:anchor="_Toc1705" w:history="1">
        <w:r>
          <w:rPr>
            <w:rFonts w:ascii="IRNazanin" w:hAnsi="IRNazanin" w:eastAsia="IRNazanin" w:cs="IRNazanin"/>
            <w:color w:val="111111"/>
            <w:sz w:val="22"/>
            <w:szCs w:val="22"/>
            <w:b w:val="0"/>
            <w:bCs w:val="0"/>
            <w:i w:val="0"/>
            <w:iCs w:val="0"/>
          </w:rPr>
          <w:t>الفصل السادس : الحساب و الشهود</w:t>
        </w:r>
        <w:r>
          <w:tab/>
        </w:r>
        <w:r>
          <w:fldChar w:fldCharType="begin"/>
        </w:r>
        <w:r>
          <w:instrText xml:space="preserve">PAGEREF 1705 \h</w:instrText>
        </w:r>
        <w:r>
          <w:fldChar w:fldCharType="end"/>
        </w:r>
      </w:hyperlink>
    </w:p>
    <w:p>
      <w:pPr>
        <w:tabs>
          <w:tab w:val="right" w:leader="dot" w:pos="9062"/>
        </w:tabs>
        <w:ind w:left="1100"/>
      </w:pPr>
      <w:hyperlink w:anchor="_Toc1706" w:history="1">
        <w:r>
          <w:rPr>
            <w:rFonts w:ascii="IRNazanin" w:hAnsi="IRNazanin" w:eastAsia="IRNazanin" w:cs="IRNazanin"/>
            <w:color w:val="111111"/>
            <w:sz w:val="22"/>
            <w:szCs w:val="22"/>
            <w:b w:val="0"/>
            <w:bCs w:val="0"/>
            <w:i w:val="0"/>
            <w:iCs w:val="0"/>
          </w:rPr>
          <w:t>أ. الحساب یوم القیامة</w:t>
        </w:r>
        <w:r>
          <w:tab/>
        </w:r>
        <w:r>
          <w:fldChar w:fldCharType="begin"/>
        </w:r>
        <w:r>
          <w:instrText xml:space="preserve">PAGEREF 1706 \h</w:instrText>
        </w:r>
        <w:r>
          <w:fldChar w:fldCharType="end"/>
        </w:r>
      </w:hyperlink>
    </w:p>
    <w:p>
      <w:pPr>
        <w:tabs>
          <w:tab w:val="right" w:leader="dot" w:pos="9062"/>
        </w:tabs>
        <w:ind w:left="1100"/>
      </w:pPr>
      <w:hyperlink w:anchor="_Toc1707" w:history="1">
        <w:r>
          <w:rPr>
            <w:rFonts w:ascii="IRNazanin" w:hAnsi="IRNazanin" w:eastAsia="IRNazanin" w:cs="IRNazanin"/>
            <w:color w:val="111111"/>
            <w:sz w:val="22"/>
            <w:szCs w:val="22"/>
            <w:b w:val="0"/>
            <w:bCs w:val="0"/>
            <w:i w:val="0"/>
            <w:iCs w:val="0"/>
          </w:rPr>
          <w:t>ب. الشهود یوم القیامة</w:t>
        </w:r>
        <w:r>
          <w:tab/>
        </w:r>
        <w:r>
          <w:fldChar w:fldCharType="begin"/>
        </w:r>
        <w:r>
          <w:instrText xml:space="preserve">PAGEREF 1707 \h</w:instrText>
        </w:r>
        <w:r>
          <w:fldChar w:fldCharType="end"/>
        </w:r>
      </w:hyperlink>
    </w:p>
    <w:p>
      <w:pPr>
        <w:tabs>
          <w:tab w:val="right" w:leader="dot" w:pos="9062"/>
        </w:tabs>
        <w:ind w:left="880"/>
      </w:pPr>
      <w:hyperlink w:anchor="_Toc1708" w:history="1">
        <w:r>
          <w:rPr>
            <w:rFonts w:ascii="IRNazanin" w:hAnsi="IRNazanin" w:eastAsia="IRNazanin" w:cs="IRNazanin"/>
            <w:color w:val="111111"/>
            <w:sz w:val="22"/>
            <w:szCs w:val="22"/>
            <w:b w:val="0"/>
            <w:bCs w:val="0"/>
            <w:i w:val="0"/>
            <w:iCs w:val="0"/>
          </w:rPr>
          <w:t>الفصل السابع : المیزان و الصراط</w:t>
        </w:r>
        <w:r>
          <w:tab/>
        </w:r>
        <w:r>
          <w:fldChar w:fldCharType="begin"/>
        </w:r>
        <w:r>
          <w:instrText xml:space="preserve">PAGEREF 1708 \h</w:instrText>
        </w:r>
        <w:r>
          <w:fldChar w:fldCharType="end"/>
        </w:r>
      </w:hyperlink>
    </w:p>
    <w:p>
      <w:pPr>
        <w:tabs>
          <w:tab w:val="right" w:leader="dot" w:pos="9062"/>
        </w:tabs>
        <w:ind w:left="1100"/>
      </w:pPr>
      <w:hyperlink w:anchor="_Toc170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1709 \h</w:instrText>
        </w:r>
        <w:r>
          <w:fldChar w:fldCharType="end"/>
        </w:r>
      </w:hyperlink>
    </w:p>
    <w:p>
      <w:pPr>
        <w:tabs>
          <w:tab w:val="right" w:leader="dot" w:pos="9062"/>
        </w:tabs>
        <w:ind w:left="1100"/>
      </w:pPr>
      <w:hyperlink w:anchor="_Toc1710" w:history="1">
        <w:r>
          <w:rPr>
            <w:rFonts w:ascii="IRNazanin" w:hAnsi="IRNazanin" w:eastAsia="IRNazanin" w:cs="IRNazanin"/>
            <w:color w:val="111111"/>
            <w:sz w:val="22"/>
            <w:szCs w:val="22"/>
            <w:b w:val="0"/>
            <w:bCs w:val="0"/>
            <w:i w:val="0"/>
            <w:iCs w:val="0"/>
          </w:rPr>
          <w:t>أ) المیزان</w:t>
        </w:r>
        <w:r>
          <w:tab/>
        </w:r>
        <w:r>
          <w:fldChar w:fldCharType="begin"/>
        </w:r>
        <w:r>
          <w:instrText xml:space="preserve">PAGEREF 1710 \h</w:instrText>
        </w:r>
        <w:r>
          <w:fldChar w:fldCharType="end"/>
        </w:r>
      </w:hyperlink>
    </w:p>
    <w:p>
      <w:pPr>
        <w:tabs>
          <w:tab w:val="right" w:leader="dot" w:pos="9062"/>
        </w:tabs>
        <w:ind w:left="1100"/>
      </w:pPr>
      <w:hyperlink w:anchor="_Toc1711" w:history="1">
        <w:r>
          <w:rPr>
            <w:rFonts w:ascii="IRNazanin" w:hAnsi="IRNazanin" w:eastAsia="IRNazanin" w:cs="IRNazanin"/>
            <w:color w:val="111111"/>
            <w:sz w:val="22"/>
            <w:szCs w:val="22"/>
            <w:b w:val="0"/>
            <w:bCs w:val="0"/>
            <w:i w:val="0"/>
            <w:iCs w:val="0"/>
          </w:rPr>
          <w:t>ب) الصراط</w:t>
        </w:r>
        <w:r>
          <w:tab/>
        </w:r>
        <w:r>
          <w:fldChar w:fldCharType="begin"/>
        </w:r>
        <w:r>
          <w:instrText xml:space="preserve">PAGEREF 1711 \h</w:instrText>
        </w:r>
        <w:r>
          <w:fldChar w:fldCharType="end"/>
        </w:r>
      </w:hyperlink>
    </w:p>
    <w:p>
      <w:pPr>
        <w:tabs>
          <w:tab w:val="right" w:leader="dot" w:pos="9062"/>
        </w:tabs>
        <w:ind w:left="880"/>
      </w:pPr>
      <w:hyperlink w:anchor="_Toc1712" w:history="1">
        <w:r>
          <w:rPr>
            <w:rFonts w:ascii="IRNazanin" w:hAnsi="IRNazanin" w:eastAsia="IRNazanin" w:cs="IRNazanin"/>
            <w:color w:val="111111"/>
            <w:sz w:val="22"/>
            <w:szCs w:val="22"/>
            <w:b w:val="0"/>
            <w:bCs w:val="0"/>
            <w:i w:val="0"/>
            <w:iCs w:val="0"/>
          </w:rPr>
          <w:t>الفصل الثامن : الشفاعة فی القیامة</w:t>
        </w:r>
        <w:r>
          <w:tab/>
        </w:r>
        <w:r>
          <w:fldChar w:fldCharType="begin"/>
        </w:r>
        <w:r>
          <w:instrText xml:space="preserve">PAGEREF 1712 \h</w:instrText>
        </w:r>
        <w:r>
          <w:fldChar w:fldCharType="end"/>
        </w:r>
      </w:hyperlink>
    </w:p>
    <w:p>
      <w:pPr>
        <w:tabs>
          <w:tab w:val="right" w:leader="dot" w:pos="9062"/>
        </w:tabs>
        <w:ind w:left="1100"/>
      </w:pPr>
      <w:hyperlink w:anchor="_Toc17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1713 \h</w:instrText>
        </w:r>
        <w:r>
          <w:fldChar w:fldCharType="end"/>
        </w:r>
      </w:hyperlink>
    </w:p>
    <w:p>
      <w:pPr>
        <w:tabs>
          <w:tab w:val="right" w:leader="dot" w:pos="9062"/>
        </w:tabs>
        <w:ind w:left="1100"/>
      </w:pPr>
      <w:hyperlink w:anchor="_Toc1714" w:history="1">
        <w:r>
          <w:rPr>
            <w:rFonts w:ascii="IRNazanin" w:hAnsi="IRNazanin" w:eastAsia="IRNazanin" w:cs="IRNazanin"/>
            <w:color w:val="111111"/>
            <w:sz w:val="22"/>
            <w:szCs w:val="22"/>
            <w:b w:val="0"/>
            <w:bCs w:val="0"/>
            <w:i w:val="0"/>
            <w:iCs w:val="0"/>
          </w:rPr>
          <w:t>الشفاعة فی الکتاب و السنّة</w:t>
        </w:r>
        <w:r>
          <w:tab/>
        </w:r>
        <w:r>
          <w:fldChar w:fldCharType="begin"/>
        </w:r>
        <w:r>
          <w:instrText xml:space="preserve">PAGEREF 1714 \h</w:instrText>
        </w:r>
        <w:r>
          <w:fldChar w:fldCharType="end"/>
        </w:r>
      </w:hyperlink>
    </w:p>
    <w:p>
      <w:pPr>
        <w:tabs>
          <w:tab w:val="right" w:leader="dot" w:pos="9062"/>
        </w:tabs>
        <w:ind w:left="1100"/>
      </w:pPr>
      <w:hyperlink w:anchor="_Toc1715" w:history="1">
        <w:r>
          <w:rPr>
            <w:rFonts w:ascii="IRNazanin" w:hAnsi="IRNazanin" w:eastAsia="IRNazanin" w:cs="IRNazanin"/>
            <w:color w:val="111111"/>
            <w:sz w:val="22"/>
            <w:szCs w:val="22"/>
            <w:b w:val="0"/>
            <w:bCs w:val="0"/>
            <w:i w:val="0"/>
            <w:iCs w:val="0"/>
          </w:rPr>
          <w:t>الشفاعة المطلقة و المحدودة</w:t>
        </w:r>
        <w:r>
          <w:tab/>
        </w:r>
        <w:r>
          <w:fldChar w:fldCharType="begin"/>
        </w:r>
        <w:r>
          <w:instrText xml:space="preserve">PAGEREF 1715 \h</w:instrText>
        </w:r>
        <w:r>
          <w:fldChar w:fldCharType="end"/>
        </w:r>
      </w:hyperlink>
    </w:p>
    <w:p>
      <w:pPr>
        <w:tabs>
          <w:tab w:val="right" w:leader="dot" w:pos="9062"/>
        </w:tabs>
        <w:ind w:left="1100"/>
      </w:pPr>
      <w:hyperlink w:anchor="_Toc1716" w:history="1">
        <w:r>
          <w:rPr>
            <w:rFonts w:ascii="IRNazanin" w:hAnsi="IRNazanin" w:eastAsia="IRNazanin" w:cs="IRNazanin"/>
            <w:color w:val="111111"/>
            <w:sz w:val="22"/>
            <w:szCs w:val="22"/>
            <w:b w:val="0"/>
            <w:bCs w:val="0"/>
            <w:i w:val="0"/>
            <w:iCs w:val="0"/>
          </w:rPr>
          <w:t>شرائط شمول الشفاعة</w:t>
        </w:r>
        <w:r>
          <w:tab/>
        </w:r>
        <w:r>
          <w:fldChar w:fldCharType="begin"/>
        </w:r>
        <w:r>
          <w:instrText xml:space="preserve">PAGEREF 1716 \h</w:instrText>
        </w:r>
        <w:r>
          <w:fldChar w:fldCharType="end"/>
        </w:r>
      </w:hyperlink>
    </w:p>
    <w:p>
      <w:pPr>
        <w:tabs>
          <w:tab w:val="right" w:leader="dot" w:pos="9062"/>
        </w:tabs>
        <w:ind w:left="1100"/>
      </w:pPr>
      <w:hyperlink w:anchor="_Toc1717" w:history="1">
        <w:r>
          <w:rPr>
            <w:rFonts w:ascii="IRNazanin" w:hAnsi="IRNazanin" w:eastAsia="IRNazanin" w:cs="IRNazanin"/>
            <w:color w:val="111111"/>
            <w:sz w:val="22"/>
            <w:szCs w:val="22"/>
            <w:b w:val="0"/>
            <w:bCs w:val="0"/>
            <w:i w:val="0"/>
            <w:iCs w:val="0"/>
          </w:rPr>
          <w:t>ما هو أثر الشفاعة؟</w:t>
        </w:r>
        <w:r>
          <w:tab/>
        </w:r>
        <w:r>
          <w:fldChar w:fldCharType="begin"/>
        </w:r>
        <w:r>
          <w:instrText xml:space="preserve">PAGEREF 1717 \h</w:instrText>
        </w:r>
        <w:r>
          <w:fldChar w:fldCharType="end"/>
        </w:r>
      </w:hyperlink>
    </w:p>
    <w:p>
      <w:pPr>
        <w:tabs>
          <w:tab w:val="right" w:leader="dot" w:pos="9062"/>
        </w:tabs>
        <w:ind w:left="1100"/>
      </w:pPr>
      <w:hyperlink w:anchor="_Toc1718" w:history="1">
        <w:r>
          <w:rPr>
            <w:rFonts w:ascii="IRNazanin" w:hAnsi="IRNazanin" w:eastAsia="IRNazanin" w:cs="IRNazanin"/>
            <w:color w:val="111111"/>
            <w:sz w:val="22"/>
            <w:szCs w:val="22"/>
            <w:b w:val="0"/>
            <w:bCs w:val="0"/>
            <w:i w:val="0"/>
            <w:iCs w:val="0"/>
          </w:rPr>
          <w:t>هل یجوز طلب الشفاعة؟</w:t>
        </w:r>
        <w:r>
          <w:tab/>
        </w:r>
        <w:r>
          <w:fldChar w:fldCharType="begin"/>
        </w:r>
        <w:r>
          <w:instrText xml:space="preserve">PAGEREF 1718 \h</w:instrText>
        </w:r>
        <w:r>
          <w:fldChar w:fldCharType="end"/>
        </w:r>
      </w:hyperlink>
    </w:p>
    <w:p>
      <w:pPr>
        <w:tabs>
          <w:tab w:val="right" w:leader="dot" w:pos="9062"/>
        </w:tabs>
        <w:ind w:left="880"/>
      </w:pPr>
      <w:hyperlink w:anchor="_Toc1719" w:history="1">
        <w:r>
          <w:rPr>
            <w:rFonts w:ascii="IRNazanin" w:hAnsi="IRNazanin" w:eastAsia="IRNazanin" w:cs="IRNazanin"/>
            <w:color w:val="111111"/>
            <w:sz w:val="22"/>
            <w:szCs w:val="22"/>
            <w:b w:val="0"/>
            <w:bCs w:val="0"/>
            <w:i w:val="0"/>
            <w:iCs w:val="0"/>
          </w:rPr>
          <w:t>الفصل التاسع : الإحباط و التکفیر</w:t>
        </w:r>
        <w:r>
          <w:tab/>
        </w:r>
        <w:r>
          <w:fldChar w:fldCharType="begin"/>
        </w:r>
        <w:r>
          <w:instrText xml:space="preserve">PAGEREF 1719 \h</w:instrText>
        </w:r>
        <w:r>
          <w:fldChar w:fldCharType="end"/>
        </w:r>
      </w:hyperlink>
    </w:p>
    <w:p>
      <w:pPr>
        <w:tabs>
          <w:tab w:val="right" w:leader="dot" w:pos="9062"/>
        </w:tabs>
        <w:ind w:left="880"/>
      </w:pPr>
      <w:hyperlink w:anchor="_Toc1720" w:history="1">
        <w:r>
          <w:rPr>
            <w:rFonts w:ascii="IRNazanin" w:hAnsi="IRNazanin" w:eastAsia="IRNazanin" w:cs="IRNazanin"/>
            <w:color w:val="111111"/>
            <w:sz w:val="22"/>
            <w:szCs w:val="22"/>
            <w:b w:val="0"/>
            <w:bCs w:val="0"/>
            <w:i w:val="0"/>
            <w:iCs w:val="0"/>
          </w:rPr>
          <w:t>الفصل العاشر : الإجابة عن أسئلة حول المعاد</w:t>
        </w:r>
        <w:r>
          <w:tab/>
        </w:r>
        <w:r>
          <w:fldChar w:fldCharType="begin"/>
        </w:r>
        <w:r>
          <w:instrText xml:space="preserve">PAGEREF 1720 \h</w:instrText>
        </w:r>
        <w:r>
          <w:fldChar w:fldCharType="end"/>
        </w:r>
      </w:hyperlink>
    </w:p>
    <w:p>
      <w:pPr>
        <w:tabs>
          <w:tab w:val="right" w:leader="dot" w:pos="9062"/>
        </w:tabs>
        <w:ind w:left="1100"/>
      </w:pPr>
      <w:hyperlink w:anchor="_Toc17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1721 \h</w:instrText>
        </w:r>
        <w:r>
          <w:fldChar w:fldCharType="end"/>
        </w:r>
      </w:hyperlink>
    </w:p>
    <w:p>
      <w:pPr>
        <w:tabs>
          <w:tab w:val="right" w:leader="dot" w:pos="9062"/>
        </w:tabs>
        <w:ind w:left="1100"/>
      </w:pPr>
      <w:hyperlink w:anchor="_Toc1722" w:history="1">
        <w:r>
          <w:rPr>
            <w:rFonts w:ascii="IRNazanin" w:hAnsi="IRNazanin" w:eastAsia="IRNazanin" w:cs="IRNazanin"/>
            <w:color w:val="111111"/>
            <w:sz w:val="22"/>
            <w:szCs w:val="22"/>
            <w:b w:val="0"/>
            <w:bCs w:val="0"/>
            <w:i w:val="0"/>
            <w:iCs w:val="0"/>
          </w:rPr>
          <w:t>1. کیف یخلّد الإنسان فی الآخرة مع أنّ المادّة تفنی؟</w:t>
        </w:r>
        <w:r>
          <w:tab/>
        </w:r>
        <w:r>
          <w:fldChar w:fldCharType="begin"/>
        </w:r>
        <w:r>
          <w:instrText xml:space="preserve">PAGEREF 1722 \h</w:instrText>
        </w:r>
        <w:r>
          <w:fldChar w:fldCharType="end"/>
        </w:r>
      </w:hyperlink>
    </w:p>
    <w:p>
      <w:pPr>
        <w:tabs>
          <w:tab w:val="right" w:leader="dot" w:pos="9062"/>
        </w:tabs>
        <w:ind w:left="1100"/>
      </w:pPr>
      <w:hyperlink w:anchor="_Toc1723" w:history="1">
        <w:r>
          <w:rPr>
            <w:rFonts w:ascii="IRNazanin" w:hAnsi="IRNazanin" w:eastAsia="IRNazanin" w:cs="IRNazanin"/>
            <w:color w:val="111111"/>
            <w:sz w:val="22"/>
            <w:szCs w:val="22"/>
            <w:b w:val="0"/>
            <w:bCs w:val="0"/>
            <w:i w:val="0"/>
            <w:iCs w:val="0"/>
          </w:rPr>
          <w:t>2. ما هو الغرض من عقاب المجرم؟</w:t>
        </w:r>
        <w:r>
          <w:tab/>
        </w:r>
        <w:r>
          <w:fldChar w:fldCharType="begin"/>
        </w:r>
        <w:r>
          <w:instrText xml:space="preserve">PAGEREF 1723 \h</w:instrText>
        </w:r>
        <w:r>
          <w:fldChar w:fldCharType="end"/>
        </w:r>
      </w:hyperlink>
    </w:p>
    <w:p>
      <w:pPr>
        <w:tabs>
          <w:tab w:val="right" w:leader="dot" w:pos="9062"/>
        </w:tabs>
        <w:ind w:left="1100"/>
      </w:pPr>
      <w:hyperlink w:anchor="_Toc1724" w:history="1">
        <w:r>
          <w:rPr>
            <w:rFonts w:ascii="IRNazanin" w:hAnsi="IRNazanin" w:eastAsia="IRNazanin" w:cs="IRNazanin"/>
            <w:color w:val="111111"/>
            <w:sz w:val="22"/>
            <w:szCs w:val="22"/>
            <w:b w:val="0"/>
            <w:bCs w:val="0"/>
            <w:i w:val="0"/>
            <w:iCs w:val="0"/>
          </w:rPr>
          <w:t>3. هل یجوز العفو عن المسیء ؟</w:t>
        </w:r>
        <w:r>
          <w:tab/>
        </w:r>
        <w:r>
          <w:fldChar w:fldCharType="begin"/>
        </w:r>
        <w:r>
          <w:instrText xml:space="preserve">PAGEREF 1724 \h</w:instrText>
        </w:r>
        <w:r>
          <w:fldChar w:fldCharType="end"/>
        </w:r>
      </w:hyperlink>
    </w:p>
    <w:p>
      <w:pPr>
        <w:tabs>
          <w:tab w:val="right" w:leader="dot" w:pos="9062"/>
        </w:tabs>
        <w:ind w:left="1100"/>
      </w:pPr>
      <w:hyperlink w:anchor="_Toc1725" w:history="1">
        <w:r>
          <w:rPr>
            <w:rFonts w:ascii="IRNazanin" w:hAnsi="IRNazanin" w:eastAsia="IRNazanin" w:cs="IRNazanin"/>
            <w:color w:val="111111"/>
            <w:sz w:val="22"/>
            <w:szCs w:val="22"/>
            <w:b w:val="0"/>
            <w:bCs w:val="0"/>
            <w:i w:val="0"/>
            <w:iCs w:val="0"/>
          </w:rPr>
          <w:t>4. هل الجنّة و النار مخلوقتان؟</w:t>
        </w:r>
        <w:r>
          <w:tab/>
        </w:r>
        <w:r>
          <w:fldChar w:fldCharType="begin"/>
        </w:r>
        <w:r>
          <w:instrText xml:space="preserve">PAGEREF 1725 \h</w:instrText>
        </w:r>
        <w:r>
          <w:fldChar w:fldCharType="end"/>
        </w:r>
      </w:hyperlink>
    </w:p>
    <w:p>
      <w:pPr>
        <w:tabs>
          <w:tab w:val="right" w:leader="dot" w:pos="9062"/>
        </w:tabs>
        <w:ind w:left="1100"/>
      </w:pPr>
      <w:hyperlink w:anchor="_Toc1726" w:history="1">
        <w:r>
          <w:rPr>
            <w:rFonts w:ascii="IRNazanin" w:hAnsi="IRNazanin" w:eastAsia="IRNazanin" w:cs="IRNazanin"/>
            <w:color w:val="111111"/>
            <w:sz w:val="22"/>
            <w:szCs w:val="22"/>
            <w:b w:val="0"/>
            <w:bCs w:val="0"/>
            <w:i w:val="0"/>
            <w:iCs w:val="0"/>
          </w:rPr>
          <w:t>5. أین مکان الجنّة و النّار؟</w:t>
        </w:r>
        <w:r>
          <w:tab/>
        </w:r>
        <w:r>
          <w:fldChar w:fldCharType="begin"/>
        </w:r>
        <w:r>
          <w:instrText xml:space="preserve">PAGEREF 1726 \h</w:instrText>
        </w:r>
        <w:r>
          <w:fldChar w:fldCharType="end"/>
        </w:r>
      </w:hyperlink>
    </w:p>
    <w:p>
      <w:pPr>
        <w:tabs>
          <w:tab w:val="right" w:leader="dot" w:pos="9062"/>
        </w:tabs>
        <w:ind w:left="1100"/>
      </w:pPr>
      <w:hyperlink w:anchor="_Toc1727" w:history="1">
        <w:r>
          <w:rPr>
            <w:rFonts w:ascii="IRNazanin" w:hAnsi="IRNazanin" w:eastAsia="IRNazanin" w:cs="IRNazanin"/>
            <w:color w:val="111111"/>
            <w:sz w:val="22"/>
            <w:szCs w:val="22"/>
            <w:b w:val="0"/>
            <w:bCs w:val="0"/>
            <w:i w:val="0"/>
            <w:iCs w:val="0"/>
          </w:rPr>
          <w:t>6. من هو المخلَّد فی النار؟</w:t>
        </w:r>
        <w:r>
          <w:tab/>
        </w:r>
        <w:r>
          <w:fldChar w:fldCharType="begin"/>
        </w:r>
        <w:r>
          <w:instrText xml:space="preserve">PAGEREF 1727 \h</w:instrText>
        </w:r>
        <w:r>
          <w:fldChar w:fldCharType="end"/>
        </w:r>
      </w:hyperlink>
    </w:p>
    <w:p>
      <w:pPr>
        <w:tabs>
          <w:tab w:val="right" w:leader="dot" w:pos="9062"/>
        </w:tabs>
        <w:ind w:left="1100"/>
      </w:pPr>
      <w:hyperlink w:anchor="_Toc1728" w:history="1">
        <w:r>
          <w:rPr>
            <w:rFonts w:ascii="IRNazanin" w:hAnsi="IRNazanin" w:eastAsia="IRNazanin" w:cs="IRNazanin"/>
            <w:color w:val="111111"/>
            <w:sz w:val="22"/>
            <w:szCs w:val="22"/>
            <w:b w:val="0"/>
            <w:bCs w:val="0"/>
            <w:i w:val="0"/>
            <w:iCs w:val="0"/>
          </w:rPr>
          <w:t>7. کیف یصحّ الخلود مع کون الذنب منقطعاً؟</w:t>
        </w:r>
        <w:r>
          <w:tab/>
        </w:r>
        <w:r>
          <w:fldChar w:fldCharType="begin"/>
        </w:r>
        <w:r>
          <w:instrText xml:space="preserve">PAGEREF 1728 \h</w:instrText>
        </w:r>
        <w:r>
          <w:fldChar w:fldCharType="end"/>
        </w:r>
      </w:hyperlink>
    </w:p>
    <w:p>
      <w:pPr>
        <w:tabs>
          <w:tab w:val="right" w:leader="dot" w:pos="9062"/>
        </w:tabs>
        <w:ind w:left="660"/>
      </w:pPr>
      <w:hyperlink w:anchor="_Toc1729" w:history="1">
        <w:r>
          <w:rPr>
            <w:rFonts w:ascii="IRNazanin" w:hAnsi="IRNazanin" w:eastAsia="IRNazanin" w:cs="IRNazanin"/>
            <w:color w:val="111111"/>
            <w:sz w:val="22"/>
            <w:szCs w:val="22"/>
            <w:b w:val="0"/>
            <w:bCs w:val="0"/>
            <w:i w:val="0"/>
            <w:iCs w:val="0"/>
          </w:rPr>
          <w:t>خاتمة المطاف</w:t>
        </w:r>
        <w:r>
          <w:tab/>
        </w:r>
        <w:r>
          <w:fldChar w:fldCharType="begin"/>
        </w:r>
        <w:r>
          <w:instrText xml:space="preserve">PAGEREF 1729 \h</w:instrText>
        </w:r>
        <w:r>
          <w:fldChar w:fldCharType="end"/>
        </w:r>
      </w:hyperlink>
    </w:p>
    <w:p>
      <w:pPr>
        <w:tabs>
          <w:tab w:val="right" w:leader="dot" w:pos="9062"/>
        </w:tabs>
        <w:ind w:left="880"/>
      </w:pPr>
      <w:hyperlink w:anchor="_Toc17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1730 \h</w:instrText>
        </w:r>
        <w:r>
          <w:fldChar w:fldCharType="end"/>
        </w:r>
      </w:hyperlink>
    </w:p>
    <w:p>
      <w:pPr>
        <w:tabs>
          <w:tab w:val="right" w:leader="dot" w:pos="9062"/>
        </w:tabs>
        <w:ind w:left="880"/>
      </w:pPr>
      <w:hyperlink w:anchor="_Toc1731" w:history="1">
        <w:r>
          <w:rPr>
            <w:rFonts w:ascii="IRNazanin" w:hAnsi="IRNazanin" w:eastAsia="IRNazanin" w:cs="IRNazanin"/>
            <w:color w:val="111111"/>
            <w:sz w:val="22"/>
            <w:szCs w:val="22"/>
            <w:b w:val="0"/>
            <w:bCs w:val="0"/>
            <w:i w:val="0"/>
            <w:iCs w:val="0"/>
          </w:rPr>
          <w:t>1. الإیمان و أحکامه</w:t>
        </w:r>
        <w:r>
          <w:tab/>
        </w:r>
        <w:r>
          <w:fldChar w:fldCharType="begin"/>
        </w:r>
        <w:r>
          <w:instrText xml:space="preserve">PAGEREF 1731 \h</w:instrText>
        </w:r>
        <w:r>
          <w:fldChar w:fldCharType="end"/>
        </w:r>
      </w:hyperlink>
    </w:p>
    <w:p>
      <w:pPr>
        <w:tabs>
          <w:tab w:val="right" w:leader="dot" w:pos="9062"/>
        </w:tabs>
        <w:ind w:left="880"/>
      </w:pPr>
      <w:hyperlink w:anchor="_Toc1732" w:history="1">
        <w:r>
          <w:rPr>
            <w:rFonts w:ascii="IRNazanin" w:hAnsi="IRNazanin" w:eastAsia="IRNazanin" w:cs="IRNazanin"/>
            <w:color w:val="111111"/>
            <w:sz w:val="22"/>
            <w:szCs w:val="22"/>
            <w:b w:val="0"/>
            <w:bCs w:val="0"/>
            <w:i w:val="0"/>
            <w:iCs w:val="0"/>
          </w:rPr>
          <w:t>2. الشیعة و الاتّهامات الواهیة</w:t>
        </w:r>
        <w:r>
          <w:tab/>
        </w:r>
        <w:r>
          <w:fldChar w:fldCharType="begin"/>
        </w:r>
        <w:r>
          <w:instrText xml:space="preserve">PAGEREF 1732 \h</w:instrText>
        </w:r>
        <w:r>
          <w:fldChar w:fldCharType="end"/>
        </w:r>
      </w:hyperlink>
    </w:p>
    <w:p>
      <w:pPr>
        <w:tabs>
          <w:tab w:val="right" w:leader="dot" w:pos="9062"/>
        </w:tabs>
        <w:ind w:left="880"/>
      </w:pPr>
      <w:hyperlink w:anchor="_Toc1733" w:history="1">
        <w:r>
          <w:rPr>
            <w:rFonts w:ascii="IRNazanin" w:hAnsi="IRNazanin" w:eastAsia="IRNazanin" w:cs="IRNazanin"/>
            <w:color w:val="111111"/>
            <w:sz w:val="22"/>
            <w:szCs w:val="22"/>
            <w:b w:val="0"/>
            <w:bCs w:val="0"/>
            <w:i w:val="0"/>
            <w:iCs w:val="0"/>
          </w:rPr>
          <w:t>[3] الصحابة فی الذکر الحکیم</w:t>
        </w:r>
        <w:r>
          <w:tab/>
        </w:r>
        <w:r>
          <w:fldChar w:fldCharType="begin"/>
        </w:r>
        <w:r>
          <w:instrText xml:space="preserve">PAGEREF 1733 \h</w:instrText>
        </w:r>
        <w:r>
          <w:fldChar w:fldCharType="end"/>
        </w:r>
      </w:hyperlink>
    </w:p>
    <w:p>
      <w:pPr>
        <w:tabs>
          <w:tab w:val="right" w:leader="dot" w:pos="9062"/>
        </w:tabs>
        <w:ind w:left="880"/>
      </w:pPr>
      <w:hyperlink w:anchor="_Toc1734" w:history="1">
        <w:r>
          <w:rPr>
            <w:rFonts w:ascii="IRNazanin" w:hAnsi="IRNazanin" w:eastAsia="IRNazanin" w:cs="IRNazanin"/>
            <w:color w:val="111111"/>
            <w:sz w:val="22"/>
            <w:szCs w:val="22"/>
            <w:b w:val="0"/>
            <w:bCs w:val="0"/>
            <w:i w:val="0"/>
            <w:iCs w:val="0"/>
          </w:rPr>
          <w:t>[4] التاریخ و عدالة الصحابة</w:t>
        </w:r>
        <w:r>
          <w:tab/>
        </w:r>
        <w:r>
          <w:fldChar w:fldCharType="begin"/>
        </w:r>
        <w:r>
          <w:instrText xml:space="preserve">PAGEREF 1734 \h</w:instrText>
        </w:r>
        <w:r>
          <w:fldChar w:fldCharType="end"/>
        </w:r>
      </w:hyperlink>
    </w:p>
    <w:p>
      <w:pPr>
        <w:tabs>
          <w:tab w:val="right" w:leader="dot" w:pos="9062"/>
        </w:tabs>
        <w:ind w:left="880"/>
      </w:pPr>
      <w:hyperlink w:anchor="_Toc1735" w:history="1">
        <w:r>
          <w:rPr>
            <w:rFonts w:ascii="IRNazanin" w:hAnsi="IRNazanin" w:eastAsia="IRNazanin" w:cs="IRNazanin"/>
            <w:color w:val="111111"/>
            <w:sz w:val="22"/>
            <w:szCs w:val="22"/>
            <w:b w:val="0"/>
            <w:bCs w:val="0"/>
            <w:i w:val="0"/>
            <w:iCs w:val="0"/>
          </w:rPr>
          <w:t>[5] حدیث أصحابی کالنجوم</w:t>
        </w:r>
        <w:r>
          <w:tab/>
        </w:r>
        <w:r>
          <w:fldChar w:fldCharType="begin"/>
        </w:r>
        <w:r>
          <w:instrText xml:space="preserve">PAGEREF 1735 \h</w:instrText>
        </w:r>
        <w:r>
          <w:fldChar w:fldCharType="end"/>
        </w:r>
      </w:hyperlink>
    </w:p>
    <w:p>
      <w:pPr>
        <w:tabs>
          <w:tab w:val="right" w:leader="dot" w:pos="9062"/>
        </w:tabs>
        <w:ind w:left="880"/>
      </w:pPr>
      <w:hyperlink w:anchor="_Toc1736" w:history="1">
        <w:r>
          <w:rPr>
            <w:rFonts w:ascii="IRNazanin" w:hAnsi="IRNazanin" w:eastAsia="IRNazanin" w:cs="IRNazanin"/>
            <w:color w:val="111111"/>
            <w:sz w:val="22"/>
            <w:szCs w:val="22"/>
            <w:b w:val="0"/>
            <w:bCs w:val="0"/>
            <w:i w:val="0"/>
            <w:iCs w:val="0"/>
          </w:rPr>
          <w:t>[6] کلمة لبعض المعاصرین من أهل السنّة</w:t>
        </w:r>
        <w:r>
          <w:tab/>
        </w:r>
        <w:r>
          <w:fldChar w:fldCharType="begin"/>
        </w:r>
        <w:r>
          <w:instrText xml:space="preserve">PAGEREF 1736 \h</w:instrText>
        </w:r>
        <w:r>
          <w:fldChar w:fldCharType="end"/>
        </w:r>
      </w:hyperlink>
    </w:p>
    <w:p>
      <w:pPr>
        <w:tabs>
          <w:tab w:val="right" w:leader="dot" w:pos="9062"/>
        </w:tabs>
        <w:ind w:left="880"/>
      </w:pPr>
      <w:hyperlink w:anchor="_Toc1737" w:history="1">
        <w:r>
          <w:rPr>
            <w:rFonts w:ascii="IRNazanin" w:hAnsi="IRNazanin" w:eastAsia="IRNazanin" w:cs="IRNazanin"/>
            <w:color w:val="111111"/>
            <w:sz w:val="22"/>
            <w:szCs w:val="22"/>
            <w:b w:val="0"/>
            <w:bCs w:val="0"/>
            <w:i w:val="0"/>
            <w:iCs w:val="0"/>
          </w:rPr>
          <w:t>[7] التقیة فی الکتاب العزیز</w:t>
        </w:r>
        <w:r>
          <w:tab/>
        </w:r>
        <w:r>
          <w:fldChar w:fldCharType="begin"/>
        </w:r>
        <w:r>
          <w:instrText xml:space="preserve">PAGEREF 1737 \h</w:instrText>
        </w:r>
        <w:r>
          <w:fldChar w:fldCharType="end"/>
        </w:r>
      </w:hyperlink>
    </w:p>
    <w:p>
      <w:pPr>
        <w:tabs>
          <w:tab w:val="right" w:leader="dot" w:pos="9062"/>
        </w:tabs>
        <w:ind w:left="660"/>
      </w:pPr>
      <w:hyperlink w:anchor="_Toc1738" w:history="1">
        <w:r>
          <w:rPr>
            <w:rFonts w:ascii="IRNazanin" w:hAnsi="IRNazanin" w:eastAsia="IRNazanin" w:cs="IRNazanin"/>
            <w:color w:val="111111"/>
            <w:sz w:val="22"/>
            <w:szCs w:val="22"/>
            <w:b w:val="0"/>
            <w:bCs w:val="0"/>
            <w:i w:val="0"/>
            <w:iCs w:val="0"/>
          </w:rPr>
          <w:t>فهرس المصادر</w:t>
        </w:r>
        <w:r>
          <w:tab/>
        </w:r>
        <w:r>
          <w:fldChar w:fldCharType="begin"/>
        </w:r>
        <w:r>
          <w:instrText xml:space="preserve">PAGEREF 1738 \h</w:instrText>
        </w:r>
        <w:r>
          <w:fldChar w:fldCharType="end"/>
        </w:r>
      </w:hyperlink>
    </w:p>
    <w:p>
      <w:pPr>
        <w:tabs>
          <w:tab w:val="right" w:leader="dot" w:pos="9062"/>
        </w:tabs>
        <w:ind w:left="220"/>
      </w:pPr>
      <w:hyperlink w:anchor="_Toc1739" w:history="1">
        <w:r>
          <w:rPr>
            <w:rFonts w:ascii="IRNazanin" w:hAnsi="IRNazanin" w:eastAsia="IRNazanin" w:cs="IRNazanin"/>
            <w:color w:val="111111"/>
            <w:sz w:val="22"/>
            <w:szCs w:val="22"/>
            <w:b w:val="0"/>
            <w:bCs w:val="0"/>
            <w:i w:val="0"/>
            <w:iCs w:val="0"/>
          </w:rPr>
          <w:t>رجال</w:t>
        </w:r>
        <w:r>
          <w:tab/>
        </w:r>
        <w:r>
          <w:fldChar w:fldCharType="begin"/>
        </w:r>
        <w:r>
          <w:instrText xml:space="preserve">PAGEREF 1739 \h</w:instrText>
        </w:r>
        <w:r>
          <w:fldChar w:fldCharType="end"/>
        </w:r>
      </w:hyperlink>
    </w:p>
    <w:p>
      <w:pPr>
        <w:tabs>
          <w:tab w:val="right" w:leader="dot" w:pos="9062"/>
        </w:tabs>
        <w:ind w:left="440"/>
      </w:pPr>
      <w:hyperlink w:anchor="_Toc1740" w:history="1">
        <w:r>
          <w:rPr>
            <w:rFonts w:ascii="IRNazanin" w:hAnsi="IRNazanin" w:eastAsia="IRNazanin" w:cs="IRNazanin"/>
            <w:color w:val="111111"/>
            <w:sz w:val="22"/>
            <w:szCs w:val="22"/>
            <w:b w:val="0"/>
            <w:bCs w:val="0"/>
            <w:i w:val="0"/>
            <w:iCs w:val="0"/>
          </w:rPr>
          <w:t>کلیات فی علم الرجال (از ابتدا تا پایان بحث «أصحاب الإجماع»)</w:t>
        </w:r>
        <w:r>
          <w:tab/>
        </w:r>
        <w:r>
          <w:fldChar w:fldCharType="begin"/>
        </w:r>
        <w:r>
          <w:instrText xml:space="preserve">PAGEREF 1740 \h</w:instrText>
        </w:r>
        <w:r>
          <w:fldChar w:fldCharType="end"/>
        </w:r>
      </w:hyperlink>
    </w:p>
    <w:p>
      <w:pPr>
        <w:tabs>
          <w:tab w:val="right" w:leader="dot" w:pos="9062"/>
        </w:tabs>
        <w:ind w:left="660"/>
      </w:pPr>
      <w:hyperlink w:anchor="_Toc17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1741 \h</w:instrText>
        </w:r>
        <w:r>
          <w:fldChar w:fldCharType="end"/>
        </w:r>
      </w:hyperlink>
    </w:p>
    <w:p>
      <w:pPr>
        <w:tabs>
          <w:tab w:val="right" w:leader="dot" w:pos="9062"/>
        </w:tabs>
        <w:ind w:left="660"/>
      </w:pPr>
      <w:hyperlink w:anchor="_Toc17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1742 \h</w:instrText>
        </w:r>
        <w:r>
          <w:fldChar w:fldCharType="end"/>
        </w:r>
      </w:hyperlink>
    </w:p>
    <w:p>
      <w:pPr>
        <w:tabs>
          <w:tab w:val="right" w:leader="dot" w:pos="9062"/>
        </w:tabs>
        <w:ind w:left="660"/>
      </w:pPr>
      <w:hyperlink w:anchor="_Toc1743" w:history="1">
        <w:r>
          <w:rPr>
            <w:rFonts w:ascii="IRNazanin" w:hAnsi="IRNazanin" w:eastAsia="IRNazanin" w:cs="IRNazanin"/>
            <w:color w:val="111111"/>
            <w:sz w:val="22"/>
            <w:szCs w:val="22"/>
            <w:b w:val="0"/>
            <w:bCs w:val="0"/>
            <w:i w:val="0"/>
            <w:iCs w:val="0"/>
          </w:rPr>
          <w:t>مقدمة الناشر</w:t>
        </w:r>
        <w:r>
          <w:tab/>
        </w:r>
        <w:r>
          <w:fldChar w:fldCharType="begin"/>
        </w:r>
        <w:r>
          <w:instrText xml:space="preserve">PAGEREF 1743 \h</w:instrText>
        </w:r>
        <w:r>
          <w:fldChar w:fldCharType="end"/>
        </w:r>
      </w:hyperlink>
    </w:p>
    <w:p>
      <w:pPr>
        <w:tabs>
          <w:tab w:val="right" w:leader="dot" w:pos="9062"/>
        </w:tabs>
        <w:ind w:left="660"/>
      </w:pPr>
      <w:hyperlink w:anchor="_Toc1744" w:history="1">
        <w:r>
          <w:rPr>
            <w:rFonts w:ascii="IRNazanin" w:hAnsi="IRNazanin" w:eastAsia="IRNazanin" w:cs="IRNazanin"/>
            <w:color w:val="111111"/>
            <w:sz w:val="22"/>
            <w:szCs w:val="22"/>
            <w:b w:val="0"/>
            <w:bCs w:val="0"/>
            <w:i w:val="0"/>
            <w:iCs w:val="0"/>
          </w:rPr>
          <w:t>تصدیر</w:t>
        </w:r>
        <w:r>
          <w:tab/>
        </w:r>
        <w:r>
          <w:fldChar w:fldCharType="begin"/>
        </w:r>
        <w:r>
          <w:instrText xml:space="preserve">PAGEREF 1744 \h</w:instrText>
        </w:r>
        <w:r>
          <w:fldChar w:fldCharType="end"/>
        </w:r>
      </w:hyperlink>
    </w:p>
    <w:p>
      <w:pPr>
        <w:tabs>
          <w:tab w:val="right" w:leader="dot" w:pos="9062"/>
        </w:tabs>
        <w:ind w:left="660"/>
      </w:pPr>
      <w:hyperlink w:anchor="_Toc1745" w:history="1">
        <w:r>
          <w:rPr>
            <w:rFonts w:ascii="IRNazanin" w:hAnsi="IRNazanin" w:eastAsia="IRNazanin" w:cs="IRNazanin"/>
            <w:color w:val="111111"/>
            <w:sz w:val="22"/>
            <w:szCs w:val="22"/>
            <w:b w:val="0"/>
            <w:bCs w:val="0"/>
            <w:i w:val="0"/>
            <w:iCs w:val="0"/>
          </w:rPr>
          <w:t>الفصل الاول</w:t>
        </w:r>
        <w:r>
          <w:tab/>
        </w:r>
        <w:r>
          <w:fldChar w:fldCharType="begin"/>
        </w:r>
        <w:r>
          <w:instrText xml:space="preserve">PAGEREF 1745 \h</w:instrText>
        </w:r>
        <w:r>
          <w:fldChar w:fldCharType="end"/>
        </w:r>
      </w:hyperlink>
    </w:p>
    <w:p>
      <w:pPr>
        <w:tabs>
          <w:tab w:val="right" w:leader="dot" w:pos="9062"/>
        </w:tabs>
        <w:ind w:left="880"/>
      </w:pPr>
      <w:hyperlink w:anchor="_Toc17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1746 \h</w:instrText>
        </w:r>
        <w:r>
          <w:fldChar w:fldCharType="end"/>
        </w:r>
      </w:hyperlink>
    </w:p>
    <w:p>
      <w:pPr>
        <w:tabs>
          <w:tab w:val="right" w:leader="dot" w:pos="9062"/>
        </w:tabs>
        <w:ind w:left="880"/>
      </w:pPr>
      <w:hyperlink w:anchor="_Toc1747" w:history="1">
        <w:r>
          <w:rPr>
            <w:rFonts w:ascii="IRNazanin" w:hAnsi="IRNazanin" w:eastAsia="IRNazanin" w:cs="IRNazanin"/>
            <w:color w:val="111111"/>
            <w:sz w:val="22"/>
            <w:szCs w:val="22"/>
            <w:b w:val="0"/>
            <w:bCs w:val="0"/>
            <w:i w:val="0"/>
            <w:iCs w:val="0"/>
          </w:rPr>
          <w:t>ما هو علم الرجال ؟</w:t>
        </w:r>
        <w:r>
          <w:tab/>
        </w:r>
        <w:r>
          <w:fldChar w:fldCharType="begin"/>
        </w:r>
        <w:r>
          <w:instrText xml:space="preserve">PAGEREF 1747 \h</w:instrText>
        </w:r>
        <w:r>
          <w:fldChar w:fldCharType="end"/>
        </w:r>
      </w:hyperlink>
    </w:p>
    <w:p>
      <w:pPr>
        <w:tabs>
          <w:tab w:val="right" w:leader="dot" w:pos="9062"/>
        </w:tabs>
        <w:ind w:left="880"/>
      </w:pPr>
      <w:hyperlink w:anchor="_Toc1748" w:history="1">
        <w:r>
          <w:rPr>
            <w:rFonts w:ascii="IRNazanin" w:hAnsi="IRNazanin" w:eastAsia="IRNazanin" w:cs="IRNazanin"/>
            <w:color w:val="111111"/>
            <w:sz w:val="22"/>
            <w:szCs w:val="22"/>
            <w:b w:val="0"/>
            <w:bCs w:val="0"/>
            <w:i w:val="0"/>
            <w:iCs w:val="0"/>
          </w:rPr>
          <w:t>ما هو موضوع علم الرجال ؟</w:t>
        </w:r>
        <w:r>
          <w:tab/>
        </w:r>
        <w:r>
          <w:fldChar w:fldCharType="begin"/>
        </w:r>
        <w:r>
          <w:instrText xml:space="preserve">PAGEREF 1748 \h</w:instrText>
        </w:r>
        <w:r>
          <w:fldChar w:fldCharType="end"/>
        </w:r>
      </w:hyperlink>
    </w:p>
    <w:p>
      <w:pPr>
        <w:tabs>
          <w:tab w:val="right" w:leader="dot" w:pos="9062"/>
        </w:tabs>
        <w:ind w:left="880"/>
      </w:pPr>
      <w:hyperlink w:anchor="_Toc1749" w:history="1">
        <w:r>
          <w:rPr>
            <w:rFonts w:ascii="IRNazanin" w:hAnsi="IRNazanin" w:eastAsia="IRNazanin" w:cs="IRNazanin"/>
            <w:color w:val="111111"/>
            <w:sz w:val="22"/>
            <w:szCs w:val="22"/>
            <w:b w:val="0"/>
            <w:bCs w:val="0"/>
            <w:i w:val="0"/>
            <w:iCs w:val="0"/>
          </w:rPr>
          <w:t>ما هو مسائله ؟</w:t>
        </w:r>
        <w:r>
          <w:tab/>
        </w:r>
        <w:r>
          <w:fldChar w:fldCharType="begin"/>
        </w:r>
        <w:r>
          <w:instrText xml:space="preserve">PAGEREF 1749 \h</w:instrText>
        </w:r>
        <w:r>
          <w:fldChar w:fldCharType="end"/>
        </w:r>
      </w:hyperlink>
    </w:p>
    <w:p>
      <w:pPr>
        <w:tabs>
          <w:tab w:val="right" w:leader="dot" w:pos="9062"/>
        </w:tabs>
        <w:ind w:left="880"/>
      </w:pPr>
      <w:hyperlink w:anchor="_Toc1750" w:history="1">
        <w:r>
          <w:rPr>
            <w:rFonts w:ascii="IRNazanin" w:hAnsi="IRNazanin" w:eastAsia="IRNazanin" w:cs="IRNazanin"/>
            <w:color w:val="111111"/>
            <w:sz w:val="22"/>
            <w:szCs w:val="22"/>
            <w:b w:val="0"/>
            <w:bCs w:val="0"/>
            <w:i w:val="0"/>
            <w:iCs w:val="0"/>
          </w:rPr>
          <w:t>علم التراجم و تمایزه عن علم الرجال</w:t>
        </w:r>
        <w:r>
          <w:tab/>
        </w:r>
        <w:r>
          <w:fldChar w:fldCharType="begin"/>
        </w:r>
        <w:r>
          <w:instrText xml:space="preserve">PAGEREF 1750 \h</w:instrText>
        </w:r>
        <w:r>
          <w:fldChar w:fldCharType="end"/>
        </w:r>
      </w:hyperlink>
    </w:p>
    <w:p>
      <w:pPr>
        <w:tabs>
          <w:tab w:val="right" w:leader="dot" w:pos="9062"/>
        </w:tabs>
        <w:ind w:left="880"/>
      </w:pPr>
      <w:hyperlink w:anchor="_Toc1751" w:history="1">
        <w:r>
          <w:rPr>
            <w:rFonts w:ascii="IRNazanin" w:hAnsi="IRNazanin" w:eastAsia="IRNazanin" w:cs="IRNazanin"/>
            <w:color w:val="111111"/>
            <w:sz w:val="22"/>
            <w:szCs w:val="22"/>
            <w:b w:val="0"/>
            <w:bCs w:val="0"/>
            <w:i w:val="0"/>
            <w:iCs w:val="0"/>
          </w:rPr>
          <w:t>الفرق بین علم الرجال و الدرایة</w:t>
        </w:r>
        <w:r>
          <w:tab/>
        </w:r>
        <w:r>
          <w:fldChar w:fldCharType="begin"/>
        </w:r>
        <w:r>
          <w:instrText xml:space="preserve">PAGEREF 1751 \h</w:instrText>
        </w:r>
        <w:r>
          <w:fldChar w:fldCharType="end"/>
        </w:r>
      </w:hyperlink>
    </w:p>
    <w:p>
      <w:pPr>
        <w:tabs>
          <w:tab w:val="right" w:leader="dot" w:pos="9062"/>
        </w:tabs>
        <w:ind w:left="880"/>
      </w:pPr>
      <w:hyperlink w:anchor="_Toc1752" w:history="1">
        <w:r>
          <w:rPr>
            <w:rFonts w:ascii="IRNazanin" w:hAnsi="IRNazanin" w:eastAsia="IRNazanin" w:cs="IRNazanin"/>
            <w:color w:val="111111"/>
            <w:sz w:val="22"/>
            <w:szCs w:val="22"/>
            <w:b w:val="0"/>
            <w:bCs w:val="0"/>
            <w:i w:val="0"/>
            <w:iCs w:val="0"/>
          </w:rPr>
          <w:t>مدار البحث فی هذه المحاضرات</w:t>
        </w:r>
        <w:r>
          <w:tab/>
        </w:r>
        <w:r>
          <w:fldChar w:fldCharType="begin"/>
        </w:r>
        <w:r>
          <w:instrText xml:space="preserve">PAGEREF 1752 \h</w:instrText>
        </w:r>
        <w:r>
          <w:fldChar w:fldCharType="end"/>
        </w:r>
      </w:hyperlink>
    </w:p>
    <w:p>
      <w:pPr>
        <w:tabs>
          <w:tab w:val="right" w:leader="dot" w:pos="9062"/>
        </w:tabs>
        <w:ind w:left="1100"/>
      </w:pPr>
      <w:hyperlink w:anchor="_Toc17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1753 \h</w:instrText>
        </w:r>
        <w:r>
          <w:fldChar w:fldCharType="end"/>
        </w:r>
      </w:hyperlink>
    </w:p>
    <w:p>
      <w:pPr>
        <w:tabs>
          <w:tab w:val="right" w:leader="dot" w:pos="9062"/>
        </w:tabs>
        <w:ind w:left="1100"/>
      </w:pPr>
      <w:hyperlink w:anchor="_Toc1754" w:history="1">
        <w:r>
          <w:rPr>
            <w:rFonts w:ascii="IRNazanin" w:hAnsi="IRNazanin" w:eastAsia="IRNazanin" w:cs="IRNazanin"/>
            <w:color w:val="111111"/>
            <w:sz w:val="22"/>
            <w:szCs w:val="22"/>
            <w:b w:val="0"/>
            <w:bCs w:val="0"/>
            <w:i w:val="0"/>
            <w:iCs w:val="0"/>
          </w:rPr>
          <w:t>1 - أدلّة مثبتی الحاجة الی علم الرجال</w:t>
        </w:r>
        <w:r>
          <w:tab/>
        </w:r>
        <w:r>
          <w:fldChar w:fldCharType="begin"/>
        </w:r>
        <w:r>
          <w:instrText xml:space="preserve">PAGEREF 1754 \h</w:instrText>
        </w:r>
        <w:r>
          <w:fldChar w:fldCharType="end"/>
        </w:r>
      </w:hyperlink>
    </w:p>
    <w:p>
      <w:pPr>
        <w:tabs>
          <w:tab w:val="right" w:leader="dot" w:pos="9062"/>
        </w:tabs>
        <w:ind w:left="1100"/>
      </w:pPr>
      <w:hyperlink w:anchor="_Toc17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1755 \h</w:instrText>
        </w:r>
        <w:r>
          <w:fldChar w:fldCharType="end"/>
        </w:r>
      </w:hyperlink>
    </w:p>
    <w:p>
      <w:pPr>
        <w:tabs>
          <w:tab w:val="right" w:leader="dot" w:pos="9062"/>
        </w:tabs>
        <w:ind w:left="1100"/>
      </w:pPr>
      <w:hyperlink w:anchor="_Toc1756" w:history="1">
        <w:r>
          <w:rPr>
            <w:rFonts w:ascii="IRNazanin" w:hAnsi="IRNazanin" w:eastAsia="IRNazanin" w:cs="IRNazanin"/>
            <w:color w:val="111111"/>
            <w:sz w:val="22"/>
            <w:szCs w:val="22"/>
            <w:b w:val="0"/>
            <w:bCs w:val="0"/>
            <w:i w:val="0"/>
            <w:iCs w:val="0"/>
          </w:rPr>
          <w:t>الاول: حجیة قول الثقة</w:t>
        </w:r>
        <w:r>
          <w:tab/>
        </w:r>
        <w:r>
          <w:fldChar w:fldCharType="begin"/>
        </w:r>
        <w:r>
          <w:instrText xml:space="preserve">PAGEREF 1756 \h</w:instrText>
        </w:r>
        <w:r>
          <w:fldChar w:fldCharType="end"/>
        </w:r>
      </w:hyperlink>
    </w:p>
    <w:p>
      <w:pPr>
        <w:tabs>
          <w:tab w:val="right" w:leader="dot" w:pos="9062"/>
        </w:tabs>
        <w:ind w:left="1100"/>
      </w:pPr>
      <w:hyperlink w:anchor="_Toc1757" w:history="1">
        <w:r>
          <w:rPr>
            <w:rFonts w:ascii="IRNazanin" w:hAnsi="IRNazanin" w:eastAsia="IRNazanin" w:cs="IRNazanin"/>
            <w:color w:val="111111"/>
            <w:sz w:val="22"/>
            <w:szCs w:val="22"/>
            <w:b w:val="0"/>
            <w:bCs w:val="0"/>
            <w:i w:val="0"/>
            <w:iCs w:val="0"/>
          </w:rPr>
          <w:t>الثانی: الرجوع الی صفات الرّاوی فی الأخبار العلاجیّة</w:t>
        </w:r>
        <w:r>
          <w:tab/>
        </w:r>
        <w:r>
          <w:fldChar w:fldCharType="begin"/>
        </w:r>
        <w:r>
          <w:instrText xml:space="preserve">PAGEREF 1757 \h</w:instrText>
        </w:r>
        <w:r>
          <w:fldChar w:fldCharType="end"/>
        </w:r>
      </w:hyperlink>
    </w:p>
    <w:p>
      <w:pPr>
        <w:tabs>
          <w:tab w:val="right" w:leader="dot" w:pos="9062"/>
        </w:tabs>
        <w:ind w:left="1100"/>
      </w:pPr>
      <w:hyperlink w:anchor="_Toc1758" w:history="1">
        <w:r>
          <w:rPr>
            <w:rFonts w:ascii="IRNazanin" w:hAnsi="IRNazanin" w:eastAsia="IRNazanin" w:cs="IRNazanin"/>
            <w:color w:val="111111"/>
            <w:sz w:val="22"/>
            <w:szCs w:val="22"/>
            <w:b w:val="0"/>
            <w:bCs w:val="0"/>
            <w:i w:val="0"/>
            <w:iCs w:val="0"/>
          </w:rPr>
          <w:t>الثالث: وجود الوضّاعین و المدلّسین فی الرواة</w:t>
        </w:r>
        <w:r>
          <w:tab/>
        </w:r>
        <w:r>
          <w:fldChar w:fldCharType="begin"/>
        </w:r>
        <w:r>
          <w:instrText xml:space="preserve">PAGEREF 1758 \h</w:instrText>
        </w:r>
        <w:r>
          <w:fldChar w:fldCharType="end"/>
        </w:r>
      </w:hyperlink>
    </w:p>
    <w:p>
      <w:pPr>
        <w:tabs>
          <w:tab w:val="right" w:leader="dot" w:pos="9062"/>
        </w:tabs>
        <w:ind w:left="1100"/>
      </w:pPr>
      <w:hyperlink w:anchor="_Toc1759" w:history="1">
        <w:r>
          <w:rPr>
            <w:rFonts w:ascii="IRNazanin" w:hAnsi="IRNazanin" w:eastAsia="IRNazanin" w:cs="IRNazanin"/>
            <w:color w:val="111111"/>
            <w:sz w:val="22"/>
            <w:szCs w:val="22"/>
            <w:b w:val="0"/>
            <w:bCs w:val="0"/>
            <w:i w:val="0"/>
            <w:iCs w:val="0"/>
          </w:rPr>
          <w:t>الرابع: وجود العامی فی أسانید الروایات</w:t>
        </w:r>
        <w:r>
          <w:tab/>
        </w:r>
        <w:r>
          <w:fldChar w:fldCharType="begin"/>
        </w:r>
        <w:r>
          <w:instrText xml:space="preserve">PAGEREF 1759 \h</w:instrText>
        </w:r>
        <w:r>
          <w:fldChar w:fldCharType="end"/>
        </w:r>
      </w:hyperlink>
    </w:p>
    <w:p>
      <w:pPr>
        <w:tabs>
          <w:tab w:val="right" w:leader="dot" w:pos="9062"/>
        </w:tabs>
        <w:ind w:left="1100"/>
      </w:pPr>
      <w:hyperlink w:anchor="_Toc1760" w:history="1">
        <w:r>
          <w:rPr>
            <w:rFonts w:ascii="IRNazanin" w:hAnsi="IRNazanin" w:eastAsia="IRNazanin" w:cs="IRNazanin"/>
            <w:color w:val="111111"/>
            <w:sz w:val="22"/>
            <w:szCs w:val="22"/>
            <w:b w:val="0"/>
            <w:bCs w:val="0"/>
            <w:i w:val="0"/>
            <w:iCs w:val="0"/>
          </w:rPr>
          <w:t>الخامس: اجماع العلماء</w:t>
        </w:r>
        <w:r>
          <w:tab/>
        </w:r>
        <w:r>
          <w:fldChar w:fldCharType="begin"/>
        </w:r>
        <w:r>
          <w:instrText xml:space="preserve">PAGEREF 1760 \h</w:instrText>
        </w:r>
        <w:r>
          <w:fldChar w:fldCharType="end"/>
        </w:r>
      </w:hyperlink>
    </w:p>
    <w:p>
      <w:pPr>
        <w:tabs>
          <w:tab w:val="right" w:leader="dot" w:pos="9062"/>
        </w:tabs>
        <w:ind w:left="1100"/>
      </w:pPr>
      <w:hyperlink w:anchor="_Toc1761" w:history="1">
        <w:r>
          <w:rPr>
            <w:rFonts w:ascii="IRNazanin" w:hAnsi="IRNazanin" w:eastAsia="IRNazanin" w:cs="IRNazanin"/>
            <w:color w:val="111111"/>
            <w:sz w:val="22"/>
            <w:szCs w:val="22"/>
            <w:b w:val="0"/>
            <w:bCs w:val="0"/>
            <w:i w:val="0"/>
            <w:iCs w:val="0"/>
          </w:rPr>
          <w:t>2 - أدلة نفاة الحاجة الی علم الرجال</w:t>
        </w:r>
        <w:r>
          <w:tab/>
        </w:r>
        <w:r>
          <w:fldChar w:fldCharType="begin"/>
        </w:r>
        <w:r>
          <w:instrText xml:space="preserve">PAGEREF 1761 \h</w:instrText>
        </w:r>
        <w:r>
          <w:fldChar w:fldCharType="end"/>
        </w:r>
      </w:hyperlink>
    </w:p>
    <w:p>
      <w:pPr>
        <w:tabs>
          <w:tab w:val="right" w:leader="dot" w:pos="9062"/>
        </w:tabs>
        <w:ind w:left="660"/>
      </w:pPr>
      <w:hyperlink w:anchor="_Toc1762" w:history="1">
        <w:r>
          <w:rPr>
            <w:rFonts w:ascii="IRNazanin" w:hAnsi="IRNazanin" w:eastAsia="IRNazanin" w:cs="IRNazanin"/>
            <w:color w:val="111111"/>
            <w:sz w:val="22"/>
            <w:szCs w:val="22"/>
            <w:b w:val="0"/>
            <w:bCs w:val="0"/>
            <w:i w:val="0"/>
            <w:iCs w:val="0"/>
          </w:rPr>
          <w:t>الفصل الثانی: الحاجة الی علم الرجال</w:t>
        </w:r>
        <w:r>
          <w:tab/>
        </w:r>
        <w:r>
          <w:fldChar w:fldCharType="begin"/>
        </w:r>
        <w:r>
          <w:instrText xml:space="preserve">PAGEREF 1762 \h</w:instrText>
        </w:r>
        <w:r>
          <w:fldChar w:fldCharType="end"/>
        </w:r>
      </w:hyperlink>
    </w:p>
    <w:p>
      <w:pPr>
        <w:tabs>
          <w:tab w:val="right" w:leader="dot" w:pos="9062"/>
        </w:tabs>
        <w:ind w:left="880"/>
      </w:pPr>
      <w:hyperlink w:anchor="_Toc176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1763 \h</w:instrText>
        </w:r>
        <w:r>
          <w:fldChar w:fldCharType="end"/>
        </w:r>
      </w:hyperlink>
    </w:p>
    <w:p>
      <w:pPr>
        <w:tabs>
          <w:tab w:val="right" w:leader="dot" w:pos="9062"/>
        </w:tabs>
        <w:ind w:left="880"/>
      </w:pPr>
      <w:hyperlink w:anchor="_Toc1764" w:history="1">
        <w:r>
          <w:rPr>
            <w:rFonts w:ascii="IRNazanin" w:hAnsi="IRNazanin" w:eastAsia="IRNazanin" w:cs="IRNazanin"/>
            <w:color w:val="111111"/>
            <w:sz w:val="22"/>
            <w:szCs w:val="22"/>
            <w:b w:val="0"/>
            <w:bCs w:val="0"/>
            <w:i w:val="0"/>
            <w:iCs w:val="0"/>
          </w:rPr>
          <w:t>الاول: قطعیة روایات الکتب الأربعة</w:t>
        </w:r>
        <w:r>
          <w:tab/>
        </w:r>
        <w:r>
          <w:fldChar w:fldCharType="begin"/>
        </w:r>
        <w:r>
          <w:instrText xml:space="preserve">PAGEREF 1764 \h</w:instrText>
        </w:r>
        <w:r>
          <w:fldChar w:fldCharType="end"/>
        </w:r>
      </w:hyperlink>
    </w:p>
    <w:p>
      <w:pPr>
        <w:tabs>
          <w:tab w:val="right" w:leader="dot" w:pos="9062"/>
        </w:tabs>
        <w:ind w:left="880"/>
      </w:pPr>
      <w:hyperlink w:anchor="_Toc1765" w:history="1">
        <w:r>
          <w:rPr>
            <w:rFonts w:ascii="IRNazanin" w:hAnsi="IRNazanin" w:eastAsia="IRNazanin" w:cs="IRNazanin"/>
            <w:color w:val="111111"/>
            <w:sz w:val="22"/>
            <w:szCs w:val="22"/>
            <w:b w:val="0"/>
            <w:bCs w:val="0"/>
            <w:i w:val="0"/>
            <w:iCs w:val="0"/>
          </w:rPr>
          <w:t>الثانی: عمل المشهور جابر لضعف السند</w:t>
        </w:r>
        <w:r>
          <w:tab/>
        </w:r>
        <w:r>
          <w:fldChar w:fldCharType="begin"/>
        </w:r>
        <w:r>
          <w:instrText xml:space="preserve">PAGEREF 1765 \h</w:instrText>
        </w:r>
        <w:r>
          <w:fldChar w:fldCharType="end"/>
        </w:r>
      </w:hyperlink>
    </w:p>
    <w:p>
      <w:pPr>
        <w:tabs>
          <w:tab w:val="right" w:leader="dot" w:pos="9062"/>
        </w:tabs>
        <w:ind w:left="880"/>
      </w:pPr>
      <w:hyperlink w:anchor="_Toc1766" w:history="1">
        <w:r>
          <w:rPr>
            <w:rFonts w:ascii="IRNazanin" w:hAnsi="IRNazanin" w:eastAsia="IRNazanin" w:cs="IRNazanin"/>
            <w:color w:val="111111"/>
            <w:sz w:val="22"/>
            <w:szCs w:val="22"/>
            <w:b w:val="0"/>
            <w:bCs w:val="0"/>
            <w:i w:val="0"/>
            <w:iCs w:val="0"/>
          </w:rPr>
          <w:t>الثالث: لا طریق الی اثبات العدالة</w:t>
        </w:r>
        <w:r>
          <w:tab/>
        </w:r>
        <w:r>
          <w:fldChar w:fldCharType="begin"/>
        </w:r>
        <w:r>
          <w:instrText xml:space="preserve">PAGEREF 1766 \h</w:instrText>
        </w:r>
        <w:r>
          <w:fldChar w:fldCharType="end"/>
        </w:r>
      </w:hyperlink>
    </w:p>
    <w:p>
      <w:pPr>
        <w:tabs>
          <w:tab w:val="right" w:leader="dot" w:pos="9062"/>
        </w:tabs>
        <w:ind w:left="880"/>
      </w:pPr>
      <w:hyperlink w:anchor="_Toc1767" w:history="1">
        <w:r>
          <w:rPr>
            <w:rFonts w:ascii="IRNazanin" w:hAnsi="IRNazanin" w:eastAsia="IRNazanin" w:cs="IRNazanin"/>
            <w:color w:val="111111"/>
            <w:sz w:val="22"/>
            <w:szCs w:val="22"/>
            <w:b w:val="0"/>
            <w:bCs w:val="0"/>
            <w:i w:val="0"/>
            <w:iCs w:val="0"/>
          </w:rPr>
          <w:t>الرابع: الخلاف فی معنی العدالة و الفسق</w:t>
        </w:r>
        <w:r>
          <w:tab/>
        </w:r>
        <w:r>
          <w:fldChar w:fldCharType="begin"/>
        </w:r>
        <w:r>
          <w:instrText xml:space="preserve">PAGEREF 1767 \h</w:instrText>
        </w:r>
        <w:r>
          <w:fldChar w:fldCharType="end"/>
        </w:r>
      </w:hyperlink>
    </w:p>
    <w:p>
      <w:pPr>
        <w:tabs>
          <w:tab w:val="right" w:leader="dot" w:pos="9062"/>
        </w:tabs>
        <w:ind w:left="880"/>
      </w:pPr>
      <w:hyperlink w:anchor="_Toc1768" w:history="1">
        <w:r>
          <w:rPr>
            <w:rFonts w:ascii="IRNazanin" w:hAnsi="IRNazanin" w:eastAsia="IRNazanin" w:cs="IRNazanin"/>
            <w:color w:val="111111"/>
            <w:sz w:val="22"/>
            <w:szCs w:val="22"/>
            <w:b w:val="0"/>
            <w:bCs w:val="0"/>
            <w:i w:val="0"/>
            <w:iCs w:val="0"/>
          </w:rPr>
          <w:t>الخامس: تفضیح الناس فی هذا العلم</w:t>
        </w:r>
        <w:r>
          <w:tab/>
        </w:r>
        <w:r>
          <w:fldChar w:fldCharType="begin"/>
        </w:r>
        <w:r>
          <w:instrText xml:space="preserve">PAGEREF 1768 \h</w:instrText>
        </w:r>
        <w:r>
          <w:fldChar w:fldCharType="end"/>
        </w:r>
      </w:hyperlink>
    </w:p>
    <w:p>
      <w:pPr>
        <w:tabs>
          <w:tab w:val="right" w:leader="dot" w:pos="9062"/>
        </w:tabs>
        <w:ind w:left="880"/>
      </w:pPr>
      <w:hyperlink w:anchor="_Toc1769" w:history="1">
        <w:r>
          <w:rPr>
            <w:rFonts w:ascii="IRNazanin" w:hAnsi="IRNazanin" w:eastAsia="IRNazanin" w:cs="IRNazanin"/>
            <w:color w:val="111111"/>
            <w:sz w:val="22"/>
            <w:szCs w:val="22"/>
            <w:b w:val="0"/>
            <w:bCs w:val="0"/>
            <w:i w:val="0"/>
            <w:iCs w:val="0"/>
          </w:rPr>
          <w:t>السادس: قول الرجالی و شرائط الشهادة</w:t>
        </w:r>
        <w:r>
          <w:tab/>
        </w:r>
        <w:r>
          <w:fldChar w:fldCharType="begin"/>
        </w:r>
        <w:r>
          <w:instrText xml:space="preserve">PAGEREF 1769 \h</w:instrText>
        </w:r>
        <w:r>
          <w:fldChar w:fldCharType="end"/>
        </w:r>
      </w:hyperlink>
    </w:p>
    <w:p>
      <w:pPr>
        <w:tabs>
          <w:tab w:val="right" w:leader="dot" w:pos="9062"/>
        </w:tabs>
        <w:ind w:left="880"/>
      </w:pPr>
      <w:hyperlink w:anchor="_Toc1770" w:history="1">
        <w:r>
          <w:rPr>
            <w:rFonts w:ascii="IRNazanin" w:hAnsi="IRNazanin" w:eastAsia="IRNazanin" w:cs="IRNazanin"/>
            <w:color w:val="111111"/>
            <w:sz w:val="22"/>
            <w:szCs w:val="22"/>
            <w:b w:val="0"/>
            <w:bCs w:val="0"/>
            <w:i w:val="0"/>
            <w:iCs w:val="0"/>
          </w:rPr>
          <w:t>السابع: التوثیق الإجمالی</w:t>
        </w:r>
        <w:r>
          <w:tab/>
        </w:r>
        <w:r>
          <w:fldChar w:fldCharType="begin"/>
        </w:r>
        <w:r>
          <w:instrText xml:space="preserve">PAGEREF 1770 \h</w:instrText>
        </w:r>
        <w:r>
          <w:fldChar w:fldCharType="end"/>
        </w:r>
      </w:hyperlink>
    </w:p>
    <w:p>
      <w:pPr>
        <w:tabs>
          <w:tab w:val="right" w:leader="dot" w:pos="9062"/>
        </w:tabs>
        <w:ind w:left="880"/>
      </w:pPr>
      <w:hyperlink w:anchor="_Toc1771" w:history="1">
        <w:r>
          <w:rPr>
            <w:rFonts w:ascii="IRNazanin" w:hAnsi="IRNazanin" w:eastAsia="IRNazanin" w:cs="IRNazanin"/>
            <w:color w:val="111111"/>
            <w:sz w:val="22"/>
            <w:szCs w:val="22"/>
            <w:b w:val="0"/>
            <w:bCs w:val="0"/>
            <w:i w:val="0"/>
            <w:iCs w:val="0"/>
          </w:rPr>
          <w:t>الثامن: شهادة المشایخ الثلاثة</w:t>
        </w:r>
        <w:r>
          <w:tab/>
        </w:r>
        <w:r>
          <w:fldChar w:fldCharType="begin"/>
        </w:r>
        <w:r>
          <w:instrText xml:space="preserve">PAGEREF 1771 \h</w:instrText>
        </w:r>
        <w:r>
          <w:fldChar w:fldCharType="end"/>
        </w:r>
      </w:hyperlink>
    </w:p>
    <w:p>
      <w:pPr>
        <w:tabs>
          <w:tab w:val="right" w:leader="dot" w:pos="9062"/>
        </w:tabs>
        <w:ind w:left="660"/>
      </w:pPr>
      <w:hyperlink w:anchor="_Toc1772" w:history="1">
        <w:r>
          <w:rPr>
            <w:rFonts w:ascii="IRNazanin" w:hAnsi="IRNazanin" w:eastAsia="IRNazanin" w:cs="IRNazanin"/>
            <w:color w:val="111111"/>
            <w:sz w:val="22"/>
            <w:szCs w:val="22"/>
            <w:b w:val="0"/>
            <w:bCs w:val="0"/>
            <w:i w:val="0"/>
            <w:iCs w:val="0"/>
          </w:rPr>
          <w:t>الفصل الثالث: المصادر الاولیة لعلم الرجال</w:t>
        </w:r>
        <w:r>
          <w:tab/>
        </w:r>
        <w:r>
          <w:fldChar w:fldCharType="begin"/>
        </w:r>
        <w:r>
          <w:instrText xml:space="preserve">PAGEREF 1772 \h</w:instrText>
        </w:r>
        <w:r>
          <w:fldChar w:fldCharType="end"/>
        </w:r>
      </w:hyperlink>
    </w:p>
    <w:p>
      <w:pPr>
        <w:tabs>
          <w:tab w:val="right" w:leader="dot" w:pos="9062"/>
        </w:tabs>
        <w:ind w:left="880"/>
      </w:pPr>
      <w:hyperlink w:anchor="_Toc17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1773 \h</w:instrText>
        </w:r>
        <w:r>
          <w:fldChar w:fldCharType="end"/>
        </w:r>
      </w:hyperlink>
    </w:p>
    <w:p>
      <w:pPr>
        <w:tabs>
          <w:tab w:val="right" w:leader="dot" w:pos="9062"/>
        </w:tabs>
        <w:ind w:left="880"/>
      </w:pPr>
      <w:hyperlink w:anchor="_Toc1774" w:history="1">
        <w:r>
          <w:rPr>
            <w:rFonts w:ascii="IRNazanin" w:hAnsi="IRNazanin" w:eastAsia="IRNazanin" w:cs="IRNazanin"/>
            <w:color w:val="111111"/>
            <w:sz w:val="22"/>
            <w:szCs w:val="22"/>
            <w:b w:val="0"/>
            <w:bCs w:val="0"/>
            <w:i w:val="0"/>
            <w:iCs w:val="0"/>
          </w:rPr>
          <w:t>1 - الاصول الرجالیة الثمانیة</w:t>
        </w:r>
        <w:r>
          <w:tab/>
        </w:r>
        <w:r>
          <w:fldChar w:fldCharType="begin"/>
        </w:r>
        <w:r>
          <w:instrText xml:space="preserve">PAGEREF 1774 \h</w:instrText>
        </w:r>
        <w:r>
          <w:fldChar w:fldCharType="end"/>
        </w:r>
      </w:hyperlink>
    </w:p>
    <w:p>
      <w:pPr>
        <w:tabs>
          <w:tab w:val="right" w:leader="dot" w:pos="9062"/>
        </w:tabs>
        <w:ind w:left="1100"/>
      </w:pPr>
      <w:hyperlink w:anchor="_Toc17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1775 \h</w:instrText>
        </w:r>
        <w:r>
          <w:fldChar w:fldCharType="end"/>
        </w:r>
      </w:hyperlink>
    </w:p>
    <w:p>
      <w:pPr>
        <w:tabs>
          <w:tab w:val="right" w:leader="dot" w:pos="9062"/>
        </w:tabs>
        <w:ind w:left="1100"/>
      </w:pPr>
      <w:hyperlink w:anchor="_Toc1776" w:history="1">
        <w:r>
          <w:rPr>
            <w:rFonts w:ascii="IRNazanin" w:hAnsi="IRNazanin" w:eastAsia="IRNazanin" w:cs="IRNazanin"/>
            <w:color w:val="111111"/>
            <w:sz w:val="22"/>
            <w:szCs w:val="22"/>
            <w:b w:val="0"/>
            <w:bCs w:val="0"/>
            <w:i w:val="0"/>
            <w:iCs w:val="0"/>
          </w:rPr>
          <w:t>1 - رجال الکشّی</w:t>
        </w:r>
        <w:r>
          <w:tab/>
        </w:r>
        <w:r>
          <w:fldChar w:fldCharType="begin"/>
        </w:r>
        <w:r>
          <w:instrText xml:space="preserve">PAGEREF 1776 \h</w:instrText>
        </w:r>
        <w:r>
          <w:fldChar w:fldCharType="end"/>
        </w:r>
      </w:hyperlink>
    </w:p>
    <w:p>
      <w:pPr>
        <w:tabs>
          <w:tab w:val="right" w:leader="dot" w:pos="9062"/>
        </w:tabs>
        <w:ind w:left="1100"/>
      </w:pPr>
      <w:hyperlink w:anchor="_Toc17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1777 \h</w:instrText>
        </w:r>
        <w:r>
          <w:fldChar w:fldCharType="end"/>
        </w:r>
      </w:hyperlink>
    </w:p>
    <w:p>
      <w:pPr>
        <w:tabs>
          <w:tab w:val="right" w:leader="dot" w:pos="9062"/>
        </w:tabs>
        <w:ind w:left="1100"/>
      </w:pPr>
      <w:hyperlink w:anchor="_Toc1778" w:history="1">
        <w:r>
          <w:rPr>
            <w:rFonts w:ascii="IRNazanin" w:hAnsi="IRNazanin" w:eastAsia="IRNazanin" w:cs="IRNazanin"/>
            <w:color w:val="111111"/>
            <w:sz w:val="22"/>
            <w:szCs w:val="22"/>
            <w:b w:val="0"/>
            <w:bCs w:val="0"/>
            <w:i w:val="0"/>
            <w:iCs w:val="0"/>
          </w:rPr>
          <w:t>کیفیة تهذیب رجال الکشی</w:t>
        </w:r>
        <w:r>
          <w:tab/>
        </w:r>
        <w:r>
          <w:fldChar w:fldCharType="begin"/>
        </w:r>
        <w:r>
          <w:instrText xml:space="preserve">PAGEREF 1778 \h</w:instrText>
        </w:r>
        <w:r>
          <w:fldChar w:fldCharType="end"/>
        </w:r>
      </w:hyperlink>
    </w:p>
    <w:p>
      <w:pPr>
        <w:tabs>
          <w:tab w:val="right" w:leader="dot" w:pos="9062"/>
        </w:tabs>
        <w:ind w:left="1100"/>
      </w:pPr>
      <w:hyperlink w:anchor="_Toc1779" w:history="1">
        <w:r>
          <w:rPr>
            <w:rFonts w:ascii="IRNazanin" w:hAnsi="IRNazanin" w:eastAsia="IRNazanin" w:cs="IRNazanin"/>
            <w:color w:val="111111"/>
            <w:sz w:val="22"/>
            <w:szCs w:val="22"/>
            <w:b w:val="0"/>
            <w:bCs w:val="0"/>
            <w:i w:val="0"/>
            <w:iCs w:val="0"/>
          </w:rPr>
          <w:t>2 - فهرس النجاشی</w:t>
        </w:r>
        <w:r>
          <w:tab/>
        </w:r>
        <w:r>
          <w:fldChar w:fldCharType="begin"/>
        </w:r>
        <w:r>
          <w:instrText xml:space="preserve">PAGEREF 1779 \h</w:instrText>
        </w:r>
        <w:r>
          <w:fldChar w:fldCharType="end"/>
        </w:r>
      </w:hyperlink>
    </w:p>
    <w:p>
      <w:pPr>
        <w:tabs>
          <w:tab w:val="right" w:leader="dot" w:pos="9062"/>
        </w:tabs>
        <w:ind w:left="1100"/>
      </w:pPr>
      <w:hyperlink w:anchor="_Toc1780" w:history="1">
        <w:r>
          <w:rPr>
            <w:rFonts w:ascii="IRNazanin" w:hAnsi="IRNazanin" w:eastAsia="IRNazanin" w:cs="IRNazanin"/>
            <w:color w:val="111111"/>
            <w:sz w:val="22"/>
            <w:szCs w:val="22"/>
            <w:b w:val="0"/>
            <w:bCs w:val="0"/>
            <w:i w:val="0"/>
            <w:iCs w:val="0"/>
          </w:rPr>
          <w:t>3 - رجال الشیخ:</w:t>
        </w:r>
        <w:r>
          <w:tab/>
        </w:r>
        <w:r>
          <w:fldChar w:fldCharType="begin"/>
        </w:r>
        <w:r>
          <w:instrText xml:space="preserve">PAGEREF 1780 \h</w:instrText>
        </w:r>
        <w:r>
          <w:fldChar w:fldCharType="end"/>
        </w:r>
      </w:hyperlink>
    </w:p>
    <w:p>
      <w:pPr>
        <w:tabs>
          <w:tab w:val="right" w:leader="dot" w:pos="9062"/>
        </w:tabs>
        <w:ind w:left="1100"/>
      </w:pPr>
      <w:hyperlink w:anchor="_Toc1781" w:history="1">
        <w:r>
          <w:rPr>
            <w:rFonts w:ascii="IRNazanin" w:hAnsi="IRNazanin" w:eastAsia="IRNazanin" w:cs="IRNazanin"/>
            <w:color w:val="111111"/>
            <w:sz w:val="22"/>
            <w:szCs w:val="22"/>
            <w:b w:val="0"/>
            <w:bCs w:val="0"/>
            <w:i w:val="0"/>
            <w:iCs w:val="0"/>
          </w:rPr>
          <w:t>4 - فهرس الشیخ:</w:t>
        </w:r>
        <w:r>
          <w:tab/>
        </w:r>
        <w:r>
          <w:fldChar w:fldCharType="begin"/>
        </w:r>
        <w:r>
          <w:instrText xml:space="preserve">PAGEREF 1781 \h</w:instrText>
        </w:r>
        <w:r>
          <w:fldChar w:fldCharType="end"/>
        </w:r>
      </w:hyperlink>
    </w:p>
    <w:p>
      <w:pPr>
        <w:tabs>
          <w:tab w:val="right" w:leader="dot" w:pos="9062"/>
        </w:tabs>
        <w:ind w:left="1100"/>
      </w:pPr>
      <w:hyperlink w:anchor="_Toc1782" w:history="1">
        <w:r>
          <w:rPr>
            <w:rFonts w:ascii="IRNazanin" w:hAnsi="IRNazanin" w:eastAsia="IRNazanin" w:cs="IRNazanin"/>
            <w:color w:val="111111"/>
            <w:sz w:val="22"/>
            <w:szCs w:val="22"/>
            <w:b w:val="0"/>
            <w:bCs w:val="0"/>
            <w:i w:val="0"/>
            <w:iCs w:val="0"/>
          </w:rPr>
          <w:t>5 - رجال البرقی</w:t>
        </w:r>
        <w:r>
          <w:tab/>
        </w:r>
        <w:r>
          <w:fldChar w:fldCharType="begin"/>
        </w:r>
        <w:r>
          <w:instrText xml:space="preserve">PAGEREF 1782 \h</w:instrText>
        </w:r>
        <w:r>
          <w:fldChar w:fldCharType="end"/>
        </w:r>
      </w:hyperlink>
    </w:p>
    <w:p>
      <w:pPr>
        <w:tabs>
          <w:tab w:val="right" w:leader="dot" w:pos="9062"/>
        </w:tabs>
        <w:ind w:left="1100"/>
      </w:pPr>
      <w:hyperlink w:anchor="_Toc1783" w:history="1">
        <w:r>
          <w:rPr>
            <w:rFonts w:ascii="IRNazanin" w:hAnsi="IRNazanin" w:eastAsia="IRNazanin" w:cs="IRNazanin"/>
            <w:color w:val="111111"/>
            <w:sz w:val="22"/>
            <w:szCs w:val="22"/>
            <w:b w:val="0"/>
            <w:bCs w:val="0"/>
            <w:i w:val="0"/>
            <w:iCs w:val="0"/>
          </w:rPr>
          <w:t>6 - رسالة أبی غالب الزراری</w:t>
        </w:r>
        <w:r>
          <w:tab/>
        </w:r>
        <w:r>
          <w:fldChar w:fldCharType="begin"/>
        </w:r>
        <w:r>
          <w:instrText xml:space="preserve">PAGEREF 1783 \h</w:instrText>
        </w:r>
        <w:r>
          <w:fldChar w:fldCharType="end"/>
        </w:r>
      </w:hyperlink>
    </w:p>
    <w:p>
      <w:pPr>
        <w:tabs>
          <w:tab w:val="right" w:leader="dot" w:pos="9062"/>
        </w:tabs>
        <w:ind w:left="1100"/>
      </w:pPr>
      <w:hyperlink w:anchor="_Toc1784" w:history="1">
        <w:r>
          <w:rPr>
            <w:rFonts w:ascii="IRNazanin" w:hAnsi="IRNazanin" w:eastAsia="IRNazanin" w:cs="IRNazanin"/>
            <w:color w:val="111111"/>
            <w:sz w:val="22"/>
            <w:szCs w:val="22"/>
            <w:b w:val="0"/>
            <w:bCs w:val="0"/>
            <w:i w:val="0"/>
            <w:iCs w:val="0"/>
          </w:rPr>
          <w:t>7 - مشیخة الصدوق:</w:t>
        </w:r>
        <w:r>
          <w:tab/>
        </w:r>
        <w:r>
          <w:fldChar w:fldCharType="begin"/>
        </w:r>
        <w:r>
          <w:instrText xml:space="preserve">PAGEREF 1784 \h</w:instrText>
        </w:r>
        <w:r>
          <w:fldChar w:fldCharType="end"/>
        </w:r>
      </w:hyperlink>
    </w:p>
    <w:p>
      <w:pPr>
        <w:tabs>
          <w:tab w:val="right" w:leader="dot" w:pos="9062"/>
        </w:tabs>
        <w:ind w:left="1100"/>
      </w:pPr>
      <w:hyperlink w:anchor="_Toc1785" w:history="1">
        <w:r>
          <w:rPr>
            <w:rFonts w:ascii="IRNazanin" w:hAnsi="IRNazanin" w:eastAsia="IRNazanin" w:cs="IRNazanin"/>
            <w:color w:val="111111"/>
            <w:sz w:val="22"/>
            <w:szCs w:val="22"/>
            <w:b w:val="0"/>
            <w:bCs w:val="0"/>
            <w:i w:val="0"/>
            <w:iCs w:val="0"/>
          </w:rPr>
          <w:t>8 - مشیخة الشیخ الطوسی فی کتابی: التهذیب و الاستبصار</w:t>
        </w:r>
        <w:r>
          <w:tab/>
        </w:r>
        <w:r>
          <w:fldChar w:fldCharType="begin"/>
        </w:r>
        <w:r>
          <w:instrText xml:space="preserve">PAGEREF 1785 \h</w:instrText>
        </w:r>
        <w:r>
          <w:fldChar w:fldCharType="end"/>
        </w:r>
      </w:hyperlink>
    </w:p>
    <w:p>
      <w:pPr>
        <w:tabs>
          <w:tab w:val="right" w:leader="dot" w:pos="9062"/>
        </w:tabs>
        <w:ind w:left="1100"/>
      </w:pPr>
      <w:hyperlink w:anchor="_Toc17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1786 \h</w:instrText>
        </w:r>
        <w:r>
          <w:fldChar w:fldCharType="end"/>
        </w:r>
      </w:hyperlink>
    </w:p>
    <w:p>
      <w:pPr>
        <w:tabs>
          <w:tab w:val="right" w:leader="dot" w:pos="9062"/>
        </w:tabs>
        <w:ind w:left="1100"/>
      </w:pPr>
      <w:hyperlink w:anchor="_Toc1787" w:history="1">
        <w:r>
          <w:rPr>
            <w:rFonts w:ascii="IRNazanin" w:hAnsi="IRNazanin" w:eastAsia="IRNazanin" w:cs="IRNazanin"/>
            <w:color w:val="111111"/>
            <w:sz w:val="22"/>
            <w:szCs w:val="22"/>
            <w:b w:val="0"/>
            <w:bCs w:val="0"/>
            <w:i w:val="0"/>
            <w:iCs w:val="0"/>
          </w:rPr>
          <w:t>توالی التألیف فی علم الرجال</w:t>
        </w:r>
        <w:r>
          <w:tab/>
        </w:r>
        <w:r>
          <w:fldChar w:fldCharType="begin"/>
        </w:r>
        <w:r>
          <w:instrText xml:space="preserve">PAGEREF 1787 \h</w:instrText>
        </w:r>
        <w:r>
          <w:fldChar w:fldCharType="end"/>
        </w:r>
      </w:hyperlink>
    </w:p>
    <w:p>
      <w:pPr>
        <w:tabs>
          <w:tab w:val="right" w:leader="dot" w:pos="9062"/>
        </w:tabs>
        <w:ind w:left="1100"/>
      </w:pPr>
      <w:hyperlink w:anchor="_Toc1788" w:history="1">
        <w:r>
          <w:rPr>
            <w:rFonts w:ascii="IRNazanin" w:hAnsi="IRNazanin" w:eastAsia="IRNazanin" w:cs="IRNazanin"/>
            <w:color w:val="111111"/>
            <w:sz w:val="22"/>
            <w:szCs w:val="22"/>
            <w:b w:val="0"/>
            <w:bCs w:val="0"/>
            <w:i w:val="0"/>
            <w:iCs w:val="0"/>
          </w:rPr>
          <w:t>الفرق بین الرجال و الفهرس</w:t>
        </w:r>
        <w:r>
          <w:tab/>
        </w:r>
        <w:r>
          <w:fldChar w:fldCharType="begin"/>
        </w:r>
        <w:r>
          <w:instrText xml:space="preserve">PAGEREF 1788 \h</w:instrText>
        </w:r>
        <w:r>
          <w:fldChar w:fldCharType="end"/>
        </w:r>
      </w:hyperlink>
    </w:p>
    <w:p>
      <w:pPr>
        <w:tabs>
          <w:tab w:val="right" w:leader="dot" w:pos="9062"/>
        </w:tabs>
        <w:ind w:left="880"/>
      </w:pPr>
      <w:hyperlink w:anchor="_Toc1789" w:history="1">
        <w:r>
          <w:rPr>
            <w:rFonts w:ascii="IRNazanin" w:hAnsi="IRNazanin" w:eastAsia="IRNazanin" w:cs="IRNazanin"/>
            <w:color w:val="111111"/>
            <w:sz w:val="22"/>
            <w:szCs w:val="22"/>
            <w:b w:val="0"/>
            <w:bCs w:val="0"/>
            <w:i w:val="0"/>
            <w:iCs w:val="0"/>
          </w:rPr>
          <w:t>2 - رجال ابن الغضائری</w:t>
        </w:r>
        <w:r>
          <w:tab/>
        </w:r>
        <w:r>
          <w:fldChar w:fldCharType="begin"/>
        </w:r>
        <w:r>
          <w:instrText xml:space="preserve">PAGEREF 1789 \h</w:instrText>
        </w:r>
        <w:r>
          <w:fldChar w:fldCharType="end"/>
        </w:r>
      </w:hyperlink>
    </w:p>
    <w:p>
      <w:pPr>
        <w:tabs>
          <w:tab w:val="right" w:leader="dot" w:pos="9062"/>
        </w:tabs>
        <w:ind w:left="1100"/>
      </w:pPr>
      <w:hyperlink w:anchor="_Toc17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1790 \h</w:instrText>
        </w:r>
        <w:r>
          <w:fldChar w:fldCharType="end"/>
        </w:r>
      </w:hyperlink>
    </w:p>
    <w:p>
      <w:pPr>
        <w:tabs>
          <w:tab w:val="right" w:leader="dot" w:pos="9062"/>
        </w:tabs>
        <w:ind w:left="1100"/>
      </w:pPr>
      <w:hyperlink w:anchor="_Toc1791" w:history="1">
        <w:r>
          <w:rPr>
            <w:rFonts w:ascii="IRNazanin" w:hAnsi="IRNazanin" w:eastAsia="IRNazanin" w:cs="IRNazanin"/>
            <w:color w:val="111111"/>
            <w:sz w:val="22"/>
            <w:szCs w:val="22"/>
            <w:b w:val="0"/>
            <w:bCs w:val="0"/>
            <w:i w:val="0"/>
            <w:iCs w:val="0"/>
          </w:rPr>
          <w:t>أ - ترجمة الغضائری:</w:t>
        </w:r>
        <w:r>
          <w:tab/>
        </w:r>
        <w:r>
          <w:fldChar w:fldCharType="begin"/>
        </w:r>
        <w:r>
          <w:instrText xml:space="preserve">PAGEREF 1791 \h</w:instrText>
        </w:r>
        <w:r>
          <w:fldChar w:fldCharType="end"/>
        </w:r>
      </w:hyperlink>
    </w:p>
    <w:p>
      <w:pPr>
        <w:tabs>
          <w:tab w:val="right" w:leader="dot" w:pos="9062"/>
        </w:tabs>
        <w:ind w:left="1100"/>
      </w:pPr>
      <w:hyperlink w:anchor="_Toc1792" w:history="1">
        <w:r>
          <w:rPr>
            <w:rFonts w:ascii="IRNazanin" w:hAnsi="IRNazanin" w:eastAsia="IRNazanin" w:cs="IRNazanin"/>
            <w:color w:val="111111"/>
            <w:sz w:val="22"/>
            <w:szCs w:val="22"/>
            <w:b w:val="0"/>
            <w:bCs w:val="0"/>
            <w:i w:val="0"/>
            <w:iCs w:val="0"/>
          </w:rPr>
          <w:t>ب - ترجمة ابن الغضائری:</w:t>
        </w:r>
        <w:r>
          <w:tab/>
        </w:r>
        <w:r>
          <w:fldChar w:fldCharType="begin"/>
        </w:r>
        <w:r>
          <w:instrText xml:space="preserve">PAGEREF 1792 \h</w:instrText>
        </w:r>
        <w:r>
          <w:fldChar w:fldCharType="end"/>
        </w:r>
      </w:hyperlink>
    </w:p>
    <w:p>
      <w:pPr>
        <w:tabs>
          <w:tab w:val="right" w:leader="dot" w:pos="9062"/>
        </w:tabs>
        <w:ind w:left="1100"/>
      </w:pPr>
      <w:hyperlink w:anchor="_Toc1793" w:history="1">
        <w:r>
          <w:rPr>
            <w:rFonts w:ascii="IRNazanin" w:hAnsi="IRNazanin" w:eastAsia="IRNazanin" w:cs="IRNazanin"/>
            <w:color w:val="111111"/>
            <w:sz w:val="22"/>
            <w:szCs w:val="22"/>
            <w:b w:val="0"/>
            <w:bCs w:val="0"/>
            <w:i w:val="0"/>
            <w:iCs w:val="0"/>
          </w:rPr>
          <w:t>ج - کیفیة وقوف العلماء علی کتاب الضعفاء</w:t>
        </w:r>
        <w:r>
          <w:tab/>
        </w:r>
        <w:r>
          <w:fldChar w:fldCharType="begin"/>
        </w:r>
        <w:r>
          <w:instrText xml:space="preserve">PAGEREF 1793 \h</w:instrText>
        </w:r>
        <w:r>
          <w:fldChar w:fldCharType="end"/>
        </w:r>
      </w:hyperlink>
    </w:p>
    <w:p>
      <w:pPr>
        <w:tabs>
          <w:tab w:val="right" w:leader="dot" w:pos="9062"/>
        </w:tabs>
        <w:ind w:left="1100"/>
      </w:pPr>
      <w:hyperlink w:anchor="_Toc1794" w:history="1">
        <w:r>
          <w:rPr>
            <w:rFonts w:ascii="IRNazanin" w:hAnsi="IRNazanin" w:eastAsia="IRNazanin" w:cs="IRNazanin"/>
            <w:color w:val="111111"/>
            <w:sz w:val="22"/>
            <w:szCs w:val="22"/>
            <w:b w:val="0"/>
            <w:bCs w:val="0"/>
            <w:i w:val="0"/>
            <w:iCs w:val="0"/>
          </w:rPr>
          <w:t>د - الکتاب تألیف نفس الغضائری أو تألیف ابنه</w:t>
        </w:r>
        <w:r>
          <w:tab/>
        </w:r>
        <w:r>
          <w:fldChar w:fldCharType="begin"/>
        </w:r>
        <w:r>
          <w:instrText xml:space="preserve">PAGEREF 1794 \h</w:instrText>
        </w:r>
        <w:r>
          <w:fldChar w:fldCharType="end"/>
        </w:r>
      </w:hyperlink>
    </w:p>
    <w:p>
      <w:pPr>
        <w:tabs>
          <w:tab w:val="right" w:leader="dot" w:pos="9062"/>
        </w:tabs>
        <w:ind w:left="1100"/>
      </w:pPr>
      <w:hyperlink w:anchor="_Toc1795" w:history="1">
        <w:r>
          <w:rPr>
            <w:rFonts w:ascii="IRNazanin" w:hAnsi="IRNazanin" w:eastAsia="IRNazanin" w:cs="IRNazanin"/>
            <w:color w:val="111111"/>
            <w:sz w:val="22"/>
            <w:szCs w:val="22"/>
            <w:b w:val="0"/>
            <w:bCs w:val="0"/>
            <w:i w:val="0"/>
            <w:iCs w:val="0"/>
          </w:rPr>
          <w:t>ه - کتاب الضعفاء رابع کتبه</w:t>
        </w:r>
        <w:r>
          <w:tab/>
        </w:r>
        <w:r>
          <w:fldChar w:fldCharType="begin"/>
        </w:r>
        <w:r>
          <w:instrText xml:space="preserve">PAGEREF 1795 \h</w:instrText>
        </w:r>
        <w:r>
          <w:fldChar w:fldCharType="end"/>
        </w:r>
      </w:hyperlink>
    </w:p>
    <w:p>
      <w:pPr>
        <w:tabs>
          <w:tab w:val="right" w:leader="dot" w:pos="9062"/>
        </w:tabs>
        <w:ind w:left="1100"/>
      </w:pPr>
      <w:hyperlink w:anchor="_Toc1796" w:history="1">
        <w:r>
          <w:rPr>
            <w:rFonts w:ascii="IRNazanin" w:hAnsi="IRNazanin" w:eastAsia="IRNazanin" w:cs="IRNazanin"/>
            <w:color w:val="111111"/>
            <w:sz w:val="22"/>
            <w:szCs w:val="22"/>
            <w:b w:val="0"/>
            <w:bCs w:val="0"/>
            <w:i w:val="0"/>
            <w:iCs w:val="0"/>
          </w:rPr>
          <w:t>و - کتاب الضعفاء و قیمته العلمیة عند العلماء</w:t>
        </w:r>
        <w:r>
          <w:tab/>
        </w:r>
        <w:r>
          <w:fldChar w:fldCharType="begin"/>
        </w:r>
        <w:r>
          <w:instrText xml:space="preserve">PAGEREF 1796 \h</w:instrText>
        </w:r>
        <w:r>
          <w:fldChar w:fldCharType="end"/>
        </w:r>
      </w:hyperlink>
    </w:p>
    <w:p>
      <w:pPr>
        <w:tabs>
          <w:tab w:val="right" w:leader="dot" w:pos="9062"/>
        </w:tabs>
        <w:ind w:left="1100"/>
      </w:pPr>
      <w:hyperlink w:anchor="_Toc179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1797 \h</w:instrText>
        </w:r>
        <w:r>
          <w:fldChar w:fldCharType="end"/>
        </w:r>
      </w:hyperlink>
    </w:p>
    <w:p>
      <w:pPr>
        <w:tabs>
          <w:tab w:val="right" w:leader="dot" w:pos="9062"/>
        </w:tabs>
        <w:ind w:left="1100"/>
      </w:pPr>
      <w:hyperlink w:anchor="_Toc1798" w:history="1">
        <w:r>
          <w:rPr>
            <w:rFonts w:ascii="IRNazanin" w:hAnsi="IRNazanin" w:eastAsia="IRNazanin" w:cs="IRNazanin"/>
            <w:color w:val="111111"/>
            <w:sz w:val="22"/>
            <w:szCs w:val="22"/>
            <w:b w:val="0"/>
            <w:bCs w:val="0"/>
            <w:i w:val="0"/>
            <w:iCs w:val="0"/>
          </w:rPr>
          <w:t>النظریة الاولی</w:t>
        </w:r>
        <w:r>
          <w:tab/>
        </w:r>
        <w:r>
          <w:fldChar w:fldCharType="begin"/>
        </w:r>
        <w:r>
          <w:instrText xml:space="preserve">PAGEREF 1798 \h</w:instrText>
        </w:r>
        <w:r>
          <w:fldChar w:fldCharType="end"/>
        </w:r>
      </w:hyperlink>
    </w:p>
    <w:p>
      <w:pPr>
        <w:tabs>
          <w:tab w:val="right" w:leader="dot" w:pos="9062"/>
        </w:tabs>
        <w:ind w:left="1100"/>
      </w:pPr>
      <w:hyperlink w:anchor="_Toc179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1799 \h</w:instrText>
        </w:r>
        <w:r>
          <w:fldChar w:fldCharType="end"/>
        </w:r>
      </w:hyperlink>
    </w:p>
    <w:p>
      <w:pPr>
        <w:tabs>
          <w:tab w:val="right" w:leader="dot" w:pos="9062"/>
        </w:tabs>
        <w:ind w:left="1100"/>
      </w:pPr>
      <w:hyperlink w:anchor="_Toc1800" w:history="1">
        <w:r>
          <w:rPr>
            <w:rFonts w:ascii="IRNazanin" w:hAnsi="IRNazanin" w:eastAsia="IRNazanin" w:cs="IRNazanin"/>
            <w:color w:val="111111"/>
            <w:sz w:val="22"/>
            <w:szCs w:val="22"/>
            <w:b w:val="0"/>
            <w:bCs w:val="0"/>
            <w:i w:val="0"/>
            <w:iCs w:val="0"/>
          </w:rPr>
          <w:t>تحلیل هذه النظریة</w:t>
        </w:r>
        <w:r>
          <w:tab/>
        </w:r>
        <w:r>
          <w:fldChar w:fldCharType="begin"/>
        </w:r>
        <w:r>
          <w:instrText xml:space="preserve">PAGEREF 1800 \h</w:instrText>
        </w:r>
        <w:r>
          <w:fldChar w:fldCharType="end"/>
        </w:r>
      </w:hyperlink>
    </w:p>
    <w:p>
      <w:pPr>
        <w:tabs>
          <w:tab w:val="right" w:leader="dot" w:pos="9062"/>
        </w:tabs>
        <w:ind w:left="1100"/>
      </w:pPr>
      <w:hyperlink w:anchor="_Toc1801" w:history="1">
        <w:r>
          <w:rPr>
            <w:rFonts w:ascii="IRNazanin" w:hAnsi="IRNazanin" w:eastAsia="IRNazanin" w:cs="IRNazanin"/>
            <w:color w:val="111111"/>
            <w:sz w:val="22"/>
            <w:szCs w:val="22"/>
            <w:b w:val="0"/>
            <w:bCs w:val="0"/>
            <w:i w:val="0"/>
            <w:iCs w:val="0"/>
          </w:rPr>
          <w:t>النظریة الثانیة</w:t>
        </w:r>
        <w:r>
          <w:tab/>
        </w:r>
        <w:r>
          <w:fldChar w:fldCharType="begin"/>
        </w:r>
        <w:r>
          <w:instrText xml:space="preserve">PAGEREF 1801 \h</w:instrText>
        </w:r>
        <w:r>
          <w:fldChar w:fldCharType="end"/>
        </w:r>
      </w:hyperlink>
    </w:p>
    <w:p>
      <w:pPr>
        <w:tabs>
          <w:tab w:val="right" w:leader="dot" w:pos="9062"/>
        </w:tabs>
        <w:ind w:left="1100"/>
      </w:pPr>
      <w:hyperlink w:anchor="_Toc1802" w:history="1">
        <w:r>
          <w:rPr>
            <w:rFonts w:ascii="IRNazanin" w:hAnsi="IRNazanin" w:eastAsia="IRNazanin" w:cs="IRNazanin"/>
            <w:color w:val="111111"/>
            <w:sz w:val="22"/>
            <w:szCs w:val="22"/>
            <w:b w:val="0"/>
            <w:bCs w:val="0"/>
            <w:i w:val="0"/>
            <w:iCs w:val="0"/>
          </w:rPr>
          <w:t>النظریة الثالثة</w:t>
        </w:r>
        <w:r>
          <w:tab/>
        </w:r>
        <w:r>
          <w:fldChar w:fldCharType="begin"/>
        </w:r>
        <w:r>
          <w:instrText xml:space="preserve">PAGEREF 1802 \h</w:instrText>
        </w:r>
        <w:r>
          <w:fldChar w:fldCharType="end"/>
        </w:r>
      </w:hyperlink>
    </w:p>
    <w:p>
      <w:pPr>
        <w:tabs>
          <w:tab w:val="right" w:leader="dot" w:pos="9062"/>
        </w:tabs>
        <w:ind w:left="1100"/>
      </w:pPr>
      <w:hyperlink w:anchor="_Toc1803" w:history="1">
        <w:r>
          <w:rPr>
            <w:rFonts w:ascii="IRNazanin" w:hAnsi="IRNazanin" w:eastAsia="IRNazanin" w:cs="IRNazanin"/>
            <w:color w:val="111111"/>
            <w:sz w:val="22"/>
            <w:szCs w:val="22"/>
            <w:b w:val="0"/>
            <w:bCs w:val="0"/>
            <w:i w:val="0"/>
            <w:iCs w:val="0"/>
          </w:rPr>
          <w:t>النظریة الرابعة</w:t>
        </w:r>
        <w:r>
          <w:tab/>
        </w:r>
        <w:r>
          <w:fldChar w:fldCharType="begin"/>
        </w:r>
        <w:r>
          <w:instrText xml:space="preserve">PAGEREF 1803 \h</w:instrText>
        </w:r>
        <w:r>
          <w:fldChar w:fldCharType="end"/>
        </w:r>
      </w:hyperlink>
    </w:p>
    <w:p>
      <w:pPr>
        <w:tabs>
          <w:tab w:val="right" w:leader="dot" w:pos="9062"/>
        </w:tabs>
        <w:ind w:left="1100"/>
      </w:pPr>
      <w:hyperlink w:anchor="_Toc180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1804 \h</w:instrText>
        </w:r>
        <w:r>
          <w:fldChar w:fldCharType="end"/>
        </w:r>
      </w:hyperlink>
    </w:p>
    <w:p>
      <w:pPr>
        <w:tabs>
          <w:tab w:val="right" w:leader="dot" w:pos="9062"/>
        </w:tabs>
        <w:ind w:left="1100"/>
      </w:pPr>
      <w:hyperlink w:anchor="_Toc1805" w:history="1">
        <w:r>
          <w:rPr>
            <w:rFonts w:ascii="IRNazanin" w:hAnsi="IRNazanin" w:eastAsia="IRNazanin" w:cs="IRNazanin"/>
            <w:color w:val="111111"/>
            <w:sz w:val="22"/>
            <w:szCs w:val="22"/>
            <w:b w:val="0"/>
            <w:bCs w:val="0"/>
            <w:i w:val="0"/>
            <w:iCs w:val="0"/>
          </w:rPr>
          <w:t>اجابة المحقق التستری عن هذه النظریة</w:t>
        </w:r>
        <w:r>
          <w:tab/>
        </w:r>
        <w:r>
          <w:fldChar w:fldCharType="begin"/>
        </w:r>
        <w:r>
          <w:instrText xml:space="preserve">PAGEREF 1805 \h</w:instrText>
        </w:r>
        <w:r>
          <w:fldChar w:fldCharType="end"/>
        </w:r>
      </w:hyperlink>
    </w:p>
    <w:p>
      <w:pPr>
        <w:tabs>
          <w:tab w:val="right" w:leader="dot" w:pos="9062"/>
        </w:tabs>
        <w:ind w:left="1100"/>
      </w:pPr>
      <w:hyperlink w:anchor="_Toc1806" w:history="1">
        <w:r>
          <w:rPr>
            <w:rFonts w:ascii="IRNazanin" w:hAnsi="IRNazanin" w:eastAsia="IRNazanin" w:cs="IRNazanin"/>
            <w:color w:val="111111"/>
            <w:sz w:val="22"/>
            <w:szCs w:val="22"/>
            <w:b w:val="0"/>
            <w:bCs w:val="0"/>
            <w:i w:val="0"/>
            <w:iCs w:val="0"/>
          </w:rPr>
          <w:t>النظریة الخامسة</w:t>
        </w:r>
        <w:r>
          <w:tab/>
        </w:r>
        <w:r>
          <w:fldChar w:fldCharType="begin"/>
        </w:r>
        <w:r>
          <w:instrText xml:space="preserve">PAGEREF 1806 \h</w:instrText>
        </w:r>
        <w:r>
          <w:fldChar w:fldCharType="end"/>
        </w:r>
      </w:hyperlink>
    </w:p>
    <w:p>
      <w:pPr>
        <w:tabs>
          <w:tab w:val="right" w:leader="dot" w:pos="9062"/>
        </w:tabs>
        <w:ind w:left="660"/>
      </w:pPr>
      <w:hyperlink w:anchor="_Toc1807" w:history="1">
        <w:r>
          <w:rPr>
            <w:rFonts w:ascii="IRNazanin" w:hAnsi="IRNazanin" w:eastAsia="IRNazanin" w:cs="IRNazanin"/>
            <w:color w:val="111111"/>
            <w:sz w:val="22"/>
            <w:szCs w:val="22"/>
            <w:b w:val="0"/>
            <w:bCs w:val="0"/>
            <w:i w:val="0"/>
            <w:iCs w:val="0"/>
          </w:rPr>
          <w:t>الفصل الرابع: المصادر الثانویة لعلم الرجال</w:t>
        </w:r>
        <w:r>
          <w:tab/>
        </w:r>
        <w:r>
          <w:fldChar w:fldCharType="begin"/>
        </w:r>
        <w:r>
          <w:instrText xml:space="preserve">PAGEREF 1807 \h</w:instrText>
        </w:r>
        <w:r>
          <w:fldChar w:fldCharType="end"/>
        </w:r>
      </w:hyperlink>
    </w:p>
    <w:p>
      <w:pPr>
        <w:tabs>
          <w:tab w:val="right" w:leader="dot" w:pos="9062"/>
        </w:tabs>
        <w:ind w:left="880"/>
      </w:pPr>
      <w:hyperlink w:anchor="_Toc18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1808 \h</w:instrText>
        </w:r>
        <w:r>
          <w:fldChar w:fldCharType="end"/>
        </w:r>
      </w:hyperlink>
    </w:p>
    <w:p>
      <w:pPr>
        <w:tabs>
          <w:tab w:val="right" w:leader="dot" w:pos="9062"/>
        </w:tabs>
        <w:ind w:left="880"/>
      </w:pPr>
      <w:hyperlink w:anchor="_Toc1809" w:history="1">
        <w:r>
          <w:rPr>
            <w:rFonts w:ascii="IRNazanin" w:hAnsi="IRNazanin" w:eastAsia="IRNazanin" w:cs="IRNazanin"/>
            <w:color w:val="111111"/>
            <w:sz w:val="22"/>
            <w:szCs w:val="22"/>
            <w:b w:val="0"/>
            <w:bCs w:val="0"/>
            <w:i w:val="0"/>
            <w:iCs w:val="0"/>
          </w:rPr>
          <w:t>1 - الاصول الرجالیة الاربعة</w:t>
        </w:r>
        <w:r>
          <w:tab/>
        </w:r>
        <w:r>
          <w:fldChar w:fldCharType="begin"/>
        </w:r>
        <w:r>
          <w:instrText xml:space="preserve">PAGEREF 1809 \h</w:instrText>
        </w:r>
        <w:r>
          <w:fldChar w:fldCharType="end"/>
        </w:r>
      </w:hyperlink>
    </w:p>
    <w:p>
      <w:pPr>
        <w:tabs>
          <w:tab w:val="right" w:leader="dot" w:pos="9062"/>
        </w:tabs>
        <w:ind w:left="1100"/>
      </w:pPr>
      <w:hyperlink w:anchor="_Toc18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1810 \h</w:instrText>
        </w:r>
        <w:r>
          <w:fldChar w:fldCharType="end"/>
        </w:r>
      </w:hyperlink>
    </w:p>
    <w:p>
      <w:pPr>
        <w:tabs>
          <w:tab w:val="right" w:leader="dot" w:pos="9062"/>
        </w:tabs>
        <w:ind w:left="1100"/>
      </w:pPr>
      <w:hyperlink w:anchor="_Toc1811" w:history="1">
        <w:r>
          <w:rPr>
            <w:rFonts w:ascii="IRNazanin" w:hAnsi="IRNazanin" w:eastAsia="IRNazanin" w:cs="IRNazanin"/>
            <w:color w:val="111111"/>
            <w:sz w:val="22"/>
            <w:szCs w:val="22"/>
            <w:b w:val="0"/>
            <w:bCs w:val="0"/>
            <w:i w:val="0"/>
            <w:iCs w:val="0"/>
          </w:rPr>
          <w:t>1 - فهرس الشیخ منتجب الدین</w:t>
        </w:r>
        <w:r>
          <w:tab/>
        </w:r>
        <w:r>
          <w:fldChar w:fldCharType="begin"/>
        </w:r>
        <w:r>
          <w:instrText xml:space="preserve">PAGEREF 1811 \h</w:instrText>
        </w:r>
        <w:r>
          <w:fldChar w:fldCharType="end"/>
        </w:r>
      </w:hyperlink>
    </w:p>
    <w:p>
      <w:pPr>
        <w:tabs>
          <w:tab w:val="right" w:leader="dot" w:pos="9062"/>
        </w:tabs>
        <w:ind w:left="1100"/>
      </w:pPr>
      <w:hyperlink w:anchor="_Toc1812" w:history="1">
        <w:r>
          <w:rPr>
            <w:rFonts w:ascii="IRNazanin" w:hAnsi="IRNazanin" w:eastAsia="IRNazanin" w:cs="IRNazanin"/>
            <w:color w:val="111111"/>
            <w:sz w:val="22"/>
            <w:szCs w:val="22"/>
            <w:b w:val="0"/>
            <w:bCs w:val="0"/>
            <w:i w:val="0"/>
            <w:iCs w:val="0"/>
          </w:rPr>
          <w:t>2 - معالم العلماء فی فهرس کتب الشیعة و أسماء المصنفین</w:t>
        </w:r>
        <w:r>
          <w:tab/>
        </w:r>
        <w:r>
          <w:fldChar w:fldCharType="begin"/>
        </w:r>
        <w:r>
          <w:instrText xml:space="preserve">PAGEREF 1812 \h</w:instrText>
        </w:r>
        <w:r>
          <w:fldChar w:fldCharType="end"/>
        </w:r>
      </w:hyperlink>
    </w:p>
    <w:p>
      <w:pPr>
        <w:tabs>
          <w:tab w:val="right" w:leader="dot" w:pos="9062"/>
        </w:tabs>
        <w:ind w:left="1100"/>
      </w:pPr>
      <w:hyperlink w:anchor="_Toc1813" w:history="1">
        <w:r>
          <w:rPr>
            <w:rFonts w:ascii="IRNazanin" w:hAnsi="IRNazanin" w:eastAsia="IRNazanin" w:cs="IRNazanin"/>
            <w:color w:val="111111"/>
            <w:sz w:val="22"/>
            <w:szCs w:val="22"/>
            <w:b w:val="0"/>
            <w:bCs w:val="0"/>
            <w:i w:val="0"/>
            <w:iCs w:val="0"/>
          </w:rPr>
          <w:t>3 - رجال ابن داود</w:t>
        </w:r>
        <w:r>
          <w:tab/>
        </w:r>
        <w:r>
          <w:fldChar w:fldCharType="begin"/>
        </w:r>
        <w:r>
          <w:instrText xml:space="preserve">PAGEREF 1813 \h</w:instrText>
        </w:r>
        <w:r>
          <w:fldChar w:fldCharType="end"/>
        </w:r>
      </w:hyperlink>
    </w:p>
    <w:p>
      <w:pPr>
        <w:tabs>
          <w:tab w:val="right" w:leader="dot" w:pos="9062"/>
        </w:tabs>
        <w:ind w:left="1100"/>
      </w:pPr>
      <w:hyperlink w:anchor="_Toc18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1814 \h</w:instrText>
        </w:r>
        <w:r>
          <w:fldChar w:fldCharType="end"/>
        </w:r>
      </w:hyperlink>
    </w:p>
    <w:p>
      <w:pPr>
        <w:tabs>
          <w:tab w:val="right" w:leader="dot" w:pos="9062"/>
        </w:tabs>
        <w:ind w:left="1100"/>
      </w:pPr>
      <w:hyperlink w:anchor="_Toc1815" w:history="1">
        <w:r>
          <w:rPr>
            <w:rFonts w:ascii="IRNazanin" w:hAnsi="IRNazanin" w:eastAsia="IRNazanin" w:cs="IRNazanin"/>
            <w:color w:val="111111"/>
            <w:sz w:val="22"/>
            <w:szCs w:val="22"/>
            <w:b w:val="0"/>
            <w:bCs w:val="0"/>
            <w:i w:val="0"/>
            <w:iCs w:val="0"/>
          </w:rPr>
          <w:t>ممیزات رجال ابن داود</w:t>
        </w:r>
        <w:r>
          <w:tab/>
        </w:r>
        <w:r>
          <w:fldChar w:fldCharType="begin"/>
        </w:r>
        <w:r>
          <w:instrText xml:space="preserve">PAGEREF 1815 \h</w:instrText>
        </w:r>
        <w:r>
          <w:fldChar w:fldCharType="end"/>
        </w:r>
      </w:hyperlink>
    </w:p>
    <w:p>
      <w:pPr>
        <w:tabs>
          <w:tab w:val="right" w:leader="dot" w:pos="9062"/>
        </w:tabs>
        <w:ind w:left="1100"/>
      </w:pPr>
      <w:hyperlink w:anchor="_Toc1816" w:history="1">
        <w:r>
          <w:rPr>
            <w:rFonts w:ascii="IRNazanin" w:hAnsi="IRNazanin" w:eastAsia="IRNazanin" w:cs="IRNazanin"/>
            <w:color w:val="111111"/>
            <w:sz w:val="22"/>
            <w:szCs w:val="22"/>
            <w:b w:val="0"/>
            <w:bCs w:val="0"/>
            <w:i w:val="0"/>
            <w:iCs w:val="0"/>
          </w:rPr>
          <w:t>مشایخه</w:t>
        </w:r>
        <w:r>
          <w:tab/>
        </w:r>
        <w:r>
          <w:fldChar w:fldCharType="begin"/>
        </w:r>
        <w:r>
          <w:instrText xml:space="preserve">PAGEREF 1816 \h</w:instrText>
        </w:r>
        <w:r>
          <w:fldChar w:fldCharType="end"/>
        </w:r>
      </w:hyperlink>
    </w:p>
    <w:p>
      <w:pPr>
        <w:tabs>
          <w:tab w:val="right" w:leader="dot" w:pos="9062"/>
        </w:tabs>
        <w:ind w:left="1100"/>
      </w:pPr>
      <w:hyperlink w:anchor="_Toc1817" w:history="1">
        <w:r>
          <w:rPr>
            <w:rFonts w:ascii="IRNazanin" w:hAnsi="IRNazanin" w:eastAsia="IRNazanin" w:cs="IRNazanin"/>
            <w:color w:val="111111"/>
            <w:sz w:val="22"/>
            <w:szCs w:val="22"/>
            <w:b w:val="0"/>
            <w:bCs w:val="0"/>
            <w:i w:val="0"/>
            <w:iCs w:val="0"/>
          </w:rPr>
          <w:t>تلامیذه</w:t>
        </w:r>
        <w:r>
          <w:tab/>
        </w:r>
        <w:r>
          <w:fldChar w:fldCharType="begin"/>
        </w:r>
        <w:r>
          <w:instrText xml:space="preserve">PAGEREF 1817 \h</w:instrText>
        </w:r>
        <w:r>
          <w:fldChar w:fldCharType="end"/>
        </w:r>
      </w:hyperlink>
    </w:p>
    <w:p>
      <w:pPr>
        <w:tabs>
          <w:tab w:val="right" w:leader="dot" w:pos="9062"/>
        </w:tabs>
        <w:ind w:left="1100"/>
      </w:pPr>
      <w:hyperlink w:anchor="_Toc1818" w:history="1">
        <w:r>
          <w:rPr>
            <w:rFonts w:ascii="IRNazanin" w:hAnsi="IRNazanin" w:eastAsia="IRNazanin" w:cs="IRNazanin"/>
            <w:color w:val="111111"/>
            <w:sz w:val="22"/>
            <w:szCs w:val="22"/>
            <w:b w:val="0"/>
            <w:bCs w:val="0"/>
            <w:i w:val="0"/>
            <w:iCs w:val="0"/>
          </w:rPr>
          <w:t>تآلیفه</w:t>
        </w:r>
        <w:r>
          <w:tab/>
        </w:r>
        <w:r>
          <w:fldChar w:fldCharType="begin"/>
        </w:r>
        <w:r>
          <w:instrText xml:space="preserve">PAGEREF 1818 \h</w:instrText>
        </w:r>
        <w:r>
          <w:fldChar w:fldCharType="end"/>
        </w:r>
      </w:hyperlink>
    </w:p>
    <w:p>
      <w:pPr>
        <w:tabs>
          <w:tab w:val="right" w:leader="dot" w:pos="9062"/>
        </w:tabs>
        <w:ind w:left="1100"/>
      </w:pPr>
      <w:hyperlink w:anchor="_Toc1819" w:history="1">
        <w:r>
          <w:rPr>
            <w:rFonts w:ascii="IRNazanin" w:hAnsi="IRNazanin" w:eastAsia="IRNazanin" w:cs="IRNazanin"/>
            <w:color w:val="111111"/>
            <w:sz w:val="22"/>
            <w:szCs w:val="22"/>
            <w:b w:val="0"/>
            <w:bCs w:val="0"/>
            <w:i w:val="0"/>
            <w:iCs w:val="0"/>
          </w:rPr>
          <w:t>وفاته</w:t>
        </w:r>
        <w:r>
          <w:tab/>
        </w:r>
        <w:r>
          <w:fldChar w:fldCharType="begin"/>
        </w:r>
        <w:r>
          <w:instrText xml:space="preserve">PAGEREF 1819 \h</w:instrText>
        </w:r>
        <w:r>
          <w:fldChar w:fldCharType="end"/>
        </w:r>
      </w:hyperlink>
    </w:p>
    <w:p>
      <w:pPr>
        <w:tabs>
          <w:tab w:val="right" w:leader="dot" w:pos="9062"/>
        </w:tabs>
        <w:ind w:left="1100"/>
      </w:pPr>
      <w:hyperlink w:anchor="_Toc1820" w:history="1">
        <w:r>
          <w:rPr>
            <w:rFonts w:ascii="IRNazanin" w:hAnsi="IRNazanin" w:eastAsia="IRNazanin" w:cs="IRNazanin"/>
            <w:color w:val="111111"/>
            <w:sz w:val="22"/>
            <w:szCs w:val="22"/>
            <w:b w:val="0"/>
            <w:bCs w:val="0"/>
            <w:i w:val="0"/>
            <w:iCs w:val="0"/>
          </w:rPr>
          <w:t>4 - خلاصة الاقوال فی علم الرجال</w:t>
        </w:r>
        <w:r>
          <w:tab/>
        </w:r>
        <w:r>
          <w:fldChar w:fldCharType="begin"/>
        </w:r>
        <w:r>
          <w:instrText xml:space="preserve">PAGEREF 1820 \h</w:instrText>
        </w:r>
        <w:r>
          <w:fldChar w:fldCharType="end"/>
        </w:r>
      </w:hyperlink>
    </w:p>
    <w:p>
      <w:pPr>
        <w:tabs>
          <w:tab w:val="right" w:leader="dot" w:pos="9062"/>
        </w:tabs>
        <w:ind w:left="1100"/>
      </w:pPr>
      <w:hyperlink w:anchor="_Toc18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1821 \h</w:instrText>
        </w:r>
        <w:r>
          <w:fldChar w:fldCharType="end"/>
        </w:r>
      </w:hyperlink>
    </w:p>
    <w:p>
      <w:pPr>
        <w:tabs>
          <w:tab w:val="right" w:leader="dot" w:pos="9062"/>
        </w:tabs>
        <w:ind w:left="1100"/>
      </w:pPr>
      <w:hyperlink w:anchor="_Toc1822" w:history="1">
        <w:r>
          <w:rPr>
            <w:rFonts w:ascii="IRNazanin" w:hAnsi="IRNazanin" w:eastAsia="IRNazanin" w:cs="IRNazanin"/>
            <w:color w:val="111111"/>
            <w:sz w:val="22"/>
            <w:szCs w:val="22"/>
            <w:b w:val="0"/>
            <w:bCs w:val="0"/>
            <w:i w:val="0"/>
            <w:iCs w:val="0"/>
          </w:rPr>
          <w:t>الفروق بین رجالی العلامة و ابن داود</w:t>
        </w:r>
        <w:r>
          <w:tab/>
        </w:r>
        <w:r>
          <w:fldChar w:fldCharType="begin"/>
        </w:r>
        <w:r>
          <w:instrText xml:space="preserve">PAGEREF 1822 \h</w:instrText>
        </w:r>
        <w:r>
          <w:fldChar w:fldCharType="end"/>
        </w:r>
      </w:hyperlink>
    </w:p>
    <w:p>
      <w:pPr>
        <w:tabs>
          <w:tab w:val="right" w:leader="dot" w:pos="9062"/>
        </w:tabs>
        <w:ind w:left="1100"/>
      </w:pPr>
      <w:hyperlink w:anchor="_Toc1823" w:history="1">
        <w:r>
          <w:rPr>
            <w:rFonts w:ascii="IRNazanin" w:hAnsi="IRNazanin" w:eastAsia="IRNazanin" w:cs="IRNazanin"/>
            <w:color w:val="111111"/>
            <w:sz w:val="22"/>
            <w:szCs w:val="22"/>
            <w:b w:val="0"/>
            <w:bCs w:val="0"/>
            <w:i w:val="0"/>
            <w:iCs w:val="0"/>
          </w:rPr>
          <w:t>المجهول فی مصطلح العلاّمة و ابن داود</w:t>
        </w:r>
        <w:r>
          <w:tab/>
        </w:r>
        <w:r>
          <w:fldChar w:fldCharType="begin"/>
        </w:r>
        <w:r>
          <w:instrText xml:space="preserve">PAGEREF 1823 \h</w:instrText>
        </w:r>
        <w:r>
          <w:fldChar w:fldCharType="end"/>
        </w:r>
      </w:hyperlink>
    </w:p>
    <w:p>
      <w:pPr>
        <w:tabs>
          <w:tab w:val="right" w:leader="dot" w:pos="9062"/>
        </w:tabs>
        <w:ind w:left="880"/>
      </w:pPr>
      <w:hyperlink w:anchor="_Toc1824" w:history="1">
        <w:r>
          <w:rPr>
            <w:rFonts w:ascii="IRNazanin" w:hAnsi="IRNazanin" w:eastAsia="IRNazanin" w:cs="IRNazanin"/>
            <w:color w:val="111111"/>
            <w:sz w:val="22"/>
            <w:szCs w:val="22"/>
            <w:b w:val="0"/>
            <w:bCs w:val="0"/>
            <w:i w:val="0"/>
            <w:iCs w:val="0"/>
          </w:rPr>
          <w:t>2 - الجوامع الرجالیة فی العصور المتأخرة</w:t>
        </w:r>
        <w:r>
          <w:tab/>
        </w:r>
        <w:r>
          <w:fldChar w:fldCharType="begin"/>
        </w:r>
        <w:r>
          <w:instrText xml:space="preserve">PAGEREF 1824 \h</w:instrText>
        </w:r>
        <w:r>
          <w:fldChar w:fldCharType="end"/>
        </w:r>
      </w:hyperlink>
    </w:p>
    <w:p>
      <w:pPr>
        <w:tabs>
          <w:tab w:val="right" w:leader="dot" w:pos="9062"/>
        </w:tabs>
        <w:ind w:left="1100"/>
      </w:pPr>
      <w:hyperlink w:anchor="_Toc18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1825 \h</w:instrText>
        </w:r>
        <w:r>
          <w:fldChar w:fldCharType="end"/>
        </w:r>
      </w:hyperlink>
    </w:p>
    <w:p>
      <w:pPr>
        <w:tabs>
          <w:tab w:val="right" w:leader="dot" w:pos="9062"/>
        </w:tabs>
        <w:ind w:left="1100"/>
      </w:pPr>
      <w:hyperlink w:anchor="_Toc1826" w:history="1">
        <w:r>
          <w:rPr>
            <w:rFonts w:ascii="IRNazanin" w:hAnsi="IRNazanin" w:eastAsia="IRNazanin" w:cs="IRNazanin"/>
            <w:color w:val="111111"/>
            <w:sz w:val="22"/>
            <w:szCs w:val="22"/>
            <w:b w:val="0"/>
            <w:bCs w:val="0"/>
            <w:i w:val="0"/>
            <w:iCs w:val="0"/>
          </w:rPr>
          <w:t>1 - مجمع الرجال</w:t>
        </w:r>
        <w:r>
          <w:tab/>
        </w:r>
        <w:r>
          <w:fldChar w:fldCharType="begin"/>
        </w:r>
        <w:r>
          <w:instrText xml:space="preserve">PAGEREF 1826 \h</w:instrText>
        </w:r>
        <w:r>
          <w:fldChar w:fldCharType="end"/>
        </w:r>
      </w:hyperlink>
    </w:p>
    <w:p>
      <w:pPr>
        <w:tabs>
          <w:tab w:val="right" w:leader="dot" w:pos="9062"/>
        </w:tabs>
        <w:ind w:left="1100"/>
      </w:pPr>
      <w:hyperlink w:anchor="_Toc1827" w:history="1">
        <w:r>
          <w:rPr>
            <w:rFonts w:ascii="IRNazanin" w:hAnsi="IRNazanin" w:eastAsia="IRNazanin" w:cs="IRNazanin"/>
            <w:color w:val="111111"/>
            <w:sz w:val="22"/>
            <w:szCs w:val="22"/>
            <w:b w:val="0"/>
            <w:bCs w:val="0"/>
            <w:i w:val="0"/>
            <w:iCs w:val="0"/>
          </w:rPr>
          <w:t>2 - منهج المقال</w:t>
        </w:r>
        <w:r>
          <w:tab/>
        </w:r>
        <w:r>
          <w:fldChar w:fldCharType="begin"/>
        </w:r>
        <w:r>
          <w:instrText xml:space="preserve">PAGEREF 1827 \h</w:instrText>
        </w:r>
        <w:r>
          <w:fldChar w:fldCharType="end"/>
        </w:r>
      </w:hyperlink>
    </w:p>
    <w:p>
      <w:pPr>
        <w:tabs>
          <w:tab w:val="right" w:leader="dot" w:pos="9062"/>
        </w:tabs>
        <w:ind w:left="1100"/>
      </w:pPr>
      <w:hyperlink w:anchor="_Toc1828" w:history="1">
        <w:r>
          <w:rPr>
            <w:rFonts w:ascii="IRNazanin" w:hAnsi="IRNazanin" w:eastAsia="IRNazanin" w:cs="IRNazanin"/>
            <w:color w:val="111111"/>
            <w:sz w:val="22"/>
            <w:szCs w:val="22"/>
            <w:b w:val="0"/>
            <w:bCs w:val="0"/>
            <w:i w:val="0"/>
            <w:iCs w:val="0"/>
          </w:rPr>
          <w:t>3 - جامع الرواة</w:t>
        </w:r>
        <w:r>
          <w:tab/>
        </w:r>
        <w:r>
          <w:fldChar w:fldCharType="begin"/>
        </w:r>
        <w:r>
          <w:instrText xml:space="preserve">PAGEREF 1828 \h</w:instrText>
        </w:r>
        <w:r>
          <w:fldChar w:fldCharType="end"/>
        </w:r>
      </w:hyperlink>
    </w:p>
    <w:p>
      <w:pPr>
        <w:tabs>
          <w:tab w:val="right" w:leader="dot" w:pos="9062"/>
        </w:tabs>
        <w:ind w:left="1100"/>
      </w:pPr>
      <w:hyperlink w:anchor="_Toc1829" w:history="1">
        <w:r>
          <w:rPr>
            <w:rFonts w:ascii="IRNazanin" w:hAnsi="IRNazanin" w:eastAsia="IRNazanin" w:cs="IRNazanin"/>
            <w:color w:val="111111"/>
            <w:sz w:val="22"/>
            <w:szCs w:val="22"/>
            <w:b w:val="0"/>
            <w:bCs w:val="0"/>
            <w:i w:val="0"/>
            <w:iCs w:val="0"/>
          </w:rPr>
          <w:t>4 - نقد الرجال</w:t>
        </w:r>
        <w:r>
          <w:tab/>
        </w:r>
        <w:r>
          <w:fldChar w:fldCharType="begin"/>
        </w:r>
        <w:r>
          <w:instrText xml:space="preserve">PAGEREF 1829 \h</w:instrText>
        </w:r>
        <w:r>
          <w:fldChar w:fldCharType="end"/>
        </w:r>
      </w:hyperlink>
    </w:p>
    <w:p>
      <w:pPr>
        <w:tabs>
          <w:tab w:val="right" w:leader="dot" w:pos="9062"/>
        </w:tabs>
        <w:ind w:left="1100"/>
      </w:pPr>
      <w:hyperlink w:anchor="_Toc1830" w:history="1">
        <w:r>
          <w:rPr>
            <w:rFonts w:ascii="IRNazanin" w:hAnsi="IRNazanin" w:eastAsia="IRNazanin" w:cs="IRNazanin"/>
            <w:color w:val="111111"/>
            <w:sz w:val="22"/>
            <w:szCs w:val="22"/>
            <w:b w:val="0"/>
            <w:bCs w:val="0"/>
            <w:i w:val="0"/>
            <w:iCs w:val="0"/>
          </w:rPr>
          <w:t>5 - منتهی المقال فی أحوال الرجال</w:t>
        </w:r>
        <w:r>
          <w:tab/>
        </w:r>
        <w:r>
          <w:fldChar w:fldCharType="begin"/>
        </w:r>
        <w:r>
          <w:instrText xml:space="preserve">PAGEREF 1830 \h</w:instrText>
        </w:r>
        <w:r>
          <w:fldChar w:fldCharType="end"/>
        </w:r>
      </w:hyperlink>
    </w:p>
    <w:p>
      <w:pPr>
        <w:tabs>
          <w:tab w:val="right" w:leader="dot" w:pos="9062"/>
        </w:tabs>
        <w:ind w:left="880"/>
      </w:pPr>
      <w:hyperlink w:anchor="_Toc1831" w:history="1">
        <w:r>
          <w:rPr>
            <w:rFonts w:ascii="IRNazanin" w:hAnsi="IRNazanin" w:eastAsia="IRNazanin" w:cs="IRNazanin"/>
            <w:color w:val="111111"/>
            <w:sz w:val="22"/>
            <w:szCs w:val="22"/>
            <w:b w:val="0"/>
            <w:bCs w:val="0"/>
            <w:i w:val="0"/>
            <w:iCs w:val="0"/>
          </w:rPr>
          <w:t>3 - الجوامع الرجالیة الدارجة علی منهج القدماء</w:t>
        </w:r>
        <w:r>
          <w:tab/>
        </w:r>
        <w:r>
          <w:fldChar w:fldCharType="begin"/>
        </w:r>
        <w:r>
          <w:instrText xml:space="preserve">PAGEREF 1831 \h</w:instrText>
        </w:r>
        <w:r>
          <w:fldChar w:fldCharType="end"/>
        </w:r>
      </w:hyperlink>
    </w:p>
    <w:p>
      <w:pPr>
        <w:tabs>
          <w:tab w:val="right" w:leader="dot" w:pos="9062"/>
        </w:tabs>
        <w:ind w:left="1100"/>
      </w:pPr>
      <w:hyperlink w:anchor="_Toc18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1832 \h</w:instrText>
        </w:r>
        <w:r>
          <w:fldChar w:fldCharType="end"/>
        </w:r>
      </w:hyperlink>
    </w:p>
    <w:p>
      <w:pPr>
        <w:tabs>
          <w:tab w:val="right" w:leader="dot" w:pos="9062"/>
        </w:tabs>
        <w:ind w:left="1100"/>
      </w:pPr>
      <w:hyperlink w:anchor="_Toc1833" w:history="1">
        <w:r>
          <w:rPr>
            <w:rFonts w:ascii="IRNazanin" w:hAnsi="IRNazanin" w:eastAsia="IRNazanin" w:cs="IRNazanin"/>
            <w:color w:val="111111"/>
            <w:sz w:val="22"/>
            <w:szCs w:val="22"/>
            <w:b w:val="0"/>
            <w:bCs w:val="0"/>
            <w:i w:val="0"/>
            <w:iCs w:val="0"/>
          </w:rPr>
          <w:t>1 - «بهجة الامال فی شرح زبدة المقال فی علم الرجال»</w:t>
        </w:r>
        <w:r>
          <w:tab/>
        </w:r>
        <w:r>
          <w:fldChar w:fldCharType="begin"/>
        </w:r>
        <w:r>
          <w:instrText xml:space="preserve">PAGEREF 1833 \h</w:instrText>
        </w:r>
        <w:r>
          <w:fldChar w:fldCharType="end"/>
        </w:r>
      </w:hyperlink>
    </w:p>
    <w:p>
      <w:pPr>
        <w:tabs>
          <w:tab w:val="right" w:leader="dot" w:pos="9062"/>
        </w:tabs>
        <w:ind w:left="1100"/>
      </w:pPr>
      <w:hyperlink w:anchor="_Toc1834" w:history="1">
        <w:r>
          <w:rPr>
            <w:rFonts w:ascii="IRNazanin" w:hAnsi="IRNazanin" w:eastAsia="IRNazanin" w:cs="IRNazanin"/>
            <w:color w:val="111111"/>
            <w:sz w:val="22"/>
            <w:szCs w:val="22"/>
            <w:b w:val="0"/>
            <w:bCs w:val="0"/>
            <w:i w:val="0"/>
            <w:iCs w:val="0"/>
          </w:rPr>
          <w:t>2 - «تنقیح المقال فی معرفة علم الرجال»</w:t>
        </w:r>
        <w:r>
          <w:tab/>
        </w:r>
        <w:r>
          <w:fldChar w:fldCharType="begin"/>
        </w:r>
        <w:r>
          <w:instrText xml:space="preserve">PAGEREF 1834 \h</w:instrText>
        </w:r>
        <w:r>
          <w:fldChar w:fldCharType="end"/>
        </w:r>
      </w:hyperlink>
    </w:p>
    <w:p>
      <w:pPr>
        <w:tabs>
          <w:tab w:val="right" w:leader="dot" w:pos="9062"/>
        </w:tabs>
        <w:ind w:left="1100"/>
      </w:pPr>
      <w:hyperlink w:anchor="_Toc1835" w:history="1">
        <w:r>
          <w:rPr>
            <w:rFonts w:ascii="IRNazanin" w:hAnsi="IRNazanin" w:eastAsia="IRNazanin" w:cs="IRNazanin"/>
            <w:color w:val="111111"/>
            <w:sz w:val="22"/>
            <w:szCs w:val="22"/>
            <w:b w:val="0"/>
            <w:bCs w:val="0"/>
            <w:i w:val="0"/>
            <w:iCs w:val="0"/>
          </w:rPr>
          <w:t>3 - «قاموس الرجال»</w:t>
        </w:r>
        <w:r>
          <w:tab/>
        </w:r>
        <w:r>
          <w:fldChar w:fldCharType="begin"/>
        </w:r>
        <w:r>
          <w:instrText xml:space="preserve">PAGEREF 1835 \h</w:instrText>
        </w:r>
        <w:r>
          <w:fldChar w:fldCharType="end"/>
        </w:r>
      </w:hyperlink>
    </w:p>
    <w:p>
      <w:pPr>
        <w:tabs>
          <w:tab w:val="right" w:leader="dot" w:pos="9062"/>
        </w:tabs>
        <w:ind w:left="880"/>
      </w:pPr>
      <w:hyperlink w:anchor="_Toc1836" w:history="1">
        <w:r>
          <w:rPr>
            <w:rFonts w:ascii="IRNazanin" w:hAnsi="IRNazanin" w:eastAsia="IRNazanin" w:cs="IRNazanin"/>
            <w:color w:val="111111"/>
            <w:sz w:val="22"/>
            <w:szCs w:val="22"/>
            <w:b w:val="0"/>
            <w:bCs w:val="0"/>
            <w:i w:val="0"/>
            <w:iCs w:val="0"/>
          </w:rPr>
          <w:t>4 - تطور فی تألیف الجوامع الرجالیة</w:t>
        </w:r>
        <w:r>
          <w:tab/>
        </w:r>
        <w:r>
          <w:fldChar w:fldCharType="begin"/>
        </w:r>
        <w:r>
          <w:instrText xml:space="preserve">PAGEREF 1836 \h</w:instrText>
        </w:r>
        <w:r>
          <w:fldChar w:fldCharType="end"/>
        </w:r>
      </w:hyperlink>
    </w:p>
    <w:p>
      <w:pPr>
        <w:tabs>
          <w:tab w:val="right" w:leader="dot" w:pos="9062"/>
        </w:tabs>
        <w:ind w:left="1100"/>
      </w:pPr>
      <w:hyperlink w:anchor="_Toc18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1837 \h</w:instrText>
        </w:r>
        <w:r>
          <w:fldChar w:fldCharType="end"/>
        </w:r>
      </w:hyperlink>
    </w:p>
    <w:p>
      <w:pPr>
        <w:tabs>
          <w:tab w:val="right" w:leader="dot" w:pos="9062"/>
        </w:tabs>
        <w:ind w:left="1100"/>
      </w:pPr>
      <w:hyperlink w:anchor="_Toc1838" w:history="1">
        <w:r>
          <w:rPr>
            <w:rFonts w:ascii="IRNazanin" w:hAnsi="IRNazanin" w:eastAsia="IRNazanin" w:cs="IRNazanin"/>
            <w:color w:val="111111"/>
            <w:sz w:val="22"/>
            <w:szCs w:val="22"/>
            <w:b w:val="0"/>
            <w:bCs w:val="0"/>
            <w:i w:val="0"/>
            <w:iCs w:val="0"/>
          </w:rPr>
          <w:t>بروز نمط خاصّ فی تألیف الرجال</w:t>
        </w:r>
        <w:r>
          <w:tab/>
        </w:r>
        <w:r>
          <w:fldChar w:fldCharType="begin"/>
        </w:r>
        <w:r>
          <w:instrText xml:space="preserve">PAGEREF 1838 \h</w:instrText>
        </w:r>
        <w:r>
          <w:fldChar w:fldCharType="end"/>
        </w:r>
      </w:hyperlink>
    </w:p>
    <w:p>
      <w:pPr>
        <w:tabs>
          <w:tab w:val="right" w:leader="dot" w:pos="9062"/>
        </w:tabs>
        <w:ind w:left="1100"/>
      </w:pPr>
      <w:hyperlink w:anchor="_Toc1839" w:history="1">
        <w:r>
          <w:rPr>
            <w:rFonts w:ascii="IRNazanin" w:hAnsi="IRNazanin" w:eastAsia="IRNazanin" w:cs="IRNazanin"/>
            <w:color w:val="111111"/>
            <w:sz w:val="22"/>
            <w:szCs w:val="22"/>
            <w:b w:val="0"/>
            <w:bCs w:val="0"/>
            <w:i w:val="0"/>
            <w:iCs w:val="0"/>
          </w:rPr>
          <w:t>1 - جامع الرواة</w:t>
        </w:r>
        <w:r>
          <w:tab/>
        </w:r>
        <w:r>
          <w:fldChar w:fldCharType="begin"/>
        </w:r>
        <w:r>
          <w:instrText xml:space="preserve">PAGEREF 1839 \h</w:instrText>
        </w:r>
        <w:r>
          <w:fldChar w:fldCharType="end"/>
        </w:r>
      </w:hyperlink>
    </w:p>
    <w:p>
      <w:pPr>
        <w:tabs>
          <w:tab w:val="right" w:leader="dot" w:pos="9062"/>
        </w:tabs>
        <w:ind w:left="1100"/>
      </w:pPr>
      <w:hyperlink w:anchor="_Toc1840" w:history="1">
        <w:r>
          <w:rPr>
            <w:rFonts w:ascii="IRNazanin" w:hAnsi="IRNazanin" w:eastAsia="IRNazanin" w:cs="IRNazanin"/>
            <w:color w:val="111111"/>
            <w:sz w:val="22"/>
            <w:szCs w:val="22"/>
            <w:b w:val="0"/>
            <w:bCs w:val="0"/>
            <w:i w:val="0"/>
            <w:iCs w:val="0"/>
          </w:rPr>
          <w:t>2 - طرائف المقال</w:t>
        </w:r>
        <w:r>
          <w:tab/>
        </w:r>
        <w:r>
          <w:fldChar w:fldCharType="begin"/>
        </w:r>
        <w:r>
          <w:instrText xml:space="preserve">PAGEREF 1840 \h</w:instrText>
        </w:r>
        <w:r>
          <w:fldChar w:fldCharType="end"/>
        </w:r>
      </w:hyperlink>
    </w:p>
    <w:p>
      <w:pPr>
        <w:tabs>
          <w:tab w:val="right" w:leader="dot" w:pos="9062"/>
        </w:tabs>
        <w:ind w:left="1100"/>
      </w:pPr>
      <w:hyperlink w:anchor="_Toc1841" w:history="1">
        <w:r>
          <w:rPr>
            <w:rFonts w:ascii="IRNazanin" w:hAnsi="IRNazanin" w:eastAsia="IRNazanin" w:cs="IRNazanin"/>
            <w:color w:val="111111"/>
            <w:sz w:val="22"/>
            <w:szCs w:val="22"/>
            <w:b w:val="0"/>
            <w:bCs w:val="0"/>
            <w:i w:val="0"/>
            <w:iCs w:val="0"/>
          </w:rPr>
          <w:t>3 - مرتب الاسانید</w:t>
        </w:r>
        <w:r>
          <w:tab/>
        </w:r>
        <w:r>
          <w:fldChar w:fldCharType="begin"/>
        </w:r>
        <w:r>
          <w:instrText xml:space="preserve">PAGEREF 1841 \h</w:instrText>
        </w:r>
        <w:r>
          <w:fldChar w:fldCharType="end"/>
        </w:r>
      </w:hyperlink>
    </w:p>
    <w:p>
      <w:pPr>
        <w:tabs>
          <w:tab w:val="right" w:leader="dot" w:pos="9062"/>
        </w:tabs>
        <w:ind w:left="1100"/>
      </w:pPr>
      <w:hyperlink w:anchor="_Toc1842" w:history="1">
        <w:r>
          <w:rPr>
            <w:rFonts w:ascii="IRNazanin" w:hAnsi="IRNazanin" w:eastAsia="IRNazanin" w:cs="IRNazanin"/>
            <w:color w:val="111111"/>
            <w:sz w:val="22"/>
            <w:szCs w:val="22"/>
            <w:b w:val="0"/>
            <w:bCs w:val="0"/>
            <w:i w:val="0"/>
            <w:iCs w:val="0"/>
          </w:rPr>
          <w:t>4 - معجم رجال الحدیث</w:t>
        </w:r>
        <w:r>
          <w:tab/>
        </w:r>
        <w:r>
          <w:fldChar w:fldCharType="begin"/>
        </w:r>
        <w:r>
          <w:instrText xml:space="preserve">PAGEREF 1842 \h</w:instrText>
        </w:r>
        <w:r>
          <w:fldChar w:fldCharType="end"/>
        </w:r>
      </w:hyperlink>
    </w:p>
    <w:p>
      <w:pPr>
        <w:tabs>
          <w:tab w:val="right" w:leader="dot" w:pos="9062"/>
        </w:tabs>
        <w:ind w:left="660"/>
      </w:pPr>
      <w:hyperlink w:anchor="_Toc1843" w:history="1">
        <w:r>
          <w:rPr>
            <w:rFonts w:ascii="IRNazanin" w:hAnsi="IRNazanin" w:eastAsia="IRNazanin" w:cs="IRNazanin"/>
            <w:color w:val="111111"/>
            <w:sz w:val="22"/>
            <w:szCs w:val="22"/>
            <w:b w:val="0"/>
            <w:bCs w:val="0"/>
            <w:i w:val="0"/>
            <w:iCs w:val="0"/>
          </w:rPr>
          <w:t>الفصل الخامس: التوثیقات الخاصة</w:t>
        </w:r>
        <w:r>
          <w:tab/>
        </w:r>
        <w:r>
          <w:fldChar w:fldCharType="begin"/>
        </w:r>
        <w:r>
          <w:instrText xml:space="preserve">PAGEREF 1843 \h</w:instrText>
        </w:r>
        <w:r>
          <w:fldChar w:fldCharType="end"/>
        </w:r>
      </w:hyperlink>
    </w:p>
    <w:p>
      <w:pPr>
        <w:tabs>
          <w:tab w:val="right" w:leader="dot" w:pos="9062"/>
        </w:tabs>
        <w:ind w:left="880"/>
      </w:pPr>
      <w:hyperlink w:anchor="_Toc18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1844 \h</w:instrText>
        </w:r>
        <w:r>
          <w:fldChar w:fldCharType="end"/>
        </w:r>
      </w:hyperlink>
    </w:p>
    <w:p>
      <w:pPr>
        <w:tabs>
          <w:tab w:val="right" w:leader="dot" w:pos="9062"/>
        </w:tabs>
        <w:ind w:left="880"/>
      </w:pPr>
      <w:hyperlink w:anchor="_Toc1845" w:history="1">
        <w:r>
          <w:rPr>
            <w:rFonts w:ascii="IRNazanin" w:hAnsi="IRNazanin" w:eastAsia="IRNazanin" w:cs="IRNazanin"/>
            <w:color w:val="111111"/>
            <w:sz w:val="22"/>
            <w:szCs w:val="22"/>
            <w:b w:val="0"/>
            <w:bCs w:val="0"/>
            <w:i w:val="0"/>
            <w:iCs w:val="0"/>
          </w:rPr>
          <w:t>الأوّل: نصّ أحد المعصومین علیهم السلام</w:t>
        </w:r>
        <w:r>
          <w:tab/>
        </w:r>
        <w:r>
          <w:fldChar w:fldCharType="begin"/>
        </w:r>
        <w:r>
          <w:instrText xml:space="preserve">PAGEREF 1845 \h</w:instrText>
        </w:r>
        <w:r>
          <w:fldChar w:fldCharType="end"/>
        </w:r>
      </w:hyperlink>
    </w:p>
    <w:p>
      <w:pPr>
        <w:tabs>
          <w:tab w:val="right" w:leader="dot" w:pos="9062"/>
        </w:tabs>
        <w:ind w:left="880"/>
      </w:pPr>
      <w:hyperlink w:anchor="_Toc1846" w:history="1">
        <w:r>
          <w:rPr>
            <w:rFonts w:ascii="IRNazanin" w:hAnsi="IRNazanin" w:eastAsia="IRNazanin" w:cs="IRNazanin"/>
            <w:color w:val="111111"/>
            <w:sz w:val="22"/>
            <w:szCs w:val="22"/>
            <w:b w:val="0"/>
            <w:bCs w:val="0"/>
            <w:i w:val="0"/>
            <w:iCs w:val="0"/>
          </w:rPr>
          <w:t>الثانیة: نص أحد أعلام المتقدمین</w:t>
        </w:r>
        <w:r>
          <w:tab/>
        </w:r>
        <w:r>
          <w:fldChar w:fldCharType="begin"/>
        </w:r>
        <w:r>
          <w:instrText xml:space="preserve">PAGEREF 1846 \h</w:instrText>
        </w:r>
        <w:r>
          <w:fldChar w:fldCharType="end"/>
        </w:r>
      </w:hyperlink>
    </w:p>
    <w:p>
      <w:pPr>
        <w:tabs>
          <w:tab w:val="right" w:leader="dot" w:pos="9062"/>
        </w:tabs>
        <w:ind w:left="880"/>
      </w:pPr>
      <w:hyperlink w:anchor="_Toc1847" w:history="1">
        <w:r>
          <w:rPr>
            <w:rFonts w:ascii="IRNazanin" w:hAnsi="IRNazanin" w:eastAsia="IRNazanin" w:cs="IRNazanin"/>
            <w:color w:val="111111"/>
            <w:sz w:val="22"/>
            <w:szCs w:val="22"/>
            <w:b w:val="0"/>
            <w:bCs w:val="0"/>
            <w:i w:val="0"/>
            <w:iCs w:val="0"/>
          </w:rPr>
          <w:t>الثالثة: نص أحد أعلام المتأخرین</w:t>
        </w:r>
        <w:r>
          <w:tab/>
        </w:r>
        <w:r>
          <w:fldChar w:fldCharType="begin"/>
        </w:r>
        <w:r>
          <w:instrText xml:space="preserve">PAGEREF 1847 \h</w:instrText>
        </w:r>
        <w:r>
          <w:fldChar w:fldCharType="end"/>
        </w:r>
      </w:hyperlink>
    </w:p>
    <w:p>
      <w:pPr>
        <w:tabs>
          <w:tab w:val="right" w:leader="dot" w:pos="9062"/>
        </w:tabs>
        <w:ind w:left="880"/>
      </w:pPr>
      <w:hyperlink w:anchor="_Toc1848" w:history="1">
        <w:r>
          <w:rPr>
            <w:rFonts w:ascii="IRNazanin" w:hAnsi="IRNazanin" w:eastAsia="IRNazanin" w:cs="IRNazanin"/>
            <w:color w:val="111111"/>
            <w:sz w:val="22"/>
            <w:szCs w:val="22"/>
            <w:b w:val="0"/>
            <w:bCs w:val="0"/>
            <w:i w:val="0"/>
            <w:iCs w:val="0"/>
          </w:rPr>
          <w:t>الرابعة: دعوی الاجماع من قبل الأقدمین</w:t>
        </w:r>
        <w:r>
          <w:tab/>
        </w:r>
        <w:r>
          <w:fldChar w:fldCharType="begin"/>
        </w:r>
        <w:r>
          <w:instrText xml:space="preserve">PAGEREF 1848 \h</w:instrText>
        </w:r>
        <w:r>
          <w:fldChar w:fldCharType="end"/>
        </w:r>
      </w:hyperlink>
    </w:p>
    <w:p>
      <w:pPr>
        <w:tabs>
          <w:tab w:val="right" w:leader="dot" w:pos="9062"/>
        </w:tabs>
        <w:ind w:left="880"/>
      </w:pPr>
      <w:hyperlink w:anchor="_Toc1849" w:history="1">
        <w:r>
          <w:rPr>
            <w:rFonts w:ascii="IRNazanin" w:hAnsi="IRNazanin" w:eastAsia="IRNazanin" w:cs="IRNazanin"/>
            <w:color w:val="111111"/>
            <w:sz w:val="22"/>
            <w:szCs w:val="22"/>
            <w:b w:val="0"/>
            <w:bCs w:val="0"/>
            <w:i w:val="0"/>
            <w:iCs w:val="0"/>
          </w:rPr>
          <w:t>الخامسة: المدح الکاشف عن حسن الظاهر</w:t>
        </w:r>
        <w:r>
          <w:tab/>
        </w:r>
        <w:r>
          <w:fldChar w:fldCharType="begin"/>
        </w:r>
        <w:r>
          <w:instrText xml:space="preserve">PAGEREF 1849 \h</w:instrText>
        </w:r>
        <w:r>
          <w:fldChar w:fldCharType="end"/>
        </w:r>
      </w:hyperlink>
    </w:p>
    <w:p>
      <w:pPr>
        <w:tabs>
          <w:tab w:val="right" w:leader="dot" w:pos="9062"/>
        </w:tabs>
        <w:ind w:left="880"/>
      </w:pPr>
      <w:hyperlink w:anchor="_Toc1850" w:history="1">
        <w:r>
          <w:rPr>
            <w:rFonts w:ascii="IRNazanin" w:hAnsi="IRNazanin" w:eastAsia="IRNazanin" w:cs="IRNazanin"/>
            <w:color w:val="111111"/>
            <w:sz w:val="22"/>
            <w:szCs w:val="22"/>
            <w:b w:val="0"/>
            <w:bCs w:val="0"/>
            <w:i w:val="0"/>
            <w:iCs w:val="0"/>
          </w:rPr>
          <w:t>السادسة: سعی المستنبط علی جمع القرائن</w:t>
        </w:r>
        <w:r>
          <w:tab/>
        </w:r>
        <w:r>
          <w:fldChar w:fldCharType="begin"/>
        </w:r>
        <w:r>
          <w:instrText xml:space="preserve">PAGEREF 1850 \h</w:instrText>
        </w:r>
        <w:r>
          <w:fldChar w:fldCharType="end"/>
        </w:r>
      </w:hyperlink>
    </w:p>
    <w:p>
      <w:pPr>
        <w:tabs>
          <w:tab w:val="right" w:leader="dot" w:pos="9062"/>
        </w:tabs>
        <w:ind w:left="880"/>
      </w:pPr>
      <w:hyperlink w:anchor="_Toc1851" w:history="1">
        <w:r>
          <w:rPr>
            <w:rFonts w:ascii="IRNazanin" w:hAnsi="IRNazanin" w:eastAsia="IRNazanin" w:cs="IRNazanin"/>
            <w:color w:val="111111"/>
            <w:sz w:val="22"/>
            <w:szCs w:val="22"/>
            <w:b w:val="0"/>
            <w:bCs w:val="0"/>
            <w:i w:val="0"/>
            <w:iCs w:val="0"/>
          </w:rPr>
          <w:t>بحث استطرادی و هو هل یکفی تزکیة العدل الواحد؟</w:t>
        </w:r>
        <w:r>
          <w:tab/>
        </w:r>
        <w:r>
          <w:fldChar w:fldCharType="begin"/>
        </w:r>
        <w:r>
          <w:instrText xml:space="preserve">PAGEREF 1851 \h</w:instrText>
        </w:r>
        <w:r>
          <w:fldChar w:fldCharType="end"/>
        </w:r>
      </w:hyperlink>
    </w:p>
    <w:p>
      <w:pPr>
        <w:tabs>
          <w:tab w:val="right" w:leader="dot" w:pos="9062"/>
        </w:tabs>
        <w:ind w:left="660"/>
      </w:pPr>
      <w:hyperlink w:anchor="_Toc1852" w:history="1">
        <w:r>
          <w:rPr>
            <w:rFonts w:ascii="IRNazanin" w:hAnsi="IRNazanin" w:eastAsia="IRNazanin" w:cs="IRNazanin"/>
            <w:color w:val="111111"/>
            <w:sz w:val="22"/>
            <w:szCs w:val="22"/>
            <w:b w:val="0"/>
            <w:bCs w:val="0"/>
            <w:i w:val="0"/>
            <w:iCs w:val="0"/>
          </w:rPr>
          <w:t>الفصل السادس: التوثیقات العامة</w:t>
        </w:r>
        <w:r>
          <w:tab/>
        </w:r>
        <w:r>
          <w:fldChar w:fldCharType="begin"/>
        </w:r>
        <w:r>
          <w:instrText xml:space="preserve">PAGEREF 1852 \h</w:instrText>
        </w:r>
        <w:r>
          <w:fldChar w:fldCharType="end"/>
        </w:r>
      </w:hyperlink>
    </w:p>
    <w:p>
      <w:pPr>
        <w:tabs>
          <w:tab w:val="right" w:leader="dot" w:pos="9062"/>
        </w:tabs>
        <w:ind w:left="880"/>
      </w:pPr>
      <w:hyperlink w:anchor="_Toc18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1853 \h</w:instrText>
        </w:r>
        <w:r>
          <w:fldChar w:fldCharType="end"/>
        </w:r>
      </w:hyperlink>
    </w:p>
    <w:p>
      <w:pPr>
        <w:tabs>
          <w:tab w:val="right" w:leader="dot" w:pos="9062"/>
        </w:tabs>
        <w:ind w:left="880"/>
      </w:pPr>
      <w:hyperlink w:anchor="_Toc1854" w:history="1">
        <w:r>
          <w:rPr>
            <w:rFonts w:ascii="IRNazanin" w:hAnsi="IRNazanin" w:eastAsia="IRNazanin" w:cs="IRNazanin"/>
            <w:color w:val="111111"/>
            <w:sz w:val="22"/>
            <w:szCs w:val="22"/>
            <w:b w:val="0"/>
            <w:bCs w:val="0"/>
            <w:i w:val="0"/>
            <w:iCs w:val="0"/>
          </w:rPr>
          <w:t>1 - اصحاب الاجماع</w:t>
        </w:r>
        <w:r>
          <w:tab/>
        </w:r>
        <w:r>
          <w:fldChar w:fldCharType="begin"/>
        </w:r>
        <w:r>
          <w:instrText xml:space="preserve">PAGEREF 1854 \h</w:instrText>
        </w:r>
        <w:r>
          <w:fldChar w:fldCharType="end"/>
        </w:r>
      </w:hyperlink>
    </w:p>
    <w:p>
      <w:pPr>
        <w:tabs>
          <w:tab w:val="right" w:leader="dot" w:pos="9062"/>
        </w:tabs>
        <w:ind w:left="1100"/>
      </w:pPr>
      <w:hyperlink w:anchor="_Toc18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1855 \h</w:instrText>
        </w:r>
        <w:r>
          <w:fldChar w:fldCharType="end"/>
        </w:r>
      </w:hyperlink>
    </w:p>
    <w:p>
      <w:pPr>
        <w:tabs>
          <w:tab w:val="right" w:leader="dot" w:pos="9062"/>
        </w:tabs>
        <w:ind w:left="1100"/>
      </w:pPr>
      <w:hyperlink w:anchor="_Toc1856" w:history="1">
        <w:r>
          <w:rPr>
            <w:rFonts w:ascii="IRNazanin" w:hAnsi="IRNazanin" w:eastAsia="IRNazanin" w:cs="IRNazanin"/>
            <w:color w:val="111111"/>
            <w:sz w:val="22"/>
            <w:szCs w:val="22"/>
            <w:b w:val="0"/>
            <w:bCs w:val="0"/>
            <w:i w:val="0"/>
            <w:iCs w:val="0"/>
          </w:rPr>
          <w:t>و لتحقیق الحال یجب البحث عن امور:</w:t>
        </w:r>
        <w:r>
          <w:tab/>
        </w:r>
        <w:r>
          <w:fldChar w:fldCharType="begin"/>
        </w:r>
        <w:r>
          <w:instrText xml:space="preserve">PAGEREF 1856 \h</w:instrText>
        </w:r>
        <w:r>
          <w:fldChar w:fldCharType="end"/>
        </w:r>
      </w:hyperlink>
    </w:p>
    <w:p>
      <w:pPr>
        <w:tabs>
          <w:tab w:val="right" w:leader="dot" w:pos="9062"/>
        </w:tabs>
        <w:ind w:left="1100"/>
      </w:pPr>
      <w:hyperlink w:anchor="_Toc1857" w:history="1">
        <w:r>
          <w:rPr>
            <w:rFonts w:ascii="IRNazanin" w:hAnsi="IRNazanin" w:eastAsia="IRNazanin" w:cs="IRNazanin"/>
            <w:color w:val="111111"/>
            <w:sz w:val="22"/>
            <w:szCs w:val="22"/>
            <w:b w:val="0"/>
            <w:bCs w:val="0"/>
            <w:i w:val="0"/>
            <w:iCs w:val="0"/>
          </w:rPr>
          <w:t>الاول: ما هو الاصل فی ذلک؟</w:t>
        </w:r>
        <w:r>
          <w:tab/>
        </w:r>
        <w:r>
          <w:fldChar w:fldCharType="begin"/>
        </w:r>
        <w:r>
          <w:instrText xml:space="preserve">PAGEREF 1857 \h</w:instrText>
        </w:r>
        <w:r>
          <w:fldChar w:fldCharType="end"/>
        </w:r>
      </w:hyperlink>
    </w:p>
    <w:p>
      <w:pPr>
        <w:tabs>
          <w:tab w:val="right" w:leader="dot" w:pos="9062"/>
        </w:tabs>
        <w:ind w:left="1100"/>
      </w:pPr>
      <w:hyperlink w:anchor="_Toc1858" w:history="1">
        <w:r>
          <w:rPr>
            <w:rFonts w:ascii="IRNazanin" w:hAnsi="IRNazanin" w:eastAsia="IRNazanin" w:cs="IRNazanin"/>
            <w:color w:val="111111"/>
            <w:sz w:val="22"/>
            <w:szCs w:val="22"/>
            <w:b w:val="0"/>
            <w:bCs w:val="0"/>
            <w:i w:val="0"/>
            <w:iCs w:val="0"/>
          </w:rPr>
          <w:t>الثانی: «أصحاب الاجماع» اصطلاح جدید</w:t>
        </w:r>
        <w:r>
          <w:tab/>
        </w:r>
        <w:r>
          <w:fldChar w:fldCharType="begin"/>
        </w:r>
        <w:r>
          <w:instrText xml:space="preserve">PAGEREF 1858 \h</w:instrText>
        </w:r>
        <w:r>
          <w:fldChar w:fldCharType="end"/>
        </w:r>
      </w:hyperlink>
    </w:p>
    <w:p>
      <w:pPr>
        <w:tabs>
          <w:tab w:val="right" w:leader="dot" w:pos="9062"/>
        </w:tabs>
        <w:ind w:left="1100"/>
      </w:pPr>
      <w:hyperlink w:anchor="_Toc1859" w:history="1">
        <w:r>
          <w:rPr>
            <w:rFonts w:ascii="IRNazanin" w:hAnsi="IRNazanin" w:eastAsia="IRNazanin" w:cs="IRNazanin"/>
            <w:color w:val="111111"/>
            <w:sz w:val="22"/>
            <w:szCs w:val="22"/>
            <w:b w:val="0"/>
            <w:bCs w:val="0"/>
            <w:i w:val="0"/>
            <w:iCs w:val="0"/>
          </w:rPr>
          <w:t>الثالث: فی عددهم</w:t>
        </w:r>
        <w:r>
          <w:tab/>
        </w:r>
        <w:r>
          <w:fldChar w:fldCharType="begin"/>
        </w:r>
        <w:r>
          <w:instrText xml:space="preserve">PAGEREF 1859 \h</w:instrText>
        </w:r>
        <w:r>
          <w:fldChar w:fldCharType="end"/>
        </w:r>
      </w:hyperlink>
    </w:p>
    <w:p>
      <w:pPr>
        <w:tabs>
          <w:tab w:val="right" w:leader="dot" w:pos="9062"/>
        </w:tabs>
        <w:ind w:left="1100"/>
      </w:pPr>
      <w:hyperlink w:anchor="_Toc1860" w:history="1">
        <w:r>
          <w:rPr>
            <w:rFonts w:ascii="IRNazanin" w:hAnsi="IRNazanin" w:eastAsia="IRNazanin" w:cs="IRNazanin"/>
            <w:color w:val="111111"/>
            <w:sz w:val="22"/>
            <w:szCs w:val="22"/>
            <w:b w:val="0"/>
            <w:bCs w:val="0"/>
            <w:i w:val="0"/>
            <w:iCs w:val="0"/>
          </w:rPr>
          <w:t>الرابع: فیما نظمه السید بحر العلوم</w:t>
        </w:r>
        <w:r>
          <w:tab/>
        </w:r>
        <w:r>
          <w:fldChar w:fldCharType="begin"/>
        </w:r>
        <w:r>
          <w:instrText xml:space="preserve">PAGEREF 1860 \h</w:instrText>
        </w:r>
        <w:r>
          <w:fldChar w:fldCharType="end"/>
        </w:r>
      </w:hyperlink>
    </w:p>
    <w:p>
      <w:pPr>
        <w:tabs>
          <w:tab w:val="right" w:leader="dot" w:pos="9062"/>
        </w:tabs>
        <w:ind w:left="1100"/>
      </w:pPr>
      <w:hyperlink w:anchor="_Toc1861" w:history="1">
        <w:r>
          <w:rPr>
            <w:rFonts w:ascii="IRNazanin" w:hAnsi="IRNazanin" w:eastAsia="IRNazanin" w:cs="IRNazanin"/>
            <w:color w:val="111111"/>
            <w:sz w:val="22"/>
            <w:szCs w:val="22"/>
            <w:b w:val="0"/>
            <w:bCs w:val="0"/>
            <w:i w:val="0"/>
            <w:iCs w:val="0"/>
          </w:rPr>
          <w:t>الخامس: فی کیفیة تلقی الأصحاب هذا الاجماع</w:t>
        </w:r>
        <w:r>
          <w:tab/>
        </w:r>
        <w:r>
          <w:fldChar w:fldCharType="begin"/>
        </w:r>
        <w:r>
          <w:instrText xml:space="preserve">PAGEREF 1861 \h</w:instrText>
        </w:r>
        <w:r>
          <w:fldChar w:fldCharType="end"/>
        </w:r>
      </w:hyperlink>
    </w:p>
    <w:p>
      <w:pPr>
        <w:tabs>
          <w:tab w:val="right" w:leader="dot" w:pos="9062"/>
        </w:tabs>
        <w:ind w:left="1100"/>
      </w:pPr>
      <w:hyperlink w:anchor="_Toc1862" w:history="1">
        <w:r>
          <w:rPr>
            <w:rFonts w:ascii="IRNazanin" w:hAnsi="IRNazanin" w:eastAsia="IRNazanin" w:cs="IRNazanin"/>
            <w:color w:val="111111"/>
            <w:sz w:val="22"/>
            <w:szCs w:val="22"/>
            <w:b w:val="0"/>
            <w:bCs w:val="0"/>
            <w:i w:val="0"/>
            <w:iCs w:val="0"/>
          </w:rPr>
          <w:t>السادس: فی وجه حجیة ذاک الاجماع</w:t>
        </w:r>
        <w:r>
          <w:tab/>
        </w:r>
        <w:r>
          <w:fldChar w:fldCharType="begin"/>
        </w:r>
        <w:r>
          <w:instrText xml:space="preserve">PAGEREF 1862 \h</w:instrText>
        </w:r>
        <w:r>
          <w:fldChar w:fldCharType="end"/>
        </w:r>
      </w:hyperlink>
    </w:p>
    <w:p>
      <w:pPr>
        <w:tabs>
          <w:tab w:val="right" w:leader="dot" w:pos="9062"/>
        </w:tabs>
        <w:ind w:left="1100"/>
      </w:pPr>
      <w:hyperlink w:anchor="_Toc1863" w:history="1">
        <w:r>
          <w:rPr>
            <w:rFonts w:ascii="IRNazanin" w:hAnsi="IRNazanin" w:eastAsia="IRNazanin" w:cs="IRNazanin"/>
            <w:color w:val="111111"/>
            <w:sz w:val="22"/>
            <w:szCs w:val="22"/>
            <w:b w:val="0"/>
            <w:bCs w:val="0"/>
            <w:i w:val="0"/>
            <w:iCs w:val="0"/>
          </w:rPr>
          <w:t>السابع: فی مفاد «تصحیح ما یصح عنهم»</w:t>
        </w:r>
        <w:r>
          <w:tab/>
        </w:r>
        <w:r>
          <w:fldChar w:fldCharType="begin"/>
        </w:r>
        <w:r>
          <w:instrText xml:space="preserve">PAGEREF 1863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4411_142390"/>
    <w:bookmarkEnd w:id="0"/>
    <w:p>
      <w:pPr>
        <w:pStyle w:val="Heading2"/>
      </w:pPr>
      <w:bookmarkStart w:id="966" w:name="_Toc1"/>
      <w:r>
        <w:t>مشخصات کتاب</w:t>
      </w:r>
      <w:bookmarkEnd w:id="966"/>
    </w:p>
    <w:p>
      <w:pPr>
        <w:pStyle w:val="BookText"/>
      </w:pPr>
      <w:r>
        <w:rPr>
          <w:rFonts w:ascii="IRNazanin" w:hAnsi="IRNazanin" w:eastAsia="IRNazanin" w:cs="IRNazanin"/>
          <w:lang w:bidi="fa-IR"/>
          <w:color w:val="111111"/>
          <w:sz w:val="28"/>
          <w:szCs w:val="28"/>
          <w:rtl/>
        </w:rPr>
        <w:t xml:space="preserve">سرشناسه : مرکز تحقیقات رایانه ای قائمیه اصفهان،1398</w:t>
      </w:r>
    </w:p>
    <w:p>
      <w:pPr>
        <w:pStyle w:val="BookText"/>
      </w:pPr>
      <w:r>
        <w:rPr>
          <w:rFonts w:ascii="IRNazanin" w:hAnsi="IRNazanin" w:eastAsia="IRNazanin" w:cs="IRNazanin"/>
          <w:lang w:bidi="fa-IR"/>
          <w:color w:val="111111"/>
          <w:sz w:val="28"/>
          <w:szCs w:val="28"/>
          <w:rtl/>
        </w:rPr>
        <w:t xml:space="preserve">عنوان و نام پدیدآور : دروس حوزه پایه اول تا دهم/ واحد تحقیقات مرکز تحقیقات رایانه ای قائمیه اصفهان</w:t>
      </w:r>
    </w:p>
    <w:p>
      <w:pPr>
        <w:pStyle w:val="BookText"/>
      </w:pPr>
      <w:r>
        <w:rPr>
          <w:rFonts w:ascii="IRNazanin" w:hAnsi="IRNazanin" w:eastAsia="IRNazanin" w:cs="IRNazanin"/>
          <w:lang w:bidi="fa-IR"/>
          <w:color w:val="111111"/>
          <w:sz w:val="28"/>
          <w:szCs w:val="28"/>
          <w:rtl/>
        </w:rPr>
        <w:t xml:space="preserve">مشخصات نشر : اصفهان : مرکز تحقیقات رایانه ای قائمیه اصفهان 1398.</w:t>
      </w:r>
    </w:p>
    <w:p>
      <w:pPr>
        <w:pStyle w:val="BookText"/>
      </w:pPr>
      <w:r>
        <w:rPr>
          <w:rFonts w:ascii="IRNazanin" w:hAnsi="IRNazanin" w:eastAsia="IRNazanin" w:cs="IRNazanin"/>
          <w:lang w:bidi="fa-IR"/>
          <w:color w:val="111111"/>
          <w:sz w:val="28"/>
          <w:szCs w:val="28"/>
          <w:rtl/>
        </w:rPr>
        <w:t xml:space="preserve">مشخصات ظاهری : نرم افزار تلفن همراه و رایانه</w:t>
      </w:r>
    </w:p>
    <w:p>
      <w:pPr>
        <w:pStyle w:val="BookText"/>
      </w:pPr>
      <w:r>
        <w:rPr>
          <w:rFonts w:ascii="IRNazanin" w:hAnsi="IRNazanin" w:eastAsia="IRNazanin" w:cs="IRNazanin"/>
          <w:lang w:bidi="fa-IR"/>
          <w:color w:val="111111"/>
          <w:sz w:val="28"/>
          <w:szCs w:val="28"/>
          <w:rtl/>
        </w:rPr>
        <w:t xml:space="preserve">موضوع : حوزه و دانشگاه.</w:t>
      </w:r>
    </w:p>
    <w:p>
      <w:pPr>
        <w:pStyle w:val="BookText"/>
      </w:pPr>
      <w:r>
        <w:rPr>
          <w:rFonts w:ascii="IRNazanin" w:hAnsi="IRNazanin" w:eastAsia="IRNazanin" w:cs="IRNazanin"/>
          <w:lang w:bidi="fa-IR"/>
          <w:color w:val="111111"/>
          <w:sz w:val="28"/>
          <w:szCs w:val="28"/>
          <w:rtl/>
        </w:rPr>
        <w:t xml:space="preserve">موضوع : حوزه‌های علمیه-- ایران.</w:t>
      </w:r>
    </w:p>
    <w:p>
      <w:pPr>
        <w:pStyle w:val="BookText"/>
      </w:pPr>
      <w:r>
        <w:rPr>
          <w:rFonts w:ascii="IRNazanin" w:hAnsi="IRNazanin" w:eastAsia="IRNazanin" w:cs="IRNazanin"/>
          <w:lang w:bidi="fa-IR"/>
          <w:color w:val="111111"/>
          <w:sz w:val="28"/>
          <w:szCs w:val="28"/>
          <w:rtl/>
        </w:rPr>
        <w:t xml:space="preserve">موضوع : دانشگاه‌ها و مدارس عالی-- ایران.</w:t>
      </w:r>
    </w:p>
    <w:p>
      <w:pPr>
        <w:pStyle w:val="BookText"/>
      </w:pPr>
      <w:r>
        <w:rPr>
          <w:rFonts w:ascii="IRNazanin" w:hAnsi="IRNazanin" w:eastAsia="IRNazanin" w:cs="IRNazanin"/>
          <w:lang w:bidi="fa-IR"/>
          <w:color w:val="111111"/>
          <w:sz w:val="28"/>
          <w:szCs w:val="28"/>
          <w:rtl/>
        </w:rPr>
        <w:t xml:space="preserve">شناسه افزوده : مرکز تحقیقات رایانه ای قائمیه اصفهان</w:t>
      </w:r>
    </w:p>
    <w:p>
      <w:pPr>
        <w:pStyle w:val="BookText"/>
      </w:pPr>
      <w:r>
        <w:rPr>
          <w:rFonts w:ascii="IRNazanin" w:hAnsi="IRNazanin" w:eastAsia="IRNazanin" w:cs="IRNazanin"/>
          <w:lang w:bidi="fa-IR"/>
          <w:color w:val="111111"/>
          <w:sz w:val="28"/>
          <w:szCs w:val="28"/>
          <w:rtl/>
        </w:rPr>
        <w:t xml:space="preserve">توضیح : مجوعه حاضر،متن کتب متداول حوزه از پایه اول تا دهم می باشد.</w:t>
      </w:r>
    </w:p>
    <w:p>
      <w:pPr>
        <w:pStyle w:val="Heading2"/>
      </w:pPr>
      <w:bookmarkStart w:id="967" w:name="_Toc2"/>
      <w:r>
        <w:t>اصول</w:t>
      </w:r>
      <w:bookmarkEnd w:id="967"/>
    </w:p>
    <w:p>
      <w:pPr>
        <w:pStyle w:val="Heading3"/>
      </w:pPr>
      <w:bookmarkStart w:id="968" w:name="_Toc3"/>
      <w:r>
        <w:t>فرائد الاصول المجلد 2 (شکّ)</w:t>
      </w:r>
      <w:bookmarkEnd w:id="968"/>
    </w:p>
    <w:p>
      <w:pPr>
        <w:pStyle w:val="Heading4"/>
      </w:pPr>
      <w:bookmarkStart w:id="969" w:name="_Toc4"/>
      <w:r>
        <w:t>اشارة</w:t>
      </w:r>
      <w:bookmarkEnd w:id="969"/>
    </w:p>
    <w:p>
      <w:pPr>
        <w:pStyle w:val="BookText"/>
      </w:pPr>
      <w:r>
        <w:rPr>
          <w:rFonts w:ascii="IRNazanin" w:hAnsi="IRNazanin" w:eastAsia="IRNazanin" w:cs="IRNazanin"/>
          <w:lang w:bidi="fa-IR"/>
          <w:color w:val="111111"/>
          <w:sz w:val="28"/>
          <w:szCs w:val="28"/>
          <w:rtl/>
        </w:rPr>
        <w:t xml:space="preserve">سرشناسه : انصاری، مرتضی بن محمد امین، ۱۲۱۴ - ۱۲۸۱ق.</w:t>
      </w:r>
    </w:p>
    <w:p>
      <w:pPr>
        <w:pStyle w:val="BookText"/>
      </w:pPr>
      <w:r>
        <w:rPr>
          <w:rFonts w:ascii="IRNazanin" w:hAnsi="IRNazanin" w:eastAsia="IRNazanin" w:cs="IRNazanin"/>
          <w:lang w:bidi="fa-IR"/>
          <w:color w:val="111111"/>
          <w:sz w:val="28"/>
          <w:szCs w:val="28"/>
          <w:rtl/>
        </w:rPr>
        <w:t xml:space="preserve">عنوان و نام پدیدآور : فرائد ‌الاصول/ لمرتضی الانصاری؛ اعداد لجنه تحقیق تراث‌الشیخ الاعظم؛ للموتمر العالمی بمناسبه الذکری للمئویه‌الثانیه لمیلاد‌الشیخ‌الانصاری.</w:t>
      </w:r>
    </w:p>
    <w:p>
      <w:pPr>
        <w:pStyle w:val="BookText"/>
      </w:pPr>
      <w:r>
        <w:rPr>
          <w:rFonts w:ascii="IRNazanin" w:hAnsi="IRNazanin" w:eastAsia="IRNazanin" w:cs="IRNazanin"/>
          <w:lang w:bidi="fa-IR"/>
          <w:color w:val="111111"/>
          <w:sz w:val="28"/>
          <w:szCs w:val="28"/>
          <w:rtl/>
        </w:rPr>
        <w:t xml:space="preserve">مشخصات نشر : قم: مجمع الفکر‌الاسلامی، ۱۴۱۹ق.= ۱۳۷۷.</w:t>
      </w:r>
    </w:p>
    <w:p>
      <w:pPr>
        <w:pStyle w:val="BookText"/>
      </w:pPr>
      <w:r>
        <w:rPr>
          <w:rFonts w:ascii="IRNazanin" w:hAnsi="IRNazanin" w:eastAsia="IRNazanin" w:cs="IRNazanin"/>
          <w:lang w:bidi="fa-IR"/>
          <w:color w:val="111111"/>
          <w:sz w:val="28"/>
          <w:szCs w:val="28"/>
          <w:rtl/>
        </w:rPr>
        <w:t xml:space="preserve">مشخصات ظاهری : ۴ ج.</w:t>
      </w:r>
    </w:p>
    <w:p>
      <w:pPr>
        <w:pStyle w:val="BookText"/>
      </w:pPr>
      <w:r>
        <w:rPr>
          <w:rFonts w:ascii="IRNazanin" w:hAnsi="IRNazanin" w:eastAsia="IRNazanin" w:cs="IRNazanin"/>
          <w:lang w:bidi="fa-IR"/>
          <w:color w:val="111111"/>
          <w:sz w:val="28"/>
          <w:szCs w:val="28"/>
          <w:rtl/>
        </w:rPr>
        <w:t xml:space="preserve">موضوع : اصول فقه شیعه</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۱۵۹/الف‌۸ف‌۴ ۱۳۷۷</w:t>
      </w:r>
    </w:p>
    <w:p>
      <w:pPr>
        <w:pStyle w:val="BookText"/>
      </w:pPr>
      <w:r>
        <w:rPr>
          <w:rFonts w:ascii="IRNazanin" w:hAnsi="IRNazanin" w:eastAsia="IRNazanin" w:cs="IRNazanin"/>
          <w:lang w:bidi="fa-IR"/>
          <w:color w:val="111111"/>
          <w:sz w:val="28"/>
          <w:szCs w:val="28"/>
          <w:rtl/>
        </w:rPr>
        <w:t xml:space="preserve">رده بندی دیویی : ۲۹۷/۳۱۲</w:t>
      </w:r>
    </w:p>
    <w:p>
      <w:pPr>
        <w:pStyle w:val="BookText"/>
      </w:pPr>
      <w:r>
        <w:rPr>
          <w:rFonts w:ascii="IRNazanin" w:hAnsi="IRNazanin" w:eastAsia="IRNazanin" w:cs="IRNazanin"/>
          <w:lang w:bidi="fa-IR"/>
          <w:color w:val="111111"/>
          <w:sz w:val="28"/>
          <w:szCs w:val="28"/>
          <w:rtl/>
        </w:rPr>
        <w:t xml:space="preserve">شماره کتابشناسی ملی : م‌۷۷-۱۲۰۴۷</w:t>
      </w:r>
    </w:p>
    <w:p>
      <w:pPr>
        <w:pStyle w:val="BookText"/>
      </w:pPr>
      <w:r>
        <w:rPr>
          <w:rFonts w:ascii="IRNazanin" w:hAnsi="IRNazanin" w:eastAsia="IRNazanin" w:cs="IRNazanin"/>
          <w:lang w:bidi="fa-IR"/>
          <w:color w:val="111111"/>
          <w:sz w:val="28"/>
          <w:szCs w:val="28"/>
          <w:rtl/>
        </w:rPr>
        <w:t xml:space="preserve">توضیح : فرائد الأصول یا الرسائل یا الدلائل تألیف شیخ اعظم مرتضی بن محمد امین انصاری تستری نجفی (متوفای 1281 قمری) است.</w:t>
      </w:r>
    </w:p>
    <w:p>
      <w:pPr>
        <w:pStyle w:val="BookText"/>
      </w:pPr>
      <w:r>
        <w:rPr>
          <w:rFonts w:ascii="IRNazanin" w:hAnsi="IRNazanin" w:eastAsia="IRNazanin" w:cs="IRNazanin"/>
          <w:lang w:bidi="fa-IR"/>
          <w:color w:val="111111"/>
          <w:sz w:val="28"/>
          <w:szCs w:val="28"/>
          <w:rtl/>
        </w:rPr>
        <w:t xml:space="preserve">کتاب فرائد الأصول (رسائل) یکی از مهم‌ترین کتاب‌های درسی حوزه‌های علمیّه از زمان شیخ اعظم به بعد می‌باشد و بسیاری از علمای اصولی بر این کتاب تعلیقه زده‌اند. از مهم‌ترین این افراد میرزا موسی تبریزی (متوفای 1305 قمری)، میرزا حسن آشتیانی (متوفای 1319 قمری)، شیخ حسن مامقانی (متوفای 1323 قمری)، شیخ ملا محمد کاظم خراسانی (متوفای 1329 قمری)، شیخ آقا رضا همدانی (متوفای 1322 قمری) می‌باشند.</w:t>
      </w:r>
    </w:p>
    <w:p>
      <w:pPr>
        <w:pStyle w:val="BookText"/>
      </w:pPr>
      <w:r>
        <w:rPr>
          <w:rFonts w:ascii="IRNazanin" w:hAnsi="IRNazanin" w:eastAsia="IRNazanin" w:cs="IRNazanin"/>
          <w:lang w:bidi="fa-IR"/>
          <w:color w:val="111111"/>
          <w:sz w:val="28"/>
          <w:szCs w:val="28"/>
          <w:rtl/>
        </w:rPr>
        <w:t xml:space="preserve">کتاب فرائد الأصول (رسائل)، مباحث عقلی اصول فقه می‌باشد. به تعبیر مؤلف، کتاب شامل سه مقصد است. مقصد اول قطع، مقصد دوّم ظن و مقصد سوّم شک (اصول عملیّه) و در خاتمه نیز تعادل و تراجیح می‌باشد.به تعبیر دیگری کتاب را رسائل خمس نیز می‌گویند (أعیان الشیعة ج 10 ص 118) که شامل پنج بحث اصلی قطع، ظن، اصل برائت، استصحاب و تعادل و تراجیح می‌باشد. (الذریعة ج 16 ص 132).</w:t>
      </w:r>
    </w:p>
    <w:p>
      <w:pPr>
        <w:pStyle w:val="BookText"/>
      </w:pPr>
      <w:r>
        <w:rPr>
          <w:rFonts w:ascii="IRNazanin" w:hAnsi="IRNazanin" w:eastAsia="IRNazanin" w:cs="IRNazanin"/>
          <w:lang w:bidi="fa-IR"/>
          <w:color w:val="111111"/>
          <w:sz w:val="28"/>
          <w:szCs w:val="28"/>
          <w:rtl/>
        </w:rPr>
        <w:t xml:space="preserve">بسیاری از مباحث حجج و امارات که در کتب پیشینیان مورد توجه بود، در ساختار منطقی و نظام تعلیمی خاصی قرار نداشت. شیخ اعظم در آغاز فرائد الأصول این بخش از مباحث اصولی را در تقسیمی منطقی به سه بخش قطع و ظن و شک تقسیم نموده و در خاتمه نیز بحث تعادل و تراجیح را مطرح نموده‌اند.اصول عملیّه در کلام پیشینیان دارای انسجام دقیق منطقی نبود؛ ولی مرحوم شیخ اعظم به آن حصر عقلی داده، یعنی اصول عملی کمتر و بیشتر از چهار اصل نمی‌تواند باشد.</w:t>
      </w:r>
    </w:p>
    <w:p>
      <w:pPr>
        <w:pStyle w:val="BookText"/>
      </w:pPr>
      <w:r>
        <w:rPr>
          <w:rFonts w:ascii="IRNazanin" w:hAnsi="IRNazanin" w:eastAsia="IRNazanin" w:cs="IRNazanin"/>
          <w:lang w:bidi="fa-IR"/>
          <w:color w:val="111111"/>
          <w:sz w:val="28"/>
          <w:szCs w:val="28"/>
          <w:rtl/>
        </w:rPr>
        <w:t xml:space="preserve">یکی دیگر از خصوصیات کتاب وسعت تتبع در نظریات علمای اصولی می‌باشد. حجم جستجو در اندیشه‌های دیگران از معیارهای ارزشیابی پژوهش‌ها و تحقیقات است. شیخ انصاری از این نگاه نیز محققی برجسته و بنام است. منابع مورد استفادۀ وی در فرائد الأصول، بالغ بر صد عنوان است؛ مثلا در بحث انسداد کلمات شیخ صدوق در من‌ لا‌یحضره‌ الفقیه، سید مرتضی در رسائل، شیخ طوسی در عدة، محقق حلی در معتبر، علامۀ حلی در نهج المسترشدین، فاضل مقداد در شرح باب حادی عشر، محقق خوانساری، صاحب وافیة، محدث بحرانی در الحدائق الناظرة، عضدی و حاجبی در مختصر الأصول را نقل و به نتیجه‌گیری می‌پردازند. یا در بحث شبهۀ تحریمیه یکی از دلائل قائلان به برائت اجماع است. شیخ به نقل آرای علما پرداخته‌اند و بطلان این سخن را که برائت در شبهۀ موضوعیه نظریۀ عالمان متأخر امامیه است، روشن می‌سازد و بدین منظور، سخن کلینی (در مقدمۀ کافی)، شیخ صدوق (در العقائد)، سید مرتضی، ابن زهره، شیخ طوسی، شیخ مفید، ابوالصلاح حلبی، محقق، علامه، شهید اول و شهید ثانی را نقل می‌کند.</w:t>
      </w:r>
    </w:p>
    <w:p>
      <w:pPr>
        <w:pStyle w:val="BookText"/>
      </w:pPr>
      <w:r>
        <w:rPr>
          <w:rFonts w:ascii="IRNazanin" w:hAnsi="IRNazanin" w:eastAsia="IRNazanin" w:cs="IRNazanin"/>
          <w:lang w:bidi="fa-IR"/>
          <w:color w:val="111111"/>
          <w:sz w:val="28"/>
          <w:szCs w:val="28"/>
          <w:i w:val="1"/>
          <w:iCs w:val="1"/>
          <w:rtl/>
        </w:rPr>
        <w:t xml:space="preserve">نسخه حاضر با صوت استاد حیدری فسایی می باشد</w:t>
      </w:r>
    </w:p>
    <w:p>
      <w:pPr>
        <w:pStyle w:val="Heading4"/>
      </w:pPr>
      <w:bookmarkStart w:id="970" w:name="_Toc5"/>
      <w:r>
        <w:t>اشارة</w:t>
      </w:r>
      <w:bookmarkEnd w:id="970"/>
    </w:p>
    <w:p>
      <w:pPr>
        <w:pStyle w:val="BookText"/>
      </w:pPr>
      <w:r>
        <w:rPr>
          <w:rFonts w:ascii="IRNazanin" w:hAnsi="IRNazanin" w:eastAsia="IRNazanin" w:cs="IRNazanin"/>
          <w:lang w:bidi="fa-IR"/>
          <w:color w:val="111111"/>
          <w:sz w:val="28"/>
          <w:szCs w:val="28"/>
          <w:rtl/>
        </w:rPr>
        <w:t xml:space="preserve">[شماره صفحه واقعی : 1]
</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2]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3]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4]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[شماره صفحه واقعی : 5]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6]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1" w:name="pg14411_142396"/>
    <w:bookmarkEnd w:id="1"/>
    <w:p>
      <w:pPr>
        <w:pStyle w:val="Heading4"/>
      </w:pPr>
      <w:bookmarkStart w:id="971" w:name="_Toc6"/>
      <w:r>
        <w:t>المقصد الثّالث : فی الشّکّ</w:t>
      </w:r>
      <w:bookmarkEnd w:id="971"/>
    </w:p>
    <w:p>
      <w:pPr>
        <w:pStyle w:val="Heading5"/>
      </w:pPr>
      <w:bookmarkStart w:id="972" w:name="_Toc7"/>
      <w:r>
        <w:t>اشارة</w:t>
      </w:r>
      <w:bookmarkEnd w:id="972"/>
    </w:p>
    <w:p>
      <w:pPr>
        <w:pStyle w:val="BookText"/>
      </w:pPr>
      <w:r>
        <w:rPr>
          <w:rFonts w:ascii="IRNazanin" w:hAnsi="IRNazanin" w:eastAsia="IRNazanin" w:cs="IRNazanin"/>
          <w:lang w:bidi="fa-IR"/>
          <w:color w:val="111111"/>
          <w:sz w:val="28"/>
          <w:szCs w:val="28"/>
          <w:rtl/>
        </w:rPr>
        <w:t xml:space="preserve">[شماره صفحه واقعی : 7]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و به نستعین الحمد للّه ربّ العالمین،و الصّلاة و السلام علی محمّد و آله الطاهرین،و لعنة اللّه علی أعدائهم أجمعین إلی یوم الدین </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8]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14411_142398"/>
    <w:bookmarkEnd w:id="2"/>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المقصد الثالث من مقاصد هذا الکتاب فی الشکّ</w:t>
      </w:r>
    </w:p>
    <w:p>
      <w:pPr>
        <w:pStyle w:val="Heading5"/>
      </w:pPr>
      <w:bookmarkStart w:id="973" w:name="_Toc8"/>
      <w:r>
        <w:t>[المکلّف الملتفت إلی الحکم الشرعی]</w:t>
      </w:r>
      <w:bookmarkEnd w:id="973"/>
    </w:p>
    <w:p>
      <w:pPr>
        <w:pStyle w:val="BookText"/>
      </w:pPr>
      <w:r>
        <w:rPr>
          <w:rFonts w:ascii="IRNazanin" w:hAnsi="IRNazanin" w:eastAsia="IRNazanin" w:cs="IRNazanin"/>
          <w:lang w:bidi="fa-IR"/>
          <w:color w:val="111111"/>
          <w:sz w:val="28"/>
          <w:szCs w:val="28"/>
          <w:rtl/>
        </w:rPr>
        <w:t xml:space="preserve">قد قسّمنا فی صدر هذا الکتاب المکلّف الملتفت إلی الحکم الشرعی العملی فی الواقعة علی ثلاثة أقسام؛لأنّه إمّا أن یحصل له القطع بحکمه </w:t>
      </w:r>
      <w:r>
        <w:rPr>
          <w:rStyle w:val="FootnoteReference"/>
        </w:rPr>
        <w:footnoteReference w:id="2"/>
      </w:r>
      <w:r>
        <w:rPr>
          <w:rFonts w:ascii="IRNazanin" w:hAnsi="IRNazanin" w:eastAsia="IRNazanin" w:cs="IRNazanin"/>
          <w:lang w:bidi="fa-IR"/>
          <w:color w:val="111111"/>
          <w:sz w:val="28"/>
          <w:szCs w:val="28"/>
          <w:rtl/>
        </w:rPr>
        <w:t xml:space="preserve">الشرعی،و إمّا أن یحصل له الظنّ،و إمّا أن یحصل له الشکّ.</w:t>
      </w:r>
    </w:p>
    <w:p>
      <w:pPr>
        <w:pStyle w:val="Heading5"/>
      </w:pPr>
      <w:bookmarkStart w:id="974" w:name="_Toc9"/>
      <w:r>
        <w:t>[إمکان اعتبار الظنّ]</w:t>
      </w:r>
      <w:bookmarkEnd w:id="974"/>
    </w:p>
    <w:p>
      <w:pPr>
        <w:pStyle w:val="BookText"/>
      </w:pPr>
      <w:r>
        <w:rPr>
          <w:rFonts w:ascii="IRNazanin" w:hAnsi="IRNazanin" w:eastAsia="IRNazanin" w:cs="IRNazanin"/>
          <w:lang w:bidi="fa-IR"/>
          <w:color w:val="111111"/>
          <w:sz w:val="28"/>
          <w:szCs w:val="28"/>
          <w:rtl/>
        </w:rPr>
        <w:t xml:space="preserve">و قد عرفت:أنّ القطع حجّة فی نفسه لا بجعل جاعل،و الظنّ یمکن أن یعتبر فی متعلّقه </w:t>
      </w:r>
      <w:r>
        <w:rPr>
          <w:rStyle w:val="FootnoteReference"/>
        </w:rPr>
        <w:footnoteReference w:id="3"/>
      </w:r>
      <w:r>
        <w:rPr>
          <w:rFonts w:ascii="IRNazanin" w:hAnsi="IRNazanin" w:eastAsia="IRNazanin" w:cs="IRNazanin"/>
          <w:lang w:bidi="fa-IR"/>
          <w:color w:val="111111"/>
          <w:sz w:val="28"/>
          <w:szCs w:val="28"/>
          <w:rtl/>
        </w:rPr>
        <w:t xml:space="preserve">لأنّه کاشف عنه ظنّا،لکنّ العمل به و الاعتماد علیه فی الشرعیّات موقوف علی وقوع التعبّد به شرعا،و هو غیر واقع إلاّ فی الجملة،و قد ذکرنا موارد وقوعه فی الأحکام الشرعیّة فی الجزء الأوّل من هذا الکتاب </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9]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3" w:name="pg14411_142399"/>
    <w:bookmarkEnd w:id="3"/>
    <w:p>
      <w:pPr>
        <w:pStyle w:val="Heading5"/>
      </w:pPr>
      <w:bookmarkStart w:id="975" w:name="_Toc10"/>
      <w:r>
        <w:t>[عدم إمکان اعتبار الشکّ]</w:t>
      </w:r>
      <w:bookmarkEnd w:id="975"/>
    </w:p>
    <w:p>
      <w:pPr>
        <w:pStyle w:val="BookText"/>
      </w:pPr>
      <w:r>
        <w:rPr>
          <w:rFonts w:ascii="IRNazanin" w:hAnsi="IRNazanin" w:eastAsia="IRNazanin" w:cs="IRNazanin"/>
          <w:lang w:bidi="fa-IR"/>
          <w:color w:val="111111"/>
          <w:sz w:val="28"/>
          <w:szCs w:val="28"/>
          <w:rtl/>
        </w:rPr>
        <w:t xml:space="preserve">و أمّا الشکّ،فلمّا لم یکن فیه کشف أصلا لم یعقل </w:t>
      </w:r>
      <w:r>
        <w:rPr>
          <w:rStyle w:val="FootnoteReference"/>
        </w:rPr>
        <w:footnoteReference w:id="5"/>
      </w:r>
      <w:r>
        <w:rPr>
          <w:rFonts w:ascii="IRNazanin" w:hAnsi="IRNazanin" w:eastAsia="IRNazanin" w:cs="IRNazanin"/>
          <w:lang w:bidi="fa-IR"/>
          <w:color w:val="111111"/>
          <w:sz w:val="28"/>
          <w:szCs w:val="28"/>
          <w:rtl/>
        </w:rPr>
        <w:t xml:space="preserve">أن یعتبر، فلو ورد فی مورده حکم شرعیّ-کأن یقول:الواقعة المشکوکة حکمها کذا-کان حکما ظاهریّا؛لکونه مقابلا للحکم الواقعیّ المشکوک بالفرض.</w:t>
      </w:r>
    </w:p>
    <w:p>
      <w:pPr>
        <w:pStyle w:val="Heading5"/>
      </w:pPr>
      <w:bookmarkStart w:id="976" w:name="_Toc11"/>
      <w:r>
        <w:t>[الحکم الواقعی و الظاهری]</w:t>
      </w:r>
      <w:bookmarkEnd w:id="976"/>
    </w:p>
    <w:p>
      <w:pPr>
        <w:pStyle w:val="BookText"/>
      </w:pPr>
      <w:r>
        <w:rPr>
          <w:rFonts w:ascii="IRNazanin" w:hAnsi="IRNazanin" w:eastAsia="IRNazanin" w:cs="IRNazanin"/>
          <w:lang w:bidi="fa-IR"/>
          <w:color w:val="111111"/>
          <w:sz w:val="28"/>
          <w:szCs w:val="28"/>
          <w:rtl/>
        </w:rPr>
        <w:t xml:space="preserve">و یطلق علیه الواقعیّ الثانویّ أیضا؛لأنّه حکم واقعیّ للواقعة المشکوک فی حکمها،</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 ثانویّ بالنسبة إلی ذلک الحکم المشکوک فیه؛ لأنّ موضوع هذا الحکم الظاهریّ-و هی الواقعة المشکوک فی حکمها- لا یتحقّق إلاّ بعد تصوّر حکم نفس الواقعة و الشکّ فیه.</w:t>
      </w:r>
    </w:p>
    <w:p>
      <w:pPr>
        <w:pStyle w:val="BookText"/>
      </w:pPr>
      <w:r>
        <w:rPr>
          <w:rFonts w:ascii="IRNazanin" w:hAnsi="IRNazanin" w:eastAsia="IRNazanin" w:cs="IRNazanin"/>
          <w:lang w:bidi="fa-IR"/>
          <w:color w:val="111111"/>
          <w:sz w:val="28"/>
          <w:szCs w:val="28"/>
          <w:rtl/>
        </w:rPr>
        <w:t xml:space="preserve">مثلا:شرب التتن فی نفسه له حکم فرضنا فی ما نحن فیه شکّ المکلّف فیه،فإذا فرضنا ورود حکم شرعیّ لهذا الفعل المشکوک الحکم، کان هذا الحکم الوارد </w:t>
      </w:r>
      <w:r>
        <w:rPr>
          <w:rStyle w:val="FootnoteReference"/>
        </w:rPr>
        <w:footnoteReference w:id="6"/>
      </w:r>
      <w:r>
        <w:rPr>
          <w:rFonts w:ascii="IRNazanin" w:hAnsi="IRNazanin" w:eastAsia="IRNazanin" w:cs="IRNazanin"/>
          <w:lang w:bidi="fa-IR"/>
          <w:color w:val="111111"/>
          <w:sz w:val="28"/>
          <w:szCs w:val="28"/>
          <w:rtl/>
        </w:rPr>
        <w:t xml:space="preserve">متأخّرا طبعا عن ذلک المشکوک،فذلک الحکم </w:t>
      </w:r>
      <w:r>
        <w:rPr>
          <w:rStyle w:val="FootnoteReference"/>
        </w:rPr>
        <w:footnoteReference w:id="7"/>
      </w:r>
      <w:r>
        <w:rPr>
          <w:rFonts w:ascii="IRNazanin" w:hAnsi="IRNazanin" w:eastAsia="IRNazanin" w:cs="IRNazanin"/>
          <w:lang w:bidi="fa-IR"/>
          <w:color w:val="111111"/>
          <w:sz w:val="28"/>
          <w:szCs w:val="28"/>
          <w:rtl/>
        </w:rPr>
        <w:t xml:space="preserve">واقعیّ بقول مطلق،و هذا الوارد ظاهریّ؛لکونه المعمول به فی الظاهر،و واقعیّ ثانویّ؛لأنّه متأخّر عن ذلک الحکم؛لتأخّر موضوعه عنه.</w:t>
      </w:r>
    </w:p>
    <w:p>
      <w:pPr>
        <w:pStyle w:val="Heading5"/>
      </w:pPr>
      <w:bookmarkStart w:id="977" w:name="_Toc12"/>
      <w:r>
        <w:t>[الدلیل«الاجتهادی»و«الفقاهتی»]</w:t>
      </w:r>
      <w:bookmarkEnd w:id="977"/>
    </w:p>
    <w:p>
      <w:pPr>
        <w:pStyle w:val="BookText"/>
      </w:pPr>
      <w:r>
        <w:rPr>
          <w:rFonts w:ascii="IRNazanin" w:hAnsi="IRNazanin" w:eastAsia="IRNazanin" w:cs="IRNazanin"/>
          <w:lang w:bidi="fa-IR"/>
          <w:color w:val="111111"/>
          <w:sz w:val="28"/>
          <w:szCs w:val="28"/>
          <w:rtl/>
        </w:rPr>
        <w:t xml:space="preserve">و یسمّی الدلیل الدالّ علی هذا الحکم الظاهریّ«أصلا»،و أمّا ما دلّ علی الحکم الأوّل-علما أو ظنّا معتبرا-فیختصّ باسم«الدلیل»، و قد یقیّد ب«الاجتهادی»،کما أنّ الأوّل قد یسمّی ب«الدلیل»مقیّدا ب«الفقاهتی».و هذان القیدان اصطلاحان من الوحید البهبهانی؛لمناسبة مذکورة فی تعریف الفقه و الاجتهاد </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10]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4" w:name="pg14411_142400"/>
    <w:bookmarkEnd w:id="4"/>
    <w:p>
      <w:pPr>
        <w:pStyle w:val="BookText"/>
      </w:pPr>
      <w:r>
        <w:rPr>
          <w:rFonts w:ascii="IRNazanin" w:hAnsi="IRNazanin" w:eastAsia="IRNazanin" w:cs="IRNazanin"/>
          <w:lang w:bidi="fa-IR"/>
          <w:color w:val="111111"/>
          <w:sz w:val="28"/>
          <w:szCs w:val="28"/>
          <w:rtl/>
        </w:rPr>
        <w:t xml:space="preserve">ثمّ إنّ الظنّ الغیر المعتبر حکمه حکم الشکّ کما لا یخفی.</w:t>
      </w:r>
    </w:p>
    <w:p>
      <w:pPr>
        <w:pStyle w:val="Heading5"/>
      </w:pPr>
      <w:bookmarkStart w:id="978" w:name="_Toc13"/>
      <w:r>
        <w:t>[وجه تقدیم الأدلّة علی الاصول]</w:t>
      </w:r>
      <w:bookmarkEnd w:id="978"/>
    </w:p>
    <w:p>
      <w:pPr>
        <w:pStyle w:val="BookText"/>
      </w:pPr>
      <w:r>
        <w:rPr>
          <w:rFonts w:ascii="IRNazanin" w:hAnsi="IRNazanin" w:eastAsia="IRNazanin" w:cs="IRNazanin"/>
          <w:lang w:bidi="fa-IR"/>
          <w:color w:val="111111"/>
          <w:sz w:val="28"/>
          <w:szCs w:val="28"/>
          <w:rtl/>
        </w:rPr>
        <w:t xml:space="preserve">و ممّا ذکرنا:من تأخّر مرتبة الحکم الظاهری عن الحکم الواقعی -لأجل تقیید موضوعه بالشکّ فی الحکم الواقعی-یظهر لک وجه تقدیم الأدلّة علی الأصول؛لأنّ موضوع الاصول یرتفع بوجود الدلیل، فلا معارضة بینهما،لا لعدم اتّحاد الموضوع،بل لارتفاع موضوع الأصل -و هو الشکّ-بوجود الدلیل.</w:t>
      </w:r>
    </w:p>
    <w:p>
      <w:pPr>
        <w:pStyle w:val="BookText"/>
      </w:pPr>
      <w:r>
        <w:rPr>
          <w:rFonts w:ascii="IRNazanin" w:hAnsi="IRNazanin" w:eastAsia="IRNazanin" w:cs="IRNazanin"/>
          <w:lang w:bidi="fa-IR"/>
          <w:color w:val="111111"/>
          <w:sz w:val="28"/>
          <w:szCs w:val="28"/>
          <w:rtl/>
        </w:rPr>
        <w:t xml:space="preserve">أ لا تری:أنّه لا معارضة و لا تنافی بین کون حکم شرب التتن المشکوک حکمه هی الإباحة و بین کون حکم شرب التتن فی نفسه مع قطع النظر عن الشکّ فیه هی الحرمة،فإذا علمنا بالثانی-لکونه علمیّا، و المفروض </w:t>
      </w:r>
      <w:r>
        <w:rPr>
          <w:rStyle w:val="FootnoteReference"/>
        </w:rPr>
        <w:footnoteReference w:id="9"/>
      </w:r>
      <w:r>
        <w:rPr>
          <w:rFonts w:ascii="IRNazanin" w:hAnsi="IRNazanin" w:eastAsia="IRNazanin" w:cs="IRNazanin"/>
          <w:lang w:bidi="fa-IR"/>
          <w:color w:val="111111"/>
          <w:sz w:val="28"/>
          <w:szCs w:val="28"/>
          <w:rtl/>
        </w:rPr>
        <w:t xml:space="preserve">سلامته عن معارضة الأوّل-خرج شرب التتن عن موضوع دلیل </w:t>
      </w:r>
      <w:r>
        <w:rPr>
          <w:rStyle w:val="FootnoteReference"/>
        </w:rPr>
        <w:footnoteReference w:id="10"/>
      </w:r>
      <w:r>
        <w:rPr>
          <w:rFonts w:ascii="IRNazanin" w:hAnsi="IRNazanin" w:eastAsia="IRNazanin" w:cs="IRNazanin"/>
          <w:lang w:bidi="fa-IR"/>
          <w:color w:val="111111"/>
          <w:sz w:val="28"/>
          <w:szCs w:val="28"/>
          <w:rtl/>
        </w:rPr>
        <w:t xml:space="preserve">الأوّل و هو کونه مشکوک الحکم،</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لا عن حکمه حتّی یلزم فیه تخصیص و </w:t>
      </w:r>
      <w:r>
        <w:rPr>
          <w:rStyle w:val="FootnoteReference"/>
        </w:rPr>
        <w:footnoteReference w:id="11"/>
      </w:r>
      <w:r>
        <w:rPr>
          <w:rFonts w:ascii="IRNazanin" w:hAnsi="IRNazanin" w:eastAsia="IRNazanin" w:cs="IRNazanin"/>
          <w:lang w:bidi="fa-IR"/>
          <w:color w:val="111111"/>
          <w:sz w:val="28"/>
          <w:szCs w:val="28"/>
          <w:rtl/>
        </w:rPr>
        <w:t xml:space="preserve">طرح لظاهره.</w:t>
      </w:r>
    </w:p>
    <w:p>
      <w:pPr>
        <w:pStyle w:val="Heading5"/>
      </w:pPr>
      <w:bookmarkStart w:id="979" w:name="_Toc14"/>
      <w:r>
        <w:t>[أخصّیة الأدلّة غیر العلمیّة من الاصول]</w:t>
      </w:r>
      <w:bookmarkEnd w:id="979"/>
    </w:p>
    <w:p>
      <w:pPr>
        <w:pStyle w:val="BookText"/>
      </w:pPr>
      <w:r>
        <w:rPr>
          <w:rFonts w:ascii="IRNazanin" w:hAnsi="IRNazanin" w:eastAsia="IRNazanin" w:cs="IRNazanin"/>
          <w:lang w:bidi="fa-IR"/>
          <w:color w:val="111111"/>
          <w:sz w:val="28"/>
          <w:szCs w:val="28"/>
          <w:rtl/>
        </w:rPr>
        <w:t xml:space="preserve">و من هنا کان إطلاق التقدیم و الترجیح فی المقام تسامحا؛لأنّ الترجیح فرع المعارضة.و کذلک إطلاق الخاصّ علی الدلیل و العامّ علی الأصل،فیقال:یخصّص الأصل بالدلیل،أو یخرج عن الأصل بالدلیل.</w:t>
      </w:r>
    </w:p>
    <w:p>
      <w:pPr>
        <w:pStyle w:val="BookText"/>
      </w:pPr>
      <w:r>
        <w:rPr>
          <w:rFonts w:ascii="IRNazanin" w:hAnsi="IRNazanin" w:eastAsia="IRNazanin" w:cs="IRNazanin"/>
          <w:lang w:bidi="fa-IR"/>
          <w:color w:val="111111"/>
          <w:sz w:val="28"/>
          <w:szCs w:val="28"/>
          <w:rtl/>
        </w:rPr>
        <w:t xml:space="preserve">و یمکن أن یکون هذا الاطلاق علی الحقیقة بالنسبة إلی الأدلّة الغیر العلمیّة،بأن یقال:إنّ مؤدّی أصل البراءة-مثلا-:أنّه إذا لم یعلم حرمة شرب التتن فهو غیر محرّم،و هذا عامّ،و مفاد الدلیل</w:t>
      </w:r>
    </w:p>
    <w:p>
      <w:pPr>
        <w:pStyle w:val="BookText"/>
      </w:pPr>
      <w:r>
        <w:rPr>
          <w:rFonts w:ascii="IRNazanin" w:hAnsi="IRNazanin" w:eastAsia="IRNazanin" w:cs="IRNazanin"/>
          <w:lang w:bidi="fa-IR"/>
          <w:color w:val="111111"/>
          <w:sz w:val="28"/>
          <w:szCs w:val="28"/>
          <w:rtl/>
        </w:rPr>
        <w:t xml:space="preserve">[شماره صفحه واقعی : 11]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5" w:name="pg14411_142401"/>
    <w:bookmarkEnd w:id="5"/>
    <w:p>
      <w:pPr>
        <w:pStyle w:val="BookText"/>
      </w:pPr>
      <w:r>
        <w:rPr>
          <w:rFonts w:ascii="IRNazanin" w:hAnsi="IRNazanin" w:eastAsia="IRNazanin" w:cs="IRNazanin"/>
          <w:lang w:bidi="fa-IR"/>
          <w:color w:val="111111"/>
          <w:sz w:val="28"/>
          <w:szCs w:val="28"/>
          <w:rtl/>
        </w:rPr>
        <w:t xml:space="preserve">الدالّ علی اعتبار تلک الأمارة الغیر العلمیّة المقابلة للأصل:أنّه إذا قام تلک الأمارة الغیر العلمیّة علی حرمة الشیء الفلانی فهو حرام،و هذا أخصّ من دلیل أصل البراءة مثلا،فیخرج به عنه.</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 کون دلیل تلک الأمارة أعمّ من وجه-باعتبار شموله لغیر مورد أصل البراءة-لا ینفع بعد قیام الإجماع علی عدم الفرق فی اعتبار تلک الأمارة </w:t>
      </w:r>
      <w:r>
        <w:rPr>
          <w:rStyle w:val="FootnoteReference"/>
        </w:rPr>
        <w:footnoteReference w:id="12"/>
      </w:r>
      <w:r>
        <w:rPr>
          <w:rFonts w:ascii="IRNazanin" w:hAnsi="IRNazanin" w:eastAsia="IRNazanin" w:cs="IRNazanin"/>
          <w:lang w:bidi="fa-IR"/>
          <w:color w:val="111111"/>
          <w:sz w:val="28"/>
          <w:szCs w:val="28"/>
          <w:rtl/>
        </w:rPr>
        <w:t xml:space="preserve">بین مواردها.</w:t>
      </w:r>
    </w:p>
    <w:p>
      <w:pPr>
        <w:pStyle w:val="Heading5"/>
      </w:pPr>
      <w:bookmarkStart w:id="980" w:name="_Toc15"/>
      <w:r>
        <w:t>[الدلیل العلمی رافع لموضوع الأصل]</w:t>
      </w:r>
      <w:bookmarkEnd w:id="980"/>
    </w:p>
    <w:p>
      <w:pPr>
        <w:pStyle w:val="BookText"/>
      </w:pPr>
      <w:r>
        <w:rPr>
          <w:rFonts w:ascii="IRNazanin" w:hAnsi="IRNazanin" w:eastAsia="IRNazanin" w:cs="IRNazanin"/>
          <w:lang w:bidi="fa-IR"/>
          <w:color w:val="111111"/>
          <w:sz w:val="28"/>
          <w:szCs w:val="28"/>
          <w:rtl/>
        </w:rPr>
        <w:t xml:space="preserve">توضیح ذلک:أنّ کون الدلیل رافعا لموضوع الأصل-و هو الشکّ-إنّما یصحّ فی الدلیل العلمیّ؛حیث إنّ وجوده یخرج حکم الواقعة عن کونه مشکوکا فیه،و أمّا الدلیل الغیر العلمیّ فهو بنفسه </w:t>
      </w:r>
      <w:r>
        <w:rPr>
          <w:rStyle w:val="FootnoteReference"/>
        </w:rPr>
        <w:footnoteReference w:id="13"/>
      </w:r>
      <w:r>
        <w:rPr>
          <w:rFonts w:ascii="IRNazanin" w:hAnsi="IRNazanin" w:eastAsia="IRNazanin" w:cs="IRNazanin"/>
          <w:lang w:bidi="fa-IR"/>
          <w:color w:val="111111"/>
          <w:sz w:val="28"/>
          <w:szCs w:val="28"/>
          <w:rtl/>
        </w:rPr>
        <w:t xml:space="preserve">غیر رافع لموضوع الأصل و هو عدم العلم،و أما الدلیل الدالّ علی اعتباره فهو و إن کان علمیّا،إلاّ أنّه لا یفید إلاّ حکما ظاهریا نظیر مفاد الأصل؛إذ المراد بالحکم الظاهری ما ثبت لفعل المکلّف بملاحظة الجهل بحکمه الواقعی الثابت له من دون مدخلیّة العلم و الجهل،فکما أنّ مفاد قوله علیه السّلام:«کلّ شیء مطلق حتّی یرد فیه نهی» </w:t>
      </w:r>
      <w:r>
        <w:rPr>
          <w:rStyle w:val="FootnoteReference"/>
        </w:rPr>
        <w:footnoteReference w:id="14"/>
      </w:r>
      <w:r>
        <w:rPr>
          <w:rFonts w:ascii="IRNazanin" w:hAnsi="IRNazanin" w:eastAsia="IRNazanin" w:cs="IRNazanin"/>
          <w:lang w:bidi="fa-IR"/>
          <w:color w:val="111111"/>
          <w:sz w:val="28"/>
          <w:szCs w:val="28"/>
          <w:rtl/>
        </w:rPr>
        <w:t xml:space="preserve">یفید الرخصة فی الفعل الغیر المعلوم ورود النهی فیه،فکذلک ما دلّ علی حجیة الشهرة الدالّة مثلا علی وجوب شیء،یفید وجوب ذلک الشیء من حیث إنّه مظنون مطلقا أو بهذه الأمارة-</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 لذا </w:t>
      </w:r>
      <w:r>
        <w:rPr>
          <w:rStyle w:val="FootnoteReference"/>
        </w:rPr>
        <w:footnoteReference w:id="15"/>
      </w:r>
      <w:r>
        <w:rPr>
          <w:rFonts w:ascii="IRNazanin" w:hAnsi="IRNazanin" w:eastAsia="IRNazanin" w:cs="IRNazanin"/>
          <w:lang w:bidi="fa-IR"/>
          <w:color w:val="111111"/>
          <w:sz w:val="28"/>
          <w:szCs w:val="28"/>
          <w:rtl/>
        </w:rPr>
        <w:t xml:space="preserve">اشتهر:أنّ علم المجتهد</w:t>
      </w:r>
    </w:p>
    <w:p>
      <w:pPr>
        <w:pStyle w:val="BookText"/>
      </w:pPr>
      <w:r>
        <w:rPr>
          <w:rFonts w:ascii="IRNazanin" w:hAnsi="IRNazanin" w:eastAsia="IRNazanin" w:cs="IRNazanin"/>
          <w:lang w:bidi="fa-IR"/>
          <w:color w:val="111111"/>
          <w:sz w:val="28"/>
          <w:szCs w:val="28"/>
          <w:rtl/>
        </w:rPr>
        <w:t xml:space="preserve">[شماره صفحه واقعی : 12]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6" w:name="pg14411_142402"/>
    <w:bookmarkEnd w:id="6"/>
    <w:p>
      <w:pPr>
        <w:pStyle w:val="BookText"/>
      </w:pPr>
      <w:r>
        <w:rPr>
          <w:rFonts w:ascii="IRNazanin" w:hAnsi="IRNazanin" w:eastAsia="IRNazanin" w:cs="IRNazanin"/>
          <w:lang w:bidi="fa-IR"/>
          <w:color w:val="111111"/>
          <w:sz w:val="28"/>
          <w:szCs w:val="28"/>
          <w:rtl/>
        </w:rPr>
        <w:t xml:space="preserve">بالحکم مستفاد من صغری وجدانیّة،و هی:«هذا ما أدّی إلیه ظنّی»، و کبری برهانیّة،و هی:«کلّ ما أدّی إلیه ظنّی فهو حکم اللّه فی حقّی»، فإنّ الحکم المعلوم منهما هو الحکم الظاهریّ-،فإذا کان مفاد الأصل ثبوت الإباحة للفعل الغیر المعلوم الحرمة،کانا متعارضین لا محالة،فإذا بنی علی العمل بتلک الأمارة کان فیه خروج عن عموم الأصل و تخصیص له لا محالة.</w:t>
      </w:r>
    </w:p>
    <w:p>
      <w:pPr>
        <w:pStyle w:val="Heading5"/>
      </w:pPr>
      <w:bookmarkStart w:id="981" w:name="_Toc16"/>
      <w:r>
        <w:t>[التحقیق حکومة دلیل الأمارة علی الاصول الشرعیّة]</w:t>
      </w:r>
      <w:bookmarkEnd w:id="981"/>
    </w:p>
    <w:p>
      <w:pPr>
        <w:pStyle w:val="BookText"/>
      </w:pPr>
      <w:r>
        <w:rPr>
          <w:rFonts w:ascii="IRNazanin" w:hAnsi="IRNazanin" w:eastAsia="IRNazanin" w:cs="IRNazanin"/>
          <w:lang w:bidi="fa-IR"/>
          <w:color w:val="111111"/>
          <w:sz w:val="28"/>
          <w:szCs w:val="28"/>
          <w:rtl/>
        </w:rPr>
        <w:t xml:space="preserve">هذا،و لکنّ التحقیق:أنّ دلیل تلک الأمارة و إن لم یکن کالدلیل العلمیّ رافعا لموضوع الأصل،إلاّ أنّه نزّل شرعا منزلة الرافع،فهو حاکم علی الأصل لا مخصّص له،کما سیتّضح </w:t>
      </w:r>
      <w:r>
        <w:rPr>
          <w:rStyle w:val="FootnoteReference"/>
        </w:rPr>
        <w:footnoteReference w:id="16"/>
      </w:r>
      <w:r>
        <w:rPr>
          <w:rFonts w:ascii="IRNazanin" w:hAnsi="IRNazanin" w:eastAsia="IRNazanin" w:cs="IRNazanin"/>
          <w:lang w:bidi="fa-IR"/>
          <w:color w:val="111111"/>
          <w:sz w:val="28"/>
          <w:szCs w:val="28"/>
          <w:rtl/>
        </w:rPr>
        <w:t xml:space="preserve">إن شاء اللّه تعالی.</w:t>
      </w:r>
    </w:p>
    <w:p>
      <w:pPr>
        <w:pStyle w:val="Heading5"/>
      </w:pPr>
      <w:bookmarkStart w:id="982" w:name="_Toc17"/>
      <w:r>
        <w:t>[ارتفاع موضوع الاصول العقلیّة بالأدلّة الظنّیة]</w:t>
      </w:r>
      <w:bookmarkEnd w:id="982"/>
    </w:p>
    <w:p>
      <w:pPr>
        <w:pStyle w:val="BookText"/>
      </w:pPr>
      <w:r>
        <w:rPr>
          <w:rFonts w:ascii="IRNazanin" w:hAnsi="IRNazanin" w:eastAsia="IRNazanin" w:cs="IRNazanin"/>
          <w:lang w:bidi="fa-IR"/>
          <w:color w:val="111111"/>
          <w:sz w:val="28"/>
          <w:szCs w:val="28"/>
          <w:rtl/>
        </w:rPr>
        <w:t xml:space="preserve">علی:أنّ ذلک إنّما یتمّ بالنسبة إلی الأدلّة الشرعیّة،و أمّا الأدلّة العقلیّة القائمة علی البراءة و الاشتغال فارتفاع موضوعها بعد ورود الأدلّة الظنّیّة واضح؛لجواز الاقتناع بها فی مقام البیان و انتهاضها رافعا لاحتمال العقاب کما هو ظاهر.و أمّا التخییر فهو أصل عقلیّ لا غیر </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Heading5"/>
      </w:pPr>
      <w:bookmarkStart w:id="983" w:name="_Toc18"/>
      <w:r>
        <w:t>[انحصار الاصول فی أربعة]</w:t>
      </w:r>
      <w:bookmarkEnd w:id="983"/>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 اعلم:أنّ المقصود بالکلام فی هذه الرسالة </w:t>
      </w:r>
      <w:r>
        <w:rPr>
          <w:rStyle w:val="FootnoteReference"/>
        </w:rPr>
        <w:footnoteReference w:id="18"/>
      </w:r>
      <w:r>
        <w:rPr>
          <w:rFonts w:ascii="IRNazanin" w:hAnsi="IRNazanin" w:eastAsia="IRNazanin" w:cs="IRNazanin"/>
          <w:lang w:bidi="fa-IR"/>
          <w:color w:val="111111"/>
          <w:sz w:val="28"/>
          <w:szCs w:val="28"/>
          <w:rtl/>
        </w:rPr>
        <w:t xml:space="preserve">الاصول المتضمّنة لحکم الشبهة فی الحکم الفرعیّ الکلیّ و إن تضمّنت حکم الشبهة فی الموضوع أیضا،و هی منحصرة فی أربعة:«أصل البراءة»،و«أصل الاحتیاط»،و«التخییر»،و«الاستصحاب»بناء علی کونه ظاهریّا ثبت</w:t>
      </w:r>
    </w:p>
    <w:p>
      <w:pPr>
        <w:pStyle w:val="BookText"/>
      </w:pPr>
      <w:r>
        <w:rPr>
          <w:rFonts w:ascii="IRNazanin" w:hAnsi="IRNazanin" w:eastAsia="IRNazanin" w:cs="IRNazanin"/>
          <w:lang w:bidi="fa-IR"/>
          <w:color w:val="111111"/>
          <w:sz w:val="28"/>
          <w:szCs w:val="28"/>
          <w:rtl/>
        </w:rPr>
        <w:t xml:space="preserve">[شماره صفحه واقعی : 13]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7" w:name="pg14411_142403"/>
    <w:bookmarkEnd w:id="7"/>
    <w:p>
      <w:pPr>
        <w:pStyle w:val="BookText"/>
      </w:pPr>
      <w:r>
        <w:rPr>
          <w:rFonts w:ascii="IRNazanin" w:hAnsi="IRNazanin" w:eastAsia="IRNazanin" w:cs="IRNazanin"/>
          <w:lang w:bidi="fa-IR"/>
          <w:color w:val="111111"/>
          <w:sz w:val="28"/>
          <w:szCs w:val="28"/>
          <w:rtl/>
        </w:rPr>
        <w:t xml:space="preserve">التعبّد به من الأخبار؛إذ بناء علی کونه مفیدا للظنّ یدخل فی الأمارات الکاشفة عن الحکم الواقعیّ.</w:t>
      </w:r>
    </w:p>
    <w:p>
      <w:pPr>
        <w:pStyle w:val="BookText"/>
      </w:pPr>
      <w:r>
        <w:rPr>
          <w:rFonts w:ascii="IRNazanin" w:hAnsi="IRNazanin" w:eastAsia="IRNazanin" w:cs="IRNazanin"/>
          <w:lang w:bidi="fa-IR"/>
          <w:color w:val="111111"/>
          <w:sz w:val="28"/>
          <w:szCs w:val="28"/>
          <w:rtl/>
        </w:rPr>
        <w:t xml:space="preserve">و أمّا الاصول.المشخّصة لحکم الشبهة فی الموضوع-کأصالة الصحّة،و أصالة الوقوع فیما شکّ فیه بعد تجاوز المحلّ-فلا یقع الکلام فیها إلاّ لمناسبة یقتضیها المقام.</w:t>
      </w:r>
    </w:p>
    <w:p>
      <w:pPr>
        <w:pStyle w:val="Heading5"/>
      </w:pPr>
      <w:bookmarkStart w:id="984" w:name="_Toc19"/>
      <w:r>
        <w:t>[الانحصار عقلیّ]</w:t>
      </w:r>
      <w:bookmarkEnd w:id="984"/>
    </w:p>
    <w:p>
      <w:pPr>
        <w:pStyle w:val="BookText"/>
      </w:pPr>
      <w:r>
        <w:rPr>
          <w:rFonts w:ascii="IRNazanin" w:hAnsi="IRNazanin" w:eastAsia="IRNazanin" w:cs="IRNazanin"/>
          <w:lang w:bidi="fa-IR"/>
          <w:color w:val="111111"/>
          <w:sz w:val="28"/>
          <w:szCs w:val="28"/>
          <w:rtl/>
        </w:rPr>
        <w:t xml:space="preserve">ثمّ إنّ انحصار موارد الاشتباه فی الاصول الأربعة عقلیّ؛لأنّ حکم الشک إمّا أن یکون ملحوظا فیه الیقین السابق علیه،و إمّا أن لا یکون،</w:t>
      </w:r>
    </w:p>
    <w:p>
      <w:pPr>
        <w:pStyle w:val="Heading5"/>
      </w:pPr>
      <w:bookmarkStart w:id="985" w:name="_Toc20"/>
      <w:r>
        <w:t>[مجاری الاصول الأربعة]</w:t>
      </w:r>
      <w:bookmarkEnd w:id="985"/>
    </w:p>
    <w:p>
      <w:pPr>
        <w:pStyle w:val="BookText"/>
      </w:pPr>
      <w:r>
        <w:rPr>
          <w:rFonts w:ascii="IRNazanin" w:hAnsi="IRNazanin" w:eastAsia="IRNazanin" w:cs="IRNazanin"/>
          <w:lang w:bidi="fa-IR"/>
          <w:color w:val="111111"/>
          <w:sz w:val="28"/>
          <w:szCs w:val="28"/>
          <w:rtl/>
        </w:rPr>
        <w:t xml:space="preserve">سواء لم یکن یقین سابق علیه أم کان و لم یلحظ،و الأوّل هو مورد الاستصحاب،و الثانی إمّا یکون الاحتیاط فیه ممکنا أم لا، و الثانی مورد التخییر،و الأوّل إمّا أن یدلّ دلیل عقلیّ أو نقلیّ علی ثبوت العقاب بمخالفة الواقع المجهول و إمّا أن لا یدلّ،و الأوّل مورد الاحتیاط،و الثانی مورد البراءة.</w:t>
      </w:r>
    </w:p>
    <w:p>
      <w:pPr>
        <w:pStyle w:val="Heading5"/>
      </w:pPr>
      <w:bookmarkStart w:id="986" w:name="_Toc21"/>
      <w:r>
        <w:t>[تداخل موارد الاصول أحیانا]</w:t>
      </w:r>
      <w:bookmarkEnd w:id="986"/>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 قد ظهر ممّا ذکرنا:أنّ موارد الاصول قد تتداخل؛لأنّ المناط فی الاستصحاب ملاحظة الحالة السابقة المتیقّنة </w:t>
      </w:r>
      <w:r>
        <w:rPr>
          <w:rStyle w:val="FootnoteReference"/>
        </w:rPr>
        <w:footnoteReference w:id="19"/>
      </w:r>
      <w:r>
        <w:rPr>
          <w:rFonts w:ascii="IRNazanin" w:hAnsi="IRNazanin" w:eastAsia="IRNazanin" w:cs="IRNazanin"/>
          <w:lang w:bidi="fa-IR"/>
          <w:color w:val="111111"/>
          <w:sz w:val="28"/>
          <w:szCs w:val="28"/>
          <w:rtl/>
        </w:rPr>
        <w:t xml:space="preserve">،و مدار الثلاثة الباقیة علی عدم ملاحظتها و إن کانت موجودة.</w:t>
      </w:r>
    </w:p>
    <w:p>
      <w:pPr>
        <w:pStyle w:val="BookText"/>
      </w:pPr>
      <w:r>
        <w:rPr>
          <w:rFonts w:ascii="IRNazanin" w:hAnsi="IRNazanin" w:eastAsia="IRNazanin" w:cs="IRNazanin"/>
          <w:lang w:bidi="fa-IR"/>
          <w:color w:val="111111"/>
          <w:sz w:val="28"/>
          <w:szCs w:val="28"/>
          <w:rtl/>
        </w:rPr>
        <w:t xml:space="preserve">ثمّ إنّ تمام الکلام فی الاصول الأربعة یحصل باشباعه فی مقامین:</w:t>
      </w:r>
    </w:p>
    <w:p>
      <w:pPr>
        <w:pStyle w:val="BookText"/>
      </w:pPr>
      <w:r>
        <w:rPr>
          <w:rFonts w:ascii="IRNazanin" w:hAnsi="IRNazanin" w:eastAsia="IRNazanin" w:cs="IRNazanin"/>
          <w:lang w:bidi="fa-IR"/>
          <w:color w:val="111111"/>
          <w:sz w:val="28"/>
          <w:szCs w:val="28"/>
          <w:rtl/>
        </w:rPr>
        <w:t xml:space="preserve">أحدهما:حکم الشکّ فی الحکم الواقعیّ من دون ملاحظة الحالة السابقة،الراجع إلی الاصول الثلاثة.</w:t>
      </w:r>
    </w:p>
    <w:p>
      <w:pPr>
        <w:pStyle w:val="BookText"/>
      </w:pPr>
      <w:r>
        <w:rPr>
          <w:rFonts w:ascii="IRNazanin" w:hAnsi="IRNazanin" w:eastAsia="IRNazanin" w:cs="IRNazanin"/>
          <w:lang w:bidi="fa-IR"/>
          <w:color w:val="111111"/>
          <w:sz w:val="28"/>
          <w:szCs w:val="28"/>
          <w:rtl/>
        </w:rPr>
        <w:t xml:space="preserve">الثانی:حکمه بملاحظة الحالة السابقة و هو الاستصحاب.</w:t>
      </w:r>
    </w:p>
    <w:p>
      <w:pPr>
        <w:pStyle w:val="BookText"/>
      </w:pPr>
      <w:r>
        <w:rPr>
          <w:rFonts w:ascii="IRNazanin" w:hAnsi="IRNazanin" w:eastAsia="IRNazanin" w:cs="IRNazanin"/>
          <w:lang w:bidi="fa-IR"/>
          <w:color w:val="111111"/>
          <w:sz w:val="28"/>
          <w:szCs w:val="28"/>
          <w:rtl/>
        </w:rPr>
        <w:t xml:space="preserve">[شماره صفحه واقعی : 14]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8" w:name="pg14411_142404"/>
    <w:bookmarkEnd w:id="8"/>
    <w:p>
      <w:pPr>
        <w:pStyle w:val="Heading5"/>
      </w:pPr>
      <w:bookmarkStart w:id="987" w:name="_Toc22"/>
      <w:r>
        <w:t>المقام الأوّل فی البراءة و الاشتغال و التّخییر</w:t>
      </w:r>
      <w:bookmarkEnd w:id="987"/>
    </w:p>
    <w:p>
      <w:pPr>
        <w:pStyle w:val="Heading6"/>
      </w:pPr>
      <w:bookmarkStart w:id="988" w:name="_Toc23"/>
      <w:r>
        <w:t>اشارة</w:t>
      </w:r>
      <w:bookmarkEnd w:id="988"/>
    </w:p>
    <w:p>
      <w:pPr>
        <w:pStyle w:val="BookText"/>
      </w:pPr>
      <w:r>
        <w:rPr>
          <w:rFonts w:ascii="IRNazanin" w:hAnsi="IRNazanin" w:eastAsia="IRNazanin" w:cs="IRNazanin"/>
          <w:lang w:bidi="fa-IR"/>
          <w:color w:val="111111"/>
          <w:sz w:val="28"/>
          <w:szCs w:val="28"/>
          <w:rtl/>
        </w:rPr>
        <w:t xml:space="preserve">[شماره صفحه واقعی : 15]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16]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9" w:name="pg14411_142406"/>
    <w:bookmarkEnd w:id="9"/>
    <w:p>
      <w:pPr>
        <w:pStyle w:val="BookText"/>
      </w:pPr>
      <w:r>
        <w:rPr>
          <w:rFonts w:ascii="IRNazanin" w:hAnsi="IRNazanin" w:eastAsia="IRNazanin" w:cs="IRNazanin"/>
          <w:lang w:bidi="fa-IR"/>
          <w:color w:val="111111"/>
          <w:sz w:val="28"/>
          <w:szCs w:val="28"/>
          <w:rtl/>
        </w:rPr>
        <w:t xml:space="preserve">أمّا المقام الأوّل فیقع الکلام فیه فی موضعین:</w:t>
      </w:r>
    </w:p>
    <w:p>
      <w:pPr>
        <w:pStyle w:val="BookText"/>
      </w:pPr>
      <w:r>
        <w:rPr>
          <w:rFonts w:ascii="IRNazanin" w:hAnsi="IRNazanin" w:eastAsia="IRNazanin" w:cs="IRNazanin"/>
          <w:lang w:bidi="fa-IR"/>
          <w:color w:val="111111"/>
          <w:sz w:val="28"/>
          <w:szCs w:val="28"/>
          <w:rtl/>
        </w:rPr>
        <w:t xml:space="preserve">لأنّ الشکّ إمّا فی نفس التکلیف و هو النوع الخاصّ من الإلزام و إن علم جنسه،کالتکلیف المردّد بین الوجوب و التحریم.</w:t>
      </w:r>
    </w:p>
    <w:p>
      <w:pPr>
        <w:pStyle w:val="BookText"/>
      </w:pPr>
      <w:r>
        <w:rPr>
          <w:rFonts w:ascii="IRNazanin" w:hAnsi="IRNazanin" w:eastAsia="IRNazanin" w:cs="IRNazanin"/>
          <w:lang w:bidi="fa-IR"/>
          <w:color w:val="111111"/>
          <w:sz w:val="28"/>
          <w:szCs w:val="28"/>
          <w:rtl/>
        </w:rPr>
        <w:t xml:space="preserve">و إمّا فی متعلق التکلیف مع العلم بنفسه،کما إذا علم وجوب شیء و شکّ بین تعلّقه بالظهر و الجمعة،أو علم وجوب فائتة و تردّدت بین الظهر و المغرب.</w:t>
      </w:r>
    </w:p>
    <w:p>
      <w:pPr>
        <w:pStyle w:val="Heading6"/>
      </w:pPr>
      <w:bookmarkStart w:id="989" w:name="_Toc24"/>
      <w:r>
        <w:t>[الموضع الأوّل]الشکّ فی نفس التکلیف،و فیه مطالب:</w:t>
      </w:r>
      <w:bookmarkEnd w:id="989"/>
    </w:p>
    <w:p>
      <w:pPr>
        <w:pStyle w:val="Heading6"/>
      </w:pPr>
      <w:bookmarkStart w:id="990" w:name="_Toc25"/>
      <w:r>
        <w:t>اشارة</w:t>
      </w:r>
      <w:bookmarkEnd w:id="990"/>
    </w:p>
    <w:p>
      <w:pPr>
        <w:pStyle w:val="BookText"/>
      </w:pPr>
      <w:r>
        <w:rPr>
          <w:rStyle w:val="FootnoteReference"/>
        </w:rPr>
        <w:footnoteReference w:id="20"/>
      </w:r>
      <w:r>
        <w:rPr>
          <w:rFonts w:ascii="IRNazanin" w:hAnsi="IRNazanin" w:eastAsia="IRNazanin" w:cs="IRNazanin"/>
          <w:lang w:bidi="fa-IR"/>
          <w:color w:val="111111"/>
          <w:sz w:val="28"/>
          <w:szCs w:val="28"/>
          <w:rtl/>
        </w:rPr>
        <w:t xml:space="preserve">
و الموضع الأول یقع الکلام فیه فی مطالب؛لأنّ التکلیف المشکوک فیه إمّا تحریم مشتبه بغیر الوجوب،و إمّا وجوب مشتبه بغیر التحریم، و إمّا تحریم مشتبه بالوجوب </w:t>
      </w:r>
      <w:r>
        <w:rPr>
          <w:rStyle w:val="FootnoteReference"/>
        </w:rPr>
        <w:footnoteReference w:id="21"/>
      </w:r>
      <w:r>
        <w:rPr>
          <w:rFonts w:ascii="IRNazanin" w:hAnsi="IRNazanin" w:eastAsia="IRNazanin" w:cs="IRNazanin"/>
          <w:lang w:bidi="fa-IR"/>
          <w:color w:val="111111"/>
          <w:sz w:val="28"/>
          <w:szCs w:val="28"/>
          <w:rtl/>
        </w:rPr>
        <w:t xml:space="preserve">،و صور الاشتباه کثیرة.</w:t>
      </w:r>
    </w:p>
    <w:p>
      <w:pPr>
        <w:pStyle w:val="BookText"/>
      </w:pPr>
      <w:r>
        <w:rPr>
          <w:rFonts w:ascii="IRNazanin" w:hAnsi="IRNazanin" w:eastAsia="IRNazanin" w:cs="IRNazanin"/>
          <w:lang w:bidi="fa-IR"/>
          <w:color w:val="111111"/>
          <w:sz w:val="28"/>
          <w:szCs w:val="28"/>
          <w:rtl/>
        </w:rPr>
        <w:t xml:space="preserve">[شماره صفحه واقعی : 17]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هذا مبنیّ علی اختصاص التکلیف بالإلزام،</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أو اختصاص الخلاف فی البراءة و الاحتیاط به،و لو فرض </w:t>
      </w:r>
      <w:r>
        <w:rPr>
          <w:rStyle w:val="FootnoteReference"/>
        </w:rPr>
        <w:footnoteReference w:id="22"/>
      </w:r>
      <w:r>
        <w:rPr>
          <w:rFonts w:ascii="IRNazanin" w:hAnsi="IRNazanin" w:eastAsia="IRNazanin" w:cs="IRNazanin"/>
          <w:lang w:bidi="fa-IR"/>
          <w:color w:val="111111"/>
          <w:sz w:val="28"/>
          <w:szCs w:val="28"/>
          <w:rtl/>
        </w:rPr>
        <w:t xml:space="preserve">شموله للمستحب و المکروه یظهر حالهما من الواجب و الحرام؛فلا حاجة إلی تعمیم العنوان.</w:t>
      </w:r>
    </w:p>
    <w:p>
      <w:pPr>
        <w:pStyle w:val="BookText"/>
      </w:pPr>
      <w:r>
        <w:rPr>
          <w:rFonts w:ascii="Amiri" w:hAnsi="Amiri" w:eastAsia="Amiri" w:cs="Amiri"/>
          <w:lang w:bidi="ar-SA"/>
          <w:color w:val="111111"/>
          <w:sz w:val="28"/>
          <w:szCs w:val="28"/>
          <w:rtl/>
        </w:rPr>
        <w:t xml:space="preserve">ثمّ إنّ </w:t>
      </w:r>
      <w:r>
        <w:rPr>
          <w:rStyle w:val="FootnoteReference"/>
        </w:rPr>
        <w:footnoteReference w:id="23"/>
      </w:r>
      <w:r>
        <w:rPr>
          <w:rFonts w:ascii="IRNazanin" w:hAnsi="IRNazanin" w:eastAsia="IRNazanin" w:cs="IRNazanin"/>
          <w:lang w:bidi="fa-IR"/>
          <w:color w:val="111111"/>
          <w:sz w:val="28"/>
          <w:szCs w:val="28"/>
          <w:rtl/>
        </w:rPr>
        <w:t xml:space="preserve">متعلّق التکلیف المشکوک:</w:t>
      </w:r>
    </w:p>
    <w:p>
      <w:pPr>
        <w:pStyle w:val="BookText"/>
      </w:pPr>
      <w:r>
        <w:rPr>
          <w:rFonts w:ascii="IRNazanin" w:hAnsi="IRNazanin" w:eastAsia="IRNazanin" w:cs="IRNazanin"/>
          <w:lang w:bidi="fa-IR"/>
          <w:color w:val="111111"/>
          <w:sz w:val="28"/>
          <w:szCs w:val="28"/>
          <w:rtl/>
        </w:rPr>
        <w:t xml:space="preserve">إمّا أن یکون فعلا کلّیّا متعلّقا للحکم الشرعی الکلّی،کشرب التتن المشکوک فی حرمته،و الدعاء عند رؤیة الهلال المشکوک فی وجوبه.</w:t>
      </w:r>
    </w:p>
    <w:p>
      <w:pPr>
        <w:pStyle w:val="BookText"/>
      </w:pPr>
      <w:r>
        <w:rPr>
          <w:rFonts w:ascii="IRNazanin" w:hAnsi="IRNazanin" w:eastAsia="IRNazanin" w:cs="IRNazanin"/>
          <w:lang w:bidi="fa-IR"/>
          <w:color w:val="111111"/>
          <w:sz w:val="28"/>
          <w:szCs w:val="28"/>
          <w:rtl/>
        </w:rPr>
        <w:t xml:space="preserve">و إمّا أن یکون فعلا جزئیّا متعلّقا للحکم الجزئی،کشرب هذا المائع المحتمل کونه خمرا.</w:t>
      </w:r>
    </w:p>
    <w:p>
      <w:pPr>
        <w:pStyle w:val="BookText"/>
      </w:pPr>
      <w:r>
        <w:rPr>
          <w:rFonts w:ascii="IRNazanin" w:hAnsi="IRNazanin" w:eastAsia="IRNazanin" w:cs="IRNazanin"/>
          <w:lang w:bidi="fa-IR"/>
          <w:color w:val="111111"/>
          <w:sz w:val="28"/>
          <w:szCs w:val="28"/>
          <w:rtl/>
        </w:rPr>
        <w:t xml:space="preserve">و منشأ الشکّ فی القسم الثانی:اشتباه الامور الخارجیّة.</w:t>
      </w:r>
    </w:p>
    <w:p>
      <w:pPr>
        <w:pStyle w:val="BookText"/>
      </w:pPr>
      <w:r>
        <w:rPr>
          <w:rFonts w:ascii="IRNazanin" w:hAnsi="IRNazanin" w:eastAsia="IRNazanin" w:cs="IRNazanin"/>
          <w:lang w:bidi="fa-IR"/>
          <w:color w:val="111111"/>
          <w:sz w:val="28"/>
          <w:szCs w:val="28"/>
          <w:rtl/>
        </w:rPr>
        <w:t xml:space="preserve">و منشؤه فی الأوّل:إمّا أن یکون عدم النصّ فی المسألة،کمسألة شرب التتن،و إمّا أن یکون إجمال النصّ،کدوران الأمر فی قوله تعالی:</w:t>
      </w:r>
    </w:p>
    <w:p>
      <w:pPr>
        <w:pStyle w:val="BookText"/>
      </w:pPr>
      <w:r>
        <w:rPr>
          <w:rFonts w:ascii="Amiri" w:hAnsi="Amiri" w:eastAsia="Amiri" w:cs="Amiri"/>
          <w:lang w:bidi="ar-SA"/>
          <w:color w:val="111111"/>
          <w:sz w:val="28"/>
          <w:szCs w:val="28"/>
          <w:rtl/>
        </w:rPr>
        <w:t xml:space="preserve">حَتّٰی یَطْهُرْنَ</w:t>
      </w:r>
    </w:p>
    <w:p>
      <w:pPr>
        <w:pStyle w:val="BookText"/>
      </w:pPr>
      <w:r>
        <w:rPr>
          <w:rStyle w:val="FootnoteReference"/>
        </w:rPr>
        <w:footnoteReference w:id="24"/>
      </w:r>
      <w:r>
        <w:rPr>
          <w:rFonts w:ascii="IRNazanin" w:hAnsi="IRNazanin" w:eastAsia="IRNazanin" w:cs="IRNazanin"/>
          <w:lang w:bidi="fa-IR"/>
          <w:color w:val="111111"/>
          <w:sz w:val="28"/>
          <w:szCs w:val="28"/>
          <w:rtl/>
        </w:rPr>
        <w:t xml:space="preserve">
بین التشدید و التخفیف مثلا،و إمّا أن یکون تعارض النصّین،و منه الآیة المذکورة بناء علی تواتر القراءات.</w:t>
      </w:r>
    </w:p>
    <w:p>
      <w:pPr>
        <w:pStyle w:val="BookText"/>
      </w:pPr>
      <w:r>
        <w:rPr>
          <w:rFonts w:ascii="IRNazanin" w:hAnsi="IRNazanin" w:eastAsia="IRNazanin" w:cs="IRNazanin"/>
          <w:lang w:bidi="fa-IR"/>
          <w:color w:val="111111"/>
          <w:sz w:val="28"/>
          <w:szCs w:val="28"/>
          <w:rtl/>
        </w:rPr>
        <w:t xml:space="preserve">و توضیح أحکام هذه الأقسام فی ضمن مطالب:</w:t>
      </w:r>
    </w:p>
    <w:p>
      <w:pPr>
        <w:pStyle w:val="BookText"/>
      </w:pPr>
      <w:r>
        <w:rPr>
          <w:rFonts w:ascii="IRNazanin" w:hAnsi="IRNazanin" w:eastAsia="IRNazanin" w:cs="IRNazanin"/>
          <w:lang w:bidi="fa-IR"/>
          <w:color w:val="111111"/>
          <w:sz w:val="28"/>
          <w:szCs w:val="28"/>
          <w:rtl/>
        </w:rPr>
        <w:t xml:space="preserve">الأوّل:دوران الأمر بین الحرمة و غیر الوجوب من الأحکام الثلاثة الباقیة.</w:t>
      </w:r>
    </w:p>
    <w:p>
      <w:pPr>
        <w:pStyle w:val="BookText"/>
      </w:pPr>
      <w:r>
        <w:rPr>
          <w:rFonts w:ascii="IRNazanin" w:hAnsi="IRNazanin" w:eastAsia="IRNazanin" w:cs="IRNazanin"/>
          <w:lang w:bidi="fa-IR"/>
          <w:color w:val="111111"/>
          <w:sz w:val="28"/>
          <w:szCs w:val="28"/>
          <w:rtl/>
        </w:rPr>
        <w:t xml:space="preserve">الثانی:دورانه بین الوجوب و غیر التحریم.</w:t>
      </w:r>
    </w:p>
    <w:p>
      <w:pPr>
        <w:pStyle w:val="BookText"/>
      </w:pPr>
      <w:r>
        <w:rPr>
          <w:rFonts w:ascii="IRNazanin" w:hAnsi="IRNazanin" w:eastAsia="IRNazanin" w:cs="IRNazanin"/>
          <w:lang w:bidi="fa-IR"/>
          <w:color w:val="111111"/>
          <w:sz w:val="28"/>
          <w:szCs w:val="28"/>
          <w:rtl/>
        </w:rPr>
        <w:t xml:space="preserve">الثالث:دورانه بین الوجوب و التحریم.</w:t>
      </w:r>
    </w:p>
    <w:p>
      <w:pPr>
        <w:pStyle w:val="BookText"/>
      </w:pPr>
      <w:r>
        <w:rPr>
          <w:rFonts w:ascii="IRNazanin" w:hAnsi="IRNazanin" w:eastAsia="IRNazanin" w:cs="IRNazanin"/>
          <w:lang w:bidi="fa-IR"/>
          <w:color w:val="111111"/>
          <w:sz w:val="28"/>
          <w:szCs w:val="28"/>
          <w:rtl/>
        </w:rPr>
        <w:t xml:space="preserve">[شماره صفحه واقعی : 18]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0" w:name="pg14411_142408"/>
    <w:bookmarkEnd w:id="10"/>
    <w:p>
      <w:pPr>
        <w:pStyle w:val="Heading6"/>
      </w:pPr>
      <w:bookmarkStart w:id="991" w:name="_Toc26"/>
      <w:r>
        <w:t>فالمطلب الأوّل فیما دار الأمر فیه بین الحرمة و غیر الوجوب</w:t>
      </w:r>
      <w:bookmarkEnd w:id="991"/>
    </w:p>
    <w:p>
      <w:pPr>
        <w:pStyle w:val="Heading6"/>
      </w:pPr>
      <w:bookmarkStart w:id="992" w:name="_Toc27"/>
      <w:r>
        <w:t>اشارة</w:t>
      </w:r>
      <w:bookmarkEnd w:id="992"/>
    </w:p>
    <w:p>
      <w:pPr>
        <w:pStyle w:val="BookText"/>
      </w:pPr>
      <w:r>
        <w:rPr>
          <w:rFonts w:ascii="IRNazanin" w:hAnsi="IRNazanin" w:eastAsia="IRNazanin" w:cs="IRNazanin"/>
          <w:lang w:bidi="fa-IR"/>
          <w:color w:val="111111"/>
          <w:sz w:val="28"/>
          <w:szCs w:val="28"/>
          <w:rtl/>
        </w:rPr>
        <w:t xml:space="preserve">و قد عرفت </w:t>
      </w:r>
      <w:r>
        <w:rPr>
          <w:rStyle w:val="FootnoteReference"/>
        </w:rPr>
        <w:footnoteReference w:id="25"/>
      </w:r>
      <w:r>
        <w:rPr>
          <w:rFonts w:ascii="IRNazanin" w:hAnsi="IRNazanin" w:eastAsia="IRNazanin" w:cs="IRNazanin"/>
          <w:lang w:bidi="fa-IR"/>
          <w:color w:val="111111"/>
          <w:sz w:val="28"/>
          <w:szCs w:val="28"/>
          <w:rtl/>
        </w:rPr>
        <w:t xml:space="preserve">:أنّ متعلّق الشکّ تارة:الواقعة الکلّیة کشرب التتن،و منشأ الشکّ فیه عدم النصّ،أو إجماله،أو تعارضه،و اخری:</w:t>
      </w:r>
    </w:p>
    <w:p>
      <w:pPr>
        <w:pStyle w:val="BookText"/>
      </w:pPr>
      <w:r>
        <w:rPr>
          <w:rFonts w:ascii="IRNazanin" w:hAnsi="IRNazanin" w:eastAsia="IRNazanin" w:cs="IRNazanin"/>
          <w:lang w:bidi="fa-IR"/>
          <w:color w:val="111111"/>
          <w:sz w:val="28"/>
          <w:szCs w:val="28"/>
          <w:rtl/>
        </w:rPr>
        <w:t xml:space="preserve">الواقعة الجزئیّة.</w:t>
      </w:r>
    </w:p>
    <w:p>
      <w:pPr>
        <w:pStyle w:val="BookText"/>
      </w:pPr>
      <w:r>
        <w:rPr>
          <w:rFonts w:ascii="IRNazanin" w:hAnsi="IRNazanin" w:eastAsia="IRNazanin" w:cs="IRNazanin"/>
          <w:lang w:bidi="fa-IR"/>
          <w:color w:val="111111"/>
          <w:sz w:val="28"/>
          <w:szCs w:val="28"/>
          <w:rtl/>
        </w:rPr>
        <w:t xml:space="preserve">فهنا أربع مسائل:</w:t>
      </w:r>
    </w:p>
    <w:p>
      <w:pPr>
        <w:pStyle w:val="BookText"/>
      </w:pPr>
      <w:r>
        <w:rPr>
          <w:rFonts w:ascii="IRNazanin" w:hAnsi="IRNazanin" w:eastAsia="IRNazanin" w:cs="IRNazanin"/>
          <w:lang w:bidi="fa-IR"/>
          <w:color w:val="111111"/>
          <w:sz w:val="28"/>
          <w:szCs w:val="28"/>
          <w:rtl/>
        </w:rPr>
        <w:t xml:space="preserve">[شماره صفحه واقعی : 19]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1" w:name="pg14411_142409"/>
    <w:bookmarkEnd w:id="11"/>
    <w:p>
      <w:pPr>
        <w:pStyle w:val="Heading6"/>
      </w:pPr>
      <w:bookmarkStart w:id="993" w:name="_Toc28"/>
      <w:r>
        <w:t>المسألة الاولی ما لا نصّ فیه</w:t>
      </w:r>
      <w:bookmarkEnd w:id="993"/>
    </w:p>
    <w:p>
      <w:pPr>
        <w:pStyle w:val="Heading6"/>
      </w:pPr>
      <w:bookmarkStart w:id="994" w:name="_Toc29"/>
      <w:r>
        <w:t>[قولان فی المسألة]</w:t>
      </w:r>
      <w:bookmarkEnd w:id="994"/>
    </w:p>
    <w:p>
      <w:pPr>
        <w:pStyle w:val="Heading6"/>
      </w:pPr>
      <w:bookmarkStart w:id="995" w:name="_Toc30"/>
      <w:r>
        <w:t>اشارة</w:t>
      </w:r>
      <w:bookmarkEnd w:id="995"/>
    </w:p>
    <w:p>
      <w:pPr>
        <w:pStyle w:val="BookText"/>
      </w:pPr>
      <w:r>
        <w:rPr>
          <w:rFonts w:ascii="IRNazanin" w:hAnsi="IRNazanin" w:eastAsia="IRNazanin" w:cs="IRNazanin"/>
          <w:lang w:bidi="fa-IR"/>
          <w:color w:val="111111"/>
          <w:sz w:val="28"/>
          <w:szCs w:val="28"/>
          <w:rtl/>
        </w:rPr>
        <w:t xml:space="preserve">و قد اختلف فیه علی ما یرجع إلی قولین:</w:t>
      </w:r>
    </w:p>
    <w:p>
      <w:pPr>
        <w:pStyle w:val="BookText"/>
      </w:pPr>
      <w:r>
        <w:rPr>
          <w:rFonts w:ascii="IRNazanin" w:hAnsi="IRNazanin" w:eastAsia="IRNazanin" w:cs="IRNazanin"/>
          <w:lang w:bidi="fa-IR"/>
          <w:color w:val="111111"/>
          <w:sz w:val="28"/>
          <w:szCs w:val="28"/>
          <w:rtl/>
        </w:rPr>
        <w:t xml:space="preserve">أحدهما:إباحة الفعل شرعا و عدم وجوب الاحتیاط بالترک.</w:t>
      </w:r>
    </w:p>
    <w:p>
      <w:pPr>
        <w:pStyle w:val="BookText"/>
      </w:pPr>
      <w:r>
        <w:rPr>
          <w:rFonts w:ascii="IRNazanin" w:hAnsi="IRNazanin" w:eastAsia="IRNazanin" w:cs="IRNazanin"/>
          <w:lang w:bidi="fa-IR"/>
          <w:color w:val="111111"/>
          <w:sz w:val="28"/>
          <w:szCs w:val="28"/>
          <w:rtl/>
        </w:rPr>
        <w:t xml:space="preserve">و الثانی:وجوب الترک،و یعبّر عنه بالاحتیاط.</w:t>
      </w:r>
    </w:p>
    <w:p>
      <w:pPr>
        <w:pStyle w:val="BookText"/>
      </w:pPr>
      <w:r>
        <w:rPr>
          <w:rFonts w:ascii="IRNazanin" w:hAnsi="IRNazanin" w:eastAsia="IRNazanin" w:cs="IRNazanin"/>
          <w:lang w:bidi="fa-IR"/>
          <w:color w:val="111111"/>
          <w:sz w:val="28"/>
          <w:szCs w:val="28"/>
          <w:rtl/>
        </w:rPr>
        <w:t xml:space="preserve">و الأوّل منسوب إلی المجتهدین،و الثانی إلی معظم الأخباریّین </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ربما نسب إلیهم أقوال أربعة:التحریم ظاهرا،و التحریم واقعا، و التوقّف،و الاحتیاط</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 لا یبعد أن یکون تغایرها باعتبار العنوان، و یحتمل الفرق بینها أو بین </w:t>
      </w:r>
      <w:r>
        <w:rPr>
          <w:rStyle w:val="FootnoteReference"/>
        </w:rPr>
        <w:footnoteReference w:id="28"/>
      </w:r>
      <w:r>
        <w:rPr>
          <w:rFonts w:ascii="IRNazanin" w:hAnsi="IRNazanin" w:eastAsia="IRNazanin" w:cs="IRNazanin"/>
          <w:lang w:bidi="fa-IR"/>
          <w:color w:val="111111"/>
          <w:sz w:val="28"/>
          <w:szCs w:val="28"/>
          <w:rtl/>
        </w:rPr>
        <w:t xml:space="preserve">بعضها من وجوه أخر تأتی بعد ذکر أدلّة الأخباریّین </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20]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2" w:name="pg14411_142410"/>
    <w:bookmarkEnd w:id="12"/>
    <w:p>
      <w:pPr>
        <w:pStyle w:val="Heading6"/>
      </w:pPr>
      <w:bookmarkStart w:id="996" w:name="_Toc31"/>
      <w:r>
        <w:t>احتجّ للقول الأوّل بالأدلّة الأربعة:</w:t>
      </w:r>
      <w:bookmarkEnd w:id="996"/>
    </w:p>
    <w:p>
      <w:pPr>
        <w:pStyle w:val="Heading6"/>
      </w:pPr>
      <w:bookmarkStart w:id="997" w:name="_Toc32"/>
      <w:r>
        <w:t>فمن الکتاب آیات:</w:t>
      </w:r>
      <w:bookmarkEnd w:id="997"/>
    </w:p>
    <w:p>
      <w:pPr>
        <w:pStyle w:val="Heading6"/>
      </w:pPr>
      <w:bookmarkStart w:id="998" w:name="_Toc33"/>
      <w:r>
        <w:t>منها:قوله تعالی: لاٰ یُکَلِّفُ اللّٰهُ نَفْساً إِلاّٰ مٰا آتٰاهٰا</w:t>
      </w:r>
      <w:bookmarkEnd w:id="998"/>
    </w:p>
    <w:p>
      <w:pPr>
        <w:pStyle w:val="BookText"/>
      </w:pPr>
      <w:r>
        <w:rPr>
          <w:rFonts w:ascii="Amiri" w:hAnsi="Amiri" w:eastAsia="Amiri" w:cs="Amiri"/>
          <w:lang w:bidi="ar-SA"/>
          <w:color w:val="111111"/>
          <w:sz w:val="28"/>
          <w:szCs w:val="28"/>
          <w:rtl/>
        </w:rPr>
        <w:t xml:space="preserve">منها:قوله تعالی: لاٰ یُکَلِّفُ اللّٰهُ نَفْساً إِلاّٰ مٰا آتٰاهٰا </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قیل:دلالتها واضحة </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فیه:أنّها غیر ظاهرة؛فإنّ حقیقة الإیتاء الإعطاء،فإمّا أن یراد بالموصول المال-بقرینة قوله تعالی قبل ذلک: وَ مَنْ قُدِرَ عَلَیْهِ رِزْقُهُ فَلْیُنْفِقْ مِمّٰا آتٰاهُ اللّٰهُ </w:t>
      </w:r>
      <w:r>
        <w:rPr>
          <w:rStyle w:val="FootnoteReference"/>
        </w:rPr>
        <w:footnoteReference w:id="32"/>
      </w:r>
      <w:r>
        <w:rPr>
          <w:rFonts w:ascii="IRNazanin" w:hAnsi="IRNazanin" w:eastAsia="IRNazanin" w:cs="IRNazanin"/>
          <w:lang w:bidi="fa-IR"/>
          <w:color w:val="111111"/>
          <w:sz w:val="28"/>
          <w:szCs w:val="28"/>
          <w:rtl/>
        </w:rPr>
        <w:t xml:space="preserve">-،فالمعنی:أنّ اللّه سبحانه لا یکلّف العبد إلاّ دفع ما اعطی من المال.</w:t>
      </w:r>
    </w:p>
    <w:p>
      <w:pPr>
        <w:pStyle w:val="BookText"/>
      </w:pPr>
      <w:r>
        <w:rPr>
          <w:rFonts w:ascii="IRNazanin" w:hAnsi="IRNazanin" w:eastAsia="IRNazanin" w:cs="IRNazanin"/>
          <w:lang w:bidi="fa-IR"/>
          <w:color w:val="111111"/>
          <w:sz w:val="28"/>
          <w:szCs w:val="28"/>
          <w:rtl/>
        </w:rPr>
        <w:t xml:space="preserve">و إمّا أن یراد نفس فعل الشیء أو ترکه-بقرینة إیقاع التکلیف علیه-،فإعطاؤه کنایة عن الإقدار علیه،فتدلّ علی نفی التکلیف بغیر المقدور-کما ذکره الطبرسیّ </w:t>
      </w:r>
      <w:r>
        <w:rPr>
          <w:rStyle w:val="FootnoteReference"/>
        </w:rPr>
        <w:footnoteReference w:id="33"/>
      </w:r>
      <w:r>
        <w:rPr>
          <w:rFonts w:ascii="IRNazanin" w:hAnsi="IRNazanin" w:eastAsia="IRNazanin" w:cs="IRNazanin"/>
          <w:lang w:bidi="fa-IR"/>
          <w:color w:val="111111"/>
          <w:sz w:val="28"/>
          <w:szCs w:val="28"/>
          <w:rtl/>
        </w:rPr>
        <w:t xml:space="preserve">قدّس سرّه-و هذا المعنی أظهر و أشمل؛لأنّ الإنفاق من المیسور داخل فی«ما آتاه اللّه».</w:t>
      </w:r>
    </w:p>
    <w:p>
      <w:pPr>
        <w:pStyle w:val="BookText"/>
      </w:pPr>
      <w:r>
        <w:rPr>
          <w:rFonts w:ascii="IRNazanin" w:hAnsi="IRNazanin" w:eastAsia="IRNazanin" w:cs="IRNazanin"/>
          <w:lang w:bidi="fa-IR"/>
          <w:color w:val="111111"/>
          <w:sz w:val="28"/>
          <w:szCs w:val="28"/>
          <w:rtl/>
        </w:rPr>
        <w:t xml:space="preserve">و کیف کان:فمن المعلوم أنّ ترک ما یحتمل التحریم لیس غیر مقدور؛و إلاّ لم ینازع فی وقوع التکلیف به أحد من المسلمین،و إن نازعت الأشاعرة فی إمکانه.</w:t>
      </w:r>
    </w:p>
    <w:p>
      <w:pPr>
        <w:pStyle w:val="BookText"/>
      </w:pPr>
      <w:r>
        <w:rPr>
          <w:rFonts w:ascii="IRNazanin" w:hAnsi="IRNazanin" w:eastAsia="IRNazanin" w:cs="IRNazanin"/>
          <w:lang w:bidi="fa-IR"/>
          <w:color w:val="111111"/>
          <w:sz w:val="28"/>
          <w:szCs w:val="28"/>
          <w:rtl/>
        </w:rPr>
        <w:t xml:space="preserve">نعم،لو ارید من الموصول نفس الحکم و التکلیف،کان إیتاؤه</w:t>
      </w:r>
    </w:p>
    <w:p>
      <w:pPr>
        <w:pStyle w:val="BookText"/>
      </w:pPr>
      <w:r>
        <w:rPr>
          <w:rFonts w:ascii="IRNazanin" w:hAnsi="IRNazanin" w:eastAsia="IRNazanin" w:cs="IRNazanin"/>
          <w:lang w:bidi="fa-IR"/>
          <w:color w:val="111111"/>
          <w:sz w:val="28"/>
          <w:szCs w:val="28"/>
          <w:rtl/>
        </w:rPr>
        <w:t xml:space="preserve">[شماره صفحه واقعی : 21]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3" w:name="pg14411_142411"/>
    <w:bookmarkEnd w:id="13"/>
    <w:p>
      <w:pPr>
        <w:pStyle w:val="BookText"/>
      </w:pPr>
      <w:r>
        <w:rPr>
          <w:rFonts w:ascii="Amiri" w:hAnsi="Amiri" w:eastAsia="Amiri" w:cs="Amiri"/>
          <w:lang w:bidi="ar-SA"/>
          <w:color w:val="111111"/>
          <w:sz w:val="28"/>
          <w:szCs w:val="28"/>
          <w:rtl/>
        </w:rPr>
        <w:t xml:space="preserve">عبارة عن الإعلام به.</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لکن إرادته بالخصوص تنافی مورد الآیة،و إرادة الأعمّ منه و من المورد تستلزم </w:t>
      </w:r>
      <w:r>
        <w:rPr>
          <w:rStyle w:val="FootnoteReference"/>
        </w:rPr>
        <w:footnoteReference w:id="34"/>
      </w:r>
      <w:r>
        <w:rPr>
          <w:rFonts w:ascii="IRNazanin" w:hAnsi="IRNazanin" w:eastAsia="IRNazanin" w:cs="IRNazanin"/>
          <w:lang w:bidi="fa-IR"/>
          <w:color w:val="111111"/>
          <w:sz w:val="28"/>
          <w:szCs w:val="28"/>
          <w:rtl/>
        </w:rPr>
        <w:t xml:space="preserve">استعمال الموصول فی معنیین؛إذ لا جامع بین تعلّق التکلیف بنفس الحکم و بالفعل </w:t>
      </w:r>
      <w:r>
        <w:rPr>
          <w:rStyle w:val="FootnoteReference"/>
        </w:rPr>
        <w:footnoteReference w:id="35"/>
      </w:r>
      <w:r>
        <w:rPr>
          <w:rFonts w:ascii="IRNazanin" w:hAnsi="IRNazanin" w:eastAsia="IRNazanin" w:cs="IRNazanin"/>
          <w:lang w:bidi="fa-IR"/>
          <w:color w:val="111111"/>
          <w:sz w:val="28"/>
          <w:szCs w:val="28"/>
          <w:rtl/>
        </w:rPr>
        <w:t xml:space="preserve">المحکوم علیه،فافهم.</w:t>
      </w:r>
    </w:p>
    <w:p>
      <w:pPr>
        <w:pStyle w:val="BookText"/>
      </w:pPr>
      <w:r>
        <w:rPr>
          <w:rFonts w:ascii="Amiri" w:hAnsi="Amiri" w:eastAsia="Amiri" w:cs="Amiri"/>
          <w:lang w:bidi="ar-SA"/>
          <w:color w:val="111111"/>
          <w:sz w:val="28"/>
          <w:szCs w:val="28"/>
          <w:rtl/>
        </w:rPr>
        <w:t xml:space="preserve">نعم،فی روایة عبد الأعلی عن أبی عبد اللّه علیه السّلام:«قال:قلت له:هل کلّف النّاس بالمعرفة؟قال:لا،علی اللّه البیان؛ لاٰ یُکَلِّفُ اللّٰهُ نَفْساً إِلاّٰ وُسْعَهٰا ،و لاٰ یُکَلِّفُ اللّٰهُ نَفْساً إِلاّٰ مٰا آتٰاهٰا » </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لکنّه لا ینفع فی المطلب؛لأنّ نفس المعرفة باللّه غیر مقدور قبل تعریف اللّه سبحانه،فلا یحتاج دخولها فی الآیة إلی إرادة الإعلام من الإیتاء،و سیجیء زیادة توضیح لذلک فی ذکر الدلیل العقلی إن شاء اللّه تعالی </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ممّا ذکرنا یظهر حال التمسّک بقوله تعالی: لاٰ یُکَلِّفُ اللّٰهُ نَفْساً إِلاّٰ وُسْعَهٰا </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Heading6"/>
      </w:pPr>
      <w:bookmarkStart w:id="999" w:name="_Toc34"/>
      <w:r>
        <w:t>و منها:قوله تعالی: وَ مٰا کُنّٰا مُعَذِّبِینَ حَتّٰی نَبْعَثَ رَسُولاً</w:t>
      </w:r>
      <w:bookmarkEnd w:id="999"/>
    </w:p>
    <w:p>
      <w:pPr>
        <w:pStyle w:val="BookText"/>
      </w:pPr>
      <w:r>
        <w:rPr>
          <w:rFonts w:ascii="Amiri" w:hAnsi="Amiri" w:eastAsia="Amiri" w:cs="Amiri"/>
          <w:lang w:bidi="ar-SA"/>
          <w:color w:val="111111"/>
          <w:sz w:val="28"/>
          <w:szCs w:val="28"/>
          <w:rtl/>
        </w:rPr>
        <w:t xml:space="preserve">و منها:قوله تعالی: وَ مٰا کُنّٰا مُعَذِّبِینَ حَتّٰی نَبْعَثَ رَسُولاً </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بناء علی أنّ بعث الرسول کنایة عن بیان التکلیف؛لأنّه یکون به</w:t>
      </w:r>
    </w:p>
    <w:p>
      <w:pPr>
        <w:pStyle w:val="BookText"/>
      </w:pPr>
      <w:r>
        <w:rPr>
          <w:rFonts w:ascii="IRNazanin" w:hAnsi="IRNazanin" w:eastAsia="IRNazanin" w:cs="IRNazanin"/>
          <w:lang w:bidi="fa-IR"/>
          <w:color w:val="111111"/>
          <w:sz w:val="28"/>
          <w:szCs w:val="28"/>
          <w:rtl/>
        </w:rPr>
        <w:t xml:space="preserve">[شماره صفحه واقعی : 22]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غالبا،کما فی قولک:«لا أبرح من هذا المکان حتّی یؤذّن المؤذّن» </w:t>
      </w:r>
      <w:r>
        <w:rPr>
          <w:rStyle w:val="FootnoteReference"/>
        </w:rPr>
        <w:footnoteReference w:id="40"/>
      </w:r>
      <w:r>
        <w:rPr>
          <w:rFonts w:ascii="IRNazanin" w:hAnsi="IRNazanin" w:eastAsia="IRNazanin" w:cs="IRNazanin"/>
          <w:lang w:bidi="fa-IR"/>
          <w:color w:val="111111"/>
          <w:sz w:val="28"/>
          <w:szCs w:val="28"/>
          <w:rtl/>
        </w:rPr>
        <w:t xml:space="preserve">کنایة عن دخول الوقت،أو عبارة عن البیان النقلی-و یخصّص العموم بغیر المستقلاّت،أو یلتزم بوجوب التأکید و عدم حسن العقاب إلاّ مع اللطف بتأیید العقل بالنقل و إن حسن الذمّ،بناء علی أنّ منع اللطف یوجب قبح العقاب دون الذمّ،کما صرّح به البعض </w:t>
      </w:r>
      <w:r>
        <w:rPr>
          <w:rStyle w:val="FootnoteReference"/>
        </w:rPr>
        <w:footnoteReference w:id="41"/>
      </w:r>
      <w:r>
        <w:rPr>
          <w:rFonts w:ascii="IRNazanin" w:hAnsi="IRNazanin" w:eastAsia="IRNazanin" w:cs="IRNazanin"/>
          <w:lang w:bidi="fa-IR"/>
          <w:color w:val="111111"/>
          <w:sz w:val="28"/>
          <w:szCs w:val="28"/>
          <w:rtl/>
        </w:rPr>
        <w:t xml:space="preserve">-،و علی أیّ تقدیر فیدلّ علی نفی العقاب قبل البیان.</w:t>
      </w:r>
    </w:p>
    <w:p>
      <w:pPr>
        <w:pStyle w:val="BookText"/>
      </w:pPr>
      <w:r>
        <w:rPr>
          <w:rFonts w:ascii="IRNazanin" w:hAnsi="IRNazanin" w:eastAsia="IRNazanin" w:cs="IRNazanin"/>
          <w:lang w:bidi="fa-IR"/>
          <w:color w:val="111111"/>
          <w:sz w:val="28"/>
          <w:szCs w:val="28"/>
          <w:rtl/>
        </w:rPr>
        <w:t xml:space="preserve">و فیه:أنّ ظاهره الإخبار بوقوع التعذیب سابقا بعد البعث، فیختصّ بالعذاب الدنیویّ الواقع فی الأمم السابقة.</w:t>
      </w:r>
    </w:p>
    <w:p>
      <w:pPr>
        <w:pStyle w:val="BookText"/>
      </w:pPr>
      <w:r>
        <w:rPr>
          <w:rFonts w:ascii="IRNazanin" w:hAnsi="IRNazanin" w:eastAsia="IRNazanin" w:cs="IRNazanin"/>
          <w:lang w:bidi="fa-IR"/>
          <w:color w:val="111111"/>
          <w:sz w:val="28"/>
          <w:szCs w:val="28"/>
          <w:rtl/>
        </w:rPr>
        <w:t xml:space="preserve">ثمّ إنّه ربما یورد التناقض </w:t>
      </w:r>
      <w:r>
        <w:rPr>
          <w:rStyle w:val="FootnoteReference"/>
        </w:rPr>
        <w:footnoteReference w:id="42"/>
      </w:r>
      <w:r>
        <w:rPr>
          <w:rFonts w:ascii="IRNazanin" w:hAnsi="IRNazanin" w:eastAsia="IRNazanin" w:cs="IRNazanin"/>
          <w:lang w:bidi="fa-IR"/>
          <w:color w:val="111111"/>
          <w:sz w:val="28"/>
          <w:szCs w:val="28"/>
          <w:rtl/>
        </w:rPr>
        <w:t xml:space="preserve">علی من جمع بین التمسّک بالآیة فی المقام و بین ردّ من استدلّ بها لعدم الملازمة بین حکم العقل و حکم الشرع:بأنّ نفی فعلیّة التعذیب أعمّ من نفی الاستحقاق؛</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فإنّ الإخبار بنفی التعذیب إن دلّ علی عدم التکلیف شرعا فلا وجه للثانی،و إن لم یدلّ فلا وجه للأوّل.</w:t>
      </w:r>
    </w:p>
    <w:p>
      <w:pPr>
        <w:pStyle w:val="BookText"/>
      </w:pPr>
      <w:r>
        <w:rPr>
          <w:rFonts w:ascii="IRNazanin" w:hAnsi="IRNazanin" w:eastAsia="IRNazanin" w:cs="IRNazanin"/>
          <w:lang w:bidi="fa-IR"/>
          <w:color w:val="111111"/>
          <w:sz w:val="28"/>
          <w:szCs w:val="28"/>
          <w:rtl/>
        </w:rPr>
        <w:t xml:space="preserve">و یمکن دفعه:بأنّ عدم الفعلیّة یکفی فی هذا المقام؛لأنّ الخصم یدّعی أنّ فی ارتکاب الشبهة الوقوع فی العقاب و الهلاک فعلا من حیث</w:t>
      </w:r>
    </w:p>
    <w:p>
      <w:pPr>
        <w:pStyle w:val="BookText"/>
      </w:pPr>
      <w:r>
        <w:rPr>
          <w:rFonts w:ascii="IRNazanin" w:hAnsi="IRNazanin" w:eastAsia="IRNazanin" w:cs="IRNazanin"/>
          <w:lang w:bidi="fa-IR"/>
          <w:color w:val="111111"/>
          <w:sz w:val="28"/>
          <w:szCs w:val="28"/>
          <w:rtl/>
        </w:rPr>
        <w:t xml:space="preserve">[شماره صفحه واقعی : 23]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4" w:name="pg14411_142413"/>
    <w:bookmarkEnd w:id="14"/>
    <w:p>
      <w:pPr>
        <w:pStyle w:val="BookText"/>
      </w:pPr>
      <w:r>
        <w:rPr>
          <w:rFonts w:ascii="IRNazanin" w:hAnsi="IRNazanin" w:eastAsia="IRNazanin" w:cs="IRNazanin"/>
          <w:lang w:bidi="fa-IR"/>
          <w:color w:val="111111"/>
          <w:sz w:val="28"/>
          <w:szCs w:val="28"/>
          <w:rtl/>
        </w:rPr>
        <w:t xml:space="preserve">لا یعلم-کما هو مقتضی روایة التثلیث </w:t>
      </w:r>
      <w:r>
        <w:rPr>
          <w:rStyle w:val="FootnoteReference"/>
        </w:rPr>
        <w:footnoteReference w:id="43"/>
      </w:r>
      <w:r>
        <w:rPr>
          <w:rFonts w:ascii="IRNazanin" w:hAnsi="IRNazanin" w:eastAsia="IRNazanin" w:cs="IRNazanin"/>
          <w:lang w:bidi="fa-IR"/>
          <w:color w:val="111111"/>
          <w:sz w:val="28"/>
          <w:szCs w:val="28"/>
          <w:rtl/>
        </w:rPr>
        <w:t xml:space="preserve">و نحوها </w:t>
      </w:r>
      <w:r>
        <w:rPr>
          <w:rStyle w:val="FootnoteReference"/>
        </w:rPr>
        <w:footnoteReference w:id="44"/>
      </w:r>
      <w:r>
        <w:rPr>
          <w:rFonts w:ascii="IRNazanin" w:hAnsi="IRNazanin" w:eastAsia="IRNazanin" w:cs="IRNazanin"/>
          <w:lang w:bidi="fa-IR"/>
          <w:color w:val="111111"/>
          <w:sz w:val="28"/>
          <w:szCs w:val="28"/>
          <w:rtl/>
        </w:rPr>
        <w:t xml:space="preserve">التی هی عمدة أدلّتهم-،و یعترف بعدم المقتضی للاستحقاق علی تقدیر عدم الفعلیّة، فیکفی فی عدم الاستحقاق نفی الفعلیّة،بخلاف مقام التکلّم فی الملازمة؛ فإنّ المقصود فیه إثبات الحکم الشرعیّ فی مورد حکم العقل،و عدم ترتب العقاب علی مخالفته لا ینافی ثبوته،کما فی الظهار حیث قیل:إنّه محرّم معفوّ عنه </w:t>
      </w:r>
      <w:r>
        <w:rPr>
          <w:rStyle w:val="FootnoteReference"/>
        </w:rPr>
        <w:footnoteReference w:id="45"/>
      </w:r>
      <w:r>
        <w:rPr>
          <w:rFonts w:ascii="IRNazanin" w:hAnsi="IRNazanin" w:eastAsia="IRNazanin" w:cs="IRNazanin"/>
          <w:lang w:bidi="fa-IR"/>
          <w:color w:val="111111"/>
          <w:sz w:val="28"/>
          <w:szCs w:val="28"/>
          <w:rtl/>
        </w:rPr>
        <w:t xml:space="preserve">،و کما فی العزم علی المعصیة علی احتمال.</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نعم،لو فرض هناک-أیضا-إجماع علی أنّه لو انتفت الفعلیّة انتفی الاستحقاق-کما یظهر من بعض ما فرّعوا علی تلک المسألة-لجاز التمسّک بها هناک.</w:t>
      </w:r>
    </w:p>
    <w:p>
      <w:pPr>
        <w:pStyle w:val="BookText"/>
      </w:pPr>
      <w:r>
        <w:rPr>
          <w:rFonts w:ascii="IRNazanin" w:hAnsi="IRNazanin" w:eastAsia="IRNazanin" w:cs="IRNazanin"/>
          <w:lang w:bidi="fa-IR"/>
          <w:color w:val="111111"/>
          <w:sz w:val="28"/>
          <w:szCs w:val="28"/>
          <w:rtl/>
        </w:rPr>
        <w:t xml:space="preserve">و الإنصاف:أنّ الآیة لا دلالة لها علی المطلب فی المقامین.</w:t>
      </w:r>
    </w:p>
    <w:p>
      <w:pPr>
        <w:pStyle w:val="Heading6"/>
      </w:pPr>
      <w:bookmarkStart w:id="1000" w:name="_Toc35"/>
      <w:r>
        <w:t>و منها:قوله تعالی: وَ مٰا کٰانَ اللّٰهُ لِیُضِلَّ قَوْماً بَعْدَ إِذْ هَدٰاهُمْ حَتّٰی یُبَیِّنَ لَهُمْ مٰا یَتَّقُونَ</w:t>
      </w:r>
      <w:bookmarkEnd w:id="1000"/>
    </w:p>
    <w:p>
      <w:pPr>
        <w:pStyle w:val="BookText"/>
      </w:pPr>
      <w:r>
        <w:rPr>
          <w:rFonts w:ascii="Amiri" w:hAnsi="Amiri" w:eastAsia="Amiri" w:cs="Amiri"/>
          <w:lang w:bidi="ar-SA"/>
          <w:color w:val="111111"/>
          <w:sz w:val="28"/>
          <w:szCs w:val="28"/>
          <w:rtl/>
        </w:rPr>
        <w:t xml:space="preserve">و منها:قوله تعالی: وَ مٰا کٰانَ اللّٰهُ لِیُضِلَّ قَوْماً بَعْدَ إِذْ هَدٰاهُمْ حَتّٰی یُبَیِّنَ لَهُمْ مٰا یَتَّقُونَ </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،أی:ما یجتنبونه من الأفعال و التروک.و ظاهرها:</w:t>
      </w:r>
    </w:p>
    <w:p>
      <w:pPr>
        <w:pStyle w:val="BookText"/>
      </w:pPr>
      <w:r>
        <w:rPr>
          <w:rFonts w:ascii="IRNazanin" w:hAnsi="IRNazanin" w:eastAsia="IRNazanin" w:cs="IRNazanin"/>
          <w:lang w:bidi="fa-IR"/>
          <w:color w:val="111111"/>
          <w:sz w:val="28"/>
          <w:szCs w:val="28"/>
          <w:rtl/>
        </w:rPr>
        <w:t xml:space="preserve">أنّه تعالی لا یخذلهم بعد هدایتهم إلی الإسلام إلاّ بعد ما یبیّن لهم.</w:t>
      </w:r>
    </w:p>
    <w:p>
      <w:pPr>
        <w:pStyle w:val="BookText"/>
      </w:pPr>
      <w:r>
        <w:rPr>
          <w:rFonts w:ascii="IRNazanin" w:hAnsi="IRNazanin" w:eastAsia="IRNazanin" w:cs="IRNazanin"/>
          <w:lang w:bidi="fa-IR"/>
          <w:color w:val="111111"/>
          <w:sz w:val="28"/>
          <w:szCs w:val="28"/>
          <w:rtl/>
        </w:rPr>
        <w:t xml:space="preserve">و عن الکافی </w:t>
      </w:r>
      <w:r>
        <w:rPr>
          <w:rStyle w:val="FootnoteReference"/>
        </w:rPr>
        <w:footnoteReference w:id="47"/>
      </w:r>
      <w:r>
        <w:rPr>
          <w:rFonts w:ascii="IRNazanin" w:hAnsi="IRNazanin" w:eastAsia="IRNazanin" w:cs="IRNazanin"/>
          <w:lang w:bidi="fa-IR"/>
          <w:color w:val="111111"/>
          <w:sz w:val="28"/>
          <w:szCs w:val="28"/>
          <w:rtl/>
        </w:rPr>
        <w:t xml:space="preserve">و تفسیر العیاشی </w:t>
      </w:r>
      <w:r>
        <w:rPr>
          <w:rStyle w:val="FootnoteReference"/>
        </w:rPr>
        <w:footnoteReference w:id="48"/>
      </w:r>
      <w:r>
        <w:rPr>
          <w:rFonts w:ascii="IRNazanin" w:hAnsi="IRNazanin" w:eastAsia="IRNazanin" w:cs="IRNazanin"/>
          <w:lang w:bidi="fa-IR"/>
          <w:color w:val="111111"/>
          <w:sz w:val="28"/>
          <w:szCs w:val="28"/>
          <w:rtl/>
        </w:rPr>
        <w:t xml:space="preserve">و کتاب التوحید </w:t>
      </w:r>
      <w:r>
        <w:rPr>
          <w:rStyle w:val="FootnoteReference"/>
        </w:rPr>
        <w:footnoteReference w:id="49"/>
      </w:r>
      <w:r>
        <w:rPr>
          <w:rFonts w:ascii="Amiri" w:hAnsi="Amiri" w:eastAsia="Amiri" w:cs="Amiri"/>
          <w:lang w:bidi="ar-SA"/>
          <w:color w:val="111111"/>
          <w:sz w:val="28"/>
          <w:szCs w:val="28"/>
          <w:rtl/>
        </w:rPr>
        <w:t xml:space="preserve">:«حتّی</w:t>
      </w:r>
    </w:p>
    <w:p>
      <w:pPr>
        <w:pStyle w:val="BookText"/>
      </w:pPr>
      <w:r>
        <w:rPr>
          <w:rFonts w:ascii="IRNazanin" w:hAnsi="IRNazanin" w:eastAsia="IRNazanin" w:cs="IRNazanin"/>
          <w:lang w:bidi="fa-IR"/>
          <w:color w:val="111111"/>
          <w:sz w:val="28"/>
          <w:szCs w:val="28"/>
          <w:rtl/>
        </w:rPr>
        <w:t xml:space="preserve">[شماره صفحه واقعی : 24]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5" w:name="pg14411_142414"/>
    <w:bookmarkEnd w:id="15"/>
    <w:p>
      <w:pPr>
        <w:pStyle w:val="BookText"/>
      </w:pPr>
      <w:r>
        <w:rPr>
          <w:rFonts w:ascii="IRNazanin" w:hAnsi="IRNazanin" w:eastAsia="IRNazanin" w:cs="IRNazanin"/>
          <w:lang w:bidi="fa-IR"/>
          <w:color w:val="111111"/>
          <w:sz w:val="28"/>
          <w:szCs w:val="28"/>
          <w:rtl/>
        </w:rPr>
        <w:t xml:space="preserve">یعرّفهم ما یرضیه و ما یسخطه».</w:t>
      </w:r>
    </w:p>
    <w:p>
      <w:pPr>
        <w:pStyle w:val="BookText"/>
      </w:pPr>
      <w:r>
        <w:rPr>
          <w:rFonts w:ascii="IRNazanin" w:hAnsi="IRNazanin" w:eastAsia="IRNazanin" w:cs="IRNazanin"/>
          <w:lang w:bidi="fa-IR"/>
          <w:color w:val="111111"/>
          <w:sz w:val="28"/>
          <w:szCs w:val="28"/>
          <w:rtl/>
        </w:rPr>
        <w:t xml:space="preserve">و فیه:ما تقدّم فی الآیة السابقة </w:t>
      </w:r>
      <w:r>
        <w:rPr>
          <w:rStyle w:val="FootnoteReference"/>
        </w:rPr>
        <w:footnoteReference w:id="50"/>
      </w:r>
      <w:r>
        <w:rPr>
          <w:rFonts w:ascii="IRNazanin" w:hAnsi="IRNazanin" w:eastAsia="IRNazanin" w:cs="IRNazanin"/>
          <w:lang w:bidi="fa-IR"/>
          <w:color w:val="111111"/>
          <w:sz w:val="28"/>
          <w:szCs w:val="28"/>
          <w:rtl/>
        </w:rPr>
        <w:t xml:space="preserve">.مع أنّ دلالتها أضعف؛من حیث إنّ توقّف الخذلان علی البیان غیر ظاهر الاستلزام للمطلب،اللهمّ إلاّ بالفحوی.</w:t>
      </w:r>
    </w:p>
    <w:p>
      <w:pPr>
        <w:pStyle w:val="BookText"/>
      </w:pPr>
      <w:r>
        <w:rPr>
          <w:rFonts w:ascii="Amiri" w:hAnsi="Amiri" w:eastAsia="Amiri" w:cs="Amiri"/>
          <w:lang w:bidi="ar-SA"/>
          <w:color w:val="111111"/>
          <w:sz w:val="28"/>
          <w:szCs w:val="28"/>
          <w:rtl/>
        </w:rPr>
        <w:t xml:space="preserve">و منها:قوله تعالی: لِیَهْلِکَ مَنْ هَلَکَ عَنْ بَیِّنَةٍ وَ یَحْییٰ مَنْ حَیَّ عَنْ بَیِّنَةٍ </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دلالتها تأمّل ظاهر.</w:t>
      </w:r>
    </w:p>
    <w:p>
      <w:pPr>
        <w:pStyle w:val="BookText"/>
      </w:pPr>
      <w:r>
        <w:rPr>
          <w:rFonts w:ascii="IRNazanin" w:hAnsi="IRNazanin" w:eastAsia="IRNazanin" w:cs="IRNazanin"/>
          <w:lang w:bidi="fa-IR"/>
          <w:color w:val="111111"/>
          <w:sz w:val="28"/>
          <w:szCs w:val="28"/>
          <w:rtl/>
        </w:rPr>
        <w:t xml:space="preserve">و یرد علی الکلّ:أنّ غایة مدلولها عدم المؤاخذة علی مخالفة النهی المجهول عند المکلّف لو فرض وجوده واقعا،فلا ینافی ورود الدلیل العامّ علی وجوب اجتناب ما یحتمل التحریم،و معلوم أنّ القائل بالاحتیاط و وجوب الاجتناب لا یقول به إلاّ عن دلیل علمیّ،و هذه الآیات بعد تسلیم دلالتها غیر معارضة لذلک الدلیل،بل هی من قبیل الأصل بالنسبة إلیه،کما لا یخفی.</w:t>
      </w:r>
    </w:p>
    <w:p>
      <w:pPr>
        <w:pStyle w:val="Heading6"/>
      </w:pPr>
      <w:bookmarkStart w:id="1001" w:name="_Toc36"/>
      <w:r>
        <w:t>و منها:قوله تعالی مخاطبا لنبیّه صلّی اللّه علیه و آله و سلّم،ملقّنا إیّاه طریق الردّ علی الیهود حیث حرّموا بعض ما رزقهم اللّه افتراء علیه: قُلْ لاٰ أَجِدُ فِی مٰا أُوحِیَ إِلَیَّ مُحَرَّماً عَلیٰ طٰاعِمٍ یَطْعَمُهُ إِلاّٰ أَنْ یَکُونَ مَیْتَةً أَوْ دَماً مَسْفُوحاً</w:t>
      </w:r>
      <w:bookmarkEnd w:id="1001"/>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Amiri" w:hAnsi="Amiri" w:eastAsia="Amiri" w:cs="Amiri"/>
          <w:lang w:bidi="ar-SA"/>
          <w:color w:val="111111"/>
          <w:sz w:val="28"/>
          <w:szCs w:val="28"/>
          <w:rtl/>
        </w:rPr>
        <w:t xml:space="preserve">و منها:قوله تعالی مخاطبا لنبیّه صلّی اللّه علیه و آله و سلّم،ملقّنا إیّاه طریق الردّ علی الیهود حیث حرّموا بعض ما رزقهم اللّه افتراء علیه: قُلْ لاٰ أَجِدُ فِی مٰا أُوحِیَ إِلَیَّ مُحَرَّماً عَلیٰ طٰاعِمٍ یَطْعَمُهُ إِلاّٰ أَنْ یَکُونَ مَیْتَةً أَوْ دَماً مَسْفُوحاً </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فأبطل تشریعهم بعدم وجدان ما حرّموه فی جملة المحرّمات التی أوحی اللّه إلیه،و عدم وجدانه صلّی اللّه علیه و آله ذلک فیما اوحی إلیه و إن کان دلیلا</w:t>
      </w:r>
    </w:p>
    <w:p>
      <w:pPr>
        <w:pStyle w:val="BookText"/>
      </w:pPr>
      <w:r>
        <w:rPr>
          <w:rFonts w:ascii="IRNazanin" w:hAnsi="IRNazanin" w:eastAsia="IRNazanin" w:cs="IRNazanin"/>
          <w:lang w:bidi="fa-IR"/>
          <w:color w:val="111111"/>
          <w:sz w:val="28"/>
          <w:szCs w:val="28"/>
          <w:rtl/>
        </w:rPr>
        <w:t xml:space="preserve">[شماره صفحه واقعی : 25]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6" w:name="pg14411_142415"/>
    <w:bookmarkEnd w:id="16"/>
    <w:p>
      <w:pPr>
        <w:pStyle w:val="BookText"/>
      </w:pPr>
      <w:r>
        <w:rPr>
          <w:rFonts w:ascii="IRNazanin" w:hAnsi="IRNazanin" w:eastAsia="IRNazanin" w:cs="IRNazanin"/>
          <w:lang w:bidi="fa-IR"/>
          <w:color w:val="111111"/>
          <w:sz w:val="28"/>
          <w:szCs w:val="28"/>
          <w:rtl/>
        </w:rPr>
        <w:t xml:space="preserve">قطعیّا علی عدم الوجود،إلاّ أنّ فی التعبیر بعدم الوجدان دلالة علی کفایة عدم الوجدان فی إبطال الحکم بالحرمة.</w:t>
      </w:r>
    </w:p>
    <w:p>
      <w:pPr>
        <w:pStyle w:val="BookText"/>
      </w:pPr>
      <w:r>
        <w:rPr>
          <w:rFonts w:ascii="IRNazanin" w:hAnsi="IRNazanin" w:eastAsia="IRNazanin" w:cs="IRNazanin"/>
          <w:lang w:bidi="fa-IR"/>
          <w:color w:val="111111"/>
          <w:sz w:val="28"/>
          <w:szCs w:val="28"/>
          <w:rtl/>
        </w:rPr>
        <w:t xml:space="preserve">لکنّ الإنصاف:أنّ غایة الأمر أن یکون فی العدول عن التعبیر بعدم الوجود إلی عدم الوجدان إشارة إلی المطلب،و أمّا الدلالة فلا؛ و لذا قال فی الوافیة:و فی الآیة إشعار بأنّ إباحة الأشیاء مرکوزة فی العقل قبل الشرع </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 أنّه لو سلّم دلالتها،فغایة مدلولها کون عدم وجدان التحریم فیما صدر عن اللّه تعالی من الأحکام یوجب عدم التحریم،لا عدم وجدانه فیما بقی بأیدینا من أحکام اللّه تعالی بعد العلم باختفاء کثیر منها عنّا،و سیأتی توضیح ذلک عند الاستدلال بالإجماع العملیّ علی هذا المطلب </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Heading6"/>
      </w:pPr>
      <w:bookmarkStart w:id="1002" w:name="_Toc37"/>
      <w:r>
        <w:t>و منها:قوله تعالی: وَ مٰا لَکُمْ أَلاّٰ تَأْکُلُوا مِمّٰا ذُکِرَ اسْمُ اللّٰهِ عَلَیْهِ وَ قَدْ فَصَّلَ لَکُمْ مٰا حَرَّمَ عَلَیْکُمْ</w:t>
      </w:r>
      <w:bookmarkEnd w:id="1002"/>
    </w:p>
    <w:p>
      <w:pPr>
        <w:pStyle w:val="BookText"/>
      </w:pPr>
      <w:r>
        <w:rPr>
          <w:rStyle w:val="FootnoteReference"/>
        </w:rPr>
        <w:footnoteReference w:id="55"/>
      </w:r>
      <w:r>
        <w:rPr>
          <w:rFonts w:ascii="IRNazanin" w:hAnsi="IRNazanin" w:eastAsia="IRNazanin" w:cs="IRNazanin"/>
          <w:lang w:bidi="fa-IR"/>
          <w:color w:val="111111"/>
          <w:sz w:val="28"/>
          <w:szCs w:val="28"/>
          <w:rtl/>
        </w:rPr>
        <w:t xml:space="preserve">.
یعنی مع خلوّ ما فصّل عن ذکر هذا الذی یجتنبونه.</w:t>
      </w:r>
    </w:p>
    <w:p>
      <w:pPr>
        <w:pStyle w:val="BookText"/>
      </w:pPr>
      <w:r>
        <w:rPr>
          <w:rFonts w:ascii="IRNazanin" w:hAnsi="IRNazanin" w:eastAsia="IRNazanin" w:cs="IRNazanin"/>
          <w:lang w:bidi="fa-IR"/>
          <w:color w:val="111111"/>
          <w:sz w:val="28"/>
          <w:szCs w:val="28"/>
          <w:rtl/>
        </w:rPr>
        <w:t xml:space="preserve">و لعلّ هذه الآیة أظهر من سابقتها؛لأنّ السابقة دلّت علی أنّه لا یجوز الحکم بحرمة ما لم یوجد تحریمه فیما أوحی اللّه سبحانه إلی النبیّ صلّی اللّه علیه و آله و سلّم،و هذه تدل علی أنّه لا یجوز التزام ترک الفعل مع عدم وجوده فیما فصّل و إن لم یحکم بحرمته،فیبطل وجوب الاحتیاط أیضا.</w:t>
      </w:r>
    </w:p>
    <w:p>
      <w:pPr>
        <w:pStyle w:val="BookText"/>
      </w:pPr>
      <w:r>
        <w:rPr>
          <w:rFonts w:ascii="IRNazanin" w:hAnsi="IRNazanin" w:eastAsia="IRNazanin" w:cs="IRNazanin"/>
          <w:lang w:bidi="fa-IR"/>
          <w:color w:val="111111"/>
          <w:sz w:val="28"/>
          <w:szCs w:val="28"/>
          <w:rtl/>
        </w:rPr>
        <w:t xml:space="preserve">[شماره صفحه واقعی : 26]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7" w:name="pg14411_142416"/>
    <w:bookmarkEnd w:id="17"/>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إلاّ أنّ دلالتها موهونة من جهة اخری،و هی:أنّ ظاهر الموصول العموم،فالتوبیخ علی الالتزام بترک الشیء مع تفصیل جمیع المحرّمات الواقعیّة و عدم کون المتروک منها،و لا ریب أنّ اللازم من ذلک،العلم بعدم کون المتروک محرّما واقعیّا،فالتوبیخ فی محلّه.</w:t>
      </w:r>
    </w:p>
    <w:p>
      <w:pPr>
        <w:pStyle w:val="Heading6"/>
      </w:pPr>
      <w:bookmarkStart w:id="1003" w:name="_Toc38"/>
      <w:r>
        <w:t>[عدم نهوض الآیات المذکورة لإبطال وجوب الاحتیاط]</w:t>
      </w:r>
      <w:bookmarkEnd w:id="1003"/>
    </w:p>
    <w:p>
      <w:pPr>
        <w:pStyle w:val="BookText"/>
      </w:pPr>
      <w:r>
        <w:rPr>
          <w:rFonts w:ascii="IRNazanin" w:hAnsi="IRNazanin" w:eastAsia="IRNazanin" w:cs="IRNazanin"/>
          <w:lang w:bidi="fa-IR"/>
          <w:color w:val="111111"/>
          <w:sz w:val="28"/>
          <w:szCs w:val="28"/>
          <w:rtl/>
        </w:rPr>
        <w:t xml:space="preserve">و الإنصاف ما ذکرنا:من أنّ الآیات المذکورة لا تنهض علی إبطال القول بوجوب الاحتیاط؛لأنّ غایة مدلول الدالّ منها هو عدم التکلیف فیما لم یعلم خصوصا أو عموما بالعقل أو النقل،و هذا ممّا لا نزاع فیه لأحد،و إنّما أوجب الاحتیاط من أوجبه بزعم قیام الدلیل العقلی أو النقلی علی وجوبه،فاللازم علی منکره ردّ ذلک الدلیل أو معارضته بما یدلّ علی الرخصة و عدم وجوب الاحتیاط فی ما لا نصّ فیه، و أمّا الآیات المذکورة فهی-کبعض الأخبار الآتیة </w:t>
      </w:r>
      <w:r>
        <w:rPr>
          <w:rStyle w:val="FootnoteReference"/>
        </w:rPr>
        <w:footnoteReference w:id="56"/>
      </w:r>
      <w:r>
        <w:rPr>
          <w:rFonts w:ascii="IRNazanin" w:hAnsi="IRNazanin" w:eastAsia="IRNazanin" w:cs="IRNazanin"/>
          <w:lang w:bidi="fa-IR"/>
          <w:color w:val="111111"/>
          <w:sz w:val="28"/>
          <w:szCs w:val="28"/>
          <w:rtl/>
        </w:rPr>
        <w:t xml:space="preserve">-لا تنهض لذلک </w:t>
      </w:r>
      <w:r>
        <w:rPr>
          <w:rStyle w:val="FootnoteReference"/>
        </w:rPr>
        <w:footnoteReference w:id="57"/>
      </w:r>
      <w:r>
        <w:rPr>
          <w:rFonts w:ascii="IRNazanin" w:hAnsi="IRNazanin" w:eastAsia="IRNazanin" w:cs="IRNazanin"/>
          <w:lang w:bidi="fa-IR"/>
          <w:color w:val="111111"/>
          <w:sz w:val="28"/>
          <w:szCs w:val="28"/>
          <w:rtl/>
        </w:rPr>
        <w:t xml:space="preserve">ضرورة أنّه إذا فرض أنّه ورد بطریق معتبر فی نفسه أنّه یجب الاحتیاط فی کلّ ما یحتمل أن یکون قد حکم الشارع فیه بالحرمة،لم یکن یعارضه شیء من الآیات المذکورة.</w:t>
      </w:r>
    </w:p>
    <w:p>
      <w:pPr>
        <w:pStyle w:val="Heading6"/>
      </w:pPr>
      <w:bookmarkStart w:id="1004" w:name="_Toc39"/>
      <w:r>
        <w:t>[الاستدلال علی البراءة بالسنّة:]</w:t>
      </w:r>
      <w:bookmarkEnd w:id="1004"/>
    </w:p>
    <w:p>
      <w:pPr>
        <w:pStyle w:val="Heading6"/>
      </w:pPr>
      <w:bookmarkStart w:id="1005" w:name="_Toc40"/>
      <w:r>
        <w:t>اشارة</w:t>
      </w:r>
      <w:bookmarkEnd w:id="1005"/>
    </w:p>
    <w:p>
      <w:pPr>
        <w:pStyle w:val="BookText"/>
      </w:pPr>
      <w:r>
        <w:rPr>
          <w:rFonts w:ascii="Amiri" w:hAnsi="Amiri" w:eastAsia="Amiri" w:cs="Amiri"/>
          <w:lang w:bidi="ar-SA"/>
          <w:color w:val="111111"/>
          <w:sz w:val="28"/>
          <w:szCs w:val="28"/>
          <w:rtl/>
        </w:rPr>
        <w:t xml:space="preserve">و أمّا السنّة:</w:t>
      </w:r>
    </w:p>
    <w:p>
      <w:pPr>
        <w:pStyle w:val="BookText"/>
      </w:pPr>
      <w:r>
        <w:rPr>
          <w:rFonts w:ascii="IRNazanin" w:hAnsi="IRNazanin" w:eastAsia="IRNazanin" w:cs="IRNazanin"/>
          <w:lang w:bidi="fa-IR"/>
          <w:color w:val="111111"/>
          <w:sz w:val="28"/>
          <w:szCs w:val="28"/>
          <w:rtl/>
        </w:rPr>
        <w:t xml:space="preserve">فیذکر منها فی المقام أخبار کثیرة:</w:t>
      </w:r>
    </w:p>
    <w:p>
      <w:pPr>
        <w:pStyle w:val="Heading6"/>
      </w:pPr>
      <w:bookmarkStart w:id="1006" w:name="_Toc41"/>
      <w:r>
        <w:t>منها [الاستدلال بحدیث«الرفع»]</w:t>
      </w:r>
      <w:bookmarkEnd w:id="1006"/>
    </w:p>
    <w:p>
      <w:pPr>
        <w:pStyle w:val="Heading6"/>
      </w:pPr>
      <w:bookmarkStart w:id="1007" w:name="_Toc42"/>
      <w:r>
        <w:t>اشارة</w:t>
      </w:r>
      <w:bookmarkEnd w:id="1007"/>
    </w:p>
    <w:p>
      <w:pPr>
        <w:pStyle w:val="BookText"/>
      </w:pPr>
      <w:r>
        <w:rPr>
          <w:rFonts w:ascii="IRNazanin" w:hAnsi="IRNazanin" w:eastAsia="IRNazanin" w:cs="IRNazanin"/>
          <w:lang w:bidi="fa-IR"/>
          <w:color w:val="111111"/>
          <w:sz w:val="28"/>
          <w:szCs w:val="28"/>
          <w:rtl/>
        </w:rPr>
        <w:t xml:space="preserve">:المرویّ عن النبیّ صلّی اللّه علیه و آله و سلّم بسند صحیح فی الخصال </w:t>
      </w:r>
      <w:r>
        <w:rPr>
          <w:rStyle w:val="FootnoteReference"/>
        </w:rPr>
        <w:footnoteReference w:id="58"/>
      </w:r>
      <w:r>
        <w:rPr>
          <w:rFonts w:ascii="IRNazanin" w:hAnsi="IRNazanin" w:eastAsia="IRNazanin" w:cs="IRNazanin"/>
          <w:lang w:bidi="fa-IR"/>
          <w:color w:val="111111"/>
          <w:sz w:val="28"/>
          <w:szCs w:val="28"/>
          <w:rtl/>
        </w:rPr>
        <w:t xml:space="preserve">،کما عن</w:t>
      </w:r>
    </w:p>
    <w:p>
      <w:pPr>
        <w:pStyle w:val="BookText"/>
      </w:pPr>
      <w:r>
        <w:rPr>
          <w:rFonts w:ascii="IRNazanin" w:hAnsi="IRNazanin" w:eastAsia="IRNazanin" w:cs="IRNazanin"/>
          <w:lang w:bidi="fa-IR"/>
          <w:color w:val="111111"/>
          <w:sz w:val="28"/>
          <w:szCs w:val="28"/>
          <w:rtl/>
        </w:rPr>
        <w:t xml:space="preserve">[شماره صفحه واقعی : 27]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8" w:name="pg14411_142417"/>
    <w:bookmarkEnd w:id="18"/>
    <w:p>
      <w:pPr>
        <w:pStyle w:val="BookText"/>
      </w:pPr>
      <w:r>
        <w:rPr>
          <w:rFonts w:ascii="IRNazanin" w:hAnsi="IRNazanin" w:eastAsia="IRNazanin" w:cs="IRNazanin"/>
          <w:lang w:bidi="fa-IR"/>
          <w:color w:val="111111"/>
          <w:sz w:val="28"/>
          <w:szCs w:val="28"/>
          <w:rtl/>
        </w:rPr>
        <w:t xml:space="preserve">التوحید </w:t>
      </w:r>
      <w:r>
        <w:rPr>
          <w:rStyle w:val="FootnoteReference"/>
        </w:rPr>
        <w:footnoteReference w:id="59"/>
      </w:r>
      <w:r>
        <w:rPr>
          <w:rFonts w:ascii="IRNazanin" w:hAnsi="IRNazanin" w:eastAsia="IRNazanin" w:cs="IRNazanin"/>
          <w:lang w:bidi="fa-IR"/>
          <w:color w:val="111111"/>
          <w:sz w:val="28"/>
          <w:szCs w:val="28"/>
          <w:rtl/>
        </w:rPr>
        <w:t xml:space="preserve">:«رفع عن امّتی تسعة </w:t>
      </w:r>
      <w:r>
        <w:rPr>
          <w:rStyle w:val="FootnoteReference"/>
        </w:rPr>
        <w:footnoteReference w:id="60"/>
      </w:r>
      <w:r>
        <w:rPr>
          <w:rFonts w:ascii="IRNazanin" w:hAnsi="IRNazanin" w:eastAsia="IRNazanin" w:cs="IRNazanin"/>
          <w:lang w:bidi="fa-IR"/>
          <w:color w:val="111111"/>
          <w:sz w:val="28"/>
          <w:szCs w:val="28"/>
          <w:rtl/>
        </w:rPr>
        <w:t xml:space="preserve">:الخطأ،و النسیان،و ما استکرهوا علیه،و ما لا یعلمون،و ما لا یطیقون،و ما اضطرّوا إلیه...الخبر» </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حرمة شرب التتن-مثلا-ممّا لا یعلمون،فهی مرفوعة عنهم،</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 معنی رفعها-کرفع الخطأ و النسیان-رفع آثارها أو خصوص المؤاخذة،فهو نظیر قوله </w:t>
      </w:r>
      <w:r>
        <w:rPr>
          <w:rStyle w:val="FootnoteReference"/>
        </w:rPr>
        <w:footnoteReference w:id="62"/>
      </w:r>
      <w:r>
        <w:rPr>
          <w:rFonts w:ascii="IRNazanin" w:hAnsi="IRNazanin" w:eastAsia="IRNazanin" w:cs="IRNazanin"/>
          <w:lang w:bidi="fa-IR"/>
          <w:color w:val="111111"/>
          <w:sz w:val="28"/>
          <w:szCs w:val="28"/>
          <w:rtl/>
        </w:rPr>
        <w:t xml:space="preserve">علیه السّلام:«ما حجب اللّه علمه عن العباد فهو موضوع عنهم» </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Heading6"/>
      </w:pPr>
      <w:bookmarkStart w:id="1008" w:name="_Toc43"/>
      <w:r>
        <w:t>[المناقشة فی الاستدلال]</w:t>
      </w:r>
      <w:bookmarkEnd w:id="1008"/>
    </w:p>
    <w:p>
      <w:pPr>
        <w:pStyle w:val="BookText"/>
      </w:pPr>
      <w:r>
        <w:rPr>
          <w:rFonts w:ascii="IRNazanin" w:hAnsi="IRNazanin" w:eastAsia="IRNazanin" w:cs="IRNazanin"/>
          <w:lang w:bidi="fa-IR"/>
          <w:color w:val="111111"/>
          <w:sz w:val="28"/>
          <w:szCs w:val="28"/>
          <w:rtl/>
        </w:rPr>
        <w:t xml:space="preserve">و یمکن أن یورد علیه:بأنّ الظاهر من الموصول فی«ما لا یعلمون» -بقرینة أخواتها-هو الموضوع،أعنی فعل المکلّف الغیر المعلوم،کالفعل الذی لا یعلم أنّه شرب الخمر أو شرب الخلّ و غیر ذلک من الشبهات الموضوعیّة،فلا یشمل الحکم الغیر المعلوم.</w:t>
      </w:r>
    </w:p>
    <w:p>
      <w:pPr>
        <w:pStyle w:val="BookText"/>
      </w:pPr>
      <w:r>
        <w:rPr>
          <w:rFonts w:ascii="IRNazanin" w:hAnsi="IRNazanin" w:eastAsia="IRNazanin" w:cs="IRNazanin"/>
          <w:lang w:bidi="fa-IR"/>
          <w:color w:val="111111"/>
          <w:sz w:val="28"/>
          <w:szCs w:val="28"/>
          <w:rtl/>
        </w:rPr>
        <w:t xml:space="preserve">مع أنّ تقدیر المؤاخذة فی الروایة لا یلائم عموم الموصول للموضوع و الحکم؛لأنّ المقدّر المؤاخذة علی نفس هذه المذکورات، و لا معنی للمؤاخذة علی نفس الحرمة المجهولة.</w:t>
      </w:r>
    </w:p>
    <w:p>
      <w:pPr>
        <w:pStyle w:val="BookText"/>
      </w:pPr>
      <w:r>
        <w:rPr>
          <w:rFonts w:ascii="IRNazanin" w:hAnsi="IRNazanin" w:eastAsia="IRNazanin" w:cs="IRNazanin"/>
          <w:lang w:bidi="fa-IR"/>
          <w:color w:val="111111"/>
          <w:sz w:val="28"/>
          <w:szCs w:val="28"/>
          <w:rtl/>
        </w:rPr>
        <w:t xml:space="preserve">نعم،هی من آثارها،فلو جعل المقدّر فی کلّ من هذه التسعة ما هو المناسب من أثره،أمکن أن یقال:إنّ أثر حرمة شرب التتن -مثلا-المؤاخذة علی فعله،فهی مرفوعة.</w:t>
      </w:r>
    </w:p>
    <w:p>
      <w:pPr>
        <w:pStyle w:val="BookText"/>
      </w:pPr>
      <w:r>
        <w:rPr>
          <w:rFonts w:ascii="IRNazanin" w:hAnsi="IRNazanin" w:eastAsia="IRNazanin" w:cs="IRNazanin"/>
          <w:lang w:bidi="fa-IR"/>
          <w:color w:val="111111"/>
          <w:sz w:val="28"/>
          <w:szCs w:val="28"/>
          <w:rtl/>
        </w:rPr>
        <w:t xml:space="preserve">[شماره صفحه واقعی : 28]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لکنّ الظاهر-بناء علی تقدیر المؤاخذة-نسبة المؤاخذة إلی نفس المذکورات.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 الحاصل:أنّ المقدّر فی الروایة-باعتبار دلالة الاقتضاء-یحتمل أن یکون جمیع الآثار فی کلّ واحد من التسعة،و هو الأقرب اعتبارا إلی المعنی الحقیقیّ.</w:t>
      </w:r>
    </w:p>
    <w:p>
      <w:pPr>
        <w:pStyle w:val="BookText"/>
      </w:pPr>
      <w:r>
        <w:rPr>
          <w:rFonts w:ascii="IRNazanin" w:hAnsi="IRNazanin" w:eastAsia="IRNazanin" w:cs="IRNazanin"/>
          <w:lang w:bidi="fa-IR"/>
          <w:color w:val="111111"/>
          <w:sz w:val="28"/>
          <w:szCs w:val="28"/>
          <w:rtl/>
        </w:rPr>
        <w:t xml:space="preserve">و أن یکون فی کلّ منها ما هو الأثر الظاهر فیه.</w:t>
      </w:r>
    </w:p>
    <w:p>
      <w:pPr>
        <w:pStyle w:val="BookText"/>
      </w:pPr>
      <w:r>
        <w:rPr>
          <w:rFonts w:ascii="IRNazanin" w:hAnsi="IRNazanin" w:eastAsia="IRNazanin" w:cs="IRNazanin"/>
          <w:lang w:bidi="fa-IR"/>
          <w:color w:val="111111"/>
          <w:sz w:val="28"/>
          <w:szCs w:val="28"/>
          <w:rtl/>
        </w:rPr>
        <w:t xml:space="preserve">و </w:t>
      </w:r>
      <w:r>
        <w:rPr>
          <w:rStyle w:val="FootnoteReference"/>
        </w:rPr>
        <w:footnoteReference w:id="64"/>
      </w:r>
      <w:r>
        <w:rPr>
          <w:rFonts w:ascii="IRNazanin" w:hAnsi="IRNazanin" w:eastAsia="IRNazanin" w:cs="IRNazanin"/>
          <w:lang w:bidi="fa-IR"/>
          <w:color w:val="111111"/>
          <w:sz w:val="28"/>
          <w:szCs w:val="28"/>
          <w:rtl/>
        </w:rPr>
        <w:t xml:space="preserve">أن یقدّر المؤاخذة فی الکلّ،و هذا أقرب عرفا من الأوّل و أظهر من الثانی أیضا؛لأنّ الظاهر أنّ نسبة الرفع إلی مجموع التسعة علی نسق واحد،فإذا ارید من«الخطأ»و«النسیان»و«ما اکرهوا علیه»و«ما اضطرّوا»المؤاخذة علی أنفسها،کان الظاهر فی«ما لا یعلمون»ذلک أیضا.</w:t>
      </w:r>
    </w:p>
    <w:p>
      <w:pPr>
        <w:pStyle w:val="BookText"/>
      </w:pPr>
      <w:r>
        <w:rPr>
          <w:rFonts w:ascii="IRNazanin" w:hAnsi="IRNazanin" w:eastAsia="IRNazanin" w:cs="IRNazanin"/>
          <w:lang w:bidi="fa-IR"/>
          <w:color w:val="111111"/>
          <w:sz w:val="28"/>
          <w:szCs w:val="28"/>
          <w:rtl/>
        </w:rPr>
        <w:t xml:space="preserve">نعم،یظهر من بعض الأخبار الصحیحة:عدم اختصاص الموضوع </w:t>
      </w:r>
      <w:r>
        <w:rPr>
          <w:rStyle w:val="FootnoteReference"/>
        </w:rPr>
        <w:footnoteReference w:id="65"/>
      </w:r>
      <w:r>
        <w:rPr>
          <w:rFonts w:ascii="IRNazanin" w:hAnsi="IRNazanin" w:eastAsia="IRNazanin" w:cs="IRNazanin"/>
          <w:lang w:bidi="fa-IR"/>
          <w:color w:val="111111"/>
          <w:sz w:val="28"/>
          <w:szCs w:val="28"/>
          <w:rtl/>
        </w:rPr>
        <w:t xml:space="preserve">عن الامّة بخصوص المؤاخذة،فعن المحاسن،عن أبیه،عن صفوان بن یحیی و البزنطیّ جمیعا،عن أبی الحسن علیه السّلام:</w:t>
      </w:r>
    </w:p>
    <w:p>
      <w:pPr>
        <w:pStyle w:val="BookText"/>
      </w:pPr>
      <w:r>
        <w:rPr>
          <w:rFonts w:ascii="IRNazanin" w:hAnsi="IRNazanin" w:eastAsia="IRNazanin" w:cs="IRNazanin"/>
          <w:lang w:bidi="fa-IR"/>
          <w:color w:val="111111"/>
          <w:sz w:val="28"/>
          <w:szCs w:val="28"/>
          <w:rtl/>
        </w:rPr>
        <w:t xml:space="preserve">«فی الرجل یستکره </w:t>
      </w:r>
      <w:r>
        <w:rPr>
          <w:rStyle w:val="FootnoteReference"/>
        </w:rPr>
        <w:footnoteReference w:id="66"/>
      </w:r>
      <w:r>
        <w:rPr>
          <w:rFonts w:ascii="IRNazanin" w:hAnsi="IRNazanin" w:eastAsia="IRNazanin" w:cs="IRNazanin"/>
          <w:lang w:bidi="fa-IR"/>
          <w:color w:val="111111"/>
          <w:sz w:val="28"/>
          <w:szCs w:val="28"/>
          <w:rtl/>
        </w:rPr>
        <w:t xml:space="preserve">علی الیمین فحلف بالطلاق و العتاق و صدقة ما یملک،أ یلزمه ذلک؟فقال علیه السّلام:لا؛قال رسول اللّه صلّی اللّه علیه و آله و سلّم:وضع عن امّتی ما اکرهوا علیه،و ما لم یطیقوا،و ما أخطئوا...الخبر </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29]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الحلف بالطلاق و العتاق و الصدقة و إن کان باطلا عندنا مع الاختیار أیضا،إلاّ أنّ استشهاد الإمام علیه السّلام علی عدم لزومها مع الإکراه علی الحلف بها بحدیث الرفع،شاهد علی عدم اختصاصه برفع خصوص المؤاخذة.</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لکنّ النبویّ المحکیّ فی کلام الإمام علیه السّلام مختصّ بثلاثة من التسعة فلعلّ نفی جمیع الآثار مختصّ بها،فتأمّل.</w:t>
      </w:r>
    </w:p>
    <w:p>
      <w:pPr>
        <w:pStyle w:val="BookText"/>
      </w:pPr>
      <w:r>
        <w:rPr>
          <w:rFonts w:ascii="IRNazanin" w:hAnsi="IRNazanin" w:eastAsia="IRNazanin" w:cs="IRNazanin"/>
          <w:lang w:bidi="fa-IR"/>
          <w:color w:val="111111"/>
          <w:sz w:val="28"/>
          <w:szCs w:val="28"/>
          <w:rtl/>
        </w:rPr>
        <w:t xml:space="preserve">و ممّا یؤیّد إرادة العموم:ظهور کون رفع کلّ واحد من التسعة من خواصّ أمّة النبیّ صلّی اللّه علیه و آله؛إذ لو اختصّ الرفع بالمؤاخذة أشکل الأمر فی کثیر من تلک الامور؛من حیث إنّ العقل مستقلّ بقبح المؤاخذة علیها،فلا اختصاص له بامّة النبی صلّی اللّه علیه و آله علی ما یظهر من الروایة.</w:t>
      </w:r>
    </w:p>
    <w:p>
      <w:pPr>
        <w:pStyle w:val="BookText"/>
      </w:pPr>
      <w:r>
        <w:rPr>
          <w:rFonts w:ascii="IRNazanin" w:hAnsi="IRNazanin" w:eastAsia="IRNazanin" w:cs="IRNazanin"/>
          <w:lang w:bidi="fa-IR"/>
          <w:color w:val="111111"/>
          <w:sz w:val="28"/>
          <w:szCs w:val="28"/>
          <w:rtl/>
        </w:rPr>
        <w:t xml:space="preserve">و القول بأنّ الاختصاص باعتبار رفع المجموع و إن لم یکن رفع کلّ واحد من الخواصّ،شطط من الکلام.</w:t>
      </w:r>
    </w:p>
    <w:p>
      <w:pPr>
        <w:pStyle w:val="BookText"/>
      </w:pPr>
      <w:r>
        <w:rPr>
          <w:rFonts w:ascii="IRNazanin" w:hAnsi="IRNazanin" w:eastAsia="IRNazanin" w:cs="IRNazanin"/>
          <w:lang w:bidi="fa-IR"/>
          <w:color w:val="111111"/>
          <w:sz w:val="28"/>
          <w:szCs w:val="28"/>
          <w:rtl/>
        </w:rPr>
        <w:t xml:space="preserve">لکنّ الذی یهوّن الأمر فی الروایة:جریان هذا الإشکال فی الکتاب العزیز أیضا؛فإنّ موارد الإشکال فیها-و هی الخطأ و النسیان و ما لا یطاق </w:t>
      </w:r>
      <w:r>
        <w:rPr>
          <w:rStyle w:val="FootnoteReference"/>
        </w:rPr>
        <w:footnoteReference w:id="68"/>
      </w:r>
      <w:r>
        <w:rPr>
          <w:rFonts w:ascii="IRNazanin" w:hAnsi="IRNazanin" w:eastAsia="IRNazanin" w:cs="IRNazanin"/>
          <w:lang w:bidi="fa-IR"/>
          <w:color w:val="111111"/>
          <w:sz w:val="28"/>
          <w:szCs w:val="28"/>
          <w:rtl/>
        </w:rPr>
        <w:t xml:space="preserve">-هی بعینها ما استوهبها النبی صلّی اللّه علیه و آله من ربّه جلّ ذکره لیلة المعراج،علی ما حکاه اللّه تعالی عنه صلّی اللّه علیه و آله فی القرآن بقوله تعالی:</w:t>
      </w:r>
    </w:p>
    <w:p>
      <w:pPr>
        <w:pStyle w:val="BookText"/>
      </w:pPr>
      <w:r>
        <w:rPr>
          <w:rFonts w:ascii="Amiri" w:hAnsi="Amiri" w:eastAsia="Amiri" w:cs="Amiri"/>
          <w:lang w:bidi="ar-SA"/>
          <w:color w:val="111111"/>
          <w:sz w:val="28"/>
          <w:szCs w:val="28"/>
          <w:rtl/>
        </w:rPr>
        <w:t xml:space="preserve">رَبَّنٰا لاٰ تُؤٰاخِذْنٰا إِنْ نَسِینٰا أَوْ أَخْطَأْنٰا،رَبَّنٰا وَ لاٰ تَحْمِلْ عَلَیْنٰا إِصْراً کَمٰا حَمَلْتَهُ عَلَی الَّذِینَ مِنْ قَبْلِنٰا،رَبَّنٰا وَ لاٰ تُحَمِّلْنٰا مٰا لاٰ طٰاقَةَ لَنٰا بِهِ</w:t>
      </w:r>
    </w:p>
    <w:p>
      <w:pPr>
        <w:pStyle w:val="BookText"/>
      </w:pPr>
      <w:r>
        <w:rPr>
          <w:rStyle w:val="FootnoteReference"/>
        </w:rPr>
        <w:footnoteReference w:id="69"/>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 الذی یحسم أصل الإشکال:منع استقلال العقل بقبح المؤاخذة</w:t>
      </w:r>
    </w:p>
    <w:p>
      <w:pPr>
        <w:pStyle w:val="BookText"/>
      </w:pPr>
      <w:r>
        <w:rPr>
          <w:rFonts w:ascii="IRNazanin" w:hAnsi="IRNazanin" w:eastAsia="IRNazanin" w:cs="IRNazanin"/>
          <w:lang w:bidi="fa-IR"/>
          <w:color w:val="111111"/>
          <w:sz w:val="28"/>
          <w:szCs w:val="28"/>
          <w:rtl/>
        </w:rPr>
        <w:t xml:space="preserve">[شماره صفحه واقعی : 30]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هذه الامور بقول مطلق؛فإنّ الخطأ و النسیان الصادرین من ترک التحفّظ لا یقبح المؤاخذة علیهما،و کذا المؤاخذة علی ما لا یعلمون مع إمکان الاحتیاط،</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 کذا </w:t>
      </w:r>
      <w:r>
        <w:rPr>
          <w:rStyle w:val="FootnoteReference"/>
        </w:rPr>
        <w:footnoteReference w:id="70"/>
      </w:r>
      <w:r>
        <w:rPr>
          <w:rFonts w:ascii="IRNazanin" w:hAnsi="IRNazanin" w:eastAsia="IRNazanin" w:cs="IRNazanin"/>
          <w:lang w:bidi="fa-IR"/>
          <w:color w:val="111111"/>
          <w:sz w:val="28"/>
          <w:szCs w:val="28"/>
          <w:rtl/>
        </w:rPr>
        <w:t xml:space="preserve">التکلیف الشاقّ الناشئ عن اختیار المکلّف.</w:t>
      </w:r>
    </w:p>
    <w:p>
      <w:pPr>
        <w:pStyle w:val="BookText"/>
      </w:pPr>
      <w:r>
        <w:rPr>
          <w:rFonts w:ascii="Amiri" w:hAnsi="Amiri" w:eastAsia="Amiri" w:cs="Amiri"/>
          <w:lang w:bidi="ar-SA"/>
          <w:color w:val="111111"/>
          <w:sz w:val="28"/>
          <w:szCs w:val="28"/>
          <w:rtl/>
        </w:rPr>
        <w:t xml:space="preserve">و المراد ب«ما لا یطاق»فی الروایة هو ما لا یتحمّل فی العادة، لا ما لا یقدر علیه أصلا کالطیران فی الهواء.و أمّا فی الآیة فلا یبعد أن یراد به العذاب و العقوبة،فمعنی لاٰ تُحَمِّلْنٰا مٰا لاٰ طٰاقَةَ لَنٰا بِهِ :</w:t>
      </w:r>
    </w:p>
    <w:p>
      <w:pPr>
        <w:pStyle w:val="BookText"/>
      </w:pPr>
      <w:r>
        <w:rPr>
          <w:rFonts w:ascii="IRNazanin" w:hAnsi="IRNazanin" w:eastAsia="IRNazanin" w:cs="IRNazanin"/>
          <w:lang w:bidi="fa-IR"/>
          <w:color w:val="111111"/>
          <w:sz w:val="28"/>
          <w:szCs w:val="28"/>
          <w:rtl/>
        </w:rPr>
        <w:t xml:space="preserve">لا تورد علینا ما لا نطیقه من العقوبة.</w:t>
      </w:r>
    </w:p>
    <w:p>
      <w:pPr>
        <w:pStyle w:val="BookText"/>
      </w:pPr>
      <w:r>
        <w:rPr>
          <w:rFonts w:ascii="IRNazanin" w:hAnsi="IRNazanin" w:eastAsia="IRNazanin" w:cs="IRNazanin"/>
          <w:lang w:bidi="fa-IR"/>
          <w:color w:val="111111"/>
          <w:sz w:val="28"/>
          <w:szCs w:val="28"/>
          <w:rtl/>
        </w:rPr>
        <w:t xml:space="preserve">و بالجملة:فتأیید إرادة رفع جمیع الآثار بلزوم الإشکال علی تقدیر الاختصاص برفع المؤاخذة ضعیف جدا.</w:t>
      </w:r>
    </w:p>
    <w:p>
      <w:pPr>
        <w:pStyle w:val="BookText"/>
      </w:pPr>
      <w:r>
        <w:rPr>
          <w:rFonts w:ascii="IRNazanin" w:hAnsi="IRNazanin" w:eastAsia="IRNazanin" w:cs="IRNazanin"/>
          <w:lang w:bidi="fa-IR"/>
          <w:color w:val="111111"/>
          <w:sz w:val="28"/>
          <w:szCs w:val="28"/>
          <w:rtl/>
        </w:rPr>
        <w:t xml:space="preserve">و أضعف منه: وهن إرادة العموم بلزوم کثرة الإضمار،و قلّة الإضمار أولی.و هو کما تری و إن ذکره بعض الفحول </w:t>
      </w:r>
      <w:r>
        <w:rPr>
          <w:rStyle w:val="FootnoteReference"/>
        </w:rPr>
        <w:footnoteReference w:id="71"/>
      </w:r>
      <w:r>
        <w:rPr>
          <w:rFonts w:ascii="IRNazanin" w:hAnsi="IRNazanin" w:eastAsia="IRNazanin" w:cs="IRNazanin"/>
          <w:lang w:bidi="fa-IR"/>
          <w:color w:val="111111"/>
          <w:sz w:val="28"/>
          <w:szCs w:val="28"/>
          <w:rtl/>
        </w:rPr>
        <w:t xml:space="preserve">،و لعلّه أراد بذلک أنّ المتیقن رفع المؤاخذة،و رفع ما عداه یحتاج إلی دلیل </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فیه:أنّه إنّما یحسن الرجوع إلیه بعد الاعتراف بإجمال الروایة، لا لإثبات ظهورها فی رفع المؤاخذة.</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إلاّ أن یراد إثبات ظهورها؛من حیث إنّ حملها علی خصوص المؤاخذة یوجب عدم التخصیص فی عموم الأدلّة المثبتة لآثار تلک الامور،و حملها علی العموم یوجب التخصیص فیها؛فعموم تلک الأدلّة مبیّن لتلک الروایة؛فإنّ المخصّص إذا کان مجملا من جهة تردّده بین ما</w:t>
      </w:r>
    </w:p>
    <w:p>
      <w:pPr>
        <w:pStyle w:val="BookText"/>
      </w:pPr>
      <w:r>
        <w:rPr>
          <w:rFonts w:ascii="IRNazanin" w:hAnsi="IRNazanin" w:eastAsia="IRNazanin" w:cs="IRNazanin"/>
          <w:lang w:bidi="fa-IR"/>
          <w:color w:val="111111"/>
          <w:sz w:val="28"/>
          <w:szCs w:val="28"/>
          <w:rtl/>
        </w:rPr>
        <w:t xml:space="preserve">[شماره صفحه واقعی : 31]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9" w:name="pg14411_142421"/>
    <w:bookmarkEnd w:id="19"/>
    <w:p>
      <w:pPr>
        <w:pStyle w:val="BookText"/>
      </w:pPr>
      <w:r>
        <w:rPr>
          <w:rFonts w:ascii="IRNazanin" w:hAnsi="IRNazanin" w:eastAsia="IRNazanin" w:cs="IRNazanin"/>
          <w:lang w:bidi="fa-IR"/>
          <w:color w:val="111111"/>
          <w:sz w:val="28"/>
          <w:szCs w:val="28"/>
          <w:rtl/>
        </w:rPr>
        <w:t xml:space="preserve">یوجب کثرة الخارج و بین ما یوجب قلّته،کان عموم العامّ بالنسبة إلی التخصیص </w:t>
      </w:r>
      <w:r>
        <w:rPr>
          <w:rStyle w:val="FootnoteReference"/>
        </w:rPr>
        <w:footnoteReference w:id="73"/>
      </w:r>
      <w:r>
        <w:rPr>
          <w:rFonts w:ascii="IRNazanin" w:hAnsi="IRNazanin" w:eastAsia="IRNazanin" w:cs="IRNazanin"/>
          <w:lang w:bidi="fa-IR"/>
          <w:color w:val="111111"/>
          <w:sz w:val="28"/>
          <w:szCs w:val="28"/>
          <w:rtl/>
        </w:rPr>
        <w:t xml:space="preserve">المشکوک فیه مبیّنا لاجماله،فتأمّل.</w:t>
      </w:r>
    </w:p>
    <w:p>
      <w:pPr>
        <w:pStyle w:val="BookText"/>
      </w:pPr>
      <w:r>
        <w:rPr>
          <w:rFonts w:ascii="IRNazanin" w:hAnsi="IRNazanin" w:eastAsia="IRNazanin" w:cs="IRNazanin"/>
          <w:lang w:bidi="fa-IR"/>
          <w:color w:val="111111"/>
          <w:sz w:val="28"/>
          <w:szCs w:val="28"/>
          <w:rtl/>
        </w:rPr>
        <w:t xml:space="preserve">و أضعف من الوهن المذکور: وهن العموم بلزوم تخصیص کثیر </w:t>
      </w:r>
      <w:r>
        <w:rPr>
          <w:rStyle w:val="FootnoteReference"/>
        </w:rPr>
        <w:footnoteReference w:id="74"/>
      </w:r>
      <w:r>
        <w:rPr>
          <w:rFonts w:ascii="IRNazanin" w:hAnsi="IRNazanin" w:eastAsia="IRNazanin" w:cs="IRNazanin"/>
          <w:lang w:bidi="fa-IR"/>
          <w:color w:val="111111"/>
          <w:sz w:val="28"/>
          <w:szCs w:val="28"/>
          <w:rtl/>
        </w:rPr>
        <w:t xml:space="preserve">من الآثار بل أکثرها؛حیث إنّها لا ترتفع بالخطإ و النسیان و أخواتهما.</w:t>
      </w:r>
    </w:p>
    <w:p>
      <w:pPr>
        <w:pStyle w:val="BookText"/>
      </w:pPr>
      <w:r>
        <w:rPr>
          <w:rFonts w:ascii="IRNazanin" w:hAnsi="IRNazanin" w:eastAsia="IRNazanin" w:cs="IRNazanin"/>
          <w:lang w:bidi="fa-IR"/>
          <w:color w:val="111111"/>
          <w:sz w:val="28"/>
          <w:szCs w:val="28"/>
          <w:rtl/>
        </w:rPr>
        <w:t xml:space="preserve">و هو ناش عن عدم تحصیل معنی الروایة کما هو حقّه.</w:t>
      </w:r>
    </w:p>
    <w:p>
      <w:pPr>
        <w:pStyle w:val="BookText"/>
      </w:pPr>
      <w:r>
        <w:rPr>
          <w:rFonts w:ascii="IRNazanin" w:hAnsi="IRNazanin" w:eastAsia="IRNazanin" w:cs="IRNazanin"/>
          <w:lang w:bidi="fa-IR"/>
          <w:color w:val="111111"/>
          <w:sz w:val="28"/>
          <w:szCs w:val="28"/>
          <w:rtl/>
        </w:rPr>
        <w:t xml:space="preserve">فاعلم:أنّه إذا بنینا علی رفع </w:t>
      </w:r>
      <w:r>
        <w:rPr>
          <w:rStyle w:val="FootnoteReference"/>
        </w:rPr>
        <w:footnoteReference w:id="75"/>
      </w:r>
      <w:r>
        <w:rPr>
          <w:rFonts w:ascii="IRNazanin" w:hAnsi="IRNazanin" w:eastAsia="IRNazanin" w:cs="IRNazanin"/>
          <w:lang w:bidi="fa-IR"/>
          <w:color w:val="111111"/>
          <w:sz w:val="28"/>
          <w:szCs w:val="28"/>
          <w:rtl/>
        </w:rPr>
        <w:t xml:space="preserve">عموم الآثار،فلیس المراد بها الآثار المترتّبة علی هذه العنوانات من حیث هی؛إذ لا یعقل رفع الآثار الشرعیة المترتّبة علی الخطأ و السهو من حیث هذین العنوانین، کوجوب الکفّارة المترتّب علی قتل الخطأ،و وجوب سجدتی السهو المترتّب علی نسیان بعض الأجزاء.</w:t>
      </w:r>
    </w:p>
    <w:p>
      <w:pPr>
        <w:pStyle w:val="BookText"/>
      </w:pPr>
      <w:r>
        <w:rPr>
          <w:rFonts w:ascii="IRNazanin" w:hAnsi="IRNazanin" w:eastAsia="IRNazanin" w:cs="IRNazanin"/>
          <w:lang w:bidi="fa-IR"/>
          <w:color w:val="111111"/>
          <w:sz w:val="28"/>
          <w:szCs w:val="28"/>
          <w:rtl/>
        </w:rPr>
        <w:t xml:space="preserve">و لیس المراد أیضا رفع الآثار المترتّبة علی الشیء بوصف عدم الخطأ،مثل قوله:«من تعمّد الافطار فعلیه کذا»؛لأنّ هذا الأثر یرتفع بنفسه فی صورة الخطأ.</w:t>
      </w:r>
    </w:p>
    <w:p>
      <w:pPr>
        <w:pStyle w:val="BookText"/>
      </w:pPr>
      <w:r>
        <w:rPr>
          <w:rFonts w:ascii="IRNazanin" w:hAnsi="IRNazanin" w:eastAsia="IRNazanin" w:cs="IRNazanin"/>
          <w:lang w:bidi="fa-IR"/>
          <w:color w:val="111111"/>
          <w:sz w:val="28"/>
          <w:szCs w:val="28"/>
          <w:rtl/>
        </w:rPr>
        <w:t xml:space="preserve">بل المراد:أنّ الآثار المترتّبة علی نفس الفعل لا بشرط الخطأ و العمد قد رفعها الشارع عن ذلک الفعل إذا صدر عن خطأ.</w:t>
      </w:r>
    </w:p>
    <w:p>
      <w:pPr>
        <w:pStyle w:val="Heading6"/>
      </w:pPr>
      <w:bookmarkStart w:id="1009" w:name="_Toc44"/>
      <w:r>
        <w:t>[المرفوع هو الآثار الشرعیّة دون العقلیّة و العادیّة]</w:t>
      </w:r>
      <w:bookmarkEnd w:id="1009"/>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ثم المراد بالآثار:هی الآثار المجعولة الشرعیّة التی وضعها الشارع؛ لأنّها هی </w:t>
      </w:r>
      <w:r>
        <w:rPr>
          <w:rStyle w:val="FootnoteReference"/>
        </w:rPr>
        <w:footnoteReference w:id="76"/>
      </w:r>
      <w:r>
        <w:rPr>
          <w:rFonts w:ascii="IRNazanin" w:hAnsi="IRNazanin" w:eastAsia="IRNazanin" w:cs="IRNazanin"/>
          <w:lang w:bidi="fa-IR"/>
          <w:color w:val="111111"/>
          <w:sz w:val="28"/>
          <w:szCs w:val="28"/>
          <w:rtl/>
        </w:rPr>
        <w:t xml:space="preserve">القابلة للارتفاع برفعه،و أمّا ما لم یکن بجعله-من الآثار</w:t>
      </w:r>
    </w:p>
    <w:p>
      <w:pPr>
        <w:pStyle w:val="BookText"/>
      </w:pPr>
      <w:r>
        <w:rPr>
          <w:rFonts w:ascii="IRNazanin" w:hAnsi="IRNazanin" w:eastAsia="IRNazanin" w:cs="IRNazanin"/>
          <w:lang w:bidi="fa-IR"/>
          <w:color w:val="111111"/>
          <w:sz w:val="28"/>
          <w:szCs w:val="28"/>
          <w:rtl/>
        </w:rPr>
        <w:t xml:space="preserve">[شماره صفحه واقعی : 32]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0" w:name="pg14411_142422"/>
    <w:bookmarkEnd w:id="20"/>
    <w:p>
      <w:pPr>
        <w:pStyle w:val="BookText"/>
      </w:pPr>
      <w:r>
        <w:rPr>
          <w:rFonts w:ascii="IRNazanin" w:hAnsi="IRNazanin" w:eastAsia="IRNazanin" w:cs="IRNazanin"/>
          <w:lang w:bidi="fa-IR"/>
          <w:color w:val="111111"/>
          <w:sz w:val="28"/>
          <w:szCs w:val="28"/>
          <w:rtl/>
        </w:rPr>
        <w:t xml:space="preserve">العقلیّة و العادیّة-فلا تدلّ الروایة علی رفعها و لا رفع الآثار المجعولة المترتّبة علیها.</w:t>
      </w:r>
    </w:p>
    <w:p>
      <w:pPr>
        <w:pStyle w:val="Heading6"/>
      </w:pPr>
      <w:bookmarkStart w:id="1010" w:name="_Toc45"/>
      <w:r>
        <w:t>[المراد من الرفع:]</w:t>
      </w:r>
      <w:bookmarkEnd w:id="1010"/>
    </w:p>
    <w:p>
      <w:pPr>
        <w:pStyle w:val="BookText"/>
      </w:pPr>
      <w:r>
        <w:rPr>
          <w:rFonts w:ascii="IRNazanin" w:hAnsi="IRNazanin" w:eastAsia="IRNazanin" w:cs="IRNazanin"/>
          <w:lang w:bidi="fa-IR"/>
          <w:color w:val="111111"/>
          <w:sz w:val="28"/>
          <w:szCs w:val="28"/>
          <w:rtl/>
        </w:rPr>
        <w:t xml:space="preserve">ثمّ المراد بالرفع:ما یشمل عدم التکلیف مع قیام المقتضی له، فیعمّ الدفع و لو بأن یوجّه التکلیف علی وجه یختصّ بالعامد،و سیجیء بیانه.</w:t>
      </w:r>
    </w:p>
    <w:p>
      <w:pPr>
        <w:pStyle w:val="BookText"/>
      </w:pPr>
      <w:r>
        <w:rPr>
          <w:rFonts w:ascii="IRNazanin" w:hAnsi="IRNazanin" w:eastAsia="IRNazanin" w:cs="IRNazanin"/>
          <w:lang w:bidi="fa-IR"/>
          <w:color w:val="111111"/>
          <w:sz w:val="28"/>
          <w:szCs w:val="28"/>
          <w:rtl/>
        </w:rPr>
        <w:t xml:space="preserve">فإن قلت:علی ما ذکرت یخرج أثر التکلیف فی«ما لا یعلمون» عن مورد الروایة؛لأنّ استحقاق العقاب أثر عقلیّ له،مع أنّه متفرّع علی المخالفة بقید العمد؛إذ مناطه-أعنی المعصیة-لا یتحقق إلاّ بذلک.</w:t>
      </w:r>
    </w:p>
    <w:p>
      <w:pPr>
        <w:pStyle w:val="BookText"/>
      </w:pPr>
      <w:r>
        <w:rPr>
          <w:rFonts w:ascii="IRNazanin" w:hAnsi="IRNazanin" w:eastAsia="IRNazanin" w:cs="IRNazanin"/>
          <w:lang w:bidi="fa-IR"/>
          <w:color w:val="111111"/>
          <w:sz w:val="28"/>
          <w:szCs w:val="28"/>
          <w:rtl/>
        </w:rPr>
        <w:t xml:space="preserve">و أمّا نفس المؤاخذة فلیست من الآثار المجعولة الشرعیّة.</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 الحاصل:أنّه لیس فی«ما لا یعلمون»أثر مجعول من الشارع مترتّب علی الفعل لا بقید العلم و لا الجهل،حتّی یحکم الشارع بارتفاعه مع الجهل.</w:t>
      </w:r>
    </w:p>
    <w:p>
      <w:pPr>
        <w:pStyle w:val="BookText"/>
      </w:pPr>
      <w:r>
        <w:rPr>
          <w:rFonts w:ascii="IRNazanin" w:hAnsi="IRNazanin" w:eastAsia="IRNazanin" w:cs="IRNazanin"/>
          <w:lang w:bidi="fa-IR"/>
          <w:color w:val="111111"/>
          <w:sz w:val="28"/>
          <w:szCs w:val="28"/>
          <w:rtl/>
        </w:rPr>
        <w:t xml:space="preserve">قلت:قد عرفت:أنّ المراد ب«رفع التکلیف»عدم توجیهه إلی المکلّف مع قیام المقتضی له،سواء کان هنا </w:t>
      </w:r>
      <w:r>
        <w:rPr>
          <w:rStyle w:val="FootnoteReference"/>
        </w:rPr>
        <w:footnoteReference w:id="77"/>
      </w:r>
      <w:r>
        <w:rPr>
          <w:rFonts w:ascii="IRNazanin" w:hAnsi="IRNazanin" w:eastAsia="IRNazanin" w:cs="IRNazanin"/>
          <w:lang w:bidi="fa-IR"/>
          <w:color w:val="111111"/>
          <w:sz w:val="28"/>
          <w:szCs w:val="28"/>
          <w:rtl/>
        </w:rPr>
        <w:t xml:space="preserve">دلیل یثبته لو لا الرفع أم لا،فالرفع هنا نظیر رفع الحرج فی الشریعة،</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 حینئذ:فإذا فرضنا أنّه لا یقبح فی العقل أن یوجّه التکلیف بشرب الخمر علی وجه یشمل صورة الشکّ فیه،فلم یفعل ذلک و لم یوجب تحصیل العلم و لو بالاحتیاط، و وجّه التکلیف علی وجه یختصّ بالعالم تسهیلا علی المکلّف،کفی فی صدق الرفع.و هکذا الکلام فی الخطأ و النسیان.</w:t>
      </w:r>
    </w:p>
    <w:p>
      <w:pPr>
        <w:pStyle w:val="BookText"/>
      </w:pPr>
      <w:r>
        <w:rPr>
          <w:rFonts w:ascii="IRNazanin" w:hAnsi="IRNazanin" w:eastAsia="IRNazanin" w:cs="IRNazanin"/>
          <w:lang w:bidi="fa-IR"/>
          <w:color w:val="111111"/>
          <w:sz w:val="28"/>
          <w:szCs w:val="28"/>
          <w:rtl/>
        </w:rPr>
        <w:t xml:space="preserve">فلا یشترط فی تحقّق الرفع وجود دلیل یثبت التکلیف فی حال</w:t>
      </w:r>
    </w:p>
    <w:p>
      <w:pPr>
        <w:pStyle w:val="BookText"/>
      </w:pPr>
      <w:r>
        <w:rPr>
          <w:rFonts w:ascii="IRNazanin" w:hAnsi="IRNazanin" w:eastAsia="IRNazanin" w:cs="IRNazanin"/>
          <w:lang w:bidi="fa-IR"/>
          <w:color w:val="111111"/>
          <w:sz w:val="28"/>
          <w:szCs w:val="28"/>
          <w:rtl/>
        </w:rPr>
        <w:t xml:space="preserve">[شماره صفحه واقعی : 33]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1" w:name="pg14411_142423"/>
    <w:bookmarkEnd w:id="21"/>
    <w:p>
      <w:pPr>
        <w:pStyle w:val="BookText"/>
      </w:pPr>
      <w:r>
        <w:rPr>
          <w:rFonts w:ascii="IRNazanin" w:hAnsi="IRNazanin" w:eastAsia="IRNazanin" w:cs="IRNazanin"/>
          <w:lang w:bidi="fa-IR"/>
          <w:color w:val="111111"/>
          <w:sz w:val="28"/>
          <w:szCs w:val="28"/>
          <w:rtl/>
        </w:rPr>
        <w:t xml:space="preserve">العمد و غیره.</w:t>
      </w:r>
    </w:p>
    <w:p>
      <w:pPr>
        <w:pStyle w:val="BookText"/>
      </w:pPr>
      <w:r>
        <w:rPr>
          <w:rFonts w:ascii="IRNazanin" w:hAnsi="IRNazanin" w:eastAsia="IRNazanin" w:cs="IRNazanin"/>
          <w:lang w:bidi="fa-IR"/>
          <w:color w:val="111111"/>
          <w:sz w:val="28"/>
          <w:szCs w:val="28"/>
          <w:rtl/>
        </w:rPr>
        <w:t xml:space="preserve">نعم،لو قبح عقلا المؤاخذة علی الترک،کما فی الغافل الغیر المتمکّن من الاحتیاط،لم یکن فی حقّه رفع أصلا؛إذ لیس من شأنه أن یوجّه إلیه التکلیف </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حینئذ فنقول:معنی رفع أثر التحریم فی«ما لا یعلمون»عدم إیجاب الاحتیاط و التحفّظ فیه حتّی یلزمه ترتّب العقاب إذا أفضی ترک التحفّظ إلی الوقوع فی الحرام الواقعیّ.</w:t>
      </w:r>
    </w:p>
    <w:p>
      <w:pPr>
        <w:pStyle w:val="BookText"/>
      </w:pPr>
      <w:r>
        <w:rPr>
          <w:rFonts w:ascii="IRNazanin" w:hAnsi="IRNazanin" w:eastAsia="IRNazanin" w:cs="IRNazanin"/>
          <w:lang w:bidi="fa-IR"/>
          <w:color w:val="111111"/>
          <w:sz w:val="28"/>
          <w:szCs w:val="28"/>
          <w:rtl/>
        </w:rPr>
        <w:t xml:space="preserve">و کذلک الکلام فی رفع أثر النسیان و الخطأ؛فإنّ مرجعه إلی عدم إیجاب التحفّظ علیه؛و إلاّ فلیس فی التکالیف ما یعمّ صورة النسیان؛ لقبح تکلیف الغافل.</w:t>
      </w:r>
    </w:p>
    <w:p>
      <w:pPr>
        <w:pStyle w:val="Heading6"/>
      </w:pPr>
      <w:bookmarkStart w:id="1011" w:name="_Toc46"/>
      <w:r>
        <w:t>[المرتفع هو إیجاب التحفّظ و الاحتیاط]</w:t>
      </w:r>
      <w:bookmarkEnd w:id="1011"/>
    </w:p>
    <w:p>
      <w:pPr>
        <w:pStyle w:val="BookText"/>
      </w:pPr>
      <w:r>
        <w:rPr>
          <w:rFonts w:ascii="IRNazanin" w:hAnsi="IRNazanin" w:eastAsia="IRNazanin" w:cs="IRNazanin"/>
          <w:lang w:bidi="fa-IR"/>
          <w:color w:val="111111"/>
          <w:sz w:val="28"/>
          <w:szCs w:val="28"/>
          <w:rtl/>
        </w:rPr>
        <w:t xml:space="preserve">و الحاصل:أنّ المرتفع فی«ما لا یعلمون»و أشباهه ممّا لا یشمله أدلّة التکلیف،هو إیجاب التحفّظ علی وجه لا یقع فی مخالفة الحرام الواقعیّ،و یلزمه ارتفاع العقاب و استحقاقه؛فالمرتفع أوّلا و بالذات أمر مجعول یترتّب علیه ارتفاع أمر غیر مجعول.</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 نظیر ذلک:ما ربّما یقال فی ردّ من تمسّک علی عدم وجوب الإعادة علی من صلّی فی النجاسة ناسیا بعموم حدیث الرفع:من أنّ وجوب الإعادة و إن کان حکما شرعیّا،إلاّ أنّه مترتّب علی مخالفة المأتیّ به للمأمور به الموجبة لبقاء الأمر الأوّل،و هی لیست من الآثار الشرعیّة للنسیان،و قد تقدّم </w:t>
      </w:r>
      <w:r>
        <w:rPr>
          <w:rStyle w:val="FootnoteReference"/>
        </w:rPr>
        <w:footnoteReference w:id="79"/>
      </w:r>
      <w:r>
        <w:rPr>
          <w:rFonts w:ascii="IRNazanin" w:hAnsi="IRNazanin" w:eastAsia="IRNazanin" w:cs="IRNazanin"/>
          <w:lang w:bidi="fa-IR"/>
          <w:color w:val="111111"/>
          <w:sz w:val="28"/>
          <w:szCs w:val="28"/>
          <w:rtl/>
        </w:rPr>
        <w:t xml:space="preserve">أنّ الروایة لا تدلّ علی رفع الآثار الغیر</w:t>
      </w:r>
    </w:p>
    <w:p>
      <w:pPr>
        <w:pStyle w:val="BookText"/>
      </w:pPr>
      <w:r>
        <w:rPr>
          <w:rFonts w:ascii="IRNazanin" w:hAnsi="IRNazanin" w:eastAsia="IRNazanin" w:cs="IRNazanin"/>
          <w:lang w:bidi="fa-IR"/>
          <w:color w:val="111111"/>
          <w:sz w:val="28"/>
          <w:szCs w:val="28"/>
          <w:rtl/>
        </w:rPr>
        <w:t xml:space="preserve">[شماره صفحه واقعی : 34]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2" w:name="pg14411_142424"/>
    <w:bookmarkEnd w:id="22"/>
    <w:p>
      <w:pPr>
        <w:pStyle w:val="BookText"/>
      </w:pPr>
      <w:r>
        <w:rPr>
          <w:rFonts w:ascii="IRNazanin" w:hAnsi="IRNazanin" w:eastAsia="IRNazanin" w:cs="IRNazanin"/>
          <w:lang w:bidi="fa-IR"/>
          <w:color w:val="111111"/>
          <w:sz w:val="28"/>
          <w:szCs w:val="28"/>
          <w:rtl/>
        </w:rPr>
        <w:t xml:space="preserve">المجعولة و لا الآثار الشرعیّة المترتّبة علیها،کوجوب الإعادة فیما نحن فیه.</w:t>
      </w:r>
    </w:p>
    <w:p>
      <w:pPr>
        <w:pStyle w:val="BookText"/>
      </w:pPr>
      <w:r>
        <w:rPr>
          <w:rFonts w:ascii="IRNazanin" w:hAnsi="IRNazanin" w:eastAsia="IRNazanin" w:cs="IRNazanin"/>
          <w:lang w:bidi="fa-IR"/>
          <w:color w:val="111111"/>
          <w:sz w:val="28"/>
          <w:szCs w:val="28"/>
          <w:rtl/>
        </w:rPr>
        <w:t xml:space="preserve">و یردّه:ما تقدّم فی نظیره:من أنّ الرفع راجع </w:t>
      </w:r>
      <w:r>
        <w:rPr>
          <w:rStyle w:val="FootnoteReference"/>
        </w:rPr>
        <w:footnoteReference w:id="80"/>
      </w:r>
      <w:r>
        <w:rPr>
          <w:rFonts w:ascii="IRNazanin" w:hAnsi="IRNazanin" w:eastAsia="IRNazanin" w:cs="IRNazanin"/>
          <w:lang w:bidi="fa-IR"/>
          <w:color w:val="111111"/>
          <w:sz w:val="28"/>
          <w:szCs w:val="28"/>
          <w:rtl/>
        </w:rPr>
        <w:t xml:space="preserve">إلی شرطیّة طهارة اللباس بالنسبة إلی الناسی،فیقال-بحکم حدیث الرفع-:إنّ شرطیّة الطهارة شرعا مختصّة بحال الذکر،فیصیر صلاة الناسی فی النجاسة مطابقة للمأمور به،فلا یجب الإعادة.و کذلک الکلام فی الجزء المنسیّ،فتأمّل.</w:t>
      </w:r>
    </w:p>
    <w:p>
      <w:pPr>
        <w:pStyle w:val="Heading6"/>
      </w:pPr>
      <w:bookmarkStart w:id="1012" w:name="_Toc47"/>
      <w:r>
        <w:t>[اختصاص الرفع بما لا یکون فی رفعه ما ینافی الامتنان]</w:t>
      </w:r>
      <w:bookmarkEnd w:id="1012"/>
    </w:p>
    <w:p>
      <w:pPr>
        <w:pStyle w:val="BookText"/>
      </w:pPr>
      <w:r>
        <w:rPr>
          <w:rFonts w:ascii="IRNazanin" w:hAnsi="IRNazanin" w:eastAsia="IRNazanin" w:cs="IRNazanin"/>
          <w:lang w:bidi="fa-IR"/>
          <w:color w:val="111111"/>
          <w:sz w:val="28"/>
          <w:szCs w:val="28"/>
          <w:rtl/>
        </w:rPr>
        <w:t xml:space="preserve">و اعلم-أیضا-:أنّه لو حکمنا بعموم الرفع لجمیع الآثار، فلا یبعد اختصاصه بما لا یکون فی رفعه ما ینافی الامتنان علی الامّة، کما إذا استلزم إضرار المسلم؛فإتلاف المال المحترم نسیانا أو خطأ لا یرتفع معه الضّمان.و کذلک الإضرار بمسلم لدفع الضرر عن نفسه لا یدخل فی عموم«ما اضطرّوا إلیه»؛إذ لا امتنان فی رفع الأثر عن الفاعل بإضرار الغیر؛فلیس الإضرار بالغیر نظیر سائر المحرّمات الإلهیّة المسوّغة لدفع الضرر.</w:t>
      </w:r>
    </w:p>
    <w:p>
      <w:pPr>
        <w:pStyle w:val="BookText"/>
      </w:pPr>
      <w:r>
        <w:rPr>
          <w:rFonts w:ascii="IRNazanin" w:hAnsi="IRNazanin" w:eastAsia="IRNazanin" w:cs="IRNazanin"/>
          <w:lang w:bidi="fa-IR"/>
          <w:color w:val="111111"/>
          <w:sz w:val="28"/>
          <w:szCs w:val="28"/>
          <w:rtl/>
        </w:rPr>
        <w:t xml:space="preserve">و أمّا ورود الصحیحة المتقدّمة عن المحاسن </w:t>
      </w:r>
      <w:r>
        <w:rPr>
          <w:rStyle w:val="FootnoteReference"/>
        </w:rPr>
        <w:footnoteReference w:id="81"/>
      </w:r>
      <w:r>
        <w:rPr>
          <w:rFonts w:ascii="IRNazanin" w:hAnsi="IRNazanin" w:eastAsia="IRNazanin" w:cs="IRNazanin"/>
          <w:lang w:bidi="fa-IR"/>
          <w:color w:val="111111"/>
          <w:sz w:val="28"/>
          <w:szCs w:val="28"/>
          <w:rtl/>
        </w:rPr>
        <w:t xml:space="preserve">فی مورد حقّ الناس -أعنی العتق و الصدقة-فرفع أثر الإکراه عن الحالف یوجب فوات نفع علی المعتق و الفقراء،لا إضرارا بهم.</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 کذلک رفع أثر الإکراه عن المکره فی ما إذا تعلّق </w:t>
      </w:r>
      <w:r>
        <w:rPr>
          <w:rStyle w:val="FootnoteReference"/>
        </w:rPr>
        <w:footnoteReference w:id="82"/>
      </w:r>
      <w:r>
        <w:rPr>
          <w:rFonts w:ascii="IRNazanin" w:hAnsi="IRNazanin" w:eastAsia="IRNazanin" w:cs="IRNazanin"/>
          <w:lang w:bidi="fa-IR"/>
          <w:color w:val="111111"/>
          <w:sz w:val="28"/>
          <w:szCs w:val="28"/>
          <w:rtl/>
        </w:rPr>
        <w:t xml:space="preserve">بإضرار</w:t>
      </w:r>
    </w:p>
    <w:p>
      <w:pPr>
        <w:pStyle w:val="BookText"/>
      </w:pPr>
      <w:r>
        <w:rPr>
          <w:rFonts w:ascii="IRNazanin" w:hAnsi="IRNazanin" w:eastAsia="IRNazanin" w:cs="IRNazanin"/>
          <w:lang w:bidi="fa-IR"/>
          <w:color w:val="111111"/>
          <w:sz w:val="28"/>
          <w:szCs w:val="28"/>
          <w:rtl/>
        </w:rPr>
        <w:t xml:space="preserve">[شماره صفحه واقعی : 35]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3" w:name="pg14411_142425"/>
    <w:bookmarkEnd w:id="23"/>
    <w:p>
      <w:pPr>
        <w:pStyle w:val="BookText"/>
      </w:pPr>
      <w:r>
        <w:rPr>
          <w:rFonts w:ascii="IRNazanin" w:hAnsi="IRNazanin" w:eastAsia="IRNazanin" w:cs="IRNazanin"/>
          <w:lang w:bidi="fa-IR"/>
          <w:color w:val="111111"/>
          <w:sz w:val="28"/>
          <w:szCs w:val="28"/>
          <w:rtl/>
        </w:rPr>
        <w:t xml:space="preserve">مسلم،من باب عدم وجوب تحمّل الضرر لدفع الضرر عن الغیر و لا ینافی الامتنان،و لیس من باب الإضرار علی الغیر لدفع الضرر عن النفس لینافی ترخیصه الامتنان علی العباد؛فإنّ الضرر أوّلا و بالذات متوجّه علی الغیر بمقتضی إرادة المکره-بالکسر-،لا علی المکره-بالفتح-،فافهم.</w:t>
      </w:r>
    </w:p>
    <w:p>
      <w:pPr>
        <w:pStyle w:val="Heading6"/>
      </w:pPr>
      <w:bookmarkStart w:id="1013" w:name="_Toc48"/>
      <w:r>
        <w:t>[المراد من رفع الحسد و الطیرة و التفکّر فی الوسوسة فی الخلق]</w:t>
      </w:r>
      <w:bookmarkEnd w:id="1013"/>
    </w:p>
    <w:p>
      <w:pPr>
        <w:pStyle w:val="BookText"/>
      </w:pPr>
      <w:r>
        <w:rPr>
          <w:rFonts w:ascii="IRNazanin" w:hAnsi="IRNazanin" w:eastAsia="IRNazanin" w:cs="IRNazanin"/>
          <w:lang w:bidi="fa-IR"/>
          <w:color w:val="111111"/>
          <w:sz w:val="28"/>
          <w:szCs w:val="28"/>
          <w:rtl/>
        </w:rPr>
        <w:t xml:space="preserve">بقی فی المقام شیء و ان لم یکن مربوطا به،و هو:</w:t>
      </w:r>
    </w:p>
    <w:p>
      <w:pPr>
        <w:pStyle w:val="BookText"/>
      </w:pPr>
      <w:r>
        <w:rPr>
          <w:rFonts w:ascii="IRNazanin" w:hAnsi="IRNazanin" w:eastAsia="IRNazanin" w:cs="IRNazanin"/>
          <w:lang w:bidi="fa-IR"/>
          <w:color w:val="111111"/>
          <w:sz w:val="28"/>
          <w:szCs w:val="28"/>
          <w:rtl/>
        </w:rPr>
        <w:t xml:space="preserve">أنّ النبویّ المذکور مشتمل علی ذکر«الطیرة»و«الحسد»و«التفکّر فی الوسوسة فی الخلق ما لم ینطق الانسان بشفته» </w:t>
      </w:r>
      <w:r>
        <w:rPr>
          <w:rStyle w:val="FootnoteReference"/>
        </w:rPr>
        <w:footnoteReference w:id="83"/>
      </w:r>
      <w:r>
        <w:rPr>
          <w:rFonts w:ascii="IRNazanin" w:hAnsi="IRNazanin" w:eastAsia="IRNazanin" w:cs="IRNazanin"/>
          <w:lang w:bidi="fa-IR"/>
          <w:color w:val="111111"/>
          <w:sz w:val="28"/>
          <w:szCs w:val="28"/>
          <w:rtl/>
        </w:rPr>
        <w:t xml:space="preserve">.و ظاهره رفع المؤاخذة علی </w:t>
      </w:r>
      <w:r>
        <w:rPr>
          <w:rStyle w:val="FootnoteReference"/>
        </w:rPr>
        <w:footnoteReference w:id="84"/>
      </w:r>
      <w:r>
        <w:rPr>
          <w:rFonts w:ascii="IRNazanin" w:hAnsi="IRNazanin" w:eastAsia="IRNazanin" w:cs="IRNazanin"/>
          <w:lang w:bidi="fa-IR"/>
          <w:color w:val="111111"/>
          <w:sz w:val="28"/>
          <w:szCs w:val="28"/>
          <w:rtl/>
        </w:rPr>
        <w:t xml:space="preserve">الحسد مع مخالفته لظاهر الأخبار الکثیرة </w:t>
      </w:r>
      <w:r>
        <w:rPr>
          <w:rStyle w:val="FootnoteReference"/>
        </w:rPr>
        <w:footnoteReference w:id="85"/>
      </w:r>
      <w:r>
        <w:rPr>
          <w:rFonts w:ascii="IRNazanin" w:hAnsi="IRNazanin" w:eastAsia="IRNazanin" w:cs="IRNazanin"/>
          <w:lang w:bidi="fa-IR"/>
          <w:color w:val="111111"/>
          <w:sz w:val="28"/>
          <w:szCs w:val="28"/>
          <w:rtl/>
        </w:rPr>
        <w:t xml:space="preserve">.و یمکن حمله علی ما لم یظهر الحاسد أثره باللسان أو غیره؛بجعل عدم النطق باللسان قیدا له أیضا.</w:t>
      </w:r>
    </w:p>
    <w:p>
      <w:pPr>
        <w:pStyle w:val="BookText"/>
      </w:pPr>
      <w:r>
        <w:rPr>
          <w:rFonts w:ascii="IRNazanin" w:hAnsi="IRNazanin" w:eastAsia="IRNazanin" w:cs="IRNazanin"/>
          <w:lang w:bidi="fa-IR"/>
          <w:color w:val="111111"/>
          <w:sz w:val="28"/>
          <w:szCs w:val="28"/>
          <w:rtl/>
        </w:rPr>
        <w:t xml:space="preserve">و یؤیّده:تأخیر الحسد عن الکلّ فی مرفوعة النهدیّ </w:t>
      </w:r>
      <w:r>
        <w:rPr>
          <w:rStyle w:val="FootnoteReference"/>
        </w:rPr>
        <w:footnoteReference w:id="86"/>
      </w:r>
      <w:r>
        <w:rPr>
          <w:rFonts w:ascii="IRNazanin" w:hAnsi="IRNazanin" w:eastAsia="IRNazanin" w:cs="IRNazanin"/>
          <w:lang w:bidi="fa-IR"/>
          <w:color w:val="111111"/>
          <w:sz w:val="28"/>
          <w:szCs w:val="28"/>
          <w:rtl/>
        </w:rPr>
        <w:t xml:space="preserve">عن أبی عبد اللّه علیه السّلام،المرویّة فی آخر أبواب الکفر و الإیمان من اصول الکافی:</w:t>
      </w:r>
    </w:p>
    <w:p>
      <w:pPr>
        <w:pStyle w:val="BookText"/>
      </w:pPr>
      <w:r>
        <w:rPr>
          <w:rFonts w:ascii="IRNazanin" w:hAnsi="IRNazanin" w:eastAsia="IRNazanin" w:cs="IRNazanin"/>
          <w:lang w:bidi="fa-IR"/>
          <w:color w:val="111111"/>
          <w:sz w:val="28"/>
          <w:szCs w:val="28"/>
          <w:rtl/>
        </w:rPr>
        <w:t xml:space="preserve">«قال:قال رسول اللّه صلّی اللّه علیه و آله و سلّم:وضع عن أمّتی تسعة أشیاء:</w:t>
      </w:r>
    </w:p>
    <w:p>
      <w:pPr>
        <w:pStyle w:val="BookText"/>
      </w:pPr>
      <w:r>
        <w:rPr>
          <w:rFonts w:ascii="IRNazanin" w:hAnsi="IRNazanin" w:eastAsia="IRNazanin" w:cs="IRNazanin"/>
          <w:lang w:bidi="fa-IR"/>
          <w:color w:val="111111"/>
          <w:sz w:val="28"/>
          <w:szCs w:val="28"/>
          <w:rtl/>
        </w:rPr>
        <w:t xml:space="preserve">الخطأ،و النسیان،و ما لا یعلمون،و ما لا یطیقون،و ما اضطرّوا إلیه، و ما استکرهوا علیه،و الطیرة،و الوسوسة فی التفکّر فی الخلق،و الحسد</w:t>
      </w:r>
    </w:p>
    <w:p>
      <w:pPr>
        <w:pStyle w:val="BookText"/>
      </w:pPr>
      <w:r>
        <w:rPr>
          <w:rFonts w:ascii="IRNazanin" w:hAnsi="IRNazanin" w:eastAsia="IRNazanin" w:cs="IRNazanin"/>
          <w:lang w:bidi="fa-IR"/>
          <w:color w:val="111111"/>
          <w:sz w:val="28"/>
          <w:szCs w:val="28"/>
          <w:rtl/>
        </w:rPr>
        <w:t xml:space="preserve">[شماره صفحه واقعی : 36]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لم یظهر بلسان أو ید...الحدیث </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لعلّ الاقتصار فی النبویّ الأوّل علی قوله:«ما لم ینطق»؛لکونه أدنی مراتب الإظهار.</w:t>
      </w:r>
    </w:p>
    <w:p>
      <w:pPr>
        <w:pStyle w:val="BookText"/>
      </w:pPr>
      <w:r>
        <w:rPr>
          <w:rFonts w:ascii="IRNazanin" w:hAnsi="IRNazanin" w:eastAsia="IRNazanin" w:cs="IRNazanin"/>
          <w:lang w:bidi="fa-IR"/>
          <w:color w:val="111111"/>
          <w:sz w:val="28"/>
          <w:szCs w:val="28"/>
          <w:rtl/>
        </w:rPr>
        <w:t xml:space="preserve">و روی:«ثلاثة لا یسلم منها أحد:الطیرة،و الحسد،و الظنّ.</w:t>
      </w:r>
    </w:p>
    <w:p>
      <w:pPr>
        <w:pStyle w:val="BookText"/>
      </w:pPr>
      <w:r>
        <w:rPr>
          <w:rFonts w:ascii="IRNazanin" w:hAnsi="IRNazanin" w:eastAsia="IRNazanin" w:cs="IRNazanin"/>
          <w:lang w:bidi="fa-IR"/>
          <w:color w:val="111111"/>
          <w:sz w:val="28"/>
          <w:szCs w:val="28"/>
          <w:rtl/>
        </w:rPr>
        <w:t xml:space="preserve">قیل:فما نصنع؟قال:إذا تطیّرت فامض،و إذا حسدت فلا تبغ،و إذا ظننت فلا تحقّق» </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البغی:عبارة عن استعمال الحسد؛و سیأتی فی روایة الخصال:</w:t>
      </w:r>
    </w:p>
    <w:p>
      <w:pPr>
        <w:pStyle w:val="BookText"/>
      </w:pPr>
      <w:r>
        <w:rPr>
          <w:rFonts w:ascii="IRNazanin" w:hAnsi="IRNazanin" w:eastAsia="IRNazanin" w:cs="IRNazanin"/>
          <w:lang w:bidi="fa-IR"/>
          <w:color w:val="111111"/>
          <w:sz w:val="28"/>
          <w:szCs w:val="28"/>
          <w:rtl/>
        </w:rPr>
        <w:t xml:space="preserve">«إنّ المؤمن لا یستعمل حسده» </w:t>
      </w:r>
      <w:r>
        <w:rPr>
          <w:rStyle w:val="FootnoteReference"/>
        </w:rPr>
        <w:footnoteReference w:id="89"/>
      </w:r>
      <w:r>
        <w:rPr>
          <w:rFonts w:ascii="IRNazanin" w:hAnsi="IRNazanin" w:eastAsia="IRNazanin" w:cs="IRNazanin"/>
          <w:lang w:bidi="fa-IR"/>
          <w:color w:val="111111"/>
          <w:sz w:val="28"/>
          <w:szCs w:val="28"/>
          <w:rtl/>
        </w:rPr>
        <w:t xml:space="preserve">و لأجل ذلک عدّ فی الدروس من الکبائر-فی باب الشهادات-إظهار الحسد،لا نفسه </w:t>
      </w:r>
      <w:r>
        <w:rPr>
          <w:rStyle w:val="FootnoteReference"/>
        </w:rPr>
        <w:footnoteReference w:id="90"/>
      </w:r>
      <w:r>
        <w:rPr>
          <w:rFonts w:ascii="IRNazanin" w:hAnsi="IRNazanin" w:eastAsia="IRNazanin" w:cs="IRNazanin"/>
          <w:lang w:bidi="fa-IR"/>
          <w:color w:val="111111"/>
          <w:sz w:val="28"/>
          <w:szCs w:val="28"/>
          <w:rtl/>
        </w:rPr>
        <w:t xml:space="preserve">،و فی الشرائع:</w:t>
      </w:r>
    </w:p>
    <w:p>
      <w:pPr>
        <w:pStyle w:val="BookText"/>
      </w:pPr>
      <w:r>
        <w:rPr>
          <w:rFonts w:ascii="IRNazanin" w:hAnsi="IRNazanin" w:eastAsia="IRNazanin" w:cs="IRNazanin"/>
          <w:lang w:bidi="fa-IR"/>
          <w:color w:val="111111"/>
          <w:sz w:val="28"/>
          <w:szCs w:val="28"/>
          <w:rtl/>
        </w:rPr>
        <w:t xml:space="preserve">إنّ الحسد معصیة و کذا الظنّ بالمؤمن </w:t>
      </w:r>
      <w:r>
        <w:rPr>
          <w:rStyle w:val="FootnoteReference"/>
        </w:rPr>
        <w:footnoteReference w:id="91"/>
      </w:r>
      <w:r>
        <w:rPr>
          <w:rFonts w:ascii="IRNazanin" w:hAnsi="IRNazanin" w:eastAsia="IRNazanin" w:cs="IRNazanin"/>
          <w:lang w:bidi="fa-IR"/>
          <w:color w:val="111111"/>
          <w:sz w:val="28"/>
          <w:szCs w:val="28"/>
          <w:rtl/>
        </w:rPr>
        <w:t xml:space="preserve">،و التظاهر بذلک قادح فی</w:t>
      </w:r>
    </w:p>
    <w:p>
      <w:pPr>
        <w:pStyle w:val="BookText"/>
      </w:pPr>
      <w:r>
        <w:rPr>
          <w:rFonts w:ascii="IRNazanin" w:hAnsi="IRNazanin" w:eastAsia="IRNazanin" w:cs="IRNazanin"/>
          <w:lang w:bidi="fa-IR"/>
          <w:color w:val="111111"/>
          <w:sz w:val="28"/>
          <w:szCs w:val="28"/>
          <w:rtl/>
        </w:rPr>
        <w:t xml:space="preserve">[شماره صفحه واقعی : 37]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العدالة </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الإنصاف:أنّ فی کثیر من أخبار الحسد إشارة إلی ذلک.</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 أمّا«الطیرة»-بفتح الیاء،و قد یسکّن-:و هی فی الأصل التشؤّم بالطیر </w:t>
      </w:r>
      <w:r>
        <w:rPr>
          <w:rStyle w:val="FootnoteReference"/>
        </w:rPr>
        <w:footnoteReference w:id="93"/>
      </w:r>
      <w:r>
        <w:rPr>
          <w:rFonts w:ascii="IRNazanin" w:hAnsi="IRNazanin" w:eastAsia="IRNazanin" w:cs="IRNazanin"/>
          <w:lang w:bidi="fa-IR"/>
          <w:color w:val="111111"/>
          <w:sz w:val="28"/>
          <w:szCs w:val="28"/>
          <w:rtl/>
        </w:rPr>
        <w:t xml:space="preserve">لأنّ أکثر تشؤم العرب کان به،خصوصا الغراب.</w:t>
      </w:r>
    </w:p>
    <w:p>
      <w:pPr>
        <w:pStyle w:val="BookText"/>
      </w:pPr>
      <w:r>
        <w:rPr>
          <w:rFonts w:ascii="IRNazanin" w:hAnsi="IRNazanin" w:eastAsia="IRNazanin" w:cs="IRNazanin"/>
          <w:lang w:bidi="fa-IR"/>
          <w:color w:val="111111"/>
          <w:sz w:val="28"/>
          <w:szCs w:val="28"/>
          <w:rtl/>
        </w:rPr>
        <w:t xml:space="preserve">و المراد:إمّا رفع المؤاخذة علیها؛و یؤیّده ما روی من:«أنّ الطیرة شرک و إنّما یذهبه التوکّل» </w:t>
      </w:r>
      <w:r>
        <w:rPr>
          <w:rStyle w:val="FootnoteReference"/>
        </w:rPr>
        <w:footnoteReference w:id="94"/>
      </w:r>
      <w:r>
        <w:rPr>
          <w:rFonts w:ascii="Amiri" w:hAnsi="Amiri" w:eastAsia="Amiri" w:cs="Amiri"/>
          <w:lang w:bidi="ar-SA"/>
          <w:color w:val="111111"/>
          <w:sz w:val="28"/>
          <w:szCs w:val="28"/>
          <w:rtl/>
        </w:rPr>
        <w:t xml:space="preserve">،و إمّا رفع أثرها؛لأنّ التطیّر </w:t>
      </w:r>
      <w:r>
        <w:rPr>
          <w:rStyle w:val="FootnoteReference"/>
        </w:rPr>
        <w:footnoteReference w:id="95"/>
      </w:r>
      <w:r>
        <w:rPr>
          <w:rFonts w:ascii="IRNazanin" w:hAnsi="IRNazanin" w:eastAsia="IRNazanin" w:cs="IRNazanin"/>
          <w:lang w:bidi="fa-IR"/>
          <w:color w:val="111111"/>
          <w:sz w:val="28"/>
          <w:szCs w:val="28"/>
          <w:rtl/>
        </w:rPr>
        <w:t xml:space="preserve">کان یصدّهم عن مقاصدهم،فنفاه الشرع.</w:t>
      </w:r>
    </w:p>
    <w:p>
      <w:pPr>
        <w:pStyle w:val="BookText"/>
      </w:pPr>
      <w:r>
        <w:rPr>
          <w:rFonts w:ascii="IRNazanin" w:hAnsi="IRNazanin" w:eastAsia="IRNazanin" w:cs="IRNazanin"/>
          <w:lang w:bidi="fa-IR"/>
          <w:color w:val="111111"/>
          <w:sz w:val="28"/>
          <w:szCs w:val="28"/>
          <w:rtl/>
        </w:rPr>
        <w:t xml:space="preserve">و أمّا«الوسوسة فی التفکّر فی الخلق»کما فی النبویّ الثانی،أو «التفکّر فی الوسوسة فیه»کما فی الأوّل،فهما واحد،و الأوّل أنسب، و لعلّ الثانی اشتباه من الراوی.</w:t>
      </w:r>
    </w:p>
    <w:p>
      <w:pPr>
        <w:pStyle w:val="BookText"/>
      </w:pPr>
      <w:r>
        <w:rPr>
          <w:rFonts w:ascii="IRNazanin" w:hAnsi="IRNazanin" w:eastAsia="IRNazanin" w:cs="IRNazanin"/>
          <w:lang w:bidi="fa-IR"/>
          <w:color w:val="111111"/>
          <w:sz w:val="28"/>
          <w:szCs w:val="28"/>
          <w:rtl/>
        </w:rPr>
        <w:t xml:space="preserve">و المراد به-کما قیل </w:t>
      </w:r>
      <w:r>
        <w:rPr>
          <w:rStyle w:val="FootnoteReference"/>
        </w:rPr>
        <w:footnoteReference w:id="96"/>
      </w:r>
      <w:r>
        <w:rPr>
          <w:rFonts w:ascii="IRNazanin" w:hAnsi="IRNazanin" w:eastAsia="IRNazanin" w:cs="IRNazanin"/>
          <w:lang w:bidi="fa-IR"/>
          <w:color w:val="111111"/>
          <w:sz w:val="28"/>
          <w:szCs w:val="28"/>
          <w:rtl/>
        </w:rPr>
        <w:t xml:space="preserve">-:وسوسة الشیطان للانسان عند تفکّره فی أمر الخلقة؛و قد استفاضت الأخبار بالعفو عنه.</w:t>
      </w:r>
    </w:p>
    <w:p>
      <w:pPr>
        <w:pStyle w:val="BookText"/>
      </w:pPr>
      <w:r>
        <w:rPr>
          <w:rFonts w:ascii="IRNazanin" w:hAnsi="IRNazanin" w:eastAsia="IRNazanin" w:cs="IRNazanin"/>
          <w:lang w:bidi="fa-IR"/>
          <w:color w:val="111111"/>
          <w:sz w:val="28"/>
          <w:szCs w:val="28"/>
          <w:rtl/>
        </w:rPr>
        <w:t xml:space="preserve">ففی صحیحة جمیل بن درّاج،قلت لأبی عبد اللّه علیه السّلام:«إنّه یقع فی قلبی أمر عظیم،فقال علیه السّلام:قل:لا إله إلاّ اللّه،قال جمیل:فکلّما وقع فی قلبی شیء قلت:لا إله إلاّ اللّه،فذهب عنی» </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38]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روایة حمران عن أبی عبد اللّه علیه السّلام،عن الوسوسة و إن کثرت،قال:«لا شیء فیها،تقول:لا إله إلاّ اللّه» </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صحیحة محمّد بن مسلم،عن أبی عبد اللّه علیه السّلام:«جاء رجل إلی النبیّ صلّی اللّه علیه و آله و سلّم،فقال:یا رسول اللّه،إنّی هلکت،فقال صلّی اللّه علیه و آله له:أتاک الخبیث فقال لک:من خلقک؟فقلت:اللّه تعالی،فقال:اللّه </w:t>
      </w:r>
      <w:r>
        <w:rPr>
          <w:rStyle w:val="FootnoteReference"/>
        </w:rPr>
        <w:footnoteReference w:id="99"/>
      </w:r>
      <w:r>
        <w:rPr>
          <w:rFonts w:ascii="IRNazanin" w:hAnsi="IRNazanin" w:eastAsia="IRNazanin" w:cs="IRNazanin"/>
          <w:lang w:bidi="fa-IR"/>
          <w:color w:val="111111"/>
          <w:sz w:val="28"/>
          <w:szCs w:val="28"/>
          <w:rtl/>
        </w:rPr>
        <w:t xml:space="preserve">من خلقه؟فقال:إی و الذی بعثک بالحقّ قال کذا،فقال صلّی اللّه علیه و آله:ذاک و اللّه محض الإیمان».</w:t>
      </w:r>
    </w:p>
    <w:p>
      <w:pPr>
        <w:pStyle w:val="BookText"/>
      </w:pPr>
      <w:r>
        <w:rPr>
          <w:rFonts w:ascii="IRNazanin" w:hAnsi="IRNazanin" w:eastAsia="IRNazanin" w:cs="IRNazanin"/>
          <w:lang w:bidi="fa-IR"/>
          <w:color w:val="111111"/>
          <w:sz w:val="28"/>
          <w:szCs w:val="28"/>
          <w:rtl/>
        </w:rPr>
        <w:t xml:space="preserve">قال ابن أبی عمیر:فحدّثت ذلک عبد الرحمن بن الحجّاج،فقال:</w:t>
      </w:r>
    </w:p>
    <w:p>
      <w:pPr>
        <w:pStyle w:val="BookText"/>
      </w:pPr>
      <w:r>
        <w:rPr>
          <w:rFonts w:ascii="IRNazanin" w:hAnsi="IRNazanin" w:eastAsia="IRNazanin" w:cs="IRNazanin"/>
          <w:lang w:bidi="fa-IR"/>
          <w:color w:val="111111"/>
          <w:sz w:val="28"/>
          <w:szCs w:val="28"/>
          <w:rtl/>
        </w:rPr>
        <w:t xml:space="preserve">حدّثنی أبی،عن أبی عبد اللّه علیه السّلام:«إنّ رسول اللّه صلّی اللّه علیه و آله إنّما عنی بقوله:"هذا محض الإیمان"خوفه أن یکون قد هلک حیث عرض فی قلبه ذلک» </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روایة اخری عنه صلّی اللّه علیه و آله:«و الّذی بعثنی بالحقّ إنّ هذا لصریح الإیمان،فإذا وجدتموه فقولوا:آمنّا باللّه و رسوله،و لا حول و لا قوّة إلاّ باللّه» </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روایة اخری عنه صلّی اللّه علیه و آله:«إنّ الشیطان أتاکم من قبل الأعمال فلم یقو علیکم،فأتاکم من هذا الوجه لکی یستزلّکم،فإذا کان کذلک فلیذکر أحدکم اللّه تعالی وحده» </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39]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4" w:name="pg14411_142429"/>
    <w:bookmarkEnd w:id="24"/>
    <w:p>
      <w:pPr>
        <w:pStyle w:val="BookText"/>
      </w:pPr>
      <w:r>
        <w:rPr>
          <w:rFonts w:ascii="IRNazanin" w:hAnsi="IRNazanin" w:eastAsia="IRNazanin" w:cs="IRNazanin"/>
          <w:lang w:bidi="fa-IR"/>
          <w:color w:val="111111"/>
          <w:sz w:val="28"/>
          <w:szCs w:val="28"/>
          <w:rtl/>
        </w:rPr>
        <w:t xml:space="preserve">و یحتمل أن یراد بالوسوسة فی الخلق:الوسوسة فی امور الناس و سوء الظنّ بهم،و هذا أنسب بقوله:«ما لم ینطق بشفة» </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هذا الذی ذکرنا هو الظاهر المعروف فی معنی الثلاثة الأخیرة المذکورة فی الصحیحة.</w:t>
      </w:r>
    </w:p>
    <w:p>
      <w:pPr>
        <w:pStyle w:val="BookText"/>
      </w:pPr>
      <w:r>
        <w:rPr>
          <w:rFonts w:ascii="IRNazanin" w:hAnsi="IRNazanin" w:eastAsia="IRNazanin" w:cs="IRNazanin"/>
          <w:lang w:bidi="fa-IR"/>
          <w:color w:val="111111"/>
          <w:sz w:val="28"/>
          <w:szCs w:val="28"/>
          <w:rtl/>
        </w:rPr>
        <w:t xml:space="preserve">و فی الخصال بسند فیه رفع،عن أبی عبد اللّه علیه السّلام:«قال:ثلاث لم یعر منها نبیّ فمن دونه:الطیرة،و الحسد،و التفکّر فی الوسوسة فی الخلق» </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Heading6"/>
      </w:pPr>
      <w:bookmarkStart w:id="1014" w:name="_Toc49"/>
      <w:r>
        <w:t>[ما ذکره الصدوق فی تفسیر الطیرة و الحسد و الوسوسة]</w:t>
      </w:r>
      <w:bookmarkEnd w:id="1014"/>
    </w:p>
    <w:p>
      <w:pPr>
        <w:pStyle w:val="BookText"/>
      </w:pPr>
      <w:r>
        <w:rPr>
          <w:rFonts w:ascii="IRNazanin" w:hAnsi="IRNazanin" w:eastAsia="IRNazanin" w:cs="IRNazanin"/>
          <w:lang w:bidi="fa-IR"/>
          <w:color w:val="111111"/>
          <w:sz w:val="28"/>
          <w:szCs w:val="28"/>
          <w:rtl/>
        </w:rPr>
        <w:t xml:space="preserve">و ذکر الصدوق رحمه اللّه فی تفسیرها </w:t>
      </w:r>
      <w:r>
        <w:rPr>
          <w:rStyle w:val="FootnoteReference"/>
        </w:rPr>
        <w:footnoteReference w:id="105"/>
      </w:r>
      <w:r>
        <w:rPr>
          <w:rFonts w:ascii="Amiri" w:hAnsi="Amiri" w:eastAsia="Amiri" w:cs="Amiri"/>
          <w:lang w:bidi="ar-SA"/>
          <w:color w:val="111111"/>
          <w:sz w:val="28"/>
          <w:szCs w:val="28"/>
          <w:rtl/>
        </w:rPr>
        <w:t xml:space="preserve">:أنّ المراد بالطیرة التطیّر بالنبیّ صلّی اللّه علیه و آله أو المؤمن،لا تطیّره؛کما حکی اللّه عزّ و جلّ عن الکفّار:</w:t>
      </w:r>
    </w:p>
    <w:p>
      <w:pPr>
        <w:pStyle w:val="BookText"/>
      </w:pPr>
      <w:r>
        <w:rPr>
          <w:rFonts w:ascii="Amiri" w:hAnsi="Amiri" w:eastAsia="Amiri" w:cs="Amiri"/>
          <w:lang w:bidi="ar-SA"/>
          <w:color w:val="111111"/>
          <w:sz w:val="28"/>
          <w:szCs w:val="28"/>
          <w:rtl/>
        </w:rPr>
        <w:t xml:space="preserve">قٰالُوا اطَّیَّرْنٰا بِکَ وَ بِمَنْ مَعَکَ </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المراد ب«الحسد»أن یحسد،لا أن یحسد؛کما قال اللّه تعالی:</w:t>
      </w:r>
    </w:p>
    <w:p>
      <w:pPr>
        <w:pStyle w:val="BookText"/>
      </w:pPr>
      <w:r>
        <w:rPr>
          <w:rFonts w:ascii="Amiri" w:hAnsi="Amiri" w:eastAsia="Amiri" w:cs="Amiri"/>
          <w:lang w:bidi="ar-SA"/>
          <w:color w:val="111111"/>
          <w:sz w:val="28"/>
          <w:szCs w:val="28"/>
          <w:rtl/>
        </w:rPr>
        <w:t xml:space="preserve">أَمْ یَحْسُدُونَ النّٰاسَ عَلیٰ مٰا آتٰاهُمُ اللّٰهُ </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المراد ب«التفکّر»ابتلاء الأنبیاء علیهم السّلام بأهل الوسوسة،لا غیر ذلک؛کما حکی اللّه عن الولید بن مغیرة: إِنَّهُ فَکَّرَ وَ قَدَّرَ فَقُتِلَ کَیْفَ قَدَّرَ </w:t>
      </w:r>
      <w:r>
        <w:rPr>
          <w:rStyle w:val="FootnoteReference"/>
        </w:rPr>
        <w:footnoteReference w:id="108"/>
      </w:r>
      <w:r>
        <w:rPr>
          <w:rFonts w:ascii="IRNazanin" w:hAnsi="IRNazanin" w:eastAsia="IRNazanin" w:cs="IRNazanin"/>
          <w:lang w:bidi="fa-IR"/>
          <w:color w:val="111111"/>
          <w:sz w:val="28"/>
          <w:szCs w:val="28"/>
          <w:rtl/>
        </w:rPr>
        <w:t xml:space="preserve">،فافهم.</w:t>
      </w:r>
    </w:p>
    <w:p>
      <w:pPr>
        <w:pStyle w:val="BookText"/>
      </w:pPr>
      <w:r>
        <w:rPr>
          <w:rFonts w:ascii="IRNazanin" w:hAnsi="IRNazanin" w:eastAsia="IRNazanin" w:cs="IRNazanin"/>
          <w:lang w:bidi="fa-IR"/>
          <w:color w:val="111111"/>
          <w:sz w:val="28"/>
          <w:szCs w:val="28"/>
          <w:rtl/>
        </w:rPr>
        <w:t xml:space="preserve">[شماره صفحه واقعی : 40]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5" w:name="pg14411_142430"/>
    <w:bookmarkEnd w:id="25"/>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 قد خرجنا فی الکلام فی النبویّ الشریف عمّا یقتضیه وضع الرسالة.</w:t>
      </w:r>
    </w:p>
    <w:p>
      <w:pPr>
        <w:pStyle w:val="Heading6"/>
      </w:pPr>
      <w:bookmarkStart w:id="1015" w:name="_Toc50"/>
      <w:r>
        <w:t>[الاستدلال بحدیث«الحجب»و المناقشة فیه]</w:t>
      </w:r>
      <w:bookmarkEnd w:id="1015"/>
    </w:p>
    <w:p>
      <w:pPr>
        <w:pStyle w:val="BookText"/>
      </w:pPr>
      <w:r>
        <w:rPr>
          <w:rFonts w:ascii="IRNazanin" w:hAnsi="IRNazanin" w:eastAsia="IRNazanin" w:cs="IRNazanin"/>
          <w:lang w:bidi="fa-IR"/>
          <w:color w:val="111111"/>
          <w:sz w:val="28"/>
          <w:szCs w:val="28"/>
          <w:rtl/>
        </w:rPr>
        <w:t xml:space="preserve">و منها:قوله علیه السّلام:«ما حجب اللّه علمه عن العباد فهو موضوع عنهم» </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المحجوب حرمة شرب التتن،فهی موضوعة عن العباد.</w:t>
      </w:r>
    </w:p>
    <w:p>
      <w:pPr>
        <w:pStyle w:val="BookText"/>
      </w:pPr>
      <w:r>
        <w:rPr>
          <w:rFonts w:ascii="IRNazanin" w:hAnsi="IRNazanin" w:eastAsia="IRNazanin" w:cs="IRNazanin"/>
          <w:lang w:bidi="fa-IR"/>
          <w:color w:val="111111"/>
          <w:sz w:val="28"/>
          <w:szCs w:val="28"/>
          <w:rtl/>
        </w:rPr>
        <w:t xml:space="preserve">و فیه:أنّ الظاهر ممّا حجب اللّه علمه ما لم یبیّنه للعباد، لا ما بیّنه و اختفی علیهم بمعصیة </w:t>
      </w:r>
      <w:r>
        <w:rPr>
          <w:rStyle w:val="FootnoteReference"/>
        </w:rPr>
        <w:footnoteReference w:id="110"/>
      </w:r>
      <w:r>
        <w:rPr>
          <w:rFonts w:ascii="IRNazanin" w:hAnsi="IRNazanin" w:eastAsia="IRNazanin" w:cs="IRNazanin"/>
          <w:lang w:bidi="fa-IR"/>
          <w:color w:val="111111"/>
          <w:sz w:val="28"/>
          <w:szCs w:val="28"/>
          <w:rtl/>
        </w:rPr>
        <w:t xml:space="preserve">من عصی اللّه فی کتمان الحق أو ستره؛فالروایة مساوقة لما ورد عن مولانا أمیر المؤمنین علیه السّلام:«إنّ اللّه تعالی حدّ حدودا فلا تعتدوها،و فرض فرائض فلا تعصوها،و سکت عن أشیاء لم یسکت عنها نسیانا فلا تتکلّفوها؛رحمة من اللّه لکم» </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Heading6"/>
      </w:pPr>
      <w:bookmarkStart w:id="1016" w:name="_Toc51"/>
      <w:r>
        <w:t>[الاستدلال بحدیث«السعة»و المناقشة فیه]</w:t>
      </w:r>
      <w:bookmarkEnd w:id="1016"/>
    </w:p>
    <w:p>
      <w:pPr>
        <w:pStyle w:val="BookText"/>
      </w:pPr>
      <w:r>
        <w:rPr>
          <w:rFonts w:ascii="IRNazanin" w:hAnsi="IRNazanin" w:eastAsia="IRNazanin" w:cs="IRNazanin"/>
          <w:lang w:bidi="fa-IR"/>
          <w:color w:val="111111"/>
          <w:sz w:val="28"/>
          <w:szCs w:val="28"/>
          <w:rtl/>
        </w:rPr>
        <w:t xml:space="preserve">و منها:قوله علیه السّلام:«الناس فی سعة ما لم یعلموا» </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کلمة«ما»إمّا موصولة اضیف إلیه السعة و إمّا مصدریّة ظرفیّة،و علی التقدیرین یثبت المطلوب.</w:t>
      </w:r>
    </w:p>
    <w:p>
      <w:pPr>
        <w:pStyle w:val="BookText"/>
      </w:pPr>
      <w:r>
        <w:rPr>
          <w:rFonts w:ascii="IRNazanin" w:hAnsi="IRNazanin" w:eastAsia="IRNazanin" w:cs="IRNazanin"/>
          <w:lang w:bidi="fa-IR"/>
          <w:color w:val="111111"/>
          <w:sz w:val="28"/>
          <w:szCs w:val="28"/>
          <w:rtl/>
        </w:rPr>
        <w:t xml:space="preserve">و فیه:ما تقدّم فی الآیات </w:t>
      </w:r>
      <w:r>
        <w:rPr>
          <w:rStyle w:val="FootnoteReference"/>
        </w:rPr>
        <w:footnoteReference w:id="113"/>
      </w:r>
      <w:r>
        <w:rPr>
          <w:rFonts w:ascii="IRNazanin" w:hAnsi="IRNazanin" w:eastAsia="IRNazanin" w:cs="IRNazanin"/>
          <w:lang w:bidi="fa-IR"/>
          <w:color w:val="111111"/>
          <w:sz w:val="28"/>
          <w:szCs w:val="28"/>
          <w:rtl/>
        </w:rPr>
        <w:t xml:space="preserve">:من أنّ الأخباریین لا ینکرون عدم</w:t>
      </w:r>
    </w:p>
    <w:p>
      <w:pPr>
        <w:pStyle w:val="BookText"/>
      </w:pPr>
      <w:r>
        <w:rPr>
          <w:rFonts w:ascii="IRNazanin" w:hAnsi="IRNazanin" w:eastAsia="IRNazanin" w:cs="IRNazanin"/>
          <w:lang w:bidi="fa-IR"/>
          <w:color w:val="111111"/>
          <w:sz w:val="28"/>
          <w:szCs w:val="28"/>
          <w:rtl/>
        </w:rPr>
        <w:t xml:space="preserve">[شماره صفحه واقعی : 41]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6" w:name="pg14411_142431"/>
    <w:bookmarkEnd w:id="26"/>
    <w:p>
      <w:pPr>
        <w:pStyle w:val="BookText"/>
      </w:pPr>
      <w:r>
        <w:rPr>
          <w:rFonts w:ascii="IRNazanin" w:hAnsi="IRNazanin" w:eastAsia="IRNazanin" w:cs="IRNazanin"/>
          <w:lang w:bidi="fa-IR"/>
          <w:color w:val="111111"/>
          <w:sz w:val="28"/>
          <w:szCs w:val="28"/>
          <w:rtl/>
        </w:rPr>
        <w:t xml:space="preserve">وجوب الاحتیاط علی من لم یعلم بوجوب الاحتیاط من العقل و النقل بعد التأمّل و التتبّع.</w:t>
      </w:r>
    </w:p>
    <w:p>
      <w:pPr>
        <w:pStyle w:val="Heading6"/>
      </w:pPr>
      <w:bookmarkStart w:id="1017" w:name="_Toc52"/>
      <w:r>
        <w:t>[الاستدلال بروایة«عبد الأعلی»و المناقشة فیه]</w:t>
      </w:r>
      <w:bookmarkEnd w:id="1017"/>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 منها:روایة عبد الأعلی عن الصادق علیه السّلام:«قال:سألته عمّن لم یعرف شیئا،هل علیه شیء؟قال:لا» </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بناء علی أنّ المراد بالشیء الأوّل فرد معیّن مفروض فی الخارج حتّی لا یفید العموم فی النفی </w:t>
      </w:r>
      <w:r>
        <w:rPr>
          <w:rStyle w:val="FootnoteReference"/>
        </w:rPr>
        <w:footnoteReference w:id="115"/>
      </w:r>
      <w:r>
        <w:rPr>
          <w:rFonts w:ascii="IRNazanin" w:hAnsi="IRNazanin" w:eastAsia="IRNazanin" w:cs="IRNazanin"/>
          <w:lang w:bidi="fa-IR"/>
          <w:color w:val="111111"/>
          <w:sz w:val="28"/>
          <w:szCs w:val="28"/>
          <w:rtl/>
        </w:rPr>
        <w:t xml:space="preserve">،فیکون المراد:هل علیه شیء فی خصوص ذلک الشیء المجهول؟و أمّا بناء علی إرادة العموم فظاهره السؤال عن القاصر الذی لا یدرک شیئا.</w:t>
      </w:r>
    </w:p>
    <w:p>
      <w:pPr>
        <w:pStyle w:val="Heading6"/>
      </w:pPr>
      <w:bookmarkStart w:id="1018" w:name="_Toc53"/>
      <w:r>
        <w:t>[الاستدلال بروایة«أیّما امرئ...»و المناقشة فیه]</w:t>
      </w:r>
      <w:bookmarkEnd w:id="1018"/>
    </w:p>
    <w:p>
      <w:pPr>
        <w:pStyle w:val="BookText"/>
      </w:pPr>
      <w:r>
        <w:rPr>
          <w:rFonts w:ascii="IRNazanin" w:hAnsi="IRNazanin" w:eastAsia="IRNazanin" w:cs="IRNazanin"/>
          <w:lang w:bidi="fa-IR"/>
          <w:color w:val="111111"/>
          <w:sz w:val="28"/>
          <w:szCs w:val="28"/>
          <w:rtl/>
        </w:rPr>
        <w:t xml:space="preserve">و منها:قوله:«أیّما امرئ رکب أمرا بجهالة فلا شیء علیه» </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فیه:أنّ الظاهر من الروایة و نظائرها من قولک:«فلان عمل بکذا بجهالة»هو اعتقاد الصواب أو الغفلة عن الواقع،فلا یعمّ صورة التردّد فی کون فعله صوابا أو خطأ.</w:t>
      </w:r>
    </w:p>
    <w:p>
      <w:pPr>
        <w:pStyle w:val="BookText"/>
      </w:pPr>
      <w:r>
        <w:rPr>
          <w:rFonts w:ascii="IRNazanin" w:hAnsi="IRNazanin" w:eastAsia="IRNazanin" w:cs="IRNazanin"/>
          <w:lang w:bidi="fa-IR"/>
          <w:color w:val="111111"/>
          <w:sz w:val="28"/>
          <w:szCs w:val="28"/>
          <w:rtl/>
        </w:rPr>
        <w:t xml:space="preserve">و یؤیّده:أنّ تعمیم الجهالة لصورة التردّد یحوج الکلام إلی التخصیص بالشاکّ الغیر المقصّر،و سیاقه یأبی عن التخصیص،فتأمّل.</w:t>
      </w:r>
    </w:p>
    <w:p>
      <w:pPr>
        <w:pStyle w:val="Heading6"/>
      </w:pPr>
      <w:bookmarkStart w:id="1019" w:name="_Toc54"/>
      <w:r>
        <w:t>[الاستدلال بروایة«إنّ اللّه تعالی یحتجّ...»و المناقشة فیه]</w:t>
      </w:r>
      <w:bookmarkEnd w:id="1019"/>
    </w:p>
    <w:p>
      <w:pPr>
        <w:pStyle w:val="BookText"/>
      </w:pPr>
      <w:r>
        <w:rPr>
          <w:rFonts w:ascii="IRNazanin" w:hAnsi="IRNazanin" w:eastAsia="IRNazanin" w:cs="IRNazanin"/>
          <w:lang w:bidi="fa-IR"/>
          <w:color w:val="111111"/>
          <w:sz w:val="28"/>
          <w:szCs w:val="28"/>
          <w:rtl/>
        </w:rPr>
        <w:t xml:space="preserve">و منها:قوله علیه السّلام:«إنّ اللّه یحتجّ علی العباد بما آتاهم و عرّفهم» </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42]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7" w:name="pg14411_142432"/>
    <w:bookmarkEnd w:id="27"/>
    <w:p>
      <w:pPr>
        <w:pStyle w:val="BookText"/>
      </w:pPr>
      <w:r>
        <w:rPr>
          <w:rFonts w:ascii="IRNazanin" w:hAnsi="IRNazanin" w:eastAsia="IRNazanin" w:cs="IRNazanin"/>
          <w:lang w:bidi="fa-IR"/>
          <w:color w:val="111111"/>
          <w:sz w:val="28"/>
          <w:szCs w:val="28"/>
          <w:rtl/>
        </w:rPr>
        <w:t xml:space="preserve">و فیه:أنّ مدلوله-کما عرفت </w:t>
      </w:r>
      <w:r>
        <w:rPr>
          <w:rStyle w:val="FootnoteReference"/>
        </w:rPr>
        <w:footnoteReference w:id="118"/>
      </w:r>
      <w:r>
        <w:rPr>
          <w:rFonts w:ascii="IRNazanin" w:hAnsi="IRNazanin" w:eastAsia="IRNazanin" w:cs="IRNazanin"/>
          <w:lang w:bidi="fa-IR"/>
          <w:color w:val="111111"/>
          <w:sz w:val="28"/>
          <w:szCs w:val="28"/>
          <w:rtl/>
        </w:rPr>
        <w:t xml:space="preserve">فی الآیات و غیر واحد من الأخبار-ممّا لا ینکره الأخباریّون.</w:t>
      </w:r>
    </w:p>
    <w:p>
      <w:pPr>
        <w:pStyle w:val="Heading6"/>
      </w:pPr>
      <w:bookmarkStart w:id="1020" w:name="_Toc55"/>
      <w:r>
        <w:t>[الاستدلال بمرسلة الفقیه]</w:t>
      </w:r>
      <w:bookmarkEnd w:id="1020"/>
    </w:p>
    <w:p>
      <w:pPr>
        <w:pStyle w:val="BookText"/>
      </w:pPr>
      <w:r>
        <w:rPr>
          <w:rFonts w:ascii="IRNazanin" w:hAnsi="IRNazanin" w:eastAsia="IRNazanin" w:cs="IRNazanin"/>
          <w:lang w:bidi="fa-IR"/>
          <w:color w:val="111111"/>
          <w:sz w:val="28"/>
          <w:szCs w:val="28"/>
          <w:rtl/>
        </w:rPr>
        <w:t xml:space="preserve">و منها:قوله علیه السّلام فی مرسلة الفقیه:«کلّ شیء مطلق حتّی یرد فیه نهی» </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استدلّ به الصدوق علی جواز القنوت بالفارسیة </w:t>
      </w:r>
      <w:r>
        <w:rPr>
          <w:rStyle w:val="FootnoteReference"/>
        </w:rPr>
        <w:footnoteReference w:id="120"/>
      </w:r>
      <w:r>
        <w:rPr>
          <w:rFonts w:ascii="IRNazanin" w:hAnsi="IRNazanin" w:eastAsia="IRNazanin" w:cs="IRNazanin"/>
          <w:lang w:bidi="fa-IR"/>
          <w:color w:val="111111"/>
          <w:sz w:val="28"/>
          <w:szCs w:val="28"/>
          <w:rtl/>
        </w:rPr>
        <w:t xml:space="preserve">،و استند إلیه فی أمالیه حیث جعل إباحة الأشیاء حتّی یثبت الحظر من دین الامامیة </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 دلالته علی المطلب أوضح من الکلّ،و ظاهره عدم وجوب الاحتیاط؛لأنّ الظاهر إرادة ورود النهی فی الشیء من حیث هو، لا من حیث کونه مجهول الحکم،فإن تمّ ما سیأتی من أدلّة الاحتیاط </w:t>
      </w:r>
      <w:r>
        <w:rPr>
          <w:rStyle w:val="FootnoteReference"/>
        </w:rPr>
        <w:footnoteReference w:id="122"/>
      </w:r>
      <w:r>
        <w:rPr>
          <w:rFonts w:ascii="IRNazanin" w:hAnsi="IRNazanin" w:eastAsia="IRNazanin" w:cs="IRNazanin"/>
          <w:lang w:bidi="fa-IR"/>
          <w:color w:val="111111"/>
          <w:sz w:val="28"/>
          <w:szCs w:val="28"/>
          <w:rtl/>
        </w:rPr>
        <w:t xml:space="preserve">دلالة و سندا وجب ملاحظة التعارض بینها و بین هذه الروایة و أمثالها ممّا یدلّ علی عدم وجوب الاحتیاط،ثمّ الرجوع إلی ما تقتضیه </w:t>
      </w:r>
      <w:r>
        <w:rPr>
          <w:rStyle w:val="FootnoteReference"/>
        </w:rPr>
        <w:footnoteReference w:id="123"/>
      </w:r>
      <w:r>
        <w:rPr>
          <w:rFonts w:ascii="Amiri" w:hAnsi="Amiri" w:eastAsia="Amiri" w:cs="Amiri"/>
          <w:lang w:bidi="ar-SA"/>
          <w:color w:val="111111"/>
          <w:sz w:val="28"/>
          <w:szCs w:val="28"/>
          <w:rtl/>
        </w:rPr>
        <w:t xml:space="preserve">قاعدة التعارض.</w:t>
      </w:r>
    </w:p>
    <w:p>
      <w:pPr>
        <w:pStyle w:val="Heading6"/>
      </w:pPr>
      <w:bookmarkStart w:id="1021" w:name="_Toc56"/>
      <w:r>
        <w:t>[الاستدلال بصحیحة عبد الرحمن بن الحجّاج]</w:t>
      </w:r>
      <w:bookmarkEnd w:id="1021"/>
    </w:p>
    <w:p>
      <w:pPr>
        <w:pStyle w:val="Heading6"/>
      </w:pPr>
      <w:bookmarkStart w:id="1022" w:name="_Toc57"/>
      <w:r>
        <w:t>اشارة</w:t>
      </w:r>
      <w:bookmarkEnd w:id="1022"/>
    </w:p>
    <w:p>
      <w:pPr>
        <w:pStyle w:val="BookText"/>
      </w:pPr>
      <w:r>
        <w:rPr>
          <w:rFonts w:ascii="IRNazanin" w:hAnsi="IRNazanin" w:eastAsia="IRNazanin" w:cs="IRNazanin"/>
          <w:lang w:bidi="fa-IR"/>
          <w:color w:val="111111"/>
          <w:sz w:val="28"/>
          <w:szCs w:val="28"/>
          <w:rtl/>
        </w:rPr>
        <w:t xml:space="preserve">و قد یحتجّ بصحیحة عبد الرحمن بن الحجّاج،فی من تزوّج امرأة</w:t>
      </w:r>
    </w:p>
    <w:p>
      <w:pPr>
        <w:pStyle w:val="BookText"/>
      </w:pPr>
      <w:r>
        <w:rPr>
          <w:rFonts w:ascii="IRNazanin" w:hAnsi="IRNazanin" w:eastAsia="IRNazanin" w:cs="IRNazanin"/>
          <w:lang w:bidi="fa-IR"/>
          <w:color w:val="111111"/>
          <w:sz w:val="28"/>
          <w:szCs w:val="28"/>
          <w:rtl/>
        </w:rPr>
        <w:t xml:space="preserve">[شماره صفحه واقعی : 43]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28" w:name="pg14411_142433"/>
    <w:bookmarkEnd w:id="28"/>
    <w:p>
      <w:pPr>
        <w:pStyle w:val="BookText"/>
      </w:pPr>
      <w:r>
        <w:rPr>
          <w:rFonts w:ascii="IRNazanin" w:hAnsi="IRNazanin" w:eastAsia="IRNazanin" w:cs="IRNazanin"/>
          <w:lang w:bidi="fa-IR"/>
          <w:color w:val="111111"/>
          <w:sz w:val="28"/>
          <w:szCs w:val="28"/>
          <w:rtl/>
        </w:rPr>
        <w:t xml:space="preserve">فی عدّتها:«قال:أمّا إذا کان بجهالة فلیتزوّجها بعد ما تنقضی </w:t>
      </w:r>
      <w:r>
        <w:rPr>
          <w:rStyle w:val="FootnoteReference"/>
        </w:rPr>
        <w:footnoteReference w:id="124"/>
      </w:r>
      <w:r>
        <w:rPr>
          <w:rFonts w:ascii="IRNazanin" w:hAnsi="IRNazanin" w:eastAsia="IRNazanin" w:cs="IRNazanin"/>
          <w:lang w:bidi="fa-IR"/>
          <w:color w:val="111111"/>
          <w:sz w:val="28"/>
          <w:szCs w:val="28"/>
          <w:rtl/>
        </w:rPr>
        <w:t xml:space="preserve">عدّتها، فقد یعذر الناس فی الجهالة بما هو أعظم من ذلک.قلت:بأیّ الجهالتین أعذر </w:t>
      </w:r>
      <w:r>
        <w:rPr>
          <w:rStyle w:val="FootnoteReference"/>
        </w:rPr>
        <w:footnoteReference w:id="125"/>
      </w:r>
      <w:r>
        <w:rPr>
          <w:rFonts w:ascii="IRNazanin" w:hAnsi="IRNazanin" w:eastAsia="IRNazanin" w:cs="IRNazanin"/>
          <w:lang w:bidi="fa-IR"/>
          <w:color w:val="111111"/>
          <w:sz w:val="28"/>
          <w:szCs w:val="28"/>
          <w:rtl/>
        </w:rPr>
        <w:t xml:space="preserve">،بجهالته أنّ ذلک محرّم علیه،أم بجهالته أنّها فی عدّة؟قال:</w:t>
      </w:r>
    </w:p>
    <w:p>
      <w:pPr>
        <w:pStyle w:val="BookText"/>
      </w:pPr>
      <w:r>
        <w:rPr>
          <w:rFonts w:ascii="IRNazanin" w:hAnsi="IRNazanin" w:eastAsia="IRNazanin" w:cs="IRNazanin"/>
          <w:lang w:bidi="fa-IR"/>
          <w:color w:val="111111"/>
          <w:sz w:val="28"/>
          <w:szCs w:val="28"/>
          <w:rtl/>
        </w:rPr>
        <w:t xml:space="preserve">إحدی الجهالتین أهون من الاخری،الجهالة بأن اللّه حرّم علیه ذلک؛ و ذلک لأنّه لا یقدر معها علی الاحتیاط،قلت:فهو فی الاخری معذور؟قال:نعم،إذا انقضت عدّتها فهو معذور فی أن یتزوّجها» </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Heading6"/>
      </w:pPr>
      <w:bookmarkStart w:id="1023" w:name="_Toc58"/>
      <w:r>
        <w:t>[المناقشة فی الاستدلال بالصحیحة]</w:t>
      </w:r>
      <w:bookmarkEnd w:id="1023"/>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 فیه:أنّ الجهل بکونها فی العدّة إن کان مع العلم بالعدّة فی الجملة و الشکّ فی انقضائها:فان کان الشک فی أصل الانقضاء مع العلم بمقدارها فهو شبهة فی الموضوع خارج عمّا نحن فیه،مع أنّ مقتضی الاستصحاب المرکوز فی الأذهان عدم الجواز.</w:t>
      </w:r>
    </w:p>
    <w:p>
      <w:pPr>
        <w:pStyle w:val="BookText"/>
      </w:pPr>
      <w:r>
        <w:rPr>
          <w:rFonts w:ascii="IRNazanin" w:hAnsi="IRNazanin" w:eastAsia="IRNazanin" w:cs="IRNazanin"/>
          <w:lang w:bidi="fa-IR"/>
          <w:color w:val="111111"/>
          <w:sz w:val="28"/>
          <w:szCs w:val="28"/>
          <w:rtl/>
        </w:rPr>
        <w:t xml:space="preserve">و منه یعلم:أنّه لو کان الشکّ فی مقدار العدّة فهی شبهة حکمیّة قصّر فی السؤال عنها،و هو لیس </w:t>
      </w:r>
      <w:r>
        <w:rPr>
          <w:rStyle w:val="FootnoteReference"/>
        </w:rPr>
        <w:footnoteReference w:id="127"/>
      </w:r>
      <w:r>
        <w:rPr>
          <w:rFonts w:ascii="IRNazanin" w:hAnsi="IRNazanin" w:eastAsia="IRNazanin" w:cs="IRNazanin"/>
          <w:lang w:bidi="fa-IR"/>
          <w:color w:val="111111"/>
          <w:sz w:val="28"/>
          <w:szCs w:val="28"/>
          <w:rtl/>
        </w:rPr>
        <w:t xml:space="preserve">معذورا فیها </w:t>
      </w:r>
      <w:r>
        <w:rPr>
          <w:rStyle w:val="FootnoteReference"/>
        </w:rPr>
        <w:footnoteReference w:id="128"/>
      </w:r>
      <w:r>
        <w:rPr>
          <w:rFonts w:ascii="IRNazanin" w:hAnsi="IRNazanin" w:eastAsia="IRNazanin" w:cs="IRNazanin"/>
          <w:lang w:bidi="fa-IR"/>
          <w:color w:val="111111"/>
          <w:sz w:val="28"/>
          <w:szCs w:val="28"/>
          <w:rtl/>
        </w:rPr>
        <w:t xml:space="preserve">اتفاقا؛و </w:t>
      </w:r>
      <w:r>
        <w:rPr>
          <w:rStyle w:val="FootnoteReference"/>
        </w:rPr>
        <w:footnoteReference w:id="129"/>
      </w:r>
      <w:r>
        <w:rPr>
          <w:rFonts w:ascii="IRNazanin" w:hAnsi="IRNazanin" w:eastAsia="IRNazanin" w:cs="IRNazanin"/>
          <w:lang w:bidi="fa-IR"/>
          <w:color w:val="111111"/>
          <w:sz w:val="28"/>
          <w:szCs w:val="28"/>
          <w:rtl/>
        </w:rPr>
        <w:t xml:space="preserve">لأصالة بقاء العدّة و أحکامها،بل فی روایة اخری أنّه:«إذا علمت أنّ علیها العدّة لزمتها الحجّة» </w:t>
      </w:r>
      <w:r>
        <w:rPr>
          <w:rStyle w:val="FootnoteReference"/>
        </w:rPr>
        <w:footnoteReference w:id="130"/>
      </w:r>
      <w:r>
        <w:rPr>
          <w:rFonts w:ascii="IRNazanin" w:hAnsi="IRNazanin" w:eastAsia="IRNazanin" w:cs="IRNazanin"/>
          <w:lang w:bidi="fa-IR"/>
          <w:color w:val="111111"/>
          <w:sz w:val="28"/>
          <w:szCs w:val="28"/>
          <w:rtl/>
        </w:rPr>
        <w:t xml:space="preserve">،فالمراد من المعذوریّة عدم حرمتها علیه مؤبّدا،</w:t>
      </w:r>
    </w:p>
    <w:p>
      <w:pPr>
        <w:pStyle w:val="BookText"/>
      </w:pPr>
      <w:r>
        <w:rPr>
          <w:rFonts w:ascii="IRNazanin" w:hAnsi="IRNazanin" w:eastAsia="IRNazanin" w:cs="IRNazanin"/>
          <w:lang w:bidi="fa-IR"/>
          <w:color w:val="111111"/>
          <w:sz w:val="28"/>
          <w:szCs w:val="28"/>
          <w:rtl/>
        </w:rPr>
        <w:t xml:space="preserve">[شماره صفحه واقعی : 44]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9" w:name="pg14411_142434"/>
    <w:bookmarkEnd w:id="29"/>
    <w:p>
      <w:pPr>
        <w:pStyle w:val="BookText"/>
      </w:pPr>
      <w:r>
        <w:rPr>
          <w:rFonts w:ascii="IRNazanin" w:hAnsi="IRNazanin" w:eastAsia="IRNazanin" w:cs="IRNazanin"/>
          <w:lang w:bidi="fa-IR"/>
          <w:color w:val="111111"/>
          <w:sz w:val="28"/>
          <w:szCs w:val="28"/>
          <w:rtl/>
        </w:rPr>
        <w:t xml:space="preserve">لا من حیث المؤاخذة.</w:t>
      </w:r>
    </w:p>
    <w:p>
      <w:pPr>
        <w:pStyle w:val="BookText"/>
      </w:pPr>
      <w:r>
        <w:rPr>
          <w:rFonts w:ascii="IRNazanin" w:hAnsi="IRNazanin" w:eastAsia="IRNazanin" w:cs="IRNazanin"/>
          <w:lang w:bidi="fa-IR"/>
          <w:color w:val="111111"/>
          <w:sz w:val="28"/>
          <w:szCs w:val="28"/>
          <w:rtl/>
        </w:rPr>
        <w:t xml:space="preserve">و یشهد له أیضا:قوله علیه السّلام-بعد قوله:«نعم،أنّه إذا انقضت عدّتها فهو معذور»-:«جاز له أن یتزوّجها».</w:t>
      </w:r>
    </w:p>
    <w:p>
      <w:pPr>
        <w:pStyle w:val="BookText"/>
      </w:pPr>
      <w:r>
        <w:rPr>
          <w:rFonts w:ascii="IRNazanin" w:hAnsi="IRNazanin" w:eastAsia="IRNazanin" w:cs="IRNazanin"/>
          <w:lang w:bidi="fa-IR"/>
          <w:color w:val="111111"/>
          <w:sz w:val="28"/>
          <w:szCs w:val="28"/>
          <w:rtl/>
        </w:rPr>
        <w:t xml:space="preserve">و کذا مع الجهل بأصل العدّة؛لوجوب الفحص،و أصالة عدم تأثیر العقد،خصوصا مع وضوح الحکم بین المسلمین الکاشف عن تقصیر الجاهل.</w:t>
      </w:r>
    </w:p>
    <w:p>
      <w:pPr>
        <w:pStyle w:val="BookText"/>
      </w:pPr>
      <w:r>
        <w:rPr>
          <w:rFonts w:ascii="IRNazanin" w:hAnsi="IRNazanin" w:eastAsia="IRNazanin" w:cs="IRNazanin"/>
          <w:lang w:bidi="fa-IR"/>
          <w:color w:val="111111"/>
          <w:sz w:val="28"/>
          <w:szCs w:val="28"/>
          <w:rtl/>
        </w:rPr>
        <w:t xml:space="preserve">هذا إن کان الجاهل ملتفتا شاکّا،و إن کان غافلا أو معتقدا للجواز فهو خارج عن مسألة البراءة؛لعدم قدرته علی الاحتیاط.</w:t>
      </w:r>
    </w:p>
    <w:p>
      <w:pPr>
        <w:pStyle w:val="BookText"/>
      </w:pPr>
      <w:r>
        <w:rPr>
          <w:rFonts w:ascii="IRNazanin" w:hAnsi="IRNazanin" w:eastAsia="IRNazanin" w:cs="IRNazanin"/>
          <w:lang w:bidi="fa-IR"/>
          <w:color w:val="111111"/>
          <w:sz w:val="28"/>
          <w:szCs w:val="28"/>
          <w:rtl/>
        </w:rPr>
        <w:t xml:space="preserve">و علیه یحمل تعلیل معذوریّة الجاهل بالتحریم بقوله علیه السّلام:«لأنّه لا یقدر...الخ»،و إن کان تخصیص الجاهل بالحرمة بهذا التعلیل یدلّ علی قدرة الجاهل بالعدّة علی الاحتیاط؛فلا یجوز حمله علی الغافل،إلاّ أنّه إشکال یرد علی الروایة علی کلّ تقدیر،و محصّله لزوم التفکیک بین الجهالتین،فتدبّر فیه و فی دفعه.</w:t>
      </w:r>
    </w:p>
    <w:p>
      <w:pPr>
        <w:pStyle w:val="Heading6"/>
      </w:pPr>
      <w:bookmarkStart w:id="1024" w:name="_Toc59"/>
      <w:r>
        <w:t>[الاستدلال بروایة«کلّ شیء فیه حلال و حرام...»]</w:t>
      </w:r>
      <w:bookmarkEnd w:id="1024"/>
    </w:p>
    <w:p>
      <w:pPr>
        <w:pStyle w:val="Heading6"/>
      </w:pPr>
      <w:bookmarkStart w:id="1025" w:name="_Toc60"/>
      <w:r>
        <w:t>اشارة</w:t>
      </w:r>
      <w:bookmarkEnd w:id="1025"/>
    </w:p>
    <w:p>
      <w:pPr>
        <w:pStyle w:val="BookText"/>
      </w:pPr>
      <w:r>
        <w:rPr>
          <w:rFonts w:ascii="IRNazanin" w:hAnsi="IRNazanin" w:eastAsia="IRNazanin" w:cs="IRNazanin"/>
          <w:lang w:bidi="fa-IR"/>
          <w:color w:val="111111"/>
          <w:sz w:val="28"/>
          <w:szCs w:val="28"/>
          <w:rtl/>
        </w:rPr>
        <w:t xml:space="preserve">و قد یستدلّ علی المطلب </w:t>
      </w:r>
      <w:r>
        <w:rPr>
          <w:rStyle w:val="FootnoteReference"/>
        </w:rPr>
        <w:footnoteReference w:id="131"/>
      </w:r>
      <w:r>
        <w:rPr>
          <w:rFonts w:ascii="IRNazanin" w:hAnsi="IRNazanin" w:eastAsia="IRNazanin" w:cs="IRNazanin"/>
          <w:lang w:bidi="fa-IR"/>
          <w:color w:val="111111"/>
          <w:sz w:val="28"/>
          <w:szCs w:val="28"/>
          <w:rtl/>
        </w:rPr>
        <w:t xml:space="preserve">-أخذا من الشهید فی الذکری </w:t>
      </w:r>
      <w:r>
        <w:rPr>
          <w:rStyle w:val="FootnoteReference"/>
        </w:rPr>
        <w:footnoteReference w:id="132"/>
      </w:r>
      <w:r>
        <w:rPr>
          <w:rFonts w:ascii="IRNazanin" w:hAnsi="IRNazanin" w:eastAsia="IRNazanin" w:cs="IRNazanin"/>
          <w:lang w:bidi="fa-IR"/>
          <w:color w:val="111111"/>
          <w:sz w:val="28"/>
          <w:szCs w:val="28"/>
          <w:rtl/>
        </w:rPr>
        <w:t xml:space="preserve">- بقوله علیه السّلام:«کلّ شیء فیه حلال و حرام فهو لک حلال حتّی تعرف الحرام منه بعینه فتدعه» </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 تقریب الاستدلال کما فی شرح الوافیة،أنّ معنی الحدیث:أنّ</w:t>
      </w:r>
    </w:p>
    <w:p>
      <w:pPr>
        <w:pStyle w:val="BookText"/>
      </w:pPr>
      <w:r>
        <w:rPr>
          <w:rFonts w:ascii="IRNazanin" w:hAnsi="IRNazanin" w:eastAsia="IRNazanin" w:cs="IRNazanin"/>
          <w:lang w:bidi="fa-IR"/>
          <w:color w:val="111111"/>
          <w:sz w:val="28"/>
          <w:szCs w:val="28"/>
          <w:rtl/>
        </w:rPr>
        <w:t xml:space="preserve">[شماره صفحه واقعی : 45]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 فعل من جملة الأفعال التی تتّصف بالحلّ و الحرمة،و کذا کلّ عین ممّا یتعلّق به فعل المکلّف و یتّصف بالحلّ و الحرمة،إذا لم یعلم الحکم الخاصّ به من الحلّ و الحرمة،فهو حلال؛فخرج ما لا یتّصف بهما جمیعا:من الأفعال الاضطراریة،و الأعیان التی لا یتعلّق بها فعل المکلّف،و ما علم أنّه حلال لا حرام فیه أو حرام لا حلال فیه.و لیس الغرض من ذکر الوصف مجرّد الاحتراز،بل هو مع بیان ما فیه الاشتباه.</w:t>
      </w:r>
    </w:p>
    <w:p>
      <w:pPr>
        <w:pStyle w:val="BookText"/>
      </w:pPr>
      <w:r>
        <w:rPr>
          <w:rFonts w:ascii="IRNazanin" w:hAnsi="IRNazanin" w:eastAsia="IRNazanin" w:cs="IRNazanin"/>
          <w:lang w:bidi="fa-IR"/>
          <w:color w:val="111111"/>
          <w:sz w:val="28"/>
          <w:szCs w:val="28"/>
          <w:rtl/>
        </w:rPr>
        <w:t xml:space="preserve">فصار الحاصل:أنّ ما اشتبه حکمه و کان محتملا لأن یکون حلالا و لأن یکون حراما فهو حلال،سواء علم حکم کلیّ فوقه أو تحته -بحیث لو فرض العلم باندراجه تحته أو تحقّقه فی ضمنه لعلم حکمه- أم لا.</w:t>
      </w:r>
    </w:p>
    <w:p>
      <w:pPr>
        <w:pStyle w:val="BookText"/>
      </w:pPr>
      <w:r>
        <w:rPr>
          <w:rFonts w:ascii="IRNazanin" w:hAnsi="IRNazanin" w:eastAsia="IRNazanin" w:cs="IRNazanin"/>
          <w:lang w:bidi="fa-IR"/>
          <w:color w:val="111111"/>
          <w:sz w:val="28"/>
          <w:szCs w:val="28"/>
          <w:rtl/>
        </w:rPr>
        <w:t xml:space="preserve">و بعبارة اخری:أنّ کلّ شیء فیه الحلال و الحرام عندک-بمعنی أنّک تقسّمه إلی هذین و تحکم علیه بأحدهما لا علی التعیین و لا تدری المعیّن منهما-فهو لک حلال.</w:t>
      </w:r>
    </w:p>
    <w:p>
      <w:pPr>
        <w:pStyle w:val="BookText"/>
      </w:pPr>
      <w:r>
        <w:rPr>
          <w:rFonts w:ascii="IRNazanin" w:hAnsi="IRNazanin" w:eastAsia="IRNazanin" w:cs="IRNazanin"/>
          <w:lang w:bidi="fa-IR"/>
          <w:color w:val="111111"/>
          <w:sz w:val="28"/>
          <w:szCs w:val="28"/>
          <w:rtl/>
        </w:rPr>
        <w:t xml:space="preserve">فیقال حینئذ:إنّ الروایة صادقة علی مثل اللحم المشتری من السوق المحتمل للمذکّی و المیتة،و علی شرب التتن،و علی لحم الحمیر إن لم نقل بوضوحه و شککنا فیه؛لأنّه یصدق علی کلّ منها أنّه شیء فیه حلال و حرام عندنا،بمعنی أنّه یجوز لنا أن نجعله مقسما لحکمین، فنقول:هو إمّا حلال و إمّا حرام،و أنّه یکون من جملة الأفعال التی یکون بعض أنواعها أو أصنافها حلالا و بعضها حراما،و اشترکت فی أنّ الحکم الشرعیّ المتعلّق بها غیر معلوم </w:t>
      </w:r>
      <w:r>
        <w:rPr>
          <w:rStyle w:val="FootnoteReference"/>
        </w:rPr>
        <w:footnoteReference w:id="134"/>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[شماره صفحه واقعی : 46]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30" w:name="pg14411_142436"/>
    <w:bookmarkEnd w:id="30"/>
    <w:p>
      <w:pPr>
        <w:pStyle w:val="Heading6"/>
      </w:pPr>
      <w:bookmarkStart w:id="1026" w:name="_Toc61"/>
      <w:r>
        <w:t>[المناقشة فی الاستدلال]</w:t>
      </w:r>
      <w:bookmarkEnd w:id="1026"/>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أقول:الظاهر أنّ المراد بالشیء لیس هو خصوص المشتبه، کاللحم المشتری و لحم الحمیر علی ما مثّله </w:t>
      </w:r>
      <w:r>
        <w:rPr>
          <w:rStyle w:val="FootnoteReference"/>
        </w:rPr>
        <w:footnoteReference w:id="135"/>
      </w:r>
      <w:r>
        <w:rPr>
          <w:rFonts w:ascii="IRNazanin" w:hAnsi="IRNazanin" w:eastAsia="IRNazanin" w:cs="IRNazanin"/>
          <w:lang w:bidi="fa-IR"/>
          <w:color w:val="111111"/>
          <w:sz w:val="28"/>
          <w:szCs w:val="28"/>
          <w:rtl/>
        </w:rPr>
        <w:t xml:space="preserve">بهما؛إذ لا یستقیم إرجاع الضمیر فی«منه»إلیهما </w:t>
      </w:r>
      <w:r>
        <w:rPr>
          <w:rStyle w:val="FootnoteReference"/>
        </w:rPr>
        <w:footnoteReference w:id="136"/>
      </w:r>
      <w:r>
        <w:rPr>
          <w:rFonts w:ascii="IRNazanin" w:hAnsi="IRNazanin" w:eastAsia="IRNazanin" w:cs="IRNazanin"/>
          <w:lang w:bidi="fa-IR"/>
          <w:color w:val="111111"/>
          <w:sz w:val="28"/>
          <w:szCs w:val="28"/>
          <w:rtl/>
        </w:rPr>
        <w:t xml:space="preserve">،لکن لفظة«منه»لیس فی بعض النسخ.</w:t>
      </w:r>
    </w:p>
    <w:p>
      <w:pPr>
        <w:pStyle w:val="BookText"/>
      </w:pPr>
      <w:r>
        <w:rPr>
          <w:rFonts w:ascii="IRNazanin" w:hAnsi="IRNazanin" w:eastAsia="IRNazanin" w:cs="IRNazanin"/>
          <w:lang w:bidi="fa-IR"/>
          <w:color w:val="111111"/>
          <w:sz w:val="28"/>
          <w:szCs w:val="28"/>
          <w:rtl/>
        </w:rPr>
        <w:t xml:space="preserve">و أیضا:الظاهر أنّ المراد بقوله علیه السّلام:«فیه حلال و حرام»کونه منقسما إلیهما،و وجود القسمین فیه بالفعل،لا مردّدا بینهما؛إذ لا تقسیم مع التردید أصلا،لا ذهنا و لا خارجا.و کون الشیء مقسما لحکمین -کما ذکره المستدلّ-لم یعلم له معنی محصّل،خصوصا مع قوله قدّس سرّه:إنّه یجوز ذلک؛لأنّ التقسیم إلی الحکمین الذی هو فی الحقیقة تردید لا تقسیم،أمر لازم قهریّ لا جائز لنا.</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 علی ما ذکرنا،فالمعنی-و اللّه العالم-:أنّ کلّ کلّیّ فیه قسم حلال و قسم حرام-کمطلق لحم الغنم المشترک بین المذکّی و المیتة-فهذا الکلّی لک حلال إلی أن تعرف القسم الحرام معیّنا فی الخارج فتدعه.</w:t>
      </w:r>
    </w:p>
    <w:p>
      <w:pPr>
        <w:pStyle w:val="BookText"/>
      </w:pPr>
      <w:r>
        <w:rPr>
          <w:rFonts w:ascii="IRNazanin" w:hAnsi="IRNazanin" w:eastAsia="IRNazanin" w:cs="IRNazanin"/>
          <w:lang w:bidi="fa-IR"/>
          <w:color w:val="111111"/>
          <w:sz w:val="28"/>
          <w:szCs w:val="28"/>
          <w:rtl/>
        </w:rPr>
        <w:t xml:space="preserve">و علی الاستخدام یکون المراد:أنّ کلّ جزئیّ خارجیّ فی نوعه القسمان المذکوران،فذلک الجزئیّ لک حلال حتّی تعرف القسم الحرام من ذلک الکلّی فی الخارج فتدعه.</w:t>
      </w:r>
    </w:p>
    <w:p>
      <w:pPr>
        <w:pStyle w:val="BookText"/>
      </w:pPr>
      <w:r>
        <w:rPr>
          <w:rFonts w:ascii="IRNazanin" w:hAnsi="IRNazanin" w:eastAsia="IRNazanin" w:cs="IRNazanin"/>
          <w:lang w:bidi="fa-IR"/>
          <w:color w:val="111111"/>
          <w:sz w:val="28"/>
          <w:szCs w:val="28"/>
          <w:rtl/>
        </w:rPr>
        <w:t xml:space="preserve">و علی أیّ تقدیر فالروایة مختصّة بالشبهة فی الموضوع.</w:t>
      </w:r>
    </w:p>
    <w:p>
      <w:pPr>
        <w:pStyle w:val="BookText"/>
      </w:pPr>
      <w:r>
        <w:rPr>
          <w:rFonts w:ascii="IRNazanin" w:hAnsi="IRNazanin" w:eastAsia="IRNazanin" w:cs="IRNazanin"/>
          <w:lang w:bidi="fa-IR"/>
          <w:color w:val="111111"/>
          <w:sz w:val="28"/>
          <w:szCs w:val="28"/>
          <w:rtl/>
        </w:rPr>
        <w:t xml:space="preserve">و أمّا ما ذکره المستدلّ من أنّ المراد من وجود الحلال و الحرام فیه احتماله و صلاحیته لهما،فهو مخالف لظاهر القضیّة،و لضمیر«منه»و لو علی الاستخدام.</w:t>
      </w:r>
    </w:p>
    <w:p>
      <w:pPr>
        <w:pStyle w:val="BookText"/>
      </w:pPr>
      <w:r>
        <w:rPr>
          <w:rFonts w:ascii="IRNazanin" w:hAnsi="IRNazanin" w:eastAsia="IRNazanin" w:cs="IRNazanin"/>
          <w:lang w:bidi="fa-IR"/>
          <w:color w:val="111111"/>
          <w:sz w:val="28"/>
          <w:szCs w:val="28"/>
          <w:rtl/>
        </w:rPr>
        <w:t xml:space="preserve">[شماره صفحه واقعی : 47]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الظاهر:أنّ ذکر هذا القید مع تمام الکلام بدونه-کما فی قوله علیه السّلام فی روایة اخری:«کلّ شیء لک حلال حتّی تعرف أنّه حرام» </w:t>
      </w:r>
      <w:r>
        <w:rPr>
          <w:rStyle w:val="FootnoteReference"/>
        </w:rPr>
        <w:footnoteReference w:id="137"/>
      </w:r>
      <w:r>
        <w:rPr>
          <w:rFonts w:ascii="IRNazanin" w:hAnsi="IRNazanin" w:eastAsia="IRNazanin" w:cs="IRNazanin"/>
          <w:lang w:bidi="fa-IR"/>
          <w:color w:val="111111"/>
          <w:sz w:val="28"/>
          <w:szCs w:val="28"/>
          <w:rtl/>
        </w:rPr>
        <w:t xml:space="preserve">-بیان منشأ الاشتباه الذی یعلم من قوله علیه السّلام:«حتّی تعرف»،کما أنّ الاحتراز عن المذکورات فی کلام المستدل أیضا یحصل بذلک.</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 منه یظهر:فساد ما انتصر بعض المعاصرین </w:t>
      </w:r>
      <w:r>
        <w:rPr>
          <w:rStyle w:val="FootnoteReference"/>
        </w:rPr>
        <w:footnoteReference w:id="138"/>
      </w:r>
      <w:r>
        <w:rPr>
          <w:rFonts w:ascii="IRNazanin" w:hAnsi="IRNazanin" w:eastAsia="IRNazanin" w:cs="IRNazanin"/>
          <w:lang w:bidi="fa-IR"/>
          <w:color w:val="111111"/>
          <w:sz w:val="28"/>
          <w:szCs w:val="28"/>
          <w:rtl/>
        </w:rPr>
        <w:t xml:space="preserve">للمستدلّ-بعد الاعتراف بما ذکرنا،من ظهور القضیّة فی الانقسام الفعلیّ؛فلا یشمل مثل شرب التتن-:من أنّا نفرض شیئا له قسمان حلال و حرام،و اشتبه قسم ثالث منه کاللحم،فإنّه شیء فیه حلال و هو لحم الغنم و حرام و هو لحم الخنزیر،فهذا الکلّی المنقسم حلال،فیکون لحم الحمار حلالا حتّی تعرف حرمته </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وجه الفساد:أنّ وجود القسمین فی اللحم لیس منشأ لاشتباه لحم الحمار،و لا دخل له فی هذا الحکم أصلا،و لا فی تحقّق الموضوع، و تقیید الموضوع بقید أجنبیّ لا دخل له فی الحکم و لا فی تحقّق الموضوع،مع خروج بعض الأفراد منه مثل شرب التتن-حتّی احتاج هذا المنتصر إلی إلحاق مثله بلحم الحمار و شبهه ممّا یوجد فی نوعه قسمان معلومان،بالإجماع المرکّب-،مستهجن جدّا لا ینبغی صدوره من متکلّم فضلا عن الإمام علیه السّلام.</w:t>
      </w:r>
    </w:p>
    <w:p>
      <w:pPr>
        <w:pStyle w:val="BookText"/>
      </w:pPr>
      <w:r>
        <w:rPr>
          <w:rFonts w:ascii="IRNazanin" w:hAnsi="IRNazanin" w:eastAsia="IRNazanin" w:cs="IRNazanin"/>
          <w:lang w:bidi="fa-IR"/>
          <w:color w:val="111111"/>
          <w:sz w:val="28"/>
          <w:szCs w:val="28"/>
          <w:rtl/>
        </w:rPr>
        <w:t xml:space="preserve">[شماره صفحه واقعی : 48]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هذا،مع أنّ اللازم ممّا ذکر </w:t>
      </w:r>
      <w:r>
        <w:rPr>
          <w:rStyle w:val="FootnoteReference"/>
        </w:rPr>
        <w:footnoteReference w:id="140"/>
      </w:r>
      <w:r>
        <w:rPr>
          <w:rFonts w:ascii="IRNazanin" w:hAnsi="IRNazanin" w:eastAsia="IRNazanin" w:cs="IRNazanin"/>
          <w:lang w:bidi="fa-IR"/>
          <w:color w:val="111111"/>
          <w:sz w:val="28"/>
          <w:szCs w:val="28"/>
          <w:rtl/>
        </w:rPr>
        <w:t xml:space="preserve">عدم الحاجة إلی الإجماع المرکّب، فإنّ الشرب فیه قسمان:شرب الماء و شرب البنج،فشرب التتن کلحم الحمار بعینه،و هکذا جمیع الافعال المجهولة الحکم.</w:t>
      </w:r>
    </w:p>
    <w:p>
      <w:pPr>
        <w:pStyle w:val="BookText"/>
      </w:pPr>
      <w:r>
        <w:rPr>
          <w:rFonts w:ascii="IRNazanin" w:hAnsi="IRNazanin" w:eastAsia="IRNazanin" w:cs="IRNazanin"/>
          <w:lang w:bidi="fa-IR"/>
          <w:color w:val="111111"/>
          <w:sz w:val="28"/>
          <w:szCs w:val="28"/>
          <w:rtl/>
        </w:rPr>
        <w:t xml:space="preserve">و أمّا الفرق بین الشرب و اللحم بأنّ الشرب جنس بعید لشرب التتن بخلاف اللحم،فممّا لا ینبغی أن یصغی إلیه.</w:t>
      </w:r>
    </w:p>
    <w:p>
      <w:pPr>
        <w:pStyle w:val="BookText"/>
      </w:pPr>
      <w:r>
        <w:rPr>
          <w:rFonts w:ascii="IRNazanin" w:hAnsi="IRNazanin" w:eastAsia="IRNazanin" w:cs="IRNazanin"/>
          <w:lang w:bidi="fa-IR"/>
          <w:color w:val="111111"/>
          <w:sz w:val="28"/>
          <w:szCs w:val="28"/>
          <w:rtl/>
        </w:rPr>
        <w:t xml:space="preserve">هذا کلّه،مضافا إلی أنّ الظاهر من قوله:«حتّی تعرف الحرام منه»معرفة ذلک الحرام الذی فرض وجوده فی الشیء،و معلوم أنّ معرفة لحم الخنزیر و حرمته لا یکون غایة لحلّیة لحم الحمار.</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 قد أورد علی الاستدلال </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بلزوم استعمال قوله علیه السّلام:«فیه حلال و حرام»فی معنیین:</w:t>
      </w:r>
    </w:p>
    <w:p>
      <w:pPr>
        <w:pStyle w:val="BookText"/>
      </w:pPr>
      <w:r>
        <w:rPr>
          <w:rFonts w:ascii="IRNazanin" w:hAnsi="IRNazanin" w:eastAsia="IRNazanin" w:cs="IRNazanin"/>
          <w:lang w:bidi="fa-IR"/>
          <w:color w:val="111111"/>
          <w:sz w:val="28"/>
          <w:szCs w:val="28"/>
          <w:rtl/>
        </w:rPr>
        <w:t xml:space="preserve">أحدهما:أنّه قابل للاتصاف بهما-و بعبارة اخری:یمکن تعلّق الحکم الشرعیّ به-لیخرج ما لا یقبل الاتصاف بشیء منهما.</w:t>
      </w:r>
    </w:p>
    <w:p>
      <w:pPr>
        <w:pStyle w:val="BookText"/>
      </w:pPr>
      <w:r>
        <w:rPr>
          <w:rFonts w:ascii="IRNazanin" w:hAnsi="IRNazanin" w:eastAsia="IRNazanin" w:cs="IRNazanin"/>
          <w:lang w:bidi="fa-IR"/>
          <w:color w:val="111111"/>
          <w:sz w:val="28"/>
          <w:szCs w:val="28"/>
          <w:rtl/>
        </w:rPr>
        <w:t xml:space="preserve">و الثانی:أنّه ینقسم إلیهما و یوجد النوعان فیه إمّا فی نفس الأمر أو عندنا،و هو غیر جائز.</w:t>
      </w:r>
    </w:p>
    <w:p>
      <w:pPr>
        <w:pStyle w:val="BookText"/>
      </w:pPr>
      <w:r>
        <w:rPr>
          <w:rFonts w:ascii="IRNazanin" w:hAnsi="IRNazanin" w:eastAsia="IRNazanin" w:cs="IRNazanin"/>
          <w:lang w:bidi="fa-IR"/>
          <w:color w:val="111111"/>
          <w:sz w:val="28"/>
          <w:szCs w:val="28"/>
          <w:rtl/>
        </w:rPr>
        <w:t xml:space="preserve">و بلزوم استعمال قوله علیه السّلام:«حتّی تعرف الحرام منه بعینه»فی المعنیین أیضا؛لأنّ المراد حتّی تعرف من الأدلّة الشرعیّة«الحرمة» </w:t>
      </w:r>
      <w:r>
        <w:rPr>
          <w:rStyle w:val="FootnoteReference"/>
        </w:rPr>
        <w:footnoteReference w:id="142"/>
      </w:r>
      <w:r>
        <w:rPr>
          <w:rFonts w:ascii="IRNazanin" w:hAnsi="IRNazanin" w:eastAsia="IRNazanin" w:cs="IRNazanin"/>
          <w:lang w:bidi="fa-IR"/>
          <w:color w:val="111111"/>
          <w:sz w:val="28"/>
          <w:szCs w:val="28"/>
          <w:rtl/>
        </w:rPr>
        <w:t xml:space="preserve">، إذا ارید معرفة الحکم المشتبه،و حتّی تعرف من الخارج-من بیّنة أو غیرها-«الحرمة»،إذا ارید معرفة الموضوع المشتبه فلیتأمّل </w:t>
      </w:r>
      <w:r>
        <w:rPr>
          <w:rStyle w:val="FootnoteReference"/>
        </w:rPr>
        <w:footnoteReference w:id="143"/>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[شماره صفحه واقعی : 49]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31" w:name="pg14411_142439"/>
    <w:bookmarkEnd w:id="31"/>
    <w:p>
      <w:pPr>
        <w:pStyle w:val="BookText"/>
      </w:pPr>
      <w:r>
        <w:rPr>
          <w:rFonts w:ascii="IRNazanin" w:hAnsi="IRNazanin" w:eastAsia="IRNazanin" w:cs="IRNazanin"/>
          <w:lang w:bidi="fa-IR"/>
          <w:color w:val="111111"/>
          <w:sz w:val="28"/>
          <w:szCs w:val="28"/>
          <w:rtl/>
        </w:rPr>
        <w:t xml:space="preserve">و لیته أمر بالتأمّل فی الإیراد الأوّل أیضا،و یمکن إرجاعه إلیهما معا،و هو الأولی.</w:t>
      </w:r>
    </w:p>
    <w:p>
      <w:pPr>
        <w:pStyle w:val="BookText"/>
      </w:pPr>
      <w:r>
        <w:rPr>
          <w:rFonts w:ascii="Amiri" w:hAnsi="Amiri" w:eastAsia="Amiri" w:cs="Amiri"/>
          <w:lang w:bidi="ar-SA"/>
          <w:color w:val="111111"/>
          <w:sz w:val="28"/>
          <w:szCs w:val="28"/>
          <w:rtl/>
        </w:rPr>
        <w:t xml:space="preserve">هذه جملة ما استدلّ به من الأخبار.</w:t>
      </w:r>
    </w:p>
    <w:p>
      <w:pPr>
        <w:pStyle w:val="Heading6"/>
      </w:pPr>
      <w:bookmarkStart w:id="1027" w:name="_Toc62"/>
      <w:r>
        <w:t>[المحصّل من الأخبار المستدلّ بها علی البراءة]</w:t>
      </w:r>
      <w:bookmarkEnd w:id="1027"/>
    </w:p>
    <w:p>
      <w:pPr>
        <w:pStyle w:val="BookText"/>
      </w:pPr>
      <w:r>
        <w:rPr>
          <w:rFonts w:ascii="IRNazanin" w:hAnsi="IRNazanin" w:eastAsia="IRNazanin" w:cs="IRNazanin"/>
          <w:lang w:bidi="fa-IR"/>
          <w:color w:val="111111"/>
          <w:sz w:val="28"/>
          <w:szCs w:val="28"/>
          <w:rtl/>
        </w:rPr>
        <w:t xml:space="preserve">و الإنصاف:ظهور بعضها فی الدلالة علی عدم وجوب الاحتیاط فی ما لا نصّ فیه فی الشبهة </w:t>
      </w:r>
      <w:r>
        <w:rPr>
          <w:rStyle w:val="FootnoteReference"/>
        </w:rPr>
        <w:footnoteReference w:id="144"/>
      </w:r>
      <w:r>
        <w:rPr>
          <w:rFonts w:ascii="IRNazanin" w:hAnsi="IRNazanin" w:eastAsia="IRNazanin" w:cs="IRNazanin"/>
          <w:lang w:bidi="fa-IR"/>
          <w:color w:val="111111"/>
          <w:sz w:val="28"/>
          <w:szCs w:val="28"/>
          <w:rtl/>
        </w:rPr>
        <w:t xml:space="preserve">،بحیث لو فرض تمامیّة الأخبار الآتیة للاحتیاط </w:t>
      </w:r>
      <w:r>
        <w:rPr>
          <w:rStyle w:val="FootnoteReference"/>
        </w:rPr>
        <w:footnoteReference w:id="145"/>
      </w:r>
      <w:r>
        <w:rPr>
          <w:rFonts w:ascii="IRNazanin" w:hAnsi="IRNazanin" w:eastAsia="IRNazanin" w:cs="IRNazanin"/>
          <w:lang w:bidi="fa-IR"/>
          <w:color w:val="111111"/>
          <w:sz w:val="28"/>
          <w:szCs w:val="28"/>
          <w:rtl/>
        </w:rPr>
        <w:t xml:space="preserve">وقعت المعارضة بینها،لکن بعضها غیر دالّ إلاّ علی عدم وجوب الاحتیاط لو لم یرد أمر عامّ به،فلا یعارض </w:t>
      </w:r>
      <w:r>
        <w:rPr>
          <w:rStyle w:val="FootnoteReference"/>
        </w:rPr>
        <w:footnoteReference w:id="146"/>
      </w:r>
      <w:r>
        <w:rPr>
          <w:rFonts w:ascii="IRNazanin" w:hAnsi="IRNazanin" w:eastAsia="IRNazanin" w:cs="IRNazanin"/>
          <w:lang w:bidi="fa-IR"/>
          <w:color w:val="111111"/>
          <w:sz w:val="28"/>
          <w:szCs w:val="28"/>
          <w:rtl/>
        </w:rPr>
        <w:t xml:space="preserve">ما سیجیء من أخبار الاحتیاط لو نهضت للحجیّة سندا و دلالة.</w:t>
      </w:r>
    </w:p>
    <w:p>
      <w:pPr>
        <w:pStyle w:val="Heading6"/>
      </w:pPr>
      <w:bookmarkStart w:id="1028" w:name="_Toc63"/>
      <w:r>
        <w:t>[الاستدلال علی البراءة بالإجماع:]</w:t>
      </w:r>
      <w:bookmarkEnd w:id="1028"/>
    </w:p>
    <w:p>
      <w:pPr>
        <w:pStyle w:val="Heading6"/>
      </w:pPr>
      <w:bookmarkStart w:id="1029" w:name="_Toc64"/>
      <w:r>
        <w:t>اشارة</w:t>
      </w:r>
      <w:bookmarkEnd w:id="1029"/>
    </w:p>
    <w:p>
      <w:pPr>
        <w:pStyle w:val="BookText"/>
      </w:pPr>
      <w:r>
        <w:rPr>
          <w:rFonts w:ascii="IRNazanin" w:hAnsi="IRNazanin" w:eastAsia="IRNazanin" w:cs="IRNazanin"/>
          <w:lang w:bidi="fa-IR"/>
          <w:color w:val="111111"/>
          <w:sz w:val="28"/>
          <w:szCs w:val="28"/>
          <w:rtl/>
        </w:rPr>
        <w:t xml:space="preserve">و أمّا الإجماع:</w:t>
      </w:r>
    </w:p>
    <w:p>
      <w:pPr>
        <w:pStyle w:val="Heading6"/>
      </w:pPr>
      <w:bookmarkStart w:id="1030" w:name="_Toc65"/>
      <w:r>
        <w:t>فتقریره من وجهین</w:t>
      </w:r>
      <w:bookmarkEnd w:id="1030"/>
    </w:p>
    <w:p>
      <w:pPr>
        <w:pStyle w:val="BookText"/>
      </w:pPr>
      <w:r>
        <w:rPr>
          <w:rFonts w:ascii="IRNazanin" w:hAnsi="IRNazanin" w:eastAsia="IRNazanin" w:cs="IRNazanin"/>
          <w:lang w:bidi="fa-IR"/>
          <w:color w:val="111111"/>
          <w:sz w:val="28"/>
          <w:szCs w:val="28"/>
          <w:rtl/>
        </w:rPr>
        <w:t xml:space="preserve">فتقریره من </w:t>
      </w:r>
      <w:r>
        <w:rPr>
          <w:rStyle w:val="FootnoteReference"/>
        </w:rPr>
        <w:footnoteReference w:id="147"/>
      </w:r>
      <w:r>
        <w:rPr>
          <w:rFonts w:ascii="IRNazanin" w:hAnsi="IRNazanin" w:eastAsia="IRNazanin" w:cs="IRNazanin"/>
          <w:lang w:bidi="fa-IR"/>
          <w:color w:val="111111"/>
          <w:sz w:val="28"/>
          <w:szCs w:val="28"/>
          <w:rtl/>
        </w:rPr>
        <w:t xml:space="preserve">وجهین:</w:t>
      </w:r>
    </w:p>
    <w:p>
      <w:pPr>
        <w:pStyle w:val="BookText"/>
      </w:pPr>
      <w:r>
        <w:rPr>
          <w:rFonts w:ascii="IRNazanin" w:hAnsi="IRNazanin" w:eastAsia="IRNazanin" w:cs="IRNazanin"/>
          <w:lang w:bidi="fa-IR"/>
          <w:color w:val="111111"/>
          <w:sz w:val="28"/>
          <w:szCs w:val="28"/>
          <w:rtl/>
        </w:rPr>
        <w:t xml:space="preserve">الأوّل: دعوی إجماع العلماء کلّهم-من المجتهدین و الأخباریّین- علی أنّ الحکم فی ما لم یرد فیه دلیل عقلیّ أو نقلیّ علی تحریمه من حیث هو و لا علی تحریمه </w:t>
      </w:r>
      <w:r>
        <w:rPr>
          <w:rStyle w:val="FootnoteReference"/>
        </w:rPr>
        <w:footnoteReference w:id="148"/>
      </w:r>
      <w:r>
        <w:rPr>
          <w:rFonts w:ascii="IRNazanin" w:hAnsi="IRNazanin" w:eastAsia="IRNazanin" w:cs="IRNazanin"/>
          <w:lang w:bidi="fa-IR"/>
          <w:color w:val="111111"/>
          <w:sz w:val="28"/>
          <w:szCs w:val="28"/>
          <w:rtl/>
        </w:rPr>
        <w:t xml:space="preserve">من حیث إنّه مجهول الحکم،هی البراءة و عدم العقاب علی الفعل.</w:t>
      </w:r>
    </w:p>
    <w:p>
      <w:pPr>
        <w:pStyle w:val="BookText"/>
      </w:pPr>
      <w:r>
        <w:rPr>
          <w:rFonts w:ascii="IRNazanin" w:hAnsi="IRNazanin" w:eastAsia="IRNazanin" w:cs="IRNazanin"/>
          <w:lang w:bidi="fa-IR"/>
          <w:color w:val="111111"/>
          <w:sz w:val="28"/>
          <w:szCs w:val="28"/>
          <w:rtl/>
        </w:rPr>
        <w:t xml:space="preserve">و هذا الوجه لا ینفع إلاّ بعد عدم تمامیّة ما ذکر من الدلیل العقلیّ</w:t>
      </w:r>
    </w:p>
    <w:p>
      <w:pPr>
        <w:pStyle w:val="BookText"/>
      </w:pPr>
      <w:r>
        <w:rPr>
          <w:rFonts w:ascii="IRNazanin" w:hAnsi="IRNazanin" w:eastAsia="IRNazanin" w:cs="IRNazanin"/>
          <w:lang w:bidi="fa-IR"/>
          <w:color w:val="111111"/>
          <w:sz w:val="28"/>
          <w:szCs w:val="28"/>
          <w:rtl/>
        </w:rPr>
        <w:t xml:space="preserve">[شماره صفحه واقعی : 50]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32" w:name="pg14411_142440"/>
    <w:bookmarkEnd w:id="32"/>
    <w:p>
      <w:pPr>
        <w:pStyle w:val="BookText"/>
      </w:pPr>
      <w:r>
        <w:rPr>
          <w:rFonts w:ascii="IRNazanin" w:hAnsi="IRNazanin" w:eastAsia="IRNazanin" w:cs="IRNazanin"/>
          <w:lang w:bidi="fa-IR"/>
          <w:color w:val="111111"/>
          <w:sz w:val="28"/>
          <w:szCs w:val="28"/>
          <w:rtl/>
        </w:rPr>
        <w:t xml:space="preserve">و النقلیّ للحظر و الاحتیاط،فهو نظیر حکم العقل الآتی </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الثانی : دعوی الإجماع علی أنّ الحکم فی ما لم یرد دلیل علی تحریمه من حیث هو</w:t>
      </w:r>
      <w:r>
        <w:rPr>
          <w:rStyle w:val="FootnoteReference"/>
        </w:rPr>
        <w:footnoteReference w:id="150"/>
      </w:r>
      <w:r>
        <w:rPr>
          <w:rFonts w:ascii="IRNazanin" w:hAnsi="IRNazanin" w:eastAsia="IRNazanin" w:cs="IRNazanin"/>
          <w:lang w:bidi="fa-IR"/>
          <w:color w:val="111111"/>
          <w:sz w:val="28"/>
          <w:szCs w:val="28"/>
          <w:rtl/>
        </w:rPr>
        <w:t xml:space="preserve">عدم وجوب الاحتیاط و جواز الارتکاب.</w:t>
      </w:r>
    </w:p>
    <w:p>
      <w:pPr>
        <w:pStyle w:val="Heading6"/>
      </w:pPr>
      <w:bookmarkStart w:id="1031" w:name="_Toc66"/>
      <w:r>
        <w:t>و تحصیل الإجماع بهذا النحو من وجوه</w:t>
      </w:r>
      <w:bookmarkEnd w:id="1031"/>
    </w:p>
    <w:p>
      <w:pPr>
        <w:pStyle w:val="Heading6"/>
      </w:pPr>
      <w:bookmarkStart w:id="1032" w:name="_Toc67"/>
      <w:r>
        <w:t>الأوّل : ملاحظة فتاوی العلماء فی موارد الفقه</w:t>
      </w:r>
      <w:bookmarkEnd w:id="1032"/>
    </w:p>
    <w:p>
      <w:pPr>
        <w:pStyle w:val="BookText"/>
      </w:pPr>
      <w:r>
        <w:rPr>
          <w:rFonts w:ascii="IRNazanin" w:hAnsi="IRNazanin" w:eastAsia="IRNazanin" w:cs="IRNazanin"/>
          <w:lang w:bidi="fa-IR"/>
          <w:color w:val="111111"/>
          <w:sz w:val="28"/>
          <w:szCs w:val="28"/>
          <w:rtl/>
        </w:rPr>
        <w:t xml:space="preserve">فإنّک لا تکاد تجد من زمان المحدّثین إلی زمان أرباب التصنیف فی الفتوی من یعتمد علی حرمة شیء من الأفعال بمجرّد الاحتیاط.</w:t>
      </w:r>
    </w:p>
    <w:p>
      <w:pPr>
        <w:pStyle w:val="BookText"/>
      </w:pPr>
      <w:r>
        <w:rPr>
          <w:rFonts w:ascii="IRNazanin" w:hAnsi="IRNazanin" w:eastAsia="IRNazanin" w:cs="IRNazanin"/>
          <w:lang w:bidi="fa-IR"/>
          <w:color w:val="111111"/>
          <w:sz w:val="28"/>
          <w:szCs w:val="28"/>
          <w:rtl/>
        </w:rPr>
        <w:t xml:space="preserve">نعم،ربما یذکرونه فی طیّ الاستدلال فی جمیع الموارد،حتّی فی الشبهة الوجوبیّة التی اعترف القائلون بالاحتیاط هنا </w:t>
      </w:r>
      <w:r>
        <w:rPr>
          <w:rStyle w:val="FootnoteReference"/>
        </w:rPr>
        <w:footnoteReference w:id="151"/>
      </w:r>
      <w:r>
        <w:rPr>
          <w:rFonts w:ascii="IRNazanin" w:hAnsi="IRNazanin" w:eastAsia="IRNazanin" w:cs="IRNazanin"/>
          <w:lang w:bidi="fa-IR"/>
          <w:color w:val="111111"/>
          <w:sz w:val="28"/>
          <w:szCs w:val="28"/>
          <w:rtl/>
        </w:rPr>
        <w:t xml:space="preserve">بعدم وجوبه فیها.</w:t>
      </w:r>
    </w:p>
    <w:p>
      <w:pPr>
        <w:pStyle w:val="BookText"/>
      </w:pPr>
      <w:r>
        <w:rPr>
          <w:rFonts w:ascii="IRNazanin" w:hAnsi="IRNazanin" w:eastAsia="IRNazanin" w:cs="IRNazanin"/>
          <w:lang w:bidi="fa-IR"/>
          <w:color w:val="111111"/>
          <w:sz w:val="28"/>
          <w:szCs w:val="28"/>
          <w:rtl/>
        </w:rPr>
        <w:t xml:space="preserve">و لا بأس بالاشارة إلی من وجدنا فی کلماتهم ما هو ظاهر فی هذا القول.</w:t>
      </w:r>
    </w:p>
    <w:p>
      <w:pPr>
        <w:pStyle w:val="BookText"/>
      </w:pPr>
      <w:r>
        <w:rPr>
          <w:rFonts w:ascii="IRNazanin" w:hAnsi="IRNazanin" w:eastAsia="IRNazanin" w:cs="IRNazanin"/>
          <w:lang w:bidi="fa-IR"/>
          <w:color w:val="111111"/>
          <w:sz w:val="28"/>
          <w:szCs w:val="28"/>
          <w:rtl/>
        </w:rPr>
        <w:t xml:space="preserve">فمنهم:ثقة الإسلام الکلینیّ قدّس سرّه؛حیث صرّح فی دیباجة الکافی:</w:t>
      </w:r>
    </w:p>
    <w:p>
      <w:pPr>
        <w:pStyle w:val="BookText"/>
      </w:pPr>
      <w:r>
        <w:rPr>
          <w:rFonts w:ascii="IRNazanin" w:hAnsi="IRNazanin" w:eastAsia="IRNazanin" w:cs="IRNazanin"/>
          <w:lang w:bidi="fa-IR"/>
          <w:color w:val="111111"/>
          <w:sz w:val="28"/>
          <w:szCs w:val="28"/>
          <w:rtl/>
        </w:rPr>
        <w:t xml:space="preserve">بأنّ الحکم فی ما اختلف فیه الأخبار التخییر </w:t>
      </w:r>
      <w:r>
        <w:rPr>
          <w:rStyle w:val="FootnoteReference"/>
        </w:rPr>
        <w:footnoteReference w:id="152"/>
      </w:r>
      <w:r>
        <w:rPr>
          <w:rFonts w:ascii="IRNazanin" w:hAnsi="IRNazanin" w:eastAsia="IRNazanin" w:cs="IRNazanin"/>
          <w:lang w:bidi="fa-IR"/>
          <w:color w:val="111111"/>
          <w:sz w:val="28"/>
          <w:szCs w:val="28"/>
          <w:rtl/>
        </w:rPr>
        <w:t xml:space="preserve">،و لم یلزم </w:t>
      </w:r>
      <w:r>
        <w:rPr>
          <w:rStyle w:val="FootnoteReference"/>
        </w:rPr>
        <w:footnoteReference w:id="153"/>
      </w:r>
      <w:r>
        <w:rPr>
          <w:rFonts w:ascii="IRNazanin" w:hAnsi="IRNazanin" w:eastAsia="IRNazanin" w:cs="IRNazanin"/>
          <w:lang w:bidi="fa-IR"/>
          <w:color w:val="111111"/>
          <w:sz w:val="28"/>
          <w:szCs w:val="28"/>
          <w:rtl/>
        </w:rPr>
        <w:t xml:space="preserve">الاحتیاط مع ما ورد </w:t>
      </w:r>
      <w:r>
        <w:rPr>
          <w:rStyle w:val="FootnoteReference"/>
        </w:rPr>
        <w:footnoteReference w:id="154"/>
      </w:r>
      <w:r>
        <w:rPr>
          <w:rFonts w:ascii="IRNazanin" w:hAnsi="IRNazanin" w:eastAsia="IRNazanin" w:cs="IRNazanin"/>
          <w:lang w:bidi="fa-IR"/>
          <w:color w:val="111111"/>
          <w:sz w:val="28"/>
          <w:szCs w:val="28"/>
          <w:rtl/>
        </w:rPr>
        <w:t xml:space="preserve">من الأخبار بوجوب الاحتیاط فی ما تعارض فیه النصّان</w:t>
      </w:r>
    </w:p>
    <w:p>
      <w:pPr>
        <w:pStyle w:val="BookText"/>
      </w:pPr>
      <w:r>
        <w:rPr>
          <w:rFonts w:ascii="IRNazanin" w:hAnsi="IRNazanin" w:eastAsia="IRNazanin" w:cs="IRNazanin"/>
          <w:lang w:bidi="fa-IR"/>
          <w:color w:val="111111"/>
          <w:sz w:val="28"/>
          <w:szCs w:val="28"/>
          <w:rtl/>
        </w:rPr>
        <w:t xml:space="preserve">[شماره صفحه واقعی : 51]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ما </w:t>
      </w:r>
      <w:r>
        <w:rPr>
          <w:rStyle w:val="FootnoteReference"/>
        </w:rPr>
        <w:footnoteReference w:id="155"/>
      </w:r>
      <w:r>
        <w:rPr>
          <w:rFonts w:ascii="IRNazanin" w:hAnsi="IRNazanin" w:eastAsia="IRNazanin" w:cs="IRNazanin"/>
          <w:lang w:bidi="fa-IR"/>
          <w:color w:val="111111"/>
          <w:sz w:val="28"/>
          <w:szCs w:val="28"/>
          <w:rtl/>
        </w:rPr>
        <w:t xml:space="preserve">لم یرد فیه </w:t>
      </w:r>
      <w:r>
        <w:rPr>
          <w:rStyle w:val="FootnoteReference"/>
        </w:rPr>
        <w:footnoteReference w:id="156"/>
      </w:r>
      <w:r>
        <w:rPr>
          <w:rFonts w:ascii="IRNazanin" w:hAnsi="IRNazanin" w:eastAsia="IRNazanin" w:cs="IRNazanin"/>
          <w:lang w:bidi="fa-IR"/>
          <w:color w:val="111111"/>
          <w:sz w:val="28"/>
          <w:szCs w:val="28"/>
          <w:rtl/>
        </w:rPr>
        <w:t xml:space="preserve">نصّ بوجوبه فی خصوص ما لا نصّ فیه.</w:t>
      </w:r>
    </w:p>
    <w:p>
      <w:pPr>
        <w:pStyle w:val="BookText"/>
      </w:pPr>
      <w:r>
        <w:rPr>
          <w:rFonts w:ascii="IRNazanin" w:hAnsi="IRNazanin" w:eastAsia="IRNazanin" w:cs="IRNazanin"/>
          <w:lang w:bidi="fa-IR"/>
          <w:color w:val="111111"/>
          <w:sz w:val="28"/>
          <w:szCs w:val="28"/>
          <w:rtl/>
        </w:rPr>
        <w:t xml:space="preserve">فالظاهر:أنّ کلّ من قال بعدم وجوب الاحتیاط هناک قال به هنا.</w:t>
      </w:r>
    </w:p>
    <w:p>
      <w:pPr>
        <w:pStyle w:val="BookText"/>
      </w:pPr>
      <w:r>
        <w:rPr>
          <w:rFonts w:ascii="IRNazanin" w:hAnsi="IRNazanin" w:eastAsia="IRNazanin" w:cs="IRNazanin"/>
          <w:lang w:bidi="fa-IR"/>
          <w:color w:val="111111"/>
          <w:sz w:val="28"/>
          <w:szCs w:val="28"/>
          <w:rtl/>
        </w:rPr>
        <w:t xml:space="preserve">و منهم:الصدوق؛فإنّه قال:اعتقادنا أنّ الأشیاء علی الإباحة حتّی یرد النهی </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یظهر من هذا موافقة والده و مشایخه؛لأنّه لا یعبّر بمثل هذه العبارة مع مخالفته لهم،بل ربما یقول:«الذی أعتقده و افتی به»، و استظهر </w:t>
      </w:r>
      <w:r>
        <w:rPr>
          <w:rStyle w:val="FootnoteReference"/>
        </w:rPr>
        <w:footnoteReference w:id="158"/>
      </w:r>
      <w:r>
        <w:rPr>
          <w:rFonts w:ascii="IRNazanin" w:hAnsi="IRNazanin" w:eastAsia="IRNazanin" w:cs="IRNazanin"/>
          <w:lang w:bidi="fa-IR"/>
          <w:color w:val="111111"/>
          <w:sz w:val="28"/>
          <w:szCs w:val="28"/>
          <w:rtl/>
        </w:rPr>
        <w:t xml:space="preserve">من عبارته هذه:أنّه من دین الامامیّة </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السیّدان:فقد صرّحا باستقلال العقل بإباحة ما لا طریق إلی کونه مفسدة </w:t>
      </w:r>
      <w:r>
        <w:rPr>
          <w:rStyle w:val="FootnoteReference"/>
        </w:rPr>
        <w:footnoteReference w:id="160"/>
      </w:r>
      <w:r>
        <w:rPr>
          <w:rFonts w:ascii="IRNazanin" w:hAnsi="IRNazanin" w:eastAsia="IRNazanin" w:cs="IRNazanin"/>
          <w:lang w:bidi="fa-IR"/>
          <w:color w:val="111111"/>
          <w:sz w:val="28"/>
          <w:szCs w:val="28"/>
          <w:rtl/>
        </w:rPr>
        <w:t xml:space="preserve">،و صرّحا أیضا فی مسألة العمل بخبر الواحد:أنّه متی فرضنا عدم الدلیل علی حکم الواقعة رجعنا فیها إلی حکم العقل </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 أمّا الشیخ قدّس سرّه:فإنّه و إن ذهب وفاقا لشیخه المفید قدّس سرّه إلی أنّ الأصل فی الأشیاء من طریق العقل الوقف </w:t>
      </w:r>
      <w:r>
        <w:rPr>
          <w:rStyle w:val="FootnoteReference"/>
        </w:rPr>
        <w:footnoteReference w:id="162"/>
      </w:r>
      <w:r>
        <w:rPr>
          <w:rFonts w:ascii="Amiri" w:hAnsi="Amiri" w:eastAsia="Amiri" w:cs="Amiri"/>
          <w:lang w:bidi="ar-SA"/>
          <w:color w:val="111111"/>
          <w:sz w:val="28"/>
          <w:szCs w:val="28"/>
          <w:rtl/>
        </w:rPr>
        <w:t xml:space="preserve">،إلاّ أنّه صرّح فی العدة:</w:t>
      </w:r>
    </w:p>
    <w:p>
      <w:pPr>
        <w:pStyle w:val="BookText"/>
      </w:pPr>
      <w:r>
        <w:rPr>
          <w:rFonts w:ascii="IRNazanin" w:hAnsi="IRNazanin" w:eastAsia="IRNazanin" w:cs="IRNazanin"/>
          <w:lang w:bidi="fa-IR"/>
          <w:color w:val="111111"/>
          <w:sz w:val="28"/>
          <w:szCs w:val="28"/>
          <w:rtl/>
        </w:rPr>
        <w:t xml:space="preserve">بأنّ حکم الأشیاء من طریق العقل و إن کان هو الوقف،لکنه لا یمتنع</w:t>
      </w:r>
    </w:p>
    <w:p>
      <w:pPr>
        <w:pStyle w:val="BookText"/>
      </w:pPr>
      <w:r>
        <w:rPr>
          <w:rFonts w:ascii="IRNazanin" w:hAnsi="IRNazanin" w:eastAsia="IRNazanin" w:cs="IRNazanin"/>
          <w:lang w:bidi="fa-IR"/>
          <w:color w:val="111111"/>
          <w:sz w:val="28"/>
          <w:szCs w:val="28"/>
          <w:rtl/>
        </w:rPr>
        <w:t xml:space="preserve">[شماره صفحه واقعی : 52]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یدلّ دلیل سمعیّ علی أنّ الأشیاء علی الإباحة بعد أن کانت علی الوقف،بل عندنا الأمر کذلک و إلیه نذهب </w:t>
      </w:r>
      <w:r>
        <w:rPr>
          <w:rStyle w:val="FootnoteReference"/>
        </w:rPr>
        <w:footnoteReference w:id="163"/>
      </w:r>
      <w:r>
        <w:rPr>
          <w:rFonts w:ascii="IRNazanin" w:hAnsi="IRNazanin" w:eastAsia="IRNazanin" w:cs="IRNazanin"/>
          <w:lang w:bidi="fa-IR"/>
          <w:color w:val="111111"/>
          <w:sz w:val="28"/>
          <w:szCs w:val="28"/>
          <w:rtl/>
        </w:rPr>
        <w:t xml:space="preserve">،انتهی.</w:t>
      </w:r>
    </w:p>
    <w:p>
      <w:pPr>
        <w:pStyle w:val="BookText"/>
      </w:pPr>
      <w:r>
        <w:rPr>
          <w:rFonts w:ascii="Amiri" w:hAnsi="Amiri" w:eastAsia="Amiri" w:cs="Amiri"/>
          <w:lang w:bidi="ar-SA"/>
          <w:color w:val="111111"/>
          <w:sz w:val="28"/>
          <w:szCs w:val="28"/>
          <w:rtl/>
        </w:rPr>
        <w:t xml:space="preserve">و أمّا من تأخّر عن الشیخ قدّس سرّه،کالحلّی </w:t>
      </w:r>
      <w:r>
        <w:rPr>
          <w:rStyle w:val="FootnoteReference"/>
        </w:rPr>
        <w:footnoteReference w:id="164"/>
      </w:r>
      <w:r>
        <w:rPr>
          <w:rFonts w:ascii="Amiri" w:hAnsi="Amiri" w:eastAsia="Amiri" w:cs="Amiri"/>
          <w:lang w:bidi="ar-SA"/>
          <w:color w:val="111111"/>
          <w:sz w:val="28"/>
          <w:szCs w:val="28"/>
          <w:rtl/>
        </w:rPr>
        <w:t xml:space="preserve">و المحقّق </w:t>
      </w:r>
      <w:r>
        <w:rPr>
          <w:rStyle w:val="FootnoteReference"/>
        </w:rPr>
        <w:footnoteReference w:id="165"/>
      </w:r>
      <w:r>
        <w:rPr>
          <w:rFonts w:ascii="Amiri" w:hAnsi="Amiri" w:eastAsia="Amiri" w:cs="Amiri"/>
          <w:lang w:bidi="ar-SA"/>
          <w:color w:val="111111"/>
          <w:sz w:val="28"/>
          <w:szCs w:val="28"/>
          <w:rtl/>
        </w:rPr>
        <w:t xml:space="preserve">و العلاّمة </w:t>
      </w:r>
      <w:r>
        <w:rPr>
          <w:rStyle w:val="FootnoteReference"/>
        </w:rPr>
        <w:footnoteReference w:id="166"/>
      </w:r>
      <w:r>
        <w:rPr>
          <w:rFonts w:ascii="IRNazanin" w:hAnsi="IRNazanin" w:eastAsia="IRNazanin" w:cs="IRNazanin"/>
          <w:lang w:bidi="fa-IR"/>
          <w:color w:val="111111"/>
          <w:sz w:val="28"/>
          <w:szCs w:val="28"/>
          <w:rtl/>
        </w:rPr>
        <w:t xml:space="preserve">و الشهیدین </w:t>
      </w:r>
      <w:r>
        <w:rPr>
          <w:rStyle w:val="FootnoteReference"/>
        </w:rPr>
        <w:footnoteReference w:id="167"/>
      </w:r>
      <w:r>
        <w:rPr>
          <w:rFonts w:ascii="IRNazanin" w:hAnsi="IRNazanin" w:eastAsia="IRNazanin" w:cs="IRNazanin"/>
          <w:lang w:bidi="fa-IR"/>
          <w:color w:val="111111"/>
          <w:sz w:val="28"/>
          <w:szCs w:val="28"/>
          <w:rtl/>
        </w:rPr>
        <w:t xml:space="preserve">و غیرهم </w:t>
      </w:r>
      <w:r>
        <w:rPr>
          <w:rStyle w:val="FootnoteReference"/>
        </w:rPr>
        <w:footnoteReference w:id="168"/>
      </w:r>
      <w:r>
        <w:rPr>
          <w:rFonts w:ascii="IRNazanin" w:hAnsi="IRNazanin" w:eastAsia="IRNazanin" w:cs="IRNazanin"/>
          <w:lang w:bidi="fa-IR"/>
          <w:color w:val="111111"/>
          <w:sz w:val="28"/>
          <w:szCs w:val="28"/>
          <w:rtl/>
        </w:rPr>
        <w:t xml:space="preserve">:فحکمهم بالبراءة یعلم من مراجعة کتبهم.</w:t>
      </w:r>
    </w:p>
    <w:p>
      <w:pPr>
        <w:pStyle w:val="BookText"/>
      </w:pPr>
      <w:r>
        <w:rPr>
          <w:rFonts w:ascii="IRNazanin" w:hAnsi="IRNazanin" w:eastAsia="IRNazanin" w:cs="IRNazanin"/>
          <w:lang w:bidi="fa-IR"/>
          <w:color w:val="111111"/>
          <w:sz w:val="28"/>
          <w:szCs w:val="28"/>
          <w:rtl/>
        </w:rPr>
        <w:t xml:space="preserve">و بالجملة:فلا نعرف قائلا معروفا بالاحتیاط و إن کان ظاهر المعارج نسبته إلی جماعة </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إنّه ربما نسب إلی المحقّق قدّس سرّه رجوعه عمّا فی المعارج إلی ما فی المعتبر </w:t>
      </w:r>
      <w:r>
        <w:rPr>
          <w:rStyle w:val="FootnoteReference"/>
        </w:rPr>
        <w:footnoteReference w:id="170"/>
      </w:r>
      <w:r>
        <w:rPr>
          <w:rFonts w:ascii="IRNazanin" w:hAnsi="IRNazanin" w:eastAsia="IRNazanin" w:cs="IRNazanin"/>
          <w:lang w:bidi="fa-IR"/>
          <w:color w:val="111111"/>
          <w:sz w:val="28"/>
          <w:szCs w:val="28"/>
          <w:rtl/>
        </w:rPr>
        <w:t xml:space="preserve">:من التفصیل بین ما یعمّ به البلوی و غیره و أنّه لا یقول بالبراءة فی الثانی.و سیجیء الکلام فی هذه النسبة بعد ذکر الأدلّة إن شاء اللّه </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ممّا ذکرنا یظهر:أنّ تخصیص بعض القول بالبراءة بمتأخّری الإمامیّة مخالف للواقع </w:t>
      </w:r>
      <w:r>
        <w:rPr>
          <w:rStyle w:val="FootnoteReference"/>
        </w:rPr>
        <w:footnoteReference w:id="172"/>
      </w:r>
      <w:r>
        <w:rPr>
          <w:rFonts w:ascii="IRNazanin" w:hAnsi="IRNazanin" w:eastAsia="IRNazanin" w:cs="IRNazanin"/>
          <w:lang w:bidi="fa-IR"/>
          <w:color w:val="111111"/>
          <w:sz w:val="28"/>
          <w:szCs w:val="28"/>
          <w:rtl/>
        </w:rPr>
        <w:t xml:space="preserve">،و کأنّه ناش عمّا رأی من السیّد و الشیخ من</w:t>
      </w:r>
    </w:p>
    <w:p>
      <w:pPr>
        <w:pStyle w:val="BookText"/>
      </w:pPr>
      <w:r>
        <w:rPr>
          <w:rFonts w:ascii="IRNazanin" w:hAnsi="IRNazanin" w:eastAsia="IRNazanin" w:cs="IRNazanin"/>
          <w:lang w:bidi="fa-IR"/>
          <w:color w:val="111111"/>
          <w:sz w:val="28"/>
          <w:szCs w:val="28"/>
          <w:rtl/>
        </w:rPr>
        <w:t xml:space="preserve">[شماره صفحه واقعی : 53]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33" w:name="pg14411_142443"/>
    <w:bookmarkEnd w:id="33"/>
    <w:p>
      <w:pPr>
        <w:pStyle w:val="BookText"/>
      </w:pPr>
      <w:r>
        <w:rPr>
          <w:rFonts w:ascii="IRNazanin" w:hAnsi="IRNazanin" w:eastAsia="IRNazanin" w:cs="IRNazanin"/>
          <w:lang w:bidi="fa-IR"/>
          <w:color w:val="111111"/>
          <w:sz w:val="28"/>
          <w:szCs w:val="28"/>
          <w:rtl/>
        </w:rPr>
        <w:t xml:space="preserve">التمسّک بالاحتیاط فی کثیر من الموارد؛و یؤیّده ما فی المعارج:من نسبة القول برفع الاحتیاط علی الإطلاق إلی جماعة </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Heading6"/>
      </w:pPr>
      <w:bookmarkStart w:id="1033" w:name="_Toc68"/>
      <w:r>
        <w:t>الثانی : الإجماعات المنقولة و الشهرة المحقّقة</w:t>
      </w:r>
      <w:bookmarkEnd w:id="1033"/>
    </w:p>
    <w:p>
      <w:pPr>
        <w:pStyle w:val="BookText"/>
      </w:pPr>
      <w:r>
        <w:rPr>
          <w:rFonts w:ascii="IRNazanin" w:hAnsi="IRNazanin" w:eastAsia="IRNazanin" w:cs="IRNazanin"/>
          <w:lang w:bidi="fa-IR"/>
          <w:color w:val="111111"/>
          <w:sz w:val="28"/>
          <w:szCs w:val="28"/>
          <w:rtl/>
        </w:rPr>
        <w:t xml:space="preserve">،فإنّها قد تفید القطع بالاتّفاق.</w:t>
      </w:r>
    </w:p>
    <w:p>
      <w:pPr>
        <w:pStyle w:val="BookText"/>
      </w:pPr>
      <w:r>
        <w:rPr>
          <w:rFonts w:ascii="IRNazanin" w:hAnsi="IRNazanin" w:eastAsia="IRNazanin" w:cs="IRNazanin"/>
          <w:lang w:bidi="fa-IR"/>
          <w:color w:val="111111"/>
          <w:sz w:val="28"/>
          <w:szCs w:val="28"/>
          <w:rtl/>
        </w:rPr>
        <w:t xml:space="preserve">و ممّن استظهر منه دعوی ذلک:الصدوق رحمه اللّه فی عبارته المتقدّمة </w:t>
      </w:r>
      <w:r>
        <w:rPr>
          <w:rStyle w:val="FootnoteReference"/>
        </w:rPr>
        <w:footnoteReference w:id="174"/>
      </w:r>
      <w:r>
        <w:rPr>
          <w:rFonts w:ascii="IRNazanin" w:hAnsi="IRNazanin" w:eastAsia="IRNazanin" w:cs="IRNazanin"/>
          <w:lang w:bidi="fa-IR"/>
          <w:color w:val="111111"/>
          <w:sz w:val="28"/>
          <w:szCs w:val="28"/>
          <w:rtl/>
        </w:rPr>
        <w:t xml:space="preserve">عن اعتقاداته.</w:t>
      </w:r>
    </w:p>
    <w:p>
      <w:pPr>
        <w:pStyle w:val="BookText"/>
      </w:pPr>
      <w:r>
        <w:rPr>
          <w:rFonts w:ascii="IRNazanin" w:hAnsi="IRNazanin" w:eastAsia="IRNazanin" w:cs="IRNazanin"/>
          <w:lang w:bidi="fa-IR"/>
          <w:color w:val="111111"/>
          <w:sz w:val="28"/>
          <w:szCs w:val="28"/>
          <w:rtl/>
        </w:rPr>
        <w:t xml:space="preserve">و ممّن ادّعی اتّفاق المحصلین علیه:الحلّیّ فی أوّل السرائر؛حیث قال بعد ذکر الکتاب و السنّة و الإجماع:إنّه إذا فقدت الثلاثة فالمعتمد فی المسألة الشرعیّة عند المحقّقین الباحثین عن مأخذ الشریعة،التمسّک بدلیل العقل </w:t>
      </w:r>
      <w:r>
        <w:rPr>
          <w:rStyle w:val="FootnoteReference"/>
        </w:rPr>
        <w:footnoteReference w:id="175"/>
      </w:r>
      <w:r>
        <w:rPr>
          <w:rFonts w:ascii="IRNazanin" w:hAnsi="IRNazanin" w:eastAsia="IRNazanin" w:cs="IRNazanin"/>
          <w:lang w:bidi="fa-IR"/>
          <w:color w:val="111111"/>
          <w:sz w:val="28"/>
          <w:szCs w:val="28"/>
          <w:rtl/>
        </w:rPr>
        <w:t xml:space="preserve">،انتهی.و مراده بدلیل العقل-کما یظهر من تتبّع کتابه-هو أصل البراءة.</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 ممّن ادّعی إطباق العلماء:المحقّق فی المعارج فی باب الاستصحاب </w:t>
      </w:r>
      <w:r>
        <w:rPr>
          <w:rStyle w:val="FootnoteReference"/>
        </w:rPr>
        <w:footnoteReference w:id="176"/>
      </w:r>
      <w:r>
        <w:rPr>
          <w:rFonts w:ascii="IRNazanin" w:hAnsi="IRNazanin" w:eastAsia="IRNazanin" w:cs="IRNazanin"/>
          <w:lang w:bidi="fa-IR"/>
          <w:color w:val="111111"/>
          <w:sz w:val="28"/>
          <w:szCs w:val="28"/>
          <w:rtl/>
        </w:rPr>
        <w:t xml:space="preserve">،و عنه فی المسائل المصریّة أیضا فی توجیه نسبة السیّد إلی مذهبنا جواز إزالة النجاسة بالمضاف مع عدم ورود نص فیه:أنّ من أصلنا العمل بالأصل حتّی یثبت الناقل،و لم یثبت المنع عن إزالة النجاسة بالمائعات </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54]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34" w:name="pg14411_142444"/>
    <w:bookmarkEnd w:id="34"/>
    <w:p>
      <w:pPr>
        <w:pStyle w:val="BookText"/>
      </w:pPr>
      <w:r>
        <w:rPr>
          <w:rFonts w:ascii="IRNazanin" w:hAnsi="IRNazanin" w:eastAsia="IRNazanin" w:cs="IRNazanin"/>
          <w:lang w:bidi="fa-IR"/>
          <w:color w:val="111111"/>
          <w:sz w:val="28"/>
          <w:szCs w:val="28"/>
          <w:rtl/>
        </w:rPr>
        <w:t xml:space="preserve">فلو لا کون الأصل إجماعیّا لم یحسن من المحقّق قدّس سرّه جعله وجها لنسبة مقتضاه إلی مذهبنا.</w:t>
      </w:r>
    </w:p>
    <w:p>
      <w:pPr>
        <w:pStyle w:val="BookText"/>
      </w:pPr>
      <w:r>
        <w:rPr>
          <w:rFonts w:ascii="Amiri" w:hAnsi="Amiri" w:eastAsia="Amiri" w:cs="Amiri"/>
          <w:lang w:bidi="ar-SA"/>
          <w:color w:val="111111"/>
          <w:sz w:val="28"/>
          <w:szCs w:val="28"/>
          <w:rtl/>
        </w:rPr>
        <w:t xml:space="preserve">و أمّا الشهرة:فإنّها </w:t>
      </w:r>
      <w:r>
        <w:rPr>
          <w:rStyle w:val="FootnoteReference"/>
        </w:rPr>
        <w:footnoteReference w:id="178"/>
      </w:r>
      <w:r>
        <w:rPr>
          <w:rFonts w:ascii="IRNazanin" w:hAnsi="IRNazanin" w:eastAsia="IRNazanin" w:cs="IRNazanin"/>
          <w:lang w:bidi="fa-IR"/>
          <w:color w:val="111111"/>
          <w:sz w:val="28"/>
          <w:szCs w:val="28"/>
          <w:rtl/>
        </w:rPr>
        <w:t xml:space="preserve">تتحقّق بعد التتبّع فی کلمات الأصحاب خصوصا فی الکتب الفقهیّة؛و یکفی فی تحقّقها ذهاب من ذکرنا من القدماء و المتأخّرین </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Heading6"/>
      </w:pPr>
      <w:bookmarkStart w:id="1034" w:name="_Toc69"/>
      <w:r>
        <w:t>الثالث : الإجماع العملیّ الکاشف عن رضا المعصوم علیه السّلام</w:t>
      </w:r>
      <w:bookmarkEnd w:id="1034"/>
    </w:p>
    <w:p>
      <w:pPr>
        <w:pStyle w:val="BookText"/>
      </w:pPr>
      <w:r>
        <w:rPr>
          <w:rFonts w:ascii="IRNazanin" w:hAnsi="IRNazanin" w:eastAsia="IRNazanin" w:cs="IRNazanin"/>
          <w:lang w:bidi="fa-IR"/>
          <w:color w:val="111111"/>
          <w:sz w:val="28"/>
          <w:szCs w:val="28"/>
          <w:rtl/>
        </w:rPr>
        <w:t xml:space="preserve">فإنّ سیرة المسلمین من أوّل الشریعة بل فی کلّ شریعة علی عدم الالتزام و الإلزام بترک ما یحتمل ورود النهی عنه من الشارع بعد الفحص و عدم الوجدان،و أنّ طریقة الشارع کانت تبلیغ المحرّمات دون المباحات؛و لیس ذلک إلاّ لعدم احتیاج الرخصة فی الفعل إلی البیان و کفایة عدم </w:t>
      </w:r>
      <w:r>
        <w:rPr>
          <w:rStyle w:val="FootnoteReference"/>
        </w:rPr>
        <w:footnoteReference w:id="180"/>
      </w:r>
      <w:r>
        <w:rPr>
          <w:rFonts w:ascii="IRNazanin" w:hAnsi="IRNazanin" w:eastAsia="IRNazanin" w:cs="IRNazanin"/>
          <w:lang w:bidi="fa-IR"/>
          <w:color w:val="111111"/>
          <w:sz w:val="28"/>
          <w:szCs w:val="28"/>
          <w:rtl/>
        </w:rPr>
        <w:t xml:space="preserve">النهی فیها.</w:t>
      </w:r>
    </w:p>
    <w:p>
      <w:pPr>
        <w:pStyle w:val="BookText"/>
      </w:pPr>
      <w:r>
        <w:rPr>
          <w:rFonts w:ascii="IRNazanin" w:hAnsi="IRNazanin" w:eastAsia="IRNazanin" w:cs="IRNazanin"/>
          <w:lang w:bidi="fa-IR"/>
          <w:color w:val="111111"/>
          <w:sz w:val="28"/>
          <w:szCs w:val="28"/>
          <w:rtl/>
        </w:rPr>
        <w:t xml:space="preserve">قال المحقّق قدّس سرّه-علی ما حکی عنه-:إنّ أهل الشرائع کافة لا یخطّئون من بادر إلی تناول شیء من المشتبهات سواء علم الإذن فیها من الشرع أم لم یعلم،و لا یوجبون علیه عند تناول شیء من المأکول أن یعلم التنصیص علی إباحته،و یعذرونه فی کثیر من المحرّمات إذا تناولها من غیر علم،و لو کانت محظورة لأسرعوا إلی تخطئته حتّی یعلم الإذن </w:t>
      </w:r>
      <w:r>
        <w:rPr>
          <w:rStyle w:val="FootnoteReference"/>
        </w:rPr>
        <w:footnoteReference w:id="181"/>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[شماره صفحه واقعی : 55]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35" w:name="pg14411_142445"/>
    <w:bookmarkEnd w:id="35"/>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أقول:إن کان الغرض ممّا ذکر-من عدم التخطئة-بیان قبح مؤاخذة الجاهل بالتحریم،فهو حسن مع عدم بلوغ وجوب الاحتیاط علیه من الشارع،لکنّه راجع إلی الدلیل العقلیّ الآتی </w:t>
      </w:r>
      <w:r>
        <w:rPr>
          <w:rStyle w:val="FootnoteReference"/>
        </w:rPr>
        <w:footnoteReference w:id="182"/>
      </w:r>
      <w:r>
        <w:rPr>
          <w:rFonts w:ascii="IRNazanin" w:hAnsi="IRNazanin" w:eastAsia="IRNazanin" w:cs="IRNazanin"/>
          <w:lang w:bidi="fa-IR"/>
          <w:color w:val="111111"/>
          <w:sz w:val="28"/>
          <w:szCs w:val="28"/>
          <w:rtl/>
        </w:rPr>
        <w:t xml:space="preserve">،و لا ینبغی الاستشهاد له بخصوص أهل الشرائع،بل بناء کافّة العقلاء و إن لم یکونوا من أهل الشرائع علی قبح ذلک.</w:t>
      </w:r>
    </w:p>
    <w:p>
      <w:pPr>
        <w:pStyle w:val="BookText"/>
      </w:pPr>
      <w:r>
        <w:rPr>
          <w:rFonts w:ascii="IRNazanin" w:hAnsi="IRNazanin" w:eastAsia="IRNazanin" w:cs="IRNazanin"/>
          <w:lang w:bidi="fa-IR"/>
          <w:color w:val="111111"/>
          <w:sz w:val="28"/>
          <w:szCs w:val="28"/>
          <w:rtl/>
        </w:rPr>
        <w:t xml:space="preserve">و إن کان الغرض منه أنّ بناء العقلاء علی تجویز الارتکاب مع قطع النظر عن ملاحظة قبح مؤاخذة الجاهل،حتّی لو فرض عدم قبحه -لفرض العقاب من اللوازم القهریّة لفعل الحرام مثلا،أو فرض المولی فی التکالیف العرفیّة ممّن یؤاخذ علی الحرام و لو صدر جهلا-لم یزل بناؤهم علی ذلک،فهو مبنیّ علی عدم وجوب دفع الضرر المحتمل، و سیجیء الکلام فیه </w:t>
      </w:r>
      <w:r>
        <w:rPr>
          <w:rStyle w:val="FootnoteReference"/>
        </w:rPr>
        <w:footnoteReference w:id="183"/>
      </w:r>
      <w:r>
        <w:rPr>
          <w:rFonts w:ascii="Amiri" w:hAnsi="Amiri" w:eastAsia="Amiri" w:cs="Amiri"/>
          <w:lang w:bidi="ar-SA"/>
          <w:color w:val="111111"/>
          <w:sz w:val="28"/>
          <w:szCs w:val="28"/>
          <w:rtl/>
        </w:rPr>
        <w:t xml:space="preserve">إن شاء اللّه.</w:t>
      </w:r>
    </w:p>
    <w:p>
      <w:pPr>
        <w:pStyle w:val="Heading6"/>
      </w:pPr>
      <w:bookmarkStart w:id="1035" w:name="_Toc70"/>
      <w:r>
        <w:t>[الدلیل العقلی علی البراءة : «قاعدة قبح العقاب بلا بیان»]</w:t>
      </w:r>
      <w:bookmarkEnd w:id="1035"/>
    </w:p>
    <w:p>
      <w:pPr>
        <w:pStyle w:val="Heading6"/>
      </w:pPr>
      <w:bookmarkStart w:id="1036" w:name="_Toc71"/>
      <w:r>
        <w:t>اشارة</w:t>
      </w:r>
      <w:bookmarkEnd w:id="1036"/>
    </w:p>
    <w:p>
      <w:pPr>
        <w:pStyle w:val="BookText"/>
      </w:pPr>
      <w:r>
        <w:rPr>
          <w:rFonts w:ascii="IRNazanin" w:hAnsi="IRNazanin" w:eastAsia="IRNazanin" w:cs="IRNazanin"/>
          <w:lang w:bidi="fa-IR"/>
          <w:color w:val="111111"/>
          <w:sz w:val="28"/>
          <w:szCs w:val="28"/>
          <w:rtl/>
        </w:rPr>
        <w:t xml:space="preserve">الرابع من الأدلّة:حکم العقل بقبح العقاب علی شیء من دون بیان التکلیف.</w:t>
      </w:r>
    </w:p>
    <w:p>
      <w:pPr>
        <w:pStyle w:val="BookText"/>
      </w:pPr>
      <w:r>
        <w:rPr>
          <w:rFonts w:ascii="IRNazanin" w:hAnsi="IRNazanin" w:eastAsia="IRNazanin" w:cs="IRNazanin"/>
          <w:lang w:bidi="fa-IR"/>
          <w:color w:val="111111"/>
          <w:sz w:val="28"/>
          <w:szCs w:val="28"/>
          <w:rtl/>
        </w:rPr>
        <w:t xml:space="preserve">و یشهد له:حکم العقلاء کافّة بقبح مؤاخذة المولی عبده علی فعل ما یعترف بعدم إعلامه أصلا بتحریمه.</w:t>
      </w:r>
    </w:p>
    <w:p>
      <w:pPr>
        <w:pStyle w:val="Heading6"/>
      </w:pPr>
      <w:bookmarkStart w:id="1037" w:name="_Toc72"/>
      <w:r>
        <w:t>[حکم العقل بوجوب دفع الضرر المحتمل لا یکون بیانا]</w:t>
      </w:r>
      <w:bookmarkEnd w:id="1037"/>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 دعوی:أنّ حکم العقل بوجوب دفع الضرر المحتمل بیان عقلیّ فلا یقبح بعده المؤاخذة،مدفوعة:بأنّ الحکم المذکور علی تقدیر ثبوته لا یکون بیانا للتکلیف المجهول المعاقب علیه،و إنّما هو بیان لقاعدة</w:t>
      </w:r>
    </w:p>
    <w:p>
      <w:pPr>
        <w:pStyle w:val="BookText"/>
      </w:pPr>
      <w:r>
        <w:rPr>
          <w:rFonts w:ascii="IRNazanin" w:hAnsi="IRNazanin" w:eastAsia="IRNazanin" w:cs="IRNazanin"/>
          <w:lang w:bidi="fa-IR"/>
          <w:color w:val="111111"/>
          <w:sz w:val="28"/>
          <w:szCs w:val="28"/>
          <w:rtl/>
        </w:rPr>
        <w:t xml:space="preserve">[شماره صفحه واقعی : 56]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36" w:name="pg14411_142446"/>
    <w:bookmarkEnd w:id="36"/>
    <w:p>
      <w:pPr>
        <w:pStyle w:val="BookText"/>
      </w:pPr>
      <w:r>
        <w:rPr>
          <w:rFonts w:ascii="IRNazanin" w:hAnsi="IRNazanin" w:eastAsia="IRNazanin" w:cs="IRNazanin"/>
          <w:lang w:bidi="fa-IR"/>
          <w:color w:val="111111"/>
          <w:sz w:val="28"/>
          <w:szCs w:val="28"/>
          <w:rtl/>
        </w:rPr>
        <w:t xml:space="preserve">کلیّة ظاهریّة و إن لم یکن فی مورده تکلیف فی الواقع،فلو تمّت عوقب علی مخالفتها و إن لم یکن تکلیف فی الواقع،لا علی التکلیف المحتمل علی فرض وجوده؛فلا تصلح القاعدة لورودها علی قاعدة القبح المذکورة،بل قاعدة القبح واردة علیها؛لأنّها فرع احتمال الضرر أعنی العقاب،و لا احتمال بعد حکم العقل بقبح العقاب من غیر بیان.</w:t>
      </w:r>
    </w:p>
    <w:p>
      <w:pPr>
        <w:pStyle w:val="BookText"/>
      </w:pPr>
      <w:r>
        <w:rPr>
          <w:rFonts w:ascii="IRNazanin" w:hAnsi="IRNazanin" w:eastAsia="IRNazanin" w:cs="IRNazanin"/>
          <w:lang w:bidi="fa-IR"/>
          <w:color w:val="111111"/>
          <w:sz w:val="28"/>
          <w:szCs w:val="28"/>
          <w:rtl/>
        </w:rPr>
        <w:t xml:space="preserve">فمورد قاعدة دفع العقاب المحتمل هو ما ثبت العقاب فیه ببیان الشارع للتکلیف فتردّد المکلّف به </w:t>
      </w:r>
      <w:r>
        <w:rPr>
          <w:rStyle w:val="FootnoteReference"/>
        </w:rPr>
        <w:footnoteReference w:id="184"/>
      </w:r>
      <w:r>
        <w:rPr>
          <w:rFonts w:ascii="IRNazanin" w:hAnsi="IRNazanin" w:eastAsia="IRNazanin" w:cs="IRNazanin"/>
          <w:lang w:bidi="fa-IR"/>
          <w:color w:val="111111"/>
          <w:sz w:val="28"/>
          <w:szCs w:val="28"/>
          <w:rtl/>
        </w:rPr>
        <w:t xml:space="preserve">بین أمرین،کما فی الشبهة المحصورة و ما یشبهها.</w:t>
      </w:r>
    </w:p>
    <w:p>
      <w:pPr>
        <w:pStyle w:val="BookText"/>
      </w:pPr>
      <w:r>
        <w:rPr>
          <w:rFonts w:ascii="IRNazanin" w:hAnsi="IRNazanin" w:eastAsia="IRNazanin" w:cs="IRNazanin"/>
          <w:lang w:bidi="fa-IR"/>
          <w:color w:val="111111"/>
          <w:sz w:val="28"/>
          <w:szCs w:val="28"/>
          <w:rtl/>
        </w:rPr>
        <w:t xml:space="preserve">هذا کلّه إن ارید ب«الضرر»العقاب،و إن ارید به </w:t>
      </w:r>
      <w:r>
        <w:rPr>
          <w:rStyle w:val="FootnoteReference"/>
        </w:rPr>
        <w:footnoteReference w:id="185"/>
      </w:r>
      <w:r>
        <w:rPr>
          <w:rFonts w:ascii="IRNazanin" w:hAnsi="IRNazanin" w:eastAsia="IRNazanin" w:cs="IRNazanin"/>
          <w:lang w:bidi="fa-IR"/>
          <w:color w:val="111111"/>
          <w:sz w:val="28"/>
          <w:szCs w:val="28"/>
          <w:rtl/>
        </w:rPr>
        <w:t xml:space="preserve">مضرّة اخری غیر العقاب-التی لا یتوقّف ترتّبها علی العلم-،فهو و إن کان محتملا لا یرتفع احتماله بقبح العقاب من غیر بیان،إلاّ أنّ الشبهة من هذه الجهة موضوعیّة لا یجب الاحتیاط فیها باعتراف الأخباریین،فلو ثبت وجوب دفع المضرّة المحتملة لکان هذا مشترک الورود؛فلا بدّ علی کلا القولین إمّا من منع وجوب الدفع،و إمّا من دعوی ترخیص الشارع و إذنه فیما شکّ فی کونه من مصادیق الضرر،و سیجیء توضیحه فی الشبهة الموضوعیة </w:t>
      </w:r>
      <w:r>
        <w:rPr>
          <w:rStyle w:val="FootnoteReference"/>
        </w:rPr>
        <w:footnoteReference w:id="186"/>
      </w:r>
      <w:r>
        <w:rPr>
          <w:rFonts w:ascii="Amiri" w:hAnsi="Amiri" w:eastAsia="Amiri" w:cs="Amiri"/>
          <w:lang w:bidi="ar-SA"/>
          <w:color w:val="111111"/>
          <w:sz w:val="28"/>
          <w:szCs w:val="28"/>
          <w:rtl/>
        </w:rPr>
        <w:t xml:space="preserve">إن شاء اللّه.</w:t>
      </w:r>
    </w:p>
    <w:p>
      <w:pPr>
        <w:pStyle w:val="Heading6"/>
      </w:pPr>
      <w:bookmarkStart w:id="1038" w:name="_Toc73"/>
      <w:r>
        <w:t>[ما ذکره فی الغنیة:من أنّ التکلیف بما لا طریق إلی العلم به تکلیف بما لا یطاق]</w:t>
      </w:r>
      <w:bookmarkEnd w:id="1038"/>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Amiri" w:hAnsi="Amiri" w:eastAsia="Amiri" w:cs="Amiri"/>
          <w:lang w:bidi="ar-SA"/>
          <w:color w:val="111111"/>
          <w:sz w:val="28"/>
          <w:szCs w:val="28"/>
          <w:rtl/>
        </w:rPr>
        <w:t xml:space="preserve">ثمّ إنّه ذکر السیّد أبو المکارم قدّس سرّه فی الغنیة:أنّ التکلیف بما</w:t>
      </w:r>
    </w:p>
    <w:p>
      <w:pPr>
        <w:pStyle w:val="BookText"/>
      </w:pPr>
      <w:r>
        <w:rPr>
          <w:rFonts w:ascii="IRNazanin" w:hAnsi="IRNazanin" w:eastAsia="IRNazanin" w:cs="IRNazanin"/>
          <w:lang w:bidi="fa-IR"/>
          <w:color w:val="111111"/>
          <w:sz w:val="28"/>
          <w:szCs w:val="28"/>
          <w:rtl/>
        </w:rPr>
        <w:t xml:space="preserve">[شماره صفحه واقعی : 57]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37" w:name="pg14411_142447"/>
    <w:bookmarkEnd w:id="37"/>
    <w:p>
      <w:pPr>
        <w:pStyle w:val="BookText"/>
      </w:pPr>
      <w:r>
        <w:rPr>
          <w:rFonts w:ascii="IRNazanin" w:hAnsi="IRNazanin" w:eastAsia="IRNazanin" w:cs="IRNazanin"/>
          <w:lang w:bidi="fa-IR"/>
          <w:color w:val="111111"/>
          <w:sz w:val="28"/>
          <w:szCs w:val="28"/>
          <w:rtl/>
        </w:rPr>
        <w:t xml:space="preserve">لا طریق إلی العلم به تکلیف بما لا یطاق </w:t>
      </w:r>
      <w:r>
        <w:rPr>
          <w:rStyle w:val="FootnoteReference"/>
        </w:rPr>
        <w:footnoteReference w:id="187"/>
      </w:r>
      <w:r>
        <w:rPr>
          <w:rFonts w:ascii="IRNazanin" w:hAnsi="IRNazanin" w:eastAsia="IRNazanin" w:cs="IRNazanin"/>
          <w:lang w:bidi="fa-IR"/>
          <w:color w:val="111111"/>
          <w:sz w:val="28"/>
          <w:szCs w:val="28"/>
          <w:rtl/>
        </w:rPr>
        <w:t xml:space="preserve">.و تبعه بعض من تأخّر عنه </w:t>
      </w:r>
      <w:r>
        <w:rPr>
          <w:rStyle w:val="FootnoteReference"/>
        </w:rPr>
        <w:footnoteReference w:id="188"/>
      </w:r>
      <w:r>
        <w:rPr>
          <w:rFonts w:ascii="IRNazanin" w:hAnsi="IRNazanin" w:eastAsia="IRNazanin" w:cs="IRNazanin"/>
          <w:lang w:bidi="fa-IR"/>
          <w:color w:val="111111"/>
          <w:sz w:val="28"/>
          <w:szCs w:val="28"/>
          <w:rtl/>
        </w:rPr>
        <w:t xml:space="preserve">،فاستدلّ به فی مسألة البراءة.</w:t>
      </w:r>
    </w:p>
    <w:p>
      <w:pPr>
        <w:pStyle w:val="Heading6"/>
      </w:pPr>
      <w:bookmarkStart w:id="1039" w:name="_Toc74"/>
      <w:r>
        <w:t>[المراد ب«ما لا یطاق»]</w:t>
      </w:r>
      <w:bookmarkEnd w:id="1039"/>
    </w:p>
    <w:p>
      <w:pPr>
        <w:pStyle w:val="BookText"/>
      </w:pPr>
      <w:r>
        <w:rPr>
          <w:rFonts w:ascii="IRNazanin" w:hAnsi="IRNazanin" w:eastAsia="IRNazanin" w:cs="IRNazanin"/>
          <w:lang w:bidi="fa-IR"/>
          <w:color w:val="111111"/>
          <w:sz w:val="28"/>
          <w:szCs w:val="28"/>
          <w:rtl/>
        </w:rPr>
        <w:t xml:space="preserve">و الظاهر:أنّ المراد به ما لا یطاق الامتثال به و إتیانه بقصد الطاعة،کما صرّح به جماعة من الخاصّة و العامّة </w:t>
      </w:r>
      <w:r>
        <w:rPr>
          <w:rStyle w:val="FootnoteReference"/>
        </w:rPr>
        <w:footnoteReference w:id="189"/>
      </w:r>
      <w:r>
        <w:rPr>
          <w:rFonts w:ascii="IRNazanin" w:hAnsi="IRNazanin" w:eastAsia="IRNazanin" w:cs="IRNazanin"/>
          <w:lang w:bidi="fa-IR"/>
          <w:color w:val="111111"/>
          <w:sz w:val="28"/>
          <w:szCs w:val="28"/>
          <w:rtl/>
        </w:rPr>
        <w:t xml:space="preserve">فی دلیل اشتراط التکلیف بالعلم؛و إلاّ فنفس الفعل لا یصیر ممّا لا یطاق بمجرّد عدم العلم بالتکلیف به.</w:t>
      </w:r>
    </w:p>
    <w:p>
      <w:pPr>
        <w:pStyle w:val="BookText"/>
      </w:pPr>
      <w:r>
        <w:rPr>
          <w:rFonts w:ascii="IRNazanin" w:hAnsi="IRNazanin" w:eastAsia="IRNazanin" w:cs="IRNazanin"/>
          <w:lang w:bidi="fa-IR"/>
          <w:color w:val="111111"/>
          <w:sz w:val="28"/>
          <w:szCs w:val="28"/>
          <w:rtl/>
        </w:rPr>
        <w:t xml:space="preserve">و احتمال کون الغرض من التکلیف مطلق صدور الفعل و لو مع عدم قصد الإطاعة،أو کون </w:t>
      </w:r>
      <w:r>
        <w:rPr>
          <w:rStyle w:val="FootnoteReference"/>
        </w:rPr>
        <w:footnoteReference w:id="190"/>
      </w:r>
      <w:r>
        <w:rPr>
          <w:rFonts w:ascii="IRNazanin" w:hAnsi="IRNazanin" w:eastAsia="IRNazanin" w:cs="IRNazanin"/>
          <w:lang w:bidi="fa-IR"/>
          <w:color w:val="111111"/>
          <w:sz w:val="28"/>
          <w:szCs w:val="28"/>
          <w:rtl/>
        </w:rPr>
        <w:t xml:space="preserve">الغرض من التکلیف مع الشکّ فیه إتیان الفعل بداعی حصول الانقیاد بقصد الإتیان بمجرّد احتمال کونه مطلوبا للآمر،و هذا ممکن من الشاکّ و إن لم یکن من الغافل،مدفوع:بأنّه إن قام دلیل علی وجوب إتیان الشاکّ فی التکلیف بالفعل لاحتمال المطلوبیّة،أغنی ذلک من التکلیف بنفس الفعل،و إلاّ لم ینفع التکلیف المشکوک فی تحصیل الغرض المذکور.</w:t>
      </w:r>
    </w:p>
    <w:p>
      <w:pPr>
        <w:pStyle w:val="BookText"/>
      </w:pPr>
      <w:r>
        <w:rPr>
          <w:rFonts w:ascii="IRNazanin" w:hAnsi="IRNazanin" w:eastAsia="IRNazanin" w:cs="IRNazanin"/>
          <w:lang w:bidi="fa-IR"/>
          <w:color w:val="111111"/>
          <w:sz w:val="28"/>
          <w:szCs w:val="28"/>
          <w:rtl/>
        </w:rPr>
        <w:t xml:space="preserve">و الحاصل:أنّ التکلیف المجهول لا یصلح </w:t>
      </w:r>
      <w:r>
        <w:rPr>
          <w:rStyle w:val="FootnoteReference"/>
        </w:rPr>
        <w:footnoteReference w:id="191"/>
      </w:r>
      <w:r>
        <w:rPr>
          <w:rFonts w:ascii="IRNazanin" w:hAnsi="IRNazanin" w:eastAsia="IRNazanin" w:cs="IRNazanin"/>
          <w:lang w:bidi="fa-IR"/>
          <w:color w:val="111111"/>
          <w:sz w:val="28"/>
          <w:szCs w:val="28"/>
          <w:rtl/>
        </w:rPr>
        <w:t xml:space="preserve">لکون الغرض منه</w:t>
      </w:r>
    </w:p>
    <w:p>
      <w:pPr>
        <w:pStyle w:val="BookText"/>
      </w:pPr>
      <w:r>
        <w:rPr>
          <w:rFonts w:ascii="IRNazanin" w:hAnsi="IRNazanin" w:eastAsia="IRNazanin" w:cs="IRNazanin"/>
          <w:lang w:bidi="fa-IR"/>
          <w:color w:val="111111"/>
          <w:sz w:val="28"/>
          <w:szCs w:val="28"/>
          <w:rtl/>
        </w:rPr>
        <w:t xml:space="preserve">[شماره صفحه واقعی : 58]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38" w:name="pg14411_142448"/>
    <w:bookmarkEnd w:id="38"/>
    <w:p>
      <w:pPr>
        <w:pStyle w:val="BookText"/>
      </w:pPr>
      <w:r>
        <w:rPr>
          <w:rFonts w:ascii="IRNazanin" w:hAnsi="IRNazanin" w:eastAsia="IRNazanin" w:cs="IRNazanin"/>
          <w:lang w:bidi="fa-IR"/>
          <w:color w:val="111111"/>
          <w:sz w:val="28"/>
          <w:szCs w:val="28"/>
          <w:rtl/>
        </w:rPr>
        <w:t xml:space="preserve">الحمل علی الفعل مطلقا،و صدور الفعل من الفاعل أحیانا لا لداعی التکلیف لا یمکن أن یکون غرضا للتکلیف.</w:t>
      </w:r>
    </w:p>
    <w:p>
      <w:pPr>
        <w:pStyle w:val="Heading6"/>
      </w:pPr>
      <w:bookmarkStart w:id="1040" w:name="_Toc75"/>
      <w:r>
        <w:t>[الدلیل العقلی المذکور لیس من أدلّة البراءة]</w:t>
      </w:r>
      <w:bookmarkEnd w:id="1040"/>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 اعلم:أنّ هذا الدلیل العقلیّ-کبعض ما تقدّم من الأدلّة النقلیّة- معلّق علی عدم تمامیّة أدلّة الاحتیاط؛فلا یثبت به إلاّ الأصل فی مسألة البراءة،و لا یعدّ من أدلّتها بحیث یعارض أخبار الاحتیاط.</w:t>
      </w:r>
    </w:p>
    <w:p>
      <w:pPr>
        <w:pStyle w:val="Heading6"/>
      </w:pPr>
      <w:bookmarkStart w:id="1041" w:name="_Toc76"/>
      <w:r>
        <w:t>و قد یستدل علی البراءة بوجوه غیر ناهضة</w:t>
      </w:r>
      <w:bookmarkEnd w:id="1041"/>
    </w:p>
    <w:p>
      <w:pPr>
        <w:pStyle w:val="Heading6"/>
      </w:pPr>
      <w:bookmarkStart w:id="1042" w:name="_Toc77"/>
      <w:r>
        <w:t>منها : استصحاب البراءة المتیقّنة حال الصغر أو الجنون</w:t>
      </w:r>
      <w:bookmarkEnd w:id="1042"/>
    </w:p>
    <w:p>
      <w:pPr>
        <w:pStyle w:val="BookText"/>
      </w:pPr>
      <w:r>
        <w:rPr>
          <w:rFonts w:ascii="IRNazanin" w:hAnsi="IRNazanin" w:eastAsia="IRNazanin" w:cs="IRNazanin"/>
          <w:lang w:bidi="fa-IR"/>
          <w:color w:val="111111"/>
          <w:sz w:val="28"/>
          <w:szCs w:val="28"/>
          <w:rtl/>
        </w:rPr>
        <w:t xml:space="preserve">منها:استصحاب البراءة المتیقّنة حال الصغر أو الجنون </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فیه:أنّ الاستدلال مبنیّ علی اعتبار الاستصحاب من باب الظنّ،فیدخل أصل البراءة بذلک فی الأمارات الدالّة علی الحکم الواقعیّ،دون الاصول المثبتة للأحکام الظاهریّة.و سیجیء عدم اعتبار الاستصحاب من باب الظنّ </w:t>
      </w:r>
      <w:r>
        <w:rPr>
          <w:rStyle w:val="FootnoteReference"/>
        </w:rPr>
        <w:footnoteReference w:id="193"/>
      </w:r>
      <w:r>
        <w:rPr>
          <w:rFonts w:ascii="Amiri" w:hAnsi="Amiri" w:eastAsia="Amiri" w:cs="Amiri"/>
          <w:lang w:bidi="ar-SA"/>
          <w:color w:val="111111"/>
          <w:sz w:val="28"/>
          <w:szCs w:val="28"/>
          <w:rtl/>
        </w:rPr>
        <w:t xml:space="preserve">إن شاء اللّه.</w:t>
      </w:r>
    </w:p>
    <w:p>
      <w:pPr>
        <w:pStyle w:val="BookText"/>
      </w:pPr>
      <w:r>
        <w:rPr>
          <w:rFonts w:ascii="IRNazanin" w:hAnsi="IRNazanin" w:eastAsia="IRNazanin" w:cs="IRNazanin"/>
          <w:lang w:bidi="fa-IR"/>
          <w:color w:val="111111"/>
          <w:sz w:val="28"/>
          <w:szCs w:val="28"/>
          <w:rtl/>
        </w:rPr>
        <w:t xml:space="preserve">و أمّا لو قلنا باعتباره من باب الأخبار الناهیة عن نقض الیقین بالشکّ،فلا ینفع فی المقام؛لأنّ الثابت بها ترتّب اللوازم المجعولة الشرعیة علی المستصحب،و المستصحب هنا لیس إلاّ براءة الذمّة من التکلیف و عدم المنع من الفعل و عدم استحقاق العقاب علیه،و المطلوب فی الآن اللاحق هو القطع بعدم ترتّب العقاب علی الفعل أو ما یستلزم ذلک-إذ لو لم یقطع بالعدم و احتمل العقاب </w:t>
      </w:r>
      <w:r>
        <w:rPr>
          <w:rStyle w:val="FootnoteReference"/>
        </w:rPr>
        <w:footnoteReference w:id="194"/>
      </w:r>
      <w:r>
        <w:rPr>
          <w:rFonts w:ascii="IRNazanin" w:hAnsi="IRNazanin" w:eastAsia="IRNazanin" w:cs="IRNazanin"/>
          <w:lang w:bidi="fa-IR"/>
          <w:color w:val="111111"/>
          <w:sz w:val="28"/>
          <w:szCs w:val="28"/>
          <w:rtl/>
        </w:rPr>
        <w:t xml:space="preserve">احتاج إلی انضمام حکم العقل بقبح العقاب من غیر بیان إلیه حتّی یأمن العقل من العقاب،</w:t>
      </w:r>
    </w:p>
    <w:p>
      <w:pPr>
        <w:pStyle w:val="BookText"/>
      </w:pPr>
      <w:r>
        <w:rPr>
          <w:rFonts w:ascii="IRNazanin" w:hAnsi="IRNazanin" w:eastAsia="IRNazanin" w:cs="IRNazanin"/>
          <w:lang w:bidi="fa-IR"/>
          <w:color w:val="111111"/>
          <w:sz w:val="28"/>
          <w:szCs w:val="28"/>
          <w:rtl/>
        </w:rPr>
        <w:t xml:space="preserve">[شماره صفحه واقعی : 59]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معه لا حاجة إلی الاستصحاب و ملاحظة الحالة السابقة-،</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 من المعلوم أنّ المطلوب المذکور لا یترتّب علی المستصحبات المذکورة؛لأنّ عدم استحقاق العقاب فی الآخرة لیس من اللوازم المجعولة حتّی یحکم به الشارع فی الظاهر.</w:t>
      </w:r>
    </w:p>
    <w:p>
      <w:pPr>
        <w:pStyle w:val="BookText"/>
      </w:pPr>
      <w:r>
        <w:rPr>
          <w:rFonts w:ascii="IRNazanin" w:hAnsi="IRNazanin" w:eastAsia="IRNazanin" w:cs="IRNazanin"/>
          <w:lang w:bidi="fa-IR"/>
          <w:color w:val="111111"/>
          <w:sz w:val="28"/>
          <w:szCs w:val="28"/>
          <w:rtl/>
        </w:rPr>
        <w:t xml:space="preserve">و أمّا الإذن و الترخیص فی الفعل،فهو و إن کان أمرا قابلا للجعل و یستلزم انتفاء العقاب واقعا،إلاّ أنّ الإذن الشرعیّ لیس لازما شرعیّا للمستصحبات المذکورة،بل هو من المقارنات؛حیث إنّ عدم المنع عن الفعل-بعد العلم إجمالا بعدم خلوّ فعل المکلّف عن أحد الأحکام الخمسة-لا ینفکّ عن کونه مرخّصا فیه،فهو نظیر إثبات وجود أحد الضدّین بنفی الآخر بأصالة العدم.</w:t>
      </w:r>
    </w:p>
    <w:p>
      <w:pPr>
        <w:pStyle w:val="BookText"/>
      </w:pPr>
      <w:r>
        <w:rPr>
          <w:rFonts w:ascii="IRNazanin" w:hAnsi="IRNazanin" w:eastAsia="IRNazanin" w:cs="IRNazanin"/>
          <w:lang w:bidi="fa-IR"/>
          <w:color w:val="111111"/>
          <w:sz w:val="28"/>
          <w:szCs w:val="28"/>
          <w:rtl/>
        </w:rPr>
        <w:t xml:space="preserve">و من هنا تبیّن:أنّ استدلال بعض من اعترف بما ذکرنا </w:t>
      </w:r>
      <w:r>
        <w:rPr>
          <w:rStyle w:val="FootnoteReference"/>
        </w:rPr>
        <w:footnoteReference w:id="195"/>
      </w:r>
      <w:r>
        <w:rPr>
          <w:rFonts w:ascii="IRNazanin" w:hAnsi="IRNazanin" w:eastAsia="IRNazanin" w:cs="IRNazanin"/>
          <w:lang w:bidi="fa-IR"/>
          <w:color w:val="111111"/>
          <w:sz w:val="28"/>
          <w:szCs w:val="28"/>
          <w:rtl/>
        </w:rPr>
        <w:t xml:space="preserve">-من عدم اعتبار الاستصحاب من باب الظنّ و عدم إثباته إلاّ اللوازم الشرعیّة-فی هذا المقام باستصحاب البراءة،منظور فیه.</w:t>
      </w:r>
    </w:p>
    <w:p>
      <w:pPr>
        <w:pStyle w:val="BookText"/>
      </w:pPr>
      <w:r>
        <w:rPr>
          <w:rFonts w:ascii="IRNazanin" w:hAnsi="IRNazanin" w:eastAsia="IRNazanin" w:cs="IRNazanin"/>
          <w:lang w:bidi="fa-IR"/>
          <w:color w:val="111111"/>
          <w:sz w:val="28"/>
          <w:szCs w:val="28"/>
          <w:rtl/>
        </w:rPr>
        <w:t xml:space="preserve">نعم،من قال باعتباره من باب الظنّ،أو أنّه یثبت بالاستصحاب </w:t>
      </w:r>
      <w:r>
        <w:rPr>
          <w:rStyle w:val="FootnoteReference"/>
        </w:rPr>
        <w:footnoteReference w:id="196"/>
      </w:r>
      <w:r>
        <w:rPr>
          <w:rFonts w:ascii="IRNazanin" w:hAnsi="IRNazanin" w:eastAsia="IRNazanin" w:cs="IRNazanin"/>
          <w:lang w:bidi="fa-IR"/>
          <w:color w:val="111111"/>
          <w:sz w:val="28"/>
          <w:szCs w:val="28"/>
          <w:rtl/>
        </w:rPr>
        <w:t xml:space="preserve">من باب التعبّد کلّ ما لا ینفکّ عن المستصحب لو کان معلوم البقاء و لو لم یکن من اللوازم الشرعیّة،فلا بأس بتمسّکه به.</w:t>
      </w:r>
    </w:p>
    <w:p>
      <w:pPr>
        <w:pStyle w:val="BookText"/>
      </w:pPr>
      <w:r>
        <w:rPr>
          <w:rFonts w:ascii="IRNazanin" w:hAnsi="IRNazanin" w:eastAsia="IRNazanin" w:cs="IRNazanin"/>
          <w:lang w:bidi="fa-IR"/>
          <w:color w:val="111111"/>
          <w:sz w:val="28"/>
          <w:szCs w:val="28"/>
          <w:rtl/>
        </w:rPr>
        <w:t xml:space="preserve">مع أنّه یمکن النظر فیه؛بناء علی ما سیجیء </w:t>
      </w:r>
      <w:r>
        <w:rPr>
          <w:rStyle w:val="FootnoteReference"/>
        </w:rPr>
        <w:footnoteReference w:id="197"/>
      </w:r>
      <w:r>
        <w:rPr>
          <w:rFonts w:ascii="IRNazanin" w:hAnsi="IRNazanin" w:eastAsia="IRNazanin" w:cs="IRNazanin"/>
          <w:lang w:bidi="fa-IR"/>
          <w:color w:val="111111"/>
          <w:sz w:val="28"/>
          <w:szCs w:val="28"/>
          <w:rtl/>
        </w:rPr>
        <w:t xml:space="preserve">:من اشتراط العلم ببقاء الموضوع فی الاستصحاب،و موضوع البراءة فی السابق و مناطها هو الصغیر الغیر القابل للتکلیف،فانسحابها فی القابل أشبه بالقیاس من</w:t>
      </w:r>
    </w:p>
    <w:p>
      <w:pPr>
        <w:pStyle w:val="BookText"/>
      </w:pPr>
      <w:r>
        <w:rPr>
          <w:rFonts w:ascii="IRNazanin" w:hAnsi="IRNazanin" w:eastAsia="IRNazanin" w:cs="IRNazanin"/>
          <w:lang w:bidi="fa-IR"/>
          <w:color w:val="111111"/>
          <w:sz w:val="28"/>
          <w:szCs w:val="28"/>
          <w:rtl/>
        </w:rPr>
        <w:t xml:space="preserve">[شماره صفحه واقعی : 60]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39" w:name="pg14411_142450"/>
    <w:bookmarkEnd w:id="39"/>
    <w:p>
      <w:pPr>
        <w:pStyle w:val="BookText"/>
      </w:pPr>
      <w:r>
        <w:rPr>
          <w:rFonts w:ascii="IRNazanin" w:hAnsi="IRNazanin" w:eastAsia="IRNazanin" w:cs="IRNazanin"/>
          <w:lang w:bidi="fa-IR"/>
          <w:color w:val="111111"/>
          <w:sz w:val="28"/>
          <w:szCs w:val="28"/>
          <w:rtl/>
        </w:rPr>
        <w:t xml:space="preserve">الاستصحاب،فتأمّل.</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 بالجملة:فأصل البراءة أظهر عند القائلین بها و المنکرین لها من أن یحتاج إلی الاستصحاب.</w:t>
      </w:r>
    </w:p>
    <w:p>
      <w:pPr>
        <w:pStyle w:val="Heading6"/>
      </w:pPr>
      <w:bookmarkStart w:id="1043" w:name="_Toc78"/>
      <w:r>
        <w:t>و منها : أنّ الاحتیاط عسر منفیّ وجوبه</w:t>
      </w:r>
      <w:bookmarkEnd w:id="1043"/>
    </w:p>
    <w:p>
      <w:pPr>
        <w:pStyle w:val="BookText"/>
      </w:pPr>
      <w:r>
        <w:rPr>
          <w:rFonts w:ascii="IRNazanin" w:hAnsi="IRNazanin" w:eastAsia="IRNazanin" w:cs="IRNazanin"/>
          <w:lang w:bidi="fa-IR"/>
          <w:color w:val="111111"/>
          <w:sz w:val="28"/>
          <w:szCs w:val="28"/>
          <w:rtl/>
        </w:rPr>
        <w:t xml:space="preserve">و منها:أنّ الاحتیاط عسر منفیّ وجوبه </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فیه:أنّ تعسّره لیس إلاّ من حیث کثرة موارده،و هی </w:t>
      </w:r>
      <w:r>
        <w:rPr>
          <w:rStyle w:val="FootnoteReference"/>
        </w:rPr>
        <w:footnoteReference w:id="199"/>
      </w:r>
      <w:r>
        <w:rPr>
          <w:rFonts w:ascii="IRNazanin" w:hAnsi="IRNazanin" w:eastAsia="IRNazanin" w:cs="IRNazanin"/>
          <w:lang w:bidi="fa-IR"/>
          <w:color w:val="111111"/>
          <w:sz w:val="28"/>
          <w:szCs w:val="28"/>
          <w:rtl/>
        </w:rPr>
        <w:t xml:space="preserve">ممنوعة؛ لأنّ مجراها عند الأخباریّین موارد فقد النصّ علی الحرمة و تعارض النصوص من غیر مرجّح منصوص،و هی لیست بحیث یفضی الاحتیاط فیها إلی الحرج،و عند المجتهدین موارد فقد الظنون الخاصّة،و هی عند الأکثر لیست بحیث یؤدّی الاقتصار علیها و العمل فیما عداها علی الاحتیاط إلی الحرج.</w:t>
      </w:r>
    </w:p>
    <w:p>
      <w:pPr>
        <w:pStyle w:val="BookText"/>
      </w:pPr>
      <w:r>
        <w:rPr>
          <w:rFonts w:ascii="IRNazanin" w:hAnsi="IRNazanin" w:eastAsia="IRNazanin" w:cs="IRNazanin"/>
          <w:lang w:bidi="fa-IR"/>
          <w:color w:val="111111"/>
          <w:sz w:val="28"/>
          <w:szCs w:val="28"/>
          <w:rtl/>
        </w:rPr>
        <w:t xml:space="preserve">و لو فرض لبعضهم قلّة الظنون الخاصّة فلا بدّ له من العمل بالظنّ الغیر المنصوص علی حجّیته؛حذرا عن لزوم محذور الحرج،و یتّضح ذلک بما ذکروه فی دلیل الانسداد الذی أقاموه علی وجوب التعدّی عن الظنون المخصوصة المنصوصة </w:t>
      </w:r>
      <w:r>
        <w:rPr>
          <w:rStyle w:val="FootnoteReference"/>
        </w:rPr>
        <w:footnoteReference w:id="200"/>
      </w:r>
      <w:r>
        <w:rPr>
          <w:rFonts w:ascii="IRNazanin" w:hAnsi="IRNazanin" w:eastAsia="IRNazanin" w:cs="IRNazanin"/>
          <w:lang w:bidi="fa-IR"/>
          <w:color w:val="111111"/>
          <w:sz w:val="28"/>
          <w:szCs w:val="28"/>
          <w:rtl/>
        </w:rPr>
        <w:t xml:space="preserve">،فراجع.</w:t>
      </w:r>
    </w:p>
    <w:p>
      <w:pPr>
        <w:pStyle w:val="Heading6"/>
      </w:pPr>
      <w:bookmarkStart w:id="1044" w:name="_Toc79"/>
      <w:r>
        <w:t>و منها : أنّ الاحتیاط قد یتعذّر</w:t>
      </w:r>
      <w:bookmarkEnd w:id="1044"/>
    </w:p>
    <w:p>
      <w:pPr>
        <w:pStyle w:val="BookText"/>
      </w:pPr>
      <w:r>
        <w:rPr>
          <w:rFonts w:ascii="IRNazanin" w:hAnsi="IRNazanin" w:eastAsia="IRNazanin" w:cs="IRNazanin"/>
          <w:lang w:bidi="fa-IR"/>
          <w:color w:val="111111"/>
          <w:sz w:val="28"/>
          <w:szCs w:val="28"/>
          <w:rtl/>
        </w:rPr>
        <w:t xml:space="preserve">،کما لو دار الأمر بین الوجوب و الحرمة.</w:t>
      </w:r>
    </w:p>
    <w:p>
      <w:pPr>
        <w:pStyle w:val="BookText"/>
      </w:pPr>
      <w:r>
        <w:rPr>
          <w:rFonts w:ascii="IRNazanin" w:hAnsi="IRNazanin" w:eastAsia="IRNazanin" w:cs="IRNazanin"/>
          <w:lang w:bidi="fa-IR"/>
          <w:color w:val="111111"/>
          <w:sz w:val="28"/>
          <w:szCs w:val="28"/>
          <w:rtl/>
        </w:rPr>
        <w:t xml:space="preserve">و فیه:ما لا یخفی،و لم أر ذکره إلاّ فی کلام شاذّ لا یعبأ به </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61]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40" w:name="pg14411_142451"/>
    <w:bookmarkEnd w:id="40"/>
    <w:p>
      <w:pPr>
        <w:pStyle w:val="Heading6"/>
      </w:pPr>
      <w:bookmarkStart w:id="1045" w:name="_Toc80"/>
      <w:r>
        <w:t>[أدلّة القول بالاحتیاط]</w:t>
      </w:r>
      <w:bookmarkEnd w:id="1045"/>
    </w:p>
    <w:p>
      <w:pPr>
        <w:pStyle w:val="Heading6"/>
      </w:pPr>
      <w:bookmarkStart w:id="1046" w:name="_Toc81"/>
      <w:r>
        <w:t>اشارة</w:t>
      </w:r>
      <w:bookmarkEnd w:id="1046"/>
    </w:p>
    <w:p>
      <w:pPr>
        <w:pStyle w:val="BookText"/>
      </w:pPr>
      <w:r>
        <w:rPr>
          <w:rFonts w:ascii="IRNazanin" w:hAnsi="IRNazanin" w:eastAsia="IRNazanin" w:cs="IRNazanin"/>
          <w:lang w:bidi="fa-IR"/>
          <w:color w:val="111111"/>
          <w:sz w:val="28"/>
          <w:szCs w:val="28"/>
          <w:rtl/>
        </w:rPr>
        <w:t xml:space="preserve">[أدلّة القول بالاحتیاط] </w:t>
      </w:r>
      <w:r>
        <w:rPr>
          <w:rStyle w:val="FootnoteReference"/>
        </w:rPr>
        <w:footnoteReference w:id="202"/>
      </w:r>
    </w:p>
    <w:p>
      <w:pPr>
        <w:pStyle w:val="BookText"/>
      </w:pPr>
      <w:r>
        <w:rPr>
          <w:rFonts w:ascii="IRNazanin" w:hAnsi="IRNazanin" w:eastAsia="IRNazanin" w:cs="IRNazanin"/>
          <w:lang w:bidi="fa-IR"/>
          <w:color w:val="111111"/>
          <w:sz w:val="28"/>
          <w:szCs w:val="28"/>
          <w:rtl/>
        </w:rPr>
        <w:t xml:space="preserve">احتجّ للقول الثانی-و هو وجوب الکفّ عمّا یحتمل الحرمة- بالأدلّة الثلاثة:</w:t>
      </w:r>
    </w:p>
    <w:p>
      <w:pPr>
        <w:pStyle w:val="Heading6"/>
      </w:pPr>
      <w:bookmarkStart w:id="1047" w:name="_Toc82"/>
      <w:r>
        <w:t>فمن الکتاب طائفتان</w:t>
      </w:r>
      <w:bookmarkEnd w:id="1047"/>
    </w:p>
    <w:p>
      <w:pPr>
        <w:pStyle w:val="Heading6"/>
      </w:pPr>
      <w:bookmarkStart w:id="1048" w:name="_Toc83"/>
      <w:r>
        <w:t>إحداهما : ما دلّ علی النهی عن القول بغیر علم</w:t>
      </w:r>
      <w:bookmarkEnd w:id="1048"/>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Style w:val="FootnoteReference"/>
        </w:rPr>
        <w:footnoteReference w:id="203"/>
      </w:r>
      <w:r>
        <w:rPr>
          <w:rFonts w:ascii="IRNazanin" w:hAnsi="IRNazanin" w:eastAsia="IRNazanin" w:cs="IRNazanin"/>
          <w:lang w:bidi="fa-IR"/>
          <w:color w:val="111111"/>
          <w:sz w:val="28"/>
          <w:szCs w:val="28"/>
          <w:rtl/>
        </w:rPr>
        <w:t xml:space="preserve">
؛فإنّ الحکم بترخیص الشارع لمحتمل الحرمة قول علیه بغیر علم و افتراء؛حیث إنّه لم یؤذن فیه.</w:t>
      </w:r>
    </w:p>
    <w:p>
      <w:pPr>
        <w:pStyle w:val="BookText"/>
      </w:pPr>
      <w:r>
        <w:rPr>
          <w:rFonts w:ascii="IRNazanin" w:hAnsi="IRNazanin" w:eastAsia="IRNazanin" w:cs="IRNazanin"/>
          <w:lang w:bidi="fa-IR"/>
          <w:color w:val="111111"/>
          <w:sz w:val="28"/>
          <w:szCs w:val="28"/>
          <w:rtl/>
        </w:rPr>
        <w:t xml:space="preserve">و لا یرد ذلک علی أهل الاحتیاط؛لأنّهم لا یحکمون بالحرمة، و إنّما یترکون لاحتمال الحرمة،و هذا بخلاف الارتکاب؛فإنّه لا یکون إلاّ بعد الحکم بالرخصة و العمل علی الإباحة.</w:t>
      </w:r>
    </w:p>
    <w:p>
      <w:pPr>
        <w:pStyle w:val="Heading6"/>
      </w:pPr>
      <w:bookmarkStart w:id="1049" w:name="_Toc84"/>
      <w:r>
        <w:t>و الاخری : ما دلّ بظاهره علی لزوم الاحتیاط و الاتّقاء و التورّع</w:t>
      </w:r>
      <w:bookmarkEnd w:id="1049"/>
    </w:p>
    <w:p>
      <w:pPr>
        <w:pStyle w:val="BookText"/>
      </w:pPr>
      <w:r>
        <w:rPr>
          <w:rFonts w:ascii="IRNazanin" w:hAnsi="IRNazanin" w:eastAsia="IRNazanin" w:cs="IRNazanin"/>
          <w:lang w:bidi="fa-IR"/>
          <w:color w:val="111111"/>
          <w:sz w:val="28"/>
          <w:szCs w:val="28"/>
          <w:rtl/>
        </w:rPr>
        <w:t xml:space="preserve">مثل ما ذکره الشهید رحمه اللّه فی الذکری فی خاتمة قضاء الفوائت </w:t>
      </w:r>
      <w:r>
        <w:rPr>
          <w:rStyle w:val="FootnoteReference"/>
        </w:rPr>
        <w:footnoteReference w:id="204"/>
      </w:r>
      <w:r>
        <w:rPr>
          <w:rFonts w:ascii="Amiri" w:hAnsi="Amiri" w:eastAsia="Amiri" w:cs="Amiri"/>
          <w:lang w:bidi="ar-SA"/>
          <w:color w:val="111111"/>
          <w:sz w:val="28"/>
          <w:szCs w:val="28"/>
          <w:rtl/>
        </w:rPr>
        <w:t xml:space="preserve">-للدلالة علی مشروعیّة الاحتیاط فی قضاء ما فعلت من الصلاة المحتملة للفساد-،و هی قوله تعالی: اِتَّقُوا اللّٰهَ حَقَّ تُقٰاتِهِ </w:t>
      </w:r>
      <w:r>
        <w:rPr>
          <w:rStyle w:val="FootnoteReference"/>
        </w:rPr>
        <w:footnoteReference w:id="205"/>
      </w:r>
      <w:r>
        <w:rPr>
          <w:rFonts w:ascii="Amiri" w:hAnsi="Amiri" w:eastAsia="Amiri" w:cs="Amiri"/>
          <w:lang w:bidi="ar-SA"/>
          <w:color w:val="111111"/>
          <w:sz w:val="28"/>
          <w:szCs w:val="28"/>
          <w:rtl/>
        </w:rPr>
        <w:t xml:space="preserve">و جٰاهِدُوا فِی اللّٰهِ حَقَّ جِهٰادِهِ </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62]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41" w:name="pg14411_142452"/>
    <w:bookmarkEnd w:id="41"/>
    <w:p>
      <w:pPr>
        <w:pStyle w:val="BookText"/>
      </w:pPr>
      <w:r>
        <w:rPr>
          <w:rFonts w:ascii="Amiri" w:hAnsi="Amiri" w:eastAsia="Amiri" w:cs="Amiri"/>
          <w:lang w:bidi="ar-SA"/>
          <w:color w:val="111111"/>
          <w:sz w:val="28"/>
          <w:szCs w:val="28"/>
          <w:rtl/>
        </w:rPr>
        <w:t xml:space="preserve">أقول:و نحوهما فی الدلالة علی وجوب الاحتیاط: فَاتَّقُوا اللّٰهَ مَا اسْتَطَعْتُمْ </w:t>
      </w:r>
      <w:r>
        <w:rPr>
          <w:rStyle w:val="FootnoteReference"/>
        </w:rPr>
        <w:footnoteReference w:id="207"/>
      </w:r>
      <w:r>
        <w:rPr>
          <w:rFonts w:ascii="Amiri" w:hAnsi="Amiri" w:eastAsia="Amiri" w:cs="Amiri"/>
          <w:lang w:bidi="ar-SA"/>
          <w:color w:val="111111"/>
          <w:sz w:val="28"/>
          <w:szCs w:val="28"/>
          <w:rtl/>
        </w:rPr>
        <w:t xml:space="preserve">،و قوله تعالی: وَ لاٰ تُلْقُوا بِأَیْدِیکُمْ إِلَی التَّهْلُکَةِ </w:t>
      </w:r>
      <w:r>
        <w:rPr>
          <w:rStyle w:val="FootnoteReference"/>
        </w:rPr>
        <w:footnoteReference w:id="208"/>
      </w:r>
      <w:r>
        <w:rPr>
          <w:rFonts w:ascii="Amiri" w:hAnsi="Amiri" w:eastAsia="Amiri" w:cs="Amiri"/>
          <w:lang w:bidi="ar-SA"/>
          <w:color w:val="111111"/>
          <w:sz w:val="28"/>
          <w:szCs w:val="28"/>
          <w:rtl/>
        </w:rPr>
        <w:t xml:space="preserve">،و قوله تعالی: فَإِنْ تَنٰازَعْتُمْ فِی شَیْءٍ فَرُدُّوهُ إِلَی اللّٰهِ وَ الرَّسُولِ </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الجواب:</w:t>
      </w:r>
    </w:p>
    <w:p>
      <w:pPr>
        <w:pStyle w:val="Heading6"/>
      </w:pPr>
      <w:bookmarkStart w:id="1050" w:name="_Toc85"/>
      <w:r>
        <w:t>[الجواب عن آیات النهی عن القول بغیر علم]</w:t>
      </w:r>
      <w:bookmarkEnd w:id="1050"/>
    </w:p>
    <w:p>
      <w:pPr>
        <w:pStyle w:val="BookText"/>
      </w:pPr>
      <w:r>
        <w:rPr>
          <w:rFonts w:ascii="IRNazanin" w:hAnsi="IRNazanin" w:eastAsia="IRNazanin" w:cs="IRNazanin"/>
          <w:lang w:bidi="fa-IR"/>
          <w:color w:val="111111"/>
          <w:sz w:val="28"/>
          <w:szCs w:val="28"/>
          <w:rtl/>
        </w:rPr>
        <w:t xml:space="preserve">أمّا عن الآیات الناهیة عن القول بغیر علم-مضافا إلی النقض بشبهة الوجوب و الشبهة فی الموضوع-:فبأنّ فعل الشیء المشتبه حکمه اتّکالا علی قبح العقاب من غیر بیان المتّفق علیه بین المجتهدین و الأخباریین،لیس من ذلک.</w:t>
      </w:r>
    </w:p>
    <w:p>
      <w:pPr>
        <w:pStyle w:val="Heading6"/>
      </w:pPr>
      <w:bookmarkStart w:id="1051" w:name="_Toc86"/>
      <w:r>
        <w:t>[الجواب عن آیات الاحتیاط]</w:t>
      </w:r>
      <w:bookmarkEnd w:id="1051"/>
    </w:p>
    <w:p>
      <w:pPr>
        <w:pStyle w:val="BookText"/>
      </w:pPr>
      <w:r>
        <w:rPr>
          <w:rFonts w:ascii="IRNazanin" w:hAnsi="IRNazanin" w:eastAsia="IRNazanin" w:cs="IRNazanin"/>
          <w:lang w:bidi="fa-IR"/>
          <w:color w:val="111111"/>
          <w:sz w:val="28"/>
          <w:szCs w:val="28"/>
          <w:rtl/>
        </w:rPr>
        <w:t xml:space="preserve">و أمّا عمّا عدا آیة التهلکة:فبمنع منافاة الارتکاب للتقوی و المجاهدة،مع أنّ غایتها الدلالة علی الرجحان علی ما استشهد به الشهید رحمه اللّه </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عن آیة التهلکة:فبأنّ الهلاک بمعنی العقاب معلوم العدم، و بمعنی غیره یکون الشبهة موضوعیة لا یجب فیها الاجتناب بالاتّفاق.</w:t>
      </w:r>
    </w:p>
    <w:p>
      <w:pPr>
        <w:pStyle w:val="Heading6"/>
      </w:pPr>
      <w:bookmarkStart w:id="1052" w:name="_Toc87"/>
      <w:r>
        <w:t>و من السنّة طوائف</w:t>
      </w:r>
      <w:bookmarkEnd w:id="1052"/>
    </w:p>
    <w:p>
      <w:pPr>
        <w:pStyle w:val="Heading6"/>
      </w:pPr>
      <w:bookmarkStart w:id="1053" w:name="_Toc88"/>
      <w:r>
        <w:t>إحداها : ما دلّ علی حرمة القول و العمل بغیر العلم</w:t>
      </w:r>
      <w:bookmarkEnd w:id="1053"/>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Style w:val="FootnoteReference"/>
        </w:rPr>
        <w:footnoteReference w:id="211"/>
      </w:r>
      <w:r>
        <w:rPr>
          <w:rFonts w:ascii="IRNazanin" w:hAnsi="IRNazanin" w:eastAsia="IRNazanin" w:cs="IRNazanin"/>
          <w:lang w:bidi="fa-IR"/>
          <w:color w:val="111111"/>
          <w:sz w:val="28"/>
          <w:szCs w:val="28"/>
          <w:rtl/>
        </w:rPr>
        <w:t xml:space="preserve">.
[شماره صفحه واقعی : 63]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42" w:name="pg14411_142453"/>
    <w:bookmarkEnd w:id="42"/>
    <w:p>
      <w:pPr>
        <w:pStyle w:val="BookText"/>
      </w:pPr>
      <w:r>
        <w:rPr>
          <w:rFonts w:ascii="IRNazanin" w:hAnsi="IRNazanin" w:eastAsia="IRNazanin" w:cs="IRNazanin"/>
          <w:lang w:bidi="fa-IR"/>
          <w:color w:val="111111"/>
          <w:sz w:val="28"/>
          <w:szCs w:val="28"/>
          <w:rtl/>
        </w:rPr>
        <w:t xml:space="preserve">و قد ظهر جوابها ممّا ذکر فی الآیات </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Heading6"/>
      </w:pPr>
      <w:bookmarkStart w:id="1054" w:name="_Toc89"/>
      <w:r>
        <w:t>و الثانیة : ما دلّ علی وجوب التوقّف عند الشبهة و عدم العلم</w:t>
      </w:r>
      <w:bookmarkEnd w:id="1054"/>
    </w:p>
    <w:p>
      <w:pPr>
        <w:pStyle w:val="Heading6"/>
      </w:pPr>
      <w:bookmarkStart w:id="1055" w:name="_Toc90"/>
      <w:r>
        <w:t>اشارة</w:t>
      </w:r>
      <w:bookmarkEnd w:id="1055"/>
    </w:p>
    <w:p>
      <w:pPr>
        <w:pStyle w:val="BookText"/>
      </w:pPr>
      <w:r>
        <w:rPr>
          <w:rFonts w:ascii="IRNazanin" w:hAnsi="IRNazanin" w:eastAsia="IRNazanin" w:cs="IRNazanin"/>
          <w:lang w:bidi="fa-IR"/>
          <w:color w:val="111111"/>
          <w:sz w:val="28"/>
          <w:szCs w:val="28"/>
          <w:rtl/>
        </w:rPr>
        <w:t xml:space="preserve">، و هی لا تحصی کثرة.</w:t>
      </w:r>
    </w:p>
    <w:p>
      <w:pPr>
        <w:pStyle w:val="BookText"/>
      </w:pPr>
      <w:r>
        <w:rPr>
          <w:rFonts w:ascii="IRNazanin" w:hAnsi="IRNazanin" w:eastAsia="IRNazanin" w:cs="IRNazanin"/>
          <w:lang w:bidi="fa-IR"/>
          <w:color w:val="111111"/>
          <w:sz w:val="28"/>
          <w:szCs w:val="28"/>
          <w:rtl/>
        </w:rPr>
        <w:t xml:space="preserve">و ظاهر التوقّف المطلق السکون و عدم المضیّ،فیکون کنایة عن عدم الحرکة بارتکاب الفعل،و هو محصّل قوله علیه السّلام فی بعض تلک الأخبار:«الوقوف عند الشبهات خیر من الاقتحام فی الهلکات» </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فلا یرد علی الاستدلال </w:t>
      </w:r>
      <w:r>
        <w:rPr>
          <w:rStyle w:val="FootnoteReference"/>
        </w:rPr>
        <w:footnoteReference w:id="214"/>
      </w:r>
      <w:r>
        <w:rPr>
          <w:rFonts w:ascii="IRNazanin" w:hAnsi="IRNazanin" w:eastAsia="IRNazanin" w:cs="IRNazanin"/>
          <w:lang w:bidi="fa-IR"/>
          <w:color w:val="111111"/>
          <w:sz w:val="28"/>
          <w:szCs w:val="28"/>
          <w:rtl/>
        </w:rPr>
        <w:t xml:space="preserve">:أنّ التوقّف فی الحکم الواقعیّ مسلّم عند کلا الفریقین،و الإفتاء بالحکم الظاهریّ منعا أو ترخیصا مشترک کذلک،و التوقّف فی العمل لا معنی له.</w:t>
      </w:r>
    </w:p>
    <w:p>
      <w:pPr>
        <w:pStyle w:val="BookText"/>
      </w:pPr>
      <w:r>
        <w:rPr>
          <w:rFonts w:ascii="IRNazanin" w:hAnsi="IRNazanin" w:eastAsia="IRNazanin" w:cs="IRNazanin"/>
          <w:lang w:bidi="fa-IR"/>
          <w:color w:val="111111"/>
          <w:sz w:val="28"/>
          <w:szCs w:val="28"/>
          <w:rtl/>
        </w:rPr>
        <w:t xml:space="preserve">فنذکر بعض تلک الأخبار تیمّنا:</w:t>
      </w:r>
    </w:p>
    <w:p>
      <w:pPr>
        <w:pStyle w:val="BookText"/>
      </w:pPr>
      <w:r>
        <w:rPr>
          <w:rFonts w:ascii="IRNazanin" w:hAnsi="IRNazanin" w:eastAsia="IRNazanin" w:cs="IRNazanin"/>
          <w:lang w:bidi="fa-IR"/>
          <w:color w:val="111111"/>
          <w:sz w:val="28"/>
          <w:szCs w:val="28"/>
          <w:rtl/>
        </w:rPr>
        <w:t xml:space="preserve">منها:مقبولة عمر بن حنظلة،عن أبی عبد اللّه علیه السّلام،و فیها بعد ذکر المرجّحات:«إذا کان کذلک فأرجه حتّی تلقی إمامک؛فإنّ الوقوف عند الشبهات خیر من الاقتحام فی الهلکات» </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نحوها صحیحة جمیل بن درّاج،عن أبی عبد اللّه علیه السّلام،و زاد فیها:«إنّ علی کلّ حقّ حقیقة و علی کلّ صواب نورا،فما وافق کتاب اللّه فخذوه و ما خالف کتاب اللّه فدعوه» </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64]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روایات الزهریّ </w:t>
      </w:r>
      <w:r>
        <w:rPr>
          <w:rStyle w:val="FootnoteReference"/>
        </w:rPr>
        <w:footnoteReference w:id="217"/>
      </w:r>
      <w:r>
        <w:rPr>
          <w:rFonts w:ascii="Amiri" w:hAnsi="Amiri" w:eastAsia="Amiri" w:cs="Amiri"/>
          <w:lang w:bidi="ar-SA"/>
          <w:color w:val="111111"/>
          <w:sz w:val="28"/>
          <w:szCs w:val="28"/>
          <w:rtl/>
        </w:rPr>
        <w:t xml:space="preserve">،و السکونیّ </w:t>
      </w:r>
      <w:r>
        <w:rPr>
          <w:rStyle w:val="FootnoteReference"/>
        </w:rPr>
        <w:footnoteReference w:id="218"/>
      </w:r>
      <w:r>
        <w:rPr>
          <w:rFonts w:ascii="IRNazanin" w:hAnsi="IRNazanin" w:eastAsia="IRNazanin" w:cs="IRNazanin"/>
          <w:lang w:bidi="fa-IR"/>
          <w:color w:val="111111"/>
          <w:sz w:val="28"/>
          <w:szCs w:val="28"/>
          <w:rtl/>
        </w:rPr>
        <w:t xml:space="preserve">،و عبد الأعلی </w:t>
      </w:r>
      <w:r>
        <w:rPr>
          <w:rStyle w:val="FootnoteReference"/>
        </w:rPr>
        <w:footnoteReference w:id="219"/>
      </w:r>
      <w:r>
        <w:rPr>
          <w:rFonts w:ascii="IRNazanin" w:hAnsi="IRNazanin" w:eastAsia="IRNazanin" w:cs="IRNazanin"/>
          <w:lang w:bidi="fa-IR"/>
          <w:color w:val="111111"/>
          <w:sz w:val="28"/>
          <w:szCs w:val="28"/>
          <w:rtl/>
        </w:rPr>
        <w:t xml:space="preserve">:«الوقوف عند الشبهة خیر من الاقتحام فی الهلکة،و ترکک حدیثا لم تروه خیر من روایتک حدیثا لم تحصه»،و روایة أبی شیبة عن أحدهما علیهما السّلام </w:t>
      </w:r>
      <w:r>
        <w:rPr>
          <w:rStyle w:val="FootnoteReference"/>
        </w:rPr>
        <w:footnoteReference w:id="220"/>
      </w:r>
      <w:r>
        <w:rPr>
          <w:rFonts w:ascii="IRNazanin" w:hAnsi="IRNazanin" w:eastAsia="IRNazanin" w:cs="IRNazanin"/>
          <w:lang w:bidi="fa-IR"/>
          <w:color w:val="111111"/>
          <w:sz w:val="28"/>
          <w:szCs w:val="28"/>
          <w:rtl/>
        </w:rPr>
        <w:t xml:space="preserve">، و موثّقة سعد بن زیاد،عن جعفر،عن أبیه،عن آبائه،عن النبیّ صلّی اللّه علیه و آله و سلّم، أنّه قال:«لا تجامعوا فی النکاح علی الشبهة،وقفوا عند الشبهة»-إلی أن قال-:«فإنّ الوقوف عند الشبهة خیر من الاقتحام فی الهلکة» </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 توهّم ظهور هذا الخبر المستفیض فی الاستحباب،مدفوع بملاحظة:أنّ الاقتحام فی الهلکة لا خیر فیه أصلا،مع أنّ جعله تعلیلا لوجوب الإرجاء فی المقبولة و تمهیدا لوجوب طرح ما خالف الکتاب فی الصحیحة،قرینة علی المطلوب.</w:t>
      </w:r>
    </w:p>
    <w:p>
      <w:pPr>
        <w:pStyle w:val="BookText"/>
      </w:pPr>
      <w:r>
        <w:rPr>
          <w:rFonts w:ascii="IRNazanin" w:hAnsi="IRNazanin" w:eastAsia="IRNazanin" w:cs="IRNazanin"/>
          <w:lang w:bidi="fa-IR"/>
          <w:color w:val="111111"/>
          <w:sz w:val="28"/>
          <w:szCs w:val="28"/>
          <w:rtl/>
        </w:rPr>
        <w:t xml:space="preserve">فمساقه مساق قول القائل:«أترک الأکل یوما خیر من أن امنع منه سنة»،و قوله علیه السّلام فی مقام وجوب الصبر حتّی یتیقّن الوقت:«لأن اصلّی بعد الوقت أحبّ إلیّ من أن اصلّی قبل الوقت» </w:t>
      </w:r>
      <w:r>
        <w:rPr>
          <w:rStyle w:val="FootnoteReference"/>
        </w:rPr>
        <w:footnoteReference w:id="222"/>
      </w:r>
      <w:r>
        <w:rPr>
          <w:rFonts w:ascii="IRNazanin" w:hAnsi="IRNazanin" w:eastAsia="IRNazanin" w:cs="IRNazanin"/>
          <w:lang w:bidi="fa-IR"/>
          <w:color w:val="111111"/>
          <w:sz w:val="28"/>
          <w:szCs w:val="28"/>
          <w:rtl/>
        </w:rPr>
        <w:t xml:space="preserve">،و قوله علیه السّلام فی مقام التقیّة:«لأن افطر یوما من شهر رمضان فأقضیه أحبّ إلیّ من</w:t>
      </w:r>
    </w:p>
    <w:p>
      <w:pPr>
        <w:pStyle w:val="BookText"/>
      </w:pPr>
      <w:r>
        <w:rPr>
          <w:rFonts w:ascii="IRNazanin" w:hAnsi="IRNazanin" w:eastAsia="IRNazanin" w:cs="IRNazanin"/>
          <w:lang w:bidi="fa-IR"/>
          <w:color w:val="111111"/>
          <w:sz w:val="28"/>
          <w:szCs w:val="28"/>
          <w:rtl/>
        </w:rPr>
        <w:t xml:space="preserve">[شماره صفحه واقعی : 65]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یضرب عنقی» </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نظیره فی أخبار الشبهة قول علیّ علیه السّلام فی وصیّته لابنه:«أمسک عن طریق إذا خفت ضلالته </w:t>
      </w:r>
      <w:r>
        <w:rPr>
          <w:rStyle w:val="FootnoteReference"/>
        </w:rPr>
        <w:footnoteReference w:id="224"/>
      </w:r>
      <w:r>
        <w:rPr>
          <w:rFonts w:ascii="IRNazanin" w:hAnsi="IRNazanin" w:eastAsia="IRNazanin" w:cs="IRNazanin"/>
          <w:lang w:bidi="fa-IR"/>
          <w:color w:val="111111"/>
          <w:sz w:val="28"/>
          <w:szCs w:val="28"/>
          <w:rtl/>
        </w:rPr>
        <w:t xml:space="preserve">فإنّ الکفّ عند حیرة الضّلال خیر من رکوب الأهوال </w:t>
      </w:r>
      <w:r>
        <w:rPr>
          <w:rStyle w:val="FootnoteReference"/>
        </w:rPr>
        <w:footnoteReference w:id="225"/>
      </w:r>
      <w:r>
        <w:rPr>
          <w:rFonts w:ascii="Times New Roman" w:hAnsi="Times New Roman" w:eastAsia="Times New Roman" w:cs="Times New Roman"/>
          <w:lang w:val="en-US" w:bidi="en-US"/>
          <w:color w:val="111111"/>
          <w:sz w:val="28"/>
          <w:szCs w:val="28"/>
          <w:rtl/>
        </w:rPr>
        <w:t xml:space="preserve">» </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منها:موثّقة حمزة بن الطیّار:«أنّه عرض علی أبی عبد اللّه علیه السّلام بعض خطب أبیه علیه السّلام،حتّی إذا بلغ موضعا منها قال له:کفّ و اسکت، ثمّ قال أبو عبد اللّه علیه السّلام:إنّه لا یسعکم فیما ینزل </w:t>
      </w:r>
      <w:r>
        <w:rPr>
          <w:rStyle w:val="FootnoteReference"/>
        </w:rPr>
        <w:footnoteReference w:id="227"/>
      </w:r>
      <w:r>
        <w:rPr>
          <w:rFonts w:ascii="Amiri" w:hAnsi="Amiri" w:eastAsia="Amiri" w:cs="Amiri"/>
          <w:lang w:bidi="ar-SA"/>
          <w:color w:val="111111"/>
          <w:sz w:val="28"/>
          <w:szCs w:val="28"/>
          <w:rtl/>
        </w:rPr>
        <w:t xml:space="preserve">بکم ممّا لا تعلمون إلاّ الکفّ عنه،و التّثبّت،و الرّدّ إلی أئمة الهدی علیهم السّلام حتّی یحملوکم فیه علی </w:t>
      </w:r>
      <w:r>
        <w:rPr>
          <w:rStyle w:val="FootnoteReference"/>
        </w:rPr>
        <w:footnoteReference w:id="228"/>
      </w:r>
      <w:r>
        <w:rPr>
          <w:rFonts w:ascii="Amiri" w:hAnsi="Amiri" w:eastAsia="Amiri" w:cs="Amiri"/>
          <w:lang w:bidi="ar-SA"/>
          <w:color w:val="111111"/>
          <w:sz w:val="28"/>
          <w:szCs w:val="28"/>
          <w:rtl/>
        </w:rPr>
        <w:t xml:space="preserve">القصد و یجلوا عنکم فیه العمی و یعرّفوکم فیه الحقّ؛ قال اللّه تعالی: فَسْئَلُوا أَهْلَ الذِّکْرِ إِنْ کُنْتُمْ لاٰ تَعْلَمُونَ </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منها:روایة جمیل،عن الصادق،عن آبائه علیهم السّلام:«أنّه قال</w:t>
      </w:r>
    </w:p>
    <w:p>
      <w:pPr>
        <w:pStyle w:val="BookText"/>
      </w:pPr>
      <w:r>
        <w:rPr>
          <w:rFonts w:ascii="IRNazanin" w:hAnsi="IRNazanin" w:eastAsia="IRNazanin" w:cs="IRNazanin"/>
          <w:lang w:bidi="fa-IR"/>
          <w:color w:val="111111"/>
          <w:sz w:val="28"/>
          <w:szCs w:val="28"/>
          <w:rtl/>
        </w:rPr>
        <w:t xml:space="preserve">[شماره صفحه واقعی : 66]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43" w:name="pg14411_142456"/>
    <w:bookmarkEnd w:id="43"/>
    <w:p>
      <w:pPr>
        <w:pStyle w:val="BookText"/>
      </w:pPr>
      <w:r>
        <w:rPr>
          <w:rFonts w:ascii="IRNazanin" w:hAnsi="IRNazanin" w:eastAsia="IRNazanin" w:cs="IRNazanin"/>
          <w:lang w:bidi="fa-IR"/>
          <w:color w:val="111111"/>
          <w:sz w:val="28"/>
          <w:szCs w:val="28"/>
          <w:rtl/>
        </w:rPr>
        <w:t xml:space="preserve">رسول اللّه صلّی اللّه علیه و آله:الامور ثلاثة:أمر بیّن لک رشده فاتبعه،و أمر بیّن لک غیّه فاجتنبه،و أمر اختلف فیه فردّه إلی اللّه عزّ و جلّ» </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منها:روایة جابر،عن أبی جعفر علیه السّلام فی وصیّته لأصحابه:</w:t>
      </w:r>
    </w:p>
    <w:p>
      <w:pPr>
        <w:pStyle w:val="BookText"/>
      </w:pPr>
      <w:r>
        <w:rPr>
          <w:rFonts w:ascii="IRNazanin" w:hAnsi="IRNazanin" w:eastAsia="IRNazanin" w:cs="IRNazanin"/>
          <w:lang w:bidi="fa-IR"/>
          <w:color w:val="111111"/>
          <w:sz w:val="28"/>
          <w:szCs w:val="28"/>
          <w:rtl/>
        </w:rPr>
        <w:t xml:space="preserve">«إذا اشتبه الأمر علیکم فقفوا عنده و ردّوه إلینا حتّی نشرح لکم من ذلک ما شرح اللّه لنا» </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منها:روایة زرارة،عن أبی جعفر علیه السّلام:«حقّ اللّه علی العباد أن یقولوا ما یعلمون،و یقفوا عند ما لا یعلمون» </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قوله علیه السّلام فی روایة المسمعیّ الواردة فی اختلاف الحدیثین:</w:t>
      </w:r>
    </w:p>
    <w:p>
      <w:pPr>
        <w:pStyle w:val="BookText"/>
      </w:pPr>
      <w:r>
        <w:rPr>
          <w:rFonts w:ascii="IRNazanin" w:hAnsi="IRNazanin" w:eastAsia="IRNazanin" w:cs="IRNazanin"/>
          <w:lang w:bidi="fa-IR"/>
          <w:color w:val="111111"/>
          <w:sz w:val="28"/>
          <w:szCs w:val="28"/>
          <w:rtl/>
        </w:rPr>
        <w:t xml:space="preserve">«و ما لم تجدوا فی شیء من هذه الوجوه فردّوا إلینا علمه فنحن أولی بذلک،و لا تقولوا فیه بآرائکم،و علیکم الکفّ و التثبّت و الوقوف و أنتم طالبون باحثون حتّی یأتیکم البیان من عندنا» </w:t>
      </w:r>
      <w:r>
        <w:rPr>
          <w:rStyle w:val="FootnoteReference"/>
        </w:rPr>
        <w:footnoteReference w:id="233"/>
      </w:r>
      <w:r>
        <w:rPr>
          <w:rFonts w:ascii="IRNazanin" w:hAnsi="IRNazanin" w:eastAsia="IRNazanin" w:cs="IRNazanin"/>
          <w:lang w:bidi="fa-IR"/>
          <w:color w:val="111111"/>
          <w:sz w:val="28"/>
          <w:szCs w:val="28"/>
          <w:rtl/>
        </w:rPr>
        <w:t xml:space="preserve">،إلی غیر ذلک ممّا ظاهره وجوب التوقّف </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Heading6"/>
      </w:pPr>
      <w:bookmarkStart w:id="1056" w:name="_Toc91"/>
      <w:r>
        <w:t>و الجواب [عن الاستدلال بأخبار التوقّف]</w:t>
      </w:r>
      <w:bookmarkEnd w:id="1056"/>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أنّ بعض هذه الأخبار مختصّ بما إذا کان المضیّ فی الشبهة اقتحاما فی الهلکة،و لا یکون ذلک إلاّ مع عدم معذوریّة الفاعل </w:t>
      </w:r>
      <w:r>
        <w:rPr>
          <w:rStyle w:val="FootnoteReference"/>
        </w:rPr>
        <w:footnoteReference w:id="235"/>
      </w:r>
    </w:p>
    <w:p>
      <w:pPr>
        <w:pStyle w:val="BookText"/>
      </w:pPr>
      <w:r>
        <w:rPr>
          <w:rFonts w:ascii="IRNazanin" w:hAnsi="IRNazanin" w:eastAsia="IRNazanin" w:cs="IRNazanin"/>
          <w:lang w:bidi="fa-IR"/>
          <w:color w:val="111111"/>
          <w:sz w:val="28"/>
          <w:szCs w:val="28"/>
          <w:rtl/>
        </w:rPr>
        <w:t xml:space="preserve">[شماره صفحه واقعی : 67]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لأجل القدرة علی إزالة الشبهة بالرجوع إلی الإمام علیه السّلام أو إلی الطرق المنصوبة منه علیه السّلام،کما هو ظاهر المقبولة،و موثّقة حمزة بن الطیار، و روایة جابر،و روایة المسمعیّ.</w:t>
      </w:r>
    </w:p>
    <w:p>
      <w:pPr>
        <w:pStyle w:val="BookText"/>
      </w:pPr>
      <w:r>
        <w:rPr>
          <w:rFonts w:ascii="IRNazanin" w:hAnsi="IRNazanin" w:eastAsia="IRNazanin" w:cs="IRNazanin"/>
          <w:lang w:bidi="fa-IR"/>
          <w:color w:val="111111"/>
          <w:sz w:val="28"/>
          <w:szCs w:val="28"/>
          <w:rtl/>
        </w:rPr>
        <w:t xml:space="preserve">و بعضها وارد فی مقام النهی عن ذلک؛لاتّکاله فی الامور العملیّة </w:t>
      </w:r>
      <w:r>
        <w:rPr>
          <w:rStyle w:val="FootnoteReference"/>
        </w:rPr>
        <w:footnoteReference w:id="236"/>
      </w:r>
      <w:r>
        <w:rPr>
          <w:rFonts w:ascii="IRNazanin" w:hAnsi="IRNazanin" w:eastAsia="IRNazanin" w:cs="IRNazanin"/>
          <w:lang w:bidi="fa-IR"/>
          <w:color w:val="111111"/>
          <w:sz w:val="28"/>
          <w:szCs w:val="28"/>
          <w:rtl/>
        </w:rPr>
        <w:t xml:space="preserve">علی الاستنباطات العقلیّة الظّنیة،أو لکون المسألة من الاعتقادیّات کصفات اللّه تعالی و رسوله و الأئمة صلوات اللّه علیهم،کما یظهر من قوله علیه السّلام فی روایة زرارة:«لو أنّ العباد إذا جهلوا وقفوا و لم یجحدوا لم یکفروا» </w:t>
      </w:r>
      <w:r>
        <w:rPr>
          <w:rStyle w:val="FootnoteReference"/>
        </w:rPr>
        <w:footnoteReference w:id="237"/>
      </w:r>
      <w:r>
        <w:rPr>
          <w:rFonts w:ascii="Amiri" w:hAnsi="Amiri" w:eastAsia="Amiri" w:cs="Amiri"/>
          <w:lang w:bidi="ar-SA"/>
          <w:color w:val="111111"/>
          <w:sz w:val="28"/>
          <w:szCs w:val="28"/>
          <w:rtl/>
        </w:rPr>
        <w:t xml:space="preserve">،و التوقّف </w:t>
      </w:r>
      <w:r>
        <w:rPr>
          <w:rStyle w:val="FootnoteReference"/>
        </w:rPr>
        <w:footnoteReference w:id="238"/>
      </w:r>
      <w:r>
        <w:rPr>
          <w:rFonts w:ascii="IRNazanin" w:hAnsi="IRNazanin" w:eastAsia="IRNazanin" w:cs="IRNazanin"/>
          <w:lang w:bidi="fa-IR"/>
          <w:color w:val="111111"/>
          <w:sz w:val="28"/>
          <w:szCs w:val="28"/>
          <w:rtl/>
        </w:rPr>
        <w:t xml:space="preserve">فی هذه المقامات واجب.</w:t>
      </w:r>
    </w:p>
    <w:p>
      <w:pPr>
        <w:pStyle w:val="BookText"/>
      </w:pPr>
      <w:r>
        <w:rPr>
          <w:rFonts w:ascii="IRNazanin" w:hAnsi="IRNazanin" w:eastAsia="IRNazanin" w:cs="IRNazanin"/>
          <w:lang w:bidi="fa-IR"/>
          <w:color w:val="111111"/>
          <w:sz w:val="28"/>
          <w:szCs w:val="28"/>
          <w:rtl/>
        </w:rPr>
        <w:t xml:space="preserve">و بعضها ظاهر فی الاستحباب،مثل قوله علیه السّلام:«أورع النّاس من وقف عند الشبهة» </w:t>
      </w:r>
      <w:r>
        <w:rPr>
          <w:rStyle w:val="FootnoteReference"/>
        </w:rPr>
        <w:footnoteReference w:id="239"/>
      </w:r>
      <w:r>
        <w:rPr>
          <w:rFonts w:ascii="IRNazanin" w:hAnsi="IRNazanin" w:eastAsia="IRNazanin" w:cs="IRNazanin"/>
          <w:lang w:bidi="fa-IR"/>
          <w:color w:val="111111"/>
          <w:sz w:val="28"/>
          <w:szCs w:val="28"/>
          <w:rtl/>
        </w:rPr>
        <w:t xml:space="preserve">،و قوله علیه السّلام:«لا ورع کالوقوف عند الشبهة» </w:t>
      </w:r>
      <w:r>
        <w:rPr>
          <w:rStyle w:val="FootnoteReference"/>
        </w:rPr>
        <w:footnoteReference w:id="240"/>
      </w:r>
      <w:r>
        <w:rPr>
          <w:rFonts w:ascii="IRNazanin" w:hAnsi="IRNazanin" w:eastAsia="IRNazanin" w:cs="IRNazanin"/>
          <w:lang w:bidi="fa-IR"/>
          <w:color w:val="111111"/>
          <w:sz w:val="28"/>
          <w:szCs w:val="28"/>
          <w:rtl/>
        </w:rPr>
        <w:t xml:space="preserve">، و قول أمیر المؤمنین علیه السّلام:«من ترک ما اشتبه علیه من الإثم فهو لما استبان له أترک.و المعاصی حمی اللّه،فمن یرتع حولها یوشک أن یدخلها» </w:t>
      </w:r>
      <w:r>
        <w:rPr>
          <w:rStyle w:val="FootnoteReference"/>
        </w:rPr>
        <w:footnoteReference w:id="241"/>
      </w:r>
      <w:r>
        <w:rPr>
          <w:rFonts w:ascii="IRNazanin" w:hAnsi="IRNazanin" w:eastAsia="IRNazanin" w:cs="IRNazanin"/>
          <w:lang w:bidi="fa-IR"/>
          <w:color w:val="111111"/>
          <w:sz w:val="28"/>
          <w:szCs w:val="28"/>
          <w:rtl/>
        </w:rPr>
        <w:t xml:space="preserve">،و فی روایة النعمان بن بشیر قال:«سمعت رسول اللّه صلّی اللّه علیه و آله و سلّم یقول:لکلّ ملک حمی،و حمی اللّه حلاله و حرامه،و المشتبهات بین ذلک.</w:t>
      </w:r>
    </w:p>
    <w:p>
      <w:pPr>
        <w:pStyle w:val="BookText"/>
      </w:pPr>
      <w:r>
        <w:rPr>
          <w:rFonts w:ascii="IRNazanin" w:hAnsi="IRNazanin" w:eastAsia="IRNazanin" w:cs="IRNazanin"/>
          <w:lang w:bidi="fa-IR"/>
          <w:color w:val="111111"/>
          <w:sz w:val="28"/>
          <w:szCs w:val="28"/>
          <w:rtl/>
        </w:rPr>
        <w:t xml:space="preserve">لو أنّ راعیا رعی إلی جانب الحمی لم یثبت غنمه أن یقع فی وسطه،</w:t>
      </w:r>
    </w:p>
    <w:p>
      <w:pPr>
        <w:pStyle w:val="BookText"/>
      </w:pPr>
      <w:r>
        <w:rPr>
          <w:rFonts w:ascii="IRNazanin" w:hAnsi="IRNazanin" w:eastAsia="IRNazanin" w:cs="IRNazanin"/>
          <w:lang w:bidi="fa-IR"/>
          <w:color w:val="111111"/>
          <w:sz w:val="28"/>
          <w:szCs w:val="28"/>
          <w:rtl/>
        </w:rPr>
        <w:t xml:space="preserve">[شماره صفحه واقعی : 68]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فدعوا المشتبهات» </w:t>
      </w:r>
      <w:r>
        <w:rPr>
          <w:rStyle w:val="FootnoteReference"/>
        </w:rPr>
        <w:footnoteReference w:id="242"/>
      </w:r>
      <w:r>
        <w:rPr>
          <w:rFonts w:ascii="IRNazanin" w:hAnsi="IRNazanin" w:eastAsia="IRNazanin" w:cs="IRNazanin"/>
          <w:lang w:bidi="fa-IR"/>
          <w:color w:val="111111"/>
          <w:sz w:val="28"/>
          <w:szCs w:val="28"/>
          <w:rtl/>
        </w:rPr>
        <w:t xml:space="preserve">،و قوله صلّی اللّه علیه و آله:«من اتّقی الشبهات فقد استبرأ لدینه» </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 ملخّص الجواب عن تلک الأخبار:أنّه لا ینبغی الشکّ فی کون الأمر فیها للإرشاد،من قبیل أوامر الأطبّاء المقصود منها عدم الوقوع فی المضارّ؛إذ قد تبیّن فیها حکمة طلب التوقّف،و لا یترتّب علی مخالفته عقاب غیر ما یترتّب علی ارتکاب الشبهة أحیانا،من الهلاک المحتمل فیها.</w:t>
      </w:r>
    </w:p>
    <w:p>
      <w:pPr>
        <w:pStyle w:val="BookText"/>
      </w:pPr>
      <w:r>
        <w:rPr>
          <w:rFonts w:ascii="IRNazanin" w:hAnsi="IRNazanin" w:eastAsia="IRNazanin" w:cs="IRNazanin"/>
          <w:lang w:bidi="fa-IR"/>
          <w:color w:val="111111"/>
          <w:sz w:val="28"/>
          <w:szCs w:val="28"/>
          <w:rtl/>
        </w:rPr>
        <w:t xml:space="preserve">فالمطلوب فی تلک الأخبار ترک التعرّض للهلاک المحتمل فی ارتکاب الشبهة،فإن کان ذلک الهلاک المحتمل من قبیل العقاب الاخروی-کما لو کان التکلیف متحقّقا فعلا فی موارد الشبهة نظیر الشبهة المحصورة و نحوها،أو کان المکلّف قادرا علی الفحص و إزالة الشبهة بالرجوع إلی الإمام علیه السّلام أو الطرق المنصوبة،أو کانت الشبهة من العقائد و </w:t>
      </w:r>
      <w:r>
        <w:rPr>
          <w:rStyle w:val="FootnoteReference"/>
        </w:rPr>
        <w:footnoteReference w:id="244"/>
      </w:r>
      <w:r>
        <w:rPr>
          <w:rFonts w:ascii="IRNazanin" w:hAnsi="IRNazanin" w:eastAsia="IRNazanin" w:cs="IRNazanin"/>
          <w:lang w:bidi="fa-IR"/>
          <w:color w:val="111111"/>
          <w:sz w:val="28"/>
          <w:szCs w:val="28"/>
          <w:rtl/>
        </w:rPr>
        <w:t xml:space="preserve">الغوامض التی لم یرد الشارع التدیّن به بغیر علم و بصیرة،بل نهی عن ذلک بقوله علیه السّلام:«إنّ اللّه سکت عن أشیاء لم یسکت عنها نسیانا،فلا تتکلّفوها؛رحمة من اللّه لکم» </w:t>
      </w:r>
      <w:r>
        <w:rPr>
          <w:rStyle w:val="FootnoteReference"/>
        </w:rPr>
        <w:footnoteReference w:id="245"/>
      </w:r>
      <w:r>
        <w:rPr>
          <w:rFonts w:ascii="IRNazanin" w:hAnsi="IRNazanin" w:eastAsia="IRNazanin" w:cs="IRNazanin"/>
          <w:lang w:bidi="fa-IR"/>
          <w:color w:val="111111"/>
          <w:sz w:val="28"/>
          <w:szCs w:val="28"/>
          <w:rtl/>
        </w:rPr>
        <w:t xml:space="preserve">،فربما یوقع تکلّف </w:t>
      </w:r>
      <w:r>
        <w:rPr>
          <w:rStyle w:val="FootnoteReference"/>
        </w:rPr>
        <w:footnoteReference w:id="246"/>
      </w:r>
      <w:r>
        <w:rPr>
          <w:rFonts w:ascii="IRNazanin" w:hAnsi="IRNazanin" w:eastAsia="IRNazanin" w:cs="IRNazanin"/>
          <w:lang w:bidi="fa-IR"/>
          <w:color w:val="111111"/>
          <w:sz w:val="28"/>
          <w:szCs w:val="28"/>
          <w:rtl/>
        </w:rPr>
        <w:t xml:space="preserve">التدیّن فیه بالاعتبارات العقلیّة أو الشواذّ النقلیّة،إلی العقاب</w:t>
      </w:r>
    </w:p>
    <w:p>
      <w:pPr>
        <w:pStyle w:val="BookText"/>
      </w:pPr>
      <w:r>
        <w:rPr>
          <w:rFonts w:ascii="IRNazanin" w:hAnsi="IRNazanin" w:eastAsia="IRNazanin" w:cs="IRNazanin"/>
          <w:lang w:bidi="fa-IR"/>
          <w:color w:val="111111"/>
          <w:sz w:val="28"/>
          <w:szCs w:val="28"/>
          <w:rtl/>
        </w:rPr>
        <w:t xml:space="preserve">[شماره صفحه واقعی : 69]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 إلی الخلود فیه إذا وقع التقصیر فی مقدّمات تحصیل المعرفة فی تلک المسألة-ففی هذه المقامات و نحوها یکون التوقّف لازما عقلا و شرعا من باب الإرشاد،کأوامر الطبیب بترک المضارّ.</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 إن کان الهلاک المحتمل مفسدة اخری غیر العقاب-سواء کانت </w:t>
      </w:r>
      <w:r>
        <w:rPr>
          <w:rStyle w:val="FootnoteReference"/>
        </w:rPr>
        <w:footnoteReference w:id="247"/>
      </w:r>
      <w:r>
        <w:rPr>
          <w:rFonts w:ascii="IRNazanin" w:hAnsi="IRNazanin" w:eastAsia="IRNazanin" w:cs="IRNazanin"/>
          <w:lang w:bidi="fa-IR"/>
          <w:color w:val="111111"/>
          <w:sz w:val="28"/>
          <w:szCs w:val="28"/>
          <w:rtl/>
        </w:rPr>
        <w:t xml:space="preserve">دینیّة کصیرورة المکلّف بارتکاب الشبهة أقرب إلی ارتکاب المعصیة،کما دلّ علیه غیر واحد من الأخبار المتقدّمة </w:t>
      </w:r>
      <w:r>
        <w:rPr>
          <w:rStyle w:val="FootnoteReference"/>
        </w:rPr>
        <w:footnoteReference w:id="248"/>
      </w:r>
      <w:r>
        <w:rPr>
          <w:rFonts w:ascii="IRNazanin" w:hAnsi="IRNazanin" w:eastAsia="IRNazanin" w:cs="IRNazanin"/>
          <w:lang w:bidi="fa-IR"/>
          <w:color w:val="111111"/>
          <w:sz w:val="28"/>
          <w:szCs w:val="28"/>
          <w:rtl/>
        </w:rPr>
        <w:t xml:space="preserve">،أم دنیویّة کالاحتراز عن </w:t>
      </w:r>
      <w:r>
        <w:rPr>
          <w:rStyle w:val="FootnoteReference"/>
        </w:rPr>
        <w:footnoteReference w:id="249"/>
      </w:r>
      <w:r>
        <w:rPr>
          <w:rFonts w:ascii="IRNazanin" w:hAnsi="IRNazanin" w:eastAsia="IRNazanin" w:cs="IRNazanin"/>
          <w:lang w:bidi="fa-IR"/>
          <w:color w:val="111111"/>
          <w:sz w:val="28"/>
          <w:szCs w:val="28"/>
          <w:rtl/>
        </w:rPr>
        <w:t xml:space="preserve">أموال الظلمة-فمجرّد احتماله لا یوجب العقاب علی فعله لو فرض حرمته واقعا،و المفروض أنّ الأمر بالتوقّف فی هذه الشبهة لا یفید استحقاق العقاب علی مخالفته؛لأنّ المفروض کونه للارشاد،فیکون المقصود منه التخویف عن لحوق غیر العقاب من المضارّ المحتملة:</w:t>
      </w:r>
    </w:p>
    <w:p>
      <w:pPr>
        <w:pStyle w:val="BookText"/>
      </w:pPr>
      <w:r>
        <w:rPr>
          <w:rFonts w:ascii="IRNazanin" w:hAnsi="IRNazanin" w:eastAsia="IRNazanin" w:cs="IRNazanin"/>
          <w:lang w:bidi="fa-IR"/>
          <w:color w:val="111111"/>
          <w:sz w:val="28"/>
          <w:szCs w:val="28"/>
          <w:rtl/>
        </w:rPr>
        <w:t xml:space="preserve">فاجتناب هذه الشبهة لا یصیر واجبا شرعیّا بمعنی ترتّب العقاب علی ارتکابه.</w:t>
      </w:r>
    </w:p>
    <w:p>
      <w:pPr>
        <w:pStyle w:val="BookText"/>
      </w:pPr>
      <w:r>
        <w:rPr>
          <w:rFonts w:ascii="IRNazanin" w:hAnsi="IRNazanin" w:eastAsia="IRNazanin" w:cs="IRNazanin"/>
          <w:lang w:bidi="fa-IR"/>
          <w:color w:val="111111"/>
          <w:sz w:val="28"/>
          <w:szCs w:val="28"/>
          <w:rtl/>
        </w:rPr>
        <w:t xml:space="preserve">و ما نحن فیه و هی الشبهة الحکمیّة التحریمیّة من هذا القبیل؛لأنّ الهلکة المحتملة فیها لا تکون هی المؤاخذة الاخرویة باتّفاق الأخباریّین؛ لاعترافهم بقبح المؤاخذة علی مجرّد مخالفة الحرمة الواقعیّة المجهولة و إن زعموا ثبوت العقاب من جهة بیان التکلیف فی الشبهة بأوامر التوقّف و الاحتیاط،فإذا لم یکن المحتمل فیها هو العقاب الاخروی کان حالها حال الشبهة الموضوعیّة-کأموال الظلمة و الشبهة الوجوبیّة-فی أنّه</w:t>
      </w:r>
    </w:p>
    <w:p>
      <w:pPr>
        <w:pStyle w:val="BookText"/>
      </w:pPr>
      <w:r>
        <w:rPr>
          <w:rFonts w:ascii="IRNazanin" w:hAnsi="IRNazanin" w:eastAsia="IRNazanin" w:cs="IRNazanin"/>
          <w:lang w:bidi="fa-IR"/>
          <w:color w:val="111111"/>
          <w:sz w:val="28"/>
          <w:szCs w:val="28"/>
          <w:rtl/>
        </w:rPr>
        <w:t xml:space="preserve">[شماره صفحه واقعی : 70]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یحتمل فیها إلاّ غیر العقاب من المضارّ،و المفروض کون الأمر بالتوقّف فیها للإرشاد و التخویف عن تلک المضرّة المحتملة.</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 بالجملة:فمفاد هذه الأخبار بأسرها التحذیر عن التهلکة </w:t>
      </w:r>
      <w:r>
        <w:rPr>
          <w:rStyle w:val="FootnoteReference"/>
        </w:rPr>
        <w:footnoteReference w:id="250"/>
      </w:r>
      <w:r>
        <w:rPr>
          <w:rFonts w:ascii="IRNazanin" w:hAnsi="IRNazanin" w:eastAsia="IRNazanin" w:cs="IRNazanin"/>
          <w:lang w:bidi="fa-IR"/>
          <w:color w:val="111111"/>
          <w:sz w:val="28"/>
          <w:szCs w:val="28"/>
          <w:rtl/>
        </w:rPr>
        <w:t xml:space="preserve">المحتملة،فلا بدّ من إحراز احتمال التهلکة </w:t>
      </w:r>
      <w:r>
        <w:rPr>
          <w:rStyle w:val="FootnoteReference"/>
        </w:rPr>
        <w:footnoteReference w:id="251"/>
      </w:r>
      <w:r>
        <w:rPr>
          <w:rFonts w:ascii="IRNazanin" w:hAnsi="IRNazanin" w:eastAsia="IRNazanin" w:cs="IRNazanin"/>
          <w:lang w:bidi="fa-IR"/>
          <w:color w:val="111111"/>
          <w:sz w:val="28"/>
          <w:szCs w:val="28"/>
          <w:rtl/>
        </w:rPr>
        <w:t xml:space="preserve">عقابا کانت أو غیره،و علی تقدیر إحراز هذا الاحتمال لا إشکال و لا خلاف فی وجوب التحرّز عنه إذا کان المحتمل عقابا،و استحبابه إذا کان غیره؛فهذه الأخبار لا تنفع فی إحداث هذا الاحتمال و لا فی حکمه.</w:t>
      </w:r>
    </w:p>
    <w:p>
      <w:pPr>
        <w:pStyle w:val="BookText"/>
      </w:pPr>
      <w:r>
        <w:rPr>
          <w:rFonts w:ascii="IRNazanin" w:hAnsi="IRNazanin" w:eastAsia="IRNazanin" w:cs="IRNazanin"/>
          <w:lang w:bidi="fa-IR"/>
          <w:color w:val="111111"/>
          <w:sz w:val="28"/>
          <w:szCs w:val="28"/>
          <w:rtl/>
        </w:rPr>
        <w:t xml:space="preserve">فإن قلت:إنّ المستفاد منها احتمال التهلکة فی کلّ محتمل التکلیف، و المتبادر من التهلکة فی الأحکام الشرعیّة الدینیّة هی الاخرویّة، فتکشف هذه الأخبار عن عدم سقوط عقاب التکالیف المجهولة لأجل الجهل،و لازم ذلک إیجاب الشارع للاحتیاط </w:t>
      </w:r>
      <w:r>
        <w:rPr>
          <w:rStyle w:val="FootnoteReference"/>
        </w:rPr>
        <w:footnoteReference w:id="252"/>
      </w:r>
      <w:r>
        <w:rPr>
          <w:rFonts w:ascii="IRNazanin" w:hAnsi="IRNazanin" w:eastAsia="IRNazanin" w:cs="IRNazanin"/>
          <w:lang w:bidi="fa-IR"/>
          <w:color w:val="111111"/>
          <w:sz w:val="28"/>
          <w:szCs w:val="28"/>
          <w:rtl/>
        </w:rPr>
        <w:t xml:space="preserve">إذ الاقتصار فی العقاب علی نفس التکالیف المختفیة من دون تکلیف ظاهریّ بالاحتیاط قبیح.</w:t>
      </w:r>
    </w:p>
    <w:p>
      <w:pPr>
        <w:pStyle w:val="BookText"/>
      </w:pPr>
      <w:r>
        <w:rPr>
          <w:rFonts w:ascii="IRNazanin" w:hAnsi="IRNazanin" w:eastAsia="IRNazanin" w:cs="IRNazanin"/>
          <w:lang w:bidi="fa-IR"/>
          <w:color w:val="111111"/>
          <w:sz w:val="28"/>
          <w:szCs w:val="28"/>
          <w:rtl/>
        </w:rPr>
        <w:t xml:space="preserve">قلت:إیجاب الاحتیاط إن کان مقدّمة للتحرّز عن العقاب الواقعیّ فهو مستلزم لترتّب العقاب علی التکلیف المجهول،و هو قبیح کما اعترف به،و إن کان حکما ظاهریّا نفسیّا فالهلکة الاخرویة مترتّبة علی مخالفته لا مخالفة الواقع،و صریح الأخبار إرادة الهلکة الموجودة فی الواقع علی تقدیر الحرمة الواقعیّة.</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هذا کلّه،مضافا إلی دوران الأمر فی هذه الأخبار بین حملها علی</w:t>
      </w:r>
    </w:p>
    <w:p>
      <w:pPr>
        <w:pStyle w:val="BookText"/>
      </w:pPr>
      <w:r>
        <w:rPr>
          <w:rFonts w:ascii="IRNazanin" w:hAnsi="IRNazanin" w:eastAsia="IRNazanin" w:cs="IRNazanin"/>
          <w:lang w:bidi="fa-IR"/>
          <w:color w:val="111111"/>
          <w:sz w:val="28"/>
          <w:szCs w:val="28"/>
          <w:rtl/>
        </w:rPr>
        <w:t xml:space="preserve">[شماره صفحه واقعی : 71]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44" w:name="pg14411_142461"/>
    <w:bookmarkEnd w:id="44"/>
    <w:p>
      <w:pPr>
        <w:pStyle w:val="BookText"/>
      </w:pPr>
      <w:r>
        <w:rPr>
          <w:rFonts w:ascii="IRNazanin" w:hAnsi="IRNazanin" w:eastAsia="IRNazanin" w:cs="IRNazanin"/>
          <w:lang w:bidi="fa-IR"/>
          <w:color w:val="111111"/>
          <w:sz w:val="28"/>
          <w:szCs w:val="28"/>
          <w:rtl/>
        </w:rPr>
        <w:t xml:space="preserve">ما ذکرنا،و بین ارتکاب التخصیص فیها بإخراج الشبهة الوجوبیّة و الموضوعیّة.و ما ذکرنا أولی.</w:t>
      </w:r>
    </w:p>
    <w:p>
      <w:pPr>
        <w:pStyle w:val="Heading6"/>
      </w:pPr>
      <w:bookmarkStart w:id="1057" w:name="_Toc92"/>
      <w:r>
        <w:t>[استعمال خیریّة الوقوف عند الشبهة فی مقامین:]</w:t>
      </w:r>
      <w:bookmarkEnd w:id="1057"/>
    </w:p>
    <w:p>
      <w:pPr>
        <w:pStyle w:val="Heading6"/>
      </w:pPr>
      <w:bookmarkStart w:id="1058" w:name="_Toc93"/>
      <w:r>
        <w:t>اشارة</w:t>
      </w:r>
      <w:bookmarkEnd w:id="1058"/>
    </w:p>
    <w:p>
      <w:pPr>
        <w:pStyle w:val="BookText"/>
      </w:pPr>
      <w:r>
        <w:rPr>
          <w:rFonts w:ascii="IRNazanin" w:hAnsi="IRNazanin" w:eastAsia="IRNazanin" w:cs="IRNazanin"/>
          <w:lang w:bidi="fa-IR"/>
          <w:color w:val="111111"/>
          <w:sz w:val="28"/>
          <w:szCs w:val="28"/>
          <w:rtl/>
        </w:rPr>
        <w:t xml:space="preserve">و حینئذ:فخیریّة الوقوف عند الشبهة من الاقتحام فی الهلکة أعمّ من الرجحان المانع من النقیض و من غیر المانع منه،فهی قضیّة تستعمل فی المقامین،و قد استعملها الأئمّة علیهم السّلام کذلک.</w:t>
      </w:r>
    </w:p>
    <w:p>
      <w:pPr>
        <w:pStyle w:val="Heading6"/>
      </w:pPr>
      <w:bookmarkStart w:id="1059" w:name="_Toc94"/>
      <w:r>
        <w:t>[1-استعمالها فی مقام لزوم التوقّف:]</w:t>
      </w:r>
      <w:bookmarkEnd w:id="1059"/>
    </w:p>
    <w:p>
      <w:pPr>
        <w:pStyle w:val="BookText"/>
      </w:pPr>
      <w:r>
        <w:rPr>
          <w:rFonts w:ascii="IRNazanin" w:hAnsi="IRNazanin" w:eastAsia="IRNazanin" w:cs="IRNazanin"/>
          <w:lang w:bidi="fa-IR"/>
          <w:color w:val="111111"/>
          <w:sz w:val="28"/>
          <w:szCs w:val="28"/>
          <w:rtl/>
        </w:rPr>
        <w:t xml:space="preserve">فمن موارد استعمالها فی مقام لزوم التوقّف:مقبولة عمر بن حنظلة </w:t>
      </w:r>
      <w:r>
        <w:rPr>
          <w:rStyle w:val="FootnoteReference"/>
        </w:rPr>
        <w:footnoteReference w:id="253"/>
      </w:r>
      <w:r>
        <w:rPr>
          <w:rFonts w:ascii="IRNazanin" w:hAnsi="IRNazanin" w:eastAsia="IRNazanin" w:cs="IRNazanin"/>
          <w:lang w:bidi="fa-IR"/>
          <w:color w:val="111111"/>
          <w:sz w:val="28"/>
          <w:szCs w:val="28"/>
          <w:rtl/>
        </w:rPr>
        <w:t xml:space="preserve">التی جعلت هذه القضیّة فیها علّة لوجوب التوقّف فی الخبرین المتعارضین عند فقد المرجّح،و صحیحة جمیل-المتقدمة </w:t>
      </w:r>
      <w:r>
        <w:rPr>
          <w:rStyle w:val="FootnoteReference"/>
        </w:rPr>
        <w:footnoteReference w:id="254"/>
      </w:r>
      <w:r>
        <w:rPr>
          <w:rFonts w:ascii="IRNazanin" w:hAnsi="IRNazanin" w:eastAsia="IRNazanin" w:cs="IRNazanin"/>
          <w:lang w:bidi="fa-IR"/>
          <w:color w:val="111111"/>
          <w:sz w:val="28"/>
          <w:szCs w:val="28"/>
          <w:rtl/>
        </w:rPr>
        <w:t xml:space="preserve">-التی جعلت القضیّة فیها تمهیدا لوجوب طرح ما خالف کتاب اللّه.</w:t>
      </w:r>
    </w:p>
    <w:p>
      <w:pPr>
        <w:pStyle w:val="Heading6"/>
      </w:pPr>
      <w:bookmarkStart w:id="1060" w:name="_Toc95"/>
      <w:r>
        <w:t>[2-استعمالها فی غیر اللازم:]</w:t>
      </w:r>
      <w:bookmarkEnd w:id="1060"/>
    </w:p>
    <w:p>
      <w:pPr>
        <w:pStyle w:val="BookText"/>
      </w:pPr>
      <w:r>
        <w:rPr>
          <w:rFonts w:ascii="IRNazanin" w:hAnsi="IRNazanin" w:eastAsia="IRNazanin" w:cs="IRNazanin"/>
          <w:lang w:bidi="fa-IR"/>
          <w:color w:val="111111"/>
          <w:sz w:val="28"/>
          <w:szCs w:val="28"/>
          <w:rtl/>
        </w:rPr>
        <w:t xml:space="preserve">و من موارد استعمالها فی غیر اللازم:روایة الزهریّ المتقدّمة </w:t>
      </w:r>
      <w:r>
        <w:rPr>
          <w:rStyle w:val="FootnoteReference"/>
        </w:rPr>
        <w:footnoteReference w:id="255"/>
      </w:r>
      <w:r>
        <w:rPr>
          <w:rFonts w:ascii="IRNazanin" w:hAnsi="IRNazanin" w:eastAsia="IRNazanin" w:cs="IRNazanin"/>
          <w:lang w:bidi="fa-IR"/>
          <w:color w:val="111111"/>
          <w:sz w:val="28"/>
          <w:szCs w:val="28"/>
          <w:rtl/>
        </w:rPr>
        <w:t xml:space="preserve">التی جعل القضیّة فیها تمهیدا لترک روایة الخبر الغیر المعلوم صدوره أو دلالته؛فإنّ من المعلوم رجحان ذلک لا لزومه،و موثّقة سعد بن زیاد المتقدّمة </w:t>
      </w:r>
      <w:r>
        <w:rPr>
          <w:rStyle w:val="FootnoteReference"/>
        </w:rPr>
        <w:footnoteReference w:id="256"/>
      </w:r>
      <w:r>
        <w:rPr>
          <w:rFonts w:ascii="IRNazanin" w:hAnsi="IRNazanin" w:eastAsia="IRNazanin" w:cs="IRNazanin"/>
          <w:lang w:bidi="fa-IR"/>
          <w:color w:val="111111"/>
          <w:sz w:val="28"/>
          <w:szCs w:val="28"/>
          <w:rtl/>
        </w:rPr>
        <w:t xml:space="preserve">التی فیها قول النبیّ صلّی اللّه علیه و آله و سلّم:«لا تجامعوا فی النکاح علی الشبهة وقفوا عند الشبهة»؛فإنّ مولانا الصادق علیه السّلام فسّره فی تلک الموثّقة بقوله علیه السّلام:«إذا بلغک أنّک قد رضعت من لبنها أو أنّها لک محرم </w:t>
      </w:r>
      <w:r>
        <w:rPr>
          <w:rStyle w:val="FootnoteReference"/>
        </w:rPr>
        <w:footnoteReference w:id="257"/>
      </w:r>
      <w:r>
        <w:rPr>
          <w:rFonts w:ascii="IRNazanin" w:hAnsi="IRNazanin" w:eastAsia="IRNazanin" w:cs="IRNazanin"/>
          <w:lang w:bidi="fa-IR"/>
          <w:color w:val="111111"/>
          <w:sz w:val="28"/>
          <w:szCs w:val="28"/>
          <w:rtl/>
        </w:rPr>
        <w:t xml:space="preserve">و ما أشبه ذلک،فإنّ الوقوف عند الشبهة خیر من الاقتحام فی</w:t>
      </w:r>
    </w:p>
    <w:p>
      <w:pPr>
        <w:pStyle w:val="BookText"/>
      </w:pPr>
      <w:r>
        <w:rPr>
          <w:rFonts w:ascii="IRNazanin" w:hAnsi="IRNazanin" w:eastAsia="IRNazanin" w:cs="IRNazanin"/>
          <w:lang w:bidi="fa-IR"/>
          <w:color w:val="111111"/>
          <w:sz w:val="28"/>
          <w:szCs w:val="28"/>
          <w:rtl/>
        </w:rPr>
        <w:t xml:space="preserve">[شماره صفحه واقعی : 72]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45" w:name="pg14411_142462"/>
    <w:bookmarkEnd w:id="45"/>
    <w:p>
      <w:pPr>
        <w:pStyle w:val="BookText"/>
      </w:pPr>
      <w:r>
        <w:rPr>
          <w:rFonts w:ascii="IRNazanin" w:hAnsi="IRNazanin" w:eastAsia="IRNazanin" w:cs="IRNazanin"/>
          <w:lang w:bidi="fa-IR"/>
          <w:color w:val="111111"/>
          <w:sz w:val="28"/>
          <w:szCs w:val="28"/>
          <w:rtl/>
        </w:rPr>
        <w:t xml:space="preserve">الهلکة...الخبر» </w:t>
      </w:r>
      <w:r>
        <w:rPr>
          <w:rStyle w:val="FootnoteReference"/>
        </w:rPr>
        <w:footnoteReference w:id="258"/>
      </w:r>
      <w:r>
        <w:rPr>
          <w:rFonts w:ascii="IRNazanin" w:hAnsi="IRNazanin" w:eastAsia="IRNazanin" w:cs="IRNazanin"/>
          <w:lang w:bidi="fa-IR"/>
          <w:color w:val="111111"/>
          <w:sz w:val="28"/>
          <w:szCs w:val="28"/>
          <w:rtl/>
        </w:rPr>
        <w:t xml:space="preserve">،و من المعلوم أنّ الاحتراز عن نکاح ما فی الروایة من النسوة المشتبهة،غیر لازم باتّفاق الأخباریّین؛لکونها شبهة موضوعیّة، و لأصالة عدم تحقّق مانع النکاح.</w:t>
      </w:r>
    </w:p>
    <w:p>
      <w:pPr>
        <w:pStyle w:val="Heading6"/>
      </w:pPr>
      <w:bookmarkStart w:id="1061" w:name="_Toc96"/>
      <w:r>
        <w:t>و قد یجاب عن أخبار التوقّف بوجوه غیر خالیة عن النظر:</w:t>
      </w:r>
      <w:bookmarkEnd w:id="1061"/>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منها:أنّ ظاهر أخبار التوقّف حرمة الحکم و الفتوی من غیر علم،و نحن نقول بمقتضاها،و لکنّا </w:t>
      </w:r>
      <w:r>
        <w:rPr>
          <w:rStyle w:val="FootnoteReference"/>
        </w:rPr>
        <w:footnoteReference w:id="259"/>
      </w:r>
      <w:r>
        <w:rPr>
          <w:rFonts w:ascii="IRNazanin" w:hAnsi="IRNazanin" w:eastAsia="IRNazanin" w:cs="IRNazanin"/>
          <w:lang w:bidi="fa-IR"/>
          <w:color w:val="111111"/>
          <w:sz w:val="28"/>
          <w:szCs w:val="28"/>
          <w:rtl/>
        </w:rPr>
        <w:t xml:space="preserve">ندّعی علمنا بالحکم الظاهریّ و هی الإباحة؛لأدلّة البراءة </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فیه:أنّ المراد بالتوقّف-کما یشهد سیاق تلک الأخبار و موارد أکثرها-هو التوقّف فی العمل فی مقابل المضیّ فیه علی حسب الإرادة الذی هو الاقتحام فی الهلکة،لا التوقّف فی الحکم.نعم،قد یشمله من حیث کون الحکم عملا مشتبها،لا من حیث کونه حکما فی شبهة، فوجوب التوقّف عبارة عن ترک العمل المشتبه الحکم.</w:t>
      </w:r>
    </w:p>
    <w:p>
      <w:pPr>
        <w:pStyle w:val="BookText"/>
      </w:pPr>
      <w:r>
        <w:rPr>
          <w:rFonts w:ascii="IRNazanin" w:hAnsi="IRNazanin" w:eastAsia="IRNazanin" w:cs="IRNazanin"/>
          <w:lang w:bidi="fa-IR"/>
          <w:color w:val="111111"/>
          <w:sz w:val="28"/>
          <w:szCs w:val="28"/>
          <w:rtl/>
        </w:rPr>
        <w:t xml:space="preserve">و منها:أنّها ضعیفة السند </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منها:أنّها فی مقام المنع من العمل بالقیاس،و أنه یجب التوقّف عن القول إذا لم یکن هنا نصّ عن أهل بیت الوحی علیهم السّلام </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73]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کلا الجوابین ما لا یخفی علی من راجع تلک الأخبار.</w:t>
      </w:r>
    </w:p>
    <w:p>
      <w:pPr>
        <w:pStyle w:val="BookText"/>
      </w:pPr>
      <w:r>
        <w:rPr>
          <w:rFonts w:ascii="IRNazanin" w:hAnsi="IRNazanin" w:eastAsia="IRNazanin" w:cs="IRNazanin"/>
          <w:lang w:bidi="fa-IR"/>
          <w:color w:val="111111"/>
          <w:sz w:val="28"/>
          <w:szCs w:val="28"/>
          <w:rtl/>
        </w:rPr>
        <w:t xml:space="preserve">و منها:أنّها معارضة بأخبار البراءة،و هی أقوی سندا و دلالة و اعتضادا بالکتاب و السنة و العقل،و غایة الأمر التکافؤ،</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فیرجع إلی ما تعارض فیه النصّان،و المختار فیه التخییر،فیرجع إلی أصل البراءة </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فیه:أنّ مقتضی أکثر أدلّة البراءة المتقدّمة-و هی جمیع آیات الکتاب،و العقل،و أکثر السنّة،و بعض تقریرات الإجماع-عدم استحقاق العقاب علی مخالفة الحکم الذی لا یعلمه المکلّف،و من المعلوم أنّ هذا من مستقلاّت العقل الذی لا یدلّ أخبار التوقف و لا غیرها من الأدلة النقلیّة علی خلافه،و إنّما یثبت أخبار التوقف-بعد الاعتراف </w:t>
      </w:r>
      <w:r>
        <w:rPr>
          <w:rStyle w:val="FootnoteReference"/>
        </w:rPr>
        <w:footnoteReference w:id="264"/>
      </w:r>
      <w:r>
        <w:rPr>
          <w:rFonts w:ascii="IRNazanin" w:hAnsi="IRNazanin" w:eastAsia="IRNazanin" w:cs="IRNazanin"/>
          <w:lang w:bidi="fa-IR"/>
          <w:color w:val="111111"/>
          <w:sz w:val="28"/>
          <w:szCs w:val="28"/>
          <w:rtl/>
        </w:rPr>
        <w:t xml:space="preserve">بتمامیّتها علی ما هو المفروض-تکلیفا ظاهریّا بوجوب الکفّ و ترک المضیّ عند الشبهة،و الأدلّة المذکورة لا تنفی هذا المطلب،فتلک الأدلّة بالنسبة إلی هذه الأخبار من قبیل الأصل بالنسبة إلی الدلیل،فلا معنی لأخذ الترجیح بینهما.</w:t>
      </w:r>
    </w:p>
    <w:p>
      <w:pPr>
        <w:pStyle w:val="BookText"/>
      </w:pPr>
      <w:r>
        <w:rPr>
          <w:rFonts w:ascii="IRNazanin" w:hAnsi="IRNazanin" w:eastAsia="IRNazanin" w:cs="IRNazanin"/>
          <w:lang w:bidi="fa-IR"/>
          <w:color w:val="111111"/>
          <w:sz w:val="28"/>
          <w:szCs w:val="28"/>
          <w:rtl/>
        </w:rPr>
        <w:t xml:space="preserve">و ما یبقی من السنّة من قبیل قوله علیه السّلام:«کلّ شیء مطلق» </w:t>
      </w:r>
      <w:r>
        <w:rPr>
          <w:rStyle w:val="FootnoteReference"/>
        </w:rPr>
        <w:footnoteReference w:id="265"/>
      </w:r>
      <w:r>
        <w:rPr>
          <w:rFonts w:ascii="IRNazanin" w:hAnsi="IRNazanin" w:eastAsia="IRNazanin" w:cs="IRNazanin"/>
          <w:lang w:bidi="fa-IR"/>
          <w:color w:val="111111"/>
          <w:sz w:val="28"/>
          <w:szCs w:val="28"/>
          <w:rtl/>
        </w:rPr>
        <w:t xml:space="preserve">لا یکافئ أخبار التوقّف؛لکونها أکثر و أصحّ سندا.</w:t>
      </w:r>
    </w:p>
    <w:p>
      <w:pPr>
        <w:pStyle w:val="BookText"/>
      </w:pPr>
      <w:r>
        <w:rPr>
          <w:rFonts w:ascii="IRNazanin" w:hAnsi="IRNazanin" w:eastAsia="IRNazanin" w:cs="IRNazanin"/>
          <w:lang w:bidi="fa-IR"/>
          <w:color w:val="111111"/>
          <w:sz w:val="28"/>
          <w:szCs w:val="28"/>
          <w:rtl/>
        </w:rPr>
        <w:t xml:space="preserve">و أمّا قوّة الدلالة فی أخبار البراءة فلم یعلم.</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 ظهر </w:t>
      </w:r>
      <w:r>
        <w:rPr>
          <w:rStyle w:val="FootnoteReference"/>
        </w:rPr>
        <w:footnoteReference w:id="266"/>
      </w:r>
      <w:r>
        <w:rPr>
          <w:rFonts w:ascii="IRNazanin" w:hAnsi="IRNazanin" w:eastAsia="IRNazanin" w:cs="IRNazanin"/>
          <w:lang w:bidi="fa-IR"/>
          <w:color w:val="111111"/>
          <w:sz w:val="28"/>
          <w:szCs w:val="28"/>
          <w:rtl/>
        </w:rPr>
        <w:t xml:space="preserve">أنّ الکتاب و العقل لا ینافی وجوب التوقّف.</w:t>
      </w:r>
    </w:p>
    <w:p>
      <w:pPr>
        <w:pStyle w:val="BookText"/>
      </w:pPr>
      <w:r>
        <w:rPr>
          <w:rFonts w:ascii="IRNazanin" w:hAnsi="IRNazanin" w:eastAsia="IRNazanin" w:cs="IRNazanin"/>
          <w:lang w:bidi="fa-IR"/>
          <w:color w:val="111111"/>
          <w:sz w:val="28"/>
          <w:szCs w:val="28"/>
          <w:rtl/>
        </w:rPr>
        <w:t xml:space="preserve">[شماره صفحه واقعی : 74]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ما ذکره:من الرجوع إلی التخییر مع التکافؤ،فیمکن للخصم منع التکافؤ؛لأنّ أخبار الاحتیاط مخالفة للعامّة؛لاتّفاقهم-کما قیل </w:t>
      </w:r>
      <w:r>
        <w:rPr>
          <w:rStyle w:val="FootnoteReference"/>
        </w:rPr>
        <w:footnoteReference w:id="267"/>
      </w:r>
      <w:r>
        <w:rPr>
          <w:rFonts w:ascii="IRNazanin" w:hAnsi="IRNazanin" w:eastAsia="IRNazanin" w:cs="IRNazanin"/>
          <w:lang w:bidi="fa-IR"/>
          <w:color w:val="111111"/>
          <w:sz w:val="28"/>
          <w:szCs w:val="28"/>
          <w:rtl/>
        </w:rPr>
        <w:t xml:space="preserve">-علی البراءة،و منع التخییر علی تقدیر التکافؤ؛لأنّ الحکم فی تعارض النصّین الاحتیاط،مع أنّ التخییر لا یضرّه؛لأنّه یختار أدلّة وجوب الاحتراز عن الشبهات.</w:t>
      </w:r>
    </w:p>
    <w:p>
      <w:pPr>
        <w:pStyle w:val="BookText"/>
      </w:pPr>
      <w:r>
        <w:rPr>
          <w:rFonts w:ascii="IRNazanin" w:hAnsi="IRNazanin" w:eastAsia="IRNazanin" w:cs="IRNazanin"/>
          <w:lang w:bidi="fa-IR"/>
          <w:color w:val="111111"/>
          <w:sz w:val="28"/>
          <w:szCs w:val="28"/>
          <w:rtl/>
        </w:rPr>
        <w:t xml:space="preserve">و منها:أنّ أخبار البراءة أخصّ؛لاختصاصها بمجهول الحلّیة و الحرمة،و أخبار التوقّف تشمل کلّ شبهة،فتخصّص بأخبار البراءة </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فیه:ما تقدّم </w:t>
      </w:r>
      <w:r>
        <w:rPr>
          <w:rStyle w:val="FootnoteReference"/>
        </w:rPr>
        <w:footnoteReference w:id="269"/>
      </w:r>
      <w:r>
        <w:rPr>
          <w:rFonts w:ascii="IRNazanin" w:hAnsi="IRNazanin" w:eastAsia="IRNazanin" w:cs="IRNazanin"/>
          <w:lang w:bidi="fa-IR"/>
          <w:color w:val="111111"/>
          <w:sz w:val="28"/>
          <w:szCs w:val="28"/>
          <w:rtl/>
        </w:rPr>
        <w:t xml:space="preserve">،من أنّ أکثر أدلّة البراءة بالإضافة إلی هذه الأخبار من قبیل الأصل و الدلیل،و ما یبقی و إن </w:t>
      </w:r>
      <w:r>
        <w:rPr>
          <w:rStyle w:val="FootnoteReference"/>
        </w:rPr>
        <w:footnoteReference w:id="270"/>
      </w:r>
      <w:r>
        <w:rPr>
          <w:rFonts w:ascii="IRNazanin" w:hAnsi="IRNazanin" w:eastAsia="IRNazanin" w:cs="IRNazanin"/>
          <w:lang w:bidi="fa-IR"/>
          <w:color w:val="111111"/>
          <w:sz w:val="28"/>
          <w:szCs w:val="28"/>
          <w:rtl/>
        </w:rPr>
        <w:t xml:space="preserve">کان ظاهره الاختصاص بالشبهة الحکمیّة التحریمیّة،مثل قوله علیه السّلام:«کلّ شیء مطلق حتّی یرد فیه نهی» </w:t>
      </w:r>
      <w:r>
        <w:rPr>
          <w:rStyle w:val="FootnoteReference"/>
        </w:rPr>
        <w:footnoteReference w:id="271"/>
      </w:r>
      <w:r>
        <w:rPr>
          <w:rFonts w:ascii="IRNazanin" w:hAnsi="IRNazanin" w:eastAsia="IRNazanin" w:cs="IRNazanin"/>
          <w:lang w:bidi="fa-IR"/>
          <w:color w:val="111111"/>
          <w:sz w:val="28"/>
          <w:szCs w:val="28"/>
          <w:rtl/>
        </w:rPr>
        <w:t xml:space="preserve">،لکن یوجد </w:t>
      </w:r>
      <w:r>
        <w:rPr>
          <w:rStyle w:val="FootnoteReference"/>
        </w:rPr>
        <w:footnoteReference w:id="272"/>
      </w:r>
      <w:r>
        <w:rPr>
          <w:rFonts w:ascii="IRNazanin" w:hAnsi="IRNazanin" w:eastAsia="IRNazanin" w:cs="IRNazanin"/>
          <w:lang w:bidi="fa-IR"/>
          <w:color w:val="111111"/>
          <w:sz w:val="28"/>
          <w:szCs w:val="28"/>
          <w:rtl/>
        </w:rPr>
        <w:t xml:space="preserve">فی أدلّة التوقّف ما لا یکون أعمّ منه؛فإنّ ما ورد فیه نهی معارض بما دلّ علی الاباحة غیر داخل فی هذا الخبر و یشمله أخبار التوقف،فإذا وجب التوقّف هنا وجب فیما لا نصّ فیه بالإجماع المرکّب،فتأمّل.</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مع أنّ جمیع موارد الشبهة التی أمر فیها بالتوقّف،لا تخلو عن</w:t>
      </w:r>
    </w:p>
    <w:p>
      <w:pPr>
        <w:pStyle w:val="BookText"/>
      </w:pPr>
      <w:r>
        <w:rPr>
          <w:rFonts w:ascii="IRNazanin" w:hAnsi="IRNazanin" w:eastAsia="IRNazanin" w:cs="IRNazanin"/>
          <w:lang w:bidi="fa-IR"/>
          <w:color w:val="111111"/>
          <w:sz w:val="28"/>
          <w:szCs w:val="28"/>
          <w:rtl/>
        </w:rPr>
        <w:t xml:space="preserve">[شماره صفحه واقعی : 75]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46" w:name="pg14411_142465"/>
    <w:bookmarkEnd w:id="46"/>
    <w:p>
      <w:pPr>
        <w:pStyle w:val="BookText"/>
      </w:pPr>
      <w:r>
        <w:rPr>
          <w:rFonts w:ascii="IRNazanin" w:hAnsi="IRNazanin" w:eastAsia="IRNazanin" w:cs="IRNazanin"/>
          <w:lang w:bidi="fa-IR"/>
          <w:color w:val="111111"/>
          <w:sz w:val="28"/>
          <w:szCs w:val="28"/>
          <w:rtl/>
        </w:rPr>
        <w:t xml:space="preserve">أن یکون شیئا محتمل الحرمة،سواء کان عملا أم حکما أم اعتقادا، فتأمّل.</w:t>
      </w:r>
    </w:p>
    <w:p>
      <w:pPr>
        <w:pStyle w:val="BookText"/>
      </w:pPr>
      <w:r>
        <w:rPr>
          <w:rFonts w:ascii="IRNazanin" w:hAnsi="IRNazanin" w:eastAsia="IRNazanin" w:cs="IRNazanin"/>
          <w:lang w:bidi="fa-IR"/>
          <w:color w:val="111111"/>
          <w:sz w:val="28"/>
          <w:szCs w:val="28"/>
          <w:rtl/>
        </w:rPr>
        <w:t xml:space="preserve">و التحقیق فی الجواب ما ذکرنا.</w:t>
      </w:r>
    </w:p>
    <w:p>
      <w:pPr>
        <w:pStyle w:val="Heading6"/>
      </w:pPr>
      <w:bookmarkStart w:id="1062" w:name="_Toc97"/>
      <w:r>
        <w:t>الثالثة : ما دلّ علی وجوب الاحتیاط</w:t>
      </w:r>
      <w:bookmarkEnd w:id="1062"/>
    </w:p>
    <w:p>
      <w:pPr>
        <w:pStyle w:val="Heading6"/>
      </w:pPr>
      <w:bookmarkStart w:id="1063" w:name="_Toc98"/>
      <w:r>
        <w:t>اشارة</w:t>
      </w:r>
      <w:bookmarkEnd w:id="1063"/>
    </w:p>
    <w:p>
      <w:pPr>
        <w:pStyle w:val="BookText"/>
      </w:pPr>
      <w:r>
        <w:rPr>
          <w:rFonts w:ascii="IRNazanin" w:hAnsi="IRNazanin" w:eastAsia="IRNazanin" w:cs="IRNazanin"/>
          <w:lang w:bidi="fa-IR"/>
          <w:color w:val="111111"/>
          <w:sz w:val="28"/>
          <w:szCs w:val="28"/>
          <w:rtl/>
        </w:rPr>
        <w:t xml:space="preserve">و هی کثیرة:</w:t>
      </w:r>
    </w:p>
    <w:p>
      <w:pPr>
        <w:pStyle w:val="BookText"/>
      </w:pPr>
      <w:r>
        <w:rPr>
          <w:rFonts w:ascii="IRNazanin" w:hAnsi="IRNazanin" w:eastAsia="IRNazanin" w:cs="IRNazanin"/>
          <w:lang w:bidi="fa-IR"/>
          <w:color w:val="111111"/>
          <w:sz w:val="28"/>
          <w:szCs w:val="28"/>
          <w:rtl/>
        </w:rPr>
        <w:t xml:space="preserve">منها:صحیحة عبد الرحمن بن الحجّاج:«قال:سألت أبا الحسن علیه السّلام عن رجلین أصابا صیدا و هما محرمان،الجزاء بینهما أو علی کلّ واحد منهما جزاء؟قال:بل علیهما أن یجزی کلّ واحد منهما الصّید،قلت:</w:t>
      </w:r>
    </w:p>
    <w:p>
      <w:pPr>
        <w:pStyle w:val="BookText"/>
      </w:pPr>
      <w:r>
        <w:rPr>
          <w:rFonts w:ascii="IRNazanin" w:hAnsi="IRNazanin" w:eastAsia="IRNazanin" w:cs="IRNazanin"/>
          <w:lang w:bidi="fa-IR"/>
          <w:color w:val="111111"/>
          <w:sz w:val="28"/>
          <w:szCs w:val="28"/>
          <w:rtl/>
        </w:rPr>
        <w:t xml:space="preserve">إنّ بعض أصحابنا سألنی عن ذلک فلم أدر ما علیه،قال:إذا أصبتم مثل هذا فلم تدروا فعلیکم بالاحتیاط حتّی تسألوا عنه </w:t>
      </w:r>
      <w:r>
        <w:rPr>
          <w:rStyle w:val="FootnoteReference"/>
        </w:rPr>
        <w:footnoteReference w:id="273"/>
      </w:r>
      <w:r>
        <w:rPr>
          <w:rFonts w:ascii="IRNazanin" w:hAnsi="IRNazanin" w:eastAsia="IRNazanin" w:cs="IRNazanin"/>
          <w:lang w:bidi="fa-IR"/>
          <w:color w:val="111111"/>
          <w:sz w:val="28"/>
          <w:szCs w:val="28"/>
          <w:rtl/>
        </w:rPr>
        <w:t xml:space="preserve">و تعلموا» </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منها:موثّقة عبد اللّه بن وضّاح-علی الأقوی-:«قال:کتبت إلی العبد الصالح:یتواری القرص و یقبل اللیل و یزید اللیل ارتفاعا و تستتر عنّا الشمس و ترتفع فوق الجبل حمرة و یؤذّن عندنا المؤذّنون، فاصلّی حینئذ و افطر إن کنت صائما،أو أنتظر حتّی تذهب الحمرة التی فوق الجبل؟</w:t>
      </w:r>
    </w:p>
    <w:p>
      <w:pPr>
        <w:pStyle w:val="BookText"/>
      </w:pPr>
      <w:r>
        <w:rPr>
          <w:rFonts w:ascii="Amiri" w:hAnsi="Amiri" w:eastAsia="Amiri" w:cs="Amiri"/>
          <w:lang w:bidi="ar-SA"/>
          <w:color w:val="111111"/>
          <w:sz w:val="28"/>
          <w:szCs w:val="28"/>
          <w:rtl/>
        </w:rPr>
        <w:t xml:space="preserve">فکتب علیه السّلام إلیّ </w:t>
      </w:r>
      <w:r>
        <w:rPr>
          <w:rStyle w:val="FootnoteReference"/>
        </w:rPr>
        <w:footnoteReference w:id="275"/>
      </w:r>
      <w:r>
        <w:rPr>
          <w:rFonts w:ascii="IRNazanin" w:hAnsi="IRNazanin" w:eastAsia="IRNazanin" w:cs="IRNazanin"/>
          <w:lang w:bidi="fa-IR"/>
          <w:color w:val="111111"/>
          <w:sz w:val="28"/>
          <w:szCs w:val="28"/>
          <w:rtl/>
        </w:rPr>
        <w:t xml:space="preserve">:أری لک أن تنتظر حتّی تذهب الحمرة و تأخذ بالحائطة لدینک» </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الظاهر أنّ قوله علیه السّلام:«و تأخذ»بیان لمناط الحکم،کما فی</w:t>
      </w:r>
    </w:p>
    <w:p>
      <w:pPr>
        <w:pStyle w:val="BookText"/>
      </w:pPr>
      <w:r>
        <w:rPr>
          <w:rFonts w:ascii="IRNazanin" w:hAnsi="IRNazanin" w:eastAsia="IRNazanin" w:cs="IRNazanin"/>
          <w:lang w:bidi="fa-IR"/>
          <w:color w:val="111111"/>
          <w:sz w:val="28"/>
          <w:szCs w:val="28"/>
          <w:rtl/>
        </w:rPr>
        <w:t xml:space="preserve">[شماره صفحه واقعی : 76]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قولک للمخاطب:«أری لک أن توفّی دینک و تخلّص نفسک»،فیدلّ علی لزوم الاحتیاط مطلقا.</w:t>
      </w:r>
    </w:p>
    <w:p>
      <w:pPr>
        <w:pStyle w:val="BookText"/>
      </w:pPr>
      <w:r>
        <w:rPr>
          <w:rFonts w:ascii="IRNazanin" w:hAnsi="IRNazanin" w:eastAsia="IRNazanin" w:cs="IRNazanin"/>
          <w:lang w:bidi="fa-IR"/>
          <w:color w:val="111111"/>
          <w:sz w:val="28"/>
          <w:szCs w:val="28"/>
          <w:rtl/>
        </w:rPr>
        <w:t xml:space="preserve">و منها:ما عن أمالی المفید الثانی-ولد الشیخ قدّس سرّهما-بسند کالصحیح، عن مولانا أبی الحسن الرضا علیه السّلام:«قال:قال أمیر المؤمنین علیه السّلام لکمیل بن زیاد:أخوک دینک فاحتط لدینک بما شئت» </w:t>
      </w:r>
      <w:r>
        <w:rPr>
          <w:rStyle w:val="FootnoteReference"/>
        </w:rPr>
        <w:footnoteReference w:id="277"/>
      </w:r>
      <w:r>
        <w:rPr>
          <w:rFonts w:ascii="IRNazanin" w:hAnsi="IRNazanin" w:eastAsia="IRNazanin" w:cs="IRNazanin"/>
          <w:lang w:bidi="fa-IR"/>
          <w:color w:val="111111"/>
          <w:sz w:val="28"/>
          <w:szCs w:val="28"/>
          <w:rtl/>
        </w:rPr>
        <w:t xml:space="preserve">.و لیس فی السند إلاّ علیّ بن محمد الکاتب الذی یروی عنه المفید.</w:t>
      </w:r>
    </w:p>
    <w:p>
      <w:pPr>
        <w:pStyle w:val="BookText"/>
      </w:pPr>
      <w:r>
        <w:rPr>
          <w:rFonts w:ascii="IRNazanin" w:hAnsi="IRNazanin" w:eastAsia="IRNazanin" w:cs="IRNazanin"/>
          <w:lang w:bidi="fa-IR"/>
          <w:color w:val="111111"/>
          <w:sz w:val="28"/>
          <w:szCs w:val="28"/>
          <w:rtl/>
        </w:rPr>
        <w:t xml:space="preserve">و منها:ما عن خطّ الشهید-فی حدیث طویل-عن عنوان البصریّ،عن أبی عبد اللّه علیه السّلام یقول فیه:«سل العلماء ما جهلت، و إیّاک أن تسألهم تعنّتا و تجربة،و إیّاک أن تعمل برأیک شیئا،و خذ الاحتیاط فی جمیع امورک ما تجد إلیه سبیلا،و اهرب من الفتیا هربک من الأسد،و لا تجعل رقبتک عتبة للنّاس» </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منها:ما أرسله الشهید و حکی عن الفریقین،من قوله صلّی اللّه علیه و آله:</w:t>
      </w:r>
    </w:p>
    <w:p>
      <w:pPr>
        <w:pStyle w:val="BookText"/>
      </w:pPr>
      <w:r>
        <w:rPr>
          <w:rFonts w:ascii="IRNazanin" w:hAnsi="IRNazanin" w:eastAsia="IRNazanin" w:cs="IRNazanin"/>
          <w:lang w:bidi="fa-IR"/>
          <w:color w:val="111111"/>
          <w:sz w:val="28"/>
          <w:szCs w:val="28"/>
          <w:rtl/>
        </w:rPr>
        <w:t xml:space="preserve">«دع ما یریبک إلی ما لا یریبک؛فإنّک لن تجد فقد شیء ترکته للّه عزّ و جلّ» </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منها:ما أرسله الشهید رحمه اللّه-أیضا-من قوله علیه السّلام:«لک أن</w:t>
      </w:r>
    </w:p>
    <w:p>
      <w:pPr>
        <w:pStyle w:val="BookText"/>
      </w:pPr>
      <w:r>
        <w:rPr>
          <w:rFonts w:ascii="IRNazanin" w:hAnsi="IRNazanin" w:eastAsia="IRNazanin" w:cs="IRNazanin"/>
          <w:lang w:bidi="fa-IR"/>
          <w:color w:val="111111"/>
          <w:sz w:val="28"/>
          <w:szCs w:val="28"/>
          <w:rtl/>
        </w:rPr>
        <w:t xml:space="preserve">[شماره صفحه واقعی : 77]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47" w:name="pg14411_142467"/>
    <w:bookmarkEnd w:id="47"/>
    <w:p>
      <w:pPr>
        <w:pStyle w:val="BookText"/>
      </w:pPr>
      <w:r>
        <w:rPr>
          <w:rFonts w:ascii="IRNazanin" w:hAnsi="IRNazanin" w:eastAsia="IRNazanin" w:cs="IRNazanin"/>
          <w:lang w:bidi="fa-IR"/>
          <w:color w:val="111111"/>
          <w:sz w:val="28"/>
          <w:szCs w:val="28"/>
          <w:rtl/>
        </w:rPr>
        <w:t xml:space="preserve">تنظر الحزم و تأخذ بالحائطة لدینک» </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 منها:ما ارسل أیضا عنهم </w:t>
      </w:r>
      <w:r>
        <w:rPr>
          <w:rStyle w:val="FootnoteReference"/>
        </w:rPr>
        <w:footnoteReference w:id="281"/>
      </w:r>
      <w:r>
        <w:rPr>
          <w:rFonts w:ascii="IRNazanin" w:hAnsi="IRNazanin" w:eastAsia="IRNazanin" w:cs="IRNazanin"/>
          <w:lang w:bidi="fa-IR"/>
          <w:color w:val="111111"/>
          <w:sz w:val="28"/>
          <w:szCs w:val="28"/>
          <w:rtl/>
        </w:rPr>
        <w:t xml:space="preserve">علیهم السّلام:«لیس بناکب عن الصّراط من سلک سبیل الاحتیاط» </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Heading6"/>
      </w:pPr>
      <w:bookmarkStart w:id="1064" w:name="_Toc99"/>
      <w:r>
        <w:t>و الجواب [عن الاستدلال بأخبار الاحتیاط]</w:t>
      </w:r>
      <w:bookmarkEnd w:id="106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عن الصحیحة:فبعدم الدلالة؛لأنّ المشار إلیه فی قوله علیه السّلام:</w:t>
      </w:r>
    </w:p>
    <w:p>
      <w:pPr>
        <w:pStyle w:val="BookText"/>
      </w:pPr>
      <w:r>
        <w:rPr>
          <w:rFonts w:ascii="IRNazanin" w:hAnsi="IRNazanin" w:eastAsia="IRNazanin" w:cs="IRNazanin"/>
          <w:lang w:bidi="fa-IR"/>
          <w:color w:val="111111"/>
          <w:sz w:val="28"/>
          <w:szCs w:val="28"/>
          <w:rtl/>
        </w:rPr>
        <w:t xml:space="preserve">«بمثل هذا»إمّا نفس واقعة الصید،و إمّا أن یکون السؤال عن حکمها.</w:t>
      </w:r>
    </w:p>
    <w:p>
      <w:pPr>
        <w:pStyle w:val="BookText"/>
      </w:pPr>
      <w:r>
        <w:rPr>
          <w:rFonts w:ascii="IRNazanin" w:hAnsi="IRNazanin" w:eastAsia="IRNazanin" w:cs="IRNazanin"/>
          <w:lang w:bidi="fa-IR"/>
          <w:color w:val="111111"/>
          <w:sz w:val="28"/>
          <w:szCs w:val="28"/>
          <w:rtl/>
        </w:rPr>
        <w:t xml:space="preserve">و علی الأوّل:فإن جعلنا المورد من قبیل الشکّ فی التکلیف،بمعنی أنّ وجوب نصف الجزاء علی کلّ واحد متیقّن و یشکّ فی وجوب النصف الآخر علیه،فیکون من قبیل وجوب أداء الدین المردّد بین الأقلّ و الأکثر و قضاء الفوائت المردّدة،و الاحتیاط فی مثل هذا غیر لازم بالاتّفاق؛لأنّه شکّ فی الوجوب.</w:t>
      </w:r>
    </w:p>
    <w:p>
      <w:pPr>
        <w:pStyle w:val="BookText"/>
      </w:pPr>
      <w:r>
        <w:rPr>
          <w:rFonts w:ascii="IRNazanin" w:hAnsi="IRNazanin" w:eastAsia="IRNazanin" w:cs="IRNazanin"/>
          <w:lang w:bidi="fa-IR"/>
          <w:color w:val="111111"/>
          <w:sz w:val="28"/>
          <w:szCs w:val="28"/>
          <w:rtl/>
        </w:rPr>
        <w:t xml:space="preserve">و علی تقدیر قولنا بوجوب الاحتیاط فی مورد الروایة و أمثاله ممّا ثبت التکلیف فیه فی الجملة-لأجل هذه الصحیحة و غیرها-لم یکن ما نحن فیه من الشبهة مماثلا له؛لعدم ثبوت التکلیف فیه رأسا.</w:t>
      </w:r>
    </w:p>
    <w:p>
      <w:pPr>
        <w:pStyle w:val="BookText"/>
      </w:pPr>
      <w:r>
        <w:rPr>
          <w:rFonts w:ascii="IRNazanin" w:hAnsi="IRNazanin" w:eastAsia="IRNazanin" w:cs="IRNazanin"/>
          <w:lang w:bidi="fa-IR"/>
          <w:color w:val="111111"/>
          <w:sz w:val="28"/>
          <w:szCs w:val="28"/>
          <w:rtl/>
        </w:rPr>
        <w:t xml:space="preserve">و إن جعلنا المورد من قبیل الشکّ فی متعلّق التکلیف و هو المکلّف به-لکون الأقلّ علی تقدیر وجوب الأکثر غیر واجب بالاستقلال،</w:t>
      </w:r>
    </w:p>
    <w:p>
      <w:pPr>
        <w:pStyle w:val="BookText"/>
      </w:pPr>
      <w:r>
        <w:rPr>
          <w:rFonts w:ascii="IRNazanin" w:hAnsi="IRNazanin" w:eastAsia="IRNazanin" w:cs="IRNazanin"/>
          <w:lang w:bidi="fa-IR"/>
          <w:color w:val="111111"/>
          <w:sz w:val="28"/>
          <w:szCs w:val="28"/>
          <w:rtl/>
        </w:rPr>
        <w:t xml:space="preserve">[شماره صفحه واقعی : 78]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نظیر وجوب التسلیم فی الصلاة-فالاحتیاط هنا و إن کان مذهب جماعة من المجتهدین </w:t>
      </w:r>
      <w:r>
        <w:rPr>
          <w:rStyle w:val="FootnoteReference"/>
        </w:rPr>
        <w:footnoteReference w:id="283"/>
      </w:r>
      <w:r>
        <w:rPr>
          <w:rFonts w:ascii="IRNazanin" w:hAnsi="IRNazanin" w:eastAsia="IRNazanin" w:cs="IRNazanin"/>
          <w:lang w:bidi="fa-IR"/>
          <w:color w:val="111111"/>
          <w:sz w:val="28"/>
          <w:szCs w:val="28"/>
          <w:rtl/>
        </w:rPr>
        <w:t xml:space="preserve">أیضا،إلاّ أنّ ما نحن فیه من الشبهة الحکمیّة التحریمیّة لیس مثلا لمورد الروایة؛لأنّ الشکّ فیه فی أصل التکلیف.</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هذا،مع أنّ ظاهر الروایة التمکّن من استعلام حکم الواقعة بالسؤال و التعلّم فیما بعد،و لا مضایقة عن القول بوجوب الاحتیاط فی هذه الواقعة الشخصیّة حتّی یتعلّم المسألة لما یستقبل من الوقائع.</w:t>
      </w:r>
    </w:p>
    <w:p>
      <w:pPr>
        <w:pStyle w:val="BookText"/>
      </w:pPr>
      <w:r>
        <w:rPr>
          <w:rFonts w:ascii="IRNazanin" w:hAnsi="IRNazanin" w:eastAsia="IRNazanin" w:cs="IRNazanin"/>
          <w:lang w:bidi="fa-IR"/>
          <w:color w:val="111111"/>
          <w:sz w:val="28"/>
          <w:szCs w:val="28"/>
          <w:rtl/>
        </w:rPr>
        <w:t xml:space="preserve">و منه یظهر:أنّه إن کان المشار إلیه ب«هذا»هو السؤال عن حکم الواقعة،کما هو الثانی من شقیّ التردید:فإن ارید بالاحتیاط فیه الإفتاء </w:t>
      </w:r>
      <w:r>
        <w:rPr>
          <w:rStyle w:val="FootnoteReference"/>
        </w:rPr>
        <w:footnoteReference w:id="284"/>
      </w:r>
      <w:r>
        <w:rPr>
          <w:rFonts w:ascii="IRNazanin" w:hAnsi="IRNazanin" w:eastAsia="IRNazanin" w:cs="IRNazanin"/>
          <w:lang w:bidi="fa-IR"/>
          <w:color w:val="111111"/>
          <w:sz w:val="28"/>
          <w:szCs w:val="28"/>
          <w:rtl/>
        </w:rPr>
        <w:t xml:space="preserve">بالاحتیاط لم ینفع فیما نحن فیه،و إن ارید من الاحتیاط الاحتراز عن الفتوی فیها أصلا حتّی بالاحتیاط،فکذلک.</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 أمّا عن الموثّقة:فبأنّ ظاهرها الاستحباب،و الظاهر أنّ مراده الاحتیاط من حیث الشبهة الموضوعیة-لاحتمال عدم استتار القرص و کون الحمرة المرتفعة أمارة علیها-؛لأنّ إرادة الاحتیاط فی الشبهة الحکمیّة بعیدة عن منصب الإمام علیه السّلام؛لأنّه لا یقرّر الجاهل بالحکم علی جهله،و لا ریب أنّ الانتظار مع الشکّ فی الاستتار واجب؛لأنّه مقتضی استصحاب عدم اللیل،و الاشتغال بالصوم،و قاعدة الاشتغال بالصلاة.</w:t>
      </w:r>
    </w:p>
    <w:p>
      <w:pPr>
        <w:pStyle w:val="BookText"/>
      </w:pPr>
      <w:r>
        <w:rPr>
          <w:rFonts w:ascii="IRNazanin" w:hAnsi="IRNazanin" w:eastAsia="IRNazanin" w:cs="IRNazanin"/>
          <w:lang w:bidi="fa-IR"/>
          <w:color w:val="111111"/>
          <w:sz w:val="28"/>
          <w:szCs w:val="28"/>
          <w:rtl/>
        </w:rPr>
        <w:t xml:space="preserve">فالمخاطب بالأخذ بالحائطة هو الشاکّ فی براءة ذمّته عن الصوم و الصلاة،و یتعدّی منه إلی کلّ شاکّ فی براءة ذمّته عمّا یجب علیه</w:t>
      </w:r>
    </w:p>
    <w:p>
      <w:pPr>
        <w:pStyle w:val="BookText"/>
      </w:pPr>
      <w:r>
        <w:rPr>
          <w:rFonts w:ascii="IRNazanin" w:hAnsi="IRNazanin" w:eastAsia="IRNazanin" w:cs="IRNazanin"/>
          <w:lang w:bidi="fa-IR"/>
          <w:color w:val="111111"/>
          <w:sz w:val="28"/>
          <w:szCs w:val="28"/>
          <w:rtl/>
        </w:rPr>
        <w:t xml:space="preserve">[شماره صفحه واقعی : 79]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یقینا،لا مطلق الشاکّ؛لأنّ الشاکّ فی الموضوع الخارجیّ مع عدم تیقّن التکلیف لا یجب علیه الاحتیاط باتّفاق من الأخباریّین أیضا.</w:t>
      </w:r>
    </w:p>
    <w:p>
      <w:pPr>
        <w:pStyle w:val="BookText"/>
      </w:pPr>
      <w:r>
        <w:rPr>
          <w:rFonts w:ascii="IRNazanin" w:hAnsi="IRNazanin" w:eastAsia="IRNazanin" w:cs="IRNazanin"/>
          <w:lang w:bidi="fa-IR"/>
          <w:color w:val="111111"/>
          <w:sz w:val="28"/>
          <w:szCs w:val="28"/>
          <w:rtl/>
        </w:rPr>
        <w:t xml:space="preserve">هذا کلّه علی تقدیر القول بکفایة استتار القرص فی الغروب، و کون الحمرة غیر الحمرة المشرقیّة،و یحتمل بعیدا أن یراد من الحمرة الحمرة المشرقیّة التی لا بدّ من زوالها فی تحقّق المغرب </w:t>
      </w:r>
      <w:r>
        <w:rPr>
          <w:rStyle w:val="FootnoteReference"/>
        </w:rPr>
        <w:footnoteReference w:id="285"/>
      </w:r>
      <w:r>
        <w:rPr>
          <w:rFonts w:ascii="IRNazanin" w:hAnsi="IRNazanin" w:eastAsia="IRNazanin" w:cs="IRNazanin"/>
          <w:lang w:bidi="fa-IR"/>
          <w:color w:val="111111"/>
          <w:sz w:val="28"/>
          <w:szCs w:val="28"/>
          <w:rtl/>
        </w:rPr>
        <w:t xml:space="preserve">.و تعلیله حینئذ بالاحتیاط و إن کان بعیدا عن منصب الإمام علیه السّلام کما لا یخفی،إلاّ أنّه یمکن أن یکون هذا النحو من التعبیر لأجل التقیّة؛</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لإیهام أنّ الوجه فی التأخیر هو حصول الجزم باستتار القرص و زوال احتمال عدمه،لا أنّ المغرب لا یدخل مع تحقّق الاستتار.کما أنّ قوله علیه السّلام:«أری لک» یستشمّ منه رائحة الاستحباب،فلعلّ التعبیر به مع وجوب التأخیر من جهة التقیّة،و حینئذ:فتوجیه الحکم بالاحتیاط لا یدلّ إلاّ علی رجحانه.</w:t>
      </w:r>
    </w:p>
    <w:p>
      <w:pPr>
        <w:pStyle w:val="BookText"/>
      </w:pPr>
      <w:r>
        <w:rPr>
          <w:rFonts w:ascii="IRNazanin" w:hAnsi="IRNazanin" w:eastAsia="IRNazanin" w:cs="IRNazanin"/>
          <w:lang w:bidi="fa-IR"/>
          <w:color w:val="111111"/>
          <w:sz w:val="28"/>
          <w:szCs w:val="28"/>
          <w:rtl/>
        </w:rPr>
        <w:t xml:space="preserve">و أمّا عن روایة الأمالی:فبعدم دلالتها علی الوجوب؛للزوم إخراج أکثر موارد الشبهة و هی الشبهة الموضوعیّة مطلقا و الحکمیّة الوجوبیّة،و الحمل علی الاستحباب أیضا مستلزم لاخراج موارد وجوب الاحتیاط،فتحمل علی الإرشاد أو علی الطلب المشترک بین الوجوب و الندب،و حینئذ:فلا ینافی وجوبه </w:t>
      </w:r>
      <w:r>
        <w:rPr>
          <w:rStyle w:val="FootnoteReference"/>
        </w:rPr>
        <w:footnoteReference w:id="286"/>
      </w:r>
      <w:r>
        <w:rPr>
          <w:rFonts w:ascii="IRNazanin" w:hAnsi="IRNazanin" w:eastAsia="IRNazanin" w:cs="IRNazanin"/>
          <w:lang w:bidi="fa-IR"/>
          <w:color w:val="111111"/>
          <w:sz w:val="28"/>
          <w:szCs w:val="28"/>
          <w:rtl/>
        </w:rPr>
        <w:t xml:space="preserve">فی بعض الموارد و </w:t>
      </w:r>
      <w:r>
        <w:rPr>
          <w:rStyle w:val="FootnoteReference"/>
        </w:rPr>
        <w:footnoteReference w:id="287"/>
      </w:r>
      <w:r>
        <w:rPr>
          <w:rFonts w:ascii="IRNazanin" w:hAnsi="IRNazanin" w:eastAsia="IRNazanin" w:cs="IRNazanin"/>
          <w:lang w:bidi="fa-IR"/>
          <w:color w:val="111111"/>
          <w:sz w:val="28"/>
          <w:szCs w:val="28"/>
          <w:rtl/>
        </w:rPr>
        <w:t xml:space="preserve">عدم لزومه فی بعض آخر؛لأنّ تأکّد الطلب الإرشادی و عدمه بحسب المصلحة</w:t>
      </w:r>
    </w:p>
    <w:p>
      <w:pPr>
        <w:pStyle w:val="BookText"/>
      </w:pPr>
      <w:r>
        <w:rPr>
          <w:rFonts w:ascii="IRNazanin" w:hAnsi="IRNazanin" w:eastAsia="IRNazanin" w:cs="IRNazanin"/>
          <w:lang w:bidi="fa-IR"/>
          <w:color w:val="111111"/>
          <w:sz w:val="28"/>
          <w:szCs w:val="28"/>
          <w:rtl/>
        </w:rPr>
        <w:t xml:space="preserve">[شماره صفحه واقعی : 80]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الموجودة فی الفعل؛لأنّ الاحتیاط هو الاحتراز عن موارد احتمال المضرّة،فیختلف رضا المرشد بترکه و عدم رضاه بحسب مراتب المضرّة، کما أنّ الأمر فی الأوامر الواردة فی إطاعة اللّه و رسوله للإرشاد المشترک بین فعل الواجبات و فعل المندوبات.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هذا،و الذی یقتضیه دقیق النظر:أنّ الأمر المذکور بالاحتیاط لخصوص الطلب الغیر الإلزامیّ؛لأنّ المقصود منه بیان أعلی مراتب الاحتیاط،لا جمیع مراتبه و لا المقدار الواجب.</w:t>
      </w:r>
    </w:p>
    <w:p>
      <w:pPr>
        <w:pStyle w:val="BookText"/>
      </w:pPr>
      <w:r>
        <w:rPr>
          <w:rFonts w:ascii="IRNazanin" w:hAnsi="IRNazanin" w:eastAsia="IRNazanin" w:cs="IRNazanin"/>
          <w:lang w:bidi="fa-IR"/>
          <w:color w:val="111111"/>
          <w:sz w:val="28"/>
          <w:szCs w:val="28"/>
          <w:rtl/>
        </w:rPr>
        <w:t xml:space="preserve">و المراد من قوله:«بما شئت»لیس التعمیم من حیث القلّة و الکثرة و التفویض إلی مشیئة الشخص؛لأنّ هذا کلّه مناف لجعله بمنزلة الأخ،بل المراد:أنّ أیّ مرتبة من الاحتیاط شئتها فهی فی محلّها، و لیس هنا مرتبة من الاحتیاط لا یستحسن بالنسبة إلی الدین؛لأنّه بمنزلة الأخ الذی هو کذلک </w:t>
      </w:r>
      <w:r>
        <w:rPr>
          <w:rStyle w:val="FootnoteReference"/>
        </w:rPr>
        <w:footnoteReference w:id="288"/>
      </w:r>
      <w:r>
        <w:rPr>
          <w:rFonts w:ascii="IRNazanin" w:hAnsi="IRNazanin" w:eastAsia="IRNazanin" w:cs="IRNazanin"/>
          <w:lang w:bidi="fa-IR"/>
          <w:color w:val="111111"/>
          <w:sz w:val="28"/>
          <w:szCs w:val="28"/>
          <w:rtl/>
        </w:rPr>
        <w:t xml:space="preserve">،و لیس بمنزلة سائر الامور </w:t>
      </w:r>
      <w:r>
        <w:rPr>
          <w:rStyle w:val="FootnoteReference"/>
        </w:rPr>
        <w:footnoteReference w:id="289"/>
      </w:r>
      <w:r>
        <w:rPr>
          <w:rFonts w:ascii="Amiri" w:hAnsi="Amiri" w:eastAsia="Amiri" w:cs="Amiri"/>
          <w:lang w:bidi="ar-SA"/>
          <w:color w:val="111111"/>
          <w:sz w:val="28"/>
          <w:szCs w:val="28"/>
          <w:rtl/>
        </w:rPr>
        <w:t xml:space="preserve">لا یستحسن فیها بعض مراتب الاحتیاط،کالمال و ما عدا الأخ من الرجال،فهو بمنزلة قوله تعالی: فَاتَّقُوا اللّٰهَ مَا اسْتَطَعْتُمْ </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ممّا ذکرنا یظهر الجواب عن سائر الأخبار المتقدّمة،مع ضعف السند فی الجمیع.</w:t>
      </w:r>
    </w:p>
    <w:p>
      <w:pPr>
        <w:pStyle w:val="BookText"/>
      </w:pPr>
      <w:r>
        <w:rPr>
          <w:rFonts w:ascii="IRNazanin" w:hAnsi="IRNazanin" w:eastAsia="IRNazanin" w:cs="IRNazanin"/>
          <w:lang w:bidi="fa-IR"/>
          <w:color w:val="111111"/>
          <w:sz w:val="28"/>
          <w:szCs w:val="28"/>
          <w:rtl/>
        </w:rPr>
        <w:t xml:space="preserve">نعم،یظهر من المحقّق فی المعارج:اعتبار إسناد </w:t>
      </w:r>
      <w:r>
        <w:rPr>
          <w:rStyle w:val="FootnoteReference"/>
        </w:rPr>
        <w:footnoteReference w:id="291"/>
      </w:r>
      <w:r>
        <w:rPr>
          <w:rFonts w:ascii="IRNazanin" w:hAnsi="IRNazanin" w:eastAsia="IRNazanin" w:cs="IRNazanin"/>
          <w:lang w:bidi="fa-IR"/>
          <w:color w:val="111111"/>
          <w:sz w:val="28"/>
          <w:szCs w:val="28"/>
          <w:rtl/>
        </w:rPr>
        <w:t xml:space="preserve">النبویّ:«دع ما</w:t>
      </w:r>
    </w:p>
    <w:p>
      <w:pPr>
        <w:pStyle w:val="BookText"/>
      </w:pPr>
      <w:r>
        <w:rPr>
          <w:rFonts w:ascii="IRNazanin" w:hAnsi="IRNazanin" w:eastAsia="IRNazanin" w:cs="IRNazanin"/>
          <w:lang w:bidi="fa-IR"/>
          <w:color w:val="111111"/>
          <w:sz w:val="28"/>
          <w:szCs w:val="28"/>
          <w:rtl/>
        </w:rPr>
        <w:t xml:space="preserve">[شماره صفحه واقعی : 81]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48" w:name="pg14411_142471"/>
    <w:bookmarkEnd w:id="48"/>
    <w:p>
      <w:pPr>
        <w:pStyle w:val="BookText"/>
      </w:pPr>
      <w:r>
        <w:rPr>
          <w:rFonts w:ascii="IRNazanin" w:hAnsi="IRNazanin" w:eastAsia="IRNazanin" w:cs="IRNazanin"/>
          <w:lang w:bidi="fa-IR"/>
          <w:color w:val="111111"/>
          <w:sz w:val="28"/>
          <w:szCs w:val="28"/>
          <w:rtl/>
        </w:rPr>
        <w:t xml:space="preserve">یریبک»؛حیث اقتصر فی ردّه علی:أنّه خبر واحد لا یعوّل علیه فی الاصول،و أنّ إلزام المکلّف بالأثقل مظنّة الریبة</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 ما ذکره قدّس سرّه محلّ تأمّل؛لمنع کون المسألة اصولیّة،ثم منع کون النبویّ من أخبار الآحاد المجرّدة؛لأنّ مضمونه-و هو ترک الشبهة- یمکن دعوی تواتره،ثمّ منع عدم اعتبار أخبار الآحاد فی المسألة الاصولیّة.</w:t>
      </w:r>
    </w:p>
    <w:p>
      <w:pPr>
        <w:pStyle w:val="BookText"/>
      </w:pPr>
      <w:r>
        <w:rPr>
          <w:rFonts w:ascii="IRNazanin" w:hAnsi="IRNazanin" w:eastAsia="IRNazanin" w:cs="IRNazanin"/>
          <w:lang w:bidi="fa-IR"/>
          <w:color w:val="111111"/>
          <w:sz w:val="28"/>
          <w:szCs w:val="28"/>
          <w:rtl/>
        </w:rPr>
        <w:t xml:space="preserve">و ما ذکره:من أنّ إلزام المکلّف بالأثقل...الخ،فیه:أنّ الإلزام من هذا الأمر،فلا ریبة فیه </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Heading6"/>
      </w:pPr>
      <w:bookmarkStart w:id="1065" w:name="_Toc100"/>
      <w:r>
        <w:t>[الرابعة-أخبار التثلیث]</w:t>
      </w:r>
      <w:bookmarkEnd w:id="1065"/>
    </w:p>
    <w:p>
      <w:pPr>
        <w:pStyle w:val="Heading6"/>
      </w:pPr>
      <w:bookmarkStart w:id="1066" w:name="_Toc101"/>
      <w:r>
        <w:t>اشارة</w:t>
      </w:r>
      <w:bookmarkEnd w:id="1066"/>
    </w:p>
    <w:p>
      <w:pPr>
        <w:pStyle w:val="BookText"/>
      </w:pPr>
      <w:r>
        <w:rPr>
          <w:rFonts w:ascii="IRNazanin" w:hAnsi="IRNazanin" w:eastAsia="IRNazanin" w:cs="IRNazanin"/>
          <w:lang w:bidi="fa-IR"/>
          <w:color w:val="111111"/>
          <w:sz w:val="28"/>
          <w:szCs w:val="28"/>
          <w:rtl/>
        </w:rPr>
        <w:t xml:space="preserve">الرابعة:أخبار التثلیث المرویّة عن النبیّ و الوصیّ و بعض الأئمة صلوات اللّه علیهم أجمعین:</w:t>
      </w:r>
    </w:p>
    <w:p>
      <w:pPr>
        <w:pStyle w:val="BookText"/>
      </w:pPr>
      <w:r>
        <w:rPr>
          <w:rFonts w:ascii="IRNazanin" w:hAnsi="IRNazanin" w:eastAsia="IRNazanin" w:cs="IRNazanin"/>
          <w:lang w:bidi="fa-IR"/>
          <w:color w:val="111111"/>
          <w:sz w:val="28"/>
          <w:szCs w:val="28"/>
          <w:rtl/>
        </w:rPr>
        <w:t xml:space="preserve">ففی مقبولة عمر بن حنظلة الواردة فی الخبرین المتعارضین-بعد الأمر بأخذ المشهور </w:t>
      </w:r>
      <w:r>
        <w:rPr>
          <w:rStyle w:val="FootnoteReference"/>
        </w:rPr>
        <w:footnoteReference w:id="294"/>
      </w:r>
      <w:r>
        <w:rPr>
          <w:rFonts w:ascii="IRNazanin" w:hAnsi="IRNazanin" w:eastAsia="IRNazanin" w:cs="IRNazanin"/>
          <w:lang w:bidi="fa-IR"/>
          <w:color w:val="111111"/>
          <w:sz w:val="28"/>
          <w:szCs w:val="28"/>
          <w:rtl/>
        </w:rPr>
        <w:t xml:space="preserve">منهما و ترک الشاذّ النادر؛معلّلا بقوله علیه السّلام:«فإنّ المجمع علیه لا ریب فیه»-قوله:«و إنّما الامور ثلاثة:أمر بیّن رشده فیتّبع،و أمر بیّن غیّه فیجتنب،و أمر مشکل یردّ حکمه إلی اللّه و رسوله؛ قال رسول اللّه صلّی اللّه علیه و آله:حلال بیّن و حرام بیّن و شبهات بین ذلک،فمن ترک الشّبهات نجا من المحرّمات،و من أخذ بالشّبهات وقع فی المحرّمات و هلک من حیث لا یعلم» </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82]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49" w:name="pg14411_142472"/>
    <w:bookmarkEnd w:id="49"/>
    <w:p>
      <w:pPr>
        <w:pStyle w:val="Heading6"/>
      </w:pPr>
      <w:bookmarkStart w:id="1067" w:name="_Toc102"/>
      <w:r>
        <w:t>[وجه الاستدلال]</w:t>
      </w:r>
      <w:bookmarkEnd w:id="1067"/>
    </w:p>
    <w:p>
      <w:pPr>
        <w:pStyle w:val="Heading6"/>
      </w:pPr>
      <w:bookmarkStart w:id="1068" w:name="_Toc103"/>
      <w:r>
        <w:t>اشارة</w:t>
      </w:r>
      <w:bookmarkEnd w:id="1068"/>
    </w:p>
    <w:p>
      <w:pPr>
        <w:pStyle w:val="BookText"/>
      </w:pPr>
      <w:r>
        <w:rPr>
          <w:rFonts w:ascii="IRNazanin" w:hAnsi="IRNazanin" w:eastAsia="IRNazanin" w:cs="IRNazanin"/>
          <w:lang w:bidi="fa-IR"/>
          <w:color w:val="111111"/>
          <w:sz w:val="28"/>
          <w:szCs w:val="28"/>
          <w:rtl/>
        </w:rPr>
        <w:t xml:space="preserve">وجه الدلالة:أنّ الإمام علیه السّلام أوجب طرح الشاذّ معلّلا:بأنّ المجمع علیه لا ریب فیه،و المراد أنّ الشاذّ فیه ریب </w:t>
      </w:r>
      <w:r>
        <w:rPr>
          <w:rStyle w:val="FootnoteReference"/>
        </w:rPr>
        <w:footnoteReference w:id="296"/>
      </w:r>
      <w:r>
        <w:rPr>
          <w:rFonts w:ascii="IRNazanin" w:hAnsi="IRNazanin" w:eastAsia="IRNazanin" w:cs="IRNazanin"/>
          <w:lang w:bidi="fa-IR"/>
          <w:color w:val="111111"/>
          <w:sz w:val="28"/>
          <w:szCs w:val="28"/>
          <w:rtl/>
        </w:rPr>
        <w:t xml:space="preserve">،لا أنّ الشهرة تجعل الشاذّ ممّا لا ریب فی بطلانه؛و إلاّ لم یکن معنی لتأخیر الترجیح بالشهرة عن الترجیح بالأعدلیّة و الأصدقیّة و الأورعیّة،و لا لفرض الراوی الشهرة فی کلا الخبرین،و لا لتثلیث الامور ثمّ الاستشهاد بتثلیث النبیّ صلّی اللّه علیه و آله.</w:t>
      </w:r>
    </w:p>
    <w:p>
      <w:pPr>
        <w:pStyle w:val="BookText"/>
      </w:pPr>
      <w:r>
        <w:rPr>
          <w:rFonts w:ascii="IRNazanin" w:hAnsi="IRNazanin" w:eastAsia="IRNazanin" w:cs="IRNazanin"/>
          <w:lang w:bidi="fa-IR"/>
          <w:color w:val="111111"/>
          <w:sz w:val="28"/>
          <w:szCs w:val="28"/>
          <w:rtl/>
        </w:rPr>
        <w:t xml:space="preserve">و الحاصل:أنّ الناظر فی الروایة یقطع بأنّ الشاذّ ممّا فیه الریب فیجب طرحه،و هو الأمر المشکل الذی أوجب الإمام ردّه إلی اللّه و رسوله.</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فیعلم من ذلک کلّه:انّ الاستشهاد بقول رسول اللّه صلّی اللّه علیه و آله فی التثلیث لا یستقیم إلاّ مع وجوب الاحتیاط و الاجتناب عن الشبهات.</w:t>
      </w:r>
    </w:p>
    <w:p>
      <w:pPr>
        <w:pStyle w:val="BookText"/>
      </w:pPr>
      <w:r>
        <w:rPr>
          <w:rFonts w:ascii="IRNazanin" w:hAnsi="IRNazanin" w:eastAsia="IRNazanin" w:cs="IRNazanin"/>
          <w:lang w:bidi="fa-IR"/>
          <w:color w:val="111111"/>
          <w:sz w:val="28"/>
          <w:szCs w:val="28"/>
          <w:rtl/>
        </w:rPr>
        <w:t xml:space="preserve">مضافا إلی دلالة قوله:«نجا من المحرّمات»،بناء علی أنّ تخلیص </w:t>
      </w:r>
      <w:r>
        <w:rPr>
          <w:rStyle w:val="FootnoteReference"/>
        </w:rPr>
        <w:footnoteReference w:id="297"/>
      </w:r>
      <w:r>
        <w:rPr>
          <w:rFonts w:ascii="IRNazanin" w:hAnsi="IRNazanin" w:eastAsia="IRNazanin" w:cs="IRNazanin"/>
          <w:lang w:bidi="fa-IR"/>
          <w:color w:val="111111"/>
          <w:sz w:val="28"/>
          <w:szCs w:val="28"/>
          <w:rtl/>
        </w:rPr>
        <w:t xml:space="preserve">النفس من المحرّمات واجب،و قوله صلّی اللّه علیه و آله:«وقع فی المحرّمات،و هلک من حیث لا یعلم».</w:t>
      </w:r>
    </w:p>
    <w:p>
      <w:pPr>
        <w:pStyle w:val="BookText"/>
      </w:pPr>
      <w:r>
        <w:rPr>
          <w:rFonts w:ascii="IRNazanin" w:hAnsi="IRNazanin" w:eastAsia="IRNazanin" w:cs="IRNazanin"/>
          <w:lang w:bidi="fa-IR"/>
          <w:color w:val="111111"/>
          <w:sz w:val="28"/>
          <w:szCs w:val="28"/>
          <w:rtl/>
        </w:rPr>
        <w:t xml:space="preserve">و دون هذا النبویّ </w:t>
      </w:r>
      <w:r>
        <w:rPr>
          <w:rStyle w:val="FootnoteReference"/>
        </w:rPr>
        <w:footnoteReference w:id="298"/>
      </w:r>
      <w:r>
        <w:rPr>
          <w:rFonts w:ascii="IRNazanin" w:hAnsi="IRNazanin" w:eastAsia="IRNazanin" w:cs="IRNazanin"/>
          <w:lang w:bidi="fa-IR"/>
          <w:color w:val="111111"/>
          <w:sz w:val="28"/>
          <w:szCs w:val="28"/>
          <w:rtl/>
        </w:rPr>
        <w:t xml:space="preserve">فی الظهور:النبویّ المرویّ عن أبی عبد اللّه علیه السّلام -فی کلام طویل-،و قد تقدّم </w:t>
      </w:r>
      <w:r>
        <w:rPr>
          <w:rStyle w:val="FootnoteReference"/>
        </w:rPr>
        <w:footnoteReference w:id="299"/>
      </w:r>
      <w:r>
        <w:rPr>
          <w:rFonts w:ascii="IRNazanin" w:hAnsi="IRNazanin" w:eastAsia="IRNazanin" w:cs="IRNazanin"/>
          <w:lang w:bidi="fa-IR"/>
          <w:color w:val="111111"/>
          <w:sz w:val="28"/>
          <w:szCs w:val="28"/>
          <w:rtl/>
        </w:rPr>
        <w:t xml:space="preserve">فی أخبار التوقّف،و کذا مرسلة الصدوق عن أمیر المؤمنین علیه السّلام </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83]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50" w:name="pg14411_142473"/>
    <w:bookmarkEnd w:id="50"/>
    <w:p>
      <w:pPr>
        <w:pStyle w:val="Heading6"/>
      </w:pPr>
      <w:bookmarkStart w:id="1069" w:name="_Toc104"/>
      <w:r>
        <w:t>[المناقشة فی الاستدلال]</w:t>
      </w:r>
      <w:bookmarkEnd w:id="1069"/>
    </w:p>
    <w:p>
      <w:pPr>
        <w:pStyle w:val="BookText"/>
      </w:pPr>
      <w:r>
        <w:rPr>
          <w:rFonts w:ascii="IRNazanin" w:hAnsi="IRNazanin" w:eastAsia="IRNazanin" w:cs="IRNazanin"/>
          <w:lang w:bidi="fa-IR"/>
          <w:color w:val="111111"/>
          <w:sz w:val="28"/>
          <w:szCs w:val="28"/>
          <w:rtl/>
        </w:rPr>
        <w:t xml:space="preserve">و الجواب عنه:ما ذکرنا سابقا </w:t>
      </w:r>
      <w:r>
        <w:rPr>
          <w:rStyle w:val="FootnoteReference"/>
        </w:rPr>
        <w:footnoteReference w:id="301"/>
      </w:r>
      <w:r>
        <w:rPr>
          <w:rFonts w:ascii="IRNazanin" w:hAnsi="IRNazanin" w:eastAsia="IRNazanin" w:cs="IRNazanin"/>
          <w:lang w:bidi="fa-IR"/>
          <w:color w:val="111111"/>
          <w:sz w:val="28"/>
          <w:szCs w:val="28"/>
          <w:rtl/>
        </w:rPr>
        <w:t xml:space="preserve">،من أنّ الأمر بالاجتناب عن الشبهة إرشادیّ للتحرّز </w:t>
      </w:r>
      <w:r>
        <w:rPr>
          <w:rStyle w:val="FootnoteReference"/>
        </w:rPr>
        <w:footnoteReference w:id="302"/>
      </w:r>
      <w:r>
        <w:rPr>
          <w:rFonts w:ascii="IRNazanin" w:hAnsi="IRNazanin" w:eastAsia="IRNazanin" w:cs="IRNazanin"/>
          <w:lang w:bidi="fa-IR"/>
          <w:color w:val="111111"/>
          <w:sz w:val="28"/>
          <w:szCs w:val="28"/>
          <w:rtl/>
        </w:rPr>
        <w:t xml:space="preserve">عن المضرّة المحتملة فیها،فقد تکون المضرّة عقابا و حینئذ فالاجتناب لازم،و قد تکون مضرّة اخری فلا عقاب علی ارتکابها علی تقدیر الوقوع فی الهلکة،کالمشتبه بالحرام حیث لا یحتمل فیه الوقوع فی العقاب علی تقدیر الحرمة اتّفاقا؛لقبح العقاب علی الحکم الواقعیّ المجهول باعتراف الأخباریین أیضا،کما تقدّم </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Heading6"/>
      </w:pPr>
      <w:bookmarkStart w:id="1070" w:name="_Toc105"/>
      <w:r>
        <w:t>[لیس المقصود من الأمر بطرح الشبهات خصوص الإلزام]</w:t>
      </w:r>
      <w:bookmarkEnd w:id="1070"/>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 إذا تبیّن لک:أنّ المقصود من الأمر بطرح الشبهات لیس خصوص الإلزام،فیکفی حینئذ فی مناسبة ذکر کلام النبیّ صلّی اللّه علیه و آله المسوق للإرشاد:أنّه إذا کان الاجتناب عن المشتبه بالحرام راجحا </w:t>
      </w:r>
      <w:r>
        <w:rPr>
          <w:rStyle w:val="FootnoteReference"/>
        </w:rPr>
        <w:footnoteReference w:id="304"/>
      </w:r>
      <w:r>
        <w:rPr>
          <w:rFonts w:ascii="IRNazanin" w:hAnsi="IRNazanin" w:eastAsia="IRNazanin" w:cs="IRNazanin"/>
          <w:lang w:bidi="fa-IR"/>
          <w:color w:val="111111"/>
          <w:sz w:val="28"/>
          <w:szCs w:val="28"/>
          <w:rtl/>
        </w:rPr>
        <w:t xml:space="preserve">-تفصّیا عن الوقوع فی مفسدة الحرام-،فکذلک طرح الخبر الشاذّ واجب؛ لوجوب التحرّی عند تعارض الخبرین فی تحصیل ما هو أبعد من الریب و أقرب إلی الحقّ؛إذ لو قصّر فی ذلک و أخذ بالخبر الذی فیه الریب احتمل أن یکون قد أخذ بغیر ما هو الحجّة له،فیکون الحکم به حکما من غیر الطرق المنصوبة من قبل الشارع،فتأمّل.</w:t>
      </w:r>
    </w:p>
    <w:p>
      <w:pPr>
        <w:pStyle w:val="Heading6"/>
      </w:pPr>
      <w:bookmarkStart w:id="1071" w:name="_Toc106"/>
      <w:r>
        <w:t>[المؤیّد لما ذکرنا امور:]</w:t>
      </w:r>
      <w:bookmarkEnd w:id="1071"/>
    </w:p>
    <w:p>
      <w:pPr>
        <w:pStyle w:val="Heading6"/>
      </w:pPr>
      <w:bookmarkStart w:id="1072" w:name="_Toc107"/>
      <w:r>
        <w:t>اشارة</w:t>
      </w:r>
      <w:bookmarkEnd w:id="1072"/>
    </w:p>
    <w:p>
      <w:pPr>
        <w:pStyle w:val="BookText"/>
      </w:pPr>
      <w:r>
        <w:rPr>
          <w:rFonts w:ascii="IRNazanin" w:hAnsi="IRNazanin" w:eastAsia="IRNazanin" w:cs="IRNazanin"/>
          <w:lang w:bidi="fa-IR"/>
          <w:color w:val="111111"/>
          <w:sz w:val="28"/>
          <w:szCs w:val="28"/>
          <w:rtl/>
        </w:rPr>
        <w:t xml:space="preserve">و یؤیّد ما ذکرنا:من أن النبویّ لیس واردا فی مقام الإلزام بترک الشبهات،امور:</w:t>
      </w:r>
    </w:p>
    <w:p>
      <w:pPr>
        <w:pStyle w:val="BookText"/>
      </w:pPr>
      <w:r>
        <w:rPr>
          <w:rFonts w:ascii="IRNazanin" w:hAnsi="IRNazanin" w:eastAsia="IRNazanin" w:cs="IRNazanin"/>
          <w:lang w:bidi="fa-IR"/>
          <w:color w:val="111111"/>
          <w:sz w:val="28"/>
          <w:szCs w:val="28"/>
          <w:rtl/>
        </w:rPr>
        <w:t xml:space="preserve">[شماره صفحه واقعی : 84]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51" w:name="pg14411_142474"/>
    <w:bookmarkEnd w:id="51"/>
    <w:p>
      <w:pPr>
        <w:pStyle w:val="Heading6"/>
      </w:pPr>
      <w:bookmarkStart w:id="1073" w:name="_Toc108"/>
      <w:r>
        <w:t>أحدها : عموم الشبهات للشبهة الموضوعیّة التحریمیّة</w:t>
      </w:r>
      <w:bookmarkEnd w:id="1073"/>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التی اعترف الأخباریّون بعدم وجوب الاجتناب عنها.</w:t>
      </w:r>
    </w:p>
    <w:p>
      <w:pPr>
        <w:pStyle w:val="BookText"/>
      </w:pPr>
      <w:r>
        <w:rPr>
          <w:rFonts w:ascii="IRNazanin" w:hAnsi="IRNazanin" w:eastAsia="IRNazanin" w:cs="IRNazanin"/>
          <w:lang w:bidi="fa-IR"/>
          <w:color w:val="111111"/>
          <w:sz w:val="28"/>
          <w:szCs w:val="28"/>
          <w:rtl/>
        </w:rPr>
        <w:t xml:space="preserve">و تخصیصه بالشبهة الحکمیّة-مع أنّه إخراج لأکثر الأفراد- مناف للسیاق؛فإنّ سیاق الروایة آب عن التخصیص؛لأنّه ظاهر فی الحصر،و لیس الشبهة الموضوعیّة من الحلال البیّن،و لو بنی علی کونها منه-لأجل أدلّة جواز ارتکابها-قلنا بمثله فی الشبهة الحکمیّة.</w:t>
      </w:r>
    </w:p>
    <w:p>
      <w:pPr>
        <w:pStyle w:val="Heading6"/>
      </w:pPr>
      <w:bookmarkStart w:id="1074" w:name="_Toc109"/>
      <w:r>
        <w:t>الثانی : [کون المراد جنس الشبهة]</w:t>
      </w:r>
      <w:bookmarkEnd w:id="1074"/>
    </w:p>
    <w:p>
      <w:pPr>
        <w:pStyle w:val="BookText"/>
      </w:pPr>
      <w:r>
        <w:rPr>
          <w:rFonts w:ascii="IRNazanin" w:hAnsi="IRNazanin" w:eastAsia="IRNazanin" w:cs="IRNazanin"/>
          <w:lang w:bidi="fa-IR"/>
          <w:color w:val="111111"/>
          <w:sz w:val="28"/>
          <w:szCs w:val="28"/>
          <w:rtl/>
        </w:rPr>
        <w:t xml:space="preserve">أنّه صلّی اللّه علیه و آله رتّب علی ارتکاب الشبهات الوقوع فی المحرّمات و الهلاک من حیث لا یعلم،و المراد </w:t>
      </w:r>
      <w:r>
        <w:rPr>
          <w:rStyle w:val="FootnoteReference"/>
        </w:rPr>
        <w:footnoteReference w:id="305"/>
      </w:r>
      <w:r>
        <w:rPr>
          <w:rFonts w:ascii="IRNazanin" w:hAnsi="IRNazanin" w:eastAsia="IRNazanin" w:cs="IRNazanin"/>
          <w:lang w:bidi="fa-IR"/>
          <w:color w:val="111111"/>
          <w:sz w:val="28"/>
          <w:szCs w:val="28"/>
          <w:rtl/>
        </w:rPr>
        <w:t xml:space="preserve">جنس الشبهة-لأنّه فی مقام بیان ما تردّد بین الحلال و الحرام،لا فی مقام التحذیر عن ارتکاب المجموع، مع أنّه ینافی استشهاد الإمام علیه السّلام-،و من المعلوم أنّ ارتکاب جنس الشبهة لا یوجب الوقوع فی الحرام و لا الهلاک من حیث لا یعلم إلاّ علی مجاز المشارفة؛کما یدلّ علیه بعض ما مضی </w:t>
      </w:r>
      <w:r>
        <w:rPr>
          <w:rStyle w:val="FootnoteReference"/>
        </w:rPr>
        <w:footnoteReference w:id="306"/>
      </w:r>
      <w:r>
        <w:rPr>
          <w:rFonts w:ascii="IRNazanin" w:hAnsi="IRNazanin" w:eastAsia="IRNazanin" w:cs="IRNazanin"/>
          <w:lang w:bidi="fa-IR"/>
          <w:color w:val="111111"/>
          <w:sz w:val="28"/>
          <w:szCs w:val="28"/>
          <w:rtl/>
        </w:rPr>
        <w:t xml:space="preserve">و ما یأتی </w:t>
      </w:r>
      <w:r>
        <w:rPr>
          <w:rStyle w:val="FootnoteReference"/>
        </w:rPr>
        <w:footnoteReference w:id="307"/>
      </w:r>
      <w:r>
        <w:rPr>
          <w:rFonts w:ascii="IRNazanin" w:hAnsi="IRNazanin" w:eastAsia="IRNazanin" w:cs="IRNazanin"/>
          <w:lang w:bidi="fa-IR"/>
          <w:color w:val="111111"/>
          <w:sz w:val="28"/>
          <w:szCs w:val="28"/>
          <w:rtl/>
        </w:rPr>
        <w:t xml:space="preserve">من الأخبار،فالاستدلال موقوف علی إثبات کبری،و هی:أنّ الإشراف علی الوقوع فی الحرام و الهلاک من حیث لا یعلم محرّم،من دون سبق علم به أصلا.</w:t>
      </w:r>
    </w:p>
    <w:p>
      <w:pPr>
        <w:pStyle w:val="Heading6"/>
      </w:pPr>
      <w:bookmarkStart w:id="1075" w:name="_Toc110"/>
      <w:r>
        <w:t>الثالث : الأخبار الکثیرة</w:t>
      </w:r>
      <w:bookmarkEnd w:id="1075"/>
    </w:p>
    <w:p>
      <w:pPr>
        <w:pStyle w:val="BookText"/>
      </w:pPr>
      <w:r>
        <w:rPr>
          <w:rFonts w:ascii="IRNazanin" w:hAnsi="IRNazanin" w:eastAsia="IRNazanin" w:cs="IRNazanin"/>
          <w:lang w:bidi="fa-IR"/>
          <w:color w:val="111111"/>
          <w:sz w:val="28"/>
          <w:szCs w:val="28"/>
          <w:rtl/>
        </w:rPr>
        <w:t xml:space="preserve">المساوقة لهذا الخبر الشریف،الظاهرة فی الاستحباب بقرائن مذکورة فیها:</w:t>
      </w:r>
    </w:p>
    <w:p>
      <w:pPr>
        <w:pStyle w:val="BookText"/>
      </w:pPr>
      <w:r>
        <w:rPr>
          <w:rFonts w:ascii="IRNazanin" w:hAnsi="IRNazanin" w:eastAsia="IRNazanin" w:cs="IRNazanin"/>
          <w:lang w:bidi="fa-IR"/>
          <w:color w:val="111111"/>
          <w:sz w:val="28"/>
          <w:szCs w:val="28"/>
          <w:rtl/>
        </w:rPr>
        <w:t xml:space="preserve">[شماره صفحه واقعی : 85]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منها:قول النبیّ صلّی اللّه علیه و آله فی روایة النعمان،و قد تقدّم </w:t>
      </w:r>
      <w:r>
        <w:rPr>
          <w:rStyle w:val="FootnoteReference"/>
        </w:rPr>
        <w:footnoteReference w:id="308"/>
      </w:r>
      <w:r>
        <w:rPr>
          <w:rFonts w:ascii="IRNazanin" w:hAnsi="IRNazanin" w:eastAsia="IRNazanin" w:cs="IRNazanin"/>
          <w:lang w:bidi="fa-IR"/>
          <w:color w:val="111111"/>
          <w:sz w:val="28"/>
          <w:szCs w:val="28"/>
          <w:rtl/>
        </w:rPr>
        <w:t xml:space="preserve">فی أخبار التوقّف </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منها:قول أمیر المؤمنین علیه السّلام فی مرسلة الصدوق،أنّه خطب و قال:«حلال بیّن و حرام بیّن و شبهات بین ذلک،فمن ترک ما اشتبه علیه من الإثم فهو لما استبان له أترک،و المعاصی حمی اللّه،فمن یرتع حولها یوشک أن یدخلها» </w:t>
      </w:r>
      <w:r>
        <w:rPr>
          <w:rStyle w:val="FootnoteReference"/>
        </w:rPr>
        <w:footnoteReference w:id="3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منها:روایة أبی جعفر الباقر علیه السّلام:«قال:قال جدّی رسول اللّه صلّی اللّه علیه و آله فی حدیث یأمر بترک الشبهات بین الحلال و الحرام:من رعی غنمه قرب الحمی نازعته نفسه إلی أن یرعاها فی الحمی،ألا:و إنّ لکلّ ملک حمی،و إنّ حمی اللّه محارمه،فاتّقوا حمی اللّه و محارمه» </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منها:ما ورد من:«أنّ فی حلال الدّنیا حسابا و فی حرامها عقابا و فی الشّبهات عتابا» </w:t>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منها:روایة فضیل بن عیاض:«قال:قلت لأبی عبد اللّه علیه السّلام:</w:t>
      </w:r>
    </w:p>
    <w:p>
      <w:pPr>
        <w:pStyle w:val="BookText"/>
      </w:pPr>
      <w:r>
        <w:rPr>
          <w:rFonts w:ascii="IRNazanin" w:hAnsi="IRNazanin" w:eastAsia="IRNazanin" w:cs="IRNazanin"/>
          <w:lang w:bidi="fa-IR"/>
          <w:color w:val="111111"/>
          <w:sz w:val="28"/>
          <w:szCs w:val="28"/>
          <w:rtl/>
        </w:rPr>
        <w:t xml:space="preserve">من الورع من النّاس؟قال:الذی یتورّع عن محارم اللّه و یجتنب</w:t>
      </w:r>
    </w:p>
    <w:p>
      <w:pPr>
        <w:pStyle w:val="BookText"/>
      </w:pPr>
      <w:r>
        <w:rPr>
          <w:rFonts w:ascii="IRNazanin" w:hAnsi="IRNazanin" w:eastAsia="IRNazanin" w:cs="IRNazanin"/>
          <w:lang w:bidi="fa-IR"/>
          <w:color w:val="111111"/>
          <w:sz w:val="28"/>
          <w:szCs w:val="28"/>
          <w:rtl/>
        </w:rPr>
        <w:t xml:space="preserve">[شماره صفحه واقعی : 86]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52" w:name="pg14411_142476"/>
    <w:bookmarkEnd w:id="52"/>
    <w:p>
      <w:pPr>
        <w:pStyle w:val="BookText"/>
      </w:pPr>
      <w:r>
        <w:rPr>
          <w:rFonts w:ascii="IRNazanin" w:hAnsi="IRNazanin" w:eastAsia="IRNazanin" w:cs="IRNazanin"/>
          <w:lang w:bidi="fa-IR"/>
          <w:color w:val="111111"/>
          <w:sz w:val="28"/>
          <w:szCs w:val="28"/>
          <w:rtl/>
        </w:rPr>
        <w:t xml:space="preserve">هؤلاء،فإذا لم یتّق الشّبهات وقع فی الحرام و هو لا یعرفه» </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p>
    <w:p>
      <w:pPr>
        <w:pStyle w:val="Heading6"/>
      </w:pPr>
      <w:bookmarkStart w:id="1076" w:name="_Toc111"/>
      <w:r>
        <w:t>[الدلیل العقلی علی وجوب الاحتیاط من وجهین:]</w:t>
      </w:r>
      <w:bookmarkEnd w:id="1076"/>
    </w:p>
    <w:p>
      <w:pPr>
        <w:pStyle w:val="Heading6"/>
      </w:pPr>
      <w:bookmarkStart w:id="1077" w:name="_Toc112"/>
      <w:r>
        <w:t>اشارة</w:t>
      </w:r>
      <w:bookmarkEnd w:id="1077"/>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 أمّا العقل،فتقریره بوجهین:</w:t>
      </w:r>
    </w:p>
    <w:p>
      <w:pPr>
        <w:pStyle w:val="Heading6"/>
      </w:pPr>
      <w:bookmarkStart w:id="1078" w:name="_Toc113"/>
      <w:r>
        <w:t>أحدهما: [العلم الإجمالی بوجود محرّمات کثیرة]</w:t>
      </w:r>
      <w:bookmarkEnd w:id="1078"/>
    </w:p>
    <w:p>
      <w:pPr>
        <w:pStyle w:val="Heading6"/>
      </w:pPr>
      <w:bookmarkStart w:id="1079" w:name="_Toc114"/>
      <w:r>
        <w:t>اشارة</w:t>
      </w:r>
      <w:bookmarkEnd w:id="1079"/>
    </w:p>
    <w:p>
      <w:pPr>
        <w:pStyle w:val="BookText"/>
      </w:pPr>
      <w:r>
        <w:rPr>
          <w:rFonts w:ascii="Amiri" w:hAnsi="Amiri" w:eastAsia="Amiri" w:cs="Amiri"/>
          <w:lang w:bidi="ar-SA"/>
          <w:color w:val="111111"/>
          <w:sz w:val="28"/>
          <w:szCs w:val="28"/>
          <w:rtl/>
        </w:rPr>
        <w:t xml:space="preserve">أنّا نعلم إجمالا قبل مراجعة الأدلّة الشرعیّة بمحرّمات کثیرة یجب -بمقتضی قوله تعالی: وَ مٰا نَهٰاکُمْ عَنْهُ فَانْتَهُوا </w:t>
      </w:r>
      <w:r>
        <w:rPr>
          <w:rStyle w:val="FootnoteReference"/>
        </w:rPr>
        <w:footnoteReference w:id="314"/>
      </w:r>
      <w:r>
        <w:rPr>
          <w:rFonts w:ascii="IRNazanin" w:hAnsi="IRNazanin" w:eastAsia="IRNazanin" w:cs="IRNazanin"/>
          <w:lang w:bidi="fa-IR"/>
          <w:color w:val="111111"/>
          <w:sz w:val="28"/>
          <w:szCs w:val="28"/>
          <w:rtl/>
        </w:rPr>
        <w:t xml:space="preserve">و نحوه-الخروج عن عهدة ترکها علی وجه الیقین بالاجتناب أو الیقین بعدم العقاب؛لأنّ الاشتغال الیقینیّ یستدعی الیقین بالبراءة </w:t>
      </w:r>
      <w:r>
        <w:rPr>
          <w:rStyle w:val="FootnoteReference"/>
        </w:rPr>
        <w:footnoteReference w:id="315"/>
      </w:r>
      <w:r>
        <w:rPr>
          <w:rFonts w:ascii="IRNazanin" w:hAnsi="IRNazanin" w:eastAsia="IRNazanin" w:cs="IRNazanin"/>
          <w:lang w:bidi="fa-IR"/>
          <w:color w:val="111111"/>
          <w:sz w:val="28"/>
          <w:szCs w:val="28"/>
          <w:rtl/>
        </w:rPr>
        <w:t xml:space="preserve">باتّفاق المجتهدین و الأخباریّین، و بعد مراجعة الأدلّة و العمل بها لا یقطع بالخروج عن جمیع تلک المحرّمات الواقعیّة،</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فلا بدّ من اجتناب کلّ ما احتمل </w:t>
      </w:r>
      <w:r>
        <w:rPr>
          <w:rStyle w:val="FootnoteReference"/>
        </w:rPr>
        <w:footnoteReference w:id="316"/>
      </w:r>
      <w:r>
        <w:rPr>
          <w:rFonts w:ascii="IRNazanin" w:hAnsi="IRNazanin" w:eastAsia="IRNazanin" w:cs="IRNazanin"/>
          <w:lang w:bidi="fa-IR"/>
          <w:color w:val="111111"/>
          <w:sz w:val="28"/>
          <w:szCs w:val="28"/>
          <w:rtl/>
        </w:rPr>
        <w:t xml:space="preserve">أن یکون منها إذا لم یکن هناک دلیل شرعیّ یدلّ علی حلّیته؛إذ مع هذا الدلیل یقطع بعدم العقاب علی الفعل علی تقدیر حرمته واقعا.</w:t>
      </w:r>
    </w:p>
    <w:p>
      <w:pPr>
        <w:pStyle w:val="BookText"/>
      </w:pPr>
      <w:r>
        <w:rPr>
          <w:rFonts w:ascii="IRNazanin" w:hAnsi="IRNazanin" w:eastAsia="IRNazanin" w:cs="IRNazanin"/>
          <w:lang w:bidi="fa-IR"/>
          <w:color w:val="111111"/>
          <w:sz w:val="28"/>
          <w:szCs w:val="28"/>
          <w:rtl/>
        </w:rPr>
        <w:t xml:space="preserve">فإن قلت:بعد مراجعة الأدلّة نعلم تفصیلا بحرمة امور کثیرة، و لا نعلم إجمالا بوجود ما عداها،فالاشتغال بما عدا المعلوم بالتفصیل غیر متیقّن حتّی یجب الاحتیاط.و بعبارة اخری:العلم الإجمالیّ قبل الرجوع إلی الأدلّة،و أمّا بعده فلیس هنا علم إجمالیّ.</w:t>
      </w:r>
    </w:p>
    <w:p>
      <w:pPr>
        <w:pStyle w:val="BookText"/>
      </w:pPr>
      <w:r>
        <w:rPr>
          <w:rFonts w:ascii="IRNazanin" w:hAnsi="IRNazanin" w:eastAsia="IRNazanin" w:cs="IRNazanin"/>
          <w:lang w:bidi="fa-IR"/>
          <w:color w:val="111111"/>
          <w:sz w:val="28"/>
          <w:szCs w:val="28"/>
          <w:rtl/>
        </w:rPr>
        <w:t xml:space="preserve">[شماره صفحه واقعی : 87]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قلت:إن ارید من الأدلّة ما یوجب العلم بالحکم الواقعیّ الأوّلیّ، فکلّ مراجع فی الفقه یعلم أنّ ذلک غیر میسّر؛لأنّ سند الأخبار لو فرض قطعیّا لکن دلالتها ظنّیّة.و إن ارید منها ما یعمّ الدلیل الظنّی المعتبر من الشارع فمراجعتها لا توجب </w:t>
      </w:r>
      <w:r>
        <w:rPr>
          <w:rStyle w:val="FootnoteReference"/>
        </w:rPr>
        <w:footnoteReference w:id="317"/>
      </w:r>
      <w:r>
        <w:rPr>
          <w:rFonts w:ascii="IRNazanin" w:hAnsi="IRNazanin" w:eastAsia="IRNazanin" w:cs="IRNazanin"/>
          <w:lang w:bidi="fa-IR"/>
          <w:color w:val="111111"/>
          <w:sz w:val="28"/>
          <w:szCs w:val="28"/>
          <w:rtl/>
        </w:rPr>
        <w:t xml:space="preserve">الیقین بالبراءة من ذلک التکلیف المعلوم إجمالا؛إذ لیس معنی اعتبار الدلیل الظنّی إلاّ وجوب الأخذ بمضمونه،فإن کان تحریما صار ذلک کأنّه أحد المحرّمات الواقعیّة، و إن کان تحلیلا کان اللازم منه عدم العقاب علی فعله و إن کان فی الواقع من المحرّمات،و هذا المعنی لا یوجب انحصار المحرّمات الواقعیّة فی مضامین تلک الأدلّة حتّی یحصل العلم بالبراءة بموافقتها،بل و لا یحصل الظنّ بالبراءة عن جمیع المحرّمات المعلومة إجمالا.</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 لیس الظنّ التفصیلیّ بحرمة جملة من الأفعال کالعلم التفصیلیّ بها؛ لأنّ العلم التفصیلیّ بنفسه مناف لذلک العلم الإجمالیّ،و الظنّ غیر مناف له،لا بنفسه و لا بملاحظة اعتباره شرعا علی الوجه المذکور.</w:t>
      </w:r>
    </w:p>
    <w:p>
      <w:pPr>
        <w:pStyle w:val="BookText"/>
      </w:pPr>
      <w:r>
        <w:rPr>
          <w:rFonts w:ascii="IRNazanin" w:hAnsi="IRNazanin" w:eastAsia="IRNazanin" w:cs="IRNazanin"/>
          <w:lang w:bidi="fa-IR"/>
          <w:color w:val="111111"/>
          <w:sz w:val="28"/>
          <w:szCs w:val="28"/>
          <w:rtl/>
        </w:rPr>
        <w:t xml:space="preserve">نعم،لو اعتبر الشارع هذه الأدلّة بحیث انقلب التکلیف إلی العمل بمؤدّاها بحیث یکون هو المکلّف به،کان ما عدا ما تضمّنه الأدلّة من محتملات التحریم خارجا عن المکلّف به،فلا یجب الاحتیاط فیها.</w:t>
      </w:r>
    </w:p>
    <w:p>
      <w:pPr>
        <w:pStyle w:val="BookText"/>
      </w:pPr>
      <w:r>
        <w:rPr>
          <w:rFonts w:ascii="IRNazanin" w:hAnsi="IRNazanin" w:eastAsia="IRNazanin" w:cs="IRNazanin"/>
          <w:lang w:bidi="fa-IR"/>
          <w:color w:val="111111"/>
          <w:sz w:val="28"/>
          <w:szCs w:val="28"/>
          <w:rtl/>
        </w:rPr>
        <w:t xml:space="preserve">و بالجملة:فما نحن فیه بمنزلة قطیع غنم یعلم إجمالا بوجود محرّمات فیها،ثمّ قامت البیّنة علی تحریم جملة منها و تحلیل جملة و بقی الشکّ فی جملة ثالثة؛فإنّ مجرّد قیام البیّنة علی تحریم البعض لا یوجب</w:t>
      </w:r>
    </w:p>
    <w:p>
      <w:pPr>
        <w:pStyle w:val="BookText"/>
      </w:pPr>
      <w:r>
        <w:rPr>
          <w:rFonts w:ascii="IRNazanin" w:hAnsi="IRNazanin" w:eastAsia="IRNazanin" w:cs="IRNazanin"/>
          <w:lang w:bidi="fa-IR"/>
          <w:color w:val="111111"/>
          <w:sz w:val="28"/>
          <w:szCs w:val="28"/>
          <w:rtl/>
        </w:rPr>
        <w:t xml:space="preserve">[شماره صفحه واقعی : 88]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53" w:name="pg14411_142478"/>
    <w:bookmarkEnd w:id="53"/>
    <w:p>
      <w:pPr>
        <w:pStyle w:val="BookText"/>
      </w:pPr>
      <w:r>
        <w:rPr>
          <w:rFonts w:ascii="IRNazanin" w:hAnsi="IRNazanin" w:eastAsia="IRNazanin" w:cs="IRNazanin"/>
          <w:lang w:bidi="fa-IR"/>
          <w:color w:val="111111"/>
          <w:sz w:val="28"/>
          <w:szCs w:val="28"/>
          <w:rtl/>
        </w:rPr>
        <w:t xml:space="preserve">العلم و لا الظنّ بالبراءة من جمیع المحرّمات.</w:t>
      </w:r>
    </w:p>
    <w:p>
      <w:pPr>
        <w:pStyle w:val="BookText"/>
      </w:pPr>
      <w:r>
        <w:rPr>
          <w:rFonts w:ascii="IRNazanin" w:hAnsi="IRNazanin" w:eastAsia="IRNazanin" w:cs="IRNazanin"/>
          <w:lang w:bidi="fa-IR"/>
          <w:color w:val="111111"/>
          <w:sz w:val="28"/>
          <w:szCs w:val="28"/>
          <w:rtl/>
        </w:rPr>
        <w:t xml:space="preserve">نعم،لو اعتبر الشارع البیّنة فی المقام،بمعنی أنّه أمر بتشخیص المحرّمات المعلومة وجودا و عدما بهذا الطریق،رجع التکلیف إلی وجوب اجتناب ما قامت </w:t>
      </w:r>
      <w:r>
        <w:rPr>
          <w:rStyle w:val="FootnoteReference"/>
        </w:rPr>
        <w:footnoteReference w:id="318"/>
      </w:r>
      <w:r>
        <w:rPr>
          <w:rFonts w:ascii="IRNazanin" w:hAnsi="IRNazanin" w:eastAsia="IRNazanin" w:cs="IRNazanin"/>
          <w:lang w:bidi="fa-IR"/>
          <w:color w:val="111111"/>
          <w:sz w:val="28"/>
          <w:szCs w:val="28"/>
          <w:rtl/>
        </w:rPr>
        <w:t xml:space="preserve">علیه البیّنة،لا الحرام الواقعیّ.</w:t>
      </w:r>
    </w:p>
    <w:p>
      <w:pPr>
        <w:pStyle w:val="Heading6"/>
      </w:pPr>
      <w:bookmarkStart w:id="1080" w:name="_Toc115"/>
      <w:r>
        <w:t>و الجواب [عن هذا الوجه]</w:t>
      </w:r>
      <w:bookmarkEnd w:id="1080"/>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أوّلا:منع تعلّق تکلیف غیر القادر علی تحصیل العلم إلاّ بما أدّی إلیه الطرق الغیر العلمیّة المنصوبة له،فهو مکلّف بالواقع بحسب تأدیة هذه الطرق،لا بالواقع من حیث هو،و لا بمؤدّی هذه الطرق من حیث هو حتّی یلزم التصویب أو ما یشبهه؛لأنّ ما ذکرناه هو المتحصّل من ثبوت الأحکام الواقعیّة للعالم و غیره و ثبوت التکلیف بالعمل بالطرق، و توضیحه فی محلّه،و حینئذ:فلا یکون ما شکّ فی تحریمه ممّا هو مکلّف به فعلا علی تقدیر حرمته واقعا.</w:t>
      </w:r>
    </w:p>
    <w:p>
      <w:pPr>
        <w:pStyle w:val="BookText"/>
      </w:pPr>
      <w:r>
        <w:rPr>
          <w:rFonts w:ascii="IRNazanin" w:hAnsi="IRNazanin" w:eastAsia="IRNazanin" w:cs="IRNazanin"/>
          <w:lang w:bidi="fa-IR"/>
          <w:color w:val="111111"/>
          <w:sz w:val="28"/>
          <w:szCs w:val="28"/>
          <w:rtl/>
        </w:rPr>
        <w:t xml:space="preserve">و ثانیا:سلّمنا التکلیف الفعلیّ بالمحرّمات الواقعیّة،إلاّ أنّ من المقرّر فی الشبهة المحصورة-کما سیجیء </w:t>
      </w:r>
      <w:r>
        <w:rPr>
          <w:rStyle w:val="FootnoteReference"/>
        </w:rPr>
        <w:footnoteReference w:id="319"/>
      </w:r>
      <w:r>
        <w:rPr>
          <w:rFonts w:ascii="IRNazanin" w:hAnsi="IRNazanin" w:eastAsia="IRNazanin" w:cs="IRNazanin"/>
          <w:lang w:bidi="fa-IR"/>
          <w:color w:val="111111"/>
          <w:sz w:val="28"/>
          <w:szCs w:val="28"/>
          <w:rtl/>
        </w:rPr>
        <w:t xml:space="preserve">إن شاء اللّه تعالی-أنّه إذا ثبت فی المشتبهات </w:t>
      </w:r>
      <w:r>
        <w:rPr>
          <w:rStyle w:val="FootnoteReference"/>
        </w:rPr>
        <w:footnoteReference w:id="320"/>
      </w:r>
      <w:r>
        <w:rPr>
          <w:rFonts w:ascii="IRNazanin" w:hAnsi="IRNazanin" w:eastAsia="IRNazanin" w:cs="IRNazanin"/>
          <w:lang w:bidi="fa-IR"/>
          <w:color w:val="111111"/>
          <w:sz w:val="28"/>
          <w:szCs w:val="28"/>
          <w:rtl/>
        </w:rPr>
        <w:t xml:space="preserve">المحصورة وجوب الاجتناب عن جملة منها لدلیل آخر غیر التکلیف المتعلّق بالمعلوم الإجمالیّ،اقتصر فی الاجتناب علی ذلک القدر؛لاحتمال کون المعلوم الإجمالیّ هو هذا المقدار المعلوم حرمته تفصیلا،فأصالة الحلّ فی البعض الآخر غیر معارضة بالمثل،سواء کان</w:t>
      </w:r>
    </w:p>
    <w:p>
      <w:pPr>
        <w:pStyle w:val="BookText"/>
      </w:pPr>
      <w:r>
        <w:rPr>
          <w:rFonts w:ascii="IRNazanin" w:hAnsi="IRNazanin" w:eastAsia="IRNazanin" w:cs="IRNazanin"/>
          <w:lang w:bidi="fa-IR"/>
          <w:color w:val="111111"/>
          <w:sz w:val="28"/>
          <w:szCs w:val="28"/>
          <w:rtl/>
        </w:rPr>
        <w:t xml:space="preserve">[شماره صفحه واقعی : 89]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54" w:name="pg14411_142479"/>
    <w:bookmarkEnd w:id="54"/>
    <w:p>
      <w:pPr>
        <w:pStyle w:val="BookText"/>
      </w:pPr>
      <w:r>
        <w:rPr>
          <w:rFonts w:ascii="IRNazanin" w:hAnsi="IRNazanin" w:eastAsia="IRNazanin" w:cs="IRNazanin"/>
          <w:lang w:bidi="fa-IR"/>
          <w:color w:val="111111"/>
          <w:sz w:val="28"/>
          <w:szCs w:val="28"/>
          <w:rtl/>
        </w:rPr>
        <w:t xml:space="preserve">ذلک الدلیل سابقا علی العلم الإجمالیّ-کما إذا علم نجاسة أحد الإناءین تفصیلا فوقع قذرة فی أحدهما المجهول،فإنّه لا یجب الاجتناب عن الآخر؛لأنّ حرمة أحدهما معلومة تفصیلا-أم کان لاحقا،کما فی مثال الغنم المذکور؛فإنّ العلم الإجمالیّ غیر ثابت بعد العلم التفصیلی بحرمة بعضها بواسطة وجوب العمل بالبیّنة،و سیجیء توضیحه إن شاء اللّه تعالی،و ما نحن فیه من هذا القبیل.</w:t>
      </w:r>
    </w:p>
    <w:p>
      <w:pPr>
        <w:pStyle w:val="Heading6"/>
      </w:pPr>
      <w:bookmarkStart w:id="1081" w:name="_Toc116"/>
      <w:r>
        <w:t>الوجه الثانی [أصالة الحظر فی الأفعال] :</w:t>
      </w:r>
      <w:bookmarkEnd w:id="1081"/>
    </w:p>
    <w:p>
      <w:pPr>
        <w:pStyle w:val="Heading6"/>
      </w:pPr>
      <w:bookmarkStart w:id="1082" w:name="_Toc117"/>
      <w:r>
        <w:t>اشارة</w:t>
      </w:r>
      <w:bookmarkEnd w:id="1082"/>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أنّ الأصل فی الأفعال الغیر الضروریة الحظر،کما نسب إلی طائفة من الإمامیّة </w:t>
      </w:r>
      <w:r>
        <w:rPr>
          <w:rStyle w:val="FootnoteReference"/>
        </w:rPr>
        <w:footnoteReference w:id="321"/>
      </w:r>
      <w:r>
        <w:rPr>
          <w:rFonts w:ascii="IRNazanin" w:hAnsi="IRNazanin" w:eastAsia="IRNazanin" w:cs="IRNazanin"/>
          <w:lang w:bidi="fa-IR"/>
          <w:color w:val="111111"/>
          <w:sz w:val="28"/>
          <w:szCs w:val="28"/>
          <w:rtl/>
        </w:rPr>
        <w:t xml:space="preserve">،فیعمل به حتّی یثبت من الشرع الإباحة،و لم یرد الإباحة فی ما لا نصّ فیه.و ما ورد-علی تقدیر تسلیم دلالته-معارض بما ورد من الأمر بالتوقّف و الاحتیاط،فالمرجع إلی الأصل.</w:t>
      </w:r>
    </w:p>
    <w:p>
      <w:pPr>
        <w:pStyle w:val="BookText"/>
      </w:pPr>
      <w:r>
        <w:rPr>
          <w:rFonts w:ascii="IRNazanin" w:hAnsi="IRNazanin" w:eastAsia="IRNazanin" w:cs="IRNazanin"/>
          <w:lang w:bidi="fa-IR"/>
          <w:color w:val="111111"/>
          <w:sz w:val="28"/>
          <w:szCs w:val="28"/>
          <w:rtl/>
        </w:rPr>
        <w:t xml:space="preserve">و لو تنزّلنا عن ذلک فالوقف،کما علیه الشیخان قدّس سرّهما </w:t>
      </w:r>
      <w:r>
        <w:rPr>
          <w:rStyle w:val="FootnoteReference"/>
        </w:rPr>
        <w:footnoteReference w:id="322"/>
      </w:r>
      <w:r>
        <w:rPr>
          <w:rFonts w:ascii="IRNazanin" w:hAnsi="IRNazanin" w:eastAsia="IRNazanin" w:cs="IRNazanin"/>
          <w:lang w:bidi="fa-IR"/>
          <w:color w:val="111111"/>
          <w:sz w:val="28"/>
          <w:szCs w:val="28"/>
          <w:rtl/>
        </w:rPr>
        <w:t xml:space="preserve">.و احتجّ علیه فی العدّة:بأنّ الإقدام علی ما لا یؤمن المفسدة فیه کالإقدام علی ما یعلم فیه المفسدة </w:t>
      </w:r>
      <w:r>
        <w:rPr>
          <w:rStyle w:val="FootnoteReference"/>
        </w:rPr>
        <w:footnoteReference w:id="3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جزم بهذه القضیّة السیّد أبو المکارم فی الغنیة </w:t>
      </w:r>
      <w:r>
        <w:rPr>
          <w:rStyle w:val="FootnoteReference"/>
        </w:rPr>
        <w:footnoteReference w:id="324"/>
      </w:r>
      <w:r>
        <w:rPr>
          <w:rFonts w:ascii="IRNazanin" w:hAnsi="IRNazanin" w:eastAsia="IRNazanin" w:cs="IRNazanin"/>
          <w:lang w:bidi="fa-IR"/>
          <w:color w:val="111111"/>
          <w:sz w:val="28"/>
          <w:szCs w:val="28"/>
          <w:rtl/>
        </w:rPr>
        <w:t xml:space="preserve">،و إن قال</w:t>
      </w:r>
    </w:p>
    <w:p>
      <w:pPr>
        <w:pStyle w:val="BookText"/>
      </w:pPr>
      <w:r>
        <w:rPr>
          <w:rFonts w:ascii="IRNazanin" w:hAnsi="IRNazanin" w:eastAsia="IRNazanin" w:cs="IRNazanin"/>
          <w:lang w:bidi="fa-IR"/>
          <w:color w:val="111111"/>
          <w:sz w:val="28"/>
          <w:szCs w:val="28"/>
          <w:rtl/>
        </w:rPr>
        <w:t xml:space="preserve">[شماره صفحه واقعی : 90]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55" w:name="pg14411_142480"/>
    <w:bookmarkEnd w:id="55"/>
    <w:p>
      <w:pPr>
        <w:pStyle w:val="BookText"/>
      </w:pPr>
      <w:r>
        <w:rPr>
          <w:rFonts w:ascii="Amiri" w:hAnsi="Amiri" w:eastAsia="Amiri" w:cs="Amiri"/>
          <w:lang w:bidi="ar-SA"/>
          <w:color w:val="111111"/>
          <w:sz w:val="28"/>
          <w:szCs w:val="28"/>
          <w:rtl/>
        </w:rPr>
        <w:t xml:space="preserve">بالإباحة </w:t>
      </w:r>
      <w:r>
        <w:rPr>
          <w:rStyle w:val="FootnoteReference"/>
        </w:rPr>
        <w:footnoteReference w:id="325"/>
      </w:r>
      <w:r>
        <w:rPr>
          <w:rStyle w:val="FootnoteReference"/>
        </w:rPr>
        <w:footnoteReference w:id="326"/>
      </w:r>
      <w:r>
        <w:rPr>
          <w:rFonts w:ascii="IRNazanin" w:hAnsi="IRNazanin" w:eastAsia="IRNazanin" w:cs="IRNazanin"/>
          <w:lang w:bidi="fa-IR"/>
          <w:color w:val="111111"/>
          <w:sz w:val="28"/>
          <w:szCs w:val="28"/>
          <w:rtl/>
        </w:rPr>
        <w:t xml:space="preserve">کالسیّد المرتضی رحمه اللّه </w:t>
      </w:r>
      <w:r>
        <w:rPr>
          <w:rStyle w:val="FootnoteReference"/>
        </w:rPr>
        <w:footnoteReference w:id="327"/>
      </w:r>
      <w:r>
        <w:rPr>
          <w:rFonts w:ascii="IRNazanin" w:hAnsi="IRNazanin" w:eastAsia="IRNazanin" w:cs="IRNazanin"/>
          <w:lang w:bidi="fa-IR"/>
          <w:color w:val="111111"/>
          <w:sz w:val="28"/>
          <w:szCs w:val="28"/>
          <w:rtl/>
        </w:rPr>
        <w:t xml:space="preserve">تعویلا علی قاعدة«اللطف»،و أنّه لو کان فی الفعل مفسدة لوجب علی الحکیم بیانه.</w:t>
      </w:r>
    </w:p>
    <w:p>
      <w:pPr>
        <w:pStyle w:val="BookText"/>
      </w:pPr>
      <w:r>
        <w:rPr>
          <w:rFonts w:ascii="IRNazanin" w:hAnsi="IRNazanin" w:eastAsia="IRNazanin" w:cs="IRNazanin"/>
          <w:lang w:bidi="fa-IR"/>
          <w:color w:val="111111"/>
          <w:sz w:val="28"/>
          <w:szCs w:val="28"/>
          <w:rtl/>
        </w:rPr>
        <w:t xml:space="preserve">لکن ردّها فی العدّة:بأنّه قد یکون المفسدة فی الإعلام و یکون المصلحة فی کون الفعل </w:t>
      </w:r>
      <w:r>
        <w:rPr>
          <w:rStyle w:val="FootnoteReference"/>
        </w:rPr>
        <w:footnoteReference w:id="328"/>
      </w:r>
      <w:r>
        <w:rPr>
          <w:rFonts w:ascii="IRNazanin" w:hAnsi="IRNazanin" w:eastAsia="IRNazanin" w:cs="IRNazanin"/>
          <w:lang w:bidi="fa-IR"/>
          <w:color w:val="111111"/>
          <w:sz w:val="28"/>
          <w:szCs w:val="28"/>
          <w:rtl/>
        </w:rPr>
        <w:t xml:space="preserve">علی الوقف </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Heading6"/>
      </w:pPr>
      <w:bookmarkStart w:id="1083" w:name="_Toc118"/>
      <w:r>
        <w:t>و الجواب [ عن هذا الوجه أیضا]</w:t>
      </w:r>
      <w:bookmarkEnd w:id="1083"/>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بعد تسلیم استقلال العقل بدفع الضرر،أنّه:إن ارید ما یتعلّق بأمر الآخرة من العقاب،فیجب علی الحکیم تعالی بیانه،فهو مع عدم البیان مأمون.</w:t>
      </w:r>
    </w:p>
    <w:p>
      <w:pPr>
        <w:pStyle w:val="BookText"/>
      </w:pPr>
      <w:r>
        <w:rPr>
          <w:rFonts w:ascii="IRNazanin" w:hAnsi="IRNazanin" w:eastAsia="IRNazanin" w:cs="IRNazanin"/>
          <w:lang w:bidi="fa-IR"/>
          <w:color w:val="111111"/>
          <w:sz w:val="28"/>
          <w:szCs w:val="28"/>
          <w:rtl/>
        </w:rPr>
        <w:t xml:space="preserve">و إن ارید غیره ممّا لا یدخل فی عنوان المؤاخذة من اللوازم المترتّبة مع الجهل أیضا،فوجوب دفعها غیر لازم عقلا؛إذ العقل لا یحکم بوجوب الاحتراز عن الضرر الدنیویّ المقطوع إذا کان لبعض الدواعی النفسانیّة،و قد جوّز الشارع بل أمر به فی بعض الموارد.و علی تقدیر الاستقلال فلیس ممّا یترتّب علیه العقاب؛لکونه من باب الشبهة الموضوعیّة-لأنّ المحرّم هو مفهوم الإضرار،و صدقه فی هذا المقام مشکوک،کصدق المسکر المعلوم التحریم علی هذا المائع الخاصّ-، و الشبهة الموضوعیّة لا یجب الاجتناب عنها باتّفاق الأخباریّین أیضا،</w:t>
      </w:r>
    </w:p>
    <w:p>
      <w:pPr>
        <w:pStyle w:val="BookText"/>
      </w:pPr>
      <w:r>
        <w:rPr>
          <w:rFonts w:ascii="IRNazanin" w:hAnsi="IRNazanin" w:eastAsia="IRNazanin" w:cs="IRNazanin"/>
          <w:lang w:bidi="fa-IR"/>
          <w:color w:val="111111"/>
          <w:sz w:val="28"/>
          <w:szCs w:val="28"/>
          <w:rtl/>
        </w:rPr>
        <w:t xml:space="preserve">[شماره صفحه واقعی : 91]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سیجیء تتمّة الکلام فی الشبهة الموضوعیّة </w:t>
      </w:r>
      <w:r>
        <w:rPr>
          <w:rStyle w:val="FootnoteReference"/>
        </w:rPr>
        <w:footnoteReference w:id="330"/>
      </w:r>
      <w:r>
        <w:rPr>
          <w:rFonts w:ascii="Amiri" w:hAnsi="Amiri" w:eastAsia="Amiri" w:cs="Amiri"/>
          <w:lang w:bidi="ar-SA"/>
          <w:color w:val="111111"/>
          <w:sz w:val="28"/>
          <w:szCs w:val="28"/>
          <w:rtl/>
        </w:rPr>
        <w:t xml:space="preserve">إن شاء اللّه.</w:t>
      </w:r>
    </w:p>
    <w:p>
      <w:pPr>
        <w:pStyle w:val="BookText"/>
      </w:pPr>
      <w:r>
        <w:rPr>
          <w:rFonts w:ascii="IRNazanin" w:hAnsi="IRNazanin" w:eastAsia="IRNazanin" w:cs="IRNazanin"/>
          <w:lang w:bidi="fa-IR"/>
          <w:color w:val="111111"/>
          <w:sz w:val="28"/>
          <w:szCs w:val="28"/>
          <w:rtl/>
        </w:rPr>
        <w:t xml:space="preserve">[شماره صفحه واقعی : 92]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56" w:name="pg14411_142482"/>
    <w:bookmarkEnd w:id="56"/>
    <w:p>
      <w:pPr>
        <w:pStyle w:val="Heading6"/>
      </w:pPr>
      <w:bookmarkStart w:id="1084" w:name="_Toc119"/>
      <w:r>
        <w:t>و ینبغی التنبیه علی امور:</w:t>
      </w:r>
      <w:bookmarkEnd w:id="1084"/>
    </w:p>
    <w:p>
      <w:pPr>
        <w:pStyle w:val="Heading6"/>
      </w:pPr>
      <w:bookmarkStart w:id="1085" w:name="_Toc120"/>
      <w:r>
        <w:t>الأوّل [:التفصیل المحکی عن المحقّق بین ما یعمّ به البلوی و غیره]</w:t>
      </w:r>
      <w:bookmarkEnd w:id="1085"/>
    </w:p>
    <w:p>
      <w:pPr>
        <w:pStyle w:val="Heading6"/>
      </w:pPr>
      <w:bookmarkStart w:id="1086" w:name="_Toc121"/>
      <w:r>
        <w:t>اشارة</w:t>
      </w:r>
      <w:bookmarkEnd w:id="1086"/>
    </w:p>
    <w:p>
      <w:pPr>
        <w:pStyle w:val="BookText"/>
      </w:pPr>
      <w:r>
        <w:rPr>
          <w:rFonts w:ascii="Amiri" w:hAnsi="Amiri" w:eastAsia="Amiri" w:cs="Amiri"/>
          <w:lang w:bidi="ar-SA"/>
          <w:color w:val="111111"/>
          <w:sz w:val="28"/>
          <w:szCs w:val="28"/>
          <w:rtl/>
        </w:rPr>
        <w:t xml:space="preserve">أنّ المحکیّ عن المحقّق </w:t>
      </w:r>
      <w:r>
        <w:rPr>
          <w:rStyle w:val="FootnoteReference"/>
        </w:rPr>
        <w:footnoteReference w:id="331"/>
      </w:r>
      <w:r>
        <w:rPr>
          <w:rFonts w:ascii="IRNazanin" w:hAnsi="IRNazanin" w:eastAsia="IRNazanin" w:cs="IRNazanin"/>
          <w:lang w:bidi="fa-IR"/>
          <w:color w:val="111111"/>
          <w:sz w:val="28"/>
          <w:szCs w:val="28"/>
          <w:rtl/>
        </w:rPr>
        <w:t xml:space="preserve">التفصیل فی اعتبار أصل البراءة بین ما یعمّ به البلوی و غیره،فیعتبر فی الأوّل دون الثانی،و لا بدّ من حکایة کلامه قدّس سرّه فی المعتبر و المعارج حتّی یتّضح حال النسبة،قال فی المعتبر:</w:t>
      </w:r>
    </w:p>
    <w:p>
      <w:pPr>
        <w:pStyle w:val="BookText"/>
      </w:pPr>
      <w:r>
        <w:rPr>
          <w:rFonts w:ascii="IRNazanin" w:hAnsi="IRNazanin" w:eastAsia="IRNazanin" w:cs="IRNazanin"/>
          <w:lang w:bidi="fa-IR"/>
          <w:color w:val="111111"/>
          <w:sz w:val="28"/>
          <w:szCs w:val="28"/>
          <w:rtl/>
        </w:rPr>
        <w:t xml:space="preserve">الثالث-یعنی من أدلّة العقل-:الاستصحاب،و أقسامه ثلاثة:</w:t>
      </w:r>
    </w:p>
    <w:p>
      <w:pPr>
        <w:pStyle w:val="BookText"/>
      </w:pPr>
      <w:r>
        <w:rPr>
          <w:rFonts w:ascii="IRNazanin" w:hAnsi="IRNazanin" w:eastAsia="IRNazanin" w:cs="IRNazanin"/>
          <w:lang w:bidi="fa-IR"/>
          <w:color w:val="111111"/>
          <w:sz w:val="28"/>
          <w:szCs w:val="28"/>
          <w:rtl/>
        </w:rPr>
        <w:t xml:space="preserve">الأوّل:استصحاب حال العقل،و هو التمسّک بالبراءة الأصلیّة،کما یقال:الوتر لیس واجبا؛لأنّ الأصل براءة العهدة.و منه:أن یختلف العلماء فی حکم الدیة </w:t>
      </w:r>
      <w:r>
        <w:rPr>
          <w:rStyle w:val="FootnoteReference"/>
        </w:rPr>
        <w:footnoteReference w:id="332"/>
      </w:r>
      <w:r>
        <w:rPr>
          <w:rFonts w:ascii="IRNazanin" w:hAnsi="IRNazanin" w:eastAsia="IRNazanin" w:cs="IRNazanin"/>
          <w:lang w:bidi="fa-IR"/>
          <w:color w:val="111111"/>
          <w:sz w:val="28"/>
          <w:szCs w:val="28"/>
          <w:rtl/>
        </w:rPr>
        <w:t xml:space="preserve">بین الأقلّ و الأکثر،کما فی دیة عین الدابّة المتردّدة بین النصف و الربع.</w:t>
      </w:r>
    </w:p>
    <w:p>
      <w:pPr>
        <w:pStyle w:val="BookText"/>
      </w:pPr>
      <w:r>
        <w:rPr>
          <w:rFonts w:ascii="IRNazanin" w:hAnsi="IRNazanin" w:eastAsia="IRNazanin" w:cs="IRNazanin"/>
          <w:lang w:bidi="fa-IR"/>
          <w:color w:val="111111"/>
          <w:sz w:val="28"/>
          <w:szCs w:val="28"/>
          <w:rtl/>
        </w:rPr>
        <w:t xml:space="preserve">إلی أن قال:</w:t>
      </w:r>
    </w:p>
    <w:p>
      <w:pPr>
        <w:pStyle w:val="BookText"/>
      </w:pPr>
      <w:r>
        <w:rPr>
          <w:rFonts w:ascii="IRNazanin" w:hAnsi="IRNazanin" w:eastAsia="IRNazanin" w:cs="IRNazanin"/>
          <w:lang w:bidi="fa-IR"/>
          <w:color w:val="111111"/>
          <w:sz w:val="28"/>
          <w:szCs w:val="28"/>
          <w:rtl/>
        </w:rPr>
        <w:t xml:space="preserve">الثانی:أن یقال:عدم الدلیل علی کذا،فیجب انتفاؤه.و هذا یصحّ فیما یعلم أنّه لو کان هنا دلیل لظفر به،أمّا لا مع ذلک فیجب التوقّف،و لا یکون ذلک الاستدلال حجّة.و منه القول بالإباحة لعدم</w:t>
      </w:r>
    </w:p>
    <w:p>
      <w:pPr>
        <w:pStyle w:val="BookText"/>
      </w:pPr>
      <w:r>
        <w:rPr>
          <w:rFonts w:ascii="IRNazanin" w:hAnsi="IRNazanin" w:eastAsia="IRNazanin" w:cs="IRNazanin"/>
          <w:lang w:bidi="fa-IR"/>
          <w:color w:val="111111"/>
          <w:sz w:val="28"/>
          <w:szCs w:val="28"/>
          <w:rtl/>
        </w:rPr>
        <w:t xml:space="preserve">[شماره صفحه واقعی : 93]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دلیل الوجوب و الحظر.</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الثالث:استصحاب حال الشرع.فاختار أنّه لیس بحجّة </w:t>
      </w:r>
      <w:r>
        <w:rPr>
          <w:rStyle w:val="FootnoteReference"/>
        </w:rPr>
        <w:footnoteReference w:id="333"/>
      </w:r>
      <w:r>
        <w:rPr>
          <w:rFonts w:ascii="IRNazanin" w:hAnsi="IRNazanin" w:eastAsia="IRNazanin" w:cs="IRNazanin"/>
          <w:lang w:bidi="fa-IR"/>
          <w:color w:val="111111"/>
          <w:sz w:val="28"/>
          <w:szCs w:val="28"/>
          <w:rtl/>
        </w:rPr>
        <w:t xml:space="preserve">،انتهی موضع الحاجة من کلامه قدّس سرّه.</w:t>
      </w:r>
    </w:p>
    <w:p>
      <w:pPr>
        <w:pStyle w:val="BookText"/>
      </w:pPr>
      <w:r>
        <w:rPr>
          <w:rFonts w:ascii="IRNazanin" w:hAnsi="IRNazanin" w:eastAsia="IRNazanin" w:cs="IRNazanin"/>
          <w:lang w:bidi="fa-IR"/>
          <w:color w:val="111111"/>
          <w:sz w:val="28"/>
          <w:szCs w:val="28"/>
          <w:rtl/>
        </w:rPr>
        <w:t xml:space="preserve">و ذکر فی المعارج،علی ما حکی عنه:</w:t>
      </w:r>
    </w:p>
    <w:p>
      <w:pPr>
        <w:pStyle w:val="BookText"/>
      </w:pPr>
      <w:r>
        <w:rPr>
          <w:rFonts w:ascii="IRNazanin" w:hAnsi="IRNazanin" w:eastAsia="IRNazanin" w:cs="IRNazanin"/>
          <w:lang w:bidi="fa-IR"/>
          <w:color w:val="111111"/>
          <w:sz w:val="28"/>
          <w:szCs w:val="28"/>
          <w:rtl/>
        </w:rPr>
        <w:t xml:space="preserve">أنّ الأصل:خلوّ الذمّة عن الشواغل الشرعیّة،فإذا ادّعی مدّع حکما شرعیّا جاز لخصمه أن یتمسّک فی انتفائه بالبراءة الأصلیّة، فیقول:لو کان ذلک الحکم ثابتا لکان علیه دلالة شرعیّة،لکن لیس کذلک،فیجب نفیه.و هذا الدلیل لا یتمّ إلاّ ببیان مقدّمتین:</w:t>
      </w:r>
    </w:p>
    <w:p>
      <w:pPr>
        <w:pStyle w:val="BookText"/>
      </w:pPr>
      <w:r>
        <w:rPr>
          <w:rFonts w:ascii="IRNazanin" w:hAnsi="IRNazanin" w:eastAsia="IRNazanin" w:cs="IRNazanin"/>
          <w:lang w:bidi="fa-IR"/>
          <w:color w:val="111111"/>
          <w:sz w:val="28"/>
          <w:szCs w:val="28"/>
          <w:rtl/>
        </w:rPr>
        <w:t xml:space="preserve">إحداهما:أنّه لا دلالة علیه شرعا،بأن ینضبط طرق الاستدلالات الشرعیّة و یبیّن عدم دلالتها علیه.</w:t>
      </w:r>
    </w:p>
    <w:p>
      <w:pPr>
        <w:pStyle w:val="BookText"/>
      </w:pPr>
      <w:r>
        <w:rPr>
          <w:rFonts w:ascii="IRNazanin" w:hAnsi="IRNazanin" w:eastAsia="IRNazanin" w:cs="IRNazanin"/>
          <w:lang w:bidi="fa-IR"/>
          <w:color w:val="111111"/>
          <w:sz w:val="28"/>
          <w:szCs w:val="28"/>
          <w:rtl/>
        </w:rPr>
        <w:t xml:space="preserve">و الثانیة:أن یبیّن أنّه لو کان هذا الحکم ثابتا لدلّت علیه إحدی تلک الدلائل؛لأنّه لو لم یکن علیه دلالة لزم التکلیف بما لا طریق للمکلّف إلی العلم به،و هو تکلیف بما لا یطاق،و لو کانت علیه دلالة غیر تلک الأدلّة لما کانت أدلّة الشرع منحصرة فیها،لکنّا بینّا انحصار الأحکام فی تلک الطرق،و عند ذلک:یتمّ کون ذلک دلیلا علی نفی الحکم </w:t>
      </w:r>
      <w:r>
        <w:rPr>
          <w:rStyle w:val="FootnoteReference"/>
        </w:rPr>
        <w:footnoteReference w:id="334"/>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حکی عن المحدّث الأسترابادیّ فی فوائده:</w:t>
      </w:r>
    </w:p>
    <w:p>
      <w:pPr>
        <w:pStyle w:val="BookText"/>
      </w:pPr>
      <w:r>
        <w:rPr>
          <w:rFonts w:ascii="IRNazanin" w:hAnsi="IRNazanin" w:eastAsia="IRNazanin" w:cs="IRNazanin"/>
          <w:lang w:bidi="fa-IR"/>
          <w:color w:val="111111"/>
          <w:sz w:val="28"/>
          <w:szCs w:val="28"/>
          <w:rtl/>
        </w:rPr>
        <w:t xml:space="preserve">أنّ تحقیق هذا الکلام هو:أنّ المحدّث الماهر إذا تتبّع الأحادیث المرویّة عنهم علیهم السّلام فی مسألة لو کان فیها حکم مخالف للأصل لاشتهر</w:t>
      </w:r>
    </w:p>
    <w:p>
      <w:pPr>
        <w:pStyle w:val="BookText"/>
      </w:pPr>
      <w:r>
        <w:rPr>
          <w:rFonts w:ascii="IRNazanin" w:hAnsi="IRNazanin" w:eastAsia="IRNazanin" w:cs="IRNazanin"/>
          <w:lang w:bidi="fa-IR"/>
          <w:color w:val="111111"/>
          <w:sz w:val="28"/>
          <w:szCs w:val="28"/>
          <w:rtl/>
        </w:rPr>
        <w:t xml:space="preserve">[شماره صفحه واقعی : 94]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57" w:name="pg14411_142484"/>
    <w:bookmarkEnd w:id="57"/>
    <w:p>
      <w:pPr>
        <w:pStyle w:val="BookText"/>
      </w:pPr>
      <w:r>
        <w:rPr>
          <w:rFonts w:ascii="IRNazanin" w:hAnsi="IRNazanin" w:eastAsia="IRNazanin" w:cs="IRNazanin"/>
          <w:lang w:bidi="fa-IR"/>
          <w:color w:val="111111"/>
          <w:sz w:val="28"/>
          <w:szCs w:val="28"/>
          <w:rtl/>
        </w:rPr>
        <w:t xml:space="preserve">لعموم البلوی بها،فإذا لم یظفر بحدیث دلّ علی ذلک الحکم ینبغی أن یحکم قطعا عادیّا بعدمه؛لأنّ جمّا غفیرا من أفاضل علمائنا-أربعة آلاف منهم تلامذة الصادق علیه السّلام،کما فی المعتبر </w:t>
      </w:r>
      <w:r>
        <w:rPr>
          <w:rStyle w:val="FootnoteReference"/>
        </w:rPr>
        <w:footnoteReference w:id="335"/>
      </w:r>
      <w:r>
        <w:rPr>
          <w:rFonts w:ascii="IRNazanin" w:hAnsi="IRNazanin" w:eastAsia="IRNazanin" w:cs="IRNazanin"/>
          <w:lang w:bidi="fa-IR"/>
          <w:color w:val="111111"/>
          <w:sz w:val="28"/>
          <w:szCs w:val="28"/>
          <w:rtl/>
        </w:rPr>
        <w:t xml:space="preserve">-کانوا ملازمین لأئمّتنا علیهم السّلام فی مدّة تزید علی ثلاثمائة سنة،و کان هممهم و همّ الأئمّة علیهم السّلام إظهار الدین عندهم و تألیفهم کلّ ما یسمعون منهم فی الاصول؛لئلاّ یحتاج الشیعة إلی سلوک طریق العامّة،و لتعمل </w:t>
      </w:r>
      <w:r>
        <w:rPr>
          <w:rStyle w:val="FootnoteReference"/>
        </w:rPr>
        <w:footnoteReference w:id="336"/>
      </w:r>
      <w:r>
        <w:rPr>
          <w:rFonts w:ascii="IRNazanin" w:hAnsi="IRNazanin" w:eastAsia="IRNazanin" w:cs="IRNazanin"/>
          <w:lang w:bidi="fa-IR"/>
          <w:color w:val="111111"/>
          <w:sz w:val="28"/>
          <w:szCs w:val="28"/>
          <w:rtl/>
        </w:rPr>
        <w:t xml:space="preserve">بما فی تلک الاصول فی زمان الغیبة الکبری؛فإنّ رسول اللّه صلّی اللّه علیه و آله و الأئمة علیهم السّلام لم یضیّعوا من فی أصلاب الرجال من شیعتهم،کما فی الروایات المتقدّمة،ففی مثل تلک الصورة یجوز التمسّک بأنّ نفی ظهور دلیل علی حکم مخالف للأصل دلیل علی عدم ذلک الحکم فی الواقع.</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إلی أن قال:</w:t>
      </w:r>
    </w:p>
    <w:p>
      <w:pPr>
        <w:pStyle w:val="BookText"/>
      </w:pPr>
      <w:r>
        <w:rPr>
          <w:rFonts w:ascii="IRNazanin" w:hAnsi="IRNazanin" w:eastAsia="IRNazanin" w:cs="IRNazanin"/>
          <w:lang w:bidi="fa-IR"/>
          <w:color w:val="111111"/>
          <w:sz w:val="28"/>
          <w:szCs w:val="28"/>
          <w:rtl/>
        </w:rPr>
        <w:t xml:space="preserve">و لا یجوز التمسّک به فی غیر المسألة المفروضة،إلاّ عند العامّة القائلین بأنّه صلّی اللّه علیه و آله أظهر عند أصحابه کلّ ما جاء به،و توفّرت الدواعی علی جهة واحدة علی نشره،و ما خصّ صلّی اللّه علیه و آله أحدا بتعلیم شیء لم یظهره عند غیره،و لم یقع بعده ما اقتضی اختفاء ما جاء به </w:t>
      </w:r>
      <w:r>
        <w:rPr>
          <w:rStyle w:val="FootnoteReference"/>
        </w:rPr>
        <w:footnoteReference w:id="337"/>
      </w:r>
      <w:r>
        <w:rPr>
          <w:rFonts w:ascii="IRNazanin" w:hAnsi="IRNazanin" w:eastAsia="IRNazanin" w:cs="IRNazanin"/>
          <w:lang w:bidi="fa-IR"/>
          <w:color w:val="111111"/>
          <w:sz w:val="28"/>
          <w:szCs w:val="28"/>
          <w:rtl/>
        </w:rPr>
        <w:t xml:space="preserve">،انتهی.</w:t>
      </w:r>
    </w:p>
    <w:p>
      <w:pPr>
        <w:pStyle w:val="Heading6"/>
      </w:pPr>
      <w:bookmarkStart w:id="1087" w:name="_Toc122"/>
      <w:r>
        <w:t>[المناقشة فیما أفاده المحقّق قدّس سرّه]</w:t>
      </w:r>
      <w:bookmarkEnd w:id="1087"/>
    </w:p>
    <w:p>
      <w:pPr>
        <w:pStyle w:val="BookText"/>
      </w:pPr>
      <w:r>
        <w:rPr>
          <w:rFonts w:ascii="IRNazanin" w:hAnsi="IRNazanin" w:eastAsia="IRNazanin" w:cs="IRNazanin"/>
          <w:lang w:bidi="fa-IR"/>
          <w:color w:val="111111"/>
          <w:sz w:val="28"/>
          <w:szCs w:val="28"/>
          <w:rtl/>
        </w:rPr>
        <w:t xml:space="preserve">أقول:المراد بالدلیل المصحّح للتکلیف-حتّی لا یلزم التکلیف بما لا طریق للمکلّف إلی العلم به-هو ما تیسّر للمکلّف الوصول إلیه</w:t>
      </w:r>
    </w:p>
    <w:p>
      <w:pPr>
        <w:pStyle w:val="BookText"/>
      </w:pPr>
      <w:r>
        <w:rPr>
          <w:rFonts w:ascii="IRNazanin" w:hAnsi="IRNazanin" w:eastAsia="IRNazanin" w:cs="IRNazanin"/>
          <w:lang w:bidi="fa-IR"/>
          <w:color w:val="111111"/>
          <w:sz w:val="28"/>
          <w:szCs w:val="28"/>
          <w:rtl/>
        </w:rPr>
        <w:t xml:space="preserve">[شماره صفحه واقعی : 95]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الاستفادة منه،فلا فرق بین ما لم یکن فی الواقع دلیل شاف </w:t>
      </w:r>
      <w:r>
        <w:rPr>
          <w:rStyle w:val="FootnoteReference"/>
        </w:rPr>
        <w:footnoteReference w:id="338"/>
      </w:r>
      <w:r>
        <w:rPr>
          <w:rFonts w:ascii="IRNazanin" w:hAnsi="IRNazanin" w:eastAsia="IRNazanin" w:cs="IRNazanin"/>
          <w:lang w:bidi="fa-IR"/>
          <w:color w:val="111111"/>
          <w:sz w:val="28"/>
          <w:szCs w:val="28"/>
          <w:rtl/>
        </w:rPr>
        <w:t xml:space="preserve">أصلا، أو کان و لم یتمکّن المکلّف من الوصول إلیه،أو تمکّن لکن بمشقّة رافعة للتکلیف،أو تیسّر و لم یتمّ دلالته فی نظر المستدلّ؛فإنّ الحکم الفعلیّ فی جمیع هذه الصور قبیح علی ما صرّح به المحقّق قدّس سرّه فی کلامه السابق </w:t>
      </w:r>
      <w:r>
        <w:rPr>
          <w:rStyle w:val="FootnoteReference"/>
        </w:rPr>
        <w:footnoteReference w:id="339"/>
      </w:r>
      <w:r>
        <w:rPr>
          <w:rFonts w:ascii="IRNazanin" w:hAnsi="IRNazanin" w:eastAsia="IRNazanin" w:cs="IRNazanin"/>
          <w:lang w:bidi="fa-IR"/>
          <w:color w:val="111111"/>
          <w:sz w:val="28"/>
          <w:szCs w:val="28"/>
          <w:rtl/>
        </w:rPr>
        <w:t xml:space="preserve">، سواء قلنا بأنّ وراء الحکم الفعلیّ حکما آخر-یسمّی حکما واقعیّا و </w:t>
      </w:r>
      <w:r>
        <w:rPr>
          <w:rStyle w:val="FootnoteReference"/>
        </w:rPr>
        <w:footnoteReference w:id="340"/>
      </w:r>
      <w:r>
        <w:rPr>
          <w:rFonts w:ascii="IRNazanin" w:hAnsi="IRNazanin" w:eastAsia="IRNazanin" w:cs="IRNazanin"/>
          <w:lang w:bidi="fa-IR"/>
          <w:color w:val="111111"/>
          <w:sz w:val="28"/>
          <w:szCs w:val="28"/>
          <w:rtl/>
        </w:rPr>
        <w:t xml:space="preserve">حکما شأنیّا-علی ما هو مقتضی مذهب المخطّئة،أم قلنا بأنّه لیس وراءه حکم آخر؛للاتّفاق علی أنّ مناط الثواب و العقاب و مدار التکلیف هو الحکم الفعلیّ.</w:t>
      </w:r>
    </w:p>
    <w:p>
      <w:pPr>
        <w:pStyle w:val="BookText"/>
      </w:pPr>
      <w:r>
        <w:rPr>
          <w:rFonts w:ascii="IRNazanin" w:hAnsi="IRNazanin" w:eastAsia="IRNazanin" w:cs="IRNazanin"/>
          <w:lang w:bidi="fa-IR"/>
          <w:color w:val="111111"/>
          <w:sz w:val="28"/>
          <w:szCs w:val="28"/>
          <w:rtl/>
        </w:rPr>
        <w:t xml:space="preserve">و حینئذ:فکلّ ما تتبّع المستنبط فی الأدلّة الشرعیّة فی نظره إلی أن علم من نفسه عدم تکلیفه بأزید من هذا المقدار من التتبّع،و لم یجد فیها ما یدلّ علی حکم مخالف للأصل،صحّ له دعوی القطع بانتفاء الحکم الفعلیّ.</w:t>
      </w:r>
    </w:p>
    <w:p>
      <w:pPr>
        <w:pStyle w:val="BookText"/>
      </w:pPr>
      <w:r>
        <w:rPr>
          <w:rFonts w:ascii="IRNazanin" w:hAnsi="IRNazanin" w:eastAsia="IRNazanin" w:cs="IRNazanin"/>
          <w:lang w:bidi="fa-IR"/>
          <w:color w:val="111111"/>
          <w:sz w:val="28"/>
          <w:szCs w:val="28"/>
          <w:rtl/>
        </w:rPr>
        <w:t xml:space="preserve">و لا فرق فی ذلک بین العامّ </w:t>
      </w:r>
      <w:r>
        <w:rPr>
          <w:rStyle w:val="FootnoteReference"/>
        </w:rPr>
        <w:footnoteReference w:id="341"/>
      </w:r>
      <w:r>
        <w:rPr>
          <w:rFonts w:ascii="IRNazanin" w:hAnsi="IRNazanin" w:eastAsia="IRNazanin" w:cs="IRNazanin"/>
          <w:lang w:bidi="fa-IR"/>
          <w:color w:val="111111"/>
          <w:sz w:val="28"/>
          <w:szCs w:val="28"/>
          <w:rtl/>
        </w:rPr>
        <w:t xml:space="preserve">البلوی و غیره،و لا بین العامّة و الخاصّة،و لا بین المخطّئة و المصوّبة،و لا بین المجتهدین و الأخباریّین، و لا بین أحکام الشرع و غیرها من أحکام سائر الشرائع و سائر الموالی بالنسبة إلی عبیدهم.</w:t>
      </w:r>
    </w:p>
    <w:p>
      <w:pPr>
        <w:pStyle w:val="BookText"/>
      </w:pPr>
      <w:r>
        <w:rPr>
          <w:rFonts w:ascii="IRNazanin" w:hAnsi="IRNazanin" w:eastAsia="IRNazanin" w:cs="IRNazanin"/>
          <w:lang w:bidi="fa-IR"/>
          <w:color w:val="111111"/>
          <w:sz w:val="28"/>
          <w:szCs w:val="28"/>
          <w:rtl/>
        </w:rPr>
        <w:t xml:space="preserve">هذا بالنسبة إلی الحکم الفعلیّ،</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 أمّا بالنسبة إلی الحکم الواقعیّ</w:t>
      </w:r>
    </w:p>
    <w:p>
      <w:pPr>
        <w:pStyle w:val="BookText"/>
      </w:pPr>
      <w:r>
        <w:rPr>
          <w:rFonts w:ascii="IRNazanin" w:hAnsi="IRNazanin" w:eastAsia="IRNazanin" w:cs="IRNazanin"/>
          <w:lang w:bidi="fa-IR"/>
          <w:color w:val="111111"/>
          <w:sz w:val="28"/>
          <w:szCs w:val="28"/>
          <w:rtl/>
        </w:rPr>
        <w:t xml:space="preserve">[شماره صفحه واقعی : 96]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النازل به جبرئیل علی النبیّ صلّی اللّه علیه و آله-لو سمّیناه حکما بالنسبة إلی الکلّ- فلا یجوز الاستدلال علی نفیه بما ذکره المحقّق قدّس سرّه </w:t>
      </w:r>
      <w:r>
        <w:rPr>
          <w:rStyle w:val="FootnoteReference"/>
        </w:rPr>
        <w:footnoteReference w:id="342"/>
      </w:r>
      <w:r>
        <w:rPr>
          <w:rFonts w:ascii="IRNazanin" w:hAnsi="IRNazanin" w:eastAsia="IRNazanin" w:cs="IRNazanin"/>
          <w:lang w:bidi="fa-IR"/>
          <w:color w:val="111111"/>
          <w:sz w:val="28"/>
          <w:szCs w:val="28"/>
          <w:rtl/>
        </w:rPr>
        <w:t xml:space="preserve">:من لزوم التکلیف بما لا طریق للمکلّف إلی العلم به؛لأنّ المفروض عدم إناطة التکلیف به.</w:t>
      </w:r>
    </w:p>
    <w:p>
      <w:pPr>
        <w:pStyle w:val="BookText"/>
      </w:pPr>
      <w:r>
        <w:rPr>
          <w:rFonts w:ascii="IRNazanin" w:hAnsi="IRNazanin" w:eastAsia="IRNazanin" w:cs="IRNazanin"/>
          <w:lang w:bidi="fa-IR"/>
          <w:color w:val="111111"/>
          <w:sz w:val="28"/>
          <w:szCs w:val="28"/>
          <w:rtl/>
        </w:rPr>
        <w:t xml:space="preserve">نعم،قد یظنّ من عدم وجدان الدلیل علیه بعدمه؛بعموم </w:t>
      </w:r>
      <w:r>
        <w:rPr>
          <w:rStyle w:val="FootnoteReference"/>
        </w:rPr>
        <w:footnoteReference w:id="343"/>
      </w:r>
      <w:r>
        <w:rPr>
          <w:rFonts w:ascii="IRNazanin" w:hAnsi="IRNazanin" w:eastAsia="IRNazanin" w:cs="IRNazanin"/>
          <w:lang w:bidi="fa-IR"/>
          <w:color w:val="111111"/>
          <w:sz w:val="28"/>
          <w:szCs w:val="28"/>
          <w:rtl/>
        </w:rPr>
        <w:t xml:space="preserve">البلوی به لا بمجرّده،بل مع ظنّ عدم المانع عن نشره فی أوّل الأمر من الشارع أو خلفائه أو من وصل إلیه.</w:t>
      </w:r>
    </w:p>
    <w:p>
      <w:pPr>
        <w:pStyle w:val="BookText"/>
      </w:pPr>
      <w:r>
        <w:rPr>
          <w:rFonts w:ascii="IRNazanin" w:hAnsi="IRNazanin" w:eastAsia="IRNazanin" w:cs="IRNazanin"/>
          <w:lang w:bidi="fa-IR"/>
          <w:color w:val="111111"/>
          <w:sz w:val="28"/>
          <w:szCs w:val="28"/>
          <w:rtl/>
        </w:rPr>
        <w:t xml:space="preserve">لکن هذا الظنّ لا دلیل علی اعتباره،و لا دخل له بأصل البراءة التی هی من الأدلّة العقلیّة،و لا بمسألة التکلیف بما لا یطاق،و لا بکلام المحقّق.</w:t>
      </w:r>
    </w:p>
    <w:p>
      <w:pPr>
        <w:pStyle w:val="BookText"/>
      </w:pPr>
      <w:r>
        <w:rPr>
          <w:rFonts w:ascii="Amiri" w:hAnsi="Amiri" w:eastAsia="Amiri" w:cs="Amiri"/>
          <w:lang w:bidi="ar-SA"/>
          <w:color w:val="111111"/>
          <w:sz w:val="28"/>
          <w:szCs w:val="28"/>
          <w:rtl/>
        </w:rPr>
        <w:t xml:space="preserve">فما تخیّله المحدّث تحقیقا لکلام المحقّق-مع أنّه غیر تامّ فی نفسه- أجنبیّ عنه بالمرّة.</w:t>
      </w:r>
    </w:p>
    <w:p>
      <w:pPr>
        <w:pStyle w:val="BookText"/>
      </w:pPr>
      <w:r>
        <w:rPr>
          <w:rFonts w:ascii="IRNazanin" w:hAnsi="IRNazanin" w:eastAsia="IRNazanin" w:cs="IRNazanin"/>
          <w:lang w:bidi="fa-IR"/>
          <w:color w:val="111111"/>
          <w:sz w:val="28"/>
          <w:szCs w:val="28"/>
          <w:rtl/>
        </w:rPr>
        <w:t xml:space="preserve">نعم،قد یستفاد من استصحاب البراءة السابقة:الظنّ بها فیما بعد الشرع-کما سیجیء عن بعضهم </w:t>
      </w:r>
      <w:r>
        <w:rPr>
          <w:rStyle w:val="FootnoteReference"/>
        </w:rPr>
        <w:footnoteReference w:id="344"/>
      </w:r>
      <w:r>
        <w:rPr>
          <w:rFonts w:ascii="IRNazanin" w:hAnsi="IRNazanin" w:eastAsia="IRNazanin" w:cs="IRNazanin"/>
          <w:lang w:bidi="fa-IR"/>
          <w:color w:val="111111"/>
          <w:sz w:val="28"/>
          <w:szCs w:val="28"/>
          <w:rtl/>
        </w:rPr>
        <w:t xml:space="preserve">-لکن لا من باب لزوم التکلیف بما لا یطاق الذی ذکره المحقّق.</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 من هنا یعلم:أنّ تغایر القسمین الأوّلین من الاستصحاب </w:t>
      </w:r>
      <w:r>
        <w:rPr>
          <w:rStyle w:val="FootnoteReference"/>
        </w:rPr>
        <w:footnoteReference w:id="345"/>
      </w:r>
      <w:r>
        <w:rPr>
          <w:rFonts w:ascii="IRNazanin" w:hAnsi="IRNazanin" w:eastAsia="IRNazanin" w:cs="IRNazanin"/>
          <w:lang w:bidi="fa-IR"/>
          <w:color w:val="111111"/>
          <w:sz w:val="28"/>
          <w:szCs w:val="28"/>
          <w:rtl/>
        </w:rPr>
        <w:t xml:space="preserve">باعتبار کیفیّة الاستدلال؛حیث إنّ مناط الاستدلال فی هذا القسم</w:t>
      </w:r>
    </w:p>
    <w:p>
      <w:pPr>
        <w:pStyle w:val="BookText"/>
      </w:pPr>
      <w:r>
        <w:rPr>
          <w:rFonts w:ascii="IRNazanin" w:hAnsi="IRNazanin" w:eastAsia="IRNazanin" w:cs="IRNazanin"/>
          <w:lang w:bidi="fa-IR"/>
          <w:color w:val="111111"/>
          <w:sz w:val="28"/>
          <w:szCs w:val="28"/>
          <w:rtl/>
        </w:rPr>
        <w:t xml:space="preserve">[شماره صفحه واقعی : 97]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الملازمة بین عدم الدلیل و عدم الحکم مع قطع النظر عن ملاحظة الحالة السابقة،فجعله من أقسام الاستصحاب مبنیّ علی إرادة مطلق الحکم علی طبق الحالة السابقة عند الشکّ و لو لدلیل آخر غیر الاتّکال علی الحالة السابقة،فیجری فیما لم یعلم فیه الحالة السابقة،و مناط الاستدلال فی القسم الأوّل ملاحظة الحالة السابقة حتّی مع عدم العلم بعدم الدلیل علی الحکم.</w:t>
      </w:r>
    </w:p>
    <w:p>
      <w:pPr>
        <w:pStyle w:val="BookText"/>
      </w:pPr>
      <w:r>
        <w:rPr>
          <w:rFonts w:ascii="IRNazanin" w:hAnsi="IRNazanin" w:eastAsia="IRNazanin" w:cs="IRNazanin"/>
          <w:lang w:bidi="fa-IR"/>
          <w:color w:val="111111"/>
          <w:sz w:val="28"/>
          <w:szCs w:val="28"/>
          <w:rtl/>
        </w:rPr>
        <w:t xml:space="preserve">و یشهد لما ذکرنا،من المغایرة الاعتباریّة:أنّ الشیخ لم یقل بوجوب مضیّ المتیمّم الواجد للماء فی أثناء صلاته لأجل الاستصحاب، و قال به لأجل أنّ عدم الدلیل دلیل العدم </w:t>
      </w:r>
      <w:r>
        <w:rPr>
          <w:rStyle w:val="FootnoteReference"/>
        </w:rPr>
        <w:footnoteReference w:id="3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نعم،هذا القسم الثانی أعمّ موردا من الأوّل؛لجریانه فی الأحکام العقلیّة و غیرها،کما ذکره جماعة من الاصولیّین </w:t>
      </w:r>
      <w:r>
        <w:rPr>
          <w:rStyle w:val="FootnoteReference"/>
        </w:rPr>
        <w:footnoteReference w:id="3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الحاصل:أنّه لا ینبغی الشکّ فی أنّ بناء المحقّق قدّس سرّه علی التمسّک بالبراءة الأصلیّة مع الشکّ فی الحرمة،کما یظهر من تتبّع فتاویه فی المعتبر </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98]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58" w:name="pg14411_142488"/>
    <w:bookmarkEnd w:id="58"/>
    <w:p>
      <w:pPr>
        <w:pStyle w:val="Heading6"/>
      </w:pPr>
      <w:bookmarkStart w:id="1088" w:name="_Toc123"/>
      <w:r>
        <w:t>الثانی [:هل أنّ أصالة الإباحة من الأدلّة الظنّیة أو من الاصول؟]</w:t>
      </w:r>
      <w:bookmarkEnd w:id="1088"/>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مقتضی الأدلّة المتقدّمة:کون الحکم الظاهریّ فی الفعل المشتبه الحکم هی الإباحة من غیر ملاحظة الظنّ بعدم تحریمه فی الواقع،فهذا الأصل یفید القطع بعدم اشتغال الذمّة،لا الظنّ بعدم الحکم واقعا،و لو أفاده لم یکن معتبرا.</w:t>
      </w:r>
    </w:p>
    <w:p>
      <w:pPr>
        <w:pStyle w:val="BookText"/>
      </w:pPr>
      <w:r>
        <w:rPr>
          <w:rFonts w:ascii="IRNazanin" w:hAnsi="IRNazanin" w:eastAsia="IRNazanin" w:cs="IRNazanin"/>
          <w:lang w:bidi="fa-IR"/>
          <w:color w:val="111111"/>
          <w:sz w:val="28"/>
          <w:szCs w:val="28"/>
          <w:rtl/>
        </w:rPr>
        <w:t xml:space="preserve">إلاّ أنّ الذی یظهر من جماعة کونه من الأدلّة الظنّیّة،منهم صاحب المعالم عند دفع الاعتراض عن بعض مقدّمات الدلیل الرابع الذی ذکره لحجّیة خبر الواحد </w:t>
      </w:r>
      <w:r>
        <w:rPr>
          <w:rStyle w:val="FootnoteReference"/>
        </w:rPr>
        <w:footnoteReference w:id="349"/>
      </w:r>
      <w:r>
        <w:rPr>
          <w:rFonts w:ascii="Amiri" w:hAnsi="Amiri" w:eastAsia="Amiri" w:cs="Amiri"/>
          <w:lang w:bidi="ar-SA"/>
          <w:color w:val="111111"/>
          <w:sz w:val="28"/>
          <w:szCs w:val="28"/>
          <w:rtl/>
        </w:rPr>
        <w:t xml:space="preserve">،و منهم شیخنا البهائیّ قدّس سرّه </w:t>
      </w:r>
      <w:r>
        <w:rPr>
          <w:rStyle w:val="FootnoteReference"/>
        </w:rPr>
        <w:footnoteReference w:id="350"/>
      </w:r>
      <w:r>
        <w:rPr>
          <w:rFonts w:ascii="IRNazanin" w:hAnsi="IRNazanin" w:eastAsia="IRNazanin" w:cs="IRNazanin"/>
          <w:lang w:bidi="fa-IR"/>
          <w:color w:val="111111"/>
          <w:sz w:val="28"/>
          <w:szCs w:val="28"/>
          <w:rtl/>
        </w:rPr>
        <w:t xml:space="preserve">،و لعلّ هذا هو المشهور بین الاصولیّین؛حیث لا یتمسّکون فیه إلاّ باستصحاب البراءة السابقة </w:t>
      </w:r>
      <w:r>
        <w:rPr>
          <w:rStyle w:val="FootnoteReference"/>
        </w:rPr>
        <w:footnoteReference w:id="351"/>
      </w:r>
      <w:r>
        <w:rPr>
          <w:rFonts w:ascii="IRNazanin" w:hAnsi="IRNazanin" w:eastAsia="IRNazanin" w:cs="IRNazanin"/>
          <w:lang w:bidi="fa-IR"/>
          <w:color w:val="111111"/>
          <w:sz w:val="28"/>
          <w:szCs w:val="28"/>
          <w:rtl/>
        </w:rPr>
        <w:t xml:space="preserve">،بل ظاهر المحقّق رحمه اللّه فی المعارج الإطباق علی التمسّک بالبراءة الأصلیّة حتّی یثبت الناقل </w:t>
      </w:r>
      <w:r>
        <w:rPr>
          <w:rStyle w:val="FootnoteReference"/>
        </w:rPr>
        <w:footnoteReference w:id="352"/>
      </w:r>
      <w:r>
        <w:rPr>
          <w:rFonts w:ascii="IRNazanin" w:hAnsi="IRNazanin" w:eastAsia="IRNazanin" w:cs="IRNazanin"/>
          <w:lang w:bidi="fa-IR"/>
          <w:color w:val="111111"/>
          <w:sz w:val="28"/>
          <w:szCs w:val="28"/>
          <w:rtl/>
        </w:rPr>
        <w:t xml:space="preserve">،و ظاهره أنّ اعتمادهم فی الحکم</w:t>
      </w:r>
    </w:p>
    <w:p>
      <w:pPr>
        <w:pStyle w:val="BookText"/>
      </w:pPr>
      <w:r>
        <w:rPr>
          <w:rFonts w:ascii="IRNazanin" w:hAnsi="IRNazanin" w:eastAsia="IRNazanin" w:cs="IRNazanin"/>
          <w:lang w:bidi="fa-IR"/>
          <w:color w:val="111111"/>
          <w:sz w:val="28"/>
          <w:szCs w:val="28"/>
          <w:rtl/>
        </w:rPr>
        <w:t xml:space="preserve">[شماره صفحه واقعی : 99]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بالبراءة علی کونها هی الحالة السابقة الأصلیّة.</w:t>
      </w:r>
    </w:p>
    <w:p>
      <w:pPr>
        <w:pStyle w:val="BookText"/>
      </w:pPr>
      <w:r>
        <w:rPr>
          <w:rFonts w:ascii="IRNazanin" w:hAnsi="IRNazanin" w:eastAsia="IRNazanin" w:cs="IRNazanin"/>
          <w:lang w:bidi="fa-IR"/>
          <w:color w:val="111111"/>
          <w:sz w:val="28"/>
          <w:szCs w:val="28"/>
          <w:rtl/>
        </w:rPr>
        <w:t xml:space="preserve">و التحقیق:أنّه لو فرض حصول الظنّ من الحالة السابقة فلا یعتبر، و الإجماع لیس علی اعتبار هذا الظنّ،و إنّما هو علی العمل علی طبق الحالة السابقة،و لا یحتاج إلیه بعد قیام الأخبار المتقدّمة </w:t>
      </w:r>
      <w:r>
        <w:rPr>
          <w:rStyle w:val="FootnoteReference"/>
        </w:rPr>
        <w:footnoteReference w:id="353"/>
      </w:r>
      <w:r>
        <w:rPr>
          <w:rFonts w:ascii="IRNazanin" w:hAnsi="IRNazanin" w:eastAsia="IRNazanin" w:cs="IRNazanin"/>
          <w:lang w:bidi="fa-IR"/>
          <w:color w:val="111111"/>
          <w:sz w:val="28"/>
          <w:szCs w:val="28"/>
          <w:rtl/>
        </w:rPr>
        <w:t xml:space="preserve">و حکم العقل.</w:t>
      </w:r>
    </w:p>
    <w:p>
      <w:pPr>
        <w:pStyle w:val="BookText"/>
      </w:pPr>
      <w:r>
        <w:rPr>
          <w:rFonts w:ascii="IRNazanin" w:hAnsi="IRNazanin" w:eastAsia="IRNazanin" w:cs="IRNazanin"/>
          <w:lang w:bidi="fa-IR"/>
          <w:color w:val="111111"/>
          <w:sz w:val="28"/>
          <w:szCs w:val="28"/>
          <w:rtl/>
        </w:rPr>
        <w:t xml:space="preserve">[شماره صفحه واقعی : 100]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59" w:name="pg14411_142490"/>
    <w:bookmarkEnd w:id="59"/>
    <w:p>
      <w:pPr>
        <w:pStyle w:val="Heading6"/>
      </w:pPr>
      <w:bookmarkStart w:id="1089" w:name="_Toc124"/>
      <w:r>
        <w:t>الثالث [:هل أنّ أوامر الاحتیاط للاستحباب أو للإرشاد؟]</w:t>
      </w:r>
      <w:bookmarkEnd w:id="1089"/>
    </w:p>
    <w:p>
      <w:pPr>
        <w:pStyle w:val="Heading6"/>
      </w:pPr>
      <w:bookmarkStart w:id="1090" w:name="_Toc125"/>
      <w:r>
        <w:t>اشارة</w:t>
      </w:r>
      <w:bookmarkEnd w:id="1090"/>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لا إشکال فی رجحان الاحتیاط عقلا و نقلا،کما یستفاد من الأخبار المذکورة و غیرها </w:t>
      </w:r>
      <w:r>
        <w:rPr>
          <w:rStyle w:val="FootnoteReference"/>
        </w:rPr>
        <w:footnoteReference w:id="3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هل الأوامر الشرعیّة للاستحباب،فیثاب علیه و إن لم یحصل به الاجتناب عن الحرام الواقعیّ،أو غیریّ بمعنی کونه مطلوبا لأجل التحرّز عن الهلکة المحتملة و الاطمئنان بعدم وقوعه فیها،فیکون الأمر به إرشادیا لا یترتّب علی موافقته و مخالفته سوی الخاصیّة المترتّبة علی الفعل أو الترک،نظیر أوامر الطبیب،و نظیر الأمر بالإشهاد عند المعاملة لئلاّ یقع التنازع؟ وجهان:</w:t>
      </w:r>
    </w:p>
    <w:p>
      <w:pPr>
        <w:pStyle w:val="Heading6"/>
      </w:pPr>
      <w:bookmarkStart w:id="1091" w:name="_Toc126"/>
      <w:r>
        <w:t>[الظاهر کونها للإرشاد]</w:t>
      </w:r>
      <w:bookmarkEnd w:id="1091"/>
    </w:p>
    <w:p>
      <w:pPr>
        <w:pStyle w:val="BookText"/>
      </w:pPr>
      <w:r>
        <w:rPr>
          <w:rFonts w:ascii="Amiri" w:hAnsi="Amiri" w:eastAsia="Amiri" w:cs="Amiri"/>
          <w:lang w:bidi="ar-SA"/>
          <w:color w:val="111111"/>
          <w:sz w:val="28"/>
          <w:szCs w:val="28"/>
          <w:rtl/>
        </w:rPr>
        <w:t xml:space="preserve">من ظاهر الأمر بعد فرض عدم إرادة الوجوب.</w:t>
      </w:r>
    </w:p>
    <w:p>
      <w:pPr>
        <w:pStyle w:val="BookText"/>
      </w:pPr>
      <w:r>
        <w:rPr>
          <w:rFonts w:ascii="IRNazanin" w:hAnsi="IRNazanin" w:eastAsia="IRNazanin" w:cs="IRNazanin"/>
          <w:lang w:bidi="fa-IR"/>
          <w:color w:val="111111"/>
          <w:sz w:val="28"/>
          <w:szCs w:val="28"/>
          <w:rtl/>
        </w:rPr>
        <w:t xml:space="preserve">و من سیاق جلّ الأخبار الواردة فی ذلک؛فإنّ الظاهر کونها مؤکّدة لحکم العقل بالاحتیاط.</w:t>
      </w:r>
    </w:p>
    <w:p>
      <w:pPr>
        <w:pStyle w:val="BookText"/>
      </w:pPr>
      <w:r>
        <w:rPr>
          <w:rFonts w:ascii="IRNazanin" w:hAnsi="IRNazanin" w:eastAsia="IRNazanin" w:cs="IRNazanin"/>
          <w:lang w:bidi="fa-IR"/>
          <w:color w:val="111111"/>
          <w:sz w:val="28"/>
          <w:szCs w:val="28"/>
          <w:rtl/>
        </w:rPr>
        <w:t xml:space="preserve">و الظاهر </w:t>
      </w:r>
      <w:r>
        <w:rPr>
          <w:rStyle w:val="FootnoteReference"/>
        </w:rPr>
        <w:footnoteReference w:id="355"/>
      </w:r>
      <w:r>
        <w:rPr>
          <w:rFonts w:ascii="IRNazanin" w:hAnsi="IRNazanin" w:eastAsia="IRNazanin" w:cs="IRNazanin"/>
          <w:lang w:bidi="fa-IR"/>
          <w:color w:val="111111"/>
          <w:sz w:val="28"/>
          <w:szCs w:val="28"/>
          <w:rtl/>
        </w:rPr>
        <w:t xml:space="preserve">أنّ حکم العقل بالاحتیاط من حیث هو احتیاط-علی</w:t>
      </w:r>
    </w:p>
    <w:p>
      <w:pPr>
        <w:pStyle w:val="BookText"/>
      </w:pPr>
      <w:r>
        <w:rPr>
          <w:rFonts w:ascii="IRNazanin" w:hAnsi="IRNazanin" w:eastAsia="IRNazanin" w:cs="IRNazanin"/>
          <w:lang w:bidi="fa-IR"/>
          <w:color w:val="111111"/>
          <w:sz w:val="28"/>
          <w:szCs w:val="28"/>
          <w:rtl/>
        </w:rPr>
        <w:t xml:space="preserve">[شماره صفحه واقعی : 101]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تقدیر </w:t>
      </w:r>
      <w:r>
        <w:rPr>
          <w:rStyle w:val="FootnoteReference"/>
        </w:rPr>
        <w:footnoteReference w:id="356"/>
      </w:r>
      <w:r>
        <w:rPr>
          <w:rFonts w:ascii="IRNazanin" w:hAnsi="IRNazanin" w:eastAsia="IRNazanin" w:cs="IRNazanin"/>
          <w:lang w:bidi="fa-IR"/>
          <w:color w:val="111111"/>
          <w:sz w:val="28"/>
          <w:szCs w:val="28"/>
          <w:rtl/>
        </w:rPr>
        <w:t xml:space="preserve">کونه إلزامیّا-لمحض الاطمئنان و دفع احتمال العقاب،و کما أنّه إذا تیقّن بالضرر یکون إلزام.العقل لمحض الفرار عن العقاب المتیقّن، فکذلک طلبه الغیر الإلزامیّ إذا احتمل الضرر.</w:t>
      </w:r>
    </w:p>
    <w:p>
      <w:pPr>
        <w:pStyle w:val="BookText"/>
      </w:pPr>
      <w:r>
        <w:rPr>
          <w:rFonts w:ascii="Amiri" w:hAnsi="Amiri" w:eastAsia="Amiri" w:cs="Amiri"/>
          <w:lang w:bidi="ar-SA"/>
          <w:color w:val="111111"/>
          <w:sz w:val="28"/>
          <w:szCs w:val="28"/>
          <w:rtl/>
        </w:rPr>
        <w:t xml:space="preserve">بل،و کما أنّ أمر الشارع بالإطاعة فی قوله تعالی: أَطِیعُوا اللّٰهَ وَ رَسُولَهُ </w:t>
      </w:r>
      <w:r>
        <w:rPr>
          <w:rStyle w:val="FootnoteReference"/>
        </w:rPr>
        <w:footnoteReference w:id="357"/>
      </w:r>
      <w:r>
        <w:rPr>
          <w:rFonts w:ascii="IRNazanin" w:hAnsi="IRNazanin" w:eastAsia="IRNazanin" w:cs="IRNazanin"/>
          <w:lang w:bidi="fa-IR"/>
          <w:color w:val="111111"/>
          <w:sz w:val="28"/>
          <w:szCs w:val="28"/>
          <w:rtl/>
        </w:rPr>
        <w:t xml:space="preserve">لمحض الإرشاد؛لئلاّ یقع العبد فی عقاب المعصیة و یفوته ثواب الطاعة،و لا یترتّب علی مخالفته سوی ذلک،فکذلک أمره بالأخذ بما یأمن معه من الضرر،و </w:t>
      </w:r>
      <w:r>
        <w:rPr>
          <w:rStyle w:val="FootnoteReference"/>
        </w:rPr>
        <w:footnoteReference w:id="358"/>
      </w:r>
      <w:r>
        <w:rPr>
          <w:rFonts w:ascii="IRNazanin" w:hAnsi="IRNazanin" w:eastAsia="IRNazanin" w:cs="IRNazanin"/>
          <w:lang w:bidi="fa-IR"/>
          <w:color w:val="111111"/>
          <w:sz w:val="28"/>
          <w:szCs w:val="28"/>
          <w:rtl/>
        </w:rPr>
        <w:t xml:space="preserve">لا یترتّب علی موافقته سوی الأمان المذکور،و لا علی مخالفته سوی الوقوع فی الحرام الواقعیّ علی تقدیر تحقّقه.</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 یشهد لما ذکرنا:أنّ ظاهر الأخبار حصر حکمة الاجتناب عن الشبهة فی التفصّی عن الهلکة الواقعیّة لئلاّ یقع فیها من حیث لا یعلم.</w:t>
      </w:r>
    </w:p>
    <w:p>
      <w:pPr>
        <w:pStyle w:val="BookText"/>
      </w:pPr>
      <w:r>
        <w:rPr>
          <w:rFonts w:ascii="IRNazanin" w:hAnsi="IRNazanin" w:eastAsia="IRNazanin" w:cs="IRNazanin"/>
          <w:lang w:bidi="fa-IR"/>
          <w:color w:val="111111"/>
          <w:sz w:val="28"/>
          <w:szCs w:val="28"/>
          <w:rtl/>
        </w:rPr>
        <w:t xml:space="preserve">و اقترانه مع الاجتناب عن الحرام المعلوم فی کونه ورعا،و من المعلوم أنّ الأمر باجتناب المحرّمات فی هذه الأخبار لیس إلاّ للإرشاد، لا یترتّب علی موافقتها و مخالفتها سوی الخاصیّة الموجودة فی المأمور به -و هو الاجتناب عن الحرام-أو فوتها،فکذلک الأمر باجتناب الشبهة لا یترتّب علی موافقته سوی ما یترتّب علی نفس الاجتناب لو لم یأمر به الشارع،بل فعله المکلّف حذرا من الوقوع فی الحرام </w:t>
      </w:r>
      <w:r>
        <w:rPr>
          <w:rStyle w:val="FootnoteReference"/>
        </w:rPr>
        <w:footnoteReference w:id="3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102]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60" w:name="pg14411_142492"/>
    <w:bookmarkEnd w:id="60"/>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 لا یبعد التزام ترتّب الثواب علیه؛من حیث إنّه انقیاد و إطاعة حکمیّة،فیکون حینئذ حال الاحتیاط و الأمر به حال نفس الإطاعة الحقیقیّة و الأمر بها فی کون الأمر لا یزید فیه علی ما ثبت فیه من المدح أو الثواب لو لا الأمر.</w:t>
      </w:r>
    </w:p>
    <w:p>
      <w:pPr>
        <w:pStyle w:val="Heading6"/>
      </w:pPr>
      <w:bookmarkStart w:id="1092" w:name="_Toc127"/>
      <w:r>
        <w:t>[ظاهر بعض الأخبار کونها للاستحباب]</w:t>
      </w:r>
      <w:bookmarkEnd w:id="1092"/>
    </w:p>
    <w:p>
      <w:pPr>
        <w:pStyle w:val="BookText"/>
      </w:pPr>
      <w:r>
        <w:rPr>
          <w:rFonts w:ascii="IRNazanin" w:hAnsi="IRNazanin" w:eastAsia="IRNazanin" w:cs="IRNazanin"/>
          <w:lang w:bidi="fa-IR"/>
          <w:color w:val="111111"/>
          <w:sz w:val="28"/>
          <w:szCs w:val="28"/>
          <w:rtl/>
        </w:rPr>
        <w:t xml:space="preserve">هذا،و لکنّ الظاهر من بعض الأخبار المتقدّمة </w:t>
      </w:r>
      <w:r>
        <w:rPr>
          <w:rStyle w:val="FootnoteReference"/>
        </w:rPr>
        <w:footnoteReference w:id="360"/>
      </w:r>
      <w:r>
        <w:rPr>
          <w:rFonts w:ascii="IRNazanin" w:hAnsi="IRNazanin" w:eastAsia="IRNazanin" w:cs="IRNazanin"/>
          <w:lang w:bidi="fa-IR"/>
          <w:color w:val="111111"/>
          <w:sz w:val="28"/>
          <w:szCs w:val="28"/>
          <w:rtl/>
        </w:rPr>
        <w:t xml:space="preserve">،مثل قوله علیه السّلام:</w:t>
      </w:r>
    </w:p>
    <w:p>
      <w:pPr>
        <w:pStyle w:val="BookText"/>
      </w:pPr>
      <w:r>
        <w:rPr>
          <w:rFonts w:ascii="IRNazanin" w:hAnsi="IRNazanin" w:eastAsia="IRNazanin" w:cs="IRNazanin"/>
          <w:lang w:bidi="fa-IR"/>
          <w:color w:val="111111"/>
          <w:sz w:val="28"/>
          <w:szCs w:val="28"/>
          <w:rtl/>
        </w:rPr>
        <w:t xml:space="preserve">«من ارتکب الشبهات نازعته نفسه إلی أن یقع فی المحرّمات»،و قوله:</w:t>
      </w:r>
    </w:p>
    <w:p>
      <w:pPr>
        <w:pStyle w:val="BookText"/>
      </w:pPr>
      <w:r>
        <w:rPr>
          <w:rFonts w:ascii="IRNazanin" w:hAnsi="IRNazanin" w:eastAsia="IRNazanin" w:cs="IRNazanin"/>
          <w:lang w:bidi="fa-IR"/>
          <w:color w:val="111111"/>
          <w:sz w:val="28"/>
          <w:szCs w:val="28"/>
          <w:rtl/>
        </w:rPr>
        <w:t xml:space="preserve">«من ترک الشبهات کان لما استبان له من الإثم أترک»،و قوله:«من یرتع حول الحمی یوشک أن یقع فیه»:هو کون الأمر به للاستحباب، و حکمته أن لا یهون علیه ارتکاب المحرّمات المعلومة،و لازم ذلک استحقاق الثواب علی إطاعة أوامر الاحتیاط،مضافا إلی الخاصیّة المترتّبة </w:t>
      </w:r>
      <w:r>
        <w:rPr>
          <w:rStyle w:val="FootnoteReference"/>
        </w:rPr>
        <w:footnoteReference w:id="361"/>
      </w:r>
      <w:r>
        <w:rPr>
          <w:rFonts w:ascii="IRNazanin" w:hAnsi="IRNazanin" w:eastAsia="IRNazanin" w:cs="IRNazanin"/>
          <w:lang w:bidi="fa-IR"/>
          <w:color w:val="111111"/>
          <w:sz w:val="28"/>
          <w:szCs w:val="28"/>
          <w:rtl/>
        </w:rPr>
        <w:t xml:space="preserve">علی نفسه.</w:t>
      </w:r>
    </w:p>
    <w:p>
      <w:pPr>
        <w:pStyle w:val="BookText"/>
      </w:pPr>
      <w:r>
        <w:rPr>
          <w:rFonts w:ascii="IRNazanin" w:hAnsi="IRNazanin" w:eastAsia="IRNazanin" w:cs="IRNazanin"/>
          <w:lang w:bidi="fa-IR"/>
          <w:color w:val="111111"/>
          <w:sz w:val="28"/>
          <w:szCs w:val="28"/>
          <w:rtl/>
        </w:rPr>
        <w:t xml:space="preserve">ثمّ لا فرق فیما ذکرناه-من حسن الاحتیاط بالترک-بین أفراد المسألة حتّی مورد دوران الأمر بین الاستحباب و التحریم،بناء علی أنّ دفع المفسدة الملزمة للترک أولی من جلب المصلحة الغیر الملزمة،و ظهور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-نفس الاحتیاط،أعنی ترک الشیء لداعی احتمال کونه مبغوضا عند الشارع»مع اختلاف بینهما. و بناء علی ما فی هامش(ص)لا بدّ أن یبدّل قوله:«و لا یبعد»ب«فلا یبعد».</w:t>
      </w:r>
    </w:p>
    <w:p>
      <w:pPr>
        <w:pStyle w:val="BookText"/>
      </w:pPr>
      <w:r>
        <w:rPr>
          <w:rFonts w:ascii="IRNazanin" w:hAnsi="IRNazanin" w:eastAsia="IRNazanin" w:cs="IRNazanin"/>
          <w:lang w:bidi="fa-IR"/>
          <w:color w:val="111111"/>
          <w:sz w:val="28"/>
          <w:szCs w:val="28"/>
          <w:rtl/>
        </w:rPr>
        <w:t xml:space="preserve">[شماره صفحه واقعی : 103]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الأخبار المتقدّمة فی ذلک أیضا.</w:t>
      </w:r>
    </w:p>
    <w:p>
      <w:pPr>
        <w:pStyle w:val="BookText"/>
      </w:pPr>
      <w:r>
        <w:rPr>
          <w:rFonts w:ascii="IRNazanin" w:hAnsi="IRNazanin" w:eastAsia="IRNazanin" w:cs="IRNazanin"/>
          <w:lang w:bidi="fa-IR"/>
          <w:color w:val="111111"/>
          <w:sz w:val="28"/>
          <w:szCs w:val="28"/>
          <w:rtl/>
        </w:rPr>
        <w:t xml:space="preserve">و لا یتوهّم:أنّه یلزم من ذلک عدم حسن الاحتیاط فیما احتمل کونه من العبادات المستحبّة بل حسن الاحتیاط بترکه؛إذ لا ینفکّ ذلک عن احتمال کون فعله تشریعا محرّما.</w:t>
      </w:r>
    </w:p>
    <w:p>
      <w:pPr>
        <w:pStyle w:val="BookText"/>
      </w:pPr>
      <w:r>
        <w:rPr>
          <w:rFonts w:ascii="IRNazanin" w:hAnsi="IRNazanin" w:eastAsia="IRNazanin" w:cs="IRNazanin"/>
          <w:lang w:bidi="fa-IR"/>
          <w:color w:val="111111"/>
          <w:sz w:val="28"/>
          <w:szCs w:val="28"/>
          <w:rtl/>
        </w:rPr>
        <w:t xml:space="preserve">لأنّ حرمة التشریع تابعة لتحقّقه،و مع إتیان ما احتمل کونها عبادة لداعی هذا الاحتمال لا یتحقّق موضوع التشریع؛و لذا قد یجب الاحتیاط مع هذا الاحتمال،کما فی الصلاة إلی أربع جهات أو فی الثوبین المشتبهین و غیرهما،و سیجیء زیادة توضیح لذلک إن شاء اللّه.</w:t>
      </w:r>
    </w:p>
    <w:p>
      <w:pPr>
        <w:pStyle w:val="BookText"/>
      </w:pPr>
      <w:r>
        <w:rPr>
          <w:rFonts w:ascii="IRNazanin" w:hAnsi="IRNazanin" w:eastAsia="IRNazanin" w:cs="IRNazanin"/>
          <w:lang w:bidi="fa-IR"/>
          <w:color w:val="111111"/>
          <w:sz w:val="28"/>
          <w:szCs w:val="28"/>
          <w:rtl/>
        </w:rPr>
        <w:t xml:space="preserve">[شماره صفحه واقعی : 104]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61" w:name="pg14411_142494"/>
    <w:bookmarkEnd w:id="61"/>
    <w:p>
      <w:pPr>
        <w:pStyle w:val="Heading6"/>
      </w:pPr>
      <w:bookmarkStart w:id="1093" w:name="_Toc128"/>
      <w:r>
        <w:t>الأمر الرابع [:المذاهب الأربعة المنسوبة إلی الأخباریین فیما لا نصّ فیه]</w:t>
      </w:r>
      <w:bookmarkEnd w:id="1093"/>
    </w:p>
    <w:p>
      <w:pPr>
        <w:pStyle w:val="Heading6"/>
      </w:pPr>
      <w:bookmarkStart w:id="1094" w:name="_Toc129"/>
      <w:r>
        <w:t>اشارة</w:t>
      </w:r>
      <w:bookmarkEnd w:id="1094"/>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نسب الوحید البهبهانی قدّس سرّه إلی الأخباریّین مذاهب أربعة فی ما لا نصّ فیه:التوقّف،و الاحتیاط،و الحرمة الظاهریّة،و الحرمة الواقعیّة </w:t>
      </w:r>
      <w:r>
        <w:rPr>
          <w:rStyle w:val="FootnoteReference"/>
        </w:rPr>
        <w:footnoteReference w:id="3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فیحتمل رجوعها إلی معنی واحد،و کون اختلافها فی التعبیر لأجل اختلاف ما رکنوا إلیه من أدلّة القول بوجوب اجتناب الشبهة.فبعضهم رکن إلی أخبار التوقّف،و آخر إلی أخبار الاحتیاط،و ثالث إلی أوامر ترک الشبهات مقدّمة لتجنّب المحرّمات،کحدیث التثلیث،و رابع إلی أوامر ترک المشتبهات من حیث إنّها مشتبهات؛فإنّ هذا الموضوع فی نفسه حکمه الواقعیّ الحرمة.</w:t>
      </w:r>
    </w:p>
    <w:p>
      <w:pPr>
        <w:pStyle w:val="Heading6"/>
      </w:pPr>
      <w:bookmarkStart w:id="1095" w:name="_Toc130"/>
      <w:r>
        <w:t>[التوقّف أعمّ من الاحتیاط بحسب المورد]</w:t>
      </w:r>
      <w:bookmarkEnd w:id="1095"/>
    </w:p>
    <w:p>
      <w:pPr>
        <w:pStyle w:val="BookText"/>
      </w:pPr>
      <w:r>
        <w:rPr>
          <w:rFonts w:ascii="IRNazanin" w:hAnsi="IRNazanin" w:eastAsia="IRNazanin" w:cs="IRNazanin"/>
          <w:lang w:bidi="fa-IR"/>
          <w:color w:val="111111"/>
          <w:sz w:val="28"/>
          <w:szCs w:val="28"/>
          <w:rtl/>
        </w:rPr>
        <w:t xml:space="preserve">و الأظهر:أنّ التوقّف أعمّ بحسب المورد من الاحتیاط؛لشموله الأحکام المشتبهة فی الأموال و الأعراض و النفوس ممّا یجب فیها الصلح أو القرعة،فمن عبّر به أراد وجوب التوقّف فی جمیع الوقائع الخالیة عن النصّ العامّ و الخاصّ.</w:t>
      </w:r>
    </w:p>
    <w:p>
      <w:pPr>
        <w:pStyle w:val="Heading6"/>
      </w:pPr>
      <w:bookmarkStart w:id="1096" w:name="_Toc131"/>
      <w:r>
        <w:t>و الاحتیاط أعمّ من موارد احتمال التحریم</w:t>
      </w:r>
      <w:bookmarkEnd w:id="1096"/>
    </w:p>
    <w:p>
      <w:pPr>
        <w:pStyle w:val="BookText"/>
      </w:pPr>
      <w:r>
        <w:rPr>
          <w:rFonts w:ascii="IRNazanin" w:hAnsi="IRNazanin" w:eastAsia="IRNazanin" w:cs="IRNazanin"/>
          <w:lang w:bidi="fa-IR"/>
          <w:color w:val="111111"/>
          <w:sz w:val="28"/>
          <w:szCs w:val="28"/>
          <w:rtl/>
        </w:rPr>
        <w:t xml:space="preserve">،فمن عبّر به أراد</w:t>
      </w:r>
    </w:p>
    <w:p>
      <w:pPr>
        <w:pStyle w:val="BookText"/>
      </w:pPr>
      <w:r>
        <w:rPr>
          <w:rFonts w:ascii="IRNazanin" w:hAnsi="IRNazanin" w:eastAsia="IRNazanin" w:cs="IRNazanin"/>
          <w:lang w:bidi="fa-IR"/>
          <w:color w:val="111111"/>
          <w:sz w:val="28"/>
          <w:szCs w:val="28"/>
          <w:rtl/>
        </w:rPr>
        <w:t xml:space="preserve">[شماره صفحه واقعی : 105]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62" w:name="pg14411_142495"/>
    <w:bookmarkEnd w:id="62"/>
    <w:p>
      <w:pPr>
        <w:pStyle w:val="BookText"/>
      </w:pPr>
      <w:r>
        <w:rPr>
          <w:rFonts w:ascii="IRNazanin" w:hAnsi="IRNazanin" w:eastAsia="IRNazanin" w:cs="IRNazanin"/>
          <w:lang w:bidi="fa-IR"/>
          <w:color w:val="111111"/>
          <w:sz w:val="28"/>
          <w:szCs w:val="28"/>
          <w:rtl/>
        </w:rPr>
        <w:t xml:space="preserve">الأعمّ من محتمل التحریم و محتمل الوجوب،مثل وجوب السورة أو وجوب الجزاء المردّد بین نصف الصید و کلّه.</w:t>
      </w:r>
    </w:p>
    <w:p>
      <w:pPr>
        <w:pStyle w:val="Heading6"/>
      </w:pPr>
      <w:bookmarkStart w:id="1097" w:name="_Toc132"/>
      <w:r>
        <w:t>[الفرق بین الحرمة الظاهریّة و الواقعیّة]</w:t>
      </w:r>
      <w:bookmarkEnd w:id="1097"/>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 أمّا الحرمة الظاهریّة و الواقعیّة،فیحتمل الفرق بینهما:بأنّ المعبّر بالاولی قد لاحظ الحرمة من حیث عروضها لموضوع محکوم بحکم واقعیّ،فالحرمة ظاهریّة.و المعبّر بالثانیة قد لاحظها من حیث عروضها لمشتبه الحکم،و هو موضوع من الموضوعات الواقعیّة،فالحرمة واقعیّة.</w:t>
      </w:r>
    </w:p>
    <w:p>
      <w:pPr>
        <w:pStyle w:val="BookText"/>
      </w:pPr>
      <w:r>
        <w:rPr>
          <w:rFonts w:ascii="IRNazanin" w:hAnsi="IRNazanin" w:eastAsia="IRNazanin" w:cs="IRNazanin"/>
          <w:lang w:bidi="fa-IR"/>
          <w:color w:val="111111"/>
          <w:sz w:val="28"/>
          <w:szCs w:val="28"/>
          <w:rtl/>
        </w:rPr>
        <w:t xml:space="preserve">أو بملاحظة أنّه إذا منع الشارع المکلّف-من حیث إنّه جاهل بالحکم- من الفعل،فلا یعقل إباحته له واقعا؛لأنّ معنی الإباحة الإذن و الترخیص، فتأمّل.</w:t>
      </w:r>
    </w:p>
    <w:p>
      <w:pPr>
        <w:pStyle w:val="BookText"/>
      </w:pPr>
      <w:r>
        <w:rPr>
          <w:rFonts w:ascii="IRNazanin" w:hAnsi="IRNazanin" w:eastAsia="IRNazanin" w:cs="IRNazanin"/>
          <w:lang w:bidi="fa-IR"/>
          <w:color w:val="111111"/>
          <w:sz w:val="28"/>
          <w:szCs w:val="28"/>
          <w:rtl/>
        </w:rPr>
        <w:t xml:space="preserve">و یحتمل الفرق:بأنّ القائل بالحرمة الظاهریّة یحتمل أن یکون الحکم فی الواقع هی الإباحة،إلاّ أنّ أدلّة الاجتناب عن الشبهات حرّمتها ظاهرا،و القائل بالحرمة الواقعیّة إنّما یتمسّک فی ذلک بأصالة الحظر فی الأشیاء،من باب قبح التصرّف فی ما یختصّ بالغیر بغیر إذنه.</w:t>
      </w:r>
    </w:p>
    <w:p>
      <w:pPr>
        <w:pStyle w:val="BookText"/>
      </w:pPr>
      <w:r>
        <w:rPr>
          <w:rFonts w:ascii="IRNazanin" w:hAnsi="IRNazanin" w:eastAsia="IRNazanin" w:cs="IRNazanin"/>
          <w:lang w:bidi="fa-IR"/>
          <w:color w:val="111111"/>
          <w:sz w:val="28"/>
          <w:szCs w:val="28"/>
          <w:rtl/>
        </w:rPr>
        <w:t xml:space="preserve">و یحتمل الفرق:بأنّ معنی الحرمة الظاهریّة حرمة الشیء فی الظاهر فیعاقب علیه مطلقا و إن کان مباحا فی الواقع،و القائل بالحرمة الواقعیّة یقول:بأنّه لا حرمة ظاهرا أصلا،فإن کان فی الواقع حراما استحقّ المؤاخذة علیه و إلاّ فلا،و لیس معناها أنّ المشتبه حرام واقعا،بل معناه أنّه لیس فیه إلاّ الحرمة الواقعیّة علی تقدیر ثبوتها،فإنّ هذا أحد الأقوال للأخباریّین فی المسألة علی ما ذکره العلاّمة الوحید-المتقدّم </w:t>
      </w:r>
      <w:r>
        <w:rPr>
          <w:rStyle w:val="FootnoteReference"/>
        </w:rPr>
        <w:footnoteReference w:id="3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106]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63" w:name="pg14411_142496"/>
    <w:bookmarkEnd w:id="63"/>
    <w:p>
      <w:pPr>
        <w:pStyle w:val="BookText"/>
      </w:pPr>
      <w:r>
        <w:rPr>
          <w:rFonts w:ascii="IRNazanin" w:hAnsi="IRNazanin" w:eastAsia="IRNazanin" w:cs="IRNazanin"/>
          <w:lang w:bidi="fa-IR"/>
          <w:color w:val="111111"/>
          <w:sz w:val="28"/>
          <w:szCs w:val="28"/>
          <w:rtl/>
        </w:rPr>
        <w:t xml:space="preserve">فی موضع آخر،حیث قال-بعد ردّ خبر التثلیث المتقدّم </w:t>
      </w:r>
      <w:r>
        <w:rPr>
          <w:rStyle w:val="FootnoteReference"/>
        </w:rPr>
        <w:footnoteReference w:id="364"/>
      </w:r>
      <w:r>
        <w:rPr>
          <w:rFonts w:ascii="IRNazanin" w:hAnsi="IRNazanin" w:eastAsia="IRNazanin" w:cs="IRNazanin"/>
          <w:lang w:bidi="fa-IR"/>
          <w:color w:val="111111"/>
          <w:sz w:val="28"/>
          <w:szCs w:val="28"/>
          <w:rtl/>
        </w:rPr>
        <w:t xml:space="preserve">:بأنّه لا یدلّ علی الحظر أو وجوب التوقّف،بل مقتضاه أنّ من ارتکب الشبهة و اتّفق کونها </w:t>
      </w:r>
      <w:r>
        <w:rPr>
          <w:rStyle w:val="FootnoteReference"/>
        </w:rPr>
        <w:footnoteReference w:id="365"/>
      </w:r>
      <w:r>
        <w:rPr>
          <w:rFonts w:ascii="IRNazanin" w:hAnsi="IRNazanin" w:eastAsia="IRNazanin" w:cs="IRNazanin"/>
          <w:lang w:bidi="fa-IR"/>
          <w:color w:val="111111"/>
          <w:sz w:val="28"/>
          <w:szCs w:val="28"/>
          <w:rtl/>
        </w:rPr>
        <w:t xml:space="preserve">حراما فی الواقع یهلک لا مطلقا-:و یخطر بخاطری أنّ من الأخباریّین من یقول بهذا المعنی </w:t>
      </w:r>
      <w:r>
        <w:rPr>
          <w:rStyle w:val="FootnoteReference"/>
        </w:rPr>
        <w:footnoteReference w:id="366"/>
      </w:r>
      <w:r>
        <w:rPr>
          <w:rFonts w:ascii="IRNazanin" w:hAnsi="IRNazanin" w:eastAsia="IRNazanin" w:cs="IRNazanin"/>
          <w:lang w:bidi="fa-IR"/>
          <w:color w:val="111111"/>
          <w:sz w:val="28"/>
          <w:szCs w:val="28"/>
          <w:rtl/>
        </w:rPr>
        <w:t xml:space="preserve">،انتهی.</w:t>
      </w:r>
    </w:p>
    <w:p>
      <w:pPr>
        <w:pStyle w:val="Heading6"/>
      </w:pPr>
      <w:bookmarkStart w:id="1098" w:name="_Toc133"/>
      <w:r>
        <w:t>[أوامر الاحتیاط إرشادیّة]</w:t>
      </w:r>
      <w:bookmarkEnd w:id="1098"/>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 لعلّ هذا القائل اعتمد فی ذلک علی ما ذکرنا سابقا </w:t>
      </w:r>
      <w:r>
        <w:rPr>
          <w:rStyle w:val="FootnoteReference"/>
        </w:rPr>
        <w:footnoteReference w:id="367"/>
      </w:r>
      <w:r>
        <w:rPr>
          <w:rFonts w:ascii="IRNazanin" w:hAnsi="IRNazanin" w:eastAsia="IRNazanin" w:cs="IRNazanin"/>
          <w:lang w:bidi="fa-IR"/>
          <w:color w:val="111111"/>
          <w:sz w:val="28"/>
          <w:szCs w:val="28"/>
          <w:rtl/>
        </w:rPr>
        <w:t xml:space="preserve">:من أنّ الأمر العقلیّ و النقلیّ بالاحتیاط للإرشاد،من قبیل أوامر الطبیب لا یترتّب علی موافقتها و مخالفتها عدا ما یترتّب علی نفس الفعل المأمور به أو ترکه لو لم یکن أمر.نعم،الإرشاد علی مذهب هذا الشخص علی وجه اللزوم-کما فی بعض أوامر الطبیب-لا للأولویّة کما اختاره القائلون بالبراءة.و أمّا ما یترتّب علی نفس الاحتیاط فلیس إلاّ التخلّص عن الهلاک المحتمل فی الفعل.</w:t>
      </w:r>
    </w:p>
    <w:p>
      <w:pPr>
        <w:pStyle w:val="BookText"/>
      </w:pPr>
      <w:r>
        <w:rPr>
          <w:rFonts w:ascii="IRNazanin" w:hAnsi="IRNazanin" w:eastAsia="IRNazanin" w:cs="IRNazanin"/>
          <w:lang w:bidi="fa-IR"/>
          <w:color w:val="111111"/>
          <w:sz w:val="28"/>
          <w:szCs w:val="28"/>
          <w:rtl/>
        </w:rPr>
        <w:t xml:space="preserve">نعم،فاعله یستحقّ المدح من حیث ترکه لما یحتمل أن یکون ترکه مطلوبا عند المولی،ففیه نوع من الانقیاد،و یستحقّ علیه المدح و الثواب.و أمّا ترکه فلیس فیه إلاّ التجرّی بارتکاب ما یحتمل أن یکون مبغوضا للمولی،و لا دلیل علی حرمة التجرّی علی هذا الوجه و استحقاق العقاب علیه.بل عرفت فی مسألة حجّیة العلم </w:t>
      </w:r>
      <w:r>
        <w:rPr>
          <w:rStyle w:val="FootnoteReference"/>
        </w:rPr>
        <w:footnoteReference w:id="368"/>
      </w:r>
      <w:r>
        <w:rPr>
          <w:rFonts w:ascii="Amiri" w:hAnsi="Amiri" w:eastAsia="Amiri" w:cs="Amiri"/>
          <w:lang w:bidi="ar-SA"/>
          <w:color w:val="111111"/>
          <w:sz w:val="28"/>
          <w:szCs w:val="28"/>
          <w:rtl/>
        </w:rPr>
        <w:t xml:space="preserve">:المناقشة</w:t>
      </w:r>
    </w:p>
    <w:p>
      <w:pPr>
        <w:pStyle w:val="BookText"/>
      </w:pPr>
      <w:r>
        <w:rPr>
          <w:rFonts w:ascii="IRNazanin" w:hAnsi="IRNazanin" w:eastAsia="IRNazanin" w:cs="IRNazanin"/>
          <w:lang w:bidi="fa-IR"/>
          <w:color w:val="111111"/>
          <w:sz w:val="28"/>
          <w:szCs w:val="28"/>
          <w:rtl/>
        </w:rPr>
        <w:t xml:space="preserve">[شماره صفحه واقعی : 107]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حرمة التجرّی بما هو أعظم من ذلک،کأن یکون الشیء مقطوع الحرمة بالجهل المرکّب،و لا یلزم من تسلیم استحقاق الثواب علی الانقیاد بفعل الاحتیاط،استحقاق العقاب بترک الاحتیاط و التجرّی بالإقدام </w:t>
      </w:r>
      <w:r>
        <w:rPr>
          <w:rStyle w:val="FootnoteReference"/>
        </w:rPr>
        <w:footnoteReference w:id="369"/>
      </w:r>
      <w:r>
        <w:rPr>
          <w:rFonts w:ascii="IRNazanin" w:hAnsi="IRNazanin" w:eastAsia="IRNazanin" w:cs="IRNazanin"/>
          <w:lang w:bidi="fa-IR"/>
          <w:color w:val="111111"/>
          <w:sz w:val="28"/>
          <w:szCs w:val="28"/>
          <w:rtl/>
        </w:rPr>
        <w:t xml:space="preserve">علی ما یحتمل.کونه مبغوضا.و سیأتی تتمّة توضیح ذلک فی الشبهة المحصورة إن شاء اللّه تعالی.</w:t>
      </w:r>
    </w:p>
    <w:p>
      <w:pPr>
        <w:pStyle w:val="BookText"/>
      </w:pPr>
      <w:r>
        <w:rPr>
          <w:rFonts w:ascii="IRNazanin" w:hAnsi="IRNazanin" w:eastAsia="IRNazanin" w:cs="IRNazanin"/>
          <w:lang w:bidi="fa-IR"/>
          <w:color w:val="111111"/>
          <w:sz w:val="28"/>
          <w:szCs w:val="28"/>
          <w:rtl/>
        </w:rPr>
        <w:t xml:space="preserve">[شماره صفحه واقعی : 108]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64" w:name="pg14411_142498"/>
    <w:bookmarkEnd w:id="64"/>
    <w:p>
      <w:pPr>
        <w:pStyle w:val="Heading6"/>
      </w:pPr>
      <w:bookmarkStart w:id="1099" w:name="_Toc134"/>
      <w:r>
        <w:t>الأمر الخامس [:أصل الإباحة إنّما هو مع عدم أصل موضوعیّ حاکم علیه]</w:t>
      </w:r>
      <w:bookmarkEnd w:id="1099"/>
    </w:p>
    <w:p>
      <w:pPr>
        <w:pStyle w:val="Heading6"/>
      </w:pPr>
      <w:bookmarkStart w:id="1100" w:name="_Toc135"/>
      <w:r>
        <w:t>اشارة</w:t>
      </w:r>
      <w:bookmarkEnd w:id="1100"/>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أنّ أصالة الإباحة فی مشتبه الحکم إنّما هو مع عدم أصل موضوعیّ حاکم علیها،فلو شکّ فی حلّ أکل حیوان مع العلم بقبوله التذکیة جری أصالة الحلّ،و إن شکّ فیه من جهة الشکّ فی قبوله للتذکیة فالحکم الحرمة؛لأصالة عدم التذکیة:لأنّ من شرائطها قابلیّة المحلّ،و هی مشکوکة،فیحکم بعدمها و کون الحیوان میتة.</w:t>
      </w:r>
    </w:p>
    <w:p>
      <w:pPr>
        <w:pStyle w:val="Heading6"/>
      </w:pPr>
      <w:bookmarkStart w:id="1101" w:name="_Toc136"/>
      <w:r>
        <w:t>[ما یظهر من المحقّق و الشهید الثانیین فی حیوان متولّد من طاهر و نجس و المناقشة فی ذلک]</w:t>
      </w:r>
      <w:bookmarkEnd w:id="1101"/>
    </w:p>
    <w:p>
      <w:pPr>
        <w:pStyle w:val="BookText"/>
      </w:pPr>
      <w:r>
        <w:rPr>
          <w:rFonts w:ascii="IRNazanin" w:hAnsi="IRNazanin" w:eastAsia="IRNazanin" w:cs="IRNazanin"/>
          <w:lang w:bidi="fa-IR"/>
          <w:color w:val="111111"/>
          <w:sz w:val="28"/>
          <w:szCs w:val="28"/>
          <w:rtl/>
        </w:rPr>
        <w:t xml:space="preserve">و یظهر من المحقّق و الشهید الثانیین </w:t>
      </w:r>
      <w:r>
        <w:rPr>
          <w:rStyle w:val="FootnoteReference"/>
        </w:rPr>
        <w:footnoteReference w:id="370"/>
      </w:r>
      <w:r>
        <w:rPr>
          <w:rFonts w:ascii="IRNazanin" w:hAnsi="IRNazanin" w:eastAsia="IRNazanin" w:cs="IRNazanin"/>
          <w:lang w:bidi="fa-IR"/>
          <w:color w:val="111111"/>
          <w:sz w:val="28"/>
          <w:szCs w:val="28"/>
          <w:rtl/>
        </w:rPr>
        <w:t xml:space="preserve">قدّس سرّهما فیما إذا شکّ فی حیوان متولّد من طاهر و نجس لا یتبعهما فی الاسم و لیس له مماثل:أنّ الأصل فیه الطهارة و الحرمة.</w:t>
      </w:r>
    </w:p>
    <w:p>
      <w:pPr>
        <w:pStyle w:val="BookText"/>
      </w:pPr>
      <w:r>
        <w:rPr>
          <w:rFonts w:ascii="IRNazanin" w:hAnsi="IRNazanin" w:eastAsia="IRNazanin" w:cs="IRNazanin"/>
          <w:lang w:bidi="fa-IR"/>
          <w:color w:val="111111"/>
          <w:sz w:val="28"/>
          <w:szCs w:val="28"/>
          <w:rtl/>
        </w:rPr>
        <w:t xml:space="preserve">فإن کان الوجه فیه أصالة عدم التذکیة،فإنّما یحسن مع الشکّ فی قبول التذکیة و عدم عموم یدلّ علی جواز تذکیة کلّ حیوان إلاّ ما خرج،کما ادّعاه بعض </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109]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65" w:name="pg14411_142499"/>
    <w:bookmarkEnd w:id="65"/>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 إن کان الوجه فیه أصالة حرمة أکل </w:t>
      </w:r>
      <w:r>
        <w:rPr>
          <w:rStyle w:val="FootnoteReference"/>
        </w:rPr>
        <w:footnoteReference w:id="372"/>
      </w:r>
      <w:r>
        <w:rPr>
          <w:rFonts w:ascii="IRNazanin" w:hAnsi="IRNazanin" w:eastAsia="IRNazanin" w:cs="IRNazanin"/>
          <w:lang w:bidi="fa-IR"/>
          <w:color w:val="111111"/>
          <w:sz w:val="28"/>
          <w:szCs w:val="28"/>
          <w:rtl/>
        </w:rPr>
        <w:t xml:space="preserve">لحمه قبل التذکیة،ففیه:</w:t>
      </w:r>
    </w:p>
    <w:p>
      <w:pPr>
        <w:pStyle w:val="BookText"/>
      </w:pPr>
      <w:r>
        <w:rPr>
          <w:rFonts w:ascii="IRNazanin" w:hAnsi="IRNazanin" w:eastAsia="IRNazanin" w:cs="IRNazanin"/>
          <w:lang w:bidi="fa-IR"/>
          <w:color w:val="111111"/>
          <w:sz w:val="28"/>
          <w:szCs w:val="28"/>
          <w:rtl/>
        </w:rPr>
        <w:t xml:space="preserve">أنّ الحرمة قبل التذکیة لأجل کونه من المیتة،فإذا فرض إثبات جواز تذکیته خرج عن المیتة،فیحتاج حرمته إلی موضوع آخر.و لو شکّ فی قبول التذکیة رجع إلی الوجه السابق،و کیف کان:فلا یعرف وجه لرفع الید عن أصالة الحلّ و الإباحة.</w:t>
      </w:r>
    </w:p>
    <w:p>
      <w:pPr>
        <w:pStyle w:val="Heading6"/>
      </w:pPr>
      <w:bookmarkStart w:id="1102" w:name="_Toc137"/>
      <w:r>
        <w:t>[ما ذکره شارح الروضة فی المسألة و المناقشة فیه]</w:t>
      </w:r>
      <w:bookmarkEnd w:id="1102"/>
    </w:p>
    <w:p>
      <w:pPr>
        <w:pStyle w:val="BookText"/>
      </w:pPr>
      <w:r>
        <w:rPr>
          <w:rFonts w:ascii="IRNazanin" w:hAnsi="IRNazanin" w:eastAsia="IRNazanin" w:cs="IRNazanin"/>
          <w:lang w:bidi="fa-IR"/>
          <w:color w:val="111111"/>
          <w:sz w:val="28"/>
          <w:szCs w:val="28"/>
          <w:rtl/>
        </w:rPr>
        <w:t xml:space="preserve">نعم،ذکر شارح الروضة-هنا </w:t>
      </w:r>
      <w:r>
        <w:rPr>
          <w:rStyle w:val="FootnoteReference"/>
        </w:rPr>
        <w:footnoteReference w:id="373"/>
      </w:r>
      <w:r>
        <w:rPr>
          <w:rFonts w:ascii="IRNazanin" w:hAnsi="IRNazanin" w:eastAsia="IRNazanin" w:cs="IRNazanin"/>
          <w:lang w:bidi="fa-IR"/>
          <w:color w:val="111111"/>
          <w:sz w:val="28"/>
          <w:szCs w:val="28"/>
          <w:rtl/>
        </w:rPr>
        <w:t xml:space="preserve">-وجها آخر،و نقله بعض محشّیها </w:t>
      </w:r>
      <w:r>
        <w:rPr>
          <w:rStyle w:val="FootnoteReference"/>
        </w:rPr>
        <w:footnoteReference w:id="374"/>
      </w:r>
      <w:r>
        <w:rPr>
          <w:rFonts w:ascii="IRNazanin" w:hAnsi="IRNazanin" w:eastAsia="IRNazanin" w:cs="IRNazanin"/>
          <w:lang w:bidi="fa-IR"/>
          <w:color w:val="111111"/>
          <w:sz w:val="28"/>
          <w:szCs w:val="28"/>
          <w:rtl/>
        </w:rPr>
        <w:t xml:space="preserve">عن الشهید فی تمهید القواعد </w:t>
      </w:r>
      <w:r>
        <w:rPr>
          <w:rStyle w:val="FootnoteReference"/>
        </w:rPr>
        <w:footnoteReference w:id="375"/>
      </w:r>
      <w:r>
        <w:rPr>
          <w:rFonts w:ascii="IRNazanin" w:hAnsi="IRNazanin" w:eastAsia="IRNazanin" w:cs="IRNazanin"/>
          <w:lang w:bidi="fa-IR"/>
          <w:color w:val="111111"/>
          <w:sz w:val="28"/>
          <w:szCs w:val="28"/>
          <w:rtl/>
        </w:rPr>
        <w:t xml:space="preserve">.قال شارح الروضة:إنّ کلاّ من النجاسات و المحلّلات محصورة،فإذا لم یدخل فی المحصور منها کان الأصل طهارته و حرمة لحمه،و هو ظاهر </w:t>
      </w:r>
      <w:r>
        <w:rPr>
          <w:rStyle w:val="FootnoteReference"/>
        </w:rPr>
        <w:footnoteReference w:id="376"/>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یمکن منع حصر المحلّلات،بل المحرّمات محصورة،و العقل و النقل دلّ علی إباحة ما لم یعلم حرمته؛و لذا یتمسّکون کثیرا بأصالة الحلّ فی باب الأطعمة و الأشربة.</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Amiri" w:hAnsi="Amiri" w:eastAsia="Amiri" w:cs="Amiri"/>
          <w:lang w:bidi="ar-SA"/>
          <w:color w:val="111111"/>
          <w:sz w:val="28"/>
          <w:szCs w:val="28"/>
          <w:rtl/>
        </w:rPr>
        <w:t xml:space="preserve">و لو قیل:إنّ الحلّ إنّما علّق بالطیّبات </w:t>
      </w:r>
      <w:r>
        <w:rPr>
          <w:rStyle w:val="FootnoteReference"/>
        </w:rPr>
        <w:footnoteReference w:id="377"/>
      </w:r>
      <w:r>
        <w:rPr>
          <w:rFonts w:ascii="Amiri" w:hAnsi="Amiri" w:eastAsia="Amiri" w:cs="Amiri"/>
          <w:lang w:bidi="ar-SA"/>
          <w:color w:val="111111"/>
          <w:sz w:val="28"/>
          <w:szCs w:val="28"/>
          <w:rtl/>
        </w:rPr>
        <w:t xml:space="preserve">فی قوله تعالی: قُلْ أُحِلَّ لَکُمُ الطَّیِّبٰاتُ </w:t>
      </w:r>
      <w:r>
        <w:rPr>
          <w:rStyle w:val="FootnoteReference"/>
        </w:rPr>
        <w:footnoteReference w:id="378"/>
      </w:r>
      <w:r>
        <w:rPr>
          <w:rFonts w:ascii="IRNazanin" w:hAnsi="IRNazanin" w:eastAsia="IRNazanin" w:cs="IRNazanin"/>
          <w:lang w:bidi="fa-IR"/>
          <w:color w:val="111111"/>
          <w:sz w:val="28"/>
          <w:szCs w:val="28"/>
          <w:rtl/>
        </w:rPr>
        <w:t xml:space="preserve">المفید للحصر فی مقام الجواب عن الاستفهام،فکلّ ما</w:t>
      </w:r>
    </w:p>
    <w:p>
      <w:pPr>
        <w:pStyle w:val="BookText"/>
      </w:pPr>
      <w:r>
        <w:rPr>
          <w:rFonts w:ascii="IRNazanin" w:hAnsi="IRNazanin" w:eastAsia="IRNazanin" w:cs="IRNazanin"/>
          <w:lang w:bidi="fa-IR"/>
          <w:color w:val="111111"/>
          <w:sz w:val="28"/>
          <w:szCs w:val="28"/>
          <w:rtl/>
        </w:rPr>
        <w:t xml:space="preserve">[شماره صفحه واقعی : 110]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شکّ فی کونه طیّبا فالأصل عدم إحلال الشارع له.</w:t>
      </w:r>
    </w:p>
    <w:p>
      <w:pPr>
        <w:pStyle w:val="BookText"/>
      </w:pPr>
      <w:r>
        <w:rPr>
          <w:rFonts w:ascii="Amiri" w:hAnsi="Amiri" w:eastAsia="Amiri" w:cs="Amiri"/>
          <w:lang w:bidi="ar-SA"/>
          <w:color w:val="111111"/>
          <w:sz w:val="28"/>
          <w:szCs w:val="28"/>
          <w:rtl/>
        </w:rPr>
        <w:t xml:space="preserve">قلنا:إنّ التحریم محمول فی القرآن علی«الخبائث»و«الفواحش»، فإذا شکّ فیه فالأصل عدم التحریم،و مع تعارض الأصلین یرجع إلی أصالة الإباحة،و عموم قوله تعالی: قُلْ لاٰ أَجِدُ فِی مٰا أُوحِیَ إِلَیَّ </w:t>
      </w:r>
      <w:r>
        <w:rPr>
          <w:rStyle w:val="FootnoteReference"/>
        </w:rPr>
        <w:footnoteReference w:id="379"/>
      </w:r>
      <w:r>
        <w:rPr>
          <w:rFonts w:ascii="IRNazanin" w:hAnsi="IRNazanin" w:eastAsia="IRNazanin" w:cs="IRNazanin"/>
          <w:lang w:bidi="fa-IR"/>
          <w:color w:val="111111"/>
          <w:sz w:val="28"/>
          <w:szCs w:val="28"/>
          <w:rtl/>
        </w:rPr>
        <w:t xml:space="preserve">، و قوله علیه السّلام:«لیس الحرام إلاّ ما حرّم اللّه» </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 أنّه یمکن فرض کون الحیوان ممّا ثبت کونه طیّبا.</w:t>
      </w:r>
    </w:p>
    <w:p>
      <w:pPr>
        <w:pStyle w:val="BookText"/>
      </w:pPr>
      <w:r>
        <w:rPr>
          <w:rFonts w:ascii="IRNazanin" w:hAnsi="IRNazanin" w:eastAsia="IRNazanin" w:cs="IRNazanin"/>
          <w:lang w:bidi="fa-IR"/>
          <w:color w:val="111111"/>
          <w:sz w:val="28"/>
          <w:szCs w:val="28"/>
          <w:rtl/>
        </w:rPr>
        <w:t xml:space="preserve">بل الطیّب ما لا یستقذر،فهو أمر عدمیّ یمکن إحرازه بالأصل عند الشکّ،فتدبّر.</w:t>
      </w:r>
    </w:p>
    <w:p>
      <w:pPr>
        <w:pStyle w:val="BookText"/>
      </w:pPr>
      <w:r>
        <w:rPr>
          <w:rFonts w:ascii="IRNazanin" w:hAnsi="IRNazanin" w:eastAsia="IRNazanin" w:cs="IRNazanin"/>
          <w:lang w:bidi="fa-IR"/>
          <w:color w:val="111111"/>
          <w:sz w:val="28"/>
          <w:szCs w:val="28"/>
          <w:rtl/>
        </w:rPr>
        <w:t xml:space="preserve">[شماره صفحه واقعی : 111]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66" w:name="pg14411_142501"/>
    <w:bookmarkEnd w:id="66"/>
    <w:p>
      <w:pPr>
        <w:pStyle w:val="Heading6"/>
      </w:pPr>
      <w:bookmarkStart w:id="1103" w:name="_Toc138"/>
      <w:r>
        <w:t>الأمر السادس [:اعتراض بعض الأخباریّین علی الاصولیّین و مناقشته]</w:t>
      </w:r>
      <w:bookmarkEnd w:id="1103"/>
    </w:p>
    <w:p>
      <w:pPr>
        <w:pStyle w:val="BookText"/>
      </w:pPr>
      <w:r>
        <w:rPr>
          <w:rFonts w:ascii="IRNazanin" w:hAnsi="IRNazanin" w:eastAsia="IRNazanin" w:cs="IRNazanin"/>
          <w:lang w:bidi="fa-IR"/>
          <w:color w:val="111111"/>
          <w:sz w:val="28"/>
          <w:szCs w:val="28"/>
          <w:rtl/>
        </w:rPr>
        <w:t xml:space="preserve">حکی عن بعض الأخباریین </w:t>
      </w:r>
      <w:r>
        <w:rPr>
          <w:rStyle w:val="FootnoteReference"/>
        </w:rPr>
        <w:footnoteReference w:id="381"/>
      </w:r>
      <w:r>
        <w:rPr>
          <w:rFonts w:ascii="IRNazanin" w:hAnsi="IRNazanin" w:eastAsia="IRNazanin" w:cs="IRNazanin"/>
          <w:lang w:bidi="fa-IR"/>
          <w:color w:val="111111"/>
          <w:sz w:val="28"/>
          <w:szCs w:val="28"/>
          <w:rtl/>
        </w:rPr>
        <w:t xml:space="preserve">کلام لا یخلو إیراده عن فائدة،و هو:</w:t>
      </w:r>
    </w:p>
    <w:p>
      <w:pPr>
        <w:pStyle w:val="BookText"/>
      </w:pPr>
      <w:r>
        <w:rPr>
          <w:rFonts w:ascii="IRNazanin" w:hAnsi="IRNazanin" w:eastAsia="IRNazanin" w:cs="IRNazanin"/>
          <w:lang w:bidi="fa-IR"/>
          <w:color w:val="111111"/>
          <w:sz w:val="28"/>
          <w:szCs w:val="28"/>
          <w:rtl/>
        </w:rPr>
        <w:t xml:space="preserve">أنّه هل یجوّز أحد أن یقف عبد من عباد اللّه تعالی،فیقال له:</w:t>
      </w:r>
    </w:p>
    <w:p>
      <w:pPr>
        <w:pStyle w:val="BookText"/>
      </w:pPr>
      <w:r>
        <w:rPr>
          <w:rFonts w:ascii="IRNazanin" w:hAnsi="IRNazanin" w:eastAsia="IRNazanin" w:cs="IRNazanin"/>
          <w:lang w:bidi="fa-IR"/>
          <w:color w:val="111111"/>
          <w:sz w:val="28"/>
          <w:szCs w:val="28"/>
          <w:rtl/>
        </w:rPr>
        <w:t xml:space="preserve">بما کنت تعمل فی الأحکام الشرعیّة؟فیقول:کنت أعمل بقول المعصوم و أقتفی أثره و ما یثبت من المعلوم،فإن اشتبه علیّ شیء عملت بالاحتیاط،أ فیزلّ قدم هذا العبد عن الصراط،و یقابل بالإهانة و الإحباط، فیؤمر به إلی النار و یحرم مرافقة الأبرار؟هیهات هیهات!أن یکون أهل التسامح و التساهل فی الدین فی الجنّة خالدین،و أهل الاحتیاط فی النار معذّبین </w:t>
      </w:r>
      <w:r>
        <w:rPr>
          <w:rStyle w:val="FootnoteReference"/>
        </w:rPr>
        <w:footnoteReference w:id="382"/>
      </w:r>
      <w:r>
        <w:rPr>
          <w:rFonts w:ascii="IRNazanin" w:hAnsi="IRNazanin" w:eastAsia="IRNazanin" w:cs="IRNazanin"/>
          <w:lang w:bidi="fa-IR"/>
          <w:color w:val="111111"/>
          <w:sz w:val="28"/>
          <w:szCs w:val="28"/>
          <w:rtl/>
        </w:rPr>
        <w:t xml:space="preserve">،انتهی کلامه.</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أقول:لا یخفی علی العوامّ فضلا عن غیرهم:أنّ أحدا لا یقول بحرمة الاحتیاط و لا ینکر حسنه و أنّه سبیل النجاة.</w:t>
      </w:r>
    </w:p>
    <w:p>
      <w:pPr>
        <w:pStyle w:val="BookText"/>
      </w:pPr>
      <w:r>
        <w:rPr>
          <w:rFonts w:ascii="IRNazanin" w:hAnsi="IRNazanin" w:eastAsia="IRNazanin" w:cs="IRNazanin"/>
          <w:lang w:bidi="fa-IR"/>
          <w:color w:val="111111"/>
          <w:sz w:val="28"/>
          <w:szCs w:val="28"/>
          <w:rtl/>
        </w:rPr>
        <w:t xml:space="preserve">و أمّا الإفتاء بوجوب الاحتیاط فلا إشکال فی أنّه غیر مطابق للاحتیاط؛لاحتمال حرمته،فإن ثبت وجوب الإفتاء فالأمر یدور بین</w:t>
      </w:r>
    </w:p>
    <w:p>
      <w:pPr>
        <w:pStyle w:val="BookText"/>
      </w:pPr>
      <w:r>
        <w:rPr>
          <w:rFonts w:ascii="IRNazanin" w:hAnsi="IRNazanin" w:eastAsia="IRNazanin" w:cs="IRNazanin"/>
          <w:lang w:bidi="fa-IR"/>
          <w:color w:val="111111"/>
          <w:sz w:val="28"/>
          <w:szCs w:val="28"/>
          <w:rtl/>
        </w:rPr>
        <w:t xml:space="preserve">[شماره صفحه واقعی : 112]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الوجوب و الحرمة </w:t>
      </w:r>
      <w:r>
        <w:rPr>
          <w:rStyle w:val="FootnoteReference"/>
        </w:rPr>
        <w:footnoteReference w:id="383"/>
      </w:r>
      <w:r>
        <w:rPr>
          <w:rFonts w:ascii="IRNazanin" w:hAnsi="IRNazanin" w:eastAsia="IRNazanin" w:cs="IRNazanin"/>
          <w:lang w:bidi="fa-IR"/>
          <w:color w:val="111111"/>
          <w:sz w:val="28"/>
          <w:szCs w:val="28"/>
          <w:rtl/>
        </w:rPr>
        <w:t xml:space="preserve">،و إلاّ فالاحتیاط فی ترک الفتوی،و حینئذ:فیحکم الجاهل بما یحکم به عقله،فإن التفت إلی قبح العقاب من غیر بیان لم یکن علیه بأس فی ارتکاب المشتبه،و إن لم یلتفت إلیه و احتمل العقاب کان مجبولا علی الالتزام بترکه،کمن احتمل أنّ فیما یرید سلوکه من الطریق سبعا.</w:t>
      </w:r>
    </w:p>
    <w:p>
      <w:pPr>
        <w:pStyle w:val="BookText"/>
      </w:pPr>
      <w:r>
        <w:rPr>
          <w:rFonts w:ascii="IRNazanin" w:hAnsi="IRNazanin" w:eastAsia="IRNazanin" w:cs="IRNazanin"/>
          <w:lang w:bidi="fa-IR"/>
          <w:color w:val="111111"/>
          <w:sz w:val="28"/>
          <w:szCs w:val="28"/>
          <w:rtl/>
        </w:rPr>
        <w:t xml:space="preserve">و علی کلّ تقدیر:فلا ینفع قول الأخباریّین له:إنّ العقل یحکم بوجوب الاحتیاط من باب وجوب دفع الضرر المحتمل،و لا قول الاصولیّ له:إنّ العقل یحکم بنفی البأس مع الاشتباه.</w:t>
      </w:r>
    </w:p>
    <w:p>
      <w:pPr>
        <w:pStyle w:val="BookText"/>
      </w:pPr>
      <w:r>
        <w:rPr>
          <w:rFonts w:ascii="IRNazanin" w:hAnsi="IRNazanin" w:eastAsia="IRNazanin" w:cs="IRNazanin"/>
          <w:lang w:bidi="fa-IR"/>
          <w:color w:val="111111"/>
          <w:sz w:val="28"/>
          <w:szCs w:val="28"/>
          <w:rtl/>
        </w:rPr>
        <w:t xml:space="preserve">و بالجملة:فالمجتهدون لا ینکرون علی العامل بالاحتیاط.و الافتاء بوجوبه من الأخباریّین نظیر الافتاء بالبراءة من المجتهدین،و لا متیقّن من الأمرین فی البین،و مفاسد الالتزام بالاحتیاط لیست بأقلّ من مفاسد ارتکاب المشتبه،کما لا یخفی.فما ذکره هذا الأخباریّ من الإنکار لم یعلم توجّهه إلی أحد،و اللّه العالم و هو الحاکم.</w:t>
      </w:r>
    </w:p>
    <w:p>
      <w:pPr>
        <w:pStyle w:val="BookText"/>
      </w:pPr>
      <w:r>
        <w:rPr>
          <w:rFonts w:ascii="IRNazanin" w:hAnsi="IRNazanin" w:eastAsia="IRNazanin" w:cs="IRNazanin"/>
          <w:lang w:bidi="fa-IR"/>
          <w:color w:val="111111"/>
          <w:sz w:val="28"/>
          <w:szCs w:val="28"/>
          <w:rtl/>
        </w:rPr>
        <w:t xml:space="preserve">[شماره صفحه واقعی : 113]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67" w:name="pg14411_142503"/>
    <w:bookmarkEnd w:id="67"/>
    <w:p>
      <w:pPr>
        <w:pStyle w:val="Heading6"/>
      </w:pPr>
      <w:bookmarkStart w:id="1104" w:name="_Toc139"/>
      <w:r>
        <w:t>المسألة الثانیة [:الشبهة التحریمیّة من جهة إجمال النصّ]</w:t>
      </w:r>
      <w:bookmarkEnd w:id="1104"/>
    </w:p>
    <w:p>
      <w:pPr>
        <w:pStyle w:val="BookText"/>
      </w:pPr>
      <w:r>
        <w:rPr>
          <w:rFonts w:ascii="IRNazanin" w:hAnsi="IRNazanin" w:eastAsia="IRNazanin" w:cs="IRNazanin"/>
          <w:lang w:bidi="fa-IR"/>
          <w:color w:val="111111"/>
          <w:sz w:val="28"/>
          <w:szCs w:val="28"/>
          <w:rtl/>
        </w:rPr>
        <w:t xml:space="preserve">ما إذا کان دوران حکم الفعل بین الحرمة و غیر الوجوب من جهة إجمال النصّ إمّا بأن یکون اللفظ الدالّ علی الحکم مجملا،کالنهی المجرّد عن القرینة إذا قلنا باشتراکه لفظا بین الحرمة و الکراهة.</w:t>
      </w:r>
    </w:p>
    <w:p>
      <w:pPr>
        <w:pStyle w:val="BookText"/>
      </w:pPr>
      <w:r>
        <w:rPr>
          <w:rFonts w:ascii="IRNazanin" w:hAnsi="IRNazanin" w:eastAsia="IRNazanin" w:cs="IRNazanin"/>
          <w:lang w:bidi="fa-IR"/>
          <w:color w:val="111111"/>
          <w:sz w:val="28"/>
          <w:szCs w:val="28"/>
          <w:rtl/>
        </w:rPr>
        <w:t xml:space="preserve">و إمّا بأن یکون الدالّ علی متعلّق الحکم کذلک،سواء کان الإجمال فی وضعه کالغناء إذا قلنا بإجماله،فیکون المشکوک فی کونه غناء محتمل الحرمة،أم کان الإجمال فی المراد منه،کما إذا شکّ فی شمول الخمر للخمر الغیر المسکر و لم یکن هناک إطلاق یؤخذ به.</w:t>
      </w:r>
    </w:p>
    <w:p>
      <w:pPr>
        <w:pStyle w:val="BookText"/>
      </w:pPr>
      <w:r>
        <w:rPr>
          <w:rFonts w:ascii="IRNazanin" w:hAnsi="IRNazanin" w:eastAsia="IRNazanin" w:cs="IRNazanin"/>
          <w:lang w:bidi="fa-IR"/>
          <w:color w:val="111111"/>
          <w:sz w:val="28"/>
          <w:szCs w:val="28"/>
          <w:rtl/>
        </w:rPr>
        <w:t xml:space="preserve">و الحکم فی ذلک کلّه کما فی المسألة الاولی،و الأدلّة المذکورة من الطرفین جاریة هنا.</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 ربما یتوهّم </w:t>
      </w:r>
      <w:r>
        <w:rPr>
          <w:rStyle w:val="FootnoteReference"/>
        </w:rPr>
        <w:footnoteReference w:id="384"/>
      </w:r>
      <w:r>
        <w:rPr>
          <w:rFonts w:ascii="IRNazanin" w:hAnsi="IRNazanin" w:eastAsia="IRNazanin" w:cs="IRNazanin"/>
          <w:lang w:bidi="fa-IR"/>
          <w:color w:val="111111"/>
          <w:sz w:val="28"/>
          <w:szCs w:val="28"/>
          <w:rtl/>
        </w:rPr>
        <w:t xml:space="preserve">:أنّ الإجمال إذا کان فی متعلّق الحکم-کالغناء و شرب الخمر الغیر المسکر-کان ذلک داخلا فی الشبهة فی طریق الحکم.و هو فاسد.</w:t>
      </w:r>
    </w:p>
    <w:p>
      <w:pPr>
        <w:pStyle w:val="BookText"/>
      </w:pPr>
      <w:r>
        <w:rPr>
          <w:rFonts w:ascii="IRNazanin" w:hAnsi="IRNazanin" w:eastAsia="IRNazanin" w:cs="IRNazanin"/>
          <w:lang w:bidi="fa-IR"/>
          <w:color w:val="111111"/>
          <w:sz w:val="28"/>
          <w:szCs w:val="28"/>
          <w:rtl/>
        </w:rPr>
        <w:t xml:space="preserve">[شماره صفحه واقعی : 114]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68" w:name="pg14411_142504"/>
    <w:bookmarkEnd w:id="68"/>
    <w:p>
      <w:pPr>
        <w:pStyle w:val="Heading6"/>
      </w:pPr>
      <w:bookmarkStart w:id="1105" w:name="_Toc140"/>
      <w:r>
        <w:t>المسألة الثالثة [:الشبهة التحریمیّة من جهة تعارض النصّین]</w:t>
      </w:r>
      <w:bookmarkEnd w:id="1105"/>
    </w:p>
    <w:p>
      <w:pPr>
        <w:pStyle w:val="Heading6"/>
      </w:pPr>
      <w:bookmarkStart w:id="1106" w:name="_Toc141"/>
      <w:r>
        <w:t>اشارة</w:t>
      </w:r>
      <w:bookmarkEnd w:id="1106"/>
    </w:p>
    <w:p>
      <w:pPr>
        <w:pStyle w:val="BookText"/>
      </w:pPr>
      <w:r>
        <w:rPr>
          <w:rFonts w:ascii="IRNazanin" w:hAnsi="IRNazanin" w:eastAsia="IRNazanin" w:cs="IRNazanin"/>
          <w:lang w:bidi="fa-IR"/>
          <w:color w:val="111111"/>
          <w:sz w:val="28"/>
          <w:szCs w:val="28"/>
          <w:rtl/>
        </w:rPr>
        <w:t xml:space="preserve">أن یدور حکم الفعل بین الحرمة و غیر الوجوب من جهة تعارض النصّین و عدم ثبوت ما یکون مرجّحا لأحدهما</w:t>
      </w:r>
    </w:p>
    <w:p>
      <w:pPr>
        <w:pStyle w:val="Heading6"/>
      </w:pPr>
      <w:bookmarkStart w:id="1107" w:name="_Toc142"/>
      <w:r>
        <w:t>و الأقوی فیه أیضا عدم وجوب الاحتیاط</w:t>
      </w:r>
      <w:bookmarkEnd w:id="1107"/>
    </w:p>
    <w:p>
      <w:pPr>
        <w:pStyle w:val="BookText"/>
      </w:pPr>
      <w:r>
        <w:rPr>
          <w:rFonts w:ascii="IRNazanin" w:hAnsi="IRNazanin" w:eastAsia="IRNazanin" w:cs="IRNazanin"/>
          <w:lang w:bidi="fa-IR"/>
          <w:color w:val="111111"/>
          <w:sz w:val="28"/>
          <w:szCs w:val="28"/>
          <w:rtl/>
        </w:rPr>
        <w:t xml:space="preserve">؛لعدم الدلیل علیه عدا ما تقدّم:من الوجوه المذکورة </w:t>
      </w:r>
      <w:r>
        <w:rPr>
          <w:rStyle w:val="FootnoteReference"/>
        </w:rPr>
        <w:footnoteReference w:id="385"/>
      </w:r>
      <w:r>
        <w:rPr>
          <w:rFonts w:ascii="IRNazanin" w:hAnsi="IRNazanin" w:eastAsia="IRNazanin" w:cs="IRNazanin"/>
          <w:lang w:bidi="fa-IR"/>
          <w:color w:val="111111"/>
          <w:sz w:val="28"/>
          <w:szCs w:val="28"/>
          <w:rtl/>
        </w:rPr>
        <w:t xml:space="preserve">التی عرفت حالها </w:t>
      </w:r>
      <w:r>
        <w:rPr>
          <w:rStyle w:val="FootnoteReference"/>
        </w:rPr>
        <w:footnoteReference w:id="386"/>
      </w:r>
      <w:r>
        <w:rPr>
          <w:rFonts w:ascii="IRNazanin" w:hAnsi="IRNazanin" w:eastAsia="IRNazanin" w:cs="IRNazanin"/>
          <w:lang w:bidi="fa-IR"/>
          <w:color w:val="111111"/>
          <w:sz w:val="28"/>
          <w:szCs w:val="28"/>
          <w:rtl/>
        </w:rPr>
        <w:t xml:space="preserve">،و بعض ما ورد فی خصوص تعارض النصّین،</w:t>
      </w:r>
    </w:p>
    <w:p>
      <w:pPr>
        <w:pStyle w:val="Heading6"/>
      </w:pPr>
      <w:bookmarkStart w:id="1108" w:name="_Toc143"/>
      <w:r>
        <w:t>[ظاهر مرفوعة زرارة وجوب الاحتیاط]</w:t>
      </w:r>
      <w:bookmarkEnd w:id="1108"/>
    </w:p>
    <w:p>
      <w:pPr>
        <w:pStyle w:val="Heading6"/>
      </w:pPr>
      <w:bookmarkStart w:id="1109" w:name="_Toc144"/>
      <w:r>
        <w:t>اشارة</w:t>
      </w:r>
      <w:bookmarkEnd w:id="1109"/>
    </w:p>
    <w:p>
      <w:pPr>
        <w:pStyle w:val="BookText"/>
      </w:pPr>
      <w:r>
        <w:rPr>
          <w:rFonts w:ascii="IRNazanin" w:hAnsi="IRNazanin" w:eastAsia="IRNazanin" w:cs="IRNazanin"/>
          <w:lang w:bidi="fa-IR"/>
          <w:color w:val="111111"/>
          <w:sz w:val="28"/>
          <w:szCs w:val="28"/>
          <w:rtl/>
        </w:rPr>
        <w:t xml:space="preserve">مثل ما فی عوالی اللآلی:من مرفوعة العلاّمة رحمه اللّه إلی زرارة عن مولانا أبی جعفر علیه السّلام:</w:t>
      </w:r>
    </w:p>
    <w:p>
      <w:pPr>
        <w:pStyle w:val="BookText"/>
      </w:pPr>
      <w:r>
        <w:rPr>
          <w:rFonts w:ascii="IRNazanin" w:hAnsi="IRNazanin" w:eastAsia="IRNazanin" w:cs="IRNazanin"/>
          <w:lang w:bidi="fa-IR"/>
          <w:color w:val="111111"/>
          <w:sz w:val="28"/>
          <w:szCs w:val="28"/>
          <w:rtl/>
        </w:rPr>
        <w:t xml:space="preserve">«قال:قلت:جعلت فداک،یأتی عنکم الخبران أو الحدیثان المتعارضان فبأیّهما آخذ؟</w:t>
      </w:r>
    </w:p>
    <w:p>
      <w:pPr>
        <w:pStyle w:val="BookText"/>
      </w:pPr>
      <w:r>
        <w:rPr>
          <w:rFonts w:ascii="IRNazanin" w:hAnsi="IRNazanin" w:eastAsia="IRNazanin" w:cs="IRNazanin"/>
          <w:lang w:bidi="fa-IR"/>
          <w:color w:val="111111"/>
          <w:sz w:val="28"/>
          <w:szCs w:val="28"/>
          <w:rtl/>
        </w:rPr>
        <w:t xml:space="preserve">فقال:یا زرارة،خذ بما اشتهر بین أصحابک،و دع الشاذّ النادر.</w:t>
      </w:r>
    </w:p>
    <w:p>
      <w:pPr>
        <w:pStyle w:val="BookText"/>
      </w:pPr>
      <w:r>
        <w:rPr>
          <w:rFonts w:ascii="IRNazanin" w:hAnsi="IRNazanin" w:eastAsia="IRNazanin" w:cs="IRNazanin"/>
          <w:lang w:bidi="fa-IR"/>
          <w:color w:val="111111"/>
          <w:sz w:val="28"/>
          <w:szCs w:val="28"/>
          <w:rtl/>
        </w:rPr>
        <w:t xml:space="preserve">فقلت:یا سیّدی،إنّهما معا مشهوران مرویّان مأثوران عنکم.</w:t>
      </w:r>
    </w:p>
    <w:p>
      <w:pPr>
        <w:pStyle w:val="BookText"/>
      </w:pPr>
      <w:r>
        <w:rPr>
          <w:rFonts w:ascii="IRNazanin" w:hAnsi="IRNazanin" w:eastAsia="IRNazanin" w:cs="IRNazanin"/>
          <w:lang w:bidi="fa-IR"/>
          <w:color w:val="111111"/>
          <w:sz w:val="28"/>
          <w:szCs w:val="28"/>
          <w:rtl/>
        </w:rPr>
        <w:t xml:space="preserve">فقال علیه السّلام:خذ بما یقوله أعدلهما عندک و أوثقهما فی نفسک.</w:t>
      </w:r>
    </w:p>
    <w:p>
      <w:pPr>
        <w:pStyle w:val="BookText"/>
      </w:pPr>
      <w:r>
        <w:rPr>
          <w:rFonts w:ascii="IRNazanin" w:hAnsi="IRNazanin" w:eastAsia="IRNazanin" w:cs="IRNazanin"/>
          <w:lang w:bidi="fa-IR"/>
          <w:color w:val="111111"/>
          <w:sz w:val="28"/>
          <w:szCs w:val="28"/>
          <w:rtl/>
        </w:rPr>
        <w:t xml:space="preserve">فقلت:إنّهما معا عدلان مرضیّان موثّقان عندی.</w:t>
      </w:r>
    </w:p>
    <w:p>
      <w:pPr>
        <w:pStyle w:val="BookText"/>
      </w:pPr>
      <w:r>
        <w:rPr>
          <w:rFonts w:ascii="IRNazanin" w:hAnsi="IRNazanin" w:eastAsia="IRNazanin" w:cs="IRNazanin"/>
          <w:lang w:bidi="fa-IR"/>
          <w:color w:val="111111"/>
          <w:sz w:val="28"/>
          <w:szCs w:val="28"/>
          <w:rtl/>
        </w:rPr>
        <w:t xml:space="preserve">[شماره صفحه واقعی : 115]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69" w:name="pg14411_142505"/>
    <w:bookmarkEnd w:id="69"/>
    <w:p>
      <w:pPr>
        <w:pStyle w:val="BookText"/>
      </w:pPr>
      <w:r>
        <w:rPr>
          <w:rFonts w:ascii="IRNazanin" w:hAnsi="IRNazanin" w:eastAsia="IRNazanin" w:cs="IRNazanin"/>
          <w:lang w:bidi="fa-IR"/>
          <w:color w:val="111111"/>
          <w:sz w:val="28"/>
          <w:szCs w:val="28"/>
          <w:rtl/>
        </w:rPr>
        <w:t xml:space="preserve">فقال:انظر ما وافق منهما مذهب العامّة فاترکه و خذ بما خالفهم؛ فإنّ الحقّ فیما خالفهم.</w:t>
      </w:r>
    </w:p>
    <w:p>
      <w:pPr>
        <w:pStyle w:val="BookText"/>
      </w:pPr>
      <w:r>
        <w:rPr>
          <w:rFonts w:ascii="IRNazanin" w:hAnsi="IRNazanin" w:eastAsia="IRNazanin" w:cs="IRNazanin"/>
          <w:lang w:bidi="fa-IR"/>
          <w:color w:val="111111"/>
          <w:sz w:val="28"/>
          <w:szCs w:val="28"/>
          <w:rtl/>
        </w:rPr>
        <w:t xml:space="preserve">قلت:ربما کانا موافقین لهم أو مخالفین،فکیف نصنع؟</w:t>
      </w:r>
    </w:p>
    <w:p>
      <w:pPr>
        <w:pStyle w:val="BookText"/>
      </w:pPr>
      <w:r>
        <w:rPr>
          <w:rFonts w:ascii="IRNazanin" w:hAnsi="IRNazanin" w:eastAsia="IRNazanin" w:cs="IRNazanin"/>
          <w:lang w:bidi="fa-IR"/>
          <w:color w:val="111111"/>
          <w:sz w:val="28"/>
          <w:szCs w:val="28"/>
          <w:rtl/>
        </w:rPr>
        <w:t xml:space="preserve">قال:فخذ بما فیه الحائطة لدینک،و اترک ما خالف الاحتیاط.</w:t>
      </w:r>
    </w:p>
    <w:p>
      <w:pPr>
        <w:pStyle w:val="BookText"/>
      </w:pPr>
      <w:r>
        <w:rPr>
          <w:rFonts w:ascii="IRNazanin" w:hAnsi="IRNazanin" w:eastAsia="IRNazanin" w:cs="IRNazanin"/>
          <w:lang w:bidi="fa-IR"/>
          <w:color w:val="111111"/>
          <w:sz w:val="28"/>
          <w:szCs w:val="28"/>
          <w:rtl/>
        </w:rPr>
        <w:t xml:space="preserve">فقلت:إنّهما معا موافقان للاحتیاط أو مخالفان،فکیف أصنع؟</w:t>
      </w:r>
    </w:p>
    <w:p>
      <w:pPr>
        <w:pStyle w:val="Heading6"/>
      </w:pPr>
      <w:bookmarkStart w:id="1110" w:name="_Toc145"/>
      <w:r>
        <w:t>[الجواب عن المرفوعة]</w:t>
      </w:r>
      <w:bookmarkEnd w:id="1110"/>
    </w:p>
    <w:p>
      <w:pPr>
        <w:pStyle w:val="BookText"/>
      </w:pPr>
      <w:r>
        <w:rPr>
          <w:rFonts w:ascii="IRNazanin" w:hAnsi="IRNazanin" w:eastAsia="IRNazanin" w:cs="IRNazanin"/>
          <w:lang w:bidi="fa-IR"/>
          <w:color w:val="111111"/>
          <w:sz w:val="28"/>
          <w:szCs w:val="28"/>
          <w:rtl/>
        </w:rPr>
        <w:t xml:space="preserve">قال:إذن فتخیّر أحدهما فتأخذ به و تدع الآخر...الحدیث» </w:t>
      </w:r>
      <w:r>
        <w:rPr>
          <w:rStyle w:val="FootnoteReference"/>
        </w:rPr>
        <w:footnoteReference w:id="3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 هذه الروایة و إن کانت أخصّ من أخبار التخییر،إلاّ أنّها ضعیفة السند،و قد طعن صاحب الحدائق فیها و فی کتاب العوالی و صاحبه،فقال:</w:t>
      </w:r>
    </w:p>
    <w:p>
      <w:pPr>
        <w:pStyle w:val="BookText"/>
      </w:pPr>
      <w:r>
        <w:rPr>
          <w:rFonts w:ascii="IRNazanin" w:hAnsi="IRNazanin" w:eastAsia="IRNazanin" w:cs="IRNazanin"/>
          <w:lang w:bidi="fa-IR"/>
          <w:color w:val="111111"/>
          <w:sz w:val="28"/>
          <w:szCs w:val="28"/>
          <w:rtl/>
        </w:rPr>
        <w:t xml:space="preserve">إنّ الروایة المذکورة لم نقف علیها فی غیر کتاب العوالی،مع ما هی علیها من الإرسال،و ما علیه الکتاب المذکور:من نسبة صاحبه إلی التساهل فی نقل الأخبار و الإهمال،و خلط غثّها بسمینها و صحیحها بسقیمها،کما لا یخفی علی من لاحظ الکتاب المذکور </w:t>
      </w:r>
      <w:r>
        <w:rPr>
          <w:rStyle w:val="FootnoteReference"/>
        </w:rPr>
        <w:footnoteReference w:id="388"/>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ثمّ إذا لم نقل بوجوب الاحتیاط،ففی کون أصل البراءة مرجّحا لما یوافقه،أو کون الحکم الوقف،أو التساقط و الرجوع إلی الأصل،أو التخییر بین الخبرین فی أوّل الأمر أو دائما،وجوه لیس هنا محلّ</w:t>
      </w:r>
    </w:p>
    <w:p>
      <w:pPr>
        <w:pStyle w:val="BookText"/>
      </w:pPr>
      <w:r>
        <w:rPr>
          <w:rFonts w:ascii="IRNazanin" w:hAnsi="IRNazanin" w:eastAsia="IRNazanin" w:cs="IRNazanin"/>
          <w:lang w:bidi="fa-IR"/>
          <w:color w:val="111111"/>
          <w:sz w:val="28"/>
          <w:szCs w:val="28"/>
          <w:rtl/>
        </w:rPr>
        <w:t xml:space="preserve">[شماره صفحه واقعی : 116]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70" w:name="pg14411_142506"/>
    <w:bookmarkEnd w:id="70"/>
    <w:p>
      <w:pPr>
        <w:pStyle w:val="BookText"/>
      </w:pPr>
      <w:r>
        <w:rPr>
          <w:rFonts w:ascii="IRNazanin" w:hAnsi="IRNazanin" w:eastAsia="IRNazanin" w:cs="IRNazanin"/>
          <w:lang w:bidi="fa-IR"/>
          <w:color w:val="111111"/>
          <w:sz w:val="28"/>
          <w:szCs w:val="28"/>
          <w:rtl/>
        </w:rPr>
        <w:t xml:space="preserve">ذکرها؛فإنّ المقصود هنا نفی وجوب الاحتیاط،و اللّه العالم.</w:t>
      </w:r>
    </w:p>
    <w:p>
      <w:pPr>
        <w:pStyle w:val="Heading6"/>
      </w:pPr>
      <w:bookmarkStart w:id="1111" w:name="_Toc146"/>
      <w:r>
        <w:t>[تعارض«المقرّر و الناقل»،و«المبیح و الحاظر»]</w:t>
      </w:r>
      <w:bookmarkEnd w:id="1111"/>
    </w:p>
    <w:p>
      <w:pPr>
        <w:pStyle w:val="Heading6"/>
      </w:pPr>
      <w:bookmarkStart w:id="1112" w:name="_Toc147"/>
      <w:r>
        <w:t>اشارة</w:t>
      </w:r>
      <w:bookmarkEnd w:id="1112"/>
    </w:p>
    <w:p>
      <w:pPr>
        <w:pStyle w:val="BookText"/>
      </w:pPr>
      <w:r>
        <w:rPr>
          <w:rFonts w:ascii="IRNazanin" w:hAnsi="IRNazanin" w:eastAsia="IRNazanin" w:cs="IRNazanin"/>
          <w:lang w:bidi="fa-IR"/>
          <w:color w:val="111111"/>
          <w:sz w:val="28"/>
          <w:szCs w:val="28"/>
          <w:rtl/>
        </w:rPr>
        <w:t xml:space="preserve">بقی هنا شیء،و هو:</w:t>
      </w:r>
    </w:p>
    <w:p>
      <w:pPr>
        <w:pStyle w:val="BookText"/>
      </w:pPr>
      <w:r>
        <w:rPr>
          <w:rFonts w:ascii="IRNazanin" w:hAnsi="IRNazanin" w:eastAsia="IRNazanin" w:cs="IRNazanin"/>
          <w:lang w:bidi="fa-IR"/>
          <w:color w:val="111111"/>
          <w:sz w:val="28"/>
          <w:szCs w:val="28"/>
          <w:rtl/>
        </w:rPr>
        <w:t xml:space="preserve">أنّ الاصولیّین عنونوا فی باب التراجیح الخلاف فی تقدیم الخبر الموافق للأصل علی المخالف </w:t>
      </w:r>
      <w:r>
        <w:rPr>
          <w:rStyle w:val="FootnoteReference"/>
        </w:rPr>
        <w:footnoteReference w:id="389"/>
      </w:r>
      <w:r>
        <w:rPr>
          <w:rFonts w:ascii="IRNazanin" w:hAnsi="IRNazanin" w:eastAsia="IRNazanin" w:cs="IRNazanin"/>
          <w:lang w:bidi="fa-IR"/>
          <w:color w:val="111111"/>
          <w:sz w:val="28"/>
          <w:szCs w:val="28"/>
          <w:rtl/>
        </w:rPr>
        <w:t xml:space="preserve">،و نسب تقدیم المخالف-و هو المسمّی بالناقل-إلی أکثر الاصولیّین </w:t>
      </w:r>
      <w:r>
        <w:rPr>
          <w:rStyle w:val="FootnoteReference"/>
        </w:rPr>
        <w:footnoteReference w:id="390"/>
      </w:r>
      <w:r>
        <w:rPr>
          <w:rFonts w:ascii="IRNazanin" w:hAnsi="IRNazanin" w:eastAsia="IRNazanin" w:cs="IRNazanin"/>
          <w:lang w:bidi="fa-IR"/>
          <w:color w:val="111111"/>
          <w:sz w:val="28"/>
          <w:szCs w:val="28"/>
          <w:rtl/>
        </w:rPr>
        <w:t xml:space="preserve">بل إلی جمهورهم </w:t>
      </w:r>
      <w:r>
        <w:rPr>
          <w:rStyle w:val="FootnoteReference"/>
        </w:rPr>
        <w:footnoteReference w:id="391"/>
      </w:r>
      <w:r>
        <w:rPr>
          <w:rFonts w:ascii="Amiri" w:hAnsi="Amiri" w:eastAsia="Amiri" w:cs="Amiri"/>
          <w:lang w:bidi="ar-SA"/>
          <w:color w:val="111111"/>
          <w:sz w:val="28"/>
          <w:szCs w:val="28"/>
          <w:rtl/>
        </w:rPr>
        <w:t xml:space="preserve">،منهم العلاّمة قدّس سرّه </w:t>
      </w:r>
      <w:r>
        <w:rPr>
          <w:rStyle w:val="FootnoteReference"/>
        </w:rPr>
        <w:footnoteReference w:id="3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عنونوا أیضا مسألة تقدیم الخبر الدالّ علی الإباحة علی </w:t>
      </w:r>
      <w:r>
        <w:rPr>
          <w:rStyle w:val="FootnoteReference"/>
        </w:rPr>
        <w:footnoteReference w:id="393"/>
      </w:r>
      <w:r>
        <w:rPr>
          <w:rFonts w:ascii="IRNazanin" w:hAnsi="IRNazanin" w:eastAsia="IRNazanin" w:cs="IRNazanin"/>
          <w:lang w:bidi="fa-IR"/>
          <w:color w:val="111111"/>
          <w:sz w:val="28"/>
          <w:szCs w:val="28"/>
          <w:rtl/>
        </w:rPr>
        <w:t xml:space="preserve">الدالّ علی الحظر و الخلاف فیه </w:t>
      </w:r>
      <w:r>
        <w:rPr>
          <w:rStyle w:val="FootnoteReference"/>
        </w:rPr>
        <w:footnoteReference w:id="394"/>
      </w:r>
      <w:r>
        <w:rPr>
          <w:rFonts w:ascii="IRNazanin" w:hAnsi="IRNazanin" w:eastAsia="IRNazanin" w:cs="IRNazanin"/>
          <w:lang w:bidi="fa-IR"/>
          <w:color w:val="111111"/>
          <w:sz w:val="28"/>
          <w:szCs w:val="28"/>
          <w:rtl/>
        </w:rPr>
        <w:t xml:space="preserve">،و نسب تقدیم الحاظر علی المبیح إلی المشهور </w:t>
      </w:r>
      <w:r>
        <w:rPr>
          <w:rStyle w:val="FootnoteReference"/>
        </w:rPr>
        <w:footnoteReference w:id="395"/>
      </w:r>
      <w:r>
        <w:rPr>
          <w:rFonts w:ascii="IRNazanin" w:hAnsi="IRNazanin" w:eastAsia="IRNazanin" w:cs="IRNazanin"/>
          <w:lang w:bidi="fa-IR"/>
          <w:color w:val="111111"/>
          <w:sz w:val="28"/>
          <w:szCs w:val="28"/>
          <w:rtl/>
        </w:rPr>
        <w:t xml:space="preserve">، بل یظهر من المحکیّ عن بعضهم عدم الخلاف فی ذلک </w:t>
      </w:r>
      <w:r>
        <w:rPr>
          <w:rStyle w:val="FootnoteReference"/>
        </w:rPr>
        <w:footnoteReference w:id="396"/>
      </w:r>
      <w:r>
        <w:rPr>
          <w:rFonts w:ascii="IRNazanin" w:hAnsi="IRNazanin" w:eastAsia="IRNazanin" w:cs="IRNazanin"/>
          <w:lang w:bidi="fa-IR"/>
          <w:color w:val="111111"/>
          <w:sz w:val="28"/>
          <w:szCs w:val="28"/>
          <w:rtl/>
        </w:rPr>
        <w:t xml:space="preserve">.و الخلاف فی المسألة الاولی ینافی الوفاق فی الثانیة.</w:t>
      </w:r>
    </w:p>
    <w:p>
      <w:pPr>
        <w:pStyle w:val="BookText"/>
      </w:pPr>
      <w:r>
        <w:rPr>
          <w:rFonts w:ascii="IRNazanin" w:hAnsi="IRNazanin" w:eastAsia="IRNazanin" w:cs="IRNazanin"/>
          <w:lang w:bidi="fa-IR"/>
          <w:color w:val="111111"/>
          <w:sz w:val="28"/>
          <w:szCs w:val="28"/>
          <w:rtl/>
        </w:rPr>
        <w:t xml:space="preserve">کما أنّ قول الأکثر فیهما مخالف لما یشاهد:من عمل علمائنا علی عدم تقدیم المخالف للأصل،بل التخییر أو الرجوع إلی الأصل الذی هو وجوب الاحتیاط عند الأخباریّین و البراءة عند المجتهدین حتّی العلاّمة،</w:t>
      </w:r>
    </w:p>
    <w:p>
      <w:pPr>
        <w:pStyle w:val="BookText"/>
      </w:pPr>
      <w:r>
        <w:rPr>
          <w:rFonts w:ascii="IRNazanin" w:hAnsi="IRNazanin" w:eastAsia="IRNazanin" w:cs="IRNazanin"/>
          <w:lang w:bidi="fa-IR"/>
          <w:color w:val="111111"/>
          <w:sz w:val="28"/>
          <w:szCs w:val="28"/>
          <w:rtl/>
        </w:rPr>
        <w:t xml:space="preserve">[شماره صفحه واقعی : 117]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71" w:name="pg14411_142507"/>
    <w:bookmarkEnd w:id="71"/>
    <w:p>
      <w:pPr>
        <w:pStyle w:val="BookText"/>
      </w:pPr>
      <w:r>
        <w:rPr>
          <w:rFonts w:ascii="IRNazanin" w:hAnsi="IRNazanin" w:eastAsia="IRNazanin" w:cs="IRNazanin"/>
          <w:lang w:bidi="fa-IR"/>
          <w:color w:val="111111"/>
          <w:sz w:val="28"/>
          <w:szCs w:val="28"/>
          <w:rtl/>
        </w:rPr>
        <w:t xml:space="preserve">مضافا إلی ذهاب جماعة من أصحابنا فی المسألتین إلی التخییر </w:t>
      </w:r>
      <w:r>
        <w:rPr>
          <w:rStyle w:val="FootnoteReference"/>
        </w:rPr>
        <w:footnoteReference w:id="397"/>
      </w:r>
      <w:r>
        <w:rPr>
          <w:rFonts w:ascii="Times New Roman" w:hAnsi="Times New Roman" w:eastAsia="Times New Roman" w:cs="Times New Roman"/>
          <w:lang w:val="en-US" w:bidi="en-US"/>
          <w:color w:val="111111"/>
          <w:sz w:val="28"/>
          <w:szCs w:val="28"/>
          <w:rtl/>
        </w:rPr>
        <w:t xml:space="preserve">.</w:t>
      </w:r>
    </w:p>
    <w:p>
      <w:pPr>
        <w:pStyle w:val="Heading6"/>
      </w:pPr>
      <w:bookmarkStart w:id="1113" w:name="_Toc148"/>
      <w:r>
        <w:t>[الفرق بین المسألتین]</w:t>
      </w:r>
      <w:bookmarkEnd w:id="1113"/>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 یمکن أن یقال:إنّ مرادهم من الأصل فی مسألة الناقل و المقرّر أصالة البراءة من الوجوب لا أصالة الإباحة،فیفارق </w:t>
      </w:r>
      <w:r>
        <w:rPr>
          <w:rStyle w:val="FootnoteReference"/>
        </w:rPr>
        <w:footnoteReference w:id="398"/>
      </w:r>
      <w:r>
        <w:rPr>
          <w:rFonts w:ascii="IRNazanin" w:hAnsi="IRNazanin" w:eastAsia="IRNazanin" w:cs="IRNazanin"/>
          <w:lang w:bidi="fa-IR"/>
          <w:color w:val="111111"/>
          <w:sz w:val="28"/>
          <w:szCs w:val="28"/>
          <w:rtl/>
        </w:rPr>
        <w:t xml:space="preserve">مسألة تعارض المبیح و الحاظر.</w:t>
      </w:r>
    </w:p>
    <w:p>
      <w:pPr>
        <w:pStyle w:val="BookText"/>
      </w:pPr>
      <w:r>
        <w:rPr>
          <w:rFonts w:ascii="IRNazanin" w:hAnsi="IRNazanin" w:eastAsia="IRNazanin" w:cs="IRNazanin"/>
          <w:lang w:bidi="fa-IR"/>
          <w:color w:val="111111"/>
          <w:sz w:val="28"/>
          <w:szCs w:val="28"/>
          <w:rtl/>
        </w:rPr>
        <w:t xml:space="preserve">و </w:t>
      </w:r>
      <w:r>
        <w:rPr>
          <w:rStyle w:val="FootnoteReference"/>
        </w:rPr>
        <w:footnoteReference w:id="399"/>
      </w:r>
      <w:r>
        <w:rPr>
          <w:rFonts w:ascii="IRNazanin" w:hAnsi="IRNazanin" w:eastAsia="IRNazanin" w:cs="IRNazanin"/>
          <w:lang w:bidi="fa-IR"/>
          <w:color w:val="111111"/>
          <w:sz w:val="28"/>
          <w:szCs w:val="28"/>
          <w:rtl/>
        </w:rPr>
        <w:t xml:space="preserve">إنّ حکم أصحابنا بالتخییر أو الاحتیاط لأجل الأخبار الواردة،لا لمقتضی نفس مدلولی الخبرین من حیث هما،فیفارق المسألتین.</w:t>
      </w:r>
    </w:p>
    <w:p>
      <w:pPr>
        <w:pStyle w:val="BookText"/>
      </w:pPr>
      <w:r>
        <w:rPr>
          <w:rFonts w:ascii="IRNazanin" w:hAnsi="IRNazanin" w:eastAsia="IRNazanin" w:cs="IRNazanin"/>
          <w:lang w:bidi="fa-IR"/>
          <w:color w:val="111111"/>
          <w:sz w:val="28"/>
          <w:szCs w:val="28"/>
          <w:rtl/>
        </w:rPr>
        <w:t xml:space="preserve">لکن هذا الوجه قد یأباه مقتضی أدلّتهم،فلاحظ و تأمّل.</w:t>
      </w:r>
    </w:p>
    <w:p>
      <w:pPr>
        <w:pStyle w:val="BookText"/>
      </w:pPr>
      <w:r>
        <w:rPr>
          <w:rFonts w:ascii="IRNazanin" w:hAnsi="IRNazanin" w:eastAsia="IRNazanin" w:cs="IRNazanin"/>
          <w:lang w:bidi="fa-IR"/>
          <w:color w:val="111111"/>
          <w:sz w:val="28"/>
          <w:szCs w:val="28"/>
          <w:rtl/>
        </w:rPr>
        <w:t xml:space="preserve">[شماره صفحه واقعی : 118]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72" w:name="pg14411_142508"/>
    <w:bookmarkEnd w:id="72"/>
    <w:p>
      <w:pPr>
        <w:pStyle w:val="Heading6"/>
      </w:pPr>
      <w:bookmarkStart w:id="1114" w:name="_Toc149"/>
      <w:r>
        <w:t>المسألة الرابعة [:الشبهة التحریمیّة من جهة اشتباه الموضوع]</w:t>
      </w:r>
      <w:bookmarkEnd w:id="1114"/>
    </w:p>
    <w:p>
      <w:pPr>
        <w:pStyle w:val="Heading6"/>
      </w:pPr>
      <w:bookmarkStart w:id="1115" w:name="_Toc150"/>
      <w:r>
        <w:t>اشارة</w:t>
      </w:r>
      <w:bookmarkEnd w:id="1115"/>
    </w:p>
    <w:p>
      <w:pPr>
        <w:pStyle w:val="BookText"/>
      </w:pPr>
      <w:r>
        <w:rPr>
          <w:rFonts w:ascii="IRNazanin" w:hAnsi="IRNazanin" w:eastAsia="IRNazanin" w:cs="IRNazanin"/>
          <w:lang w:bidi="fa-IR"/>
          <w:color w:val="111111"/>
          <w:sz w:val="28"/>
          <w:szCs w:val="28"/>
          <w:rtl/>
        </w:rPr>
        <w:t xml:space="preserve">دوران الحکم بین الحرمة و غیر الوجوب،مع کون الشکّ فی الواقعة الجزئیّة لأجل الاشتباه فی بعض الامور الخارجیّة کما إذا شکّ فی حرمة شرب مائع و </w:t>
      </w:r>
      <w:r>
        <w:rPr>
          <w:rStyle w:val="FootnoteReference"/>
        </w:rPr>
        <w:footnoteReference w:id="400"/>
      </w:r>
      <w:r>
        <w:rPr>
          <w:rFonts w:ascii="IRNazanin" w:hAnsi="IRNazanin" w:eastAsia="IRNazanin" w:cs="IRNazanin"/>
          <w:lang w:bidi="fa-IR"/>
          <w:color w:val="111111"/>
          <w:sz w:val="28"/>
          <w:szCs w:val="28"/>
          <w:rtl/>
        </w:rPr>
        <w:t xml:space="preserve">إباحته للتردّد فی أنّه خلّ أو خمر،و فی حرمة لحم للتردّد بین کونه من الشاة أو من الأرنب.</w:t>
      </w:r>
    </w:p>
    <w:p>
      <w:pPr>
        <w:pStyle w:val="Heading6"/>
      </w:pPr>
      <w:bookmarkStart w:id="1116" w:name="_Toc151"/>
      <w:r>
        <w:t>[عدم الخلاف فی الإباحة]</w:t>
      </w:r>
      <w:bookmarkEnd w:id="1116"/>
    </w:p>
    <w:p>
      <w:pPr>
        <w:pStyle w:val="BookText"/>
      </w:pPr>
      <w:r>
        <w:rPr>
          <w:rFonts w:ascii="IRNazanin" w:hAnsi="IRNazanin" w:eastAsia="IRNazanin" w:cs="IRNazanin"/>
          <w:lang w:bidi="fa-IR"/>
          <w:color w:val="111111"/>
          <w:sz w:val="28"/>
          <w:szCs w:val="28"/>
          <w:rtl/>
        </w:rPr>
        <w:t xml:space="preserve">و الظاهر:عدم الخلاف فی أنّ مقتضی الأصل فیه الإباحة؛ للأخبار الکثیرة فی ذلک،مثل قوله علیه السّلام:«کلّ شیء لک حلال حتّی تعلم أنّه حرام» </w:t>
      </w:r>
      <w:r>
        <w:rPr>
          <w:rStyle w:val="FootnoteReference"/>
        </w:rPr>
        <w:footnoteReference w:id="401"/>
      </w:r>
      <w:r>
        <w:rPr>
          <w:rFonts w:ascii="IRNazanin" w:hAnsi="IRNazanin" w:eastAsia="IRNazanin" w:cs="IRNazanin"/>
          <w:lang w:bidi="fa-IR"/>
          <w:color w:val="111111"/>
          <w:sz w:val="28"/>
          <w:szCs w:val="28"/>
          <w:rtl/>
        </w:rPr>
        <w:t xml:space="preserve">،و«کلّ شیء فیه حلال و حرام فهو لک حلال» </w:t>
      </w:r>
      <w:r>
        <w:rPr>
          <w:rStyle w:val="FootnoteReference"/>
        </w:rPr>
        <w:footnoteReference w:id="4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119]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73" w:name="pg14411_142509"/>
    <w:bookmarkEnd w:id="73"/>
    <w:p>
      <w:pPr>
        <w:pStyle w:val="Heading6"/>
      </w:pPr>
      <w:bookmarkStart w:id="1117" w:name="_Toc152"/>
      <w:r>
        <w:t>[استدلال العلاّمة بروایة مسعدة]</w:t>
      </w:r>
      <w:bookmarkEnd w:id="1117"/>
    </w:p>
    <w:p>
      <w:pPr>
        <w:pStyle w:val="BookText"/>
      </w:pPr>
      <w:r>
        <w:rPr>
          <w:rFonts w:ascii="IRNazanin" w:hAnsi="IRNazanin" w:eastAsia="IRNazanin" w:cs="IRNazanin"/>
          <w:lang w:bidi="fa-IR"/>
          <w:color w:val="111111"/>
          <w:sz w:val="28"/>
          <w:szCs w:val="28"/>
          <w:rtl/>
        </w:rPr>
        <w:t xml:space="preserve">و استدلّ العلاّمة رحمه اللّه فی التذکرة </w:t>
      </w:r>
      <w:r>
        <w:rPr>
          <w:rStyle w:val="FootnoteReference"/>
        </w:rPr>
        <w:footnoteReference w:id="403"/>
      </w:r>
      <w:r>
        <w:rPr>
          <w:rFonts w:ascii="IRNazanin" w:hAnsi="IRNazanin" w:eastAsia="IRNazanin" w:cs="IRNazanin"/>
          <w:lang w:bidi="fa-IR"/>
          <w:color w:val="111111"/>
          <w:sz w:val="28"/>
          <w:szCs w:val="28"/>
          <w:rtl/>
        </w:rPr>
        <w:t xml:space="preserve">علی ذلک بروایة مسعدة بن صدقة:</w:t>
      </w:r>
    </w:p>
    <w:p>
      <w:pPr>
        <w:pStyle w:val="BookText"/>
      </w:pPr>
      <w:r>
        <w:rPr>
          <w:rFonts w:ascii="IRNazanin" w:hAnsi="IRNazanin" w:eastAsia="IRNazanin" w:cs="IRNazanin"/>
          <w:lang w:bidi="fa-IR"/>
          <w:color w:val="111111"/>
          <w:sz w:val="28"/>
          <w:szCs w:val="28"/>
          <w:rtl/>
        </w:rPr>
        <w:t xml:space="preserve">«کلّ شیء لک حلال حتّی تعلم أنّه حرام بعینه فتدعه من قبل نفسک،و ذلک مثل الثوب یکون علیک و لعلّه سرقة،أو العبد یکون عندک و لعلّه حرّ قد باع نفسه أو قهر فبیع أو خدع فبیع،أو امرأة تحتک و هی اختک أو رضیعتک،و الأشیاء کلّها علی هذا حتّی یستبین لک غیر هذا أو تقوم به البیّنة» </w:t>
      </w:r>
      <w:r>
        <w:rPr>
          <w:rStyle w:val="FootnoteReference"/>
        </w:rPr>
        <w:footnoteReference w:id="4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تبعه علیه جماعة من المتأخّرین </w:t>
      </w:r>
      <w:r>
        <w:rPr>
          <w:rStyle w:val="FootnoteReference"/>
        </w:rPr>
        <w:footnoteReference w:id="405"/>
      </w:r>
      <w:r>
        <w:rPr>
          <w:rFonts w:ascii="Times New Roman" w:hAnsi="Times New Roman" w:eastAsia="Times New Roman" w:cs="Times New Roman"/>
          <w:lang w:val="en-US" w:bidi="en-US"/>
          <w:color w:val="111111"/>
          <w:sz w:val="28"/>
          <w:szCs w:val="28"/>
          <w:rtl/>
        </w:rPr>
        <w:t xml:space="preserve">.</w:t>
      </w:r>
    </w:p>
    <w:p>
      <w:pPr>
        <w:pStyle w:val="Heading6"/>
      </w:pPr>
      <w:bookmarkStart w:id="1118" w:name="_Toc153"/>
      <w:r>
        <w:t>[الإشکال فی الأمثلة المذکورة فی الروایة]</w:t>
      </w:r>
      <w:bookmarkEnd w:id="1118"/>
    </w:p>
    <w:p>
      <w:pPr>
        <w:pStyle w:val="BookText"/>
      </w:pPr>
      <w:r>
        <w:rPr>
          <w:rFonts w:ascii="IRNazanin" w:hAnsi="IRNazanin" w:eastAsia="IRNazanin" w:cs="IRNazanin"/>
          <w:lang w:bidi="fa-IR"/>
          <w:color w:val="111111"/>
          <w:sz w:val="28"/>
          <w:szCs w:val="28"/>
          <w:rtl/>
        </w:rPr>
        <w:t xml:space="preserve">و لا إشکال فی ظهور صدرها فی المدّعی،إلاّ أنّ الأمثلة المذکورة فیها لیس الحلّ فیها مستندا إلی أصالة الحلّیّة؛فإنّ الثوب و العبد إن لوحظا باعتبار الید علیهما حکم بحلّ التصرّف فیهما لأجل الید،و إن لوحظا مع قطع النظر عن الید کان الأصل فیهما حرمة التصرّف؛ لأصالة بقاء الثوب علی ملک الغیر و أصالة الحرّیّة فی الانسان المشکوک فی رقّیّته،و کذا الزوجة إن لوحظ فیها أصل عدم تحقّق النسب و </w:t>
      </w:r>
      <w:r>
        <w:rPr>
          <w:rStyle w:val="FootnoteReference"/>
        </w:rPr>
        <w:footnoteReference w:id="406"/>
      </w:r>
      <w:r>
        <w:rPr>
          <w:rFonts w:ascii="IRNazanin" w:hAnsi="IRNazanin" w:eastAsia="IRNazanin" w:cs="IRNazanin"/>
          <w:lang w:bidi="fa-IR"/>
          <w:color w:val="111111"/>
          <w:sz w:val="28"/>
          <w:szCs w:val="28"/>
          <w:rtl/>
        </w:rPr>
        <w:t xml:space="preserve">الرضاع فالحلّیّة مستندة إلیه،و إن قطع النظر عن هذا الأصل فالأصل عدم تأثیر العقد فیها؛فیحرم وطؤها.</w:t>
      </w:r>
    </w:p>
    <w:p>
      <w:pPr>
        <w:pStyle w:val="BookText"/>
      </w:pPr>
      <w:r>
        <w:rPr>
          <w:rFonts w:ascii="IRNazanin" w:hAnsi="IRNazanin" w:eastAsia="IRNazanin" w:cs="IRNazanin"/>
          <w:lang w:bidi="fa-IR"/>
          <w:color w:val="111111"/>
          <w:sz w:val="28"/>
          <w:szCs w:val="28"/>
          <w:rtl/>
        </w:rPr>
        <w:t xml:space="preserve">[شماره صفحه واقعی : 120]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74" w:name="pg14411_142510"/>
    <w:bookmarkEnd w:id="74"/>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 بالجملة:فهذه الأمثلة الثلاثة بملاحظة الأصل الأوّلیّ محکومة بالحرمة،و الحکم بحلّیتها إنّما هو من حیث الأصل الموضوعی الثانویّ، فالحلّ غیر مستند إلی أصالة الإباحة فی شیء منها.</w:t>
      </w:r>
    </w:p>
    <w:p>
      <w:pPr>
        <w:pStyle w:val="BookText"/>
      </w:pPr>
      <w:r>
        <w:rPr>
          <w:rFonts w:ascii="IRNazanin" w:hAnsi="IRNazanin" w:eastAsia="IRNazanin" w:cs="IRNazanin"/>
          <w:lang w:bidi="fa-IR"/>
          <w:color w:val="111111"/>
          <w:sz w:val="28"/>
          <w:szCs w:val="28"/>
          <w:rtl/>
        </w:rPr>
        <w:t xml:space="preserve">هذا،و لکن فی </w:t>
      </w:r>
      <w:r>
        <w:rPr>
          <w:rStyle w:val="FootnoteReference"/>
        </w:rPr>
        <w:footnoteReference w:id="407"/>
      </w:r>
      <w:r>
        <w:rPr>
          <w:rFonts w:ascii="IRNazanin" w:hAnsi="IRNazanin" w:eastAsia="IRNazanin" w:cs="IRNazanin"/>
          <w:lang w:bidi="fa-IR"/>
          <w:color w:val="111111"/>
          <w:sz w:val="28"/>
          <w:szCs w:val="28"/>
          <w:rtl/>
        </w:rPr>
        <w:t xml:space="preserve">الأخبار المتقدّمة بل جمیع الأدلّة المتقدّمة من الکتاب و العقل کفایة،مع أنّ صدرها و ذیلها ظاهران فی المدّعی.</w:t>
      </w:r>
    </w:p>
    <w:p>
      <w:pPr>
        <w:pStyle w:val="Heading6"/>
      </w:pPr>
      <w:bookmarkStart w:id="1119" w:name="_Toc154"/>
      <w:r>
        <w:t>[توهّم عدم جریان قبح التکلیف من غیر بیان فی المسألة و الجواب عنه]</w:t>
      </w:r>
      <w:bookmarkEnd w:id="1119"/>
    </w:p>
    <w:p>
      <w:pPr>
        <w:pStyle w:val="BookText"/>
      </w:pPr>
      <w:r>
        <w:rPr>
          <w:rFonts w:ascii="IRNazanin" w:hAnsi="IRNazanin" w:eastAsia="IRNazanin" w:cs="IRNazanin"/>
          <w:lang w:bidi="fa-IR"/>
          <w:color w:val="111111"/>
          <w:sz w:val="28"/>
          <w:szCs w:val="28"/>
          <w:rtl/>
        </w:rPr>
        <w:t xml:space="preserve">و توهّم:عدم جریان قبح التکلیف بلا بیان هنا؛نظرا إلی أنّ الشارع بیّن حکم الخمر-مثلا-فیجب حینئذ اجتناب کلّ ما یحتمل کونه خمرا-من باب المقدّمة العلمیّة-؛فالعقل لا یقبّح العقاب خصوصا علی تقدیر مصادفة الحرام.</w:t>
      </w:r>
    </w:p>
    <w:p>
      <w:pPr>
        <w:pStyle w:val="BookText"/>
      </w:pPr>
      <w:r>
        <w:rPr>
          <w:rFonts w:ascii="IRNazanin" w:hAnsi="IRNazanin" w:eastAsia="IRNazanin" w:cs="IRNazanin"/>
          <w:lang w:bidi="fa-IR"/>
          <w:color w:val="111111"/>
          <w:sz w:val="28"/>
          <w:szCs w:val="28"/>
          <w:rtl/>
        </w:rPr>
        <w:t xml:space="preserve">مدفوع:بأنّ النهی عن الخمر یوجب حرمة الأفراد المعلومة تفصیلا و المعلومة إجمالا المتردّدة بین محصورین </w:t>
      </w:r>
      <w:r>
        <w:rPr>
          <w:rStyle w:val="FootnoteReference"/>
        </w:rPr>
        <w:footnoteReference w:id="408"/>
      </w:r>
      <w:r>
        <w:rPr>
          <w:rFonts w:ascii="IRNazanin" w:hAnsi="IRNazanin" w:eastAsia="IRNazanin" w:cs="IRNazanin"/>
          <w:lang w:bidi="fa-IR"/>
          <w:color w:val="111111"/>
          <w:sz w:val="28"/>
          <w:szCs w:val="28"/>
          <w:rtl/>
        </w:rPr>
        <w:t xml:space="preserve">،و الأوّل لا یحتاج إلی مقدّمة علمیّة،و الثانی یتوقّف علی الاجتناب من أطراف الشبهة لا غیر،و أمّا ما احتمل کونه خمرا من دون علم إجمالیّ فلم یعلم من النهی تحریمه،و لیس مقدّمة للعلم باجتناب فرد محرّم یحسن العقاب علیه.</w:t>
      </w:r>
    </w:p>
    <w:p>
      <w:pPr>
        <w:pStyle w:val="BookText"/>
      </w:pPr>
      <w:r>
        <w:rPr>
          <w:rFonts w:ascii="IRNazanin" w:hAnsi="IRNazanin" w:eastAsia="IRNazanin" w:cs="IRNazanin"/>
          <w:lang w:bidi="fa-IR"/>
          <w:color w:val="111111"/>
          <w:sz w:val="28"/>
          <w:szCs w:val="28"/>
          <w:rtl/>
        </w:rPr>
        <w:t xml:space="preserve">فلا فرق بعد فرض عدم العلم بحرمته و لا بتحریم خمر یتوقّف العلم باجتنابه علی اجتنابه،بین هذا الفرد المشتبه و بین الموضوع الکلّی المشتبه حکمه-کشرب التتن-فی قبح العقاب علیه.</w:t>
      </w:r>
    </w:p>
    <w:p>
      <w:pPr>
        <w:pStyle w:val="BookText"/>
      </w:pPr>
      <w:r>
        <w:rPr>
          <w:rFonts w:ascii="IRNazanin" w:hAnsi="IRNazanin" w:eastAsia="IRNazanin" w:cs="IRNazanin"/>
          <w:lang w:bidi="fa-IR"/>
          <w:color w:val="111111"/>
          <w:sz w:val="28"/>
          <w:szCs w:val="28"/>
          <w:rtl/>
        </w:rPr>
        <w:t xml:space="preserve">[شماره صفحه واقعی : 121]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ما ذکر من التوهّم جار فیه أیضا؛لأنّ العمومات الدالّة علی حرمة الخبائث </w:t>
      </w:r>
      <w:r>
        <w:rPr>
          <w:rStyle w:val="FootnoteReference"/>
        </w:rPr>
        <w:footnoteReference w:id="409"/>
      </w:r>
      <w:r>
        <w:rPr>
          <w:rFonts w:ascii="IRNazanin" w:hAnsi="IRNazanin" w:eastAsia="IRNazanin" w:cs="IRNazanin"/>
          <w:lang w:bidi="fa-IR"/>
          <w:color w:val="111111"/>
          <w:sz w:val="28"/>
          <w:szCs w:val="28"/>
          <w:rtl/>
        </w:rPr>
        <w:t xml:space="preserve">و الفواحش </w:t>
      </w:r>
      <w:r>
        <w:rPr>
          <w:rStyle w:val="FootnoteReference"/>
        </w:rPr>
        <w:footnoteReference w:id="410"/>
      </w:r>
      <w:r>
        <w:rPr>
          <w:rFonts w:ascii="Amiri" w:hAnsi="Amiri" w:eastAsia="Amiri" w:cs="Amiri"/>
          <w:lang w:bidi="ar-SA"/>
          <w:color w:val="111111"/>
          <w:sz w:val="28"/>
          <w:szCs w:val="28"/>
          <w:rtl/>
        </w:rPr>
        <w:t xml:space="preserve">و مٰا نَهٰاکُمْ عَنْهُ فَانْتَهُوا </w:t>
      </w:r>
      <w:r>
        <w:rPr>
          <w:rStyle w:val="FootnoteReference"/>
        </w:rPr>
        <w:footnoteReference w:id="411"/>
      </w:r>
      <w:r>
        <w:rPr>
          <w:rFonts w:ascii="IRNazanin" w:hAnsi="IRNazanin" w:eastAsia="IRNazanin" w:cs="IRNazanin"/>
          <w:lang w:bidi="fa-IR"/>
          <w:color w:val="111111"/>
          <w:sz w:val="28"/>
          <w:szCs w:val="28"/>
          <w:rtl/>
        </w:rPr>
        <w:t xml:space="preserve">تدلّ علی حرمة امور واقعیّة یحتمل کون شرب التتن منها.</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 منشأ التوهّم المذکور:ملاحظة تعلّق الحکم بکلیّ مردّد بین مقدار معلوم و بین أکثر منه،فیتخیّل أنّ التردید فی المکلّف به مع العلم بالتکلیف،فیجب الاحتیاط.</w:t>
      </w:r>
    </w:p>
    <w:p>
      <w:pPr>
        <w:pStyle w:val="BookText"/>
      </w:pPr>
      <w:r>
        <w:rPr>
          <w:rFonts w:ascii="IRNazanin" w:hAnsi="IRNazanin" w:eastAsia="IRNazanin" w:cs="IRNazanin"/>
          <w:lang w:bidi="fa-IR"/>
          <w:color w:val="111111"/>
          <w:sz w:val="28"/>
          <w:szCs w:val="28"/>
          <w:rtl/>
        </w:rPr>
        <w:t xml:space="preserve">و نظیر هذا التوهّم قد وقع فی الشبهة الوجوبیّة،حیث تخیّل بعض </w:t>
      </w:r>
      <w:r>
        <w:rPr>
          <w:rStyle w:val="FootnoteReference"/>
        </w:rPr>
        <w:footnoteReference w:id="412"/>
      </w:r>
      <w:r>
        <w:rPr>
          <w:rFonts w:ascii="IRNazanin" w:hAnsi="IRNazanin" w:eastAsia="IRNazanin" w:cs="IRNazanin"/>
          <w:lang w:bidi="fa-IR"/>
          <w:color w:val="111111"/>
          <w:sz w:val="28"/>
          <w:szCs w:val="28"/>
          <w:rtl/>
        </w:rPr>
        <w:t xml:space="preserve">:أنّ دوران ما فات من الصلوات </w:t>
      </w:r>
      <w:r>
        <w:rPr>
          <w:rStyle w:val="FootnoteReference"/>
        </w:rPr>
        <w:footnoteReference w:id="413"/>
      </w:r>
      <w:r>
        <w:rPr>
          <w:rFonts w:ascii="IRNazanin" w:hAnsi="IRNazanin" w:eastAsia="IRNazanin" w:cs="IRNazanin"/>
          <w:lang w:bidi="fa-IR"/>
          <w:color w:val="111111"/>
          <w:sz w:val="28"/>
          <w:szCs w:val="28"/>
          <w:rtl/>
        </w:rPr>
        <w:t xml:space="preserve">بین الأقلّ و الأکثر موجب للاحتیاط من باب وجوب المقدّمة العلمیّة.</w:t>
      </w:r>
    </w:p>
    <w:p>
      <w:pPr>
        <w:pStyle w:val="BookText"/>
      </w:pPr>
      <w:r>
        <w:rPr>
          <w:rFonts w:ascii="IRNazanin" w:hAnsi="IRNazanin" w:eastAsia="IRNazanin" w:cs="IRNazanin"/>
          <w:lang w:bidi="fa-IR"/>
          <w:color w:val="111111"/>
          <w:sz w:val="28"/>
          <w:szCs w:val="28"/>
          <w:rtl/>
        </w:rPr>
        <w:t xml:space="preserve">و قد عرفت،و سیأتی اندفاعه </w:t>
      </w:r>
      <w:r>
        <w:rPr>
          <w:rStyle w:val="FootnoteReference"/>
        </w:rPr>
        <w:footnoteReference w:id="4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قلت:إنّ الضرر محتمل فی هذا الفرد المشتبه-لاحتمال کونه محرّما-فیجب دفعه.</w:t>
      </w:r>
    </w:p>
    <w:p>
      <w:pPr>
        <w:pStyle w:val="BookText"/>
      </w:pPr>
      <w:r>
        <w:rPr>
          <w:rFonts w:ascii="IRNazanin" w:hAnsi="IRNazanin" w:eastAsia="IRNazanin" w:cs="IRNazanin"/>
          <w:lang w:bidi="fa-IR"/>
          <w:color w:val="111111"/>
          <w:sz w:val="28"/>
          <w:szCs w:val="28"/>
          <w:rtl/>
        </w:rPr>
        <w:t xml:space="preserve">قلنا:إن ارید بالضرر العقاب و ما یجری مجراه من الامور الاخرویّة،فهو مأمون بحکم العقل بقبح العقاب من غیر بیان.</w:t>
      </w:r>
    </w:p>
    <w:p>
      <w:pPr>
        <w:pStyle w:val="BookText"/>
      </w:pPr>
      <w:r>
        <w:rPr>
          <w:rFonts w:ascii="IRNazanin" w:hAnsi="IRNazanin" w:eastAsia="IRNazanin" w:cs="IRNazanin"/>
          <w:lang w:bidi="fa-IR"/>
          <w:color w:val="111111"/>
          <w:sz w:val="28"/>
          <w:szCs w:val="28"/>
          <w:rtl/>
        </w:rPr>
        <w:t xml:space="preserve">و إن ارید ما لا یدفع العقل ترتّبه من غیر بیان-کما فی</w:t>
      </w:r>
    </w:p>
    <w:p>
      <w:pPr>
        <w:pStyle w:val="BookText"/>
      </w:pPr>
      <w:r>
        <w:rPr>
          <w:rFonts w:ascii="IRNazanin" w:hAnsi="IRNazanin" w:eastAsia="IRNazanin" w:cs="IRNazanin"/>
          <w:lang w:bidi="fa-IR"/>
          <w:color w:val="111111"/>
          <w:sz w:val="28"/>
          <w:szCs w:val="28"/>
          <w:rtl/>
        </w:rPr>
        <w:t xml:space="preserve">[شماره صفحه واقعی : 122]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75" w:name="pg14411_142512"/>
    <w:bookmarkEnd w:id="75"/>
    <w:p>
      <w:pPr>
        <w:pStyle w:val="BookText"/>
      </w:pPr>
      <w:r>
        <w:rPr>
          <w:rFonts w:ascii="IRNazanin" w:hAnsi="IRNazanin" w:eastAsia="IRNazanin" w:cs="IRNazanin"/>
          <w:lang w:bidi="fa-IR"/>
          <w:color w:val="111111"/>
          <w:sz w:val="28"/>
          <w:szCs w:val="28"/>
          <w:rtl/>
        </w:rPr>
        <w:t xml:space="preserve">المضارّ الدنیویّة-فوجوب دفعه عقلا لو سلّم،کما تقدّم من الشیخ و جماعة </w:t>
      </w:r>
      <w:r>
        <w:rPr>
          <w:rStyle w:val="FootnoteReference"/>
        </w:rPr>
        <w:footnoteReference w:id="415"/>
      </w:r>
      <w:r>
        <w:rPr>
          <w:rFonts w:ascii="Amiri" w:hAnsi="Amiri" w:eastAsia="Amiri" w:cs="Amiri"/>
          <w:lang w:bidi="ar-SA"/>
          <w:color w:val="111111"/>
          <w:sz w:val="28"/>
          <w:szCs w:val="28"/>
          <w:rtl/>
        </w:rPr>
        <w:t xml:space="preserve">،لم یسلّم وجوبه شرعا؛لأنّ الشارع صرّح بحلّیة ما </w:t>
      </w:r>
      <w:r>
        <w:rPr>
          <w:rStyle w:val="FootnoteReference"/>
        </w:rPr>
        <w:footnoteReference w:id="416"/>
      </w:r>
      <w:r>
        <w:rPr>
          <w:rFonts w:ascii="IRNazanin" w:hAnsi="IRNazanin" w:eastAsia="IRNazanin" w:cs="IRNazanin"/>
          <w:lang w:bidi="fa-IR"/>
          <w:color w:val="111111"/>
          <w:sz w:val="28"/>
          <w:szCs w:val="28"/>
          <w:rtl/>
        </w:rPr>
        <w:t xml:space="preserve">لم یعلم حرمته،فلا عقاب علیه؛کیف و قد یحکم الشرع بجواز ارتکاب الضرر القطعیّ الغیر المتعلّق بأمر المعاد،کما هو المفروض فی الضرر المحتمل فی المقام؟</w:t>
      </w:r>
    </w:p>
    <w:p>
      <w:pPr>
        <w:pStyle w:val="Heading6"/>
      </w:pPr>
      <w:bookmarkStart w:id="1120" w:name="_Toc155"/>
      <w:r>
        <w:t>[تقریر التوهّم بوجه آخر و الجواب عنه أیضا]</w:t>
      </w:r>
      <w:bookmarkEnd w:id="1120"/>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فإن قیل:نختار-أوّلا-احتمال الضرر المتعلّق بامور الآخرة، و العقل لا یدفع ترتّبه من دون بیان؛لاحتمال المصلحة فی عدم البیان و وکول الأمر إلی ما یقتضیه العقل،کما صرّح </w:t>
      </w:r>
      <w:r>
        <w:rPr>
          <w:rStyle w:val="FootnoteReference"/>
        </w:rPr>
        <w:footnoteReference w:id="417"/>
      </w:r>
      <w:r>
        <w:rPr>
          <w:rFonts w:ascii="Amiri" w:hAnsi="Amiri" w:eastAsia="Amiri" w:cs="Amiri"/>
          <w:lang w:bidi="ar-SA"/>
          <w:color w:val="111111"/>
          <w:sz w:val="28"/>
          <w:szCs w:val="28"/>
          <w:rtl/>
        </w:rPr>
        <w:t xml:space="preserve">فی العدّة </w:t>
      </w:r>
      <w:r>
        <w:rPr>
          <w:rStyle w:val="FootnoteReference"/>
        </w:rPr>
        <w:footnoteReference w:id="418"/>
      </w:r>
      <w:r>
        <w:rPr>
          <w:rFonts w:ascii="IRNazanin" w:hAnsi="IRNazanin" w:eastAsia="IRNazanin" w:cs="IRNazanin"/>
          <w:lang w:bidi="fa-IR"/>
          <w:color w:val="111111"/>
          <w:sz w:val="28"/>
          <w:szCs w:val="28"/>
          <w:rtl/>
        </w:rPr>
        <w:t xml:space="preserve">فی جواب ما ذکره القائلون بأصالة الإباحة:من أنّه لو کان هناک فی الفعل مضرّة آجلة لبیّنها.</w:t>
      </w:r>
    </w:p>
    <w:p>
      <w:pPr>
        <w:pStyle w:val="BookText"/>
      </w:pPr>
      <w:r>
        <w:rPr>
          <w:rFonts w:ascii="IRNazanin" w:hAnsi="IRNazanin" w:eastAsia="IRNazanin" w:cs="IRNazanin"/>
          <w:lang w:bidi="fa-IR"/>
          <w:color w:val="111111"/>
          <w:sz w:val="28"/>
          <w:szCs w:val="28"/>
          <w:rtl/>
        </w:rPr>
        <w:t xml:space="preserve">و ثانیا:نختار المضرّة الدنیویّة،و تحریمه ثابت شرعا؛لقوله تعالی:</w:t>
      </w:r>
    </w:p>
    <w:p>
      <w:pPr>
        <w:pStyle w:val="BookText"/>
      </w:pPr>
      <w:r>
        <w:rPr>
          <w:rFonts w:ascii="Amiri" w:hAnsi="Amiri" w:eastAsia="Amiri" w:cs="Amiri"/>
          <w:lang w:bidi="ar-SA"/>
          <w:color w:val="111111"/>
          <w:sz w:val="28"/>
          <w:szCs w:val="28"/>
          <w:rtl/>
        </w:rPr>
        <w:t xml:space="preserve">وَ لاٰ تُلْقُوا بِأَیْدِیکُمْ إِلَی التَّهْلُکَةِ</w:t>
      </w:r>
    </w:p>
    <w:p>
      <w:pPr>
        <w:pStyle w:val="BookText"/>
      </w:pPr>
      <w:r>
        <w:rPr>
          <w:rStyle w:val="FootnoteReference"/>
        </w:rPr>
        <w:footnoteReference w:id="419"/>
      </w:r>
      <w:r>
        <w:rPr>
          <w:rFonts w:ascii="IRNazanin" w:hAnsi="IRNazanin" w:eastAsia="IRNazanin" w:cs="IRNazanin"/>
          <w:lang w:bidi="fa-IR"/>
          <w:color w:val="111111"/>
          <w:sz w:val="28"/>
          <w:szCs w:val="28"/>
          <w:rtl/>
        </w:rPr>
        <w:t xml:space="preserve">
،کما استدلّ به الشیخ أیضا فی العدّة </w:t>
      </w:r>
      <w:r>
        <w:rPr>
          <w:rStyle w:val="FootnoteReference"/>
        </w:rPr>
        <w:footnoteReference w:id="420"/>
      </w:r>
      <w:r>
        <w:rPr>
          <w:rFonts w:ascii="IRNazanin" w:hAnsi="IRNazanin" w:eastAsia="IRNazanin" w:cs="IRNazanin"/>
          <w:lang w:bidi="fa-IR"/>
          <w:color w:val="111111"/>
          <w:sz w:val="28"/>
          <w:szCs w:val="28"/>
          <w:rtl/>
        </w:rPr>
        <w:t xml:space="preserve">علی دفع أصالة الإباحة،و هذا الدلیل و مثله رافع للحلّیة الثابتة بقولهم علیهم السّلام:«کلّ شیء لک حلال حتّی تعرف أنّه حرام» </w:t>
      </w:r>
      <w:r>
        <w:rPr>
          <w:rStyle w:val="FootnoteReference"/>
        </w:rPr>
        <w:footnoteReference w:id="4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123]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قلت:لو سلّمنا احتمال المصلحة فی عدم بیان الضرر الاخرویّ، إلاّ أنّ قولهم علیهم السّلام:«کلّ شیء لک حلال»بیان لعدم الضرر الاخرویّ.</w:t>
      </w:r>
    </w:p>
    <w:p>
      <w:pPr>
        <w:pStyle w:val="BookText"/>
      </w:pPr>
      <w:r>
        <w:rPr>
          <w:rFonts w:ascii="IRNazanin" w:hAnsi="IRNazanin" w:eastAsia="IRNazanin" w:cs="IRNazanin"/>
          <w:lang w:bidi="fa-IR"/>
          <w:color w:val="111111"/>
          <w:sz w:val="28"/>
          <w:szCs w:val="28"/>
          <w:rtl/>
        </w:rPr>
        <w:t xml:space="preserve">و أمّا الضرر الغیر الاخرویّ،فوجوب دفع المشکوک منه ممنوع، و آیة«التهلکة»مختصّة بمظنّة الهلاک،</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 قد صرّح الفقهاء </w:t>
      </w:r>
      <w:r>
        <w:rPr>
          <w:rStyle w:val="FootnoteReference"/>
        </w:rPr>
        <w:footnoteReference w:id="422"/>
      </w:r>
      <w:r>
        <w:rPr>
          <w:rFonts w:ascii="IRNazanin" w:hAnsi="IRNazanin" w:eastAsia="IRNazanin" w:cs="IRNazanin"/>
          <w:lang w:bidi="fa-IR"/>
          <w:color w:val="111111"/>
          <w:sz w:val="28"/>
          <w:szCs w:val="28"/>
          <w:rtl/>
        </w:rPr>
        <w:t xml:space="preserve">فی باب المسافر:بأنّ سلوک الطریق الذی یظنّ معه العطب معصیة،دون مطلق ما یحتمل فیه ذلک.و کذا فی باب التیمّم </w:t>
      </w:r>
      <w:r>
        <w:rPr>
          <w:rStyle w:val="FootnoteReference"/>
        </w:rPr>
        <w:footnoteReference w:id="423"/>
      </w:r>
      <w:r>
        <w:rPr>
          <w:rFonts w:ascii="IRNazanin" w:hAnsi="IRNazanin" w:eastAsia="IRNazanin" w:cs="IRNazanin"/>
          <w:lang w:bidi="fa-IR"/>
          <w:color w:val="111111"/>
          <w:sz w:val="28"/>
          <w:szCs w:val="28"/>
          <w:rtl/>
        </w:rPr>
        <w:t xml:space="preserve">و الإفطار </w:t>
      </w:r>
      <w:r>
        <w:rPr>
          <w:rStyle w:val="FootnoteReference"/>
        </w:rPr>
        <w:footnoteReference w:id="424"/>
      </w:r>
      <w:r>
        <w:rPr>
          <w:rFonts w:ascii="IRNazanin" w:hAnsi="IRNazanin" w:eastAsia="IRNazanin" w:cs="IRNazanin"/>
          <w:lang w:bidi="fa-IR"/>
          <w:color w:val="111111"/>
          <w:sz w:val="28"/>
          <w:szCs w:val="28"/>
          <w:rtl/>
        </w:rPr>
        <w:t xml:space="preserve">لم یرخّصوا إلاّ مع ظنّ الضرر الموجب لحرمة العبادة دون الشکّ.</w:t>
      </w:r>
    </w:p>
    <w:p>
      <w:pPr>
        <w:pStyle w:val="BookText"/>
      </w:pPr>
      <w:r>
        <w:rPr>
          <w:rFonts w:ascii="IRNazanin" w:hAnsi="IRNazanin" w:eastAsia="IRNazanin" w:cs="IRNazanin"/>
          <w:lang w:bidi="fa-IR"/>
          <w:color w:val="111111"/>
          <w:sz w:val="28"/>
          <w:szCs w:val="28"/>
          <w:rtl/>
        </w:rPr>
        <w:t xml:space="preserve">نعم،ذکر قلیل من متأخّری المتأخّرین </w:t>
      </w:r>
      <w:r>
        <w:rPr>
          <w:rStyle w:val="FootnoteReference"/>
        </w:rPr>
        <w:footnoteReference w:id="425"/>
      </w:r>
      <w:r>
        <w:rPr>
          <w:rFonts w:ascii="IRNazanin" w:hAnsi="IRNazanin" w:eastAsia="IRNazanin" w:cs="IRNazanin"/>
          <w:lang w:bidi="fa-IR"/>
          <w:color w:val="111111"/>
          <w:sz w:val="28"/>
          <w:szCs w:val="28"/>
          <w:rtl/>
        </w:rPr>
        <w:t xml:space="preserve">انسحاب حکم الإفطار و التیمّم مع الشکّ أیضا،لکن لا من جهة حرمة ارتکاب مشکوک الضرر،بل لدعوی تعلّق الحکم فی الأدلّة بخوف الضرر الصادق،مع الشکّ،بل مع </w:t>
      </w:r>
      <w:r>
        <w:rPr>
          <w:rStyle w:val="FootnoteReference"/>
        </w:rPr>
        <w:footnoteReference w:id="426"/>
      </w:r>
      <w:r>
        <w:rPr>
          <w:rFonts w:ascii="IRNazanin" w:hAnsi="IRNazanin" w:eastAsia="IRNazanin" w:cs="IRNazanin"/>
          <w:lang w:bidi="fa-IR"/>
          <w:color w:val="111111"/>
          <w:sz w:val="28"/>
          <w:szCs w:val="28"/>
          <w:rtl/>
        </w:rPr>
        <w:t xml:space="preserve">بعض أفراد الوهم أیضا.</w:t>
      </w:r>
    </w:p>
    <w:p>
      <w:pPr>
        <w:pStyle w:val="BookText"/>
      </w:pPr>
      <w:r>
        <w:rPr>
          <w:rFonts w:ascii="IRNazanin" w:hAnsi="IRNazanin" w:eastAsia="IRNazanin" w:cs="IRNazanin"/>
          <w:lang w:bidi="fa-IR"/>
          <w:color w:val="111111"/>
          <w:sz w:val="28"/>
          <w:szCs w:val="28"/>
          <w:rtl/>
        </w:rPr>
        <w:t xml:space="preserve">لکنّ الإنصاف:إلزام العقل بدفع الضرر المشکوک فیه کالحکم</w:t>
      </w:r>
    </w:p>
    <w:p>
      <w:pPr>
        <w:pStyle w:val="BookText"/>
      </w:pPr>
      <w:r>
        <w:rPr>
          <w:rFonts w:ascii="IRNazanin" w:hAnsi="IRNazanin" w:eastAsia="IRNazanin" w:cs="IRNazanin"/>
          <w:lang w:bidi="fa-IR"/>
          <w:color w:val="111111"/>
          <w:sz w:val="28"/>
          <w:szCs w:val="28"/>
          <w:rtl/>
        </w:rPr>
        <w:t xml:space="preserve">[شماره صفحه واقعی : 124]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76" w:name="pg14411_142514"/>
    <w:bookmarkEnd w:id="76"/>
    <w:p>
      <w:pPr>
        <w:pStyle w:val="BookText"/>
      </w:pPr>
      <w:r>
        <w:rPr>
          <w:rFonts w:ascii="IRNazanin" w:hAnsi="IRNazanin" w:eastAsia="IRNazanin" w:cs="IRNazanin"/>
          <w:lang w:bidi="fa-IR"/>
          <w:color w:val="111111"/>
          <w:sz w:val="28"/>
          <w:szCs w:val="28"/>
          <w:rtl/>
        </w:rPr>
        <w:t xml:space="preserve">بدفع الضرر المتیقّن،کما یعلم بالوجدان عند وجود مائع محتمل السمّیة إذا فرض تساوی الاحتمالین من جمیع الوجوه.</w:t>
      </w:r>
    </w:p>
    <w:p>
      <w:pPr>
        <w:pStyle w:val="Heading6"/>
      </w:pPr>
      <w:bookmarkStart w:id="1121" w:name="_Toc156"/>
      <w:r>
        <w:t>[عدم حکم العقل بوجوب دفع الضرر إذا ترتّب علیه نفع اخروی]</w:t>
      </w:r>
      <w:bookmarkEnd w:id="1121"/>
    </w:p>
    <w:p>
      <w:pPr>
        <w:pStyle w:val="BookText"/>
      </w:pPr>
      <w:r>
        <w:rPr>
          <w:rFonts w:ascii="IRNazanin" w:hAnsi="IRNazanin" w:eastAsia="IRNazanin" w:cs="IRNazanin"/>
          <w:lang w:bidi="fa-IR"/>
          <w:color w:val="111111"/>
          <w:sz w:val="28"/>
          <w:szCs w:val="28"/>
          <w:rtl/>
        </w:rPr>
        <w:t xml:space="preserve">لکن حکم العقل بوجوب دفع الضرر المتیقّن إنّما هو بملاحظة نفس الضرر الدنیویّ من حیث هو،کما یحکم بوجوب دفع الضرر الاخروی کذلک،إلاّ أنّه قد یتّحد مع الضرر الدنیویّ عنوان یترتّب علیه نفع اخرویّ،فلا یستقلّ العقل بوجوب دفعه؛و لذا </w:t>
      </w:r>
      <w:r>
        <w:rPr>
          <w:rStyle w:val="FootnoteReference"/>
        </w:rPr>
        <w:footnoteReference w:id="427"/>
      </w:r>
      <w:r>
        <w:rPr>
          <w:rFonts w:ascii="IRNazanin" w:hAnsi="IRNazanin" w:eastAsia="IRNazanin" w:cs="IRNazanin"/>
          <w:lang w:bidi="fa-IR"/>
          <w:color w:val="111111"/>
          <w:sz w:val="28"/>
          <w:szCs w:val="28"/>
          <w:rtl/>
        </w:rPr>
        <w:t xml:space="preserve">لا ینکر العقل أمر الشارع بتسلیم النفس للحدود و القصاص،و تعریضها </w:t>
      </w:r>
      <w:r>
        <w:rPr>
          <w:rStyle w:val="FootnoteReference"/>
        </w:rPr>
        <w:footnoteReference w:id="428"/>
      </w:r>
      <w:r>
        <w:rPr>
          <w:rFonts w:ascii="IRNazanin" w:hAnsi="IRNazanin" w:eastAsia="IRNazanin" w:cs="IRNazanin"/>
          <w:lang w:bidi="fa-IR"/>
          <w:color w:val="111111"/>
          <w:sz w:val="28"/>
          <w:szCs w:val="28"/>
          <w:rtl/>
        </w:rPr>
        <w:t xml:space="preserve">فی الجهاد و الإکراه علی القتل أو علی الارتداد.</w:t>
      </w:r>
    </w:p>
    <w:p>
      <w:pPr>
        <w:pStyle w:val="BookText"/>
      </w:pPr>
      <w:r>
        <w:rPr>
          <w:rFonts w:ascii="IRNazanin" w:hAnsi="IRNazanin" w:eastAsia="IRNazanin" w:cs="IRNazanin"/>
          <w:lang w:bidi="fa-IR"/>
          <w:color w:val="111111"/>
          <w:sz w:val="28"/>
          <w:szCs w:val="28"/>
          <w:rtl/>
        </w:rPr>
        <w:t xml:space="preserve">و حینئذ:فالضرر الدنیویّ المقطوع یجوز أن یبیحه الشارع لمصلحة،فإباحته للضرر المشکوک لمصلحة الترخیص علی العباد أو لغیرها من المصالح،أولی بالجواز </w:t>
      </w:r>
      <w:r>
        <w:rPr>
          <w:rStyle w:val="FootnoteReference"/>
        </w:rPr>
        <w:footnoteReference w:id="4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فإن قلت:إذا فرضنا قیام أمارة غیر معتبرة علی الحرمة،فیظنّ الضرر،فیجب دفعه،مع انعقاد الإجماع علی عدم الفرق بین الشکّ و الظنّ الغیر المعتبر.</w:t>
      </w:r>
    </w:p>
    <w:p>
      <w:pPr>
        <w:pStyle w:val="BookText"/>
      </w:pPr>
      <w:r>
        <w:rPr>
          <w:rFonts w:ascii="IRNazanin" w:hAnsi="IRNazanin" w:eastAsia="IRNazanin" w:cs="IRNazanin"/>
          <w:lang w:bidi="fa-IR"/>
          <w:color w:val="111111"/>
          <w:sz w:val="28"/>
          <w:szCs w:val="28"/>
          <w:rtl/>
        </w:rPr>
        <w:t xml:space="preserve">قلنا:الظنّ بالحرمة لا یستلزم الظنّ بالضرر،أمّا الاخرویّ؛فلأنّ المفروض عدم البیان،فیقبح.و أمّا الدنیویّ؛فلأنّ الحرمة لا تلازم</w:t>
      </w:r>
    </w:p>
    <w:p>
      <w:pPr>
        <w:pStyle w:val="BookText"/>
      </w:pPr>
      <w:r>
        <w:rPr>
          <w:rFonts w:ascii="IRNazanin" w:hAnsi="IRNazanin" w:eastAsia="IRNazanin" w:cs="IRNazanin"/>
          <w:lang w:bidi="fa-IR"/>
          <w:color w:val="111111"/>
          <w:sz w:val="28"/>
          <w:szCs w:val="28"/>
          <w:rtl/>
        </w:rPr>
        <w:t xml:space="preserve">[شماره صفحه واقعی : 125]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الضرر الدنیویّ،بل القطع بها أیضا لا یلازمه؛لاحتمال انحصار المفسدة فیما یتعلّق بالامور الاخرویّة.</w:t>
      </w:r>
    </w:p>
    <w:p>
      <w:pPr>
        <w:pStyle w:val="BookText"/>
      </w:pPr>
      <w:r>
        <w:rPr>
          <w:rFonts w:ascii="IRNazanin" w:hAnsi="IRNazanin" w:eastAsia="IRNazanin" w:cs="IRNazanin"/>
          <w:lang w:bidi="fa-IR"/>
          <w:color w:val="111111"/>
          <w:sz w:val="28"/>
          <w:szCs w:val="28"/>
          <w:rtl/>
        </w:rPr>
        <w:t xml:space="preserve">و لو فرض حصول الظنّ بالضرر الدنیویّ فلا محیص عن التزام حرمته،کسائر ما ظنّ فیه الضرر الدنیویّ من الحرکات و السکنات </w:t>
      </w:r>
      <w:r>
        <w:rPr>
          <w:rStyle w:val="FootnoteReference"/>
        </w:rPr>
        <w:footnoteReference w:id="4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126]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77" w:name="pg14411_142516"/>
    <w:bookmarkEnd w:id="77"/>
    <w:p>
      <w:pPr>
        <w:pStyle w:val="Heading6"/>
      </w:pPr>
      <w:bookmarkStart w:id="1122" w:name="_Toc157"/>
      <w:r>
        <w:t>و ینبغی التنبیه علی امور:</w:t>
      </w:r>
      <w:bookmarkEnd w:id="1122"/>
    </w:p>
    <w:p>
      <w:pPr>
        <w:pStyle w:val="Heading6"/>
      </w:pPr>
      <w:bookmarkStart w:id="1123" w:name="_Toc158"/>
      <w:r>
        <w:t>الأمر الأوّل:محلّ الکلام فی الشبهة الموضوعیّة ما إذا لم یکن أصل موضوعیّ یقضی بالحرمة</w:t>
      </w:r>
      <w:bookmarkEnd w:id="1123"/>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أنّ محلّ الکلام فی الشبهة الموضوعیّة المحکومة بالإباحة ما إذا لم یکن هناک أصل موضوعیّ یقضی بالحرمة؛فمثل المرأة المردّدة </w:t>
      </w:r>
      <w:r>
        <w:rPr>
          <w:rStyle w:val="FootnoteReference"/>
        </w:rPr>
        <w:footnoteReference w:id="431"/>
      </w:r>
      <w:r>
        <w:rPr>
          <w:rFonts w:ascii="IRNazanin" w:hAnsi="IRNazanin" w:eastAsia="IRNazanin" w:cs="IRNazanin"/>
          <w:lang w:bidi="fa-IR"/>
          <w:color w:val="111111"/>
          <w:sz w:val="28"/>
          <w:szCs w:val="28"/>
          <w:rtl/>
        </w:rPr>
        <w:t xml:space="preserve">بین الزوجة و الأجنبیّة خارج عن محلّ الکلام؛لأنّ أصالة عدم علاقة الزوجیّة-المقتضیة للحرمة-بل استصحاب الحرمة،حاکمة علی أصالة الإباحة.</w:t>
      </w:r>
    </w:p>
    <w:p>
      <w:pPr>
        <w:pStyle w:val="BookText"/>
      </w:pPr>
      <w:r>
        <w:rPr>
          <w:rFonts w:ascii="IRNazanin" w:hAnsi="IRNazanin" w:eastAsia="IRNazanin" w:cs="IRNazanin"/>
          <w:lang w:bidi="fa-IR"/>
          <w:color w:val="111111"/>
          <w:sz w:val="28"/>
          <w:szCs w:val="28"/>
          <w:rtl/>
        </w:rPr>
        <w:t xml:space="preserve">و نحوها:المال المردّد بین مال نفسه و ملک الغیر </w:t>
      </w:r>
      <w:r>
        <w:rPr>
          <w:rStyle w:val="FootnoteReference"/>
        </w:rPr>
        <w:footnoteReference w:id="432"/>
      </w:r>
      <w:r>
        <w:rPr>
          <w:rFonts w:ascii="IRNazanin" w:hAnsi="IRNazanin" w:eastAsia="IRNazanin" w:cs="IRNazanin"/>
          <w:lang w:bidi="fa-IR"/>
          <w:color w:val="111111"/>
          <w:sz w:val="28"/>
          <w:szCs w:val="28"/>
          <w:rtl/>
        </w:rPr>
        <w:t xml:space="preserve">مع سبق ملک الغیر له،و أمّا مع عدم سبق ملک أحد علیه،فلا ینبغی الإشکال فی عدم ترتّب أحکام ملکه علیه:من جواز بیعه و نحوه ممّا یعتبر فیه تحقّق المالیّة.</w:t>
      </w:r>
    </w:p>
    <w:p>
      <w:pPr>
        <w:pStyle w:val="BookText"/>
      </w:pPr>
      <w:r>
        <w:rPr>
          <w:rFonts w:ascii="IRNazanin" w:hAnsi="IRNazanin" w:eastAsia="IRNazanin" w:cs="IRNazanin"/>
          <w:lang w:bidi="fa-IR"/>
          <w:color w:val="111111"/>
          <w:sz w:val="28"/>
          <w:szCs w:val="28"/>
          <w:rtl/>
        </w:rPr>
        <w:t xml:space="preserve">و أمّا إباحة التصرّفات الغیر المترتّبة فی الأدلّة علی ماله و ملکه، فیمکن القول بها؛للأصل.و یمکن عدمه؛لأنّ الحلّیة فی الأملاک لا بدّ لها من سبب محلّل؛بالاستقراء،و لقوله </w:t>
      </w:r>
      <w:r>
        <w:rPr>
          <w:rStyle w:val="FootnoteReference"/>
        </w:rPr>
        <w:footnoteReference w:id="433"/>
      </w:r>
      <w:r>
        <w:rPr>
          <w:rFonts w:ascii="Amiri" w:hAnsi="Amiri" w:eastAsia="Amiri" w:cs="Amiri"/>
          <w:lang w:bidi="ar-SA"/>
          <w:color w:val="111111"/>
          <w:sz w:val="28"/>
          <w:szCs w:val="28"/>
          <w:rtl/>
        </w:rPr>
        <w:t xml:space="preserve">علیه السّلام:«لا یحلّ مال إلاّ من</w:t>
      </w:r>
    </w:p>
    <w:p>
      <w:pPr>
        <w:pStyle w:val="BookText"/>
      </w:pPr>
      <w:r>
        <w:rPr>
          <w:rFonts w:ascii="IRNazanin" w:hAnsi="IRNazanin" w:eastAsia="IRNazanin" w:cs="IRNazanin"/>
          <w:lang w:bidi="fa-IR"/>
          <w:color w:val="111111"/>
          <w:sz w:val="28"/>
          <w:szCs w:val="28"/>
          <w:rtl/>
        </w:rPr>
        <w:t xml:space="preserve">[شماره صفحه واقعی : 127]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حیث أحلّه اللّه» </w:t>
      </w:r>
      <w:r>
        <w:rPr>
          <w:rStyle w:val="FootnoteReference"/>
        </w:rPr>
        <w:footnoteReference w:id="4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مبنی الوجهین:أنّ إباحة التصرّف هی المحتاجة إلی السبب، فیحرم مع عدمه و لو بالأصل.و </w:t>
      </w:r>
      <w:r>
        <w:rPr>
          <w:rStyle w:val="FootnoteReference"/>
        </w:rPr>
        <w:footnoteReference w:id="435"/>
      </w:r>
      <w:r>
        <w:rPr>
          <w:rFonts w:ascii="IRNazanin" w:hAnsi="IRNazanin" w:eastAsia="IRNazanin" w:cs="IRNazanin"/>
          <w:lang w:bidi="fa-IR"/>
          <w:color w:val="111111"/>
          <w:sz w:val="28"/>
          <w:szCs w:val="28"/>
          <w:rtl/>
        </w:rPr>
        <w:t xml:space="preserve">أنّ حرمة التصرّف محمولة فی الأدلّة علی ملک الغیر،فمع عدم تملّک الغیر-و لو بالأصل-ینتفی الحرمة.</w:t>
      </w:r>
    </w:p>
    <w:p>
      <w:pPr>
        <w:pStyle w:val="BookText"/>
      </w:pPr>
      <w:r>
        <w:rPr>
          <w:rFonts w:ascii="IRNazanin" w:hAnsi="IRNazanin" w:eastAsia="IRNazanin" w:cs="IRNazanin"/>
          <w:lang w:bidi="fa-IR"/>
          <w:color w:val="111111"/>
          <w:sz w:val="28"/>
          <w:szCs w:val="28"/>
          <w:rtl/>
        </w:rPr>
        <w:t xml:space="preserve">و من قبیل ما لا یجری فیه أصالة الاباحة:اللحم المردّد بین المذکّی و المیتة؛فإنّ أصالة عدم التذکیة-المقتضیة للحرمة و النجاسة- حاکمة علی أصالتی الإباحة و الطهارة.</w:t>
      </w:r>
    </w:p>
    <w:p>
      <w:pPr>
        <w:pStyle w:val="BookText"/>
      </w:pPr>
      <w:r>
        <w:rPr>
          <w:rFonts w:ascii="IRNazanin" w:hAnsi="IRNazanin" w:eastAsia="IRNazanin" w:cs="IRNazanin"/>
          <w:lang w:bidi="fa-IR"/>
          <w:color w:val="111111"/>
          <w:sz w:val="28"/>
          <w:szCs w:val="28"/>
          <w:rtl/>
        </w:rPr>
        <w:t xml:space="preserve">و ربما یتخیّل خلاف ذلک:تارة لعدم حجّیة استصحاب عدم التذکیة </w:t>
      </w:r>
      <w:r>
        <w:rPr>
          <w:rStyle w:val="FootnoteReference"/>
        </w:rPr>
        <w:footnoteReference w:id="436"/>
      </w:r>
      <w:r>
        <w:rPr>
          <w:rFonts w:ascii="IRNazanin" w:hAnsi="IRNazanin" w:eastAsia="IRNazanin" w:cs="IRNazanin"/>
          <w:lang w:bidi="fa-IR"/>
          <w:color w:val="111111"/>
          <w:sz w:val="28"/>
          <w:szCs w:val="28"/>
          <w:rtl/>
        </w:rPr>
        <w:t xml:space="preserve">،و اخری لمعارضة أصالة عدم التذکیة بأصالة عدم الموت، و الحرمة و النجاسة من أحکام المیتة </w:t>
      </w:r>
      <w:r>
        <w:rPr>
          <w:rStyle w:val="FootnoteReference"/>
        </w:rPr>
        <w:footnoteReference w:id="4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الأوّل مبنیّ علی عدم حجّیة الاستصحاب و لو فی الامور العدمیّة.</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 الثانی مدفوع:</w:t>
      </w:r>
    </w:p>
    <w:p>
      <w:pPr>
        <w:pStyle w:val="BookText"/>
      </w:pPr>
      <w:r>
        <w:rPr>
          <w:rFonts w:ascii="Amiri" w:hAnsi="Amiri" w:eastAsia="Amiri" w:cs="Amiri"/>
          <w:lang w:bidi="ar-SA"/>
          <w:color w:val="111111"/>
          <w:sz w:val="28"/>
          <w:szCs w:val="28"/>
          <w:rtl/>
        </w:rPr>
        <w:t xml:space="preserve">أوّلا:بأنّه یکفی فی الحکم بالحرمة عدم التذکیة و لو بالأصل، و لا یتوقّف علی ثبوت الموت حتّی ینتفی بانتفائه و لو بحکم الأصل؛ و الدلیل علیه:استثناء مٰا ذَکَّیْتُمْ من قوله وَ مٰا أَکَلَ السَّبُعُ </w:t>
      </w:r>
      <w:r>
        <w:rPr>
          <w:rStyle w:val="FootnoteReference"/>
        </w:rPr>
        <w:footnoteReference w:id="438"/>
      </w:r>
      <w:r>
        <w:rPr>
          <w:rFonts w:ascii="IRNazanin" w:hAnsi="IRNazanin" w:eastAsia="IRNazanin" w:cs="IRNazanin"/>
          <w:lang w:bidi="fa-IR"/>
          <w:color w:val="111111"/>
          <w:sz w:val="28"/>
          <w:szCs w:val="28"/>
          <w:rtl/>
        </w:rPr>
        <w:t xml:space="preserve">،فلم یبح الشارع إلاّ ما ذکّی،و إناطة إباحة الأکل بما ذکر اسم اللّه علیه</w:t>
      </w:r>
    </w:p>
    <w:p>
      <w:pPr>
        <w:pStyle w:val="BookText"/>
      </w:pPr>
      <w:r>
        <w:rPr>
          <w:rFonts w:ascii="IRNazanin" w:hAnsi="IRNazanin" w:eastAsia="IRNazanin" w:cs="IRNazanin"/>
          <w:lang w:bidi="fa-IR"/>
          <w:color w:val="111111"/>
          <w:sz w:val="28"/>
          <w:szCs w:val="28"/>
          <w:rtl/>
        </w:rPr>
        <w:t xml:space="preserve">[شماره صفحه واقعی : 128]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غیره من الامور الوجودیّة المعتبرة فی التذکیة،فإذا انتفی بعضها-و لو بحکم الأصل-انتفت الإباحة.</w:t>
      </w:r>
    </w:p>
    <w:p>
      <w:pPr>
        <w:pStyle w:val="BookText"/>
      </w:pPr>
      <w:r>
        <w:rPr>
          <w:rFonts w:ascii="IRNazanin" w:hAnsi="IRNazanin" w:eastAsia="IRNazanin" w:cs="IRNazanin"/>
          <w:lang w:bidi="fa-IR"/>
          <w:color w:val="111111"/>
          <w:sz w:val="28"/>
          <w:szCs w:val="28"/>
          <w:rtl/>
        </w:rPr>
        <w:t xml:space="preserve">و ثانیا:أنّ المیتة عبارة عن غیر المذکّی؛إذ لیست المیتة خصوص ما مات حتف أنفه،بل کلّ زهاق روح انتفی فیه شرط من شروط التذکیة فهی میتة شرعا.و تمام الکلام فی الفقه </w:t>
      </w:r>
      <w:r>
        <w:rPr>
          <w:rStyle w:val="FootnoteReference"/>
        </w:rPr>
        <w:footnoteReference w:id="4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129]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78" w:name="pg14411_142519"/>
    <w:bookmarkEnd w:id="78"/>
    <w:p>
      <w:pPr>
        <w:pStyle w:val="Heading6"/>
      </w:pPr>
      <w:bookmarkStart w:id="1124" w:name="_Toc159"/>
      <w:r>
        <w:t>الأمر الثانی:کلمات المحدّث العاملی فی الفرق بین الشبهة فی نفس الحکم و بین الشبهة فی طریقه و المناقشة فیها</w:t>
      </w:r>
      <w:bookmarkEnd w:id="1124"/>
    </w:p>
    <w:p>
      <w:pPr>
        <w:pStyle w:val="BookText"/>
      </w:pPr>
      <w:r>
        <w:rPr>
          <w:rFonts w:ascii="IRNazanin" w:hAnsi="IRNazanin" w:eastAsia="IRNazanin" w:cs="IRNazanin"/>
          <w:lang w:bidi="fa-IR"/>
          <w:color w:val="111111"/>
          <w:sz w:val="28"/>
          <w:szCs w:val="28"/>
          <w:rtl/>
        </w:rPr>
        <w:t xml:space="preserve">الثانی أنّ الشیخ الحرّ أورد فی بعض کلماته اعتراضا علی معاشر الأخباریّین،و حاصله:أنّه ما الفرق بین الشبهة فی نفس الحکم و بین الشبهة فی طریقه،حیث أوجبتم الاحتیاط فی الأوّل دون الثانی؟</w:t>
      </w:r>
    </w:p>
    <w:p>
      <w:pPr>
        <w:pStyle w:val="BookText"/>
      </w:pPr>
      <w:r>
        <w:rPr>
          <w:rFonts w:ascii="IRNazanin" w:hAnsi="IRNazanin" w:eastAsia="IRNazanin" w:cs="IRNazanin"/>
          <w:lang w:bidi="fa-IR"/>
          <w:color w:val="111111"/>
          <w:sz w:val="28"/>
          <w:szCs w:val="28"/>
          <w:rtl/>
        </w:rPr>
        <w:t xml:space="preserve">و أجاب بما لفظه:</w:t>
      </w:r>
    </w:p>
    <w:p>
      <w:pPr>
        <w:pStyle w:val="BookText"/>
      </w:pPr>
      <w:r>
        <w:rPr>
          <w:rFonts w:ascii="IRNazanin" w:hAnsi="IRNazanin" w:eastAsia="IRNazanin" w:cs="IRNazanin"/>
          <w:lang w:bidi="fa-IR"/>
          <w:color w:val="111111"/>
          <w:sz w:val="28"/>
          <w:szCs w:val="28"/>
          <w:rtl/>
        </w:rPr>
        <w:t xml:space="preserve">أنّ حدّ الشبهة فی الحکم ما اشتبه حکمه الشرعیّ أعنی الإباحة و التحریم،کمن شکّ فی أکل المیتة أنّه حلال أو حرام،و حدّ الشبهة فی طریق الحکم الشرعیّ ما اشتبه فیه موضوع الحکم مع کون محموله معلوما،کما فی اشتباه اللحم الذی یشتری من السوق لا یعلم أنّه مذکّی أو میتة،مع العلم بأنّ المذکّی حلال و المیتة حرام.</w:t>
      </w:r>
    </w:p>
    <w:p>
      <w:pPr>
        <w:pStyle w:val="BookText"/>
      </w:pPr>
      <w:r>
        <w:rPr>
          <w:rFonts w:ascii="IRNazanin" w:hAnsi="IRNazanin" w:eastAsia="IRNazanin" w:cs="IRNazanin"/>
          <w:lang w:bidi="fa-IR"/>
          <w:color w:val="111111"/>
          <w:sz w:val="28"/>
          <w:szCs w:val="28"/>
          <w:rtl/>
        </w:rPr>
        <w:t xml:space="preserve">و یستفاد هذا التقسیم من أحادیث الأئمة علیهم السّلام و من وجوه عقلیّة مؤیّدة لتلک الأحادیث،و یأتی بعضها.</w:t>
      </w:r>
    </w:p>
    <w:p>
      <w:pPr>
        <w:pStyle w:val="BookText"/>
      </w:pPr>
      <w:r>
        <w:rPr>
          <w:rFonts w:ascii="IRNazanin" w:hAnsi="IRNazanin" w:eastAsia="IRNazanin" w:cs="IRNazanin"/>
          <w:lang w:bidi="fa-IR"/>
          <w:color w:val="111111"/>
          <w:sz w:val="28"/>
          <w:szCs w:val="28"/>
          <w:rtl/>
        </w:rPr>
        <w:t xml:space="preserve">و قسم متردّد بین القسمین،و هی الأفراد التی لیست بظاهرة الفردیّة لبعض الأنواع،</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 لیس اشتباهها بسبب شیء من الامور الدنیویّة کاختلاط الحلال بالحرام،بل اشتباهها بسبب أمر ذاتیّ أعنی اشتباه صنفها فی نفسها،کبعض أفراد الغناء الذی قد ثبت تحریم نوعه و اشتبه</w:t>
      </w:r>
    </w:p>
    <w:p>
      <w:pPr>
        <w:pStyle w:val="BookText"/>
      </w:pPr>
      <w:r>
        <w:rPr>
          <w:rFonts w:ascii="IRNazanin" w:hAnsi="IRNazanin" w:eastAsia="IRNazanin" w:cs="IRNazanin"/>
          <w:lang w:bidi="fa-IR"/>
          <w:color w:val="111111"/>
          <w:sz w:val="28"/>
          <w:szCs w:val="28"/>
          <w:rtl/>
        </w:rPr>
        <w:t xml:space="preserve">[شماره صفحه واقعی : 130]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أنواعه فی أفراد یسیرة،و بعض أفراد الخبائث الذی قد ثبت تحریم نوعه و اشتبه بعض أفراده حتّی اختلف العقلاء فیها،و منها شرب التتن.</w:t>
      </w:r>
    </w:p>
    <w:p>
      <w:pPr>
        <w:pStyle w:val="BookText"/>
      </w:pPr>
      <w:r>
        <w:rPr>
          <w:rFonts w:ascii="IRNazanin" w:hAnsi="IRNazanin" w:eastAsia="IRNazanin" w:cs="IRNazanin"/>
          <w:lang w:bidi="fa-IR"/>
          <w:color w:val="111111"/>
          <w:sz w:val="28"/>
          <w:szCs w:val="28"/>
          <w:rtl/>
        </w:rPr>
        <w:t xml:space="preserve">و هذا النوع یظهر من الأخبار دخوله فی الشبهات التی ورد الأمر باجتنابها.</w:t>
      </w:r>
    </w:p>
    <w:p>
      <w:pPr>
        <w:pStyle w:val="BookText"/>
      </w:pPr>
      <w:r>
        <w:rPr>
          <w:rFonts w:ascii="IRNazanin" w:hAnsi="IRNazanin" w:eastAsia="IRNazanin" w:cs="IRNazanin"/>
          <w:lang w:bidi="fa-IR"/>
          <w:color w:val="111111"/>
          <w:sz w:val="28"/>
          <w:szCs w:val="28"/>
          <w:rtl/>
        </w:rPr>
        <w:t xml:space="preserve">و هذه التفاصیل تستفاد من مجموع الأحادیث،و نذکر ممّا یدلّ علی ذلک وجوها:</w:t>
      </w:r>
    </w:p>
    <w:p>
      <w:pPr>
        <w:pStyle w:val="BookText"/>
      </w:pPr>
      <w:r>
        <w:rPr>
          <w:rFonts w:ascii="IRNazanin" w:hAnsi="IRNazanin" w:eastAsia="IRNazanin" w:cs="IRNazanin"/>
          <w:lang w:bidi="fa-IR"/>
          <w:color w:val="111111"/>
          <w:sz w:val="28"/>
          <w:szCs w:val="28"/>
          <w:rtl/>
        </w:rPr>
        <w:t xml:space="preserve">منها:قوله علیه السّلام:«کلّ شیء فیه حلال و حرام فهو لک حلال» </w:t>
      </w:r>
      <w:r>
        <w:rPr>
          <w:rStyle w:val="FootnoteReference"/>
        </w:rPr>
        <w:footnoteReference w:id="440"/>
      </w:r>
      <w:r>
        <w:rPr>
          <w:rFonts w:ascii="IRNazanin" w:hAnsi="IRNazanin" w:eastAsia="IRNazanin" w:cs="IRNazanin"/>
          <w:lang w:bidi="fa-IR"/>
          <w:color w:val="111111"/>
          <w:sz w:val="28"/>
          <w:szCs w:val="28"/>
          <w:rtl/>
        </w:rPr>
        <w:t xml:space="preserve">، فهذا و أشباهه صادق علی الشبهة فی طریق الحکم.</w:t>
      </w:r>
    </w:p>
    <w:p>
      <w:pPr>
        <w:pStyle w:val="BookText"/>
      </w:pPr>
      <w:r>
        <w:rPr>
          <w:rFonts w:ascii="IRNazanin" w:hAnsi="IRNazanin" w:eastAsia="IRNazanin" w:cs="IRNazanin"/>
          <w:lang w:bidi="fa-IR"/>
          <w:color w:val="111111"/>
          <w:sz w:val="28"/>
          <w:szCs w:val="28"/>
          <w:rtl/>
        </w:rPr>
        <w:t xml:space="preserve">إلی أن قال:</w:t>
      </w:r>
    </w:p>
    <w:p>
      <w:pPr>
        <w:pStyle w:val="BookText"/>
      </w:pPr>
      <w:r>
        <w:rPr>
          <w:rFonts w:ascii="IRNazanin" w:hAnsi="IRNazanin" w:eastAsia="IRNazanin" w:cs="IRNazanin"/>
          <w:lang w:bidi="fa-IR"/>
          <w:color w:val="111111"/>
          <w:sz w:val="28"/>
          <w:szCs w:val="28"/>
          <w:rtl/>
        </w:rPr>
        <w:t xml:space="preserve">و إذا حصل الشکّ فی تحریم المیتة لم یصدق علیها أنّ فیها حلالا و حراما </w:t>
      </w:r>
      <w:r>
        <w:rPr>
          <w:rStyle w:val="FootnoteReference"/>
        </w:rPr>
        <w:footnoteReference w:id="4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أقول:کأنّ مطلبه أنّ هذه الروایة و أمثالها مخصّصة لعموم ما دلّ علی وجوب التوقّف و الاحتیاط فی مطلق الشبهة؛و إلاّ فجریان أصالة الإباحة فی الشبهة الموضوعیّة لا ینفی جریانها فی الشبهة الحکمیة.</w:t>
      </w:r>
    </w:p>
    <w:p>
      <w:pPr>
        <w:pStyle w:val="BookText"/>
      </w:pPr>
      <w:r>
        <w:rPr>
          <w:rFonts w:ascii="IRNazanin" w:hAnsi="IRNazanin" w:eastAsia="IRNazanin" w:cs="IRNazanin"/>
          <w:lang w:bidi="fa-IR"/>
          <w:color w:val="111111"/>
          <w:sz w:val="28"/>
          <w:szCs w:val="28"/>
          <w:rtl/>
        </w:rPr>
        <w:t xml:space="preserve">مع أنّ سیاق أخبار التوقّف و الاحتیاط یأبی عن التخصیص؛من حیث اشتمالها علی العلّة العقلیّة لحسن التوقّف و الاحتیاط-أعنی الحذر من الوقوع فی الحرام و الهلکة-فحملها علی الاستحباب أولی.</w:t>
      </w:r>
    </w:p>
    <w:p>
      <w:pPr>
        <w:pStyle w:val="BookText"/>
      </w:pPr>
      <w:r>
        <w:rPr>
          <w:rFonts w:ascii="Amiri" w:hAnsi="Amiri" w:eastAsia="Amiri" w:cs="Amiri"/>
          <w:lang w:bidi="ar-SA"/>
          <w:color w:val="111111"/>
          <w:sz w:val="28"/>
          <w:szCs w:val="28"/>
          <w:rtl/>
        </w:rPr>
        <w:t xml:space="preserve">ثمّ قال:</w:t>
      </w:r>
    </w:p>
    <w:p>
      <w:pPr>
        <w:pStyle w:val="BookText"/>
      </w:pPr>
      <w:r>
        <w:rPr>
          <w:rFonts w:ascii="IRNazanin" w:hAnsi="IRNazanin" w:eastAsia="IRNazanin" w:cs="IRNazanin"/>
          <w:lang w:bidi="fa-IR"/>
          <w:color w:val="111111"/>
          <w:sz w:val="28"/>
          <w:szCs w:val="28"/>
          <w:rtl/>
        </w:rPr>
        <w:t xml:space="preserve">[شماره صفحه واقعی : 131]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 منها:قوله صلّی اللّه علیه و آله:«حلال بیّن و حرام بیّن و شبهات» </w:t>
      </w:r>
      <w:r>
        <w:rPr>
          <w:rStyle w:val="FootnoteReference"/>
        </w:rPr>
        <w:footnoteReference w:id="442"/>
      </w:r>
      <w:r>
        <w:rPr>
          <w:rFonts w:ascii="IRNazanin" w:hAnsi="IRNazanin" w:eastAsia="IRNazanin" w:cs="IRNazanin"/>
          <w:lang w:bidi="fa-IR"/>
          <w:color w:val="111111"/>
          <w:sz w:val="28"/>
          <w:szCs w:val="28"/>
          <w:rtl/>
        </w:rPr>
        <w:t xml:space="preserve">،و هذا إنّما ینطبق علی الشبهة فی نفس الحکم؛و إلاّ لم یکن الحلال البیّن و لا الحرام البیّن،و لا یعلم أحدهما من الآخر إلاّ علاّم الغیوب،و هذا ظاهر واضح </w:t>
      </w:r>
      <w:r>
        <w:rPr>
          <w:rStyle w:val="FootnoteReference"/>
        </w:rPr>
        <w:footnoteReference w:id="4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أقول:فیه-مضافا إلی ما ذکرنا،من إباء سیاق الخبر عن التخصیص-:أنّ روایة التثلیث-التی هی العمدة من أدلّتهم-ظاهرة فی حصر ما یبتلی به المکلّف من الأفعال فی ثلاثة،فإن کانت عامّة للشبهة الموضوعیّة أیضا صحّ الحصر،و إن اختصّت بالشبهة الحکمیّة کان الفرد الخارجیّ المردّد بین الحلال و الحرام قسما رابعا؛لأنّه لیس حلالا بیّنا و لا حراما بیّنا و لا مشتبه الحکم.</w:t>
      </w:r>
    </w:p>
    <w:p>
      <w:pPr>
        <w:pStyle w:val="BookText"/>
      </w:pPr>
      <w:r>
        <w:rPr>
          <w:rFonts w:ascii="IRNazanin" w:hAnsi="IRNazanin" w:eastAsia="IRNazanin" w:cs="IRNazanin"/>
          <w:lang w:bidi="fa-IR"/>
          <w:color w:val="111111"/>
          <w:sz w:val="28"/>
          <w:szCs w:val="28"/>
          <w:rtl/>
        </w:rPr>
        <w:t xml:space="preserve">و لو استشهد بما قبل النبویّ </w:t>
      </w:r>
      <w:r>
        <w:rPr>
          <w:rStyle w:val="FootnoteReference"/>
        </w:rPr>
        <w:footnoteReference w:id="444"/>
      </w:r>
      <w:r>
        <w:rPr>
          <w:rFonts w:ascii="IRNazanin" w:hAnsi="IRNazanin" w:eastAsia="IRNazanin" w:cs="IRNazanin"/>
          <w:lang w:bidi="fa-IR"/>
          <w:color w:val="111111"/>
          <w:sz w:val="28"/>
          <w:szCs w:val="28"/>
          <w:rtl/>
        </w:rPr>
        <w:t xml:space="preserve">،من قول الصادق علیه السّلام:«إنّما الامور ثلاثة»،کان ذلک أظهر فی الاختصاص بالشبهة الحکمیّة؛إذ المحصور فی هذه الفقرة الامور التی یرجع فیها إلی بیان الشارع، فلا یرد إخلاله بکون الفرد الخارجیّ المشتبه أمرا رابعا للثلاثة.</w:t>
      </w:r>
    </w:p>
    <w:p>
      <w:pPr>
        <w:pStyle w:val="BookText"/>
      </w:pPr>
      <w:r>
        <w:rPr>
          <w:rFonts w:ascii="IRNazanin" w:hAnsi="IRNazanin" w:eastAsia="IRNazanin" w:cs="IRNazanin"/>
          <w:lang w:bidi="fa-IR"/>
          <w:color w:val="111111"/>
          <w:sz w:val="28"/>
          <w:szCs w:val="28"/>
          <w:rtl/>
        </w:rPr>
        <w:t xml:space="preserve">و أمّا ما ذکره من المانع لشمول النبویّ للشبهة الموضوعیّة:من أنّه لا یعلم الحلال من الحرام إلاّ علاّم الغیوب،ففیه:</w:t>
      </w:r>
    </w:p>
    <w:p>
      <w:pPr>
        <w:pStyle w:val="BookText"/>
      </w:pPr>
      <w:r>
        <w:rPr>
          <w:rFonts w:ascii="IRNazanin" w:hAnsi="IRNazanin" w:eastAsia="IRNazanin" w:cs="IRNazanin"/>
          <w:lang w:bidi="fa-IR"/>
          <w:color w:val="111111"/>
          <w:sz w:val="28"/>
          <w:szCs w:val="28"/>
          <w:rtl/>
        </w:rPr>
        <w:t xml:space="preserve">أنّه إن ارید عدم وجودهما،ففیه ما لا یخفی.و إن ارید ندرتهما،</w:t>
      </w:r>
    </w:p>
    <w:p>
      <w:pPr>
        <w:pStyle w:val="BookText"/>
      </w:pPr>
      <w:r>
        <w:rPr>
          <w:rFonts w:ascii="IRNazanin" w:hAnsi="IRNazanin" w:eastAsia="IRNazanin" w:cs="IRNazanin"/>
          <w:lang w:bidi="fa-IR"/>
          <w:color w:val="111111"/>
          <w:sz w:val="28"/>
          <w:szCs w:val="28"/>
          <w:rtl/>
        </w:rPr>
        <w:t xml:space="preserve">[شماره صفحه واقعی : 132]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ففیه:أنّ الندرة تمنع من اختصاص النبویّ بالنادر لا من شموله له.مع أنّ دعوی کون الحلال البیّن من حیث الحکم أکثر من الحلال البیّن من حیث الموضوع قابلة للمنع،بل المحرّمات الخارجیّة المعلومة أکثر بمراتب من المحرّمات الکلّیة المعلوم تحریمها.</w:t>
      </w:r>
    </w:p>
    <w:p>
      <w:pPr>
        <w:pStyle w:val="BookText"/>
      </w:pPr>
      <w:r>
        <w:rPr>
          <w:rFonts w:ascii="Amiri" w:hAnsi="Amiri" w:eastAsia="Amiri" w:cs="Amiri"/>
          <w:lang w:bidi="ar-SA"/>
          <w:color w:val="111111"/>
          <w:sz w:val="28"/>
          <w:szCs w:val="28"/>
          <w:rtl/>
        </w:rPr>
        <w:t xml:space="preserve">ثمّ قال:</w:t>
      </w:r>
    </w:p>
    <w:p>
      <w:pPr>
        <w:pStyle w:val="BookText"/>
      </w:pPr>
      <w:r>
        <w:rPr>
          <w:rFonts w:ascii="IRNazanin" w:hAnsi="IRNazanin" w:eastAsia="IRNazanin" w:cs="IRNazanin"/>
          <w:lang w:bidi="fa-IR"/>
          <w:color w:val="111111"/>
          <w:sz w:val="28"/>
          <w:szCs w:val="28"/>
          <w:rtl/>
        </w:rPr>
        <w:t xml:space="preserve">و منها:ما ورد من الأمر البلیغ باجتناب ما یحتمل الحرمة و الإباحة بسبب تعارض الأدلّة و عدم النصّ،و ذلک واضح الدلالة علی اشتباه نفس الحکم الشرعیّ.</w:t>
      </w:r>
    </w:p>
    <w:p>
      <w:pPr>
        <w:pStyle w:val="BookText"/>
      </w:pPr>
      <w:r>
        <w:rPr>
          <w:rFonts w:ascii="IRNazanin" w:hAnsi="IRNazanin" w:eastAsia="IRNazanin" w:cs="IRNazanin"/>
          <w:lang w:bidi="fa-IR"/>
          <w:color w:val="111111"/>
          <w:sz w:val="28"/>
          <w:szCs w:val="28"/>
          <w:rtl/>
        </w:rPr>
        <w:t xml:space="preserve">أقول:ما دلّ علی التخییر و التوسعة مع التعارض و علی الإباحة مع عدم ورود النهی و إن لم یکن فی الکثرة بمقدار أدلّة التوقّف و الاحتیاط،إلاّ أنّ الإنصاف أنّ دلالتها علی الإباحة و الرخصة أظهر من دلالة تلک الأخبار علی وجوب الاجتناب.</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Amiri" w:hAnsi="Amiri" w:eastAsia="Amiri" w:cs="Amiri"/>
          <w:lang w:bidi="ar-SA"/>
          <w:color w:val="111111"/>
          <w:sz w:val="28"/>
          <w:szCs w:val="28"/>
          <w:rtl/>
        </w:rPr>
        <w:t xml:space="preserve">ثمّ قال:</w:t>
      </w:r>
    </w:p>
    <w:p>
      <w:pPr>
        <w:pStyle w:val="BookText"/>
      </w:pPr>
      <w:r>
        <w:rPr>
          <w:rFonts w:ascii="IRNazanin" w:hAnsi="IRNazanin" w:eastAsia="IRNazanin" w:cs="IRNazanin"/>
          <w:lang w:bidi="fa-IR"/>
          <w:color w:val="111111"/>
          <w:sz w:val="28"/>
          <w:szCs w:val="28"/>
          <w:rtl/>
        </w:rPr>
        <w:t xml:space="preserve">و منها:أنّ ذلک وجه للجمع بین الأخبار لا یکاد یوجد وجه أقرب منه.</w:t>
      </w:r>
    </w:p>
    <w:p>
      <w:pPr>
        <w:pStyle w:val="BookText"/>
      </w:pPr>
      <w:r>
        <w:rPr>
          <w:rFonts w:ascii="IRNazanin" w:hAnsi="IRNazanin" w:eastAsia="IRNazanin" w:cs="IRNazanin"/>
          <w:lang w:bidi="fa-IR"/>
          <w:color w:val="111111"/>
          <w:sz w:val="28"/>
          <w:szCs w:val="28"/>
          <w:rtl/>
        </w:rPr>
        <w:t xml:space="preserve">أقول:مقتضی الإنصاف أنّ حمل أدلّة الاحتیاط علی الرجحان المطلق أقرب ممّا ذکره.</w:t>
      </w:r>
    </w:p>
    <w:p>
      <w:pPr>
        <w:pStyle w:val="BookText"/>
      </w:pPr>
      <w:r>
        <w:rPr>
          <w:rFonts w:ascii="IRNazanin" w:hAnsi="IRNazanin" w:eastAsia="IRNazanin" w:cs="IRNazanin"/>
          <w:lang w:bidi="fa-IR"/>
          <w:color w:val="111111"/>
          <w:sz w:val="28"/>
          <w:szCs w:val="28"/>
          <w:rtl/>
        </w:rPr>
        <w:t xml:space="preserve">ثمّ قال ما حاصله:</w:t>
      </w:r>
    </w:p>
    <w:p>
      <w:pPr>
        <w:pStyle w:val="BookText"/>
      </w:pPr>
      <w:r>
        <w:rPr>
          <w:rFonts w:ascii="IRNazanin" w:hAnsi="IRNazanin" w:eastAsia="IRNazanin" w:cs="IRNazanin"/>
          <w:lang w:bidi="fa-IR"/>
          <w:color w:val="111111"/>
          <w:sz w:val="28"/>
          <w:szCs w:val="28"/>
          <w:rtl/>
        </w:rPr>
        <w:t xml:space="preserve">و منها:أنّ الشبهة فی نفس الحکم یسأل عنها الإمام علیه السّلام،بخلاف الشبهة فی طریق الحکم؛لعدم وجوب السؤال عنه،بل علمهم بجمیع أفراده غیر معلوم أو معلوم العدم؛لأنّه من علم الغیب فلا یعلمه إلاّ اللّه،و إن کانوا یعلمون منه ما یحتاجون إلیه و إذا شاءوا أن یعلموا شیئا</w:t>
      </w:r>
    </w:p>
    <w:p>
      <w:pPr>
        <w:pStyle w:val="BookText"/>
      </w:pPr>
      <w:r>
        <w:rPr>
          <w:rFonts w:ascii="IRNazanin" w:hAnsi="IRNazanin" w:eastAsia="IRNazanin" w:cs="IRNazanin"/>
          <w:lang w:bidi="fa-IR"/>
          <w:color w:val="111111"/>
          <w:sz w:val="28"/>
          <w:szCs w:val="28"/>
          <w:rtl/>
        </w:rPr>
        <w:t xml:space="preserve">[شماره صفحه واقعی : 133]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علموه،انتهی.</w:t>
      </w:r>
    </w:p>
    <w:p>
      <w:pPr>
        <w:pStyle w:val="BookText"/>
      </w:pPr>
      <w:r>
        <w:rPr>
          <w:rFonts w:ascii="IRNazanin" w:hAnsi="IRNazanin" w:eastAsia="IRNazanin" w:cs="IRNazanin"/>
          <w:lang w:bidi="fa-IR"/>
          <w:color w:val="111111"/>
          <w:sz w:val="28"/>
          <w:szCs w:val="28"/>
          <w:rtl/>
        </w:rPr>
        <w:t xml:space="preserve">أقول:ما ذکره من الفرق لا مدخل له؛فإنّ طریق الحکم لا یجب الفحص عنه و إزالة الشبهة فیه،لا من الإمام علیه السّلام و لا من غیره من الطرق المتمکّن منها،و الرجوع إلی الإمام علیه السّلام إنّما یجب فی ما تعلّق التکلیف فیه بالواقع علی وجه لا یعذر </w:t>
      </w:r>
      <w:r>
        <w:rPr>
          <w:rStyle w:val="FootnoteReference"/>
        </w:rPr>
        <w:footnoteReference w:id="445"/>
      </w:r>
      <w:r>
        <w:rPr>
          <w:rFonts w:ascii="IRNazanin" w:hAnsi="IRNazanin" w:eastAsia="IRNazanin" w:cs="IRNazanin"/>
          <w:lang w:bidi="fa-IR"/>
          <w:color w:val="111111"/>
          <w:sz w:val="28"/>
          <w:szCs w:val="28"/>
          <w:rtl/>
        </w:rPr>
        <w:t xml:space="preserve">الجاهل المتمکّن من العلم.</w:t>
      </w:r>
    </w:p>
    <w:p>
      <w:pPr>
        <w:pStyle w:val="BookText"/>
      </w:pPr>
      <w:r>
        <w:rPr>
          <w:rFonts w:ascii="IRNazanin" w:hAnsi="IRNazanin" w:eastAsia="IRNazanin" w:cs="IRNazanin"/>
          <w:lang w:bidi="fa-IR"/>
          <w:color w:val="111111"/>
          <w:sz w:val="28"/>
          <w:szCs w:val="28"/>
          <w:rtl/>
        </w:rPr>
        <w:t xml:space="preserve">و أمّا مسألة مقدار معلومات الإمام علیه السّلام من حیث العموم و الخصوص، و کیفیّة علمه بها من حیث توقّفه علی مشیّتهم أو علی التفاتهم إلی نفس الشیء أو عدم توقّفه علی ذلک،فلا یکاد یظهر من الأخبار المختلفة فی ذلک ما یطمئنّ به النفس؛فالأولی و وکول علم ذلک إلیهم صلوات اللّه علیهم أجمعین.</w:t>
      </w:r>
    </w:p>
    <w:p>
      <w:pPr>
        <w:pStyle w:val="BookText"/>
      </w:pPr>
      <w:r>
        <w:rPr>
          <w:rFonts w:ascii="Amiri" w:hAnsi="Amiri" w:eastAsia="Amiri" w:cs="Amiri"/>
          <w:lang w:bidi="ar-SA"/>
          <w:color w:val="111111"/>
          <w:sz w:val="28"/>
          <w:szCs w:val="28"/>
          <w:rtl/>
        </w:rPr>
        <w:t xml:space="preserve">ثمّ قال:</w:t>
      </w:r>
    </w:p>
    <w:p>
      <w:pPr>
        <w:pStyle w:val="BookText"/>
      </w:pPr>
      <w:r>
        <w:rPr>
          <w:rFonts w:ascii="IRNazanin" w:hAnsi="IRNazanin" w:eastAsia="IRNazanin" w:cs="IRNazanin"/>
          <w:lang w:bidi="fa-IR"/>
          <w:color w:val="111111"/>
          <w:sz w:val="28"/>
          <w:szCs w:val="28"/>
          <w:rtl/>
        </w:rPr>
        <w:t xml:space="preserve">و منها:أنّ اجتناب الشبهة فی نفس الحکم أمر ممکن مقدور؛لأنّ أنواعه محصورة،بخلاف الشبهة فی طریق الحکم فاجتنابها غیر ممکن؛لما أشرنا إلیه:من عدم وجود الحلال البیّن،و لزوم تکلیف ما لا یطاق.</w:t>
      </w:r>
    </w:p>
    <w:p>
      <w:pPr>
        <w:pStyle w:val="BookText"/>
      </w:pPr>
      <w:r>
        <w:rPr>
          <w:rFonts w:ascii="IRNazanin" w:hAnsi="IRNazanin" w:eastAsia="IRNazanin" w:cs="IRNazanin"/>
          <w:lang w:bidi="fa-IR"/>
          <w:color w:val="111111"/>
          <w:sz w:val="28"/>
          <w:szCs w:val="28"/>
          <w:rtl/>
        </w:rPr>
        <w:t xml:space="preserve">و الاجتناب عمّا یزید علی قدر الضرورة حرج عظیم و عسر شدید؛ لاستلزامه الاقتصار فی الیوم و اللیلة علی لقمة واحدة و ترک جمیع الانتفاعات،انتهی.</w:t>
      </w:r>
    </w:p>
    <w:p>
      <w:pPr>
        <w:pStyle w:val="BookText"/>
      </w:pPr>
      <w:r>
        <w:rPr>
          <w:rFonts w:ascii="IRNazanin" w:hAnsi="IRNazanin" w:eastAsia="IRNazanin" w:cs="IRNazanin"/>
          <w:lang w:bidi="fa-IR"/>
          <w:color w:val="111111"/>
          <w:sz w:val="28"/>
          <w:szCs w:val="28"/>
          <w:rtl/>
        </w:rPr>
        <w:t xml:space="preserve">أقول:لا ریب أنّ أکثر الشبهات الموضوعیّة لا یخلو عن أمارات الحلّ و الحرمة،ک«ید المسلم»،و«السوق»،و«أصالة الطهارة»،و«قول</w:t>
      </w:r>
    </w:p>
    <w:p>
      <w:pPr>
        <w:pStyle w:val="BookText"/>
      </w:pPr>
      <w:r>
        <w:rPr>
          <w:rFonts w:ascii="IRNazanin" w:hAnsi="IRNazanin" w:eastAsia="IRNazanin" w:cs="IRNazanin"/>
          <w:lang w:bidi="fa-IR"/>
          <w:color w:val="111111"/>
          <w:sz w:val="28"/>
          <w:szCs w:val="28"/>
          <w:rtl/>
        </w:rPr>
        <w:t xml:space="preserve">[شماره صفحه واقعی : 134]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المدّعی بلا معارض»،و الاصول العدمیّة المجمع علیها عند المجتهدین و الأخباریّین،علی ما صرّح به المحدّث الأسترابادیّ کما سیجیء نقل کلامه فی الاستصحاب </w:t>
      </w:r>
      <w:r>
        <w:rPr>
          <w:rStyle w:val="FootnoteReference"/>
        </w:rPr>
        <w:footnoteReference w:id="446"/>
      </w:r>
      <w:r>
        <w:rPr>
          <w:rFonts w:ascii="IRNazanin" w:hAnsi="IRNazanin" w:eastAsia="IRNazanin" w:cs="IRNazanin"/>
          <w:lang w:bidi="fa-IR"/>
          <w:color w:val="111111"/>
          <w:sz w:val="28"/>
          <w:szCs w:val="28"/>
          <w:rtl/>
        </w:rPr>
        <w:t xml:space="preserve">،و بالجملة:فلا یلزم حرج من الاجتناب فی الموارد الخالیة عن هذه الأمارات؛لقلّتها.</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Amiri" w:hAnsi="Amiri" w:eastAsia="Amiri" w:cs="Amiri"/>
          <w:lang w:bidi="ar-SA"/>
          <w:color w:val="111111"/>
          <w:sz w:val="28"/>
          <w:szCs w:val="28"/>
          <w:rtl/>
        </w:rPr>
        <w:t xml:space="preserve">ثمّ قال:</w:t>
      </w:r>
    </w:p>
    <w:p>
      <w:pPr>
        <w:pStyle w:val="BookText"/>
      </w:pPr>
      <w:r>
        <w:rPr>
          <w:rFonts w:ascii="IRNazanin" w:hAnsi="IRNazanin" w:eastAsia="IRNazanin" w:cs="IRNazanin"/>
          <w:lang w:bidi="fa-IR"/>
          <w:color w:val="111111"/>
          <w:sz w:val="28"/>
          <w:szCs w:val="28"/>
          <w:rtl/>
        </w:rPr>
        <w:t xml:space="preserve">و منها:أنّ اجتناب الحرام واجب عقلا و نقلا،و لا یتمّ إلاّ باجتناب ما یحتمل التحریم ممّا اشتبه حکمه الشرعیّ و من الأفراد الغیر الظاهرة الفردیّة،و ما لا یتمّ الواجب إلاّ به و کان مقدورا فهو واجب.</w:t>
      </w:r>
    </w:p>
    <w:p>
      <w:pPr>
        <w:pStyle w:val="BookText"/>
      </w:pPr>
      <w:r>
        <w:rPr>
          <w:rFonts w:ascii="IRNazanin" w:hAnsi="IRNazanin" w:eastAsia="IRNazanin" w:cs="IRNazanin"/>
          <w:lang w:bidi="fa-IR"/>
          <w:color w:val="111111"/>
          <w:sz w:val="28"/>
          <w:szCs w:val="28"/>
          <w:rtl/>
        </w:rPr>
        <w:t xml:space="preserve">إلی غیر ذلک من الوجوه.و إن أمکن المناقشة فی بعضها، فمجموعها دلیل کاف شاف فی هذا المقام،و اللّه أعلم بحقائق الأحکام </w:t>
      </w:r>
      <w:r>
        <w:rPr>
          <w:rStyle w:val="FootnoteReference"/>
        </w:rPr>
        <w:footnoteReference w:id="447"/>
      </w:r>
      <w:r>
        <w:rPr>
          <w:rFonts w:ascii="IRNazanin" w:hAnsi="IRNazanin" w:eastAsia="IRNazanin" w:cs="IRNazanin"/>
          <w:lang w:bidi="fa-IR"/>
          <w:color w:val="111111"/>
          <w:sz w:val="28"/>
          <w:szCs w:val="28"/>
          <w:rtl/>
        </w:rPr>
        <w:t xml:space="preserve">، انتهی.</w:t>
      </w:r>
    </w:p>
    <w:p>
      <w:pPr>
        <w:pStyle w:val="BookText"/>
      </w:pPr>
      <w:r>
        <w:rPr>
          <w:rFonts w:ascii="IRNazanin" w:hAnsi="IRNazanin" w:eastAsia="IRNazanin" w:cs="IRNazanin"/>
          <w:lang w:bidi="fa-IR"/>
          <w:color w:val="111111"/>
          <w:sz w:val="28"/>
          <w:szCs w:val="28"/>
          <w:rtl/>
        </w:rPr>
        <w:t xml:space="preserve">أقول:الدلیل المذکور أولی بالدلالة علی وجوب الاجتناب عن الشبهة فی طریق الحکم،بل لو تمّ لم یتمّ إلاّ فیه؛لأنّ وجوب الاجتناب عن الحرام لم یثبت إلاّ بدلیل حرمة ذلک الشیء أو أمر وجوب إطاعة الأوامر و النواهی ممّا ورد فی الشرع و حکم به العقل، فهی کلّها تابعة لتحقّق الموضوع أعنی الأمر و النهی،و المفروض الشکّ فی تحقّق النهی،و حینئذ:فإذا فرض عدم الدلیل علی الحرمة،فأین وجوب ذی المقدّمة حتّی یثبت وجوبها؟</w:t>
      </w:r>
    </w:p>
    <w:p>
      <w:pPr>
        <w:pStyle w:val="BookText"/>
      </w:pPr>
      <w:r>
        <w:rPr>
          <w:rFonts w:ascii="IRNazanin" w:hAnsi="IRNazanin" w:eastAsia="IRNazanin" w:cs="IRNazanin"/>
          <w:lang w:bidi="fa-IR"/>
          <w:color w:val="111111"/>
          <w:sz w:val="28"/>
          <w:szCs w:val="28"/>
          <w:rtl/>
        </w:rPr>
        <w:t xml:space="preserve">[شماره صفحه واقعی : 135]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نعم،یمکن أن یقال فی الشبهة فی طریق الحکم بعد ما قام الدلیل علی حرمة الخمر:یثبت وجوب الاجتناب عن جمیع أفرادها الواقعیّة، و لا یحصل العلم بموافقة هذا الأمر العامّ إلاّ بالاجتناب عن کلّ ما احتمل حرمته.</w:t>
      </w:r>
    </w:p>
    <w:p>
      <w:pPr>
        <w:pStyle w:val="BookText"/>
      </w:pPr>
      <w:r>
        <w:rPr>
          <w:rFonts w:ascii="IRNazanin" w:hAnsi="IRNazanin" w:eastAsia="IRNazanin" w:cs="IRNazanin"/>
          <w:lang w:bidi="fa-IR"/>
          <w:color w:val="111111"/>
          <w:sz w:val="28"/>
          <w:szCs w:val="28"/>
          <w:rtl/>
        </w:rPr>
        <w:t xml:space="preserve">لکنّک عرفت الجواب عنه سابقا،و أنّ التکلیف بذی المقدّمة غیر محرز إلاّ بالعلم التفصیلیّ أو الإجمالیّ،فالاجتناب عمّا یحتمل الحرمة </w:t>
      </w:r>
      <w:r>
        <w:rPr>
          <w:rStyle w:val="FootnoteReference"/>
        </w:rPr>
        <w:footnoteReference w:id="448"/>
      </w:r>
      <w:r>
        <w:rPr>
          <w:rFonts w:ascii="IRNazanin" w:hAnsi="IRNazanin" w:eastAsia="IRNazanin" w:cs="IRNazanin"/>
          <w:lang w:bidi="fa-IR"/>
          <w:color w:val="111111"/>
          <w:sz w:val="28"/>
          <w:szCs w:val="28"/>
          <w:rtl/>
        </w:rPr>
        <w:t xml:space="preserve">احتمالا مجرّدا عن العلم الإجمالیّ لا یجب،لا نفسا و لا مقدّمة،و اللّه العالم.</w:t>
      </w:r>
    </w:p>
    <w:p>
      <w:pPr>
        <w:pStyle w:val="BookText"/>
      </w:pPr>
      <w:r>
        <w:rPr>
          <w:rFonts w:ascii="IRNazanin" w:hAnsi="IRNazanin" w:eastAsia="IRNazanin" w:cs="IRNazanin"/>
          <w:lang w:bidi="fa-IR"/>
          <w:color w:val="111111"/>
          <w:sz w:val="28"/>
          <w:szCs w:val="28"/>
          <w:rtl/>
        </w:rPr>
        <w:t xml:space="preserve">[شماره صفحه واقعی : 136]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79" w:name="pg14411_142526"/>
    <w:bookmarkEnd w:id="79"/>
    <w:p>
      <w:pPr>
        <w:pStyle w:val="Heading6"/>
      </w:pPr>
      <w:bookmarkStart w:id="1125" w:name="_Toc160"/>
      <w:r>
        <w:t>الأمر الثالث [:الاحتیاط التامّ موجب لاختلال النظام]</w:t>
      </w:r>
      <w:bookmarkEnd w:id="1125"/>
    </w:p>
    <w:p>
      <w:pPr>
        <w:pStyle w:val="Heading6"/>
      </w:pPr>
      <w:bookmarkStart w:id="1126" w:name="_Toc161"/>
      <w:r>
        <w:t>اشارة</w:t>
      </w:r>
      <w:bookmarkEnd w:id="1126"/>
    </w:p>
    <w:p>
      <w:pPr>
        <w:pStyle w:val="BookText"/>
      </w:pPr>
      <w:r>
        <w:rPr>
          <w:rFonts w:ascii="IRNazanin" w:hAnsi="IRNazanin" w:eastAsia="IRNazanin" w:cs="IRNazanin"/>
          <w:lang w:bidi="fa-IR"/>
          <w:color w:val="111111"/>
          <w:sz w:val="28"/>
          <w:szCs w:val="28"/>
          <w:rtl/>
        </w:rPr>
        <w:t xml:space="preserve">أنّه لا شکّ فی حکم العقل و النقل برجحان الاحتیاط مطلقا،حتّی فیما کان هناک أمارة علی الحلّ مغنیة عن أصالة الإباحة،إلاّ أنّه لا ریب فی أنّ الاحتیاط فی الجمیع موجب لاختلال النظام کما ذکره المحدّث المتقدّم ذکره </w:t>
      </w:r>
      <w:r>
        <w:rPr>
          <w:rStyle w:val="FootnoteReference"/>
        </w:rPr>
        <w:footnoteReference w:id="449"/>
      </w:r>
      <w:r>
        <w:rPr>
          <w:rFonts w:ascii="IRNazanin" w:hAnsi="IRNazanin" w:eastAsia="IRNazanin" w:cs="IRNazanin"/>
          <w:lang w:bidi="fa-IR"/>
          <w:color w:val="111111"/>
          <w:sz w:val="28"/>
          <w:szCs w:val="28"/>
          <w:rtl/>
        </w:rPr>
        <w:t xml:space="preserve">،بل یلزم أزید ممّا ذکره،فلا یجوز الأمر به من الحکیم؛لمنافاته للغرض.</w:t>
      </w:r>
    </w:p>
    <w:p>
      <w:pPr>
        <w:pStyle w:val="Heading6"/>
      </w:pPr>
      <w:bookmarkStart w:id="1127" w:name="_Toc162"/>
      <w:r>
        <w:t>[التبعیض بحسب الاحتمالات]</w:t>
      </w:r>
      <w:bookmarkEnd w:id="1127"/>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 التبعیض بحسب الموارد،و استحباب الاحتیاط حتّی یلزم الاختلال-أیضا-مشکل؛لأنّ تحدیده فی غایة العسر،فیحتمل التبعیض بحسب الاحتمالات،فیحتاط فی المظنونات،و أمّا المشکوکات فضلا عن انضمام الموهومات إلیها،فالاحتیاط فیها حرج مخل بالنظام، و یدلّ علی هذا:العقل بعد ملاحظة حسن الاحتیاط مطلقا و استلزام کلّیته الاختلال.</w:t>
      </w:r>
    </w:p>
    <w:p>
      <w:pPr>
        <w:pStyle w:val="Heading6"/>
      </w:pPr>
      <w:bookmarkStart w:id="1128" w:name="_Toc163"/>
      <w:r>
        <w:t>[التبعیض بحسب المحتملات]</w:t>
      </w:r>
      <w:bookmarkEnd w:id="1128"/>
    </w:p>
    <w:p>
      <w:pPr>
        <w:pStyle w:val="BookText"/>
      </w:pPr>
      <w:r>
        <w:rPr>
          <w:rFonts w:ascii="IRNazanin" w:hAnsi="IRNazanin" w:eastAsia="IRNazanin" w:cs="IRNazanin"/>
          <w:lang w:bidi="fa-IR"/>
          <w:color w:val="111111"/>
          <w:sz w:val="28"/>
          <w:szCs w:val="28"/>
          <w:rtl/>
        </w:rPr>
        <w:t xml:space="preserve">و یحتمل التبعیض بحسب المحتملات،فالحرام المحتمل إذا کان من الامور المهمّة فی نظر الشارع کالدماء و الفروج،بل مطلق حقوق الناس</w:t>
      </w:r>
    </w:p>
    <w:p>
      <w:pPr>
        <w:pStyle w:val="BookText"/>
      </w:pPr>
      <w:r>
        <w:rPr>
          <w:rFonts w:ascii="IRNazanin" w:hAnsi="IRNazanin" w:eastAsia="IRNazanin" w:cs="IRNazanin"/>
          <w:lang w:bidi="fa-IR"/>
          <w:color w:val="111111"/>
          <w:sz w:val="28"/>
          <w:szCs w:val="28"/>
          <w:rtl/>
        </w:rPr>
        <w:t xml:space="preserve">[شماره صفحه واقعی : 137]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80" w:name="pg14411_142527"/>
    <w:bookmarkEnd w:id="80"/>
    <w:p>
      <w:pPr>
        <w:pStyle w:val="BookText"/>
      </w:pPr>
      <w:r>
        <w:rPr>
          <w:rFonts w:ascii="IRNazanin" w:hAnsi="IRNazanin" w:eastAsia="IRNazanin" w:cs="IRNazanin"/>
          <w:lang w:bidi="fa-IR"/>
          <w:color w:val="111111"/>
          <w:sz w:val="28"/>
          <w:szCs w:val="28"/>
          <w:rtl/>
        </w:rPr>
        <w:t xml:space="preserve">بالنسبة إلی حقوق اللّه تعالی،یحتاط فیه،و إلاّ فلا </w:t>
      </w:r>
      <w:r>
        <w:rPr>
          <w:rStyle w:val="FootnoteReference"/>
        </w:rPr>
        <w:footnoteReference w:id="4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یدلّ علی هذا:جمیع ما ورد من التأکید فی أمر النکاح،و أنّه شدید،و أنّه یکون.منه الولد </w:t>
      </w:r>
      <w:r>
        <w:rPr>
          <w:rStyle w:val="FootnoteReference"/>
        </w:rPr>
        <w:footnoteReference w:id="451"/>
      </w:r>
      <w:r>
        <w:rPr>
          <w:rFonts w:ascii="IRNazanin" w:hAnsi="IRNazanin" w:eastAsia="IRNazanin" w:cs="IRNazanin"/>
          <w:lang w:bidi="fa-IR"/>
          <w:color w:val="111111"/>
          <w:sz w:val="28"/>
          <w:szCs w:val="28"/>
          <w:rtl/>
        </w:rPr>
        <w:t xml:space="preserve">،منها:ما تقدّم من قوله صلّی اللّه علیه و آله:</w:t>
      </w:r>
    </w:p>
    <w:p>
      <w:pPr>
        <w:pStyle w:val="BookText"/>
      </w:pPr>
      <w:r>
        <w:rPr>
          <w:rFonts w:ascii="IRNazanin" w:hAnsi="IRNazanin" w:eastAsia="IRNazanin" w:cs="IRNazanin"/>
          <w:lang w:bidi="fa-IR"/>
          <w:color w:val="111111"/>
          <w:sz w:val="28"/>
          <w:szCs w:val="28"/>
          <w:rtl/>
        </w:rPr>
        <w:t xml:space="preserve">«لا تجامعوا علی النکاح بالشبهة»،قال علیه السّلام:«فإذا بلغک أنّ امرأة أرضعتک»-إلی أن قال-:«إنّ الوقوف عند الشبهة خیر من الاقتحام فی الهلکة» </w:t>
      </w:r>
      <w:r>
        <w:rPr>
          <w:rStyle w:val="FootnoteReference"/>
        </w:rPr>
        <w:footnoteReference w:id="4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تعارض هذه بما دلّ علی عدم وجوب السؤال و التوبیخ علیه </w:t>
      </w:r>
      <w:r>
        <w:rPr>
          <w:rStyle w:val="FootnoteReference"/>
        </w:rPr>
        <w:footnoteReference w:id="453"/>
      </w:r>
      <w:r>
        <w:rPr>
          <w:rFonts w:ascii="IRNazanin" w:hAnsi="IRNazanin" w:eastAsia="IRNazanin" w:cs="IRNazanin"/>
          <w:lang w:bidi="fa-IR"/>
          <w:color w:val="111111"/>
          <w:sz w:val="28"/>
          <w:szCs w:val="28"/>
          <w:rtl/>
        </w:rPr>
        <w:t xml:space="preserve">،و عدم قبول قول من یدّعی حرمة المعقودة مطلقا </w:t>
      </w:r>
      <w:r>
        <w:rPr>
          <w:rStyle w:val="FootnoteReference"/>
        </w:rPr>
        <w:footnoteReference w:id="454"/>
      </w:r>
      <w:r>
        <w:rPr>
          <w:rFonts w:ascii="IRNazanin" w:hAnsi="IRNazanin" w:eastAsia="IRNazanin" w:cs="IRNazanin"/>
          <w:lang w:bidi="fa-IR"/>
          <w:color w:val="111111"/>
          <w:sz w:val="28"/>
          <w:szCs w:val="28"/>
          <w:rtl/>
        </w:rPr>
        <w:t xml:space="preserve">أو بشرط عدم کونه ثقة </w:t>
      </w:r>
      <w:r>
        <w:rPr>
          <w:rStyle w:val="FootnoteReference"/>
        </w:rPr>
        <w:footnoteReference w:id="455"/>
      </w:r>
      <w:r>
        <w:rPr>
          <w:rFonts w:ascii="IRNazanin" w:hAnsi="IRNazanin" w:eastAsia="IRNazanin" w:cs="IRNazanin"/>
          <w:lang w:bidi="fa-IR"/>
          <w:color w:val="111111"/>
          <w:sz w:val="28"/>
          <w:szCs w:val="28"/>
          <w:rtl/>
        </w:rPr>
        <w:t xml:space="preserve">،و غیر ذلک </w:t>
      </w:r>
      <w:r>
        <w:rPr>
          <w:rStyle w:val="FootnoteReference"/>
        </w:rPr>
        <w:footnoteReference w:id="4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فیه:أنّ مساقها التسهیل و عدم وجوب الاحتیاط،فلا ینافی الاستحباب.</w:t>
      </w:r>
    </w:p>
    <w:p>
      <w:pPr>
        <w:pStyle w:val="Heading6"/>
      </w:pPr>
      <w:bookmarkStart w:id="1129" w:name="_Toc164"/>
      <w:r>
        <w:t>[التبعیض بین مورد الأمارة علی الإباحة و بین غیره]</w:t>
      </w:r>
      <w:bookmarkEnd w:id="1129"/>
    </w:p>
    <w:p>
      <w:pPr>
        <w:pStyle w:val="BookText"/>
      </w:pPr>
      <w:r>
        <w:rPr>
          <w:rFonts w:ascii="IRNazanin" w:hAnsi="IRNazanin" w:eastAsia="IRNazanin" w:cs="IRNazanin"/>
          <w:lang w:bidi="fa-IR"/>
          <w:color w:val="111111"/>
          <w:sz w:val="28"/>
          <w:szCs w:val="28"/>
          <w:rtl/>
        </w:rPr>
        <w:t xml:space="preserve">و یحتمل التبعیض بین مورد الأمارة علی الإباحة و موارد لا یوجد</w:t>
      </w:r>
    </w:p>
    <w:p>
      <w:pPr>
        <w:pStyle w:val="BookText"/>
      </w:pPr>
      <w:r>
        <w:rPr>
          <w:rFonts w:ascii="IRNazanin" w:hAnsi="IRNazanin" w:eastAsia="IRNazanin" w:cs="IRNazanin"/>
          <w:lang w:bidi="fa-IR"/>
          <w:color w:val="111111"/>
          <w:sz w:val="28"/>
          <w:szCs w:val="28"/>
          <w:rtl/>
        </w:rPr>
        <w:t xml:space="preserve">[شماره صفحه واقعی : 138]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فیها </w:t>
      </w:r>
      <w:r>
        <w:rPr>
          <w:rStyle w:val="FootnoteReference"/>
        </w:rPr>
        <w:footnoteReference w:id="457"/>
      </w:r>
      <w:r>
        <w:rPr>
          <w:rFonts w:ascii="IRNazanin" w:hAnsi="IRNazanin" w:eastAsia="IRNazanin" w:cs="IRNazanin"/>
          <w:lang w:bidi="fa-IR"/>
          <w:color w:val="111111"/>
          <w:sz w:val="28"/>
          <w:szCs w:val="28"/>
          <w:rtl/>
        </w:rPr>
        <w:t xml:space="preserve">إلاّ أصالة الإباحة،فیحمل ما ورد من الاجتناب عن الشبهات و الوقوف عند الشبهات علی الثانی دون الأوّل؛لعدم صدق الشبهة بعد الأمارة الشرعیّة علی الإباحة؛فإنّ الأمارات فی الموضوعات بمنزلة الأدلّة فی الأحکام مزیلة للشبهة،خصوصا إذا کان المراد من الشبهة ما یتحیّر فی حکمه و لا بیان من الشارع لا عموما و لا خصوصا بالنسبة إلیه،دون مطلق ما فیه الاحتمال،و هذا بخلاف أصالة الإباحة؛فإنّها حکم فی مورد الشبهة لا مزیلة لها.</w:t>
      </w:r>
    </w:p>
    <w:p>
      <w:pPr>
        <w:pStyle w:val="BookText"/>
      </w:pPr>
      <w:r>
        <w:rPr>
          <w:rFonts w:ascii="IRNazanin" w:hAnsi="IRNazanin" w:eastAsia="IRNazanin" w:cs="IRNazanin"/>
          <w:lang w:bidi="fa-IR"/>
          <w:color w:val="111111"/>
          <w:sz w:val="28"/>
          <w:szCs w:val="28"/>
          <w:rtl/>
        </w:rPr>
        <w:t xml:space="preserve">هذا،و لکن أدلّة الاحتیاط لا تنحصر فی ما ذکر فیه لفظ«الشبهة»، بل العقل مستقلّ بحسن الاحتیاط مطلقا.</w:t>
      </w:r>
    </w:p>
    <w:p>
      <w:pPr>
        <w:pStyle w:val="BookText"/>
      </w:pPr>
      <w:r>
        <w:rPr>
          <w:rFonts w:ascii="IRNazanin" w:hAnsi="IRNazanin" w:eastAsia="IRNazanin" w:cs="IRNazanin"/>
          <w:lang w:bidi="fa-IR"/>
          <w:color w:val="111111"/>
          <w:sz w:val="28"/>
          <w:szCs w:val="28"/>
          <w:rtl/>
        </w:rPr>
        <w:t xml:space="preserve">فالأولی:الحکم برجحان الاحتیاط فی کلّ موضع لا یلزم منه الحرام </w:t>
      </w:r>
      <w:r>
        <w:rPr>
          <w:rStyle w:val="FootnoteReference"/>
        </w:rPr>
        <w:footnoteReference w:id="458"/>
      </w:r>
      <w:r>
        <w:rPr>
          <w:rFonts w:ascii="IRNazanin" w:hAnsi="IRNazanin" w:eastAsia="IRNazanin" w:cs="IRNazanin"/>
          <w:lang w:bidi="fa-IR"/>
          <w:color w:val="111111"/>
          <w:sz w:val="28"/>
          <w:szCs w:val="28"/>
          <w:rtl/>
        </w:rPr>
        <w:t xml:space="preserve">.و ما ذکر من أنّ تحدید الاستحباب بصورة لزوم الاختلال عسر،فهو إنّما یقدح فی وجوب الاحتیاط لا فی حسنه.</w:t>
      </w:r>
    </w:p>
    <w:p>
      <w:pPr>
        <w:pStyle w:val="BookText"/>
      </w:pPr>
      <w:r>
        <w:rPr>
          <w:rFonts w:ascii="IRNazanin" w:hAnsi="IRNazanin" w:eastAsia="IRNazanin" w:cs="IRNazanin"/>
          <w:lang w:bidi="fa-IR"/>
          <w:color w:val="111111"/>
          <w:sz w:val="28"/>
          <w:szCs w:val="28"/>
          <w:rtl/>
        </w:rPr>
        <w:t xml:space="preserve">[شماره صفحه واقعی : 139]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81" w:name="pg14411_142529"/>
    <w:bookmarkEnd w:id="81"/>
    <w:p>
      <w:pPr>
        <w:pStyle w:val="Heading6"/>
      </w:pPr>
      <w:bookmarkStart w:id="1130" w:name="_Toc165"/>
      <w:r>
        <w:t>الأمر الرابع [:عدم اختصاص الإباحة بالعاجز عن الاستعلام]</w:t>
      </w:r>
      <w:bookmarkEnd w:id="1130"/>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إباحة ما یحتمل الحرمة غیر مختصّة بالعاجز عن الاستعلام،بل یشمل القادر علی تحصیل العلم بالواقع؛لعموم أدلّته من العقل و النقل، و قوله علیه السّلام فی ذیل روایة مسعدة بن صدقة:«و الأشیاء کلّها علی هذا حتّی یستبین لک غیره أو تقوم به البیّنة» </w:t>
      </w:r>
      <w:r>
        <w:rPr>
          <w:rStyle w:val="FootnoteReference"/>
        </w:rPr>
        <w:footnoteReference w:id="459"/>
      </w:r>
      <w:r>
        <w:rPr>
          <w:rFonts w:ascii="IRNazanin" w:hAnsi="IRNazanin" w:eastAsia="IRNazanin" w:cs="IRNazanin"/>
          <w:lang w:bidi="fa-IR"/>
          <w:color w:val="111111"/>
          <w:sz w:val="28"/>
          <w:szCs w:val="28"/>
          <w:rtl/>
        </w:rPr>
        <w:t xml:space="preserve">فإنّ ظاهره حصول الاستبانة و قیام البیّنة لا التحصیل،و قوله:«هو لک حلال حتّی یجیئک شاهدان» </w:t>
      </w:r>
      <w:r>
        <w:rPr>
          <w:rStyle w:val="FootnoteReference"/>
        </w:rPr>
        <w:footnoteReference w:id="4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لکن هذا و أشباهه-مثل قوله علیه السّلام فی اللحم المشتری من السوق:«کل و لا تسأل» </w:t>
      </w:r>
      <w:r>
        <w:rPr>
          <w:rStyle w:val="FootnoteReference"/>
        </w:rPr>
        <w:footnoteReference w:id="461"/>
      </w:r>
      <w:r>
        <w:rPr>
          <w:rFonts w:ascii="IRNazanin" w:hAnsi="IRNazanin" w:eastAsia="IRNazanin" w:cs="IRNazanin"/>
          <w:lang w:bidi="fa-IR"/>
          <w:color w:val="111111"/>
          <w:sz w:val="28"/>
          <w:szCs w:val="28"/>
          <w:rtl/>
        </w:rPr>
        <w:t xml:space="preserve">،و قوله علیه السّلام:«لیس علیکم المسألة؛إنّ الخوارج ضیّقوا علی أنفسهم» </w:t>
      </w:r>
      <w:r>
        <w:rPr>
          <w:rStyle w:val="FootnoteReference"/>
        </w:rPr>
        <w:footnoteReference w:id="462"/>
      </w:r>
      <w:r>
        <w:rPr>
          <w:rFonts w:ascii="IRNazanin" w:hAnsi="IRNazanin" w:eastAsia="IRNazanin" w:cs="IRNazanin"/>
          <w:lang w:bidi="fa-IR"/>
          <w:color w:val="111111"/>
          <w:sz w:val="28"/>
          <w:szCs w:val="28"/>
          <w:rtl/>
        </w:rPr>
        <w:t xml:space="preserve">،و قوله علیه السّلام فی حکایة المنقطعة التی تبیّن لها زوج:«لم سألت» </w:t>
      </w:r>
      <w:r>
        <w:rPr>
          <w:rStyle w:val="FootnoteReference"/>
        </w:rPr>
        <w:footnoteReference w:id="463"/>
      </w:r>
      <w:r>
        <w:rPr>
          <w:rFonts w:ascii="IRNazanin" w:hAnsi="IRNazanin" w:eastAsia="IRNazanin" w:cs="IRNazanin"/>
          <w:lang w:bidi="fa-IR"/>
          <w:color w:val="111111"/>
          <w:sz w:val="28"/>
          <w:szCs w:val="28"/>
          <w:rtl/>
        </w:rPr>
        <w:t xml:space="preserve">-واردة فی موارد وجود الأمارة الشرعیّة علی الحلّیة،فلا تشمل ما نحن فیه.</w:t>
      </w:r>
    </w:p>
    <w:p>
      <w:pPr>
        <w:pStyle w:val="BookText"/>
      </w:pPr>
      <w:r>
        <w:rPr>
          <w:rFonts w:ascii="IRNazanin" w:hAnsi="IRNazanin" w:eastAsia="IRNazanin" w:cs="IRNazanin"/>
          <w:lang w:bidi="fa-IR"/>
          <w:color w:val="111111"/>
          <w:sz w:val="28"/>
          <w:szCs w:val="28"/>
          <w:rtl/>
        </w:rPr>
        <w:t xml:space="preserve">إلاّ أنّ المسألة غیر خلافیّة،مع کفایة الإطلاقات.</w:t>
      </w:r>
    </w:p>
    <w:p>
      <w:pPr>
        <w:pStyle w:val="BookText"/>
      </w:pPr>
      <w:r>
        <w:rPr>
          <w:rFonts w:ascii="IRNazanin" w:hAnsi="IRNazanin" w:eastAsia="IRNazanin" w:cs="IRNazanin"/>
          <w:lang w:bidi="fa-IR"/>
          <w:color w:val="111111"/>
          <w:sz w:val="28"/>
          <w:szCs w:val="28"/>
          <w:rtl/>
        </w:rPr>
        <w:t xml:space="preserve">[شماره صفحه واقعی : 140]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82" w:name="pg14411_142530"/>
    <w:bookmarkEnd w:id="82"/>
    <w:p>
      <w:pPr>
        <w:pStyle w:val="Heading6"/>
      </w:pPr>
      <w:bookmarkStart w:id="1131" w:name="_Toc166"/>
      <w:r>
        <w:t>المطلب الثانی [:الشبهة الوجوبیّة،و فیه مسائل:]</w:t>
      </w:r>
      <w:bookmarkEnd w:id="1131"/>
    </w:p>
    <w:p>
      <w:pPr>
        <w:pStyle w:val="Heading6"/>
      </w:pPr>
      <w:bookmarkStart w:id="1132" w:name="_Toc167"/>
      <w:r>
        <w:t>اشارة</w:t>
      </w:r>
      <w:bookmarkEnd w:id="1132"/>
    </w:p>
    <w:p>
      <w:pPr>
        <w:pStyle w:val="BookText"/>
      </w:pPr>
      <w:r>
        <w:rPr>
          <w:rFonts w:ascii="IRNazanin" w:hAnsi="IRNazanin" w:eastAsia="IRNazanin" w:cs="IRNazanin"/>
          <w:lang w:bidi="fa-IR"/>
          <w:color w:val="111111"/>
          <w:sz w:val="28"/>
          <w:szCs w:val="28"/>
          <w:rtl/>
        </w:rPr>
        <w:t xml:space="preserve">فی دوران حکم الفعل بین الوجوب و غیر الحرمة من الأحکام و فیه-أیضا-مسائل:</w:t>
      </w:r>
    </w:p>
    <w:p>
      <w:pPr>
        <w:pStyle w:val="BookText"/>
      </w:pPr>
      <w:r>
        <w:rPr>
          <w:rFonts w:ascii="IRNazanin" w:hAnsi="IRNazanin" w:eastAsia="IRNazanin" w:cs="IRNazanin"/>
          <w:lang w:bidi="fa-IR"/>
          <w:color w:val="111111"/>
          <w:sz w:val="28"/>
          <w:szCs w:val="28"/>
          <w:rtl/>
        </w:rPr>
        <w:t xml:space="preserve">[شماره صفحه واقعی : 141]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83" w:name="pg14411_142531"/>
    <w:bookmarkEnd w:id="83"/>
    <w:p>
      <w:pPr>
        <w:pStyle w:val="Heading6"/>
      </w:pPr>
      <w:bookmarkStart w:id="1133" w:name="_Toc168"/>
      <w:r>
        <w:t>المسألة الاولی [:الشبهة الوجوبیّة من جهة فقدان النصّ]</w:t>
      </w:r>
      <w:bookmarkEnd w:id="1133"/>
    </w:p>
    <w:p>
      <w:pPr>
        <w:pStyle w:val="Heading6"/>
      </w:pPr>
      <w:bookmarkStart w:id="1134" w:name="_Toc169"/>
      <w:r>
        <w:t>اشارة</w:t>
      </w:r>
      <w:bookmarkEnd w:id="1134"/>
    </w:p>
    <w:p>
      <w:pPr>
        <w:pStyle w:val="BookText"/>
      </w:pPr>
      <w:r>
        <w:rPr>
          <w:rFonts w:ascii="IRNazanin" w:hAnsi="IRNazanin" w:eastAsia="IRNazanin" w:cs="IRNazanin"/>
          <w:lang w:bidi="fa-IR"/>
          <w:color w:val="111111"/>
          <w:sz w:val="28"/>
          <w:szCs w:val="28"/>
          <w:rtl/>
        </w:rPr>
        <w:t xml:space="preserve">فیما اشتبه حکمه الشرعیّ الکلّی من جهة عدم النصّ المعتبر کما إذا ورد خبر ضعیف أو فتوی جماعة بوجوب فعل،کالدعاء عند رؤیة الهلال،و کالاستهلال فی رمضان،و غیر ذلک.</w:t>
      </w:r>
    </w:p>
    <w:p>
      <w:pPr>
        <w:pStyle w:val="Heading6"/>
      </w:pPr>
      <w:bookmarkStart w:id="1135" w:name="_Toc170"/>
      <w:r>
        <w:t>[المعروف من الأخباریّین عدم وجوب الاحتیاط]</w:t>
      </w:r>
      <w:bookmarkEnd w:id="1135"/>
    </w:p>
    <w:p>
      <w:pPr>
        <w:pStyle w:val="BookText"/>
      </w:pPr>
      <w:r>
        <w:rPr>
          <w:rFonts w:ascii="IRNazanin" w:hAnsi="IRNazanin" w:eastAsia="IRNazanin" w:cs="IRNazanin"/>
          <w:lang w:bidi="fa-IR"/>
          <w:color w:val="111111"/>
          <w:sz w:val="28"/>
          <w:szCs w:val="28"/>
          <w:rtl/>
        </w:rPr>
        <w:t xml:space="preserve">و المعروف من الأخباریّین هنا موافقة المجتهدین فی العمل بأصالة البراءة و عدم وجوب الاحتیاط،</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قال المحدّث الحرّ العاملیّ-فی باب القضاء من الوسائل-:إنّه لا خلاف فی نفی الوجوب عند الشکّ فی الوجوب،إلاّ إذا علمنا اشتغال الذمّة بعبادة معیّنة و حصل الشکّ بین فردین،کالقصر و التمام و الظهر و الجمعة و جزاء واحد للصید أو اثنین و نحو ذلک،فإنّه یجب الجمع بین العبادتین؛لتحریم ترکهما معا؛للنصّ، و تحریم الجزم بوجوب أحدهما بعینه؛عملا بأحادیث الاحتیاط </w:t>
      </w:r>
      <w:r>
        <w:rPr>
          <w:rStyle w:val="FootnoteReference"/>
        </w:rPr>
        <w:footnoteReference w:id="464"/>
      </w:r>
      <w:r>
        <w:rPr>
          <w:rFonts w:ascii="IRNazanin" w:hAnsi="IRNazanin" w:eastAsia="IRNazanin" w:cs="IRNazanin"/>
          <w:lang w:bidi="fa-IR"/>
          <w:color w:val="111111"/>
          <w:sz w:val="28"/>
          <w:szCs w:val="28"/>
          <w:rtl/>
        </w:rPr>
        <w:t xml:space="preserve">،انتهی موضع الحاجة.</w:t>
      </w:r>
    </w:p>
    <w:p>
      <w:pPr>
        <w:pStyle w:val="BookText"/>
      </w:pPr>
      <w:r>
        <w:rPr>
          <w:rFonts w:ascii="IRNazanin" w:hAnsi="IRNazanin" w:eastAsia="IRNazanin" w:cs="IRNazanin"/>
          <w:lang w:bidi="fa-IR"/>
          <w:color w:val="111111"/>
          <w:sz w:val="28"/>
          <w:szCs w:val="28"/>
          <w:rtl/>
        </w:rPr>
        <w:t xml:space="preserve">و قال المحدّث البحرانی-فی مقدّمات کتابه،بعد تقسیم أصل البراءة إلی قسمین:أحدهما:أنّها عبارة عن نفی وجوب فعل وجودیّ،</w:t>
      </w:r>
    </w:p>
    <w:p>
      <w:pPr>
        <w:pStyle w:val="BookText"/>
      </w:pPr>
      <w:r>
        <w:rPr>
          <w:rFonts w:ascii="IRNazanin" w:hAnsi="IRNazanin" w:eastAsia="IRNazanin" w:cs="IRNazanin"/>
          <w:lang w:bidi="fa-IR"/>
          <w:color w:val="111111"/>
          <w:sz w:val="28"/>
          <w:szCs w:val="28"/>
          <w:rtl/>
        </w:rPr>
        <w:t xml:space="preserve">[شماره صفحه واقعی : 142]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بمعنی:أنّ الأصل عدم الوجوب حتّی یقوم دلیل علی الوجوب:</w:t>
      </w:r>
    </w:p>
    <w:p>
      <w:pPr>
        <w:pStyle w:val="BookText"/>
      </w:pPr>
      <w:r>
        <w:rPr>
          <w:rFonts w:ascii="IRNazanin" w:hAnsi="IRNazanin" w:eastAsia="IRNazanin" w:cs="IRNazanin"/>
          <w:lang w:bidi="fa-IR"/>
          <w:color w:val="111111"/>
          <w:sz w:val="28"/>
          <w:szCs w:val="28"/>
          <w:rtl/>
        </w:rPr>
        <w:t xml:space="preserve">و هذا القسم لا خلاف فی صحّة الاستدلال به؛إذ لم یقل أحد:</w:t>
      </w:r>
    </w:p>
    <w:p>
      <w:pPr>
        <w:pStyle w:val="BookText"/>
      </w:pPr>
      <w:r>
        <w:rPr>
          <w:rFonts w:ascii="IRNazanin" w:hAnsi="IRNazanin" w:eastAsia="IRNazanin" w:cs="IRNazanin"/>
          <w:lang w:bidi="fa-IR"/>
          <w:color w:val="111111"/>
          <w:sz w:val="28"/>
          <w:szCs w:val="28"/>
          <w:rtl/>
        </w:rPr>
        <w:t xml:space="preserve">إنّ الأصل الوجوب </w:t>
      </w:r>
      <w:r>
        <w:rPr>
          <w:rStyle w:val="FootnoteReference"/>
        </w:rPr>
        <w:footnoteReference w:id="4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فی محکیّ کتابه-المسمّی بالدرر النجفیّة-:إن کان الحکم المشکوک دلیله هو الوجوب،فلا خلاف و لا إشکال فی انتفائه حتّی یظهر دلیله؛لاستلزام التکلیف </w:t>
      </w:r>
      <w:r>
        <w:rPr>
          <w:rStyle w:val="FootnoteReference"/>
        </w:rPr>
        <w:footnoteReference w:id="466"/>
      </w:r>
      <w:r>
        <w:rPr>
          <w:rFonts w:ascii="IRNazanin" w:hAnsi="IRNazanin" w:eastAsia="IRNazanin" w:cs="IRNazanin"/>
          <w:lang w:bidi="fa-IR"/>
          <w:color w:val="111111"/>
          <w:sz w:val="28"/>
          <w:szCs w:val="28"/>
          <w:rtl/>
        </w:rPr>
        <w:t xml:space="preserve">بدون الدلیل الحرج و التکلیف بما لا یطاق </w:t>
      </w:r>
      <w:r>
        <w:rPr>
          <w:rStyle w:val="FootnoteReference"/>
        </w:rPr>
        <w:footnoteReference w:id="467"/>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لکنّه قدّس سرّه فی مسألة وجوب الاحتیاط،قال بعد القطع برجحان الاحتیاط:</w:t>
      </w:r>
    </w:p>
    <w:p>
      <w:pPr>
        <w:pStyle w:val="BookText"/>
      </w:pPr>
      <w:r>
        <w:rPr>
          <w:rFonts w:ascii="IRNazanin" w:hAnsi="IRNazanin" w:eastAsia="IRNazanin" w:cs="IRNazanin"/>
          <w:lang w:bidi="fa-IR"/>
          <w:color w:val="111111"/>
          <w:sz w:val="28"/>
          <w:szCs w:val="28"/>
          <w:rtl/>
        </w:rPr>
        <w:t xml:space="preserve">إنّ منه ما یکون واجبا،و منه ما یکون مستحبّا:</w:t>
      </w:r>
    </w:p>
    <w:p>
      <w:pPr>
        <w:pStyle w:val="BookText"/>
      </w:pPr>
      <w:r>
        <w:rPr>
          <w:rFonts w:ascii="IRNazanin" w:hAnsi="IRNazanin" w:eastAsia="IRNazanin" w:cs="IRNazanin"/>
          <w:lang w:bidi="fa-IR"/>
          <w:color w:val="111111"/>
          <w:sz w:val="28"/>
          <w:szCs w:val="28"/>
          <w:rtl/>
        </w:rPr>
        <w:t xml:space="preserve">فالأوّل:کما إذا تردّد المکلّف فی الحکم،إمّا لتعارض الأدلّة،أو لتشابهها و عدم وضوح دلالتها،أو لعدم الدلیل بالکلّیة بناء علی نفی البراءة الأصلیّة،أو لکون ذلک الفرد مشکوکا فی اندراجه تحت بعض الکلّیات المعلومة الحکم،أو نحو ذلک.</w:t>
      </w:r>
    </w:p>
    <w:p>
      <w:pPr>
        <w:pStyle w:val="BookText"/>
      </w:pPr>
      <w:r>
        <w:rPr>
          <w:rFonts w:ascii="IRNazanin" w:hAnsi="IRNazanin" w:eastAsia="IRNazanin" w:cs="IRNazanin"/>
          <w:lang w:bidi="fa-IR"/>
          <w:color w:val="111111"/>
          <w:sz w:val="28"/>
          <w:szCs w:val="28"/>
          <w:rtl/>
        </w:rPr>
        <w:t xml:space="preserve">و الثانی:کما إذا حصل الشکّ باحتمال وجود النقیض لما قام علیه الدلیل الشرعیّ احتمالا مستندا إلی بعض الأسباب المجوّزة،کما إذا کان مقتضی الدلیل الشرعیّ إباحة شیء و حلّیته لکن یحتمل قریبا بسبب</w:t>
      </w:r>
    </w:p>
    <w:p>
      <w:pPr>
        <w:pStyle w:val="BookText"/>
      </w:pPr>
      <w:r>
        <w:rPr>
          <w:rFonts w:ascii="IRNazanin" w:hAnsi="IRNazanin" w:eastAsia="IRNazanin" w:cs="IRNazanin"/>
          <w:lang w:bidi="fa-IR"/>
          <w:color w:val="111111"/>
          <w:sz w:val="28"/>
          <w:szCs w:val="28"/>
          <w:rtl/>
        </w:rPr>
        <w:t xml:space="preserve">[شماره صفحه واقعی : 143]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بعض تلک الأسباب أنّه ممّا حرّمه الشارع و إن لم یعلم به المکلّف.</w:t>
      </w:r>
    </w:p>
    <w:p>
      <w:pPr>
        <w:pStyle w:val="BookText"/>
      </w:pPr>
      <w:r>
        <w:rPr>
          <w:rFonts w:ascii="IRNazanin" w:hAnsi="IRNazanin" w:eastAsia="IRNazanin" w:cs="IRNazanin"/>
          <w:lang w:bidi="fa-IR"/>
          <w:color w:val="111111"/>
          <w:sz w:val="28"/>
          <w:szCs w:val="28"/>
          <w:rtl/>
        </w:rPr>
        <w:t xml:space="preserve">و منه جوائز الجائر،و نکاح امرأة بلغک أنّها ارتضعت </w:t>
      </w:r>
      <w:r>
        <w:rPr>
          <w:rStyle w:val="FootnoteReference"/>
        </w:rPr>
        <w:footnoteReference w:id="468"/>
      </w:r>
      <w:r>
        <w:rPr>
          <w:rFonts w:ascii="IRNazanin" w:hAnsi="IRNazanin" w:eastAsia="IRNazanin" w:cs="IRNazanin"/>
          <w:lang w:bidi="fa-IR"/>
          <w:color w:val="111111"/>
          <w:sz w:val="28"/>
          <w:szCs w:val="28"/>
          <w:rtl/>
        </w:rPr>
        <w:t xml:space="preserve">معک الرضاع المحرّم إلاّ أنّه لم یثبت ذلک شرعا،و منه أیضا الدلیل المرجوح فی نظر الفقیه.</w:t>
      </w:r>
    </w:p>
    <w:p>
      <w:pPr>
        <w:pStyle w:val="BookText"/>
      </w:pPr>
      <w:r>
        <w:rPr>
          <w:rFonts w:ascii="IRNazanin" w:hAnsi="IRNazanin" w:eastAsia="IRNazanin" w:cs="IRNazanin"/>
          <w:lang w:bidi="fa-IR"/>
          <w:color w:val="111111"/>
          <w:sz w:val="28"/>
          <w:szCs w:val="28"/>
          <w:rtl/>
        </w:rPr>
        <w:t xml:space="preserve">أمّا إذا لم یحصل ما یوجب الشکّ و الریبة،فإنّه یعمل علی ما ظهر له من الأدلّة و إن احتمل النقیض باعتبار الواقع،و لا یستحبّ له الاحتیاط هنا،بل ربما کان مرجوحا؛لاستفاضة الأخبار بالنهی عن السؤال عند الشراء من سوق المسلمین.</w:t>
      </w:r>
    </w:p>
    <w:p>
      <w:pPr>
        <w:pStyle w:val="BookText"/>
      </w:pPr>
      <w:r>
        <w:rPr>
          <w:rFonts w:ascii="IRNazanin" w:hAnsi="IRNazanin" w:eastAsia="IRNazanin" w:cs="IRNazanin"/>
          <w:lang w:bidi="fa-IR"/>
          <w:color w:val="111111"/>
          <w:sz w:val="28"/>
          <w:szCs w:val="28"/>
          <w:rtl/>
        </w:rPr>
        <w:t xml:space="preserve">ثمّ ذکر الأمثلة للأقسام الثلاثة لوجوب الاحتیاط،أعنی اشتباه الدلیل و تردّده بین الوجوب و الاستحباب،و تعارض الدلیلین،و عدم النصّ،</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قال: و من هذا القسم:ما لم یرد فیه نصّ من الأحکام التی لا یعمّ بها البلوی عند من لم یعتمد علی البراءة الأصلیّة،فإنّ الحکم فیه ما ذکر،کما سلف </w:t>
      </w:r>
      <w:r>
        <w:rPr>
          <w:rStyle w:val="FootnoteReference"/>
        </w:rPr>
        <w:footnoteReference w:id="469"/>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ممّن یظهر منه وجوب الاحتیاط هنا:المحدّث الأسترابادیّ، حیث حکی عنه فی الفوائد المدنیّة،أنّه قال:</w:t>
      </w:r>
    </w:p>
    <w:p>
      <w:pPr>
        <w:pStyle w:val="BookText"/>
      </w:pPr>
      <w:r>
        <w:rPr>
          <w:rFonts w:ascii="IRNazanin" w:hAnsi="IRNazanin" w:eastAsia="IRNazanin" w:cs="IRNazanin"/>
          <w:lang w:bidi="fa-IR"/>
          <w:color w:val="111111"/>
          <w:sz w:val="28"/>
          <w:szCs w:val="28"/>
          <w:rtl/>
        </w:rPr>
        <w:t xml:space="preserve">إنّ التمسّک بالبراءة الأصلیّة من حیث هی هی إنّما یجوز قبل إکمال الدین،و أمّا بعد تواتر الأخبار بأنّ کلّ واقعة محتاج إلیها فیها خطاب قطعیّ من قبل اللّه تعالی،فلا یجوز قطعا؛و کیف یجوز؟</w:t>
      </w:r>
    </w:p>
    <w:p>
      <w:pPr>
        <w:pStyle w:val="BookText"/>
      </w:pPr>
      <w:r>
        <w:rPr>
          <w:rFonts w:ascii="IRNazanin" w:hAnsi="IRNazanin" w:eastAsia="IRNazanin" w:cs="IRNazanin"/>
          <w:lang w:bidi="fa-IR"/>
          <w:color w:val="111111"/>
          <w:sz w:val="28"/>
          <w:szCs w:val="28"/>
          <w:rtl/>
        </w:rPr>
        <w:t xml:space="preserve">[شماره صفحه واقعی : 144]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قد تواتر عنهم علیهم السّلام وجوب التوقّف فی ما لم یعلم حکمها،معلّلین:</w:t>
      </w:r>
    </w:p>
    <w:p>
      <w:pPr>
        <w:pStyle w:val="BookText"/>
      </w:pPr>
      <w:r>
        <w:rPr>
          <w:rFonts w:ascii="IRNazanin" w:hAnsi="IRNazanin" w:eastAsia="IRNazanin" w:cs="IRNazanin"/>
          <w:lang w:bidi="fa-IR"/>
          <w:color w:val="111111"/>
          <w:sz w:val="28"/>
          <w:szCs w:val="28"/>
          <w:rtl/>
        </w:rPr>
        <w:t xml:space="preserve">بأنّه بعد أن کملت الشریعة لا تخلو واقعة عن حکم قطعیّ وارد من اللّه تعالی،و بأنّ من حکم بغیر ما أنزل اللّه تعالی فاولئک هم الکافرون.</w:t>
      </w:r>
    </w:p>
    <w:p>
      <w:pPr>
        <w:pStyle w:val="BookText"/>
      </w:pPr>
      <w:r>
        <w:rPr>
          <w:rFonts w:ascii="IRNazanin" w:hAnsi="IRNazanin" w:eastAsia="IRNazanin" w:cs="IRNazanin"/>
          <w:lang w:bidi="fa-IR"/>
          <w:color w:val="111111"/>
          <w:sz w:val="28"/>
          <w:szCs w:val="28"/>
          <w:rtl/>
        </w:rPr>
        <w:t xml:space="preserve">ثمّ أقول:هذا المقام ممّا زلّت فیه أقدام أقوام من فحول العلماء، فحریّ بنا أن نحقّق المقام و نوضّحه بتوفیق الملک العلاّم و دلالة أهل الذکر علیهم السّلام،فنقول:التمسّک بالبراءة الأصلیّة إنّما یتمّ عند الأشاعرة المنکرین للحسن و القبح الذاتیّین،و کذلک عند من یقول بهما و لا یقول بالحرمة و الوجوب الذاتیّین،کما هو المستفاد من کلامهم علیهم السّلام،و هو الحقّ عندی.</w:t>
      </w:r>
    </w:p>
    <w:p>
      <w:pPr>
        <w:pStyle w:val="BookText"/>
      </w:pPr>
      <w:r>
        <w:rPr>
          <w:rFonts w:ascii="IRNazanin" w:hAnsi="IRNazanin" w:eastAsia="IRNazanin" w:cs="IRNazanin"/>
          <w:lang w:bidi="fa-IR"/>
          <w:color w:val="111111"/>
          <w:sz w:val="28"/>
          <w:szCs w:val="28"/>
          <w:rtl/>
        </w:rPr>
        <w:t xml:space="preserve">ثمّ علی هذین المذهبین إنّما یتمّ قبل إکمال الدین لا بعده،إلاّ علی مذهب من جوّز من العامّة خلوّ الواقعة عن حکم وارد من اللّه تعالی.</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لا یقال:بقی هنا أصل آخر،و هو أن یکون الخطاب الذی ورد من اللّه تعالی موافقا للبراءة الأصلیّة.</w:t>
      </w:r>
    </w:p>
    <w:p>
      <w:pPr>
        <w:pStyle w:val="BookText"/>
      </w:pPr>
      <w:r>
        <w:rPr>
          <w:rFonts w:ascii="IRNazanin" w:hAnsi="IRNazanin" w:eastAsia="IRNazanin" w:cs="IRNazanin"/>
          <w:lang w:bidi="fa-IR"/>
          <w:color w:val="111111"/>
          <w:sz w:val="28"/>
          <w:szCs w:val="28"/>
          <w:rtl/>
        </w:rPr>
        <w:t xml:space="preserve">لأنّا نقول:هذا الکلام ممّا لا یرضی به لبیب؛لأنّ خطابه تعالی تابع للحکم و المصالح،و مقتضیات الحکم و المصالح مختلفة.</w:t>
      </w:r>
    </w:p>
    <w:p>
      <w:pPr>
        <w:pStyle w:val="BookText"/>
      </w:pPr>
      <w:r>
        <w:rPr>
          <w:rFonts w:ascii="IRNazanin" w:hAnsi="IRNazanin" w:eastAsia="IRNazanin" w:cs="IRNazanin"/>
          <w:lang w:bidi="fa-IR"/>
          <w:color w:val="111111"/>
          <w:sz w:val="28"/>
          <w:szCs w:val="28"/>
          <w:rtl/>
        </w:rPr>
        <w:t xml:space="preserve">إلی أن قال:</w:t>
      </w:r>
    </w:p>
    <w:p>
      <w:pPr>
        <w:pStyle w:val="BookText"/>
      </w:pPr>
      <w:r>
        <w:rPr>
          <w:rFonts w:ascii="IRNazanin" w:hAnsi="IRNazanin" w:eastAsia="IRNazanin" w:cs="IRNazanin"/>
          <w:lang w:bidi="fa-IR"/>
          <w:color w:val="111111"/>
          <w:sz w:val="28"/>
          <w:szCs w:val="28"/>
          <w:rtl/>
        </w:rPr>
        <w:t xml:space="preserve">هذا الکلام ممّا لا یرتاب فی قبحه،نظیر أن یقال:الأصل فی الأجسام تساوی نسبة طبائعها إلی جهة السفل و العلوّ،و من المعلوم بطلان هذا المقال.</w:t>
      </w:r>
    </w:p>
    <w:p>
      <w:pPr>
        <w:pStyle w:val="BookText"/>
      </w:pPr>
      <w:r>
        <w:rPr>
          <w:rFonts w:ascii="IRNazanin" w:hAnsi="IRNazanin" w:eastAsia="IRNazanin" w:cs="IRNazanin"/>
          <w:lang w:bidi="fa-IR"/>
          <w:color w:val="111111"/>
          <w:sz w:val="28"/>
          <w:szCs w:val="28"/>
          <w:rtl/>
        </w:rPr>
        <w:t xml:space="preserve">ثمّ أقول:الحدیث المتواتر بین الفریقین المشتمل علی حصر الامور</w:t>
      </w:r>
    </w:p>
    <w:p>
      <w:pPr>
        <w:pStyle w:val="BookText"/>
      </w:pPr>
      <w:r>
        <w:rPr>
          <w:rFonts w:ascii="IRNazanin" w:hAnsi="IRNazanin" w:eastAsia="IRNazanin" w:cs="IRNazanin"/>
          <w:lang w:bidi="fa-IR"/>
          <w:color w:val="111111"/>
          <w:sz w:val="28"/>
          <w:szCs w:val="28"/>
          <w:rtl/>
        </w:rPr>
        <w:t xml:space="preserve">[شماره صفحه واقعی : 145]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ثلاثة </w:t>
      </w:r>
      <w:r>
        <w:rPr>
          <w:rStyle w:val="FootnoteReference"/>
        </w:rPr>
        <w:footnoteReference w:id="470"/>
      </w:r>
      <w:r>
        <w:rPr>
          <w:rFonts w:ascii="IRNazanin" w:hAnsi="IRNazanin" w:eastAsia="IRNazanin" w:cs="IRNazanin"/>
          <w:lang w:bidi="fa-IR"/>
          <w:color w:val="111111"/>
          <w:sz w:val="28"/>
          <w:szCs w:val="28"/>
          <w:rtl/>
        </w:rPr>
        <w:t xml:space="preserve">،و حدیث:«دع ما یریبک إلی ما لا یریبک» </w:t>
      </w:r>
      <w:r>
        <w:rPr>
          <w:rStyle w:val="FootnoteReference"/>
        </w:rPr>
        <w:footnoteReference w:id="471"/>
      </w:r>
      <w:r>
        <w:rPr>
          <w:rFonts w:ascii="IRNazanin" w:hAnsi="IRNazanin" w:eastAsia="IRNazanin" w:cs="IRNazanin"/>
          <w:lang w:bidi="fa-IR"/>
          <w:color w:val="111111"/>
          <w:sz w:val="28"/>
          <w:szCs w:val="28"/>
          <w:rtl/>
        </w:rPr>
        <w:t xml:space="preserve">و نظائرهما، أخرج کلّ واقعة لم یکن حکمها بیّنا عن البراءة الأصلیّة،و أوجب التوقّف فیها.</w:t>
      </w:r>
    </w:p>
    <w:p>
      <w:pPr>
        <w:pStyle w:val="BookText"/>
      </w:pPr>
      <w:r>
        <w:rPr>
          <w:rFonts w:ascii="IRNazanin" w:hAnsi="IRNazanin" w:eastAsia="IRNazanin" w:cs="IRNazanin"/>
          <w:lang w:bidi="fa-IR"/>
          <w:color w:val="111111"/>
          <w:sz w:val="28"/>
          <w:szCs w:val="28"/>
          <w:rtl/>
        </w:rPr>
        <w:t xml:space="preserve">ثمّ قال-بعد أنّ الاحتیاط قد یکون فی محتمل الوجوب،و قد یکون فی محتمل الحرمة-:</w:t>
      </w:r>
    </w:p>
    <w:p>
      <w:pPr>
        <w:pStyle w:val="BookText"/>
      </w:pPr>
      <w:r>
        <w:rPr>
          <w:rFonts w:ascii="IRNazanin" w:hAnsi="IRNazanin" w:eastAsia="IRNazanin" w:cs="IRNazanin"/>
          <w:lang w:bidi="fa-IR"/>
          <w:color w:val="111111"/>
          <w:sz w:val="28"/>
          <w:szCs w:val="28"/>
          <w:rtl/>
        </w:rPr>
        <w:t xml:space="preserve">إنّ عادة العامّة و المتأخّرین من الخاصّة جرت بالتمسّک بالبراءة الأصلیّة،و لمّا أبطلنا جواز التمسّک بها فی المقامین-لعلمنا بأنّ اللّه تعالی أکمل لنا دیننا،و لعلمنا بأنّ کلّ واقعة یحتاج إلیها ورد فیها خطاب قطعیّ من اللّه تعالی خال عن المعارض،و لعلمنا بأنّ کلّ ما جاء به نبیّنا صلّی اللّه علیه و آله مخزون عند العترة الطاهرة علیهم السّلام،و لم یرخّصوا لنا فی التمسّک بالبراءة الأصلیّة فیما لم نعلم الحکم الذی ورد فیه بعینه،بل أوجبوا التوقّف فی کلّ ما لم یعلم حکمه،و أوجبوا الاحتیاط فی بعض صوره-فعلینا:أنّ نبیّن ما یجب أن یفعل فی المقامین،و سنحقّقه فیما یأتی إن شاء اللّه تعالی </w:t>
      </w:r>
      <w:r>
        <w:rPr>
          <w:rStyle w:val="FootnoteReference"/>
        </w:rPr>
        <w:footnoteReference w:id="4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ذکر هناک ما حاصله:وجوب الاحتیاط عند تساوی احتمالی </w:t>
      </w:r>
      <w:r>
        <w:rPr>
          <w:rStyle w:val="FootnoteReference"/>
        </w:rPr>
        <w:footnoteReference w:id="473"/>
      </w:r>
    </w:p>
    <w:p>
      <w:pPr>
        <w:pStyle w:val="BookText"/>
      </w:pPr>
      <w:r>
        <w:rPr>
          <w:rFonts w:ascii="IRNazanin" w:hAnsi="IRNazanin" w:eastAsia="IRNazanin" w:cs="IRNazanin"/>
          <w:lang w:bidi="fa-IR"/>
          <w:color w:val="111111"/>
          <w:sz w:val="28"/>
          <w:szCs w:val="28"/>
          <w:rtl/>
        </w:rPr>
        <w:t xml:space="preserve">[شماره صفحه واقعی : 146]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الأمر الوارد بین الوجوب و الاستحباب،و لو کان ظاهرا فی الندب بنی علی جواز الترک.و کذا لو وردت </w:t>
      </w:r>
      <w:r>
        <w:rPr>
          <w:rStyle w:val="FootnoteReference"/>
        </w:rPr>
        <w:footnoteReference w:id="474"/>
      </w:r>
      <w:r>
        <w:rPr>
          <w:rFonts w:ascii="IRNazanin" w:hAnsi="IRNazanin" w:eastAsia="IRNazanin" w:cs="IRNazanin"/>
          <w:lang w:bidi="fa-IR"/>
          <w:color w:val="111111"/>
          <w:sz w:val="28"/>
          <w:szCs w:val="28"/>
          <w:rtl/>
        </w:rPr>
        <w:t xml:space="preserve">روایة ضعیفة بوجوب شیء، و تمسّک فی ذلک بحدیث:«ما حجب اللّه علمه»،و حدیث:«رفع التسعة»،-قال-:و خرج عن تحتهما کلّ فعل وجودیّ لم یقطع بجوازه؛ لحدیث التثلیث </w:t>
      </w:r>
      <w:r>
        <w:rPr>
          <w:rStyle w:val="FootnoteReference"/>
        </w:rPr>
        <w:footnoteReference w:id="4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أقول:قد عرفت فیما تقدّم فی نقل کلام المحقّق قدّس سرّه </w:t>
      </w:r>
      <w:r>
        <w:rPr>
          <w:rStyle w:val="FootnoteReference"/>
        </w:rPr>
        <w:footnoteReference w:id="476"/>
      </w:r>
      <w:r>
        <w:rPr>
          <w:rFonts w:ascii="IRNazanin" w:hAnsi="IRNazanin" w:eastAsia="IRNazanin" w:cs="IRNazanin"/>
          <w:lang w:bidi="fa-IR"/>
          <w:color w:val="111111"/>
          <w:sz w:val="28"/>
          <w:szCs w:val="28"/>
          <w:rtl/>
        </w:rPr>
        <w:t xml:space="preserve">:أنّ التمسّک بأصل البراءة منوط بدلیل عقلیّ هو قبح التکلیف بما لا طریق إلی العلم به،و لا دخل لإکمال الدین و عدمه و لا لکون الحسن و القبح أو الوجوب و التحریم عقلیّین أو شرعیّین،فی ذلک.</w:t>
      </w:r>
    </w:p>
    <w:p>
      <w:pPr>
        <w:pStyle w:val="BookText"/>
      </w:pPr>
      <w:r>
        <w:rPr>
          <w:rFonts w:ascii="IRNazanin" w:hAnsi="IRNazanin" w:eastAsia="IRNazanin" w:cs="IRNazanin"/>
          <w:lang w:bidi="fa-IR"/>
          <w:color w:val="111111"/>
          <w:sz w:val="28"/>
          <w:szCs w:val="28"/>
          <w:rtl/>
        </w:rPr>
        <w:t xml:space="preserve">و العمدة فی ما ذکره هذا المحدّث من أوّله إلی آخره:تخیّله أنّ مذهب المجتهدین التمسّک بالبراءة الأصلیّة لنفی الحکم الواقعیّ،و لم أجد أحدا یستدلّ بها علی ذلک.نعم،قد عرفت سابقا أنّ ظاهر جماعة من الإمامیّة جعل أصل البراءة من الأدلّة الظنّیة،کما تقدّم فی المطلب الأوّل استظهار ذلک من صاحبی المعالم و الزبدة </w:t>
      </w:r>
      <w:r>
        <w:rPr>
          <w:rStyle w:val="FootnoteReference"/>
        </w:rPr>
        <w:footnoteReference w:id="4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لکنّ ما ذکره من إکمال الدین لا ینفی حصول الظنّ؛لجواز دعوی أنّ المظنون بالاستصحاب أو غیره موافقة ما جاء به النبیّ صلّی اللّه علیه و آله للبراءة.و ما ذکره من تبعیّة خطاب اللّه تعالی للحکم و المصالح لا ینافی ذلک.</w:t>
      </w:r>
    </w:p>
    <w:p>
      <w:pPr>
        <w:pStyle w:val="BookText"/>
      </w:pPr>
      <w:r>
        <w:rPr>
          <w:rFonts w:ascii="IRNazanin" w:hAnsi="IRNazanin" w:eastAsia="IRNazanin" w:cs="IRNazanin"/>
          <w:lang w:bidi="fa-IR"/>
          <w:color w:val="111111"/>
          <w:sz w:val="28"/>
          <w:szCs w:val="28"/>
          <w:rtl/>
        </w:rPr>
        <w:t xml:space="preserve">[شماره صفحه واقعی : 147]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84" w:name="pg14411_142537"/>
    <w:bookmarkEnd w:id="84"/>
    <w:p>
      <w:pPr>
        <w:pStyle w:val="BookText"/>
      </w:pPr>
      <w:r>
        <w:rPr>
          <w:rFonts w:ascii="IRNazanin" w:hAnsi="IRNazanin" w:eastAsia="IRNazanin" w:cs="IRNazanin"/>
          <w:lang w:bidi="fa-IR"/>
          <w:color w:val="111111"/>
          <w:sz w:val="28"/>
          <w:szCs w:val="28"/>
          <w:rtl/>
        </w:rPr>
        <w:t xml:space="preserve">لکنّ الإنصاف:أنّ الاستصحاب لا یفید الظنّ،خصوصا فی المقام -کما سیجیء فی محلّه </w:t>
      </w:r>
      <w:r>
        <w:rPr>
          <w:rStyle w:val="FootnoteReference"/>
        </w:rPr>
        <w:footnoteReference w:id="478"/>
      </w:r>
      <w:r>
        <w:rPr>
          <w:rFonts w:ascii="IRNazanin" w:hAnsi="IRNazanin" w:eastAsia="IRNazanin" w:cs="IRNazanin"/>
          <w:lang w:bidi="fa-IR"/>
          <w:color w:val="111111"/>
          <w:sz w:val="28"/>
          <w:szCs w:val="28"/>
          <w:rtl/>
        </w:rPr>
        <w:t xml:space="preserve">-،و لا أمارة غیره یفید الظنّ.</w:t>
      </w:r>
    </w:p>
    <w:p>
      <w:pPr>
        <w:pStyle w:val="BookText"/>
      </w:pPr>
      <w:r>
        <w:rPr>
          <w:rFonts w:ascii="IRNazanin" w:hAnsi="IRNazanin" w:eastAsia="IRNazanin" w:cs="IRNazanin"/>
          <w:lang w:bidi="fa-IR"/>
          <w:color w:val="111111"/>
          <w:sz w:val="28"/>
          <w:szCs w:val="28"/>
          <w:rtl/>
        </w:rPr>
        <w:t xml:space="preserve">فالاعتراض علی مثل هؤلاء إنّما هو منع حصول الظنّ،و منع اعتباره علی تقدیر الحصول،و لا دخل لإکمال الدین و عدمه و لا للحسن و القبح العقلیّین فی هذا المنع.</w:t>
      </w:r>
    </w:p>
    <w:p>
      <w:pPr>
        <w:pStyle w:val="BookText"/>
      </w:pPr>
      <w:r>
        <w:rPr>
          <w:rFonts w:ascii="IRNazanin" w:hAnsi="IRNazanin" w:eastAsia="IRNazanin" w:cs="IRNazanin"/>
          <w:lang w:bidi="fa-IR"/>
          <w:color w:val="111111"/>
          <w:sz w:val="28"/>
          <w:szCs w:val="28"/>
          <w:rtl/>
        </w:rPr>
        <w:t xml:space="preserve">و کیف کان:فیظهر من المعارج القول بالاحتیاط فی المقام عن جماعة،حیث قال:العمل بالاحتیاط غیر لازم،و صار آخرون إلی لزومه،و فصّل آخرون </w:t>
      </w:r>
      <w:r>
        <w:rPr>
          <w:rStyle w:val="FootnoteReference"/>
        </w:rPr>
        <w:footnoteReference w:id="479"/>
      </w:r>
      <w:r>
        <w:rPr>
          <w:rFonts w:ascii="IRNazanin" w:hAnsi="IRNazanin" w:eastAsia="IRNazanin" w:cs="IRNazanin"/>
          <w:lang w:bidi="fa-IR"/>
          <w:color w:val="111111"/>
          <w:sz w:val="28"/>
          <w:szCs w:val="28"/>
          <w:rtl/>
        </w:rPr>
        <w:t xml:space="preserve">،انتهی.و حکی عن المعالم نسبته إلی جماعة </w:t>
      </w:r>
      <w:r>
        <w:rPr>
          <w:rStyle w:val="FootnoteReference"/>
        </w:rPr>
        <w:footnoteReference w:id="480"/>
      </w:r>
      <w:r>
        <w:rPr>
          <w:rFonts w:ascii="Times New Roman" w:hAnsi="Times New Roman" w:eastAsia="Times New Roman" w:cs="Times New Roman"/>
          <w:lang w:val="en-US" w:bidi="en-US"/>
          <w:color w:val="111111"/>
          <w:sz w:val="28"/>
          <w:szCs w:val="28"/>
          <w:rtl/>
        </w:rPr>
        <w:t xml:space="preserve">.</w:t>
      </w:r>
    </w:p>
    <w:p>
      <w:pPr>
        <w:pStyle w:val="Heading6"/>
      </w:pPr>
      <w:bookmarkStart w:id="1136" w:name="_Toc171"/>
      <w:r>
        <w:t>[المسألة خلافیّة و الأقوی البراءة]</w:t>
      </w:r>
      <w:bookmarkEnd w:id="1136"/>
    </w:p>
    <w:p>
      <w:pPr>
        <w:pStyle w:val="BookText"/>
      </w:pPr>
      <w:r>
        <w:rPr>
          <w:rFonts w:ascii="IRNazanin" w:hAnsi="IRNazanin" w:eastAsia="IRNazanin" w:cs="IRNazanin"/>
          <w:lang w:bidi="fa-IR"/>
          <w:color w:val="111111"/>
          <w:sz w:val="28"/>
          <w:szCs w:val="28"/>
          <w:rtl/>
        </w:rPr>
        <w:t xml:space="preserve">فالظاهر أنّ المسألة خلافیّة،لکن لم یعرف القائل به بعینه،و إن کان یظهر من الشیخ </w:t>
      </w:r>
      <w:r>
        <w:rPr>
          <w:rStyle w:val="FootnoteReference"/>
        </w:rPr>
        <w:footnoteReference w:id="481"/>
      </w:r>
      <w:r>
        <w:rPr>
          <w:rFonts w:ascii="Amiri" w:hAnsi="Amiri" w:eastAsia="Amiri" w:cs="Amiri"/>
          <w:lang w:bidi="ar-SA"/>
          <w:color w:val="111111"/>
          <w:sz w:val="28"/>
          <w:szCs w:val="28"/>
          <w:rtl/>
        </w:rPr>
        <w:t xml:space="preserve">و السیّدین </w:t>
      </w:r>
      <w:r>
        <w:rPr>
          <w:rStyle w:val="FootnoteReference"/>
        </w:rPr>
        <w:footnoteReference w:id="482"/>
      </w:r>
      <w:r>
        <w:rPr>
          <w:rFonts w:ascii="IRNazanin" w:hAnsi="IRNazanin" w:eastAsia="IRNazanin" w:cs="IRNazanin"/>
          <w:lang w:bidi="fa-IR"/>
          <w:color w:val="111111"/>
          <w:sz w:val="28"/>
          <w:szCs w:val="28"/>
          <w:rtl/>
        </w:rPr>
        <w:t xml:space="preserve">التمسّک به أحیانا،لکن یعلم مذهبهم من أکثر المسائل.</w:t>
      </w:r>
    </w:p>
    <w:p>
      <w:pPr>
        <w:pStyle w:val="BookText"/>
      </w:pPr>
      <w:r>
        <w:rPr>
          <w:rFonts w:ascii="IRNazanin" w:hAnsi="IRNazanin" w:eastAsia="IRNazanin" w:cs="IRNazanin"/>
          <w:lang w:bidi="fa-IR"/>
          <w:color w:val="111111"/>
          <w:sz w:val="28"/>
          <w:szCs w:val="28"/>
          <w:rtl/>
        </w:rPr>
        <w:t xml:space="preserve">و الأقوی فیه:جریان أصالة البراءة للأدلّة الأربعة المتقدّمة، مضافا إلی الإجماع المرکّب.</w:t>
      </w:r>
    </w:p>
    <w:p>
      <w:pPr>
        <w:pStyle w:val="BookText"/>
      </w:pPr>
      <w:r>
        <w:rPr>
          <w:rFonts w:ascii="IRNazanin" w:hAnsi="IRNazanin" w:eastAsia="IRNazanin" w:cs="IRNazanin"/>
          <w:lang w:bidi="fa-IR"/>
          <w:color w:val="111111"/>
          <w:sz w:val="28"/>
          <w:szCs w:val="28"/>
          <w:rtl/>
        </w:rPr>
        <w:t xml:space="preserve">[شماره صفحه واقعی : 148]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85" w:name="pg14411_142538"/>
    <w:bookmarkEnd w:id="85"/>
    <w:p>
      <w:pPr>
        <w:pStyle w:val="Heading6"/>
      </w:pPr>
      <w:bookmarkStart w:id="1137" w:name="_Toc172"/>
      <w:r>
        <w:t>و ینبغی التنبیه علی امور</w:t>
      </w:r>
      <w:bookmarkEnd w:id="1137"/>
    </w:p>
    <w:p>
      <w:pPr>
        <w:pStyle w:val="Heading6"/>
      </w:pPr>
      <w:bookmarkStart w:id="1138" w:name="_Toc173"/>
      <w:r>
        <w:t>الأمر الأوّل [:محلّ الکلام فی المسألة]</w:t>
      </w:r>
      <w:bookmarkEnd w:id="1138"/>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أنّ محلّ الکلام فی هذه المسألة هو احتمال الوجوب النفسیّ المستقلّ،و أمّا إذا احتمل کون شیء واجبا لکونه جزءا أو شرطا لواجب آخر،فهو داخل فی الشکّ فی المکلّف به،و إن کان المختار جریان أصل البراءة فیه أیضا،کما سیجیء إن شاء اللّه تعالی </w:t>
      </w:r>
      <w:r>
        <w:rPr>
          <w:rStyle w:val="FootnoteReference"/>
        </w:rPr>
        <w:footnoteReference w:id="483"/>
      </w:r>
      <w:r>
        <w:rPr>
          <w:rFonts w:ascii="IRNazanin" w:hAnsi="IRNazanin" w:eastAsia="IRNazanin" w:cs="IRNazanin"/>
          <w:lang w:bidi="fa-IR"/>
          <w:color w:val="111111"/>
          <w:sz w:val="28"/>
          <w:szCs w:val="28"/>
          <w:rtl/>
        </w:rPr>
        <w:t xml:space="preserve">،لکنّه خارج عن هذه المسألة الاتّفاقیّة.</w:t>
      </w:r>
    </w:p>
    <w:p>
      <w:pPr>
        <w:pStyle w:val="BookText"/>
      </w:pPr>
      <w:r>
        <w:rPr>
          <w:rFonts w:ascii="IRNazanin" w:hAnsi="IRNazanin" w:eastAsia="IRNazanin" w:cs="IRNazanin"/>
          <w:lang w:bidi="fa-IR"/>
          <w:color w:val="111111"/>
          <w:sz w:val="28"/>
          <w:szCs w:val="28"/>
          <w:rtl/>
        </w:rPr>
        <w:t xml:space="preserve">[شماره صفحه واقعی : 149]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86" w:name="pg14411_142539"/>
    <w:bookmarkEnd w:id="86"/>
    <w:p>
      <w:pPr>
        <w:pStyle w:val="Heading6"/>
      </w:pPr>
      <w:bookmarkStart w:id="1139" w:name="_Toc174"/>
      <w:r>
        <w:t>الأمر الثانی [:رجحان الاحتیاط و ترتّب الثواب علیه]</w:t>
      </w:r>
      <w:bookmarkEnd w:id="1139"/>
    </w:p>
    <w:p>
      <w:pPr>
        <w:pStyle w:val="Heading6"/>
      </w:pPr>
      <w:bookmarkStart w:id="1140" w:name="_Toc175"/>
      <w:r>
        <w:t>اشارة</w:t>
      </w:r>
      <w:bookmarkEnd w:id="1140"/>
    </w:p>
    <w:p>
      <w:pPr>
        <w:pStyle w:val="BookText"/>
      </w:pPr>
      <w:r>
        <w:rPr>
          <w:rFonts w:ascii="IRNazanin" w:hAnsi="IRNazanin" w:eastAsia="IRNazanin" w:cs="IRNazanin"/>
          <w:lang w:bidi="fa-IR"/>
          <w:color w:val="111111"/>
          <w:sz w:val="28"/>
          <w:szCs w:val="28"/>
          <w:rtl/>
        </w:rPr>
        <w:t xml:space="preserve">أنّه لا إشکال فی رجحان الاحتیاط بالفعل حتّی فی ما احتمل کراهته.و الظاهر ترتّب الثواب علیه إذا اتی به لداعی احتمال المحبوبیّة؛ لأنّه انقیاد و إطاعة حکمیّة،و الحکم بالثواب هنا أولی من الحکم بالعقاب علی تارک الاحتیاط اللازم،بناء علی أنّه </w:t>
      </w:r>
      <w:r>
        <w:rPr>
          <w:rStyle w:val="FootnoteReference"/>
        </w:rPr>
        <w:footnoteReference w:id="484"/>
      </w:r>
      <w:r>
        <w:rPr>
          <w:rFonts w:ascii="IRNazanin" w:hAnsi="IRNazanin" w:eastAsia="IRNazanin" w:cs="IRNazanin"/>
          <w:lang w:bidi="fa-IR"/>
          <w:color w:val="111111"/>
          <w:sz w:val="28"/>
          <w:szCs w:val="28"/>
          <w:rtl/>
        </w:rPr>
        <w:t xml:space="preserve">فی حکم المعصیة و إن لم یفعل محرّما واقعیّا.</w:t>
      </w:r>
    </w:p>
    <w:p>
      <w:pPr>
        <w:pStyle w:val="Heading6"/>
      </w:pPr>
      <w:bookmarkStart w:id="1141" w:name="_Toc176"/>
      <w:r>
        <w:t>[الإشکال فی جریان الاحتیاط فی العبادات عند دوران الأمر بین الوجوب و غیر الاستحباب]</w:t>
      </w:r>
      <w:bookmarkEnd w:id="1141"/>
    </w:p>
    <w:p>
      <w:pPr>
        <w:pStyle w:val="BookText"/>
      </w:pPr>
      <w:r>
        <w:rPr>
          <w:rFonts w:ascii="IRNazanin" w:hAnsi="IRNazanin" w:eastAsia="IRNazanin" w:cs="IRNazanin"/>
          <w:lang w:bidi="fa-IR"/>
          <w:color w:val="111111"/>
          <w:sz w:val="28"/>
          <w:szCs w:val="28"/>
          <w:rtl/>
        </w:rPr>
        <w:t xml:space="preserve">و فی جریان ذلک فی العبادات عند دوران الأمر بین الوجوب و غیر الاستحباب وجهان </w:t>
      </w:r>
      <w:r>
        <w:rPr>
          <w:rStyle w:val="FootnoteReference"/>
        </w:rPr>
        <w:footnoteReference w:id="4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150]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87" w:name="pg14411_142540"/>
    <w:bookmarkEnd w:id="87"/>
    <w:p>
      <w:pPr>
        <w:pStyle w:val="BookText"/>
      </w:pPr>
      <w:r>
        <w:rPr>
          <w:rFonts w:ascii="IRNazanin" w:hAnsi="IRNazanin" w:eastAsia="IRNazanin" w:cs="IRNazanin"/>
          <w:lang w:bidi="fa-IR"/>
          <w:color w:val="111111"/>
          <w:sz w:val="28"/>
          <w:szCs w:val="28"/>
          <w:rtl/>
        </w:rPr>
        <w:t xml:space="preserve">العدم؛لأنّ العبادة لا بدّ فیها من نیّة التقرّب المتوقّفة علی العلم بأمر الشارع تفصیلا أو إجمالا</w:t>
      </w:r>
      <w:r>
        <w:rPr>
          <w:rStyle w:val="FootnoteReference"/>
        </w:rPr>
        <w:footnoteReference w:id="486"/>
      </w:r>
      <w:r>
        <w:rPr>
          <w:rFonts w:ascii="IRNazanin" w:hAnsi="IRNazanin" w:eastAsia="IRNazanin" w:cs="IRNazanin"/>
          <w:lang w:bidi="fa-IR"/>
          <w:color w:val="111111"/>
          <w:sz w:val="28"/>
          <w:szCs w:val="28"/>
          <w:rtl/>
        </w:rPr>
        <w:t xml:space="preserve">کما فی کلّ من الصلوات الأربع عند اشتباه القبلة.</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 ما ذکرنا من ترتّب الثواب علی هذا الفعل لا یوجب تعلّق الأمر به،بل هو لأجل کونه انقیادا للشارع و العبد معه فی حکم المطیع،بل لا یسمّی ذلک ثوابا.</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 دعوی:أنّ العقل إذا استقلّ بحسن هذا الإتیان ثبت«بحکم الملازمة»الأمر به شرعا.</w:t>
      </w:r>
    </w:p>
    <w:p>
      <w:pPr>
        <w:pStyle w:val="BookText"/>
      </w:pPr>
      <w:r>
        <w:rPr>
          <w:rFonts w:ascii="IRNazanin" w:hAnsi="IRNazanin" w:eastAsia="IRNazanin" w:cs="IRNazanin"/>
          <w:lang w:bidi="fa-IR"/>
          <w:color w:val="111111"/>
          <w:sz w:val="28"/>
          <w:szCs w:val="28"/>
          <w:rtl/>
        </w:rPr>
        <w:t xml:space="preserve">مدفوعة؛لما تقدّم فی المطلب الأوّل </w:t>
      </w:r>
      <w:r>
        <w:rPr>
          <w:rStyle w:val="FootnoteReference"/>
        </w:rPr>
        <w:footnoteReference w:id="487"/>
      </w:r>
      <w:r>
        <w:rPr>
          <w:rFonts w:ascii="IRNazanin" w:hAnsi="IRNazanin" w:eastAsia="IRNazanin" w:cs="IRNazanin"/>
          <w:lang w:bidi="fa-IR"/>
          <w:color w:val="111111"/>
          <w:sz w:val="28"/>
          <w:szCs w:val="28"/>
          <w:rtl/>
        </w:rPr>
        <w:t xml:space="preserve">:من أنّ الأمر الشرعیّ بهذا النحو من الانقیاد-کأمره بالانقیاد الحقیقیّ و الإطاعة الواقعیّة فی معلوم التکلیف-إرشادیّ محض،لا یترتّب علی موافقته و مخالفته أزید ممّا یترتّب علی نفس وجود المأمور به أو عدمه،کما هو شأن الأوامر الإرشادیّة،فلا إطاعة لهذا الأمر الإرشادیّ،و لا ینفع فی جعل الشیء عبادة،کما أنّ إطاعة الأوامر المتحقّقة لم تصر عبادة بسبب الأمر الوارد بها فی قوله تعالی: أَطِیعُوا اللّٰهَ وَ رَسُولَهُ </w:t>
      </w:r>
      <w:r>
        <w:rPr>
          <w:rStyle w:val="FootnoteReference"/>
        </w:rPr>
        <w:footnoteReference w:id="488"/>
      </w:r>
      <w:r>
        <w:rPr>
          <w:rFonts w:ascii="Times New Roman" w:hAnsi="Times New Roman" w:eastAsia="Times New Roman" w:cs="Times New Roman"/>
          <w:lang w:val="en-US" w:bidi="en-US"/>
          <w:color w:val="111111"/>
          <w:sz w:val="28"/>
          <w:szCs w:val="28"/>
          <w:rtl/>
        </w:rPr>
        <w:t xml:space="preserve">.</w:t>
      </w:r>
    </w:p>
    <w:p>
      <w:pPr>
        <w:pStyle w:val="Heading6"/>
      </w:pPr>
      <w:bookmarkStart w:id="1142" w:name="_Toc177"/>
      <w:r>
        <w:t>[احتمال الجریان]</w:t>
      </w:r>
      <w:bookmarkEnd w:id="1142"/>
    </w:p>
    <w:p>
      <w:pPr>
        <w:pStyle w:val="BookText"/>
      </w:pPr>
      <w:r>
        <w:rPr>
          <w:rFonts w:ascii="IRNazanin" w:hAnsi="IRNazanin" w:eastAsia="IRNazanin" w:cs="IRNazanin"/>
          <w:lang w:bidi="fa-IR"/>
          <w:color w:val="111111"/>
          <w:sz w:val="28"/>
          <w:szCs w:val="28"/>
          <w:rtl/>
        </w:rPr>
        <w:t xml:space="preserve">و یحتمل الجریان؛بناء علی أنّ هذا المقدار من الحسن العقلیّ یکفی فی العبادة و منع توقّفها علی ورود أمر بها،بل یکفی الإتیان به لاحتمال کونه مطلوبا أو کون ترکه مبغوضا؛و لذا استقرّت سیرة العلماء و الصلحاء -فتوی و عملا-علی إعادة العبادات لمجرّد الخروج من مخالفة النصوص</w:t>
      </w:r>
    </w:p>
    <w:p>
      <w:pPr>
        <w:pStyle w:val="BookText"/>
      </w:pPr>
      <w:r>
        <w:rPr>
          <w:rFonts w:ascii="IRNazanin" w:hAnsi="IRNazanin" w:eastAsia="IRNazanin" w:cs="IRNazanin"/>
          <w:lang w:bidi="fa-IR"/>
          <w:color w:val="111111"/>
          <w:sz w:val="28"/>
          <w:szCs w:val="28"/>
          <w:rtl/>
        </w:rPr>
        <w:t xml:space="preserve">[شماره صفحه واقعی : 151]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88" w:name="pg14411_142541"/>
    <w:bookmarkEnd w:id="88"/>
    <w:p>
      <w:pPr>
        <w:pStyle w:val="BookText"/>
      </w:pPr>
      <w:r>
        <w:rPr>
          <w:rFonts w:ascii="IRNazanin" w:hAnsi="IRNazanin" w:eastAsia="IRNazanin" w:cs="IRNazanin"/>
          <w:lang w:bidi="fa-IR"/>
          <w:color w:val="111111"/>
          <w:sz w:val="28"/>
          <w:szCs w:val="28"/>
          <w:rtl/>
        </w:rPr>
        <w:t xml:space="preserve">الغیر المعتبرة و الفتاوی النادرة.</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 استدلّ فی الذکری </w:t>
      </w:r>
      <w:r>
        <w:rPr>
          <w:rStyle w:val="FootnoteReference"/>
        </w:rPr>
        <w:footnoteReference w:id="489"/>
      </w:r>
      <w:r>
        <w:rPr>
          <w:rFonts w:ascii="Amiri" w:hAnsi="Amiri" w:eastAsia="Amiri" w:cs="Amiri"/>
          <w:lang w:bidi="ar-SA"/>
          <w:color w:val="111111"/>
          <w:sz w:val="28"/>
          <w:szCs w:val="28"/>
          <w:rtl/>
        </w:rPr>
        <w:t xml:space="preserve">-فی خاتمة قضاء الفوائت-علی شرعیّة قضاء الصلوات لمجرّد احتمال خلل فیها موهوم،بقوله تعالی: فَاتَّقُوا اللّٰهَ مَا اسْتَطَعْتُمْ </w:t>
      </w:r>
      <w:r>
        <w:rPr>
          <w:rStyle w:val="FootnoteReference"/>
        </w:rPr>
        <w:footnoteReference w:id="490"/>
      </w:r>
      <w:r>
        <w:rPr>
          <w:rFonts w:ascii="Amiri" w:hAnsi="Amiri" w:eastAsia="Amiri" w:cs="Amiri"/>
          <w:lang w:bidi="ar-SA"/>
          <w:color w:val="111111"/>
          <w:sz w:val="28"/>
          <w:szCs w:val="28"/>
          <w:rtl/>
        </w:rPr>
        <w:t xml:space="preserve">،و اِتَّقُوا اللّٰهَ حَقَّ تُقٰاتِهِ </w:t>
      </w:r>
      <w:r>
        <w:rPr>
          <w:rStyle w:val="FootnoteReference"/>
        </w:rPr>
        <w:footnoteReference w:id="491"/>
      </w:r>
      <w:r>
        <w:rPr>
          <w:rFonts w:ascii="Amiri" w:hAnsi="Amiri" w:eastAsia="Amiri" w:cs="Amiri"/>
          <w:lang w:bidi="ar-SA"/>
          <w:color w:val="111111"/>
          <w:sz w:val="28"/>
          <w:szCs w:val="28"/>
          <w:rtl/>
        </w:rPr>
        <w:t xml:space="preserve">،و قوله تعالی: وَ الَّذِینَ یُؤْتُونَ مٰا آتَوْا وَ قُلُوبُهُمْ وَجِلَةٌ أَنَّهُمْ إِلیٰ رَبِّهِمْ رٰاجِعُونَ </w:t>
      </w:r>
      <w:r>
        <w:rPr>
          <w:rStyle w:val="FootnoteReference"/>
        </w:rPr>
        <w:footnoteReference w:id="492"/>
      </w:r>
      <w:r>
        <w:rPr>
          <w:rFonts w:ascii="Times New Roman" w:hAnsi="Times New Roman" w:eastAsia="Times New Roman" w:cs="Times New Roman"/>
          <w:lang w:val="en-US" w:bidi="en-US"/>
          <w:color w:val="111111"/>
          <w:sz w:val="28"/>
          <w:szCs w:val="28"/>
          <w:rtl/>
        </w:rPr>
        <w:t xml:space="preserve">.</w:t>
      </w:r>
    </w:p>
    <w:p>
      <w:pPr>
        <w:pStyle w:val="Heading6"/>
      </w:pPr>
      <w:bookmarkStart w:id="1143" w:name="_Toc178"/>
      <w:r>
        <w:t>[التحقیق فی المسألة:]</w:t>
      </w:r>
      <w:bookmarkEnd w:id="1143"/>
    </w:p>
    <w:p>
      <w:pPr>
        <w:pStyle w:val="BookText"/>
      </w:pPr>
      <w:r>
        <w:rPr>
          <w:rFonts w:ascii="IRNazanin" w:hAnsi="IRNazanin" w:eastAsia="IRNazanin" w:cs="IRNazanin"/>
          <w:lang w:bidi="fa-IR"/>
          <w:color w:val="111111"/>
          <w:sz w:val="28"/>
          <w:szCs w:val="28"/>
          <w:rtl/>
        </w:rPr>
        <w:t xml:space="preserve">و التحقیق:أنّه إن قلنا بکفایة احتمال المطلوبیّة فی صحّة العبادة فیما لا یعلم المطلوبیّة و لو إجمالا،فهو،و إلاّ فما أورده قدّس سرّه فی الذکری -کأوامر الاحتیاط-لا یجدی فی صحّتها؛لأنّ موضوع التقوی و الاحتیاط-الذی یتوقّف علیه هذه الأوامر-لا یتحقّق إلاّ بعد إتیان محتمل العبادة علی وجه یجتمع فیه جمیع ما یعتبر فی العبادة حتّی نیّة التقرّب؛و إلاّ لم یکن احتیاطا؛فلا یجوز أن تکون تلک الأوامر منشأ للقربة المنویّة فیها.</w:t>
      </w:r>
    </w:p>
    <w:p>
      <w:pPr>
        <w:pStyle w:val="BookText"/>
      </w:pPr>
      <w:r>
        <w:rPr>
          <w:rFonts w:ascii="Amiri" w:hAnsi="Amiri" w:eastAsia="Amiri" w:cs="Amiri"/>
          <w:lang w:bidi="ar-SA"/>
          <w:color w:val="111111"/>
          <w:sz w:val="28"/>
          <w:szCs w:val="28"/>
          <w:rtl/>
        </w:rPr>
        <w:t xml:space="preserve">اللهمّ إلاّ أن یقال-بعد النقض بورود هذا الإیراد فی الأوامر الواقعیّة بالعبادات مثل قوله تعالی: أَقِیمُوا الصَّلاٰةَ وَ آتُوا الزَّکٰاةَ </w:t>
      </w:r>
      <w:r>
        <w:rPr>
          <w:rStyle w:val="FootnoteReference"/>
        </w:rPr>
        <w:footnoteReference w:id="493"/>
      </w:r>
      <w:r>
        <w:rPr>
          <w:rFonts w:ascii="IRNazanin" w:hAnsi="IRNazanin" w:eastAsia="IRNazanin" w:cs="IRNazanin"/>
          <w:lang w:bidi="fa-IR"/>
          <w:color w:val="111111"/>
          <w:sz w:val="28"/>
          <w:szCs w:val="28"/>
          <w:rtl/>
        </w:rPr>
        <w:t xml:space="preserve">حیث إنّ قصد القربة ممّا یعتبر فی موضوع العبادة شطرا أو شرطا، و المفروض ثبوت مشروعیّتها بهذا الأمر الوارد فیها-:</w:t>
      </w:r>
    </w:p>
    <w:p>
      <w:pPr>
        <w:pStyle w:val="BookText"/>
      </w:pPr>
      <w:r>
        <w:rPr>
          <w:rFonts w:ascii="IRNazanin" w:hAnsi="IRNazanin" w:eastAsia="IRNazanin" w:cs="IRNazanin"/>
          <w:lang w:bidi="fa-IR"/>
          <w:color w:val="111111"/>
          <w:sz w:val="28"/>
          <w:szCs w:val="28"/>
          <w:rtl/>
        </w:rPr>
        <w:t xml:space="preserve">[شماره صفحه واقعی : 152]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89" w:name="pg14411_142542"/>
    <w:bookmarkEnd w:id="89"/>
    <w:p>
      <w:pPr>
        <w:pStyle w:val="BookText"/>
      </w:pPr>
      <w:r>
        <w:rPr>
          <w:rFonts w:ascii="IRNazanin" w:hAnsi="IRNazanin" w:eastAsia="IRNazanin" w:cs="IRNazanin"/>
          <w:lang w:bidi="fa-IR"/>
          <w:color w:val="111111"/>
          <w:sz w:val="28"/>
          <w:szCs w:val="28"/>
          <w:rtl/>
        </w:rPr>
        <w:t xml:space="preserve">إنّ المراد من الاحتیاط و الاتّقاء فی هذه الأوامر هو مجرّد الفعل المطابق للعبادة من جمیع الجهات عدا نیّة القربة،فمعنی الاحتیاط بالصلاة الإتیان بجمیع ما یعتبر فیها عدا قصد القربة،فأوامر الاحتیاط یتعلّق بهذا الفعل،و حینئذ:فیقصد المکلّف فیه التقرّب بإطاعة هذا الأمر.</w:t>
      </w:r>
    </w:p>
    <w:p>
      <w:pPr>
        <w:pStyle w:val="BookText"/>
      </w:pPr>
      <w:r>
        <w:rPr>
          <w:rFonts w:ascii="IRNazanin" w:hAnsi="IRNazanin" w:eastAsia="IRNazanin" w:cs="IRNazanin"/>
          <w:lang w:bidi="fa-IR"/>
          <w:color w:val="111111"/>
          <w:sz w:val="28"/>
          <w:szCs w:val="28"/>
          <w:rtl/>
        </w:rPr>
        <w:t xml:space="preserve">و من هنا یتّجه الفتوی باستحباب هذا الفعل و إن لم یعلم المقلّد کون هذا </w:t>
      </w:r>
      <w:r>
        <w:rPr>
          <w:rStyle w:val="FootnoteReference"/>
        </w:rPr>
        <w:footnoteReference w:id="494"/>
      </w:r>
      <w:r>
        <w:rPr>
          <w:rFonts w:ascii="IRNazanin" w:hAnsi="IRNazanin" w:eastAsia="IRNazanin" w:cs="IRNazanin"/>
          <w:lang w:bidi="fa-IR"/>
          <w:color w:val="111111"/>
          <w:sz w:val="28"/>
          <w:szCs w:val="28"/>
          <w:rtl/>
        </w:rPr>
        <w:t xml:space="preserve">الفعل ممّا شکّ فی کونها عبادة و لم یأت به بداعی احتمال المطلوبیّة؛و لو ارید بالاحتیاط فی هذه الأوامر معناه الحقیقیّ و هو إتیان الفعل لداعی احتمال المطلوبیّة،لم یجز للمجتهد أن یفتی باستحبابه إلاّ مع التقیید </w:t>
      </w:r>
      <w:r>
        <w:rPr>
          <w:rStyle w:val="FootnoteReference"/>
        </w:rPr>
        <w:footnoteReference w:id="495"/>
      </w:r>
      <w:r>
        <w:rPr>
          <w:rFonts w:ascii="IRNazanin" w:hAnsi="IRNazanin" w:eastAsia="IRNazanin" w:cs="IRNazanin"/>
          <w:lang w:bidi="fa-IR"/>
          <w:color w:val="111111"/>
          <w:sz w:val="28"/>
          <w:szCs w:val="28"/>
          <w:rtl/>
        </w:rPr>
        <w:t xml:space="preserve">بإتیانه بداعی الاحتمال حتّی یصدق علیه عنوان الاحتیاط،مع استقرار سیرة أهل الفتوی علی خلافه.</w:t>
      </w:r>
    </w:p>
    <w:p>
      <w:pPr>
        <w:pStyle w:val="BookText"/>
      </w:pPr>
      <w:r>
        <w:rPr>
          <w:rFonts w:ascii="IRNazanin" w:hAnsi="IRNazanin" w:eastAsia="IRNazanin" w:cs="IRNazanin"/>
          <w:lang w:bidi="fa-IR"/>
          <w:color w:val="111111"/>
          <w:sz w:val="28"/>
          <w:szCs w:val="28"/>
          <w:rtl/>
        </w:rPr>
        <w:t xml:space="preserve">فعلم:أنّ المقصود إتیان الفعل بجمیع ما یعتبر فیه عدا نیّة الداعی.</w:t>
      </w:r>
    </w:p>
    <w:p>
      <w:pPr>
        <w:pStyle w:val="Heading6"/>
      </w:pPr>
      <w:bookmarkStart w:id="1144" w:name="_Toc179"/>
      <w:r>
        <w:t>[قاعدة التسامح فی أدلّة السنن]</w:t>
      </w:r>
      <w:bookmarkEnd w:id="1144"/>
    </w:p>
    <w:p>
      <w:pPr>
        <w:pStyle w:val="Heading6"/>
      </w:pPr>
      <w:bookmarkStart w:id="1145" w:name="_Toc180"/>
      <w:r>
        <w:t>اشارة</w:t>
      </w:r>
      <w:bookmarkEnd w:id="1145"/>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Style w:val="FootnoteReference"/>
        </w:rPr>
        <w:footnoteReference w:id="496"/>
      </w:r>
      <w:r>
        <w:rPr>
          <w:rFonts w:ascii="IRNazanin" w:hAnsi="IRNazanin" w:eastAsia="IRNazanin" w:cs="IRNazanin"/>
          <w:lang w:bidi="fa-IR"/>
          <w:color w:val="111111"/>
          <w:sz w:val="28"/>
          <w:szCs w:val="28"/>
          <w:rtl/>
        </w:rPr>
        <w:t xml:space="preserve">
ثمّ إنّ منشأ احتمال الوجوب إذا کان خبرا ضعیفا،فلا حاجة إلی أخبار الاحتیاط و کلفة إثبات أنّ الأمر فیها للاستحباب الشرعیّ دون الإرشاد العقلیّ؛لورود بعض الأخبار باستحباب فعل کلّ ما یحتمل فیه الثواب:</w:t>
      </w:r>
    </w:p>
    <w:p>
      <w:pPr>
        <w:pStyle w:val="BookText"/>
      </w:pPr>
      <w:r>
        <w:rPr>
          <w:rFonts w:ascii="IRNazanin" w:hAnsi="IRNazanin" w:eastAsia="IRNazanin" w:cs="IRNazanin"/>
          <w:lang w:bidi="fa-IR"/>
          <w:color w:val="111111"/>
          <w:sz w:val="28"/>
          <w:szCs w:val="28"/>
          <w:rtl/>
        </w:rPr>
        <w:t xml:space="preserve">[شماره صفحه واقعی : 153]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90" w:name="pg14411_142543"/>
    <w:bookmarkEnd w:id="90"/>
    <w:p>
      <w:pPr>
        <w:pStyle w:val="Heading6"/>
      </w:pPr>
      <w:bookmarkStart w:id="1146" w:name="_Toc181"/>
      <w:r>
        <w:t>[الاستدلال علی القاعدة ب«أخبار من بلغ»]</w:t>
      </w:r>
      <w:bookmarkEnd w:id="1146"/>
    </w:p>
    <w:p>
      <w:pPr>
        <w:pStyle w:val="Heading6"/>
      </w:pPr>
      <w:bookmarkStart w:id="1147" w:name="_Toc182"/>
      <w:r>
        <w:t>اشارة</w:t>
      </w:r>
      <w:bookmarkEnd w:id="1147"/>
    </w:p>
    <w:p>
      <w:pPr>
        <w:pStyle w:val="BookText"/>
      </w:pPr>
      <w:r>
        <w:rPr>
          <w:rFonts w:ascii="IRNazanin" w:hAnsi="IRNazanin" w:eastAsia="IRNazanin" w:cs="IRNazanin"/>
          <w:lang w:bidi="fa-IR"/>
          <w:color w:val="111111"/>
          <w:sz w:val="28"/>
          <w:szCs w:val="28"/>
          <w:rtl/>
        </w:rPr>
        <w:t xml:space="preserve">کصحیحة هشام بن سالم-المحکیّة عن المحاسن-عن أبی عبد اللّه علیه السّلام، قال:«من بلغه عن النبیّ صلّی اللّه علیه و آله شیء من الثواب فعمله،کان أجر ذلک له و إن کان رسول اللّه صلّی اللّه علیه و آله لم یقله» </w:t>
      </w:r>
      <w:r>
        <w:rPr>
          <w:rStyle w:val="FootnoteReference"/>
        </w:rPr>
        <w:footnoteReference w:id="4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البحار بعد ذکرها:أنّ هذا الخبر من المشهورات،رواه العامّة و الخاصّة بأسانید </w:t>
      </w:r>
      <w:r>
        <w:rPr>
          <w:rStyle w:val="FootnoteReference"/>
        </w:rPr>
        <w:footnoteReference w:id="4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الظاهر:أنّ المراد من«شیء من الثواب»-بقرینة ضمیر «فعمله»،و إضافة الأجر إلیه-هو الفعل المشتمل علی الثواب.</w:t>
      </w:r>
    </w:p>
    <w:p>
      <w:pPr>
        <w:pStyle w:val="BookText"/>
      </w:pPr>
      <w:r>
        <w:rPr>
          <w:rFonts w:ascii="IRNazanin" w:hAnsi="IRNazanin" w:eastAsia="IRNazanin" w:cs="IRNazanin"/>
          <w:lang w:bidi="fa-IR"/>
          <w:color w:val="111111"/>
          <w:sz w:val="28"/>
          <w:szCs w:val="28"/>
          <w:rtl/>
        </w:rPr>
        <w:t xml:space="preserve">و فی عدّة الداعی عن الکلینی قدّس سرّه:أنّه روی بطرقه عن الأئمّة علیهم السّلام أنّه:«من بلغه شیء من الخیر فعمل به،کان له من الثواب ما بلغه و إن لم یکن الأمر کما بلغه </w:t>
      </w:r>
      <w:r>
        <w:rPr>
          <w:rStyle w:val="FootnoteReference"/>
        </w:rPr>
        <w:footnoteReference w:id="499"/>
      </w:r>
      <w:r>
        <w:rPr>
          <w:rFonts w:ascii="Times New Roman" w:hAnsi="Times New Roman" w:eastAsia="Times New Roman" w:cs="Times New Roman"/>
          <w:lang w:val="en-US" w:bidi="en-US"/>
          <w:color w:val="111111"/>
          <w:sz w:val="28"/>
          <w:szCs w:val="28"/>
          <w:rtl/>
        </w:rPr>
        <w:t xml:space="preserve">» </w:t>
      </w:r>
      <w:r>
        <w:rPr>
          <w:rStyle w:val="FootnoteReference"/>
        </w:rPr>
        <w:footnoteReference w:id="5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أرسل نحوه السیّد فی الإقبال عن الصادق علیه السّلام،إلاّ أنّ فیه:</w:t>
      </w:r>
    </w:p>
    <w:p>
      <w:pPr>
        <w:pStyle w:val="BookText"/>
      </w:pPr>
      <w:r>
        <w:rPr>
          <w:rFonts w:ascii="IRNazanin" w:hAnsi="IRNazanin" w:eastAsia="IRNazanin" w:cs="IRNazanin"/>
          <w:lang w:bidi="fa-IR"/>
          <w:color w:val="111111"/>
          <w:sz w:val="28"/>
          <w:szCs w:val="28"/>
          <w:rtl/>
        </w:rPr>
        <w:t xml:space="preserve">«کان له ذلک» </w:t>
      </w:r>
      <w:r>
        <w:rPr>
          <w:rStyle w:val="FootnoteReference"/>
        </w:rPr>
        <w:footnoteReference w:id="501"/>
      </w:r>
      <w:r>
        <w:rPr>
          <w:rFonts w:ascii="Times New Roman" w:hAnsi="Times New Roman" w:eastAsia="Times New Roman" w:cs="Times New Roman"/>
          <w:lang w:val="en-US" w:bidi="en-US"/>
          <w:color w:val="111111"/>
          <w:sz w:val="28"/>
          <w:szCs w:val="28"/>
          <w:rtl/>
        </w:rPr>
        <w:t xml:space="preserve">.</w:t>
      </w:r>
    </w:p>
    <w:p>
      <w:pPr>
        <w:pStyle w:val="Heading6"/>
      </w:pPr>
      <w:bookmarkStart w:id="1148" w:name="_Toc183"/>
      <w:r>
        <w:t>[ما یورد علی الاستدلال]</w:t>
      </w:r>
      <w:bookmarkEnd w:id="1148"/>
    </w:p>
    <w:p>
      <w:pPr>
        <w:pStyle w:val="Heading6"/>
      </w:pPr>
      <w:bookmarkStart w:id="1149" w:name="_Toc184"/>
      <w:r>
        <w:t>اشارة</w:t>
      </w:r>
      <w:bookmarkEnd w:id="1149"/>
    </w:p>
    <w:p>
      <w:pPr>
        <w:pStyle w:val="BookText"/>
      </w:pPr>
      <w:r>
        <w:rPr>
          <w:rFonts w:ascii="IRNazanin" w:hAnsi="IRNazanin" w:eastAsia="IRNazanin" w:cs="IRNazanin"/>
          <w:lang w:bidi="fa-IR"/>
          <w:color w:val="111111"/>
          <w:sz w:val="28"/>
          <w:szCs w:val="28"/>
          <w:rtl/>
        </w:rPr>
        <w:t xml:space="preserve">و الأخبار الواردة فی هذا الباب کثیرة </w:t>
      </w:r>
      <w:r>
        <w:rPr>
          <w:rStyle w:val="FootnoteReference"/>
        </w:rPr>
        <w:footnoteReference w:id="502"/>
      </w:r>
      <w:r>
        <w:rPr>
          <w:rFonts w:ascii="Amiri" w:hAnsi="Amiri" w:eastAsia="Amiri" w:cs="Amiri"/>
          <w:lang w:bidi="ar-SA"/>
          <w:color w:val="111111"/>
          <w:sz w:val="28"/>
          <w:szCs w:val="28"/>
          <w:rtl/>
        </w:rPr>
        <w:t xml:space="preserve">،إلاّ أنّ ما ذکرناها</w:t>
      </w:r>
    </w:p>
    <w:p>
      <w:pPr>
        <w:pStyle w:val="BookText"/>
      </w:pPr>
      <w:r>
        <w:rPr>
          <w:rFonts w:ascii="IRNazanin" w:hAnsi="IRNazanin" w:eastAsia="IRNazanin" w:cs="IRNazanin"/>
          <w:lang w:bidi="fa-IR"/>
          <w:color w:val="111111"/>
          <w:sz w:val="28"/>
          <w:szCs w:val="28"/>
          <w:rtl/>
        </w:rPr>
        <w:t xml:space="preserve">[شماره صفحه واقعی : 154]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91" w:name="pg14411_142544"/>
    <w:bookmarkEnd w:id="91"/>
    <w:p>
      <w:pPr>
        <w:pStyle w:val="BookText"/>
      </w:pPr>
      <w:r>
        <w:rPr>
          <w:rFonts w:ascii="IRNazanin" w:hAnsi="IRNazanin" w:eastAsia="IRNazanin" w:cs="IRNazanin"/>
          <w:lang w:bidi="fa-IR"/>
          <w:color w:val="111111"/>
          <w:sz w:val="28"/>
          <w:szCs w:val="28"/>
          <w:rtl/>
        </w:rPr>
        <w:t xml:space="preserve">أوضح دلالة علی ما نحن فیه،و إن کان یورد علیه أیضا </w:t>
      </w:r>
      <w:r>
        <w:rPr>
          <w:rStyle w:val="FootnoteReference"/>
        </w:rPr>
        <w:footnoteReference w:id="5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تارة:بأنّ ثبوت الأجر لا یدلّ علی الاستحباب الشرعیّ.</w:t>
      </w:r>
    </w:p>
    <w:p>
      <w:pPr>
        <w:pStyle w:val="BookText"/>
      </w:pPr>
      <w:r>
        <w:rPr>
          <w:rFonts w:ascii="IRNazanin" w:hAnsi="IRNazanin" w:eastAsia="IRNazanin" w:cs="IRNazanin"/>
          <w:lang w:bidi="fa-IR"/>
          <w:color w:val="111111"/>
          <w:sz w:val="28"/>
          <w:szCs w:val="28"/>
          <w:rtl/>
        </w:rPr>
        <w:t xml:space="preserve">و اخری:بما تقدّم فی أوامر الاحتیاط:من أنّ قصد القربة مأخوذ فی الفعل المأمور به بهذه الأخبار،فلا یجوز أن تکون هی المصحّحة لفعله،</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فیختصّ موردها بصورة تحقّق الاستحباب،و کون البالغ هو الثواب الخاصّ،فهو المتسامح فیه دون أصل شرعیّة الفعل.</w:t>
      </w:r>
    </w:p>
    <w:p>
      <w:pPr>
        <w:pStyle w:val="BookText"/>
      </w:pPr>
      <w:r>
        <w:rPr>
          <w:rFonts w:ascii="IRNazanin" w:hAnsi="IRNazanin" w:eastAsia="IRNazanin" w:cs="IRNazanin"/>
          <w:lang w:bidi="fa-IR"/>
          <w:color w:val="111111"/>
          <w:sz w:val="28"/>
          <w:szCs w:val="28"/>
          <w:rtl/>
        </w:rPr>
        <w:t xml:space="preserve">و ثالثة:بظهورها فیما بلغ فیه الثواب المحض،لا العقاب محضا أو مع الثواب.</w:t>
      </w:r>
    </w:p>
    <w:p>
      <w:pPr>
        <w:pStyle w:val="BookText"/>
      </w:pPr>
      <w:r>
        <w:rPr>
          <w:rFonts w:ascii="IRNazanin" w:hAnsi="IRNazanin" w:eastAsia="IRNazanin" w:cs="IRNazanin"/>
          <w:lang w:bidi="fa-IR"/>
          <w:color w:val="111111"/>
          <w:sz w:val="28"/>
          <w:szCs w:val="28"/>
          <w:rtl/>
        </w:rPr>
        <w:t xml:space="preserve">لکن یردّ هذا:منع الظهور مع إطلاق الخبر.</w:t>
      </w:r>
    </w:p>
    <w:p>
      <w:pPr>
        <w:pStyle w:val="BookText"/>
      </w:pPr>
      <w:r>
        <w:rPr>
          <w:rFonts w:ascii="IRNazanin" w:hAnsi="IRNazanin" w:eastAsia="IRNazanin" w:cs="IRNazanin"/>
          <w:lang w:bidi="fa-IR"/>
          <w:color w:val="111111"/>
          <w:sz w:val="28"/>
          <w:szCs w:val="28"/>
          <w:rtl/>
        </w:rPr>
        <w:t xml:space="preserve">و یردّ ما قبله ما تقدّم فی أوامر الاحتیاط </w:t>
      </w:r>
      <w:r>
        <w:rPr>
          <w:rStyle w:val="FootnoteReference"/>
        </w:rPr>
        <w:footnoteReference w:id="504"/>
      </w:r>
      <w:r>
        <w:rPr>
          <w:rFonts w:ascii="Times New Roman" w:hAnsi="Times New Roman" w:eastAsia="Times New Roman" w:cs="Times New Roman"/>
          <w:lang w:val="en-US" w:bidi="en-US"/>
          <w:color w:val="111111"/>
          <w:sz w:val="28"/>
          <w:szCs w:val="28"/>
          <w:rtl/>
        </w:rPr>
        <w:t xml:space="preserve">.</w:t>
      </w:r>
    </w:p>
    <w:p>
      <w:pPr>
        <w:pStyle w:val="Heading6"/>
      </w:pPr>
      <w:bookmarkStart w:id="1150" w:name="_Toc185"/>
      <w:r>
        <w:t>[عدم دلالة ثبوت الأجر علی الاستحباب الشرعی]</w:t>
      </w:r>
      <w:bookmarkEnd w:id="1150"/>
    </w:p>
    <w:p>
      <w:pPr>
        <w:pStyle w:val="BookText"/>
      </w:pPr>
      <w:r>
        <w:rPr>
          <w:rFonts w:ascii="IRNazanin" w:hAnsi="IRNazanin" w:eastAsia="IRNazanin" w:cs="IRNazanin"/>
          <w:lang w:bidi="fa-IR"/>
          <w:color w:val="111111"/>
          <w:sz w:val="28"/>
          <w:szCs w:val="28"/>
          <w:rtl/>
        </w:rPr>
        <w:t xml:space="preserve">و أمّا الإیراد الأوّل،فالإنصاف أنّه لا یخلو عن وجه؛لأنّ الظاهر من هذه الأخبار کون العمل متفرّعا علی البلوغ و کونه الداعی علی العمل-و یؤیّده:تقیید العمل فی غیر واحد من تلک الأخبار </w:t>
      </w:r>
      <w:r>
        <w:rPr>
          <w:rStyle w:val="FootnoteReference"/>
        </w:rPr>
        <w:footnoteReference w:id="505"/>
      </w:r>
      <w:r>
        <w:rPr>
          <w:rFonts w:ascii="IRNazanin" w:hAnsi="IRNazanin" w:eastAsia="IRNazanin" w:cs="IRNazanin"/>
          <w:lang w:bidi="fa-IR"/>
          <w:color w:val="111111"/>
          <w:sz w:val="28"/>
          <w:szCs w:val="28"/>
          <w:rtl/>
        </w:rPr>
        <w:t xml:space="preserve">بطلب قول النبیّ صلّی اللّه علیه و آله و التماس الثواب الموعود-،و من المعلوم أنّ العقل مستقلّ باستحقاق هذا العامل المدح و الثواب،و حینئذ:</w:t>
      </w:r>
    </w:p>
    <w:p>
      <w:pPr>
        <w:pStyle w:val="BookText"/>
      </w:pPr>
      <w:r>
        <w:rPr>
          <w:rFonts w:ascii="IRNazanin" w:hAnsi="IRNazanin" w:eastAsia="IRNazanin" w:cs="IRNazanin"/>
          <w:lang w:bidi="fa-IR"/>
          <w:color w:val="111111"/>
          <w:sz w:val="28"/>
          <w:szCs w:val="28"/>
          <w:rtl/>
        </w:rPr>
        <w:t xml:space="preserve">فإن کان الثابت بهذه </w:t>
      </w:r>
      <w:r>
        <w:rPr>
          <w:rStyle w:val="FootnoteReference"/>
        </w:rPr>
        <w:footnoteReference w:id="506"/>
      </w:r>
      <w:r>
        <w:rPr>
          <w:rFonts w:ascii="IRNazanin" w:hAnsi="IRNazanin" w:eastAsia="IRNazanin" w:cs="IRNazanin"/>
          <w:lang w:bidi="fa-IR"/>
          <w:color w:val="111111"/>
          <w:sz w:val="28"/>
          <w:szCs w:val="28"/>
          <w:rtl/>
        </w:rPr>
        <w:t xml:space="preserve">الأخبار أصل الثواب،کانت مؤکّدة لحکم</w:t>
      </w:r>
    </w:p>
    <w:p>
      <w:pPr>
        <w:pStyle w:val="BookText"/>
      </w:pPr>
      <w:r>
        <w:rPr>
          <w:rFonts w:ascii="IRNazanin" w:hAnsi="IRNazanin" w:eastAsia="IRNazanin" w:cs="IRNazanin"/>
          <w:lang w:bidi="fa-IR"/>
          <w:color w:val="111111"/>
          <w:sz w:val="28"/>
          <w:szCs w:val="28"/>
          <w:rtl/>
        </w:rPr>
        <w:t xml:space="preserve">[شماره صفحه واقعی : 155]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92" w:name="pg14411_142545"/>
    <w:bookmarkEnd w:id="92"/>
    <w:p>
      <w:pPr>
        <w:pStyle w:val="BookText"/>
      </w:pPr>
      <w:r>
        <w:rPr>
          <w:rFonts w:ascii="IRNazanin" w:hAnsi="IRNazanin" w:eastAsia="IRNazanin" w:cs="IRNazanin"/>
          <w:lang w:bidi="fa-IR"/>
          <w:color w:val="111111"/>
          <w:sz w:val="28"/>
          <w:szCs w:val="28"/>
          <w:rtl/>
        </w:rPr>
        <w:t xml:space="preserve">العقل بالاستحقاق،و أمّا طلب الشارع لهذا الفعل:</w:t>
      </w:r>
    </w:p>
    <w:p>
      <w:pPr>
        <w:pStyle w:val="Heading6"/>
      </w:pPr>
      <w:bookmarkStart w:id="1151" w:name="_Toc186"/>
      <w:r>
        <w:t>[دلالة«أخبار من بلغ»علی الأمر الإرشادی]</w:t>
      </w:r>
      <w:bookmarkEnd w:id="1151"/>
    </w:p>
    <w:p>
      <w:pPr>
        <w:pStyle w:val="BookText"/>
      </w:pPr>
      <w:r>
        <w:rPr>
          <w:rFonts w:ascii="IRNazanin" w:hAnsi="IRNazanin" w:eastAsia="IRNazanin" w:cs="IRNazanin"/>
          <w:lang w:bidi="fa-IR"/>
          <w:color w:val="111111"/>
          <w:sz w:val="28"/>
          <w:szCs w:val="28"/>
          <w:rtl/>
        </w:rPr>
        <w:t xml:space="preserve">فإن کان علی وجه الإرشاد لأجل تحصیل هذا الثواب الموعود فهو لازم للاستحقاق المذکور،و هو عین الأمر بالاحتیاط.</w:t>
      </w:r>
    </w:p>
    <w:p>
      <w:pPr>
        <w:pStyle w:val="BookText"/>
      </w:pPr>
      <w:r>
        <w:rPr>
          <w:rFonts w:ascii="Amiri" w:hAnsi="Amiri" w:eastAsia="Amiri" w:cs="Amiri"/>
          <w:lang w:bidi="ar-SA"/>
          <w:color w:val="111111"/>
          <w:sz w:val="28"/>
          <w:szCs w:val="28"/>
          <w:rtl/>
        </w:rPr>
        <w:t xml:space="preserve">و إن کان علی وجه الطلب الشرعیّ المعبّر عنه بالاستحباب،فهو غیر لازم للحکم بتنجّز الثواب؛لأنّ هذا الحکم تصدیق لحکم العقل بتنجّزه فیشبه قوله تعالی: وَ مَنْ یُطِعِ اللّٰهَ وَ رَسُولَهُ یُدْخِلْهُ جَنّٰاتٍ تَجْرِی </w:t>
      </w:r>
      <w:r>
        <w:rPr>
          <w:rStyle w:val="FootnoteReference"/>
        </w:rPr>
        <w:footnoteReference w:id="507"/>
      </w:r>
      <w:r>
        <w:rPr>
          <w:rFonts w:ascii="IRNazanin" w:hAnsi="IRNazanin" w:eastAsia="IRNazanin" w:cs="IRNazanin"/>
          <w:lang w:bidi="fa-IR"/>
          <w:color w:val="111111"/>
          <w:sz w:val="28"/>
          <w:szCs w:val="28"/>
          <w:rtl/>
        </w:rPr>
        <w:t xml:space="preserve">.إلاّ أنّ هذا وعد علی الإطاعة الحقیقیّة،و ما نحن فیه وعد علی الإطاعة الحکمیّة،و هو الفعل الذی یعدّ معه العبد فی حکم المطیع،</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فهو من باب وعد الثواب علی نیّة الخیر التی یعدّ معها العبد فی حکم المطیع من حیث الانقیاد.</w:t>
      </w:r>
    </w:p>
    <w:p>
      <w:pPr>
        <w:pStyle w:val="BookText"/>
      </w:pPr>
      <w:r>
        <w:rPr>
          <w:rFonts w:ascii="IRNazanin" w:hAnsi="IRNazanin" w:eastAsia="IRNazanin" w:cs="IRNazanin"/>
          <w:lang w:bidi="fa-IR"/>
          <w:color w:val="111111"/>
          <w:sz w:val="28"/>
          <w:szCs w:val="28"/>
          <w:rtl/>
        </w:rPr>
        <w:t xml:space="preserve">و أمّا ما یتوهّم:من أنّ استفادة الاستحباب الشرعیّ فیما نحن فیه نظیر استفادة الاستحباب الشرعیّ من الأخبار الواردة فی الموارد الکثیرة المقتصر فیها علی ذکر الثواب للعمل،مثل قوله علیه السّلام:«من سرّح لحیته فله کذا» </w:t>
      </w:r>
      <w:r>
        <w:rPr>
          <w:rStyle w:val="FootnoteReference"/>
        </w:rPr>
        <w:footnoteReference w:id="5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فمدفوع </w:t>
      </w:r>
      <w:r>
        <w:rPr>
          <w:rStyle w:val="FootnoteReference"/>
        </w:rPr>
        <w:footnoteReference w:id="509"/>
      </w:r>
      <w:r>
        <w:rPr>
          <w:rFonts w:ascii="IRNazanin" w:hAnsi="IRNazanin" w:eastAsia="IRNazanin" w:cs="IRNazanin"/>
          <w:lang w:bidi="fa-IR"/>
          <w:color w:val="111111"/>
          <w:sz w:val="28"/>
          <w:szCs w:val="28"/>
          <w:rtl/>
        </w:rPr>
        <w:t xml:space="preserve">:بأنّ الاستفادة هناک باعتبار أنّ ترتّب الثواب لا یکون إلاّ مع الإطاعة حقیقة أو حکما،فمرجع تلک الأخبار إلی بیان الثواب علی إطاعة اللّه سبحانه بهذا الفعل،فهی تکشف عن تعلّق الأمر بها من الشارع،فالثواب هناک لازم للأمر یستدلّ به علیه استدلالا إنیّا.</w:t>
      </w:r>
    </w:p>
    <w:p>
      <w:pPr>
        <w:pStyle w:val="BookText"/>
      </w:pPr>
      <w:r>
        <w:rPr>
          <w:rFonts w:ascii="IRNazanin" w:hAnsi="IRNazanin" w:eastAsia="IRNazanin" w:cs="IRNazanin"/>
          <w:lang w:bidi="fa-IR"/>
          <w:color w:val="111111"/>
          <w:sz w:val="28"/>
          <w:szCs w:val="28"/>
          <w:rtl/>
        </w:rPr>
        <w:t xml:space="preserve">[شماره صفحه واقعی : 156]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مثل ذلک استفادة الوجوب و التحریم ممّا اقتصر فیه علی ذکر العقاب علی الترک أو الفعل.</w:t>
      </w:r>
    </w:p>
    <w:p>
      <w:pPr>
        <w:pStyle w:val="BookText"/>
      </w:pPr>
      <w:r>
        <w:rPr>
          <w:rFonts w:ascii="IRNazanin" w:hAnsi="IRNazanin" w:eastAsia="IRNazanin" w:cs="IRNazanin"/>
          <w:lang w:bidi="fa-IR"/>
          <w:color w:val="111111"/>
          <w:sz w:val="28"/>
          <w:szCs w:val="28"/>
          <w:rtl/>
        </w:rPr>
        <w:t xml:space="preserve">و أمّا الثواب الموعود فی هذه الأخبار فهو باعتبار الإطاعة الحکمیّة،فهو لازم لنفس عمله المتفرّع علی السماع و احتمال الصدق و لو لم یرد به أمر.آخر أصلا،فلا یدلّ علی طلب شرعیّ آخر له.نعم، یلزم من الوعد علی الثواب طلب إرشادیّ لتحصیل ذلک الموعود.</w:t>
      </w:r>
    </w:p>
    <w:p>
      <w:pPr>
        <w:pStyle w:val="BookText"/>
      </w:pPr>
      <w:r>
        <w:rPr>
          <w:rFonts w:ascii="IRNazanin" w:hAnsi="IRNazanin" w:eastAsia="IRNazanin" w:cs="IRNazanin"/>
          <w:lang w:bidi="fa-IR"/>
          <w:color w:val="111111"/>
          <w:sz w:val="28"/>
          <w:szCs w:val="28"/>
          <w:rtl/>
        </w:rPr>
        <w:t xml:space="preserve">فالغرض </w:t>
      </w:r>
      <w:r>
        <w:rPr>
          <w:rStyle w:val="FootnoteReference"/>
        </w:rPr>
        <w:footnoteReference w:id="510"/>
      </w:r>
      <w:r>
        <w:rPr>
          <w:rFonts w:ascii="IRNazanin" w:hAnsi="IRNazanin" w:eastAsia="IRNazanin" w:cs="IRNazanin"/>
          <w:lang w:bidi="fa-IR"/>
          <w:color w:val="111111"/>
          <w:sz w:val="28"/>
          <w:szCs w:val="28"/>
          <w:rtl/>
        </w:rPr>
        <w:t xml:space="preserve">من هذه الأوامر-کأوامر الاحتیاط-تأیید حکم العقل،و الترغیب فی تحصیل ما وعد اللّه عباده المنقادین المعدودین بمنزلة المطیعین.</w:t>
      </w:r>
    </w:p>
    <w:p>
      <w:pPr>
        <w:pStyle w:val="BookText"/>
      </w:pPr>
      <w:r>
        <w:rPr>
          <w:rFonts w:ascii="IRNazanin" w:hAnsi="IRNazanin" w:eastAsia="IRNazanin" w:cs="IRNazanin"/>
          <w:lang w:bidi="fa-IR"/>
          <w:color w:val="111111"/>
          <w:sz w:val="28"/>
          <w:szCs w:val="28"/>
          <w:rtl/>
        </w:rPr>
        <w:t xml:space="preserve">و إن کان الثابت بهذه الأخبار خصوص الثواب البالغ کما هو ظاهر بعضها،فهو و إن کان مغایرا لحکم العقل باستحقاق أصل الثواب علی هذا العمل-بناء علی أنّ العقل لا یحکم باستحقاق ذلک الثواب المسموع الداعی إلی الفعل،بل قد یناقش فی تسمیة ما یستحقّه هذا العامل لمجرّد احتمال الأمر ثوابا و إن کان نوعا من الجزاء و العوض-، إلاّ أنّ مدلول هذه الأخبار إخبار عن تفضّل اللّه سبحانه علی العامل بالثواب المسموع،و هو أیضا لیس لازما لأمر شرعی هو الموجب لهذا </w:t>
      </w:r>
      <w:r>
        <w:rPr>
          <w:rStyle w:val="FootnoteReference"/>
        </w:rPr>
        <w:footnoteReference w:id="511"/>
      </w:r>
      <w:r>
        <w:rPr>
          <w:rFonts w:ascii="IRNazanin" w:hAnsi="IRNazanin" w:eastAsia="IRNazanin" w:cs="IRNazanin"/>
          <w:lang w:bidi="fa-IR"/>
          <w:color w:val="111111"/>
          <w:sz w:val="28"/>
          <w:szCs w:val="28"/>
          <w:rtl/>
        </w:rPr>
        <w:t xml:space="preserve">الثواب،</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Amiri" w:hAnsi="Amiri" w:eastAsia="Amiri" w:cs="Amiri"/>
          <w:lang w:bidi="ar-SA"/>
          <w:color w:val="111111"/>
          <w:sz w:val="28"/>
          <w:szCs w:val="28"/>
          <w:rtl/>
        </w:rPr>
        <w:t xml:space="preserve">بل هو نظیر قوله تعالی: مَنْ جٰاءَ بِالْحَسَنَةِ فَلَهُ عَشْرُ أَمْثٰالِهٰا </w:t>
      </w:r>
      <w:r>
        <w:rPr>
          <w:rStyle w:val="FootnoteReference"/>
        </w:rPr>
        <w:footnoteReference w:id="512"/>
      </w:r>
      <w:r>
        <w:rPr>
          <w:rFonts w:ascii="IRNazanin" w:hAnsi="IRNazanin" w:eastAsia="IRNazanin" w:cs="IRNazanin"/>
          <w:lang w:bidi="fa-IR"/>
          <w:color w:val="111111"/>
          <w:sz w:val="28"/>
          <w:szCs w:val="28"/>
          <w:rtl/>
        </w:rPr>
        <w:t xml:space="preserve">ملزوم لأمر إرشادیّ-یستقلّ به العقل-بتحصیل ذلک</w:t>
      </w:r>
    </w:p>
    <w:p>
      <w:pPr>
        <w:pStyle w:val="BookText"/>
      </w:pPr>
      <w:r>
        <w:rPr>
          <w:rFonts w:ascii="IRNazanin" w:hAnsi="IRNazanin" w:eastAsia="IRNazanin" w:cs="IRNazanin"/>
          <w:lang w:bidi="fa-IR"/>
          <w:color w:val="111111"/>
          <w:sz w:val="28"/>
          <w:szCs w:val="28"/>
          <w:rtl/>
        </w:rPr>
        <w:t xml:space="preserve">[شماره صفحه واقعی : 157]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93" w:name="pg14411_142547"/>
    <w:bookmarkEnd w:id="93"/>
    <w:p>
      <w:pPr>
        <w:pStyle w:val="BookText"/>
      </w:pPr>
      <w:r>
        <w:rPr>
          <w:rFonts w:ascii="IRNazanin" w:hAnsi="IRNazanin" w:eastAsia="IRNazanin" w:cs="IRNazanin"/>
          <w:lang w:bidi="fa-IR"/>
          <w:color w:val="111111"/>
          <w:sz w:val="28"/>
          <w:szCs w:val="28"/>
          <w:rtl/>
        </w:rPr>
        <w:t xml:space="preserve">الثواب المضاعف.</w:t>
      </w:r>
    </w:p>
    <w:p>
      <w:pPr>
        <w:pStyle w:val="BookText"/>
      </w:pPr>
      <w:r>
        <w:rPr>
          <w:rFonts w:ascii="IRNazanin" w:hAnsi="IRNazanin" w:eastAsia="IRNazanin" w:cs="IRNazanin"/>
          <w:lang w:bidi="fa-IR"/>
          <w:color w:val="111111"/>
          <w:sz w:val="28"/>
          <w:szCs w:val="28"/>
          <w:rtl/>
        </w:rPr>
        <w:t xml:space="preserve">و الحاصل:أنّه کان ینبغی للمتوهّم أن یقیس ما نحن فیه بما ورد من الثواب علی نیّة الخیر،لا علی ما ورد من الثواب فی بیان المستحبّات.</w:t>
      </w:r>
    </w:p>
    <w:p>
      <w:pPr>
        <w:pStyle w:val="Heading6"/>
      </w:pPr>
      <w:bookmarkStart w:id="1152" w:name="_Toc187"/>
      <w:r>
        <w:t>[الثمرة بین الأمر الإرشادی و الاستحباب الشرعی]</w:t>
      </w:r>
      <w:bookmarkEnd w:id="1152"/>
    </w:p>
    <w:p>
      <w:pPr>
        <w:pStyle w:val="BookText"/>
      </w:pPr>
      <w:r>
        <w:rPr>
          <w:rFonts w:ascii="IRNazanin" w:hAnsi="IRNazanin" w:eastAsia="IRNazanin" w:cs="IRNazanin"/>
          <w:lang w:bidi="fa-IR"/>
          <w:color w:val="111111"/>
          <w:sz w:val="28"/>
          <w:szCs w:val="28"/>
          <w:rtl/>
        </w:rPr>
        <w:t xml:space="preserve">ثمّ إنّ الثمرة بین ما ذکرنا و بین الاستحباب الشرعیّ تظهر </w:t>
      </w:r>
      <w:r>
        <w:rPr>
          <w:rStyle w:val="FootnoteReference"/>
        </w:rPr>
        <w:footnoteReference w:id="513"/>
      </w:r>
      <w:r>
        <w:rPr>
          <w:rFonts w:ascii="IRNazanin" w:hAnsi="IRNazanin" w:eastAsia="IRNazanin" w:cs="IRNazanin"/>
          <w:lang w:bidi="fa-IR"/>
          <w:color w:val="111111"/>
          <w:sz w:val="28"/>
          <w:szCs w:val="28"/>
          <w:rtl/>
        </w:rPr>
        <w:t xml:space="preserve">فی ترتّب الآثار الشرعیّة </w:t>
      </w:r>
      <w:r>
        <w:rPr>
          <w:rStyle w:val="FootnoteReference"/>
        </w:rPr>
        <w:footnoteReference w:id="514"/>
      </w:r>
      <w:r>
        <w:rPr>
          <w:rFonts w:ascii="IRNazanin" w:hAnsi="IRNazanin" w:eastAsia="IRNazanin" w:cs="IRNazanin"/>
          <w:lang w:bidi="fa-IR"/>
          <w:color w:val="111111"/>
          <w:sz w:val="28"/>
          <w:szCs w:val="28"/>
          <w:rtl/>
        </w:rPr>
        <w:t xml:space="preserve">المترتّبة علی المستحبّات الشرعیّة،مثل ارتفاع الحدث المترتّب علی الوضوء المأمور به شرعا؛فإنّ مجرّد ورود خبر غیر معتبر بالأمر به لا یوجب إلاّ استحقاق الثواب علیه،و لا یترتّب علیه رفع الحدث،فتأمّل.و کذا الحکم باستحباب غسل المسترسل من اللحیة فی الوضوء من باب مجرّد الاحتیاط،لا یسوّغ جواز المسح ببلله،بل یحتمل قویّا أن یمنع من المسح ببلله و إن قلنا بصیرورته مستحبّا شرعیّا،فافهم.</w:t>
      </w:r>
    </w:p>
    <w:p>
      <w:pPr>
        <w:pStyle w:val="BookText"/>
      </w:pPr>
      <w:r>
        <w:rPr>
          <w:rFonts w:ascii="IRNazanin" w:hAnsi="IRNazanin" w:eastAsia="IRNazanin" w:cs="IRNazanin"/>
          <w:lang w:bidi="fa-IR"/>
          <w:color w:val="111111"/>
          <w:sz w:val="28"/>
          <w:szCs w:val="28"/>
          <w:rtl/>
        </w:rPr>
        <w:t xml:space="preserve">[شماره صفحه واقعی : 158]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94" w:name="pg14411_142548"/>
    <w:bookmarkEnd w:id="94"/>
    <w:p>
      <w:pPr>
        <w:pStyle w:val="Heading6"/>
      </w:pPr>
      <w:bookmarkStart w:id="1153" w:name="_Toc188"/>
      <w:r>
        <w:t>الأمر الثالث [:اختصاص أدلّة البراءة بالشکّ فی الوجوب التعیینی]</w:t>
      </w:r>
      <w:bookmarkEnd w:id="1153"/>
    </w:p>
    <w:p>
      <w:pPr>
        <w:pStyle w:val="Heading6"/>
      </w:pPr>
      <w:bookmarkStart w:id="1154" w:name="_Toc189"/>
      <w:r>
        <w:t>اشارة</w:t>
      </w:r>
      <w:bookmarkEnd w:id="1154"/>
    </w:p>
    <w:p>
      <w:pPr>
        <w:pStyle w:val="BookText"/>
      </w:pPr>
      <w:r>
        <w:rPr>
          <w:rFonts w:ascii="IRNazanin" w:hAnsi="IRNazanin" w:eastAsia="IRNazanin" w:cs="IRNazanin"/>
          <w:lang w:bidi="fa-IR"/>
          <w:color w:val="111111"/>
          <w:sz w:val="28"/>
          <w:szCs w:val="28"/>
          <w:rtl/>
        </w:rPr>
        <w:t xml:space="preserve">أنّ الظاهر:اختصاص أدلّة البراءة بصورة الشکّ فی الوجوب التعیینیّ،سواء کان أصلیّا أو عرضیّا کالواجب المخیّر المتعیّن لأجل الانحصار،أمّا لو شکّ فی الوجوب التخییریّ و الإباحة فلا تجری فیه أدلّة البراءة؛لظهورها فی عدم تعیین الشیء المجهول علی المکلّف بحیث یلتزم به </w:t>
      </w:r>
      <w:r>
        <w:rPr>
          <w:rStyle w:val="FootnoteReference"/>
        </w:rPr>
        <w:footnoteReference w:id="515"/>
      </w:r>
      <w:r>
        <w:rPr>
          <w:rFonts w:ascii="IRNazanin" w:hAnsi="IRNazanin" w:eastAsia="IRNazanin" w:cs="IRNazanin"/>
          <w:lang w:bidi="fa-IR"/>
          <w:color w:val="111111"/>
          <w:sz w:val="28"/>
          <w:szCs w:val="28"/>
          <w:rtl/>
        </w:rPr>
        <w:t xml:space="preserve">و یعاقب علیه.</w:t>
      </w:r>
    </w:p>
    <w:p>
      <w:pPr>
        <w:pStyle w:val="Heading6"/>
      </w:pPr>
      <w:bookmarkStart w:id="1155" w:name="_Toc190"/>
      <w:r>
        <w:t>[لو شکّ فی الوجوب التخییری و الإباحة]</w:t>
      </w:r>
      <w:bookmarkEnd w:id="1155"/>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 فی جریان أصالة عدم الوجوب تفصیل:</w:t>
      </w:r>
    </w:p>
    <w:p>
      <w:pPr>
        <w:pStyle w:val="BookText"/>
      </w:pPr>
      <w:r>
        <w:rPr>
          <w:rFonts w:ascii="IRNazanin" w:hAnsi="IRNazanin" w:eastAsia="IRNazanin" w:cs="IRNazanin"/>
          <w:lang w:bidi="fa-IR"/>
          <w:color w:val="111111"/>
          <w:sz w:val="28"/>
          <w:szCs w:val="28"/>
          <w:rtl/>
        </w:rPr>
        <w:t xml:space="preserve">لأنّه إن کان الشکّ فی وجوبه فی ضمن کلّیّ مشترک بینه و بین غیره أو وجوب ذلک الغیر بالخصوص،فیشکل جریان أصالة عدم الوجوب؛إذ لیس هنا إلاّ وجوب واحد مردّد بین الکلّی و الفرد،فتعیّن هنا إجراء أصالة عدم سقوط ذلک الفرد المتیقّن الوجوب بفعل هذا المشکوک.</w:t>
      </w:r>
    </w:p>
    <w:p>
      <w:pPr>
        <w:pStyle w:val="BookText"/>
      </w:pPr>
      <w:r>
        <w:rPr>
          <w:rFonts w:ascii="IRNazanin" w:hAnsi="IRNazanin" w:eastAsia="IRNazanin" w:cs="IRNazanin"/>
          <w:lang w:bidi="fa-IR"/>
          <w:color w:val="111111"/>
          <w:sz w:val="28"/>
          <w:szCs w:val="28"/>
          <w:rtl/>
        </w:rPr>
        <w:t xml:space="preserve">و أمّا إذا کان الشکّ فی وجوبه </w:t>
      </w:r>
      <w:r>
        <w:rPr>
          <w:rStyle w:val="FootnoteReference"/>
        </w:rPr>
        <w:footnoteReference w:id="516"/>
      </w:r>
      <w:r>
        <w:rPr>
          <w:rFonts w:ascii="IRNazanin" w:hAnsi="IRNazanin" w:eastAsia="IRNazanin" w:cs="IRNazanin"/>
          <w:lang w:bidi="fa-IR"/>
          <w:color w:val="111111"/>
          <w:sz w:val="28"/>
          <w:szCs w:val="28"/>
          <w:rtl/>
        </w:rPr>
        <w:t xml:space="preserve">بالخصوص،جری أصالة عدم</w:t>
      </w:r>
    </w:p>
    <w:p>
      <w:pPr>
        <w:pStyle w:val="BookText"/>
      </w:pPr>
      <w:r>
        <w:rPr>
          <w:rFonts w:ascii="IRNazanin" w:hAnsi="IRNazanin" w:eastAsia="IRNazanin" w:cs="IRNazanin"/>
          <w:lang w:bidi="fa-IR"/>
          <w:color w:val="111111"/>
          <w:sz w:val="28"/>
          <w:szCs w:val="28"/>
          <w:rtl/>
        </w:rPr>
        <w:t xml:space="preserve">[شماره صفحه واقعی : 159]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95" w:name="pg14411_142549"/>
    <w:bookmarkEnd w:id="95"/>
    <w:p>
      <w:pPr>
        <w:pStyle w:val="BookText"/>
      </w:pPr>
      <w:r>
        <w:rPr>
          <w:rFonts w:ascii="IRNazanin" w:hAnsi="IRNazanin" w:eastAsia="IRNazanin" w:cs="IRNazanin"/>
          <w:lang w:bidi="fa-IR"/>
          <w:color w:val="111111"/>
          <w:sz w:val="28"/>
          <w:szCs w:val="28"/>
          <w:rtl/>
        </w:rPr>
        <w:t xml:space="preserve">الوجوب و أصالة عدم لازمه الوضعیّ،و هو سقوط الواجب المعلوم به </w:t>
      </w:r>
      <w:r>
        <w:rPr>
          <w:rStyle w:val="FootnoteReference"/>
        </w:rPr>
        <w:footnoteReference w:id="517"/>
      </w:r>
      <w:r>
        <w:rPr>
          <w:rFonts w:ascii="IRNazanin" w:hAnsi="IRNazanin" w:eastAsia="IRNazanin" w:cs="IRNazanin"/>
          <w:lang w:bidi="fa-IR"/>
          <w:color w:val="111111"/>
          <w:sz w:val="28"/>
          <w:szCs w:val="28"/>
          <w:rtl/>
        </w:rPr>
        <w:t xml:space="preserve">إذا شکّ فی إسقاطه له،أمّا إذا قطع بکونه مسقطا للواجب المعلوم، و شکّ فی کونه واجبا مسقطا للواجب الآخر أو مباحا </w:t>
      </w:r>
      <w:r>
        <w:rPr>
          <w:rStyle w:val="FootnoteReference"/>
        </w:rPr>
        <w:footnoteReference w:id="518"/>
      </w:r>
      <w:r>
        <w:rPr>
          <w:rFonts w:ascii="IRNazanin" w:hAnsi="IRNazanin" w:eastAsia="IRNazanin" w:cs="IRNazanin"/>
          <w:lang w:bidi="fa-IR"/>
          <w:color w:val="111111"/>
          <w:sz w:val="28"/>
          <w:szCs w:val="28"/>
          <w:rtl/>
        </w:rPr>
        <w:t xml:space="preserve">مسقطا لوجوبه -نظیر السفر المباح المسقط لوجوب الصوم-فلا مجری للأصل إلاّ بالنسبة إلی طلبه،و تجری أصالة البراءة عن وجوبه التعیینیّ </w:t>
      </w:r>
      <w:r>
        <w:rPr>
          <w:rStyle w:val="FootnoteReference"/>
        </w:rPr>
        <w:footnoteReference w:id="519"/>
      </w:r>
      <w:r>
        <w:rPr>
          <w:rFonts w:ascii="IRNazanin" w:hAnsi="IRNazanin" w:eastAsia="IRNazanin" w:cs="IRNazanin"/>
          <w:lang w:bidi="fa-IR"/>
          <w:color w:val="111111"/>
          <w:sz w:val="28"/>
          <w:szCs w:val="28"/>
          <w:rtl/>
        </w:rPr>
        <w:t xml:space="preserve">بالعرض إذا فرض تعذّر ذلک الواجب الآخر.</w:t>
      </w:r>
    </w:p>
    <w:p>
      <w:pPr>
        <w:pStyle w:val="Heading6"/>
      </w:pPr>
      <w:bookmarkStart w:id="1156" w:name="_Toc191"/>
      <w:r>
        <w:t>[هل یجب الائتمام علی من عجز عن القراءة و تعلّمها؟]</w:t>
      </w:r>
      <w:bookmarkEnd w:id="1156"/>
    </w:p>
    <w:p>
      <w:pPr>
        <w:pStyle w:val="BookText"/>
      </w:pPr>
      <w:r>
        <w:rPr>
          <w:rFonts w:ascii="IRNazanin" w:hAnsi="IRNazanin" w:eastAsia="IRNazanin" w:cs="IRNazanin"/>
          <w:lang w:bidi="fa-IR"/>
          <w:color w:val="111111"/>
          <w:sz w:val="28"/>
          <w:szCs w:val="28"/>
          <w:rtl/>
        </w:rPr>
        <w:t xml:space="preserve">و ربما یتخیّل من هذا القبیل:ما لو شکّ فی وجوب الائتمام علی من عجز عن القراءة و تعلّمها،بناء علی رجوع المسألة إلی الشکّ فی کون الائتمام مستحبّا مسقطا أو واجبا مخیّرا بینه و بین الصلاة مع القراءة،فیدفع وجوبه التخییریّ بالأصل.</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لکنّ الظاهر أنّ المسألة لیست من هذا القبیل؛لأنّ صلاة الجماعة فرد من الصلاة الواجبة،فتتّصف </w:t>
      </w:r>
      <w:r>
        <w:rPr>
          <w:rStyle w:val="FootnoteReference"/>
        </w:rPr>
        <w:footnoteReference w:id="520"/>
      </w:r>
      <w:r>
        <w:rPr>
          <w:rFonts w:ascii="IRNazanin" w:hAnsi="IRNazanin" w:eastAsia="IRNazanin" w:cs="IRNazanin"/>
          <w:lang w:bidi="fa-IR"/>
          <w:color w:val="111111"/>
          <w:sz w:val="28"/>
          <w:szCs w:val="28"/>
          <w:rtl/>
        </w:rPr>
        <w:t xml:space="preserve">بالوجوب لا محالة،و اتّصافها بالاستحباب من باب أفضل فردی الواجب،فیختصّ بما إذا تمکّن المکلّف من غیره،فإذا عجز تعیّن و خرج عن الاستحباب،کما إذا منعه مانع آخر عن الصلاة منفردا.</w:t>
      </w:r>
    </w:p>
    <w:p>
      <w:pPr>
        <w:pStyle w:val="BookText"/>
      </w:pPr>
      <w:r>
        <w:rPr>
          <w:rFonts w:ascii="IRNazanin" w:hAnsi="IRNazanin" w:eastAsia="IRNazanin" w:cs="IRNazanin"/>
          <w:lang w:bidi="fa-IR"/>
          <w:color w:val="111111"/>
          <w:sz w:val="28"/>
          <w:szCs w:val="28"/>
          <w:rtl/>
        </w:rPr>
        <w:t xml:space="preserve">لکن یمکن منع تحقّق العجز فیما نحن فیه؛فإنّه یتمکّن من الصلاة منفردا بلا قراءة؛لسقوطها عنه بالتعذّر کسقوطها بالائتمام،فتعیّن </w:t>
      </w:r>
      <w:r>
        <w:rPr>
          <w:rStyle w:val="FootnoteReference"/>
        </w:rPr>
        <w:footnoteReference w:id="521"/>
      </w:r>
      <w:r>
        <w:rPr>
          <w:rFonts w:ascii="IRNazanin" w:hAnsi="IRNazanin" w:eastAsia="IRNazanin" w:cs="IRNazanin"/>
          <w:lang w:bidi="fa-IR"/>
          <w:color w:val="111111"/>
          <w:sz w:val="28"/>
          <w:szCs w:val="28"/>
          <w:rtl/>
        </w:rPr>
        <w:t xml:space="preserve">أحد</w:t>
      </w:r>
    </w:p>
    <w:p>
      <w:pPr>
        <w:pStyle w:val="BookText"/>
      </w:pPr>
      <w:r>
        <w:rPr>
          <w:rFonts w:ascii="IRNazanin" w:hAnsi="IRNazanin" w:eastAsia="IRNazanin" w:cs="IRNazanin"/>
          <w:lang w:bidi="fa-IR"/>
          <w:color w:val="111111"/>
          <w:sz w:val="28"/>
          <w:szCs w:val="28"/>
          <w:rtl/>
        </w:rPr>
        <w:t xml:space="preserve">[شماره صفحه واقعی : 160]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96" w:name="pg14411_142550"/>
    <w:bookmarkEnd w:id="96"/>
    <w:p>
      <w:pPr>
        <w:pStyle w:val="BookText"/>
      </w:pPr>
      <w:r>
        <w:rPr>
          <w:rFonts w:ascii="IRNazanin" w:hAnsi="IRNazanin" w:eastAsia="IRNazanin" w:cs="IRNazanin"/>
          <w:lang w:bidi="fa-IR"/>
          <w:color w:val="111111"/>
          <w:sz w:val="28"/>
          <w:szCs w:val="28"/>
          <w:rtl/>
        </w:rPr>
        <w:t xml:space="preserve">المسقطین یحتاج إلی دلیل.</w:t>
      </w:r>
    </w:p>
    <w:p>
      <w:pPr>
        <w:pStyle w:val="Heading6"/>
      </w:pPr>
      <w:bookmarkStart w:id="1157" w:name="_Toc192"/>
      <w:r>
        <w:t>[کلام فخر المحقّقین فی أنّ قراءة الإمام بدل أو مسقط]</w:t>
      </w:r>
      <w:bookmarkEnd w:id="1157"/>
    </w:p>
    <w:p>
      <w:pPr>
        <w:pStyle w:val="BookText"/>
      </w:pPr>
      <w:r>
        <w:rPr>
          <w:rFonts w:ascii="IRNazanin" w:hAnsi="IRNazanin" w:eastAsia="IRNazanin" w:cs="IRNazanin"/>
          <w:lang w:bidi="fa-IR"/>
          <w:color w:val="111111"/>
          <w:sz w:val="28"/>
          <w:szCs w:val="28"/>
          <w:rtl/>
        </w:rPr>
        <w:t xml:space="preserve">قال فخر المحقّقین فی الإیضاح فی شرح قول والده قدّس سرّهما:و الأقرب وجوب الائتمام علی الامّیّ العاجز:</w:t>
      </w:r>
    </w:p>
    <w:p>
      <w:pPr>
        <w:pStyle w:val="BookText"/>
      </w:pPr>
      <w:r>
        <w:rPr>
          <w:rFonts w:ascii="IRNazanin" w:hAnsi="IRNazanin" w:eastAsia="IRNazanin" w:cs="IRNazanin"/>
          <w:lang w:bidi="fa-IR"/>
          <w:color w:val="111111"/>
          <w:sz w:val="28"/>
          <w:szCs w:val="28"/>
          <w:rtl/>
        </w:rPr>
        <w:t xml:space="preserve">وجه القرب تمکّنه من صلاة صحیحة القراءة.و یحتمل عدمه؛ لعموم نصّین:أحدهما:الاکتفاء بما یحسن مع عدم التمکّن من التعلّم.</w:t>
      </w:r>
    </w:p>
    <w:p>
      <w:pPr>
        <w:pStyle w:val="BookText"/>
      </w:pPr>
      <w:r>
        <w:rPr>
          <w:rFonts w:ascii="IRNazanin" w:hAnsi="IRNazanin" w:eastAsia="IRNazanin" w:cs="IRNazanin"/>
          <w:lang w:bidi="fa-IR"/>
          <w:color w:val="111111"/>
          <w:sz w:val="28"/>
          <w:szCs w:val="28"/>
          <w:rtl/>
        </w:rPr>
        <w:t xml:space="preserve">و الثانی:ندبیّة الجماعة.</w:t>
      </w:r>
    </w:p>
    <w:p>
      <w:pPr>
        <w:pStyle w:val="BookText"/>
      </w:pPr>
      <w:r>
        <w:rPr>
          <w:rFonts w:ascii="IRNazanin" w:hAnsi="IRNazanin" w:eastAsia="IRNazanin" w:cs="IRNazanin"/>
          <w:lang w:bidi="fa-IR"/>
          <w:color w:val="111111"/>
          <w:sz w:val="28"/>
          <w:szCs w:val="28"/>
          <w:rtl/>
        </w:rPr>
        <w:t xml:space="preserve">و الأوّل أقوی؛لأنّه یقوم مقام القراءة اختیارا فیتعیّن عند الضرورة؛لأنّ کلّ بدل اختیاریّ یجب عینا عند تعذّر مبدله،و قد بیّن ذلک فی الاصول.</w:t>
      </w:r>
    </w:p>
    <w:p>
      <w:pPr>
        <w:pStyle w:val="BookText"/>
      </w:pPr>
      <w:r>
        <w:rPr>
          <w:rFonts w:ascii="IRNazanin" w:hAnsi="IRNazanin" w:eastAsia="IRNazanin" w:cs="IRNazanin"/>
          <w:lang w:bidi="fa-IR"/>
          <w:color w:val="111111"/>
          <w:sz w:val="28"/>
          <w:szCs w:val="28"/>
          <w:rtl/>
        </w:rPr>
        <w:t xml:space="preserve">و یحتمل العدم؛لأنّ قراءة الإمام مسقطة لوجوب القراءة علی المأموم،و التعذّر أیضا مسقط،فإذا وجد أحد المسقطین للوجوب لم یجب الآخر؛إذ التقدیر أنّ کلا منهما سبب تامّ.و المنشأ:أنّ قراءة الإمام بدل أو مسقط </w:t>
      </w:r>
      <w:r>
        <w:rPr>
          <w:rStyle w:val="FootnoteReference"/>
        </w:rPr>
        <w:footnoteReference w:id="522"/>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المسألة محتاجة إلی التأمّل.</w:t>
      </w:r>
    </w:p>
    <w:p>
      <w:pPr>
        <w:pStyle w:val="Heading6"/>
      </w:pPr>
      <w:bookmarkStart w:id="1158" w:name="_Toc193"/>
      <w:r>
        <w:t>[الشکّ فی الوجوب الکفائی]</w:t>
      </w:r>
      <w:bookmarkEnd w:id="1158"/>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ثمّ إنّ الکلام فی الشکّ فی الوجوب الکفائی-کوجوب ردّ السلام علی المصلّی إذا سلّم علی جماعة و هو منهم-یظهر ممّا ذکرنا،فافهم.</w:t>
      </w:r>
    </w:p>
    <w:p>
      <w:pPr>
        <w:pStyle w:val="BookText"/>
      </w:pPr>
      <w:r>
        <w:rPr>
          <w:rFonts w:ascii="IRNazanin" w:hAnsi="IRNazanin" w:eastAsia="IRNazanin" w:cs="IRNazanin"/>
          <w:lang w:bidi="fa-IR"/>
          <w:color w:val="111111"/>
          <w:sz w:val="28"/>
          <w:szCs w:val="28"/>
          <w:rtl/>
        </w:rPr>
        <w:t xml:space="preserve">[شماره صفحه واقعی : 161]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97" w:name="pg14411_142551"/>
    <w:bookmarkEnd w:id="97"/>
    <w:p>
      <w:pPr>
        <w:pStyle w:val="Heading6"/>
      </w:pPr>
      <w:bookmarkStart w:id="1159" w:name="_Toc194"/>
      <w:r>
        <w:t>المسألة الثانیة فیما اشتبه حکمه الشرعیّ من جهة إجمال اللفظ</w:t>
      </w:r>
      <w:bookmarkEnd w:id="1159"/>
    </w:p>
    <w:p>
      <w:pPr>
        <w:pStyle w:val="Heading6"/>
      </w:pPr>
      <w:bookmarkStart w:id="1160" w:name="_Toc195"/>
      <w:r>
        <w:t>اشارة</w:t>
      </w:r>
      <w:bookmarkEnd w:id="1160"/>
    </w:p>
    <w:p>
      <w:pPr>
        <w:pStyle w:val="BookText"/>
      </w:pPr>
      <w:r>
        <w:rPr>
          <w:rFonts w:ascii="IRNazanin" w:hAnsi="IRNazanin" w:eastAsia="IRNazanin" w:cs="IRNazanin"/>
          <w:lang w:bidi="fa-IR"/>
          <w:color w:val="111111"/>
          <w:sz w:val="28"/>
          <w:szCs w:val="28"/>
          <w:rtl/>
        </w:rPr>
        <w:t xml:space="preserve">کما إذا قلنا باشتراک لفظ«الأمر»بین الوجوب و الاستحباب أو الإباحة.</w:t>
      </w:r>
    </w:p>
    <w:p>
      <w:pPr>
        <w:pStyle w:val="Heading6"/>
      </w:pPr>
      <w:bookmarkStart w:id="1161" w:name="_Toc196"/>
      <w:r>
        <w:t>[المعروف عدم وجوب الاحتیاط]</w:t>
      </w:r>
      <w:bookmarkEnd w:id="1161"/>
    </w:p>
    <w:p>
      <w:pPr>
        <w:pStyle w:val="BookText"/>
      </w:pPr>
      <w:r>
        <w:rPr>
          <w:rFonts w:ascii="IRNazanin" w:hAnsi="IRNazanin" w:eastAsia="IRNazanin" w:cs="IRNazanin"/>
          <w:lang w:bidi="fa-IR"/>
          <w:color w:val="111111"/>
          <w:sz w:val="28"/>
          <w:szCs w:val="28"/>
          <w:rtl/>
        </w:rPr>
        <w:t xml:space="preserve">و المعروف هنا عدم وجوب الاحتیاط،و قد تقدّم عن المحدّث العاملیّ فی الوسائل </w:t>
      </w:r>
      <w:r>
        <w:rPr>
          <w:rStyle w:val="FootnoteReference"/>
        </w:rPr>
        <w:footnoteReference w:id="523"/>
      </w:r>
      <w:r>
        <w:rPr>
          <w:rFonts w:ascii="IRNazanin" w:hAnsi="IRNazanin" w:eastAsia="IRNazanin" w:cs="IRNazanin"/>
          <w:lang w:bidi="fa-IR"/>
          <w:color w:val="111111"/>
          <w:sz w:val="28"/>
          <w:szCs w:val="28"/>
          <w:rtl/>
        </w:rPr>
        <w:t xml:space="preserve">:أنّه لا خلاف فی نفی الوجوب عند الشکّ فی الوجوب،و یشمله أیضا معقد إجماع المعارج </w:t>
      </w:r>
      <w:r>
        <w:rPr>
          <w:rStyle w:val="FootnoteReference"/>
        </w:rPr>
        <w:footnoteReference w:id="524"/>
      </w:r>
      <w:r>
        <w:rPr>
          <w:rFonts w:ascii="Times New Roman" w:hAnsi="Times New Roman" w:eastAsia="Times New Roman" w:cs="Times New Roman"/>
          <w:lang w:val="en-US" w:bidi="en-US"/>
          <w:color w:val="111111"/>
          <w:sz w:val="28"/>
          <w:szCs w:val="28"/>
          <w:rtl/>
        </w:rPr>
        <w:t xml:space="preserve">.</w:t>
      </w:r>
    </w:p>
    <w:p>
      <w:pPr>
        <w:pStyle w:val="Heading6"/>
      </w:pPr>
      <w:bookmarkStart w:id="1162" w:name="_Toc197"/>
      <w:r>
        <w:t>[تصریح المحدّثین الأسترابادی و البحرانی بوجوب التوقّف و الاحتیاط]</w:t>
      </w:r>
      <w:bookmarkEnd w:id="1162"/>
    </w:p>
    <w:p>
      <w:pPr>
        <w:pStyle w:val="BookText"/>
      </w:pPr>
      <w:r>
        <w:rPr>
          <w:rFonts w:ascii="IRNazanin" w:hAnsi="IRNazanin" w:eastAsia="IRNazanin" w:cs="IRNazanin"/>
          <w:lang w:bidi="fa-IR"/>
          <w:color w:val="111111"/>
          <w:sz w:val="28"/>
          <w:szCs w:val="28"/>
          <w:rtl/>
        </w:rPr>
        <w:t xml:space="preserve">لکن تقدّم من المعارج-أیضا-عند ذکر الخلاف فی وجوب الاحتیاط وجود القائل بوجوبه هنا </w:t>
      </w:r>
      <w:r>
        <w:rPr>
          <w:rStyle w:val="FootnoteReference"/>
        </w:rPr>
        <w:footnoteReference w:id="525"/>
      </w:r>
      <w:r>
        <w:rPr>
          <w:rFonts w:ascii="IRNazanin" w:hAnsi="IRNazanin" w:eastAsia="IRNazanin" w:cs="IRNazanin"/>
          <w:lang w:bidi="fa-IR"/>
          <w:color w:val="111111"/>
          <w:sz w:val="28"/>
          <w:szCs w:val="28"/>
          <w:rtl/>
        </w:rPr>
        <w:t xml:space="preserve">،و قد صرّح صاحب الحدائق -تبعا للمحدّث الأسترابادی </w:t>
      </w:r>
      <w:r>
        <w:rPr>
          <w:rStyle w:val="FootnoteReference"/>
        </w:rPr>
        <w:footnoteReference w:id="526"/>
      </w:r>
      <w:r>
        <w:rPr>
          <w:rFonts w:ascii="IRNazanin" w:hAnsi="IRNazanin" w:eastAsia="IRNazanin" w:cs="IRNazanin"/>
          <w:lang w:bidi="fa-IR"/>
          <w:color w:val="111111"/>
          <w:sz w:val="28"/>
          <w:szCs w:val="28"/>
          <w:rtl/>
        </w:rPr>
        <w:t xml:space="preserve">-بوجوب التوقّف و الاحتیاط هنا،قال فی الحدائق بعد ذکر وجوب التّوقف:</w:t>
      </w:r>
    </w:p>
    <w:p>
      <w:pPr>
        <w:pStyle w:val="BookText"/>
      </w:pPr>
      <w:r>
        <w:rPr>
          <w:rFonts w:ascii="IRNazanin" w:hAnsi="IRNazanin" w:eastAsia="IRNazanin" w:cs="IRNazanin"/>
          <w:lang w:bidi="fa-IR"/>
          <w:color w:val="111111"/>
          <w:sz w:val="28"/>
          <w:szCs w:val="28"/>
          <w:rtl/>
        </w:rPr>
        <w:t xml:space="preserve">إنّ من یعتمد علی أصالة البراءة یجعلها هنا مرجّحة للاستحباب.</w:t>
      </w:r>
    </w:p>
    <w:p>
      <w:pPr>
        <w:pStyle w:val="BookText"/>
      </w:pPr>
      <w:r>
        <w:rPr>
          <w:rFonts w:ascii="IRNazanin" w:hAnsi="IRNazanin" w:eastAsia="IRNazanin" w:cs="IRNazanin"/>
          <w:lang w:bidi="fa-IR"/>
          <w:color w:val="111111"/>
          <w:sz w:val="28"/>
          <w:szCs w:val="28"/>
          <w:rtl/>
        </w:rPr>
        <w:t xml:space="preserve">[شماره صفحه واقعی : 162]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فیه:أوّلا:منع جواز الاعتماد علی البراءة الأصلیّة فی الأحکام الشرعیّة.</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 ثانیا:أنّ مرجع ذلک إلی أنّ اللّه تعالی حکم بالاستحباب لموافقة البراءة،و من المعلوم أنّ أحکام اللّه تعالی تابعة للمصالح و الحکم الخفیّة.و لا یمکن أن یقال:إنّ مقتضی المصلحة موافقة البراءة الأصلیّة؛ فإنّه رجم بالغیب و جرأة بلا ریب </w:t>
      </w:r>
      <w:r>
        <w:rPr>
          <w:rStyle w:val="FootnoteReference"/>
        </w:rPr>
        <w:footnoteReference w:id="527"/>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فیه ما لا یخفی؛فإنّ القائل بالبراءة الأصلیّة إن رجع إلیها من باب حکم العقل بقبح العقاب من دون البیان فلا یرجع ذلک إلی دعوی کون حکم اللّه هو الاستحباب،فضلا عن تعلیل ذلک بالبراءة الأصلیّة.</w:t>
      </w:r>
    </w:p>
    <w:p>
      <w:pPr>
        <w:pStyle w:val="BookText"/>
      </w:pPr>
      <w:r>
        <w:rPr>
          <w:rFonts w:ascii="IRNazanin" w:hAnsi="IRNazanin" w:eastAsia="IRNazanin" w:cs="IRNazanin"/>
          <w:lang w:bidi="fa-IR"/>
          <w:color w:val="111111"/>
          <w:sz w:val="28"/>
          <w:szCs w:val="28"/>
          <w:rtl/>
        </w:rPr>
        <w:t xml:space="preserve">و إن رجع إلیها بدعوی حصول الظنّ فحدیث تبعیّة الأحکام للمصالح و عدم تبعیّتها-کما علیه الأشاعرة-،أجنبیّ عن ذلک؛إذ الواجب علیه إقامة الدلیل علی اعتبار هذا الظنّ المتعلّق بحکم اللّه الواقعیّ،الصادر عن المصلحة أو لا عنها علی الخلاف.</w:t>
      </w:r>
    </w:p>
    <w:p>
      <w:pPr>
        <w:pStyle w:val="BookText"/>
      </w:pPr>
      <w:r>
        <w:rPr>
          <w:rFonts w:ascii="IRNazanin" w:hAnsi="IRNazanin" w:eastAsia="IRNazanin" w:cs="IRNazanin"/>
          <w:lang w:bidi="fa-IR"/>
          <w:color w:val="111111"/>
          <w:sz w:val="28"/>
          <w:szCs w:val="28"/>
          <w:rtl/>
        </w:rPr>
        <w:t xml:space="preserve">و بالجملة:فلا أدری وجها للفرق بین ما لا نصّ فیه و بین ما اجمل فیه النصّ،سواء قلنا باعتبار هذا الأصل من باب حکم العقل أو من باب الظنّ،حتّی لو جعل مناط الظنّ عموم البلوی؛فإنّ عموم البلوی فیما نحن فیه یوجب الظنّ بعدم قرینة الوجوب مع الکلام المجمل المذکور؛و إلاّ لنقل مع توفّر الدواعی،بخلاف الاستحباب؛لعدم توفّر الدواعی علی نقله.</w:t>
      </w:r>
    </w:p>
    <w:p>
      <w:pPr>
        <w:pStyle w:val="BookText"/>
      </w:pPr>
      <w:r>
        <w:rPr>
          <w:rFonts w:ascii="IRNazanin" w:hAnsi="IRNazanin" w:eastAsia="IRNazanin" w:cs="IRNazanin"/>
          <w:lang w:bidi="fa-IR"/>
          <w:color w:val="111111"/>
          <w:sz w:val="28"/>
          <w:szCs w:val="28"/>
          <w:rtl/>
        </w:rPr>
        <w:t xml:space="preserve">[شماره صفحه واقعی : 163]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ثمّ إنّ ما ذکرنا من حسن الاحتیاط جار هنا،و الکلام فی استحبابه شرعا کما تقدّم </w:t>
      </w:r>
      <w:r>
        <w:rPr>
          <w:rStyle w:val="FootnoteReference"/>
        </w:rPr>
        <w:footnoteReference w:id="528"/>
      </w:r>
      <w:r>
        <w:rPr>
          <w:rFonts w:ascii="Amiri" w:hAnsi="Amiri" w:eastAsia="Amiri" w:cs="Amiri"/>
          <w:lang w:bidi="ar-SA"/>
          <w:color w:val="111111"/>
          <w:sz w:val="28"/>
          <w:szCs w:val="28"/>
          <w:rtl/>
        </w:rPr>
        <w:t xml:space="preserve">.نعم،الأخبار المتقدّمة </w:t>
      </w:r>
      <w:r>
        <w:rPr>
          <w:rStyle w:val="FootnoteReference"/>
        </w:rPr>
        <w:footnoteReference w:id="529"/>
      </w:r>
      <w:r>
        <w:rPr>
          <w:rFonts w:ascii="IRNazanin" w:hAnsi="IRNazanin" w:eastAsia="IRNazanin" w:cs="IRNazanin"/>
          <w:lang w:bidi="fa-IR"/>
          <w:color w:val="111111"/>
          <w:sz w:val="28"/>
          <w:szCs w:val="28"/>
          <w:rtl/>
        </w:rPr>
        <w:t xml:space="preserve">فی من بلغه الثواب لا یجری هنا؛لأنّ الأمر لو دار بین الوجوب و الإباحة لم یدخل فی مواردها؛لأنّ المفروض احتمال الإباحة فلا یعلم بلوغ الثواب.و کذا لو دار بین الوجوب و الکراهة.</w:t>
      </w:r>
    </w:p>
    <w:p>
      <w:pPr>
        <w:pStyle w:val="BookText"/>
      </w:pPr>
      <w:r>
        <w:rPr>
          <w:rFonts w:ascii="IRNazanin" w:hAnsi="IRNazanin" w:eastAsia="IRNazanin" w:cs="IRNazanin"/>
          <w:lang w:bidi="fa-IR"/>
          <w:color w:val="111111"/>
          <w:sz w:val="28"/>
          <w:szCs w:val="28"/>
          <w:rtl/>
        </w:rPr>
        <w:t xml:space="preserve">و لو دار بین الوجوب و الاستحباب لم یحتج إلیها،و اللّه العالم.</w:t>
      </w:r>
    </w:p>
    <w:p>
      <w:pPr>
        <w:pStyle w:val="BookText"/>
      </w:pPr>
      <w:r>
        <w:rPr>
          <w:rFonts w:ascii="IRNazanin" w:hAnsi="IRNazanin" w:eastAsia="IRNazanin" w:cs="IRNazanin"/>
          <w:lang w:bidi="fa-IR"/>
          <w:color w:val="111111"/>
          <w:sz w:val="28"/>
          <w:szCs w:val="28"/>
          <w:rtl/>
        </w:rPr>
        <w:t xml:space="preserve">[شماره صفحه واقعی : 164]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98" w:name="pg14411_142554"/>
    <w:bookmarkEnd w:id="98"/>
    <w:p>
      <w:pPr>
        <w:pStyle w:val="Heading6"/>
      </w:pPr>
      <w:bookmarkStart w:id="1163" w:name="_Toc198"/>
      <w:r>
        <w:t>المسألة الثالثة فیما اشتبه حکمه الشرعیّ من جهة تعارض النصّین</w:t>
      </w:r>
      <w:bookmarkEnd w:id="1163"/>
    </w:p>
    <w:p>
      <w:pPr>
        <w:pStyle w:val="Heading6"/>
      </w:pPr>
      <w:bookmarkStart w:id="1164" w:name="_Toc199"/>
      <w:r>
        <w:t>اشارة</w:t>
      </w:r>
      <w:bookmarkEnd w:id="1164"/>
    </w:p>
    <w:p>
      <w:pPr>
        <w:pStyle w:val="BookText"/>
      </w:pPr>
      <w:r>
        <w:rPr>
          <w:rFonts w:ascii="IRNazanin" w:hAnsi="IRNazanin" w:eastAsia="IRNazanin" w:cs="IRNazanin"/>
          <w:lang w:bidi="fa-IR"/>
          <w:color w:val="111111"/>
          <w:sz w:val="28"/>
          <w:szCs w:val="28"/>
          <w:rtl/>
        </w:rPr>
        <w:t xml:space="preserve">و هنا مقامات،لکنّ المقصود هنا إثبات عدم وجوب التوقّف و الاحتیاط.</w:t>
      </w:r>
    </w:p>
    <w:p>
      <w:pPr>
        <w:pStyle w:val="Heading6"/>
      </w:pPr>
      <w:bookmarkStart w:id="1165" w:name="_Toc200"/>
      <w:r>
        <w:t>[المعروف عدم وجوب الاحتیاط خلافا للأسترآبادی و البحرانی]</w:t>
      </w:r>
      <w:bookmarkEnd w:id="1165"/>
    </w:p>
    <w:p>
      <w:pPr>
        <w:pStyle w:val="BookText"/>
      </w:pPr>
      <w:r>
        <w:rPr>
          <w:rFonts w:ascii="IRNazanin" w:hAnsi="IRNazanin" w:eastAsia="IRNazanin" w:cs="IRNazanin"/>
          <w:lang w:bidi="fa-IR"/>
          <w:color w:val="111111"/>
          <w:sz w:val="28"/>
          <w:szCs w:val="28"/>
          <w:rtl/>
        </w:rPr>
        <w:t xml:space="preserve">و المعروف عدم وجوبه هنا،و ما تقدّم فی المسألة الثانیة </w:t>
      </w:r>
      <w:r>
        <w:rPr>
          <w:rStyle w:val="FootnoteReference"/>
        </w:rPr>
        <w:footnoteReference w:id="5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نقل الوفاق و الخلاف،آت هنا.</w:t>
      </w:r>
    </w:p>
    <w:p>
      <w:pPr>
        <w:pStyle w:val="BookText"/>
      </w:pPr>
      <w:r>
        <w:rPr>
          <w:rFonts w:ascii="Amiri" w:hAnsi="Amiri" w:eastAsia="Amiri" w:cs="Amiri"/>
          <w:lang w:bidi="ar-SA"/>
          <w:color w:val="111111"/>
          <w:sz w:val="28"/>
          <w:szCs w:val="28"/>
          <w:rtl/>
        </w:rPr>
        <w:t xml:space="preserve">و قد صرّح المحدّثان المتقدّمان </w:t>
      </w:r>
      <w:r>
        <w:rPr>
          <w:rStyle w:val="FootnoteReference"/>
        </w:rPr>
        <w:footnoteReference w:id="531"/>
      </w:r>
      <w:r>
        <w:rPr>
          <w:rFonts w:ascii="IRNazanin" w:hAnsi="IRNazanin" w:eastAsia="IRNazanin" w:cs="IRNazanin"/>
          <w:lang w:bidi="fa-IR"/>
          <w:color w:val="111111"/>
          <w:sz w:val="28"/>
          <w:szCs w:val="28"/>
          <w:rtl/>
        </w:rPr>
        <w:t xml:space="preserve">بوجوب التوقّف و الاحتیاط هنا </w:t>
      </w:r>
      <w:r>
        <w:rPr>
          <w:rStyle w:val="FootnoteReference"/>
        </w:rPr>
        <w:footnoteReference w:id="532"/>
      </w:r>
      <w:r>
        <w:rPr>
          <w:rFonts w:ascii="IRNazanin" w:hAnsi="IRNazanin" w:eastAsia="IRNazanin" w:cs="IRNazanin"/>
          <w:lang w:bidi="fa-IR"/>
          <w:color w:val="111111"/>
          <w:sz w:val="28"/>
          <w:szCs w:val="28"/>
          <w:rtl/>
        </w:rPr>
        <w:t xml:space="preserve">، و لا مدرک له سوی أخبار التوقّف،التی قد عرفت ما فیها:من قصور الدلالة </w:t>
      </w:r>
      <w:r>
        <w:rPr>
          <w:rStyle w:val="FootnoteReference"/>
        </w:rPr>
        <w:footnoteReference w:id="533"/>
      </w:r>
      <w:r>
        <w:rPr>
          <w:rFonts w:ascii="IRNazanin" w:hAnsi="IRNazanin" w:eastAsia="IRNazanin" w:cs="IRNazanin"/>
          <w:lang w:bidi="fa-IR"/>
          <w:color w:val="111111"/>
          <w:sz w:val="28"/>
          <w:szCs w:val="28"/>
          <w:rtl/>
        </w:rPr>
        <w:t xml:space="preserve">علی الوجوب فی ما نحن فیه.مع أنّها أعمّ ممّا دلّ علی التوسعة و التخییر.</w:t>
      </w:r>
    </w:p>
    <w:p>
      <w:pPr>
        <w:pStyle w:val="BookText"/>
      </w:pPr>
      <w:r>
        <w:rPr>
          <w:rFonts w:ascii="IRNazanin" w:hAnsi="IRNazanin" w:eastAsia="IRNazanin" w:cs="IRNazanin"/>
          <w:lang w:bidi="fa-IR"/>
          <w:color w:val="111111"/>
          <w:sz w:val="28"/>
          <w:szCs w:val="28"/>
          <w:rtl/>
        </w:rPr>
        <w:t xml:space="preserve">و ما دلّ علی التوقّف فی خصوص المتعارضین و عدم العمل بواحد منهما،مختصّ-أیضا-بصورة التمکّن من إزالة الشبهة بالرجوع إلی الإمام علیه السّلام </w:t>
      </w:r>
      <w:r>
        <w:rPr>
          <w:rStyle w:val="FootnoteReference"/>
        </w:rPr>
        <w:footnoteReference w:id="5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165]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99" w:name="pg14411_142555"/>
    <w:bookmarkEnd w:id="99"/>
    <w:p>
      <w:pPr>
        <w:pStyle w:val="Heading6"/>
      </w:pPr>
      <w:bookmarkStart w:id="1166" w:name="_Toc201"/>
      <w:r>
        <w:t>[الجواب عن مرفوعة زرارة الآمرة بالاحتیاط]</w:t>
      </w:r>
      <w:bookmarkEnd w:id="1166"/>
    </w:p>
    <w:p>
      <w:pPr>
        <w:pStyle w:val="BookText"/>
      </w:pPr>
      <w:r>
        <w:rPr>
          <w:rFonts w:ascii="IRNazanin" w:hAnsi="IRNazanin" w:eastAsia="IRNazanin" w:cs="IRNazanin"/>
          <w:lang w:bidi="fa-IR"/>
          <w:color w:val="111111"/>
          <w:sz w:val="28"/>
          <w:szCs w:val="28"/>
          <w:rtl/>
        </w:rPr>
        <w:t xml:space="preserve">و أمّا روایة عوالی اللآلی المتقدّمة </w:t>
      </w:r>
      <w:r>
        <w:rPr>
          <w:rStyle w:val="FootnoteReference"/>
        </w:rPr>
        <w:footnoteReference w:id="535"/>
      </w:r>
      <w:r>
        <w:rPr>
          <w:rFonts w:ascii="IRNazanin" w:hAnsi="IRNazanin" w:eastAsia="IRNazanin" w:cs="IRNazanin"/>
          <w:lang w:bidi="fa-IR"/>
          <w:color w:val="111111"/>
          <w:sz w:val="28"/>
          <w:szCs w:val="28"/>
          <w:rtl/>
        </w:rPr>
        <w:t xml:space="preserve">الآمرة بالاحتیاط و إن کانت أخصّ منها،إلاّ أنّک قد عرفت ما فیها </w:t>
      </w:r>
      <w:r>
        <w:rPr>
          <w:rStyle w:val="FootnoteReference"/>
        </w:rPr>
        <w:footnoteReference w:id="536"/>
      </w:r>
      <w:r>
        <w:rPr>
          <w:rFonts w:ascii="IRNazanin" w:hAnsi="IRNazanin" w:eastAsia="IRNazanin" w:cs="IRNazanin"/>
          <w:lang w:bidi="fa-IR"/>
          <w:color w:val="111111"/>
          <w:sz w:val="28"/>
          <w:szCs w:val="28"/>
          <w:rtl/>
        </w:rPr>
        <w:t xml:space="preserve">،مع إمکان حملها علی صورة التمکّن من الاستعلام.</w:t>
      </w:r>
    </w:p>
    <w:p>
      <w:pPr>
        <w:pStyle w:val="BookText"/>
      </w:pPr>
      <w:r>
        <w:rPr>
          <w:rFonts w:ascii="IRNazanin" w:hAnsi="IRNazanin" w:eastAsia="IRNazanin" w:cs="IRNazanin"/>
          <w:lang w:bidi="fa-IR"/>
          <w:color w:val="111111"/>
          <w:sz w:val="28"/>
          <w:szCs w:val="28"/>
          <w:rtl/>
        </w:rPr>
        <w:t xml:space="preserve">و منه یظهر:عدم جواز التمسّک هنا بصحیحة ابن الحجّاج المتقدّمة </w:t>
      </w:r>
      <w:r>
        <w:rPr>
          <w:rStyle w:val="FootnoteReference"/>
        </w:rPr>
        <w:footnoteReference w:id="537"/>
      </w:r>
      <w:r>
        <w:rPr>
          <w:rFonts w:ascii="IRNazanin" w:hAnsi="IRNazanin" w:eastAsia="IRNazanin" w:cs="IRNazanin"/>
          <w:lang w:bidi="fa-IR"/>
          <w:color w:val="111111"/>
          <w:sz w:val="28"/>
          <w:szCs w:val="28"/>
          <w:rtl/>
        </w:rPr>
        <w:t xml:space="preserve">الواردة فی جزاء الصید،بناء علی استظهار شمولها-باعتبار المناط-لما نحن فیه.</w:t>
      </w:r>
    </w:p>
    <w:p>
      <w:pPr>
        <w:pStyle w:val="Heading6"/>
      </w:pPr>
      <w:bookmarkStart w:id="1167" w:name="_Toc202"/>
      <w:r>
        <w:t>[ممّا یدلّ علی التخییر فی المسألة]</w:t>
      </w:r>
      <w:bookmarkEnd w:id="1167"/>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 ممّا یدلّ علی الأمر بالتخییر فی خصوص ما نحن فیه من اشتباه الوجوب بغیر الحرمة:التوقیع المرویّ فی الاحتجاج عن الحمیریّ،حیث کتب إلی الصاحب عجّل اللّه فرجه:</w:t>
      </w:r>
    </w:p>
    <w:p>
      <w:pPr>
        <w:pStyle w:val="BookText"/>
      </w:pPr>
      <w:r>
        <w:rPr>
          <w:rFonts w:ascii="IRNazanin" w:hAnsi="IRNazanin" w:eastAsia="IRNazanin" w:cs="IRNazanin"/>
          <w:lang w:bidi="fa-IR"/>
          <w:color w:val="111111"/>
          <w:sz w:val="28"/>
          <w:szCs w:val="28"/>
          <w:rtl/>
        </w:rPr>
        <w:t xml:space="preserve">«یسألنی بعض الفقهاء عن المصلّی إذا قام من التشهّد الأوّل إلی الرکعة الثالثة،هل یجب علیه أن یکبّر؟فإنّ بعض أصحابنا قال:</w:t>
      </w:r>
    </w:p>
    <w:p>
      <w:pPr>
        <w:pStyle w:val="BookText"/>
      </w:pPr>
      <w:r>
        <w:rPr>
          <w:rFonts w:ascii="IRNazanin" w:hAnsi="IRNazanin" w:eastAsia="IRNazanin" w:cs="IRNazanin"/>
          <w:lang w:bidi="fa-IR"/>
          <w:color w:val="111111"/>
          <w:sz w:val="28"/>
          <w:szCs w:val="28"/>
          <w:rtl/>
        </w:rPr>
        <w:t xml:space="preserve">لا یجب علیه تکبیرة،و یجوز أن یقول بحول اللّه و قوّته أقوم و أقعد.</w:t>
      </w:r>
    </w:p>
    <w:p>
      <w:pPr>
        <w:pStyle w:val="BookText"/>
      </w:pPr>
      <w:r>
        <w:rPr>
          <w:rFonts w:ascii="IRNazanin" w:hAnsi="IRNazanin" w:eastAsia="IRNazanin" w:cs="IRNazanin"/>
          <w:lang w:bidi="fa-IR"/>
          <w:color w:val="111111"/>
          <w:sz w:val="28"/>
          <w:szCs w:val="28"/>
          <w:rtl/>
        </w:rPr>
        <w:t xml:space="preserve">الجواب:فی ذلک حدیثان،أمّا أحدهما،فإنّه إذا انتقل عن حالة إلی اخری فعلیه التکبیر،و أمّا الحدیث الآخر،فإنّه روی:أنّه إذا رفع رأسه من السجدة الثانیة و کبّر ثمّ جلس ثمّ قام،فلیس علیه فی القیام بعد القعود تکبیر،و التشهّد الأوّل یجری هذا المجری،و بأیّهما أخذت من باب التسلیم کان صوابا...الخبر» </w:t>
      </w:r>
      <w:r>
        <w:rPr>
          <w:rStyle w:val="FootnoteReference"/>
        </w:rPr>
        <w:footnoteReference w:id="5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166]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00" w:name="pg14411_142556"/>
    <w:bookmarkEnd w:id="100"/>
    <w:p>
      <w:pPr>
        <w:pStyle w:val="BookText"/>
      </w:pPr>
      <w:r>
        <w:rPr>
          <w:rFonts w:ascii="IRNazanin" w:hAnsi="IRNazanin" w:eastAsia="IRNazanin" w:cs="IRNazanin"/>
          <w:lang w:bidi="fa-IR"/>
          <w:color w:val="111111"/>
          <w:sz w:val="28"/>
          <w:szCs w:val="28"/>
          <w:rtl/>
        </w:rPr>
        <w:t xml:space="preserve">فإنّ الحدیث الثانی و إن کان أخصّ من الأوّل،و کان اللازم تخصیص الأوّل به و الحکم بعدم وجوب التکبیر،إلاّ أنّ جوابه صلوات اللّه و سلامه علیه بالأخذ بأحد الحدیثین من باب التسلیم یدلّ علی أنّ الحدیث الأوّل نقله الإمام علیه السّلام بالمعنی،و أراد شموله لحالة الانتقال من القعود إلی القیام بحیث لا یمکن </w:t>
      </w:r>
      <w:r>
        <w:rPr>
          <w:rStyle w:val="FootnoteReference"/>
        </w:rPr>
        <w:footnoteReference w:id="539"/>
      </w:r>
      <w:r>
        <w:rPr>
          <w:rFonts w:ascii="IRNazanin" w:hAnsi="IRNazanin" w:eastAsia="IRNazanin" w:cs="IRNazanin"/>
          <w:lang w:bidi="fa-IR"/>
          <w:color w:val="111111"/>
          <w:sz w:val="28"/>
          <w:szCs w:val="28"/>
          <w:rtl/>
        </w:rPr>
        <w:t xml:space="preserve">إرادة ما عدا هذا الفرد منه، فأجاب علیه السّلام بالتخییر.</w:t>
      </w:r>
    </w:p>
    <w:p>
      <w:pPr>
        <w:pStyle w:val="BookText"/>
      </w:pPr>
      <w:r>
        <w:rPr>
          <w:rFonts w:ascii="IRNazanin" w:hAnsi="IRNazanin" w:eastAsia="IRNazanin" w:cs="IRNazanin"/>
          <w:lang w:bidi="fa-IR"/>
          <w:color w:val="111111"/>
          <w:sz w:val="28"/>
          <w:szCs w:val="28"/>
          <w:rtl/>
        </w:rPr>
        <w:t xml:space="preserve">ثمّ إنّ وظیفة الإمام علیه السّلام و إن کانت إزالة الشبهة عن الحکم الواقعیّ،إلاّ أنّ هذا الجواب لعلّه تعلیم طریق العمل عند التعارض مع عدم وجوب التکبیر عنده فی الواقع،و لیس فیه الإغراء بالجهل من حیث قصد الوجوب فی ما لیس بواجب؛من جهة </w:t>
      </w:r>
      <w:r>
        <w:rPr>
          <w:rStyle w:val="FootnoteReference"/>
        </w:rPr>
        <w:footnoteReference w:id="540"/>
      </w:r>
      <w:r>
        <w:rPr>
          <w:rFonts w:ascii="IRNazanin" w:hAnsi="IRNazanin" w:eastAsia="IRNazanin" w:cs="IRNazanin"/>
          <w:lang w:bidi="fa-IR"/>
          <w:color w:val="111111"/>
          <w:sz w:val="28"/>
          <w:szCs w:val="28"/>
          <w:rtl/>
        </w:rPr>
        <w:t xml:space="preserve">کفایة قصد القربة فی العمل.</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 کیف کان:فإذا ثبت التخییر بین دلیلی وجوب الشیء علی وجه الجزئیّة و عدمه،ثبت فی ما نحن فیه-من تعارض الخبرین فی ثبوت التکلیف المستقلّ-بالإجماع و الأولویّة القطعیّة.</w:t>
      </w:r>
    </w:p>
    <w:p>
      <w:pPr>
        <w:pStyle w:val="Heading6"/>
      </w:pPr>
      <w:bookmarkStart w:id="1168" w:name="_Toc203"/>
      <w:r>
        <w:t>[ما ذکره الاصولیّون فی باب التراجیح]</w:t>
      </w:r>
      <w:bookmarkEnd w:id="1168"/>
    </w:p>
    <w:p>
      <w:pPr>
        <w:pStyle w:val="BookText"/>
      </w:pPr>
      <w:r>
        <w:rPr>
          <w:rFonts w:ascii="IRNazanin" w:hAnsi="IRNazanin" w:eastAsia="IRNazanin" w:cs="IRNazanin"/>
          <w:lang w:bidi="fa-IR"/>
          <w:color w:val="111111"/>
          <w:sz w:val="28"/>
          <w:szCs w:val="28"/>
          <w:rtl/>
        </w:rPr>
        <w:t xml:space="preserve">ثمّ إنّ جماعة من الاصولیّین ذکروا فی باب التراجیح الخلاف فی ترجیح الناقل أو المقرّر </w:t>
      </w:r>
      <w:r>
        <w:rPr>
          <w:rStyle w:val="FootnoteReference"/>
        </w:rPr>
        <w:footnoteReference w:id="541"/>
      </w:r>
      <w:r>
        <w:rPr>
          <w:rFonts w:ascii="IRNazanin" w:hAnsi="IRNazanin" w:eastAsia="IRNazanin" w:cs="IRNazanin"/>
          <w:lang w:bidi="fa-IR"/>
          <w:color w:val="111111"/>
          <w:sz w:val="28"/>
          <w:szCs w:val="28"/>
          <w:rtl/>
        </w:rPr>
        <w:t xml:space="preserve">،و حکی عن الأکثر ترجیح الناقل </w:t>
      </w:r>
      <w:r>
        <w:rPr>
          <w:rStyle w:val="FootnoteReference"/>
        </w:rPr>
        <w:footnoteReference w:id="542"/>
      </w:r>
      <w:r>
        <w:rPr>
          <w:rFonts w:ascii="IRNazanin" w:hAnsi="IRNazanin" w:eastAsia="IRNazanin" w:cs="IRNazanin"/>
          <w:lang w:bidi="fa-IR"/>
          <w:color w:val="111111"/>
          <w:sz w:val="28"/>
          <w:szCs w:val="28"/>
          <w:rtl/>
        </w:rPr>
        <w:t xml:space="preserve">.و ذکروا تعارض الخبر المفید للوجوب و المفید للإباحة،و ذهب جماعة إلی ترجیح</w:t>
      </w:r>
    </w:p>
    <w:p>
      <w:pPr>
        <w:pStyle w:val="BookText"/>
      </w:pPr>
      <w:r>
        <w:rPr>
          <w:rFonts w:ascii="IRNazanin" w:hAnsi="IRNazanin" w:eastAsia="IRNazanin" w:cs="IRNazanin"/>
          <w:lang w:bidi="fa-IR"/>
          <w:color w:val="111111"/>
          <w:sz w:val="28"/>
          <w:szCs w:val="28"/>
          <w:rtl/>
        </w:rPr>
        <w:t xml:space="preserve">[شماره صفحه واقعی : 167]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 </w:t>
      </w:r>
      <w:r>
        <w:rPr>
          <w:rStyle w:val="FootnoteReference"/>
        </w:rPr>
        <w:footnoteReference w:id="543"/>
      </w:r>
      <w:r>
        <w:rPr>
          <w:rFonts w:ascii="IRNazanin" w:hAnsi="IRNazanin" w:eastAsia="IRNazanin" w:cs="IRNazanin"/>
          <w:lang w:bidi="fa-IR"/>
          <w:color w:val="111111"/>
          <w:sz w:val="28"/>
          <w:szCs w:val="28"/>
          <w:rtl/>
        </w:rPr>
        <w:t xml:space="preserve">.و ذکروا تعارض الخبر المفید للإباحة و المفید للحظر </w:t>
      </w:r>
      <w:r>
        <w:rPr>
          <w:rStyle w:val="FootnoteReference"/>
        </w:rPr>
        <w:footnoteReference w:id="544"/>
      </w:r>
      <w:r>
        <w:rPr>
          <w:rFonts w:ascii="IRNazanin" w:hAnsi="IRNazanin" w:eastAsia="IRNazanin" w:cs="IRNazanin"/>
          <w:lang w:bidi="fa-IR"/>
          <w:color w:val="111111"/>
          <w:sz w:val="28"/>
          <w:szCs w:val="28"/>
          <w:rtl/>
        </w:rPr>
        <w:t xml:space="preserve">،و حکی عن الأکثر-بل الکلّ-تقدیم الحاظر </w:t>
      </w:r>
      <w:r>
        <w:rPr>
          <w:rStyle w:val="FootnoteReference"/>
        </w:rPr>
        <w:footnoteReference w:id="545"/>
      </w:r>
      <w:r>
        <w:rPr>
          <w:rFonts w:ascii="IRNazanin" w:hAnsi="IRNazanin" w:eastAsia="IRNazanin" w:cs="IRNazanin"/>
          <w:lang w:bidi="fa-IR"/>
          <w:color w:val="111111"/>
          <w:sz w:val="28"/>
          <w:szCs w:val="28"/>
          <w:rtl/>
        </w:rPr>
        <w:t xml:space="preserve">،و لعلّ هذا کلّه مع قطع النظر عن الأخبار.</w:t>
      </w:r>
    </w:p>
    <w:p>
      <w:pPr>
        <w:pStyle w:val="BookText"/>
      </w:pPr>
      <w:r>
        <w:rPr>
          <w:rFonts w:ascii="IRNazanin" w:hAnsi="IRNazanin" w:eastAsia="IRNazanin" w:cs="IRNazanin"/>
          <w:lang w:bidi="fa-IR"/>
          <w:color w:val="111111"/>
          <w:sz w:val="28"/>
          <w:szCs w:val="28"/>
          <w:rtl/>
        </w:rPr>
        <w:t xml:space="preserve">[شماره صفحه واقعی : 168]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01" w:name="pg14411_142558"/>
    <w:bookmarkEnd w:id="101"/>
    <w:p>
      <w:pPr>
        <w:pStyle w:val="Heading6"/>
      </w:pPr>
      <w:bookmarkStart w:id="1169" w:name="_Toc204"/>
      <w:r>
        <w:t>المسألة الرابعة دوران الأمر بین الوجوب و غیره،من جهة الاشتباه فی موضوع الحکم</w:t>
      </w:r>
      <w:bookmarkEnd w:id="1169"/>
    </w:p>
    <w:p>
      <w:pPr>
        <w:pStyle w:val="Heading6"/>
      </w:pPr>
      <w:bookmarkStart w:id="1170" w:name="_Toc205"/>
      <w:r>
        <w:t>[جریان أدلّة البراءة]</w:t>
      </w:r>
      <w:bookmarkEnd w:id="1170"/>
    </w:p>
    <w:p>
      <w:pPr>
        <w:pStyle w:val="BookText"/>
      </w:pPr>
      <w:r>
        <w:rPr>
          <w:rFonts w:ascii="IRNazanin" w:hAnsi="IRNazanin" w:eastAsia="IRNazanin" w:cs="IRNazanin"/>
          <w:lang w:bidi="fa-IR"/>
          <w:color w:val="111111"/>
          <w:sz w:val="28"/>
          <w:szCs w:val="28"/>
          <w:rtl/>
        </w:rPr>
        <w:t xml:space="preserve">و الحکم فیه البراءة </w:t>
      </w:r>
      <w:r>
        <w:rPr>
          <w:rStyle w:val="FootnoteReference"/>
        </w:rPr>
        <w:footnoteReference w:id="546"/>
      </w:r>
      <w:r>
        <w:rPr>
          <w:rFonts w:ascii="IRNazanin" w:hAnsi="IRNazanin" w:eastAsia="IRNazanin" w:cs="IRNazanin"/>
          <w:lang w:bidi="fa-IR"/>
          <w:color w:val="111111"/>
          <w:sz w:val="28"/>
          <w:szCs w:val="28"/>
          <w:rtl/>
        </w:rPr>
        <w:t xml:space="preserve">و یدلّ علیه جمیع ما تقدّم فی الشبهة الموضوعیّة التحریمیّة </w:t>
      </w:r>
      <w:r>
        <w:rPr>
          <w:rStyle w:val="FootnoteReference"/>
        </w:rPr>
        <w:footnoteReference w:id="547"/>
      </w:r>
      <w:r>
        <w:rPr>
          <w:rFonts w:ascii="IRNazanin" w:hAnsi="IRNazanin" w:eastAsia="IRNazanin" w:cs="IRNazanin"/>
          <w:lang w:bidi="fa-IR"/>
          <w:color w:val="111111"/>
          <w:sz w:val="28"/>
          <w:szCs w:val="28"/>
          <w:rtl/>
        </w:rPr>
        <w:t xml:space="preserve">:من أدلّة البراءة عند الشکّ فی التکلیف.</w:t>
      </w:r>
    </w:p>
    <w:p>
      <w:pPr>
        <w:pStyle w:val="BookText"/>
      </w:pPr>
      <w:r>
        <w:rPr>
          <w:rFonts w:ascii="Amiri" w:hAnsi="Amiri" w:eastAsia="Amiri" w:cs="Amiri"/>
          <w:lang w:bidi="ar-SA"/>
          <w:color w:val="111111"/>
          <w:sz w:val="28"/>
          <w:szCs w:val="28"/>
          <w:rtl/>
        </w:rPr>
        <w:t xml:space="preserve">و تقدّم فیها </w:t>
      </w:r>
      <w:r>
        <w:rPr>
          <w:rStyle w:val="FootnoteReference"/>
        </w:rPr>
        <w:footnoteReference w:id="548"/>
      </w:r>
      <w:r>
        <w:rPr>
          <w:rFonts w:ascii="IRNazanin" w:hAnsi="IRNazanin" w:eastAsia="IRNazanin" w:cs="IRNazanin"/>
          <w:lang w:bidi="fa-IR"/>
          <w:color w:val="111111"/>
          <w:sz w:val="28"/>
          <w:szCs w:val="28"/>
          <w:rtl/>
        </w:rPr>
        <w:t xml:space="preserve">-أیضا-:اندفاع توهّم أنّ التکلیف إذا تعلّق بمفهوم وجب-مقدّمة لامتثال التکلیف فی جمیع أفراده-موافقته فی کلّ ما یحتمل أن یکون فردا له.</w:t>
      </w:r>
    </w:p>
    <w:p>
      <w:pPr>
        <w:pStyle w:val="Heading6"/>
      </w:pPr>
      <w:bookmarkStart w:id="1171" w:name="_Toc206"/>
      <w:r>
        <w:t>[لو تردّدت الفائتة بین الأقلّ و الاکثر]</w:t>
      </w:r>
      <w:bookmarkEnd w:id="1171"/>
    </w:p>
    <w:p>
      <w:pPr>
        <w:pStyle w:val="BookText"/>
      </w:pPr>
      <w:r>
        <w:rPr>
          <w:rFonts w:ascii="IRNazanin" w:hAnsi="IRNazanin" w:eastAsia="IRNazanin" w:cs="IRNazanin"/>
          <w:lang w:bidi="fa-IR"/>
          <w:color w:val="111111"/>
          <w:sz w:val="28"/>
          <w:szCs w:val="28"/>
          <w:rtl/>
        </w:rPr>
        <w:t xml:space="preserve">و من ذلک یعلم:أنّه لا وجه للاستناد إلی قاعدة الاشتغال فی ما إذا تردّدت الفائتة بین الأقلّ و الأکثر-کصلاتین و صلاة واحدة-بناء علی أنّ الأمر بقضاء جمیع ما فات واقعا یقتضی لزوم الاتیان بالأکثر من باب المقدّمة.</w:t>
      </w:r>
    </w:p>
    <w:p>
      <w:pPr>
        <w:pStyle w:val="BookText"/>
      </w:pPr>
      <w:r>
        <w:rPr>
          <w:rFonts w:ascii="IRNazanin" w:hAnsi="IRNazanin" w:eastAsia="IRNazanin" w:cs="IRNazanin"/>
          <w:lang w:bidi="fa-IR"/>
          <w:color w:val="111111"/>
          <w:sz w:val="28"/>
          <w:szCs w:val="28"/>
          <w:rtl/>
        </w:rPr>
        <w:t xml:space="preserve">توضیح ذلک-مضافا إلی ما تقدّم فی الشبهة التحریمیّة-:أنّ قوله:«اقض ما فات»یوجب العلم التفصیلیّ بوجوب قضاء ما علم</w:t>
      </w:r>
    </w:p>
    <w:p>
      <w:pPr>
        <w:pStyle w:val="BookText"/>
      </w:pPr>
      <w:r>
        <w:rPr>
          <w:rFonts w:ascii="IRNazanin" w:hAnsi="IRNazanin" w:eastAsia="IRNazanin" w:cs="IRNazanin"/>
          <w:lang w:bidi="fa-IR"/>
          <w:color w:val="111111"/>
          <w:sz w:val="28"/>
          <w:szCs w:val="28"/>
          <w:rtl/>
        </w:rPr>
        <w:t xml:space="preserve">[شماره صفحه واقعی : 169]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02" w:name="pg14411_142559"/>
    <w:bookmarkEnd w:id="102"/>
    <w:p>
      <w:pPr>
        <w:pStyle w:val="BookText"/>
      </w:pPr>
      <w:r>
        <w:rPr>
          <w:rFonts w:ascii="IRNazanin" w:hAnsi="IRNazanin" w:eastAsia="IRNazanin" w:cs="IRNazanin"/>
          <w:lang w:bidi="fa-IR"/>
          <w:color w:val="111111"/>
          <w:sz w:val="28"/>
          <w:szCs w:val="28"/>
          <w:rtl/>
        </w:rPr>
        <w:t xml:space="preserve">فوته و هو الأقلّ،</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 لا یدلّ أصلا علی وجوب ما شکّ فی فوته و لیس فعله مقدّمة لواجب حتّی یجب من باب المقدّمة،فالأمر بقضاء ما فات واقعا لا یقتضی إلاّ وجوب المعلوم فواته،لا من جهة دلالة اللفظ علی المعلوم-حتّی یقال:إنّ اللفظ ناظر إلی الواقع من غیر تقیید بالعلم-، بل من جهة:أنّ الأمر بقضاء الفائت الواقعیّ لا یعدّ دلیلا إلاّ علی ما علم صدق الفائت علیه،و هذا لا یحتاج إلی مقدّمة،و لا یعلم منه وجوب شیء آخر یحتاج إلی المقدّمة العلمیّة.</w:t>
      </w:r>
    </w:p>
    <w:p>
      <w:pPr>
        <w:pStyle w:val="BookText"/>
      </w:pPr>
      <w:r>
        <w:rPr>
          <w:rFonts w:ascii="IRNazanin" w:hAnsi="IRNazanin" w:eastAsia="IRNazanin" w:cs="IRNazanin"/>
          <w:lang w:bidi="fa-IR"/>
          <w:color w:val="111111"/>
          <w:sz w:val="28"/>
          <w:szCs w:val="28"/>
          <w:rtl/>
        </w:rPr>
        <w:t xml:space="preserve">و الحاصل:أنّ المقدّمة العلمیّة المتّصفة بالوجوب لا تکون إلاّ مع العلم الإجمالیّ.</w:t>
      </w:r>
    </w:p>
    <w:p>
      <w:pPr>
        <w:pStyle w:val="BookText"/>
      </w:pPr>
      <w:r>
        <w:rPr>
          <w:rFonts w:ascii="IRNazanin" w:hAnsi="IRNazanin" w:eastAsia="IRNazanin" w:cs="IRNazanin"/>
          <w:lang w:bidi="fa-IR"/>
          <w:color w:val="111111"/>
          <w:sz w:val="28"/>
          <w:szCs w:val="28"/>
          <w:rtl/>
        </w:rPr>
        <w:t xml:space="preserve">نعم،لو اجری فی المقام أصالة عدم الإتیان بالفعل فی الوقت فیجب قضاؤه،فله وجه،و سیجیء الکلام علیه </w:t>
      </w:r>
      <w:r>
        <w:rPr>
          <w:rStyle w:val="FootnoteReference"/>
        </w:rPr>
        <w:footnoteReference w:id="549"/>
      </w:r>
      <w:r>
        <w:rPr>
          <w:rFonts w:ascii="Times New Roman" w:hAnsi="Times New Roman" w:eastAsia="Times New Roman" w:cs="Times New Roman"/>
          <w:lang w:val="en-US" w:bidi="en-US"/>
          <w:color w:val="111111"/>
          <w:sz w:val="28"/>
          <w:szCs w:val="28"/>
          <w:rtl/>
        </w:rPr>
        <w:t xml:space="preserve">.</w:t>
      </w:r>
    </w:p>
    <w:p>
      <w:pPr>
        <w:pStyle w:val="Heading6"/>
      </w:pPr>
      <w:bookmarkStart w:id="1172" w:name="_Toc207"/>
      <w:r>
        <w:t>[المشهور وجوب القضاء حتّی یظنّ الفراغ]</w:t>
      </w:r>
      <w:bookmarkEnd w:id="1172"/>
    </w:p>
    <w:p>
      <w:pPr>
        <w:pStyle w:val="BookText"/>
      </w:pPr>
      <w:r>
        <w:rPr>
          <w:rFonts w:ascii="IRNazanin" w:hAnsi="IRNazanin" w:eastAsia="IRNazanin" w:cs="IRNazanin"/>
          <w:lang w:bidi="fa-IR"/>
          <w:color w:val="111111"/>
          <w:sz w:val="28"/>
          <w:szCs w:val="28"/>
          <w:rtl/>
        </w:rPr>
        <w:t xml:space="preserve">هذا،و لکنّ المشهور بین الأصحاب </w:t>
      </w:r>
      <w:r>
        <w:rPr>
          <w:rStyle w:val="FootnoteReference"/>
        </w:rPr>
        <w:footnoteReference w:id="550"/>
      </w:r>
      <w:r>
        <w:rPr>
          <w:rFonts w:ascii="IRNazanin" w:hAnsi="IRNazanin" w:eastAsia="IRNazanin" w:cs="IRNazanin"/>
          <w:lang w:bidi="fa-IR"/>
          <w:color w:val="111111"/>
          <w:sz w:val="28"/>
          <w:szCs w:val="28"/>
          <w:rtl/>
        </w:rPr>
        <w:t xml:space="preserve">رضوان اللّه علیهم،بل المقطوع به من المفید </w:t>
      </w:r>
      <w:r>
        <w:rPr>
          <w:rStyle w:val="FootnoteReference"/>
        </w:rPr>
        <w:footnoteReference w:id="551"/>
      </w:r>
      <w:r>
        <w:rPr>
          <w:rFonts w:ascii="IRNazanin" w:hAnsi="IRNazanin" w:eastAsia="IRNazanin" w:cs="IRNazanin"/>
          <w:lang w:bidi="fa-IR"/>
          <w:color w:val="111111"/>
          <w:sz w:val="28"/>
          <w:szCs w:val="28"/>
          <w:rtl/>
        </w:rPr>
        <w:t xml:space="preserve">قدّس سرّه إلی الشهید الثانی </w:t>
      </w:r>
      <w:r>
        <w:rPr>
          <w:rStyle w:val="FootnoteReference"/>
        </w:rPr>
        <w:footnoteReference w:id="552"/>
      </w:r>
      <w:r>
        <w:rPr>
          <w:rFonts w:ascii="IRNazanin" w:hAnsi="IRNazanin" w:eastAsia="IRNazanin" w:cs="IRNazanin"/>
          <w:lang w:bidi="fa-IR"/>
          <w:color w:val="111111"/>
          <w:sz w:val="28"/>
          <w:szCs w:val="28"/>
          <w:rtl/>
        </w:rPr>
        <w:t xml:space="preserve">:أنّه لو لم یعلم کمیّة ما فات قضی حتّی یظنّ الفراغ منها.</w:t>
      </w:r>
    </w:p>
    <w:p>
      <w:pPr>
        <w:pStyle w:val="BookText"/>
      </w:pPr>
      <w:r>
        <w:rPr>
          <w:rFonts w:ascii="IRNazanin" w:hAnsi="IRNazanin" w:eastAsia="IRNazanin" w:cs="IRNazanin"/>
          <w:lang w:bidi="fa-IR"/>
          <w:color w:val="111111"/>
          <w:sz w:val="28"/>
          <w:szCs w:val="28"/>
          <w:rtl/>
        </w:rPr>
        <w:t xml:space="preserve">و ظاهر ذلک-خصوصا بملاحظة ما یظهر من استدلال بعضهم، من کون الاکتفاء بالظنّ رخصة،و أنّ القاعدة تقتضی وجوب العلم بالفراغ-:کون الحکم علی القاعدة.</w:t>
      </w:r>
    </w:p>
    <w:p>
      <w:pPr>
        <w:pStyle w:val="BookText"/>
      </w:pPr>
      <w:r>
        <w:rPr>
          <w:rFonts w:ascii="IRNazanin" w:hAnsi="IRNazanin" w:eastAsia="IRNazanin" w:cs="IRNazanin"/>
          <w:lang w:bidi="fa-IR"/>
          <w:color w:val="111111"/>
          <w:sz w:val="28"/>
          <w:szCs w:val="28"/>
          <w:rtl/>
        </w:rPr>
        <w:t xml:space="preserve">[شماره صفحه واقعی : 170]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03" w:name="pg14411_142560"/>
    <w:bookmarkEnd w:id="103"/>
    <w:p>
      <w:pPr>
        <w:pStyle w:val="BookText"/>
      </w:pPr>
      <w:r>
        <w:rPr>
          <w:rFonts w:ascii="IRNazanin" w:hAnsi="IRNazanin" w:eastAsia="IRNazanin" w:cs="IRNazanin"/>
          <w:lang w:bidi="fa-IR"/>
          <w:color w:val="111111"/>
          <w:sz w:val="28"/>
          <w:szCs w:val="28"/>
          <w:rtl/>
        </w:rPr>
        <w:t xml:space="preserve">قال فی التذکرة:لو فاتته صلوات معلومة العین غیر معلومة العدد،صلّی من تلک الصلوات إلی أن یغلب فی ظنّه الوفاء؛لاشتغال الذمّة بالفائت،فلا یحصل البراءة قطعا إلاّ بذلک.و لو کانت واحدة و لم یعلم العدد،صلّی تلک الصلاة مکرّرا حتّی یظنّ الوفاء.</w:t>
      </w:r>
    </w:p>
    <w:p>
      <w:pPr>
        <w:pStyle w:val="BookText"/>
      </w:pPr>
      <w:r>
        <w:rPr>
          <w:rFonts w:ascii="IRNazanin" w:hAnsi="IRNazanin" w:eastAsia="IRNazanin" w:cs="IRNazanin"/>
          <w:lang w:bidi="fa-IR"/>
          <w:color w:val="111111"/>
          <w:sz w:val="28"/>
          <w:szCs w:val="28"/>
          <w:rtl/>
        </w:rPr>
        <w:t xml:space="preserve">ثمّ احتمل فی المسألة احتمالین آخرین:أحدهما:تحصیل العلم؛ لعدم البراءة إلاّ بالیقین،و الثانی:الأخذ بالقدر المعلوم؛لأنّ الظاهر أنّ المسلم لا یفوّت الصلاة.ثمّ نسب کلا الوجهین إلی الشافعیّة </w:t>
      </w:r>
      <w:r>
        <w:rPr>
          <w:rStyle w:val="FootnoteReference"/>
        </w:rPr>
        <w:footnoteReference w:id="553"/>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حکی هذا الکلام-بعینه-عن النهایة </w:t>
      </w:r>
      <w:r>
        <w:rPr>
          <w:rStyle w:val="FootnoteReference"/>
        </w:rPr>
        <w:footnoteReference w:id="554"/>
      </w:r>
      <w:r>
        <w:rPr>
          <w:rFonts w:ascii="IRNazanin" w:hAnsi="IRNazanin" w:eastAsia="IRNazanin" w:cs="IRNazanin"/>
          <w:lang w:bidi="fa-IR"/>
          <w:color w:val="111111"/>
          <w:sz w:val="28"/>
          <w:szCs w:val="28"/>
          <w:rtl/>
        </w:rPr>
        <w:t xml:space="preserve">،و صرّح الشهیدان </w:t>
      </w:r>
      <w:r>
        <w:rPr>
          <w:rStyle w:val="FootnoteReference"/>
        </w:rPr>
        <w:footnoteReference w:id="555"/>
      </w:r>
      <w:r>
        <w:rPr>
          <w:rFonts w:ascii="IRNazanin" w:hAnsi="IRNazanin" w:eastAsia="IRNazanin" w:cs="IRNazanin"/>
          <w:lang w:bidi="fa-IR"/>
          <w:color w:val="111111"/>
          <w:sz w:val="28"/>
          <w:szCs w:val="28"/>
          <w:rtl/>
        </w:rPr>
        <w:t xml:space="preserve">بوجوب تحصیل العلم مع الإمکان،و صرّح فی الریاض </w:t>
      </w:r>
      <w:r>
        <w:rPr>
          <w:rStyle w:val="FootnoteReference"/>
        </w:rPr>
        <w:footnoteReference w:id="556"/>
      </w:r>
      <w:r>
        <w:rPr>
          <w:rFonts w:ascii="IRNazanin" w:hAnsi="IRNazanin" w:eastAsia="IRNazanin" w:cs="IRNazanin"/>
          <w:lang w:bidi="fa-IR"/>
          <w:color w:val="111111"/>
          <w:sz w:val="28"/>
          <w:szCs w:val="28"/>
          <w:rtl/>
        </w:rPr>
        <w:t xml:space="preserve">بأنّ مقتضی الأصل القضاء حتّی یحصل العلم بالوفاء؛تحصیلا للبراءة الیقینیّة.</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 قد سبقهم فی هذا الاستدلال الشیخ قدّس سرّه فی التهذیب،حیث قال:</w:t>
      </w:r>
    </w:p>
    <w:p>
      <w:pPr>
        <w:pStyle w:val="BookText"/>
      </w:pPr>
      <w:r>
        <w:rPr>
          <w:rFonts w:ascii="IRNazanin" w:hAnsi="IRNazanin" w:eastAsia="IRNazanin" w:cs="IRNazanin"/>
          <w:lang w:bidi="fa-IR"/>
          <w:color w:val="111111"/>
          <w:sz w:val="28"/>
          <w:szCs w:val="28"/>
          <w:rtl/>
        </w:rPr>
        <w:t xml:space="preserve">أمّا ما یدلّ علی أنّه یجب أن یکثر منها،فهو ما ثبت أنّ قضاء الفرائض واجب،و إذا ثبت وجوبها و لا یمکنه أن یتخلّص من ذلک إلاّ بأن یستکثر منها،وجب </w:t>
      </w:r>
      <w:r>
        <w:rPr>
          <w:rStyle w:val="FootnoteReference"/>
        </w:rPr>
        <w:footnoteReference w:id="557"/>
      </w:r>
      <w:r>
        <w:rPr>
          <w:rFonts w:ascii="IRNazanin" w:hAnsi="IRNazanin" w:eastAsia="IRNazanin" w:cs="IRNazanin"/>
          <w:lang w:bidi="fa-IR"/>
          <w:color w:val="111111"/>
          <w:sz w:val="28"/>
          <w:szCs w:val="28"/>
          <w:rtl/>
        </w:rPr>
        <w:t xml:space="preserve">،انتهی.</w:t>
      </w:r>
    </w:p>
    <w:p>
      <w:pPr>
        <w:pStyle w:val="Heading6"/>
      </w:pPr>
      <w:bookmarkStart w:id="1173" w:name="_Toc208"/>
      <w:r>
        <w:t>[المورد من موارد جریان أصالة البراءة]</w:t>
      </w:r>
      <w:bookmarkEnd w:id="1173"/>
    </w:p>
    <w:p>
      <w:pPr>
        <w:pStyle w:val="BookText"/>
      </w:pPr>
      <w:r>
        <w:rPr>
          <w:rFonts w:ascii="IRNazanin" w:hAnsi="IRNazanin" w:eastAsia="IRNazanin" w:cs="IRNazanin"/>
          <w:lang w:bidi="fa-IR"/>
          <w:color w:val="111111"/>
          <w:sz w:val="28"/>
          <w:szCs w:val="28"/>
          <w:rtl/>
        </w:rPr>
        <w:t xml:space="preserve">و قد عرفت </w:t>
      </w:r>
      <w:r>
        <w:rPr>
          <w:rStyle w:val="FootnoteReference"/>
        </w:rPr>
        <w:footnoteReference w:id="558"/>
      </w:r>
      <w:r>
        <w:rPr>
          <w:rFonts w:ascii="IRNazanin" w:hAnsi="IRNazanin" w:eastAsia="IRNazanin" w:cs="IRNazanin"/>
          <w:lang w:bidi="fa-IR"/>
          <w:color w:val="111111"/>
          <w:sz w:val="28"/>
          <w:szCs w:val="28"/>
          <w:rtl/>
        </w:rPr>
        <w:t xml:space="preserve">:أنّ المورد من موارد جریان أصالة البراءة و الأخذ</w:t>
      </w:r>
    </w:p>
    <w:p>
      <w:pPr>
        <w:pStyle w:val="BookText"/>
      </w:pPr>
      <w:r>
        <w:rPr>
          <w:rFonts w:ascii="IRNazanin" w:hAnsi="IRNazanin" w:eastAsia="IRNazanin" w:cs="IRNazanin"/>
          <w:lang w:bidi="fa-IR"/>
          <w:color w:val="111111"/>
          <w:sz w:val="28"/>
          <w:szCs w:val="28"/>
          <w:rtl/>
        </w:rPr>
        <w:t xml:space="preserve">[شماره صفحه واقعی : 171]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بالأقلّ عند دوران الأمر بینه و بین الأکثر،کما لو شکّ فی مقدار الدین الذی یجب قضاؤه،أو فی أنّ الفائت منه صلاة العصر فقط أو هی مع الظهر،فإنّ الظاهر عدم إفتائهم بلزوم قضاء الظهر،و کذا لو تردّد فی ما فات عن أبویه أو فی ما تحمّله بالإجارة بین الأقلّ و الأکثر.</w:t>
      </w:r>
    </w:p>
    <w:p>
      <w:pPr>
        <w:pStyle w:val="BookText"/>
      </w:pPr>
      <w:r>
        <w:rPr>
          <w:rFonts w:ascii="IRNazanin" w:hAnsi="IRNazanin" w:eastAsia="IRNazanin" w:cs="IRNazanin"/>
          <w:lang w:bidi="fa-IR"/>
          <w:color w:val="111111"/>
          <w:sz w:val="28"/>
          <w:szCs w:val="28"/>
          <w:rtl/>
        </w:rPr>
        <w:t xml:space="preserve">و ربما یظهر عن بعض المحقّقین </w:t>
      </w:r>
      <w:r>
        <w:rPr>
          <w:rStyle w:val="FootnoteReference"/>
        </w:rPr>
        <w:footnoteReference w:id="559"/>
      </w:r>
      <w:r>
        <w:rPr>
          <w:rFonts w:ascii="IRNazanin" w:hAnsi="IRNazanin" w:eastAsia="IRNazanin" w:cs="IRNazanin"/>
          <w:lang w:bidi="fa-IR"/>
          <w:color w:val="111111"/>
          <w:sz w:val="28"/>
          <w:szCs w:val="28"/>
          <w:rtl/>
        </w:rPr>
        <w:t xml:space="preserve">:الفرق بین هذه الأمثلة و بین ما نحن فیه؛حیث حکی عنه </w:t>
      </w:r>
      <w:r>
        <w:rPr>
          <w:rStyle w:val="FootnoteReference"/>
        </w:rPr>
        <w:footnoteReference w:id="560"/>
      </w:r>
      <w:r>
        <w:rPr>
          <w:rFonts w:ascii="IRNazanin" w:hAnsi="IRNazanin" w:eastAsia="IRNazanin" w:cs="IRNazanin"/>
          <w:lang w:bidi="fa-IR"/>
          <w:color w:val="111111"/>
          <w:sz w:val="28"/>
          <w:szCs w:val="28"/>
          <w:rtl/>
        </w:rPr>
        <w:t xml:space="preserve">-فی ردّ صاحب الذخیرة القائل بأنّ مقتضی القاعدة فی المقام الرجوع إلی البراءة </w:t>
      </w:r>
      <w:r>
        <w:rPr>
          <w:rStyle w:val="FootnoteReference"/>
        </w:rPr>
        <w:footnoteReference w:id="561"/>
      </w:r>
      <w:r>
        <w:rPr>
          <w:rFonts w:ascii="Amiri" w:hAnsi="Amiri" w:eastAsia="Amiri" w:cs="Amiri"/>
          <w:lang w:bidi="ar-SA"/>
          <w:color w:val="111111"/>
          <w:sz w:val="28"/>
          <w:szCs w:val="28"/>
          <w:rtl/>
        </w:rPr>
        <w:t xml:space="preserve">-أنّه </w:t>
      </w:r>
      <w:r>
        <w:rPr>
          <w:rStyle w:val="FootnoteReference"/>
        </w:rPr>
        <w:footnoteReference w:id="562"/>
      </w:r>
      <w:r>
        <w:rPr>
          <w:rFonts w:ascii="IRNazanin" w:hAnsi="IRNazanin" w:eastAsia="IRNazanin" w:cs="IRNazanin"/>
          <w:lang w:bidi="fa-IR"/>
          <w:color w:val="111111"/>
          <w:sz w:val="28"/>
          <w:szCs w:val="28"/>
          <w:rtl/>
        </w:rPr>
        <w:t xml:space="preserve">قال:</w:t>
      </w:r>
    </w:p>
    <w:p>
      <w:pPr>
        <w:pStyle w:val="BookText"/>
      </w:pPr>
      <w:r>
        <w:rPr>
          <w:rFonts w:ascii="IRNazanin" w:hAnsi="IRNazanin" w:eastAsia="IRNazanin" w:cs="IRNazanin"/>
          <w:lang w:bidi="fa-IR"/>
          <w:color w:val="111111"/>
          <w:sz w:val="28"/>
          <w:szCs w:val="28"/>
          <w:rtl/>
        </w:rPr>
        <w:t xml:space="preserve">إنّ المکلّف حین علم بالفوائت صار مکلّفا بقضاء هذه الفائتة قطعا،و کذلک الحال فی الفائتة الثانیة و الثالثة و هکذا،و مجرّد عروض النسیان کیف یرفع الحکم الثابت من الإطلاقات و الاستصحاب،بل الإجماع أیضا؟و أیّ شخص یحصل منه التأمّل فی أنّه إلی ما قبل صدور النسیان کان مکلّفا،و بمجرّد عروض النسیان یرتفع التکلیف الثابت؟و إن أنکر حجّیة الاستصحاب فهو یسلّم أنّ الشغل الیقینیّ یستدعی البراءة الیقینیّة.</w:t>
      </w:r>
    </w:p>
    <w:p>
      <w:pPr>
        <w:pStyle w:val="BookText"/>
      </w:pPr>
      <w:r>
        <w:rPr>
          <w:rFonts w:ascii="IRNazanin" w:hAnsi="IRNazanin" w:eastAsia="IRNazanin" w:cs="IRNazanin"/>
          <w:lang w:bidi="fa-IR"/>
          <w:color w:val="111111"/>
          <w:sz w:val="28"/>
          <w:szCs w:val="28"/>
          <w:rtl/>
        </w:rPr>
        <w:t xml:space="preserve">إلی أن قال:</w:t>
      </w:r>
    </w:p>
    <w:p>
      <w:pPr>
        <w:pStyle w:val="BookText"/>
      </w:pPr>
      <w:r>
        <w:rPr>
          <w:rFonts w:ascii="IRNazanin" w:hAnsi="IRNazanin" w:eastAsia="IRNazanin" w:cs="IRNazanin"/>
          <w:lang w:bidi="fa-IR"/>
          <w:color w:val="111111"/>
          <w:sz w:val="28"/>
          <w:szCs w:val="28"/>
          <w:rtl/>
        </w:rPr>
        <w:t xml:space="preserve">نعم،فی الصورة التی یحصل للمکلّف علم إجمالیّ باشتغال ذمّته بفوائت متعدّدة یعلم قطعا تعدّدها لکن لا یعلم مقدارها،فإنّه یمکن</w:t>
      </w:r>
    </w:p>
    <w:p>
      <w:pPr>
        <w:pStyle w:val="BookText"/>
      </w:pPr>
      <w:r>
        <w:rPr>
          <w:rFonts w:ascii="IRNazanin" w:hAnsi="IRNazanin" w:eastAsia="IRNazanin" w:cs="IRNazanin"/>
          <w:lang w:bidi="fa-IR"/>
          <w:color w:val="111111"/>
          <w:sz w:val="28"/>
          <w:szCs w:val="28"/>
          <w:rtl/>
        </w:rPr>
        <w:t xml:space="preserve">[شماره صفحه واقعی : 172]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04" w:name="pg14411_142562"/>
    <w:bookmarkEnd w:id="104"/>
    <w:p>
      <w:pPr>
        <w:pStyle w:val="BookText"/>
      </w:pPr>
      <w:r>
        <w:rPr>
          <w:rFonts w:ascii="IRNazanin" w:hAnsi="IRNazanin" w:eastAsia="IRNazanin" w:cs="IRNazanin"/>
          <w:lang w:bidi="fa-IR"/>
          <w:color w:val="111111"/>
          <w:sz w:val="28"/>
          <w:szCs w:val="28"/>
          <w:rtl/>
        </w:rPr>
        <w:t xml:space="preserve">حینئذ أن یقال:لا نسلّم تحقّق الشغل بأزید من المقدار الذی تیقّنه.</w:t>
      </w:r>
    </w:p>
    <w:p>
      <w:pPr>
        <w:pStyle w:val="BookText"/>
      </w:pPr>
      <w:r>
        <w:rPr>
          <w:rFonts w:ascii="IRNazanin" w:hAnsi="IRNazanin" w:eastAsia="IRNazanin" w:cs="IRNazanin"/>
          <w:lang w:bidi="fa-IR"/>
          <w:color w:val="111111"/>
          <w:sz w:val="28"/>
          <w:szCs w:val="28"/>
          <w:rtl/>
        </w:rPr>
        <w:t xml:space="preserve">إلی أن قال:</w:t>
      </w:r>
    </w:p>
    <w:p>
      <w:pPr>
        <w:pStyle w:val="BookText"/>
      </w:pPr>
      <w:r>
        <w:rPr>
          <w:rFonts w:ascii="IRNazanin" w:hAnsi="IRNazanin" w:eastAsia="IRNazanin" w:cs="IRNazanin"/>
          <w:lang w:bidi="fa-IR"/>
          <w:color w:val="111111"/>
          <w:sz w:val="28"/>
          <w:szCs w:val="28"/>
          <w:rtl/>
        </w:rPr>
        <w:t xml:space="preserve">و الحاصل:أنّ المکلّف إذا حصّل القطع باشتغال ذمّته بمتعدّد و التبس علیه ذلک کمّا،و أمکنه الخروج عن عهدته،فالأمر کما أفتی به الأصحاب،و إن لم یحصّل ذلک،بأن یکون ما علم به خصوص اثنتین أو ثلاث و أمّا أزید من ذلک فلا،بل احتمال احتمله،فالأمر کما ذکره فی الذخیرة.</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 من هنا:لو لم یعلم أصلا بمتعدّد فی فائتة و علم أنّ صلاة صبح یومه فاتت،و أمّا غیرها فلا یعلم و لا یظنّ فوته أصلا،فلیس علیه إلاّ الفریضة الواحدة دون المحتمل؛لکونه شکّا بعد خروج الوقت، و المنصوص أنّه لیس علیه قضاؤها </w:t>
      </w:r>
      <w:r>
        <w:rPr>
          <w:rStyle w:val="FootnoteReference"/>
        </w:rPr>
        <w:footnoteReference w:id="563"/>
      </w:r>
      <w:r>
        <w:rPr>
          <w:rFonts w:ascii="IRNazanin" w:hAnsi="IRNazanin" w:eastAsia="IRNazanin" w:cs="IRNazanin"/>
          <w:lang w:bidi="fa-IR"/>
          <w:color w:val="111111"/>
          <w:sz w:val="28"/>
          <w:szCs w:val="28"/>
          <w:rtl/>
        </w:rPr>
        <w:t xml:space="preserve">،بل لعلّه المفتی به </w:t>
      </w:r>
      <w:r>
        <w:rPr>
          <w:rStyle w:val="FootnoteReference"/>
        </w:rPr>
        <w:footnoteReference w:id="564"/>
      </w:r>
      <w:r>
        <w:rPr>
          <w:rFonts w:ascii="IRNazanin" w:hAnsi="IRNazanin" w:eastAsia="IRNazanin" w:cs="IRNazanin"/>
          <w:lang w:bidi="fa-IR"/>
          <w:color w:val="111111"/>
          <w:sz w:val="28"/>
          <w:szCs w:val="28"/>
          <w:rtl/>
        </w:rPr>
        <w:t xml:space="preserve">،انتهی کلامه رفع مقامه.</w:t>
      </w:r>
    </w:p>
    <w:p>
      <w:pPr>
        <w:pStyle w:val="BookText"/>
      </w:pPr>
      <w:r>
        <w:rPr>
          <w:rFonts w:ascii="IRNazanin" w:hAnsi="IRNazanin" w:eastAsia="IRNazanin" w:cs="IRNazanin"/>
          <w:lang w:bidi="fa-IR"/>
          <w:color w:val="111111"/>
          <w:sz w:val="28"/>
          <w:szCs w:val="28"/>
          <w:rtl/>
        </w:rPr>
        <w:t xml:space="preserve">و یظهر النظر فیه ممّا ذکرناه سابقا </w:t>
      </w:r>
      <w:r>
        <w:rPr>
          <w:rStyle w:val="FootnoteReference"/>
        </w:rPr>
        <w:footnoteReference w:id="565"/>
      </w:r>
      <w:r>
        <w:rPr>
          <w:rFonts w:ascii="IRNazanin" w:hAnsi="IRNazanin" w:eastAsia="IRNazanin" w:cs="IRNazanin"/>
          <w:lang w:bidi="fa-IR"/>
          <w:color w:val="111111"/>
          <w:sz w:val="28"/>
          <w:szCs w:val="28"/>
          <w:rtl/>
        </w:rPr>
        <w:t xml:space="preserve">،و لا یحضرنی الآن حکم لأصحابنا بوجوب الاحتیاط فی نظیر المقام،بل الظاهر منهم إجراء أصل </w:t>
      </w:r>
      <w:r>
        <w:rPr>
          <w:rStyle w:val="FootnoteReference"/>
        </w:rPr>
        <w:footnoteReference w:id="566"/>
      </w:r>
      <w:r>
        <w:rPr>
          <w:rFonts w:ascii="IRNazanin" w:hAnsi="IRNazanin" w:eastAsia="IRNazanin" w:cs="IRNazanin"/>
          <w:lang w:bidi="fa-IR"/>
          <w:color w:val="111111"/>
          <w:sz w:val="28"/>
          <w:szCs w:val="28"/>
          <w:rtl/>
        </w:rPr>
        <w:t xml:space="preserve">البراءة فی أمثال ما نحن فیه ممّا لا یحصی.</w:t>
      </w:r>
    </w:p>
    <w:p>
      <w:pPr>
        <w:pStyle w:val="Heading6"/>
      </w:pPr>
      <w:bookmarkStart w:id="1174" w:name="_Toc209"/>
      <w:r>
        <w:t>[توجیه فتوی المشهور]</w:t>
      </w:r>
      <w:bookmarkEnd w:id="1174"/>
    </w:p>
    <w:p>
      <w:pPr>
        <w:pStyle w:val="Heading6"/>
      </w:pPr>
      <w:bookmarkStart w:id="1175" w:name="_Toc210"/>
      <w:r>
        <w:t>اشارة</w:t>
      </w:r>
      <w:bookmarkEnd w:id="1175"/>
    </w:p>
    <w:p>
      <w:pPr>
        <w:pStyle w:val="BookText"/>
      </w:pPr>
      <w:r>
        <w:rPr>
          <w:rFonts w:ascii="IRNazanin" w:hAnsi="IRNazanin" w:eastAsia="IRNazanin" w:cs="IRNazanin"/>
          <w:lang w:bidi="fa-IR"/>
          <w:color w:val="111111"/>
          <w:sz w:val="28"/>
          <w:szCs w:val="28"/>
          <w:rtl/>
        </w:rPr>
        <w:t xml:space="preserve">و ربما یوجّه الحکم فیما نحن فیه:بأنّ الأصل عدم الإتیان بالصلاة الواجبة،فیترتّب علیه وجوب القضاء إلاّ فی صلاة علم الإتیان بها فی وقتها.</w:t>
      </w:r>
    </w:p>
    <w:p>
      <w:pPr>
        <w:pStyle w:val="BookText"/>
      </w:pPr>
      <w:r>
        <w:rPr>
          <w:rFonts w:ascii="IRNazanin" w:hAnsi="IRNazanin" w:eastAsia="IRNazanin" w:cs="IRNazanin"/>
          <w:lang w:bidi="fa-IR"/>
          <w:color w:val="111111"/>
          <w:sz w:val="28"/>
          <w:szCs w:val="28"/>
          <w:rtl/>
        </w:rPr>
        <w:t xml:space="preserve">[شماره صفحه واقعی : 173]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دعوی:ترتّب وجوب القضاء علی صدق الفوت الغیر الثابت بالأصل،لا مجرّد عدم الاتیان الثابت بالأصل،ممنوعة؛لما یظهر من الأخبار </w:t>
      </w:r>
      <w:r>
        <w:rPr>
          <w:rStyle w:val="FootnoteReference"/>
        </w:rPr>
        <w:footnoteReference w:id="567"/>
      </w:r>
      <w:r>
        <w:rPr>
          <w:rFonts w:ascii="IRNazanin" w:hAnsi="IRNazanin" w:eastAsia="IRNazanin" w:cs="IRNazanin"/>
          <w:lang w:bidi="fa-IR"/>
          <w:color w:val="111111"/>
          <w:sz w:val="28"/>
          <w:szCs w:val="28"/>
          <w:rtl/>
        </w:rPr>
        <w:t xml:space="preserve">و کلمات الأصحاب </w:t>
      </w:r>
      <w:r>
        <w:rPr>
          <w:rStyle w:val="FootnoteReference"/>
        </w:rPr>
        <w:footnoteReference w:id="568"/>
      </w:r>
      <w:r>
        <w:rPr>
          <w:rFonts w:ascii="IRNazanin" w:hAnsi="IRNazanin" w:eastAsia="IRNazanin" w:cs="IRNazanin"/>
          <w:lang w:bidi="fa-IR"/>
          <w:color w:val="111111"/>
          <w:sz w:val="28"/>
          <w:szCs w:val="28"/>
          <w:rtl/>
        </w:rPr>
        <w:t xml:space="preserve">:من أنّ المراد بالفوت مجرّد الترک کما بیّناه فی الفقه </w:t>
      </w:r>
      <w:r>
        <w:rPr>
          <w:rStyle w:val="FootnoteReference"/>
        </w:rPr>
        <w:footnoteReference w:id="5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ما دلّ علی أنّ الشکّ فی إتیان الصلاة بعد وقتها لا یعتدّ به، فلا یشمل ما نحن فیه.</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 إن شئت تطبیق ذلک علی قاعدة الاحتیاط اللازم،فتوضیحه:</w:t>
      </w:r>
    </w:p>
    <w:p>
      <w:pPr>
        <w:pStyle w:val="BookText"/>
      </w:pPr>
      <w:r>
        <w:rPr>
          <w:rFonts w:ascii="IRNazanin" w:hAnsi="IRNazanin" w:eastAsia="IRNazanin" w:cs="IRNazanin"/>
          <w:lang w:bidi="fa-IR"/>
          <w:color w:val="111111"/>
          <w:sz w:val="28"/>
          <w:szCs w:val="28"/>
          <w:rtl/>
        </w:rPr>
        <w:t xml:space="preserve">أنّ القضاء و إن کان بأمر جدید،إلاّ أنّ ذلک الأمر کاشف عن استمرار مطلوبیّة الصلاة من عند دخول وقتها إلی آخر زمان التمکّن من المکلّف،غایة الأمر کون هذا علی سبیل تعدّد المطلوب،بأن یکون الکلّی المشترک بین ما فی الوقت و خارجه مطلوبا و کون إتیانه فی الوقت مطلوبا آخر،کما أنّ أداء الدین و ردّ السلام واجب فی أوّل أوقات الإمکان،و لو لم یفعل ففی الآن الثانی،و هکذا.</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 حینئذ:فإذا دخل الوقت وجب إبراء الذمّة عن ذلک الکلّی، فإذا شکّ فی براءة ذمّته بعد الوقت،فمقتضی حکم العقل باقتضاء الشغل الیقینیّ للبراءة الیقینیّة وجوب الإتیان،کما لو شکّ فی البراءة قبل خروج الوقت،و کما لو شکّ فی أداء الدین الفوریّ،فلا یقال:إنّ</w:t>
      </w:r>
    </w:p>
    <w:p>
      <w:pPr>
        <w:pStyle w:val="BookText"/>
      </w:pPr>
      <w:r>
        <w:rPr>
          <w:rFonts w:ascii="IRNazanin" w:hAnsi="IRNazanin" w:eastAsia="IRNazanin" w:cs="IRNazanin"/>
          <w:lang w:bidi="fa-IR"/>
          <w:color w:val="111111"/>
          <w:sz w:val="28"/>
          <w:szCs w:val="28"/>
          <w:rtl/>
        </w:rPr>
        <w:t xml:space="preserve">[شماره صفحه واقعی : 174]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05" w:name="pg14411_142564"/>
    <w:bookmarkEnd w:id="105"/>
    <w:p>
      <w:pPr>
        <w:pStyle w:val="BookText"/>
      </w:pPr>
      <w:r>
        <w:rPr>
          <w:rFonts w:ascii="IRNazanin" w:hAnsi="IRNazanin" w:eastAsia="IRNazanin" w:cs="IRNazanin"/>
          <w:lang w:bidi="fa-IR"/>
          <w:color w:val="111111"/>
          <w:sz w:val="28"/>
          <w:szCs w:val="28"/>
          <w:rtl/>
        </w:rPr>
        <w:t xml:space="preserve">الطلب فی الزمان الأوّل قد ارتفع بالعصیان،و وجوده فی الزمان الثانی مشکوک فیه،و کذلک جواب السلام.</w:t>
      </w:r>
    </w:p>
    <w:p>
      <w:pPr>
        <w:pStyle w:val="BookText"/>
      </w:pPr>
      <w:r>
        <w:rPr>
          <w:rFonts w:ascii="IRNazanin" w:hAnsi="IRNazanin" w:eastAsia="IRNazanin" w:cs="IRNazanin"/>
          <w:lang w:bidi="fa-IR"/>
          <w:color w:val="111111"/>
          <w:sz w:val="28"/>
          <w:szCs w:val="28"/>
          <w:rtl/>
        </w:rPr>
        <w:t xml:space="preserve">و الحاصل:أنّ التکلیف المتعدّد بالمطلق و المقیّد لا ینافی جریان الاستصحاب و قاعدة الاشتغال بالنسبة إلی المطلق،فلا یکون المقام مجری البراءة.</w:t>
      </w:r>
    </w:p>
    <w:p>
      <w:pPr>
        <w:pStyle w:val="Heading6"/>
      </w:pPr>
      <w:bookmarkStart w:id="1176" w:name="_Toc211"/>
      <w:r>
        <w:t>[ضعف التوجیه المذکور]</w:t>
      </w:r>
      <w:bookmarkEnd w:id="1176"/>
    </w:p>
    <w:p>
      <w:pPr>
        <w:pStyle w:val="BookText"/>
      </w:pPr>
      <w:r>
        <w:rPr>
          <w:rFonts w:ascii="IRNazanin" w:hAnsi="IRNazanin" w:eastAsia="IRNazanin" w:cs="IRNazanin"/>
          <w:lang w:bidi="fa-IR"/>
          <w:color w:val="111111"/>
          <w:sz w:val="28"/>
          <w:szCs w:val="28"/>
          <w:rtl/>
        </w:rPr>
        <w:t xml:space="preserve">هذا،و لکنّ الإنصاف:ضعف هذا التوجیه لو سلّم استناد الأصحاب إلیه فی المقام.</w:t>
      </w:r>
    </w:p>
    <w:p>
      <w:pPr>
        <w:pStyle w:val="BookText"/>
      </w:pPr>
      <w:r>
        <w:rPr>
          <w:rFonts w:ascii="IRNazanin" w:hAnsi="IRNazanin" w:eastAsia="IRNazanin" w:cs="IRNazanin"/>
          <w:lang w:bidi="fa-IR"/>
          <w:color w:val="111111"/>
          <w:sz w:val="28"/>
          <w:szCs w:val="28"/>
          <w:rtl/>
        </w:rPr>
        <w:t xml:space="preserve">أمّا أوّلا:فلأنّ من المحتمل-بل الظاهر-علی القول بکون القضاء بأمر جدید،کون کلّ من الأداء و القضاء تکلیفا مغایرا للآخر،فهو من قبیل وجوب الشیء و وجوب تدارکه بعد فوته-کما یکشف عن ذلک تعلّق أمر الأداء بنفس الفعل </w:t>
      </w:r>
      <w:r>
        <w:rPr>
          <w:rStyle w:val="FootnoteReference"/>
        </w:rPr>
        <w:footnoteReference w:id="570"/>
      </w:r>
      <w:r>
        <w:rPr>
          <w:rFonts w:ascii="IRNazanin" w:hAnsi="IRNazanin" w:eastAsia="IRNazanin" w:cs="IRNazanin"/>
          <w:lang w:bidi="fa-IR"/>
          <w:color w:val="111111"/>
          <w:sz w:val="28"/>
          <w:szCs w:val="28"/>
          <w:rtl/>
        </w:rPr>
        <w:t xml:space="preserve">و أمر القضاء به بوصف الفوت </w:t>
      </w:r>
      <w:r>
        <w:rPr>
          <w:rStyle w:val="FootnoteReference"/>
        </w:rPr>
        <w:footnoteReference w:id="571"/>
      </w:r>
      <w:r>
        <w:rPr>
          <w:rFonts w:ascii="IRNazanin" w:hAnsi="IRNazanin" w:eastAsia="IRNazanin" w:cs="IRNazanin"/>
          <w:lang w:bidi="fa-IR"/>
          <w:color w:val="111111"/>
          <w:sz w:val="28"/>
          <w:szCs w:val="28"/>
          <w:rtl/>
        </w:rPr>
        <w:t xml:space="preserve">، و یؤیّده:بعض ما دلّ علی أنّ لکلّ من الفرائض بدلا و هو قضاؤه،عدا الولایة </w:t>
      </w:r>
      <w:r>
        <w:rPr>
          <w:rStyle w:val="FootnoteReference"/>
        </w:rPr>
        <w:footnoteReference w:id="572"/>
      </w:r>
      <w:r>
        <w:rPr>
          <w:rFonts w:ascii="IRNazanin" w:hAnsi="IRNazanin" w:eastAsia="IRNazanin" w:cs="IRNazanin"/>
          <w:lang w:bidi="fa-IR"/>
          <w:color w:val="111111"/>
          <w:sz w:val="28"/>
          <w:szCs w:val="28"/>
          <w:rtl/>
        </w:rPr>
        <w:t xml:space="preserve">-لا من باب الأمر بالکلّی و الأمر بفرد خاصّ منه،کقوله:</w:t>
      </w:r>
    </w:p>
    <w:p>
      <w:pPr>
        <w:pStyle w:val="BookText"/>
      </w:pPr>
      <w:r>
        <w:rPr>
          <w:rFonts w:ascii="IRNazanin" w:hAnsi="IRNazanin" w:eastAsia="IRNazanin" w:cs="IRNazanin"/>
          <w:lang w:bidi="fa-IR"/>
          <w:color w:val="111111"/>
          <w:sz w:val="28"/>
          <w:szCs w:val="28"/>
          <w:rtl/>
        </w:rPr>
        <w:t xml:space="preserve">صم،و صم یوم الخمیس،أو الأمر بالکلّی و الأمر بتعجیله،کردّ السلام و قضاء الدین،فلا مجری لقاعدة الاشتغال و استصحابه.</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 أمّا ثانیا:فلأنّ منع عموم ما دلّ علی أنّ الشکّ فی الإتیان بعد خروج الوقت </w:t>
      </w:r>
      <w:r>
        <w:rPr>
          <w:rStyle w:val="FootnoteReference"/>
        </w:rPr>
        <w:footnoteReference w:id="573"/>
      </w:r>
      <w:r>
        <w:rPr>
          <w:rFonts w:ascii="IRNazanin" w:hAnsi="IRNazanin" w:eastAsia="IRNazanin" w:cs="IRNazanin"/>
          <w:lang w:bidi="fa-IR"/>
          <w:color w:val="111111"/>
          <w:sz w:val="28"/>
          <w:szCs w:val="28"/>
          <w:rtl/>
        </w:rPr>
        <w:t xml:space="preserve">لا یعتدّ به للمقام،خال عن السند.خصوصا مع</w:t>
      </w:r>
    </w:p>
    <w:p>
      <w:pPr>
        <w:pStyle w:val="BookText"/>
      </w:pPr>
      <w:r>
        <w:rPr>
          <w:rFonts w:ascii="IRNazanin" w:hAnsi="IRNazanin" w:eastAsia="IRNazanin" w:cs="IRNazanin"/>
          <w:lang w:bidi="fa-IR"/>
          <w:color w:val="111111"/>
          <w:sz w:val="28"/>
          <w:szCs w:val="28"/>
          <w:rtl/>
        </w:rPr>
        <w:t xml:space="preserve">[شماره صفحه واقعی : 175]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06" w:name="pg14411_142565"/>
    <w:bookmarkEnd w:id="106"/>
    <w:p>
      <w:pPr>
        <w:pStyle w:val="BookText"/>
      </w:pPr>
      <w:r>
        <w:rPr>
          <w:rFonts w:ascii="IRNazanin" w:hAnsi="IRNazanin" w:eastAsia="IRNazanin" w:cs="IRNazanin"/>
          <w:lang w:bidi="fa-IR"/>
          <w:color w:val="111111"/>
          <w:sz w:val="28"/>
          <w:szCs w:val="28"/>
          <w:rtl/>
        </w:rPr>
        <w:t xml:space="preserve">اعتضاده بما دلّ علی أنّ الشکّ فی الشیء لا یعتنی به بعد تجاوزه،مثل قوله علیه السّلام:«إنّما الشکّ فی شیء لم تجزه» </w:t>
      </w:r>
      <w:r>
        <w:rPr>
          <w:rStyle w:val="FootnoteReference"/>
        </w:rPr>
        <w:footnoteReference w:id="574"/>
      </w:r>
      <w:r>
        <w:rPr>
          <w:rFonts w:ascii="IRNazanin" w:hAnsi="IRNazanin" w:eastAsia="IRNazanin" w:cs="IRNazanin"/>
          <w:lang w:bidi="fa-IR"/>
          <w:color w:val="111111"/>
          <w:sz w:val="28"/>
          <w:szCs w:val="28"/>
          <w:rtl/>
        </w:rPr>
        <w:t xml:space="preserve">،و مع اعتضاده فی بعض المقامات بظاهر حال المسلم فی عدم ترک الصلاة.</w:t>
      </w:r>
    </w:p>
    <w:p>
      <w:pPr>
        <w:pStyle w:val="BookText"/>
      </w:pPr>
      <w:r>
        <w:rPr>
          <w:rFonts w:ascii="IRNazanin" w:hAnsi="IRNazanin" w:eastAsia="IRNazanin" w:cs="IRNazanin"/>
          <w:lang w:bidi="fa-IR"/>
          <w:color w:val="111111"/>
          <w:sz w:val="28"/>
          <w:szCs w:val="28"/>
          <w:rtl/>
        </w:rPr>
        <w:t xml:space="preserve">و أمّا ثالثا:فلأنّه لو تمّ ذلک جری فیما یقضیه عن أبویه إذا شکّ فی مقدار ما فات منهما،و لا أظنّهم یلتزمون بذلک،و إن التزموا بأنّه إذا وجب علی المیّت-لجهله بما فاته-مقدار معیّن یعلم أو یظنّ معه البراءة،وجب علی الولیّ قضاء ذلک المقدار؛لوجوبه ظاهرا علی المیّت، بخلاف ما لم یعلم بوجوبه علیه.</w:t>
      </w:r>
    </w:p>
    <w:p>
      <w:pPr>
        <w:pStyle w:val="BookText"/>
      </w:pPr>
      <w:r>
        <w:rPr>
          <w:rFonts w:ascii="IRNazanin" w:hAnsi="IRNazanin" w:eastAsia="IRNazanin" w:cs="IRNazanin"/>
          <w:lang w:bidi="fa-IR"/>
          <w:color w:val="111111"/>
          <w:sz w:val="28"/>
          <w:szCs w:val="28"/>
          <w:rtl/>
        </w:rPr>
        <w:t xml:space="preserve">و کیف کان:فالتوجیه المذکور ضعیف.</w:t>
      </w:r>
    </w:p>
    <w:p>
      <w:pPr>
        <w:pStyle w:val="Heading6"/>
      </w:pPr>
      <w:bookmarkStart w:id="1177" w:name="_Toc212"/>
      <w:r>
        <w:t>[التوجیه الأضعف]</w:t>
      </w:r>
      <w:bookmarkEnd w:id="1177"/>
    </w:p>
    <w:p>
      <w:pPr>
        <w:pStyle w:val="BookText"/>
      </w:pPr>
      <w:r>
        <w:rPr>
          <w:rFonts w:ascii="IRNazanin" w:hAnsi="IRNazanin" w:eastAsia="IRNazanin" w:cs="IRNazanin"/>
          <w:lang w:bidi="fa-IR"/>
          <w:color w:val="111111"/>
          <w:sz w:val="28"/>
          <w:szCs w:val="28"/>
          <w:rtl/>
        </w:rPr>
        <w:t xml:space="preserve">و أضعف منه:التمسّک فی ما نحن فیه بالنصّ الوارد فی:«أنّ من علیه من النافلة ما لا یحصیه من کثرته،قضی حتّی لا یدری کم صلّی من کثرته» </w:t>
      </w:r>
      <w:r>
        <w:rPr>
          <w:rStyle w:val="FootnoteReference"/>
        </w:rPr>
        <w:footnoteReference w:id="575"/>
      </w:r>
      <w:r>
        <w:rPr>
          <w:rFonts w:ascii="IRNazanin" w:hAnsi="IRNazanin" w:eastAsia="IRNazanin" w:cs="IRNazanin"/>
          <w:lang w:bidi="fa-IR"/>
          <w:color w:val="111111"/>
          <w:sz w:val="28"/>
          <w:szCs w:val="28"/>
          <w:rtl/>
        </w:rPr>
        <w:t xml:space="preserve">،بناء علی أنّ ذلک طریق لتدارک ما فات و لم یحص، لا أنّه مختصّ بالنافلة.مع أنّ الاهتمام فی النافلة بمراعاة الاحتیاط یوجب ذلک فی الفریضة بطریق أولی،فتأمّل.</w:t>
      </w:r>
    </w:p>
    <w:p>
      <w:pPr>
        <w:pStyle w:val="BookText"/>
      </w:pPr>
      <w:r>
        <w:rPr>
          <w:rFonts w:ascii="IRNazanin" w:hAnsi="IRNazanin" w:eastAsia="IRNazanin" w:cs="IRNazanin"/>
          <w:lang w:bidi="fa-IR"/>
          <w:color w:val="111111"/>
          <w:sz w:val="28"/>
          <w:szCs w:val="28"/>
          <w:rtl/>
        </w:rPr>
        <w:t xml:space="preserve">[شماره صفحه واقعی : 176]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07" w:name="pg14411_142566"/>
    <w:bookmarkEnd w:id="107"/>
    <w:p>
      <w:pPr>
        <w:pStyle w:val="Heading6"/>
      </w:pPr>
      <w:bookmarkStart w:id="1178" w:name="_Toc213"/>
      <w:r>
        <w:t>المطلب الثالث فیما دار الأمر فیه بین الوجوب و الحرمة</w:t>
      </w:r>
      <w:bookmarkEnd w:id="1178"/>
    </w:p>
    <w:p>
      <w:pPr>
        <w:pStyle w:val="Heading6"/>
      </w:pPr>
      <w:bookmarkStart w:id="1179" w:name="_Toc214"/>
      <w:r>
        <w:t>اشارة</w:t>
      </w:r>
      <w:bookmarkEnd w:id="1179"/>
    </w:p>
    <w:p>
      <w:pPr>
        <w:pStyle w:val="BookText"/>
      </w:pPr>
      <w:r>
        <w:rPr>
          <w:rFonts w:ascii="IRNazanin" w:hAnsi="IRNazanin" w:eastAsia="IRNazanin" w:cs="IRNazanin"/>
          <w:lang w:bidi="fa-IR"/>
          <w:color w:val="111111"/>
          <w:sz w:val="28"/>
          <w:szCs w:val="28"/>
          <w:rtl/>
        </w:rPr>
        <w:t xml:space="preserve">و فیه مسائل:</w:t>
      </w:r>
    </w:p>
    <w:p>
      <w:pPr>
        <w:pStyle w:val="BookText"/>
      </w:pPr>
      <w:r>
        <w:rPr>
          <w:rFonts w:ascii="IRNazanin" w:hAnsi="IRNazanin" w:eastAsia="IRNazanin" w:cs="IRNazanin"/>
          <w:lang w:bidi="fa-IR"/>
          <w:color w:val="111111"/>
          <w:sz w:val="28"/>
          <w:szCs w:val="28"/>
          <w:rtl/>
        </w:rPr>
        <w:t xml:space="preserve">[شماره صفحه واقعی : 177]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08" w:name="pg14411_142567"/>
    <w:bookmarkEnd w:id="108"/>
    <w:p>
      <w:pPr>
        <w:pStyle w:val="Heading6"/>
      </w:pPr>
      <w:bookmarkStart w:id="1180" w:name="_Toc215"/>
      <w:r>
        <w:t>المسألة الاولی فی حکم دوران الأمر بین الوجوب و الحرمة من جهة عدم الدلیل علی تعیین أحدهما بعد قیام الدلیل علی أحدهما</w:t>
      </w:r>
      <w:bookmarkEnd w:id="1180"/>
    </w:p>
    <w:p>
      <w:pPr>
        <w:pStyle w:val="Heading6"/>
      </w:pPr>
      <w:bookmarkStart w:id="1181" w:name="_Toc216"/>
      <w:r>
        <w:t>اشارة</w:t>
      </w:r>
      <w:bookmarkEnd w:id="1181"/>
    </w:p>
    <w:p>
      <w:pPr>
        <w:pStyle w:val="BookText"/>
      </w:pPr>
      <w:r>
        <w:rPr>
          <w:rFonts w:ascii="IRNazanin" w:hAnsi="IRNazanin" w:eastAsia="IRNazanin" w:cs="IRNazanin"/>
          <w:lang w:bidi="fa-IR"/>
          <w:color w:val="111111"/>
          <w:sz w:val="28"/>
          <w:szCs w:val="28"/>
          <w:rtl/>
        </w:rPr>
        <w:t xml:space="preserve">کما إذا اختلفت </w:t>
      </w:r>
      <w:r>
        <w:rPr>
          <w:rStyle w:val="FootnoteReference"/>
        </w:rPr>
        <w:footnoteReference w:id="576"/>
      </w:r>
      <w:r>
        <w:rPr>
          <w:rFonts w:ascii="IRNazanin" w:hAnsi="IRNazanin" w:eastAsia="IRNazanin" w:cs="IRNazanin"/>
          <w:lang w:bidi="fa-IR"/>
          <w:color w:val="111111"/>
          <w:sz w:val="28"/>
          <w:szCs w:val="28"/>
          <w:rtl/>
        </w:rPr>
        <w:t xml:space="preserve">الامّة علی القولین بحیث علم عدم الثالث.</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 لا ینبغی الإشکال فی إجراء أصالة عدم کلّ من الوجوب و الحرمة -بمعنی نفی الآثار المتعلّقة بکلّ واحد منهما بالخصوص-إذا لم یلزم مخالفة علم تفصیلیّ،بل و لو استلزم ذلک علی وجه تقدّم فی أوّل الکتاب فی فروع اعتبار العلم الإجمالیّ </w:t>
      </w:r>
      <w:r>
        <w:rPr>
          <w:rStyle w:val="FootnoteReference"/>
        </w:rPr>
        <w:footnoteReference w:id="577"/>
      </w:r>
      <w:r>
        <w:rPr>
          <w:rFonts w:ascii="Times New Roman" w:hAnsi="Times New Roman" w:eastAsia="Times New Roman" w:cs="Times New Roman"/>
          <w:lang w:val="en-US" w:bidi="en-US"/>
          <w:color w:val="111111"/>
          <w:sz w:val="28"/>
          <w:szCs w:val="28"/>
          <w:rtl/>
        </w:rPr>
        <w:t xml:space="preserve">.</w:t>
      </w:r>
    </w:p>
    <w:p>
      <w:pPr>
        <w:pStyle w:val="Heading6"/>
      </w:pPr>
      <w:bookmarkStart w:id="1182" w:name="_Toc217"/>
      <w:r>
        <w:t>[هل الحکم فی المسألة،الإباحة أو التوقّف أو التخییر؟]</w:t>
      </w:r>
      <w:bookmarkEnd w:id="1182"/>
    </w:p>
    <w:p>
      <w:pPr>
        <w:pStyle w:val="BookText"/>
      </w:pPr>
      <w:r>
        <w:rPr>
          <w:rFonts w:ascii="IRNazanin" w:hAnsi="IRNazanin" w:eastAsia="IRNazanin" w:cs="IRNazanin"/>
          <w:lang w:bidi="fa-IR"/>
          <w:color w:val="111111"/>
          <w:sz w:val="28"/>
          <w:szCs w:val="28"/>
          <w:rtl/>
        </w:rPr>
        <w:t xml:space="preserve">و إنّما الکلام هنا فی حکم الواقعة من حیث جریان أصالة البراءة و عدمه،فإنّ فی المسألة وجوها ثلاثة:</w:t>
      </w:r>
    </w:p>
    <w:p>
      <w:pPr>
        <w:pStyle w:val="BookText"/>
      </w:pPr>
      <w:r>
        <w:rPr>
          <w:rFonts w:ascii="IRNazanin" w:hAnsi="IRNazanin" w:eastAsia="IRNazanin" w:cs="IRNazanin"/>
          <w:lang w:bidi="fa-IR"/>
          <w:color w:val="111111"/>
          <w:sz w:val="28"/>
          <w:szCs w:val="28"/>
          <w:rtl/>
        </w:rPr>
        <w:t xml:space="preserve">الحکم بالإباحة ظاهرا،نظیر ما یحتمل التحریم و غیر الوجوب، و مرجعه إلی إلغاء الشارع لکلا الاحتمالین،فلا حرج فی الفعل و لا فی الترک بحکم العقل؛و إلاّ لزم الترجیح بلا مرجّح </w:t>
      </w:r>
      <w:r>
        <w:rPr>
          <w:rStyle w:val="FootnoteReference"/>
        </w:rPr>
        <w:footnoteReference w:id="5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178]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09" w:name="pg14411_142568"/>
    <w:bookmarkEnd w:id="109"/>
    <w:p>
      <w:pPr>
        <w:pStyle w:val="BookText"/>
      </w:pPr>
      <w:r>
        <w:rPr>
          <w:rFonts w:ascii="IRNazanin" w:hAnsi="IRNazanin" w:eastAsia="IRNazanin" w:cs="IRNazanin"/>
          <w:lang w:bidi="fa-IR"/>
          <w:color w:val="111111"/>
          <w:sz w:val="28"/>
          <w:szCs w:val="28"/>
          <w:rtl/>
        </w:rPr>
        <w:t xml:space="preserve">و التوقّف بمعنی عدم الحکم بشیء لا ظاهرا و لا واقعا.</w:t>
      </w:r>
    </w:p>
    <w:p>
      <w:pPr>
        <w:pStyle w:val="BookText"/>
      </w:pPr>
      <w:r>
        <w:rPr>
          <w:rFonts w:ascii="IRNazanin" w:hAnsi="IRNazanin" w:eastAsia="IRNazanin" w:cs="IRNazanin"/>
          <w:lang w:bidi="fa-IR"/>
          <w:color w:val="111111"/>
          <w:sz w:val="28"/>
          <w:szCs w:val="28"/>
          <w:rtl/>
        </w:rPr>
        <w:t xml:space="preserve">و وجوب الأخذ بأحدهما بعینه أو لا بعینه </w:t>
      </w:r>
      <w:r>
        <w:rPr>
          <w:rStyle w:val="FootnoteReference"/>
        </w:rPr>
        <w:footnoteReference w:id="5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محلّ هذه الوجوه ما لو کان کلّ من الوجوب و التحریم توصلیّا بحیث یسقط بمجرّد الموافقة؛إذ لو کانا تعبّدیّین محتاجین إلی قصد امتثال التکلیف أو کان أحدهما المعیّن کذلک،لم یکن إشکال </w:t>
      </w:r>
      <w:r>
        <w:rPr>
          <w:rStyle w:val="FootnoteReference"/>
        </w:rPr>
        <w:footnoteReference w:id="580"/>
      </w:r>
      <w:r>
        <w:rPr>
          <w:rFonts w:ascii="IRNazanin" w:hAnsi="IRNazanin" w:eastAsia="IRNazanin" w:cs="IRNazanin"/>
          <w:lang w:bidi="fa-IR"/>
          <w:color w:val="111111"/>
          <w:sz w:val="28"/>
          <w:szCs w:val="28"/>
          <w:rtl/>
        </w:rPr>
        <w:t xml:space="preserve">فی عدم جواز طرحهما و الرجوع إلی الإباحة؛لأنّه مخالفة قطعیّة عملیّة.</w:t>
      </w:r>
    </w:p>
    <w:p>
      <w:pPr>
        <w:pStyle w:val="Heading6"/>
      </w:pPr>
      <w:bookmarkStart w:id="1183" w:name="_Toc218"/>
      <w:r>
        <w:t>[الحکم بالإباحة ظاهرا و دلیله]</w:t>
      </w:r>
      <w:bookmarkEnd w:id="1183"/>
    </w:p>
    <w:p>
      <w:pPr>
        <w:pStyle w:val="BookText"/>
      </w:pPr>
      <w:r>
        <w:rPr>
          <w:rFonts w:ascii="IRNazanin" w:hAnsi="IRNazanin" w:eastAsia="IRNazanin" w:cs="IRNazanin"/>
          <w:lang w:bidi="fa-IR"/>
          <w:color w:val="111111"/>
          <w:sz w:val="28"/>
          <w:szCs w:val="28"/>
          <w:rtl/>
        </w:rPr>
        <w:t xml:space="preserve">و کیف کان:فقد یقال فی محلّ الکلام بالإباحة ظاهرا؛لعموم أدلّة الإباحة الظاهریّة،مثل قولهم:«کلّ شیء لک حلال» </w:t>
      </w:r>
      <w:r>
        <w:rPr>
          <w:rStyle w:val="FootnoteReference"/>
        </w:rPr>
        <w:footnoteReference w:id="581"/>
      </w:r>
      <w:r>
        <w:rPr>
          <w:rFonts w:ascii="IRNazanin" w:hAnsi="IRNazanin" w:eastAsia="IRNazanin" w:cs="IRNazanin"/>
          <w:lang w:bidi="fa-IR"/>
          <w:color w:val="111111"/>
          <w:sz w:val="28"/>
          <w:szCs w:val="28"/>
          <w:rtl/>
        </w:rPr>
        <w:t xml:space="preserve">،و قولهم:«ما حجب اللّه علمه عن العباد فهو موضوع عنهم» </w:t>
      </w:r>
      <w:r>
        <w:rPr>
          <w:rStyle w:val="FootnoteReference"/>
        </w:rPr>
        <w:footnoteReference w:id="582"/>
      </w:r>
      <w:r>
        <w:rPr>
          <w:rFonts w:ascii="IRNazanin" w:hAnsi="IRNazanin" w:eastAsia="IRNazanin" w:cs="IRNazanin"/>
          <w:lang w:bidi="fa-IR"/>
          <w:color w:val="111111"/>
          <w:sz w:val="28"/>
          <w:szCs w:val="28"/>
          <w:rtl/>
        </w:rPr>
        <w:t xml:space="preserve">فإنّ کلا من الوجوب و الحرمة قد حجب عن العباد علمه،و غیر ذلک من أدلّته، حتّی قوله علیه السّلام:«کلّ شیء مطلق حتّی یرد فیه نهی أو أمر»علی روایة الشیخ </w:t>
      </w:r>
      <w:r>
        <w:rPr>
          <w:rStyle w:val="FootnoteReference"/>
        </w:rPr>
        <w:footnoteReference w:id="583"/>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إذ الظاهر ورود أحدهما بحیث یعلم تفصیلا،فیصدق هنا أنّه لم یرد أمر و لا نهی.</w:t>
      </w:r>
    </w:p>
    <w:p>
      <w:pPr>
        <w:pStyle w:val="BookText"/>
      </w:pPr>
      <w:r>
        <w:rPr>
          <w:rFonts w:ascii="IRNazanin" w:hAnsi="IRNazanin" w:eastAsia="IRNazanin" w:cs="IRNazanin"/>
          <w:lang w:bidi="fa-IR"/>
          <w:color w:val="111111"/>
          <w:sz w:val="28"/>
          <w:szCs w:val="28"/>
          <w:rtl/>
        </w:rPr>
        <w:t xml:space="preserve">هذا کلّه،مضافا إلی حکم العقل بقبح المؤاخذة علی کلّ من الفعل و الترک؛فإنّ الجهل بأصل الوجوب علّة تامّة عقلا لقبح العقاب علی الترک من غیر مدخلیّة لانتفاء احتمال الحرمة فیه،و کذا الجهل بأصل</w:t>
      </w:r>
    </w:p>
    <w:p>
      <w:pPr>
        <w:pStyle w:val="BookText"/>
      </w:pPr>
      <w:r>
        <w:rPr>
          <w:rFonts w:ascii="IRNazanin" w:hAnsi="IRNazanin" w:eastAsia="IRNazanin" w:cs="IRNazanin"/>
          <w:lang w:bidi="fa-IR"/>
          <w:color w:val="111111"/>
          <w:sz w:val="28"/>
          <w:szCs w:val="28"/>
          <w:rtl/>
        </w:rPr>
        <w:t xml:space="preserve">[شماره صفحه واقعی : 179]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10" w:name="pg14411_142569"/>
    <w:bookmarkEnd w:id="110"/>
    <w:p>
      <w:pPr>
        <w:pStyle w:val="BookText"/>
      </w:pPr>
      <w:r>
        <w:rPr>
          <w:rFonts w:ascii="IRNazanin" w:hAnsi="IRNazanin" w:eastAsia="IRNazanin" w:cs="IRNazanin"/>
          <w:lang w:bidi="fa-IR"/>
          <w:color w:val="111111"/>
          <w:sz w:val="28"/>
          <w:szCs w:val="28"/>
          <w:rtl/>
        </w:rPr>
        <w:t xml:space="preserve">الحرمة.و لیس العلم بجنس التکلیف المردّد بین نوعی الوجوب و الحرمة کالعلم بنوع التکلیف المتعلّق بأمر مردّد،حتّی یقال:إنّ التکلیف فی المقام معلوم إجمالا.</w:t>
      </w:r>
    </w:p>
    <w:p>
      <w:pPr>
        <w:pStyle w:val="Heading6"/>
      </w:pPr>
      <w:bookmarkStart w:id="1184" w:name="_Toc219"/>
      <w:r>
        <w:t>[دعوی وجوب الالتزام بحکم اللّه تعالی و الجواب عنها]</w:t>
      </w:r>
      <w:bookmarkEnd w:id="1184"/>
    </w:p>
    <w:p>
      <w:pPr>
        <w:pStyle w:val="BookText"/>
      </w:pPr>
      <w:r>
        <w:rPr>
          <w:rFonts w:ascii="IRNazanin" w:hAnsi="IRNazanin" w:eastAsia="IRNazanin" w:cs="IRNazanin"/>
          <w:lang w:bidi="fa-IR"/>
          <w:color w:val="111111"/>
          <w:sz w:val="28"/>
          <w:szCs w:val="28"/>
          <w:rtl/>
        </w:rPr>
        <w:t xml:space="preserve">و أمّا دعوی وجوب الالتزام بحکم اللّه تعالی؛لعموم دلیل وجوب الانقیاد للشرع،ففیها:</w:t>
      </w:r>
    </w:p>
    <w:p>
      <w:pPr>
        <w:pStyle w:val="BookText"/>
      </w:pPr>
      <w:r>
        <w:rPr>
          <w:rFonts w:ascii="IRNazanin" w:hAnsi="IRNazanin" w:eastAsia="IRNazanin" w:cs="IRNazanin"/>
          <w:lang w:bidi="fa-IR"/>
          <w:color w:val="111111"/>
          <w:sz w:val="28"/>
          <w:szCs w:val="28"/>
          <w:rtl/>
        </w:rPr>
        <w:t xml:space="preserve">أنّ المراد بوجوب الالتزام:إن ارید وجوب موافقة حکم اللّه فهو حاصل فیما نحن فیه؛فإنّ فی الفعل موافقة للوجوب و فی الترک موافقة للحرمة؛إذ المفروض عدم توقّف الموافقة فی المقام علی قصد الامتثال.</w:t>
      </w:r>
    </w:p>
    <w:p>
      <w:pPr>
        <w:pStyle w:val="BookText"/>
      </w:pPr>
      <w:r>
        <w:rPr>
          <w:rFonts w:ascii="IRNazanin" w:hAnsi="IRNazanin" w:eastAsia="IRNazanin" w:cs="IRNazanin"/>
          <w:lang w:bidi="fa-IR"/>
          <w:color w:val="111111"/>
          <w:sz w:val="28"/>
          <w:szCs w:val="28"/>
          <w:rtl/>
        </w:rPr>
        <w:t xml:space="preserve">و إن ارید وجوب الانقیاد و التدیّن بحکم اللّه فهو تابع للعلم بالحکم،فإن علم تفصیلا وجب التدیّن به کذلک،و إن علم إجمالا وجب التدیّن بثبوته فی الواقع،و لا ینافی ذلک التدیّن حینئذ </w:t>
      </w:r>
      <w:r>
        <w:rPr>
          <w:rStyle w:val="FootnoteReference"/>
        </w:rPr>
        <w:footnoteReference w:id="584"/>
      </w:r>
      <w:r>
        <w:rPr>
          <w:rFonts w:ascii="IRNazanin" w:hAnsi="IRNazanin" w:eastAsia="IRNazanin" w:cs="IRNazanin"/>
          <w:lang w:bidi="fa-IR"/>
          <w:color w:val="111111"/>
          <w:sz w:val="28"/>
          <w:szCs w:val="28"/>
          <w:rtl/>
        </w:rPr>
        <w:t xml:space="preserve">بإباحته ظاهرا؛إذ الحکم الظاهریّ لا یجوز أن یکون معلوم المخالفة تفصیلا للحکم الواقعیّ من حیث العمل،لا من حیث التدیّن به </w:t>
      </w:r>
      <w:r>
        <w:rPr>
          <w:rStyle w:val="FootnoteReference"/>
        </w:rPr>
        <w:footnoteReference w:id="585"/>
      </w:r>
      <w:r>
        <w:rPr>
          <w:rFonts w:ascii="Times New Roman" w:hAnsi="Times New Roman" w:eastAsia="Times New Roman" w:cs="Times New Roman"/>
          <w:lang w:val="en-US" w:bidi="en-US"/>
          <w:color w:val="111111"/>
          <w:sz w:val="28"/>
          <w:szCs w:val="28"/>
          <w:rtl/>
        </w:rPr>
        <w:t xml:space="preserve">.</w:t>
      </w:r>
    </w:p>
    <w:p>
      <w:pPr>
        <w:pStyle w:val="Heading6"/>
      </w:pPr>
      <w:bookmarkStart w:id="1185" w:name="_Toc220"/>
      <w:r>
        <w:t>[دعوی أن الحکم بالإباحة طرح لحکم اللّه الواقعی و الجواب عنها]</w:t>
      </w:r>
      <w:bookmarkEnd w:id="1185"/>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 منه یظهر اندفاع ما یقال:من أنّ الالتزام و إن لم یکن واجبا بأحدهما،إلاّ أنّ طرحهما و الحکم بالإباحة طرح لحکم اللّه الواقعیّ، و هو محرّم.و علیه یبنی </w:t>
      </w:r>
      <w:r>
        <w:rPr>
          <w:rStyle w:val="FootnoteReference"/>
        </w:rPr>
        <w:footnoteReference w:id="586"/>
      </w:r>
      <w:r>
        <w:rPr>
          <w:rFonts w:ascii="IRNazanin" w:hAnsi="IRNazanin" w:eastAsia="IRNazanin" w:cs="IRNazanin"/>
          <w:lang w:bidi="fa-IR"/>
          <w:color w:val="111111"/>
          <w:sz w:val="28"/>
          <w:szCs w:val="28"/>
          <w:rtl/>
        </w:rPr>
        <w:t xml:space="preserve">عدم جواز إحداث القول الثالث إذا اختلفت الامّة علی قولین یعلم دخول الإمام علیه السّلام فی أحدهما.</w:t>
      </w:r>
    </w:p>
    <w:p>
      <w:pPr>
        <w:pStyle w:val="BookText"/>
      </w:pPr>
      <w:r>
        <w:rPr>
          <w:rFonts w:ascii="IRNazanin" w:hAnsi="IRNazanin" w:eastAsia="IRNazanin" w:cs="IRNazanin"/>
          <w:lang w:bidi="fa-IR"/>
          <w:color w:val="111111"/>
          <w:sz w:val="28"/>
          <w:szCs w:val="28"/>
          <w:rtl/>
        </w:rPr>
        <w:t xml:space="preserve">[شماره صفحه واقعی : 180]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11" w:name="pg14411_142570"/>
    <w:bookmarkEnd w:id="111"/>
    <w:p>
      <w:pPr>
        <w:pStyle w:val="BookText"/>
      </w:pPr>
      <w:r>
        <w:rPr>
          <w:rFonts w:ascii="IRNazanin" w:hAnsi="IRNazanin" w:eastAsia="IRNazanin" w:cs="IRNazanin"/>
          <w:lang w:bidi="fa-IR"/>
          <w:color w:val="111111"/>
          <w:sz w:val="28"/>
          <w:szCs w:val="28"/>
          <w:rtl/>
        </w:rPr>
        <w:t xml:space="preserve">توضیح الاندفاع:أنّ المحرّم و هو الطرح فی مقام العمل غیر متحقّق،و الواجب فی مقام التدیّن الالتزام بحکم اللّه علی ما هو علیه فی الواقع،و هو أیضا متحقّق فی الواقع </w:t>
      </w:r>
      <w:r>
        <w:rPr>
          <w:rStyle w:val="FootnoteReference"/>
        </w:rPr>
        <w:footnoteReference w:id="587"/>
      </w:r>
      <w:r>
        <w:rPr>
          <w:rFonts w:ascii="IRNazanin" w:hAnsi="IRNazanin" w:eastAsia="IRNazanin" w:cs="IRNazanin"/>
          <w:lang w:bidi="fa-IR"/>
          <w:color w:val="111111"/>
          <w:sz w:val="28"/>
          <w:szCs w:val="28"/>
          <w:rtl/>
        </w:rPr>
        <w:t xml:space="preserve">،فلم یبق إلاّ وجوب تعبّد المکلّف و تدیّنه و التزامه بما یحتمل الموافقة للحکم الواقعیّ،و هذا ممّا لا دلیل علی وجوبه أصلا.</w:t>
      </w:r>
    </w:p>
    <w:p>
      <w:pPr>
        <w:pStyle w:val="BookText"/>
      </w:pPr>
      <w:r>
        <w:rPr>
          <w:rFonts w:ascii="IRNazanin" w:hAnsi="IRNazanin" w:eastAsia="IRNazanin" w:cs="IRNazanin"/>
          <w:lang w:bidi="fa-IR"/>
          <w:color w:val="111111"/>
          <w:sz w:val="28"/>
          <w:szCs w:val="28"/>
          <w:rtl/>
        </w:rPr>
        <w:t xml:space="preserve">و الحاصل:أنّ الواجب شرعا هو الالتزام و التدیّن بما علم أنّه حکم اللّه الواقعیّ،و وجوب الالتزام بخصوص الوجوب بعینه أو الحرمة بعینها،من اللوازم العقلیّة للعلم </w:t>
      </w:r>
      <w:r>
        <w:rPr>
          <w:rStyle w:val="FootnoteReference"/>
        </w:rPr>
        <w:footnoteReference w:id="588"/>
      </w:r>
      <w:r>
        <w:rPr>
          <w:rFonts w:ascii="IRNazanin" w:hAnsi="IRNazanin" w:eastAsia="IRNazanin" w:cs="IRNazanin"/>
          <w:lang w:bidi="fa-IR"/>
          <w:color w:val="111111"/>
          <w:sz w:val="28"/>
          <w:szCs w:val="28"/>
          <w:rtl/>
        </w:rPr>
        <w:t xml:space="preserve">التفصیلیّ یحصل من ضمّ صغری معلومة تفصیلا إلی تلک الکبری،فلا یعقل وجوده مع انتفائه،و لیس حکما شرعیا ثابتا فی الواقع حتّی یجب مراعاته و لو مع الجهل التفصیلیّ.</w:t>
      </w:r>
    </w:p>
    <w:p>
      <w:pPr>
        <w:pStyle w:val="Heading6"/>
      </w:pPr>
      <w:bookmarkStart w:id="1186" w:name="_Toc221"/>
      <w:r>
        <w:t>[عدم صحّة قیاس ما نحن فیه بصورة تعارض الخبرین]</w:t>
      </w:r>
      <w:bookmarkEnd w:id="1186"/>
    </w:p>
    <w:p>
      <w:pPr>
        <w:pStyle w:val="BookText"/>
      </w:pPr>
      <w:r>
        <w:rPr>
          <w:rFonts w:ascii="IRNazanin" w:hAnsi="IRNazanin" w:eastAsia="IRNazanin" w:cs="IRNazanin"/>
          <w:lang w:bidi="fa-IR"/>
          <w:color w:val="111111"/>
          <w:sz w:val="28"/>
          <w:szCs w:val="28"/>
          <w:rtl/>
        </w:rPr>
        <w:t xml:space="preserve">و من هنا یبطل قیاس ما نحن فیه بصورة تعارض الخبرین الجامعین لشرائط الحجّیة الدالّة أحدهما علی الأمر و الآخر علی النهی، کما هو مورد بعض الأخبار الواردة فی تعارض الخبرین </w:t>
      </w:r>
      <w:r>
        <w:rPr>
          <w:rStyle w:val="FootnoteReference"/>
        </w:rPr>
        <w:footnoteReference w:id="5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 لا یمکن أن یقال:إنّ المستفاد منه-بتنقیح المناط-وجوب الأخذ بأحد الحکمین و إن لم یکن علی کلّ واحد منهما دلیل معتبر معارض بدلیل الآخر.</w:t>
      </w:r>
    </w:p>
    <w:p>
      <w:pPr>
        <w:pStyle w:val="BookText"/>
      </w:pPr>
      <w:r>
        <w:rPr>
          <w:rFonts w:ascii="IRNazanin" w:hAnsi="IRNazanin" w:eastAsia="IRNazanin" w:cs="IRNazanin"/>
          <w:lang w:bidi="fa-IR"/>
          <w:color w:val="111111"/>
          <w:sz w:val="28"/>
          <w:szCs w:val="28"/>
          <w:rtl/>
        </w:rPr>
        <w:t xml:space="preserve">فإنّه یمکن أن یقال:إنّ الوجه فی حکم الشارع هناک بالأخذ</w:t>
      </w:r>
    </w:p>
    <w:p>
      <w:pPr>
        <w:pStyle w:val="BookText"/>
      </w:pPr>
      <w:r>
        <w:rPr>
          <w:rFonts w:ascii="IRNazanin" w:hAnsi="IRNazanin" w:eastAsia="IRNazanin" w:cs="IRNazanin"/>
          <w:lang w:bidi="fa-IR"/>
          <w:color w:val="111111"/>
          <w:sz w:val="28"/>
          <w:szCs w:val="28"/>
          <w:rtl/>
        </w:rPr>
        <w:t xml:space="preserve">[شماره صفحه واقعی : 181]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بأحدهما،هو أنّ الشارع أوجب الأخذ بکلّ من الخبرین المفروض استجماعهما لشرائط الحجّیة،فإذا لم یمکن الأخذ بهما معا فلا بدّ من الأخذ بأحدهما،و هذا تکلیف شرعیّ فی المسألة الاصولیّة غیر التکلیف المعلوم تعلّقه إجمالا فی المسألة الفرعیّة بواحد من الفعل و الترک،بل و لو لا النصّ الحاکم هناک بالتخییر أمکن القول به من هذه الجهة، بخلاف ما نحن فیه؛إذ لا تکلیف إلاّ بالأخذ بما صدر واقعا فی هذه الواقعة،و الالتزام به حاصل من غیر حاجة إلی الأخذ بأحدهما بالخصوص.</w:t>
      </w:r>
    </w:p>
    <w:p>
      <w:pPr>
        <w:pStyle w:val="BookText"/>
      </w:pPr>
      <w:r>
        <w:rPr>
          <w:rFonts w:ascii="IRNazanin" w:hAnsi="IRNazanin" w:eastAsia="IRNazanin" w:cs="IRNazanin"/>
          <w:lang w:bidi="fa-IR"/>
          <w:color w:val="111111"/>
          <w:sz w:val="28"/>
          <w:szCs w:val="28"/>
          <w:rtl/>
        </w:rPr>
        <w:t xml:space="preserve">و یشیر إلی ما ذکرنا من الوجه:قوله علیه السّلام فی بعض تلک الأخبار:«بأیّهما أخذت من باب التسلیم وسعک» </w:t>
      </w:r>
      <w:r>
        <w:rPr>
          <w:rStyle w:val="FootnoteReference"/>
        </w:rPr>
        <w:footnoteReference w:id="590"/>
      </w:r>
      <w:r>
        <w:rPr>
          <w:rFonts w:ascii="IRNazanin" w:hAnsi="IRNazanin" w:eastAsia="IRNazanin" w:cs="IRNazanin"/>
          <w:lang w:bidi="fa-IR"/>
          <w:color w:val="111111"/>
          <w:sz w:val="28"/>
          <w:szCs w:val="28"/>
          <w:rtl/>
        </w:rPr>
        <w:t xml:space="preserve">.و قوله علیه السّلام:«من باب التسلیم»إشارة إلی أنّه لمّا وجب علی المکلّف التسلیم لجمیع ما یرد علیه بالطرق المعتبرة من أخبار الأئمّة علیهم السّلام-کما یظهر ذلک من الأخبار الواردة فی باب التسلیم لما یرد من الأئمّة علیهم السّلام،منها قوله:</w:t>
      </w:r>
    </w:p>
    <w:p>
      <w:pPr>
        <w:pStyle w:val="BookText"/>
      </w:pPr>
      <w:r>
        <w:rPr>
          <w:rFonts w:ascii="IRNazanin" w:hAnsi="IRNazanin" w:eastAsia="IRNazanin" w:cs="IRNazanin"/>
          <w:lang w:bidi="fa-IR"/>
          <w:color w:val="111111"/>
          <w:sz w:val="28"/>
          <w:szCs w:val="28"/>
          <w:rtl/>
        </w:rPr>
        <w:t xml:space="preserve">«لا عذر لأحد من موالینا فی التشکیک فی ما یرویه عنّا ثقاتنا» </w:t>
      </w:r>
      <w:r>
        <w:rPr>
          <w:rStyle w:val="FootnoteReference"/>
        </w:rPr>
        <w:footnoteReference w:id="591"/>
      </w:r>
      <w:r>
        <w:rPr>
          <w:rFonts w:ascii="IRNazanin" w:hAnsi="IRNazanin" w:eastAsia="IRNazanin" w:cs="IRNazanin"/>
          <w:lang w:bidi="fa-IR"/>
          <w:color w:val="111111"/>
          <w:sz w:val="28"/>
          <w:szCs w:val="28"/>
          <w:rtl/>
        </w:rPr>
        <w:t xml:space="preserve">-، و کان التسلیم لکلا الخبرین الواردین بالطرق المعتبرة المتعارضین ممتنعا، وجب التسلیم لأحدهما مخیّرا فی تعیینه </w:t>
      </w:r>
      <w:r>
        <w:rPr>
          <w:rStyle w:val="FootnoteReference"/>
        </w:rPr>
        <w:footnoteReference w:id="5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 هذا الوجه و إن لم یخل عن مناقشة أو منع،إلاّ أنّ مجرّد احتماله یصلح فارقا بین المقامین مانعا عن استفادة حکم ما نحن فیه</w:t>
      </w:r>
    </w:p>
    <w:p>
      <w:pPr>
        <w:pStyle w:val="BookText"/>
      </w:pPr>
      <w:r>
        <w:rPr>
          <w:rFonts w:ascii="IRNazanin" w:hAnsi="IRNazanin" w:eastAsia="IRNazanin" w:cs="IRNazanin"/>
          <w:lang w:bidi="fa-IR"/>
          <w:color w:val="111111"/>
          <w:sz w:val="28"/>
          <w:szCs w:val="28"/>
          <w:rtl/>
        </w:rPr>
        <w:t xml:space="preserve">[شماره صفحه واقعی : 182]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12" w:name="pg14411_142572"/>
    <w:bookmarkEnd w:id="112"/>
    <w:p>
      <w:pPr>
        <w:pStyle w:val="BookText"/>
      </w:pPr>
      <w:r>
        <w:rPr>
          <w:rFonts w:ascii="IRNazanin" w:hAnsi="IRNazanin" w:eastAsia="IRNazanin" w:cs="IRNazanin"/>
          <w:lang w:bidi="fa-IR"/>
          <w:color w:val="111111"/>
          <w:sz w:val="28"/>
          <w:szCs w:val="28"/>
          <w:rtl/>
        </w:rPr>
        <w:t xml:space="preserve">من حکم الشارع بالتخییر فی مقام التعارض،فافهم </w:t>
      </w:r>
      <w:r>
        <w:rPr>
          <w:rStyle w:val="FootnoteReference"/>
        </w:rPr>
        <w:footnoteReference w:id="5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بما ذکرنا،یظهر حال قیاس ما نحن فیه علی حکم المقلّد عند اختلاف المجتهدین فی الوجوب و الحرمة.</w:t>
      </w:r>
    </w:p>
    <w:p>
      <w:pPr>
        <w:pStyle w:val="Heading6"/>
      </w:pPr>
      <w:bookmarkStart w:id="1187" w:name="_Toc222"/>
      <w:r>
        <w:t>[عدم شمول ما ذکروه فی مسألة اختلاف الامّة لما نحن فیه]</w:t>
      </w:r>
      <w:bookmarkEnd w:id="1187"/>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 ما ذکروه فی مسألة اختلاف الامّة لا یعلم شموله لما نحن فیه ممّا کان الرجوع إلی الثالث غیر مخالف من حیث العمل لقول الإمام علیه السّلام،مع أنّ عدم جواز الرجوع إلی الثالث المطابق للأصل لیس اتّفاقیّا.</w:t>
      </w:r>
    </w:p>
    <w:p>
      <w:pPr>
        <w:pStyle w:val="BookText"/>
      </w:pPr>
      <w:r>
        <w:rPr>
          <w:rFonts w:ascii="IRNazanin" w:hAnsi="IRNazanin" w:eastAsia="IRNazanin" w:cs="IRNazanin"/>
          <w:lang w:bidi="fa-IR"/>
          <w:color w:val="111111"/>
          <w:sz w:val="28"/>
          <w:szCs w:val="28"/>
          <w:rtl/>
        </w:rPr>
        <w:t xml:space="preserve">علی:أنّ ظاهر کلام الشیخ القائل بالتخییر-کما سیجیء </w:t>
      </w:r>
      <w:r>
        <w:rPr>
          <w:rStyle w:val="FootnoteReference"/>
        </w:rPr>
        <w:footnoteReference w:id="594"/>
      </w:r>
      <w:r>
        <w:rPr>
          <w:rFonts w:ascii="IRNazanin" w:hAnsi="IRNazanin" w:eastAsia="IRNazanin" w:cs="IRNazanin"/>
          <w:lang w:bidi="fa-IR"/>
          <w:color w:val="111111"/>
          <w:sz w:val="28"/>
          <w:szCs w:val="28"/>
          <w:rtl/>
        </w:rPr>
        <w:t xml:space="preserve">-هو إرادة التخییر الواقعیّ المخالف لقول الإمام علیه السّلام فی المسألة؛و لذا اعترض علیه المحقّق </w:t>
      </w:r>
      <w:r>
        <w:rPr>
          <w:rStyle w:val="FootnoteReference"/>
        </w:rPr>
        <w:footnoteReference w:id="595"/>
      </w:r>
      <w:r>
        <w:rPr>
          <w:rFonts w:ascii="IRNazanin" w:hAnsi="IRNazanin" w:eastAsia="IRNazanin" w:cs="IRNazanin"/>
          <w:lang w:bidi="fa-IR"/>
          <w:color w:val="111111"/>
          <w:sz w:val="28"/>
          <w:szCs w:val="28"/>
          <w:rtl/>
        </w:rPr>
        <w:t xml:space="preserve">:بأنّه لا ینفع التخییر فرارا عن الرجوع إلی الثالث المطابق للأصل؛لأنّ التخییر أیضا طرح لقول الإمام علیه السّلام.</w:t>
      </w:r>
    </w:p>
    <w:p>
      <w:pPr>
        <w:pStyle w:val="BookText"/>
      </w:pPr>
      <w:r>
        <w:rPr>
          <w:rFonts w:ascii="IRNazanin" w:hAnsi="IRNazanin" w:eastAsia="IRNazanin" w:cs="IRNazanin"/>
          <w:lang w:bidi="fa-IR"/>
          <w:color w:val="111111"/>
          <w:sz w:val="28"/>
          <w:szCs w:val="28"/>
          <w:rtl/>
        </w:rPr>
        <w:t xml:space="preserve">و إن انتصر للشیخ بعض </w:t>
      </w:r>
      <w:r>
        <w:rPr>
          <w:rStyle w:val="FootnoteReference"/>
        </w:rPr>
        <w:footnoteReference w:id="596"/>
      </w:r>
      <w:r>
        <w:rPr>
          <w:rFonts w:ascii="IRNazanin" w:hAnsi="IRNazanin" w:eastAsia="IRNazanin" w:cs="IRNazanin"/>
          <w:lang w:bidi="fa-IR"/>
          <w:color w:val="111111"/>
          <w:sz w:val="28"/>
          <w:szCs w:val="28"/>
          <w:rtl/>
        </w:rPr>
        <w:t xml:space="preserve">:بأنّ التخییر بین الحکمین ظاهرا و أخذ أحدهما،هو المقدار الممکن من الأخذ بقول الشارع فی المقام.</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لکنّ ظاهر کلام الشیخ قدّس سرّه یأبی عن ذلک،قال فی العدّة:</w:t>
      </w:r>
    </w:p>
    <w:p>
      <w:pPr>
        <w:pStyle w:val="BookText"/>
      </w:pPr>
      <w:r>
        <w:rPr>
          <w:rFonts w:ascii="IRNazanin" w:hAnsi="IRNazanin" w:eastAsia="IRNazanin" w:cs="IRNazanin"/>
          <w:lang w:bidi="fa-IR"/>
          <w:color w:val="111111"/>
          <w:sz w:val="28"/>
          <w:szCs w:val="28"/>
          <w:rtl/>
        </w:rPr>
        <w:t xml:space="preserve">[شماره صفحه واقعی : 183]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إذا اختلفت الامّة علی قولین فلا یکون إجماعا،و لأصحابنا فی ذلک مذهبان:منهم من یقول:إذا تکافأ الفریقان و لم یکن مع أحدهما دلیل یوجب العلم أو یدلّ علی أنّ المعصوم علیه السّلام داخل فیه،سقطا و وجب التمسّک بمقتضی العقل من حظر أو إباحة علی اختلاف مذاهبهم.</w:t>
      </w:r>
    </w:p>
    <w:p>
      <w:pPr>
        <w:pStyle w:val="BookText"/>
      </w:pPr>
      <w:r>
        <w:rPr>
          <w:rFonts w:ascii="IRNazanin" w:hAnsi="IRNazanin" w:eastAsia="IRNazanin" w:cs="IRNazanin"/>
          <w:lang w:bidi="fa-IR"/>
          <w:color w:val="111111"/>
          <w:sz w:val="28"/>
          <w:szCs w:val="28"/>
          <w:rtl/>
        </w:rPr>
        <w:t xml:space="preserve">و هذا القول لیس بقویّ.</w:t>
      </w:r>
    </w:p>
    <w:p>
      <w:pPr>
        <w:pStyle w:val="BookText"/>
      </w:pPr>
      <w:r>
        <w:rPr>
          <w:rFonts w:ascii="Amiri" w:hAnsi="Amiri" w:eastAsia="Amiri" w:cs="Amiri"/>
          <w:lang w:bidi="ar-SA"/>
          <w:color w:val="111111"/>
          <w:sz w:val="28"/>
          <w:szCs w:val="28"/>
          <w:rtl/>
        </w:rPr>
        <w:t xml:space="preserve">ثمّ علّله باطّراح قول الإمام علیه السّلام،قال </w:t>
      </w:r>
      <w:r>
        <w:rPr>
          <w:rStyle w:val="FootnoteReference"/>
        </w:rPr>
        <w:footnoteReference w:id="597"/>
      </w:r>
      <w:r>
        <w:rPr>
          <w:rFonts w:ascii="IRNazanin" w:hAnsi="IRNazanin" w:eastAsia="IRNazanin" w:cs="IRNazanin"/>
          <w:lang w:bidi="fa-IR"/>
          <w:color w:val="111111"/>
          <w:sz w:val="28"/>
          <w:szCs w:val="28"/>
          <w:rtl/>
        </w:rPr>
        <w:t xml:space="preserve">:و لو جاز ذلک لجاز مع تعیین قول الإمام علیه السّلام ترکه و العمل بما فی العقل.</w:t>
      </w:r>
    </w:p>
    <w:p>
      <w:pPr>
        <w:pStyle w:val="BookText"/>
      </w:pPr>
      <w:r>
        <w:rPr>
          <w:rFonts w:ascii="IRNazanin" w:hAnsi="IRNazanin" w:eastAsia="IRNazanin" w:cs="IRNazanin"/>
          <w:lang w:bidi="fa-IR"/>
          <w:color w:val="111111"/>
          <w:sz w:val="28"/>
          <w:szCs w:val="28"/>
          <w:rtl/>
        </w:rPr>
        <w:t xml:space="preserve">و منهم من یقول:نحن مخیّرون فی العمل بأیّ القولین،و ذلک یجری مجری خبرین إذا تعارضا،انتهی.</w:t>
      </w:r>
    </w:p>
    <w:p>
      <w:pPr>
        <w:pStyle w:val="BookText"/>
      </w:pPr>
      <w:r>
        <w:rPr>
          <w:rFonts w:ascii="IRNazanin" w:hAnsi="IRNazanin" w:eastAsia="IRNazanin" w:cs="IRNazanin"/>
          <w:lang w:bidi="fa-IR"/>
          <w:color w:val="111111"/>
          <w:sz w:val="28"/>
          <w:szCs w:val="28"/>
          <w:rtl/>
        </w:rPr>
        <w:t xml:space="preserve">ثمّ فرّع علی القول الأوّل جواز اتّفاقهم بعد الاختلاف علی قول واحد،و علی القول الثانی عدم جواز ذلک؛معلّلا بأنّه یلزم من ذلک بطلان القول الآخر،و قد قلنا:إنّهم مخیّرون فی العمل،و لو کان إجماعهم علی أحدهما انتقض ذلک،انتهی.</w:t>
      </w:r>
    </w:p>
    <w:p>
      <w:pPr>
        <w:pStyle w:val="BookText"/>
      </w:pPr>
      <w:r>
        <w:rPr>
          <w:rFonts w:ascii="IRNazanin" w:hAnsi="IRNazanin" w:eastAsia="IRNazanin" w:cs="IRNazanin"/>
          <w:lang w:bidi="fa-IR"/>
          <w:color w:val="111111"/>
          <w:sz w:val="28"/>
          <w:szCs w:val="28"/>
          <w:rtl/>
        </w:rPr>
        <w:t xml:space="preserve">و ما ذکره من التفریع أقوی شاهد علی إرادة التخییر الواقعیّ، و إن کان القول به لا یخلو عن الإشکال.</w:t>
      </w:r>
    </w:p>
    <w:p>
      <w:pPr>
        <w:pStyle w:val="BookText"/>
      </w:pPr>
      <w:r>
        <w:rPr>
          <w:rFonts w:ascii="IRNazanin" w:hAnsi="IRNazanin" w:eastAsia="IRNazanin" w:cs="IRNazanin"/>
          <w:lang w:bidi="fa-IR"/>
          <w:color w:val="111111"/>
          <w:sz w:val="28"/>
          <w:szCs w:val="28"/>
          <w:rtl/>
        </w:rPr>
        <w:t xml:space="preserve">هذا،و قد مضی شطر من الکلام فی ذلک فی المقصد الأوّل من الکتاب،عند التکلّم فی فروع اعتبار القطع </w:t>
      </w:r>
      <w:r>
        <w:rPr>
          <w:rStyle w:val="FootnoteReference"/>
        </w:rPr>
        <w:footnoteReference w:id="598"/>
      </w:r>
      <w:r>
        <w:rPr>
          <w:rFonts w:ascii="IRNazanin" w:hAnsi="IRNazanin" w:eastAsia="IRNazanin" w:cs="IRNazanin"/>
          <w:lang w:bidi="fa-IR"/>
          <w:color w:val="111111"/>
          <w:sz w:val="28"/>
          <w:szCs w:val="28"/>
          <w:rtl/>
        </w:rPr>
        <w:t xml:space="preserve">،فراجع </w:t>
      </w:r>
      <w:r>
        <w:rPr>
          <w:rStyle w:val="FootnoteReference"/>
        </w:rPr>
        <w:footnoteReference w:id="5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184]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13" w:name="pg14411_142574"/>
    <w:bookmarkEnd w:id="113"/>
    <w:p>
      <w:pPr>
        <w:pStyle w:val="BookText"/>
      </w:pPr>
      <w:r>
        <w:rPr>
          <w:rFonts w:ascii="IRNazanin" w:hAnsi="IRNazanin" w:eastAsia="IRNazanin" w:cs="IRNazanin"/>
          <w:lang w:bidi="fa-IR"/>
          <w:color w:val="111111"/>
          <w:sz w:val="28"/>
          <w:szCs w:val="28"/>
          <w:rtl/>
        </w:rPr>
        <w:t xml:space="preserve">و کیف کان:فالظاهر بعد التأمّل فی کلماتهم فی باب الإجماع إرادتهم ب«طرح قول الإمام علیه السّلام»الطرح </w:t>
      </w:r>
      <w:r>
        <w:rPr>
          <w:rStyle w:val="FootnoteReference"/>
        </w:rPr>
        <w:footnoteReference w:id="600"/>
      </w:r>
      <w:r>
        <w:rPr>
          <w:rFonts w:ascii="IRNazanin" w:hAnsi="IRNazanin" w:eastAsia="IRNazanin" w:cs="IRNazanin"/>
          <w:lang w:bidi="fa-IR"/>
          <w:color w:val="111111"/>
          <w:sz w:val="28"/>
          <w:szCs w:val="28"/>
          <w:rtl/>
        </w:rPr>
        <w:t xml:space="preserve">من حیث العمل،فتأمّل.</w:t>
      </w:r>
    </w:p>
    <w:p>
      <w:pPr>
        <w:pStyle w:val="Heading6"/>
      </w:pPr>
      <w:bookmarkStart w:id="1188" w:name="_Toc223"/>
      <w:r>
        <w:t>[شمول أدلّة الإباحة لما نحن فیه]</w:t>
      </w:r>
      <w:bookmarkEnd w:id="1188"/>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 لکنّ الإنصاف:أنّ أدلّة الإباحة فی محتمل الحرمة تنصرف إلی محتمل الحرمة و غیر الوجوب،و أدلّة نفی التکلیف عمّا لم یعلم نوع التکلیف لا تفید إلاّ عدم المؤاخذة علی الترک و الفعل،و عدم تعیین الحرمة أو الوجوب،و هذا المقدار لا ینافی وجوب الأخذ بأحدهما مخیّرا فیه </w:t>
      </w:r>
      <w:r>
        <w:rPr>
          <w:rStyle w:val="FootnoteReference"/>
        </w:rPr>
        <w:footnoteReference w:id="601"/>
      </w:r>
      <w:r>
        <w:rPr>
          <w:rFonts w:ascii="Times New Roman" w:hAnsi="Times New Roman" w:eastAsia="Times New Roman" w:cs="Times New Roman"/>
          <w:lang w:val="en-US" w:bidi="en-US"/>
          <w:color w:val="111111"/>
          <w:sz w:val="28"/>
          <w:szCs w:val="28"/>
          <w:rtl/>
        </w:rPr>
        <w:t xml:space="preserve">.</w:t>
      </w:r>
    </w:p>
    <w:p>
      <w:pPr>
        <w:pStyle w:val="Heading6"/>
      </w:pPr>
      <w:bookmarkStart w:id="1189" w:name="_Toc224"/>
      <w:r>
        <w:t>[اللازم فی المسألة هو التوقّف]</w:t>
      </w:r>
      <w:bookmarkEnd w:id="1189"/>
    </w:p>
    <w:p>
      <w:pPr>
        <w:pStyle w:val="BookText"/>
      </w:pPr>
      <w:r>
        <w:rPr>
          <w:rFonts w:ascii="IRNazanin" w:hAnsi="IRNazanin" w:eastAsia="IRNazanin" w:cs="IRNazanin"/>
          <w:lang w:bidi="fa-IR"/>
          <w:color w:val="111111"/>
          <w:sz w:val="28"/>
          <w:szCs w:val="28"/>
          <w:rtl/>
        </w:rPr>
        <w:t xml:space="preserve">نعم،هذا الوجوب یحتاج إلی دلیل و هو مفقود؛فاللازم هو التوقّف،و عدم الالتزام إلاّ بالحکم الواقعیّ علی ما هو علیه فی الواقع، و لا دلیل علی عدم جواز خلوّ الواقعة عن حکم ظاهریّ إذا لم یحتج إلیه فی العمل،نظیر ما لو دار الأمر بین الوجوب و الاستحباب.</w:t>
      </w:r>
    </w:p>
    <w:p>
      <w:pPr>
        <w:pStyle w:val="Heading6"/>
      </w:pPr>
      <w:bookmarkStart w:id="1190" w:name="_Toc225"/>
      <w:r>
        <w:t>[بناء علی وجوب الأخذ،هل یتعیّن الأخذ بالحرمة أو یتخیّر؟]</w:t>
      </w:r>
      <w:bookmarkEnd w:id="1190"/>
    </w:p>
    <w:p>
      <w:pPr>
        <w:pStyle w:val="BookText"/>
      </w:pPr>
      <w:r>
        <w:rPr>
          <w:rFonts w:ascii="IRNazanin" w:hAnsi="IRNazanin" w:eastAsia="IRNazanin" w:cs="IRNazanin"/>
          <w:lang w:bidi="fa-IR"/>
          <w:color w:val="111111"/>
          <w:sz w:val="28"/>
          <w:szCs w:val="28"/>
          <w:rtl/>
        </w:rPr>
        <w:t xml:space="preserve">ثمّ علی تقدیر وجوب الأخذ،هل یتعیّن الأخذ بالحرمة،أو یتخیّر بینه و بین الأخذ بالوجوب؟ وجهان،بل قولان:</w:t>
      </w:r>
    </w:p>
    <w:p>
      <w:pPr>
        <w:pStyle w:val="Heading6"/>
      </w:pPr>
      <w:bookmarkStart w:id="1191" w:name="_Toc226"/>
      <w:r>
        <w:t>[أدلّة تعیّن الأخذ بالحرمة]</w:t>
      </w:r>
      <w:bookmarkEnd w:id="1191"/>
    </w:p>
    <w:p>
      <w:pPr>
        <w:pStyle w:val="BookText"/>
      </w:pPr>
      <w:r>
        <w:rPr>
          <w:rFonts w:ascii="IRNazanin" w:hAnsi="IRNazanin" w:eastAsia="IRNazanin" w:cs="IRNazanin"/>
          <w:lang w:bidi="fa-IR"/>
          <w:color w:val="111111"/>
          <w:sz w:val="28"/>
          <w:szCs w:val="28"/>
          <w:rtl/>
        </w:rPr>
        <w:t xml:space="preserve">یستدلّ علی الأوّل-بعد قاعدة الاحتیاط؛حیث یدور الأمر بین التخییر و التعیین-:</w:t>
      </w:r>
    </w:p>
    <w:p>
      <w:pPr>
        <w:pStyle w:val="BookText"/>
      </w:pPr>
      <w:r>
        <w:rPr>
          <w:rFonts w:ascii="IRNazanin" w:hAnsi="IRNazanin" w:eastAsia="IRNazanin" w:cs="IRNazanin"/>
          <w:lang w:bidi="fa-IR"/>
          <w:color w:val="111111"/>
          <w:sz w:val="28"/>
          <w:szCs w:val="28"/>
          <w:rtl/>
        </w:rPr>
        <w:t xml:space="preserve">بظاهر ما دلّ علی وجوب التوقّف عند الشبهة </w:t>
      </w:r>
      <w:r>
        <w:rPr>
          <w:rStyle w:val="FootnoteReference"/>
        </w:rPr>
        <w:footnoteReference w:id="602"/>
      </w:r>
      <w:r>
        <w:rPr>
          <w:rFonts w:ascii="IRNazanin" w:hAnsi="IRNazanin" w:eastAsia="IRNazanin" w:cs="IRNazanin"/>
          <w:lang w:bidi="fa-IR"/>
          <w:color w:val="111111"/>
          <w:sz w:val="28"/>
          <w:szCs w:val="28"/>
          <w:rtl/>
        </w:rPr>
        <w:t xml:space="preserve">فإنّ الظاهر من التوقّف ترک الدخول فی الشبهة.</w:t>
      </w:r>
    </w:p>
    <w:p>
      <w:pPr>
        <w:pStyle w:val="BookText"/>
      </w:pPr>
      <w:r>
        <w:rPr>
          <w:rFonts w:ascii="IRNazanin" w:hAnsi="IRNazanin" w:eastAsia="IRNazanin" w:cs="IRNazanin"/>
          <w:lang w:bidi="fa-IR"/>
          <w:color w:val="111111"/>
          <w:sz w:val="28"/>
          <w:szCs w:val="28"/>
          <w:rtl/>
        </w:rPr>
        <w:t xml:space="preserve">و بأنّ دفع المفسدة أولی من جلب المنفعة؛لما عن النهایة:من أنّ الغالب فی الحرمة دفع مفسدة ملازمة للفعل،و فی الوجوب تحصیل مصلحة لازمة للفعل،و اهتمام الشارع و العقلاء بدفع المفسدة أتمّ.</w:t>
      </w:r>
    </w:p>
    <w:p>
      <w:pPr>
        <w:pStyle w:val="BookText"/>
      </w:pPr>
      <w:r>
        <w:rPr>
          <w:rFonts w:ascii="IRNazanin" w:hAnsi="IRNazanin" w:eastAsia="IRNazanin" w:cs="IRNazanin"/>
          <w:lang w:bidi="fa-IR"/>
          <w:color w:val="111111"/>
          <w:sz w:val="28"/>
          <w:szCs w:val="28"/>
          <w:rtl/>
        </w:rPr>
        <w:t xml:space="preserve">[شماره صفحه واقعی : 185]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14" w:name="pg14411_142575"/>
    <w:bookmarkEnd w:id="114"/>
    <w:p>
      <w:pPr>
        <w:pStyle w:val="BookText"/>
      </w:pPr>
      <w:r>
        <w:rPr>
          <w:rFonts w:ascii="IRNazanin" w:hAnsi="IRNazanin" w:eastAsia="IRNazanin" w:cs="IRNazanin"/>
          <w:lang w:bidi="fa-IR"/>
          <w:color w:val="111111"/>
          <w:sz w:val="28"/>
          <w:szCs w:val="28"/>
          <w:rtl/>
        </w:rPr>
        <w:t xml:space="preserve">و یشهد له </w:t>
      </w:r>
      <w:r>
        <w:rPr>
          <w:rStyle w:val="FootnoteReference"/>
        </w:rPr>
        <w:footnoteReference w:id="603"/>
      </w:r>
      <w:r>
        <w:rPr>
          <w:rFonts w:ascii="IRNazanin" w:hAnsi="IRNazanin" w:eastAsia="IRNazanin" w:cs="IRNazanin"/>
          <w:lang w:bidi="fa-IR"/>
          <w:color w:val="111111"/>
          <w:sz w:val="28"/>
          <w:szCs w:val="28"/>
          <w:rtl/>
        </w:rPr>
        <w:t xml:space="preserve">:ما ارسل عن أمیر المؤمنین علیه السّلام:من أنّ«اجتناب السیّئات أولی من اکتساب الحسنات </w:t>
      </w:r>
      <w:r>
        <w:rPr>
          <w:rStyle w:val="FootnoteReference"/>
        </w:rPr>
        <w:footnoteReference w:id="604"/>
      </w:r>
      <w:r>
        <w:rPr>
          <w:rFonts w:ascii="Times New Roman" w:hAnsi="Times New Roman" w:eastAsia="Times New Roman" w:cs="Times New Roman"/>
          <w:lang w:val="en-US" w:bidi="en-US"/>
          <w:color w:val="111111"/>
          <w:sz w:val="28"/>
          <w:szCs w:val="28"/>
          <w:rtl/>
        </w:rPr>
        <w:t xml:space="preserve">» </w:t>
      </w:r>
      <w:r>
        <w:rPr>
          <w:rStyle w:val="FootnoteReference"/>
        </w:rPr>
        <w:footnoteReference w:id="605"/>
      </w:r>
      <w:r>
        <w:rPr>
          <w:rFonts w:ascii="IRNazanin" w:hAnsi="IRNazanin" w:eastAsia="IRNazanin" w:cs="IRNazanin"/>
          <w:lang w:bidi="fa-IR"/>
          <w:color w:val="111111"/>
          <w:sz w:val="28"/>
          <w:szCs w:val="28"/>
          <w:rtl/>
        </w:rPr>
        <w:t xml:space="preserve">،و قوله علیه السّلام:«أفضل من اکتساب الحسنات اجتناب السیّئات» </w:t>
      </w:r>
      <w:r>
        <w:rPr>
          <w:rStyle w:val="FootnoteReference"/>
        </w:rPr>
        <w:footnoteReference w:id="6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 لأنّ إفضاء الحرمة إلی مقصودها أتمّ من إفضاء الوجوب إلی مقصوده؛لأنّ مقصود الحرمة یتأتّی بالترک سواء کان مع قصد أم غفلة، بخلاف فعل الواجب </w:t>
      </w:r>
      <w:r>
        <w:rPr>
          <w:rStyle w:val="FootnoteReference"/>
        </w:rPr>
        <w:footnoteReference w:id="607"/>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بالاستقراء؛بناء علی أنّ الغالب فی موارد اشتباه مصادیق الواجب و الحرام تغلیب الشارع لجانب الحرمة،و مثّل له بأیّام الاستظهار، و تحریم استعمال الماء المشتبه بالنجس.</w:t>
      </w:r>
    </w:p>
    <w:p>
      <w:pPr>
        <w:pStyle w:val="Heading6"/>
      </w:pPr>
      <w:bookmarkStart w:id="1192" w:name="_Toc227"/>
      <w:r>
        <w:t>[المناقشة فی الأدلّة]</w:t>
      </w:r>
      <w:bookmarkEnd w:id="1192"/>
    </w:p>
    <w:p>
      <w:pPr>
        <w:pStyle w:val="BookText"/>
      </w:pPr>
      <w:r>
        <w:rPr>
          <w:rFonts w:ascii="IRNazanin" w:hAnsi="IRNazanin" w:eastAsia="IRNazanin" w:cs="IRNazanin"/>
          <w:lang w:bidi="fa-IR"/>
          <w:color w:val="111111"/>
          <w:sz w:val="28"/>
          <w:szCs w:val="28"/>
          <w:rtl/>
        </w:rPr>
        <w:t xml:space="preserve">و یضعّف الأخیر:بمنع الغلبة.و ما ذکر من الأمثلة-مع عدم ثبوت الغلبة بها-خارج عن محلّ الکلام؛فإنّ ترک العبادة فی أیام الاستظهار لیس علی سبیل الوجوب عند المشهور </w:t>
      </w:r>
      <w:r>
        <w:rPr>
          <w:rStyle w:val="FootnoteReference"/>
        </w:rPr>
        <w:footnoteReference w:id="608"/>
      </w:r>
      <w:r>
        <w:rPr>
          <w:rFonts w:ascii="IRNazanin" w:hAnsi="IRNazanin" w:eastAsia="IRNazanin" w:cs="IRNazanin"/>
          <w:lang w:bidi="fa-IR"/>
          <w:color w:val="111111"/>
          <w:sz w:val="28"/>
          <w:szCs w:val="28"/>
          <w:rtl/>
        </w:rPr>
        <w:t xml:space="preserve">.و لو قیل بالوجوب فلعلّه لمراعاة أصالة بقاء الحیض و حرمة العبادة.و أمّا ترک غیر ذات الوقت العبادة بمجرّد </w:t>
      </w:r>
      <w:r>
        <w:rPr>
          <w:rStyle w:val="FootnoteReference"/>
        </w:rPr>
        <w:footnoteReference w:id="609"/>
      </w:r>
      <w:r>
        <w:rPr>
          <w:rFonts w:ascii="IRNazanin" w:hAnsi="IRNazanin" w:eastAsia="IRNazanin" w:cs="IRNazanin"/>
          <w:lang w:bidi="fa-IR"/>
          <w:color w:val="111111"/>
          <w:sz w:val="28"/>
          <w:szCs w:val="28"/>
          <w:rtl/>
        </w:rPr>
        <w:t xml:space="preserve">الرؤیة،فهو للإطلاقات </w:t>
      </w:r>
      <w:r>
        <w:rPr>
          <w:rStyle w:val="FootnoteReference"/>
        </w:rPr>
        <w:footnoteReference w:id="610"/>
      </w:r>
      <w:r>
        <w:rPr>
          <w:rFonts w:ascii="IRNazanin" w:hAnsi="IRNazanin" w:eastAsia="IRNazanin" w:cs="IRNazanin"/>
          <w:lang w:bidi="fa-IR"/>
          <w:color w:val="111111"/>
          <w:sz w:val="28"/>
          <w:szCs w:val="28"/>
          <w:rtl/>
        </w:rPr>
        <w:t xml:space="preserve">و قاعدة«کلّ ما أمکن»؛</w:t>
      </w:r>
    </w:p>
    <w:p>
      <w:pPr>
        <w:pStyle w:val="BookText"/>
      </w:pPr>
      <w:r>
        <w:rPr>
          <w:rFonts w:ascii="IRNazanin" w:hAnsi="IRNazanin" w:eastAsia="IRNazanin" w:cs="IRNazanin"/>
          <w:lang w:bidi="fa-IR"/>
          <w:color w:val="111111"/>
          <w:sz w:val="28"/>
          <w:szCs w:val="28"/>
          <w:rtl/>
        </w:rPr>
        <w:t xml:space="preserve">[شماره صفحه واقعی : 186]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إلاّ فأصالة الطهارة و عدم الحیض هی المرجع.</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 أمّا ترک الإناءین المشتبهین فی الطهارة،فلیس من دوران الأمر بین الواجب و الحرام؛لأنّ الظاهر-کما ثبت فی محلّه </w:t>
      </w:r>
      <w:r>
        <w:rPr>
          <w:rStyle w:val="FootnoteReference"/>
        </w:rPr>
        <w:footnoteReference w:id="611"/>
      </w:r>
      <w:r>
        <w:rPr>
          <w:rFonts w:ascii="IRNazanin" w:hAnsi="IRNazanin" w:eastAsia="IRNazanin" w:cs="IRNazanin"/>
          <w:lang w:bidi="fa-IR"/>
          <w:color w:val="111111"/>
          <w:sz w:val="28"/>
          <w:szCs w:val="28"/>
          <w:rtl/>
        </w:rPr>
        <w:t xml:space="preserve">-أنّ حرمة الطهارة بالماء النجس تشریعیّة لا ذاتیّة </w:t>
      </w:r>
      <w:r>
        <w:rPr>
          <w:rStyle w:val="FootnoteReference"/>
        </w:rPr>
        <w:footnoteReference w:id="612"/>
      </w:r>
      <w:r>
        <w:rPr>
          <w:rFonts w:ascii="Amiri" w:hAnsi="Amiri" w:eastAsia="Amiri" w:cs="Amiri"/>
          <w:lang w:bidi="ar-SA"/>
          <w:color w:val="111111"/>
          <w:sz w:val="28"/>
          <w:szCs w:val="28"/>
          <w:rtl/>
        </w:rPr>
        <w:t xml:space="preserve">،و إنّما منع عن الطهارة مع الاشتباه لأجل النصّ </w:t>
      </w:r>
      <w:r>
        <w:rPr>
          <w:rStyle w:val="FootnoteReference"/>
        </w:rPr>
        <w:footnoteReference w:id="6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 أنّها لو کانت ذاتیّة،فوجه ترک الواجب و هو الوضوء ثبوت البدل له و هو التیمّم،کما لو اشتبه إناء الذهب بغیره مع انحصار الماء فی المشتبهین،و بالجملة:فالوضوء من جهة ثبوت البدل له لا یزاحم محرّما.</w:t>
      </w:r>
    </w:p>
    <w:p>
      <w:pPr>
        <w:pStyle w:val="BookText"/>
      </w:pPr>
      <w:r>
        <w:rPr>
          <w:rFonts w:ascii="IRNazanin" w:hAnsi="IRNazanin" w:eastAsia="IRNazanin" w:cs="IRNazanin"/>
          <w:lang w:bidi="fa-IR"/>
          <w:color w:val="111111"/>
          <w:sz w:val="28"/>
          <w:szCs w:val="28"/>
          <w:rtl/>
        </w:rPr>
        <w:t xml:space="preserve">مع أنّ القائل بتغلیب جانب الحرمة لا یقول بجواز المخالفة القطعیّة فی الواجب لأجل تحصیل الموافقة القطعیّة فی الحرام؛لأنّ العلماء و العقلاء متّفقون علی عدم جواز ترک الواجب تحفّظا عن الوقوع فی الحرام </w:t>
      </w:r>
      <w:r>
        <w:rPr>
          <w:rStyle w:val="FootnoteReference"/>
        </w:rPr>
        <w:footnoteReference w:id="614"/>
      </w:r>
      <w:r>
        <w:rPr>
          <w:rFonts w:ascii="IRNazanin" w:hAnsi="IRNazanin" w:eastAsia="IRNazanin" w:cs="IRNazanin"/>
          <w:lang w:bidi="fa-IR"/>
          <w:color w:val="111111"/>
          <w:sz w:val="28"/>
          <w:szCs w:val="28"/>
          <w:rtl/>
        </w:rPr>
        <w:t xml:space="preserve">، فهذا المثال </w:t>
      </w:r>
      <w:r>
        <w:rPr>
          <w:rStyle w:val="FootnoteReference"/>
        </w:rPr>
        <w:footnoteReference w:id="615"/>
      </w:r>
      <w:r>
        <w:rPr>
          <w:rFonts w:ascii="Amiri" w:hAnsi="Amiri" w:eastAsia="Amiri" w:cs="Amiri"/>
          <w:lang w:bidi="ar-SA"/>
          <w:color w:val="111111"/>
          <w:sz w:val="28"/>
          <w:szCs w:val="28"/>
          <w:rtl/>
        </w:rPr>
        <w:t xml:space="preserve">أجنبیّ عمّا نحن فیه قطعا.</w:t>
      </w:r>
    </w:p>
    <w:p>
      <w:pPr>
        <w:pStyle w:val="BookText"/>
      </w:pPr>
      <w:r>
        <w:rPr>
          <w:rFonts w:ascii="IRNazanin" w:hAnsi="IRNazanin" w:eastAsia="IRNazanin" w:cs="IRNazanin"/>
          <w:lang w:bidi="fa-IR"/>
          <w:color w:val="111111"/>
          <w:sz w:val="28"/>
          <w:szCs w:val="28"/>
          <w:rtl/>
        </w:rPr>
        <w:t xml:space="preserve">و یضعّف ما قبله:بأنّه یصلح وجها لعدم تعیین الوجوب،لا لنفی التخییر.</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 أمّا أولویّة دفع المفسدة فهی مسلّمة،لکنّ المصلحة الفائتة بترک</w:t>
      </w:r>
    </w:p>
    <w:p>
      <w:pPr>
        <w:pStyle w:val="BookText"/>
      </w:pPr>
      <w:r>
        <w:rPr>
          <w:rFonts w:ascii="IRNazanin" w:hAnsi="IRNazanin" w:eastAsia="IRNazanin" w:cs="IRNazanin"/>
          <w:lang w:bidi="fa-IR"/>
          <w:color w:val="111111"/>
          <w:sz w:val="28"/>
          <w:szCs w:val="28"/>
          <w:rtl/>
        </w:rPr>
        <w:t xml:space="preserve">[شماره صفحه واقعی : 187]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الواجب أیضا مفسدة؛و إلاّ لم یصلح للإلزام؛إذ مجرّد فوات </w:t>
      </w:r>
      <w:r>
        <w:rPr>
          <w:rStyle w:val="FootnoteReference"/>
        </w:rPr>
        <w:footnoteReference w:id="616"/>
      </w:r>
      <w:r>
        <w:rPr>
          <w:rFonts w:ascii="IRNazanin" w:hAnsi="IRNazanin" w:eastAsia="IRNazanin" w:cs="IRNazanin"/>
          <w:lang w:bidi="fa-IR"/>
          <w:color w:val="111111"/>
          <w:sz w:val="28"/>
          <w:szCs w:val="28"/>
          <w:rtl/>
        </w:rPr>
        <w:t xml:space="preserve">المنفعة عن الشخص و کون حاله بعد الفوت کحاله فیما قبل الفوت </w:t>
      </w:r>
      <w:r>
        <w:rPr>
          <w:rStyle w:val="FootnoteReference"/>
        </w:rPr>
        <w:footnoteReference w:id="617"/>
      </w:r>
      <w:r>
        <w:rPr>
          <w:rFonts w:ascii="IRNazanin" w:hAnsi="IRNazanin" w:eastAsia="IRNazanin" w:cs="IRNazanin"/>
          <w:lang w:bidi="fa-IR"/>
          <w:color w:val="111111"/>
          <w:sz w:val="28"/>
          <w:szCs w:val="28"/>
          <w:rtl/>
        </w:rPr>
        <w:t xml:space="preserve">،لا یصلح وجها لإلزام شیء علی المکلّف ما لم یبلغ حدّا یکون فی فواته مفسدة؛ و إلاّ لکان أصغر المحرّمات أعظم من ترک أهمّ الفرائض،مع أنّه جعل ترک الصلاة أکبر الکبائر </w:t>
      </w:r>
      <w:r>
        <w:rPr>
          <w:rStyle w:val="FootnoteReference"/>
        </w:rPr>
        <w:footnoteReference w:id="6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بما ذکر یبطل قیاس ما نحن فیه علی دوران الأمر بین فوت المنفعة الدنیویّة و ترتّب المضرّة الدنیویّة؛فإنّ فوات النفع من حیث هو نفع لا یوجب ضررا.</w:t>
      </w:r>
    </w:p>
    <w:p>
      <w:pPr>
        <w:pStyle w:val="BookText"/>
      </w:pPr>
      <w:r>
        <w:rPr>
          <w:rFonts w:ascii="IRNazanin" w:hAnsi="IRNazanin" w:eastAsia="IRNazanin" w:cs="IRNazanin"/>
          <w:lang w:bidi="fa-IR"/>
          <w:color w:val="111111"/>
          <w:sz w:val="28"/>
          <w:szCs w:val="28"/>
          <w:rtl/>
        </w:rPr>
        <w:t xml:space="preserve">و أمّا الأخبار الدالّة علی التوقّف،فظاهرة فی ما لا یحتمل الضرر فی ترکه،کما لا یخفی.</w:t>
      </w:r>
    </w:p>
    <w:p>
      <w:pPr>
        <w:pStyle w:val="BookText"/>
      </w:pPr>
      <w:r>
        <w:rPr>
          <w:rFonts w:ascii="IRNazanin" w:hAnsi="IRNazanin" w:eastAsia="IRNazanin" w:cs="IRNazanin"/>
          <w:lang w:bidi="fa-IR"/>
          <w:color w:val="111111"/>
          <w:sz w:val="28"/>
          <w:szCs w:val="28"/>
          <w:rtl/>
        </w:rPr>
        <w:t xml:space="preserve">و ظاهر کلام السیّد الشارح للوافیة:جریان أخبار الاحتیاط أیضا فی المقام </w:t>
      </w:r>
      <w:r>
        <w:rPr>
          <w:rStyle w:val="FootnoteReference"/>
        </w:rPr>
        <w:footnoteReference w:id="619"/>
      </w:r>
      <w:r>
        <w:rPr>
          <w:rFonts w:ascii="IRNazanin" w:hAnsi="IRNazanin" w:eastAsia="IRNazanin" w:cs="IRNazanin"/>
          <w:lang w:bidi="fa-IR"/>
          <w:color w:val="111111"/>
          <w:sz w:val="28"/>
          <w:szCs w:val="28"/>
          <w:rtl/>
        </w:rPr>
        <w:t xml:space="preserve">،و هو بعید.</w:t>
      </w:r>
    </w:p>
    <w:p>
      <w:pPr>
        <w:pStyle w:val="BookText"/>
      </w:pPr>
      <w:r>
        <w:rPr>
          <w:rFonts w:ascii="IRNazanin" w:hAnsi="IRNazanin" w:eastAsia="IRNazanin" w:cs="IRNazanin"/>
          <w:lang w:bidi="fa-IR"/>
          <w:color w:val="111111"/>
          <w:sz w:val="28"/>
          <w:szCs w:val="28"/>
          <w:rtl/>
        </w:rPr>
        <w:t xml:space="preserve">و أمّا قاعدة«الاحتیاط عند الشکّ فی التخییر و التعیین»فغیر جار فی أمثال المقام ممّا یکون الحاکم فیه العقل؛فإنّ العقل إمّا أن یستقلّ بالتخییر و إمّا أن یستقلّ بالتعیین </w:t>
      </w:r>
      <w:r>
        <w:rPr>
          <w:rStyle w:val="FootnoteReference"/>
        </w:rPr>
        <w:footnoteReference w:id="620"/>
      </w:r>
      <w:r>
        <w:rPr>
          <w:rFonts w:ascii="IRNazanin" w:hAnsi="IRNazanin" w:eastAsia="IRNazanin" w:cs="IRNazanin"/>
          <w:lang w:bidi="fa-IR"/>
          <w:color w:val="111111"/>
          <w:sz w:val="28"/>
          <w:szCs w:val="28"/>
          <w:rtl/>
        </w:rPr>
        <w:t xml:space="preserve">،فلیس فی المقام شکّ علی کلّ تقدیر،و إنّما الشکّ فی الأحکام التوقیفیّة التی لا یدرکها العقل.</w:t>
      </w:r>
    </w:p>
    <w:p>
      <w:pPr>
        <w:pStyle w:val="BookText"/>
      </w:pPr>
      <w:r>
        <w:rPr>
          <w:rFonts w:ascii="IRNazanin" w:hAnsi="IRNazanin" w:eastAsia="IRNazanin" w:cs="IRNazanin"/>
          <w:lang w:bidi="fa-IR"/>
          <w:color w:val="111111"/>
          <w:sz w:val="28"/>
          <w:szCs w:val="28"/>
          <w:rtl/>
        </w:rPr>
        <w:t xml:space="preserve">[شماره صفحه واقعی : 188]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15" w:name="pg14411_142578"/>
    <w:bookmarkEnd w:id="115"/>
    <w:p>
      <w:pPr>
        <w:pStyle w:val="BookText"/>
      </w:pPr>
      <w:r>
        <w:rPr>
          <w:rFonts w:ascii="IRNazanin" w:hAnsi="IRNazanin" w:eastAsia="IRNazanin" w:cs="IRNazanin"/>
          <w:lang w:bidi="fa-IR"/>
          <w:color w:val="111111"/>
          <w:sz w:val="28"/>
          <w:szCs w:val="28"/>
          <w:rtl/>
        </w:rPr>
        <w:t xml:space="preserve">إلاّ أن یقال:إنّ احتمال أن یرد من الشارع حکم توقیفیّ فی ترجیح جانب الحرمة-و لو لاحتمال شمول أخبار التوقّف لما نحن فیه- کاف فی الاحتیاط و الأخذ بالحرمة.</w:t>
      </w:r>
    </w:p>
    <w:p>
      <w:pPr>
        <w:pStyle w:val="Heading6"/>
      </w:pPr>
      <w:bookmarkStart w:id="1193" w:name="_Toc228"/>
      <w:r>
        <w:t>[هل التخییر علی القول به،ابتدائی أو استمراری؟]</w:t>
      </w:r>
      <w:bookmarkEnd w:id="1193"/>
    </w:p>
    <w:p>
      <w:pPr>
        <w:pStyle w:val="BookText"/>
      </w:pPr>
      <w:r>
        <w:rPr>
          <w:rFonts w:ascii="IRNazanin" w:hAnsi="IRNazanin" w:eastAsia="IRNazanin" w:cs="IRNazanin"/>
          <w:lang w:bidi="fa-IR"/>
          <w:color w:val="111111"/>
          <w:sz w:val="28"/>
          <w:szCs w:val="28"/>
          <w:rtl/>
        </w:rPr>
        <w:t xml:space="preserve">ثمّ لو قلنا بالتخییر،فهل هو فی ابتداء الأمر فلا یجوز له العدول عمّا اختار،أو مستمرّ فله العدول مطلقا،أو بشرط البناء علی الاستمرار </w:t>
      </w:r>
      <w:r>
        <w:rPr>
          <w:rStyle w:val="FootnoteReference"/>
        </w:rPr>
        <w:footnoteReference w:id="621"/>
      </w:r>
      <w:r>
        <w:rPr>
          <w:rFonts w:ascii="IRNazanin" w:hAnsi="IRNazanin" w:eastAsia="IRNazanin" w:cs="IRNazanin"/>
          <w:lang w:bidi="fa-IR"/>
          <w:color w:val="111111"/>
          <w:sz w:val="28"/>
          <w:szCs w:val="28"/>
          <w:rtl/>
        </w:rPr>
        <w:t xml:space="preserve">؟وجوه.</w:t>
      </w:r>
    </w:p>
    <w:p>
      <w:pPr>
        <w:pStyle w:val="Heading6"/>
      </w:pPr>
      <w:bookmarkStart w:id="1194" w:name="_Toc229"/>
      <w:r>
        <w:t>[ما استدلّ به للتخییر الابتدائی]</w:t>
      </w:r>
      <w:bookmarkEnd w:id="1194"/>
    </w:p>
    <w:p>
      <w:pPr>
        <w:pStyle w:val="Heading6"/>
      </w:pPr>
      <w:bookmarkStart w:id="1195" w:name="_Toc230"/>
      <w:r>
        <w:t>اشارة</w:t>
      </w:r>
      <w:bookmarkEnd w:id="1195"/>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یستدلّ للأوّل:بقاعدة الاحتیاط،و استصحاب الحکم المختار، و استلزام العدول للمخالفة القطعیّة المانعة عن الرجوع إلی الإباحة من أوّل الأمر </w:t>
      </w:r>
      <w:r>
        <w:rPr>
          <w:rStyle w:val="FootnoteReference"/>
        </w:rPr>
        <w:footnoteReference w:id="622"/>
      </w:r>
      <w:r>
        <w:rPr>
          <w:rFonts w:ascii="Times New Roman" w:hAnsi="Times New Roman" w:eastAsia="Times New Roman" w:cs="Times New Roman"/>
          <w:lang w:val="en-US" w:bidi="en-US"/>
          <w:color w:val="111111"/>
          <w:sz w:val="28"/>
          <w:szCs w:val="28"/>
          <w:rtl/>
        </w:rPr>
        <w:t xml:space="preserve">.</w:t>
      </w:r>
    </w:p>
    <w:p>
      <w:pPr>
        <w:pStyle w:val="Heading6"/>
      </w:pPr>
      <w:bookmarkStart w:id="1196" w:name="_Toc231"/>
      <w:r>
        <w:t>[المناقشة فیما استدلّ]</w:t>
      </w:r>
      <w:bookmarkEnd w:id="1196"/>
    </w:p>
    <w:p>
      <w:pPr>
        <w:pStyle w:val="BookText"/>
      </w:pPr>
      <w:r>
        <w:rPr>
          <w:rFonts w:ascii="IRNazanin" w:hAnsi="IRNazanin" w:eastAsia="IRNazanin" w:cs="IRNazanin"/>
          <w:lang w:bidi="fa-IR"/>
          <w:color w:val="111111"/>
          <w:sz w:val="28"/>
          <w:szCs w:val="28"/>
          <w:rtl/>
        </w:rPr>
        <w:t xml:space="preserve">و یضعّف الأخیر:بأنّ المخالفة القطعیّة فی مثل ذلک لا دلیل علی حرمتها،کما لو بدا للمجتهد فی رأیه،أو عدل المقلّد عن مجتهده لعذر -من موت،أو جنون،أو فسق-أو اختیارا </w:t>
      </w:r>
      <w:r>
        <w:rPr>
          <w:rStyle w:val="FootnoteReference"/>
        </w:rPr>
        <w:footnoteReference w:id="623"/>
      </w:r>
      <w:r>
        <w:rPr>
          <w:rFonts w:ascii="IRNazanin" w:hAnsi="IRNazanin" w:eastAsia="IRNazanin" w:cs="IRNazanin"/>
          <w:lang w:bidi="fa-IR"/>
          <w:color w:val="111111"/>
          <w:sz w:val="28"/>
          <w:szCs w:val="28"/>
          <w:rtl/>
        </w:rPr>
        <w:t xml:space="preserve">علی القول بجوازه.</w:t>
      </w:r>
    </w:p>
    <w:p>
      <w:pPr>
        <w:pStyle w:val="BookText"/>
      </w:pPr>
      <w:r>
        <w:rPr>
          <w:rFonts w:ascii="IRNazanin" w:hAnsi="IRNazanin" w:eastAsia="IRNazanin" w:cs="IRNazanin"/>
          <w:lang w:bidi="fa-IR"/>
          <w:color w:val="111111"/>
          <w:sz w:val="28"/>
          <w:szCs w:val="28"/>
          <w:rtl/>
        </w:rPr>
        <w:t xml:space="preserve">و یضعّف الاستصحاب:بمعارضة استصحاب التخییر الحاکم علیه.</w:t>
      </w:r>
    </w:p>
    <w:p>
      <w:pPr>
        <w:pStyle w:val="BookText"/>
      </w:pPr>
      <w:r>
        <w:rPr>
          <w:rFonts w:ascii="IRNazanin" w:hAnsi="IRNazanin" w:eastAsia="IRNazanin" w:cs="IRNazanin"/>
          <w:lang w:bidi="fa-IR"/>
          <w:color w:val="111111"/>
          <w:sz w:val="28"/>
          <w:szCs w:val="28"/>
          <w:rtl/>
        </w:rPr>
        <w:t xml:space="preserve">و یضعّف قاعدة الاحتیاط:بما تقدّم،من أنّ حکم العقل بالتخییر عقلیّ لا احتمال فیه حتّی یجری فیه الاحتیاط.</w:t>
      </w:r>
    </w:p>
    <w:p>
      <w:pPr>
        <w:pStyle w:val="BookText"/>
      </w:pPr>
      <w:r>
        <w:rPr>
          <w:rFonts w:ascii="IRNazanin" w:hAnsi="IRNazanin" w:eastAsia="IRNazanin" w:cs="IRNazanin"/>
          <w:lang w:bidi="fa-IR"/>
          <w:color w:val="111111"/>
          <w:sz w:val="28"/>
          <w:szCs w:val="28"/>
          <w:rtl/>
        </w:rPr>
        <w:t xml:space="preserve">و من ذلک یظهر:عدم جریان استصحاب التخییر؛إذ لا إهمال فی حکم العقل حتّی یشکّ فی بقائه فی الزمان الثانی.</w:t>
      </w:r>
    </w:p>
    <w:p>
      <w:pPr>
        <w:pStyle w:val="Heading6"/>
      </w:pPr>
      <w:bookmarkStart w:id="1197" w:name="_Toc232"/>
      <w:r>
        <w:t>[الأقوی هو التخییر الاستمراری]</w:t>
      </w:r>
      <w:bookmarkEnd w:id="1197"/>
    </w:p>
    <w:p>
      <w:pPr>
        <w:pStyle w:val="BookText"/>
      </w:pPr>
      <w:r>
        <w:rPr>
          <w:rFonts w:ascii="IRNazanin" w:hAnsi="IRNazanin" w:eastAsia="IRNazanin" w:cs="IRNazanin"/>
          <w:lang w:bidi="fa-IR"/>
          <w:color w:val="111111"/>
          <w:sz w:val="28"/>
          <w:szCs w:val="28"/>
          <w:rtl/>
        </w:rPr>
        <w:t xml:space="preserve">فالأقوی:هو التخییر الاستمراریّ،لا للاستصحاب بل لحکم العقل فی الزمان الثانی کما حکم به فی الزمان الأوّل.</w:t>
      </w:r>
    </w:p>
    <w:p>
      <w:pPr>
        <w:pStyle w:val="BookText"/>
      </w:pPr>
      <w:r>
        <w:rPr>
          <w:rFonts w:ascii="IRNazanin" w:hAnsi="IRNazanin" w:eastAsia="IRNazanin" w:cs="IRNazanin"/>
          <w:lang w:bidi="fa-IR"/>
          <w:color w:val="111111"/>
          <w:sz w:val="28"/>
          <w:szCs w:val="28"/>
          <w:rtl/>
        </w:rPr>
        <w:t xml:space="preserve">[شماره صفحه واقعی : 189]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16" w:name="pg14411_142579"/>
    <w:bookmarkEnd w:id="116"/>
    <w:p>
      <w:pPr>
        <w:pStyle w:val="Heading6"/>
      </w:pPr>
      <w:bookmarkStart w:id="1198" w:name="_Toc233"/>
      <w:r>
        <w:t>المسألة الثانیة إذا دار الأمر بین الوجوب و الحرمة من جهة إجمال الدلیل</w:t>
      </w:r>
      <w:bookmarkEnd w:id="1198"/>
    </w:p>
    <w:p>
      <w:pPr>
        <w:pStyle w:val="BookText"/>
      </w:pPr>
      <w:r>
        <w:rPr>
          <w:rFonts w:ascii="IRNazanin" w:hAnsi="IRNazanin" w:eastAsia="IRNazanin" w:cs="IRNazanin"/>
          <w:lang w:bidi="fa-IR"/>
          <w:color w:val="111111"/>
          <w:sz w:val="28"/>
          <w:szCs w:val="28"/>
          <w:rtl/>
        </w:rPr>
        <w:t xml:space="preserve">إمّا حکما،کالأمر المردّد بین الایجاب و التهدید،أو موضوعا، لو أمر بالتحرّز عن أمر مردّد بین فعل الشیء و ترکه.</w:t>
      </w:r>
    </w:p>
    <w:p>
      <w:pPr>
        <w:pStyle w:val="BookText"/>
      </w:pPr>
      <w:r>
        <w:rPr>
          <w:rFonts w:ascii="IRNazanin" w:hAnsi="IRNazanin" w:eastAsia="IRNazanin" w:cs="IRNazanin"/>
          <w:lang w:bidi="fa-IR"/>
          <w:color w:val="111111"/>
          <w:sz w:val="28"/>
          <w:szCs w:val="28"/>
          <w:rtl/>
        </w:rPr>
        <w:t xml:space="preserve">فالحکم فیه کما فی المسألة السابقة.</w:t>
      </w:r>
    </w:p>
    <w:p>
      <w:pPr>
        <w:pStyle w:val="BookText"/>
      </w:pPr>
      <w:r>
        <w:rPr>
          <w:rFonts w:ascii="IRNazanin" w:hAnsi="IRNazanin" w:eastAsia="IRNazanin" w:cs="IRNazanin"/>
          <w:lang w:bidi="fa-IR"/>
          <w:color w:val="111111"/>
          <w:sz w:val="28"/>
          <w:szCs w:val="28"/>
          <w:rtl/>
        </w:rPr>
        <w:t xml:space="preserve">[شماره صفحه واقعی : 190]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17" w:name="pg14411_142580"/>
    <w:bookmarkEnd w:id="117"/>
    <w:p>
      <w:pPr>
        <w:pStyle w:val="Heading6"/>
      </w:pPr>
      <w:bookmarkStart w:id="1199" w:name="_Toc234"/>
      <w:r>
        <w:t>المسألة الثالثة لو دار الأمر بین الوجوب و التحریم من جهة تعارض الأدلّة</w:t>
      </w:r>
      <w:bookmarkEnd w:id="1199"/>
    </w:p>
    <w:p>
      <w:pPr>
        <w:pStyle w:val="Heading6"/>
      </w:pPr>
      <w:bookmarkStart w:id="1200" w:name="_Toc235"/>
      <w:r>
        <w:t>[الحکم هو التخییر و الاستدلال علیه]</w:t>
      </w:r>
      <w:bookmarkEnd w:id="1200"/>
    </w:p>
    <w:p>
      <w:pPr>
        <w:pStyle w:val="BookText"/>
      </w:pPr>
      <w:r>
        <w:rPr>
          <w:rFonts w:ascii="IRNazanin" w:hAnsi="IRNazanin" w:eastAsia="IRNazanin" w:cs="IRNazanin"/>
          <w:lang w:bidi="fa-IR"/>
          <w:color w:val="111111"/>
          <w:sz w:val="28"/>
          <w:szCs w:val="28"/>
          <w:rtl/>
        </w:rPr>
        <w:t xml:space="preserve">فالحکم هنا:التخییر؛لإطلاق ادلّته </w:t>
      </w:r>
      <w:r>
        <w:rPr>
          <w:rStyle w:val="FootnoteReference"/>
        </w:rPr>
        <w:footnoteReference w:id="624"/>
      </w:r>
      <w:r>
        <w:rPr>
          <w:rFonts w:ascii="IRNazanin" w:hAnsi="IRNazanin" w:eastAsia="IRNazanin" w:cs="IRNazanin"/>
          <w:lang w:bidi="fa-IR"/>
          <w:color w:val="111111"/>
          <w:sz w:val="28"/>
          <w:szCs w:val="28"/>
          <w:rtl/>
        </w:rPr>
        <w:t xml:space="preserve">،و خصوص بعض منها الوارد فی خبرین أحدهما أمر و الآخر نهی </w:t>
      </w:r>
      <w:r>
        <w:rPr>
          <w:rStyle w:val="FootnoteReference"/>
        </w:rPr>
        <w:footnoteReference w:id="6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خلافا للعلاّمة رحمه اللّه فی النهایة </w:t>
      </w:r>
      <w:r>
        <w:rPr>
          <w:rStyle w:val="FootnoteReference"/>
        </w:rPr>
        <w:footnoteReference w:id="626"/>
      </w:r>
      <w:r>
        <w:rPr>
          <w:rFonts w:ascii="IRNazanin" w:hAnsi="IRNazanin" w:eastAsia="IRNazanin" w:cs="IRNazanin"/>
          <w:lang w:bidi="fa-IR"/>
          <w:color w:val="111111"/>
          <w:sz w:val="28"/>
          <w:szCs w:val="28"/>
          <w:rtl/>
        </w:rPr>
        <w:t xml:space="preserve">و شارح المختصر </w:t>
      </w:r>
      <w:r>
        <w:rPr>
          <w:rStyle w:val="FootnoteReference"/>
        </w:rPr>
        <w:footnoteReference w:id="627"/>
      </w:r>
      <w:r>
        <w:rPr>
          <w:rFonts w:ascii="IRNazanin" w:hAnsi="IRNazanin" w:eastAsia="IRNazanin" w:cs="IRNazanin"/>
          <w:lang w:bidi="fa-IR"/>
          <w:color w:val="111111"/>
          <w:sz w:val="28"/>
          <w:szCs w:val="28"/>
          <w:rtl/>
        </w:rPr>
        <w:t xml:space="preserve">و الآمدی </w:t>
      </w:r>
      <w:r>
        <w:rPr>
          <w:rStyle w:val="FootnoteReference"/>
        </w:rPr>
        <w:footnoteReference w:id="628"/>
      </w:r>
      <w:r>
        <w:rPr>
          <w:rFonts w:ascii="Amiri" w:hAnsi="Amiri" w:eastAsia="Amiri" w:cs="Amiri"/>
          <w:lang w:bidi="ar-SA"/>
          <w:color w:val="111111"/>
          <w:sz w:val="28"/>
          <w:szCs w:val="28"/>
          <w:rtl/>
        </w:rPr>
        <w:t xml:space="preserve">، فرجّحوا </w:t>
      </w:r>
      <w:r>
        <w:rPr>
          <w:rStyle w:val="FootnoteReference"/>
        </w:rPr>
        <w:footnoteReference w:id="629"/>
      </w:r>
      <w:r>
        <w:rPr>
          <w:rFonts w:ascii="IRNazanin" w:hAnsi="IRNazanin" w:eastAsia="IRNazanin" w:cs="IRNazanin"/>
          <w:lang w:bidi="fa-IR"/>
          <w:color w:val="111111"/>
          <w:sz w:val="28"/>
          <w:szCs w:val="28"/>
          <w:rtl/>
        </w:rPr>
        <w:t xml:space="preserve">ما دلّ علی النهی؛لما ذکرنا سابقا </w:t>
      </w:r>
      <w:r>
        <w:rPr>
          <w:rStyle w:val="FootnoteReference"/>
        </w:rPr>
        <w:footnoteReference w:id="630"/>
      </w:r>
      <w:r>
        <w:rPr>
          <w:rFonts w:ascii="IRNazanin" w:hAnsi="IRNazanin" w:eastAsia="IRNazanin" w:cs="IRNazanin"/>
          <w:lang w:bidi="fa-IR"/>
          <w:color w:val="111111"/>
          <w:sz w:val="28"/>
          <w:szCs w:val="28"/>
          <w:rtl/>
        </w:rPr>
        <w:t xml:space="preserve">،و لما هو أضعف منه.</w:t>
      </w:r>
    </w:p>
    <w:p>
      <w:pPr>
        <w:pStyle w:val="Heading6"/>
      </w:pPr>
      <w:bookmarkStart w:id="1201" w:name="_Toc236"/>
      <w:r>
        <w:t>[هل التخییر ابتدائیّ أو استمراریّ؟وجوه]</w:t>
      </w:r>
      <w:bookmarkEnd w:id="1201"/>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 فی کون التخییر هنا بدویّا،أو استمراریّا مطلقا أو مع البناء من أوّل الأمر علی الاستمرار،وجوه تقدّمت </w:t>
      </w:r>
      <w:r>
        <w:rPr>
          <w:rStyle w:val="FootnoteReference"/>
        </w:rPr>
        <w:footnoteReference w:id="631"/>
      </w:r>
      <w:r>
        <w:rPr>
          <w:rFonts w:ascii="Amiri" w:hAnsi="Amiri" w:eastAsia="Amiri" w:cs="Amiri"/>
          <w:lang w:bidi="ar-SA"/>
          <w:color w:val="111111"/>
          <w:sz w:val="28"/>
          <w:szCs w:val="28"/>
          <w:rtl/>
        </w:rPr>
        <w:t xml:space="preserve">،إلاّ أنّه قد یتمسّک هنا</w:t>
      </w:r>
    </w:p>
    <w:p>
      <w:pPr>
        <w:pStyle w:val="BookText"/>
      </w:pPr>
      <w:r>
        <w:rPr>
          <w:rFonts w:ascii="IRNazanin" w:hAnsi="IRNazanin" w:eastAsia="IRNazanin" w:cs="IRNazanin"/>
          <w:lang w:bidi="fa-IR"/>
          <w:color w:val="111111"/>
          <w:sz w:val="28"/>
          <w:szCs w:val="28"/>
          <w:rtl/>
        </w:rPr>
        <w:t xml:space="preserve">[شماره صفحه واقعی : 191]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18" w:name="pg14411_142581"/>
    <w:bookmarkEnd w:id="118"/>
    <w:p>
      <w:pPr>
        <w:pStyle w:val="BookText"/>
      </w:pPr>
      <w:r>
        <w:rPr>
          <w:rFonts w:ascii="IRNazanin" w:hAnsi="IRNazanin" w:eastAsia="IRNazanin" w:cs="IRNazanin"/>
          <w:lang w:bidi="fa-IR"/>
          <w:color w:val="111111"/>
          <w:sz w:val="28"/>
          <w:szCs w:val="28"/>
          <w:rtl/>
        </w:rPr>
        <w:t xml:space="preserve">للاستمرار بإطلاق الأخبار.</w:t>
      </w:r>
    </w:p>
    <w:p>
      <w:pPr>
        <w:pStyle w:val="BookText"/>
      </w:pPr>
      <w:r>
        <w:rPr>
          <w:rFonts w:ascii="IRNazanin" w:hAnsi="IRNazanin" w:eastAsia="IRNazanin" w:cs="IRNazanin"/>
          <w:lang w:bidi="fa-IR"/>
          <w:color w:val="111111"/>
          <w:sz w:val="28"/>
          <w:szCs w:val="28"/>
          <w:rtl/>
        </w:rPr>
        <w:t xml:space="preserve">و یشکل:بأنّها مسوقة لبیان حکم المتحیّر فی أوّل الأمر،فلا تعرّض لها لحکمه بعد الأخذ بأحدهما.</w:t>
      </w:r>
    </w:p>
    <w:p>
      <w:pPr>
        <w:pStyle w:val="BookText"/>
      </w:pPr>
      <w:r>
        <w:rPr>
          <w:rFonts w:ascii="IRNazanin" w:hAnsi="IRNazanin" w:eastAsia="IRNazanin" w:cs="IRNazanin"/>
          <w:lang w:bidi="fa-IR"/>
          <w:color w:val="111111"/>
          <w:sz w:val="28"/>
          <w:szCs w:val="28"/>
          <w:rtl/>
        </w:rPr>
        <w:t xml:space="preserve">نعم،یمکن هنا استصحاب التخییر؛حیث إنّه ثبت </w:t>
      </w:r>
      <w:r>
        <w:rPr>
          <w:rStyle w:val="FootnoteReference"/>
        </w:rPr>
        <w:footnoteReference w:id="632"/>
      </w:r>
      <w:r>
        <w:rPr>
          <w:rFonts w:ascii="IRNazanin" w:hAnsi="IRNazanin" w:eastAsia="IRNazanin" w:cs="IRNazanin"/>
          <w:lang w:bidi="fa-IR"/>
          <w:color w:val="111111"/>
          <w:sz w:val="28"/>
          <w:szCs w:val="28"/>
          <w:rtl/>
        </w:rPr>
        <w:t xml:space="preserve">بحکم الشارع القابل للاستمرار.</w:t>
      </w:r>
    </w:p>
    <w:p>
      <w:pPr>
        <w:pStyle w:val="Heading6"/>
      </w:pPr>
      <w:bookmarkStart w:id="1202" w:name="_Toc237"/>
      <w:r>
        <w:t>[اللازم الاستمرار علی ما اختار]</w:t>
      </w:r>
      <w:bookmarkEnd w:id="1202"/>
    </w:p>
    <w:p>
      <w:pPr>
        <w:pStyle w:val="BookText"/>
      </w:pPr>
      <w:r>
        <w:rPr>
          <w:rFonts w:ascii="IRNazanin" w:hAnsi="IRNazanin" w:eastAsia="IRNazanin" w:cs="IRNazanin"/>
          <w:lang w:bidi="fa-IR"/>
          <w:color w:val="111111"/>
          <w:sz w:val="28"/>
          <w:szCs w:val="28"/>
          <w:rtl/>
        </w:rPr>
        <w:t xml:space="preserve">إلاّ أن یدّعی:أنّ موضوع المستصحب أو المتیقّن من موضوعه هو المتحیّر،و بعد الأخذ بأحدهما لا تحیّر،فتأمّل،و سیتّضح هذا فی بحث الاستصحاب </w:t>
      </w:r>
      <w:r>
        <w:rPr>
          <w:rStyle w:val="FootnoteReference"/>
        </w:rPr>
        <w:footnoteReference w:id="633"/>
      </w:r>
      <w:r>
        <w:rPr>
          <w:rFonts w:ascii="IRNazanin" w:hAnsi="IRNazanin" w:eastAsia="IRNazanin" w:cs="IRNazanin"/>
          <w:lang w:bidi="fa-IR"/>
          <w:color w:val="111111"/>
          <w:sz w:val="28"/>
          <w:szCs w:val="28"/>
          <w:rtl/>
        </w:rPr>
        <w:t xml:space="preserve">،و علیه:فاللازم الاستمرار علی ما اختار؛لعدم ثبوت التخییر فی الزمان الثانی.</w:t>
      </w:r>
    </w:p>
    <w:p>
      <w:pPr>
        <w:pStyle w:val="BookText"/>
      </w:pPr>
      <w:r>
        <w:rPr>
          <w:rFonts w:ascii="IRNazanin" w:hAnsi="IRNazanin" w:eastAsia="IRNazanin" w:cs="IRNazanin"/>
          <w:lang w:bidi="fa-IR"/>
          <w:color w:val="111111"/>
          <w:sz w:val="28"/>
          <w:szCs w:val="28"/>
          <w:rtl/>
        </w:rPr>
        <w:t xml:space="preserve">[شماره صفحه واقعی : 192]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19" w:name="pg14411_142582"/>
    <w:bookmarkEnd w:id="119"/>
    <w:p>
      <w:pPr>
        <w:pStyle w:val="Heading6"/>
      </w:pPr>
      <w:bookmarkStart w:id="1203" w:name="_Toc238"/>
      <w:r>
        <w:t>المسألة الرابعة لو دار الأمر بین الوجوب و الحرمة من جهة اشتباه الموضوع</w:t>
      </w:r>
      <w:bookmarkEnd w:id="1203"/>
    </w:p>
    <w:p>
      <w:pPr>
        <w:pStyle w:val="Heading6"/>
      </w:pPr>
      <w:bookmarkStart w:id="1204" w:name="_Toc239"/>
      <w:r>
        <w:t>[ما مثّل به للمسألة]</w:t>
      </w:r>
      <w:bookmarkEnd w:id="1204"/>
    </w:p>
    <w:p>
      <w:pPr>
        <w:pStyle w:val="Heading6"/>
      </w:pPr>
      <w:bookmarkStart w:id="1205" w:name="_Toc240"/>
      <w:r>
        <w:t>اشارة</w:t>
      </w:r>
      <w:bookmarkEnd w:id="1205"/>
    </w:p>
    <w:p>
      <w:pPr>
        <w:pStyle w:val="BookText"/>
      </w:pPr>
      <w:r>
        <w:rPr>
          <w:rFonts w:ascii="IRNazanin" w:hAnsi="IRNazanin" w:eastAsia="IRNazanin" w:cs="IRNazanin"/>
          <w:lang w:bidi="fa-IR"/>
          <w:color w:val="111111"/>
          <w:sz w:val="28"/>
          <w:szCs w:val="28"/>
          <w:rtl/>
        </w:rPr>
        <w:t xml:space="preserve">و قد مثّل بعضهم </w:t>
      </w:r>
      <w:r>
        <w:rPr>
          <w:rStyle w:val="FootnoteReference"/>
        </w:rPr>
        <w:footnoteReference w:id="634"/>
      </w:r>
      <w:r>
        <w:rPr>
          <w:rFonts w:ascii="IRNazanin" w:hAnsi="IRNazanin" w:eastAsia="IRNazanin" w:cs="IRNazanin"/>
          <w:lang w:bidi="fa-IR"/>
          <w:color w:val="111111"/>
          <w:sz w:val="28"/>
          <w:szCs w:val="28"/>
          <w:rtl/>
        </w:rPr>
        <w:t xml:space="preserve">له باشتباه الحلیلة الواجب وطؤها-بالأصالة، أو لعارض من نذر أو غیره-بالأجنبیّة </w:t>
      </w:r>
      <w:r>
        <w:rPr>
          <w:rStyle w:val="FootnoteReference"/>
        </w:rPr>
        <w:footnoteReference w:id="635"/>
      </w:r>
      <w:r>
        <w:rPr>
          <w:rFonts w:ascii="IRNazanin" w:hAnsi="IRNazanin" w:eastAsia="IRNazanin" w:cs="IRNazanin"/>
          <w:lang w:bidi="fa-IR"/>
          <w:color w:val="111111"/>
          <w:sz w:val="28"/>
          <w:szCs w:val="28"/>
          <w:rtl/>
        </w:rPr>
        <w:t xml:space="preserve">،و بالخلّ المحلوف علی شربه المشتبه بالخمر.</w:t>
      </w:r>
    </w:p>
    <w:p>
      <w:pPr>
        <w:pStyle w:val="Heading6"/>
      </w:pPr>
      <w:bookmarkStart w:id="1206" w:name="_Toc241"/>
      <w:r>
        <w:t>[المناقشة فی الأمثلة]</w:t>
      </w:r>
      <w:bookmarkEnd w:id="1206"/>
    </w:p>
    <w:p>
      <w:pPr>
        <w:pStyle w:val="BookText"/>
      </w:pPr>
      <w:r>
        <w:rPr>
          <w:rFonts w:ascii="IRNazanin" w:hAnsi="IRNazanin" w:eastAsia="IRNazanin" w:cs="IRNazanin"/>
          <w:lang w:bidi="fa-IR"/>
          <w:color w:val="111111"/>
          <w:sz w:val="28"/>
          <w:szCs w:val="28"/>
          <w:rtl/>
        </w:rPr>
        <w:t xml:space="preserve">و یرد علی الأوّل:أنّ الحکم فی ذلک هو تحریم الوطء؛لأصالة عدم الزوجیّة بینهما،و أصالة عدم وجوب الوطء.</w:t>
      </w:r>
    </w:p>
    <w:p>
      <w:pPr>
        <w:pStyle w:val="BookText"/>
      </w:pPr>
      <w:r>
        <w:rPr>
          <w:rFonts w:ascii="IRNazanin" w:hAnsi="IRNazanin" w:eastAsia="IRNazanin" w:cs="IRNazanin"/>
          <w:lang w:bidi="fa-IR"/>
          <w:color w:val="111111"/>
          <w:sz w:val="28"/>
          <w:szCs w:val="28"/>
          <w:rtl/>
        </w:rPr>
        <w:t xml:space="preserve">و علی الثانی:أنّ الحکم عدم وجوب الشرب و عدم حرمته؛جمعا بین أصالتی الإباحة و عدم الحلف علی شربه.</w:t>
      </w:r>
    </w:p>
    <w:p>
      <w:pPr>
        <w:pStyle w:val="BookText"/>
      </w:pPr>
      <w:r>
        <w:rPr>
          <w:rFonts w:ascii="IRNazanin" w:hAnsi="IRNazanin" w:eastAsia="IRNazanin" w:cs="IRNazanin"/>
          <w:lang w:bidi="fa-IR"/>
          <w:color w:val="111111"/>
          <w:sz w:val="28"/>
          <w:szCs w:val="28"/>
          <w:rtl/>
        </w:rPr>
        <w:t xml:space="preserve">و الأولی:فرض المثال فیما إذا وجب إکرام العدول و حرم إکرام الفسّاق و اشتبه حال زید من حیث الفسق و العدالة.</w:t>
      </w:r>
    </w:p>
    <w:p>
      <w:pPr>
        <w:pStyle w:val="BookText"/>
      </w:pPr>
      <w:r>
        <w:rPr>
          <w:rFonts w:ascii="IRNazanin" w:hAnsi="IRNazanin" w:eastAsia="IRNazanin" w:cs="IRNazanin"/>
          <w:lang w:bidi="fa-IR"/>
          <w:color w:val="111111"/>
          <w:sz w:val="28"/>
          <w:szCs w:val="28"/>
          <w:rtl/>
        </w:rPr>
        <w:t xml:space="preserve">و الحکم فیه کما فی المسألة الاولی:من عدم وجوب الأخذ بأحدهما فی الظاهر،بل هنا أولی؛إذ لیس فیه اطّراح لقول الإمام علیه السّلام؛ إذ لیس الاشتباه فی الحکم الشرعیّ الکلّی الذی بیّنه الإمام علیه السّلام،</w:t>
      </w:r>
    </w:p>
    <w:p>
      <w:pPr>
        <w:pStyle w:val="BookText"/>
      </w:pPr>
      <w:r>
        <w:rPr>
          <w:rFonts w:ascii="IRNazanin" w:hAnsi="IRNazanin" w:eastAsia="IRNazanin" w:cs="IRNazanin"/>
          <w:lang w:bidi="fa-IR"/>
          <w:color w:val="111111"/>
          <w:sz w:val="28"/>
          <w:szCs w:val="28"/>
          <w:rtl/>
        </w:rPr>
        <w:t xml:space="preserve">[شماره صفحه واقعی : 193]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20" w:name="pg14411_142583"/>
    <w:bookmarkEnd w:id="120"/>
    <w:p>
      <w:pPr>
        <w:pStyle w:val="BookText"/>
      </w:pPr>
      <w:r>
        <w:rPr>
          <w:rFonts w:ascii="IRNazanin" w:hAnsi="IRNazanin" w:eastAsia="IRNazanin" w:cs="IRNazanin"/>
          <w:lang w:bidi="fa-IR"/>
          <w:color w:val="111111"/>
          <w:sz w:val="28"/>
          <w:szCs w:val="28"/>
          <w:rtl/>
        </w:rPr>
        <w:t xml:space="preserve">و لیس فیه أیضا مخالفة عملیّة معلومة و لو إجمالا،مع أنّ مخالفة المعلوم إجمالا فی العمل فوق حدّ الإحصاء فی الشبهات الموضوعیّة.</w:t>
      </w:r>
    </w:p>
    <w:p>
      <w:pPr>
        <w:pStyle w:val="BookText"/>
      </w:pPr>
      <w:r>
        <w:rPr>
          <w:rFonts w:ascii="IRNazanin" w:hAnsi="IRNazanin" w:eastAsia="IRNazanin" w:cs="IRNazanin"/>
          <w:lang w:bidi="fa-IR"/>
          <w:color w:val="111111"/>
          <w:sz w:val="28"/>
          <w:szCs w:val="28"/>
          <w:rtl/>
        </w:rPr>
        <w:t xml:space="preserve">هذا تمام الکلام فی المقامات الثلاثة،أعنی دوران الأمر بین الوجوب و غیر الحرمة،و عکسه،و دوران الأمر بینهما.</w:t>
      </w:r>
    </w:p>
    <w:p>
      <w:pPr>
        <w:pStyle w:val="Heading6"/>
      </w:pPr>
      <w:bookmarkStart w:id="1207" w:name="_Toc242"/>
      <w:r>
        <w:t>[دوران الأمر بین ما عدا الوجوب و الحرمة من الأحکام]</w:t>
      </w:r>
      <w:bookmarkEnd w:id="1207"/>
    </w:p>
    <w:p>
      <w:pPr>
        <w:pStyle w:val="BookText"/>
      </w:pPr>
      <w:r>
        <w:rPr>
          <w:rFonts w:ascii="IRNazanin" w:hAnsi="IRNazanin" w:eastAsia="IRNazanin" w:cs="IRNazanin"/>
          <w:lang w:bidi="fa-IR"/>
          <w:color w:val="111111"/>
          <w:sz w:val="28"/>
          <w:szCs w:val="28"/>
          <w:rtl/>
        </w:rPr>
        <w:t xml:space="preserve">و أمّا دوران الأمر بین ما عدا الوجوب و الحرمة من الأحکام، فیعلم بملاحظة ما ذکرنا.</w:t>
      </w:r>
    </w:p>
    <w:p>
      <w:pPr>
        <w:pStyle w:val="BookText"/>
      </w:pPr>
      <w:r>
        <w:rPr>
          <w:rFonts w:ascii="IRNazanin" w:hAnsi="IRNazanin" w:eastAsia="IRNazanin" w:cs="IRNazanin"/>
          <w:lang w:bidi="fa-IR"/>
          <w:color w:val="111111"/>
          <w:sz w:val="28"/>
          <w:szCs w:val="28"/>
          <w:rtl/>
        </w:rPr>
        <w:t xml:space="preserve">و ملخّصه:أنّ دوران الأمر بین طلب الفعل أو الترک و بین الإباحة نظیر المقامین الأوّلین،و دوران الأمر بین الاستحباب و الکراهة نظیر المقام الثالث.و لا إشکال فی أصل هذا الحکم،إلاّ أنّ إجراء أدلّة البراءة فی صورة الشکّ فی الطلب الغیر الإلزامیّ-فعلا أو ترکا-قد یستشکل فیه؛لأنّ ظاهر تلک الأدلّة نفی المؤاخذة و العقاب،و المفروض انتفاؤهما فی غیر الواجب و الحرام،فتدبّر.</w:t>
      </w:r>
    </w:p>
    <w:p>
      <w:pPr>
        <w:pStyle w:val="BookText"/>
      </w:pPr>
      <w:r>
        <w:rPr>
          <w:rFonts w:ascii="IRNazanin" w:hAnsi="IRNazanin" w:eastAsia="IRNazanin" w:cs="IRNazanin"/>
          <w:lang w:bidi="fa-IR"/>
          <w:color w:val="111111"/>
          <w:sz w:val="28"/>
          <w:szCs w:val="28"/>
          <w:rtl/>
        </w:rPr>
        <w:t xml:space="preserve">[شماره صفحه واقعی : 194]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21" w:name="pg14411_142584"/>
    <w:bookmarkEnd w:id="121"/>
    <w:p>
      <w:pPr>
        <w:pStyle w:val="Heading6"/>
      </w:pPr>
      <w:bookmarkStart w:id="1208" w:name="_Toc243"/>
      <w:r>
        <w:t>الموضع الثانی فی الشکّ فی المکلّف به مع العلم بنوع التکلیف</w:t>
      </w:r>
      <w:bookmarkEnd w:id="1208"/>
    </w:p>
    <w:p>
      <w:pPr>
        <w:pStyle w:val="Heading6"/>
      </w:pPr>
      <w:bookmarkStart w:id="1209" w:name="_Toc244"/>
      <w:r>
        <w:t>اشارة</w:t>
      </w:r>
      <w:bookmarkEnd w:id="1209"/>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بأن یعلم الحرمة أو الوجوب و یشتبه الحرام أو الواجب.</w:t>
      </w:r>
    </w:p>
    <w:p>
      <w:pPr>
        <w:pStyle w:val="BookText"/>
      </w:pPr>
      <w:r>
        <w:rPr>
          <w:rFonts w:ascii="IRNazanin" w:hAnsi="IRNazanin" w:eastAsia="IRNazanin" w:cs="IRNazanin"/>
          <w:lang w:bidi="fa-IR"/>
          <w:color w:val="111111"/>
          <w:sz w:val="28"/>
          <w:szCs w:val="28"/>
          <w:rtl/>
        </w:rPr>
        <w:t xml:space="preserve">و مطالبه-أیضا-ثلاثة:</w:t>
      </w:r>
    </w:p>
    <w:p>
      <w:pPr>
        <w:pStyle w:val="BookText"/>
      </w:pPr>
      <w:r>
        <w:rPr>
          <w:rFonts w:ascii="IRNazanin" w:hAnsi="IRNazanin" w:eastAsia="IRNazanin" w:cs="IRNazanin"/>
          <w:lang w:bidi="fa-IR"/>
          <w:color w:val="111111"/>
          <w:sz w:val="28"/>
          <w:szCs w:val="28"/>
          <w:rtl/>
        </w:rPr>
        <w:t xml:space="preserve">[شماره صفحه واقعی : 195]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196]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22" w:name="pg14411_142586"/>
    <w:bookmarkEnd w:id="122"/>
    <w:p>
      <w:pPr>
        <w:pStyle w:val="Heading6"/>
      </w:pPr>
      <w:bookmarkStart w:id="1210" w:name="_Toc245"/>
      <w:r>
        <w:t>المطلب الأوّل فی دوران الأمر بین الحرام و غیر الواجب</w:t>
      </w:r>
      <w:bookmarkEnd w:id="1210"/>
    </w:p>
    <w:p>
      <w:pPr>
        <w:pStyle w:val="Heading6"/>
      </w:pPr>
      <w:bookmarkStart w:id="1211" w:name="_Toc246"/>
      <w:r>
        <w:t>اشارة</w:t>
      </w:r>
      <w:bookmarkEnd w:id="1211"/>
    </w:p>
    <w:p>
      <w:pPr>
        <w:pStyle w:val="BookText"/>
      </w:pPr>
      <w:r>
        <w:rPr>
          <w:rStyle w:val="FootnoteReference"/>
        </w:rPr>
        <w:footnoteReference w:id="636"/>
      </w:r>
      <w:r>
        <w:rPr>
          <w:rFonts w:ascii="IRNazanin" w:hAnsi="IRNazanin" w:eastAsia="IRNazanin" w:cs="IRNazanin"/>
          <w:lang w:bidi="fa-IR"/>
          <w:color w:val="111111"/>
          <w:sz w:val="28"/>
          <w:szCs w:val="28"/>
          <w:rtl/>
        </w:rPr>
        <w:t xml:space="preserve">
و مسائله أربع:</w:t>
      </w:r>
    </w:p>
    <w:p>
      <w:pPr>
        <w:pStyle w:val="BookText"/>
      </w:pPr>
      <w:r>
        <w:rPr>
          <w:rFonts w:ascii="IRNazanin" w:hAnsi="IRNazanin" w:eastAsia="IRNazanin" w:cs="IRNazanin"/>
          <w:lang w:bidi="fa-IR"/>
          <w:color w:val="111111"/>
          <w:sz w:val="28"/>
          <w:szCs w:val="28"/>
          <w:rtl/>
        </w:rPr>
        <w:t xml:space="preserve">[شماره صفحه واقعی : 197]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23" w:name="pg14411_142587"/>
    <w:bookmarkEnd w:id="123"/>
    <w:p>
      <w:pPr>
        <w:pStyle w:val="Heading6"/>
      </w:pPr>
      <w:bookmarkStart w:id="1212" w:name="_Toc247"/>
      <w:r>
        <w:t>المسألة الاولی : لو علم التحریم و شکّ فی الحرام من جهة اشتباه الموضوع الخارجی</w:t>
      </w:r>
      <w:bookmarkEnd w:id="1212"/>
    </w:p>
    <w:p>
      <w:pPr>
        <w:pStyle w:val="Heading6"/>
      </w:pPr>
      <w:bookmarkStart w:id="1213" w:name="_Toc248"/>
      <w:r>
        <w:t>اشارة</w:t>
      </w:r>
      <w:bookmarkEnd w:id="1213"/>
    </w:p>
    <w:p>
      <w:pPr>
        <w:pStyle w:val="BookText"/>
      </w:pPr>
      <w:r>
        <w:rPr>
          <w:rFonts w:ascii="IRNazanin" w:hAnsi="IRNazanin" w:eastAsia="IRNazanin" w:cs="IRNazanin"/>
          <w:lang w:bidi="fa-IR"/>
          <w:color w:val="111111"/>
          <w:sz w:val="28"/>
          <w:szCs w:val="28"/>
          <w:rtl/>
        </w:rPr>
        <w:t xml:space="preserve">و إنّما قدّمنا الشبهة الموضوعیّة هنا؛لاشتهار عنوانها فی کلام العلماء،بخلاف عنوان الشبهة الحکمیّة.</w:t>
      </w:r>
    </w:p>
    <w:p>
      <w:pPr>
        <w:pStyle w:val="BookText"/>
      </w:pPr>
      <w:r>
        <w:rPr>
          <w:rFonts w:ascii="IRNazanin" w:hAnsi="IRNazanin" w:eastAsia="IRNazanin" w:cs="IRNazanin"/>
          <w:lang w:bidi="fa-IR"/>
          <w:color w:val="111111"/>
          <w:sz w:val="28"/>
          <w:szCs w:val="28"/>
          <w:rtl/>
        </w:rPr>
        <w:t xml:space="preserve">ثمّ الحرام المشتبه بغیره إمّا مشتبه فی امور محصورة،کما لو دار بین أمرین أو امور محصورة،و یسمّی بالشبهة المحصورة،و إمّا مشتبه فی امور غیر محصورة.</w:t>
      </w:r>
    </w:p>
    <w:p>
      <w:pPr>
        <w:pStyle w:val="BookText"/>
      </w:pPr>
      <w:r>
        <w:rPr>
          <w:rFonts w:ascii="IRNazanin" w:hAnsi="IRNazanin" w:eastAsia="IRNazanin" w:cs="IRNazanin"/>
          <w:lang w:bidi="fa-IR"/>
          <w:color w:val="111111"/>
          <w:sz w:val="28"/>
          <w:szCs w:val="28"/>
          <w:rtl/>
        </w:rPr>
        <w:t xml:space="preserve">[شماره صفحه واقعی : 198]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24" w:name="pg14411_142588"/>
    <w:bookmarkEnd w:id="124"/>
    <w:p>
      <w:pPr>
        <w:pStyle w:val="Heading6"/>
      </w:pPr>
      <w:bookmarkStart w:id="1214" w:name="_Toc249"/>
      <w:r>
        <w:t>أمّا[المقام] الأوّل [فی الشبهة المحصورة][،و فیه مقامان:]</w:t>
      </w:r>
      <w:bookmarkEnd w:id="1214"/>
    </w:p>
    <w:p>
      <w:pPr>
        <w:pStyle w:val="Heading6"/>
      </w:pPr>
      <w:bookmarkStart w:id="1215" w:name="_Toc250"/>
      <w:r>
        <w:t>اشارة</w:t>
      </w:r>
      <w:bookmarkEnd w:id="1215"/>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Amiri" w:hAnsi="Amiri" w:eastAsia="Amiri" w:cs="Amiri"/>
          <w:lang w:bidi="ar-SA"/>
          <w:color w:val="111111"/>
          <w:sz w:val="28"/>
          <w:szCs w:val="28"/>
          <w:rtl/>
        </w:rPr>
        <w:t xml:space="preserve">أمّا[المقام] </w:t>
      </w:r>
      <w:r>
        <w:rPr>
          <w:rStyle w:val="FootnoteReference"/>
        </w:rPr>
        <w:footnoteReference w:id="637"/>
      </w:r>
      <w:r>
        <w:rPr>
          <w:rFonts w:ascii="IRNazanin" w:hAnsi="IRNazanin" w:eastAsia="IRNazanin" w:cs="IRNazanin"/>
          <w:lang w:bidi="fa-IR"/>
          <w:color w:val="111111"/>
          <w:sz w:val="28"/>
          <w:szCs w:val="28"/>
          <w:rtl/>
        </w:rPr>
        <w:t xml:space="preserve">الأوّل [فی الشبهة المحصورة] </w:t>
      </w:r>
      <w:r>
        <w:rPr>
          <w:rStyle w:val="FootnoteReference"/>
        </w:rPr>
        <w:footnoteReference w:id="638"/>
      </w:r>
      <w:r>
        <w:rPr>
          <w:rFonts w:ascii="IRNazanin" w:hAnsi="IRNazanin" w:eastAsia="IRNazanin" w:cs="IRNazanin"/>
          <w:lang w:bidi="fa-IR"/>
          <w:color w:val="111111"/>
          <w:sz w:val="28"/>
          <w:szCs w:val="28"/>
          <w:rtl/>
        </w:rPr>
        <w:t xml:space="preserve">[،و فیه مقامان:]</w:t>
      </w:r>
    </w:p>
    <w:p>
      <w:pPr>
        <w:pStyle w:val="BookText"/>
      </w:pPr>
      <w:r>
        <w:rPr>
          <w:rFonts w:ascii="IRNazanin" w:hAnsi="IRNazanin" w:eastAsia="IRNazanin" w:cs="IRNazanin"/>
          <w:lang w:bidi="fa-IR"/>
          <w:color w:val="111111"/>
          <w:sz w:val="28"/>
          <w:szCs w:val="28"/>
          <w:rtl/>
        </w:rPr>
        <w:t xml:space="preserve">فالکلام فیه یقع فی مقامین:</w:t>
      </w:r>
    </w:p>
    <w:p>
      <w:pPr>
        <w:pStyle w:val="BookText"/>
      </w:pPr>
      <w:r>
        <w:rPr>
          <w:rFonts w:ascii="IRNazanin" w:hAnsi="IRNazanin" w:eastAsia="IRNazanin" w:cs="IRNazanin"/>
          <w:lang w:bidi="fa-IR"/>
          <w:color w:val="111111"/>
          <w:sz w:val="28"/>
          <w:szCs w:val="28"/>
          <w:rtl/>
        </w:rPr>
        <w:t xml:space="preserve">أحدهما:جواز ارتکاب کلا الأمرین أو الامور و طرح العلم الإجمالی و عدمه،و بعبارة اخری:حرمة المخالفة القطعیّة للتکلیف المعلوم و عدمها.</w:t>
      </w:r>
    </w:p>
    <w:p>
      <w:pPr>
        <w:pStyle w:val="BookText"/>
      </w:pPr>
      <w:r>
        <w:rPr>
          <w:rFonts w:ascii="IRNazanin" w:hAnsi="IRNazanin" w:eastAsia="IRNazanin" w:cs="IRNazanin"/>
          <w:lang w:bidi="fa-IR"/>
          <w:color w:val="111111"/>
          <w:sz w:val="28"/>
          <w:szCs w:val="28"/>
          <w:rtl/>
        </w:rPr>
        <w:t xml:space="preserve">الثانی:وجوب اجتناب الکلّ و عدمه،و بعبارة اخری:وجوب الموافقة القطعیّة للتکلیف المعلوم و عدمه.</w:t>
      </w:r>
    </w:p>
    <w:p>
      <w:pPr>
        <w:pStyle w:val="BookText"/>
      </w:pPr>
      <w:r>
        <w:rPr>
          <w:rFonts w:ascii="IRNazanin" w:hAnsi="IRNazanin" w:eastAsia="IRNazanin" w:cs="IRNazanin"/>
          <w:lang w:bidi="fa-IR"/>
          <w:color w:val="111111"/>
          <w:sz w:val="28"/>
          <w:szCs w:val="28"/>
          <w:rtl/>
        </w:rPr>
        <w:t xml:space="preserve">[شماره صفحه واقعی : 199]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25" w:name="pg14411_142589"/>
    <w:bookmarkEnd w:id="125"/>
    <w:p>
      <w:pPr>
        <w:pStyle w:val="Heading6"/>
      </w:pPr>
      <w:bookmarkStart w:id="1216" w:name="_Toc251"/>
      <w:r>
        <w:t>[المقام الأوّل : هل یجوز ارتکاب جمیع المشتبهات؟]</w:t>
      </w:r>
      <w:bookmarkEnd w:id="1216"/>
    </w:p>
    <w:p>
      <w:pPr>
        <w:pStyle w:val="Heading6"/>
      </w:pPr>
      <w:bookmarkStart w:id="1217" w:name="_Toc252"/>
      <w:r>
        <w:t>اشارة</w:t>
      </w:r>
      <w:bookmarkEnd w:id="1217"/>
    </w:p>
    <w:p>
      <w:pPr>
        <w:pStyle w:val="BookText"/>
      </w:pPr>
      <w:r>
        <w:rPr>
          <w:rFonts w:ascii="IRNazanin" w:hAnsi="IRNazanin" w:eastAsia="IRNazanin" w:cs="IRNazanin"/>
          <w:lang w:bidi="fa-IR"/>
          <w:color w:val="111111"/>
          <w:sz w:val="28"/>
          <w:szCs w:val="28"/>
          <w:rtl/>
        </w:rPr>
        <w:t xml:space="preserve">أمّا المقام الأوّل:هل یجوز ارتکاب جمیع المشتبهات؟</w:t>
      </w:r>
    </w:p>
    <w:p>
      <w:pPr>
        <w:pStyle w:val="Heading6"/>
      </w:pPr>
      <w:bookmarkStart w:id="1218" w:name="_Toc253"/>
      <w:r>
        <w:t>[الحقّ حرمة المخالفة القطعیّة و الاستدلال علیه]</w:t>
      </w:r>
      <w:bookmarkEnd w:id="1218"/>
    </w:p>
    <w:p>
      <w:pPr>
        <w:pStyle w:val="BookText"/>
      </w:pPr>
      <w:r>
        <w:rPr>
          <w:rFonts w:ascii="IRNazanin" w:hAnsi="IRNazanin" w:eastAsia="IRNazanin" w:cs="IRNazanin"/>
          <w:lang w:bidi="fa-IR"/>
          <w:color w:val="111111"/>
          <w:sz w:val="28"/>
          <w:szCs w:val="28"/>
          <w:rtl/>
        </w:rPr>
        <w:t xml:space="preserve">فالحقّ فیه:عدم الجواز و حرمة المخالفة القطعیّة،و حکی عن ظاهر بعض </w:t>
      </w:r>
      <w:r>
        <w:rPr>
          <w:rStyle w:val="FootnoteReference"/>
        </w:rPr>
        <w:footnoteReference w:id="639"/>
      </w:r>
      <w:r>
        <w:rPr>
          <w:rFonts w:ascii="IRNazanin" w:hAnsi="IRNazanin" w:eastAsia="IRNazanin" w:cs="IRNazanin"/>
          <w:lang w:bidi="fa-IR"/>
          <w:color w:val="111111"/>
          <w:sz w:val="28"/>
          <w:szCs w:val="28"/>
          <w:rtl/>
        </w:rPr>
        <w:t xml:space="preserve">جوازها </w:t>
      </w:r>
      <w:r>
        <w:rPr>
          <w:rStyle w:val="FootnoteReference"/>
        </w:rPr>
        <w:footnoteReference w:id="6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لنا علی ذلک:وجود المقتضی للحرمة و عدم المانع عنها.</w:t>
      </w:r>
    </w:p>
    <w:p>
      <w:pPr>
        <w:pStyle w:val="BookText"/>
      </w:pPr>
      <w:r>
        <w:rPr>
          <w:rFonts w:ascii="IRNazanin" w:hAnsi="IRNazanin" w:eastAsia="IRNazanin" w:cs="IRNazanin"/>
          <w:lang w:bidi="fa-IR"/>
          <w:color w:val="111111"/>
          <w:sz w:val="28"/>
          <w:szCs w:val="28"/>
          <w:rtl/>
        </w:rPr>
        <w:t xml:space="preserve">أمّا ثبوت المقتضی:فلعموم دلیل تحریم ذلک العنوان المشتبه؛فإنّ قول الشارع:«اجتنب عن الخمر»،یشمل الخمر الموجود المعلوم المشتبه بین الإناءین أو أزید،و لا وجه لتخصیصه بالخمر المعلوم تفصیلا.</w:t>
      </w:r>
    </w:p>
    <w:p>
      <w:pPr>
        <w:pStyle w:val="BookText"/>
      </w:pPr>
      <w:r>
        <w:rPr>
          <w:rFonts w:ascii="IRNazanin" w:hAnsi="IRNazanin" w:eastAsia="IRNazanin" w:cs="IRNazanin"/>
          <w:lang w:bidi="fa-IR"/>
          <w:color w:val="111111"/>
          <w:sz w:val="28"/>
          <w:szCs w:val="28"/>
          <w:rtl/>
        </w:rPr>
        <w:t xml:space="preserve">مع أنّه لو اختصّ الدلیل بالمعلوم تفصیلا خرج الفرد المعلوم إجمالا عن کونه حراما واقعیّا و کان حلالا واقعیّا </w:t>
      </w:r>
      <w:r>
        <w:rPr>
          <w:rStyle w:val="FootnoteReference"/>
        </w:rPr>
        <w:footnoteReference w:id="641"/>
      </w:r>
      <w:r>
        <w:rPr>
          <w:rFonts w:ascii="IRNazanin" w:hAnsi="IRNazanin" w:eastAsia="IRNazanin" w:cs="IRNazanin"/>
          <w:lang w:bidi="fa-IR"/>
          <w:color w:val="111111"/>
          <w:sz w:val="28"/>
          <w:szCs w:val="28"/>
          <w:rtl/>
        </w:rPr>
        <w:t xml:space="preserve">،و لا أظنّ أحدا یلتزم بذلک،حتّی من یقول بکون الألفاظ أسامی للامور المعلومة؛فإنّ الظاهر إرادتهم الأعمّ من المعلوم إجمالا.</w:t>
      </w:r>
    </w:p>
    <w:p>
      <w:pPr>
        <w:pStyle w:val="BookText"/>
      </w:pPr>
      <w:r>
        <w:rPr>
          <w:rFonts w:ascii="IRNazanin" w:hAnsi="IRNazanin" w:eastAsia="IRNazanin" w:cs="IRNazanin"/>
          <w:lang w:bidi="fa-IR"/>
          <w:color w:val="111111"/>
          <w:sz w:val="28"/>
          <w:szCs w:val="28"/>
          <w:rtl/>
        </w:rPr>
        <w:t xml:space="preserve">و أمّا عدم المانع:فلأنّ العقل لا یمنع من التکلیف-عموما أو خصوصا-بالاجتناب عن عنوان الحرام المشتبه فی أمرین أو امور، و العقاب علی مخالفة هذا التکلیف.</w:t>
      </w:r>
    </w:p>
    <w:p>
      <w:pPr>
        <w:pStyle w:val="BookText"/>
      </w:pPr>
      <w:r>
        <w:rPr>
          <w:rFonts w:ascii="IRNazanin" w:hAnsi="IRNazanin" w:eastAsia="IRNazanin" w:cs="IRNazanin"/>
          <w:lang w:bidi="fa-IR"/>
          <w:color w:val="111111"/>
          <w:sz w:val="28"/>
          <w:szCs w:val="28"/>
          <w:rtl/>
        </w:rPr>
        <w:t xml:space="preserve">و أمّا الشرع فلم یرد فیه ما یصلح للمنع عدا ما ورد،من قولهم علیهم السّلام:«کلّ شیء حلال حتّی تعرف أنّه حرام بعینه» </w:t>
      </w:r>
      <w:r>
        <w:rPr>
          <w:rStyle w:val="FootnoteReference"/>
        </w:rPr>
        <w:footnoteReference w:id="642"/>
      </w:r>
      <w:r>
        <w:rPr>
          <w:rFonts w:ascii="Amiri" w:hAnsi="Amiri" w:eastAsia="Amiri" w:cs="Amiri"/>
          <w:lang w:bidi="ar-SA"/>
          <w:color w:val="111111"/>
          <w:sz w:val="28"/>
          <w:szCs w:val="28"/>
          <w:rtl/>
        </w:rPr>
        <w:t xml:space="preserve">،و«کلّ</w:t>
      </w:r>
    </w:p>
    <w:p>
      <w:pPr>
        <w:pStyle w:val="BookText"/>
      </w:pPr>
      <w:r>
        <w:rPr>
          <w:rFonts w:ascii="IRNazanin" w:hAnsi="IRNazanin" w:eastAsia="IRNazanin" w:cs="IRNazanin"/>
          <w:lang w:bidi="fa-IR"/>
          <w:color w:val="111111"/>
          <w:sz w:val="28"/>
          <w:szCs w:val="28"/>
          <w:rtl/>
        </w:rPr>
        <w:t xml:space="preserve">[شماره صفحه واقعی : 200]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26" w:name="pg14411_142590"/>
    <w:bookmarkEnd w:id="126"/>
    <w:p>
      <w:pPr>
        <w:pStyle w:val="BookText"/>
      </w:pPr>
      <w:r>
        <w:rPr>
          <w:rFonts w:ascii="IRNazanin" w:hAnsi="IRNazanin" w:eastAsia="IRNazanin" w:cs="IRNazanin"/>
          <w:lang w:bidi="fa-IR"/>
          <w:color w:val="111111"/>
          <w:sz w:val="28"/>
          <w:szCs w:val="28"/>
          <w:rtl/>
        </w:rPr>
        <w:t xml:space="preserve">شیء فیه حلال و حرام فهو لک حلال حتّی تعرف الحرام منه بعینه» </w:t>
      </w:r>
      <w:r>
        <w:rPr>
          <w:rStyle w:val="FootnoteReference"/>
        </w:rPr>
        <w:footnoteReference w:id="643"/>
      </w:r>
      <w:r>
        <w:rPr>
          <w:rFonts w:ascii="IRNazanin" w:hAnsi="IRNazanin" w:eastAsia="IRNazanin" w:cs="IRNazanin"/>
          <w:lang w:bidi="fa-IR"/>
          <w:color w:val="111111"/>
          <w:sz w:val="28"/>
          <w:szCs w:val="28"/>
          <w:rtl/>
        </w:rPr>
        <w:t xml:space="preserve">، و غیر ذلک </w:t>
      </w:r>
      <w:r>
        <w:rPr>
          <w:rStyle w:val="FootnoteReference"/>
        </w:rPr>
        <w:footnoteReference w:id="644"/>
      </w:r>
      <w:r>
        <w:rPr>
          <w:rFonts w:ascii="IRNazanin" w:hAnsi="IRNazanin" w:eastAsia="IRNazanin" w:cs="IRNazanin"/>
          <w:lang w:bidi="fa-IR"/>
          <w:color w:val="111111"/>
          <w:sz w:val="28"/>
          <w:szCs w:val="28"/>
          <w:rtl/>
        </w:rPr>
        <w:t xml:space="preserve">،بناء علی أنّ هذه الأخبار کما دلّت علی حلّیة المشتبه مع عدم العلم الإجمالیّ و إن کان محرّما فی علم اللّه سبحانه،کذلک دلّت علی حلّیة المشتبه مع العلم الإجمالیّ.</w:t>
      </w:r>
    </w:p>
    <w:p>
      <w:pPr>
        <w:pStyle w:val="BookText"/>
      </w:pPr>
      <w:r>
        <w:rPr>
          <w:rFonts w:ascii="IRNazanin" w:hAnsi="IRNazanin" w:eastAsia="IRNazanin" w:cs="IRNazanin"/>
          <w:lang w:bidi="fa-IR"/>
          <w:color w:val="111111"/>
          <w:sz w:val="28"/>
          <w:szCs w:val="28"/>
          <w:rtl/>
        </w:rPr>
        <w:t xml:space="preserve">و یؤیّده:إطلاق الأمثلة المذکورة فی بعض هذه الروایات،مثل الثوب المحتمل للسرقة و المملوک المحتمل للحرّیة و المرأة المحتملة للرضیعة؛ فإنّ إطلاقها یشمل الاشتباه مع العلم الإجمالی،بل الغالب ثبوت العلم الإجمالیّ،لکن مع کون الشبهة غیر محصورة.</w:t>
      </w:r>
    </w:p>
    <w:p>
      <w:pPr>
        <w:pStyle w:val="Heading6"/>
      </w:pPr>
      <w:bookmarkStart w:id="1219" w:name="_Toc254"/>
      <w:r>
        <w:t>[عدم صلاحیّة أخبار«الحلّ»للمنع عن الحرمة]</w:t>
      </w:r>
      <w:bookmarkEnd w:id="1219"/>
    </w:p>
    <w:p>
      <w:pPr>
        <w:pStyle w:val="BookText"/>
      </w:pPr>
      <w:r>
        <w:rPr>
          <w:rFonts w:ascii="IRNazanin" w:hAnsi="IRNazanin" w:eastAsia="IRNazanin" w:cs="IRNazanin"/>
          <w:lang w:bidi="fa-IR"/>
          <w:color w:val="111111"/>
          <w:sz w:val="28"/>
          <w:szCs w:val="28"/>
          <w:rtl/>
        </w:rPr>
        <w:t xml:space="preserve">و لکن هذه الأخبار و أمثالها لا تصلح للمنع؛لأنّها کما تدلّ علی حلّیة کلّ واحد من المشتبهین،کذلک تدلّ علی حرمة ذلک المعلوم إجمالا؛لأنّه أیضا شیء علم حرمته.</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فإن قلت:إنّ غایة الحلّ معرفة الحرام بشخصه و لم یتحقّق فی المعلوم الإجمالیّ.</w:t>
      </w:r>
    </w:p>
    <w:p>
      <w:pPr>
        <w:pStyle w:val="Heading6"/>
      </w:pPr>
      <w:bookmarkStart w:id="1220" w:name="_Toc255"/>
      <w:r>
        <w:t>[ما هو غایة الحلّ فی أخبار«الحلّ»؟]</w:t>
      </w:r>
      <w:bookmarkEnd w:id="1220"/>
    </w:p>
    <w:p>
      <w:pPr>
        <w:pStyle w:val="BookText"/>
      </w:pPr>
      <w:r>
        <w:rPr>
          <w:rFonts w:ascii="Amiri" w:hAnsi="Amiri" w:eastAsia="Amiri" w:cs="Amiri"/>
          <w:lang w:bidi="ar-SA"/>
          <w:color w:val="111111"/>
          <w:sz w:val="28"/>
          <w:szCs w:val="28"/>
          <w:rtl/>
        </w:rPr>
        <w:t xml:space="preserve">قلت:أمّا قوله علیه السّلام:«کلّ شیء </w:t>
      </w:r>
      <w:r>
        <w:rPr>
          <w:rStyle w:val="FootnoteReference"/>
        </w:rPr>
        <w:footnoteReference w:id="645"/>
      </w:r>
      <w:r>
        <w:rPr>
          <w:rFonts w:ascii="IRNazanin" w:hAnsi="IRNazanin" w:eastAsia="IRNazanin" w:cs="IRNazanin"/>
          <w:lang w:bidi="fa-IR"/>
          <w:color w:val="111111"/>
          <w:sz w:val="28"/>
          <w:szCs w:val="28"/>
          <w:rtl/>
        </w:rPr>
        <w:t xml:space="preserve">حلال حتّی تعلم أنّه حرام بعینه»فلا یدلّ علی ما ذکرت؛لأنّ قوله علیه السّلام:«بعینه»تأکید للضمیر جیء به للاهتمام فی اعتبار العلم،کما یقال:«رأیت زیدا نفسه بعینه» </w:t>
      </w:r>
      <w:r>
        <w:rPr>
          <w:rStyle w:val="FootnoteReference"/>
        </w:rPr>
        <w:footnoteReference w:id="646"/>
      </w:r>
      <w:r>
        <w:rPr>
          <w:rFonts w:ascii="IRNazanin" w:hAnsi="IRNazanin" w:eastAsia="IRNazanin" w:cs="IRNazanin"/>
          <w:lang w:bidi="fa-IR"/>
          <w:color w:val="111111"/>
          <w:sz w:val="28"/>
          <w:szCs w:val="28"/>
          <w:rtl/>
        </w:rPr>
        <w:t xml:space="preserve">لدفع توهّم وقوع الاشتباه فی الرؤیة؛و إلاّ فکلّ شیء علم حرمته فقد</w:t>
      </w:r>
    </w:p>
    <w:p>
      <w:pPr>
        <w:pStyle w:val="BookText"/>
      </w:pPr>
      <w:r>
        <w:rPr>
          <w:rFonts w:ascii="IRNazanin" w:hAnsi="IRNazanin" w:eastAsia="IRNazanin" w:cs="IRNazanin"/>
          <w:lang w:bidi="fa-IR"/>
          <w:color w:val="111111"/>
          <w:sz w:val="28"/>
          <w:szCs w:val="28"/>
          <w:rtl/>
        </w:rPr>
        <w:t xml:space="preserve">[شماره صفحه واقعی : 201]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علم حرمته بعینه </w:t>
      </w:r>
      <w:r>
        <w:rPr>
          <w:rStyle w:val="FootnoteReference"/>
        </w:rPr>
        <w:footnoteReference w:id="647"/>
      </w:r>
      <w:r>
        <w:rPr>
          <w:rFonts w:ascii="IRNazanin" w:hAnsi="IRNazanin" w:eastAsia="IRNazanin" w:cs="IRNazanin"/>
          <w:lang w:bidi="fa-IR"/>
          <w:color w:val="111111"/>
          <w:sz w:val="28"/>
          <w:szCs w:val="28"/>
          <w:rtl/>
        </w:rPr>
        <w:t xml:space="preserve">،فإذا علم نجاسة إناء زید و طهارة إناء عمرو فاشتبه الإناءان،فإناء زید شیء علم حرمته بعینه.</w:t>
      </w:r>
    </w:p>
    <w:p>
      <w:pPr>
        <w:pStyle w:val="BookText"/>
      </w:pPr>
      <w:r>
        <w:rPr>
          <w:rFonts w:ascii="IRNazanin" w:hAnsi="IRNazanin" w:eastAsia="IRNazanin" w:cs="IRNazanin"/>
          <w:lang w:bidi="fa-IR"/>
          <w:color w:val="111111"/>
          <w:sz w:val="28"/>
          <w:szCs w:val="28"/>
          <w:rtl/>
        </w:rPr>
        <w:t xml:space="preserve">نعم،یتّصف هذا المعلوم المعیّن بکونه لا بعینه إذا اطلق علیه عنوان«أحدهما»فیقال:أحدهما لا بعینه،فی مقابل أحدهما المعیّن عند القائل.</w:t>
      </w:r>
    </w:p>
    <w:p>
      <w:pPr>
        <w:pStyle w:val="BookText"/>
      </w:pPr>
      <w:r>
        <w:rPr>
          <w:rFonts w:ascii="IRNazanin" w:hAnsi="IRNazanin" w:eastAsia="IRNazanin" w:cs="IRNazanin"/>
          <w:lang w:bidi="fa-IR"/>
          <w:color w:val="111111"/>
          <w:sz w:val="28"/>
          <w:szCs w:val="28"/>
          <w:rtl/>
        </w:rPr>
        <w:t xml:space="preserve">و أمّا قوله علیه السّلام:«فهو لک حلال حتّی تعرف الحرام منه بعینه»، فله ظهور فی ما ذکر؛حیث إنّ قوله:«بعینه»قید للمعرفة،فمؤدّاه اعتبار معرفة الحرام بشخصه،و لا یتحقّق ذلک إلاّ إذا أمکنت الإشارة الحسّیة إلیه،و </w:t>
      </w:r>
      <w:r>
        <w:rPr>
          <w:rStyle w:val="FootnoteReference"/>
        </w:rPr>
        <w:footnoteReference w:id="648"/>
      </w:r>
      <w:r>
        <w:rPr>
          <w:rFonts w:ascii="IRNazanin" w:hAnsi="IRNazanin" w:eastAsia="IRNazanin" w:cs="IRNazanin"/>
          <w:lang w:bidi="fa-IR"/>
          <w:color w:val="111111"/>
          <w:sz w:val="28"/>
          <w:szCs w:val="28"/>
          <w:rtl/>
        </w:rPr>
        <w:t xml:space="preserve">إناء زید المشتبه بإناء عمرو فی المثال و إن کان معلوما بهذا العنوان إلاّ أنّه مجهول باعتبار الامور الممیّزة له فی الخارج عن إناء عمرو،فلیس معروفا بشخصه.</w:t>
      </w:r>
    </w:p>
    <w:p>
      <w:pPr>
        <w:pStyle w:val="BookText"/>
      </w:pPr>
      <w:r>
        <w:rPr>
          <w:rFonts w:ascii="IRNazanin" w:hAnsi="IRNazanin" w:eastAsia="IRNazanin" w:cs="IRNazanin"/>
          <w:lang w:bidi="fa-IR"/>
          <w:color w:val="111111"/>
          <w:sz w:val="28"/>
          <w:szCs w:val="28"/>
          <w:rtl/>
        </w:rPr>
        <w:t xml:space="preserve">إلاّ أنّ إبقاء الصحیحة علی هذا الظهور یوجب المنافاة لما دلّ علی حرمة ذلک العنوان المشتبه،مثل قوله:«اجتنب عن الخمر»؛لأنّ الإذن فی کلا المشتبهین ینافی المنع عن عنوان مردّد بینهما،و یوجب الحکم بعدم حرمة الخمر المعلوم إجمالا فی متن الواقع،و هو ممّا یشهد الاتّفاق و النصّ علی خلافه،حتّی نفس هذه الأخبار،حیث إنّ مؤدّاها ثبوت الحرمة الواقعیّة للأمر المشتبه.</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فإن قلت:مخالفة الحکم الظاهریّ للحکم الواقعیّ لا یوجب ارتفاع الحکم الواقعیّ،کما فی الشبهة المجرّدة عن العلم الإجمالیّ،مثلا</w:t>
      </w:r>
    </w:p>
    <w:p>
      <w:pPr>
        <w:pStyle w:val="BookText"/>
      </w:pPr>
      <w:r>
        <w:rPr>
          <w:rFonts w:ascii="IRNazanin" w:hAnsi="IRNazanin" w:eastAsia="IRNazanin" w:cs="IRNazanin"/>
          <w:lang w:bidi="fa-IR"/>
          <w:color w:val="111111"/>
          <w:sz w:val="28"/>
          <w:szCs w:val="28"/>
          <w:rtl/>
        </w:rPr>
        <w:t xml:space="preserve">[شماره صفحه واقعی : 202]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27" w:name="pg14411_142592"/>
    <w:bookmarkEnd w:id="127"/>
    <w:p>
      <w:pPr>
        <w:pStyle w:val="BookText"/>
      </w:pPr>
      <w:r>
        <w:rPr>
          <w:rFonts w:ascii="IRNazanin" w:hAnsi="IRNazanin" w:eastAsia="IRNazanin" w:cs="IRNazanin"/>
          <w:lang w:bidi="fa-IR"/>
          <w:color w:val="111111"/>
          <w:sz w:val="28"/>
          <w:szCs w:val="28"/>
          <w:rtl/>
        </w:rPr>
        <w:t xml:space="preserve">قول الشارع:«اجتنب عن الخمر»شامل للخمر الواقعیّ الذی لم یعلم به المکلّف و لو إجمالا،و حلّیته فی الظاهر لا یوجب خروجه عن العموم المذکور حتّی لا یکون حراما واقعیّا،فلا ضیر فی التزام ذلک فی الخمر الواقعیّ المعلوم إجمالا.</w:t>
      </w:r>
    </w:p>
    <w:p>
      <w:pPr>
        <w:pStyle w:val="Heading6"/>
      </w:pPr>
      <w:bookmarkStart w:id="1221" w:name="_Toc256"/>
      <w:r>
        <w:t>[قبح جعل الحکم الظاهری مع علم المکلّف بمخالفته للحکم الواقعی]</w:t>
      </w:r>
      <w:bookmarkEnd w:id="1221"/>
    </w:p>
    <w:p>
      <w:pPr>
        <w:pStyle w:val="BookText"/>
      </w:pPr>
      <w:r>
        <w:rPr>
          <w:rFonts w:ascii="IRNazanin" w:hAnsi="IRNazanin" w:eastAsia="IRNazanin" w:cs="IRNazanin"/>
          <w:lang w:bidi="fa-IR"/>
          <w:color w:val="111111"/>
          <w:sz w:val="28"/>
          <w:szCs w:val="28"/>
          <w:rtl/>
        </w:rPr>
        <w:t xml:space="preserve">قلت:الحکم الظاهریّ لا یقدح مخالفته للحکم الواقعیّ فی نظر الحاکم مع جهل المحکوم بالمخالفة؛لرجوع ذلک إلی معذوریّة المحکوم الجاهل کما فی أصالة البراءة،و إلی </w:t>
      </w:r>
      <w:r>
        <w:rPr>
          <w:rStyle w:val="FootnoteReference"/>
        </w:rPr>
        <w:footnoteReference w:id="649"/>
      </w:r>
      <w:r>
        <w:rPr>
          <w:rFonts w:ascii="IRNazanin" w:hAnsi="IRNazanin" w:eastAsia="IRNazanin" w:cs="IRNazanin"/>
          <w:lang w:bidi="fa-IR"/>
          <w:color w:val="111111"/>
          <w:sz w:val="28"/>
          <w:szCs w:val="28"/>
          <w:rtl/>
        </w:rPr>
        <w:t xml:space="preserve">بدلیّة الحکم الظاهریّ عن الواقع أو کونه طریقا مجعولا إلیه،علی الوجهین فی الطرق الظاهریّة المجعولة.</w:t>
      </w:r>
    </w:p>
    <w:p>
      <w:pPr>
        <w:pStyle w:val="BookText"/>
      </w:pPr>
      <w:r>
        <w:rPr>
          <w:rFonts w:ascii="IRNazanin" w:hAnsi="IRNazanin" w:eastAsia="IRNazanin" w:cs="IRNazanin"/>
          <w:lang w:bidi="fa-IR"/>
          <w:color w:val="111111"/>
          <w:sz w:val="28"/>
          <w:szCs w:val="28"/>
          <w:rtl/>
        </w:rPr>
        <w:t xml:space="preserve">و أمّا مع علم المحکوم بالمخالفة فیقبح من الجاعل جعل کلا الحکمین؛لأنّ العلم بالتحریم یقتضی وجوب الامتثال بالاجتناب عن ذلک المحرّم،فإذن الشارع فی فعله ینافی حکم العقل بوجوب الإطاعة.</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فإن قلت:إذن الشارع فی فعل المحرّم مع علم المکلّف بتحریمه إنّما ینافی حکم العقل من حیث إنّه إذن فی المعصیة و المخالفة،و هو إنّما یقبح مع علم المکلّف بتحقّق المعصیة حین ارتکابها،و الإذن فی ارتکاب المشتبهین لیس کذلک إذا کان علی التدریج،بل هو إذن فی المخالفة مع عدم علم المکلّف بها إلاّ بعدها،و لیس فی العقل ما یقبّح ذلک؛و إلاّ لقبّح الإذن فی ارتکاب جمیع المشتبهات بالشبهة الغیر المحصورة،أو فی ارتکاب مقدار یعلم عادة بکون الحرام فیه،و فی ارتکاب الشبهة المجرّدة التی یعلم المولی اطّلاع العبد بعد الفعل علی کونه معصیة،و فی الحکم بالتخییر الاستمراریّ بین الخبرین أو فتوی المجتهدین.</w:t>
      </w:r>
    </w:p>
    <w:p>
      <w:pPr>
        <w:pStyle w:val="BookText"/>
      </w:pPr>
      <w:r>
        <w:rPr>
          <w:rFonts w:ascii="IRNazanin" w:hAnsi="IRNazanin" w:eastAsia="IRNazanin" w:cs="IRNazanin"/>
          <w:lang w:bidi="fa-IR"/>
          <w:color w:val="111111"/>
          <w:sz w:val="28"/>
          <w:szCs w:val="28"/>
          <w:rtl/>
        </w:rPr>
        <w:t xml:space="preserve">[شماره صفحه واقعی : 203]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28" w:name="pg14411_142593"/>
    <w:bookmarkEnd w:id="128"/>
    <w:p>
      <w:pPr>
        <w:pStyle w:val="BookText"/>
      </w:pPr>
      <w:r>
        <w:rPr>
          <w:rFonts w:ascii="IRNazanin" w:hAnsi="IRNazanin" w:eastAsia="IRNazanin" w:cs="IRNazanin"/>
          <w:lang w:bidi="fa-IR"/>
          <w:color w:val="111111"/>
          <w:sz w:val="28"/>
          <w:szCs w:val="28"/>
          <w:rtl/>
        </w:rPr>
        <w:t xml:space="preserve">قلت:إذن الشارع فی أحد المشتبهین ینافی-أیضا-حکم العقل بوجوب امتثال التکلیف المعلوم المتعلّق بالمصداق المشتبه؛لإیجاب العقل حینئذ الاجتناب عن کلا المشتبهین.</w:t>
      </w:r>
    </w:p>
    <w:p>
      <w:pPr>
        <w:pStyle w:val="BookText"/>
      </w:pPr>
      <w:r>
        <w:rPr>
          <w:rFonts w:ascii="IRNazanin" w:hAnsi="IRNazanin" w:eastAsia="IRNazanin" w:cs="IRNazanin"/>
          <w:lang w:bidi="fa-IR"/>
          <w:color w:val="111111"/>
          <w:sz w:val="28"/>
          <w:szCs w:val="28"/>
          <w:rtl/>
        </w:rPr>
        <w:t xml:space="preserve">نعم،لو أذن الشارع فی ارتکاب أحدهما مع جعل الآخر بدلا عن الواقع فی الاجتزاء بالاجتناب عنه جاز،فإذن الشارع فی أحدهما لا یحسن إلاّ بعد الأمر بالاجتناب عن الآخر بدلا ظاهریّا عن الحرام الواقعیّ،فیکون المحرّم الظاهریّ هو أحدهما علی التخییر و کذا المحلّل الظاهریّ،و یثبت المطلوب و هو حرمة المخالفة القطعیّة بفعل کلا المشتبهین.</w:t>
      </w:r>
    </w:p>
    <w:p>
      <w:pPr>
        <w:pStyle w:val="BookText"/>
      </w:pPr>
      <w:r>
        <w:rPr>
          <w:rFonts w:ascii="IRNazanin" w:hAnsi="IRNazanin" w:eastAsia="IRNazanin" w:cs="IRNazanin"/>
          <w:lang w:bidi="fa-IR"/>
          <w:color w:val="111111"/>
          <w:sz w:val="28"/>
          <w:szCs w:val="28"/>
          <w:rtl/>
        </w:rPr>
        <w:t xml:space="preserve">و حاصل معنی تلک الصحیحة:أنّ کلّ شیء فیه حلال و حرام فهو لک حلال،حتّی تعرف أنّ فی ارتکابه فقط أو فی ارتکابه المقرون مع ارتکاب غیره ارتکابا للحرام،و الأوّل فی العلم التفصیلیّ و الثانی فی العلم الإجمالیّ.</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فإن قلت:إذا فرضنا المشتبهین ممّا لا یمکن ارتکابهما إلاّ تدریجا،ففی زمان ارتکاب أحدهما یتحقّق الاجتناب عن الآخر قهرا، فالمقصود من التخییر و هو ترک أحدهما حاصل مع الإذن فی ارتکاب کلیهما؛إذ لا یعتبر فی ترک الحرام القصد،فضلا عن قصد الامتثال.</w:t>
      </w:r>
    </w:p>
    <w:p>
      <w:pPr>
        <w:pStyle w:val="Heading6"/>
      </w:pPr>
      <w:bookmarkStart w:id="1222" w:name="_Toc257"/>
      <w:r>
        <w:t>[وجوب الاحتیاط فیما لا یرتکب إلاّ تدریجا أیضا]</w:t>
      </w:r>
      <w:bookmarkEnd w:id="1222"/>
    </w:p>
    <w:p>
      <w:pPr>
        <w:pStyle w:val="BookText"/>
      </w:pPr>
      <w:r>
        <w:rPr>
          <w:rFonts w:ascii="IRNazanin" w:hAnsi="IRNazanin" w:eastAsia="IRNazanin" w:cs="IRNazanin"/>
          <w:lang w:bidi="fa-IR"/>
          <w:color w:val="111111"/>
          <w:sz w:val="28"/>
          <w:szCs w:val="28"/>
          <w:rtl/>
        </w:rPr>
        <w:t xml:space="preserve">قلت:الإذن فی فعلهما فی هذه الصورة-أیضا-ینافی الأمر بالاجتناب عن العنوان الواقعیّ المحرّم؛لما تقدّم:من أنّه مع وجود دلیل حرمة ذلک العنوان المعلوم وجوده فی المشتبهین لا یصحّ الإذن فی أحدهما إلاّ بعد المنع عن الآخر بدلا عن المحرّم الواقعیّ،و معناه المنع عن فعله بعده؛لأنّ هذا هو الذی یمکن أن یجعله الشارع بدلا عن</w:t>
      </w:r>
    </w:p>
    <w:p>
      <w:pPr>
        <w:pStyle w:val="BookText"/>
      </w:pPr>
      <w:r>
        <w:rPr>
          <w:rFonts w:ascii="IRNazanin" w:hAnsi="IRNazanin" w:eastAsia="IRNazanin" w:cs="IRNazanin"/>
          <w:lang w:bidi="fa-IR"/>
          <w:color w:val="111111"/>
          <w:sz w:val="28"/>
          <w:szCs w:val="28"/>
          <w:rtl/>
        </w:rPr>
        <w:t xml:space="preserve">[شماره صفحه واقعی : 204]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الحرام الواقعیّ حتّی لا ینافی أمره بالاجتناب عنه؛إذ </w:t>
      </w:r>
      <w:r>
        <w:rPr>
          <w:rStyle w:val="FootnoteReference"/>
        </w:rPr>
        <w:footnoteReference w:id="650"/>
      </w:r>
      <w:r>
        <w:rPr>
          <w:rFonts w:ascii="IRNazanin" w:hAnsi="IRNazanin" w:eastAsia="IRNazanin" w:cs="IRNazanin"/>
          <w:lang w:bidi="fa-IR"/>
          <w:color w:val="111111"/>
          <w:sz w:val="28"/>
          <w:szCs w:val="28"/>
          <w:rtl/>
        </w:rPr>
        <w:t xml:space="preserve">ترکه فی زمان فعل الآخر لا یصلح أن یکون بدلا </w:t>
      </w:r>
      <w:r>
        <w:rPr>
          <w:rStyle w:val="FootnoteReference"/>
        </w:rPr>
        <w:footnoteReference w:id="651"/>
      </w:r>
      <w:r>
        <w:rPr>
          <w:rFonts w:ascii="IRNazanin" w:hAnsi="IRNazanin" w:eastAsia="IRNazanin" w:cs="IRNazanin"/>
          <w:lang w:bidi="fa-IR"/>
          <w:color w:val="111111"/>
          <w:sz w:val="28"/>
          <w:szCs w:val="28"/>
          <w:rtl/>
        </w:rPr>
        <w:t xml:space="preserve">،و حینئذ </w:t>
      </w:r>
      <w:r>
        <w:rPr>
          <w:rStyle w:val="FootnoteReference"/>
        </w:rPr>
        <w:footnoteReference w:id="652"/>
      </w:r>
      <w:r>
        <w:rPr>
          <w:rFonts w:ascii="IRNazanin" w:hAnsi="IRNazanin" w:eastAsia="IRNazanin" w:cs="IRNazanin"/>
          <w:lang w:bidi="fa-IR"/>
          <w:color w:val="111111"/>
          <w:sz w:val="28"/>
          <w:szCs w:val="28"/>
          <w:rtl/>
        </w:rPr>
        <w:t xml:space="preserve">:فإن منع فی هذه الصورة عن واحد من الأمرین المتدرّجین فی الوجود لم یجز ارتکاب الثانی بعد ارتکاب الأوّل؛و إلاّ لغی المنع المذکور.</w:t>
      </w:r>
    </w:p>
    <w:p>
      <w:pPr>
        <w:pStyle w:val="BookText"/>
      </w:pPr>
      <w:r>
        <w:rPr>
          <w:rFonts w:ascii="IRNazanin" w:hAnsi="IRNazanin" w:eastAsia="IRNazanin" w:cs="IRNazanin"/>
          <w:lang w:bidi="fa-IR"/>
          <w:color w:val="111111"/>
          <w:sz w:val="28"/>
          <w:szCs w:val="28"/>
          <w:rtl/>
        </w:rPr>
        <w:t xml:space="preserve">فإن قلت:الإذن فی أحدهما یتوقّف علی المنع عن الآخر فی نفس تلک الواقعة بأن لا یرتکبهما </w:t>
      </w:r>
      <w:r>
        <w:rPr>
          <w:rStyle w:val="FootnoteReference"/>
        </w:rPr>
        <w:footnoteReference w:id="653"/>
      </w:r>
      <w:r>
        <w:rPr>
          <w:rFonts w:ascii="IRNazanin" w:hAnsi="IRNazanin" w:eastAsia="IRNazanin" w:cs="IRNazanin"/>
          <w:lang w:bidi="fa-IR"/>
          <w:color w:val="111111"/>
          <w:sz w:val="28"/>
          <w:szCs w:val="28"/>
          <w:rtl/>
        </w:rPr>
        <w:t xml:space="preserve">دفعة،و المفروض امتناع ذلک فی ما نحن فیه من غیر حاجة إلی المنع،و لا یتوقّف علی المنع عن الآخر بعد ارتکاب الأوّل،کما فی التخییر الظاهریّ الاستمراریّ.</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قلت:تجویز ارتکابهما من أوّل الأمر-و لو تدریجا-طرح لدلیل حرمة الحرام الواقعیّ،و التخییر الاستمراریّ فی مثل ذلک ممنوع، و المسلّم منه ما إذا لم یسبق التکلیف بمعیّن </w:t>
      </w:r>
      <w:r>
        <w:rPr>
          <w:rStyle w:val="FootnoteReference"/>
        </w:rPr>
        <w:footnoteReference w:id="654"/>
      </w:r>
      <w:r>
        <w:rPr>
          <w:rFonts w:ascii="IRNazanin" w:hAnsi="IRNazanin" w:eastAsia="IRNazanin" w:cs="IRNazanin"/>
          <w:lang w:bidi="fa-IR"/>
          <w:color w:val="111111"/>
          <w:sz w:val="28"/>
          <w:szCs w:val="28"/>
          <w:rtl/>
        </w:rPr>
        <w:t xml:space="preserve">أو سبق </w:t>
      </w:r>
      <w:r>
        <w:rPr>
          <w:rStyle w:val="FootnoteReference"/>
        </w:rPr>
        <w:footnoteReference w:id="655"/>
      </w:r>
      <w:r>
        <w:rPr>
          <w:rFonts w:ascii="IRNazanin" w:hAnsi="IRNazanin" w:eastAsia="IRNazanin" w:cs="IRNazanin"/>
          <w:lang w:bidi="fa-IR"/>
          <w:color w:val="111111"/>
          <w:sz w:val="28"/>
          <w:szCs w:val="28"/>
          <w:rtl/>
        </w:rPr>
        <w:t xml:space="preserve">التکلیف </w:t>
      </w:r>
      <w:r>
        <w:rPr>
          <w:rStyle w:val="FootnoteReference"/>
        </w:rPr>
        <w:footnoteReference w:id="656"/>
      </w:r>
      <w:r>
        <w:rPr>
          <w:rFonts w:ascii="IRNazanin" w:hAnsi="IRNazanin" w:eastAsia="IRNazanin" w:cs="IRNazanin"/>
          <w:lang w:bidi="fa-IR"/>
          <w:color w:val="111111"/>
          <w:sz w:val="28"/>
          <w:szCs w:val="28"/>
          <w:rtl/>
        </w:rPr>
        <w:t xml:space="preserve">بالفعل حتّی یکون المأتیّ به فی کلّ دفعة بدلا عن المتروک علی تقدیر وجوبه، دون العکس بأن یکون المتروک فی زمان الإتیان بالآخر بدلا عن المأتیّ به علی تقدیر حرمته،و سیأتی تتمّة ذلک فی الشبهة الغیر المحصورة </w:t>
      </w:r>
      <w:r>
        <w:rPr>
          <w:rStyle w:val="FootnoteReference"/>
        </w:rPr>
        <w:footnoteReference w:id="6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205]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29" w:name="pg14411_142595"/>
    <w:bookmarkEnd w:id="129"/>
    <w:p>
      <w:pPr>
        <w:pStyle w:val="Heading6"/>
      </w:pPr>
      <w:bookmarkStart w:id="1223" w:name="_Toc258"/>
      <w:r>
        <w:t>[توهّم وجود المخالفة القطعیّة للعلم الإجمالی فی الشرعیّات]</w:t>
      </w:r>
      <w:bookmarkEnd w:id="1223"/>
    </w:p>
    <w:p>
      <w:pPr>
        <w:pStyle w:val="Heading6"/>
      </w:pPr>
      <w:bookmarkStart w:id="1224" w:name="_Toc259"/>
      <w:r>
        <w:t>اشارة</w:t>
      </w:r>
      <w:bookmarkEnd w:id="1224"/>
    </w:p>
    <w:p>
      <w:pPr>
        <w:pStyle w:val="BookText"/>
      </w:pPr>
      <w:r>
        <w:rPr>
          <w:rFonts w:ascii="IRNazanin" w:hAnsi="IRNazanin" w:eastAsia="IRNazanin" w:cs="IRNazanin"/>
          <w:lang w:bidi="fa-IR"/>
          <w:color w:val="111111"/>
          <w:sz w:val="28"/>
          <w:szCs w:val="28"/>
          <w:rtl/>
        </w:rPr>
        <w:t xml:space="preserve">فإن قلت:إنّ المخالفة القطعیّة للعلم الإجمالیّ فوق حدّ الاحصاء فی الشرعیّات،کما فی الشبهة الغیر المحصورة،و کما لو قال القائل فی مقام الإقرار:هذا لزید بل لعمرو،فإنّ الحاکم یأخذ المال لزید و قیمته لعمرو،مع أنّ أحدهما أخذ للمال بالباطل،و کذا یجوز للثالث أن یأخذ المال من ید زید و قیمته من ید عمرو،مع علمه بأنّ أحد الأخذین تصرّف فی مال الغیر بغیر إذنه.و لو قال:هذا لزید بل لعمرو بل لخالد،حیث إنّه یغرم لکلّ من عمرو و خالد تمام القیمة،مع أنّ حکم الحاکم باشتغال ذمّته بقیمتین مخالف للواقع قطعا.</w:t>
      </w:r>
    </w:p>
    <w:p>
      <w:pPr>
        <w:pStyle w:val="BookText"/>
      </w:pPr>
      <w:r>
        <w:rPr>
          <w:rFonts w:ascii="IRNazanin" w:hAnsi="IRNazanin" w:eastAsia="IRNazanin" w:cs="IRNazanin"/>
          <w:lang w:bidi="fa-IR"/>
          <w:color w:val="111111"/>
          <w:sz w:val="28"/>
          <w:szCs w:val="28"/>
          <w:rtl/>
        </w:rPr>
        <w:t xml:space="preserve">و أیّ فرق بین قوله علیه السّلام:«إقرار العقلاء علی أنفسهم جائز» </w:t>
      </w:r>
      <w:r>
        <w:rPr>
          <w:rStyle w:val="FootnoteReference"/>
        </w:rPr>
        <w:footnoteReference w:id="658"/>
      </w:r>
      <w:r>
        <w:rPr>
          <w:rFonts w:ascii="IRNazanin" w:hAnsi="IRNazanin" w:eastAsia="IRNazanin" w:cs="IRNazanin"/>
          <w:lang w:bidi="fa-IR"/>
          <w:color w:val="111111"/>
          <w:sz w:val="28"/>
          <w:szCs w:val="28"/>
          <w:rtl/>
        </w:rPr>
        <w:t xml:space="preserve">، و بین أدلّة حلّ ما لم یعرف کونه حراما </w:t>
      </w:r>
      <w:r>
        <w:rPr>
          <w:rStyle w:val="FootnoteReference"/>
        </w:rPr>
        <w:footnoteReference w:id="659"/>
      </w:r>
      <w:r>
        <w:rPr>
          <w:rFonts w:ascii="IRNazanin" w:hAnsi="IRNazanin" w:eastAsia="IRNazanin" w:cs="IRNazanin"/>
          <w:lang w:bidi="fa-IR"/>
          <w:color w:val="111111"/>
          <w:sz w:val="28"/>
          <w:szCs w:val="28"/>
          <w:rtl/>
        </w:rPr>
        <w:t xml:space="preserve">،حتّی أنّ الأوّل یعمّ الإقرارین المعلوم مخالفة أحدهما للواقع،و الثانی لا یعمّ الشیئین المعلوم حرمة أحدهما؟</w:t>
      </w:r>
    </w:p>
    <w:p>
      <w:pPr>
        <w:pStyle w:val="BookText"/>
      </w:pPr>
      <w:r>
        <w:rPr>
          <w:rFonts w:ascii="IRNazanin" w:hAnsi="IRNazanin" w:eastAsia="IRNazanin" w:cs="IRNazanin"/>
          <w:lang w:bidi="fa-IR"/>
          <w:color w:val="111111"/>
          <w:sz w:val="28"/>
          <w:szCs w:val="28"/>
          <w:rtl/>
        </w:rPr>
        <w:t xml:space="preserve">و کذلک لو تداعیا عینا فی موضع یحکم بتنصیفها بینهما،مع العلم بأنّها لیست إلاّ لأحدهما.</w:t>
      </w:r>
    </w:p>
    <w:p>
      <w:pPr>
        <w:pStyle w:val="BookText"/>
      </w:pPr>
      <w:r>
        <w:rPr>
          <w:rFonts w:ascii="IRNazanin" w:hAnsi="IRNazanin" w:eastAsia="IRNazanin" w:cs="IRNazanin"/>
          <w:lang w:bidi="fa-IR"/>
          <w:color w:val="111111"/>
          <w:sz w:val="28"/>
          <w:szCs w:val="28"/>
          <w:rtl/>
        </w:rPr>
        <w:t xml:space="preserve">و ذکروا-أیضا-فی باب الصلح:أنّه لو کان لأحد المودعین </w:t>
      </w:r>
      <w:r>
        <w:rPr>
          <w:rStyle w:val="FootnoteReference"/>
        </w:rPr>
        <w:footnoteReference w:id="660"/>
      </w:r>
      <w:r>
        <w:rPr>
          <w:rFonts w:ascii="IRNazanin" w:hAnsi="IRNazanin" w:eastAsia="IRNazanin" w:cs="IRNazanin"/>
          <w:lang w:bidi="fa-IR"/>
          <w:color w:val="111111"/>
          <w:sz w:val="28"/>
          <w:szCs w:val="28"/>
          <w:rtl/>
        </w:rPr>
        <w:t xml:space="preserve">درهم و للآخر درهمان،فتلف عند الودعیّ أحد الدراهم،فإنّه یقسّم أحد الدرهمین الباقیین بین المالکین،مع العلم الإجمالیّ بأنّ دفع أحد النصفین دفع للمال إلی غیر صاحبه.</w:t>
      </w:r>
    </w:p>
    <w:p>
      <w:pPr>
        <w:pStyle w:val="BookText"/>
      </w:pPr>
      <w:r>
        <w:rPr>
          <w:rFonts w:ascii="IRNazanin" w:hAnsi="IRNazanin" w:eastAsia="IRNazanin" w:cs="IRNazanin"/>
          <w:lang w:bidi="fa-IR"/>
          <w:color w:val="111111"/>
          <w:sz w:val="28"/>
          <w:szCs w:val="28"/>
          <w:rtl/>
        </w:rPr>
        <w:t xml:space="preserve">[شماره صفحه واقعی : 206]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30" w:name="pg14411_142596"/>
    <w:bookmarkEnd w:id="130"/>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 کذا لو اختلف المتبایعان فی المبیع أو الثمن و حکم بالتحالف و انفساخ البیع،فإنّه یلزم مخالفة العلم الإجمالی بل التفصیلی فی بعض الفروض،کما لا یخفی.</w:t>
      </w:r>
    </w:p>
    <w:p>
      <w:pPr>
        <w:pStyle w:val="Heading6"/>
      </w:pPr>
      <w:bookmarkStart w:id="1225" w:name="_Toc260"/>
      <w:r>
        <w:t>[الجواب عن التوهّم المذکور]</w:t>
      </w:r>
      <w:bookmarkEnd w:id="1225"/>
    </w:p>
    <w:p>
      <w:pPr>
        <w:pStyle w:val="BookText"/>
      </w:pPr>
      <w:r>
        <w:rPr>
          <w:rFonts w:ascii="IRNazanin" w:hAnsi="IRNazanin" w:eastAsia="IRNazanin" w:cs="IRNazanin"/>
          <w:lang w:bidi="fa-IR"/>
          <w:color w:val="111111"/>
          <w:sz w:val="28"/>
          <w:szCs w:val="28"/>
          <w:rtl/>
        </w:rPr>
        <w:t xml:space="preserve">قلت:أمّا الشبهة الغیر المحصورة فسیجیء وجه جواز المخالفة فیها </w:t>
      </w:r>
      <w:r>
        <w:rPr>
          <w:rStyle w:val="FootnoteReference"/>
        </w:rPr>
        <w:footnoteReference w:id="6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الحاکم فوظیفته أخذ ما یستحقّه المحکوم له علی المحکوم علیه بالأسباب الظاهریّة،کالإقرار و الحلف و البیّنة و غیرها،فهو قائم مقام المستحقّ فی أخذ حقّه،و لا عبرة بعلمه الإجمالیّ.</w:t>
      </w:r>
    </w:p>
    <w:p>
      <w:pPr>
        <w:pStyle w:val="BookText"/>
      </w:pPr>
      <w:r>
        <w:rPr>
          <w:rFonts w:ascii="IRNazanin" w:hAnsi="IRNazanin" w:eastAsia="IRNazanin" w:cs="IRNazanin"/>
          <w:lang w:bidi="fa-IR"/>
          <w:color w:val="111111"/>
          <w:sz w:val="28"/>
          <w:szCs w:val="28"/>
          <w:rtl/>
        </w:rPr>
        <w:t xml:space="preserve">نظیر ذلک:ما إذا أذن المفتی لکلّ واحد من واجدی المنیّ فی الثوب المشترک فی دخول المسجد،فإنّه إنّما یأذن کلاّ منهما بملاحظة تکلیفه فی نفسه،فلا یقال:إنّه یلزم من ذلک إذن الجنب فی دخول المسجد و هو حرام.</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 أمّا غیر الحاکم ممّن اتّفق له أخذ المالین من الشخصین المقرّ لهما فی مسألة الإقرار،فلا نسلّم جواز أخذه لهما،بل و لا لشیء منهما،إلاّ إذا قلنا بأنّ ما یأخذه کلّ </w:t>
      </w:r>
      <w:r>
        <w:rPr>
          <w:rStyle w:val="FootnoteReference"/>
        </w:rPr>
        <w:footnoteReference w:id="662"/>
      </w:r>
      <w:r>
        <w:rPr>
          <w:rFonts w:ascii="IRNazanin" w:hAnsi="IRNazanin" w:eastAsia="IRNazanin" w:cs="IRNazanin"/>
          <w:lang w:bidi="fa-IR"/>
          <w:color w:val="111111"/>
          <w:sz w:val="28"/>
          <w:szCs w:val="28"/>
          <w:rtl/>
        </w:rPr>
        <w:t xml:space="preserve">منهما یعامل معه معاملة الملک الواقعیّ، نظیر ما یملکه ظاهرا بتقلید أو اجتهاد مخالف </w:t>
      </w:r>
      <w:r>
        <w:rPr>
          <w:rStyle w:val="FootnoteReference"/>
        </w:rPr>
        <w:footnoteReference w:id="663"/>
      </w:r>
      <w:r>
        <w:rPr>
          <w:rFonts w:ascii="IRNazanin" w:hAnsi="IRNazanin" w:eastAsia="IRNazanin" w:cs="IRNazanin"/>
          <w:lang w:bidi="fa-IR"/>
          <w:color w:val="111111"/>
          <w:sz w:val="28"/>
          <w:szCs w:val="28"/>
          <w:rtl/>
        </w:rPr>
        <w:t xml:space="preserve">لمذهب من یرید ترتیب الأثر </w:t>
      </w:r>
      <w:r>
        <w:rPr>
          <w:rStyle w:val="FootnoteReference"/>
        </w:rPr>
        <w:footnoteReference w:id="664"/>
      </w:r>
      <w:r>
        <w:rPr>
          <w:rFonts w:ascii="IRNazanin" w:hAnsi="IRNazanin" w:eastAsia="IRNazanin" w:cs="IRNazanin"/>
          <w:lang w:bidi="fa-IR"/>
          <w:color w:val="111111"/>
          <w:sz w:val="28"/>
          <w:szCs w:val="28"/>
          <w:rtl/>
        </w:rPr>
        <w:t xml:space="preserve">،بناء علی أنّ العبرة فی ترتیب آثار الموضوعات الثابتة فی الشریعة-کالملکیّة و الزوجیّة و غیرهما-بصحّتها عند المتلبّس بها -کالمالک و الزوجین-ما لم یعلم تفصیلا من یرید ترتیب الأثر خلاف</w:t>
      </w:r>
    </w:p>
    <w:p>
      <w:pPr>
        <w:pStyle w:val="BookText"/>
      </w:pPr>
      <w:r>
        <w:rPr>
          <w:rFonts w:ascii="IRNazanin" w:hAnsi="IRNazanin" w:eastAsia="IRNazanin" w:cs="IRNazanin"/>
          <w:lang w:bidi="fa-IR"/>
          <w:color w:val="111111"/>
          <w:sz w:val="28"/>
          <w:szCs w:val="28"/>
          <w:rtl/>
        </w:rPr>
        <w:t xml:space="preserve">[شماره صفحه واقعی : 207]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ذلک؛و لذا </w:t>
      </w:r>
      <w:r>
        <w:rPr>
          <w:rStyle w:val="FootnoteReference"/>
        </w:rPr>
        <w:footnoteReference w:id="665"/>
      </w:r>
      <w:r>
        <w:rPr>
          <w:rFonts w:ascii="IRNazanin" w:hAnsi="IRNazanin" w:eastAsia="IRNazanin" w:cs="IRNazanin"/>
          <w:lang w:bidi="fa-IR"/>
          <w:color w:val="111111"/>
          <w:sz w:val="28"/>
          <w:szCs w:val="28"/>
          <w:rtl/>
        </w:rPr>
        <w:t xml:space="preserve">قیل </w:t>
      </w:r>
      <w:r>
        <w:rPr>
          <w:rStyle w:val="FootnoteReference"/>
        </w:rPr>
        <w:footnoteReference w:id="666"/>
      </w:r>
      <w:r>
        <w:rPr>
          <w:rFonts w:ascii="IRNazanin" w:hAnsi="IRNazanin" w:eastAsia="IRNazanin" w:cs="IRNazanin"/>
          <w:lang w:bidi="fa-IR"/>
          <w:color w:val="111111"/>
          <w:sz w:val="28"/>
          <w:szCs w:val="28"/>
          <w:rtl/>
        </w:rPr>
        <w:t xml:space="preserve">بجواز الاقتداء فی الظهرین بواجدی المنیّ فی صلاة واحدة؛بناء علی أنّ المناط فی صحّة الاقتداء الصحّة عند المصلّی ما لم یعلم تفصیلا فساده.</w:t>
      </w:r>
    </w:p>
    <w:p>
      <w:pPr>
        <w:pStyle w:val="BookText"/>
      </w:pPr>
      <w:r>
        <w:rPr>
          <w:rFonts w:ascii="IRNazanin" w:hAnsi="IRNazanin" w:eastAsia="IRNazanin" w:cs="IRNazanin"/>
          <w:lang w:bidi="fa-IR"/>
          <w:color w:val="111111"/>
          <w:sz w:val="28"/>
          <w:szCs w:val="28"/>
          <w:rtl/>
        </w:rPr>
        <w:t xml:space="preserve">و أمّا مسألة الصلح،فالحکم فیها تعبّدیّ،و کأنّه صلح قهریّ بین المالکین،أو یحمل علی حصول الشرکة بالاختلاط،و قد ذکر بعض الأصحاب أنّ مقتضی القاعدة الرجوع إلی القرعة </w:t>
      </w:r>
      <w:r>
        <w:rPr>
          <w:rStyle w:val="FootnoteReference"/>
        </w:rPr>
        <w:footnoteReference w:id="6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بالجملة:فلا بدّ من التوجیه فی جمیع ما توهم </w:t>
      </w:r>
      <w:r>
        <w:rPr>
          <w:rStyle w:val="FootnoteReference"/>
        </w:rPr>
        <w:footnoteReference w:id="668"/>
      </w:r>
      <w:r>
        <w:rPr>
          <w:rFonts w:ascii="IRNazanin" w:hAnsi="IRNazanin" w:eastAsia="IRNazanin" w:cs="IRNazanin"/>
          <w:lang w:bidi="fa-IR"/>
          <w:color w:val="111111"/>
          <w:sz w:val="28"/>
          <w:szCs w:val="28"/>
          <w:rtl/>
        </w:rPr>
        <w:t xml:space="preserve">جواز المخالفة القطعیّة الراجعة إلی طرح دلیل شرعیّ؛لأنّها کما عرفت ممّا یمنع عنها العقل و النقل </w:t>
      </w:r>
      <w:r>
        <w:rPr>
          <w:rStyle w:val="FootnoteReference"/>
        </w:rPr>
        <w:footnoteReference w:id="669"/>
      </w:r>
      <w:r>
        <w:rPr>
          <w:rFonts w:ascii="IRNazanin" w:hAnsi="IRNazanin" w:eastAsia="IRNazanin" w:cs="IRNazanin"/>
          <w:lang w:bidi="fa-IR"/>
          <w:color w:val="111111"/>
          <w:sz w:val="28"/>
          <w:szCs w:val="28"/>
          <w:rtl/>
        </w:rPr>
        <w:t xml:space="preserve">،خصوصا إذا قصد من ارتکاب المشتبهین التوصّل إلی الحرام.هذا ممّا لا تأمّل فیه،</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 من یظهر منه جواز الارتکاب فالظاهر أنّه قصد غیر هذه الصورة.</w:t>
      </w:r>
    </w:p>
    <w:p>
      <w:pPr>
        <w:pStyle w:val="BookText"/>
      </w:pPr>
      <w:r>
        <w:rPr>
          <w:rFonts w:ascii="IRNazanin" w:hAnsi="IRNazanin" w:eastAsia="IRNazanin" w:cs="IRNazanin"/>
          <w:lang w:bidi="fa-IR"/>
          <w:color w:val="111111"/>
          <w:sz w:val="28"/>
          <w:szCs w:val="28"/>
          <w:rtl/>
        </w:rPr>
        <w:t xml:space="preserve">و منه یظهر:أنّ إلزام القائل بالجواز </w:t>
      </w:r>
      <w:r>
        <w:rPr>
          <w:rStyle w:val="FootnoteReference"/>
        </w:rPr>
        <w:footnoteReference w:id="670"/>
      </w:r>
      <w:r>
        <w:rPr>
          <w:rFonts w:ascii="IRNazanin" w:hAnsi="IRNazanin" w:eastAsia="IRNazanin" w:cs="IRNazanin"/>
          <w:lang w:bidi="fa-IR"/>
          <w:color w:val="111111"/>
          <w:sz w:val="28"/>
          <w:szCs w:val="28"/>
          <w:rtl/>
        </w:rPr>
        <w:t xml:space="preserve">:بأنّ تجویز ذلک یفضی إلی إمکان التوصّل إلی فعل جمیع المحرّمات علی وجه مباح-بأن یجمع بین الحلال و الحرام المعلومین تفصیلا کالخمر و الخلّ علی وجه یوجب</w:t>
      </w:r>
    </w:p>
    <w:p>
      <w:pPr>
        <w:pStyle w:val="BookText"/>
      </w:pPr>
      <w:r>
        <w:rPr>
          <w:rFonts w:ascii="IRNazanin" w:hAnsi="IRNazanin" w:eastAsia="IRNazanin" w:cs="IRNazanin"/>
          <w:lang w:bidi="fa-IR"/>
          <w:color w:val="111111"/>
          <w:sz w:val="28"/>
          <w:szCs w:val="28"/>
          <w:rtl/>
        </w:rPr>
        <w:t xml:space="preserve">[شماره صفحه واقعی : 208]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31" w:name="pg14411_142598"/>
    <w:bookmarkEnd w:id="131"/>
    <w:p>
      <w:pPr>
        <w:pStyle w:val="BookText"/>
      </w:pPr>
      <w:r>
        <w:rPr>
          <w:rFonts w:ascii="IRNazanin" w:hAnsi="IRNazanin" w:eastAsia="IRNazanin" w:cs="IRNazanin"/>
          <w:lang w:bidi="fa-IR"/>
          <w:color w:val="111111"/>
          <w:sz w:val="28"/>
          <w:szCs w:val="28"/>
          <w:rtl/>
        </w:rPr>
        <w:t xml:space="preserve">الاشتباه فیرتکبهما-،محلّ نظر،خصوصا علی ما مثّل به من الجمع بین الأجنبیّة و الزوجة.</w:t>
      </w:r>
    </w:p>
    <w:p>
      <w:pPr>
        <w:pStyle w:val="BookText"/>
      </w:pPr>
      <w:r>
        <w:rPr>
          <w:rFonts w:ascii="IRNazanin" w:hAnsi="IRNazanin" w:eastAsia="IRNazanin" w:cs="IRNazanin"/>
          <w:lang w:bidi="fa-IR"/>
          <w:color w:val="111111"/>
          <w:sz w:val="28"/>
          <w:szCs w:val="28"/>
          <w:rtl/>
        </w:rPr>
        <w:t xml:space="preserve">هذا کلّه فیما إذا کان الحرام المشتبه عنوانا واحدا مردّدا بین أمرین،و أمّا إذا کان مردّدا بین عنوانین،کما مثّلنا سابقا بالعلم الإجمالیّ بأنّ أحد المائعین </w:t>
      </w:r>
      <w:r>
        <w:rPr>
          <w:rStyle w:val="FootnoteReference"/>
        </w:rPr>
        <w:footnoteReference w:id="671"/>
      </w:r>
      <w:r>
        <w:rPr>
          <w:rFonts w:ascii="IRNazanin" w:hAnsi="IRNazanin" w:eastAsia="IRNazanin" w:cs="IRNazanin"/>
          <w:lang w:bidi="fa-IR"/>
          <w:color w:val="111111"/>
          <w:sz w:val="28"/>
          <w:szCs w:val="28"/>
          <w:rtl/>
        </w:rPr>
        <w:t xml:space="preserve">خمر أو الآخر مغصوب،فالظاهر أنّ حکمه کذلک؛ إذ لا فرق فی عدم جواز المخالفة للدلیل الشرعیّ بین کون ذلک الدلیل معلوما بالتفصیل و کونه معلوما بالإجمال؛فإنّ من ارتکب الإناءین فی المثال یعلم بأنّه خالف دلیل حرمة الخمر أو دلیل حرمة المغصوب؛ و لذا </w:t>
      </w:r>
      <w:r>
        <w:rPr>
          <w:rStyle w:val="FootnoteReference"/>
        </w:rPr>
        <w:footnoteReference w:id="672"/>
      </w:r>
      <w:r>
        <w:rPr>
          <w:rFonts w:ascii="IRNazanin" w:hAnsi="IRNazanin" w:eastAsia="IRNazanin" w:cs="IRNazanin"/>
          <w:lang w:bidi="fa-IR"/>
          <w:color w:val="111111"/>
          <w:sz w:val="28"/>
          <w:szCs w:val="28"/>
          <w:rtl/>
        </w:rPr>
        <w:t xml:space="preserve">لو کان إناء واحد مردّدا بین الخمر و المغصوب لم یجز ارتکابه، مع أنّه لا یلزم منه إلاّ مخالفة أحد الدلیلین لا بعینه،و لیس ذلک إلاّ من جهة أنّ مخالفة الدلیل الشرعیّ محرّم عقلا و شرعا،سواء تعیّن للمکلّف أو تردّد بین دلیلین.</w:t>
      </w:r>
    </w:p>
    <w:p>
      <w:pPr>
        <w:pStyle w:val="Heading6"/>
      </w:pPr>
      <w:bookmarkStart w:id="1226" w:name="_Toc261"/>
      <w:r>
        <w:t>[تفصیل صاحب الحدائق فی الشبهة المحصورة]</w:t>
      </w:r>
      <w:bookmarkEnd w:id="1226"/>
    </w:p>
    <w:p>
      <w:pPr>
        <w:pStyle w:val="BookText"/>
      </w:pPr>
      <w:r>
        <w:rPr>
          <w:rFonts w:ascii="IRNazanin" w:hAnsi="IRNazanin" w:eastAsia="IRNazanin" w:cs="IRNazanin"/>
          <w:lang w:bidi="fa-IR"/>
          <w:color w:val="111111"/>
          <w:sz w:val="28"/>
          <w:szCs w:val="28"/>
          <w:rtl/>
        </w:rPr>
        <w:t xml:space="preserve">و یظهر من صاحب الحدائق:التفصیل فی باب الشبهة المحصورة بین کون المردّد بین المشتبهین فردا من عنوان فیجب الاجتناب عنه، و بین کونه مردّدا بین عنوانین فلا یجب </w:t>
      </w:r>
      <w:r>
        <w:rPr>
          <w:rStyle w:val="FootnoteReference"/>
        </w:rPr>
        <w:footnoteReference w:id="6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أراد عدم وجوب الاجتناب عن شیء منهما فی الثانی و جواز ارتکابهما معا،فظهر ضعفه بما ذکرنا،و إن أراد عدم وجوب الاحتیاط فیه،فسیجیء ما فیه.</w:t>
      </w:r>
    </w:p>
    <w:p>
      <w:pPr>
        <w:pStyle w:val="BookText"/>
      </w:pPr>
      <w:r>
        <w:rPr>
          <w:rFonts w:ascii="IRNazanin" w:hAnsi="IRNazanin" w:eastAsia="IRNazanin" w:cs="IRNazanin"/>
          <w:lang w:bidi="fa-IR"/>
          <w:color w:val="111111"/>
          <w:sz w:val="28"/>
          <w:szCs w:val="28"/>
          <w:rtl/>
        </w:rPr>
        <w:t xml:space="preserve">[شماره صفحه واقعی : 209]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32" w:name="pg14411_142599"/>
    <w:bookmarkEnd w:id="132"/>
    <w:p>
      <w:pPr>
        <w:pStyle w:val="Heading6"/>
      </w:pPr>
      <w:bookmarkStart w:id="1227" w:name="_Toc262"/>
      <w:r>
        <w:t>[المقام الثانی : هل یجب اجتناب جمیع المشتبهات؟]</w:t>
      </w:r>
      <w:bookmarkEnd w:id="1227"/>
    </w:p>
    <w:p>
      <w:pPr>
        <w:pStyle w:val="Heading6"/>
      </w:pPr>
      <w:bookmarkStart w:id="1228" w:name="_Toc263"/>
      <w:r>
        <w:t>اشارة</w:t>
      </w:r>
      <w:bookmarkEnd w:id="1228"/>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 </w:t>
      </w:r>
      <w:r>
        <w:rPr>
          <w:rStyle w:val="FootnoteReference"/>
        </w:rPr>
        <w:footnoteReference w:id="674"/>
      </w:r>
      <w:r>
        <w:rPr>
          <w:rFonts w:ascii="IRNazanin" w:hAnsi="IRNazanin" w:eastAsia="IRNazanin" w:cs="IRNazanin"/>
          <w:lang w:bidi="fa-IR"/>
          <w:color w:val="111111"/>
          <w:sz w:val="28"/>
          <w:szCs w:val="28"/>
          <w:rtl/>
        </w:rPr>
        <w:t xml:space="preserve">أمّا المقام الثانی:هل یجب اجتناب جمیع المشتبهات؟</w:t>
      </w:r>
    </w:p>
    <w:p>
      <w:pPr>
        <w:pStyle w:val="Heading6"/>
      </w:pPr>
      <w:bookmarkStart w:id="1229" w:name="_Toc264"/>
      <w:r>
        <w:t>[الحقّ وجوب الاجتناب و الاحتیاط]</w:t>
      </w:r>
      <w:bookmarkEnd w:id="1229"/>
    </w:p>
    <w:p>
      <w:pPr>
        <w:pStyle w:val="Heading6"/>
      </w:pPr>
      <w:bookmarkStart w:id="1230" w:name="_Toc265"/>
      <w:r>
        <w:t>اشارة</w:t>
      </w:r>
      <w:bookmarkEnd w:id="1230"/>
    </w:p>
    <w:p>
      <w:pPr>
        <w:pStyle w:val="BookText"/>
      </w:pPr>
      <w:r>
        <w:rPr>
          <w:rFonts w:ascii="IRNazanin" w:hAnsi="IRNazanin" w:eastAsia="IRNazanin" w:cs="IRNazanin"/>
          <w:lang w:bidi="fa-IR"/>
          <w:color w:val="111111"/>
          <w:sz w:val="28"/>
          <w:szCs w:val="28"/>
          <w:rtl/>
        </w:rPr>
        <w:t xml:space="preserve">فالحقّ فیه:وجوب الاجتناب عن کلا المشتبهین وفاقا للمشهور، و فی المدارک:أنّه مقطوع به فی کلام الأصحاب </w:t>
      </w:r>
      <w:r>
        <w:rPr>
          <w:rStyle w:val="FootnoteReference"/>
        </w:rPr>
        <w:footnoteReference w:id="675"/>
      </w:r>
      <w:r>
        <w:rPr>
          <w:rFonts w:ascii="IRNazanin" w:hAnsi="IRNazanin" w:eastAsia="IRNazanin" w:cs="IRNazanin"/>
          <w:lang w:bidi="fa-IR"/>
          <w:color w:val="111111"/>
          <w:sz w:val="28"/>
          <w:szCs w:val="28"/>
          <w:rtl/>
        </w:rPr>
        <w:t xml:space="preserve">،و نسبه المحقّق البهبهانیّ فی فوائده إلی الأصحاب </w:t>
      </w:r>
      <w:r>
        <w:rPr>
          <w:rStyle w:val="FootnoteReference"/>
        </w:rPr>
        <w:footnoteReference w:id="676"/>
      </w:r>
      <w:r>
        <w:rPr>
          <w:rFonts w:ascii="IRNazanin" w:hAnsi="IRNazanin" w:eastAsia="IRNazanin" w:cs="IRNazanin"/>
          <w:lang w:bidi="fa-IR"/>
          <w:color w:val="111111"/>
          <w:sz w:val="28"/>
          <w:szCs w:val="28"/>
          <w:rtl/>
        </w:rPr>
        <w:t xml:space="preserve">،و عن المحقّق المقدّس الکاظمی فی شرح الوافیة:دعوی الإجماع صریحا </w:t>
      </w:r>
      <w:r>
        <w:rPr>
          <w:rStyle w:val="FootnoteReference"/>
        </w:rPr>
        <w:footnoteReference w:id="677"/>
      </w:r>
      <w:r>
        <w:rPr>
          <w:rFonts w:ascii="IRNazanin" w:hAnsi="IRNazanin" w:eastAsia="IRNazanin" w:cs="IRNazanin"/>
          <w:lang w:bidi="fa-IR"/>
          <w:color w:val="111111"/>
          <w:sz w:val="28"/>
          <w:szCs w:val="28"/>
          <w:rtl/>
        </w:rPr>
        <w:t xml:space="preserve">،و ذهب جماعة إلی عدم وجوبه </w:t>
      </w:r>
      <w:r>
        <w:rPr>
          <w:rStyle w:val="FootnoteReference"/>
        </w:rPr>
        <w:footnoteReference w:id="678"/>
      </w:r>
      <w:r>
        <w:rPr>
          <w:rFonts w:ascii="IRNazanin" w:hAnsi="IRNazanin" w:eastAsia="IRNazanin" w:cs="IRNazanin"/>
          <w:lang w:bidi="fa-IR"/>
          <w:color w:val="111111"/>
          <w:sz w:val="28"/>
          <w:szCs w:val="28"/>
          <w:rtl/>
        </w:rPr>
        <w:t xml:space="preserve">،و حکی عن بعض </w:t>
      </w:r>
      <w:r>
        <w:rPr>
          <w:rStyle w:val="FootnoteReference"/>
        </w:rPr>
        <w:footnoteReference w:id="679"/>
      </w:r>
      <w:r>
        <w:rPr>
          <w:rFonts w:ascii="Amiri" w:hAnsi="Amiri" w:eastAsia="Amiri" w:cs="Amiri"/>
          <w:lang w:bidi="ar-SA"/>
          <w:color w:val="111111"/>
          <w:sz w:val="28"/>
          <w:szCs w:val="28"/>
          <w:rtl/>
        </w:rPr>
        <w:t xml:space="preserve">القرعة.</w:t>
      </w:r>
    </w:p>
    <w:p>
      <w:pPr>
        <w:pStyle w:val="Heading6"/>
      </w:pPr>
      <w:bookmarkStart w:id="1231" w:name="_Toc266"/>
      <w:r>
        <w:t>[الاستدلال علیه]</w:t>
      </w:r>
      <w:bookmarkEnd w:id="1231"/>
    </w:p>
    <w:p>
      <w:pPr>
        <w:pStyle w:val="BookText"/>
      </w:pPr>
      <w:r>
        <w:rPr>
          <w:rFonts w:ascii="IRNazanin" w:hAnsi="IRNazanin" w:eastAsia="IRNazanin" w:cs="IRNazanin"/>
          <w:lang w:bidi="fa-IR"/>
          <w:color w:val="111111"/>
          <w:sz w:val="28"/>
          <w:szCs w:val="28"/>
          <w:rtl/>
        </w:rPr>
        <w:t xml:space="preserve">لنا علی ما ذکرنا:أنّه إذا ثبت کون أدلّة تحریم المحرّمات شاملة للمعلوم إجمالا و لم یکن هنا مانع عقلیّ أو شرعیّ من تنجّز </w:t>
      </w:r>
      <w:r>
        <w:rPr>
          <w:rStyle w:val="FootnoteReference"/>
        </w:rPr>
        <w:footnoteReference w:id="680"/>
      </w:r>
      <w:r>
        <w:rPr>
          <w:rFonts w:ascii="IRNazanin" w:hAnsi="IRNazanin" w:eastAsia="IRNazanin" w:cs="IRNazanin"/>
          <w:lang w:bidi="fa-IR"/>
          <w:color w:val="111111"/>
          <w:sz w:val="28"/>
          <w:szCs w:val="28"/>
          <w:rtl/>
        </w:rPr>
        <w:t xml:space="preserve">التکلیف به،لزم بحکم العقل التحرّز عن ارتکاب ذلک المحرّم بالاجتناب عن کلا المشتبهین.</w:t>
      </w:r>
    </w:p>
    <w:p>
      <w:pPr>
        <w:pStyle w:val="BookText"/>
      </w:pPr>
      <w:r>
        <w:rPr>
          <w:rFonts w:ascii="IRNazanin" w:hAnsi="IRNazanin" w:eastAsia="IRNazanin" w:cs="IRNazanin"/>
          <w:lang w:bidi="fa-IR"/>
          <w:color w:val="111111"/>
          <w:sz w:val="28"/>
          <w:szCs w:val="28"/>
          <w:rtl/>
        </w:rPr>
        <w:t xml:space="preserve">و بعبارة اخری:التکلیف بذلک المعلوم إجمالا إن لم یکن ثابتا جازت المخالفة القطعیّة،و المفروض فی هذا المقام التسالم علی حرمتها،</w:t>
      </w:r>
    </w:p>
    <w:p>
      <w:pPr>
        <w:pStyle w:val="BookText"/>
      </w:pPr>
      <w:r>
        <w:rPr>
          <w:rFonts w:ascii="IRNazanin" w:hAnsi="IRNazanin" w:eastAsia="IRNazanin" w:cs="IRNazanin"/>
          <w:lang w:bidi="fa-IR"/>
          <w:color w:val="111111"/>
          <w:sz w:val="28"/>
          <w:szCs w:val="28"/>
          <w:rtl/>
        </w:rPr>
        <w:t xml:space="preserve">[شماره صفحه واقعی : 210]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33" w:name="pg14411_142600"/>
    <w:bookmarkEnd w:id="133"/>
    <w:p>
      <w:pPr>
        <w:pStyle w:val="BookText"/>
      </w:pPr>
      <w:r>
        <w:rPr>
          <w:rFonts w:ascii="IRNazanin" w:hAnsi="IRNazanin" w:eastAsia="IRNazanin" w:cs="IRNazanin"/>
          <w:lang w:bidi="fa-IR"/>
          <w:color w:val="111111"/>
          <w:sz w:val="28"/>
          <w:szCs w:val="28"/>
          <w:rtl/>
        </w:rPr>
        <w:t xml:space="preserve">و إن کان ثابتا وجب الاحتیاط فیه بحکم العقل؛إذ یحتمل أن یکون ما یرتکبه من المشتبهین هو الحرام الواقعیّ،فیعاقب علیه؛لأنّ المفروض لمّا کان ثبوت التکلیف بذلک المحرّم لم یقبح العقاب علیه إذا اتّفق ارتکابه و لو لم یعلم به </w:t>
      </w:r>
      <w:r>
        <w:rPr>
          <w:rStyle w:val="FootnoteReference"/>
        </w:rPr>
        <w:footnoteReference w:id="681"/>
      </w:r>
      <w:r>
        <w:rPr>
          <w:rFonts w:ascii="IRNazanin" w:hAnsi="IRNazanin" w:eastAsia="IRNazanin" w:cs="IRNazanin"/>
          <w:lang w:bidi="fa-IR"/>
          <w:color w:val="111111"/>
          <w:sz w:val="28"/>
          <w:szCs w:val="28"/>
          <w:rtl/>
        </w:rPr>
        <w:t xml:space="preserve">حین الارتکاب.</w:t>
      </w:r>
    </w:p>
    <w:p>
      <w:pPr>
        <w:pStyle w:val="BookText"/>
      </w:pPr>
      <w:r>
        <w:rPr>
          <w:rFonts w:ascii="IRNazanin" w:hAnsi="IRNazanin" w:eastAsia="IRNazanin" w:cs="IRNazanin"/>
          <w:lang w:bidi="fa-IR"/>
          <w:color w:val="111111"/>
          <w:sz w:val="28"/>
          <w:szCs w:val="28"/>
          <w:rtl/>
        </w:rPr>
        <w:t xml:space="preserve">و اختبر ذلک من حال العبد إذا قال له المولی:«اجتنب و تحرّز عن الخمر المردّد بین هذین الإناءین»؛فإنّک لا تکاد ترتاب فی وجوب الاحتیاط،و لا فرق بین هذا الخطاب و بین أدلّة المحرّمات الثابتة فی الشریعة إلاّ العموم و الخصوص.</w:t>
      </w:r>
    </w:p>
    <w:p>
      <w:pPr>
        <w:pStyle w:val="Heading6"/>
      </w:pPr>
      <w:bookmarkStart w:id="1232" w:name="_Toc267"/>
      <w:r>
        <w:t>[توهّم جریان أصالة الحلّ فی کلا المشتبهین و التخییر بینهما و دفعه]</w:t>
      </w:r>
      <w:bookmarkEnd w:id="1232"/>
    </w:p>
    <w:p>
      <w:pPr>
        <w:pStyle w:val="BookText"/>
      </w:pPr>
      <w:r>
        <w:rPr>
          <w:rFonts w:ascii="IRNazanin" w:hAnsi="IRNazanin" w:eastAsia="IRNazanin" w:cs="IRNazanin"/>
          <w:lang w:bidi="fa-IR"/>
          <w:color w:val="111111"/>
          <w:sz w:val="28"/>
          <w:szCs w:val="28"/>
          <w:rtl/>
        </w:rPr>
        <w:t xml:space="preserve">فإن قلت:أصالة الحلّ فی کلا المشتبهین جاریة فی نفسها و معتبرة لو لا المعارض،و غایة ما یلزم فی المقام تعارض الأصلین،فیتخیّر </w:t>
      </w:r>
      <w:r>
        <w:rPr>
          <w:rStyle w:val="FootnoteReference"/>
        </w:rPr>
        <w:footnoteReference w:id="682"/>
      </w:r>
      <w:r>
        <w:rPr>
          <w:rFonts w:ascii="IRNazanin" w:hAnsi="IRNazanin" w:eastAsia="IRNazanin" w:cs="IRNazanin"/>
          <w:lang w:bidi="fa-IR"/>
          <w:color w:val="111111"/>
          <w:sz w:val="28"/>
          <w:szCs w:val="28"/>
          <w:rtl/>
        </w:rPr>
        <w:t xml:space="preserve">فی العمل </w:t>
      </w:r>
      <w:r>
        <w:rPr>
          <w:rStyle w:val="FootnoteReference"/>
        </w:rPr>
        <w:footnoteReference w:id="683"/>
      </w:r>
      <w:r>
        <w:rPr>
          <w:rFonts w:ascii="IRNazanin" w:hAnsi="IRNazanin" w:eastAsia="IRNazanin" w:cs="IRNazanin"/>
          <w:lang w:bidi="fa-IR"/>
          <w:color w:val="111111"/>
          <w:sz w:val="28"/>
          <w:szCs w:val="28"/>
          <w:rtl/>
        </w:rPr>
        <w:t xml:space="preserve">فی أحد المشتبهین،و لا وجه لطرح کلیهما.</w:t>
      </w:r>
    </w:p>
    <w:p>
      <w:pPr>
        <w:pStyle w:val="BookText"/>
      </w:pPr>
      <w:r>
        <w:rPr>
          <w:rFonts w:ascii="IRNazanin" w:hAnsi="IRNazanin" w:eastAsia="IRNazanin" w:cs="IRNazanin"/>
          <w:lang w:bidi="fa-IR"/>
          <w:color w:val="111111"/>
          <w:sz w:val="28"/>
          <w:szCs w:val="28"/>
          <w:rtl/>
        </w:rPr>
        <w:t xml:space="preserve">قلت:أصالة الحلّ غیر جاریة هنا بعد فرض کون المحرّم الواقعیّ مکلّفا بالاجتناب عنه منجّزا-علی ما هو مقتضی </w:t>
      </w:r>
      <w:r>
        <w:rPr>
          <w:rStyle w:val="FootnoteReference"/>
        </w:rPr>
        <w:footnoteReference w:id="684"/>
      </w:r>
      <w:r>
        <w:rPr>
          <w:rFonts w:ascii="IRNazanin" w:hAnsi="IRNazanin" w:eastAsia="IRNazanin" w:cs="IRNazanin"/>
          <w:lang w:bidi="fa-IR"/>
          <w:color w:val="111111"/>
          <w:sz w:val="28"/>
          <w:szCs w:val="28"/>
          <w:rtl/>
        </w:rPr>
        <w:t xml:space="preserve">الخطاب بالاجتناب عنه-؛لأنّ مقتضی العقل فی الاشتغال الیقینیّ بترک الحرام الواقعیّ هو الاحتیاط و التحرّز عن کلا المشتبهین حتّی لا یقع فی محذور فعل الحرام، و هو معنی المرسل المرویّ </w:t>
      </w:r>
      <w:r>
        <w:rPr>
          <w:rStyle w:val="FootnoteReference"/>
        </w:rPr>
        <w:footnoteReference w:id="685"/>
      </w:r>
      <w:r>
        <w:rPr>
          <w:rFonts w:ascii="IRNazanin" w:hAnsi="IRNazanin" w:eastAsia="IRNazanin" w:cs="IRNazanin"/>
          <w:lang w:bidi="fa-IR"/>
          <w:color w:val="111111"/>
          <w:sz w:val="28"/>
          <w:szCs w:val="28"/>
          <w:rtl/>
        </w:rPr>
        <w:t xml:space="preserve">فی بعض کتب الفتاوی:«اترک ما لا بأس</w:t>
      </w:r>
    </w:p>
    <w:p>
      <w:pPr>
        <w:pStyle w:val="BookText"/>
      </w:pPr>
      <w:r>
        <w:rPr>
          <w:rFonts w:ascii="IRNazanin" w:hAnsi="IRNazanin" w:eastAsia="IRNazanin" w:cs="IRNazanin"/>
          <w:lang w:bidi="fa-IR"/>
          <w:color w:val="111111"/>
          <w:sz w:val="28"/>
          <w:szCs w:val="28"/>
          <w:rtl/>
        </w:rPr>
        <w:t xml:space="preserve">[شماره صفحه واقعی : 211]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34" w:name="pg14411_142601"/>
    <w:bookmarkEnd w:id="134"/>
    <w:p>
      <w:pPr>
        <w:pStyle w:val="BookText"/>
      </w:pPr>
      <w:r>
        <w:rPr>
          <w:rFonts w:ascii="IRNazanin" w:hAnsi="IRNazanin" w:eastAsia="IRNazanin" w:cs="IRNazanin"/>
          <w:lang w:bidi="fa-IR"/>
          <w:color w:val="111111"/>
          <w:sz w:val="28"/>
          <w:szCs w:val="28"/>
          <w:rtl/>
        </w:rPr>
        <w:t xml:space="preserve">به حذرا عمّا به البأس» </w:t>
      </w:r>
      <w:r>
        <w:rPr>
          <w:rStyle w:val="FootnoteReference"/>
        </w:rPr>
        <w:footnoteReference w:id="686"/>
      </w:r>
      <w:r>
        <w:rPr>
          <w:rFonts w:ascii="IRNazanin" w:hAnsi="IRNazanin" w:eastAsia="IRNazanin" w:cs="IRNazanin"/>
          <w:lang w:bidi="fa-IR"/>
          <w:color w:val="111111"/>
          <w:sz w:val="28"/>
          <w:szCs w:val="28"/>
          <w:rtl/>
        </w:rPr>
        <w:t xml:space="preserve">،فلا یبقی مجال للإذن فی فعل أحدهما.</w:t>
      </w:r>
    </w:p>
    <w:p>
      <w:pPr>
        <w:pStyle w:val="Heading6"/>
      </w:pPr>
      <w:bookmarkStart w:id="1233" w:name="_Toc268"/>
      <w:r>
        <w:t>[الحکم فی تعارض الأصلین هو التساقط،لا التخییر]</w:t>
      </w:r>
      <w:bookmarkEnd w:id="1233"/>
    </w:p>
    <w:p>
      <w:pPr>
        <w:pStyle w:val="BookText"/>
      </w:pPr>
      <w:r>
        <w:rPr>
          <w:rFonts w:ascii="IRNazanin" w:hAnsi="IRNazanin" w:eastAsia="IRNazanin" w:cs="IRNazanin"/>
          <w:lang w:bidi="fa-IR"/>
          <w:color w:val="111111"/>
          <w:sz w:val="28"/>
          <w:szCs w:val="28"/>
          <w:rtl/>
        </w:rPr>
        <w:t xml:space="preserve">و سیجیء فی باب الاستصحاب </w:t>
      </w:r>
      <w:r>
        <w:rPr>
          <w:rStyle w:val="FootnoteReference"/>
        </w:rPr>
        <w:footnoteReference w:id="687"/>
      </w:r>
      <w:r>
        <w:rPr>
          <w:rFonts w:ascii="IRNazanin" w:hAnsi="IRNazanin" w:eastAsia="IRNazanin" w:cs="IRNazanin"/>
          <w:lang w:bidi="fa-IR"/>
          <w:color w:val="111111"/>
          <w:sz w:val="28"/>
          <w:szCs w:val="28"/>
          <w:rtl/>
        </w:rPr>
        <w:t xml:space="preserve">-أیضا-:أنّ الحکم فی تعارض کلّ أصلین </w:t>
      </w:r>
      <w:r>
        <w:rPr>
          <w:rStyle w:val="FootnoteReference"/>
        </w:rPr>
        <w:footnoteReference w:id="688"/>
      </w:r>
      <w:r>
        <w:rPr>
          <w:rFonts w:ascii="IRNazanin" w:hAnsi="IRNazanin" w:eastAsia="IRNazanin" w:cs="IRNazanin"/>
          <w:lang w:bidi="fa-IR"/>
          <w:color w:val="111111"/>
          <w:sz w:val="28"/>
          <w:szCs w:val="28"/>
          <w:rtl/>
        </w:rPr>
        <w:t xml:space="preserve">لم یکن أحدهما حاکما علی الآخر،هو التساقط لا التخییر.</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فإن قلت:قوله:«کلّ شیء لک حلال حتّی تعرف أنّه حرام» </w:t>
      </w:r>
      <w:r>
        <w:rPr>
          <w:rStyle w:val="FootnoteReference"/>
        </w:rPr>
        <w:footnoteReference w:id="689"/>
      </w:r>
      <w:r>
        <w:rPr>
          <w:rFonts w:ascii="IRNazanin" w:hAnsi="IRNazanin" w:eastAsia="IRNazanin" w:cs="IRNazanin"/>
          <w:lang w:bidi="fa-IR"/>
          <w:color w:val="111111"/>
          <w:sz w:val="28"/>
          <w:szCs w:val="28"/>
          <w:rtl/>
        </w:rPr>
        <w:t xml:space="preserve">و </w:t>
      </w:r>
      <w:r>
        <w:rPr>
          <w:rStyle w:val="FootnoteReference"/>
        </w:rPr>
        <w:footnoteReference w:id="690"/>
      </w:r>
      <w:r>
        <w:rPr>
          <w:rFonts w:ascii="IRNazanin" w:hAnsi="IRNazanin" w:eastAsia="IRNazanin" w:cs="IRNazanin"/>
          <w:lang w:bidi="fa-IR"/>
          <w:color w:val="111111"/>
          <w:sz w:val="28"/>
          <w:szCs w:val="28"/>
          <w:rtl/>
        </w:rPr>
        <w:t xml:space="preserve">نحوه </w:t>
      </w:r>
      <w:r>
        <w:rPr>
          <w:rStyle w:val="FootnoteReference"/>
        </w:rPr>
        <w:footnoteReference w:id="691"/>
      </w:r>
      <w:r>
        <w:rPr>
          <w:rFonts w:ascii="IRNazanin" w:hAnsi="IRNazanin" w:eastAsia="IRNazanin" w:cs="IRNazanin"/>
          <w:lang w:bidi="fa-IR"/>
          <w:color w:val="111111"/>
          <w:sz w:val="28"/>
          <w:szCs w:val="28"/>
          <w:rtl/>
        </w:rPr>
        <w:t xml:space="preserve">،یستفاد منه حلّیة المشتبهات بالشبهة المجرّدة عن العلم الإجمالیّ جمیعا،و حلّیة الشبهات </w:t>
      </w:r>
      <w:r>
        <w:rPr>
          <w:rStyle w:val="FootnoteReference"/>
        </w:rPr>
        <w:footnoteReference w:id="692"/>
      </w:r>
      <w:r>
        <w:rPr>
          <w:rFonts w:ascii="IRNazanin" w:hAnsi="IRNazanin" w:eastAsia="IRNazanin" w:cs="IRNazanin"/>
          <w:lang w:bidi="fa-IR"/>
          <w:color w:val="111111"/>
          <w:sz w:val="28"/>
          <w:szCs w:val="28"/>
          <w:rtl/>
        </w:rPr>
        <w:t xml:space="preserve">المقرونة بالعلم الإجمالیّ علی البدل؛ لأنّ الرخصة فی کلّ شبهة مجرّدة لا تنافی الرخصة فی غیرها؛لاحتمال کون الجمیع حلالا فی الواقع،فالبناء علی کون هذا المشتبه بالخمر خلا، لا ینافی البناء علی کون المشتبه الآخر خلا.</w:t>
      </w:r>
    </w:p>
    <w:p>
      <w:pPr>
        <w:pStyle w:val="BookText"/>
      </w:pPr>
      <w:r>
        <w:rPr>
          <w:rFonts w:ascii="IRNazanin" w:hAnsi="IRNazanin" w:eastAsia="IRNazanin" w:cs="IRNazanin"/>
          <w:lang w:bidi="fa-IR"/>
          <w:color w:val="111111"/>
          <w:sz w:val="28"/>
          <w:szCs w:val="28"/>
          <w:rtl/>
        </w:rPr>
        <w:t xml:space="preserve">و أمّا الرخصة فی الشبهة المقرونة بالعلم الإجمالیّ و البناء علی کونه خلاّ لمّا تستلزم وجوب البناء علی کون المحرّم هو المشتبه الآخر، فلا یجوز الرخصة فیه جمیعا،نعم یجوز الرخصة فیه بمعنی جواز ارتکابه و البناء علی أنّ المحرّم غیره،مثل:الرخصة فی ارتکاب أحد المشتبهین</w:t>
      </w:r>
    </w:p>
    <w:p>
      <w:pPr>
        <w:pStyle w:val="BookText"/>
      </w:pPr>
      <w:r>
        <w:rPr>
          <w:rFonts w:ascii="IRNazanin" w:hAnsi="IRNazanin" w:eastAsia="IRNazanin" w:cs="IRNazanin"/>
          <w:lang w:bidi="fa-IR"/>
          <w:color w:val="111111"/>
          <w:sz w:val="28"/>
          <w:szCs w:val="28"/>
          <w:rtl/>
        </w:rPr>
        <w:t xml:space="preserve">[شماره صفحه واقعی : 212]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35" w:name="pg14411_142602"/>
    <w:bookmarkEnd w:id="135"/>
    <w:p>
      <w:pPr>
        <w:pStyle w:val="BookText"/>
      </w:pPr>
      <w:r>
        <w:rPr>
          <w:rFonts w:ascii="IRNazanin" w:hAnsi="IRNazanin" w:eastAsia="IRNazanin" w:cs="IRNazanin"/>
          <w:lang w:bidi="fa-IR"/>
          <w:color w:val="111111"/>
          <w:sz w:val="28"/>
          <w:szCs w:val="28"/>
          <w:rtl/>
        </w:rPr>
        <w:t xml:space="preserve">بالخمر مع العلم بکون أحدهما خمرا،فإنّه لمّا علم من الأدلّة تحریم الخمر الواقعی و لو تردّد بین الأمرین،کان معنی الرخصة فی ارتکاب أحدهما الإذن فی البناء علی عدم کونه هو الخمر المحرّم علیه و أنّ المحرّم غیره،فکلّ منهما حلال،بمعنی جواز البناء علی کون المحرّم غیره.</w:t>
      </w:r>
    </w:p>
    <w:p>
      <w:pPr>
        <w:pStyle w:val="BookText"/>
      </w:pPr>
      <w:r>
        <w:rPr>
          <w:rFonts w:ascii="IRNazanin" w:hAnsi="IRNazanin" w:eastAsia="IRNazanin" w:cs="IRNazanin"/>
          <w:lang w:bidi="fa-IR"/>
          <w:color w:val="111111"/>
          <w:sz w:val="28"/>
          <w:szCs w:val="28"/>
          <w:rtl/>
        </w:rPr>
        <w:t xml:space="preserve">و الحاصل:أنّ مقصود الشارع من هذه الأخبار أن یلغی من طرفی الشکّ فی حرمة الشیء و حلّیته احتمال الحرمة و یجعل محتمل الحلّیة فی حکم متیقّنها،و لمّا کان فی المشتبهین بالشبهة المحصورة شکّ واحد و لم یکن فیه إلاّ احتمال کون هذا حلالا و ذاک حراما و احتمال العکس، کان إلغاء احتمال الحرمة فی أحدهما إعمالا له فی الآخر و بالعکس،و کان الحکم الظاهریّ فی أحدهما بالحلّ حکما ظاهریا بالحرمة فی الآخر، و لیس معنی حلّیة کلّ منهما إلاّ الإذن فی ارتکابه و إلغاء احتمال الحرمة فیه المستلزم لإعماله فی الآخر.</w:t>
      </w:r>
    </w:p>
    <w:p>
      <w:pPr>
        <w:pStyle w:val="BookText"/>
      </w:pPr>
      <w:r>
        <w:rPr>
          <w:rFonts w:ascii="IRNazanin" w:hAnsi="IRNazanin" w:eastAsia="IRNazanin" w:cs="IRNazanin"/>
          <w:lang w:bidi="fa-IR"/>
          <w:color w:val="111111"/>
          <w:sz w:val="28"/>
          <w:szCs w:val="28"/>
          <w:rtl/>
        </w:rPr>
        <w:t xml:space="preserve">فتأمّل حتّی لا تتوهّم:أنّ استعمال قوله علیه السّلام:«کلّ شیء لک حلال»بالنسبة إلی الشبهات المقرونة بالعلم الإجمالیّ و الشبهات المجرّدة استعمال فی معنیین.</w:t>
      </w:r>
    </w:p>
    <w:p>
      <w:pPr>
        <w:pStyle w:val="Heading6"/>
      </w:pPr>
      <w:bookmarkStart w:id="1234" w:name="_Toc269"/>
      <w:r>
        <w:t>[عدم استفادة الحلیّة علی البدل من أخبار«الحلّ»]</w:t>
      </w:r>
      <w:bookmarkEnd w:id="1234"/>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قلت:الظاهر من الأخبار المذکورة البناء علی حلّیة محتمل التحریم و الرخصة فیه،لا وجوب البناء علی کونه هو الموضوع المحلّل.</w:t>
      </w:r>
    </w:p>
    <w:p>
      <w:pPr>
        <w:pStyle w:val="BookText"/>
      </w:pPr>
      <w:r>
        <w:rPr>
          <w:rFonts w:ascii="IRNazanin" w:hAnsi="IRNazanin" w:eastAsia="IRNazanin" w:cs="IRNazanin"/>
          <w:lang w:bidi="fa-IR"/>
          <w:color w:val="111111"/>
          <w:sz w:val="28"/>
          <w:szCs w:val="28"/>
          <w:rtl/>
        </w:rPr>
        <w:t xml:space="preserve">و لو سلّم،فظاهرها البناء علی کون کلّ مشتبه کذلک،و لیس الأمر بالبناء علی کون أحد المشتبهین هو الخلّ أمرا بالبناء علی کون الآخر هو الخمر،فلیس فی الروایات من البدلیّة عین و لا أثر، فتدبّر.</w:t>
      </w:r>
    </w:p>
    <w:p>
      <w:pPr>
        <w:pStyle w:val="BookText"/>
      </w:pPr>
      <w:r>
        <w:rPr>
          <w:rFonts w:ascii="IRNazanin" w:hAnsi="IRNazanin" w:eastAsia="IRNazanin" w:cs="IRNazanin"/>
          <w:lang w:bidi="fa-IR"/>
          <w:color w:val="111111"/>
          <w:sz w:val="28"/>
          <w:szCs w:val="28"/>
          <w:rtl/>
        </w:rPr>
        <w:t xml:space="preserve">[شماره صفحه واقعی : 213]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36" w:name="pg14411_142603"/>
    <w:bookmarkEnd w:id="136"/>
    <w:p>
      <w:pPr>
        <w:pStyle w:val="Heading6"/>
      </w:pPr>
      <w:bookmarkStart w:id="1235" w:name="_Toc270"/>
      <w:r>
        <w:t>احتجّ من جوّز ارتکاب ما عدا مقدار الحرام و منع عنه بوجهین</w:t>
      </w:r>
      <w:bookmarkEnd w:id="1235"/>
    </w:p>
    <w:p>
      <w:pPr>
        <w:pStyle w:val="Heading6"/>
      </w:pPr>
      <w:bookmarkStart w:id="1236" w:name="_Toc271"/>
      <w:r>
        <w:t>الوجه الأوّل : الأخبار الدالّة علی حلّ ما لم یعلم حرمته التی تقدّم بعضها</w:t>
      </w:r>
      <w:bookmarkEnd w:id="1236"/>
    </w:p>
    <w:p>
      <w:pPr>
        <w:pStyle w:val="BookText"/>
      </w:pPr>
      <w:r>
        <w:rPr>
          <w:rStyle w:val="FootnoteReference"/>
        </w:rPr>
        <w:footnoteReference w:id="693"/>
      </w:r>
      <w:r>
        <w:rPr>
          <w:rFonts w:ascii="IRNazanin" w:hAnsi="IRNazanin" w:eastAsia="IRNazanin" w:cs="IRNazanin"/>
          <w:lang w:bidi="fa-IR"/>
          <w:color w:val="111111"/>
          <w:sz w:val="28"/>
          <w:szCs w:val="28"/>
          <w:rtl/>
        </w:rPr>
        <w:t xml:space="preserve">[ و المناقشة فیه]
، و إنّما منع من ارتکاب مقدار الحرام؛إمّا لاستلزامه للعلم بارتکاب الحرام و هو حرام،و إمّا لما ذکره بعضهم </w:t>
      </w:r>
      <w:r>
        <w:rPr>
          <w:rStyle w:val="FootnoteReference"/>
        </w:rPr>
        <w:footnoteReference w:id="694"/>
      </w:r>
      <w:r>
        <w:rPr>
          <w:rFonts w:ascii="IRNazanin" w:hAnsi="IRNazanin" w:eastAsia="IRNazanin" w:cs="IRNazanin"/>
          <w:lang w:bidi="fa-IR"/>
          <w:color w:val="111111"/>
          <w:sz w:val="28"/>
          <w:szCs w:val="28"/>
          <w:rtl/>
        </w:rPr>
        <w:t xml:space="preserve">:من أنّ ارتکاب مجموع المشتبهین حرام؛لاشتماله علی الحرام،قال فی توضیح ذلک:</w:t>
      </w:r>
    </w:p>
    <w:p>
      <w:pPr>
        <w:pStyle w:val="BookText"/>
      </w:pPr>
      <w:r>
        <w:rPr>
          <w:rFonts w:ascii="IRNazanin" w:hAnsi="IRNazanin" w:eastAsia="IRNazanin" w:cs="IRNazanin"/>
          <w:lang w:bidi="fa-IR"/>
          <w:color w:val="111111"/>
          <w:sz w:val="28"/>
          <w:szCs w:val="28"/>
          <w:rtl/>
        </w:rPr>
        <w:t xml:space="preserve">إنّ الشارع منع عن استعمال الحرام المعلوم و جوّز استعمال ما لم یعلم حرمته،و المجموع من حیث المجموع معلوم الحرمة و لو باعتبار جزئه و کذا کلّ منهما بشرط الاجتماع مع الآخر،فیجب اجتنابه،و کلّ منهما بشرط الانفراد مجهول الحرمة فیکون حلالا </w:t>
      </w:r>
      <w:r>
        <w:rPr>
          <w:rStyle w:val="FootnoteReference"/>
        </w:rPr>
        <w:footnoteReference w:id="6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الجواب عن ذلک:أنّ الأخبار المتقدّمة-علی ما عرفت </w:t>
      </w:r>
      <w:r>
        <w:rPr>
          <w:rStyle w:val="FootnoteReference"/>
        </w:rPr>
        <w:footnoteReference w:id="696"/>
      </w:r>
      <w:r>
        <w:rPr>
          <w:rFonts w:ascii="IRNazanin" w:hAnsi="IRNazanin" w:eastAsia="IRNazanin" w:cs="IRNazanin"/>
          <w:lang w:bidi="fa-IR"/>
          <w:color w:val="111111"/>
          <w:sz w:val="28"/>
          <w:szCs w:val="28"/>
          <w:rtl/>
        </w:rPr>
        <w:t xml:space="preserve">-إمّا أن لا تشمل شیئا من المشتبهین،و إمّا أن تشملهما جمیعا،و ما ذکر </w:t>
      </w:r>
      <w:r>
        <w:rPr>
          <w:rStyle w:val="FootnoteReference"/>
        </w:rPr>
        <w:footnoteReference w:id="697"/>
      </w:r>
      <w:r>
        <w:rPr>
          <w:rFonts w:ascii="IRNazanin" w:hAnsi="IRNazanin" w:eastAsia="IRNazanin" w:cs="IRNazanin"/>
          <w:lang w:bidi="fa-IR"/>
          <w:color w:val="111111"/>
          <w:sz w:val="28"/>
          <w:szCs w:val="28"/>
          <w:rtl/>
        </w:rPr>
        <w:t xml:space="preserve">من الوجهین لعدم جواز ارتکاب الأخیر بعد ارتکاب الأوّل،فغیر صالح للمنع.</w:t>
      </w:r>
    </w:p>
    <w:p>
      <w:pPr>
        <w:pStyle w:val="BookText"/>
      </w:pPr>
      <w:r>
        <w:rPr>
          <w:rFonts w:ascii="IRNazanin" w:hAnsi="IRNazanin" w:eastAsia="IRNazanin" w:cs="IRNazanin"/>
          <w:lang w:bidi="fa-IR"/>
          <w:color w:val="111111"/>
          <w:sz w:val="28"/>
          <w:szCs w:val="28"/>
          <w:rtl/>
        </w:rPr>
        <w:t xml:space="preserve">أمّا الأوّل؛فلأنّه:إن ارید أنّ مجرّد تحصیل العلم بارتکاب الحرام</w:t>
      </w:r>
    </w:p>
    <w:p>
      <w:pPr>
        <w:pStyle w:val="BookText"/>
      </w:pPr>
      <w:r>
        <w:rPr>
          <w:rFonts w:ascii="IRNazanin" w:hAnsi="IRNazanin" w:eastAsia="IRNazanin" w:cs="IRNazanin"/>
          <w:lang w:bidi="fa-IR"/>
          <w:color w:val="111111"/>
          <w:sz w:val="28"/>
          <w:szCs w:val="28"/>
          <w:rtl/>
        </w:rPr>
        <w:t xml:space="preserve">[شماره صفحه واقعی : 214]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حرام،فلم یدلّ دلیل علیه،نعم تحصیل العلم بارتکاب الغیر للحرام حرام من حیث التجسّس المنهیّ عنه و إن لم یحصل له العلم.</w:t>
      </w:r>
    </w:p>
    <w:p>
      <w:pPr>
        <w:pStyle w:val="BookText"/>
      </w:pPr>
      <w:r>
        <w:rPr>
          <w:rFonts w:ascii="IRNazanin" w:hAnsi="IRNazanin" w:eastAsia="IRNazanin" w:cs="IRNazanin"/>
          <w:lang w:bidi="fa-IR"/>
          <w:color w:val="111111"/>
          <w:sz w:val="28"/>
          <w:szCs w:val="28"/>
          <w:rtl/>
        </w:rPr>
        <w:t xml:space="preserve">و إن ارید:أنّ الممنوع عنه عقلا من مخالفة أحکام الشارع </w:t>
      </w:r>
      <w:r>
        <w:rPr>
          <w:rStyle w:val="FootnoteReference"/>
        </w:rPr>
        <w:footnoteReference w:id="698"/>
      </w:r>
      <w:r>
        <w:rPr>
          <w:rFonts w:ascii="IRNazanin" w:hAnsi="IRNazanin" w:eastAsia="IRNazanin" w:cs="IRNazanin"/>
          <w:lang w:bidi="fa-IR"/>
          <w:color w:val="111111"/>
          <w:sz w:val="28"/>
          <w:szCs w:val="28"/>
          <w:rtl/>
        </w:rPr>
        <w:t xml:space="preserve">-بل مطلق الموالی-هی المخالفة العلمیّة دون الاحتمالیّة؛فإنّها لا تعدّ عصیانا فی العرف،فعصیان الخطاب باجتناب الخمر المشتبه هو ارتکاب المجموع دون المحرّم الواقعیّ و إن لم یعرف حین الارتکاب،و حاصله:منع وجوب المقدّمة العلمیّة،ففیه:</w:t>
      </w:r>
    </w:p>
    <w:p>
      <w:pPr>
        <w:pStyle w:val="BookText"/>
      </w:pPr>
      <w:r>
        <w:rPr>
          <w:rFonts w:ascii="IRNazanin" w:hAnsi="IRNazanin" w:eastAsia="IRNazanin" w:cs="IRNazanin"/>
          <w:lang w:bidi="fa-IR"/>
          <w:color w:val="111111"/>
          <w:sz w:val="28"/>
          <w:szCs w:val="28"/>
          <w:rtl/>
        </w:rPr>
        <w:t xml:space="preserve">مع إطباق العلماء بل العقلاء-کما حکی-علی وجوب المقدّمة العلمیّة،أنّه:إن ارید من حرمة المخالفة العلمیّة حرمة المخالفة المعلومة حین المخالفة،فهذا اعتراف بجواز ارتکاب المجموع تدریجا؛إذ لا یحصل معه مخالفة معلومة تفصیلا.</w:t>
      </w:r>
    </w:p>
    <w:p>
      <w:pPr>
        <w:pStyle w:val="BookText"/>
      </w:pPr>
      <w:r>
        <w:rPr>
          <w:rFonts w:ascii="IRNazanin" w:hAnsi="IRNazanin" w:eastAsia="IRNazanin" w:cs="IRNazanin"/>
          <w:lang w:bidi="fa-IR"/>
          <w:color w:val="111111"/>
          <w:sz w:val="28"/>
          <w:szCs w:val="28"/>
          <w:rtl/>
        </w:rPr>
        <w:t xml:space="preserve">و إن ارید منها حرمة المخالفة التی تعلّق العلم بها و لو بعدها، فمرجعها إلی حرمة تحصیل العلم الذی یصیر به المخالفة معلومة،و قد عرفت منع حرمتها جدّا.</w:t>
      </w:r>
    </w:p>
    <w:p>
      <w:pPr>
        <w:pStyle w:val="BookText"/>
      </w:pPr>
      <w:r>
        <w:rPr>
          <w:rFonts w:ascii="IRNazanin" w:hAnsi="IRNazanin" w:eastAsia="IRNazanin" w:cs="IRNazanin"/>
          <w:lang w:bidi="fa-IR"/>
          <w:color w:val="111111"/>
          <w:sz w:val="28"/>
          <w:szCs w:val="28"/>
          <w:rtl/>
        </w:rPr>
        <w:t xml:space="preserve">و ممّا ذکرنا یظهر:فساد الوجه الثانی؛فإنّ حرمة المجموع إذا کان باعتبار جزئه الغیر المعیّن،فضمّ الجزء الآخر إلیه لا دخل له فی حرمته.نعم له دخل فی کون الحرام معلوم التحقّق،فهی مقدّمة للعلم بارتکاب الحرام،لا لنفسه،فلا وجه لحرمتها بعد عدم حرمة العلم بارتکاب الحرام.</w:t>
      </w:r>
    </w:p>
    <w:p>
      <w:pPr>
        <w:pStyle w:val="BookText"/>
      </w:pPr>
      <w:r>
        <w:rPr>
          <w:rFonts w:ascii="IRNazanin" w:hAnsi="IRNazanin" w:eastAsia="IRNazanin" w:cs="IRNazanin"/>
          <w:lang w:bidi="fa-IR"/>
          <w:color w:val="111111"/>
          <w:sz w:val="28"/>
          <w:szCs w:val="28"/>
          <w:rtl/>
        </w:rPr>
        <w:t xml:space="preserve">و من ذلک یظهر:فساد جعل الحرام کلا منهما بشرط الاجتماع مع</w:t>
      </w:r>
    </w:p>
    <w:p>
      <w:pPr>
        <w:pStyle w:val="BookText"/>
      </w:pPr>
      <w:r>
        <w:rPr>
          <w:rFonts w:ascii="IRNazanin" w:hAnsi="IRNazanin" w:eastAsia="IRNazanin" w:cs="IRNazanin"/>
          <w:lang w:bidi="fa-IR"/>
          <w:color w:val="111111"/>
          <w:sz w:val="28"/>
          <w:szCs w:val="28"/>
          <w:rtl/>
        </w:rPr>
        <w:t xml:space="preserve">[شماره صفحه واقعی : 215]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37" w:name="pg14411_142605"/>
    <w:bookmarkEnd w:id="137"/>
    <w:p>
      <w:pPr>
        <w:pStyle w:val="BookText"/>
      </w:pPr>
      <w:r>
        <w:rPr>
          <w:rFonts w:ascii="IRNazanin" w:hAnsi="IRNazanin" w:eastAsia="IRNazanin" w:cs="IRNazanin"/>
          <w:lang w:bidi="fa-IR"/>
          <w:color w:val="111111"/>
          <w:sz w:val="28"/>
          <w:szCs w:val="28"/>
          <w:rtl/>
        </w:rPr>
        <w:t xml:space="preserve">الآخر؛فإنّ حرمته و إن کانت معلومة،إلاّ أنّ الشرط شرط لوصف کونه معلوم التحقّق لا لذات الحرام،فلا یحرم إیجاد الاجتماع،إلاّ إذا حرم جعل ذات الحرام معلومة التحقّق،و مرجعه إلی حرمة تحصیل العلم بالحرام.</w:t>
      </w:r>
    </w:p>
    <w:p>
      <w:pPr>
        <w:pStyle w:val="Heading6"/>
      </w:pPr>
      <w:bookmarkStart w:id="1237" w:name="_Toc272"/>
      <w:r>
        <w:t>الوجه الثانی : ما دلّ علی جواز تناول الشبهة المحصورة</w:t>
      </w:r>
      <w:bookmarkEnd w:id="1237"/>
    </w:p>
    <w:p>
      <w:pPr>
        <w:pStyle w:val="Heading6"/>
      </w:pPr>
      <w:bookmarkStart w:id="1238" w:name="_Toc273"/>
      <w:r>
        <w:t>اشارة</w:t>
      </w:r>
      <w:bookmarkEnd w:id="1238"/>
    </w:p>
    <w:p>
      <w:pPr>
        <w:pStyle w:val="BookText"/>
      </w:pPr>
      <w:r>
        <w:rPr>
          <w:rFonts w:ascii="Amiri" w:hAnsi="Amiri" w:eastAsia="Amiri" w:cs="Amiri"/>
          <w:lang w:bidi="ar-SA"/>
          <w:color w:val="111111"/>
          <w:sz w:val="28"/>
          <w:szCs w:val="28"/>
          <w:rtl/>
        </w:rPr>
        <w:t xml:space="preserve">ما دلّ </w:t>
      </w:r>
      <w:r>
        <w:rPr>
          <w:rStyle w:val="FootnoteReference"/>
        </w:rPr>
        <w:footnoteReference w:id="699"/>
      </w:r>
      <w:r>
        <w:rPr>
          <w:rFonts w:ascii="IRNazanin" w:hAnsi="IRNazanin" w:eastAsia="IRNazanin" w:cs="IRNazanin"/>
          <w:lang w:bidi="fa-IR"/>
          <w:color w:val="111111"/>
          <w:sz w:val="28"/>
          <w:szCs w:val="28"/>
          <w:rtl/>
        </w:rPr>
        <w:t xml:space="preserve">علی جواز تناول الشبهة المحصورة</w:t>
      </w:r>
    </w:p>
    <w:p>
      <w:pPr>
        <w:pStyle w:val="BookText"/>
      </w:pPr>
      <w:r>
        <w:rPr>
          <w:rFonts w:ascii="IRNazanin" w:hAnsi="IRNazanin" w:eastAsia="IRNazanin" w:cs="IRNazanin"/>
          <w:lang w:bidi="fa-IR"/>
          <w:color w:val="111111"/>
          <w:sz w:val="28"/>
          <w:szCs w:val="28"/>
          <w:rtl/>
        </w:rPr>
        <w:t xml:space="preserve">،فیجمع بینه </w:t>
      </w:r>
      <w:r>
        <w:rPr>
          <w:rStyle w:val="FootnoteReference"/>
        </w:rPr>
        <w:footnoteReference w:id="700"/>
      </w:r>
      <w:r>
        <w:rPr>
          <w:rFonts w:ascii="IRNazanin" w:hAnsi="IRNazanin" w:eastAsia="IRNazanin" w:cs="IRNazanin"/>
          <w:lang w:bidi="fa-IR"/>
          <w:color w:val="111111"/>
          <w:sz w:val="28"/>
          <w:szCs w:val="28"/>
          <w:rtl/>
        </w:rPr>
        <w:t xml:space="preserve">-علی تقدیر ظهوره فی جواز تناول الجمیع </w:t>
      </w:r>
      <w:r>
        <w:rPr>
          <w:rStyle w:val="FootnoteReference"/>
        </w:rPr>
        <w:footnoteReference w:id="701"/>
      </w:r>
      <w:r>
        <w:rPr>
          <w:rFonts w:ascii="IRNazanin" w:hAnsi="IRNazanin" w:eastAsia="IRNazanin" w:cs="IRNazanin"/>
          <w:lang w:bidi="fa-IR"/>
          <w:color w:val="111111"/>
          <w:sz w:val="28"/>
          <w:szCs w:val="28"/>
          <w:rtl/>
        </w:rPr>
        <w:t xml:space="preserve">-و بین ما دلّ علی تحریم العنوان الواقعیّ،بأنّ الشارع جعل بعض المحتملات بدلا عن الحرام الواقعیّ، فیکفی ترکه فی الامتثال الظاهریّ،کما لو اکتفی بفعل الصلاة إلی بعض الجهات المشتبهة و رخّص فی ترک الصلاة إلی بعضها.و هذه الأخبار کثیرة:</w:t>
      </w:r>
    </w:p>
    <w:p>
      <w:pPr>
        <w:pStyle w:val="Heading6"/>
      </w:pPr>
      <w:bookmarkStart w:id="1239" w:name="_Toc274"/>
      <w:r>
        <w:t>[أ-موثّقة سماعة]</w:t>
      </w:r>
      <w:bookmarkEnd w:id="1239"/>
    </w:p>
    <w:p>
      <w:pPr>
        <w:pStyle w:val="Heading6"/>
      </w:pPr>
      <w:bookmarkStart w:id="1240" w:name="_Toc275"/>
      <w:r>
        <w:t>اشارة</w:t>
      </w:r>
      <w:bookmarkEnd w:id="1240"/>
    </w:p>
    <w:p>
      <w:pPr>
        <w:pStyle w:val="BookText"/>
      </w:pPr>
      <w:r>
        <w:rPr>
          <w:rFonts w:ascii="IRNazanin" w:hAnsi="IRNazanin" w:eastAsia="IRNazanin" w:cs="IRNazanin"/>
          <w:lang w:bidi="fa-IR"/>
          <w:color w:val="111111"/>
          <w:sz w:val="28"/>
          <w:szCs w:val="28"/>
          <w:rtl/>
        </w:rPr>
        <w:t xml:space="preserve">منها:موثّقة سماعة.قال:«سألت أبا عبد اللّه علیه السّلام عن رجل أصاب مالا من عمّال بنی امیّة،و هو یتصدّق منه و یصل قرابته و یحجّ؛ لیغفر له ما اکتسب،و یقول:إنّ الحسنات یذهبن السیّئات،فقال علیه السّلام:</w:t>
      </w:r>
    </w:p>
    <w:p>
      <w:pPr>
        <w:pStyle w:val="BookText"/>
      </w:pPr>
      <w:r>
        <w:rPr>
          <w:rFonts w:ascii="IRNazanin" w:hAnsi="IRNazanin" w:eastAsia="IRNazanin" w:cs="IRNazanin"/>
          <w:lang w:bidi="fa-IR"/>
          <w:color w:val="111111"/>
          <w:sz w:val="28"/>
          <w:szCs w:val="28"/>
          <w:rtl/>
        </w:rPr>
        <w:t xml:space="preserve">إنّ الخطیئة لا تکفّر الخطیئة،و إنّ الحسنة تحطّ الخطیئة.ثمّ قال:إن کان</w:t>
      </w:r>
    </w:p>
    <w:p>
      <w:pPr>
        <w:pStyle w:val="BookText"/>
      </w:pPr>
      <w:r>
        <w:rPr>
          <w:rFonts w:ascii="IRNazanin" w:hAnsi="IRNazanin" w:eastAsia="IRNazanin" w:cs="IRNazanin"/>
          <w:lang w:bidi="fa-IR"/>
          <w:color w:val="111111"/>
          <w:sz w:val="28"/>
          <w:szCs w:val="28"/>
          <w:rtl/>
        </w:rPr>
        <w:t xml:space="preserve">[شماره صفحه واقعی : 216]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38" w:name="pg14411_142606"/>
    <w:bookmarkEnd w:id="138"/>
    <w:p>
      <w:pPr>
        <w:pStyle w:val="BookText"/>
      </w:pPr>
      <w:r>
        <w:rPr>
          <w:rFonts w:ascii="IRNazanin" w:hAnsi="IRNazanin" w:eastAsia="IRNazanin" w:cs="IRNazanin"/>
          <w:lang w:bidi="fa-IR"/>
          <w:color w:val="111111"/>
          <w:sz w:val="28"/>
          <w:szCs w:val="28"/>
          <w:rtl/>
        </w:rPr>
        <w:t xml:space="preserve">خلط الحرام حلالا فاختلطا جمیعا فلم یعرف الحرام من الحلال، فلا بأس» </w:t>
      </w:r>
      <w:r>
        <w:rPr>
          <w:rStyle w:val="FootnoteReference"/>
        </w:rPr>
        <w:footnoteReference w:id="7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ظاهره:نفی البأس عن التصدّق و الصلة و الحجّ من المال المختلط و حصول الأجر فی ذلک،و لیس فیه دلالة علی جواز التصرّف فی الجمیع.و لو فرض ظهوره فیه صرف عنه؛بما دلّ علی وجوب الاجتناب عن الحرام الواقعیّ،و هو مقتض بنفسه لحرمة التصرّف فی الکلّ،فلا یجوز ورود الدلیل علی خلافها،و من جهة حکم العقل بلزوم الاحتیاط لحرمة التصرّف فی البعض المحتمل أیضا،لکن عرفت أنّه یجوز الإذن فی ترک بعض المقدّمات العلمیّة بجعل بعضها الآخر بدلا ظاهریّا عن ذی المقدّمة.</w:t>
      </w:r>
    </w:p>
    <w:p>
      <w:pPr>
        <w:pStyle w:val="Heading6"/>
      </w:pPr>
      <w:bookmarkStart w:id="1241" w:name="_Toc276"/>
      <w:r>
        <w:t>[الجواب عن الموثّقة]</w:t>
      </w:r>
      <w:bookmarkEnd w:id="1241"/>
    </w:p>
    <w:p>
      <w:pPr>
        <w:pStyle w:val="BookText"/>
      </w:pPr>
      <w:r>
        <w:rPr>
          <w:rFonts w:ascii="IRNazanin" w:hAnsi="IRNazanin" w:eastAsia="IRNazanin" w:cs="IRNazanin"/>
          <w:lang w:bidi="fa-IR"/>
          <w:color w:val="111111"/>
          <w:sz w:val="28"/>
          <w:szCs w:val="28"/>
          <w:rtl/>
        </w:rPr>
        <w:t xml:space="preserve">و الجواب عن هذا الخبر:أنّ ظاهره جواز التصرّف فی الجمیع؛ لأنّه یتصدّق و یصل و یحجّ بالبعض و یمسک الباقی،فقد تصرّف فی الجمیع بصرف البعض و إمساک </w:t>
      </w:r>
      <w:r>
        <w:rPr>
          <w:rStyle w:val="FootnoteReference"/>
        </w:rPr>
        <w:footnoteReference w:id="703"/>
      </w:r>
      <w:r>
        <w:rPr>
          <w:rFonts w:ascii="IRNazanin" w:hAnsi="IRNazanin" w:eastAsia="IRNazanin" w:cs="IRNazanin"/>
          <w:lang w:bidi="fa-IR"/>
          <w:color w:val="111111"/>
          <w:sz w:val="28"/>
          <w:szCs w:val="28"/>
          <w:rtl/>
        </w:rPr>
        <w:t xml:space="preserve">الباقی؛فلا بدّ إمّا من الأخذ به و تجویز المخالفة القطعیّة،و إمّا من صرفه عن ظاهره،و حینئذ:فحمله علی إرادة نفی البأس عن التصرّف فی البعض و إن حرم علیه إمساک مقدار الحرام، لیس بأولی من حمل الحرام علی حرام خاصّ یعذر فیه الجاهل،کالربا بناء علی ما ورد فی عدّة أخبار:من حلّیة الربا الذی اخذ جهلا ثمّ لم یعرف بعینه فی المال المخلوط </w:t>
      </w:r>
      <w:r>
        <w:rPr>
          <w:rStyle w:val="FootnoteReference"/>
        </w:rPr>
        <w:footnoteReference w:id="7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217]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39" w:name="pg14411_142607"/>
    <w:bookmarkEnd w:id="139"/>
    <w:p>
      <w:pPr>
        <w:pStyle w:val="Heading6"/>
      </w:pPr>
      <w:bookmarkStart w:id="1242" w:name="_Toc277"/>
      <w:r>
        <w:t>[ب-الأخبار الواردة فی حلّیة ما لم یعلم حرمته:]</w:t>
      </w:r>
      <w:bookmarkEnd w:id="1242"/>
    </w:p>
    <w:p>
      <w:pPr>
        <w:pStyle w:val="Heading6"/>
      </w:pPr>
      <w:bookmarkStart w:id="1243" w:name="_Toc278"/>
      <w:r>
        <w:t>اشارة</w:t>
      </w:r>
      <w:bookmarkEnd w:id="1243"/>
    </w:p>
    <w:p>
      <w:pPr>
        <w:pStyle w:val="BookText"/>
      </w:pPr>
      <w:r>
        <w:rPr>
          <w:rFonts w:ascii="IRNazanin" w:hAnsi="IRNazanin" w:eastAsia="IRNazanin" w:cs="IRNazanin"/>
          <w:lang w:bidi="fa-IR"/>
          <w:color w:val="111111"/>
          <w:sz w:val="28"/>
          <w:szCs w:val="28"/>
          <w:rtl/>
        </w:rPr>
        <w:t xml:space="preserve">و بالجملة:فالأخبار الواردة فی حلّیة ما لم یعلم حرمته علی أصناف.</w:t>
      </w:r>
    </w:p>
    <w:p>
      <w:pPr>
        <w:pStyle w:val="Heading6"/>
      </w:pPr>
      <w:bookmarkStart w:id="1244" w:name="_Toc279"/>
      <w:r>
        <w:t>[1-أخبار الحلّ و الجواب عنها]</w:t>
      </w:r>
      <w:bookmarkEnd w:id="1244"/>
    </w:p>
    <w:p>
      <w:pPr>
        <w:pStyle w:val="BookText"/>
      </w:pPr>
      <w:r>
        <w:rPr>
          <w:rFonts w:ascii="IRNazanin" w:hAnsi="IRNazanin" w:eastAsia="IRNazanin" w:cs="IRNazanin"/>
          <w:lang w:bidi="fa-IR"/>
          <w:color w:val="111111"/>
          <w:sz w:val="28"/>
          <w:szCs w:val="28"/>
          <w:rtl/>
        </w:rPr>
        <w:t xml:space="preserve">منها:ما کان من قبیل قوله علیه السّلام:«کلّ شیء لک حلال حتّی تعرف أنّه حرام» </w:t>
      </w:r>
      <w:r>
        <w:rPr>
          <w:rStyle w:val="FootnoteReference"/>
        </w:rPr>
        <w:footnoteReference w:id="7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الصنف لا یجوز الاستدلال به لمن لا یری جواز ارتکاب المشتبهین؛لأنّ حمل تلک الأخبار علی الواحد لا بعینه فی الشبهة المحصورة و الآحاد المعیّنة فی الشبهة المجرّدة من العلم الإجمالیّ و الشبهة الغیر المحصورة،متعسّر بل متعذّر،فیجب حملها علی صورة عدم التکلیف الفعلیّ بالحرام الواقعیّ.</w:t>
      </w:r>
    </w:p>
    <w:p>
      <w:pPr>
        <w:pStyle w:val="Heading6"/>
      </w:pPr>
      <w:bookmarkStart w:id="1245" w:name="_Toc280"/>
      <w:r>
        <w:t>[2-ما دلّ علی ارتکاب کلا المشتبهین فی الشبهة المحصورة و الجواب عنه]</w:t>
      </w:r>
      <w:bookmarkEnd w:id="1245"/>
    </w:p>
    <w:p>
      <w:pPr>
        <w:pStyle w:val="BookText"/>
      </w:pPr>
      <w:r>
        <w:rPr>
          <w:rFonts w:ascii="IRNazanin" w:hAnsi="IRNazanin" w:eastAsia="IRNazanin" w:cs="IRNazanin"/>
          <w:lang w:bidi="fa-IR"/>
          <w:color w:val="111111"/>
          <w:sz w:val="28"/>
          <w:szCs w:val="28"/>
          <w:rtl/>
        </w:rPr>
        <w:t xml:space="preserve">و منها:ما دلّ علی ارتکاب کلا المشتبهین فی خصوص الشبهة المحصورة،مثل الخبر المتقدّم </w:t>
      </w:r>
      <w:r>
        <w:rPr>
          <w:rStyle w:val="FootnoteReference"/>
        </w:rPr>
        <w:footnoteReference w:id="7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أیضا لا یلتزم المستدلّ بمضمونه،و لا یجوز حمله علی غیر الشبهة المحصورة-لأنّ مورده فیها-،فیجب حمله علی أقرب المحتملین:</w:t>
      </w:r>
    </w:p>
    <w:p>
      <w:pPr>
        <w:pStyle w:val="BookText"/>
      </w:pPr>
      <w:r>
        <w:rPr>
          <w:rFonts w:ascii="IRNazanin" w:hAnsi="IRNazanin" w:eastAsia="IRNazanin" w:cs="IRNazanin"/>
          <w:lang w:bidi="fa-IR"/>
          <w:color w:val="111111"/>
          <w:sz w:val="28"/>
          <w:szCs w:val="28"/>
          <w:rtl/>
        </w:rPr>
        <w:t xml:space="preserve">من ارتکاب البعض مع إبقاء مقدار الحرام،و من وروده فی مورد خاصّ،کالربا و نحوه ممّا یمکن الالتزام بخروجه عن قاعدة الشبهة المحصورة.</w:t>
      </w:r>
    </w:p>
    <w:p>
      <w:pPr>
        <w:pStyle w:val="BookText"/>
      </w:pPr>
      <w:r>
        <w:rPr>
          <w:rFonts w:ascii="IRNazanin" w:hAnsi="IRNazanin" w:eastAsia="IRNazanin" w:cs="IRNazanin"/>
          <w:lang w:bidi="fa-IR"/>
          <w:color w:val="111111"/>
          <w:sz w:val="28"/>
          <w:szCs w:val="28"/>
          <w:rtl/>
        </w:rPr>
        <w:t xml:space="preserve">و من ذلک یعلم:حال ما ورد فی الربا من حلّ جمیع المال المختلط به.</w:t>
      </w:r>
    </w:p>
    <w:p>
      <w:pPr>
        <w:pStyle w:val="Heading6"/>
      </w:pPr>
      <w:bookmarkStart w:id="1246" w:name="_Toc281"/>
      <w:r>
        <w:t>[3-أخبار جواز الأخذ من العامل و السارق و السلطان و الجواب عنها]</w:t>
      </w:r>
      <w:bookmarkEnd w:id="1246"/>
    </w:p>
    <w:p>
      <w:pPr>
        <w:pStyle w:val="BookText"/>
      </w:pPr>
      <w:r>
        <w:rPr>
          <w:rFonts w:ascii="IRNazanin" w:hAnsi="IRNazanin" w:eastAsia="IRNazanin" w:cs="IRNazanin"/>
          <w:lang w:bidi="fa-IR"/>
          <w:color w:val="111111"/>
          <w:sz w:val="28"/>
          <w:szCs w:val="28"/>
          <w:rtl/>
        </w:rPr>
        <w:t xml:space="preserve">و منها:ما دلّ علی جواز أخذ ما علم فیه الحرام إجمالا،کأخبار</w:t>
      </w:r>
    </w:p>
    <w:p>
      <w:pPr>
        <w:pStyle w:val="BookText"/>
      </w:pPr>
      <w:r>
        <w:rPr>
          <w:rFonts w:ascii="IRNazanin" w:hAnsi="IRNazanin" w:eastAsia="IRNazanin" w:cs="IRNazanin"/>
          <w:lang w:bidi="fa-IR"/>
          <w:color w:val="111111"/>
          <w:sz w:val="28"/>
          <w:szCs w:val="28"/>
          <w:rtl/>
        </w:rPr>
        <w:t xml:space="preserve">[شماره صفحه واقعی : 218]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40" w:name="pg14411_142608"/>
    <w:bookmarkEnd w:id="140"/>
    <w:p>
      <w:pPr>
        <w:pStyle w:val="BookText"/>
      </w:pPr>
      <w:r>
        <w:rPr>
          <w:rFonts w:ascii="IRNazanin" w:hAnsi="IRNazanin" w:eastAsia="IRNazanin" w:cs="IRNazanin"/>
          <w:lang w:bidi="fa-IR"/>
          <w:color w:val="111111"/>
          <w:sz w:val="28"/>
          <w:szCs w:val="28"/>
          <w:rtl/>
        </w:rPr>
        <w:t xml:space="preserve">جواز الأخذ من العامل </w:t>
      </w:r>
      <w:r>
        <w:rPr>
          <w:rStyle w:val="FootnoteReference"/>
        </w:rPr>
        <w:footnoteReference w:id="707"/>
      </w:r>
      <w:r>
        <w:rPr>
          <w:rFonts w:ascii="IRNazanin" w:hAnsi="IRNazanin" w:eastAsia="IRNazanin" w:cs="IRNazanin"/>
          <w:lang w:bidi="fa-IR"/>
          <w:color w:val="111111"/>
          <w:sz w:val="28"/>
          <w:szCs w:val="28"/>
          <w:rtl/>
        </w:rPr>
        <w:t xml:space="preserve">و السارق </w:t>
      </w:r>
      <w:r>
        <w:rPr>
          <w:rStyle w:val="FootnoteReference"/>
        </w:rPr>
        <w:footnoteReference w:id="708"/>
      </w:r>
      <w:r>
        <w:rPr>
          <w:rFonts w:ascii="IRNazanin" w:hAnsi="IRNazanin" w:eastAsia="IRNazanin" w:cs="IRNazanin"/>
          <w:lang w:bidi="fa-IR"/>
          <w:color w:val="111111"/>
          <w:sz w:val="28"/>
          <w:szCs w:val="28"/>
          <w:rtl/>
        </w:rPr>
        <w:t xml:space="preserve">و السلطان </w:t>
      </w:r>
      <w:r>
        <w:rPr>
          <w:rStyle w:val="FootnoteReference"/>
        </w:rPr>
        <w:footnoteReference w:id="7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سیجیء:حمل جلّها أو کلّها علی کون الحکم بالحلّ مستندا إلی کون الشیء مأخوذا من ید المسلم،و متفرّعا علی تصرّفه المحمول علی الصحّة عند الشکّ.</w:t>
      </w:r>
    </w:p>
    <w:p>
      <w:pPr>
        <w:pStyle w:val="Heading6"/>
      </w:pPr>
      <w:bookmarkStart w:id="1247" w:name="_Toc282"/>
      <w:r>
        <w:t>[قاعدة وجوب دفع الضرر المقطوع به بین المشتبهین عقلا]</w:t>
      </w:r>
      <w:bookmarkEnd w:id="1247"/>
    </w:p>
    <w:p>
      <w:pPr>
        <w:pStyle w:val="Heading6"/>
      </w:pPr>
      <w:bookmarkStart w:id="1248" w:name="_Toc283"/>
      <w:r>
        <w:t>اشارة</w:t>
      </w:r>
      <w:bookmarkEnd w:id="1248"/>
    </w:p>
    <w:p>
      <w:pPr>
        <w:pStyle w:val="BookText"/>
      </w:pPr>
      <w:r>
        <w:rPr>
          <w:rFonts w:ascii="IRNazanin" w:hAnsi="IRNazanin" w:eastAsia="IRNazanin" w:cs="IRNazanin"/>
          <w:lang w:bidi="fa-IR"/>
          <w:color w:val="111111"/>
          <w:sz w:val="28"/>
          <w:szCs w:val="28"/>
          <w:rtl/>
        </w:rPr>
        <w:t xml:space="preserve">فالخروج بهذه الأصناف من الأخبار عن القاعدة العقلیّة الناشئة عمّا دلّ من الأدلّة القطعیّة علی وجوب الاجتناب عن العناوین المحرّمة الواقعیّة-و هی وجوب دفع الضرر المقطوع به بین المشتبهین،و وجوب إطاعة التکالیف المعلومة المتوقّفة علی الاجتناب عن کلا المشتبهین-، مشکل جدّا،خصوصا مع اعتضاد القاعدة بوجهین آخرین هما کالدلیل علی المطلب.</w:t>
      </w:r>
    </w:p>
    <w:p>
      <w:pPr>
        <w:pStyle w:val="Heading6"/>
      </w:pPr>
      <w:bookmarkStart w:id="1249" w:name="_Toc284"/>
      <w:r>
        <w:t>[اعتضاد القاعدة بوجهین آخرین:]</w:t>
      </w:r>
      <w:bookmarkEnd w:id="1249"/>
    </w:p>
    <w:p>
      <w:pPr>
        <w:pStyle w:val="Heading6"/>
      </w:pPr>
      <w:bookmarkStart w:id="1250" w:name="_Toc285"/>
      <w:r>
        <w:t>أحدهما : الأخبار الدالّة علی هذا المعنی</w:t>
      </w:r>
      <w:bookmarkEnd w:id="1250"/>
    </w:p>
    <w:p>
      <w:pPr>
        <w:pStyle w:val="BookText"/>
      </w:pPr>
      <w:r>
        <w:rPr>
          <w:rFonts w:ascii="IRNazanin" w:hAnsi="IRNazanin" w:eastAsia="IRNazanin" w:cs="IRNazanin"/>
          <w:lang w:bidi="fa-IR"/>
          <w:color w:val="111111"/>
          <w:sz w:val="28"/>
          <w:szCs w:val="28"/>
          <w:rtl/>
        </w:rPr>
        <w:t xml:space="preserve">منها:قوله صلّی اللّه علیه و آله:«ما اجتمع الحلال و الحرام إلاّ غلب الحرام الحلال» </w:t>
      </w:r>
      <w:r>
        <w:rPr>
          <w:rStyle w:val="FootnoteReference"/>
        </w:rPr>
        <w:footnoteReference w:id="710"/>
      </w:r>
      <w:r>
        <w:rPr>
          <w:rFonts w:ascii="IRNazanin" w:hAnsi="IRNazanin" w:eastAsia="IRNazanin" w:cs="IRNazanin"/>
          <w:lang w:bidi="fa-IR"/>
          <w:color w:val="111111"/>
          <w:sz w:val="28"/>
          <w:szCs w:val="28"/>
          <w:rtl/>
        </w:rPr>
        <w:t xml:space="preserve">،و المرسل المتقدّم </w:t>
      </w:r>
      <w:r>
        <w:rPr>
          <w:rStyle w:val="FootnoteReference"/>
        </w:rPr>
        <w:footnoteReference w:id="711"/>
      </w:r>
      <w:r>
        <w:rPr>
          <w:rFonts w:ascii="IRNazanin" w:hAnsi="IRNazanin" w:eastAsia="IRNazanin" w:cs="IRNazanin"/>
          <w:lang w:bidi="fa-IR"/>
          <w:color w:val="111111"/>
          <w:sz w:val="28"/>
          <w:szCs w:val="28"/>
          <w:rtl/>
        </w:rPr>
        <w:t xml:space="preserve">:«اترکوا ما لا بأس به حذرا عمّا به البأس»،و ضعفها ینجبر بالشهرة المحقّقة و الإجماع المدّعی فی کلام من تقدّم </w:t>
      </w:r>
      <w:r>
        <w:rPr>
          <w:rStyle w:val="FootnoteReference"/>
        </w:rPr>
        <w:footnoteReference w:id="7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219]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منها:روایة ضریس،عن السّمن و الجبن فی أرض المشرکین؟ «قال:أمّا ما علمت أنّه قد خلطه الحرام فلا تأکل،و أمّا ما لم تعلم فکل» </w:t>
      </w:r>
      <w:r>
        <w:rPr>
          <w:rStyle w:val="FootnoteReference"/>
        </w:rPr>
        <w:footnoteReference w:id="713"/>
      </w:r>
      <w:r>
        <w:rPr>
          <w:rFonts w:ascii="IRNazanin" w:hAnsi="IRNazanin" w:eastAsia="IRNazanin" w:cs="IRNazanin"/>
          <w:lang w:bidi="fa-IR"/>
          <w:color w:val="111111"/>
          <w:sz w:val="28"/>
          <w:szCs w:val="28"/>
          <w:rtl/>
        </w:rPr>
        <w:t xml:space="preserve">فإنّ الخلط یصدق مع الاشتباه.و روایة ابن سنان:«کلّ شیء حلال حتّی یجیئک شاهدان أنّ فیه المیتة» </w:t>
      </w:r>
      <w:r>
        <w:rPr>
          <w:rStyle w:val="FootnoteReference"/>
        </w:rPr>
        <w:footnoteReference w:id="714"/>
      </w:r>
      <w:r>
        <w:rPr>
          <w:rFonts w:ascii="IRNazanin" w:hAnsi="IRNazanin" w:eastAsia="IRNazanin" w:cs="IRNazanin"/>
          <w:lang w:bidi="fa-IR"/>
          <w:color w:val="111111"/>
          <w:sz w:val="28"/>
          <w:szCs w:val="28"/>
          <w:rtl/>
        </w:rPr>
        <w:t xml:space="preserve">فإنّه یصدق علی مجموع قطعات اللحم أنّ فیه المیتة.</w:t>
      </w:r>
    </w:p>
    <w:p>
      <w:pPr>
        <w:pStyle w:val="BookText"/>
      </w:pPr>
      <w:r>
        <w:rPr>
          <w:rFonts w:ascii="IRNazanin" w:hAnsi="IRNazanin" w:eastAsia="IRNazanin" w:cs="IRNazanin"/>
          <w:lang w:bidi="fa-IR"/>
          <w:color w:val="111111"/>
          <w:sz w:val="28"/>
          <w:szCs w:val="28"/>
          <w:rtl/>
        </w:rPr>
        <w:t xml:space="preserve">و منها:قوله صلّی اللّه علیه و آله فی حدیث التثلیث:«وقع فی المحرّمات و هلک من حیث لا یعلم» </w:t>
      </w:r>
      <w:r>
        <w:rPr>
          <w:rStyle w:val="FootnoteReference"/>
        </w:rPr>
        <w:footnoteReference w:id="715"/>
      </w:r>
      <w:r>
        <w:rPr>
          <w:rFonts w:ascii="IRNazanin" w:hAnsi="IRNazanin" w:eastAsia="IRNazanin" w:cs="IRNazanin"/>
          <w:lang w:bidi="fa-IR"/>
          <w:color w:val="111111"/>
          <w:sz w:val="28"/>
          <w:szCs w:val="28"/>
          <w:rtl/>
        </w:rPr>
        <w:t xml:space="preserve">بناء علی أنّ المراد بالهلاکة ما هو أثر للحرام، فإن کان الحرام لم یتنجّز التکلیف به </w:t>
      </w:r>
      <w:r>
        <w:rPr>
          <w:rStyle w:val="FootnoteReference"/>
        </w:rPr>
        <w:footnoteReference w:id="716"/>
      </w:r>
      <w:r>
        <w:rPr>
          <w:rFonts w:ascii="IRNazanin" w:hAnsi="IRNazanin" w:eastAsia="IRNazanin" w:cs="IRNazanin"/>
          <w:lang w:bidi="fa-IR"/>
          <w:color w:val="111111"/>
          <w:sz w:val="28"/>
          <w:szCs w:val="28"/>
          <w:rtl/>
        </w:rPr>
        <w:t xml:space="preserve">فالهلاک المترتّب علیه منقصته الذاتیّة </w:t>
      </w:r>
      <w:r>
        <w:rPr>
          <w:rStyle w:val="FootnoteReference"/>
        </w:rPr>
        <w:footnoteReference w:id="717"/>
      </w:r>
      <w:r>
        <w:rPr>
          <w:rFonts w:ascii="IRNazanin" w:hAnsi="IRNazanin" w:eastAsia="IRNazanin" w:cs="IRNazanin"/>
          <w:lang w:bidi="fa-IR"/>
          <w:color w:val="111111"/>
          <w:sz w:val="28"/>
          <w:szCs w:val="28"/>
          <w:rtl/>
        </w:rPr>
        <w:t xml:space="preserve">،و إن کان ممّا یتنجّز التکلیف به-کما فی ما نحن فیه-کان المترتب علیه هو العقاب الاخرویّ،و حیث إنّ دفع العقاب المحتمل واجب بحکم العقل وجب الاجتناب عن کلّ مشتبه بالشبهة المحصورة، و لمّا کان دفع الضرر غیر العقاب غیر لازم إجماعا کان الاجتناب عن الشبهة المجرّدة </w:t>
      </w:r>
      <w:r>
        <w:rPr>
          <w:rStyle w:val="FootnoteReference"/>
        </w:rPr>
        <w:footnoteReference w:id="718"/>
      </w:r>
      <w:r>
        <w:rPr>
          <w:rFonts w:ascii="IRNazanin" w:hAnsi="IRNazanin" w:eastAsia="IRNazanin" w:cs="IRNazanin"/>
          <w:lang w:bidi="fa-IR"/>
          <w:color w:val="111111"/>
          <w:sz w:val="28"/>
          <w:szCs w:val="28"/>
          <w:rtl/>
        </w:rPr>
        <w:t xml:space="preserve">غیر واجب،بل مستحبّا.</w:t>
      </w:r>
    </w:p>
    <w:p>
      <w:pPr>
        <w:pStyle w:val="BookText"/>
      </w:pPr>
      <w:r>
        <w:rPr>
          <w:rFonts w:ascii="IRNazanin" w:hAnsi="IRNazanin" w:eastAsia="IRNazanin" w:cs="IRNazanin"/>
          <w:lang w:bidi="fa-IR"/>
          <w:color w:val="111111"/>
          <w:sz w:val="28"/>
          <w:szCs w:val="28"/>
          <w:rtl/>
        </w:rPr>
        <w:t xml:space="preserve">[شماره صفحه واقعی : 220]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41" w:name="pg14411_142610"/>
    <w:bookmarkEnd w:id="141"/>
    <w:p>
      <w:pPr>
        <w:pStyle w:val="BookText"/>
      </w:pPr>
      <w:r>
        <w:rPr>
          <w:rFonts w:ascii="IRNazanin" w:hAnsi="IRNazanin" w:eastAsia="IRNazanin" w:cs="IRNazanin"/>
          <w:lang w:bidi="fa-IR"/>
          <w:color w:val="111111"/>
          <w:sz w:val="28"/>
          <w:szCs w:val="28"/>
          <w:rtl/>
        </w:rPr>
        <w:t xml:space="preserve">و فائدة الاستدلال بمثل هذا الخبر:معارضته لما یفرض من الدلیل علی جواز ارتکاب أحد المشتبهین مخیّرا،و جعل الآخر بدلا عن الحرام الواقعیّ؛فإنّ مثل هذا الدلیل-لو فرض وجوده </w:t>
      </w:r>
      <w:r>
        <w:rPr>
          <w:rStyle w:val="FootnoteReference"/>
        </w:rPr>
        <w:footnoteReference w:id="719"/>
      </w:r>
      <w:r>
        <w:rPr>
          <w:rFonts w:ascii="IRNazanin" w:hAnsi="IRNazanin" w:eastAsia="IRNazanin" w:cs="IRNazanin"/>
          <w:lang w:bidi="fa-IR"/>
          <w:color w:val="111111"/>
          <w:sz w:val="28"/>
          <w:szCs w:val="28"/>
          <w:rtl/>
        </w:rPr>
        <w:t xml:space="preserve">-حاکم علی الأدلّة الدالّة علی الاجتناب عن عنوان المحرّم الواقعیّ،لکنّه معارض بمثل خبر التثلیث و بالنبویّین </w:t>
      </w:r>
      <w:r>
        <w:rPr>
          <w:rStyle w:val="FootnoteReference"/>
        </w:rPr>
        <w:footnoteReference w:id="720"/>
      </w:r>
      <w:r>
        <w:rPr>
          <w:rFonts w:ascii="IRNazanin" w:hAnsi="IRNazanin" w:eastAsia="IRNazanin" w:cs="IRNazanin"/>
          <w:lang w:bidi="fa-IR"/>
          <w:color w:val="111111"/>
          <w:sz w:val="28"/>
          <w:szCs w:val="28"/>
          <w:rtl/>
        </w:rPr>
        <w:t xml:space="preserve">،بل مخصّص بهما </w:t>
      </w:r>
      <w:r>
        <w:rPr>
          <w:rStyle w:val="FootnoteReference"/>
        </w:rPr>
        <w:footnoteReference w:id="721"/>
      </w:r>
      <w:r>
        <w:rPr>
          <w:rFonts w:ascii="Amiri" w:hAnsi="Amiri" w:eastAsia="Amiri" w:cs="Amiri"/>
          <w:lang w:bidi="ar-SA"/>
          <w:color w:val="111111"/>
          <w:sz w:val="28"/>
          <w:szCs w:val="28"/>
          <w:rtl/>
        </w:rPr>
        <w:t xml:space="preserve">لو فرض عمومه للشبهة.</w:t>
      </w:r>
    </w:p>
    <w:p>
      <w:pPr>
        <w:pStyle w:val="BookText"/>
      </w:pPr>
      <w:r>
        <w:rPr>
          <w:rFonts w:ascii="IRNazanin" w:hAnsi="IRNazanin" w:eastAsia="IRNazanin" w:cs="IRNazanin"/>
          <w:lang w:bidi="fa-IR"/>
          <w:color w:val="111111"/>
          <w:sz w:val="28"/>
          <w:szCs w:val="28"/>
          <w:rtl/>
        </w:rPr>
        <w:t xml:space="preserve">الابتدائیّة،فیسلم تلک الأدلّة،فتأمّل </w:t>
      </w:r>
      <w:r>
        <w:rPr>
          <w:rStyle w:val="FootnoteReference"/>
        </w:rPr>
        <w:footnoteReference w:id="722"/>
      </w:r>
      <w:r>
        <w:rPr>
          <w:rFonts w:ascii="Times New Roman" w:hAnsi="Times New Roman" w:eastAsia="Times New Roman" w:cs="Times New Roman"/>
          <w:lang w:val="en-US" w:bidi="en-US"/>
          <w:color w:val="111111"/>
          <w:sz w:val="28"/>
          <w:szCs w:val="28"/>
          <w:rtl/>
        </w:rPr>
        <w:t xml:space="preserve">.</w:t>
      </w:r>
    </w:p>
    <w:p>
      <w:pPr>
        <w:pStyle w:val="Heading6"/>
      </w:pPr>
      <w:bookmarkStart w:id="1251" w:name="_Toc286"/>
      <w:r>
        <w:t>الثانی : ما یستفاد من أخبار کثیرة</w:t>
      </w:r>
      <w:bookmarkEnd w:id="1251"/>
    </w:p>
    <w:p>
      <w:pPr>
        <w:pStyle w:val="BookText"/>
      </w:pPr>
      <w:r>
        <w:rPr>
          <w:rFonts w:ascii="IRNazanin" w:hAnsi="IRNazanin" w:eastAsia="IRNazanin" w:cs="IRNazanin"/>
          <w:lang w:bidi="fa-IR"/>
          <w:color w:val="111111"/>
          <w:sz w:val="28"/>
          <w:szCs w:val="28"/>
          <w:rtl/>
        </w:rPr>
        <w:t xml:space="preserve">من کون الاجتناب عن کلّ واحد من المشتبهین أمرا مسلّما مفروغا عنه بین الأئمّة علیهم السّلام و الشیعة، بل العامّة أیضا،بل استدلّ صاحب الحدائق علی أصل القاعدة باستقراء مواردها فی الشریعة </w:t>
      </w:r>
      <w:r>
        <w:rPr>
          <w:rStyle w:val="FootnoteReference"/>
        </w:rPr>
        <w:footnoteReference w:id="723"/>
      </w:r>
    </w:p>
    <w:p>
      <w:pPr>
        <w:pStyle w:val="BookText"/>
      </w:pPr>
      <w:r>
        <w:rPr>
          <w:rFonts w:ascii="IRNazanin" w:hAnsi="IRNazanin" w:eastAsia="IRNazanin" w:cs="IRNazanin"/>
          <w:lang w:bidi="fa-IR"/>
          <w:color w:val="111111"/>
          <w:sz w:val="28"/>
          <w:szCs w:val="28"/>
          <w:rtl/>
        </w:rPr>
        <w:t xml:space="preserve">لکنّ الإنصاف:عدم بلوغ ذلک حدّا یمکن الاعتماد علیه مستقلا، و إن کان ما یستشمّ منها قولا و تقریرا-من الروایات-کثیرة:</w:t>
      </w:r>
    </w:p>
    <w:p>
      <w:pPr>
        <w:pStyle w:val="BookText"/>
      </w:pPr>
      <w:r>
        <w:rPr>
          <w:rFonts w:ascii="IRNazanin" w:hAnsi="IRNazanin" w:eastAsia="IRNazanin" w:cs="IRNazanin"/>
          <w:lang w:bidi="fa-IR"/>
          <w:color w:val="111111"/>
          <w:sz w:val="28"/>
          <w:szCs w:val="28"/>
          <w:rtl/>
        </w:rPr>
        <w:t xml:space="preserve">منها:ما ورد فی الماءین المشتبهین </w:t>
      </w:r>
      <w:r>
        <w:rPr>
          <w:rStyle w:val="FootnoteReference"/>
        </w:rPr>
        <w:footnoteReference w:id="724"/>
      </w:r>
      <w:r>
        <w:rPr>
          <w:rFonts w:ascii="IRNazanin" w:hAnsi="IRNazanin" w:eastAsia="IRNazanin" w:cs="IRNazanin"/>
          <w:lang w:bidi="fa-IR"/>
          <w:color w:val="111111"/>
          <w:sz w:val="28"/>
          <w:szCs w:val="28"/>
          <w:rtl/>
        </w:rPr>
        <w:t xml:space="preserve">،خصوصا مع فتوی الأصحاب </w:t>
      </w:r>
      <w:r>
        <w:rPr>
          <w:rStyle w:val="FootnoteReference"/>
        </w:rPr>
        <w:footnoteReference w:id="725"/>
      </w:r>
      <w:r>
        <w:rPr>
          <w:rFonts w:ascii="IRNazanin" w:hAnsi="IRNazanin" w:eastAsia="IRNazanin" w:cs="IRNazanin"/>
          <w:lang w:bidi="fa-IR"/>
          <w:color w:val="111111"/>
          <w:sz w:val="28"/>
          <w:szCs w:val="28"/>
          <w:rtl/>
        </w:rPr>
        <w:t xml:space="preserve">-بلا خلاف بینهم-علی وجوب الاجتناب عن استعمالهما مطلقا.</w:t>
      </w:r>
    </w:p>
    <w:p>
      <w:pPr>
        <w:pStyle w:val="BookText"/>
      </w:pPr>
      <w:r>
        <w:rPr>
          <w:rFonts w:ascii="IRNazanin" w:hAnsi="IRNazanin" w:eastAsia="IRNazanin" w:cs="IRNazanin"/>
          <w:lang w:bidi="fa-IR"/>
          <w:color w:val="111111"/>
          <w:sz w:val="28"/>
          <w:szCs w:val="28"/>
          <w:rtl/>
        </w:rPr>
        <w:t xml:space="preserve">[شماره صفحه واقعی : 221]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منها:ما ورد فی الصلاة فی الثوبین المشتبهین </w:t>
      </w:r>
      <w:r>
        <w:rPr>
          <w:rStyle w:val="FootnoteReference"/>
        </w:rPr>
        <w:footnoteReference w:id="7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منها:ما ورد فی وجوب غسل الثوب من الناحیة التی یعلم بإصابة بعضها للنجاسة معلّلا بقوله علیه السّلام:«حتّی یکون علی یقین من طهارته» </w:t>
      </w:r>
      <w:r>
        <w:rPr>
          <w:rStyle w:val="FootnoteReference"/>
        </w:rPr>
        <w:footnoteReference w:id="7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وجوب تحصیل الیقین بالطهارة-علی ما یستفاد من التعلیل- یدلّ علی عدم جریان أصالة الطهارة بعد العلم الإجمالیّ بالنجاسة،و هو الذی بنینا علیه وجوب الاحتیاط فی الشبهة المحصورة و عدم جواز الرجوع فیها إلی أصالة الحلّ؛فإنّه لو جرت </w:t>
      </w:r>
      <w:r>
        <w:rPr>
          <w:rStyle w:val="FootnoteReference"/>
        </w:rPr>
        <w:footnoteReference w:id="728"/>
      </w:r>
      <w:r>
        <w:rPr>
          <w:rFonts w:ascii="Amiri" w:hAnsi="Amiri" w:eastAsia="Amiri" w:cs="Amiri"/>
          <w:lang w:bidi="ar-SA"/>
          <w:color w:val="111111"/>
          <w:sz w:val="28"/>
          <w:szCs w:val="28"/>
          <w:rtl/>
        </w:rPr>
        <w:t xml:space="preserve">أصالة الطهارة و أصالة حلّ الطهارة و الصلاة </w:t>
      </w:r>
      <w:r>
        <w:rPr>
          <w:rStyle w:val="FootnoteReference"/>
        </w:rPr>
        <w:footnoteReference w:id="729"/>
      </w:r>
      <w:r>
        <w:rPr>
          <w:rFonts w:ascii="IRNazanin" w:hAnsi="IRNazanin" w:eastAsia="IRNazanin" w:cs="IRNazanin"/>
          <w:lang w:bidi="fa-IR"/>
          <w:color w:val="111111"/>
          <w:sz w:val="28"/>
          <w:szCs w:val="28"/>
          <w:rtl/>
        </w:rPr>
        <w:t xml:space="preserve">فی بعض المشتبهین،لم یکن للأحکام المذکورة وجه،و لا للتعلیل فی الحکم </w:t>
      </w:r>
      <w:r>
        <w:rPr>
          <w:rStyle w:val="FootnoteReference"/>
        </w:rPr>
        <w:footnoteReference w:id="730"/>
      </w:r>
      <w:r>
        <w:rPr>
          <w:rFonts w:ascii="IRNazanin" w:hAnsi="IRNazanin" w:eastAsia="IRNazanin" w:cs="IRNazanin"/>
          <w:lang w:bidi="fa-IR"/>
          <w:color w:val="111111"/>
          <w:sz w:val="28"/>
          <w:szCs w:val="28"/>
          <w:rtl/>
        </w:rPr>
        <w:t xml:space="preserve">الأخیر بوجوب تحصیل الیقین بالطهارة بعد الیقین بالنجاسة.</w:t>
      </w:r>
    </w:p>
    <w:p>
      <w:pPr>
        <w:pStyle w:val="BookText"/>
      </w:pPr>
      <w:r>
        <w:rPr>
          <w:rFonts w:ascii="IRNazanin" w:hAnsi="IRNazanin" w:eastAsia="IRNazanin" w:cs="IRNazanin"/>
          <w:lang w:bidi="fa-IR"/>
          <w:color w:val="111111"/>
          <w:sz w:val="28"/>
          <w:szCs w:val="28"/>
          <w:rtl/>
        </w:rPr>
        <w:t xml:space="preserve">و منها:ما دلّ علی بیع الذبائح المختلط میتتها بمذکّاها </w:t>
      </w:r>
      <w:r>
        <w:rPr>
          <w:rStyle w:val="FootnoteReference"/>
        </w:rPr>
        <w:footnoteReference w:id="731"/>
      </w:r>
      <w:r>
        <w:rPr>
          <w:rFonts w:ascii="IRNazanin" w:hAnsi="IRNazanin" w:eastAsia="IRNazanin" w:cs="IRNazanin"/>
          <w:lang w:bidi="fa-IR"/>
          <w:color w:val="111111"/>
          <w:sz w:val="28"/>
          <w:szCs w:val="28"/>
          <w:rtl/>
        </w:rPr>
        <w:t xml:space="preserve">من أهل الکتاب </w:t>
      </w:r>
      <w:r>
        <w:rPr>
          <w:rStyle w:val="FootnoteReference"/>
        </w:rPr>
        <w:footnoteReference w:id="732"/>
      </w:r>
      <w:r>
        <w:rPr>
          <w:rFonts w:ascii="IRNazanin" w:hAnsi="IRNazanin" w:eastAsia="IRNazanin" w:cs="IRNazanin"/>
          <w:lang w:bidi="fa-IR"/>
          <w:color w:val="111111"/>
          <w:sz w:val="28"/>
          <w:szCs w:val="28"/>
          <w:rtl/>
        </w:rPr>
        <w:t xml:space="preserve">بناء علی حملها علی ما لا یخالف عمومات حرمة بیع المیتة،بأن یقصد بیع المذکّی خاصّة أو مع ما لا تحلّه الحیاة</w:t>
      </w:r>
    </w:p>
    <w:p>
      <w:pPr>
        <w:pStyle w:val="BookText"/>
      </w:pPr>
      <w:r>
        <w:rPr>
          <w:rFonts w:ascii="IRNazanin" w:hAnsi="IRNazanin" w:eastAsia="IRNazanin" w:cs="IRNazanin"/>
          <w:lang w:bidi="fa-IR"/>
          <w:color w:val="111111"/>
          <w:sz w:val="28"/>
          <w:szCs w:val="28"/>
          <w:rtl/>
        </w:rPr>
        <w:t xml:space="preserve">[شماره صفحه واقعی : 222]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42" w:name="pg14411_142612"/>
    <w:bookmarkEnd w:id="142"/>
    <w:p>
      <w:pPr>
        <w:pStyle w:val="BookText"/>
      </w:pPr>
      <w:r>
        <w:rPr>
          <w:rFonts w:ascii="IRNazanin" w:hAnsi="IRNazanin" w:eastAsia="IRNazanin" w:cs="IRNazanin"/>
          <w:lang w:bidi="fa-IR"/>
          <w:color w:val="111111"/>
          <w:sz w:val="28"/>
          <w:szCs w:val="28"/>
          <w:rtl/>
        </w:rPr>
        <w:t xml:space="preserve">من المیتة </w:t>
      </w:r>
      <w:r>
        <w:rPr>
          <w:rStyle w:val="FootnoteReference"/>
        </w:rPr>
        <w:footnoteReference w:id="733"/>
      </w:r>
      <w:r>
        <w:rPr>
          <w:rFonts w:ascii="Times New Roman" w:hAnsi="Times New Roman" w:eastAsia="Times New Roman" w:cs="Times New Roman"/>
          <w:lang w:val="en-US" w:bidi="en-US"/>
          <w:color w:val="111111"/>
          <w:sz w:val="28"/>
          <w:szCs w:val="28"/>
          <w:rtl/>
        </w:rPr>
        <w:t xml:space="preserve">.</w:t>
      </w:r>
    </w:p>
    <w:p>
      <w:pPr>
        <w:pStyle w:val="Heading6"/>
      </w:pPr>
      <w:bookmarkStart w:id="1252" w:name="_Toc287"/>
      <w:r>
        <w:t>[الاستئناس لما ذکرنا بروایة وجوب القرعة فی قطیع الغنم]</w:t>
      </w:r>
      <w:bookmarkEnd w:id="1252"/>
    </w:p>
    <w:p>
      <w:pPr>
        <w:pStyle w:val="BookText"/>
      </w:pPr>
      <w:r>
        <w:rPr>
          <w:rFonts w:ascii="IRNazanin" w:hAnsi="IRNazanin" w:eastAsia="IRNazanin" w:cs="IRNazanin"/>
          <w:lang w:bidi="fa-IR"/>
          <w:color w:val="111111"/>
          <w:sz w:val="28"/>
          <w:szCs w:val="28"/>
          <w:rtl/>
        </w:rPr>
        <w:t xml:space="preserve">و قد یستأنس له:بما </w:t>
      </w:r>
      <w:r>
        <w:rPr>
          <w:rStyle w:val="FootnoteReference"/>
        </w:rPr>
        <w:footnoteReference w:id="734"/>
      </w:r>
      <w:r>
        <w:rPr>
          <w:rFonts w:ascii="IRNazanin" w:hAnsi="IRNazanin" w:eastAsia="IRNazanin" w:cs="IRNazanin"/>
          <w:lang w:bidi="fa-IR"/>
          <w:color w:val="111111"/>
          <w:sz w:val="28"/>
          <w:szCs w:val="28"/>
          <w:rtl/>
        </w:rPr>
        <w:t xml:space="preserve">ورد من وجوب القرعة فی قطیع الغنم المعلوم وجود الموطوء فی بعضها،و هی الروایة المحکیّة فی جواب الإمام الجواد علیه السّلام لسؤال یحیی بن أکثم عن قطیع غنم نزی الراعی علی واحدة منها ثمّ أرسلها فی الغنم؟حیث قال علیه السّلام:</w:t>
      </w:r>
    </w:p>
    <w:p>
      <w:pPr>
        <w:pStyle w:val="BookText"/>
      </w:pPr>
      <w:r>
        <w:rPr>
          <w:rFonts w:ascii="IRNazanin" w:hAnsi="IRNazanin" w:eastAsia="IRNazanin" w:cs="IRNazanin"/>
          <w:lang w:bidi="fa-IR"/>
          <w:color w:val="111111"/>
          <w:sz w:val="28"/>
          <w:szCs w:val="28"/>
          <w:rtl/>
        </w:rPr>
        <w:t xml:space="preserve">«یقسّم الغنم نصفین ثمّ یقرع بینهما،فکلّ ما وقع السهم علیه قسم غیره قسمین،و هکذا حتّی یبقی واحد و نجا الباقی» </w:t>
      </w:r>
      <w:r>
        <w:rPr>
          <w:rStyle w:val="FootnoteReference"/>
        </w:rPr>
        <w:footnoteReference w:id="7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هی حجّة القول بوجوب القرعة،لکنّها لا تنهض لإثبات حکم مخالف للاصول.</w:t>
      </w:r>
    </w:p>
    <w:p>
      <w:pPr>
        <w:pStyle w:val="BookText"/>
      </w:pPr>
      <w:r>
        <w:rPr>
          <w:rFonts w:ascii="IRNazanin" w:hAnsi="IRNazanin" w:eastAsia="IRNazanin" w:cs="IRNazanin"/>
          <w:lang w:bidi="fa-IR"/>
          <w:color w:val="111111"/>
          <w:sz w:val="28"/>
          <w:szCs w:val="28"/>
          <w:rtl/>
        </w:rPr>
        <w:t xml:space="preserve">نعم،هی دالّة علی عدم جواز ارتکاب شیء منها قبل القرعة؛ فإنّ التکلیف بالاجتناب عن الموطوءة الواقعیّة واجب بالاجتناب عن الکلّ حتّی یتمیّز الحلال و لو بطریق شرعیّ.</w:t>
      </w:r>
    </w:p>
    <w:p>
      <w:pPr>
        <w:pStyle w:val="Heading6"/>
      </w:pPr>
      <w:bookmarkStart w:id="1253" w:name="_Toc288"/>
      <w:r>
        <w:t>[الروایة أدلّ علی مطلب الخصم]</w:t>
      </w:r>
      <w:bookmarkEnd w:id="1253"/>
    </w:p>
    <w:p>
      <w:pPr>
        <w:pStyle w:val="BookText"/>
      </w:pPr>
      <w:r>
        <w:rPr>
          <w:rFonts w:ascii="IRNazanin" w:hAnsi="IRNazanin" w:eastAsia="IRNazanin" w:cs="IRNazanin"/>
          <w:lang w:bidi="fa-IR"/>
          <w:color w:val="111111"/>
          <w:sz w:val="28"/>
          <w:szCs w:val="28"/>
          <w:rtl/>
        </w:rPr>
        <w:t xml:space="preserve">هذا،و لکنّ الإنصاف:أنّ الروایة أدلّ علی مطلب الخصم بناء علی حمل القرعة علی الاستحباب؛إذ علی قول المشهور لا بدّ من طرح الروایة أو العمل بها فی خصوص موردها.</w:t>
      </w:r>
    </w:p>
    <w:p>
      <w:pPr>
        <w:pStyle w:val="BookText"/>
      </w:pPr>
      <w:r>
        <w:rPr>
          <w:rFonts w:ascii="IRNazanin" w:hAnsi="IRNazanin" w:eastAsia="IRNazanin" w:cs="IRNazanin"/>
          <w:lang w:bidi="fa-IR"/>
          <w:color w:val="111111"/>
          <w:sz w:val="28"/>
          <w:szCs w:val="28"/>
          <w:rtl/>
        </w:rPr>
        <w:t xml:space="preserve">[شماره صفحه واقعی : 223]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224]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43" w:name="pg14411_142614"/>
    <w:bookmarkEnd w:id="143"/>
    <w:p>
      <w:pPr>
        <w:pStyle w:val="Heading6"/>
      </w:pPr>
      <w:bookmarkStart w:id="1254" w:name="_Toc289"/>
      <w:r>
        <w:t>و ینبغی التنبیه علی امور:</w:t>
      </w:r>
      <w:bookmarkEnd w:id="1254"/>
    </w:p>
    <w:p>
      <w:pPr>
        <w:pStyle w:val="Heading6"/>
      </w:pPr>
      <w:bookmarkStart w:id="1255" w:name="_Toc290"/>
      <w:r>
        <w:t>الأمر الأوّل [:عدم الفرق فی وجوب الاجتناب بین کون المشتبهین مندرجین تحت حقیقة واحدة و غیره]</w:t>
      </w:r>
      <w:bookmarkEnd w:id="1255"/>
    </w:p>
    <w:p>
      <w:pPr>
        <w:pStyle w:val="Heading6"/>
      </w:pPr>
      <w:bookmarkStart w:id="1256" w:name="_Toc291"/>
      <w:r>
        <w:t>اشارة</w:t>
      </w:r>
      <w:bookmarkEnd w:id="1256"/>
    </w:p>
    <w:p>
      <w:pPr>
        <w:pStyle w:val="BookText"/>
      </w:pPr>
      <w:r>
        <w:rPr>
          <w:rFonts w:ascii="IRNazanin" w:hAnsi="IRNazanin" w:eastAsia="IRNazanin" w:cs="IRNazanin"/>
          <w:lang w:bidi="fa-IR"/>
          <w:color w:val="111111"/>
          <w:sz w:val="28"/>
          <w:szCs w:val="28"/>
          <w:rtl/>
        </w:rPr>
        <w:t xml:space="preserve">أنّه لا فرق فی وجوب الاجتناب عن المشتبه الحرام بین کون المشتبهین مندرجین تحت حقیقة واحدة و غیر ذلک؛لعموم ما تقدّم من الأدلّة.</w:t>
      </w:r>
    </w:p>
    <w:p>
      <w:pPr>
        <w:pStyle w:val="Heading6"/>
      </w:pPr>
      <w:bookmarkStart w:id="1257" w:name="_Toc292"/>
      <w:r>
        <w:t>[ظاهر صاحب الحدائق التفصیل بینهما]</w:t>
      </w:r>
      <w:bookmarkEnd w:id="1257"/>
    </w:p>
    <w:p>
      <w:pPr>
        <w:pStyle w:val="Heading6"/>
      </w:pPr>
      <w:bookmarkStart w:id="1258" w:name="_Toc293"/>
      <w:r>
        <w:t>اشارة</w:t>
      </w:r>
      <w:bookmarkEnd w:id="1258"/>
    </w:p>
    <w:p>
      <w:pPr>
        <w:pStyle w:val="BookText"/>
      </w:pPr>
      <w:r>
        <w:rPr>
          <w:rFonts w:ascii="IRNazanin" w:hAnsi="IRNazanin" w:eastAsia="IRNazanin" w:cs="IRNazanin"/>
          <w:lang w:bidi="fa-IR"/>
          <w:color w:val="111111"/>
          <w:sz w:val="28"/>
          <w:szCs w:val="28"/>
          <w:rtl/>
        </w:rPr>
        <w:t xml:space="preserve">و یظهر من کلام صاحب الحدائق التفصیل؛فإنّه ذکر کلام صاحب المدارک فی مقام تأیید ما قوّاه،من عدم وجوب الاجتناب عن </w:t>
      </w:r>
      <w:r>
        <w:rPr>
          <w:rStyle w:val="FootnoteReference"/>
        </w:rPr>
        <w:footnoteReference w:id="736"/>
      </w:r>
      <w:r>
        <w:rPr>
          <w:rFonts w:ascii="IRNazanin" w:hAnsi="IRNazanin" w:eastAsia="IRNazanin" w:cs="IRNazanin"/>
          <w:lang w:bidi="fa-IR"/>
          <w:color w:val="111111"/>
          <w:sz w:val="28"/>
          <w:szCs w:val="28"/>
          <w:rtl/>
        </w:rPr>
        <w:t xml:space="preserve">المشتبهین،و هو:أنّ المستفاد من قواعد الأصحاب:أنّه لو تعلّق الشکّ بوقوع النجاسة فی الإناء و خارجه لم یمنع من استعماله،و هو مؤیّد لما ذکرناه </w:t>
      </w:r>
      <w:r>
        <w:rPr>
          <w:rStyle w:val="FootnoteReference"/>
        </w:rPr>
        <w:footnoteReference w:id="737"/>
      </w:r>
      <w:r>
        <w:rPr>
          <w:rFonts w:ascii="Times New Roman" w:hAnsi="Times New Roman" w:eastAsia="Times New Roman" w:cs="Times New Roman"/>
          <w:lang w:val="en-US" w:bidi="en-US"/>
          <w:color w:val="111111"/>
          <w:sz w:val="28"/>
          <w:szCs w:val="28"/>
          <w:rtl/>
        </w:rPr>
        <w:t xml:space="preserve">.</w:t>
      </w:r>
    </w:p>
    <w:p>
      <w:pPr>
        <w:pStyle w:val="Heading6"/>
      </w:pPr>
      <w:bookmarkStart w:id="1259" w:name="_Toc294"/>
      <w:r>
        <w:t>[کلام صاحب الحدائق فی جواب صاحب المدارک]</w:t>
      </w:r>
      <w:bookmarkEnd w:id="1259"/>
    </w:p>
    <w:p>
      <w:pPr>
        <w:pStyle w:val="BookText"/>
      </w:pPr>
      <w:r>
        <w:rPr>
          <w:rFonts w:ascii="IRNazanin" w:hAnsi="IRNazanin" w:eastAsia="IRNazanin" w:cs="IRNazanin"/>
          <w:lang w:bidi="fa-IR"/>
          <w:color w:val="111111"/>
          <w:sz w:val="28"/>
          <w:szCs w:val="28"/>
          <w:rtl/>
        </w:rPr>
        <w:t xml:space="preserve">قال،مجیبا عن ذلک:</w:t>
      </w:r>
    </w:p>
    <w:p>
      <w:pPr>
        <w:pStyle w:val="BookText"/>
      </w:pPr>
      <w:r>
        <w:rPr>
          <w:rFonts w:ascii="Amiri" w:hAnsi="Amiri" w:eastAsia="Amiri" w:cs="Amiri"/>
          <w:lang w:bidi="ar-SA"/>
          <w:color w:val="111111"/>
          <w:sz w:val="28"/>
          <w:szCs w:val="28"/>
          <w:rtl/>
        </w:rPr>
        <w:t xml:space="preserve">أوّلا:أنّه </w:t>
      </w:r>
      <w:r>
        <w:rPr>
          <w:rStyle w:val="FootnoteReference"/>
        </w:rPr>
        <w:footnoteReference w:id="738"/>
      </w:r>
      <w:r>
        <w:rPr>
          <w:rFonts w:ascii="IRNazanin" w:hAnsi="IRNazanin" w:eastAsia="IRNazanin" w:cs="IRNazanin"/>
          <w:lang w:bidi="fa-IR"/>
          <w:color w:val="111111"/>
          <w:sz w:val="28"/>
          <w:szCs w:val="28"/>
          <w:rtl/>
        </w:rPr>
        <w:t xml:space="preserve">من باب الشبهة الغیر المحصورة.</w:t>
      </w:r>
    </w:p>
    <w:p>
      <w:pPr>
        <w:pStyle w:val="BookText"/>
      </w:pPr>
      <w:r>
        <w:rPr>
          <w:rFonts w:ascii="IRNazanin" w:hAnsi="IRNazanin" w:eastAsia="IRNazanin" w:cs="IRNazanin"/>
          <w:lang w:bidi="fa-IR"/>
          <w:color w:val="111111"/>
          <w:sz w:val="28"/>
          <w:szCs w:val="28"/>
          <w:rtl/>
        </w:rPr>
        <w:t xml:space="preserve">و ثانیا:أنّ القاعدة المذکورة إنّما تتعلّق بالأفراد المندرجة تحت</w:t>
      </w:r>
    </w:p>
    <w:p>
      <w:pPr>
        <w:pStyle w:val="BookText"/>
      </w:pPr>
      <w:r>
        <w:rPr>
          <w:rFonts w:ascii="IRNazanin" w:hAnsi="IRNazanin" w:eastAsia="IRNazanin" w:cs="IRNazanin"/>
          <w:lang w:bidi="fa-IR"/>
          <w:color w:val="111111"/>
          <w:sz w:val="28"/>
          <w:szCs w:val="28"/>
          <w:rtl/>
        </w:rPr>
        <w:t xml:space="preserve">[شماره صفحه واقعی : 225]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44" w:name="pg14411_142615"/>
    <w:bookmarkEnd w:id="144"/>
    <w:p>
      <w:pPr>
        <w:pStyle w:val="BookText"/>
      </w:pPr>
      <w:r>
        <w:rPr>
          <w:rFonts w:ascii="IRNazanin" w:hAnsi="IRNazanin" w:eastAsia="IRNazanin" w:cs="IRNazanin"/>
          <w:lang w:bidi="fa-IR"/>
          <w:color w:val="111111"/>
          <w:sz w:val="28"/>
          <w:szCs w:val="28"/>
          <w:rtl/>
        </w:rPr>
        <w:t xml:space="preserve">ماهیّة واحدة و الجزئیّات التی تحویها حقیقة واحدة إذا اشتبه طاهرها بنجسها و حلالها بحرامها،فیفرّق فیها بین المحصور و غیر المحصور بما تضمّنته تلک الأخبار،لا وقوع الاشتباه کیف اتّفق </w:t>
      </w:r>
      <w:r>
        <w:rPr>
          <w:rStyle w:val="FootnoteReference"/>
        </w:rPr>
        <w:footnoteReference w:id="739"/>
      </w:r>
      <w:r>
        <w:rPr>
          <w:rFonts w:ascii="IRNazanin" w:hAnsi="IRNazanin" w:eastAsia="IRNazanin" w:cs="IRNazanin"/>
          <w:lang w:bidi="fa-IR"/>
          <w:color w:val="111111"/>
          <w:sz w:val="28"/>
          <w:szCs w:val="28"/>
          <w:rtl/>
        </w:rPr>
        <w:t xml:space="preserve">،انتهی کلامه رفع مقامه.</w:t>
      </w:r>
    </w:p>
    <w:p>
      <w:pPr>
        <w:pStyle w:val="Heading6"/>
      </w:pPr>
      <w:bookmarkStart w:id="1260" w:name="_Toc295"/>
      <w:r>
        <w:t>[المناقشة فیما أفاده صاحب الحدائق قدّس سرّه]</w:t>
      </w:r>
      <w:bookmarkEnd w:id="1260"/>
    </w:p>
    <w:p>
      <w:pPr>
        <w:pStyle w:val="BookText"/>
      </w:pPr>
      <w:r>
        <w:rPr>
          <w:rFonts w:ascii="IRNazanin" w:hAnsi="IRNazanin" w:eastAsia="IRNazanin" w:cs="IRNazanin"/>
          <w:lang w:bidi="fa-IR"/>
          <w:color w:val="111111"/>
          <w:sz w:val="28"/>
          <w:szCs w:val="28"/>
          <w:rtl/>
        </w:rPr>
        <w:t xml:space="preserve">و فیه-بعد منع کون ما حکاه صاحب المدارک عن الأصحاب مختصّا بغیر المحصور،بل لو شکّ فی وقوع النجاسة فی الإناء أو ظهر الإناء،فظاهرهم الحکم بطهارة الماء أیضا،کما یدلّ علیه تأویلهم </w:t>
      </w:r>
      <w:r>
        <w:rPr>
          <w:rStyle w:val="FootnoteReference"/>
        </w:rPr>
        <w:footnoteReference w:id="740"/>
      </w:r>
      <w:r>
        <w:rPr>
          <w:rFonts w:ascii="IRNazanin" w:hAnsi="IRNazanin" w:eastAsia="IRNazanin" w:cs="IRNazanin"/>
          <w:lang w:bidi="fa-IR"/>
          <w:color w:val="111111"/>
          <w:sz w:val="28"/>
          <w:szCs w:val="28"/>
          <w:rtl/>
        </w:rPr>
        <w:t xml:space="preserve">لصحیحة علی بن جعفر الواردة فی الدم الغیر المستبین فی الماء بذلک </w:t>
      </w:r>
      <w:r>
        <w:rPr>
          <w:rStyle w:val="FootnoteReference"/>
        </w:rPr>
        <w:footnoteReference w:id="741"/>
      </w:r>
      <w:r>
        <w:rPr>
          <w:rFonts w:ascii="IRNazanin" w:hAnsi="IRNazanin" w:eastAsia="IRNazanin" w:cs="IRNazanin"/>
          <w:lang w:bidi="fa-IR"/>
          <w:color w:val="111111"/>
          <w:sz w:val="28"/>
          <w:szCs w:val="28"/>
          <w:rtl/>
        </w:rPr>
        <w:t xml:space="preserve">-:أنّه لا وجه لما ذکره من اختصاص القاعدة.</w:t>
      </w:r>
    </w:p>
    <w:p>
      <w:pPr>
        <w:pStyle w:val="BookText"/>
      </w:pPr>
      <w:r>
        <w:rPr>
          <w:rFonts w:ascii="IRNazanin" w:hAnsi="IRNazanin" w:eastAsia="IRNazanin" w:cs="IRNazanin"/>
          <w:lang w:bidi="fa-IR"/>
          <w:color w:val="111111"/>
          <w:sz w:val="28"/>
          <w:szCs w:val="28"/>
          <w:rtl/>
        </w:rPr>
        <w:t xml:space="preserve">أمّا أوّلا:فلعموم الأدلّة المذکورة،خصوصا عمدتها و هی أدلّة الاجتناب عن العناوین المحرّمة الواقعیّة-کالنجس و الخمر و مال الغیر و غیر ذلک-بضمیمة حکم العقل بوجوب دفع الضرر المحتمل.</w:t>
      </w:r>
    </w:p>
    <w:p>
      <w:pPr>
        <w:pStyle w:val="BookText"/>
      </w:pPr>
      <w:r>
        <w:rPr>
          <w:rFonts w:ascii="IRNazanin" w:hAnsi="IRNazanin" w:eastAsia="IRNazanin" w:cs="IRNazanin"/>
          <w:lang w:bidi="fa-IR"/>
          <w:color w:val="111111"/>
          <w:sz w:val="28"/>
          <w:szCs w:val="28"/>
          <w:rtl/>
        </w:rPr>
        <w:t xml:space="preserve">و أمّا ثانیا:فلأنّه لا ضابطة لما ذکره من الاندراج تحت ماهیّة واحدة،و لم یعلم الفرق بین تردّد النجس بین ظاهر الإناء و باطنه،أو بین الماء و قطعة من الأرض،أو بین الماء و مائع آخر،أو بین مائعین مختلفی الحقیقة،و بین تردّده بین ماءین أو ثوبین أو مائعین متّحدی الحقیقة.</w:t>
      </w:r>
    </w:p>
    <w:p>
      <w:pPr>
        <w:pStyle w:val="Heading6"/>
      </w:pPr>
      <w:bookmarkStart w:id="1261" w:name="_Toc296"/>
      <w:r>
        <w:t>[هل یشترط فی العنوان المحرّم الواقعی المردّد بین المشتبهین أن یکون علی کلّ تقدیر متعلّقا لحکم واحد،أم لا؟]</w:t>
      </w:r>
      <w:bookmarkEnd w:id="1261"/>
    </w:p>
    <w:p>
      <w:pPr>
        <w:pStyle w:val="BookText"/>
      </w:pPr>
      <w:r>
        <w:rPr>
          <w:rFonts w:ascii="IRNazanin" w:hAnsi="IRNazanin" w:eastAsia="IRNazanin" w:cs="IRNazanin"/>
          <w:lang w:bidi="fa-IR"/>
          <w:color w:val="111111"/>
          <w:sz w:val="28"/>
          <w:szCs w:val="28"/>
          <w:rtl/>
        </w:rPr>
        <w:t xml:space="preserve">نعم،هنا شیء آخر:و هو أنّه هل یشترط فی العنوان المحرّم</w:t>
      </w:r>
    </w:p>
    <w:p>
      <w:pPr>
        <w:pStyle w:val="BookText"/>
      </w:pPr>
      <w:r>
        <w:rPr>
          <w:rFonts w:ascii="IRNazanin" w:hAnsi="IRNazanin" w:eastAsia="IRNazanin" w:cs="IRNazanin"/>
          <w:lang w:bidi="fa-IR"/>
          <w:color w:val="111111"/>
          <w:sz w:val="28"/>
          <w:szCs w:val="28"/>
          <w:rtl/>
        </w:rPr>
        <w:t xml:space="preserve">[شماره صفحه واقعی : 226]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45" w:name="pg14411_142616"/>
    <w:bookmarkEnd w:id="145"/>
    <w:p>
      <w:pPr>
        <w:pStyle w:val="BookText"/>
      </w:pPr>
      <w:r>
        <w:rPr>
          <w:rFonts w:ascii="IRNazanin" w:hAnsi="IRNazanin" w:eastAsia="IRNazanin" w:cs="IRNazanin"/>
          <w:lang w:bidi="fa-IR"/>
          <w:color w:val="111111"/>
          <w:sz w:val="28"/>
          <w:szCs w:val="28"/>
          <w:rtl/>
        </w:rPr>
        <w:t xml:space="preserve">الواقعیّ أو النجس الواقعیّ المردّد بین المشتبهین،أن یکون علی کلّ تقدیر متعلّقا لحکم واحد أم لا؟مثلا:إذا کان أحد المشتبهین ثوبا و الآخر مسجدا؛حیث إنّ المحرّم فی أحدهما اللبس و فی الآخر السجدة، فلیس هنا خطاب جامع للنجس الواقعیّ،بل العلم بالتکلیف مستفاد من مجموع قول الشارع:«لا تلبس النجس فی الصلاة»،و«لا تسجد علی النجس».</w:t>
      </w:r>
    </w:p>
    <w:p>
      <w:pPr>
        <w:pStyle w:val="Heading6"/>
      </w:pPr>
      <w:bookmarkStart w:id="1262" w:name="_Toc297"/>
      <w:r>
        <w:t>[لو کان المحرّم علی کل تقدیر عنوانا غیره علی التقدیر الآخر]</w:t>
      </w:r>
      <w:bookmarkEnd w:id="1262"/>
    </w:p>
    <w:p>
      <w:pPr>
        <w:pStyle w:val="BookText"/>
      </w:pPr>
      <w:r>
        <w:rPr>
          <w:rFonts w:ascii="IRNazanin" w:hAnsi="IRNazanin" w:eastAsia="IRNazanin" w:cs="IRNazanin"/>
          <w:lang w:bidi="fa-IR"/>
          <w:color w:val="111111"/>
          <w:sz w:val="28"/>
          <w:szCs w:val="28"/>
          <w:rtl/>
        </w:rPr>
        <w:t xml:space="preserve">و أولی من ذلک بالإشکال:ما لو کان المحرّم علی کلّ تقدیر عنوانا غیره علی التقدیر الآخر،کما لو دار الأمر بین کون أحد المائعین نجسا و کون الآخر مال الغیر؛لإمکان تکلّف </w:t>
      </w:r>
      <w:r>
        <w:rPr>
          <w:rStyle w:val="FootnoteReference"/>
        </w:rPr>
        <w:footnoteReference w:id="742"/>
      </w:r>
      <w:r>
        <w:rPr>
          <w:rFonts w:ascii="IRNazanin" w:hAnsi="IRNazanin" w:eastAsia="IRNazanin" w:cs="IRNazanin"/>
          <w:lang w:bidi="fa-IR"/>
          <w:color w:val="111111"/>
          <w:sz w:val="28"/>
          <w:szCs w:val="28"/>
          <w:rtl/>
        </w:rPr>
        <w:t xml:space="preserve">إدراج الفرض الأوّل تحت خطاب«الاجتناب عن النجس»بخلاف الثانی.</w:t>
      </w:r>
    </w:p>
    <w:p>
      <w:pPr>
        <w:pStyle w:val="BookText"/>
      </w:pPr>
      <w:r>
        <w:rPr>
          <w:rFonts w:ascii="IRNazanin" w:hAnsi="IRNazanin" w:eastAsia="IRNazanin" w:cs="IRNazanin"/>
          <w:lang w:bidi="fa-IR"/>
          <w:color w:val="111111"/>
          <w:sz w:val="28"/>
          <w:szCs w:val="28"/>
          <w:rtl/>
        </w:rPr>
        <w:t xml:space="preserve">و أولی من ذلک:ما لو تردّد الأمر بین کون هذه المرأة أجنبیّة أو کون هذا المائع خمرا.</w:t>
      </w:r>
    </w:p>
    <w:p>
      <w:pPr>
        <w:pStyle w:val="Heading6"/>
      </w:pPr>
      <w:bookmarkStart w:id="1263" w:name="_Toc298"/>
      <w:r>
        <w:t>[لو تردّد الأمر بین کون هذه المرأة أجنبیّة أو هذا المائع خمرا]</w:t>
      </w:r>
      <w:bookmarkEnd w:id="1263"/>
    </w:p>
    <w:p>
      <w:pPr>
        <w:pStyle w:val="BookText"/>
      </w:pPr>
      <w:r>
        <w:rPr>
          <w:rFonts w:ascii="IRNazanin" w:hAnsi="IRNazanin" w:eastAsia="IRNazanin" w:cs="IRNazanin"/>
          <w:lang w:bidi="fa-IR"/>
          <w:color w:val="111111"/>
          <w:sz w:val="28"/>
          <w:szCs w:val="28"/>
          <w:rtl/>
        </w:rPr>
        <w:t xml:space="preserve">و توهّم إدراج ذلک کلّه فی وجوب الاجتناب عن الحرام،مدفوع:</w:t>
      </w:r>
    </w:p>
    <w:p>
      <w:pPr>
        <w:pStyle w:val="BookText"/>
      </w:pPr>
      <w:r>
        <w:rPr>
          <w:rFonts w:ascii="IRNazanin" w:hAnsi="IRNazanin" w:eastAsia="IRNazanin" w:cs="IRNazanin"/>
          <w:lang w:bidi="fa-IR"/>
          <w:color w:val="111111"/>
          <w:sz w:val="28"/>
          <w:szCs w:val="28"/>
          <w:rtl/>
        </w:rPr>
        <w:t xml:space="preserve">بأنّ الاجتناب عن الحرام عنوان ینتزع من الأدلّة المتعلّقة بالعناوین الواقعیّة،فالاعتبار بها لا به،کما لا یخفی.</w:t>
      </w:r>
    </w:p>
    <w:p>
      <w:pPr>
        <w:pStyle w:val="Heading6"/>
      </w:pPr>
      <w:bookmarkStart w:id="1264" w:name="_Toc299"/>
      <w:r>
        <w:t>[الأقوی عدم جواز المخالفة القطعیّة فی جمیع ذلک]</w:t>
      </w:r>
      <w:bookmarkEnd w:id="1264"/>
    </w:p>
    <w:p>
      <w:pPr>
        <w:pStyle w:val="BookText"/>
      </w:pPr>
      <w:r>
        <w:rPr>
          <w:rFonts w:ascii="IRNazanin" w:hAnsi="IRNazanin" w:eastAsia="IRNazanin" w:cs="IRNazanin"/>
          <w:lang w:bidi="fa-IR"/>
          <w:color w:val="111111"/>
          <w:sz w:val="28"/>
          <w:szCs w:val="28"/>
          <w:rtl/>
        </w:rPr>
        <w:t xml:space="preserve">و الأقوی:أنّ المخالفة القطعیّة فی جمیع ذلک غیر جائز،و لا فرق عقلا و عرفا فی مخالفة نواهی الشارع بین العلم التفصیلیّ بخصوص ما خالفه و بین العلم الإجمالیّ بمخالفة أحد النهیین؛أ لا تری أنّه لو ارتکب مائعا واحدا یعلم أنّه مال الغیر أو نجس،لم یعذر لجهله التفصیلیّ بما خالفه،فکذا حال من ارتکب النظر إلی المرأة و شرب المائع فی المثال الأخیر.</w:t>
      </w:r>
    </w:p>
    <w:p>
      <w:pPr>
        <w:pStyle w:val="BookText"/>
      </w:pPr>
      <w:r>
        <w:rPr>
          <w:rFonts w:ascii="IRNazanin" w:hAnsi="IRNazanin" w:eastAsia="IRNazanin" w:cs="IRNazanin"/>
          <w:lang w:bidi="fa-IR"/>
          <w:color w:val="111111"/>
          <w:sz w:val="28"/>
          <w:szCs w:val="28"/>
          <w:rtl/>
        </w:rPr>
        <w:t xml:space="preserve">[شماره صفحه واقعی : 227]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46" w:name="pg14411_142617"/>
    <w:bookmarkEnd w:id="146"/>
    <w:p>
      <w:pPr>
        <w:pStyle w:val="BookText"/>
      </w:pPr>
      <w:r>
        <w:rPr>
          <w:rFonts w:ascii="IRNazanin" w:hAnsi="IRNazanin" w:eastAsia="IRNazanin" w:cs="IRNazanin"/>
          <w:lang w:bidi="fa-IR"/>
          <w:color w:val="111111"/>
          <w:sz w:val="28"/>
          <w:szCs w:val="28"/>
          <w:rtl/>
        </w:rPr>
        <w:t xml:space="preserve">و الحاصل:أنّ النواهی الشرعیّة بعد الاطّلاع علیها بمنزلة نهی واحد عن عدّة امور،فکما تقدّم أنّه لا یجتمع نهی الشارع عن أمر واقعیّ واحد کالخمر مع الإذن فی ارتکاب المائعین المردّد بینهما الخمر، فکذا لا یجتمع النهی عن عدّة امور مع الإذن فی ارتکاب کلا الأمرین المعلوم وجود أحد تلک الامور فیهما.</w:t>
      </w:r>
    </w:p>
    <w:p>
      <w:pPr>
        <w:pStyle w:val="Heading6"/>
      </w:pPr>
      <w:bookmarkStart w:id="1265" w:name="_Toc300"/>
      <w:r>
        <w:t>[الأقوی وجوب الموافقة القطعیّة أیضا]</w:t>
      </w:r>
      <w:bookmarkEnd w:id="1265"/>
    </w:p>
    <w:p>
      <w:pPr>
        <w:pStyle w:val="BookText"/>
      </w:pPr>
      <w:r>
        <w:rPr>
          <w:rFonts w:ascii="IRNazanin" w:hAnsi="IRNazanin" w:eastAsia="IRNazanin" w:cs="IRNazanin"/>
          <w:lang w:bidi="fa-IR"/>
          <w:color w:val="111111"/>
          <w:sz w:val="28"/>
          <w:szCs w:val="28"/>
          <w:rtl/>
        </w:rPr>
        <w:t xml:space="preserve">و أمّا الموافقة القطعیّة:فالأقوی أیضا وجوبها؛لعدم جریان أدلّة الحلّیة و لا أدلّة البراءة عقلیّها و نقلیّها </w:t>
      </w:r>
      <w:r>
        <w:rPr>
          <w:rStyle w:val="FootnoteReference"/>
        </w:rPr>
        <w:footnoteReference w:id="7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النقلیّة:فلما تقدّم من استوائها بالنسبة إلی کلّ من المشتبهین، و إبقاؤهما یوجب التنافی مع أدلّة تحریم العناوین الواقعیّة،و إبقاء واحد علی سبیل البدل غیر جائز؛إذ بعد خروج کلّ منهما بالخصوص لیس الواحد لا بعینه فردا ثالثا یبقی تحت أصالة العموم.</w:t>
      </w:r>
    </w:p>
    <w:p>
      <w:pPr>
        <w:pStyle w:val="BookText"/>
      </w:pPr>
      <w:r>
        <w:rPr>
          <w:rFonts w:ascii="IRNazanin" w:hAnsi="IRNazanin" w:eastAsia="IRNazanin" w:cs="IRNazanin"/>
          <w:lang w:bidi="fa-IR"/>
          <w:color w:val="111111"/>
          <w:sz w:val="28"/>
          <w:szCs w:val="28"/>
          <w:rtl/>
        </w:rPr>
        <w:t xml:space="preserve">و أمّا العقل؛فلمنع استقلاله فی المقام بقبح مؤاخذة من ارتکب الحرام المردّد بین الأمرین،بل الظاهر استقلال العقل فی المقام-بعد عدم القبح المذکور-بوجوب دفع الضرر،أعنی العقاب المحتمل فی ارتکاب أحدهما.</w:t>
      </w:r>
    </w:p>
    <w:p>
      <w:pPr>
        <w:pStyle w:val="BookText"/>
      </w:pPr>
      <w:r>
        <w:rPr>
          <w:rFonts w:ascii="IRNazanin" w:hAnsi="IRNazanin" w:eastAsia="IRNazanin" w:cs="IRNazanin"/>
          <w:lang w:bidi="fa-IR"/>
          <w:color w:val="111111"/>
          <w:sz w:val="28"/>
          <w:szCs w:val="28"/>
          <w:rtl/>
        </w:rPr>
        <w:t xml:space="preserve">و بالجملة:فالظاهر عدم التفکیک فی هذا المقام بین المخالفة القطعیّة و المخالفة الاحتمالیّة،فإمّا أن تجوّز الاولی و إمّا أن تمنع الثانیة.</w:t>
      </w:r>
    </w:p>
    <w:p>
      <w:pPr>
        <w:pStyle w:val="BookText"/>
      </w:pPr>
      <w:r>
        <w:rPr>
          <w:rFonts w:ascii="IRNazanin" w:hAnsi="IRNazanin" w:eastAsia="IRNazanin" w:cs="IRNazanin"/>
          <w:lang w:bidi="fa-IR"/>
          <w:color w:val="111111"/>
          <w:sz w:val="28"/>
          <w:szCs w:val="28"/>
          <w:rtl/>
        </w:rPr>
        <w:t xml:space="preserve">[شماره صفحه واقعی : 228]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47" w:name="pg14411_142618"/>
    <w:bookmarkEnd w:id="147"/>
    <w:p>
      <w:pPr>
        <w:pStyle w:val="Heading6"/>
      </w:pPr>
      <w:bookmarkStart w:id="1266" w:name="_Toc301"/>
      <w:r>
        <w:t>الأمر الثانی [:هل تختصّ المؤاخذة بصورة الوقوع فی الحرام،أم لا؟]</w:t>
      </w:r>
      <w:bookmarkEnd w:id="1266"/>
    </w:p>
    <w:p>
      <w:pPr>
        <w:pStyle w:val="Heading6"/>
      </w:pPr>
      <w:bookmarkStart w:id="1267" w:name="_Toc302"/>
      <w:r>
        <w:t>اشارة</w:t>
      </w:r>
      <w:bookmarkEnd w:id="1267"/>
    </w:p>
    <w:p>
      <w:pPr>
        <w:pStyle w:val="BookText"/>
      </w:pPr>
      <w:r>
        <w:rPr>
          <w:rFonts w:ascii="IRNazanin" w:hAnsi="IRNazanin" w:eastAsia="IRNazanin" w:cs="IRNazanin"/>
          <w:lang w:bidi="fa-IR"/>
          <w:color w:val="111111"/>
          <w:sz w:val="28"/>
          <w:szCs w:val="28"/>
          <w:rtl/>
        </w:rPr>
        <w:t xml:space="preserve">أنّ وجوب الاجتناب عن کلّ من المشتبهین،هل هو بمعنی لزوم الاحتراز عنه حذرا من الوقوع فی المؤاخذة بمصادفة ما ارتکبه للحرام الواقعیّ؛فلا مؤاخذة إلاّ علی تقدیر الوقوع فی الحرام،أو هو بمعنی لزوم الاحتراز عنه من حیث إنّه مشتبه؛فیستحقّ المؤاخذة بارتکاب أحدهما و لو لم یصادف الحرام،و لو ارتکبهما استحقّ عقابین؟</w:t>
      </w:r>
    </w:p>
    <w:p>
      <w:pPr>
        <w:pStyle w:val="Heading6"/>
      </w:pPr>
      <w:bookmarkStart w:id="1268" w:name="_Toc303"/>
      <w:r>
        <w:t>[الأقوی الاختصاص و الدلیل علیه]</w:t>
      </w:r>
      <w:bookmarkEnd w:id="1268"/>
    </w:p>
    <w:p>
      <w:pPr>
        <w:pStyle w:val="BookText"/>
      </w:pPr>
      <w:r>
        <w:rPr>
          <w:rFonts w:ascii="IRNazanin" w:hAnsi="IRNazanin" w:eastAsia="IRNazanin" w:cs="IRNazanin"/>
          <w:lang w:bidi="fa-IR"/>
          <w:color w:val="111111"/>
          <w:sz w:val="28"/>
          <w:szCs w:val="28"/>
          <w:rtl/>
        </w:rPr>
        <w:t xml:space="preserve">فیه وجهان،بل قولان.أقواهما:الأوّل؛لأنّ حکم العقل بوجوب دفع الضرر-بمعنی العقاب المحتمل بل المقطوع-حکم إرشادیّ،و کذا لو فرض أمر الشارع بالاجتناب عن عقاب محتمل أو مقطوع بقوله:</w:t>
      </w:r>
    </w:p>
    <w:p>
      <w:pPr>
        <w:pStyle w:val="BookText"/>
      </w:pPr>
      <w:r>
        <w:rPr>
          <w:rFonts w:ascii="IRNazanin" w:hAnsi="IRNazanin" w:eastAsia="IRNazanin" w:cs="IRNazanin"/>
          <w:lang w:bidi="fa-IR"/>
          <w:color w:val="111111"/>
          <w:sz w:val="28"/>
          <w:szCs w:val="28"/>
          <w:rtl/>
        </w:rPr>
        <w:t xml:space="preserve">«تحرّز عن الوقوع فی معصیة النهی عن الزنا»،لم یکن إلاّ إرشادیّا، و لم یترتّب علی موافقته و مخالفته سوی خاصیّة نفس المأمور به و ترکه، کما هو شأن الطلب الإرشادیّ.</w:t>
      </w:r>
    </w:p>
    <w:p>
      <w:pPr>
        <w:pStyle w:val="BookText"/>
      </w:pPr>
      <w:r>
        <w:rPr>
          <w:rFonts w:ascii="IRNazanin" w:hAnsi="IRNazanin" w:eastAsia="IRNazanin" w:cs="IRNazanin"/>
          <w:lang w:bidi="fa-IR"/>
          <w:color w:val="111111"/>
          <w:sz w:val="28"/>
          <w:szCs w:val="28"/>
          <w:rtl/>
        </w:rPr>
        <w:t xml:space="preserve">و إلی هذا المعنی أشار صلوات اللّه علیه بقوله:«اترکوا ما لا بأس به حذرا عمّا به البأس» </w:t>
      </w:r>
      <w:r>
        <w:rPr>
          <w:rStyle w:val="FootnoteReference"/>
        </w:rPr>
        <w:footnoteReference w:id="744"/>
      </w:r>
      <w:r>
        <w:rPr>
          <w:rFonts w:ascii="IRNazanin" w:hAnsi="IRNazanin" w:eastAsia="IRNazanin" w:cs="IRNazanin"/>
          <w:lang w:bidi="fa-IR"/>
          <w:color w:val="111111"/>
          <w:sz w:val="28"/>
          <w:szCs w:val="28"/>
          <w:rtl/>
        </w:rPr>
        <w:t xml:space="preserve">،و قوله:«من ارتکب الشبهات</w:t>
      </w:r>
    </w:p>
    <w:p>
      <w:pPr>
        <w:pStyle w:val="BookText"/>
      </w:pPr>
      <w:r>
        <w:rPr>
          <w:rFonts w:ascii="IRNazanin" w:hAnsi="IRNazanin" w:eastAsia="IRNazanin" w:cs="IRNazanin"/>
          <w:lang w:bidi="fa-IR"/>
          <w:color w:val="111111"/>
          <w:sz w:val="28"/>
          <w:szCs w:val="28"/>
          <w:rtl/>
        </w:rPr>
        <w:t xml:space="preserve">[شماره صفحه واقعی : 229]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وقع فی المحرّمات و هلک من حیث لا یعلم» </w:t>
      </w:r>
      <w:r>
        <w:rPr>
          <w:rStyle w:val="FootnoteReference"/>
        </w:rPr>
        <w:footnoteReference w:id="7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هنا ظهر:أنّه لا فرق فی ذلک بین الاستناد فی وجوب الاجتناب إلی حکم العقل و بین الاستناد فیه إلی حکم الشرع بوجوب الاحتیاط.</w:t>
      </w:r>
    </w:p>
    <w:p>
      <w:pPr>
        <w:pStyle w:val="BookText"/>
      </w:pPr>
      <w:r>
        <w:rPr>
          <w:rFonts w:ascii="IRNazanin" w:hAnsi="IRNazanin" w:eastAsia="IRNazanin" w:cs="IRNazanin"/>
          <w:lang w:bidi="fa-IR"/>
          <w:color w:val="111111"/>
          <w:sz w:val="28"/>
          <w:szCs w:val="28"/>
          <w:rtl/>
        </w:rPr>
        <w:t xml:space="preserve">و أمّا حکمهم بوجوب دفع الضرر المظنون شرعا و استحقاق العقاب علی ترکه و إن لم یصادف الواقع،فهو خارج عمّا نحن فیه؛ لأنّ الضرر الدنیویّ ارتکابه مع العلم حرام شرعا،و المفروض أنّ الظنّ فی باب الضرر طریق شرعیّ إلیه،فالمقدم مع الظنّ کالمقدم مع القطع مستحقّ للعقاب،کما لو ظنّ سائر المحرّمات بالظنّ المعتبر.</w:t>
      </w:r>
    </w:p>
    <w:p>
      <w:pPr>
        <w:pStyle w:val="BookText"/>
      </w:pPr>
      <w:r>
        <w:rPr>
          <w:rFonts w:ascii="IRNazanin" w:hAnsi="IRNazanin" w:eastAsia="IRNazanin" w:cs="IRNazanin"/>
          <w:lang w:bidi="fa-IR"/>
          <w:color w:val="111111"/>
          <w:sz w:val="28"/>
          <w:szCs w:val="28"/>
          <w:rtl/>
        </w:rPr>
        <w:t xml:space="preserve">نعم،لو شکّ فی هذا الضرر یرجع إلی أصالة الإباحة و عدم الضرر؛لعدم استحالة ترخیص الشارع فی الإقدام </w:t>
      </w:r>
      <w:r>
        <w:rPr>
          <w:rStyle w:val="FootnoteReference"/>
        </w:rPr>
        <w:footnoteReference w:id="746"/>
      </w:r>
      <w:r>
        <w:rPr>
          <w:rFonts w:ascii="IRNazanin" w:hAnsi="IRNazanin" w:eastAsia="IRNazanin" w:cs="IRNazanin"/>
          <w:lang w:bidi="fa-IR"/>
          <w:color w:val="111111"/>
          <w:sz w:val="28"/>
          <w:szCs w:val="28"/>
          <w:rtl/>
        </w:rPr>
        <w:t xml:space="preserve">علی الضرر الدنیویّ المقطوع إذا کان فی الترخیص مصلحة اخرویّة،فیجوز ترخیصه فی الإقدام </w:t>
      </w:r>
      <w:r>
        <w:rPr>
          <w:rStyle w:val="FootnoteReference"/>
        </w:rPr>
        <w:footnoteReference w:id="747"/>
      </w:r>
      <w:r>
        <w:rPr>
          <w:rFonts w:ascii="IRNazanin" w:hAnsi="IRNazanin" w:eastAsia="IRNazanin" w:cs="IRNazanin"/>
          <w:lang w:bidi="fa-IR"/>
          <w:color w:val="111111"/>
          <w:sz w:val="28"/>
          <w:szCs w:val="28"/>
          <w:rtl/>
        </w:rPr>
        <w:t xml:space="preserve">علی المحتمل لمصلحة و لو کانت تسهیل الأمر علی المکلّف بوکول الإقدام علی إرادته.و هذا بخلاف الضرر الاخرویّ؛فإنّه علی تقدیر ثبوته واقعا یقبح من الشارع الترخیص فیه.</w:t>
      </w:r>
    </w:p>
    <w:p>
      <w:pPr>
        <w:pStyle w:val="BookText"/>
      </w:pPr>
      <w:r>
        <w:rPr>
          <w:rFonts w:ascii="IRNazanin" w:hAnsi="IRNazanin" w:eastAsia="IRNazanin" w:cs="IRNazanin"/>
          <w:lang w:bidi="fa-IR"/>
          <w:color w:val="111111"/>
          <w:sz w:val="28"/>
          <w:szCs w:val="28"/>
          <w:rtl/>
        </w:rPr>
        <w:t xml:space="preserve">نعم،وجوب دفعه عقلیّ و لو مع الشکّ،لکن لا یترتّب علی ترک دفعه إلاّ نفسه علی تقدیر ثبوته واقعا،حتّی أنّه لو قطع به ثمّ لم یدفعه و اتّفق عدمه واقعا لم یعاقب علیه إلاّ من باب التجرّی،و قد تقدّم فی المقصد الأوّل-المتکفّل لبیان مسائل حجیّة القطع-الکلام فیه </w:t>
      </w:r>
      <w:r>
        <w:rPr>
          <w:rStyle w:val="FootnoteReference"/>
        </w:rPr>
        <w:footnoteReference w:id="748"/>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230]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48" w:name="pg14411_142620"/>
    <w:bookmarkEnd w:id="148"/>
    <w:p>
      <w:pPr>
        <w:pStyle w:val="BookText"/>
      </w:pPr>
      <w:r>
        <w:rPr>
          <w:rFonts w:ascii="IRNazanin" w:hAnsi="IRNazanin" w:eastAsia="IRNazanin" w:cs="IRNazanin"/>
          <w:lang w:bidi="fa-IR"/>
          <w:color w:val="111111"/>
          <w:sz w:val="28"/>
          <w:szCs w:val="28"/>
          <w:rtl/>
        </w:rPr>
        <w:t xml:space="preserve">و سیجیء أیضا </w:t>
      </w:r>
      <w:r>
        <w:rPr>
          <w:rStyle w:val="FootnoteReference"/>
        </w:rPr>
        <w:footnoteReference w:id="7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قلت:قد ذکر العدلیّة فی الاستدلال علی وجوب شکر المنعم:أنّ فی ترکه احتمال المضرّة،و جعلوا ثمرة وجوب شکر المنعم و عدم وجوبه:استحقاق العقاب علی ترک الشکر لمن لم یبلغه دعوة نبیّ زمانه،فیدلّ ذلک علی استحقاق العقاب بمجرّد ترک دفع الضرر الاخرویّ المحتمل.</w:t>
      </w:r>
    </w:p>
    <w:p>
      <w:pPr>
        <w:pStyle w:val="BookText"/>
      </w:pPr>
      <w:r>
        <w:rPr>
          <w:rFonts w:ascii="IRNazanin" w:hAnsi="IRNazanin" w:eastAsia="IRNazanin" w:cs="IRNazanin"/>
          <w:lang w:bidi="fa-IR"/>
          <w:color w:val="111111"/>
          <w:sz w:val="28"/>
          <w:szCs w:val="28"/>
          <w:rtl/>
        </w:rPr>
        <w:t xml:space="preserve">قلت:حکمهم باستحقاق العقاب علی ترک الشکر بمجرّد احتمال الضرر فی ترکه،لأجل مصادفة الاحتمال للواقع؛فإنّ الشکر لمّا علمنا بوجوبه عند الشارع و ترتّب العقاب علی ترکه،فإذا احتمل العاقل العقاب علی ترکه،فإن قلنا بحکومة العقل فی مسألة«دفع الضرر المحتمل»صحّ عقاب تارک الشکر؛من أجل إتمام الحجّة علیه بمخالفة عقله،و إلاّ فلا،فغرضهم:أنّ ثمرة حکومة العقل بدفع الضرر المحتمل إنّما یظهر فی الضرر الثابت شرعا مع عدم العلم به من طریق الشرع، لا أنّ الشخص یعاقب بمخالفة العقل و إن لم یکن ضرر فی الواقع، و قد تقدّم فی بعض مسائل الشبهة التحریمیّة شطر من الکلام فی ذلک.</w:t>
      </w:r>
    </w:p>
    <w:p>
      <w:pPr>
        <w:pStyle w:val="Heading6"/>
      </w:pPr>
      <w:bookmarkStart w:id="1269" w:name="_Toc304"/>
      <w:r>
        <w:t>[التمسّک للحرمة فی المسألة بکونه تجرّیا و المناقشة فیه]</w:t>
      </w:r>
      <w:bookmarkEnd w:id="1269"/>
    </w:p>
    <w:p>
      <w:pPr>
        <w:pStyle w:val="BookText"/>
      </w:pPr>
      <w:r>
        <w:rPr>
          <w:rFonts w:ascii="IRNazanin" w:hAnsi="IRNazanin" w:eastAsia="IRNazanin" w:cs="IRNazanin"/>
          <w:lang w:bidi="fa-IR"/>
          <w:color w:val="111111"/>
          <w:sz w:val="28"/>
          <w:szCs w:val="28"/>
          <w:rtl/>
        </w:rPr>
        <w:t xml:space="preserve">و قد یتمسّک لإثبات الحرمة فی المقام بکونه تجرّیا،فیکون قبیحا عقلا،فیحرم شرعا.</w:t>
      </w:r>
    </w:p>
    <w:p>
      <w:pPr>
        <w:pStyle w:val="BookText"/>
      </w:pPr>
      <w:r>
        <w:rPr>
          <w:rFonts w:ascii="IRNazanin" w:hAnsi="IRNazanin" w:eastAsia="IRNazanin" w:cs="IRNazanin"/>
          <w:lang w:bidi="fa-IR"/>
          <w:color w:val="111111"/>
          <w:sz w:val="28"/>
          <w:szCs w:val="28"/>
          <w:rtl/>
        </w:rPr>
        <w:t xml:space="preserve">و قد تقدّم فی فروع حجیّة العلم:الکلام علی </w:t>
      </w:r>
      <w:r>
        <w:rPr>
          <w:rStyle w:val="FootnoteReference"/>
        </w:rPr>
        <w:footnoteReference w:id="750"/>
      </w:r>
      <w:r>
        <w:rPr>
          <w:rFonts w:ascii="IRNazanin" w:hAnsi="IRNazanin" w:eastAsia="IRNazanin" w:cs="IRNazanin"/>
          <w:lang w:bidi="fa-IR"/>
          <w:color w:val="111111"/>
          <w:sz w:val="28"/>
          <w:szCs w:val="28"/>
          <w:rtl/>
        </w:rPr>
        <w:t xml:space="preserve">حرمة التجرّی</w:t>
      </w:r>
    </w:p>
    <w:p>
      <w:pPr>
        <w:pStyle w:val="BookText"/>
      </w:pPr>
      <w:r>
        <w:rPr>
          <w:rFonts w:ascii="IRNazanin" w:hAnsi="IRNazanin" w:eastAsia="IRNazanin" w:cs="IRNazanin"/>
          <w:lang w:bidi="fa-IR"/>
          <w:color w:val="111111"/>
          <w:sz w:val="28"/>
          <w:szCs w:val="28"/>
          <w:rtl/>
        </w:rPr>
        <w:t xml:space="preserve">[شماره صفحه واقعی : 231]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49" w:name="pg14411_142621"/>
    <w:bookmarkEnd w:id="149"/>
    <w:p>
      <w:pPr>
        <w:pStyle w:val="BookText"/>
      </w:pPr>
      <w:r>
        <w:rPr>
          <w:rFonts w:ascii="IRNazanin" w:hAnsi="IRNazanin" w:eastAsia="IRNazanin" w:cs="IRNazanin"/>
          <w:lang w:bidi="fa-IR"/>
          <w:color w:val="111111"/>
          <w:sz w:val="28"/>
          <w:szCs w:val="28"/>
          <w:rtl/>
        </w:rPr>
        <w:t xml:space="preserve">حتّی مع القطع بالحرمة إذا کان مخالفا للواقع،کما أفتی به فی التذکرة فیما إذا اعتقد ضیق الوقت فأخّر و انکشف بقاء الوقت </w:t>
      </w:r>
      <w:r>
        <w:rPr>
          <w:rStyle w:val="FootnoteReference"/>
        </w:rPr>
        <w:footnoteReference w:id="751"/>
      </w:r>
      <w:r>
        <w:rPr>
          <w:rFonts w:ascii="IRNazanin" w:hAnsi="IRNazanin" w:eastAsia="IRNazanin" w:cs="IRNazanin"/>
          <w:lang w:bidi="fa-IR"/>
          <w:color w:val="111111"/>
          <w:sz w:val="28"/>
          <w:szCs w:val="28"/>
          <w:rtl/>
        </w:rPr>
        <w:t xml:space="preserve">،و إن تردّد فی النهایة </w:t>
      </w:r>
      <w:r>
        <w:rPr>
          <w:rStyle w:val="FootnoteReference"/>
        </w:rPr>
        <w:footnoteReference w:id="752"/>
      </w:r>
      <w:r>
        <w:rPr>
          <w:rFonts w:ascii="Times New Roman" w:hAnsi="Times New Roman" w:eastAsia="Times New Roman" w:cs="Times New Roman"/>
          <w:lang w:val="en-US" w:bidi="en-US"/>
          <w:color w:val="111111"/>
          <w:sz w:val="28"/>
          <w:szCs w:val="28"/>
          <w:rtl/>
        </w:rPr>
        <w:t xml:space="preserve">.</w:t>
      </w:r>
    </w:p>
    <w:p>
      <w:pPr>
        <w:pStyle w:val="Heading6"/>
      </w:pPr>
      <w:bookmarkStart w:id="1270" w:name="_Toc305"/>
      <w:r>
        <w:t>[التمسّک بالأدلّة الشرعیّة الدالّة علی الاحتیاط و المناقشة فیه أیضا]</w:t>
      </w:r>
      <w:bookmarkEnd w:id="1270"/>
    </w:p>
    <w:p>
      <w:pPr>
        <w:pStyle w:val="BookText"/>
      </w:pPr>
      <w:r>
        <w:rPr>
          <w:rFonts w:ascii="IRNazanin" w:hAnsi="IRNazanin" w:eastAsia="IRNazanin" w:cs="IRNazanin"/>
          <w:lang w:bidi="fa-IR"/>
          <w:color w:val="111111"/>
          <w:sz w:val="28"/>
          <w:szCs w:val="28"/>
          <w:rtl/>
        </w:rPr>
        <w:t xml:space="preserve">و أضعف من ذلک:التمسّک بالأدلّة الشرعیّة الدالّة علی الاحتیاط؛ لما تقدّم:من أنّ الظاهر من مادّة«الاحتیاط»التحرّز عن الوقوع فی الحرام،کما یوضح ذلک النبویّان السابقان </w:t>
      </w:r>
      <w:r>
        <w:rPr>
          <w:rStyle w:val="FootnoteReference"/>
        </w:rPr>
        <w:footnoteReference w:id="753"/>
      </w:r>
      <w:r>
        <w:rPr>
          <w:rFonts w:ascii="IRNazanin" w:hAnsi="IRNazanin" w:eastAsia="IRNazanin" w:cs="IRNazanin"/>
          <w:lang w:bidi="fa-IR"/>
          <w:color w:val="111111"/>
          <w:sz w:val="28"/>
          <w:szCs w:val="28"/>
          <w:rtl/>
        </w:rPr>
        <w:t xml:space="preserve">،و قولهم صلوات اللّه علیهم:</w:t>
      </w:r>
    </w:p>
    <w:p>
      <w:pPr>
        <w:pStyle w:val="BookText"/>
      </w:pPr>
      <w:r>
        <w:rPr>
          <w:rFonts w:ascii="IRNazanin" w:hAnsi="IRNazanin" w:eastAsia="IRNazanin" w:cs="IRNazanin"/>
          <w:lang w:bidi="fa-IR"/>
          <w:color w:val="111111"/>
          <w:sz w:val="28"/>
          <w:szCs w:val="28"/>
          <w:rtl/>
        </w:rPr>
        <w:t xml:space="preserve">«إنّ الوقوف عند الشبهة أولی من الاقتحام فی الهلکة» </w:t>
      </w:r>
      <w:r>
        <w:rPr>
          <w:rStyle w:val="FootnoteReference"/>
        </w:rPr>
        <w:footnoteReference w:id="7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232]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50" w:name="pg14411_142622"/>
    <w:bookmarkEnd w:id="150"/>
    <w:p>
      <w:pPr>
        <w:pStyle w:val="Heading6"/>
      </w:pPr>
      <w:bookmarkStart w:id="1271" w:name="_Toc306"/>
      <w:r>
        <w:t>الأمر الثالث [:وجوب الاجتناب إنّما هو مع تنجّز التکلیف علی کلّ تقدیر]</w:t>
      </w:r>
      <w:bookmarkEnd w:id="1271"/>
    </w:p>
    <w:p>
      <w:pPr>
        <w:pStyle w:val="Heading6"/>
      </w:pPr>
      <w:bookmarkStart w:id="1272" w:name="_Toc307"/>
      <w:r>
        <w:t>اشارة</w:t>
      </w:r>
      <w:bookmarkEnd w:id="1272"/>
    </w:p>
    <w:p>
      <w:pPr>
        <w:pStyle w:val="BookText"/>
      </w:pPr>
      <w:r>
        <w:rPr>
          <w:rFonts w:ascii="IRNazanin" w:hAnsi="IRNazanin" w:eastAsia="IRNazanin" w:cs="IRNazanin"/>
          <w:lang w:bidi="fa-IR"/>
          <w:color w:val="111111"/>
          <w:sz w:val="28"/>
          <w:szCs w:val="28"/>
          <w:rtl/>
        </w:rPr>
        <w:t xml:space="preserve">أنّ وجوب الاجتناب عن کلا المشتبهین إنّما هو مع تنجّز التکلیف بالحرام الواقعیّ علی کلّ تقدیر،بأن یکون کلّ منهما بحیث لو فرض القطع بکونه الحرام کان التکلیف بالاجتناب منجّزا،</w:t>
      </w:r>
    </w:p>
    <w:p>
      <w:pPr>
        <w:pStyle w:val="Heading6"/>
      </w:pPr>
      <w:bookmarkStart w:id="1273" w:name="_Toc308"/>
      <w:r>
        <w:t>[لو لم یکلّف بالتکلیف علی کلّ تقدیر]</w:t>
      </w:r>
      <w:bookmarkEnd w:id="1273"/>
    </w:p>
    <w:p>
      <w:pPr>
        <w:pStyle w:val="BookText"/>
      </w:pPr>
      <w:r>
        <w:rPr>
          <w:rFonts w:ascii="IRNazanin" w:hAnsi="IRNazanin" w:eastAsia="IRNazanin" w:cs="IRNazanin"/>
          <w:lang w:bidi="fa-IR"/>
          <w:color w:val="111111"/>
          <w:sz w:val="28"/>
          <w:szCs w:val="28"/>
          <w:rtl/>
        </w:rPr>
        <w:t xml:space="preserve">فلو لم یکن کذلک بأن لم یکلّف به أصلا،کما لو علم بوقوع قطرة من البول فی أحد إناءین أحدهما بول أو متنجّس بالبول أو کثیر لا ینفعل بالنجاسة، أو أحد ثوبین أحدهما نجس بتمامه،لم یجب الاجتناب عن الآخر؛ لعدم العلم بحدوث التکلیف بالاجتناب عن ملاقی هذه القطرة؛إذ لو کان ملاقیها هو الإناء النجس لم یحدث بسببه تکلیف بالاجتناب أصلا،فالشکّ فی التکلیف بالاجتناب عن الآخر شکّ فی أصل التکلیف لا المکلّف به.</w:t>
      </w:r>
    </w:p>
    <w:p>
      <w:pPr>
        <w:pStyle w:val="Heading6"/>
      </w:pPr>
      <w:bookmarkStart w:id="1274" w:name="_Toc309"/>
      <w:r>
        <w:t>[لو کان التکلیف فی أحدهما معلّقا علی تمکّن المکلّف منه]</w:t>
      </w:r>
      <w:bookmarkEnd w:id="1274"/>
    </w:p>
    <w:p>
      <w:pPr>
        <w:pStyle w:val="BookText"/>
      </w:pPr>
      <w:r>
        <w:rPr>
          <w:rFonts w:ascii="IRNazanin" w:hAnsi="IRNazanin" w:eastAsia="IRNazanin" w:cs="IRNazanin"/>
          <w:lang w:bidi="fa-IR"/>
          <w:color w:val="111111"/>
          <w:sz w:val="28"/>
          <w:szCs w:val="28"/>
          <w:rtl/>
        </w:rPr>
        <w:t xml:space="preserve">و کذا:لو کان التکلیف فی أحدهما معلوما لکن لا علی وجه التنجّز،بل معلّقا علی تمکّن المکلّف منه،فإنّ ما لا یتمکّن المکلّف من ارتکابه لا یکلّف منجّزا بالاجتناب عنه،کما لو علم بوقوع </w:t>
      </w:r>
      <w:r>
        <w:rPr>
          <w:rStyle w:val="FootnoteReference"/>
        </w:rPr>
        <w:footnoteReference w:id="755"/>
      </w:r>
      <w:r>
        <w:rPr>
          <w:rFonts w:ascii="Amiri" w:hAnsi="Amiri" w:eastAsia="Amiri" w:cs="Amiri"/>
          <w:lang w:bidi="ar-SA"/>
          <w:color w:val="111111"/>
          <w:sz w:val="28"/>
          <w:szCs w:val="28"/>
          <w:rtl/>
        </w:rPr>
        <w:t xml:space="preserve">النجاسة</w:t>
      </w:r>
    </w:p>
    <w:p>
      <w:pPr>
        <w:pStyle w:val="BookText"/>
      </w:pPr>
      <w:r>
        <w:rPr>
          <w:rFonts w:ascii="IRNazanin" w:hAnsi="IRNazanin" w:eastAsia="IRNazanin" w:cs="IRNazanin"/>
          <w:lang w:bidi="fa-IR"/>
          <w:color w:val="111111"/>
          <w:sz w:val="28"/>
          <w:szCs w:val="28"/>
          <w:rtl/>
        </w:rPr>
        <w:t xml:space="preserve">[شماره صفحه واقعی : 233]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51" w:name="pg14411_142623"/>
    <w:bookmarkEnd w:id="151"/>
    <w:p>
      <w:pPr>
        <w:pStyle w:val="BookText"/>
      </w:pPr>
      <w:r>
        <w:rPr>
          <w:rFonts w:ascii="IRNazanin" w:hAnsi="IRNazanin" w:eastAsia="IRNazanin" w:cs="IRNazanin"/>
          <w:lang w:bidi="fa-IR"/>
          <w:color w:val="111111"/>
          <w:sz w:val="28"/>
          <w:szCs w:val="28"/>
          <w:rtl/>
        </w:rPr>
        <w:t xml:space="preserve">فی أحد شیئین لا یتمکّن المکلّف من ارتکاب واحد معیّن منهما،فلا یجب الاجتناب عن الآخر؛لأنّ الشکّ فی أصل تنجّز التکلیف،لا فی المکلّف به تکلیفا منجّزا.</w:t>
      </w:r>
    </w:p>
    <w:p>
      <w:pPr>
        <w:pStyle w:val="Heading6"/>
      </w:pPr>
      <w:bookmarkStart w:id="1275" w:name="_Toc310"/>
      <w:r>
        <w:t>[لو کان أحدهما المعیّن غیر مبتلی به]</w:t>
      </w:r>
      <w:bookmarkEnd w:id="1275"/>
    </w:p>
    <w:p>
      <w:pPr>
        <w:pStyle w:val="BookText"/>
      </w:pPr>
      <w:r>
        <w:rPr>
          <w:rFonts w:ascii="IRNazanin" w:hAnsi="IRNazanin" w:eastAsia="IRNazanin" w:cs="IRNazanin"/>
          <w:lang w:bidi="fa-IR"/>
          <w:color w:val="111111"/>
          <w:sz w:val="28"/>
          <w:szCs w:val="28"/>
          <w:rtl/>
        </w:rPr>
        <w:t xml:space="preserve">و کذا:لو کان ارتکاب الواحد المعیّن ممکنا عقلا،لکنّ المکلّف أجنبیّ عنه و غیر مبتل به بحسب حاله،کما إذا تردّد النجس بین إنائه و إناء آخر </w:t>
      </w:r>
      <w:r>
        <w:rPr>
          <w:rStyle w:val="FootnoteReference"/>
        </w:rPr>
        <w:footnoteReference w:id="756"/>
      </w:r>
      <w:r>
        <w:rPr>
          <w:rFonts w:ascii="IRNazanin" w:hAnsi="IRNazanin" w:eastAsia="IRNazanin" w:cs="IRNazanin"/>
          <w:lang w:bidi="fa-IR"/>
          <w:color w:val="111111"/>
          <w:sz w:val="28"/>
          <w:szCs w:val="28"/>
          <w:rtl/>
        </w:rPr>
        <w:t xml:space="preserve">لا دخل للمکلّف فیه أصلا؛فإنّ التکلیف بالاجتناب عن هذا الإناء الآخر المتمکّن عقلا غیر منجّز عرفا؛و لهذا لا یحسن التکلیف المنجّز بالاجتناب عن الطعام أو الثوب الذی لیس من شأن المکلّف الابتلاء به.</w:t>
      </w:r>
    </w:p>
    <w:p>
      <w:pPr>
        <w:pStyle w:val="BookText"/>
      </w:pPr>
      <w:r>
        <w:rPr>
          <w:rFonts w:ascii="IRNazanin" w:hAnsi="IRNazanin" w:eastAsia="IRNazanin" w:cs="IRNazanin"/>
          <w:lang w:bidi="fa-IR"/>
          <w:color w:val="111111"/>
          <w:sz w:val="28"/>
          <w:szCs w:val="28"/>
          <w:rtl/>
        </w:rPr>
        <w:t xml:space="preserve">نعم،یحسن الأمر بالاجتناب عنه مقیّدا بقوله:إذا اتّفق لک الابتلاء بذلک بعاریة أو تملّک </w:t>
      </w:r>
      <w:r>
        <w:rPr>
          <w:rStyle w:val="FootnoteReference"/>
        </w:rPr>
        <w:footnoteReference w:id="757"/>
      </w:r>
      <w:r>
        <w:rPr>
          <w:rFonts w:ascii="Amiri" w:hAnsi="Amiri" w:eastAsia="Amiri" w:cs="Amiri"/>
          <w:lang w:bidi="ar-SA"/>
          <w:color w:val="111111"/>
          <w:sz w:val="28"/>
          <w:szCs w:val="28"/>
          <w:rtl/>
        </w:rPr>
        <w:t xml:space="preserve">أو إباحة فاجتنب عنه.</w:t>
      </w:r>
    </w:p>
    <w:p>
      <w:pPr>
        <w:pStyle w:val="Heading6"/>
      </w:pPr>
      <w:bookmarkStart w:id="1276" w:name="_Toc311"/>
      <w:r>
        <w:t>[اختصاص النواهی بمن یعدّ مبتلی بالواقعة المنهیّة عنها و السرّ فی ذلک]</w:t>
      </w:r>
      <w:bookmarkEnd w:id="1276"/>
    </w:p>
    <w:p>
      <w:pPr>
        <w:pStyle w:val="BookText"/>
      </w:pPr>
      <w:r>
        <w:rPr>
          <w:rFonts w:ascii="IRNazanin" w:hAnsi="IRNazanin" w:eastAsia="IRNazanin" w:cs="IRNazanin"/>
          <w:lang w:bidi="fa-IR"/>
          <w:color w:val="111111"/>
          <w:sz w:val="28"/>
          <w:szCs w:val="28"/>
          <w:rtl/>
        </w:rPr>
        <w:t xml:space="preserve">و الحاصل:أنّ النواهی المطلوب فیها حمل المکلّف علی الترک مختصّة-بحکم العقل و العرف-بمن یعدّ مبتلی بالواقعة المنهیّ عنها؛و لذا یعدّ خطاب غیره بالترک مستهجنا إلاّ علی وجه التقیید بصورة الابتلاء.</w:t>
      </w:r>
    </w:p>
    <w:p>
      <w:pPr>
        <w:pStyle w:val="BookText"/>
      </w:pPr>
      <w:r>
        <w:rPr>
          <w:rFonts w:ascii="IRNazanin" w:hAnsi="IRNazanin" w:eastAsia="IRNazanin" w:cs="IRNazanin"/>
          <w:lang w:bidi="fa-IR"/>
          <w:color w:val="111111"/>
          <w:sz w:val="28"/>
          <w:szCs w:val="28"/>
          <w:rtl/>
        </w:rPr>
        <w:t xml:space="preserve">و لعلّ السرّ فی ذلک:أنّ غیر المبتلی تارک للمنهیّ عنه بنفس عدم ابتلائه </w:t>
      </w:r>
      <w:r>
        <w:rPr>
          <w:rStyle w:val="FootnoteReference"/>
        </w:rPr>
        <w:footnoteReference w:id="758"/>
      </w:r>
      <w:r>
        <w:rPr>
          <w:rFonts w:ascii="IRNazanin" w:hAnsi="IRNazanin" w:eastAsia="IRNazanin" w:cs="IRNazanin"/>
          <w:lang w:bidi="fa-IR"/>
          <w:color w:val="111111"/>
          <w:sz w:val="28"/>
          <w:szCs w:val="28"/>
          <w:rtl/>
        </w:rPr>
        <w:t xml:space="preserve">،فلا حاجة إلی نهیه،فعند الاشتباه لا یعلم المکلّف بتنجّز التکلیف بالاجتناب عن الحرام الواقعیّ.</w:t>
      </w:r>
    </w:p>
    <w:p>
      <w:pPr>
        <w:pStyle w:val="Heading6"/>
      </w:pPr>
      <w:bookmarkStart w:id="1277" w:name="_Toc312"/>
      <w:r>
        <w:t>[حلّ الإشکال بما ذکرنا عن کثیر من مواقع عدم وجوب الاجتناب فی الشبهة المحصورة]</w:t>
      </w:r>
      <w:bookmarkEnd w:id="1277"/>
    </w:p>
    <w:p>
      <w:pPr>
        <w:pStyle w:val="BookText"/>
      </w:pPr>
      <w:r>
        <w:rPr>
          <w:rFonts w:ascii="IRNazanin" w:hAnsi="IRNazanin" w:eastAsia="IRNazanin" w:cs="IRNazanin"/>
          <w:lang w:bidi="fa-IR"/>
          <w:color w:val="111111"/>
          <w:sz w:val="28"/>
          <w:szCs w:val="28"/>
          <w:rtl/>
        </w:rPr>
        <w:t xml:space="preserve">و هذا باب واسع ینحلّ به الإشکال عمّا علم من عدم وجوب</w:t>
      </w:r>
    </w:p>
    <w:p>
      <w:pPr>
        <w:pStyle w:val="BookText"/>
      </w:pPr>
      <w:r>
        <w:rPr>
          <w:rFonts w:ascii="IRNazanin" w:hAnsi="IRNazanin" w:eastAsia="IRNazanin" w:cs="IRNazanin"/>
          <w:lang w:bidi="fa-IR"/>
          <w:color w:val="111111"/>
          <w:sz w:val="28"/>
          <w:szCs w:val="28"/>
          <w:rtl/>
        </w:rPr>
        <w:t xml:space="preserve">[شماره صفحه واقعی : 234]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52" w:name="pg14411_142624"/>
    <w:bookmarkEnd w:id="152"/>
    <w:p>
      <w:pPr>
        <w:pStyle w:val="BookText"/>
      </w:pPr>
      <w:r>
        <w:rPr>
          <w:rFonts w:ascii="IRNazanin" w:hAnsi="IRNazanin" w:eastAsia="IRNazanin" w:cs="IRNazanin"/>
          <w:lang w:bidi="fa-IR"/>
          <w:color w:val="111111"/>
          <w:sz w:val="28"/>
          <w:szCs w:val="28"/>
          <w:rtl/>
        </w:rPr>
        <w:t xml:space="preserve">الاجتناب عن الشبهة المحصورة فی مواقع،مثل ما إذا علم إجمالا بوقوع النجاسة فی إنائه أو فی موضع من الأرض لا یبتلی به المکلّف عادة،أو بوقوع النجاسة فی ثوب أو ثوب الغیر،فإنّ الثوبین لکلّ </w:t>
      </w:r>
      <w:r>
        <w:rPr>
          <w:rStyle w:val="FootnoteReference"/>
        </w:rPr>
        <w:footnoteReference w:id="759"/>
      </w:r>
      <w:r>
        <w:rPr>
          <w:rFonts w:ascii="IRNazanin" w:hAnsi="IRNazanin" w:eastAsia="IRNazanin" w:cs="IRNazanin"/>
          <w:lang w:bidi="fa-IR"/>
          <w:color w:val="111111"/>
          <w:sz w:val="28"/>
          <w:szCs w:val="28"/>
          <w:rtl/>
        </w:rPr>
        <w:t xml:space="preserve">منهما من باب الشبهة المحصورة مع عدم وجوب اجتنابهما،فإذا أجری أحدهما فی ثوبه أصالة الحلّ و الطهارة لم یعارض بجریانهما فی ثوب غیره؛إذ لا یترتّب علی هذا المعارض ثمرة عملیّة للمکلّف یلزم من ترتّبها مع العمل بذلک الأصل طرح تکلیف متنجّز بالأمر المعلوم إجمالا.</w:t>
      </w:r>
    </w:p>
    <w:p>
      <w:pPr>
        <w:pStyle w:val="BookText"/>
      </w:pPr>
      <w:r>
        <w:rPr>
          <w:rFonts w:ascii="IRNazanin" w:hAnsi="IRNazanin" w:eastAsia="IRNazanin" w:cs="IRNazanin"/>
          <w:lang w:bidi="fa-IR"/>
          <w:color w:val="111111"/>
          <w:sz w:val="28"/>
          <w:szCs w:val="28"/>
          <w:rtl/>
        </w:rPr>
        <w:t xml:space="preserve">أ لا تری:أنّ زوجة شخص لو شکّت فی أنّها هی المطلّقة أو غیرها من ضرّاتها جاز لها ترتیب أحکام الزوجیّة علی نفسها،و لو شکّ الزوج هذا الشکّ لم یجز له النظر إلی إحداهما؛و لیس ذلک إلاّ لأنّ أصالة عدم تطلیقه کلاّ </w:t>
      </w:r>
      <w:r>
        <w:rPr>
          <w:rStyle w:val="FootnoteReference"/>
        </w:rPr>
        <w:footnoteReference w:id="760"/>
      </w:r>
      <w:r>
        <w:rPr>
          <w:rFonts w:ascii="IRNazanin" w:hAnsi="IRNazanin" w:eastAsia="IRNazanin" w:cs="IRNazanin"/>
          <w:lang w:bidi="fa-IR"/>
          <w:color w:val="111111"/>
          <w:sz w:val="28"/>
          <w:szCs w:val="28"/>
          <w:rtl/>
        </w:rPr>
        <w:t xml:space="preserve">منهما متعارضان فی حقّ الزوج،بخلاف الزوجة؛فإنّ أصالة عدم تطلّق ضرّتها لا تثمر لها ثمرة عملیّة.</w:t>
      </w:r>
    </w:p>
    <w:p>
      <w:pPr>
        <w:pStyle w:val="BookText"/>
      </w:pPr>
      <w:r>
        <w:rPr>
          <w:rFonts w:ascii="IRNazanin" w:hAnsi="IRNazanin" w:eastAsia="IRNazanin" w:cs="IRNazanin"/>
          <w:lang w:bidi="fa-IR"/>
          <w:color w:val="111111"/>
          <w:sz w:val="28"/>
          <w:szCs w:val="28"/>
          <w:rtl/>
        </w:rPr>
        <w:t xml:space="preserve">نعم،لو اتّفق ترتّب تکلیف علی زوجیّة ضرّتها دخلت فی الشبهة المحصورة،و مثل ذلک کثیر فی الغایة.</w:t>
      </w:r>
    </w:p>
    <w:p>
      <w:pPr>
        <w:pStyle w:val="Heading6"/>
      </w:pPr>
      <w:bookmarkStart w:id="1278" w:name="_Toc313"/>
      <w:r>
        <w:t>[اندفاع ما أفاده صاحب المدارک فیما تقدّم بما ذکرنا]</w:t>
      </w:r>
      <w:bookmarkEnd w:id="1278"/>
    </w:p>
    <w:p>
      <w:pPr>
        <w:pStyle w:val="BookText"/>
      </w:pPr>
      <w:r>
        <w:rPr>
          <w:rFonts w:ascii="IRNazanin" w:hAnsi="IRNazanin" w:eastAsia="IRNazanin" w:cs="IRNazanin"/>
          <w:lang w:bidi="fa-IR"/>
          <w:color w:val="111111"/>
          <w:sz w:val="28"/>
          <w:szCs w:val="28"/>
          <w:rtl/>
        </w:rPr>
        <w:t xml:space="preserve">و ممّا ذکرنا یندفع ما تقدّم من صاحب المدارک رحمه اللّه </w:t>
      </w:r>
      <w:r>
        <w:rPr>
          <w:rStyle w:val="FootnoteReference"/>
        </w:rPr>
        <w:footnoteReference w:id="761"/>
      </w:r>
      <w:r>
        <w:rPr>
          <w:rFonts w:ascii="IRNazanin" w:hAnsi="IRNazanin" w:eastAsia="IRNazanin" w:cs="IRNazanin"/>
          <w:lang w:bidi="fa-IR"/>
          <w:color w:val="111111"/>
          <w:sz w:val="28"/>
          <w:szCs w:val="28"/>
          <w:rtl/>
        </w:rPr>
        <w:t xml:space="preserve">:من الاستنهاض علی ما اختاره-من عدم وجوب الاجتناب </w:t>
      </w:r>
      <w:r>
        <w:rPr>
          <w:rStyle w:val="FootnoteReference"/>
        </w:rPr>
        <w:footnoteReference w:id="762"/>
      </w:r>
      <w:r>
        <w:rPr>
          <w:rFonts w:ascii="IRNazanin" w:hAnsi="IRNazanin" w:eastAsia="IRNazanin" w:cs="IRNazanin"/>
          <w:lang w:bidi="fa-IR"/>
          <w:color w:val="111111"/>
          <w:sz w:val="28"/>
          <w:szCs w:val="28"/>
          <w:rtl/>
        </w:rPr>
        <w:t xml:space="preserve">فی الشبهة المحصورة-بما </w:t>
      </w:r>
      <w:r>
        <w:rPr>
          <w:rStyle w:val="FootnoteReference"/>
        </w:rPr>
        <w:footnoteReference w:id="763"/>
      </w:r>
      <w:r>
        <w:rPr>
          <w:rFonts w:ascii="IRNazanin" w:hAnsi="IRNazanin" w:eastAsia="IRNazanin" w:cs="IRNazanin"/>
          <w:lang w:bidi="fa-IR"/>
          <w:color w:val="111111"/>
          <w:sz w:val="28"/>
          <w:szCs w:val="28"/>
          <w:rtl/>
        </w:rPr>
        <w:t xml:space="preserve">یستفاد من الأصحاب:من عدم وجوب الاجتناب عن</w:t>
      </w:r>
    </w:p>
    <w:p>
      <w:pPr>
        <w:pStyle w:val="BookText"/>
      </w:pPr>
      <w:r>
        <w:rPr>
          <w:rFonts w:ascii="IRNazanin" w:hAnsi="IRNazanin" w:eastAsia="IRNazanin" w:cs="IRNazanin"/>
          <w:lang w:bidi="fa-IR"/>
          <w:color w:val="111111"/>
          <w:sz w:val="28"/>
          <w:szCs w:val="28"/>
          <w:rtl/>
        </w:rPr>
        <w:t xml:space="preserve">[شماره صفحه واقعی : 235]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53" w:name="pg14411_142625"/>
    <w:bookmarkEnd w:id="153"/>
    <w:p>
      <w:pPr>
        <w:pStyle w:val="BookText"/>
      </w:pPr>
      <w:r>
        <w:rPr>
          <w:rFonts w:ascii="IRNazanin" w:hAnsi="IRNazanin" w:eastAsia="IRNazanin" w:cs="IRNazanin"/>
          <w:lang w:bidi="fa-IR"/>
          <w:color w:val="111111"/>
          <w:sz w:val="28"/>
          <w:szCs w:val="28"/>
          <w:rtl/>
        </w:rPr>
        <w:t xml:space="preserve">الإناء الذی علم بوقوع النجاسة فیه أو فی خارجه؛إذ لا یخفی أنّ خارج الإناء-سواء کان ظهره أو الأرض القریبة منه-لیس ممّا یبتلی به المکلّف عادة،و لو فرض کون الخارج ممّا یسجد علیه المکلّف التزمنا بوجوب الاجتناب عنهما؛للعلم الإجمالیّ بالتکلیف المردّد بین حرمة الوضوء بالماء النجس و حرمة السجدة علی الأرض النجسة.</w:t>
      </w:r>
    </w:p>
    <w:p>
      <w:pPr>
        <w:pStyle w:val="BookText"/>
      </w:pPr>
      <w:r>
        <w:rPr>
          <w:rFonts w:ascii="IRNazanin" w:hAnsi="IRNazanin" w:eastAsia="IRNazanin" w:cs="IRNazanin"/>
          <w:lang w:bidi="fa-IR"/>
          <w:color w:val="111111"/>
          <w:sz w:val="28"/>
          <w:szCs w:val="28"/>
          <w:rtl/>
        </w:rPr>
        <w:t xml:space="preserve">و یؤیّد ما ذکرنا:صحیحة علیّ بن جعفر،عن أخیه علیهما السّلام، الواردة فی من رعف فامتخط فصار الدم قطعا صغارا فأصاب إناءه، هل یصلح الوضوء منه؟فقال علیه السّلام:«إن لم یکن شیء یستبین فی الماء فلا بأس به،و إن کان شیئا بیّنا فلا» </w:t>
      </w:r>
      <w:r>
        <w:rPr>
          <w:rStyle w:val="FootnoteReference"/>
        </w:rPr>
        <w:footnoteReference w:id="7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حیث استدلّ به الشیخ قدّس سرّه علی العفو عمّا لا یدرکه الطرف من الدم </w:t>
      </w:r>
      <w:r>
        <w:rPr>
          <w:rStyle w:val="FootnoteReference"/>
        </w:rPr>
        <w:footnoteReference w:id="765"/>
      </w:r>
      <w:r>
        <w:rPr>
          <w:rFonts w:ascii="IRNazanin" w:hAnsi="IRNazanin" w:eastAsia="IRNazanin" w:cs="IRNazanin"/>
          <w:lang w:bidi="fa-IR"/>
          <w:color w:val="111111"/>
          <w:sz w:val="28"/>
          <w:szCs w:val="28"/>
          <w:rtl/>
        </w:rPr>
        <w:t xml:space="preserve">،و حملها المشهور </w:t>
      </w:r>
      <w:r>
        <w:rPr>
          <w:rStyle w:val="FootnoteReference"/>
        </w:rPr>
        <w:footnoteReference w:id="766"/>
      </w:r>
      <w:r>
        <w:rPr>
          <w:rFonts w:ascii="IRNazanin" w:hAnsi="IRNazanin" w:eastAsia="IRNazanin" w:cs="IRNazanin"/>
          <w:lang w:bidi="fa-IR"/>
          <w:color w:val="111111"/>
          <w:sz w:val="28"/>
          <w:szCs w:val="28"/>
          <w:rtl/>
        </w:rPr>
        <w:t xml:space="preserve">علی أنّ إصابة الإناء لا یستلزم إصابة الماء، فالمراد أنّه مع عدم تبیّن شیء فی الماء یحکم بطهارته،و معلوم أنّ ظهر الإناء و باطنه الحاوی للماء من الشبهة المحصورة.</w:t>
      </w:r>
    </w:p>
    <w:p>
      <w:pPr>
        <w:pStyle w:val="BookText"/>
      </w:pPr>
      <w:r>
        <w:rPr>
          <w:rFonts w:ascii="IRNazanin" w:hAnsi="IRNazanin" w:eastAsia="IRNazanin" w:cs="IRNazanin"/>
          <w:lang w:bidi="fa-IR"/>
          <w:color w:val="111111"/>
          <w:sz w:val="28"/>
          <w:szCs w:val="28"/>
          <w:rtl/>
        </w:rPr>
        <w:t xml:space="preserve">و ما ذکرنا،واضح لمن تدبّر.</w:t>
      </w:r>
    </w:p>
    <w:p>
      <w:pPr>
        <w:pStyle w:val="Heading6"/>
      </w:pPr>
      <w:bookmarkStart w:id="1279" w:name="_Toc314"/>
      <w:r>
        <w:t>[خفاء تشخیص موارد الابتلاء و عدمه غالبا]</w:t>
      </w:r>
      <w:bookmarkEnd w:id="1279"/>
    </w:p>
    <w:p>
      <w:pPr>
        <w:pStyle w:val="BookText"/>
      </w:pPr>
      <w:r>
        <w:rPr>
          <w:rFonts w:ascii="IRNazanin" w:hAnsi="IRNazanin" w:eastAsia="IRNazanin" w:cs="IRNazanin"/>
          <w:lang w:bidi="fa-IR"/>
          <w:color w:val="111111"/>
          <w:sz w:val="28"/>
          <w:szCs w:val="28"/>
          <w:rtl/>
        </w:rPr>
        <w:t xml:space="preserve">إلاّ أنّ الإنصاف:أنّ تشخیص موارد الابتلاء لکلّ من المشتبهین و عدم الابتلاء بواحد معیّن منهما کثیرا ما یخفی.</w:t>
      </w:r>
    </w:p>
    <w:p>
      <w:pPr>
        <w:pStyle w:val="BookText"/>
      </w:pPr>
      <w:r>
        <w:rPr>
          <w:rFonts w:ascii="IRNazanin" w:hAnsi="IRNazanin" w:eastAsia="IRNazanin" w:cs="IRNazanin"/>
          <w:lang w:bidi="fa-IR"/>
          <w:color w:val="111111"/>
          <w:sz w:val="28"/>
          <w:szCs w:val="28"/>
          <w:rtl/>
        </w:rPr>
        <w:t xml:space="preserve">أ لا تری:أنّه لو دار الأمر بین وقوع النجاسة علی الثوب و وقوعها علی ظهر طائر أو حیوان قریب منه لا یتّفق عادة ابتلاؤه</w:t>
      </w:r>
    </w:p>
    <w:p>
      <w:pPr>
        <w:pStyle w:val="BookText"/>
      </w:pPr>
      <w:r>
        <w:rPr>
          <w:rFonts w:ascii="IRNazanin" w:hAnsi="IRNazanin" w:eastAsia="IRNazanin" w:cs="IRNazanin"/>
          <w:lang w:bidi="fa-IR"/>
          <w:color w:val="111111"/>
          <w:sz w:val="28"/>
          <w:szCs w:val="28"/>
          <w:rtl/>
        </w:rPr>
        <w:t xml:space="preserve">[شماره صفحه واقعی : 236]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54" w:name="pg14411_142626"/>
    <w:bookmarkEnd w:id="154"/>
    <w:p>
      <w:pPr>
        <w:pStyle w:val="BookText"/>
      </w:pPr>
      <w:r>
        <w:rPr>
          <w:rFonts w:ascii="IRNazanin" w:hAnsi="IRNazanin" w:eastAsia="IRNazanin" w:cs="IRNazanin"/>
          <w:lang w:bidi="fa-IR"/>
          <w:color w:val="111111"/>
          <w:sz w:val="28"/>
          <w:szCs w:val="28"/>
          <w:rtl/>
        </w:rPr>
        <w:t xml:space="preserve">بالموضع النجس منه،لم یشکّ أحد فی عدم وجوب الاجتناب عن ثوبه،و أمّا لو کان الطرف الآخر أرضا لا یبعد ابتلاء المکلّف به فی السجود و التیمّم و إن لم یحتج إلی ذلک فعلا،ففیه تأمّل.</w:t>
      </w:r>
    </w:p>
    <w:p>
      <w:pPr>
        <w:pStyle w:val="Heading6"/>
      </w:pPr>
      <w:bookmarkStart w:id="1280" w:name="_Toc315"/>
      <w:r>
        <w:t>[المعیار صحّة التکلیف و حسنه غیر مقیّد بصورة الابتلاء]</w:t>
      </w:r>
      <w:bookmarkEnd w:id="1280"/>
    </w:p>
    <w:p>
      <w:pPr>
        <w:pStyle w:val="BookText"/>
      </w:pPr>
      <w:r>
        <w:rPr>
          <w:rFonts w:ascii="IRNazanin" w:hAnsi="IRNazanin" w:eastAsia="IRNazanin" w:cs="IRNazanin"/>
          <w:lang w:bidi="fa-IR"/>
          <w:color w:val="111111"/>
          <w:sz w:val="28"/>
          <w:szCs w:val="28"/>
          <w:rtl/>
        </w:rPr>
        <w:t xml:space="preserve">و المعیار فی ذلک و إن کان صحّة التکلیف بالاجتناب عنه علی تقدیر العلم بنجاسته و حسن ذلک من غیر تقیید التکلیف بصورة الابتلاء </w:t>
      </w:r>
      <w:r>
        <w:rPr>
          <w:rStyle w:val="FootnoteReference"/>
        </w:rPr>
        <w:footnoteReference w:id="767"/>
      </w:r>
      <w:r>
        <w:rPr>
          <w:rFonts w:ascii="IRNazanin" w:hAnsi="IRNazanin" w:eastAsia="IRNazanin" w:cs="IRNazanin"/>
          <w:lang w:bidi="fa-IR"/>
          <w:color w:val="111111"/>
          <w:sz w:val="28"/>
          <w:szCs w:val="28"/>
          <w:rtl/>
        </w:rPr>
        <w:t xml:space="preserve">و اتّفاق صیرورته واقعة له،إلاّ أنّ تشخیص ذلک مشکل جدّا.</w:t>
      </w:r>
    </w:p>
    <w:p>
      <w:pPr>
        <w:pStyle w:val="Heading6"/>
      </w:pPr>
      <w:bookmarkStart w:id="1281" w:name="_Toc316"/>
      <w:r>
        <w:t>[لو شکّ فی حسن التکلیف التنجیزی فالأصل البراءة]</w:t>
      </w:r>
      <w:bookmarkEnd w:id="1281"/>
    </w:p>
    <w:p>
      <w:pPr>
        <w:pStyle w:val="BookText"/>
      </w:pPr>
      <w:r>
        <w:rPr>
          <w:rFonts w:ascii="IRNazanin" w:hAnsi="IRNazanin" w:eastAsia="IRNazanin" w:cs="IRNazanin"/>
          <w:lang w:bidi="fa-IR"/>
          <w:color w:val="111111"/>
          <w:sz w:val="28"/>
          <w:szCs w:val="28"/>
          <w:rtl/>
        </w:rPr>
        <w:t xml:space="preserve">نعم،یمکن أن یقال عند الشکّ فی حسن التکلیف التنجیزیّ عرفا بالاجتناب و عدم حسنه إلاّ معلّقا:الأصل البراءة من التکلیف المنجّز، کما هو المقرّر فی کلّ ما شکّ فیه فی کون التکلیف منجّزا أو معلّقا علی أمر محقّق العدم،أو علم التعلیق علی أمر لکن شکّ فی تحقّقه أو کون المتحقّق من أفراده کما فی المقام.</w:t>
      </w:r>
    </w:p>
    <w:p>
      <w:pPr>
        <w:pStyle w:val="Heading6"/>
      </w:pPr>
      <w:bookmarkStart w:id="1282" w:name="_Toc317"/>
      <w:r>
        <w:t>[الأولی الرجوع إلی الإطلاقات]</w:t>
      </w:r>
      <w:bookmarkEnd w:id="1282"/>
    </w:p>
    <w:p>
      <w:pPr>
        <w:pStyle w:val="BookText"/>
      </w:pPr>
      <w:r>
        <w:rPr>
          <w:rFonts w:ascii="IRNazanin" w:hAnsi="IRNazanin" w:eastAsia="IRNazanin" w:cs="IRNazanin"/>
          <w:lang w:bidi="fa-IR"/>
          <w:color w:val="111111"/>
          <w:sz w:val="28"/>
          <w:szCs w:val="28"/>
          <w:rtl/>
        </w:rPr>
        <w:t xml:space="preserve">إلاّ أنّ هذا لیس بأولی من أن یقال:إنّ الخطابات بالاجتناب عن المحرّمات مطلقة غیر معلّقة،و المعلوم تقییدها بالابتلاء فی موضع العلم بتقبیح العرف توجیهها من غیر تعلّق </w:t>
      </w:r>
      <w:r>
        <w:rPr>
          <w:rStyle w:val="FootnoteReference"/>
        </w:rPr>
        <w:footnoteReference w:id="768"/>
      </w:r>
      <w:r>
        <w:rPr>
          <w:rFonts w:ascii="IRNazanin" w:hAnsi="IRNazanin" w:eastAsia="IRNazanin" w:cs="IRNazanin"/>
          <w:lang w:bidi="fa-IR"/>
          <w:color w:val="111111"/>
          <w:sz w:val="28"/>
          <w:szCs w:val="28"/>
          <w:rtl/>
        </w:rPr>
        <w:t xml:space="preserve">بالابتلاء،کما لو قال:</w:t>
      </w:r>
    </w:p>
    <w:p>
      <w:pPr>
        <w:pStyle w:val="BookText"/>
      </w:pPr>
      <w:r>
        <w:rPr>
          <w:rFonts w:ascii="IRNazanin" w:hAnsi="IRNazanin" w:eastAsia="IRNazanin" w:cs="IRNazanin"/>
          <w:lang w:bidi="fa-IR"/>
          <w:color w:val="111111"/>
          <w:sz w:val="28"/>
          <w:szCs w:val="28"/>
          <w:rtl/>
        </w:rPr>
        <w:t xml:space="preserve">«اجتنب عن ذلک الطعام النجس الموضوع قدّام أمیر البلد»مع عدم جریان العادة بابتلاء المکلّف به،أو:«لا تصرّف فی اللباس المغصوب الذی لبسه ذلک الملک أو الجاریة التی غصبها الملک و جعلها من خواصّ نسوانه»،مع عدم استحالة ابتلاء المکلّف بذلک کلّه عقلا و لا عادة،إلاّ</w:t>
      </w:r>
    </w:p>
    <w:p>
      <w:pPr>
        <w:pStyle w:val="BookText"/>
      </w:pPr>
      <w:r>
        <w:rPr>
          <w:rFonts w:ascii="IRNazanin" w:hAnsi="IRNazanin" w:eastAsia="IRNazanin" w:cs="IRNazanin"/>
          <w:lang w:bidi="fa-IR"/>
          <w:color w:val="111111"/>
          <w:sz w:val="28"/>
          <w:szCs w:val="28"/>
          <w:rtl/>
        </w:rPr>
        <w:t xml:space="preserve">[شماره صفحه واقعی : 237]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أنّه بعید الاتّفاق،و أمّا إذا شکّ فی قبح التنجیز فیرجع إلی الإطلاقات.</w:t>
      </w:r>
    </w:p>
    <w:p>
      <w:pPr>
        <w:pStyle w:val="BookText"/>
      </w:pPr>
      <w:r>
        <w:rPr>
          <w:rFonts w:ascii="IRNazanin" w:hAnsi="IRNazanin" w:eastAsia="IRNazanin" w:cs="IRNazanin"/>
          <w:lang w:bidi="fa-IR"/>
          <w:color w:val="111111"/>
          <w:sz w:val="28"/>
          <w:szCs w:val="28"/>
          <w:rtl/>
        </w:rPr>
        <w:t xml:space="preserve">فمرجع المسألة إلی:أنّ المطلق المقیّد بقید مشکوک التحقّق فی بعض الموارد-لتعذّر ضبط مفهومه علی وجه لا یخفی مصداق من مصادیقه،کما هو شأن أغلب المفاهیم العرفیّة-هل یجوز التمسّک به أو لا؟و الأقوی:الجواز،فیصیر الأصل فی المسألة وجوب الاجتناب،إلاّ ما علم عدم تنجّز التکلیف بأحد المشتبهین علی تقدیر العلم بکونه الحرام.</w:t>
      </w:r>
    </w:p>
    <w:p>
      <w:pPr>
        <w:pStyle w:val="BookText"/>
      </w:pPr>
      <w:r>
        <w:rPr>
          <w:rFonts w:ascii="IRNazanin" w:hAnsi="IRNazanin" w:eastAsia="IRNazanin" w:cs="IRNazanin"/>
          <w:lang w:bidi="fa-IR"/>
          <w:color w:val="111111"/>
          <w:sz w:val="28"/>
          <w:szCs w:val="28"/>
          <w:rtl/>
        </w:rPr>
        <w:t xml:space="preserve">إلاّ أن یقال:إنّ المستفاد من صحیحة علیّ بن جعفر المتقدّمة </w:t>
      </w:r>
      <w:r>
        <w:rPr>
          <w:rStyle w:val="FootnoteReference"/>
        </w:rPr>
        <w:footnoteReference w:id="769"/>
      </w:r>
      <w:r>
        <w:rPr>
          <w:rFonts w:ascii="IRNazanin" w:hAnsi="IRNazanin" w:eastAsia="IRNazanin" w:cs="IRNazanin"/>
          <w:lang w:bidi="fa-IR"/>
          <w:color w:val="111111"/>
          <w:sz w:val="28"/>
          <w:szCs w:val="28"/>
          <w:rtl/>
        </w:rPr>
        <w:t xml:space="preserve">کون الماء و ظاهر الإناء من قبیل عدم تنجّز التکلیف،فیکون ذلک ضابطا فی الابتلاء و عدمه؛إذ یبعد حملها علی خروج ذلک عن قاعدة الشبهة المحصورة لأجل النصّ،فافهم.</w:t>
      </w:r>
    </w:p>
    <w:p>
      <w:pPr>
        <w:pStyle w:val="BookText"/>
      </w:pPr>
      <w:r>
        <w:rPr>
          <w:rFonts w:ascii="IRNazanin" w:hAnsi="IRNazanin" w:eastAsia="IRNazanin" w:cs="IRNazanin"/>
          <w:lang w:bidi="fa-IR"/>
          <w:color w:val="111111"/>
          <w:sz w:val="28"/>
          <w:szCs w:val="28"/>
          <w:rtl/>
        </w:rPr>
        <w:t xml:space="preserve">[شماره صفحه واقعی : 238]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55" w:name="pg14411_142628"/>
    <w:bookmarkEnd w:id="155"/>
    <w:p>
      <w:pPr>
        <w:pStyle w:val="Heading6"/>
      </w:pPr>
      <w:bookmarkStart w:id="1283" w:name="_Toc318"/>
      <w:r>
        <w:t>الأمر الرابع [:الثابت فی المشتبهین وجوب الاجتناب دون سائر الآثار الشرعیّة]</w:t>
      </w:r>
      <w:bookmarkEnd w:id="1283"/>
    </w:p>
    <w:p>
      <w:pPr>
        <w:pStyle w:val="Heading6"/>
      </w:pPr>
      <w:bookmarkStart w:id="1284" w:name="_Toc319"/>
      <w:r>
        <w:t>اشارة</w:t>
      </w:r>
      <w:bookmarkEnd w:id="1284"/>
    </w:p>
    <w:p>
      <w:pPr>
        <w:pStyle w:val="BookText"/>
      </w:pPr>
      <w:r>
        <w:rPr>
          <w:rFonts w:ascii="IRNazanin" w:hAnsi="IRNazanin" w:eastAsia="IRNazanin" w:cs="IRNazanin"/>
          <w:lang w:bidi="fa-IR"/>
          <w:color w:val="111111"/>
          <w:sz w:val="28"/>
          <w:szCs w:val="28"/>
          <w:rtl/>
        </w:rPr>
        <w:t xml:space="preserve">أنّ الثابت فی کلّ من المشتبهین-لأجل العلم الإجمالیّ بوجود الحرام الواقعیّ فیهما-هو وجوب الاجتناب؛لأنّه اللازم من باب المقدّمة من التکلیف بالاجتناب عن الحرام الواقعیّ،أمّا سائر الآثار الشرعیّة المترتّبة علی ذلک الحرام فلا تترتّب علیهما؛لعدم جریان باب المقدّمة فیها،فیرجع فیها إلی الاصول الجاریة فی کلّ من المشتبهین بالخصوص،فارتکاب أحد المشتبهین لا یوجب حدّ الخمر علی المرتکب، بل یجری أصالة عدم موجب الحدّ و وجوبه.</w:t>
      </w:r>
    </w:p>
    <w:p>
      <w:pPr>
        <w:pStyle w:val="Heading6"/>
      </w:pPr>
      <w:bookmarkStart w:id="1285" w:name="_Toc320"/>
      <w:r>
        <w:t>[هل یحکم بتنجّس ملاقی أحد المشتبهین؟]</w:t>
      </w:r>
      <w:bookmarkEnd w:id="1285"/>
    </w:p>
    <w:p>
      <w:pPr>
        <w:pStyle w:val="BookText"/>
      </w:pPr>
      <w:r>
        <w:rPr>
          <w:rFonts w:ascii="IRNazanin" w:hAnsi="IRNazanin" w:eastAsia="IRNazanin" w:cs="IRNazanin"/>
          <w:lang w:bidi="fa-IR"/>
          <w:color w:val="111111"/>
          <w:sz w:val="28"/>
          <w:szCs w:val="28"/>
          <w:rtl/>
        </w:rPr>
        <w:t xml:space="preserve">و هل یحکم بتنجّس ملاقیه؟ وجهان،بل قولان مبنیّان علی أنّ تنجّس الملاقی إنّما جاء من وجوب الاجتناب عن ذلک النجس؛بناء علی أنّ الاجتناب عن النجس یراد به ما یعمّ الاجتناب عن ملاقیه و لو بوسائط؛و لذا استدلّ السیّد أبو المکارم فی الغنیة علی تنجّس الماء القلیل بملاقاة النجاسة،بما دلّ علی وجوب هجر النجاسات فی قوله تعالی: وَ الرُّجْزَ فَاهْجُرْ </w:t>
      </w:r>
      <w:r>
        <w:rPr>
          <w:rStyle w:val="FootnoteReference"/>
        </w:rPr>
        <w:footnoteReference w:id="770"/>
      </w:r>
      <w:r>
        <w:rPr>
          <w:rFonts w:ascii="IRNazanin" w:hAnsi="IRNazanin" w:eastAsia="IRNazanin" w:cs="IRNazanin"/>
          <w:lang w:bidi="fa-IR"/>
          <w:color w:val="111111"/>
          <w:sz w:val="28"/>
          <w:szCs w:val="28"/>
          <w:rtl/>
        </w:rPr>
        <w:t xml:space="preserve">،و یدلّ علیه أیضا ما فی بعض الأخبار،</w:t>
      </w:r>
    </w:p>
    <w:p>
      <w:pPr>
        <w:pStyle w:val="BookText"/>
      </w:pPr>
      <w:r>
        <w:rPr>
          <w:rFonts w:ascii="IRNazanin" w:hAnsi="IRNazanin" w:eastAsia="IRNazanin" w:cs="IRNazanin"/>
          <w:lang w:bidi="fa-IR"/>
          <w:color w:val="111111"/>
          <w:sz w:val="28"/>
          <w:szCs w:val="28"/>
          <w:rtl/>
        </w:rPr>
        <w:t xml:space="preserve">[شماره صفحه واقعی : 239]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56" w:name="pg14411_142629"/>
    <w:bookmarkEnd w:id="156"/>
    <w:p>
      <w:pPr>
        <w:pStyle w:val="BookText"/>
      </w:pPr>
      <w:r>
        <w:rPr>
          <w:rFonts w:ascii="IRNazanin" w:hAnsi="IRNazanin" w:eastAsia="IRNazanin" w:cs="IRNazanin"/>
          <w:lang w:bidi="fa-IR"/>
          <w:color w:val="111111"/>
          <w:sz w:val="28"/>
          <w:szCs w:val="28"/>
          <w:rtl/>
        </w:rPr>
        <w:t xml:space="preserve">من استدلاله علیه السّلام علی حرمة الطعام الذی مات فیه فأرة ب:«أنّ اللّه سبحانه حرّم المیتة» </w:t>
      </w:r>
      <w:r>
        <w:rPr>
          <w:rStyle w:val="FootnoteReference"/>
        </w:rPr>
        <w:footnoteReference w:id="771"/>
      </w:r>
      <w:r>
        <w:rPr>
          <w:rFonts w:ascii="IRNazanin" w:hAnsi="IRNazanin" w:eastAsia="IRNazanin" w:cs="IRNazanin"/>
          <w:lang w:bidi="fa-IR"/>
          <w:color w:val="111111"/>
          <w:sz w:val="28"/>
          <w:szCs w:val="28"/>
          <w:rtl/>
        </w:rPr>
        <w:t xml:space="preserve">،فإذا حکم الشارع بوجوب هجر کلّ واحد من المشتبهین فقد حکم بوجوب هجر کلّ ما لاقاه.و هذا معنی ما استدلّ به العلاّمة قدّس سرّه فی المنتهی علی ذلک </w:t>
      </w:r>
      <w:r>
        <w:rPr>
          <w:rStyle w:val="FootnoteReference"/>
        </w:rPr>
        <w:footnoteReference w:id="772"/>
      </w:r>
      <w:r>
        <w:rPr>
          <w:rFonts w:ascii="IRNazanin" w:hAnsi="IRNazanin" w:eastAsia="IRNazanin" w:cs="IRNazanin"/>
          <w:lang w:bidi="fa-IR"/>
          <w:color w:val="111111"/>
          <w:sz w:val="28"/>
          <w:szCs w:val="28"/>
          <w:rtl/>
        </w:rPr>
        <w:t xml:space="preserve">:بأنّ الشارع أعطاهما حکم النجس؛و إلاّ فلم یقل أحد:إنّ کلاّ من المشتبهین بحکم النجس فی جمیع آثاره.</w:t>
      </w:r>
    </w:p>
    <w:p>
      <w:pPr>
        <w:pStyle w:val="BookText"/>
      </w:pPr>
      <w:r>
        <w:rPr>
          <w:rFonts w:ascii="IRNazanin" w:hAnsi="IRNazanin" w:eastAsia="IRNazanin" w:cs="IRNazanin"/>
          <w:lang w:bidi="fa-IR"/>
          <w:color w:val="111111"/>
          <w:sz w:val="28"/>
          <w:szCs w:val="28"/>
          <w:rtl/>
        </w:rPr>
        <w:t xml:space="preserve">أو أنّ الاجتناب عن النجس لا یراد به إلاّ الاجتناب عن العین، و تنجّس الملاقی للنجس حکم وضعیّ سببیّ یترتّب علی العنوان الواقعیّ من النجاسات نظیر وجوب الحدّ للخمر،فإذا شکّ فی ثبوته للملاقی جری فیه أصل الطهارة و أصل الإباحة.</w:t>
      </w:r>
    </w:p>
    <w:p>
      <w:pPr>
        <w:pStyle w:val="Heading6"/>
      </w:pPr>
      <w:bookmarkStart w:id="1286" w:name="_Toc321"/>
      <w:r>
        <w:t>[الأقوی عدم الحکم بالتنجّس و عدم تمامیّة الأدلّة المذکورة]</w:t>
      </w:r>
      <w:bookmarkEnd w:id="1286"/>
    </w:p>
    <w:p>
      <w:pPr>
        <w:pStyle w:val="BookText"/>
      </w:pPr>
      <w:r>
        <w:rPr>
          <w:rFonts w:ascii="IRNazanin" w:hAnsi="IRNazanin" w:eastAsia="IRNazanin" w:cs="IRNazanin"/>
          <w:lang w:bidi="fa-IR"/>
          <w:color w:val="111111"/>
          <w:sz w:val="28"/>
          <w:szCs w:val="28"/>
          <w:rtl/>
        </w:rPr>
        <w:t xml:space="preserve">و الأقوی:هو الثانی.</w:t>
      </w:r>
    </w:p>
    <w:p>
      <w:pPr>
        <w:pStyle w:val="BookText"/>
      </w:pPr>
      <w:r>
        <w:rPr>
          <w:rFonts w:ascii="IRNazanin" w:hAnsi="IRNazanin" w:eastAsia="IRNazanin" w:cs="IRNazanin"/>
          <w:lang w:bidi="fa-IR"/>
          <w:color w:val="111111"/>
          <w:sz w:val="28"/>
          <w:szCs w:val="28"/>
          <w:rtl/>
        </w:rPr>
        <w:t xml:space="preserve">أمّا أوّلا:فلما ذکر،و حاصله:منع ما فی الغنیة،من دلالة وجوب هجر الرجز </w:t>
      </w:r>
      <w:r>
        <w:rPr>
          <w:rStyle w:val="FootnoteReference"/>
        </w:rPr>
        <w:footnoteReference w:id="773"/>
      </w:r>
      <w:r>
        <w:rPr>
          <w:rFonts w:ascii="IRNazanin" w:hAnsi="IRNazanin" w:eastAsia="IRNazanin" w:cs="IRNazanin"/>
          <w:lang w:bidi="fa-IR"/>
          <w:color w:val="111111"/>
          <w:sz w:val="28"/>
          <w:szCs w:val="28"/>
          <w:rtl/>
        </w:rPr>
        <w:t xml:space="preserve">علی وجوب الاجتناب عن ملاقی الرجز إذا لم یکن علیه أثر من ذلک الرجز،فتجنّبه </w:t>
      </w:r>
      <w:r>
        <w:rPr>
          <w:rStyle w:val="FootnoteReference"/>
        </w:rPr>
        <w:footnoteReference w:id="774"/>
      </w:r>
      <w:r>
        <w:rPr>
          <w:rFonts w:ascii="IRNazanin" w:hAnsi="IRNazanin" w:eastAsia="IRNazanin" w:cs="IRNazanin"/>
          <w:lang w:bidi="fa-IR"/>
          <w:color w:val="111111"/>
          <w:sz w:val="28"/>
          <w:szCs w:val="28"/>
          <w:rtl/>
        </w:rPr>
        <w:t xml:space="preserve">حینئذ لیس إلاّ لمجرّد تعبّد خاصّ،فإذا حکم الشارع بوجوب هجر المشتبه فی الشبهة المحصورة، فلا یدلّ علی وجوب هجر ما یلاقیه.</w:t>
      </w:r>
    </w:p>
    <w:p>
      <w:pPr>
        <w:pStyle w:val="BookText"/>
      </w:pPr>
      <w:r>
        <w:rPr>
          <w:rFonts w:ascii="IRNazanin" w:hAnsi="IRNazanin" w:eastAsia="IRNazanin" w:cs="IRNazanin"/>
          <w:lang w:bidi="fa-IR"/>
          <w:color w:val="111111"/>
          <w:sz w:val="28"/>
          <w:szCs w:val="28"/>
          <w:rtl/>
        </w:rPr>
        <w:t xml:space="preserve">[شماره صفحه واقعی : 240]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57" w:name="pg14411_142630"/>
    <w:bookmarkEnd w:id="157"/>
    <w:p>
      <w:pPr>
        <w:pStyle w:val="BookText"/>
      </w:pPr>
      <w:r>
        <w:rPr>
          <w:rFonts w:ascii="IRNazanin" w:hAnsi="IRNazanin" w:eastAsia="IRNazanin" w:cs="IRNazanin"/>
          <w:lang w:bidi="fa-IR"/>
          <w:color w:val="111111"/>
          <w:sz w:val="28"/>
          <w:szCs w:val="28"/>
          <w:rtl/>
        </w:rPr>
        <w:t xml:space="preserve">نعم،قد یدلّ بواسطة بعض الأمارات الخارجیّة،کما استفید نجاسة البلل المشتبه الخارج قبل الاستبراء من أمر الشارع بالطهارة عقیبه؛من جهة استظهار أنّ الشارع جعل هذا المورد من موارد تقدیم الظاهر علی الأصل،فحکم بکون الخارج بولا،لا أنّه أوجب خصوص الوضوء بخروجه.</w:t>
      </w:r>
    </w:p>
    <w:p>
      <w:pPr>
        <w:pStyle w:val="BookText"/>
      </w:pPr>
      <w:r>
        <w:rPr>
          <w:rFonts w:ascii="IRNazanin" w:hAnsi="IRNazanin" w:eastAsia="IRNazanin" w:cs="IRNazanin"/>
          <w:lang w:bidi="fa-IR"/>
          <w:color w:val="111111"/>
          <w:sz w:val="28"/>
          <w:szCs w:val="28"/>
          <w:rtl/>
        </w:rPr>
        <w:t xml:space="preserve">و به یندفع تعجّب صاحب الحدائق من حکمهم بعدم النجاسة فیما نحن فیه و حکمهم بها فی البلل،مع کون کلّ منهما مشتبها حکم علیه ببعض أحکام النجاسة </w:t>
      </w:r>
      <w:r>
        <w:rPr>
          <w:rStyle w:val="FootnoteReference"/>
        </w:rPr>
        <w:footnoteReference w:id="7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الروایة،فهی روایة عمرو بن شمر،عن جابر الجعفیّ،عن أبی جعفر علیه السّلام:«أنّه أتاه رجل فقال له:وقعت فأرة فی خابیة فیها سمن أو زیت،فما تری فی أکله؟فقال أبو جعفر علیه السّلام:لا تأکله،فقال الرجل:الفأرة أهون علیّ من أن أترک طعامی لأجلها،فقال له أبو جعفر علیه السّلام:إنّک لم تستخفّ بالفأرة و إنّما استخففت بدینک،إنّ اللّه حرّم المیتة من کلّ شیء» </w:t>
      </w:r>
      <w:r>
        <w:rPr>
          <w:rStyle w:val="FootnoteReference"/>
        </w:rPr>
        <w:footnoteReference w:id="776"/>
      </w:r>
      <w:r>
        <w:rPr>
          <w:rFonts w:ascii="Times New Roman" w:hAnsi="Times New Roman" w:eastAsia="Times New Roman" w:cs="Times New Roman"/>
          <w:lang w:val="en-US" w:bidi="en-US"/>
          <w:color w:val="111111"/>
          <w:sz w:val="28"/>
          <w:szCs w:val="28"/>
          <w:rtl/>
        </w:rPr>
        <w:t xml:space="preserve">.</w:t>
      </w:r>
    </w:p>
    <w:p>
      <w:pPr>
        <w:pStyle w:val="Heading6"/>
      </w:pPr>
      <w:bookmarkStart w:id="1287" w:name="_Toc322"/>
      <w:r>
        <w:t>[الاستدلال بروایة عمرو بن شمر علی تنجّس الملاقی]</w:t>
      </w:r>
      <w:bookmarkEnd w:id="1287"/>
    </w:p>
    <w:p>
      <w:pPr>
        <w:pStyle w:val="Heading6"/>
      </w:pPr>
      <w:bookmarkStart w:id="1288" w:name="_Toc323"/>
      <w:r>
        <w:t>اشارة</w:t>
      </w:r>
      <w:bookmarkEnd w:id="1288"/>
    </w:p>
    <w:p>
      <w:pPr>
        <w:pStyle w:val="BookText"/>
      </w:pPr>
      <w:r>
        <w:rPr>
          <w:rFonts w:ascii="IRNazanin" w:hAnsi="IRNazanin" w:eastAsia="IRNazanin" w:cs="IRNazanin"/>
          <w:lang w:bidi="fa-IR"/>
          <w:color w:val="111111"/>
          <w:sz w:val="28"/>
          <w:szCs w:val="28"/>
          <w:rtl/>
        </w:rPr>
        <w:t xml:space="preserve">وجه الدلالة:أنّه علیه السّلام جعل ترک الاجتناب عن الطعام استخفافا بتحریم المیتة،و لو لا استلزامه لتحریم ملاقیه لم یکن أکل الطعام استخفافا بتحریم المیتة؛فوجوب الاجتناب عن شیء یستلزم وجوب الاجتناب عن ملاقیه.</w:t>
      </w:r>
    </w:p>
    <w:p>
      <w:pPr>
        <w:pStyle w:val="Heading6"/>
      </w:pPr>
      <w:bookmarkStart w:id="1289" w:name="_Toc324"/>
      <w:r>
        <w:t>[الجواب عن الروایة]</w:t>
      </w:r>
      <w:bookmarkEnd w:id="1289"/>
    </w:p>
    <w:p>
      <w:pPr>
        <w:pStyle w:val="BookText"/>
      </w:pPr>
      <w:r>
        <w:rPr>
          <w:rFonts w:ascii="IRNazanin" w:hAnsi="IRNazanin" w:eastAsia="IRNazanin" w:cs="IRNazanin"/>
          <w:lang w:bidi="fa-IR"/>
          <w:color w:val="111111"/>
          <w:sz w:val="28"/>
          <w:szCs w:val="28"/>
          <w:rtl/>
        </w:rPr>
        <w:t xml:space="preserve">لکنّ الروایة ضعیفة سندا.مع أنّ الظاهر من الحرمة فیها النجاسة؛</w:t>
      </w:r>
    </w:p>
    <w:p>
      <w:pPr>
        <w:pStyle w:val="BookText"/>
      </w:pPr>
      <w:r>
        <w:rPr>
          <w:rFonts w:ascii="IRNazanin" w:hAnsi="IRNazanin" w:eastAsia="IRNazanin" w:cs="IRNazanin"/>
          <w:lang w:bidi="fa-IR"/>
          <w:color w:val="111111"/>
          <w:sz w:val="28"/>
          <w:szCs w:val="28"/>
          <w:rtl/>
        </w:rPr>
        <w:t xml:space="preserve">[شماره صفحه واقعی : 241]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58" w:name="pg14411_142631"/>
    <w:bookmarkEnd w:id="158"/>
    <w:p>
      <w:pPr>
        <w:pStyle w:val="BookText"/>
      </w:pPr>
      <w:r>
        <w:rPr>
          <w:rFonts w:ascii="IRNazanin" w:hAnsi="IRNazanin" w:eastAsia="IRNazanin" w:cs="IRNazanin"/>
          <w:lang w:bidi="fa-IR"/>
          <w:color w:val="111111"/>
          <w:sz w:val="28"/>
          <w:szCs w:val="28"/>
          <w:rtl/>
        </w:rPr>
        <w:t xml:space="preserve">لأنّ مجرّد التحریم لا یدلّ علی النجاسة فضلا عن تنجّس الملاقی، و ارتکاب التخصیص فی الروایة بإخراج ما عدا النجاسات من المحرّمات، کما تری؛فالملازمة بین نجاسة الشیء و تنجّس ملاقیه،لا حرمة الشیء و حرمة ملاقیه.</w:t>
      </w:r>
    </w:p>
    <w:p>
      <w:pPr>
        <w:pStyle w:val="BookText"/>
      </w:pPr>
      <w:r>
        <w:rPr>
          <w:rFonts w:ascii="IRNazanin" w:hAnsi="IRNazanin" w:eastAsia="IRNazanin" w:cs="IRNazanin"/>
          <w:lang w:bidi="fa-IR"/>
          <w:color w:val="111111"/>
          <w:sz w:val="28"/>
          <w:szCs w:val="28"/>
          <w:rtl/>
        </w:rPr>
        <w:t xml:space="preserve">فإن قلت:وجوب الاجتناب عن ملاقی المشتبه و إن لم یکن من حیث ملاقاته له،إلاّ أنّه یصیر کملاقیه فی العلم الإجمالی بنجاسته أو نجاسة المشتبه الآخر،فلا فرق بین المتلاقیین فی کون کلّ منهما أحد طرفی الشبهة،فهو نظیر ما إذا قسم أحد المشتبهین قسمین و جعل کلّ قسم فی إناء.</w:t>
      </w:r>
    </w:p>
    <w:p>
      <w:pPr>
        <w:pStyle w:val="Heading6"/>
      </w:pPr>
      <w:bookmarkStart w:id="1290" w:name="_Toc325"/>
      <w:r>
        <w:t>[أصالة الطهارة و الحلّ فی الملاقی سلیمة عن المعارض]</w:t>
      </w:r>
      <w:bookmarkEnd w:id="1290"/>
    </w:p>
    <w:p>
      <w:pPr>
        <w:pStyle w:val="BookText"/>
      </w:pPr>
      <w:r>
        <w:rPr>
          <w:rFonts w:ascii="IRNazanin" w:hAnsi="IRNazanin" w:eastAsia="IRNazanin" w:cs="IRNazanin"/>
          <w:lang w:bidi="fa-IR"/>
          <w:color w:val="111111"/>
          <w:sz w:val="28"/>
          <w:szCs w:val="28"/>
          <w:rtl/>
        </w:rPr>
        <w:t xml:space="preserve">قلت:لیس الأمر کذلک؛لأنّ أصالة الطهارة و الحلّ فی الملاقی -بالکسر-سلیم عن معارضة أصالة طهارة المشتبه الآخر،بخلاف أصالة الطهارة و الحلّ فی الملاقی-بالفتح-فإنّها معارضة بها فی المشتبه الآخر.</w:t>
      </w:r>
    </w:p>
    <w:p>
      <w:pPr>
        <w:pStyle w:val="BookText"/>
      </w:pPr>
      <w:r>
        <w:rPr>
          <w:rFonts w:ascii="IRNazanin" w:hAnsi="IRNazanin" w:eastAsia="IRNazanin" w:cs="IRNazanin"/>
          <w:lang w:bidi="fa-IR"/>
          <w:color w:val="111111"/>
          <w:sz w:val="28"/>
          <w:szCs w:val="28"/>
          <w:rtl/>
        </w:rPr>
        <w:t xml:space="preserve">و السرّ فی ذلک:أنّ الشکّ فی الملاقی-بالکسر-ناش عن الشبهة المتقوّمة بالمشتبهین؛فالأصل فیهما </w:t>
      </w:r>
      <w:r>
        <w:rPr>
          <w:rStyle w:val="FootnoteReference"/>
        </w:rPr>
        <w:footnoteReference w:id="777"/>
      </w:r>
      <w:r>
        <w:rPr>
          <w:rFonts w:ascii="IRNazanin" w:hAnsi="IRNazanin" w:eastAsia="IRNazanin" w:cs="IRNazanin"/>
          <w:lang w:bidi="fa-IR"/>
          <w:color w:val="111111"/>
          <w:sz w:val="28"/>
          <w:szCs w:val="28"/>
          <w:rtl/>
        </w:rPr>
        <w:t xml:space="preserve">أصل فی الشکّ السببیّ،و الأصل فیه أصل فی الشکّ المسبّبی </w:t>
      </w:r>
      <w:r>
        <w:rPr>
          <w:rStyle w:val="FootnoteReference"/>
        </w:rPr>
        <w:footnoteReference w:id="778"/>
      </w:r>
      <w:r>
        <w:rPr>
          <w:rFonts w:ascii="Amiri" w:hAnsi="Amiri" w:eastAsia="Amiri" w:cs="Amiri"/>
          <w:lang w:bidi="ar-SA"/>
          <w:color w:val="111111"/>
          <w:sz w:val="28"/>
          <w:szCs w:val="28"/>
          <w:rtl/>
        </w:rPr>
        <w:t xml:space="preserve">،و قد تقرّر فی محلّه </w:t>
      </w:r>
      <w:r>
        <w:rPr>
          <w:rStyle w:val="FootnoteReference"/>
        </w:rPr>
        <w:footnoteReference w:id="779"/>
      </w:r>
      <w:r>
        <w:rPr>
          <w:rFonts w:ascii="Amiri" w:hAnsi="Amiri" w:eastAsia="Amiri" w:cs="Amiri"/>
          <w:lang w:bidi="ar-SA"/>
          <w:color w:val="111111"/>
          <w:sz w:val="28"/>
          <w:szCs w:val="28"/>
          <w:rtl/>
        </w:rPr>
        <w:t xml:space="preserve">:أنّ الأصل فی الشکّ السببیّ حاکم </w:t>
      </w:r>
      <w:r>
        <w:rPr>
          <w:rStyle w:val="FootnoteReference"/>
        </w:rPr>
        <w:footnoteReference w:id="780"/>
      </w:r>
      <w:r>
        <w:rPr>
          <w:rFonts w:ascii="IRNazanin" w:hAnsi="IRNazanin" w:eastAsia="IRNazanin" w:cs="IRNazanin"/>
          <w:lang w:bidi="fa-IR"/>
          <w:color w:val="111111"/>
          <w:sz w:val="28"/>
          <w:szCs w:val="28"/>
          <w:rtl/>
        </w:rPr>
        <w:t xml:space="preserve">علی الأصل فی الشکّ المسبّبی </w:t>
      </w:r>
      <w:r>
        <w:rPr>
          <w:rStyle w:val="FootnoteReference"/>
        </w:rPr>
        <w:footnoteReference w:id="781"/>
      </w:r>
      <w:r>
        <w:rPr>
          <w:rFonts w:ascii="IRNazanin" w:hAnsi="IRNazanin" w:eastAsia="IRNazanin" w:cs="IRNazanin"/>
          <w:lang w:bidi="fa-IR"/>
          <w:color w:val="111111"/>
          <w:sz w:val="28"/>
          <w:szCs w:val="28"/>
          <w:rtl/>
        </w:rPr>
        <w:t xml:space="preserve">-سواء کان مخالفا له،</w:t>
      </w:r>
    </w:p>
    <w:p>
      <w:pPr>
        <w:pStyle w:val="BookText"/>
      </w:pPr>
      <w:r>
        <w:rPr>
          <w:rFonts w:ascii="IRNazanin" w:hAnsi="IRNazanin" w:eastAsia="IRNazanin" w:cs="IRNazanin"/>
          <w:lang w:bidi="fa-IR"/>
          <w:color w:val="111111"/>
          <w:sz w:val="28"/>
          <w:szCs w:val="28"/>
          <w:rtl/>
        </w:rPr>
        <w:t xml:space="preserve">[شماره صفحه واقعی : 242]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59" w:name="pg14411_142632"/>
    <w:bookmarkEnd w:id="159"/>
    <w:p>
      <w:pPr>
        <w:pStyle w:val="BookText"/>
      </w:pPr>
      <w:r>
        <w:rPr>
          <w:rFonts w:ascii="IRNazanin" w:hAnsi="IRNazanin" w:eastAsia="IRNazanin" w:cs="IRNazanin"/>
          <w:lang w:bidi="fa-IR"/>
          <w:color w:val="111111"/>
          <w:sz w:val="28"/>
          <w:szCs w:val="28"/>
          <w:rtl/>
        </w:rPr>
        <w:t xml:space="preserve">کما فی أصالة طهارة الماء الحاکمة علی أصالة نجاسة الثوب النجس المغسول به،أم موافقا له کما فی أصالة طهارة الماء الحاکمة علی أصالة إباحة الشرب-،فما دام الأصل الحاکم الموافق أو المخالف یکون جاریا لم یجر الأصل المحکوم؛لأنّ الأوّل رافع شرعیّ للشکّ المسبّب بمنزلة الدلیل بالنسبة إلیه،و إذا لم یجر الأصل الحاکم لمعارضته بمثله زال المانع من جریان الأصل فی الشکّ المسبّب و وجب الرجوع إلیه؛لأنّه کالأصل بالنسبة إلی المتعارضین.</w:t>
      </w:r>
    </w:p>
    <w:p>
      <w:pPr>
        <w:pStyle w:val="BookText"/>
      </w:pPr>
      <w:r>
        <w:rPr>
          <w:rFonts w:ascii="IRNazanin" w:hAnsi="IRNazanin" w:eastAsia="IRNazanin" w:cs="IRNazanin"/>
          <w:lang w:bidi="fa-IR"/>
          <w:color w:val="111111"/>
          <w:sz w:val="28"/>
          <w:szCs w:val="28"/>
          <w:rtl/>
        </w:rPr>
        <w:t xml:space="preserve">أ لا تری:أنّه یجب الرجوع عند تعارض أصالة الطهارة و النجاسة -عند تتمیم الماء النجس کرّا بطاهر،و عند غسل المحلّ النجس بماءین مشتبهین بالنجس-إلی قاعدة الطهارة،و لا تجعل القاعدة کأحد المتعارضین؟</w:t>
      </w:r>
    </w:p>
    <w:p>
      <w:pPr>
        <w:pStyle w:val="BookText"/>
      </w:pPr>
      <w:r>
        <w:rPr>
          <w:rFonts w:ascii="IRNazanin" w:hAnsi="IRNazanin" w:eastAsia="IRNazanin" w:cs="IRNazanin"/>
          <w:lang w:bidi="fa-IR"/>
          <w:color w:val="111111"/>
          <w:sz w:val="28"/>
          <w:szCs w:val="28"/>
          <w:rtl/>
        </w:rPr>
        <w:t xml:space="preserve">نعم،ربما تجعل معاضدا لأحدهما الموافق لها </w:t>
      </w:r>
      <w:r>
        <w:rPr>
          <w:rStyle w:val="FootnoteReference"/>
        </w:rPr>
        <w:footnoteReference w:id="782"/>
      </w:r>
      <w:r>
        <w:rPr>
          <w:rFonts w:ascii="IRNazanin" w:hAnsi="IRNazanin" w:eastAsia="IRNazanin" w:cs="IRNazanin"/>
          <w:lang w:bidi="fa-IR"/>
          <w:color w:val="111111"/>
          <w:sz w:val="28"/>
          <w:szCs w:val="28"/>
          <w:rtl/>
        </w:rPr>
        <w:t xml:space="preserve">بزعم کونهما فی مرتبة واحدة.</w:t>
      </w:r>
    </w:p>
    <w:p>
      <w:pPr>
        <w:pStyle w:val="BookText"/>
      </w:pPr>
      <w:r>
        <w:rPr>
          <w:rFonts w:ascii="IRNazanin" w:hAnsi="IRNazanin" w:eastAsia="IRNazanin" w:cs="IRNazanin"/>
          <w:lang w:bidi="fa-IR"/>
          <w:color w:val="111111"/>
          <w:sz w:val="28"/>
          <w:szCs w:val="28"/>
          <w:rtl/>
        </w:rPr>
        <w:t xml:space="preserve">لکنّه توهّم فاسد؛و لذا لم یقل أحد فی مسألة الشبهة المحصورة بتقدیم أصالة الطهارة فی المشتبه الملاقی-بالفتح-لاعتضادها بأصالة طهارة الملاقی،بالکسر.</w:t>
      </w:r>
    </w:p>
    <w:p>
      <w:pPr>
        <w:pStyle w:val="Heading6"/>
      </w:pPr>
      <w:bookmarkStart w:id="1291" w:name="_Toc326"/>
      <w:r>
        <w:t>[التحقیق فی تعارض الأصلین الرجوع إلی ما وراءهما من الاصول]</w:t>
      </w:r>
      <w:bookmarkEnd w:id="1291"/>
    </w:p>
    <w:p>
      <w:pPr>
        <w:pStyle w:val="BookText"/>
      </w:pPr>
      <w:r>
        <w:rPr>
          <w:rFonts w:ascii="IRNazanin" w:hAnsi="IRNazanin" w:eastAsia="IRNazanin" w:cs="IRNazanin"/>
          <w:lang w:bidi="fa-IR"/>
          <w:color w:val="111111"/>
          <w:sz w:val="28"/>
          <w:szCs w:val="28"/>
          <w:rtl/>
        </w:rPr>
        <w:t xml:space="preserve">فالتحقیق فی تعارض الأصلین مع اتّحاد مرتبتهما لاتّحاد الشبهة الموجبة لهما:الرجوع إلی ما وراءهما من الاصول التی لو کان أحدهما سلیما عن المعارض لم یرجع إلیه،سواء کان هذا الأصل مجانسا لهما أو من غیر جنسهما کقاعدة الطهارة فی المثالین،فافهم و اغتنم.</w:t>
      </w:r>
    </w:p>
    <w:p>
      <w:pPr>
        <w:pStyle w:val="BookText"/>
      </w:pPr>
      <w:r>
        <w:rPr>
          <w:rFonts w:ascii="IRNazanin" w:hAnsi="IRNazanin" w:eastAsia="IRNazanin" w:cs="IRNazanin"/>
          <w:lang w:bidi="fa-IR"/>
          <w:color w:val="111111"/>
          <w:sz w:val="28"/>
          <w:szCs w:val="28"/>
          <w:rtl/>
        </w:rPr>
        <w:t xml:space="preserve">[شماره صفحه واقعی : 243]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تمام الکلام فی تعارض الاستصحابین إن شاء اللّه تعالی </w:t>
      </w:r>
      <w:r>
        <w:rPr>
          <w:rStyle w:val="FootnoteReference"/>
        </w:rPr>
        <w:footnoteReference w:id="7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نعم،لو حصل للأصل فی هذا الملاقی-بالکسر-أصل آخر فی مرتبته کما لو وجد معه ملاقی المشتبه الآخر،کانا من الشبهة المحصورة.</w:t>
      </w:r>
    </w:p>
    <w:p>
      <w:pPr>
        <w:pStyle w:val="BookText"/>
      </w:pPr>
      <w:r>
        <w:rPr>
          <w:rFonts w:ascii="IRNazanin" w:hAnsi="IRNazanin" w:eastAsia="IRNazanin" w:cs="IRNazanin"/>
          <w:lang w:bidi="fa-IR"/>
          <w:color w:val="111111"/>
          <w:sz w:val="28"/>
          <w:szCs w:val="28"/>
          <w:rtl/>
        </w:rPr>
        <w:t xml:space="preserve">و لو کان ملاقاة شیء لأحد المشتبهین قبل العلم الإجمالی و فقد الملاقی-بالفتح-ثمّ حصل العلم الإجمالی بنجاسة المشتبه الباقی أو المفقود،قام ملاقیه مقامه فی وجوب الاجتناب عنه و عن الباقی؛لأنّ أصالة الطهارة فی الملاقی-بالکسر-معارضة بأصالة الطهارة فی المشتبه الآخر؛لعدم جریان الأصل فی المفقود حتّی یعارضه؛لما أشرنا إلیه فی الأمر الثالث </w:t>
      </w:r>
      <w:r>
        <w:rPr>
          <w:rStyle w:val="FootnoteReference"/>
        </w:rPr>
        <w:footnoteReference w:id="784"/>
      </w:r>
      <w:r>
        <w:rPr>
          <w:rFonts w:ascii="IRNazanin" w:hAnsi="IRNazanin" w:eastAsia="IRNazanin" w:cs="IRNazanin"/>
          <w:lang w:bidi="fa-IR"/>
          <w:color w:val="111111"/>
          <w:sz w:val="28"/>
          <w:szCs w:val="28"/>
          <w:rtl/>
        </w:rPr>
        <w:t xml:space="preserve">:من عدم جریان الأصل فی ما لا یبتلی به المکلّف و لا أثر له بالنسبة إلیه.</w:t>
      </w:r>
    </w:p>
    <w:p>
      <w:pPr>
        <w:pStyle w:val="BookText"/>
      </w:pPr>
      <w:r>
        <w:rPr>
          <w:rFonts w:ascii="IRNazanin" w:hAnsi="IRNazanin" w:eastAsia="IRNazanin" w:cs="IRNazanin"/>
          <w:lang w:bidi="fa-IR"/>
          <w:color w:val="111111"/>
          <w:sz w:val="28"/>
          <w:szCs w:val="28"/>
          <w:rtl/>
        </w:rPr>
        <w:t xml:space="preserve">فمحصّل ما ذکرنا:أنّ العبرة فی حکم الملاقی بکون أصالة طهارته سلیمة أو معارضة.</w:t>
      </w:r>
    </w:p>
    <w:p>
      <w:pPr>
        <w:pStyle w:val="BookText"/>
      </w:pPr>
      <w:r>
        <w:rPr>
          <w:rFonts w:ascii="IRNazanin" w:hAnsi="IRNazanin" w:eastAsia="IRNazanin" w:cs="IRNazanin"/>
          <w:lang w:bidi="fa-IR"/>
          <w:color w:val="111111"/>
          <w:sz w:val="28"/>
          <w:szCs w:val="28"/>
          <w:rtl/>
        </w:rPr>
        <w:t xml:space="preserve">و لو کان العلم الإجمالی قبل فقد الملاقی و الملاقاة ففقد،فالظاهر طهارة الملاقی و وجوب الاجتناب عن صاحب الملاقی،و لا یخفی وجهه، فتأمّل جیّدا.</w:t>
      </w:r>
    </w:p>
    <w:p>
      <w:pPr>
        <w:pStyle w:val="BookText"/>
      </w:pPr>
      <w:r>
        <w:rPr>
          <w:rFonts w:ascii="IRNazanin" w:hAnsi="IRNazanin" w:eastAsia="IRNazanin" w:cs="IRNazanin"/>
          <w:lang w:bidi="fa-IR"/>
          <w:color w:val="111111"/>
          <w:sz w:val="28"/>
          <w:szCs w:val="28"/>
          <w:rtl/>
        </w:rPr>
        <w:t xml:space="preserve">[شماره صفحه واقعی : 244]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60" w:name="pg14411_142634"/>
    <w:bookmarkEnd w:id="160"/>
    <w:p>
      <w:pPr>
        <w:pStyle w:val="Heading6"/>
      </w:pPr>
      <w:bookmarkStart w:id="1292" w:name="_Toc327"/>
      <w:r>
        <w:t>الأمر الخامس [:الاضطرار إلی بعض المحتملات]</w:t>
      </w:r>
      <w:bookmarkEnd w:id="1292"/>
    </w:p>
    <w:p>
      <w:pPr>
        <w:pStyle w:val="Heading6"/>
      </w:pPr>
      <w:bookmarkStart w:id="1293" w:name="_Toc328"/>
      <w:r>
        <w:t>اشارة</w:t>
      </w:r>
      <w:bookmarkEnd w:id="1293"/>
    </w:p>
    <w:p>
      <w:pPr>
        <w:pStyle w:val="BookText"/>
      </w:pPr>
      <w:r>
        <w:rPr>
          <w:rFonts w:ascii="IRNazanin" w:hAnsi="IRNazanin" w:eastAsia="IRNazanin" w:cs="IRNazanin"/>
          <w:lang w:bidi="fa-IR"/>
          <w:color w:val="111111"/>
          <w:sz w:val="28"/>
          <w:szCs w:val="28"/>
          <w:rtl/>
        </w:rPr>
        <w:t xml:space="preserve">لو اضطرّ إلی ارتکاب بعض المحتملات:</w:t>
      </w:r>
    </w:p>
    <w:p>
      <w:pPr>
        <w:pStyle w:val="Heading6"/>
      </w:pPr>
      <w:bookmarkStart w:id="1294" w:name="_Toc329"/>
      <w:r>
        <w:t>[لو کان المضطرّ إلیه بعضا معیّنا]</w:t>
      </w:r>
      <w:bookmarkEnd w:id="1294"/>
    </w:p>
    <w:p>
      <w:pPr>
        <w:pStyle w:val="BookText"/>
      </w:pPr>
      <w:r>
        <w:rPr>
          <w:rFonts w:ascii="IRNazanin" w:hAnsi="IRNazanin" w:eastAsia="IRNazanin" w:cs="IRNazanin"/>
          <w:lang w:bidi="fa-IR"/>
          <w:color w:val="111111"/>
          <w:sz w:val="28"/>
          <w:szCs w:val="28"/>
          <w:rtl/>
        </w:rPr>
        <w:t xml:space="preserve">فإن کان بعضا معیّنا، فالظاهر عدم وجوب الاجتناب عن الباقی إن کان الاضطرار قبل العلم أو معه؛لرجوعه إلی عدم تنجّز التکلیف بالاجتناب عن الحرام الواقعیّ؛لاحتمال کون المحرّم هو المضطرّ إلیه،و قد عرفت توضیحه فی الأمر المتقدّم </w:t>
      </w:r>
      <w:r>
        <w:rPr>
          <w:rStyle w:val="FootnoteReference"/>
        </w:rPr>
        <w:footnoteReference w:id="7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إن کان بعده فالظاهر وجوب الاجتناب عن الآخر؛لأنّ الإذن فی ترک بعض المقدّمات العلمیّة بعد ملاحظة وجوب الاجتناب عن الحرام الواقعیّ،یرجع إلی اکتفاء الشارع فی امتثال ذلک التکلیف بالاجتناب عن بعض المشتبهات.</w:t>
      </w:r>
    </w:p>
    <w:p>
      <w:pPr>
        <w:pStyle w:val="Heading6"/>
      </w:pPr>
      <w:bookmarkStart w:id="1295" w:name="_Toc330"/>
      <w:r>
        <w:t>[لو کان المضطرّ إلیه بعضا غیر معیّن]</w:t>
      </w:r>
      <w:bookmarkEnd w:id="1295"/>
    </w:p>
    <w:p>
      <w:pPr>
        <w:pStyle w:val="BookText"/>
      </w:pPr>
      <w:r>
        <w:rPr>
          <w:rFonts w:ascii="IRNazanin" w:hAnsi="IRNazanin" w:eastAsia="IRNazanin" w:cs="IRNazanin"/>
          <w:lang w:bidi="fa-IR"/>
          <w:color w:val="111111"/>
          <w:sz w:val="28"/>
          <w:szCs w:val="28"/>
          <w:rtl/>
        </w:rPr>
        <w:t xml:space="preserve">و لو کان المضطرّ إلیه بعضا غیر معیّن،وجب الاجتناب عن الباقی و إن کان الاضطرار قبل العلم الإجمالیّ؛لأنّ العلم حاصل بحرمة واحد من امور لو علم حرمته تفصیلا وجب الاجتناب عنه،و ترخیص بعضها علی البدل موجب لاکتفاء الأمر بالاجتناب عن الباقی.</w:t>
      </w:r>
    </w:p>
    <w:p>
      <w:pPr>
        <w:pStyle w:val="BookText"/>
      </w:pPr>
      <w:r>
        <w:rPr>
          <w:rFonts w:ascii="IRNazanin" w:hAnsi="IRNazanin" w:eastAsia="IRNazanin" w:cs="IRNazanin"/>
          <w:lang w:bidi="fa-IR"/>
          <w:color w:val="111111"/>
          <w:sz w:val="28"/>
          <w:szCs w:val="28"/>
          <w:rtl/>
        </w:rPr>
        <w:t xml:space="preserve">[شماره صفحه واقعی : 245]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قلت:ترخیص ترک بعض المقدّمات دلیل علی عدم إرادة الحرام الواقعیّ و لا تکلیف بما عداه،فلا مقتضی لوجوب الاجتناب عن الباقی.</w:t>
      </w:r>
    </w:p>
    <w:p>
      <w:pPr>
        <w:pStyle w:val="BookText"/>
      </w:pPr>
      <w:r>
        <w:rPr>
          <w:rFonts w:ascii="IRNazanin" w:hAnsi="IRNazanin" w:eastAsia="IRNazanin" w:cs="IRNazanin"/>
          <w:lang w:bidi="fa-IR"/>
          <w:color w:val="111111"/>
          <w:sz w:val="28"/>
          <w:szCs w:val="28"/>
          <w:rtl/>
        </w:rPr>
        <w:t xml:space="preserve">قلت:المقدّمة العلمیّة مقدّمة للعلم،و اللازم من الترخیص فیها عدم وجوب تحصیل العلم،لا عدم وجوب الاجتناب عن الحرام الواقعیّ رأسا،و حیث إنّ الحاکم بوجوب تحصیل العلم هو العقل -بملاحظة تعلّق الطلب الموجب للعقاب علی المخالفة الحاصلة من ترک هذا المحتمل-،کان الترخیص المذکور موجبا للأمن من العقاب علی المخالفة الحاصلة من </w:t>
      </w:r>
      <w:r>
        <w:rPr>
          <w:rStyle w:val="FootnoteReference"/>
        </w:rPr>
        <w:footnoteReference w:id="786"/>
      </w:r>
      <w:r>
        <w:rPr>
          <w:rFonts w:ascii="IRNazanin" w:hAnsi="IRNazanin" w:eastAsia="IRNazanin" w:cs="IRNazanin"/>
          <w:lang w:bidi="fa-IR"/>
          <w:color w:val="111111"/>
          <w:sz w:val="28"/>
          <w:szCs w:val="28"/>
          <w:rtl/>
        </w:rPr>
        <w:t xml:space="preserve">ترک هذا الذی رخّص فی ترکه،فیثبت من ذلک تکلیف متوسّط بین نفی التکلیف رأسا و ثبوته متعلّقا بالواقع علی ما هو علیه.</w:t>
      </w:r>
    </w:p>
    <w:p>
      <w:pPr>
        <w:pStyle w:val="BookText"/>
      </w:pPr>
      <w:r>
        <w:rPr>
          <w:rFonts w:ascii="IRNazanin" w:hAnsi="IRNazanin" w:eastAsia="IRNazanin" w:cs="IRNazanin"/>
          <w:lang w:bidi="fa-IR"/>
          <w:color w:val="111111"/>
          <w:sz w:val="28"/>
          <w:szCs w:val="28"/>
          <w:rtl/>
        </w:rPr>
        <w:t xml:space="preserve">و حاصله:ثبوت التکلیف بالواقع من الطریق الذی رخّص الشارع فی امتثاله منه،و هو ترک باقی المحتملات.و هذا نظیر جمیع الطرق الشرعیّة المجعولة للتکالیف الواقعیّة،و مرجعه إلی القناعة عن الواقع ببعض محتملاته معیّنا کما فی الأخذ بالحالة السابقة فی الاستصحاب، أو مخیّرا کما فی موارد التخییر.</w:t>
      </w:r>
    </w:p>
    <w:p>
      <w:pPr>
        <w:pStyle w:val="BookText"/>
      </w:pPr>
      <w:r>
        <w:rPr>
          <w:rFonts w:ascii="IRNazanin" w:hAnsi="IRNazanin" w:eastAsia="IRNazanin" w:cs="IRNazanin"/>
          <w:lang w:bidi="fa-IR"/>
          <w:color w:val="111111"/>
          <w:sz w:val="28"/>
          <w:szCs w:val="28"/>
          <w:rtl/>
        </w:rPr>
        <w:t xml:space="preserve">و ممّا ذکرنا تبیّن:أنّ مقتضی القاعدة عند انسداد باب العلم التفصیلی بالأحکام الشرعیّة و عدم وجوب تحصیل العلم الإجمالی </w:t>
      </w:r>
      <w:r>
        <w:rPr>
          <w:rStyle w:val="FootnoteReference"/>
        </w:rPr>
        <w:footnoteReference w:id="787"/>
      </w:r>
      <w:r>
        <w:rPr>
          <w:rFonts w:ascii="IRNazanin" w:hAnsi="IRNazanin" w:eastAsia="IRNazanin" w:cs="IRNazanin"/>
          <w:lang w:bidi="fa-IR"/>
          <w:color w:val="111111"/>
          <w:sz w:val="28"/>
          <w:szCs w:val="28"/>
          <w:rtl/>
        </w:rPr>
        <w:t xml:space="preserve">فیها</w:t>
      </w:r>
    </w:p>
    <w:p>
      <w:pPr>
        <w:pStyle w:val="BookText"/>
      </w:pPr>
      <w:r>
        <w:rPr>
          <w:rFonts w:ascii="IRNazanin" w:hAnsi="IRNazanin" w:eastAsia="IRNazanin" w:cs="IRNazanin"/>
          <w:lang w:bidi="fa-IR"/>
          <w:color w:val="111111"/>
          <w:sz w:val="28"/>
          <w:szCs w:val="28"/>
          <w:rtl/>
        </w:rPr>
        <w:t xml:space="preserve">[شماره صفحه واقعی : 246]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بالاحتیاط-لمکان الحرج أو قیام الإجماع علی عدم وجوبه-:أن یرجع فی ما عدا البعض المرخّص فی ترک الاحتیاط فیه أعنی موارد الظنّ مطلقا أو فی الجملة إلی الاحتیاط،مع أنّ بناء أهل الاستدلال بدلیل الانسداد بعد إبطال الاحتیاط و وجوب العمل بالظنّ مطلقا أو فی الجملة-علی الخلاف بینهم-علی الرجوع فی غیر موارد الظنّ المعتبر إلی الاصول الموجودة فی تلک الموارد دون الاحتیاط.</w:t>
      </w:r>
    </w:p>
    <w:p>
      <w:pPr>
        <w:pStyle w:val="BookText"/>
      </w:pPr>
      <w:r>
        <w:rPr>
          <w:rFonts w:ascii="IRNazanin" w:hAnsi="IRNazanin" w:eastAsia="IRNazanin" w:cs="IRNazanin"/>
          <w:lang w:bidi="fa-IR"/>
          <w:color w:val="111111"/>
          <w:sz w:val="28"/>
          <w:szCs w:val="28"/>
          <w:rtl/>
        </w:rPr>
        <w:t xml:space="preserve">نعم،لو قام بعد بطلان </w:t>
      </w:r>
      <w:r>
        <w:rPr>
          <w:rStyle w:val="FootnoteReference"/>
        </w:rPr>
        <w:footnoteReference w:id="788"/>
      </w:r>
      <w:r>
        <w:rPr>
          <w:rFonts w:ascii="IRNazanin" w:hAnsi="IRNazanin" w:eastAsia="IRNazanin" w:cs="IRNazanin"/>
          <w:lang w:bidi="fa-IR"/>
          <w:color w:val="111111"/>
          <w:sz w:val="28"/>
          <w:szCs w:val="28"/>
          <w:rtl/>
        </w:rPr>
        <w:t xml:space="preserve">وجوب الاحتیاط دلیل عقلیّ أو إجماع علی وجوب </w:t>
      </w:r>
      <w:r>
        <w:rPr>
          <w:rStyle w:val="FootnoteReference"/>
        </w:rPr>
        <w:footnoteReference w:id="789"/>
      </w:r>
      <w:r>
        <w:rPr>
          <w:rFonts w:ascii="IRNazanin" w:hAnsi="IRNazanin" w:eastAsia="IRNazanin" w:cs="IRNazanin"/>
          <w:lang w:bidi="fa-IR"/>
          <w:color w:val="111111"/>
          <w:sz w:val="28"/>
          <w:szCs w:val="28"/>
          <w:rtl/>
        </w:rPr>
        <w:t xml:space="preserve">کون الظنّ-مطلقا أو فی الجملة-حجّة و طریقا فی الأحکام الشرعیّة،أو منعوا أصالة وجوب الاحتیاط عند الشکّ فی المکلّف به،صحّ ما جروا علیه من الرجوع فی موارد عدم وجود هذا الطریق إلی الاصول الجاریة فی مواردها.</w:t>
      </w:r>
    </w:p>
    <w:p>
      <w:pPr>
        <w:pStyle w:val="BookText"/>
      </w:pPr>
      <w:r>
        <w:rPr>
          <w:rFonts w:ascii="IRNazanin" w:hAnsi="IRNazanin" w:eastAsia="IRNazanin" w:cs="IRNazanin"/>
          <w:lang w:bidi="fa-IR"/>
          <w:color w:val="111111"/>
          <w:sz w:val="28"/>
          <w:szCs w:val="28"/>
          <w:rtl/>
        </w:rPr>
        <w:t xml:space="preserve">لکنّک خبیر:بأنّه لم یقم و لم یقیموا علی وجوب اتّباع المظنونات إلاّ بطلان الاحتیاط،مع اعتراف أکثرهم بأنّه الأصل فی المسألة و عدم جواز ترجیح المرجوح،و من المعلوم أنّ هذا لا یفید إلاّ جواز مخالفة الاحتیاط بموافقة الطرف الراجح فی المظنون دون الموهوم،و مقتضی هذا لزوم الاحتیاط فی غیر المظنونات.</w:t>
      </w:r>
    </w:p>
    <w:p>
      <w:pPr>
        <w:pStyle w:val="BookText"/>
      </w:pPr>
      <w:r>
        <w:rPr>
          <w:rFonts w:ascii="IRNazanin" w:hAnsi="IRNazanin" w:eastAsia="IRNazanin" w:cs="IRNazanin"/>
          <w:lang w:bidi="fa-IR"/>
          <w:color w:val="111111"/>
          <w:sz w:val="28"/>
          <w:szCs w:val="28"/>
          <w:rtl/>
        </w:rPr>
        <w:t xml:space="preserve">[شماره صفحه واقعی : 247]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61" w:name="pg14411_142637"/>
    <w:bookmarkEnd w:id="161"/>
    <w:p>
      <w:pPr>
        <w:pStyle w:val="Heading6"/>
      </w:pPr>
      <w:bookmarkStart w:id="1296" w:name="_Toc331"/>
      <w:r>
        <w:t>الأمر السادس [:لو کانت المشتبهات ممّا توجد تدریجا]</w:t>
      </w:r>
      <w:bookmarkEnd w:id="1296"/>
    </w:p>
    <w:p>
      <w:pPr>
        <w:pStyle w:val="Heading6"/>
      </w:pPr>
      <w:bookmarkStart w:id="1297" w:name="_Toc332"/>
      <w:r>
        <w:t>اشارة</w:t>
      </w:r>
      <w:bookmarkEnd w:id="1297"/>
    </w:p>
    <w:p>
      <w:pPr>
        <w:pStyle w:val="BookText"/>
      </w:pPr>
      <w:r>
        <w:rPr>
          <w:rFonts w:ascii="IRNazanin" w:hAnsi="IRNazanin" w:eastAsia="IRNazanin" w:cs="IRNazanin"/>
          <w:lang w:bidi="fa-IR"/>
          <w:color w:val="111111"/>
          <w:sz w:val="28"/>
          <w:szCs w:val="28"/>
          <w:rtl/>
        </w:rPr>
        <w:t xml:space="preserve">لو کان المشتبهات ممّا یوجد تدریجا،کما إذا کانت زوجة الرجل مضطربة فی حیضها بأن تنسی وقتها و إن حفظت عددها،فیعلم </w:t>
      </w:r>
      <w:r>
        <w:rPr>
          <w:rStyle w:val="FootnoteReference"/>
        </w:rPr>
        <w:footnoteReference w:id="790"/>
      </w:r>
      <w:r>
        <w:rPr>
          <w:rFonts w:ascii="IRNazanin" w:hAnsi="IRNazanin" w:eastAsia="IRNazanin" w:cs="IRNazanin"/>
          <w:lang w:bidi="fa-IR"/>
          <w:color w:val="111111"/>
          <w:sz w:val="28"/>
          <w:szCs w:val="28"/>
          <w:rtl/>
        </w:rPr>
        <w:t xml:space="preserve">إجمالا أنّها حائض فی الشهر ثلاثة أیام مثلا،فهل یجب علی الزوج الاجتناب عنها فی تمام الشهر،و یجب علی الزوجة أیضا الإمساک عن دخول المسجد و قراءة العزیمة تمام الشهر أم لا؟و کما إذا علم التاجر إجمالا بابتلائه فی یومه أو شهره بمعاملة ربویّة،فهل یجب علیه الامساک عمّا لا یعرف حکمه من المعاملات فی یومه أو شهره أم لا؟</w:t>
      </w:r>
    </w:p>
    <w:p>
      <w:pPr>
        <w:pStyle w:val="BookText"/>
      </w:pPr>
      <w:r>
        <w:rPr>
          <w:rFonts w:ascii="IRNazanin" w:hAnsi="IRNazanin" w:eastAsia="IRNazanin" w:cs="IRNazanin"/>
          <w:lang w:bidi="fa-IR"/>
          <w:color w:val="111111"/>
          <w:sz w:val="28"/>
          <w:szCs w:val="28"/>
          <w:rtl/>
        </w:rPr>
        <w:t xml:space="preserve">التحقیق أن یقال:إنّه لا فرق بین الموجودات فعلا و الموجودات تدریجا فی وجوب الاجتناب عن الحرام المردّد بینها إذا کان الابتلاء دفعة،و عدمه؛لاتّحاد المناط فی وجوب الاجتناب.</w:t>
      </w:r>
    </w:p>
    <w:p>
      <w:pPr>
        <w:pStyle w:val="Heading6"/>
      </w:pPr>
      <w:bookmarkStart w:id="1298" w:name="_Toc333"/>
      <w:r>
        <w:t>[عدم الابتلاء دفعة فی التدریجیّات]</w:t>
      </w:r>
      <w:bookmarkEnd w:id="1298"/>
    </w:p>
    <w:p>
      <w:pPr>
        <w:pStyle w:val="BookText"/>
      </w:pPr>
      <w:r>
        <w:rPr>
          <w:rFonts w:ascii="Amiri" w:hAnsi="Amiri" w:eastAsia="Amiri" w:cs="Amiri"/>
          <w:lang w:bidi="ar-SA"/>
          <w:color w:val="111111"/>
          <w:sz w:val="28"/>
          <w:szCs w:val="28"/>
          <w:rtl/>
        </w:rPr>
        <w:t xml:space="preserve">نعم،قد یمنع الابتلاء دفعة فی التدریجیّات،کما فی مثال الحیض؛ فإنّ تنجّز تکلیف الزوج بترک وطء الحائض قبل زمان حیضها ممنوع؛ فإنّ قول الشارع: فَاعْتَزِلُوا النِّسٰاءَ فِی الْمَحِیضِ وَ لاٰ تَقْرَبُوهُنَّ حَتّٰی</w:t>
      </w:r>
    </w:p>
    <w:p>
      <w:pPr>
        <w:pStyle w:val="BookText"/>
      </w:pPr>
      <w:r>
        <w:rPr>
          <w:rFonts w:ascii="IRNazanin" w:hAnsi="IRNazanin" w:eastAsia="IRNazanin" w:cs="IRNazanin"/>
          <w:lang w:bidi="fa-IR"/>
          <w:color w:val="111111"/>
          <w:sz w:val="28"/>
          <w:szCs w:val="28"/>
          <w:rtl/>
        </w:rPr>
        <w:t xml:space="preserve">[شماره صفحه واقعی : 248]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62" w:name="pg14411_142638"/>
    <w:bookmarkEnd w:id="162"/>
    <w:p>
      <w:pPr>
        <w:pStyle w:val="BookText"/>
      </w:pPr>
      <w:r>
        <w:rPr>
          <w:rFonts w:ascii="Amiri" w:hAnsi="Amiri" w:eastAsia="Amiri" w:cs="Amiri"/>
          <w:lang w:bidi="ar-SA"/>
          <w:color w:val="111111"/>
          <w:sz w:val="28"/>
          <w:szCs w:val="28"/>
          <w:rtl/>
        </w:rPr>
        <w:t xml:space="preserve">یَطْهُرْنَ</w:t>
      </w:r>
    </w:p>
    <w:p>
      <w:pPr>
        <w:pStyle w:val="BookText"/>
      </w:pPr>
      <w:r>
        <w:rPr>
          <w:rStyle w:val="FootnoteReference"/>
        </w:rPr>
        <w:footnoteReference w:id="791"/>
      </w:r>
      <w:r>
        <w:rPr>
          <w:rFonts w:ascii="IRNazanin" w:hAnsi="IRNazanin" w:eastAsia="IRNazanin" w:cs="IRNazanin"/>
          <w:lang w:bidi="fa-IR"/>
          <w:color w:val="111111"/>
          <w:sz w:val="28"/>
          <w:szCs w:val="28"/>
          <w:rtl/>
        </w:rPr>
        <w:t xml:space="preserve">
،ظاهر فی وجوب الکفّ عند الابتلاء بالحائض؛إذ الترک قبل الابتلاء حاصل بنفس عدم الابتلاء،فلا یطلب،فهذا الخطاب کما </w:t>
      </w:r>
      <w:r>
        <w:rPr>
          <w:rStyle w:val="FootnoteReference"/>
        </w:rPr>
        <w:footnoteReference w:id="792"/>
      </w:r>
      <w:r>
        <w:rPr>
          <w:rFonts w:ascii="IRNazanin" w:hAnsi="IRNazanin" w:eastAsia="IRNazanin" w:cs="IRNazanin"/>
          <w:lang w:bidi="fa-IR"/>
          <w:color w:val="111111"/>
          <w:sz w:val="28"/>
          <w:szCs w:val="28"/>
          <w:rtl/>
        </w:rPr>
        <w:t xml:space="preserve">أنّه مختصّ بذوی الأزواج و لا یشمل العزّاب إلاّ علی وجه التعلیق، فکذلک من لم یبتل بالمرأة الحائض.</w:t>
      </w:r>
    </w:p>
    <w:p>
      <w:pPr>
        <w:pStyle w:val="BookText"/>
      </w:pPr>
      <w:r>
        <w:rPr>
          <w:rFonts w:ascii="IRNazanin" w:hAnsi="IRNazanin" w:eastAsia="IRNazanin" w:cs="IRNazanin"/>
          <w:lang w:bidi="fa-IR"/>
          <w:color w:val="111111"/>
          <w:sz w:val="28"/>
          <w:szCs w:val="28"/>
          <w:rtl/>
        </w:rPr>
        <w:t xml:space="preserve">و یشکل الفرق بین هذا و بین ما إذا نذر أو حلف علی ترک الوطء فی لیلة خاصّة،ثمّ اشتبهت بین لیلتین أو أزید.</w:t>
      </w:r>
    </w:p>
    <w:p>
      <w:pPr>
        <w:pStyle w:val="BookText"/>
      </w:pPr>
      <w:r>
        <w:rPr>
          <w:rFonts w:ascii="IRNazanin" w:hAnsi="IRNazanin" w:eastAsia="IRNazanin" w:cs="IRNazanin"/>
          <w:lang w:bidi="fa-IR"/>
          <w:color w:val="111111"/>
          <w:sz w:val="28"/>
          <w:szCs w:val="28"/>
          <w:rtl/>
        </w:rPr>
        <w:t xml:space="preserve">و لکنّ الأظهر هنا وجوب الاحتیاط،و کذا فی المثال الثانی من المثالین المتقدّمین.</w:t>
      </w:r>
    </w:p>
    <w:p>
      <w:pPr>
        <w:pStyle w:val="Heading6"/>
      </w:pPr>
      <w:bookmarkStart w:id="1299" w:name="_Toc334"/>
      <w:r>
        <w:t>[بناء علی عدم وجوب الاحتیاط فی الشبهة التدریجیّة فالظاهر جواز المخالفة القطعیّة]</w:t>
      </w:r>
      <w:bookmarkEnd w:id="1299"/>
    </w:p>
    <w:p>
      <w:pPr>
        <w:pStyle w:val="BookText"/>
      </w:pPr>
      <w:r>
        <w:rPr>
          <w:rFonts w:ascii="IRNazanin" w:hAnsi="IRNazanin" w:eastAsia="IRNazanin" w:cs="IRNazanin"/>
          <w:lang w:bidi="fa-IR"/>
          <w:color w:val="111111"/>
          <w:sz w:val="28"/>
          <w:szCs w:val="28"/>
          <w:rtl/>
        </w:rPr>
        <w:t xml:space="preserve">و حیث قلنا بعدم وجوب الاحتیاط فی الشبهة التدریجیّة،فالظاهر جواز المخالفة القطعیّة؛لأنّ المفروض عدم تنجّز التکلیف الواقعیّ بالنسبة إلیه،فالواجب الرجوع فی کلّ مشتبه إلی الأصل الجاری فی خصوص ذلک المشتبه إباحة و تحریما.</w:t>
      </w:r>
    </w:p>
    <w:p>
      <w:pPr>
        <w:pStyle w:val="BookText"/>
      </w:pPr>
      <w:r>
        <w:rPr>
          <w:rFonts w:ascii="IRNazanin" w:hAnsi="IRNazanin" w:eastAsia="IRNazanin" w:cs="IRNazanin"/>
          <w:lang w:bidi="fa-IR"/>
          <w:color w:val="111111"/>
          <w:sz w:val="28"/>
          <w:szCs w:val="28"/>
          <w:rtl/>
        </w:rPr>
        <w:t xml:space="preserve">فیرجع فی المثال الأوّل إلی استصحاب الطهر إلی أن یبقی مقدار الحیض،فیرجع فیه إلی أصالة الإباحة؛لعدم جریان استصحاب الطهر.</w:t>
      </w:r>
    </w:p>
    <w:p>
      <w:pPr>
        <w:pStyle w:val="BookText"/>
      </w:pPr>
      <w:r>
        <w:rPr>
          <w:rFonts w:ascii="IRNazanin" w:hAnsi="IRNazanin" w:eastAsia="IRNazanin" w:cs="IRNazanin"/>
          <w:lang w:bidi="fa-IR"/>
          <w:color w:val="111111"/>
          <w:sz w:val="28"/>
          <w:szCs w:val="28"/>
          <w:rtl/>
        </w:rPr>
        <w:t xml:space="preserve">و فی المثال الثانی إلی أصالة الإباحة و الفساد،فیحکم فی کلّ معاملة بشکّ فی کونها ربویّة بعدم استحقاق العقاب علی إیقاع عقدها و عدم ترتّب الأثر علیها؛لأنّ فساد الربا لیس دائرا مدار الحکم التکلیفیّ؛ و لذا یفسد فی حقّ القاصر بالجهل و النسیان و </w:t>
      </w:r>
      <w:r>
        <w:rPr>
          <w:rStyle w:val="FootnoteReference"/>
        </w:rPr>
        <w:footnoteReference w:id="793"/>
      </w:r>
      <w:r>
        <w:rPr>
          <w:rFonts w:ascii="IRNazanin" w:hAnsi="IRNazanin" w:eastAsia="IRNazanin" w:cs="IRNazanin"/>
          <w:lang w:bidi="fa-IR"/>
          <w:color w:val="111111"/>
          <w:sz w:val="28"/>
          <w:szCs w:val="28"/>
          <w:rtl/>
        </w:rPr>
        <w:t xml:space="preserve">الصغر علی وجه.</w:t>
      </w:r>
    </w:p>
    <w:p>
      <w:pPr>
        <w:pStyle w:val="BookText"/>
      </w:pPr>
      <w:r>
        <w:rPr>
          <w:rFonts w:ascii="IRNazanin" w:hAnsi="IRNazanin" w:eastAsia="IRNazanin" w:cs="IRNazanin"/>
          <w:lang w:bidi="fa-IR"/>
          <w:color w:val="111111"/>
          <w:sz w:val="28"/>
          <w:szCs w:val="28"/>
          <w:rtl/>
        </w:rPr>
        <w:t xml:space="preserve">[شماره صفحه واقعی : 249]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لیس هنا مورد التمسّک بعموم صحّة العقود </w:t>
      </w:r>
      <w:r>
        <w:rPr>
          <w:rStyle w:val="FootnoteReference"/>
        </w:rPr>
        <w:footnoteReference w:id="794"/>
      </w:r>
      <w:r>
        <w:rPr>
          <w:rFonts w:ascii="IRNazanin" w:hAnsi="IRNazanin" w:eastAsia="IRNazanin" w:cs="IRNazanin"/>
          <w:lang w:bidi="fa-IR"/>
          <w:color w:val="111111"/>
          <w:sz w:val="28"/>
          <w:szCs w:val="28"/>
          <w:rtl/>
        </w:rPr>
        <w:t xml:space="preserve">للعلم بخروج بعض المشتبهات التدریجیّة عن العموم؛لفرض العلم بفساد بعضها،فیسقط العامّ عن الظهور بالنسبة إلیها،و یجب الرجوع إلی أصالة الفساد.</w:t>
      </w:r>
    </w:p>
    <w:p>
      <w:pPr>
        <w:pStyle w:val="BookText"/>
      </w:pPr>
      <w:r>
        <w:rPr>
          <w:rFonts w:ascii="IRNazanin" w:hAnsi="IRNazanin" w:eastAsia="IRNazanin" w:cs="IRNazanin"/>
          <w:lang w:bidi="fa-IR"/>
          <w:color w:val="111111"/>
          <w:sz w:val="28"/>
          <w:szCs w:val="28"/>
          <w:rtl/>
        </w:rPr>
        <w:t xml:space="preserve">اللهمّ إلاّ أن یقال:إنّ العلم الإجمالیّ بین المشتبهات التدریجیّة کما لا یقدح فی إجراء الاصول العملیّة فیها،کذلک لا یقدح فی إجراء </w:t>
      </w:r>
      <w:r>
        <w:rPr>
          <w:rStyle w:val="FootnoteReference"/>
        </w:rPr>
        <w:footnoteReference w:id="795"/>
      </w:r>
      <w:r>
        <w:rPr>
          <w:rFonts w:ascii="IRNazanin" w:hAnsi="IRNazanin" w:eastAsia="IRNazanin" w:cs="IRNazanin"/>
          <w:lang w:bidi="fa-IR"/>
          <w:color w:val="111111"/>
          <w:sz w:val="28"/>
          <w:szCs w:val="28"/>
          <w:rtl/>
        </w:rPr>
        <w:t xml:space="preserve">الاصول اللفظیّة،فیمکن التمسّک فیما نحن فیه لصحّة </w:t>
      </w:r>
      <w:r>
        <w:rPr>
          <w:rStyle w:val="FootnoteReference"/>
        </w:rPr>
        <w:footnoteReference w:id="796"/>
      </w:r>
      <w:r>
        <w:rPr>
          <w:rFonts w:ascii="IRNazanin" w:hAnsi="IRNazanin" w:eastAsia="IRNazanin" w:cs="IRNazanin"/>
          <w:lang w:bidi="fa-IR"/>
          <w:color w:val="111111"/>
          <w:sz w:val="28"/>
          <w:szCs w:val="28"/>
          <w:rtl/>
        </w:rPr>
        <w:t xml:space="preserve">کلّ واحد من المشتبهات بأصالة العموم،لکنّ الظاهر الفرق بین الاصول اللفظیّة و العملیّة،فتأمّل.</w:t>
      </w:r>
    </w:p>
    <w:p>
      <w:pPr>
        <w:pStyle w:val="BookText"/>
      </w:pPr>
      <w:r>
        <w:rPr>
          <w:rFonts w:ascii="IRNazanin" w:hAnsi="IRNazanin" w:eastAsia="IRNazanin" w:cs="IRNazanin"/>
          <w:lang w:bidi="fa-IR"/>
          <w:color w:val="111111"/>
          <w:sz w:val="28"/>
          <w:szCs w:val="28"/>
          <w:rtl/>
        </w:rPr>
        <w:t xml:space="preserve">[شماره صفحه واقعی : 250]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63" w:name="pg14411_142640"/>
    <w:bookmarkEnd w:id="163"/>
    <w:p>
      <w:pPr>
        <w:pStyle w:val="Heading6"/>
      </w:pPr>
      <w:bookmarkStart w:id="1300" w:name="_Toc335"/>
      <w:r>
        <w:t>الأمر السابع [:العلم الإجمالی فی الشبهة المحصورة قد ینشأ عن اشتباه المکلّف به و قد یکون من جهة اشتباه المکلّف]</w:t>
      </w:r>
      <w:bookmarkEnd w:id="1300"/>
    </w:p>
    <w:p>
      <w:pPr>
        <w:pStyle w:val="Heading6"/>
      </w:pPr>
      <w:bookmarkStart w:id="1301" w:name="_Toc336"/>
      <w:r>
        <w:t>اشارة</w:t>
      </w:r>
      <w:bookmarkEnd w:id="1301"/>
    </w:p>
    <w:p>
      <w:pPr>
        <w:pStyle w:val="BookText"/>
      </w:pPr>
      <w:r>
        <w:rPr>
          <w:rFonts w:ascii="IRNazanin" w:hAnsi="IRNazanin" w:eastAsia="IRNazanin" w:cs="IRNazanin"/>
          <w:lang w:bidi="fa-IR"/>
          <w:color w:val="111111"/>
          <w:sz w:val="28"/>
          <w:szCs w:val="28"/>
          <w:rtl/>
        </w:rPr>
        <w:t xml:space="preserve">قد عرفت </w:t>
      </w:r>
      <w:r>
        <w:rPr>
          <w:rStyle w:val="FootnoteReference"/>
        </w:rPr>
        <w:footnoteReference w:id="797"/>
      </w:r>
      <w:r>
        <w:rPr>
          <w:rFonts w:ascii="IRNazanin" w:hAnsi="IRNazanin" w:eastAsia="IRNazanin" w:cs="IRNazanin"/>
          <w:lang w:bidi="fa-IR"/>
          <w:color w:val="111111"/>
          <w:sz w:val="28"/>
          <w:szCs w:val="28"/>
          <w:rtl/>
        </w:rPr>
        <w:t xml:space="preserve">:أنّ المانع من إجراء الأصل فی کلّ من المشتبهین بالشبهة المحصورة هو العلم الإجمالیّ </w:t>
      </w:r>
      <w:r>
        <w:rPr>
          <w:rStyle w:val="FootnoteReference"/>
        </w:rPr>
        <w:footnoteReference w:id="798"/>
      </w:r>
      <w:r>
        <w:rPr>
          <w:rFonts w:ascii="Amiri" w:hAnsi="Amiri" w:eastAsia="Amiri" w:cs="Amiri"/>
          <w:lang w:bidi="ar-SA"/>
          <w:color w:val="111111"/>
          <w:sz w:val="28"/>
          <w:szCs w:val="28"/>
          <w:rtl/>
        </w:rPr>
        <w:t xml:space="preserve">المتعلّق بالمکلّف به </w:t>
      </w:r>
      <w:r>
        <w:rPr>
          <w:rStyle w:val="FootnoteReference"/>
        </w:rPr>
        <w:footnoteReference w:id="799"/>
      </w:r>
      <w:r>
        <w:rPr>
          <w:rFonts w:ascii="IRNazanin" w:hAnsi="IRNazanin" w:eastAsia="IRNazanin" w:cs="IRNazanin"/>
          <w:lang w:bidi="fa-IR"/>
          <w:color w:val="111111"/>
          <w:sz w:val="28"/>
          <w:szCs w:val="28"/>
          <w:rtl/>
        </w:rPr>
        <w:t xml:space="preserve">،و هذا العلم قد ینشأ عن اشتباه المکلّف به،کما فی المشتبه بالخمر أو النجس أو غیرهما،و قد یکون من جهة اشتباه المکلّف،کما فی الخنثی العالم إجمالا بحرمة إحدی لباسی الرجل و المرأة علیه،و هذا من قبیل ما إذا علم أنّ هذا الإناء خمر أو أنّ هذا الثوب مغصوب.</w:t>
      </w:r>
    </w:p>
    <w:p>
      <w:pPr>
        <w:pStyle w:val="BookText"/>
      </w:pPr>
      <w:r>
        <w:rPr>
          <w:rFonts w:ascii="IRNazanin" w:hAnsi="IRNazanin" w:eastAsia="IRNazanin" w:cs="IRNazanin"/>
          <w:lang w:bidi="fa-IR"/>
          <w:color w:val="111111"/>
          <w:sz w:val="28"/>
          <w:szCs w:val="28"/>
          <w:rtl/>
        </w:rPr>
        <w:t xml:space="preserve">و قد عرفت فی الأمر الأوّل </w:t>
      </w:r>
      <w:r>
        <w:rPr>
          <w:rStyle w:val="FootnoteReference"/>
        </w:rPr>
        <w:footnoteReference w:id="800"/>
      </w:r>
      <w:r>
        <w:rPr>
          <w:rFonts w:ascii="IRNazanin" w:hAnsi="IRNazanin" w:eastAsia="IRNazanin" w:cs="IRNazanin"/>
          <w:lang w:bidi="fa-IR"/>
          <w:color w:val="111111"/>
          <w:sz w:val="28"/>
          <w:szCs w:val="28"/>
          <w:rtl/>
        </w:rPr>
        <w:t xml:space="preserve">:أنّه لا فرق بین الخطاب الواحد المعلوم وجود موضوعه بین المشتبهین و بین الخطابین المعلوم وجود موضوع أحدهما بین المشتبهین.</w:t>
      </w:r>
    </w:p>
    <w:p>
      <w:pPr>
        <w:pStyle w:val="Heading6"/>
      </w:pPr>
      <w:bookmarkStart w:id="1302" w:name="_Toc337"/>
      <w:r>
        <w:t>[حکم الخنثی]</w:t>
      </w:r>
      <w:bookmarkEnd w:id="1302"/>
    </w:p>
    <w:p>
      <w:pPr>
        <w:pStyle w:val="BookText"/>
      </w:pPr>
      <w:r>
        <w:rPr>
          <w:rFonts w:ascii="IRNazanin" w:hAnsi="IRNazanin" w:eastAsia="IRNazanin" w:cs="IRNazanin"/>
          <w:lang w:bidi="fa-IR"/>
          <w:color w:val="111111"/>
          <w:sz w:val="28"/>
          <w:szCs w:val="28"/>
          <w:rtl/>
        </w:rPr>
        <w:t xml:space="preserve">و علی هذا فیحرم علی الخنثی کشف کلّ من قبلیه؛لأنّ أحدهما</w:t>
      </w:r>
    </w:p>
    <w:p>
      <w:pPr>
        <w:pStyle w:val="BookText"/>
      </w:pPr>
      <w:r>
        <w:rPr>
          <w:rFonts w:ascii="IRNazanin" w:hAnsi="IRNazanin" w:eastAsia="IRNazanin" w:cs="IRNazanin"/>
          <w:lang w:bidi="fa-IR"/>
          <w:color w:val="111111"/>
          <w:sz w:val="28"/>
          <w:szCs w:val="28"/>
          <w:rtl/>
        </w:rPr>
        <w:t xml:space="preserve">[شماره صفحه واقعی : 251]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64" w:name="pg14411_142641"/>
    <w:bookmarkEnd w:id="164"/>
    <w:p>
      <w:pPr>
        <w:pStyle w:val="BookText"/>
      </w:pPr>
      <w:r>
        <w:rPr>
          <w:rFonts w:ascii="IRNazanin" w:hAnsi="IRNazanin" w:eastAsia="IRNazanin" w:cs="IRNazanin"/>
          <w:lang w:bidi="fa-IR"/>
          <w:color w:val="111111"/>
          <w:sz w:val="28"/>
          <w:szCs w:val="28"/>
          <w:rtl/>
        </w:rPr>
        <w:t xml:space="preserve">عورة قطعا،و التکلّم مع الرجال و النساء إلاّ لضرورة،و کذا استماع صوتهما و إن جاز للرجال و النساء استماع صوتها بل النظر إلیها؛لأصالة الحلّ،بناء علی عدم العموم فی آیة«الغضّ»للرجال </w:t>
      </w:r>
      <w:r>
        <w:rPr>
          <w:rStyle w:val="FootnoteReference"/>
        </w:rPr>
        <w:footnoteReference w:id="801"/>
      </w:r>
      <w:r>
        <w:rPr>
          <w:rFonts w:ascii="IRNazanin" w:hAnsi="IRNazanin" w:eastAsia="IRNazanin" w:cs="IRNazanin"/>
          <w:lang w:bidi="fa-IR"/>
          <w:color w:val="111111"/>
          <w:sz w:val="28"/>
          <w:szCs w:val="28"/>
          <w:rtl/>
        </w:rPr>
        <w:t xml:space="preserve">و عدم جواز التمسّک بعموم آیة«حرمة إبداء الزینة علی النساء» </w:t>
      </w:r>
      <w:r>
        <w:rPr>
          <w:rStyle w:val="FootnoteReference"/>
        </w:rPr>
        <w:footnoteReference w:id="802"/>
      </w:r>
      <w:r>
        <w:rPr>
          <w:rFonts w:ascii="IRNazanin" w:hAnsi="IRNazanin" w:eastAsia="IRNazanin" w:cs="IRNazanin"/>
          <w:lang w:bidi="fa-IR"/>
          <w:color w:val="111111"/>
          <w:sz w:val="28"/>
          <w:szCs w:val="28"/>
          <w:rtl/>
        </w:rPr>
        <w:t xml:space="preserve">لاشتباه مصداق المخصّص.</w:t>
      </w:r>
    </w:p>
    <w:p>
      <w:pPr>
        <w:pStyle w:val="BookText"/>
      </w:pPr>
      <w:r>
        <w:rPr>
          <w:rFonts w:ascii="IRNazanin" w:hAnsi="IRNazanin" w:eastAsia="IRNazanin" w:cs="IRNazanin"/>
          <w:lang w:bidi="fa-IR"/>
          <w:color w:val="111111"/>
          <w:sz w:val="28"/>
          <w:szCs w:val="28"/>
          <w:rtl/>
        </w:rPr>
        <w:t xml:space="preserve">و کذا یحرم علیه التزویج و التزوّج؛لوجوب إحراز الرجولیّة فی الزوج و الانوثیّة فی الزوجة؛و إلاّ فالأصل </w:t>
      </w:r>
      <w:r>
        <w:rPr>
          <w:rStyle w:val="FootnoteReference"/>
        </w:rPr>
        <w:footnoteReference w:id="803"/>
      </w:r>
      <w:r>
        <w:rPr>
          <w:rFonts w:ascii="IRNazanin" w:hAnsi="IRNazanin" w:eastAsia="IRNazanin" w:cs="IRNazanin"/>
          <w:lang w:bidi="fa-IR"/>
          <w:color w:val="111111"/>
          <w:sz w:val="28"/>
          <w:szCs w:val="28"/>
          <w:rtl/>
        </w:rPr>
        <w:t xml:space="preserve">عدم تأثیر العقد و وجوب حفظ الفرج.</w:t>
      </w:r>
    </w:p>
    <w:p>
      <w:pPr>
        <w:pStyle w:val="Heading6"/>
      </w:pPr>
      <w:bookmarkStart w:id="1303" w:name="_Toc338"/>
      <w:r>
        <w:t>[القول بعدم توجّه الخطابات التکلیفیّة المختصّة إلیها]</w:t>
      </w:r>
      <w:bookmarkEnd w:id="1303"/>
    </w:p>
    <w:p>
      <w:pPr>
        <w:pStyle w:val="Heading6"/>
      </w:pPr>
      <w:bookmarkStart w:id="1304" w:name="_Toc339"/>
      <w:r>
        <w:t>اشارة</w:t>
      </w:r>
      <w:bookmarkEnd w:id="1304"/>
    </w:p>
    <w:p>
      <w:pPr>
        <w:pStyle w:val="BookText"/>
      </w:pPr>
      <w:r>
        <w:rPr>
          <w:rFonts w:ascii="IRNazanin" w:hAnsi="IRNazanin" w:eastAsia="IRNazanin" w:cs="IRNazanin"/>
          <w:lang w:bidi="fa-IR"/>
          <w:color w:val="111111"/>
          <w:sz w:val="28"/>
          <w:szCs w:val="28"/>
          <w:rtl/>
        </w:rPr>
        <w:t xml:space="preserve">و یمکن أن یقال:بعدم توجّه الخطابات التکلیفیّة المختصّة إلیها؛إمّا لانصرافها إلی غیرها،خصوصا فی حکم اللباس المستنبط ممّا دلّ علی حرمة تشبّه کلّ من الرجل و المرأة بالآخر،و إمّا لاشتراط التکلیف بعلم المکلّف بتوجّه الخطاب إلیه تفصیلا و إن کان مردّدا بین خطابین موجهین </w:t>
      </w:r>
      <w:r>
        <w:rPr>
          <w:rStyle w:val="FootnoteReference"/>
        </w:rPr>
        <w:footnoteReference w:id="804"/>
      </w:r>
      <w:r>
        <w:rPr>
          <w:rFonts w:ascii="IRNazanin" w:hAnsi="IRNazanin" w:eastAsia="IRNazanin" w:cs="IRNazanin"/>
          <w:lang w:bidi="fa-IR"/>
          <w:color w:val="111111"/>
          <w:sz w:val="28"/>
          <w:szCs w:val="28"/>
          <w:rtl/>
        </w:rPr>
        <w:t xml:space="preserve">إلیه تفصیلا؛لأنّ الخطابین بشخص واحد بمنزلة خطاب واحد لشیئین </w:t>
      </w:r>
      <w:r>
        <w:rPr>
          <w:rStyle w:val="FootnoteReference"/>
        </w:rPr>
        <w:footnoteReference w:id="805"/>
      </w:r>
      <w:r>
        <w:rPr>
          <w:rFonts w:ascii="IRNazanin" w:hAnsi="IRNazanin" w:eastAsia="IRNazanin" w:cs="IRNazanin"/>
          <w:lang w:bidi="fa-IR"/>
          <w:color w:val="111111"/>
          <w:sz w:val="28"/>
          <w:szCs w:val="28"/>
          <w:rtl/>
        </w:rPr>
        <w:t xml:space="preserve">إذ لا فرق بین قوله:«اجتنب عن الخمر»و«اجتنب عن مال الغیر»،و بین قوله:«اجتنب عن کلیهما»،بخلاف الخطابین الموجّهین</w:t>
      </w:r>
    </w:p>
    <w:p>
      <w:pPr>
        <w:pStyle w:val="BookText"/>
      </w:pPr>
      <w:r>
        <w:rPr>
          <w:rFonts w:ascii="IRNazanin" w:hAnsi="IRNazanin" w:eastAsia="IRNazanin" w:cs="IRNazanin"/>
          <w:lang w:bidi="fa-IR"/>
          <w:color w:val="111111"/>
          <w:sz w:val="28"/>
          <w:szCs w:val="28"/>
          <w:rtl/>
        </w:rPr>
        <w:t xml:space="preserve">[شماره صفحه واقعی : 252]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65" w:name="pg14411_142642"/>
    <w:bookmarkEnd w:id="165"/>
    <w:p>
      <w:pPr>
        <w:pStyle w:val="BookText"/>
      </w:pPr>
      <w:r>
        <w:rPr>
          <w:rFonts w:ascii="IRNazanin" w:hAnsi="IRNazanin" w:eastAsia="IRNazanin" w:cs="IRNazanin"/>
          <w:lang w:bidi="fa-IR"/>
          <w:color w:val="111111"/>
          <w:sz w:val="28"/>
          <w:szCs w:val="28"/>
          <w:rtl/>
        </w:rPr>
        <w:t xml:space="preserve">إلی صنفین یعلم المکلّف دخوله تحت أحدهما.</w:t>
      </w:r>
    </w:p>
    <w:p>
      <w:pPr>
        <w:pStyle w:val="Heading6"/>
      </w:pPr>
      <w:bookmarkStart w:id="1305" w:name="_Toc340"/>
      <w:r>
        <w:t>[المناقشة فی القول المذکور]</w:t>
      </w:r>
      <w:bookmarkEnd w:id="1305"/>
    </w:p>
    <w:p>
      <w:pPr>
        <w:pStyle w:val="BookText"/>
      </w:pPr>
      <w:r>
        <w:rPr>
          <w:rFonts w:ascii="IRNazanin" w:hAnsi="IRNazanin" w:eastAsia="IRNazanin" w:cs="IRNazanin"/>
          <w:lang w:bidi="fa-IR"/>
          <w:color w:val="111111"/>
          <w:sz w:val="28"/>
          <w:szCs w:val="28"/>
          <w:rtl/>
        </w:rPr>
        <w:t xml:space="preserve">لکن کلّ من الدعویین خصوصا الأخیرة ضعیفة؛فإنّ دعوی عدم شمول ما دلّ علی وجوب حفظ الفرج عن الزنا أو العورة عن النظر للخنثی،کما تری.</w:t>
      </w:r>
    </w:p>
    <w:p>
      <w:pPr>
        <w:pStyle w:val="BookText"/>
      </w:pPr>
      <w:r>
        <w:rPr>
          <w:rFonts w:ascii="IRNazanin" w:hAnsi="IRNazanin" w:eastAsia="IRNazanin" w:cs="IRNazanin"/>
          <w:lang w:bidi="fa-IR"/>
          <w:color w:val="111111"/>
          <w:sz w:val="28"/>
          <w:szCs w:val="28"/>
          <w:rtl/>
        </w:rPr>
        <w:t xml:space="preserve">و کذا دعوی اشتراط التکلیف بالعلم بتوجّه خطاب تفصیلیّ؛فإنّ المناط فی وجوب الاحتیاط فی الشبهة المحصورة عدم جواز إجراء أصل الإباحة فی المشتبهین،و هو ثابت فی ما نحن فیه؛ضرورة عدم </w:t>
      </w:r>
      <w:r>
        <w:rPr>
          <w:rStyle w:val="FootnoteReference"/>
        </w:rPr>
        <w:footnoteReference w:id="806"/>
      </w:r>
      <w:r>
        <w:rPr>
          <w:rFonts w:ascii="IRNazanin" w:hAnsi="IRNazanin" w:eastAsia="IRNazanin" w:cs="IRNazanin"/>
          <w:lang w:bidi="fa-IR"/>
          <w:color w:val="111111"/>
          <w:sz w:val="28"/>
          <w:szCs w:val="28"/>
          <w:rtl/>
        </w:rPr>
        <w:t xml:space="preserve">جریان أصالة الحلّ فی کشف کلّ من قبلی الخنثی؛للعلم بوجوب حفظ الفرج من النظر و الزنا علی کلّ أحد،فمسألة الخنثی نظیر المکلّف المردّد بین کونه مسافرا أو حاضرا لبعض الاشتباهات،فلا یجوز له ترک العمل بخطابهما </w:t>
      </w:r>
      <w:r>
        <w:rPr>
          <w:rStyle w:val="FootnoteReference"/>
        </w:rPr>
        <w:footnoteReference w:id="8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253]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66" w:name="pg14411_142643"/>
    <w:bookmarkEnd w:id="166"/>
    <w:p>
      <w:pPr>
        <w:pStyle w:val="Heading6"/>
      </w:pPr>
      <w:bookmarkStart w:id="1306" w:name="_Toc341"/>
      <w:r>
        <w:t>الأمر الثامن [:التسویة بین کون الأصل فی کلّ واحد من المشتبهین هو الحلّ أو الحرمة]</w:t>
      </w:r>
      <w:bookmarkEnd w:id="1306"/>
    </w:p>
    <w:p>
      <w:pPr>
        <w:pStyle w:val="BookText"/>
      </w:pPr>
      <w:r>
        <w:rPr>
          <w:rFonts w:ascii="IRNazanin" w:hAnsi="IRNazanin" w:eastAsia="IRNazanin" w:cs="IRNazanin"/>
          <w:lang w:bidi="fa-IR"/>
          <w:color w:val="111111"/>
          <w:sz w:val="28"/>
          <w:szCs w:val="28"/>
          <w:rtl/>
        </w:rPr>
        <w:t xml:space="preserve">أنّ ظاهر کلام الأصحاب التسویة بین کون الأصل فی کلّ واحد من المشتبهین فی نفسه هو الحلّ أو الحرمة؛لأنّ المفروض عدم جریان الأصل فیهما-لأجل معارضته بالمثل-،فوجوده کعدمه.</w:t>
      </w:r>
    </w:p>
    <w:p>
      <w:pPr>
        <w:pStyle w:val="BookText"/>
      </w:pPr>
      <w:r>
        <w:rPr>
          <w:rFonts w:ascii="IRNazanin" w:hAnsi="IRNazanin" w:eastAsia="IRNazanin" w:cs="IRNazanin"/>
          <w:lang w:bidi="fa-IR"/>
          <w:color w:val="111111"/>
          <w:sz w:val="28"/>
          <w:szCs w:val="28"/>
          <w:rtl/>
        </w:rPr>
        <w:t xml:space="preserve">و یمکن الفرق من المجوّزین لارتکاب ما عدا مقدار الحرام، و تخصیص الجواز بالصورة الاولی،و یحکمون فی الثانیة بعدم جواز الارتکاب؛بناء علی العمل بالأصل فیهما،و لا یلزم هنا مخالفة قطعیّة فی العمل،و لا دلیل علی حرمتها إذا لم تتعلّق بالعمل،خصوصا إذا وافق الاحتیاط.</w:t>
      </w:r>
    </w:p>
    <w:p>
      <w:pPr>
        <w:pStyle w:val="BookText"/>
      </w:pPr>
      <w:r>
        <w:rPr>
          <w:rFonts w:ascii="Amiri" w:hAnsi="Amiri" w:eastAsia="Amiri" w:cs="Amiri"/>
          <w:lang w:bidi="ar-SA"/>
          <w:color w:val="111111"/>
          <w:sz w:val="28"/>
          <w:szCs w:val="28"/>
          <w:rtl/>
        </w:rPr>
        <w:t xml:space="preserve">إلاّ أنّ استدلال بعض المجوّزین </w:t>
      </w:r>
      <w:r>
        <w:rPr>
          <w:rStyle w:val="FootnoteReference"/>
        </w:rPr>
        <w:footnoteReference w:id="808"/>
      </w:r>
      <w:r>
        <w:rPr>
          <w:rFonts w:ascii="IRNazanin" w:hAnsi="IRNazanin" w:eastAsia="IRNazanin" w:cs="IRNazanin"/>
          <w:lang w:bidi="fa-IR"/>
          <w:color w:val="111111"/>
          <w:sz w:val="28"/>
          <w:szCs w:val="28"/>
          <w:rtl/>
        </w:rPr>
        <w:t xml:space="preserve">للارتکاب بالأخبار الدالّة علی حلّیة المال المختلط بالحرام،ربما یظهر منه التعمیم،و علی التخصیص فیخرج عن محلّ النزاع،کما </w:t>
      </w:r>
      <w:r>
        <w:rPr>
          <w:rStyle w:val="FootnoteReference"/>
        </w:rPr>
        <w:footnoteReference w:id="809"/>
      </w:r>
      <w:r>
        <w:rPr>
          <w:rFonts w:ascii="IRNazanin" w:hAnsi="IRNazanin" w:eastAsia="IRNazanin" w:cs="IRNazanin"/>
          <w:lang w:bidi="fa-IR"/>
          <w:color w:val="111111"/>
          <w:sz w:val="28"/>
          <w:szCs w:val="28"/>
          <w:rtl/>
        </w:rPr>
        <w:t xml:space="preserve">لو علم بکون إحدی المرأتین أجنبیّة،أو إحدی الذبیحتین میتة،أو أحد المالین مال الغیر،أو أحد الأسیرین</w:t>
      </w:r>
    </w:p>
    <w:p>
      <w:pPr>
        <w:pStyle w:val="BookText"/>
      </w:pPr>
      <w:r>
        <w:rPr>
          <w:rFonts w:ascii="IRNazanin" w:hAnsi="IRNazanin" w:eastAsia="IRNazanin" w:cs="IRNazanin"/>
          <w:lang w:bidi="fa-IR"/>
          <w:color w:val="111111"/>
          <w:sz w:val="28"/>
          <w:szCs w:val="28"/>
          <w:rtl/>
        </w:rPr>
        <w:t xml:space="preserve">[شماره صفحه واقعی : 254]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محقون الدم،أو کان الإناءان معلومی النجاسة سابقا فعلم طهارة أحدهما.</w:t>
      </w:r>
    </w:p>
    <w:p>
      <w:pPr>
        <w:pStyle w:val="BookText"/>
      </w:pPr>
      <w:r>
        <w:rPr>
          <w:rFonts w:ascii="IRNazanin" w:hAnsi="IRNazanin" w:eastAsia="IRNazanin" w:cs="IRNazanin"/>
          <w:lang w:bidi="fa-IR"/>
          <w:color w:val="111111"/>
          <w:sz w:val="28"/>
          <w:szCs w:val="28"/>
          <w:rtl/>
        </w:rPr>
        <w:t xml:space="preserve">و ربما یقال </w:t>
      </w:r>
      <w:r>
        <w:rPr>
          <w:rStyle w:val="FootnoteReference"/>
        </w:rPr>
        <w:footnoteReference w:id="810"/>
      </w:r>
      <w:r>
        <w:rPr>
          <w:rFonts w:ascii="IRNazanin" w:hAnsi="IRNazanin" w:eastAsia="IRNazanin" w:cs="IRNazanin"/>
          <w:lang w:bidi="fa-IR"/>
          <w:color w:val="111111"/>
          <w:sz w:val="28"/>
          <w:szCs w:val="28"/>
          <w:rtl/>
        </w:rPr>
        <w:t xml:space="preserve">:إنّ الظاهر أنّ محلّ الکلام فی المحرّمات المالیّة و نحوها کالنجس،لا فی الأنفس و الأعراض،فیستظهر </w:t>
      </w:r>
      <w:r>
        <w:rPr>
          <w:rStyle w:val="FootnoteReference"/>
        </w:rPr>
        <w:footnoteReference w:id="811"/>
      </w:r>
      <w:r>
        <w:rPr>
          <w:rFonts w:ascii="IRNazanin" w:hAnsi="IRNazanin" w:eastAsia="IRNazanin" w:cs="IRNazanin"/>
          <w:lang w:bidi="fa-IR"/>
          <w:color w:val="111111"/>
          <w:sz w:val="28"/>
          <w:szCs w:val="28"/>
          <w:rtl/>
        </w:rPr>
        <w:t xml:space="preserve">أنّه لم یقل أحد فیها بجواز الارتکاب؛لأنّ المنع فی مثل ذلک ضروریّ.</w:t>
      </w:r>
    </w:p>
    <w:p>
      <w:pPr>
        <w:pStyle w:val="BookText"/>
      </w:pPr>
      <w:r>
        <w:rPr>
          <w:rFonts w:ascii="IRNazanin" w:hAnsi="IRNazanin" w:eastAsia="IRNazanin" w:cs="IRNazanin"/>
          <w:lang w:bidi="fa-IR"/>
          <w:color w:val="111111"/>
          <w:sz w:val="28"/>
          <w:szCs w:val="28"/>
          <w:rtl/>
        </w:rPr>
        <w:t xml:space="preserve">و فیه نظر.</w:t>
      </w:r>
    </w:p>
    <w:p>
      <w:pPr>
        <w:pStyle w:val="BookText"/>
      </w:pPr>
      <w:r>
        <w:rPr>
          <w:rFonts w:ascii="IRNazanin" w:hAnsi="IRNazanin" w:eastAsia="IRNazanin" w:cs="IRNazanin"/>
          <w:lang w:bidi="fa-IR"/>
          <w:color w:val="111111"/>
          <w:sz w:val="28"/>
          <w:szCs w:val="28"/>
          <w:rtl/>
        </w:rPr>
        <w:t xml:space="preserve">[شماره صفحه واقعی : 255]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67" w:name="pg14411_142645"/>
    <w:bookmarkEnd w:id="167"/>
    <w:p>
      <w:pPr>
        <w:pStyle w:val="Heading6"/>
      </w:pPr>
      <w:bookmarkStart w:id="1307" w:name="_Toc342"/>
      <w:r>
        <w:t>الأمر التاسع [:المشتبه بأحد المشتبهین حکمه حکمهما]</w:t>
      </w:r>
      <w:bookmarkEnd w:id="1307"/>
    </w:p>
    <w:p>
      <w:pPr>
        <w:pStyle w:val="BookText"/>
      </w:pPr>
      <w:r>
        <w:rPr>
          <w:rFonts w:ascii="IRNazanin" w:hAnsi="IRNazanin" w:eastAsia="IRNazanin" w:cs="IRNazanin"/>
          <w:lang w:bidi="fa-IR"/>
          <w:color w:val="111111"/>
          <w:sz w:val="28"/>
          <w:szCs w:val="28"/>
          <w:rtl/>
        </w:rPr>
        <w:t xml:space="preserve">أنّ المشتبه بأحد المشتبهین حکمه حکمهما؛لأنّ مقدّمة المقدّمة مقدّمة،و هو ظاهر.</w:t>
      </w:r>
    </w:p>
    <w:p>
      <w:pPr>
        <w:pStyle w:val="BookText"/>
      </w:pPr>
      <w:r>
        <w:rPr>
          <w:rFonts w:ascii="IRNazanin" w:hAnsi="IRNazanin" w:eastAsia="IRNazanin" w:cs="IRNazanin"/>
          <w:lang w:bidi="fa-IR"/>
          <w:color w:val="111111"/>
          <w:sz w:val="28"/>
          <w:szCs w:val="28"/>
          <w:rtl/>
        </w:rPr>
        <w:t xml:space="preserve">[شماره صفحه واقعی : 256]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68" w:name="pg14411_142646"/>
    <w:bookmarkEnd w:id="168"/>
    <w:p>
      <w:pPr>
        <w:pStyle w:val="Heading6"/>
      </w:pPr>
      <w:bookmarkStart w:id="1308" w:name="_Toc343"/>
      <w:r>
        <w:t>المقام الثانی فی الشبهة الغیر المحصورة</w:t>
      </w:r>
      <w:bookmarkEnd w:id="1308"/>
    </w:p>
    <w:p>
      <w:pPr>
        <w:pStyle w:val="Heading6"/>
      </w:pPr>
      <w:bookmarkStart w:id="1309" w:name="_Toc344"/>
      <w:r>
        <w:t>اشارة</w:t>
      </w:r>
      <w:bookmarkEnd w:id="1309"/>
    </w:p>
    <w:p>
      <w:pPr>
        <w:pStyle w:val="BookText"/>
      </w:pPr>
      <w:r>
        <w:rPr>
          <w:rFonts w:ascii="IRNazanin" w:hAnsi="IRNazanin" w:eastAsia="IRNazanin" w:cs="IRNazanin"/>
          <w:lang w:bidi="fa-IR"/>
          <w:color w:val="111111"/>
          <w:sz w:val="28"/>
          <w:szCs w:val="28"/>
          <w:rtl/>
        </w:rPr>
        <w:t xml:space="preserve">و المعروف فیها:عدم وجوب الاجتناب.</w:t>
      </w:r>
    </w:p>
    <w:p>
      <w:pPr>
        <w:pStyle w:val="BookText"/>
      </w:pPr>
      <w:r>
        <w:rPr>
          <w:rFonts w:ascii="IRNazanin" w:hAnsi="IRNazanin" w:eastAsia="IRNazanin" w:cs="IRNazanin"/>
          <w:lang w:bidi="fa-IR"/>
          <w:color w:val="111111"/>
          <w:sz w:val="28"/>
          <w:szCs w:val="28"/>
          <w:rtl/>
        </w:rPr>
        <w:t xml:space="preserve">و یدلّ علیه وجوه:</w:t>
      </w:r>
    </w:p>
    <w:p>
      <w:pPr>
        <w:pStyle w:val="Heading6"/>
      </w:pPr>
      <w:bookmarkStart w:id="1310" w:name="_Toc345"/>
      <w:r>
        <w:t>الأوّل [الإجماع]</w:t>
      </w:r>
      <w:bookmarkEnd w:id="1310"/>
    </w:p>
    <w:p>
      <w:pPr>
        <w:pStyle w:val="BookText"/>
      </w:pPr>
      <w:r>
        <w:rPr>
          <w:rFonts w:ascii="IRNazanin" w:hAnsi="IRNazanin" w:eastAsia="IRNazanin" w:cs="IRNazanin"/>
          <w:lang w:bidi="fa-IR"/>
          <w:color w:val="111111"/>
          <w:sz w:val="28"/>
          <w:szCs w:val="28"/>
          <w:rtl/>
        </w:rPr>
        <w:t xml:space="preserve">الإجماع الظاهر المصرّح به فی الروض </w:t>
      </w:r>
      <w:r>
        <w:rPr>
          <w:rStyle w:val="FootnoteReference"/>
        </w:rPr>
        <w:footnoteReference w:id="812"/>
      </w:r>
      <w:r>
        <w:rPr>
          <w:rFonts w:ascii="IRNazanin" w:hAnsi="IRNazanin" w:eastAsia="IRNazanin" w:cs="IRNazanin"/>
          <w:lang w:bidi="fa-IR"/>
          <w:color w:val="111111"/>
          <w:sz w:val="28"/>
          <w:szCs w:val="28"/>
          <w:rtl/>
        </w:rPr>
        <w:t xml:space="preserve">و عن جامع المقاصد </w:t>
      </w:r>
      <w:r>
        <w:rPr>
          <w:rStyle w:val="FootnoteReference"/>
        </w:rPr>
        <w:footnoteReference w:id="813"/>
      </w:r>
      <w:r>
        <w:rPr>
          <w:rFonts w:ascii="IRNazanin" w:hAnsi="IRNazanin" w:eastAsia="IRNazanin" w:cs="IRNazanin"/>
          <w:lang w:bidi="fa-IR"/>
          <w:color w:val="111111"/>
          <w:sz w:val="28"/>
          <w:szCs w:val="28"/>
          <w:rtl/>
        </w:rPr>
        <w:t xml:space="preserve">و ادّعاه صریحا المحقّق البهبهانیّ فی فوائده-و زاد علیه نفی الریب فیه، و أنّ مدار المسلمین فی الأعصار و الأمصار علیه </w:t>
      </w:r>
      <w:r>
        <w:rPr>
          <w:rStyle w:val="FootnoteReference"/>
        </w:rPr>
        <w:footnoteReference w:id="814"/>
      </w:r>
      <w:r>
        <w:rPr>
          <w:rFonts w:ascii="IRNazanin" w:hAnsi="IRNazanin" w:eastAsia="IRNazanin" w:cs="IRNazanin"/>
          <w:lang w:bidi="fa-IR"/>
          <w:color w:val="111111"/>
          <w:sz w:val="28"/>
          <w:szCs w:val="28"/>
          <w:rtl/>
        </w:rPr>
        <w:t xml:space="preserve">-و تبعه فی دعوی الإجماع غیر واحد ممّن تأخّر عنه </w:t>
      </w:r>
      <w:r>
        <w:rPr>
          <w:rStyle w:val="FootnoteReference"/>
        </w:rPr>
        <w:footnoteReference w:id="815"/>
      </w:r>
      <w:r>
        <w:rPr>
          <w:rFonts w:ascii="IRNazanin" w:hAnsi="IRNazanin" w:eastAsia="IRNazanin" w:cs="IRNazanin"/>
          <w:lang w:bidi="fa-IR"/>
          <w:color w:val="111111"/>
          <w:sz w:val="28"/>
          <w:szCs w:val="28"/>
          <w:rtl/>
        </w:rPr>
        <w:t xml:space="preserve">،و زاد بعضهم دعوی الضرورة علیه فی الجملة،و بالجملة:فنقل الإجماع مستفیض،و هو کاف فی المسألة.</w:t>
      </w:r>
    </w:p>
    <w:p>
      <w:pPr>
        <w:pStyle w:val="Heading6"/>
      </w:pPr>
      <w:bookmarkStart w:id="1311" w:name="_Toc346"/>
      <w:r>
        <w:t>الثانی [لزوم المشقّة فی الاجتناب]</w:t>
      </w:r>
      <w:bookmarkEnd w:id="1311"/>
    </w:p>
    <w:p>
      <w:pPr>
        <w:pStyle w:val="Heading6"/>
      </w:pPr>
      <w:bookmarkStart w:id="1312" w:name="_Toc347"/>
      <w:r>
        <w:t>اشارة</w:t>
      </w:r>
      <w:bookmarkEnd w:id="1312"/>
    </w:p>
    <w:p>
      <w:pPr>
        <w:pStyle w:val="BookText"/>
      </w:pPr>
      <w:r>
        <w:rPr>
          <w:rFonts w:ascii="Amiri" w:hAnsi="Amiri" w:eastAsia="Amiri" w:cs="Amiri"/>
          <w:lang w:bidi="ar-SA"/>
          <w:color w:val="111111"/>
          <w:sz w:val="28"/>
          <w:szCs w:val="28"/>
          <w:rtl/>
        </w:rPr>
        <w:t xml:space="preserve">ما استدلّ به جماعة </w:t>
      </w:r>
      <w:r>
        <w:rPr>
          <w:rStyle w:val="FootnoteReference"/>
        </w:rPr>
        <w:footnoteReference w:id="816"/>
      </w:r>
      <w:r>
        <w:rPr>
          <w:rFonts w:ascii="IRNazanin" w:hAnsi="IRNazanin" w:eastAsia="IRNazanin" w:cs="IRNazanin"/>
          <w:lang w:bidi="fa-IR"/>
          <w:color w:val="111111"/>
          <w:sz w:val="28"/>
          <w:szCs w:val="28"/>
          <w:rtl/>
        </w:rPr>
        <w:t xml:space="preserve">:من لزوم المشقّة فی الاجتناب.و لعلّ المراد</w:t>
      </w:r>
    </w:p>
    <w:p>
      <w:pPr>
        <w:pStyle w:val="BookText"/>
      </w:pPr>
      <w:r>
        <w:rPr>
          <w:rFonts w:ascii="IRNazanin" w:hAnsi="IRNazanin" w:eastAsia="IRNazanin" w:cs="IRNazanin"/>
          <w:lang w:bidi="fa-IR"/>
          <w:color w:val="111111"/>
          <w:sz w:val="28"/>
          <w:szCs w:val="28"/>
          <w:rtl/>
        </w:rPr>
        <w:t xml:space="preserve">[شماره صفحه واقعی : 257]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69" w:name="pg14411_142647"/>
    <w:bookmarkEnd w:id="169"/>
    <w:p>
      <w:pPr>
        <w:pStyle w:val="BookText"/>
      </w:pPr>
      <w:r>
        <w:rPr>
          <w:rFonts w:ascii="IRNazanin" w:hAnsi="IRNazanin" w:eastAsia="IRNazanin" w:cs="IRNazanin"/>
          <w:lang w:bidi="fa-IR"/>
          <w:color w:val="111111"/>
          <w:sz w:val="28"/>
          <w:szCs w:val="28"/>
          <w:rtl/>
        </w:rPr>
        <w:t xml:space="preserve">به لزومه فی أغلب أفراد هذه الشبهة لأغلب أفراد المکلّفین،فیشمله عموم قوله تعالی: </w:t>
      </w:r>
      <w:r>
        <w:rPr>
          <w:rFonts w:ascii="Amiri" w:hAnsi="Amiri" w:eastAsia="Amiri" w:cs="Amiri"/>
          <w:lang w:bidi="ar-SA"/>
          <w:color w:val="111111"/>
          <w:sz w:val="28"/>
          <w:szCs w:val="28"/>
          <w:rtl/>
        </w:rPr>
        <w:t xml:space="preserve">یُرِیدُ اللهُ بِکُمُ الْیُسْرَ وَلا یُرِیدُ بِکُمُ الْعُسْرَ</w:t>
      </w:r>
      <w:r>
        <w:rPr>
          <w:rStyle w:val="FootnoteReference"/>
        </w:rPr>
        <w:footnoteReference w:id="817"/>
      </w:r>
      <w:r>
        <w:rPr>
          <w:rFonts w:ascii="IRNazanin" w:hAnsi="IRNazanin" w:eastAsia="IRNazanin" w:cs="IRNazanin"/>
          <w:lang w:bidi="fa-IR"/>
          <w:color w:val="111111"/>
          <w:sz w:val="28"/>
          <w:szCs w:val="28"/>
          <w:rtl/>
        </w:rPr>
        <w:t xml:space="preserve">، وقوله تعالی : </w:t>
      </w:r>
      <w:r>
        <w:rPr>
          <w:rFonts w:ascii="Amiri" w:hAnsi="Amiri" w:eastAsia="Amiri" w:cs="Amiri"/>
          <w:lang w:bidi="ar-SA"/>
          <w:color w:val="111111"/>
          <w:sz w:val="28"/>
          <w:szCs w:val="28"/>
          <w:rtl/>
        </w:rPr>
        <w:t xml:space="preserve">ما جَعَلَ عَلَیْکُمْ فِی الدِّینِ مِنْ حَرَجٍ</w:t>
      </w:r>
      <w:r>
        <w:rPr>
          <w:rStyle w:val="FootnoteReference"/>
        </w:rPr>
        <w:footnoteReference w:id="818"/>
      </w:r>
      <w:r>
        <w:rPr>
          <w:rFonts w:ascii="IRNazanin" w:hAnsi="IRNazanin" w:eastAsia="IRNazanin" w:cs="IRNazanin"/>
          <w:lang w:bidi="fa-IR"/>
          <w:color w:val="111111"/>
          <w:sz w:val="28"/>
          <w:szCs w:val="28"/>
          <w:rtl/>
        </w:rPr>
        <w:t xml:space="preserve">؛ بناء علی أنّ المراد أنّ ما کان الغالب فیه الحرج علی الغالب فهو مرتفع عن جمیع المکلّفین حتّی من لا حرج بالنسبة إلیه.</w:t>
      </w:r>
    </w:p>
    <w:p>
      <w:pPr>
        <w:pStyle w:val="BookText"/>
      </w:pPr>
      <w:r>
        <w:rPr>
          <w:rFonts w:ascii="IRNazanin" w:hAnsi="IRNazanin" w:eastAsia="IRNazanin" w:cs="IRNazanin"/>
          <w:lang w:bidi="fa-IR"/>
          <w:color w:val="111111"/>
          <w:sz w:val="28"/>
          <w:szCs w:val="28"/>
          <w:rtl/>
        </w:rPr>
        <w:t xml:space="preserve">وهذا المعنی وإن کان خلاف الظاهر ، إلاّ أنّه یتعیّن الحمل علیه ؛ بمعونة ما ورد : من إناطة الأحکام الشرعیّة الکلّیة </w:t>
      </w:r>
      <w:r>
        <w:rPr>
          <w:rStyle w:val="FootnoteReference"/>
        </w:rPr>
        <w:footnoteReference w:id="819"/>
      </w:r>
      <w:r>
        <w:rPr>
          <w:rFonts w:ascii="IRNazanin" w:hAnsi="IRNazanin" w:eastAsia="IRNazanin" w:cs="IRNazanin"/>
          <w:lang w:bidi="fa-IR"/>
          <w:color w:val="111111"/>
          <w:sz w:val="28"/>
          <w:szCs w:val="28"/>
          <w:rtl/>
        </w:rPr>
        <w:t xml:space="preserve">ـ وجودا وعدما ـ بالعسر والیسر الغالبین </w:t>
      </w:r>
      <w:r>
        <w:rPr>
          <w:rStyle w:val="FootnoteReference"/>
        </w:rPr>
        <w:footnoteReference w:id="820"/>
      </w:r>
      <w:r>
        <w:rPr>
          <w:rFonts w:ascii="Times New Roman" w:hAnsi="Times New Roman" w:eastAsia="Times New Roman" w:cs="Times New Roman"/>
          <w:lang w:val="en-US" w:bidi="en-US"/>
          <w:color w:val="111111"/>
          <w:sz w:val="28"/>
          <w:szCs w:val="28"/>
          <w:rtl/>
        </w:rPr>
        <w:t xml:space="preserve">.</w:t>
      </w:r>
    </w:p>
    <w:p>
      <w:pPr>
        <w:pStyle w:val="Heading6"/>
      </w:pPr>
      <w:bookmarkStart w:id="1313" w:name="_Toc348"/>
      <w:r>
        <w:t>[المناقشة فی هذا الاستدلال]</w:t>
      </w:r>
      <w:bookmarkEnd w:id="1313"/>
    </w:p>
    <w:p>
      <w:pPr>
        <w:pStyle w:val="BookText"/>
      </w:pPr>
      <w:r>
        <w:rPr>
          <w:rFonts w:ascii="IRNazanin" w:hAnsi="IRNazanin" w:eastAsia="IRNazanin" w:cs="IRNazanin"/>
          <w:lang w:bidi="fa-IR"/>
          <w:color w:val="111111"/>
          <w:sz w:val="28"/>
          <w:szCs w:val="28"/>
          <w:rtl/>
        </w:rPr>
        <w:t xml:space="preserve">و فی هذا الاستدلال نظر؛لأنّ أدلّة نفی العسر و الحرج من الآیات و الروایات لا تدلّ إلاّ علی أنّ ما کان فیه ضیق علی مکلّف فهو مرتفع عنه،و أمّا ارتفاع ما کان ضیقا علی الأکثر عمّن هو علیه فی غایة السهولة،فلیس فیه امتنان علی أحد،بل فیه تفویت مصلحة التکلیف من غیر تدارکها بالتسهیل.</w:t>
      </w:r>
    </w:p>
    <w:p>
      <w:pPr>
        <w:pStyle w:val="Heading6"/>
      </w:pPr>
      <w:bookmarkStart w:id="1314" w:name="_Toc349"/>
      <w:r>
        <w:t>[عدم فائدة دوران الأحکام مدار السهولة علی الأغلب فیما نحن فیه]</w:t>
      </w:r>
      <w:bookmarkEnd w:id="1314"/>
    </w:p>
    <w:p>
      <w:pPr>
        <w:pStyle w:val="BookText"/>
      </w:pPr>
      <w:r>
        <w:rPr>
          <w:rFonts w:ascii="IRNazanin" w:hAnsi="IRNazanin" w:eastAsia="IRNazanin" w:cs="IRNazanin"/>
          <w:lang w:bidi="fa-IR"/>
          <w:color w:val="111111"/>
          <w:sz w:val="28"/>
          <w:szCs w:val="28"/>
          <w:rtl/>
        </w:rPr>
        <w:t xml:space="preserve">و أمّا ما ورد:من دوران الأحکام مدار السهولة علی الأغلب، فلا ینفع فیما نحن فیه؛لأنّ الشبهة الغیر المحصورة لیست واقعة واحدة </w:t>
      </w:r>
      <w:r>
        <w:rPr>
          <w:rStyle w:val="FootnoteReference"/>
        </w:rPr>
        <w:footnoteReference w:id="821"/>
      </w:r>
    </w:p>
    <w:p>
      <w:pPr>
        <w:pStyle w:val="BookText"/>
      </w:pPr>
      <w:r>
        <w:rPr>
          <w:rFonts w:ascii="IRNazanin" w:hAnsi="IRNazanin" w:eastAsia="IRNazanin" w:cs="IRNazanin"/>
          <w:lang w:bidi="fa-IR"/>
          <w:color w:val="111111"/>
          <w:sz w:val="28"/>
          <w:szCs w:val="28"/>
          <w:rtl/>
        </w:rPr>
        <w:t xml:space="preserve">[شماره صفحه واقعی : 258]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حکم فیها بحکم حتّی یدّعی أنّ الحکم بالاحتیاط فی أغلب مواردها عسر علی أغلب الناس،فیرتفع حکم الاحتیاط فیها مطلقا،بل هی عنوان لموضوعات متعدّدة لأحکام متعدّدة،و المقتضی للاحتیاط فی کلّ موضوع هو نفس الدلیل الخاصّ التحریمیّ الموجود فی ذلک الموضوع، و المفروض أنّ ثبوت التحریم لذلک الموضوع مسلّم،و لا یرد منه حرج علی الأغلب،و أنّ الاجتناب فی صورة اشتباهه أیضا فی غایة الیسر؛ فأیّ مدخل للأخبار الواردة فی أنّ الحکم الشرعیّ یتبع الأغلب فی الیسر و العسر.</w:t>
      </w:r>
    </w:p>
    <w:p>
      <w:pPr>
        <w:pStyle w:val="BookText"/>
      </w:pPr>
      <w:r>
        <w:rPr>
          <w:rFonts w:ascii="IRNazanin" w:hAnsi="IRNazanin" w:eastAsia="IRNazanin" w:cs="IRNazanin"/>
          <w:lang w:bidi="fa-IR"/>
          <w:color w:val="111111"/>
          <w:sz w:val="28"/>
          <w:szCs w:val="28"/>
          <w:rtl/>
        </w:rPr>
        <w:t xml:space="preserve">و کأنّ المستدلّ بذلک،جعل الشبهة الغیر المحصورة واقعة واحدة مقتضی الدلیل فیها وجوب الاحتیاط لو لا العسر،لکن لمّا تعسّر الاحتیاط فی أغلب الموارد علی أغلب الناس حکم بعدم وجوب الاحتیاط کلّیة.</w:t>
      </w:r>
    </w:p>
    <w:p>
      <w:pPr>
        <w:pStyle w:val="BookText"/>
      </w:pPr>
      <w:r>
        <w:rPr>
          <w:rFonts w:ascii="IRNazanin" w:hAnsi="IRNazanin" w:eastAsia="IRNazanin" w:cs="IRNazanin"/>
          <w:lang w:bidi="fa-IR"/>
          <w:color w:val="111111"/>
          <w:sz w:val="28"/>
          <w:szCs w:val="28"/>
          <w:rtl/>
        </w:rPr>
        <w:t xml:space="preserve">و فیه:أنّ دلیل الاحتیاط فی کلّ فرد من الشبهة لیس إلاّ دلیل حرمة ذلک الموضوع.</w:t>
      </w:r>
    </w:p>
    <w:p>
      <w:pPr>
        <w:pStyle w:val="BookText"/>
      </w:pPr>
      <w:r>
        <w:rPr>
          <w:rFonts w:ascii="IRNazanin" w:hAnsi="IRNazanin" w:eastAsia="IRNazanin" w:cs="IRNazanin"/>
          <w:lang w:bidi="fa-IR"/>
          <w:color w:val="111111"/>
          <w:sz w:val="28"/>
          <w:szCs w:val="28"/>
          <w:rtl/>
        </w:rPr>
        <w:t xml:space="preserve">نعم،لو لزم الحرج من جریان حکم العنوان المحرّم الواقعیّ فی خصوص مشتبهاته الغیر المحصورة علی أغلب المکلّفین فی أغلب الأوقات-کأن یدّعی:أنّ الحکم بوجوب الاجتناب </w:t>
      </w:r>
      <w:r>
        <w:rPr>
          <w:rStyle w:val="FootnoteReference"/>
        </w:rPr>
        <w:footnoteReference w:id="822"/>
      </w:r>
      <w:r>
        <w:rPr>
          <w:rFonts w:ascii="IRNazanin" w:hAnsi="IRNazanin" w:eastAsia="IRNazanin" w:cs="IRNazanin"/>
          <w:lang w:bidi="fa-IR"/>
          <w:color w:val="111111"/>
          <w:sz w:val="28"/>
          <w:szCs w:val="28"/>
          <w:rtl/>
        </w:rPr>
        <w:t xml:space="preserve">عن النجس الواقعیّ مع اشتباهه فی امور غیر محصورة،یوجب الحرج الغالبیّ- أمکن التزام ارتفاع وجوب الاحتیاط فی خصوص النجاسة المشتبهة.</w:t>
      </w:r>
    </w:p>
    <w:p>
      <w:pPr>
        <w:pStyle w:val="BookText"/>
      </w:pPr>
      <w:r>
        <w:rPr>
          <w:rFonts w:ascii="IRNazanin" w:hAnsi="IRNazanin" w:eastAsia="IRNazanin" w:cs="IRNazanin"/>
          <w:lang w:bidi="fa-IR"/>
          <w:color w:val="111111"/>
          <w:sz w:val="28"/>
          <w:szCs w:val="28"/>
          <w:rtl/>
        </w:rPr>
        <w:t xml:space="preserve">لکن لا یتوهّم </w:t>
      </w:r>
      <w:r>
        <w:rPr>
          <w:rStyle w:val="FootnoteReference"/>
        </w:rPr>
        <w:footnoteReference w:id="823"/>
      </w:r>
      <w:r>
        <w:rPr>
          <w:rFonts w:ascii="IRNazanin" w:hAnsi="IRNazanin" w:eastAsia="IRNazanin" w:cs="IRNazanin"/>
          <w:lang w:bidi="fa-IR"/>
          <w:color w:val="111111"/>
          <w:sz w:val="28"/>
          <w:szCs w:val="28"/>
          <w:rtl/>
        </w:rPr>
        <w:t xml:space="preserve">من ذلک:اطّراد الحکم بارتفاع التحریم فی الخمر</w:t>
      </w:r>
    </w:p>
    <w:p>
      <w:pPr>
        <w:pStyle w:val="BookText"/>
      </w:pPr>
      <w:r>
        <w:rPr>
          <w:rFonts w:ascii="IRNazanin" w:hAnsi="IRNazanin" w:eastAsia="IRNazanin" w:cs="IRNazanin"/>
          <w:lang w:bidi="fa-IR"/>
          <w:color w:val="111111"/>
          <w:sz w:val="28"/>
          <w:szCs w:val="28"/>
          <w:rtl/>
        </w:rPr>
        <w:t xml:space="preserve">[شماره صفحه واقعی : 259]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70" w:name="pg14411_142649"/>
    <w:bookmarkEnd w:id="170"/>
    <w:p>
      <w:pPr>
        <w:pStyle w:val="BookText"/>
      </w:pPr>
      <w:r>
        <w:rPr>
          <w:rFonts w:ascii="IRNazanin" w:hAnsi="IRNazanin" w:eastAsia="IRNazanin" w:cs="IRNazanin"/>
          <w:lang w:bidi="fa-IR"/>
          <w:color w:val="111111"/>
          <w:sz w:val="28"/>
          <w:szCs w:val="28"/>
          <w:rtl/>
        </w:rPr>
        <w:t xml:space="preserve">المشتبه بین مائعات غیر محصورة،و المرأة المحرّمة المشتبهة فی ناحیة مخصوصة،إلی غیر ذلک من المحرّمات.</w:t>
      </w:r>
    </w:p>
    <w:p>
      <w:pPr>
        <w:pStyle w:val="BookText"/>
      </w:pPr>
      <w:r>
        <w:rPr>
          <w:rFonts w:ascii="IRNazanin" w:hAnsi="IRNazanin" w:eastAsia="IRNazanin" w:cs="IRNazanin"/>
          <w:lang w:bidi="fa-IR"/>
          <w:color w:val="111111"/>
          <w:sz w:val="28"/>
          <w:szCs w:val="28"/>
          <w:rtl/>
        </w:rPr>
        <w:t xml:space="preserve">و لعلّ کثیرا ممّن تمسّک فی هذا المقام بلزوم المشقّة أراد المورد الخاصّ،کما ذکروا ذلک فی الطهارة و النجاسة.</w:t>
      </w:r>
    </w:p>
    <w:p>
      <w:pPr>
        <w:pStyle w:val="Heading6"/>
      </w:pPr>
      <w:bookmarkStart w:id="1315" w:name="_Toc350"/>
      <w:r>
        <w:t>[عدم لزوم الحرج فی الاجتناب عن الشبهة غیر المحصورة]</w:t>
      </w:r>
      <w:bookmarkEnd w:id="1315"/>
    </w:p>
    <w:p>
      <w:pPr>
        <w:pStyle w:val="BookText"/>
      </w:pPr>
      <w:r>
        <w:rPr>
          <w:rFonts w:ascii="IRNazanin" w:hAnsi="IRNazanin" w:eastAsia="IRNazanin" w:cs="IRNazanin"/>
          <w:lang w:bidi="fa-IR"/>
          <w:color w:val="111111"/>
          <w:sz w:val="28"/>
          <w:szCs w:val="28"/>
          <w:rtl/>
        </w:rPr>
        <w:t xml:space="preserve">هذا کلّه،مع أنّ لزوم الحرج فی الاجتناب عن الشبهة الغیر المحصورة التی یقتضی الدلیل المتقدّم </w:t>
      </w:r>
      <w:r>
        <w:rPr>
          <w:rStyle w:val="FootnoteReference"/>
        </w:rPr>
        <w:footnoteReference w:id="824"/>
      </w:r>
      <w:r>
        <w:rPr>
          <w:rFonts w:ascii="IRNazanin" w:hAnsi="IRNazanin" w:eastAsia="IRNazanin" w:cs="IRNazanin"/>
          <w:lang w:bidi="fa-IR"/>
          <w:color w:val="111111"/>
          <w:sz w:val="28"/>
          <w:szCs w:val="28"/>
          <w:rtl/>
        </w:rPr>
        <w:t xml:space="preserve">وجوب الاحتیاط فیها،ممنوع.</w:t>
      </w:r>
    </w:p>
    <w:p>
      <w:pPr>
        <w:pStyle w:val="BookText"/>
      </w:pPr>
      <w:r>
        <w:rPr>
          <w:rFonts w:ascii="IRNazanin" w:hAnsi="IRNazanin" w:eastAsia="IRNazanin" w:cs="IRNazanin"/>
          <w:lang w:bidi="fa-IR"/>
          <w:color w:val="111111"/>
          <w:sz w:val="28"/>
          <w:szCs w:val="28"/>
          <w:rtl/>
        </w:rPr>
        <w:t xml:space="preserve">و وجهه:أنّ کثیرا من الشبهات الغیر المحصورة لا یکون جمیع المحتملات فیها </w:t>
      </w:r>
      <w:r>
        <w:rPr>
          <w:rStyle w:val="FootnoteReference"/>
        </w:rPr>
        <w:footnoteReference w:id="825"/>
      </w:r>
      <w:r>
        <w:rPr>
          <w:rFonts w:ascii="IRNazanin" w:hAnsi="IRNazanin" w:eastAsia="IRNazanin" w:cs="IRNazanin"/>
          <w:lang w:bidi="fa-IR"/>
          <w:color w:val="111111"/>
          <w:sz w:val="28"/>
          <w:szCs w:val="28"/>
          <w:rtl/>
        </w:rPr>
        <w:t xml:space="preserve">مورد ابتلاء </w:t>
      </w:r>
      <w:r>
        <w:rPr>
          <w:rStyle w:val="FootnoteReference"/>
        </w:rPr>
        <w:footnoteReference w:id="826"/>
      </w:r>
      <w:r>
        <w:rPr>
          <w:rFonts w:ascii="IRNazanin" w:hAnsi="IRNazanin" w:eastAsia="IRNazanin" w:cs="IRNazanin"/>
          <w:lang w:bidi="fa-IR"/>
          <w:color w:val="111111"/>
          <w:sz w:val="28"/>
          <w:szCs w:val="28"/>
          <w:rtl/>
        </w:rPr>
        <w:t xml:space="preserve">المکلّف،و لا یجب الاحتیاط فی مثل هذه الشبهة و إن کانت محصورة کما أوضحناه سابقا </w:t>
      </w:r>
      <w:r>
        <w:rPr>
          <w:rStyle w:val="FootnoteReference"/>
        </w:rPr>
        <w:footnoteReference w:id="827"/>
      </w:r>
      <w:r>
        <w:rPr>
          <w:rFonts w:ascii="IRNazanin" w:hAnsi="IRNazanin" w:eastAsia="IRNazanin" w:cs="IRNazanin"/>
          <w:lang w:bidi="fa-IR"/>
          <w:color w:val="111111"/>
          <w:sz w:val="28"/>
          <w:szCs w:val="28"/>
          <w:rtl/>
        </w:rPr>
        <w:t xml:space="preserve">،و بعد إخراج هذا عن محلّ الکلام فالإنصاف:منع غلبة التعسّر فی الاجتناب.</w:t>
      </w:r>
    </w:p>
    <w:p>
      <w:pPr>
        <w:pStyle w:val="Heading6"/>
      </w:pPr>
      <w:bookmarkStart w:id="1316" w:name="_Toc351"/>
      <w:r>
        <w:t>الوجه الثالث: [أخبار الحل]</w:t>
      </w:r>
      <w:bookmarkEnd w:id="1316"/>
    </w:p>
    <w:p>
      <w:pPr>
        <w:pStyle w:val="Heading6"/>
      </w:pPr>
      <w:bookmarkStart w:id="1317" w:name="_Toc352"/>
      <w:r>
        <w:t>اشارة</w:t>
      </w:r>
      <w:bookmarkEnd w:id="1317"/>
    </w:p>
    <w:p>
      <w:pPr>
        <w:pStyle w:val="BookText"/>
      </w:pPr>
      <w:r>
        <w:rPr>
          <w:rFonts w:ascii="IRNazanin" w:hAnsi="IRNazanin" w:eastAsia="IRNazanin" w:cs="IRNazanin"/>
          <w:lang w:bidi="fa-IR"/>
          <w:color w:val="111111"/>
          <w:sz w:val="28"/>
          <w:szCs w:val="28"/>
          <w:rtl/>
        </w:rPr>
        <w:t xml:space="preserve">الأخبار الدالّة علی حلّیة کلّ ما لم یعلم حرمته </w:t>
      </w:r>
      <w:r>
        <w:rPr>
          <w:rStyle w:val="FootnoteReference"/>
        </w:rPr>
        <w:footnoteReference w:id="828"/>
      </w:r>
      <w:r>
        <w:rPr>
          <w:rFonts w:ascii="IRNazanin" w:hAnsi="IRNazanin" w:eastAsia="IRNazanin" w:cs="IRNazanin"/>
          <w:lang w:bidi="fa-IR"/>
          <w:color w:val="111111"/>
          <w:sz w:val="28"/>
          <w:szCs w:val="28"/>
          <w:rtl/>
        </w:rPr>
        <w:t xml:space="preserve">فإنّها بظاهرها و إن عمّت الشبهة المحصورة،إلاّ أنّ مقتضی الجمع بینها و بین ما دلّ علی وجوب الاجتناب بقول مطلق </w:t>
      </w:r>
      <w:r>
        <w:rPr>
          <w:rStyle w:val="FootnoteReference"/>
        </w:rPr>
        <w:footnoteReference w:id="829"/>
      </w:r>
      <w:r>
        <w:rPr>
          <w:rFonts w:ascii="IRNazanin" w:hAnsi="IRNazanin" w:eastAsia="IRNazanin" w:cs="IRNazanin"/>
          <w:lang w:bidi="fa-IR"/>
          <w:color w:val="111111"/>
          <w:sz w:val="28"/>
          <w:szCs w:val="28"/>
          <w:rtl/>
        </w:rPr>
        <w:t xml:space="preserve">،هو حمل أخبار الرخصة علی غیر</w:t>
      </w:r>
    </w:p>
    <w:p>
      <w:pPr>
        <w:pStyle w:val="BookText"/>
      </w:pPr>
      <w:r>
        <w:rPr>
          <w:rFonts w:ascii="IRNazanin" w:hAnsi="IRNazanin" w:eastAsia="IRNazanin" w:cs="IRNazanin"/>
          <w:lang w:bidi="fa-IR"/>
          <w:color w:val="111111"/>
          <w:sz w:val="28"/>
          <w:szCs w:val="28"/>
          <w:rtl/>
        </w:rPr>
        <w:t xml:space="preserve">[شماره صفحه واقعی : 260]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71" w:name="pg14411_142650"/>
    <w:bookmarkEnd w:id="171"/>
    <w:p>
      <w:pPr>
        <w:pStyle w:val="BookText"/>
      </w:pPr>
      <w:r>
        <w:rPr>
          <w:rFonts w:ascii="IRNazanin" w:hAnsi="IRNazanin" w:eastAsia="IRNazanin" w:cs="IRNazanin"/>
          <w:lang w:bidi="fa-IR"/>
          <w:color w:val="111111"/>
          <w:sz w:val="28"/>
          <w:szCs w:val="28"/>
          <w:rtl/>
        </w:rPr>
        <w:t xml:space="preserve">المحصور و حمل أخبار المنع علی المحصور.</w:t>
      </w:r>
    </w:p>
    <w:p>
      <w:pPr>
        <w:pStyle w:val="Heading6"/>
      </w:pPr>
      <w:bookmarkStart w:id="1318" w:name="_Toc353"/>
      <w:r>
        <w:t>[المناقشة فی هذا الاستدلال]</w:t>
      </w:r>
      <w:bookmarkEnd w:id="1318"/>
    </w:p>
    <w:p>
      <w:pPr>
        <w:pStyle w:val="BookText"/>
      </w:pPr>
      <w:r>
        <w:rPr>
          <w:rFonts w:ascii="IRNazanin" w:hAnsi="IRNazanin" w:eastAsia="IRNazanin" w:cs="IRNazanin"/>
          <w:lang w:bidi="fa-IR"/>
          <w:color w:val="111111"/>
          <w:sz w:val="28"/>
          <w:szCs w:val="28"/>
          <w:rtl/>
        </w:rPr>
        <w:t xml:space="preserve">و فیه:</w:t>
      </w:r>
    </w:p>
    <w:p>
      <w:pPr>
        <w:pStyle w:val="BookText"/>
      </w:pPr>
      <w:r>
        <w:rPr>
          <w:rFonts w:ascii="IRNazanin" w:hAnsi="IRNazanin" w:eastAsia="IRNazanin" w:cs="IRNazanin"/>
          <w:lang w:bidi="fa-IR"/>
          <w:color w:val="111111"/>
          <w:sz w:val="28"/>
          <w:szCs w:val="28"/>
          <w:rtl/>
        </w:rPr>
        <w:t xml:space="preserve">أوّلا:أنّ المستند فی وجوب الاجتناب </w:t>
      </w:r>
      <w:r>
        <w:rPr>
          <w:rStyle w:val="FootnoteReference"/>
        </w:rPr>
        <w:footnoteReference w:id="830"/>
      </w:r>
      <w:r>
        <w:rPr>
          <w:rFonts w:ascii="IRNazanin" w:hAnsi="IRNazanin" w:eastAsia="IRNazanin" w:cs="IRNazanin"/>
          <w:lang w:bidi="fa-IR"/>
          <w:color w:val="111111"/>
          <w:sz w:val="28"/>
          <w:szCs w:val="28"/>
          <w:rtl/>
        </w:rPr>
        <w:t xml:space="preserve">فی المحصور هو اقتضاء دلیل نفس الحرام المشتبه لذلک بضمیمة حکم العقل،و قد تقدّم بما لا مزید علیه </w:t>
      </w:r>
      <w:r>
        <w:rPr>
          <w:rStyle w:val="FootnoteReference"/>
        </w:rPr>
        <w:footnoteReference w:id="831"/>
      </w:r>
      <w:r>
        <w:rPr>
          <w:rFonts w:ascii="IRNazanin" w:hAnsi="IRNazanin" w:eastAsia="IRNazanin" w:cs="IRNazanin"/>
          <w:lang w:bidi="fa-IR"/>
          <w:color w:val="111111"/>
          <w:sz w:val="28"/>
          <w:szCs w:val="28"/>
          <w:rtl/>
        </w:rPr>
        <w:t xml:space="preserve">:أنّ أخبار حلّ الشبهة لا تشمل صورة العلم الإجمالی بالحرام.</w:t>
      </w:r>
    </w:p>
    <w:p>
      <w:pPr>
        <w:pStyle w:val="BookText"/>
      </w:pPr>
      <w:r>
        <w:rPr>
          <w:rFonts w:ascii="IRNazanin" w:hAnsi="IRNazanin" w:eastAsia="IRNazanin" w:cs="IRNazanin"/>
          <w:lang w:bidi="fa-IR"/>
          <w:color w:val="111111"/>
          <w:sz w:val="28"/>
          <w:szCs w:val="28"/>
          <w:rtl/>
        </w:rPr>
        <w:t xml:space="preserve">و ثانیا:لو سلّمنا شمولها لصورة العلم الإجمالی حتّی تشمل الشبهة الغیر المحصورة،لکنّها تشمل المحصورة أیضا،و أخبار </w:t>
      </w:r>
      <w:r>
        <w:rPr>
          <w:rStyle w:val="FootnoteReference"/>
        </w:rPr>
        <w:footnoteReference w:id="832"/>
      </w:r>
      <w:r>
        <w:rPr>
          <w:rFonts w:ascii="IRNazanin" w:hAnsi="IRNazanin" w:eastAsia="IRNazanin" w:cs="IRNazanin"/>
          <w:lang w:bidi="fa-IR"/>
          <w:color w:val="111111"/>
          <w:sz w:val="28"/>
          <w:szCs w:val="28"/>
          <w:rtl/>
        </w:rPr>
        <w:t xml:space="preserve">وجوب الاجتناب مختصّة بغیر الشبهة الابتدائیّة إجماعا،فهی علی عمومها للشبهة الغیر المحصورة أیضا أخصّ مطلقا من أخبار الرخصة.</w:t>
      </w:r>
    </w:p>
    <w:p>
      <w:pPr>
        <w:pStyle w:val="BookText"/>
      </w:pPr>
      <w:r>
        <w:rPr>
          <w:rFonts w:ascii="IRNazanin" w:hAnsi="IRNazanin" w:eastAsia="IRNazanin" w:cs="IRNazanin"/>
          <w:lang w:bidi="fa-IR"/>
          <w:color w:val="111111"/>
          <w:sz w:val="28"/>
          <w:szCs w:val="28"/>
          <w:rtl/>
        </w:rPr>
        <w:t xml:space="preserve">و الحاصل:أنّ أخبار الحلّ نصّ فی الشبهة الابتدائیّة و أخبار الاجتناب نصّ فی الشبهة المحصورة،و کلا الطرفین ظاهران فی الشبهة الغیر المحصورة،فإخراجها عن أحدهما و إدخالها فی الآخر لیس جمعا، بل ترجیحا بلا مرجّح.</w:t>
      </w:r>
    </w:p>
    <w:p>
      <w:pPr>
        <w:pStyle w:val="BookText"/>
      </w:pPr>
      <w:r>
        <w:rPr>
          <w:rFonts w:ascii="IRNazanin" w:hAnsi="IRNazanin" w:eastAsia="IRNazanin" w:cs="IRNazanin"/>
          <w:lang w:bidi="fa-IR"/>
          <w:color w:val="111111"/>
          <w:sz w:val="28"/>
          <w:szCs w:val="28"/>
          <w:rtl/>
        </w:rPr>
        <w:t xml:space="preserve">إلاّ أن یقال:إنّ أکثر أفراد الشبهة الابتدائیّة ترجع بالأخرة إلی الشبهة الغیر المحصورة؛لأنّا نعلم إجمالا </w:t>
      </w:r>
      <w:r>
        <w:rPr>
          <w:rStyle w:val="FootnoteReference"/>
        </w:rPr>
        <w:footnoteReference w:id="833"/>
      </w:r>
      <w:r>
        <w:rPr>
          <w:rFonts w:ascii="IRNazanin" w:hAnsi="IRNazanin" w:eastAsia="IRNazanin" w:cs="IRNazanin"/>
          <w:lang w:bidi="fa-IR"/>
          <w:color w:val="111111"/>
          <w:sz w:val="28"/>
          <w:szCs w:val="28"/>
          <w:rtl/>
        </w:rPr>
        <w:t xml:space="preserve">غالبا بوجود النجس و الحرام</w:t>
      </w:r>
    </w:p>
    <w:p>
      <w:pPr>
        <w:pStyle w:val="BookText"/>
      </w:pPr>
      <w:r>
        <w:rPr>
          <w:rFonts w:ascii="IRNazanin" w:hAnsi="IRNazanin" w:eastAsia="IRNazanin" w:cs="IRNazanin"/>
          <w:lang w:bidi="fa-IR"/>
          <w:color w:val="111111"/>
          <w:sz w:val="28"/>
          <w:szCs w:val="28"/>
          <w:rtl/>
        </w:rPr>
        <w:t xml:space="preserve">[شماره صفحه واقعی : 261]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72" w:name="pg14411_142651"/>
    <w:bookmarkEnd w:id="172"/>
    <w:p>
      <w:pPr>
        <w:pStyle w:val="BookText"/>
      </w:pPr>
      <w:r>
        <w:rPr>
          <w:rFonts w:ascii="IRNazanin" w:hAnsi="IRNazanin" w:eastAsia="IRNazanin" w:cs="IRNazanin"/>
          <w:lang w:bidi="fa-IR"/>
          <w:color w:val="111111"/>
          <w:sz w:val="28"/>
          <w:szCs w:val="28"/>
          <w:rtl/>
        </w:rPr>
        <w:t xml:space="preserve">فی الوقائع المجهولة الغیر </w:t>
      </w:r>
      <w:r>
        <w:rPr>
          <w:rStyle w:val="FootnoteReference"/>
        </w:rPr>
        <w:footnoteReference w:id="834"/>
      </w:r>
      <w:r>
        <w:rPr>
          <w:rFonts w:ascii="IRNazanin" w:hAnsi="IRNazanin" w:eastAsia="IRNazanin" w:cs="IRNazanin"/>
          <w:lang w:bidi="fa-IR"/>
          <w:color w:val="111111"/>
          <w:sz w:val="28"/>
          <w:szCs w:val="28"/>
          <w:rtl/>
        </w:rPr>
        <w:t xml:space="preserve">المحصورة،فلو اخرجت هذه الشبهة عن أخبار الحلّ لم یبق تحتها من الأفراد إلاّ النادر،و هو لا یناسب مساق هذه الأخبار،فتدبّر.</w:t>
      </w:r>
    </w:p>
    <w:p>
      <w:pPr>
        <w:pStyle w:val="Heading6"/>
      </w:pPr>
      <w:bookmarkStart w:id="1319" w:name="_Toc354"/>
      <w:r>
        <w:t>الوجه الرابع: [بعض الأخبار فی خصوص المسألة]</w:t>
      </w:r>
      <w:bookmarkEnd w:id="1319"/>
    </w:p>
    <w:p>
      <w:pPr>
        <w:pStyle w:val="BookText"/>
      </w:pPr>
      <w:r>
        <w:rPr>
          <w:rFonts w:ascii="IRNazanin" w:hAnsi="IRNazanin" w:eastAsia="IRNazanin" w:cs="IRNazanin"/>
          <w:lang w:bidi="fa-IR"/>
          <w:color w:val="111111"/>
          <w:sz w:val="28"/>
          <w:szCs w:val="28"/>
          <w:rtl/>
        </w:rPr>
        <w:t xml:space="preserve">بعض الأخبار الدالّة علی أنّ مجرّد العلم بوجود الحرام بین المشتبهات لا یوجب الاجتناب عن جمیع ما یحتمل کونه حراما،مثل ما فی </w:t>
      </w:r>
      <w:r>
        <w:rPr>
          <w:rStyle w:val="FootnoteReference"/>
        </w:rPr>
        <w:footnoteReference w:id="835"/>
      </w:r>
      <w:r>
        <w:rPr>
          <w:rFonts w:ascii="IRNazanin" w:hAnsi="IRNazanin" w:eastAsia="IRNazanin" w:cs="IRNazanin"/>
          <w:lang w:bidi="fa-IR"/>
          <w:color w:val="111111"/>
          <w:sz w:val="28"/>
          <w:szCs w:val="28"/>
          <w:rtl/>
        </w:rPr>
        <w:t xml:space="preserve">محاسن البرقی،عن أبی الجارود،قال:</w:t>
      </w:r>
    </w:p>
    <w:p>
      <w:pPr>
        <w:pStyle w:val="BookText"/>
      </w:pPr>
      <w:r>
        <w:rPr>
          <w:rFonts w:ascii="IRNazanin" w:hAnsi="IRNazanin" w:eastAsia="IRNazanin" w:cs="IRNazanin"/>
          <w:lang w:bidi="fa-IR"/>
          <w:color w:val="111111"/>
          <w:sz w:val="28"/>
          <w:szCs w:val="28"/>
          <w:rtl/>
        </w:rPr>
        <w:t xml:space="preserve">«سألت أبا جعفر علیه السّلام عن الجبن،فقلت:أخبرنی من رأی أنّه یجعل فیه المیتة،فقال:أ من أجل مکان واحد یجعل فیه المیتة حرّم جمیع ما فی الأرض؟!فما علمت فیه میتة فلا تأکله،و ما لم تعلم فاشتر و بع و کل،و اللّه إنّی لأعترض السوق فأشتری اللحم و السّمن و الجبن، و اللّه ما أظنّ کلّهم یسمّون،هذه البربر و هذه السودان...الخبر» </w:t>
      </w:r>
      <w:r>
        <w:rPr>
          <w:rStyle w:val="FootnoteReference"/>
        </w:rPr>
        <w:footnoteReference w:id="8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قوله:«أ من أجل مکان واحد...الخبر»ظاهر فی أنّ مجرّد العلم بوجود الحرام لا یوجب الاجتناب عن محتملاته.</w:t>
      </w:r>
    </w:p>
    <w:p>
      <w:pPr>
        <w:pStyle w:val="BookText"/>
      </w:pPr>
      <w:r>
        <w:rPr>
          <w:rFonts w:ascii="IRNazanin" w:hAnsi="IRNazanin" w:eastAsia="IRNazanin" w:cs="IRNazanin"/>
          <w:lang w:bidi="fa-IR"/>
          <w:color w:val="111111"/>
          <w:sz w:val="28"/>
          <w:szCs w:val="28"/>
          <w:rtl/>
        </w:rPr>
        <w:t xml:space="preserve">و کذا قوله علیه السّلام:«و اللّه ما أظنّ کلّهم یسمّون»؛فإنّ الظاهر منه إرادة العلم بعدم تسمیة جماعة حین الذبح،کالبربر و السودان.</w:t>
      </w:r>
    </w:p>
    <w:p>
      <w:pPr>
        <w:pStyle w:val="BookText"/>
      </w:pPr>
      <w:r>
        <w:rPr>
          <w:rFonts w:ascii="IRNazanin" w:hAnsi="IRNazanin" w:eastAsia="IRNazanin" w:cs="IRNazanin"/>
          <w:lang w:bidi="fa-IR"/>
          <w:color w:val="111111"/>
          <w:sz w:val="28"/>
          <w:szCs w:val="28"/>
          <w:rtl/>
        </w:rPr>
        <w:t xml:space="preserve">[شماره صفحه واقعی : 262]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73" w:name="pg14411_142652"/>
    <w:bookmarkEnd w:id="173"/>
    <w:p>
      <w:pPr>
        <w:pStyle w:val="BookText"/>
      </w:pPr>
      <w:r>
        <w:rPr>
          <w:rFonts w:ascii="IRNazanin" w:hAnsi="IRNazanin" w:eastAsia="IRNazanin" w:cs="IRNazanin"/>
          <w:lang w:bidi="fa-IR"/>
          <w:color w:val="111111"/>
          <w:sz w:val="28"/>
          <w:szCs w:val="28"/>
          <w:rtl/>
        </w:rPr>
        <w:t xml:space="preserve">إلاّ أن یدّعی:أنّ المراد أنّ جعل المیتة فی الجبن فی مکان واحد لا یوجب الاجتناب عن جبن غیره من الأماکن،و لا کلام فی ذلک، لا أنّه لا یوجب الاجتناب عن کلّ جبن یحتمل أن یکون من ذلک المکان،فلا دخل له بالمدّعی.</w:t>
      </w:r>
    </w:p>
    <w:p>
      <w:pPr>
        <w:pStyle w:val="BookText"/>
      </w:pPr>
      <w:r>
        <w:rPr>
          <w:rFonts w:ascii="IRNazanin" w:hAnsi="IRNazanin" w:eastAsia="IRNazanin" w:cs="IRNazanin"/>
          <w:lang w:bidi="fa-IR"/>
          <w:color w:val="111111"/>
          <w:sz w:val="28"/>
          <w:szCs w:val="28"/>
          <w:rtl/>
        </w:rPr>
        <w:t xml:space="preserve">و أمّا قوله:«ما أظنّ کلّهم یسمّون»،فالمراد منه عدم وجوب الظنّ أو القطع بالحلّیة،بل یکفی أخذها من سوق المسلمین؛بناء علی أنّ السوق أمارة شرعیّة لحلّ الجبن المأخوذ منه و لو من ید مجهول الإسلام.</w:t>
      </w:r>
    </w:p>
    <w:p>
      <w:pPr>
        <w:pStyle w:val="BookText"/>
      </w:pPr>
      <w:r>
        <w:rPr>
          <w:rFonts w:ascii="IRNazanin" w:hAnsi="IRNazanin" w:eastAsia="IRNazanin" w:cs="IRNazanin"/>
          <w:lang w:bidi="fa-IR"/>
          <w:color w:val="111111"/>
          <w:sz w:val="28"/>
          <w:szCs w:val="28"/>
          <w:rtl/>
        </w:rPr>
        <w:t xml:space="preserve">إلاّ أن یقال:إنّ سوق المسلمین غیر معتبر مع العلم الإجمالیّ بوجود الحرام،فلا مسوّغ للارتکاب إلاّ کون الشبهة غیر محصورة، فتأمّل.</w:t>
      </w:r>
    </w:p>
    <w:p>
      <w:pPr>
        <w:pStyle w:val="Heading6"/>
      </w:pPr>
      <w:bookmarkStart w:id="1320" w:name="_Toc355"/>
      <w:r>
        <w:t>الوجه الخامس: [أصالة البراءة]</w:t>
      </w:r>
      <w:bookmarkEnd w:id="1320"/>
    </w:p>
    <w:p>
      <w:pPr>
        <w:pStyle w:val="Heading6"/>
      </w:pPr>
      <w:bookmarkStart w:id="1321" w:name="_Toc356"/>
      <w:r>
        <w:t>اشارة</w:t>
      </w:r>
      <w:bookmarkEnd w:id="1321"/>
    </w:p>
    <w:p>
      <w:pPr>
        <w:pStyle w:val="BookText"/>
      </w:pPr>
      <w:r>
        <w:rPr>
          <w:rFonts w:ascii="IRNazanin" w:hAnsi="IRNazanin" w:eastAsia="IRNazanin" w:cs="IRNazanin"/>
          <w:lang w:bidi="fa-IR"/>
          <w:color w:val="111111"/>
          <w:sz w:val="28"/>
          <w:szCs w:val="28"/>
          <w:rtl/>
        </w:rPr>
        <w:t xml:space="preserve">أصالة البراءة؛بناء علی أنّ المانع من إجرائها لیس إلاّ العلم الإجمالیّ بوجود الحرام،لکنّه إنّما یوجب الاجتناب عن محتملاته من باب المقدّمة العلمیّة،التی لا تجب إلاّ لأجل وجوب دفع الضرر و هو العقاب المحتمل فی فعل کلّ واحد من المحتملات،و هذا لا یجری فی المحتملات الغیر المحصورة؛ضرورة أنّ کثرة الاحتمال توجب عدم الاعتناء بالضرر المعلوم وجوده بین المحتملات.</w:t>
      </w:r>
    </w:p>
    <w:p>
      <w:pPr>
        <w:pStyle w:val="BookText"/>
      </w:pPr>
      <w:r>
        <w:rPr>
          <w:rFonts w:ascii="IRNazanin" w:hAnsi="IRNazanin" w:eastAsia="IRNazanin" w:cs="IRNazanin"/>
          <w:lang w:bidi="fa-IR"/>
          <w:color w:val="111111"/>
          <w:sz w:val="28"/>
          <w:szCs w:val="28"/>
          <w:rtl/>
        </w:rPr>
        <w:t xml:space="preserve">أ لا تری الفرق الواضح بین العلم بوجود السمّ فی أحد إناءین أو واحد </w:t>
      </w:r>
      <w:r>
        <w:rPr>
          <w:rStyle w:val="FootnoteReference"/>
        </w:rPr>
        <w:footnoteReference w:id="837"/>
      </w:r>
      <w:r>
        <w:rPr>
          <w:rFonts w:ascii="IRNazanin" w:hAnsi="IRNazanin" w:eastAsia="IRNazanin" w:cs="IRNazanin"/>
          <w:lang w:bidi="fa-IR"/>
          <w:color w:val="111111"/>
          <w:sz w:val="28"/>
          <w:szCs w:val="28"/>
          <w:rtl/>
        </w:rPr>
        <w:t xml:space="preserve">من ألفی إناء؟و کذلک بین قذف أحد الشخصین لا بعینه</w:t>
      </w:r>
    </w:p>
    <w:p>
      <w:pPr>
        <w:pStyle w:val="BookText"/>
      </w:pPr>
      <w:r>
        <w:rPr>
          <w:rFonts w:ascii="IRNazanin" w:hAnsi="IRNazanin" w:eastAsia="IRNazanin" w:cs="IRNazanin"/>
          <w:lang w:bidi="fa-IR"/>
          <w:color w:val="111111"/>
          <w:sz w:val="28"/>
          <w:szCs w:val="28"/>
          <w:rtl/>
        </w:rPr>
        <w:t xml:space="preserve">[شماره صفحه واقعی : 263]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74" w:name="pg14411_142653"/>
    <w:bookmarkEnd w:id="174"/>
    <w:p>
      <w:pPr>
        <w:pStyle w:val="BookText"/>
      </w:pPr>
      <w:r>
        <w:rPr>
          <w:rFonts w:ascii="IRNazanin" w:hAnsi="IRNazanin" w:eastAsia="IRNazanin" w:cs="IRNazanin"/>
          <w:lang w:bidi="fa-IR"/>
          <w:color w:val="111111"/>
          <w:sz w:val="28"/>
          <w:szCs w:val="28"/>
          <w:rtl/>
        </w:rPr>
        <w:t xml:space="preserve">و بین قذف واحد من أهل بلد؟فإنّ الشخصین کلیهما </w:t>
      </w:r>
      <w:r>
        <w:rPr>
          <w:rStyle w:val="FootnoteReference"/>
        </w:rPr>
        <w:footnoteReference w:id="838"/>
      </w:r>
      <w:r>
        <w:rPr>
          <w:rFonts w:ascii="IRNazanin" w:hAnsi="IRNazanin" w:eastAsia="IRNazanin" w:cs="IRNazanin"/>
          <w:lang w:bidi="fa-IR"/>
          <w:color w:val="111111"/>
          <w:sz w:val="28"/>
          <w:szCs w:val="28"/>
          <w:rtl/>
        </w:rPr>
        <w:t xml:space="preserve">یتأثّران بالأوّل و لا یتأثّر أحد من أهل البلد بالثانی.</w:t>
      </w:r>
    </w:p>
    <w:p>
      <w:pPr>
        <w:pStyle w:val="BookText"/>
      </w:pPr>
      <w:r>
        <w:rPr>
          <w:rFonts w:ascii="IRNazanin" w:hAnsi="IRNazanin" w:eastAsia="IRNazanin" w:cs="IRNazanin"/>
          <w:lang w:bidi="fa-IR"/>
          <w:color w:val="111111"/>
          <w:sz w:val="28"/>
          <w:szCs w:val="28"/>
          <w:rtl/>
        </w:rPr>
        <w:t xml:space="preserve">و کذا الحال:لو أخبر شخص بموت الشخص المردّد بین ولده و شخص آخر،و بموت المردّد بین ولده و بین کلّ واحد من أهل بلده؛ فإنّه لا یضطرب خاطره فی الثانی أصلا.</w:t>
      </w:r>
    </w:p>
    <w:p>
      <w:pPr>
        <w:pStyle w:val="BookText"/>
      </w:pPr>
      <w:r>
        <w:rPr>
          <w:rFonts w:ascii="IRNazanin" w:hAnsi="IRNazanin" w:eastAsia="IRNazanin" w:cs="IRNazanin"/>
          <w:lang w:bidi="fa-IR"/>
          <w:color w:val="111111"/>
          <w:sz w:val="28"/>
          <w:szCs w:val="28"/>
          <w:rtl/>
        </w:rPr>
        <w:t xml:space="preserve">و إن شئت قلت:إنّ ارتکاب المحتمل فی الشبهة الغیر المحصورة لا یکون عند العقلاء إلاّ کارتکاب الشبهة الغیر المقرونة بالعلم الإجمالیّ.</w:t>
      </w:r>
    </w:p>
    <w:p>
      <w:pPr>
        <w:pStyle w:val="BookText"/>
      </w:pPr>
      <w:r>
        <w:rPr>
          <w:rFonts w:ascii="IRNazanin" w:hAnsi="IRNazanin" w:eastAsia="IRNazanin" w:cs="IRNazanin"/>
          <w:lang w:bidi="fa-IR"/>
          <w:color w:val="111111"/>
          <w:sz w:val="28"/>
          <w:szCs w:val="28"/>
          <w:rtl/>
        </w:rPr>
        <w:t xml:space="preserve">و کأنّ ما ذکره الإمام علیه السّلام فی الروایة المتقدّمة </w:t>
      </w:r>
      <w:r>
        <w:rPr>
          <w:rStyle w:val="FootnoteReference"/>
        </w:rPr>
        <w:footnoteReference w:id="839"/>
      </w:r>
      <w:r>
        <w:rPr>
          <w:rFonts w:ascii="IRNazanin" w:hAnsi="IRNazanin" w:eastAsia="IRNazanin" w:cs="IRNazanin"/>
          <w:lang w:bidi="fa-IR"/>
          <w:color w:val="111111"/>
          <w:sz w:val="28"/>
          <w:szCs w:val="28"/>
          <w:rtl/>
        </w:rPr>
        <w:t xml:space="preserve">من قوله:</w:t>
      </w:r>
    </w:p>
    <w:p>
      <w:pPr>
        <w:pStyle w:val="BookText"/>
      </w:pPr>
      <w:r>
        <w:rPr>
          <w:rFonts w:ascii="IRNazanin" w:hAnsi="IRNazanin" w:eastAsia="IRNazanin" w:cs="IRNazanin"/>
          <w:lang w:bidi="fa-IR"/>
          <w:color w:val="111111"/>
          <w:sz w:val="28"/>
          <w:szCs w:val="28"/>
          <w:rtl/>
        </w:rPr>
        <w:t xml:space="preserve">«أ من أجل مکان واحد...الخبر»-بناء علی الاستدلال به-إشارة إلی هذا المعنی؛حیث إنّه جعل کون حرمة الجبن فی مکان واحد منشأ لحرمة جمیع محتملاته الغیر المحصورة،من المنکرات المعلومة عند العقلاء التی لا ینبغی للمخاطب أن یقبلها؛کما یشهد بذلک کلمة الاستفهام الإنکاریّ.لکن عرفت:أنّ فیه احتمالا آخر یتمّ معه الاستفهام الانکاریّ أیضا </w:t>
      </w:r>
      <w:r>
        <w:rPr>
          <w:rStyle w:val="FootnoteReference"/>
        </w:rPr>
        <w:footnoteReference w:id="840"/>
      </w:r>
      <w:r>
        <w:rPr>
          <w:rFonts w:ascii="Times New Roman" w:hAnsi="Times New Roman" w:eastAsia="Times New Roman" w:cs="Times New Roman"/>
          <w:lang w:val="en-US" w:bidi="en-US"/>
          <w:color w:val="111111"/>
          <w:sz w:val="28"/>
          <w:szCs w:val="28"/>
          <w:rtl/>
        </w:rPr>
        <w:t xml:space="preserve">.</w:t>
      </w:r>
    </w:p>
    <w:p>
      <w:pPr>
        <w:pStyle w:val="Heading6"/>
      </w:pPr>
      <w:bookmarkStart w:id="1322" w:name="_Toc357"/>
      <w:r>
        <w:t>و حاصل هذا الوجه:</w:t>
      </w:r>
      <w:bookmarkEnd w:id="1322"/>
    </w:p>
    <w:p>
      <w:pPr>
        <w:pStyle w:val="BookText"/>
      </w:pPr>
      <w:r>
        <w:rPr>
          <w:rFonts w:ascii="IRNazanin" w:hAnsi="IRNazanin" w:eastAsia="IRNazanin" w:cs="IRNazanin"/>
          <w:lang w:bidi="fa-IR"/>
          <w:color w:val="111111"/>
          <w:sz w:val="28"/>
          <w:szCs w:val="28"/>
          <w:rtl/>
        </w:rPr>
        <w:t xml:space="preserve">أنّ العقل إذا لم یستقلّ بوجوب دفع العقاب المحتمل عند کثرة المحتملات،فلیس هنا ما یوجب علی المکلّف الاجتناب عن کلّ محتمل،فیکون عقابه حینئذ عقابا من دون برهان؛</w:t>
      </w:r>
    </w:p>
    <w:p>
      <w:pPr>
        <w:pStyle w:val="BookText"/>
      </w:pPr>
      <w:r>
        <w:rPr>
          <w:rFonts w:ascii="IRNazanin" w:hAnsi="IRNazanin" w:eastAsia="IRNazanin" w:cs="IRNazanin"/>
          <w:lang w:bidi="fa-IR"/>
          <w:color w:val="111111"/>
          <w:sz w:val="28"/>
          <w:szCs w:val="28"/>
          <w:rtl/>
        </w:rPr>
        <w:t xml:space="preserve">[شماره صفحه واقعی : 264]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75" w:name="pg14411_142654"/>
    <w:bookmarkEnd w:id="175"/>
    <w:p>
      <w:pPr>
        <w:pStyle w:val="BookText"/>
      </w:pPr>
      <w:r>
        <w:rPr>
          <w:rFonts w:ascii="IRNazanin" w:hAnsi="IRNazanin" w:eastAsia="IRNazanin" w:cs="IRNazanin"/>
          <w:lang w:bidi="fa-IR"/>
          <w:color w:val="111111"/>
          <w:sz w:val="28"/>
          <w:szCs w:val="28"/>
          <w:rtl/>
        </w:rPr>
        <w:t xml:space="preserve">فعلم من ذلک:أنّ الآمر اکتفی فی المحرّم المعلوم إجمالا بین المحتملات، بعدم العلم التفصیلیّ بإتیانه،و لم یعتبر العلم بعدم إتیانه،فتأمّل.</w:t>
      </w:r>
    </w:p>
    <w:p>
      <w:pPr>
        <w:pStyle w:val="Heading6"/>
      </w:pPr>
      <w:bookmarkStart w:id="1323" w:name="_Toc358"/>
      <w:r>
        <w:t>الوجه السادس: [عدم الابتلاء إلاّ ببعض معیّن]</w:t>
      </w:r>
      <w:bookmarkEnd w:id="1323"/>
    </w:p>
    <w:p>
      <w:pPr>
        <w:pStyle w:val="BookText"/>
      </w:pPr>
      <w:r>
        <w:rPr>
          <w:rFonts w:ascii="IRNazanin" w:hAnsi="IRNazanin" w:eastAsia="IRNazanin" w:cs="IRNazanin"/>
          <w:lang w:bidi="fa-IR"/>
          <w:color w:val="111111"/>
          <w:sz w:val="28"/>
          <w:szCs w:val="28"/>
          <w:rtl/>
        </w:rPr>
        <w:t xml:space="preserve">أنّ الغالب عدم ابتلاء المکلّف إلاّ ببعض معیّن من محتملات الشبهة الغیر المحصورة و یکون الباقی خارجا عن محلّ ابتلائه،و قد تقدّم </w:t>
      </w:r>
      <w:r>
        <w:rPr>
          <w:rStyle w:val="FootnoteReference"/>
        </w:rPr>
        <w:footnoteReference w:id="841"/>
      </w:r>
      <w:r>
        <w:rPr>
          <w:rFonts w:ascii="IRNazanin" w:hAnsi="IRNazanin" w:eastAsia="IRNazanin" w:cs="IRNazanin"/>
          <w:lang w:bidi="fa-IR"/>
          <w:color w:val="111111"/>
          <w:sz w:val="28"/>
          <w:szCs w:val="28"/>
          <w:rtl/>
        </w:rPr>
        <w:t xml:space="preserve">عدم وجوب الاجتناب فی مثله مع حصر الشبهة،فضلا عن غیر المحصورة.</w:t>
      </w:r>
    </w:p>
    <w:p>
      <w:pPr>
        <w:pStyle w:val="Heading6"/>
      </w:pPr>
      <w:bookmarkStart w:id="1324" w:name="_Toc359"/>
      <w:r>
        <w:t>[المستفاد من الأدلّة المذکورة]</w:t>
      </w:r>
      <w:bookmarkEnd w:id="1324"/>
    </w:p>
    <w:p>
      <w:pPr>
        <w:pStyle w:val="BookText"/>
      </w:pPr>
      <w:r>
        <w:rPr>
          <w:rFonts w:ascii="IRNazanin" w:hAnsi="IRNazanin" w:eastAsia="IRNazanin" w:cs="IRNazanin"/>
          <w:lang w:bidi="fa-IR"/>
          <w:color w:val="111111"/>
          <w:sz w:val="28"/>
          <w:szCs w:val="28"/>
          <w:rtl/>
        </w:rPr>
        <w:t xml:space="preserve">هذا غایة ما یمکن أن یستدلّ به علی حکم الشبهة الغیر المحصورة، و قد عرفت:أنّ أکثرها لا یخلو من منع أو قصور،لکنّ المجموع منها لعلّه یفید القطع أو الظنّ بعدم وجوب الاحتیاط فی الجملة.و المسألة فرعیّة یکتفی فیها بالظنّ.</w:t>
      </w:r>
    </w:p>
    <w:p>
      <w:pPr>
        <w:pStyle w:val="Heading6"/>
      </w:pPr>
      <w:bookmarkStart w:id="1325" w:name="_Toc360"/>
      <w:r>
        <w:t>إلاّ أنّ الکلام یقع فی موارد</w:t>
      </w:r>
      <w:bookmarkEnd w:id="1325"/>
    </w:p>
    <w:p>
      <w:pPr>
        <w:pStyle w:val="Heading6"/>
      </w:pPr>
      <w:bookmarkStart w:id="1326" w:name="_Toc361"/>
      <w:r>
        <w:t>اشارة</w:t>
      </w:r>
      <w:bookmarkEnd w:id="1326"/>
    </w:p>
    <w:p>
      <w:pPr>
        <w:pStyle w:val="BookText"/>
      </w:pPr>
      <w:r>
        <w:rPr>
          <w:rFonts w:ascii="IRNazanin" w:hAnsi="IRNazanin" w:eastAsia="IRNazanin" w:cs="IRNazanin"/>
          <w:lang w:bidi="fa-IR"/>
          <w:color w:val="111111"/>
          <w:sz w:val="28"/>
          <w:szCs w:val="28"/>
          <w:rtl/>
        </w:rPr>
        <w:t xml:space="preserve">[شماره صفحه واقعی : 265]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76" w:name="pg14411_142655"/>
    <w:bookmarkEnd w:id="176"/>
    <w:p>
      <w:pPr>
        <w:pStyle w:val="Heading6"/>
      </w:pPr>
      <w:bookmarkStart w:id="1327" w:name="_Toc362"/>
      <w:r>
        <w:t>المورد الأوّل [:هل یجوز ارتکاب جمیع المشتبهات فی غیر المحصور؟]</w:t>
      </w:r>
      <w:bookmarkEnd w:id="1327"/>
    </w:p>
    <w:p>
      <w:pPr>
        <w:pStyle w:val="Heading6"/>
      </w:pPr>
      <w:bookmarkStart w:id="1328" w:name="_Toc363"/>
      <w:r>
        <w:t>اشارة</w:t>
      </w:r>
      <w:bookmarkEnd w:id="1328"/>
    </w:p>
    <w:p>
      <w:pPr>
        <w:pStyle w:val="BookText"/>
      </w:pPr>
      <w:r>
        <w:rPr>
          <w:rFonts w:ascii="Amiri" w:hAnsi="Amiri" w:eastAsia="Amiri" w:cs="Amiri"/>
          <w:lang w:bidi="ar-SA"/>
          <w:color w:val="111111"/>
          <w:sz w:val="28"/>
          <w:szCs w:val="28"/>
          <w:rtl/>
        </w:rPr>
        <w:t xml:space="preserve">أنّه </w:t>
      </w:r>
      <w:r>
        <w:rPr>
          <w:rStyle w:val="FootnoteReference"/>
        </w:rPr>
        <w:footnoteReference w:id="842"/>
      </w:r>
      <w:r>
        <w:rPr>
          <w:rFonts w:ascii="IRNazanin" w:hAnsi="IRNazanin" w:eastAsia="IRNazanin" w:cs="IRNazanin"/>
          <w:lang w:bidi="fa-IR"/>
          <w:color w:val="111111"/>
          <w:sz w:val="28"/>
          <w:szCs w:val="28"/>
          <w:rtl/>
        </w:rPr>
        <w:t xml:space="preserve">هل یجوز ارتکاب جمیع المشتبهات فی غیر المحصورة بحیث یلزم العلم التفصیلیّ،أم یجب إبقاء مقدار الحرام؟</w:t>
      </w:r>
    </w:p>
    <w:p>
      <w:pPr>
        <w:pStyle w:val="BookText"/>
      </w:pPr>
      <w:r>
        <w:rPr>
          <w:rFonts w:ascii="IRNazanin" w:hAnsi="IRNazanin" w:eastAsia="IRNazanin" w:cs="IRNazanin"/>
          <w:lang w:bidi="fa-IR"/>
          <w:color w:val="111111"/>
          <w:sz w:val="28"/>
          <w:szCs w:val="28"/>
          <w:rtl/>
        </w:rPr>
        <w:t xml:space="preserve">ظاهر إطلاق القول بعدم وجوب الاجتناب هو الأوّل،لکن یحتمل أن یکون مرادهم عدم وجوب الاحتیاط فیه فی مقابلة الشبهة المحصورة التی قالوا فیها بوجوب الاجتناب،و هذا غیر بعید عن مساق کلامهم.فحینئذ لا یعمّ معقد إجماعهم لحکم ارتکاب الکلّ،إلاّ أنّ الأخبار لو عمّت المقام دلّت علی الجواز.</w:t>
      </w:r>
    </w:p>
    <w:p>
      <w:pPr>
        <w:pStyle w:val="BookText"/>
      </w:pPr>
      <w:r>
        <w:rPr>
          <w:rFonts w:ascii="IRNazanin" w:hAnsi="IRNazanin" w:eastAsia="IRNazanin" w:cs="IRNazanin"/>
          <w:lang w:bidi="fa-IR"/>
          <w:color w:val="111111"/>
          <w:sz w:val="28"/>
          <w:szCs w:val="28"/>
          <w:rtl/>
        </w:rPr>
        <w:t xml:space="preserve">و أمّا الوجه الخامس،فالظاهر دلالته علی جواز الارتکاب،لکن مع عدم العزم علی ذلک من أوّل الأمر،و أمّا معه فالظاهر صدق المعصیة عند مصادفة الحرام،فیستحقّ العقاب.</w:t>
      </w:r>
    </w:p>
    <w:p>
      <w:pPr>
        <w:pStyle w:val="BookText"/>
      </w:pPr>
      <w:r>
        <w:rPr>
          <w:rFonts w:ascii="IRNazanin" w:hAnsi="IRNazanin" w:eastAsia="IRNazanin" w:cs="IRNazanin"/>
          <w:lang w:bidi="fa-IR"/>
          <w:color w:val="111111"/>
          <w:sz w:val="28"/>
          <w:szCs w:val="28"/>
          <w:rtl/>
        </w:rPr>
        <w:t xml:space="preserve">فالأقوی فی المسألة:عدم جواز الارتکاب إذا قصد ذلک من أوّل الأمر؛فإنّ قصده قصد للمخالفة و المعصیة،فیستحقّ العقاب بمصادفة الحرام.</w:t>
      </w:r>
    </w:p>
    <w:p>
      <w:pPr>
        <w:pStyle w:val="Heading6"/>
      </w:pPr>
      <w:bookmarkStart w:id="1329" w:name="_Toc364"/>
      <w:r>
        <w:t>[التحقیق عدم جواز ارتکاب الکلّ]</w:t>
      </w:r>
      <w:bookmarkEnd w:id="1329"/>
    </w:p>
    <w:p>
      <w:pPr>
        <w:pStyle w:val="BookText"/>
      </w:pPr>
      <w:r>
        <w:rPr>
          <w:rFonts w:ascii="IRNazanin" w:hAnsi="IRNazanin" w:eastAsia="IRNazanin" w:cs="IRNazanin"/>
          <w:lang w:bidi="fa-IR"/>
          <w:color w:val="111111"/>
          <w:sz w:val="28"/>
          <w:szCs w:val="28"/>
          <w:rtl/>
        </w:rPr>
        <w:t xml:space="preserve">و التحقیق:عدم جواز ارتکاب الکلّ؛لاستلزامه طرح الدلیل الواقعیّ الدالّ علی وجوب الاجتناب عن المحرّم الواقعیّ،کالخمر فی قوله:«اجتنب عن الخمر»؛لأنّ هذا التکلیف لا یسقط من المکلّف مع علمه بوجود الخمر بین المشتبهات،غایة ما ثبت فی غیر المحصور:</w:t>
      </w:r>
    </w:p>
    <w:p>
      <w:pPr>
        <w:pStyle w:val="BookText"/>
      </w:pPr>
      <w:r>
        <w:rPr>
          <w:rFonts w:ascii="IRNazanin" w:hAnsi="IRNazanin" w:eastAsia="IRNazanin" w:cs="IRNazanin"/>
          <w:lang w:bidi="fa-IR"/>
          <w:color w:val="111111"/>
          <w:sz w:val="28"/>
          <w:szCs w:val="28"/>
          <w:rtl/>
        </w:rPr>
        <w:t xml:space="preserve">[شماره صفحه واقعی : 266]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الاکتفاء فی امتثاله بترک بعض المحتملات،فیکون البعض المتروک بدلا ظاهریّا عن الحرام الواقعیّ؛و إلاّ فإخراج الخمر الموجود یقینا بین المشتبهات عن عموم قوله:«اجتنب عن کلّ خمر»،اعتراف بعدم حرمته واقعا،و هو معلوم البطلان.</w:t>
      </w:r>
    </w:p>
    <w:p>
      <w:pPr>
        <w:pStyle w:val="BookText"/>
      </w:pPr>
      <w:r>
        <w:rPr>
          <w:rFonts w:ascii="IRNazanin" w:hAnsi="IRNazanin" w:eastAsia="IRNazanin" w:cs="IRNazanin"/>
          <w:lang w:bidi="fa-IR"/>
          <w:color w:val="111111"/>
          <w:sz w:val="28"/>
          <w:szCs w:val="28"/>
          <w:rtl/>
        </w:rPr>
        <w:t xml:space="preserve">هذا إذا قصد الجمیع من أوّل الأمر لأنفسها.و لو قصد نفس الحرام من ارتکاب الجمیع فارتکب الکلّ مقدّمة له،فالظاهر استحقاق العقاب؛للحرمة </w:t>
      </w:r>
      <w:r>
        <w:rPr>
          <w:rStyle w:val="FootnoteReference"/>
        </w:rPr>
        <w:footnoteReference w:id="843"/>
      </w:r>
      <w:r>
        <w:rPr>
          <w:rFonts w:ascii="IRNazanin" w:hAnsi="IRNazanin" w:eastAsia="IRNazanin" w:cs="IRNazanin"/>
          <w:lang w:bidi="fa-IR"/>
          <w:color w:val="111111"/>
          <w:sz w:val="28"/>
          <w:szCs w:val="28"/>
          <w:rtl/>
        </w:rPr>
        <w:t xml:space="preserve">من أوّل الارتکاب بناء علی حرمة التجرّی.</w:t>
      </w:r>
    </w:p>
    <w:p>
      <w:pPr>
        <w:pStyle w:val="BookText"/>
      </w:pPr>
      <w:r>
        <w:rPr>
          <w:rFonts w:ascii="IRNazanin" w:hAnsi="IRNazanin" w:eastAsia="IRNazanin" w:cs="IRNazanin"/>
          <w:lang w:bidi="fa-IR"/>
          <w:color w:val="111111"/>
          <w:sz w:val="28"/>
          <w:szCs w:val="28"/>
          <w:rtl/>
        </w:rPr>
        <w:t xml:space="preserve">فصور ارتکاب الکلّ ثلاث،عرفت کلّها.</w:t>
      </w:r>
    </w:p>
    <w:p>
      <w:pPr>
        <w:pStyle w:val="BookText"/>
      </w:pPr>
      <w:r>
        <w:rPr>
          <w:rFonts w:ascii="IRNazanin" w:hAnsi="IRNazanin" w:eastAsia="IRNazanin" w:cs="IRNazanin"/>
          <w:lang w:bidi="fa-IR"/>
          <w:color w:val="111111"/>
          <w:sz w:val="28"/>
          <w:szCs w:val="28"/>
          <w:rtl/>
        </w:rPr>
        <w:t xml:space="preserve">[شماره صفحه واقعی : 267]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177" w:name="pg14411_142657"/>
    <w:bookmarkEnd w:id="177"/>
    <w:p>
      <w:pPr>
        <w:pStyle w:val="Heading6"/>
      </w:pPr>
      <w:bookmarkStart w:id="1330" w:name="_Toc365"/>
      <w:r>
        <w:t>المورد الثانی [:ضابط المحصور و غیر المحصور]</w:t>
      </w:r>
      <w:bookmarkEnd w:id="1330"/>
    </w:p>
    <w:p>
      <w:pPr>
        <w:pStyle w:val="Heading6"/>
      </w:pPr>
      <w:bookmarkStart w:id="1331" w:name="_Toc366"/>
      <w:r>
        <w:t>[القول بأنّ المرجع فیه العرف و المناقشة فیه]</w:t>
      </w:r>
      <w:bookmarkEnd w:id="1331"/>
    </w:p>
    <w:p>
      <w:pPr>
        <w:pStyle w:val="BookText"/>
      </w:pPr>
      <w:r>
        <w:rPr>
          <w:rFonts w:ascii="IRNazanin" w:hAnsi="IRNazanin" w:eastAsia="IRNazanin" w:cs="IRNazanin"/>
          <w:lang w:bidi="fa-IR"/>
          <w:color w:val="111111"/>
          <w:sz w:val="28"/>
          <w:szCs w:val="28"/>
          <w:rtl/>
        </w:rPr>
        <w:t xml:space="preserve">اختلف عبارات الأصحاب فی بیان ضابط المحصور و غیره:فعن الشهید و المحقّق الثانیین </w:t>
      </w:r>
      <w:r>
        <w:rPr>
          <w:rStyle w:val="FootnoteReference"/>
        </w:rPr>
        <w:footnoteReference w:id="844"/>
      </w:r>
      <w:r>
        <w:rPr>
          <w:rFonts w:ascii="Amiri" w:hAnsi="Amiri" w:eastAsia="Amiri" w:cs="Amiri"/>
          <w:lang w:bidi="ar-SA"/>
          <w:color w:val="111111"/>
          <w:sz w:val="28"/>
          <w:szCs w:val="28"/>
          <w:rtl/>
        </w:rPr>
        <w:t xml:space="preserve">و المیسیّ </w:t>
      </w:r>
      <w:r>
        <w:rPr>
          <w:rStyle w:val="FootnoteReference"/>
        </w:rPr>
        <w:footnoteReference w:id="845"/>
      </w:r>
      <w:r>
        <w:rPr>
          <w:rFonts w:ascii="IRNazanin" w:hAnsi="IRNazanin" w:eastAsia="IRNazanin" w:cs="IRNazanin"/>
          <w:lang w:bidi="fa-IR"/>
          <w:color w:val="111111"/>
          <w:sz w:val="28"/>
          <w:szCs w:val="28"/>
          <w:rtl/>
        </w:rPr>
        <w:t xml:space="preserve">و صاحب المدارک </w:t>
      </w:r>
      <w:r>
        <w:rPr>
          <w:rStyle w:val="FootnoteReference"/>
        </w:rPr>
        <w:footnoteReference w:id="846"/>
      </w:r>
      <w:r>
        <w:rPr>
          <w:rFonts w:ascii="IRNazanin" w:hAnsi="IRNazanin" w:eastAsia="IRNazanin" w:cs="IRNazanin"/>
          <w:lang w:bidi="fa-IR"/>
          <w:color w:val="111111"/>
          <w:sz w:val="28"/>
          <w:szCs w:val="28"/>
          <w:rtl/>
        </w:rPr>
        <w:t xml:space="preserve">:أنّ المرجع فیه إلی العرف،فهو:ما </w:t>
      </w:r>
      <w:r>
        <w:rPr>
          <w:rStyle w:val="FootnoteReference"/>
        </w:rPr>
        <w:footnoteReference w:id="847"/>
      </w:r>
      <w:r>
        <w:rPr>
          <w:rFonts w:ascii="IRNazanin" w:hAnsi="IRNazanin" w:eastAsia="IRNazanin" w:cs="IRNazanin"/>
          <w:lang w:bidi="fa-IR"/>
          <w:color w:val="111111"/>
          <w:sz w:val="28"/>
          <w:szCs w:val="28"/>
          <w:rtl/>
        </w:rPr>
        <w:t xml:space="preserve">.کان غیر محصور فی العادة،بمعنی أنّه یعسر عدّه، لا ما امتنع عدّه؛لأنّ کلّ ما یوجد من الأعداد قابل للعدّ و الحصر.</w:t>
      </w:r>
    </w:p>
    <w:p>
      <w:pPr>
        <w:pStyle w:val="BookText"/>
      </w:pPr>
      <w:r>
        <w:rPr>
          <w:rFonts w:ascii="IRNazanin" w:hAnsi="IRNazanin" w:eastAsia="IRNazanin" w:cs="IRNazanin"/>
          <w:lang w:bidi="fa-IR"/>
          <w:color w:val="111111"/>
          <w:sz w:val="28"/>
          <w:szCs w:val="28"/>
          <w:rtl/>
        </w:rPr>
        <w:t xml:space="preserve">و فیه-مضافا إلی أنّه إنّما یتّجه إذا کان الاعتماد فی عدم وجوب الاجتناب علی الإجماع المنقول علی جواز الارتکاب فی غیر المحصور، أو علی تحصیل الإجماع من اتّفاق من عبّر بهذه العبارة الکاشف عن إناطة الحکم فی کلام المعصوم علیه السّلام بها-:أنّ تعسّر العدّ غیر متحقّق فیما مثّلوا به لغیر المحصور کالألف مثلا؛فإنّ عدّ الألف لا یعدّ عسرا.</w:t>
      </w:r>
    </w:p>
    <w:p>
      <w:pPr>
        <w:pStyle w:val="Heading6"/>
      </w:pPr>
      <w:bookmarkStart w:id="1332" w:name="_Toc367"/>
      <w:r>
        <w:t>[ما ذکره المحقّق الثانی من الضابط و المناقشة فیه]</w:t>
      </w:r>
      <w:bookmarkEnd w:id="1332"/>
    </w:p>
    <w:p>
      <w:pPr>
        <w:pStyle w:val="BookText"/>
      </w:pPr>
      <w:r>
        <w:rPr>
          <w:rFonts w:ascii="IRNazanin" w:hAnsi="IRNazanin" w:eastAsia="IRNazanin" w:cs="IRNazanin"/>
          <w:lang w:bidi="fa-IR"/>
          <w:color w:val="111111"/>
          <w:sz w:val="28"/>
          <w:szCs w:val="28"/>
          <w:rtl/>
        </w:rPr>
        <w:t xml:space="preserve">و ربما قیّد المحقّق الثانی عسر العدّ بزمان قصیر،قال فی فوائد الشرائع-کما عن حاشیة الإرشاد </w:t>
      </w:r>
      <w:r>
        <w:rPr>
          <w:rStyle w:val="FootnoteReference"/>
        </w:rPr>
        <w:footnoteReference w:id="848"/>
      </w:r>
      <w:r>
        <w:rPr>
          <w:rFonts w:ascii="IRNazanin" w:hAnsi="IRNazanin" w:eastAsia="IRNazanin" w:cs="IRNazanin"/>
          <w:lang w:bidi="fa-IR"/>
          <w:color w:val="111111"/>
          <w:sz w:val="28"/>
          <w:szCs w:val="28"/>
          <w:rtl/>
        </w:rPr>
        <w:t xml:space="preserve">-بعد أن ذکر أنّ غیر المحصور من</w:t>
      </w:r>
    </w:p>
    <w:p>
      <w:pPr>
        <w:pStyle w:val="BookText"/>
      </w:pPr>
      <w:r>
        <w:rPr>
          <w:rFonts w:ascii="IRNazanin" w:hAnsi="IRNazanin" w:eastAsia="IRNazanin" w:cs="IRNazanin"/>
          <w:lang w:bidi="fa-IR"/>
          <w:color w:val="111111"/>
          <w:sz w:val="28"/>
          <w:szCs w:val="28"/>
          <w:rtl/>
        </w:rPr>
        <w:t xml:space="preserve">[شماره صفحه واقعی : 268]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الحقائق العرفیّة:</w:t>
      </w:r>
    </w:p>
    <w:p>
      <w:pPr>
        <w:pStyle w:val="BookText"/>
      </w:pPr>
      <w:r>
        <w:rPr>
          <w:rFonts w:ascii="IRNazanin" w:hAnsi="IRNazanin" w:eastAsia="IRNazanin" w:cs="IRNazanin"/>
          <w:lang w:bidi="fa-IR"/>
          <w:color w:val="111111"/>
          <w:sz w:val="28"/>
          <w:szCs w:val="28"/>
          <w:rtl/>
        </w:rPr>
        <w:t xml:space="preserve">إنّ طریق ضبطه أن یقال:لا ریب أنّه إذا اخذ مرتبة علیا من مراتب العدد کألف مثلا،قطع بأنّه ممّا لا یحصر و لا یعدّ عادة؛لعسر ذلک فی الزمان القصیر،فیجعل طرفا،و یؤخذ مرتبة اخری دنیا جدّا کالثلاثة یقطع بأنّها محصورة؛لسهولة عدّها فی الزمان الیسیر،و ما بینهما من الوسائط کلّما جری مجری الطرف الأوّل الحق به،و کذا ما جری مجری الطرف الثانی الحق به،و ما یعرض فیه الشکّ یعرض علی القوانین و النظائر،و یراجع فیه القلب،فإن غلب علی الظنّ إلحاقه بأحد الطرفین فذاک،و إلاّ عمل فیه بالاستصحاب إلی أن یعلم الناقل.</w:t>
      </w:r>
    </w:p>
    <w:p>
      <w:pPr>
        <w:pStyle w:val="BookText"/>
      </w:pPr>
      <w:r>
        <w:rPr>
          <w:rFonts w:ascii="IRNazanin" w:hAnsi="IRNazanin" w:eastAsia="IRNazanin" w:cs="IRNazanin"/>
          <w:lang w:bidi="fa-IR"/>
          <w:color w:val="111111"/>
          <w:sz w:val="28"/>
          <w:szCs w:val="28"/>
          <w:rtl/>
        </w:rPr>
        <w:t xml:space="preserve">و بهذا ینضبط کلّ ما لیس بمحصور شرعا فی أبواب الطهارة و النکاح و غیرهما </w:t>
      </w:r>
      <w:r>
        <w:rPr>
          <w:rStyle w:val="FootnoteReference"/>
        </w:rPr>
        <w:footnoteReference w:id="8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أقول:و للنظر فیما ذکره قدّس سرّه مجال.</w:t>
      </w:r>
    </w:p>
    <w:p>
      <w:pPr>
        <w:pStyle w:val="BookText"/>
      </w:pPr>
      <w:r>
        <w:rPr>
          <w:rFonts w:ascii="IRNazanin" w:hAnsi="IRNazanin" w:eastAsia="IRNazanin" w:cs="IRNazanin"/>
          <w:lang w:bidi="fa-IR"/>
          <w:color w:val="111111"/>
          <w:sz w:val="28"/>
          <w:szCs w:val="28"/>
          <w:rtl/>
        </w:rPr>
        <w:t xml:space="preserve">أمّا أوّلا:فلأنّ جعل الألف من غیر المحصور مناف لما علّلوا عدم وجوب الاجتناب به:من لزوم العسر فی الاجتناب؛فإنّا إذا فرضنا بیتا عشرین ذراعا فی عشرین ذراعا،و علم بنجاسة جزء یسیر منه یصحّ السجود علیه نسبته إلی البیت نسبة الواحد إلی الألف،فأیّ عسر فی الاجتناب عن هذا البیت و الصلاة فی بیت آخر؟و أیّ فرق بین هذا الفرض،و بین أن یعلم بنجاسة ذراع منه أو ذراعین ممّا یوجب حصر الشبهة؟فإنّ سهولة الاجتناب و عسره لا یتفاوت بکون المعلوم إجمالا قلیلا أو کثیرا.و کذا لو فرضنا أوقیة من الطعام تبلغ ألف حبّة بل أزید</w:t>
      </w:r>
    </w:p>
    <w:p>
      <w:pPr>
        <w:pStyle w:val="BookText"/>
      </w:pPr>
      <w:r>
        <w:rPr>
          <w:rFonts w:ascii="IRNazanin" w:hAnsi="IRNazanin" w:eastAsia="IRNazanin" w:cs="IRNazanin"/>
          <w:lang w:bidi="fa-IR"/>
          <w:color w:val="111111"/>
          <w:sz w:val="28"/>
          <w:szCs w:val="28"/>
          <w:rtl/>
        </w:rPr>
        <w:t xml:space="preserve">[شماره صفحه واقعی : 269]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یعلم بنجاسة أو غصبیّة حبّة منها،فإنّ جعل هذا من غیر المحصور ینافی تعلیل الرخصة فیه بتعسّر الاجتناب.</w:t>
      </w:r>
    </w:p>
    <w:p>
      <w:pPr>
        <w:pStyle w:val="BookText"/>
      </w:pPr>
      <w:r>
        <w:rPr>
          <w:rFonts w:ascii="IRNazanin" w:hAnsi="IRNazanin" w:eastAsia="IRNazanin" w:cs="IRNazanin"/>
          <w:lang w:bidi="fa-IR"/>
          <w:color w:val="111111"/>
          <w:sz w:val="28"/>
          <w:szCs w:val="28"/>
          <w:rtl/>
        </w:rPr>
        <w:t xml:space="preserve">و أمّا ثانیا:فلأنّ ظنّ الفقیه بکون العدد المعیّن جاریا مجری المحصور فی سهولة الحصر أو مجری غیره،لا دلیل علیه.</w:t>
      </w:r>
    </w:p>
    <w:p>
      <w:pPr>
        <w:pStyle w:val="BookText"/>
      </w:pPr>
      <w:r>
        <w:rPr>
          <w:rFonts w:ascii="IRNazanin" w:hAnsi="IRNazanin" w:eastAsia="IRNazanin" w:cs="IRNazanin"/>
          <w:lang w:bidi="fa-IR"/>
          <w:color w:val="111111"/>
          <w:sz w:val="28"/>
          <w:szCs w:val="28"/>
          <w:rtl/>
        </w:rPr>
        <w:t xml:space="preserve">و أمّا ثالثا:فلعدم استقامة الرجوع فی مورد الشکّ إلی الاستصحاب حتّی یعلم الناقل؛لأنّه إن ارید استصحاب الحلّ و الجواز کما هو الظاهر من کلامه،ففیه:أنّ الوجه المقتضی لوجوب الاجتناب </w:t>
      </w:r>
      <w:r>
        <w:rPr>
          <w:rStyle w:val="FootnoteReference"/>
        </w:rPr>
        <w:footnoteReference w:id="850"/>
      </w:r>
      <w:r>
        <w:rPr>
          <w:rFonts w:ascii="IRNazanin" w:hAnsi="IRNazanin" w:eastAsia="IRNazanin" w:cs="IRNazanin"/>
          <w:lang w:bidi="fa-IR"/>
          <w:color w:val="111111"/>
          <w:sz w:val="28"/>
          <w:szCs w:val="28"/>
          <w:rtl/>
        </w:rPr>
        <w:t xml:space="preserve">فی المحصور -و هو وجوب المقدّمة العلمیّة بعد العلم بحرمة الأمر الواقعیّ المردّد بین المشتبهات-قائم بعینه فی غیر المحصور،و المانع غیر معلوم،فلا وجه للرجوع إلی الاستصحاب.</w:t>
      </w:r>
    </w:p>
    <w:p>
      <w:pPr>
        <w:pStyle w:val="BookText"/>
      </w:pPr>
      <w:r>
        <w:rPr>
          <w:rFonts w:ascii="IRNazanin" w:hAnsi="IRNazanin" w:eastAsia="IRNazanin" w:cs="IRNazanin"/>
          <w:lang w:bidi="fa-IR"/>
          <w:color w:val="111111"/>
          <w:sz w:val="28"/>
          <w:szCs w:val="28"/>
          <w:rtl/>
        </w:rPr>
        <w:t xml:space="preserve">إلاّ أن یکون نظره إلی ما ذکرنا فی الدلیل الخامس من أدلّة عدم وجوب الاجتناب </w:t>
      </w:r>
      <w:r>
        <w:rPr>
          <w:rStyle w:val="FootnoteReference"/>
        </w:rPr>
        <w:footnoteReference w:id="851"/>
      </w:r>
      <w:r>
        <w:rPr>
          <w:rFonts w:ascii="IRNazanin" w:hAnsi="IRNazanin" w:eastAsia="IRNazanin" w:cs="IRNazanin"/>
          <w:lang w:bidi="fa-IR"/>
          <w:color w:val="111111"/>
          <w:sz w:val="28"/>
          <w:szCs w:val="28"/>
          <w:rtl/>
        </w:rPr>
        <w:t xml:space="preserve">:من أنّ المقتضی لوجوب الاجتناب </w:t>
      </w:r>
      <w:r>
        <w:rPr>
          <w:rStyle w:val="FootnoteReference"/>
        </w:rPr>
        <w:footnoteReference w:id="852"/>
      </w:r>
      <w:r>
        <w:rPr>
          <w:rFonts w:ascii="IRNazanin" w:hAnsi="IRNazanin" w:eastAsia="IRNazanin" w:cs="IRNazanin"/>
          <w:lang w:bidi="fa-IR"/>
          <w:color w:val="111111"/>
          <w:sz w:val="28"/>
          <w:szCs w:val="28"/>
          <w:rtl/>
        </w:rPr>
        <w:t xml:space="preserve">فی الشبهة الغیر المحصورة-و هو حکم العقل بوجوب دفع الضرر المحتمل-غیر موجود،و حینئذ فمرجع الشکّ فی کون الشبهة محصورة أو غیرها إلی الشکّ فی وجود المقتضی للاجتناب،و معه یرجع إلی أصالة الجواز.</w:t>
      </w:r>
    </w:p>
    <w:p>
      <w:pPr>
        <w:pStyle w:val="BookText"/>
      </w:pPr>
      <w:r>
        <w:rPr>
          <w:rFonts w:ascii="IRNazanin" w:hAnsi="IRNazanin" w:eastAsia="IRNazanin" w:cs="IRNazanin"/>
          <w:lang w:bidi="fa-IR"/>
          <w:color w:val="111111"/>
          <w:sz w:val="28"/>
          <w:szCs w:val="28"/>
          <w:rtl/>
        </w:rPr>
        <w:t xml:space="preserve">لکنّک عرفت التأمّل فی ذلک الدلیل </w:t>
      </w:r>
      <w:r>
        <w:rPr>
          <w:rStyle w:val="FootnoteReference"/>
        </w:rPr>
        <w:footnoteReference w:id="853"/>
      </w:r>
      <w:r>
        <w:rPr>
          <w:rFonts w:ascii="IRNazanin" w:hAnsi="IRNazanin" w:eastAsia="IRNazanin" w:cs="IRNazanin"/>
          <w:lang w:bidi="fa-IR"/>
          <w:color w:val="111111"/>
          <w:sz w:val="28"/>
          <w:szCs w:val="28"/>
          <w:rtl/>
        </w:rPr>
        <w:t xml:space="preserve">،فالأقوی:وجوب الرجوع مع الشکّ إلی أصالة الاحتیاط؛لوجود المقتضی و عدم المانع.</w:t>
      </w:r>
    </w:p>
    <w:p>
      <w:pPr>
        <w:pStyle w:val="BookText"/>
      </w:pPr>
      <w:r>
        <w:rPr>
          <w:rFonts w:ascii="IRNazanin" w:hAnsi="IRNazanin" w:eastAsia="IRNazanin" w:cs="IRNazanin"/>
          <w:lang w:bidi="fa-IR"/>
          <w:color w:val="111111"/>
          <w:sz w:val="28"/>
          <w:szCs w:val="28"/>
          <w:rtl/>
        </w:rPr>
        <w:t xml:space="preserve">[شماره صفحه واقعی : 270]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78" w:name="pg14411_142660"/>
    <w:bookmarkEnd w:id="178"/>
    <w:p>
      <w:pPr>
        <w:pStyle w:val="BookText"/>
      </w:pPr>
      <w:r>
        <w:rPr>
          <w:rFonts w:ascii="IRNazanin" w:hAnsi="IRNazanin" w:eastAsia="IRNazanin" w:cs="IRNazanin"/>
          <w:lang w:bidi="fa-IR"/>
          <w:color w:val="111111"/>
          <w:sz w:val="28"/>
          <w:szCs w:val="28"/>
          <w:rtl/>
        </w:rPr>
        <w:t xml:space="preserve">و کیف کان:فما ذکروه:من إحالة غیر المحصورة و تمیّزه </w:t>
      </w:r>
      <w:r>
        <w:rPr>
          <w:rStyle w:val="FootnoteReference"/>
        </w:rPr>
        <w:footnoteReference w:id="854"/>
      </w:r>
      <w:r>
        <w:rPr>
          <w:rFonts w:ascii="IRNazanin" w:hAnsi="IRNazanin" w:eastAsia="IRNazanin" w:cs="IRNazanin"/>
          <w:lang w:bidi="fa-IR"/>
          <w:color w:val="111111"/>
          <w:sz w:val="28"/>
          <w:szCs w:val="28"/>
          <w:rtl/>
        </w:rPr>
        <w:t xml:space="preserve">إلی العرف،لا یوجب إلاّ زیادة التحیّر فی موارد الشکّ.</w:t>
      </w:r>
    </w:p>
    <w:p>
      <w:pPr>
        <w:pStyle w:val="Heading6"/>
      </w:pPr>
      <w:bookmarkStart w:id="1333" w:name="_Toc368"/>
      <w:r>
        <w:t>[ما ذکره الفاضل الهندی من الضابط و المناقشة فیه]</w:t>
      </w:r>
      <w:bookmarkEnd w:id="1333"/>
    </w:p>
    <w:p>
      <w:pPr>
        <w:pStyle w:val="BookText"/>
      </w:pPr>
      <w:r>
        <w:rPr>
          <w:rFonts w:ascii="IRNazanin" w:hAnsi="IRNazanin" w:eastAsia="IRNazanin" w:cs="IRNazanin"/>
          <w:lang w:bidi="fa-IR"/>
          <w:color w:val="111111"/>
          <w:sz w:val="28"/>
          <w:szCs w:val="28"/>
          <w:rtl/>
        </w:rPr>
        <w:t xml:space="preserve">و قال کاشف اللثام فی مسألة المکان المشتبه بالنجس:لعلّ الضابط أنّ ما یؤدّی اجتنابه إلی ترک الصلاة غالبا فهو غیر محصور،کما أنّ اجتناب شاة أو امرأة مشتبهة فی صقع من الأرض یؤدّی إلی الترک غالبا </w:t>
      </w:r>
      <w:r>
        <w:rPr>
          <w:rStyle w:val="FootnoteReference"/>
        </w:rPr>
        <w:footnoteReference w:id="855"/>
      </w:r>
      <w:r>
        <w:rPr>
          <w:rFonts w:ascii="IRNazanin" w:hAnsi="IRNazanin" w:eastAsia="IRNazanin" w:cs="IRNazanin"/>
          <w:lang w:bidi="fa-IR"/>
          <w:color w:val="111111"/>
          <w:sz w:val="28"/>
          <w:szCs w:val="28"/>
          <w:rtl/>
        </w:rPr>
        <w:t xml:space="preserve">،انتهی.و استصوبه فی مفتاح الکرامة </w:t>
      </w:r>
      <w:r>
        <w:rPr>
          <w:rStyle w:val="FootnoteReference"/>
        </w:rPr>
        <w:footnoteReference w:id="8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فیه:ما لا یخفی من عدم الضبط.</w:t>
      </w:r>
    </w:p>
    <w:p>
      <w:pPr>
        <w:pStyle w:val="Heading6"/>
      </w:pPr>
      <w:bookmarkStart w:id="1334" w:name="_Toc369"/>
      <w:r>
        <w:t>[الضابط بنظر المصنّف]</w:t>
      </w:r>
      <w:bookmarkEnd w:id="1334"/>
    </w:p>
    <w:p>
      <w:pPr>
        <w:pStyle w:val="BookText"/>
      </w:pPr>
      <w:r>
        <w:rPr>
          <w:rFonts w:ascii="IRNazanin" w:hAnsi="IRNazanin" w:eastAsia="IRNazanin" w:cs="IRNazanin"/>
          <w:lang w:bidi="fa-IR"/>
          <w:color w:val="111111"/>
          <w:sz w:val="28"/>
          <w:szCs w:val="28"/>
          <w:rtl/>
        </w:rPr>
        <w:t xml:space="preserve">و یمکن أن یقال-بملاحظة ما ذکرنا فی الوجه الخامس-:إنّ غیر المحصور ما بلغ کثرة الوقائع المحتملة للتحریم إلی حیث لا یعتنی العقلاء بالعلم الإجمالیّ الحاصل فیها؛أ لا تری:أنّه لو نهی المولی عبده عن المعاملة مع زید فعامل العبد مع واحد من أهل قریة کبیرة یعلم بوجود زید فیها،لم یکن ملوما و إن صادف زیدا؟</w:t>
      </w:r>
    </w:p>
    <w:p>
      <w:pPr>
        <w:pStyle w:val="BookText"/>
      </w:pPr>
      <w:r>
        <w:rPr>
          <w:rFonts w:ascii="IRNazanin" w:hAnsi="IRNazanin" w:eastAsia="IRNazanin" w:cs="IRNazanin"/>
          <w:lang w:bidi="fa-IR"/>
          <w:color w:val="111111"/>
          <w:sz w:val="28"/>
          <w:szCs w:val="28"/>
          <w:rtl/>
        </w:rPr>
        <w:t xml:space="preserve">و قد ذکرنا:أنّ المعلوم بالإجمال قد یؤثّر مع قلّة الاحتمال ما لا یؤثّر </w:t>
      </w:r>
      <w:r>
        <w:rPr>
          <w:rStyle w:val="FootnoteReference"/>
        </w:rPr>
        <w:footnoteReference w:id="857"/>
      </w:r>
      <w:r>
        <w:rPr>
          <w:rFonts w:ascii="IRNazanin" w:hAnsi="IRNazanin" w:eastAsia="IRNazanin" w:cs="IRNazanin"/>
          <w:lang w:bidi="fa-IR"/>
          <w:color w:val="111111"/>
          <w:sz w:val="28"/>
          <w:szCs w:val="28"/>
          <w:rtl/>
        </w:rPr>
        <w:t xml:space="preserve">مع الانتشار و کثرة الاحتمال،کما قلناه فی سبّ واحد مردّد بین اثنین أو ثلاثة،و </w:t>
      </w:r>
      <w:r>
        <w:rPr>
          <w:rStyle w:val="FootnoteReference"/>
        </w:rPr>
        <w:footnoteReference w:id="858"/>
      </w:r>
      <w:r>
        <w:rPr>
          <w:rFonts w:ascii="IRNazanin" w:hAnsi="IRNazanin" w:eastAsia="IRNazanin" w:cs="IRNazanin"/>
          <w:lang w:bidi="fa-IR"/>
          <w:color w:val="111111"/>
          <w:sz w:val="28"/>
          <w:szCs w:val="28"/>
          <w:rtl/>
        </w:rPr>
        <w:t xml:space="preserve">مردّد بین أهل بلدة.</w:t>
      </w:r>
    </w:p>
    <w:p>
      <w:pPr>
        <w:pStyle w:val="BookText"/>
      </w:pPr>
      <w:r>
        <w:rPr>
          <w:rFonts w:ascii="IRNazanin" w:hAnsi="IRNazanin" w:eastAsia="IRNazanin" w:cs="IRNazanin"/>
          <w:lang w:bidi="fa-IR"/>
          <w:color w:val="111111"/>
          <w:sz w:val="28"/>
          <w:szCs w:val="28"/>
          <w:rtl/>
        </w:rPr>
        <w:t xml:space="preserve">[شماره صفحه واقعی : 271]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179" w:name="pg14411_142661"/>
    <w:bookmarkEnd w:id="179"/>
    <w:p>
      <w:pPr>
        <w:pStyle w:val="BookText"/>
      </w:pPr>
      <w:r>
        <w:rPr>
          <w:rFonts w:ascii="IRNazanin" w:hAnsi="IRNazanin" w:eastAsia="IRNazanin" w:cs="IRNazanin"/>
          <w:lang w:bidi="fa-IR"/>
          <w:color w:val="111111"/>
          <w:sz w:val="28"/>
          <w:szCs w:val="28"/>
          <w:rtl/>
        </w:rPr>
        <w:t xml:space="preserve">و نحوه:ما إذا علم إجمالا بوجود بعض القرائن الصارفة المختفیة لبعض ظواهر الکتاب و السنّة،أو حصول النقل فی بعض الألفاظ،إلی غیر ذلک من الموارد التی لا یعتنی فیها بالعلوم الإجمالیّة المترتّب </w:t>
      </w:r>
      <w:r>
        <w:rPr>
          <w:rStyle w:val="FootnoteReference"/>
        </w:rPr>
        <w:footnoteReference w:id="859"/>
      </w:r>
      <w:r>
        <w:rPr>
          <w:rFonts w:ascii="IRNazanin" w:hAnsi="IRNazanin" w:eastAsia="IRNazanin" w:cs="IRNazanin"/>
          <w:lang w:bidi="fa-IR"/>
          <w:color w:val="111111"/>
          <w:sz w:val="28"/>
          <w:szCs w:val="28"/>
          <w:rtl/>
        </w:rPr>
        <w:t xml:space="preserve">علیها الآثار المتعلّقة بالمعاش و المعاد فی کلّ مقام.</w:t>
      </w:r>
    </w:p>
    <w:p>
      <w:pPr>
        <w:pStyle w:val="BookText"/>
      </w:pPr>
      <w:r>
        <w:rPr>
          <w:rFonts w:ascii="IRNazanin" w:hAnsi="IRNazanin" w:eastAsia="IRNazanin" w:cs="IRNazanin"/>
          <w:lang w:bidi="fa-IR"/>
          <w:color w:val="111111"/>
          <w:sz w:val="28"/>
          <w:szCs w:val="28"/>
          <w:rtl/>
        </w:rPr>
        <w:t xml:space="preserve">و لیعلم:أنّ العبرة فی المحتملات کثرة و قلّة بالوقائع التی تقع موردا للحکم بوجوب الاجتناب مع العلم التفصیلیّ بالحرام،فإذا علم بحبّة أرز محرّمة أو نجسة فی ألف حبّة،و المفروض أنّ تناول ألف حبّة من الأرز فی العادة بعشر لقمات،فالحرام مردّد بین عشرة محتملات لا ألف محتمل؛لأنّ کلّ لقمة یکون فیها الحبّة حرم أخذها؛لاشتمالها علی مال الغیر،أو مضغها؛لکونه مضغا للنجس،فکأنّه علم إجمالا بحرمة واحدة من عشر لقمات.نعم،لو اتّفق تناول الحبوب فی مقام یکون تناول کلّ حبّة واقعة مستقلّة کان له حکم غیر المحصور.</w:t>
      </w:r>
    </w:p>
    <w:p>
      <w:pPr>
        <w:pStyle w:val="BookText"/>
      </w:pPr>
      <w:r>
        <w:rPr>
          <w:rFonts w:ascii="IRNazanin" w:hAnsi="IRNazanin" w:eastAsia="IRNazanin" w:cs="IRNazanin"/>
          <w:lang w:bidi="fa-IR"/>
          <w:color w:val="111111"/>
          <w:sz w:val="28"/>
          <w:szCs w:val="28"/>
          <w:rtl/>
        </w:rPr>
        <w:t xml:space="preserve">و هذا غایة ما ذکروا أو یمکن أن یذکر فی ضابط المحصور و غیره، و مع ذلک فلم یحصل للنفس وثوق بشیء منها.</w:t>
      </w:r>
    </w:p>
    <w:p>
      <w:pPr>
        <w:pStyle w:val="Heading6"/>
      </w:pPr>
      <w:bookmarkStart w:id="1335" w:name="_Toc370"/>
      <w:r>
        <w:t>[إذا شکّ فی کون الشبهة محصورة أو غیر محصورة]</w:t>
      </w:r>
      <w:bookmarkEnd w:id="1335"/>
    </w:p>
    <w:p>
      <w:pPr>
        <w:pStyle w:val="BookText"/>
      </w:pPr>
      <w:r>
        <w:rPr>
          <w:rFonts w:ascii="IRNazanin" w:hAnsi="IRNazanin" w:eastAsia="IRNazanin" w:cs="IRNazanin"/>
          <w:lang w:bidi="fa-IR"/>
          <w:color w:val="111111"/>
          <w:sz w:val="28"/>
          <w:szCs w:val="28"/>
          <w:rtl/>
        </w:rPr>
        <w:t xml:space="preserve">فالأولی:الرجوع فی موارد الشکّ إلی حکم العقلاء بوجوب مراعاة العلم الإجمالیّ الموجود فی ذلک المورد؛فإنّ قوله:«اجتنب عن الخمر»لا فرق فی دلالته علی تنجّز التکلیف بالاجتناب عن الخمر،بین الخمر المعلوم المردّد بین امور محصورة و بین الموجود المردّد بین امور غیر محصورة،غایة الأمر قیام الدلیل فی غیر المحصورة علی اکتفاء الشارع عن الحرام الواقعیّ ببعض محتملاته،کما تقدّم سابقا </w:t>
      </w:r>
      <w:r>
        <w:rPr>
          <w:rStyle w:val="FootnoteReference"/>
        </w:rPr>
        <w:footnoteReference w:id="8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272]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فإذا شکّ فی کون الشبهة محصورة أو غیر محصورة،شکّ فی قیام الدلیل علی قیام بعض المحتملات مقام الحرام الواقعیّ فی الاکتفاء عن امتثاله بترک ذلک البعض،فیجب ترک جمیع المحتملات؛لعدم الأمن من الوقوع فی العقاب بارتکاب البعض.</w:t>
      </w:r>
    </w:p>
    <w:p>
      <w:pPr>
        <w:pStyle w:val="BookText"/>
      </w:pPr>
      <w:r>
        <w:rPr>
          <w:rFonts w:ascii="IRNazanin" w:hAnsi="IRNazanin" w:eastAsia="IRNazanin" w:cs="IRNazanin"/>
          <w:lang w:bidi="fa-IR"/>
          <w:color w:val="111111"/>
          <w:sz w:val="28"/>
          <w:szCs w:val="28"/>
          <w:rtl/>
        </w:rPr>
        <w:t xml:space="preserve">[شماره صفحه واقعی : 273]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80" w:name="pg14411_142663"/>
    <w:bookmarkEnd w:id="180"/>
    <w:p>
      <w:pPr>
        <w:pStyle w:val="Heading6"/>
      </w:pPr>
      <w:bookmarkStart w:id="1336" w:name="_Toc371"/>
      <w:r>
        <w:t>المورد الثالث [:إذا کان المردّد بین الامور غیر المحصورة أفرادا کثیرة]</w:t>
      </w:r>
      <w:bookmarkEnd w:id="1336"/>
    </w:p>
    <w:p>
      <w:pPr>
        <w:pStyle w:val="BookText"/>
      </w:pPr>
      <w:r>
        <w:rPr>
          <w:rFonts w:ascii="IRNazanin" w:hAnsi="IRNazanin" w:eastAsia="IRNazanin" w:cs="IRNazanin"/>
          <w:lang w:bidi="fa-IR"/>
          <w:color w:val="111111"/>
          <w:sz w:val="28"/>
          <w:szCs w:val="28"/>
          <w:rtl/>
        </w:rPr>
        <w:t xml:space="preserve">إذا کان المردّد بین الامور الغیر المحصورة أفرادا کثیرة نسبة مجموعها إلی المشتبهات کنسبة الشیء إلی الامور المحصورة،کما إذا علم بوجود خمسمائة شاة محرّمة فی ألف و خمسمائة شاة،فإنّ نسبة مجموع المحرّمات إلی المشتبهات کنسبة الواحد إلی الثلاثة،فالظاهر أنّه ملحق بالشبهة المحصورة؛لأنّ الأمر متعلّق بالاجتناب عن مجموع الخمسمائة فی المثال،و محتملات هذا الحرام المتباینة ثلاثة،فهو کاشتباه الواحد فی الثلاثة،و أمّا ما عدا هذه الثلاثة من الاحتمالات فهی احتمالات لا تنفکّ عن الاشتمال علی الحرام </w:t>
      </w:r>
      <w:r>
        <w:rPr>
          <w:rStyle w:val="FootnoteReference"/>
        </w:rPr>
        <w:footnoteReference w:id="8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274]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181" w:name="pg14411_142664"/>
    <w:bookmarkEnd w:id="181"/>
    <w:p>
      <w:pPr>
        <w:pStyle w:val="Heading6"/>
      </w:pPr>
      <w:bookmarkStart w:id="1337" w:name="_Toc372"/>
      <w:r>
        <w:t>المورد الرابع [:أقسام الشکّ فی الحرام مع العلم بالحرمة]</w:t>
      </w:r>
      <w:bookmarkEnd w:id="1337"/>
    </w:p>
    <w:p>
      <w:pPr>
        <w:pStyle w:val="Heading6"/>
      </w:pPr>
      <w:bookmarkStart w:id="1338" w:name="_Toc373"/>
      <w:r>
        <w:t>اشارة</w:t>
      </w:r>
      <w:bookmarkEnd w:id="1338"/>
    </w:p>
    <w:p>
      <w:pPr>
        <w:pStyle w:val="BookText"/>
      </w:pPr>
      <w:r>
        <w:rPr>
          <w:rFonts w:ascii="IRNazanin" w:hAnsi="IRNazanin" w:eastAsia="IRNazanin" w:cs="IRNazanin"/>
          <w:lang w:bidi="fa-IR"/>
          <w:color w:val="111111"/>
          <w:sz w:val="28"/>
          <w:szCs w:val="28"/>
          <w:rtl/>
        </w:rPr>
        <w:t xml:space="preserve">أنّا ذکرنا فی المطلب الأوّل </w:t>
      </w:r>
      <w:r>
        <w:rPr>
          <w:rStyle w:val="FootnoteReference"/>
        </w:rPr>
        <w:footnoteReference w:id="862"/>
      </w:r>
      <w:r>
        <w:rPr>
          <w:rFonts w:ascii="IRNazanin" w:hAnsi="IRNazanin" w:eastAsia="IRNazanin" w:cs="IRNazanin"/>
          <w:lang w:bidi="fa-IR"/>
          <w:color w:val="111111"/>
          <w:sz w:val="28"/>
          <w:szCs w:val="28"/>
          <w:rtl/>
        </w:rPr>
        <w:t xml:space="preserve">المتکفّل لبیان حکم أقسام الشکّ فی الحرام مع العلم بالحرمة:أنّ مسائله أربع:الاولی منها الشبهة الموضوعیّة.</w:t>
      </w:r>
    </w:p>
    <w:p>
      <w:pPr>
        <w:pStyle w:val="Heading6"/>
      </w:pPr>
      <w:bookmarkStart w:id="1339" w:name="_Toc374"/>
      <w:r>
        <w:t>[المسائل الثلاث الأخر:اشتباه الحرام بغیر الواجب من جهة اشتباه الحکم]</w:t>
      </w:r>
      <w:bookmarkEnd w:id="1339"/>
    </w:p>
    <w:p>
      <w:pPr>
        <w:pStyle w:val="BookText"/>
      </w:pPr>
      <w:r>
        <w:rPr>
          <w:rFonts w:ascii="IRNazanin" w:hAnsi="IRNazanin" w:eastAsia="IRNazanin" w:cs="IRNazanin"/>
          <w:lang w:bidi="fa-IR"/>
          <w:color w:val="111111"/>
          <w:sz w:val="28"/>
          <w:szCs w:val="28"/>
          <w:rtl/>
        </w:rPr>
        <w:t xml:space="preserve">و أمّا الثلاث الأخر و هی ما إذا اشتبه الحرام بغیر الواجب؛لاشتباه الحکم من جهة عدم النصّ،أو إجمال النصّ،أو تعارض النصّین</w:t>
      </w:r>
    </w:p>
    <w:p>
      <w:pPr>
        <w:pStyle w:val="BookText"/>
      </w:pPr>
      <w:r>
        <w:rPr>
          <w:rFonts w:ascii="IRNazanin" w:hAnsi="IRNazanin" w:eastAsia="IRNazanin" w:cs="IRNazanin"/>
          <w:lang w:bidi="fa-IR"/>
          <w:color w:val="111111"/>
          <w:sz w:val="28"/>
          <w:szCs w:val="28"/>
          <w:rtl/>
        </w:rPr>
        <w:t xml:space="preserve">فحکمها یظهر ممّا ذکرنا فی الشبهة المحصورة </w:t>
      </w:r>
      <w:r>
        <w:rPr>
          <w:rStyle w:val="FootnoteReference"/>
        </w:rPr>
        <w:footnoteReference w:id="8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لکنّ أکثر ما یوجد من هذه الأقسام الثلاثة هو القسم الثانی،کما إذا تردّد الغناء المحرّم بین مفهومین بینهما عموم من وجه؛فإنّ مادّتی الافتراق من هذا القسم.و مثل ما إذا ثبت بالدلیل حرمة الأذان الثالث یوم الجمعة </w:t>
      </w:r>
      <w:r>
        <w:rPr>
          <w:rStyle w:val="FootnoteReference"/>
        </w:rPr>
        <w:footnoteReference w:id="864"/>
      </w:r>
      <w:r>
        <w:rPr>
          <w:rFonts w:ascii="IRNazanin" w:hAnsi="IRNazanin" w:eastAsia="IRNazanin" w:cs="IRNazanin"/>
          <w:lang w:bidi="fa-IR"/>
          <w:color w:val="111111"/>
          <w:sz w:val="28"/>
          <w:szCs w:val="28"/>
          <w:rtl/>
        </w:rPr>
        <w:t xml:space="preserve">و اختلف فی تعیینه </w:t>
      </w:r>
      <w:r>
        <w:rPr>
          <w:rStyle w:val="FootnoteReference"/>
        </w:rPr>
        <w:footnoteReference w:id="865"/>
      </w:r>
      <w:r>
        <w:rPr>
          <w:rFonts w:ascii="IRNazanin" w:hAnsi="IRNazanin" w:eastAsia="IRNazanin" w:cs="IRNazanin"/>
          <w:lang w:bidi="fa-IR"/>
          <w:color w:val="111111"/>
          <w:sz w:val="28"/>
          <w:szCs w:val="28"/>
          <w:rtl/>
        </w:rPr>
        <w:t xml:space="preserve">.و مثل </w:t>
      </w:r>
      <w:r>
        <w:rPr>
          <w:rStyle w:val="FootnoteReference"/>
        </w:rPr>
        <w:footnoteReference w:id="866"/>
      </w:r>
      <w:r>
        <w:rPr>
          <w:rFonts w:ascii="IRNazanin" w:hAnsi="IRNazanin" w:eastAsia="IRNazanin" w:cs="IRNazanin"/>
          <w:lang w:bidi="fa-IR"/>
          <w:color w:val="111111"/>
          <w:sz w:val="28"/>
          <w:szCs w:val="28"/>
          <w:rtl/>
        </w:rPr>
        <w:t xml:space="preserve">قوله علیه السّلام:«من جدّد قبرا</w:t>
      </w:r>
    </w:p>
    <w:p>
      <w:pPr>
        <w:pStyle w:val="BookText"/>
      </w:pPr>
      <w:r>
        <w:rPr>
          <w:rFonts w:ascii="IRNazanin" w:hAnsi="IRNazanin" w:eastAsia="IRNazanin" w:cs="IRNazanin"/>
          <w:lang w:bidi="fa-IR"/>
          <w:color w:val="111111"/>
          <w:sz w:val="28"/>
          <w:szCs w:val="28"/>
          <w:rtl/>
        </w:rPr>
        <w:t xml:space="preserve">[شماره صفحه واقعی : 275]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مثّل مثالا فقد خرج عن الإسلام» </w:t>
      </w:r>
      <w:r>
        <w:rPr>
          <w:rStyle w:val="FootnoteReference"/>
        </w:rPr>
        <w:footnoteReference w:id="867"/>
      </w:r>
      <w:r>
        <w:rPr>
          <w:rFonts w:ascii="IRNazanin" w:hAnsi="IRNazanin" w:eastAsia="IRNazanin" w:cs="IRNazanin"/>
          <w:lang w:bidi="fa-IR"/>
          <w:color w:val="111111"/>
          <w:sz w:val="28"/>
          <w:szCs w:val="28"/>
          <w:rtl/>
        </w:rPr>
        <w:t xml:space="preserve">حیث قرئ:«جدّد»بالجیم و الحاء المهملة و الخاء المعجمة،و قرئ«جدث»بالجیم و الثاء المثلّثة </w:t>
      </w:r>
      <w:r>
        <w:rPr>
          <w:rStyle w:val="FootnoteReference"/>
        </w:rPr>
        <w:footnoteReference w:id="8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276]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82" w:name="pg14411_142666"/>
    <w:bookmarkEnd w:id="182"/>
    <w:p>
      <w:pPr>
        <w:pStyle w:val="Heading6"/>
      </w:pPr>
      <w:bookmarkStart w:id="1340" w:name="_Toc375"/>
      <w:r>
        <w:t>المطلب الثانی فی اشتباه الواجب بغیر الحرام و هو علی قسمین</w:t>
      </w:r>
      <w:bookmarkEnd w:id="1340"/>
    </w:p>
    <w:p>
      <w:pPr>
        <w:pStyle w:val="Heading6"/>
      </w:pPr>
      <w:bookmarkStart w:id="1341" w:name="_Toc376"/>
      <w:r>
        <w:t>اشارة</w:t>
      </w:r>
      <w:bookmarkEnd w:id="1341"/>
    </w:p>
    <w:p>
      <w:pPr>
        <w:pStyle w:val="BookText"/>
      </w:pPr>
      <w:r>
        <w:rPr>
          <w:rFonts w:ascii="IRNazanin" w:hAnsi="IRNazanin" w:eastAsia="IRNazanin" w:cs="IRNazanin"/>
          <w:lang w:bidi="fa-IR"/>
          <w:color w:val="111111"/>
          <w:sz w:val="28"/>
          <w:szCs w:val="28"/>
          <w:rtl/>
        </w:rPr>
        <w:t xml:space="preserve">؛لأنّ الواجب:</w:t>
      </w:r>
    </w:p>
    <w:p>
      <w:pPr>
        <w:pStyle w:val="BookText"/>
      </w:pPr>
      <w:r>
        <w:rPr>
          <w:rFonts w:ascii="IRNazanin" w:hAnsi="IRNazanin" w:eastAsia="IRNazanin" w:cs="IRNazanin"/>
          <w:lang w:bidi="fa-IR"/>
          <w:color w:val="111111"/>
          <w:sz w:val="28"/>
          <w:szCs w:val="28"/>
          <w:rtl/>
        </w:rPr>
        <w:t xml:space="preserve">إمّا مردّد بین أمرین متنافیین </w:t>
      </w:r>
      <w:r>
        <w:rPr>
          <w:rStyle w:val="FootnoteReference"/>
        </w:rPr>
        <w:footnoteReference w:id="869"/>
      </w:r>
      <w:r>
        <w:rPr>
          <w:rFonts w:ascii="IRNazanin" w:hAnsi="IRNazanin" w:eastAsia="IRNazanin" w:cs="IRNazanin"/>
          <w:lang w:bidi="fa-IR"/>
          <w:color w:val="111111"/>
          <w:sz w:val="28"/>
          <w:szCs w:val="28"/>
          <w:rtl/>
        </w:rPr>
        <w:t xml:space="preserve">،کما إذا تردّد الأمر بین وجوب الظهر و الجمعة فی یوم الجمعة،و بین القصر و الإتمام فی بعض المسائل.</w:t>
      </w:r>
    </w:p>
    <w:p>
      <w:pPr>
        <w:pStyle w:val="BookText"/>
      </w:pPr>
      <w:r>
        <w:rPr>
          <w:rFonts w:ascii="IRNazanin" w:hAnsi="IRNazanin" w:eastAsia="IRNazanin" w:cs="IRNazanin"/>
          <w:lang w:bidi="fa-IR"/>
          <w:color w:val="111111"/>
          <w:sz w:val="28"/>
          <w:szCs w:val="28"/>
          <w:rtl/>
        </w:rPr>
        <w:t xml:space="preserve">و إمّا مردّد بین الأقلّ و الأکثر،کما إذا تردّدت الصلاة الواجبة بین ذات السورة و فاقدتها؛للشکّ فی کون السورة جزءا.و لیس المثالان الأوّلان من الأقلّ و الأکثر،کما لا یخفی.</w:t>
      </w:r>
    </w:p>
    <w:p>
      <w:pPr>
        <w:pStyle w:val="BookText"/>
      </w:pPr>
      <w:r>
        <w:rPr>
          <w:rFonts w:ascii="IRNazanin" w:hAnsi="IRNazanin" w:eastAsia="IRNazanin" w:cs="IRNazanin"/>
          <w:lang w:bidi="fa-IR"/>
          <w:color w:val="111111"/>
          <w:sz w:val="28"/>
          <w:szCs w:val="28"/>
          <w:rtl/>
        </w:rPr>
        <w:t xml:space="preserve">و اعلم:أنّا لم نذکر فی الشبهة التحریمیّة من الشکّ فی المکلّف به صور دوران الأمر بین الأقلّ و الأکثر؛لأنّ مرجع الدوران بینهما فی تلک الشبهة </w:t>
      </w:r>
      <w:r>
        <w:rPr>
          <w:rStyle w:val="FootnoteReference"/>
        </w:rPr>
        <w:footnoteReference w:id="870"/>
      </w:r>
      <w:r>
        <w:rPr>
          <w:rFonts w:ascii="IRNazanin" w:hAnsi="IRNazanin" w:eastAsia="IRNazanin" w:cs="IRNazanin"/>
          <w:lang w:bidi="fa-IR"/>
          <w:color w:val="111111"/>
          <w:sz w:val="28"/>
          <w:szCs w:val="28"/>
          <w:rtl/>
        </w:rPr>
        <w:t xml:space="preserve">إلی الشکّ فی أصل التکلیف؛لأنّ الأکثر معلوم الحرمة و الشکّ فی حرمة الأقلّ </w:t>
      </w:r>
      <w:r>
        <w:rPr>
          <w:rStyle w:val="FootnoteReference"/>
        </w:rPr>
        <w:footnoteReference w:id="8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277]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183" w:name="pg14411_142667"/>
    <w:bookmarkEnd w:id="183"/>
    <w:p>
      <w:pPr>
        <w:pStyle w:val="Heading6"/>
      </w:pPr>
      <w:bookmarkStart w:id="1342" w:name="_Toc377"/>
      <w:r>
        <w:t>[القسم الأوّل:دوران الأمر بین المتباینین،و فیه مسائل:]</w:t>
      </w:r>
      <w:bookmarkEnd w:id="1342"/>
    </w:p>
    <w:p>
      <w:pPr>
        <w:pStyle w:val="Heading6"/>
      </w:pPr>
      <w:bookmarkStart w:id="1343" w:name="_Toc378"/>
      <w:r>
        <w:t>اشارة</w:t>
      </w:r>
      <w:bookmarkEnd w:id="1343"/>
    </w:p>
    <w:p>
      <w:pPr>
        <w:pStyle w:val="BookText"/>
      </w:pPr>
      <w:r>
        <w:rPr>
          <w:rFonts w:ascii="IRNazanin" w:hAnsi="IRNazanin" w:eastAsia="IRNazanin" w:cs="IRNazanin"/>
          <w:lang w:bidi="fa-IR"/>
          <w:color w:val="111111"/>
          <w:sz w:val="28"/>
          <w:szCs w:val="28"/>
          <w:rtl/>
        </w:rPr>
        <w:t xml:space="preserve">أمّا القسم الأوّل [فیما إذا دار الأمر فی الواجب بین المتباینین] </w:t>
      </w:r>
      <w:r>
        <w:rPr>
          <w:rStyle w:val="FootnoteReference"/>
        </w:rPr>
        <w:footnoteReference w:id="872"/>
      </w:r>
      <w:r>
        <w:rPr>
          <w:rFonts w:ascii="IRNazanin" w:hAnsi="IRNazanin" w:eastAsia="IRNazanin" w:cs="IRNazanin"/>
          <w:lang w:bidi="fa-IR"/>
          <w:color w:val="111111"/>
          <w:sz w:val="28"/>
          <w:szCs w:val="28"/>
          <w:rtl/>
        </w:rPr>
        <w:t xml:space="preserve">فالکلام فیه یقع فی مسائل علی ما ذکرنا فی أوّل الباب؛لأنّه إمّا أن یشتبه الواجب بغیر الحرام من جهة عدم النصّ المعتبر،أو إجماله، أو تعارض النصّین،أو من جهة اشتباه الموضوع.</w:t>
      </w:r>
    </w:p>
    <w:p>
      <w:pPr>
        <w:pStyle w:val="BookText"/>
      </w:pPr>
      <w:r>
        <w:rPr>
          <w:rFonts w:ascii="IRNazanin" w:hAnsi="IRNazanin" w:eastAsia="IRNazanin" w:cs="IRNazanin"/>
          <w:lang w:bidi="fa-IR"/>
          <w:color w:val="111111"/>
          <w:sz w:val="28"/>
          <w:szCs w:val="28"/>
          <w:rtl/>
        </w:rPr>
        <w:t xml:space="preserve">[شماره صفحه واقعی : 278]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84" w:name="pg14411_142668"/>
    <w:bookmarkEnd w:id="184"/>
    <w:p>
      <w:pPr>
        <w:pStyle w:val="Heading6"/>
      </w:pPr>
      <w:bookmarkStart w:id="1344" w:name="_Toc379"/>
      <w:r>
        <w:t>[المسألة الاولی] [ما إذا اشتبه الواجب بغیره من جهة عدم النص]</w:t>
      </w:r>
      <w:bookmarkEnd w:id="1344"/>
    </w:p>
    <w:p>
      <w:pPr>
        <w:pStyle w:val="Heading6"/>
      </w:pPr>
      <w:bookmarkStart w:id="1345" w:name="_Toc380"/>
      <w:r>
        <w:t>اشارة</w:t>
      </w:r>
      <w:bookmarkEnd w:id="1345"/>
    </w:p>
    <w:p>
      <w:pPr>
        <w:pStyle w:val="BookText"/>
      </w:pPr>
      <w:r>
        <w:rPr>
          <w:rFonts w:ascii="IRNazanin" w:hAnsi="IRNazanin" w:eastAsia="IRNazanin" w:cs="IRNazanin"/>
          <w:lang w:bidi="fa-IR"/>
          <w:color w:val="111111"/>
          <w:sz w:val="28"/>
          <w:szCs w:val="28"/>
          <w:rtl/>
        </w:rPr>
        <w:t xml:space="preserve">[المسألة الاولی] [ما إذا اشتبه الواجب بغیره من جهة عدم النص] </w:t>
      </w:r>
      <w:r>
        <w:rPr>
          <w:rStyle w:val="FootnoteReference"/>
        </w:rPr>
        <w:footnoteReference w:id="873"/>
      </w:r>
    </w:p>
    <w:p>
      <w:pPr>
        <w:pStyle w:val="BookText"/>
      </w:pPr>
      <w:r>
        <w:rPr>
          <w:rFonts w:ascii="IRNazanin" w:hAnsi="IRNazanin" w:eastAsia="IRNazanin" w:cs="IRNazanin"/>
          <w:lang w:bidi="fa-IR"/>
          <w:color w:val="111111"/>
          <w:sz w:val="28"/>
          <w:szCs w:val="28"/>
          <w:rtl/>
        </w:rPr>
        <w:t xml:space="preserve">أمّا الاولی،فالکلام فیها </w:t>
      </w:r>
      <w:r>
        <w:rPr>
          <w:rStyle w:val="FootnoteReference"/>
        </w:rPr>
        <w:footnoteReference w:id="874"/>
      </w:r>
      <w:r>
        <w:rPr>
          <w:rFonts w:ascii="IRNazanin" w:hAnsi="IRNazanin" w:eastAsia="IRNazanin" w:cs="IRNazanin"/>
          <w:lang w:bidi="fa-IR"/>
          <w:color w:val="111111"/>
          <w:sz w:val="28"/>
          <w:szCs w:val="28"/>
          <w:rtl/>
        </w:rPr>
        <w:t xml:space="preserve">:إمّا فی جواز المخالفة القطعیّة فی غیر ما علم-بإجماع أو ضرورة-حرمتها،کما فی المثالین السابقین </w:t>
      </w:r>
      <w:r>
        <w:rPr>
          <w:rStyle w:val="FootnoteReference"/>
        </w:rPr>
        <w:footnoteReference w:id="875"/>
      </w:r>
      <w:r>
        <w:rPr>
          <w:rFonts w:ascii="IRNazanin" w:hAnsi="IRNazanin" w:eastAsia="IRNazanin" w:cs="IRNazanin"/>
          <w:lang w:bidi="fa-IR"/>
          <w:color w:val="111111"/>
          <w:sz w:val="28"/>
          <w:szCs w:val="28"/>
          <w:rtl/>
        </w:rPr>
        <w:t xml:space="preserve">فإنّ ترک الصلاة فیهما رأسا مخالف للإجماع بل الضرورة،و إمّا فی وجوب الموافقة القطعیّة.</w:t>
      </w:r>
    </w:p>
    <w:p>
      <w:pPr>
        <w:pStyle w:val="Heading6"/>
      </w:pPr>
      <w:bookmarkStart w:id="1346" w:name="_Toc381"/>
      <w:r>
        <w:t>[الظاهر حرمة المخالفة القطعیّة و الدلیل علیه]</w:t>
      </w:r>
      <w:bookmarkEnd w:id="1346"/>
    </w:p>
    <w:p>
      <w:pPr>
        <w:pStyle w:val="BookText"/>
      </w:pPr>
      <w:r>
        <w:rPr>
          <w:rFonts w:ascii="IRNazanin" w:hAnsi="IRNazanin" w:eastAsia="IRNazanin" w:cs="IRNazanin"/>
          <w:lang w:bidi="fa-IR"/>
          <w:color w:val="111111"/>
          <w:sz w:val="28"/>
          <w:szCs w:val="28"/>
          <w:rtl/>
        </w:rPr>
        <w:t xml:space="preserve">أمّا الأوّل:فالظاهر حرمة المخالفة القطعیّة؛لأنّها معصیة عند العقلاء،فإنّهم لا یفرّقون بین الخطاب المعلوم تفصیلا أو إجمالا فی حرمة مخالفته و فی عدّها معصیة.</w:t>
      </w:r>
    </w:p>
    <w:p>
      <w:pPr>
        <w:pStyle w:val="BookText"/>
      </w:pPr>
      <w:r>
        <w:rPr>
          <w:rFonts w:ascii="IRNazanin" w:hAnsi="IRNazanin" w:eastAsia="IRNazanin" w:cs="IRNazanin"/>
          <w:lang w:bidi="fa-IR"/>
          <w:color w:val="111111"/>
          <w:sz w:val="28"/>
          <w:szCs w:val="28"/>
          <w:rtl/>
        </w:rPr>
        <w:t xml:space="preserve">و یظهر من المحقّق الخوانساری:دوران حرمة المخالفة مدار الإجماع،و أنّ الحرمة فی مثل الظهر و الجمعة من جهته </w:t>
      </w:r>
      <w:r>
        <w:rPr>
          <w:rStyle w:val="FootnoteReference"/>
        </w:rPr>
        <w:footnoteReference w:id="876"/>
      </w:r>
      <w:r>
        <w:rPr>
          <w:rFonts w:ascii="IRNazanin" w:hAnsi="IRNazanin" w:eastAsia="IRNazanin" w:cs="IRNazanin"/>
          <w:lang w:bidi="fa-IR"/>
          <w:color w:val="111111"/>
          <w:sz w:val="28"/>
          <w:szCs w:val="28"/>
          <w:rtl/>
        </w:rPr>
        <w:t xml:space="preserve">،و یظهر من</w:t>
      </w:r>
    </w:p>
    <w:p>
      <w:pPr>
        <w:pStyle w:val="BookText"/>
      </w:pPr>
      <w:r>
        <w:rPr>
          <w:rFonts w:ascii="IRNazanin" w:hAnsi="IRNazanin" w:eastAsia="IRNazanin" w:cs="IRNazanin"/>
          <w:lang w:bidi="fa-IR"/>
          <w:color w:val="111111"/>
          <w:sz w:val="28"/>
          <w:szCs w:val="28"/>
          <w:rtl/>
        </w:rPr>
        <w:t xml:space="preserve">[شماره صفحه واقعی : 279]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185" w:name="pg14411_142669"/>
    <w:bookmarkEnd w:id="185"/>
    <w:p>
      <w:pPr>
        <w:pStyle w:val="BookText"/>
      </w:pPr>
      <w:r>
        <w:rPr>
          <w:rFonts w:ascii="IRNazanin" w:hAnsi="IRNazanin" w:eastAsia="IRNazanin" w:cs="IRNazanin"/>
          <w:lang w:bidi="fa-IR"/>
          <w:color w:val="111111"/>
          <w:sz w:val="28"/>
          <w:szCs w:val="28"/>
          <w:rtl/>
        </w:rPr>
        <w:t xml:space="preserve">الفاضل القمّی رحمه اللّه:المیل إلیه </w:t>
      </w:r>
      <w:r>
        <w:rPr>
          <w:rStyle w:val="FootnoteReference"/>
        </w:rPr>
        <w:footnoteReference w:id="877"/>
      </w:r>
      <w:r>
        <w:rPr>
          <w:rFonts w:ascii="IRNazanin" w:hAnsi="IRNazanin" w:eastAsia="IRNazanin" w:cs="IRNazanin"/>
          <w:lang w:bidi="fa-IR"/>
          <w:color w:val="111111"/>
          <w:sz w:val="28"/>
          <w:szCs w:val="28"/>
          <w:rtl/>
        </w:rPr>
        <w:t xml:space="preserve">،و الأقوی ما عرفت </w:t>
      </w:r>
      <w:r>
        <w:rPr>
          <w:rStyle w:val="FootnoteReference"/>
        </w:rPr>
        <w:footnoteReference w:id="878"/>
      </w:r>
      <w:r>
        <w:rPr>
          <w:rFonts w:ascii="Times New Roman" w:hAnsi="Times New Roman" w:eastAsia="Times New Roman" w:cs="Times New Roman"/>
          <w:lang w:val="en-US" w:bidi="en-US"/>
          <w:color w:val="111111"/>
          <w:sz w:val="28"/>
          <w:szCs w:val="28"/>
          <w:rtl/>
        </w:rPr>
        <w:t xml:space="preserve">.</w:t>
      </w:r>
    </w:p>
    <w:p>
      <w:pPr>
        <w:pStyle w:val="Heading6"/>
      </w:pPr>
      <w:bookmarkStart w:id="1347" w:name="_Toc382"/>
      <w:r>
        <w:t>[الأقوی وجوب الموافقة القطعیّة و الدلیل علیه]</w:t>
      </w:r>
      <w:bookmarkEnd w:id="1347"/>
    </w:p>
    <w:p>
      <w:pPr>
        <w:pStyle w:val="BookText"/>
      </w:pPr>
      <w:r>
        <w:rPr>
          <w:rFonts w:ascii="IRNazanin" w:hAnsi="IRNazanin" w:eastAsia="IRNazanin" w:cs="IRNazanin"/>
          <w:lang w:bidi="fa-IR"/>
          <w:color w:val="111111"/>
          <w:sz w:val="28"/>
          <w:szCs w:val="28"/>
          <w:rtl/>
        </w:rPr>
        <w:t xml:space="preserve">و أمّا الثانی:ففیه قولان،أقواهما </w:t>
      </w:r>
      <w:r>
        <w:rPr>
          <w:rStyle w:val="FootnoteReference"/>
        </w:rPr>
        <w:footnoteReference w:id="879"/>
      </w:r>
      <w:r>
        <w:rPr>
          <w:rFonts w:ascii="IRNazanin" w:hAnsi="IRNazanin" w:eastAsia="IRNazanin" w:cs="IRNazanin"/>
          <w:lang w:bidi="fa-IR"/>
          <w:color w:val="111111"/>
          <w:sz w:val="28"/>
          <w:szCs w:val="28"/>
          <w:rtl/>
        </w:rPr>
        <w:t xml:space="preserve">الوجوب؛لوجود المقتضی و عدم المانع.</w:t>
      </w:r>
    </w:p>
    <w:p>
      <w:pPr>
        <w:pStyle w:val="BookText"/>
      </w:pPr>
      <w:r>
        <w:rPr>
          <w:rFonts w:ascii="IRNazanin" w:hAnsi="IRNazanin" w:eastAsia="IRNazanin" w:cs="IRNazanin"/>
          <w:lang w:bidi="fa-IR"/>
          <w:color w:val="111111"/>
          <w:sz w:val="28"/>
          <w:szCs w:val="28"/>
          <w:rtl/>
        </w:rPr>
        <w:t xml:space="preserve">أمّا الأوّل؛فلأنّ وجوب الأمر المردّد ثابت فی الواقع،و الأمر به علی وجه یعمّ العالم و الجاهل صادر عن الشارع واصل إلی من علم به تفصیلا؛إذ لیس موضوع الوجوب فی الأوامر مختصّا بالعالم بها؛و إلاّ لزم الدور کما ذکره العلاّمة رحمه اللّه فی التحریر </w:t>
      </w:r>
      <w:r>
        <w:rPr>
          <w:rStyle w:val="FootnoteReference"/>
        </w:rPr>
        <w:footnoteReference w:id="880"/>
      </w:r>
      <w:r>
        <w:rPr>
          <w:rFonts w:ascii="IRNazanin" w:hAnsi="IRNazanin" w:eastAsia="IRNazanin" w:cs="IRNazanin"/>
          <w:lang w:bidi="fa-IR"/>
          <w:color w:val="111111"/>
          <w:sz w:val="28"/>
          <w:szCs w:val="28"/>
          <w:rtl/>
        </w:rPr>
        <w:t xml:space="preserve">لأنّ العلم بالوجوب موقوف علی الوجوب،فکیف یتوقّف الوجوب علیه؟</w:t>
      </w:r>
    </w:p>
    <w:p>
      <w:pPr>
        <w:pStyle w:val="Heading6"/>
      </w:pPr>
      <w:bookmarkStart w:id="1348" w:name="_Toc383"/>
      <w:r>
        <w:t>[عدم کون الجهل التفصیلی عذرا لا عقلا و لا نقلا]</w:t>
      </w:r>
      <w:bookmarkEnd w:id="1348"/>
    </w:p>
    <w:p>
      <w:pPr>
        <w:pStyle w:val="BookText"/>
      </w:pPr>
      <w:r>
        <w:rPr>
          <w:rFonts w:ascii="IRNazanin" w:hAnsi="IRNazanin" w:eastAsia="IRNazanin" w:cs="IRNazanin"/>
          <w:lang w:bidi="fa-IR"/>
          <w:color w:val="111111"/>
          <w:sz w:val="28"/>
          <w:szCs w:val="28"/>
          <w:rtl/>
        </w:rPr>
        <w:t xml:space="preserve">و أمّا المانع؛فلأنّ المتصوّر منه لیس إلاّ الجهل التفصیلیّ بالواجب، و هو غیر مانع عقلا و لا نقلا.</w:t>
      </w:r>
    </w:p>
    <w:p>
      <w:pPr>
        <w:pStyle w:val="BookText"/>
      </w:pPr>
      <w:r>
        <w:rPr>
          <w:rFonts w:ascii="IRNazanin" w:hAnsi="IRNazanin" w:eastAsia="IRNazanin" w:cs="IRNazanin"/>
          <w:lang w:bidi="fa-IR"/>
          <w:color w:val="111111"/>
          <w:sz w:val="28"/>
          <w:szCs w:val="28"/>
          <w:rtl/>
        </w:rPr>
        <w:t xml:space="preserve">أمّا العقل؛فلأنّ حکمه بالعذر:إن کان من جهة عجز الجاهل عن الإتیان بالواقع-حتّی یرجع الجهل إلی فقد شرط من شروط وجود المأمور به-فلا استقلال للعقل بذلک،کما یشهد به جواز التکلیف بالمجمل فی الجملة،کما اعترف به غیر واحد ممّن قال بالبراءة فیما نحن فیه،کما سیأتی </w:t>
      </w:r>
      <w:r>
        <w:rPr>
          <w:rStyle w:val="FootnoteReference"/>
        </w:rPr>
        <w:footnoteReference w:id="8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إن کان من جهة کونه غیر قابل لتوجّه </w:t>
      </w:r>
      <w:r>
        <w:rPr>
          <w:rStyle w:val="FootnoteReference"/>
        </w:rPr>
        <w:footnoteReference w:id="882"/>
      </w:r>
      <w:r>
        <w:rPr>
          <w:rFonts w:ascii="IRNazanin" w:hAnsi="IRNazanin" w:eastAsia="IRNazanin" w:cs="IRNazanin"/>
          <w:lang w:bidi="fa-IR"/>
          <w:color w:val="111111"/>
          <w:sz w:val="28"/>
          <w:szCs w:val="28"/>
          <w:rtl/>
        </w:rPr>
        <w:t xml:space="preserve">التکلیف إلیه،فهو</w:t>
      </w:r>
    </w:p>
    <w:p>
      <w:pPr>
        <w:pStyle w:val="BookText"/>
      </w:pPr>
      <w:r>
        <w:rPr>
          <w:rFonts w:ascii="IRNazanin" w:hAnsi="IRNazanin" w:eastAsia="IRNazanin" w:cs="IRNazanin"/>
          <w:lang w:bidi="fa-IR"/>
          <w:color w:val="111111"/>
          <w:sz w:val="28"/>
          <w:szCs w:val="28"/>
          <w:rtl/>
        </w:rPr>
        <w:t xml:space="preserve">[شماره صفحه واقعی : 280]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186" w:name="pg14411_142670"/>
    <w:bookmarkEnd w:id="186"/>
    <w:p>
      <w:pPr>
        <w:pStyle w:val="BookText"/>
      </w:pPr>
      <w:r>
        <w:rPr>
          <w:rFonts w:ascii="Amiri" w:hAnsi="Amiri" w:eastAsia="Amiri" w:cs="Amiri"/>
          <w:lang w:bidi="ar-SA"/>
          <w:color w:val="111111"/>
          <w:sz w:val="28"/>
          <w:szCs w:val="28"/>
          <w:rtl/>
        </w:rPr>
        <w:t xml:space="preserve">أشدّ منعا </w:t>
      </w:r>
      <w:r>
        <w:rPr>
          <w:rStyle w:val="FootnoteReference"/>
        </w:rPr>
        <w:footnoteReference w:id="883"/>
      </w:r>
      <w:r>
        <w:rPr>
          <w:rFonts w:ascii="IRNazanin" w:hAnsi="IRNazanin" w:eastAsia="IRNazanin" w:cs="IRNazanin"/>
          <w:lang w:bidi="fa-IR"/>
          <w:color w:val="111111"/>
          <w:sz w:val="28"/>
          <w:szCs w:val="28"/>
          <w:rtl/>
        </w:rPr>
        <w:t xml:space="preserve">و إلاّ لجاز إهمال المعلوم إجمالا رأسا بالمخالفة القطعیّة؛ فلا وجه لالتزام حرمة المخالفة القطعیّة.و لقبح عقاب الجاهل المقصّر علی ترک </w:t>
      </w:r>
      <w:r>
        <w:rPr>
          <w:rStyle w:val="FootnoteReference"/>
        </w:rPr>
        <w:footnoteReference w:id="884"/>
      </w:r>
      <w:r>
        <w:rPr>
          <w:rFonts w:ascii="IRNazanin" w:hAnsi="IRNazanin" w:eastAsia="IRNazanin" w:cs="IRNazanin"/>
          <w:lang w:bidi="fa-IR"/>
          <w:color w:val="111111"/>
          <w:sz w:val="28"/>
          <w:szCs w:val="28"/>
          <w:rtl/>
        </w:rPr>
        <w:t xml:space="preserve">الواجبات الواقعیّة و فعل المحرّمات،کما هو المشهور.</w:t>
      </w:r>
    </w:p>
    <w:p>
      <w:pPr>
        <w:pStyle w:val="BookText"/>
      </w:pPr>
      <w:r>
        <w:rPr>
          <w:rFonts w:ascii="IRNazanin" w:hAnsi="IRNazanin" w:eastAsia="IRNazanin" w:cs="IRNazanin"/>
          <w:lang w:bidi="fa-IR"/>
          <w:color w:val="111111"/>
          <w:sz w:val="28"/>
          <w:szCs w:val="28"/>
          <w:rtl/>
        </w:rPr>
        <w:t xml:space="preserve">و دعوی:أنّ مرادهم تکلیف الجاهل فی حال الجهل برفع الجهل و الإتیان بالواقع،نظیر تکلیف الجنب بالصلاة حال الجنابة،لا التکلیف </w:t>
      </w:r>
      <w:r>
        <w:rPr>
          <w:rStyle w:val="FootnoteReference"/>
        </w:rPr>
        <w:footnoteReference w:id="885"/>
      </w:r>
      <w:r>
        <w:rPr>
          <w:rFonts w:ascii="IRNazanin" w:hAnsi="IRNazanin" w:eastAsia="IRNazanin" w:cs="IRNazanin"/>
          <w:lang w:bidi="fa-IR"/>
          <w:color w:val="111111"/>
          <w:sz w:val="28"/>
          <w:szCs w:val="28"/>
          <w:rtl/>
        </w:rPr>
        <w:t xml:space="preserve">بإتیانه مع وصف الجهل؛فلا تنافی بین کون الجهل مانعا و بین </w:t>
      </w:r>
      <w:r>
        <w:rPr>
          <w:rStyle w:val="FootnoteReference"/>
        </w:rPr>
        <w:footnoteReference w:id="886"/>
      </w:r>
      <w:r>
        <w:rPr>
          <w:rFonts w:ascii="IRNazanin" w:hAnsi="IRNazanin" w:eastAsia="IRNazanin" w:cs="IRNazanin"/>
          <w:lang w:bidi="fa-IR"/>
          <w:color w:val="111111"/>
          <w:sz w:val="28"/>
          <w:szCs w:val="28"/>
          <w:rtl/>
        </w:rPr>
        <w:t xml:space="preserve">التکلیف فی حاله،و إنّما الکلام فی تکلیف الجاهل مع وصف الجهل؛لأنّ المفروض فیما نحن فیه عجزه عن تحصیل العلم.</w:t>
      </w:r>
    </w:p>
    <w:p>
      <w:pPr>
        <w:pStyle w:val="BookText"/>
      </w:pPr>
      <w:r>
        <w:rPr>
          <w:rFonts w:ascii="IRNazanin" w:hAnsi="IRNazanin" w:eastAsia="IRNazanin" w:cs="IRNazanin"/>
          <w:lang w:bidi="fa-IR"/>
          <w:color w:val="111111"/>
          <w:sz w:val="28"/>
          <w:szCs w:val="28"/>
          <w:rtl/>
        </w:rPr>
        <w:t xml:space="preserve">مدفوعة برجوعها حینئذ إلی ما تقدّم:من دعوی کون عدم الجهل من شروط وجود المأمور به نظیر الجنابة،و قد تقدّم بطلانها </w:t>
      </w:r>
      <w:r>
        <w:rPr>
          <w:rStyle w:val="FootnoteReference"/>
        </w:rPr>
        <w:footnoteReference w:id="8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النقل،فلیس فیه ما یدلّ علی العذر؛لأنّ أدلّة البراءة غیر جاریة فی المقام؛لاستلزام إجرائها جواز المخالفة القطعیّة،و الکلام بعد فرض حرمتها.</w:t>
      </w:r>
    </w:p>
    <w:p>
      <w:pPr>
        <w:pStyle w:val="Heading6"/>
      </w:pPr>
      <w:bookmarkStart w:id="1349" w:name="_Toc384"/>
      <w:r>
        <w:t>[دلالة بعض الأخبار علی وجوب الاحتیاط فی المسألة]</w:t>
      </w:r>
      <w:bookmarkEnd w:id="1349"/>
    </w:p>
    <w:p>
      <w:pPr>
        <w:pStyle w:val="BookText"/>
      </w:pPr>
      <w:r>
        <w:rPr>
          <w:rFonts w:ascii="IRNazanin" w:hAnsi="IRNazanin" w:eastAsia="IRNazanin" w:cs="IRNazanin"/>
          <w:lang w:bidi="fa-IR"/>
          <w:color w:val="111111"/>
          <w:sz w:val="28"/>
          <w:szCs w:val="28"/>
          <w:rtl/>
        </w:rPr>
        <w:t xml:space="preserve">بل فی بعض الأخبار ما یدلّ علی وجوب الاحتیاط،مثل:</w:t>
      </w:r>
    </w:p>
    <w:p>
      <w:pPr>
        <w:pStyle w:val="BookText"/>
      </w:pPr>
      <w:r>
        <w:rPr>
          <w:rFonts w:ascii="IRNazanin" w:hAnsi="IRNazanin" w:eastAsia="IRNazanin" w:cs="IRNazanin"/>
          <w:lang w:bidi="fa-IR"/>
          <w:color w:val="111111"/>
          <w:sz w:val="28"/>
          <w:szCs w:val="28"/>
          <w:rtl/>
        </w:rPr>
        <w:t xml:space="preserve">صحیحة عبد الرحمن-المتقدّمة </w:t>
      </w:r>
      <w:r>
        <w:rPr>
          <w:rStyle w:val="FootnoteReference"/>
        </w:rPr>
        <w:footnoteReference w:id="888"/>
      </w:r>
      <w:r>
        <w:rPr>
          <w:rFonts w:ascii="IRNazanin" w:hAnsi="IRNazanin" w:eastAsia="IRNazanin" w:cs="IRNazanin"/>
          <w:lang w:bidi="fa-IR"/>
          <w:color w:val="111111"/>
          <w:sz w:val="28"/>
          <w:szCs w:val="28"/>
          <w:rtl/>
        </w:rPr>
        <w:t xml:space="preserve">-فی جزاء الصید:«إذا أصبتم مثل</w:t>
      </w:r>
    </w:p>
    <w:p>
      <w:pPr>
        <w:pStyle w:val="BookText"/>
      </w:pPr>
      <w:r>
        <w:rPr>
          <w:rFonts w:ascii="IRNazanin" w:hAnsi="IRNazanin" w:eastAsia="IRNazanin" w:cs="IRNazanin"/>
          <w:lang w:bidi="fa-IR"/>
          <w:color w:val="111111"/>
          <w:sz w:val="28"/>
          <w:szCs w:val="28"/>
          <w:rtl/>
        </w:rPr>
        <w:t xml:space="preserve">[شماره صفحه واقعی : 281]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187" w:name="pg14411_142671"/>
    <w:bookmarkEnd w:id="187"/>
    <w:p>
      <w:pPr>
        <w:pStyle w:val="BookText"/>
      </w:pPr>
      <w:r>
        <w:rPr>
          <w:rFonts w:ascii="IRNazanin" w:hAnsi="IRNazanin" w:eastAsia="IRNazanin" w:cs="IRNazanin"/>
          <w:lang w:bidi="fa-IR"/>
          <w:color w:val="111111"/>
          <w:sz w:val="28"/>
          <w:szCs w:val="28"/>
          <w:rtl/>
        </w:rPr>
        <w:t xml:space="preserve">هذا و لم تدروا،فعلیکم بالاحتیاط حتّی تسألوا عنه فتعلموا»و غیرها </w:t>
      </w:r>
      <w:r>
        <w:rPr>
          <w:rStyle w:val="FootnoteReference"/>
        </w:rPr>
        <w:footnoteReference w:id="8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قلت:إنّ تجویز الشارع لترک أحد المحتملین و الاکتفاء بالآخر یکشف عن عدم کون العلم الإجمالیّ علّة تامّة لوجوب الإطاعة </w:t>
      </w:r>
      <w:r>
        <w:rPr>
          <w:rStyle w:val="FootnoteReference"/>
        </w:rPr>
        <w:footnoteReference w:id="890"/>
      </w:r>
      <w:r>
        <w:rPr>
          <w:rFonts w:ascii="IRNazanin" w:hAnsi="IRNazanin" w:eastAsia="IRNazanin" w:cs="IRNazanin"/>
          <w:lang w:bidi="fa-IR"/>
          <w:color w:val="111111"/>
          <w:sz w:val="28"/>
          <w:szCs w:val="28"/>
          <w:rtl/>
        </w:rPr>
        <w:t xml:space="preserve">،کما أنّ عدم تجویز الشارع للمخالفة مع العلم التفصیلیّ دلیل علی کون العلم التفصیلیّ علّة تامّة لوجوب الإطاعة،و حینئذ فلا ملازمة بین العلم الإجمالیّ و وجوب الإطاعة،فیحتاج إثبات الوجوب إلی دلیل آخر غیر العلم الإجمالیّ،و حیث کان مفقودا فأصل البراءة یقتضی عدم وجوب الجمع و قبح العقاب علی ترکه؛لعدم البیان.</w:t>
      </w:r>
    </w:p>
    <w:p>
      <w:pPr>
        <w:pStyle w:val="BookText"/>
      </w:pPr>
      <w:r>
        <w:rPr>
          <w:rFonts w:ascii="IRNazanin" w:hAnsi="IRNazanin" w:eastAsia="IRNazanin" w:cs="IRNazanin"/>
          <w:lang w:bidi="fa-IR"/>
          <w:color w:val="111111"/>
          <w:sz w:val="28"/>
          <w:szCs w:val="28"/>
          <w:rtl/>
        </w:rPr>
        <w:t xml:space="preserve">نعم،لمّا کان ترک الکلّ معصیة عند العقلاء حکم بحرمتها </w:t>
      </w:r>
      <w:r>
        <w:rPr>
          <w:rStyle w:val="FootnoteReference"/>
        </w:rPr>
        <w:footnoteReference w:id="891"/>
      </w:r>
      <w:r>
        <w:rPr>
          <w:rFonts w:ascii="IRNazanin" w:hAnsi="IRNazanin" w:eastAsia="IRNazanin" w:cs="IRNazanin"/>
          <w:lang w:bidi="fa-IR"/>
          <w:color w:val="111111"/>
          <w:sz w:val="28"/>
          <w:szCs w:val="28"/>
          <w:rtl/>
        </w:rPr>
        <w:t xml:space="preserve">، و لا تدلّ حرمة المخالفة القطعیّة علی وجوب الموافقة القطعیّة.</w:t>
      </w:r>
    </w:p>
    <w:p>
      <w:pPr>
        <w:pStyle w:val="Heading6"/>
      </w:pPr>
      <w:bookmarkStart w:id="1350" w:name="_Toc385"/>
      <w:r>
        <w:t>[العلم الإجمالی کالتفصیلی علّة تامّة لتنجّز التکلیف بالمعلوم]</w:t>
      </w:r>
      <w:bookmarkEnd w:id="1350"/>
    </w:p>
    <w:p>
      <w:pPr>
        <w:pStyle w:val="BookText"/>
      </w:pPr>
      <w:r>
        <w:rPr>
          <w:rFonts w:ascii="IRNazanin" w:hAnsi="IRNazanin" w:eastAsia="IRNazanin" w:cs="IRNazanin"/>
          <w:lang w:bidi="fa-IR"/>
          <w:color w:val="111111"/>
          <w:sz w:val="28"/>
          <w:szCs w:val="28"/>
          <w:rtl/>
        </w:rPr>
        <w:t xml:space="preserve">قلت:العلم الإجمالیّ کالتفصیلیّ علّة تامّة لتنجّز التکلیف بالمعلوم، إلاّ أنّ المعلوم إجمالا یصلح لأن یجعل أحد محتملیه بدلا عنه فی الظاهر، فکلّ مورد حکم الشارع بکفایة أحد المحتملین للواقع-إمّا تعیینا کحکمه بالأخذ </w:t>
      </w:r>
      <w:r>
        <w:rPr>
          <w:rStyle w:val="FootnoteReference"/>
        </w:rPr>
        <w:footnoteReference w:id="892"/>
      </w:r>
      <w:r>
        <w:rPr>
          <w:rFonts w:ascii="IRNazanin" w:hAnsi="IRNazanin" w:eastAsia="IRNazanin" w:cs="IRNazanin"/>
          <w:lang w:bidi="fa-IR"/>
          <w:color w:val="111111"/>
          <w:sz w:val="28"/>
          <w:szCs w:val="28"/>
          <w:rtl/>
        </w:rPr>
        <w:t xml:space="preserve">بالاحتمال المطابق للحالة السابقة،و إمّا تخییرا کما فی موارد التخییر بین الاحتمالین-فهو من باب الاکتفاء عن الواقع بذلک المحتمل، لا الترخیص لترک الواقع بلا بدل فی الجملة؛فإنّ الواقع إذا علم به </w:t>
      </w:r>
      <w:r>
        <w:rPr>
          <w:rStyle w:val="FootnoteReference"/>
        </w:rPr>
        <w:footnoteReference w:id="893"/>
      </w:r>
    </w:p>
    <w:p>
      <w:pPr>
        <w:pStyle w:val="BookText"/>
      </w:pPr>
      <w:r>
        <w:rPr>
          <w:rFonts w:ascii="IRNazanin" w:hAnsi="IRNazanin" w:eastAsia="IRNazanin" w:cs="IRNazanin"/>
          <w:lang w:bidi="fa-IR"/>
          <w:color w:val="111111"/>
          <w:sz w:val="28"/>
          <w:szCs w:val="28"/>
          <w:rtl/>
        </w:rPr>
        <w:t xml:space="preserve">[شماره صفحه واقعی : 282]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188" w:name="pg14411_142672"/>
    <w:bookmarkEnd w:id="188"/>
    <w:p>
      <w:pPr>
        <w:pStyle w:val="BookText"/>
      </w:pPr>
      <w:r>
        <w:rPr>
          <w:rFonts w:ascii="IRNazanin" w:hAnsi="IRNazanin" w:eastAsia="IRNazanin" w:cs="IRNazanin"/>
          <w:lang w:bidi="fa-IR"/>
          <w:color w:val="111111"/>
          <w:sz w:val="28"/>
          <w:szCs w:val="28"/>
          <w:rtl/>
        </w:rPr>
        <w:t xml:space="preserve">و علم إرادة المولی بشیء و صدور الخطاب عنه إلی العبید و إن لم یصل إلیهم،لم یکن بدّ عن موافقته إمّا حقیقة بالاحتیاط،و إمّا حکما بفعل ما جعله الشارع بدلا عنه،و قد تقدّمت الإشارة إلی ذلک فی الشبهة المحصورة </w:t>
      </w:r>
      <w:r>
        <w:rPr>
          <w:rStyle w:val="FootnoteReference"/>
        </w:rPr>
        <w:footnoteReference w:id="894"/>
      </w:r>
      <w:r>
        <w:rPr>
          <w:rFonts w:ascii="Times New Roman" w:hAnsi="Times New Roman" w:eastAsia="Times New Roman" w:cs="Times New Roman"/>
          <w:lang w:val="en-US" w:bidi="en-US"/>
          <w:color w:val="111111"/>
          <w:sz w:val="28"/>
          <w:szCs w:val="28"/>
          <w:rtl/>
        </w:rPr>
        <w:t xml:space="preserve">.</w:t>
      </w:r>
    </w:p>
    <w:p>
      <w:pPr>
        <w:pStyle w:val="Heading6"/>
      </w:pPr>
      <w:bookmarkStart w:id="1351" w:name="_Toc386"/>
      <w:r>
        <w:t>[عدم جواز التمسّک فی المسألة بأدلّة البراءة]</w:t>
      </w:r>
      <w:bookmarkEnd w:id="1351"/>
    </w:p>
    <w:p>
      <w:pPr>
        <w:pStyle w:val="BookText"/>
      </w:pPr>
      <w:r>
        <w:rPr>
          <w:rFonts w:ascii="IRNazanin" w:hAnsi="IRNazanin" w:eastAsia="IRNazanin" w:cs="IRNazanin"/>
          <w:lang w:bidi="fa-IR"/>
          <w:color w:val="111111"/>
          <w:sz w:val="28"/>
          <w:szCs w:val="28"/>
          <w:rtl/>
        </w:rPr>
        <w:t xml:space="preserve">و ممّا ذکرنا یظهر:عدم جواز التمسّک فی المقام بأدلّة البراءة،مثل روایة الحجب </w:t>
      </w:r>
      <w:r>
        <w:rPr>
          <w:rStyle w:val="FootnoteReference"/>
        </w:rPr>
        <w:footnoteReference w:id="895"/>
      </w:r>
      <w:r>
        <w:rPr>
          <w:rFonts w:ascii="Amiri" w:hAnsi="Amiri" w:eastAsia="Amiri" w:cs="Amiri"/>
          <w:lang w:bidi="ar-SA"/>
          <w:color w:val="111111"/>
          <w:sz w:val="28"/>
          <w:szCs w:val="28"/>
          <w:rtl/>
        </w:rPr>
        <w:t xml:space="preserve">و التوسعة </w:t>
      </w:r>
      <w:r>
        <w:rPr>
          <w:rStyle w:val="FootnoteReference"/>
        </w:rPr>
        <w:footnoteReference w:id="896"/>
      </w:r>
      <w:r>
        <w:rPr>
          <w:rFonts w:ascii="IRNazanin" w:hAnsi="IRNazanin" w:eastAsia="IRNazanin" w:cs="IRNazanin"/>
          <w:lang w:bidi="fa-IR"/>
          <w:color w:val="111111"/>
          <w:sz w:val="28"/>
          <w:szCs w:val="28"/>
          <w:rtl/>
        </w:rPr>
        <w:t xml:space="preserve">و نحوهما </w:t>
      </w:r>
      <w:r>
        <w:rPr>
          <w:rStyle w:val="FootnoteReference"/>
        </w:rPr>
        <w:footnoteReference w:id="897"/>
      </w:r>
      <w:r>
        <w:rPr>
          <w:rFonts w:ascii="IRNazanin" w:hAnsi="IRNazanin" w:eastAsia="IRNazanin" w:cs="IRNazanin"/>
          <w:lang w:bidi="fa-IR"/>
          <w:color w:val="111111"/>
          <w:sz w:val="28"/>
          <w:szCs w:val="28"/>
          <w:rtl/>
        </w:rPr>
        <w:t xml:space="preserve">لأنّ العمل بها فی کلّ من الموردین بخصوصه یوجب طرحها بالنسبة إلی أحدهما المعیّن عند اللّه المعلوم وجوبه؛فإنّ وجوب واحدة من الظهر و الجمعة أو من القصر و الإتمام ممّا لم یحجب اللّه علمه عنّا،فلیس موضوعا عنّا و لسنا فی سعة منه،فلا بدّ إمّا من الحکم بعدم جریان هذه الأخبار فی مثل المقام ممّا علم وجوب شیء إجمالا،و إمّا من الحکم بأنّ شمولها للواحد المعیّن المعلوم وجوبه و دلالتها بالمفهوم علی عدم کونه موضوعا عن العباد و کونه محمولا علیهم و مأخوذین به و ملزمین علیه </w:t>
      </w:r>
      <w:r>
        <w:rPr>
          <w:rStyle w:val="FootnoteReference"/>
        </w:rPr>
        <w:footnoteReference w:id="898"/>
      </w:r>
      <w:r>
        <w:rPr>
          <w:rFonts w:ascii="IRNazanin" w:hAnsi="IRNazanin" w:eastAsia="IRNazanin" w:cs="IRNazanin"/>
          <w:lang w:bidi="fa-IR"/>
          <w:color w:val="111111"/>
          <w:sz w:val="28"/>
          <w:szCs w:val="28"/>
          <w:rtl/>
        </w:rPr>
        <w:t xml:space="preserve">،دلیل علمیّ -بضمیمة حکم العقل بوجوب المقدّمة العلمیّة-علی وجوب الإتیان بکلّ من الخصوصیّتین،فالعلم بوجوب کلّ منهما لنفسه و إن کان محجوبا</w:t>
      </w:r>
    </w:p>
    <w:p>
      <w:pPr>
        <w:pStyle w:val="BookText"/>
      </w:pPr>
      <w:r>
        <w:rPr>
          <w:rFonts w:ascii="IRNazanin" w:hAnsi="IRNazanin" w:eastAsia="IRNazanin" w:cs="IRNazanin"/>
          <w:lang w:bidi="fa-IR"/>
          <w:color w:val="111111"/>
          <w:sz w:val="28"/>
          <w:szCs w:val="28"/>
          <w:rtl/>
        </w:rPr>
        <w:t xml:space="preserve">[شماره صفحه واقعی : 283]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عنّا،إلاّ أنّ العلم بوجوبه من باب المقدّمة لیس محجوبا عنّا،و لا منافاة بین عدم وجوب الشیء ظاهرا لذاته و وجوبه ظاهرا من باب المقدّمة، کما لا تنافی بین عدم الوجوب النفسی واقعا و ثبوت الوجوب الغیری کذلک.</w:t>
      </w:r>
    </w:p>
    <w:p>
      <w:pPr>
        <w:pStyle w:val="BookText"/>
      </w:pPr>
      <w:r>
        <w:rPr>
          <w:rFonts w:ascii="IRNazanin" w:hAnsi="IRNazanin" w:eastAsia="IRNazanin" w:cs="IRNazanin"/>
          <w:lang w:bidi="fa-IR"/>
          <w:color w:val="111111"/>
          <w:sz w:val="28"/>
          <w:szCs w:val="28"/>
          <w:rtl/>
        </w:rPr>
        <w:t xml:space="preserve">و اعلم:أنّ المحقّق القمّی رحمه اللّه،بعد ما حکی عن المحقّق الخوانساری المیل إلی وجوب الاحتیاط فی مثل الظهر و الجمعة و القصر و الإتمام </w:t>
      </w:r>
      <w:r>
        <w:rPr>
          <w:rStyle w:val="FootnoteReference"/>
        </w:rPr>
        <w:footnoteReference w:id="899"/>
      </w:r>
      <w:r>
        <w:rPr>
          <w:rFonts w:ascii="IRNazanin" w:hAnsi="IRNazanin" w:eastAsia="IRNazanin" w:cs="IRNazanin"/>
          <w:lang w:bidi="fa-IR"/>
          <w:color w:val="111111"/>
          <w:sz w:val="28"/>
          <w:szCs w:val="28"/>
          <w:rtl/>
        </w:rPr>
        <w:t xml:space="preserve">، قال:</w:t>
      </w:r>
    </w:p>
    <w:p>
      <w:pPr>
        <w:pStyle w:val="BookText"/>
      </w:pPr>
      <w:r>
        <w:rPr>
          <w:rFonts w:ascii="IRNazanin" w:hAnsi="IRNazanin" w:eastAsia="IRNazanin" w:cs="IRNazanin"/>
          <w:lang w:bidi="fa-IR"/>
          <w:color w:val="111111"/>
          <w:sz w:val="28"/>
          <w:szCs w:val="28"/>
          <w:rtl/>
        </w:rPr>
        <w:t xml:space="preserve">إنّ دقیق النظر یقتضی خلافه؛فإنّ التکلیف بالمجمل المحتمل لأفراد متعدّدة-بإرادة فرد معیّن عند الشارع مجهول عند المخاطب-مستلزم لتأخیر البیان عن وقت الحاجة الذی اتّفق أهل العدل علی استحالته، و کلّ ما یدّعی کونه من هذا القبیل فیمکن منعه؛إذ غایة ما یسلّم فی القصر و الإتمام و الظهر و الجمعة و أمثالها:أنّ الإجماع وقع علی أنّ من ترک الأمرین بأن لا یفعل شیئا منهما یستحقّ العقاب،لا أنّ من ترک أحدهما المعیّن عند الشارع المبهم عندنا بأن ترک فعلهما مجتمعین، یستحقّ العقاب.</w:t>
      </w:r>
    </w:p>
    <w:p>
      <w:pPr>
        <w:pStyle w:val="BookText"/>
      </w:pPr>
      <w:r>
        <w:rPr>
          <w:rFonts w:ascii="IRNazanin" w:hAnsi="IRNazanin" w:eastAsia="IRNazanin" w:cs="IRNazanin"/>
          <w:lang w:bidi="fa-IR"/>
          <w:color w:val="111111"/>
          <w:sz w:val="28"/>
          <w:szCs w:val="28"/>
          <w:rtl/>
        </w:rPr>
        <w:t xml:space="preserve">و نظیر ذلک:مطلق التکلیف بالأحکام الشرعیّة،سیّما فی أمثال زماننا علی مذهب أهل الحقّ من التخطئة،فإنّ التحقیق:أنّ الذی ثبت علینا بالدلیل هو تحصیل ما یمکننا تحصیله من الأدلّة الظنّیة،لا تحصیل الحکم النفس الأمریّ فی کلّ واقعة؛و لذا لم نقل بوجوب الاحتیاط و ترک العمل بالظنّ الاجتهادیّ من أوّل الأمر.</w:t>
      </w:r>
    </w:p>
    <w:p>
      <w:pPr>
        <w:pStyle w:val="BookText"/>
      </w:pPr>
      <w:r>
        <w:rPr>
          <w:rFonts w:ascii="IRNazanin" w:hAnsi="IRNazanin" w:eastAsia="IRNazanin" w:cs="IRNazanin"/>
          <w:lang w:bidi="fa-IR"/>
          <w:color w:val="111111"/>
          <w:sz w:val="28"/>
          <w:szCs w:val="28"/>
          <w:rtl/>
        </w:rPr>
        <w:t xml:space="preserve">[شماره صفحه واقعی : 284]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نعم،لو فرض حصول الإجماع أو ورود النصّ علی وجوب شیء معیّن عند اللّه تعالی مردّد عندنا بین امور من دون اشتراطه بالعلم به -المستلزم ذلک الفرض لإسقاط قصد التعیین فی الطاعة-لتمّ ذلک، و لکن لا یحسن حینئذ قوله-یعنی المحقّق الخوانساری-:فلا یبعد حینئذ القول بوجوب الاحتیاط،بل لا بدّ من القول بالیقین و الجزم بالوجوب.</w:t>
      </w:r>
    </w:p>
    <w:p>
      <w:pPr>
        <w:pStyle w:val="BookText"/>
      </w:pPr>
      <w:r>
        <w:rPr>
          <w:rFonts w:ascii="IRNazanin" w:hAnsi="IRNazanin" w:eastAsia="IRNazanin" w:cs="IRNazanin"/>
          <w:lang w:bidi="fa-IR"/>
          <w:color w:val="111111"/>
          <w:sz w:val="28"/>
          <w:szCs w:val="28"/>
          <w:rtl/>
        </w:rPr>
        <w:t xml:space="preserve">و لکن،من أین هذا الفرض؟و أنّی یمکن إثباته؟ </w:t>
      </w:r>
      <w:r>
        <w:rPr>
          <w:rStyle w:val="FootnoteReference"/>
        </w:rPr>
        <w:footnoteReference w:id="900"/>
      </w:r>
      <w:r>
        <w:rPr>
          <w:rFonts w:ascii="IRNazanin" w:hAnsi="IRNazanin" w:eastAsia="IRNazanin" w:cs="IRNazanin"/>
          <w:lang w:bidi="fa-IR"/>
          <w:color w:val="111111"/>
          <w:sz w:val="28"/>
          <w:szCs w:val="28"/>
          <w:rtl/>
        </w:rPr>
        <w:t xml:space="preserve">،انتهی کلامه، رفع مقامه.</w:t>
      </w:r>
    </w:p>
    <w:p>
      <w:pPr>
        <w:pStyle w:val="BookText"/>
      </w:pPr>
      <w:r>
        <w:rPr>
          <w:rFonts w:ascii="IRNazanin" w:hAnsi="IRNazanin" w:eastAsia="IRNazanin" w:cs="IRNazanin"/>
          <w:lang w:bidi="fa-IR"/>
          <w:color w:val="111111"/>
          <w:sz w:val="28"/>
          <w:szCs w:val="28"/>
          <w:rtl/>
        </w:rPr>
        <w:t xml:space="preserve">و ما ذکره قدّس اللّه سرّه قد وافق فیه بعض کلمات ذلک المحقّق، التی ذکرها فی مسألة الاستنجاء بالأحجار،حیث قال بعد کلام له:</w:t>
      </w:r>
    </w:p>
    <w:p>
      <w:pPr>
        <w:pStyle w:val="BookText"/>
      </w:pPr>
      <w:r>
        <w:rPr>
          <w:rFonts w:ascii="IRNazanin" w:hAnsi="IRNazanin" w:eastAsia="IRNazanin" w:cs="IRNazanin"/>
          <w:lang w:bidi="fa-IR"/>
          <w:color w:val="111111"/>
          <w:sz w:val="28"/>
          <w:szCs w:val="28"/>
          <w:rtl/>
        </w:rPr>
        <w:t xml:space="preserve">و الحاصل:إذا ورد نصّ أو إجماع علی وجوب شیء معیّن معلوم عندنا أو ثبوت حکم إلی غایة معیّنة معلومة عندنا،فلا بدّ من الحکم بلزوم تحصیل الیقین أو الظنّ بوجود ذلک الشیء المعلوم حتّی یتحقّق الامتثال.</w:t>
      </w:r>
    </w:p>
    <w:p>
      <w:pPr>
        <w:pStyle w:val="BookText"/>
      </w:pPr>
      <w:r>
        <w:rPr>
          <w:rFonts w:ascii="IRNazanin" w:hAnsi="IRNazanin" w:eastAsia="IRNazanin" w:cs="IRNazanin"/>
          <w:lang w:bidi="fa-IR"/>
          <w:color w:val="111111"/>
          <w:sz w:val="28"/>
          <w:szCs w:val="28"/>
          <w:rtl/>
        </w:rPr>
        <w:t xml:space="preserve">إلی أن قال:</w:t>
      </w:r>
    </w:p>
    <w:p>
      <w:pPr>
        <w:pStyle w:val="BookText"/>
      </w:pPr>
      <w:r>
        <w:rPr>
          <w:rFonts w:ascii="IRNazanin" w:hAnsi="IRNazanin" w:eastAsia="IRNazanin" w:cs="IRNazanin"/>
          <w:lang w:bidi="fa-IR"/>
          <w:color w:val="111111"/>
          <w:sz w:val="28"/>
          <w:szCs w:val="28"/>
          <w:rtl/>
        </w:rPr>
        <w:t xml:space="preserve">و کذا إذا ورد نصّ أو إجماع علی وجوب شیء معیّن فی الواقع مردّد فی نظرنا بین امور،و یعلم أنّ ذلک التکلیف غیر مشروط بشیء من العلم بذلک الشیء مثلا،أو علی ثبوت حکم إلی غایة معیّنة فی الواقع مردّدة عندنا بین أشیاء و یعلم أیضا عدم اشتراطه بالعلم،وجب الحکم بوجوب تلک الأشیاء المردّد فیها فی نظرنا،و بقاء ذلک الحکم إلی حصول تلک الأشیاء،و لا یکفی الإتیان بواحد منها فی سقوط التکلیف،</w:t>
      </w:r>
    </w:p>
    <w:p>
      <w:pPr>
        <w:pStyle w:val="BookText"/>
      </w:pPr>
      <w:r>
        <w:rPr>
          <w:rFonts w:ascii="IRNazanin" w:hAnsi="IRNazanin" w:eastAsia="IRNazanin" w:cs="IRNazanin"/>
          <w:lang w:bidi="fa-IR"/>
          <w:color w:val="111111"/>
          <w:sz w:val="28"/>
          <w:szCs w:val="28"/>
          <w:rtl/>
        </w:rPr>
        <w:t xml:space="preserve">[شماره صفحه واقعی : 285]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کذا حصول شیء واحد من الأشیاء فی ارتفاع الحکم المعیّن </w:t>
      </w:r>
      <w:r>
        <w:rPr>
          <w:rStyle w:val="FootnoteReference"/>
        </w:rPr>
        <w:footnoteReference w:id="9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إلی أن قال:</w:t>
      </w:r>
    </w:p>
    <w:p>
      <w:pPr>
        <w:pStyle w:val="BookText"/>
      </w:pPr>
      <w:r>
        <w:rPr>
          <w:rFonts w:ascii="IRNazanin" w:hAnsi="IRNazanin" w:eastAsia="IRNazanin" w:cs="IRNazanin"/>
          <w:lang w:bidi="fa-IR"/>
          <w:color w:val="111111"/>
          <w:sz w:val="28"/>
          <w:szCs w:val="28"/>
          <w:rtl/>
        </w:rPr>
        <w:t xml:space="preserve">و أمّا إذا لم یکن کذلک،بل ورد نصّ مثلا علی أنّ الواجب الشیء الفلانیّ،و نصّ آخر علی أنّ هذا الواجب شیء آخر،أو ذهب بعض الامّة إلی وجوب شیء،و بعض آخر إلی وجوب شیء آخر دونه،و ظهر بالنصّ و الإجماع فی الصورتین أنّ ترک ذینک الشیئین معا سبب لاستحقاق العقاب،فحینئذ لم یظهر وجوب الإتیان بهما حتّی یتحقّق الامتثال،بل الظاهر الاکتفاء بواحد منهما،سواء اشترکا فی أمر أو تباینا بالکلّیة.</w:t>
      </w:r>
    </w:p>
    <w:p>
      <w:pPr>
        <w:pStyle w:val="BookText"/>
      </w:pPr>
      <w:r>
        <w:rPr>
          <w:rFonts w:ascii="IRNazanin" w:hAnsi="IRNazanin" w:eastAsia="IRNazanin" w:cs="IRNazanin"/>
          <w:lang w:bidi="fa-IR"/>
          <w:color w:val="111111"/>
          <w:sz w:val="28"/>
          <w:szCs w:val="28"/>
          <w:rtl/>
        </w:rPr>
        <w:t xml:space="preserve">و کذا الکلام فی ثبوت الحکم إلی غایة معیّنة </w:t>
      </w:r>
      <w:r>
        <w:rPr>
          <w:rStyle w:val="FootnoteReference"/>
        </w:rPr>
        <w:footnoteReference w:id="902"/>
      </w:r>
      <w:r>
        <w:rPr>
          <w:rFonts w:ascii="IRNazanin" w:hAnsi="IRNazanin" w:eastAsia="IRNazanin" w:cs="IRNazanin"/>
          <w:lang w:bidi="fa-IR"/>
          <w:color w:val="111111"/>
          <w:sz w:val="28"/>
          <w:szCs w:val="28"/>
          <w:rtl/>
        </w:rPr>
        <w:t xml:space="preserve">،انتهی کلامه،رفع مقامه.</w:t>
      </w:r>
    </w:p>
    <w:p>
      <w:pPr>
        <w:pStyle w:val="BookText"/>
      </w:pPr>
      <w:r>
        <w:rPr>
          <w:rFonts w:ascii="IRNazanin" w:hAnsi="IRNazanin" w:eastAsia="IRNazanin" w:cs="IRNazanin"/>
          <w:lang w:bidi="fa-IR"/>
          <w:color w:val="111111"/>
          <w:sz w:val="28"/>
          <w:szCs w:val="28"/>
          <w:rtl/>
        </w:rPr>
        <w:t xml:space="preserve">و أنت خبیر بما فی هذه الکلمات من النظر.</w:t>
      </w:r>
    </w:p>
    <w:p>
      <w:pPr>
        <w:pStyle w:val="BookText"/>
      </w:pPr>
      <w:r>
        <w:rPr>
          <w:rFonts w:ascii="IRNazanin" w:hAnsi="IRNazanin" w:eastAsia="IRNazanin" w:cs="IRNazanin"/>
          <w:lang w:bidi="fa-IR"/>
          <w:color w:val="111111"/>
          <w:sz w:val="28"/>
          <w:szCs w:val="28"/>
          <w:rtl/>
        </w:rPr>
        <w:t xml:space="preserve">أمّا ما ذکره الفاضل القمّی رحمه اللّه:من حدیث التکلیف بالمجمل و تأخیر البیان عن وقت الحاجة،فلا دخل له فی المقام؛إذ لا إجمال فی الخطاب أصلا،و إنّما طرأ الاشتباه فی المکلّف به من جهة تردّد ذلک الخطاب المبیّن بین أمرین،و إزالة هذا التردّد العارض من جهة أسباب اختفاء الأحکام غیر واجبة علی الحکیم تعالی حتّی یقبح تأخیره عن وقت الحاجة،بل یجب عند هذا الاختفاء الرجوع إلی ما قرّره الشارع کلّیة فی الوقائع المختفیة،و إلاّ فما یقتضیه العقل من البراءة و الاحتیاط.</w:t>
      </w:r>
    </w:p>
    <w:p>
      <w:pPr>
        <w:pStyle w:val="BookText"/>
      </w:pPr>
      <w:r>
        <w:rPr>
          <w:rFonts w:ascii="IRNazanin" w:hAnsi="IRNazanin" w:eastAsia="IRNazanin" w:cs="IRNazanin"/>
          <w:lang w:bidi="fa-IR"/>
          <w:color w:val="111111"/>
          <w:sz w:val="28"/>
          <w:szCs w:val="28"/>
          <w:rtl/>
        </w:rPr>
        <w:t xml:space="preserve">[شماره صفحه واقعی : 286]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نحن ندّعی أنّ العقل حاکم-بعد العلم بالوجوب و الشکّ فی الواجب،و عدم الدلیل من الشارع علی الأخذ بأحد الاحتمالین المعیّن أو المخیّر و الاکتفاء به من الواقع-بوجوب الاحتیاط؛حذرا من ترک الواجب الواقعی،و أین ذلک من مسألة التکلیف بالمجمل و تأخیر البیان عن وقت الحاجة؟</w:t>
      </w:r>
    </w:p>
    <w:p>
      <w:pPr>
        <w:pStyle w:val="BookText"/>
      </w:pPr>
      <w:r>
        <w:rPr>
          <w:rFonts w:ascii="IRNazanin" w:hAnsi="IRNazanin" w:eastAsia="IRNazanin" w:cs="IRNazanin"/>
          <w:lang w:bidi="fa-IR"/>
          <w:color w:val="111111"/>
          <w:sz w:val="28"/>
          <w:szCs w:val="28"/>
          <w:rtl/>
        </w:rPr>
        <w:t xml:space="preserve">مع أنّ التکلیف بالمجمل و تأخیر البیان عن وقت العمل لا دلیل علی قبحه إذا تمکّن المکلّف من الإطاعة و لو بالاحتیاط.</w:t>
      </w:r>
    </w:p>
    <w:p>
      <w:pPr>
        <w:pStyle w:val="BookText"/>
      </w:pPr>
      <w:r>
        <w:rPr>
          <w:rFonts w:ascii="IRNazanin" w:hAnsi="IRNazanin" w:eastAsia="IRNazanin" w:cs="IRNazanin"/>
          <w:lang w:bidi="fa-IR"/>
          <w:color w:val="111111"/>
          <w:sz w:val="28"/>
          <w:szCs w:val="28"/>
          <w:rtl/>
        </w:rPr>
        <w:t xml:space="preserve">و أمّا ما ذکره تبعا للمحقّق المذکور:من تسلیم وجوب الاحتیاط إذا قام الدلیل علی وجوب شیء معیّن فی الواقع غیر مشروط بالعلم به، ففیه:</w:t>
      </w:r>
    </w:p>
    <w:p>
      <w:pPr>
        <w:pStyle w:val="BookText"/>
      </w:pPr>
      <w:r>
        <w:rPr>
          <w:rFonts w:ascii="IRNazanin" w:hAnsi="IRNazanin" w:eastAsia="IRNazanin" w:cs="IRNazanin"/>
          <w:lang w:bidi="fa-IR"/>
          <w:color w:val="111111"/>
          <w:sz w:val="28"/>
          <w:szCs w:val="28"/>
          <w:rtl/>
        </w:rPr>
        <w:t xml:space="preserve">أنّه إذا کان التکلیف بالشیء قابلا لأن یقع مشروطا بالعلم و لأن یقع منجّزا غیر مشروط بالعلم بالشیء </w:t>
      </w:r>
      <w:r>
        <w:rPr>
          <w:rStyle w:val="FootnoteReference"/>
        </w:rPr>
        <w:footnoteReference w:id="903"/>
      </w:r>
      <w:r>
        <w:rPr>
          <w:rFonts w:ascii="IRNazanin" w:hAnsi="IRNazanin" w:eastAsia="IRNazanin" w:cs="IRNazanin"/>
          <w:lang w:bidi="fa-IR"/>
          <w:color w:val="111111"/>
          <w:sz w:val="28"/>
          <w:szCs w:val="28"/>
          <w:rtl/>
        </w:rPr>
        <w:t xml:space="preserve">،کان ذلک اعترافا بعدم قبح التکلیف بالشیء المعیّن المجهول،فلا یکون العلم شرطا عقلیّا،و أمّا اشتراط التکلیف به شرعا فهو غیر معقول بالنسبة إلی الخطاب الواقعی، فإنّ الخطاب الواقعی فی یوم الجمعة-سواء فرض قوله:«صلّ الظهر»، أم فرض قوله:«صلّ الجمعة»-لا یعقل أن یشترط بالعلم بهذا الحکم التفصیلی.</w:t>
      </w:r>
    </w:p>
    <w:p>
      <w:pPr>
        <w:pStyle w:val="BookText"/>
      </w:pPr>
      <w:r>
        <w:rPr>
          <w:rFonts w:ascii="IRNazanin" w:hAnsi="IRNazanin" w:eastAsia="IRNazanin" w:cs="IRNazanin"/>
          <w:lang w:bidi="fa-IR"/>
          <w:color w:val="111111"/>
          <w:sz w:val="28"/>
          <w:szCs w:val="28"/>
          <w:rtl/>
        </w:rPr>
        <w:t xml:space="preserve">نعم،بعد اختفاء هذا الخطاب المطلق یصحّ أن یرد خطاب مطلق، کقوله:«اعمل بذلک الخطاب و لو کان عندک مجهولا،و ائت بما فیه و لو کان غیر معلوم»،کما یصحّ أن یرد خطاب مشروط،و أنّه لا یجب</w:t>
      </w:r>
    </w:p>
    <w:p>
      <w:pPr>
        <w:pStyle w:val="BookText"/>
      </w:pPr>
      <w:r>
        <w:rPr>
          <w:rFonts w:ascii="IRNazanin" w:hAnsi="IRNazanin" w:eastAsia="IRNazanin" w:cs="IRNazanin"/>
          <w:lang w:bidi="fa-IR"/>
          <w:color w:val="111111"/>
          <w:sz w:val="28"/>
          <w:szCs w:val="28"/>
          <w:rtl/>
        </w:rPr>
        <w:t xml:space="preserve">[شماره صفحه واقعی : 287]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علیک ما اختفی علیک من التکلیف فی یوم الجمعة،و أنّ وجوب امتثاله علیک مشروط بعلمک به تفصیلا.</w:t>
      </w:r>
    </w:p>
    <w:p>
      <w:pPr>
        <w:pStyle w:val="BookText"/>
      </w:pPr>
      <w:r>
        <w:rPr>
          <w:rFonts w:ascii="IRNazanin" w:hAnsi="IRNazanin" w:eastAsia="IRNazanin" w:cs="IRNazanin"/>
          <w:lang w:bidi="fa-IR"/>
          <w:color w:val="111111"/>
          <w:sz w:val="28"/>
          <w:szCs w:val="28"/>
          <w:rtl/>
        </w:rPr>
        <w:t xml:space="preserve">و مرجع الأوّل إلی الأمر بالاحتیاط،و مرجع الثانی إلی البراءة عن الکلّ إن أفاد نفی وجوب الواقع رأسا المستلزم لجواز المخالفة القطعیّة،و إلی </w:t>
      </w:r>
      <w:r>
        <w:rPr>
          <w:rStyle w:val="FootnoteReference"/>
        </w:rPr>
        <w:footnoteReference w:id="904"/>
      </w:r>
      <w:r>
        <w:rPr>
          <w:rFonts w:ascii="IRNazanin" w:hAnsi="IRNazanin" w:eastAsia="IRNazanin" w:cs="IRNazanin"/>
          <w:lang w:bidi="fa-IR"/>
          <w:color w:val="111111"/>
          <w:sz w:val="28"/>
          <w:szCs w:val="28"/>
          <w:rtl/>
        </w:rPr>
        <w:t xml:space="preserve">نفی ما علم إجمالا بوجوبه.و إن أفاد نفی وجوب القطع بإتیانه و کفایة إتیان بعض ما یحتمله،فمرجعه إلی جعل البدل للواقع و البراءة عن إتیان الواقع علی ما هو علیه.</w:t>
      </w:r>
    </w:p>
    <w:p>
      <w:pPr>
        <w:pStyle w:val="BookText"/>
      </w:pPr>
      <w:r>
        <w:rPr>
          <w:rFonts w:ascii="IRNazanin" w:hAnsi="IRNazanin" w:eastAsia="IRNazanin" w:cs="IRNazanin"/>
          <w:lang w:bidi="fa-IR"/>
          <w:color w:val="111111"/>
          <w:sz w:val="28"/>
          <w:szCs w:val="28"/>
          <w:rtl/>
        </w:rPr>
        <w:t xml:space="preserve">لکنّ دلیل البراءة علی الوجه الأوّل ینافی العلم الإجمالی المعتبر بنفس أدلّة البراءة المغیّاة بالعلم،و علی الوجه الثانی غیر موجود،فیلزم من هذین الأمرین-أعنی وجوب مراعاة العلم الإجمالی و عدم وجود دلیل علی قیام أحد المحتملین مقام المعلوم إجمالا-أن یحکم العقل بوجوب الاحتیاط؛إذ لا ثالث لذینک الأمرین،فلا حاجة إلی أمر الشارع بالاحتیاط،و وجوب الإتیان بالواقع غیر مشروط بالعلم التفصیلیّ به،مضافا إلی ورود الأمر بالاحتیاط فی کثیر من الموارد.</w:t>
      </w:r>
    </w:p>
    <w:p>
      <w:pPr>
        <w:pStyle w:val="BookText"/>
      </w:pPr>
      <w:r>
        <w:rPr>
          <w:rFonts w:ascii="IRNazanin" w:hAnsi="IRNazanin" w:eastAsia="IRNazanin" w:cs="IRNazanin"/>
          <w:lang w:bidi="fa-IR"/>
          <w:color w:val="111111"/>
          <w:sz w:val="28"/>
          <w:szCs w:val="28"/>
          <w:rtl/>
        </w:rPr>
        <w:t xml:space="preserve">و أمّا ما ذکره:من استلزام ذلک الفرض-أعنی تنجّز </w:t>
      </w:r>
      <w:r>
        <w:rPr>
          <w:rStyle w:val="FootnoteReference"/>
        </w:rPr>
        <w:footnoteReference w:id="905"/>
      </w:r>
      <w:r>
        <w:rPr>
          <w:rFonts w:ascii="IRNazanin" w:hAnsi="IRNazanin" w:eastAsia="IRNazanin" w:cs="IRNazanin"/>
          <w:lang w:bidi="fa-IR"/>
          <w:color w:val="111111"/>
          <w:sz w:val="28"/>
          <w:szCs w:val="28"/>
          <w:rtl/>
        </w:rPr>
        <w:t xml:space="preserve">التکلیف بالأمر المردّد من دون اشتراط بالعلم به-لإسقاط قصد التعیین فی الطاعة،ففیه:</w:t>
      </w:r>
    </w:p>
    <w:p>
      <w:pPr>
        <w:pStyle w:val="BookText"/>
      </w:pPr>
      <w:r>
        <w:rPr>
          <w:rFonts w:ascii="IRNazanin" w:hAnsi="IRNazanin" w:eastAsia="IRNazanin" w:cs="IRNazanin"/>
          <w:lang w:bidi="fa-IR"/>
          <w:color w:val="111111"/>
          <w:sz w:val="28"/>
          <w:szCs w:val="28"/>
          <w:rtl/>
        </w:rPr>
        <w:t xml:space="preserve">أنّ سقوط قصد التعیین إنّما حصل بمجرّد التردّد و الإجمال فی الواجب،سواء قلنا فیه بالبراءة أو الاحتیاط،و لیس لازما لتنجّز</w:t>
      </w:r>
    </w:p>
    <w:p>
      <w:pPr>
        <w:pStyle w:val="BookText"/>
      </w:pPr>
      <w:r>
        <w:rPr>
          <w:rFonts w:ascii="IRNazanin" w:hAnsi="IRNazanin" w:eastAsia="IRNazanin" w:cs="IRNazanin"/>
          <w:lang w:bidi="fa-IR"/>
          <w:color w:val="111111"/>
          <w:sz w:val="28"/>
          <w:szCs w:val="28"/>
          <w:rtl/>
        </w:rPr>
        <w:t xml:space="preserve">[شماره صفحه واقعی : 288]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189" w:name="pg14411_142678"/>
    <w:bookmarkEnd w:id="189"/>
    <w:p>
      <w:pPr>
        <w:pStyle w:val="BookText"/>
      </w:pPr>
      <w:r>
        <w:rPr>
          <w:rFonts w:ascii="IRNazanin" w:hAnsi="IRNazanin" w:eastAsia="IRNazanin" w:cs="IRNazanin"/>
          <w:lang w:bidi="fa-IR"/>
          <w:color w:val="111111"/>
          <w:sz w:val="28"/>
          <w:szCs w:val="28"/>
          <w:rtl/>
        </w:rPr>
        <w:t xml:space="preserve">التکلیف بالواقع و عدم اشتراطه بالعلم.</w:t>
      </w:r>
    </w:p>
    <w:p>
      <w:pPr>
        <w:pStyle w:val="Heading6"/>
      </w:pPr>
      <w:bookmarkStart w:id="1352" w:name="_Toc387"/>
      <w:r>
        <w:t>[إذا سقط قصد التعیین فبأیّهما ینوی الوجوب و القربة؟]</w:t>
      </w:r>
      <w:bookmarkEnd w:id="1352"/>
    </w:p>
    <w:p>
      <w:pPr>
        <w:pStyle w:val="BookText"/>
      </w:pPr>
      <w:r>
        <w:rPr>
          <w:rFonts w:ascii="IRNazanin" w:hAnsi="IRNazanin" w:eastAsia="IRNazanin" w:cs="IRNazanin"/>
          <w:lang w:bidi="fa-IR"/>
          <w:color w:val="111111"/>
          <w:sz w:val="28"/>
          <w:szCs w:val="28"/>
          <w:rtl/>
        </w:rPr>
        <w:t xml:space="preserve">فإن قلت:إذا سقط قصد التعیین لعدم التمکّن،فبأیّهما ینوی الوجوب و القربة؟</w:t>
      </w:r>
    </w:p>
    <w:p>
      <w:pPr>
        <w:pStyle w:val="BookText"/>
      </w:pPr>
      <w:r>
        <w:rPr>
          <w:rFonts w:ascii="IRNazanin" w:hAnsi="IRNazanin" w:eastAsia="IRNazanin" w:cs="IRNazanin"/>
          <w:lang w:bidi="fa-IR"/>
          <w:color w:val="111111"/>
          <w:sz w:val="28"/>
          <w:szCs w:val="28"/>
          <w:rtl/>
        </w:rPr>
        <w:t xml:space="preserve">قلت:له فی ذلک طریقان:</w:t>
      </w:r>
    </w:p>
    <w:p>
      <w:pPr>
        <w:pStyle w:val="BookText"/>
      </w:pPr>
      <w:r>
        <w:rPr>
          <w:rFonts w:ascii="IRNazanin" w:hAnsi="IRNazanin" w:eastAsia="IRNazanin" w:cs="IRNazanin"/>
          <w:lang w:bidi="fa-IR"/>
          <w:color w:val="111111"/>
          <w:sz w:val="28"/>
          <w:szCs w:val="28"/>
          <w:rtl/>
        </w:rPr>
        <w:t xml:space="preserve">أحدهما:أن ینوی بکلّ منهما الوجوب و القربة؛لکونه بحکم العقل مأمورا بالإتیان بکلّ منهما.</w:t>
      </w:r>
    </w:p>
    <w:p>
      <w:pPr>
        <w:pStyle w:val="BookText"/>
      </w:pPr>
      <w:r>
        <w:rPr>
          <w:rFonts w:ascii="IRNazanin" w:hAnsi="IRNazanin" w:eastAsia="IRNazanin" w:cs="IRNazanin"/>
          <w:lang w:bidi="fa-IR"/>
          <w:color w:val="111111"/>
          <w:sz w:val="28"/>
          <w:szCs w:val="28"/>
          <w:rtl/>
        </w:rPr>
        <w:t xml:space="preserve">و ثانیهما:أن ینوی بکلّ منهما حصول الواجب به أو بصاحبه تقرّبا إلی اللّه،فیفعل کلا منهما،فیحصل الواجب الواقعیّ،و تحصیله لوجوبه و التقرّب به إلی اللّه تعالی،فیقصد </w:t>
      </w:r>
      <w:r>
        <w:rPr>
          <w:rStyle w:val="FootnoteReference"/>
        </w:rPr>
        <w:footnoteReference w:id="906"/>
      </w:r>
      <w:r>
        <w:rPr>
          <w:rFonts w:ascii="IRNazanin" w:hAnsi="IRNazanin" w:eastAsia="IRNazanin" w:cs="IRNazanin"/>
          <w:lang w:bidi="fa-IR"/>
          <w:color w:val="111111"/>
          <w:sz w:val="28"/>
          <w:szCs w:val="28"/>
          <w:rtl/>
        </w:rPr>
        <w:t xml:space="preserve">أنّی اصلّی الظهر لأجل تحقّق الفریضة الواقعیّة به أو بالجمعة التی أفعل بعدها أو فعلت قبلها قربة إلی اللّه،و ملخّص ذلک:أنّی اصلّی الظهر احتیاطا قربة إلی اللّه.</w:t>
      </w:r>
    </w:p>
    <w:p>
      <w:pPr>
        <w:pStyle w:val="BookText"/>
      </w:pPr>
      <w:r>
        <w:rPr>
          <w:rFonts w:ascii="IRNazanin" w:hAnsi="IRNazanin" w:eastAsia="IRNazanin" w:cs="IRNazanin"/>
          <w:lang w:bidi="fa-IR"/>
          <w:color w:val="111111"/>
          <w:sz w:val="28"/>
          <w:szCs w:val="28"/>
          <w:rtl/>
        </w:rPr>
        <w:t xml:space="preserve">و هذا الوجه هو الذی ینبغی أن یقصد.</w:t>
      </w:r>
    </w:p>
    <w:p>
      <w:pPr>
        <w:pStyle w:val="BookText"/>
      </w:pPr>
      <w:r>
        <w:rPr>
          <w:rFonts w:ascii="IRNazanin" w:hAnsi="IRNazanin" w:eastAsia="IRNazanin" w:cs="IRNazanin"/>
          <w:lang w:bidi="fa-IR"/>
          <w:color w:val="111111"/>
          <w:sz w:val="28"/>
          <w:szCs w:val="28"/>
          <w:rtl/>
        </w:rPr>
        <w:t xml:space="preserve">و لا یرد علیه:أنّ المعتبر فی العبادة قصد التقرّب و التعبّد بها بالخصوص،و لا ریب أنّ کلا من الصلاتین عبادة،فلا معنی لکون الداعی فی کلّ منهما التقرّب المردّد بین تحقّقه به أو بصاحبه؛لأنّ القصد المذکور إنّما هو معتبر فی العبادات الواقعیّة دون المقدمیّة.</w:t>
      </w:r>
    </w:p>
    <w:p>
      <w:pPr>
        <w:pStyle w:val="BookText"/>
      </w:pPr>
      <w:r>
        <w:rPr>
          <w:rFonts w:ascii="IRNazanin" w:hAnsi="IRNazanin" w:eastAsia="IRNazanin" w:cs="IRNazanin"/>
          <w:lang w:bidi="fa-IR"/>
          <w:color w:val="111111"/>
          <w:sz w:val="28"/>
          <w:szCs w:val="28"/>
          <w:rtl/>
        </w:rPr>
        <w:t xml:space="preserve">و أمّا الوجه الأوّل،فیرد علیه:أنّ المقصود إحراز الوجه الواقعی، و هو الوجوب الثابت فی أحدهما المعیّن،و لا یلزم من نیّة الوجوب المقدّمیّ قصده.</w:t>
      </w:r>
    </w:p>
    <w:p>
      <w:pPr>
        <w:pStyle w:val="BookText"/>
      </w:pPr>
      <w:r>
        <w:rPr>
          <w:rFonts w:ascii="IRNazanin" w:hAnsi="IRNazanin" w:eastAsia="IRNazanin" w:cs="IRNazanin"/>
          <w:lang w:bidi="fa-IR"/>
          <w:color w:val="111111"/>
          <w:sz w:val="28"/>
          <w:szCs w:val="28"/>
          <w:rtl/>
        </w:rPr>
        <w:t xml:space="preserve">و أیضا:فالقربة غیر حاصلة بنفس فعل أحدهما و لو بملاحظة</w:t>
      </w:r>
    </w:p>
    <w:p>
      <w:pPr>
        <w:pStyle w:val="BookText"/>
      </w:pPr>
      <w:r>
        <w:rPr>
          <w:rFonts w:ascii="IRNazanin" w:hAnsi="IRNazanin" w:eastAsia="IRNazanin" w:cs="IRNazanin"/>
          <w:lang w:bidi="fa-IR"/>
          <w:color w:val="111111"/>
          <w:sz w:val="28"/>
          <w:szCs w:val="28"/>
          <w:rtl/>
        </w:rPr>
        <w:t xml:space="preserve">[شماره صفحه واقعی : 289]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190" w:name="pg14411_142679"/>
    <w:bookmarkEnd w:id="190"/>
    <w:p>
      <w:pPr>
        <w:pStyle w:val="BookText"/>
      </w:pPr>
      <w:r>
        <w:rPr>
          <w:rFonts w:ascii="IRNazanin" w:hAnsi="IRNazanin" w:eastAsia="IRNazanin" w:cs="IRNazanin"/>
          <w:lang w:bidi="fa-IR"/>
          <w:color w:val="111111"/>
          <w:sz w:val="28"/>
          <w:szCs w:val="28"/>
          <w:rtl/>
        </w:rPr>
        <w:t xml:space="preserve">وجوبه الظاهریّ؛لأنّ هذا الوجوب مقدمیّ و مرجعه إلی وجوب تحصیل العلم بفراغ الذمّة،و دفع احتمال ترتّب ضرر العقاب بترک بعض منهما، و هذا الوجوب إرشادیّ لا تقرّب فیه أصلا،نظیر أوامر الإطاعة؛فإنّ امتثالها لا یوجب تقرّبا،و إنّما المقرّب نفس الإطاعة،و المقرّب هنا-أیضا- نفس الإطاعة </w:t>
      </w:r>
      <w:r>
        <w:rPr>
          <w:rStyle w:val="FootnoteReference"/>
        </w:rPr>
        <w:footnoteReference w:id="907"/>
      </w:r>
      <w:r>
        <w:rPr>
          <w:rFonts w:ascii="IRNazanin" w:hAnsi="IRNazanin" w:eastAsia="IRNazanin" w:cs="IRNazanin"/>
          <w:lang w:bidi="fa-IR"/>
          <w:color w:val="111111"/>
          <w:sz w:val="28"/>
          <w:szCs w:val="28"/>
          <w:rtl/>
        </w:rPr>
        <w:t xml:space="preserve">الواقعیّة المردّدة بین الفعلین،فافهم؛فإنّه لا یخلو عن دقّة.</w:t>
      </w:r>
    </w:p>
    <w:p>
      <w:pPr>
        <w:pStyle w:val="Heading6"/>
      </w:pPr>
      <w:bookmarkStart w:id="1353" w:name="_Toc388"/>
      <w:r>
        <w:t>[توهّم أنّ الجمع بین المحتملین مستلزم لإتیان غیر الواجب علی جهة العبادة،و دفعه]</w:t>
      </w:r>
      <w:bookmarkEnd w:id="1353"/>
    </w:p>
    <w:p>
      <w:pPr>
        <w:pStyle w:val="BookText"/>
      </w:pPr>
      <w:r>
        <w:rPr>
          <w:rFonts w:ascii="IRNazanin" w:hAnsi="IRNazanin" w:eastAsia="IRNazanin" w:cs="IRNazanin"/>
          <w:lang w:bidi="fa-IR"/>
          <w:color w:val="111111"/>
          <w:sz w:val="28"/>
          <w:szCs w:val="28"/>
          <w:rtl/>
        </w:rPr>
        <w:t xml:space="preserve">و ممّا ذکرنا یندفع توهّم:أنّ الجمع بین المحتملین مستلزم لإتیان غیر الواجب علی جهة العبادة؛لأنّ قصد القربة المعتبر </w:t>
      </w:r>
      <w:r>
        <w:rPr>
          <w:rStyle w:val="FootnoteReference"/>
        </w:rPr>
        <w:footnoteReference w:id="908"/>
      </w:r>
      <w:r>
        <w:rPr>
          <w:rFonts w:ascii="IRNazanin" w:hAnsi="IRNazanin" w:eastAsia="IRNazanin" w:cs="IRNazanin"/>
          <w:lang w:bidi="fa-IR"/>
          <w:color w:val="111111"/>
          <w:sz w:val="28"/>
          <w:szCs w:val="28"/>
          <w:rtl/>
        </w:rPr>
        <w:t xml:space="preserve">فی الواجب الواقعیّ لازم المراعاة فی کلا المحتملین-لیقطع بإحرازه فی الواجب الواقعیّ-و من المعلوم أنّ الإتیان بکلّ من المحتملین بوصف أنّها عبادة مقرّبة،یوجب التشریع بالنسبة إلی ما عدا الواجب الواقعیّ فیکون محرّما،فالاحتیاط غیر ممکن فی العبادات،و إنّما یمکن فی غیرها؛من جهة أنّ الإتیان بالمحتملین لا یعتبر فیهما قصد التعیین و التقرّب؛لعدم اعتباره فی الواجب الواقعی المردّد،فیأتی بکلّ منهما لاحتمال وجوبه.</w:t>
      </w:r>
    </w:p>
    <w:p>
      <w:pPr>
        <w:pStyle w:val="BookText"/>
      </w:pPr>
      <w:r>
        <w:rPr>
          <w:rFonts w:ascii="IRNazanin" w:hAnsi="IRNazanin" w:eastAsia="IRNazanin" w:cs="IRNazanin"/>
          <w:lang w:bidi="fa-IR"/>
          <w:color w:val="111111"/>
          <w:sz w:val="28"/>
          <w:szCs w:val="28"/>
          <w:rtl/>
        </w:rPr>
        <w:t xml:space="preserve">و وجه اندفاع هذا التوهّم،مضافا إلی أنّ غایة ما یلزم من ذلک عدم التمکّن من تمام الاحتیاط فی العبادات حتّی </w:t>
      </w:r>
      <w:r>
        <w:rPr>
          <w:rStyle w:val="FootnoteReference"/>
        </w:rPr>
        <w:footnoteReference w:id="909"/>
      </w:r>
      <w:r>
        <w:rPr>
          <w:rFonts w:ascii="IRNazanin" w:hAnsi="IRNazanin" w:eastAsia="IRNazanin" w:cs="IRNazanin"/>
          <w:lang w:bidi="fa-IR"/>
          <w:color w:val="111111"/>
          <w:sz w:val="28"/>
          <w:szCs w:val="28"/>
          <w:rtl/>
        </w:rPr>
        <w:t xml:space="preserve">من حیث مراعاة قصد التقرّب المعتبر فی الواجب الواقعی-من جهة استلزامه للتشریع المحرّم-،فیدور الأمر بین الاقتصار علی أحد المحتملین،و بین الإتیان</w:t>
      </w:r>
    </w:p>
    <w:p>
      <w:pPr>
        <w:pStyle w:val="BookText"/>
      </w:pPr>
      <w:r>
        <w:rPr>
          <w:rFonts w:ascii="IRNazanin" w:hAnsi="IRNazanin" w:eastAsia="IRNazanin" w:cs="IRNazanin"/>
          <w:lang w:bidi="fa-IR"/>
          <w:color w:val="111111"/>
          <w:sz w:val="28"/>
          <w:szCs w:val="28"/>
          <w:rtl/>
        </w:rPr>
        <w:t xml:space="preserve">[شماره صفحه واقعی : 290]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191" w:name="pg14411_142680"/>
    <w:bookmarkEnd w:id="191"/>
    <w:p>
      <w:pPr>
        <w:pStyle w:val="BookText"/>
      </w:pPr>
      <w:r>
        <w:rPr>
          <w:rFonts w:ascii="IRNazanin" w:hAnsi="IRNazanin" w:eastAsia="IRNazanin" w:cs="IRNazanin"/>
          <w:lang w:bidi="fa-IR"/>
          <w:color w:val="111111"/>
          <w:sz w:val="28"/>
          <w:szCs w:val="28"/>
          <w:rtl/>
        </w:rPr>
        <w:t xml:space="preserve">بهما مهملا لقصد التقرّب فی الکلّ فرارا عن التشریع،و لا شکّ أنّ الثانی أولی؛لوجوب الموافقة القطعیّة بقدر الإمکان،فإذا لم یمکن الموافقة بمراعاة جمیع ما یعتبر فی الواقعیّ فی کلّ من المحتملین،اکتفی بتحقّق ذات الواجب فی ضمنهما:</w:t>
      </w:r>
    </w:p>
    <w:p>
      <w:pPr>
        <w:pStyle w:val="BookText"/>
      </w:pPr>
      <w:r>
        <w:rPr>
          <w:rFonts w:ascii="IRNazanin" w:hAnsi="IRNazanin" w:eastAsia="IRNazanin" w:cs="IRNazanin"/>
          <w:lang w:bidi="fa-IR"/>
          <w:color w:val="111111"/>
          <w:sz w:val="28"/>
          <w:szCs w:val="28"/>
          <w:rtl/>
        </w:rPr>
        <w:t xml:space="preserve">أنّ اعتبار قصد التقرّب و التعبّد فی العبادة الواجبة واقعا لا یقتضی قصده </w:t>
      </w:r>
      <w:r>
        <w:rPr>
          <w:rStyle w:val="FootnoteReference"/>
        </w:rPr>
        <w:footnoteReference w:id="910"/>
      </w:r>
      <w:r>
        <w:rPr>
          <w:rFonts w:ascii="IRNazanin" w:hAnsi="IRNazanin" w:eastAsia="IRNazanin" w:cs="IRNazanin"/>
          <w:lang w:bidi="fa-IR"/>
          <w:color w:val="111111"/>
          <w:sz w:val="28"/>
          <w:szCs w:val="28"/>
          <w:rtl/>
        </w:rPr>
        <w:t xml:space="preserve">فی کلّ منهما؛کیف و هو غیر ممکن!و إنّما یقتضی وجوب </w:t>
      </w:r>
      <w:r>
        <w:rPr>
          <w:rStyle w:val="FootnoteReference"/>
        </w:rPr>
        <w:footnoteReference w:id="911"/>
      </w:r>
      <w:r>
        <w:rPr>
          <w:rFonts w:ascii="IRNazanin" w:hAnsi="IRNazanin" w:eastAsia="IRNazanin" w:cs="IRNazanin"/>
          <w:lang w:bidi="fa-IR"/>
          <w:color w:val="111111"/>
          <w:sz w:val="28"/>
          <w:szCs w:val="28"/>
          <w:rtl/>
        </w:rPr>
        <w:t xml:space="preserve">قصد التقرّب و التعبّد فی الواجب </w:t>
      </w:r>
      <w:r>
        <w:rPr>
          <w:rStyle w:val="FootnoteReference"/>
        </w:rPr>
        <w:footnoteReference w:id="912"/>
      </w:r>
      <w:r>
        <w:rPr>
          <w:rFonts w:ascii="IRNazanin" w:hAnsi="IRNazanin" w:eastAsia="IRNazanin" w:cs="IRNazanin"/>
          <w:lang w:bidi="fa-IR"/>
          <w:color w:val="111111"/>
          <w:sz w:val="28"/>
          <w:szCs w:val="28"/>
          <w:rtl/>
        </w:rPr>
        <w:t xml:space="preserve">المردّد بینهما بأن یقصد فی کلّ منهما:</w:t>
      </w:r>
    </w:p>
    <w:p>
      <w:pPr>
        <w:pStyle w:val="BookText"/>
      </w:pPr>
      <w:r>
        <w:rPr>
          <w:rFonts w:ascii="IRNazanin" w:hAnsi="IRNazanin" w:eastAsia="IRNazanin" w:cs="IRNazanin"/>
          <w:lang w:bidi="fa-IR"/>
          <w:color w:val="111111"/>
          <w:sz w:val="28"/>
          <w:szCs w:val="28"/>
          <w:rtl/>
        </w:rPr>
        <w:t xml:space="preserve">أنّی أفعله لیتحقّق به أو بصاحبه التعبّد بإتیان الواجب الواقعیّ.</w:t>
      </w:r>
    </w:p>
    <w:p>
      <w:pPr>
        <w:pStyle w:val="BookText"/>
      </w:pPr>
      <w:r>
        <w:rPr>
          <w:rFonts w:ascii="IRNazanin" w:hAnsi="IRNazanin" w:eastAsia="IRNazanin" w:cs="IRNazanin"/>
          <w:lang w:bidi="fa-IR"/>
          <w:color w:val="111111"/>
          <w:sz w:val="28"/>
          <w:szCs w:val="28"/>
          <w:rtl/>
        </w:rPr>
        <w:t xml:space="preserve">و هذا الکلام بعینه جار فی قصد الوجه المعتبر فی الواجب؛فإنّه لا یعتبر قصد ذلک الوجه خاصّة فی خصوص کلّ منهما،بأن یقصد أنّی اصلّی الظهر لوجوبه،ثمّ یقصد أنّی اصلّی الجمعة لوجوبها،بل یقصد:</w:t>
      </w:r>
    </w:p>
    <w:p>
      <w:pPr>
        <w:pStyle w:val="BookText"/>
      </w:pPr>
      <w:r>
        <w:rPr>
          <w:rFonts w:ascii="IRNazanin" w:hAnsi="IRNazanin" w:eastAsia="IRNazanin" w:cs="IRNazanin"/>
          <w:lang w:bidi="fa-IR"/>
          <w:color w:val="111111"/>
          <w:sz w:val="28"/>
          <w:szCs w:val="28"/>
          <w:rtl/>
        </w:rPr>
        <w:t xml:space="preserve">أنّی اصلّی الظهر؛لوجوب الأمر الواقعیّ المردّد بینه و بین الجمعة التی اصلّیها بعد ذلک أو صلّیتها قبل ذلک.</w:t>
      </w:r>
    </w:p>
    <w:p>
      <w:pPr>
        <w:pStyle w:val="Heading6"/>
      </w:pPr>
      <w:bookmarkStart w:id="1354" w:name="_Toc389"/>
      <w:r>
        <w:t>[معنی نیّة الفعل]</w:t>
      </w:r>
      <w:bookmarkEnd w:id="1354"/>
    </w:p>
    <w:p>
      <w:pPr>
        <w:pStyle w:val="BookText"/>
      </w:pPr>
      <w:r>
        <w:rPr>
          <w:rFonts w:ascii="IRNazanin" w:hAnsi="IRNazanin" w:eastAsia="IRNazanin" w:cs="IRNazanin"/>
          <w:lang w:bidi="fa-IR"/>
          <w:color w:val="111111"/>
          <w:sz w:val="28"/>
          <w:szCs w:val="28"/>
          <w:rtl/>
        </w:rPr>
        <w:t xml:space="preserve">و الحاصل:أنّ نیّة الفعل هو قصده علی الصفة التی هو علیها التی باعتبارها صار واجبا،فلا بدّ من ملاحظة ذلک فی کلّ من المحتملین، و إذا لاحظنا ذلک فیه وجدنا الصفة التی هو علیها-الموجبة للحکم</w:t>
      </w:r>
    </w:p>
    <w:p>
      <w:pPr>
        <w:pStyle w:val="BookText"/>
      </w:pPr>
      <w:r>
        <w:rPr>
          <w:rFonts w:ascii="IRNazanin" w:hAnsi="IRNazanin" w:eastAsia="IRNazanin" w:cs="IRNazanin"/>
          <w:lang w:bidi="fa-IR"/>
          <w:color w:val="111111"/>
          <w:sz w:val="28"/>
          <w:szCs w:val="28"/>
          <w:rtl/>
        </w:rPr>
        <w:t xml:space="preserve">[شماره صفحه واقعی : 291]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بوجوبه-هو احتمال تحقّق الواجب المتعبّد به و المتقرّب به إلی اللّه تعالی فی ضمنه،فیقصد هذا المعنی،و الزائد علی هذا المعنی غیر موجود فیه، فلا معنی لقصد التقرّب فی کلّ منهما بخصوصه،حتّی یرد:أنّ التقرّب و التعبّد بما لم یتعبّد به الشارع تشریع محرّم.</w:t>
      </w:r>
    </w:p>
    <w:p>
      <w:pPr>
        <w:pStyle w:val="BookText"/>
      </w:pPr>
      <w:r>
        <w:rPr>
          <w:rFonts w:ascii="IRNazanin" w:hAnsi="IRNazanin" w:eastAsia="IRNazanin" w:cs="IRNazanin"/>
          <w:lang w:bidi="fa-IR"/>
          <w:color w:val="111111"/>
          <w:sz w:val="28"/>
          <w:szCs w:val="28"/>
          <w:rtl/>
        </w:rPr>
        <w:t xml:space="preserve">نعم،هذا الإیراد متوجّه علی ظاهر من اعتبر فی کلّ من المحتملین قصد التقرّب و التعبّد به بالخصوص.لکنّه مبنیّ-أیضا-علی لزوم ذلک من الأمر الظاهریّ بإتیان کلّ منهما،فیکون کلّ منهما عبادة واجبة فی </w:t>
      </w:r>
      <w:r>
        <w:rPr>
          <w:rStyle w:val="FootnoteReference"/>
        </w:rPr>
        <w:footnoteReference w:id="913"/>
      </w:r>
      <w:r>
        <w:rPr>
          <w:rFonts w:ascii="IRNazanin" w:hAnsi="IRNazanin" w:eastAsia="IRNazanin" w:cs="IRNazanin"/>
          <w:lang w:bidi="fa-IR"/>
          <w:color w:val="111111"/>
          <w:sz w:val="28"/>
          <w:szCs w:val="28"/>
          <w:rtl/>
        </w:rPr>
        <w:t xml:space="preserve">مرحلة الظاهر،کما إذا شکّ فی الوقت أنّه صلّی الظهر أم لا،فإنّه یجب علیه فعلها،فینوی الوجوب و القربة و إن احتمل کونها فی الواقع لغوا غیر مشروع،فلا یرد علیه إیراد التشریع؛إذ؟؟؟ إنّما یلزم لو قصد بکلّ منهما أنّه الواجب واقعا المتعبّد به فی؟؟؟ الأمر.</w:t>
      </w:r>
    </w:p>
    <w:p>
      <w:pPr>
        <w:pStyle w:val="BookText"/>
      </w:pPr>
      <w:r>
        <w:rPr>
          <w:rFonts w:ascii="IRNazanin" w:hAnsi="IRNazanin" w:eastAsia="IRNazanin" w:cs="IRNazanin"/>
          <w:lang w:bidi="fa-IR"/>
          <w:color w:val="111111"/>
          <w:sz w:val="28"/>
          <w:szCs w:val="28"/>
          <w:rtl/>
        </w:rPr>
        <w:t xml:space="preserve">و لکنّک عرفت:أنّ مقتضی النظر الدقیق خلاف هذا؟؟؟ </w:t>
      </w:r>
      <w:r>
        <w:rPr>
          <w:rStyle w:val="FootnoteReference"/>
        </w:rPr>
        <w:footnoteReference w:id="914"/>
      </w:r>
      <w:r>
        <w:rPr>
          <w:rFonts w:ascii="IRNazanin" w:hAnsi="IRNazanin" w:eastAsia="IRNazanin" w:cs="IRNazanin"/>
          <w:lang w:bidi="fa-IR"/>
          <w:color w:val="111111"/>
          <w:sz w:val="28"/>
          <w:szCs w:val="28"/>
          <w:rtl/>
        </w:rPr>
        <w:t xml:space="preserve">،و أنّ الأمر المقدّمیّ-خصوصا الموجود فی المقدّمة العلمیّة التی لا یکون الأمر بها إلاّ إرشادیّا-لا یوجب موافقته التقرّب،و لا یصیر منشأ لصیرورة الشیء من العبادات إذا لم یکن فی نفسه منها </w:t>
      </w:r>
      <w:r>
        <w:rPr>
          <w:rStyle w:val="FootnoteReference"/>
        </w:rPr>
        <w:footnoteReference w:id="9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تقدّم فی مسألة«التسامح فی أدلّة السنن»ما یوضح؟؟؟ حال الأمر بالاحتیاط </w:t>
      </w:r>
      <w:r>
        <w:rPr>
          <w:rStyle w:val="FootnoteReference"/>
        </w:rPr>
        <w:footnoteReference w:id="916"/>
      </w:r>
      <w:r>
        <w:rPr>
          <w:rFonts w:ascii="IRNazanin" w:hAnsi="IRNazanin" w:eastAsia="IRNazanin" w:cs="IRNazanin"/>
          <w:lang w:bidi="fa-IR"/>
          <w:color w:val="111111"/>
          <w:sz w:val="28"/>
          <w:szCs w:val="28"/>
          <w:rtl/>
        </w:rPr>
        <w:t xml:space="preserve">.کما أنّه قد استوفینا فی بحث«مقدّمة الواجب»حال</w:t>
      </w:r>
    </w:p>
    <w:p>
      <w:pPr>
        <w:pStyle w:val="BookText"/>
      </w:pPr>
      <w:r>
        <w:rPr>
          <w:rFonts w:ascii="IRNazanin" w:hAnsi="IRNazanin" w:eastAsia="IRNazanin" w:cs="IRNazanin"/>
          <w:lang w:bidi="fa-IR"/>
          <w:color w:val="111111"/>
          <w:sz w:val="28"/>
          <w:szCs w:val="28"/>
          <w:rtl/>
        </w:rPr>
        <w:t xml:space="preserve">[شماره صفحه واقعی : 292]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192" w:name="pg14411_142682"/>
    <w:bookmarkEnd w:id="192"/>
    <w:p>
      <w:pPr>
        <w:pStyle w:val="BookText"/>
      </w:pPr>
      <w:r>
        <w:rPr>
          <w:rFonts w:ascii="IRNazanin" w:hAnsi="IRNazanin" w:eastAsia="IRNazanin" w:cs="IRNazanin"/>
          <w:lang w:bidi="fa-IR"/>
          <w:color w:val="111111"/>
          <w:sz w:val="28"/>
          <w:szCs w:val="28"/>
          <w:rtl/>
        </w:rPr>
        <w:t xml:space="preserve">الأمر المقدّمی </w:t>
      </w:r>
      <w:r>
        <w:rPr>
          <w:rStyle w:val="FootnoteReference"/>
        </w:rPr>
        <w:footnoteReference w:id="917"/>
      </w:r>
      <w:r>
        <w:rPr>
          <w:rFonts w:ascii="IRNazanin" w:hAnsi="IRNazanin" w:eastAsia="IRNazanin" w:cs="IRNazanin"/>
          <w:lang w:bidi="fa-IR"/>
          <w:color w:val="111111"/>
          <w:sz w:val="28"/>
          <w:szCs w:val="28"/>
          <w:rtl/>
        </w:rPr>
        <w:t xml:space="preserve">،و عدم صیرورة المقدّمة بسببه عبادة،و ذکرنا ورود الإشکال من هذه الجهة علی کون التیمّم من العبادات علی تقدیر عدم القول برجحانه فی نفسه کالوضوء؛فإنّه لا منشأ حینئذ لکونه منها إلاّ الأمر المقدّمیّ به من الشارع.</w:t>
      </w:r>
    </w:p>
    <w:p>
      <w:pPr>
        <w:pStyle w:val="Heading6"/>
      </w:pPr>
      <w:bookmarkStart w:id="1355" w:name="_Toc390"/>
      <w:r>
        <w:t>[هل یمکن إثبات الوجوب الشرعی المصحّح لنیّة الوجه و القربة؟]</w:t>
      </w:r>
      <w:bookmarkEnd w:id="1355"/>
    </w:p>
    <w:p>
      <w:pPr>
        <w:pStyle w:val="BookText"/>
      </w:pPr>
      <w:r>
        <w:rPr>
          <w:rFonts w:ascii="IRNazanin" w:hAnsi="IRNazanin" w:eastAsia="IRNazanin" w:cs="IRNazanin"/>
          <w:lang w:bidi="fa-IR"/>
          <w:color w:val="111111"/>
          <w:sz w:val="28"/>
          <w:szCs w:val="28"/>
          <w:rtl/>
        </w:rPr>
        <w:t xml:space="preserve">فإن قلت:یمکن إثبات الوجوب الشرعیّ المصحّح لنیّة الوجه و القربة فی المحتملین؛لأنّ الأوّل منهما واجب بالإجماع و لو فرارا عن المخالفة القطعیّة،و الثانی واجب بحکم الاستصحاب المثبت للوجوب الشرعیّ الظاهریّ؛فإنّ مقتضی الاستصحاب بقاء الاشتغال و عدم الإتیان بالواجب الواقعیّ و بقاء وجوبه.</w:t>
      </w:r>
    </w:p>
    <w:p>
      <w:pPr>
        <w:pStyle w:val="BookText"/>
      </w:pPr>
      <w:r>
        <w:rPr>
          <w:rFonts w:ascii="IRNazanin" w:hAnsi="IRNazanin" w:eastAsia="IRNazanin" w:cs="IRNazanin"/>
          <w:lang w:bidi="fa-IR"/>
          <w:color w:val="111111"/>
          <w:sz w:val="28"/>
          <w:szCs w:val="28"/>
          <w:rtl/>
        </w:rPr>
        <w:t xml:space="preserve">قلت:أمّا المحتمل المأتیّ به أوّلا فلیس واجبا فی الشرع لخصوص کونه ظهرا أو جمعة،و إنّما وجب لاحتمال تحقّق الواجب به الموجب للفرار عن المخالفة،أو للقطع بالموافقة إذا اتی معه بالمحتمل الآخر،و علی أیّ تقدیر فمرجعه إلی الأمر بإحراز الواقع و لو احتمالا.</w:t>
      </w:r>
    </w:p>
    <w:p>
      <w:pPr>
        <w:pStyle w:val="BookText"/>
      </w:pPr>
      <w:r>
        <w:rPr>
          <w:rFonts w:ascii="IRNazanin" w:hAnsi="IRNazanin" w:eastAsia="IRNazanin" w:cs="IRNazanin"/>
          <w:lang w:bidi="fa-IR"/>
          <w:color w:val="111111"/>
          <w:sz w:val="28"/>
          <w:szCs w:val="28"/>
          <w:rtl/>
        </w:rPr>
        <w:t xml:space="preserve">و أمّا المحتمل الثانی فهو أیضا لیس إلاّ بحکم العقل من باب المقدّمة.و ما ذکر من الاستصحاب،فیه-بعد منع جریان الاستصحاب فی هذا المقام؛من جهة حکم العقل من أوّل الأمر بوجوب الجمیع و </w:t>
      </w:r>
      <w:r>
        <w:rPr>
          <w:rStyle w:val="FootnoteReference"/>
        </w:rPr>
        <w:footnoteReference w:id="918"/>
      </w:r>
      <w:r>
        <w:rPr>
          <w:rFonts w:ascii="IRNazanin" w:hAnsi="IRNazanin" w:eastAsia="IRNazanin" w:cs="IRNazanin"/>
          <w:lang w:bidi="fa-IR"/>
          <w:color w:val="111111"/>
          <w:sz w:val="28"/>
          <w:szCs w:val="28"/>
          <w:rtl/>
        </w:rPr>
        <w:t xml:space="preserve">بعد الإتیان بأحدهما یکون حکم العقل باقیا قطعا؛و إلاّ لم یکن حاکما بوجوب الجمیع و هو خلاف الفرض-:</w:t>
      </w:r>
    </w:p>
    <w:p>
      <w:pPr>
        <w:pStyle w:val="BookText"/>
      </w:pPr>
      <w:r>
        <w:rPr>
          <w:rFonts w:ascii="IRNazanin" w:hAnsi="IRNazanin" w:eastAsia="IRNazanin" w:cs="IRNazanin"/>
          <w:lang w:bidi="fa-IR"/>
          <w:color w:val="111111"/>
          <w:sz w:val="28"/>
          <w:szCs w:val="28"/>
          <w:rtl/>
        </w:rPr>
        <w:t xml:space="preserve">أنّ مقتضی الاستصحاب وجوب البناء علی بقاء الاشتغال حتّی</w:t>
      </w:r>
    </w:p>
    <w:p>
      <w:pPr>
        <w:pStyle w:val="BookText"/>
      </w:pPr>
      <w:r>
        <w:rPr>
          <w:rFonts w:ascii="IRNazanin" w:hAnsi="IRNazanin" w:eastAsia="IRNazanin" w:cs="IRNazanin"/>
          <w:lang w:bidi="fa-IR"/>
          <w:color w:val="111111"/>
          <w:sz w:val="28"/>
          <w:szCs w:val="28"/>
          <w:rtl/>
        </w:rPr>
        <w:t xml:space="preserve">[شماره صفحه واقعی : 293]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یحصل الیقین بارتفاعه،أمّا وجوب تحصیل الیقین بارتفاعه فلا یدلّ علیه الاستصحاب،و إنّما یدلّ علیه العقل المستقلّ بوجوب القطع بتفریغ الذمّة عند اشتغالها،و هذا معنی الاحتیاط،فمرجع الأمر إلیه.</w:t>
      </w:r>
    </w:p>
    <w:p>
      <w:pPr>
        <w:pStyle w:val="BookText"/>
      </w:pPr>
      <w:r>
        <w:rPr>
          <w:rFonts w:ascii="IRNazanin" w:hAnsi="IRNazanin" w:eastAsia="IRNazanin" w:cs="IRNazanin"/>
          <w:lang w:bidi="fa-IR"/>
          <w:color w:val="111111"/>
          <w:sz w:val="28"/>
          <w:szCs w:val="28"/>
          <w:rtl/>
        </w:rPr>
        <w:t xml:space="preserve">و أمّا استصحاب وجوب ما وجب سابقا فی الواقع أو استصحاب عدم الإتیان بالواجب الواقعیّ،فشیء منهما لا یثبت وجوب المحتمل الثانی حتّی یکون وجوبه شرعیّا إلاّ علی تقدیر القول بالاصول المثبتة، و هی منفیّة کما قرّر فی محلّه </w:t>
      </w:r>
      <w:r>
        <w:rPr>
          <w:rStyle w:val="FootnoteReference"/>
        </w:rPr>
        <w:footnoteReference w:id="9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هنا ظهر الفرق بین ما نحن فیه و بین استصحاب عدم فعل الظهر و بقاء وجوبه علی من شکّ فی فعله؛فإنّ الاستصحاب بنفسه مقتض هناک لوجوب الإتیان بالظهر الواجب فی الشرع علی الوجه الموظّف،من قصد الوجوب و القربة و غیرهما.</w:t>
      </w:r>
    </w:p>
    <w:p>
      <w:pPr>
        <w:pStyle w:val="BookText"/>
      </w:pPr>
      <w:r>
        <w:rPr>
          <w:rFonts w:ascii="Amiri" w:hAnsi="Amiri" w:eastAsia="Amiri" w:cs="Amiri"/>
          <w:lang w:bidi="ar-SA"/>
          <w:color w:val="111111"/>
          <w:sz w:val="28"/>
          <w:szCs w:val="28"/>
          <w:rtl/>
        </w:rPr>
        <w:t xml:space="preserve">ثمّ إنّ بقیّة </w:t>
      </w:r>
      <w:r>
        <w:rPr>
          <w:rStyle w:val="FootnoteReference"/>
        </w:rPr>
        <w:footnoteReference w:id="920"/>
      </w:r>
      <w:r>
        <w:rPr>
          <w:rFonts w:ascii="IRNazanin" w:hAnsi="IRNazanin" w:eastAsia="IRNazanin" w:cs="IRNazanin"/>
          <w:lang w:bidi="fa-IR"/>
          <w:color w:val="111111"/>
          <w:sz w:val="28"/>
          <w:szCs w:val="28"/>
          <w:rtl/>
        </w:rPr>
        <w:t xml:space="preserve">الکلام فی ما یتعلّق بفروع هذه المسألة تأتی فی الشبهة الموضوعیّة </w:t>
      </w:r>
      <w:r>
        <w:rPr>
          <w:rStyle w:val="FootnoteReference"/>
        </w:rPr>
        <w:footnoteReference w:id="921"/>
      </w:r>
      <w:r>
        <w:rPr>
          <w:rFonts w:ascii="IRNazanin" w:hAnsi="IRNazanin" w:eastAsia="IRNazanin" w:cs="IRNazanin"/>
          <w:lang w:bidi="fa-IR"/>
          <w:color w:val="111111"/>
          <w:sz w:val="28"/>
          <w:szCs w:val="28"/>
          <w:rtl/>
        </w:rPr>
        <w:t xml:space="preserve">إن شاء اللّه تعالی.</w:t>
      </w:r>
    </w:p>
    <w:p>
      <w:pPr>
        <w:pStyle w:val="BookText"/>
      </w:pPr>
      <w:r>
        <w:rPr>
          <w:rFonts w:ascii="IRNazanin" w:hAnsi="IRNazanin" w:eastAsia="IRNazanin" w:cs="IRNazanin"/>
          <w:lang w:bidi="fa-IR"/>
          <w:color w:val="111111"/>
          <w:sz w:val="28"/>
          <w:szCs w:val="28"/>
          <w:rtl/>
        </w:rPr>
        <w:t xml:space="preserve">[شماره صفحه واقعی : 294]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193" w:name="pg14411_142684"/>
    <w:bookmarkEnd w:id="193"/>
    <w:p>
      <w:pPr>
        <w:pStyle w:val="Heading6"/>
      </w:pPr>
      <w:bookmarkStart w:id="1356" w:name="_Toc391"/>
      <w:r>
        <w:t>المسألة الثانیة ما إذا اشتبه الواجب فی الشریعة بغیره</w:t>
      </w:r>
      <w:bookmarkEnd w:id="1356"/>
    </w:p>
    <w:p>
      <w:pPr>
        <w:pStyle w:val="Heading6"/>
      </w:pPr>
      <w:bookmarkStart w:id="1357" w:name="_Toc392"/>
      <w:r>
        <w:t>اشارة</w:t>
      </w:r>
      <w:bookmarkEnd w:id="1357"/>
    </w:p>
    <w:p>
      <w:pPr>
        <w:pStyle w:val="BookText"/>
      </w:pPr>
      <w:r>
        <w:rPr>
          <w:rFonts w:ascii="IRNazanin" w:hAnsi="IRNazanin" w:eastAsia="IRNazanin" w:cs="IRNazanin"/>
          <w:lang w:bidi="fa-IR"/>
          <w:color w:val="111111"/>
          <w:sz w:val="28"/>
          <w:szCs w:val="28"/>
          <w:rtl/>
        </w:rPr>
        <w:t xml:space="preserve">المسألة الثانیة ما إذا اشتبه الواجب فی الشریعة بغیره </w:t>
      </w:r>
      <w:r>
        <w:rPr>
          <w:rStyle w:val="FootnoteReference"/>
        </w:rPr>
        <w:footnoteReference w:id="922"/>
      </w:r>
      <w:r>
        <w:rPr>
          <w:rFonts w:ascii="Amiri" w:hAnsi="Amiri" w:eastAsia="Amiri" w:cs="Amiri"/>
          <w:lang w:bidi="ar-SA"/>
          <w:color w:val="111111"/>
          <w:sz w:val="28"/>
          <w:szCs w:val="28"/>
          <w:rtl/>
        </w:rPr>
        <w:t xml:space="preserve">من جهة إجمال النصّ</w:t>
      </w:r>
    </w:p>
    <w:p>
      <w:pPr>
        <w:pStyle w:val="BookText"/>
      </w:pPr>
      <w:r>
        <w:rPr>
          <w:rFonts w:ascii="Amiri" w:hAnsi="Amiri" w:eastAsia="Amiri" w:cs="Amiri"/>
          <w:lang w:bidi="ar-SA"/>
          <w:color w:val="111111"/>
          <w:sz w:val="28"/>
          <w:szCs w:val="28"/>
          <w:rtl/>
        </w:rPr>
        <w:t xml:space="preserve">بأنّ یتعلّق التکلیف الوجوبیّ بأمر مجمل،کقوله:«ائتنی بعین»، و قوله تعالی: حٰافِظُوا عَلَی الصَّلَوٰاتِ وَ الصَّلاٰةِ الْوُسْطیٰ </w:t>
      </w:r>
      <w:r>
        <w:rPr>
          <w:rStyle w:val="FootnoteReference"/>
        </w:rPr>
        <w:footnoteReference w:id="923"/>
      </w:r>
      <w:r>
        <w:rPr>
          <w:rFonts w:ascii="IRNazanin" w:hAnsi="IRNazanin" w:eastAsia="IRNazanin" w:cs="IRNazanin"/>
          <w:lang w:bidi="fa-IR"/>
          <w:color w:val="111111"/>
          <w:sz w:val="28"/>
          <w:szCs w:val="28"/>
          <w:rtl/>
        </w:rPr>
        <w:t xml:space="preserve">،بناء علی تردّد الصلاة الوسطی بین صلاة الجمعة کما فی بعض الروایات </w:t>
      </w:r>
      <w:r>
        <w:rPr>
          <w:rStyle w:val="FootnoteReference"/>
        </w:rPr>
        <w:footnoteReference w:id="924"/>
      </w:r>
      <w:r>
        <w:rPr>
          <w:rFonts w:ascii="IRNazanin" w:hAnsi="IRNazanin" w:eastAsia="IRNazanin" w:cs="IRNazanin"/>
          <w:lang w:bidi="fa-IR"/>
          <w:color w:val="111111"/>
          <w:sz w:val="28"/>
          <w:szCs w:val="28"/>
          <w:rtl/>
        </w:rPr>
        <w:t xml:space="preserve">، و غیرها کما فی بعض آخر </w:t>
      </w:r>
      <w:r>
        <w:rPr>
          <w:rStyle w:val="FootnoteReference"/>
        </w:rPr>
        <w:footnoteReference w:id="925"/>
      </w:r>
      <w:r>
        <w:rPr>
          <w:rFonts w:ascii="Times New Roman" w:hAnsi="Times New Roman" w:eastAsia="Times New Roman" w:cs="Times New Roman"/>
          <w:lang w:val="en-US" w:bidi="en-US"/>
          <w:color w:val="111111"/>
          <w:sz w:val="28"/>
          <w:szCs w:val="28"/>
          <w:rtl/>
        </w:rPr>
        <w:t xml:space="preserve">.</w:t>
      </w:r>
    </w:p>
    <w:p>
      <w:pPr>
        <w:pStyle w:val="Heading6"/>
      </w:pPr>
      <w:bookmarkStart w:id="1358" w:name="_Toc393"/>
      <w:r>
        <w:t>[مختار المصنّف فی المسألة]</w:t>
      </w:r>
      <w:bookmarkEnd w:id="1358"/>
    </w:p>
    <w:p>
      <w:pPr>
        <w:pStyle w:val="BookText"/>
      </w:pPr>
      <w:r>
        <w:rPr>
          <w:rFonts w:ascii="IRNazanin" w:hAnsi="IRNazanin" w:eastAsia="IRNazanin" w:cs="IRNazanin"/>
          <w:lang w:bidi="fa-IR"/>
          <w:color w:val="111111"/>
          <w:sz w:val="28"/>
          <w:szCs w:val="28"/>
          <w:rtl/>
        </w:rPr>
        <w:t xml:space="preserve">و الظاهر:أنّ الخلاف هنا بعینه الخلاف فی المسألة الاولی،و المختار فیها هو المختار هناک،بل هنا أولی؛لأنّ الخطاب هنا تفصیلا متوجّه إلی المکلّفین،فتأمّل.</w:t>
      </w:r>
    </w:p>
    <w:p>
      <w:pPr>
        <w:pStyle w:val="BookText"/>
      </w:pPr>
      <w:r>
        <w:rPr>
          <w:rFonts w:ascii="IRNazanin" w:hAnsi="IRNazanin" w:eastAsia="IRNazanin" w:cs="IRNazanin"/>
          <w:lang w:bidi="fa-IR"/>
          <w:color w:val="111111"/>
          <w:sz w:val="28"/>
          <w:szCs w:val="28"/>
          <w:rtl/>
        </w:rPr>
        <w:t xml:space="preserve">و خروج الجاهل لا دلیل علیه؛لعدم قبح تکلیف الجاهل بالمراد من المأمور به إذا کان قادرا علی استعلامه من دلیل منفصل،فمجرّد</w:t>
      </w:r>
    </w:p>
    <w:p>
      <w:pPr>
        <w:pStyle w:val="BookText"/>
      </w:pPr>
      <w:r>
        <w:rPr>
          <w:rFonts w:ascii="IRNazanin" w:hAnsi="IRNazanin" w:eastAsia="IRNazanin" w:cs="IRNazanin"/>
          <w:lang w:bidi="fa-IR"/>
          <w:color w:val="111111"/>
          <w:sz w:val="28"/>
          <w:szCs w:val="28"/>
          <w:rtl/>
        </w:rPr>
        <w:t xml:space="preserve">[شماره صفحه واقعی : 295]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الجهل لا یقبّح توجیه </w:t>
      </w:r>
      <w:r>
        <w:rPr>
          <w:rStyle w:val="FootnoteReference"/>
        </w:rPr>
        <w:footnoteReference w:id="926"/>
      </w:r>
      <w:r>
        <w:rPr>
          <w:rFonts w:ascii="IRNazanin" w:hAnsi="IRNazanin" w:eastAsia="IRNazanin" w:cs="IRNazanin"/>
          <w:lang w:bidi="fa-IR"/>
          <w:color w:val="111111"/>
          <w:sz w:val="28"/>
          <w:szCs w:val="28"/>
          <w:rtl/>
        </w:rPr>
        <w:t xml:space="preserve">الخطاب.</w:t>
      </w:r>
    </w:p>
    <w:p>
      <w:pPr>
        <w:pStyle w:val="BookText"/>
      </w:pPr>
      <w:r>
        <w:rPr>
          <w:rFonts w:ascii="IRNazanin" w:hAnsi="IRNazanin" w:eastAsia="IRNazanin" w:cs="IRNazanin"/>
          <w:lang w:bidi="fa-IR"/>
          <w:color w:val="111111"/>
          <w:sz w:val="28"/>
          <w:szCs w:val="28"/>
          <w:rtl/>
        </w:rPr>
        <w:t xml:space="preserve">و دعوی:قبح توجیهه إلی العاجز عن استعلامه تفصیلا القادر علی الاحتیاط فیه بإتیان المحتملات،أیضا ممنوعة؛لعدم القبح فیه أصلا.</w:t>
      </w:r>
    </w:p>
    <w:p>
      <w:pPr>
        <w:pStyle w:val="BookText"/>
      </w:pPr>
      <w:r>
        <w:rPr>
          <w:rFonts w:ascii="IRNazanin" w:hAnsi="IRNazanin" w:eastAsia="IRNazanin" w:cs="IRNazanin"/>
          <w:lang w:bidi="fa-IR"/>
          <w:color w:val="111111"/>
          <w:sz w:val="28"/>
          <w:szCs w:val="28"/>
          <w:rtl/>
        </w:rPr>
        <w:t xml:space="preserve">و ما تقدّم من البعض-من منع التکلیف بالمجمل؛لاتّفاق العدلیّة علی استحالة تأخیر البیان-قد عرفت منع قبحه أوّلا،و کون الکلام فیما عرض له الإجمال ثانیا </w:t>
      </w:r>
      <w:r>
        <w:rPr>
          <w:rStyle w:val="FootnoteReference"/>
        </w:rPr>
        <w:footnoteReference w:id="9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المخالف فی المسألة ممّن عثرنا علیه،هو الفاضل القمّی قدّس سرّه </w:t>
      </w:r>
      <w:r>
        <w:rPr>
          <w:rStyle w:val="FootnoteReference"/>
        </w:rPr>
        <w:footnoteReference w:id="928"/>
      </w:r>
      <w:r>
        <w:rPr>
          <w:rFonts w:ascii="IRNazanin" w:hAnsi="IRNazanin" w:eastAsia="IRNazanin" w:cs="IRNazanin"/>
          <w:lang w:bidi="fa-IR"/>
          <w:color w:val="111111"/>
          <w:sz w:val="28"/>
          <w:szCs w:val="28"/>
          <w:rtl/>
        </w:rPr>
        <w:t xml:space="preserve">و المحقّق الخوانساری </w:t>
      </w:r>
      <w:r>
        <w:rPr>
          <w:rStyle w:val="FootnoteReference"/>
        </w:rPr>
        <w:footnoteReference w:id="929"/>
      </w:r>
      <w:r>
        <w:rPr>
          <w:rFonts w:ascii="IRNazanin" w:hAnsi="IRNazanin" w:eastAsia="IRNazanin" w:cs="IRNazanin"/>
          <w:lang w:bidi="fa-IR"/>
          <w:color w:val="111111"/>
          <w:sz w:val="28"/>
          <w:szCs w:val="28"/>
          <w:rtl/>
        </w:rPr>
        <w:t xml:space="preserve">فی ظاهر بعض کلماته،لکنّه قدّس سرّه وافق المختار فی ظاهر بعضها الآخر،قال فی مسألة التوضّؤ بالماء المشتبه بالنجس-بعد کلام له فی منع التکلیف فی العبادات إلاّ بما ثبت من أجزائها و شرائطها- ما لفظه:</w:t>
      </w:r>
    </w:p>
    <w:p>
      <w:pPr>
        <w:pStyle w:val="BookText"/>
      </w:pPr>
      <w:r>
        <w:rPr>
          <w:rFonts w:ascii="IRNazanin" w:hAnsi="IRNazanin" w:eastAsia="IRNazanin" w:cs="IRNazanin"/>
          <w:lang w:bidi="fa-IR"/>
          <w:color w:val="111111"/>
          <w:sz w:val="28"/>
          <w:szCs w:val="28"/>
          <w:rtl/>
        </w:rPr>
        <w:t xml:space="preserve">نعم،لو حصل یقین بالتکلیف بأمر و لم یظهر معنی ذلک الأمر،بل یکون متردّدا بین امور،فلا یبعد القول بوجوب تلک الامور جمیعا حتّی یحصل الیقین بالبراءة </w:t>
      </w:r>
      <w:r>
        <w:rPr>
          <w:rStyle w:val="FootnoteReference"/>
        </w:rPr>
        <w:footnoteReference w:id="930"/>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لکنّ التأمّل فی کلامه یعطی عدم ظهور کلامه فی الموافقة؛لأنّ</w:t>
      </w:r>
    </w:p>
    <w:p>
      <w:pPr>
        <w:pStyle w:val="BookText"/>
      </w:pPr>
      <w:r>
        <w:rPr>
          <w:rFonts w:ascii="IRNazanin" w:hAnsi="IRNazanin" w:eastAsia="IRNazanin" w:cs="IRNazanin"/>
          <w:lang w:bidi="fa-IR"/>
          <w:color w:val="111111"/>
          <w:sz w:val="28"/>
          <w:szCs w:val="28"/>
          <w:rtl/>
        </w:rPr>
        <w:t xml:space="preserve">[شماره صفحه واقعی : 296]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الخطاب المجمل الواصل إلینا لا یکون مجملا للمخاطبین،فتکلیف المخاطبین بما هو مبیّن،و أمّا نحن معاشر الغائبین فلم یثبت الیقین بل و لا الظنّ بتکلیفنا بذلک الخطاب،فمن کلّف به لا إجمال فیه عنده،و من عرض له الإجمال لا دلیل علی تکلیفه بالواقع المردّد؛لأنّ اشتراک غیر المخاطبین معهم فیما لم یتمکّنوا من العلم به عین الدعوی.</w:t>
      </w:r>
    </w:p>
    <w:p>
      <w:pPr>
        <w:pStyle w:val="BookText"/>
      </w:pPr>
      <w:r>
        <w:rPr>
          <w:rFonts w:ascii="IRNazanin" w:hAnsi="IRNazanin" w:eastAsia="IRNazanin" w:cs="IRNazanin"/>
          <w:lang w:bidi="fa-IR"/>
          <w:color w:val="111111"/>
          <w:sz w:val="28"/>
          <w:szCs w:val="28"/>
          <w:rtl/>
        </w:rPr>
        <w:t xml:space="preserve">فالتحقیق:أنّ هنا مسألتین:</w:t>
      </w:r>
    </w:p>
    <w:p>
      <w:pPr>
        <w:pStyle w:val="BookText"/>
      </w:pPr>
      <w:r>
        <w:rPr>
          <w:rFonts w:ascii="IRNazanin" w:hAnsi="IRNazanin" w:eastAsia="IRNazanin" w:cs="IRNazanin"/>
          <w:lang w:bidi="fa-IR"/>
          <w:color w:val="111111"/>
          <w:sz w:val="28"/>
          <w:szCs w:val="28"/>
          <w:rtl/>
        </w:rPr>
        <w:t xml:space="preserve">إحداهما:أنّه </w:t>
      </w:r>
      <w:r>
        <w:rPr>
          <w:rStyle w:val="FootnoteReference"/>
        </w:rPr>
        <w:footnoteReference w:id="931"/>
      </w:r>
      <w:r>
        <w:rPr>
          <w:rFonts w:ascii="IRNazanin" w:hAnsi="IRNazanin" w:eastAsia="IRNazanin" w:cs="IRNazanin"/>
          <w:lang w:bidi="fa-IR"/>
          <w:color w:val="111111"/>
          <w:sz w:val="28"/>
          <w:szCs w:val="28"/>
          <w:rtl/>
        </w:rPr>
        <w:t xml:space="preserve">إذا خوطب شخص بمجمل هل یجب علیه الاحتیاط أو لا؟</w:t>
      </w:r>
    </w:p>
    <w:p>
      <w:pPr>
        <w:pStyle w:val="BookText"/>
      </w:pPr>
      <w:r>
        <w:rPr>
          <w:rFonts w:ascii="IRNazanin" w:hAnsi="IRNazanin" w:eastAsia="IRNazanin" w:cs="IRNazanin"/>
          <w:lang w:bidi="fa-IR"/>
          <w:color w:val="111111"/>
          <w:sz w:val="28"/>
          <w:szCs w:val="28"/>
          <w:rtl/>
        </w:rPr>
        <w:t xml:space="preserve">الثانیة:أنّه إذا علم تکلیف الحاضرین بأمر معلوم لهم تفصیلا، و فهموه من خطاب هو مجمل بالنسبة إلینا معاشر الغائبین،فهل یجب علینا تحصیل القطع بالاحتیاط بإتیان ذلک الأمر أم لا؟و المحقّق </w:t>
      </w:r>
      <w:r>
        <w:rPr>
          <w:rStyle w:val="FootnoteReference"/>
        </w:rPr>
        <w:footnoteReference w:id="932"/>
      </w:r>
      <w:r>
        <w:rPr>
          <w:rFonts w:ascii="IRNazanin" w:hAnsi="IRNazanin" w:eastAsia="IRNazanin" w:cs="IRNazanin"/>
          <w:lang w:bidi="fa-IR"/>
          <w:color w:val="111111"/>
          <w:sz w:val="28"/>
          <w:szCs w:val="28"/>
          <w:rtl/>
        </w:rPr>
        <w:t xml:space="preserve">حکم بوجوب الاحتیاط فی الأوّل دون الثانی.</w:t>
      </w:r>
    </w:p>
    <w:p>
      <w:pPr>
        <w:pStyle w:val="BookText"/>
      </w:pPr>
      <w:r>
        <w:rPr>
          <w:rFonts w:ascii="IRNazanin" w:hAnsi="IRNazanin" w:eastAsia="IRNazanin" w:cs="IRNazanin"/>
          <w:lang w:bidi="fa-IR"/>
          <w:color w:val="111111"/>
          <w:sz w:val="28"/>
          <w:szCs w:val="28"/>
          <w:rtl/>
        </w:rPr>
        <w:t xml:space="preserve">فظهر من ذلک:أنّ مسألة إجمال النصّ إنّما یغایر المسألة السابقة -أعنی عدم النصّ-فیما فرض خطاب مجمل متوجّه إلی المکلّف؛إمّا لکونه حاضرا عند صدور الخطاب،و إمّا للقول باشتراک الغائبین مع الحاضرین فی الخطاب.</w:t>
      </w:r>
    </w:p>
    <w:p>
      <w:pPr>
        <w:pStyle w:val="BookText"/>
      </w:pPr>
      <w:r>
        <w:rPr>
          <w:rFonts w:ascii="IRNazanin" w:hAnsi="IRNazanin" w:eastAsia="IRNazanin" w:cs="IRNazanin"/>
          <w:lang w:bidi="fa-IR"/>
          <w:color w:val="111111"/>
          <w:sz w:val="28"/>
          <w:szCs w:val="28"/>
          <w:rtl/>
        </w:rPr>
        <w:t xml:space="preserve">أمّا إذا کان الخطاب للحاضرین و عرض له الإجمال بالنسبة إلی الغائبین،فالمسألة من قبیل عدم النصّ لا إجمال النصّ،إلاّ أنّک عرفت أنّ المختار فیهما وجوب الاحتیاط،فافهم.</w:t>
      </w:r>
    </w:p>
    <w:p>
      <w:pPr>
        <w:pStyle w:val="BookText"/>
      </w:pPr>
      <w:r>
        <w:rPr>
          <w:rFonts w:ascii="IRNazanin" w:hAnsi="IRNazanin" w:eastAsia="IRNazanin" w:cs="IRNazanin"/>
          <w:lang w:bidi="fa-IR"/>
          <w:color w:val="111111"/>
          <w:sz w:val="28"/>
          <w:szCs w:val="28"/>
          <w:rtl/>
        </w:rPr>
        <w:t xml:space="preserve">[شماره صفحه واقعی : 297]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194" w:name="pg14411_142687"/>
    <w:bookmarkEnd w:id="194"/>
    <w:p>
      <w:pPr>
        <w:pStyle w:val="Heading6"/>
      </w:pPr>
      <w:bookmarkStart w:id="1359" w:name="_Toc394"/>
      <w:r>
        <w:t>المسألة الثالثة ما إذا اشتبه الواجب بغیره لتکافؤ النصّین</w:t>
      </w:r>
      <w:bookmarkEnd w:id="1359"/>
    </w:p>
    <w:p>
      <w:pPr>
        <w:pStyle w:val="BookText"/>
      </w:pPr>
      <w:r>
        <w:rPr>
          <w:rFonts w:ascii="IRNazanin" w:hAnsi="IRNazanin" w:eastAsia="IRNazanin" w:cs="IRNazanin"/>
          <w:lang w:bidi="fa-IR"/>
          <w:color w:val="111111"/>
          <w:sz w:val="28"/>
          <w:szCs w:val="28"/>
          <w:rtl/>
        </w:rPr>
        <w:t xml:space="preserve">کما فی بعض مسائل القصر و الإتمام.</w:t>
      </w:r>
    </w:p>
    <w:p>
      <w:pPr>
        <w:pStyle w:val="BookText"/>
      </w:pPr>
      <w:r>
        <w:rPr>
          <w:rFonts w:ascii="IRNazanin" w:hAnsi="IRNazanin" w:eastAsia="IRNazanin" w:cs="IRNazanin"/>
          <w:lang w:bidi="fa-IR"/>
          <w:color w:val="111111"/>
          <w:sz w:val="28"/>
          <w:szCs w:val="28"/>
          <w:rtl/>
        </w:rPr>
        <w:t xml:space="preserve">و المشهور </w:t>
      </w:r>
      <w:r>
        <w:rPr>
          <w:rStyle w:val="FootnoteReference"/>
        </w:rPr>
        <w:footnoteReference w:id="933"/>
      </w:r>
      <w:r>
        <w:rPr>
          <w:rFonts w:ascii="IRNazanin" w:hAnsi="IRNazanin" w:eastAsia="IRNazanin" w:cs="IRNazanin"/>
          <w:lang w:bidi="fa-IR"/>
          <w:color w:val="111111"/>
          <w:sz w:val="28"/>
          <w:szCs w:val="28"/>
          <w:rtl/>
        </w:rPr>
        <w:t xml:space="preserve">فیه:التخییر</w:t>
      </w:r>
    </w:p>
    <w:p>
      <w:pPr>
        <w:pStyle w:val="BookText"/>
      </w:pPr>
      <w:r>
        <w:rPr>
          <w:rFonts w:ascii="IRNazanin" w:hAnsi="IRNazanin" w:eastAsia="IRNazanin" w:cs="IRNazanin"/>
          <w:lang w:bidi="fa-IR"/>
          <w:color w:val="111111"/>
          <w:sz w:val="28"/>
          <w:szCs w:val="28"/>
          <w:rtl/>
        </w:rPr>
        <w:t xml:space="preserve">؛لأخبار التخییر </w:t>
      </w:r>
      <w:r>
        <w:rPr>
          <w:rStyle w:val="FootnoteReference"/>
        </w:rPr>
        <w:footnoteReference w:id="934"/>
      </w:r>
      <w:r>
        <w:rPr>
          <w:rFonts w:ascii="IRNazanin" w:hAnsi="IRNazanin" w:eastAsia="IRNazanin" w:cs="IRNazanin"/>
          <w:lang w:bidi="fa-IR"/>
          <w:color w:val="111111"/>
          <w:sz w:val="28"/>
          <w:szCs w:val="28"/>
          <w:rtl/>
        </w:rPr>
        <w:t xml:space="preserve">السلیمة عن المعارض حتّی ما دلّ علی الأخذ بما فیه الاحتیاط؛لأنّ المفروض عدم موافقة شیء منهما للاحتیاط.</w:t>
      </w:r>
    </w:p>
    <w:p>
      <w:pPr>
        <w:pStyle w:val="BookText"/>
      </w:pPr>
      <w:r>
        <w:rPr>
          <w:rFonts w:ascii="IRNazanin" w:hAnsi="IRNazanin" w:eastAsia="IRNazanin" w:cs="IRNazanin"/>
          <w:lang w:bidi="fa-IR"/>
          <w:color w:val="111111"/>
          <w:sz w:val="28"/>
          <w:szCs w:val="28"/>
          <w:rtl/>
        </w:rPr>
        <w:t xml:space="preserve">إلاّ أن یستظهر من تلک الأدلّة:مطلوبیّة الاحتیاط عند تصادم الأدلّة.لکن قد عرفت فیما تقدّم:أنّ أخبار الاحتیاط لا تقاوم سندا و دلالة لأخبار التخییر.</w:t>
      </w:r>
    </w:p>
    <w:p>
      <w:pPr>
        <w:pStyle w:val="BookText"/>
      </w:pPr>
      <w:r>
        <w:rPr>
          <w:rFonts w:ascii="IRNazanin" w:hAnsi="IRNazanin" w:eastAsia="IRNazanin" w:cs="IRNazanin"/>
          <w:lang w:bidi="fa-IR"/>
          <w:color w:val="111111"/>
          <w:sz w:val="28"/>
          <w:szCs w:val="28"/>
          <w:rtl/>
        </w:rPr>
        <w:t xml:space="preserve">[شماره صفحه واقعی : 298]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195" w:name="pg14411_142688"/>
    <w:bookmarkEnd w:id="195"/>
    <w:p>
      <w:pPr>
        <w:pStyle w:val="Heading6"/>
      </w:pPr>
      <w:bookmarkStart w:id="1360" w:name="_Toc395"/>
      <w:r>
        <w:t>المسألة الرابعة ما إذا اشتبه الواجب بغیره من جهة اشتباه الموضوع</w:t>
      </w:r>
      <w:bookmarkEnd w:id="1360"/>
    </w:p>
    <w:p>
      <w:pPr>
        <w:pStyle w:val="Heading6"/>
      </w:pPr>
      <w:bookmarkStart w:id="1361" w:name="_Toc396"/>
      <w:r>
        <w:t>اشارة</w:t>
      </w:r>
      <w:bookmarkEnd w:id="1361"/>
    </w:p>
    <w:p>
      <w:pPr>
        <w:pStyle w:val="BookText"/>
      </w:pPr>
      <w:r>
        <w:rPr>
          <w:rFonts w:ascii="IRNazanin" w:hAnsi="IRNazanin" w:eastAsia="IRNazanin" w:cs="IRNazanin"/>
          <w:lang w:bidi="fa-IR"/>
          <w:color w:val="111111"/>
          <w:sz w:val="28"/>
          <w:szCs w:val="28"/>
          <w:rtl/>
        </w:rPr>
        <w:t xml:space="preserve">کما فی صورة اشتباه الفائتة أو القبلة أو الماء المطلق.</w:t>
      </w:r>
    </w:p>
    <w:p>
      <w:pPr>
        <w:pStyle w:val="Heading6"/>
      </w:pPr>
      <w:bookmarkStart w:id="1362" w:name="_Toc397"/>
      <w:r>
        <w:t>[الأقوی وجوب الاحتیاط]</w:t>
      </w:r>
      <w:bookmarkEnd w:id="1362"/>
    </w:p>
    <w:p>
      <w:pPr>
        <w:pStyle w:val="BookText"/>
      </w:pPr>
      <w:r>
        <w:rPr>
          <w:rFonts w:ascii="IRNazanin" w:hAnsi="IRNazanin" w:eastAsia="IRNazanin" w:cs="IRNazanin"/>
          <w:lang w:bidi="fa-IR"/>
          <w:color w:val="111111"/>
          <w:sz w:val="28"/>
          <w:szCs w:val="28"/>
          <w:rtl/>
        </w:rPr>
        <w:t xml:space="preserve">و الأقوی هنا-أیضا-:وجوب الاحتیاط کما فی الشبهة المحصورة؛ لعین ما مرّ فیها </w:t>
      </w:r>
      <w:r>
        <w:rPr>
          <w:rStyle w:val="FootnoteReference"/>
        </w:rPr>
        <w:footnoteReference w:id="935"/>
      </w:r>
      <w:r>
        <w:rPr>
          <w:rFonts w:ascii="IRNazanin" w:hAnsi="IRNazanin" w:eastAsia="IRNazanin" w:cs="IRNazanin"/>
          <w:lang w:bidi="fa-IR"/>
          <w:color w:val="111111"/>
          <w:sz w:val="28"/>
          <w:szCs w:val="28"/>
          <w:rtl/>
        </w:rPr>
        <w:t xml:space="preserve">:من تعلّق الخطاب بالفائتة واقعا مثلا و إن لم یعلم تفصیلا،و مقتضاه ترتّب العقاب علی ترکها و لو مع الجهل،و قضیّة حکم العقل بوجوب دفع الضرر المحتمل وجوب المقدّمة العلمیّة و الاحتیاط بفعل جمیع المحتملات.</w:t>
      </w:r>
    </w:p>
    <w:p>
      <w:pPr>
        <w:pStyle w:val="BookText"/>
      </w:pPr>
      <w:r>
        <w:rPr>
          <w:rFonts w:ascii="IRNazanin" w:hAnsi="IRNazanin" w:eastAsia="IRNazanin" w:cs="IRNazanin"/>
          <w:lang w:bidi="fa-IR"/>
          <w:color w:val="111111"/>
          <w:sz w:val="28"/>
          <w:szCs w:val="28"/>
          <w:rtl/>
        </w:rPr>
        <w:t xml:space="preserve">و قد خالف فی ذلک الفاضل القمّی رحمه اللّه،فمنع وجوب الزائد علی واحدة من المحتملات؛مستندا-فی ظاهر کلامه-إلی ما زعمه جامعا لجمیع صور الشکّ فی المکلّف به:من قبح التکلیف بالمجمل و تأخیر البیان عن وقت الحاجة </w:t>
      </w:r>
      <w:r>
        <w:rPr>
          <w:rStyle w:val="FootnoteReference"/>
        </w:rPr>
        <w:footnoteReference w:id="9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أنت خبیر:بأنّ الاشتباه فی الموضوع لیس من التکلیف بالمجمل فی شیء؛لأنّ المکلّف به مفهوم معیّن طرأ الاشتباه فی مصداقه لبعض</w:t>
      </w:r>
    </w:p>
    <w:p>
      <w:pPr>
        <w:pStyle w:val="BookText"/>
      </w:pPr>
      <w:r>
        <w:rPr>
          <w:rFonts w:ascii="IRNazanin" w:hAnsi="IRNazanin" w:eastAsia="IRNazanin" w:cs="IRNazanin"/>
          <w:lang w:bidi="fa-IR"/>
          <w:color w:val="111111"/>
          <w:sz w:val="28"/>
          <w:szCs w:val="28"/>
          <w:rtl/>
        </w:rPr>
        <w:t xml:space="preserve">[شماره صفحه واقعی : 299]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العوارض الخارجیّة کالنسیان و نحوه،و الخطاب الصادر لقضاء الفائتة عامّ فی المعلومة تفصیلا </w:t>
      </w:r>
      <w:r>
        <w:rPr>
          <w:rStyle w:val="FootnoteReference"/>
        </w:rPr>
        <w:footnoteReference w:id="937"/>
      </w:r>
      <w:r>
        <w:rPr>
          <w:rFonts w:ascii="IRNazanin" w:hAnsi="IRNazanin" w:eastAsia="IRNazanin" w:cs="IRNazanin"/>
          <w:lang w:bidi="fa-IR"/>
          <w:color w:val="111111"/>
          <w:sz w:val="28"/>
          <w:szCs w:val="28"/>
          <w:rtl/>
        </w:rPr>
        <w:t xml:space="preserve">و المجهولة،و لا مخصّص له بالمعلومة لا من العقل و لا من النقل،فیجب قضاؤها،و یعاقب علی ترکها مع الجهل کما یعاقب مع العلم.</w:t>
      </w:r>
    </w:p>
    <w:p>
      <w:pPr>
        <w:pStyle w:val="BookText"/>
      </w:pPr>
      <w:r>
        <w:rPr>
          <w:rFonts w:ascii="IRNazanin" w:hAnsi="IRNazanin" w:eastAsia="IRNazanin" w:cs="IRNazanin"/>
          <w:lang w:bidi="fa-IR"/>
          <w:color w:val="111111"/>
          <w:sz w:val="28"/>
          <w:szCs w:val="28"/>
          <w:rtl/>
        </w:rPr>
        <w:t xml:space="preserve">و یؤیّد ما ذکرنا:ما ورد من وجوب قضاء ثلاث صلوات </w:t>
      </w:r>
      <w:r>
        <w:rPr>
          <w:rStyle w:val="FootnoteReference"/>
        </w:rPr>
        <w:footnoteReference w:id="938"/>
      </w:r>
      <w:r>
        <w:rPr>
          <w:rFonts w:ascii="IRNazanin" w:hAnsi="IRNazanin" w:eastAsia="IRNazanin" w:cs="IRNazanin"/>
          <w:lang w:bidi="fa-IR"/>
          <w:color w:val="111111"/>
          <w:sz w:val="28"/>
          <w:szCs w:val="28"/>
          <w:rtl/>
        </w:rPr>
        <w:t xml:space="preserve">علی من فاتته فریضة؛معلّلا ذلک ببراءة الذمّة علی کلّ تقدیر </w:t>
      </w:r>
      <w:r>
        <w:rPr>
          <w:rStyle w:val="FootnoteReference"/>
        </w:rPr>
        <w:footnoteReference w:id="939"/>
      </w:r>
      <w:r>
        <w:rPr>
          <w:rFonts w:ascii="IRNazanin" w:hAnsi="IRNazanin" w:eastAsia="IRNazanin" w:cs="IRNazanin"/>
          <w:lang w:bidi="fa-IR"/>
          <w:color w:val="111111"/>
          <w:sz w:val="28"/>
          <w:szCs w:val="28"/>
          <w:rtl/>
        </w:rPr>
        <w:t xml:space="preserve">فإنّ ظاهر التعلیل یفید عموم مراعاة ذلک فی کلّ مقام اشتبه علیه الواجب؛و لذا تعدّی المشهور عن مورد النصّ-و هو تردّد الفائتة بین رباعیّة و ثلاثیّة و ثنائیّة-إلی الفریضة الفائتة من المسافر المردّدة بین ثنائیّة و ثلاثیّة، فاکتفوا فیها بصلاتین </w:t>
      </w:r>
      <w:r>
        <w:rPr>
          <w:rStyle w:val="FootnoteReference"/>
        </w:rPr>
        <w:footnoteReference w:id="9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300]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196" w:name="pg14411_142690"/>
    <w:bookmarkEnd w:id="196"/>
    <w:p>
      <w:pPr>
        <w:pStyle w:val="Heading6"/>
      </w:pPr>
      <w:bookmarkStart w:id="1363" w:name="_Toc398"/>
      <w:r>
        <w:t>و ینبغی التنبیه علی امور:</w:t>
      </w:r>
      <w:bookmarkEnd w:id="1363"/>
    </w:p>
    <w:p>
      <w:pPr>
        <w:pStyle w:val="Heading6"/>
      </w:pPr>
      <w:bookmarkStart w:id="1364" w:name="_Toc399"/>
      <w:r>
        <w:t>الأمر الأوّل [:لو کان الاشتباه الموضوعی فی شرط من شروط الواجب]</w:t>
      </w:r>
      <w:bookmarkEnd w:id="1364"/>
    </w:p>
    <w:p>
      <w:pPr>
        <w:pStyle w:val="Heading6"/>
      </w:pPr>
      <w:bookmarkStart w:id="1365" w:name="_Toc400"/>
      <w:r>
        <w:t>اشارة</w:t>
      </w:r>
      <w:bookmarkEnd w:id="1365"/>
    </w:p>
    <w:p>
      <w:pPr>
        <w:pStyle w:val="BookText"/>
      </w:pPr>
      <w:r>
        <w:rPr>
          <w:rFonts w:ascii="IRNazanin" w:hAnsi="IRNazanin" w:eastAsia="IRNazanin" w:cs="IRNazanin"/>
          <w:lang w:bidi="fa-IR"/>
          <w:color w:val="111111"/>
          <w:sz w:val="28"/>
          <w:szCs w:val="28"/>
          <w:rtl/>
        </w:rPr>
        <w:t xml:space="preserve">أنّه یمکن القول بعدم وجوب الاحتیاط فی مسألة اشتباه القبلة و نحوها ممّا کان الاشتباه الموضوعیّ فی شرط من شروط الواجب، کالقبلة و اللباس و ما یصحّ السجود علیه و شبهها،بناء علی دعوی سقوط هذه الشروط عند الاشتباه؛و لذا أسقط الحلّی وجوب الستر عند اشتباه الساتر الطاهر بالنجس و حکم بالصلاة عاریا </w:t>
      </w:r>
      <w:r>
        <w:rPr>
          <w:rStyle w:val="FootnoteReference"/>
        </w:rPr>
        <w:footnoteReference w:id="941"/>
      </w:r>
      <w:r>
        <w:rPr>
          <w:rFonts w:ascii="IRNazanin" w:hAnsi="IRNazanin" w:eastAsia="IRNazanin" w:cs="IRNazanin"/>
          <w:lang w:bidi="fa-IR"/>
          <w:color w:val="111111"/>
          <w:sz w:val="28"/>
          <w:szCs w:val="28"/>
          <w:rtl/>
        </w:rPr>
        <w:t xml:space="preserve">،بل النزاع فیما کان من هذا القبیل ینبغی أن یکون علی هذا الوجه؛فإنّ القائل بعدم وجوب الاحتیاط ینبغی أن یقول بسقوط الشروط عند الجهل،لا بکفایة الفعل مع احتمال الشرط،کالصلاة المحتمل وقوعها إلی القبلة بدلا عن القبلة الواقعیّة.</w:t>
      </w:r>
    </w:p>
    <w:p>
      <w:pPr>
        <w:pStyle w:val="Heading6"/>
      </w:pPr>
      <w:bookmarkStart w:id="1366" w:name="_Toc401"/>
      <w:r>
        <w:t>[دعوی سقوط الشرط المجهول لوجهین]</w:t>
      </w:r>
      <w:bookmarkEnd w:id="1366"/>
    </w:p>
    <w:p>
      <w:pPr>
        <w:pStyle w:val="BookText"/>
      </w:pPr>
      <w:r>
        <w:rPr>
          <w:rFonts w:ascii="IRNazanin" w:hAnsi="IRNazanin" w:eastAsia="IRNazanin" w:cs="IRNazanin"/>
          <w:lang w:bidi="fa-IR"/>
          <w:color w:val="111111"/>
          <w:sz w:val="28"/>
          <w:szCs w:val="28"/>
          <w:rtl/>
        </w:rPr>
        <w:t xml:space="preserve">ثمّ الوجه فی دعوی سقوط الشرط المجهول:</w:t>
      </w:r>
    </w:p>
    <w:p>
      <w:pPr>
        <w:pStyle w:val="BookText"/>
      </w:pPr>
      <w:r>
        <w:rPr>
          <w:rFonts w:ascii="IRNazanin" w:hAnsi="IRNazanin" w:eastAsia="IRNazanin" w:cs="IRNazanin"/>
          <w:lang w:bidi="fa-IR"/>
          <w:color w:val="111111"/>
          <w:sz w:val="28"/>
          <w:szCs w:val="28"/>
          <w:rtl/>
        </w:rPr>
        <w:t xml:space="preserve">إمّا انصراف أدلّته إلی صورة العلم به تفصیلا،کما فی بعض الشروط نظیر اشتراط الترتیب </w:t>
      </w:r>
      <w:r>
        <w:rPr>
          <w:rStyle w:val="FootnoteReference"/>
        </w:rPr>
        <w:footnoteReference w:id="942"/>
      </w:r>
      <w:r>
        <w:rPr>
          <w:rFonts w:ascii="IRNazanin" w:hAnsi="IRNazanin" w:eastAsia="IRNazanin" w:cs="IRNazanin"/>
          <w:lang w:bidi="fa-IR"/>
          <w:color w:val="111111"/>
          <w:sz w:val="28"/>
          <w:szCs w:val="28"/>
          <w:rtl/>
        </w:rPr>
        <w:t xml:space="preserve">بین الفوائت.</w:t>
      </w:r>
    </w:p>
    <w:p>
      <w:pPr>
        <w:pStyle w:val="BookText"/>
      </w:pPr>
      <w:r>
        <w:rPr>
          <w:rFonts w:ascii="IRNazanin" w:hAnsi="IRNazanin" w:eastAsia="IRNazanin" w:cs="IRNazanin"/>
          <w:lang w:bidi="fa-IR"/>
          <w:color w:val="111111"/>
          <w:sz w:val="28"/>
          <w:szCs w:val="28"/>
          <w:rtl/>
        </w:rPr>
        <w:t xml:space="preserve">[شماره صفحه واقعی : 301]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197" w:name="pg14411_142691"/>
    <w:bookmarkEnd w:id="197"/>
    <w:p>
      <w:pPr>
        <w:pStyle w:val="BookText"/>
      </w:pPr>
      <w:r>
        <w:rPr>
          <w:rFonts w:ascii="IRNazanin" w:hAnsi="IRNazanin" w:eastAsia="IRNazanin" w:cs="IRNazanin"/>
          <w:lang w:bidi="fa-IR"/>
          <w:color w:val="111111"/>
          <w:sz w:val="28"/>
          <w:szCs w:val="28"/>
          <w:rtl/>
        </w:rPr>
        <w:t xml:space="preserve">و إمّا دوران الأمر بین إهمال هذا الشرط المجهول و إهمال شرط آخر،و هو وجوب مقارنة العمل لوجهه بحیث یعلم بوجوب الواجب و ندب المندوب حین فعله،و هذا یتحقّق مع القول بسقوط الشرط المجهول </w:t>
      </w:r>
      <w:r>
        <w:rPr>
          <w:rStyle w:val="FootnoteReference"/>
        </w:rPr>
        <w:footnoteReference w:id="943"/>
      </w:r>
      <w:r>
        <w:rPr>
          <w:rFonts w:ascii="IRNazanin" w:hAnsi="IRNazanin" w:eastAsia="IRNazanin" w:cs="IRNazanin"/>
          <w:lang w:bidi="fa-IR"/>
          <w:color w:val="111111"/>
          <w:sz w:val="28"/>
          <w:szCs w:val="28"/>
          <w:rtl/>
        </w:rPr>
        <w:t xml:space="preserve">.و هذا هو الذی یظهر من کلام الحلّی.</w:t>
      </w:r>
    </w:p>
    <w:p>
      <w:pPr>
        <w:pStyle w:val="Heading6"/>
      </w:pPr>
      <w:bookmarkStart w:id="1367" w:name="_Toc402"/>
      <w:r>
        <w:t>[المناقشة فی الوجهین]</w:t>
      </w:r>
      <w:bookmarkEnd w:id="1367"/>
    </w:p>
    <w:p>
      <w:pPr>
        <w:pStyle w:val="BookText"/>
      </w:pPr>
      <w:r>
        <w:rPr>
          <w:rFonts w:ascii="IRNazanin" w:hAnsi="IRNazanin" w:eastAsia="IRNazanin" w:cs="IRNazanin"/>
          <w:lang w:bidi="fa-IR"/>
          <w:color w:val="111111"/>
          <w:sz w:val="28"/>
          <w:szCs w:val="28"/>
          <w:rtl/>
        </w:rPr>
        <w:t xml:space="preserve">و کلا الوجهین ضعیفان:</w:t>
      </w:r>
    </w:p>
    <w:p>
      <w:pPr>
        <w:pStyle w:val="BookText"/>
      </w:pPr>
      <w:r>
        <w:rPr>
          <w:rFonts w:ascii="IRNazanin" w:hAnsi="IRNazanin" w:eastAsia="IRNazanin" w:cs="IRNazanin"/>
          <w:lang w:bidi="fa-IR"/>
          <w:color w:val="111111"/>
          <w:sz w:val="28"/>
          <w:szCs w:val="28"/>
          <w:rtl/>
        </w:rPr>
        <w:t xml:space="preserve">أمّا الأوّل:فلأنّ مفروض الکلام ما إذا ثبت الوجوب الواقعی للفعل بهذا الشرط؛و إلاّ لم یکن من الشکّ فی المکلّف به؛للعلم حینئذ بعدم وجوب الصلاة إلی القبلة الواقعیّة المجهولة بالنسبة إلی الجاهل.</w:t>
      </w:r>
    </w:p>
    <w:p>
      <w:pPr>
        <w:pStyle w:val="BookText"/>
      </w:pPr>
      <w:r>
        <w:rPr>
          <w:rFonts w:ascii="IRNazanin" w:hAnsi="IRNazanin" w:eastAsia="IRNazanin" w:cs="IRNazanin"/>
          <w:lang w:bidi="fa-IR"/>
          <w:color w:val="111111"/>
          <w:sz w:val="28"/>
          <w:szCs w:val="28"/>
          <w:rtl/>
        </w:rPr>
        <w:t xml:space="preserve">و أمّا الثانی:فلأنّ ما دلّ علی وجوب مقارنة العمل بقصد وجهه و الجزم مع النیّة،إنّما یدلّ علیه مع التمکّن،و معنی التمکّن القدرة علی الإتیان به مستجمعا للشرائط جازما بوجهه-من الوجوب و الندب- حین الفعل،أمّا مع العجز عن ذلک فهو المتعیّن للسقوط،دون الشرط المجهول الذی أوجب العجز عن الجزم بالنیّة.</w:t>
      </w:r>
    </w:p>
    <w:p>
      <w:pPr>
        <w:pStyle w:val="BookText"/>
      </w:pPr>
      <w:r>
        <w:rPr>
          <w:rFonts w:ascii="Amiri" w:hAnsi="Amiri" w:eastAsia="Amiri" w:cs="Amiri"/>
          <w:lang w:bidi="ar-SA"/>
          <w:color w:val="111111"/>
          <w:sz w:val="28"/>
          <w:szCs w:val="28"/>
          <w:rtl/>
        </w:rPr>
        <w:t xml:space="preserve">و السرّ فی تعیّنه </w:t>
      </w:r>
      <w:r>
        <w:rPr>
          <w:rStyle w:val="FootnoteReference"/>
        </w:rPr>
        <w:footnoteReference w:id="944"/>
      </w:r>
      <w:r>
        <w:rPr>
          <w:rFonts w:ascii="IRNazanin" w:hAnsi="IRNazanin" w:eastAsia="IRNazanin" w:cs="IRNazanin"/>
          <w:lang w:bidi="fa-IR"/>
          <w:color w:val="111111"/>
          <w:sz w:val="28"/>
          <w:szCs w:val="28"/>
          <w:rtl/>
        </w:rPr>
        <w:t xml:space="preserve">للسقوط هو:أنّه إنّما لوحظ اعتباره فی الفعل المستجمع للشرائط،و لیس اشتراطه فی مرتبة سائر الشرائط،بل متأخّر عنه،فإذا قیّد اعتباره بحال التمکّن سقط حال العجز،یعنی العجز عن إتیان الفعل الجامع للشرائط مجزوما به.</w:t>
      </w:r>
    </w:p>
    <w:p>
      <w:pPr>
        <w:pStyle w:val="BookText"/>
      </w:pPr>
      <w:r>
        <w:rPr>
          <w:rFonts w:ascii="IRNazanin" w:hAnsi="IRNazanin" w:eastAsia="IRNazanin" w:cs="IRNazanin"/>
          <w:lang w:bidi="fa-IR"/>
          <w:color w:val="111111"/>
          <w:sz w:val="28"/>
          <w:szCs w:val="28"/>
          <w:rtl/>
        </w:rPr>
        <w:t xml:space="preserve">[شماره صفحه واقعی : 302]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198" w:name="pg14411_142692"/>
    <w:bookmarkEnd w:id="198"/>
    <w:p>
      <w:pPr>
        <w:pStyle w:val="Heading6"/>
      </w:pPr>
      <w:bookmarkStart w:id="1368" w:name="_Toc403"/>
      <w:r>
        <w:t>الأمر الثانی [:کیفیّة النیّة فی الصلوات المتعدّدة فی مسألة اشتباه القبلة و نحوها]</w:t>
      </w:r>
      <w:bookmarkEnd w:id="1368"/>
    </w:p>
    <w:p>
      <w:pPr>
        <w:pStyle w:val="BookText"/>
      </w:pPr>
      <w:r>
        <w:rPr>
          <w:rFonts w:ascii="IRNazanin" w:hAnsi="IRNazanin" w:eastAsia="IRNazanin" w:cs="IRNazanin"/>
          <w:lang w:bidi="fa-IR"/>
          <w:color w:val="111111"/>
          <w:sz w:val="28"/>
          <w:szCs w:val="28"/>
          <w:rtl/>
        </w:rPr>
        <w:t xml:space="preserve">أنّ النیّة فی کلّ من الصلوات المتعدّدة،علی الوجه المتقدّم فی مسألة الظهر و الجمعة </w:t>
      </w:r>
      <w:r>
        <w:rPr>
          <w:rStyle w:val="FootnoteReference"/>
        </w:rPr>
        <w:footnoteReference w:id="945"/>
      </w:r>
      <w:r>
        <w:rPr>
          <w:rFonts w:ascii="IRNazanin" w:hAnsi="IRNazanin" w:eastAsia="IRNazanin" w:cs="IRNazanin"/>
          <w:lang w:bidi="fa-IR"/>
          <w:color w:val="111111"/>
          <w:sz w:val="28"/>
          <w:szCs w:val="28"/>
          <w:rtl/>
        </w:rPr>
        <w:t xml:space="preserve">،و حاصله:أنّه ینوی فی کلّ منهما فعلها احتیاطا لإحراز الواجب الواقعیّ المردّد بینها و بین صاحبها تقرّبا إلی اللّه،علی أن یکون القرب علّة للإحراز الذی جعل غایة للفعل.</w:t>
      </w:r>
    </w:p>
    <w:p>
      <w:pPr>
        <w:pStyle w:val="BookText"/>
      </w:pPr>
      <w:r>
        <w:rPr>
          <w:rFonts w:ascii="IRNazanin" w:hAnsi="IRNazanin" w:eastAsia="IRNazanin" w:cs="IRNazanin"/>
          <w:lang w:bidi="fa-IR"/>
          <w:color w:val="111111"/>
          <w:sz w:val="28"/>
          <w:szCs w:val="28"/>
          <w:rtl/>
        </w:rPr>
        <w:t xml:space="preserve">و یترتّب علی هذا:أنّه لا بدّ من أن یکون حین فعل أحدهما عازما علی فعل الآخر؛إذ النیّة المذکورة لا تتحقّق بدون ذلک؛فإنّ من قصد الاقتصار علی أحد الفعلین لیس قاصدا لامتثال الواجب الواقعیّ علی کلّ تقدیر،نعم هو قاصد لامتثاله علی تقدیر مصادفة هذا المحتمل له لا مطلقا،و هذا غیر کاف فی العبادات المعلوم وقوع التعبّد بها.نعم،لو احتمل کون الشیء عبادة-کغسل الجنابة إن احتمل الجنابة </w:t>
      </w:r>
      <w:r>
        <w:rPr>
          <w:rStyle w:val="FootnoteReference"/>
        </w:rPr>
        <w:footnoteReference w:id="946"/>
      </w:r>
      <w:r>
        <w:rPr>
          <w:rFonts w:ascii="IRNazanin" w:hAnsi="IRNazanin" w:eastAsia="IRNazanin" w:cs="IRNazanin"/>
          <w:lang w:bidi="fa-IR"/>
          <w:color w:val="111111"/>
          <w:sz w:val="28"/>
          <w:szCs w:val="28"/>
          <w:rtl/>
        </w:rPr>
        <w:t xml:space="preserve">-اکتفی فیه بقصد الامتثال علی تقدیر تحقّق الأمر به.لکن لیس هنا تقدیر آخر یراد </w:t>
      </w:r>
      <w:r>
        <w:rPr>
          <w:rStyle w:val="FootnoteReference"/>
        </w:rPr>
        <w:footnoteReference w:id="947"/>
      </w:r>
      <w:r>
        <w:rPr>
          <w:rFonts w:ascii="IRNazanin" w:hAnsi="IRNazanin" w:eastAsia="IRNazanin" w:cs="IRNazanin"/>
          <w:lang w:bidi="fa-IR"/>
          <w:color w:val="111111"/>
          <w:sz w:val="28"/>
          <w:szCs w:val="28"/>
          <w:rtl/>
        </w:rPr>
        <w:t xml:space="preserve">منه التعبّد علی ذلک التقدیر،فغایة ما</w:t>
      </w:r>
    </w:p>
    <w:p>
      <w:pPr>
        <w:pStyle w:val="BookText"/>
      </w:pPr>
      <w:r>
        <w:rPr>
          <w:rFonts w:ascii="IRNazanin" w:hAnsi="IRNazanin" w:eastAsia="IRNazanin" w:cs="IRNazanin"/>
          <w:lang w:bidi="fa-IR"/>
          <w:color w:val="111111"/>
          <w:sz w:val="28"/>
          <w:szCs w:val="28"/>
          <w:rtl/>
        </w:rPr>
        <w:t xml:space="preserve">[شماره صفحه واقعی : 303]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یمکن قصده هنا:هو التعبّد علی طریق الاحتمال.بخلاف ما نحن فیه ممّا علم فیه ثبوت التعبّد بأحد الأمرین؛فإنّه لا بدّ فیه من الجزم بالتعبّد.</w:t>
      </w:r>
    </w:p>
    <w:p>
      <w:pPr>
        <w:pStyle w:val="BookText"/>
      </w:pPr>
      <w:r>
        <w:rPr>
          <w:rFonts w:ascii="IRNazanin" w:hAnsi="IRNazanin" w:eastAsia="IRNazanin" w:cs="IRNazanin"/>
          <w:lang w:bidi="fa-IR"/>
          <w:color w:val="111111"/>
          <w:sz w:val="28"/>
          <w:szCs w:val="28"/>
          <w:rtl/>
        </w:rPr>
        <w:t xml:space="preserve">[شماره صفحه واقعی : 304]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199" w:name="pg14411_142694"/>
    <w:bookmarkEnd w:id="199"/>
    <w:p>
      <w:pPr>
        <w:pStyle w:val="Heading6"/>
      </w:pPr>
      <w:bookmarkStart w:id="1369" w:name="_Toc404"/>
      <w:r>
        <w:t>الأمر الثالث [:وجوب کلّ من المحتملات عقلیّ لا شرعی]</w:t>
      </w:r>
      <w:bookmarkEnd w:id="1369"/>
    </w:p>
    <w:p>
      <w:pPr>
        <w:pStyle w:val="BookText"/>
      </w:pPr>
      <w:r>
        <w:rPr>
          <w:rFonts w:ascii="IRNazanin" w:hAnsi="IRNazanin" w:eastAsia="IRNazanin" w:cs="IRNazanin"/>
          <w:lang w:bidi="fa-IR"/>
          <w:color w:val="111111"/>
          <w:sz w:val="28"/>
          <w:szCs w:val="28"/>
          <w:rtl/>
        </w:rPr>
        <w:t xml:space="preserve">أنّ الظاهر:أنّ وجوب کلّ من المحتملات عقلیّ لا شرعیّ؛لأنّ الحاکم بوجوبه لیس إلاّ العقل من باب وجوب دفع العقاب المحتمل علی تقدیر ترک أحد المحتملین،حتّی أنّه لو قلنا بدلالة أخبار الاحتیاط أو الخبر المتقدّم </w:t>
      </w:r>
      <w:r>
        <w:rPr>
          <w:rStyle w:val="FootnoteReference"/>
        </w:rPr>
        <w:footnoteReference w:id="948"/>
      </w:r>
      <w:r>
        <w:rPr>
          <w:rFonts w:ascii="IRNazanin" w:hAnsi="IRNazanin" w:eastAsia="IRNazanin" w:cs="IRNazanin"/>
          <w:lang w:bidi="fa-IR"/>
          <w:color w:val="111111"/>
          <w:sz w:val="28"/>
          <w:szCs w:val="28"/>
          <w:rtl/>
        </w:rPr>
        <w:t xml:space="preserve">فی الفائتة علی وجوب ذلک،کان وجوبه من باب الإرشاد.و قد تقدّم الکلام فی ذلک فی فروع الاحتیاط فی الشکّ فی التکلیف </w:t>
      </w:r>
      <w:r>
        <w:rPr>
          <w:rStyle w:val="FootnoteReference"/>
        </w:rPr>
        <w:footnoteReference w:id="9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إثبات وجوب التکرار شرعا فی ما نحن فیه بالاستصحاب و حرمة نقض الیقین بغیر الیقین شرعا،فقد تقدّم فی المسألة الاولی </w:t>
      </w:r>
      <w:r>
        <w:rPr>
          <w:rStyle w:val="FootnoteReference"/>
        </w:rPr>
        <w:footnoteReference w:id="9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عدم </w:t>
      </w:r>
      <w:r>
        <w:rPr>
          <w:rStyle w:val="FootnoteReference"/>
        </w:rPr>
        <w:footnoteReference w:id="951"/>
      </w:r>
      <w:r>
        <w:rPr>
          <w:rFonts w:ascii="IRNazanin" w:hAnsi="IRNazanin" w:eastAsia="IRNazanin" w:cs="IRNazanin"/>
          <w:lang w:bidi="fa-IR"/>
          <w:color w:val="111111"/>
          <w:sz w:val="28"/>
          <w:szCs w:val="28"/>
          <w:rtl/>
        </w:rPr>
        <w:t xml:space="preserve">دلالة الاستصحاب علی ذلک إلاّ بناء علی أنّ المستصحب یترتّب علیه الامور الاتّفاقیّة المقارنة معه،و قد تقدّم إجمالا ضعفه </w:t>
      </w:r>
      <w:r>
        <w:rPr>
          <w:rStyle w:val="FootnoteReference"/>
        </w:rPr>
        <w:footnoteReference w:id="952"/>
      </w:r>
    </w:p>
    <w:p>
      <w:pPr>
        <w:pStyle w:val="BookText"/>
      </w:pPr>
      <w:r>
        <w:rPr>
          <w:rFonts w:ascii="IRNazanin" w:hAnsi="IRNazanin" w:eastAsia="IRNazanin" w:cs="IRNazanin"/>
          <w:lang w:bidi="fa-IR"/>
          <w:color w:val="111111"/>
          <w:sz w:val="28"/>
          <w:szCs w:val="28"/>
          <w:rtl/>
        </w:rPr>
        <w:t xml:space="preserve">[شماره صفحه واقعی : 305]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سیأتی تفصیلا </w:t>
      </w:r>
      <w:r>
        <w:rPr>
          <w:rStyle w:val="FootnoteReference"/>
        </w:rPr>
        <w:footnoteReference w:id="9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علی ما ذکرنا،فلو ترک المصلّی المتحیّر فی القبلة أو الناسی لفائتة جمیع المحتملات لم یستحقّ إلاّ عقابا واحدا،و کذا لو ترک أحد المحتملات و اتّفق مصادفته للواجب الواقعیّ،و لو لم یصادف لم یستحقّ عقابا من جهة مخالفة الأمر به،نعم قد یقال باستحقاقه العقاب من جهة التجرّی.و تمام الکلام فیه قد تقدّم </w:t>
      </w:r>
      <w:r>
        <w:rPr>
          <w:rStyle w:val="FootnoteReference"/>
        </w:rPr>
        <w:footnoteReference w:id="9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306]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200" w:name="pg14411_142696"/>
    <w:bookmarkEnd w:id="200"/>
    <w:p>
      <w:pPr>
        <w:pStyle w:val="Heading6"/>
      </w:pPr>
      <w:bookmarkStart w:id="1370" w:name="_Toc405"/>
      <w:r>
        <w:t>الأمر الرابع [:لو انکشفت مطابقة المأتیّ به للواقع قبل فعل الباقی]</w:t>
      </w:r>
      <w:bookmarkEnd w:id="1370"/>
    </w:p>
    <w:p>
      <w:pPr>
        <w:pStyle w:val="BookText"/>
      </w:pPr>
      <w:r>
        <w:rPr>
          <w:rFonts w:ascii="IRNazanin" w:hAnsi="IRNazanin" w:eastAsia="IRNazanin" w:cs="IRNazanin"/>
          <w:lang w:bidi="fa-IR"/>
          <w:color w:val="111111"/>
          <w:sz w:val="28"/>
          <w:szCs w:val="28"/>
          <w:rtl/>
        </w:rPr>
        <w:t xml:space="preserve">لو انکشف مطابقة ما أتی به للواقع قبل فعل الباقی أجزأ عنه </w:t>
      </w:r>
      <w:r>
        <w:rPr>
          <w:rStyle w:val="FootnoteReference"/>
        </w:rPr>
        <w:footnoteReference w:id="955"/>
      </w:r>
      <w:r>
        <w:rPr>
          <w:rFonts w:ascii="IRNazanin" w:hAnsi="IRNazanin" w:eastAsia="IRNazanin" w:cs="IRNazanin"/>
          <w:lang w:bidi="fa-IR"/>
          <w:color w:val="111111"/>
          <w:sz w:val="28"/>
          <w:szCs w:val="28"/>
          <w:rtl/>
        </w:rPr>
        <w:t xml:space="preserve">لأنّه صلّی الصلاة الواقعیّة قاصدا للتقرّب بها إلی اللّه و إن لم یعلم حین الفعل أنّ المقرّب هو هذا الفعل؛إذ لا فرق بین أن یکون الجزم بالعمل ناشئا عن تکرار الفعل أو ناشئا عن انکشاف الحال.</w:t>
      </w:r>
    </w:p>
    <w:p>
      <w:pPr>
        <w:pStyle w:val="BookText"/>
      </w:pPr>
      <w:r>
        <w:rPr>
          <w:rFonts w:ascii="IRNazanin" w:hAnsi="IRNazanin" w:eastAsia="IRNazanin" w:cs="IRNazanin"/>
          <w:lang w:bidi="fa-IR"/>
          <w:color w:val="111111"/>
          <w:sz w:val="28"/>
          <w:szCs w:val="28"/>
          <w:rtl/>
        </w:rPr>
        <w:t xml:space="preserve">[شماره صفحه واقعی : 307]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201" w:name="pg14411_142697"/>
    <w:bookmarkEnd w:id="201"/>
    <w:p>
      <w:pPr>
        <w:pStyle w:val="Heading6"/>
      </w:pPr>
      <w:bookmarkStart w:id="1371" w:name="_Toc406"/>
      <w:r>
        <w:t>الأمر الخامس [:لو کانت محتملات الواجب غیر محصورة]</w:t>
      </w:r>
      <w:bookmarkEnd w:id="1371"/>
    </w:p>
    <w:p>
      <w:pPr>
        <w:pStyle w:val="BookText"/>
      </w:pPr>
      <w:r>
        <w:rPr>
          <w:rFonts w:ascii="IRNazanin" w:hAnsi="IRNazanin" w:eastAsia="IRNazanin" w:cs="IRNazanin"/>
          <w:lang w:bidi="fa-IR"/>
          <w:color w:val="111111"/>
          <w:sz w:val="28"/>
          <w:szCs w:val="28"/>
          <w:rtl/>
        </w:rPr>
        <w:t xml:space="preserve">لو فرض محتملات الواجب غیر محصورة لم یسقط الامتثال فی الواجب المردّد باعتبار شرطه کالصلاة إلی القبلة المجهولة و شبهها قطعا؛ إذ غایة الأمر سقوط الشرط،فلا وجه لترک المشروط رأسا.</w:t>
      </w:r>
    </w:p>
    <w:p>
      <w:pPr>
        <w:pStyle w:val="BookText"/>
      </w:pPr>
      <w:r>
        <w:rPr>
          <w:rFonts w:ascii="IRNazanin" w:hAnsi="IRNazanin" w:eastAsia="IRNazanin" w:cs="IRNazanin"/>
          <w:lang w:bidi="fa-IR"/>
          <w:color w:val="111111"/>
          <w:sz w:val="28"/>
          <w:szCs w:val="28"/>
          <w:rtl/>
        </w:rPr>
        <w:t xml:space="preserve">و أمّا فی غیره ممّا کان نفس الواجب مردّدا،فالظاهر-أیضا- عدم سقوطه و لو قلنا بجواز ارتکاب الکلّ فی الشبهة الغیر المحصورة؛ لأنّ فعل الحرام لا یعلم هناک به إلاّ بعد الارتکاب،بخلاف ترک الکلّ هنا؛فإنّه یعلم به مخالفة الواجب الواقعیّ حین المخالفة.</w:t>
      </w:r>
    </w:p>
    <w:p>
      <w:pPr>
        <w:pStyle w:val="BookText"/>
      </w:pPr>
      <w:r>
        <w:rPr>
          <w:rFonts w:ascii="IRNazanin" w:hAnsi="IRNazanin" w:eastAsia="IRNazanin" w:cs="IRNazanin"/>
          <w:lang w:bidi="fa-IR"/>
          <w:color w:val="111111"/>
          <w:sz w:val="28"/>
          <w:szCs w:val="28"/>
          <w:rtl/>
        </w:rPr>
        <w:t xml:space="preserve">و هل یجوز الاقتصار علی واحد-إذ به یندفع محذور المخالفة-أم یجب الإتیان بما تیسّر من المحتملات؟ وجهان:</w:t>
      </w:r>
    </w:p>
    <w:p>
      <w:pPr>
        <w:pStyle w:val="BookText"/>
      </w:pPr>
      <w:r>
        <w:rPr>
          <w:rFonts w:ascii="IRNazanin" w:hAnsi="IRNazanin" w:eastAsia="IRNazanin" w:cs="IRNazanin"/>
          <w:lang w:bidi="fa-IR"/>
          <w:color w:val="111111"/>
          <w:sz w:val="28"/>
          <w:szCs w:val="28"/>
          <w:rtl/>
        </w:rPr>
        <w:t xml:space="preserve">من أنّ التکلیف بإتیان الواقع ساقط،فلا مقتضی لإیجاب مقدّماته العلمیّة،و إنّما وجب الإتیان بواحد فرارا من المخالفة القطعیّة.</w:t>
      </w:r>
    </w:p>
    <w:p>
      <w:pPr>
        <w:pStyle w:val="BookText"/>
      </w:pPr>
      <w:r>
        <w:rPr>
          <w:rFonts w:ascii="IRNazanin" w:hAnsi="IRNazanin" w:eastAsia="IRNazanin" w:cs="IRNazanin"/>
          <w:lang w:bidi="fa-IR"/>
          <w:color w:val="111111"/>
          <w:sz w:val="28"/>
          <w:szCs w:val="28"/>
          <w:rtl/>
        </w:rPr>
        <w:t xml:space="preserve">و من أنّ اللازم بعد الالتزام بحرمة مخالفة الواقع مراعاته مهما أمکن؛و علیه بناء العقلاء فی أوامرهم العرفیّة.</w:t>
      </w:r>
    </w:p>
    <w:p>
      <w:pPr>
        <w:pStyle w:val="BookText"/>
      </w:pPr>
      <w:r>
        <w:rPr>
          <w:rFonts w:ascii="IRNazanin" w:hAnsi="IRNazanin" w:eastAsia="IRNazanin" w:cs="IRNazanin"/>
          <w:lang w:bidi="fa-IR"/>
          <w:color w:val="111111"/>
          <w:sz w:val="28"/>
          <w:szCs w:val="28"/>
          <w:rtl/>
        </w:rPr>
        <w:t xml:space="preserve">و الاکتفاء بالواحد التخییریّ عن الواقع إنّما یکون مع نصّ الشارع علیه،و أمّا مع عدمه و فرض حکم العقل بوجوب مراعاة</w:t>
      </w:r>
    </w:p>
    <w:p>
      <w:pPr>
        <w:pStyle w:val="BookText"/>
      </w:pPr>
      <w:r>
        <w:rPr>
          <w:rFonts w:ascii="IRNazanin" w:hAnsi="IRNazanin" w:eastAsia="IRNazanin" w:cs="IRNazanin"/>
          <w:lang w:bidi="fa-IR"/>
          <w:color w:val="111111"/>
          <w:sz w:val="28"/>
          <w:szCs w:val="28"/>
          <w:rtl/>
        </w:rPr>
        <w:t xml:space="preserve">[شماره صفحه واقعی : 308]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الواقع </w:t>
      </w:r>
      <w:r>
        <w:rPr>
          <w:rStyle w:val="FootnoteReference"/>
        </w:rPr>
        <w:footnoteReference w:id="956"/>
      </w:r>
      <w:r>
        <w:rPr>
          <w:rFonts w:ascii="IRNazanin" w:hAnsi="IRNazanin" w:eastAsia="IRNazanin" w:cs="IRNazanin"/>
          <w:lang w:bidi="fa-IR"/>
          <w:color w:val="111111"/>
          <w:sz w:val="28"/>
          <w:szCs w:val="28"/>
          <w:rtl/>
        </w:rPr>
        <w:t xml:space="preserve">،فیجب مراعاته حتّی یقطع بعدم العقاب؛إمّا لحصول الواجب، و إمّا لسقوطه بعدم تیسّر الفعل،و هذا لا یحصل إلاّ بعد الإتیان بما تیسّر،و هذا هو الأقوی.</w:t>
      </w:r>
    </w:p>
    <w:p>
      <w:pPr>
        <w:pStyle w:val="BookText"/>
      </w:pPr>
      <w:r>
        <w:rPr>
          <w:rFonts w:ascii="IRNazanin" w:hAnsi="IRNazanin" w:eastAsia="IRNazanin" w:cs="IRNazanin"/>
          <w:lang w:bidi="fa-IR"/>
          <w:color w:val="111111"/>
          <w:sz w:val="28"/>
          <w:szCs w:val="28"/>
          <w:rtl/>
        </w:rPr>
        <w:t xml:space="preserve">و هذا الحکم مطّرد فی کلّ مورد وجد المانع من الإتیان ببعض غیر معیّن من المحتملات.و لو طرأ المانع من بعض معیّن منها،ففی الوجوب-کما هو المشهور-إشکال،من عدم العلم بوجود الواجب بین الباقی،و الأصل البراءة.</w:t>
      </w:r>
    </w:p>
    <w:p>
      <w:pPr>
        <w:pStyle w:val="BookText"/>
      </w:pPr>
      <w:r>
        <w:rPr>
          <w:rFonts w:ascii="IRNazanin" w:hAnsi="IRNazanin" w:eastAsia="IRNazanin" w:cs="IRNazanin"/>
          <w:lang w:bidi="fa-IR"/>
          <w:color w:val="111111"/>
          <w:sz w:val="28"/>
          <w:szCs w:val="28"/>
          <w:rtl/>
        </w:rPr>
        <w:t xml:space="preserve">[شماره صفحه واقعی : 309]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202" w:name="pg14411_142699"/>
    <w:bookmarkEnd w:id="202"/>
    <w:p>
      <w:pPr>
        <w:pStyle w:val="Heading6"/>
      </w:pPr>
      <w:bookmarkStart w:id="1372" w:name="_Toc407"/>
      <w:r>
        <w:t>الأمر السادس [:هل یشترط فی الامتثال الإجمالی عدم التمکّن من الامتثال التفصیلی؟]</w:t>
      </w:r>
      <w:bookmarkEnd w:id="1372"/>
    </w:p>
    <w:p>
      <w:pPr>
        <w:pStyle w:val="Heading6"/>
      </w:pPr>
      <w:bookmarkStart w:id="1373" w:name="_Toc408"/>
      <w:r>
        <w:t>اشارة</w:t>
      </w:r>
      <w:bookmarkEnd w:id="1373"/>
    </w:p>
    <w:p>
      <w:pPr>
        <w:pStyle w:val="BookText"/>
      </w:pPr>
      <w:r>
        <w:rPr>
          <w:rFonts w:ascii="IRNazanin" w:hAnsi="IRNazanin" w:eastAsia="IRNazanin" w:cs="IRNazanin"/>
          <w:lang w:bidi="fa-IR"/>
          <w:color w:val="111111"/>
          <w:sz w:val="28"/>
          <w:szCs w:val="28"/>
          <w:rtl/>
        </w:rPr>
        <w:t xml:space="preserve">هل یشترط فی تحصیل العلم الإجمالیّ بالبراءة بالجمع بین المشتبهین،عدم التمکّن من الامتثال التفصیلیّ بإزالة الشبهة و </w:t>
      </w:r>
      <w:r>
        <w:rPr>
          <w:rStyle w:val="FootnoteReference"/>
        </w:rPr>
        <w:footnoteReference w:id="957"/>
      </w:r>
      <w:r>
        <w:rPr>
          <w:rFonts w:ascii="IRNazanin" w:hAnsi="IRNazanin" w:eastAsia="IRNazanin" w:cs="IRNazanin"/>
          <w:lang w:bidi="fa-IR"/>
          <w:color w:val="111111"/>
          <w:sz w:val="28"/>
          <w:szCs w:val="28"/>
          <w:rtl/>
        </w:rPr>
        <w:t xml:space="preserve">اختیاره ما یعلم به البراءة تفصیلا،أم یجوز الاکتفاء به و إن تمکّن من ذلک، فیجوز لمن </w:t>
      </w:r>
      <w:r>
        <w:rPr>
          <w:rStyle w:val="FootnoteReference"/>
        </w:rPr>
        <w:footnoteReference w:id="958"/>
      </w:r>
      <w:r>
        <w:rPr>
          <w:rFonts w:ascii="IRNazanin" w:hAnsi="IRNazanin" w:eastAsia="IRNazanin" w:cs="IRNazanin"/>
          <w:lang w:bidi="fa-IR"/>
          <w:color w:val="111111"/>
          <w:sz w:val="28"/>
          <w:szCs w:val="28"/>
          <w:rtl/>
        </w:rPr>
        <w:t xml:space="preserve">قدر علی تحصیل العلم بالقبلة أو تعیین الواجب الواقعی من القصر و الإتمام أو </w:t>
      </w:r>
      <w:r>
        <w:rPr>
          <w:rStyle w:val="FootnoteReference"/>
        </w:rPr>
        <w:footnoteReference w:id="959"/>
      </w:r>
      <w:r>
        <w:rPr>
          <w:rFonts w:ascii="IRNazanin" w:hAnsi="IRNazanin" w:eastAsia="IRNazanin" w:cs="IRNazanin"/>
          <w:lang w:bidi="fa-IR"/>
          <w:color w:val="111111"/>
          <w:sz w:val="28"/>
          <w:szCs w:val="28"/>
          <w:rtl/>
        </w:rPr>
        <w:t xml:space="preserve">الظهر و الجمعة،الامتثال بالجمع بین المشتبهات؟ وجهان،بل قولان:</w:t>
      </w:r>
    </w:p>
    <w:p>
      <w:pPr>
        <w:pStyle w:val="BookText"/>
      </w:pPr>
      <w:r>
        <w:rPr>
          <w:rFonts w:ascii="IRNazanin" w:hAnsi="IRNazanin" w:eastAsia="IRNazanin" w:cs="IRNazanin"/>
          <w:lang w:bidi="fa-IR"/>
          <w:color w:val="111111"/>
          <w:sz w:val="28"/>
          <w:szCs w:val="28"/>
          <w:rtl/>
        </w:rPr>
        <w:t xml:space="preserve">ظاهر الأکثر:الأوّل؛لوجوب اقتران الفعل المأمور به عندهم بوجه الأمر.و سیأتی الکلام فی ذلک عند التعرّض لشروط البراءة و الاحتیاط </w:t>
      </w:r>
      <w:r>
        <w:rPr>
          <w:rStyle w:val="FootnoteReference"/>
        </w:rPr>
        <w:footnoteReference w:id="960"/>
      </w:r>
      <w:r>
        <w:rPr>
          <w:rFonts w:ascii="Amiri" w:hAnsi="Amiri" w:eastAsia="Amiri" w:cs="Amiri"/>
          <w:lang w:bidi="ar-SA"/>
          <w:color w:val="111111"/>
          <w:sz w:val="28"/>
          <w:szCs w:val="28"/>
          <w:rtl/>
        </w:rPr>
        <w:t xml:space="preserve">إن شاء اللّه.</w:t>
      </w:r>
    </w:p>
    <w:p>
      <w:pPr>
        <w:pStyle w:val="Heading6"/>
      </w:pPr>
      <w:bookmarkStart w:id="1374" w:name="_Toc409"/>
      <w:r>
        <w:t>[لو قدر علی العلم التفصیلی من بعض الجهات و عجز عنه من جهة اخری]</w:t>
      </w:r>
      <w:bookmarkEnd w:id="1374"/>
    </w:p>
    <w:p>
      <w:pPr>
        <w:pStyle w:val="BookText"/>
      </w:pPr>
      <w:r>
        <w:rPr>
          <w:rFonts w:ascii="IRNazanin" w:hAnsi="IRNazanin" w:eastAsia="IRNazanin" w:cs="IRNazanin"/>
          <w:lang w:bidi="fa-IR"/>
          <w:color w:val="111111"/>
          <w:sz w:val="28"/>
          <w:szCs w:val="28"/>
          <w:rtl/>
        </w:rPr>
        <w:t xml:space="preserve">و یتفرّع علی ذلک:أنّه لو قدر علی العلم التفصیلیّ من بعض</w:t>
      </w:r>
    </w:p>
    <w:p>
      <w:pPr>
        <w:pStyle w:val="BookText"/>
      </w:pPr>
      <w:r>
        <w:rPr>
          <w:rFonts w:ascii="IRNazanin" w:hAnsi="IRNazanin" w:eastAsia="IRNazanin" w:cs="IRNazanin"/>
          <w:lang w:bidi="fa-IR"/>
          <w:color w:val="111111"/>
          <w:sz w:val="28"/>
          <w:szCs w:val="28"/>
          <w:rtl/>
        </w:rPr>
        <w:t xml:space="preserve">[شماره صفحه واقعی : 310]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الجهات و عجز عنه من جهة اخری،فالواجب مراعاة العلم التفصیلیّ من تلک الجهة،فلا یجوز لمن قدر علی الثوب الطاهر المتیقّن </w:t>
      </w:r>
      <w:r>
        <w:rPr>
          <w:rStyle w:val="FootnoteReference"/>
        </w:rPr>
        <w:footnoteReference w:id="961"/>
      </w:r>
      <w:r>
        <w:rPr>
          <w:rFonts w:ascii="IRNazanin" w:hAnsi="IRNazanin" w:eastAsia="IRNazanin" w:cs="IRNazanin"/>
          <w:lang w:bidi="fa-IR"/>
          <w:color w:val="111111"/>
          <w:sz w:val="28"/>
          <w:szCs w:val="28"/>
          <w:rtl/>
        </w:rPr>
        <w:t xml:space="preserve">و عجز عن تعیین القبلة،تکرار الصلاة فی الثوبین المشتبهین إلی أربع جهات؛ لتمکّنه من العلم التفصیلیّ بالمأمور به من حیث طهارة الثوب و إن لم یحصل مراعاة ذلک العلم التفصیلیّ علی الإطلاق.</w:t>
      </w:r>
    </w:p>
    <w:p>
      <w:pPr>
        <w:pStyle w:val="BookText"/>
      </w:pPr>
      <w:r>
        <w:rPr>
          <w:rFonts w:ascii="IRNazanin" w:hAnsi="IRNazanin" w:eastAsia="IRNazanin" w:cs="IRNazanin"/>
          <w:lang w:bidi="fa-IR"/>
          <w:color w:val="111111"/>
          <w:sz w:val="28"/>
          <w:szCs w:val="28"/>
          <w:rtl/>
        </w:rPr>
        <w:t xml:space="preserve">[شماره صفحه واقعی : 311]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203" w:name="pg14411_142701"/>
    <w:bookmarkEnd w:id="203"/>
    <w:p>
      <w:pPr>
        <w:pStyle w:val="Heading6"/>
      </w:pPr>
      <w:bookmarkStart w:id="1375" w:name="_Toc410"/>
      <w:r>
        <w:t>الأمر السابع [:لو کان الواجب المشتبه أمرین مترتّبین شرعا]</w:t>
      </w:r>
      <w:bookmarkEnd w:id="1375"/>
    </w:p>
    <w:p>
      <w:pPr>
        <w:pStyle w:val="Heading6"/>
      </w:pPr>
      <w:bookmarkStart w:id="1376" w:name="_Toc411"/>
      <w:r>
        <w:t>اشارة</w:t>
      </w:r>
      <w:bookmarkEnd w:id="1376"/>
    </w:p>
    <w:p>
      <w:pPr>
        <w:pStyle w:val="BookText"/>
      </w:pPr>
      <w:r>
        <w:rPr>
          <w:rFonts w:ascii="IRNazanin" w:hAnsi="IRNazanin" w:eastAsia="IRNazanin" w:cs="IRNazanin"/>
          <w:lang w:bidi="fa-IR"/>
          <w:color w:val="111111"/>
          <w:sz w:val="28"/>
          <w:szCs w:val="28"/>
          <w:rtl/>
        </w:rPr>
        <w:t xml:space="preserve">لو کان الواجب المشتبه أمرین مترتّبین شرعا،کالظهر و العصر المردّدین بین القصر و الإتمام أو بین الجهات الأربع،فهل یعتبر فی صحّة الدخول فی محتملات الواجب اللاحق الفراغ الیقینیّ من الأوّل بإتیان جمیع محتملاته،کما صرّح به فی الموجز </w:t>
      </w:r>
      <w:r>
        <w:rPr>
          <w:rStyle w:val="FootnoteReference"/>
        </w:rPr>
        <w:footnoteReference w:id="962"/>
      </w:r>
      <w:r>
        <w:rPr>
          <w:rFonts w:ascii="IRNazanin" w:hAnsi="IRNazanin" w:eastAsia="IRNazanin" w:cs="IRNazanin"/>
          <w:lang w:bidi="fa-IR"/>
          <w:color w:val="111111"/>
          <w:sz w:val="28"/>
          <w:szCs w:val="28"/>
          <w:rtl/>
        </w:rPr>
        <w:t xml:space="preserve">و شرحه </w:t>
      </w:r>
      <w:r>
        <w:rPr>
          <w:rStyle w:val="FootnoteReference"/>
        </w:rPr>
        <w:footnoteReference w:id="963"/>
      </w:r>
      <w:r>
        <w:rPr>
          <w:rFonts w:ascii="IRNazanin" w:hAnsi="IRNazanin" w:eastAsia="IRNazanin" w:cs="IRNazanin"/>
          <w:lang w:bidi="fa-IR"/>
          <w:color w:val="111111"/>
          <w:sz w:val="28"/>
          <w:szCs w:val="28"/>
          <w:rtl/>
        </w:rPr>
        <w:t xml:space="preserve">و المسالک </w:t>
      </w:r>
      <w:r>
        <w:rPr>
          <w:rStyle w:val="FootnoteReference"/>
        </w:rPr>
        <w:footnoteReference w:id="964"/>
      </w:r>
      <w:r>
        <w:rPr>
          <w:rFonts w:ascii="IRNazanin" w:hAnsi="IRNazanin" w:eastAsia="IRNazanin" w:cs="IRNazanin"/>
          <w:lang w:bidi="fa-IR"/>
          <w:color w:val="111111"/>
          <w:sz w:val="28"/>
          <w:szCs w:val="28"/>
          <w:rtl/>
        </w:rPr>
        <w:t xml:space="preserve">و الروض </w:t>
      </w:r>
      <w:r>
        <w:rPr>
          <w:rStyle w:val="FootnoteReference"/>
        </w:rPr>
        <w:footnoteReference w:id="965"/>
      </w:r>
      <w:r>
        <w:rPr>
          <w:rFonts w:ascii="IRNazanin" w:hAnsi="IRNazanin" w:eastAsia="IRNazanin" w:cs="IRNazanin"/>
          <w:lang w:bidi="fa-IR"/>
          <w:color w:val="111111"/>
          <w:sz w:val="28"/>
          <w:szCs w:val="28"/>
          <w:rtl/>
        </w:rPr>
        <w:t xml:space="preserve">و المقاصد العلیّة </w:t>
      </w:r>
      <w:r>
        <w:rPr>
          <w:rStyle w:val="FootnoteReference"/>
        </w:rPr>
        <w:footnoteReference w:id="966"/>
      </w:r>
      <w:r>
        <w:rPr>
          <w:rFonts w:ascii="IRNazanin" w:hAnsi="IRNazanin" w:eastAsia="IRNazanin" w:cs="IRNazanin"/>
          <w:lang w:bidi="fa-IR"/>
          <w:color w:val="111111"/>
          <w:sz w:val="28"/>
          <w:szCs w:val="28"/>
          <w:rtl/>
        </w:rPr>
        <w:t xml:space="preserve">،أم یکفی فیه فعل بعض محتملات الأوّل،بحیث یقطع بحصول الترتیب بعد الاتیان بمجموع محتملات المشتبهین-کما عن نهایة الإحکام </w:t>
      </w:r>
      <w:r>
        <w:rPr>
          <w:rStyle w:val="FootnoteReference"/>
        </w:rPr>
        <w:footnoteReference w:id="967"/>
      </w:r>
      <w:r>
        <w:rPr>
          <w:rFonts w:ascii="IRNazanin" w:hAnsi="IRNazanin" w:eastAsia="IRNazanin" w:cs="IRNazanin"/>
          <w:lang w:bidi="fa-IR"/>
          <w:color w:val="111111"/>
          <w:sz w:val="28"/>
          <w:szCs w:val="28"/>
          <w:rtl/>
        </w:rPr>
        <w:t xml:space="preserve">و المدارک </w:t>
      </w:r>
      <w:r>
        <w:rPr>
          <w:rStyle w:val="FootnoteReference"/>
        </w:rPr>
        <w:footnoteReference w:id="968"/>
      </w:r>
      <w:r>
        <w:rPr>
          <w:rFonts w:ascii="IRNazanin" w:hAnsi="IRNazanin" w:eastAsia="IRNazanin" w:cs="IRNazanin"/>
          <w:lang w:bidi="fa-IR"/>
          <w:color w:val="111111"/>
          <w:sz w:val="28"/>
          <w:szCs w:val="28"/>
          <w:rtl/>
        </w:rPr>
        <w:t xml:space="preserve">-فیأتی بظهر و عصر قصرا،ثمّ بهما تماما؟</w:t>
      </w:r>
    </w:p>
    <w:p>
      <w:pPr>
        <w:pStyle w:val="BookText"/>
      </w:pPr>
      <w:r>
        <w:rPr>
          <w:rFonts w:ascii="IRNazanin" w:hAnsi="IRNazanin" w:eastAsia="IRNazanin" w:cs="IRNazanin"/>
          <w:lang w:bidi="fa-IR"/>
          <w:color w:val="111111"/>
          <w:sz w:val="28"/>
          <w:szCs w:val="28"/>
          <w:rtl/>
        </w:rPr>
        <w:t xml:space="preserve">[شماره صفحه واقعی : 312]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204" w:name="pg14411_142702"/>
    <w:bookmarkEnd w:id="204"/>
    <w:p>
      <w:pPr>
        <w:pStyle w:val="Heading6"/>
      </w:pPr>
      <w:bookmarkStart w:id="1377" w:name="_Toc412"/>
      <w:r>
        <w:t>[قولان فی المسألة]</w:t>
      </w:r>
      <w:bookmarkEnd w:id="1377"/>
    </w:p>
    <w:p>
      <w:pPr>
        <w:pStyle w:val="BookText"/>
      </w:pPr>
      <w:r>
        <w:rPr>
          <w:rFonts w:ascii="IRNazanin" w:hAnsi="IRNazanin" w:eastAsia="IRNazanin" w:cs="IRNazanin"/>
          <w:lang w:bidi="fa-IR"/>
          <w:color w:val="111111"/>
          <w:sz w:val="28"/>
          <w:szCs w:val="28"/>
          <w:rtl/>
        </w:rPr>
        <w:t xml:space="preserve">قولان،متفرّعان علی القول المتقدّم فی الأمر السادس </w:t>
      </w:r>
      <w:r>
        <w:rPr>
          <w:rStyle w:val="FootnoteReference"/>
        </w:rPr>
        <w:footnoteReference w:id="969"/>
      </w:r>
      <w:r>
        <w:rPr>
          <w:rFonts w:ascii="IRNazanin" w:hAnsi="IRNazanin" w:eastAsia="IRNazanin" w:cs="IRNazanin"/>
          <w:lang w:bidi="fa-IR"/>
          <w:color w:val="111111"/>
          <w:sz w:val="28"/>
          <w:szCs w:val="28"/>
          <w:rtl/>
        </w:rPr>
        <w:t xml:space="preserve">-من وجوب مراعاة العلم التفصیلیّ مع الإمکان-مبنیّان علی أنّه:</w:t>
      </w:r>
    </w:p>
    <w:p>
      <w:pPr>
        <w:pStyle w:val="BookText"/>
      </w:pPr>
      <w:r>
        <w:rPr>
          <w:rFonts w:ascii="IRNazanin" w:hAnsi="IRNazanin" w:eastAsia="IRNazanin" w:cs="IRNazanin"/>
          <w:lang w:bidi="fa-IR"/>
          <w:color w:val="111111"/>
          <w:sz w:val="28"/>
          <w:szCs w:val="28"/>
          <w:rtl/>
        </w:rPr>
        <w:t xml:space="preserve">هل یجب مراعاة ذلک من جهة نفس الواجب؟فلا یجب إلاّ إذا أوجب إهماله تردّدا فی أصل الواجب،کتکرار الصلاة فی الثوبین المشتبهین إلی أربع جهات،فإنّه یوجب تردّدا فی الواجب زائدا علی التردّد الحاصل من جهة اشتباه القبلة،فکما یجب رفع التردّد مع الإمکان کذلک یجب تقلیله.</w:t>
      </w:r>
    </w:p>
    <w:p>
      <w:pPr>
        <w:pStyle w:val="BookText"/>
      </w:pPr>
      <w:r>
        <w:rPr>
          <w:rFonts w:ascii="IRNazanin" w:hAnsi="IRNazanin" w:eastAsia="IRNazanin" w:cs="IRNazanin"/>
          <w:lang w:bidi="fa-IR"/>
          <w:color w:val="111111"/>
          <w:sz w:val="28"/>
          <w:szCs w:val="28"/>
          <w:rtl/>
        </w:rPr>
        <w:t xml:space="preserve">أمّا إذا لم یوجب إهماله تردّدا زائدا فی الواجب فلا یجب،کما فی ما نحن فیه؛فإنّ الإتیان بالعصر المقصورة بعد الظهر المقصورة لا یوجب تردّدا زائدا علی التردّد الحاصل من جهة القصر و الإتمام؛لأنّ العصر المقصورة إن کانت مطابقة للواقع کانت واجدة لشرطها،و هو الترتّب علی الظهر،و إن کانت مخالفة للواقع لم ینفع وقوعها مترتّبة علی الظهر الواقعیّة؛لأنّ الترتّب </w:t>
      </w:r>
      <w:r>
        <w:rPr>
          <w:rStyle w:val="FootnoteReference"/>
        </w:rPr>
        <w:footnoteReference w:id="970"/>
      </w:r>
      <w:r>
        <w:rPr>
          <w:rFonts w:ascii="IRNazanin" w:hAnsi="IRNazanin" w:eastAsia="IRNazanin" w:cs="IRNazanin"/>
          <w:lang w:bidi="fa-IR"/>
          <w:color w:val="111111"/>
          <w:sz w:val="28"/>
          <w:szCs w:val="28"/>
          <w:rtl/>
        </w:rPr>
        <w:t xml:space="preserve">إنّما هو بین الواجبین واقعا.</w:t>
      </w:r>
    </w:p>
    <w:p>
      <w:pPr>
        <w:pStyle w:val="BookText"/>
      </w:pPr>
      <w:r>
        <w:rPr>
          <w:rFonts w:ascii="IRNazanin" w:hAnsi="IRNazanin" w:eastAsia="IRNazanin" w:cs="IRNazanin"/>
          <w:lang w:bidi="fa-IR"/>
          <w:color w:val="111111"/>
          <w:sz w:val="28"/>
          <w:szCs w:val="28"/>
          <w:rtl/>
        </w:rPr>
        <w:t xml:space="preserve">و من ذلک یظهر:عدم جواز التمسّک بأصالة بقاء الاشتغال بالظهر و عدم فعل الواجب الواقعیّ؛و ذلک لأنّ المترتّب علی بقاء الاشتغال و عدم فعل الواجب عدم جواز الإتیان بالعصر الواقعیّ،و هو مسلّم؛ و لذا لا یجوز الإتیان حینئذ بجمیع محتملات العصر،و هذا المحتمل غیر معلوم أنّه العصر الواقعیّ،و المصحّح للإتیان به هو المصحّح لإتیان محتمل الظهر المشترک معه فی الشکّ و </w:t>
      </w:r>
      <w:r>
        <w:rPr>
          <w:rStyle w:val="FootnoteReference"/>
        </w:rPr>
        <w:footnoteReference w:id="971"/>
      </w:r>
      <w:r>
        <w:rPr>
          <w:rFonts w:ascii="IRNazanin" w:hAnsi="IRNazanin" w:eastAsia="IRNazanin" w:cs="IRNazanin"/>
          <w:lang w:bidi="fa-IR"/>
          <w:color w:val="111111"/>
          <w:sz w:val="28"/>
          <w:szCs w:val="28"/>
          <w:rtl/>
        </w:rPr>
        <w:t xml:space="preserve">جریان الأصلین فیه.</w:t>
      </w:r>
    </w:p>
    <w:p>
      <w:pPr>
        <w:pStyle w:val="BookText"/>
      </w:pPr>
      <w:r>
        <w:rPr>
          <w:rFonts w:ascii="IRNazanin" w:hAnsi="IRNazanin" w:eastAsia="IRNazanin" w:cs="IRNazanin"/>
          <w:lang w:bidi="fa-IR"/>
          <w:color w:val="111111"/>
          <w:sz w:val="28"/>
          <w:szCs w:val="28"/>
          <w:rtl/>
        </w:rPr>
        <w:t xml:space="preserve">[شماره صفحه واقعی : 313]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205" w:name="pg14411_142703"/>
    <w:bookmarkEnd w:id="205"/>
    <w:p>
      <w:pPr>
        <w:pStyle w:val="BookText"/>
      </w:pPr>
      <w:r>
        <w:rPr>
          <w:rFonts w:ascii="IRNazanin" w:hAnsi="IRNazanin" w:eastAsia="IRNazanin" w:cs="IRNazanin"/>
          <w:lang w:bidi="fa-IR"/>
          <w:color w:val="111111"/>
          <w:sz w:val="28"/>
          <w:szCs w:val="28"/>
          <w:rtl/>
        </w:rPr>
        <w:t xml:space="preserve">أو أنّ الواجب مراعاة العلم التفصیلی من جهة نفس الخصوصیّة المشکوکة فی العبادة و إن لم یوجب إهماله تردّدا فی الواجب،فیجب علی المکلّف العلم التفصیلیّ عند الإتیان بکون ما یأتی به هو نفس الواجب الواقعی؟</w:t>
      </w:r>
    </w:p>
    <w:p>
      <w:pPr>
        <w:pStyle w:val="BookText"/>
      </w:pPr>
      <w:r>
        <w:rPr>
          <w:rFonts w:ascii="IRNazanin" w:hAnsi="IRNazanin" w:eastAsia="IRNazanin" w:cs="IRNazanin"/>
          <w:lang w:bidi="fa-IR"/>
          <w:color w:val="111111"/>
          <w:sz w:val="28"/>
          <w:szCs w:val="28"/>
          <w:rtl/>
        </w:rPr>
        <w:t xml:space="preserve">فإذا تعذّر ذلک من بعض الجهات لم یعذر فی إهماله من الجهة المتمکّنة،فالواجب علی العاجز عن تعیین </w:t>
      </w:r>
      <w:r>
        <w:rPr>
          <w:rStyle w:val="FootnoteReference"/>
        </w:rPr>
        <w:footnoteReference w:id="972"/>
      </w:r>
      <w:r>
        <w:rPr>
          <w:rFonts w:ascii="IRNazanin" w:hAnsi="IRNazanin" w:eastAsia="IRNazanin" w:cs="IRNazanin"/>
          <w:lang w:bidi="fa-IR"/>
          <w:color w:val="111111"/>
          <w:sz w:val="28"/>
          <w:szCs w:val="28"/>
          <w:rtl/>
        </w:rPr>
        <w:t xml:space="preserve">کون الصلاة قصرا أو تماما </w:t>
      </w:r>
      <w:r>
        <w:rPr>
          <w:rStyle w:val="FootnoteReference"/>
        </w:rPr>
        <w:footnoteReference w:id="973"/>
      </w:r>
      <w:r>
        <w:rPr>
          <w:rFonts w:ascii="IRNazanin" w:hAnsi="IRNazanin" w:eastAsia="IRNazanin" w:cs="IRNazanin"/>
          <w:lang w:bidi="fa-IR"/>
          <w:color w:val="111111"/>
          <w:sz w:val="28"/>
          <w:szCs w:val="28"/>
          <w:rtl/>
        </w:rPr>
        <w:t xml:space="preserve">:العلم التفصیلی بکون المأتیّ به مترتّبا علی الظهر،و لا یکفی العلم بترتّبه علی تقدیر صحّته.</w:t>
      </w:r>
    </w:p>
    <w:p>
      <w:pPr>
        <w:pStyle w:val="Heading6"/>
      </w:pPr>
      <w:bookmarkStart w:id="1378" w:name="_Toc413"/>
      <w:r>
        <w:t>[إذا تحقّق الأمر بأحدهما فی الوقت المختصّ]</w:t>
      </w:r>
      <w:bookmarkEnd w:id="1378"/>
    </w:p>
    <w:p>
      <w:pPr>
        <w:pStyle w:val="BookText"/>
      </w:pPr>
      <w:r>
        <w:rPr>
          <w:rFonts w:ascii="IRNazanin" w:hAnsi="IRNazanin" w:eastAsia="IRNazanin" w:cs="IRNazanin"/>
          <w:lang w:bidi="fa-IR"/>
          <w:color w:val="111111"/>
          <w:sz w:val="28"/>
          <w:szCs w:val="28"/>
          <w:rtl/>
        </w:rPr>
        <w:t xml:space="preserve">هذا کلّه مع تنجّز الأمر بالظهر و العصر دفعة واحدة فی الوقت المشترک،أمّا إذا تحقّق الأمر بالظهر فقط فی الوقت المختصّ ففعل بعض محتملاته،فیمکن أن یقال بعدم الجواز؛نظرا إلی الشکّ فی تحقّق الأمر بالعصر،فکیف یقدّم علی محتملاتها التی لا تجب إلاّ مقدّمة لها؟بل الأصل عدم الأمر،فلا یشرع الدخول فی مقدّمات الفعل.</w:t>
      </w:r>
    </w:p>
    <w:p>
      <w:pPr>
        <w:pStyle w:val="BookText"/>
      </w:pPr>
      <w:r>
        <w:rPr>
          <w:rFonts w:ascii="IRNazanin" w:hAnsi="IRNazanin" w:eastAsia="IRNazanin" w:cs="IRNazanin"/>
          <w:lang w:bidi="fa-IR"/>
          <w:color w:val="111111"/>
          <w:sz w:val="28"/>
          <w:szCs w:val="28"/>
          <w:rtl/>
        </w:rPr>
        <w:t xml:space="preserve">و یمکن أن یقال:إنّ أصالة عدم الأمر إنّما تقتضی عدم مشروعیّة الدخول فی المأمور به و محتملاته التی یحتمله </w:t>
      </w:r>
      <w:r>
        <w:rPr>
          <w:rStyle w:val="FootnoteReference"/>
        </w:rPr>
        <w:footnoteReference w:id="974"/>
      </w:r>
      <w:r>
        <w:rPr>
          <w:rFonts w:ascii="IRNazanin" w:hAnsi="IRNazanin" w:eastAsia="IRNazanin" w:cs="IRNazanin"/>
          <w:lang w:bidi="fa-IR"/>
          <w:color w:val="111111"/>
          <w:sz w:val="28"/>
          <w:szCs w:val="28"/>
          <w:rtl/>
        </w:rPr>
        <w:t xml:space="preserve">علی تقدیر عدم الأمر واقعا،کما إذا صلّی العصر إلی غیر الجهة التی صلّی الظهر،أمّا </w:t>
      </w:r>
      <w:r>
        <w:rPr>
          <w:rStyle w:val="FootnoteReference"/>
        </w:rPr>
        <w:footnoteReference w:id="975"/>
      </w:r>
      <w:r>
        <w:rPr>
          <w:rFonts w:ascii="IRNazanin" w:hAnsi="IRNazanin" w:eastAsia="IRNazanin" w:cs="IRNazanin"/>
          <w:lang w:bidi="fa-IR"/>
          <w:color w:val="111111"/>
          <w:sz w:val="28"/>
          <w:szCs w:val="28"/>
          <w:rtl/>
        </w:rPr>
        <w:t xml:space="preserve">ما لا یحتمله إلاّ علی تقدیر وجود الأمر،فلا یقتضی الأصل المنع عنه،کما لا یخفی.</w:t>
      </w:r>
    </w:p>
    <w:p>
      <w:pPr>
        <w:pStyle w:val="BookText"/>
      </w:pPr>
      <w:r>
        <w:rPr>
          <w:rFonts w:ascii="IRNazanin" w:hAnsi="IRNazanin" w:eastAsia="IRNazanin" w:cs="IRNazanin"/>
          <w:lang w:bidi="fa-IR"/>
          <w:color w:val="111111"/>
          <w:sz w:val="28"/>
          <w:szCs w:val="28"/>
          <w:rtl/>
        </w:rPr>
        <w:t xml:space="preserve">[شماره صفحه واقعی : 314]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206" w:name="pg14411_142704"/>
    <w:bookmarkEnd w:id="206"/>
    <w:p>
      <w:pPr>
        <w:pStyle w:val="Heading6"/>
      </w:pPr>
      <w:bookmarkStart w:id="1379" w:name="_Toc414"/>
      <w:r>
        <w:t>القسم الثانی فیما إذا دار الأمر فی الواجب بین الأقلّ و الأکثر [،و هو علی قسمین:]</w:t>
      </w:r>
      <w:bookmarkEnd w:id="1379"/>
    </w:p>
    <w:p>
      <w:pPr>
        <w:pStyle w:val="Heading6"/>
      </w:pPr>
      <w:bookmarkStart w:id="1380" w:name="_Toc415"/>
      <w:r>
        <w:t>اشارة</w:t>
      </w:r>
      <w:bookmarkEnd w:id="1380"/>
    </w:p>
    <w:p>
      <w:pPr>
        <w:pStyle w:val="BookText"/>
      </w:pPr>
      <w:r>
        <w:rPr>
          <w:rFonts w:ascii="IRNazanin" w:hAnsi="IRNazanin" w:eastAsia="IRNazanin" w:cs="IRNazanin"/>
          <w:lang w:bidi="fa-IR"/>
          <w:color w:val="111111"/>
          <w:sz w:val="28"/>
          <w:szCs w:val="28"/>
          <w:rtl/>
        </w:rPr>
        <w:t xml:space="preserve">و مرجعه إلی الشکّ فی جزئیّة شیء للمأمور به و عدمها،و هو علی قسمین؛لأنّ الجزء المشکوک:</w:t>
      </w:r>
    </w:p>
    <w:p>
      <w:pPr>
        <w:pStyle w:val="BookText"/>
      </w:pPr>
      <w:r>
        <w:rPr>
          <w:rFonts w:ascii="IRNazanin" w:hAnsi="IRNazanin" w:eastAsia="IRNazanin" w:cs="IRNazanin"/>
          <w:lang w:bidi="fa-IR"/>
          <w:color w:val="111111"/>
          <w:sz w:val="28"/>
          <w:szCs w:val="28"/>
          <w:rtl/>
        </w:rPr>
        <w:t xml:space="preserve">إمّا جزء خارجی.</w:t>
      </w:r>
    </w:p>
    <w:p>
      <w:pPr>
        <w:pStyle w:val="BookText"/>
      </w:pPr>
      <w:r>
        <w:rPr>
          <w:rFonts w:ascii="IRNazanin" w:hAnsi="IRNazanin" w:eastAsia="IRNazanin" w:cs="IRNazanin"/>
          <w:lang w:bidi="fa-IR"/>
          <w:color w:val="111111"/>
          <w:sz w:val="28"/>
          <w:szCs w:val="28"/>
          <w:rtl/>
        </w:rPr>
        <w:t xml:space="preserve">أو جزء ذهنی و هو القید،و هو علی قسمین:</w:t>
      </w:r>
    </w:p>
    <w:p>
      <w:pPr>
        <w:pStyle w:val="BookText"/>
      </w:pPr>
      <w:r>
        <w:rPr>
          <w:rFonts w:ascii="IRNazanin" w:hAnsi="IRNazanin" w:eastAsia="IRNazanin" w:cs="IRNazanin"/>
          <w:lang w:bidi="fa-IR"/>
          <w:color w:val="111111"/>
          <w:sz w:val="28"/>
          <w:szCs w:val="28"/>
          <w:rtl/>
        </w:rPr>
        <w:t xml:space="preserve">لأنّ القید إمّا منتزع من أمر خارجیّ مغایر للمأمور به فی الوجود الخارجی،فمرجع </w:t>
      </w:r>
      <w:r>
        <w:rPr>
          <w:rStyle w:val="FootnoteReference"/>
        </w:rPr>
        <w:footnoteReference w:id="976"/>
      </w:r>
      <w:r>
        <w:rPr>
          <w:rFonts w:ascii="IRNazanin" w:hAnsi="IRNazanin" w:eastAsia="IRNazanin" w:cs="IRNazanin"/>
          <w:lang w:bidi="fa-IR"/>
          <w:color w:val="111111"/>
          <w:sz w:val="28"/>
          <w:szCs w:val="28"/>
          <w:rtl/>
        </w:rPr>
        <w:t xml:space="preserve">اعتبار ذلک القید إلی إیجاب ذلک الأمر الخارجی،کالوضوء الذی یصیر منشأ للطهارة المقیّد بها الصلاة.</w:t>
      </w:r>
    </w:p>
    <w:p>
      <w:pPr>
        <w:pStyle w:val="BookText"/>
      </w:pPr>
      <w:r>
        <w:rPr>
          <w:rFonts w:ascii="IRNazanin" w:hAnsi="IRNazanin" w:eastAsia="IRNazanin" w:cs="IRNazanin"/>
          <w:lang w:bidi="fa-IR"/>
          <w:color w:val="111111"/>
          <w:sz w:val="28"/>
          <w:szCs w:val="28"/>
          <w:rtl/>
        </w:rPr>
        <w:t xml:space="preserve">و إمّا خصوصیّة متّحدة فی الوجود مع المأمور به،کما إذا دار الأمر بین وجوب مطلق الرقبة أو رقبة خاصّة،و من ذلک دوران الأمر بین إحدی الخصال و بین واحدة معیّنة منها.</w:t>
      </w:r>
    </w:p>
    <w:p>
      <w:pPr>
        <w:pStyle w:val="BookText"/>
      </w:pPr>
      <w:r>
        <w:rPr>
          <w:rFonts w:ascii="IRNazanin" w:hAnsi="IRNazanin" w:eastAsia="IRNazanin" w:cs="IRNazanin"/>
          <w:lang w:bidi="fa-IR"/>
          <w:color w:val="111111"/>
          <w:sz w:val="28"/>
          <w:szCs w:val="28"/>
          <w:rtl/>
        </w:rPr>
        <w:t xml:space="preserve">و الکلام فی کلّ من القسمین </w:t>
      </w:r>
      <w:r>
        <w:rPr>
          <w:rStyle w:val="FootnoteReference"/>
        </w:rPr>
        <w:footnoteReference w:id="977"/>
      </w:r>
      <w:r>
        <w:rPr>
          <w:rFonts w:ascii="IRNazanin" w:hAnsi="IRNazanin" w:eastAsia="IRNazanin" w:cs="IRNazanin"/>
          <w:lang w:bidi="fa-IR"/>
          <w:color w:val="111111"/>
          <w:sz w:val="28"/>
          <w:szCs w:val="28"/>
          <w:rtl/>
        </w:rPr>
        <w:t xml:space="preserve">فی أربع مسائل:</w:t>
      </w:r>
    </w:p>
    <w:p>
      <w:pPr>
        <w:pStyle w:val="BookText"/>
      </w:pPr>
      <w:r>
        <w:rPr>
          <w:rFonts w:ascii="IRNazanin" w:hAnsi="IRNazanin" w:eastAsia="IRNazanin" w:cs="IRNazanin"/>
          <w:lang w:bidi="fa-IR"/>
          <w:color w:val="111111"/>
          <w:sz w:val="28"/>
          <w:szCs w:val="28"/>
          <w:rtl/>
        </w:rPr>
        <w:t xml:space="preserve">[شماره صفحه واقعی : 315]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207" w:name="pg14411_142705"/>
    <w:bookmarkEnd w:id="207"/>
    <w:p>
      <w:pPr>
        <w:pStyle w:val="Heading6"/>
      </w:pPr>
      <w:bookmarkStart w:id="1381" w:name="_Toc416"/>
      <w:r>
        <w:t>أمّا مسائل القسم الأوّل،و هو الشکّ فی الجزء الخارجیّ</w:t>
      </w:r>
      <w:bookmarkEnd w:id="1381"/>
    </w:p>
    <w:p>
      <w:pPr>
        <w:pStyle w:val="Heading6"/>
      </w:pPr>
      <w:bookmarkStart w:id="1382" w:name="_Toc417"/>
      <w:r>
        <w:t>فالاولی منها أن یکون ذلک مع عدم النصّ المعتبر فی المسألة</w:t>
      </w:r>
      <w:bookmarkEnd w:id="1382"/>
    </w:p>
    <w:p>
      <w:pPr>
        <w:pStyle w:val="Heading6"/>
      </w:pPr>
      <w:bookmarkStart w:id="1383" w:name="_Toc418"/>
      <w:r>
        <w:t>اشارة</w:t>
      </w:r>
      <w:bookmarkEnd w:id="1383"/>
    </w:p>
    <w:p>
      <w:pPr>
        <w:pStyle w:val="BookText"/>
      </w:pPr>
      <w:r>
        <w:rPr>
          <w:rFonts w:ascii="IRNazanin" w:hAnsi="IRNazanin" w:eastAsia="IRNazanin" w:cs="IRNazanin"/>
          <w:lang w:bidi="fa-IR"/>
          <w:color w:val="111111"/>
          <w:sz w:val="28"/>
          <w:szCs w:val="28"/>
          <w:rtl/>
        </w:rPr>
        <w:t xml:space="preserve">فیکون ناشئا من ذهاب جماعة إلی جزئیّة الأمر الفلانیّ،کالاستعاذة قبل القراءة فی الرکعة الاولی-مثلا-علی ما ذهب إلیه بعض فقهائنا </w:t>
      </w:r>
      <w:r>
        <w:rPr>
          <w:rStyle w:val="FootnoteReference"/>
        </w:rPr>
        <w:footnoteReference w:id="9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اختلف فی وجوب الاحتیاط هنا،فصرّح بعض متأخّری المتأخّرین بوجوبه </w:t>
      </w:r>
      <w:r>
        <w:rPr>
          <w:rStyle w:val="FootnoteReference"/>
        </w:rPr>
        <w:footnoteReference w:id="979"/>
      </w:r>
      <w:r>
        <w:rPr>
          <w:rFonts w:ascii="IRNazanin" w:hAnsi="IRNazanin" w:eastAsia="IRNazanin" w:cs="IRNazanin"/>
          <w:lang w:bidi="fa-IR"/>
          <w:color w:val="111111"/>
          <w:sz w:val="28"/>
          <w:szCs w:val="28"/>
          <w:rtl/>
        </w:rPr>
        <w:t xml:space="preserve">،و ربما یظهر من کلام بعض القدماء کالسیّد </w:t>
      </w:r>
      <w:r>
        <w:rPr>
          <w:rStyle w:val="FootnoteReference"/>
        </w:rPr>
        <w:footnoteReference w:id="980"/>
      </w:r>
      <w:r>
        <w:rPr>
          <w:rFonts w:ascii="IRNazanin" w:hAnsi="IRNazanin" w:eastAsia="IRNazanin" w:cs="IRNazanin"/>
          <w:lang w:bidi="fa-IR"/>
          <w:color w:val="111111"/>
          <w:sz w:val="28"/>
          <w:szCs w:val="28"/>
          <w:rtl/>
        </w:rPr>
        <w:t xml:space="preserve">و الشیخ </w:t>
      </w:r>
      <w:r>
        <w:rPr>
          <w:rStyle w:val="FootnoteReference"/>
        </w:rPr>
        <w:footnoteReference w:id="981"/>
      </w:r>
      <w:r>
        <w:rPr>
          <w:rFonts w:ascii="IRNazanin" w:hAnsi="IRNazanin" w:eastAsia="IRNazanin" w:cs="IRNazanin"/>
          <w:lang w:bidi="fa-IR"/>
          <w:color w:val="111111"/>
          <w:sz w:val="28"/>
          <w:szCs w:val="28"/>
          <w:rtl/>
        </w:rPr>
        <w:t xml:space="preserve">،لکن لم یعلم کونه مذهبا لهما،بل ظاهر کلماتهم </w:t>
      </w:r>
      <w:r>
        <w:rPr>
          <w:rStyle w:val="FootnoteReference"/>
        </w:rPr>
        <w:footnoteReference w:id="982"/>
      </w:r>
      <w:r>
        <w:rPr>
          <w:rFonts w:ascii="IRNazanin" w:hAnsi="IRNazanin" w:eastAsia="IRNazanin" w:cs="IRNazanin"/>
          <w:lang w:bidi="fa-IR"/>
          <w:color w:val="111111"/>
          <w:sz w:val="28"/>
          <w:szCs w:val="28"/>
          <w:rtl/>
        </w:rPr>
        <w:t xml:space="preserve">الأخر</w:t>
      </w:r>
    </w:p>
    <w:p>
      <w:pPr>
        <w:pStyle w:val="BookText"/>
      </w:pPr>
      <w:r>
        <w:rPr>
          <w:rFonts w:ascii="IRNazanin" w:hAnsi="IRNazanin" w:eastAsia="IRNazanin" w:cs="IRNazanin"/>
          <w:lang w:bidi="fa-IR"/>
          <w:color w:val="111111"/>
          <w:sz w:val="28"/>
          <w:szCs w:val="28"/>
          <w:rtl/>
        </w:rPr>
        <w:t xml:space="preserve">[شماره صفحه واقعی : 316]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208" w:name="pg14411_142706"/>
    <w:bookmarkEnd w:id="208"/>
    <w:p>
      <w:pPr>
        <w:pStyle w:val="BookText"/>
      </w:pPr>
      <w:r>
        <w:rPr>
          <w:rFonts w:ascii="IRNazanin" w:hAnsi="IRNazanin" w:eastAsia="IRNazanin" w:cs="IRNazanin"/>
          <w:lang w:bidi="fa-IR"/>
          <w:color w:val="111111"/>
          <w:sz w:val="28"/>
          <w:szCs w:val="28"/>
          <w:rtl/>
        </w:rPr>
        <w:t xml:space="preserve">خلافه </w:t>
      </w:r>
      <w:r>
        <w:rPr>
          <w:rStyle w:val="FootnoteReference"/>
        </w:rPr>
        <w:footnoteReference w:id="9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صریح جماعة إجراء أصالة البراءة و عدم وجوب الاحتیاط،</w:t>
      </w:r>
    </w:p>
    <w:p>
      <w:pPr>
        <w:pStyle w:val="Heading6"/>
      </w:pPr>
      <w:bookmarkStart w:id="1384" w:name="_Toc419"/>
      <w:r>
        <w:t>[المشهور إجراء أصالة البراءة فی المسألة]</w:t>
      </w:r>
      <w:bookmarkEnd w:id="1384"/>
    </w:p>
    <w:p>
      <w:pPr>
        <w:pStyle w:val="Heading6"/>
      </w:pPr>
      <w:bookmarkStart w:id="1385" w:name="_Toc420"/>
      <w:r>
        <w:t>اشارة</w:t>
      </w:r>
      <w:bookmarkEnd w:id="1385"/>
    </w:p>
    <w:p>
      <w:pPr>
        <w:pStyle w:val="BookText"/>
      </w:pPr>
      <w:r>
        <w:rPr>
          <w:rFonts w:ascii="IRNazanin" w:hAnsi="IRNazanin" w:eastAsia="IRNazanin" w:cs="IRNazanin"/>
          <w:lang w:bidi="fa-IR"/>
          <w:color w:val="111111"/>
          <w:sz w:val="28"/>
          <w:szCs w:val="28"/>
          <w:rtl/>
        </w:rPr>
        <w:t xml:space="preserve">و الظاهر:أنّه المشهور بین العامّة </w:t>
      </w:r>
      <w:r>
        <w:rPr>
          <w:rStyle w:val="FootnoteReference"/>
        </w:rPr>
        <w:footnoteReference w:id="984"/>
      </w:r>
      <w:r>
        <w:rPr>
          <w:rFonts w:ascii="IRNazanin" w:hAnsi="IRNazanin" w:eastAsia="IRNazanin" w:cs="IRNazanin"/>
          <w:lang w:bidi="fa-IR"/>
          <w:color w:val="111111"/>
          <w:sz w:val="28"/>
          <w:szCs w:val="28"/>
          <w:rtl/>
        </w:rPr>
        <w:t xml:space="preserve">و الخاصّة،المتقدّمین منهم و المتأخّرین، کما یظهر من تتبّع کتب القوم،کالخلاف </w:t>
      </w:r>
      <w:r>
        <w:rPr>
          <w:rStyle w:val="FootnoteReference"/>
        </w:rPr>
        <w:footnoteReference w:id="985"/>
      </w:r>
      <w:r>
        <w:rPr>
          <w:rFonts w:ascii="IRNazanin" w:hAnsi="IRNazanin" w:eastAsia="IRNazanin" w:cs="IRNazanin"/>
          <w:lang w:bidi="fa-IR"/>
          <w:color w:val="111111"/>
          <w:sz w:val="28"/>
          <w:szCs w:val="28"/>
          <w:rtl/>
        </w:rPr>
        <w:t xml:space="preserve">و السرائر </w:t>
      </w:r>
      <w:r>
        <w:rPr>
          <w:rStyle w:val="FootnoteReference"/>
        </w:rPr>
        <w:footnoteReference w:id="986"/>
      </w:r>
      <w:r>
        <w:rPr>
          <w:rFonts w:ascii="IRNazanin" w:hAnsi="IRNazanin" w:eastAsia="IRNazanin" w:cs="IRNazanin"/>
          <w:lang w:bidi="fa-IR"/>
          <w:color w:val="111111"/>
          <w:sz w:val="28"/>
          <w:szCs w:val="28"/>
          <w:rtl/>
        </w:rPr>
        <w:t xml:space="preserve">و کتب الفاضلین </w:t>
      </w:r>
      <w:r>
        <w:rPr>
          <w:rStyle w:val="FootnoteReference"/>
        </w:rPr>
        <w:footnoteReference w:id="987"/>
      </w:r>
      <w:r>
        <w:rPr>
          <w:rFonts w:ascii="IRNazanin" w:hAnsi="IRNazanin" w:eastAsia="IRNazanin" w:cs="IRNazanin"/>
          <w:lang w:bidi="fa-IR"/>
          <w:color w:val="111111"/>
          <w:sz w:val="28"/>
          <w:szCs w:val="28"/>
          <w:rtl/>
        </w:rPr>
        <w:t xml:space="preserve">و الشهیدین </w:t>
      </w:r>
      <w:r>
        <w:rPr>
          <w:rStyle w:val="FootnoteReference"/>
        </w:rPr>
        <w:footnoteReference w:id="988"/>
      </w:r>
      <w:r>
        <w:rPr>
          <w:rFonts w:ascii="IRNazanin" w:hAnsi="IRNazanin" w:eastAsia="IRNazanin" w:cs="IRNazanin"/>
          <w:lang w:bidi="fa-IR"/>
          <w:color w:val="111111"/>
          <w:sz w:val="28"/>
          <w:szCs w:val="28"/>
          <w:rtl/>
        </w:rPr>
        <w:t xml:space="preserve">و المحقّق الثانی </w:t>
      </w:r>
      <w:r>
        <w:rPr>
          <w:rStyle w:val="FootnoteReference"/>
        </w:rPr>
        <w:footnoteReference w:id="989"/>
      </w:r>
      <w:r>
        <w:rPr>
          <w:rFonts w:ascii="IRNazanin" w:hAnsi="IRNazanin" w:eastAsia="IRNazanin" w:cs="IRNazanin"/>
          <w:lang w:bidi="fa-IR"/>
          <w:color w:val="111111"/>
          <w:sz w:val="28"/>
          <w:szCs w:val="28"/>
          <w:rtl/>
        </w:rPr>
        <w:t xml:space="preserve">و من تأخّر عنهم </w:t>
      </w:r>
      <w:r>
        <w:rPr>
          <w:rStyle w:val="FootnoteReference"/>
        </w:rPr>
        <w:footnoteReference w:id="9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 الإنصاف:أنّه لم أعثر فی کلمات من تقدّم علی المحقّق السبزواریّ، علی من یلتزم بوجوب الاحتیاط فی الأجزاء و الشرائط و إن کان فیهم من یختلف کلامه فی ذلک،کالسیّد </w:t>
      </w:r>
      <w:r>
        <w:rPr>
          <w:rStyle w:val="FootnoteReference"/>
        </w:rPr>
        <w:footnoteReference w:id="991"/>
      </w:r>
      <w:r>
        <w:rPr>
          <w:rFonts w:ascii="IRNazanin" w:hAnsi="IRNazanin" w:eastAsia="IRNazanin" w:cs="IRNazanin"/>
          <w:lang w:bidi="fa-IR"/>
          <w:color w:val="111111"/>
          <w:sz w:val="28"/>
          <w:szCs w:val="28"/>
          <w:rtl/>
        </w:rPr>
        <w:t xml:space="preserve">و الشیخ </w:t>
      </w:r>
      <w:r>
        <w:rPr>
          <w:rStyle w:val="FootnoteReference"/>
        </w:rPr>
        <w:footnoteReference w:id="992"/>
      </w:r>
      <w:r>
        <w:rPr>
          <w:rFonts w:ascii="IRNazanin" w:hAnsi="IRNazanin" w:eastAsia="IRNazanin" w:cs="IRNazanin"/>
          <w:lang w:bidi="fa-IR"/>
          <w:color w:val="111111"/>
          <w:sz w:val="28"/>
          <w:szCs w:val="28"/>
          <w:rtl/>
        </w:rPr>
        <w:t xml:space="preserve">و الشهید </w:t>
      </w:r>
      <w:r>
        <w:rPr>
          <w:rStyle w:val="FootnoteReference"/>
        </w:rPr>
        <w:footnoteReference w:id="993"/>
      </w:r>
      <w:r>
        <w:rPr>
          <w:rFonts w:ascii="Amiri" w:hAnsi="Amiri" w:eastAsia="Amiri" w:cs="Amiri"/>
          <w:lang w:bidi="ar-SA"/>
          <w:color w:val="111111"/>
          <w:sz w:val="28"/>
          <w:szCs w:val="28"/>
          <w:rtl/>
        </w:rPr>
        <w:t xml:space="preserve">قدّس سرّهم.</w:t>
      </w:r>
    </w:p>
    <w:p>
      <w:pPr>
        <w:pStyle w:val="BookText"/>
      </w:pPr>
      <w:r>
        <w:rPr>
          <w:rFonts w:ascii="IRNazanin" w:hAnsi="IRNazanin" w:eastAsia="IRNazanin" w:cs="IRNazanin"/>
          <w:lang w:bidi="fa-IR"/>
          <w:color w:val="111111"/>
          <w:sz w:val="28"/>
          <w:szCs w:val="28"/>
          <w:rtl/>
        </w:rPr>
        <w:t xml:space="preserve">و کیف کان:فالمختار جریان أصل البراءة.</w:t>
      </w:r>
    </w:p>
    <w:p>
      <w:pPr>
        <w:pStyle w:val="BookText"/>
      </w:pPr>
      <w:r>
        <w:rPr>
          <w:rFonts w:ascii="IRNazanin" w:hAnsi="IRNazanin" w:eastAsia="IRNazanin" w:cs="IRNazanin"/>
          <w:lang w:bidi="fa-IR"/>
          <w:color w:val="111111"/>
          <w:sz w:val="28"/>
          <w:szCs w:val="28"/>
          <w:rtl/>
        </w:rPr>
        <w:t xml:space="preserve">[شماره صفحه واقعی : 317]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209" w:name="pg14411_142707"/>
    <w:bookmarkEnd w:id="209"/>
    <w:p>
      <w:pPr>
        <w:pStyle w:val="BookText"/>
      </w:pPr>
      <w:r>
        <w:rPr>
          <w:rFonts w:ascii="IRNazanin" w:hAnsi="IRNazanin" w:eastAsia="IRNazanin" w:cs="IRNazanin"/>
          <w:lang w:bidi="fa-IR"/>
          <w:color w:val="111111"/>
          <w:sz w:val="28"/>
          <w:szCs w:val="28"/>
          <w:rtl/>
        </w:rPr>
        <w:t xml:space="preserve">لنا علی ذلک:حکم العقل و ما ورد من النقل.</w:t>
      </w:r>
    </w:p>
    <w:p>
      <w:pPr>
        <w:pStyle w:val="Heading6"/>
      </w:pPr>
      <w:bookmarkStart w:id="1386" w:name="_Toc421"/>
      <w:r>
        <w:t>[الاستدلال علیه من العقل]</w:t>
      </w:r>
      <w:bookmarkEnd w:id="1386"/>
    </w:p>
    <w:p>
      <w:pPr>
        <w:pStyle w:val="BookText"/>
      </w:pPr>
      <w:r>
        <w:rPr>
          <w:rFonts w:ascii="IRNazanin" w:hAnsi="IRNazanin" w:eastAsia="IRNazanin" w:cs="IRNazanin"/>
          <w:lang w:bidi="fa-IR"/>
          <w:color w:val="111111"/>
          <w:sz w:val="28"/>
          <w:szCs w:val="28"/>
          <w:rtl/>
        </w:rPr>
        <w:t xml:space="preserve">أمّا العقل:فلاستقلاله بقبح مؤاخذة من کلّف بمرکّب لم یعلم من أجزائه إلاّ عدّة أجزاء،و یشکّ فی أنّه هو هذا أو له جزء آخر و هو الشیء الفلانیّ،ثمّ بذل جهده فی طلب الدلیل علی جزئیّة ذلک الأمر فلم یقتدر،فأتی بما علم و ترک المشکوک،خصوصا مع اعتراف المولی بأنّی ما نصبت لک علیه دلالة،فإنّ القائل بوجوب الاحتیاط لا ینبغی أن یفرّق فی وجوبه بین أن یکون الآمر لم ینصب دلیلا أو نصب و اختفی،غایة الأمر:أنّ ترک النصب من الآمر قبیح،و هذا لا یرفع التکلیف بالاحتیاط عن المکلّف.</w:t>
      </w:r>
    </w:p>
    <w:p>
      <w:pPr>
        <w:pStyle w:val="BookText"/>
      </w:pPr>
      <w:r>
        <w:rPr>
          <w:rFonts w:ascii="IRNazanin" w:hAnsi="IRNazanin" w:eastAsia="IRNazanin" w:cs="IRNazanin"/>
          <w:lang w:bidi="fa-IR"/>
          <w:color w:val="111111"/>
          <w:sz w:val="28"/>
          <w:szCs w:val="28"/>
          <w:rtl/>
        </w:rPr>
        <w:t xml:space="preserve">فإن قلت:إنّ بناء العقلاء علی وجوب الاحتیاط فی الأوامر العرفیّة الصادرة من الأطبّاء أو الموالی؛فإنّ الطبیب إذا أمر المریض بترکیب معجون فشکّ فی جزئیّة شیء له مع العلم بأنّه غیر ضارّ له، فترکه المریض مع قدرته علیه،استحقّ اللوم.و کذا المولی إذا أمر عبده بذلک.</w:t>
      </w:r>
    </w:p>
    <w:p>
      <w:pPr>
        <w:pStyle w:val="BookText"/>
      </w:pPr>
      <w:r>
        <w:rPr>
          <w:rFonts w:ascii="IRNazanin" w:hAnsi="IRNazanin" w:eastAsia="IRNazanin" w:cs="IRNazanin"/>
          <w:lang w:bidi="fa-IR"/>
          <w:color w:val="111111"/>
          <w:sz w:val="28"/>
          <w:szCs w:val="28"/>
          <w:rtl/>
        </w:rPr>
        <w:t xml:space="preserve">قلت:أمّا أوامر الطبیب،فهی إرشادیّة لیس المطلوب فیها إلاّ إحراز الخاصیّة المترتّبة علی ذات المأمور به،و لا نتکلّم فیها من حیث الإطاعة و المعصیة؛و لذا لو کان بیان ذلک الدواء بجملة خبریّة غیر طلبیّة </w:t>
      </w:r>
      <w:r>
        <w:rPr>
          <w:rStyle w:val="FootnoteReference"/>
        </w:rPr>
        <w:footnoteReference w:id="994"/>
      </w:r>
      <w:r>
        <w:rPr>
          <w:rFonts w:ascii="IRNazanin" w:hAnsi="IRNazanin" w:eastAsia="IRNazanin" w:cs="IRNazanin"/>
          <w:lang w:bidi="fa-IR"/>
          <w:color w:val="111111"/>
          <w:sz w:val="28"/>
          <w:szCs w:val="28"/>
          <w:rtl/>
        </w:rPr>
        <w:t xml:space="preserve">،کان اللازم مراعاة الاحتیاط فیها و إن لم یترتّب علی مخالفته و موافقته ثواب أو عقاب،و الکلام فی المسألة من حیث قبح عقاب الآمر علی مخالفة المجهول و عدمه.</w:t>
      </w:r>
    </w:p>
    <w:p>
      <w:pPr>
        <w:pStyle w:val="BookText"/>
      </w:pPr>
      <w:r>
        <w:rPr>
          <w:rFonts w:ascii="IRNazanin" w:hAnsi="IRNazanin" w:eastAsia="IRNazanin" w:cs="IRNazanin"/>
          <w:lang w:bidi="fa-IR"/>
          <w:color w:val="111111"/>
          <w:sz w:val="28"/>
          <w:szCs w:val="28"/>
          <w:rtl/>
        </w:rPr>
        <w:t xml:space="preserve">[شماره صفحه واقعی : 318]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210" w:name="pg14411_142708"/>
    <w:bookmarkEnd w:id="210"/>
    <w:p>
      <w:pPr>
        <w:pStyle w:val="Heading6"/>
      </w:pPr>
      <w:bookmarkStart w:id="1387" w:name="_Toc422"/>
      <w:r>
        <w:t>[قبح المؤاخذة إذا عجز العبد عن تحصیل العلم بجزء]</w:t>
      </w:r>
      <w:bookmarkEnd w:id="1387"/>
    </w:p>
    <w:p>
      <w:pPr>
        <w:pStyle w:val="BookText"/>
      </w:pPr>
      <w:r>
        <w:rPr>
          <w:rFonts w:ascii="IRNazanin" w:hAnsi="IRNazanin" w:eastAsia="IRNazanin" w:cs="IRNazanin"/>
          <w:lang w:bidi="fa-IR"/>
          <w:color w:val="111111"/>
          <w:sz w:val="28"/>
          <w:szCs w:val="28"/>
          <w:rtl/>
        </w:rPr>
        <w:t xml:space="preserve">و أمّا أوامر الموالی الصادرة بقصد الإطاعة،فنلتزم </w:t>
      </w:r>
      <w:r>
        <w:rPr>
          <w:rStyle w:val="FootnoteReference"/>
        </w:rPr>
        <w:footnoteReference w:id="995"/>
      </w:r>
      <w:r>
        <w:rPr>
          <w:rFonts w:ascii="IRNazanin" w:hAnsi="IRNazanin" w:eastAsia="IRNazanin" w:cs="IRNazanin"/>
          <w:lang w:bidi="fa-IR"/>
          <w:color w:val="111111"/>
          <w:sz w:val="28"/>
          <w:szCs w:val="28"/>
          <w:rtl/>
        </w:rPr>
        <w:t xml:space="preserve">فیها بقبح المؤاخذة إذا عجز العبد عن تحصیل العلم بجزء فاطّلع علیه المولی و قدر علی رفع جهله و لو علی بعض الوجوه الغیر المتعارفة إلاّ أنّه اکتفی بالبیان المتعارف فاختفی علی العبد لبعض العوارض.</w:t>
      </w:r>
    </w:p>
    <w:p>
      <w:pPr>
        <w:pStyle w:val="BookText"/>
      </w:pPr>
      <w:r>
        <w:rPr>
          <w:rFonts w:ascii="IRNazanin" w:hAnsi="IRNazanin" w:eastAsia="IRNazanin" w:cs="IRNazanin"/>
          <w:lang w:bidi="fa-IR"/>
          <w:color w:val="111111"/>
          <w:sz w:val="28"/>
          <w:szCs w:val="28"/>
          <w:rtl/>
        </w:rPr>
        <w:t xml:space="preserve">نعم،قد یأمر المولی بمرکّب یعلم أنّ المقصود منه تحصیل عنوان یشکّ فی حصوله إذا أتی بذلک المرکّب بدون ذلک الجزء المشکوک،کما إذا أمر بمعجون و علم أنّ المقصود منه إسهال الصفراء،بحیث کان هو المأمور به فی الحقیقة أو علم أنّه الغرض من المأمور به،فإنّ تحصیل العلم بإتیان المأمور به لازم،کما سیجیء فی المسألة الرابعة </w:t>
      </w:r>
      <w:r>
        <w:rPr>
          <w:rStyle w:val="FootnoteReference"/>
        </w:rPr>
        <w:footnoteReference w:id="9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قلت:إنّ الأوامر الشرعیّة کلّها من هذا القبیل؛لابتنائها علی مصالح فی المأمور به،فالمصلحة فیها إمّا من قبیل العنوان فی المأمور به أو من قبیل الغرض.</w:t>
      </w:r>
    </w:p>
    <w:p>
      <w:pPr>
        <w:pStyle w:val="BookText"/>
      </w:pPr>
      <w:r>
        <w:rPr>
          <w:rFonts w:ascii="IRNazanin" w:hAnsi="IRNazanin" w:eastAsia="IRNazanin" w:cs="IRNazanin"/>
          <w:lang w:bidi="fa-IR"/>
          <w:color w:val="111111"/>
          <w:sz w:val="28"/>
          <w:szCs w:val="28"/>
          <w:rtl/>
        </w:rPr>
        <w:t xml:space="preserve">و بتقریر آخر:المشهور بین العدلیّة أنّ الواجبات الشرعیّة إنّما وجبت لکونها ألطافا فی الواجبات العقلیّة،فاللطف إمّا هو المأمور به حقیقة أو غرض للآمر،فیجب تحصیل العلم بحصول اللطف،و لا یحصل إلاّ بإتیان کلّ ما شکّ فی مدخلیّته.</w:t>
      </w:r>
    </w:p>
    <w:p>
      <w:pPr>
        <w:pStyle w:val="Heading6"/>
      </w:pPr>
      <w:bookmarkStart w:id="1388" w:name="_Toc423"/>
      <w:r>
        <w:t>[عدم ابتناء مسألة البراءة و الاحتیاط علی مسألة اللطف]</w:t>
      </w:r>
      <w:bookmarkEnd w:id="1388"/>
    </w:p>
    <w:p>
      <w:pPr>
        <w:pStyle w:val="BookText"/>
      </w:pPr>
      <w:r>
        <w:rPr>
          <w:rFonts w:ascii="IRNazanin" w:hAnsi="IRNazanin" w:eastAsia="IRNazanin" w:cs="IRNazanin"/>
          <w:lang w:bidi="fa-IR"/>
          <w:color w:val="111111"/>
          <w:sz w:val="28"/>
          <w:szCs w:val="28"/>
          <w:rtl/>
        </w:rPr>
        <w:t xml:space="preserve">قلت:أوّلا:مسألة البراءة و الاحتیاط غیر مبنیّة </w:t>
      </w:r>
      <w:r>
        <w:rPr>
          <w:rStyle w:val="FootnoteReference"/>
        </w:rPr>
        <w:footnoteReference w:id="997"/>
      </w:r>
      <w:r>
        <w:rPr>
          <w:rFonts w:ascii="IRNazanin" w:hAnsi="IRNazanin" w:eastAsia="IRNazanin" w:cs="IRNazanin"/>
          <w:lang w:bidi="fa-IR"/>
          <w:color w:val="111111"/>
          <w:sz w:val="28"/>
          <w:szCs w:val="28"/>
          <w:rtl/>
        </w:rPr>
        <w:t xml:space="preserve">علی کون کلّ واجب فیه مصلحة و هو لطف فی غیره،فنحن نتکلّم فیها علی مذهب</w:t>
      </w:r>
    </w:p>
    <w:p>
      <w:pPr>
        <w:pStyle w:val="BookText"/>
      </w:pPr>
      <w:r>
        <w:rPr>
          <w:rFonts w:ascii="IRNazanin" w:hAnsi="IRNazanin" w:eastAsia="IRNazanin" w:cs="IRNazanin"/>
          <w:lang w:bidi="fa-IR"/>
          <w:color w:val="111111"/>
          <w:sz w:val="28"/>
          <w:szCs w:val="28"/>
          <w:rtl/>
        </w:rPr>
        <w:t xml:space="preserve">[شماره صفحه واقعی : 319]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211" w:name="pg14411_142709"/>
    <w:bookmarkEnd w:id="211"/>
    <w:p>
      <w:pPr>
        <w:pStyle w:val="BookText"/>
      </w:pPr>
      <w:r>
        <w:rPr>
          <w:rFonts w:ascii="IRNazanin" w:hAnsi="IRNazanin" w:eastAsia="IRNazanin" w:cs="IRNazanin"/>
          <w:lang w:bidi="fa-IR"/>
          <w:color w:val="111111"/>
          <w:sz w:val="28"/>
          <w:szCs w:val="28"/>
          <w:rtl/>
        </w:rPr>
        <w:t xml:space="preserve">الأشاعرة المنکرین للحسن و القبح </w:t>
      </w:r>
      <w:r>
        <w:rPr>
          <w:rStyle w:val="FootnoteReference"/>
        </w:rPr>
        <w:footnoteReference w:id="998"/>
      </w:r>
      <w:r>
        <w:rPr>
          <w:rFonts w:ascii="IRNazanin" w:hAnsi="IRNazanin" w:eastAsia="IRNazanin" w:cs="IRNazanin"/>
          <w:lang w:bidi="fa-IR"/>
          <w:color w:val="111111"/>
          <w:sz w:val="28"/>
          <w:szCs w:val="28"/>
          <w:rtl/>
        </w:rPr>
        <w:t xml:space="preserve">،أو </w:t>
      </w:r>
      <w:r>
        <w:rPr>
          <w:rStyle w:val="FootnoteReference"/>
        </w:rPr>
        <w:footnoteReference w:id="999"/>
      </w:r>
      <w:r>
        <w:rPr>
          <w:rFonts w:ascii="IRNazanin" w:hAnsi="IRNazanin" w:eastAsia="IRNazanin" w:cs="IRNazanin"/>
          <w:lang w:bidi="fa-IR"/>
          <w:color w:val="111111"/>
          <w:sz w:val="28"/>
          <w:szCs w:val="28"/>
          <w:rtl/>
        </w:rPr>
        <w:t xml:space="preserve">مذهب بعض العدلیّة المکتفین بوجود المصلحة فی الأمر و إن لم یکن فی المأمور به </w:t>
      </w:r>
      <w:r>
        <w:rPr>
          <w:rStyle w:val="FootnoteReference"/>
        </w:rPr>
        <w:footnoteReference w:id="1000"/>
      </w:r>
      <w:r>
        <w:rPr>
          <w:rFonts w:ascii="Times New Roman" w:hAnsi="Times New Roman" w:eastAsia="Times New Roman" w:cs="Times New Roman"/>
          <w:lang w:val="en-US" w:bidi="en-US"/>
          <w:color w:val="111111"/>
          <w:sz w:val="28"/>
          <w:szCs w:val="28"/>
          <w:rtl/>
        </w:rPr>
        <w:t xml:space="preserve">.</w:t>
      </w:r>
    </w:p>
    <w:p>
      <w:pPr>
        <w:pStyle w:val="Heading6"/>
      </w:pPr>
      <w:bookmarkStart w:id="1389" w:name="_Toc424"/>
      <w:r>
        <w:t>[اللطف إنّما هو فی الإتیان علی وجه الامتثال]</w:t>
      </w:r>
      <w:bookmarkEnd w:id="1389"/>
    </w:p>
    <w:p>
      <w:pPr>
        <w:pStyle w:val="BookText"/>
      </w:pPr>
      <w:r>
        <w:rPr>
          <w:rFonts w:ascii="IRNazanin" w:hAnsi="IRNazanin" w:eastAsia="IRNazanin" w:cs="IRNazanin"/>
          <w:lang w:bidi="fa-IR"/>
          <w:color w:val="111111"/>
          <w:sz w:val="28"/>
          <w:szCs w:val="28"/>
          <w:rtl/>
        </w:rPr>
        <w:t xml:space="preserve">و ثانیا:إنّ نفس الفعل من حیث هو،لیس لطفا؛و لذا لو اتی به لا علی وجه الامتثال لم یصحّ و لم یترتّب علیه لطف و لا أثر آخر من آثار العبادة الصحیحة،بل اللطف إنّما هو فی الإتیان به علی وجه الامتثال،و حینئذ:فیحتمل أن یکون اللطف منحصرا فی امتثاله التفصیلی مع معرفة وجه الفعل لیوقع الفعل علی وجهه-فإنّ من صرّح من العدلیّة </w:t>
      </w:r>
      <w:r>
        <w:rPr>
          <w:rStyle w:val="FootnoteReference"/>
        </w:rPr>
        <w:footnoteReference w:id="1001"/>
      </w:r>
      <w:r>
        <w:rPr>
          <w:rFonts w:ascii="IRNazanin" w:hAnsi="IRNazanin" w:eastAsia="IRNazanin" w:cs="IRNazanin"/>
          <w:lang w:bidi="fa-IR"/>
          <w:color w:val="111111"/>
          <w:sz w:val="28"/>
          <w:szCs w:val="28"/>
          <w:rtl/>
        </w:rPr>
        <w:t xml:space="preserve">بکون العبادات السمعیّة إنّما وجبت لکونها ألطافا فی الواجبات العقلیّة،قد صرّح بوجوب إیقاع الواجب علی وجهه و وجوب اقترانه به-و هذا متعذّر فیما نحن فیه؛لأنّ الآتی بالأکثر لا یعلم أنّه الواجب أو الأقلّ المتحقّق فی ضمنه؛و لذا صرّح بعضهم کالعلاّمة رحمه اللّه </w:t>
      </w:r>
      <w:r>
        <w:rPr>
          <w:rStyle w:val="FootnoteReference"/>
        </w:rPr>
        <w:footnoteReference w:id="1002"/>
      </w:r>
      <w:r>
        <w:rPr>
          <w:rFonts w:ascii="IRNazanin" w:hAnsi="IRNazanin" w:eastAsia="IRNazanin" w:cs="IRNazanin"/>
          <w:lang w:bidi="fa-IR"/>
          <w:color w:val="111111"/>
          <w:sz w:val="28"/>
          <w:szCs w:val="28"/>
          <w:rtl/>
        </w:rPr>
        <w:t xml:space="preserve">و یظهر من آخر منهم </w:t>
      </w:r>
      <w:r>
        <w:rPr>
          <w:rStyle w:val="FootnoteReference"/>
        </w:rPr>
        <w:footnoteReference w:id="1003"/>
      </w:r>
      <w:r>
        <w:rPr>
          <w:rFonts w:ascii="IRNazanin" w:hAnsi="IRNazanin" w:eastAsia="IRNazanin" w:cs="IRNazanin"/>
          <w:lang w:bidi="fa-IR"/>
          <w:color w:val="111111"/>
          <w:sz w:val="28"/>
          <w:szCs w:val="28"/>
          <w:rtl/>
        </w:rPr>
        <w:t xml:space="preserve">:وجوب تمیّز الأجزاء الواجبة من المستحبّات لیوقع کلا علی وجهه.</w:t>
      </w:r>
    </w:p>
    <w:p>
      <w:pPr>
        <w:pStyle w:val="BookText"/>
      </w:pPr>
      <w:r>
        <w:rPr>
          <w:rFonts w:ascii="IRNazanin" w:hAnsi="IRNazanin" w:eastAsia="IRNazanin" w:cs="IRNazanin"/>
          <w:lang w:bidi="fa-IR"/>
          <w:color w:val="111111"/>
          <w:sz w:val="28"/>
          <w:szCs w:val="28"/>
          <w:rtl/>
        </w:rPr>
        <w:t xml:space="preserve">[شماره صفحه واقعی : 320]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212" w:name="pg14411_142710"/>
    <w:bookmarkEnd w:id="212"/>
    <w:p>
      <w:pPr>
        <w:pStyle w:val="BookText"/>
      </w:pPr>
      <w:r>
        <w:rPr>
          <w:rFonts w:ascii="IRNazanin" w:hAnsi="IRNazanin" w:eastAsia="IRNazanin" w:cs="IRNazanin"/>
          <w:lang w:bidi="fa-IR"/>
          <w:color w:val="111111"/>
          <w:sz w:val="28"/>
          <w:szCs w:val="28"/>
          <w:rtl/>
        </w:rPr>
        <w:t xml:space="preserve">و بالجملة:فحصول اللطف بالفعل المأتیّ به من الجاهل فیما نحن فیه غیر معلوم </w:t>
      </w:r>
      <w:r>
        <w:rPr>
          <w:rStyle w:val="FootnoteReference"/>
        </w:rPr>
        <w:footnoteReference w:id="1004"/>
      </w:r>
      <w:r>
        <w:rPr>
          <w:rFonts w:ascii="IRNazanin" w:hAnsi="IRNazanin" w:eastAsia="IRNazanin" w:cs="IRNazanin"/>
          <w:lang w:bidi="fa-IR"/>
          <w:color w:val="111111"/>
          <w:sz w:val="28"/>
          <w:szCs w:val="28"/>
          <w:rtl/>
        </w:rPr>
        <w:t xml:space="preserve">،بل ظاهرهم عدمه،فلم یبق علیه إلاّ التخلّص من تبعة مخالفة الأمر الموجّه </w:t>
      </w:r>
      <w:r>
        <w:rPr>
          <w:rStyle w:val="FootnoteReference"/>
        </w:rPr>
        <w:footnoteReference w:id="1005"/>
      </w:r>
      <w:r>
        <w:rPr>
          <w:rFonts w:ascii="IRNazanin" w:hAnsi="IRNazanin" w:eastAsia="IRNazanin" w:cs="IRNazanin"/>
          <w:lang w:bidi="fa-IR"/>
          <w:color w:val="111111"/>
          <w:sz w:val="28"/>
          <w:szCs w:val="28"/>
          <w:rtl/>
        </w:rPr>
        <w:t xml:space="preserve">إلیه؛فإنّ هذا واجب عقلیّ فی مقام الإطاعة و المعصیة،و لا دخل له بمسألة اللطف،بل هو جار علی فرض عدم اللطف و عدم المصلحة فی المأمور به رأسا،و هذا التخلّص یحصل بالإتیان بما یعلم أنّ مع ترکه یستحقّ العقاب و المؤاخذة فیجب الإتیان، و أمّا الزائد فیقبح المؤاخذة علیه مع عدم البیان.</w:t>
      </w:r>
    </w:p>
    <w:p>
      <w:pPr>
        <w:pStyle w:val="BookText"/>
      </w:pPr>
      <w:r>
        <w:rPr>
          <w:rFonts w:ascii="IRNazanin" w:hAnsi="IRNazanin" w:eastAsia="IRNazanin" w:cs="IRNazanin"/>
          <w:lang w:bidi="fa-IR"/>
          <w:color w:val="111111"/>
          <w:sz w:val="28"/>
          <w:szCs w:val="28"/>
          <w:rtl/>
        </w:rPr>
        <w:t xml:space="preserve">فإنّ قلت:إنّ ما ذکر فی وجوب الاحتیاط فی المتباینین بعینه موجود هنا،و هو أنّ المقتضی-و هو تعلّق الوجوب الواقعی بالأمر الواقعیّ المردّد بین الأقلّ و الأکثر-موجود،و الجهل التفصیلیّ به لا یصلح مانعا لا عن المأمور به و لا عن توجّه الأمر،کما تقدّم فی المتباینین حرفا بحرف </w:t>
      </w:r>
      <w:r>
        <w:rPr>
          <w:rStyle w:val="FootnoteReference"/>
        </w:rPr>
        <w:footnoteReference w:id="1006"/>
      </w:r>
      <w:r>
        <w:rPr>
          <w:rFonts w:ascii="Times New Roman" w:hAnsi="Times New Roman" w:eastAsia="Times New Roman" w:cs="Times New Roman"/>
          <w:lang w:val="en-US" w:bidi="en-US"/>
          <w:color w:val="111111"/>
          <w:sz w:val="28"/>
          <w:szCs w:val="28"/>
          <w:rtl/>
        </w:rPr>
        <w:t xml:space="preserve">.</w:t>
      </w:r>
    </w:p>
    <w:p>
      <w:pPr>
        <w:pStyle w:val="Heading6"/>
      </w:pPr>
      <w:bookmarkStart w:id="1390" w:name="_Toc425"/>
      <w:r>
        <w:t>[الجهل مانع عقلی عن توجّه التکلیف بالجزء المشکوک]</w:t>
      </w:r>
      <w:bookmarkEnd w:id="1390"/>
    </w:p>
    <w:p>
      <w:pPr>
        <w:pStyle w:val="BookText"/>
      </w:pPr>
      <w:r>
        <w:rPr>
          <w:rFonts w:ascii="IRNazanin" w:hAnsi="IRNazanin" w:eastAsia="IRNazanin" w:cs="IRNazanin"/>
          <w:lang w:bidi="fa-IR"/>
          <w:color w:val="111111"/>
          <w:sz w:val="28"/>
          <w:szCs w:val="28"/>
          <w:rtl/>
        </w:rPr>
        <w:t xml:space="preserve">قلت:نختار هنا أنّ الجهل مانع عقلیّ عن توجّه التکلیف بالمجهول إلی المکلّف؛لحکم العقل بقبح المؤاخذة علی ترک الأکثر المسبّب عن ترک الجزء المشکوک من دون بیان،و لا یعارض بقبح المؤاخذة علی ترک الأقلّ من حیث هو من دون بیان؛إذ یکفی فی البیان المسوّغ للمؤاخذة علیه العلم التفصیلیّ بأنّه مطلوب للشارع بالاستقلال أو فی ضمن الأکثر،و مع هذا العلم لا یقبح المؤاخذة.</w:t>
      </w:r>
    </w:p>
    <w:p>
      <w:pPr>
        <w:pStyle w:val="BookText"/>
      </w:pPr>
      <w:r>
        <w:rPr>
          <w:rFonts w:ascii="IRNazanin" w:hAnsi="IRNazanin" w:eastAsia="IRNazanin" w:cs="IRNazanin"/>
          <w:lang w:bidi="fa-IR"/>
          <w:color w:val="111111"/>
          <w:sz w:val="28"/>
          <w:szCs w:val="28"/>
          <w:rtl/>
        </w:rPr>
        <w:t xml:space="preserve">[شماره صفحه واقعی : 321]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213" w:name="pg14411_142711"/>
    <w:bookmarkEnd w:id="213"/>
    <w:p>
      <w:pPr>
        <w:pStyle w:val="Heading6"/>
      </w:pPr>
      <w:bookmarkStart w:id="1391" w:name="_Toc426"/>
      <w:r>
        <w:t>[عدم جریان الدلیل العقلی المتقدّم فی المتباینین فیما نحن فیه]</w:t>
      </w:r>
      <w:bookmarkEnd w:id="1391"/>
    </w:p>
    <w:p>
      <w:pPr>
        <w:pStyle w:val="BookText"/>
      </w:pPr>
      <w:r>
        <w:rPr>
          <w:rFonts w:ascii="IRNazanin" w:hAnsi="IRNazanin" w:eastAsia="IRNazanin" w:cs="IRNazanin"/>
          <w:lang w:bidi="fa-IR"/>
          <w:color w:val="111111"/>
          <w:sz w:val="28"/>
          <w:szCs w:val="28"/>
          <w:rtl/>
        </w:rPr>
        <w:t xml:space="preserve">و ما ذکر فی المتباینین-سندا لمنع کون الجهل مانعا:من استلزامه لجواز المخالفة القطعیّة،و قبح خطاب الجاهل المقصّر،و کونه معذورا بالنسبة إلی الواقع-مع أنّه خلاف المشهور أو المتّفق علیه،غیر جار فیما نحن فیه.</w:t>
      </w:r>
    </w:p>
    <w:p>
      <w:pPr>
        <w:pStyle w:val="BookText"/>
      </w:pPr>
      <w:r>
        <w:rPr>
          <w:rFonts w:ascii="IRNazanin" w:hAnsi="IRNazanin" w:eastAsia="IRNazanin" w:cs="IRNazanin"/>
          <w:lang w:bidi="fa-IR"/>
          <w:color w:val="111111"/>
          <w:sz w:val="28"/>
          <w:szCs w:val="28"/>
          <w:rtl/>
        </w:rPr>
        <w:t xml:space="preserve">أمّا الأوّل؛فلأنّ عدم جواز المخالفة القطعیّة لکونها مخالفة معلومة بالتفصیل؛فإنّ وجوب الأقلّ بمعنی استحقاق العقاب بترکه معلوم تفصیلا و إن لم یعلم أنّ العقاب لأجل ترک نفسه أو لترک ما هو سبب فی ترکه و هو الأکثر؛فإنّ هذا العلم غیر معتبر فی إلزام العقل بوجوب الإتیان؛ إذ مناط تحریک العقل إلی فعل الواجبات و ترک المحرّمات،دفع العقاب، و لا یفرّق فی تحریکه بین علمه بأنّ العقاب لأجل هذا الشیء أو لما هو مستند إلیه.</w:t>
      </w:r>
    </w:p>
    <w:p>
      <w:pPr>
        <w:pStyle w:val="Heading6"/>
      </w:pPr>
      <w:bookmarkStart w:id="1392" w:name="_Toc427"/>
      <w:r>
        <w:t>[عدم معذوریّة الجاهل المقصّر]</w:t>
      </w:r>
      <w:bookmarkEnd w:id="1392"/>
    </w:p>
    <w:p>
      <w:pPr>
        <w:pStyle w:val="BookText"/>
      </w:pPr>
      <w:r>
        <w:rPr>
          <w:rFonts w:ascii="IRNazanin" w:hAnsi="IRNazanin" w:eastAsia="IRNazanin" w:cs="IRNazanin"/>
          <w:lang w:bidi="fa-IR"/>
          <w:color w:val="111111"/>
          <w:sz w:val="28"/>
          <w:szCs w:val="28"/>
          <w:rtl/>
        </w:rPr>
        <w:t xml:space="preserve">و أمّا عدم معذوریّة الجاهل المقصّر،فهو للوجه الذی لا یعذر من أجله الجاهل بنفس التکلیف المستقلّ،و هو العلم الإجمالیّ بوجود واجبات و محرّمات کثیرة فی الشریعة،و أنّه لولاه لزم إخلال الشریعة، لا العلم الإجمالیّ الموجود فی المقام؛إذ الموجود فی المقام علم تفصیلیّ، و هو وجوب الأقلّ بمعنی ترتّب العقاب علی ترکه،و شکّ فی أصل وجوب الزائد و لو مقدّمة.</w:t>
      </w:r>
    </w:p>
    <w:p>
      <w:pPr>
        <w:pStyle w:val="Heading6"/>
      </w:pPr>
      <w:bookmarkStart w:id="1393" w:name="_Toc428"/>
      <w:r>
        <w:t>[العلم الإجمالی فیما نحن فیه غیر مؤثّر فی وجوب الاحتیاط]</w:t>
      </w:r>
      <w:bookmarkEnd w:id="1393"/>
    </w:p>
    <w:p>
      <w:pPr>
        <w:pStyle w:val="BookText"/>
      </w:pPr>
      <w:r>
        <w:rPr>
          <w:rFonts w:ascii="IRNazanin" w:hAnsi="IRNazanin" w:eastAsia="IRNazanin" w:cs="IRNazanin"/>
          <w:lang w:bidi="fa-IR"/>
          <w:color w:val="111111"/>
          <w:sz w:val="28"/>
          <w:szCs w:val="28"/>
          <w:rtl/>
        </w:rPr>
        <w:t xml:space="preserve">و بالجملة:فالعلم الإجمالیّ فیما نحن فیه غیر مؤثّر فی وجوب الاحتیاط؛لکون أحد طرفیه معلوم الإلزام تفصیلا و الآخر مشکوک الإلزام رأسا.</w:t>
      </w:r>
    </w:p>
    <w:p>
      <w:pPr>
        <w:pStyle w:val="BookText"/>
      </w:pPr>
      <w:r>
        <w:rPr>
          <w:rFonts w:ascii="IRNazanin" w:hAnsi="IRNazanin" w:eastAsia="IRNazanin" w:cs="IRNazanin"/>
          <w:lang w:bidi="fa-IR"/>
          <w:color w:val="111111"/>
          <w:sz w:val="28"/>
          <w:szCs w:val="28"/>
          <w:rtl/>
        </w:rPr>
        <w:t xml:space="preserve">و دوران الإلزام فی الأقلّ بین کونه مقدّمیّا أو نفسیّا،لا یقدح فی کونه معلوما بالتفصیل؛لما ذکرنا:من أنّ العقل یحکم بوجوب القیام بما</w:t>
      </w:r>
    </w:p>
    <w:p>
      <w:pPr>
        <w:pStyle w:val="BookText"/>
      </w:pPr>
      <w:r>
        <w:rPr>
          <w:rFonts w:ascii="IRNazanin" w:hAnsi="IRNazanin" w:eastAsia="IRNazanin" w:cs="IRNazanin"/>
          <w:lang w:bidi="fa-IR"/>
          <w:color w:val="111111"/>
          <w:sz w:val="28"/>
          <w:szCs w:val="28"/>
          <w:rtl/>
        </w:rPr>
        <w:t xml:space="preserve">[شماره صفحه واقعی : 322]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214" w:name="pg14411_142712"/>
    <w:bookmarkEnd w:id="214"/>
    <w:p>
      <w:pPr>
        <w:pStyle w:val="BookText"/>
      </w:pPr>
      <w:r>
        <w:rPr>
          <w:rFonts w:ascii="IRNazanin" w:hAnsi="IRNazanin" w:eastAsia="IRNazanin" w:cs="IRNazanin"/>
          <w:lang w:bidi="fa-IR"/>
          <w:color w:val="111111"/>
          <w:sz w:val="28"/>
          <w:szCs w:val="28"/>
          <w:rtl/>
        </w:rPr>
        <w:t xml:space="preserve">علم إجمالا أو تفصیلا إلزام المولی به علی أیّ وجه کان،و یحکم بقبح المؤاخذة علی ما شکّ فی إلزامه،و المعلوم إلزامه تفصیلا هو الأقلّ، و المشکوک إلزامه رأسا هو الزائد،و المعلوم إلزامه إجمالا هو الواجب النفسیّ المردّد بین الأقلّ و الأکثر،و لا عبرة به بعد انحلاله إلی معلوم تفصیلیّ و مشکوک،کما فی کلّ معلوم إجمالیّ کان کذلک،کما لو علم إجمالا بکون أحد من الإناءین اللذین أحدهما المعیّن نجس،خمرا؛فإنّه یحکم بحلّیّة الطاهر منهما،و العلم الإجمالی بالخمر لا یؤثّر فی وجوب الاجتناب عنه.</w:t>
      </w:r>
    </w:p>
    <w:p>
      <w:pPr>
        <w:pStyle w:val="Heading6"/>
      </w:pPr>
      <w:bookmarkStart w:id="1394" w:name="_Toc429"/>
      <w:r>
        <w:t>[التمسّک بأصالة عدم وجوب الأکثر فی المسألة]</w:t>
      </w:r>
      <w:bookmarkEnd w:id="1394"/>
    </w:p>
    <w:p>
      <w:pPr>
        <w:pStyle w:val="Heading6"/>
      </w:pPr>
      <w:bookmarkStart w:id="1395" w:name="_Toc430"/>
      <w:r>
        <w:t>اشارة</w:t>
      </w:r>
      <w:bookmarkEnd w:id="1395"/>
    </w:p>
    <w:p>
      <w:pPr>
        <w:pStyle w:val="BookText"/>
      </w:pPr>
      <w:r>
        <w:rPr>
          <w:rFonts w:ascii="IRNazanin" w:hAnsi="IRNazanin" w:eastAsia="IRNazanin" w:cs="IRNazanin"/>
          <w:lang w:bidi="fa-IR"/>
          <w:color w:val="111111"/>
          <w:sz w:val="28"/>
          <w:szCs w:val="28"/>
          <w:rtl/>
        </w:rPr>
        <w:t xml:space="preserve">و ممّا ذکرنا یظهر:أنّه یمکن التمسّک فی عدم وجوب الأکثر بأصالة عدم وجوبه؛فإنّها سلیمة فی هذا المقام عن المعارضة بأصالة عدم وجوب الأقلّ؛لأنّ وجوب الأقلّ معلوم تفصیلا فلا یجری فیه الأصل.</w:t>
      </w:r>
    </w:p>
    <w:p>
      <w:pPr>
        <w:pStyle w:val="BookText"/>
      </w:pPr>
      <w:r>
        <w:rPr>
          <w:rFonts w:ascii="Amiri" w:hAnsi="Amiri" w:eastAsia="Amiri" w:cs="Amiri"/>
          <w:lang w:bidi="ar-SA"/>
          <w:color w:val="111111"/>
          <w:sz w:val="28"/>
          <w:szCs w:val="28"/>
          <w:rtl/>
        </w:rPr>
        <w:t xml:space="preserve">و تردّد وجوبه بین الوجوب النفسیّ و الغیریّ مع العلم التفصیلی بورود الخطاب التفصیلیّ بوجوبه بقوله: وَ رَبَّکَ فَکَبِّرْ </w:t>
      </w:r>
      <w:r>
        <w:rPr>
          <w:rStyle w:val="FootnoteReference"/>
        </w:rPr>
        <w:footnoteReference w:id="1007"/>
      </w:r>
      <w:r>
        <w:rPr>
          <w:rFonts w:ascii="IRNazanin" w:hAnsi="IRNazanin" w:eastAsia="IRNazanin" w:cs="IRNazanin"/>
          <w:lang w:bidi="fa-IR"/>
          <w:color w:val="111111"/>
          <w:sz w:val="28"/>
          <w:szCs w:val="28"/>
          <w:rtl/>
        </w:rPr>
        <w:t xml:space="preserve">،و قوله:</w:t>
      </w:r>
    </w:p>
    <w:p>
      <w:pPr>
        <w:pStyle w:val="BookText"/>
      </w:pPr>
      <w:r>
        <w:rPr>
          <w:rFonts w:ascii="Amiri" w:hAnsi="Amiri" w:eastAsia="Amiri" w:cs="Amiri"/>
          <w:lang w:bidi="ar-SA"/>
          <w:color w:val="111111"/>
          <w:sz w:val="28"/>
          <w:szCs w:val="28"/>
          <w:rtl/>
        </w:rPr>
        <w:t xml:space="preserve">وَ قُومُوا لِلّٰهِ قٰانِتِینَ</w:t>
      </w:r>
    </w:p>
    <w:p>
      <w:pPr>
        <w:pStyle w:val="BookText"/>
      </w:pPr>
      <w:r>
        <w:rPr>
          <w:rStyle w:val="FootnoteReference"/>
        </w:rPr>
        <w:footnoteReference w:id="1008"/>
      </w:r>
      <w:r>
        <w:rPr>
          <w:rFonts w:ascii="Amiri" w:hAnsi="Amiri" w:eastAsia="Amiri" w:cs="Amiri"/>
          <w:lang w:bidi="ar-SA"/>
          <w:color w:val="111111"/>
          <w:sz w:val="28"/>
          <w:szCs w:val="28"/>
          <w:rtl/>
        </w:rPr>
        <w:t xml:space="preserve">
،و قوله: فَاقْرَؤُا مٰا تَیَسَّرَ مِنْهُ </w:t>
      </w:r>
      <w:r>
        <w:rPr>
          <w:rStyle w:val="FootnoteReference"/>
        </w:rPr>
        <w:footnoteReference w:id="1009"/>
      </w:r>
      <w:r>
        <w:rPr>
          <w:rFonts w:ascii="IRNazanin" w:hAnsi="IRNazanin" w:eastAsia="IRNazanin" w:cs="IRNazanin"/>
          <w:lang w:bidi="fa-IR"/>
          <w:color w:val="111111"/>
          <w:sz w:val="28"/>
          <w:szCs w:val="28"/>
          <w:rtl/>
        </w:rPr>
        <w:t xml:space="preserve">،و قوله:</w:t>
      </w:r>
    </w:p>
    <w:p>
      <w:pPr>
        <w:pStyle w:val="BookText"/>
      </w:pPr>
      <w:r>
        <w:rPr>
          <w:rFonts w:ascii="Amiri" w:hAnsi="Amiri" w:eastAsia="Amiri" w:cs="Amiri"/>
          <w:lang w:bidi="ar-SA"/>
          <w:color w:val="111111"/>
          <w:sz w:val="28"/>
          <w:szCs w:val="28"/>
          <w:rtl/>
        </w:rPr>
        <w:t xml:space="preserve">اِرْکَعُوا وَ اسْجُدُوا</w:t>
      </w:r>
    </w:p>
    <w:p>
      <w:pPr>
        <w:pStyle w:val="BookText"/>
      </w:pPr>
      <w:r>
        <w:rPr>
          <w:rStyle w:val="FootnoteReference"/>
        </w:rPr>
        <w:footnoteReference w:id="1010"/>
      </w:r>
      <w:r>
        <w:rPr>
          <w:rFonts w:ascii="IRNazanin" w:hAnsi="IRNazanin" w:eastAsia="IRNazanin" w:cs="IRNazanin"/>
          <w:lang w:bidi="fa-IR"/>
          <w:color w:val="111111"/>
          <w:sz w:val="28"/>
          <w:szCs w:val="28"/>
          <w:rtl/>
        </w:rPr>
        <w:t xml:space="preserve">
،و غیر ذلک </w:t>
      </w:r>
      <w:r>
        <w:rPr>
          <w:rStyle w:val="FootnoteReference"/>
        </w:rPr>
        <w:footnoteReference w:id="1011"/>
      </w:r>
      <w:r>
        <w:rPr>
          <w:rFonts w:ascii="Amiri" w:hAnsi="Amiri" w:eastAsia="Amiri" w:cs="Amiri"/>
          <w:lang w:bidi="ar-SA"/>
          <w:color w:val="111111"/>
          <w:sz w:val="28"/>
          <w:szCs w:val="28"/>
          <w:rtl/>
        </w:rPr>
        <w:t xml:space="preserve">من الخطابات المتضمّنة للأمر</w:t>
      </w:r>
    </w:p>
    <w:p>
      <w:pPr>
        <w:pStyle w:val="BookText"/>
      </w:pPr>
      <w:r>
        <w:rPr>
          <w:rFonts w:ascii="IRNazanin" w:hAnsi="IRNazanin" w:eastAsia="IRNazanin" w:cs="IRNazanin"/>
          <w:lang w:bidi="fa-IR"/>
          <w:color w:val="111111"/>
          <w:sz w:val="28"/>
          <w:szCs w:val="28"/>
          <w:rtl/>
        </w:rPr>
        <w:t xml:space="preserve">[شماره صفحه واقعی : 323]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215" w:name="pg14411_142713"/>
    <w:bookmarkEnd w:id="215"/>
    <w:p>
      <w:pPr>
        <w:pStyle w:val="BookText"/>
      </w:pPr>
      <w:r>
        <w:rPr>
          <w:rFonts w:ascii="IRNazanin" w:hAnsi="IRNazanin" w:eastAsia="IRNazanin" w:cs="IRNazanin"/>
          <w:lang w:bidi="fa-IR"/>
          <w:color w:val="111111"/>
          <w:sz w:val="28"/>
          <w:szCs w:val="28"/>
          <w:rtl/>
        </w:rPr>
        <w:t xml:space="preserve">بالأجزاء،لا یوجب جریان أصالة عدم الوجوب أو أصالة البراءة.</w:t>
      </w:r>
    </w:p>
    <w:p>
      <w:pPr>
        <w:pStyle w:val="Heading6"/>
      </w:pPr>
      <w:bookmarkStart w:id="1396" w:name="_Toc431"/>
      <w:r>
        <w:t>[المناقشة فی هذا الأصل]</w:t>
      </w:r>
      <w:bookmarkEnd w:id="1396"/>
    </w:p>
    <w:p>
      <w:pPr>
        <w:pStyle w:val="BookText"/>
      </w:pPr>
      <w:r>
        <w:rPr>
          <w:rFonts w:ascii="IRNazanin" w:hAnsi="IRNazanin" w:eastAsia="IRNazanin" w:cs="IRNazanin"/>
          <w:lang w:bidi="fa-IR"/>
          <w:color w:val="111111"/>
          <w:sz w:val="28"/>
          <w:szCs w:val="28"/>
          <w:rtl/>
        </w:rPr>
        <w:t xml:space="preserve">لکنّ الإنصاف:أنّ التمسّک بأصالة عدم وجوب الأکثر لا ینفع فی المقام،بل هو قلیل الفائدة؛لأنّه:إن قصد به نفی أثر الوجوب الذی هو استحقاق العقاب بترکه،فهو و إن کان غیر معارض بأصالة عدم وجوب الأقلّ کما ذکرنا،إلاّ أنّک قد عرفت فیما تقدّم فی الشکّ فی التکلیف </w:t>
      </w:r>
      <w:r>
        <w:rPr>
          <w:rStyle w:val="FootnoteReference"/>
        </w:rPr>
        <w:footnoteReference w:id="1012"/>
      </w:r>
      <w:r>
        <w:rPr>
          <w:rFonts w:ascii="IRNazanin" w:hAnsi="IRNazanin" w:eastAsia="IRNazanin" w:cs="IRNazanin"/>
          <w:lang w:bidi="fa-IR"/>
          <w:color w:val="111111"/>
          <w:sz w:val="28"/>
          <w:szCs w:val="28"/>
          <w:rtl/>
        </w:rPr>
        <w:t xml:space="preserve">:أنّ استصحاب عدم التکلیف المستقلّ </w:t>
      </w:r>
      <w:r>
        <w:rPr>
          <w:rStyle w:val="FootnoteReference"/>
        </w:rPr>
        <w:footnoteReference w:id="1013"/>
      </w:r>
      <w:r>
        <w:rPr>
          <w:rFonts w:ascii="IRNazanin" w:hAnsi="IRNazanin" w:eastAsia="IRNazanin" w:cs="IRNazanin"/>
          <w:lang w:bidi="fa-IR"/>
          <w:color w:val="111111"/>
          <w:sz w:val="28"/>
          <w:szCs w:val="28"/>
          <w:rtl/>
        </w:rPr>
        <w:t xml:space="preserve">-وجوبا أو تحریما- لا ینفع فی دفع </w:t>
      </w:r>
      <w:r>
        <w:rPr>
          <w:rStyle w:val="FootnoteReference"/>
        </w:rPr>
        <w:footnoteReference w:id="1014"/>
      </w:r>
      <w:r>
        <w:rPr>
          <w:rFonts w:ascii="IRNazanin" w:hAnsi="IRNazanin" w:eastAsia="IRNazanin" w:cs="IRNazanin"/>
          <w:lang w:bidi="fa-IR"/>
          <w:color w:val="111111"/>
          <w:sz w:val="28"/>
          <w:szCs w:val="28"/>
          <w:rtl/>
        </w:rPr>
        <w:t xml:space="preserve">استحقاق العقاب علی الترک أو الفعل؛لأنّ عدم استحقاق العقاب لیس من آثار عدم الوجوب و الحرمة الواقعیّین حتّی یحتاج إلی إحرازهما بالاستصحاب،بل یکفی فیه عدم العلم بهما،فمجرّد الشکّ فیهما کاف فی عدم استحقاق العقاب بحکم العقل القاطع.</w:t>
      </w:r>
    </w:p>
    <w:p>
      <w:pPr>
        <w:pStyle w:val="BookText"/>
      </w:pPr>
      <w:r>
        <w:rPr>
          <w:rFonts w:ascii="IRNazanin" w:hAnsi="IRNazanin" w:eastAsia="IRNazanin" w:cs="IRNazanin"/>
          <w:lang w:bidi="fa-IR"/>
          <w:color w:val="111111"/>
          <w:sz w:val="28"/>
          <w:szCs w:val="28"/>
          <w:rtl/>
        </w:rPr>
        <w:t xml:space="preserve">و قد أشرنا إلی ذلک عند التمسّک فی حرمة العمل بالظنّ بأصالة عدم حجّیته،و قلنا:إنّ الشکّ فی حجّیته کاف فی التحریم و لا یحتاج إلی إحراز عدمها بالأصل </w:t>
      </w:r>
      <w:r>
        <w:rPr>
          <w:rStyle w:val="FootnoteReference"/>
        </w:rPr>
        <w:footnoteReference w:id="10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إن قصد به نفی الآثار المترتّبة علی الوجوب النفسیّ المستقلّ، فأصالة عدم هذا الوجوب فی الأکثر معارضة بأصالة عدمه فی الأقلّ، فلا تبقی لهذا الأصل فائدة إلاّ فی نفی ما عدا العقاب من الآثار المترتّبة علی مطلق الوجوب الشامل للنفسیّ و الغیریّ.</w:t>
      </w:r>
    </w:p>
    <w:p>
      <w:pPr>
        <w:pStyle w:val="BookText"/>
      </w:pPr>
      <w:r>
        <w:rPr>
          <w:rFonts w:ascii="IRNazanin" w:hAnsi="IRNazanin" w:eastAsia="IRNazanin" w:cs="IRNazanin"/>
          <w:lang w:bidi="fa-IR"/>
          <w:color w:val="111111"/>
          <w:sz w:val="28"/>
          <w:szCs w:val="28"/>
          <w:rtl/>
        </w:rPr>
        <w:t xml:space="preserve">[شماره صفحه واقعی : 324]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216" w:name="pg14411_142714"/>
    <w:bookmarkEnd w:id="216"/>
    <w:p>
      <w:pPr>
        <w:pStyle w:val="Heading6"/>
      </w:pPr>
      <w:bookmarkStart w:id="1397" w:name="_Toc432"/>
      <w:r>
        <w:t>[سائر ما یتمسّک به لوجوب الاحتیاط فی المسألة،و المناقشة فیها]</w:t>
      </w:r>
      <w:bookmarkEnd w:id="1397"/>
    </w:p>
    <w:p>
      <w:pPr>
        <w:pStyle w:val="BookText"/>
      </w:pPr>
      <w:r>
        <w:rPr>
          <w:rFonts w:ascii="IRNazanin" w:hAnsi="IRNazanin" w:eastAsia="IRNazanin" w:cs="IRNazanin"/>
          <w:lang w:bidi="fa-IR"/>
          <w:color w:val="111111"/>
          <w:sz w:val="28"/>
          <w:szCs w:val="28"/>
          <w:rtl/>
        </w:rPr>
        <w:t xml:space="preserve">ثمّ بما ذکرنا فی منع جریان الدلیل العقلیّ المتقدّم فی المتباینین فیما نحن فیه،تقدر علی منع سائر ما یتمسّک به لوجوب الاحتیاط فی هذا المقام.</w:t>
      </w:r>
    </w:p>
    <w:p>
      <w:pPr>
        <w:pStyle w:val="BookText"/>
      </w:pPr>
      <w:r>
        <w:rPr>
          <w:rFonts w:ascii="IRNazanin" w:hAnsi="IRNazanin" w:eastAsia="IRNazanin" w:cs="IRNazanin"/>
          <w:lang w:bidi="fa-IR"/>
          <w:color w:val="111111"/>
          <w:sz w:val="28"/>
          <w:szCs w:val="28"/>
          <w:rtl/>
        </w:rPr>
        <w:t xml:space="preserve">مثل:استصحاب الاشتغال بعد الإتیان بالأقلّ </w:t>
      </w:r>
      <w:r>
        <w:rPr>
          <w:rStyle w:val="FootnoteReference"/>
        </w:rPr>
        <w:footnoteReference w:id="10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مثل </w:t>
      </w:r>
      <w:r>
        <w:rPr>
          <w:rStyle w:val="FootnoteReference"/>
        </w:rPr>
        <w:footnoteReference w:id="1017"/>
      </w:r>
      <w:r>
        <w:rPr>
          <w:rFonts w:ascii="IRNazanin" w:hAnsi="IRNazanin" w:eastAsia="IRNazanin" w:cs="IRNazanin"/>
          <w:lang w:bidi="fa-IR"/>
          <w:color w:val="111111"/>
          <w:sz w:val="28"/>
          <w:szCs w:val="28"/>
          <w:rtl/>
        </w:rPr>
        <w:t xml:space="preserve">:أنّ الاشتغال الیقینیّ یقتضی وجوب تحصیل الیقین بالبراءة </w:t>
      </w:r>
      <w:r>
        <w:rPr>
          <w:rStyle w:val="FootnoteReference"/>
        </w:rPr>
        <w:footnoteReference w:id="10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مثل:أدلّة اشتراک الغائبین مع الحاضرین فی الأحکام المقتضیة لاشتراکنا-معاشر الغائبین-مع الحاضرین العالمین بالمکلّف به تفصیلا </w:t>
      </w:r>
      <w:r>
        <w:rPr>
          <w:rStyle w:val="FootnoteReference"/>
        </w:rPr>
        <w:footnoteReference w:id="10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مثل:وجوب دفع الضرر-و هو العقاب </w:t>
      </w:r>
      <w:r>
        <w:rPr>
          <w:rStyle w:val="FootnoteReference"/>
        </w:rPr>
        <w:footnoteReference w:id="1020"/>
      </w:r>
      <w:r>
        <w:rPr>
          <w:rFonts w:ascii="IRNazanin" w:hAnsi="IRNazanin" w:eastAsia="IRNazanin" w:cs="IRNazanin"/>
          <w:lang w:bidi="fa-IR"/>
          <w:color w:val="111111"/>
          <w:sz w:val="28"/>
          <w:szCs w:val="28"/>
          <w:rtl/>
        </w:rPr>
        <w:t xml:space="preserve">-المحتمل قطعا، و بعبارة اخری:وجوب المقدّمة العلمیّة للواجب </w:t>
      </w:r>
      <w:r>
        <w:rPr>
          <w:rStyle w:val="FootnoteReference"/>
        </w:rPr>
        <w:footnoteReference w:id="10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مثل:أنّ قصد القربة غیر ممکن بالإتیان بالأقلّ؛لعدم العلم بمطلوبیّته فی ذاته،فلا یجوز الاقتصار علیه فی العبادات،بل لا بدّ من الإتیان بالجزء المشکوک.</w:t>
      </w:r>
    </w:p>
    <w:p>
      <w:pPr>
        <w:pStyle w:val="BookText"/>
      </w:pPr>
      <w:r>
        <w:rPr>
          <w:rFonts w:ascii="IRNazanin" w:hAnsi="IRNazanin" w:eastAsia="IRNazanin" w:cs="IRNazanin"/>
          <w:lang w:bidi="fa-IR"/>
          <w:color w:val="111111"/>
          <w:sz w:val="28"/>
          <w:szCs w:val="28"/>
          <w:rtl/>
        </w:rPr>
        <w:t xml:space="preserve">فإنّ الأوّل مندفع-مضافا إلی منع جریانه حتّی فی مورد وجوب الاحتیاط،کما تقدّم فی المتباینین-بأنّ بقاء وجوب الأمر المردّد بین</w:t>
      </w:r>
    </w:p>
    <w:p>
      <w:pPr>
        <w:pStyle w:val="BookText"/>
      </w:pPr>
      <w:r>
        <w:rPr>
          <w:rFonts w:ascii="IRNazanin" w:hAnsi="IRNazanin" w:eastAsia="IRNazanin" w:cs="IRNazanin"/>
          <w:lang w:bidi="fa-IR"/>
          <w:color w:val="111111"/>
          <w:sz w:val="28"/>
          <w:szCs w:val="28"/>
          <w:rtl/>
        </w:rPr>
        <w:t xml:space="preserve">[شماره صفحه واقعی : 325]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الأقلّ و الأکثر بالاستصحاب لا یجدی؛بعد فرض کون وجود المتیقّن قبل الشکّ غیر مجد فی الاحتیاط.</w:t>
      </w:r>
    </w:p>
    <w:p>
      <w:pPr>
        <w:pStyle w:val="BookText"/>
      </w:pPr>
      <w:r>
        <w:rPr>
          <w:rFonts w:ascii="IRNazanin" w:hAnsi="IRNazanin" w:eastAsia="IRNazanin" w:cs="IRNazanin"/>
          <w:lang w:bidi="fa-IR"/>
          <w:color w:val="111111"/>
          <w:sz w:val="28"/>
          <w:szCs w:val="28"/>
          <w:rtl/>
        </w:rPr>
        <w:t xml:space="preserve">نعم،لو قلنا بالأصل المثبت،و أنّ استصحاب الاشتغال بعد الإتیان بالأقلّ یثبت کون الواجب هو الأکثر فیجب الإتیان به،أمکن الاستدلال بالاستصحاب.</w:t>
      </w:r>
    </w:p>
    <w:p>
      <w:pPr>
        <w:pStyle w:val="BookText"/>
      </w:pPr>
      <w:r>
        <w:rPr>
          <w:rFonts w:ascii="IRNazanin" w:hAnsi="IRNazanin" w:eastAsia="IRNazanin" w:cs="IRNazanin"/>
          <w:lang w:bidi="fa-IR"/>
          <w:color w:val="111111"/>
          <w:sz w:val="28"/>
          <w:szCs w:val="28"/>
          <w:rtl/>
        </w:rPr>
        <w:t xml:space="preserve">لکن یمکن أن یقال:إنّا نفینا فی الزمان السابق وجوب الأکثر؛ لقبح المؤاخذة </w:t>
      </w:r>
      <w:r>
        <w:rPr>
          <w:rStyle w:val="FootnoteReference"/>
        </w:rPr>
        <w:footnoteReference w:id="1022"/>
      </w:r>
      <w:r>
        <w:rPr>
          <w:rFonts w:ascii="IRNazanin" w:hAnsi="IRNazanin" w:eastAsia="IRNazanin" w:cs="IRNazanin"/>
          <w:lang w:bidi="fa-IR"/>
          <w:color w:val="111111"/>
          <w:sz w:val="28"/>
          <w:szCs w:val="28"/>
          <w:rtl/>
        </w:rPr>
        <w:t xml:space="preserve">من دون بیان،فتعیّن الاشتغال بالأقلّ،فهو منفیّ فی الزمان السابق،فکیف یثبت فی الزمان اللاحق؟</w:t>
      </w:r>
    </w:p>
    <w:p>
      <w:pPr>
        <w:pStyle w:val="BookText"/>
      </w:pPr>
      <w:r>
        <w:rPr>
          <w:rFonts w:ascii="IRNazanin" w:hAnsi="IRNazanin" w:eastAsia="IRNazanin" w:cs="IRNazanin"/>
          <w:lang w:bidi="fa-IR"/>
          <w:color w:val="111111"/>
          <w:sz w:val="28"/>
          <w:szCs w:val="28"/>
          <w:rtl/>
        </w:rPr>
        <w:t xml:space="preserve">و أمّا الثانی،فهو حاصل الدلیل المتقدّم فی المتباینین المتوهّم جریانه فی المقام،و قد عرفت الجواب </w:t>
      </w:r>
      <w:r>
        <w:rPr>
          <w:rStyle w:val="FootnoteReference"/>
        </w:rPr>
        <w:footnoteReference w:id="1023"/>
      </w:r>
      <w:r>
        <w:rPr>
          <w:rFonts w:ascii="IRNazanin" w:hAnsi="IRNazanin" w:eastAsia="IRNazanin" w:cs="IRNazanin"/>
          <w:lang w:bidi="fa-IR"/>
          <w:color w:val="111111"/>
          <w:sz w:val="28"/>
          <w:szCs w:val="28"/>
          <w:rtl/>
        </w:rPr>
        <w:t xml:space="preserve">،و أنّ الاشتغال الیقینیّ إنّما هو بالأقلّ،و غیره مشکوک فیه </w:t>
      </w:r>
      <w:r>
        <w:rPr>
          <w:rStyle w:val="FootnoteReference"/>
        </w:rPr>
        <w:footnoteReference w:id="10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الثالث،ففیه:أنّ مقتضی الاشتراک کون الغائبین و الحاضرین علی نهج واحد مع کونهما فی العلم و الجهل علی صفة واحدة،و لا ریب أنّ وجوب الاحتیاط علی الجاهل من الحاضرین فیما نحن فیه عین الدعوی.</w:t>
      </w:r>
    </w:p>
    <w:p>
      <w:pPr>
        <w:pStyle w:val="BookText"/>
      </w:pPr>
      <w:r>
        <w:rPr>
          <w:rFonts w:ascii="IRNazanin" w:hAnsi="IRNazanin" w:eastAsia="IRNazanin" w:cs="IRNazanin"/>
          <w:lang w:bidi="fa-IR"/>
          <w:color w:val="111111"/>
          <w:sz w:val="28"/>
          <w:szCs w:val="28"/>
          <w:rtl/>
        </w:rPr>
        <w:t xml:space="preserve">و أمّا الرابع،فلأنّ وجوب المقدّمة فرع وجوب ذی المقدّمة،و هو الأمر المتردّد </w:t>
      </w:r>
      <w:r>
        <w:rPr>
          <w:rStyle w:val="FootnoteReference"/>
        </w:rPr>
        <w:footnoteReference w:id="1025"/>
      </w:r>
      <w:r>
        <w:rPr>
          <w:rFonts w:ascii="IRNazanin" w:hAnsi="IRNazanin" w:eastAsia="IRNazanin" w:cs="IRNazanin"/>
          <w:lang w:bidi="fa-IR"/>
          <w:color w:val="111111"/>
          <w:sz w:val="28"/>
          <w:szCs w:val="28"/>
          <w:rtl/>
        </w:rPr>
        <w:t xml:space="preserve">بین الأقلّ و الأکثر،و قد تقدّم </w:t>
      </w:r>
      <w:r>
        <w:rPr>
          <w:rStyle w:val="FootnoteReference"/>
        </w:rPr>
        <w:footnoteReference w:id="1026"/>
      </w:r>
      <w:r>
        <w:rPr>
          <w:rFonts w:ascii="IRNazanin" w:hAnsi="IRNazanin" w:eastAsia="IRNazanin" w:cs="IRNazanin"/>
          <w:lang w:bidi="fa-IR"/>
          <w:color w:val="111111"/>
          <w:sz w:val="28"/>
          <w:szCs w:val="28"/>
          <w:rtl/>
        </w:rPr>
        <w:t xml:space="preserve">:أنّ وجوب المعلوم</w:t>
      </w:r>
    </w:p>
    <w:p>
      <w:pPr>
        <w:pStyle w:val="BookText"/>
      </w:pPr>
      <w:r>
        <w:rPr>
          <w:rFonts w:ascii="IRNazanin" w:hAnsi="IRNazanin" w:eastAsia="IRNazanin" w:cs="IRNazanin"/>
          <w:lang w:bidi="fa-IR"/>
          <w:color w:val="111111"/>
          <w:sz w:val="28"/>
          <w:szCs w:val="28"/>
          <w:rtl/>
        </w:rPr>
        <w:t xml:space="preserve">[شماره صفحه واقعی : 326]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217" w:name="pg14411_142716"/>
    <w:bookmarkEnd w:id="217"/>
    <w:p>
      <w:pPr>
        <w:pStyle w:val="BookText"/>
      </w:pPr>
      <w:r>
        <w:rPr>
          <w:rFonts w:ascii="IRNazanin" w:hAnsi="IRNazanin" w:eastAsia="IRNazanin" w:cs="IRNazanin"/>
          <w:lang w:bidi="fa-IR"/>
          <w:color w:val="111111"/>
          <w:sz w:val="28"/>
          <w:szCs w:val="28"/>
          <w:rtl/>
        </w:rPr>
        <w:t xml:space="preserve">إجمالا مع کون أحد طرفیه متیقّن الإلزام من الشارع و لو بالإلزام المقدّمی،غیر مؤثّر فی وجوب الاحتیاط؛لکون الطرف الغیر المتیقّن -و هو الأکثر فی ما نحن فیه-موردا لقاعدة البراءة،کما مثّلنا له بالخمر المردّد بین إناءین </w:t>
      </w:r>
      <w:r>
        <w:rPr>
          <w:rStyle w:val="FootnoteReference"/>
        </w:rPr>
        <w:footnoteReference w:id="1027"/>
      </w:r>
      <w:r>
        <w:rPr>
          <w:rFonts w:ascii="IRNazanin" w:hAnsi="IRNazanin" w:eastAsia="IRNazanin" w:cs="IRNazanin"/>
          <w:lang w:bidi="fa-IR"/>
          <w:color w:val="111111"/>
          <w:sz w:val="28"/>
          <w:szCs w:val="28"/>
          <w:rtl/>
        </w:rPr>
        <w:t xml:space="preserve">أحدهما المعیّن نجس.</w:t>
      </w:r>
    </w:p>
    <w:p>
      <w:pPr>
        <w:pStyle w:val="BookText"/>
      </w:pPr>
      <w:r>
        <w:rPr>
          <w:rFonts w:ascii="IRNazanin" w:hAnsi="IRNazanin" w:eastAsia="IRNazanin" w:cs="IRNazanin"/>
          <w:lang w:bidi="fa-IR"/>
          <w:color w:val="111111"/>
          <w:sz w:val="28"/>
          <w:szCs w:val="28"/>
          <w:rtl/>
        </w:rPr>
        <w:t xml:space="preserve">نعم،لو ثبت أنّ ذلک-أعنی تیقّن أحد طرفی المعلوم بالاجمال تفصیلا و ترتّب أثره علیه-لا یقدح فی وجوب العمل بما یقتضیه من الاحتیاط،فیقال فی المثال:إنّ التکلیف بالاجتناب عن هذا الخمر المردّد بین الإناءین یقتضی استحقاق العقاب علی تناوله بتناول أیّ الإناءین </w:t>
      </w:r>
      <w:r>
        <w:rPr>
          <w:rStyle w:val="FootnoteReference"/>
        </w:rPr>
        <w:footnoteReference w:id="1028"/>
      </w:r>
      <w:r>
        <w:rPr>
          <w:rFonts w:ascii="IRNazanin" w:hAnsi="IRNazanin" w:eastAsia="IRNazanin" w:cs="IRNazanin"/>
          <w:lang w:bidi="fa-IR"/>
          <w:color w:val="111111"/>
          <w:sz w:val="28"/>
          <w:szCs w:val="28"/>
          <w:rtl/>
        </w:rPr>
        <w:t xml:space="preserve">اتّفق کونه خمرا،فیجب الاحتیاط بالاجتناب عنهما،فکذلک فیما نحن فیه.</w:t>
      </w:r>
    </w:p>
    <w:p>
      <w:pPr>
        <w:pStyle w:val="BookText"/>
      </w:pPr>
      <w:r>
        <w:rPr>
          <w:rFonts w:ascii="IRNazanin" w:hAnsi="IRNazanin" w:eastAsia="IRNazanin" w:cs="IRNazanin"/>
          <w:lang w:bidi="fa-IR"/>
          <w:color w:val="111111"/>
          <w:sz w:val="28"/>
          <w:szCs w:val="28"/>
          <w:rtl/>
        </w:rPr>
        <w:t xml:space="preserve">و الدلیل العقلیّ علی البراءة من هذه الجهة یحتاج إلی مزید تأمّل.</w:t>
      </w:r>
    </w:p>
    <w:p>
      <w:pPr>
        <w:pStyle w:val="BookText"/>
      </w:pPr>
      <w:r>
        <w:rPr>
          <w:rFonts w:ascii="IRNazanin" w:hAnsi="IRNazanin" w:eastAsia="IRNazanin" w:cs="IRNazanin"/>
          <w:lang w:bidi="fa-IR"/>
          <w:color w:val="111111"/>
          <w:sz w:val="28"/>
          <w:szCs w:val="28"/>
          <w:rtl/>
        </w:rPr>
        <w:t xml:space="preserve">و أمّا الخامس،فلأنّه یکفی فی قصد القربة الإتیان بما علم من الشارع الإلزام به و أداء ترکه إلی استحقاق العقاب لأجل التخلّص عن العقاب؛فإنّ هذا المقدار کاف فی نیّة القربة المعتبرة فی العبادات حتّی لو علم بأجزائها تفصیلا.</w:t>
      </w:r>
    </w:p>
    <w:p>
      <w:pPr>
        <w:pStyle w:val="Heading6"/>
      </w:pPr>
      <w:bookmarkStart w:id="1398" w:name="_Toc433"/>
      <w:r>
        <w:t>[کیف تقصد القربة بإتیان الأقلّ؟]</w:t>
      </w:r>
      <w:bookmarkEnd w:id="1398"/>
    </w:p>
    <w:p>
      <w:pPr>
        <w:pStyle w:val="BookText"/>
      </w:pPr>
      <w:r>
        <w:rPr>
          <w:rFonts w:ascii="IRNazanin" w:hAnsi="IRNazanin" w:eastAsia="IRNazanin" w:cs="IRNazanin"/>
          <w:lang w:bidi="fa-IR"/>
          <w:color w:val="111111"/>
          <w:sz w:val="28"/>
          <w:szCs w:val="28"/>
          <w:rtl/>
        </w:rPr>
        <w:t xml:space="preserve">بقی الکلام فی أنّه کیف یقصد القربة بإتیان الأقلّ مع عدم العلم بکونه مقرّبا؛لتردّده بین الواجب النفسیّ المقرّب و المقدّمی الغیر المقرّب؟ فنقول:</w:t>
      </w:r>
    </w:p>
    <w:p>
      <w:pPr>
        <w:pStyle w:val="BookText"/>
      </w:pPr>
      <w:r>
        <w:rPr>
          <w:rFonts w:ascii="IRNazanin" w:hAnsi="IRNazanin" w:eastAsia="IRNazanin" w:cs="IRNazanin"/>
          <w:lang w:bidi="fa-IR"/>
          <w:color w:val="111111"/>
          <w:sz w:val="28"/>
          <w:szCs w:val="28"/>
          <w:rtl/>
        </w:rPr>
        <w:t xml:space="preserve">یکفی فی قصد القربة:قصد التخلّص من العقاب؛فإنّها إحدی</w:t>
      </w:r>
    </w:p>
    <w:p>
      <w:pPr>
        <w:pStyle w:val="BookText"/>
      </w:pPr>
      <w:r>
        <w:rPr>
          <w:rFonts w:ascii="IRNazanin" w:hAnsi="IRNazanin" w:eastAsia="IRNazanin" w:cs="IRNazanin"/>
          <w:lang w:bidi="fa-IR"/>
          <w:color w:val="111111"/>
          <w:sz w:val="28"/>
          <w:szCs w:val="28"/>
          <w:rtl/>
        </w:rPr>
        <w:t xml:space="preserve">[شماره صفحه واقعی : 327]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218" w:name="pg14411_142717"/>
    <w:bookmarkEnd w:id="218"/>
    <w:p>
      <w:pPr>
        <w:pStyle w:val="BookText"/>
      </w:pPr>
      <w:r>
        <w:rPr>
          <w:rFonts w:ascii="IRNazanin" w:hAnsi="IRNazanin" w:eastAsia="IRNazanin" w:cs="IRNazanin"/>
          <w:lang w:bidi="fa-IR"/>
          <w:color w:val="111111"/>
          <w:sz w:val="28"/>
          <w:szCs w:val="28"/>
          <w:rtl/>
        </w:rPr>
        <w:t xml:space="preserve">الغایات المذکورة فی العبادات </w:t>
      </w:r>
      <w:r>
        <w:rPr>
          <w:rStyle w:val="FootnoteReference"/>
        </w:rPr>
        <w:footnoteReference w:id="1029"/>
      </w:r>
      <w:r>
        <w:rPr>
          <w:rFonts w:ascii="Times New Roman" w:hAnsi="Times New Roman" w:eastAsia="Times New Roman" w:cs="Times New Roman"/>
          <w:lang w:val="en-US" w:bidi="en-US"/>
          <w:color w:val="111111"/>
          <w:sz w:val="28"/>
          <w:szCs w:val="28"/>
          <w:rtl/>
        </w:rPr>
        <w:t xml:space="preserve">.</w:t>
      </w:r>
    </w:p>
    <w:p>
      <w:pPr>
        <w:pStyle w:val="Heading6"/>
      </w:pPr>
      <w:bookmarkStart w:id="1399" w:name="_Toc434"/>
      <w:r>
        <w:t>[الاستدلال بالأخبار علی البراءة فی المسألة:]</w:t>
      </w:r>
      <w:bookmarkEnd w:id="1399"/>
    </w:p>
    <w:p>
      <w:pPr>
        <w:pStyle w:val="Heading6"/>
      </w:pPr>
      <w:bookmarkStart w:id="1400" w:name="_Toc435"/>
      <w:r>
        <w:t>اشارة</w:t>
      </w:r>
      <w:bookmarkEnd w:id="1400"/>
    </w:p>
    <w:p>
      <w:pPr>
        <w:pStyle w:val="BookText"/>
      </w:pPr>
      <w:r>
        <w:rPr>
          <w:rFonts w:ascii="IRNazanin" w:hAnsi="IRNazanin" w:eastAsia="IRNazanin" w:cs="IRNazanin"/>
          <w:lang w:bidi="fa-IR"/>
          <w:color w:val="111111"/>
          <w:sz w:val="28"/>
          <w:szCs w:val="28"/>
          <w:rtl/>
        </w:rPr>
        <w:t xml:space="preserve">و أمّا الدلیل النقلی:</w:t>
      </w:r>
    </w:p>
    <w:p>
      <w:pPr>
        <w:pStyle w:val="BookText"/>
      </w:pPr>
      <w:r>
        <w:rPr>
          <w:rFonts w:ascii="IRNazanin" w:hAnsi="IRNazanin" w:eastAsia="IRNazanin" w:cs="IRNazanin"/>
          <w:lang w:bidi="fa-IR"/>
          <w:color w:val="111111"/>
          <w:sz w:val="28"/>
          <w:szCs w:val="28"/>
          <w:rtl/>
        </w:rPr>
        <w:t xml:space="preserve">فهو الأخبار الدالّة علی البراءة،الواضحة سندا و دلالة؛و لذا عوّل علیها فی المسألة من جعل مقتضی العقل فیها وجوب الاحتیاط </w:t>
      </w:r>
      <w:r>
        <w:rPr>
          <w:rStyle w:val="FootnoteReference"/>
        </w:rPr>
        <w:footnoteReference w:id="1030"/>
      </w:r>
      <w:r>
        <w:rPr>
          <w:rFonts w:ascii="IRNazanin" w:hAnsi="IRNazanin" w:eastAsia="IRNazanin" w:cs="IRNazanin"/>
          <w:lang w:bidi="fa-IR"/>
          <w:color w:val="111111"/>
          <w:sz w:val="28"/>
          <w:szCs w:val="28"/>
          <w:rtl/>
        </w:rPr>
        <w:t xml:space="preserve">،بناء علی وجوب مراعاة العلم الإجمالی و إن کان الإلزام فی أحد طرفیه معلوما بالتفصیل.و قد تقدّم أکثر تلک الأخبار فی الشکّ فی التکلیف التحریمی و الوجوبی </w:t>
      </w:r>
      <w:r>
        <w:rPr>
          <w:rStyle w:val="FootnoteReference"/>
        </w:rPr>
        <w:footnoteReference w:id="1031"/>
      </w:r>
      <w:r>
        <w:rPr>
          <w:rFonts w:ascii="Times New Roman" w:hAnsi="Times New Roman" w:eastAsia="Times New Roman" w:cs="Times New Roman"/>
          <w:lang w:val="en-US" w:bidi="en-US"/>
          <w:color w:val="111111"/>
          <w:sz w:val="28"/>
          <w:szCs w:val="28"/>
          <w:rtl/>
        </w:rPr>
        <w:t xml:space="preserve">.</w:t>
      </w:r>
    </w:p>
    <w:p>
      <w:pPr>
        <w:pStyle w:val="Heading6"/>
      </w:pPr>
      <w:bookmarkStart w:id="1401" w:name="_Toc436"/>
      <w:r>
        <w:t>[1-حدیث الحجب]</w:t>
      </w:r>
      <w:bookmarkEnd w:id="1401"/>
    </w:p>
    <w:p>
      <w:pPr>
        <w:pStyle w:val="BookText"/>
      </w:pPr>
      <w:r>
        <w:rPr>
          <w:rFonts w:ascii="IRNazanin" w:hAnsi="IRNazanin" w:eastAsia="IRNazanin" w:cs="IRNazanin"/>
          <w:lang w:bidi="fa-IR"/>
          <w:color w:val="111111"/>
          <w:sz w:val="28"/>
          <w:szCs w:val="28"/>
          <w:rtl/>
        </w:rPr>
        <w:t xml:space="preserve">منها:قوله علیه السّلام:«ما حجب اللّه علمه عن العباد فهو موضوع عنهم» </w:t>
      </w:r>
      <w:r>
        <w:rPr>
          <w:rStyle w:val="FootnoteReference"/>
        </w:rPr>
        <w:footnoteReference w:id="10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وجوب الجزء المشکوک محجوب علمه عن العباد،فهو موضوع عنهم؛فدلّ علی أنّ الجزء المشکوک وجوبه غیر واجب علی الجاهل،کما دلّ علی أنّ الشیء المشکوک وجوبه النفسیّ غیر واجب فی الظاهر علی الجاهل.</w:t>
      </w:r>
    </w:p>
    <w:p>
      <w:pPr>
        <w:pStyle w:val="BookText"/>
      </w:pPr>
      <w:r>
        <w:rPr>
          <w:rFonts w:ascii="IRNazanin" w:hAnsi="IRNazanin" w:eastAsia="IRNazanin" w:cs="IRNazanin"/>
          <w:lang w:bidi="fa-IR"/>
          <w:color w:val="111111"/>
          <w:sz w:val="28"/>
          <w:szCs w:val="28"/>
          <w:rtl/>
        </w:rPr>
        <w:t xml:space="preserve">و یمکن تقریب الاستدلال:بأنّ وجوب الأکثر ممّا حجب علمه، فهو موضوع.</w:t>
      </w:r>
    </w:p>
    <w:p>
      <w:pPr>
        <w:pStyle w:val="BookText"/>
      </w:pPr>
      <w:r>
        <w:rPr>
          <w:rFonts w:ascii="IRNazanin" w:hAnsi="IRNazanin" w:eastAsia="IRNazanin" w:cs="IRNazanin"/>
          <w:lang w:bidi="fa-IR"/>
          <w:color w:val="111111"/>
          <w:sz w:val="28"/>
          <w:szCs w:val="28"/>
          <w:rtl/>
        </w:rPr>
        <w:t xml:space="preserve">و لا یعارض بأنّ وجوب الأقلّ کذلک؛لأنّ العلم بوجوبه المردّد</w:t>
      </w:r>
    </w:p>
    <w:p>
      <w:pPr>
        <w:pStyle w:val="BookText"/>
      </w:pPr>
      <w:r>
        <w:rPr>
          <w:rFonts w:ascii="IRNazanin" w:hAnsi="IRNazanin" w:eastAsia="IRNazanin" w:cs="IRNazanin"/>
          <w:lang w:bidi="fa-IR"/>
          <w:color w:val="111111"/>
          <w:sz w:val="28"/>
          <w:szCs w:val="28"/>
          <w:rtl/>
        </w:rPr>
        <w:t xml:space="preserve">[شماره صفحه واقعی : 328]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219" w:name="pg14411_142718"/>
    <w:bookmarkEnd w:id="219"/>
    <w:p>
      <w:pPr>
        <w:pStyle w:val="BookText"/>
      </w:pPr>
      <w:r>
        <w:rPr>
          <w:rFonts w:ascii="IRNazanin" w:hAnsi="IRNazanin" w:eastAsia="IRNazanin" w:cs="IRNazanin"/>
          <w:lang w:bidi="fa-IR"/>
          <w:color w:val="111111"/>
          <w:sz w:val="28"/>
          <w:szCs w:val="28"/>
          <w:rtl/>
        </w:rPr>
        <w:t xml:space="preserve">بین النفسیّ و الغیریّ غیر محجوب،فهو غیر موضوع.</w:t>
      </w:r>
    </w:p>
    <w:p>
      <w:pPr>
        <w:pStyle w:val="Heading6"/>
      </w:pPr>
      <w:bookmarkStart w:id="1402" w:name="_Toc437"/>
      <w:r>
        <w:t>[2-حدیث الرفع]</w:t>
      </w:r>
      <w:bookmarkEnd w:id="1402"/>
    </w:p>
    <w:p>
      <w:pPr>
        <w:pStyle w:val="BookText"/>
      </w:pPr>
      <w:r>
        <w:rPr>
          <w:rFonts w:ascii="IRNazanin" w:hAnsi="IRNazanin" w:eastAsia="IRNazanin" w:cs="IRNazanin"/>
          <w:lang w:bidi="fa-IR"/>
          <w:color w:val="111111"/>
          <w:sz w:val="28"/>
          <w:szCs w:val="28"/>
          <w:rtl/>
        </w:rPr>
        <w:t xml:space="preserve">و قوله صلّی اللّه علیه و آله:«رفع عن امّتی...ما لا یعلمون» </w:t>
      </w:r>
      <w:r>
        <w:rPr>
          <w:rStyle w:val="FootnoteReference"/>
        </w:rPr>
        <w:footnoteReference w:id="10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وجوب الجزء المشکوک ممّا لم یعلم،فهو مرفوع عن المکلّفین،أو أنّ العقاب و المؤاخذة المترتّبة علی تعمّد ترک الجزء المشکوک الذی هو سبب لترک الکلّ،مرفوع عن الجاهل.</w:t>
      </w:r>
    </w:p>
    <w:p>
      <w:pPr>
        <w:pStyle w:val="BookText"/>
      </w:pPr>
      <w:r>
        <w:rPr>
          <w:rFonts w:ascii="IRNazanin" w:hAnsi="IRNazanin" w:eastAsia="IRNazanin" w:cs="IRNazanin"/>
          <w:lang w:bidi="fa-IR"/>
          <w:color w:val="111111"/>
          <w:sz w:val="28"/>
          <w:szCs w:val="28"/>
          <w:rtl/>
        </w:rPr>
        <w:t xml:space="preserve">إلی غیر ذلک من أخبار البراءة الجاریة فی الشبهة الوجوبیّة.</w:t>
      </w:r>
    </w:p>
    <w:p>
      <w:pPr>
        <w:pStyle w:val="BookText"/>
      </w:pPr>
      <w:r>
        <w:rPr>
          <w:rFonts w:ascii="IRNazanin" w:hAnsi="IRNazanin" w:eastAsia="IRNazanin" w:cs="IRNazanin"/>
          <w:lang w:bidi="fa-IR"/>
          <w:color w:val="111111"/>
          <w:sz w:val="28"/>
          <w:szCs w:val="28"/>
          <w:rtl/>
        </w:rPr>
        <w:t xml:space="preserve">و کان بعض مشایخنا قدّس اللّه نفسه یدّعی ظهورها فی نفی الوجوب النفسیّ المشکوک،و عدم جریانها فی الشکّ فی الوجوب الغیریّ </w:t>
      </w:r>
      <w:r>
        <w:rPr>
          <w:rStyle w:val="FootnoteReference"/>
        </w:rPr>
        <w:footnoteReference w:id="1034"/>
      </w:r>
      <w:r>
        <w:rPr>
          <w:rFonts w:ascii="Times New Roman" w:hAnsi="Times New Roman" w:eastAsia="Times New Roman" w:cs="Times New Roman"/>
          <w:lang w:val="en-US" w:bidi="en-US"/>
          <w:color w:val="111111"/>
          <w:sz w:val="28"/>
          <w:szCs w:val="28"/>
          <w:rtl/>
        </w:rPr>
        <w:t xml:space="preserve">.</w:t>
      </w:r>
    </w:p>
    <w:p>
      <w:pPr>
        <w:pStyle w:val="Heading6"/>
      </w:pPr>
      <w:bookmarkStart w:id="1403" w:name="_Toc438"/>
      <w:r>
        <w:t>[عدم الفرق فی أخبار البراءة بین الشکّ فی الوجوب النفسی أو فی الوجوب الغیری]</w:t>
      </w:r>
      <w:bookmarkEnd w:id="1403"/>
    </w:p>
    <w:p>
      <w:pPr>
        <w:pStyle w:val="BookText"/>
      </w:pPr>
      <w:r>
        <w:rPr>
          <w:rFonts w:ascii="IRNazanin" w:hAnsi="IRNazanin" w:eastAsia="IRNazanin" w:cs="IRNazanin"/>
          <w:lang w:bidi="fa-IR"/>
          <w:color w:val="111111"/>
          <w:sz w:val="28"/>
          <w:szCs w:val="28"/>
          <w:rtl/>
        </w:rPr>
        <w:t xml:space="preserve">و لا یخفی علی المتأمّل:عدم الفرق بین الوجوبین فی نفی ما یترتّب علیه،من استحقاق العقاب؛لأنّ ترک الواجب الغیریّ منشأ لاستحقاق العقاب و لو من جهة کونه منشأ لترک الواجب النفسیّ.</w:t>
      </w:r>
    </w:p>
    <w:p>
      <w:pPr>
        <w:pStyle w:val="BookText"/>
      </w:pPr>
      <w:r>
        <w:rPr>
          <w:rFonts w:ascii="IRNazanin" w:hAnsi="IRNazanin" w:eastAsia="IRNazanin" w:cs="IRNazanin"/>
          <w:lang w:bidi="fa-IR"/>
          <w:color w:val="111111"/>
          <w:sz w:val="28"/>
          <w:szCs w:val="28"/>
          <w:rtl/>
        </w:rPr>
        <w:t xml:space="preserve">نعم،لو کان الظاهر من الأخبار نفی العقاب المترتّب علی ترک الشیء من حیث خصوص ذاته،أمکن دعوی ظهورها فی ما ادّعی.</w:t>
      </w:r>
    </w:p>
    <w:p>
      <w:pPr>
        <w:pStyle w:val="BookText"/>
      </w:pPr>
      <w:r>
        <w:rPr>
          <w:rFonts w:ascii="IRNazanin" w:hAnsi="IRNazanin" w:eastAsia="IRNazanin" w:cs="IRNazanin"/>
          <w:lang w:bidi="fa-IR"/>
          <w:color w:val="111111"/>
          <w:sz w:val="28"/>
          <w:szCs w:val="28"/>
          <w:rtl/>
        </w:rPr>
        <w:t xml:space="preserve">مع إمکان أن یقال:إنّ العقاب علی ترک الجزء أیضا من حیث خصوص ذاته؛لأنّ ترک الجزء عین ترک الکلّ،فافهم.</w:t>
      </w:r>
    </w:p>
    <w:p>
      <w:pPr>
        <w:pStyle w:val="BookText"/>
      </w:pPr>
      <w:r>
        <w:rPr>
          <w:rFonts w:ascii="IRNazanin" w:hAnsi="IRNazanin" w:eastAsia="IRNazanin" w:cs="IRNazanin"/>
          <w:lang w:bidi="fa-IR"/>
          <w:color w:val="111111"/>
          <w:sz w:val="28"/>
          <w:szCs w:val="28"/>
          <w:rtl/>
        </w:rPr>
        <w:t xml:space="preserve">هذا کلّه إن جعلنا المرفوع و الموضوع فی الروایات خصوص المؤاخذة،و أمّا لو عمّمناه لمطلق الآثار الشرعیّة المترتّبة علی الشیء المجهول،کانت الدلالة أوضح،لکن سیأتی ما فی ذلک </w:t>
      </w:r>
      <w:r>
        <w:rPr>
          <w:rStyle w:val="FootnoteReference"/>
        </w:rPr>
        <w:footnoteReference w:id="10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329]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220" w:name="pg14411_142719"/>
    <w:bookmarkEnd w:id="220"/>
    <w:p>
      <w:pPr>
        <w:pStyle w:val="Heading6"/>
      </w:pPr>
      <w:bookmarkStart w:id="1404" w:name="_Toc439"/>
      <w:r>
        <w:t>[حکومة أخبار البراءة علی الدلیل العقلیّ المتقدّم لوجوب الاحتیاط]</w:t>
      </w:r>
      <w:bookmarkEnd w:id="1404"/>
    </w:p>
    <w:p>
      <w:pPr>
        <w:pStyle w:val="BookText"/>
      </w:pPr>
      <w:r>
        <w:rPr>
          <w:rFonts w:ascii="Amiri" w:hAnsi="Amiri" w:eastAsia="Amiri" w:cs="Amiri"/>
          <w:lang w:bidi="ar-SA"/>
          <w:color w:val="111111"/>
          <w:sz w:val="28"/>
          <w:szCs w:val="28"/>
          <w:rtl/>
        </w:rPr>
        <w:t xml:space="preserve">ثمّ إنّه لو فرضنا عدم تمامیّة الدلیل العقلیّ المتقدّم </w:t>
      </w:r>
      <w:r>
        <w:rPr>
          <w:rStyle w:val="FootnoteReference"/>
        </w:rPr>
        <w:footnoteReference w:id="1036"/>
      </w:r>
      <w:r>
        <w:rPr>
          <w:rFonts w:ascii="IRNazanin" w:hAnsi="IRNazanin" w:eastAsia="IRNazanin" w:cs="IRNazanin"/>
          <w:lang w:bidi="fa-IR"/>
          <w:color w:val="111111"/>
          <w:sz w:val="28"/>
          <w:szCs w:val="28"/>
          <w:rtl/>
        </w:rPr>
        <w:t xml:space="preserve">،بل کون العقل حاکما بوجوب الاحتیاط و مراعاة حال العلم الإجمالیّ بالتکلیف المردّد بین الأقلّ و الأکثر،کانت هذه الأخبار کافیة فی المطلب حاکمة علی ذلک الدلیل العقلیّ؛لأنّ الشارع أخبر بنفی العقاب علی ترک الأکثر لو کان واجبا فی الواقع،فلا یقتضی العقل وجوبه من باب الاحتیاط الراجع إلی وجوب دفع العقاب المحتمل.</w:t>
      </w:r>
    </w:p>
    <w:p>
      <w:pPr>
        <w:pStyle w:val="Heading6"/>
      </w:pPr>
      <w:bookmarkStart w:id="1405" w:name="_Toc440"/>
      <w:r>
        <w:t>[کلام صاحب الفصول فی حکومة أدلّة الاحتیاط علی أخبار البراءة فی المسألة]</w:t>
      </w:r>
      <w:bookmarkEnd w:id="1405"/>
    </w:p>
    <w:p>
      <w:pPr>
        <w:pStyle w:val="Heading6"/>
      </w:pPr>
      <w:bookmarkStart w:id="1406" w:name="_Toc441"/>
      <w:r>
        <w:t>اشارة</w:t>
      </w:r>
      <w:bookmarkEnd w:id="1406"/>
    </w:p>
    <w:p>
      <w:pPr>
        <w:pStyle w:val="BookText"/>
      </w:pPr>
      <w:r>
        <w:rPr>
          <w:rFonts w:ascii="IRNazanin" w:hAnsi="IRNazanin" w:eastAsia="IRNazanin" w:cs="IRNazanin"/>
          <w:lang w:bidi="fa-IR"/>
          <w:color w:val="111111"/>
          <w:sz w:val="28"/>
          <w:szCs w:val="28"/>
          <w:rtl/>
        </w:rPr>
        <w:t xml:space="preserve">و قد توهّم بعض المعاصرین </w:t>
      </w:r>
      <w:r>
        <w:rPr>
          <w:rStyle w:val="FootnoteReference"/>
        </w:rPr>
        <w:footnoteReference w:id="1037"/>
      </w:r>
      <w:r>
        <w:rPr>
          <w:rFonts w:ascii="IRNazanin" w:hAnsi="IRNazanin" w:eastAsia="IRNazanin" w:cs="IRNazanin"/>
          <w:lang w:bidi="fa-IR"/>
          <w:color w:val="111111"/>
          <w:sz w:val="28"/>
          <w:szCs w:val="28"/>
          <w:rtl/>
        </w:rPr>
        <w:t xml:space="preserve">عکس ذلک و حکومة أدلّة الاحتیاط علی هذه الأخبار،فقال:لا نسلّم حجب العلم فی المقام؛لوجود الدلیل فی المقام،و هی أصالة الاشتغال فی الأجزاء و الشرائط المشکوکة.ثمّ قال:</w:t>
      </w:r>
    </w:p>
    <w:p>
      <w:pPr>
        <w:pStyle w:val="BookText"/>
      </w:pPr>
      <w:r>
        <w:rPr>
          <w:rFonts w:ascii="IRNazanin" w:hAnsi="IRNazanin" w:eastAsia="IRNazanin" w:cs="IRNazanin"/>
          <w:lang w:bidi="fa-IR"/>
          <w:color w:val="111111"/>
          <w:sz w:val="28"/>
          <w:szCs w:val="28"/>
          <w:rtl/>
        </w:rPr>
        <w:t xml:space="preserve">لأنّ ما کان لنا إلیه طریق فی الظاهر لا یصدق فی حقّه الحجب قطعا؛ و إلاّ لدلّت هذه الروایة علی عدم حجّیة الأدلّة الظنّیة،کخبر الواحد و شهادة العدلین و غیرهما.ثمّ </w:t>
      </w:r>
      <w:r>
        <w:rPr>
          <w:rStyle w:val="FootnoteReference"/>
        </w:rPr>
        <w:footnoteReference w:id="1038"/>
      </w:r>
      <w:r>
        <w:rPr>
          <w:rFonts w:ascii="IRNazanin" w:hAnsi="IRNazanin" w:eastAsia="IRNazanin" w:cs="IRNazanin"/>
          <w:lang w:bidi="fa-IR"/>
          <w:color w:val="111111"/>
          <w:sz w:val="28"/>
          <w:szCs w:val="28"/>
          <w:rtl/>
        </w:rPr>
        <w:t xml:space="preserve">قال:</w:t>
      </w:r>
    </w:p>
    <w:p>
      <w:pPr>
        <w:pStyle w:val="BookText"/>
      </w:pPr>
      <w:r>
        <w:rPr>
          <w:rFonts w:ascii="IRNazanin" w:hAnsi="IRNazanin" w:eastAsia="IRNazanin" w:cs="IRNazanin"/>
          <w:lang w:bidi="fa-IR"/>
          <w:color w:val="111111"/>
          <w:sz w:val="28"/>
          <w:szCs w:val="28"/>
          <w:rtl/>
        </w:rPr>
        <w:t xml:space="preserve">و لو التزم تخصیصها بما دلّ علی حجّیة تلک الطرق،تعیّن تخصیصها-أیضا-بما دلّ علی حجّیة أصالة الاشتغال:من عمومات أدلّة الاستصحاب،و وجوب المقدّمة العلمیّة.ثمّ قال:</w:t>
      </w:r>
    </w:p>
    <w:p>
      <w:pPr>
        <w:pStyle w:val="BookText"/>
      </w:pPr>
      <w:r>
        <w:rPr>
          <w:rFonts w:ascii="IRNazanin" w:hAnsi="IRNazanin" w:eastAsia="IRNazanin" w:cs="IRNazanin"/>
          <w:lang w:bidi="fa-IR"/>
          <w:color w:val="111111"/>
          <w:sz w:val="28"/>
          <w:szCs w:val="28"/>
          <w:rtl/>
        </w:rPr>
        <w:t xml:space="preserve">و التحقیق:التمسّک بهذه الأخبار علی نفی الحکم الوضعی و هی الجزئیّة و الشرطیّة </w:t>
      </w:r>
      <w:r>
        <w:rPr>
          <w:rStyle w:val="FootnoteReference"/>
        </w:rPr>
        <w:footnoteReference w:id="1039"/>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[شماره صفحه واقعی : 330]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221" w:name="pg14411_142720"/>
    <w:bookmarkEnd w:id="221"/>
    <w:p>
      <w:pPr>
        <w:pStyle w:val="Heading6"/>
      </w:pPr>
      <w:bookmarkStart w:id="1407" w:name="_Toc442"/>
      <w:r>
        <w:t>[المناقشة فیما أفاده صاحب الفصول]</w:t>
      </w:r>
      <w:bookmarkEnd w:id="1407"/>
    </w:p>
    <w:p>
      <w:pPr>
        <w:pStyle w:val="BookText"/>
      </w:pPr>
      <w:r>
        <w:rPr>
          <w:rFonts w:ascii="IRNazanin" w:hAnsi="IRNazanin" w:eastAsia="IRNazanin" w:cs="IRNazanin"/>
          <w:lang w:bidi="fa-IR"/>
          <w:color w:val="111111"/>
          <w:sz w:val="28"/>
          <w:szCs w:val="28"/>
          <w:rtl/>
        </w:rPr>
        <w:t xml:space="preserve">أقول:قد ذکرنا فی المتباینین </w:t>
      </w:r>
      <w:r>
        <w:rPr>
          <w:rStyle w:val="FootnoteReference"/>
        </w:rPr>
        <w:footnoteReference w:id="1040"/>
      </w:r>
      <w:r>
        <w:rPr>
          <w:rFonts w:ascii="IRNazanin" w:hAnsi="IRNazanin" w:eastAsia="IRNazanin" w:cs="IRNazanin"/>
          <w:lang w:bidi="fa-IR"/>
          <w:color w:val="111111"/>
          <w:sz w:val="28"/>
          <w:szCs w:val="28"/>
          <w:rtl/>
        </w:rPr>
        <w:t xml:space="preserve">و فیما نحن فیه </w:t>
      </w:r>
      <w:r>
        <w:rPr>
          <w:rStyle w:val="FootnoteReference"/>
        </w:rPr>
        <w:footnoteReference w:id="1041"/>
      </w:r>
      <w:r>
        <w:rPr>
          <w:rFonts w:ascii="IRNazanin" w:hAnsi="IRNazanin" w:eastAsia="IRNazanin" w:cs="IRNazanin"/>
          <w:lang w:bidi="fa-IR"/>
          <w:color w:val="111111"/>
          <w:sz w:val="28"/>
          <w:szCs w:val="28"/>
          <w:rtl/>
        </w:rPr>
        <w:t xml:space="preserve">:أنّ استصحاب الاشتغال لا یثبت لزوم الاحتیاط إلاّ علی القول باعتبار الأصل المثبت الذی لا نقول به وفاقا لهذا الفاضل،و أنّ العمدة فی وجوب الاحتیاط هو:حکم العقل بوجوب إحراز محتملات الواجب الواقعی بعد إثبات </w:t>
      </w:r>
      <w:r>
        <w:rPr>
          <w:rStyle w:val="FootnoteReference"/>
        </w:rPr>
        <w:footnoteReference w:id="1042"/>
      </w:r>
      <w:r>
        <w:rPr>
          <w:rFonts w:ascii="IRNazanin" w:hAnsi="IRNazanin" w:eastAsia="IRNazanin" w:cs="IRNazanin"/>
          <w:lang w:bidi="fa-IR"/>
          <w:color w:val="111111"/>
          <w:sz w:val="28"/>
          <w:szCs w:val="28"/>
          <w:rtl/>
        </w:rPr>
        <w:t xml:space="preserve">تنجّز التکلیف،و أنّه المؤاخذ به و المعاقب علی ترکه و لو حین الجهل به و تردّده بین متباینین أو الأقلّ و الأکثر.</w:t>
      </w:r>
    </w:p>
    <w:p>
      <w:pPr>
        <w:pStyle w:val="BookText"/>
      </w:pPr>
      <w:r>
        <w:rPr>
          <w:rFonts w:ascii="IRNazanin" w:hAnsi="IRNazanin" w:eastAsia="IRNazanin" w:cs="IRNazanin"/>
          <w:lang w:bidi="fa-IR"/>
          <w:color w:val="111111"/>
          <w:sz w:val="28"/>
          <w:szCs w:val="28"/>
          <w:rtl/>
        </w:rPr>
        <w:t xml:space="preserve">و لا ریب أنّ ذلک الحکم مبناه وجوب دفع العقاب المحتمل علی ترک ما یترکه المکلّف،و حینئذ:فإذا أخبر الشارع-فی قوله«ما حجب اللّه...»،و قوله«رفع عن امّتی...»و غیرهما-بأنّ اللّه سبحانه لا یعاقب علی ترک ما لم یعلم جزئیّته،فقد ارتفع احتمال العقاب فی ترک ذلک المشکوک،و حصل الأمن منه،فلا یجری فیه حکم العقل بوجوب دفع العقاب المحتمل.</w:t>
      </w:r>
    </w:p>
    <w:p>
      <w:pPr>
        <w:pStyle w:val="BookText"/>
      </w:pPr>
      <w:r>
        <w:rPr>
          <w:rFonts w:ascii="IRNazanin" w:hAnsi="IRNazanin" w:eastAsia="IRNazanin" w:cs="IRNazanin"/>
          <w:lang w:bidi="fa-IR"/>
          <w:color w:val="111111"/>
          <w:sz w:val="28"/>
          <w:szCs w:val="28"/>
          <w:rtl/>
        </w:rPr>
        <w:t xml:space="preserve">نظیر ما إذا أخبر الشارع بعدم المؤاخذة علی ترک الصلاة إلی جهة خاصّة من الجهات لو فرض کونها القبلة الواقعیّة،فإنّه یخرج بذلک عن باب المقدّمة؛لأنّ المفروض أنّ ترکها لا یفضی إلی العقاب </w:t>
      </w:r>
      <w:r>
        <w:rPr>
          <w:rStyle w:val="FootnoteReference"/>
        </w:rPr>
        <w:footnoteReference w:id="10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نعم،لو کان مستند الاحتیاط أخبار الاحتیاط،کان لحکومة تلک الأخبار علی أخبار البراءة وجه أشرنا إلیه فی الشبهة التحریمیّة من</w:t>
      </w:r>
    </w:p>
    <w:p>
      <w:pPr>
        <w:pStyle w:val="BookText"/>
      </w:pPr>
      <w:r>
        <w:rPr>
          <w:rFonts w:ascii="IRNazanin" w:hAnsi="IRNazanin" w:eastAsia="IRNazanin" w:cs="IRNazanin"/>
          <w:lang w:bidi="fa-IR"/>
          <w:color w:val="111111"/>
          <w:sz w:val="28"/>
          <w:szCs w:val="28"/>
          <w:rtl/>
        </w:rPr>
        <w:t xml:space="preserve">[شماره صفحه واقعی : 331]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222" w:name="pg14411_142721"/>
    <w:bookmarkEnd w:id="222"/>
    <w:p>
      <w:pPr>
        <w:pStyle w:val="BookText"/>
      </w:pPr>
      <w:r>
        <w:rPr>
          <w:rFonts w:ascii="IRNazanin" w:hAnsi="IRNazanin" w:eastAsia="IRNazanin" w:cs="IRNazanin"/>
          <w:lang w:bidi="fa-IR"/>
          <w:color w:val="111111"/>
          <w:sz w:val="28"/>
          <w:szCs w:val="28"/>
          <w:rtl/>
        </w:rPr>
        <w:t xml:space="preserve">أقسام الشکّ فی التکلیف </w:t>
      </w:r>
      <w:r>
        <w:rPr>
          <w:rStyle w:val="FootnoteReference"/>
        </w:rPr>
        <w:footnoteReference w:id="1044"/>
      </w:r>
      <w:r>
        <w:rPr>
          <w:rFonts w:ascii="Times New Roman" w:hAnsi="Times New Roman" w:eastAsia="Times New Roman" w:cs="Times New Roman"/>
          <w:lang w:val="en-US" w:bidi="en-US"/>
          <w:color w:val="111111"/>
          <w:sz w:val="28"/>
          <w:szCs w:val="28"/>
          <w:rtl/>
        </w:rPr>
        <w:t xml:space="preserve">.</w:t>
      </w:r>
    </w:p>
    <w:p>
      <w:pPr>
        <w:pStyle w:val="Heading6"/>
      </w:pPr>
      <w:bookmarkStart w:id="1408" w:name="_Toc443"/>
      <w:r>
        <w:t>[حکومة أخبار البراءة علی استصحاب الاشتغال أیضا]</w:t>
      </w:r>
      <w:bookmarkEnd w:id="1408"/>
    </w:p>
    <w:p>
      <w:pPr>
        <w:pStyle w:val="BookText"/>
      </w:pPr>
      <w:r>
        <w:rPr>
          <w:rFonts w:ascii="IRNazanin" w:hAnsi="IRNazanin" w:eastAsia="IRNazanin" w:cs="IRNazanin"/>
          <w:lang w:bidi="fa-IR"/>
          <w:color w:val="111111"/>
          <w:sz w:val="28"/>
          <w:szCs w:val="28"/>
          <w:rtl/>
        </w:rPr>
        <w:t xml:space="preserve">و ممّا ذکرنا یظهر:حکومة هذه الأخبار علی استصحاب الاشتغال علی تقدیر القول بالأصل المثبت أیضا کما أشرنا إلیه سابقا </w:t>
      </w:r>
      <w:r>
        <w:rPr>
          <w:rStyle w:val="FootnoteReference"/>
        </w:rPr>
        <w:footnoteReference w:id="1045"/>
      </w:r>
      <w:r>
        <w:rPr>
          <w:rFonts w:ascii="IRNazanin" w:hAnsi="IRNazanin" w:eastAsia="IRNazanin" w:cs="IRNazanin"/>
          <w:lang w:bidi="fa-IR"/>
          <w:color w:val="111111"/>
          <w:sz w:val="28"/>
          <w:szCs w:val="28"/>
          <w:rtl/>
        </w:rPr>
        <w:t xml:space="preserve">لأنّه إذا أخبر الشارع بعدم المؤاخذة علی ترک الأکثر الذی حجب العلم بوجوبه،کان المستصحب-و هو الاشتغال المعلوم سابقا-غیر متیقّن إلاّ بالنسبة إلی الأقلّ،و قد ارتفع بإتیانه،و احتمال بقاء الاشتغال حینئذ من جهة </w:t>
      </w:r>
      <w:r>
        <w:rPr>
          <w:rStyle w:val="FootnoteReference"/>
        </w:rPr>
        <w:footnoteReference w:id="1046"/>
      </w:r>
      <w:r>
        <w:rPr>
          <w:rFonts w:ascii="IRNazanin" w:hAnsi="IRNazanin" w:eastAsia="IRNazanin" w:cs="IRNazanin"/>
          <w:lang w:bidi="fa-IR"/>
          <w:color w:val="111111"/>
          <w:sz w:val="28"/>
          <w:szCs w:val="28"/>
          <w:rtl/>
        </w:rPr>
        <w:t xml:space="preserve">الأکثر منفیّ </w:t>
      </w:r>
      <w:r>
        <w:rPr>
          <w:rStyle w:val="FootnoteReference"/>
        </w:rPr>
        <w:footnoteReference w:id="1047"/>
      </w:r>
      <w:r>
        <w:rPr>
          <w:rFonts w:ascii="IRNazanin" w:hAnsi="IRNazanin" w:eastAsia="IRNazanin" w:cs="IRNazanin"/>
          <w:lang w:bidi="fa-IR"/>
          <w:color w:val="111111"/>
          <w:sz w:val="28"/>
          <w:szCs w:val="28"/>
          <w:rtl/>
        </w:rPr>
        <w:t xml:space="preserve">بحکم هذه الأخبار.</w:t>
      </w:r>
    </w:p>
    <w:p>
      <w:pPr>
        <w:pStyle w:val="BookText"/>
      </w:pPr>
      <w:r>
        <w:rPr>
          <w:rFonts w:ascii="IRNazanin" w:hAnsi="IRNazanin" w:eastAsia="IRNazanin" w:cs="IRNazanin"/>
          <w:lang w:bidi="fa-IR"/>
          <w:color w:val="111111"/>
          <w:sz w:val="28"/>
          <w:szCs w:val="28"/>
          <w:rtl/>
        </w:rPr>
        <w:t xml:space="preserve">و بالجملة:فما ذکره،من حکومة أدلّة الاشتغال علی هذه الأخبار ضعیف جدّا؛نظرا إلی ما تقدّم </w:t>
      </w:r>
      <w:r>
        <w:rPr>
          <w:rStyle w:val="FootnoteReference"/>
        </w:rPr>
        <w:footnoteReference w:id="1048"/>
      </w:r>
      <w:r>
        <w:rPr>
          <w:rFonts w:ascii="Times New Roman" w:hAnsi="Times New Roman" w:eastAsia="Times New Roman" w:cs="Times New Roman"/>
          <w:lang w:val="en-US" w:bidi="en-US"/>
          <w:color w:val="111111"/>
          <w:sz w:val="28"/>
          <w:szCs w:val="28"/>
          <w:rtl/>
        </w:rPr>
        <w:t xml:space="preserve">.</w:t>
      </w:r>
    </w:p>
    <w:p>
      <w:pPr>
        <w:pStyle w:val="Heading6"/>
      </w:pPr>
      <w:bookmarkStart w:id="1409" w:name="_Toc444"/>
      <w:r>
        <w:t>[استدلال صاحب الفصول بأخبار البراءة علی نفی الحکم الوضعی]</w:t>
      </w:r>
      <w:bookmarkEnd w:id="1409"/>
    </w:p>
    <w:p>
      <w:pPr>
        <w:pStyle w:val="Heading6"/>
      </w:pPr>
      <w:bookmarkStart w:id="1410" w:name="_Toc445"/>
      <w:r>
        <w:t>اشارة</w:t>
      </w:r>
      <w:bookmarkEnd w:id="1410"/>
    </w:p>
    <w:p>
      <w:pPr>
        <w:pStyle w:val="BookText"/>
      </w:pPr>
      <w:r>
        <w:rPr>
          <w:rFonts w:ascii="IRNazanin" w:hAnsi="IRNazanin" w:eastAsia="IRNazanin" w:cs="IRNazanin"/>
          <w:lang w:bidi="fa-IR"/>
          <w:color w:val="111111"/>
          <w:sz w:val="28"/>
          <w:szCs w:val="28"/>
          <w:rtl/>
        </w:rPr>
        <w:t xml:space="preserve">و أضعف من ذلک:أنّه رحمه اللّه عدل-من أجل هذه الحکومة التی زعمها لأدلّة الاحتیاط علی هذه الأخبار-عن الاستدلال بها لمذهب المشهور من حیث نفی الحکم التکلیفیّ،إلی التمسّک بها فی نفی الحکم الوضعیّ،أعنی جزئیّة الشیء المشکوک أو شرطیّته،و زعم أنّ ماهیّة المأمور به تبیّن </w:t>
      </w:r>
      <w:r>
        <w:rPr>
          <w:rStyle w:val="FootnoteReference"/>
        </w:rPr>
        <w:footnoteReference w:id="1049"/>
      </w:r>
      <w:r>
        <w:rPr>
          <w:rFonts w:ascii="IRNazanin" w:hAnsi="IRNazanin" w:eastAsia="IRNazanin" w:cs="IRNazanin"/>
          <w:lang w:bidi="fa-IR"/>
          <w:color w:val="111111"/>
          <w:sz w:val="28"/>
          <w:szCs w:val="28"/>
          <w:rtl/>
        </w:rPr>
        <w:t xml:space="preserve">ظاهرا کونها الأقلّ بضمیمة نفی جزئیّة المشکوک، و یحکم بذلک علی أصالة الاشتغال.</w:t>
      </w:r>
    </w:p>
    <w:p>
      <w:pPr>
        <w:pStyle w:val="BookText"/>
      </w:pPr>
      <w:r>
        <w:rPr>
          <w:rFonts w:ascii="IRNazanin" w:hAnsi="IRNazanin" w:eastAsia="IRNazanin" w:cs="IRNazanin"/>
          <w:lang w:bidi="fa-IR"/>
          <w:color w:val="111111"/>
          <w:sz w:val="28"/>
          <w:szCs w:val="28"/>
          <w:rtl/>
        </w:rPr>
        <w:t xml:space="preserve">[شماره صفحه واقعی : 332]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223" w:name="pg14411_142722"/>
    <w:bookmarkEnd w:id="223"/>
    <w:p>
      <w:pPr>
        <w:pStyle w:val="BookText"/>
      </w:pPr>
      <w:r>
        <w:rPr>
          <w:rFonts w:ascii="IRNazanin" w:hAnsi="IRNazanin" w:eastAsia="IRNazanin" w:cs="IRNazanin"/>
          <w:lang w:bidi="fa-IR"/>
          <w:color w:val="111111"/>
          <w:sz w:val="28"/>
          <w:szCs w:val="28"/>
          <w:rtl/>
        </w:rPr>
        <w:t xml:space="preserve">قال فی توضیح ذلک:</w:t>
      </w:r>
    </w:p>
    <w:p>
      <w:pPr>
        <w:pStyle w:val="BookText"/>
      </w:pPr>
      <w:r>
        <w:rPr>
          <w:rFonts w:ascii="IRNazanin" w:hAnsi="IRNazanin" w:eastAsia="IRNazanin" w:cs="IRNazanin"/>
          <w:lang w:bidi="fa-IR"/>
          <w:color w:val="111111"/>
          <w:sz w:val="28"/>
          <w:szCs w:val="28"/>
          <w:rtl/>
        </w:rPr>
        <w:t xml:space="preserve">إنّ مقتضی هذه الروایات:أنّ ماهیّات العبادات عبارة عن الأجزاء المعلومة بشرائطها المعلومة،فیتبیّن مورد التکلیف و یرتفع منها الإجمال و الإبهام.</w:t>
      </w:r>
    </w:p>
    <w:p>
      <w:pPr>
        <w:pStyle w:val="BookText"/>
      </w:pPr>
      <w:r>
        <w:rPr>
          <w:rFonts w:ascii="IRNazanin" w:hAnsi="IRNazanin" w:eastAsia="IRNazanin" w:cs="IRNazanin"/>
          <w:lang w:bidi="fa-IR"/>
          <w:color w:val="111111"/>
          <w:sz w:val="28"/>
          <w:szCs w:val="28"/>
          <w:rtl/>
        </w:rPr>
        <w:t xml:space="preserve">ثمّ أیّد هذا المعنی،بل استدلّ علیه،بفهم العلماء منها ذلک،حیث قال:</w:t>
      </w:r>
    </w:p>
    <w:p>
      <w:pPr>
        <w:pStyle w:val="BookText"/>
      </w:pPr>
      <w:r>
        <w:rPr>
          <w:rFonts w:ascii="IRNazanin" w:hAnsi="IRNazanin" w:eastAsia="IRNazanin" w:cs="IRNazanin"/>
          <w:lang w:bidi="fa-IR"/>
          <w:color w:val="111111"/>
          <w:sz w:val="28"/>
          <w:szCs w:val="28"/>
          <w:rtl/>
        </w:rPr>
        <w:t xml:space="preserve">إنّ من الاصول المعروفة عندهم ما یعبّر عنه ب«أصالة العدم»، و«عدم الدلیل دلیل العدم»،و یستعملونه فی نفی الحکم التکلیفیّ و الوضعیّ،و نحن قد تصفّحنا فلم نجد لهذا الأصل مستندا یمکن التمسّک به غیر عموم هذه الأخبار،فتعیّن تعمیمها للحکم الوضعیّ و لو بمساعدة أفهامهم،فیتناول الجزئیّة المبحوث عنها فی المقام </w:t>
      </w:r>
      <w:r>
        <w:rPr>
          <w:rStyle w:val="FootnoteReference"/>
        </w:rPr>
        <w:footnoteReference w:id="1050"/>
      </w:r>
      <w:r>
        <w:rPr>
          <w:rFonts w:ascii="IRNazanin" w:hAnsi="IRNazanin" w:eastAsia="IRNazanin" w:cs="IRNazanin"/>
          <w:lang w:bidi="fa-IR"/>
          <w:color w:val="111111"/>
          <w:sz w:val="28"/>
          <w:szCs w:val="28"/>
          <w:rtl/>
        </w:rPr>
        <w:t xml:space="preserve">،انتهی.</w:t>
      </w:r>
    </w:p>
    <w:p>
      <w:pPr>
        <w:pStyle w:val="Heading6"/>
      </w:pPr>
      <w:bookmarkStart w:id="1411" w:name="_Toc446"/>
      <w:r>
        <w:t>[المناقشة فیما أفاده صاحب الفصول]</w:t>
      </w:r>
      <w:bookmarkEnd w:id="1411"/>
    </w:p>
    <w:p>
      <w:pPr>
        <w:pStyle w:val="BookText"/>
      </w:pPr>
      <w:r>
        <w:rPr>
          <w:rFonts w:ascii="IRNazanin" w:hAnsi="IRNazanin" w:eastAsia="IRNazanin" w:cs="IRNazanin"/>
          <w:lang w:bidi="fa-IR"/>
          <w:color w:val="111111"/>
          <w:sz w:val="28"/>
          <w:szCs w:val="28"/>
          <w:rtl/>
        </w:rPr>
        <w:t xml:space="preserve">أقول:أمّا ما ادّعاه من عموم تلک الأخبار لنفی غیر الحکم الالزامیّ التکلیفیّ،فلولا عدوله عنه فی باب البراءة و الاحتیاط من الأدلّة العقلیّة </w:t>
      </w:r>
      <w:r>
        <w:rPr>
          <w:rStyle w:val="FootnoteReference"/>
        </w:rPr>
        <w:footnoteReference w:id="1051"/>
      </w:r>
      <w:r>
        <w:rPr>
          <w:rFonts w:ascii="IRNazanin" w:hAnsi="IRNazanin" w:eastAsia="IRNazanin" w:cs="IRNazanin"/>
          <w:lang w:bidi="fa-IR"/>
          <w:color w:val="111111"/>
          <w:sz w:val="28"/>
          <w:szCs w:val="28"/>
          <w:rtl/>
        </w:rPr>
        <w:t xml:space="preserve">،لذکرنا بعض ما فیه:من منع العموم أوّلا،و منع کون الجزئیّة أمرا مجعولا شرعیّا غیر الحکم التکلیفیّ-و هو إیجاب المرکّب المشتمل علی ذلک الجزء-ثانیا.</w:t>
      </w:r>
    </w:p>
    <w:p>
      <w:pPr>
        <w:pStyle w:val="BookText"/>
      </w:pPr>
      <w:r>
        <w:rPr>
          <w:rFonts w:ascii="IRNazanin" w:hAnsi="IRNazanin" w:eastAsia="IRNazanin" w:cs="IRNazanin"/>
          <w:lang w:bidi="fa-IR"/>
          <w:color w:val="111111"/>
          <w:sz w:val="28"/>
          <w:szCs w:val="28"/>
          <w:rtl/>
        </w:rPr>
        <w:t xml:space="preserve">و أمّا ما استشهد به:من فهم الأصحاب و ما ظهر له بالتصفّح، ففیه:</w:t>
      </w:r>
    </w:p>
    <w:p>
      <w:pPr>
        <w:pStyle w:val="BookText"/>
      </w:pPr>
      <w:r>
        <w:rPr>
          <w:rFonts w:ascii="Amiri" w:hAnsi="Amiri" w:eastAsia="Amiri" w:cs="Amiri"/>
          <w:lang w:bidi="ar-SA"/>
          <w:color w:val="111111"/>
          <w:sz w:val="28"/>
          <w:szCs w:val="28"/>
          <w:rtl/>
        </w:rPr>
        <w:t xml:space="preserve">أنّ </w:t>
      </w:r>
      <w:r>
        <w:rPr>
          <w:rStyle w:val="FootnoteReference"/>
        </w:rPr>
        <w:footnoteReference w:id="1052"/>
      </w:r>
      <w:r>
        <w:rPr>
          <w:rFonts w:ascii="IRNazanin" w:hAnsi="IRNazanin" w:eastAsia="IRNazanin" w:cs="IRNazanin"/>
          <w:lang w:bidi="fa-IR"/>
          <w:color w:val="111111"/>
          <w:sz w:val="28"/>
          <w:szCs w:val="28"/>
          <w:rtl/>
        </w:rPr>
        <w:t xml:space="preserve">ما یظهر للمتصفّح فی هذا المقام:أنّ العلماء لم یستندوا فی</w:t>
      </w:r>
    </w:p>
    <w:p>
      <w:pPr>
        <w:pStyle w:val="BookText"/>
      </w:pPr>
      <w:r>
        <w:rPr>
          <w:rFonts w:ascii="IRNazanin" w:hAnsi="IRNazanin" w:eastAsia="IRNazanin" w:cs="IRNazanin"/>
          <w:lang w:bidi="fa-IR"/>
          <w:color w:val="111111"/>
          <w:sz w:val="28"/>
          <w:szCs w:val="28"/>
          <w:rtl/>
        </w:rPr>
        <w:t xml:space="preserve">[شماره صفحه واقعی : 333]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الأصلین المذکورین إلی هذه الأخبار.</w:t>
      </w:r>
    </w:p>
    <w:p>
      <w:pPr>
        <w:pStyle w:val="BookText"/>
      </w:pPr>
      <w:r>
        <w:rPr>
          <w:rFonts w:ascii="IRNazanin" w:hAnsi="IRNazanin" w:eastAsia="IRNazanin" w:cs="IRNazanin"/>
          <w:lang w:bidi="fa-IR"/>
          <w:color w:val="111111"/>
          <w:sz w:val="28"/>
          <w:szCs w:val="28"/>
          <w:rtl/>
        </w:rPr>
        <w:t xml:space="preserve">أمّا«أصل العدم»،فهو الجاری عندهم فی غیر الأحکام الشرعیّة أیضا،من الأحکام اللفظیّة کأصالة عدم القرینة و غیرها </w:t>
      </w:r>
      <w:r>
        <w:rPr>
          <w:rStyle w:val="FootnoteReference"/>
        </w:rPr>
        <w:footnoteReference w:id="1053"/>
      </w:r>
      <w:r>
        <w:rPr>
          <w:rFonts w:ascii="IRNazanin" w:hAnsi="IRNazanin" w:eastAsia="IRNazanin" w:cs="IRNazanin"/>
          <w:lang w:bidi="fa-IR"/>
          <w:color w:val="111111"/>
          <w:sz w:val="28"/>
          <w:szCs w:val="28"/>
          <w:rtl/>
        </w:rPr>
        <w:t xml:space="preserve">،فکیف یستند فیه بالأخبار المتقدّمة؟</w:t>
      </w:r>
    </w:p>
    <w:p>
      <w:pPr>
        <w:pStyle w:val="BookText"/>
      </w:pPr>
      <w:r>
        <w:rPr>
          <w:rFonts w:ascii="IRNazanin" w:hAnsi="IRNazanin" w:eastAsia="IRNazanin" w:cs="IRNazanin"/>
          <w:lang w:bidi="fa-IR"/>
          <w:color w:val="111111"/>
          <w:sz w:val="28"/>
          <w:szCs w:val="28"/>
          <w:rtl/>
        </w:rPr>
        <w:t xml:space="preserve">و أمّا«عدم الدلیل دلیل العدم»،فالمستند فیه عندهم شیء آخر، ذکره کلّ من تعرّض لهذه القاعدة،کالشیخ </w:t>
      </w:r>
      <w:r>
        <w:rPr>
          <w:rStyle w:val="FootnoteReference"/>
        </w:rPr>
        <w:footnoteReference w:id="1054"/>
      </w:r>
      <w:r>
        <w:rPr>
          <w:rFonts w:ascii="Amiri" w:hAnsi="Amiri" w:eastAsia="Amiri" w:cs="Amiri"/>
          <w:lang w:bidi="ar-SA"/>
          <w:color w:val="111111"/>
          <w:sz w:val="28"/>
          <w:szCs w:val="28"/>
          <w:rtl/>
        </w:rPr>
        <w:t xml:space="preserve">و ابن زهرة </w:t>
      </w:r>
      <w:r>
        <w:rPr>
          <w:rStyle w:val="FootnoteReference"/>
        </w:rPr>
        <w:footnoteReference w:id="1055"/>
      </w:r>
      <w:r>
        <w:rPr>
          <w:rFonts w:ascii="IRNazanin" w:hAnsi="IRNazanin" w:eastAsia="IRNazanin" w:cs="IRNazanin"/>
          <w:lang w:bidi="fa-IR"/>
          <w:color w:val="111111"/>
          <w:sz w:val="28"/>
          <w:szCs w:val="28"/>
          <w:rtl/>
        </w:rPr>
        <w:t xml:space="preserve">و الفاضلین </w:t>
      </w:r>
      <w:r>
        <w:rPr>
          <w:rStyle w:val="FootnoteReference"/>
        </w:rPr>
        <w:footnoteReference w:id="1056"/>
      </w:r>
      <w:r>
        <w:rPr>
          <w:rFonts w:ascii="IRNazanin" w:hAnsi="IRNazanin" w:eastAsia="IRNazanin" w:cs="IRNazanin"/>
          <w:lang w:bidi="fa-IR"/>
          <w:color w:val="111111"/>
          <w:sz w:val="28"/>
          <w:szCs w:val="28"/>
          <w:rtl/>
        </w:rPr>
        <w:t xml:space="preserve">و الشهید </w:t>
      </w:r>
      <w:r>
        <w:rPr>
          <w:rStyle w:val="FootnoteReference"/>
        </w:rPr>
        <w:footnoteReference w:id="1057"/>
      </w:r>
      <w:r>
        <w:rPr>
          <w:rFonts w:ascii="IRNazanin" w:hAnsi="IRNazanin" w:eastAsia="IRNazanin" w:cs="IRNazanin"/>
          <w:lang w:bidi="fa-IR"/>
          <w:color w:val="111111"/>
          <w:sz w:val="28"/>
          <w:szCs w:val="28"/>
          <w:rtl/>
        </w:rPr>
        <w:t xml:space="preserve">و غیرهم </w:t>
      </w:r>
      <w:r>
        <w:rPr>
          <w:rStyle w:val="FootnoteReference"/>
        </w:rPr>
        <w:footnoteReference w:id="1058"/>
      </w:r>
      <w:r>
        <w:rPr>
          <w:rFonts w:ascii="IRNazanin" w:hAnsi="IRNazanin" w:eastAsia="IRNazanin" w:cs="IRNazanin"/>
          <w:lang w:bidi="fa-IR"/>
          <w:color w:val="111111"/>
          <w:sz w:val="28"/>
          <w:szCs w:val="28"/>
          <w:rtl/>
        </w:rPr>
        <w:t xml:space="preserve">،و لا اختصاص له بالحکم التکلیفی و الوضعی </w:t>
      </w:r>
      <w:r>
        <w:rPr>
          <w:rStyle w:val="FootnoteReference"/>
        </w:rPr>
        <w:footnoteReference w:id="10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بالجملة:فلم نعثر علی من یستدلّ بهذه الأخبار فی هذین الأصلین:</w:t>
      </w:r>
    </w:p>
    <w:p>
      <w:pPr>
        <w:pStyle w:val="BookText"/>
      </w:pPr>
      <w:r>
        <w:rPr>
          <w:rFonts w:ascii="IRNazanin" w:hAnsi="IRNazanin" w:eastAsia="IRNazanin" w:cs="IRNazanin"/>
          <w:lang w:bidi="fa-IR"/>
          <w:color w:val="111111"/>
          <w:sz w:val="28"/>
          <w:szCs w:val="28"/>
          <w:rtl/>
        </w:rPr>
        <w:t xml:space="preserve">أمّا روایة الحجب و نظائرها فظاهر.</w:t>
      </w:r>
    </w:p>
    <w:p>
      <w:pPr>
        <w:pStyle w:val="BookText"/>
      </w:pPr>
      <w:r>
        <w:rPr>
          <w:rFonts w:ascii="IRNazanin" w:hAnsi="IRNazanin" w:eastAsia="IRNazanin" w:cs="IRNazanin"/>
          <w:lang w:bidi="fa-IR"/>
          <w:color w:val="111111"/>
          <w:sz w:val="28"/>
          <w:szCs w:val="28"/>
          <w:rtl/>
        </w:rPr>
        <w:t xml:space="preserve">و أمّا النبویّ المتضمّن لرفع الخطأ و النسیان و ما لا یعلمون، فأصحابنا بین من یدّعی ظهوره فی رفع المؤاخذة و لا ینفی به غیر الحکم التکلیفیّ-کأخواته من روایة الحجب و غیرها-و هو المحکیّ عن</w:t>
      </w:r>
    </w:p>
    <w:p>
      <w:pPr>
        <w:pStyle w:val="BookText"/>
      </w:pPr>
      <w:r>
        <w:rPr>
          <w:rFonts w:ascii="IRNazanin" w:hAnsi="IRNazanin" w:eastAsia="IRNazanin" w:cs="IRNazanin"/>
          <w:lang w:bidi="fa-IR"/>
          <w:color w:val="111111"/>
          <w:sz w:val="28"/>
          <w:szCs w:val="28"/>
          <w:rtl/>
        </w:rPr>
        <w:t xml:space="preserve">[شماره صفحه واقعی : 334]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أکثر الاصولیّین،و بین من یتعدّی عن ذلک إلی الأحکام الغیر التکلیفیّة </w:t>
      </w:r>
      <w:r>
        <w:rPr>
          <w:rStyle w:val="FootnoteReference"/>
        </w:rPr>
        <w:footnoteReference w:id="1060"/>
      </w:r>
      <w:r>
        <w:rPr>
          <w:rFonts w:ascii="IRNazanin" w:hAnsi="IRNazanin" w:eastAsia="IRNazanin" w:cs="IRNazanin"/>
          <w:lang w:bidi="fa-IR"/>
          <w:color w:val="111111"/>
          <w:sz w:val="28"/>
          <w:szCs w:val="28"/>
          <w:rtl/>
        </w:rPr>
        <w:t xml:space="preserve">، لکن فی موارد وجود الدلیل علی ثبوت ذلک الحکم و عدم جریان الأصلین المذکورین بحیث لو لا النبویّ لقالوا بثبوت ذلک الحکم.و نظرهم فی ذلک إلی:أنّ النبویّ-بناء علی عمومه لنفی الحکم الوضعی-حاکم علی تلک الأدلّة المثبتة لذلک الحکم الوضعی.</w:t>
      </w:r>
    </w:p>
    <w:p>
      <w:pPr>
        <w:pStyle w:val="BookText"/>
      </w:pPr>
      <w:r>
        <w:rPr>
          <w:rFonts w:ascii="IRNazanin" w:hAnsi="IRNazanin" w:eastAsia="IRNazanin" w:cs="IRNazanin"/>
          <w:lang w:bidi="fa-IR"/>
          <w:color w:val="111111"/>
          <w:sz w:val="28"/>
          <w:szCs w:val="28"/>
          <w:rtl/>
        </w:rPr>
        <w:t xml:space="preserve">و مع ما عرفت،کیف یدّعی أنّ مستند الأصلین المذکورین المتّفق علیهما،هو هذه الروایات التی ذهب الأکثر إلی اختصاصها بنفی المؤاخذة؟</w:t>
      </w:r>
    </w:p>
    <w:p>
      <w:pPr>
        <w:pStyle w:val="BookText"/>
      </w:pPr>
      <w:r>
        <w:rPr>
          <w:rFonts w:ascii="IRNazanin" w:hAnsi="IRNazanin" w:eastAsia="IRNazanin" w:cs="IRNazanin"/>
          <w:lang w:bidi="fa-IR"/>
          <w:color w:val="111111"/>
          <w:sz w:val="28"/>
          <w:szCs w:val="28"/>
          <w:rtl/>
        </w:rPr>
        <w:t xml:space="preserve">نعم،یمکن التمسّک بها-أیضا-فی مورد جریان الأصلین المذکورین؛بناء علی أنّ صدق رفع أثر هذه الامور أعنی الخطأ و النسیان و أخواتهما،کما یحصل بوجود المقتضی لذلک الأثر </w:t>
      </w:r>
      <w:r>
        <w:rPr>
          <w:rStyle w:val="FootnoteReference"/>
        </w:rPr>
        <w:footnoteReference w:id="1061"/>
      </w:r>
      <w:r>
        <w:rPr>
          <w:rFonts w:ascii="IRNazanin" w:hAnsi="IRNazanin" w:eastAsia="IRNazanin" w:cs="IRNazanin"/>
          <w:lang w:bidi="fa-IR"/>
          <w:color w:val="111111"/>
          <w:sz w:val="28"/>
          <w:szCs w:val="28"/>
          <w:rtl/>
        </w:rPr>
        <w:t xml:space="preserve">تحقیقا-کما فی موارد ثبوت الدلیل المثبت لذلک الأثر،الشامل لصورة الخطأ و النسیان </w:t>
      </w:r>
      <w:r>
        <w:rPr>
          <w:rStyle w:val="FootnoteReference"/>
        </w:rPr>
        <w:footnoteReference w:id="1062"/>
      </w:r>
      <w:r>
        <w:rPr>
          <w:rFonts w:ascii="IRNazanin" w:hAnsi="IRNazanin" w:eastAsia="IRNazanin" w:cs="IRNazanin"/>
          <w:lang w:bidi="fa-IR"/>
          <w:color w:val="111111"/>
          <w:sz w:val="28"/>
          <w:szCs w:val="28"/>
          <w:rtl/>
        </w:rPr>
        <w:t xml:space="preserve">-کذلک یحصل بتوهّم ثبوت المقتضی و لو لم یکن علیه دلیل و لا له مقتض محقّق.</w:t>
      </w:r>
    </w:p>
    <w:p>
      <w:pPr>
        <w:pStyle w:val="BookText"/>
      </w:pPr>
      <w:r>
        <w:rPr>
          <w:rFonts w:ascii="IRNazanin" w:hAnsi="IRNazanin" w:eastAsia="IRNazanin" w:cs="IRNazanin"/>
          <w:lang w:bidi="fa-IR"/>
          <w:color w:val="111111"/>
          <w:sz w:val="28"/>
          <w:szCs w:val="28"/>
          <w:rtl/>
        </w:rPr>
        <w:t xml:space="preserve">لکن تصادق بعض موارد الأصلین و الروایة مع تباینهما الجزئیّ، لا یدلّ علی الاستناد لهما بها،بل یدلّ علی العدم.</w:t>
      </w:r>
    </w:p>
    <w:p>
      <w:pPr>
        <w:pStyle w:val="BookText"/>
      </w:pPr>
      <w:r>
        <w:rPr>
          <w:rFonts w:ascii="IRNazanin" w:hAnsi="IRNazanin" w:eastAsia="IRNazanin" w:cs="IRNazanin"/>
          <w:lang w:bidi="fa-IR"/>
          <w:color w:val="111111"/>
          <w:sz w:val="28"/>
          <w:szCs w:val="28"/>
          <w:rtl/>
        </w:rPr>
        <w:t xml:space="preserve">ثمّ إنّ فی الملازمة التی صرّح بها فی قوله:و إلاّ لدلّت هذه الأخبار علی نفی حجّیة الطرق الظنّیة کخبر الواحد و غیره،منعا</w:t>
      </w:r>
    </w:p>
    <w:p>
      <w:pPr>
        <w:pStyle w:val="BookText"/>
      </w:pPr>
      <w:r>
        <w:rPr>
          <w:rFonts w:ascii="IRNazanin" w:hAnsi="IRNazanin" w:eastAsia="IRNazanin" w:cs="IRNazanin"/>
          <w:lang w:bidi="fa-IR"/>
          <w:color w:val="111111"/>
          <w:sz w:val="28"/>
          <w:szCs w:val="28"/>
          <w:rtl/>
        </w:rPr>
        <w:t xml:space="preserve">[شماره صفحه واقعی : 335]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224" w:name="pg14411_142725"/>
    <w:bookmarkEnd w:id="224"/>
    <w:p>
      <w:pPr>
        <w:pStyle w:val="BookText"/>
      </w:pPr>
      <w:r>
        <w:rPr>
          <w:rFonts w:ascii="IRNazanin" w:hAnsi="IRNazanin" w:eastAsia="IRNazanin" w:cs="IRNazanin"/>
          <w:lang w:bidi="fa-IR"/>
          <w:color w:val="111111"/>
          <w:sz w:val="28"/>
          <w:szCs w:val="28"/>
          <w:rtl/>
        </w:rPr>
        <w:t xml:space="preserve">واضحا،لیس هنا محلّ ذکره،فافهم </w:t>
      </w:r>
      <w:r>
        <w:rPr>
          <w:rStyle w:val="FootnoteReference"/>
        </w:rPr>
        <w:footnoteReference w:id="1063"/>
      </w:r>
      <w:r>
        <w:rPr>
          <w:rFonts w:ascii="Times New Roman" w:hAnsi="Times New Roman" w:eastAsia="Times New Roman" w:cs="Times New Roman"/>
          <w:lang w:val="en-US" w:bidi="en-US"/>
          <w:color w:val="111111"/>
          <w:sz w:val="28"/>
          <w:szCs w:val="28"/>
          <w:rtl/>
        </w:rPr>
        <w:t xml:space="preserve">.</w:t>
      </w:r>
    </w:p>
    <w:p>
      <w:pPr>
        <w:pStyle w:val="Heading6"/>
      </w:pPr>
      <w:bookmarkStart w:id="1412" w:name="_Toc447"/>
      <w:r>
        <w:t>[اصول أخر قد یتمسّک بها علی البراءة فی المسألة:]</w:t>
      </w:r>
      <w:bookmarkEnd w:id="1412"/>
    </w:p>
    <w:p>
      <w:pPr>
        <w:pStyle w:val="Heading6"/>
      </w:pPr>
      <w:bookmarkStart w:id="1413" w:name="_Toc448"/>
      <w:r>
        <w:t>اشارة</w:t>
      </w:r>
      <w:bookmarkEnd w:id="1413"/>
    </w:p>
    <w:p>
      <w:pPr>
        <w:pStyle w:val="BookText"/>
      </w:pPr>
      <w:r>
        <w:rPr>
          <w:rFonts w:ascii="IRNazanin" w:hAnsi="IRNazanin" w:eastAsia="IRNazanin" w:cs="IRNazanin"/>
          <w:lang w:bidi="fa-IR"/>
          <w:color w:val="111111"/>
          <w:sz w:val="28"/>
          <w:szCs w:val="28"/>
          <w:rtl/>
        </w:rPr>
        <w:t xml:space="preserve">و اعلم:أنّ هنا اصولا ربما یتمسّک بها علی المختار:</w:t>
      </w:r>
    </w:p>
    <w:p>
      <w:pPr>
        <w:pStyle w:val="Heading6"/>
      </w:pPr>
      <w:bookmarkStart w:id="1414" w:name="_Toc449"/>
      <w:r>
        <w:t>منها : أصالة عدم وجوب الأکثر</w:t>
      </w:r>
      <w:bookmarkEnd w:id="1414"/>
    </w:p>
    <w:p>
      <w:pPr>
        <w:pStyle w:val="BookText"/>
      </w:pPr>
      <w:r>
        <w:rPr>
          <w:rFonts w:ascii="IRNazanin" w:hAnsi="IRNazanin" w:eastAsia="IRNazanin" w:cs="IRNazanin"/>
          <w:lang w:bidi="fa-IR"/>
          <w:color w:val="111111"/>
          <w:sz w:val="28"/>
          <w:szCs w:val="28"/>
          <w:rtl/>
        </w:rPr>
        <w:t xml:space="preserve">و قد عرفت سابقا حالها </w:t>
      </w:r>
      <w:r>
        <w:rPr>
          <w:rStyle w:val="FootnoteReference"/>
        </w:rPr>
        <w:footnoteReference w:id="1064"/>
      </w:r>
      <w:r>
        <w:rPr>
          <w:rFonts w:ascii="Times New Roman" w:hAnsi="Times New Roman" w:eastAsia="Times New Roman" w:cs="Times New Roman"/>
          <w:lang w:val="en-US" w:bidi="en-US"/>
          <w:color w:val="111111"/>
          <w:sz w:val="28"/>
          <w:szCs w:val="28"/>
          <w:rtl/>
        </w:rPr>
        <w:t xml:space="preserve">.</w:t>
      </w:r>
    </w:p>
    <w:p>
      <w:pPr>
        <w:pStyle w:val="Heading6"/>
      </w:pPr>
      <w:bookmarkStart w:id="1415" w:name="_Toc450"/>
      <w:r>
        <w:t>و منها : أصالة عدم وجوب الشیء المشکوک فی جزئیّته</w:t>
      </w:r>
      <w:bookmarkEnd w:id="1415"/>
    </w:p>
    <w:p>
      <w:pPr>
        <w:pStyle w:val="BookText"/>
      </w:pPr>
      <w:r>
        <w:rPr>
          <w:rFonts w:ascii="IRNazanin" w:hAnsi="IRNazanin" w:eastAsia="IRNazanin" w:cs="IRNazanin"/>
          <w:lang w:bidi="fa-IR"/>
          <w:color w:val="111111"/>
          <w:sz w:val="28"/>
          <w:szCs w:val="28"/>
          <w:rtl/>
        </w:rPr>
        <w:t xml:space="preserve">و حالها حال سابقها بل أردأ؛لأنّ الحادث المجعول </w:t>
      </w:r>
      <w:r>
        <w:rPr>
          <w:rStyle w:val="FootnoteReference"/>
        </w:rPr>
        <w:footnoteReference w:id="1065"/>
      </w:r>
      <w:r>
        <w:rPr>
          <w:rFonts w:ascii="IRNazanin" w:hAnsi="IRNazanin" w:eastAsia="IRNazanin" w:cs="IRNazanin"/>
          <w:lang w:bidi="fa-IR"/>
          <w:color w:val="111111"/>
          <w:sz w:val="28"/>
          <w:szCs w:val="28"/>
          <w:rtl/>
        </w:rPr>
        <w:t xml:space="preserve">هو وجوب المرکّب المشتمل علیه،فوجوب الجزء فی ضمن الکلّ عین وجوب الکلّ،و وجوبه المقدّمی بمعنی اللاّبدّیة لازم له غیر حادث بحدوث مغایر کزوجیّة الأربعة،و بمعنی الطلب الغیری حادث مغایر،لکن لا یترتّب علیه أثر یجدی فیما نحن فیه؛إلاّ علی القول باعتبار الأصل المثبت لیثبت بذلک کون الماهیّة هی الأقلّ.</w:t>
      </w:r>
    </w:p>
    <w:p>
      <w:pPr>
        <w:pStyle w:val="Heading6"/>
      </w:pPr>
      <w:bookmarkStart w:id="1416" w:name="_Toc451"/>
      <w:r>
        <w:t>و منها : أصالة عدم جزئیّة الشیء المشکوک</w:t>
      </w:r>
      <w:bookmarkEnd w:id="1416"/>
    </w:p>
    <w:p>
      <w:pPr>
        <w:pStyle w:val="BookText"/>
      </w:pPr>
      <w:r>
        <w:rPr>
          <w:rFonts w:ascii="IRNazanin" w:hAnsi="IRNazanin" w:eastAsia="IRNazanin" w:cs="IRNazanin"/>
          <w:lang w:bidi="fa-IR"/>
          <w:color w:val="111111"/>
          <w:sz w:val="28"/>
          <w:szCs w:val="28"/>
          <w:rtl/>
        </w:rPr>
        <w:t xml:space="preserve">و فیه:أنّ جزئیّة الشیء المشکوک-کالسورة-للمرکّب الواقعیّ و عدمها </w:t>
      </w:r>
      <w:r>
        <w:rPr>
          <w:rStyle w:val="FootnoteReference"/>
        </w:rPr>
        <w:footnoteReference w:id="1066"/>
      </w:r>
      <w:r>
        <w:rPr>
          <w:rFonts w:ascii="IRNazanin" w:hAnsi="IRNazanin" w:eastAsia="IRNazanin" w:cs="IRNazanin"/>
          <w:lang w:bidi="fa-IR"/>
          <w:color w:val="111111"/>
          <w:sz w:val="28"/>
          <w:szCs w:val="28"/>
          <w:rtl/>
        </w:rPr>
        <w:t xml:space="preserve">،لیست أمرا حادثا مسبوقا بالعدم.</w:t>
      </w:r>
    </w:p>
    <w:p>
      <w:pPr>
        <w:pStyle w:val="BookText"/>
      </w:pPr>
      <w:r>
        <w:rPr>
          <w:rFonts w:ascii="IRNazanin" w:hAnsi="IRNazanin" w:eastAsia="IRNazanin" w:cs="IRNazanin"/>
          <w:lang w:bidi="fa-IR"/>
          <w:color w:val="111111"/>
          <w:sz w:val="28"/>
          <w:szCs w:val="28"/>
          <w:rtl/>
        </w:rPr>
        <w:t xml:space="preserve">و إن ارید:أصالة عدم صیرورة السورة جزء المرکّب المأمور </w:t>
      </w:r>
      <w:r>
        <w:rPr>
          <w:rStyle w:val="FootnoteReference"/>
        </w:rPr>
        <w:footnoteReference w:id="1067"/>
      </w:r>
    </w:p>
    <w:p>
      <w:pPr>
        <w:pStyle w:val="BookText"/>
      </w:pPr>
      <w:r>
        <w:rPr>
          <w:rFonts w:ascii="IRNazanin" w:hAnsi="IRNazanin" w:eastAsia="IRNazanin" w:cs="IRNazanin"/>
          <w:lang w:bidi="fa-IR"/>
          <w:color w:val="111111"/>
          <w:sz w:val="28"/>
          <w:szCs w:val="28"/>
          <w:rtl/>
        </w:rPr>
        <w:t xml:space="preserve">[شماره صفحه واقعی : 336]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به،لیثبت بذلک خلوّ المرکّب المأمور به منه،و مرجعه إلی أصالة عدم الأمر بما یکون هذا جزء منه،ففیه:ما مرّ من أنّه أصل مثبت.</w:t>
      </w:r>
    </w:p>
    <w:p>
      <w:pPr>
        <w:pStyle w:val="BookText"/>
      </w:pPr>
      <w:r>
        <w:rPr>
          <w:rFonts w:ascii="IRNazanin" w:hAnsi="IRNazanin" w:eastAsia="IRNazanin" w:cs="IRNazanin"/>
          <w:lang w:bidi="fa-IR"/>
          <w:color w:val="111111"/>
          <w:sz w:val="28"/>
          <w:szCs w:val="28"/>
          <w:rtl/>
        </w:rPr>
        <w:t xml:space="preserve">و إن ارید:أصالة عدم دخل هذا المشکوک فی المرکّب عند اختراعه له،الذی هو عبارة عن ملاحظة عدّة أجزاء غیر مرتبطة فی نفسها شیئا واحدا،و مرجعها إلی أصالة عدم ملاحظة هذا الشیء مع المرکّب المأمور به شیئا واحدا؛فإنّ الماهیّات المرکّبة لمّا کان ترکّبها جعلیّا حاصلا بالاعتبار-و إلاّ فهی أجزاء لا ارتباط بینها فی أنفسها و لا وحدة تجمعها إلاّ باعتبار معتبر-توقّف جزئیّة شیء لها علی ملاحظته معها و اعتبارها مع هذا الشیء أمرا واحدا.</w:t>
      </w:r>
    </w:p>
    <w:p>
      <w:pPr>
        <w:pStyle w:val="BookText"/>
      </w:pPr>
      <w:r>
        <w:rPr>
          <w:rFonts w:ascii="IRNazanin" w:hAnsi="IRNazanin" w:eastAsia="IRNazanin" w:cs="IRNazanin"/>
          <w:lang w:bidi="fa-IR"/>
          <w:color w:val="111111"/>
          <w:sz w:val="28"/>
          <w:szCs w:val="28"/>
          <w:rtl/>
        </w:rPr>
        <w:t xml:space="preserve">فمعنی جزئیّة السورة للصلاة ملاحظة السورة مع باقی الأجزاء شیئا واحدا،و هذا معنی اختراع الماهیّات و کونها مجعولة؛فالجعل و الاختراع فیها من حیث التصوّر و الملاحظة،لا من حیث الحکم حتّی یکون الجزئیّة حکما شرعیّا وضعیّا فی مقابل الحکم التکلیفیّ،کما اشتهر فی ألسنة جماعة </w:t>
      </w:r>
      <w:r>
        <w:rPr>
          <w:rStyle w:val="FootnoteReference"/>
        </w:rPr>
        <w:footnoteReference w:id="1068"/>
      </w:r>
      <w:r>
        <w:rPr>
          <w:rFonts w:ascii="IRNazanin" w:hAnsi="IRNazanin" w:eastAsia="IRNazanin" w:cs="IRNazanin"/>
          <w:lang w:bidi="fa-IR"/>
          <w:color w:val="111111"/>
          <w:sz w:val="28"/>
          <w:szCs w:val="28"/>
          <w:rtl/>
        </w:rPr>
        <w:t xml:space="preserve">،إلاّ أن یریدوا بالحکم الوضعی هذا المعنی.و تمام الکلام یأتی فی باب الاستصحاب عند ذکر التفصیل بین الأحکام الوضعیّة و الأحکام التکلیفیّة </w:t>
      </w:r>
      <w:r>
        <w:rPr>
          <w:rStyle w:val="FootnoteReference"/>
        </w:rPr>
        <w:footnoteReference w:id="10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إنّه إذا شکّ فی الجزئیّة بالمعنی المذکور فالأصل عدمها،فإذا ثبت عدمها فی الظاهر یترتّب علیه کون الماهیّة المأمور بها هی الأقلّ؛ لأنّ تعیین الماهیّة فی الأقلّ یحتاج إلی جنس وجودی،و هی الأجزاء</w:t>
      </w:r>
    </w:p>
    <w:p>
      <w:pPr>
        <w:pStyle w:val="BookText"/>
      </w:pPr>
      <w:r>
        <w:rPr>
          <w:rFonts w:ascii="IRNazanin" w:hAnsi="IRNazanin" w:eastAsia="IRNazanin" w:cs="IRNazanin"/>
          <w:lang w:bidi="fa-IR"/>
          <w:color w:val="111111"/>
          <w:sz w:val="28"/>
          <w:szCs w:val="28"/>
          <w:rtl/>
        </w:rPr>
        <w:t xml:space="preserve">[شماره صفحه واقعی : 337]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المعلومة،و فصل عدمیّ هو عدم جزئیّة غیرها و عدم ملاحظته معها، و الجنس موجود بالفرض،و الفصل ثابت بالأصل،فتعیّن المأمور به، فله وجه </w:t>
      </w:r>
      <w:r>
        <w:rPr>
          <w:rStyle w:val="FootnoteReference"/>
        </w:rPr>
        <w:footnoteReference w:id="10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إلاّ أن یقال:إنّ جزئیّة الشیء مرجعها إلی ملاحظة المرکّب منه و من الباقی شیئا واحدا،کما أنّ عدم جزئیّته راجع إلی ملاحظة غیره من الأجزاء شیئا واحدا،فجزئیّة الشیء و کلّیة المرکّب المشتمل علیه مجعول بجعل واحد،فالشکّ فی جزئیّة الشیء شکّ فی کلّیة الأکثر،و نفی جزئیّة الشیء نفی لکلّیته،فإثبات کلّیة الأقلّ بذلک إثبات لأحد الضدّین بنفی الآخر،و لیس أولی من العکس.</w:t>
      </w:r>
    </w:p>
    <w:p>
      <w:pPr>
        <w:pStyle w:val="BookText"/>
      </w:pPr>
      <w:r>
        <w:rPr>
          <w:rFonts w:ascii="IRNazanin" w:hAnsi="IRNazanin" w:eastAsia="IRNazanin" w:cs="IRNazanin"/>
          <w:lang w:bidi="fa-IR"/>
          <w:color w:val="111111"/>
          <w:sz w:val="28"/>
          <w:szCs w:val="28"/>
          <w:rtl/>
        </w:rPr>
        <w:t xml:space="preserve">و منه یظهر:عدم جواز التمسّک بأصالة عدم التفات الآمر حین تصوّر المرکّب إلی هذا الجزء،حتّی یکون بالملاحظة </w:t>
      </w:r>
      <w:r>
        <w:rPr>
          <w:rStyle w:val="FootnoteReference"/>
        </w:rPr>
        <w:footnoteReference w:id="1071"/>
      </w:r>
      <w:r>
        <w:rPr>
          <w:rFonts w:ascii="IRNazanin" w:hAnsi="IRNazanin" w:eastAsia="IRNazanin" w:cs="IRNazanin"/>
          <w:lang w:bidi="fa-IR"/>
          <w:color w:val="111111"/>
          <w:sz w:val="28"/>
          <w:szCs w:val="28"/>
          <w:rtl/>
        </w:rPr>
        <w:t xml:space="preserve">شیئا واحدا مرکّبا من ذلک و من باقی الأجزاء؛لأنّ هذا-أیضا-لا یثبت أنّه اعتبر الترکیب بالنسبة إلی باقی الأجزاء.</w:t>
      </w:r>
    </w:p>
    <w:p>
      <w:pPr>
        <w:pStyle w:val="BookText"/>
      </w:pPr>
      <w:r>
        <w:rPr>
          <w:rFonts w:ascii="IRNazanin" w:hAnsi="IRNazanin" w:eastAsia="IRNazanin" w:cs="IRNazanin"/>
          <w:lang w:bidi="fa-IR"/>
          <w:color w:val="111111"/>
          <w:sz w:val="28"/>
          <w:szCs w:val="28"/>
          <w:rtl/>
        </w:rPr>
        <w:t xml:space="preserve">هذا،مع أنّ أصالة عدم الالتفات لا یجری بالنسبة إلی الشارع المنزه عن الغفلة،بل لا یجری مطلقا فی ما دار أمر الجزء بین کونه جزءا واجبا أو جزءا مستحبّا،لحصول الالتفات فیه قطعا،فتأمّل.</w:t>
      </w:r>
    </w:p>
    <w:p>
      <w:pPr>
        <w:pStyle w:val="BookText"/>
      </w:pPr>
      <w:r>
        <w:rPr>
          <w:rFonts w:ascii="IRNazanin" w:hAnsi="IRNazanin" w:eastAsia="IRNazanin" w:cs="IRNazanin"/>
          <w:lang w:bidi="fa-IR"/>
          <w:color w:val="111111"/>
          <w:sz w:val="28"/>
          <w:szCs w:val="28"/>
          <w:rtl/>
        </w:rPr>
        <w:t xml:space="preserve">[شماره صفحه واقعی : 338]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225" w:name="pg14411_142728"/>
    <w:bookmarkEnd w:id="225"/>
    <w:p>
      <w:pPr>
        <w:pStyle w:val="Heading6"/>
      </w:pPr>
      <w:bookmarkStart w:id="1417" w:name="_Toc452"/>
      <w:r>
        <w:t>المسألة الثانیة ما إذا کان الشکّ فی الجزئیّة ناشئا من إجمال الدلیل</w:t>
      </w:r>
      <w:bookmarkEnd w:id="1417"/>
    </w:p>
    <w:p>
      <w:pPr>
        <w:pStyle w:val="Heading6"/>
      </w:pPr>
      <w:bookmarkStart w:id="1418" w:name="_Toc453"/>
      <w:r>
        <w:t>اشارة</w:t>
      </w:r>
      <w:bookmarkEnd w:id="1418"/>
    </w:p>
    <w:p>
      <w:pPr>
        <w:pStyle w:val="BookText"/>
      </w:pPr>
      <w:r>
        <w:rPr>
          <w:rFonts w:ascii="IRNazanin" w:hAnsi="IRNazanin" w:eastAsia="IRNazanin" w:cs="IRNazanin"/>
          <w:lang w:bidi="fa-IR"/>
          <w:color w:val="111111"/>
          <w:sz w:val="28"/>
          <w:szCs w:val="28"/>
          <w:rtl/>
        </w:rPr>
        <w:t xml:space="preserve">کما إذا علّق الوجوب فی الدلیل اللفظی بلفظ مردّد-بأحد أسباب الإجمال-بین مرکّبین یدخل أقلّهما جزءا تحت الأکثر بحیث یکون الآتی بالأکثر آتیا بالأقلّ.</w:t>
      </w:r>
    </w:p>
    <w:p>
      <w:pPr>
        <w:pStyle w:val="Heading6"/>
      </w:pPr>
      <w:bookmarkStart w:id="1419" w:name="_Toc454"/>
      <w:r>
        <w:t>[الإجمال قد یکون فی المعنی العرفی و قد یکون فی المعنی الشرعی]</w:t>
      </w:r>
      <w:bookmarkEnd w:id="1419"/>
    </w:p>
    <w:p>
      <w:pPr>
        <w:pStyle w:val="BookText"/>
      </w:pPr>
      <w:r>
        <w:rPr>
          <w:rFonts w:ascii="IRNazanin" w:hAnsi="IRNazanin" w:eastAsia="IRNazanin" w:cs="IRNazanin"/>
          <w:lang w:bidi="fa-IR"/>
          <w:color w:val="111111"/>
          <w:sz w:val="28"/>
          <w:szCs w:val="28"/>
          <w:rtl/>
        </w:rPr>
        <w:t xml:space="preserve">و الإجمال:قد یکون فی المعنی العرفیّ،کأن وجب فی الغسل غسل ظاهر البدن،فیشکّ فی أنّ الجزء الفلانی-کباطن الاذن أو عکنة </w:t>
      </w:r>
      <w:r>
        <w:rPr>
          <w:rStyle w:val="FootnoteReference"/>
        </w:rPr>
        <w:footnoteReference w:id="1072"/>
      </w:r>
      <w:r>
        <w:rPr>
          <w:rFonts w:ascii="IRNazanin" w:hAnsi="IRNazanin" w:eastAsia="IRNazanin" w:cs="IRNazanin"/>
          <w:lang w:bidi="fa-IR"/>
          <w:color w:val="111111"/>
          <w:sz w:val="28"/>
          <w:szCs w:val="28"/>
          <w:rtl/>
        </w:rPr>
        <w:t xml:space="preserve">البطن-من الظاهر أو الباطن.</w:t>
      </w:r>
    </w:p>
    <w:p>
      <w:pPr>
        <w:pStyle w:val="BookText"/>
      </w:pPr>
      <w:r>
        <w:rPr>
          <w:rFonts w:ascii="IRNazanin" w:hAnsi="IRNazanin" w:eastAsia="IRNazanin" w:cs="IRNazanin"/>
          <w:lang w:bidi="fa-IR"/>
          <w:color w:val="111111"/>
          <w:sz w:val="28"/>
          <w:szCs w:val="28"/>
          <w:rtl/>
        </w:rPr>
        <w:t xml:space="preserve">و قد یکون فی المعنی الشرعیّ،کالأوامر المتعلّقة فی الکتاب و السنّة بالصلاة و أمثالها،بناء علی أنّ هذه الألفاظ موضوعة للماهیّة الصحیحة یعنی الجامعة لجمیع الأجزاء الواقعیّة.</w:t>
      </w:r>
    </w:p>
    <w:p>
      <w:pPr>
        <w:pStyle w:val="Heading6"/>
      </w:pPr>
      <w:bookmarkStart w:id="1420" w:name="_Toc455"/>
      <w:r>
        <w:t>[الأقوی جریان أصالة البراءة أیضا]</w:t>
      </w:r>
      <w:bookmarkEnd w:id="1420"/>
    </w:p>
    <w:p>
      <w:pPr>
        <w:pStyle w:val="BookText"/>
      </w:pPr>
      <w:r>
        <w:rPr>
          <w:rFonts w:ascii="IRNazanin" w:hAnsi="IRNazanin" w:eastAsia="IRNazanin" w:cs="IRNazanin"/>
          <w:lang w:bidi="fa-IR"/>
          <w:color w:val="111111"/>
          <w:sz w:val="28"/>
          <w:szCs w:val="28"/>
          <w:rtl/>
        </w:rPr>
        <w:t xml:space="preserve">و الأقوی هنا أیضا:جریان أصالة البراءة؛لعین ما أسلفناه فی سابقه من العقل و النقل.</w:t>
      </w:r>
    </w:p>
    <w:p>
      <w:pPr>
        <w:pStyle w:val="Heading6"/>
      </w:pPr>
      <w:bookmarkStart w:id="1421" w:name="_Toc456"/>
      <w:r>
        <w:t>[تخیّل جریان قاعدة الاشتغال فی المسألة،و دفعه]</w:t>
      </w:r>
      <w:bookmarkEnd w:id="1421"/>
    </w:p>
    <w:p>
      <w:pPr>
        <w:pStyle w:val="BookText"/>
      </w:pPr>
      <w:r>
        <w:rPr>
          <w:rFonts w:ascii="IRNazanin" w:hAnsi="IRNazanin" w:eastAsia="IRNazanin" w:cs="IRNazanin"/>
          <w:lang w:bidi="fa-IR"/>
          <w:color w:val="111111"/>
          <w:sz w:val="28"/>
          <w:szCs w:val="28"/>
          <w:rtl/>
        </w:rPr>
        <w:t xml:space="preserve">و ربما یتخیّل:جریان قاعدة الاشتغال هنا و إن جرت أصالة</w:t>
      </w:r>
    </w:p>
    <w:p>
      <w:pPr>
        <w:pStyle w:val="BookText"/>
      </w:pPr>
      <w:r>
        <w:rPr>
          <w:rFonts w:ascii="IRNazanin" w:hAnsi="IRNazanin" w:eastAsia="IRNazanin" w:cs="IRNazanin"/>
          <w:lang w:bidi="fa-IR"/>
          <w:color w:val="111111"/>
          <w:sz w:val="28"/>
          <w:szCs w:val="28"/>
          <w:rtl/>
        </w:rPr>
        <w:t xml:space="preserve">[شماره صفحه واقعی : 339]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البراءة فی المسألة المتقدّمة؛لفقد الخطاب التفصیلیّ المتعلّق بالأمر المجمل فی تلک المسألة و وجوده هنا،فیجب الاحتیاط بالجمع بین محتملات الواجب المجمل،کما هو الشأن فی کلّ خطاب تعلّق بأمر مجمل؛و لذا فرّعوا علی القول بوضع الألفاظ للصحیح کما هو المشهور،وجوب الاحتیاط فی أجزاء العبادات و عدم جواز إجراء أصل البراءة فیها.</w:t>
      </w:r>
    </w:p>
    <w:p>
      <w:pPr>
        <w:pStyle w:val="BookText"/>
      </w:pPr>
      <w:r>
        <w:rPr>
          <w:rFonts w:ascii="IRNazanin" w:hAnsi="IRNazanin" w:eastAsia="IRNazanin" w:cs="IRNazanin"/>
          <w:lang w:bidi="fa-IR"/>
          <w:color w:val="111111"/>
          <w:sz w:val="28"/>
          <w:szCs w:val="28"/>
          <w:rtl/>
        </w:rPr>
        <w:t xml:space="preserve">و فیه:أنّ وجوب الاحتیاط فی المجمل المردّد بین الأقلّ و الأکثر ممنوع؛لأنّ المتیقّن من مدلول هذا الخطاب وجوب الأقلّ بالوجوب المردّد بین النفسیّ و المقدّمی،فلا محیص عن الإتیان به؛لأنّ ترکه مستلزم للعقاب،و أمّا وجوب الأکثر فلم یعلم من هذا الخطاب،فیبقی مشکوکا،فیجیء </w:t>
      </w:r>
      <w:r>
        <w:rPr>
          <w:rStyle w:val="FootnoteReference"/>
        </w:rPr>
        <w:footnoteReference w:id="1073"/>
      </w:r>
      <w:r>
        <w:rPr>
          <w:rFonts w:ascii="IRNazanin" w:hAnsi="IRNazanin" w:eastAsia="IRNazanin" w:cs="IRNazanin"/>
          <w:lang w:bidi="fa-IR"/>
          <w:color w:val="111111"/>
          <w:sz w:val="28"/>
          <w:szCs w:val="28"/>
          <w:rtl/>
        </w:rPr>
        <w:t xml:space="preserve">فیه ما مرّ من الدلیل العقلی و النقلی.</w:t>
      </w:r>
    </w:p>
    <w:p>
      <w:pPr>
        <w:pStyle w:val="BookText"/>
      </w:pPr>
      <w:r>
        <w:rPr>
          <w:rFonts w:ascii="IRNazanin" w:hAnsi="IRNazanin" w:eastAsia="IRNazanin" w:cs="IRNazanin"/>
          <w:lang w:bidi="fa-IR"/>
          <w:color w:val="111111"/>
          <w:sz w:val="28"/>
          <w:szCs w:val="28"/>
          <w:rtl/>
        </w:rPr>
        <w:t xml:space="preserve">و الحاصل:أنّ مناط وجوب الاحتیاط عدم جریان أدلّة البراءة فی واحد معیّن من المحتملین-لمعارضته بجریانها فی المحتمل الآخر-حتّی یخرج المسألة بذلک عن مورد البراءة و یجب الاحتیاط فیها؛لأجل تردّد الواجب المستحقّ علی ترکه العقاب بین أمرین لا معیّن </w:t>
      </w:r>
      <w:r>
        <w:rPr>
          <w:rStyle w:val="FootnoteReference"/>
        </w:rPr>
        <w:footnoteReference w:id="1074"/>
      </w:r>
      <w:r>
        <w:rPr>
          <w:rFonts w:ascii="IRNazanin" w:hAnsi="IRNazanin" w:eastAsia="IRNazanin" w:cs="IRNazanin"/>
          <w:lang w:bidi="fa-IR"/>
          <w:color w:val="111111"/>
          <w:sz w:val="28"/>
          <w:szCs w:val="28"/>
          <w:rtl/>
        </w:rPr>
        <w:t xml:space="preserve">لأحدهما،من غیر فرق فی ذلک بین وجود خطاب تفصیلیّ فی المسألة متعلّق بالمجمل و بین وجود خطاب مردّد بین خطابین.</w:t>
      </w:r>
    </w:p>
    <w:p>
      <w:pPr>
        <w:pStyle w:val="BookText"/>
      </w:pPr>
      <w:r>
        <w:rPr>
          <w:rFonts w:ascii="IRNazanin" w:hAnsi="IRNazanin" w:eastAsia="IRNazanin" w:cs="IRNazanin"/>
          <w:lang w:bidi="fa-IR"/>
          <w:color w:val="111111"/>
          <w:sz w:val="28"/>
          <w:szCs w:val="28"/>
          <w:rtl/>
        </w:rPr>
        <w:t xml:space="preserve">فإذا </w:t>
      </w:r>
      <w:r>
        <w:rPr>
          <w:rStyle w:val="FootnoteReference"/>
        </w:rPr>
        <w:footnoteReference w:id="1075"/>
      </w:r>
      <w:r>
        <w:rPr>
          <w:rFonts w:ascii="IRNazanin" w:hAnsi="IRNazanin" w:eastAsia="IRNazanin" w:cs="IRNazanin"/>
          <w:lang w:bidi="fa-IR"/>
          <w:color w:val="111111"/>
          <w:sz w:val="28"/>
          <w:szCs w:val="28"/>
          <w:rtl/>
        </w:rPr>
        <w:t xml:space="preserve">فقد المناط المذکور و أمکن البراءة فی واحد معیّن،لم یجب الاحتیاط من غیر فرق بین الخطاب التفصیلیّ و غیره.</w:t>
      </w:r>
    </w:p>
    <w:p>
      <w:pPr>
        <w:pStyle w:val="BookText"/>
      </w:pPr>
      <w:r>
        <w:rPr>
          <w:rFonts w:ascii="IRNazanin" w:hAnsi="IRNazanin" w:eastAsia="IRNazanin" w:cs="IRNazanin"/>
          <w:lang w:bidi="fa-IR"/>
          <w:color w:val="111111"/>
          <w:sz w:val="28"/>
          <w:szCs w:val="28"/>
          <w:rtl/>
        </w:rPr>
        <w:t xml:space="preserve">[شماره صفحه واقعی : 340]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226" w:name="pg14411_142730"/>
    <w:bookmarkEnd w:id="226"/>
    <w:p>
      <w:pPr>
        <w:pStyle w:val="BookText"/>
      </w:pPr>
      <w:r>
        <w:rPr>
          <w:rFonts w:ascii="IRNazanin" w:hAnsi="IRNazanin" w:eastAsia="IRNazanin" w:cs="IRNazanin"/>
          <w:lang w:bidi="fa-IR"/>
          <w:color w:val="111111"/>
          <w:sz w:val="28"/>
          <w:szCs w:val="28"/>
          <w:rtl/>
        </w:rPr>
        <w:t xml:space="preserve">فإن قلت:إذا کان متعلّق الخطاب مجملا فقد تنجّز التکلیف بمراد الشارع من اللفظ،فیجب القطع بالإتیان بمراده،و استحقّ العقاب علی ترکه مع وصف کونه مجملا،و عدم القناعة باحتمال تحصیل المراد و احتمال الخروج عن استحقاق العقاب.</w:t>
      </w:r>
    </w:p>
    <w:p>
      <w:pPr>
        <w:pStyle w:val="Heading6"/>
      </w:pPr>
      <w:bookmarkStart w:id="1422" w:name="_Toc457"/>
      <w:r>
        <w:t>[عدم تعلّق التکلیف بمفهوم المراد من اللفظ بل بمصداقه]</w:t>
      </w:r>
      <w:bookmarkEnd w:id="1422"/>
    </w:p>
    <w:p>
      <w:pPr>
        <w:pStyle w:val="BookText"/>
      </w:pPr>
      <w:r>
        <w:rPr>
          <w:rFonts w:ascii="IRNazanin" w:hAnsi="IRNazanin" w:eastAsia="IRNazanin" w:cs="IRNazanin"/>
          <w:lang w:bidi="fa-IR"/>
          <w:color w:val="111111"/>
          <w:sz w:val="28"/>
          <w:szCs w:val="28"/>
          <w:rtl/>
        </w:rPr>
        <w:t xml:space="preserve">قلت:التکلیف لیس متعلّقا بمفهوم المراد من اللفظ و مدلوله،حتّی یکون من قبیل التکلیف بالمفهوم المبیّن المشتبه مصداقه بین أمرین،حتّی یجب الاحتیاط فیه و لو کان المصداق مردّدا بین الأقلّ و الأکثر؛نظرا إلی وجوب القطع بحصول المفهوم المعیّن المطلوب من العبد،کما سیجیء فی المسألة الرابعة </w:t>
      </w:r>
      <w:r>
        <w:rPr>
          <w:rStyle w:val="FootnoteReference"/>
        </w:rPr>
        <w:footnoteReference w:id="1076"/>
      </w:r>
      <w:r>
        <w:rPr>
          <w:rFonts w:ascii="IRNazanin" w:hAnsi="IRNazanin" w:eastAsia="IRNazanin" w:cs="IRNazanin"/>
          <w:lang w:bidi="fa-IR"/>
          <w:color w:val="111111"/>
          <w:sz w:val="28"/>
          <w:szCs w:val="28"/>
          <w:rtl/>
        </w:rPr>
        <w:t xml:space="preserve">.و إنّما هو متعلّق بمصداق المراد و المدلول؛لأنّه الموضوع له اللفظ و المستعمل فیه،و اتّصافه بمفهوم المراد و المدلول بعد الوضع و الاستعمال،فنفس متعلّق التکلیف مردّد بین الأقلّ و الأکثر لا مصداقه.</w:t>
      </w:r>
    </w:p>
    <w:p>
      <w:pPr>
        <w:pStyle w:val="BookText"/>
      </w:pPr>
      <w:r>
        <w:rPr>
          <w:rFonts w:ascii="IRNazanin" w:hAnsi="IRNazanin" w:eastAsia="IRNazanin" w:cs="IRNazanin"/>
          <w:lang w:bidi="fa-IR"/>
          <w:color w:val="111111"/>
          <w:sz w:val="28"/>
          <w:szCs w:val="28"/>
          <w:rtl/>
        </w:rPr>
        <w:t xml:space="preserve">و نظیر هذا،توهّم:أنّه إذا کان اللفظ فی العبادات موضوعا للصحیح،و الصحیح مردّد مصداقه بین الأقلّ و الأکثر،فیجب فیه الاحتیاط.</w:t>
      </w:r>
    </w:p>
    <w:p>
      <w:pPr>
        <w:pStyle w:val="BookText"/>
      </w:pPr>
      <w:r>
        <w:rPr>
          <w:rFonts w:ascii="IRNazanin" w:hAnsi="IRNazanin" w:eastAsia="IRNazanin" w:cs="IRNazanin"/>
          <w:lang w:bidi="fa-IR"/>
          <w:color w:val="111111"/>
          <w:sz w:val="28"/>
          <w:szCs w:val="28"/>
          <w:rtl/>
        </w:rPr>
        <w:t xml:space="preserve">و یندفع:بأنّه خلط بین الوضع للمفهوم و المصداق،فافهم.</w:t>
      </w:r>
    </w:p>
    <w:p>
      <w:pPr>
        <w:pStyle w:val="Heading6"/>
      </w:pPr>
      <w:bookmarkStart w:id="1423" w:name="_Toc458"/>
      <w:r>
        <w:t>[ما ذکره بعض من الثمرة بین الصحیحی و الأعمّی]</w:t>
      </w:r>
      <w:bookmarkEnd w:id="1423"/>
    </w:p>
    <w:p>
      <w:pPr>
        <w:pStyle w:val="BookText"/>
      </w:pPr>
      <w:r>
        <w:rPr>
          <w:rFonts w:ascii="IRNazanin" w:hAnsi="IRNazanin" w:eastAsia="IRNazanin" w:cs="IRNazanin"/>
          <w:lang w:bidi="fa-IR"/>
          <w:color w:val="111111"/>
          <w:sz w:val="28"/>
          <w:szCs w:val="28"/>
          <w:rtl/>
        </w:rPr>
        <w:t xml:space="preserve">و أمّا ما ذکره بعض متأخّری المتأخّرین </w:t>
      </w:r>
      <w:r>
        <w:rPr>
          <w:rStyle w:val="FootnoteReference"/>
        </w:rPr>
        <w:footnoteReference w:id="1077"/>
      </w:r>
      <w:r>
        <w:rPr>
          <w:rFonts w:ascii="IRNazanin" w:hAnsi="IRNazanin" w:eastAsia="IRNazanin" w:cs="IRNazanin"/>
          <w:lang w:bidi="fa-IR"/>
          <w:color w:val="111111"/>
          <w:sz w:val="28"/>
          <w:szCs w:val="28"/>
          <w:rtl/>
        </w:rPr>
        <w:t xml:space="preserve">:من </w:t>
      </w:r>
      <w:r>
        <w:rPr>
          <w:rStyle w:val="FootnoteReference"/>
        </w:rPr>
        <w:footnoteReference w:id="1078"/>
      </w:r>
      <w:r>
        <w:rPr>
          <w:rFonts w:ascii="IRNazanin" w:hAnsi="IRNazanin" w:eastAsia="IRNazanin" w:cs="IRNazanin"/>
          <w:lang w:bidi="fa-IR"/>
          <w:color w:val="111111"/>
          <w:sz w:val="28"/>
          <w:szCs w:val="28"/>
          <w:rtl/>
        </w:rPr>
        <w:t xml:space="preserve">الثمرة بین القول بوضع ألفاظ العبادات للصحیح و بین وضعها للأعمّ،فغرضه بیان الثمرة</w:t>
      </w:r>
    </w:p>
    <w:p>
      <w:pPr>
        <w:pStyle w:val="BookText"/>
      </w:pPr>
      <w:r>
        <w:rPr>
          <w:rFonts w:ascii="IRNazanin" w:hAnsi="IRNazanin" w:eastAsia="IRNazanin" w:cs="IRNazanin"/>
          <w:lang w:bidi="fa-IR"/>
          <w:color w:val="111111"/>
          <w:sz w:val="28"/>
          <w:szCs w:val="28"/>
          <w:rtl/>
        </w:rPr>
        <w:t xml:space="preserve">[شماره صفحه واقعی : 341]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227" w:name="pg14411_142731"/>
    <w:bookmarkEnd w:id="227"/>
    <w:p>
      <w:pPr>
        <w:pStyle w:val="BookText"/>
      </w:pPr>
      <w:r>
        <w:rPr>
          <w:rFonts w:ascii="IRNazanin" w:hAnsi="IRNazanin" w:eastAsia="IRNazanin" w:cs="IRNazanin"/>
          <w:lang w:bidi="fa-IR"/>
          <w:color w:val="111111"/>
          <w:sz w:val="28"/>
          <w:szCs w:val="28"/>
          <w:rtl/>
        </w:rPr>
        <w:t xml:space="preserve">علی مختاره من وجوب الاحتیاط فی الشکّ فی الجزئیّة،لا أنّ کلّ من قال بوضع الألفاظ للصحیحة فهو قائل بوجوب الاحتیاط و عدم جواز إجراء أصل البراءة فی أجزاء العبادات؛کیف؟و المشهور مع قولهم بالوضع للصحیحة قد ملئوا طوامیرهم من إجراء الأصل عند الشکّ فی الجزئیّة و الشرطیّة بحیث لا یتوهّم من کلامهم أنّ مرادهم بالأصل غیر أصالة البراءة.</w:t>
      </w:r>
    </w:p>
    <w:p>
      <w:pPr>
        <w:pStyle w:val="BookText"/>
      </w:pPr>
      <w:r>
        <w:rPr>
          <w:rFonts w:ascii="IRNazanin" w:hAnsi="IRNazanin" w:eastAsia="IRNazanin" w:cs="IRNazanin"/>
          <w:lang w:bidi="fa-IR"/>
          <w:color w:val="111111"/>
          <w:sz w:val="28"/>
          <w:szCs w:val="28"/>
          <w:rtl/>
        </w:rPr>
        <w:t xml:space="preserve">و التحقیق:أنّ ما ذکروه ثمرة للقولین:من وجوب الاحتیاط علی القول بوضع الألفاظ للصحیح،و عدمه علی القول بوضعها للأعمّ،محلّ نظر.</w:t>
      </w:r>
    </w:p>
    <w:p>
      <w:pPr>
        <w:pStyle w:val="Heading6"/>
      </w:pPr>
      <w:bookmarkStart w:id="1424" w:name="_Toc459"/>
      <w:r>
        <w:t>[عدم کون الثمرة وجوب الاحتیاط بناء علی الصحیحی]</w:t>
      </w:r>
      <w:bookmarkEnd w:id="1424"/>
    </w:p>
    <w:p>
      <w:pPr>
        <w:pStyle w:val="BookText"/>
      </w:pPr>
      <w:r>
        <w:rPr>
          <w:rFonts w:ascii="Amiri" w:hAnsi="Amiri" w:eastAsia="Amiri" w:cs="Amiri"/>
          <w:lang w:bidi="ar-SA"/>
          <w:color w:val="111111"/>
          <w:sz w:val="28"/>
          <w:szCs w:val="28"/>
          <w:rtl/>
        </w:rPr>
        <w:t xml:space="preserve">أمّا الأوّل،فلما عرفت </w:t>
      </w:r>
      <w:r>
        <w:rPr>
          <w:rStyle w:val="FootnoteReference"/>
        </w:rPr>
        <w:footnoteReference w:id="1079"/>
      </w:r>
      <w:r>
        <w:rPr>
          <w:rFonts w:ascii="IRNazanin" w:hAnsi="IRNazanin" w:eastAsia="IRNazanin" w:cs="IRNazanin"/>
          <w:lang w:bidi="fa-IR"/>
          <w:color w:val="111111"/>
          <w:sz w:val="28"/>
          <w:szCs w:val="28"/>
          <w:rtl/>
        </w:rPr>
        <w:t xml:space="preserve">:من </w:t>
      </w:r>
      <w:r>
        <w:rPr>
          <w:rStyle w:val="FootnoteReference"/>
        </w:rPr>
        <w:footnoteReference w:id="1080"/>
      </w:r>
      <w:r>
        <w:rPr>
          <w:rFonts w:ascii="IRNazanin" w:hAnsi="IRNazanin" w:eastAsia="IRNazanin" w:cs="IRNazanin"/>
          <w:lang w:bidi="fa-IR"/>
          <w:color w:val="111111"/>
          <w:sz w:val="28"/>
          <w:szCs w:val="28"/>
          <w:rtl/>
        </w:rPr>
        <w:t xml:space="preserve">أنّ غایة ما یلزم من القول بالوضع للصحیح کون هذه الألفاظ مجملة،و قد عرفت </w:t>
      </w:r>
      <w:r>
        <w:rPr>
          <w:rStyle w:val="FootnoteReference"/>
        </w:rPr>
        <w:footnoteReference w:id="1081"/>
      </w:r>
      <w:r>
        <w:rPr>
          <w:rFonts w:ascii="IRNazanin" w:hAnsi="IRNazanin" w:eastAsia="IRNazanin" w:cs="IRNazanin"/>
          <w:lang w:bidi="fa-IR"/>
          <w:color w:val="111111"/>
          <w:sz w:val="28"/>
          <w:szCs w:val="28"/>
          <w:rtl/>
        </w:rPr>
        <w:t xml:space="preserve">:أنّ المختار و المشهور فی المجمل المردّد بین الأقلّ و الأکثر عدم وجوب الاحتیاط.</w:t>
      </w:r>
    </w:p>
    <w:p>
      <w:pPr>
        <w:pStyle w:val="Heading6"/>
      </w:pPr>
      <w:bookmarkStart w:id="1425" w:name="_Toc460"/>
      <w:r>
        <w:t>[توضیح ما ذکروه ثمرة للصحیحی و الأعمّی]</w:t>
      </w:r>
      <w:bookmarkEnd w:id="1425"/>
    </w:p>
    <w:p>
      <w:pPr>
        <w:pStyle w:val="BookText"/>
      </w:pPr>
      <w:r>
        <w:rPr>
          <w:rFonts w:ascii="IRNazanin" w:hAnsi="IRNazanin" w:eastAsia="IRNazanin" w:cs="IRNazanin"/>
          <w:lang w:bidi="fa-IR"/>
          <w:color w:val="111111"/>
          <w:sz w:val="28"/>
          <w:szCs w:val="28"/>
          <w:rtl/>
        </w:rPr>
        <w:t xml:space="preserve">و أمّا الثانی،فوجه النظر موقوف علی توضیح ما ذکروه من وجه ترتّب تلک الثمرة،أعنی عدم لزوم الاحتیاط علی القول بوضع اللفظ للأعمّ،و هو:</w:t>
      </w:r>
    </w:p>
    <w:p>
      <w:pPr>
        <w:pStyle w:val="BookText"/>
      </w:pPr>
      <w:r>
        <w:rPr>
          <w:rFonts w:ascii="IRNazanin" w:hAnsi="IRNazanin" w:eastAsia="IRNazanin" w:cs="IRNazanin"/>
          <w:lang w:bidi="fa-IR"/>
          <w:color w:val="111111"/>
          <w:sz w:val="28"/>
          <w:szCs w:val="28"/>
          <w:rtl/>
        </w:rPr>
        <w:t xml:space="preserve">أنّه إذا قلنا بأنّ المعنی الموضوع له اللفظ هو الصحیح،کان کلّ جزء من أجزاء العبادة مقوّما لصدق حقیقة معنی لفظ«الصلاة»،فالشکّ فی جزئیّة شیء شکّ فی صدق الصلاة،فلا إطلاق للفظ«الصلاة»علی هذا</w:t>
      </w:r>
    </w:p>
    <w:p>
      <w:pPr>
        <w:pStyle w:val="BookText"/>
      </w:pPr>
      <w:r>
        <w:rPr>
          <w:rFonts w:ascii="IRNazanin" w:hAnsi="IRNazanin" w:eastAsia="IRNazanin" w:cs="IRNazanin"/>
          <w:lang w:bidi="fa-IR"/>
          <w:color w:val="111111"/>
          <w:sz w:val="28"/>
          <w:szCs w:val="28"/>
          <w:rtl/>
        </w:rPr>
        <w:t xml:space="preserve">[شماره صفحه واقعی : 342]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القول بالنسبة إلی واجدة الأجزاء و فاقدة بعضها؛لأنّ الفاقدة لیس بصلاة؛فالشکّ فی کون المأتیّ به فاقدا أو واجدا شکّ فی کونها صلاة أو لیست بها.</w:t>
      </w:r>
    </w:p>
    <w:p>
      <w:pPr>
        <w:pStyle w:val="BookText"/>
      </w:pPr>
      <w:r>
        <w:rPr>
          <w:rFonts w:ascii="IRNazanin" w:hAnsi="IRNazanin" w:eastAsia="IRNazanin" w:cs="IRNazanin"/>
          <w:lang w:bidi="fa-IR"/>
          <w:color w:val="111111"/>
          <w:sz w:val="28"/>
          <w:szCs w:val="28"/>
          <w:rtl/>
        </w:rPr>
        <w:t xml:space="preserve">و أمّا إذا قلنا بأنّ الموضوع له هو القدر المشترک بین الواجدة لجمیع الأجزاء و الفاقدة لبعضها-نظیر«السریر»الموضوع للأعمّ من جامع أجزائه و من فاقد بعضها الغیر المقوّم لحقیقته بحیث لا یخلّ فقده بصدق </w:t>
      </w:r>
      <w:r>
        <w:rPr>
          <w:rStyle w:val="FootnoteReference"/>
        </w:rPr>
        <w:footnoteReference w:id="1082"/>
      </w:r>
      <w:r>
        <w:rPr>
          <w:rFonts w:ascii="IRNazanin" w:hAnsi="IRNazanin" w:eastAsia="IRNazanin" w:cs="IRNazanin"/>
          <w:lang w:bidi="fa-IR"/>
          <w:color w:val="111111"/>
          <w:sz w:val="28"/>
          <w:szCs w:val="28"/>
          <w:rtl/>
        </w:rPr>
        <w:t xml:space="preserve">اسم«السریر»علی الباقی-کان لفظ«الصلاة»من الألفاظ المطلقة الصادقة علی الصحیحة و الفاسدة.</w:t>
      </w:r>
    </w:p>
    <w:p>
      <w:pPr>
        <w:pStyle w:val="BookText"/>
      </w:pPr>
      <w:r>
        <w:rPr>
          <w:rFonts w:ascii="IRNazanin" w:hAnsi="IRNazanin" w:eastAsia="IRNazanin" w:cs="IRNazanin"/>
          <w:lang w:bidi="fa-IR"/>
          <w:color w:val="111111"/>
          <w:sz w:val="28"/>
          <w:szCs w:val="28"/>
          <w:rtl/>
        </w:rPr>
        <w:t xml:space="preserve">فإذا ارید بقوله:«أقیموا الصلاة»فرد مشتمل علی جزء زائد علی مسمّی الصلاة کالصلاة مع السورة،کان ذلک تقییدا للمطلق، و هکذا إذا ارید المشتملة علی جزء آخر کالقیام،کان ذلک تقییدا آخر للمطلق،فإرادة الصلاة الجامعة لجمیع الأجزاء یحتاج إلی تقییدات بعدد الأجزاء الزائدة علی ما یتوقّف علیها صدق مسمّی الصلاة،أمّا القدر الذی یتوقّف علیه صدق«الصلاة»،فهو من مقوّمات معنی المطلق، لا من القیود المقسّمة له.</w:t>
      </w:r>
    </w:p>
    <w:p>
      <w:pPr>
        <w:pStyle w:val="BookText"/>
      </w:pPr>
      <w:r>
        <w:rPr>
          <w:rFonts w:ascii="IRNazanin" w:hAnsi="IRNazanin" w:eastAsia="IRNazanin" w:cs="IRNazanin"/>
          <w:lang w:bidi="fa-IR"/>
          <w:color w:val="111111"/>
          <w:sz w:val="28"/>
          <w:szCs w:val="28"/>
          <w:rtl/>
        </w:rPr>
        <w:t xml:space="preserve">و حینئذ:فإذا شکّ فی جزئیّة شیء للصلاة،فإن شکّ فی کونه جزءا مقوّما لنفس المطلق فالشکّ فیه راجع إلی الشکّ فی صدق اسم «الصلاة»،و لا یجوز فیه إجراء البراءة؛لوجوب القطع بتحقّق مفهوم الصلاة کما أشرنا إلیه فیما سبق </w:t>
      </w:r>
      <w:r>
        <w:rPr>
          <w:rStyle w:val="FootnoteReference"/>
        </w:rPr>
        <w:footnoteReference w:id="1083"/>
      </w:r>
      <w:r>
        <w:rPr>
          <w:rFonts w:ascii="Amiri" w:hAnsi="Amiri" w:eastAsia="Amiri" w:cs="Amiri"/>
          <w:lang w:bidi="ar-SA"/>
          <w:color w:val="111111"/>
          <w:sz w:val="28"/>
          <w:szCs w:val="28"/>
          <w:rtl/>
        </w:rPr>
        <w:t xml:space="preserve">،و لا إجراء أصالة إطلاق اللفظ و عدم</w:t>
      </w:r>
    </w:p>
    <w:p>
      <w:pPr>
        <w:pStyle w:val="BookText"/>
      </w:pPr>
      <w:r>
        <w:rPr>
          <w:rFonts w:ascii="IRNazanin" w:hAnsi="IRNazanin" w:eastAsia="IRNazanin" w:cs="IRNazanin"/>
          <w:lang w:bidi="fa-IR"/>
          <w:color w:val="111111"/>
          <w:sz w:val="28"/>
          <w:szCs w:val="28"/>
          <w:rtl/>
        </w:rPr>
        <w:t xml:space="preserve">[شماره صفحه واقعی : 343]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تقییده؛لأنّه فرع صدق المطلق علی الخالی من ذلک المشکوک،فحکم هذا المشکوک عند القائل بالأعمّ حکم جمیع الأجزاء عند القائل بالصحیح.</w:t>
      </w:r>
    </w:p>
    <w:p>
      <w:pPr>
        <w:pStyle w:val="BookText"/>
      </w:pPr>
      <w:r>
        <w:rPr>
          <w:rFonts w:ascii="IRNazanin" w:hAnsi="IRNazanin" w:eastAsia="IRNazanin" w:cs="IRNazanin"/>
          <w:lang w:bidi="fa-IR"/>
          <w:color w:val="111111"/>
          <w:sz w:val="28"/>
          <w:szCs w:val="28"/>
          <w:rtl/>
        </w:rPr>
        <w:t xml:space="preserve">و أمّا إن علم أنّه لیس من مقوّمات حقیقة الصلاة،بل هو علی تقدیر اعتباره و کونه جزءا فی الواقع لیس إلاّ من الأجزاء التی یقیّد معنی اللفظ بها؛لکون اللفظ موضوعا للأعمّ من واجده و فاقده،فحینئذ فالشکّ فی اعتباره و جزئیّته راجع إلی الشکّ فی تقیید إطلاق الصلاة فی «أقیموا الصلاة»بهذا الشیء،بأن یراد منه مثلا:أقیموا الصلاة المشتملة علی جلسة الاستراحة.</w:t>
      </w:r>
    </w:p>
    <w:p>
      <w:pPr>
        <w:pStyle w:val="BookText"/>
      </w:pPr>
      <w:r>
        <w:rPr>
          <w:rFonts w:ascii="IRNazanin" w:hAnsi="IRNazanin" w:eastAsia="IRNazanin" w:cs="IRNazanin"/>
          <w:lang w:bidi="fa-IR"/>
          <w:color w:val="111111"/>
          <w:sz w:val="28"/>
          <w:szCs w:val="28"/>
          <w:rtl/>
        </w:rPr>
        <w:t xml:space="preserve">و من المعلوم:أنّ الشکّ فی التقیید یرجع فیه إلی أصالة الإطلاق و عدم التقیید،فیحکم بأنّ مطلوب الآمر غیر مقیّد بوجود هذا المشکوک، و بأنّ الامتثال یحصل بدونه،و أنّ هذا المشکوک غیر معتبر فی الامتثال، و هذا معنی نفی جزئیّته بمقتضی الإطلاق.</w:t>
      </w:r>
    </w:p>
    <w:p>
      <w:pPr>
        <w:pStyle w:val="BookText"/>
      </w:pPr>
      <w:r>
        <w:rPr>
          <w:rFonts w:ascii="IRNazanin" w:hAnsi="IRNazanin" w:eastAsia="IRNazanin" w:cs="IRNazanin"/>
          <w:lang w:bidi="fa-IR"/>
          <w:color w:val="111111"/>
          <w:sz w:val="28"/>
          <w:szCs w:val="28"/>
          <w:rtl/>
        </w:rPr>
        <w:t xml:space="preserve">نعم،هنا توهّم نظیر ما ذکرناه سابقا من الخلط بین المفهوم و المصداق </w:t>
      </w:r>
      <w:r>
        <w:rPr>
          <w:rStyle w:val="FootnoteReference"/>
        </w:rPr>
        <w:footnoteReference w:id="1084"/>
      </w:r>
      <w:r>
        <w:rPr>
          <w:rFonts w:ascii="IRNazanin" w:hAnsi="IRNazanin" w:eastAsia="IRNazanin" w:cs="IRNazanin"/>
          <w:lang w:bidi="fa-IR"/>
          <w:color w:val="111111"/>
          <w:sz w:val="28"/>
          <w:szCs w:val="28"/>
          <w:rtl/>
        </w:rPr>
        <w:t xml:space="preserve">،و هو توهّم:أنّه إذا قام الإجماع بل الضرورة علی أنّ الشارع لا یأمر بالفاسدة؛لأنّ الفاسد ما خالف المأمور به،فکیف یکون مأمورا به؟فقد ثبت تقیید الصلاة دفعة واحدة بکونها صحیحة جامعة لجمیع الأجزاء،فکلّما شکّ فی جزئیّة شیء کان راجعا إلی الشکّ فی تحقّق العنوان المقیّد المأمور به،فیجب الاحتیاط لیقطع بتحقّق ذلک العنوان علی تقیّده </w:t>
      </w:r>
      <w:r>
        <w:rPr>
          <w:rStyle w:val="FootnoteReference"/>
        </w:rPr>
        <w:footnoteReference w:id="1085"/>
      </w:r>
      <w:r>
        <w:rPr>
          <w:rFonts w:ascii="IRNazanin" w:hAnsi="IRNazanin" w:eastAsia="IRNazanin" w:cs="IRNazanin"/>
          <w:lang w:bidi="fa-IR"/>
          <w:color w:val="111111"/>
          <w:sz w:val="28"/>
          <w:szCs w:val="28"/>
          <w:rtl/>
        </w:rPr>
        <w:t xml:space="preserve">لأنّه کما یجب القطع بحصول نفس العنوان و هو</w:t>
      </w:r>
    </w:p>
    <w:p>
      <w:pPr>
        <w:pStyle w:val="BookText"/>
      </w:pPr>
      <w:r>
        <w:rPr>
          <w:rFonts w:ascii="IRNazanin" w:hAnsi="IRNazanin" w:eastAsia="IRNazanin" w:cs="IRNazanin"/>
          <w:lang w:bidi="fa-IR"/>
          <w:color w:val="111111"/>
          <w:sz w:val="28"/>
          <w:szCs w:val="28"/>
          <w:rtl/>
        </w:rPr>
        <w:t xml:space="preserve">[شماره صفحه واقعی : 344]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الصلاة،فلا بدّ من إتیان کلّ ما یحتمل دخله فی تحقّقها کما أشرنا إلیه </w:t>
      </w:r>
      <w:r>
        <w:rPr>
          <w:rStyle w:val="FootnoteReference"/>
        </w:rPr>
        <w:footnoteReference w:id="1086"/>
      </w:r>
      <w:r>
        <w:rPr>
          <w:rFonts w:ascii="IRNazanin" w:hAnsi="IRNazanin" w:eastAsia="IRNazanin" w:cs="IRNazanin"/>
          <w:lang w:bidi="fa-IR"/>
          <w:color w:val="111111"/>
          <w:sz w:val="28"/>
          <w:szCs w:val="28"/>
          <w:rtl/>
        </w:rPr>
        <w:t xml:space="preserve">،کذلک یجب القطع بتحصیل القید </w:t>
      </w:r>
      <w:r>
        <w:rPr>
          <w:rStyle w:val="FootnoteReference"/>
        </w:rPr>
        <w:footnoteReference w:id="1087"/>
      </w:r>
      <w:r>
        <w:rPr>
          <w:rFonts w:ascii="IRNazanin" w:hAnsi="IRNazanin" w:eastAsia="IRNazanin" w:cs="IRNazanin"/>
          <w:lang w:bidi="fa-IR"/>
          <w:color w:val="111111"/>
          <w:sz w:val="28"/>
          <w:szCs w:val="28"/>
          <w:rtl/>
        </w:rPr>
        <w:t xml:space="preserve">المعلوم الذی قیّد به العنوان، کما لو قال:«أعتق مملوکا مؤمنا»فإنّه یجب القطع بحصول الإیمان، کالقطع </w:t>
      </w:r>
      <w:r>
        <w:rPr>
          <w:rStyle w:val="FootnoteReference"/>
        </w:rPr>
        <w:footnoteReference w:id="1088"/>
      </w:r>
      <w:r>
        <w:rPr>
          <w:rFonts w:ascii="IRNazanin" w:hAnsi="IRNazanin" w:eastAsia="IRNazanin" w:cs="IRNazanin"/>
          <w:lang w:bidi="fa-IR"/>
          <w:color w:val="111111"/>
          <w:sz w:val="28"/>
          <w:szCs w:val="28"/>
          <w:rtl/>
        </w:rPr>
        <w:t xml:space="preserve">بکونه مملوکا.</w:t>
      </w:r>
    </w:p>
    <w:p>
      <w:pPr>
        <w:pStyle w:val="BookText"/>
      </w:pPr>
      <w:r>
        <w:rPr>
          <w:rFonts w:ascii="IRNazanin" w:hAnsi="IRNazanin" w:eastAsia="IRNazanin" w:cs="IRNazanin"/>
          <w:lang w:bidi="fa-IR"/>
          <w:color w:val="111111"/>
          <w:sz w:val="28"/>
          <w:szCs w:val="28"/>
          <w:rtl/>
        </w:rPr>
        <w:t xml:space="preserve">و دفعه یظهر ممّا ذکرناه:من أنّ الصلاة لم تقیّد بمفهوم«الصحیحة» و هو الجامع لجمیع الأجزاء،و إنّما قیّدت بما علم من الأدلّة الخارجیّة اعتباره،فالعلم بعدم إرادة«الفاسدة»یراد به العلم بعدم إرادة هذه المصادیق الفاقدة للامور التی دلّ الدلیل علی تقیید الصلاة بها،لا أنّ مفهوم«الفاسدة»خرج عن المطلق و بقی مفهوم«الصحیحة»،فکلّما شکّ فی صدق«الصحیحة»و«الفاسدة»وجب الرجوع إلی الاحتیاط لإحراز مفهوم«الصحیحة».</w:t>
      </w:r>
    </w:p>
    <w:p>
      <w:pPr>
        <w:pStyle w:val="BookText"/>
      </w:pPr>
      <w:r>
        <w:rPr>
          <w:rFonts w:ascii="IRNazanin" w:hAnsi="IRNazanin" w:eastAsia="IRNazanin" w:cs="IRNazanin"/>
          <w:lang w:bidi="fa-IR"/>
          <w:color w:val="111111"/>
          <w:sz w:val="28"/>
          <w:szCs w:val="28"/>
          <w:rtl/>
        </w:rPr>
        <w:t xml:space="preserve">و هذه المغالطة جاریة فی جمیع المطلقات،بأن یقال:إنّ المراد بالمأمور به فی قوله:«اعتق رقبة»لیس إلاّ الجامع لشروط الصحّة؛لأنّ الفاقد للشرط </w:t>
      </w:r>
      <w:r>
        <w:rPr>
          <w:rStyle w:val="FootnoteReference"/>
        </w:rPr>
        <w:footnoteReference w:id="1089"/>
      </w:r>
      <w:r>
        <w:rPr>
          <w:rFonts w:ascii="IRNazanin" w:hAnsi="IRNazanin" w:eastAsia="IRNazanin" w:cs="IRNazanin"/>
          <w:lang w:bidi="fa-IR"/>
          <w:color w:val="111111"/>
          <w:sz w:val="28"/>
          <w:szCs w:val="28"/>
          <w:rtl/>
        </w:rPr>
        <w:t xml:space="preserve">غیر مراد قطعا،فکلّما شکّ فی شرطیّة شیء کان شکّا فی تحقّق العنوان الجامع للشرائط،فیجب الاحتیاط للقطع بإحرازه.</w:t>
      </w:r>
    </w:p>
    <w:p>
      <w:pPr>
        <w:pStyle w:val="BookText"/>
      </w:pPr>
      <w:r>
        <w:rPr>
          <w:rFonts w:ascii="IRNazanin" w:hAnsi="IRNazanin" w:eastAsia="IRNazanin" w:cs="IRNazanin"/>
          <w:lang w:bidi="fa-IR"/>
          <w:color w:val="111111"/>
          <w:sz w:val="28"/>
          <w:szCs w:val="28"/>
          <w:rtl/>
        </w:rPr>
        <w:t xml:space="preserve">و بالجملة:فاندفاع هذا التوهّم غیر خفیّ بأدنی التفات،فلنرجع إلی المقصود،و نقول:</w:t>
      </w:r>
    </w:p>
    <w:p>
      <w:pPr>
        <w:pStyle w:val="BookText"/>
      </w:pPr>
      <w:r>
        <w:rPr>
          <w:rFonts w:ascii="IRNazanin" w:hAnsi="IRNazanin" w:eastAsia="IRNazanin" w:cs="IRNazanin"/>
          <w:lang w:bidi="fa-IR"/>
          <w:color w:val="111111"/>
          <w:sz w:val="28"/>
          <w:szCs w:val="28"/>
          <w:rtl/>
        </w:rPr>
        <w:t xml:space="preserve">[شماره صفحه واقعی : 345]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228" w:name="pg14411_142735"/>
    <w:bookmarkEnd w:id="228"/>
    <w:p>
      <w:pPr>
        <w:pStyle w:val="Heading6"/>
      </w:pPr>
      <w:bookmarkStart w:id="1426" w:name="_Toc461"/>
      <w:r>
        <w:t>[عدم کون الثمرة البراءة بناء علی الأعمّی]</w:t>
      </w:r>
      <w:bookmarkEnd w:id="1426"/>
    </w:p>
    <w:p>
      <w:pPr>
        <w:pStyle w:val="BookText"/>
      </w:pPr>
      <w:r>
        <w:rPr>
          <w:rFonts w:ascii="IRNazanin" w:hAnsi="IRNazanin" w:eastAsia="IRNazanin" w:cs="IRNazanin"/>
          <w:lang w:bidi="fa-IR"/>
          <w:color w:val="111111"/>
          <w:sz w:val="28"/>
          <w:szCs w:val="28"/>
          <w:rtl/>
        </w:rPr>
        <w:t xml:space="preserve">إذا عرفت أنّ ألفاظ العبادات علی القول بوضعها للأعمّ کغیرها من المطلقات،کان لها حکمها،و من المعلوم أنّ المطلق لیس یجوز دائما التمسّک </w:t>
      </w:r>
      <w:r>
        <w:rPr>
          <w:rStyle w:val="FootnoteReference"/>
        </w:rPr>
        <w:footnoteReference w:id="1090"/>
      </w:r>
      <w:r>
        <w:rPr>
          <w:rFonts w:ascii="IRNazanin" w:hAnsi="IRNazanin" w:eastAsia="IRNazanin" w:cs="IRNazanin"/>
          <w:lang w:bidi="fa-IR"/>
          <w:color w:val="111111"/>
          <w:sz w:val="28"/>
          <w:szCs w:val="28"/>
          <w:rtl/>
        </w:rPr>
        <w:t xml:space="preserve">بإطلاقه،بل له شروط،کأن لا یکون واردا فی مقام حکم القضیّة المهملة بحیث لا یکون المقام مقام بیان؛أ لا تری:أنّه لو راجع المریض الطبیب فقال له فی غیر وقت الحاجة:«لا بدّ لک من شرب الدواء أو المسهل»،فهل یجوز للمریض أن یأخذ بإطلاق الدواء و المسهل؟و کذا لو قال المولی لعبده:«یجب علیک المسافرة غدا».</w:t>
      </w:r>
    </w:p>
    <w:p>
      <w:pPr>
        <w:pStyle w:val="BookText"/>
      </w:pPr>
      <w:r>
        <w:rPr>
          <w:rFonts w:ascii="IRNazanin" w:hAnsi="IRNazanin" w:eastAsia="IRNazanin" w:cs="IRNazanin"/>
          <w:lang w:bidi="fa-IR"/>
          <w:color w:val="111111"/>
          <w:sz w:val="28"/>
          <w:szCs w:val="28"/>
          <w:rtl/>
        </w:rPr>
        <w:t xml:space="preserve">و بالجملة:فحیث لا یقبح من المتکلّم ذکر اللفظ المجمل-لعدم کونه إلاّ فی مقام هذا المقدار من البیان-لا یجوز </w:t>
      </w:r>
      <w:r>
        <w:rPr>
          <w:rStyle w:val="FootnoteReference"/>
        </w:rPr>
        <w:footnoteReference w:id="1091"/>
      </w:r>
      <w:r>
        <w:rPr>
          <w:rFonts w:ascii="IRNazanin" w:hAnsi="IRNazanin" w:eastAsia="IRNazanin" w:cs="IRNazanin"/>
          <w:lang w:bidi="fa-IR"/>
          <w:color w:val="111111"/>
          <w:sz w:val="28"/>
          <w:szCs w:val="28"/>
          <w:rtl/>
        </w:rPr>
        <w:t xml:space="preserve">أن یدفع القیود المحتملة للمطلق بالأصل؛لأنّ جریان الأصل لا یثبت الإطلاق و عدم إرادة المقیّد </w:t>
      </w:r>
      <w:r>
        <w:rPr>
          <w:rStyle w:val="FootnoteReference"/>
        </w:rPr>
        <w:footnoteReference w:id="1092"/>
      </w:r>
      <w:r>
        <w:rPr>
          <w:rFonts w:ascii="IRNazanin" w:hAnsi="IRNazanin" w:eastAsia="IRNazanin" w:cs="IRNazanin"/>
          <w:lang w:bidi="fa-IR"/>
          <w:color w:val="111111"/>
          <w:sz w:val="28"/>
          <w:szCs w:val="28"/>
          <w:rtl/>
        </w:rPr>
        <w:t xml:space="preserve">إلاّ بضمیمة:أنّه إذا فرض-و لو بحکم الأصل-عدم ذکر القید،وجب إرادة الأعمّ من المقیّد؛و إلاّ قبح التکلیف؛لعدم البیان، فإذا فرض العلم بعدم کونه فی مقام البیان لم یقبح الإخلال بذکر القید مع إرادته فی الواقع.</w:t>
      </w:r>
    </w:p>
    <w:p>
      <w:pPr>
        <w:pStyle w:val="BookText"/>
      </w:pPr>
      <w:r>
        <w:rPr>
          <w:rFonts w:ascii="IRNazanin" w:hAnsi="IRNazanin" w:eastAsia="IRNazanin" w:cs="IRNazanin"/>
          <w:lang w:bidi="fa-IR"/>
          <w:color w:val="111111"/>
          <w:sz w:val="28"/>
          <w:szCs w:val="28"/>
          <w:rtl/>
        </w:rPr>
        <w:t xml:space="preserve">و الذی یقتضیه التدبّر فی جمیع المطلقات الواردة فی الکتاب فی مقام الأمر بالعبادة:کونها فی غیر مقام بیان کیفیّة العبادة </w:t>
      </w:r>
      <w:r>
        <w:rPr>
          <w:rStyle w:val="FootnoteReference"/>
        </w:rPr>
        <w:footnoteReference w:id="1093"/>
      </w:r>
      <w:r>
        <w:rPr>
          <w:rFonts w:ascii="Amiri" w:hAnsi="Amiri" w:eastAsia="Amiri" w:cs="Amiri"/>
          <w:lang w:bidi="ar-SA"/>
          <w:color w:val="111111"/>
          <w:sz w:val="28"/>
          <w:szCs w:val="28"/>
          <w:rtl/>
        </w:rPr>
        <w:t xml:space="preserve">فإنّ قوله تعالی: أَقِیمُوا الصَّلاٰةَ </w:t>
      </w:r>
      <w:r>
        <w:rPr>
          <w:rStyle w:val="FootnoteReference"/>
        </w:rPr>
        <w:footnoteReference w:id="1094"/>
      </w:r>
      <w:r>
        <w:rPr>
          <w:rFonts w:ascii="IRNazanin" w:hAnsi="IRNazanin" w:eastAsia="IRNazanin" w:cs="IRNazanin"/>
          <w:lang w:bidi="fa-IR"/>
          <w:color w:val="111111"/>
          <w:sz w:val="28"/>
          <w:szCs w:val="28"/>
          <w:rtl/>
        </w:rPr>
        <w:t xml:space="preserve">إنّما هو فی مقام بیان تأکید الأمر بالصلاة</w:t>
      </w:r>
    </w:p>
    <w:p>
      <w:pPr>
        <w:pStyle w:val="BookText"/>
      </w:pPr>
      <w:r>
        <w:rPr>
          <w:rFonts w:ascii="IRNazanin" w:hAnsi="IRNazanin" w:eastAsia="IRNazanin" w:cs="IRNazanin"/>
          <w:lang w:bidi="fa-IR"/>
          <w:color w:val="111111"/>
          <w:sz w:val="28"/>
          <w:szCs w:val="28"/>
          <w:rtl/>
        </w:rPr>
        <w:t xml:space="preserve">[شماره صفحه واقعی : 346]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229" w:name="pg14411_142736"/>
    <w:bookmarkEnd w:id="229"/>
    <w:p>
      <w:pPr>
        <w:pStyle w:val="BookText"/>
      </w:pPr>
      <w:r>
        <w:rPr>
          <w:rFonts w:ascii="IRNazanin" w:hAnsi="IRNazanin" w:eastAsia="IRNazanin" w:cs="IRNazanin"/>
          <w:lang w:bidi="fa-IR"/>
          <w:color w:val="111111"/>
          <w:sz w:val="28"/>
          <w:szCs w:val="28"/>
          <w:rtl/>
        </w:rPr>
        <w:t xml:space="preserve">و المحافظة علیها،نظیر قوله:«من ترک الصلاة فهو کذا و کذا» </w:t>
      </w:r>
      <w:r>
        <w:rPr>
          <w:rStyle w:val="FootnoteReference"/>
        </w:rPr>
        <w:footnoteReference w:id="1095"/>
      </w:r>
      <w:r>
        <w:rPr>
          <w:rFonts w:ascii="IRNazanin" w:hAnsi="IRNazanin" w:eastAsia="IRNazanin" w:cs="IRNazanin"/>
          <w:lang w:bidi="fa-IR"/>
          <w:color w:val="111111"/>
          <w:sz w:val="28"/>
          <w:szCs w:val="28"/>
          <w:rtl/>
        </w:rPr>
        <w:t xml:space="preserve">،و«أنّ صلاة فریضة خیر من عشرین أو ألف حجّة» </w:t>
      </w:r>
      <w:r>
        <w:rPr>
          <w:rStyle w:val="FootnoteReference"/>
        </w:rPr>
        <w:footnoteReference w:id="1096"/>
      </w:r>
      <w:r>
        <w:rPr>
          <w:rFonts w:ascii="IRNazanin" w:hAnsi="IRNazanin" w:eastAsia="IRNazanin" w:cs="IRNazanin"/>
          <w:lang w:bidi="fa-IR"/>
          <w:color w:val="111111"/>
          <w:sz w:val="28"/>
          <w:szCs w:val="28"/>
          <w:rtl/>
        </w:rPr>
        <w:t xml:space="preserve">،نظیر تأکید الطبیب علی المریض فی شرب الدواء،إمّا قبل بیانه له حتّی یکون إشارة إلی ما یفصّله له حین العمل،و إمّا بعد البیان له حتّی یکون إشارة إلی المعهود المبیّن له فی غیر هذا الخطاب.و الأوامر الواردة بالعبادات فیه -کالصلاة و الصوم و الحجّ-کلّها علی أحد الوجهین،و الغالب فیها الثانی.</w:t>
      </w:r>
    </w:p>
    <w:p>
      <w:pPr>
        <w:pStyle w:val="BookText"/>
      </w:pPr>
      <w:r>
        <w:rPr>
          <w:rFonts w:ascii="IRNazanin" w:hAnsi="IRNazanin" w:eastAsia="IRNazanin" w:cs="IRNazanin"/>
          <w:lang w:bidi="fa-IR"/>
          <w:color w:val="111111"/>
          <w:sz w:val="28"/>
          <w:szCs w:val="28"/>
          <w:rtl/>
        </w:rPr>
        <w:t xml:space="preserve">و قد ذکر موانع أخر لسقوط إطلاقات العبادات عن قابلیّة التمسّک فیها بأصالة الإطلاق و عدم التقیید،لکنّها قابلة للدفع أو غیر مطّردة فی جمیع المقامات،و عمدة الموهن لها ما ذکرناه.</w:t>
      </w:r>
    </w:p>
    <w:p>
      <w:pPr>
        <w:pStyle w:val="BookText"/>
      </w:pPr>
      <w:r>
        <w:rPr>
          <w:rFonts w:ascii="IRNazanin" w:hAnsi="IRNazanin" w:eastAsia="IRNazanin" w:cs="IRNazanin"/>
          <w:lang w:bidi="fa-IR"/>
          <w:color w:val="111111"/>
          <w:sz w:val="28"/>
          <w:szCs w:val="28"/>
          <w:rtl/>
        </w:rPr>
        <w:t xml:space="preserve">فحینئذ:إذا شکّ فی جزئیّة شیء لعبادة،لم یکن هنا </w:t>
      </w:r>
      <w:r>
        <w:rPr>
          <w:rStyle w:val="FootnoteReference"/>
        </w:rPr>
        <w:footnoteReference w:id="1097"/>
      </w:r>
      <w:r>
        <w:rPr>
          <w:rFonts w:ascii="IRNazanin" w:hAnsi="IRNazanin" w:eastAsia="IRNazanin" w:cs="IRNazanin"/>
          <w:lang w:bidi="fa-IR"/>
          <w:color w:val="111111"/>
          <w:sz w:val="28"/>
          <w:szCs w:val="28"/>
          <w:rtl/>
        </w:rPr>
        <w:t xml:space="preserve">ما یثبت به عدم الجزئیّة من أصالة عدم التقیید،بل الحکم هنا هو الحکم علی مذهب القائل بالوضع للصحیح فی رجوعه إلی وجوب الاحتیاط أو إلی أصالة البراءة،علی الخلاف فی المسألة.</w:t>
      </w:r>
    </w:p>
    <w:p>
      <w:pPr>
        <w:pStyle w:val="Heading6"/>
      </w:pPr>
      <w:bookmarkStart w:id="1427" w:name="_Toc462"/>
      <w:r>
        <w:t>[ما ینبغی أن یقال فی ثمرة الخلاف بین الصحیحی و الأعمّی]</w:t>
      </w:r>
      <w:bookmarkEnd w:id="1427"/>
    </w:p>
    <w:p>
      <w:pPr>
        <w:pStyle w:val="BookText"/>
      </w:pPr>
      <w:r>
        <w:rPr>
          <w:rFonts w:ascii="IRNazanin" w:hAnsi="IRNazanin" w:eastAsia="IRNazanin" w:cs="IRNazanin"/>
          <w:lang w:bidi="fa-IR"/>
          <w:color w:val="111111"/>
          <w:sz w:val="28"/>
          <w:szCs w:val="28"/>
          <w:rtl/>
        </w:rPr>
        <w:t xml:space="preserve">فالذی ینبغی أن یقال فی ثمرة الخلاف بین الصحیحی و الأعمّی:</w:t>
      </w:r>
    </w:p>
    <w:p>
      <w:pPr>
        <w:pStyle w:val="BookText"/>
      </w:pPr>
      <w:r>
        <w:rPr>
          <w:rFonts w:ascii="IRNazanin" w:hAnsi="IRNazanin" w:eastAsia="IRNazanin" w:cs="IRNazanin"/>
          <w:lang w:bidi="fa-IR"/>
          <w:color w:val="111111"/>
          <w:sz w:val="28"/>
          <w:szCs w:val="28"/>
          <w:rtl/>
        </w:rPr>
        <w:t xml:space="preserve">هو لزوم الإجمال علی القول بالصحیح،و حکم المجمل </w:t>
      </w:r>
      <w:r>
        <w:rPr>
          <w:rStyle w:val="FootnoteReference"/>
        </w:rPr>
        <w:footnoteReference w:id="1098"/>
      </w:r>
      <w:r>
        <w:rPr>
          <w:rFonts w:ascii="IRNazanin" w:hAnsi="IRNazanin" w:eastAsia="IRNazanin" w:cs="IRNazanin"/>
          <w:lang w:bidi="fa-IR"/>
          <w:color w:val="111111"/>
          <w:sz w:val="28"/>
          <w:szCs w:val="28"/>
          <w:rtl/>
        </w:rPr>
        <w:t xml:space="preserve">مبنیّ علی الخلاف فی وجوب الاحتیاط أو جریان أصالة البراءة،و إمکان البیان و الحکم بعدم الجزئیّة-لأصالة عدم التقیید-علی القول بالأعمّ،فافهم.</w:t>
      </w:r>
    </w:p>
    <w:p>
      <w:pPr>
        <w:pStyle w:val="BookText"/>
      </w:pPr>
      <w:r>
        <w:rPr>
          <w:rFonts w:ascii="IRNazanin" w:hAnsi="IRNazanin" w:eastAsia="IRNazanin" w:cs="IRNazanin"/>
          <w:lang w:bidi="fa-IR"/>
          <w:color w:val="111111"/>
          <w:sz w:val="28"/>
          <w:szCs w:val="28"/>
          <w:rtl/>
        </w:rPr>
        <w:t xml:space="preserve">[شماره صفحه واقعی : 347]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230" w:name="pg14411_142737"/>
    <w:bookmarkEnd w:id="230"/>
    <w:p>
      <w:pPr>
        <w:pStyle w:val="Heading6"/>
      </w:pPr>
      <w:bookmarkStart w:id="1428" w:name="_Toc463"/>
      <w:r>
        <w:t>المسألة الثالثة فیما إذا تعارض نصّان متکافئان فی جزئیّة شیء لشیء و عدمها</w:t>
      </w:r>
      <w:bookmarkEnd w:id="1428"/>
    </w:p>
    <w:p>
      <w:pPr>
        <w:pStyle w:val="Heading6"/>
      </w:pPr>
      <w:bookmarkStart w:id="1429" w:name="_Toc464"/>
      <w:r>
        <w:t>اشارة</w:t>
      </w:r>
      <w:bookmarkEnd w:id="1429"/>
    </w:p>
    <w:p>
      <w:pPr>
        <w:pStyle w:val="BookText"/>
      </w:pPr>
      <w:r>
        <w:rPr>
          <w:rFonts w:ascii="IRNazanin" w:hAnsi="IRNazanin" w:eastAsia="IRNazanin" w:cs="IRNazanin"/>
          <w:lang w:bidi="fa-IR"/>
          <w:color w:val="111111"/>
          <w:sz w:val="28"/>
          <w:szCs w:val="28"/>
          <w:rtl/>
        </w:rPr>
        <w:t xml:space="preserve">کأن یدلّ أحدهما علی جزئیّة السورة و الآخر علی عدمها.</w:t>
      </w:r>
    </w:p>
    <w:p>
      <w:pPr>
        <w:pStyle w:val="Heading6"/>
      </w:pPr>
      <w:bookmarkStart w:id="1430" w:name="_Toc465"/>
      <w:r>
        <w:t>[مقتضی إطلاق أکثر الأصحاب ثبوت التخییر]</w:t>
      </w:r>
      <w:bookmarkEnd w:id="1430"/>
    </w:p>
    <w:p>
      <w:pPr>
        <w:pStyle w:val="BookText"/>
      </w:pPr>
      <w:r>
        <w:rPr>
          <w:rFonts w:ascii="IRNazanin" w:hAnsi="IRNazanin" w:eastAsia="IRNazanin" w:cs="IRNazanin"/>
          <w:lang w:bidi="fa-IR"/>
          <w:color w:val="111111"/>
          <w:sz w:val="28"/>
          <w:szCs w:val="28"/>
          <w:rtl/>
        </w:rPr>
        <w:t xml:space="preserve">و مقتضی إطلاق أکثر الأصحاب القول بالتخییر بعد التکافؤ:ثبوت التخییر هنا.</w:t>
      </w:r>
    </w:p>
    <w:p>
      <w:pPr>
        <w:pStyle w:val="BookText"/>
      </w:pPr>
      <w:r>
        <w:rPr>
          <w:rFonts w:ascii="IRNazanin" w:hAnsi="IRNazanin" w:eastAsia="IRNazanin" w:cs="IRNazanin"/>
          <w:lang w:bidi="fa-IR"/>
          <w:color w:val="111111"/>
          <w:sz w:val="28"/>
          <w:szCs w:val="28"/>
          <w:rtl/>
        </w:rPr>
        <w:t xml:space="preserve">لکن ینبغی أن یحمل هذا الحکم منهم علی ما إذا لم یکن هناک إطلاق یقتضی أصالة عدم تقییده </w:t>
      </w:r>
      <w:r>
        <w:rPr>
          <w:rStyle w:val="FootnoteReference"/>
        </w:rPr>
        <w:footnoteReference w:id="1099"/>
      </w:r>
      <w:r>
        <w:rPr>
          <w:rFonts w:ascii="IRNazanin" w:hAnsi="IRNazanin" w:eastAsia="IRNazanin" w:cs="IRNazanin"/>
          <w:lang w:bidi="fa-IR"/>
          <w:color w:val="111111"/>
          <w:sz w:val="28"/>
          <w:szCs w:val="28"/>
          <w:rtl/>
        </w:rPr>
        <w:t xml:space="preserve">عدم جزئیّة هذا المشکوک،کأن یکون هنا </w:t>
      </w:r>
      <w:r>
        <w:rPr>
          <w:rStyle w:val="FootnoteReference"/>
        </w:rPr>
        <w:footnoteReference w:id="1100"/>
      </w:r>
      <w:r>
        <w:rPr>
          <w:rFonts w:ascii="IRNazanin" w:hAnsi="IRNazanin" w:eastAsia="IRNazanin" w:cs="IRNazanin"/>
          <w:lang w:bidi="fa-IR"/>
          <w:color w:val="111111"/>
          <w:sz w:val="28"/>
          <w:szCs w:val="28"/>
          <w:rtl/>
        </w:rPr>
        <w:t xml:space="preserve">إطلاق معتبر للأمر بالصلاة بقول مطلق؛و إلاّ فالمرجع بعد التکافؤ إلی هذا المطلق؛لسلامته عن المقیّد بعد ابتلاء ما یصلح لتقییده بمعارض مکافئ.</w:t>
      </w:r>
    </w:p>
    <w:p>
      <w:pPr>
        <w:pStyle w:val="Heading6"/>
      </w:pPr>
      <w:bookmarkStart w:id="1431" w:name="_Toc466"/>
      <w:r>
        <w:t>[موضوع المسألة]</w:t>
      </w:r>
      <w:bookmarkEnd w:id="1431"/>
    </w:p>
    <w:p>
      <w:pPr>
        <w:pStyle w:val="BookText"/>
      </w:pPr>
      <w:r>
        <w:rPr>
          <w:rFonts w:ascii="IRNazanin" w:hAnsi="IRNazanin" w:eastAsia="IRNazanin" w:cs="IRNazanin"/>
          <w:lang w:bidi="fa-IR"/>
          <w:color w:val="111111"/>
          <w:sz w:val="28"/>
          <w:szCs w:val="28"/>
          <w:rtl/>
        </w:rPr>
        <w:t xml:space="preserve">و هذا الفرض خارج عن موضوع المسألة؛لأنّها-کأمثالها من مسائل هذا المقصد-مفروضة فیما إذا لم یکن هناک </w:t>
      </w:r>
      <w:r>
        <w:rPr>
          <w:rStyle w:val="FootnoteReference"/>
        </w:rPr>
        <w:footnoteReference w:id="1101"/>
      </w:r>
      <w:r>
        <w:rPr>
          <w:rFonts w:ascii="IRNazanin" w:hAnsi="IRNazanin" w:eastAsia="IRNazanin" w:cs="IRNazanin"/>
          <w:lang w:bidi="fa-IR"/>
          <w:color w:val="111111"/>
          <w:sz w:val="28"/>
          <w:szCs w:val="28"/>
          <w:rtl/>
        </w:rPr>
        <w:t xml:space="preserve">دلیل اجتهادیّ سلیم عن المعارض متکفّلا لحکم المسألة حتّی تکون موردا للاصول العملیّة.</w:t>
      </w:r>
    </w:p>
    <w:p>
      <w:pPr>
        <w:pStyle w:val="BookText"/>
      </w:pPr>
      <w:r>
        <w:rPr>
          <w:rFonts w:ascii="IRNazanin" w:hAnsi="IRNazanin" w:eastAsia="IRNazanin" w:cs="IRNazanin"/>
          <w:lang w:bidi="fa-IR"/>
          <w:color w:val="111111"/>
          <w:sz w:val="28"/>
          <w:szCs w:val="28"/>
          <w:rtl/>
        </w:rPr>
        <w:t xml:space="preserve">[شماره صفحه واقعی : 348]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231" w:name="pg14411_142738"/>
    <w:bookmarkEnd w:id="231"/>
    <w:p>
      <w:pPr>
        <w:pStyle w:val="BookText"/>
      </w:pPr>
      <w:r>
        <w:rPr>
          <w:rFonts w:ascii="IRNazanin" w:hAnsi="IRNazanin" w:eastAsia="IRNazanin" w:cs="IRNazanin"/>
          <w:lang w:bidi="fa-IR"/>
          <w:color w:val="111111"/>
          <w:sz w:val="28"/>
          <w:szCs w:val="28"/>
          <w:rtl/>
        </w:rPr>
        <w:t xml:space="preserve">فإن قلت:فأیّ فرق بین وجود هذا المطلق و عدمه؟و ما المانع من الحکم بالتخییر هنا،کما لو لم یکن مطلق؟</w:t>
      </w:r>
    </w:p>
    <w:p>
      <w:pPr>
        <w:pStyle w:val="BookText"/>
      </w:pPr>
      <w:r>
        <w:rPr>
          <w:rFonts w:ascii="IRNazanin" w:hAnsi="IRNazanin" w:eastAsia="IRNazanin" w:cs="IRNazanin"/>
          <w:lang w:bidi="fa-IR"/>
          <w:color w:val="111111"/>
          <w:sz w:val="28"/>
          <w:szCs w:val="28"/>
          <w:rtl/>
        </w:rPr>
        <w:t xml:space="preserve">فإنّ حکم المتکافئین إن کان هو التساقط،حتّی أنّ المقیّد المبتلی بمثله بمنزلة العدم فیبقی المطلق سالما،کان اللازم فی صورة عدم وجود المطلق-التی حکم فیها بالتخییر-هو التساقط و الرجوع إلی الأصل المؤسّس فیما لا نصّ فیه:من البراءة أو الاحتیاط،علی الخلاف.</w:t>
      </w:r>
    </w:p>
    <w:p>
      <w:pPr>
        <w:pStyle w:val="BookText"/>
      </w:pPr>
      <w:r>
        <w:rPr>
          <w:rFonts w:ascii="IRNazanin" w:hAnsi="IRNazanin" w:eastAsia="IRNazanin" w:cs="IRNazanin"/>
          <w:lang w:bidi="fa-IR"/>
          <w:color w:val="111111"/>
          <w:sz w:val="28"/>
          <w:szCs w:val="28"/>
          <w:rtl/>
        </w:rPr>
        <w:t xml:space="preserve">و إن کان حکمهما التخییر-کما هو المشهور نصّا و فتوی-کان اللازم عند تعارض المقیّد للمطلق الموجود بمثله،الحکم بالتخییر هاهنا </w:t>
      </w:r>
      <w:r>
        <w:rPr>
          <w:rStyle w:val="FootnoteReference"/>
        </w:rPr>
        <w:footnoteReference w:id="1102"/>
      </w:r>
      <w:r>
        <w:rPr>
          <w:rFonts w:ascii="IRNazanin" w:hAnsi="IRNazanin" w:eastAsia="IRNazanin" w:cs="IRNazanin"/>
          <w:lang w:bidi="fa-IR"/>
          <w:color w:val="111111"/>
          <w:sz w:val="28"/>
          <w:szCs w:val="28"/>
          <w:rtl/>
        </w:rPr>
        <w:t xml:space="preserve">، لا تعیین الرجوع إلی المطلق الذی هو بمنزلة تعیین العمل بالخبر المعارض للمقیّد.</w:t>
      </w:r>
    </w:p>
    <w:p>
      <w:pPr>
        <w:pStyle w:val="Heading6"/>
      </w:pPr>
      <w:bookmarkStart w:id="1432" w:name="_Toc467"/>
      <w:r>
        <w:t>[المتعارضان مع وجود المطلق]</w:t>
      </w:r>
      <w:bookmarkEnd w:id="1432"/>
    </w:p>
    <w:p>
      <w:pPr>
        <w:pStyle w:val="BookText"/>
      </w:pPr>
      <w:r>
        <w:rPr>
          <w:rFonts w:ascii="IRNazanin" w:hAnsi="IRNazanin" w:eastAsia="IRNazanin" w:cs="IRNazanin"/>
          <w:lang w:bidi="fa-IR"/>
          <w:color w:val="111111"/>
          <w:sz w:val="28"/>
          <w:szCs w:val="28"/>
          <w:rtl/>
        </w:rPr>
        <w:t xml:space="preserve">قلت:أمّا لو قلنا:بأنّ المتعارضین مع وجود المطلق غیر متکافئین-لأنّ موافقة أحدهما للمطلق الموجود مرجّح له،فیؤخذ به و یطرح الآخر-فلا إشکال فی الحکم،و فی خروج مورده عن محلّ الکلام.</w:t>
      </w:r>
    </w:p>
    <w:p>
      <w:pPr>
        <w:pStyle w:val="BookText"/>
      </w:pPr>
      <w:r>
        <w:rPr>
          <w:rFonts w:ascii="IRNazanin" w:hAnsi="IRNazanin" w:eastAsia="IRNazanin" w:cs="IRNazanin"/>
          <w:lang w:bidi="fa-IR"/>
          <w:color w:val="111111"/>
          <w:sz w:val="28"/>
          <w:szCs w:val="28"/>
          <w:rtl/>
        </w:rPr>
        <w:t xml:space="preserve">و إن قلنا:إنّهما متکافئان،و المطلق مرجع،لا مرجّح-نظرا إلی کون أصالة عدم التقیید تعبّدیّا،لا من باب الظهور النوعیّ-فوجه عدم شمول أخبار التخییر لهذا القسم من المتکافئین:دعوی ظهور اختصاص تلک الأخبار بصورة عدم وجود الدلیل الشرعیّ فی تلک الواقعة،و أنّها مسوقة لبیان عدم جواز طرح قول الشارع فی تلک الواقعة و الرجوع إلی الاصول العقلیّة و النقلیّة المقرّرة لحکم صورة فقدان</w:t>
      </w:r>
    </w:p>
    <w:p>
      <w:pPr>
        <w:pStyle w:val="BookText"/>
      </w:pPr>
      <w:r>
        <w:rPr>
          <w:rFonts w:ascii="IRNazanin" w:hAnsi="IRNazanin" w:eastAsia="IRNazanin" w:cs="IRNazanin"/>
          <w:lang w:bidi="fa-IR"/>
          <w:color w:val="111111"/>
          <w:sz w:val="28"/>
          <w:szCs w:val="28"/>
          <w:rtl/>
        </w:rPr>
        <w:t xml:space="preserve">[شماره صفحه واقعی : 349]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232" w:name="pg14411_142739"/>
    <w:bookmarkEnd w:id="232"/>
    <w:p>
      <w:pPr>
        <w:pStyle w:val="BookText"/>
      </w:pPr>
      <w:r>
        <w:rPr>
          <w:rFonts w:ascii="IRNazanin" w:hAnsi="IRNazanin" w:eastAsia="IRNazanin" w:cs="IRNazanin"/>
          <w:lang w:bidi="fa-IR"/>
          <w:color w:val="111111"/>
          <w:sz w:val="28"/>
          <w:szCs w:val="28"/>
          <w:rtl/>
        </w:rPr>
        <w:t xml:space="preserve">قول الشارع فیها،و المفروض وجود قول الشارع هنا و لو بضمیمة أصالة الإطلاق المتعبّد بها عند الشکّ فی المقیّد.</w:t>
      </w:r>
    </w:p>
    <w:p>
      <w:pPr>
        <w:pStyle w:val="Heading6"/>
      </w:pPr>
      <w:bookmarkStart w:id="1433" w:name="_Toc468"/>
      <w:r>
        <w:t>[الفرق بین أصالة الإطلاق و سائر الاصول العقلیّة و النقلیّة]</w:t>
      </w:r>
      <w:bookmarkEnd w:id="1433"/>
    </w:p>
    <w:p>
      <w:pPr>
        <w:pStyle w:val="BookText"/>
      </w:pPr>
      <w:r>
        <w:rPr>
          <w:rFonts w:ascii="IRNazanin" w:hAnsi="IRNazanin" w:eastAsia="IRNazanin" w:cs="IRNazanin"/>
          <w:lang w:bidi="fa-IR"/>
          <w:color w:val="111111"/>
          <w:sz w:val="28"/>
          <w:szCs w:val="28"/>
          <w:rtl/>
        </w:rPr>
        <w:t xml:space="preserve">و الفرق بین هذا الأصل و بین تلک الاصول الممنوع فی هذه الأخبار عن الرجوع إلیها و ترک المتکافئین </w:t>
      </w:r>
      <w:r>
        <w:rPr>
          <w:rStyle w:val="FootnoteReference"/>
        </w:rPr>
        <w:footnoteReference w:id="1103"/>
      </w:r>
      <w:r>
        <w:rPr>
          <w:rFonts w:ascii="IRNazanin" w:hAnsi="IRNazanin" w:eastAsia="IRNazanin" w:cs="IRNazanin"/>
          <w:lang w:bidi="fa-IR"/>
          <w:color w:val="111111"/>
          <w:sz w:val="28"/>
          <w:szCs w:val="28"/>
          <w:rtl/>
        </w:rPr>
        <w:t xml:space="preserve">:هو أنّ تلک الاصول عملیّة فرعیّة مقرّرة لبیان العمل فی المسألة الفرعیّة عند فقد الدلیل الشرعیّ فیها،و هذا الأصل مقرّر لإثبات کون الشیء و هو المطلق دلیلا و حجّة عند فقد ما یدلّ علی عدم ذلک.</w:t>
      </w:r>
    </w:p>
    <w:p>
      <w:pPr>
        <w:pStyle w:val="BookText"/>
      </w:pPr>
      <w:r>
        <w:rPr>
          <w:rFonts w:ascii="IRNazanin" w:hAnsi="IRNazanin" w:eastAsia="IRNazanin" w:cs="IRNazanin"/>
          <w:lang w:bidi="fa-IR"/>
          <w:color w:val="111111"/>
          <w:sz w:val="28"/>
          <w:szCs w:val="28"/>
          <w:rtl/>
        </w:rPr>
        <w:t xml:space="preserve">فالتخییر مع جریان هذا الأصل تخییر مع وجود الدلیل الشرعیّ المعیّن لحکم المسألة المتعارض فیها النصّان،بخلاف التخییر مع جریان تلک الاصول؛فإنّه تخییر بین المتکافئین عند فقد دلیل ثالث فی موردهما.</w:t>
      </w:r>
    </w:p>
    <w:p>
      <w:pPr>
        <w:pStyle w:val="Heading6"/>
      </w:pPr>
      <w:bookmarkStart w:id="1434" w:name="_Toc469"/>
      <w:r>
        <w:t>[الإنصاف حکومة أخبار التخییر علی أصالة الإطلاق]</w:t>
      </w:r>
      <w:bookmarkEnd w:id="1434"/>
    </w:p>
    <w:p>
      <w:pPr>
        <w:pStyle w:val="BookText"/>
      </w:pPr>
      <w:r>
        <w:rPr>
          <w:rFonts w:ascii="IRNazanin" w:hAnsi="IRNazanin" w:eastAsia="IRNazanin" w:cs="IRNazanin"/>
          <w:lang w:bidi="fa-IR"/>
          <w:color w:val="111111"/>
          <w:sz w:val="28"/>
          <w:szCs w:val="28"/>
          <w:rtl/>
        </w:rPr>
        <w:t xml:space="preserve">هذا،و لکنّ الإنصاف:أنّ أخبار التخییر حاکمة علی هذا الأصل و إن کان جاریا فی المسألة الاصولیّة،کما أنّها حاکمة علی تلک الاصول الجاریة فی المسألة الفرعیّة؛لأنّ مؤدّاها بیان حجّیة أحد المتعارضین کمؤدّی أدلّة حجّیة الأخبار،و من المعلوم حکومتها علی مثل هذا الأصل،فهی دالّة علی مسألة اصولیّة،و لیس مضمونها حکما عملیّا صرفا </w:t>
      </w:r>
      <w:r>
        <w:rPr>
          <w:rStyle w:val="FootnoteReference"/>
        </w:rPr>
        <w:footnoteReference w:id="11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فلا فرق بین أن یرد فی مورد هذا الدلیل المطلق:«اعمل بالخبر</w:t>
      </w:r>
    </w:p>
    <w:p>
      <w:pPr>
        <w:pStyle w:val="BookText"/>
      </w:pPr>
      <w:r>
        <w:rPr>
          <w:rFonts w:ascii="IRNazanin" w:hAnsi="IRNazanin" w:eastAsia="IRNazanin" w:cs="IRNazanin"/>
          <w:lang w:bidi="fa-IR"/>
          <w:color w:val="111111"/>
          <w:sz w:val="28"/>
          <w:szCs w:val="28"/>
          <w:rtl/>
        </w:rPr>
        <w:t xml:space="preserve">[شماره صفحه واقعی : 350]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الفلانیّ المقیّد لهذا المطلق»،و بین قوله:«اعمل بأحد هذین المقیّد أحدهما له».</w:t>
      </w:r>
    </w:p>
    <w:p>
      <w:pPr>
        <w:pStyle w:val="BookText"/>
      </w:pPr>
      <w:r>
        <w:rPr>
          <w:rFonts w:ascii="IRNazanin" w:hAnsi="IRNazanin" w:eastAsia="IRNazanin" w:cs="IRNazanin"/>
          <w:lang w:bidi="fa-IR"/>
          <w:color w:val="111111"/>
          <w:sz w:val="28"/>
          <w:szCs w:val="28"/>
          <w:rtl/>
        </w:rPr>
        <w:t xml:space="preserve">فالظاهر:أنّ حکم المشهور فی المقام بالرجوع إلی المطلق و عدم التخییر مبنیّ علی ما هو المشهور-فتوی و نصّا-:من ترجیح أحد المتعارضین بالمطلق أو العامّ الموجود فی تلک المسألة،کما یظهر من ملاحظة النصوص و الفتاوی.و سیأتی توضیح ما هو الحقّ من المسلکین فی باب التعادل و التراجیح </w:t>
      </w:r>
      <w:r>
        <w:rPr>
          <w:rStyle w:val="FootnoteReference"/>
        </w:rPr>
        <w:footnoteReference w:id="1105"/>
      </w:r>
      <w:r>
        <w:rPr>
          <w:rFonts w:ascii="IRNazanin" w:hAnsi="IRNazanin" w:eastAsia="IRNazanin" w:cs="IRNazanin"/>
          <w:lang w:bidi="fa-IR"/>
          <w:color w:val="111111"/>
          <w:sz w:val="28"/>
          <w:szCs w:val="28"/>
          <w:rtl/>
        </w:rPr>
        <w:t xml:space="preserve">إن شاء اللّه تعالی.</w:t>
      </w:r>
    </w:p>
    <w:p>
      <w:pPr>
        <w:pStyle w:val="BookText"/>
      </w:pPr>
      <w:r>
        <w:rPr>
          <w:rFonts w:ascii="IRNazanin" w:hAnsi="IRNazanin" w:eastAsia="IRNazanin" w:cs="IRNazanin"/>
          <w:lang w:bidi="fa-IR"/>
          <w:color w:val="111111"/>
          <w:sz w:val="28"/>
          <w:szCs w:val="28"/>
          <w:rtl/>
        </w:rPr>
        <w:t xml:space="preserve">[شماره صفحه واقعی : 351]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233" w:name="pg14411_142741"/>
    <w:bookmarkEnd w:id="233"/>
    <w:p>
      <w:pPr>
        <w:pStyle w:val="Heading6"/>
      </w:pPr>
      <w:bookmarkStart w:id="1435" w:name="_Toc470"/>
      <w:r>
        <w:t>المسألة الرابعة فیما إذا شکّ فی جزئیّة شیء للمأمور به من جهة الشبهة فی الموضوع الخارجیّ</w:t>
      </w:r>
      <w:bookmarkEnd w:id="1435"/>
    </w:p>
    <w:p>
      <w:pPr>
        <w:pStyle w:val="Heading6"/>
      </w:pPr>
      <w:bookmarkStart w:id="1436" w:name="_Toc471"/>
      <w:r>
        <w:t>اشارة</w:t>
      </w:r>
      <w:bookmarkEnd w:id="1436"/>
    </w:p>
    <w:p>
      <w:pPr>
        <w:pStyle w:val="BookText"/>
      </w:pPr>
      <w:r>
        <w:rPr>
          <w:rFonts w:ascii="IRNazanin" w:hAnsi="IRNazanin" w:eastAsia="IRNazanin" w:cs="IRNazanin"/>
          <w:lang w:bidi="fa-IR"/>
          <w:color w:val="111111"/>
          <w:sz w:val="28"/>
          <w:szCs w:val="28"/>
          <w:rtl/>
        </w:rPr>
        <w:t xml:space="preserve">کما إذا أمر بمفهوم مبیّن مردّد مصداقه بین الأقلّ و الأکثر.و منه:</w:t>
      </w:r>
    </w:p>
    <w:p>
      <w:pPr>
        <w:pStyle w:val="BookText"/>
      </w:pPr>
      <w:r>
        <w:rPr>
          <w:rFonts w:ascii="IRNazanin" w:hAnsi="IRNazanin" w:eastAsia="IRNazanin" w:cs="IRNazanin"/>
          <w:lang w:bidi="fa-IR"/>
          <w:color w:val="111111"/>
          <w:sz w:val="28"/>
          <w:szCs w:val="28"/>
          <w:rtl/>
        </w:rPr>
        <w:t xml:space="preserve">ما إذا وجب صوم شهر هلالیّ-و هو ما بین الهلالین-فشکّ فی أنّه ثلاثون أو ناقص.و مثل:ما إذا </w:t>
      </w:r>
      <w:r>
        <w:rPr>
          <w:rStyle w:val="FootnoteReference"/>
        </w:rPr>
        <w:footnoteReference w:id="1106"/>
      </w:r>
      <w:r>
        <w:rPr>
          <w:rFonts w:ascii="IRNazanin" w:hAnsi="IRNazanin" w:eastAsia="IRNazanin" w:cs="IRNazanin"/>
          <w:lang w:bidi="fa-IR"/>
          <w:color w:val="111111"/>
          <w:sz w:val="28"/>
          <w:szCs w:val="28"/>
          <w:rtl/>
        </w:rPr>
        <w:t xml:space="preserve">أمر بالطهور لأجل الصلاة،أعنی الفعل </w:t>
      </w:r>
      <w:r>
        <w:rPr>
          <w:rStyle w:val="FootnoteReference"/>
        </w:rPr>
        <w:footnoteReference w:id="1107"/>
      </w:r>
      <w:r>
        <w:rPr>
          <w:rFonts w:ascii="IRNazanin" w:hAnsi="IRNazanin" w:eastAsia="IRNazanin" w:cs="IRNazanin"/>
          <w:lang w:bidi="fa-IR"/>
          <w:color w:val="111111"/>
          <w:sz w:val="28"/>
          <w:szCs w:val="28"/>
          <w:rtl/>
        </w:rPr>
        <w:t xml:space="preserve">الرافع للحدث أو المبیح للصلاة،فشکّ فی جزئیّة شیء للوضوء أو الغسل الرافعین.</w:t>
      </w:r>
    </w:p>
    <w:p>
      <w:pPr>
        <w:pStyle w:val="Heading6"/>
      </w:pPr>
      <w:bookmarkStart w:id="1437" w:name="_Toc472"/>
      <w:r>
        <w:t>[اللازم فی المسألة الاحتیاط]</w:t>
      </w:r>
      <w:bookmarkEnd w:id="1437"/>
    </w:p>
    <w:p>
      <w:pPr>
        <w:pStyle w:val="BookText"/>
      </w:pPr>
      <w:r>
        <w:rPr>
          <w:rFonts w:ascii="IRNazanin" w:hAnsi="IRNazanin" w:eastAsia="IRNazanin" w:cs="IRNazanin"/>
          <w:lang w:bidi="fa-IR"/>
          <w:color w:val="111111"/>
          <w:sz w:val="28"/>
          <w:szCs w:val="28"/>
          <w:rtl/>
        </w:rPr>
        <w:t xml:space="preserve">و اللازم فی المقام:الاحتیاط؛لأنّ المفروض تنجّز التکلیف بمفهوم مبیّن معلوم تفصیلا،و إنّما الشکّ فی تحقّقه بالأقلّ،فمقتضی أصالة عدم تحقّقه و بقاء الاشتغال:عدم الاکتفاء به و لزوم الإتیان بالأکثر.</w:t>
      </w:r>
    </w:p>
    <w:p>
      <w:pPr>
        <w:pStyle w:val="Heading6"/>
      </w:pPr>
      <w:bookmarkStart w:id="1438" w:name="_Toc473"/>
      <w:r>
        <w:t>[عدم جریان أدلّة البراءة فی المسألة]</w:t>
      </w:r>
      <w:bookmarkEnd w:id="1438"/>
    </w:p>
    <w:p>
      <w:pPr>
        <w:pStyle w:val="BookText"/>
      </w:pPr>
      <w:r>
        <w:rPr>
          <w:rFonts w:ascii="IRNazanin" w:hAnsi="IRNazanin" w:eastAsia="IRNazanin" w:cs="IRNazanin"/>
          <w:lang w:bidi="fa-IR"/>
          <w:color w:val="111111"/>
          <w:sz w:val="28"/>
          <w:szCs w:val="28"/>
          <w:rtl/>
        </w:rPr>
        <w:t xml:space="preserve">و لا یجری هنا ما تقدّم من الدلیل العقلیّ و النقلیّ الدالّ علی البراءة؛لأنّ البیان الذی لا بدّ منه فی التکلیف قد وصل من الشارع، فلا یقبح المؤاخذة علی ترک ما بیّنه تفصیلا،فإذا شکّ فی تحقّقه فی</w:t>
      </w:r>
    </w:p>
    <w:p>
      <w:pPr>
        <w:pStyle w:val="BookText"/>
      </w:pPr>
      <w:r>
        <w:rPr>
          <w:rFonts w:ascii="IRNazanin" w:hAnsi="IRNazanin" w:eastAsia="IRNazanin" w:cs="IRNazanin"/>
          <w:lang w:bidi="fa-IR"/>
          <w:color w:val="111111"/>
          <w:sz w:val="28"/>
          <w:szCs w:val="28"/>
          <w:rtl/>
        </w:rPr>
        <w:t xml:space="preserve">[شماره صفحه واقعی : 352]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234" w:name="pg14411_142742"/>
    <w:bookmarkEnd w:id="234"/>
    <w:p>
      <w:pPr>
        <w:pStyle w:val="BookText"/>
      </w:pPr>
      <w:r>
        <w:rPr>
          <w:rFonts w:ascii="IRNazanin" w:hAnsi="IRNazanin" w:eastAsia="IRNazanin" w:cs="IRNazanin"/>
          <w:lang w:bidi="fa-IR"/>
          <w:color w:val="111111"/>
          <w:sz w:val="28"/>
          <w:szCs w:val="28"/>
          <w:rtl/>
        </w:rPr>
        <w:t xml:space="preserve">الخارج فالأصل عدمه.و العقل-أیضا-یحکم بوجوب القطع بإحراز ما علم وجوبه تفصیلا،أعنی المفهوم المعیّن المبیّن المأمور به؛أ لا تری:أنّه لو شکّ فی وجود باقی الأجزاء المعلومة-کأن لم یعلم أنّه أتی بها أم لا-کان مقتضی العقل و الاستصحاب وجوب الإتیان بها؟</w:t>
      </w:r>
    </w:p>
    <w:p>
      <w:pPr>
        <w:pStyle w:val="Heading6"/>
      </w:pPr>
      <w:bookmarkStart w:id="1439" w:name="_Toc474"/>
      <w:r>
        <w:t>[الفرق بین المسألة و المسائل المتقدّمة من الشبهة الحکمیّة]</w:t>
      </w:r>
      <w:bookmarkEnd w:id="1439"/>
    </w:p>
    <w:p>
      <w:pPr>
        <w:pStyle w:val="BookText"/>
      </w:pPr>
      <w:r>
        <w:rPr>
          <w:rFonts w:ascii="IRNazanin" w:hAnsi="IRNazanin" w:eastAsia="IRNazanin" w:cs="IRNazanin"/>
          <w:lang w:bidi="fa-IR"/>
          <w:color w:val="111111"/>
          <w:sz w:val="28"/>
          <w:szCs w:val="28"/>
          <w:rtl/>
        </w:rPr>
        <w:t xml:space="preserve">و الفارق بین ما نحن فیه و بین الشبهة الحکمیّة من المسائل المتقدّمة التی حکمنا فیها بالبراءة هو:أنّ نفس </w:t>
      </w:r>
      <w:r>
        <w:rPr>
          <w:rStyle w:val="FootnoteReference"/>
        </w:rPr>
        <w:footnoteReference w:id="1108"/>
      </w:r>
      <w:r>
        <w:rPr>
          <w:rFonts w:ascii="IRNazanin" w:hAnsi="IRNazanin" w:eastAsia="IRNazanin" w:cs="IRNazanin"/>
          <w:lang w:bidi="fa-IR"/>
          <w:color w:val="111111"/>
          <w:sz w:val="28"/>
          <w:szCs w:val="28"/>
          <w:rtl/>
        </w:rPr>
        <w:t xml:space="preserve">التکلیف فیها </w:t>
      </w:r>
      <w:r>
        <w:rPr>
          <w:rStyle w:val="FootnoteReference"/>
        </w:rPr>
        <w:footnoteReference w:id="1109"/>
      </w:r>
      <w:r>
        <w:rPr>
          <w:rFonts w:ascii="IRNazanin" w:hAnsi="IRNazanin" w:eastAsia="IRNazanin" w:cs="IRNazanin"/>
          <w:lang w:bidi="fa-IR"/>
          <w:color w:val="111111"/>
          <w:sz w:val="28"/>
          <w:szCs w:val="28"/>
          <w:rtl/>
        </w:rPr>
        <w:t xml:space="preserve">مردّد بین اختصاصه بالمعلوم وجوبه تفصیلا و بین تعلّقه بالمشکوک،و هذا التردید لا حکم له بمقتضی العقل؛لأنّ مرجعه إلی المؤاخذة علی ترک المشکوک، و هی قبیحة بحکم العقل،فالعقل و النقل الدالاّن علی البراءة مبیّنان لمتعلّق </w:t>
      </w:r>
      <w:r>
        <w:rPr>
          <w:rStyle w:val="FootnoteReference"/>
        </w:rPr>
        <w:footnoteReference w:id="1110"/>
      </w:r>
      <w:r>
        <w:rPr>
          <w:rFonts w:ascii="IRNazanin" w:hAnsi="IRNazanin" w:eastAsia="IRNazanin" w:cs="IRNazanin"/>
          <w:lang w:bidi="fa-IR"/>
          <w:color w:val="111111"/>
          <w:sz w:val="28"/>
          <w:szCs w:val="28"/>
          <w:rtl/>
        </w:rPr>
        <w:t xml:space="preserve">التکلیف </w:t>
      </w:r>
      <w:r>
        <w:rPr>
          <w:rStyle w:val="FootnoteReference"/>
        </w:rPr>
        <w:footnoteReference w:id="1111"/>
      </w:r>
      <w:r>
        <w:rPr>
          <w:rFonts w:ascii="IRNazanin" w:hAnsi="IRNazanin" w:eastAsia="IRNazanin" w:cs="IRNazanin"/>
          <w:lang w:bidi="fa-IR"/>
          <w:color w:val="111111"/>
          <w:sz w:val="28"/>
          <w:szCs w:val="28"/>
          <w:rtl/>
        </w:rPr>
        <w:t xml:space="preserve">من أوّل الأمر فی مرحلة الظاهر.</w:t>
      </w:r>
    </w:p>
    <w:p>
      <w:pPr>
        <w:pStyle w:val="BookText"/>
      </w:pPr>
      <w:r>
        <w:rPr>
          <w:rFonts w:ascii="IRNazanin" w:hAnsi="IRNazanin" w:eastAsia="IRNazanin" w:cs="IRNazanin"/>
          <w:lang w:bidi="fa-IR"/>
          <w:color w:val="111111"/>
          <w:sz w:val="28"/>
          <w:szCs w:val="28"/>
          <w:rtl/>
        </w:rPr>
        <w:t xml:space="preserve">و أمّا ما نحن فیه،فمتعلّق التکلیف فیه مبیّن معیّن معلوم تفصیلا، لا تصرّف للعقل و النقل فیه،و إنّما الشکّ فی تحقّقه فی الخارج بإتیان الأجزاء المعلومة،و العقل و النقل المذکوران لا یثبتان تحقّقه فی الخارج، بل الأصل عدم تحقّقه،و العقل أیضا مستقلّ بوجوب الاحتیاط مع الشکّ فی التحقّق.</w:t>
      </w:r>
    </w:p>
    <w:p>
      <w:pPr>
        <w:pStyle w:val="BookText"/>
      </w:pPr>
      <w:r>
        <w:rPr>
          <w:rFonts w:ascii="IRNazanin" w:hAnsi="IRNazanin" w:eastAsia="IRNazanin" w:cs="IRNazanin"/>
          <w:lang w:bidi="fa-IR"/>
          <w:color w:val="111111"/>
          <w:sz w:val="28"/>
          <w:szCs w:val="28"/>
          <w:rtl/>
        </w:rPr>
        <w:t xml:space="preserve">[شماره صفحه واقعی : 353]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235" w:name="pg14411_142743"/>
    <w:bookmarkEnd w:id="235"/>
    <w:p>
      <w:pPr>
        <w:pStyle w:val="Heading6"/>
      </w:pPr>
      <w:bookmarkStart w:id="1440" w:name="_Toc475"/>
      <w:r>
        <w:t>و أمّا القسم الثانی،و هو الشکّ فی کون الشیء قیدا للمأمور به</w:t>
      </w:r>
      <w:bookmarkEnd w:id="1440"/>
    </w:p>
    <w:p>
      <w:pPr>
        <w:pStyle w:val="Heading6"/>
      </w:pPr>
      <w:bookmarkStart w:id="1441" w:name="_Toc476"/>
      <w:r>
        <w:t>[القید قد یکون منشؤه مغایرا للمقیّد و قد یکون قیدا متّحدا معه]</w:t>
      </w:r>
      <w:bookmarkEnd w:id="1441"/>
    </w:p>
    <w:p>
      <w:pPr>
        <w:pStyle w:val="BookText"/>
      </w:pPr>
      <w:r>
        <w:rPr>
          <w:rFonts w:ascii="IRNazanin" w:hAnsi="IRNazanin" w:eastAsia="IRNazanin" w:cs="IRNazanin"/>
          <w:lang w:bidi="fa-IR"/>
          <w:color w:val="111111"/>
          <w:sz w:val="28"/>
          <w:szCs w:val="28"/>
          <w:rtl/>
        </w:rPr>
        <w:t xml:space="preserve">فقد عرفت </w:t>
      </w:r>
      <w:r>
        <w:rPr>
          <w:rStyle w:val="FootnoteReference"/>
        </w:rPr>
        <w:footnoteReference w:id="1112"/>
      </w:r>
      <w:r>
        <w:rPr>
          <w:rFonts w:ascii="IRNazanin" w:hAnsi="IRNazanin" w:eastAsia="IRNazanin" w:cs="IRNazanin"/>
          <w:lang w:bidi="fa-IR"/>
          <w:color w:val="111111"/>
          <w:sz w:val="28"/>
          <w:szCs w:val="28"/>
          <w:rtl/>
        </w:rPr>
        <w:t xml:space="preserve">أنّه علی قسمین؛لأنّ القید قد یکون منشؤه فعلا خارجیّا مغایرا للمقیّد فی الوجود الخارجیّ کالطهارة الناشئة من الوضوء،و قد یکون قیدا متّحدا معه فی الوجود الخارجیّ.</w:t>
      </w:r>
    </w:p>
    <w:p>
      <w:pPr>
        <w:pStyle w:val="Heading6"/>
      </w:pPr>
      <w:bookmarkStart w:id="1442" w:name="_Toc477"/>
      <w:r>
        <w:t>[الظاهر اتّحاد حکمهما]</w:t>
      </w:r>
      <w:bookmarkEnd w:id="1442"/>
    </w:p>
    <w:p>
      <w:pPr>
        <w:pStyle w:val="BookText"/>
      </w:pPr>
      <w:r>
        <w:rPr>
          <w:rFonts w:ascii="IRNazanin" w:hAnsi="IRNazanin" w:eastAsia="IRNazanin" w:cs="IRNazanin"/>
          <w:lang w:bidi="fa-IR"/>
          <w:color w:val="111111"/>
          <w:sz w:val="28"/>
          <w:szCs w:val="28"/>
          <w:rtl/>
        </w:rPr>
        <w:t xml:space="preserve">أمّا الأوّل:فالکلام فیه هو الکلام فیما تقدّم </w:t>
      </w:r>
      <w:r>
        <w:rPr>
          <w:rStyle w:val="FootnoteReference"/>
        </w:rPr>
        <w:footnoteReference w:id="1113"/>
      </w:r>
      <w:r>
        <w:rPr>
          <w:rFonts w:ascii="IRNazanin" w:hAnsi="IRNazanin" w:eastAsia="IRNazanin" w:cs="IRNazanin"/>
          <w:lang w:bidi="fa-IR"/>
          <w:color w:val="111111"/>
          <w:sz w:val="28"/>
          <w:szCs w:val="28"/>
          <w:rtl/>
        </w:rPr>
        <w:t xml:space="preserve">،فلا نطیل بالإعادة.</w:t>
      </w:r>
    </w:p>
    <w:p>
      <w:pPr>
        <w:pStyle w:val="BookText"/>
      </w:pPr>
      <w:r>
        <w:rPr>
          <w:rFonts w:ascii="IRNazanin" w:hAnsi="IRNazanin" w:eastAsia="IRNazanin" w:cs="IRNazanin"/>
          <w:lang w:bidi="fa-IR"/>
          <w:color w:val="111111"/>
          <w:sz w:val="28"/>
          <w:szCs w:val="28"/>
          <w:rtl/>
        </w:rPr>
        <w:t xml:space="preserve">و أمّا الثانی:فالظاهر اتّحاد حکمهما </w:t>
      </w:r>
      <w:r>
        <w:rPr>
          <w:rStyle w:val="FootnoteReference"/>
        </w:rPr>
        <w:footnoteReference w:id="1114"/>
      </w:r>
      <w:r>
        <w:rPr>
          <w:rFonts w:ascii="Times New Roman" w:hAnsi="Times New Roman" w:eastAsia="Times New Roman" w:cs="Times New Roman"/>
          <w:lang w:val="en-US" w:bidi="en-US"/>
          <w:color w:val="111111"/>
          <w:sz w:val="28"/>
          <w:szCs w:val="28"/>
          <w:rtl/>
        </w:rPr>
        <w:t xml:space="preserve">.</w:t>
      </w:r>
    </w:p>
    <w:p>
      <w:pPr>
        <w:pStyle w:val="Heading6"/>
      </w:pPr>
      <w:bookmarkStart w:id="1443" w:name="_Toc478"/>
      <w:r>
        <w:t>[قد یفرّق بین القسمین بإلحاق الأوّل بالشکّ فی الجزئیّة دون الثانی]</w:t>
      </w:r>
      <w:bookmarkEnd w:id="1443"/>
    </w:p>
    <w:p>
      <w:pPr>
        <w:pStyle w:val="Heading6"/>
      </w:pPr>
      <w:bookmarkStart w:id="1444" w:name="_Toc479"/>
      <w:r>
        <w:t>اشارة</w:t>
      </w:r>
      <w:bookmarkEnd w:id="1444"/>
    </w:p>
    <w:p>
      <w:pPr>
        <w:pStyle w:val="BookText"/>
      </w:pPr>
      <w:r>
        <w:rPr>
          <w:rFonts w:ascii="IRNazanin" w:hAnsi="IRNazanin" w:eastAsia="IRNazanin" w:cs="IRNazanin"/>
          <w:lang w:bidi="fa-IR"/>
          <w:color w:val="111111"/>
          <w:sz w:val="28"/>
          <w:szCs w:val="28"/>
          <w:rtl/>
        </w:rPr>
        <w:t xml:space="preserve">و قد یفرّق بینهما:بإلحاق الأوّل بالشکّ فی الجزئیّة دون الثانی؛ نظرا إلی جریان العقل و النقل الدالّین علی عدم المؤاخذة علی ما لم یعلم من الشارع المؤاخذة علیه فی الأوّل؛فإنّ وجوب الوضوء إذا لم یعلم</w:t>
      </w:r>
    </w:p>
    <w:p>
      <w:pPr>
        <w:pStyle w:val="BookText"/>
      </w:pPr>
      <w:r>
        <w:rPr>
          <w:rFonts w:ascii="IRNazanin" w:hAnsi="IRNazanin" w:eastAsia="IRNazanin" w:cs="IRNazanin"/>
          <w:lang w:bidi="fa-IR"/>
          <w:color w:val="111111"/>
          <w:sz w:val="28"/>
          <w:szCs w:val="28"/>
          <w:rtl/>
        </w:rPr>
        <w:t xml:space="preserve">[شماره صفحه واقعی : 354]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المؤاخذة علیه کان التکلیف به-و لو مقدّمة-منفیّا بحکم العقل و النقل، و المفروض أنّ الشرط الشرعیّ إنّما انتزع من الأمر بالوضوء فی الشریعة، فینتفی بانتفاء منشأ انتزاعه فی الظاهر.</w:t>
      </w:r>
    </w:p>
    <w:p>
      <w:pPr>
        <w:pStyle w:val="BookText"/>
      </w:pPr>
      <w:r>
        <w:rPr>
          <w:rFonts w:ascii="IRNazanin" w:hAnsi="IRNazanin" w:eastAsia="IRNazanin" w:cs="IRNazanin"/>
          <w:lang w:bidi="fa-IR"/>
          <w:color w:val="111111"/>
          <w:sz w:val="28"/>
          <w:szCs w:val="28"/>
          <w:rtl/>
        </w:rPr>
        <w:t xml:space="preserve">و أمّا ما کان متّحدا مع المقیّد فی الوجود الخارجی کالإیمان فی الرقبة المؤمنة،فلیس ممّا یتعلّق به وجوب و إلزام مغایر لوجوب أصل الفعل و لو مقدّمة،فلا یندرج فیما حجب اللّه </w:t>
      </w:r>
      <w:r>
        <w:rPr>
          <w:rStyle w:val="FootnoteReference"/>
        </w:rPr>
        <w:footnoteReference w:id="1115"/>
      </w:r>
      <w:r>
        <w:rPr>
          <w:rFonts w:ascii="IRNazanin" w:hAnsi="IRNazanin" w:eastAsia="IRNazanin" w:cs="IRNazanin"/>
          <w:lang w:bidi="fa-IR"/>
          <w:color w:val="111111"/>
          <w:sz w:val="28"/>
          <w:szCs w:val="28"/>
          <w:rtl/>
        </w:rPr>
        <w:t xml:space="preserve">علمه عن العباد.</w:t>
      </w:r>
    </w:p>
    <w:p>
      <w:pPr>
        <w:pStyle w:val="BookText"/>
      </w:pPr>
      <w:r>
        <w:rPr>
          <w:rFonts w:ascii="IRNazanin" w:hAnsi="IRNazanin" w:eastAsia="IRNazanin" w:cs="IRNazanin"/>
          <w:lang w:bidi="fa-IR"/>
          <w:color w:val="111111"/>
          <w:sz w:val="28"/>
          <w:szCs w:val="28"/>
          <w:rtl/>
        </w:rPr>
        <w:t xml:space="preserve">و الحاصل:أنّ أدلّة البراءة من العقل و النقل إنّما تنفی الکلفة الزائدة الحاصلة من فعل المشکوک و العقاب المترتّب علی ترکه مع إتیان ما هو معلوم الوجوب تفصیلا؛فإنّ الآتی بالصلاة بدون التسلیم المشکوک </w:t>
      </w:r>
      <w:r>
        <w:rPr>
          <w:rStyle w:val="FootnoteReference"/>
        </w:rPr>
        <w:footnoteReference w:id="1116"/>
      </w:r>
      <w:r>
        <w:rPr>
          <w:rFonts w:ascii="IRNazanin" w:hAnsi="IRNazanin" w:eastAsia="IRNazanin" w:cs="IRNazanin"/>
          <w:lang w:bidi="fa-IR"/>
          <w:color w:val="111111"/>
          <w:sz w:val="28"/>
          <w:szCs w:val="28"/>
          <w:rtl/>
        </w:rPr>
        <w:t xml:space="preserve">وجوبه معذور فی ترک التسلیم؛لجهله.و أمّا الآتی بالرقبة.</w:t>
      </w:r>
    </w:p>
    <w:p>
      <w:pPr>
        <w:pStyle w:val="BookText"/>
      </w:pPr>
      <w:r>
        <w:rPr>
          <w:rFonts w:ascii="IRNazanin" w:hAnsi="IRNazanin" w:eastAsia="IRNazanin" w:cs="IRNazanin"/>
          <w:lang w:bidi="fa-IR"/>
          <w:color w:val="111111"/>
          <w:sz w:val="28"/>
          <w:szCs w:val="28"/>
          <w:rtl/>
        </w:rPr>
        <w:t xml:space="preserve">الکافرة فلم یأت فی الخارج بما هو معلوم له تفصیلا حتّی یکون معذورا فی الزائد المجهول،بل هو تارک للمأمور به رأسا.</w:t>
      </w:r>
    </w:p>
    <w:p>
      <w:pPr>
        <w:pStyle w:val="BookText"/>
      </w:pPr>
      <w:r>
        <w:rPr>
          <w:rFonts w:ascii="IRNazanin" w:hAnsi="IRNazanin" w:eastAsia="IRNazanin" w:cs="IRNazanin"/>
          <w:lang w:bidi="fa-IR"/>
          <w:color w:val="111111"/>
          <w:sz w:val="28"/>
          <w:szCs w:val="28"/>
          <w:rtl/>
        </w:rPr>
        <w:t xml:space="preserve">و بالجملة:فالمطلق و المقیّد من قبیل المتباینین،لا الأقلّ و الأکثر.</w:t>
      </w:r>
    </w:p>
    <w:p>
      <w:pPr>
        <w:pStyle w:val="BookText"/>
      </w:pPr>
      <w:r>
        <w:rPr>
          <w:rFonts w:ascii="IRNazanin" w:hAnsi="IRNazanin" w:eastAsia="IRNazanin" w:cs="IRNazanin"/>
          <w:lang w:bidi="fa-IR"/>
          <w:color w:val="111111"/>
          <w:sz w:val="28"/>
          <w:szCs w:val="28"/>
          <w:rtl/>
        </w:rPr>
        <w:t xml:space="preserve">و کأنّ هذا هو السرّ فیما ذکره بعض القائلین بالبراءة عند الشکّ فی الشرطیّة و الجزئیّة کالمحقّق القمّی رحمه اللّه فی باب المطلق و المقیّد:من تأیید استدلال العلاّمة رحمه اللّه فی النهایة علی وجوب حمل المطلق علی المقیّد بقاعدة«الاشتغال» </w:t>
      </w:r>
      <w:r>
        <w:rPr>
          <w:rStyle w:val="FootnoteReference"/>
        </w:rPr>
        <w:footnoteReference w:id="1117"/>
      </w:r>
      <w:r>
        <w:rPr>
          <w:rFonts w:ascii="IRNazanin" w:hAnsi="IRNazanin" w:eastAsia="IRNazanin" w:cs="IRNazanin"/>
          <w:lang w:bidi="fa-IR"/>
          <w:color w:val="111111"/>
          <w:sz w:val="28"/>
          <w:szCs w:val="28"/>
          <w:rtl/>
        </w:rPr>
        <w:t xml:space="preserve">،و ردّ ما اعترض علیه بعدم العلم بالشغل حتّی</w:t>
      </w:r>
    </w:p>
    <w:p>
      <w:pPr>
        <w:pStyle w:val="BookText"/>
      </w:pPr>
      <w:r>
        <w:rPr>
          <w:rFonts w:ascii="IRNazanin" w:hAnsi="IRNazanin" w:eastAsia="IRNazanin" w:cs="IRNazanin"/>
          <w:lang w:bidi="fa-IR"/>
          <w:color w:val="111111"/>
          <w:sz w:val="28"/>
          <w:szCs w:val="28"/>
          <w:rtl/>
        </w:rPr>
        <w:t xml:space="preserve">[شماره صفحه واقعی : 355]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236" w:name="pg14411_142745"/>
    <w:bookmarkEnd w:id="236"/>
    <w:p>
      <w:pPr>
        <w:pStyle w:val="BookText"/>
      </w:pPr>
      <w:r>
        <w:rPr>
          <w:rFonts w:ascii="IRNazanin" w:hAnsi="IRNazanin" w:eastAsia="IRNazanin" w:cs="IRNazanin"/>
          <w:lang w:bidi="fa-IR"/>
          <w:color w:val="111111"/>
          <w:sz w:val="28"/>
          <w:szCs w:val="28"/>
          <w:rtl/>
        </w:rPr>
        <w:t xml:space="preserve">یستدعی العلم بالبراءة </w:t>
      </w:r>
      <w:r>
        <w:rPr>
          <w:rStyle w:val="FootnoteReference"/>
        </w:rPr>
        <w:footnoteReference w:id="1118"/>
      </w:r>
      <w:r>
        <w:rPr>
          <w:rFonts w:ascii="IRNazanin" w:hAnsi="IRNazanin" w:eastAsia="IRNazanin" w:cs="IRNazanin"/>
          <w:lang w:bidi="fa-IR"/>
          <w:color w:val="111111"/>
          <w:sz w:val="28"/>
          <w:szCs w:val="28"/>
          <w:rtl/>
        </w:rPr>
        <w:t xml:space="preserve">،بقوله:</w:t>
      </w:r>
    </w:p>
    <w:p>
      <w:pPr>
        <w:pStyle w:val="BookText"/>
      </w:pPr>
      <w:r>
        <w:rPr>
          <w:rFonts w:ascii="IRNazanin" w:hAnsi="IRNazanin" w:eastAsia="IRNazanin" w:cs="IRNazanin"/>
          <w:lang w:bidi="fa-IR"/>
          <w:color w:val="111111"/>
          <w:sz w:val="28"/>
          <w:szCs w:val="28"/>
          <w:rtl/>
        </w:rPr>
        <w:t xml:space="preserve">و فیه:أنّ المکلّف به حینئذ هو المردّد بین کونه نفس المقیّد أو المطلق،و نعلم أنّا مکلّفون بأحدهما؛لاشتغال الذمّة بالمجمل،و لا یحصل البراءة إلاّ بالمقیّد-إلی أن قال-:</w:t>
      </w:r>
    </w:p>
    <w:p>
      <w:pPr>
        <w:pStyle w:val="BookText"/>
      </w:pPr>
      <w:r>
        <w:rPr>
          <w:rFonts w:ascii="IRNazanin" w:hAnsi="IRNazanin" w:eastAsia="IRNazanin" w:cs="IRNazanin"/>
          <w:lang w:bidi="fa-IR"/>
          <w:color w:val="111111"/>
          <w:sz w:val="28"/>
          <w:szCs w:val="28"/>
          <w:rtl/>
        </w:rPr>
        <w:t xml:space="preserve">و لیس هنا قدر مشترک یقینیّ یحکم بنفی الزائد عنه بالأصل؛لأنّ الجنس الموجود فی ضمن المقیّد لا ینفکّ عن الفصل،و لا تفارق لهما، فلیتأمّل </w:t>
      </w:r>
      <w:r>
        <w:rPr>
          <w:rStyle w:val="FootnoteReference"/>
        </w:rPr>
        <w:footnoteReference w:id="1119"/>
      </w:r>
      <w:r>
        <w:rPr>
          <w:rFonts w:ascii="IRNazanin" w:hAnsi="IRNazanin" w:eastAsia="IRNazanin" w:cs="IRNazanin"/>
          <w:lang w:bidi="fa-IR"/>
          <w:color w:val="111111"/>
          <w:sz w:val="28"/>
          <w:szCs w:val="28"/>
          <w:rtl/>
        </w:rPr>
        <w:t xml:space="preserve">،انتهی.</w:t>
      </w:r>
    </w:p>
    <w:p>
      <w:pPr>
        <w:pStyle w:val="Heading6"/>
      </w:pPr>
      <w:bookmarkStart w:id="1445" w:name="_Toc480"/>
      <w:r>
        <w:t>[المناقشة فیما ذکر من الفرق بین القسمین]</w:t>
      </w:r>
      <w:bookmarkEnd w:id="1445"/>
    </w:p>
    <w:p>
      <w:pPr>
        <w:pStyle w:val="BookText"/>
      </w:pPr>
      <w:r>
        <w:rPr>
          <w:rFonts w:ascii="IRNazanin" w:hAnsi="IRNazanin" w:eastAsia="IRNazanin" w:cs="IRNazanin"/>
          <w:lang w:bidi="fa-IR"/>
          <w:color w:val="111111"/>
          <w:sz w:val="28"/>
          <w:szCs w:val="28"/>
          <w:rtl/>
        </w:rPr>
        <w:t xml:space="preserve">هذا،و لکنّ الإنصاف:عدم خلوّ المذکور عن النظر؛فإنّه لا بأس بنفی القیود المشکوکة للمأمور به بأدلّة البراءة من العقل و النقل؛لأنّ المنفیّ فیها الإلزام بما لا یعلم و کلفته،و لا ریب أنّ التکلیف بالمقیّد مشتمل علی کلفة زائدة و إلزام زائد علی ما فی التکلیف بالمطلق و إن لم یزد المقیّد الموجود فی الخارج علی المطلق الموجود فی الخارج،و لا فرق عند التأمّل بین إتیان الرقبة الکافرة و إتیان الصلاة بدون الوضوء.</w:t>
      </w:r>
    </w:p>
    <w:p>
      <w:pPr>
        <w:pStyle w:val="BookText"/>
      </w:pPr>
      <w:r>
        <w:rPr>
          <w:rFonts w:ascii="Amiri" w:hAnsi="Amiri" w:eastAsia="Amiri" w:cs="Amiri"/>
          <w:lang w:bidi="ar-SA"/>
          <w:color w:val="111111"/>
          <w:sz w:val="28"/>
          <w:szCs w:val="28"/>
          <w:rtl/>
        </w:rPr>
        <w:t xml:space="preserve">مع أنّ ما ذکر </w:t>
      </w:r>
      <w:r>
        <w:rPr>
          <w:rStyle w:val="FootnoteReference"/>
        </w:rPr>
        <w:footnoteReference w:id="1120"/>
      </w:r>
      <w:r>
        <w:rPr>
          <w:rFonts w:ascii="IRNazanin" w:hAnsi="IRNazanin" w:eastAsia="IRNazanin" w:cs="IRNazanin"/>
          <w:lang w:bidi="fa-IR"/>
          <w:color w:val="111111"/>
          <w:sz w:val="28"/>
          <w:szCs w:val="28"/>
          <w:rtl/>
        </w:rPr>
        <w:t xml:space="preserve">-من تغایر منشأ حصول الشرط مع وجود المشروط فی الوضوء و اتّحادهما فی الرقبة المؤمنة-کلام ظاهریّ؛فإنّ الصلاة حال </w:t>
      </w:r>
      <w:r>
        <w:rPr>
          <w:rStyle w:val="FootnoteReference"/>
        </w:rPr>
        <w:footnoteReference w:id="1121"/>
      </w:r>
      <w:r>
        <w:rPr>
          <w:rFonts w:ascii="IRNazanin" w:hAnsi="IRNazanin" w:eastAsia="IRNazanin" w:cs="IRNazanin"/>
          <w:lang w:bidi="fa-IR"/>
          <w:color w:val="111111"/>
          <w:sz w:val="28"/>
          <w:szCs w:val="28"/>
          <w:rtl/>
        </w:rPr>
        <w:t xml:space="preserve">الطهارة بمنزلة الرقبة المؤمنة فی کون کلّ منهما أمرا</w:t>
      </w:r>
    </w:p>
    <w:p>
      <w:pPr>
        <w:pStyle w:val="BookText"/>
      </w:pPr>
      <w:r>
        <w:rPr>
          <w:rFonts w:ascii="IRNazanin" w:hAnsi="IRNazanin" w:eastAsia="IRNazanin" w:cs="IRNazanin"/>
          <w:lang w:bidi="fa-IR"/>
          <w:color w:val="111111"/>
          <w:sz w:val="28"/>
          <w:szCs w:val="28"/>
          <w:rtl/>
        </w:rPr>
        <w:t xml:space="preserve">[شماره صفحه واقعی : 356]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237" w:name="pg14411_142746"/>
    <w:bookmarkEnd w:id="237"/>
    <w:p>
      <w:pPr>
        <w:pStyle w:val="BookText"/>
      </w:pPr>
      <w:r>
        <w:rPr>
          <w:rFonts w:ascii="IRNazanin" w:hAnsi="IRNazanin" w:eastAsia="IRNazanin" w:cs="IRNazanin"/>
          <w:lang w:bidi="fa-IR"/>
          <w:color w:val="111111"/>
          <w:sz w:val="28"/>
          <w:szCs w:val="28"/>
          <w:rtl/>
        </w:rPr>
        <w:t xml:space="preserve">واحدا فی مقابل الفرد الفاقد للشرط.</w:t>
      </w:r>
    </w:p>
    <w:p>
      <w:pPr>
        <w:pStyle w:val="BookText"/>
      </w:pPr>
      <w:r>
        <w:rPr>
          <w:rFonts w:ascii="IRNazanin" w:hAnsi="IRNazanin" w:eastAsia="IRNazanin" w:cs="IRNazanin"/>
          <w:lang w:bidi="fa-IR"/>
          <w:color w:val="111111"/>
          <w:sz w:val="28"/>
          <w:szCs w:val="28"/>
          <w:rtl/>
        </w:rPr>
        <w:t xml:space="preserve">و أمّا وجوب إیجاد الوضوء مقدّمة لتحصیل ذلک المقیّد فی الخارج، فهو أمر یتّفق بالنسبة إلی الفاقد للطهارة،و نظیره قد یتّفق فی الرقبة المؤمنة؛حیث إنّه قد یجب بعض المقدّمات لتحصیلها فی الخارج،بل قد یجب السعی فی هدایة الرقبة الکافرة إلی الإیمان مع التمکّن إذا لم یوجد غیرها و انحصر الواجب فی العتق.و بالجملة:فالأمر بالمشروط بشیء لا یقتضی بنفسه إیجاد أمر زائد مغایر له فی الوجود الخارجیّ،بل قد یتّفق و قد لا یتّفق.</w:t>
      </w:r>
    </w:p>
    <w:p>
      <w:pPr>
        <w:pStyle w:val="BookText"/>
      </w:pPr>
      <w:r>
        <w:rPr>
          <w:rFonts w:ascii="IRNazanin" w:hAnsi="IRNazanin" w:eastAsia="IRNazanin" w:cs="IRNazanin"/>
          <w:lang w:bidi="fa-IR"/>
          <w:color w:val="111111"/>
          <w:sz w:val="28"/>
          <w:szCs w:val="28"/>
          <w:rtl/>
        </w:rPr>
        <w:t xml:space="preserve">و </w:t>
      </w:r>
      <w:r>
        <w:rPr>
          <w:rStyle w:val="FootnoteReference"/>
        </w:rPr>
        <w:footnoteReference w:id="1122"/>
      </w:r>
      <w:r>
        <w:rPr>
          <w:rFonts w:ascii="IRNazanin" w:hAnsi="IRNazanin" w:eastAsia="IRNazanin" w:cs="IRNazanin"/>
          <w:lang w:bidi="fa-IR"/>
          <w:color w:val="111111"/>
          <w:sz w:val="28"/>
          <w:szCs w:val="28"/>
          <w:rtl/>
        </w:rPr>
        <w:t xml:space="preserve">أمّا الواجد للشرط فهو لا یزید فی الوجود الخارجیّ علی الفاقد له،فالفرق بین الشروط فاسد جدّا.</w:t>
      </w:r>
    </w:p>
    <w:p>
      <w:pPr>
        <w:pStyle w:val="BookText"/>
      </w:pPr>
      <w:r>
        <w:rPr>
          <w:rFonts w:ascii="IRNazanin" w:hAnsi="IRNazanin" w:eastAsia="IRNazanin" w:cs="IRNazanin"/>
          <w:lang w:bidi="fa-IR"/>
          <w:color w:val="111111"/>
          <w:sz w:val="28"/>
          <w:szCs w:val="28"/>
          <w:rtl/>
        </w:rPr>
        <w:t xml:space="preserve">فالتحقیق:أنّ حکم الشرط بجمیع أقسامه واحد،سواء ألحقناه بالجزء أم بالمتباینین.</w:t>
      </w:r>
    </w:p>
    <w:p>
      <w:pPr>
        <w:pStyle w:val="BookText"/>
      </w:pPr>
      <w:r>
        <w:rPr>
          <w:rFonts w:ascii="IRNazanin" w:hAnsi="IRNazanin" w:eastAsia="IRNazanin" w:cs="IRNazanin"/>
          <w:lang w:bidi="fa-IR"/>
          <w:color w:val="111111"/>
          <w:sz w:val="28"/>
          <w:szCs w:val="28"/>
          <w:rtl/>
        </w:rPr>
        <w:t xml:space="preserve">و أمّا ما ذکره المحقّق القمّی رحمه اللّه،فلا ینطبق علی ما ذکره فی باب البراءة و الاحتیاط </w:t>
      </w:r>
      <w:r>
        <w:rPr>
          <w:rStyle w:val="FootnoteReference"/>
        </w:rPr>
        <w:footnoteReference w:id="1123"/>
      </w:r>
      <w:r>
        <w:rPr>
          <w:rFonts w:ascii="IRNazanin" w:hAnsi="IRNazanin" w:eastAsia="IRNazanin" w:cs="IRNazanin"/>
          <w:lang w:bidi="fa-IR"/>
          <w:color w:val="111111"/>
          <w:sz w:val="28"/>
          <w:szCs w:val="28"/>
          <w:rtl/>
        </w:rPr>
        <w:t xml:space="preserve">:من إجراء البراءة حتّی فی المتباینین،فضلا عن غیره،فراجع.</w:t>
      </w:r>
    </w:p>
    <w:p>
      <w:pPr>
        <w:pStyle w:val="Heading6"/>
      </w:pPr>
      <w:bookmarkStart w:id="1446" w:name="_Toc481"/>
      <w:r>
        <w:t>[دوران الأمر بین التخییر و التعیین]</w:t>
      </w:r>
      <w:bookmarkEnd w:id="1446"/>
    </w:p>
    <w:p>
      <w:pPr>
        <w:pStyle w:val="Heading6"/>
      </w:pPr>
      <w:bookmarkStart w:id="1447" w:name="_Toc482"/>
      <w:r>
        <w:t>اشارة</w:t>
      </w:r>
      <w:bookmarkEnd w:id="1447"/>
    </w:p>
    <w:p>
      <w:pPr>
        <w:pStyle w:val="BookText"/>
      </w:pPr>
      <w:r>
        <w:rPr>
          <w:rFonts w:ascii="IRNazanin" w:hAnsi="IRNazanin" w:eastAsia="IRNazanin" w:cs="IRNazanin"/>
          <w:lang w:bidi="fa-IR"/>
          <w:color w:val="111111"/>
          <w:sz w:val="28"/>
          <w:szCs w:val="28"/>
          <w:rtl/>
        </w:rPr>
        <w:t xml:space="preserve">و ممّا ذکرنا:یظهر الکلام فی ما لو دار الأمر بین التخییر و التعیین،کما لو دار الواجب فی کفّارة رمضان بین خصوص العتق للقادر علیه و بین إحدی الخصال الثلاث،فإنّ فی إلحاق ذلک بالأقلّ و الأکثر فیکون نظیر دوران الأمر بین المطلق و المقیّد،أو المتباینین </w:t>
      </w:r>
      <w:r>
        <w:rPr>
          <w:rStyle w:val="FootnoteReference"/>
        </w:rPr>
        <w:footnoteReference w:id="1124"/>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357]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238" w:name="pg14411_142747"/>
    <w:bookmarkEnd w:id="238"/>
    <w:p>
      <w:pPr>
        <w:pStyle w:val="BookText"/>
      </w:pPr>
      <w:r>
        <w:rPr>
          <w:rFonts w:ascii="IRNazanin" w:hAnsi="IRNazanin" w:eastAsia="IRNazanin" w:cs="IRNazanin"/>
          <w:lang w:bidi="fa-IR"/>
          <w:color w:val="111111"/>
          <w:sz w:val="28"/>
          <w:szCs w:val="28"/>
          <w:rtl/>
        </w:rPr>
        <w:t xml:space="preserve">وجهین بل قولین:</w:t>
      </w:r>
    </w:p>
    <w:p>
      <w:pPr>
        <w:pStyle w:val="BookText"/>
      </w:pPr>
      <w:r>
        <w:rPr>
          <w:rFonts w:ascii="IRNazanin" w:hAnsi="IRNazanin" w:eastAsia="IRNazanin" w:cs="IRNazanin"/>
          <w:lang w:bidi="fa-IR"/>
          <w:color w:val="111111"/>
          <w:sz w:val="28"/>
          <w:szCs w:val="28"/>
          <w:rtl/>
        </w:rPr>
        <w:t xml:space="preserve">من عدم جریان أدلّة البراءة فی المعیّن؛لأنّه معارض بجریانها فی الواحد المخیّر،و لیس بینهما </w:t>
      </w:r>
      <w:r>
        <w:rPr>
          <w:rStyle w:val="FootnoteReference"/>
        </w:rPr>
        <w:footnoteReference w:id="1125"/>
      </w:r>
      <w:r>
        <w:rPr>
          <w:rFonts w:ascii="IRNazanin" w:hAnsi="IRNazanin" w:eastAsia="IRNazanin" w:cs="IRNazanin"/>
          <w:lang w:bidi="fa-IR"/>
          <w:color w:val="111111"/>
          <w:sz w:val="28"/>
          <w:szCs w:val="28"/>
          <w:rtl/>
        </w:rPr>
        <w:t xml:space="preserve">قدر مشترک خارجیّ أو ذهنیّ یعلم تفصیلا وجوبه فیشکّ فی جزء زائد خارجیّ أو ذهنیّ.</w:t>
      </w:r>
    </w:p>
    <w:p>
      <w:pPr>
        <w:pStyle w:val="BookText"/>
      </w:pPr>
      <w:r>
        <w:rPr>
          <w:rFonts w:ascii="IRNazanin" w:hAnsi="IRNazanin" w:eastAsia="IRNazanin" w:cs="IRNazanin"/>
          <w:lang w:bidi="fa-IR"/>
          <w:color w:val="111111"/>
          <w:sz w:val="28"/>
          <w:szCs w:val="28"/>
          <w:rtl/>
        </w:rPr>
        <w:t xml:space="preserve">و من أنّ الإلزام بخصوص أحدهما کلفة زائدة علی الإلزام بأحدهما فی الجملة،و هو ضیق علی المکلّف،و حیث لم یعلم المکلّف بتلک الکلفة فهی موضوعة عن المکلّف بحکم:«ما حجب اللّه علمه عن العباد» </w:t>
      </w:r>
      <w:r>
        <w:rPr>
          <w:rStyle w:val="FootnoteReference"/>
        </w:rPr>
        <w:footnoteReference w:id="1126"/>
      </w:r>
      <w:r>
        <w:rPr>
          <w:rFonts w:ascii="IRNazanin" w:hAnsi="IRNazanin" w:eastAsia="IRNazanin" w:cs="IRNazanin"/>
          <w:lang w:bidi="fa-IR"/>
          <w:color w:val="111111"/>
          <w:sz w:val="28"/>
          <w:szCs w:val="28"/>
          <w:rtl/>
        </w:rPr>
        <w:t xml:space="preserve">،و حیث لم یعلم بذلک الضیق فهو فی سعة منه بحکم:</w:t>
      </w:r>
    </w:p>
    <w:p>
      <w:pPr>
        <w:pStyle w:val="BookText"/>
      </w:pPr>
      <w:r>
        <w:rPr>
          <w:rFonts w:ascii="IRNazanin" w:hAnsi="IRNazanin" w:eastAsia="IRNazanin" w:cs="IRNazanin"/>
          <w:lang w:bidi="fa-IR"/>
          <w:color w:val="111111"/>
          <w:sz w:val="28"/>
          <w:szCs w:val="28"/>
          <w:rtl/>
        </w:rPr>
        <w:t xml:space="preserve">«الناس فی سعة ما لم یعلموا» </w:t>
      </w:r>
      <w:r>
        <w:rPr>
          <w:rStyle w:val="FootnoteReference"/>
        </w:rPr>
        <w:footnoteReference w:id="1127"/>
      </w:r>
      <w:r>
        <w:rPr>
          <w:rFonts w:ascii="IRNazanin" w:hAnsi="IRNazanin" w:eastAsia="IRNazanin" w:cs="IRNazanin"/>
          <w:lang w:bidi="fa-IR"/>
          <w:color w:val="111111"/>
          <w:sz w:val="28"/>
          <w:szCs w:val="28"/>
          <w:rtl/>
        </w:rPr>
        <w:t xml:space="preserve">.و أمّا وجوب الواحد المردّد بین المعیّن و المخیّر فیه فهو معلوم،فلیس موضوعا عنه و لا هو فی سعة من جهته.</w:t>
      </w:r>
    </w:p>
    <w:p>
      <w:pPr>
        <w:pStyle w:val="Heading6"/>
      </w:pPr>
      <w:bookmarkStart w:id="1448" w:name="_Toc483"/>
      <w:r>
        <w:t>[المسألة فی غایة الإشکال]</w:t>
      </w:r>
      <w:bookmarkEnd w:id="1448"/>
    </w:p>
    <w:p>
      <w:pPr>
        <w:pStyle w:val="BookText"/>
      </w:pPr>
      <w:r>
        <w:rPr>
          <w:rFonts w:ascii="Amiri" w:hAnsi="Amiri" w:eastAsia="Amiri" w:cs="Amiri"/>
          <w:lang w:bidi="ar-SA"/>
          <w:color w:val="111111"/>
          <w:sz w:val="28"/>
          <w:szCs w:val="28"/>
          <w:rtl/>
        </w:rPr>
        <w:t xml:space="preserve">و المسألة </w:t>
      </w:r>
      <w:r>
        <w:rPr>
          <w:rStyle w:val="FootnoteReference"/>
        </w:rPr>
        <w:footnoteReference w:id="1128"/>
      </w:r>
      <w:r>
        <w:rPr>
          <w:rFonts w:ascii="IRNazanin" w:hAnsi="IRNazanin" w:eastAsia="IRNazanin" w:cs="IRNazanin"/>
          <w:lang w:bidi="fa-IR"/>
          <w:color w:val="111111"/>
          <w:sz w:val="28"/>
          <w:szCs w:val="28"/>
          <w:rtl/>
        </w:rPr>
        <w:t xml:space="preserve">فی غایة الإشکال؛لعدم الجزم باستقلال العقل بالبراءة عن التعیین بعد العلم الإجمالیّ،و عدم کون المعیّن المشکوک فیه أمرا خارجا عن المکلّف به مأخوذا فیه علی وجه الشطریّة أو الشرطیّة،بل هو علی تقدیره عین المکلّف به،و الأخبار غیر منصرفة إلی نفی التعیین؛ لأنّه فی معنی نفی الواحد المعیّن،فیعارض بنفی الواحد المخیّر؛فلعلّ الحکم بوجوب الاحتیاط و إلحاقه بالمتباینین لا یخلو عن قوّة،بل الحکم</w:t>
      </w:r>
    </w:p>
    <w:p>
      <w:pPr>
        <w:pStyle w:val="BookText"/>
      </w:pPr>
      <w:r>
        <w:rPr>
          <w:rFonts w:ascii="IRNazanin" w:hAnsi="IRNazanin" w:eastAsia="IRNazanin" w:cs="IRNazanin"/>
          <w:lang w:bidi="fa-IR"/>
          <w:color w:val="111111"/>
          <w:sz w:val="28"/>
          <w:szCs w:val="28"/>
          <w:rtl/>
        </w:rPr>
        <w:t xml:space="preserve">[شماره صفحه واقعی : 358]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239" w:name="pg14411_142748"/>
    <w:bookmarkEnd w:id="239"/>
    <w:p>
      <w:pPr>
        <w:pStyle w:val="BookText"/>
      </w:pPr>
      <w:r>
        <w:rPr>
          <w:rFonts w:ascii="IRNazanin" w:hAnsi="IRNazanin" w:eastAsia="IRNazanin" w:cs="IRNazanin"/>
          <w:lang w:bidi="fa-IR"/>
          <w:color w:val="111111"/>
          <w:sz w:val="28"/>
          <w:szCs w:val="28"/>
          <w:rtl/>
        </w:rPr>
        <w:t xml:space="preserve">فی الشرط و إلحاقه بالجزء لا یخلو عن إشکال،لکنّ الأقوی فیه:</w:t>
      </w:r>
    </w:p>
    <w:p>
      <w:pPr>
        <w:pStyle w:val="BookText"/>
      </w:pPr>
      <w:r>
        <w:rPr>
          <w:rFonts w:ascii="IRNazanin" w:hAnsi="IRNazanin" w:eastAsia="IRNazanin" w:cs="IRNazanin"/>
          <w:lang w:bidi="fa-IR"/>
          <w:color w:val="111111"/>
          <w:sz w:val="28"/>
          <w:szCs w:val="28"/>
          <w:rtl/>
        </w:rPr>
        <w:t xml:space="preserve">الإلحاق.</w:t>
      </w:r>
    </w:p>
    <w:p>
      <w:pPr>
        <w:pStyle w:val="BookText"/>
      </w:pPr>
      <w:r>
        <w:rPr>
          <w:rFonts w:ascii="IRNazanin" w:hAnsi="IRNazanin" w:eastAsia="IRNazanin" w:cs="IRNazanin"/>
          <w:lang w:bidi="fa-IR"/>
          <w:color w:val="111111"/>
          <w:sz w:val="28"/>
          <w:szCs w:val="28"/>
          <w:rtl/>
        </w:rPr>
        <w:t xml:space="preserve">فالمسائل الأربع فی الشرط حکمها حکم مسائل الجزء،فراجع.</w:t>
      </w:r>
    </w:p>
    <w:p>
      <w:pPr>
        <w:pStyle w:val="Heading6"/>
      </w:pPr>
      <w:bookmarkStart w:id="1449" w:name="_Toc484"/>
      <w:r>
        <w:t>[الشکّ فی المانعیّة]</w:t>
      </w:r>
      <w:bookmarkEnd w:id="1449"/>
    </w:p>
    <w:p>
      <w:pPr>
        <w:pStyle w:val="BookText"/>
      </w:pPr>
      <w:r>
        <w:rPr>
          <w:rFonts w:ascii="Amiri" w:hAnsi="Amiri" w:eastAsia="Amiri" w:cs="Amiri"/>
          <w:lang w:bidi="ar-SA"/>
          <w:color w:val="111111"/>
          <w:sz w:val="28"/>
          <w:szCs w:val="28"/>
          <w:rtl/>
        </w:rPr>
        <w:t xml:space="preserve">ثمّ إنّ مرجع الشکّ فی المانعیّة إلی الشکّ فی شرطیّة عدمه.</w:t>
      </w:r>
    </w:p>
    <w:p>
      <w:pPr>
        <w:pStyle w:val="Heading6"/>
      </w:pPr>
      <w:bookmarkStart w:id="1450" w:name="_Toc485"/>
      <w:r>
        <w:t>[الشکّ فی القاطعیّة]</w:t>
      </w:r>
      <w:bookmarkEnd w:id="1450"/>
    </w:p>
    <w:p>
      <w:pPr>
        <w:pStyle w:val="BookText"/>
      </w:pPr>
      <w:r>
        <w:rPr>
          <w:rFonts w:ascii="IRNazanin" w:hAnsi="IRNazanin" w:eastAsia="IRNazanin" w:cs="IRNazanin"/>
          <w:lang w:bidi="fa-IR"/>
          <w:color w:val="111111"/>
          <w:sz w:val="28"/>
          <w:szCs w:val="28"/>
          <w:rtl/>
        </w:rPr>
        <w:t xml:space="preserve">و أمّا الشکّ فی القاطعیّة،بأن یعلم أنّ عدم الشیء لا مدخل له فی العبادة إلاّ من جهة قطعه للهیئة الاتصالیّة المعتبرة فی نظر الشارع، فالحکم فیه استصحاب الهیئة الاتصالیّة و عدم خروج الأجزاء السابقة عن قابلیّة صیرورتها أجزاء فعلیّة،و سیتّضح ذلک </w:t>
      </w:r>
      <w:r>
        <w:rPr>
          <w:rStyle w:val="FootnoteReference"/>
        </w:rPr>
        <w:footnoteReference w:id="1129"/>
      </w:r>
      <w:r>
        <w:rPr>
          <w:rFonts w:ascii="IRNazanin" w:hAnsi="IRNazanin" w:eastAsia="IRNazanin" w:cs="IRNazanin"/>
          <w:lang w:bidi="fa-IR"/>
          <w:color w:val="111111"/>
          <w:sz w:val="28"/>
          <w:szCs w:val="28"/>
          <w:rtl/>
        </w:rPr>
        <w:t xml:space="preserve">بعد ذلک إن شاء اللّه.</w:t>
      </w:r>
    </w:p>
    <w:p>
      <w:pPr>
        <w:pStyle w:val="Heading6"/>
      </w:pPr>
      <w:bookmarkStart w:id="1451" w:name="_Toc486"/>
      <w:r>
        <w:t>[إذا کان الشکّ فی الجزئیّة أو الشرطیّة ناشئا عن الشکّ فی حکم تکلیفی نفسی]</w:t>
      </w:r>
      <w:bookmarkEnd w:id="1451"/>
    </w:p>
    <w:p>
      <w:pPr>
        <w:pStyle w:val="BookText"/>
      </w:pPr>
      <w:r>
        <w:rPr>
          <w:rFonts w:ascii="Amiri" w:hAnsi="Amiri" w:eastAsia="Amiri" w:cs="Amiri"/>
          <w:lang w:bidi="ar-SA"/>
          <w:color w:val="111111"/>
          <w:sz w:val="28"/>
          <w:szCs w:val="28"/>
          <w:rtl/>
        </w:rPr>
        <w:t xml:space="preserve">ثمّ إنّ الشکّ فی </w:t>
      </w:r>
      <w:r>
        <w:rPr>
          <w:rStyle w:val="FootnoteReference"/>
        </w:rPr>
        <w:footnoteReference w:id="1130"/>
      </w:r>
      <w:r>
        <w:rPr>
          <w:rFonts w:ascii="IRNazanin" w:hAnsi="IRNazanin" w:eastAsia="IRNazanin" w:cs="IRNazanin"/>
          <w:lang w:bidi="fa-IR"/>
          <w:color w:val="111111"/>
          <w:sz w:val="28"/>
          <w:szCs w:val="28"/>
          <w:rtl/>
        </w:rPr>
        <w:t xml:space="preserve">الشرطیّة:قد ینشأ عن الشکّ فی حکم تکلیفیّ نفسی،فیصیر أصالة البراءة فی ذلک الحکم التکلیفیّ حاکما علی الأصل فی الشرطیّة </w:t>
      </w:r>
      <w:r>
        <w:rPr>
          <w:rStyle w:val="FootnoteReference"/>
        </w:rPr>
        <w:footnoteReference w:id="1131"/>
      </w:r>
      <w:r>
        <w:rPr>
          <w:rFonts w:ascii="IRNazanin" w:hAnsi="IRNazanin" w:eastAsia="IRNazanin" w:cs="IRNazanin"/>
          <w:lang w:bidi="fa-IR"/>
          <w:color w:val="111111"/>
          <w:sz w:val="28"/>
          <w:szCs w:val="28"/>
          <w:rtl/>
        </w:rPr>
        <w:t xml:space="preserve">،فیخرج عن موضوع مسألة الاحتیاط و البراءة،فیحکم بما یقتضیه الأصل الحاکم:من وجوب ذلک المشکوک فی شرطیّته أو عدم وجوبه.</w:t>
      </w:r>
    </w:p>
    <w:p>
      <w:pPr>
        <w:pStyle w:val="BookText"/>
      </w:pPr>
      <w:r>
        <w:rPr>
          <w:rFonts w:ascii="IRNazanin" w:hAnsi="IRNazanin" w:eastAsia="IRNazanin" w:cs="IRNazanin"/>
          <w:lang w:bidi="fa-IR"/>
          <w:color w:val="111111"/>
          <w:sz w:val="28"/>
          <w:szCs w:val="28"/>
          <w:rtl/>
        </w:rPr>
        <w:t xml:space="preserve">[شماره صفحه واقعی : 359]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360]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240" w:name="pg14411_142750"/>
    <w:bookmarkEnd w:id="240"/>
    <w:p>
      <w:pPr>
        <w:pStyle w:val="Heading6"/>
      </w:pPr>
      <w:bookmarkStart w:id="1452" w:name="_Toc487"/>
      <w:r>
        <w:t>و ینبغی التنبیه علی امور متعلّقة بالجزء و الشرط</w:t>
      </w:r>
      <w:bookmarkEnd w:id="1452"/>
    </w:p>
    <w:p>
      <w:pPr>
        <w:pStyle w:val="Heading6"/>
      </w:pPr>
      <w:bookmarkStart w:id="1453" w:name="_Toc488"/>
      <w:r>
        <w:t>الأمر الأوّل [:الشکّ فی الرکنیّة]</w:t>
      </w:r>
      <w:bookmarkEnd w:id="1453"/>
    </w:p>
    <w:p>
      <w:pPr>
        <w:pStyle w:val="Heading6"/>
      </w:pPr>
      <w:bookmarkStart w:id="1454" w:name="_Toc489"/>
      <w:r>
        <w:t>اشارة</w:t>
      </w:r>
      <w:bookmarkEnd w:id="1454"/>
    </w:p>
    <w:p>
      <w:pPr>
        <w:pStyle w:val="BookText"/>
      </w:pPr>
      <w:r>
        <w:rPr>
          <w:rFonts w:ascii="IRNazanin" w:hAnsi="IRNazanin" w:eastAsia="IRNazanin" w:cs="IRNazanin"/>
          <w:lang w:bidi="fa-IR"/>
          <w:color w:val="111111"/>
          <w:sz w:val="28"/>
          <w:szCs w:val="28"/>
          <w:rtl/>
        </w:rPr>
        <w:t xml:space="preserve">إذا ثبت جزئیّة شیء و شکّ فی رکنیّته،فهل الأصل کونه رکنا، أو عدم کونه کذلک،أو مبنیّ علی مسألة البراءة و </w:t>
      </w:r>
      <w:r>
        <w:rPr>
          <w:rStyle w:val="FootnoteReference"/>
        </w:rPr>
        <w:footnoteReference w:id="1132"/>
      </w:r>
      <w:r>
        <w:rPr>
          <w:rFonts w:ascii="IRNazanin" w:hAnsi="IRNazanin" w:eastAsia="IRNazanin" w:cs="IRNazanin"/>
          <w:lang w:bidi="fa-IR"/>
          <w:color w:val="111111"/>
          <w:sz w:val="28"/>
          <w:szCs w:val="28"/>
          <w:rtl/>
        </w:rPr>
        <w:t xml:space="preserve">الاحتیاط فی الشکّ فی الجزئیّة،أو التبعیض بین أحکام الرکن،فیحکم ببعضها و ینفی بعضها الآخر؟وجوه،لا یعرف الحقّ منها إلاّ بعد معرفة معنی الرکن، فنقول:</w:t>
      </w:r>
    </w:p>
    <w:p>
      <w:pPr>
        <w:pStyle w:val="Heading6"/>
      </w:pPr>
      <w:bookmarkStart w:id="1455" w:name="_Toc490"/>
      <w:r>
        <w:t>[الرکن فی اصطلاح الفقهاء]</w:t>
      </w:r>
      <w:bookmarkEnd w:id="1455"/>
    </w:p>
    <w:p>
      <w:pPr>
        <w:pStyle w:val="BookText"/>
      </w:pPr>
      <w:r>
        <w:rPr>
          <w:rFonts w:ascii="IRNazanin" w:hAnsi="IRNazanin" w:eastAsia="IRNazanin" w:cs="IRNazanin"/>
          <w:lang w:bidi="fa-IR"/>
          <w:color w:val="111111"/>
          <w:sz w:val="28"/>
          <w:szCs w:val="28"/>
          <w:rtl/>
        </w:rPr>
        <w:t xml:space="preserve">إنّ الرکن فی اللغة و العرف معروف </w:t>
      </w:r>
      <w:r>
        <w:rPr>
          <w:rStyle w:val="FootnoteReference"/>
        </w:rPr>
        <w:footnoteReference w:id="1133"/>
      </w:r>
      <w:r>
        <w:rPr>
          <w:rFonts w:ascii="IRNazanin" w:hAnsi="IRNazanin" w:eastAsia="IRNazanin" w:cs="IRNazanin"/>
          <w:lang w:bidi="fa-IR"/>
          <w:color w:val="111111"/>
          <w:sz w:val="28"/>
          <w:szCs w:val="28"/>
          <w:rtl/>
        </w:rPr>
        <w:t xml:space="preserve">،و لیس له فی الأخبار ذکر حتّی یتعرّض لمعناه فی زمان صدور تلک الأخبار،بل هو اصطلاح خاصّ للفقهاء.</w:t>
      </w:r>
    </w:p>
    <w:p>
      <w:pPr>
        <w:pStyle w:val="BookText"/>
      </w:pPr>
      <w:r>
        <w:rPr>
          <w:rFonts w:ascii="IRNazanin" w:hAnsi="IRNazanin" w:eastAsia="IRNazanin" w:cs="IRNazanin"/>
          <w:lang w:bidi="fa-IR"/>
          <w:color w:val="111111"/>
          <w:sz w:val="28"/>
          <w:szCs w:val="28"/>
          <w:rtl/>
        </w:rPr>
        <w:t xml:space="preserve">و قد اختلفوا فی تعریفه:بین من قال بأنّه:ما تبطل العبادة بنقصه عمدا و سهوا </w:t>
      </w:r>
      <w:r>
        <w:rPr>
          <w:rStyle w:val="FootnoteReference"/>
        </w:rPr>
        <w:footnoteReference w:id="1134"/>
      </w:r>
      <w:r>
        <w:rPr>
          <w:rFonts w:ascii="IRNazanin" w:hAnsi="IRNazanin" w:eastAsia="IRNazanin" w:cs="IRNazanin"/>
          <w:lang w:bidi="fa-IR"/>
          <w:color w:val="111111"/>
          <w:sz w:val="28"/>
          <w:szCs w:val="28"/>
          <w:rtl/>
        </w:rPr>
        <w:t xml:space="preserve">،و بین من عطف علی النقص زیادته </w:t>
      </w:r>
      <w:r>
        <w:rPr>
          <w:rStyle w:val="FootnoteReference"/>
        </w:rPr>
        <w:footnoteReference w:id="1135"/>
      </w:r>
      <w:r>
        <w:rPr>
          <w:rFonts w:ascii="IRNazanin" w:hAnsi="IRNazanin" w:eastAsia="IRNazanin" w:cs="IRNazanin"/>
          <w:lang w:bidi="fa-IR"/>
          <w:color w:val="111111"/>
          <w:sz w:val="28"/>
          <w:szCs w:val="28"/>
          <w:rtl/>
        </w:rPr>
        <w:t xml:space="preserve">.و الأوّل أوفق</w:t>
      </w:r>
    </w:p>
    <w:p>
      <w:pPr>
        <w:pStyle w:val="BookText"/>
      </w:pPr>
      <w:r>
        <w:rPr>
          <w:rFonts w:ascii="IRNazanin" w:hAnsi="IRNazanin" w:eastAsia="IRNazanin" w:cs="IRNazanin"/>
          <w:lang w:bidi="fa-IR"/>
          <w:color w:val="111111"/>
          <w:sz w:val="28"/>
          <w:szCs w:val="28"/>
          <w:rtl/>
        </w:rPr>
        <w:t xml:space="preserve">[شماره صفحه واقعی : 361]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241" w:name="pg14411_142751"/>
    <w:bookmarkEnd w:id="241"/>
    <w:p>
      <w:pPr>
        <w:pStyle w:val="BookText"/>
      </w:pPr>
      <w:r>
        <w:rPr>
          <w:rFonts w:ascii="IRNazanin" w:hAnsi="IRNazanin" w:eastAsia="IRNazanin" w:cs="IRNazanin"/>
          <w:lang w:bidi="fa-IR"/>
          <w:color w:val="111111"/>
          <w:sz w:val="28"/>
          <w:szCs w:val="28"/>
          <w:rtl/>
        </w:rPr>
        <w:t xml:space="preserve">بالمعنی اللغویّ و العرفیّ،و حینئذ فکلّ جزء ثبت فی الشرع بطلان العبادة بالاختلال فی طرف النقیصة أو فیه و فی طرف الزیادة،فهو رکن.</w:t>
      </w:r>
    </w:p>
    <w:p>
      <w:pPr>
        <w:pStyle w:val="Heading6"/>
      </w:pPr>
      <w:bookmarkStart w:id="1456" w:name="_Toc491"/>
      <w:r>
        <w:t>[حکم الإخلال بالجزء نقیصة و زیادة]</w:t>
      </w:r>
      <w:bookmarkEnd w:id="1456"/>
    </w:p>
    <w:p>
      <w:pPr>
        <w:pStyle w:val="Heading6"/>
      </w:pPr>
      <w:bookmarkStart w:id="1457" w:name="_Toc492"/>
      <w:r>
        <w:t>اشارة</w:t>
      </w:r>
      <w:bookmarkEnd w:id="1457"/>
    </w:p>
    <w:p>
      <w:pPr>
        <w:pStyle w:val="BookText"/>
      </w:pPr>
      <w:r>
        <w:rPr>
          <w:rFonts w:ascii="IRNazanin" w:hAnsi="IRNazanin" w:eastAsia="IRNazanin" w:cs="IRNazanin"/>
          <w:lang w:bidi="fa-IR"/>
          <w:color w:val="111111"/>
          <w:sz w:val="28"/>
          <w:szCs w:val="28"/>
          <w:rtl/>
        </w:rPr>
        <w:t xml:space="preserve">فالمهمّ:بیان حکم الإخلال </w:t>
      </w:r>
      <w:r>
        <w:rPr>
          <w:rStyle w:val="FootnoteReference"/>
        </w:rPr>
        <w:footnoteReference w:id="1136"/>
      </w:r>
      <w:r>
        <w:rPr>
          <w:rFonts w:ascii="IRNazanin" w:hAnsi="IRNazanin" w:eastAsia="IRNazanin" w:cs="IRNazanin"/>
          <w:lang w:bidi="fa-IR"/>
          <w:color w:val="111111"/>
          <w:sz w:val="28"/>
          <w:szCs w:val="28"/>
          <w:rtl/>
        </w:rPr>
        <w:t xml:space="preserve">بالجزء فی طرف النقیصة أو الزیادة، و أنّه إذا ثبت جزئیّته فهل الأصل یقتضی بطلان المرکّب بنقصه سهوا کما یبطل بنقصه عمدا؛و إلاّ لم یکن جزءا؟</w:t>
      </w:r>
    </w:p>
    <w:p>
      <w:pPr>
        <w:pStyle w:val="BookText"/>
      </w:pPr>
      <w:r>
        <w:rPr>
          <w:rFonts w:ascii="IRNazanin" w:hAnsi="IRNazanin" w:eastAsia="IRNazanin" w:cs="IRNazanin"/>
          <w:lang w:bidi="fa-IR"/>
          <w:color w:val="111111"/>
          <w:sz w:val="28"/>
          <w:szCs w:val="28"/>
          <w:rtl/>
        </w:rPr>
        <w:t xml:space="preserve">فهنا مسائل ثلاث:</w:t>
      </w:r>
    </w:p>
    <w:p>
      <w:pPr>
        <w:pStyle w:val="BookText"/>
      </w:pPr>
      <w:r>
        <w:rPr>
          <w:rFonts w:ascii="IRNazanin" w:hAnsi="IRNazanin" w:eastAsia="IRNazanin" w:cs="IRNazanin"/>
          <w:lang w:bidi="fa-IR"/>
          <w:color w:val="111111"/>
          <w:sz w:val="28"/>
          <w:szCs w:val="28"/>
          <w:rtl/>
        </w:rPr>
        <w:t xml:space="preserve">بطلان العبادة بترکه سهوا.</w:t>
      </w:r>
    </w:p>
    <w:p>
      <w:pPr>
        <w:pStyle w:val="BookText"/>
      </w:pPr>
      <w:r>
        <w:rPr>
          <w:rFonts w:ascii="IRNazanin" w:hAnsi="IRNazanin" w:eastAsia="IRNazanin" w:cs="IRNazanin"/>
          <w:lang w:bidi="fa-IR"/>
          <w:color w:val="111111"/>
          <w:sz w:val="28"/>
          <w:szCs w:val="28"/>
          <w:rtl/>
        </w:rPr>
        <w:t xml:space="preserve">و بطلانها بزیادته عمدا.</w:t>
      </w:r>
    </w:p>
    <w:p>
      <w:pPr>
        <w:pStyle w:val="BookText"/>
      </w:pPr>
      <w:r>
        <w:rPr>
          <w:rFonts w:ascii="IRNazanin" w:hAnsi="IRNazanin" w:eastAsia="IRNazanin" w:cs="IRNazanin"/>
          <w:lang w:bidi="fa-IR"/>
          <w:color w:val="111111"/>
          <w:sz w:val="28"/>
          <w:szCs w:val="28"/>
          <w:rtl/>
        </w:rPr>
        <w:t xml:space="preserve">و بطلانها بزیادته سهوا.</w:t>
      </w:r>
    </w:p>
    <w:p>
      <w:pPr>
        <w:pStyle w:val="BookText"/>
      </w:pPr>
      <w:r>
        <w:rPr>
          <w:rFonts w:ascii="IRNazanin" w:hAnsi="IRNazanin" w:eastAsia="IRNazanin" w:cs="IRNazanin"/>
          <w:lang w:bidi="fa-IR"/>
          <w:color w:val="111111"/>
          <w:sz w:val="28"/>
          <w:szCs w:val="28"/>
          <w:rtl/>
        </w:rPr>
        <w:t xml:space="preserve">[شماره صفحه واقعی : 362]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242" w:name="pg14411_142752"/>
    <w:bookmarkEnd w:id="242"/>
    <w:p>
      <w:pPr>
        <w:pStyle w:val="Heading6"/>
      </w:pPr>
      <w:bookmarkStart w:id="1458" w:name="_Toc493"/>
      <w:r>
        <w:t>[المسألة الاولی] [:هل تبطل العبادة] [فی ترک الجزء سهوا]</w:t>
      </w:r>
      <w:bookmarkEnd w:id="1458"/>
    </w:p>
    <w:p>
      <w:pPr>
        <w:pStyle w:val="Heading6"/>
      </w:pPr>
      <w:bookmarkStart w:id="1459" w:name="_Toc494"/>
      <w:r>
        <w:t>اشارة</w:t>
      </w:r>
      <w:bookmarkEnd w:id="1459"/>
    </w:p>
    <w:p>
      <w:pPr>
        <w:pStyle w:val="BookText"/>
      </w:pPr>
      <w:r>
        <w:rPr>
          <w:rStyle w:val="FootnoteReference"/>
        </w:rPr>
        <w:footnoteReference w:id="1137"/>
      </w:r>
      <w:r>
        <w:rPr>
          <w:rFonts w:ascii="IRNazanin" w:hAnsi="IRNazanin" w:eastAsia="IRNazanin" w:cs="IRNazanin"/>
          <w:lang w:bidi="fa-IR"/>
          <w:color w:val="111111"/>
          <w:sz w:val="28"/>
          <w:szCs w:val="28"/>
          <w:rtl/>
        </w:rPr>
        <w:t xml:space="preserve">؟</w:t>
      </w:r>
    </w:p>
    <w:p>
      <w:pPr>
        <w:pStyle w:val="Heading6"/>
      </w:pPr>
      <w:bookmarkStart w:id="1460" w:name="_Toc495"/>
      <w:r>
        <w:t>[الأصل البطلان و الدلیل علیه]</w:t>
      </w:r>
      <w:bookmarkEnd w:id="1460"/>
    </w:p>
    <w:p>
      <w:pPr>
        <w:pStyle w:val="BookText"/>
      </w:pPr>
      <w:r>
        <w:rPr>
          <w:rFonts w:ascii="IRNazanin" w:hAnsi="IRNazanin" w:eastAsia="IRNazanin" w:cs="IRNazanin"/>
          <w:lang w:bidi="fa-IR"/>
          <w:color w:val="111111"/>
          <w:sz w:val="28"/>
          <w:szCs w:val="28"/>
          <w:rtl/>
        </w:rPr>
        <w:t xml:space="preserve">أمّا الاولی،فالأقوی فیها:أصالة بطلان العبادة بنقص الجزء سهوا إلاّ أن یقوم دلیل عامّ أو خاصّ علی الصحّة؛لأنّ ما کان جزءا فی حال العمد کان جزءا فی حال الغفلة،فإذا انتفی المرکّب،فلم یکن المأتیّ به موافقا للمأمور به،و هو معنی فساده.</w:t>
      </w:r>
    </w:p>
    <w:p>
      <w:pPr>
        <w:pStyle w:val="BookText"/>
      </w:pPr>
      <w:r>
        <w:rPr>
          <w:rFonts w:ascii="IRNazanin" w:hAnsi="IRNazanin" w:eastAsia="IRNazanin" w:cs="IRNazanin"/>
          <w:lang w:bidi="fa-IR"/>
          <w:color w:val="111111"/>
          <w:sz w:val="28"/>
          <w:szCs w:val="28"/>
          <w:rtl/>
        </w:rPr>
        <w:t xml:space="preserve">أمّا عموم جزئیّته لحال الغفلة؛فلأنّ الغفلة لا توجب تغییر المأمور به؛فإنّ المخاطب بالصلاة مع السورة إذا غفل عن السورة فی الأثناء لم یتغیّر الأمر المتوجّه إلیه قبل الغفلة،و لم یحدث بالنسبة إلیه من الشارع أمر آخر حین الغفلة؛لأنّه غافل عن غفلته،فالصلاة المأتیّ بها من غیر سورة غیر مأمور بها بأمر أصلا.غایة الأمر:عدم توجّه الأمر بالصلاة مع السورة إلیه؛لاستحالة تکلیف الغافل،فالتکلیف ساقط عنه ما دام الغفلة،نظیر من غفل عن الصلاة رأسا أو نام عنها، فإذا التفت إلیها و الوقت باق وجب علیه الاتیان بها بمقتضی الأمر الأوّل.</w:t>
      </w:r>
    </w:p>
    <w:p>
      <w:pPr>
        <w:pStyle w:val="BookText"/>
      </w:pPr>
      <w:r>
        <w:rPr>
          <w:rFonts w:ascii="IRNazanin" w:hAnsi="IRNazanin" w:eastAsia="IRNazanin" w:cs="IRNazanin"/>
          <w:lang w:bidi="fa-IR"/>
          <w:color w:val="111111"/>
          <w:sz w:val="28"/>
          <w:szCs w:val="28"/>
          <w:rtl/>
        </w:rPr>
        <w:t xml:space="preserve">فإن قلت:عموم جزئیّة الجزء لحال النسیان یتمّ فیما لو ثبت الجزئیّة بمثل قوله:«لا صلاة إلاّ بفاتحة الکتاب» </w:t>
      </w:r>
      <w:r>
        <w:rPr>
          <w:rStyle w:val="FootnoteReference"/>
        </w:rPr>
        <w:footnoteReference w:id="1138"/>
      </w:r>
      <w:r>
        <w:rPr>
          <w:rFonts w:ascii="IRNazanin" w:hAnsi="IRNazanin" w:eastAsia="IRNazanin" w:cs="IRNazanin"/>
          <w:lang w:bidi="fa-IR"/>
          <w:color w:val="111111"/>
          <w:sz w:val="28"/>
          <w:szCs w:val="28"/>
          <w:rtl/>
        </w:rPr>
        <w:t xml:space="preserve">،دون ما لو قام الإجماع مثلا علی جزئیّة شیء فی الجملة و احتمل اختصاصها بحال الذکر،کما انکشف ذلک بالدلیل فی الموارد التی حکم الشارع فیها</w:t>
      </w:r>
    </w:p>
    <w:p>
      <w:pPr>
        <w:pStyle w:val="BookText"/>
      </w:pPr>
      <w:r>
        <w:rPr>
          <w:rFonts w:ascii="IRNazanin" w:hAnsi="IRNazanin" w:eastAsia="IRNazanin" w:cs="IRNazanin"/>
          <w:lang w:bidi="fa-IR"/>
          <w:color w:val="111111"/>
          <w:sz w:val="28"/>
          <w:szCs w:val="28"/>
          <w:rtl/>
        </w:rPr>
        <w:t xml:space="preserve">[شماره صفحه واقعی : 363]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بصحّة الصلاة المنسیّ فیها بعض الأجزاء علی وجه یظهر من الدلیل کون صلاته تامّة،مثل قوله علیه السّلام:«تمّت صلاته،و لا یعید» </w:t>
      </w:r>
      <w:r>
        <w:rPr>
          <w:rStyle w:val="FootnoteReference"/>
        </w:rPr>
        <w:footnoteReference w:id="1139"/>
      </w:r>
      <w:r>
        <w:rPr>
          <w:rFonts w:ascii="IRNazanin" w:hAnsi="IRNazanin" w:eastAsia="IRNazanin" w:cs="IRNazanin"/>
          <w:lang w:bidi="fa-IR"/>
          <w:color w:val="111111"/>
          <w:sz w:val="28"/>
          <w:szCs w:val="28"/>
          <w:rtl/>
        </w:rPr>
        <w:t xml:space="preserve">،و حینئذ فمرجع الشکّ إلی الشکّ فی الجزئیّة حال النسیان،فیرجع فیها إلی البراءة أو الاحتیاط علی الخلاف.</w:t>
      </w:r>
    </w:p>
    <w:p>
      <w:pPr>
        <w:pStyle w:val="BookText"/>
      </w:pPr>
      <w:r>
        <w:rPr>
          <w:rFonts w:ascii="IRNazanin" w:hAnsi="IRNazanin" w:eastAsia="IRNazanin" w:cs="IRNazanin"/>
          <w:lang w:bidi="fa-IR"/>
          <w:color w:val="111111"/>
          <w:sz w:val="28"/>
          <w:szCs w:val="28"/>
          <w:rtl/>
        </w:rPr>
        <w:t xml:space="preserve">و کذا لو کان الدالّ علی الجزئیّة حکما تکلیفیّا مختصّا بحال الذکر و کان الأمر بأصل العبادة مطلقا،فإنّه یقتصر فی تقییده علی مقدار قابلیّة دلیل التقیید أعنی حال الذکر؛إذ لا تکلیف حال الغفلة،فالجزء المنتزع من الحکم التکلیفیّ نظیر الشرط المنتزع منه فی اختصاصه بحال الذکر،کلبس الحریر و نحوه.</w:t>
      </w:r>
    </w:p>
    <w:p>
      <w:pPr>
        <w:pStyle w:val="BookText"/>
      </w:pPr>
      <w:r>
        <w:rPr>
          <w:rFonts w:ascii="IRNazanin" w:hAnsi="IRNazanin" w:eastAsia="IRNazanin" w:cs="IRNazanin"/>
          <w:lang w:bidi="fa-IR"/>
          <w:color w:val="111111"/>
          <w:sz w:val="28"/>
          <w:szCs w:val="28"/>
          <w:rtl/>
        </w:rPr>
        <w:t xml:space="preserve">قلت:إن ارید بعدم جزئیّة ما ثبت جزئیّته فی الجملة فی حقّ الناسی إیجاب العبادة الخالیة عن ذلک الجزء علیه،فهو غیر قابل لتوجیه </w:t>
      </w:r>
      <w:r>
        <w:rPr>
          <w:rStyle w:val="FootnoteReference"/>
        </w:rPr>
        <w:footnoteReference w:id="1140"/>
      </w:r>
      <w:r>
        <w:rPr>
          <w:rFonts w:ascii="IRNazanin" w:hAnsi="IRNazanin" w:eastAsia="IRNazanin" w:cs="IRNazanin"/>
          <w:lang w:bidi="fa-IR"/>
          <w:color w:val="111111"/>
          <w:sz w:val="28"/>
          <w:szCs w:val="28"/>
          <w:rtl/>
        </w:rPr>
        <w:t xml:space="preserve">الخطاب إلیه بالنسبة إلی المغفول عنه إیجابا و إسقاطا.</w:t>
      </w:r>
    </w:p>
    <w:p>
      <w:pPr>
        <w:pStyle w:val="BookText"/>
      </w:pPr>
      <w:r>
        <w:rPr>
          <w:rFonts w:ascii="IRNazanin" w:hAnsi="IRNazanin" w:eastAsia="IRNazanin" w:cs="IRNazanin"/>
          <w:lang w:bidi="fa-IR"/>
          <w:color w:val="111111"/>
          <w:sz w:val="28"/>
          <w:szCs w:val="28"/>
          <w:rtl/>
        </w:rPr>
        <w:t xml:space="preserve">و إن ارید به إمضاء الخالی عن ذلک الجزء من الناسی بدلا عن العبادة الواقعیّة،فهو حسن؛لأنّه حکم فی حقّه بعد زوال غفلته،لکن عدم الجزئیّة بهذا المعنی عند الشکّ ممّا لم یقل به أحد من المختلفین فی مسألة البراءة و الاحتیاط؛لأنّ هذا المعنی حکم وضعیّ لا یجری فیه أدلّة البراءة،بل الأصل فیه العدم بالاتّفاق.</w:t>
      </w:r>
    </w:p>
    <w:p>
      <w:pPr>
        <w:pStyle w:val="BookText"/>
      </w:pPr>
      <w:r>
        <w:rPr>
          <w:rFonts w:ascii="IRNazanin" w:hAnsi="IRNazanin" w:eastAsia="IRNazanin" w:cs="IRNazanin"/>
          <w:lang w:bidi="fa-IR"/>
          <w:color w:val="111111"/>
          <w:sz w:val="28"/>
          <w:szCs w:val="28"/>
          <w:rtl/>
        </w:rPr>
        <w:t xml:space="preserve">و هذا معنی ما اخترناه:من فساد العبادة الفاقدة للجزء نسیانا، بمعنی عدم کونها مأمورا بها و لا مسقطا عنه.</w:t>
      </w:r>
    </w:p>
    <w:p>
      <w:pPr>
        <w:pStyle w:val="BookText"/>
      </w:pPr>
      <w:r>
        <w:rPr>
          <w:rFonts w:ascii="IRNazanin" w:hAnsi="IRNazanin" w:eastAsia="IRNazanin" w:cs="IRNazanin"/>
          <w:lang w:bidi="fa-IR"/>
          <w:color w:val="111111"/>
          <w:sz w:val="28"/>
          <w:szCs w:val="28"/>
          <w:rtl/>
        </w:rPr>
        <w:t xml:space="preserve">[شماره صفحه واقعی : 364]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243" w:name="pg14411_142754"/>
    <w:bookmarkEnd w:id="243"/>
    <w:p>
      <w:pPr>
        <w:pStyle w:val="Heading6"/>
      </w:pPr>
      <w:bookmarkStart w:id="1461" w:name="_Toc496"/>
      <w:r>
        <w:t>[عدم کون هذه المسألة من مسألة الإجزاء]</w:t>
      </w:r>
      <w:bookmarkEnd w:id="1461"/>
    </w:p>
    <w:p>
      <w:pPr>
        <w:pStyle w:val="BookText"/>
      </w:pPr>
      <w:r>
        <w:rPr>
          <w:rFonts w:ascii="IRNazanin" w:hAnsi="IRNazanin" w:eastAsia="IRNazanin" w:cs="IRNazanin"/>
          <w:lang w:bidi="fa-IR"/>
          <w:color w:val="111111"/>
          <w:sz w:val="28"/>
          <w:szCs w:val="28"/>
          <w:rtl/>
        </w:rPr>
        <w:t xml:space="preserve">و ممّا ذکرنا ظهر:أنّه لیس هذه المسألة من مسألة اقتضاء الأمر للإجزاء فی شیء؛لأنّ تلک المسألة مفروضة فیما إذا کان المأتیّ به مأمورا به بأمر شرعیّ،کالصلاة مع التیمّم أو بالطهارة المظنونة،و لیس فی المقام أمر بما أتی به الناسی أصلا.</w:t>
      </w:r>
    </w:p>
    <w:p>
      <w:pPr>
        <w:pStyle w:val="BookText"/>
      </w:pPr>
      <w:r>
        <w:rPr>
          <w:rFonts w:ascii="IRNazanin" w:hAnsi="IRNazanin" w:eastAsia="IRNazanin" w:cs="IRNazanin"/>
          <w:lang w:bidi="fa-IR"/>
          <w:color w:val="111111"/>
          <w:sz w:val="28"/>
          <w:szCs w:val="28"/>
          <w:rtl/>
        </w:rPr>
        <w:t xml:space="preserve">و قد یتوهّم:أنّ فی المقام أمرا عقلیّا؛لاستقلال العقل بأنّ الواجب فی حقّ الناسی هو هذا المأتیّ به،فیندرج-لذلک-فی إتیان المأمور به بالأمر العقلیّ.</w:t>
      </w:r>
    </w:p>
    <w:p>
      <w:pPr>
        <w:pStyle w:val="BookText"/>
      </w:pPr>
      <w:r>
        <w:rPr>
          <w:rFonts w:ascii="IRNazanin" w:hAnsi="IRNazanin" w:eastAsia="IRNazanin" w:cs="IRNazanin"/>
          <w:lang w:bidi="fa-IR"/>
          <w:color w:val="111111"/>
          <w:sz w:val="28"/>
          <w:szCs w:val="28"/>
          <w:rtl/>
        </w:rPr>
        <w:t xml:space="preserve">و هو فاسد جدّا؛لأنّ العقل ینفی تکلیفه بالمنسیّ و لا یثبت له تکلیفا بما عداه من الأجزاء،و إنّما یأتی بها بداعی الأمر بالعبادة الواقعیّة غفلة عن عدم کونه إیّاها؛کیف و التکلیف-عقلیّا کان أو شرعیّا-یحتاج إلی الالتفات،و هذا الشخص غیر ملتفت إلی أنّه ناس عن الجزء حتّی یکلّف بما عداه.</w:t>
      </w:r>
    </w:p>
    <w:p>
      <w:pPr>
        <w:pStyle w:val="BookText"/>
      </w:pPr>
      <w:r>
        <w:rPr>
          <w:rFonts w:ascii="IRNazanin" w:hAnsi="IRNazanin" w:eastAsia="IRNazanin" w:cs="IRNazanin"/>
          <w:lang w:bidi="fa-IR"/>
          <w:color w:val="111111"/>
          <w:sz w:val="28"/>
          <w:szCs w:val="28"/>
          <w:rtl/>
        </w:rPr>
        <w:t xml:space="preserve">و نظیر هذا التوهّم:توهّم أنّ ما یأتی به الجاهل المرکّب باعتقاد أنّه المأمور به،من باب إتیان المأمور به بالأمر العقلی.</w:t>
      </w:r>
    </w:p>
    <w:p>
      <w:pPr>
        <w:pStyle w:val="BookText"/>
      </w:pPr>
      <w:r>
        <w:rPr>
          <w:rFonts w:ascii="IRNazanin" w:hAnsi="IRNazanin" w:eastAsia="IRNazanin" w:cs="IRNazanin"/>
          <w:lang w:bidi="fa-IR"/>
          <w:color w:val="111111"/>
          <w:sz w:val="28"/>
          <w:szCs w:val="28"/>
          <w:rtl/>
        </w:rPr>
        <w:t xml:space="preserve">و فساده یظهر ممّا ذکرنا بعینه.</w:t>
      </w:r>
    </w:p>
    <w:p>
      <w:pPr>
        <w:pStyle w:val="BookText"/>
      </w:pPr>
      <w:r>
        <w:rPr>
          <w:rFonts w:ascii="IRNazanin" w:hAnsi="IRNazanin" w:eastAsia="IRNazanin" w:cs="IRNazanin"/>
          <w:lang w:bidi="fa-IR"/>
          <w:color w:val="111111"/>
          <w:sz w:val="28"/>
          <w:szCs w:val="28"/>
          <w:rtl/>
        </w:rPr>
        <w:t xml:space="preserve">و أمّا ما ذکره:من أنّ دلیل الجزء قد یکون من قبیل التکلیف، و هو-لاختصاصه بغیر الغافل-لا یقیّد </w:t>
      </w:r>
      <w:r>
        <w:rPr>
          <w:rStyle w:val="FootnoteReference"/>
        </w:rPr>
        <w:footnoteReference w:id="1141"/>
      </w:r>
      <w:r>
        <w:rPr>
          <w:rFonts w:ascii="IRNazanin" w:hAnsi="IRNazanin" w:eastAsia="IRNazanin" w:cs="IRNazanin"/>
          <w:lang w:bidi="fa-IR"/>
          <w:color w:val="111111"/>
          <w:sz w:val="28"/>
          <w:szCs w:val="28"/>
          <w:rtl/>
        </w:rPr>
        <w:t xml:space="preserve">الأمر بالکلّ إلاّ بقدر مورده، و هو غیر الغافل،فإطلاق الأمر بالکلّ-المقتضی لعدم جزئیّة هذا الجزء له بالنسبة إلی الغافل-بحاله،ففیه:</w:t>
      </w:r>
    </w:p>
    <w:p>
      <w:pPr>
        <w:pStyle w:val="BookText"/>
      </w:pPr>
      <w:r>
        <w:rPr>
          <w:rFonts w:ascii="IRNazanin" w:hAnsi="IRNazanin" w:eastAsia="IRNazanin" w:cs="IRNazanin"/>
          <w:lang w:bidi="fa-IR"/>
          <w:color w:val="111111"/>
          <w:sz w:val="28"/>
          <w:szCs w:val="28"/>
          <w:rtl/>
        </w:rPr>
        <w:t xml:space="preserve">أنّ التکلیف المذکور إن کان تکلیفا نفسیّا،فلا یدلّ علی کون</w:t>
      </w:r>
    </w:p>
    <w:p>
      <w:pPr>
        <w:pStyle w:val="BookText"/>
      </w:pPr>
      <w:r>
        <w:rPr>
          <w:rFonts w:ascii="IRNazanin" w:hAnsi="IRNazanin" w:eastAsia="IRNazanin" w:cs="IRNazanin"/>
          <w:lang w:bidi="fa-IR"/>
          <w:color w:val="111111"/>
          <w:sz w:val="28"/>
          <w:szCs w:val="28"/>
          <w:rtl/>
        </w:rPr>
        <w:t xml:space="preserve">[شماره صفحه واقعی : 365]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244" w:name="pg14411_142755"/>
    <w:bookmarkEnd w:id="244"/>
    <w:p>
      <w:pPr>
        <w:pStyle w:val="BookText"/>
      </w:pPr>
      <w:r>
        <w:rPr>
          <w:rFonts w:ascii="IRNazanin" w:hAnsi="IRNazanin" w:eastAsia="IRNazanin" w:cs="IRNazanin"/>
          <w:lang w:bidi="fa-IR"/>
          <w:color w:val="111111"/>
          <w:sz w:val="28"/>
          <w:szCs w:val="28"/>
          <w:rtl/>
        </w:rPr>
        <w:t xml:space="preserve">متعلّقه جزءا للمأمور به حتّی یقیّد به الأمر بالکلّ،و إن کان تکلیفا غیریّا فهو کاشف عن کون متعلّقه جزءا؛لأنّ الأمر الغیریّ إنّما یتعلّق بالمقدّمة،و انتفاؤه بالنسبة إلی الغافل لا یدلّ علی نفی جزئیّته فی حقّه؛ لأنّ الجزئیّة غیر مسبّبة عنه،بل هو مسبّب عنها.</w:t>
      </w:r>
    </w:p>
    <w:p>
      <w:pPr>
        <w:pStyle w:val="BookText"/>
      </w:pPr>
      <w:r>
        <w:rPr>
          <w:rFonts w:ascii="IRNazanin" w:hAnsi="IRNazanin" w:eastAsia="IRNazanin" w:cs="IRNazanin"/>
          <w:lang w:bidi="fa-IR"/>
          <w:color w:val="111111"/>
          <w:sz w:val="28"/>
          <w:szCs w:val="28"/>
          <w:rtl/>
        </w:rPr>
        <w:t xml:space="preserve">و من ذلک یعلم:الفرق بین ما نحن فیه و بین ما ثبت اشتراطه من الحکم التکلیفیّ،کلبس الحریر؛فإنّ الشرطیّة مسبّبة عن التکلیف -عکس ما نحن فیه-،فینتفی بانتفائه.</w:t>
      </w:r>
    </w:p>
    <w:p>
      <w:pPr>
        <w:pStyle w:val="BookText"/>
      </w:pPr>
      <w:r>
        <w:rPr>
          <w:rFonts w:ascii="IRNazanin" w:hAnsi="IRNazanin" w:eastAsia="IRNazanin" w:cs="IRNazanin"/>
          <w:lang w:bidi="fa-IR"/>
          <w:color w:val="111111"/>
          <w:sz w:val="28"/>
          <w:szCs w:val="28"/>
          <w:rtl/>
        </w:rPr>
        <w:t xml:space="preserve">و الحاصل:أنّ الأمر الغیریّ بشیء-لکونه جزءا-و إن انتفی فی حقّ الغافل عنه؛من حیث انتفاء الأمر بالکلّ فی حقّه،إلاّ أنّ الجزئیّة لا تنتفی بذلک.</w:t>
      </w:r>
    </w:p>
    <w:p>
      <w:pPr>
        <w:pStyle w:val="Heading6"/>
      </w:pPr>
      <w:bookmarkStart w:id="1462" w:name="_Toc497"/>
      <w:r>
        <w:t>[التمسّک فی المسألة باستصحاب الصحّة و المناقشة فیه]</w:t>
      </w:r>
      <w:bookmarkEnd w:id="1462"/>
    </w:p>
    <w:p>
      <w:pPr>
        <w:pStyle w:val="BookText"/>
      </w:pPr>
      <w:r>
        <w:rPr>
          <w:rFonts w:ascii="IRNazanin" w:hAnsi="IRNazanin" w:eastAsia="IRNazanin" w:cs="IRNazanin"/>
          <w:lang w:bidi="fa-IR"/>
          <w:color w:val="111111"/>
          <w:sz w:val="28"/>
          <w:szCs w:val="28"/>
          <w:rtl/>
        </w:rPr>
        <w:t xml:space="preserve">و قد یتخیّل:أنّ أصالة العدم علی الوجه المتقدّم </w:t>
      </w:r>
      <w:r>
        <w:rPr>
          <w:rStyle w:val="FootnoteReference"/>
        </w:rPr>
        <w:footnoteReference w:id="1142"/>
      </w:r>
      <w:r>
        <w:rPr>
          <w:rFonts w:ascii="IRNazanin" w:hAnsi="IRNazanin" w:eastAsia="IRNazanin" w:cs="IRNazanin"/>
          <w:lang w:bidi="fa-IR"/>
          <w:color w:val="111111"/>
          <w:sz w:val="28"/>
          <w:szCs w:val="28"/>
          <w:rtl/>
        </w:rPr>
        <w:t xml:space="preserve">و إن اقتضت ما ذکر،إلاّ أنّ استصحاب الصحّة حاکم علیها.</w:t>
      </w:r>
    </w:p>
    <w:p>
      <w:pPr>
        <w:pStyle w:val="BookText"/>
      </w:pPr>
      <w:r>
        <w:rPr>
          <w:rFonts w:ascii="IRNazanin" w:hAnsi="IRNazanin" w:eastAsia="IRNazanin" w:cs="IRNazanin"/>
          <w:lang w:bidi="fa-IR"/>
          <w:color w:val="111111"/>
          <w:sz w:val="28"/>
          <w:szCs w:val="28"/>
          <w:rtl/>
        </w:rPr>
        <w:t xml:space="preserve">و فیه:ما سیجیء فی المسألة الآتیة </w:t>
      </w:r>
      <w:r>
        <w:rPr>
          <w:rStyle w:val="FootnoteReference"/>
        </w:rPr>
        <w:footnoteReference w:id="1143"/>
      </w:r>
      <w:r>
        <w:rPr>
          <w:rFonts w:ascii="IRNazanin" w:hAnsi="IRNazanin" w:eastAsia="IRNazanin" w:cs="IRNazanin"/>
          <w:lang w:bidi="fa-IR"/>
          <w:color w:val="111111"/>
          <w:sz w:val="28"/>
          <w:szCs w:val="28"/>
          <w:rtl/>
        </w:rPr>
        <w:t xml:space="preserve">:من فساد التمسّک به فی هذه المقامات،و کذا التمسّک بغیره ممّا سیذکر هناک.</w:t>
      </w:r>
    </w:p>
    <w:p>
      <w:pPr>
        <w:pStyle w:val="Heading6"/>
      </w:pPr>
      <w:bookmarkStart w:id="1463" w:name="_Toc498"/>
      <w:r>
        <w:t>[توهّم أصل ثانوی فی المسألة من جهة حدیث الرفع]</w:t>
      </w:r>
      <w:bookmarkEnd w:id="1463"/>
    </w:p>
    <w:p>
      <w:pPr>
        <w:pStyle w:val="BookText"/>
      </w:pPr>
      <w:r>
        <w:rPr>
          <w:rFonts w:ascii="IRNazanin" w:hAnsi="IRNazanin" w:eastAsia="IRNazanin" w:cs="IRNazanin"/>
          <w:lang w:bidi="fa-IR"/>
          <w:color w:val="111111"/>
          <w:sz w:val="28"/>
          <w:szCs w:val="28"/>
          <w:rtl/>
        </w:rPr>
        <w:t xml:space="preserve">فإن قلت:إنّ الأصل الأوّلی و إن کان ما ذکرت،إلاّ أنّ هنا أصلا ثانویّا یقتضی إمضاء ما یفعله الناسی خالیا عن الجزء و الشرط </w:t>
      </w:r>
      <w:r>
        <w:rPr>
          <w:rStyle w:val="FootnoteReference"/>
        </w:rPr>
        <w:footnoteReference w:id="1144"/>
      </w:r>
      <w:r>
        <w:rPr>
          <w:rFonts w:ascii="IRNazanin" w:hAnsi="IRNazanin" w:eastAsia="IRNazanin" w:cs="IRNazanin"/>
          <w:lang w:bidi="fa-IR"/>
          <w:color w:val="111111"/>
          <w:sz w:val="28"/>
          <w:szCs w:val="28"/>
          <w:rtl/>
        </w:rPr>
        <w:t xml:space="preserve">المنسیّ عنه،و هو قوله صلّی اللّه علیه و آله:«رفع عن امّتی تسعة:الخطأ و النسیان...» </w:t>
      </w:r>
      <w:r>
        <w:rPr>
          <w:rStyle w:val="FootnoteReference"/>
        </w:rPr>
        <w:footnoteReference w:id="1145"/>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366]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245" w:name="pg14411_142756"/>
    <w:bookmarkEnd w:id="245"/>
    <w:p>
      <w:pPr>
        <w:pStyle w:val="BookText"/>
      </w:pPr>
      <w:r>
        <w:rPr>
          <w:rFonts w:ascii="IRNazanin" w:hAnsi="IRNazanin" w:eastAsia="IRNazanin" w:cs="IRNazanin"/>
          <w:lang w:bidi="fa-IR"/>
          <w:color w:val="111111"/>
          <w:sz w:val="28"/>
          <w:szCs w:val="28"/>
          <w:rtl/>
        </w:rPr>
        <w:t xml:space="preserve">بناء علی أنّ المقدّر لیس خصوص المؤاخذة،بل جمیع الآثار الشرعیّة المترتّبة علی الشیء المنسیّ لو لا النسیان؛فإنّه لو ترک السورة لا للنسیان یترتّب حکم الشارع علیه بالفساد و وجوب الإعادة،و هذا مرفوع مع ترک السورة نسیانا.</w:t>
      </w:r>
    </w:p>
    <w:p>
      <w:pPr>
        <w:pStyle w:val="BookText"/>
      </w:pPr>
      <w:r>
        <w:rPr>
          <w:rFonts w:ascii="IRNazanin" w:hAnsi="IRNazanin" w:eastAsia="IRNazanin" w:cs="IRNazanin"/>
          <w:lang w:bidi="fa-IR"/>
          <w:color w:val="111111"/>
          <w:sz w:val="28"/>
          <w:szCs w:val="28"/>
          <w:rtl/>
        </w:rPr>
        <w:t xml:space="preserve">و إن شئت قلت:إنّ جزئیّة السورة مرتفعة حال النسیان.</w:t>
      </w:r>
    </w:p>
    <w:p>
      <w:pPr>
        <w:pStyle w:val="Heading6"/>
      </w:pPr>
      <w:bookmarkStart w:id="1464" w:name="_Toc499"/>
      <w:r>
        <w:t>[المناقشة فی التمسّک بحدیث الرفع]</w:t>
      </w:r>
      <w:bookmarkEnd w:id="1464"/>
    </w:p>
    <w:p>
      <w:pPr>
        <w:pStyle w:val="BookText"/>
      </w:pPr>
      <w:r>
        <w:rPr>
          <w:rFonts w:ascii="IRNazanin" w:hAnsi="IRNazanin" w:eastAsia="IRNazanin" w:cs="IRNazanin"/>
          <w:lang w:bidi="fa-IR"/>
          <w:color w:val="111111"/>
          <w:sz w:val="28"/>
          <w:szCs w:val="28"/>
          <w:rtl/>
        </w:rPr>
        <w:t xml:space="preserve">قلت-بعد تسلیم إرادة رفع جمیع الآثار-:إنّ جزئیّة السورة لیست من الأحکام المجعولة لها شرعا،بل هی ککلّیة الکلّ،و إنّما المجعول الشرعیّ وجوب الکلّ،و الوجوب مرتفع حال النسیان بحکم الروایة، و وجوب الإعادة بعد التذکّر مترتّب علی الأمر الأوّل،لا علی ترک السورة.</w:t>
      </w:r>
    </w:p>
    <w:p>
      <w:pPr>
        <w:pStyle w:val="BookText"/>
      </w:pPr>
      <w:r>
        <w:rPr>
          <w:rFonts w:ascii="IRNazanin" w:hAnsi="IRNazanin" w:eastAsia="IRNazanin" w:cs="IRNazanin"/>
          <w:lang w:bidi="fa-IR"/>
          <w:color w:val="111111"/>
          <w:sz w:val="28"/>
          <w:szCs w:val="28"/>
          <w:rtl/>
        </w:rPr>
        <w:t xml:space="preserve">و دعوی:أنّ ترک السورة سبب لترک الکلّ الذی هو سبب وجود الأمر الأوّل؛لأنّ عدم الرافع من أسباب البقاء،و هو من المجعولات القابلة للارتفاع فی الزمان الثانی،فمعنی رفع النسیان رفع ما یترتّب علیه و هو ترک الجزء،و معنی رفعه رفع ما یترتّب علیه و هو ترک الکلّ،و معنی رفعه رفع ما یترتّب علیه و هو وجود الأمر فی الزمان الثانی.</w:t>
      </w:r>
    </w:p>
    <w:p>
      <w:pPr>
        <w:pStyle w:val="BookText"/>
      </w:pPr>
      <w:r>
        <w:rPr>
          <w:rFonts w:ascii="Amiri" w:hAnsi="Amiri" w:eastAsia="Amiri" w:cs="Amiri"/>
          <w:lang w:bidi="ar-SA"/>
          <w:color w:val="111111"/>
          <w:sz w:val="28"/>
          <w:szCs w:val="28"/>
          <w:rtl/>
        </w:rPr>
        <w:t xml:space="preserve">مدفوعة:بما تقدّم </w:t>
      </w:r>
      <w:r>
        <w:rPr>
          <w:rStyle w:val="FootnoteReference"/>
        </w:rPr>
        <w:footnoteReference w:id="1146"/>
      </w:r>
      <w:r>
        <w:rPr>
          <w:rFonts w:ascii="IRNazanin" w:hAnsi="IRNazanin" w:eastAsia="IRNazanin" w:cs="IRNazanin"/>
          <w:lang w:bidi="fa-IR"/>
          <w:color w:val="111111"/>
          <w:sz w:val="28"/>
          <w:szCs w:val="28"/>
          <w:rtl/>
        </w:rPr>
        <w:t xml:space="preserve">فی بیان معنی الروایة فی الشبهة التحریمیّة فی الشکّ فی أصل التکلیف:من أنّ المرفوع فی الروایة الآثار الشرعیّة الثابتة لو لا النسیان،لا الآثار الغیر الشرعیّة،و لا ما یترتّب علی هذه الآثار من الآثار الشرعیّة.</w:t>
      </w:r>
    </w:p>
    <w:p>
      <w:pPr>
        <w:pStyle w:val="BookText"/>
      </w:pPr>
      <w:r>
        <w:rPr>
          <w:rFonts w:ascii="IRNazanin" w:hAnsi="IRNazanin" w:eastAsia="IRNazanin" w:cs="IRNazanin"/>
          <w:lang w:bidi="fa-IR"/>
          <w:color w:val="111111"/>
          <w:sz w:val="28"/>
          <w:szCs w:val="28"/>
          <w:rtl/>
        </w:rPr>
        <w:t xml:space="preserve">[شماره صفحه واقعی : 367]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246" w:name="pg14411_142757"/>
    <w:bookmarkEnd w:id="246"/>
    <w:p>
      <w:pPr>
        <w:pStyle w:val="BookText"/>
      </w:pPr>
      <w:r>
        <w:rPr>
          <w:rFonts w:ascii="IRNazanin" w:hAnsi="IRNazanin" w:eastAsia="IRNazanin" w:cs="IRNazanin"/>
          <w:lang w:bidi="fa-IR"/>
          <w:color w:val="111111"/>
          <w:sz w:val="28"/>
          <w:szCs w:val="28"/>
          <w:rtl/>
        </w:rPr>
        <w:t xml:space="preserve">فالآثار المرفوعة فی هذه الروایة نظیر الآثار الثابتة للمستصحب بحکم أخبار الاستصحاب فی أنّها هی خصوص الشرعیّة المجعولة للشارع، دون الآثار العقلیّة و العادیّة،و دون ما یترتّب علیها من الآثار الشرعیّة.</w:t>
      </w:r>
    </w:p>
    <w:p>
      <w:pPr>
        <w:pStyle w:val="BookText"/>
      </w:pPr>
      <w:r>
        <w:rPr>
          <w:rFonts w:ascii="IRNazanin" w:hAnsi="IRNazanin" w:eastAsia="IRNazanin" w:cs="IRNazanin"/>
          <w:lang w:bidi="fa-IR"/>
          <w:color w:val="111111"/>
          <w:sz w:val="28"/>
          <w:szCs w:val="28"/>
          <w:rtl/>
        </w:rPr>
        <w:t xml:space="preserve">نعم،لو صرّح الشارع بأنّ حکم نسیان الجزء الفلانی مرفوع،أو أنّ نسیانه کعدم نسیانه،أو أنّه لا حکم لنسیان السورة مثلا،وجب حمله-تصحیحا للکلام-علی رفع الإعادة و إن لم یکن أثرا شرعیّا، فافهم </w:t>
      </w:r>
      <w:r>
        <w:rPr>
          <w:rStyle w:val="FootnoteReference"/>
        </w:rPr>
        <w:footnoteReference w:id="11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زعم بعض المعاصرین </w:t>
      </w:r>
      <w:r>
        <w:rPr>
          <w:rStyle w:val="FootnoteReference"/>
        </w:rPr>
        <w:footnoteReference w:id="1148"/>
      </w:r>
      <w:r>
        <w:rPr>
          <w:rFonts w:ascii="IRNazanin" w:hAnsi="IRNazanin" w:eastAsia="IRNazanin" w:cs="IRNazanin"/>
          <w:lang w:bidi="fa-IR"/>
          <w:color w:val="111111"/>
          <w:sz w:val="28"/>
          <w:szCs w:val="28"/>
          <w:rtl/>
        </w:rPr>
        <w:t xml:space="preserve">الفرق بینهما،حیث حکم فی مسألة البراءة و الاشتغال فی الشکّ فی الجزئیّة:بأنّ أصالة عدم الجزئیّة لا یثبت بها </w:t>
      </w:r>
      <w:r>
        <w:rPr>
          <w:rStyle w:val="FootnoteReference"/>
        </w:rPr>
        <w:footnoteReference w:id="1149"/>
      </w:r>
      <w:r>
        <w:rPr>
          <w:rFonts w:ascii="IRNazanin" w:hAnsi="IRNazanin" w:eastAsia="IRNazanin" w:cs="IRNazanin"/>
          <w:lang w:bidi="fa-IR"/>
          <w:color w:val="111111"/>
          <w:sz w:val="28"/>
          <w:szCs w:val="28"/>
          <w:rtl/>
        </w:rPr>
        <w:t xml:space="preserve">ما یترتّب علیه،من کون المأمور به هو الأقلّ؛لأنّه لازم غیر شرعیّ.أمّا رفع الجزئیّة الثابتة بالنبویّ فیثبت به کون المأمور به هو الأقلّ.و ذکر فی وجه الفرق ما لا یصلح له،من أراده راجعه فیما ذکره فی أصالة العدم.</w:t>
      </w:r>
    </w:p>
    <w:p>
      <w:pPr>
        <w:pStyle w:val="BookText"/>
      </w:pPr>
      <w:r>
        <w:rPr>
          <w:rFonts w:ascii="IRNazanin" w:hAnsi="IRNazanin" w:eastAsia="IRNazanin" w:cs="IRNazanin"/>
          <w:lang w:bidi="fa-IR"/>
          <w:color w:val="111111"/>
          <w:sz w:val="28"/>
          <w:szCs w:val="28"/>
          <w:rtl/>
        </w:rPr>
        <w:t xml:space="preserve">و کیف کان،فالقاعدة الثانویّة فی النسیان غیر ثابتة.</w:t>
      </w:r>
    </w:p>
    <w:p>
      <w:pPr>
        <w:pStyle w:val="Heading6"/>
      </w:pPr>
      <w:bookmarkStart w:id="1465" w:name="_Toc500"/>
      <w:r>
        <w:t>[إمکان دعوی أصل ثانوی فی خصوص الصلاة]</w:t>
      </w:r>
      <w:bookmarkEnd w:id="1465"/>
    </w:p>
    <w:p>
      <w:pPr>
        <w:pStyle w:val="BookText"/>
      </w:pPr>
      <w:r>
        <w:rPr>
          <w:rFonts w:ascii="IRNazanin" w:hAnsi="IRNazanin" w:eastAsia="IRNazanin" w:cs="IRNazanin"/>
          <w:lang w:bidi="fa-IR"/>
          <w:color w:val="111111"/>
          <w:sz w:val="28"/>
          <w:szCs w:val="28"/>
          <w:rtl/>
        </w:rPr>
        <w:t xml:space="preserve">نعم یمکن دعوی القاعدة الثانویّة فی خصوص الصلاة من جهة قوله علیه السّلام:«لا تعاد الصلاة إلاّ من خمسة:الطهور،و الوقت،و القبلة، و الرکوع،و السجود» </w:t>
      </w:r>
      <w:r>
        <w:rPr>
          <w:rStyle w:val="FootnoteReference"/>
        </w:rPr>
        <w:footnoteReference w:id="1150"/>
      </w:r>
      <w:r>
        <w:rPr>
          <w:rFonts w:ascii="IRNazanin" w:hAnsi="IRNazanin" w:eastAsia="IRNazanin" w:cs="IRNazanin"/>
          <w:lang w:bidi="fa-IR"/>
          <w:color w:val="111111"/>
          <w:sz w:val="28"/>
          <w:szCs w:val="28"/>
          <w:rtl/>
        </w:rPr>
        <w:t xml:space="preserve">،و قوله علیه السّلام فی مرسلة سفیان:«یسجد سجدتی</w:t>
      </w:r>
    </w:p>
    <w:p>
      <w:pPr>
        <w:pStyle w:val="BookText"/>
      </w:pPr>
      <w:r>
        <w:rPr>
          <w:rFonts w:ascii="IRNazanin" w:hAnsi="IRNazanin" w:eastAsia="IRNazanin" w:cs="IRNazanin"/>
          <w:lang w:bidi="fa-IR"/>
          <w:color w:val="111111"/>
          <w:sz w:val="28"/>
          <w:szCs w:val="28"/>
          <w:rtl/>
        </w:rPr>
        <w:t xml:space="preserve">[شماره صفحه واقعی : 368]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السهو فی کلّ زیادة و نقیصة» </w:t>
      </w:r>
      <w:r>
        <w:rPr>
          <w:rStyle w:val="FootnoteReference"/>
        </w:rPr>
        <w:footnoteReference w:id="1151"/>
      </w:r>
      <w:r>
        <w:rPr>
          <w:rFonts w:ascii="IRNazanin" w:hAnsi="IRNazanin" w:eastAsia="IRNazanin" w:cs="IRNazanin"/>
          <w:lang w:bidi="fa-IR"/>
          <w:color w:val="111111"/>
          <w:sz w:val="28"/>
          <w:szCs w:val="28"/>
          <w:rtl/>
        </w:rPr>
        <w:t xml:space="preserve">،و قوله علیه السّلام فی من نسی الفاتحة:</w:t>
      </w:r>
    </w:p>
    <w:p>
      <w:pPr>
        <w:pStyle w:val="BookText"/>
      </w:pPr>
      <w:r>
        <w:rPr>
          <w:rFonts w:ascii="IRNazanin" w:hAnsi="IRNazanin" w:eastAsia="IRNazanin" w:cs="IRNazanin"/>
          <w:lang w:bidi="fa-IR"/>
          <w:color w:val="111111"/>
          <w:sz w:val="28"/>
          <w:szCs w:val="28"/>
          <w:rtl/>
        </w:rPr>
        <w:t xml:space="preserve">«أ لیس قد أتممت الرکوع و السجود» </w:t>
      </w:r>
      <w:r>
        <w:rPr>
          <w:rStyle w:val="FootnoteReference"/>
        </w:rPr>
        <w:footnoteReference w:id="1152"/>
      </w:r>
      <w:r>
        <w:rPr>
          <w:rFonts w:ascii="IRNazanin" w:hAnsi="IRNazanin" w:eastAsia="IRNazanin" w:cs="IRNazanin"/>
          <w:lang w:bidi="fa-IR"/>
          <w:color w:val="111111"/>
          <w:sz w:val="28"/>
          <w:szCs w:val="28"/>
          <w:rtl/>
        </w:rPr>
        <w:t xml:space="preserve">،و غیره </w:t>
      </w:r>
      <w:r>
        <w:rPr>
          <w:rStyle w:val="FootnoteReference"/>
        </w:rPr>
        <w:footnoteReference w:id="11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 الکلام فی الشرط کالکلام فی الجزء فی الأصل الأوّلی و الثانویّ المزیّف و المقبول،و هو غایة المسئول.</w:t>
      </w:r>
    </w:p>
    <w:p>
      <w:pPr>
        <w:pStyle w:val="BookText"/>
      </w:pPr>
      <w:r>
        <w:rPr>
          <w:rFonts w:ascii="IRNazanin" w:hAnsi="IRNazanin" w:eastAsia="IRNazanin" w:cs="IRNazanin"/>
          <w:lang w:bidi="fa-IR"/>
          <w:color w:val="111111"/>
          <w:sz w:val="28"/>
          <w:szCs w:val="28"/>
          <w:rtl/>
        </w:rPr>
        <w:t xml:space="preserve">[شماره صفحه واقعی : 369]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247" w:name="pg14411_142759"/>
    <w:bookmarkEnd w:id="247"/>
    <w:p>
      <w:pPr>
        <w:pStyle w:val="Heading6"/>
      </w:pPr>
      <w:bookmarkStart w:id="1466" w:name="_Toc501"/>
      <w:r>
        <w:t>المسألة الثانیة [:هل تبطل العبادة] فی زیادة الجزء عمدا؟</w:t>
      </w:r>
      <w:bookmarkEnd w:id="1466"/>
    </w:p>
    <w:p>
      <w:pPr>
        <w:pStyle w:val="Heading6"/>
      </w:pPr>
      <w:bookmarkStart w:id="1467" w:name="_Toc502"/>
      <w:r>
        <w:t>[موضوع المسألة]</w:t>
      </w:r>
      <w:bookmarkEnd w:id="1467"/>
    </w:p>
    <w:p>
      <w:pPr>
        <w:pStyle w:val="BookText"/>
      </w:pPr>
      <w:r>
        <w:rPr>
          <w:rFonts w:ascii="IRNazanin" w:hAnsi="IRNazanin" w:eastAsia="IRNazanin" w:cs="IRNazanin"/>
          <w:lang w:bidi="fa-IR"/>
          <w:color w:val="111111"/>
          <w:sz w:val="28"/>
          <w:szCs w:val="28"/>
          <w:rtl/>
        </w:rPr>
        <w:t xml:space="preserve">و إنّما یتحقّق فی الجزء الذی لم یعتبر فیه اشتراط </w:t>
      </w:r>
      <w:r>
        <w:rPr>
          <w:rStyle w:val="FootnoteReference"/>
        </w:rPr>
        <w:footnoteReference w:id="1154"/>
      </w:r>
      <w:r>
        <w:rPr>
          <w:rFonts w:ascii="IRNazanin" w:hAnsi="IRNazanin" w:eastAsia="IRNazanin" w:cs="IRNazanin"/>
          <w:lang w:bidi="fa-IR"/>
          <w:color w:val="111111"/>
          <w:sz w:val="28"/>
          <w:szCs w:val="28"/>
          <w:rtl/>
        </w:rPr>
        <w:t xml:space="preserve">عدم الزیادة، فلو اخذ بشرطه فالزیادة علیه موجب لاختلاله من حیث النقیصة؛لأنّ فاقد الشرط کالمتروک.کما أنّه لو اخذ فی الشرع لا بشرط الوحدة و التعدّد فلا إشکال فی عدم الفساد.</w:t>
      </w:r>
    </w:p>
    <w:p>
      <w:pPr>
        <w:pStyle w:val="BookText"/>
      </w:pPr>
      <w:r>
        <w:rPr>
          <w:rFonts w:ascii="IRNazanin" w:hAnsi="IRNazanin" w:eastAsia="IRNazanin" w:cs="IRNazanin"/>
          <w:lang w:bidi="fa-IR"/>
          <w:color w:val="111111"/>
          <w:sz w:val="28"/>
          <w:szCs w:val="28"/>
          <w:rtl/>
        </w:rPr>
        <w:t xml:space="preserve">و یشترط فی صدق الزیادة:قصد کونه من الأجزاء،أمّا زیادة صورة الجزء لا بقصدها-کما لو سجد للعزیمة فی الصلاة-لم تعدّ زیادة فی الجزء.نعم، </w:t>
      </w:r>
      <w:r>
        <w:rPr>
          <w:rStyle w:val="FootnoteReference"/>
        </w:rPr>
        <w:footnoteReference w:id="1155"/>
      </w:r>
      <w:r>
        <w:rPr>
          <w:rFonts w:ascii="IRNazanin" w:hAnsi="IRNazanin" w:eastAsia="IRNazanin" w:cs="IRNazanin"/>
          <w:lang w:bidi="fa-IR"/>
          <w:color w:val="111111"/>
          <w:sz w:val="28"/>
          <w:szCs w:val="28"/>
          <w:rtl/>
        </w:rPr>
        <w:t xml:space="preserve">ورد فی بعض الأخبار:«أنّها زیادة فی المکتوبة» </w:t>
      </w:r>
      <w:r>
        <w:rPr>
          <w:rStyle w:val="FootnoteReference"/>
        </w:rPr>
        <w:footnoteReference w:id="1156"/>
      </w:r>
      <w:r>
        <w:rPr>
          <w:rFonts w:ascii="IRNazanin" w:hAnsi="IRNazanin" w:eastAsia="IRNazanin" w:cs="IRNazanin"/>
          <w:lang w:bidi="fa-IR"/>
          <w:color w:val="111111"/>
          <w:sz w:val="28"/>
          <w:szCs w:val="28"/>
          <w:rtl/>
        </w:rPr>
        <w:t xml:space="preserve">، و سیأتی الکلام فی معنی الزیادة فی الصلاة </w:t>
      </w:r>
      <w:r>
        <w:rPr>
          <w:rStyle w:val="FootnoteReference"/>
        </w:rPr>
        <w:footnoteReference w:id="1157"/>
      </w:r>
      <w:r>
        <w:rPr>
          <w:rFonts w:ascii="Times New Roman" w:hAnsi="Times New Roman" w:eastAsia="Times New Roman" w:cs="Times New Roman"/>
          <w:lang w:val="en-US" w:bidi="en-US"/>
          <w:color w:val="111111"/>
          <w:sz w:val="28"/>
          <w:szCs w:val="28"/>
          <w:rtl/>
        </w:rPr>
        <w:t xml:space="preserve">.</w:t>
      </w:r>
    </w:p>
    <w:p>
      <w:pPr>
        <w:pStyle w:val="Heading6"/>
      </w:pPr>
      <w:bookmarkStart w:id="1468" w:name="_Toc503"/>
      <w:r>
        <w:t>[أقسام الزیادة العمدیّة:]</w:t>
      </w:r>
      <w:bookmarkEnd w:id="1468"/>
    </w:p>
    <w:p>
      <w:pPr>
        <w:pStyle w:val="Heading6"/>
      </w:pPr>
      <w:bookmarkStart w:id="1469" w:name="_Toc504"/>
      <w:r>
        <w:t>اشارة</w:t>
      </w:r>
      <w:bookmarkEnd w:id="1469"/>
    </w:p>
    <w:p>
      <w:pPr>
        <w:pStyle w:val="BookText"/>
      </w:pPr>
      <w:r>
        <w:rPr>
          <w:rFonts w:ascii="IRNazanin" w:hAnsi="IRNazanin" w:eastAsia="IRNazanin" w:cs="IRNazanin"/>
          <w:lang w:bidi="fa-IR"/>
          <w:color w:val="111111"/>
          <w:sz w:val="28"/>
          <w:szCs w:val="28"/>
          <w:rtl/>
        </w:rPr>
        <w:t xml:space="preserve">ثمّ الزیادة العمدیّة تتصوّر علی وجوه:</w:t>
      </w:r>
    </w:p>
    <w:p>
      <w:pPr>
        <w:pStyle w:val="Heading6"/>
      </w:pPr>
      <w:bookmarkStart w:id="1470" w:name="_Toc505"/>
      <w:r>
        <w:t>أحدها : أن یزید جزءا من أجزاء الصلاة بقصد کون الزائد جزءا مستقلا</w:t>
      </w:r>
      <w:bookmarkEnd w:id="1470"/>
    </w:p>
    <w:p>
      <w:pPr>
        <w:pStyle w:val="BookText"/>
      </w:pPr>
      <w:r>
        <w:rPr>
          <w:rFonts w:ascii="IRNazanin" w:hAnsi="IRNazanin" w:eastAsia="IRNazanin" w:cs="IRNazanin"/>
          <w:lang w:bidi="fa-IR"/>
          <w:color w:val="111111"/>
          <w:sz w:val="28"/>
          <w:szCs w:val="28"/>
          <w:rtl/>
        </w:rPr>
        <w:t xml:space="preserve">،کما لو اعتقد شرعا أو تشریعا أنّ الواجب فی کلّ رکعة رکوعان،کالسجود.</w:t>
      </w:r>
    </w:p>
    <w:p>
      <w:pPr>
        <w:pStyle w:val="Heading6"/>
      </w:pPr>
      <w:bookmarkStart w:id="1471" w:name="_Toc506"/>
      <w:r>
        <w:t>الثانی : أن یقصد کون مجموع الزائد و المزید علیه جزءا واحدا</w:t>
      </w:r>
      <w:bookmarkEnd w:id="1471"/>
    </w:p>
    <w:p>
      <w:pPr>
        <w:pStyle w:val="BookText"/>
      </w:pPr>
      <w:r>
        <w:rPr>
          <w:rFonts w:ascii="IRNazanin" w:hAnsi="IRNazanin" w:eastAsia="IRNazanin" w:cs="IRNazanin"/>
          <w:lang w:bidi="fa-IR"/>
          <w:color w:val="111111"/>
          <w:sz w:val="28"/>
          <w:szCs w:val="28"/>
          <w:rtl/>
        </w:rPr>
        <w:t xml:space="preserve">کما لو اعتقد أنّ الواجب فی الرکوع الجنس الصادق علی الواحد و المتعدّد.</w:t>
      </w:r>
    </w:p>
    <w:p>
      <w:pPr>
        <w:pStyle w:val="BookText"/>
      </w:pPr>
      <w:r>
        <w:rPr>
          <w:rFonts w:ascii="IRNazanin" w:hAnsi="IRNazanin" w:eastAsia="IRNazanin" w:cs="IRNazanin"/>
          <w:lang w:bidi="fa-IR"/>
          <w:color w:val="111111"/>
          <w:sz w:val="28"/>
          <w:szCs w:val="28"/>
          <w:rtl/>
        </w:rPr>
        <w:t xml:space="preserve">[شماره صفحه واقعی : 370]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248" w:name="pg14411_142760"/>
    <w:bookmarkEnd w:id="248"/>
    <w:p>
      <w:pPr>
        <w:pStyle w:val="Heading6"/>
      </w:pPr>
      <w:bookmarkStart w:id="1472" w:name="_Toc507"/>
      <w:r>
        <w:t>الثالث : أن یأتی بالزائد بدلا عن المزید علیه</w:t>
      </w:r>
      <w:bookmarkEnd w:id="1472"/>
    </w:p>
    <w:p>
      <w:pPr>
        <w:pStyle w:val="BookText"/>
      </w:pPr>
      <w:r>
        <w:rPr>
          <w:rFonts w:ascii="IRNazanin" w:hAnsi="IRNazanin" w:eastAsia="IRNazanin" w:cs="IRNazanin"/>
          <w:lang w:bidi="fa-IR"/>
          <w:color w:val="111111"/>
          <w:sz w:val="28"/>
          <w:szCs w:val="28"/>
          <w:rtl/>
        </w:rPr>
        <w:t xml:space="preserve">بعد رفع الید عنه:</w:t>
      </w:r>
    </w:p>
    <w:p>
      <w:pPr>
        <w:pStyle w:val="BookText"/>
      </w:pPr>
      <w:r>
        <w:rPr>
          <w:rFonts w:ascii="IRNazanin" w:hAnsi="IRNazanin" w:eastAsia="IRNazanin" w:cs="IRNazanin"/>
          <w:lang w:bidi="fa-IR"/>
          <w:color w:val="111111"/>
          <w:sz w:val="28"/>
          <w:szCs w:val="28"/>
          <w:rtl/>
        </w:rPr>
        <w:t xml:space="preserve">إمّا اقتراحا،کما لو قرأ سورة ثمّ بدا له فی الأثناء أو بعد الفراغ و قرأ سورة اخری لغرض دینیّ کالفضیلة،أو دنیویّ کالاستعجال.و إمّا لإیقاع الأوّل علی وجه فاسد بفقد بعض الشروط،کأن یأتی ببعض الأجزاء ریاء أو مع عدم الطمأنینة المعتبرة فیها،ثمّ یبدو له فی إعادته علی وجه صحیح.</w:t>
      </w:r>
    </w:p>
    <w:p>
      <w:pPr>
        <w:pStyle w:val="Heading6"/>
      </w:pPr>
      <w:bookmarkStart w:id="1473" w:name="_Toc508"/>
      <w:r>
        <w:t>[بطلان العبادة فی القسم الأوّل]</w:t>
      </w:r>
      <w:bookmarkEnd w:id="1473"/>
    </w:p>
    <w:p>
      <w:pPr>
        <w:pStyle w:val="BookText"/>
      </w:pPr>
      <w:r>
        <w:rPr>
          <w:rFonts w:ascii="IRNazanin" w:hAnsi="IRNazanin" w:eastAsia="IRNazanin" w:cs="IRNazanin"/>
          <w:lang w:bidi="fa-IR"/>
          <w:color w:val="111111"/>
          <w:sz w:val="28"/>
          <w:szCs w:val="28"/>
          <w:rtl/>
        </w:rPr>
        <w:t xml:space="preserve">أمّا الزیادة علی الوجه الأوّل:فلا إشکال فی فساد العبادة </w:t>
      </w:r>
      <w:r>
        <w:rPr>
          <w:rStyle w:val="FootnoteReference"/>
        </w:rPr>
        <w:footnoteReference w:id="1158"/>
      </w:r>
      <w:r>
        <w:rPr>
          <w:rFonts w:ascii="IRNazanin" w:hAnsi="IRNazanin" w:eastAsia="IRNazanin" w:cs="IRNazanin"/>
          <w:lang w:bidi="fa-IR"/>
          <w:color w:val="111111"/>
          <w:sz w:val="28"/>
          <w:szCs w:val="28"/>
          <w:rtl/>
        </w:rPr>
        <w:t xml:space="preserve">إذا نوی ذلک قبل الدخول فی الصلاة أو فی الأثناء؛لأنّ ما أتی به و قصد الامتثال به-و هو المجموع المشتمل علی الزیادة-غیر مأمور به،و ما امر به و هو ما عدا تلک الزیادة لم یقصد الامتثال به.</w:t>
      </w:r>
    </w:p>
    <w:p>
      <w:pPr>
        <w:pStyle w:val="Heading6"/>
      </w:pPr>
      <w:bookmarkStart w:id="1474" w:name="_Toc509"/>
      <w:r>
        <w:t>[عدم البطلان فی القسمین الأخیرین]</w:t>
      </w:r>
      <w:bookmarkEnd w:id="1474"/>
    </w:p>
    <w:p>
      <w:pPr>
        <w:pStyle w:val="BookText"/>
      </w:pPr>
      <w:r>
        <w:rPr>
          <w:rFonts w:ascii="IRNazanin" w:hAnsi="IRNazanin" w:eastAsia="IRNazanin" w:cs="IRNazanin"/>
          <w:lang w:bidi="fa-IR"/>
          <w:color w:val="111111"/>
          <w:sz w:val="28"/>
          <w:szCs w:val="28"/>
          <w:rtl/>
        </w:rPr>
        <w:t xml:space="preserve">و أمّا الأخیران:فمقتضی الأصل عدم بطلان العبادة فیهما؛لأنّ مرجع ذلک </w:t>
      </w:r>
      <w:r>
        <w:rPr>
          <w:rStyle w:val="FootnoteReference"/>
        </w:rPr>
        <w:footnoteReference w:id="1159"/>
      </w:r>
      <w:r>
        <w:rPr>
          <w:rFonts w:ascii="IRNazanin" w:hAnsi="IRNazanin" w:eastAsia="IRNazanin" w:cs="IRNazanin"/>
          <w:lang w:bidi="fa-IR"/>
          <w:color w:val="111111"/>
          <w:sz w:val="28"/>
          <w:szCs w:val="28"/>
          <w:rtl/>
        </w:rPr>
        <w:t xml:space="preserve">الشکّ إلی الشکّ فی مانعیّة الزیادة،و مرجعها إلی الشکّ فی شرطیّة عدمها،و قد تقدّم </w:t>
      </w:r>
      <w:r>
        <w:rPr>
          <w:rStyle w:val="FootnoteReference"/>
        </w:rPr>
        <w:footnoteReference w:id="1160"/>
      </w:r>
      <w:r>
        <w:rPr>
          <w:rFonts w:ascii="IRNazanin" w:hAnsi="IRNazanin" w:eastAsia="IRNazanin" w:cs="IRNazanin"/>
          <w:lang w:bidi="fa-IR"/>
          <w:color w:val="111111"/>
          <w:sz w:val="28"/>
          <w:szCs w:val="28"/>
          <w:rtl/>
        </w:rPr>
        <w:t xml:space="preserve">أنّ مقتضی الأصل فیه البراءة.</w:t>
      </w:r>
    </w:p>
    <w:p>
      <w:pPr>
        <w:pStyle w:val="Heading6"/>
      </w:pPr>
      <w:bookmarkStart w:id="1475" w:name="_Toc510"/>
      <w:r>
        <w:t>[استدلال المحقّق علی البطلان و المناقشة فیه]</w:t>
      </w:r>
      <w:bookmarkEnd w:id="1475"/>
    </w:p>
    <w:p>
      <w:pPr>
        <w:pStyle w:val="BookText"/>
      </w:pPr>
      <w:r>
        <w:rPr>
          <w:rFonts w:ascii="IRNazanin" w:hAnsi="IRNazanin" w:eastAsia="IRNazanin" w:cs="IRNazanin"/>
          <w:lang w:bidi="fa-IR"/>
          <w:color w:val="111111"/>
          <w:sz w:val="28"/>
          <w:szCs w:val="28"/>
          <w:rtl/>
        </w:rPr>
        <w:t xml:space="preserve">و قد یستدلّ علی البطلان:بأنّ الزیادة تغییر لهیئة العبادة الموظّفة فتکون مبطلة.و قد احتجّ به فی المعتبر علی بطلان الصلاة بالزیادة </w:t>
      </w:r>
      <w:r>
        <w:rPr>
          <w:rStyle w:val="FootnoteReference"/>
        </w:rPr>
        <w:footnoteReference w:id="11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فیه نظر؛لأنّه إن ارید تغییر الهیئة المعتبرة فی الصلاة،فالصغری ممنوعة؛لأنّ اعتبار الهیئة الحاصلة من عدم الزیادة أوّل الدعوی،فإذا</w:t>
      </w:r>
    </w:p>
    <w:p>
      <w:pPr>
        <w:pStyle w:val="BookText"/>
      </w:pPr>
      <w:r>
        <w:rPr>
          <w:rFonts w:ascii="IRNazanin" w:hAnsi="IRNazanin" w:eastAsia="IRNazanin" w:cs="IRNazanin"/>
          <w:lang w:bidi="fa-IR"/>
          <w:color w:val="111111"/>
          <w:sz w:val="28"/>
          <w:szCs w:val="28"/>
          <w:rtl/>
        </w:rPr>
        <w:t xml:space="preserve">[شماره صفحه واقعی : 371]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249" w:name="pg14411_142761"/>
    <w:bookmarkEnd w:id="249"/>
    <w:p>
      <w:pPr>
        <w:pStyle w:val="BookText"/>
      </w:pPr>
      <w:r>
        <w:rPr>
          <w:rFonts w:ascii="IRNazanin" w:hAnsi="IRNazanin" w:eastAsia="IRNazanin" w:cs="IRNazanin"/>
          <w:lang w:bidi="fa-IR"/>
          <w:color w:val="111111"/>
          <w:sz w:val="28"/>
          <w:szCs w:val="28"/>
          <w:rtl/>
        </w:rPr>
        <w:t xml:space="preserve">شکّ فیه فالأصل البراءة عنه.و إن ارید أنّه تغییر للهیئة المتعارفة المعهودة للصلاة فالکبری ممنوعة؛لمنع کون تغییر الهیئة المتعارفة مبطلا.</w:t>
      </w:r>
    </w:p>
    <w:p>
      <w:pPr>
        <w:pStyle w:val="Heading6"/>
      </w:pPr>
      <w:bookmarkStart w:id="1476" w:name="_Toc511"/>
      <w:r>
        <w:t>[الاستدلال علی الصحّة باستصحاب الصحّة و المناقشة فیه]</w:t>
      </w:r>
      <w:bookmarkEnd w:id="1476"/>
    </w:p>
    <w:p>
      <w:pPr>
        <w:pStyle w:val="BookText"/>
      </w:pPr>
      <w:r>
        <w:rPr>
          <w:rFonts w:ascii="IRNazanin" w:hAnsi="IRNazanin" w:eastAsia="IRNazanin" w:cs="IRNazanin"/>
          <w:lang w:bidi="fa-IR"/>
          <w:color w:val="111111"/>
          <w:sz w:val="28"/>
          <w:szCs w:val="28"/>
          <w:rtl/>
        </w:rPr>
        <w:t xml:space="preserve">و نظیر الاستدلال بهذا للبطلان فی الضعف:الاستدلال للصحّة باستصحابها </w:t>
      </w:r>
      <w:r>
        <w:rPr>
          <w:rStyle w:val="FootnoteReference"/>
        </w:rPr>
        <w:footnoteReference w:id="1162"/>
      </w:r>
      <w:r>
        <w:rPr>
          <w:rFonts w:ascii="IRNazanin" w:hAnsi="IRNazanin" w:eastAsia="IRNazanin" w:cs="IRNazanin"/>
          <w:lang w:bidi="fa-IR"/>
          <w:color w:val="111111"/>
          <w:sz w:val="28"/>
          <w:szCs w:val="28"/>
          <w:rtl/>
        </w:rPr>
        <w:t xml:space="preserve">،بناء علی أنّ العبادة قبل هذه الزیادة کانت صحیحة، و الأصل بقاؤها و عدم عروض البطلان لها.</w:t>
      </w:r>
    </w:p>
    <w:p>
      <w:pPr>
        <w:pStyle w:val="BookText"/>
      </w:pPr>
      <w:r>
        <w:rPr>
          <w:rFonts w:ascii="IRNazanin" w:hAnsi="IRNazanin" w:eastAsia="IRNazanin" w:cs="IRNazanin"/>
          <w:lang w:bidi="fa-IR"/>
          <w:color w:val="111111"/>
          <w:sz w:val="28"/>
          <w:szCs w:val="28"/>
          <w:rtl/>
        </w:rPr>
        <w:t xml:space="preserve">و فیه:أنّ المستصحب إن کان صحّة مجموع الصلاة فلم یتحقّق بعد.</w:t>
      </w:r>
    </w:p>
    <w:p>
      <w:pPr>
        <w:pStyle w:val="BookText"/>
      </w:pPr>
      <w:r>
        <w:rPr>
          <w:rFonts w:ascii="IRNazanin" w:hAnsi="IRNazanin" w:eastAsia="IRNazanin" w:cs="IRNazanin"/>
          <w:lang w:bidi="fa-IR"/>
          <w:color w:val="111111"/>
          <w:sz w:val="28"/>
          <w:szCs w:val="28"/>
          <w:rtl/>
        </w:rPr>
        <w:t xml:space="preserve">و إن کان صحّة الأجزاء السابقة منها فهی غیر مجدیة؛لأنّ صحّة تلک الأجزاء:إمّا عبارة عن مطابقتها للأمر المتعلّق بها،و إمّا ترتّب الأثر علیها.و المراد بالأثر المترتّب علیها:حصول المرکّب بها منضمّة مع باقی الأجزاء و الشرائط؛إذ لیس أثر الجزء المنوط به صحّته إلاّ حصول الکلّ به منضمّا إلی تمام غیره ممّا یعتبر فی الکلّ.</w:t>
      </w:r>
    </w:p>
    <w:p>
      <w:pPr>
        <w:pStyle w:val="BookText"/>
      </w:pPr>
      <w:r>
        <w:rPr>
          <w:rFonts w:ascii="IRNazanin" w:hAnsi="IRNazanin" w:eastAsia="IRNazanin" w:cs="IRNazanin"/>
          <w:lang w:bidi="fa-IR"/>
          <w:color w:val="111111"/>
          <w:sz w:val="28"/>
          <w:szCs w:val="28"/>
          <w:rtl/>
        </w:rPr>
        <w:t xml:space="preserve">و لا یخفی:أنّ الصحّة بکلا المعنیین باقیة للأجزاء السابقة؛لأنّها بعد وقوعها مطابقة للأمر بها لا تنقلب عمّا وقعت علیه،و هی بعد علی وجه لو انضمّ إلیها تمام ما یعتبر فی الکلّ حصل الکلّ،فعدم حصول الکلّ لعدم انضمام تمام ما یعتبر فی الکلّ إلی تلک الأجزاء، لا یخلّ بصحّتها.</w:t>
      </w:r>
    </w:p>
    <w:p>
      <w:pPr>
        <w:pStyle w:val="BookText"/>
      </w:pPr>
      <w:r>
        <w:rPr>
          <w:rFonts w:ascii="IRNazanin" w:hAnsi="IRNazanin" w:eastAsia="IRNazanin" w:cs="IRNazanin"/>
          <w:lang w:bidi="fa-IR"/>
          <w:color w:val="111111"/>
          <w:sz w:val="28"/>
          <w:szCs w:val="28"/>
          <w:rtl/>
        </w:rPr>
        <w:t xml:space="preserve">أ لا تری:أنّ صحّة الخلّ من حیث کونه جزءا للسکنجبین، لا یراد بها إلاّ کونه علی صفة لو انضمّ إلیه تمام ما یعتبر فی تحقّق السکنجبین لحصل الکلّ،فلو لم ینضمّ إلیه تمام ما یعتبر فلم یحصل</w:t>
      </w:r>
    </w:p>
    <w:p>
      <w:pPr>
        <w:pStyle w:val="BookText"/>
      </w:pPr>
      <w:r>
        <w:rPr>
          <w:rFonts w:ascii="IRNazanin" w:hAnsi="IRNazanin" w:eastAsia="IRNazanin" w:cs="IRNazanin"/>
          <w:lang w:bidi="fa-IR"/>
          <w:color w:val="111111"/>
          <w:sz w:val="28"/>
          <w:szCs w:val="28"/>
          <w:rtl/>
        </w:rPr>
        <w:t xml:space="preserve">[شماره صفحه واقعی : 372]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250" w:name="pg14411_142762"/>
    <w:bookmarkEnd w:id="250"/>
    <w:p>
      <w:pPr>
        <w:pStyle w:val="BookText"/>
      </w:pPr>
      <w:r>
        <w:rPr>
          <w:rFonts w:ascii="IRNazanin" w:hAnsi="IRNazanin" w:eastAsia="IRNazanin" w:cs="IRNazanin"/>
          <w:lang w:bidi="fa-IR"/>
          <w:color w:val="111111"/>
          <w:sz w:val="28"/>
          <w:szCs w:val="28"/>
          <w:rtl/>
        </w:rPr>
        <w:t xml:space="preserve">-لذلک-الکلّ،لم یقدح ذلک فی اتّصاف الخلّ بالصحّة فی مرتبة جزئیّته.</w:t>
      </w:r>
    </w:p>
    <w:p>
      <w:pPr>
        <w:pStyle w:val="BookText"/>
      </w:pPr>
      <w:r>
        <w:rPr>
          <w:rFonts w:ascii="IRNazanin" w:hAnsi="IRNazanin" w:eastAsia="IRNazanin" w:cs="IRNazanin"/>
          <w:lang w:bidi="fa-IR"/>
          <w:color w:val="111111"/>
          <w:sz w:val="28"/>
          <w:szCs w:val="28"/>
          <w:rtl/>
        </w:rPr>
        <w:t xml:space="preserve">فإذا کان عدم حصول الکلّ یقینا لعدم حصول تمام ما یعتبر فی الکلّ،غیر قادح فی صحّة الجزء،فکیف إذا شکّ فی حصول الکلّ من جهة الشکّ فی انضمام تمام ما یعتبر،کما فیما نحن فیه؟فإنّ الشکّ فی صحّة الصلاة بعد تحقّق الزیادة المذکورة،من جهة الشکّ فی انضمام تمام ما یعتبر إلی الأجزاء؛لعدم کون عدم الزیادة شرطا،و عدم انضمامه؛ لکون عدم الزیادة أحد الشرائط المعتبرة،و لم یتحقّق،فلا یتحقّق الکلّ.</w:t>
      </w:r>
    </w:p>
    <w:p>
      <w:pPr>
        <w:pStyle w:val="Heading6"/>
      </w:pPr>
      <w:bookmarkStart w:id="1477" w:name="_Toc512"/>
      <w:r>
        <w:t>[عدم الحاجة إلی استصحاب صحّة الأجزاء السابقة]</w:t>
      </w:r>
      <w:bookmarkEnd w:id="1477"/>
    </w:p>
    <w:p>
      <w:pPr>
        <w:pStyle w:val="BookText"/>
      </w:pPr>
      <w:r>
        <w:rPr>
          <w:rFonts w:ascii="IRNazanin" w:hAnsi="IRNazanin" w:eastAsia="IRNazanin" w:cs="IRNazanin"/>
          <w:lang w:bidi="fa-IR"/>
          <w:color w:val="111111"/>
          <w:sz w:val="28"/>
          <w:szCs w:val="28"/>
          <w:rtl/>
        </w:rPr>
        <w:t xml:space="preserve">و من المعلوم:أنّ هذا الشکّ لا ینافی القطع بصحّة الأجزاء السابقة،فاستصحاب صحّة تلک الأجزاء غیر محتاج إلیه؛لأنّا نقطع ببقاء صحّتها،لکنّه لا یجدی فی صحّة الصلاة بمعنی استجماعها لما عداها من الأجزاء و الشرائط الباقیة.</w:t>
      </w:r>
    </w:p>
    <w:p>
      <w:pPr>
        <w:pStyle w:val="BookText"/>
      </w:pPr>
      <w:r>
        <w:rPr>
          <w:rFonts w:ascii="IRNazanin" w:hAnsi="IRNazanin" w:eastAsia="IRNazanin" w:cs="IRNazanin"/>
          <w:lang w:bidi="fa-IR"/>
          <w:color w:val="111111"/>
          <w:sz w:val="28"/>
          <w:szCs w:val="28"/>
          <w:rtl/>
        </w:rPr>
        <w:t xml:space="preserve">فإن قلت:فعلی ما ذکرت فلا یعرض البطلان للأجزاء السابقة أبدا،بل هی باقیة علی الصحّة بالمعنی المذکور إلی أبد الدهر و إن وقع بعدها ما وقع من الموانع،مع أنّ من الشائع فی النصوص </w:t>
      </w:r>
      <w:r>
        <w:rPr>
          <w:rStyle w:val="FootnoteReference"/>
        </w:rPr>
        <w:footnoteReference w:id="1163"/>
      </w:r>
      <w:r>
        <w:rPr>
          <w:rFonts w:ascii="IRNazanin" w:hAnsi="IRNazanin" w:eastAsia="IRNazanin" w:cs="IRNazanin"/>
          <w:lang w:bidi="fa-IR"/>
          <w:color w:val="111111"/>
          <w:sz w:val="28"/>
          <w:szCs w:val="28"/>
          <w:rtl/>
        </w:rPr>
        <w:t xml:space="preserve">و الفتاوی </w:t>
      </w:r>
      <w:r>
        <w:rPr>
          <w:rStyle w:val="FootnoteReference"/>
        </w:rPr>
        <w:footnoteReference w:id="1164"/>
      </w:r>
      <w:r>
        <w:rPr>
          <w:rFonts w:ascii="IRNazanin" w:hAnsi="IRNazanin" w:eastAsia="IRNazanin" w:cs="IRNazanin"/>
          <w:lang w:bidi="fa-IR"/>
          <w:color w:val="111111"/>
          <w:sz w:val="28"/>
          <w:szCs w:val="28"/>
          <w:rtl/>
        </w:rPr>
        <w:t xml:space="preserve">إطلاق المبطل و الناقض علی مثل الحدث و غیره من قواطع الصلاة.</w:t>
      </w:r>
    </w:p>
    <w:p>
      <w:pPr>
        <w:pStyle w:val="BookText"/>
      </w:pPr>
      <w:r>
        <w:rPr>
          <w:rFonts w:ascii="IRNazanin" w:hAnsi="IRNazanin" w:eastAsia="IRNazanin" w:cs="IRNazanin"/>
          <w:lang w:bidi="fa-IR"/>
          <w:color w:val="111111"/>
          <w:sz w:val="28"/>
          <w:szCs w:val="28"/>
          <w:rtl/>
        </w:rPr>
        <w:t xml:space="preserve">[شماره صفحه واقعی : 373]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251" w:name="pg14411_142763"/>
    <w:bookmarkEnd w:id="251"/>
    <w:p>
      <w:pPr>
        <w:pStyle w:val="BookText"/>
      </w:pPr>
      <w:r>
        <w:rPr>
          <w:rFonts w:ascii="IRNazanin" w:hAnsi="IRNazanin" w:eastAsia="IRNazanin" w:cs="IRNazanin"/>
          <w:lang w:bidi="fa-IR"/>
          <w:color w:val="111111"/>
          <w:sz w:val="28"/>
          <w:szCs w:val="28"/>
          <w:rtl/>
        </w:rPr>
        <w:t xml:space="preserve">قلت:نعم،و لا ضیر فی التزام ذلک،و معنی بطلانها عدم الاعتداد بها فی حصول الکلّ؛لعدم التمکّن من ضمّ تمام الباقی إلیها،فیجب استئناف الصلاة؛امتثالا للأمر.</w:t>
      </w:r>
    </w:p>
    <w:p>
      <w:pPr>
        <w:pStyle w:val="BookText"/>
      </w:pPr>
      <w:r>
        <w:rPr>
          <w:rFonts w:ascii="IRNazanin" w:hAnsi="IRNazanin" w:eastAsia="IRNazanin" w:cs="IRNazanin"/>
          <w:lang w:bidi="fa-IR"/>
          <w:color w:val="111111"/>
          <w:sz w:val="28"/>
          <w:szCs w:val="28"/>
          <w:rtl/>
        </w:rPr>
        <w:t xml:space="preserve">نعم،إنّ حکم الشارع علی بعض الأشیاء بکونه قاطعا للصلاة أو ناقضا،یکشف عن أنّ لأجزاء الصلاة فی نظر الشارع هیئة اتّصالیّة ترتفع ببعض الأشیاء دون بعض؛فإنّ الحدث یقطع ذلک الاتّصال و التجشّؤ لا یقطعه،و القطع یوجب الانفصال القائم بالمنفصلین،و هما فی ما نحن فیه الأجزاء السابقة و الأجزاء التی تلحقها بعد تخلّل ذلک القاطع،فکلّ من السابق و اللاحق یسقط عن قابلیّة ضمّه إلی الآخر و ضمّ الآخر إلیه.</w:t>
      </w:r>
    </w:p>
    <w:p>
      <w:pPr>
        <w:pStyle w:val="Heading6"/>
      </w:pPr>
      <w:bookmarkStart w:id="1478" w:name="_Toc513"/>
      <w:r>
        <w:t>[صحّة الاستصحاب إذا شکّ فی القاطعیّة]</w:t>
      </w:r>
      <w:bookmarkEnd w:id="1478"/>
    </w:p>
    <w:p>
      <w:pPr>
        <w:pStyle w:val="BookText"/>
      </w:pPr>
      <w:r>
        <w:rPr>
          <w:rFonts w:ascii="IRNazanin" w:hAnsi="IRNazanin" w:eastAsia="IRNazanin" w:cs="IRNazanin"/>
          <w:lang w:bidi="fa-IR"/>
          <w:color w:val="111111"/>
          <w:sz w:val="28"/>
          <w:szCs w:val="28"/>
          <w:rtl/>
        </w:rPr>
        <w:t xml:space="preserve">و من المعلوم:أنّ الأجزاء السابقة کانت قابلة للضمّ إلیها و صیرورتها أجزاء فعلیّة للمرکّب،و الأصل بقاء تلک القابلیّة و تلک الهیئة الاتّصالیّة بینها و بین ما یلحقها،فیصحّ الاستصحاب فی کلّ ما شکّ فی قاطعیّة الموجود.</w:t>
      </w:r>
    </w:p>
    <w:p>
      <w:pPr>
        <w:pStyle w:val="Heading6"/>
      </w:pPr>
      <w:bookmarkStart w:id="1479" w:name="_Toc514"/>
      <w:r>
        <w:t>[الفرق بین الشکّ فی المانعیّة و القاطعیّة]</w:t>
      </w:r>
      <w:bookmarkEnd w:id="1479"/>
    </w:p>
    <w:p>
      <w:pPr>
        <w:pStyle w:val="BookText"/>
      </w:pPr>
      <w:r>
        <w:rPr>
          <w:rFonts w:ascii="IRNazanin" w:hAnsi="IRNazanin" w:eastAsia="IRNazanin" w:cs="IRNazanin"/>
          <w:lang w:bidi="fa-IR"/>
          <w:color w:val="111111"/>
          <w:sz w:val="28"/>
          <w:szCs w:val="28"/>
          <w:rtl/>
        </w:rPr>
        <w:t xml:space="preserve">و لکن هذا مختصّ بما إذا شکّ فی القاطعیّة،و لیس مطلق الشکّ فی مانعیّة الشیء-کالزیادة فی ما نحن فیه-شکّا فی القاطعیّة.</w:t>
      </w:r>
    </w:p>
    <w:p>
      <w:pPr>
        <w:pStyle w:val="BookText"/>
      </w:pPr>
      <w:r>
        <w:rPr>
          <w:rFonts w:ascii="IRNazanin" w:hAnsi="IRNazanin" w:eastAsia="IRNazanin" w:cs="IRNazanin"/>
          <w:lang w:bidi="fa-IR"/>
          <w:color w:val="111111"/>
          <w:sz w:val="28"/>
          <w:szCs w:val="28"/>
          <w:rtl/>
        </w:rPr>
        <w:t xml:space="preserve">و حاصل الفرق بینهما:أنّ عدم الشیء فی جمیع آنات الصلاة قد یکون بنفسه من جملة الشروط،فإذا وجد آناً ما فقد انتفی الشرط علی وجه لا یمکن تدارکه،فلا یتحقّق المرکّب من هذه الجهة،و هذا لا یجدی فیه القطع بصحّة الأجزاء السابقة،فضلا عن استصحابها.</w:t>
      </w:r>
    </w:p>
    <w:p>
      <w:pPr>
        <w:pStyle w:val="BookText"/>
      </w:pPr>
      <w:r>
        <w:rPr>
          <w:rFonts w:ascii="IRNazanin" w:hAnsi="IRNazanin" w:eastAsia="IRNazanin" w:cs="IRNazanin"/>
          <w:lang w:bidi="fa-IR"/>
          <w:color w:val="111111"/>
          <w:sz w:val="28"/>
          <w:szCs w:val="28"/>
          <w:rtl/>
        </w:rPr>
        <w:t xml:space="preserve">و قد یکون اعتباره من حیث کون وجوده قاطعا و رافعا للهیئة الاتّصالیّة و الارتباطیّة فی نظر الشارع بین الأجزاء،فإذا شکّ فی رافعیّة</w:t>
      </w:r>
    </w:p>
    <w:p>
      <w:pPr>
        <w:pStyle w:val="BookText"/>
      </w:pPr>
      <w:r>
        <w:rPr>
          <w:rFonts w:ascii="IRNazanin" w:hAnsi="IRNazanin" w:eastAsia="IRNazanin" w:cs="IRNazanin"/>
          <w:lang w:bidi="fa-IR"/>
          <w:color w:val="111111"/>
          <w:sz w:val="28"/>
          <w:szCs w:val="28"/>
          <w:rtl/>
        </w:rPr>
        <w:t xml:space="preserve">[شماره صفحه واقعی : 374]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252" w:name="pg14411_142764"/>
    <w:bookmarkEnd w:id="252"/>
    <w:p>
      <w:pPr>
        <w:pStyle w:val="BookText"/>
      </w:pPr>
      <w:r>
        <w:rPr>
          <w:rFonts w:ascii="IRNazanin" w:hAnsi="IRNazanin" w:eastAsia="IRNazanin" w:cs="IRNazanin"/>
          <w:lang w:bidi="fa-IR"/>
          <w:color w:val="111111"/>
          <w:sz w:val="28"/>
          <w:szCs w:val="28"/>
          <w:rtl/>
        </w:rPr>
        <w:t xml:space="preserve">شیء لها حکم ببقاء تلک الهیئة و استمرارها و عدم انفصال الأجزاء السابقة عمّا یلحقها من سائر الأجزاء.</w:t>
      </w:r>
    </w:p>
    <w:p>
      <w:pPr>
        <w:pStyle w:val="BookText"/>
      </w:pPr>
      <w:r>
        <w:rPr>
          <w:rFonts w:ascii="Amiri" w:hAnsi="Amiri" w:eastAsia="Amiri" w:cs="Amiri"/>
          <w:lang w:bidi="ar-SA"/>
          <w:color w:val="111111"/>
          <w:sz w:val="28"/>
          <w:szCs w:val="28"/>
          <w:rtl/>
        </w:rPr>
        <w:t xml:space="preserve">و ربما یردّ </w:t>
      </w:r>
      <w:r>
        <w:rPr>
          <w:rStyle w:val="FootnoteReference"/>
        </w:rPr>
        <w:footnoteReference w:id="1165"/>
      </w:r>
      <w:r>
        <w:rPr>
          <w:rFonts w:ascii="IRNazanin" w:hAnsi="IRNazanin" w:eastAsia="IRNazanin" w:cs="IRNazanin"/>
          <w:lang w:bidi="fa-IR"/>
          <w:color w:val="111111"/>
          <w:sz w:val="28"/>
          <w:szCs w:val="28"/>
          <w:rtl/>
        </w:rPr>
        <w:t xml:space="preserve">استصحاب الصحّة،بأنّه:إن ارید صحّة الأجزاء المأتیّ بها بعد طروّ المانع الاحتمالیّ فغیر مجد؛لأنّ البراءة إنّما تتحقّق بفعل الکلّ دون البعض.و إن ارید إثبات عدم مانعیّة الطارئ أو صحّة بقیّة الأجزاء فساقط؛لعدم التعویل علی الاصول المثبتة </w:t>
      </w:r>
      <w:r>
        <w:rPr>
          <w:rStyle w:val="FootnoteReference"/>
        </w:rPr>
        <w:footnoteReference w:id="1166"/>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فیه نظر یظهر ممّا ذکرنا،و حاصله:</w:t>
      </w:r>
    </w:p>
    <w:p>
      <w:pPr>
        <w:pStyle w:val="BookText"/>
      </w:pPr>
      <w:r>
        <w:rPr>
          <w:rFonts w:ascii="IRNazanin" w:hAnsi="IRNazanin" w:eastAsia="IRNazanin" w:cs="IRNazanin"/>
          <w:lang w:bidi="fa-IR"/>
          <w:color w:val="111111"/>
          <w:sz w:val="28"/>
          <w:szCs w:val="28"/>
          <w:rtl/>
        </w:rPr>
        <w:t xml:space="preserve">أنّ الشکّ إن کان فی مانعیّة شیء و شرطیّة عدمه للصلاة </w:t>
      </w:r>
      <w:r>
        <w:rPr>
          <w:rStyle w:val="FootnoteReference"/>
        </w:rPr>
        <w:footnoteReference w:id="1167"/>
      </w:r>
      <w:r>
        <w:rPr>
          <w:rFonts w:ascii="IRNazanin" w:hAnsi="IRNazanin" w:eastAsia="IRNazanin" w:cs="IRNazanin"/>
          <w:lang w:bidi="fa-IR"/>
          <w:color w:val="111111"/>
          <w:sz w:val="28"/>
          <w:szCs w:val="28"/>
          <w:rtl/>
        </w:rPr>
        <w:t xml:space="preserve">،فصحّة الأجزاء السابقة لا تستلزم عدمها ظاهرا و لا واقعا،حتّی یکون الاستصحاب بالنسبة إلیها من الاصول المثبتة.</w:t>
      </w:r>
    </w:p>
    <w:p>
      <w:pPr>
        <w:pStyle w:val="BookText"/>
      </w:pPr>
      <w:r>
        <w:rPr>
          <w:rFonts w:ascii="IRNazanin" w:hAnsi="IRNazanin" w:eastAsia="IRNazanin" w:cs="IRNazanin"/>
          <w:lang w:bidi="fa-IR"/>
          <w:color w:val="111111"/>
          <w:sz w:val="28"/>
          <w:szCs w:val="28"/>
          <w:rtl/>
        </w:rPr>
        <w:t xml:space="preserve">و إن کان فی قاطعیّة الشیء و رفعه للاتّصال و الاستمرار الموجود للعبادة فی نظر الشارع،فاستصحاب بقاء الاتّصال کاف؛إذ لا یقصد فی المقام سوی بقاء تلک الهیئة الاتّصالیّة،و الشکّ إنّما هو فیه،لا فی ثبوت شرط أو مانع آخر حتّی یقصد بالاستصحاب دفعه،و لا فی صحّة بقیّة الأجزاء من غیر جهة زوال الهیئة الاتّصالیّة بینها و بین الأجزاء السابقة،و المفروض إحراز عدم زوالها بالاستصحاب.</w:t>
      </w:r>
    </w:p>
    <w:p>
      <w:pPr>
        <w:pStyle w:val="Heading6"/>
      </w:pPr>
      <w:bookmarkStart w:id="1480" w:name="_Toc515"/>
      <w:r>
        <w:t>[الإشکال فی الاستصحاب إذا شکّ فی القاطعیّة أیضا]</w:t>
      </w:r>
      <w:bookmarkEnd w:id="1480"/>
    </w:p>
    <w:p>
      <w:pPr>
        <w:pStyle w:val="Heading6"/>
      </w:pPr>
      <w:bookmarkStart w:id="1481" w:name="_Toc516"/>
      <w:r>
        <w:t>اشارة</w:t>
      </w:r>
      <w:bookmarkEnd w:id="1481"/>
    </w:p>
    <w:p>
      <w:pPr>
        <w:pStyle w:val="BookText"/>
      </w:pPr>
      <w:r>
        <w:rPr>
          <w:rFonts w:ascii="IRNazanin" w:hAnsi="IRNazanin" w:eastAsia="IRNazanin" w:cs="IRNazanin"/>
          <w:lang w:bidi="fa-IR"/>
          <w:color w:val="111111"/>
          <w:sz w:val="28"/>
          <w:szCs w:val="28"/>
          <w:rtl/>
        </w:rPr>
        <w:t xml:space="preserve">هذا،و لکن یمکن الخدشة فیما اخترناه من الاستصحاب:بأنّ المراد بالاتّصال و الهیئة الاتصالیّة إن کان ما بین الأجزاء السابقة بعضها مع</w:t>
      </w:r>
    </w:p>
    <w:p>
      <w:pPr>
        <w:pStyle w:val="BookText"/>
      </w:pPr>
      <w:r>
        <w:rPr>
          <w:rFonts w:ascii="IRNazanin" w:hAnsi="IRNazanin" w:eastAsia="IRNazanin" w:cs="IRNazanin"/>
          <w:lang w:bidi="fa-IR"/>
          <w:color w:val="111111"/>
          <w:sz w:val="28"/>
          <w:szCs w:val="28"/>
          <w:rtl/>
        </w:rPr>
        <w:t xml:space="preserve">[شماره صفحه واقعی : 375]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253" w:name="pg14411_142765"/>
    <w:bookmarkEnd w:id="253"/>
    <w:p>
      <w:pPr>
        <w:pStyle w:val="BookText"/>
      </w:pPr>
      <w:r>
        <w:rPr>
          <w:rFonts w:ascii="IRNazanin" w:hAnsi="IRNazanin" w:eastAsia="IRNazanin" w:cs="IRNazanin"/>
          <w:lang w:bidi="fa-IR"/>
          <w:color w:val="111111"/>
          <w:sz w:val="28"/>
          <w:szCs w:val="28"/>
          <w:rtl/>
        </w:rPr>
        <w:t xml:space="preserve">بعض،فهو باق لا ینفع.و إن کان ما بینها و بین ما لحقها من الأجزاء الآتیة،فالشکّ فی وجودها لا بقائها.</w:t>
      </w:r>
    </w:p>
    <w:p>
      <w:pPr>
        <w:pStyle w:val="BookText"/>
      </w:pPr>
      <w:r>
        <w:rPr>
          <w:rFonts w:ascii="IRNazanin" w:hAnsi="IRNazanin" w:eastAsia="IRNazanin" w:cs="IRNazanin"/>
          <w:lang w:bidi="fa-IR"/>
          <w:color w:val="111111"/>
          <w:sz w:val="28"/>
          <w:szCs w:val="28"/>
          <w:rtl/>
        </w:rPr>
        <w:t xml:space="preserve">و أمّا أصالة بقاء الأجزاء السابقة علی قابلیّة إلحاق الباقی بها، فلا یبعد کونها من الاصول المثبتة.</w:t>
      </w:r>
    </w:p>
    <w:p>
      <w:pPr>
        <w:pStyle w:val="Heading6"/>
      </w:pPr>
      <w:bookmarkStart w:id="1482" w:name="_Toc517"/>
      <w:r>
        <w:t>[دفع الإشکال]</w:t>
      </w:r>
      <w:bookmarkEnd w:id="1482"/>
    </w:p>
    <w:p>
      <w:pPr>
        <w:pStyle w:val="BookText"/>
      </w:pPr>
      <w:r>
        <w:rPr>
          <w:rFonts w:ascii="Amiri" w:hAnsi="Amiri" w:eastAsia="Amiri" w:cs="Amiri"/>
          <w:lang w:bidi="ar-SA"/>
          <w:color w:val="111111"/>
          <w:sz w:val="28"/>
          <w:szCs w:val="28"/>
          <w:rtl/>
        </w:rPr>
        <w:t xml:space="preserve">اللهمّ إلاّ أن یقال:إنّ </w:t>
      </w:r>
      <w:r>
        <w:rPr>
          <w:rStyle w:val="FootnoteReference"/>
        </w:rPr>
        <w:footnoteReference w:id="1168"/>
      </w:r>
      <w:r>
        <w:rPr>
          <w:rFonts w:ascii="IRNazanin" w:hAnsi="IRNazanin" w:eastAsia="IRNazanin" w:cs="IRNazanin"/>
          <w:lang w:bidi="fa-IR"/>
          <w:color w:val="111111"/>
          <w:sz w:val="28"/>
          <w:szCs w:val="28"/>
          <w:rtl/>
        </w:rPr>
        <w:t xml:space="preserve">استصحاب الهیئة الاتصالیّة من الاستصحابات العرفیّة الغیر المبنیّة </w:t>
      </w:r>
      <w:r>
        <w:rPr>
          <w:rStyle w:val="FootnoteReference"/>
        </w:rPr>
        <w:footnoteReference w:id="1169"/>
      </w:r>
      <w:r>
        <w:rPr>
          <w:rFonts w:ascii="IRNazanin" w:hAnsi="IRNazanin" w:eastAsia="IRNazanin" w:cs="IRNazanin"/>
          <w:lang w:bidi="fa-IR"/>
          <w:color w:val="111111"/>
          <w:sz w:val="28"/>
          <w:szCs w:val="28"/>
          <w:rtl/>
        </w:rPr>
        <w:t xml:space="preserve">علی التدقیق،نظیر استصحاب الکرّیة فی الماء المسبوق بالکرّیة.و یقال فی بقاء الأجزاء السابقة علی قابلیّة الاتّصال:</w:t>
      </w:r>
    </w:p>
    <w:p>
      <w:pPr>
        <w:pStyle w:val="BookText"/>
      </w:pPr>
      <w:r>
        <w:rPr>
          <w:rFonts w:ascii="IRNazanin" w:hAnsi="IRNazanin" w:eastAsia="IRNazanin" w:cs="IRNazanin"/>
          <w:lang w:bidi="fa-IR"/>
          <w:color w:val="111111"/>
          <w:sz w:val="28"/>
          <w:szCs w:val="28"/>
          <w:rtl/>
        </w:rPr>
        <w:t xml:space="preserve">إنّه لمّا کان المقصود الأصلیّ من القطع و عدمه هو لزوم استئناف الأجزاء السابقة و عدمه،و کان الحکم بقابلیّتها لإلحاق الباقی بها فی قوّة الحکم بعدم وجوب استئنافها،خرج من الاصول المثبتة التی ذکر فی محلّه عدم الاعتداد بها فی الإثبات،فافهم.</w:t>
      </w:r>
    </w:p>
    <w:p>
      <w:pPr>
        <w:pStyle w:val="BookText"/>
      </w:pPr>
      <w:r>
        <w:rPr>
          <w:rFonts w:ascii="IRNazanin" w:hAnsi="IRNazanin" w:eastAsia="IRNazanin" w:cs="IRNazanin"/>
          <w:lang w:bidi="fa-IR"/>
          <w:color w:val="111111"/>
          <w:sz w:val="28"/>
          <w:szCs w:val="28"/>
          <w:rtl/>
        </w:rPr>
        <w:t xml:space="preserve">و بما ذکرنا یظهر سرّ ما أشرنا إلیه فی المسألة السابقة </w:t>
      </w:r>
      <w:r>
        <w:rPr>
          <w:rStyle w:val="FootnoteReference"/>
        </w:rPr>
        <w:footnoteReference w:id="1170"/>
      </w:r>
      <w:r>
        <w:rPr>
          <w:rFonts w:ascii="IRNazanin" w:hAnsi="IRNazanin" w:eastAsia="IRNazanin" w:cs="IRNazanin"/>
          <w:lang w:bidi="fa-IR"/>
          <w:color w:val="111111"/>
          <w:sz w:val="28"/>
          <w:szCs w:val="28"/>
          <w:rtl/>
        </w:rPr>
        <w:t xml:space="preserve">:من عدم الجدوی فی استصحاب الصحّة لإثبات صحّة العبادة المنسیّ فیها بعض الأجزاء عند الشکّ فی جزئیّة المنسی حال النسیان </w:t>
      </w:r>
      <w:r>
        <w:rPr>
          <w:rStyle w:val="FootnoteReference"/>
        </w:rPr>
        <w:footnoteReference w:id="1171"/>
      </w:r>
      <w:r>
        <w:rPr>
          <w:rFonts w:ascii="Times New Roman" w:hAnsi="Times New Roman" w:eastAsia="Times New Roman" w:cs="Times New Roman"/>
          <w:lang w:val="en-US" w:bidi="en-US"/>
          <w:color w:val="111111"/>
          <w:sz w:val="28"/>
          <w:szCs w:val="28"/>
          <w:rtl/>
        </w:rPr>
        <w:t xml:space="preserve">.</w:t>
      </w:r>
    </w:p>
    <w:p>
      <w:pPr>
        <w:pStyle w:val="Heading6"/>
      </w:pPr>
      <w:bookmarkStart w:id="1483" w:name="_Toc518"/>
      <w:r>
        <w:t>[الاستدلال علی الصحّة بقوله تعالی:«لا تبطلوا أعمالکم»]</w:t>
      </w:r>
      <w:bookmarkEnd w:id="1483"/>
    </w:p>
    <w:p>
      <w:pPr>
        <w:pStyle w:val="Heading6"/>
      </w:pPr>
      <w:bookmarkStart w:id="1484" w:name="_Toc519"/>
      <w:r>
        <w:t>اشارة</w:t>
      </w:r>
      <w:bookmarkEnd w:id="1484"/>
    </w:p>
    <w:p>
      <w:pPr>
        <w:pStyle w:val="BookText"/>
      </w:pPr>
      <w:r>
        <w:rPr>
          <w:rFonts w:ascii="Amiri" w:hAnsi="Amiri" w:eastAsia="Amiri" w:cs="Amiri"/>
          <w:lang w:bidi="ar-SA"/>
          <w:color w:val="111111"/>
          <w:sz w:val="28"/>
          <w:szCs w:val="28"/>
          <w:rtl/>
        </w:rPr>
        <w:t xml:space="preserve">و قد یتمسّک لإثبات صحّة العبادة عند الشکّ فی طروّ المانع بقوله تعالی: وَ لاٰ تُبْطِلُوا أَعْمٰالَکُمْ </w:t>
      </w:r>
      <w:r>
        <w:rPr>
          <w:rStyle w:val="FootnoteReference"/>
        </w:rPr>
        <w:footnoteReference w:id="1172"/>
      </w:r>
      <w:r>
        <w:rPr>
          <w:rFonts w:ascii="IRNazanin" w:hAnsi="IRNazanin" w:eastAsia="IRNazanin" w:cs="IRNazanin"/>
          <w:lang w:bidi="fa-IR"/>
          <w:color w:val="111111"/>
          <w:sz w:val="28"/>
          <w:szCs w:val="28"/>
          <w:rtl/>
        </w:rPr>
        <w:t xml:space="preserve">فإنّ حرمة الإبطال إیجاب للمضیّ</w:t>
      </w:r>
    </w:p>
    <w:p>
      <w:pPr>
        <w:pStyle w:val="BookText"/>
      </w:pPr>
      <w:r>
        <w:rPr>
          <w:rFonts w:ascii="IRNazanin" w:hAnsi="IRNazanin" w:eastAsia="IRNazanin" w:cs="IRNazanin"/>
          <w:lang w:bidi="fa-IR"/>
          <w:color w:val="111111"/>
          <w:sz w:val="28"/>
          <w:szCs w:val="28"/>
          <w:rtl/>
        </w:rPr>
        <w:t xml:space="preserve">[شماره صفحه واقعی : 376]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254" w:name="pg14411_142766"/>
    <w:bookmarkEnd w:id="254"/>
    <w:p>
      <w:pPr>
        <w:pStyle w:val="BookText"/>
      </w:pPr>
      <w:r>
        <w:rPr>
          <w:rFonts w:ascii="IRNazanin" w:hAnsi="IRNazanin" w:eastAsia="IRNazanin" w:cs="IRNazanin"/>
          <w:lang w:bidi="fa-IR"/>
          <w:color w:val="111111"/>
          <w:sz w:val="28"/>
          <w:szCs w:val="28"/>
          <w:rtl/>
        </w:rPr>
        <w:t xml:space="preserve">فیها،و هو مستلزم لصحّتها و لو بالإجماع المرکّب،أو عدم القول بالتفکیک بینهما فی غیر الصوم و الحجّ.</w:t>
      </w:r>
    </w:p>
    <w:p>
      <w:pPr>
        <w:pStyle w:val="Heading6"/>
      </w:pPr>
      <w:bookmarkStart w:id="1485" w:name="_Toc520"/>
      <w:r>
        <w:t>[المناقشة فی الاستدلال]</w:t>
      </w:r>
      <w:bookmarkEnd w:id="1485"/>
    </w:p>
    <w:p>
      <w:pPr>
        <w:pStyle w:val="BookText"/>
      </w:pPr>
      <w:r>
        <w:rPr>
          <w:rFonts w:ascii="IRNazanin" w:hAnsi="IRNazanin" w:eastAsia="IRNazanin" w:cs="IRNazanin"/>
          <w:lang w:bidi="fa-IR"/>
          <w:color w:val="111111"/>
          <w:sz w:val="28"/>
          <w:szCs w:val="28"/>
          <w:rtl/>
        </w:rPr>
        <w:t xml:space="preserve">و قد استدلّ بهذه الآیة غیر واحد تبعا للشیخ قدّس سرّه </w:t>
      </w:r>
      <w:r>
        <w:rPr>
          <w:rStyle w:val="FootnoteReference"/>
        </w:rPr>
        <w:footnoteReference w:id="11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هو لا یخلو عن نظر یتوقّف علی بیان ما یحتمله الآیة الشریفة من المعانی،فنقول:</w:t>
      </w:r>
    </w:p>
    <w:p>
      <w:pPr>
        <w:pStyle w:val="Heading6"/>
      </w:pPr>
      <w:bookmarkStart w:id="1486" w:name="_Toc521"/>
      <w:r>
        <w:t>[معانی حرمة إبطال العمل]</w:t>
      </w:r>
      <w:bookmarkEnd w:id="1486"/>
    </w:p>
    <w:p>
      <w:pPr>
        <w:pStyle w:val="BookText"/>
      </w:pPr>
      <w:r>
        <w:rPr>
          <w:rFonts w:ascii="IRNazanin" w:hAnsi="IRNazanin" w:eastAsia="IRNazanin" w:cs="IRNazanin"/>
          <w:lang w:bidi="fa-IR"/>
          <w:color w:val="111111"/>
          <w:sz w:val="28"/>
          <w:szCs w:val="28"/>
          <w:rtl/>
        </w:rPr>
        <w:t xml:space="preserve">إنّ حقیقة الإبطال-بمقتضی وضع باب الإفعال-إحداث البطلان فی العمل الصحیح و جعله باطلا،نظیر قولک:أقمت زیدا أو أجلسته أو أغنیته.</w:t>
      </w:r>
    </w:p>
    <w:p>
      <w:pPr>
        <w:pStyle w:val="BookText"/>
      </w:pPr>
      <w:r>
        <w:rPr>
          <w:rFonts w:ascii="Amiri" w:hAnsi="Amiri" w:eastAsia="Amiri" w:cs="Amiri"/>
          <w:lang w:bidi="ar-SA"/>
          <w:color w:val="111111"/>
          <w:sz w:val="28"/>
          <w:szCs w:val="28"/>
          <w:rtl/>
        </w:rPr>
        <w:t xml:space="preserve">و الآیة بهذا المعنی راجعة إلی النهی عن جعل العمل لغوا لا یترتّب علیه أثر کالمعدوم بعد أن لم یکن کذلک،فالإبطال هنا نظیر الإبطال فی قوله تعالی: لاٰ تُبْطِلُوا صَدَقٰاتِکُمْ بِالْمَنِّ وَ الْأَذیٰ </w:t>
      </w:r>
      <w:r>
        <w:rPr>
          <w:rStyle w:val="FootnoteReference"/>
        </w:rPr>
        <w:footnoteReference w:id="1174"/>
      </w:r>
      <w:r>
        <w:rPr>
          <w:rFonts w:ascii="Amiri" w:hAnsi="Amiri" w:eastAsia="Amiri" w:cs="Amiri"/>
          <w:lang w:bidi="ar-SA"/>
          <w:color w:val="111111"/>
          <w:sz w:val="28"/>
          <w:szCs w:val="28"/>
          <w:rtl/>
        </w:rPr>
        <w:t xml:space="preserve">،بناء علی أنّ النهی عن تعقیبها بهما؛بشهادة قوله تعالی: ثُمَّ لاٰ یُتْبِعُونَ مٰا أَنْفَقُوا مَنًّا وَ لاٰ أَذیً... الآیة </w:t>
      </w:r>
      <w:r>
        <w:rPr>
          <w:rStyle w:val="FootnoteReference"/>
        </w:rPr>
        <w:footnoteReference w:id="11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الثانی:أن یراد به إیجاد العمل علی وجه باطل،من قبیل قوله:</w:t>
      </w:r>
    </w:p>
    <w:p>
      <w:pPr>
        <w:pStyle w:val="BookText"/>
      </w:pPr>
      <w:r>
        <w:rPr>
          <w:rFonts w:ascii="IRNazanin" w:hAnsi="IRNazanin" w:eastAsia="IRNazanin" w:cs="IRNazanin"/>
          <w:lang w:bidi="fa-IR"/>
          <w:color w:val="111111"/>
          <w:sz w:val="28"/>
          <w:szCs w:val="28"/>
          <w:rtl/>
        </w:rPr>
        <w:t xml:space="preserve">[شماره صفحه واقعی : 377]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«ضیّق فم الرکیّة»،یعنی أحدثه ضیّقا،لا أحدث فیه الضیق بعد السعة.</w:t>
      </w:r>
    </w:p>
    <w:p>
      <w:pPr>
        <w:pStyle w:val="BookText"/>
      </w:pPr>
      <w:r>
        <w:rPr>
          <w:rFonts w:ascii="IRNazanin" w:hAnsi="IRNazanin" w:eastAsia="IRNazanin" w:cs="IRNazanin"/>
          <w:lang w:bidi="fa-IR"/>
          <w:color w:val="111111"/>
          <w:sz w:val="28"/>
          <w:szCs w:val="28"/>
          <w:rtl/>
        </w:rPr>
        <w:t xml:space="preserve">و الآیة بهذا المعنی نهی عن إتیان الأعمال مقارنة للوجوه المانعة عن صحّتها،أو فاقدة للامور المقتضیة للصحّة.</w:t>
      </w:r>
    </w:p>
    <w:p>
      <w:pPr>
        <w:pStyle w:val="BookText"/>
      </w:pPr>
      <w:r>
        <w:rPr>
          <w:rFonts w:ascii="IRNazanin" w:hAnsi="IRNazanin" w:eastAsia="IRNazanin" w:cs="IRNazanin"/>
          <w:lang w:bidi="fa-IR"/>
          <w:color w:val="111111"/>
          <w:sz w:val="28"/>
          <w:szCs w:val="28"/>
          <w:rtl/>
        </w:rPr>
        <w:t xml:space="preserve">و النهی علی هذین الوجهین ظاهره الإرشاد؛إذ لا یترتّب علی إحداث البطلان فی العمل أو إیجاده باطلا عدا فوت مصلحة العمل الصحیح.</w:t>
      </w:r>
    </w:p>
    <w:p>
      <w:pPr>
        <w:pStyle w:val="BookText"/>
      </w:pPr>
      <w:r>
        <w:rPr>
          <w:rFonts w:ascii="IRNazanin" w:hAnsi="IRNazanin" w:eastAsia="IRNazanin" w:cs="IRNazanin"/>
          <w:lang w:bidi="fa-IR"/>
          <w:color w:val="111111"/>
          <w:sz w:val="28"/>
          <w:szCs w:val="28"/>
          <w:rtl/>
        </w:rPr>
        <w:t xml:space="preserve">الثالث:أن یراد من إبطال العمل قطعه و رفع الید عنه، کقطع الصلاة و الصوم و الحجّ.و قد اشتهر التمسّک لحرمة قطع العمل بها.</w:t>
      </w:r>
    </w:p>
    <w:p>
      <w:pPr>
        <w:pStyle w:val="BookText"/>
      </w:pPr>
      <w:r>
        <w:rPr>
          <w:rFonts w:ascii="IRNazanin" w:hAnsi="IRNazanin" w:eastAsia="IRNazanin" w:cs="IRNazanin"/>
          <w:lang w:bidi="fa-IR"/>
          <w:color w:val="111111"/>
          <w:sz w:val="28"/>
          <w:szCs w:val="28"/>
          <w:rtl/>
        </w:rPr>
        <w:t xml:space="preserve">و یمکن إرجاع هذا إلی المعنی الأوّل،بأن یراد من الأعمال ما یعمّ الجزء المتقدّم من العمل؛لأنّه أیضا عمل لغة،و قد وجد علی وجه قابل لترتّب الأثر </w:t>
      </w:r>
      <w:r>
        <w:rPr>
          <w:rStyle w:val="FootnoteReference"/>
        </w:rPr>
        <w:footnoteReference w:id="1176"/>
      </w:r>
      <w:r>
        <w:rPr>
          <w:rFonts w:ascii="IRNazanin" w:hAnsi="IRNazanin" w:eastAsia="IRNazanin" w:cs="IRNazanin"/>
          <w:lang w:bidi="fa-IR"/>
          <w:color w:val="111111"/>
          <w:sz w:val="28"/>
          <w:szCs w:val="28"/>
          <w:rtl/>
        </w:rPr>
        <w:t xml:space="preserve">و صیرورته جزءا فعلیّا للمرکّب،فلا یجوز جعله باطلا ساقطا عن قابلیّة کونه جزءا فعلیّا.</w:t>
      </w:r>
    </w:p>
    <w:p>
      <w:pPr>
        <w:pStyle w:val="BookText"/>
      </w:pPr>
      <w:r>
        <w:rPr>
          <w:rFonts w:ascii="IRNazanin" w:hAnsi="IRNazanin" w:eastAsia="IRNazanin" w:cs="IRNazanin"/>
          <w:lang w:bidi="fa-IR"/>
          <w:color w:val="111111"/>
          <w:sz w:val="28"/>
          <w:szCs w:val="28"/>
          <w:rtl/>
        </w:rPr>
        <w:t xml:space="preserve">فجعل هذا المعنی مغایرا للأوّل مبنیّ علی کون المراد من العمل مجموع المرکّب الذی وقع الإبطال فی أثنائه.</w:t>
      </w:r>
    </w:p>
    <w:p>
      <w:pPr>
        <w:pStyle w:val="BookText"/>
      </w:pPr>
      <w:r>
        <w:rPr>
          <w:rFonts w:ascii="IRNazanin" w:hAnsi="IRNazanin" w:eastAsia="IRNazanin" w:cs="IRNazanin"/>
          <w:lang w:bidi="fa-IR"/>
          <w:color w:val="111111"/>
          <w:sz w:val="28"/>
          <w:szCs w:val="28"/>
          <w:rtl/>
        </w:rPr>
        <w:t xml:space="preserve">و کیف کان:فالمعنی الأوّل أظهر؛لکونه المعنی الحقیقیّ،و لموافقته لمعنی الإبطال فی الآیة الاخری المتقدّمة </w:t>
      </w:r>
      <w:r>
        <w:rPr>
          <w:rStyle w:val="FootnoteReference"/>
        </w:rPr>
        <w:footnoteReference w:id="1177"/>
      </w:r>
      <w:r>
        <w:rPr>
          <w:rFonts w:ascii="Amiri" w:hAnsi="Amiri" w:eastAsia="Amiri" w:cs="Amiri"/>
          <w:lang w:bidi="ar-SA"/>
          <w:color w:val="111111"/>
          <w:sz w:val="28"/>
          <w:szCs w:val="28"/>
          <w:rtl/>
        </w:rPr>
        <w:t xml:space="preserve">،و مناسبته لما قبله من قوله تعالی: یٰا أَیُّهَا الَّذِینَ آمَنُوا أَطِیعُوا اللّٰهَ وَ أَطِیعُوا الرَّسُولَ وَ لاٰ تُبْطِلُوا</w:t>
      </w:r>
    </w:p>
    <w:p>
      <w:pPr>
        <w:pStyle w:val="BookText"/>
      </w:pPr>
      <w:r>
        <w:rPr>
          <w:rFonts w:ascii="IRNazanin" w:hAnsi="IRNazanin" w:eastAsia="IRNazanin" w:cs="IRNazanin"/>
          <w:lang w:bidi="fa-IR"/>
          <w:color w:val="111111"/>
          <w:sz w:val="28"/>
          <w:szCs w:val="28"/>
          <w:rtl/>
        </w:rPr>
        <w:t xml:space="preserve">[شماره صفحه واقعی : 378]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أَعْمٰالَکُمْ</w:t>
      </w:r>
    </w:p>
    <w:p>
      <w:pPr>
        <w:pStyle w:val="BookText"/>
      </w:pPr>
      <w:r>
        <w:rPr>
          <w:rStyle w:val="FootnoteReference"/>
        </w:rPr>
        <w:footnoteReference w:id="1178"/>
      </w:r>
      <w:r>
        <w:rPr>
          <w:rFonts w:ascii="IRNazanin" w:hAnsi="IRNazanin" w:eastAsia="IRNazanin" w:cs="IRNazanin"/>
          <w:lang w:bidi="fa-IR"/>
          <w:color w:val="111111"/>
          <w:sz w:val="28"/>
          <w:szCs w:val="28"/>
          <w:rtl/>
        </w:rPr>
        <w:t xml:space="preserve">
؛فإنّ تعقیب إطاعة اللّه و إطاعة الرسول بالنهی عن الإبطال یناسب الإحباط،لا إتیان العمل علی الوجه الباطل؛لأنّها مخالفة للّه و للرسول.</w:t>
      </w:r>
    </w:p>
    <w:p>
      <w:pPr>
        <w:pStyle w:val="BookText"/>
      </w:pPr>
      <w:r>
        <w:rPr>
          <w:rFonts w:ascii="IRNazanin" w:hAnsi="IRNazanin" w:eastAsia="IRNazanin" w:cs="IRNazanin"/>
          <w:lang w:bidi="fa-IR"/>
          <w:color w:val="111111"/>
          <w:sz w:val="28"/>
          <w:szCs w:val="28"/>
          <w:rtl/>
        </w:rPr>
        <w:t xml:space="preserve">هذا کلّه،مع ظهور الآیة فی حرمة إبطال الجمیع،فیناسب الإحباط بمثل الکفر،لا إبطال شیء من الأعمال الذی هو المطلوب.</w:t>
      </w:r>
    </w:p>
    <w:p>
      <w:pPr>
        <w:pStyle w:val="BookText"/>
      </w:pPr>
      <w:r>
        <w:rPr>
          <w:rFonts w:ascii="IRNazanin" w:hAnsi="IRNazanin" w:eastAsia="IRNazanin" w:cs="IRNazanin"/>
          <w:lang w:bidi="fa-IR"/>
          <w:color w:val="111111"/>
          <w:sz w:val="28"/>
          <w:szCs w:val="28"/>
          <w:rtl/>
        </w:rPr>
        <w:t xml:space="preserve">و یشهد لما ذکرنا-مضافا إلی ما ذکرنا-:ما ورد من تفسیر الآیة بالمعنی الأوّل،فعن الأمالی و ثواب الأعمال،عن الباقر علیه السّلام، قال:«قال رسول اللّه صلّی اللّه علیه و آله:من قال:سبحان اللّه،غرس اللّه له بها شجرة فی الجنّة،و من قال:الحمد للّه،غرس اللّه له بها شجرة فی الجنّة،و من قال:لا إله إلاّ اللّه،غرس اللّه له بها شجرة فی الجنّة.</w:t>
      </w:r>
    </w:p>
    <w:p>
      <w:pPr>
        <w:pStyle w:val="BookText"/>
      </w:pPr>
      <w:r>
        <w:rPr>
          <w:rFonts w:ascii="IRNazanin" w:hAnsi="IRNazanin" w:eastAsia="IRNazanin" w:cs="IRNazanin"/>
          <w:lang w:bidi="fa-IR"/>
          <w:color w:val="111111"/>
          <w:sz w:val="28"/>
          <w:szCs w:val="28"/>
          <w:rtl/>
        </w:rPr>
        <w:t xml:space="preserve">فقال له رجل من قریش:إنّ شجرتنا فی الجنّة لکثیر،قال صلّی اللّه علیه و آله:</w:t>
      </w:r>
    </w:p>
    <w:p>
      <w:pPr>
        <w:pStyle w:val="BookText"/>
      </w:pPr>
      <w:r>
        <w:rPr>
          <w:rFonts w:ascii="Amiri" w:hAnsi="Amiri" w:eastAsia="Amiri" w:cs="Amiri"/>
          <w:lang w:bidi="ar-SA"/>
          <w:color w:val="111111"/>
          <w:sz w:val="28"/>
          <w:szCs w:val="28"/>
          <w:rtl/>
        </w:rPr>
        <w:t xml:space="preserve">نعم،و لکن إیّاکم أن ترسلوا إلیها نارا فتحرقوها؛إنّ اللّه عزّ و جلّ یقول: یٰا أَیُّهَا الَّذِینَ آمَنُوا أَطِیعُوا اللّٰهَ وَ أَطِیعُوا الرَّسُولَ وَ لاٰ تُبْطِلُوا أَعْمٰالَکُمْ </w:t>
      </w:r>
      <w:r>
        <w:rPr>
          <w:rStyle w:val="FootnoteReference"/>
        </w:rPr>
        <w:footnoteReference w:id="11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إن قلنا بالإحباط مطلقا أو بالنسبة إلی بعض المعاصی.و إن لم نقل به و طرحنا الخبر-لعدم اعتبار مثله فی مثل المسألة-کان المراد فی الآیة الإبطال بالکفر؛لأنّ الإحباط به اتّفاقیّ.و ببالی أنّی وجدت أو</w:t>
      </w:r>
    </w:p>
    <w:p>
      <w:pPr>
        <w:pStyle w:val="BookText"/>
      </w:pPr>
      <w:r>
        <w:rPr>
          <w:rFonts w:ascii="IRNazanin" w:hAnsi="IRNazanin" w:eastAsia="IRNazanin" w:cs="IRNazanin"/>
          <w:lang w:bidi="fa-IR"/>
          <w:color w:val="111111"/>
          <w:sz w:val="28"/>
          <w:szCs w:val="28"/>
          <w:rtl/>
        </w:rPr>
        <w:t xml:space="preserve">[شماره صفحه واقعی : 379]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255" w:name="pg14411_142769"/>
    <w:bookmarkEnd w:id="255"/>
    <w:p>
      <w:pPr>
        <w:pStyle w:val="BookText"/>
      </w:pPr>
      <w:r>
        <w:rPr>
          <w:rFonts w:ascii="IRNazanin" w:hAnsi="IRNazanin" w:eastAsia="IRNazanin" w:cs="IRNazanin"/>
          <w:lang w:bidi="fa-IR"/>
          <w:color w:val="111111"/>
          <w:sz w:val="28"/>
          <w:szCs w:val="28"/>
          <w:rtl/>
        </w:rPr>
        <w:t xml:space="preserve">سمعت ورود الروایة </w:t>
      </w:r>
      <w:r>
        <w:rPr>
          <w:rStyle w:val="FootnoteReference"/>
        </w:rPr>
        <w:footnoteReference w:id="1180"/>
      </w:r>
      <w:r>
        <w:rPr>
          <w:rFonts w:ascii="Amiri" w:hAnsi="Amiri" w:eastAsia="Amiri" w:cs="Amiri"/>
          <w:lang w:bidi="ar-SA"/>
          <w:color w:val="111111"/>
          <w:sz w:val="28"/>
          <w:szCs w:val="28"/>
          <w:rtl/>
        </w:rPr>
        <w:t xml:space="preserve">فی تفسیر الآیة: وَ لاٰ تُبْطِلُوا أَعْمٰالَکُمْ بالشرک.</w:t>
      </w:r>
    </w:p>
    <w:p>
      <w:pPr>
        <w:pStyle w:val="BookText"/>
      </w:pPr>
      <w:r>
        <w:rPr>
          <w:rFonts w:ascii="IRNazanin" w:hAnsi="IRNazanin" w:eastAsia="IRNazanin" w:cs="IRNazanin"/>
          <w:lang w:bidi="fa-IR"/>
          <w:color w:val="111111"/>
          <w:sz w:val="28"/>
          <w:szCs w:val="28"/>
          <w:rtl/>
        </w:rPr>
        <w:t xml:space="preserve">هذا کلّه،مع أنّ إرادة المعنی الثالث الذی یمکن الاستدلال به موجب لتخصیص الأکثر؛فإنّ ما یحرم قطعه من الأعمال بالنسبة إلی ما لا یحرم فی غایة القلّة.</w:t>
      </w:r>
    </w:p>
    <w:p>
      <w:pPr>
        <w:pStyle w:val="BookText"/>
      </w:pPr>
      <w:r>
        <w:rPr>
          <w:rFonts w:ascii="IRNazanin" w:hAnsi="IRNazanin" w:eastAsia="IRNazanin" w:cs="IRNazanin"/>
          <w:lang w:bidi="fa-IR"/>
          <w:color w:val="111111"/>
          <w:sz w:val="28"/>
          <w:szCs w:val="28"/>
          <w:rtl/>
        </w:rPr>
        <w:t xml:space="preserve">فإذا ثبت ترجیح المعنی الأوّل،فإن کان المراد بالأعمال ما یعمّ بعض العمل المتقدّم،کان دلیلا-أیضا-علی حرمة القطع فی الأثناء،إلاّ أنّه لا ینفع فیما نحن فیه؛لأنّ المدّعی فیما نحن فیه هو انقطاع العمل بسبب الزیادة الواقعة فیه،کانقطاعه بالحدث الواقع فیه لا عن اختیار، فرفع الید عنه بعد ذلک لا یعلم کونه قطعا له و إبطالا،و لا معنی لقطع المنقطع و إبطال الباطل.</w:t>
      </w:r>
    </w:p>
    <w:p>
      <w:pPr>
        <w:pStyle w:val="Heading6"/>
      </w:pPr>
      <w:bookmarkStart w:id="1487" w:name="_Toc522"/>
      <w:r>
        <w:t>[الاستدلال علی الصحّة باستصحاب حرمة القطع و المناقشة فیه]</w:t>
      </w:r>
      <w:bookmarkEnd w:id="1487"/>
    </w:p>
    <w:p>
      <w:pPr>
        <w:pStyle w:val="BookText"/>
      </w:pPr>
      <w:r>
        <w:rPr>
          <w:rFonts w:ascii="IRNazanin" w:hAnsi="IRNazanin" w:eastAsia="IRNazanin" w:cs="IRNazanin"/>
          <w:lang w:bidi="fa-IR"/>
          <w:color w:val="111111"/>
          <w:sz w:val="28"/>
          <w:szCs w:val="28"/>
          <w:rtl/>
        </w:rPr>
        <w:t xml:space="preserve">و ممّا ذکرنا یظهر:ضعف الاستدلال علی الصحّة فیما نحن فیه باستصحاب حرمة القطع؛لمنع کون رفع الید بعد وقوع الزیادة قطعا؛ لاحتمال حصول الانقطاع،فلم یثبت فی الآن اللاحق موضوع القطع، حتّی یحکم علیه بالحرمة.</w:t>
      </w:r>
    </w:p>
    <w:p>
      <w:pPr>
        <w:pStyle w:val="Heading6"/>
      </w:pPr>
      <w:bookmarkStart w:id="1488" w:name="_Toc523"/>
      <w:r>
        <w:t>[الاستدلال علی الصحّة باستصحاب وجوب الإتمام و المناقشة فیه]</w:t>
      </w:r>
      <w:bookmarkEnd w:id="1488"/>
    </w:p>
    <w:p>
      <w:pPr>
        <w:pStyle w:val="Heading6"/>
      </w:pPr>
      <w:bookmarkStart w:id="1489" w:name="_Toc524"/>
      <w:r>
        <w:t>اشارة</w:t>
      </w:r>
      <w:bookmarkEnd w:id="1489"/>
    </w:p>
    <w:p>
      <w:pPr>
        <w:pStyle w:val="BookText"/>
      </w:pPr>
      <w:r>
        <w:rPr>
          <w:rFonts w:ascii="IRNazanin" w:hAnsi="IRNazanin" w:eastAsia="IRNazanin" w:cs="IRNazanin"/>
          <w:lang w:bidi="fa-IR"/>
          <w:color w:val="111111"/>
          <w:sz w:val="28"/>
          <w:szCs w:val="28"/>
          <w:rtl/>
        </w:rPr>
        <w:t xml:space="preserve">و أضعف منه:استصحاب وجوب إتمام العمل.</w:t>
      </w:r>
    </w:p>
    <w:p>
      <w:pPr>
        <w:pStyle w:val="BookText"/>
      </w:pPr>
      <w:r>
        <w:rPr>
          <w:rFonts w:ascii="IRNazanin" w:hAnsi="IRNazanin" w:eastAsia="IRNazanin" w:cs="IRNazanin"/>
          <w:lang w:bidi="fa-IR"/>
          <w:color w:val="111111"/>
          <w:sz w:val="28"/>
          <w:szCs w:val="28"/>
          <w:rtl/>
        </w:rPr>
        <w:t xml:space="preserve">للشکّ فی الزمان اللاحق فی القدرة علی إتمامه،و فی أنّ مجرّد إلحاق باقی الأجزاء إتمام له،فلعلّ عدم الزیادة من الشروط،و الإتیان بما عداه من الأجزاء و الشرائط تحصیل لبعض الباقی،لا لتمامه </w:t>
      </w:r>
      <w:r>
        <w:rPr>
          <w:rStyle w:val="FootnoteReference"/>
        </w:rPr>
        <w:footnoteReference w:id="1181"/>
      </w:r>
      <w:r>
        <w:rPr>
          <w:rFonts w:ascii="Amiri" w:hAnsi="Amiri" w:eastAsia="Amiri" w:cs="Amiri"/>
          <w:lang w:bidi="ar-SA"/>
          <w:color w:val="111111"/>
          <w:sz w:val="28"/>
          <w:szCs w:val="28"/>
          <w:rtl/>
        </w:rPr>
        <w:t xml:space="preserve">حتّی</w:t>
      </w:r>
    </w:p>
    <w:p>
      <w:pPr>
        <w:pStyle w:val="BookText"/>
      </w:pPr>
      <w:r>
        <w:rPr>
          <w:rFonts w:ascii="IRNazanin" w:hAnsi="IRNazanin" w:eastAsia="IRNazanin" w:cs="IRNazanin"/>
          <w:lang w:bidi="fa-IR"/>
          <w:color w:val="111111"/>
          <w:sz w:val="28"/>
          <w:szCs w:val="28"/>
          <w:rtl/>
        </w:rPr>
        <w:t xml:space="preserve">[شماره صفحه واقعی : 380]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256" w:name="pg14411_142770"/>
    <w:bookmarkEnd w:id="256"/>
    <w:p>
      <w:pPr>
        <w:pStyle w:val="BookText"/>
      </w:pPr>
      <w:r>
        <w:rPr>
          <w:rFonts w:ascii="IRNazanin" w:hAnsi="IRNazanin" w:eastAsia="IRNazanin" w:cs="IRNazanin"/>
          <w:lang w:bidi="fa-IR"/>
          <w:color w:val="111111"/>
          <w:sz w:val="28"/>
          <w:szCs w:val="28"/>
          <w:rtl/>
        </w:rPr>
        <w:t xml:space="preserve">یصدق إتمام العمل.</w:t>
      </w:r>
    </w:p>
    <w:p>
      <w:pPr>
        <w:pStyle w:val="BookText"/>
      </w:pPr>
      <w:r>
        <w:rPr>
          <w:rFonts w:ascii="IRNazanin" w:hAnsi="IRNazanin" w:eastAsia="IRNazanin" w:cs="IRNazanin"/>
          <w:lang w:bidi="fa-IR"/>
          <w:color w:val="111111"/>
          <w:sz w:val="28"/>
          <w:szCs w:val="28"/>
          <w:rtl/>
        </w:rPr>
        <w:t xml:space="preserve">أ لا تری:أنّه إذا شکّ بعد الفراغ عن الحمد فی وجوب السورة و عدمه،لم یحکم علی إلحاق ما عداها إلی الأجزاء السابقة،أنّه إتمام للعمل؟</w:t>
      </w:r>
    </w:p>
    <w:p>
      <w:pPr>
        <w:pStyle w:val="Heading6"/>
      </w:pPr>
      <w:bookmarkStart w:id="1490" w:name="_Toc525"/>
      <w:r>
        <w:t>[الجواب عن الاستصحابین بوجه آخر،و المناقشة فی هذا الجواب]</w:t>
      </w:r>
      <w:bookmarkEnd w:id="1490"/>
    </w:p>
    <w:p>
      <w:pPr>
        <w:pStyle w:val="BookText"/>
      </w:pPr>
      <w:r>
        <w:rPr>
          <w:rFonts w:ascii="IRNazanin" w:hAnsi="IRNazanin" w:eastAsia="IRNazanin" w:cs="IRNazanin"/>
          <w:lang w:bidi="fa-IR"/>
          <w:color w:val="111111"/>
          <w:sz w:val="28"/>
          <w:szCs w:val="28"/>
          <w:rtl/>
        </w:rPr>
        <w:t xml:space="preserve">و ربما یجاب عن حرمة الإبطال و وجوب الإتمام الثابتین بالأصل:</w:t>
      </w:r>
    </w:p>
    <w:p>
      <w:pPr>
        <w:pStyle w:val="BookText"/>
      </w:pPr>
      <w:r>
        <w:rPr>
          <w:rFonts w:ascii="IRNazanin" w:hAnsi="IRNazanin" w:eastAsia="IRNazanin" w:cs="IRNazanin"/>
          <w:lang w:bidi="fa-IR"/>
          <w:color w:val="111111"/>
          <w:sz w:val="28"/>
          <w:szCs w:val="28"/>
          <w:rtl/>
        </w:rPr>
        <w:t xml:space="preserve">بأنّهما لا یدلاّن علی صحّة العمل،فیجمع بینهما و بین أصالة الاشتغال بوجوب إتمام العمل ثمّ إعادته؛للشکّ فی أنّ التکلیف هو إتمام هذا العمل أو عمل آخر مستأنف؟</w:t>
      </w:r>
    </w:p>
    <w:p>
      <w:pPr>
        <w:pStyle w:val="BookText"/>
      </w:pPr>
      <w:r>
        <w:rPr>
          <w:rFonts w:ascii="IRNazanin" w:hAnsi="IRNazanin" w:eastAsia="IRNazanin" w:cs="IRNazanin"/>
          <w:lang w:bidi="fa-IR"/>
          <w:color w:val="111111"/>
          <w:sz w:val="28"/>
          <w:szCs w:val="28"/>
          <w:rtl/>
        </w:rPr>
        <w:t xml:space="preserve">و فیه نظر؛فإنّ البراءة الیقینیّة-علی تقدیر العمل </w:t>
      </w:r>
      <w:r>
        <w:rPr>
          <w:rStyle w:val="FootnoteReference"/>
        </w:rPr>
        <w:footnoteReference w:id="1182"/>
      </w:r>
      <w:r>
        <w:rPr>
          <w:rFonts w:ascii="IRNazanin" w:hAnsi="IRNazanin" w:eastAsia="IRNazanin" w:cs="IRNazanin"/>
          <w:lang w:bidi="fa-IR"/>
          <w:color w:val="111111"/>
          <w:sz w:val="28"/>
          <w:szCs w:val="28"/>
          <w:rtl/>
        </w:rPr>
        <w:t xml:space="preserve">باستصحاب وجوب التمام-یحصل بالتمام؛لأنّ </w:t>
      </w:r>
      <w:r>
        <w:rPr>
          <w:rStyle w:val="FootnoteReference"/>
        </w:rPr>
        <w:footnoteReference w:id="1183"/>
      </w:r>
      <w:r>
        <w:rPr>
          <w:rFonts w:ascii="IRNazanin" w:hAnsi="IRNazanin" w:eastAsia="IRNazanin" w:cs="IRNazanin"/>
          <w:lang w:bidi="fa-IR"/>
          <w:color w:val="111111"/>
          <w:sz w:val="28"/>
          <w:szCs w:val="28"/>
          <w:rtl/>
        </w:rPr>
        <w:t xml:space="preserve">هذا الوجوب یرجع إلی إیجاب امتثال الأمر بکلّی الصلاة فی ضمن هذا الفرد.و علی تقدیر عدم العمل به تحصل بالإعادة من دون الإتمام.</w:t>
      </w:r>
    </w:p>
    <w:p>
      <w:pPr>
        <w:pStyle w:val="BookText"/>
      </w:pPr>
      <w:r>
        <w:rPr>
          <w:rFonts w:ascii="IRNazanin" w:hAnsi="IRNazanin" w:eastAsia="IRNazanin" w:cs="IRNazanin"/>
          <w:lang w:bidi="fa-IR"/>
          <w:color w:val="111111"/>
          <w:sz w:val="28"/>
          <w:szCs w:val="28"/>
          <w:rtl/>
        </w:rPr>
        <w:t xml:space="preserve">و احتمال وجوبه و حرمة القطع مدفوع بالأصل؛لأنّ الشبهة فی أصل التکلیف الوجوبیّ أو التحریمیّ.</w:t>
      </w:r>
    </w:p>
    <w:p>
      <w:pPr>
        <w:pStyle w:val="BookText"/>
      </w:pPr>
      <w:r>
        <w:rPr>
          <w:rFonts w:ascii="IRNazanin" w:hAnsi="IRNazanin" w:eastAsia="IRNazanin" w:cs="IRNazanin"/>
          <w:lang w:bidi="fa-IR"/>
          <w:color w:val="111111"/>
          <w:sz w:val="28"/>
          <w:szCs w:val="28"/>
          <w:rtl/>
        </w:rPr>
        <w:t xml:space="preserve">بل لا احتیاط فی الإتمام مراعاة لاحتمال وجوبه و حرمة القطع؛ لأنّه موجب لإلغاء الاحتیاط من جهة اخری،و هی مراعاة نیّة الوجه التفصیلیّ فی العبادة؛فإنّه لو قطع العمل المشکوک فیه و استأنفه نوی الوجوب علی وجه الجزم،و إن أتمّه ثمّ أعاد فاتت منه نیّة الوجوب فیما هو الواجب علیه،و لا شکّ أنّ هذا الاحتیاط علی تقدیر عدم وجوبه</w:t>
      </w:r>
    </w:p>
    <w:p>
      <w:pPr>
        <w:pStyle w:val="BookText"/>
      </w:pPr>
      <w:r>
        <w:rPr>
          <w:rFonts w:ascii="IRNazanin" w:hAnsi="IRNazanin" w:eastAsia="IRNazanin" w:cs="IRNazanin"/>
          <w:lang w:bidi="fa-IR"/>
          <w:color w:val="111111"/>
          <w:sz w:val="28"/>
          <w:szCs w:val="28"/>
          <w:rtl/>
        </w:rPr>
        <w:t xml:space="preserve">[شماره صفحه واقعی : 381]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257" w:name="pg14411_142771"/>
    <w:bookmarkEnd w:id="257"/>
    <w:p>
      <w:pPr>
        <w:pStyle w:val="BookText"/>
      </w:pPr>
      <w:r>
        <w:rPr>
          <w:rFonts w:ascii="IRNazanin" w:hAnsi="IRNazanin" w:eastAsia="IRNazanin" w:cs="IRNazanin"/>
          <w:lang w:bidi="fa-IR"/>
          <w:color w:val="111111"/>
          <w:sz w:val="28"/>
          <w:szCs w:val="28"/>
          <w:rtl/>
        </w:rPr>
        <w:t xml:space="preserve">أولی من الاحتیاط المتقدّم؛لأنّه کان الشکّ فیه فی أصل التکلیف، و هذا شکّ فی المکلّف به.</w:t>
      </w:r>
    </w:p>
    <w:p>
      <w:pPr>
        <w:pStyle w:val="BookText"/>
      </w:pPr>
      <w:r>
        <w:rPr>
          <w:rFonts w:ascii="IRNazanin" w:hAnsi="IRNazanin" w:eastAsia="IRNazanin" w:cs="IRNazanin"/>
          <w:lang w:bidi="fa-IR"/>
          <w:color w:val="111111"/>
          <w:sz w:val="28"/>
          <w:szCs w:val="28"/>
          <w:rtl/>
        </w:rPr>
        <w:t xml:space="preserve">و الحاصل:أنّ الفقیه إذا کان متردّدا بین الإتمام و الاستئناف، فالأولی له:الحکم بالقطع،ثمّ الأمر بالإعادة بنیّة الوجوب.</w:t>
      </w:r>
    </w:p>
    <w:p>
      <w:pPr>
        <w:pStyle w:val="Heading6"/>
      </w:pPr>
      <w:bookmarkStart w:id="1491" w:name="_Toc526"/>
      <w:r>
        <w:t>[الدلیل الخاصّ علی مبطلیّة الزیادة فی بعض العبادات]</w:t>
      </w:r>
      <w:bookmarkEnd w:id="1491"/>
    </w:p>
    <w:p>
      <w:pPr>
        <w:pStyle w:val="Heading6"/>
      </w:pPr>
      <w:bookmarkStart w:id="1492" w:name="_Toc527"/>
      <w:r>
        <w:t>اشارة</w:t>
      </w:r>
      <w:bookmarkEnd w:id="1492"/>
    </w:p>
    <w:p>
      <w:pPr>
        <w:pStyle w:val="BookText"/>
      </w:pPr>
      <w:r>
        <w:rPr>
          <w:rFonts w:ascii="IRNazanin" w:hAnsi="IRNazanin" w:eastAsia="IRNazanin" w:cs="IRNazanin"/>
          <w:lang w:bidi="fa-IR"/>
          <w:color w:val="111111"/>
          <w:sz w:val="28"/>
          <w:szCs w:val="28"/>
          <w:rtl/>
        </w:rPr>
        <w:t xml:space="preserve">ثمّ إنّ ما ذکرناه:من حکم الزیادة و أنّ مقتضی أصل البراءة عدم مانعیّتها،إنّما هو بالنظر إلی الأصل الأوّلی،و إلاّ فقد یقتضی الدلیل فی خصوص بعض المرکّبات البطلان کما فی الصلاة؛حیث دلّت الأخبار المستفیضة علی بطلان الفریضة بالزیادة فیها.</w:t>
      </w:r>
    </w:p>
    <w:p>
      <w:pPr>
        <w:pStyle w:val="Heading6"/>
      </w:pPr>
      <w:bookmarkStart w:id="1493" w:name="_Toc528"/>
      <w:r>
        <w:t>[ما ورد فی الصلاة]</w:t>
      </w:r>
      <w:bookmarkEnd w:id="1493"/>
    </w:p>
    <w:p>
      <w:pPr>
        <w:pStyle w:val="BookText"/>
      </w:pPr>
      <w:r>
        <w:rPr>
          <w:rFonts w:ascii="IRNazanin" w:hAnsi="IRNazanin" w:eastAsia="IRNazanin" w:cs="IRNazanin"/>
          <w:lang w:bidi="fa-IR"/>
          <w:color w:val="111111"/>
          <w:sz w:val="28"/>
          <w:szCs w:val="28"/>
          <w:rtl/>
        </w:rPr>
        <w:t xml:space="preserve">مثل قوله علیه السّلام:«من زاد فی صلاته فعلیه الإعادة» </w:t>
      </w:r>
      <w:r>
        <w:rPr>
          <w:rStyle w:val="FootnoteReference"/>
        </w:rPr>
        <w:footnoteReference w:id="11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قوله علیه السّلام:«إذا استیقن أنّه زاد فی المکتوبة فلیستقبل صلاته» </w:t>
      </w:r>
      <w:r>
        <w:rPr>
          <w:rStyle w:val="FootnoteReference"/>
        </w:rPr>
        <w:footnoteReference w:id="11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قوله علیه السّلام فیما حکی عن تفسیر العیاشی فی من أتمّ فی السفر:</w:t>
      </w:r>
    </w:p>
    <w:p>
      <w:pPr>
        <w:pStyle w:val="BookText"/>
      </w:pPr>
      <w:r>
        <w:rPr>
          <w:rFonts w:ascii="Amiri" w:hAnsi="Amiri" w:eastAsia="Amiri" w:cs="Amiri"/>
          <w:lang w:bidi="ar-SA"/>
          <w:color w:val="111111"/>
          <w:sz w:val="28"/>
          <w:szCs w:val="28"/>
          <w:rtl/>
        </w:rPr>
        <w:t xml:space="preserve">«إنّه یعیده»؛قال:«لأنّه زاد فی فرض اللّه عزّ و جلّ» </w:t>
      </w:r>
      <w:r>
        <w:rPr>
          <w:rStyle w:val="FootnoteReference"/>
        </w:rPr>
        <w:footnoteReference w:id="1186"/>
      </w:r>
      <w:r>
        <w:rPr>
          <w:rFonts w:ascii="IRNazanin" w:hAnsi="IRNazanin" w:eastAsia="IRNazanin" w:cs="IRNazanin"/>
          <w:lang w:bidi="fa-IR"/>
          <w:color w:val="111111"/>
          <w:sz w:val="28"/>
          <w:szCs w:val="28"/>
          <w:rtl/>
        </w:rPr>
        <w:t xml:space="preserve">،دلّ-بعموم التعلیل-علی وجوب الإعادة لکلّ زیادة فی فرض اللّه عزّ و جلّ.</w:t>
      </w:r>
    </w:p>
    <w:p>
      <w:pPr>
        <w:pStyle w:val="BookText"/>
      </w:pPr>
      <w:r>
        <w:rPr>
          <w:rFonts w:ascii="IRNazanin" w:hAnsi="IRNazanin" w:eastAsia="IRNazanin" w:cs="IRNazanin"/>
          <w:lang w:bidi="fa-IR"/>
          <w:color w:val="111111"/>
          <w:sz w:val="28"/>
          <w:szCs w:val="28"/>
          <w:rtl/>
        </w:rPr>
        <w:t xml:space="preserve">و ما ورد فی النهی عن قراءة العزیمة فی الصلاة:من التعلیل بقوله علیه السّلام:«لأنّ السجود زیادة فی المکتوبة» </w:t>
      </w:r>
      <w:r>
        <w:rPr>
          <w:rStyle w:val="FootnoteReference"/>
        </w:rPr>
        <w:footnoteReference w:id="11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382]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258" w:name="pg14411_142772"/>
    <w:bookmarkEnd w:id="258"/>
    <w:p>
      <w:pPr>
        <w:pStyle w:val="Heading6"/>
      </w:pPr>
      <w:bookmarkStart w:id="1494" w:name="_Toc529"/>
      <w:r>
        <w:t>[ما ورد فی الطواف]</w:t>
      </w:r>
      <w:bookmarkEnd w:id="1494"/>
    </w:p>
    <w:p>
      <w:pPr>
        <w:pStyle w:val="BookText"/>
      </w:pPr>
      <w:r>
        <w:rPr>
          <w:rFonts w:ascii="IRNazanin" w:hAnsi="IRNazanin" w:eastAsia="IRNazanin" w:cs="IRNazanin"/>
          <w:lang w:bidi="fa-IR"/>
          <w:color w:val="111111"/>
          <w:sz w:val="28"/>
          <w:szCs w:val="28"/>
          <w:rtl/>
        </w:rPr>
        <w:t xml:space="preserve">و ما ورد فی الطواف من:«أنّه مثل الصلاة المفروضة فی أنّ الزیادة فیه مبطلة له» </w:t>
      </w:r>
      <w:r>
        <w:rPr>
          <w:rStyle w:val="FootnoteReference"/>
        </w:rPr>
        <w:footnoteReference w:id="11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لبیان معنی الزیادة و أنّ سجود العزیمة کیف یکون زیادة فی المکتوبة،مقام آخر.و إن کان ذکره هنا لا یخلو عن مناسبة،إلاّ أنّ الاشتغال بالواجب ذکره بمقتضی وضع الرسالة أهمّ من ذکر ما یناسب </w:t>
      </w:r>
      <w:r>
        <w:rPr>
          <w:rStyle w:val="FootnoteReference"/>
        </w:rPr>
        <w:footnoteReference w:id="11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383]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259" w:name="pg14411_142773"/>
    <w:bookmarkEnd w:id="259"/>
    <w:p>
      <w:pPr>
        <w:pStyle w:val="Heading6"/>
      </w:pPr>
      <w:bookmarkStart w:id="1495" w:name="_Toc530"/>
      <w:r>
        <w:t>المسألة الثالثة فی ذکر الزیادة سهوا [هل تبطل العبادة بزیادة الجزء سهوا؟]</w:t>
      </w:r>
      <w:bookmarkEnd w:id="1495"/>
    </w:p>
    <w:p>
      <w:pPr>
        <w:pStyle w:val="Heading6"/>
      </w:pPr>
      <w:bookmarkStart w:id="1496" w:name="_Toc531"/>
      <w:r>
        <w:t>اشارة</w:t>
      </w:r>
      <w:bookmarkEnd w:id="1496"/>
    </w:p>
    <w:p>
      <w:pPr>
        <w:pStyle w:val="BookText"/>
      </w:pPr>
      <w:r>
        <w:rPr>
          <w:rFonts w:ascii="IRNazanin" w:hAnsi="IRNazanin" w:eastAsia="IRNazanin" w:cs="IRNazanin"/>
          <w:lang w:bidi="fa-IR"/>
          <w:color w:val="111111"/>
          <w:sz w:val="28"/>
          <w:szCs w:val="28"/>
          <w:rtl/>
        </w:rPr>
        <w:t xml:space="preserve">التی تقدح عمدا،و إلاّ فما لا یقدح عمدا فسهوها أولی بعدم القدح.</w:t>
      </w:r>
    </w:p>
    <w:p>
      <w:pPr>
        <w:pStyle w:val="BookText"/>
      </w:pPr>
      <w:r>
        <w:rPr>
          <w:rFonts w:ascii="IRNazanin" w:hAnsi="IRNazanin" w:eastAsia="IRNazanin" w:cs="IRNazanin"/>
          <w:lang w:bidi="fa-IR"/>
          <w:color w:val="111111"/>
          <w:sz w:val="28"/>
          <w:szCs w:val="28"/>
          <w:rtl/>
        </w:rPr>
        <w:t xml:space="preserve">و الکلام هنا کما فی النقص نسیانا؛لأنّ مرجعه إلی الإخلال </w:t>
      </w:r>
      <w:r>
        <w:rPr>
          <w:rStyle w:val="FootnoteReference"/>
        </w:rPr>
        <w:footnoteReference w:id="1190"/>
      </w:r>
      <w:r>
        <w:rPr>
          <w:rFonts w:ascii="IRNazanin" w:hAnsi="IRNazanin" w:eastAsia="IRNazanin" w:cs="IRNazanin"/>
          <w:lang w:bidi="fa-IR"/>
          <w:color w:val="111111"/>
          <w:sz w:val="28"/>
          <w:szCs w:val="28"/>
          <w:rtl/>
        </w:rPr>
        <w:t xml:space="preserve">بالشرط نسیانا،و قد عرفت:أنّ حکمه البطلان و وجوب الإعادة </w:t>
      </w:r>
      <w:r>
        <w:rPr>
          <w:rStyle w:val="FootnoteReference"/>
        </w:rPr>
        <w:footnoteReference w:id="1191"/>
      </w:r>
      <w:r>
        <w:rPr>
          <w:rFonts w:ascii="Times New Roman" w:hAnsi="Times New Roman" w:eastAsia="Times New Roman" w:cs="Times New Roman"/>
          <w:lang w:val="en-US" w:bidi="en-US"/>
          <w:color w:val="111111"/>
          <w:sz w:val="28"/>
          <w:szCs w:val="28"/>
          <w:rtl/>
        </w:rPr>
        <w:t xml:space="preserve">.</w:t>
      </w:r>
    </w:p>
    <w:p>
      <w:pPr>
        <w:pStyle w:val="Heading6"/>
      </w:pPr>
      <w:bookmarkStart w:id="1497" w:name="_Toc532"/>
      <w:r>
        <w:t>[الأقوی البطلان]</w:t>
      </w:r>
      <w:bookmarkEnd w:id="1497"/>
    </w:p>
    <w:p>
      <w:pPr>
        <w:pStyle w:val="BookText"/>
      </w:pPr>
      <w:r>
        <w:rPr>
          <w:rFonts w:ascii="IRNazanin" w:hAnsi="IRNazanin" w:eastAsia="IRNazanin" w:cs="IRNazanin"/>
          <w:lang w:bidi="fa-IR"/>
          <w:color w:val="111111"/>
          <w:sz w:val="28"/>
          <w:szCs w:val="28"/>
          <w:rtl/>
        </w:rPr>
        <w:t xml:space="preserve">فثبت من جمیع المسائل الثلاث:أنّ الأصل فی الجزء أن یکون نقصه مخلا و مفسدا دون زیادته.</w:t>
      </w:r>
    </w:p>
    <w:p>
      <w:pPr>
        <w:pStyle w:val="BookText"/>
      </w:pPr>
      <w:r>
        <w:rPr>
          <w:rFonts w:ascii="IRNazanin" w:hAnsi="IRNazanin" w:eastAsia="IRNazanin" w:cs="IRNazanin"/>
          <w:lang w:bidi="fa-IR"/>
          <w:color w:val="111111"/>
          <w:sz w:val="28"/>
          <w:szCs w:val="28"/>
          <w:rtl/>
        </w:rPr>
        <w:t xml:space="preserve">نعم،لو دلّ دلیل علی قدح زیادته عمدا کان مقتضی القاعدة البطلان بها سهوا،إلاّ أن یدلّ دلیل علی خلافه.</w:t>
      </w:r>
    </w:p>
    <w:p>
      <w:pPr>
        <w:pStyle w:val="BookText"/>
      </w:pPr>
      <w:r>
        <w:rPr>
          <w:rFonts w:ascii="IRNazanin" w:hAnsi="IRNazanin" w:eastAsia="IRNazanin" w:cs="IRNazanin"/>
          <w:lang w:bidi="fa-IR"/>
          <w:color w:val="111111"/>
          <w:sz w:val="28"/>
          <w:szCs w:val="28"/>
          <w:rtl/>
        </w:rPr>
        <w:t xml:space="preserve">مثل قوله علیه السّلام:«لا تعاد الصلاة إلاّ من خمسة» </w:t>
      </w:r>
      <w:r>
        <w:rPr>
          <w:rStyle w:val="FootnoteReference"/>
        </w:rPr>
        <w:footnoteReference w:id="1192"/>
      </w:r>
      <w:r>
        <w:rPr>
          <w:rFonts w:ascii="IRNazanin" w:hAnsi="IRNazanin" w:eastAsia="IRNazanin" w:cs="IRNazanin"/>
          <w:lang w:bidi="fa-IR"/>
          <w:color w:val="111111"/>
          <w:sz w:val="28"/>
          <w:szCs w:val="28"/>
          <w:rtl/>
        </w:rPr>
        <w:t xml:space="preserve">بناء علی شموله لمطلق الإخلال </w:t>
      </w:r>
      <w:r>
        <w:rPr>
          <w:rStyle w:val="FootnoteReference"/>
        </w:rPr>
        <w:footnoteReference w:id="1193"/>
      </w:r>
      <w:r>
        <w:rPr>
          <w:rFonts w:ascii="IRNazanin" w:hAnsi="IRNazanin" w:eastAsia="IRNazanin" w:cs="IRNazanin"/>
          <w:lang w:bidi="fa-IR"/>
          <w:color w:val="111111"/>
          <w:sz w:val="28"/>
          <w:szCs w:val="28"/>
          <w:rtl/>
        </w:rPr>
        <w:t xml:space="preserve">الشامل للزیادة.</w:t>
      </w:r>
    </w:p>
    <w:p>
      <w:pPr>
        <w:pStyle w:val="BookText"/>
      </w:pPr>
      <w:r>
        <w:rPr>
          <w:rFonts w:ascii="IRNazanin" w:hAnsi="IRNazanin" w:eastAsia="IRNazanin" w:cs="IRNazanin"/>
          <w:lang w:bidi="fa-IR"/>
          <w:color w:val="111111"/>
          <w:sz w:val="28"/>
          <w:szCs w:val="28"/>
          <w:rtl/>
        </w:rPr>
        <w:t xml:space="preserve">و قوله علیه السّلام فی المرسلة:«تسجد سجدتی السهو لکلّ زیادة و نقیصة تدخل علیک» </w:t>
      </w:r>
      <w:r>
        <w:rPr>
          <w:rStyle w:val="FootnoteReference"/>
        </w:rPr>
        <w:footnoteReference w:id="11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فتلخّص من جمیع ما ذکرنا:أنّ الأصل الأوّلی فیما ثبت جزئیّته:</w:t>
      </w:r>
    </w:p>
    <w:p>
      <w:pPr>
        <w:pStyle w:val="BookText"/>
      </w:pPr>
      <w:r>
        <w:rPr>
          <w:rFonts w:ascii="IRNazanin" w:hAnsi="IRNazanin" w:eastAsia="IRNazanin" w:cs="IRNazanin"/>
          <w:lang w:bidi="fa-IR"/>
          <w:color w:val="111111"/>
          <w:sz w:val="28"/>
          <w:szCs w:val="28"/>
          <w:rtl/>
        </w:rPr>
        <w:t xml:space="preserve">الرکنیّة إن فسّر الرکن بما یبطل الصلاة بنقصه.و إن عطف علی النقص</w:t>
      </w:r>
    </w:p>
    <w:p>
      <w:pPr>
        <w:pStyle w:val="BookText"/>
      </w:pPr>
      <w:r>
        <w:rPr>
          <w:rFonts w:ascii="IRNazanin" w:hAnsi="IRNazanin" w:eastAsia="IRNazanin" w:cs="IRNazanin"/>
          <w:lang w:bidi="fa-IR"/>
          <w:color w:val="111111"/>
          <w:sz w:val="28"/>
          <w:szCs w:val="28"/>
          <w:rtl/>
        </w:rPr>
        <w:t xml:space="preserve">[شماره صفحه واقعی : 384]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260" w:name="pg14411_142774"/>
    <w:bookmarkEnd w:id="260"/>
    <w:p>
      <w:pPr>
        <w:pStyle w:val="BookText"/>
      </w:pPr>
      <w:r>
        <w:rPr>
          <w:rFonts w:ascii="IRNazanin" w:hAnsi="IRNazanin" w:eastAsia="IRNazanin" w:cs="IRNazanin"/>
          <w:lang w:bidi="fa-IR"/>
          <w:color w:val="111111"/>
          <w:sz w:val="28"/>
          <w:szCs w:val="28"/>
          <w:rtl/>
        </w:rPr>
        <w:t xml:space="preserve">الزیادة عمدا و سهوا،</w:t>
      </w:r>
    </w:p>
    <w:p>
      <w:pPr>
        <w:pStyle w:val="Heading6"/>
      </w:pPr>
      <w:bookmarkStart w:id="1498" w:name="_Toc533"/>
      <w:r>
        <w:t>[مقتضی الاصول]</w:t>
      </w:r>
      <w:bookmarkEnd w:id="1498"/>
    </w:p>
    <w:p>
      <w:pPr>
        <w:pStyle w:val="BookText"/>
      </w:pPr>
      <w:r>
        <w:rPr>
          <w:rFonts w:ascii="IRNazanin" w:hAnsi="IRNazanin" w:eastAsia="IRNazanin" w:cs="IRNazanin"/>
          <w:lang w:bidi="fa-IR"/>
          <w:color w:val="111111"/>
          <w:sz w:val="28"/>
          <w:szCs w:val="28"/>
          <w:rtl/>
        </w:rPr>
        <w:t xml:space="preserve">فالأصل یقتضی التفصیل بین النقص و الزیادة عمدا </w:t>
      </w:r>
      <w:r>
        <w:rPr>
          <w:rStyle w:val="FootnoteReference"/>
        </w:rPr>
        <w:footnoteReference w:id="1195"/>
      </w:r>
      <w:r>
        <w:rPr>
          <w:rFonts w:ascii="IRNazanin" w:hAnsi="IRNazanin" w:eastAsia="IRNazanin" w:cs="IRNazanin"/>
          <w:lang w:bidi="fa-IR"/>
          <w:color w:val="111111"/>
          <w:sz w:val="28"/>
          <w:szCs w:val="28"/>
          <w:rtl/>
        </w:rPr>
        <w:t xml:space="preserve">و سهوا.</w:t>
      </w:r>
    </w:p>
    <w:p>
      <w:pPr>
        <w:pStyle w:val="BookText"/>
      </w:pPr>
      <w:r>
        <w:rPr>
          <w:rFonts w:ascii="IRNazanin" w:hAnsi="IRNazanin" w:eastAsia="IRNazanin" w:cs="IRNazanin"/>
          <w:lang w:bidi="fa-IR"/>
          <w:color w:val="111111"/>
          <w:sz w:val="28"/>
          <w:szCs w:val="28"/>
          <w:rtl/>
        </w:rPr>
        <w:t xml:space="preserve">لکنّ التفصیل بینهما غیر موجود فی الصلاة؛إذ کلّ ما یبطل الصلاة بالإخلال به سهوا یبطل بزیادته عمدا و سهوا،فأصالة البراءة الحاکمة بعدم البأس بالزیادة،معارضة-بضمیمة عدم القول بالفصل- بأصالة الاشتغال الحاکمة ببطلان العبادة بالنقص سهوا.فإن جوّزنا الفصل فی الحکم الظاهریّ الذی یقتضیه الاصول العملیّة فیما لا فصل فیه من حیث الحکم الواقعیّ،فیعمل بکلّ واحد من الأصلین،و إلاّ فاللازم ترجیح قاعدة الاشتغال علی البراءة،کما لا یخفی.</w:t>
      </w:r>
    </w:p>
    <w:p>
      <w:pPr>
        <w:pStyle w:val="Heading6"/>
      </w:pPr>
      <w:bookmarkStart w:id="1499" w:name="_Toc534"/>
      <w:r>
        <w:t>[مقتضی القواعد الحاکمة علی الاصول]</w:t>
      </w:r>
      <w:bookmarkEnd w:id="1499"/>
    </w:p>
    <w:p>
      <w:pPr>
        <w:pStyle w:val="BookText"/>
      </w:pPr>
      <w:r>
        <w:rPr>
          <w:rFonts w:ascii="IRNazanin" w:hAnsi="IRNazanin" w:eastAsia="IRNazanin" w:cs="IRNazanin"/>
          <w:lang w:bidi="fa-IR"/>
          <w:color w:val="111111"/>
          <w:sz w:val="28"/>
          <w:szCs w:val="28"/>
          <w:rtl/>
        </w:rPr>
        <w:t xml:space="preserve">هذا کلّه مع قطع النظر عن القواعد الحاکمة علی الاصول،و أمّا بملاحظتها:</w:t>
      </w:r>
    </w:p>
    <w:p>
      <w:pPr>
        <w:pStyle w:val="BookText"/>
      </w:pPr>
      <w:r>
        <w:rPr>
          <w:rFonts w:ascii="IRNazanin" w:hAnsi="IRNazanin" w:eastAsia="IRNazanin" w:cs="IRNazanin"/>
          <w:lang w:bidi="fa-IR"/>
          <w:color w:val="111111"/>
          <w:sz w:val="28"/>
          <w:szCs w:val="28"/>
          <w:rtl/>
        </w:rPr>
        <w:t xml:space="preserve">فمقتضی«لا تعاد الصلاة إلاّ من خمسة»و المرسلة المذکورة:عدم قدح النقص سهوا و الزیادة سهوا،و مقتضی عموم أخبار الزیادة المتقدّمة </w:t>
      </w:r>
      <w:r>
        <w:rPr>
          <w:rStyle w:val="FootnoteReference"/>
        </w:rPr>
        <w:footnoteReference w:id="1196"/>
      </w:r>
      <w:r>
        <w:rPr>
          <w:rFonts w:ascii="IRNazanin" w:hAnsi="IRNazanin" w:eastAsia="IRNazanin" w:cs="IRNazanin"/>
          <w:lang w:bidi="fa-IR"/>
          <w:color w:val="111111"/>
          <w:sz w:val="28"/>
          <w:szCs w:val="28"/>
          <w:rtl/>
        </w:rPr>
        <w:t xml:space="preserve">:قدح الزیادة عمدا و سهوا،و بینهما تعارض العموم من وجه فی الزیادة السهویّة بناء علی اختصاص«لا تعاد»بالسهو.</w:t>
      </w:r>
    </w:p>
    <w:p>
      <w:pPr>
        <w:pStyle w:val="BookText"/>
      </w:pPr>
      <w:r>
        <w:rPr>
          <w:rFonts w:ascii="IRNazanin" w:hAnsi="IRNazanin" w:eastAsia="IRNazanin" w:cs="IRNazanin"/>
          <w:lang w:bidi="fa-IR"/>
          <w:color w:val="111111"/>
          <w:sz w:val="28"/>
          <w:szCs w:val="28"/>
          <w:rtl/>
        </w:rPr>
        <w:t xml:space="preserve">و الظاهر حکومة قوله:«لا تعاد»علی أخبار الزیادة؛لأنّها کأدلّة سائر ما یخلّ فعله أو ترکه بالصلاة،کالحدث و التکلّم و ترک الفاتحة، و قوله:«لا تعاد»یفید أنّ الإخلال بما دلّ الدلیل علی عدم جواز الإخلال به إذا وقع سهوا،لا یوجب الإعادة و إن کان من حقّه أن یوجبها.</w:t>
      </w:r>
    </w:p>
    <w:p>
      <w:pPr>
        <w:pStyle w:val="BookText"/>
      </w:pPr>
      <w:r>
        <w:rPr>
          <w:rFonts w:ascii="IRNazanin" w:hAnsi="IRNazanin" w:eastAsia="IRNazanin" w:cs="IRNazanin"/>
          <w:lang w:bidi="fa-IR"/>
          <w:color w:val="111111"/>
          <w:sz w:val="28"/>
          <w:szCs w:val="28"/>
          <w:rtl/>
        </w:rPr>
        <w:t xml:space="preserve">[شماره صفحه واقعی : 385]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الحاصل:أنّ هذه الصحیحة مسوقة لبیان عدم قدح الإخلال سهوا بما ثبت قدح الإخلال به فی الجملة.</w:t>
      </w:r>
    </w:p>
    <w:p>
      <w:pPr>
        <w:pStyle w:val="BookText"/>
      </w:pPr>
      <w:r>
        <w:rPr>
          <w:rFonts w:ascii="IRNazanin" w:hAnsi="IRNazanin" w:eastAsia="IRNazanin" w:cs="IRNazanin"/>
          <w:lang w:bidi="fa-IR"/>
          <w:color w:val="111111"/>
          <w:sz w:val="28"/>
          <w:szCs w:val="28"/>
          <w:rtl/>
        </w:rPr>
        <w:t xml:space="preserve">ثمّ لو دلّ دلیل علی قدح الإخلال بشیء سهوا،کان أخصّ من الصحیحة إن اختصّت بالنسیان و عمّمت بالزیادة و النقصان.و الظاهر أنّ بعض أدلّة الزیادة مختصّة بالسهو،مثل قوله:«إذا استیقن أنّه زاد فی المکتوبة استقبل الصلاة» </w:t>
      </w:r>
      <w:r>
        <w:rPr>
          <w:rStyle w:val="FootnoteReference"/>
        </w:rPr>
        <w:footnoteReference w:id="11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386]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261" w:name="pg14411_142776"/>
    <w:bookmarkEnd w:id="261"/>
    <w:p>
      <w:pPr>
        <w:pStyle w:val="Heading6"/>
      </w:pPr>
      <w:bookmarkStart w:id="1500" w:name="_Toc535"/>
      <w:r>
        <w:t>الأمر الثانی [:هل یسقط التکلیف بالکلّ أو المشروط إذا تعذّر الجزء أو الشرط،أم لا؟]</w:t>
      </w:r>
      <w:bookmarkEnd w:id="1500"/>
    </w:p>
    <w:p>
      <w:pPr>
        <w:pStyle w:val="Heading6"/>
      </w:pPr>
      <w:bookmarkStart w:id="1501" w:name="_Toc536"/>
      <w:r>
        <w:t>اشارة</w:t>
      </w:r>
      <w:bookmarkEnd w:id="1501"/>
    </w:p>
    <w:p>
      <w:pPr>
        <w:pStyle w:val="BookText"/>
      </w:pPr>
      <w:r>
        <w:rPr>
          <w:rFonts w:ascii="IRNazanin" w:hAnsi="IRNazanin" w:eastAsia="IRNazanin" w:cs="IRNazanin"/>
          <w:lang w:bidi="fa-IR"/>
          <w:color w:val="111111"/>
          <w:sz w:val="28"/>
          <w:szCs w:val="28"/>
          <w:rtl/>
        </w:rPr>
        <w:t xml:space="preserve">إذا ثبت جزئیّة شیء أو شرطیّته فی الجملة،فهل یقتضی الأصل جزئیّته و شرطیّته المطلقتین حتّی إذا تعذّرا </w:t>
      </w:r>
      <w:r>
        <w:rPr>
          <w:rStyle w:val="FootnoteReference"/>
        </w:rPr>
        <w:footnoteReference w:id="1198"/>
      </w:r>
      <w:r>
        <w:rPr>
          <w:rFonts w:ascii="IRNazanin" w:hAnsi="IRNazanin" w:eastAsia="IRNazanin" w:cs="IRNazanin"/>
          <w:lang w:bidi="fa-IR"/>
          <w:color w:val="111111"/>
          <w:sz w:val="28"/>
          <w:szCs w:val="28"/>
          <w:rtl/>
        </w:rPr>
        <w:t xml:space="preserve">سقط التکلیف بالکلّ أو المشروط،أو اختصاص اعتبارهما بحال التمکّن،فلو تعذّرا </w:t>
      </w:r>
      <w:r>
        <w:rPr>
          <w:rStyle w:val="FootnoteReference"/>
        </w:rPr>
        <w:footnoteReference w:id="1199"/>
      </w:r>
      <w:r>
        <w:rPr>
          <w:rFonts w:ascii="IRNazanin" w:hAnsi="IRNazanin" w:eastAsia="IRNazanin" w:cs="IRNazanin"/>
          <w:lang w:bidi="fa-IR"/>
          <w:color w:val="111111"/>
          <w:sz w:val="28"/>
          <w:szCs w:val="28"/>
          <w:rtl/>
        </w:rPr>
        <w:t xml:space="preserve">لم یسقط التکلیف؟ وجهان،بل قولان.</w:t>
      </w:r>
    </w:p>
    <w:p>
      <w:pPr>
        <w:pStyle w:val="Heading6"/>
      </w:pPr>
      <w:bookmarkStart w:id="1502" w:name="_Toc537"/>
      <w:r>
        <w:t>[القول بالسقوط و دلیله]</w:t>
      </w:r>
      <w:bookmarkEnd w:id="1502"/>
    </w:p>
    <w:p>
      <w:pPr>
        <w:pStyle w:val="BookText"/>
      </w:pPr>
      <w:r>
        <w:rPr>
          <w:rFonts w:ascii="IRNazanin" w:hAnsi="IRNazanin" w:eastAsia="IRNazanin" w:cs="IRNazanin"/>
          <w:lang w:bidi="fa-IR"/>
          <w:color w:val="111111"/>
          <w:sz w:val="28"/>
          <w:szCs w:val="28"/>
          <w:rtl/>
        </w:rPr>
        <w:t xml:space="preserve">للأوّل:أصالة البراءة من الفاقد و عدم ما یصلح لإثبات التکلیف به،کما سنبیّن.</w:t>
      </w:r>
    </w:p>
    <w:p>
      <w:pPr>
        <w:pStyle w:val="BookText"/>
      </w:pPr>
      <w:r>
        <w:rPr>
          <w:rFonts w:ascii="IRNazanin" w:hAnsi="IRNazanin" w:eastAsia="IRNazanin" w:cs="IRNazanin"/>
          <w:lang w:bidi="fa-IR"/>
          <w:color w:val="111111"/>
          <w:sz w:val="28"/>
          <w:szCs w:val="28"/>
          <w:rtl/>
        </w:rPr>
        <w:t xml:space="preserve">و لا یعارضها استصحاب وجوب الباقی؛لأنّ وجوبه کان مقدّمة لوجوب الکلّ،فینتفی بانتفائه.و ثبوت الوجوب النفسیّ له مفروض الانتفاء.</w:t>
      </w:r>
    </w:p>
    <w:p>
      <w:pPr>
        <w:pStyle w:val="BookText"/>
      </w:pPr>
      <w:r>
        <w:rPr>
          <w:rFonts w:ascii="IRNazanin" w:hAnsi="IRNazanin" w:eastAsia="IRNazanin" w:cs="IRNazanin"/>
          <w:lang w:bidi="fa-IR"/>
          <w:color w:val="111111"/>
          <w:sz w:val="28"/>
          <w:szCs w:val="28"/>
          <w:rtl/>
        </w:rPr>
        <w:t xml:space="preserve">نعم،إذا ورد الأمر بالصلاة-مثلا-و قلنا بکونها اسما للأعمّ، کان ما دلّ علی اعتبار الأجزاء الغیر المقوّمة فیها من قبیل التقیید، فإذا لم یکن للمقیّد إطلاق-بأن قام الإجماع علی جزئیّته فی الجملة،</w:t>
      </w:r>
    </w:p>
    <w:p>
      <w:pPr>
        <w:pStyle w:val="BookText"/>
      </w:pPr>
      <w:r>
        <w:rPr>
          <w:rFonts w:ascii="IRNazanin" w:hAnsi="IRNazanin" w:eastAsia="IRNazanin" w:cs="IRNazanin"/>
          <w:lang w:bidi="fa-IR"/>
          <w:color w:val="111111"/>
          <w:sz w:val="28"/>
          <w:szCs w:val="28"/>
          <w:rtl/>
        </w:rPr>
        <w:t xml:space="preserve">[شماره صفحه واقعی : 387]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علی وجوب المرکّب من هذا الجزء فی حقّ القادر علیه-کان القدر المتیقّن منه ثبوت مضمونه بالنسبة إلی القادر،أمّا العاجز فیبقی إطلاق الصلاة بالنسبة إلیه سلیما عن المقیّد،و مثل ذلک الکلام فی الشروط.</w:t>
      </w:r>
    </w:p>
    <w:p>
      <w:pPr>
        <w:pStyle w:val="BookText"/>
      </w:pPr>
      <w:r>
        <w:rPr>
          <w:rFonts w:ascii="IRNazanin" w:hAnsi="IRNazanin" w:eastAsia="IRNazanin" w:cs="IRNazanin"/>
          <w:lang w:bidi="fa-IR"/>
          <w:color w:val="111111"/>
          <w:sz w:val="28"/>
          <w:szCs w:val="28"/>
          <w:rtl/>
        </w:rPr>
        <w:t xml:space="preserve">نعم،لو ثبت الجزء و الشرط بنفس الأمر بالکلّ و المشروط-کما لو قلنا بکون الألفاظ أسامی للصحیح-لزم من انتفائهما انتفاء الأمر، و لا أمر آخر بالعاری عن المفقود.و کذلک لو ثبت أجزاء المرکّب من أوامر متعدّدة؛فإنّ کلاّ منها أمر غیریّ إذا ارتفع </w:t>
      </w:r>
      <w:r>
        <w:rPr>
          <w:rStyle w:val="FootnoteReference"/>
        </w:rPr>
        <w:footnoteReference w:id="1200"/>
      </w:r>
      <w:r>
        <w:rPr>
          <w:rFonts w:ascii="IRNazanin" w:hAnsi="IRNazanin" w:eastAsia="IRNazanin" w:cs="IRNazanin"/>
          <w:lang w:bidi="fa-IR"/>
          <w:color w:val="111111"/>
          <w:sz w:val="28"/>
          <w:szCs w:val="28"/>
          <w:rtl/>
        </w:rPr>
        <w:t xml:space="preserve">بسبب العجز ارتفع الأمر بذی المقدّمة،أعنی الکلّ </w:t>
      </w:r>
      <w:r>
        <w:rPr>
          <w:rStyle w:val="FootnoteReference"/>
        </w:rPr>
        <w:footnoteReference w:id="12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فینحصر الحکم بعدم سقوط الباقی فی الفرض الأوّل کما ذکرنا.</w:t>
      </w:r>
    </w:p>
    <w:p>
      <w:pPr>
        <w:pStyle w:val="BookText"/>
      </w:pPr>
      <w:r>
        <w:rPr>
          <w:rFonts w:ascii="IRNazanin" w:hAnsi="IRNazanin" w:eastAsia="IRNazanin" w:cs="IRNazanin"/>
          <w:lang w:bidi="fa-IR"/>
          <w:color w:val="111111"/>
          <w:sz w:val="28"/>
          <w:szCs w:val="28"/>
          <w:rtl/>
        </w:rPr>
        <w:t xml:space="preserve">و لا یلزم من ذلک استعمال لفظ«المطلق»فی المعنیین،أعنی:</w:t>
      </w:r>
    </w:p>
    <w:p>
      <w:pPr>
        <w:pStyle w:val="BookText"/>
      </w:pPr>
      <w:r>
        <w:rPr>
          <w:rFonts w:ascii="IRNazanin" w:hAnsi="IRNazanin" w:eastAsia="IRNazanin" w:cs="IRNazanin"/>
          <w:lang w:bidi="fa-IR"/>
          <w:color w:val="111111"/>
          <w:sz w:val="28"/>
          <w:szCs w:val="28"/>
          <w:rtl/>
        </w:rPr>
        <w:t xml:space="preserve">المجرّد عن ذلک الجزء بالنسبة إلی العاجز،و المشتمل علی ذلک الجزء بالنسبة إلی القادر؛لأنّ المطلق-کما بیّن فی موضعه </w:t>
      </w:r>
      <w:r>
        <w:rPr>
          <w:rStyle w:val="FootnoteReference"/>
        </w:rPr>
        <w:footnoteReference w:id="1202"/>
      </w:r>
      <w:r>
        <w:rPr>
          <w:rFonts w:ascii="IRNazanin" w:hAnsi="IRNazanin" w:eastAsia="IRNazanin" w:cs="IRNazanin"/>
          <w:lang w:bidi="fa-IR"/>
          <w:color w:val="111111"/>
          <w:sz w:val="28"/>
          <w:szCs w:val="28"/>
          <w:rtl/>
        </w:rPr>
        <w:t xml:space="preserve">-موضوع للماهیّة المهملة الصادقة علی المجرّد عن القید و المقیّد؛کیف؟و لو کان کذلک کان کثیر من المطلقات مستعملا کذلک؛فإنّ الخطاب الوارد بالصلاة قد خوطب به جمیع المکلّفین الموجودین أو مطلقا،مع کونهم مختلفین فی التمکّن من الماء و عدمه،و فی الحضر و السفر،و الصحّة و المرض،و غیر</w:t>
      </w:r>
    </w:p>
    <w:p>
      <w:pPr>
        <w:pStyle w:val="BookText"/>
      </w:pPr>
      <w:r>
        <w:rPr>
          <w:rFonts w:ascii="IRNazanin" w:hAnsi="IRNazanin" w:eastAsia="IRNazanin" w:cs="IRNazanin"/>
          <w:lang w:bidi="fa-IR"/>
          <w:color w:val="111111"/>
          <w:sz w:val="28"/>
          <w:szCs w:val="28"/>
          <w:rtl/>
        </w:rPr>
        <w:t xml:space="preserve">[شماره صفحه واقعی : 388]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262" w:name="pg14411_142778"/>
    <w:bookmarkEnd w:id="262"/>
    <w:p>
      <w:pPr>
        <w:pStyle w:val="BookText"/>
      </w:pPr>
      <w:r>
        <w:rPr>
          <w:rFonts w:ascii="IRNazanin" w:hAnsi="IRNazanin" w:eastAsia="IRNazanin" w:cs="IRNazanin"/>
          <w:lang w:bidi="fa-IR"/>
          <w:color w:val="111111"/>
          <w:sz w:val="28"/>
          <w:szCs w:val="28"/>
          <w:rtl/>
        </w:rPr>
        <w:t xml:space="preserve">ذلک.و کذا غیر الصلاة من الواجبات.</w:t>
      </w:r>
    </w:p>
    <w:p>
      <w:pPr>
        <w:pStyle w:val="Heading6"/>
      </w:pPr>
      <w:bookmarkStart w:id="1503" w:name="_Toc538"/>
      <w:r>
        <w:t>[القول بعدم السقوط و دلیله]</w:t>
      </w:r>
      <w:bookmarkEnd w:id="1503"/>
    </w:p>
    <w:p>
      <w:pPr>
        <w:pStyle w:val="BookText"/>
      </w:pPr>
      <w:r>
        <w:rPr>
          <w:rFonts w:ascii="IRNazanin" w:hAnsi="IRNazanin" w:eastAsia="IRNazanin" w:cs="IRNazanin"/>
          <w:lang w:bidi="fa-IR"/>
          <w:color w:val="111111"/>
          <w:sz w:val="28"/>
          <w:szCs w:val="28"/>
          <w:rtl/>
        </w:rPr>
        <w:t xml:space="preserve">و للقول الثانی:استصحاب وجوب الباقی إذا کان المکلف مسبوقا بالقدرة،بناء علی أنّ المستصحب هو مطلق الوجوب،بمعنی لزوم الفعل من غیر التفات إلی کونه لنفسه أو لغیره،أو الوجوب النفسیّ المتعلّق بالموضوع الأعمّ من الجامع لجمیع الأجزاء و الفاقد لبعضها،بدعوی </w:t>
      </w:r>
      <w:r>
        <w:rPr>
          <w:rStyle w:val="FootnoteReference"/>
        </w:rPr>
        <w:footnoteReference w:id="1203"/>
      </w:r>
      <w:r>
        <w:rPr>
          <w:rFonts w:ascii="IRNazanin" w:hAnsi="IRNazanin" w:eastAsia="IRNazanin" w:cs="IRNazanin"/>
          <w:lang w:bidi="fa-IR"/>
          <w:color w:val="111111"/>
          <w:sz w:val="28"/>
          <w:szCs w:val="28"/>
          <w:rtl/>
        </w:rPr>
        <w:t xml:space="preserve">صدق الموضوع عرفا علی هذا المعنی الأعمّ الموجود فی اللاحق و لو مسامحة؛فإنّ أهل </w:t>
      </w:r>
      <w:r>
        <w:rPr>
          <w:rStyle w:val="FootnoteReference"/>
        </w:rPr>
        <w:footnoteReference w:id="1204"/>
      </w:r>
      <w:r>
        <w:rPr>
          <w:rFonts w:ascii="IRNazanin" w:hAnsi="IRNazanin" w:eastAsia="IRNazanin" w:cs="IRNazanin"/>
          <w:lang w:bidi="fa-IR"/>
          <w:color w:val="111111"/>
          <w:sz w:val="28"/>
          <w:szCs w:val="28"/>
          <w:rtl/>
        </w:rPr>
        <w:t xml:space="preserve">العرف یطلقون علی من عجز عن السورة بعد قدرته علیها:أنّ الصلاة کانت واجبة علیه حال القدرة علی السورة، و لا یعلم بقاء وجوبها بعد العجز عنها.</w:t>
      </w:r>
    </w:p>
    <w:p>
      <w:pPr>
        <w:pStyle w:val="BookText"/>
      </w:pPr>
      <w:r>
        <w:rPr>
          <w:rFonts w:ascii="IRNazanin" w:hAnsi="IRNazanin" w:eastAsia="IRNazanin" w:cs="IRNazanin"/>
          <w:lang w:bidi="fa-IR"/>
          <w:color w:val="111111"/>
          <w:sz w:val="28"/>
          <w:szCs w:val="28"/>
          <w:rtl/>
        </w:rPr>
        <w:t xml:space="preserve">و لو لم یکف هذا المقدار فی الاستصحاب لاختلّ جریانه فی کثیر من الاستصحابات،مثل استصحاب کثرة الماء و قلّته؛فإنّ الماء المعیّن الذی اخذ بعضه أو زید علیه یقال:إنّه کان کثیرا أو قلیلا،و الأصل بقاء ما کان،مع أنّ هذا الماء الموجود لم یکن متیقّن الکثرة أو القلّة؛ و إلاّ لم یعقل الشکّ فیه،فلیس الموضوع فیه إلاّ </w:t>
      </w:r>
      <w:r>
        <w:rPr>
          <w:rStyle w:val="FootnoteReference"/>
        </w:rPr>
        <w:footnoteReference w:id="1205"/>
      </w:r>
      <w:r>
        <w:rPr>
          <w:rFonts w:ascii="IRNazanin" w:hAnsi="IRNazanin" w:eastAsia="IRNazanin" w:cs="IRNazanin"/>
          <w:lang w:bidi="fa-IR"/>
          <w:color w:val="111111"/>
          <w:sz w:val="28"/>
          <w:szCs w:val="28"/>
          <w:rtl/>
        </w:rPr>
        <w:t xml:space="preserve">هذا الماء مسامحة فی مدخلیّة الجزء الناقص أو الزائد فی المشار إلیه؛و لذا یقال فی العرف:</w:t>
      </w:r>
    </w:p>
    <w:p>
      <w:pPr>
        <w:pStyle w:val="BookText"/>
      </w:pPr>
      <w:r>
        <w:rPr>
          <w:rFonts w:ascii="IRNazanin" w:hAnsi="IRNazanin" w:eastAsia="IRNazanin" w:cs="IRNazanin"/>
          <w:lang w:bidi="fa-IR"/>
          <w:color w:val="111111"/>
          <w:sz w:val="28"/>
          <w:szCs w:val="28"/>
          <w:rtl/>
        </w:rPr>
        <w:t xml:space="preserve">هذا الماء کان کذا،و شکّ فی صیرورته کذا من غیر ملاحظة زیادته و نقیصته.</w:t>
      </w:r>
    </w:p>
    <w:p>
      <w:pPr>
        <w:pStyle w:val="Heading6"/>
      </w:pPr>
      <w:bookmarkStart w:id="1504" w:name="_Toc539"/>
      <w:r>
        <w:t>[الاستدلال علی هذا القول بثلاثة روایات أیضا]</w:t>
      </w:r>
      <w:bookmarkEnd w:id="1504"/>
    </w:p>
    <w:p>
      <w:pPr>
        <w:pStyle w:val="BookText"/>
      </w:pPr>
      <w:r>
        <w:rPr>
          <w:rFonts w:ascii="IRNazanin" w:hAnsi="IRNazanin" w:eastAsia="IRNazanin" w:cs="IRNazanin"/>
          <w:lang w:bidi="fa-IR"/>
          <w:color w:val="111111"/>
          <w:sz w:val="28"/>
          <w:szCs w:val="28"/>
          <w:rtl/>
        </w:rPr>
        <w:t xml:space="preserve">و یدلّ علی المطلب أیضا:النبویّ و العلویّان المرویّات فی عوالی اللآلی.</w:t>
      </w:r>
    </w:p>
    <w:p>
      <w:pPr>
        <w:pStyle w:val="BookText"/>
      </w:pPr>
      <w:r>
        <w:rPr>
          <w:rFonts w:ascii="IRNazanin" w:hAnsi="IRNazanin" w:eastAsia="IRNazanin" w:cs="IRNazanin"/>
          <w:lang w:bidi="fa-IR"/>
          <w:color w:val="111111"/>
          <w:sz w:val="28"/>
          <w:szCs w:val="28"/>
          <w:rtl/>
        </w:rPr>
        <w:t xml:space="preserve">[شماره صفحه واقعی : 389]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فعن النبیّ صلّی اللّه علیه و آله:«إذا أمرتکم بشیء فأتوا منه ما استطعتم» </w:t>
      </w:r>
      <w:r>
        <w:rPr>
          <w:rStyle w:val="FootnoteReference"/>
        </w:rPr>
        <w:footnoteReference w:id="12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علیّ علیه السّلام:«المیسور لا یسقط بالمعسور» </w:t>
      </w:r>
      <w:r>
        <w:rPr>
          <w:rStyle w:val="FootnoteReference"/>
        </w:rPr>
        <w:footnoteReference w:id="1207"/>
      </w:r>
      <w:r>
        <w:rPr>
          <w:rFonts w:ascii="IRNazanin" w:hAnsi="IRNazanin" w:eastAsia="IRNazanin" w:cs="IRNazanin"/>
          <w:lang w:bidi="fa-IR"/>
          <w:color w:val="111111"/>
          <w:sz w:val="28"/>
          <w:szCs w:val="28"/>
          <w:rtl/>
        </w:rPr>
        <w:t xml:space="preserve">،و«ما لا یدرک کلّه لا یترک کلّه» </w:t>
      </w:r>
      <w:r>
        <w:rPr>
          <w:rStyle w:val="FootnoteReference"/>
        </w:rPr>
        <w:footnoteReference w:id="12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ضعف أسنادها مجبور باشتهار التمسّک بها بین الأصحاب فی أبواب العبادات،کما لا یخفی علی المتتبّع </w:t>
      </w:r>
      <w:r>
        <w:rPr>
          <w:rStyle w:val="FootnoteReference"/>
        </w:rPr>
        <w:footnoteReference w:id="12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نعم،قد یناقش فی دلالتها:</w:t>
      </w:r>
    </w:p>
    <w:p>
      <w:pPr>
        <w:pStyle w:val="BookText"/>
      </w:pPr>
      <w:r>
        <w:rPr>
          <w:rFonts w:ascii="IRNazanin" w:hAnsi="IRNazanin" w:eastAsia="IRNazanin" w:cs="IRNazanin"/>
          <w:lang w:bidi="fa-IR"/>
          <w:color w:val="111111"/>
          <w:sz w:val="28"/>
          <w:szCs w:val="28"/>
          <w:rtl/>
        </w:rPr>
        <w:t xml:space="preserve">أمّا الأولی،فلاحتمال کون«من»بمعنی الباء أو بیانیّا،و«ما» مصدریّة زمانیّة </w:t>
      </w:r>
      <w:r>
        <w:rPr>
          <w:rStyle w:val="FootnoteReference"/>
        </w:rPr>
        <w:footnoteReference w:id="12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فیه:أنّ کون«من»بمعنی الباء مطلقا و بیانیّة فی خصوص المقام مخالف للظاهر بعید،کما لا یخفی علی العارف بأسالیب الکلام.</w:t>
      </w:r>
    </w:p>
    <w:p>
      <w:pPr>
        <w:pStyle w:val="BookText"/>
      </w:pPr>
      <w:r>
        <w:rPr>
          <w:rFonts w:ascii="Amiri" w:hAnsi="Amiri" w:eastAsia="Amiri" w:cs="Amiri"/>
          <w:lang w:bidi="ar-SA"/>
          <w:color w:val="111111"/>
          <w:sz w:val="28"/>
          <w:szCs w:val="28"/>
          <w:rtl/>
        </w:rPr>
        <w:t xml:space="preserve">و العجب معارضة هذا الظاهر </w:t>
      </w:r>
      <w:r>
        <w:rPr>
          <w:rStyle w:val="FootnoteReference"/>
        </w:rPr>
        <w:footnoteReference w:id="1211"/>
      </w:r>
      <w:r>
        <w:rPr>
          <w:rFonts w:ascii="IRNazanin" w:hAnsi="IRNazanin" w:eastAsia="IRNazanin" w:cs="IRNazanin"/>
          <w:lang w:bidi="fa-IR"/>
          <w:color w:val="111111"/>
          <w:sz w:val="28"/>
          <w:szCs w:val="28"/>
          <w:rtl/>
        </w:rPr>
        <w:t xml:space="preserve">بلزوم تقیید الشیء-بناء علی المعنی المشهور-بما کان له أجزاء حتّی یصحّ الأمر بإتیان ما استطیع منه،ثمّ تقییده بصورة تعذّر إتیان جمیعه،ثمّ ارتکاب التخصیص فیه بإخراج ما لا یجری فیه هذه القاعدة اتفاقا،کما فی کثیر من المواضع؛</w:t>
      </w:r>
    </w:p>
    <w:p>
      <w:pPr>
        <w:pStyle w:val="BookText"/>
      </w:pPr>
      <w:r>
        <w:rPr>
          <w:rFonts w:ascii="IRNazanin" w:hAnsi="IRNazanin" w:eastAsia="IRNazanin" w:cs="IRNazanin"/>
          <w:lang w:bidi="fa-IR"/>
          <w:color w:val="111111"/>
          <w:sz w:val="28"/>
          <w:szCs w:val="28"/>
          <w:rtl/>
        </w:rPr>
        <w:t xml:space="preserve">[شماره صفحه واقعی : 390]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 لا یخفی أنّ التقییدین الأوّلین یستفادان من قوله:«فأتوا منه...الخ»، و ظهوره حاکم علیهما.</w:t>
      </w:r>
    </w:p>
    <w:p>
      <w:pPr>
        <w:pStyle w:val="BookText"/>
      </w:pPr>
      <w:r>
        <w:rPr>
          <w:rFonts w:ascii="IRNazanin" w:hAnsi="IRNazanin" w:eastAsia="IRNazanin" w:cs="IRNazanin"/>
          <w:lang w:bidi="fa-IR"/>
          <w:color w:val="111111"/>
          <w:sz w:val="28"/>
          <w:szCs w:val="28"/>
          <w:rtl/>
        </w:rPr>
        <w:t xml:space="preserve">نعم،إخراج کثیر من الموارد لازم،و لا بأس به فی مقابل ذلک المجاز البعید.</w:t>
      </w:r>
    </w:p>
    <w:p>
      <w:pPr>
        <w:pStyle w:val="BookText"/>
      </w:pPr>
      <w:r>
        <w:rPr>
          <w:rFonts w:ascii="IRNazanin" w:hAnsi="IRNazanin" w:eastAsia="IRNazanin" w:cs="IRNazanin"/>
          <w:lang w:bidi="fa-IR"/>
          <w:color w:val="111111"/>
          <w:sz w:val="28"/>
          <w:szCs w:val="28"/>
          <w:rtl/>
        </w:rPr>
        <w:t xml:space="preserve">و الحاصل:أنّ المناقشة فی ظهور الروایة من اعوجاج الطریقة فی فهم الخطابات العرفیّة.</w:t>
      </w:r>
    </w:p>
    <w:p>
      <w:pPr>
        <w:pStyle w:val="BookText"/>
      </w:pPr>
      <w:r>
        <w:rPr>
          <w:rFonts w:ascii="IRNazanin" w:hAnsi="IRNazanin" w:eastAsia="IRNazanin" w:cs="IRNazanin"/>
          <w:lang w:bidi="fa-IR"/>
          <w:color w:val="111111"/>
          <w:sz w:val="28"/>
          <w:szCs w:val="28"/>
          <w:rtl/>
        </w:rPr>
        <w:t xml:space="preserve">و أمّا الثانیة،فلما قیل </w:t>
      </w:r>
      <w:r>
        <w:rPr>
          <w:rStyle w:val="FootnoteReference"/>
        </w:rPr>
        <w:footnoteReference w:id="1212"/>
      </w:r>
      <w:r>
        <w:rPr>
          <w:rFonts w:ascii="IRNazanin" w:hAnsi="IRNazanin" w:eastAsia="IRNazanin" w:cs="IRNazanin"/>
          <w:lang w:bidi="fa-IR"/>
          <w:color w:val="111111"/>
          <w:sz w:val="28"/>
          <w:szCs w:val="28"/>
          <w:rtl/>
        </w:rPr>
        <w:t xml:space="preserve">:من أنّ معناه أنّ الحکم الثابت للمیسور لا یسقط بسبب سقوط المعسور،و لا کلام فی ذلک؛لأنّ سقوط حکم شیء لا یوجب بنفسه سقوط الحکم الثابت للآخر.</w:t>
      </w:r>
    </w:p>
    <w:p>
      <w:pPr>
        <w:pStyle w:val="BookText"/>
      </w:pPr>
      <w:r>
        <w:rPr>
          <w:rFonts w:ascii="IRNazanin" w:hAnsi="IRNazanin" w:eastAsia="IRNazanin" w:cs="IRNazanin"/>
          <w:lang w:bidi="fa-IR"/>
          <w:color w:val="111111"/>
          <w:sz w:val="28"/>
          <w:szCs w:val="28"/>
          <w:rtl/>
        </w:rPr>
        <w:t xml:space="preserve">فتحمل الروایة علی دفع توهّم السقوط فی الأحکام المستقلّة التی یجمعها دلیل واحد،کما فی«أکرم العلماء».</w:t>
      </w:r>
    </w:p>
    <w:p>
      <w:pPr>
        <w:pStyle w:val="BookText"/>
      </w:pPr>
      <w:r>
        <w:rPr>
          <w:rFonts w:ascii="IRNazanin" w:hAnsi="IRNazanin" w:eastAsia="IRNazanin" w:cs="IRNazanin"/>
          <w:lang w:bidi="fa-IR"/>
          <w:color w:val="111111"/>
          <w:sz w:val="28"/>
          <w:szCs w:val="28"/>
          <w:rtl/>
        </w:rPr>
        <w:t xml:space="preserve">و فیه:</w:t>
      </w:r>
    </w:p>
    <w:p>
      <w:pPr>
        <w:pStyle w:val="BookText"/>
      </w:pPr>
      <w:r>
        <w:rPr>
          <w:rFonts w:ascii="Amiri" w:hAnsi="Amiri" w:eastAsia="Amiri" w:cs="Amiri"/>
          <w:lang w:bidi="ar-SA"/>
          <w:color w:val="111111"/>
          <w:sz w:val="28"/>
          <w:szCs w:val="28"/>
          <w:rtl/>
        </w:rPr>
        <w:t xml:space="preserve">أوّلا:أنّ عدم السقوط </w:t>
      </w:r>
      <w:r>
        <w:rPr>
          <w:rStyle w:val="FootnoteReference"/>
        </w:rPr>
        <w:footnoteReference w:id="1213"/>
      </w:r>
      <w:r>
        <w:rPr>
          <w:rFonts w:ascii="IRNazanin" w:hAnsi="IRNazanin" w:eastAsia="IRNazanin" w:cs="IRNazanin"/>
          <w:lang w:bidi="fa-IR"/>
          <w:color w:val="111111"/>
          <w:sz w:val="28"/>
          <w:szCs w:val="28"/>
          <w:rtl/>
        </w:rPr>
        <w:t xml:space="preserve">محمول علی نفس المیسور لا علی حکمه، فالمراد به عدم سقوط الفعل المیسور بسبب سقوط </w:t>
      </w:r>
      <w:r>
        <w:rPr>
          <w:rStyle w:val="FootnoteReference"/>
        </w:rPr>
        <w:footnoteReference w:id="1214"/>
      </w:r>
      <w:r>
        <w:rPr>
          <w:rFonts w:ascii="IRNazanin" w:hAnsi="IRNazanin" w:eastAsia="IRNazanin" w:cs="IRNazanin"/>
          <w:lang w:bidi="fa-IR"/>
          <w:color w:val="111111"/>
          <w:sz w:val="28"/>
          <w:szCs w:val="28"/>
          <w:rtl/>
        </w:rPr>
        <w:t xml:space="preserve">المعسور یعنی:أنّ الفعل المیسور إذا لم یسقط عند عدم تعسّر شیء فلا یسقط بسبب </w:t>
      </w:r>
      <w:r>
        <w:rPr>
          <w:rStyle w:val="FootnoteReference"/>
        </w:rPr>
        <w:footnoteReference w:id="1215"/>
      </w:r>
      <w:r>
        <w:rPr>
          <w:rFonts w:ascii="IRNazanin" w:hAnsi="IRNazanin" w:eastAsia="IRNazanin" w:cs="IRNazanin"/>
          <w:lang w:bidi="fa-IR"/>
          <w:color w:val="111111"/>
          <w:sz w:val="28"/>
          <w:szCs w:val="28"/>
          <w:rtl/>
        </w:rPr>
        <w:t xml:space="preserve">تعسّره.و بعبارة اخری:ما وجب عند التمکّن من شیء آخر فلا یسقط عند تعذّره.و هذا الکلام إنّما یقال فی مقام یکون ارتباط وجوب الشیء</w:t>
      </w:r>
    </w:p>
    <w:p>
      <w:pPr>
        <w:pStyle w:val="BookText"/>
      </w:pPr>
      <w:r>
        <w:rPr>
          <w:rFonts w:ascii="IRNazanin" w:hAnsi="IRNazanin" w:eastAsia="IRNazanin" w:cs="IRNazanin"/>
          <w:lang w:bidi="fa-IR"/>
          <w:color w:val="111111"/>
          <w:sz w:val="28"/>
          <w:szCs w:val="28"/>
          <w:rtl/>
        </w:rPr>
        <w:t xml:space="preserve">[شماره صفحه واقعی : 391]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بالتمکّن من ذلک الشیء الآخر محقّقا ثابتا من دلیله کما فی الأمر بالکلّ، أو متوهّما کما فی الأمر بما له عموم أفرادیّ.</w:t>
      </w:r>
    </w:p>
    <w:p>
      <w:pPr>
        <w:pStyle w:val="BookText"/>
      </w:pPr>
      <w:r>
        <w:rPr>
          <w:rFonts w:ascii="IRNazanin" w:hAnsi="IRNazanin" w:eastAsia="IRNazanin" w:cs="IRNazanin"/>
          <w:lang w:bidi="fa-IR"/>
          <w:color w:val="111111"/>
          <w:sz w:val="28"/>
          <w:szCs w:val="28"/>
          <w:rtl/>
        </w:rPr>
        <w:t xml:space="preserve">و ثانیا:أنّ ما ذکر من عدم سقوط الحکم الثابت للمیسور بسبب سقوط الحکم الثابت للمعسور،کاف فی إثبات المطلوب،بناء علی ما ذکرنا فی توجیه الاستصحاب </w:t>
      </w:r>
      <w:r>
        <w:rPr>
          <w:rStyle w:val="FootnoteReference"/>
        </w:rPr>
        <w:footnoteReference w:id="1216"/>
      </w:r>
      <w:r>
        <w:rPr>
          <w:rFonts w:ascii="IRNazanin" w:hAnsi="IRNazanin" w:eastAsia="IRNazanin" w:cs="IRNazanin"/>
          <w:lang w:bidi="fa-IR"/>
          <w:color w:val="111111"/>
          <w:sz w:val="28"/>
          <w:szCs w:val="28"/>
          <w:rtl/>
        </w:rPr>
        <w:t xml:space="preserve">:من أنّ أهل العرف یتسامحون فیعبّرون عن وجوب باقی الأجزاء بعد تعذّر غیرها من الأجزاء ببقاء وجوبها، و عن عدم وجوبها بارتفاع وجوبها و سقوطه؛لعدم مداقّتهم فی کون الوجوب الثابت سابقا غیریّا و هذا الوجوب الذی یتکلّم فی ثبوته و عدمه نفسیّ فلا یصدق علی ثبوته البقاء،و لا علی عدمه السقوط و الارتفاع.</w:t>
      </w:r>
    </w:p>
    <w:p>
      <w:pPr>
        <w:pStyle w:val="BookText"/>
      </w:pPr>
      <w:r>
        <w:rPr>
          <w:rFonts w:ascii="IRNazanin" w:hAnsi="IRNazanin" w:eastAsia="IRNazanin" w:cs="IRNazanin"/>
          <w:lang w:bidi="fa-IR"/>
          <w:color w:val="111111"/>
          <w:sz w:val="28"/>
          <w:szCs w:val="28"/>
          <w:rtl/>
        </w:rPr>
        <w:t xml:space="preserve">فکما یصدق هذه الروایة لو شکّ-بعد ورود الأمر بإکرام العلماء بالاستغراق الأفرادیّ-فی ثبوت حکم إکرام البعض الممکن الإکرام و سقوطه بسقوط حکم إکرام من یتعذّر إکرامه،کذلک یصدق لو شکّ بعد الأمر بالمرکّب فی وجوب باقی الأجزاء بعد تعذّر بعضه،کما لا یخفی.</w:t>
      </w:r>
    </w:p>
    <w:p>
      <w:pPr>
        <w:pStyle w:val="BookText"/>
      </w:pPr>
      <w:r>
        <w:rPr>
          <w:rFonts w:ascii="IRNazanin" w:hAnsi="IRNazanin" w:eastAsia="IRNazanin" w:cs="IRNazanin"/>
          <w:lang w:bidi="fa-IR"/>
          <w:color w:val="111111"/>
          <w:sz w:val="28"/>
          <w:szCs w:val="28"/>
          <w:rtl/>
        </w:rPr>
        <w:t xml:space="preserve">و بمثل ذلک یقال فی دفع دعوی:جریان الإیراد المذکور علی تقدیر تعلّق عدم </w:t>
      </w:r>
      <w:r>
        <w:rPr>
          <w:rStyle w:val="FootnoteReference"/>
        </w:rPr>
        <w:footnoteReference w:id="1217"/>
      </w:r>
      <w:r>
        <w:rPr>
          <w:rFonts w:ascii="IRNazanin" w:hAnsi="IRNazanin" w:eastAsia="IRNazanin" w:cs="IRNazanin"/>
          <w:lang w:bidi="fa-IR"/>
          <w:color w:val="111111"/>
          <w:sz w:val="28"/>
          <w:szCs w:val="28"/>
          <w:rtl/>
        </w:rPr>
        <w:t xml:space="preserve">السقوط بنفس المیسور لا بحکمه،بأن یقال:إنّ سقوط المقدّمة لمّا کان لازما </w:t>
      </w:r>
      <w:r>
        <w:rPr>
          <w:rStyle w:val="FootnoteReference"/>
        </w:rPr>
        <w:footnoteReference w:id="1218"/>
      </w:r>
      <w:r>
        <w:rPr>
          <w:rFonts w:ascii="IRNazanin" w:hAnsi="IRNazanin" w:eastAsia="IRNazanin" w:cs="IRNazanin"/>
          <w:lang w:bidi="fa-IR"/>
          <w:color w:val="111111"/>
          <w:sz w:val="28"/>
          <w:szCs w:val="28"/>
          <w:rtl/>
        </w:rPr>
        <w:t xml:space="preserve">لسقوط ذیها،فالحکم بعدم الملازمة فی</w:t>
      </w:r>
    </w:p>
    <w:p>
      <w:pPr>
        <w:pStyle w:val="BookText"/>
      </w:pPr>
      <w:r>
        <w:rPr>
          <w:rFonts w:ascii="IRNazanin" w:hAnsi="IRNazanin" w:eastAsia="IRNazanin" w:cs="IRNazanin"/>
          <w:lang w:bidi="fa-IR"/>
          <w:color w:val="111111"/>
          <w:sz w:val="28"/>
          <w:szCs w:val="28"/>
          <w:rtl/>
        </w:rPr>
        <w:t xml:space="preserve">[شماره صفحه واقعی : 392]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الخبر لا بدّ أن یحمل علی الأفعال المستقلّة فی الوجوب؛لدفع توهّم السقوط الناشئ عن إیجابها بخطاب واحد.</w:t>
      </w:r>
    </w:p>
    <w:p>
      <w:pPr>
        <w:pStyle w:val="BookText"/>
      </w:pPr>
      <w:r>
        <w:rPr>
          <w:rFonts w:ascii="IRNazanin" w:hAnsi="IRNazanin" w:eastAsia="IRNazanin" w:cs="IRNazanin"/>
          <w:lang w:bidi="fa-IR"/>
          <w:color w:val="111111"/>
          <w:sz w:val="28"/>
          <w:szCs w:val="28"/>
          <w:rtl/>
        </w:rPr>
        <w:t xml:space="preserve">و أمّا فی الثالثة،فما قیل </w:t>
      </w:r>
      <w:r>
        <w:rPr>
          <w:rStyle w:val="FootnoteReference"/>
        </w:rPr>
        <w:footnoteReference w:id="1219"/>
      </w:r>
      <w:r>
        <w:rPr>
          <w:rFonts w:ascii="IRNazanin" w:hAnsi="IRNazanin" w:eastAsia="IRNazanin" w:cs="IRNazanin"/>
          <w:lang w:bidi="fa-IR"/>
          <w:color w:val="111111"/>
          <w:sz w:val="28"/>
          <w:szCs w:val="28"/>
          <w:rtl/>
        </w:rPr>
        <w:t xml:space="preserve">:من أنّ جملة«لا یترک»خبریّة لا تفید إلاّ الرجحان.</w:t>
      </w:r>
    </w:p>
    <w:p>
      <w:pPr>
        <w:pStyle w:val="BookText"/>
      </w:pPr>
      <w:r>
        <w:rPr>
          <w:rFonts w:ascii="IRNazanin" w:hAnsi="IRNazanin" w:eastAsia="IRNazanin" w:cs="IRNazanin"/>
          <w:lang w:bidi="fa-IR"/>
          <w:color w:val="111111"/>
          <w:sz w:val="28"/>
          <w:szCs w:val="28"/>
          <w:rtl/>
        </w:rPr>
        <w:t xml:space="preserve">مع أنّه لو ارید منها الحرمة لزم مخالفة الظاهر فیها،إمّا بحمل الجملة علی مطلق المرجوحیّة،أو إخراج المندوبات،و لا رجحان للتخصیص.</w:t>
      </w:r>
    </w:p>
    <w:p>
      <w:pPr>
        <w:pStyle w:val="BookText"/>
      </w:pPr>
      <w:r>
        <w:rPr>
          <w:rFonts w:ascii="IRNazanin" w:hAnsi="IRNazanin" w:eastAsia="IRNazanin" w:cs="IRNazanin"/>
          <w:lang w:bidi="fa-IR"/>
          <w:color w:val="111111"/>
          <w:sz w:val="28"/>
          <w:szCs w:val="28"/>
          <w:rtl/>
        </w:rPr>
        <w:t xml:space="preserve">مع أنّه قد یمنع کون الجملة إنشاء؛لإمکان کونه إخبارا عن طریقة الناس و أنّهم لا یترکون الشیء بمجرّد عدم إدراک بعضه.</w:t>
      </w:r>
    </w:p>
    <w:p>
      <w:pPr>
        <w:pStyle w:val="BookText"/>
      </w:pPr>
      <w:r>
        <w:rPr>
          <w:rFonts w:ascii="IRNazanin" w:hAnsi="IRNazanin" w:eastAsia="IRNazanin" w:cs="IRNazanin"/>
          <w:lang w:bidi="fa-IR"/>
          <w:color w:val="111111"/>
          <w:sz w:val="28"/>
          <w:szCs w:val="28"/>
          <w:rtl/>
        </w:rPr>
        <w:t xml:space="preserve">مع احتمال کون لفظ«الکلّ»للعموم الأفرادی؛لعدم ثبوت کونه حقیقة فی الکلّ المجموعی،و لا مشترکا معنویّا بینه و بین الأفرادی،فلعلّه مشترک لفظی أو حقیقة خاصّة فی الأفرادی،فیدلّ علی أنّ الحکم الثابت لموضوع عامّ بالعموم الأفرادیّ إذا لم یمکن الإتیان به علی وجه العموم،لا یترک موافقته فی ما أمکن من الأفراد.</w:t>
      </w:r>
    </w:p>
    <w:p>
      <w:pPr>
        <w:pStyle w:val="BookText"/>
      </w:pPr>
      <w:r>
        <w:rPr>
          <w:rFonts w:ascii="IRNazanin" w:hAnsi="IRNazanin" w:eastAsia="IRNazanin" w:cs="IRNazanin"/>
          <w:lang w:bidi="fa-IR"/>
          <w:color w:val="111111"/>
          <w:sz w:val="28"/>
          <w:szCs w:val="28"/>
          <w:rtl/>
        </w:rPr>
        <w:t xml:space="preserve">و یرد علی الأوّل:ظهور الجملة فی الانشاء الإلزامی کما ثبت فی محلّه.مع أنّه إذا ثبت الرجحان فی الواجبات ثبت الوجوب؛لعدم القول بالفصل فی المسألة الفرعیّة.</w:t>
      </w:r>
    </w:p>
    <w:p>
      <w:pPr>
        <w:pStyle w:val="BookText"/>
      </w:pPr>
      <w:r>
        <w:rPr>
          <w:rFonts w:ascii="IRNazanin" w:hAnsi="IRNazanin" w:eastAsia="IRNazanin" w:cs="IRNazanin"/>
          <w:lang w:bidi="fa-IR"/>
          <w:color w:val="111111"/>
          <w:sz w:val="28"/>
          <w:szCs w:val="28"/>
          <w:rtl/>
        </w:rPr>
        <w:t xml:space="preserve">و أمّا دوران الأمر بین تخصیص الموصول و التجوّز فی الجملة، فممنوع؛لأنّ المراد بالموصول فی نفسه لیس هو العموم قطعا؛لشموله للأفعال المباحة بل المحرّمة،فکما یتعیّن حمله علی الأفعال الراجحة</w:t>
      </w:r>
    </w:p>
    <w:p>
      <w:pPr>
        <w:pStyle w:val="BookText"/>
      </w:pPr>
      <w:r>
        <w:rPr>
          <w:rFonts w:ascii="IRNazanin" w:hAnsi="IRNazanin" w:eastAsia="IRNazanin" w:cs="IRNazanin"/>
          <w:lang w:bidi="fa-IR"/>
          <w:color w:val="111111"/>
          <w:sz w:val="28"/>
          <w:szCs w:val="28"/>
          <w:rtl/>
        </w:rPr>
        <w:t xml:space="preserve">[شماره صفحه واقعی : 393]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بقرینة قوله:«لا یترک»،کذلک یتعیّن حمله علی الواجبات بنفس هذه القرینة الظاهرة فی الوجوب.</w:t>
      </w:r>
    </w:p>
    <w:p>
      <w:pPr>
        <w:pStyle w:val="BookText"/>
      </w:pPr>
      <w:r>
        <w:rPr>
          <w:rFonts w:ascii="IRNazanin" w:hAnsi="IRNazanin" w:eastAsia="IRNazanin" w:cs="IRNazanin"/>
          <w:lang w:bidi="fa-IR"/>
          <w:color w:val="111111"/>
          <w:sz w:val="28"/>
          <w:szCs w:val="28"/>
          <w:rtl/>
        </w:rPr>
        <w:t xml:space="preserve">و أمّا احتمال کونه إخبارا عن طریقة الناس،فمدفوع:بلزوم الکذب أو إخراج أکثر وقائعهم.</w:t>
      </w:r>
    </w:p>
    <w:p>
      <w:pPr>
        <w:pStyle w:val="BookText"/>
      </w:pPr>
      <w:r>
        <w:rPr>
          <w:rFonts w:ascii="IRNazanin" w:hAnsi="IRNazanin" w:eastAsia="IRNazanin" w:cs="IRNazanin"/>
          <w:lang w:bidi="fa-IR"/>
          <w:color w:val="111111"/>
          <w:sz w:val="28"/>
          <w:szCs w:val="28"/>
          <w:rtl/>
        </w:rPr>
        <w:t xml:space="preserve">و أمّا احتمال کون لفظ«الکلّ»للعموم الأفرادیّ،فلا وجه له:</w:t>
      </w:r>
    </w:p>
    <w:p>
      <w:pPr>
        <w:pStyle w:val="BookText"/>
      </w:pPr>
      <w:r>
        <w:rPr>
          <w:rFonts w:ascii="IRNazanin" w:hAnsi="IRNazanin" w:eastAsia="IRNazanin" w:cs="IRNazanin"/>
          <w:lang w:bidi="fa-IR"/>
          <w:color w:val="111111"/>
          <w:sz w:val="28"/>
          <w:szCs w:val="28"/>
          <w:rtl/>
        </w:rPr>
        <w:t xml:space="preserve">لأنّ المراد بالموصول هو فعل المکلّف،و کلّه عبارة عن مجموعه.</w:t>
      </w:r>
    </w:p>
    <w:p>
      <w:pPr>
        <w:pStyle w:val="BookText"/>
      </w:pPr>
      <w:r>
        <w:rPr>
          <w:rFonts w:ascii="IRNazanin" w:hAnsi="IRNazanin" w:eastAsia="IRNazanin" w:cs="IRNazanin"/>
          <w:lang w:bidi="fa-IR"/>
          <w:color w:val="111111"/>
          <w:sz w:val="28"/>
          <w:szCs w:val="28"/>
          <w:rtl/>
        </w:rPr>
        <w:t xml:space="preserve">نعم،لو قام قرینة علی إرادة المتعدّد من الموصول-بأن ارید أنّ الأفعال التی لا یدرک کلّها،کإکرام زید و إکرام عمرو و إکرام بکر، لا یترک کلّها-کان لما احتمله وجه.لکنّ لفظ«الکلّ»حینئذ أیضا مجموعی لا أفرادیّ؛إذ لو حمل علی الأفرادیّ کان المراد:«ما لا یدرک شیء منها لا یترک شیء منها»،و لا معنی له،فما ارتکبه فی احتمال العموم الأفرادیّ ممّا لا ینبغی له و </w:t>
      </w:r>
      <w:r>
        <w:rPr>
          <w:rStyle w:val="FootnoteReference"/>
        </w:rPr>
        <w:footnoteReference w:id="1220"/>
      </w:r>
      <w:r>
        <w:rPr>
          <w:rFonts w:ascii="IRNazanin" w:hAnsi="IRNazanin" w:eastAsia="IRNazanin" w:cs="IRNazanin"/>
          <w:lang w:bidi="fa-IR"/>
          <w:color w:val="111111"/>
          <w:sz w:val="28"/>
          <w:szCs w:val="28"/>
          <w:rtl/>
        </w:rPr>
        <w:t xml:space="preserve">لم ینفعه فی شیء.</w:t>
      </w:r>
    </w:p>
    <w:p>
      <w:pPr>
        <w:pStyle w:val="BookText"/>
      </w:pPr>
      <w:r>
        <w:rPr>
          <w:rFonts w:ascii="IRNazanin" w:hAnsi="IRNazanin" w:eastAsia="IRNazanin" w:cs="IRNazanin"/>
          <w:lang w:bidi="fa-IR"/>
          <w:color w:val="111111"/>
          <w:sz w:val="28"/>
          <w:szCs w:val="28"/>
          <w:rtl/>
        </w:rPr>
        <w:t xml:space="preserve">فثبت ممّا ذکرنا:أنّ مقتضی الإنصاف تمامیّة الاستدلال بهذه الروایات؛و لذا شاع بین العلماء-بل بین جمیع الناس-الاستدلال بها فی المطالب،حتّی أنّه یعرفه العوامّ،بل النسوان و الأطفال.</w:t>
      </w:r>
    </w:p>
    <w:p>
      <w:pPr>
        <w:pStyle w:val="BookText"/>
      </w:pPr>
      <w:r>
        <w:rPr>
          <w:rFonts w:ascii="IRNazanin" w:hAnsi="IRNazanin" w:eastAsia="IRNazanin" w:cs="IRNazanin"/>
          <w:lang w:bidi="fa-IR"/>
          <w:color w:val="111111"/>
          <w:sz w:val="28"/>
          <w:szCs w:val="28"/>
          <w:rtl/>
        </w:rPr>
        <w:t xml:space="preserve">ثمّ إنّ الروایة الاولی و الثالثة و إن کانتا ظاهرتین فی الواجبات، إلاّ أنّه یعلم بجریانهما فی المستحبّات بتنقیح المناط العرفیّ.مع کفایة الروایة الثانیة فی ذلک.</w:t>
      </w:r>
    </w:p>
    <w:p>
      <w:pPr>
        <w:pStyle w:val="BookText"/>
      </w:pPr>
      <w:r>
        <w:rPr>
          <w:rFonts w:ascii="IRNazanin" w:hAnsi="IRNazanin" w:eastAsia="IRNazanin" w:cs="IRNazanin"/>
          <w:lang w:bidi="fa-IR"/>
          <w:color w:val="111111"/>
          <w:sz w:val="28"/>
          <w:szCs w:val="28"/>
          <w:rtl/>
        </w:rPr>
        <w:t xml:space="preserve">[شماره صفحه واقعی : 394]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263" w:name="pg14411_142784"/>
    <w:bookmarkEnd w:id="263"/>
    <w:p>
      <w:pPr>
        <w:pStyle w:val="Heading6"/>
      </w:pPr>
      <w:bookmarkStart w:id="1505" w:name="_Toc540"/>
      <w:r>
        <w:t>و أمّا الکلام فی الشروط: [فالأصل فیها ما مرّ فی الأجزاء]</w:t>
      </w:r>
      <w:bookmarkEnd w:id="1505"/>
    </w:p>
    <w:p>
      <w:pPr>
        <w:pStyle w:val="BookText"/>
      </w:pPr>
      <w:r>
        <w:rPr>
          <w:rFonts w:ascii="IRNazanin" w:hAnsi="IRNazanin" w:eastAsia="IRNazanin" w:cs="IRNazanin"/>
          <w:lang w:bidi="fa-IR"/>
          <w:color w:val="111111"/>
          <w:sz w:val="28"/>
          <w:szCs w:val="28"/>
          <w:rtl/>
        </w:rPr>
        <w:t xml:space="preserve">فنقول:إنّ الأصل فیها ما مرّ فی الأجزاء </w:t>
      </w:r>
      <w:r>
        <w:rPr>
          <w:rStyle w:val="FootnoteReference"/>
        </w:rPr>
        <w:footnoteReference w:id="1221"/>
      </w:r>
      <w:r>
        <w:rPr>
          <w:rFonts w:ascii="IRNazanin" w:hAnsi="IRNazanin" w:eastAsia="IRNazanin" w:cs="IRNazanin"/>
          <w:lang w:bidi="fa-IR"/>
          <w:color w:val="111111"/>
          <w:sz w:val="28"/>
          <w:szCs w:val="28"/>
          <w:rtl/>
        </w:rPr>
        <w:t xml:space="preserve">:من أنّ دلیل الشرط إذا لم یکن فیه إطلاق عامّ لصورة التعذّر و کان لدلیل المشروط إطلاق، فاللازم الاقتصار فی التقیید علی صورة التمکّن من الشرط.</w:t>
      </w:r>
    </w:p>
    <w:p>
      <w:pPr>
        <w:pStyle w:val="Heading6"/>
      </w:pPr>
      <w:bookmarkStart w:id="1506" w:name="_Toc541"/>
      <w:r>
        <w:t>[عدم جریان القاعدة المستفادة من الروایات فی الشروط]</w:t>
      </w:r>
      <w:bookmarkEnd w:id="1506"/>
    </w:p>
    <w:p>
      <w:pPr>
        <w:pStyle w:val="BookText"/>
      </w:pPr>
      <w:r>
        <w:rPr>
          <w:rFonts w:ascii="IRNazanin" w:hAnsi="IRNazanin" w:eastAsia="IRNazanin" w:cs="IRNazanin"/>
          <w:lang w:bidi="fa-IR"/>
          <w:color w:val="111111"/>
          <w:sz w:val="28"/>
          <w:szCs w:val="28"/>
          <w:rtl/>
        </w:rPr>
        <w:t xml:space="preserve">و أمّا القاعدة المستفادة من الروایات المتقدّمة </w:t>
      </w:r>
      <w:r>
        <w:rPr>
          <w:rStyle w:val="FootnoteReference"/>
        </w:rPr>
        <w:footnoteReference w:id="1222"/>
      </w:r>
      <w:r>
        <w:rPr>
          <w:rFonts w:ascii="IRNazanin" w:hAnsi="IRNazanin" w:eastAsia="IRNazanin" w:cs="IRNazanin"/>
          <w:lang w:bidi="fa-IR"/>
          <w:color w:val="111111"/>
          <w:sz w:val="28"/>
          <w:szCs w:val="28"/>
          <w:rtl/>
        </w:rPr>
        <w:t xml:space="preserve">،فالظاهر عدم جریانها.</w:t>
      </w:r>
    </w:p>
    <w:p>
      <w:pPr>
        <w:pStyle w:val="BookText"/>
      </w:pPr>
      <w:r>
        <w:rPr>
          <w:rFonts w:ascii="IRNazanin" w:hAnsi="IRNazanin" w:eastAsia="IRNazanin" w:cs="IRNazanin"/>
          <w:lang w:bidi="fa-IR"/>
          <w:color w:val="111111"/>
          <w:sz w:val="28"/>
          <w:szCs w:val="28"/>
          <w:rtl/>
        </w:rPr>
        <w:t xml:space="preserve">أمّا الاولی و الثالثة،فاختصاصهما بالمرکّب الخارجیّ واضح.</w:t>
      </w:r>
    </w:p>
    <w:p>
      <w:pPr>
        <w:pStyle w:val="BookText"/>
      </w:pPr>
      <w:r>
        <w:rPr>
          <w:rFonts w:ascii="IRNazanin" w:hAnsi="IRNazanin" w:eastAsia="IRNazanin" w:cs="IRNazanin"/>
          <w:lang w:bidi="fa-IR"/>
          <w:color w:val="111111"/>
          <w:sz w:val="28"/>
          <w:szCs w:val="28"/>
          <w:rtl/>
        </w:rPr>
        <w:t xml:space="preserve">و أمّا الثانیة،فلاختصاصها-کما عرفت سابقا </w:t>
      </w:r>
      <w:r>
        <w:rPr>
          <w:rStyle w:val="FootnoteReference"/>
        </w:rPr>
        <w:footnoteReference w:id="1223"/>
      </w:r>
      <w:r>
        <w:rPr>
          <w:rFonts w:ascii="IRNazanin" w:hAnsi="IRNazanin" w:eastAsia="IRNazanin" w:cs="IRNazanin"/>
          <w:lang w:bidi="fa-IR"/>
          <w:color w:val="111111"/>
          <w:sz w:val="28"/>
          <w:szCs w:val="28"/>
          <w:rtl/>
        </w:rPr>
        <w:t xml:space="preserve">-بالمیسور الذی کان له مقتض للثبوت حتّی ینفی کون المعسور سببا لسقوطه،و من المعلوم أنّ العمل الفاقد للشرط-کالرقبة الکافرة مثلا-لم یکن المقتضی للثبوت فیه موجودا حتّی لا یسقط بتعسّر الشرط و هو الإیمان.</w:t>
      </w:r>
    </w:p>
    <w:p>
      <w:pPr>
        <w:pStyle w:val="Heading6"/>
      </w:pPr>
      <w:bookmarkStart w:id="1507" w:name="_Toc542"/>
      <w:r>
        <w:t>[جریان القاعدة فی بعض الشروط]</w:t>
      </w:r>
      <w:bookmarkEnd w:id="1507"/>
    </w:p>
    <w:p>
      <w:pPr>
        <w:pStyle w:val="BookText"/>
      </w:pPr>
      <w:r>
        <w:rPr>
          <w:rFonts w:ascii="IRNazanin" w:hAnsi="IRNazanin" w:eastAsia="IRNazanin" w:cs="IRNazanin"/>
          <w:lang w:bidi="fa-IR"/>
          <w:color w:val="111111"/>
          <w:sz w:val="28"/>
          <w:szCs w:val="28"/>
          <w:rtl/>
        </w:rPr>
        <w:t xml:space="preserve">هذا،و لکنّ الإنصاف:جریانها فی بعض الشروط التی یحکم العرف-و لو مسامحة-باتّحاد المشروط الفاقد لها مع الواجد لها.</w:t>
      </w:r>
    </w:p>
    <w:p>
      <w:pPr>
        <w:pStyle w:val="BookText"/>
      </w:pPr>
      <w:r>
        <w:rPr>
          <w:rFonts w:ascii="IRNazanin" w:hAnsi="IRNazanin" w:eastAsia="IRNazanin" w:cs="IRNazanin"/>
          <w:lang w:bidi="fa-IR"/>
          <w:color w:val="111111"/>
          <w:sz w:val="28"/>
          <w:szCs w:val="28"/>
          <w:rtl/>
        </w:rPr>
        <w:t xml:space="preserve">أ لا تری:أنّ الصلاة المشروطة بالقبلة أو الستر أو الطهارة إذا لم یکن فیها هذه الشروط،کانت عند العرف هی التی فیها هذه الشروط، فإذا تعذّر أحد هذه صدق المیسور علی الفاقد لها،و لو لا هذه المسامحة لم یجر الاستصحاب بالتقریر المتقدّم </w:t>
      </w:r>
      <w:r>
        <w:rPr>
          <w:rStyle w:val="FootnoteReference"/>
        </w:rPr>
        <w:footnoteReference w:id="12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395]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نعم،لو کان بین واجد الشرط و فاقده تغایر کلّیّ فی العرف -نظیر الرقبة الکافرة بالنسبة إلی المؤمنة،أو الحیوان الناهق بالنسبة إلی الناطق،و کذا ماء غیر الرمّان بالنسبة إلی ماء الرمّان-لم یجر </w:t>
      </w:r>
      <w:r>
        <w:rPr>
          <w:rStyle w:val="FootnoteReference"/>
        </w:rPr>
        <w:footnoteReference w:id="1225"/>
      </w:r>
      <w:r>
        <w:rPr>
          <w:rFonts w:ascii="IRNazanin" w:hAnsi="IRNazanin" w:eastAsia="IRNazanin" w:cs="IRNazanin"/>
          <w:lang w:bidi="fa-IR"/>
          <w:color w:val="111111"/>
          <w:sz w:val="28"/>
          <w:szCs w:val="28"/>
          <w:rtl/>
        </w:rPr>
        <w:t xml:space="preserve">القاعدة المذکورة.</w:t>
      </w:r>
    </w:p>
    <w:p>
      <w:pPr>
        <w:pStyle w:val="BookText"/>
      </w:pPr>
      <w:r>
        <w:rPr>
          <w:rFonts w:ascii="IRNazanin" w:hAnsi="IRNazanin" w:eastAsia="IRNazanin" w:cs="IRNazanin"/>
          <w:lang w:bidi="fa-IR"/>
          <w:color w:val="111111"/>
          <w:sz w:val="28"/>
          <w:szCs w:val="28"/>
          <w:rtl/>
        </w:rPr>
        <w:t xml:space="preserve">و ممّا ذکرنا یظهر ما فی کلام صاحب الریاض </w:t>
      </w:r>
      <w:r>
        <w:rPr>
          <w:rStyle w:val="FootnoteReference"/>
        </w:rPr>
        <w:footnoteReference w:id="1226"/>
      </w:r>
      <w:r>
        <w:rPr>
          <w:rFonts w:ascii="IRNazanin" w:hAnsi="IRNazanin" w:eastAsia="IRNazanin" w:cs="IRNazanin"/>
          <w:lang w:bidi="fa-IR"/>
          <w:color w:val="111111"/>
          <w:sz w:val="28"/>
          <w:szCs w:val="28"/>
          <w:rtl/>
        </w:rPr>
        <w:t xml:space="preserve">حیث بنی وجوب غسل المیّت بالماء القراح بدل ماء السدر،علی:أن لیس الموجود فی الروایة الأمر بالغسل بماء السدر علی وجه التقیید،و إنّما الموجود:«و لیکن فی الماء شیء من السدر» </w:t>
      </w:r>
      <w:r>
        <w:rPr>
          <w:rStyle w:val="FootnoteReference"/>
        </w:rPr>
        <w:footnoteReference w:id="12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توضیح ما فیه:أنّه لا فرق بین العبارتین؛فإنّه إن جعلنا ماء السدر من القید و المقیّد،کان قوله«و لیکن فیه شیء من السدر» کذلک،و إن کان من إضافة الشیء إلی بعض أجزائه کان الحکم فیهما </w:t>
      </w:r>
      <w:r>
        <w:rPr>
          <w:rStyle w:val="FootnoteReference"/>
        </w:rPr>
        <w:footnoteReference w:id="1228"/>
      </w:r>
      <w:r>
        <w:rPr>
          <w:rFonts w:ascii="IRNazanin" w:hAnsi="IRNazanin" w:eastAsia="IRNazanin" w:cs="IRNazanin"/>
          <w:lang w:bidi="fa-IR"/>
          <w:color w:val="111111"/>
          <w:sz w:val="28"/>
          <w:szCs w:val="28"/>
          <w:rtl/>
        </w:rPr>
        <w:t xml:space="preserve">واحدا.</w:t>
      </w:r>
    </w:p>
    <w:p>
      <w:pPr>
        <w:pStyle w:val="BookText"/>
      </w:pPr>
      <w:r>
        <w:rPr>
          <w:rFonts w:ascii="IRNazanin" w:hAnsi="IRNazanin" w:eastAsia="IRNazanin" w:cs="IRNazanin"/>
          <w:lang w:bidi="fa-IR"/>
          <w:color w:val="111111"/>
          <w:sz w:val="28"/>
          <w:szCs w:val="28"/>
          <w:rtl/>
        </w:rPr>
        <w:t xml:space="preserve">و دعوی:أنّه من المقیّد،لکن لمّا کان الأمر الوارد بالمقیّد مستقلا،فیختصّ بحال التمکّن،و یسقط حال الضرورة،و تبقی المطلقات غیر مقیّدة بالنسبة إلی الفاقد.</w:t>
      </w:r>
    </w:p>
    <w:p>
      <w:pPr>
        <w:pStyle w:val="BookText"/>
      </w:pPr>
      <w:r>
        <w:rPr>
          <w:rFonts w:ascii="IRNazanin" w:hAnsi="IRNazanin" w:eastAsia="IRNazanin" w:cs="IRNazanin"/>
          <w:lang w:bidi="fa-IR"/>
          <w:color w:val="111111"/>
          <w:sz w:val="28"/>
          <w:szCs w:val="28"/>
          <w:rtl/>
        </w:rPr>
        <w:t xml:space="preserve">مدفوعة:بأنّ الأمر فی هذا المقیّد للإرشاد و بیان الاشتراط، فلا یسقط بالتعذّر،و لیس مسوقا لبیان التکلیف؛إذ التکلیف المتصوّر</w:t>
      </w:r>
    </w:p>
    <w:p>
      <w:pPr>
        <w:pStyle w:val="BookText"/>
      </w:pPr>
      <w:r>
        <w:rPr>
          <w:rFonts w:ascii="IRNazanin" w:hAnsi="IRNazanin" w:eastAsia="IRNazanin" w:cs="IRNazanin"/>
          <w:lang w:bidi="fa-IR"/>
          <w:color w:val="111111"/>
          <w:sz w:val="28"/>
          <w:szCs w:val="28"/>
          <w:rtl/>
        </w:rPr>
        <w:t xml:space="preserve">[شماره صفحه واقعی : 396]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264" w:name="pg14411_142786"/>
    <w:bookmarkEnd w:id="264"/>
    <w:p>
      <w:pPr>
        <w:pStyle w:val="BookText"/>
      </w:pPr>
      <w:r>
        <w:rPr>
          <w:rFonts w:ascii="IRNazanin" w:hAnsi="IRNazanin" w:eastAsia="IRNazanin" w:cs="IRNazanin"/>
          <w:lang w:bidi="fa-IR"/>
          <w:color w:val="111111"/>
          <w:sz w:val="28"/>
          <w:szCs w:val="28"/>
          <w:rtl/>
        </w:rPr>
        <w:t xml:space="preserve">هنا هو التکلیف المقدّمی؛لأنّ جعل السدر فی الماء مقدّمة للغسل بماء السدر المفروض فیه عدم الترکیب الخارجیّ،لا جزء خارجیّ له حتّی یسقط عند التعذّر،فتقییده </w:t>
      </w:r>
      <w:r>
        <w:rPr>
          <w:rStyle w:val="FootnoteReference"/>
        </w:rPr>
        <w:footnoteReference w:id="1229"/>
      </w:r>
      <w:r>
        <w:rPr>
          <w:rFonts w:ascii="IRNazanin" w:hAnsi="IRNazanin" w:eastAsia="IRNazanin" w:cs="IRNazanin"/>
          <w:lang w:bidi="fa-IR"/>
          <w:color w:val="111111"/>
          <w:sz w:val="28"/>
          <w:szCs w:val="28"/>
          <w:rtl/>
        </w:rPr>
        <w:t xml:space="preserve">بحال التمکّن ناش من تقیید وجوب ذیها، فلا معنی لإطلاق أحدهما و تقیید الآخر،کما لا یخفی علی المتأمّل.</w:t>
      </w:r>
    </w:p>
    <w:p>
      <w:pPr>
        <w:pStyle w:val="Heading6"/>
      </w:pPr>
      <w:bookmarkStart w:id="1508" w:name="_Toc543"/>
      <w:r>
        <w:t>[الاستدلال بروایة عبد الأعلی علی عدم سقوط المشروط بتعذّر شرطه]</w:t>
      </w:r>
      <w:bookmarkEnd w:id="1508"/>
    </w:p>
    <w:p>
      <w:pPr>
        <w:pStyle w:val="BookText"/>
      </w:pPr>
      <w:r>
        <w:rPr>
          <w:rFonts w:ascii="IRNazanin" w:hAnsi="IRNazanin" w:eastAsia="IRNazanin" w:cs="IRNazanin"/>
          <w:lang w:bidi="fa-IR"/>
          <w:color w:val="111111"/>
          <w:sz w:val="28"/>
          <w:szCs w:val="28"/>
          <w:rtl/>
        </w:rPr>
        <w:t xml:space="preserve">و یمکن أن یستدلّ علی عدم سقوط المشروط بتعذّر شرطه،بروایة عبد الأعلی مولی آل سام،قال:</w:t>
      </w:r>
    </w:p>
    <w:p>
      <w:pPr>
        <w:pStyle w:val="BookText"/>
      </w:pPr>
      <w:r>
        <w:rPr>
          <w:rFonts w:ascii="Amiri" w:hAnsi="Amiri" w:eastAsia="Amiri" w:cs="Amiri"/>
          <w:lang w:bidi="ar-SA"/>
          <w:color w:val="111111"/>
          <w:sz w:val="28"/>
          <w:szCs w:val="28"/>
          <w:rtl/>
        </w:rPr>
        <w:t xml:space="preserve">«قلت لأبی عبد اللّه علیه السّلام:عثرت فانقطع ظفری فجعلت علی اصبعی مرارة،فکیف أصنع بالوضوء؟قال:یعرف هذا و أشباهه من کتاب اللّه عزّ و جلّ: مٰا جَعَلَ عَلَیْکُمْ فِی الدِّینِ مِنْ حَرَجٍ ؛امسح علیه» </w:t>
      </w:r>
      <w:r>
        <w:rPr>
          <w:rStyle w:val="FootnoteReference"/>
        </w:rPr>
        <w:footnoteReference w:id="12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معرفة حکم المسألة-أعنی المسح علی المرارة من آیة نفی الحرج-متوقّفة علی کون تعسّر الشرط غیر موجب لسقوط المشروط، بأن یکون المنفیّ-بسبب الحرج-مباشرة الید الماسحة للرجل الممسوحة، و لا ینتفی بانتفائه أصل المسح المستفاد وجوبه من آیة الوضوء؛إذ لو کان سقوط المعسور-و هی المباشرة-موجبا لسقوط أصل المسح، لم یمکن </w:t>
      </w:r>
      <w:r>
        <w:rPr>
          <w:rStyle w:val="FootnoteReference"/>
        </w:rPr>
        <w:footnoteReference w:id="1231"/>
      </w:r>
      <w:r>
        <w:rPr>
          <w:rFonts w:ascii="IRNazanin" w:hAnsi="IRNazanin" w:eastAsia="IRNazanin" w:cs="IRNazanin"/>
          <w:lang w:bidi="fa-IR"/>
          <w:color w:val="111111"/>
          <w:sz w:val="28"/>
          <w:szCs w:val="28"/>
          <w:rtl/>
        </w:rPr>
        <w:t xml:space="preserve">معرفة وجوب المسح علی المرارة من مجرّد نفی الحرج؛لأنّ</w:t>
      </w:r>
    </w:p>
    <w:p>
      <w:pPr>
        <w:pStyle w:val="BookText"/>
      </w:pPr>
      <w:r>
        <w:rPr>
          <w:rFonts w:ascii="IRNazanin" w:hAnsi="IRNazanin" w:eastAsia="IRNazanin" w:cs="IRNazanin"/>
          <w:lang w:bidi="fa-IR"/>
          <w:color w:val="111111"/>
          <w:sz w:val="28"/>
          <w:szCs w:val="28"/>
          <w:rtl/>
        </w:rPr>
        <w:t xml:space="preserve">[شماره صفحه واقعی : 397]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265" w:name="pg14411_142787"/>
    <w:bookmarkEnd w:id="265"/>
    <w:p>
      <w:pPr>
        <w:pStyle w:val="BookText"/>
      </w:pPr>
      <w:r>
        <w:rPr>
          <w:rFonts w:ascii="IRNazanin" w:hAnsi="IRNazanin" w:eastAsia="IRNazanin" w:cs="IRNazanin"/>
          <w:lang w:bidi="fa-IR"/>
          <w:color w:val="111111"/>
          <w:sz w:val="28"/>
          <w:szCs w:val="28"/>
          <w:rtl/>
        </w:rPr>
        <w:t xml:space="preserve">نفی الحرج یدلّ علی سقوط المسح فی هذا الوضوء رأسا،فیحتاج وجوب المسح علی المرارة إلی دلیل خاصّ </w:t>
      </w:r>
      <w:r>
        <w:rPr>
          <w:rStyle w:val="FootnoteReference"/>
        </w:rPr>
        <w:footnoteReference w:id="1232"/>
      </w:r>
      <w:r>
        <w:rPr>
          <w:rFonts w:ascii="IRNazanin" w:hAnsi="IRNazanin" w:eastAsia="IRNazanin" w:cs="IRNazanin"/>
          <w:lang w:bidi="fa-IR"/>
          <w:color w:val="111111"/>
          <w:sz w:val="28"/>
          <w:szCs w:val="28"/>
          <w:rtl/>
        </w:rPr>
        <w:t xml:space="preserve">خارجی.</w:t>
      </w:r>
    </w:p>
    <w:p>
      <w:pPr>
        <w:pStyle w:val="Heading6"/>
      </w:pPr>
      <w:bookmarkStart w:id="1509" w:name="_Toc544"/>
      <w:r>
        <w:t>فرعان:</w:t>
      </w:r>
      <w:bookmarkEnd w:id="1509"/>
    </w:p>
    <w:p>
      <w:pPr>
        <w:pStyle w:val="Heading6"/>
      </w:pPr>
      <w:bookmarkStart w:id="1510" w:name="_Toc545"/>
      <w:r>
        <w:t>الفرع الأوّل : لو دار الأمر بین ترک الجزء و ترک الشرط</w:t>
      </w:r>
      <w:bookmarkEnd w:id="1510"/>
    </w:p>
    <w:p>
      <w:pPr>
        <w:pStyle w:val="BookText"/>
      </w:pPr>
      <w:r>
        <w:rPr>
          <w:rFonts w:ascii="IRNazanin" w:hAnsi="IRNazanin" w:eastAsia="IRNazanin" w:cs="IRNazanin"/>
          <w:lang w:bidi="fa-IR"/>
          <w:color w:val="111111"/>
          <w:sz w:val="28"/>
          <w:szCs w:val="28"/>
          <w:rtl/>
        </w:rPr>
        <w:t xml:space="preserve">،کما فی ما إذا لم یتمکّن من الإتیان بزیارة عاشوراء بجمیع أجزائها </w:t>
      </w:r>
      <w:r>
        <w:rPr>
          <w:rStyle w:val="FootnoteReference"/>
        </w:rPr>
        <w:footnoteReference w:id="1233"/>
      </w:r>
      <w:r>
        <w:rPr>
          <w:rFonts w:ascii="IRNazanin" w:hAnsi="IRNazanin" w:eastAsia="IRNazanin" w:cs="IRNazanin"/>
          <w:lang w:bidi="fa-IR"/>
          <w:color w:val="111111"/>
          <w:sz w:val="28"/>
          <w:szCs w:val="28"/>
          <w:rtl/>
        </w:rPr>
        <w:t xml:space="preserve">فی مجلس واحد -علی القول باشتراط اتّحاد المجلس فیه-فالظاهر تقدیم ترک الشرط، فیأتی بالأجزاء تامّة فی غیر المجلس </w:t>
      </w:r>
      <w:r>
        <w:rPr>
          <w:rStyle w:val="FootnoteReference"/>
        </w:rPr>
        <w:footnoteReference w:id="1234"/>
      </w:r>
      <w:r>
        <w:rPr>
          <w:rFonts w:ascii="IRNazanin" w:hAnsi="IRNazanin" w:eastAsia="IRNazanin" w:cs="IRNazanin"/>
          <w:lang w:bidi="fa-IR"/>
          <w:color w:val="111111"/>
          <w:sz w:val="28"/>
          <w:szCs w:val="28"/>
          <w:rtl/>
        </w:rPr>
        <w:t xml:space="preserve">لأنّ فوات الوصف أولی من فوات الموصوف،و یحتمل التخییر.</w:t>
      </w:r>
    </w:p>
    <w:p>
      <w:pPr>
        <w:pStyle w:val="Heading6"/>
      </w:pPr>
      <w:bookmarkStart w:id="1511" w:name="_Toc546"/>
      <w:r>
        <w:t>الفرع الثانی : لو جعل الشارع للکلّ بدلا اضطراریّا کالتیمّم</w:t>
      </w:r>
      <w:bookmarkEnd w:id="1511"/>
    </w:p>
    <w:p>
      <w:pPr>
        <w:pStyle w:val="BookText"/>
      </w:pPr>
      <w:r>
        <w:rPr>
          <w:rFonts w:ascii="IRNazanin" w:hAnsi="IRNazanin" w:eastAsia="IRNazanin" w:cs="IRNazanin"/>
          <w:lang w:bidi="fa-IR"/>
          <w:color w:val="111111"/>
          <w:sz w:val="28"/>
          <w:szCs w:val="28"/>
          <w:rtl/>
        </w:rPr>
        <w:t xml:space="preserve">،ففی تقدیمه علی الناقص وجهان:</w:t>
      </w:r>
    </w:p>
    <w:p>
      <w:pPr>
        <w:pStyle w:val="BookText"/>
      </w:pPr>
      <w:r>
        <w:rPr>
          <w:rFonts w:ascii="IRNazanin" w:hAnsi="IRNazanin" w:eastAsia="IRNazanin" w:cs="IRNazanin"/>
          <w:lang w:bidi="fa-IR"/>
          <w:color w:val="111111"/>
          <w:sz w:val="28"/>
          <w:szCs w:val="28"/>
          <w:rtl/>
        </w:rPr>
        <w:t xml:space="preserve">من أنّ مقتضی البدلیّة کونه بدلا عن التامّ فیقدّم علی الناقص کالمبدل.</w:t>
      </w:r>
    </w:p>
    <w:p>
      <w:pPr>
        <w:pStyle w:val="BookText"/>
      </w:pPr>
      <w:r>
        <w:rPr>
          <w:rFonts w:ascii="IRNazanin" w:hAnsi="IRNazanin" w:eastAsia="IRNazanin" w:cs="IRNazanin"/>
          <w:lang w:bidi="fa-IR"/>
          <w:color w:val="111111"/>
          <w:sz w:val="28"/>
          <w:szCs w:val="28"/>
          <w:rtl/>
        </w:rPr>
        <w:t xml:space="preserve">و من أنّ الناقص </w:t>
      </w:r>
      <w:r>
        <w:rPr>
          <w:rStyle w:val="FootnoteReference"/>
        </w:rPr>
        <w:footnoteReference w:id="1235"/>
      </w:r>
      <w:r>
        <w:rPr>
          <w:rFonts w:ascii="IRNazanin" w:hAnsi="IRNazanin" w:eastAsia="IRNazanin" w:cs="IRNazanin"/>
          <w:lang w:bidi="fa-IR"/>
          <w:color w:val="111111"/>
          <w:sz w:val="28"/>
          <w:szCs w:val="28"/>
          <w:rtl/>
        </w:rPr>
        <w:t xml:space="preserve">حال الاضطرار تامّ؛لانتفاء جزئیّة المفقود، فیقدّم علی البدل کالتامّ؛و یدلّ علیه روایة عبد الأعلی المتقدّمة </w:t>
      </w:r>
      <w:r>
        <w:rPr>
          <w:rStyle w:val="FootnoteReference"/>
        </w:rPr>
        <w:footnoteReference w:id="12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398]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266" w:name="pg14411_142788"/>
    <w:bookmarkEnd w:id="266"/>
    <w:p>
      <w:pPr>
        <w:pStyle w:val="Heading6"/>
      </w:pPr>
      <w:bookmarkStart w:id="1512" w:name="_Toc547"/>
      <w:r>
        <w:t>الأمر الثالث لو دار الأمر بین الشرطیّة و الجزئیّة</w:t>
      </w:r>
      <w:bookmarkEnd w:id="1512"/>
    </w:p>
    <w:p>
      <w:pPr>
        <w:pStyle w:val="BookText"/>
      </w:pPr>
      <w:r>
        <w:rPr>
          <w:rFonts w:ascii="IRNazanin" w:hAnsi="IRNazanin" w:eastAsia="IRNazanin" w:cs="IRNazanin"/>
          <w:lang w:bidi="fa-IR"/>
          <w:color w:val="111111"/>
          <w:sz w:val="28"/>
          <w:szCs w:val="28"/>
          <w:rtl/>
        </w:rPr>
        <w:t xml:space="preserve">،فلیس فی المقام أصل کلّی یتعیّن به أحدهما،فلا بدّ من ملاحظة کلّ حکم یترتّب علی أحدهما و أنّه موافق للأصل أو مخالف له.</w:t>
      </w:r>
    </w:p>
    <w:p>
      <w:pPr>
        <w:pStyle w:val="BookText"/>
      </w:pPr>
      <w:r>
        <w:rPr>
          <w:rFonts w:ascii="IRNazanin" w:hAnsi="IRNazanin" w:eastAsia="IRNazanin" w:cs="IRNazanin"/>
          <w:lang w:bidi="fa-IR"/>
          <w:color w:val="111111"/>
          <w:sz w:val="28"/>
          <w:szCs w:val="28"/>
          <w:rtl/>
        </w:rPr>
        <w:t xml:space="preserve">[شماره صفحه واقعی : 399]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267" w:name="pg14411_142789"/>
    <w:bookmarkEnd w:id="267"/>
    <w:p>
      <w:pPr>
        <w:pStyle w:val="Heading6"/>
      </w:pPr>
      <w:bookmarkStart w:id="1513" w:name="_Toc548"/>
      <w:r>
        <w:t>الأمر الرابع لو دار الأمر بین کون شیء شرطا أو مانعا،أو بین کونه جزءا أو</w:t>
      </w:r>
      <w:bookmarkEnd w:id="1513"/>
    </w:p>
    <w:p>
      <w:pPr>
        <w:pStyle w:val="Heading6"/>
      </w:pPr>
      <w:bookmarkStart w:id="1514" w:name="_Toc549"/>
      <w:r>
        <w:t>اشارة</w:t>
      </w:r>
      <w:bookmarkEnd w:id="1514"/>
    </w:p>
    <w:p>
      <w:pPr>
        <w:pStyle w:val="BookText"/>
      </w:pPr>
      <w:r>
        <w:rPr>
          <w:rFonts w:ascii="IRNazanin" w:hAnsi="IRNazanin" w:eastAsia="IRNazanin" w:cs="IRNazanin"/>
          <w:lang w:bidi="fa-IR"/>
          <w:color w:val="111111"/>
          <w:sz w:val="28"/>
          <w:szCs w:val="28"/>
          <w:rtl/>
        </w:rPr>
        <w:t xml:space="preserve">الأمر الرابع لو دار الأمر بین کون شیء شرطا أو مانعا،أو بین کونه جزءا أو </w:t>
      </w:r>
      <w:r>
        <w:rPr>
          <w:rStyle w:val="FootnoteReference"/>
        </w:rPr>
        <w:footnoteReference w:id="1237"/>
      </w:r>
      <w:r>
        <w:rPr>
          <w:rFonts w:ascii="IRNazanin" w:hAnsi="IRNazanin" w:eastAsia="IRNazanin" w:cs="IRNazanin"/>
          <w:lang w:bidi="fa-IR"/>
          <w:color w:val="111111"/>
          <w:sz w:val="28"/>
          <w:szCs w:val="28"/>
          <w:rtl/>
        </w:rPr>
        <w:t xml:space="preserve">کونه زیادة مبطلة</w:t>
      </w:r>
    </w:p>
    <w:p>
      <w:pPr>
        <w:pStyle w:val="BookText"/>
      </w:pPr>
      <w:r>
        <w:rPr>
          <w:rFonts w:ascii="IRNazanin" w:hAnsi="IRNazanin" w:eastAsia="IRNazanin" w:cs="IRNazanin"/>
          <w:lang w:bidi="fa-IR"/>
          <w:color w:val="111111"/>
          <w:sz w:val="28"/>
          <w:szCs w:val="28"/>
          <w:rtl/>
        </w:rPr>
        <w:t xml:space="preserve">،ففی التخییر هنا؛لأنّه من دوران الأمر فی ذلک الشیء بین الوجوب و التحریم.أو وجوب الاحتیاط بتکرار العبادة و فعلها مرّة مع ذلک الشیء و اخری بدونه،</w:t>
      </w:r>
    </w:p>
    <w:p>
      <w:pPr>
        <w:pStyle w:val="Heading6"/>
      </w:pPr>
      <w:bookmarkStart w:id="1515" w:name="_Toc550"/>
      <w:r>
        <w:t>وجهان [فی المسألة] :</w:t>
      </w:r>
      <w:bookmarkEnd w:id="1515"/>
    </w:p>
    <w:p>
      <w:pPr>
        <w:pStyle w:val="BookText"/>
      </w:pPr>
      <w:r>
        <w:rPr>
          <w:rFonts w:ascii="IRNazanin" w:hAnsi="IRNazanin" w:eastAsia="IRNazanin" w:cs="IRNazanin"/>
          <w:lang w:bidi="fa-IR"/>
          <w:color w:val="111111"/>
          <w:sz w:val="28"/>
          <w:szCs w:val="28"/>
          <w:rtl/>
        </w:rPr>
        <w:t xml:space="preserve">مثاله:الجهر بالقراءة فی ظهر الجمعة،حیث قیل بوجوبه </w:t>
      </w:r>
      <w:r>
        <w:rPr>
          <w:rStyle w:val="FootnoteReference"/>
        </w:rPr>
        <w:footnoteReference w:id="1238"/>
      </w:r>
      <w:r>
        <w:rPr>
          <w:rFonts w:ascii="IRNazanin" w:hAnsi="IRNazanin" w:eastAsia="IRNazanin" w:cs="IRNazanin"/>
          <w:lang w:bidi="fa-IR"/>
          <w:color w:val="111111"/>
          <w:sz w:val="28"/>
          <w:szCs w:val="28"/>
          <w:rtl/>
        </w:rPr>
        <w:t xml:space="preserve">و قیل بوجوب الإخفات و إبطال الجهر </w:t>
      </w:r>
      <w:r>
        <w:rPr>
          <w:rStyle w:val="FootnoteReference"/>
        </w:rPr>
        <w:footnoteReference w:id="1239"/>
      </w:r>
      <w:r>
        <w:rPr>
          <w:rFonts w:ascii="IRNazanin" w:hAnsi="IRNazanin" w:eastAsia="IRNazanin" w:cs="IRNazanin"/>
          <w:lang w:bidi="fa-IR"/>
          <w:color w:val="111111"/>
          <w:sz w:val="28"/>
          <w:szCs w:val="28"/>
          <w:rtl/>
        </w:rPr>
        <w:t xml:space="preserve">،و کالجهر بالبسملة فی الرکعتین الأخیرتین،و کتدارک الحمد عند الشکّ فیه بعد الدخول فی السورة.</w:t>
      </w:r>
    </w:p>
    <w:p>
      <w:pPr>
        <w:pStyle w:val="BookText"/>
      </w:pPr>
      <w:r>
        <w:rPr>
          <w:rFonts w:ascii="Amiri" w:hAnsi="Amiri" w:eastAsia="Amiri" w:cs="Amiri"/>
          <w:lang w:bidi="ar-SA"/>
          <w:color w:val="111111"/>
          <w:sz w:val="28"/>
          <w:szCs w:val="28"/>
          <w:rtl/>
        </w:rPr>
        <w:t xml:space="preserve">فقد یرجّح الأوّل:</w:t>
      </w:r>
    </w:p>
    <w:p>
      <w:pPr>
        <w:pStyle w:val="Heading6"/>
      </w:pPr>
      <w:bookmarkStart w:id="1516" w:name="_Toc551"/>
      <w:r>
        <w:t>[التخییر و الدلیل علیه]</w:t>
      </w:r>
      <w:bookmarkEnd w:id="1516"/>
    </w:p>
    <w:p>
      <w:pPr>
        <w:pStyle w:val="BookText"/>
      </w:pPr>
      <w:r>
        <w:rPr>
          <w:rFonts w:ascii="IRNazanin" w:hAnsi="IRNazanin" w:eastAsia="IRNazanin" w:cs="IRNazanin"/>
          <w:lang w:bidi="fa-IR"/>
          <w:color w:val="111111"/>
          <w:sz w:val="28"/>
          <w:szCs w:val="28"/>
          <w:rtl/>
        </w:rPr>
        <w:t xml:space="preserve">أمّا بناء علی ما اخترناه:من أصالة البراءة مع الشکّ فی</w:t>
      </w:r>
    </w:p>
    <w:p>
      <w:pPr>
        <w:pStyle w:val="BookText"/>
      </w:pPr>
      <w:r>
        <w:rPr>
          <w:rFonts w:ascii="IRNazanin" w:hAnsi="IRNazanin" w:eastAsia="IRNazanin" w:cs="IRNazanin"/>
          <w:lang w:bidi="fa-IR"/>
          <w:color w:val="111111"/>
          <w:sz w:val="28"/>
          <w:szCs w:val="28"/>
          <w:rtl/>
        </w:rPr>
        <w:t xml:space="preserve">[شماره صفحه واقعی : 400]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الشرطیّة و الجزئیّة؛فلأنّ المانع من إجراء البراءة عن اللزوم الغیریّ فی کلّ من الفعل و الترک لیس إلاّ لزوم المخالفة القطعیّة،و هی غیر قادحة؛ لأنّها لا یتعلّق </w:t>
      </w:r>
      <w:r>
        <w:rPr>
          <w:rStyle w:val="FootnoteReference"/>
        </w:rPr>
        <w:footnoteReference w:id="1240"/>
      </w:r>
      <w:r>
        <w:rPr>
          <w:rFonts w:ascii="IRNazanin" w:hAnsi="IRNazanin" w:eastAsia="IRNazanin" w:cs="IRNazanin"/>
          <w:lang w:bidi="fa-IR"/>
          <w:color w:val="111111"/>
          <w:sz w:val="28"/>
          <w:szCs w:val="28"/>
          <w:rtl/>
        </w:rPr>
        <w:t xml:space="preserve">بالعمل؛لأنّ واحدا من فعل ذلک الشیء و ترکه ضروریّ مع العبادة،فلا یلزم من العمل بالأصل فی کلیهما معصیة متیقّنة،کما کان یلزم فی طرح المتباینین کالظهر و الجمعة.</w:t>
      </w:r>
    </w:p>
    <w:p>
      <w:pPr>
        <w:pStyle w:val="BookText"/>
      </w:pPr>
      <w:r>
        <w:rPr>
          <w:rFonts w:ascii="IRNazanin" w:hAnsi="IRNazanin" w:eastAsia="IRNazanin" w:cs="IRNazanin"/>
          <w:lang w:bidi="fa-IR"/>
          <w:color w:val="111111"/>
          <w:sz w:val="28"/>
          <w:szCs w:val="28"/>
          <w:rtl/>
        </w:rPr>
        <w:t xml:space="preserve">و بتقریر آخر:إذا أتی بالعبادة مع واحد منهما قبح العقاب من جهة اعتبار الآخر فی الواقع لو کان معتبرا؛لعدم الدلیل علیه،و قبح المؤاخذة من دون بیان،فالأجزاء المعلومة ممّا یعلم کون ترکها منشأ للعقاب،و أمّا هذا المردّد بین الفعل و الترک فلا یصحّ استناد العقاب إلیه؛لعدم العلم به،و ترکهما جمیعا غیر ممکن حتّی یقال:إنّ العقاب علی ترکهما معا ثابت،فلا وجه لنفیه عن کلّ منهما.</w:t>
      </w:r>
    </w:p>
    <w:p>
      <w:pPr>
        <w:pStyle w:val="BookText"/>
      </w:pPr>
      <w:r>
        <w:rPr>
          <w:rFonts w:ascii="IRNazanin" w:hAnsi="IRNazanin" w:eastAsia="IRNazanin" w:cs="IRNazanin"/>
          <w:lang w:bidi="fa-IR"/>
          <w:color w:val="111111"/>
          <w:sz w:val="28"/>
          <w:szCs w:val="28"/>
          <w:rtl/>
        </w:rPr>
        <w:t xml:space="preserve">و أمّا بناء علی وجوب الاحتیاط عند الشکّ فی الشرطیّة و الجزئیّة؛ فلأنّ وجوب الاحتیاط فرع بقاء وجوب الشرط الواقعیّ المردّد بین الفعل و الترک،و إیجابه مع الجهل مستلزم لإلغاء شرطیّة الجزم بالنیّة و اقتران الواجب الواقعیّ بنیّة الإطاعة به بالخصوص مع التمکّن،فیدور الأمر بین مراعاة ذلک الشرط المردّد،و بین مراعاة شرط الجزم بالنیّة.</w:t>
      </w:r>
    </w:p>
    <w:p>
      <w:pPr>
        <w:pStyle w:val="BookText"/>
      </w:pPr>
      <w:r>
        <w:rPr>
          <w:rFonts w:ascii="IRNazanin" w:hAnsi="IRNazanin" w:eastAsia="IRNazanin" w:cs="IRNazanin"/>
          <w:lang w:bidi="fa-IR"/>
          <w:color w:val="111111"/>
          <w:sz w:val="28"/>
          <w:szCs w:val="28"/>
          <w:rtl/>
        </w:rPr>
        <w:t xml:space="preserve">و بالجملة:فعدم وجوب الاحتیاط فی المقام؛لمنع اعتبار ذلک الأمر المردّد بین الفعل و الترک فی العبادة واقعا فی المقام-نظیر القول بعدم وجوب الاحتیاط بالصلاة مع اشتباه القبلة،لمنع شرطیّة الاستقبال مع الجهل-لا لعدم وجوب الاحتیاط فی الشکّ فی المکلّف به.</w:t>
      </w:r>
    </w:p>
    <w:p>
      <w:pPr>
        <w:pStyle w:val="BookText"/>
      </w:pPr>
      <w:r>
        <w:rPr>
          <w:rFonts w:ascii="IRNazanin" w:hAnsi="IRNazanin" w:eastAsia="IRNazanin" w:cs="IRNazanin"/>
          <w:lang w:bidi="fa-IR"/>
          <w:color w:val="111111"/>
          <w:sz w:val="28"/>
          <w:szCs w:val="28"/>
          <w:rtl/>
        </w:rPr>
        <w:t xml:space="preserve">[شماره صفحه واقعی : 401]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268" w:name="pg14411_142791"/>
    <w:bookmarkEnd w:id="268"/>
    <w:p>
      <w:pPr>
        <w:pStyle w:val="Heading6"/>
      </w:pPr>
      <w:bookmarkStart w:id="1517" w:name="_Toc552"/>
      <w:r>
        <w:t>[وجوب الاحتیاط و الدلیل علیه]</w:t>
      </w:r>
      <w:bookmarkEnd w:id="1517"/>
    </w:p>
    <w:p>
      <w:pPr>
        <w:pStyle w:val="BookText"/>
      </w:pPr>
      <w:r>
        <w:rPr>
          <w:rFonts w:ascii="IRNazanin" w:hAnsi="IRNazanin" w:eastAsia="IRNazanin" w:cs="IRNazanin"/>
          <w:lang w:bidi="fa-IR"/>
          <w:color w:val="111111"/>
          <w:sz w:val="28"/>
          <w:szCs w:val="28"/>
          <w:rtl/>
        </w:rPr>
        <w:t xml:space="preserve">هذا،و قد یرجّح الثانی و إن قلنا بعدم وجوبه فی الشکّ فی الشرطیّة و الجزئیّة؛لأنّ مرجع الشکّ هنا إلی المتباینین؛لمنع جریان أدلّة نفی الجزئیّة و الشرطیّة عند الشکّ فی المقام من العقل و النقل </w:t>
      </w:r>
      <w:r>
        <w:rPr>
          <w:rStyle w:val="FootnoteReference"/>
        </w:rPr>
        <w:footnoteReference w:id="12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ما ذکر:من أنّ إیجاب الأمر الواقعیّ المردّد بین الفعل و الترک مستلزم لإلغاء الجزم بالنیّة،مدفوع بالتزام ذلک،و لا ضیر فیه؛و لذا وجب تکرار الصلاة فی الثوبین المشتبهین،و إلی الجهات الأربع،و تکرار الوضوء بالماءین عند اشتباه المطلق و المضاف مع وجودهما،و الجمع بین الوضوء و التیمّم إذا فقد أحدهما.</w:t>
      </w:r>
    </w:p>
    <w:p>
      <w:pPr>
        <w:pStyle w:val="BookText"/>
      </w:pPr>
      <w:r>
        <w:rPr>
          <w:rFonts w:ascii="IRNazanin" w:hAnsi="IRNazanin" w:eastAsia="IRNazanin" w:cs="IRNazanin"/>
          <w:lang w:bidi="fa-IR"/>
          <w:color w:val="111111"/>
          <w:sz w:val="28"/>
          <w:szCs w:val="28"/>
          <w:rtl/>
        </w:rPr>
        <w:t xml:space="preserve">مع أنّ ما ذکرنا فی نفی کلّ من الشرطیّة و المانعیّة بالأصل إنّما یستقیم لو کان کلّ من الفعل و الترک توصّلیّا علی تقدیر الاعتبار،و إلاّ فیلزم من العمل بالأصلین مخالفة عملیّة،کما لا یخفی.</w:t>
      </w:r>
    </w:p>
    <w:p>
      <w:pPr>
        <w:pStyle w:val="Heading6"/>
      </w:pPr>
      <w:bookmarkStart w:id="1518" w:name="_Toc553"/>
      <w:r>
        <w:t>[التحقیق فی المسألة]</w:t>
      </w:r>
      <w:bookmarkEnd w:id="1518"/>
    </w:p>
    <w:p>
      <w:pPr>
        <w:pStyle w:val="BookText"/>
      </w:pPr>
      <w:r>
        <w:rPr>
          <w:rFonts w:ascii="IRNazanin" w:hAnsi="IRNazanin" w:eastAsia="IRNazanin" w:cs="IRNazanin"/>
          <w:lang w:bidi="fa-IR"/>
          <w:color w:val="111111"/>
          <w:sz w:val="28"/>
          <w:szCs w:val="28"/>
          <w:rtl/>
        </w:rPr>
        <w:t xml:space="preserve">و التحقیق:أنّه إن قلنا بعدم وجوب الاحتیاط فی الشکّ فی الشرطیّة و الجزئیّة و عدم حرمة المخالفة القطعیّة للواقع إذا لم تکن عملیّة، فالأقوی التخییر هنا،و إلاّ تعیّن الجمع بتکرار العبادة،و وجهه یظهر ممّا ذکرنا.</w:t>
      </w:r>
    </w:p>
    <w:p>
      <w:pPr>
        <w:pStyle w:val="BookText"/>
      </w:pPr>
      <w:r>
        <w:rPr>
          <w:rFonts w:ascii="IRNazanin" w:hAnsi="IRNazanin" w:eastAsia="IRNazanin" w:cs="IRNazanin"/>
          <w:lang w:bidi="fa-IR"/>
          <w:color w:val="111111"/>
          <w:sz w:val="28"/>
          <w:szCs w:val="28"/>
          <w:rtl/>
        </w:rPr>
        <w:t xml:space="preserve">[شماره صفحه واقعی : 402]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269" w:name="pg14411_142792"/>
    <w:bookmarkEnd w:id="269"/>
    <w:p>
      <w:pPr>
        <w:pStyle w:val="Heading6"/>
      </w:pPr>
      <w:bookmarkStart w:id="1519" w:name="_Toc554"/>
      <w:r>
        <w:t>المطلب الثالث فی اشتباه الواجب بالحرام</w:t>
      </w:r>
      <w:bookmarkEnd w:id="1519"/>
    </w:p>
    <w:p>
      <w:pPr>
        <w:pStyle w:val="Heading6"/>
      </w:pPr>
      <w:bookmarkStart w:id="1520" w:name="_Toc555"/>
      <w:r>
        <w:t>اشارة</w:t>
      </w:r>
      <w:bookmarkEnd w:id="1520"/>
    </w:p>
    <w:p>
      <w:pPr>
        <w:pStyle w:val="BookText"/>
      </w:pPr>
      <w:r>
        <w:rPr>
          <w:rFonts w:ascii="IRNazanin" w:hAnsi="IRNazanin" w:eastAsia="IRNazanin" w:cs="IRNazanin"/>
          <w:lang w:bidi="fa-IR"/>
          <w:color w:val="111111"/>
          <w:sz w:val="28"/>
          <w:szCs w:val="28"/>
          <w:rtl/>
        </w:rPr>
        <w:t xml:space="preserve">بأن یعلم أنّ أحد الفعلین واجب و الآخر محرّم،و اشتبه أحدهما بالآخر.و أمّا لو علم أنّ واحدا من الفعل و الترک واجب و الآخر محرّم، فهو خارج عن هذا المطلب؛لأنّه من دوران الأمر بین الوجوب و الحرمة الذی تقدّم حکمه فی المطلب الثالث من مطالب الشکّ فی التکلیف.</w:t>
      </w:r>
    </w:p>
    <w:p>
      <w:pPr>
        <w:pStyle w:val="Heading6"/>
      </w:pPr>
      <w:bookmarkStart w:id="1521" w:name="_Toc556"/>
      <w:r>
        <w:t>[حکم المسألة]</w:t>
      </w:r>
      <w:bookmarkEnd w:id="1521"/>
    </w:p>
    <w:p>
      <w:pPr>
        <w:pStyle w:val="BookText"/>
      </w:pPr>
      <w:r>
        <w:rPr>
          <w:rFonts w:ascii="IRNazanin" w:hAnsi="IRNazanin" w:eastAsia="IRNazanin" w:cs="IRNazanin"/>
          <w:lang w:bidi="fa-IR"/>
          <w:color w:val="111111"/>
          <w:sz w:val="28"/>
          <w:szCs w:val="28"/>
          <w:rtl/>
        </w:rPr>
        <w:t xml:space="preserve">و الحکم فیما نحن فیه:وجوب الإتیان بأحدهما و ترک الآخر مخیّرا فی ذلک؛لأنّ الموافقة الاحتمالیّة فی کلا التکلیفین أولی من الموافقة القطعیّة فی أحدهما مع المخالفة القطعیّة فی الآخر؛و منشأ ذلک:أنّ الاحتیاط لدفع الضرر المحتمل لا یحسن بارتکاب الضرر المقطوع،و اللّه أعلم.</w:t>
      </w:r>
    </w:p>
    <w:p>
      <w:pPr>
        <w:pStyle w:val="BookText"/>
      </w:pPr>
      <w:r>
        <w:rPr>
          <w:rFonts w:ascii="IRNazanin" w:hAnsi="IRNazanin" w:eastAsia="IRNazanin" w:cs="IRNazanin"/>
          <w:lang w:bidi="fa-IR"/>
          <w:color w:val="111111"/>
          <w:sz w:val="28"/>
          <w:szCs w:val="28"/>
          <w:rtl/>
        </w:rPr>
        <w:t xml:space="preserve">[شماره صفحه واقعی : 403]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404]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270" w:name="pg14411_142794"/>
    <w:bookmarkEnd w:id="270"/>
    <w:p>
      <w:pPr>
        <w:pStyle w:val="Heading6"/>
      </w:pPr>
      <w:bookmarkStart w:id="1522" w:name="_Toc557"/>
      <w:r>
        <w:t>خاتمة فیما یعتبر فی العمل بالأصل [،و الکلام فی مقامین:]</w:t>
      </w:r>
      <w:bookmarkEnd w:id="1522"/>
    </w:p>
    <w:p>
      <w:pPr>
        <w:pStyle w:val="Heading6"/>
      </w:pPr>
      <w:bookmarkStart w:id="1523" w:name="_Toc558"/>
      <w:r>
        <w:t>اشارة</w:t>
      </w:r>
      <w:bookmarkEnd w:id="1523"/>
    </w:p>
    <w:p>
      <w:pPr>
        <w:pStyle w:val="BookText"/>
      </w:pPr>
      <w:r>
        <w:rPr>
          <w:rFonts w:ascii="IRNazanin" w:hAnsi="IRNazanin" w:eastAsia="IRNazanin" w:cs="IRNazanin"/>
          <w:lang w:bidi="fa-IR"/>
          <w:color w:val="111111"/>
          <w:sz w:val="28"/>
          <w:szCs w:val="28"/>
          <w:rtl/>
        </w:rPr>
        <w:t xml:space="preserve">و الکلام:تارة فی الاحتیاط،و اخری فی البراءة:</w:t>
      </w:r>
    </w:p>
    <w:p>
      <w:pPr>
        <w:pStyle w:val="Heading6"/>
      </w:pPr>
      <w:bookmarkStart w:id="1524" w:name="_Toc559"/>
      <w:r>
        <w:t>[المقام الأوّل:ما یعتبر فی العمل بالاحتیاط]</w:t>
      </w:r>
      <w:bookmarkEnd w:id="1524"/>
    </w:p>
    <w:p>
      <w:pPr>
        <w:pStyle w:val="Heading6"/>
      </w:pPr>
      <w:bookmarkStart w:id="1525" w:name="_Toc560"/>
      <w:r>
        <w:t>اشارة</w:t>
      </w:r>
      <w:bookmarkEnd w:id="1525"/>
    </w:p>
    <w:p>
      <w:pPr>
        <w:pStyle w:val="BookText"/>
      </w:pPr>
      <w:r>
        <w:rPr>
          <w:rFonts w:ascii="IRNazanin" w:hAnsi="IRNazanin" w:eastAsia="IRNazanin" w:cs="IRNazanin"/>
          <w:lang w:bidi="fa-IR"/>
          <w:color w:val="111111"/>
          <w:sz w:val="28"/>
          <w:szCs w:val="28"/>
          <w:rtl/>
        </w:rPr>
        <w:t xml:space="preserve">أمّا الاحتیاط:</w:t>
      </w:r>
    </w:p>
    <w:p>
      <w:pPr>
        <w:pStyle w:val="BookText"/>
      </w:pPr>
      <w:r>
        <w:rPr>
          <w:rFonts w:ascii="IRNazanin" w:hAnsi="IRNazanin" w:eastAsia="IRNazanin" w:cs="IRNazanin"/>
          <w:lang w:bidi="fa-IR"/>
          <w:color w:val="111111"/>
          <w:sz w:val="28"/>
          <w:szCs w:val="28"/>
          <w:rtl/>
        </w:rPr>
        <w:t xml:space="preserve">فالظاهر:أنّه لا یعتبر فی العمل به أمر زائد علی تحقّق موضوعه، و یکفی فی موضوعه إحراز الواقع المشکوک فیه به و لو کان علی خلافه دلیل اجتهادیّ بالنسبة إلیه؛فإنّ قیام الخبر الصحیح علی عدم وجوب شیء لا یمنع من الاحتیاط فیه؛لعموم أدلّة رجحان الاحتیاط،غایة الأمر عدم وجوب الاحتیاط.و هذا ممّا لا خلاف فیه و لا إشکال.</w:t>
      </w:r>
    </w:p>
    <w:p>
      <w:pPr>
        <w:pStyle w:val="BookText"/>
      </w:pPr>
      <w:r>
        <w:rPr>
          <w:rFonts w:ascii="IRNazanin" w:hAnsi="IRNazanin" w:eastAsia="IRNazanin" w:cs="IRNazanin"/>
          <w:lang w:bidi="fa-IR"/>
          <w:color w:val="111111"/>
          <w:sz w:val="28"/>
          <w:szCs w:val="28"/>
          <w:rtl/>
        </w:rPr>
        <w:t xml:space="preserve">إنّما الکلام یقع فی بعض الموارد،من جهة تحقّق موضوع الاحتیاط و إحراز الواقع،کما فی العبادات المتوقّفة صحّتها علی نیّة الوجه،</w:t>
      </w:r>
    </w:p>
    <w:p>
      <w:pPr>
        <w:pStyle w:val="Heading6"/>
      </w:pPr>
      <w:bookmarkStart w:id="1526" w:name="_Toc561"/>
      <w:r>
        <w:t>[المشهور عدم تحقّق الاحتیاط فی العبادات إلاّ بعد الفحص]</w:t>
      </w:r>
      <w:bookmarkEnd w:id="1526"/>
    </w:p>
    <w:p>
      <w:pPr>
        <w:pStyle w:val="BookText"/>
      </w:pPr>
      <w:r>
        <w:rPr>
          <w:rFonts w:ascii="IRNazanin" w:hAnsi="IRNazanin" w:eastAsia="IRNazanin" w:cs="IRNazanin"/>
          <w:lang w:bidi="fa-IR"/>
          <w:color w:val="111111"/>
          <w:sz w:val="28"/>
          <w:szCs w:val="28"/>
          <w:rtl/>
        </w:rPr>
        <w:t xml:space="preserve">فإنّ المشهور أنّ الاحتیاط فیها غیر متحقّق إلاّ بعد فحص المجتهد عن الطرق الشرعیّة المثبتة </w:t>
      </w:r>
      <w:r>
        <w:rPr>
          <w:rStyle w:val="FootnoteReference"/>
        </w:rPr>
        <w:footnoteReference w:id="1242"/>
      </w:r>
      <w:r>
        <w:rPr>
          <w:rFonts w:ascii="IRNazanin" w:hAnsi="IRNazanin" w:eastAsia="IRNazanin" w:cs="IRNazanin"/>
          <w:lang w:bidi="fa-IR"/>
          <w:color w:val="111111"/>
          <w:sz w:val="28"/>
          <w:szCs w:val="28"/>
          <w:rtl/>
        </w:rPr>
        <w:t xml:space="preserve">لوجه الفعل،و عدم عثوره علی طریق منها؛لأنّ نیّة الوجه حینئذ ساقطة قطعا.</w:t>
      </w:r>
    </w:p>
    <w:p>
      <w:pPr>
        <w:pStyle w:val="BookText"/>
      </w:pPr>
      <w:r>
        <w:rPr>
          <w:rFonts w:ascii="IRNazanin" w:hAnsi="IRNazanin" w:eastAsia="IRNazanin" w:cs="IRNazanin"/>
          <w:lang w:bidi="fa-IR"/>
          <w:color w:val="111111"/>
          <w:sz w:val="28"/>
          <w:szCs w:val="28"/>
          <w:rtl/>
        </w:rPr>
        <w:t xml:space="preserve">[شماره صفحه واقعی : 405]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271" w:name="pg14411_142795"/>
    <w:bookmarkEnd w:id="271"/>
    <w:p>
      <w:pPr>
        <w:pStyle w:val="BookText"/>
      </w:pPr>
      <w:r>
        <w:rPr>
          <w:rFonts w:ascii="IRNazanin" w:hAnsi="IRNazanin" w:eastAsia="IRNazanin" w:cs="IRNazanin"/>
          <w:lang w:bidi="fa-IR"/>
          <w:color w:val="111111"/>
          <w:sz w:val="28"/>
          <w:szCs w:val="28"/>
          <w:rtl/>
        </w:rPr>
        <w:t xml:space="preserve">فإذا شکّ فی وجوب غسل الجمعة و استحبابه،أو فی وجوب السورة و استحبابها،فلا یصحّ له الاحتیاط بإتیان الفعل قبل الفحص عن الطرق الشرعیّة؛لأنّه لا یتمکّن من الفعل بنیّة الوجه،و الفعل بدونها غیر مجد بناء علی اعتبار نیّة الوجه؛لفقد الشرط،فلا یتحقّق قبل الفحص إحراز الواقع.فإذا تفحّص:فإن عثر علی دلیل الوجوب أو الاستحباب،أتی بالفعل ناویا لوجوبه أو استحبابه،و إن لم یعثر علیه فله أن یعمل بالاحتیاط؛لأنّ المفروض سقوط نیّة الوجه؛لعدم تمکّنه منها.</w:t>
      </w:r>
    </w:p>
    <w:p>
      <w:pPr>
        <w:pStyle w:val="Heading6"/>
      </w:pPr>
      <w:bookmarkStart w:id="1527" w:name="_Toc562"/>
      <w:r>
        <w:t>[المشهور بطلان عبادة تارک طریقی الاجتهاد و التقلید]</w:t>
      </w:r>
      <w:bookmarkEnd w:id="1527"/>
    </w:p>
    <w:p>
      <w:pPr>
        <w:pStyle w:val="BookText"/>
      </w:pPr>
      <w:r>
        <w:rPr>
          <w:rFonts w:ascii="IRNazanin" w:hAnsi="IRNazanin" w:eastAsia="IRNazanin" w:cs="IRNazanin"/>
          <w:lang w:bidi="fa-IR"/>
          <w:color w:val="111111"/>
          <w:sz w:val="28"/>
          <w:szCs w:val="28"/>
          <w:rtl/>
        </w:rPr>
        <w:t xml:space="preserve">و کذا لا یجوز للمقلّد الاحتیاط قبل الفحص عن مذهب مجتهده، نعم یجوز له بعد الفحص.و من هنا قد اشتهر بین أصحابنا:أنّ عبادة تارک طریقی الاجتهاد و التقلید غیر صحیحة و إن علم إجمالا بمطابقتها للواقع،بل یجب أخذ أحکام العبادات عن اجتهاد أو تقلید </w:t>
      </w:r>
      <w:r>
        <w:rPr>
          <w:rStyle w:val="FootnoteReference"/>
        </w:rPr>
        <w:footnoteReference w:id="12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 هذه المسألة-أعنی بطلان عبادة تارک الطریقین-یقع الکلام فیها فی مقامین؛لأنّ العامل التارک فی عمله لطریقی الاجتهاد و التقلید:إمّا أن یکون حین العمل بانیا علی الاحتیاط و إحراز الواقع، و إمّا أن لا یکون کذلک.</w:t>
      </w:r>
    </w:p>
    <w:p>
      <w:pPr>
        <w:pStyle w:val="BookText"/>
      </w:pPr>
      <w:r>
        <w:rPr>
          <w:rFonts w:ascii="Amiri" w:hAnsi="Amiri" w:eastAsia="Amiri" w:cs="Amiri"/>
          <w:lang w:bidi="ar-SA"/>
          <w:color w:val="111111"/>
          <w:sz w:val="28"/>
          <w:szCs w:val="28"/>
          <w:rtl/>
        </w:rPr>
        <w:t xml:space="preserve">و المتعلّق </w:t>
      </w:r>
      <w:r>
        <w:rPr>
          <w:rStyle w:val="FootnoteReference"/>
        </w:rPr>
        <w:footnoteReference w:id="1244"/>
      </w:r>
      <w:r>
        <w:rPr>
          <w:rFonts w:ascii="IRNazanin" w:hAnsi="IRNazanin" w:eastAsia="IRNazanin" w:cs="IRNazanin"/>
          <w:lang w:bidi="fa-IR"/>
          <w:color w:val="111111"/>
          <w:sz w:val="28"/>
          <w:szCs w:val="28"/>
          <w:rtl/>
        </w:rPr>
        <w:t xml:space="preserve">بما نحن فیه هو الأوّل،و أمّا الثانی فسیجیء الکلام فیه فی شروط البراءة </w:t>
      </w:r>
      <w:r>
        <w:rPr>
          <w:rStyle w:val="FootnoteReference"/>
        </w:rPr>
        <w:footnoteReference w:id="1245"/>
      </w:r>
      <w:r>
        <w:rPr>
          <w:rFonts w:ascii="IRNazanin" w:hAnsi="IRNazanin" w:eastAsia="IRNazanin" w:cs="IRNazanin"/>
          <w:lang w:bidi="fa-IR"/>
          <w:color w:val="111111"/>
          <w:sz w:val="28"/>
          <w:szCs w:val="28"/>
          <w:rtl/>
        </w:rPr>
        <w:t xml:space="preserve">.فنقول:</w:t>
      </w:r>
    </w:p>
    <w:p>
      <w:pPr>
        <w:pStyle w:val="BookText"/>
      </w:pPr>
      <w:r>
        <w:rPr>
          <w:rFonts w:ascii="IRNazanin" w:hAnsi="IRNazanin" w:eastAsia="IRNazanin" w:cs="IRNazanin"/>
          <w:lang w:bidi="fa-IR"/>
          <w:color w:val="111111"/>
          <w:sz w:val="28"/>
          <w:szCs w:val="28"/>
          <w:rtl/>
        </w:rPr>
        <w:t xml:space="preserve">[شماره صفحه واقعی : 406]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272" w:name="pg14411_142796"/>
    <w:bookmarkEnd w:id="272"/>
    <w:p>
      <w:pPr>
        <w:pStyle w:val="Heading6"/>
      </w:pPr>
      <w:bookmarkStart w:id="1528" w:name="_Toc563"/>
      <w:r>
        <w:t>[لو کان التارک للطریقین بانیا علی الاحتیاط]</w:t>
      </w:r>
      <w:bookmarkEnd w:id="1528"/>
    </w:p>
    <w:p>
      <w:pPr>
        <w:pStyle w:val="BookText"/>
      </w:pPr>
      <w:r>
        <w:rPr>
          <w:rFonts w:ascii="IRNazanin" w:hAnsi="IRNazanin" w:eastAsia="IRNazanin" w:cs="IRNazanin"/>
          <w:lang w:bidi="fa-IR"/>
          <w:color w:val="111111"/>
          <w:sz w:val="28"/>
          <w:szCs w:val="28"/>
          <w:rtl/>
        </w:rPr>
        <w:t xml:space="preserve">إنّ الجاهل التارک للطریقین البانی علی الاحتیاط علی قسمین؛ لأنّ إحرازه للواقع:تارة لا یحتاج إلی تکرار العمل،کالآتی بالسورة فی صلاته احتیاطا،و غیر ذلک من موارد الشکّ فی الشرطیّة و الجزئیّة.</w:t>
      </w:r>
    </w:p>
    <w:p>
      <w:pPr>
        <w:pStyle w:val="BookText"/>
      </w:pPr>
      <w:r>
        <w:rPr>
          <w:rFonts w:ascii="IRNazanin" w:hAnsi="IRNazanin" w:eastAsia="IRNazanin" w:cs="IRNazanin"/>
          <w:lang w:bidi="fa-IR"/>
          <w:color w:val="111111"/>
          <w:sz w:val="28"/>
          <w:szCs w:val="28"/>
          <w:rtl/>
        </w:rPr>
        <w:t xml:space="preserve">و اخری یحتاج إلی التکرار کما فی المتباینین،کالجاهل بوجوب القصر و الإتمام فی مسیرة </w:t>
      </w:r>
      <w:r>
        <w:rPr>
          <w:rStyle w:val="FootnoteReference"/>
        </w:rPr>
        <w:footnoteReference w:id="1246"/>
      </w:r>
      <w:r>
        <w:rPr>
          <w:rFonts w:ascii="IRNazanin" w:hAnsi="IRNazanin" w:eastAsia="IRNazanin" w:cs="IRNazanin"/>
          <w:lang w:bidi="fa-IR"/>
          <w:color w:val="111111"/>
          <w:sz w:val="28"/>
          <w:szCs w:val="28"/>
          <w:rtl/>
        </w:rPr>
        <w:t xml:space="preserve">أربع فراسخ،و الجاهل بوجوب الظهر و </w:t>
      </w:r>
      <w:r>
        <w:rPr>
          <w:rStyle w:val="FootnoteReference"/>
        </w:rPr>
        <w:footnoteReference w:id="1247"/>
      </w:r>
      <w:r>
        <w:rPr>
          <w:rFonts w:ascii="IRNazanin" w:hAnsi="IRNazanin" w:eastAsia="IRNazanin" w:cs="IRNazanin"/>
          <w:lang w:bidi="fa-IR"/>
          <w:color w:val="111111"/>
          <w:sz w:val="28"/>
          <w:szCs w:val="28"/>
          <w:rtl/>
        </w:rPr>
        <w:t xml:space="preserve">الجمعة علیه.</w:t>
      </w:r>
    </w:p>
    <w:p>
      <w:pPr>
        <w:pStyle w:val="Heading6"/>
      </w:pPr>
      <w:bookmarkStart w:id="1529" w:name="_Toc564"/>
      <w:r>
        <w:t>[الأقوی الصحّة إذا لم یتوقّف الاحتیاط علی التکرار]</w:t>
      </w:r>
      <w:bookmarkEnd w:id="1529"/>
    </w:p>
    <w:p>
      <w:pPr>
        <w:pStyle w:val="BookText"/>
      </w:pPr>
      <w:r>
        <w:rPr>
          <w:rFonts w:ascii="IRNazanin" w:hAnsi="IRNazanin" w:eastAsia="IRNazanin" w:cs="IRNazanin"/>
          <w:lang w:bidi="fa-IR"/>
          <w:color w:val="111111"/>
          <w:sz w:val="28"/>
          <w:szCs w:val="28"/>
          <w:rtl/>
        </w:rPr>
        <w:t xml:space="preserve">أمّا الأوّل،فالأقوی فیه الصحّة،بناء علی عدم اعتبار نیّة الوجه فی العمل.و الکلام فی ذلک قد حرّرناه فی الفقه فی نیّة الوضوء </w:t>
      </w:r>
      <w:r>
        <w:rPr>
          <w:rStyle w:val="FootnoteReference"/>
        </w:rPr>
        <w:footnoteReference w:id="12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نعم،لو شکّ فی اعتبارها و لم یقم دلیل معتبر-من شرع أو عرف-حاکم بتحقّق الإطاعة بدونها،کان مقتضی الاحتیاط اللازم الحکم بعدم الاکتفاء بعبادة الجاهل،حتّی علی المختار:من إجراء البراءة فی الشکّ فی الشرطیّة؛لأنّ هذا الشرط لیس علی حدّ سائر </w:t>
      </w:r>
      <w:r>
        <w:rPr>
          <w:rStyle w:val="FootnoteReference"/>
        </w:rPr>
        <w:footnoteReference w:id="1249"/>
      </w:r>
      <w:r>
        <w:rPr>
          <w:rFonts w:ascii="IRNazanin" w:hAnsi="IRNazanin" w:eastAsia="IRNazanin" w:cs="IRNazanin"/>
          <w:lang w:bidi="fa-IR"/>
          <w:color w:val="111111"/>
          <w:sz w:val="28"/>
          <w:szCs w:val="28"/>
          <w:rtl/>
        </w:rPr>
        <w:t xml:space="preserve">الشروط المأخوذة فی المأمور به الواقعة فی حیّز الأمر،حتّی إذا شکّ فی تعلّق الإلزام به من الشارع حکم العقل بقبح المؤاخذة المسبّبة عن ترکه، و النقل بکونه مرفوعا عن المکلّف،بل هو علی تقدیر اعتباره شرط لتحقّق الإطاعة و سقوط المأمور به و خروج المکلّف عن العهدة،و من المعلوم أنّ مع الشکّ فی ذلک لا بدّ من الاحتیاط و إتیان المأمور به علی</w:t>
      </w:r>
    </w:p>
    <w:p>
      <w:pPr>
        <w:pStyle w:val="BookText"/>
      </w:pPr>
      <w:r>
        <w:rPr>
          <w:rFonts w:ascii="IRNazanin" w:hAnsi="IRNazanin" w:eastAsia="IRNazanin" w:cs="IRNazanin"/>
          <w:lang w:bidi="fa-IR"/>
          <w:color w:val="111111"/>
          <w:sz w:val="28"/>
          <w:szCs w:val="28"/>
          <w:rtl/>
        </w:rPr>
        <w:t xml:space="preserve">[شماره صفحه واقعی : 407]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273" w:name="pg14411_142797"/>
    <w:bookmarkEnd w:id="273"/>
    <w:p>
      <w:pPr>
        <w:pStyle w:val="BookText"/>
      </w:pPr>
      <w:r>
        <w:rPr>
          <w:rFonts w:ascii="IRNazanin" w:hAnsi="IRNazanin" w:eastAsia="IRNazanin" w:cs="IRNazanin"/>
          <w:lang w:bidi="fa-IR"/>
          <w:color w:val="111111"/>
          <w:sz w:val="28"/>
          <w:szCs w:val="28"/>
          <w:rtl/>
        </w:rPr>
        <w:t xml:space="preserve">وجه یقطع معه بالخروج عن العهدة.</w:t>
      </w:r>
    </w:p>
    <w:p>
      <w:pPr>
        <w:pStyle w:val="BookText"/>
      </w:pPr>
      <w:r>
        <w:rPr>
          <w:rFonts w:ascii="IRNazanin" w:hAnsi="IRNazanin" w:eastAsia="IRNazanin" w:cs="IRNazanin"/>
          <w:lang w:bidi="fa-IR"/>
          <w:color w:val="111111"/>
          <w:sz w:val="28"/>
          <w:szCs w:val="28"/>
          <w:rtl/>
        </w:rPr>
        <w:t xml:space="preserve">و بالجملة:فحکم الشکّ فی تحقّق الإطاعة و الخروج عن العهدة بدون الشیء غیر حکم الشکّ فی أنّ أمر المولی متعلّق بنفس الفعل لا بشرط أو به بشرط کذا.و المختار فی الثانی البراءة،و المتعیّن فی الأوّل الاحتیاط.</w:t>
      </w:r>
    </w:p>
    <w:p>
      <w:pPr>
        <w:pStyle w:val="BookText"/>
      </w:pPr>
      <w:r>
        <w:rPr>
          <w:rFonts w:ascii="IRNazanin" w:hAnsi="IRNazanin" w:eastAsia="IRNazanin" w:cs="IRNazanin"/>
          <w:lang w:bidi="fa-IR"/>
          <w:color w:val="111111"/>
          <w:sz w:val="28"/>
          <w:szCs w:val="28"/>
          <w:rtl/>
        </w:rPr>
        <w:t xml:space="preserve">لکنّ الإنصاف:أنّ الشکّ فی تحقّق الإطاعة بدون نیّة الوجه غیر متحقّق؛لقطع العرف بتحقّقها،و عدّهم الآتی بالمأمور به بنیّة الوجه الثابت علیه فی الواقع مطیعا و إن لم یعرفه تفصیلا،بل لا بأس بالإتیان به بقصد القربة المشترکة بین الوجوب و الندب من غیر أن یقصد الوجه الواقعیّ المعلوم للفعل إجمالا.و تفصیل ذلک فی الفقه </w:t>
      </w:r>
      <w:r>
        <w:rPr>
          <w:rStyle w:val="FootnoteReference"/>
        </w:rPr>
        <w:footnoteReference w:id="1250"/>
      </w:r>
      <w:r>
        <w:rPr>
          <w:rFonts w:ascii="Times New Roman" w:hAnsi="Times New Roman" w:eastAsia="Times New Roman" w:cs="Times New Roman"/>
          <w:lang w:val="en-US" w:bidi="en-US"/>
          <w:color w:val="111111"/>
          <w:sz w:val="28"/>
          <w:szCs w:val="28"/>
          <w:rtl/>
        </w:rPr>
        <w:t xml:space="preserve">.</w:t>
      </w:r>
    </w:p>
    <w:p>
      <w:pPr>
        <w:pStyle w:val="Heading6"/>
      </w:pPr>
      <w:bookmarkStart w:id="1530" w:name="_Toc565"/>
      <w:r>
        <w:t>[الأحوط عدم الاکتفاء بالاحتیاط]</w:t>
      </w:r>
      <w:bookmarkEnd w:id="1530"/>
    </w:p>
    <w:p>
      <w:pPr>
        <w:pStyle w:val="BookText"/>
      </w:pPr>
      <w:r>
        <w:rPr>
          <w:rFonts w:ascii="IRNazanin" w:hAnsi="IRNazanin" w:eastAsia="IRNazanin" w:cs="IRNazanin"/>
          <w:lang w:bidi="fa-IR"/>
          <w:color w:val="111111"/>
          <w:sz w:val="28"/>
          <w:szCs w:val="28"/>
          <w:rtl/>
        </w:rPr>
        <w:t xml:space="preserve">إلاّ أنّ الأحوط:عدم اکتفاء الجاهل عن الاجتهاد أو التقلید بالاحتیاط؛لشهرة القول بذلک بین الأصحاب،و نقل غیر واحد </w:t>
      </w:r>
      <w:r>
        <w:rPr>
          <w:rStyle w:val="FootnoteReference"/>
        </w:rPr>
        <w:footnoteReference w:id="1251"/>
      </w:r>
      <w:r>
        <w:rPr>
          <w:rFonts w:ascii="IRNazanin" w:hAnsi="IRNazanin" w:eastAsia="IRNazanin" w:cs="IRNazanin"/>
          <w:lang w:bidi="fa-IR"/>
          <w:color w:val="111111"/>
          <w:sz w:val="28"/>
          <w:szCs w:val="28"/>
          <w:rtl/>
        </w:rPr>
        <w:t xml:space="preserve">اتّفاق المتکلّمین علی وجوب إتیان الواجب و المندوب لوجوبه أو ندبه أو لوجههما،و نقل السیّد الرضیّ قدّس سرّه إجماع أصحابنا علی بطلان صلاة من صلّی صلاة لا یعلم أحکامها،و تقریر أخیه الأجلّ علم الهدی قدّس سرّه له علی ذلک فی مسألة الجاهل بالقصر </w:t>
      </w:r>
      <w:r>
        <w:rPr>
          <w:rStyle w:val="FootnoteReference"/>
        </w:rPr>
        <w:footnoteReference w:id="12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408]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274" w:name="pg14411_142798"/>
    <w:bookmarkEnd w:id="274"/>
    <w:p>
      <w:pPr>
        <w:pStyle w:val="BookText"/>
      </w:pPr>
      <w:r>
        <w:rPr>
          <w:rFonts w:ascii="IRNazanin" w:hAnsi="IRNazanin" w:eastAsia="IRNazanin" w:cs="IRNazanin"/>
          <w:lang w:bidi="fa-IR"/>
          <w:color w:val="111111"/>
          <w:sz w:val="28"/>
          <w:szCs w:val="28"/>
          <w:rtl/>
        </w:rPr>
        <w:t xml:space="preserve">بل یمکن أن یجعل هذان الاتّفاقان المحکیّان من أهل المعقول و المنقول المعتضدان بالشهرة العظیمة،دلیلا فی المسألة،فضلا عن کونهما منشأ للشکّ الملزم للاحتیاط،کما ذکرنا </w:t>
      </w:r>
      <w:r>
        <w:rPr>
          <w:rStyle w:val="FootnoteReference"/>
        </w:rPr>
        <w:footnoteReference w:id="1253"/>
      </w:r>
      <w:r>
        <w:rPr>
          <w:rFonts w:ascii="Times New Roman" w:hAnsi="Times New Roman" w:eastAsia="Times New Roman" w:cs="Times New Roman"/>
          <w:lang w:val="en-US" w:bidi="en-US"/>
          <w:color w:val="111111"/>
          <w:sz w:val="28"/>
          <w:szCs w:val="28"/>
          <w:rtl/>
        </w:rPr>
        <w:t xml:space="preserve">.</w:t>
      </w:r>
    </w:p>
    <w:p>
      <w:pPr>
        <w:pStyle w:val="Heading6"/>
      </w:pPr>
      <w:bookmarkStart w:id="1531" w:name="_Toc566"/>
      <w:r>
        <w:t>[لو توقّف الاحتیاط علی التکرار]</w:t>
      </w:r>
      <w:bookmarkEnd w:id="1531"/>
    </w:p>
    <w:p>
      <w:pPr>
        <w:pStyle w:val="BookText"/>
      </w:pPr>
      <w:r>
        <w:rPr>
          <w:rFonts w:ascii="IRNazanin" w:hAnsi="IRNazanin" w:eastAsia="IRNazanin" w:cs="IRNazanin"/>
          <w:lang w:bidi="fa-IR"/>
          <w:color w:val="111111"/>
          <w:sz w:val="28"/>
          <w:szCs w:val="28"/>
          <w:rtl/>
        </w:rPr>
        <w:t xml:space="preserve">و أمّا الثانی و هو ما یتوقّف الاحتیاط فیه علی تکرار العبادة،فقد یقوی فی النظر-أیضا-:جواز ترک الطریقین فیه إلی الاحتیاط بتکرار العبادة،بناء علی عدم اعتبار نیّة الوجه.</w:t>
      </w:r>
    </w:p>
    <w:p>
      <w:pPr>
        <w:pStyle w:val="Heading6"/>
      </w:pPr>
      <w:bookmarkStart w:id="1532" w:name="_Toc567"/>
      <w:r>
        <w:t>[قوّة احتمال اعتبار الإطاعة التفصیلیّة دون الاحتمالیّة]</w:t>
      </w:r>
      <w:bookmarkEnd w:id="1532"/>
    </w:p>
    <w:p>
      <w:pPr>
        <w:pStyle w:val="BookText"/>
      </w:pPr>
      <w:r>
        <w:rPr>
          <w:rFonts w:ascii="IRNazanin" w:hAnsi="IRNazanin" w:eastAsia="IRNazanin" w:cs="IRNazanin"/>
          <w:lang w:bidi="fa-IR"/>
          <w:color w:val="111111"/>
          <w:sz w:val="28"/>
          <w:szCs w:val="28"/>
          <w:rtl/>
        </w:rPr>
        <w:t xml:space="preserve">لکنّ الإنصاف:عدم العلم بکفایة هذا النحو من الإطاعة الإجمالیّة،و قوّة احتمال اعتبار الإطاعة التفصیلیّة فی العبادة،بأن یعلم المکلّف حین الاشتغال بما یجب علیه،أنّه هو الواجب علیه.</w:t>
      </w:r>
    </w:p>
    <w:p>
      <w:pPr>
        <w:pStyle w:val="BookText"/>
      </w:pPr>
      <w:r>
        <w:rPr>
          <w:rFonts w:ascii="IRNazanin" w:hAnsi="IRNazanin" w:eastAsia="IRNazanin" w:cs="IRNazanin"/>
          <w:lang w:bidi="fa-IR"/>
          <w:color w:val="111111"/>
          <w:sz w:val="28"/>
          <w:szCs w:val="28"/>
          <w:rtl/>
        </w:rPr>
        <w:t xml:space="preserve">و لذا یعدّ تکرار العبادة-لإحراز الواقع-مع التمکّن من العلم التفصیلیّ به أجنبیّا عن سیرة المتشرّعة،بل من أتی بصلوات غیر محصورة لإحراز شروط صلاة واحدة-بأن صلّی فی موضع تردّد فیه القبلة بین أربع جهات،فی خمسة أثواب أحدها طاهر،ساجدا علی خمسة أشیاء أحدها ما یصحّ السجود علیه،مائة صلاة-مع التمکّن من صلاة واحدة یعلم فیها تفصیلا اجتماع الشروط الثلاثة،یعدّ فی الشرع و العرف لاعبا بأمر المولی.</w:t>
      </w:r>
    </w:p>
    <w:p>
      <w:pPr>
        <w:pStyle w:val="BookText"/>
      </w:pPr>
      <w:r>
        <w:rPr>
          <w:rFonts w:ascii="IRNazanin" w:hAnsi="IRNazanin" w:eastAsia="IRNazanin" w:cs="IRNazanin"/>
          <w:lang w:bidi="fa-IR"/>
          <w:color w:val="111111"/>
          <w:sz w:val="28"/>
          <w:szCs w:val="28"/>
          <w:rtl/>
        </w:rPr>
        <w:t xml:space="preserve">و الفرق بین الصلوات الکثیرة و صلاتین لا یرجع إلی محصّل.</w:t>
      </w:r>
    </w:p>
    <w:p>
      <w:pPr>
        <w:pStyle w:val="BookText"/>
      </w:pPr>
      <w:r>
        <w:rPr>
          <w:rFonts w:ascii="IRNazanin" w:hAnsi="IRNazanin" w:eastAsia="IRNazanin" w:cs="IRNazanin"/>
          <w:lang w:bidi="fa-IR"/>
          <w:color w:val="111111"/>
          <w:sz w:val="28"/>
          <w:szCs w:val="28"/>
          <w:rtl/>
        </w:rPr>
        <w:t xml:space="preserve">نعم،لو کان ممّن لا یتمکّن من العلم التفصیلیّ،کان ذلک منه محمودا مشکورا.</w:t>
      </w:r>
    </w:p>
    <w:p>
      <w:pPr>
        <w:pStyle w:val="BookText"/>
      </w:pPr>
      <w:r>
        <w:rPr>
          <w:rFonts w:ascii="IRNazanin" w:hAnsi="IRNazanin" w:eastAsia="IRNazanin" w:cs="IRNazanin"/>
          <w:lang w:bidi="fa-IR"/>
          <w:color w:val="111111"/>
          <w:sz w:val="28"/>
          <w:szCs w:val="28"/>
          <w:rtl/>
        </w:rPr>
        <w:t xml:space="preserve">و ببالی:أنّ صاحب الحدائق قدّس سرّه یظهر منه:دعوی الاتّفاق علی</w:t>
      </w:r>
    </w:p>
    <w:p>
      <w:pPr>
        <w:pStyle w:val="BookText"/>
      </w:pPr>
      <w:r>
        <w:rPr>
          <w:rFonts w:ascii="IRNazanin" w:hAnsi="IRNazanin" w:eastAsia="IRNazanin" w:cs="IRNazanin"/>
          <w:lang w:bidi="fa-IR"/>
          <w:color w:val="111111"/>
          <w:sz w:val="28"/>
          <w:szCs w:val="28"/>
          <w:rtl/>
        </w:rPr>
        <w:t xml:space="preserve">[شماره صفحه واقعی : 409]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عدم مشروعیّة التکرار مع التمکّن من العلم التفصیلی </w:t>
      </w:r>
      <w:r>
        <w:rPr>
          <w:rStyle w:val="FootnoteReference"/>
        </w:rPr>
        <w:footnoteReference w:id="12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لقد بالغ الحلّی فی السرائر </w:t>
      </w:r>
      <w:r>
        <w:rPr>
          <w:rStyle w:val="FootnoteReference"/>
        </w:rPr>
        <w:footnoteReference w:id="1255"/>
      </w:r>
      <w:r>
        <w:rPr>
          <w:rFonts w:ascii="IRNazanin" w:hAnsi="IRNazanin" w:eastAsia="IRNazanin" w:cs="IRNazanin"/>
          <w:lang w:bidi="fa-IR"/>
          <w:color w:val="111111"/>
          <w:sz w:val="28"/>
          <w:szCs w:val="28"/>
          <w:rtl/>
        </w:rPr>
        <w:t xml:space="preserve">،حتّی أسقط اعتبار الشرط المجهول تفصیلا،و لم یجوّز التکرار المحرز له،فأوجب الصلاة عاریا علی من عنده ثوبان مشتبهان و لم یجوّز تکرار الصلاة فیهما </w:t>
      </w:r>
      <w:r>
        <w:rPr>
          <w:rStyle w:val="FootnoteReference"/>
        </w:rPr>
        <w:footnoteReference w:id="1256"/>
      </w:r>
      <w:r>
        <w:rPr>
          <w:rFonts w:ascii="IRNazanin" w:hAnsi="IRNazanin" w:eastAsia="IRNazanin" w:cs="IRNazanin"/>
          <w:lang w:bidi="fa-IR"/>
          <w:color w:val="111111"/>
          <w:sz w:val="28"/>
          <w:szCs w:val="28"/>
          <w:rtl/>
        </w:rPr>
        <w:t xml:space="preserve">،مع ورود النصّ به لکن من طریق الآحاد </w:t>
      </w:r>
      <w:r>
        <w:rPr>
          <w:rStyle w:val="FootnoteReference"/>
        </w:rPr>
        <w:footnoteReference w:id="1257"/>
      </w:r>
      <w:r>
        <w:rPr>
          <w:rFonts w:ascii="IRNazanin" w:hAnsi="IRNazanin" w:eastAsia="IRNazanin" w:cs="IRNazanin"/>
          <w:lang w:bidi="fa-IR"/>
          <w:color w:val="111111"/>
          <w:sz w:val="28"/>
          <w:szCs w:val="28"/>
          <w:rtl/>
        </w:rPr>
        <w:t xml:space="preserve">مستندا فی ذلک إلی وجوب مقارنة الفعل الواجب لوجهه.</w:t>
      </w:r>
    </w:p>
    <w:p>
      <w:pPr>
        <w:pStyle w:val="BookText"/>
      </w:pPr>
      <w:r>
        <w:rPr>
          <w:rFonts w:ascii="IRNazanin" w:hAnsi="IRNazanin" w:eastAsia="IRNazanin" w:cs="IRNazanin"/>
          <w:lang w:bidi="fa-IR"/>
          <w:color w:val="111111"/>
          <w:sz w:val="28"/>
          <w:szCs w:val="28"/>
          <w:rtl/>
        </w:rPr>
        <w:t xml:space="preserve">و کما لا یجوز الدخول فی العمل بانیا علی إحراز الواقع بالتکرار، کذا لا یجوز بانیا علی الفحص بعد الفراغ،فإن طابق الواقع و إلاّ أعاده.</w:t>
      </w:r>
    </w:p>
    <w:p>
      <w:pPr>
        <w:pStyle w:val="BookText"/>
      </w:pPr>
      <w:r>
        <w:rPr>
          <w:rFonts w:ascii="IRNazanin" w:hAnsi="IRNazanin" w:eastAsia="IRNazanin" w:cs="IRNazanin"/>
          <w:lang w:bidi="fa-IR"/>
          <w:color w:val="111111"/>
          <w:sz w:val="28"/>
          <w:szCs w:val="28"/>
          <w:rtl/>
        </w:rPr>
        <w:t xml:space="preserve">و لو دخل فی العبادة بنیّة الجزم،ثمّ اتّفق له ما یوجب تردّده فی الصحّة و وجوب الإتمام،و فی البطلان و وجوب الاستئناف،ففی جواز الإتمام بانیا علی الفحص بعد الفراغ و الإعادة مع المخالفة و عدمه، وجهان:</w:t>
      </w:r>
    </w:p>
    <w:p>
      <w:pPr>
        <w:pStyle w:val="BookText"/>
      </w:pPr>
      <w:r>
        <w:rPr>
          <w:rFonts w:ascii="IRNazanin" w:hAnsi="IRNazanin" w:eastAsia="IRNazanin" w:cs="IRNazanin"/>
          <w:lang w:bidi="fa-IR"/>
          <w:color w:val="111111"/>
          <w:sz w:val="28"/>
          <w:szCs w:val="28"/>
          <w:rtl/>
        </w:rPr>
        <w:t xml:space="preserve">من اشتراط العلم بالصحّة حین العمل کما ذکرنا؛و لذا لم یجوّز </w:t>
      </w:r>
      <w:r>
        <w:rPr>
          <w:rStyle w:val="FootnoteReference"/>
        </w:rPr>
        <w:footnoteReference w:id="1258"/>
      </w:r>
      <w:r>
        <w:rPr>
          <w:rFonts w:ascii="IRNazanin" w:hAnsi="IRNazanin" w:eastAsia="IRNazanin" w:cs="IRNazanin"/>
          <w:lang w:bidi="fa-IR"/>
          <w:color w:val="111111"/>
          <w:sz w:val="28"/>
          <w:szCs w:val="28"/>
          <w:rtl/>
        </w:rPr>
        <w:t xml:space="preserve">هذا من أوّل الأمر.و بعبارة اخری:الجزم بالنیّة معتبر فی الاستدامة کالابتداء.</w:t>
      </w:r>
    </w:p>
    <w:p>
      <w:pPr>
        <w:pStyle w:val="BookText"/>
      </w:pPr>
      <w:r>
        <w:rPr>
          <w:rFonts w:ascii="Amiri" w:hAnsi="Amiri" w:eastAsia="Amiri" w:cs="Amiri"/>
          <w:lang w:bidi="ar-SA"/>
          <w:color w:val="111111"/>
          <w:sz w:val="28"/>
          <w:szCs w:val="28"/>
          <w:rtl/>
        </w:rPr>
        <w:t xml:space="preserve">و من أنّ المضیّ علی العمل </w:t>
      </w:r>
      <w:r>
        <w:rPr>
          <w:rStyle w:val="FootnoteReference"/>
        </w:rPr>
        <w:footnoteReference w:id="1259"/>
      </w:r>
      <w:r>
        <w:rPr>
          <w:rFonts w:ascii="IRNazanin" w:hAnsi="IRNazanin" w:eastAsia="IRNazanin" w:cs="IRNazanin"/>
          <w:lang w:bidi="fa-IR"/>
          <w:color w:val="111111"/>
          <w:sz w:val="28"/>
          <w:szCs w:val="28"/>
          <w:rtl/>
        </w:rPr>
        <w:t xml:space="preserve">متردّدا بانیا علی استکشاف حاله</w:t>
      </w:r>
    </w:p>
    <w:p>
      <w:pPr>
        <w:pStyle w:val="BookText"/>
      </w:pPr>
      <w:r>
        <w:rPr>
          <w:rFonts w:ascii="IRNazanin" w:hAnsi="IRNazanin" w:eastAsia="IRNazanin" w:cs="IRNazanin"/>
          <w:lang w:bidi="fa-IR"/>
          <w:color w:val="111111"/>
          <w:sz w:val="28"/>
          <w:szCs w:val="28"/>
          <w:rtl/>
        </w:rPr>
        <w:t xml:space="preserve">[شماره صفحه واقعی : 410]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275" w:name="pg14411_142800"/>
    <w:bookmarkEnd w:id="275"/>
    <w:p>
      <w:pPr>
        <w:pStyle w:val="BookText"/>
      </w:pPr>
      <w:r>
        <w:rPr>
          <w:rFonts w:ascii="IRNazanin" w:hAnsi="IRNazanin" w:eastAsia="IRNazanin" w:cs="IRNazanin"/>
          <w:lang w:bidi="fa-IR"/>
          <w:color w:val="111111"/>
          <w:sz w:val="28"/>
          <w:szCs w:val="28"/>
          <w:rtl/>
        </w:rPr>
        <w:t xml:space="preserve">بعد الفراغ؛محافظة علی عدم إبطال العمل-المحتمل حرمته واقعا علی تقدیر صحّته-لیس بأدون من الإطاعة التفصیلیّة،و لا یأباه العرف و لا سیرة المتشرّعة.</w:t>
      </w:r>
    </w:p>
    <w:p>
      <w:pPr>
        <w:pStyle w:val="BookText"/>
      </w:pPr>
      <w:r>
        <w:rPr>
          <w:rFonts w:ascii="IRNazanin" w:hAnsi="IRNazanin" w:eastAsia="IRNazanin" w:cs="IRNazanin"/>
          <w:lang w:bidi="fa-IR"/>
          <w:color w:val="111111"/>
          <w:sz w:val="28"/>
          <w:szCs w:val="28"/>
          <w:rtl/>
        </w:rPr>
        <w:t xml:space="preserve">و بالجملة:فما اعتمد علیه-فی عدم جواز الدخول فی العمل متردّدا-من السیرة العرفیّة و الشرعیّة،غیر جار فی المقام.</w:t>
      </w:r>
    </w:p>
    <w:p>
      <w:pPr>
        <w:pStyle w:val="BookText"/>
      </w:pPr>
      <w:r>
        <w:rPr>
          <w:rFonts w:ascii="IRNazanin" w:hAnsi="IRNazanin" w:eastAsia="IRNazanin" w:cs="IRNazanin"/>
          <w:lang w:bidi="fa-IR"/>
          <w:color w:val="111111"/>
          <w:sz w:val="28"/>
          <w:szCs w:val="28"/>
          <w:rtl/>
        </w:rPr>
        <w:t xml:space="preserve">و یمکن التفصیل بین کون الحادث الموجب للتردّد فی الصحّة ممّا وجب علی المکلّف تعلّم حکمه قبل الدخول فی الصلاة؛لعموم البلوی، کأحکام الخلل الشائع وقوعها و ابتلاء المکلّف بها،فلا یجوز لتارک معرفتها إذا حصل له التردّد فی الأثناء المضیّ و البناء علی الاستکشاف بعد الفراغ؛لأنّ التردّد حصل من سوء اختیاره،فهو فی مقام الإطاعة کالداخل فی العمل متردّدا.و بین کونه ممّا لا یتّفق إلاّ نادرا؛و لأجل ذلک لا یجب تعلّم حکمه قبل الدخول؛للوثوق بعدم الابتلاء غالبا، فیجوز هنا المضیّ فی العمل علی الوجه المذکور.</w:t>
      </w:r>
    </w:p>
    <w:p>
      <w:pPr>
        <w:pStyle w:val="BookText"/>
      </w:pPr>
      <w:r>
        <w:rPr>
          <w:rFonts w:ascii="IRNazanin" w:hAnsi="IRNazanin" w:eastAsia="IRNazanin" w:cs="IRNazanin"/>
          <w:lang w:bidi="fa-IR"/>
          <w:color w:val="111111"/>
          <w:sz w:val="28"/>
          <w:szCs w:val="28"/>
          <w:rtl/>
        </w:rPr>
        <w:t xml:space="preserve">هذا بعض الکلام فی الاحتیاط.</w:t>
      </w:r>
    </w:p>
    <w:p>
      <w:pPr>
        <w:pStyle w:val="Heading6"/>
      </w:pPr>
      <w:bookmarkStart w:id="1533" w:name="_Toc568"/>
      <w:r>
        <w:t>[المقام الثانی:ما یعتبر فی العمل بالبراءة]</w:t>
      </w:r>
      <w:bookmarkEnd w:id="1533"/>
    </w:p>
    <w:p>
      <w:pPr>
        <w:pStyle w:val="Heading6"/>
      </w:pPr>
      <w:bookmarkStart w:id="1534" w:name="_Toc569"/>
      <w:r>
        <w:t>اشارة</w:t>
      </w:r>
      <w:bookmarkEnd w:id="1534"/>
    </w:p>
    <w:p>
      <w:pPr>
        <w:pStyle w:val="BookText"/>
      </w:pPr>
      <w:r>
        <w:rPr>
          <w:rFonts w:ascii="Amiri" w:hAnsi="Amiri" w:eastAsia="Amiri" w:cs="Amiri"/>
          <w:lang w:bidi="ar-SA"/>
          <w:color w:val="111111"/>
          <w:sz w:val="28"/>
          <w:szCs w:val="28"/>
          <w:rtl/>
        </w:rPr>
        <w:t xml:space="preserve">و أمّا البراءة:</w:t>
      </w:r>
    </w:p>
    <w:p>
      <w:pPr>
        <w:pStyle w:val="Heading6"/>
      </w:pPr>
      <w:bookmarkStart w:id="1535" w:name="_Toc570"/>
      <w:r>
        <w:t>[عدم اعتبار الفحص فی الشبهة الموضوعیّة]</w:t>
      </w:r>
      <w:bookmarkEnd w:id="1535"/>
    </w:p>
    <w:p>
      <w:pPr>
        <w:pStyle w:val="BookText"/>
      </w:pPr>
      <w:r>
        <w:rPr>
          <w:rFonts w:ascii="IRNazanin" w:hAnsi="IRNazanin" w:eastAsia="IRNazanin" w:cs="IRNazanin"/>
          <w:lang w:bidi="fa-IR"/>
          <w:color w:val="111111"/>
          <w:sz w:val="28"/>
          <w:szCs w:val="28"/>
          <w:rtl/>
        </w:rPr>
        <w:t xml:space="preserve">فإن کان الشکّ الموجب للرجوع إلیها من جهة الشبهة فی الموضوع،فقد تقدّم أنّها غیر مشروطة بالفحص عن الدلیل المزیل لها </w:t>
      </w:r>
      <w:r>
        <w:rPr>
          <w:rStyle w:val="FootnoteReference"/>
        </w:rPr>
        <w:footnoteReference w:id="1260"/>
      </w:r>
      <w:r>
        <w:rPr>
          <w:rFonts w:ascii="IRNazanin" w:hAnsi="IRNazanin" w:eastAsia="IRNazanin" w:cs="IRNazanin"/>
          <w:lang w:bidi="fa-IR"/>
          <w:color w:val="111111"/>
          <w:sz w:val="28"/>
          <w:szCs w:val="28"/>
          <w:rtl/>
        </w:rPr>
        <w:t xml:space="preserve">،و إن کان من جهة الشبهة فی الحکم الشرعیّ،فالتحقیق:أنّه لیس لها إلاّ شرط واحد،و هو الفحص عن الأدلّة الشرعیّة.</w:t>
      </w:r>
    </w:p>
    <w:p>
      <w:pPr>
        <w:pStyle w:val="BookText"/>
      </w:pPr>
      <w:r>
        <w:rPr>
          <w:rFonts w:ascii="IRNazanin" w:hAnsi="IRNazanin" w:eastAsia="IRNazanin" w:cs="IRNazanin"/>
          <w:lang w:bidi="fa-IR"/>
          <w:color w:val="111111"/>
          <w:sz w:val="28"/>
          <w:szCs w:val="28"/>
          <w:rtl/>
        </w:rPr>
        <w:t xml:space="preserve">و الکلام:یقع تارة فی أصل الفحص،و اخری فی مقداره.</w:t>
      </w:r>
    </w:p>
    <w:p>
      <w:pPr>
        <w:pStyle w:val="BookText"/>
      </w:pPr>
      <w:r>
        <w:rPr>
          <w:rFonts w:ascii="IRNazanin" w:hAnsi="IRNazanin" w:eastAsia="IRNazanin" w:cs="IRNazanin"/>
          <w:lang w:bidi="fa-IR"/>
          <w:color w:val="111111"/>
          <w:sz w:val="28"/>
          <w:szCs w:val="28"/>
          <w:rtl/>
        </w:rPr>
        <w:t xml:space="preserve">[شماره صفحه واقعی : 411]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276" w:name="pg14411_142801"/>
    <w:bookmarkEnd w:id="276"/>
    <w:p>
      <w:pPr>
        <w:pStyle w:val="Heading6"/>
      </w:pPr>
      <w:bookmarkStart w:id="1536" w:name="_Toc571"/>
      <w:r>
        <w:t>المقام الاول[وجوب أصل الفحص]</w:t>
      </w:r>
      <w:bookmarkEnd w:id="1536"/>
    </w:p>
    <w:p>
      <w:pPr>
        <w:pStyle w:val="Heading6"/>
      </w:pPr>
      <w:bookmarkStart w:id="1537" w:name="_Toc572"/>
      <w:r>
        <w:t>اشارة</w:t>
      </w:r>
      <w:bookmarkEnd w:id="1537"/>
    </w:p>
    <w:p>
      <w:pPr>
        <w:pStyle w:val="BookText"/>
      </w:pPr>
      <w:r>
        <w:rPr>
          <w:rFonts w:ascii="IRNazanin" w:hAnsi="IRNazanin" w:eastAsia="IRNazanin" w:cs="IRNazanin"/>
          <w:lang w:bidi="fa-IR"/>
          <w:color w:val="111111"/>
          <w:sz w:val="28"/>
          <w:szCs w:val="28"/>
          <w:rtl/>
        </w:rPr>
        <w:t xml:space="preserve">المقام الاول[وجوب أصل الفحص] </w:t>
      </w:r>
      <w:r>
        <w:rPr>
          <w:rStyle w:val="FootnoteReference"/>
        </w:rPr>
        <w:footnoteReference w:id="1261"/>
      </w:r>
    </w:p>
    <w:p>
      <w:pPr>
        <w:pStyle w:val="BookText"/>
      </w:pPr>
      <w:r>
        <w:rPr>
          <w:rFonts w:ascii="IRNazanin" w:hAnsi="IRNazanin" w:eastAsia="IRNazanin" w:cs="IRNazanin"/>
          <w:lang w:bidi="fa-IR"/>
          <w:color w:val="111111"/>
          <w:sz w:val="28"/>
          <w:szCs w:val="28"/>
          <w:rtl/>
        </w:rPr>
        <w:t xml:space="preserve">أمّا وجوب أصل الفحص،و حاصله:عدم معذوریّة الجاهل المقصّر فی التعلّم،فیدلّ علیه وجوه:</w:t>
      </w:r>
    </w:p>
    <w:p>
      <w:pPr>
        <w:pStyle w:val="Heading6"/>
      </w:pPr>
      <w:bookmarkStart w:id="1538" w:name="_Toc573"/>
      <w:r>
        <w:t>[أدلّة وجوب الفحص:]</w:t>
      </w:r>
      <w:bookmarkEnd w:id="1538"/>
    </w:p>
    <w:p>
      <w:pPr>
        <w:pStyle w:val="Heading6"/>
      </w:pPr>
      <w:bookmarkStart w:id="1539" w:name="_Toc574"/>
      <w:r>
        <w:t>الأوّل : الإجماع</w:t>
      </w:r>
      <w:bookmarkEnd w:id="1539"/>
    </w:p>
    <w:p>
      <w:pPr>
        <w:pStyle w:val="BookText"/>
      </w:pPr>
      <w:r>
        <w:rPr>
          <w:rFonts w:ascii="IRNazanin" w:hAnsi="IRNazanin" w:eastAsia="IRNazanin" w:cs="IRNazanin"/>
          <w:lang w:bidi="fa-IR"/>
          <w:color w:val="111111"/>
          <w:sz w:val="28"/>
          <w:szCs w:val="28"/>
          <w:rtl/>
        </w:rPr>
        <w:t xml:space="preserve">القطعیّ علی عدم جواز العمل بأصل البراءة قبل استفراغ الوسع فی الأدلّة.</w:t>
      </w:r>
    </w:p>
    <w:p>
      <w:pPr>
        <w:pStyle w:val="Heading6"/>
      </w:pPr>
      <w:bookmarkStart w:id="1540" w:name="_Toc575"/>
      <w:r>
        <w:t>الثانی : الأدلّة الدالّة علی وجوب تحصیل العلم</w:t>
      </w:r>
      <w:bookmarkEnd w:id="1540"/>
    </w:p>
    <w:p>
      <w:pPr>
        <w:pStyle w:val="BookText"/>
      </w:pPr>
      <w:r>
        <w:rPr>
          <w:rFonts w:ascii="IRNazanin" w:hAnsi="IRNazanin" w:eastAsia="IRNazanin" w:cs="IRNazanin"/>
          <w:lang w:bidi="fa-IR"/>
          <w:color w:val="111111"/>
          <w:sz w:val="28"/>
          <w:szCs w:val="28"/>
          <w:rtl/>
        </w:rPr>
        <w:t xml:space="preserve">،مثل آیتی:النفر للتفقّه و سؤال أهل الذکر </w:t>
      </w:r>
      <w:r>
        <w:rPr>
          <w:rStyle w:val="FootnoteReference"/>
        </w:rPr>
        <w:footnoteReference w:id="1262"/>
      </w:r>
      <w:r>
        <w:rPr>
          <w:rFonts w:ascii="IRNazanin" w:hAnsi="IRNazanin" w:eastAsia="IRNazanin" w:cs="IRNazanin"/>
          <w:lang w:bidi="fa-IR"/>
          <w:color w:val="111111"/>
          <w:sz w:val="28"/>
          <w:szCs w:val="28"/>
          <w:rtl/>
        </w:rPr>
        <w:t xml:space="preserve">،و الأخبار الدالّة علی وجوب تحصیل العلم </w:t>
      </w:r>
      <w:r>
        <w:rPr>
          <w:rStyle w:val="FootnoteReference"/>
        </w:rPr>
        <w:footnoteReference w:id="1263"/>
      </w:r>
      <w:r>
        <w:rPr>
          <w:rFonts w:ascii="IRNazanin" w:hAnsi="IRNazanin" w:eastAsia="IRNazanin" w:cs="IRNazanin"/>
          <w:lang w:bidi="fa-IR"/>
          <w:color w:val="111111"/>
          <w:sz w:val="28"/>
          <w:szCs w:val="28"/>
          <w:rtl/>
        </w:rPr>
        <w:t xml:space="preserve">و تحصیل التفقّه </w:t>
      </w:r>
      <w:r>
        <w:rPr>
          <w:rStyle w:val="FootnoteReference"/>
        </w:rPr>
        <w:footnoteReference w:id="1264"/>
      </w:r>
      <w:r>
        <w:rPr>
          <w:rFonts w:ascii="IRNazanin" w:hAnsi="IRNazanin" w:eastAsia="IRNazanin" w:cs="IRNazanin"/>
          <w:lang w:bidi="fa-IR"/>
          <w:color w:val="111111"/>
          <w:sz w:val="28"/>
          <w:szCs w:val="28"/>
          <w:rtl/>
        </w:rPr>
        <w:t xml:space="preserve">،و الذمّ علی ترک السؤال </w:t>
      </w:r>
      <w:r>
        <w:rPr>
          <w:rStyle w:val="FootnoteReference"/>
        </w:rPr>
        <w:footnoteReference w:id="1265"/>
      </w:r>
      <w:r>
        <w:rPr>
          <w:rFonts w:ascii="Times New Roman" w:hAnsi="Times New Roman" w:eastAsia="Times New Roman" w:cs="Times New Roman"/>
          <w:lang w:val="en-US" w:bidi="en-US"/>
          <w:color w:val="111111"/>
          <w:sz w:val="28"/>
          <w:szCs w:val="28"/>
          <w:rtl/>
        </w:rPr>
        <w:t xml:space="preserve">.</w:t>
      </w:r>
    </w:p>
    <w:p>
      <w:pPr>
        <w:pStyle w:val="Heading6"/>
      </w:pPr>
      <w:bookmarkStart w:id="1541" w:name="_Toc576"/>
      <w:r>
        <w:t>الثالث : ما دلّ علی مؤاخذة الجهّال بفعل المعاصی المجهولة</w:t>
      </w:r>
      <w:bookmarkEnd w:id="1541"/>
    </w:p>
    <w:p>
      <w:pPr>
        <w:pStyle w:val="BookText"/>
      </w:pPr>
      <w:r>
        <w:rPr>
          <w:rFonts w:ascii="IRNazanin" w:hAnsi="IRNazanin" w:eastAsia="IRNazanin" w:cs="IRNazanin"/>
          <w:lang w:bidi="fa-IR"/>
          <w:color w:val="111111"/>
          <w:sz w:val="28"/>
          <w:szCs w:val="28"/>
          <w:rtl/>
        </w:rPr>
        <w:t xml:space="preserve">،المستلزم لوجوب تحصیل العلم؛لحکم العقل بوجوب التحرّز عن مضرّة العقاب:</w:t>
      </w:r>
    </w:p>
    <w:p>
      <w:pPr>
        <w:pStyle w:val="BookText"/>
      </w:pPr>
      <w:r>
        <w:rPr>
          <w:rFonts w:ascii="IRNazanin" w:hAnsi="IRNazanin" w:eastAsia="IRNazanin" w:cs="IRNazanin"/>
          <w:lang w:bidi="fa-IR"/>
          <w:color w:val="111111"/>
          <w:sz w:val="28"/>
          <w:szCs w:val="28"/>
          <w:rtl/>
        </w:rPr>
        <w:t xml:space="preserve">مثل قوله صلّی اللّه علیه و آله فی من غسّل مجدورا أصابته جنابة فکزّ فمات:</w:t>
      </w:r>
    </w:p>
    <w:p>
      <w:pPr>
        <w:pStyle w:val="BookText"/>
      </w:pPr>
      <w:r>
        <w:rPr>
          <w:rFonts w:ascii="IRNazanin" w:hAnsi="IRNazanin" w:eastAsia="IRNazanin" w:cs="IRNazanin"/>
          <w:lang w:bidi="fa-IR"/>
          <w:color w:val="111111"/>
          <w:sz w:val="28"/>
          <w:szCs w:val="28"/>
          <w:rtl/>
        </w:rPr>
        <w:t xml:space="preserve">[شماره صفحه واقعی : 412]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277" w:name="pg14411_142802"/>
    <w:bookmarkEnd w:id="277"/>
    <w:p>
      <w:pPr>
        <w:pStyle w:val="BookText"/>
      </w:pPr>
      <w:r>
        <w:rPr>
          <w:rFonts w:ascii="IRNazanin" w:hAnsi="IRNazanin" w:eastAsia="IRNazanin" w:cs="IRNazanin"/>
          <w:lang w:bidi="fa-IR"/>
          <w:color w:val="111111"/>
          <w:sz w:val="28"/>
          <w:szCs w:val="28"/>
          <w:rtl/>
        </w:rPr>
        <w:t xml:space="preserve">«قتلوه،قتلهم اللّه،أ لا سألوا،ألا یمّموه» </w:t>
      </w:r>
      <w:r>
        <w:rPr>
          <w:rStyle w:val="FootnoteReference"/>
        </w:rPr>
        <w:footnoteReference w:id="12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قوله علیه السّلام لمن أطال الجلوس فی بیت الخلاء لاستماع الغناء:«ما کان أسوأ حالک لو متّ علی هذه الحالة»،ثمّ أمره بالتوبة و غسلها </w:t>
      </w:r>
      <w:r>
        <w:rPr>
          <w:rStyle w:val="FootnoteReference"/>
        </w:rPr>
        <w:footnoteReference w:id="12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ورد فی تفسیر قوله تعالی: فَلِلّٰهِ الْحُجَّةُ الْبٰالِغَةُ </w:t>
      </w:r>
      <w:r>
        <w:rPr>
          <w:rStyle w:val="FootnoteReference"/>
        </w:rPr>
        <w:footnoteReference w:id="1268"/>
      </w:r>
      <w:r>
        <w:rPr>
          <w:rFonts w:ascii="IRNazanin" w:hAnsi="IRNazanin" w:eastAsia="IRNazanin" w:cs="IRNazanin"/>
          <w:lang w:bidi="fa-IR"/>
          <w:color w:val="111111"/>
          <w:sz w:val="28"/>
          <w:szCs w:val="28"/>
          <w:rtl/>
        </w:rPr>
        <w:t xml:space="preserve">،من أنّه:«یقال للعبد یوم القیامة:هل علمت؟فإن قال:نعم،قیل:فهلاّ عملت؟و إن قال:لا،قیل له:هلاّ تعلّمت حتی تعمل؟» </w:t>
      </w:r>
      <w:r>
        <w:rPr>
          <w:rStyle w:val="FootnoteReference"/>
        </w:rPr>
        <w:footnoteReference w:id="12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رواه القمّی فی تفسیر قوله تعالی: إِنَّ الَّذِینَ تَوَفّٰاهُمُ الْمَلاٰئِکَةُ ظٰالِمِی أَنْفُسِهِمْ :«نزلت فی من اعتزل عن أمیر المؤمنین علیه السّلام و لم یقاتل معه، قٰالُوا فِیمَ کُنْتُمْ قٰالُوا کُنّٰا مُسْتَضْعَفِینَ فِی الْأَرْضِ أی لم نعلم من الحقّ، فقال اللّه تعالی: أَ لَمْ تَکُنْ أَرْضُ اللّٰهِ وٰاسِعَةً فَتُهٰاجِرُوا فِیهٰا </w:t>
      </w:r>
      <w:r>
        <w:rPr>
          <w:rStyle w:val="FootnoteReference"/>
        </w:rPr>
        <w:footnoteReference w:id="1270"/>
      </w:r>
      <w:r>
        <w:rPr>
          <w:rFonts w:ascii="IRNazanin" w:hAnsi="IRNazanin" w:eastAsia="IRNazanin" w:cs="IRNazanin"/>
          <w:lang w:bidi="fa-IR"/>
          <w:color w:val="111111"/>
          <w:sz w:val="28"/>
          <w:szCs w:val="28"/>
          <w:rtl/>
        </w:rPr>
        <w:t xml:space="preserve">،أی دین اللّه و کتابه واسعا متّسعا،فتنظروا فیه،فترشدوا و تهتدوا به سبیل الحقّ» </w:t>
      </w:r>
      <w:r>
        <w:rPr>
          <w:rStyle w:val="FootnoteReference"/>
        </w:rPr>
        <w:footnoteReference w:id="1271"/>
      </w:r>
      <w:r>
        <w:rPr>
          <w:rFonts w:ascii="Times New Roman" w:hAnsi="Times New Roman" w:eastAsia="Times New Roman" w:cs="Times New Roman"/>
          <w:lang w:val="en-US" w:bidi="en-US"/>
          <w:color w:val="111111"/>
          <w:sz w:val="28"/>
          <w:szCs w:val="28"/>
          <w:rtl/>
        </w:rPr>
        <w:t xml:space="preserve">.</w:t>
      </w:r>
    </w:p>
    <w:p>
      <w:pPr>
        <w:pStyle w:val="Heading6"/>
      </w:pPr>
      <w:bookmarkStart w:id="1542" w:name="_Toc577"/>
      <w:r>
        <w:t>الرابع : [العقل]</w:t>
      </w:r>
      <w:bookmarkEnd w:id="1542"/>
    </w:p>
    <w:p>
      <w:pPr>
        <w:pStyle w:val="BookText"/>
      </w:pPr>
      <w:r>
        <w:rPr>
          <w:rFonts w:ascii="IRNazanin" w:hAnsi="IRNazanin" w:eastAsia="IRNazanin" w:cs="IRNazanin"/>
          <w:lang w:bidi="fa-IR"/>
          <w:color w:val="111111"/>
          <w:sz w:val="28"/>
          <w:szCs w:val="28"/>
          <w:rtl/>
        </w:rPr>
        <w:t xml:space="preserve">أنّ العقل لا یعذر الجاهل القادر علی الاستعلام فی المقام،</w:t>
      </w:r>
    </w:p>
    <w:p>
      <w:pPr>
        <w:pStyle w:val="BookText"/>
      </w:pPr>
      <w:r>
        <w:rPr>
          <w:rFonts w:ascii="IRNazanin" w:hAnsi="IRNazanin" w:eastAsia="IRNazanin" w:cs="IRNazanin"/>
          <w:lang w:bidi="fa-IR"/>
          <w:color w:val="111111"/>
          <w:sz w:val="28"/>
          <w:szCs w:val="28"/>
          <w:rtl/>
        </w:rPr>
        <w:t xml:space="preserve">[شماره صفحه واقعی : 413]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278" w:name="pg14411_142803"/>
    <w:bookmarkEnd w:id="278"/>
    <w:p>
      <w:pPr>
        <w:pStyle w:val="BookText"/>
      </w:pPr>
      <w:r>
        <w:rPr>
          <w:rFonts w:ascii="IRNazanin" w:hAnsi="IRNazanin" w:eastAsia="IRNazanin" w:cs="IRNazanin"/>
          <w:lang w:bidi="fa-IR"/>
          <w:color w:val="111111"/>
          <w:sz w:val="28"/>
          <w:szCs w:val="28"/>
          <w:rtl/>
        </w:rPr>
        <w:t xml:space="preserve">الذی نظیره فی العرفیّات ما إذا ورد من یدّعی الرسالة من المولی، و أتی بطومار یدّعی أنّ الناظر فیه یطّلع علی صدق دعواه أو کذبها،فتأمّل.</w:t>
      </w:r>
    </w:p>
    <w:p>
      <w:pPr>
        <w:pStyle w:val="BookText"/>
      </w:pPr>
      <w:r>
        <w:rPr>
          <w:rFonts w:ascii="IRNazanin" w:hAnsi="IRNazanin" w:eastAsia="IRNazanin" w:cs="IRNazanin"/>
          <w:lang w:bidi="fa-IR"/>
          <w:color w:val="111111"/>
          <w:sz w:val="28"/>
          <w:szCs w:val="28"/>
          <w:rtl/>
        </w:rPr>
        <w:t xml:space="preserve">و النقل الدالّ علی البراءة فی الشبهة الحکمیّة معارض بما تقدّم من الأخبار الدالّة علی وجوب الاحتیاط حتّی یسأل عن الواقعة </w:t>
      </w:r>
      <w:r>
        <w:rPr>
          <w:rStyle w:val="FootnoteReference"/>
        </w:rPr>
        <w:footnoteReference w:id="1272"/>
      </w:r>
      <w:r>
        <w:rPr>
          <w:rFonts w:ascii="IRNazanin" w:hAnsi="IRNazanin" w:eastAsia="IRNazanin" w:cs="IRNazanin"/>
          <w:lang w:bidi="fa-IR"/>
          <w:color w:val="111111"/>
          <w:sz w:val="28"/>
          <w:szCs w:val="28"/>
          <w:rtl/>
        </w:rPr>
        <w:t xml:space="preserve">،کما فی صحیحة عبد الرحمن المتقدّمة </w:t>
      </w:r>
      <w:r>
        <w:rPr>
          <w:rStyle w:val="FootnoteReference"/>
        </w:rPr>
        <w:footnoteReference w:id="1273"/>
      </w:r>
      <w:r>
        <w:rPr>
          <w:rFonts w:ascii="IRNazanin" w:hAnsi="IRNazanin" w:eastAsia="IRNazanin" w:cs="IRNazanin"/>
          <w:lang w:bidi="fa-IR"/>
          <w:color w:val="111111"/>
          <w:sz w:val="28"/>
          <w:szCs w:val="28"/>
          <w:rtl/>
        </w:rPr>
        <w:t xml:space="preserve">،و ما دلّ علی وجوب التوقّف بناء علی الجمع بینها و بین أدلّة البراءة بحملها علی صورة التمکّن من إزالة الشبهة.</w:t>
      </w:r>
    </w:p>
    <w:p>
      <w:pPr>
        <w:pStyle w:val="Heading6"/>
      </w:pPr>
      <w:bookmarkStart w:id="1543" w:name="_Toc578"/>
      <w:r>
        <w:t>الخامس : حصول العلم الإجمالیّ</w:t>
      </w:r>
      <w:bookmarkEnd w:id="1543"/>
    </w:p>
    <w:p>
      <w:pPr>
        <w:pStyle w:val="Heading6"/>
      </w:pPr>
      <w:bookmarkStart w:id="1544" w:name="_Toc579"/>
      <w:r>
        <w:t>اشارة</w:t>
      </w:r>
      <w:bookmarkEnd w:id="1544"/>
    </w:p>
    <w:p>
      <w:pPr>
        <w:pStyle w:val="BookText"/>
      </w:pPr>
      <w:r>
        <w:rPr>
          <w:rFonts w:ascii="IRNazanin" w:hAnsi="IRNazanin" w:eastAsia="IRNazanin" w:cs="IRNazanin"/>
          <w:lang w:bidi="fa-IR"/>
          <w:color w:val="111111"/>
          <w:sz w:val="28"/>
          <w:szCs w:val="28"/>
          <w:rtl/>
        </w:rPr>
        <w:t xml:space="preserve">لکلّ أحد-قبل الأخذ فی استعلام المسائل-بوجود واجبات و محرّمات کثیرة فی الشریعة،و معه لا یصحّ التمسّک بأصل البراءة؛لما تقدّم من أنّ مجراه الشکّ فی أصل التکلیف،لا فی المکلّف به مع العلم بالتکلیف </w:t>
      </w:r>
      <w:r>
        <w:rPr>
          <w:rStyle w:val="FootnoteReference"/>
        </w:rPr>
        <w:footnoteReference w:id="12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قلت:هذا یقتضی عدم جواز الرجوع إلی البراءة فی أوّل الأمر </w:t>
      </w:r>
      <w:r>
        <w:rPr>
          <w:rStyle w:val="FootnoteReference"/>
        </w:rPr>
        <w:footnoteReference w:id="1275"/>
      </w:r>
      <w:r>
        <w:rPr>
          <w:rFonts w:ascii="IRNazanin" w:hAnsi="IRNazanin" w:eastAsia="IRNazanin" w:cs="IRNazanin"/>
          <w:lang w:bidi="fa-IR"/>
          <w:color w:val="111111"/>
          <w:sz w:val="28"/>
          <w:szCs w:val="28"/>
          <w:rtl/>
        </w:rPr>
        <w:t xml:space="preserve">و لو بعد الفحص؛لأنّ الفحص لا یوجب جریان البراءة مع العلم الإجمالیّ </w:t>
      </w:r>
      <w:r>
        <w:rPr>
          <w:rStyle w:val="FootnoteReference"/>
        </w:rPr>
        <w:footnoteReference w:id="12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414]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279" w:name="pg14411_142804"/>
    <w:bookmarkEnd w:id="279"/>
    <w:p>
      <w:pPr>
        <w:pStyle w:val="Heading6"/>
      </w:pPr>
      <w:bookmarkStart w:id="1545" w:name="_Toc580"/>
      <w:r>
        <w:t>[المناقشة فی العلم الإجمالی]</w:t>
      </w:r>
      <w:bookmarkEnd w:id="1545"/>
    </w:p>
    <w:p>
      <w:pPr>
        <w:pStyle w:val="BookText"/>
      </w:pPr>
      <w:r>
        <w:rPr>
          <w:rFonts w:ascii="IRNazanin" w:hAnsi="IRNazanin" w:eastAsia="IRNazanin" w:cs="IRNazanin"/>
          <w:lang w:bidi="fa-IR"/>
          <w:color w:val="111111"/>
          <w:sz w:val="28"/>
          <w:szCs w:val="28"/>
          <w:rtl/>
        </w:rPr>
        <w:t xml:space="preserve">قلت:المعلوم إجمالا وجود التکالیف الواقعیّة فی الوقائع التی یقدر علی الوصول إلی مدارکها،و إذا تفحّص و عجز عن الوصول إلی مدارک </w:t>
      </w:r>
      <w:r>
        <w:rPr>
          <w:rStyle w:val="FootnoteReference"/>
        </w:rPr>
        <w:footnoteReference w:id="1277"/>
      </w:r>
      <w:r>
        <w:rPr>
          <w:rFonts w:ascii="IRNazanin" w:hAnsi="IRNazanin" w:eastAsia="IRNazanin" w:cs="IRNazanin"/>
          <w:lang w:bidi="fa-IR"/>
          <w:color w:val="111111"/>
          <w:sz w:val="28"/>
          <w:szCs w:val="28"/>
          <w:rtl/>
        </w:rPr>
        <w:t xml:space="preserve">الواقعة خرجت تلک الواقعة عن الوقائع التی علم إجمالا بوجود التکالیف فیها،فیرجع فیها إلی البراءة.</w:t>
      </w:r>
    </w:p>
    <w:p>
      <w:pPr>
        <w:pStyle w:val="BookText"/>
      </w:pPr>
      <w:r>
        <w:rPr>
          <w:rFonts w:ascii="IRNazanin" w:hAnsi="IRNazanin" w:eastAsia="IRNazanin" w:cs="IRNazanin"/>
          <w:lang w:bidi="fa-IR"/>
          <w:color w:val="111111"/>
          <w:sz w:val="28"/>
          <w:szCs w:val="28"/>
          <w:rtl/>
        </w:rPr>
        <w:t xml:space="preserve">و لکن هذا لا یخلو عن نظر؛لأنّ العلم الإجمالیّ إنّما هو بین جمیع الوقائع من غیر مدخلیّة لتمکّن المکلّف من الوصول إلی مدارک التکلیف و عجزه عن ذلک،فدعوی اختصاص أطراف العلم الإجمالیّ بالوقائع المتمکّن من الوصول إلی مدارکها مجازفة.</w:t>
      </w:r>
    </w:p>
    <w:p>
      <w:pPr>
        <w:pStyle w:val="BookText"/>
      </w:pPr>
      <w:r>
        <w:rPr>
          <w:rFonts w:ascii="IRNazanin" w:hAnsi="IRNazanin" w:eastAsia="IRNazanin" w:cs="IRNazanin"/>
          <w:lang w:bidi="fa-IR"/>
          <w:color w:val="111111"/>
          <w:sz w:val="28"/>
          <w:szCs w:val="28"/>
          <w:rtl/>
        </w:rPr>
        <w:t xml:space="preserve">مع أنّ هذا الدلیل إنّما یوجب الفحص قبل استعلام جملة من التکالیف یحتمل انحصار المعلوم إجمالا فیها،فتأمّل و راجع ما ذکرنا فی ردّ استدلال الأخباریّین علی وجوب الاحتیاط فی الشبهة التحریمیّة بالعلم الإجمالیّ </w:t>
      </w:r>
      <w:r>
        <w:rPr>
          <w:rStyle w:val="FootnoteReference"/>
        </w:rPr>
        <w:footnoteReference w:id="1278"/>
      </w:r>
      <w:r>
        <w:rPr>
          <w:rFonts w:ascii="Times New Roman" w:hAnsi="Times New Roman" w:eastAsia="Times New Roman" w:cs="Times New Roman"/>
          <w:lang w:val="en-US" w:bidi="en-US"/>
          <w:color w:val="111111"/>
          <w:sz w:val="28"/>
          <w:szCs w:val="28"/>
          <w:rtl/>
        </w:rPr>
        <w:t xml:space="preserve">.</w:t>
      </w:r>
    </w:p>
    <w:p>
      <w:pPr>
        <w:pStyle w:val="Heading6"/>
      </w:pPr>
      <w:bookmarkStart w:id="1546" w:name="_Toc581"/>
      <w:r>
        <w:t>[الأولی ما ذکر فی الوجه الرابع]</w:t>
      </w:r>
      <w:bookmarkEnd w:id="1546"/>
    </w:p>
    <w:p>
      <w:pPr>
        <w:pStyle w:val="BookText"/>
      </w:pPr>
      <w:r>
        <w:rPr>
          <w:rFonts w:ascii="IRNazanin" w:hAnsi="IRNazanin" w:eastAsia="IRNazanin" w:cs="IRNazanin"/>
          <w:lang w:bidi="fa-IR"/>
          <w:color w:val="111111"/>
          <w:sz w:val="28"/>
          <w:szCs w:val="28"/>
          <w:rtl/>
        </w:rPr>
        <w:t xml:space="preserve">و کیف کان:فالأولی ما ذکر فی الوجه الرابع،من أنّ العقل لا یعذر الجاهل القادر علی الفحص،کما لا یعذر الجاهل بالمکلّف به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-و عدم الرجوع إلی البراءة؛و إلاّ لم یجز الرجوع إلی البراءة و لو بعد الفحص؛إذ الشکّ فی المکلّف به لا یرجع فیه إلی البراءة و لو بذل الجهد فی الفحص و طلب الحکم الواقعی». و وردت هذه الزیادة فی هامش(ت)و کتب علیها:«زائد»،و وردت فی(ظ) مشوّشة.</w:t>
      </w:r>
    </w:p>
    <w:p>
      <w:pPr>
        <w:pStyle w:val="BookText"/>
      </w:pPr>
      <w:r>
        <w:rPr>
          <w:rFonts w:ascii="IRNazanin" w:hAnsi="IRNazanin" w:eastAsia="IRNazanin" w:cs="IRNazanin"/>
          <w:lang w:bidi="fa-IR"/>
          <w:color w:val="111111"/>
          <w:sz w:val="28"/>
          <w:szCs w:val="28"/>
          <w:rtl/>
        </w:rPr>
        <w:t xml:space="preserve">[شماره صفحه واقعی : 415]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280" w:name="pg14411_142805"/>
    <w:bookmarkEnd w:id="280"/>
    <w:p>
      <w:pPr>
        <w:pStyle w:val="BookText"/>
      </w:pPr>
      <w:r>
        <w:rPr>
          <w:rFonts w:ascii="IRNazanin" w:hAnsi="IRNazanin" w:eastAsia="IRNazanin" w:cs="IRNazanin"/>
          <w:lang w:bidi="fa-IR"/>
          <w:color w:val="111111"/>
          <w:sz w:val="28"/>
          <w:szCs w:val="28"/>
          <w:rtl/>
        </w:rPr>
        <w:t xml:space="preserve">العالم به إجمالا.و مناط عدم المعذوریّة فی المقامین هو:عدم قبح مؤاخذة الجاهل فیهما،فاحتمال الضرر بارتکاب الشبهة غیر مندفع بما یأمن معه من ترتّب الضرر.</w:t>
      </w:r>
    </w:p>
    <w:p>
      <w:pPr>
        <w:pStyle w:val="BookText"/>
      </w:pPr>
      <w:r>
        <w:rPr>
          <w:rFonts w:ascii="IRNazanin" w:hAnsi="IRNazanin" w:eastAsia="IRNazanin" w:cs="IRNazanin"/>
          <w:lang w:bidi="fa-IR"/>
          <w:color w:val="111111"/>
          <w:sz w:val="28"/>
          <w:szCs w:val="28"/>
          <w:rtl/>
        </w:rPr>
        <w:t xml:space="preserve">أ لا تری:أنّهم حکموا باستقلال العقل بوجوب النظر فی معجزة مدّعی النبوّة و عدم معذوریّته فی ترکه،مستندین فی ذلک إلی وجوب دفع الضرر المحتمل،لا إلی أنّه شکّ فی المکلّف به.</w:t>
      </w:r>
    </w:p>
    <w:p>
      <w:pPr>
        <w:pStyle w:val="BookText"/>
      </w:pPr>
      <w:r>
        <w:rPr>
          <w:rFonts w:ascii="IRNazanin" w:hAnsi="IRNazanin" w:eastAsia="IRNazanin" w:cs="IRNazanin"/>
          <w:lang w:bidi="fa-IR"/>
          <w:color w:val="111111"/>
          <w:sz w:val="28"/>
          <w:szCs w:val="28"/>
          <w:rtl/>
        </w:rPr>
        <w:t xml:space="preserve">هذا کلّه،مع أنّ فی الوجه الأوّل-و هو الإجماع القطعیّ-کفایة.</w:t>
      </w:r>
    </w:p>
    <w:p>
      <w:pPr>
        <w:pStyle w:val="BookText"/>
      </w:pPr>
      <w:r>
        <w:rPr>
          <w:rFonts w:ascii="IRNazanin" w:hAnsi="IRNazanin" w:eastAsia="IRNazanin" w:cs="IRNazanin"/>
          <w:lang w:bidi="fa-IR"/>
          <w:color w:val="111111"/>
          <w:sz w:val="28"/>
          <w:szCs w:val="28"/>
          <w:rtl/>
        </w:rPr>
        <w:t xml:space="preserve">ثمّ إنّ فی حکم أصل البراءة کلّ أصل عملیّ خالف الاحتیاط.</w:t>
      </w:r>
    </w:p>
    <w:p>
      <w:pPr>
        <w:pStyle w:val="Heading6"/>
      </w:pPr>
      <w:bookmarkStart w:id="1547" w:name="_Toc582"/>
      <w:r>
        <w:t>[الأخذ بالبراءة مع ترک الفحص]</w:t>
      </w:r>
      <w:bookmarkEnd w:id="1547"/>
    </w:p>
    <w:p>
      <w:pPr>
        <w:pStyle w:val="BookText"/>
      </w:pPr>
      <w:r>
        <w:rPr>
          <w:rFonts w:ascii="IRNazanin" w:hAnsi="IRNazanin" w:eastAsia="IRNazanin" w:cs="IRNazanin"/>
          <w:lang w:bidi="fa-IR"/>
          <w:color w:val="111111"/>
          <w:sz w:val="28"/>
          <w:szCs w:val="28"/>
          <w:rtl/>
        </w:rPr>
        <w:t xml:space="preserve">بقی الکلام فی حکم الأخذ بالبراءة مع ترک الفحص:</w:t>
      </w:r>
    </w:p>
    <w:p>
      <w:pPr>
        <w:pStyle w:val="BookText"/>
      </w:pPr>
      <w:r>
        <w:rPr>
          <w:rFonts w:ascii="IRNazanin" w:hAnsi="IRNazanin" w:eastAsia="IRNazanin" w:cs="IRNazanin"/>
          <w:lang w:bidi="fa-IR"/>
          <w:color w:val="111111"/>
          <w:sz w:val="28"/>
          <w:szCs w:val="28"/>
          <w:rtl/>
        </w:rPr>
        <w:t xml:space="preserve">و الکلام فیه:إمّا فی استحقاقه العقاب،و إمّا فی صحّة العمل الذی اخذ فیه بالبراءة.</w:t>
      </w:r>
    </w:p>
    <w:p>
      <w:pPr>
        <w:pStyle w:val="Heading6"/>
      </w:pPr>
      <w:bookmarkStart w:id="1548" w:name="_Toc583"/>
      <w:r>
        <w:t>أمّا العقاب: [فالمشهور أنّ عقاب الجاهل المقصّر علی مخالفة الواقع]</w:t>
      </w:r>
      <w:bookmarkEnd w:id="1548"/>
    </w:p>
    <w:p>
      <w:pPr>
        <w:pStyle w:val="BookText"/>
      </w:pPr>
      <w:r>
        <w:rPr>
          <w:rFonts w:ascii="IRNazanin" w:hAnsi="IRNazanin" w:eastAsia="IRNazanin" w:cs="IRNazanin"/>
          <w:lang w:bidi="fa-IR"/>
          <w:color w:val="111111"/>
          <w:sz w:val="28"/>
          <w:szCs w:val="28"/>
          <w:rtl/>
        </w:rPr>
        <w:t xml:space="preserve">فالمشهور:أنّه علی مخالفة الواقع لو اتّفقت،فإذا شرب العصیر العنبیّ من غیر فحص عن حکمه،فإن لم یتّفق کونه حراما واقعا فلا عقاب،و لو اتّفقت حرمته کان العقاب علی شرب العصیر،لا علی ترک التعلّم.</w:t>
      </w:r>
    </w:p>
    <w:p>
      <w:pPr>
        <w:pStyle w:val="Heading6"/>
      </w:pPr>
      <w:bookmarkStart w:id="1549" w:name="_Toc584"/>
      <w:r>
        <w:t>[عدم العقاب مع عدم مخالفة الواقع]</w:t>
      </w:r>
      <w:bookmarkEnd w:id="1549"/>
    </w:p>
    <w:p>
      <w:pPr>
        <w:pStyle w:val="BookText"/>
      </w:pPr>
      <w:r>
        <w:rPr>
          <w:rFonts w:ascii="IRNazanin" w:hAnsi="IRNazanin" w:eastAsia="IRNazanin" w:cs="IRNazanin"/>
          <w:lang w:bidi="fa-IR"/>
          <w:color w:val="111111"/>
          <w:sz w:val="28"/>
          <w:szCs w:val="28"/>
          <w:rtl/>
        </w:rPr>
        <w:t xml:space="preserve">أمّا الأوّل؛فلعدم المقتضی للمؤاخذة،عدا ما یتخیّل:من ظهور أدلّة وجوب الفحص و طلب تحصیل العلم فی الوجوب النفسیّ.</w:t>
      </w:r>
    </w:p>
    <w:p>
      <w:pPr>
        <w:pStyle w:val="BookText"/>
      </w:pPr>
      <w:r>
        <w:rPr>
          <w:rFonts w:ascii="IRNazanin" w:hAnsi="IRNazanin" w:eastAsia="IRNazanin" w:cs="IRNazanin"/>
          <w:lang w:bidi="fa-IR"/>
          <w:color w:val="111111"/>
          <w:sz w:val="28"/>
          <w:szCs w:val="28"/>
          <w:rtl/>
        </w:rPr>
        <w:t xml:space="preserve">و هو مدفوع:بأنّ المستفاد من أدلّته بعد التأمّل إنّما هو وجوب الفحص لئلاّ یقع فی مخالفة الواقع،کما لا یخفی.</w:t>
      </w:r>
    </w:p>
    <w:p>
      <w:pPr>
        <w:pStyle w:val="BookText"/>
      </w:pPr>
      <w:r>
        <w:rPr>
          <w:rFonts w:ascii="IRNazanin" w:hAnsi="IRNazanin" w:eastAsia="IRNazanin" w:cs="IRNazanin"/>
          <w:lang w:bidi="fa-IR"/>
          <w:color w:val="111111"/>
          <w:sz w:val="28"/>
          <w:szCs w:val="28"/>
          <w:rtl/>
        </w:rPr>
        <w:t xml:space="preserve">أو ما یتخیّل:من قبح التجرّی،بناء علی أنّ الإقدام علی ما لا یؤمن کونه مضرّة کالإقدام علی ما یعلم کونه کذلک،کما صرّح به</w:t>
      </w:r>
    </w:p>
    <w:p>
      <w:pPr>
        <w:pStyle w:val="BookText"/>
      </w:pPr>
      <w:r>
        <w:rPr>
          <w:rFonts w:ascii="IRNazanin" w:hAnsi="IRNazanin" w:eastAsia="IRNazanin" w:cs="IRNazanin"/>
          <w:lang w:bidi="fa-IR"/>
          <w:color w:val="111111"/>
          <w:sz w:val="28"/>
          <w:szCs w:val="28"/>
          <w:rtl/>
        </w:rPr>
        <w:t xml:space="preserve">[شماره صفحه واقعی : 416]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281" w:name="pg14411_142806"/>
    <w:bookmarkEnd w:id="281"/>
    <w:p>
      <w:pPr>
        <w:pStyle w:val="BookText"/>
      </w:pPr>
      <w:r>
        <w:rPr>
          <w:rFonts w:ascii="IRNazanin" w:hAnsi="IRNazanin" w:eastAsia="IRNazanin" w:cs="IRNazanin"/>
          <w:lang w:bidi="fa-IR"/>
          <w:color w:val="111111"/>
          <w:sz w:val="28"/>
          <w:szCs w:val="28"/>
          <w:rtl/>
        </w:rPr>
        <w:t xml:space="preserve">جماعة منهم الشیخ فی العدّة </w:t>
      </w:r>
      <w:r>
        <w:rPr>
          <w:rStyle w:val="FootnoteReference"/>
        </w:rPr>
        <w:footnoteReference w:id="1279"/>
      </w:r>
      <w:r>
        <w:rPr>
          <w:rFonts w:ascii="IRNazanin" w:hAnsi="IRNazanin" w:eastAsia="IRNazanin" w:cs="IRNazanin"/>
          <w:lang w:bidi="fa-IR"/>
          <w:color w:val="111111"/>
          <w:sz w:val="28"/>
          <w:szCs w:val="28"/>
          <w:rtl/>
        </w:rPr>
        <w:t xml:space="preserve">و أبو المکارم فی الغنیة </w:t>
      </w:r>
      <w:r>
        <w:rPr>
          <w:rStyle w:val="FootnoteReference"/>
        </w:rPr>
        <w:footnoteReference w:id="12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لکنّا </w:t>
      </w:r>
      <w:r>
        <w:rPr>
          <w:rStyle w:val="FootnoteReference"/>
        </w:rPr>
        <w:footnoteReference w:id="1281"/>
      </w:r>
      <w:r>
        <w:rPr>
          <w:rFonts w:ascii="IRNazanin" w:hAnsi="IRNazanin" w:eastAsia="IRNazanin" w:cs="IRNazanin"/>
          <w:lang w:bidi="fa-IR"/>
          <w:color w:val="111111"/>
          <w:sz w:val="28"/>
          <w:szCs w:val="28"/>
          <w:rtl/>
        </w:rPr>
        <w:t xml:space="preserve">قد أسلفنا الکلام فیه صغری و کبری </w:t>
      </w:r>
      <w:r>
        <w:rPr>
          <w:rStyle w:val="FootnoteReference"/>
        </w:rPr>
        <w:footnoteReference w:id="1282"/>
      </w:r>
      <w:r>
        <w:rPr>
          <w:rFonts w:ascii="Times New Roman" w:hAnsi="Times New Roman" w:eastAsia="Times New Roman" w:cs="Times New Roman"/>
          <w:lang w:val="en-US" w:bidi="en-US"/>
          <w:color w:val="111111"/>
          <w:sz w:val="28"/>
          <w:szCs w:val="28"/>
          <w:rtl/>
        </w:rPr>
        <w:t xml:space="preserve">.</w:t>
      </w:r>
    </w:p>
    <w:p>
      <w:pPr>
        <w:pStyle w:val="Heading6"/>
      </w:pPr>
      <w:bookmarkStart w:id="1550" w:name="_Toc585"/>
      <w:r>
        <w:t>[الاستدلال علی العقاب عند مخالفة الواقع]</w:t>
      </w:r>
      <w:bookmarkEnd w:id="1550"/>
    </w:p>
    <w:p>
      <w:pPr>
        <w:pStyle w:val="BookText"/>
      </w:pPr>
      <w:r>
        <w:rPr>
          <w:rFonts w:ascii="IRNazanin" w:hAnsi="IRNazanin" w:eastAsia="IRNazanin" w:cs="IRNazanin"/>
          <w:lang w:bidi="fa-IR"/>
          <w:color w:val="111111"/>
          <w:sz w:val="28"/>
          <w:szCs w:val="28"/>
          <w:rtl/>
        </w:rPr>
        <w:t xml:space="preserve">و أمّا الثانی؛فلوجود المقتضی،و هو الخطاب الواقعیّ الدالّ علی وجوب الشیء </w:t>
      </w:r>
      <w:r>
        <w:rPr>
          <w:rStyle w:val="FootnoteReference"/>
        </w:rPr>
        <w:footnoteReference w:id="1283"/>
      </w:r>
      <w:r>
        <w:rPr>
          <w:rFonts w:ascii="IRNazanin" w:hAnsi="IRNazanin" w:eastAsia="IRNazanin" w:cs="IRNazanin"/>
          <w:lang w:bidi="fa-IR"/>
          <w:color w:val="111111"/>
          <w:sz w:val="28"/>
          <w:szCs w:val="28"/>
          <w:rtl/>
        </w:rPr>
        <w:t xml:space="preserve">أو تحریمه،و لا مانع منه عدا ما یتخیّل:من جهل المکلّف به،و هو غیر قابل للمنع عقلا و لا شرعا.</w:t>
      </w:r>
    </w:p>
    <w:p>
      <w:pPr>
        <w:pStyle w:val="Heading6"/>
      </w:pPr>
      <w:bookmarkStart w:id="1551" w:name="_Toc586"/>
      <w:r>
        <w:t>[عدم کون الجهل مانعا من العقاب لا عقلا و لا شرعا]</w:t>
      </w:r>
      <w:bookmarkEnd w:id="1551"/>
    </w:p>
    <w:p>
      <w:pPr>
        <w:pStyle w:val="BookText"/>
      </w:pPr>
      <w:r>
        <w:rPr>
          <w:rFonts w:ascii="IRNazanin" w:hAnsi="IRNazanin" w:eastAsia="IRNazanin" w:cs="IRNazanin"/>
          <w:lang w:bidi="fa-IR"/>
          <w:color w:val="111111"/>
          <w:sz w:val="28"/>
          <w:szCs w:val="28"/>
          <w:rtl/>
        </w:rPr>
        <w:t xml:space="preserve">أمّا العقل،فلا یقبح مؤاخذة الجاهل التارک للواجب،إذا علم أنّ بناء الشارع علی تبلیغ الأحکام علی النحو المعتاد المستلزم لاختفاء بعضها لبعض الدواعی،و کان قادرا علی إزالة الجهل عن نفسه.</w:t>
      </w:r>
    </w:p>
    <w:p>
      <w:pPr>
        <w:pStyle w:val="BookText"/>
      </w:pPr>
      <w:r>
        <w:rPr>
          <w:rFonts w:ascii="Amiri" w:hAnsi="Amiri" w:eastAsia="Amiri" w:cs="Amiri"/>
          <w:lang w:bidi="ar-SA"/>
          <w:color w:val="111111"/>
          <w:sz w:val="28"/>
          <w:szCs w:val="28"/>
          <w:rtl/>
        </w:rPr>
        <w:t xml:space="preserve">و أمّا النقل،فقد تقدّم </w:t>
      </w:r>
      <w:r>
        <w:rPr>
          <w:rStyle w:val="FootnoteReference"/>
        </w:rPr>
        <w:footnoteReference w:id="1284"/>
      </w:r>
      <w:r>
        <w:rPr>
          <w:rFonts w:ascii="IRNazanin" w:hAnsi="IRNazanin" w:eastAsia="IRNazanin" w:cs="IRNazanin"/>
          <w:lang w:bidi="fa-IR"/>
          <w:color w:val="111111"/>
          <w:sz w:val="28"/>
          <w:szCs w:val="28"/>
          <w:rtl/>
        </w:rPr>
        <w:t xml:space="preserve">عدم دلالته علی ذلک؛فإنّ </w:t>
      </w:r>
      <w:r>
        <w:rPr>
          <w:rStyle w:val="FootnoteReference"/>
        </w:rPr>
        <w:footnoteReference w:id="1285"/>
      </w:r>
      <w:r>
        <w:rPr>
          <w:rFonts w:ascii="Amiri" w:hAnsi="Amiri" w:eastAsia="Amiri" w:cs="Amiri"/>
          <w:lang w:bidi="ar-SA"/>
          <w:color w:val="111111"/>
          <w:sz w:val="28"/>
          <w:szCs w:val="28"/>
          <w:rtl/>
        </w:rPr>
        <w:t xml:space="preserve">الظاهر منها -و لو بعد ملاحظة ما تقدّم </w:t>
      </w:r>
      <w:r>
        <w:rPr>
          <w:rStyle w:val="FootnoteReference"/>
        </w:rPr>
        <w:footnoteReference w:id="1286"/>
      </w:r>
      <w:r>
        <w:rPr>
          <w:rFonts w:ascii="IRNazanin" w:hAnsi="IRNazanin" w:eastAsia="IRNazanin" w:cs="IRNazanin"/>
          <w:lang w:bidi="fa-IR"/>
          <w:color w:val="111111"/>
          <w:sz w:val="28"/>
          <w:szCs w:val="28"/>
          <w:rtl/>
        </w:rPr>
        <w:t xml:space="preserve">من أدلّة الاحتیاط </w:t>
      </w:r>
      <w:r>
        <w:rPr>
          <w:rStyle w:val="FootnoteReference"/>
        </w:rPr>
        <w:footnoteReference w:id="1287"/>
      </w:r>
      <w:r>
        <w:rPr>
          <w:rFonts w:ascii="IRNazanin" w:hAnsi="IRNazanin" w:eastAsia="IRNazanin" w:cs="IRNazanin"/>
          <w:lang w:bidi="fa-IR"/>
          <w:color w:val="111111"/>
          <w:sz w:val="28"/>
          <w:szCs w:val="28"/>
          <w:rtl/>
        </w:rPr>
        <w:t xml:space="preserve">-الاختصاص بالعاجز.</w:t>
      </w:r>
    </w:p>
    <w:p>
      <w:pPr>
        <w:pStyle w:val="BookText"/>
      </w:pPr>
      <w:r>
        <w:rPr>
          <w:rFonts w:ascii="IRNazanin" w:hAnsi="IRNazanin" w:eastAsia="IRNazanin" w:cs="IRNazanin"/>
          <w:lang w:bidi="fa-IR"/>
          <w:color w:val="111111"/>
          <w:sz w:val="28"/>
          <w:szCs w:val="28"/>
          <w:rtl/>
        </w:rPr>
        <w:t xml:space="preserve">مضافا إلی ما تقدّم </w:t>
      </w:r>
      <w:r>
        <w:rPr>
          <w:rStyle w:val="FootnoteReference"/>
        </w:rPr>
        <w:footnoteReference w:id="1288"/>
      </w:r>
      <w:r>
        <w:rPr>
          <w:rFonts w:ascii="IRNazanin" w:hAnsi="IRNazanin" w:eastAsia="IRNazanin" w:cs="IRNazanin"/>
          <w:lang w:bidi="fa-IR"/>
          <w:color w:val="111111"/>
          <w:sz w:val="28"/>
          <w:szCs w:val="28"/>
          <w:rtl/>
        </w:rPr>
        <w:t xml:space="preserve">فی بعض الأخبار المتقدّمة </w:t>
      </w:r>
      <w:r>
        <w:rPr>
          <w:rStyle w:val="FootnoteReference"/>
        </w:rPr>
        <w:footnoteReference w:id="1289"/>
      </w:r>
      <w:r>
        <w:rPr>
          <w:rFonts w:ascii="IRNazanin" w:hAnsi="IRNazanin" w:eastAsia="IRNazanin" w:cs="IRNazanin"/>
          <w:lang w:bidi="fa-IR"/>
          <w:color w:val="111111"/>
          <w:sz w:val="28"/>
          <w:szCs w:val="28"/>
          <w:rtl/>
        </w:rPr>
        <w:t xml:space="preserve">فی الوجه</w:t>
      </w:r>
    </w:p>
    <w:p>
      <w:pPr>
        <w:pStyle w:val="BookText"/>
      </w:pPr>
      <w:r>
        <w:rPr>
          <w:rFonts w:ascii="IRNazanin" w:hAnsi="IRNazanin" w:eastAsia="IRNazanin" w:cs="IRNazanin"/>
          <w:lang w:bidi="fa-IR"/>
          <w:color w:val="111111"/>
          <w:sz w:val="28"/>
          <w:szCs w:val="28"/>
          <w:rtl/>
        </w:rPr>
        <w:t xml:space="preserve">[شماره صفحه واقعی : 417]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282" w:name="pg14411_142807"/>
    <w:bookmarkEnd w:id="282"/>
    <w:p>
      <w:pPr>
        <w:pStyle w:val="BookText"/>
      </w:pPr>
      <w:r>
        <w:rPr>
          <w:rFonts w:ascii="IRNazanin" w:hAnsi="IRNazanin" w:eastAsia="IRNazanin" w:cs="IRNazanin"/>
          <w:lang w:bidi="fa-IR"/>
          <w:color w:val="111111"/>
          <w:sz w:val="28"/>
          <w:szCs w:val="28"/>
          <w:rtl/>
        </w:rPr>
        <w:t xml:space="preserve">الثالث المؤیّدة بغیرها،مثل روایة تیمّم عمّار المتضمّنة لتوبیخ النبیّ صلّی اللّه علیه و آله و سلّم إیّاه بقوله:«أ فلا صنعت کذا» </w:t>
      </w:r>
      <w:r>
        <w:rPr>
          <w:rStyle w:val="FootnoteReference"/>
        </w:rPr>
        <w:footnoteReference w:id="1290"/>
      </w:r>
      <w:r>
        <w:rPr>
          <w:rFonts w:ascii="Times New Roman" w:hAnsi="Times New Roman" w:eastAsia="Times New Roman" w:cs="Times New Roman"/>
          <w:lang w:val="en-US" w:bidi="en-US"/>
          <w:color w:val="111111"/>
          <w:sz w:val="28"/>
          <w:szCs w:val="28"/>
          <w:rtl/>
        </w:rPr>
        <w:t xml:space="preserve">.</w:t>
      </w:r>
    </w:p>
    <w:p>
      <w:pPr>
        <w:pStyle w:val="Heading6"/>
      </w:pPr>
      <w:bookmarkStart w:id="1552" w:name="_Toc587"/>
      <w:r>
        <w:t>[الاستدلال علی العقاب بالاجماع علی مؤاخذة الکفّار علی الفروع و المناقشة فیه]</w:t>
      </w:r>
      <w:bookmarkEnd w:id="1552"/>
    </w:p>
    <w:p>
      <w:pPr>
        <w:pStyle w:val="BookText"/>
      </w:pPr>
      <w:r>
        <w:rPr>
          <w:rFonts w:ascii="IRNazanin" w:hAnsi="IRNazanin" w:eastAsia="IRNazanin" w:cs="IRNazanin"/>
          <w:lang w:bidi="fa-IR"/>
          <w:color w:val="111111"/>
          <w:sz w:val="28"/>
          <w:szCs w:val="28"/>
          <w:rtl/>
        </w:rPr>
        <w:t xml:space="preserve">و قد یستدلّ أیضا:بالإجماع علی مؤاخذة الکفّار علی الفروع مع أنّهم جاهلون بها.</w:t>
      </w:r>
    </w:p>
    <w:p>
      <w:pPr>
        <w:pStyle w:val="BookText"/>
      </w:pPr>
      <w:r>
        <w:rPr>
          <w:rFonts w:ascii="IRNazanin" w:hAnsi="IRNazanin" w:eastAsia="IRNazanin" w:cs="IRNazanin"/>
          <w:lang w:bidi="fa-IR"/>
          <w:color w:val="111111"/>
          <w:sz w:val="28"/>
          <w:szCs w:val="28"/>
          <w:rtl/>
        </w:rPr>
        <w:t xml:space="preserve">و فیه:أنّ معقد الإجماع تساوی الکفّار و المسلمین فی التکلیف بالفروع کالاصول و مؤاخذتهم علیها بالشروط المقرّرة للتکلیف،و هذا لا ینفی دعوی اشتراط العلم بالتکلیف فی حقّ المسلم و الکافر.</w:t>
      </w:r>
    </w:p>
    <w:p>
      <w:pPr>
        <w:pStyle w:val="Heading6"/>
      </w:pPr>
      <w:bookmarkStart w:id="1553" w:name="_Toc588"/>
      <w:r>
        <w:t>[جعل العقاب علی ترک التعلّم فی کلام صاحب المدارک]</w:t>
      </w:r>
      <w:bookmarkEnd w:id="1553"/>
    </w:p>
    <w:p>
      <w:pPr>
        <w:pStyle w:val="Heading6"/>
      </w:pPr>
      <w:bookmarkStart w:id="1554" w:name="_Toc589"/>
      <w:r>
        <w:t>اشارة</w:t>
      </w:r>
      <w:bookmarkEnd w:id="1554"/>
    </w:p>
    <w:p>
      <w:pPr>
        <w:pStyle w:val="BookText"/>
      </w:pPr>
      <w:r>
        <w:rPr>
          <w:rFonts w:ascii="IRNazanin" w:hAnsi="IRNazanin" w:eastAsia="IRNazanin" w:cs="IRNazanin"/>
          <w:lang w:bidi="fa-IR"/>
          <w:color w:val="111111"/>
          <w:sz w:val="28"/>
          <w:szCs w:val="28"/>
          <w:rtl/>
        </w:rPr>
        <w:t xml:space="preserve">و قد خالف فیما ذکرنا صاحب المدارک </w:t>
      </w:r>
      <w:r>
        <w:rPr>
          <w:rStyle w:val="FootnoteReference"/>
        </w:rPr>
        <w:footnoteReference w:id="1291"/>
      </w:r>
      <w:r>
        <w:rPr>
          <w:rFonts w:ascii="IRNazanin" w:hAnsi="IRNazanin" w:eastAsia="IRNazanin" w:cs="IRNazanin"/>
          <w:lang w:bidi="fa-IR"/>
          <w:color w:val="111111"/>
          <w:sz w:val="28"/>
          <w:szCs w:val="28"/>
          <w:rtl/>
        </w:rPr>
        <w:t xml:space="preserve">تبعا لشیخه المحقّق الأردبیلی </w:t>
      </w:r>
      <w:r>
        <w:rPr>
          <w:rStyle w:val="FootnoteReference"/>
        </w:rPr>
        <w:footnoteReference w:id="1292"/>
      </w:r>
      <w:r>
        <w:rPr>
          <w:rFonts w:ascii="IRNazanin" w:hAnsi="IRNazanin" w:eastAsia="IRNazanin" w:cs="IRNazanin"/>
          <w:lang w:bidi="fa-IR"/>
          <w:color w:val="111111"/>
          <w:sz w:val="28"/>
          <w:szCs w:val="28"/>
          <w:rtl/>
        </w:rPr>
        <w:t xml:space="preserve">حیث جعلا عقاب الجاهل علی ترک التعلّم؛لقبح تکلیف الغافل و فهم منه بعض المدقّقین </w:t>
      </w:r>
      <w:r>
        <w:rPr>
          <w:rStyle w:val="FootnoteReference"/>
        </w:rPr>
        <w:footnoteReference w:id="1293"/>
      </w:r>
      <w:r>
        <w:rPr>
          <w:rFonts w:ascii="IRNazanin" w:hAnsi="IRNazanin" w:eastAsia="IRNazanin" w:cs="IRNazanin"/>
          <w:lang w:bidi="fa-IR"/>
          <w:color w:val="111111"/>
          <w:sz w:val="28"/>
          <w:szCs w:val="28"/>
          <w:rtl/>
        </w:rPr>
        <w:t xml:space="preserve">أنّه قول بالعقاب علی ترک المقدّمة دون ذی المقدّمة.</w:t>
      </w:r>
    </w:p>
    <w:p>
      <w:pPr>
        <w:pStyle w:val="Heading6"/>
      </w:pPr>
      <w:bookmarkStart w:id="1555" w:name="_Toc590"/>
      <w:r>
        <w:t>[توجیه کلام صاحب المدارک]</w:t>
      </w:r>
      <w:bookmarkEnd w:id="1555"/>
    </w:p>
    <w:p>
      <w:pPr>
        <w:pStyle w:val="BookText"/>
      </w:pPr>
      <w:r>
        <w:rPr>
          <w:rFonts w:ascii="IRNazanin" w:hAnsi="IRNazanin" w:eastAsia="IRNazanin" w:cs="IRNazanin"/>
          <w:lang w:bidi="fa-IR"/>
          <w:color w:val="111111"/>
          <w:sz w:val="28"/>
          <w:szCs w:val="28"/>
          <w:rtl/>
        </w:rPr>
        <w:t xml:space="preserve">و یمکن توجیه کلامه:بإرادة استحقاق عقاب ذی المقدّمة حین ترک المقدّمة؛فإنّ من شرب العصیر العنبیّ غیر ملتفت حین الشرب إلی احتمال کونه حراما،قبح توجّه النهی إلیه فی هذا الزمان؛لغفلته،و إنّما یعاقب علی النهی الموجّه </w:t>
      </w:r>
      <w:r>
        <w:rPr>
          <w:rStyle w:val="FootnoteReference"/>
        </w:rPr>
        <w:footnoteReference w:id="1294"/>
      </w:r>
      <w:r>
        <w:rPr>
          <w:rFonts w:ascii="IRNazanin" w:hAnsi="IRNazanin" w:eastAsia="IRNazanin" w:cs="IRNazanin"/>
          <w:lang w:bidi="fa-IR"/>
          <w:color w:val="111111"/>
          <w:sz w:val="28"/>
          <w:szCs w:val="28"/>
          <w:rtl/>
        </w:rPr>
        <w:t xml:space="preserve">إلیه قبل ذلک،حین التفت إلی أنّ فی الشریعة تکالیف لا یمکن امتثالها إلاّ بعد معرفتها،فإذا ترک المعرفة</w:t>
      </w:r>
    </w:p>
    <w:p>
      <w:pPr>
        <w:pStyle w:val="BookText"/>
      </w:pPr>
      <w:r>
        <w:rPr>
          <w:rFonts w:ascii="IRNazanin" w:hAnsi="IRNazanin" w:eastAsia="IRNazanin" w:cs="IRNazanin"/>
          <w:lang w:bidi="fa-IR"/>
          <w:color w:val="111111"/>
          <w:sz w:val="28"/>
          <w:szCs w:val="28"/>
          <w:rtl/>
        </w:rPr>
        <w:t xml:space="preserve">[شماره صفحه واقعی : 418]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283" w:name="pg14411_142808"/>
    <w:bookmarkEnd w:id="283"/>
    <w:p>
      <w:pPr>
        <w:pStyle w:val="BookText"/>
      </w:pPr>
      <w:r>
        <w:rPr>
          <w:rFonts w:ascii="IRNazanin" w:hAnsi="IRNazanin" w:eastAsia="IRNazanin" w:cs="IRNazanin"/>
          <w:lang w:bidi="fa-IR"/>
          <w:color w:val="111111"/>
          <w:sz w:val="28"/>
          <w:szCs w:val="28"/>
          <w:rtl/>
        </w:rPr>
        <w:t xml:space="preserve">عوقب علیه من حیث إفضائه إلی مخالفة تلک التکالیف،ففی زمان الارتکاب لا تکلیف؛لانقطاع التکلیف حین ترک المقدّمة و هی المعرفة.</w:t>
      </w:r>
    </w:p>
    <w:p>
      <w:pPr>
        <w:pStyle w:val="BookText"/>
      </w:pPr>
      <w:r>
        <w:rPr>
          <w:rFonts w:ascii="IRNazanin" w:hAnsi="IRNazanin" w:eastAsia="IRNazanin" w:cs="IRNazanin"/>
          <w:lang w:bidi="fa-IR"/>
          <w:color w:val="111111"/>
          <w:sz w:val="28"/>
          <w:szCs w:val="28"/>
          <w:rtl/>
        </w:rPr>
        <w:t xml:space="preserve">و نظیره:من ترک قطع المسافة فی آخر أزمنة الإمکان؛حیث إنّه یستحقّ أن یعاقب علیه؛لإفضائه إلی ترک أفعال الحجّ فی أیّامها، و لا یتوقّف استحقاق عقابه علی حضور أیّام الحجّ و أفعاله.</w:t>
      </w:r>
    </w:p>
    <w:p>
      <w:pPr>
        <w:pStyle w:val="Heading6"/>
      </w:pPr>
      <w:bookmarkStart w:id="1556" w:name="_Toc591"/>
      <w:r>
        <w:t>[ما هو مراد المشهور القائلین بالعقاب علی مخالفة الواقع؟]</w:t>
      </w:r>
      <w:bookmarkEnd w:id="1556"/>
    </w:p>
    <w:p>
      <w:pPr>
        <w:pStyle w:val="BookText"/>
      </w:pPr>
      <w:r>
        <w:rPr>
          <w:rFonts w:ascii="IRNazanin" w:hAnsi="IRNazanin" w:eastAsia="IRNazanin" w:cs="IRNazanin"/>
          <w:lang w:bidi="fa-IR"/>
          <w:color w:val="111111"/>
          <w:sz w:val="28"/>
          <w:szCs w:val="28"/>
          <w:rtl/>
        </w:rPr>
        <w:t xml:space="preserve">و حینئذ:فإن أراد المشهور توجّه النهی إلی الغافل حین غفلته، فلا ریب فی قبحه.</w:t>
      </w:r>
    </w:p>
    <w:p>
      <w:pPr>
        <w:pStyle w:val="BookText"/>
      </w:pPr>
      <w:r>
        <w:rPr>
          <w:rFonts w:ascii="IRNazanin" w:hAnsi="IRNazanin" w:eastAsia="IRNazanin" w:cs="IRNazanin"/>
          <w:lang w:bidi="fa-IR"/>
          <w:color w:val="111111"/>
          <w:sz w:val="28"/>
          <w:szCs w:val="28"/>
          <w:rtl/>
        </w:rPr>
        <w:t xml:space="preserve">و إن أرادوا استحقاق العقاب علی المخالفة و إن لم یتوجّه إلیه نهی وقت المخالفة:</w:t>
      </w:r>
    </w:p>
    <w:p>
      <w:pPr>
        <w:pStyle w:val="BookText"/>
      </w:pPr>
      <w:r>
        <w:rPr>
          <w:rFonts w:ascii="IRNazanin" w:hAnsi="IRNazanin" w:eastAsia="IRNazanin" w:cs="IRNazanin"/>
          <w:lang w:bidi="fa-IR"/>
          <w:color w:val="111111"/>
          <w:sz w:val="28"/>
          <w:szCs w:val="28"/>
          <w:rtl/>
        </w:rPr>
        <w:t xml:space="preserve">فإن أرادوا أنّ الاستحقاق علی المخالفة وقت المخالفة،لا قبلها؛ لعدم تحقّق معصیة،ففیه:</w:t>
      </w:r>
    </w:p>
    <w:p>
      <w:pPr>
        <w:pStyle w:val="BookText"/>
      </w:pPr>
      <w:r>
        <w:rPr>
          <w:rFonts w:ascii="IRNazanin" w:hAnsi="IRNazanin" w:eastAsia="IRNazanin" w:cs="IRNazanin"/>
          <w:lang w:bidi="fa-IR"/>
          <w:color w:val="111111"/>
          <w:sz w:val="28"/>
          <w:szCs w:val="28"/>
          <w:rtl/>
        </w:rPr>
        <w:t xml:space="preserve">أنّه لا وجه لترقّب حضور زمان المخالفة؛لصیرورة الفعل مستحیل الوقوع لأجل ترک المقدّمة.مضافا إلی شهادة العقلاء قاطبة بحسن مؤاخذة من رمی سهما لا یصیب زیدا و لا یقتله إلاّ بعد مدّة مدیدة، بمجرّد الرمی.</w:t>
      </w:r>
    </w:p>
    <w:p>
      <w:pPr>
        <w:pStyle w:val="BookText"/>
      </w:pPr>
      <w:r>
        <w:rPr>
          <w:rFonts w:ascii="IRNazanin" w:hAnsi="IRNazanin" w:eastAsia="IRNazanin" w:cs="IRNazanin"/>
          <w:lang w:bidi="fa-IR"/>
          <w:color w:val="111111"/>
          <w:sz w:val="28"/>
          <w:szCs w:val="28"/>
          <w:rtl/>
        </w:rPr>
        <w:t xml:space="preserve">و إن أرادوا استحقاق العقاب فی زمان ترک المعرفة علی ما یحصل بعد من المخالفة،فهو حسن لا محیص عنه.</w:t>
      </w:r>
    </w:p>
    <w:p>
      <w:pPr>
        <w:pStyle w:val="Heading6"/>
      </w:pPr>
      <w:bookmarkStart w:id="1557" w:name="_Toc592"/>
      <w:r>
        <w:t>[ظاهر بعض کلماتهم توجّه النهی إلی الجاهل حین غفلته]</w:t>
      </w:r>
      <w:bookmarkEnd w:id="1557"/>
    </w:p>
    <w:p>
      <w:pPr>
        <w:pStyle w:val="BookText"/>
      </w:pPr>
      <w:r>
        <w:rPr>
          <w:rFonts w:ascii="IRNazanin" w:hAnsi="IRNazanin" w:eastAsia="IRNazanin" w:cs="IRNazanin"/>
          <w:lang w:bidi="fa-IR"/>
          <w:color w:val="111111"/>
          <w:sz w:val="28"/>
          <w:szCs w:val="28"/>
          <w:rtl/>
        </w:rPr>
        <w:t xml:space="preserve">هذا،و لکن بعض کلماتهم ظاهرة فی الوجه الأوّل،و هو توجّه النهی إلی الجاهل حین عدم التفاته؛فإنّهم یحکمون بفساد الصلاة فی المغصوب جاهلا بالحکم؛لأنّ الجاهل کالعامد،و أنّ التحریم لا یتوقّف علی العلم به </w:t>
      </w:r>
      <w:r>
        <w:rPr>
          <w:rStyle w:val="FootnoteReference"/>
        </w:rPr>
        <w:footnoteReference w:id="12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419]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284" w:name="pg14411_142809"/>
    <w:bookmarkEnd w:id="284"/>
    <w:p>
      <w:pPr>
        <w:pStyle w:val="BookText"/>
      </w:pPr>
      <w:r>
        <w:rPr>
          <w:rFonts w:ascii="IRNazanin" w:hAnsi="IRNazanin" w:eastAsia="IRNazanin" w:cs="IRNazanin"/>
          <w:lang w:bidi="fa-IR"/>
          <w:color w:val="111111"/>
          <w:sz w:val="28"/>
          <w:szCs w:val="28"/>
          <w:rtl/>
        </w:rPr>
        <w:t xml:space="preserve">و لو لا توجّه النهی إلیه حین المخالفة لم یکن وجه لبطلان الصلاة، بل کان کناسی الغصبیّة.</w:t>
      </w:r>
    </w:p>
    <w:p>
      <w:pPr>
        <w:pStyle w:val="BookText"/>
      </w:pPr>
      <w:r>
        <w:rPr>
          <w:rFonts w:ascii="IRNazanin" w:hAnsi="IRNazanin" w:eastAsia="IRNazanin" w:cs="IRNazanin"/>
          <w:lang w:bidi="fa-IR"/>
          <w:color w:val="111111"/>
          <w:sz w:val="28"/>
          <w:szCs w:val="28"/>
          <w:rtl/>
        </w:rPr>
        <w:t xml:space="preserve">و الاعتذار عن ذلک:بأنّه یکفی فی البطلان اجتماع الصلاة المأمور بها مع ما هو مبغوض فی الواقع و معاقب علیه و لو لم یکن منهیّا عنه بالفعل.</w:t>
      </w:r>
    </w:p>
    <w:p>
      <w:pPr>
        <w:pStyle w:val="BookText"/>
      </w:pPr>
      <w:r>
        <w:rPr>
          <w:rFonts w:ascii="IRNazanin" w:hAnsi="IRNazanin" w:eastAsia="IRNazanin" w:cs="IRNazanin"/>
          <w:lang w:bidi="fa-IR"/>
          <w:color w:val="111111"/>
          <w:sz w:val="28"/>
          <w:szCs w:val="28"/>
          <w:rtl/>
        </w:rPr>
        <w:t xml:space="preserve">مدفوع-مضافا إلی عدم صحّته فی نفسه-:بأنّهم صرّحوا بصحّة صلاة من توسّط أرضا مغصوبة فی حال الخروج عنها؛لعدم النهی عنه و إن کان آثما بالخروج </w:t>
      </w:r>
      <w:r>
        <w:rPr>
          <w:rStyle w:val="FootnoteReference"/>
        </w:rPr>
        <w:footnoteReference w:id="12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إلاّ أن یفرّق بین المتوسّط للأرض المغصوبة و بین الغافل،بتحقّق المبغوضیّة فی الغافل،و إمکان تعلّق الکراهة الواقعیّة بالفعل المغفول عن حرمته مع بقاء الحکم الواقعیّ بالنسبة إلیه؛لبقاء الاختیار فیه،و عدم ترخیص الشارع للفعل فی مرحلة الظاهر،بخلاف المتوسّط؛فإنّه یقبح منه تعلّق الکراهة الواقعیّة بالخروج کالطلب الفعلیّ لترکه؛لعدم التمکّن من ترک الغصب.</w:t>
      </w:r>
    </w:p>
    <w:p>
      <w:pPr>
        <w:pStyle w:val="Heading6"/>
      </w:pPr>
      <w:bookmarkStart w:id="1558" w:name="_Toc593"/>
      <w:r>
        <w:t>[الفرق بین جاهل الحکم و جاهل الموضوع]</w:t>
      </w:r>
      <w:bookmarkEnd w:id="1558"/>
    </w:p>
    <w:p>
      <w:pPr>
        <w:pStyle w:val="BookText"/>
      </w:pPr>
      <w:r>
        <w:rPr>
          <w:rFonts w:ascii="IRNazanin" w:hAnsi="IRNazanin" w:eastAsia="IRNazanin" w:cs="IRNazanin"/>
          <w:lang w:bidi="fa-IR"/>
          <w:color w:val="111111"/>
          <w:sz w:val="28"/>
          <w:szCs w:val="28"/>
          <w:rtl/>
        </w:rPr>
        <w:t xml:space="preserve">و ممّا ذکرنا:من عدم الترخیص،یظهر الفرق بین جاهل الحکم و جاهل الموضوع المحکوم بصحّة عبادته مع الغصب و إن فرض فیه الحرمة الواقعیّة.</w:t>
      </w:r>
    </w:p>
    <w:p>
      <w:pPr>
        <w:pStyle w:val="Heading6"/>
      </w:pPr>
      <w:bookmarkStart w:id="1559" w:name="_Toc594"/>
      <w:r>
        <w:t>[الإشکال فی ناسی الحکم خصوصا المقصّر]</w:t>
      </w:r>
      <w:bookmarkEnd w:id="1559"/>
    </w:p>
    <w:p>
      <w:pPr>
        <w:pStyle w:val="BookText"/>
      </w:pPr>
      <w:r>
        <w:rPr>
          <w:rFonts w:ascii="IRNazanin" w:hAnsi="IRNazanin" w:eastAsia="IRNazanin" w:cs="IRNazanin"/>
          <w:lang w:bidi="fa-IR"/>
          <w:color w:val="111111"/>
          <w:sz w:val="28"/>
          <w:szCs w:val="28"/>
          <w:rtl/>
        </w:rPr>
        <w:t xml:space="preserve">نعم،یبقی الإشکال فی ناسی الحکم خصوصا المقصّر.و للتأمّل فی حکم عبادته مجال،بل تأمّل بعضهم </w:t>
      </w:r>
      <w:r>
        <w:rPr>
          <w:rStyle w:val="FootnoteReference"/>
        </w:rPr>
        <w:footnoteReference w:id="1297"/>
      </w:r>
      <w:r>
        <w:rPr>
          <w:rFonts w:ascii="IRNazanin" w:hAnsi="IRNazanin" w:eastAsia="IRNazanin" w:cs="IRNazanin"/>
          <w:lang w:bidi="fa-IR"/>
          <w:color w:val="111111"/>
          <w:sz w:val="28"/>
          <w:szCs w:val="28"/>
          <w:rtl/>
        </w:rPr>
        <w:t xml:space="preserve">فی ناسی الموضوع؛لعدم</w:t>
      </w:r>
    </w:p>
    <w:p>
      <w:pPr>
        <w:pStyle w:val="BookText"/>
      </w:pPr>
      <w:r>
        <w:rPr>
          <w:rFonts w:ascii="IRNazanin" w:hAnsi="IRNazanin" w:eastAsia="IRNazanin" w:cs="IRNazanin"/>
          <w:lang w:bidi="fa-IR"/>
          <w:color w:val="111111"/>
          <w:sz w:val="28"/>
          <w:szCs w:val="28"/>
          <w:rtl/>
        </w:rPr>
        <w:t xml:space="preserve">[شماره صفحه واقعی : 420]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285" w:name="pg14411_142810"/>
    <w:bookmarkEnd w:id="285"/>
    <w:p>
      <w:pPr>
        <w:pStyle w:val="BookText"/>
      </w:pPr>
      <w:r>
        <w:rPr>
          <w:rFonts w:ascii="IRNazanin" w:hAnsi="IRNazanin" w:eastAsia="IRNazanin" w:cs="IRNazanin"/>
          <w:lang w:bidi="fa-IR"/>
          <w:color w:val="111111"/>
          <w:sz w:val="28"/>
          <w:szCs w:val="28"/>
          <w:rtl/>
        </w:rPr>
        <w:t xml:space="preserve">الترخیص الشرعیّ من جهة الغفلة،فافهم.</w:t>
      </w:r>
    </w:p>
    <w:p>
      <w:pPr>
        <w:pStyle w:val="BookText"/>
      </w:pPr>
      <w:r>
        <w:rPr>
          <w:rFonts w:ascii="IRNazanin" w:hAnsi="IRNazanin" w:eastAsia="IRNazanin" w:cs="IRNazanin"/>
          <w:lang w:bidi="fa-IR"/>
          <w:color w:val="111111"/>
          <w:sz w:val="28"/>
          <w:szCs w:val="28"/>
          <w:rtl/>
        </w:rPr>
        <w:t xml:space="preserve">و ممّا یؤیّد إرادة المشهور الوجه </w:t>
      </w:r>
      <w:r>
        <w:rPr>
          <w:rStyle w:val="FootnoteReference"/>
        </w:rPr>
        <w:footnoteReference w:id="1298"/>
      </w:r>
      <w:r>
        <w:rPr>
          <w:rFonts w:ascii="IRNazanin" w:hAnsi="IRNazanin" w:eastAsia="IRNazanin" w:cs="IRNazanin"/>
          <w:lang w:bidi="fa-IR"/>
          <w:color w:val="111111"/>
          <w:sz w:val="28"/>
          <w:szCs w:val="28"/>
          <w:rtl/>
        </w:rPr>
        <w:t xml:space="preserve">الأوّل دون الأخیر:أنّه یلزم حینئذ عدم العقاب فی التکالیف الموقّتة التی لا تتنجّز علی المکلّف إلاّ بعد دخول أوقاتها،فإذا فرض غفلة المکلّف عند الاستطاعة عن تکلیف الحجّ،و المفروض أن </w:t>
      </w:r>
      <w:r>
        <w:rPr>
          <w:rStyle w:val="FootnoteReference"/>
        </w:rPr>
        <w:footnoteReference w:id="1299"/>
      </w:r>
      <w:r>
        <w:rPr>
          <w:rFonts w:ascii="IRNazanin" w:hAnsi="IRNazanin" w:eastAsia="IRNazanin" w:cs="IRNazanin"/>
          <w:lang w:bidi="fa-IR"/>
          <w:color w:val="111111"/>
          <w:sz w:val="28"/>
          <w:szCs w:val="28"/>
          <w:rtl/>
        </w:rPr>
        <w:t xml:space="preserve">لا تکلیف قبلها،فلا سبب هنا لاستحقاق العقاب رأسا.أمّا حین الالتفات إلی امتثال </w:t>
      </w:r>
      <w:r>
        <w:rPr>
          <w:rStyle w:val="FootnoteReference"/>
        </w:rPr>
        <w:footnoteReference w:id="1300"/>
      </w:r>
      <w:r>
        <w:rPr>
          <w:rFonts w:ascii="IRNazanin" w:hAnsi="IRNazanin" w:eastAsia="IRNazanin" w:cs="IRNazanin"/>
          <w:lang w:bidi="fa-IR"/>
          <w:color w:val="111111"/>
          <w:sz w:val="28"/>
          <w:szCs w:val="28"/>
          <w:rtl/>
        </w:rPr>
        <w:t xml:space="preserve">تکلیف الحجّ؛فلعدم التکلیف به؛لفقد الاستطاعة.و أمّا بعد الاستطاعة؛فلفقد الالتفات و حصول الغفلة.و کذلک الصلاة و الصیام بالنسبة إلی أوقاتها.</w:t>
      </w:r>
    </w:p>
    <w:p>
      <w:pPr>
        <w:pStyle w:val="Heading6"/>
      </w:pPr>
      <w:bookmarkStart w:id="1560" w:name="_Toc595"/>
      <w:r>
        <w:t>[عدم إباء کلام صاحب المدارک عن کون العلم واجبا نفسیا]</w:t>
      </w:r>
      <w:bookmarkEnd w:id="1560"/>
    </w:p>
    <w:p>
      <w:pPr>
        <w:pStyle w:val="BookText"/>
      </w:pPr>
      <w:r>
        <w:rPr>
          <w:rFonts w:ascii="IRNazanin" w:hAnsi="IRNazanin" w:eastAsia="IRNazanin" w:cs="IRNazanin"/>
          <w:lang w:bidi="fa-IR"/>
          <w:color w:val="111111"/>
          <w:sz w:val="28"/>
          <w:szCs w:val="28"/>
          <w:rtl/>
        </w:rPr>
        <w:t xml:space="preserve">و من هنا قد یلتجئ إلی ما لا یأباه کلام صاحب المدارک </w:t>
      </w:r>
      <w:r>
        <w:rPr>
          <w:rStyle w:val="FootnoteReference"/>
        </w:rPr>
        <w:footnoteReference w:id="1301"/>
      </w:r>
      <w:r>
        <w:rPr>
          <w:rFonts w:ascii="IRNazanin" w:hAnsi="IRNazanin" w:eastAsia="IRNazanin" w:cs="IRNazanin"/>
          <w:lang w:bidi="fa-IR"/>
          <w:color w:val="111111"/>
          <w:sz w:val="28"/>
          <w:szCs w:val="28"/>
          <w:rtl/>
        </w:rPr>
        <w:t xml:space="preserve">و من تبعه </w:t>
      </w:r>
      <w:r>
        <w:rPr>
          <w:rStyle w:val="FootnoteReference"/>
        </w:rPr>
        <w:footnoteReference w:id="1302"/>
      </w:r>
      <w:r>
        <w:rPr>
          <w:rFonts w:ascii="IRNazanin" w:hAnsi="IRNazanin" w:eastAsia="IRNazanin" w:cs="IRNazanin"/>
          <w:lang w:bidi="fa-IR"/>
          <w:color w:val="111111"/>
          <w:sz w:val="28"/>
          <w:szCs w:val="28"/>
          <w:rtl/>
        </w:rPr>
        <w:t xml:space="preserve">،من أنّ العلم واجب نفسیّ،و العقاب علی ترکه من حیث هو، لا من حیث إفضائه إلی المعصیة،أعنی ترک الواجبات و فعل المحرّمات المجهولة تفصیلا.</w:t>
      </w:r>
    </w:p>
    <w:p>
      <w:pPr>
        <w:pStyle w:val="BookText"/>
      </w:pPr>
      <w:r>
        <w:rPr>
          <w:rFonts w:ascii="Amiri" w:hAnsi="Amiri" w:eastAsia="Amiri" w:cs="Amiri"/>
          <w:lang w:bidi="ar-SA"/>
          <w:color w:val="111111"/>
          <w:sz w:val="28"/>
          <w:szCs w:val="28"/>
          <w:rtl/>
        </w:rPr>
        <w:t xml:space="preserve">و ما دلّ بظاهره-من الأدلّة المتقدّمة </w:t>
      </w:r>
      <w:r>
        <w:rPr>
          <w:rStyle w:val="FootnoteReference"/>
        </w:rPr>
        <w:footnoteReference w:id="1303"/>
      </w:r>
      <w:r>
        <w:rPr>
          <w:rFonts w:ascii="IRNazanin" w:hAnsi="IRNazanin" w:eastAsia="IRNazanin" w:cs="IRNazanin"/>
          <w:lang w:bidi="fa-IR"/>
          <w:color w:val="111111"/>
          <w:sz w:val="28"/>
          <w:szCs w:val="28"/>
          <w:rtl/>
        </w:rPr>
        <w:t xml:space="preserve">-علی کون وجوب تحصیل العلم من باب المقدّمة،محمول علی بیان الحکمة فی وجوبه،و أنّ الحکمة فی إیجابه لنفسه صیرورة المکلّف قابلا للتکلیف بالواجبات و المحرّمات</w:t>
      </w:r>
    </w:p>
    <w:p>
      <w:pPr>
        <w:pStyle w:val="BookText"/>
      </w:pPr>
      <w:r>
        <w:rPr>
          <w:rFonts w:ascii="IRNazanin" w:hAnsi="IRNazanin" w:eastAsia="IRNazanin" w:cs="IRNazanin"/>
          <w:lang w:bidi="fa-IR"/>
          <w:color w:val="111111"/>
          <w:sz w:val="28"/>
          <w:szCs w:val="28"/>
          <w:rtl/>
        </w:rPr>
        <w:t xml:space="preserve">[شماره صفحه واقعی : 421]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286" w:name="pg14411_142811"/>
    <w:bookmarkEnd w:id="286"/>
    <w:p>
      <w:pPr>
        <w:pStyle w:val="BookText"/>
      </w:pPr>
      <w:r>
        <w:rPr>
          <w:rFonts w:ascii="IRNazanin" w:hAnsi="IRNazanin" w:eastAsia="IRNazanin" w:cs="IRNazanin"/>
          <w:lang w:bidi="fa-IR"/>
          <w:color w:val="111111"/>
          <w:sz w:val="28"/>
          <w:szCs w:val="28"/>
          <w:rtl/>
        </w:rPr>
        <w:t xml:space="preserve">حتّی لا یفوته منفعة التکلیف بها و لا تناله مضرّة إهماله عنها؛فإنّه قد یکون الحکمة فی وجوب الشیء لنفسه صیرورة المکلّف قابلا للخطاب، بل الحکمة الظاهرة فی الإرشاد و تبلیغ الأنبیاء و الحجج علیهم السّلام لیست إلاّ صیرورة الناس عالمین قابلین للتکالیف.</w:t>
      </w:r>
    </w:p>
    <w:p>
      <w:pPr>
        <w:pStyle w:val="Heading6"/>
      </w:pPr>
      <w:bookmarkStart w:id="1561" w:name="_Toc596"/>
      <w:r>
        <w:t>[ظاهر أدلّة وجوب العلم کونه واجبا غیریّا]</w:t>
      </w:r>
      <w:bookmarkEnd w:id="1561"/>
    </w:p>
    <w:p>
      <w:pPr>
        <w:pStyle w:val="BookText"/>
      </w:pPr>
      <w:r>
        <w:rPr>
          <w:rFonts w:ascii="IRNazanin" w:hAnsi="IRNazanin" w:eastAsia="IRNazanin" w:cs="IRNazanin"/>
          <w:lang w:bidi="fa-IR"/>
          <w:color w:val="111111"/>
          <w:sz w:val="28"/>
          <w:szCs w:val="28"/>
          <w:rtl/>
        </w:rPr>
        <w:t xml:space="preserve">لکنّ الإنصاف:ظهور أدلّة وجوب العلم فی کونه واجبا غیریّا، مضافا إلی ما عرفت من الأخبار فی الوجه الثالث </w:t>
      </w:r>
      <w:r>
        <w:rPr>
          <w:rStyle w:val="FootnoteReference"/>
        </w:rPr>
        <w:footnoteReference w:id="1304"/>
      </w:r>
      <w:r>
        <w:rPr>
          <w:rFonts w:ascii="IRNazanin" w:hAnsi="IRNazanin" w:eastAsia="IRNazanin" w:cs="IRNazanin"/>
          <w:lang w:bidi="fa-IR"/>
          <w:color w:val="111111"/>
          <w:sz w:val="28"/>
          <w:szCs w:val="28"/>
          <w:rtl/>
        </w:rPr>
        <w:t xml:space="preserve">الظاهرة فی المؤاخذة علی نفس المخالفة.</w:t>
      </w:r>
    </w:p>
    <w:p>
      <w:pPr>
        <w:pStyle w:val="BookText"/>
      </w:pPr>
      <w:r>
        <w:rPr>
          <w:rFonts w:ascii="IRNazanin" w:hAnsi="IRNazanin" w:eastAsia="IRNazanin" w:cs="IRNazanin"/>
          <w:lang w:bidi="fa-IR"/>
          <w:color w:val="111111"/>
          <w:sz w:val="28"/>
          <w:szCs w:val="28"/>
          <w:rtl/>
        </w:rPr>
        <w:t xml:space="preserve">و یمکن أن یلتزم-حینئذ-:باستحقاق العقاب علی ترک تعلّم التکالیف،الواجب مقدّمة،و إن کانت مشروطة بشروط مفقودة حین الالتفات إلی ما یعلمه إجمالا من الواجبات المطلقة و المشروطة؛ لاستقرار بناء العقلاء فی مثال الطومار المتقدّم </w:t>
      </w:r>
      <w:r>
        <w:rPr>
          <w:rStyle w:val="FootnoteReference"/>
        </w:rPr>
        <w:footnoteReference w:id="1305"/>
      </w:r>
      <w:r>
        <w:rPr>
          <w:rFonts w:ascii="IRNazanin" w:hAnsi="IRNazanin" w:eastAsia="IRNazanin" w:cs="IRNazanin"/>
          <w:lang w:bidi="fa-IR"/>
          <w:color w:val="111111"/>
          <w:sz w:val="28"/>
          <w:szCs w:val="28"/>
          <w:rtl/>
        </w:rPr>
        <w:t xml:space="preserve">علی عدم الفرق فی المذمّة علی ترک التکالیف المسطورة فیه بین المطلقة و المشروطة،فتأمّل.</w:t>
      </w:r>
    </w:p>
    <w:p>
      <w:pPr>
        <w:pStyle w:val="BookText"/>
      </w:pPr>
      <w:r>
        <w:rPr>
          <w:rFonts w:ascii="IRNazanin" w:hAnsi="IRNazanin" w:eastAsia="IRNazanin" w:cs="IRNazanin"/>
          <w:lang w:bidi="fa-IR"/>
          <w:color w:val="111111"/>
          <w:sz w:val="28"/>
          <w:szCs w:val="28"/>
          <w:rtl/>
        </w:rPr>
        <w:t xml:space="preserve">هذا خلاصة الکلام بالنسبة إلی عقاب الجاهل التارک للفحص العامل بما یطابق البراءة.</w:t>
      </w:r>
    </w:p>
    <w:p>
      <w:pPr>
        <w:pStyle w:val="Heading6"/>
      </w:pPr>
      <w:bookmarkStart w:id="1562" w:name="_Toc597"/>
      <w:r>
        <w:t>[هل العمل الصادر من الجاهل صحیح أو فاسد؟]</w:t>
      </w:r>
      <w:bookmarkEnd w:id="1562"/>
    </w:p>
    <w:p>
      <w:pPr>
        <w:pStyle w:val="Heading6"/>
      </w:pPr>
      <w:bookmarkStart w:id="1563" w:name="_Toc598"/>
      <w:r>
        <w:t>اشارة</w:t>
      </w:r>
      <w:bookmarkEnd w:id="1563"/>
    </w:p>
    <w:p>
      <w:pPr>
        <w:pStyle w:val="BookText"/>
      </w:pPr>
      <w:r>
        <w:rPr>
          <w:rFonts w:ascii="IRNazanin" w:hAnsi="IRNazanin" w:eastAsia="IRNazanin" w:cs="IRNazanin"/>
          <w:lang w:bidi="fa-IR"/>
          <w:color w:val="111111"/>
          <w:sz w:val="28"/>
          <w:szCs w:val="28"/>
          <w:rtl/>
        </w:rPr>
        <w:t xml:space="preserve">و أمّا الکلام فی الحکم الوضعی:و هی صحّة العمل الصادر من الجاهل و فساده،فیقع الکلام فیه تارة فی المعاملات،و اخری فی العبادات.</w:t>
      </w:r>
    </w:p>
    <w:p>
      <w:pPr>
        <w:pStyle w:val="Heading6"/>
      </w:pPr>
      <w:bookmarkStart w:id="1564" w:name="_Toc599"/>
      <w:r>
        <w:t>أمّا المعاملات:</w:t>
      </w:r>
      <w:bookmarkEnd w:id="1564"/>
    </w:p>
    <w:p>
      <w:pPr>
        <w:pStyle w:val="Heading6"/>
      </w:pPr>
      <w:bookmarkStart w:id="1565" w:name="_Toc600"/>
      <w:r>
        <w:t>اشارة</w:t>
      </w:r>
      <w:bookmarkEnd w:id="1565"/>
    </w:p>
    <w:p>
      <w:pPr>
        <w:pStyle w:val="BookText"/>
      </w:pPr>
      <w:r>
        <w:rPr>
          <w:rFonts w:ascii="IRNazanin" w:hAnsi="IRNazanin" w:eastAsia="IRNazanin" w:cs="IRNazanin"/>
          <w:lang w:bidi="fa-IR"/>
          <w:color w:val="111111"/>
          <w:sz w:val="28"/>
          <w:szCs w:val="28"/>
          <w:rtl/>
        </w:rPr>
        <w:t xml:space="preserve">فالمشهور فیها:أنّ العبرة فیها بمطابقة الواقع و مخالفته</w:t>
      </w:r>
    </w:p>
    <w:p>
      <w:pPr>
        <w:pStyle w:val="BookText"/>
      </w:pPr>
      <w:r>
        <w:rPr>
          <w:rFonts w:ascii="IRNazanin" w:hAnsi="IRNazanin" w:eastAsia="IRNazanin" w:cs="IRNazanin"/>
          <w:lang w:bidi="fa-IR"/>
          <w:color w:val="111111"/>
          <w:sz w:val="28"/>
          <w:szCs w:val="28"/>
          <w:rtl/>
        </w:rPr>
        <w:t xml:space="preserve">،سواء</w:t>
      </w:r>
    </w:p>
    <w:p>
      <w:pPr>
        <w:pStyle w:val="BookText"/>
      </w:pPr>
      <w:r>
        <w:rPr>
          <w:rFonts w:ascii="IRNazanin" w:hAnsi="IRNazanin" w:eastAsia="IRNazanin" w:cs="IRNazanin"/>
          <w:lang w:bidi="fa-IR"/>
          <w:color w:val="111111"/>
          <w:sz w:val="28"/>
          <w:szCs w:val="28"/>
          <w:rtl/>
        </w:rPr>
        <w:t xml:space="preserve">[شماره صفحه واقعی : 422]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وقعت عن أحد الطریقین أعنی الاجتهاد و التقلید،أم لا عنهما،فاتّفقت المطابقة </w:t>
      </w:r>
      <w:r>
        <w:rPr>
          <w:rStyle w:val="FootnoteReference"/>
        </w:rPr>
        <w:footnoteReference w:id="1306"/>
      </w:r>
      <w:r>
        <w:rPr>
          <w:rFonts w:ascii="IRNazanin" w:hAnsi="IRNazanin" w:eastAsia="IRNazanin" w:cs="IRNazanin"/>
          <w:lang w:bidi="fa-IR"/>
          <w:color w:val="111111"/>
          <w:sz w:val="28"/>
          <w:szCs w:val="28"/>
          <w:rtl/>
        </w:rPr>
        <w:t xml:space="preserve">للواقع؛لأنّها من قبیل الأسباب لامور شرعیّة،فالعلم و الجهل لا مدخل له فی تأثیرها و ترتّب المسبّبات علیها.</w:t>
      </w:r>
    </w:p>
    <w:p>
      <w:pPr>
        <w:pStyle w:val="BookText"/>
      </w:pPr>
      <w:r>
        <w:rPr>
          <w:rFonts w:ascii="IRNazanin" w:hAnsi="IRNazanin" w:eastAsia="IRNazanin" w:cs="IRNazanin"/>
          <w:lang w:bidi="fa-IR"/>
          <w:color w:val="111111"/>
          <w:sz w:val="28"/>
          <w:szCs w:val="28"/>
          <w:rtl/>
        </w:rPr>
        <w:t xml:space="preserve">فمن عقد علی امرأة عقدا لا یعرف تأثیره فی حلّیة الوطء فانکشف بعد ذلک صحّته،کفی فی صحّته من حین وقوعه،و کذا لو انکشف فساده رتّب </w:t>
      </w:r>
      <w:r>
        <w:rPr>
          <w:rStyle w:val="FootnoteReference"/>
        </w:rPr>
        <w:footnoteReference w:id="1307"/>
      </w:r>
      <w:r>
        <w:rPr>
          <w:rFonts w:ascii="IRNazanin" w:hAnsi="IRNazanin" w:eastAsia="IRNazanin" w:cs="IRNazanin"/>
          <w:lang w:bidi="fa-IR"/>
          <w:color w:val="111111"/>
          <w:sz w:val="28"/>
          <w:szCs w:val="28"/>
          <w:rtl/>
        </w:rPr>
        <w:t xml:space="preserve">علیه حکم الفاسد من حین الوقوع.و کذا من ذبح ذبیحة بفری ودجیه،فانکشف کونه صحیحا أو فاسدا.</w:t>
      </w:r>
    </w:p>
    <w:p>
      <w:pPr>
        <w:pStyle w:val="BookText"/>
      </w:pPr>
      <w:r>
        <w:rPr>
          <w:rFonts w:ascii="IRNazanin" w:hAnsi="IRNazanin" w:eastAsia="IRNazanin" w:cs="IRNazanin"/>
          <w:lang w:bidi="fa-IR"/>
          <w:color w:val="111111"/>
          <w:sz w:val="28"/>
          <w:szCs w:val="28"/>
          <w:rtl/>
        </w:rPr>
        <w:t xml:space="preserve">و لو رتّب علیه أثرا قبل الانکشاف،فحکمه فی العقاب ما تقدّم </w:t>
      </w:r>
      <w:r>
        <w:rPr>
          <w:rStyle w:val="FootnoteReference"/>
        </w:rPr>
        <w:footnoteReference w:id="13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کونه مراعی بمخالفة الواقع،کما إذا وطأها فإنّ العقاب علیه مراعی.</w:t>
      </w:r>
    </w:p>
    <w:p>
      <w:pPr>
        <w:pStyle w:val="BookText"/>
      </w:pPr>
      <w:r>
        <w:rPr>
          <w:rFonts w:ascii="IRNazanin" w:hAnsi="IRNazanin" w:eastAsia="IRNazanin" w:cs="IRNazanin"/>
          <w:lang w:bidi="fa-IR"/>
          <w:color w:val="111111"/>
          <w:sz w:val="28"/>
          <w:szCs w:val="28"/>
          <w:rtl/>
        </w:rPr>
        <w:t xml:space="preserve">و أمّا حکمه الوضعیّ-کما لو باع لحم تلک الذبیحة-فکما ذکرنا هنا:</w:t>
      </w:r>
    </w:p>
    <w:p>
      <w:pPr>
        <w:pStyle w:val="BookText"/>
      </w:pPr>
      <w:r>
        <w:rPr>
          <w:rFonts w:ascii="IRNazanin" w:hAnsi="IRNazanin" w:eastAsia="IRNazanin" w:cs="IRNazanin"/>
          <w:lang w:bidi="fa-IR"/>
          <w:color w:val="111111"/>
          <w:sz w:val="28"/>
          <w:szCs w:val="28"/>
          <w:rtl/>
        </w:rPr>
        <w:t xml:space="preserve">من مراعاته حتّی ینکشف الحال.</w:t>
      </w:r>
    </w:p>
    <w:p>
      <w:pPr>
        <w:pStyle w:val="BookText"/>
      </w:pPr>
      <w:r>
        <w:rPr>
          <w:rFonts w:ascii="IRNazanin" w:hAnsi="IRNazanin" w:eastAsia="IRNazanin" w:cs="IRNazanin"/>
          <w:lang w:bidi="fa-IR"/>
          <w:color w:val="111111"/>
          <w:sz w:val="28"/>
          <w:szCs w:val="28"/>
          <w:rtl/>
        </w:rPr>
        <w:t xml:space="preserve">و لا إشکال فیما ذکرنا بعد ملاحظة أدلّة سببیّة تلک المعاملات، و لا خلاف ظاهرا فی ذلک أیضا إلاّ من بعض مشایخنا المعاصرین قدّس سرّه </w:t>
      </w:r>
      <w:r>
        <w:rPr>
          <w:rStyle w:val="FootnoteReference"/>
        </w:rPr>
        <w:footnoteReference w:id="1309"/>
      </w:r>
      <w:r>
        <w:rPr>
          <w:rFonts w:ascii="IRNazanin" w:hAnsi="IRNazanin" w:eastAsia="IRNazanin" w:cs="IRNazanin"/>
          <w:lang w:bidi="fa-IR"/>
          <w:color w:val="111111"/>
          <w:sz w:val="28"/>
          <w:szCs w:val="28"/>
          <w:rtl/>
        </w:rPr>
        <w:t xml:space="preserve">، حیث أطال الکلام هنا فی تفصیل ذکره بعد مقدّمة،هی:</w:t>
      </w:r>
    </w:p>
    <w:p>
      <w:pPr>
        <w:pStyle w:val="BookText"/>
      </w:pPr>
      <w:r>
        <w:rPr>
          <w:rFonts w:ascii="IRNazanin" w:hAnsi="IRNazanin" w:eastAsia="IRNazanin" w:cs="IRNazanin"/>
          <w:lang w:bidi="fa-IR"/>
          <w:color w:val="111111"/>
          <w:sz w:val="28"/>
          <w:szCs w:val="28"/>
          <w:rtl/>
        </w:rPr>
        <w:t xml:space="preserve">أنّ العقود و الإیقاعات بل کلّ ما جعله الشارع سببا،لها حقائق واقعیّة:هی ما قرّره الشارع أوّلا،و حقائق ظاهریّة:هی ما یظنّه المجتهد أنّه ما وضعه الشارع.و هی قد تطابق الواقعیّة و قد تخالفها،و لمّا</w:t>
      </w:r>
    </w:p>
    <w:p>
      <w:pPr>
        <w:pStyle w:val="BookText"/>
      </w:pPr>
      <w:r>
        <w:rPr>
          <w:rFonts w:ascii="IRNazanin" w:hAnsi="IRNazanin" w:eastAsia="IRNazanin" w:cs="IRNazanin"/>
          <w:lang w:bidi="fa-IR"/>
          <w:color w:val="111111"/>
          <w:sz w:val="28"/>
          <w:szCs w:val="28"/>
          <w:rtl/>
        </w:rPr>
        <w:t xml:space="preserve">[شماره صفحه واقعی : 423]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 یکن لنا سبیل فی المسائل الاجتهادیّة إلی الواقعیّة فالسبب و الشرط و المانع فی حقّنا هی الحقائق الظاهریّة،و من البدیهیّات التی انعقد علیها الإجماع بل الضرورة:أنّ ترتّب الآثار علی الحقائق الظاهریّة یختلف بالنسبة إلی الأشخاص؛فإنّ ملاقاة الماء القلیل للنجاسة سبب لتنجّسه عند واحد دون غیره،و کذا قطع الحلقوم للتذکیة،و العقد الفارسیّ للتملیک أو الزوجیّة.</w:t>
      </w:r>
    </w:p>
    <w:p>
      <w:pPr>
        <w:pStyle w:val="BookText"/>
      </w:pPr>
      <w:r>
        <w:rPr>
          <w:rFonts w:ascii="IRNazanin" w:hAnsi="IRNazanin" w:eastAsia="IRNazanin" w:cs="IRNazanin"/>
          <w:lang w:bidi="fa-IR"/>
          <w:color w:val="111111"/>
          <w:sz w:val="28"/>
          <w:szCs w:val="28"/>
          <w:rtl/>
        </w:rPr>
        <w:t xml:space="preserve">و حاصل ما ذکره من التفصیل:</w:t>
      </w:r>
    </w:p>
    <w:p>
      <w:pPr>
        <w:pStyle w:val="BookText"/>
      </w:pPr>
      <w:r>
        <w:rPr>
          <w:rFonts w:ascii="IRNazanin" w:hAnsi="IRNazanin" w:eastAsia="IRNazanin" w:cs="IRNazanin"/>
          <w:lang w:bidi="fa-IR"/>
          <w:color w:val="111111"/>
          <w:sz w:val="28"/>
          <w:szCs w:val="28"/>
          <w:rtl/>
        </w:rPr>
        <w:t xml:space="preserve">أنّ غیر المجتهد و المقلّد علی ثلاثة أقسام؛لأنّه إمّا غافل عن احتمال کون ما أتی به من المعاملة مخالفا للواقع،و إمّا أن یکون غیر غافل،بل یترک التقلید مسامحة.</w:t>
      </w:r>
    </w:p>
    <w:p>
      <w:pPr>
        <w:pStyle w:val="BookText"/>
      </w:pPr>
      <w:r>
        <w:rPr>
          <w:rFonts w:ascii="IRNazanin" w:hAnsi="IRNazanin" w:eastAsia="IRNazanin" w:cs="IRNazanin"/>
          <w:lang w:bidi="fa-IR"/>
          <w:color w:val="111111"/>
          <w:sz w:val="28"/>
          <w:szCs w:val="28"/>
          <w:rtl/>
        </w:rPr>
        <w:t xml:space="preserve">فالأوّل،فی حکم المجتهد و المقلّد؛لأنّه یتعبّد باعتقاده-کتعبّد المجتهد باجتهاده و المقلّد بتقلیده-ما دام غافلا،فإذا تنبّه:فإن وافق اعتقاده قول من یقلّده فهو،و إلاّ کان کالمجتهد المتبدّل رأیه،و قد مرّ حکمه فی باب رجوع المجتهد.</w:t>
      </w:r>
    </w:p>
    <w:p>
      <w:pPr>
        <w:pStyle w:val="BookText"/>
      </w:pPr>
      <w:r>
        <w:rPr>
          <w:rFonts w:ascii="IRNazanin" w:hAnsi="IRNazanin" w:eastAsia="IRNazanin" w:cs="IRNazanin"/>
          <w:lang w:bidi="fa-IR"/>
          <w:color w:val="111111"/>
          <w:sz w:val="28"/>
          <w:szCs w:val="28"/>
          <w:rtl/>
        </w:rPr>
        <w:t xml:space="preserve">و أمّا الثانی،و هو المتفطّن لاحتمال مخالفة ما أوقعه من المعاملة للواقع:فإمّا أن یکون ما صدر عنه موافقا أو مخالفا للحکم القطعی الصادر من الشارع،و إمّا أن لا یکون کذلک،بل کان حکم المعاملة ثابتا بالظنون الاجتهادیّة.</w:t>
      </w:r>
    </w:p>
    <w:p>
      <w:pPr>
        <w:pStyle w:val="BookText"/>
      </w:pPr>
      <w:r>
        <w:rPr>
          <w:rFonts w:ascii="IRNazanin" w:hAnsi="IRNazanin" w:eastAsia="IRNazanin" w:cs="IRNazanin"/>
          <w:lang w:bidi="fa-IR"/>
          <w:color w:val="111111"/>
          <w:sz w:val="28"/>
          <w:szCs w:val="28"/>
          <w:rtl/>
        </w:rPr>
        <w:t xml:space="preserve">فالأوّل،یترتّب علیه الأثر مع الموافقة،و لا یترتّب علیه مع المخالفة؛إذ المفروض أنّه ثبت من الشارع-قطعا-أنّ المعاملة الفلانیّة سبب لکذا،و لیس معتقدا لخلافه حتّی یتعبّد بخلافه،و لا دلیل علی التقیید فی مثله بعلم و اعتقاد،و لا یقدح کونه محتملا للخلاف أو ظانا</w:t>
      </w:r>
    </w:p>
    <w:p>
      <w:pPr>
        <w:pStyle w:val="BookText"/>
      </w:pPr>
      <w:r>
        <w:rPr>
          <w:rFonts w:ascii="IRNazanin" w:hAnsi="IRNazanin" w:eastAsia="IRNazanin" w:cs="IRNazanin"/>
          <w:lang w:bidi="fa-IR"/>
          <w:color w:val="111111"/>
          <w:sz w:val="28"/>
          <w:szCs w:val="28"/>
          <w:rtl/>
        </w:rPr>
        <w:t xml:space="preserve">[شماره صفحه واقعی : 424]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به؛لأنّه مأمور بالفحص و السؤال،کما أنّ من اعتقد حلّیة الخمر مع احتمال الخلاف یحرم علیه الخمر و إن لم یسأل؛لأنّه مأمور بالسؤال.</w:t>
      </w:r>
    </w:p>
    <w:p>
      <w:pPr>
        <w:pStyle w:val="BookText"/>
      </w:pPr>
      <w:r>
        <w:rPr>
          <w:rFonts w:ascii="IRNazanin" w:hAnsi="IRNazanin" w:eastAsia="IRNazanin" w:cs="IRNazanin"/>
          <w:lang w:bidi="fa-IR"/>
          <w:color w:val="111111"/>
          <w:sz w:val="28"/>
          <w:szCs w:val="28"/>
          <w:rtl/>
        </w:rPr>
        <w:t xml:space="preserve">و أمّا الثانی،فالحقّ عدم ترتّب الأثر فی حقّه ما دام باقیا علی عدم التقلید،بل وجود المعاملة کعدمها،سواء طابقت علی أحد الأقوال أم لا؛إذ المفروض عدم القطع بالوضع الواقعیّ من الشارع،بل هو مظنون للمجتهد،فترتّب الأثر إنّما هو فی حقّه.</w:t>
      </w:r>
    </w:p>
    <w:p>
      <w:pPr>
        <w:pStyle w:val="BookText"/>
      </w:pPr>
      <w:r>
        <w:rPr>
          <w:rFonts w:ascii="IRNazanin" w:hAnsi="IRNazanin" w:eastAsia="IRNazanin" w:cs="IRNazanin"/>
          <w:lang w:bidi="fa-IR"/>
          <w:color w:val="111111"/>
          <w:sz w:val="28"/>
          <w:szCs w:val="28"/>
          <w:rtl/>
        </w:rPr>
        <w:t xml:space="preserve">ثمّ إن قلّد بعد صدور المعاملة المجتهد القائل بالفساد،فلا إشکال فیه.و إن قلّد من یقول بترتّب الأثر،فالتحقیق فیه التفصیل بما مرّ فی نقض الفتوی بالمعنی الثالث،فیقال:إنّ ما لم یختصّ أثره بمعیّن أو بمعیّنین کالطهارة و النجاسة و الحلّیة و الحرمة و أمثالها،یترتّب علیه الأثر، فإذا غسل ثوبه من البول مرّة بدون تقلید،أو اکتفی فی الذبیحة بقطع الحلقوم مثلا کذلک،ثمّ قلّد من یقول بکفایة الأوّل فی الطهارة و الثانی فی التذکیة،ترتّب الأثر علی فعله السابق؛إذ المغسول یصیر طاهرا بالنسبة إلی کلّ من یری ذلک،و کذا المذبوح حلالا بالنسبة إلی کلّ من یری ذلک،و لا یشترط کونه مقلّدا حین الغسل و الذبح.</w:t>
      </w:r>
    </w:p>
    <w:p>
      <w:pPr>
        <w:pStyle w:val="BookText"/>
      </w:pPr>
      <w:r>
        <w:rPr>
          <w:rFonts w:ascii="IRNazanin" w:hAnsi="IRNazanin" w:eastAsia="IRNazanin" w:cs="IRNazanin"/>
          <w:lang w:bidi="fa-IR"/>
          <w:color w:val="111111"/>
          <w:sz w:val="28"/>
          <w:szCs w:val="28"/>
          <w:rtl/>
        </w:rPr>
        <w:t xml:space="preserve">و أمّا ما یختصّ أثره بمعیّن أو معیّنین،کالعقود و الإیقاعات و أسباب شغل الذمّة و أمثالها،فلا یترتّب علیه الأثر؛إذ آثار هذه الامور لا بدّ و أن تتعلّق بالمعیّن؛إذ لا معنی لسببیّة عقد صادر عن رجل خاصّ علی امرأة خاصّة لحلّیتها علی کلّ من یری جواز هذا العقد و مقلّدیه.</w:t>
      </w:r>
    </w:p>
    <w:p>
      <w:pPr>
        <w:pStyle w:val="BookText"/>
      </w:pPr>
      <w:r>
        <w:rPr>
          <w:rFonts w:ascii="IRNazanin" w:hAnsi="IRNazanin" w:eastAsia="IRNazanin" w:cs="IRNazanin"/>
          <w:lang w:bidi="fa-IR"/>
          <w:color w:val="111111"/>
          <w:sz w:val="28"/>
          <w:szCs w:val="28"/>
          <w:rtl/>
        </w:rPr>
        <w:t xml:space="preserve">و هذا الشخص حال العقد لم یکن مقلّدا،فلم یترتّب فی حقّه</w:t>
      </w:r>
    </w:p>
    <w:p>
      <w:pPr>
        <w:pStyle w:val="BookText"/>
      </w:pPr>
      <w:r>
        <w:rPr>
          <w:rFonts w:ascii="IRNazanin" w:hAnsi="IRNazanin" w:eastAsia="IRNazanin" w:cs="IRNazanin"/>
          <w:lang w:bidi="fa-IR"/>
          <w:color w:val="111111"/>
          <w:sz w:val="28"/>
          <w:szCs w:val="28"/>
          <w:rtl/>
        </w:rPr>
        <w:t xml:space="preserve">[شماره صفحه واقعی : 425]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الأثر کما تقدّم،و أمّا بعده و إن دخل فی مقلّدیه،لکن لا یفید لترتّب الأثر فی حقّه؛إذ المظنون لمجتهده سببیّة هذا العقد متّصلا بصدوره للأثر، و لم یصر هذا سببا کذلک.و أمّا السببیّة المنفصلة فلا دلیل علیها؛إذ لیس هو مظنون المجتهد،و لا دلیل علی کون الدخول فی التقلید کإجازة المالک،و الأصل فی المعاملات الفساد.</w:t>
      </w:r>
    </w:p>
    <w:p>
      <w:pPr>
        <w:pStyle w:val="BookText"/>
      </w:pPr>
      <w:r>
        <w:rPr>
          <w:rFonts w:ascii="IRNazanin" w:hAnsi="IRNazanin" w:eastAsia="IRNazanin" w:cs="IRNazanin"/>
          <w:lang w:bidi="fa-IR"/>
          <w:color w:val="111111"/>
          <w:sz w:val="28"/>
          <w:szCs w:val="28"/>
          <w:rtl/>
        </w:rPr>
        <w:t xml:space="preserve">مع أنّ عدم ترتّب الأثر کان ثابتا قبل التقلید فیستصحب </w:t>
      </w:r>
      <w:r>
        <w:rPr>
          <w:rStyle w:val="FootnoteReference"/>
        </w:rPr>
        <w:footnoteReference w:id="1310"/>
      </w:r>
      <w:r>
        <w:rPr>
          <w:rFonts w:ascii="IRNazanin" w:hAnsi="IRNazanin" w:eastAsia="IRNazanin" w:cs="IRNazanin"/>
          <w:lang w:bidi="fa-IR"/>
          <w:color w:val="111111"/>
          <w:sz w:val="28"/>
          <w:szCs w:val="28"/>
          <w:rtl/>
        </w:rPr>
        <w:t xml:space="preserve">، انتهی کلامه ملخّصا.</w:t>
      </w:r>
    </w:p>
    <w:p>
      <w:pPr>
        <w:pStyle w:val="BookText"/>
      </w:pPr>
      <w:r>
        <w:rPr>
          <w:rFonts w:ascii="IRNazanin" w:hAnsi="IRNazanin" w:eastAsia="IRNazanin" w:cs="IRNazanin"/>
          <w:lang w:bidi="fa-IR"/>
          <w:color w:val="111111"/>
          <w:sz w:val="28"/>
          <w:szCs w:val="28"/>
          <w:rtl/>
        </w:rPr>
        <w:t xml:space="preserve">و المهمّ فی المقام بیان </w:t>
      </w:r>
      <w:r>
        <w:rPr>
          <w:rStyle w:val="FootnoteReference"/>
        </w:rPr>
        <w:footnoteReference w:id="1311"/>
      </w:r>
      <w:r>
        <w:rPr>
          <w:rFonts w:ascii="IRNazanin" w:hAnsi="IRNazanin" w:eastAsia="IRNazanin" w:cs="IRNazanin"/>
          <w:lang w:bidi="fa-IR"/>
          <w:color w:val="111111"/>
          <w:sz w:val="28"/>
          <w:szCs w:val="28"/>
          <w:rtl/>
        </w:rPr>
        <w:t xml:space="preserve">ما ذکره فی المقدّمة:من أنّ کلّ ما جعله الشارع من الأسباب لها حقائق واقعیّة و حقائق ظاهریّة.</w:t>
      </w:r>
    </w:p>
    <w:p>
      <w:pPr>
        <w:pStyle w:val="BookText"/>
      </w:pPr>
      <w:r>
        <w:rPr>
          <w:rFonts w:ascii="IRNazanin" w:hAnsi="IRNazanin" w:eastAsia="IRNazanin" w:cs="IRNazanin"/>
          <w:lang w:bidi="fa-IR"/>
          <w:color w:val="111111"/>
          <w:sz w:val="28"/>
          <w:szCs w:val="28"/>
          <w:rtl/>
        </w:rPr>
        <w:t xml:space="preserve">فنقول-بعد الإغماض عمّا هو التحقیق عندنا تبعا للمحقّقین،من أنّ التسبیبات الشرعیّة راجعة إلی تکالیف شرعیّة-:</w:t>
      </w:r>
    </w:p>
    <w:p>
      <w:pPr>
        <w:pStyle w:val="BookText"/>
      </w:pPr>
      <w:r>
        <w:rPr>
          <w:rFonts w:ascii="IRNazanin" w:hAnsi="IRNazanin" w:eastAsia="IRNazanin" w:cs="IRNazanin"/>
          <w:lang w:bidi="fa-IR"/>
          <w:color w:val="111111"/>
          <w:sz w:val="28"/>
          <w:szCs w:val="28"/>
          <w:rtl/>
        </w:rPr>
        <w:t xml:space="preserve">إنّ الأحکام الوضعیّة علی القول بتأصّلها،هی الامور الواقعیّة المجعولة للشارع،نظیر الامور الخارجیّة الغیر المجعولة کحیاة زید و موت عمرو،و لکنّ الطریق إلی تلک المجعولات کغیرها قد یکون هو العلم، و قد یکون هو الظنّ الاجتهادیّ أو التقلید،و کلّ واحد من الطرق قد یحصل قبل وجود ذی الأثر،و قد یحصل معه،و قد یحصل بعده.</w:t>
      </w:r>
    </w:p>
    <w:p>
      <w:pPr>
        <w:pStyle w:val="BookText"/>
      </w:pPr>
      <w:r>
        <w:rPr>
          <w:rFonts w:ascii="IRNazanin" w:hAnsi="IRNazanin" w:eastAsia="IRNazanin" w:cs="IRNazanin"/>
          <w:lang w:bidi="fa-IR"/>
          <w:color w:val="111111"/>
          <w:sz w:val="28"/>
          <w:szCs w:val="28"/>
          <w:rtl/>
        </w:rPr>
        <w:t xml:space="preserve">و لا فرق بینها فی أنّه بعد حصول الطریق یجب ترتیب الأثر علی ذی الأثر من حین حصوله.</w:t>
      </w:r>
    </w:p>
    <w:p>
      <w:pPr>
        <w:pStyle w:val="BookText"/>
      </w:pPr>
      <w:r>
        <w:rPr>
          <w:rFonts w:ascii="IRNazanin" w:hAnsi="IRNazanin" w:eastAsia="IRNazanin" w:cs="IRNazanin"/>
          <w:lang w:bidi="fa-IR"/>
          <w:color w:val="111111"/>
          <w:sz w:val="28"/>
          <w:szCs w:val="28"/>
          <w:rtl/>
        </w:rPr>
        <w:t xml:space="preserve">إذا عرفت ذلک،فنقول:إذا کان العقد الصادر من الجاهل سببا</w:t>
      </w:r>
    </w:p>
    <w:p>
      <w:pPr>
        <w:pStyle w:val="BookText"/>
      </w:pPr>
      <w:r>
        <w:rPr>
          <w:rFonts w:ascii="IRNazanin" w:hAnsi="IRNazanin" w:eastAsia="IRNazanin" w:cs="IRNazanin"/>
          <w:lang w:bidi="fa-IR"/>
          <w:color w:val="111111"/>
          <w:sz w:val="28"/>
          <w:szCs w:val="28"/>
          <w:rtl/>
        </w:rPr>
        <w:t xml:space="preserve">[شماره صفحه واقعی : 426]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للزوجیّة،فکلّ من حصل له إلی سببیّة هذا العقد طریق عقلیّ أعنی العلم،أو جعلیّ بالظنّ الاجتهادیّ أو التقلید،یترتّب فی حقّه أحکام تلک الزوجیّة من غیر فرق بین نفس الزوجین و غیرهما؛فإنّ أحکام زوجیّة هند لزید لیست مختصّة بهما،فقد یتعلّق بثالث حکم مترتّب علی هذه الزوجیّة،کأحکام المصاهرة،و توریثها منه،و الإنفاق علیها من ماله،و حرمة العقد علیها حال حیاته.</w:t>
      </w:r>
    </w:p>
    <w:p>
      <w:pPr>
        <w:pStyle w:val="BookText"/>
      </w:pPr>
      <w:r>
        <w:rPr>
          <w:rFonts w:ascii="IRNazanin" w:hAnsi="IRNazanin" w:eastAsia="IRNazanin" w:cs="IRNazanin"/>
          <w:lang w:bidi="fa-IR"/>
          <w:color w:val="111111"/>
          <w:sz w:val="28"/>
          <w:szCs w:val="28"/>
          <w:rtl/>
        </w:rPr>
        <w:t xml:space="preserve">و لا فرق بین حصول هذا الطریق حال العقد أو قبله أو بعده.</w:t>
      </w:r>
    </w:p>
    <w:p>
      <w:pPr>
        <w:pStyle w:val="BookText"/>
      </w:pPr>
      <w:r>
        <w:rPr>
          <w:rFonts w:ascii="IRNazanin" w:hAnsi="IRNazanin" w:eastAsia="IRNazanin" w:cs="IRNazanin"/>
          <w:lang w:bidi="fa-IR"/>
          <w:color w:val="111111"/>
          <w:sz w:val="28"/>
          <w:szCs w:val="28"/>
          <w:rtl/>
        </w:rPr>
        <w:t xml:space="preserve">ثمّ إنّه إذا اعتقد السببیّة و هو فی الواقع غیر سبب،فلا یترتّب علیه شیء فی الواقع.نعم لا یکون مکلّفا بالواقع ما دام معتقدا،فإذا زال الاعتقاد رجع الأمر إلی الواقع و عمل علی مقتضاه.</w:t>
      </w:r>
    </w:p>
    <w:p>
      <w:pPr>
        <w:pStyle w:val="BookText"/>
      </w:pPr>
      <w:r>
        <w:rPr>
          <w:rFonts w:ascii="IRNazanin" w:hAnsi="IRNazanin" w:eastAsia="IRNazanin" w:cs="IRNazanin"/>
          <w:lang w:bidi="fa-IR"/>
          <w:color w:val="111111"/>
          <w:sz w:val="28"/>
          <w:szCs w:val="28"/>
          <w:rtl/>
        </w:rPr>
        <w:t xml:space="preserve">و بالجملة:فحال الأسباب الشرعیّة حال الامور الخارجیّة کحیاة زید و موت عمرو،فکما أنّه لا فرق بین العلم بموت زید بعد مضیّ مدّة من موته و بین قیام الطریق الشرعیّ فی وجوب ترتیب </w:t>
      </w:r>
      <w:r>
        <w:rPr>
          <w:rStyle w:val="FootnoteReference"/>
        </w:rPr>
        <w:footnoteReference w:id="1312"/>
      </w:r>
      <w:r>
        <w:rPr>
          <w:rFonts w:ascii="IRNazanin" w:hAnsi="IRNazanin" w:eastAsia="IRNazanin" w:cs="IRNazanin"/>
          <w:lang w:bidi="fa-IR"/>
          <w:color w:val="111111"/>
          <w:sz w:val="28"/>
          <w:szCs w:val="28"/>
          <w:rtl/>
        </w:rPr>
        <w:t xml:space="preserve">آثار الموت من حینه،فکذلک لا فرق بین حصول العلم بسببیّة العقد لأثر بعد صدوره و بین الظنّ الاجتهادیّ به بعد الصدور؛فإنّ مؤدّی الظنّ الاجتهادی الذی یکون حجّة له و حکما ظاهریّا فی حقّه:هو کون هذا العقد المذکور حین صدوره محدثا لعلاقة الزوجیّة بین زید و هند، و المفروض أنّ دلیل حجّیة هذا الظنّ لا یفید سوی کونه طریقا إلی الواقع،فأیّ فرق بین صدور العقد ظانّا بکونه سببا و بین الظنّ به بعد صدوره؟</w:t>
      </w:r>
    </w:p>
    <w:p>
      <w:pPr>
        <w:pStyle w:val="BookText"/>
      </w:pPr>
      <w:r>
        <w:rPr>
          <w:rFonts w:ascii="IRNazanin" w:hAnsi="IRNazanin" w:eastAsia="IRNazanin" w:cs="IRNazanin"/>
          <w:lang w:bidi="fa-IR"/>
          <w:color w:val="111111"/>
          <w:sz w:val="28"/>
          <w:szCs w:val="28"/>
          <w:rtl/>
        </w:rPr>
        <w:t xml:space="preserve">[شماره صفحه واقعی : 427]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إذا تأمّلت فی ما ذکرنا عرفت مواقع النظر فی کلامه المتقدّم، فلا نطیل بتفصیلها.</w:t>
      </w:r>
    </w:p>
    <w:p>
      <w:pPr>
        <w:pStyle w:val="BookText"/>
      </w:pPr>
      <w:r>
        <w:rPr>
          <w:rFonts w:ascii="IRNazanin" w:hAnsi="IRNazanin" w:eastAsia="IRNazanin" w:cs="IRNazanin"/>
          <w:lang w:bidi="fa-IR"/>
          <w:color w:val="111111"/>
          <w:sz w:val="28"/>
          <w:szCs w:val="28"/>
          <w:rtl/>
        </w:rPr>
        <w:t xml:space="preserve">و محصّل ما ذکرنا:أنّ الفعل الصادر من الجاهل باق علی حکمه الواقعیّ التکلیفیّ و الوضعیّ،فإذا لحقه العلم أو الظنّ الاجتهادیّ أو التقلید،کان هذا الطریق کاشفا حقیقیّا أو جعلیّا عن حاله حین الصدور،فیعمل بمقتضی ما انکشف.</w:t>
      </w:r>
    </w:p>
    <w:p>
      <w:pPr>
        <w:pStyle w:val="BookText"/>
      </w:pPr>
      <w:r>
        <w:rPr>
          <w:rFonts w:ascii="IRNazanin" w:hAnsi="IRNazanin" w:eastAsia="IRNazanin" w:cs="IRNazanin"/>
          <w:lang w:bidi="fa-IR"/>
          <w:color w:val="111111"/>
          <w:sz w:val="28"/>
          <w:szCs w:val="28"/>
          <w:rtl/>
        </w:rPr>
        <w:t xml:space="preserve">بل حقّقنا فی مباحث الاجتهاد و التقلید:أنّ الفعل الصادر من المجتهد أو المقلّد أیضا باق علی حکمه الواقعیّ </w:t>
      </w:r>
      <w:r>
        <w:rPr>
          <w:rStyle w:val="FootnoteReference"/>
        </w:rPr>
        <w:footnoteReference w:id="1313"/>
      </w:r>
      <w:r>
        <w:rPr>
          <w:rFonts w:ascii="IRNazanin" w:hAnsi="IRNazanin" w:eastAsia="IRNazanin" w:cs="IRNazanin"/>
          <w:lang w:bidi="fa-IR"/>
          <w:color w:val="111111"/>
          <w:sz w:val="28"/>
          <w:szCs w:val="28"/>
          <w:rtl/>
        </w:rPr>
        <w:t xml:space="preserve">،فإذا لحقه اجتهاد مخالف للسابق کان کاشفا عن حاله حین الصدور،فیعمل بمقتضی ما انکشف،خلافا لجماعة </w:t>
      </w:r>
      <w:r>
        <w:rPr>
          <w:rStyle w:val="FootnoteReference"/>
        </w:rPr>
        <w:footnoteReference w:id="1314"/>
      </w:r>
      <w:r>
        <w:rPr>
          <w:rFonts w:ascii="IRNazanin" w:hAnsi="IRNazanin" w:eastAsia="IRNazanin" w:cs="IRNazanin"/>
          <w:lang w:bidi="fa-IR"/>
          <w:color w:val="111111"/>
          <w:sz w:val="28"/>
          <w:szCs w:val="28"/>
          <w:rtl/>
        </w:rPr>
        <w:t xml:space="preserve">حیث تخیّلوا أنّ الفعل الصادر عن الاجتهاد أو التقلید </w:t>
      </w:r>
      <w:r>
        <w:rPr>
          <w:rStyle w:val="FootnoteReference"/>
        </w:rPr>
        <w:footnoteReference w:id="1315"/>
      </w:r>
      <w:r>
        <w:rPr>
          <w:rFonts w:ascii="IRNazanin" w:hAnsi="IRNazanin" w:eastAsia="IRNazanin" w:cs="IRNazanin"/>
          <w:lang w:bidi="fa-IR"/>
          <w:color w:val="111111"/>
          <w:sz w:val="28"/>
          <w:szCs w:val="28"/>
          <w:rtl/>
        </w:rPr>
        <w:t xml:space="preserve">إذا کان مبنیّا علی الدوام و استمرار الآثار-کالزوجیّة و الملکیّة- لا یؤثّر فیه الاجتهاد اللاحق.و تمام الکلام فی محلّه.</w:t>
      </w:r>
    </w:p>
    <w:p>
      <w:pPr>
        <w:pStyle w:val="BookText"/>
      </w:pPr>
      <w:r>
        <w:rPr>
          <w:rFonts w:ascii="IRNazanin" w:hAnsi="IRNazanin" w:eastAsia="IRNazanin" w:cs="IRNazanin"/>
          <w:lang w:bidi="fa-IR"/>
          <w:color w:val="111111"/>
          <w:sz w:val="28"/>
          <w:szCs w:val="28"/>
          <w:rtl/>
        </w:rPr>
        <w:t xml:space="preserve">و ربما یتوهّم الفساد فی معاملة الجاهل؛من حیث الشکّ فی ترتّب الأثر علی ما یوقعه،فلا یتأتّی منه قصد الإنشاء فی العقود و الإیقاعات.</w:t>
      </w:r>
    </w:p>
    <w:p>
      <w:pPr>
        <w:pStyle w:val="BookText"/>
      </w:pPr>
      <w:r>
        <w:rPr>
          <w:rFonts w:ascii="IRNazanin" w:hAnsi="IRNazanin" w:eastAsia="IRNazanin" w:cs="IRNazanin"/>
          <w:lang w:bidi="fa-IR"/>
          <w:color w:val="111111"/>
          <w:sz w:val="28"/>
          <w:szCs w:val="28"/>
          <w:rtl/>
        </w:rPr>
        <w:t xml:space="preserve">و فیه:أنّ قصد الإنشاء إنّما یحصل بقصد تحقّق مضمون الصیغة -و هو الانتقال فی البیع و الزوجیّة فی النکاح-،و هذا یحصل مع القطع بالفساد شرعا،فضلا عن الشکّ فیه؛أ لا تری:أنّ الناس یقصدون</w:t>
      </w:r>
    </w:p>
    <w:p>
      <w:pPr>
        <w:pStyle w:val="BookText"/>
      </w:pPr>
      <w:r>
        <w:rPr>
          <w:rFonts w:ascii="IRNazanin" w:hAnsi="IRNazanin" w:eastAsia="IRNazanin" w:cs="IRNazanin"/>
          <w:lang w:bidi="fa-IR"/>
          <w:color w:val="111111"/>
          <w:sz w:val="28"/>
          <w:szCs w:val="28"/>
          <w:rtl/>
        </w:rPr>
        <w:t xml:space="preserve">[شماره صفحه واقعی : 428]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287" w:name="pg14411_142818"/>
    <w:bookmarkEnd w:id="287"/>
    <w:p>
      <w:pPr>
        <w:pStyle w:val="BookText"/>
      </w:pPr>
      <w:r>
        <w:rPr>
          <w:rFonts w:ascii="IRNazanin" w:hAnsi="IRNazanin" w:eastAsia="IRNazanin" w:cs="IRNazanin"/>
          <w:lang w:bidi="fa-IR"/>
          <w:color w:val="111111"/>
          <w:sz w:val="28"/>
          <w:szCs w:val="28"/>
          <w:rtl/>
        </w:rPr>
        <w:t xml:space="preserve">التملیک فی القمار و بیع المغصوب و غیرهما من البیوع الفاسدة.</w:t>
      </w:r>
    </w:p>
    <w:p>
      <w:pPr>
        <w:pStyle w:val="Heading6"/>
      </w:pPr>
      <w:bookmarkStart w:id="1566" w:name="_Toc601"/>
      <w:r>
        <w:t>[عدم الفرق فی صحّة معاملة الجاهل بین شکّه فی الصحّة حین صدورها أو قطعه بفسادها]</w:t>
      </w:r>
      <w:bookmarkEnd w:id="1566"/>
    </w:p>
    <w:p>
      <w:pPr>
        <w:pStyle w:val="BookText"/>
      </w:pPr>
      <w:r>
        <w:rPr>
          <w:rFonts w:ascii="IRNazanin" w:hAnsi="IRNazanin" w:eastAsia="IRNazanin" w:cs="IRNazanin"/>
          <w:lang w:bidi="fa-IR"/>
          <w:color w:val="111111"/>
          <w:sz w:val="28"/>
          <w:szCs w:val="28"/>
          <w:rtl/>
        </w:rPr>
        <w:t xml:space="preserve">و ممّا ذکرنا یظهر:أنّه لا فرق فی صحّة معاملة الجاهل مع </w:t>
      </w:r>
      <w:r>
        <w:rPr>
          <w:rStyle w:val="FootnoteReference"/>
        </w:rPr>
        <w:footnoteReference w:id="1316"/>
      </w:r>
      <w:r>
        <w:rPr>
          <w:rFonts w:ascii="IRNazanin" w:hAnsi="IRNazanin" w:eastAsia="IRNazanin" w:cs="IRNazanin"/>
          <w:lang w:bidi="fa-IR"/>
          <w:color w:val="111111"/>
          <w:sz w:val="28"/>
          <w:szCs w:val="28"/>
          <w:rtl/>
        </w:rPr>
        <w:t xml:space="preserve">انکشافها بعد العقد،بین شکّه فی الصحّة حین صدورها و بین قطعه بفسادها،فافهم.</w:t>
      </w:r>
    </w:p>
    <w:p>
      <w:pPr>
        <w:pStyle w:val="BookText"/>
      </w:pPr>
      <w:r>
        <w:rPr>
          <w:rFonts w:ascii="IRNazanin" w:hAnsi="IRNazanin" w:eastAsia="IRNazanin" w:cs="IRNazanin"/>
          <w:lang w:bidi="fa-IR"/>
          <w:color w:val="111111"/>
          <w:sz w:val="28"/>
          <w:szCs w:val="28"/>
          <w:rtl/>
        </w:rPr>
        <w:t xml:space="preserve">هذا کلّه حال المعاملات.</w:t>
      </w:r>
    </w:p>
    <w:p>
      <w:pPr>
        <w:pStyle w:val="Heading6"/>
      </w:pPr>
      <w:bookmarkStart w:id="1567" w:name="_Toc602"/>
      <w:r>
        <w:t>و أمّا العبادات: [إذا أوقع الجاهل عبادة عمل فیها بما تقتضیه البراءة]</w:t>
      </w:r>
      <w:bookmarkEnd w:id="1567"/>
    </w:p>
    <w:p>
      <w:pPr>
        <w:pStyle w:val="Heading6"/>
      </w:pPr>
      <w:bookmarkStart w:id="1568" w:name="_Toc603"/>
      <w:r>
        <w:t>اشارة</w:t>
      </w:r>
      <w:bookmarkEnd w:id="1568"/>
    </w:p>
    <w:p>
      <w:pPr>
        <w:pStyle w:val="BookText"/>
      </w:pPr>
      <w:r>
        <w:rPr>
          <w:rFonts w:ascii="IRNazanin" w:hAnsi="IRNazanin" w:eastAsia="IRNazanin" w:cs="IRNazanin"/>
          <w:lang w:bidi="fa-IR"/>
          <w:color w:val="111111"/>
          <w:sz w:val="28"/>
          <w:szCs w:val="28"/>
          <w:rtl/>
        </w:rPr>
        <w:t xml:space="preserve">فملخّص الکلام فیها:أنّه إذا أوقع الجاهل عبادة عمل فیها بما یقتضیه البراءة،کأن صلّی بدون السورة،فإن کان حین العمل متزلزلا فی صحّة عمله بانیا علی الاقتصار علیه فی الامتثال،فلا إشکال فی الفساد و إن انکشف الصحّة بعد ذلک،بلا خلاف فی ذلک ظاهرا؛لعدم تحقّق نیّة القربة؛لأنّ الشاکّ فی کون المأتیّ به موافقا للمأمور به کیف یتقرّب به؟</w:t>
      </w:r>
    </w:p>
    <w:p>
      <w:pPr>
        <w:pStyle w:val="BookText"/>
      </w:pPr>
      <w:r>
        <w:rPr>
          <w:rFonts w:ascii="IRNazanin" w:hAnsi="IRNazanin" w:eastAsia="IRNazanin" w:cs="IRNazanin"/>
          <w:lang w:bidi="fa-IR"/>
          <w:color w:val="111111"/>
          <w:sz w:val="28"/>
          <w:szCs w:val="28"/>
          <w:rtl/>
        </w:rPr>
        <w:t xml:space="preserve">و ما یری:من الحکم بالصحّة فیما شکّ فی صدور الأمر به علی تقدیر صدوره،کبعض الصلوات و الأغسال التی لم یرد بها نصّ معتبر، و إعادة بعض العبادات الصحیحة ظاهرا من باب الاحتیاط،فلا یشبه ما نحن فیه.</w:t>
      </w:r>
    </w:p>
    <w:p>
      <w:pPr>
        <w:pStyle w:val="BookText"/>
      </w:pPr>
      <w:r>
        <w:rPr>
          <w:rFonts w:ascii="IRNazanin" w:hAnsi="IRNazanin" w:eastAsia="IRNazanin" w:cs="IRNazanin"/>
          <w:lang w:bidi="fa-IR"/>
          <w:color w:val="111111"/>
          <w:sz w:val="28"/>
          <w:szCs w:val="28"/>
          <w:rtl/>
        </w:rPr>
        <w:t xml:space="preserve">لأنّ الأمر علی تقدیر وجوده هناک لا یمکن قصد امتثاله إلاّ بهذا النحو،فهو أقصی ما یمکن هناک من الامتثال،بخلاف ما نحن فیه حیث یقطع بوجود أمر من الشارع،فإنّ امتثاله لا یکون إلاّ بإتیان ما یعلم مطابقته له،و إتیان ما یحتمله-لاحتمال مطابقته له-لا یعدّ إطاعة عرفا.</w:t>
      </w:r>
    </w:p>
    <w:p>
      <w:pPr>
        <w:pStyle w:val="BookText"/>
      </w:pPr>
      <w:r>
        <w:rPr>
          <w:rFonts w:ascii="IRNazanin" w:hAnsi="IRNazanin" w:eastAsia="IRNazanin" w:cs="IRNazanin"/>
          <w:lang w:bidi="fa-IR"/>
          <w:color w:val="111111"/>
          <w:sz w:val="28"/>
          <w:szCs w:val="28"/>
          <w:rtl/>
        </w:rPr>
        <w:t xml:space="preserve">[شماره صفحه واقعی : 429]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288" w:name="pg14411_142819"/>
    <w:bookmarkEnd w:id="288"/>
    <w:p>
      <w:pPr>
        <w:pStyle w:val="Heading6"/>
      </w:pPr>
      <w:bookmarkStart w:id="1569" w:name="_Toc604"/>
      <w:r>
        <w:t>[عدم تحقّق قصد القربة مع الشکّ فی کون العمل مقرّبا]</w:t>
      </w:r>
      <w:bookmarkEnd w:id="1569"/>
    </w:p>
    <w:p>
      <w:pPr>
        <w:pStyle w:val="BookText"/>
      </w:pPr>
      <w:r>
        <w:rPr>
          <w:rFonts w:ascii="IRNazanin" w:hAnsi="IRNazanin" w:eastAsia="IRNazanin" w:cs="IRNazanin"/>
          <w:lang w:bidi="fa-IR"/>
          <w:color w:val="111111"/>
          <w:sz w:val="28"/>
          <w:szCs w:val="28"/>
          <w:rtl/>
        </w:rPr>
        <w:t xml:space="preserve">و بالجملة:فقصد التقرّب شرط فی صحّة العبادة إجماعا-نصّا </w:t>
      </w:r>
      <w:r>
        <w:rPr>
          <w:rStyle w:val="FootnoteReference"/>
        </w:rPr>
        <w:footnoteReference w:id="1317"/>
      </w:r>
      <w:r>
        <w:rPr>
          <w:rFonts w:ascii="IRNazanin" w:hAnsi="IRNazanin" w:eastAsia="IRNazanin" w:cs="IRNazanin"/>
          <w:lang w:bidi="fa-IR"/>
          <w:color w:val="111111"/>
          <w:sz w:val="28"/>
          <w:szCs w:val="28"/>
          <w:rtl/>
        </w:rPr>
        <w:t xml:space="preserve">و فتوی </w:t>
      </w:r>
      <w:r>
        <w:rPr>
          <w:rStyle w:val="FootnoteReference"/>
        </w:rPr>
        <w:footnoteReference w:id="1318"/>
      </w:r>
      <w:r>
        <w:rPr>
          <w:rFonts w:ascii="IRNazanin" w:hAnsi="IRNazanin" w:eastAsia="IRNazanin" w:cs="IRNazanin"/>
          <w:lang w:bidi="fa-IR"/>
          <w:color w:val="111111"/>
          <w:sz w:val="28"/>
          <w:szCs w:val="28"/>
          <w:rtl/>
        </w:rPr>
        <w:t xml:space="preserve">-،و هو لا یتحقّق مع الشکّ فی کون العمل مقرّبا.</w:t>
      </w:r>
    </w:p>
    <w:p>
      <w:pPr>
        <w:pStyle w:val="BookText"/>
      </w:pPr>
      <w:r>
        <w:rPr>
          <w:rFonts w:ascii="IRNazanin" w:hAnsi="IRNazanin" w:eastAsia="IRNazanin" w:cs="IRNazanin"/>
          <w:lang w:bidi="fa-IR"/>
          <w:color w:val="111111"/>
          <w:sz w:val="28"/>
          <w:szCs w:val="28"/>
          <w:rtl/>
        </w:rPr>
        <w:t xml:space="preserve">و أمّا قصد التقرّب فی الموارد المذکورة من الاحتیاط،فهو غیر ممکن علی وجه الجزم،و الجزم فیه غیر معتبر إجماعا؛إذ لولاه لم یتحقّق احتیاط فی کثیر من الموارد،مع رجحان الاحتیاط فیها إجماعا.</w:t>
      </w:r>
    </w:p>
    <w:p>
      <w:pPr>
        <w:pStyle w:val="BookText"/>
      </w:pPr>
      <w:r>
        <w:rPr>
          <w:rFonts w:ascii="IRNazanin" w:hAnsi="IRNazanin" w:eastAsia="IRNazanin" w:cs="IRNazanin"/>
          <w:lang w:bidi="fa-IR"/>
          <w:color w:val="111111"/>
          <w:sz w:val="28"/>
          <w:szCs w:val="28"/>
          <w:rtl/>
        </w:rPr>
        <w:t xml:space="preserve">و کیف کان:فالعامل بما یقتضیه البراءة مع الشکّ حین العمل، لا یصحّ عبادته و إن انکشف مطابقته للواقع.</w:t>
      </w:r>
    </w:p>
    <w:p>
      <w:pPr>
        <w:pStyle w:val="Heading6"/>
      </w:pPr>
      <w:bookmarkStart w:id="1570" w:name="_Toc605"/>
      <w:r>
        <w:t>[إذا کان غافلا و عمل باعتقاد التقرّب]</w:t>
      </w:r>
      <w:bookmarkEnd w:id="1570"/>
    </w:p>
    <w:p>
      <w:pPr>
        <w:pStyle w:val="BookText"/>
      </w:pPr>
      <w:r>
        <w:rPr>
          <w:rFonts w:ascii="IRNazanin" w:hAnsi="IRNazanin" w:eastAsia="IRNazanin" w:cs="IRNazanin"/>
          <w:lang w:bidi="fa-IR"/>
          <w:color w:val="111111"/>
          <w:sz w:val="28"/>
          <w:szCs w:val="28"/>
          <w:rtl/>
        </w:rPr>
        <w:t xml:space="preserve">أمّا لو غفل عن ذلک أو سکن فیه إلی قول </w:t>
      </w:r>
      <w:r>
        <w:rPr>
          <w:rStyle w:val="FootnoteReference"/>
        </w:rPr>
        <w:footnoteReference w:id="1319"/>
      </w:r>
      <w:r>
        <w:rPr>
          <w:rFonts w:ascii="IRNazanin" w:hAnsi="IRNazanin" w:eastAsia="IRNazanin" w:cs="IRNazanin"/>
          <w:lang w:bidi="fa-IR"/>
          <w:color w:val="111111"/>
          <w:sz w:val="28"/>
          <w:szCs w:val="28"/>
          <w:rtl/>
        </w:rPr>
        <w:t xml:space="preserve">من یسکن إلیه -من أبویه و أمثالهما-فعمل باعتقاد التقرّب،فهو خارج عن محلّ کلامنا الذی هو فی عمل الجاهل الشاکّ قبل الفحص بما یقتضیه البراءة؛إذ مجری البراءة فی الشاکّ دون الغافل و معتقد </w:t>
      </w:r>
      <w:r>
        <w:rPr>
          <w:rStyle w:val="FootnoteReference"/>
        </w:rPr>
        <w:footnoteReference w:id="1320"/>
      </w:r>
      <w:r>
        <w:rPr>
          <w:rFonts w:ascii="IRNazanin" w:hAnsi="IRNazanin" w:eastAsia="IRNazanin" w:cs="IRNazanin"/>
          <w:lang w:bidi="fa-IR"/>
          <w:color w:val="111111"/>
          <w:sz w:val="28"/>
          <w:szCs w:val="28"/>
          <w:rtl/>
        </w:rPr>
        <w:t xml:space="preserve">الخلاف.</w:t>
      </w:r>
    </w:p>
    <w:p>
      <w:pPr>
        <w:pStyle w:val="BookText"/>
      </w:pPr>
      <w:r>
        <w:rPr>
          <w:rFonts w:ascii="IRNazanin" w:hAnsi="IRNazanin" w:eastAsia="IRNazanin" w:cs="IRNazanin"/>
          <w:lang w:bidi="fa-IR"/>
          <w:color w:val="111111"/>
          <w:sz w:val="28"/>
          <w:szCs w:val="28"/>
          <w:rtl/>
        </w:rPr>
        <w:t xml:space="preserve">و علی أیّ حال:فالأقوی صحّته إذا انکشف مطابقته للواقع؛إذ لا یعتبر فی العبادة إلاّ إتیان المأمور به علی قصد التقرّب،و المفروض حصوله.</w:t>
      </w:r>
    </w:p>
    <w:p>
      <w:pPr>
        <w:pStyle w:val="BookText"/>
      </w:pPr>
      <w:r>
        <w:rPr>
          <w:rFonts w:ascii="IRNazanin" w:hAnsi="IRNazanin" w:eastAsia="IRNazanin" w:cs="IRNazanin"/>
          <w:lang w:bidi="fa-IR"/>
          <w:color w:val="111111"/>
          <w:sz w:val="28"/>
          <w:szCs w:val="28"/>
          <w:rtl/>
        </w:rPr>
        <w:t xml:space="preserve">و العلم بمطابقته للواقع أو الظنّ بها من طریق معتبر شرعی،</w:t>
      </w:r>
    </w:p>
    <w:p>
      <w:pPr>
        <w:pStyle w:val="BookText"/>
      </w:pPr>
      <w:r>
        <w:rPr>
          <w:rFonts w:ascii="IRNazanin" w:hAnsi="IRNazanin" w:eastAsia="IRNazanin" w:cs="IRNazanin"/>
          <w:lang w:bidi="fa-IR"/>
          <w:color w:val="111111"/>
          <w:sz w:val="28"/>
          <w:szCs w:val="28"/>
          <w:rtl/>
        </w:rPr>
        <w:t xml:space="preserve">[شماره صفحه واقعی : 430]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غیر معتبر فی صحّة العبادة؛لعدم الدلیل؛فإنّ أدلّة وجوب رجوع المجتهد إلی الأدلّة و رجوع المقلّد إلی المجتهد،إنّما هی لبیان الطرق الشرعیّة التی لا یقدح مع موافقتها مخالفة الواقع،لا لبیان اشتراط کون الواقع مأخوذا من هذه الطرق،کما لا یخفی علی من لاحظها.</w:t>
      </w:r>
    </w:p>
    <w:p>
      <w:pPr>
        <w:pStyle w:val="BookText"/>
      </w:pPr>
      <w:r>
        <w:rPr>
          <w:rFonts w:ascii="IRNazanin" w:hAnsi="IRNazanin" w:eastAsia="IRNazanin" w:cs="IRNazanin"/>
          <w:lang w:bidi="fa-IR"/>
          <w:color w:val="111111"/>
          <w:sz w:val="28"/>
          <w:szCs w:val="28"/>
          <w:rtl/>
        </w:rPr>
        <w:t xml:space="preserve">ثمّ إنّ مرآة مطابقة العمل الصادر للواقع:العلم بها،أو الطریق الذی یرجع إلیه المجتهد أو المقلّد.</w:t>
      </w:r>
    </w:p>
    <w:p>
      <w:pPr>
        <w:pStyle w:val="BookText"/>
      </w:pPr>
      <w:r>
        <w:rPr>
          <w:rFonts w:ascii="Amiri" w:hAnsi="Amiri" w:eastAsia="Amiri" w:cs="Amiri"/>
          <w:lang w:bidi="ar-SA"/>
          <w:color w:val="111111"/>
          <w:sz w:val="28"/>
          <w:szCs w:val="28"/>
          <w:rtl/>
        </w:rPr>
        <w:t xml:space="preserve">و توهّم:أنّ ظنّ المجتهد أو فتواه </w:t>
      </w:r>
      <w:r>
        <w:rPr>
          <w:rStyle w:val="FootnoteReference"/>
        </w:rPr>
        <w:footnoteReference w:id="1321"/>
      </w:r>
      <w:r>
        <w:rPr>
          <w:rFonts w:ascii="IRNazanin" w:hAnsi="IRNazanin" w:eastAsia="IRNazanin" w:cs="IRNazanin"/>
          <w:lang w:bidi="fa-IR"/>
          <w:color w:val="111111"/>
          <w:sz w:val="28"/>
          <w:szCs w:val="28"/>
          <w:rtl/>
        </w:rPr>
        <w:t xml:space="preserve">لا یؤثّر فی الواقعة السابقة غلط؛لأنّ مؤدّی ظنّه نفس الحکم الشرعیّ الثابت للأعمال الماضیة و المستقبلة.</w:t>
      </w:r>
    </w:p>
    <w:p>
      <w:pPr>
        <w:pStyle w:val="BookText"/>
      </w:pPr>
      <w:r>
        <w:rPr>
          <w:rFonts w:ascii="IRNazanin" w:hAnsi="IRNazanin" w:eastAsia="IRNazanin" w:cs="IRNazanin"/>
          <w:lang w:bidi="fa-IR"/>
          <w:color w:val="111111"/>
          <w:sz w:val="28"/>
          <w:szCs w:val="28"/>
          <w:rtl/>
        </w:rPr>
        <w:t xml:space="preserve">و أمّا ترتیب الأثر علی الفعل الماضی فهو بعد الرجوع؛فإنّ فتوی المجتهد بعدم وجوب السورة کالعلم فی أنّ أثرها قبل العمل عدم وجوب السورة فی الصلاة،و بعد العمل عدم وجوب إعادة الصلاة الواقعة من غیر سورة،کما تقدّم نظیر ذلک فی المعاملات.</w:t>
      </w:r>
    </w:p>
    <w:p>
      <w:pPr>
        <w:pStyle w:val="BookText"/>
      </w:pPr>
      <w:r>
        <w:rPr>
          <w:rFonts w:ascii="IRNazanin" w:hAnsi="IRNazanin" w:eastAsia="IRNazanin" w:cs="IRNazanin"/>
          <w:lang w:bidi="fa-IR"/>
          <w:color w:val="111111"/>
          <w:sz w:val="28"/>
          <w:szCs w:val="28"/>
          <w:rtl/>
        </w:rPr>
        <w:t xml:space="preserve">[شماره صفحه واقعی : 431]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432]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289" w:name="pg14411_142822"/>
    <w:bookmarkEnd w:id="289"/>
    <w:p>
      <w:pPr>
        <w:pStyle w:val="Heading6"/>
      </w:pPr>
      <w:bookmarkStart w:id="1571" w:name="_Toc606"/>
      <w:r>
        <w:t>و لنختم الکلام فی الجاهل العامل قبل الفحص بامور</w:t>
      </w:r>
      <w:bookmarkEnd w:id="1571"/>
    </w:p>
    <w:p>
      <w:pPr>
        <w:pStyle w:val="Heading6"/>
      </w:pPr>
      <w:bookmarkStart w:id="1572" w:name="_Toc607"/>
      <w:r>
        <w:t>الأمر الأوّل [:هل العبرة فی عقاب الجاهل بمخالفة الواقع أو الطریق؟]</w:t>
      </w:r>
      <w:bookmarkEnd w:id="1572"/>
    </w:p>
    <w:p>
      <w:pPr>
        <w:pStyle w:val="BookText"/>
      </w:pPr>
      <w:r>
        <w:rPr>
          <w:rFonts w:ascii="IRNazanin" w:hAnsi="IRNazanin" w:eastAsia="IRNazanin" w:cs="IRNazanin"/>
          <w:lang w:bidi="fa-IR"/>
          <w:color w:val="111111"/>
          <w:sz w:val="28"/>
          <w:szCs w:val="28"/>
          <w:rtl/>
        </w:rPr>
        <w:t xml:space="preserve">هل </w:t>
      </w:r>
      <w:r>
        <w:rPr>
          <w:rStyle w:val="FootnoteReference"/>
        </w:rPr>
        <w:footnoteReference w:id="1322"/>
      </w:r>
      <w:r>
        <w:rPr>
          <w:rFonts w:ascii="IRNazanin" w:hAnsi="IRNazanin" w:eastAsia="IRNazanin" w:cs="IRNazanin"/>
          <w:lang w:bidi="fa-IR"/>
          <w:color w:val="111111"/>
          <w:sz w:val="28"/>
          <w:szCs w:val="28"/>
          <w:rtl/>
        </w:rPr>
        <w:t xml:space="preserve">العبرة فی باب المؤاخذة و العدم بموافقة الواقع الذی یعتبر مطابقة العمل له و مخالفته،و هو الواقع الأوّلی الثابت فی کلّ واقعة عند المخطّئة؟فإذا فرضنا العصیر العنبی الذی تناوله الجاهل حراما فی الواقع،و فرض وجود خبر معتبر یعثر علیه بعد الفحص علی الحلّیة، فیعاقب،و لو عکس الأمر لم یعاقب؟</w:t>
      </w:r>
    </w:p>
    <w:p>
      <w:pPr>
        <w:pStyle w:val="BookText"/>
      </w:pPr>
      <w:r>
        <w:rPr>
          <w:rFonts w:ascii="IRNazanin" w:hAnsi="IRNazanin" w:eastAsia="IRNazanin" w:cs="IRNazanin"/>
          <w:lang w:bidi="fa-IR"/>
          <w:color w:val="111111"/>
          <w:sz w:val="28"/>
          <w:szCs w:val="28"/>
          <w:rtl/>
        </w:rPr>
        <w:t xml:space="preserve">أو العبرة بالطریق الشرعیّ المعثور علیه بعد الفحص،فیعاقب فی صورة العکس دون الأصل؟</w:t>
      </w:r>
    </w:p>
    <w:p>
      <w:pPr>
        <w:pStyle w:val="BookText"/>
      </w:pPr>
      <w:r>
        <w:rPr>
          <w:rFonts w:ascii="IRNazanin" w:hAnsi="IRNazanin" w:eastAsia="IRNazanin" w:cs="IRNazanin"/>
          <w:lang w:bidi="fa-IR"/>
          <w:color w:val="111111"/>
          <w:sz w:val="28"/>
          <w:szCs w:val="28"/>
          <w:rtl/>
        </w:rPr>
        <w:t xml:space="preserve">أو یکفی مخالفة أحدهما،فیعاقب فی الصورتین؟</w:t>
      </w:r>
    </w:p>
    <w:p>
      <w:pPr>
        <w:pStyle w:val="BookText"/>
      </w:pPr>
      <w:r>
        <w:rPr>
          <w:rFonts w:ascii="IRNazanin" w:hAnsi="IRNazanin" w:eastAsia="IRNazanin" w:cs="IRNazanin"/>
          <w:lang w:bidi="fa-IR"/>
          <w:color w:val="111111"/>
          <w:sz w:val="28"/>
          <w:szCs w:val="28"/>
          <w:rtl/>
        </w:rPr>
        <w:t xml:space="preserve">أم یکفی فی عدم المؤاخذة موافقة أحدهما،فلا عقاب فی الصورتین؟</w:t>
      </w:r>
    </w:p>
    <w:p>
      <w:pPr>
        <w:pStyle w:val="BookText"/>
      </w:pPr>
      <w:r>
        <w:rPr>
          <w:rFonts w:ascii="IRNazanin" w:hAnsi="IRNazanin" w:eastAsia="IRNazanin" w:cs="IRNazanin"/>
          <w:lang w:bidi="fa-IR"/>
          <w:color w:val="111111"/>
          <w:sz w:val="28"/>
          <w:szCs w:val="28"/>
          <w:rtl/>
        </w:rPr>
        <w:t xml:space="preserve">وجوه:</w:t>
      </w:r>
    </w:p>
    <w:p>
      <w:pPr>
        <w:pStyle w:val="BookText"/>
      </w:pPr>
      <w:r>
        <w:rPr>
          <w:rFonts w:ascii="IRNazanin" w:hAnsi="IRNazanin" w:eastAsia="IRNazanin" w:cs="IRNazanin"/>
          <w:lang w:bidi="fa-IR"/>
          <w:color w:val="111111"/>
          <w:sz w:val="28"/>
          <w:szCs w:val="28"/>
          <w:rtl/>
        </w:rPr>
        <w:t xml:space="preserve">من:أنّ التکلیف الأوّلی إنّما هو بالواقع،و لیس التکلیف بالطرق الظاهریّة إلاّ علی من </w:t>
      </w:r>
      <w:r>
        <w:rPr>
          <w:rStyle w:val="FootnoteReference"/>
        </w:rPr>
        <w:footnoteReference w:id="1323"/>
      </w:r>
      <w:r>
        <w:rPr>
          <w:rFonts w:ascii="IRNazanin" w:hAnsi="IRNazanin" w:eastAsia="IRNazanin" w:cs="IRNazanin"/>
          <w:lang w:bidi="fa-IR"/>
          <w:color w:val="111111"/>
          <w:sz w:val="28"/>
          <w:szCs w:val="28"/>
          <w:rtl/>
        </w:rPr>
        <w:t xml:space="preserve">عثر علیها.</w:t>
      </w:r>
    </w:p>
    <w:p>
      <w:pPr>
        <w:pStyle w:val="BookText"/>
      </w:pPr>
      <w:r>
        <w:rPr>
          <w:rFonts w:ascii="IRNazanin" w:hAnsi="IRNazanin" w:eastAsia="IRNazanin" w:cs="IRNazanin"/>
          <w:lang w:bidi="fa-IR"/>
          <w:color w:val="111111"/>
          <w:sz w:val="28"/>
          <w:szCs w:val="28"/>
          <w:rtl/>
        </w:rPr>
        <w:t xml:space="preserve">[شماره صفحه واقعی : 433]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من:أنّ الواقع إذا کان فی علم اللّه سبحانه غیر ممکن الوصول إلیه،و کان هنا طریق مجعول مؤدّاه بدلا عنه،فالمکلّف به هو مؤدّی الطریق دون الواقع علی ما هو علیه،فکیف یعاقب اللّه سبحانه علی شرب العصیر العنبی من یعلم أنّه لن </w:t>
      </w:r>
      <w:r>
        <w:rPr>
          <w:rStyle w:val="FootnoteReference"/>
        </w:rPr>
        <w:footnoteReference w:id="1324"/>
      </w:r>
      <w:r>
        <w:rPr>
          <w:rFonts w:ascii="IRNazanin" w:hAnsi="IRNazanin" w:eastAsia="IRNazanin" w:cs="IRNazanin"/>
          <w:lang w:bidi="fa-IR"/>
          <w:color w:val="111111"/>
          <w:sz w:val="28"/>
          <w:szCs w:val="28"/>
          <w:rtl/>
        </w:rPr>
        <w:t xml:space="preserve">یعثر بعد الفحص علی دلیل حرمته؟</w:t>
      </w:r>
    </w:p>
    <w:p>
      <w:pPr>
        <w:pStyle w:val="BookText"/>
      </w:pPr>
      <w:r>
        <w:rPr>
          <w:rFonts w:ascii="IRNazanin" w:hAnsi="IRNazanin" w:eastAsia="IRNazanin" w:cs="IRNazanin"/>
          <w:lang w:bidi="fa-IR"/>
          <w:color w:val="111111"/>
          <w:sz w:val="28"/>
          <w:szCs w:val="28"/>
          <w:rtl/>
        </w:rPr>
        <w:t xml:space="preserve">و من:أنّ کلاّ من الواقع و مؤدّی الطریق تکلیف واقعیّ،أمّا إذا کان التکلیف ثابتا فی الواقع؛فلأنّه کان قادرا علی موافقة الواقع بالاحتیاط،و علی إسقاطه عن نفسه بالرجوع إلی الطریق الشرعیّ المفروض دلالته علی نفی التکلیف،فإذا لم یفعل شیئا منهما فلا مانع من مؤاخذته.</w:t>
      </w:r>
    </w:p>
    <w:p>
      <w:pPr>
        <w:pStyle w:val="BookText"/>
      </w:pPr>
      <w:r>
        <w:rPr>
          <w:rFonts w:ascii="IRNazanin" w:hAnsi="IRNazanin" w:eastAsia="IRNazanin" w:cs="IRNazanin"/>
          <w:lang w:bidi="fa-IR"/>
          <w:color w:val="111111"/>
          <w:sz w:val="28"/>
          <w:szCs w:val="28"/>
          <w:rtl/>
        </w:rPr>
        <w:t xml:space="preserve">و أمّا إذا کان التکلیف ثابتا بالطریق الشرعیّ،فلأنّه قد ترک موافقة خطاب مقدور علی العلم به؛فإنّ أدلّة وجوب الرجوع إلی خبر العادل أو فتوی المجتهد یشمل العالم و الجاهل القادر علی المعرفة.</w:t>
      </w:r>
    </w:p>
    <w:p>
      <w:pPr>
        <w:pStyle w:val="BookText"/>
      </w:pPr>
      <w:r>
        <w:rPr>
          <w:rFonts w:ascii="IRNazanin" w:hAnsi="IRNazanin" w:eastAsia="IRNazanin" w:cs="IRNazanin"/>
          <w:lang w:bidi="fa-IR"/>
          <w:color w:val="111111"/>
          <w:sz w:val="28"/>
          <w:szCs w:val="28"/>
          <w:rtl/>
        </w:rPr>
        <w:t xml:space="preserve">و من:عدم التکلیف بالواقع؛لعدم القدرة،و بالطریق الشرعیّ؛ لکونه ثابتا فی حقّ من اطّلع علیه من باب حرمة التجرّی،فالمکلّف به فعلا </w:t>
      </w:r>
      <w:r>
        <w:rPr>
          <w:rStyle w:val="FootnoteReference"/>
        </w:rPr>
        <w:footnoteReference w:id="1325"/>
      </w:r>
      <w:r>
        <w:rPr>
          <w:rFonts w:ascii="IRNazanin" w:hAnsi="IRNazanin" w:eastAsia="IRNazanin" w:cs="IRNazanin"/>
          <w:lang w:bidi="fa-IR"/>
          <w:color w:val="111111"/>
          <w:sz w:val="28"/>
          <w:szCs w:val="28"/>
          <w:rtl/>
        </w:rPr>
        <w:t xml:space="preserve">المؤاخذ علی مخالفته:هو الواجب و الحرام الواقعیّان المنصوب علیهما طریق،فإذا لم یکن وجوب أو تحریم فلا مؤاخذة.</w:t>
      </w:r>
    </w:p>
    <w:p>
      <w:pPr>
        <w:pStyle w:val="BookText"/>
      </w:pPr>
      <w:r>
        <w:rPr>
          <w:rFonts w:ascii="IRNazanin" w:hAnsi="IRNazanin" w:eastAsia="IRNazanin" w:cs="IRNazanin"/>
          <w:lang w:bidi="fa-IR"/>
          <w:color w:val="111111"/>
          <w:sz w:val="28"/>
          <w:szCs w:val="28"/>
          <w:rtl/>
        </w:rPr>
        <w:t xml:space="preserve">نعم،لو اطّلع علی ما یدلّ ظاهرا علی الوجوب أو التحریم الواقعیّ مع کونه مخالفا للواقع بالفرض،فالموافقة له لازمة من باب</w:t>
      </w:r>
    </w:p>
    <w:p>
      <w:pPr>
        <w:pStyle w:val="BookText"/>
      </w:pPr>
      <w:r>
        <w:rPr>
          <w:rFonts w:ascii="IRNazanin" w:hAnsi="IRNazanin" w:eastAsia="IRNazanin" w:cs="IRNazanin"/>
          <w:lang w:bidi="fa-IR"/>
          <w:color w:val="111111"/>
          <w:sz w:val="28"/>
          <w:szCs w:val="28"/>
          <w:rtl/>
        </w:rPr>
        <w:t xml:space="preserve">[شماره صفحه واقعی : 434]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الانقیاد و ترکها تجرّ.و إذا لم یطّلع علی ذلک-لترکه الفحص-فلا تجرّی أیضا.</w:t>
      </w:r>
    </w:p>
    <w:p>
      <w:pPr>
        <w:pStyle w:val="BookText"/>
      </w:pPr>
      <w:r>
        <w:rPr>
          <w:rFonts w:ascii="IRNazanin" w:hAnsi="IRNazanin" w:eastAsia="IRNazanin" w:cs="IRNazanin"/>
          <w:lang w:bidi="fa-IR"/>
          <w:color w:val="111111"/>
          <w:sz w:val="28"/>
          <w:szCs w:val="28"/>
          <w:rtl/>
        </w:rPr>
        <w:t xml:space="preserve">و أمّا إذا کان وجوب واقعیّ و کان الطریق الظاهریّ نافیا؛فلأنّ المفروض عدم التمکّن من الوصول إلی الواقع،فالمتضمّن للتکلیف متعذّر الوصول إلیه،و الذی یمکن الوصول إلیه ناف للتکلیف.</w:t>
      </w:r>
    </w:p>
    <w:p>
      <w:pPr>
        <w:pStyle w:val="BookText"/>
      </w:pPr>
      <w:r>
        <w:rPr>
          <w:rFonts w:ascii="IRNazanin" w:hAnsi="IRNazanin" w:eastAsia="IRNazanin" w:cs="IRNazanin"/>
          <w:lang w:bidi="fa-IR"/>
          <w:color w:val="111111"/>
          <w:sz w:val="28"/>
          <w:szCs w:val="28"/>
          <w:rtl/>
        </w:rPr>
        <w:t xml:space="preserve">و الأقوی:هو الأوّل،و یظهر وجهه بالتأمّل فی الوجوه الأربعة.</w:t>
      </w:r>
    </w:p>
    <w:p>
      <w:pPr>
        <w:pStyle w:val="BookText"/>
      </w:pPr>
      <w:r>
        <w:rPr>
          <w:rFonts w:ascii="IRNazanin" w:hAnsi="IRNazanin" w:eastAsia="IRNazanin" w:cs="IRNazanin"/>
          <w:lang w:bidi="fa-IR"/>
          <w:color w:val="111111"/>
          <w:sz w:val="28"/>
          <w:szCs w:val="28"/>
          <w:rtl/>
        </w:rPr>
        <w:t xml:space="preserve">و حاصله:أنّ التکلیف الثابت فی الواقع و إن فرض تعذّر الوصول إلیه تفصیلا،إلاّ أنّه لا مانع من العقاب بعد کون المکلّف محتملا له، قادرا علیه،غیر مطّلع علی طریق شرعیّ ینفیه،و لا واجدا لدلیل یؤمّن من العقاب علیه مع بقاء تردّده،و هو العقل و النقل الدالاّن علی براءة الذمّة بعد الفحص و العجز عن الوصول إلیه </w:t>
      </w:r>
      <w:r>
        <w:rPr>
          <w:rStyle w:val="FootnoteReference"/>
        </w:rPr>
        <w:footnoteReference w:id="1326"/>
      </w:r>
      <w:r>
        <w:rPr>
          <w:rFonts w:ascii="IRNazanin" w:hAnsi="IRNazanin" w:eastAsia="IRNazanin" w:cs="IRNazanin"/>
          <w:lang w:bidi="fa-IR"/>
          <w:color w:val="111111"/>
          <w:sz w:val="28"/>
          <w:szCs w:val="28"/>
          <w:rtl/>
        </w:rPr>
        <w:t xml:space="preserve">،و إن احتمل التکلیف و تردّد فیه.</w:t>
      </w:r>
    </w:p>
    <w:p>
      <w:pPr>
        <w:pStyle w:val="BookText"/>
      </w:pPr>
      <w:r>
        <w:rPr>
          <w:rFonts w:ascii="IRNazanin" w:hAnsi="IRNazanin" w:eastAsia="IRNazanin" w:cs="IRNazanin"/>
          <w:lang w:bidi="fa-IR"/>
          <w:color w:val="111111"/>
          <w:sz w:val="28"/>
          <w:szCs w:val="28"/>
          <w:rtl/>
        </w:rPr>
        <w:t xml:space="preserve">و أمّا إذا لم یکن التکلیف ثابتا فی الواقع،فلا مقتضی للعقاب من حیث الخطابات الواقعیّة.و لو فرض هنا طریق ظاهریّ مثبت للتکلیف لم یعثر علیه المکلّف،لم یعاقب علیه؛لأنّ مؤدّی الطریق الظاهریّ غیر مجعول من حیث هو هو فی مقابل الواقع،و إنّما هو مجعول بعنوان کونه طریقا إلیه،فإذا أخطأ لم یترتّب علیه شیء؛و لذا لو أدّی عبادة بهذا الطریق فتبیّن مخالفتها للواقع،لم یسقط الأمر و وجب إعادتها.</w:t>
      </w:r>
    </w:p>
    <w:p>
      <w:pPr>
        <w:pStyle w:val="BookText"/>
      </w:pPr>
      <w:r>
        <w:rPr>
          <w:rFonts w:ascii="IRNazanin" w:hAnsi="IRNazanin" w:eastAsia="IRNazanin" w:cs="IRNazanin"/>
          <w:lang w:bidi="fa-IR"/>
          <w:color w:val="111111"/>
          <w:sz w:val="28"/>
          <w:szCs w:val="28"/>
          <w:rtl/>
        </w:rPr>
        <w:t xml:space="preserve">نعم،إذا عثر علیه المکلّف لم یجز مخالفته؛لأنّ المفروض عدم العلم بمخالفته للواقع،فیکون معصیة ظاهریّة؛من حیث فرض کونه </w:t>
      </w:r>
      <w:r>
        <w:rPr>
          <w:rStyle w:val="FootnoteReference"/>
        </w:rPr>
        <w:footnoteReference w:id="1327"/>
      </w:r>
    </w:p>
    <w:p>
      <w:pPr>
        <w:pStyle w:val="BookText"/>
      </w:pPr>
      <w:r>
        <w:rPr>
          <w:rFonts w:ascii="IRNazanin" w:hAnsi="IRNazanin" w:eastAsia="IRNazanin" w:cs="IRNazanin"/>
          <w:lang w:bidi="fa-IR"/>
          <w:color w:val="111111"/>
          <w:sz w:val="28"/>
          <w:szCs w:val="28"/>
          <w:rtl/>
        </w:rPr>
        <w:t xml:space="preserve">[شماره صفحه واقعی : 435]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طریقا شرعیّا إلی الواقع،فهو فی الحقیقة نوع من التجرّی.و هذا المعنی مفقود مع عدم الاطّلاع علی هذا الطریق.</w:t>
      </w:r>
    </w:p>
    <w:p>
      <w:pPr>
        <w:pStyle w:val="BookText"/>
      </w:pPr>
      <w:r>
        <w:rPr>
          <w:rFonts w:ascii="IRNazanin" w:hAnsi="IRNazanin" w:eastAsia="IRNazanin" w:cs="IRNazanin"/>
          <w:lang w:bidi="fa-IR"/>
          <w:color w:val="111111"/>
          <w:sz w:val="28"/>
          <w:szCs w:val="28"/>
          <w:rtl/>
        </w:rPr>
        <w:t xml:space="preserve">و </w:t>
      </w:r>
      <w:r>
        <w:rPr>
          <w:rStyle w:val="FootnoteReference"/>
        </w:rPr>
        <w:footnoteReference w:id="1328"/>
      </w:r>
      <w:r>
        <w:rPr>
          <w:rFonts w:ascii="IRNazanin" w:hAnsi="IRNazanin" w:eastAsia="IRNazanin" w:cs="IRNazanin"/>
          <w:lang w:bidi="fa-IR"/>
          <w:color w:val="111111"/>
          <w:sz w:val="28"/>
          <w:szCs w:val="28"/>
          <w:rtl/>
        </w:rPr>
        <w:t xml:space="preserve">وجوب رجوع العامّی إلی المفتی لأجل إحراز الواجبات الواقعیّة،فإذا رجع و صادف الواقع وجب من حیث الواقع،و إن لم یصادف الواقع لم یکن الرجوع إلیه فی هذه الواقعة واجبا فی الواقع، و یترتّب علیه آثار الوجوب ظاهرا مشروطة بعدم انکشاف الخلاف، إلاّ </w:t>
      </w:r>
      <w:r>
        <w:rPr>
          <w:rStyle w:val="FootnoteReference"/>
        </w:rPr>
        <w:footnoteReference w:id="1329"/>
      </w:r>
      <w:r>
        <w:rPr>
          <w:rFonts w:ascii="IRNazanin" w:hAnsi="IRNazanin" w:eastAsia="IRNazanin" w:cs="IRNazanin"/>
          <w:lang w:bidi="fa-IR"/>
          <w:color w:val="111111"/>
          <w:sz w:val="28"/>
          <w:szCs w:val="28"/>
          <w:rtl/>
        </w:rPr>
        <w:t xml:space="preserve">استحقاق العقاب علی الترک؛فإنّه یثبت واقعا من باب التجرّی.</w:t>
      </w:r>
    </w:p>
    <w:p>
      <w:pPr>
        <w:pStyle w:val="BookText"/>
      </w:pPr>
      <w:r>
        <w:rPr>
          <w:rFonts w:ascii="IRNazanin" w:hAnsi="IRNazanin" w:eastAsia="IRNazanin" w:cs="IRNazanin"/>
          <w:lang w:bidi="fa-IR"/>
          <w:color w:val="111111"/>
          <w:sz w:val="28"/>
          <w:szCs w:val="28"/>
          <w:rtl/>
        </w:rPr>
        <w:t xml:space="preserve">و من هنا یظهر:أنّه لا یتعدّد العقاب مع مصادفة الواقع من جهة تعدّد التکلیف.</w:t>
      </w:r>
    </w:p>
    <w:p>
      <w:pPr>
        <w:pStyle w:val="BookText"/>
      </w:pPr>
      <w:r>
        <w:rPr>
          <w:rFonts w:ascii="IRNazanin" w:hAnsi="IRNazanin" w:eastAsia="IRNazanin" w:cs="IRNazanin"/>
          <w:lang w:bidi="fa-IR"/>
          <w:color w:val="111111"/>
          <w:sz w:val="28"/>
          <w:szCs w:val="28"/>
          <w:rtl/>
        </w:rPr>
        <w:t xml:space="preserve">نعم،لو قلنا بأنّ مؤدّیات الطرق الشرعیّة أحکام واقعیّة ثانویّة، لزم من ذلک انقلاب التکلیف إلی مؤدّیات تلک الطرق،و کان أوجه الاحتمالات حینئذ الثانی منها.</w:t>
      </w:r>
    </w:p>
    <w:p>
      <w:pPr>
        <w:pStyle w:val="BookText"/>
      </w:pPr>
      <w:r>
        <w:rPr>
          <w:rFonts w:ascii="IRNazanin" w:hAnsi="IRNazanin" w:eastAsia="IRNazanin" w:cs="IRNazanin"/>
          <w:lang w:bidi="fa-IR"/>
          <w:color w:val="111111"/>
          <w:sz w:val="28"/>
          <w:szCs w:val="28"/>
          <w:rtl/>
        </w:rPr>
        <w:t xml:space="preserve">[شماره صفحه واقعی : 436]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290" w:name="pg14411_142826"/>
    <w:bookmarkEnd w:id="290"/>
    <w:p>
      <w:pPr>
        <w:pStyle w:val="Heading6"/>
      </w:pPr>
      <w:bookmarkStart w:id="1573" w:name="_Toc608"/>
      <w:r>
        <w:t>الأمر الثانی [:معذوریّة الجاهل بالقصر و الإتمام و الجهر و الإخفات]</w:t>
      </w:r>
      <w:bookmarkEnd w:id="1573"/>
    </w:p>
    <w:p>
      <w:pPr>
        <w:pStyle w:val="Heading6"/>
      </w:pPr>
      <w:bookmarkStart w:id="1574" w:name="_Toc609"/>
      <w:r>
        <w:t>اشارة</w:t>
      </w:r>
      <w:bookmarkEnd w:id="1574"/>
    </w:p>
    <w:p>
      <w:pPr>
        <w:pStyle w:val="BookText"/>
      </w:pPr>
      <w:r>
        <w:rPr>
          <w:rFonts w:ascii="IRNazanin" w:hAnsi="IRNazanin" w:eastAsia="IRNazanin" w:cs="IRNazanin"/>
          <w:lang w:bidi="fa-IR"/>
          <w:color w:val="111111"/>
          <w:sz w:val="28"/>
          <w:szCs w:val="28"/>
          <w:rtl/>
        </w:rPr>
        <w:t xml:space="preserve">قد عرفت </w:t>
      </w:r>
      <w:r>
        <w:rPr>
          <w:rStyle w:val="FootnoteReference"/>
        </w:rPr>
        <w:footnoteReference w:id="1330"/>
      </w:r>
      <w:r>
        <w:rPr>
          <w:rFonts w:ascii="IRNazanin" w:hAnsi="IRNazanin" w:eastAsia="IRNazanin" w:cs="IRNazanin"/>
          <w:lang w:bidi="fa-IR"/>
          <w:color w:val="111111"/>
          <w:sz w:val="28"/>
          <w:szCs w:val="28"/>
          <w:rtl/>
        </w:rPr>
        <w:t xml:space="preserve">:أنّ الجاهل العامل بما یوافق البراءة مع قدرته علی الفحص و استبانة الحال،غیر معذور،لا من حیث العقاب و لا من جهة سائر الآثار،بمعنی:أنّ شیئا من آثار الشیء المجهول-عقابا أو غیره من الآثار المترتّبة علی ذلک الشیء فی حقّ العالم-لا یرتفع عن الجاهل لأجل جهله.</w:t>
      </w:r>
    </w:p>
    <w:p>
      <w:pPr>
        <w:pStyle w:val="BookText"/>
      </w:pPr>
      <w:r>
        <w:rPr>
          <w:rFonts w:ascii="IRNazanin" w:hAnsi="IRNazanin" w:eastAsia="IRNazanin" w:cs="IRNazanin"/>
          <w:lang w:bidi="fa-IR"/>
          <w:color w:val="111111"/>
          <w:sz w:val="28"/>
          <w:szCs w:val="28"/>
          <w:rtl/>
        </w:rPr>
        <w:t xml:space="preserve">و قد استثنی الأصحاب من ذلک:القصر و الإتمام و الجهر و الإخفات،فحکموا بمعذوریّة الجاهل فی هذین الموضعین </w:t>
      </w:r>
      <w:r>
        <w:rPr>
          <w:rStyle w:val="FootnoteReference"/>
        </w:rPr>
        <w:footnoteReference w:id="1331"/>
      </w:r>
      <w:r>
        <w:rPr>
          <w:rFonts w:ascii="IRNazanin" w:hAnsi="IRNazanin" w:eastAsia="IRNazanin" w:cs="IRNazanin"/>
          <w:lang w:bidi="fa-IR"/>
          <w:color w:val="111111"/>
          <w:sz w:val="28"/>
          <w:szCs w:val="28"/>
          <w:rtl/>
        </w:rPr>
        <w:t xml:space="preserve">.و ظاهر کلامهم إرادتهم العذر من حیث الحکم الوضعیّ،و هی الصحّة بمعنی سقوط الفعل ثانیا دون المؤاخذة،و هو الذی یقتضیه دلیل المعذوریّة فی الموضعین أیضا.</w:t>
      </w:r>
    </w:p>
    <w:p>
      <w:pPr>
        <w:pStyle w:val="Heading6"/>
      </w:pPr>
      <w:bookmarkStart w:id="1575" w:name="_Toc610"/>
      <w:r>
        <w:t>[الإشکال الوارد فی المسألة]</w:t>
      </w:r>
      <w:bookmarkEnd w:id="1575"/>
    </w:p>
    <w:p>
      <w:pPr>
        <w:pStyle w:val="BookText"/>
      </w:pPr>
      <w:r>
        <w:rPr>
          <w:rFonts w:ascii="IRNazanin" w:hAnsi="IRNazanin" w:eastAsia="IRNazanin" w:cs="IRNazanin"/>
          <w:lang w:bidi="fa-IR"/>
          <w:color w:val="111111"/>
          <w:sz w:val="28"/>
          <w:szCs w:val="28"/>
          <w:rtl/>
        </w:rPr>
        <w:t xml:space="preserve">فحینئذ:یقع الإشکال فی أنّه إذا لم یکن معذورا من حیث الحکم التکلیفیّ کسائر الأحکام المجهولة للمکلّف المقصّر،فیکون تکلیفه بالواقع</w:t>
      </w:r>
    </w:p>
    <w:p>
      <w:pPr>
        <w:pStyle w:val="BookText"/>
      </w:pPr>
      <w:r>
        <w:rPr>
          <w:rFonts w:ascii="IRNazanin" w:hAnsi="IRNazanin" w:eastAsia="IRNazanin" w:cs="IRNazanin"/>
          <w:lang w:bidi="fa-IR"/>
          <w:color w:val="111111"/>
          <w:sz w:val="28"/>
          <w:szCs w:val="28"/>
          <w:rtl/>
        </w:rPr>
        <w:t xml:space="preserve">[شماره صفحه واقعی : 437]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291" w:name="pg14411_142827"/>
    <w:bookmarkEnd w:id="291"/>
    <w:p>
      <w:pPr>
        <w:pStyle w:val="BookText"/>
      </w:pPr>
      <w:r>
        <w:rPr>
          <w:rFonts w:ascii="IRNazanin" w:hAnsi="IRNazanin" w:eastAsia="IRNazanin" w:cs="IRNazanin"/>
          <w:lang w:bidi="fa-IR"/>
          <w:color w:val="111111"/>
          <w:sz w:val="28"/>
          <w:szCs w:val="28"/>
          <w:rtl/>
        </w:rPr>
        <w:t xml:space="preserve">و هو القصر بالنسبة إلی المسافر باقیا،و ما یأتی به-من الإتمام المحکوم بکونه مسقطا-إن لم یکن مأمورا به فکیف یسقط الواجب؟و إن کان مأمورا به فکیف یجتمع الأمر به مع فرض وجود الأمر بالقصر؟</w:t>
      </w:r>
    </w:p>
    <w:p>
      <w:pPr>
        <w:pStyle w:val="Heading6"/>
      </w:pPr>
      <w:bookmarkStart w:id="1576" w:name="_Toc611"/>
      <w:r>
        <w:t>[دفع الإشکال من وجوه،و المناقشة فیها]</w:t>
      </w:r>
      <w:bookmarkEnd w:id="1576"/>
    </w:p>
    <w:p>
      <w:pPr>
        <w:pStyle w:val="BookText"/>
      </w:pPr>
      <w:r>
        <w:rPr>
          <w:rFonts w:ascii="IRNazanin" w:hAnsi="IRNazanin" w:eastAsia="IRNazanin" w:cs="IRNazanin"/>
          <w:lang w:bidi="fa-IR"/>
          <w:color w:val="111111"/>
          <w:sz w:val="28"/>
          <w:szCs w:val="28"/>
          <w:rtl/>
        </w:rPr>
        <w:t xml:space="preserve">و دفع هذا الإشکال:إمّا بمنع تعلّق التکلیف فعلا بالواقعیّ المتروک،و إمّا بمنع تعلّقه بالمأتیّ به،و إمّا بمنع التنافی بینهما.</w:t>
      </w:r>
    </w:p>
    <w:p>
      <w:pPr>
        <w:pStyle w:val="BookText"/>
      </w:pPr>
      <w:r>
        <w:rPr>
          <w:rFonts w:ascii="IRNazanin" w:hAnsi="IRNazanin" w:eastAsia="IRNazanin" w:cs="IRNazanin"/>
          <w:lang w:bidi="fa-IR"/>
          <w:color w:val="111111"/>
          <w:sz w:val="28"/>
          <w:szCs w:val="28"/>
          <w:rtl/>
        </w:rPr>
        <w:t xml:space="preserve">فالأوّل،إمّا بدعوی کون القصر مثلا واجبا علی المسافر العالم، و کذا الجهر و الإخفات.</w:t>
      </w:r>
    </w:p>
    <w:p>
      <w:pPr>
        <w:pStyle w:val="BookText"/>
      </w:pPr>
      <w:r>
        <w:rPr>
          <w:rFonts w:ascii="IRNazanin" w:hAnsi="IRNazanin" w:eastAsia="IRNazanin" w:cs="IRNazanin"/>
          <w:lang w:bidi="fa-IR"/>
          <w:color w:val="111111"/>
          <w:sz w:val="28"/>
          <w:szCs w:val="28"/>
          <w:rtl/>
        </w:rPr>
        <w:t xml:space="preserve">و إمّا بمعنی معذوریّته فیه،بمعنی:کون الجهل بهذه المسألة کالجهل بالموضوع یعذر صاحبه،و یحکم علیه ظاهرا بخلاف الحکم الواقعیّ.</w:t>
      </w:r>
    </w:p>
    <w:p>
      <w:pPr>
        <w:pStyle w:val="BookText"/>
      </w:pPr>
      <w:r>
        <w:rPr>
          <w:rFonts w:ascii="IRNazanin" w:hAnsi="IRNazanin" w:eastAsia="IRNazanin" w:cs="IRNazanin"/>
          <w:lang w:bidi="fa-IR"/>
          <w:color w:val="111111"/>
          <w:sz w:val="28"/>
          <w:szCs w:val="28"/>
          <w:rtl/>
        </w:rPr>
        <w:t xml:space="preserve">و هذا الجاهل و إن لم یتوجّه إلیه خطاب مشتمل علی حکم ظاهریّ -کما فی الجاهل بالموضوع-،إلاّ أنّه مستغنی عنه </w:t>
      </w:r>
      <w:r>
        <w:rPr>
          <w:rStyle w:val="FootnoteReference"/>
        </w:rPr>
        <w:footnoteReference w:id="1332"/>
      </w:r>
      <w:r>
        <w:rPr>
          <w:rFonts w:ascii="IRNazanin" w:hAnsi="IRNazanin" w:eastAsia="IRNazanin" w:cs="IRNazanin"/>
          <w:lang w:bidi="fa-IR"/>
          <w:color w:val="111111"/>
          <w:sz w:val="28"/>
          <w:szCs w:val="28"/>
          <w:rtl/>
        </w:rPr>
        <w:t xml:space="preserve">باعتقاده لوجوب هذا الشیء علیه فی الواقع.</w:t>
      </w:r>
    </w:p>
    <w:p>
      <w:pPr>
        <w:pStyle w:val="BookText"/>
      </w:pPr>
      <w:r>
        <w:rPr>
          <w:rFonts w:ascii="IRNazanin" w:hAnsi="IRNazanin" w:eastAsia="IRNazanin" w:cs="IRNazanin"/>
          <w:lang w:bidi="fa-IR"/>
          <w:color w:val="111111"/>
          <w:sz w:val="28"/>
          <w:szCs w:val="28"/>
          <w:rtl/>
        </w:rPr>
        <w:t xml:space="preserve">و إمّا من جهة القول بعدم تکلیف الغافل بالواقع،و کونه مؤاخذا علی ترک التعلّم،فلا یجب علیه القصر؛لغفلته عنه.نعم یعاقب علی عدم إزالة الغفلة،کما تقدّم استظهاره من صاحب المدارک و من تبعه </w:t>
      </w:r>
      <w:r>
        <w:rPr>
          <w:rStyle w:val="FootnoteReference"/>
        </w:rPr>
        <w:footnoteReference w:id="13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إمّا من جهة تسلیم تکلیفه بالواقع،إلاّ أنّ الخطاب بالواقع ینقطع عند الغفلة؛لقبح خطاب العاجز.و إن کان العجز بسوء اختیاره فهو معاقب حین الغفلة علی ترک القصر،لکنّه لیس مأمورا به حتّی یجتمع مع فرض وجود الأمر بالإتمام.</w:t>
      </w:r>
    </w:p>
    <w:p>
      <w:pPr>
        <w:pStyle w:val="BookText"/>
      </w:pPr>
      <w:r>
        <w:rPr>
          <w:rFonts w:ascii="IRNazanin" w:hAnsi="IRNazanin" w:eastAsia="IRNazanin" w:cs="IRNazanin"/>
          <w:lang w:bidi="fa-IR"/>
          <w:color w:val="111111"/>
          <w:sz w:val="28"/>
          <w:szCs w:val="28"/>
          <w:rtl/>
        </w:rPr>
        <w:t xml:space="preserve">[شماره صفحه واقعی : 438]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لکن هذا کلّه خلاف ظاهر المشهور؛حیث إنّ الظاهر منهم-کما تقدّم </w:t>
      </w:r>
      <w:r>
        <w:rPr>
          <w:rStyle w:val="FootnoteReference"/>
        </w:rPr>
        <w:footnoteReference w:id="1334"/>
      </w:r>
      <w:r>
        <w:rPr>
          <w:rFonts w:ascii="IRNazanin" w:hAnsi="IRNazanin" w:eastAsia="IRNazanin" w:cs="IRNazanin"/>
          <w:lang w:bidi="fa-IR"/>
          <w:color w:val="111111"/>
          <w:sz w:val="28"/>
          <w:szCs w:val="28"/>
          <w:rtl/>
        </w:rPr>
        <w:t xml:space="preserve">-بقاء التکلیف بالواقع المجهول بالنسبة إلی الجاهل؛و لذا یبطلون صلاة الجاهل بحرمة الغصب؛إذ لو لا النهی حین الصلاة لم یکن وجه للبطلان.</w:t>
      </w:r>
    </w:p>
    <w:p>
      <w:pPr>
        <w:pStyle w:val="BookText"/>
      </w:pPr>
      <w:r>
        <w:rPr>
          <w:rFonts w:ascii="IRNazanin" w:hAnsi="IRNazanin" w:eastAsia="IRNazanin" w:cs="IRNazanin"/>
          <w:lang w:bidi="fa-IR"/>
          <w:color w:val="111111"/>
          <w:sz w:val="28"/>
          <w:szCs w:val="28"/>
          <w:rtl/>
        </w:rPr>
        <w:t xml:space="preserve">و الثانی،منع تعلّق الأمر بالمأتیّ به،و التزام </w:t>
      </w:r>
      <w:r>
        <w:rPr>
          <w:rStyle w:val="FootnoteReference"/>
        </w:rPr>
        <w:footnoteReference w:id="1335"/>
      </w:r>
      <w:r>
        <w:rPr>
          <w:rFonts w:ascii="IRNazanin" w:hAnsi="IRNazanin" w:eastAsia="IRNazanin" w:cs="IRNazanin"/>
          <w:lang w:bidi="fa-IR"/>
          <w:color w:val="111111"/>
          <w:sz w:val="28"/>
          <w:szCs w:val="28"/>
          <w:rtl/>
        </w:rPr>
        <w:t xml:space="preserve">أنّ غیر الواجب مسقط عن الواجب؛فإنّ قیام ما اعتقد وجوبه مقام الواجب الواقعیّ غیر ممتنع.</w:t>
      </w:r>
    </w:p>
    <w:p>
      <w:pPr>
        <w:pStyle w:val="BookText"/>
      </w:pPr>
      <w:r>
        <w:rPr>
          <w:rFonts w:ascii="IRNazanin" w:hAnsi="IRNazanin" w:eastAsia="IRNazanin" w:cs="IRNazanin"/>
          <w:lang w:bidi="fa-IR"/>
          <w:color w:val="111111"/>
          <w:sz w:val="28"/>
          <w:szCs w:val="28"/>
          <w:rtl/>
        </w:rPr>
        <w:t xml:space="preserve">نعم،قد یوجب إتیان غیر الواجب فوات الواجب،فیحرم بناء علی دلالة الأمر بالشیء علی النهی عن الضدّ،کما فی آخر الوقت؛ حیث یستلزم فعل التمام فوات القصر.</w:t>
      </w:r>
    </w:p>
    <w:p>
      <w:pPr>
        <w:pStyle w:val="BookText"/>
      </w:pPr>
      <w:r>
        <w:rPr>
          <w:rFonts w:ascii="IRNazanin" w:hAnsi="IRNazanin" w:eastAsia="IRNazanin" w:cs="IRNazanin"/>
          <w:lang w:bidi="fa-IR"/>
          <w:color w:val="111111"/>
          <w:sz w:val="28"/>
          <w:szCs w:val="28"/>
          <w:rtl/>
        </w:rPr>
        <w:t xml:space="preserve">و یردّ هذا الوجه:أنّ الظاهر من الأدلّة کون المأتیّ به مأمورا به فی حقّه،مثل قوله علیه السّلام فی الجهر و الإخفات:«تمّت صلاته» </w:t>
      </w:r>
      <w:r>
        <w:rPr>
          <w:rStyle w:val="FootnoteReference"/>
        </w:rPr>
        <w:footnoteReference w:id="1336"/>
      </w:r>
      <w:r>
        <w:rPr>
          <w:rFonts w:ascii="IRNazanin" w:hAnsi="IRNazanin" w:eastAsia="IRNazanin" w:cs="IRNazanin"/>
          <w:lang w:bidi="fa-IR"/>
          <w:color w:val="111111"/>
          <w:sz w:val="28"/>
          <w:szCs w:val="28"/>
          <w:rtl/>
        </w:rPr>
        <w:t xml:space="preserve">و نحو ذلک.</w:t>
      </w:r>
    </w:p>
    <w:p>
      <w:pPr>
        <w:pStyle w:val="BookText"/>
      </w:pPr>
      <w:r>
        <w:rPr>
          <w:rFonts w:ascii="IRNazanin" w:hAnsi="IRNazanin" w:eastAsia="IRNazanin" w:cs="IRNazanin"/>
          <w:lang w:bidi="fa-IR"/>
          <w:color w:val="111111"/>
          <w:sz w:val="28"/>
          <w:szCs w:val="28"/>
          <w:rtl/>
        </w:rPr>
        <w:t xml:space="preserve">و فی </w:t>
      </w:r>
      <w:r>
        <w:rPr>
          <w:rStyle w:val="FootnoteReference"/>
        </w:rPr>
        <w:footnoteReference w:id="1337"/>
      </w:r>
      <w:r>
        <w:rPr>
          <w:rFonts w:ascii="IRNazanin" w:hAnsi="IRNazanin" w:eastAsia="IRNazanin" w:cs="IRNazanin"/>
          <w:lang w:bidi="fa-IR"/>
          <w:color w:val="111111"/>
          <w:sz w:val="28"/>
          <w:szCs w:val="28"/>
          <w:rtl/>
        </w:rPr>
        <w:t xml:space="preserve">الموارد التی قام فیها غیر الواجب مقام الواجب نمنع عدم وجوب البدل،بل الظاهر فی تلک الموارد سقوط الأمر الواقعیّ و ثبوت الأمر بالبدل،فتأمّل.</w:t>
      </w:r>
    </w:p>
    <w:p>
      <w:pPr>
        <w:pStyle w:val="BookText"/>
      </w:pPr>
      <w:r>
        <w:rPr>
          <w:rFonts w:ascii="IRNazanin" w:hAnsi="IRNazanin" w:eastAsia="IRNazanin" w:cs="IRNazanin"/>
          <w:lang w:bidi="fa-IR"/>
          <w:color w:val="111111"/>
          <w:sz w:val="28"/>
          <w:szCs w:val="28"/>
          <w:rtl/>
        </w:rPr>
        <w:t xml:space="preserve">و الثالث،بما </w:t>
      </w:r>
      <w:r>
        <w:rPr>
          <w:rStyle w:val="FootnoteReference"/>
        </w:rPr>
        <w:footnoteReference w:id="1338"/>
      </w:r>
      <w:r>
        <w:rPr>
          <w:rFonts w:ascii="IRNazanin" w:hAnsi="IRNazanin" w:eastAsia="IRNazanin" w:cs="IRNazanin"/>
          <w:lang w:bidi="fa-IR"/>
          <w:color w:val="111111"/>
          <w:sz w:val="28"/>
          <w:szCs w:val="28"/>
          <w:rtl/>
        </w:rPr>
        <w:t xml:space="preserve">ذکره کاشف الغطاء رحمه اللّه:من أنّ التکلیف بالإتمام</w:t>
      </w:r>
    </w:p>
    <w:p>
      <w:pPr>
        <w:pStyle w:val="BookText"/>
      </w:pPr>
      <w:r>
        <w:rPr>
          <w:rFonts w:ascii="IRNazanin" w:hAnsi="IRNazanin" w:eastAsia="IRNazanin" w:cs="IRNazanin"/>
          <w:lang w:bidi="fa-IR"/>
          <w:color w:val="111111"/>
          <w:sz w:val="28"/>
          <w:szCs w:val="28"/>
          <w:rtl/>
        </w:rPr>
        <w:t xml:space="preserve">[شماره صفحه واقعی : 439]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مرتّب علی معصیة </w:t>
      </w:r>
      <w:r>
        <w:rPr>
          <w:rStyle w:val="FootnoteReference"/>
        </w:rPr>
        <w:footnoteReference w:id="1339"/>
      </w:r>
      <w:r>
        <w:rPr>
          <w:rFonts w:ascii="IRNazanin" w:hAnsi="IRNazanin" w:eastAsia="IRNazanin" w:cs="IRNazanin"/>
          <w:lang w:bidi="fa-IR"/>
          <w:color w:val="111111"/>
          <w:sz w:val="28"/>
          <w:szCs w:val="28"/>
          <w:rtl/>
        </w:rPr>
        <w:t xml:space="preserve">الشارع بترک القصر،فقد کلّفه بالقصر و الإتمام علی تقدیر معصیته فی التکلیف بالقصر.و سلک هذا الطریق فی مسألة الضدّ فی تصحیح فعل غیر الأهمّ من الواجبین المضیّقین،إذا ترک المکلّف الامتثال بالأهمّ </w:t>
      </w:r>
      <w:r>
        <w:rPr>
          <w:rStyle w:val="FootnoteReference"/>
        </w:rPr>
        <w:footnoteReference w:id="13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یردّه:أنّا لا نعقل الترتّب </w:t>
      </w:r>
      <w:r>
        <w:rPr>
          <w:rStyle w:val="FootnoteReference"/>
        </w:rPr>
        <w:footnoteReference w:id="1341"/>
      </w:r>
      <w:r>
        <w:rPr>
          <w:rFonts w:ascii="IRNazanin" w:hAnsi="IRNazanin" w:eastAsia="IRNazanin" w:cs="IRNazanin"/>
          <w:lang w:bidi="fa-IR"/>
          <w:color w:val="111111"/>
          <w:sz w:val="28"/>
          <w:szCs w:val="28"/>
          <w:rtl/>
        </w:rPr>
        <w:t xml:space="preserve">فی المقامین،و إنّما یعقل ذلک فیما إذا حدث التکلیف الثانی بعد تحقّق معصیة </w:t>
      </w:r>
      <w:r>
        <w:rPr>
          <w:rStyle w:val="FootnoteReference"/>
        </w:rPr>
        <w:footnoteReference w:id="1342"/>
      </w:r>
      <w:r>
        <w:rPr>
          <w:rFonts w:ascii="IRNazanin" w:hAnsi="IRNazanin" w:eastAsia="IRNazanin" w:cs="IRNazanin"/>
          <w:lang w:bidi="fa-IR"/>
          <w:color w:val="111111"/>
          <w:sz w:val="28"/>
          <w:szCs w:val="28"/>
          <w:rtl/>
        </w:rPr>
        <w:t xml:space="preserve">الأوّل،کمن عصی بترک الصلاة مع الطهارة المائیّة،فکلّف لضیق الوقت بالترابیّة.</w:t>
      </w:r>
    </w:p>
    <w:p>
      <w:pPr>
        <w:pStyle w:val="BookText"/>
      </w:pPr>
      <w:r>
        <w:rPr>
          <w:rFonts w:ascii="IRNazanin" w:hAnsi="IRNazanin" w:eastAsia="IRNazanin" w:cs="IRNazanin"/>
          <w:lang w:bidi="fa-IR"/>
          <w:color w:val="111111"/>
          <w:sz w:val="28"/>
          <w:szCs w:val="28"/>
          <w:rtl/>
        </w:rPr>
        <w:t xml:space="preserve">[شماره صفحه واقعی : 440]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292" w:name="pg14411_142830"/>
    <w:bookmarkEnd w:id="292"/>
    <w:p>
      <w:pPr>
        <w:pStyle w:val="Heading6"/>
      </w:pPr>
      <w:bookmarkStart w:id="1577" w:name="_Toc612"/>
      <w:r>
        <w:t>الأمر الثالث [:عدم وجوب الفحص فی الشبهة الموضوعیّة التحریمیّة]</w:t>
      </w:r>
      <w:bookmarkEnd w:id="1577"/>
    </w:p>
    <w:p>
      <w:pPr>
        <w:pStyle w:val="Heading6"/>
      </w:pPr>
      <w:bookmarkStart w:id="1578" w:name="_Toc613"/>
      <w:r>
        <w:t>اشارة</w:t>
      </w:r>
      <w:bookmarkEnd w:id="1578"/>
    </w:p>
    <w:p>
      <w:pPr>
        <w:pStyle w:val="BookText"/>
      </w:pPr>
      <w:r>
        <w:rPr>
          <w:rFonts w:ascii="IRNazanin" w:hAnsi="IRNazanin" w:eastAsia="IRNazanin" w:cs="IRNazanin"/>
          <w:lang w:bidi="fa-IR"/>
          <w:color w:val="111111"/>
          <w:sz w:val="28"/>
          <w:szCs w:val="28"/>
          <w:rtl/>
        </w:rPr>
        <w:t xml:space="preserve">أنّ وجوب الفحص إنّما هو فی إجراء الأصل فی الشبهة الحکمیّة الناشئة من عدم النصّ،أو إجمال بعض ألفاظه،أو تعارض النصوص.</w:t>
      </w:r>
    </w:p>
    <w:p>
      <w:pPr>
        <w:pStyle w:val="BookText"/>
      </w:pPr>
      <w:r>
        <w:rPr>
          <w:rFonts w:ascii="IRNazanin" w:hAnsi="IRNazanin" w:eastAsia="IRNazanin" w:cs="IRNazanin"/>
          <w:lang w:bidi="fa-IR"/>
          <w:color w:val="111111"/>
          <w:sz w:val="28"/>
          <w:szCs w:val="28"/>
          <w:rtl/>
        </w:rPr>
        <w:t xml:space="preserve">أمّا إجراء الأصل فی الشبهة الموضوعیّة:</w:t>
      </w:r>
    </w:p>
    <w:p>
      <w:pPr>
        <w:pStyle w:val="BookText"/>
      </w:pPr>
      <w:r>
        <w:rPr>
          <w:rFonts w:ascii="IRNazanin" w:hAnsi="IRNazanin" w:eastAsia="IRNazanin" w:cs="IRNazanin"/>
          <w:lang w:bidi="fa-IR"/>
          <w:color w:val="111111"/>
          <w:sz w:val="28"/>
          <w:szCs w:val="28"/>
          <w:rtl/>
        </w:rPr>
        <w:t xml:space="preserve">فإن کانت الشبهة فی التحریم،فلا إشکال و لا خلاف ظاهرا فی عدم وجوب الفحص.</w:t>
      </w:r>
    </w:p>
    <w:p>
      <w:pPr>
        <w:pStyle w:val="BookText"/>
      </w:pPr>
      <w:r>
        <w:rPr>
          <w:rFonts w:ascii="IRNazanin" w:hAnsi="IRNazanin" w:eastAsia="IRNazanin" w:cs="IRNazanin"/>
          <w:lang w:bidi="fa-IR"/>
          <w:color w:val="111111"/>
          <w:sz w:val="28"/>
          <w:szCs w:val="28"/>
          <w:rtl/>
        </w:rPr>
        <w:t xml:space="preserve">و یدلّ علیه إطلاق الأخبار-مثل قوله علیه السّلام:«کلّ شیء لک حلال حتّی تعلم» </w:t>
      </w:r>
      <w:r>
        <w:rPr>
          <w:rStyle w:val="FootnoteReference"/>
        </w:rPr>
        <w:footnoteReference w:id="1343"/>
      </w:r>
      <w:r>
        <w:rPr>
          <w:rFonts w:ascii="IRNazanin" w:hAnsi="IRNazanin" w:eastAsia="IRNazanin" w:cs="IRNazanin"/>
          <w:lang w:bidi="fa-IR"/>
          <w:color w:val="111111"/>
          <w:sz w:val="28"/>
          <w:szCs w:val="28"/>
          <w:rtl/>
        </w:rPr>
        <w:t xml:space="preserve">،و قوله:«حتّی یستبین لک غیر هذا أو تقوم به البیّنة» </w:t>
      </w:r>
      <w:r>
        <w:rPr>
          <w:rStyle w:val="FootnoteReference"/>
        </w:rPr>
        <w:footnoteReference w:id="1344"/>
      </w:r>
      <w:r>
        <w:rPr>
          <w:rFonts w:ascii="IRNazanin" w:hAnsi="IRNazanin" w:eastAsia="IRNazanin" w:cs="IRNazanin"/>
          <w:lang w:bidi="fa-IR"/>
          <w:color w:val="111111"/>
          <w:sz w:val="28"/>
          <w:szCs w:val="28"/>
          <w:rtl/>
        </w:rPr>
        <w:t xml:space="preserve">،و قوله:«حتّی یجیئک شاهدان یشهدان أنّ فیه المیتة» </w:t>
      </w:r>
      <w:r>
        <w:rPr>
          <w:rStyle w:val="FootnoteReference"/>
        </w:rPr>
        <w:footnoteReference w:id="1345"/>
      </w:r>
      <w:r>
        <w:rPr>
          <w:rFonts w:ascii="IRNazanin" w:hAnsi="IRNazanin" w:eastAsia="IRNazanin" w:cs="IRNazanin"/>
          <w:lang w:bidi="fa-IR"/>
          <w:color w:val="111111"/>
          <w:sz w:val="28"/>
          <w:szCs w:val="28"/>
          <w:rtl/>
        </w:rPr>
        <w:t xml:space="preserve">و غیر ذلک </w:t>
      </w:r>
      <w:r>
        <w:rPr>
          <w:rStyle w:val="FootnoteReference"/>
        </w:rPr>
        <w:footnoteReference w:id="1346"/>
      </w:r>
      <w:r>
        <w:rPr>
          <w:rFonts w:ascii="IRNazanin" w:hAnsi="IRNazanin" w:eastAsia="IRNazanin" w:cs="IRNazanin"/>
          <w:lang w:bidi="fa-IR"/>
          <w:color w:val="111111"/>
          <w:sz w:val="28"/>
          <w:szCs w:val="28"/>
          <w:rtl/>
        </w:rPr>
        <w:t xml:space="preserve">-السالم عمّا یصلح لتقییده.</w:t>
      </w:r>
    </w:p>
    <w:p>
      <w:pPr>
        <w:pStyle w:val="BookText"/>
      </w:pPr>
      <w:r>
        <w:rPr>
          <w:rFonts w:ascii="IRNazanin" w:hAnsi="IRNazanin" w:eastAsia="IRNazanin" w:cs="IRNazanin"/>
          <w:lang w:bidi="fa-IR"/>
          <w:color w:val="111111"/>
          <w:sz w:val="28"/>
          <w:szCs w:val="28"/>
          <w:rtl/>
        </w:rPr>
        <w:t xml:space="preserve">[شماره صفحه واقعی : 441]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293" w:name="pg14411_142831"/>
    <w:bookmarkEnd w:id="293"/>
    <w:p>
      <w:pPr>
        <w:pStyle w:val="Heading6"/>
      </w:pPr>
      <w:bookmarkStart w:id="1579" w:name="_Toc614"/>
      <w:r>
        <w:t>[هل یجب الفحص فی الشبهة الموضوعیّة الوجوبیّة؟]</w:t>
      </w:r>
      <w:bookmarkEnd w:id="1579"/>
    </w:p>
    <w:p>
      <w:pPr>
        <w:pStyle w:val="BookText"/>
      </w:pPr>
      <w:r>
        <w:rPr>
          <w:rFonts w:ascii="IRNazanin" w:hAnsi="IRNazanin" w:eastAsia="IRNazanin" w:cs="IRNazanin"/>
          <w:lang w:bidi="fa-IR"/>
          <w:color w:val="111111"/>
          <w:sz w:val="28"/>
          <w:szCs w:val="28"/>
          <w:rtl/>
        </w:rPr>
        <w:t xml:space="preserve">و إن کانت الشبهة وجوبیّة،فمقتضی أدلّة البراءة حتّی العقل کبعض کلمات العلماء:عدم وجوب الفحص أیضا،و هو مقتضی حکم العقلاء فی بعض الموارد،مثل قول المولی لعبده:«أکرم العلماء أو المؤمنین»،فإنّه لا یجب الفحص فی المشکوک حاله فی المثالین.</w:t>
      </w:r>
    </w:p>
    <w:p>
      <w:pPr>
        <w:pStyle w:val="Heading6"/>
      </w:pPr>
      <w:bookmarkStart w:id="1580" w:name="_Toc615"/>
      <w:r>
        <w:t>[بناء العقلاء فی بعض الموارد علی الفحص]</w:t>
      </w:r>
      <w:bookmarkEnd w:id="1580"/>
    </w:p>
    <w:p>
      <w:pPr>
        <w:pStyle w:val="BookText"/>
      </w:pPr>
      <w:r>
        <w:rPr>
          <w:rFonts w:ascii="IRNazanin" w:hAnsi="IRNazanin" w:eastAsia="IRNazanin" w:cs="IRNazanin"/>
          <w:lang w:bidi="fa-IR"/>
          <w:color w:val="111111"/>
          <w:sz w:val="28"/>
          <w:szCs w:val="28"/>
          <w:rtl/>
        </w:rPr>
        <w:t xml:space="preserve">إلاّ أنّه قد یتراءی:أنّ بناء العقلاء فی بعض الموارد علی الفحص و الاحتیاط،کما إذا أمر المولی بإحضار علماء البلد أو أطبّائها،أو إضافتهم،أو إعطاء کلّ واحد منهم دینارا،فإنّه قد یدّعی أنّ بناءهم علی الفحص عن اولئک،و عدم الاقتصار علی المعلوم ابتداء مع احتمال وجود غیرهم فی البلد.</w:t>
      </w:r>
    </w:p>
    <w:p>
      <w:pPr>
        <w:pStyle w:val="BookText"/>
      </w:pPr>
      <w:r>
        <w:rPr>
          <w:rFonts w:ascii="IRNazanin" w:hAnsi="IRNazanin" w:eastAsia="IRNazanin" w:cs="IRNazanin"/>
          <w:lang w:bidi="fa-IR"/>
          <w:color w:val="111111"/>
          <w:sz w:val="28"/>
          <w:szCs w:val="28"/>
          <w:rtl/>
        </w:rPr>
        <w:t xml:space="preserve">قال فی المعالم،فی مقام الاستدلال علی وجوب التبیّن فی خبر مجهول الحال بآیة التثبّت فی خبر الفاسق:</w:t>
      </w:r>
    </w:p>
    <w:p>
      <w:pPr>
        <w:pStyle w:val="Heading6"/>
      </w:pPr>
      <w:bookmarkStart w:id="1581" w:name="_Toc616"/>
      <w:r>
        <w:t>[کلام صاحب المعالم فی وجوب الفحص فی خبر مجهول الحال]</w:t>
      </w:r>
      <w:bookmarkEnd w:id="1581"/>
    </w:p>
    <w:p>
      <w:pPr>
        <w:pStyle w:val="BookText"/>
      </w:pPr>
      <w:r>
        <w:rPr>
          <w:rFonts w:ascii="IRNazanin" w:hAnsi="IRNazanin" w:eastAsia="IRNazanin" w:cs="IRNazanin"/>
          <w:lang w:bidi="fa-IR"/>
          <w:color w:val="111111"/>
          <w:sz w:val="28"/>
          <w:szCs w:val="28"/>
          <w:rtl/>
        </w:rPr>
        <w:t xml:space="preserve">إنّ وجوب التثبّت فیها متعلّق بنفس الوصف،لا بما تقدّم العلم به منه،و مقتضی ذلک إرادة الفحص و البحث عن حصوله و عدمه؛أ لا تری أنّ قول القائل:«أعط کلّ بالغ رشید من هذه الجماعة-مثلا-درهما» یقتضی إرادة السؤال و الفحص عمّن جمع الوصفین،لا الاقتصار علی من سبق العلم باجتماعهما فیه </w:t>
      </w:r>
      <w:r>
        <w:rPr>
          <w:rStyle w:val="FootnoteReference"/>
        </w:rPr>
        <w:footnoteReference w:id="1347"/>
      </w:r>
      <w:r>
        <w:rPr>
          <w:rFonts w:ascii="IRNazanin" w:hAnsi="IRNazanin" w:eastAsia="IRNazanin" w:cs="IRNazanin"/>
          <w:lang w:bidi="fa-IR"/>
          <w:color w:val="111111"/>
          <w:sz w:val="28"/>
          <w:szCs w:val="28"/>
          <w:rtl/>
        </w:rPr>
        <w:t xml:space="preserve">،انتهی.</w:t>
      </w:r>
    </w:p>
    <w:p>
      <w:pPr>
        <w:pStyle w:val="BookText"/>
      </w:pPr>
      <w:r>
        <w:rPr>
          <w:rFonts w:ascii="Amiri" w:hAnsi="Amiri" w:eastAsia="Amiri" w:cs="Amiri"/>
          <w:lang w:bidi="ar-SA"/>
          <w:color w:val="111111"/>
          <w:sz w:val="28"/>
          <w:szCs w:val="28"/>
          <w:rtl/>
        </w:rPr>
        <w:t xml:space="preserve">و أیّد ذلک المحقّق القمّی قدّس سرّه فی القوانین:</w:t>
      </w:r>
    </w:p>
    <w:p>
      <w:pPr>
        <w:pStyle w:val="BookText"/>
      </w:pPr>
      <w:r>
        <w:rPr>
          <w:rFonts w:ascii="IRNazanin" w:hAnsi="IRNazanin" w:eastAsia="IRNazanin" w:cs="IRNazanin"/>
          <w:lang w:bidi="fa-IR"/>
          <w:color w:val="111111"/>
          <w:sz w:val="28"/>
          <w:szCs w:val="28"/>
          <w:rtl/>
        </w:rPr>
        <w:t xml:space="preserve">ب«أنّ الواجبات المشروطة بوجود شیء إنّما یتوقّف وجوبها علی وجود الشرط لا علی العلم بوجوده،فبالنسبة إلی العلم مطلق لا مشروط.</w:t>
      </w:r>
    </w:p>
    <w:p>
      <w:pPr>
        <w:pStyle w:val="BookText"/>
      </w:pPr>
      <w:r>
        <w:rPr>
          <w:rFonts w:ascii="IRNazanin" w:hAnsi="IRNazanin" w:eastAsia="IRNazanin" w:cs="IRNazanin"/>
          <w:lang w:bidi="fa-IR"/>
          <w:color w:val="111111"/>
          <w:sz w:val="28"/>
          <w:szCs w:val="28"/>
          <w:rtl/>
        </w:rPr>
        <w:t xml:space="preserve">مثل:أنّ من شکّ فی کون ماله بمقدار استطاعة الحجّ-لعدم علمه بمقدار</w:t>
      </w:r>
    </w:p>
    <w:p>
      <w:pPr>
        <w:pStyle w:val="BookText"/>
      </w:pPr>
      <w:r>
        <w:rPr>
          <w:rFonts w:ascii="IRNazanin" w:hAnsi="IRNazanin" w:eastAsia="IRNazanin" w:cs="IRNazanin"/>
          <w:lang w:bidi="fa-IR"/>
          <w:color w:val="111111"/>
          <w:sz w:val="28"/>
          <w:szCs w:val="28"/>
          <w:rtl/>
        </w:rPr>
        <w:t xml:space="preserve">[شماره صفحه واقعی : 442]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294" w:name="pg14411_142832"/>
    <w:bookmarkEnd w:id="294"/>
    <w:p>
      <w:pPr>
        <w:pStyle w:val="BookText"/>
      </w:pPr>
      <w:r>
        <w:rPr>
          <w:rFonts w:ascii="IRNazanin" w:hAnsi="IRNazanin" w:eastAsia="IRNazanin" w:cs="IRNazanin"/>
          <w:lang w:bidi="fa-IR"/>
          <w:color w:val="111111"/>
          <w:sz w:val="28"/>
          <w:szCs w:val="28"/>
          <w:rtl/>
        </w:rPr>
        <w:t xml:space="preserve">المال-لا یمکنه أن یقول:إنّی لا أعلم أنّی مستطیع و لا یجب علیّ شیء،بل یجب علیه محاسبة ماله؛لیعلم أنّه واجد للاستطاعة أو فاقد لها.</w:t>
      </w:r>
    </w:p>
    <w:p>
      <w:pPr>
        <w:pStyle w:val="BookText"/>
      </w:pPr>
      <w:r>
        <w:rPr>
          <w:rFonts w:ascii="IRNazanin" w:hAnsi="IRNazanin" w:eastAsia="IRNazanin" w:cs="IRNazanin"/>
          <w:lang w:bidi="fa-IR"/>
          <w:color w:val="111111"/>
          <w:sz w:val="28"/>
          <w:szCs w:val="28"/>
          <w:rtl/>
        </w:rPr>
        <w:t xml:space="preserve">نعم،لو شکّ بعد المحاسبة فی أنّ هذا المال هل یکفیه فی الاستطاعة أم لا؟فالأصل عدم الوجوب حینئذ» </w:t>
      </w:r>
      <w:r>
        <w:rPr>
          <w:rStyle w:val="FootnoteReference"/>
        </w:rPr>
        <w:footnoteReference w:id="13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ذکر المثال المذکور فی المعالم بالتقریب المتقدّم عنه </w:t>
      </w:r>
      <w:r>
        <w:rPr>
          <w:rStyle w:val="FootnoteReference"/>
        </w:rPr>
        <w:footnoteReference w:id="1349"/>
      </w:r>
      <w:r>
        <w:rPr>
          <w:rFonts w:ascii="Times New Roman" w:hAnsi="Times New Roman" w:eastAsia="Times New Roman" w:cs="Times New Roman"/>
          <w:lang w:val="en-US" w:bidi="en-US"/>
          <w:color w:val="111111"/>
          <w:sz w:val="28"/>
          <w:szCs w:val="28"/>
          <w:rtl/>
        </w:rPr>
        <w:t xml:space="preserve">.</w:t>
      </w:r>
    </w:p>
    <w:p>
      <w:pPr>
        <w:pStyle w:val="Heading6"/>
      </w:pPr>
      <w:bookmarkStart w:id="1582" w:name="_Toc617"/>
      <w:r>
        <w:t>[اختلاف کلمات الفقهاء فی فروع المسألة]</w:t>
      </w:r>
      <w:bookmarkEnd w:id="1582"/>
    </w:p>
    <w:p>
      <w:pPr>
        <w:pStyle w:val="Heading6"/>
      </w:pPr>
      <w:bookmarkStart w:id="1583" w:name="_Toc618"/>
      <w:r>
        <w:t>اشارة</w:t>
      </w:r>
      <w:bookmarkEnd w:id="1583"/>
    </w:p>
    <w:p>
      <w:pPr>
        <w:pStyle w:val="BookText"/>
      </w:pPr>
      <w:r>
        <w:rPr>
          <w:rFonts w:ascii="IRNazanin" w:hAnsi="IRNazanin" w:eastAsia="IRNazanin" w:cs="IRNazanin"/>
          <w:lang w:bidi="fa-IR"/>
          <w:color w:val="111111"/>
          <w:sz w:val="28"/>
          <w:szCs w:val="28"/>
          <w:rtl/>
        </w:rPr>
        <w:t xml:space="preserve">و أمّا کلمات الفقهاء فمختلفة فی فروع هذه المسألة:فقد أفتی جماعة منهم-کالشیخ </w:t>
      </w:r>
      <w:r>
        <w:rPr>
          <w:rStyle w:val="FootnoteReference"/>
        </w:rPr>
        <w:footnoteReference w:id="1350"/>
      </w:r>
      <w:r>
        <w:rPr>
          <w:rFonts w:ascii="IRNazanin" w:hAnsi="IRNazanin" w:eastAsia="IRNazanin" w:cs="IRNazanin"/>
          <w:lang w:bidi="fa-IR"/>
          <w:color w:val="111111"/>
          <w:sz w:val="28"/>
          <w:szCs w:val="28"/>
          <w:rtl/>
        </w:rPr>
        <w:t xml:space="preserve">و الفاضلین </w:t>
      </w:r>
      <w:r>
        <w:rPr>
          <w:rStyle w:val="FootnoteReference"/>
        </w:rPr>
        <w:footnoteReference w:id="1351"/>
      </w:r>
      <w:r>
        <w:rPr>
          <w:rFonts w:ascii="IRNazanin" w:hAnsi="IRNazanin" w:eastAsia="IRNazanin" w:cs="IRNazanin"/>
          <w:lang w:bidi="fa-IR"/>
          <w:color w:val="111111"/>
          <w:sz w:val="28"/>
          <w:szCs w:val="28"/>
          <w:rtl/>
        </w:rPr>
        <w:t xml:space="preserve">و غیرهم </w:t>
      </w:r>
      <w:r>
        <w:rPr>
          <w:rStyle w:val="FootnoteReference"/>
        </w:rPr>
        <w:footnoteReference w:id="1352"/>
      </w:r>
      <w:r>
        <w:rPr>
          <w:rFonts w:ascii="IRNazanin" w:hAnsi="IRNazanin" w:eastAsia="IRNazanin" w:cs="IRNazanin"/>
          <w:lang w:bidi="fa-IR"/>
          <w:color w:val="111111"/>
          <w:sz w:val="28"/>
          <w:szCs w:val="28"/>
          <w:rtl/>
        </w:rPr>
        <w:t xml:space="preserve">-بأنّه لو کان له فضّة مغشوشة بغیرها و علم بلوغ الخالص نصابا و شکّ فی مقداره،وجب التصفیة؛لیحصل </w:t>
      </w:r>
      <w:r>
        <w:rPr>
          <w:rStyle w:val="FootnoteReference"/>
        </w:rPr>
        <w:footnoteReference w:id="1353"/>
      </w:r>
      <w:r>
        <w:rPr>
          <w:rFonts w:ascii="IRNazanin" w:hAnsi="IRNazanin" w:eastAsia="IRNazanin" w:cs="IRNazanin"/>
          <w:lang w:bidi="fa-IR"/>
          <w:color w:val="111111"/>
          <w:sz w:val="28"/>
          <w:szCs w:val="28"/>
          <w:rtl/>
        </w:rPr>
        <w:t xml:space="preserve">العلم بالمقدار،أو الاحتیاط بإخراج ما یتیقّن </w:t>
      </w:r>
      <w:r>
        <w:rPr>
          <w:rStyle w:val="FootnoteReference"/>
        </w:rPr>
        <w:footnoteReference w:id="1354"/>
      </w:r>
      <w:r>
        <w:rPr>
          <w:rFonts w:ascii="Amiri" w:hAnsi="Amiri" w:eastAsia="Amiri" w:cs="Amiri"/>
          <w:lang w:bidi="ar-SA"/>
          <w:color w:val="111111"/>
          <w:sz w:val="28"/>
          <w:szCs w:val="28"/>
          <w:rtl/>
        </w:rPr>
        <w:t xml:space="preserve">معه البراءة.</w:t>
      </w:r>
    </w:p>
    <w:p>
      <w:pPr>
        <w:pStyle w:val="BookText"/>
      </w:pPr>
      <w:r>
        <w:rPr>
          <w:rFonts w:ascii="IRNazanin" w:hAnsi="IRNazanin" w:eastAsia="IRNazanin" w:cs="IRNazanin"/>
          <w:lang w:bidi="fa-IR"/>
          <w:color w:val="111111"/>
          <w:sz w:val="28"/>
          <w:szCs w:val="28"/>
          <w:rtl/>
        </w:rPr>
        <w:t xml:space="preserve">نعم،استشکل فی التحریر فی وجوب ذلک </w:t>
      </w:r>
      <w:r>
        <w:rPr>
          <w:rStyle w:val="FootnoteReference"/>
        </w:rPr>
        <w:footnoteReference w:id="1355"/>
      </w:r>
      <w:r>
        <w:rPr>
          <w:rFonts w:ascii="IRNazanin" w:hAnsi="IRNazanin" w:eastAsia="IRNazanin" w:cs="IRNazanin"/>
          <w:lang w:bidi="fa-IR"/>
          <w:color w:val="111111"/>
          <w:sz w:val="28"/>
          <w:szCs w:val="28"/>
          <w:rtl/>
        </w:rPr>
        <w:t xml:space="preserve">،و صرّح غیر واحد</w:t>
      </w:r>
    </w:p>
    <w:p>
      <w:pPr>
        <w:pStyle w:val="BookText"/>
      </w:pPr>
      <w:r>
        <w:rPr>
          <w:rFonts w:ascii="IRNazanin" w:hAnsi="IRNazanin" w:eastAsia="IRNazanin" w:cs="IRNazanin"/>
          <w:lang w:bidi="fa-IR"/>
          <w:color w:val="111111"/>
          <w:sz w:val="28"/>
          <w:szCs w:val="28"/>
          <w:rtl/>
        </w:rPr>
        <w:t xml:space="preserve">[شماره صفحه واقعی : 443]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هؤلاء </w:t>
      </w:r>
      <w:r>
        <w:rPr>
          <w:rStyle w:val="FootnoteReference"/>
        </w:rPr>
        <w:footnoteReference w:id="1356"/>
      </w:r>
      <w:r>
        <w:rPr>
          <w:rFonts w:ascii="IRNazanin" w:hAnsi="IRNazanin" w:eastAsia="IRNazanin" w:cs="IRNazanin"/>
          <w:lang w:bidi="fa-IR"/>
          <w:color w:val="111111"/>
          <w:sz w:val="28"/>
          <w:szCs w:val="28"/>
          <w:rtl/>
        </w:rPr>
        <w:t xml:space="preserve">مع عدم العلم ببلوغ الخالص النصاب:بأنّه </w:t>
      </w:r>
      <w:r>
        <w:rPr>
          <w:rStyle w:val="FootnoteReference"/>
        </w:rPr>
        <w:footnoteReference w:id="1357"/>
      </w:r>
      <w:r>
        <w:rPr>
          <w:rFonts w:ascii="IRNazanin" w:hAnsi="IRNazanin" w:eastAsia="IRNazanin" w:cs="IRNazanin"/>
          <w:lang w:bidi="fa-IR"/>
          <w:color w:val="111111"/>
          <w:sz w:val="28"/>
          <w:szCs w:val="28"/>
          <w:rtl/>
        </w:rPr>
        <w:t xml:space="preserve">لا یجب التصفیة.</w:t>
      </w:r>
    </w:p>
    <w:p>
      <w:pPr>
        <w:pStyle w:val="BookText"/>
      </w:pPr>
      <w:r>
        <w:rPr>
          <w:rFonts w:ascii="IRNazanin" w:hAnsi="IRNazanin" w:eastAsia="IRNazanin" w:cs="IRNazanin"/>
          <w:lang w:bidi="fa-IR"/>
          <w:color w:val="111111"/>
          <w:sz w:val="28"/>
          <w:szCs w:val="28"/>
          <w:rtl/>
        </w:rPr>
        <w:t xml:space="preserve">و الفرق بین المسألتین مفقود إلاّ ما ربما یتوهّم:من أنّ العلم بالتکلیف ثابت مع العلم ببلوغ النصاب،بخلاف ما لم یعلم به.</w:t>
      </w:r>
    </w:p>
    <w:p>
      <w:pPr>
        <w:pStyle w:val="BookText"/>
      </w:pPr>
      <w:r>
        <w:rPr>
          <w:rFonts w:ascii="IRNazanin" w:hAnsi="IRNazanin" w:eastAsia="IRNazanin" w:cs="IRNazanin"/>
          <w:lang w:bidi="fa-IR"/>
          <w:color w:val="111111"/>
          <w:sz w:val="28"/>
          <w:szCs w:val="28"/>
          <w:rtl/>
        </w:rPr>
        <w:t xml:space="preserve">و فیه:أنّ العلم بالنصاب لا یوجب الاحتیاط مع القدر المتیقّن و دوران الأمر بین الأقلّ و الأکثر مع کون الزائد علی تقدیر وجوبه تکلیفا مستقلاّ؛أ لا تری:أنّه لو علم بالدّین و شکّ فی قدره،لم یوجب ذلک الاحتیاط و الفحص.</w:t>
      </w:r>
    </w:p>
    <w:p>
      <w:pPr>
        <w:pStyle w:val="BookText"/>
      </w:pPr>
      <w:r>
        <w:rPr>
          <w:rFonts w:ascii="IRNazanin" w:hAnsi="IRNazanin" w:eastAsia="IRNazanin" w:cs="IRNazanin"/>
          <w:lang w:bidi="fa-IR"/>
          <w:color w:val="111111"/>
          <w:sz w:val="28"/>
          <w:szCs w:val="28"/>
          <w:rtl/>
        </w:rPr>
        <w:t xml:space="preserve">مع أنّه لو کان هذا المقدار یمنع من إجراء البراءة قبل الفحص لمنع منها بعده؛إذ العلم الإجمالی لا یجوز معه الرجوع إلی البراءة و لو بعد الفحص.</w:t>
      </w:r>
    </w:p>
    <w:p>
      <w:pPr>
        <w:pStyle w:val="BookText"/>
      </w:pPr>
      <w:r>
        <w:rPr>
          <w:rFonts w:ascii="IRNazanin" w:hAnsi="IRNazanin" w:eastAsia="IRNazanin" w:cs="IRNazanin"/>
          <w:lang w:bidi="fa-IR"/>
          <w:color w:val="111111"/>
          <w:sz w:val="28"/>
          <w:szCs w:val="28"/>
          <w:rtl/>
        </w:rPr>
        <w:t xml:space="preserve">و قال فی التحریر فی باب نصاب الغلاّت:و لو شکّ فی البلوغ، و لا مکیال هنا و لا میزان،و لم یوجد،سقط الوجوب دون الاستحباب </w:t>
      </w:r>
      <w:r>
        <w:rPr>
          <w:rStyle w:val="FootnoteReference"/>
        </w:rPr>
        <w:footnoteReference w:id="1358"/>
      </w:r>
      <w:r>
        <w:rPr>
          <w:rFonts w:ascii="IRNazanin" w:hAnsi="IRNazanin" w:eastAsia="IRNazanin" w:cs="IRNazanin"/>
          <w:lang w:bidi="fa-IR"/>
          <w:color w:val="111111"/>
          <w:sz w:val="28"/>
          <w:szCs w:val="28"/>
          <w:rtl/>
        </w:rPr>
        <w:t xml:space="preserve">، انتهی.</w:t>
      </w:r>
    </w:p>
    <w:p>
      <w:pPr>
        <w:pStyle w:val="BookText"/>
      </w:pPr>
      <w:r>
        <w:rPr>
          <w:rFonts w:ascii="IRNazanin" w:hAnsi="IRNazanin" w:eastAsia="IRNazanin" w:cs="IRNazanin"/>
          <w:lang w:bidi="fa-IR"/>
          <w:color w:val="111111"/>
          <w:sz w:val="28"/>
          <w:szCs w:val="28"/>
          <w:rtl/>
        </w:rPr>
        <w:t xml:space="preserve">و ظاهره:جریان الأصل مع تعذّر الفحص و تحصیل العلم.</w:t>
      </w:r>
    </w:p>
    <w:p>
      <w:pPr>
        <w:pStyle w:val="BookText"/>
      </w:pPr>
      <w:r>
        <w:rPr>
          <w:rFonts w:ascii="IRNazanin" w:hAnsi="IRNazanin" w:eastAsia="IRNazanin" w:cs="IRNazanin"/>
          <w:lang w:bidi="fa-IR"/>
          <w:color w:val="111111"/>
          <w:sz w:val="28"/>
          <w:szCs w:val="28"/>
          <w:rtl/>
        </w:rPr>
        <w:t xml:space="preserve">و بالجملة:فما ذکروه من إیجاب تحصیل العلم بالواقع مع التمکّن فی بعض أفراد الاشتباه فی الموضوع،مشکل.</w:t>
      </w:r>
    </w:p>
    <w:p>
      <w:pPr>
        <w:pStyle w:val="BookText"/>
      </w:pPr>
      <w:r>
        <w:rPr>
          <w:rFonts w:ascii="IRNazanin" w:hAnsi="IRNazanin" w:eastAsia="IRNazanin" w:cs="IRNazanin"/>
          <w:lang w:bidi="fa-IR"/>
          <w:color w:val="111111"/>
          <w:sz w:val="28"/>
          <w:szCs w:val="28"/>
          <w:rtl/>
        </w:rPr>
        <w:t xml:space="preserve">و أشکل منه:فرقهم بین الموارد،مع ما تقرّر عندهم من أصالة نفی الزائد عند دوران الأمر بین الأقلّ و الأکثر.</w:t>
      </w:r>
    </w:p>
    <w:p>
      <w:pPr>
        <w:pStyle w:val="BookText"/>
      </w:pPr>
      <w:r>
        <w:rPr>
          <w:rFonts w:ascii="IRNazanin" w:hAnsi="IRNazanin" w:eastAsia="IRNazanin" w:cs="IRNazanin"/>
          <w:lang w:bidi="fa-IR"/>
          <w:color w:val="111111"/>
          <w:sz w:val="28"/>
          <w:szCs w:val="28"/>
          <w:rtl/>
        </w:rPr>
        <w:t xml:space="preserve">[شماره صفحه واقعی : 444]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295" w:name="pg14411_142834"/>
    <w:bookmarkEnd w:id="295"/>
    <w:p>
      <w:pPr>
        <w:pStyle w:val="Heading6"/>
      </w:pPr>
      <w:bookmarkStart w:id="1584" w:name="_Toc619"/>
      <w:r>
        <w:t>[المناقشة فیما ذکره صاحب المعالم]</w:t>
      </w:r>
      <w:bookmarkEnd w:id="1584"/>
    </w:p>
    <w:p>
      <w:pPr>
        <w:pStyle w:val="BookText"/>
      </w:pPr>
      <w:r>
        <w:rPr>
          <w:rFonts w:ascii="IRNazanin" w:hAnsi="IRNazanin" w:eastAsia="IRNazanin" w:cs="IRNazanin"/>
          <w:lang w:bidi="fa-IR"/>
          <w:color w:val="111111"/>
          <w:sz w:val="28"/>
          <w:szCs w:val="28"/>
          <w:rtl/>
        </w:rPr>
        <w:t xml:space="preserve">و أمّا ما ذکره صاحب المعالم رحمه اللّه و تبعه علیه المحقّق القمّی رحمه اللّه </w:t>
      </w:r>
      <w:r>
        <w:rPr>
          <w:rStyle w:val="FootnoteReference"/>
        </w:rPr>
        <w:footnoteReference w:id="13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تقریب الاستدلال بآیة التثبّت علی ردّ خبر مجهول الحال،من جهة اقتضاء </w:t>
      </w:r>
      <w:r>
        <w:rPr>
          <w:rStyle w:val="FootnoteReference"/>
        </w:rPr>
        <w:footnoteReference w:id="1360"/>
      </w:r>
      <w:r>
        <w:rPr>
          <w:rFonts w:ascii="IRNazanin" w:hAnsi="IRNazanin" w:eastAsia="IRNazanin" w:cs="IRNazanin"/>
          <w:lang w:bidi="fa-IR"/>
          <w:color w:val="111111"/>
          <w:sz w:val="28"/>
          <w:szCs w:val="28"/>
          <w:rtl/>
        </w:rPr>
        <w:t xml:space="preserve">تعلّق الأمر بالموضوع الواقعیّ </w:t>
      </w:r>
      <w:r>
        <w:rPr>
          <w:rStyle w:val="FootnoteReference"/>
        </w:rPr>
        <w:footnoteReference w:id="1361"/>
      </w:r>
      <w:r>
        <w:rPr>
          <w:rFonts w:ascii="IRNazanin" w:hAnsi="IRNazanin" w:eastAsia="IRNazanin" w:cs="IRNazanin"/>
          <w:lang w:bidi="fa-IR"/>
          <w:color w:val="111111"/>
          <w:sz w:val="28"/>
          <w:szCs w:val="28"/>
          <w:rtl/>
        </w:rPr>
        <w:t xml:space="preserve">وجوب الفحص عن مصادیقه و عدم الاقتصار علی القدر المعلوم،فلا یخفی ما فیه.</w:t>
      </w:r>
    </w:p>
    <w:p>
      <w:pPr>
        <w:pStyle w:val="BookText"/>
      </w:pPr>
      <w:r>
        <w:rPr>
          <w:rFonts w:ascii="IRNazanin" w:hAnsi="IRNazanin" w:eastAsia="IRNazanin" w:cs="IRNazanin"/>
          <w:lang w:bidi="fa-IR"/>
          <w:color w:val="111111"/>
          <w:sz w:val="28"/>
          <w:szCs w:val="28"/>
          <w:rtl/>
        </w:rPr>
        <w:t xml:space="preserve">لأنّ ردّ خبر مجهول الحال لیس مبنیّا علی وجوب الفحص عند الشکّ؛و إلاّ لجاز الأخذ به،و لم یجب التبیّن فیه بعد الفحص و الیأس عن العلم بحاله،کما لا یجب الإعطاء فی المثال المذکور بعد الفحص عن حال المشکوک و عدم العلم باجتماع الوصفین فیه.</w:t>
      </w:r>
    </w:p>
    <w:p>
      <w:pPr>
        <w:pStyle w:val="BookText"/>
      </w:pPr>
      <w:r>
        <w:rPr>
          <w:rFonts w:ascii="IRNazanin" w:hAnsi="IRNazanin" w:eastAsia="IRNazanin" w:cs="IRNazanin"/>
          <w:lang w:bidi="fa-IR"/>
          <w:color w:val="111111"/>
          <w:sz w:val="28"/>
          <w:szCs w:val="28"/>
          <w:rtl/>
        </w:rPr>
        <w:t xml:space="preserve">بل وجه ردّه قبل الفحص و بعده:أنّ وجوب التبیّن شرطیّ، و مرجعه إلی اشتراط قبول الخبر فی نفسه من دون اشتراط التبیّن فیه بعدالة المخبر،فإذا شکّ فی عدالته شکّ فی قبول خبره فی نفسه،و المرجع فی هذا الشکّ و المتعیّن فیه عدم القبول؛لأنّ عدم العلم بحجّیة شیء کاف فی عدم حجّیته.</w:t>
      </w:r>
    </w:p>
    <w:p>
      <w:pPr>
        <w:pStyle w:val="Heading6"/>
      </w:pPr>
      <w:bookmarkStart w:id="1585" w:name="_Toc620"/>
      <w:r>
        <w:t>[ما یمکن أن یقال فی المسألة]</w:t>
      </w:r>
      <w:bookmarkEnd w:id="1585"/>
    </w:p>
    <w:p>
      <w:pPr>
        <w:pStyle w:val="BookText"/>
      </w:pPr>
      <w:r>
        <w:rPr>
          <w:rFonts w:ascii="IRNazanin" w:hAnsi="IRNazanin" w:eastAsia="IRNazanin" w:cs="IRNazanin"/>
          <w:lang w:bidi="fa-IR"/>
          <w:color w:val="111111"/>
          <w:sz w:val="28"/>
          <w:szCs w:val="28"/>
          <w:rtl/>
        </w:rPr>
        <w:t xml:space="preserve">ثمّ الذی یمکن أن یقال فی وجوب الفحص:أنّه إذا کان العلم بالموضوع المنوط به التکلیف یتوقّف کثیرا علی الفحص بحیث لو اهمل الفحص لزم الوقوع فی مخالفة التکلیف کثیرا،تعیّن هنا بحکم العقلاء اعتبار الفحص،ثمّ العمل بالبراءة،کبعض الأمثلة المتقدّمة </w:t>
      </w:r>
      <w:r>
        <w:rPr>
          <w:rStyle w:val="FootnoteReference"/>
        </w:rPr>
        <w:footnoteReference w:id="1362"/>
      </w:r>
      <w:r>
        <w:rPr>
          <w:rFonts w:ascii="IRNazanin" w:hAnsi="IRNazanin" w:eastAsia="IRNazanin" w:cs="IRNazanin"/>
          <w:lang w:bidi="fa-IR"/>
          <w:color w:val="111111"/>
          <w:sz w:val="28"/>
          <w:szCs w:val="28"/>
          <w:rtl/>
        </w:rPr>
        <w:t xml:space="preserve">فإنّ إضافة جمیع علماء البلد أو أطبّائهم لا یمکن للشخص الجاهل إلاّ بالفحص،</w:t>
      </w:r>
    </w:p>
    <w:p>
      <w:pPr>
        <w:pStyle w:val="BookText"/>
      </w:pPr>
      <w:r>
        <w:rPr>
          <w:rFonts w:ascii="IRNazanin" w:hAnsi="IRNazanin" w:eastAsia="IRNazanin" w:cs="IRNazanin"/>
          <w:lang w:bidi="fa-IR"/>
          <w:color w:val="111111"/>
          <w:sz w:val="28"/>
          <w:szCs w:val="28"/>
          <w:rtl/>
        </w:rPr>
        <w:t xml:space="preserve">[شماره صفحه واقعی : 445]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فإذا حصّل العلم ببعض،و اقتصر علی ذلک-نافیا لوجوب إضافة من عداه بأصالة البراءة من غیر تفحّص زائد علی ما حصّل به المعلومین- عدّ مستحقّا للعقاب و الملامة عند انکشاف ترک إضافة من تمکّن </w:t>
      </w:r>
      <w:r>
        <w:rPr>
          <w:rStyle w:val="FootnoteReference"/>
        </w:rPr>
        <w:footnoteReference w:id="1363"/>
      </w:r>
      <w:r>
        <w:rPr>
          <w:rFonts w:ascii="IRNazanin" w:hAnsi="IRNazanin" w:eastAsia="IRNazanin" w:cs="IRNazanin"/>
          <w:lang w:bidi="fa-IR"/>
          <w:color w:val="111111"/>
          <w:sz w:val="28"/>
          <w:szCs w:val="28"/>
          <w:rtl/>
        </w:rPr>
        <w:t xml:space="preserve">من تحصیل العلم به بفحص زائد.</w:t>
      </w:r>
    </w:p>
    <w:p>
      <w:pPr>
        <w:pStyle w:val="BookText"/>
      </w:pPr>
      <w:r>
        <w:rPr>
          <w:rFonts w:ascii="IRNazanin" w:hAnsi="IRNazanin" w:eastAsia="IRNazanin" w:cs="IRNazanin"/>
          <w:lang w:bidi="fa-IR"/>
          <w:color w:val="111111"/>
          <w:sz w:val="28"/>
          <w:szCs w:val="28"/>
          <w:rtl/>
        </w:rPr>
        <w:t xml:space="preserve">و من هنا یمکن أن یقال فی مثال الحجّ المتقدّم </w:t>
      </w:r>
      <w:r>
        <w:rPr>
          <w:rStyle w:val="FootnoteReference"/>
        </w:rPr>
        <w:footnoteReference w:id="1364"/>
      </w:r>
      <w:r>
        <w:rPr>
          <w:rFonts w:ascii="IRNazanin" w:hAnsi="IRNazanin" w:eastAsia="IRNazanin" w:cs="IRNazanin"/>
          <w:lang w:bidi="fa-IR"/>
          <w:color w:val="111111"/>
          <w:sz w:val="28"/>
          <w:szCs w:val="28"/>
          <w:rtl/>
        </w:rPr>
        <w:t xml:space="preserve">:إنّ العلم بالاستطاعة فی أوّل أزمنة حصولها یتوقّف غالبا علی المحاسبة،فلو بنی الأمر علی ترکها و نفی وجوب الحجّ بأصالة البراءة،لزم تأخیر الحجّ عن أوّل سنة الاستطاعة بالنسبة إلی کثیر من الأشخاص،لکنّ الشأن فی صدق هذه الدعوی.</w:t>
      </w:r>
    </w:p>
    <w:p>
      <w:pPr>
        <w:pStyle w:val="BookText"/>
      </w:pPr>
      <w:r>
        <w:rPr>
          <w:rFonts w:ascii="IRNazanin" w:hAnsi="IRNazanin" w:eastAsia="IRNazanin" w:cs="IRNazanin"/>
          <w:lang w:bidi="fa-IR"/>
          <w:color w:val="111111"/>
          <w:sz w:val="28"/>
          <w:szCs w:val="28"/>
          <w:rtl/>
        </w:rPr>
        <w:t xml:space="preserve">و أمّا ما استند إلیه المحقّق المتقدّم:من أنّ الواجبات المشروطة یتوقّف وجوبها علی وجود الشرط لا العلم بوجوده،ففیه:أنّه مسلّم، و لا یجدی؛لأنّ الشکّ فی وجود الشرط یوجب الشکّ فی وجوب </w:t>
      </w:r>
      <w:r>
        <w:rPr>
          <w:rStyle w:val="FootnoteReference"/>
        </w:rPr>
        <w:footnoteReference w:id="1365"/>
      </w:r>
      <w:r>
        <w:rPr>
          <w:rFonts w:ascii="IRNazanin" w:hAnsi="IRNazanin" w:eastAsia="IRNazanin" w:cs="IRNazanin"/>
          <w:lang w:bidi="fa-IR"/>
          <w:color w:val="111111"/>
          <w:sz w:val="28"/>
          <w:szCs w:val="28"/>
          <w:rtl/>
        </w:rPr>
        <w:t xml:space="preserve">المشروط و ثبوت التکلیف،و الأصل عدمه.</w:t>
      </w:r>
    </w:p>
    <w:p>
      <w:pPr>
        <w:pStyle w:val="BookText"/>
      </w:pPr>
      <w:r>
        <w:rPr>
          <w:rFonts w:ascii="IRNazanin" w:hAnsi="IRNazanin" w:eastAsia="IRNazanin" w:cs="IRNazanin"/>
          <w:lang w:bidi="fa-IR"/>
          <w:color w:val="111111"/>
          <w:sz w:val="28"/>
          <w:szCs w:val="28"/>
          <w:rtl/>
        </w:rPr>
        <w:t xml:space="preserve">غایة الأمر </w:t>
      </w:r>
      <w:r>
        <w:rPr>
          <w:rStyle w:val="FootnoteReference"/>
        </w:rPr>
        <w:footnoteReference w:id="1366"/>
      </w:r>
      <w:r>
        <w:rPr>
          <w:rFonts w:ascii="IRNazanin" w:hAnsi="IRNazanin" w:eastAsia="IRNazanin" w:cs="IRNazanin"/>
          <w:lang w:bidi="fa-IR"/>
          <w:color w:val="111111"/>
          <w:sz w:val="28"/>
          <w:szCs w:val="28"/>
          <w:rtl/>
        </w:rPr>
        <w:t xml:space="preserve">الفرق بین اشتراط التکلیف بوجود الشیء و اشتراطه بالعلم به؛إذ </w:t>
      </w:r>
      <w:r>
        <w:rPr>
          <w:rStyle w:val="FootnoteReference"/>
        </w:rPr>
        <w:footnoteReference w:id="1367"/>
      </w:r>
      <w:r>
        <w:rPr>
          <w:rFonts w:ascii="IRNazanin" w:hAnsi="IRNazanin" w:eastAsia="IRNazanin" w:cs="IRNazanin"/>
          <w:lang w:bidi="fa-IR"/>
          <w:color w:val="111111"/>
          <w:sz w:val="28"/>
          <w:szCs w:val="28"/>
          <w:rtl/>
        </w:rPr>
        <w:t xml:space="preserve">مع عدم العلم فی الصورة الثانیة یقطع بانتفاء التکلیف </w:t>
      </w:r>
      <w:r>
        <w:rPr>
          <w:rStyle w:val="FootnoteReference"/>
        </w:rPr>
        <w:footnoteReference w:id="1368"/>
      </w:r>
      <w:r>
        <w:rPr>
          <w:rFonts w:ascii="IRNazanin" w:hAnsi="IRNazanin" w:eastAsia="IRNazanin" w:cs="IRNazanin"/>
          <w:lang w:bidi="fa-IR"/>
          <w:color w:val="111111"/>
          <w:sz w:val="28"/>
          <w:szCs w:val="28"/>
          <w:rtl/>
        </w:rPr>
        <w:t xml:space="preserve">من دون حاجة إلی الأصل،و فی الصورة الاولی یشکّ فیه،فینفی بالأصل.</w:t>
      </w:r>
    </w:p>
    <w:p>
      <w:pPr>
        <w:pStyle w:val="BookText"/>
      </w:pPr>
      <w:r>
        <w:rPr>
          <w:rFonts w:ascii="IRNazanin" w:hAnsi="IRNazanin" w:eastAsia="IRNazanin" w:cs="IRNazanin"/>
          <w:lang w:bidi="fa-IR"/>
          <w:color w:val="111111"/>
          <w:sz w:val="28"/>
          <w:szCs w:val="28"/>
          <w:rtl/>
        </w:rPr>
        <w:t xml:space="preserve">[شماره صفحه واقعی : 446]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296" w:name="pg14411_142836"/>
    <w:bookmarkEnd w:id="296"/>
    <w:p>
      <w:pPr>
        <w:pStyle w:val="Heading6"/>
      </w:pPr>
      <w:bookmarkStart w:id="1586" w:name="_Toc621"/>
      <w:r>
        <w:t>[المقام الثانی:] [مقدار الفحص]</w:t>
      </w:r>
      <w:bookmarkEnd w:id="1586"/>
    </w:p>
    <w:p>
      <w:pPr>
        <w:pStyle w:val="Heading6"/>
      </w:pPr>
      <w:bookmarkStart w:id="1587" w:name="_Toc622"/>
      <w:r>
        <w:t>اشارة</w:t>
      </w:r>
      <w:bookmarkEnd w:id="1587"/>
    </w:p>
    <w:p>
      <w:pPr>
        <w:pStyle w:val="BookText"/>
      </w:pPr>
      <w:r>
        <w:rPr>
          <w:rFonts w:ascii="IRNazanin" w:hAnsi="IRNazanin" w:eastAsia="IRNazanin" w:cs="IRNazanin"/>
          <w:lang w:bidi="fa-IR"/>
          <w:color w:val="111111"/>
          <w:sz w:val="28"/>
          <w:szCs w:val="28"/>
          <w:rtl/>
        </w:rPr>
        <w:t xml:space="preserve">[المقام الثانی:] [مقدار الفحص] </w:t>
      </w:r>
      <w:r>
        <w:rPr>
          <w:rStyle w:val="FootnoteReference"/>
        </w:rPr>
        <w:footnoteReference w:id="1369"/>
      </w:r>
    </w:p>
    <w:p>
      <w:pPr>
        <w:pStyle w:val="BookText"/>
      </w:pPr>
      <w:r>
        <w:rPr>
          <w:rFonts w:ascii="IRNazanin" w:hAnsi="IRNazanin" w:eastAsia="IRNazanin" w:cs="IRNazanin"/>
          <w:lang w:bidi="fa-IR"/>
          <w:color w:val="111111"/>
          <w:sz w:val="28"/>
          <w:szCs w:val="28"/>
          <w:rtl/>
        </w:rPr>
        <w:t xml:space="preserve">و أمّا الکلام فی مقدار الفحص،فملخّصه:أنّ حدّ الفحص هو الیأس عن وجدان الدلیل فیما بأیدینا من الأدلّة،و یختلف ذلک باختلاف الأعصار؛ فإنّ فی زماننا هذا إذا ظنّ المجتهد بعدم وجود دلیل التکلیف فی الکتب الأربعة و غیرها من الکتب المعتبرة فی الحدیث-التی یسهل تناولها علی نوع أهل العصر-علی وجه صار مأیوسا،کفی ذلک منه فی إجراء البراءة.</w:t>
      </w:r>
    </w:p>
    <w:p>
      <w:pPr>
        <w:pStyle w:val="BookText"/>
      </w:pPr>
      <w:r>
        <w:rPr>
          <w:rFonts w:ascii="Amiri" w:hAnsi="Amiri" w:eastAsia="Amiri" w:cs="Amiri"/>
          <w:lang w:bidi="ar-SA"/>
          <w:color w:val="111111"/>
          <w:sz w:val="28"/>
          <w:szCs w:val="28"/>
          <w:rtl/>
        </w:rPr>
        <w:t xml:space="preserve">أمّا </w:t>
      </w:r>
      <w:r>
        <w:rPr>
          <w:rStyle w:val="FootnoteReference"/>
        </w:rPr>
        <w:footnoteReference w:id="1370"/>
      </w:r>
      <w:r>
        <w:rPr>
          <w:rFonts w:ascii="IRNazanin" w:hAnsi="IRNazanin" w:eastAsia="IRNazanin" w:cs="IRNazanin"/>
          <w:lang w:bidi="fa-IR"/>
          <w:color w:val="111111"/>
          <w:sz w:val="28"/>
          <w:szCs w:val="28"/>
          <w:rtl/>
        </w:rPr>
        <w:t xml:space="preserve">عدم وجوب الزائد؛فللزوم الحرج،و تعطیل استعلام سائر التکالیف؛لأنّ انتهاء الفحص فی واقعة إلی حدّ یحصل العلم بعدم وجود دلیل التکلیف یوجب الحرمان من الاطلاع علی دلیل التکلیف فی غیرها من الوقائع،فیجب فیها إمّا الاحتیاط،و هو یؤدّی إلی العسر، و إمّا لزوم التقلید لمن بذل جهده علی وجه علم بعدم دلیل التکلیف فیها،و جوازه ممنوع؛لأنّ هذا المجتهد المتفحّص ربما یخطّئ ذلک المجتهد فی کثیر من مقدّمات استنباطه للمسألة.</w:t>
      </w:r>
    </w:p>
    <w:p>
      <w:pPr>
        <w:pStyle w:val="BookText"/>
      </w:pPr>
      <w:r>
        <w:rPr>
          <w:rFonts w:ascii="IRNazanin" w:hAnsi="IRNazanin" w:eastAsia="IRNazanin" w:cs="IRNazanin"/>
          <w:lang w:bidi="fa-IR"/>
          <w:color w:val="111111"/>
          <w:sz w:val="28"/>
          <w:szCs w:val="28"/>
          <w:rtl/>
        </w:rPr>
        <w:t xml:space="preserve">نعم،لو کان جمیع مقدّماته ممّا یرتضیها هذا المجتهد،و کان</w:t>
      </w:r>
    </w:p>
    <w:p>
      <w:pPr>
        <w:pStyle w:val="BookText"/>
      </w:pPr>
      <w:r>
        <w:rPr>
          <w:rFonts w:ascii="IRNazanin" w:hAnsi="IRNazanin" w:eastAsia="IRNazanin" w:cs="IRNazanin"/>
          <w:lang w:bidi="fa-IR"/>
          <w:color w:val="111111"/>
          <w:sz w:val="28"/>
          <w:szCs w:val="28"/>
          <w:rtl/>
        </w:rPr>
        <w:t xml:space="preserve">[شماره صفحه واقعی : 447]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التفاوت بینهما أنّه اطّلع علی ما لم یطّلع هذا،أمکن أن یکون قوله حجّة فی حقّه.لکنّ اللازم-حینئذ-أن یتفحّص فی جمیع المسائل إلی حیث یحصل الظنّ بعدم وجود دلیل التکلیف،ثمّ الرجوع إلی هذا المجتهد،فإن کان مذهبه مطابقا للبراءة کان مؤیّدا لما ظنّه من عدم الدلیل،و إن کان مذهبه مخالفا للبراءة کان شاهد عدل </w:t>
      </w:r>
      <w:r>
        <w:rPr>
          <w:rStyle w:val="FootnoteReference"/>
        </w:rPr>
        <w:footnoteReference w:id="1371"/>
      </w:r>
      <w:r>
        <w:rPr>
          <w:rFonts w:ascii="IRNazanin" w:hAnsi="IRNazanin" w:eastAsia="IRNazanin" w:cs="IRNazanin"/>
          <w:lang w:bidi="fa-IR"/>
          <w:color w:val="111111"/>
          <w:sz w:val="28"/>
          <w:szCs w:val="28"/>
          <w:rtl/>
        </w:rPr>
        <w:t xml:space="preserve">علی وجود دلیل التکلیف.</w:t>
      </w:r>
    </w:p>
    <w:p>
      <w:pPr>
        <w:pStyle w:val="BookText"/>
      </w:pPr>
      <w:r>
        <w:rPr>
          <w:rFonts w:ascii="IRNazanin" w:hAnsi="IRNazanin" w:eastAsia="IRNazanin" w:cs="IRNazanin"/>
          <w:lang w:bidi="fa-IR"/>
          <w:color w:val="111111"/>
          <w:sz w:val="28"/>
          <w:szCs w:val="28"/>
          <w:rtl/>
        </w:rPr>
        <w:t xml:space="preserve">فإن لم یحتمل فی حقّه الاعتماد علی الاستنباطات الحدسیّة و </w:t>
      </w:r>
      <w:r>
        <w:rPr>
          <w:rStyle w:val="FootnoteReference"/>
        </w:rPr>
        <w:footnoteReference w:id="1372"/>
      </w:r>
      <w:r>
        <w:rPr>
          <w:rFonts w:ascii="IRNazanin" w:hAnsi="IRNazanin" w:eastAsia="IRNazanin" w:cs="IRNazanin"/>
          <w:lang w:bidi="fa-IR"/>
          <w:color w:val="111111"/>
          <w:sz w:val="28"/>
          <w:szCs w:val="28"/>
          <w:rtl/>
        </w:rPr>
        <w:t xml:space="preserve">العقلیّة من الأخبار،أخذ بقوله فی وجود دلیل،و جعل فتواه کروایته.</w:t>
      </w:r>
    </w:p>
    <w:p>
      <w:pPr>
        <w:pStyle w:val="BookText"/>
      </w:pPr>
      <w:r>
        <w:rPr>
          <w:rFonts w:ascii="IRNazanin" w:hAnsi="IRNazanin" w:eastAsia="IRNazanin" w:cs="IRNazanin"/>
          <w:lang w:bidi="fa-IR"/>
          <w:color w:val="111111"/>
          <w:sz w:val="28"/>
          <w:szCs w:val="28"/>
          <w:rtl/>
        </w:rPr>
        <w:t xml:space="preserve">و من هذا القبیل:ما حکاه غیر واحد </w:t>
      </w:r>
      <w:r>
        <w:rPr>
          <w:rStyle w:val="FootnoteReference"/>
        </w:rPr>
        <w:footnoteReference w:id="1373"/>
      </w:r>
      <w:r>
        <w:rPr>
          <w:rFonts w:ascii="IRNazanin" w:hAnsi="IRNazanin" w:eastAsia="IRNazanin" w:cs="IRNazanin"/>
          <w:lang w:bidi="fa-IR"/>
          <w:color w:val="111111"/>
          <w:sz w:val="28"/>
          <w:szCs w:val="28"/>
          <w:rtl/>
        </w:rPr>
        <w:t xml:space="preserve">،من أنّ القدماء کانوا یعملون برسالة الشیخ أبی الحسن علیّ بن بابویه عند إعواز النصوص.</w:t>
      </w:r>
    </w:p>
    <w:p>
      <w:pPr>
        <w:pStyle w:val="BookText"/>
      </w:pPr>
      <w:r>
        <w:rPr>
          <w:rFonts w:ascii="IRNazanin" w:hAnsi="IRNazanin" w:eastAsia="IRNazanin" w:cs="IRNazanin"/>
          <w:lang w:bidi="fa-IR"/>
          <w:color w:val="111111"/>
          <w:sz w:val="28"/>
          <w:szCs w:val="28"/>
          <w:rtl/>
        </w:rPr>
        <w:t xml:space="preserve">و التقیید بإعواز النصوص مبنیّ علی ترجیح النصّ المنقول بلفظه علی الفتوی التی یحتمل الخطأ فی النقل بالمعنی.</w:t>
      </w:r>
    </w:p>
    <w:p>
      <w:pPr>
        <w:pStyle w:val="BookText"/>
      </w:pPr>
      <w:r>
        <w:rPr>
          <w:rFonts w:ascii="IRNazanin" w:hAnsi="IRNazanin" w:eastAsia="IRNazanin" w:cs="IRNazanin"/>
          <w:lang w:bidi="fa-IR"/>
          <w:color w:val="111111"/>
          <w:sz w:val="28"/>
          <w:szCs w:val="28"/>
          <w:rtl/>
        </w:rPr>
        <w:t xml:space="preserve">و إن احتمل فی حقّه ابتناء فتواه علی الحدس و العقل،لم یکن دلیل علی اعتباره فی حقّه،و تعیّن العمل بالبراءة.</w:t>
      </w:r>
    </w:p>
    <w:p>
      <w:pPr>
        <w:pStyle w:val="BookText"/>
      </w:pPr>
      <w:r>
        <w:rPr>
          <w:rFonts w:ascii="IRNazanin" w:hAnsi="IRNazanin" w:eastAsia="IRNazanin" w:cs="IRNazanin"/>
          <w:lang w:bidi="fa-IR"/>
          <w:color w:val="111111"/>
          <w:sz w:val="28"/>
          <w:szCs w:val="28"/>
          <w:rtl/>
        </w:rPr>
        <w:t xml:space="preserve">[شماره صفحه واقعی : 448]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297" w:name="pg14411_142838"/>
    <w:bookmarkEnd w:id="297"/>
    <w:p>
      <w:pPr>
        <w:pStyle w:val="Heading6"/>
      </w:pPr>
      <w:bookmarkStart w:id="1588" w:name="_Toc623"/>
      <w:r>
        <w:t>تذنیب [:شرطان آخران ذکرهما الفاضل التونی لأصل البراءة]</w:t>
      </w:r>
      <w:bookmarkEnd w:id="1588"/>
    </w:p>
    <w:p>
      <w:pPr>
        <w:pStyle w:val="Heading6"/>
      </w:pPr>
      <w:bookmarkStart w:id="1589" w:name="_Toc624"/>
      <w:r>
        <w:t>اشارة</w:t>
      </w:r>
      <w:bookmarkEnd w:id="1589"/>
    </w:p>
    <w:p>
      <w:pPr>
        <w:pStyle w:val="BookText"/>
      </w:pPr>
      <w:r>
        <w:rPr>
          <w:rFonts w:ascii="IRNazanin" w:hAnsi="IRNazanin" w:eastAsia="IRNazanin" w:cs="IRNazanin"/>
          <w:lang w:bidi="fa-IR"/>
          <w:color w:val="111111"/>
          <w:sz w:val="28"/>
          <w:szCs w:val="28"/>
          <w:rtl/>
        </w:rPr>
        <w:t xml:space="preserve">ذکر الفاضل التونی </w:t>
      </w:r>
      <w:r>
        <w:rPr>
          <w:rStyle w:val="FootnoteReference"/>
        </w:rPr>
        <w:footnoteReference w:id="1374"/>
      </w:r>
      <w:r>
        <w:rPr>
          <w:rFonts w:ascii="Amiri" w:hAnsi="Amiri" w:eastAsia="Amiri" w:cs="Amiri"/>
          <w:lang w:bidi="ar-SA"/>
          <w:color w:val="111111"/>
          <w:sz w:val="28"/>
          <w:szCs w:val="28"/>
          <w:rtl/>
        </w:rPr>
        <w:t xml:space="preserve">لأصل البراءة شروطا أخر </w:t>
      </w:r>
      <w:r>
        <w:rPr>
          <w:rStyle w:val="FootnoteReference"/>
        </w:rPr>
        <w:footnoteReference w:id="1375"/>
      </w:r>
      <w:r>
        <w:rPr>
          <w:rFonts w:ascii="Times New Roman" w:hAnsi="Times New Roman" w:eastAsia="Times New Roman" w:cs="Times New Roman"/>
          <w:lang w:val="en-US" w:bidi="en-US"/>
          <w:color w:val="111111"/>
          <w:sz w:val="28"/>
          <w:szCs w:val="28"/>
          <w:rtl/>
        </w:rPr>
        <w:t xml:space="preserve">:</w:t>
      </w:r>
    </w:p>
    <w:p>
      <w:pPr>
        <w:pStyle w:val="Heading6"/>
      </w:pPr>
      <w:bookmarkStart w:id="1590" w:name="_Toc625"/>
      <w:r>
        <w:t>الشرط الأوّل: [أن لا یکون موجبا لثبوت حکم آخر]</w:t>
      </w:r>
      <w:bookmarkEnd w:id="1590"/>
    </w:p>
    <w:p>
      <w:pPr>
        <w:pStyle w:val="Heading6"/>
      </w:pPr>
      <w:bookmarkStart w:id="1591" w:name="_Toc626"/>
      <w:r>
        <w:t>اشارة</w:t>
      </w:r>
      <w:bookmarkEnd w:id="1591"/>
    </w:p>
    <w:p>
      <w:pPr>
        <w:pStyle w:val="BookText"/>
      </w:pPr>
      <w:r>
        <w:rPr>
          <w:rFonts w:ascii="IRNazanin" w:hAnsi="IRNazanin" w:eastAsia="IRNazanin" w:cs="IRNazanin"/>
          <w:lang w:bidi="fa-IR"/>
          <w:color w:val="111111"/>
          <w:sz w:val="28"/>
          <w:szCs w:val="28"/>
          <w:rtl/>
        </w:rPr>
        <w:t xml:space="preserve">أن لا یکون إعمال الأصل موجبا لثبوت حکم شرعیّ من جهة اخری،مثل أن یقال فی أحد الإناءین المشتبهین:الأصل عدم وجوب الاجتناب عنه،فإنّه یوجب الحکم بوجوب الاجتناب عن الآخر،أو عدم بلوغ الملاقی للنجاسة کرّا،أو عدم تقدّم الکرّیة-حیث یعلم بحدوثها-علی ملاقاة النجاسة؛فإنّ إعمال الاصول یوجب الاجتناب عن الإناء الآخر أو الملاقی أو الماء.</w:t>
      </w:r>
    </w:p>
    <w:p>
      <w:pPr>
        <w:pStyle w:val="Heading6"/>
      </w:pPr>
      <w:bookmarkStart w:id="1592" w:name="_Toc627"/>
      <w:r>
        <w:t>[توضیح المقام و مناقشة کلام الفاضل التونی]</w:t>
      </w:r>
      <w:bookmarkEnd w:id="1592"/>
    </w:p>
    <w:p>
      <w:pPr>
        <w:pStyle w:val="BookText"/>
      </w:pPr>
      <w:r>
        <w:rPr>
          <w:rFonts w:ascii="IRNazanin" w:hAnsi="IRNazanin" w:eastAsia="IRNazanin" w:cs="IRNazanin"/>
          <w:lang w:bidi="fa-IR"/>
          <w:color w:val="111111"/>
          <w:sz w:val="28"/>
          <w:szCs w:val="28"/>
          <w:rtl/>
        </w:rPr>
        <w:t xml:space="preserve">أقول:توضیح الکلام فی هذا المقام:أنّ إیجاب العمل بالأصل لثبوت حکم آخر:</w:t>
      </w:r>
    </w:p>
    <w:p>
      <w:pPr>
        <w:pStyle w:val="BookText"/>
      </w:pPr>
      <w:r>
        <w:rPr>
          <w:rFonts w:ascii="IRNazanin" w:hAnsi="IRNazanin" w:eastAsia="IRNazanin" w:cs="IRNazanin"/>
          <w:lang w:bidi="fa-IR"/>
          <w:color w:val="111111"/>
          <w:sz w:val="28"/>
          <w:szCs w:val="28"/>
          <w:rtl/>
        </w:rPr>
        <w:t xml:space="preserve">إمّا بإثبات الأصل المعمول به لموضوع انیط به حکم شرعیّ،کأن یثبت بالأصل براءة ذمّة الشخص الواجد لمقدار من المال واف بالحجّ من الدین،فیصیر بضمیمة أصالة البراءة مستطیعا،فیجب علیه الحجّ؛ فإنّ الدین مانع عن الاستطاعة،فیدفع بالأصل،و یحکم بوجوب الحجّ بذلک المال.و منه المثال الثانی؛فإنّ أصالة عدم بلوغ الماء الملاقی</w:t>
      </w:r>
    </w:p>
    <w:p>
      <w:pPr>
        <w:pStyle w:val="BookText"/>
      </w:pPr>
      <w:r>
        <w:rPr>
          <w:rFonts w:ascii="IRNazanin" w:hAnsi="IRNazanin" w:eastAsia="IRNazanin" w:cs="IRNazanin"/>
          <w:lang w:bidi="fa-IR"/>
          <w:color w:val="111111"/>
          <w:sz w:val="28"/>
          <w:szCs w:val="28"/>
          <w:rtl/>
        </w:rPr>
        <w:t xml:space="preserve">[شماره صفحه واقعی : 449]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298" w:name="pg14411_142839"/>
    <w:bookmarkEnd w:id="298"/>
    <w:p>
      <w:pPr>
        <w:pStyle w:val="BookText"/>
      </w:pPr>
      <w:r>
        <w:rPr>
          <w:rFonts w:ascii="IRNazanin" w:hAnsi="IRNazanin" w:eastAsia="IRNazanin" w:cs="IRNazanin"/>
          <w:lang w:bidi="fa-IR"/>
          <w:color w:val="111111"/>
          <w:sz w:val="28"/>
          <w:szCs w:val="28"/>
          <w:rtl/>
        </w:rPr>
        <w:t xml:space="preserve">للنجاسة کرّا یوجب الحکم بقلّته التی انیط بها الانفعال.</w:t>
      </w:r>
    </w:p>
    <w:p>
      <w:pPr>
        <w:pStyle w:val="BookText"/>
      </w:pPr>
      <w:r>
        <w:rPr>
          <w:rFonts w:ascii="IRNazanin" w:hAnsi="IRNazanin" w:eastAsia="IRNazanin" w:cs="IRNazanin"/>
          <w:lang w:bidi="fa-IR"/>
          <w:color w:val="111111"/>
          <w:sz w:val="28"/>
          <w:szCs w:val="28"/>
          <w:rtl/>
        </w:rPr>
        <w:t xml:space="preserve">و إمّا لاستلزام نفی الحکم به حکما یستلزم-عقلا أو شرعا أو عادة و لو فی هذه القضیّة الشخصیّة-ثبوت حکم تکلیفیّ فی ذلک المورد أو فی مورد آخر،کنفی وجوب الاجتناب عن أحد الإناءین.</w:t>
      </w:r>
    </w:p>
    <w:p>
      <w:pPr>
        <w:pStyle w:val="Heading6"/>
      </w:pPr>
      <w:bookmarkStart w:id="1593" w:name="_Toc628"/>
      <w:r>
        <w:t>[إذا ارید بإعمال الأصل إثبات موضوع لحکم شرعی]</w:t>
      </w:r>
      <w:bookmarkEnd w:id="1593"/>
    </w:p>
    <w:p>
      <w:pPr>
        <w:pStyle w:val="BookText"/>
      </w:pPr>
      <w:r>
        <w:rPr>
          <w:rFonts w:ascii="IRNazanin" w:hAnsi="IRNazanin" w:eastAsia="IRNazanin" w:cs="IRNazanin"/>
          <w:lang w:bidi="fa-IR"/>
          <w:color w:val="111111"/>
          <w:sz w:val="28"/>
          <w:szCs w:val="28"/>
          <w:rtl/>
        </w:rPr>
        <w:t xml:space="preserve">فإن کان إیجابه للحکم علی الوجه الأوّل کالمثال الثانی، فلا یکون ذلک مانعا عن جریان الأصل؛لجریان أدلّته-من العقل و النقل-من غیر مانع.و مجرّد إیجابه لموضوع حکم </w:t>
      </w:r>
      <w:r>
        <w:rPr>
          <w:rStyle w:val="FootnoteReference"/>
        </w:rPr>
        <w:footnoteReference w:id="1376"/>
      </w:r>
      <w:r>
        <w:rPr>
          <w:rFonts w:ascii="IRNazanin" w:hAnsi="IRNazanin" w:eastAsia="IRNazanin" w:cs="IRNazanin"/>
          <w:lang w:bidi="fa-IR"/>
          <w:color w:val="111111"/>
          <w:sz w:val="28"/>
          <w:szCs w:val="28"/>
          <w:rtl/>
        </w:rPr>
        <w:t xml:space="preserve">وجودیّ آخر لا یکون مانعا عن جریان أدلّته،کما لا یخفی علی من تتّبع الأحکام الشرعیّة و العرفیّة.</w:t>
      </w:r>
    </w:p>
    <w:p>
      <w:pPr>
        <w:pStyle w:val="BookText"/>
      </w:pPr>
      <w:r>
        <w:rPr>
          <w:rFonts w:ascii="IRNazanin" w:hAnsi="IRNazanin" w:eastAsia="IRNazanin" w:cs="IRNazanin"/>
          <w:lang w:bidi="fa-IR"/>
          <w:color w:val="111111"/>
          <w:sz w:val="28"/>
          <w:szCs w:val="28"/>
          <w:rtl/>
        </w:rPr>
        <w:t xml:space="preserve">و مرجعه فی الحقیقة إلی رفع المانع،فإذا انحصر الطهور فی ماء مشکوک الإباحة-بحیث لو کان محرّم الاستعمال لم یجب الصلاة لفقد الطهورین-،فلا مانع من إجراء أصالة الحلّ،و إثبات کونه واجدا للطهور،فیجب علیه الصلاة.</w:t>
      </w:r>
    </w:p>
    <w:p>
      <w:pPr>
        <w:pStyle w:val="BookText"/>
      </w:pPr>
      <w:r>
        <w:rPr>
          <w:rFonts w:ascii="IRNazanin" w:hAnsi="IRNazanin" w:eastAsia="IRNazanin" w:cs="IRNazanin"/>
          <w:lang w:bidi="fa-IR"/>
          <w:color w:val="111111"/>
          <w:sz w:val="28"/>
          <w:szCs w:val="28"/>
          <w:rtl/>
        </w:rPr>
        <w:t xml:space="preserve">و مثاله العرفیّ:ما إذا قال المولی لعبده:إذا لم یکن علیک شغل واجب من قبلی فاشتغل بکذا،فإنّ العقلاء یوجبون علیه الاشتغال بکذا إذا لم یعلم بوجوب شیء علی نفسه من قبل المولی.</w:t>
      </w:r>
    </w:p>
    <w:p>
      <w:pPr>
        <w:pStyle w:val="BookText"/>
      </w:pPr>
      <w:r>
        <w:rPr>
          <w:rFonts w:ascii="IRNazanin" w:hAnsi="IRNazanin" w:eastAsia="IRNazanin" w:cs="IRNazanin"/>
          <w:lang w:bidi="fa-IR"/>
          <w:color w:val="111111"/>
          <w:sz w:val="28"/>
          <w:szCs w:val="28"/>
          <w:rtl/>
        </w:rPr>
        <w:t xml:space="preserve">و إن کان علی الوجه الثانی،الراجع إلی وجود العلم الإجمالیّ بثبوت حکم مردّد بین حکمین:</w:t>
      </w:r>
    </w:p>
    <w:p>
      <w:pPr>
        <w:pStyle w:val="Heading6"/>
      </w:pPr>
      <w:bookmarkStart w:id="1594" w:name="_Toc629"/>
      <w:r>
        <w:t>[إذا ارید بإعمال الأصل نفی أحد الحکمین و إثبات الآخر]</w:t>
      </w:r>
      <w:bookmarkEnd w:id="1594"/>
    </w:p>
    <w:p>
      <w:pPr>
        <w:pStyle w:val="BookText"/>
      </w:pPr>
      <w:r>
        <w:rPr>
          <w:rFonts w:ascii="IRNazanin" w:hAnsi="IRNazanin" w:eastAsia="IRNazanin" w:cs="IRNazanin"/>
          <w:lang w:bidi="fa-IR"/>
          <w:color w:val="111111"/>
          <w:sz w:val="28"/>
          <w:szCs w:val="28"/>
          <w:rtl/>
        </w:rPr>
        <w:t xml:space="preserve">فإن ارید بإعمال الأصل فی نفی أحدهما إثبات الآخر،ففیه:أنّ مفاد أدلّة أصل البراءة مجرّد نفی التکلیف،دون إثباته و إن کان الإثبات</w:t>
      </w:r>
    </w:p>
    <w:p>
      <w:pPr>
        <w:pStyle w:val="BookText"/>
      </w:pPr>
      <w:r>
        <w:rPr>
          <w:rFonts w:ascii="IRNazanin" w:hAnsi="IRNazanin" w:eastAsia="IRNazanin" w:cs="IRNazanin"/>
          <w:lang w:bidi="fa-IR"/>
          <w:color w:val="111111"/>
          <w:sz w:val="28"/>
          <w:szCs w:val="28"/>
          <w:rtl/>
        </w:rPr>
        <w:t xml:space="preserve">[شماره صفحه واقعی : 450]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299" w:name="pg14411_142840"/>
    <w:bookmarkEnd w:id="299"/>
    <w:p>
      <w:pPr>
        <w:pStyle w:val="BookText"/>
      </w:pPr>
      <w:r>
        <w:rPr>
          <w:rFonts w:ascii="IRNazanin" w:hAnsi="IRNazanin" w:eastAsia="IRNazanin" w:cs="IRNazanin"/>
          <w:lang w:bidi="fa-IR"/>
          <w:color w:val="111111"/>
          <w:sz w:val="28"/>
          <w:szCs w:val="28"/>
          <w:rtl/>
        </w:rPr>
        <w:t xml:space="preserve">لازما واقعیّا لذلک النفی؛فإنّ الأحکام الظاهریّة إنّما تثبت بمقدار مدلول أدلّتها،و لا یتعدّی إلی أزید منه بمجرّد ثبوت الملازمة الواقعیّة بینه و بین ما ثبت.إلاّ أن یکون الحکم الظاهریّ الثابت بالأصل موضوعا لذلک الحکم الآخر،کما ذکرنا فی مثال براءة الذمّة عن الدین و الحجّ </w:t>
      </w:r>
      <w:r>
        <w:rPr>
          <w:rStyle w:val="FootnoteReference"/>
        </w:rPr>
        <w:footnoteReference w:id="13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سیجیء توضیح ذلک فی باب تعارض الاستصحابین </w:t>
      </w:r>
      <w:r>
        <w:rPr>
          <w:rStyle w:val="FootnoteReference"/>
        </w:rPr>
        <w:footnoteReference w:id="1378"/>
      </w:r>
      <w:r>
        <w:rPr>
          <w:rFonts w:ascii="Times New Roman" w:hAnsi="Times New Roman" w:eastAsia="Times New Roman" w:cs="Times New Roman"/>
          <w:lang w:val="en-US" w:bidi="en-US"/>
          <w:color w:val="111111"/>
          <w:sz w:val="28"/>
          <w:szCs w:val="28"/>
          <w:rtl/>
        </w:rPr>
        <w:t xml:space="preserve">.</w:t>
      </w:r>
    </w:p>
    <w:p>
      <w:pPr>
        <w:pStyle w:val="Heading6"/>
      </w:pPr>
      <w:bookmarkStart w:id="1595" w:name="_Toc630"/>
      <w:r>
        <w:t>[إذا ارید مجرّد نفی أحد الحکمین]</w:t>
      </w:r>
      <w:bookmarkEnd w:id="1595"/>
    </w:p>
    <w:p>
      <w:pPr>
        <w:pStyle w:val="BookText"/>
      </w:pPr>
      <w:r>
        <w:rPr>
          <w:rFonts w:ascii="IRNazanin" w:hAnsi="IRNazanin" w:eastAsia="IRNazanin" w:cs="IRNazanin"/>
          <w:lang w:bidi="fa-IR"/>
          <w:color w:val="111111"/>
          <w:sz w:val="28"/>
          <w:szCs w:val="28"/>
          <w:rtl/>
        </w:rPr>
        <w:t xml:space="preserve">و إن ارید بإعماله فی أحدهما مجرّد نفیه دون الإثبات،فهو جار، إلاّ أنّه معارض بجریانه فی الآخر،فاللازم إمّا إجراؤه فیهما،فیلزم طرح ذلک العلم الإجمالیّ؛لأجل العمل بالأصل،و إمّا إهماله فیهما،فهو المطلوب،و إمّا إعمال أحدهما بالخصوص،فترجیح بلا مرجّح.</w:t>
      </w:r>
    </w:p>
    <w:p>
      <w:pPr>
        <w:pStyle w:val="BookText"/>
      </w:pPr>
      <w:r>
        <w:rPr>
          <w:rFonts w:ascii="IRNazanin" w:hAnsi="IRNazanin" w:eastAsia="IRNazanin" w:cs="IRNazanin"/>
          <w:lang w:bidi="fa-IR"/>
          <w:color w:val="111111"/>
          <w:sz w:val="28"/>
          <w:szCs w:val="28"/>
          <w:rtl/>
        </w:rPr>
        <w:t xml:space="preserve">نعم،لو لم یکن العلم الإجمالیّ فی المقام ممّا یضرّ طرحه لزم العمل بهما،کما تقدّم </w:t>
      </w:r>
      <w:r>
        <w:rPr>
          <w:rStyle w:val="FootnoteReference"/>
        </w:rPr>
        <w:footnoteReference w:id="1379"/>
      </w:r>
      <w:r>
        <w:rPr>
          <w:rFonts w:ascii="IRNazanin" w:hAnsi="IRNazanin" w:eastAsia="IRNazanin" w:cs="IRNazanin"/>
          <w:lang w:bidi="fa-IR"/>
          <w:color w:val="111111"/>
          <w:sz w:val="28"/>
          <w:szCs w:val="28"/>
          <w:rtl/>
        </w:rPr>
        <w:t xml:space="preserve">أنّه أحد الوجهین فیما إذا دار الأمر بین الوجوب و التحریم.</w:t>
      </w:r>
    </w:p>
    <w:p>
      <w:pPr>
        <w:pStyle w:val="Heading6"/>
      </w:pPr>
      <w:bookmarkStart w:id="1596" w:name="_Toc631"/>
      <w:r>
        <w:t>[سقوط العمل بکلّ أصل لأجل المعارض]</w:t>
      </w:r>
      <w:bookmarkEnd w:id="1596"/>
    </w:p>
    <w:p>
      <w:pPr>
        <w:pStyle w:val="BookText"/>
      </w:pPr>
      <w:r>
        <w:rPr>
          <w:rFonts w:ascii="IRNazanin" w:hAnsi="IRNazanin" w:eastAsia="IRNazanin" w:cs="IRNazanin"/>
          <w:lang w:bidi="fa-IR"/>
          <w:color w:val="111111"/>
          <w:sz w:val="28"/>
          <w:szCs w:val="28"/>
          <w:rtl/>
        </w:rPr>
        <w:t xml:space="preserve">و کیف کان:فسقوط العمل بالأصل فی المقام لأجل المعارض، و لا اختصاص لهذا الشرط بأصل البراءة،بل یجری فی غیره من الاصول و الأدلّة.</w:t>
      </w:r>
    </w:p>
    <w:p>
      <w:pPr>
        <w:pStyle w:val="BookText"/>
      </w:pPr>
      <w:r>
        <w:rPr>
          <w:rFonts w:ascii="IRNazanin" w:hAnsi="IRNazanin" w:eastAsia="IRNazanin" w:cs="IRNazanin"/>
          <w:lang w:bidi="fa-IR"/>
          <w:color w:val="111111"/>
          <w:sz w:val="28"/>
          <w:szCs w:val="28"/>
          <w:rtl/>
        </w:rPr>
        <w:t xml:space="preserve">و لعلّ مقصود صاحب الوافیة ذلک،و قد عبّر هو قدّس سرّه عن هذا الشرط فی باب الاستصحاب بعدم المعارض </w:t>
      </w:r>
      <w:r>
        <w:rPr>
          <w:rStyle w:val="FootnoteReference"/>
        </w:rPr>
        <w:footnoteReference w:id="13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451]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300" w:name="pg14411_142841"/>
    <w:bookmarkEnd w:id="300"/>
    <w:p>
      <w:pPr>
        <w:pStyle w:val="Heading6"/>
      </w:pPr>
      <w:bookmarkStart w:id="1597" w:name="_Toc632"/>
      <w:r>
        <w:t>[عدم الفرق بین أصالة عدم بلوغ الملاقی للنجاسة کرّا و أصالة البراءة من الدّین]</w:t>
      </w:r>
      <w:bookmarkEnd w:id="1597"/>
    </w:p>
    <w:p>
      <w:pPr>
        <w:pStyle w:val="BookText"/>
      </w:pPr>
      <w:r>
        <w:rPr>
          <w:rFonts w:ascii="IRNazanin" w:hAnsi="IRNazanin" w:eastAsia="IRNazanin" w:cs="IRNazanin"/>
          <w:lang w:bidi="fa-IR"/>
          <w:color w:val="111111"/>
          <w:sz w:val="28"/>
          <w:szCs w:val="28"/>
          <w:rtl/>
        </w:rPr>
        <w:t xml:space="preserve">و أمّا أصالة عدم بلوغ الماء الملاقی للنجاسة کرّا،فقد عرفت </w:t>
      </w:r>
      <w:r>
        <w:rPr>
          <w:rStyle w:val="FootnoteReference"/>
        </w:rPr>
        <w:footnoteReference w:id="13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أنّه لا مانع من استلزام جریانها الحکم بنجاسة الملاقی؛فإنّه نظیر أصالة البراءة من الدّین المستلزم لوجوب الحجّ.</w:t>
      </w:r>
    </w:p>
    <w:p>
      <w:pPr>
        <w:pStyle w:val="BookText"/>
      </w:pPr>
      <w:r>
        <w:rPr>
          <w:rFonts w:ascii="IRNazanin" w:hAnsi="IRNazanin" w:eastAsia="IRNazanin" w:cs="IRNazanin"/>
          <w:lang w:bidi="fa-IR"/>
          <w:color w:val="111111"/>
          <w:sz w:val="28"/>
          <w:szCs w:val="28"/>
          <w:rtl/>
        </w:rPr>
        <w:t xml:space="preserve">و قد فرّق بینهما المحقّق القمّی رحمه اللّه،حیث اعترف:بأنّه لا مانع من إجراء البراءة فی الدین و إن استلزم وجوب الحجّ،و لم یحکم بنجاسة الماء مع جریان أصالة عدم الکرّیة؛جمعا بینها و بین أصالة طهارة الماء </w:t>
      </w:r>
      <w:r>
        <w:rPr>
          <w:rStyle w:val="FootnoteReference"/>
        </w:rPr>
        <w:footnoteReference w:id="13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لم یعرف وجه فرق بینهما أصلا.</w:t>
      </w:r>
    </w:p>
    <w:p>
      <w:pPr>
        <w:pStyle w:val="Heading6"/>
      </w:pPr>
      <w:bookmarkStart w:id="1598" w:name="_Toc633"/>
      <w:r>
        <w:t>[مورد الشکّ فی البلوغ کرّا]</w:t>
      </w:r>
      <w:bookmarkEnd w:id="1598"/>
    </w:p>
    <w:p>
      <w:pPr>
        <w:pStyle w:val="BookText"/>
      </w:pPr>
      <w:r>
        <w:rPr>
          <w:rFonts w:ascii="IRNazanin" w:hAnsi="IRNazanin" w:eastAsia="IRNazanin" w:cs="IRNazanin"/>
          <w:lang w:bidi="fa-IR"/>
          <w:color w:val="111111"/>
          <w:sz w:val="28"/>
          <w:szCs w:val="28"/>
          <w:rtl/>
        </w:rPr>
        <w:t xml:space="preserve">ثمّ إنّ مورد الشکّ فی البلوغ کرّا:الماء المسبوق بعدم الکرّیة، و أمّا المسبوق بالکرّیة فالشکّ فی نقصانه من الکرّیة،و الأصل هنا بقاؤها.</w:t>
      </w:r>
    </w:p>
    <w:p>
      <w:pPr>
        <w:pStyle w:val="BookText"/>
      </w:pPr>
      <w:r>
        <w:rPr>
          <w:rFonts w:ascii="IRNazanin" w:hAnsi="IRNazanin" w:eastAsia="IRNazanin" w:cs="IRNazanin"/>
          <w:lang w:bidi="fa-IR"/>
          <w:color w:val="111111"/>
          <w:sz w:val="28"/>
          <w:szCs w:val="28"/>
          <w:rtl/>
        </w:rPr>
        <w:t xml:space="preserve">و لو لم یکن مسبوقا بحال:</w:t>
      </w:r>
    </w:p>
    <w:p>
      <w:pPr>
        <w:pStyle w:val="BookText"/>
      </w:pPr>
      <w:r>
        <w:rPr>
          <w:rFonts w:ascii="IRNazanin" w:hAnsi="IRNazanin" w:eastAsia="IRNazanin" w:cs="IRNazanin"/>
          <w:lang w:bidi="fa-IR"/>
          <w:color w:val="111111"/>
          <w:sz w:val="28"/>
          <w:szCs w:val="28"/>
          <w:rtl/>
        </w:rPr>
        <w:t xml:space="preserve">ففی الرجوع إلی طهارة الماء؛للشکّ فی کون ملاقاته مؤثّرة فی الانفعال،فالشکّ فی رافعیّتها للطهارة.</w:t>
      </w:r>
    </w:p>
    <w:p>
      <w:pPr>
        <w:pStyle w:val="BookText"/>
      </w:pPr>
      <w:r>
        <w:rPr>
          <w:rFonts w:ascii="IRNazanin" w:hAnsi="IRNazanin" w:eastAsia="IRNazanin" w:cs="IRNazanin"/>
          <w:lang w:bidi="fa-IR"/>
          <w:color w:val="111111"/>
          <w:sz w:val="28"/>
          <w:szCs w:val="28"/>
          <w:rtl/>
        </w:rPr>
        <w:t xml:space="preserve">أو إلی نجاسته </w:t>
      </w:r>
      <w:r>
        <w:rPr>
          <w:rStyle w:val="FootnoteReference"/>
        </w:rPr>
        <w:footnoteReference w:id="1383"/>
      </w:r>
      <w:r>
        <w:rPr>
          <w:rFonts w:ascii="IRNazanin" w:hAnsi="IRNazanin" w:eastAsia="IRNazanin" w:cs="IRNazanin"/>
          <w:lang w:bidi="fa-IR"/>
          <w:color w:val="111111"/>
          <w:sz w:val="28"/>
          <w:szCs w:val="28"/>
          <w:rtl/>
        </w:rPr>
        <w:t xml:space="preserve">لأنّ الملاقاة مقتضیة للنجاسة،و الکرّیة مانعة عنها-بمقتضی قوله علیه السّلام:«إذا کان الماء قدر کرّ لم ینجّسه شیء» </w:t>
      </w:r>
      <w:r>
        <w:rPr>
          <w:rStyle w:val="FootnoteReference"/>
        </w:rPr>
        <w:footnoteReference w:id="1384"/>
      </w:r>
      <w:r>
        <w:rPr>
          <w:rFonts w:ascii="IRNazanin" w:hAnsi="IRNazanin" w:eastAsia="IRNazanin" w:cs="IRNazanin"/>
          <w:lang w:bidi="fa-IR"/>
          <w:color w:val="111111"/>
          <w:sz w:val="28"/>
          <w:szCs w:val="28"/>
          <w:rtl/>
        </w:rPr>
        <w:t xml:space="preserve">، و نحوه ممّا دلّ علی سببیّة الکرّیة لعدم الانفعال </w:t>
      </w:r>
      <w:r>
        <w:rPr>
          <w:rStyle w:val="FootnoteReference"/>
        </w:rPr>
        <w:footnoteReference w:id="1385"/>
      </w:r>
      <w:r>
        <w:rPr>
          <w:rFonts w:ascii="IRNazanin" w:hAnsi="IRNazanin" w:eastAsia="IRNazanin" w:cs="IRNazanin"/>
          <w:lang w:bidi="fa-IR"/>
          <w:color w:val="111111"/>
          <w:sz w:val="28"/>
          <w:szCs w:val="28"/>
          <w:rtl/>
        </w:rPr>
        <w:t xml:space="preserve">،المستلزمة لکونها</w:t>
      </w:r>
    </w:p>
    <w:p>
      <w:pPr>
        <w:pStyle w:val="BookText"/>
      </w:pPr>
      <w:r>
        <w:rPr>
          <w:rFonts w:ascii="IRNazanin" w:hAnsi="IRNazanin" w:eastAsia="IRNazanin" w:cs="IRNazanin"/>
          <w:lang w:bidi="fa-IR"/>
          <w:color w:val="111111"/>
          <w:sz w:val="28"/>
          <w:szCs w:val="28"/>
          <w:rtl/>
        </w:rPr>
        <w:t xml:space="preserve">[شماره صفحه واقعی : 452]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301" w:name="pg14411_142842"/>
    <w:bookmarkEnd w:id="301"/>
    <w:p>
      <w:pPr>
        <w:pStyle w:val="BookText"/>
      </w:pPr>
      <w:r>
        <w:rPr>
          <w:rFonts w:ascii="IRNazanin" w:hAnsi="IRNazanin" w:eastAsia="IRNazanin" w:cs="IRNazanin"/>
          <w:lang w:bidi="fa-IR"/>
          <w:color w:val="111111"/>
          <w:sz w:val="28"/>
          <w:szCs w:val="28"/>
          <w:rtl/>
        </w:rPr>
        <w:t xml:space="preserve">مانعة عنه-،و الشکّ فی المانع فی حکم العلم بعدمه، وجهان.</w:t>
      </w:r>
    </w:p>
    <w:p>
      <w:pPr>
        <w:pStyle w:val="Heading6"/>
      </w:pPr>
      <w:bookmarkStart w:id="1599" w:name="_Toc634"/>
      <w:r>
        <w:t>[أصالة عدم تقدّم الکرّیة علی الملاقاة]</w:t>
      </w:r>
      <w:bookmarkEnd w:id="1599"/>
    </w:p>
    <w:p>
      <w:pPr>
        <w:pStyle w:val="BookText"/>
      </w:pPr>
      <w:r>
        <w:rPr>
          <w:rFonts w:ascii="IRNazanin" w:hAnsi="IRNazanin" w:eastAsia="IRNazanin" w:cs="IRNazanin"/>
          <w:lang w:bidi="fa-IR"/>
          <w:color w:val="111111"/>
          <w:sz w:val="28"/>
          <w:szCs w:val="28"/>
          <w:rtl/>
        </w:rPr>
        <w:t xml:space="preserve">و أمّا أصالة عدم تقدّم الکرّیة علی الملاقاة،فهو فی نفسه لیس من الحوادث المسبوقة بالعدم حتّی یجری فیه الأصل.</w:t>
      </w:r>
    </w:p>
    <w:p>
      <w:pPr>
        <w:pStyle w:val="BookText"/>
      </w:pPr>
      <w:r>
        <w:rPr>
          <w:rFonts w:ascii="IRNazanin" w:hAnsi="IRNazanin" w:eastAsia="IRNazanin" w:cs="IRNazanin"/>
          <w:lang w:bidi="fa-IR"/>
          <w:color w:val="111111"/>
          <w:sz w:val="28"/>
          <w:szCs w:val="28"/>
          <w:rtl/>
        </w:rPr>
        <w:t xml:space="preserve">نعم،نفس الکرّیة حادثة،فإذا شکّ فی تحقّقها حین الملاقاة حکم بأصالة عدمها.و هذا معنی عدم تقدّم الکرّیة علی الملاقاة.</w:t>
      </w:r>
    </w:p>
    <w:p>
      <w:pPr>
        <w:pStyle w:val="BookText"/>
      </w:pPr>
      <w:r>
        <w:rPr>
          <w:rFonts w:ascii="IRNazanin" w:hAnsi="IRNazanin" w:eastAsia="IRNazanin" w:cs="IRNazanin"/>
          <w:lang w:bidi="fa-IR"/>
          <w:color w:val="111111"/>
          <w:sz w:val="28"/>
          <w:szCs w:val="28"/>
          <w:rtl/>
        </w:rPr>
        <w:t xml:space="preserve">لکن هنا أصالة عدم حدوث الملاقاة حین حدوث الکرّیة،و هو معنی عدم تقدّم الملاقاة علی الکرّیة،فیتعارضان،فلا </w:t>
      </w:r>
      <w:r>
        <w:rPr>
          <w:rStyle w:val="FootnoteReference"/>
        </w:rPr>
        <w:footnoteReference w:id="1386"/>
      </w:r>
      <w:r>
        <w:rPr>
          <w:rFonts w:ascii="IRNazanin" w:hAnsi="IRNazanin" w:eastAsia="IRNazanin" w:cs="IRNazanin"/>
          <w:lang w:bidi="fa-IR"/>
          <w:color w:val="111111"/>
          <w:sz w:val="28"/>
          <w:szCs w:val="28"/>
          <w:rtl/>
        </w:rPr>
        <w:t xml:space="preserve">وجه لما ذکره من الأصل.</w:t>
      </w:r>
    </w:p>
    <w:p>
      <w:pPr>
        <w:pStyle w:val="Heading6"/>
      </w:pPr>
      <w:bookmarkStart w:id="1600" w:name="_Toc635"/>
      <w:r>
        <w:t>[تفصیل صاحب الفصول فی مسألة الکرّیة و الملاقاة]</w:t>
      </w:r>
      <w:bookmarkEnd w:id="1600"/>
    </w:p>
    <w:p>
      <w:pPr>
        <w:pStyle w:val="BookText"/>
      </w:pPr>
      <w:r>
        <w:rPr>
          <w:rFonts w:ascii="IRNazanin" w:hAnsi="IRNazanin" w:eastAsia="IRNazanin" w:cs="IRNazanin"/>
          <w:lang w:bidi="fa-IR"/>
          <w:color w:val="111111"/>
          <w:sz w:val="28"/>
          <w:szCs w:val="28"/>
          <w:rtl/>
        </w:rPr>
        <w:t xml:space="preserve">و قد </w:t>
      </w:r>
      <w:r>
        <w:rPr>
          <w:rStyle w:val="FootnoteReference"/>
        </w:rPr>
        <w:footnoteReference w:id="1387"/>
      </w:r>
      <w:r>
        <w:rPr>
          <w:rFonts w:ascii="Amiri" w:hAnsi="Amiri" w:eastAsia="Amiri" w:cs="Amiri"/>
          <w:lang w:bidi="ar-SA"/>
          <w:color w:val="111111"/>
          <w:sz w:val="28"/>
          <w:szCs w:val="28"/>
          <w:rtl/>
        </w:rPr>
        <w:t xml:space="preserve">یفصّل </w:t>
      </w:r>
      <w:r>
        <w:rPr>
          <w:rStyle w:val="FootnoteReference"/>
        </w:rPr>
        <w:footnoteReference w:id="1388"/>
      </w:r>
      <w:r>
        <w:rPr>
          <w:rFonts w:ascii="IRNazanin" w:hAnsi="IRNazanin" w:eastAsia="IRNazanin" w:cs="IRNazanin"/>
          <w:lang w:bidi="fa-IR"/>
          <w:color w:val="111111"/>
          <w:sz w:val="28"/>
          <w:szCs w:val="28"/>
          <w:rtl/>
        </w:rPr>
        <w:t xml:space="preserve">فیها بین ما کان تأریخ واحد من الکرّیة و الملاقاة معلوما،فإنّه یحکم بأصالة تأخّر المجهول بمعنی عدم ثبوته فی زمان یشکّ فی ثبوته فیه،فیلحقه حکمه من الطهارة و النجاسة،و قد یجهل التأریخان بالکلّیة،و قضیّة الأصل فی ذلک التقارن،و مرجعه إلی نفی وقوع کلّ منهما فی زمان یحتمل عدم </w:t>
      </w:r>
      <w:r>
        <w:rPr>
          <w:rStyle w:val="FootnoteReference"/>
        </w:rPr>
        <w:footnoteReference w:id="1389"/>
      </w:r>
      <w:r>
        <w:rPr>
          <w:rFonts w:ascii="IRNazanin" w:hAnsi="IRNazanin" w:eastAsia="IRNazanin" w:cs="IRNazanin"/>
          <w:lang w:bidi="fa-IR"/>
          <w:color w:val="111111"/>
          <w:sz w:val="28"/>
          <w:szCs w:val="28"/>
          <w:rtl/>
        </w:rPr>
        <w:t xml:space="preserve">وقوعه فیه،و هو یقتضی ورود النجاسة علی ما هو کرّ حال الملاقاة،فلا ینجس </w:t>
      </w:r>
      <w:r>
        <w:rPr>
          <w:rStyle w:val="FootnoteReference"/>
        </w:rPr>
        <w:footnoteReference w:id="1390"/>
      </w:r>
      <w:r>
        <w:rPr>
          <w:rFonts w:ascii="IRNazanin" w:hAnsi="IRNazanin" w:eastAsia="IRNazanin" w:cs="IRNazanin"/>
          <w:lang w:bidi="fa-IR"/>
          <w:color w:val="111111"/>
          <w:sz w:val="28"/>
          <w:szCs w:val="28"/>
          <w:rtl/>
        </w:rPr>
        <w:t xml:space="preserve">به </w:t>
      </w:r>
      <w:r>
        <w:rPr>
          <w:rStyle w:val="FootnoteReference"/>
        </w:rPr>
        <w:footnoteReference w:id="1391"/>
      </w:r>
      <w:r>
        <w:rPr>
          <w:rFonts w:ascii="IRNazanin" w:hAnsi="IRNazanin" w:eastAsia="IRNazanin" w:cs="IRNazanin"/>
          <w:lang w:bidi="fa-IR"/>
          <w:color w:val="111111"/>
          <w:sz w:val="28"/>
          <w:szCs w:val="28"/>
          <w:rtl/>
        </w:rPr>
        <w:t xml:space="preserve">،انتهی.</w:t>
      </w:r>
    </w:p>
    <w:p>
      <w:pPr>
        <w:pStyle w:val="Heading6"/>
      </w:pPr>
      <w:bookmarkStart w:id="1601" w:name="_Toc636"/>
      <w:r>
        <w:t>[المناقشة فیما أفاده صاحب الفصول]</w:t>
      </w:r>
      <w:bookmarkEnd w:id="1601"/>
    </w:p>
    <w:p>
      <w:pPr>
        <w:pStyle w:val="BookText"/>
      </w:pPr>
      <w:r>
        <w:rPr>
          <w:rFonts w:ascii="IRNazanin" w:hAnsi="IRNazanin" w:eastAsia="IRNazanin" w:cs="IRNazanin"/>
          <w:lang w:bidi="fa-IR"/>
          <w:color w:val="111111"/>
          <w:sz w:val="28"/>
          <w:szCs w:val="28"/>
          <w:rtl/>
        </w:rPr>
        <w:t xml:space="preserve">و فیه:أنّ تقارن ورود النجاسة و الکرّیة موجب لانفعال الماء؛</w:t>
      </w:r>
    </w:p>
    <w:p>
      <w:pPr>
        <w:pStyle w:val="BookText"/>
      </w:pPr>
      <w:r>
        <w:rPr>
          <w:rFonts w:ascii="IRNazanin" w:hAnsi="IRNazanin" w:eastAsia="IRNazanin" w:cs="IRNazanin"/>
          <w:lang w:bidi="fa-IR"/>
          <w:color w:val="111111"/>
          <w:sz w:val="28"/>
          <w:szCs w:val="28"/>
          <w:rtl/>
        </w:rPr>
        <w:t xml:space="preserve">[شماره صفحه واقعی : 453]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لأنّ الکرّیة مانعة عن الانفعال بما یلاقیه بعد الکرّیة علی ما هو مقتضی قوله علیه السّلام:«إذا کان الماء قدر کرّ لم ینجّسه شیء»؛فإنّ الضمیر المنصوب راجع إلی الکرّ المفروض کرّیته </w:t>
      </w:r>
      <w:r>
        <w:rPr>
          <w:rStyle w:val="FootnoteReference"/>
        </w:rPr>
        <w:footnoteReference w:id="1392"/>
      </w:r>
      <w:r>
        <w:rPr>
          <w:rFonts w:ascii="IRNazanin" w:hAnsi="IRNazanin" w:eastAsia="IRNazanin" w:cs="IRNazanin"/>
          <w:lang w:bidi="fa-IR"/>
          <w:color w:val="111111"/>
          <w:sz w:val="28"/>
          <w:szCs w:val="28"/>
          <w:rtl/>
        </w:rPr>
        <w:t xml:space="preserve">،فإذا حصلت الکرّیة حال الملاقاة کان المعروض للملاقاة غیر کرّ،فهو نظیر ما إذا حصلت الکرّیة بنفس الملاقاة فیما إذا تمّم الماء النجس کرّا بطاهر </w:t>
      </w:r>
      <w:r>
        <w:rPr>
          <w:rStyle w:val="FootnoteReference"/>
        </w:rPr>
        <w:footnoteReference w:id="1393"/>
      </w:r>
      <w:r>
        <w:rPr>
          <w:rFonts w:ascii="IRNazanin" w:hAnsi="IRNazanin" w:eastAsia="IRNazanin" w:cs="IRNazanin"/>
          <w:lang w:bidi="fa-IR"/>
          <w:color w:val="111111"/>
          <w:sz w:val="28"/>
          <w:szCs w:val="28"/>
          <w:rtl/>
        </w:rPr>
        <w:t xml:space="preserve">،و الحکم فیه النجاسة.</w:t>
      </w:r>
    </w:p>
    <w:p>
      <w:pPr>
        <w:pStyle w:val="BookText"/>
      </w:pPr>
      <w:r>
        <w:rPr>
          <w:rFonts w:ascii="IRNazanin" w:hAnsi="IRNazanin" w:eastAsia="IRNazanin" w:cs="IRNazanin"/>
          <w:lang w:bidi="fa-IR"/>
          <w:color w:val="111111"/>
          <w:sz w:val="28"/>
          <w:szCs w:val="28"/>
          <w:rtl/>
        </w:rPr>
        <w:t xml:space="preserve">إلاّ أنّ ظاهر المشهور فیما نحن فیه الحکم بالطهارة،بل ادّعی المرتضی قدّس سرّه علیه الإجماع،حیث استدلّ بالإجماع علی طهارة کرّ رئی فیه نجاسة لم یعلم تقدّم وقوعها علی الکرّیة،علی کفایة تتمیم النجس کرّا فی زوال نجاسته </w:t>
      </w:r>
      <w:r>
        <w:rPr>
          <w:rStyle w:val="FootnoteReference"/>
        </w:rPr>
        <w:footnoteReference w:id="13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ردّه الفاضلان </w:t>
      </w:r>
      <w:r>
        <w:rPr>
          <w:rStyle w:val="FootnoteReference"/>
        </w:rPr>
        <w:footnoteReference w:id="1395"/>
      </w:r>
      <w:r>
        <w:rPr>
          <w:rFonts w:ascii="IRNazanin" w:hAnsi="IRNazanin" w:eastAsia="IRNazanin" w:cs="IRNazanin"/>
          <w:lang w:bidi="fa-IR"/>
          <w:color w:val="111111"/>
          <w:sz w:val="28"/>
          <w:szCs w:val="28"/>
          <w:rtl/>
        </w:rPr>
        <w:t xml:space="preserve">و غیرهما </w:t>
      </w:r>
      <w:r>
        <w:rPr>
          <w:rStyle w:val="FootnoteReference"/>
        </w:rPr>
        <w:footnoteReference w:id="1396"/>
      </w:r>
      <w:r>
        <w:rPr>
          <w:rFonts w:ascii="IRNazanin" w:hAnsi="IRNazanin" w:eastAsia="IRNazanin" w:cs="IRNazanin"/>
          <w:lang w:bidi="fa-IR"/>
          <w:color w:val="111111"/>
          <w:sz w:val="28"/>
          <w:szCs w:val="28"/>
          <w:rtl/>
        </w:rPr>
        <w:t xml:space="preserve">:بأنّ الحکم بالطهارة هنا لأجل الشکّ فی ثبوت </w:t>
      </w:r>
      <w:r>
        <w:rPr>
          <w:rStyle w:val="FootnoteReference"/>
        </w:rPr>
        <w:footnoteReference w:id="1397"/>
      </w:r>
      <w:r>
        <w:rPr>
          <w:rFonts w:ascii="IRNazanin" w:hAnsi="IRNazanin" w:eastAsia="IRNazanin" w:cs="IRNazanin"/>
          <w:lang w:bidi="fa-IR"/>
          <w:color w:val="111111"/>
          <w:sz w:val="28"/>
          <w:szCs w:val="28"/>
          <w:rtl/>
        </w:rPr>
        <w:t xml:space="preserve">التنجیس </w:t>
      </w:r>
      <w:r>
        <w:rPr>
          <w:rStyle w:val="FootnoteReference"/>
        </w:rPr>
        <w:footnoteReference w:id="1398"/>
      </w:r>
      <w:r>
        <w:rPr>
          <w:rFonts w:ascii="IRNazanin" w:hAnsi="IRNazanin" w:eastAsia="IRNazanin" w:cs="IRNazanin"/>
          <w:lang w:bidi="fa-IR"/>
          <w:color w:val="111111"/>
          <w:sz w:val="28"/>
          <w:szCs w:val="28"/>
          <w:rtl/>
        </w:rPr>
        <w:t xml:space="preserve">لأنّ الشکّ مرجعه إلی الشکّ فی کون الملاقاة مؤثّرة-لوقوعها قبل الکرّیة-أو غیر مؤثّرة.</w:t>
      </w:r>
    </w:p>
    <w:p>
      <w:pPr>
        <w:pStyle w:val="BookText"/>
      </w:pPr>
      <w:r>
        <w:rPr>
          <w:rFonts w:ascii="IRNazanin" w:hAnsi="IRNazanin" w:eastAsia="IRNazanin" w:cs="IRNazanin"/>
          <w:lang w:bidi="fa-IR"/>
          <w:color w:val="111111"/>
          <w:sz w:val="28"/>
          <w:szCs w:val="28"/>
          <w:rtl/>
        </w:rPr>
        <w:t xml:space="preserve">[شماره صفحه واقعی : 454]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302" w:name="pg14411_142844"/>
    <w:bookmarkEnd w:id="302"/>
    <w:p>
      <w:pPr>
        <w:pStyle w:val="BookText"/>
      </w:pPr>
      <w:r>
        <w:rPr>
          <w:rFonts w:ascii="IRNazanin" w:hAnsi="IRNazanin" w:eastAsia="IRNazanin" w:cs="IRNazanin"/>
          <w:lang w:bidi="fa-IR"/>
          <w:color w:val="111111"/>
          <w:sz w:val="28"/>
          <w:szCs w:val="28"/>
          <w:rtl/>
        </w:rPr>
        <w:t xml:space="preserve">لکنّه یشکل؛بناء علی أنّ الملاقاة سبب للانفعال،و الکرّیة مانعة، فإذا علم بوقوع السبب فی زمان </w:t>
      </w:r>
      <w:r>
        <w:rPr>
          <w:rStyle w:val="FootnoteReference"/>
        </w:rPr>
        <w:footnoteReference w:id="1399"/>
      </w:r>
      <w:r>
        <w:rPr>
          <w:rFonts w:ascii="IRNazanin" w:hAnsi="IRNazanin" w:eastAsia="IRNazanin" w:cs="IRNazanin"/>
          <w:lang w:bidi="fa-IR"/>
          <w:color w:val="111111"/>
          <w:sz w:val="28"/>
          <w:szCs w:val="28"/>
          <w:rtl/>
        </w:rPr>
        <w:t xml:space="preserve">لم یعلم فیه وجود المانع،وجب الحکم بالمسبّب.</w:t>
      </w:r>
    </w:p>
    <w:p>
      <w:pPr>
        <w:pStyle w:val="BookText"/>
      </w:pPr>
      <w:r>
        <w:rPr>
          <w:rFonts w:ascii="IRNazanin" w:hAnsi="IRNazanin" w:eastAsia="IRNazanin" w:cs="IRNazanin"/>
          <w:lang w:bidi="fa-IR"/>
          <w:color w:val="111111"/>
          <w:sz w:val="28"/>
          <w:szCs w:val="28"/>
          <w:rtl/>
        </w:rPr>
        <w:t xml:space="preserve">إلاّ أنّ الاکتفاء بوجود السبب من دون إحراز عدم المانع و لو بالأصل محلّ تأمّل،فتأمّل.</w:t>
      </w:r>
    </w:p>
    <w:p>
      <w:pPr>
        <w:pStyle w:val="Heading6"/>
      </w:pPr>
      <w:bookmarkStart w:id="1602" w:name="_Toc637"/>
      <w:r>
        <w:t>الشرط الثانی [الذی ذکره الفاضل التونی لأصل البراءة:</w:t>
      </w:r>
      <w:bookmarkEnd w:id="1602"/>
    </w:p>
    <w:p>
      <w:pPr>
        <w:pStyle w:val="BookText"/>
      </w:pPr>
      <w:r>
        <w:rPr>
          <w:rFonts w:ascii="IRNazanin" w:hAnsi="IRNazanin" w:eastAsia="IRNazanin" w:cs="IRNazanin"/>
          <w:lang w:bidi="fa-IR"/>
          <w:color w:val="111111"/>
          <w:sz w:val="28"/>
          <w:szCs w:val="28"/>
          <w:rtl/>
        </w:rPr>
        <w:t xml:space="preserve">عدم تضرّر آخر،و المناقشة فیه]</w:t>
      </w:r>
    </w:p>
    <w:p>
      <w:pPr>
        <w:pStyle w:val="BookText"/>
      </w:pPr>
      <w:r>
        <w:rPr>
          <w:rFonts w:ascii="IRNazanin" w:hAnsi="IRNazanin" w:eastAsia="IRNazanin" w:cs="IRNazanin"/>
          <w:lang w:bidi="fa-IR"/>
          <w:color w:val="111111"/>
          <w:sz w:val="28"/>
          <w:szCs w:val="28"/>
          <w:rtl/>
        </w:rPr>
        <w:t xml:space="preserve">أن لا یتضرّر بإعمالها مسلم،کما لو فتح إنسان قفص طائر فطار، أو حبس شاة فمات ولدها،أو أمسک رجلا فهربت دابّته.</w:t>
      </w:r>
    </w:p>
    <w:p>
      <w:pPr>
        <w:pStyle w:val="BookText"/>
      </w:pPr>
      <w:r>
        <w:rPr>
          <w:rFonts w:ascii="IRNazanin" w:hAnsi="IRNazanin" w:eastAsia="IRNazanin" w:cs="IRNazanin"/>
          <w:lang w:bidi="fa-IR"/>
          <w:color w:val="111111"/>
          <w:sz w:val="28"/>
          <w:szCs w:val="28"/>
          <w:rtl/>
        </w:rPr>
        <w:t xml:space="preserve">فإنّ إعمال البراءة فیها یوجب تضرّر المالک،فیحتمل اندراجه فی قاعدة«الإتلاف»،و عموم قوله صلّی اللّه علیه و آله:«لا ضرر و لا ضرار» </w:t>
      </w:r>
      <w:r>
        <w:rPr>
          <w:rStyle w:val="FootnoteReference"/>
        </w:rPr>
        <w:footnoteReference w:id="1400"/>
      </w:r>
      <w:r>
        <w:rPr>
          <w:rFonts w:ascii="IRNazanin" w:hAnsi="IRNazanin" w:eastAsia="IRNazanin" w:cs="IRNazanin"/>
          <w:lang w:bidi="fa-IR"/>
          <w:color w:val="111111"/>
          <w:sz w:val="28"/>
          <w:szCs w:val="28"/>
          <w:rtl/>
        </w:rPr>
        <w:t xml:space="preserve">فإنّ المراد نفی الضرر من غیر جبران بحسب الشرع،و إلاّ فالضرر غیر منفیّ،فلا علم حینئذ-و لا ظنّ-بأنّ الواقعة غیر منصوصة،فلا یتحقّق شرط التمسّک بالأصل من فقدان النصّ،بل یحصل القطع بتعلّق حکم شرعیّ بالضارّ،و لکن لا یعلم أنّه مجرّد التعزیر أو الضمان أو هما معا، فینبغی له تحصیل العلم بالبراءة و لو بالصلح </w:t>
      </w:r>
      <w:r>
        <w:rPr>
          <w:rStyle w:val="FootnoteReference"/>
        </w:rPr>
        <w:footnoteReference w:id="14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یرد علیه:أنّه إن کانت قاعدة«نفی الضرر»معتبرة فی مورد الأصل،کانت دلیلا کسائر الأدلّة الاجتهادیّة الحاکمة علی البراءة،و إلاّ</w:t>
      </w:r>
    </w:p>
    <w:p>
      <w:pPr>
        <w:pStyle w:val="BookText"/>
      </w:pPr>
      <w:r>
        <w:rPr>
          <w:rFonts w:ascii="IRNazanin" w:hAnsi="IRNazanin" w:eastAsia="IRNazanin" w:cs="IRNazanin"/>
          <w:lang w:bidi="fa-IR"/>
          <w:color w:val="111111"/>
          <w:sz w:val="28"/>
          <w:szCs w:val="28"/>
          <w:rtl/>
        </w:rPr>
        <w:t xml:space="preserve">[شماره صفحه واقعی : 455]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فلا معنی للتوقّف فی الواقعة و ترک العمل بالبراءة.</w:t>
      </w:r>
    </w:p>
    <w:p>
      <w:pPr>
        <w:pStyle w:val="BookText"/>
      </w:pPr>
      <w:r>
        <w:rPr>
          <w:rFonts w:ascii="IRNazanin" w:hAnsi="IRNazanin" w:eastAsia="IRNazanin" w:cs="IRNazanin"/>
          <w:lang w:bidi="fa-IR"/>
          <w:color w:val="111111"/>
          <w:sz w:val="28"/>
          <w:szCs w:val="28"/>
          <w:rtl/>
        </w:rPr>
        <w:t xml:space="preserve">و مجرّد احتمال اندراج الواقعة فی قاعدة«الإتلاف»أو«الضرر» لا یوجب رفع الید عن الأصل.</w:t>
      </w:r>
    </w:p>
    <w:p>
      <w:pPr>
        <w:pStyle w:val="BookText"/>
      </w:pPr>
      <w:r>
        <w:rPr>
          <w:rFonts w:ascii="IRNazanin" w:hAnsi="IRNazanin" w:eastAsia="IRNazanin" w:cs="IRNazanin"/>
          <w:lang w:bidi="fa-IR"/>
          <w:color w:val="111111"/>
          <w:sz w:val="28"/>
          <w:szCs w:val="28"/>
          <w:rtl/>
        </w:rPr>
        <w:t xml:space="preserve">و المعلوم تعلّقه بالضارّ فیما نحن فیه هو الإثم و التعزیر إن کان متعمّدا،و إلاّ فلا یعلم وجوب شیء علیه،فلا وجه لوجوب تحصیل العلم بالبراءة و لو بالصلح.</w:t>
      </w:r>
    </w:p>
    <w:p>
      <w:pPr>
        <w:pStyle w:val="BookText"/>
      </w:pPr>
      <w:r>
        <w:rPr>
          <w:rFonts w:ascii="IRNazanin" w:hAnsi="IRNazanin" w:eastAsia="IRNazanin" w:cs="IRNazanin"/>
          <w:lang w:bidi="fa-IR"/>
          <w:color w:val="111111"/>
          <w:sz w:val="28"/>
          <w:szCs w:val="28"/>
          <w:rtl/>
        </w:rPr>
        <w:t xml:space="preserve">و بالجملة:فلا یعلم وجه صحیح لما ذکره فی خصوص أدلّة الضرر.</w:t>
      </w:r>
    </w:p>
    <w:p>
      <w:pPr>
        <w:pStyle w:val="BookText"/>
      </w:pPr>
      <w:r>
        <w:rPr>
          <w:rFonts w:ascii="IRNazanin" w:hAnsi="IRNazanin" w:eastAsia="IRNazanin" w:cs="IRNazanin"/>
          <w:lang w:bidi="fa-IR"/>
          <w:color w:val="111111"/>
          <w:sz w:val="28"/>
          <w:szCs w:val="28"/>
          <w:rtl/>
        </w:rPr>
        <w:t xml:space="preserve">کما لا وجه لما ذکره:من تخصیص مجری الأصل بما إذا لم یکن جزء عبادة </w:t>
      </w:r>
      <w:r>
        <w:rPr>
          <w:rStyle w:val="FootnoteReference"/>
        </w:rPr>
        <w:footnoteReference w:id="1402"/>
      </w:r>
      <w:r>
        <w:rPr>
          <w:rFonts w:ascii="IRNazanin" w:hAnsi="IRNazanin" w:eastAsia="IRNazanin" w:cs="IRNazanin"/>
          <w:lang w:bidi="fa-IR"/>
          <w:color w:val="111111"/>
          <w:sz w:val="28"/>
          <w:szCs w:val="28"/>
          <w:rtl/>
        </w:rPr>
        <w:t xml:space="preserve">،بناء علی أنّ المثبت لأجزاء العبادة هو النصّ.</w:t>
      </w:r>
    </w:p>
    <w:p>
      <w:pPr>
        <w:pStyle w:val="BookText"/>
      </w:pPr>
      <w:r>
        <w:rPr>
          <w:rFonts w:ascii="IRNazanin" w:hAnsi="IRNazanin" w:eastAsia="IRNazanin" w:cs="IRNazanin"/>
          <w:lang w:bidi="fa-IR"/>
          <w:color w:val="111111"/>
          <w:sz w:val="28"/>
          <w:szCs w:val="28"/>
          <w:rtl/>
        </w:rPr>
        <w:t xml:space="preserve">فإنّ النصّ قد یصیر مجملا،و قد لا یکون نصّ فی المسألة،فإن قلنا بجریان الأصل و عدم العبرة بالعلم بثبوت التکلیف بالأمر </w:t>
      </w:r>
      <w:r>
        <w:rPr>
          <w:rStyle w:val="FootnoteReference"/>
        </w:rPr>
        <w:footnoteReference w:id="1403"/>
      </w:r>
      <w:r>
        <w:rPr>
          <w:rFonts w:ascii="IRNazanin" w:hAnsi="IRNazanin" w:eastAsia="IRNazanin" w:cs="IRNazanin"/>
          <w:lang w:bidi="fa-IR"/>
          <w:color w:val="111111"/>
          <w:sz w:val="28"/>
          <w:szCs w:val="28"/>
          <w:rtl/>
        </w:rPr>
        <w:t xml:space="preserve">المردّد بین الأقلّ و الأکثر فلا مانع منه،و إلاّ فلا مقتضی له،و قد قدّمنا ما عندنا فی المسألة.</w:t>
      </w:r>
    </w:p>
    <w:p>
      <w:pPr>
        <w:pStyle w:val="BookText"/>
      </w:pPr>
      <w:r>
        <w:rPr>
          <w:rFonts w:ascii="IRNazanin" w:hAnsi="IRNazanin" w:eastAsia="IRNazanin" w:cs="IRNazanin"/>
          <w:lang w:bidi="fa-IR"/>
          <w:color w:val="111111"/>
          <w:sz w:val="28"/>
          <w:szCs w:val="28"/>
          <w:rtl/>
        </w:rPr>
        <w:t xml:space="preserve">[شماره صفحه واقعی : 456]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303" w:name="pg14411_142846"/>
    <w:bookmarkEnd w:id="303"/>
    <w:p>
      <w:pPr>
        <w:pStyle w:val="Heading6"/>
      </w:pPr>
      <w:bookmarkStart w:id="1603" w:name="_Toc638"/>
      <w:r>
        <w:t>[قاعدة لا ضرر و لا ضرار]</w:t>
      </w:r>
      <w:bookmarkEnd w:id="1603"/>
    </w:p>
    <w:p>
      <w:pPr>
        <w:pStyle w:val="Heading6"/>
      </w:pPr>
      <w:bookmarkStart w:id="1604" w:name="_Toc639"/>
      <w:r>
        <w:t>اشارة</w:t>
      </w:r>
      <w:bookmarkEnd w:id="1604"/>
    </w:p>
    <w:p>
      <w:pPr>
        <w:pStyle w:val="BookText"/>
      </w:pPr>
      <w:r>
        <w:rPr>
          <w:rFonts w:ascii="Amiri" w:hAnsi="Amiri" w:eastAsia="Amiri" w:cs="Amiri"/>
          <w:lang w:bidi="ar-SA"/>
          <w:color w:val="111111"/>
          <w:sz w:val="28"/>
          <w:szCs w:val="28"/>
          <w:rtl/>
        </w:rPr>
        <w:t xml:space="preserve">[قاعدة لا ضرر و لا ضرار] </w:t>
      </w:r>
      <w:r>
        <w:rPr>
          <w:rStyle w:val="FootnoteReference"/>
        </w:rPr>
        <w:footnoteReference w:id="1404"/>
      </w:r>
    </w:p>
    <w:p>
      <w:pPr>
        <w:pStyle w:val="BookText"/>
      </w:pPr>
      <w:r>
        <w:rPr>
          <w:rFonts w:ascii="IRNazanin" w:hAnsi="IRNazanin" w:eastAsia="IRNazanin" w:cs="IRNazanin"/>
          <w:lang w:bidi="fa-IR"/>
          <w:color w:val="111111"/>
          <w:sz w:val="28"/>
          <w:szCs w:val="28"/>
          <w:rtl/>
        </w:rPr>
        <w:t xml:space="preserve">و حیث جری ذکر حدیث«نفی الضرر و الضرار»ناسب بسط الکلام فی ذلک فی الجملة،فنقول:</w:t>
      </w:r>
    </w:p>
    <w:p>
      <w:pPr>
        <w:pStyle w:val="Heading6"/>
      </w:pPr>
      <w:bookmarkStart w:id="1605" w:name="_Toc640"/>
      <w:r>
        <w:t>[دعوی فخر الدین تواتر الأخبار بنفی الضرر و الضرار]</w:t>
      </w:r>
      <w:bookmarkEnd w:id="1605"/>
    </w:p>
    <w:p>
      <w:pPr>
        <w:pStyle w:val="BookText"/>
      </w:pPr>
      <w:r>
        <w:rPr>
          <w:rFonts w:ascii="IRNazanin" w:hAnsi="IRNazanin" w:eastAsia="IRNazanin" w:cs="IRNazanin"/>
          <w:lang w:bidi="fa-IR"/>
          <w:color w:val="111111"/>
          <w:sz w:val="28"/>
          <w:szCs w:val="28"/>
          <w:rtl/>
        </w:rPr>
        <w:t xml:space="preserve">قد ادّعی فخر الدین فی الإیضاح-فی باب الرهن </w:t>
      </w:r>
      <w:r>
        <w:rPr>
          <w:rStyle w:val="FootnoteReference"/>
        </w:rPr>
        <w:footnoteReference w:id="1405"/>
      </w:r>
      <w:r>
        <w:rPr>
          <w:rFonts w:ascii="IRNazanin" w:hAnsi="IRNazanin" w:eastAsia="IRNazanin" w:cs="IRNazanin"/>
          <w:lang w:bidi="fa-IR"/>
          <w:color w:val="111111"/>
          <w:sz w:val="28"/>
          <w:szCs w:val="28"/>
          <w:rtl/>
        </w:rPr>
        <w:t xml:space="preserve">-:تواتر الأخبار علی نفی الضرر و الضرار </w:t>
      </w:r>
      <w:r>
        <w:rPr>
          <w:rStyle w:val="FootnoteReference"/>
        </w:rPr>
        <w:footnoteReference w:id="1406"/>
      </w:r>
      <w:r>
        <w:rPr>
          <w:rFonts w:ascii="IRNazanin" w:hAnsi="IRNazanin" w:eastAsia="IRNazanin" w:cs="IRNazanin"/>
          <w:lang w:bidi="fa-IR"/>
          <w:color w:val="111111"/>
          <w:sz w:val="28"/>
          <w:szCs w:val="28"/>
          <w:rtl/>
        </w:rPr>
        <w:t xml:space="preserve">،فلا نتعرّض من الأخبار الواردة فی ذلک إلاّ لما هو أصحّ ما فی الباب سندا و أوضحه دلالة،و هی الروایة</w:t>
      </w:r>
    </w:p>
    <w:p>
      <w:pPr>
        <w:pStyle w:val="BookText"/>
      </w:pPr>
      <w:r>
        <w:rPr>
          <w:rFonts w:ascii="IRNazanin" w:hAnsi="IRNazanin" w:eastAsia="IRNazanin" w:cs="IRNazanin"/>
          <w:lang w:bidi="fa-IR"/>
          <w:color w:val="111111"/>
          <w:sz w:val="28"/>
          <w:szCs w:val="28"/>
          <w:rtl/>
        </w:rPr>
        <w:t xml:space="preserve">[شماره صفحه واقعی : 457]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304" w:name="pg14411_142847"/>
    <w:bookmarkEnd w:id="304"/>
    <w:p>
      <w:pPr>
        <w:pStyle w:val="BookText"/>
      </w:pPr>
      <w:r>
        <w:rPr>
          <w:rFonts w:ascii="IRNazanin" w:hAnsi="IRNazanin" w:eastAsia="IRNazanin" w:cs="IRNazanin"/>
          <w:lang w:bidi="fa-IR"/>
          <w:color w:val="111111"/>
          <w:sz w:val="28"/>
          <w:szCs w:val="28"/>
          <w:rtl/>
        </w:rPr>
        <w:t xml:space="preserve">المتضمّنة لقصّة سمرة بن جندب مع الأنصاری،و هی ما رواه غیر واحد عن زرارة،عن أبی جعفر علیه السّلام:</w:t>
      </w:r>
    </w:p>
    <w:p>
      <w:pPr>
        <w:pStyle w:val="Heading6"/>
      </w:pPr>
      <w:bookmarkStart w:id="1606" w:name="_Toc641"/>
      <w:r>
        <w:t>[الروایة المتضمّنة لقضیّة سمرة بن جندب]</w:t>
      </w:r>
      <w:bookmarkEnd w:id="1606"/>
    </w:p>
    <w:p>
      <w:pPr>
        <w:pStyle w:val="BookText"/>
      </w:pPr>
      <w:r>
        <w:rPr>
          <w:rFonts w:ascii="IRNazanin" w:hAnsi="IRNazanin" w:eastAsia="IRNazanin" w:cs="IRNazanin"/>
          <w:lang w:bidi="fa-IR"/>
          <w:color w:val="111111"/>
          <w:sz w:val="28"/>
          <w:szCs w:val="28"/>
          <w:rtl/>
        </w:rPr>
        <w:t xml:space="preserve">«إنّ سمرة بن جندب کان له عذق،و کان طریقه إلیه فی جوف منزل رجل من الأنصار،و کان یجیء و یدخل إلی عذقه بغیر إذن من الأنصاری.</w:t>
      </w:r>
    </w:p>
    <w:p>
      <w:pPr>
        <w:pStyle w:val="BookText"/>
      </w:pPr>
      <w:r>
        <w:rPr>
          <w:rFonts w:ascii="IRNazanin" w:hAnsi="IRNazanin" w:eastAsia="IRNazanin" w:cs="IRNazanin"/>
          <w:lang w:bidi="fa-IR"/>
          <w:color w:val="111111"/>
          <w:sz w:val="28"/>
          <w:szCs w:val="28"/>
          <w:rtl/>
        </w:rPr>
        <w:t xml:space="preserve">فقال الأنصاری:یا سمرة،لا تزال تفجأنا علی حال لا نحبّ أن تفجأنا علیها،فإذا دخلت فاستأذن.فقال:لا أستأذن فی طریقی إلی عذقی.</w:t>
      </w:r>
    </w:p>
    <w:p>
      <w:pPr>
        <w:pStyle w:val="BookText"/>
      </w:pPr>
      <w:r>
        <w:rPr>
          <w:rFonts w:ascii="IRNazanin" w:hAnsi="IRNazanin" w:eastAsia="IRNazanin" w:cs="IRNazanin"/>
          <w:lang w:bidi="fa-IR"/>
          <w:color w:val="111111"/>
          <w:sz w:val="28"/>
          <w:szCs w:val="28"/>
          <w:rtl/>
        </w:rPr>
        <w:t xml:space="preserve">فشکاه الأنصاری إلی رسول اللّه صلّی اللّه علیه و آله،فأتاه،فقال له:إنّ فلانا قد شکاک و زعم أنّک تمرّ علیه و علی أهله بغیر إذنه،فاستأذن علیه إذا أردت أن تدخل.</w:t>
      </w:r>
    </w:p>
    <w:p>
      <w:pPr>
        <w:pStyle w:val="BookText"/>
      </w:pPr>
      <w:r>
        <w:rPr>
          <w:rFonts w:ascii="IRNazanin" w:hAnsi="IRNazanin" w:eastAsia="IRNazanin" w:cs="IRNazanin"/>
          <w:lang w:bidi="fa-IR"/>
          <w:color w:val="111111"/>
          <w:sz w:val="28"/>
          <w:szCs w:val="28"/>
          <w:rtl/>
        </w:rPr>
        <w:t xml:space="preserve">فقال:یا رسول اللّه،أستأذن فی طریقی إلی عذقی؟</w:t>
      </w:r>
    </w:p>
    <w:p>
      <w:pPr>
        <w:pStyle w:val="BookText"/>
      </w:pPr>
      <w:r>
        <w:rPr>
          <w:rFonts w:ascii="IRNazanin" w:hAnsi="IRNazanin" w:eastAsia="IRNazanin" w:cs="IRNazanin"/>
          <w:lang w:bidi="fa-IR"/>
          <w:color w:val="111111"/>
          <w:sz w:val="28"/>
          <w:szCs w:val="28"/>
          <w:rtl/>
        </w:rPr>
        <w:t xml:space="preserve">فقال له رسول اللّه صلّی اللّه علیه و آله:خلّ عنه و لک عذق فی مکان کذا.</w:t>
      </w:r>
    </w:p>
    <w:p>
      <w:pPr>
        <w:pStyle w:val="BookText"/>
      </w:pPr>
      <w:r>
        <w:rPr>
          <w:rFonts w:ascii="IRNazanin" w:hAnsi="IRNazanin" w:eastAsia="IRNazanin" w:cs="IRNazanin"/>
          <w:lang w:bidi="fa-IR"/>
          <w:color w:val="111111"/>
          <w:sz w:val="28"/>
          <w:szCs w:val="28"/>
          <w:rtl/>
        </w:rPr>
        <w:t xml:space="preserve">قال:لا.</w:t>
      </w:r>
    </w:p>
    <w:p>
      <w:pPr>
        <w:pStyle w:val="BookText"/>
      </w:pPr>
      <w:r>
        <w:rPr>
          <w:rFonts w:ascii="IRNazanin" w:hAnsi="IRNazanin" w:eastAsia="IRNazanin" w:cs="IRNazanin"/>
          <w:lang w:bidi="fa-IR"/>
          <w:color w:val="111111"/>
          <w:sz w:val="28"/>
          <w:szCs w:val="28"/>
          <w:rtl/>
        </w:rPr>
        <w:t xml:space="preserve">قال:فلک اثنان.فقال:لا ارید.</w:t>
      </w:r>
    </w:p>
    <w:p>
      <w:pPr>
        <w:pStyle w:val="BookText"/>
      </w:pPr>
      <w:r>
        <w:rPr>
          <w:rFonts w:ascii="IRNazanin" w:hAnsi="IRNazanin" w:eastAsia="IRNazanin" w:cs="IRNazanin"/>
          <w:lang w:bidi="fa-IR"/>
          <w:color w:val="111111"/>
          <w:sz w:val="28"/>
          <w:szCs w:val="28"/>
          <w:rtl/>
        </w:rPr>
        <w:t xml:space="preserve">فجعل صلّی اللّه علیه و آله یزید حتّی بلغ عشر أعذق.فقال:لا.</w:t>
      </w:r>
    </w:p>
    <w:p>
      <w:pPr>
        <w:pStyle w:val="BookText"/>
      </w:pPr>
      <w:r>
        <w:rPr>
          <w:rFonts w:ascii="IRNazanin" w:hAnsi="IRNazanin" w:eastAsia="IRNazanin" w:cs="IRNazanin"/>
          <w:lang w:bidi="fa-IR"/>
          <w:color w:val="111111"/>
          <w:sz w:val="28"/>
          <w:szCs w:val="28"/>
          <w:rtl/>
        </w:rPr>
        <w:t xml:space="preserve">فقال صلّی اللّه علیه و آله:خلّ عنه و لک عشر أعذق فی مکان کذا،فأبی.</w:t>
      </w:r>
    </w:p>
    <w:p>
      <w:pPr>
        <w:pStyle w:val="BookText"/>
      </w:pPr>
      <w:r>
        <w:rPr>
          <w:rFonts w:ascii="IRNazanin" w:hAnsi="IRNazanin" w:eastAsia="IRNazanin" w:cs="IRNazanin"/>
          <w:lang w:bidi="fa-IR"/>
          <w:color w:val="111111"/>
          <w:sz w:val="28"/>
          <w:szCs w:val="28"/>
          <w:rtl/>
        </w:rPr>
        <w:t xml:space="preserve">فقال:خلّ عنه و لک بها عذق فی الجنّة.فقال:لا ارید.</w:t>
      </w:r>
    </w:p>
    <w:p>
      <w:pPr>
        <w:pStyle w:val="BookText"/>
      </w:pPr>
      <w:r>
        <w:rPr>
          <w:rFonts w:ascii="IRNazanin" w:hAnsi="IRNazanin" w:eastAsia="IRNazanin" w:cs="IRNazanin"/>
          <w:lang w:bidi="fa-IR"/>
          <w:color w:val="111111"/>
          <w:sz w:val="28"/>
          <w:szCs w:val="28"/>
          <w:rtl/>
        </w:rPr>
        <w:t xml:space="preserve">فقال له رسول اللّه صلّی اللّه علیه و آله:إنّک رجل مضارّ،و لا ضرر و لا ضرار علی مؤمن.</w:t>
      </w:r>
    </w:p>
    <w:p>
      <w:pPr>
        <w:pStyle w:val="BookText"/>
      </w:pPr>
      <w:r>
        <w:rPr>
          <w:rFonts w:ascii="IRNazanin" w:hAnsi="IRNazanin" w:eastAsia="IRNazanin" w:cs="IRNazanin"/>
          <w:lang w:bidi="fa-IR"/>
          <w:color w:val="111111"/>
          <w:sz w:val="28"/>
          <w:szCs w:val="28"/>
          <w:rtl/>
        </w:rPr>
        <w:t xml:space="preserve">قال علیه السّلام:ثمّ أمر بها رسول اللّه صلّی اللّه علیه و آله فقلعت،ثمّ رمی بها إلیه.</w:t>
      </w:r>
    </w:p>
    <w:p>
      <w:pPr>
        <w:pStyle w:val="BookText"/>
      </w:pPr>
      <w:r>
        <w:rPr>
          <w:rFonts w:ascii="IRNazanin" w:hAnsi="IRNazanin" w:eastAsia="IRNazanin" w:cs="IRNazanin"/>
          <w:lang w:bidi="fa-IR"/>
          <w:color w:val="111111"/>
          <w:sz w:val="28"/>
          <w:szCs w:val="28"/>
          <w:rtl/>
        </w:rPr>
        <w:t xml:space="preserve">و قال له رسول اللّه صلّی اللّه علیه و آله:انطلق فاغرسها حیث شئت...الخبر» </w:t>
      </w:r>
      <w:r>
        <w:rPr>
          <w:rStyle w:val="FootnoteReference"/>
        </w:rPr>
        <w:footnoteReference w:id="14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458]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305" w:name="pg14411_142848"/>
    <w:bookmarkEnd w:id="305"/>
    <w:p>
      <w:pPr>
        <w:pStyle w:val="BookText"/>
      </w:pPr>
      <w:r>
        <w:rPr>
          <w:rFonts w:ascii="IRNazanin" w:hAnsi="IRNazanin" w:eastAsia="IRNazanin" w:cs="IRNazanin"/>
          <w:lang w:bidi="fa-IR"/>
          <w:color w:val="111111"/>
          <w:sz w:val="28"/>
          <w:szCs w:val="28"/>
          <w:rtl/>
        </w:rPr>
        <w:t xml:space="preserve">و فی روایة اخری موثّقة:«إنّ سمرة بن جندب کان له عذق فی حائط لرجل من الأنصار و کان منزل الأنصاریّ بباب البستان-و فی آخرها-:</w:t>
      </w:r>
    </w:p>
    <w:p>
      <w:pPr>
        <w:pStyle w:val="BookText"/>
      </w:pPr>
      <w:r>
        <w:rPr>
          <w:rFonts w:ascii="IRNazanin" w:hAnsi="IRNazanin" w:eastAsia="IRNazanin" w:cs="IRNazanin"/>
          <w:lang w:bidi="fa-IR"/>
          <w:color w:val="111111"/>
          <w:sz w:val="28"/>
          <w:szCs w:val="28"/>
          <w:rtl/>
        </w:rPr>
        <w:t xml:space="preserve">قال رسول اللّه صلّی اللّه علیه و آله للأنصاری:اذهب فاقلعها و ارم بها إلیه،فإنّه لا ضرر و لا ضرار...الخبر» </w:t>
      </w:r>
      <w:r>
        <w:rPr>
          <w:rStyle w:val="FootnoteReference"/>
        </w:rPr>
        <w:footnoteReference w:id="1408"/>
      </w:r>
      <w:r>
        <w:rPr>
          <w:rFonts w:ascii="Times New Roman" w:hAnsi="Times New Roman" w:eastAsia="Times New Roman" w:cs="Times New Roman"/>
          <w:lang w:val="en-US" w:bidi="en-US"/>
          <w:color w:val="111111"/>
          <w:sz w:val="28"/>
          <w:szCs w:val="28"/>
          <w:rtl/>
        </w:rPr>
        <w:t xml:space="preserve">.</w:t>
      </w:r>
    </w:p>
    <w:p>
      <w:pPr>
        <w:pStyle w:val="Heading6"/>
      </w:pPr>
      <w:bookmarkStart w:id="1607" w:name="_Toc642"/>
      <w:r>
        <w:t>[معنی«الضرر»و«الضرار»]</w:t>
      </w:r>
      <w:bookmarkEnd w:id="1607"/>
    </w:p>
    <w:p>
      <w:pPr>
        <w:pStyle w:val="BookText"/>
      </w:pPr>
      <w:r>
        <w:rPr>
          <w:rFonts w:ascii="IRNazanin" w:hAnsi="IRNazanin" w:eastAsia="IRNazanin" w:cs="IRNazanin"/>
          <w:lang w:bidi="fa-IR"/>
          <w:color w:val="111111"/>
          <w:sz w:val="28"/>
          <w:szCs w:val="28"/>
          <w:rtl/>
        </w:rPr>
        <w:t xml:space="preserve">و أمّا معنی اللفظین:</w:t>
      </w:r>
    </w:p>
    <w:p>
      <w:pPr>
        <w:pStyle w:val="BookText"/>
      </w:pPr>
      <w:r>
        <w:rPr>
          <w:rFonts w:ascii="IRNazanin" w:hAnsi="IRNazanin" w:eastAsia="IRNazanin" w:cs="IRNazanin"/>
          <w:lang w:bidi="fa-IR"/>
          <w:color w:val="111111"/>
          <w:sz w:val="28"/>
          <w:szCs w:val="28"/>
          <w:rtl/>
        </w:rPr>
        <w:t xml:space="preserve">فقال فی الصحاح:الضرّ خلاف النفع،و قد ضرّه و ضارّه بمعنی.</w:t>
      </w:r>
    </w:p>
    <w:p>
      <w:pPr>
        <w:pStyle w:val="BookText"/>
      </w:pPr>
      <w:r>
        <w:rPr>
          <w:rFonts w:ascii="Amiri" w:hAnsi="Amiri" w:eastAsia="Amiri" w:cs="Amiri"/>
          <w:lang w:bidi="ar-SA"/>
          <w:color w:val="111111"/>
          <w:sz w:val="28"/>
          <w:szCs w:val="28"/>
          <w:rtl/>
        </w:rPr>
        <w:t xml:space="preserve">و الاسم الضّرر.ثمّ قال:و الضّرار المضارّة </w:t>
      </w:r>
      <w:r>
        <w:rPr>
          <w:rStyle w:val="FootnoteReference"/>
        </w:rPr>
        <w:footnoteReference w:id="14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النهایة الأثیریّة:فی الحدیث:«لا ضرر و لا ضرار فی الإسلام».الضرّ ضدّ النفع،ضرّه یضرّه ضرّا و ضرارا،و أضرّ به یضرّه إضرارا،فمعنی قوله:«لا ضرر»لا یضرّ الرجل أخاه فینقصه شیئا من حقّه.</w:t>
      </w:r>
    </w:p>
    <w:p>
      <w:pPr>
        <w:pStyle w:val="BookText"/>
      </w:pPr>
      <w:r>
        <w:rPr>
          <w:rFonts w:ascii="IRNazanin" w:hAnsi="IRNazanin" w:eastAsia="IRNazanin" w:cs="IRNazanin"/>
          <w:lang w:bidi="fa-IR"/>
          <w:color w:val="111111"/>
          <w:sz w:val="28"/>
          <w:szCs w:val="28"/>
          <w:rtl/>
        </w:rPr>
        <w:t xml:space="preserve">و الضّرار فعال من الضرّ،أی لا یجازیه علی إضراره بإدخال الضرر علیه.</w:t>
      </w:r>
    </w:p>
    <w:p>
      <w:pPr>
        <w:pStyle w:val="BookText"/>
      </w:pPr>
      <w:r>
        <w:rPr>
          <w:rFonts w:ascii="IRNazanin" w:hAnsi="IRNazanin" w:eastAsia="IRNazanin" w:cs="IRNazanin"/>
          <w:lang w:bidi="fa-IR"/>
          <w:color w:val="111111"/>
          <w:sz w:val="28"/>
          <w:szCs w:val="28"/>
          <w:rtl/>
        </w:rPr>
        <w:t xml:space="preserve">و الضّرر فعل الواحد،و الضّرار فعل الاثنین،و الضرر ابتداء الفعل، و الضّرار الجزاء علیه.</w:t>
      </w:r>
    </w:p>
    <w:p>
      <w:pPr>
        <w:pStyle w:val="BookText"/>
      </w:pPr>
      <w:r>
        <w:rPr>
          <w:rFonts w:ascii="IRNazanin" w:hAnsi="IRNazanin" w:eastAsia="IRNazanin" w:cs="IRNazanin"/>
          <w:lang w:bidi="fa-IR"/>
          <w:color w:val="111111"/>
          <w:sz w:val="28"/>
          <w:szCs w:val="28"/>
          <w:rtl/>
        </w:rPr>
        <w:t xml:space="preserve">و قیل:الضرر ما تضرّ به صاحبک و تنتفع أنت به.و الضّرار أن تضرّه من غیر أن تنتفع.</w:t>
      </w:r>
    </w:p>
    <w:p>
      <w:pPr>
        <w:pStyle w:val="BookText"/>
      </w:pPr>
      <w:r>
        <w:rPr>
          <w:rFonts w:ascii="IRNazanin" w:hAnsi="IRNazanin" w:eastAsia="IRNazanin" w:cs="IRNazanin"/>
          <w:lang w:bidi="fa-IR"/>
          <w:color w:val="111111"/>
          <w:sz w:val="28"/>
          <w:szCs w:val="28"/>
          <w:rtl/>
        </w:rPr>
        <w:t xml:space="preserve">[شماره صفحه واقعی : 459]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306" w:name="pg14411_142849"/>
    <w:bookmarkEnd w:id="306"/>
    <w:p>
      <w:pPr>
        <w:pStyle w:val="BookText"/>
      </w:pPr>
      <w:r>
        <w:rPr>
          <w:rFonts w:ascii="IRNazanin" w:hAnsi="IRNazanin" w:eastAsia="IRNazanin" w:cs="IRNazanin"/>
          <w:lang w:bidi="fa-IR"/>
          <w:color w:val="111111"/>
          <w:sz w:val="28"/>
          <w:szCs w:val="28"/>
          <w:rtl/>
        </w:rPr>
        <w:t xml:space="preserve">و قیل:هما بمعنی.و التکرار للتأکید </w:t>
      </w:r>
      <w:r>
        <w:rPr>
          <w:rStyle w:val="FootnoteReference"/>
        </w:rPr>
        <w:footnoteReference w:id="1410"/>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عن المصباح:«ضرّه یضرّه»من باب قتل:إذا فعل به مکروها و أضرّ به.یتعدّی بنفسه ثلاثیّا و بالباء رباعیّا.و الاسم الضرر.و قد یطلق علی نقص فی الأعیان.</w:t>
      </w:r>
    </w:p>
    <w:p>
      <w:pPr>
        <w:pStyle w:val="BookText"/>
      </w:pPr>
      <w:r>
        <w:rPr>
          <w:rFonts w:ascii="Amiri" w:hAnsi="Amiri" w:eastAsia="Amiri" w:cs="Amiri"/>
          <w:lang w:bidi="ar-SA"/>
          <w:color w:val="111111"/>
          <w:sz w:val="28"/>
          <w:szCs w:val="28"/>
          <w:rtl/>
        </w:rPr>
        <w:t xml:space="preserve">و ضارّه مضارّة و ضرارا بمعنی ضرّه </w:t>
      </w:r>
      <w:r>
        <w:rPr>
          <w:rStyle w:val="FootnoteReference"/>
        </w:rPr>
        <w:footnoteReference w:id="1411"/>
      </w:r>
      <w:r>
        <w:rPr>
          <w:rFonts w:ascii="IRNazanin" w:hAnsi="IRNazanin" w:eastAsia="IRNazanin" w:cs="IRNazanin"/>
          <w:lang w:bidi="fa-IR"/>
          <w:color w:val="111111"/>
          <w:sz w:val="28"/>
          <w:szCs w:val="28"/>
          <w:rtl/>
        </w:rPr>
        <w:t xml:space="preserve">،انتهی.</w:t>
      </w:r>
    </w:p>
    <w:p>
      <w:pPr>
        <w:pStyle w:val="BookText"/>
      </w:pPr>
      <w:r>
        <w:rPr>
          <w:rFonts w:ascii="Amiri" w:hAnsi="Amiri" w:eastAsia="Amiri" w:cs="Amiri"/>
          <w:lang w:bidi="ar-SA"/>
          <w:color w:val="111111"/>
          <w:sz w:val="28"/>
          <w:szCs w:val="28"/>
          <w:rtl/>
        </w:rPr>
        <w:t xml:space="preserve">و فی القاموس:الضرّ ضدّ النفع،و ضارّه یضارّه و ضرارا.ثمّ قال:</w:t>
      </w:r>
    </w:p>
    <w:p>
      <w:pPr>
        <w:pStyle w:val="BookText"/>
      </w:pPr>
      <w:r>
        <w:rPr>
          <w:rFonts w:ascii="IRNazanin" w:hAnsi="IRNazanin" w:eastAsia="IRNazanin" w:cs="IRNazanin"/>
          <w:lang w:bidi="fa-IR"/>
          <w:color w:val="111111"/>
          <w:sz w:val="28"/>
          <w:szCs w:val="28"/>
          <w:rtl/>
        </w:rPr>
        <w:t xml:space="preserve">و الضرر سوء الحال.ثمّ قال:و الضرار الضیق» </w:t>
      </w:r>
      <w:r>
        <w:rPr>
          <w:rStyle w:val="FootnoteReference"/>
        </w:rPr>
        <w:footnoteReference w:id="1412"/>
      </w:r>
      <w:r>
        <w:rPr>
          <w:rFonts w:ascii="IRNazanin" w:hAnsi="IRNazanin" w:eastAsia="IRNazanin" w:cs="IRNazanin"/>
          <w:lang w:bidi="fa-IR"/>
          <w:color w:val="111111"/>
          <w:sz w:val="28"/>
          <w:szCs w:val="28"/>
          <w:rtl/>
        </w:rPr>
        <w:t xml:space="preserve">،انتهی.</w:t>
      </w:r>
    </w:p>
    <w:p>
      <w:pPr>
        <w:pStyle w:val="Heading6"/>
      </w:pPr>
      <w:bookmarkStart w:id="1608" w:name="_Toc643"/>
      <w:r>
        <w:t>[معانی«لا ضرر و لا ضرار»فی الروایة:]</w:t>
      </w:r>
      <w:bookmarkEnd w:id="1608"/>
    </w:p>
    <w:p>
      <w:pPr>
        <w:pStyle w:val="Heading6"/>
      </w:pPr>
      <w:bookmarkStart w:id="1609" w:name="_Toc644"/>
      <w:r>
        <w:t>اشارة</w:t>
      </w:r>
      <w:bookmarkEnd w:id="1609"/>
    </w:p>
    <w:p>
      <w:pPr>
        <w:pStyle w:val="BookText"/>
      </w:pPr>
      <w:r>
        <w:rPr>
          <w:rFonts w:ascii="IRNazanin" w:hAnsi="IRNazanin" w:eastAsia="IRNazanin" w:cs="IRNazanin"/>
          <w:lang w:bidi="fa-IR"/>
          <w:color w:val="111111"/>
          <w:sz w:val="28"/>
          <w:szCs w:val="28"/>
          <w:rtl/>
        </w:rPr>
        <w:t xml:space="preserve">إذا عرفت ما ذکرناه،فاعلم:</w:t>
      </w:r>
    </w:p>
    <w:p>
      <w:pPr>
        <w:pStyle w:val="Heading6"/>
      </w:pPr>
      <w:bookmarkStart w:id="1610" w:name="_Toc645"/>
      <w:r>
        <w:t>[1-عدم تشریع الضرر]</w:t>
      </w:r>
      <w:bookmarkEnd w:id="1610"/>
    </w:p>
    <w:p>
      <w:pPr>
        <w:pStyle w:val="BookText"/>
      </w:pPr>
      <w:r>
        <w:rPr>
          <w:rFonts w:ascii="IRNazanin" w:hAnsi="IRNazanin" w:eastAsia="IRNazanin" w:cs="IRNazanin"/>
          <w:lang w:bidi="fa-IR"/>
          <w:color w:val="111111"/>
          <w:sz w:val="28"/>
          <w:szCs w:val="28"/>
          <w:rtl/>
        </w:rPr>
        <w:t xml:space="preserve">أنّ المعنی بعد تعذّر إرادة الحقیقة:عدم تشریع الضرر،بمعنی أنّ الشارع لم یشرّع حکما یلزم منه ضرر علی أحد،تکلیفیّا کان أو وضعیّا.</w:t>
      </w:r>
    </w:p>
    <w:p>
      <w:pPr>
        <w:pStyle w:val="BookText"/>
      </w:pPr>
      <w:r>
        <w:rPr>
          <w:rFonts w:ascii="IRNazanin" w:hAnsi="IRNazanin" w:eastAsia="IRNazanin" w:cs="IRNazanin"/>
          <w:lang w:bidi="fa-IR"/>
          <w:color w:val="111111"/>
          <w:sz w:val="28"/>
          <w:szCs w:val="28"/>
          <w:rtl/>
        </w:rPr>
        <w:t xml:space="preserve">فلزوم البیع مع الغبن حکم یلزم منه ضرر علی المغبون فینفی </w:t>
      </w:r>
      <w:r>
        <w:rPr>
          <w:rStyle w:val="FootnoteReference"/>
        </w:rPr>
        <w:footnoteReference w:id="1413"/>
      </w:r>
      <w:r>
        <w:rPr>
          <w:rFonts w:ascii="IRNazanin" w:hAnsi="IRNazanin" w:eastAsia="IRNazanin" w:cs="IRNazanin"/>
          <w:lang w:bidi="fa-IR"/>
          <w:color w:val="111111"/>
          <w:sz w:val="28"/>
          <w:szCs w:val="28"/>
          <w:rtl/>
        </w:rPr>
        <w:t xml:space="preserve">بالخبر،و کذلک لزوم البیع من غیر شفعة للشریک،و کذلک وجوب الوضوء علی من لا یجد الماء إلاّ بثمن کثیر،و کذلک سلطنة المالک علی الدخول إلی عذقه و إباحته له من دون استئذان من الأنصاریّ،و کذلک حرمة الترافع إلی حکّام الجور إذا توقّف أخذ الحقّ علیه.</w:t>
      </w:r>
    </w:p>
    <w:p>
      <w:pPr>
        <w:pStyle w:val="BookText"/>
      </w:pPr>
      <w:r>
        <w:rPr>
          <w:rFonts w:ascii="IRNazanin" w:hAnsi="IRNazanin" w:eastAsia="IRNazanin" w:cs="IRNazanin"/>
          <w:lang w:bidi="fa-IR"/>
          <w:color w:val="111111"/>
          <w:sz w:val="28"/>
          <w:szCs w:val="28"/>
          <w:rtl/>
        </w:rPr>
        <w:t xml:space="preserve">و منه:براءة ذمّة الضارّ من تدارک ما أدخله من الضرر،إذ کما</w:t>
      </w:r>
    </w:p>
    <w:p>
      <w:pPr>
        <w:pStyle w:val="BookText"/>
      </w:pPr>
      <w:r>
        <w:rPr>
          <w:rFonts w:ascii="IRNazanin" w:hAnsi="IRNazanin" w:eastAsia="IRNazanin" w:cs="IRNazanin"/>
          <w:lang w:bidi="fa-IR"/>
          <w:color w:val="111111"/>
          <w:sz w:val="28"/>
          <w:szCs w:val="28"/>
          <w:rtl/>
        </w:rPr>
        <w:t xml:space="preserve">[شماره صفحه واقعی : 460]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307" w:name="pg14411_142850"/>
    <w:bookmarkEnd w:id="307"/>
    <w:p>
      <w:pPr>
        <w:pStyle w:val="BookText"/>
      </w:pPr>
      <w:r>
        <w:rPr>
          <w:rFonts w:ascii="IRNazanin" w:hAnsi="IRNazanin" w:eastAsia="IRNazanin" w:cs="IRNazanin"/>
          <w:lang w:bidi="fa-IR"/>
          <w:color w:val="111111"/>
          <w:sz w:val="28"/>
          <w:szCs w:val="28"/>
          <w:rtl/>
        </w:rPr>
        <w:t xml:space="preserve">أنّ تشریع حکم یحدث معه الضرر منفیّ بالخبر،کذلک تشریع ما یبقی معه الضرر الحادث،بل یجب أن یکون الحکم المشروع فی تلک الواقعة علی وجه یتدارک ذلک الضرر کأن لم یحدث.</w:t>
      </w:r>
    </w:p>
    <w:p>
      <w:pPr>
        <w:pStyle w:val="BookText"/>
      </w:pPr>
      <w:r>
        <w:rPr>
          <w:rFonts w:ascii="IRNazanin" w:hAnsi="IRNazanin" w:eastAsia="IRNazanin" w:cs="IRNazanin"/>
          <w:lang w:bidi="fa-IR"/>
          <w:color w:val="111111"/>
          <w:sz w:val="28"/>
          <w:szCs w:val="28"/>
          <w:rtl/>
        </w:rPr>
        <w:t xml:space="preserve">إلاّ أنّه قد ینافی هذا قوله:«لا ضرار»،بناء علی أنّ معنی الضرار المجازاة علی الضرر.و کذا لو کان بمعنی المضارّة التی هی من فعل الاثنین؛لأنّ فعل البادئ منهما ضرر قد نفی بالفقرة الاولی فالضرار المنفیّ بالفقرة الثانیة إنّما یحصل بفعل الثانی.و کأنّ من فسّره بالجزاء علی الضرر </w:t>
      </w:r>
      <w:r>
        <w:rPr>
          <w:rStyle w:val="FootnoteReference"/>
        </w:rPr>
        <w:footnoteReference w:id="1414"/>
      </w:r>
      <w:r>
        <w:rPr>
          <w:rFonts w:ascii="IRNazanin" w:hAnsi="IRNazanin" w:eastAsia="IRNazanin" w:cs="IRNazanin"/>
          <w:lang w:bidi="fa-IR"/>
          <w:color w:val="111111"/>
          <w:sz w:val="28"/>
          <w:szCs w:val="28"/>
          <w:rtl/>
        </w:rPr>
        <w:t xml:space="preserve">أخذه من هذا المعنی،لا علی أنّه معنی مستقلّ.</w:t>
      </w:r>
    </w:p>
    <w:p>
      <w:pPr>
        <w:pStyle w:val="Heading6"/>
      </w:pPr>
      <w:bookmarkStart w:id="1611" w:name="_Toc646"/>
      <w:r>
        <w:t>[2-حمل النفی علی النهی]</w:t>
      </w:r>
      <w:bookmarkEnd w:id="1611"/>
    </w:p>
    <w:p>
      <w:pPr>
        <w:pStyle w:val="BookText"/>
      </w:pPr>
      <w:r>
        <w:rPr>
          <w:rFonts w:ascii="IRNazanin" w:hAnsi="IRNazanin" w:eastAsia="IRNazanin" w:cs="IRNazanin"/>
          <w:lang w:bidi="fa-IR"/>
          <w:color w:val="111111"/>
          <w:sz w:val="28"/>
          <w:szCs w:val="28"/>
          <w:rtl/>
        </w:rPr>
        <w:t xml:space="preserve">و یحتمل أن یراد من النفی:النهی عن إضرار </w:t>
      </w:r>
      <w:r>
        <w:rPr>
          <w:rStyle w:val="FootnoteReference"/>
        </w:rPr>
        <w:footnoteReference w:id="1415"/>
      </w:r>
      <w:r>
        <w:rPr>
          <w:rFonts w:ascii="IRNazanin" w:hAnsi="IRNazanin" w:eastAsia="IRNazanin" w:cs="IRNazanin"/>
          <w:lang w:bidi="fa-IR"/>
          <w:color w:val="111111"/>
          <w:sz w:val="28"/>
          <w:szCs w:val="28"/>
          <w:rtl/>
        </w:rPr>
        <w:t xml:space="preserve">النفس أو الغیر، ابتداء أو مجازاة.لکن لا بدّ من أن یراد بالنهی زائدا علی التحریم الفساد و عدم المضیّ؛للاستدلال به فی کثیر من روایاته علی الحکم الوضعیّ دون محض التکلیف،فالنهی هنا نظیر الأمر بالوفاء فی الشروط </w:t>
      </w:r>
      <w:r>
        <w:rPr>
          <w:rStyle w:val="FootnoteReference"/>
        </w:rPr>
        <w:footnoteReference w:id="1416"/>
      </w:r>
      <w:r>
        <w:rPr>
          <w:rFonts w:ascii="IRNazanin" w:hAnsi="IRNazanin" w:eastAsia="IRNazanin" w:cs="IRNazanin"/>
          <w:lang w:bidi="fa-IR"/>
          <w:color w:val="111111"/>
          <w:sz w:val="28"/>
          <w:szCs w:val="28"/>
          <w:rtl/>
        </w:rPr>
        <w:t xml:space="preserve">و العقود،فکلّ إضرار بالنفس أو الغیر محرّم غیر ماض علی من أضرّه.</w:t>
      </w:r>
    </w:p>
    <w:p>
      <w:pPr>
        <w:pStyle w:val="BookText"/>
      </w:pPr>
      <w:r>
        <w:rPr>
          <w:rFonts w:ascii="IRNazanin" w:hAnsi="IRNazanin" w:eastAsia="IRNazanin" w:cs="IRNazanin"/>
          <w:lang w:bidi="fa-IR"/>
          <w:color w:val="111111"/>
          <w:sz w:val="28"/>
          <w:szCs w:val="28"/>
          <w:rtl/>
        </w:rPr>
        <w:t xml:space="preserve">و هذا المعنی قریب من الأوّل،بل راجع إلیه.</w:t>
      </w:r>
    </w:p>
    <w:p>
      <w:pPr>
        <w:pStyle w:val="Heading6"/>
      </w:pPr>
      <w:bookmarkStart w:id="1612" w:name="_Toc647"/>
      <w:r>
        <w:t>[الأظهر المعنی الأوّل]</w:t>
      </w:r>
      <w:bookmarkEnd w:id="1612"/>
    </w:p>
    <w:p>
      <w:pPr>
        <w:pStyle w:val="BookText"/>
      </w:pPr>
      <w:r>
        <w:rPr>
          <w:rFonts w:ascii="IRNazanin" w:hAnsi="IRNazanin" w:eastAsia="IRNazanin" w:cs="IRNazanin"/>
          <w:lang w:bidi="fa-IR"/>
          <w:color w:val="111111"/>
          <w:sz w:val="28"/>
          <w:szCs w:val="28"/>
          <w:rtl/>
        </w:rPr>
        <w:t xml:space="preserve">و الأظهر بملاحظة نفس الفقرة و نظائرها و موارد ذکرها فی الروایات </w:t>
      </w:r>
      <w:r>
        <w:rPr>
          <w:rStyle w:val="FootnoteReference"/>
        </w:rPr>
        <w:footnoteReference w:id="1417"/>
      </w:r>
    </w:p>
    <w:p>
      <w:pPr>
        <w:pStyle w:val="BookText"/>
      </w:pPr>
      <w:r>
        <w:rPr>
          <w:rFonts w:ascii="IRNazanin" w:hAnsi="IRNazanin" w:eastAsia="IRNazanin" w:cs="IRNazanin"/>
          <w:lang w:bidi="fa-IR"/>
          <w:color w:val="111111"/>
          <w:sz w:val="28"/>
          <w:szCs w:val="28"/>
          <w:rtl/>
        </w:rPr>
        <w:t xml:space="preserve">[شماره صفحه واقعی : 461]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308" w:name="pg14411_142851"/>
    <w:bookmarkEnd w:id="308"/>
    <w:p>
      <w:pPr>
        <w:pStyle w:val="BookText"/>
      </w:pPr>
      <w:r>
        <w:rPr>
          <w:rFonts w:ascii="IRNazanin" w:hAnsi="IRNazanin" w:eastAsia="IRNazanin" w:cs="IRNazanin"/>
          <w:lang w:bidi="fa-IR"/>
          <w:color w:val="111111"/>
          <w:sz w:val="28"/>
          <w:szCs w:val="28"/>
          <w:rtl/>
        </w:rPr>
        <w:t xml:space="preserve">و فهم العلماء </w:t>
      </w:r>
      <w:r>
        <w:rPr>
          <w:rStyle w:val="FootnoteReference"/>
        </w:rPr>
        <w:footnoteReference w:id="1418"/>
      </w:r>
      <w:r>
        <w:rPr>
          <w:rFonts w:ascii="IRNazanin" w:hAnsi="IRNazanin" w:eastAsia="IRNazanin" w:cs="IRNazanin"/>
          <w:lang w:bidi="fa-IR"/>
          <w:color w:val="111111"/>
          <w:sz w:val="28"/>
          <w:szCs w:val="28"/>
          <w:rtl/>
        </w:rPr>
        <w:t xml:space="preserve">:هو المعنی الأوّل.</w:t>
      </w:r>
    </w:p>
    <w:p>
      <w:pPr>
        <w:pStyle w:val="Heading6"/>
      </w:pPr>
      <w:bookmarkStart w:id="1613" w:name="_Toc648"/>
      <w:r>
        <w:t>[حکومة هذه القاعدة علی عمومات تشریع الأحکام الضرریّة]</w:t>
      </w:r>
      <w:bookmarkEnd w:id="1613"/>
    </w:p>
    <w:p>
      <w:pPr>
        <w:pStyle w:val="Heading6"/>
      </w:pPr>
      <w:bookmarkStart w:id="1614" w:name="_Toc649"/>
      <w:r>
        <w:t>اشارة</w:t>
      </w:r>
      <w:bookmarkEnd w:id="1614"/>
    </w:p>
    <w:p>
      <w:pPr>
        <w:pStyle w:val="BookText"/>
      </w:pPr>
      <w:r>
        <w:rPr>
          <w:rFonts w:ascii="IRNazanin" w:hAnsi="IRNazanin" w:eastAsia="IRNazanin" w:cs="IRNazanin"/>
          <w:lang w:bidi="fa-IR"/>
          <w:color w:val="111111"/>
          <w:sz w:val="28"/>
          <w:szCs w:val="28"/>
          <w:rtl/>
        </w:rPr>
        <w:t xml:space="preserve">ثمّ إنّ هذه القاعدة حاکمة علی جمیع العمومات الدالّة بعمومها علی تشریع الحکم الضرریّ،کأدلّة لزوم العقود،و سلطنة الناس علی أموالهم،و وجوب الوضوء علی واجد الماء،و حرمة الترافع إلی حکّام الجور،و غیر ذلک.</w:t>
      </w:r>
    </w:p>
    <w:p>
      <w:pPr>
        <w:pStyle w:val="BookText"/>
      </w:pPr>
      <w:r>
        <w:rPr>
          <w:rFonts w:ascii="IRNazanin" w:hAnsi="IRNazanin" w:eastAsia="IRNazanin" w:cs="IRNazanin"/>
          <w:lang w:bidi="fa-IR"/>
          <w:color w:val="111111"/>
          <w:sz w:val="28"/>
          <w:szCs w:val="28"/>
          <w:rtl/>
        </w:rPr>
        <w:t xml:space="preserve">و ما یظهر من غیر واحد </w:t>
      </w:r>
      <w:r>
        <w:rPr>
          <w:rStyle w:val="FootnoteReference"/>
        </w:rPr>
        <w:footnoteReference w:id="1419"/>
      </w:r>
      <w:r>
        <w:rPr>
          <w:rFonts w:ascii="IRNazanin" w:hAnsi="IRNazanin" w:eastAsia="IRNazanin" w:cs="IRNazanin"/>
          <w:lang w:bidi="fa-IR"/>
          <w:color w:val="111111"/>
          <w:sz w:val="28"/>
          <w:szCs w:val="28"/>
          <w:rtl/>
        </w:rPr>
        <w:t xml:space="preserve">:من أخذ التعارض </w:t>
      </w:r>
      <w:r>
        <w:rPr>
          <w:rStyle w:val="FootnoteReference"/>
        </w:rPr>
        <w:footnoteReference w:id="1420"/>
      </w:r>
      <w:r>
        <w:rPr>
          <w:rFonts w:ascii="IRNazanin" w:hAnsi="IRNazanin" w:eastAsia="IRNazanin" w:cs="IRNazanin"/>
          <w:lang w:bidi="fa-IR"/>
          <w:color w:val="111111"/>
          <w:sz w:val="28"/>
          <w:szCs w:val="28"/>
          <w:rtl/>
        </w:rPr>
        <w:t xml:space="preserve">بین العمومات المثبتة للتکلیف و هذه القاعدة،ثمّ ترجیح هذه إمّا بعمل الأصحاب و إمّا بالاصول-کالبراءة فی مقام التکلیف،و غیرها فی غیره-،فهو خلاف ما یقتضیه التدبّر فی نظائرها:من أدلّة«رفع الحرج»،و«رفع الخطأ و النسیان»،و«نفی السهو علی کثیر السهو»،و«نفی السبیل علی المحسنین»،و«نفی قدرة العبد علی شیء»،و نحوها.</w:t>
      </w:r>
    </w:p>
    <w:p>
      <w:pPr>
        <w:pStyle w:val="BookText"/>
      </w:pPr>
      <w:r>
        <w:rPr>
          <w:rFonts w:ascii="IRNazanin" w:hAnsi="IRNazanin" w:eastAsia="IRNazanin" w:cs="IRNazanin"/>
          <w:lang w:bidi="fa-IR"/>
          <w:color w:val="111111"/>
          <w:sz w:val="28"/>
          <w:szCs w:val="28"/>
          <w:rtl/>
        </w:rPr>
        <w:t xml:space="preserve">مع أنّ وقوعها فی مقام الامتنان یکفی فی تقدیمها علی العمومات.</w:t>
      </w:r>
    </w:p>
    <w:p>
      <w:pPr>
        <w:pStyle w:val="Heading6"/>
      </w:pPr>
      <w:bookmarkStart w:id="1615" w:name="_Toc650"/>
      <w:r>
        <w:t>[المراد من الحکومة]</w:t>
      </w:r>
      <w:bookmarkEnd w:id="1615"/>
    </w:p>
    <w:p>
      <w:pPr>
        <w:pStyle w:val="BookText"/>
      </w:pPr>
      <w:r>
        <w:rPr>
          <w:rFonts w:ascii="IRNazanin" w:hAnsi="IRNazanin" w:eastAsia="IRNazanin" w:cs="IRNazanin"/>
          <w:lang w:bidi="fa-IR"/>
          <w:color w:val="111111"/>
          <w:sz w:val="28"/>
          <w:szCs w:val="28"/>
          <w:rtl/>
        </w:rPr>
        <w:t xml:space="preserve">و المراد بالحکومة:أن یکون أحد الدلیلین بمدلوله اللفظیّ متعرّضا لحال دلیل آخر من حیث إثبات حکم لشیء أو نفیه عنه.</w:t>
      </w:r>
    </w:p>
    <w:p>
      <w:pPr>
        <w:pStyle w:val="BookText"/>
      </w:pPr>
      <w:r>
        <w:rPr>
          <w:rFonts w:ascii="IRNazanin" w:hAnsi="IRNazanin" w:eastAsia="IRNazanin" w:cs="IRNazanin"/>
          <w:lang w:bidi="fa-IR"/>
          <w:color w:val="111111"/>
          <w:sz w:val="28"/>
          <w:szCs w:val="28"/>
          <w:rtl/>
        </w:rPr>
        <w:t xml:space="preserve">[شماره صفحه واقعی : 462]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309" w:name="pg14411_142852"/>
    <w:bookmarkEnd w:id="309"/>
    <w:p>
      <w:pPr>
        <w:pStyle w:val="BookText"/>
      </w:pPr>
      <w:r>
        <w:rPr>
          <w:rFonts w:ascii="IRNazanin" w:hAnsi="IRNazanin" w:eastAsia="IRNazanin" w:cs="IRNazanin"/>
          <w:lang w:bidi="fa-IR"/>
          <w:color w:val="111111"/>
          <w:sz w:val="28"/>
          <w:szCs w:val="28"/>
          <w:rtl/>
        </w:rPr>
        <w:t xml:space="preserve">فالأوّل:مثل ما دلّ علی الطهارة بالاستصحاب أو شهادة </w:t>
      </w:r>
      <w:r>
        <w:rPr>
          <w:rStyle w:val="FootnoteReference"/>
        </w:rPr>
        <w:footnoteReference w:id="1421"/>
      </w:r>
      <w:r>
        <w:rPr>
          <w:rFonts w:ascii="IRNazanin" w:hAnsi="IRNazanin" w:eastAsia="IRNazanin" w:cs="IRNazanin"/>
          <w:lang w:bidi="fa-IR"/>
          <w:color w:val="111111"/>
          <w:sz w:val="28"/>
          <w:szCs w:val="28"/>
          <w:rtl/>
        </w:rPr>
        <w:t xml:space="preserve">العدلین،فإنّه حاکم علی ما دلّ علی أنّه«لا صلاة إلاّ بطهور»؛ فإنّه یفید بمدلوله اللفظیّ:أنّ ما ثبت من الأحکام للطهارة فی مثل «لا صلاة إلاّ بطهور»و غیرها،ثابت للمتطهّر بالاستصحاب أو بالبیّنة.</w:t>
      </w:r>
    </w:p>
    <w:p>
      <w:pPr>
        <w:pStyle w:val="BookText"/>
      </w:pPr>
      <w:r>
        <w:rPr>
          <w:rFonts w:ascii="IRNazanin" w:hAnsi="IRNazanin" w:eastAsia="IRNazanin" w:cs="IRNazanin"/>
          <w:lang w:bidi="fa-IR"/>
          <w:color w:val="111111"/>
          <w:sz w:val="28"/>
          <w:szCs w:val="28"/>
          <w:rtl/>
        </w:rPr>
        <w:t xml:space="preserve">و الثانی مثل الأمثلة المذکورة.</w:t>
      </w:r>
    </w:p>
    <w:p>
      <w:pPr>
        <w:pStyle w:val="BookText"/>
      </w:pPr>
      <w:r>
        <w:rPr>
          <w:rFonts w:ascii="IRNazanin" w:hAnsi="IRNazanin" w:eastAsia="IRNazanin" w:cs="IRNazanin"/>
          <w:lang w:bidi="fa-IR"/>
          <w:color w:val="111111"/>
          <w:sz w:val="28"/>
          <w:szCs w:val="28"/>
          <w:rtl/>
        </w:rPr>
        <w:t xml:space="preserve">و أمّا المتعارضان،فلیس فی أحدهما دلالة لفظیّة علی حال الآخر من حیث العموم و الخصوص،و إنّما یفید حکما منافیا لحکم الآخر، و بملاحظة تنافیهما و عدم جواز تحقّقهما واقعا یحکم بإرادة خلاف الظاهر فی أحدهما المعیّن إن کان الآخر أقوی منه،فهذا الآخر الأقوی قرینة عقلیّة علی المراد من الآخر،و لیس فی مدلوله اللفظیّ تعرّض لبیان المراد منه.و من هنا وجب ملاحظة الترجیح فی القرینة؛لأنّ قرینیّته بحکم العقل بضمیمة المرجّح.</w:t>
      </w:r>
    </w:p>
    <w:p>
      <w:pPr>
        <w:pStyle w:val="BookText"/>
      </w:pPr>
      <w:r>
        <w:rPr>
          <w:rFonts w:ascii="IRNazanin" w:hAnsi="IRNazanin" w:eastAsia="IRNazanin" w:cs="IRNazanin"/>
          <w:lang w:bidi="fa-IR"/>
          <w:color w:val="111111"/>
          <w:sz w:val="28"/>
          <w:szCs w:val="28"/>
          <w:rtl/>
        </w:rPr>
        <w:t xml:space="preserve">أمّا إذا کان الدلیل بمدلوله اللفظیّ کاشفا عن حال الآخر، فلا یحتاج إلی ملاحظة مرجّح له،بل هو متعیّن للقرینیّة بمدلوله له </w:t>
      </w:r>
      <w:r>
        <w:rPr>
          <w:rStyle w:val="FootnoteReference"/>
        </w:rPr>
        <w:footnoteReference w:id="14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سیأتی لذلک توضیح فی تعارض الاستصحابین إن شاء اللّه تعالی </w:t>
      </w:r>
      <w:r>
        <w:rPr>
          <w:rStyle w:val="FootnoteReference"/>
        </w:rPr>
        <w:footnoteReference w:id="1423"/>
      </w:r>
      <w:r>
        <w:rPr>
          <w:rFonts w:ascii="Times New Roman" w:hAnsi="Times New Roman" w:eastAsia="Times New Roman" w:cs="Times New Roman"/>
          <w:lang w:val="en-US" w:bidi="en-US"/>
          <w:color w:val="111111"/>
          <w:sz w:val="28"/>
          <w:szCs w:val="28"/>
          <w:rtl/>
        </w:rPr>
        <w:t xml:space="preserve">.</w:t>
      </w:r>
    </w:p>
    <w:p>
      <w:pPr>
        <w:pStyle w:val="Heading6"/>
      </w:pPr>
      <w:bookmarkStart w:id="1616" w:name="_Toc651"/>
      <w:r>
        <w:t>[توهّم أن الضرر یتدارک بمصلحة الحکم الضرری المجعول]</w:t>
      </w:r>
      <w:bookmarkEnd w:id="1616"/>
    </w:p>
    <w:p>
      <w:pPr>
        <w:pStyle w:val="Heading6"/>
      </w:pPr>
      <w:bookmarkStart w:id="1617" w:name="_Toc652"/>
      <w:r>
        <w:t>اشارة</w:t>
      </w:r>
      <w:bookmarkEnd w:id="1617"/>
    </w:p>
    <w:p>
      <w:pPr>
        <w:pStyle w:val="BookText"/>
      </w:pPr>
      <w:r>
        <w:rPr>
          <w:rFonts w:ascii="IRNazanin" w:hAnsi="IRNazanin" w:eastAsia="IRNazanin" w:cs="IRNazanin"/>
          <w:lang w:bidi="fa-IR"/>
          <w:color w:val="111111"/>
          <w:sz w:val="28"/>
          <w:szCs w:val="28"/>
          <w:rtl/>
        </w:rPr>
        <w:t xml:space="preserve">ثمّ إنّه یظهر ممّا ذکرنا-من حکومة الروایة و ورودها فی مقام الامتنان،نظیر أدلّة نفی الحرج و الإکراه-:أنّ مصلحة الحکم الضرریّ المجعول بالأدلّة العامّة لا تصلح أن تکون تدارکا للضرر،حتّی یقال:</w:t>
      </w:r>
    </w:p>
    <w:p>
      <w:pPr>
        <w:pStyle w:val="BookText"/>
      </w:pPr>
      <w:r>
        <w:rPr>
          <w:rFonts w:ascii="IRNazanin" w:hAnsi="IRNazanin" w:eastAsia="IRNazanin" w:cs="IRNazanin"/>
          <w:lang w:bidi="fa-IR"/>
          <w:color w:val="111111"/>
          <w:sz w:val="28"/>
          <w:szCs w:val="28"/>
          <w:rtl/>
        </w:rPr>
        <w:t xml:space="preserve">[شماره صفحه واقعی : 463]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310" w:name="pg14411_142853"/>
    <w:bookmarkEnd w:id="310"/>
    <w:p>
      <w:pPr>
        <w:pStyle w:val="BookText"/>
      </w:pPr>
      <w:r>
        <w:rPr>
          <w:rFonts w:ascii="IRNazanin" w:hAnsi="IRNazanin" w:eastAsia="IRNazanin" w:cs="IRNazanin"/>
          <w:lang w:bidi="fa-IR"/>
          <w:color w:val="111111"/>
          <w:sz w:val="28"/>
          <w:szCs w:val="28"/>
          <w:rtl/>
        </w:rPr>
        <w:t xml:space="preserve">إنّ الضرر یتدارک بالمصلحة العائدة إلی المتضرّر،و إنّ الضرر المقابل بمنفعة راجحة علیه لیس بمنفیّ،بل لیس ضررا.</w:t>
      </w:r>
    </w:p>
    <w:p>
      <w:pPr>
        <w:pStyle w:val="Heading6"/>
      </w:pPr>
      <w:bookmarkStart w:id="1618" w:name="_Toc653"/>
      <w:r>
        <w:t>[فساد هذا التوهّم]</w:t>
      </w:r>
      <w:bookmarkEnd w:id="1618"/>
    </w:p>
    <w:p>
      <w:pPr>
        <w:pStyle w:val="BookText"/>
      </w:pPr>
      <w:r>
        <w:rPr>
          <w:rFonts w:ascii="IRNazanin" w:hAnsi="IRNazanin" w:eastAsia="IRNazanin" w:cs="IRNazanin"/>
          <w:lang w:bidi="fa-IR"/>
          <w:color w:val="111111"/>
          <w:sz w:val="28"/>
          <w:szCs w:val="28"/>
          <w:rtl/>
        </w:rPr>
        <w:t xml:space="preserve">توضیح الفساد:أنّ هذه القاعدة تدلّ علی عدم جعل الأحکام الضرریّة و اختصاص أدلّة الأحکام بغیر موارد الضرر.نعم،لو لا الحکومة و مقام الامتنان کان للتوهّم المذکور مجال.</w:t>
      </w:r>
    </w:p>
    <w:p>
      <w:pPr>
        <w:pStyle w:val="BookText"/>
      </w:pPr>
      <w:r>
        <w:rPr>
          <w:rFonts w:ascii="IRNazanin" w:hAnsi="IRNazanin" w:eastAsia="IRNazanin" w:cs="IRNazanin"/>
          <w:lang w:bidi="fa-IR"/>
          <w:color w:val="111111"/>
          <w:sz w:val="28"/>
          <w:szCs w:val="28"/>
          <w:rtl/>
        </w:rPr>
        <w:t xml:space="preserve">و قد یدفع:بأنّ العمومات الجاعلة للأحکام إنّما تکشف عن المصلحة فی نفس الحکم و لو فی غیر مورد الضرر،و هذه المصلحة لا یتدارک بها الضرر الموجود فی مورده؛فإنّ الأمر بالحجّ و الصلاة -مثلا-یدلّ علی عوض و لو مع عدم الضرر،ففی مورد الضرر لا علم بوجود ما یقابل الضرر.</w:t>
      </w:r>
    </w:p>
    <w:p>
      <w:pPr>
        <w:pStyle w:val="BookText"/>
      </w:pPr>
      <w:r>
        <w:rPr>
          <w:rFonts w:ascii="IRNazanin" w:hAnsi="IRNazanin" w:eastAsia="IRNazanin" w:cs="IRNazanin"/>
          <w:lang w:bidi="fa-IR"/>
          <w:color w:val="111111"/>
          <w:sz w:val="28"/>
          <w:szCs w:val="28"/>
          <w:rtl/>
        </w:rPr>
        <w:t xml:space="preserve">و هذا الدفع أشنع من أصل التوهّم؛لأنّه إذا سلّم عموم الأمر لصورة الضرر کشف عن وجود مصلحة یتدارک بها الضرر فی هذا المورد.</w:t>
      </w:r>
    </w:p>
    <w:p>
      <w:pPr>
        <w:pStyle w:val="BookText"/>
      </w:pPr>
      <w:r>
        <w:rPr>
          <w:rFonts w:ascii="IRNazanin" w:hAnsi="IRNazanin" w:eastAsia="IRNazanin" w:cs="IRNazanin"/>
          <w:lang w:bidi="fa-IR"/>
          <w:color w:val="111111"/>
          <w:sz w:val="28"/>
          <w:szCs w:val="28"/>
          <w:rtl/>
        </w:rPr>
        <w:t xml:space="preserve">مع أنّه یکفی حینئذ فی تدارک الضرر الأجر المستفاد من قوله صلّی اللّه علیه و آله:</w:t>
      </w:r>
    </w:p>
    <w:p>
      <w:pPr>
        <w:pStyle w:val="BookText"/>
      </w:pPr>
      <w:r>
        <w:rPr>
          <w:rFonts w:ascii="IRNazanin" w:hAnsi="IRNazanin" w:eastAsia="IRNazanin" w:cs="IRNazanin"/>
          <w:lang w:bidi="fa-IR"/>
          <w:color w:val="111111"/>
          <w:sz w:val="28"/>
          <w:szCs w:val="28"/>
          <w:rtl/>
        </w:rPr>
        <w:t xml:space="preserve">«أفضل الأعمال أحمزها» </w:t>
      </w:r>
      <w:r>
        <w:rPr>
          <w:rStyle w:val="FootnoteReference"/>
        </w:rPr>
        <w:footnoteReference w:id="1424"/>
      </w:r>
      <w:r>
        <w:rPr>
          <w:rFonts w:ascii="IRNazanin" w:hAnsi="IRNazanin" w:eastAsia="IRNazanin" w:cs="IRNazanin"/>
          <w:lang w:bidi="fa-IR"/>
          <w:color w:val="111111"/>
          <w:sz w:val="28"/>
          <w:szCs w:val="28"/>
          <w:rtl/>
        </w:rPr>
        <w:t xml:space="preserve">،و ما اشتهر فی الألسن و ارتکز فی العقول من:«أنّ الأجر علی قدر المشقّة».</w:t>
      </w:r>
    </w:p>
    <w:p>
      <w:pPr>
        <w:pStyle w:val="BookText"/>
      </w:pPr>
      <w:r>
        <w:rPr>
          <w:rFonts w:ascii="IRNazanin" w:hAnsi="IRNazanin" w:eastAsia="IRNazanin" w:cs="IRNazanin"/>
          <w:lang w:bidi="fa-IR"/>
          <w:color w:val="111111"/>
          <w:sz w:val="28"/>
          <w:szCs w:val="28"/>
          <w:rtl/>
        </w:rPr>
        <w:t xml:space="preserve">فالتحقیق فی دفع التوهّم المذکور:ما ذکرناه من الحکومة، و الورود فی مقام الامتنان.</w:t>
      </w:r>
    </w:p>
    <w:p>
      <w:pPr>
        <w:pStyle w:val="Heading6"/>
      </w:pPr>
      <w:bookmarkStart w:id="1619" w:name="_Toc654"/>
      <w:r>
        <w:t>[تمامیّة القاعدة سندا و دلالة]</w:t>
      </w:r>
      <w:bookmarkEnd w:id="1619"/>
    </w:p>
    <w:p>
      <w:pPr>
        <w:pStyle w:val="BookText"/>
      </w:pPr>
      <w:r>
        <w:rPr>
          <w:rFonts w:ascii="IRNazanin" w:hAnsi="IRNazanin" w:eastAsia="IRNazanin" w:cs="IRNazanin"/>
          <w:lang w:bidi="fa-IR"/>
          <w:color w:val="111111"/>
          <w:sz w:val="28"/>
          <w:szCs w:val="28"/>
          <w:rtl/>
        </w:rPr>
        <w:t xml:space="preserve">ثمّ إنّک قد عرفت بما ذکرنا:أنّه لا قصور فی القاعدة المذکورة من حیث مدرکها،سندا و </w:t>
      </w:r>
      <w:r>
        <w:rPr>
          <w:rStyle w:val="FootnoteReference"/>
        </w:rPr>
        <w:footnoteReference w:id="1425"/>
      </w:r>
      <w:r>
        <w:rPr>
          <w:rFonts w:ascii="Amiri" w:hAnsi="Amiri" w:eastAsia="Amiri" w:cs="Amiri"/>
          <w:lang w:bidi="ar-SA"/>
          <w:color w:val="111111"/>
          <w:sz w:val="28"/>
          <w:szCs w:val="28"/>
          <w:rtl/>
        </w:rPr>
        <w:t xml:space="preserve">دلالة،</w:t>
      </w:r>
    </w:p>
    <w:p>
      <w:pPr>
        <w:pStyle w:val="Heading6"/>
      </w:pPr>
      <w:bookmarkStart w:id="1620" w:name="_Toc655"/>
      <w:r>
        <w:t>[وهن القاعدة بکثرة التخصیصات و الجواب عنه]</w:t>
      </w:r>
      <w:bookmarkEnd w:id="1620"/>
    </w:p>
    <w:p>
      <w:pPr>
        <w:pStyle w:val="BookText"/>
      </w:pPr>
      <w:r>
        <w:rPr>
          <w:rFonts w:ascii="IRNazanin" w:hAnsi="IRNazanin" w:eastAsia="IRNazanin" w:cs="IRNazanin"/>
          <w:lang w:bidi="fa-IR"/>
          <w:color w:val="111111"/>
          <w:sz w:val="28"/>
          <w:szCs w:val="28"/>
          <w:rtl/>
        </w:rPr>
        <w:t xml:space="preserve">إلاّ أنّ الذی یوهن فیها هی:کثرة</w:t>
      </w:r>
    </w:p>
    <w:p>
      <w:pPr>
        <w:pStyle w:val="BookText"/>
      </w:pPr>
      <w:r>
        <w:rPr>
          <w:rFonts w:ascii="IRNazanin" w:hAnsi="IRNazanin" w:eastAsia="IRNazanin" w:cs="IRNazanin"/>
          <w:lang w:bidi="fa-IR"/>
          <w:color w:val="111111"/>
          <w:sz w:val="28"/>
          <w:szCs w:val="28"/>
          <w:rtl/>
        </w:rPr>
        <w:t xml:space="preserve">[شماره صفحه واقعی : 464]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311" w:name="pg14411_142854"/>
    <w:bookmarkEnd w:id="311"/>
    <w:p>
      <w:pPr>
        <w:pStyle w:val="BookText"/>
      </w:pPr>
      <w:r>
        <w:rPr>
          <w:rFonts w:ascii="IRNazanin" w:hAnsi="IRNazanin" w:eastAsia="IRNazanin" w:cs="IRNazanin"/>
          <w:lang w:bidi="fa-IR"/>
          <w:color w:val="111111"/>
          <w:sz w:val="28"/>
          <w:szCs w:val="28"/>
          <w:rtl/>
        </w:rPr>
        <w:t xml:space="preserve">التخصیصات فیها بحیث یکون الخارج منها أضعاف الباقی،کما لا یخفی علی المتتبّع،خصوصا علی تفسیر الضرر بإدخال المکروه کما تقدّم </w:t>
      </w:r>
      <w:r>
        <w:rPr>
          <w:rStyle w:val="FootnoteReference"/>
        </w:rPr>
        <w:footnoteReference w:id="1426"/>
      </w:r>
      <w:r>
        <w:rPr>
          <w:rFonts w:ascii="IRNazanin" w:hAnsi="IRNazanin" w:eastAsia="IRNazanin" w:cs="IRNazanin"/>
          <w:lang w:bidi="fa-IR"/>
          <w:color w:val="111111"/>
          <w:sz w:val="28"/>
          <w:szCs w:val="28"/>
          <w:rtl/>
        </w:rPr>
        <w:t xml:space="preserve">، بل لو بنی علی العمل بعموم هذه القاعدة حصل منه فقه جدید.</w:t>
      </w:r>
    </w:p>
    <w:p>
      <w:pPr>
        <w:pStyle w:val="BookText"/>
      </w:pPr>
      <w:r>
        <w:rPr>
          <w:rFonts w:ascii="IRNazanin" w:hAnsi="IRNazanin" w:eastAsia="IRNazanin" w:cs="IRNazanin"/>
          <w:lang w:bidi="fa-IR"/>
          <w:color w:val="111111"/>
          <w:sz w:val="28"/>
          <w:szCs w:val="28"/>
          <w:rtl/>
        </w:rPr>
        <w:t xml:space="preserve">و مع ذلک،فقد استقرّت سیرة الفریقین علی الاستدلال بها فی مقابل العمومات المثبتة للأحکام،و عدم رفع الید عنها إلاّ بمخصّص قویّ فی غایة الاعتبار،بحیث یعلم منهم انحصار مدرک الحکم فی عموم هذه القاعدة.</w:t>
      </w:r>
    </w:p>
    <w:p>
      <w:pPr>
        <w:pStyle w:val="BookText"/>
      </w:pPr>
      <w:r>
        <w:rPr>
          <w:rFonts w:ascii="IRNazanin" w:hAnsi="IRNazanin" w:eastAsia="IRNazanin" w:cs="IRNazanin"/>
          <w:lang w:bidi="fa-IR"/>
          <w:color w:val="111111"/>
          <w:sz w:val="28"/>
          <w:szCs w:val="28"/>
          <w:rtl/>
        </w:rPr>
        <w:t xml:space="preserve">و لعلّ هذا کاف فی جبر الوهن المذکور و إن کان فی کفایته نظر؛ بناء علی أنّ لزوم تخصیص الأکثر علی تقدیر العموم قرینة علی إرادة معنی لا یلزم منه ذلک.غایة الأمر تردّد الأمر بین العموم و إرادة ذلک المعنی،و استدلال العلماء لا یصلح معیّنا،خصوصا لهذا المعنی المرجوح المنافی لمقام الامتنان و ضرب القاعدة.</w:t>
      </w:r>
    </w:p>
    <w:p>
      <w:pPr>
        <w:pStyle w:val="BookText"/>
      </w:pPr>
      <w:r>
        <w:rPr>
          <w:rFonts w:ascii="IRNazanin" w:hAnsi="IRNazanin" w:eastAsia="IRNazanin" w:cs="IRNazanin"/>
          <w:lang w:bidi="fa-IR"/>
          <w:color w:val="111111"/>
          <w:sz w:val="28"/>
          <w:szCs w:val="28"/>
          <w:rtl/>
        </w:rPr>
        <w:t xml:space="preserve">إلاّ أن یقال-مضافا إلی منع أکثریّة الخارج و إن سلّمت کثرته-:</w:t>
      </w:r>
    </w:p>
    <w:p>
      <w:pPr>
        <w:pStyle w:val="BookText"/>
      </w:pPr>
      <w:r>
        <w:rPr>
          <w:rFonts w:ascii="IRNazanin" w:hAnsi="IRNazanin" w:eastAsia="IRNazanin" w:cs="IRNazanin"/>
          <w:lang w:bidi="fa-IR"/>
          <w:color w:val="111111"/>
          <w:sz w:val="28"/>
          <w:szCs w:val="28"/>
          <w:rtl/>
        </w:rPr>
        <w:t xml:space="preserve">إنّ الموارد الکثیرة الخارجة عن العامّ إنّما خرجت بعنوان واحد جامع لها و إن لم نعرفه علی وجه التفصیل،و قد تقرّر أنّ تخصیص الأکثر لا استهجان فیه إذا کان بعنوان واحد جامع لأفراد هی أکثر من الباقی، کما إذا قیل:«أکرم الناس»و دلّ دلیل علی اعتبار العدالة،خصوصا إذا کان المخصّص ممّا یعلم به المخاطب حال الخطاب.</w:t>
      </w:r>
    </w:p>
    <w:p>
      <w:pPr>
        <w:pStyle w:val="Heading6"/>
      </w:pPr>
      <w:bookmarkStart w:id="1621" w:name="_Toc656"/>
      <w:r>
        <w:t>[وجه التمسّک بکثیر من العمومات مع خروج أکثر أفرادها]</w:t>
      </w:r>
      <w:bookmarkEnd w:id="1621"/>
    </w:p>
    <w:p>
      <w:pPr>
        <w:pStyle w:val="BookText"/>
      </w:pPr>
      <w:r>
        <w:rPr>
          <w:rFonts w:ascii="IRNazanin" w:hAnsi="IRNazanin" w:eastAsia="IRNazanin" w:cs="IRNazanin"/>
          <w:lang w:bidi="fa-IR"/>
          <w:color w:val="111111"/>
          <w:sz w:val="28"/>
          <w:szCs w:val="28"/>
          <w:rtl/>
        </w:rPr>
        <w:t xml:space="preserve">و من هنا ظهر وجه صحّة التمسّک بکثیر من العمومات مع خروج أکثر أفرادها،کما فی قوله علیه السّلام:«المؤمنون عند شروطهم» </w:t>
      </w:r>
      <w:r>
        <w:rPr>
          <w:rStyle w:val="FootnoteReference"/>
        </w:rPr>
        <w:footnoteReference w:id="1427"/>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465]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312" w:name="pg14411_142855"/>
    <w:bookmarkEnd w:id="312"/>
    <w:p>
      <w:pPr>
        <w:pStyle w:val="BookText"/>
      </w:pPr>
      <w:r>
        <w:rPr>
          <w:rFonts w:ascii="Amiri" w:hAnsi="Amiri" w:eastAsia="Amiri" w:cs="Amiri"/>
          <w:lang w:bidi="ar-SA"/>
          <w:color w:val="111111"/>
          <w:sz w:val="28"/>
          <w:szCs w:val="28"/>
          <w:rtl/>
        </w:rPr>
        <w:t xml:space="preserve">و قوله تعالی: أَوْفُوا بِالْعُقُودِ </w:t>
      </w:r>
      <w:r>
        <w:rPr>
          <w:rStyle w:val="FootnoteReference"/>
        </w:rPr>
        <w:footnoteReference w:id="1428"/>
      </w:r>
      <w:r>
        <w:rPr>
          <w:rFonts w:ascii="IRNazanin" w:hAnsi="IRNazanin" w:eastAsia="IRNazanin" w:cs="IRNazanin"/>
          <w:lang w:bidi="fa-IR"/>
          <w:color w:val="111111"/>
          <w:sz w:val="28"/>
          <w:szCs w:val="28"/>
          <w:rtl/>
        </w:rPr>
        <w:t xml:space="preserve">،بناء علی إرادة العهود کما فی الصحیح </w:t>
      </w:r>
      <w:r>
        <w:rPr>
          <w:rStyle w:val="FootnoteReference"/>
        </w:rPr>
        <w:footnoteReference w:id="1429"/>
      </w:r>
      <w:r>
        <w:rPr>
          <w:rFonts w:ascii="Times New Roman" w:hAnsi="Times New Roman" w:eastAsia="Times New Roman" w:cs="Times New Roman"/>
          <w:lang w:val="en-US" w:bidi="en-US"/>
          <w:color w:val="111111"/>
          <w:sz w:val="28"/>
          <w:szCs w:val="28"/>
          <w:rtl/>
        </w:rPr>
        <w:t xml:space="preserve">.</w:t>
      </w:r>
    </w:p>
    <w:p>
      <w:pPr>
        <w:pStyle w:val="Heading6"/>
      </w:pPr>
      <w:bookmarkStart w:id="1622" w:name="_Toc657"/>
      <w:r>
        <w:t>[الضرر المنفی هو الضرر النوعی لا الشخصی]</w:t>
      </w:r>
      <w:bookmarkEnd w:id="1622"/>
    </w:p>
    <w:p>
      <w:pPr>
        <w:pStyle w:val="BookText"/>
      </w:pPr>
      <w:r>
        <w:rPr>
          <w:rFonts w:ascii="IRNazanin" w:hAnsi="IRNazanin" w:eastAsia="IRNazanin" w:cs="IRNazanin"/>
          <w:lang w:bidi="fa-IR"/>
          <w:color w:val="111111"/>
          <w:sz w:val="28"/>
          <w:szCs w:val="28"/>
          <w:rtl/>
        </w:rPr>
        <w:t xml:space="preserve">ثمّ إنّه یشکل الأمر من حیث:إنّ ظاهرهم فی </w:t>
      </w:r>
      <w:r>
        <w:rPr>
          <w:rStyle w:val="FootnoteReference"/>
        </w:rPr>
        <w:footnoteReference w:id="1430"/>
      </w:r>
      <w:r>
        <w:rPr>
          <w:rFonts w:ascii="IRNazanin" w:hAnsi="IRNazanin" w:eastAsia="IRNazanin" w:cs="IRNazanin"/>
          <w:lang w:bidi="fa-IR"/>
          <w:color w:val="111111"/>
          <w:sz w:val="28"/>
          <w:szCs w:val="28"/>
          <w:rtl/>
        </w:rPr>
        <w:t xml:space="preserve">الضرر المنفیّ الضرر النوعیّ لا الشخصیّ،فحکموا بشرعیّة الخیار للمغبون؛نظرا إلی ملاحظة نوع البیع المغبون فیه و إن فرض عدم تضرّره فی خصوص مقام،کما إذا لم یوجد راغب فی المبیع و کان بقاؤه ضررا علی البائع؛ لکونه فی معرض الإباق أو التلف أو الغصب،و کما إذا لم یترتّب علی ترک الشفعة ضرر علی الشفیع،بل کان له فیه نفع.</w:t>
      </w:r>
    </w:p>
    <w:p>
      <w:pPr>
        <w:pStyle w:val="BookText"/>
      </w:pPr>
      <w:r>
        <w:rPr>
          <w:rFonts w:ascii="IRNazanin" w:hAnsi="IRNazanin" w:eastAsia="IRNazanin" w:cs="IRNazanin"/>
          <w:lang w:bidi="fa-IR"/>
          <w:color w:val="111111"/>
          <w:sz w:val="28"/>
          <w:szCs w:val="28"/>
          <w:rtl/>
        </w:rPr>
        <w:t xml:space="preserve">و بالجملة:فالضرر عندهم فی بعض الأحکام حکمة لا یعتبر اطّرادها،و فی بعض المقامات یعتبرون اطّرادها،مع أنّ ظاهر الروایة اعتبار الضرر الشخصی.</w:t>
      </w:r>
    </w:p>
    <w:p>
      <w:pPr>
        <w:pStyle w:val="BookText"/>
      </w:pPr>
      <w:r>
        <w:rPr>
          <w:rFonts w:ascii="IRNazanin" w:hAnsi="IRNazanin" w:eastAsia="IRNazanin" w:cs="IRNazanin"/>
          <w:lang w:bidi="fa-IR"/>
          <w:color w:val="111111"/>
          <w:sz w:val="28"/>
          <w:szCs w:val="28"/>
          <w:rtl/>
        </w:rPr>
        <w:t xml:space="preserve">إلاّ أن یستظهر منها:انتفاء الحکم رأسا إذا کان موجبا للضرر غالبا و إن لم یوجبه دائما،کما قد یدّعی نظیر ذلک فی أدلّة نفی الحرج.</w:t>
      </w:r>
    </w:p>
    <w:p>
      <w:pPr>
        <w:pStyle w:val="BookText"/>
      </w:pPr>
      <w:r>
        <w:rPr>
          <w:rFonts w:ascii="IRNazanin" w:hAnsi="IRNazanin" w:eastAsia="IRNazanin" w:cs="IRNazanin"/>
          <w:lang w:bidi="fa-IR"/>
          <w:color w:val="111111"/>
          <w:sz w:val="28"/>
          <w:szCs w:val="28"/>
          <w:rtl/>
        </w:rPr>
        <w:t xml:space="preserve">و لو قلنا بأنّ التسلّط علی ملک الغیر بإخراجه عن ملکه قهرا علیه بخیار أو شفعة ضرر أیضا،صار الأمر أشکل.</w:t>
      </w:r>
    </w:p>
    <w:p>
      <w:pPr>
        <w:pStyle w:val="BookText"/>
      </w:pPr>
      <w:r>
        <w:rPr>
          <w:rFonts w:ascii="IRNazanin" w:hAnsi="IRNazanin" w:eastAsia="IRNazanin" w:cs="IRNazanin"/>
          <w:lang w:bidi="fa-IR"/>
          <w:color w:val="111111"/>
          <w:sz w:val="28"/>
          <w:szCs w:val="28"/>
          <w:rtl/>
        </w:rPr>
        <w:t xml:space="preserve">إلاّ أن یقال:إنّ الضرر أوجب وقوع العقد علی وجه متزلزل یدخل فیه الخیار،فتأمّل.</w:t>
      </w:r>
    </w:p>
    <w:p>
      <w:pPr>
        <w:pStyle w:val="BookText"/>
      </w:pPr>
      <w:r>
        <w:rPr>
          <w:rFonts w:ascii="IRNazanin" w:hAnsi="IRNazanin" w:eastAsia="IRNazanin" w:cs="IRNazanin"/>
          <w:lang w:bidi="fa-IR"/>
          <w:color w:val="111111"/>
          <w:sz w:val="28"/>
          <w:szCs w:val="28"/>
          <w:rtl/>
        </w:rPr>
        <w:t xml:space="preserve">[شماره صفحه واقعی : 466]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313" w:name="pg14411_142856"/>
    <w:bookmarkEnd w:id="313"/>
    <w:p>
      <w:pPr>
        <w:pStyle w:val="Heading6"/>
      </w:pPr>
      <w:bookmarkStart w:id="1623" w:name="_Toc658"/>
      <w:r>
        <w:t>[تعارض الضررین]</w:t>
      </w:r>
      <w:bookmarkEnd w:id="1623"/>
    </w:p>
    <w:p>
      <w:pPr>
        <w:pStyle w:val="BookText"/>
      </w:pPr>
      <w:r>
        <w:rPr>
          <w:rFonts w:ascii="IRNazanin" w:hAnsi="IRNazanin" w:eastAsia="IRNazanin" w:cs="IRNazanin"/>
          <w:lang w:bidi="fa-IR"/>
          <w:color w:val="111111"/>
          <w:sz w:val="28"/>
          <w:szCs w:val="28"/>
          <w:rtl/>
        </w:rPr>
        <w:t xml:space="preserve">ثمّ إنّه قد یتعارض الضرران بالنسبة إلی شخص واحد أو شخصین،فمع فقد المرجّح یرجع إلی الاصول و القواعد الأخر،کما أنّه إذا اکره علی الولایة من قبل الجائر المستلزمة للإضرار علی الناس، فإنّه یرجع إلی قاعدة«نفی الحرج»؛لأنّ إلزام الشخص بتحمّل الضرر لدفع الضرر عن غیره حرج،و قد ذکرنا توضیح ذلک فی مسألة التولّی من قبل الجائر من کتاب المکاسب </w:t>
      </w:r>
      <w:r>
        <w:rPr>
          <w:rStyle w:val="FootnoteReference"/>
        </w:rPr>
        <w:footnoteReference w:id="1431"/>
      </w:r>
      <w:r>
        <w:rPr>
          <w:rFonts w:ascii="Times New Roman" w:hAnsi="Times New Roman" w:eastAsia="Times New Roman" w:cs="Times New Roman"/>
          <w:lang w:val="en-US" w:bidi="en-US"/>
          <w:color w:val="111111"/>
          <w:sz w:val="28"/>
          <w:szCs w:val="28"/>
          <w:rtl/>
        </w:rPr>
        <w:t xml:space="preserve">.</w:t>
      </w:r>
    </w:p>
    <w:p>
      <w:pPr>
        <w:pStyle w:val="Heading6"/>
      </w:pPr>
      <w:bookmarkStart w:id="1624" w:name="_Toc659"/>
      <w:r>
        <w:t>[تعارض ضرر المالک و ضرر الغیر]</w:t>
      </w:r>
      <w:bookmarkEnd w:id="1624"/>
    </w:p>
    <w:p>
      <w:pPr>
        <w:pStyle w:val="BookText"/>
      </w:pPr>
      <w:r>
        <w:rPr>
          <w:rFonts w:ascii="IRNazanin" w:hAnsi="IRNazanin" w:eastAsia="IRNazanin" w:cs="IRNazanin"/>
          <w:lang w:bidi="fa-IR"/>
          <w:color w:val="111111"/>
          <w:sz w:val="28"/>
          <w:szCs w:val="28"/>
          <w:rtl/>
        </w:rPr>
        <w:t xml:space="preserve">و مثله:إذا کان تصرّف المالک فی ملکه موجبا لتضرّر جاره و ترکه موجبا لتضرّر نفسه،فإنّه یرجع إلی عموم:«الناس مسلّطون علی أموالهم» </w:t>
      </w:r>
      <w:r>
        <w:rPr>
          <w:rStyle w:val="FootnoteReference"/>
        </w:rPr>
        <w:footnoteReference w:id="1432"/>
      </w:r>
      <w:r>
        <w:rPr>
          <w:rFonts w:ascii="IRNazanin" w:hAnsi="IRNazanin" w:eastAsia="IRNazanin" w:cs="IRNazanin"/>
          <w:lang w:bidi="fa-IR"/>
          <w:color w:val="111111"/>
          <w:sz w:val="28"/>
          <w:szCs w:val="28"/>
          <w:rtl/>
        </w:rPr>
        <w:t xml:space="preserve">،و لو عدّ مطلق حجره عن التصرّف فی ملکه ضررا،لم یعتبر فی ترجیح المالک ضرر زائد علی ترک التصرّف فیه،فیرجع إلی عموم التسلّط.</w:t>
      </w:r>
    </w:p>
    <w:p>
      <w:pPr>
        <w:pStyle w:val="BookText"/>
      </w:pPr>
      <w:r>
        <w:rPr>
          <w:rFonts w:ascii="IRNazanin" w:hAnsi="IRNazanin" w:eastAsia="IRNazanin" w:cs="IRNazanin"/>
          <w:lang w:bidi="fa-IR"/>
          <w:color w:val="111111"/>
          <w:sz w:val="28"/>
          <w:szCs w:val="28"/>
          <w:rtl/>
        </w:rPr>
        <w:t xml:space="preserve">و یمکن الرجوع إلی قاعدة«نفی الحرج»؛لأنّ منع المالک لدفع ضرر الغیر حرج و ضیق علیه؛إمّا لحکومته ابتداء علی نفی الضرر، و إمّا لتعارضهما و الرجوع إلی الأصل </w:t>
      </w:r>
      <w:r>
        <w:rPr>
          <w:rStyle w:val="FootnoteReference"/>
        </w:rPr>
        <w:footnoteReference w:id="1433"/>
      </w:r>
      <w:r>
        <w:rPr>
          <w:rFonts w:ascii="Times New Roman" w:hAnsi="Times New Roman" w:eastAsia="Times New Roman" w:cs="Times New Roman"/>
          <w:lang w:val="en-US" w:bidi="en-US"/>
          <w:color w:val="111111"/>
          <w:sz w:val="28"/>
          <w:szCs w:val="28"/>
          <w:rtl/>
        </w:rPr>
        <w:t xml:space="preserve">.</w:t>
      </w:r>
    </w:p>
    <w:p>
      <w:pPr>
        <w:pStyle w:val="Heading6"/>
      </w:pPr>
      <w:bookmarkStart w:id="1625" w:name="_Toc660"/>
      <w:r>
        <w:t>[جواز تصرّف المالک و إن تضرّر الجار]</w:t>
      </w:r>
      <w:bookmarkEnd w:id="1625"/>
    </w:p>
    <w:p>
      <w:pPr>
        <w:pStyle w:val="Heading6"/>
      </w:pPr>
      <w:bookmarkStart w:id="1626" w:name="_Toc661"/>
      <w:r>
        <w:t>اشارة</w:t>
      </w:r>
      <w:bookmarkEnd w:id="1626"/>
    </w:p>
    <w:p>
      <w:pPr>
        <w:pStyle w:val="BookText"/>
      </w:pPr>
      <w:r>
        <w:rPr>
          <w:rFonts w:ascii="Amiri" w:hAnsi="Amiri" w:eastAsia="Amiri" w:cs="Amiri"/>
          <w:lang w:bidi="ar-SA"/>
          <w:color w:val="111111"/>
          <w:sz w:val="28"/>
          <w:szCs w:val="28"/>
          <w:rtl/>
        </w:rPr>
        <w:t xml:space="preserve">و لعلّ هذا أو بعضه منشأ إطلاق جماعة </w:t>
      </w:r>
      <w:r>
        <w:rPr>
          <w:rStyle w:val="FootnoteReference"/>
        </w:rPr>
        <w:footnoteReference w:id="1434"/>
      </w:r>
      <w:r>
        <w:rPr>
          <w:rFonts w:ascii="IRNazanin" w:hAnsi="IRNazanin" w:eastAsia="IRNazanin" w:cs="IRNazanin"/>
          <w:lang w:bidi="fa-IR"/>
          <w:color w:val="111111"/>
          <w:sz w:val="28"/>
          <w:szCs w:val="28"/>
          <w:rtl/>
        </w:rPr>
        <w:t xml:space="preserve">و تصریح آخرین </w:t>
      </w:r>
      <w:r>
        <w:rPr>
          <w:rStyle w:val="FootnoteReference"/>
        </w:rPr>
        <w:footnoteReference w:id="1435"/>
      </w:r>
      <w:r>
        <w:rPr>
          <w:rFonts w:ascii="IRNazanin" w:hAnsi="IRNazanin" w:eastAsia="IRNazanin" w:cs="IRNazanin"/>
          <w:lang w:bidi="fa-IR"/>
          <w:color w:val="111111"/>
          <w:sz w:val="28"/>
          <w:szCs w:val="28"/>
          <w:rtl/>
        </w:rPr>
        <w:t xml:space="preserve">بجواز</w:t>
      </w:r>
    </w:p>
    <w:p>
      <w:pPr>
        <w:pStyle w:val="BookText"/>
      </w:pPr>
      <w:r>
        <w:rPr>
          <w:rFonts w:ascii="IRNazanin" w:hAnsi="IRNazanin" w:eastAsia="IRNazanin" w:cs="IRNazanin"/>
          <w:lang w:bidi="fa-IR"/>
          <w:color w:val="111111"/>
          <w:sz w:val="28"/>
          <w:szCs w:val="28"/>
          <w:rtl/>
        </w:rPr>
        <w:t xml:space="preserve">[شماره صفحه واقعی : 467]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314" w:name="pg14411_142857"/>
    <w:bookmarkEnd w:id="314"/>
    <w:p>
      <w:pPr>
        <w:pStyle w:val="BookText"/>
      </w:pPr>
      <w:r>
        <w:rPr>
          <w:rFonts w:ascii="IRNazanin" w:hAnsi="IRNazanin" w:eastAsia="IRNazanin" w:cs="IRNazanin"/>
          <w:lang w:bidi="fa-IR"/>
          <w:color w:val="111111"/>
          <w:sz w:val="28"/>
          <w:szCs w:val="28"/>
          <w:rtl/>
        </w:rPr>
        <w:t xml:space="preserve">تصرّف المالک فی ملکه و إن تضرّر الجار،بأن یبنی داره مدبغة أو حمّاما أو بیت القصارة أو الحدادة،بل حکی عن الشیخ </w:t>
      </w:r>
      <w:r>
        <w:rPr>
          <w:rStyle w:val="FootnoteReference"/>
        </w:rPr>
        <w:footnoteReference w:id="1436"/>
      </w:r>
      <w:r>
        <w:rPr>
          <w:rFonts w:ascii="Amiri" w:hAnsi="Amiri" w:eastAsia="Amiri" w:cs="Amiri"/>
          <w:lang w:bidi="ar-SA"/>
          <w:color w:val="111111"/>
          <w:sz w:val="28"/>
          <w:szCs w:val="28"/>
          <w:rtl/>
        </w:rPr>
        <w:t xml:space="preserve">و الحلبیّ </w:t>
      </w:r>
      <w:r>
        <w:rPr>
          <w:rStyle w:val="FootnoteReference"/>
        </w:rPr>
        <w:footnoteReference w:id="1437"/>
      </w:r>
      <w:r>
        <w:rPr>
          <w:rFonts w:ascii="Amiri" w:hAnsi="Amiri" w:eastAsia="Amiri" w:cs="Amiri"/>
          <w:lang w:bidi="ar-SA"/>
          <w:color w:val="111111"/>
          <w:sz w:val="28"/>
          <w:szCs w:val="28"/>
          <w:rtl/>
        </w:rPr>
        <w:t xml:space="preserve">و ابن زهرة </w:t>
      </w:r>
      <w:r>
        <w:rPr>
          <w:rStyle w:val="FootnoteReference"/>
        </w:rPr>
        <w:footnoteReference w:id="1438"/>
      </w:r>
      <w:r>
        <w:rPr>
          <w:rFonts w:ascii="IRNazanin" w:hAnsi="IRNazanin" w:eastAsia="IRNazanin" w:cs="IRNazanin"/>
          <w:lang w:bidi="fa-IR"/>
          <w:color w:val="111111"/>
          <w:sz w:val="28"/>
          <w:szCs w:val="28"/>
          <w:rtl/>
        </w:rPr>
        <w:t xml:space="preserve">دعوی الوفاق علیه.</w:t>
      </w:r>
    </w:p>
    <w:p>
      <w:pPr>
        <w:pStyle w:val="BookText"/>
      </w:pPr>
      <w:r>
        <w:rPr>
          <w:rFonts w:ascii="IRNazanin" w:hAnsi="IRNazanin" w:eastAsia="IRNazanin" w:cs="IRNazanin"/>
          <w:lang w:bidi="fa-IR"/>
          <w:color w:val="111111"/>
          <w:sz w:val="28"/>
          <w:szCs w:val="28"/>
          <w:rtl/>
        </w:rPr>
        <w:t xml:space="preserve">و لعلّه أیضا منشأ ما فی التذکرة </w:t>
      </w:r>
      <w:r>
        <w:rPr>
          <w:rStyle w:val="FootnoteReference"/>
        </w:rPr>
        <w:footnoteReference w:id="1439"/>
      </w:r>
      <w:r>
        <w:rPr>
          <w:rFonts w:ascii="IRNazanin" w:hAnsi="IRNazanin" w:eastAsia="IRNazanin" w:cs="IRNazanin"/>
          <w:lang w:bidi="fa-IR"/>
          <w:color w:val="111111"/>
          <w:sz w:val="28"/>
          <w:szCs w:val="28"/>
          <w:rtl/>
        </w:rPr>
        <w:t xml:space="preserve">:من الفرق بین تصرّف الإنسان فی الشارع المباح بإخراج روشن أو جناح،و بین تصرّفه فی ملکه، حیث اعتبر فی الأوّل عدم تضرّر الجار بخلاف الثانی؛فإنّ المنع عن التصرّف فی المباح لا یعدّ ضررا بل فوات انتفاع.</w:t>
      </w:r>
    </w:p>
    <w:p>
      <w:pPr>
        <w:pStyle w:val="Heading6"/>
      </w:pPr>
      <w:bookmarkStart w:id="1627" w:name="_Toc662"/>
      <w:r>
        <w:t>[إشکال المحقّق السبزواری فیما إذا تضرّر الجار ضررا فاحشا]</w:t>
      </w:r>
      <w:bookmarkEnd w:id="1627"/>
    </w:p>
    <w:p>
      <w:pPr>
        <w:pStyle w:val="BookText"/>
      </w:pPr>
      <w:r>
        <w:rPr>
          <w:rFonts w:ascii="IRNazanin" w:hAnsi="IRNazanin" w:eastAsia="IRNazanin" w:cs="IRNazanin"/>
          <w:lang w:bidi="fa-IR"/>
          <w:color w:val="111111"/>
          <w:sz w:val="28"/>
          <w:szCs w:val="28"/>
          <w:rtl/>
        </w:rPr>
        <w:t xml:space="preserve">نعم،ناقش فی ذلک صاحب الکفایة-مع الاعتراف بأنّه المعروف بین الأصحاب-:بمعارضة عموم التسلّط بعموم نفی الضرر،قال فی الکفایة:</w:t>
      </w:r>
    </w:p>
    <w:p>
      <w:pPr>
        <w:pStyle w:val="BookText"/>
      </w:pPr>
      <w:r>
        <w:rPr>
          <w:rFonts w:ascii="IRNazanin" w:hAnsi="IRNazanin" w:eastAsia="IRNazanin" w:cs="IRNazanin"/>
          <w:lang w:bidi="fa-IR"/>
          <w:color w:val="111111"/>
          <w:sz w:val="28"/>
          <w:szCs w:val="28"/>
          <w:rtl/>
        </w:rPr>
        <w:t xml:space="preserve">و یشکل جواز ذلک فیما إذا تضرّر الجار تضرّرا فاحشا،کما إذا حفر فی ملکه بالوعة ففسد بها بئر الغیر،أو جعل حانوته فی صفّ العطّارین حانوت حدّاد،أو جعل داره مدبغة أو مطبخة </w:t>
      </w:r>
      <w:r>
        <w:rPr>
          <w:rStyle w:val="FootnoteReference"/>
        </w:rPr>
        <w:footnoteReference w:id="1440"/>
      </w:r>
      <w:r>
        <w:rPr>
          <w:rFonts w:ascii="IRNazanin" w:hAnsi="IRNazanin" w:eastAsia="IRNazanin" w:cs="IRNazanin"/>
          <w:lang w:bidi="fa-IR"/>
          <w:color w:val="111111"/>
          <w:sz w:val="28"/>
          <w:szCs w:val="28"/>
          <w:rtl/>
        </w:rPr>
        <w:t xml:space="preserve">، انتهی.</w:t>
      </w:r>
    </w:p>
    <w:p>
      <w:pPr>
        <w:pStyle w:val="BookText"/>
      </w:pPr>
      <w:r>
        <w:rPr>
          <w:rFonts w:ascii="IRNazanin" w:hAnsi="IRNazanin" w:eastAsia="IRNazanin" w:cs="IRNazanin"/>
          <w:lang w:bidi="fa-IR"/>
          <w:color w:val="111111"/>
          <w:sz w:val="28"/>
          <w:szCs w:val="28"/>
          <w:rtl/>
        </w:rPr>
        <w:t xml:space="preserve">[شماره صفحه واقعی : 468]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اعترض علیه </w:t>
      </w:r>
      <w:r>
        <w:rPr>
          <w:rStyle w:val="FootnoteReference"/>
        </w:rPr>
        <w:footnoteReference w:id="1441"/>
      </w:r>
      <w:r>
        <w:rPr>
          <w:rFonts w:ascii="IRNazanin" w:hAnsi="IRNazanin" w:eastAsia="IRNazanin" w:cs="IRNazanin"/>
          <w:lang w:bidi="fa-IR"/>
          <w:color w:val="111111"/>
          <w:sz w:val="28"/>
          <w:szCs w:val="28"/>
          <w:rtl/>
        </w:rPr>
        <w:t xml:space="preserve">-تبعا للریاض </w:t>
      </w:r>
      <w:r>
        <w:rPr>
          <w:rStyle w:val="FootnoteReference"/>
        </w:rPr>
        <w:footnoteReference w:id="1442"/>
      </w:r>
      <w:r>
        <w:rPr>
          <w:rFonts w:ascii="IRNazanin" w:hAnsi="IRNazanin" w:eastAsia="IRNazanin" w:cs="IRNazanin"/>
          <w:lang w:bidi="fa-IR"/>
          <w:color w:val="111111"/>
          <w:sz w:val="28"/>
          <w:szCs w:val="28"/>
          <w:rtl/>
        </w:rPr>
        <w:t xml:space="preserve">-بما حاصله:أنّه لا معنی للتأمّل بعد إطباق الأصحاب علیه-نقلا و تحصیلا-،و الخبر المعمول علیه بل المتواتر:من أنّ«الناس مسلّطون علی أموالهم» </w:t>
      </w:r>
      <w:r>
        <w:rPr>
          <w:rStyle w:val="FootnoteReference"/>
        </w:rPr>
        <w:footnoteReference w:id="14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أخبار الإضرار </w:t>
      </w:r>
      <w:r>
        <w:rPr>
          <w:rStyle w:val="FootnoteReference"/>
        </w:rPr>
        <w:footnoteReference w:id="1444"/>
      </w:r>
      <w:r>
        <w:rPr>
          <w:rFonts w:ascii="IRNazanin" w:hAnsi="IRNazanin" w:eastAsia="IRNazanin" w:cs="IRNazanin"/>
          <w:lang w:bidi="fa-IR"/>
          <w:color w:val="111111"/>
          <w:sz w:val="28"/>
          <w:szCs w:val="28"/>
          <w:rtl/>
        </w:rPr>
        <w:t xml:space="preserve">علی ضعف بعضها و عدم تکافؤها لتلک الأدلّة،محمولة علی ما إذا لم یکن غرض له إلاّ الإضرار،بل فیها -کخبر سمرة </w:t>
      </w:r>
      <w:r>
        <w:rPr>
          <w:rStyle w:val="FootnoteReference"/>
        </w:rPr>
        <w:footnoteReference w:id="1445"/>
      </w:r>
      <w:r>
        <w:rPr>
          <w:rFonts w:ascii="IRNazanin" w:hAnsi="IRNazanin" w:eastAsia="IRNazanin" w:cs="IRNazanin"/>
          <w:lang w:bidi="fa-IR"/>
          <w:color w:val="111111"/>
          <w:sz w:val="28"/>
          <w:szCs w:val="28"/>
          <w:rtl/>
        </w:rPr>
        <w:t xml:space="preserve">-إیماء إلی ذلک.</w:t>
      </w:r>
    </w:p>
    <w:p>
      <w:pPr>
        <w:pStyle w:val="BookText"/>
      </w:pPr>
      <w:r>
        <w:rPr>
          <w:rFonts w:ascii="IRNazanin" w:hAnsi="IRNazanin" w:eastAsia="IRNazanin" w:cs="IRNazanin"/>
          <w:lang w:bidi="fa-IR"/>
          <w:color w:val="111111"/>
          <w:sz w:val="28"/>
          <w:szCs w:val="28"/>
          <w:rtl/>
        </w:rPr>
        <w:t xml:space="preserve">سلّمنا،لکنّ التعارض بین الخبرین بالعموم من وجه،و الترجیح للمشهور </w:t>
      </w:r>
      <w:r>
        <w:rPr>
          <w:rStyle w:val="FootnoteReference"/>
        </w:rPr>
        <w:footnoteReference w:id="1446"/>
      </w:r>
      <w:r>
        <w:rPr>
          <w:rFonts w:ascii="IRNazanin" w:hAnsi="IRNazanin" w:eastAsia="IRNazanin" w:cs="IRNazanin"/>
          <w:lang w:bidi="fa-IR"/>
          <w:color w:val="111111"/>
          <w:sz w:val="28"/>
          <w:szCs w:val="28"/>
          <w:rtl/>
        </w:rPr>
        <w:t xml:space="preserve">للأصل،و الإجماع </w:t>
      </w:r>
      <w:r>
        <w:rPr>
          <w:rStyle w:val="FootnoteReference"/>
        </w:rPr>
        <w:footnoteReference w:id="1447"/>
      </w:r>
      <w:r>
        <w:rPr>
          <w:rFonts w:ascii="IRNazanin" w:hAnsi="IRNazanin" w:eastAsia="IRNazanin" w:cs="IRNazanin"/>
          <w:lang w:bidi="fa-IR"/>
          <w:color w:val="111111"/>
          <w:sz w:val="28"/>
          <w:szCs w:val="28"/>
          <w:rtl/>
        </w:rPr>
        <w:t xml:space="preserve">،انتهی.</w:t>
      </w:r>
    </w:p>
    <w:p>
      <w:pPr>
        <w:pStyle w:val="BookText"/>
      </w:pPr>
      <w:r>
        <w:rPr>
          <w:rFonts w:ascii="Amiri" w:hAnsi="Amiri" w:eastAsia="Amiri" w:cs="Amiri"/>
          <w:lang w:bidi="ar-SA"/>
          <w:color w:val="111111"/>
          <w:sz w:val="28"/>
          <w:szCs w:val="28"/>
          <w:rtl/>
        </w:rPr>
        <w:t xml:space="preserve">ثمّ فصّل المعترض بین أقسام التصرّف:</w:t>
      </w:r>
    </w:p>
    <w:p>
      <w:pPr>
        <w:pStyle w:val="BookText"/>
      </w:pPr>
      <w:r>
        <w:rPr>
          <w:rFonts w:ascii="IRNazanin" w:hAnsi="IRNazanin" w:eastAsia="IRNazanin" w:cs="IRNazanin"/>
          <w:lang w:bidi="fa-IR"/>
          <w:color w:val="111111"/>
          <w:sz w:val="28"/>
          <w:szCs w:val="28"/>
          <w:rtl/>
        </w:rPr>
        <w:t xml:space="preserve">بأنّه إن قصد به الإضرار من دون أن یترتّب علیه جلب نفع أو دفع ضرر،فلا ریب فی أنّه یمنع،کما دلّ علیه خبر سمرة بن جندب؛ حیث قال له النبیّ صلّی اللّه علیه و آله:«إنّک رجل مضارّ».</w:t>
      </w:r>
    </w:p>
    <w:p>
      <w:pPr>
        <w:pStyle w:val="BookText"/>
      </w:pPr>
      <w:r>
        <w:rPr>
          <w:rFonts w:ascii="IRNazanin" w:hAnsi="IRNazanin" w:eastAsia="IRNazanin" w:cs="IRNazanin"/>
          <w:lang w:bidi="fa-IR"/>
          <w:color w:val="111111"/>
          <w:sz w:val="28"/>
          <w:szCs w:val="28"/>
          <w:rtl/>
        </w:rPr>
        <w:t xml:space="preserve">و أمّا إذا ترتّب علیه نفع أو دفع ضرر و علی جاره ضرر یسیر،</w:t>
      </w:r>
    </w:p>
    <w:p>
      <w:pPr>
        <w:pStyle w:val="BookText"/>
      </w:pPr>
      <w:r>
        <w:rPr>
          <w:rFonts w:ascii="IRNazanin" w:hAnsi="IRNazanin" w:eastAsia="IRNazanin" w:cs="IRNazanin"/>
          <w:lang w:bidi="fa-IR"/>
          <w:color w:val="111111"/>
          <w:sz w:val="28"/>
          <w:szCs w:val="28"/>
          <w:rtl/>
        </w:rPr>
        <w:t xml:space="preserve">[شماره صفحه واقعی : 469]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315" w:name="pg14411_142859"/>
    <w:bookmarkEnd w:id="315"/>
    <w:p>
      <w:pPr>
        <w:pStyle w:val="BookText"/>
      </w:pPr>
      <w:r>
        <w:rPr>
          <w:rFonts w:ascii="IRNazanin" w:hAnsi="IRNazanin" w:eastAsia="IRNazanin" w:cs="IRNazanin"/>
          <w:lang w:bidi="fa-IR"/>
          <w:color w:val="111111"/>
          <w:sz w:val="28"/>
          <w:szCs w:val="28"/>
          <w:rtl/>
        </w:rPr>
        <w:t xml:space="preserve">فإنّه جائز قطعا.و علیه بنوا جواز رفع الجدار علی سطح الجار.</w:t>
      </w:r>
    </w:p>
    <w:p>
      <w:pPr>
        <w:pStyle w:val="BookText"/>
      </w:pPr>
      <w:r>
        <w:rPr>
          <w:rFonts w:ascii="IRNazanin" w:hAnsi="IRNazanin" w:eastAsia="IRNazanin" w:cs="IRNazanin"/>
          <w:lang w:bidi="fa-IR"/>
          <w:color w:val="111111"/>
          <w:sz w:val="28"/>
          <w:szCs w:val="28"/>
          <w:rtl/>
        </w:rPr>
        <w:t xml:space="preserve">و أمّا إذا کان ضرر الجار کثیرا یتحمّل عادة،فإنّه جائز علی کراهیّة شدیدة.و علیه بنوا کراهیّة التولّی من قبل الجائر لدفع ضرر یصیبه.</w:t>
      </w:r>
    </w:p>
    <w:p>
      <w:pPr>
        <w:pStyle w:val="BookText"/>
      </w:pPr>
      <w:r>
        <w:rPr>
          <w:rFonts w:ascii="IRNazanin" w:hAnsi="IRNazanin" w:eastAsia="IRNazanin" w:cs="IRNazanin"/>
          <w:lang w:bidi="fa-IR"/>
          <w:color w:val="111111"/>
          <w:sz w:val="28"/>
          <w:szCs w:val="28"/>
          <w:rtl/>
        </w:rPr>
        <w:t xml:space="preserve">و أمّا إذا کان ضرر الجار کثیرا لا یتحمّل عادة لنفع یصیبه،فإنّه لا یجوز له ذلک.و علیه بنوا حرمة الاحتکار فی مثل ذلک.و علیه بنی جماعة-کالفاضل فی التحریر </w:t>
      </w:r>
      <w:r>
        <w:rPr>
          <w:rStyle w:val="FootnoteReference"/>
        </w:rPr>
        <w:footnoteReference w:id="1448"/>
      </w:r>
      <w:r>
        <w:rPr>
          <w:rFonts w:ascii="IRNazanin" w:hAnsi="IRNazanin" w:eastAsia="IRNazanin" w:cs="IRNazanin"/>
          <w:lang w:bidi="fa-IR"/>
          <w:color w:val="111111"/>
          <w:sz w:val="28"/>
          <w:szCs w:val="28"/>
          <w:rtl/>
        </w:rPr>
        <w:t xml:space="preserve">و الشهید فی اللمعة </w:t>
      </w:r>
      <w:r>
        <w:rPr>
          <w:rStyle w:val="FootnoteReference"/>
        </w:rPr>
        <w:footnoteReference w:id="1449"/>
      </w:r>
      <w:r>
        <w:rPr>
          <w:rFonts w:ascii="IRNazanin" w:hAnsi="IRNazanin" w:eastAsia="IRNazanin" w:cs="IRNazanin"/>
          <w:lang w:bidi="fa-IR"/>
          <w:color w:val="111111"/>
          <w:sz w:val="28"/>
          <w:szCs w:val="28"/>
          <w:rtl/>
        </w:rPr>
        <w:t xml:space="preserve">-الضمان إذا أجّج نارا بقدر حاجته مع ظنّه التعدّی إلی الغیر.</w:t>
      </w:r>
    </w:p>
    <w:p>
      <w:pPr>
        <w:pStyle w:val="BookText"/>
      </w:pPr>
      <w:r>
        <w:rPr>
          <w:rFonts w:ascii="IRNazanin" w:hAnsi="IRNazanin" w:eastAsia="IRNazanin" w:cs="IRNazanin"/>
          <w:lang w:bidi="fa-IR"/>
          <w:color w:val="111111"/>
          <w:sz w:val="28"/>
          <w:szCs w:val="28"/>
          <w:rtl/>
        </w:rPr>
        <w:t xml:space="preserve">و أمّا إذا کان ضرره کثیرا و ضرر جاره کذلک،فإنّه یجوز له دفع ضرره و إن تضرّر جاره أو أخوه المسلم.و علیه بنوا جواز الولایة من قبل الجائر-إلی أن قال-:</w:t>
      </w:r>
    </w:p>
    <w:p>
      <w:pPr>
        <w:pStyle w:val="BookText"/>
      </w:pPr>
      <w:r>
        <w:rPr>
          <w:rFonts w:ascii="IRNazanin" w:hAnsi="IRNazanin" w:eastAsia="IRNazanin" w:cs="IRNazanin"/>
          <w:lang w:bidi="fa-IR"/>
          <w:color w:val="111111"/>
          <w:sz w:val="28"/>
          <w:szCs w:val="28"/>
          <w:rtl/>
        </w:rPr>
        <w:t xml:space="preserve">و الحاصل:أنّ أخبار الإضرار فیما یعدّ إضرارا معتدّا به عرفا و الحال أنّه لا ضرر بذلک علی المضرّ؛لأنّ الضرر لا یزال بالضرر </w:t>
      </w:r>
      <w:r>
        <w:rPr>
          <w:rStyle w:val="FootnoteReference"/>
        </w:rPr>
        <w:footnoteReference w:id="1450"/>
      </w:r>
      <w:r>
        <w:rPr>
          <w:rFonts w:ascii="IRNazanin" w:hAnsi="IRNazanin" w:eastAsia="IRNazanin" w:cs="IRNazanin"/>
          <w:lang w:bidi="fa-IR"/>
          <w:color w:val="111111"/>
          <w:sz w:val="28"/>
          <w:szCs w:val="28"/>
          <w:rtl/>
        </w:rPr>
        <w:t xml:space="preserve">، انتهی.</w:t>
      </w:r>
    </w:p>
    <w:p>
      <w:pPr>
        <w:pStyle w:val="Heading6"/>
      </w:pPr>
      <w:bookmarkStart w:id="1628" w:name="_Toc663"/>
      <w:r>
        <w:t>[الأوفق بالقواعد تقدیم المالک]</w:t>
      </w:r>
      <w:bookmarkEnd w:id="1628"/>
    </w:p>
    <w:p>
      <w:pPr>
        <w:pStyle w:val="BookText"/>
      </w:pPr>
      <w:r>
        <w:rPr>
          <w:rFonts w:ascii="IRNazanin" w:hAnsi="IRNazanin" w:eastAsia="IRNazanin" w:cs="IRNazanin"/>
          <w:lang w:bidi="fa-IR"/>
          <w:color w:val="111111"/>
          <w:sz w:val="28"/>
          <w:szCs w:val="28"/>
          <w:rtl/>
        </w:rPr>
        <w:t xml:space="preserve">أقول:الأوفق بالقواعد تقدیم المالک؛لأنّ حجر المالک عن التصرّف فی ماله ضرر یعارض ضرر الغیر،فیرجع إلی عموم قاعدة «السلطنة»و«نفی الحرج».نعم،فی الصورة الاولی التی یقصد المالک مجرّد الإضرار من غیر غرض فی التصرّف یعتدّ به،لا یعدّ فواته ضررا.</w:t>
      </w:r>
    </w:p>
    <w:p>
      <w:pPr>
        <w:pStyle w:val="BookText"/>
      </w:pPr>
      <w:r>
        <w:rPr>
          <w:rFonts w:ascii="IRNazanin" w:hAnsi="IRNazanin" w:eastAsia="IRNazanin" w:cs="IRNazanin"/>
          <w:lang w:bidi="fa-IR"/>
          <w:color w:val="111111"/>
          <w:sz w:val="28"/>
          <w:szCs w:val="28"/>
          <w:rtl/>
        </w:rPr>
        <w:t xml:space="preserve">[شماره صفحه واقعی : 470]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316" w:name="pg14411_142860"/>
    <w:bookmarkEnd w:id="316"/>
    <w:p>
      <w:pPr>
        <w:pStyle w:val="Heading6"/>
      </w:pPr>
      <w:bookmarkStart w:id="1629" w:name="_Toc664"/>
      <w:r>
        <w:t>[عدم الفرق بین کون ضرر المالک أشدّ من ضرر الغیر أو أقلّ]</w:t>
      </w:r>
      <w:bookmarkEnd w:id="1629"/>
    </w:p>
    <w:p>
      <w:pPr>
        <w:pStyle w:val="BookText"/>
      </w:pPr>
      <w:r>
        <w:rPr>
          <w:rFonts w:ascii="IRNazanin" w:hAnsi="IRNazanin" w:eastAsia="IRNazanin" w:cs="IRNazanin"/>
          <w:lang w:bidi="fa-IR"/>
          <w:color w:val="111111"/>
          <w:sz w:val="28"/>
          <w:szCs w:val="28"/>
          <w:rtl/>
        </w:rPr>
        <w:t xml:space="preserve">و الظاهر:عدم الفرق بین کون ضرر المالک بترک التصرّف أشدّ من ضرر الغیر أو أقلّ؛إمّا لعدم ثبوت الترجیح بقلّة الضرر کما سیجیء،و إمّا لحکومة نفی الحرج علی نفی الضرر؛فإنّ تحمّل الغیر علی الضرر و لو یسیرا لأجل دفع الضرر عن الغیر و لو کثیرا،حرج و ضیق.</w:t>
      </w:r>
    </w:p>
    <w:p>
      <w:pPr>
        <w:pStyle w:val="BookText"/>
      </w:pPr>
      <w:r>
        <w:rPr>
          <w:rFonts w:ascii="IRNazanin" w:hAnsi="IRNazanin" w:eastAsia="IRNazanin" w:cs="IRNazanin"/>
          <w:lang w:bidi="fa-IR"/>
          <w:color w:val="111111"/>
          <w:sz w:val="28"/>
          <w:szCs w:val="28"/>
          <w:rtl/>
        </w:rPr>
        <w:t xml:space="preserve">و لذا اتّفقوا علی أنّه یجوز للمکره الإضرار </w:t>
      </w:r>
      <w:r>
        <w:rPr>
          <w:rStyle w:val="FootnoteReference"/>
        </w:rPr>
        <w:footnoteReference w:id="1451"/>
      </w:r>
      <w:r>
        <w:rPr>
          <w:rFonts w:ascii="IRNazanin" w:hAnsi="IRNazanin" w:eastAsia="IRNazanin" w:cs="IRNazanin"/>
          <w:lang w:bidi="fa-IR"/>
          <w:color w:val="111111"/>
          <w:sz w:val="28"/>
          <w:szCs w:val="28"/>
          <w:rtl/>
        </w:rPr>
        <w:t xml:space="preserve">بما دون القتل لأجل دفع الضرر عن نفسه و لو کان أقلّ من ضرر الغیر.</w:t>
      </w:r>
    </w:p>
    <w:p>
      <w:pPr>
        <w:pStyle w:val="BookText"/>
      </w:pPr>
      <w:r>
        <w:rPr>
          <w:rFonts w:ascii="IRNazanin" w:hAnsi="IRNazanin" w:eastAsia="IRNazanin" w:cs="IRNazanin"/>
          <w:lang w:bidi="fa-IR"/>
          <w:color w:val="111111"/>
          <w:sz w:val="28"/>
          <w:szCs w:val="28"/>
          <w:rtl/>
        </w:rPr>
        <w:t xml:space="preserve">هذا کلّه فی تعارض ضرر المالک و ضرر الغیر.</w:t>
      </w:r>
    </w:p>
    <w:p>
      <w:pPr>
        <w:pStyle w:val="Heading6"/>
      </w:pPr>
      <w:bookmarkStart w:id="1630" w:name="_Toc665"/>
      <w:r>
        <w:t>[تعارض ضرر المالکین]</w:t>
      </w:r>
      <w:bookmarkEnd w:id="1630"/>
    </w:p>
    <w:p>
      <w:pPr>
        <w:pStyle w:val="BookText"/>
      </w:pPr>
      <w:r>
        <w:rPr>
          <w:rFonts w:ascii="IRNazanin" w:hAnsi="IRNazanin" w:eastAsia="IRNazanin" w:cs="IRNazanin"/>
          <w:lang w:bidi="fa-IR"/>
          <w:color w:val="111111"/>
          <w:sz w:val="28"/>
          <w:szCs w:val="28"/>
          <w:rtl/>
        </w:rPr>
        <w:t xml:space="preserve">و أمّا فی غیر ذلک،فهل یرجع ابتداء إلی القواعد الأخر أو بعد الترجیح بقلّة الضرر؟ وجهان،بل قولان.</w:t>
      </w:r>
    </w:p>
    <w:p>
      <w:pPr>
        <w:pStyle w:val="BookText"/>
      </w:pPr>
      <w:r>
        <w:rPr>
          <w:rFonts w:ascii="IRNazanin" w:hAnsi="IRNazanin" w:eastAsia="IRNazanin" w:cs="IRNazanin"/>
          <w:lang w:bidi="fa-IR"/>
          <w:color w:val="111111"/>
          <w:sz w:val="28"/>
          <w:szCs w:val="28"/>
          <w:rtl/>
        </w:rPr>
        <w:t xml:space="preserve">یظهر الترجیح من بعض الکلمات المحکیّة عن التذکرة </w:t>
      </w:r>
      <w:r>
        <w:rPr>
          <w:rStyle w:val="FootnoteReference"/>
        </w:rPr>
        <w:footnoteReference w:id="1452"/>
      </w:r>
      <w:r>
        <w:rPr>
          <w:rFonts w:ascii="IRNazanin" w:hAnsi="IRNazanin" w:eastAsia="IRNazanin" w:cs="IRNazanin"/>
          <w:lang w:bidi="fa-IR"/>
          <w:color w:val="111111"/>
          <w:sz w:val="28"/>
          <w:szCs w:val="28"/>
          <w:rtl/>
        </w:rPr>
        <w:t xml:space="preserve">و بعض مواضع </w:t>
      </w:r>
      <w:r>
        <w:rPr>
          <w:rStyle w:val="FootnoteReference"/>
        </w:rPr>
        <w:footnoteReference w:id="1453"/>
      </w:r>
      <w:r>
        <w:rPr>
          <w:rFonts w:ascii="IRNazanin" w:hAnsi="IRNazanin" w:eastAsia="IRNazanin" w:cs="IRNazanin"/>
          <w:lang w:bidi="fa-IR"/>
          <w:color w:val="111111"/>
          <w:sz w:val="28"/>
          <w:szCs w:val="28"/>
          <w:rtl/>
        </w:rPr>
        <w:t xml:space="preserve">الدروس </w:t>
      </w:r>
      <w:r>
        <w:rPr>
          <w:rStyle w:val="FootnoteReference"/>
        </w:rPr>
        <w:footnoteReference w:id="1454"/>
      </w:r>
      <w:r>
        <w:rPr>
          <w:rFonts w:ascii="IRNazanin" w:hAnsi="IRNazanin" w:eastAsia="IRNazanin" w:cs="IRNazanin"/>
          <w:lang w:bidi="fa-IR"/>
          <w:color w:val="111111"/>
          <w:sz w:val="28"/>
          <w:szCs w:val="28"/>
          <w:rtl/>
        </w:rPr>
        <w:t xml:space="preserve">،و رجّحه غیر واحد من المعاصرین </w:t>
      </w:r>
      <w:r>
        <w:rPr>
          <w:rStyle w:val="FootnoteReference"/>
        </w:rPr>
        <w:footnoteReference w:id="14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یمکن أن ینزّل علیه ما عن المشهور </w:t>
      </w:r>
      <w:r>
        <w:rPr>
          <w:rStyle w:val="FootnoteReference"/>
        </w:rPr>
        <w:footnoteReference w:id="1456"/>
      </w:r>
      <w:r>
        <w:rPr>
          <w:rFonts w:ascii="IRNazanin" w:hAnsi="IRNazanin" w:eastAsia="IRNazanin" w:cs="IRNazanin"/>
          <w:lang w:bidi="fa-IR"/>
          <w:color w:val="111111"/>
          <w:sz w:val="28"/>
          <w:szCs w:val="28"/>
          <w:rtl/>
        </w:rPr>
        <w:t xml:space="preserve">:من أنّه لو أدخلت الدابّة رأسها فی القدر بغیر تفریط من أحد المالکین،کسر القدر و ضمن قیمته صاحب الدابّة؛معلّلا بأنّ الکسر لمصلحته.</w:t>
      </w:r>
    </w:p>
    <w:p>
      <w:pPr>
        <w:pStyle w:val="BookText"/>
      </w:pPr>
      <w:r>
        <w:rPr>
          <w:rFonts w:ascii="IRNazanin" w:hAnsi="IRNazanin" w:eastAsia="IRNazanin" w:cs="IRNazanin"/>
          <w:lang w:bidi="fa-IR"/>
          <w:color w:val="111111"/>
          <w:sz w:val="28"/>
          <w:szCs w:val="28"/>
          <w:rtl/>
        </w:rPr>
        <w:t xml:space="preserve">[شماره صفحه واقعی : 471]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فیحمل إطلاق کلامهم علی الغالب:من أنّ ما یدخل من الضرر علی مالک الدابّة إذا حکم علیه بتلف الدابّة و أخذ قیمتها،أکثر ممّا یدخل علی صاحب القدر بتلفه و أخذ قیمته.و بعبارة اخری:تلف إحدی العینین و تبدّلها بالقیمة أهون من تلف الاخری.</w:t>
      </w:r>
    </w:p>
    <w:p>
      <w:pPr>
        <w:pStyle w:val="BookText"/>
      </w:pPr>
      <w:r>
        <w:rPr>
          <w:rFonts w:ascii="IRNazanin" w:hAnsi="IRNazanin" w:eastAsia="IRNazanin" w:cs="IRNazanin"/>
          <w:lang w:bidi="fa-IR"/>
          <w:color w:val="111111"/>
          <w:sz w:val="28"/>
          <w:szCs w:val="28"/>
          <w:rtl/>
        </w:rPr>
        <w:t xml:space="preserve">و حینئذ:فلا یبقی مجال للاعتراض علی تعلیل الحکم بکونه لمصلحة صاحب الدابّة،بما فی المسالک:من أنّه قد یکون المصلحة لصاحب القدر فقط،و قد یکون المصلحة مشترکة بینهما </w:t>
      </w:r>
      <w:r>
        <w:rPr>
          <w:rStyle w:val="FootnoteReference"/>
        </w:rPr>
        <w:footnoteReference w:id="14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کذلک حکمهم بضمان صاحب الدابّة إذا دخلت فی دار لا تخرج إلاّ بهدمها معلّلا بأنّه لمصلحة صاحب الدابّة؛فإنّ الغالب أنّ تدارک المهدوم أهون من تدارک الدابّة.</w:t>
      </w:r>
    </w:p>
    <w:p>
      <w:pPr>
        <w:pStyle w:val="BookText"/>
      </w:pPr>
      <w:r>
        <w:rPr>
          <w:rFonts w:ascii="IRNazanin" w:hAnsi="IRNazanin" w:eastAsia="IRNazanin" w:cs="IRNazanin"/>
          <w:lang w:bidi="fa-IR"/>
          <w:color w:val="111111"/>
          <w:sz w:val="28"/>
          <w:szCs w:val="28"/>
          <w:rtl/>
        </w:rPr>
        <w:t xml:space="preserve">و به نستعین و منه نستمدّ </w:t>
      </w:r>
      <w:r>
        <w:rPr>
          <w:rStyle w:val="FootnoteReference"/>
        </w:rPr>
        <w:footnoteReference w:id="14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472]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تمّ الجزء الثانی و یلیه الجزء الثالث فی الاستصحاب</w:t>
      </w:r>
    </w:p>
    <w:p>
      <w:pPr>
        <w:pStyle w:val="BookText"/>
      </w:pPr>
      <w:r>
        <w:rPr>
          <w:rFonts w:ascii="IRNazanin" w:hAnsi="IRNazanin" w:eastAsia="IRNazanin" w:cs="IRNazanin"/>
          <w:lang w:bidi="fa-IR"/>
          <w:color w:val="111111"/>
          <w:sz w:val="28"/>
          <w:szCs w:val="28"/>
          <w:rtl/>
        </w:rPr>
        <w:t xml:space="preserve">[شماره صفحه واقعی : 473]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474]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317" w:name="pg14411_142864"/>
    <w:bookmarkEnd w:id="317"/>
    <w:p>
      <w:pPr>
        <w:pStyle w:val="Heading4"/>
      </w:pPr>
      <w:bookmarkStart w:id="1631" w:name="_Toc666"/>
      <w:r>
        <w:t>العناوین العامّة</w:t>
      </w:r>
      <w:bookmarkEnd w:id="1631"/>
    </w:p>
    <w:p>
      <w:pPr>
        <w:pStyle w:val="BookText"/>
      </w:pPr>
      <w:r>
        <w:rPr>
          <w:rFonts w:ascii="IRNazanin" w:hAnsi="IRNazanin" w:eastAsia="IRNazanin" w:cs="IRNazanin"/>
          <w:lang w:bidi="fa-IR"/>
          <w:color w:val="111111"/>
          <w:sz w:val="28"/>
          <w:szCs w:val="28"/>
          <w:rtl/>
        </w:rPr>
        <w:t xml:space="preserve">الشکّ فی نفس التکلیف 17</w:t>
      </w:r>
    </w:p>
    <w:p>
      <w:pPr>
        <w:pStyle w:val="BookText"/>
      </w:pPr>
      <w:r>
        <w:rPr>
          <w:rFonts w:ascii="IRNazanin" w:hAnsi="IRNazanin" w:eastAsia="IRNazanin" w:cs="IRNazanin"/>
          <w:lang w:bidi="fa-IR"/>
          <w:color w:val="111111"/>
          <w:sz w:val="28"/>
          <w:szCs w:val="28"/>
          <w:rtl/>
        </w:rPr>
        <w:t xml:space="preserve">الشبهة التحریمیّة 19</w:t>
      </w:r>
    </w:p>
    <w:p>
      <w:pPr>
        <w:pStyle w:val="BookText"/>
      </w:pPr>
      <w:r>
        <w:rPr>
          <w:rFonts w:ascii="Amiri" w:hAnsi="Amiri" w:eastAsia="Amiri" w:cs="Amiri"/>
          <w:lang w:bidi="ar-SA"/>
          <w:color w:val="111111"/>
          <w:sz w:val="28"/>
          <w:szCs w:val="28"/>
          <w:rtl/>
        </w:rPr>
        <w:t xml:space="preserve">أدلّة البراءة 21</w:t>
      </w:r>
    </w:p>
    <w:p>
      <w:pPr>
        <w:pStyle w:val="BookText"/>
      </w:pPr>
      <w:r>
        <w:rPr>
          <w:rFonts w:ascii="IRNazanin" w:hAnsi="IRNazanin" w:eastAsia="IRNazanin" w:cs="IRNazanin"/>
          <w:lang w:bidi="fa-IR"/>
          <w:color w:val="111111"/>
          <w:sz w:val="28"/>
          <w:szCs w:val="28"/>
          <w:rtl/>
        </w:rPr>
        <w:t xml:space="preserve">أدلّة الاحتیاط 63</w:t>
      </w:r>
    </w:p>
    <w:p>
      <w:pPr>
        <w:pStyle w:val="BookText"/>
      </w:pPr>
      <w:r>
        <w:rPr>
          <w:rFonts w:ascii="IRNazanin" w:hAnsi="IRNazanin" w:eastAsia="IRNazanin" w:cs="IRNazanin"/>
          <w:lang w:bidi="fa-IR"/>
          <w:color w:val="111111"/>
          <w:sz w:val="28"/>
          <w:szCs w:val="28"/>
          <w:rtl/>
        </w:rPr>
        <w:t xml:space="preserve">الشبهة التحریمیّة الموضوعیّة 119</w:t>
      </w:r>
    </w:p>
    <w:p>
      <w:pPr>
        <w:pStyle w:val="BookText"/>
      </w:pPr>
      <w:r>
        <w:rPr>
          <w:rFonts w:ascii="IRNazanin" w:hAnsi="IRNazanin" w:eastAsia="IRNazanin" w:cs="IRNazanin"/>
          <w:lang w:bidi="fa-IR"/>
          <w:color w:val="111111"/>
          <w:sz w:val="28"/>
          <w:szCs w:val="28"/>
          <w:rtl/>
        </w:rPr>
        <w:t xml:space="preserve">الشبهة الوجوبیّة 141</w:t>
      </w:r>
    </w:p>
    <w:p>
      <w:pPr>
        <w:pStyle w:val="BookText"/>
      </w:pPr>
      <w:r>
        <w:rPr>
          <w:rFonts w:ascii="IRNazanin" w:hAnsi="IRNazanin" w:eastAsia="IRNazanin" w:cs="IRNazanin"/>
          <w:lang w:bidi="fa-IR"/>
          <w:color w:val="111111"/>
          <w:sz w:val="28"/>
          <w:szCs w:val="28"/>
          <w:rtl/>
        </w:rPr>
        <w:t xml:space="preserve">دوران الأمر بین المحذورین 177</w:t>
      </w:r>
    </w:p>
    <w:p>
      <w:pPr>
        <w:pStyle w:val="BookText"/>
      </w:pPr>
      <w:r>
        <w:rPr>
          <w:rFonts w:ascii="Amiri" w:hAnsi="Amiri" w:eastAsia="Amiri" w:cs="Amiri"/>
          <w:lang w:bidi="ar-SA"/>
          <w:color w:val="111111"/>
          <w:sz w:val="28"/>
          <w:szCs w:val="28"/>
          <w:rtl/>
        </w:rPr>
        <w:t xml:space="preserve">الشکّ فی المکلّف به 195</w:t>
      </w:r>
    </w:p>
    <w:p>
      <w:pPr>
        <w:pStyle w:val="BookText"/>
      </w:pPr>
      <w:r>
        <w:rPr>
          <w:rFonts w:ascii="Amiri" w:hAnsi="Amiri" w:eastAsia="Amiri" w:cs="Amiri"/>
          <w:lang w:bidi="ar-SA"/>
          <w:color w:val="111111"/>
          <w:sz w:val="28"/>
          <w:szCs w:val="28"/>
          <w:rtl/>
        </w:rPr>
        <w:t xml:space="preserve">الشبهة المحصورة 199</w:t>
      </w:r>
    </w:p>
    <w:p>
      <w:pPr>
        <w:pStyle w:val="BookText"/>
      </w:pPr>
      <w:r>
        <w:rPr>
          <w:rFonts w:ascii="IRNazanin" w:hAnsi="IRNazanin" w:eastAsia="IRNazanin" w:cs="IRNazanin"/>
          <w:lang w:bidi="fa-IR"/>
          <w:color w:val="111111"/>
          <w:sz w:val="28"/>
          <w:szCs w:val="28"/>
          <w:rtl/>
        </w:rPr>
        <w:t xml:space="preserve">الشبهة غیر المحصورة 257</w:t>
      </w:r>
    </w:p>
    <w:p>
      <w:pPr>
        <w:pStyle w:val="BookText"/>
      </w:pPr>
      <w:r>
        <w:rPr>
          <w:rFonts w:ascii="IRNazanin" w:hAnsi="IRNazanin" w:eastAsia="IRNazanin" w:cs="IRNazanin"/>
          <w:lang w:bidi="fa-IR"/>
          <w:color w:val="111111"/>
          <w:sz w:val="28"/>
          <w:szCs w:val="28"/>
          <w:rtl/>
        </w:rPr>
        <w:t xml:space="preserve">دوران الأمر بین المتباینین 278</w:t>
      </w:r>
    </w:p>
    <w:p>
      <w:pPr>
        <w:pStyle w:val="BookText"/>
      </w:pPr>
      <w:r>
        <w:rPr>
          <w:rFonts w:ascii="IRNazanin" w:hAnsi="IRNazanin" w:eastAsia="IRNazanin" w:cs="IRNazanin"/>
          <w:lang w:bidi="fa-IR"/>
          <w:color w:val="111111"/>
          <w:sz w:val="28"/>
          <w:szCs w:val="28"/>
          <w:rtl/>
        </w:rPr>
        <w:t xml:space="preserve">دوران الأمر بین الأقلّ و الأکثر 314</w:t>
      </w:r>
    </w:p>
    <w:p>
      <w:pPr>
        <w:pStyle w:val="BookText"/>
      </w:pPr>
      <w:r>
        <w:rPr>
          <w:rFonts w:ascii="IRNazanin" w:hAnsi="IRNazanin" w:eastAsia="IRNazanin" w:cs="IRNazanin"/>
          <w:lang w:bidi="fa-IR"/>
          <w:color w:val="111111"/>
          <w:sz w:val="28"/>
          <w:szCs w:val="28"/>
          <w:rtl/>
        </w:rPr>
        <w:t xml:space="preserve">الخاتمة:فیما یعتبر فی العمل بالأصل 405</w:t>
      </w:r>
    </w:p>
    <w:p>
      <w:pPr>
        <w:pStyle w:val="BookText"/>
      </w:pPr>
      <w:r>
        <w:rPr>
          <w:rFonts w:ascii="Amiri" w:hAnsi="Amiri" w:eastAsia="Amiri" w:cs="Amiri"/>
          <w:lang w:bidi="ar-SA"/>
          <w:color w:val="111111"/>
          <w:sz w:val="28"/>
          <w:szCs w:val="28"/>
          <w:rtl/>
        </w:rPr>
        <w:t xml:space="preserve">قاعدة«لا ضرر و لا ضرار»457</w:t>
      </w:r>
    </w:p>
    <w:p>
      <w:pPr>
        <w:pStyle w:val="BookText"/>
      </w:pPr>
      <w:r>
        <w:rPr>
          <w:rFonts w:ascii="IRNazanin" w:hAnsi="IRNazanin" w:eastAsia="IRNazanin" w:cs="IRNazanin"/>
          <w:lang w:bidi="fa-IR"/>
          <w:color w:val="111111"/>
          <w:sz w:val="28"/>
          <w:szCs w:val="28"/>
          <w:rtl/>
        </w:rPr>
        <w:t xml:space="preserve">[شماره صفحه واقعی : 475]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476]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318" w:name="pg14411_142866"/>
    <w:bookmarkEnd w:id="318"/>
    <w:p>
      <w:pPr>
        <w:pStyle w:val="Heading4"/>
      </w:pPr>
      <w:bookmarkStart w:id="1632" w:name="_Toc667"/>
      <w:r>
        <w:t>فهرس المحتوی</w:t>
      </w:r>
      <w:bookmarkEnd w:id="1632"/>
    </w:p>
    <w:p>
      <w:pPr>
        <w:pStyle w:val="BookText"/>
      </w:pPr>
      <w:r>
        <w:rPr>
          <w:rFonts w:ascii="IRNazanin" w:hAnsi="IRNazanin" w:eastAsia="IRNazanin" w:cs="IRNazanin"/>
          <w:lang w:bidi="fa-IR"/>
          <w:color w:val="111111"/>
          <w:sz w:val="28"/>
          <w:szCs w:val="28"/>
          <w:rtl/>
        </w:rPr>
        <w:t xml:space="preserve">المقصد الثالث من مقاصد هذا الکتاب فی الشکّ المکلّف الملتفت إلی الحکم الشرعی 9</w:t>
      </w:r>
    </w:p>
    <w:p>
      <w:pPr>
        <w:pStyle w:val="BookText"/>
      </w:pPr>
      <w:r>
        <w:rPr>
          <w:rFonts w:ascii="IRNazanin" w:hAnsi="IRNazanin" w:eastAsia="IRNazanin" w:cs="IRNazanin"/>
          <w:lang w:bidi="fa-IR"/>
          <w:color w:val="111111"/>
          <w:sz w:val="28"/>
          <w:szCs w:val="28"/>
          <w:rtl/>
        </w:rPr>
        <w:t xml:space="preserve">إمکان اعتبار الظنّ 9</w:t>
      </w:r>
    </w:p>
    <w:p>
      <w:pPr>
        <w:pStyle w:val="BookText"/>
      </w:pPr>
      <w:r>
        <w:rPr>
          <w:rFonts w:ascii="IRNazanin" w:hAnsi="IRNazanin" w:eastAsia="IRNazanin" w:cs="IRNazanin"/>
          <w:lang w:bidi="fa-IR"/>
          <w:color w:val="111111"/>
          <w:sz w:val="28"/>
          <w:szCs w:val="28"/>
          <w:rtl/>
        </w:rPr>
        <w:t xml:space="preserve">عدم إمکان اعتبار الشکّ 10</w:t>
      </w:r>
    </w:p>
    <w:p>
      <w:pPr>
        <w:pStyle w:val="BookText"/>
      </w:pPr>
      <w:r>
        <w:rPr>
          <w:rFonts w:ascii="IRNazanin" w:hAnsi="IRNazanin" w:eastAsia="IRNazanin" w:cs="IRNazanin"/>
          <w:lang w:bidi="fa-IR"/>
          <w:color w:val="111111"/>
          <w:sz w:val="28"/>
          <w:szCs w:val="28"/>
          <w:rtl/>
        </w:rPr>
        <w:t xml:space="preserve">الحکم الواقعی و الظاهری 10</w:t>
      </w:r>
    </w:p>
    <w:p>
      <w:pPr>
        <w:pStyle w:val="BookText"/>
      </w:pPr>
      <w:r>
        <w:rPr>
          <w:rFonts w:ascii="IRNazanin" w:hAnsi="IRNazanin" w:eastAsia="IRNazanin" w:cs="IRNazanin"/>
          <w:lang w:bidi="fa-IR"/>
          <w:color w:val="111111"/>
          <w:sz w:val="28"/>
          <w:szCs w:val="28"/>
          <w:rtl/>
        </w:rPr>
        <w:t xml:space="preserve">الدلیل«الاجتهادی»و«الفقاهتی» 10</w:t>
      </w:r>
    </w:p>
    <w:p>
      <w:pPr>
        <w:pStyle w:val="BookText"/>
      </w:pPr>
      <w:r>
        <w:rPr>
          <w:rFonts w:ascii="IRNazanin" w:hAnsi="IRNazanin" w:eastAsia="IRNazanin" w:cs="IRNazanin"/>
          <w:lang w:bidi="fa-IR"/>
          <w:color w:val="111111"/>
          <w:sz w:val="28"/>
          <w:szCs w:val="28"/>
          <w:rtl/>
        </w:rPr>
        <w:t xml:space="preserve">وجه تقدیم الأدلّة علی الاصول 11</w:t>
      </w:r>
    </w:p>
    <w:p>
      <w:pPr>
        <w:pStyle w:val="BookText"/>
      </w:pPr>
      <w:r>
        <w:rPr>
          <w:rFonts w:ascii="IRNazanin" w:hAnsi="IRNazanin" w:eastAsia="IRNazanin" w:cs="IRNazanin"/>
          <w:lang w:bidi="fa-IR"/>
          <w:color w:val="111111"/>
          <w:sz w:val="28"/>
          <w:szCs w:val="28"/>
          <w:rtl/>
        </w:rPr>
        <w:t xml:space="preserve">أخصّیة الأدلّة غیر العلمیّة من الاصول 11</w:t>
      </w:r>
    </w:p>
    <w:p>
      <w:pPr>
        <w:pStyle w:val="BookText"/>
      </w:pPr>
      <w:r>
        <w:rPr>
          <w:rFonts w:ascii="IRNazanin" w:hAnsi="IRNazanin" w:eastAsia="IRNazanin" w:cs="IRNazanin"/>
          <w:lang w:bidi="fa-IR"/>
          <w:color w:val="111111"/>
          <w:sz w:val="28"/>
          <w:szCs w:val="28"/>
          <w:rtl/>
        </w:rPr>
        <w:t xml:space="preserve">الدلیل العلمی رافع لموضوع الأصل 12</w:t>
      </w:r>
    </w:p>
    <w:p>
      <w:pPr>
        <w:pStyle w:val="BookText"/>
      </w:pPr>
      <w:r>
        <w:rPr>
          <w:rFonts w:ascii="IRNazanin" w:hAnsi="IRNazanin" w:eastAsia="IRNazanin" w:cs="IRNazanin"/>
          <w:lang w:bidi="fa-IR"/>
          <w:color w:val="111111"/>
          <w:sz w:val="28"/>
          <w:szCs w:val="28"/>
          <w:rtl/>
        </w:rPr>
        <w:t xml:space="preserve">التحقیق حکومة دلیل الأمارة علی الاصول الشرعیّة 13</w:t>
      </w:r>
    </w:p>
    <w:p>
      <w:pPr>
        <w:pStyle w:val="BookText"/>
      </w:pPr>
      <w:r>
        <w:rPr>
          <w:rFonts w:ascii="IRNazanin" w:hAnsi="IRNazanin" w:eastAsia="IRNazanin" w:cs="IRNazanin"/>
          <w:lang w:bidi="fa-IR"/>
          <w:color w:val="111111"/>
          <w:sz w:val="28"/>
          <w:szCs w:val="28"/>
          <w:rtl/>
        </w:rPr>
        <w:t xml:space="preserve">ارتفاع موضوع الاصول العقلیّة بالأدلّة الظنّیة 13</w:t>
      </w:r>
    </w:p>
    <w:p>
      <w:pPr>
        <w:pStyle w:val="BookText"/>
      </w:pPr>
      <w:r>
        <w:rPr>
          <w:rFonts w:ascii="IRNazanin" w:hAnsi="IRNazanin" w:eastAsia="IRNazanin" w:cs="IRNazanin"/>
          <w:lang w:bidi="fa-IR"/>
          <w:color w:val="111111"/>
          <w:sz w:val="28"/>
          <w:szCs w:val="28"/>
          <w:rtl/>
        </w:rPr>
        <w:t xml:space="preserve">انحصار الاصول فی أربعة 13</w:t>
      </w:r>
    </w:p>
    <w:p>
      <w:pPr>
        <w:pStyle w:val="BookText"/>
      </w:pPr>
      <w:r>
        <w:rPr>
          <w:rFonts w:ascii="IRNazanin" w:hAnsi="IRNazanin" w:eastAsia="IRNazanin" w:cs="IRNazanin"/>
          <w:lang w:bidi="fa-IR"/>
          <w:color w:val="111111"/>
          <w:sz w:val="28"/>
          <w:szCs w:val="28"/>
          <w:rtl/>
        </w:rPr>
        <w:t xml:space="preserve">الانحصار عقلیّ 14</w:t>
      </w:r>
    </w:p>
    <w:p>
      <w:pPr>
        <w:pStyle w:val="BookText"/>
      </w:pPr>
      <w:r>
        <w:rPr>
          <w:rFonts w:ascii="IRNazanin" w:hAnsi="IRNazanin" w:eastAsia="IRNazanin" w:cs="IRNazanin"/>
          <w:lang w:bidi="fa-IR"/>
          <w:color w:val="111111"/>
          <w:sz w:val="28"/>
          <w:szCs w:val="28"/>
          <w:rtl/>
        </w:rPr>
        <w:t xml:space="preserve">[شماره صفحه واقعی : 477]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مجاری الاصول الأربعة 14</w:t>
      </w:r>
    </w:p>
    <w:p>
      <w:pPr>
        <w:pStyle w:val="BookText"/>
      </w:pPr>
      <w:r>
        <w:rPr>
          <w:rFonts w:ascii="IRNazanin" w:hAnsi="IRNazanin" w:eastAsia="IRNazanin" w:cs="IRNazanin"/>
          <w:lang w:bidi="fa-IR"/>
          <w:color w:val="111111"/>
          <w:sz w:val="28"/>
          <w:szCs w:val="28"/>
          <w:rtl/>
        </w:rPr>
        <w:t xml:space="preserve">تداخل موارد الاصول أحیانا 14</w:t>
      </w:r>
    </w:p>
    <w:p>
      <w:pPr>
        <w:pStyle w:val="BookText"/>
      </w:pPr>
      <w:r>
        <w:rPr>
          <w:rFonts w:ascii="IRNazanin" w:hAnsi="IRNazanin" w:eastAsia="IRNazanin" w:cs="IRNazanin"/>
          <w:lang w:bidi="fa-IR"/>
          <w:color w:val="111111"/>
          <w:sz w:val="28"/>
          <w:szCs w:val="28"/>
          <w:rtl/>
        </w:rPr>
        <w:t xml:space="preserve">حکم الشکّ من دون ملاحظة الحالة السابقة،و الکلام فیه فی</w:t>
      </w:r>
    </w:p>
    <w:p>
      <w:pPr>
        <w:pStyle w:val="BookText"/>
      </w:pPr>
      <w:r>
        <w:rPr>
          <w:rFonts w:ascii="IRNazanin" w:hAnsi="IRNazanin" w:eastAsia="IRNazanin" w:cs="IRNazanin"/>
          <w:lang w:bidi="fa-IR"/>
          <w:color w:val="111111"/>
          <w:sz w:val="28"/>
          <w:szCs w:val="28"/>
          <w:rtl/>
        </w:rPr>
        <w:t xml:space="preserve">موضعین:15</w:t>
      </w:r>
    </w:p>
    <w:p>
      <w:pPr>
        <w:pStyle w:val="BookText"/>
      </w:pPr>
      <w:r>
        <w:rPr>
          <w:rFonts w:ascii="IRNazanin" w:hAnsi="IRNazanin" w:eastAsia="IRNazanin" w:cs="IRNazanin"/>
          <w:lang w:bidi="fa-IR"/>
          <w:color w:val="111111"/>
          <w:sz w:val="28"/>
          <w:szCs w:val="28"/>
          <w:rtl/>
        </w:rPr>
        <w:t xml:space="preserve">الموضع الأوّل الشکّ فی نفس التکلیف،و فیه مطالب:</w:t>
      </w:r>
    </w:p>
    <w:p>
      <w:pPr>
        <w:pStyle w:val="BookText"/>
      </w:pPr>
      <w:r>
        <w:rPr>
          <w:rFonts w:ascii="IRNazanin" w:hAnsi="IRNazanin" w:eastAsia="IRNazanin" w:cs="IRNazanin"/>
          <w:lang w:bidi="fa-IR"/>
          <w:color w:val="111111"/>
          <w:sz w:val="28"/>
          <w:szCs w:val="28"/>
          <w:rtl/>
        </w:rPr>
        <w:t xml:space="preserve">متعلّق التکلیف المشکوک إمّا فعل کلّی أو فعل جزئی 17</w:t>
      </w:r>
    </w:p>
    <w:p>
      <w:pPr>
        <w:pStyle w:val="BookText"/>
      </w:pPr>
      <w:r>
        <w:rPr>
          <w:rFonts w:ascii="IRNazanin" w:hAnsi="IRNazanin" w:eastAsia="IRNazanin" w:cs="IRNazanin"/>
          <w:lang w:bidi="fa-IR"/>
          <w:color w:val="111111"/>
          <w:sz w:val="28"/>
          <w:szCs w:val="28"/>
          <w:rtl/>
        </w:rPr>
        <w:t xml:space="preserve">منشأ الشکّ فی الشبهة الموضوعیّة و الحکمیّة 18</w:t>
      </w:r>
    </w:p>
    <w:p>
      <w:pPr>
        <w:pStyle w:val="BookText"/>
      </w:pPr>
      <w:r>
        <w:rPr>
          <w:rFonts w:ascii="IRNazanin" w:hAnsi="IRNazanin" w:eastAsia="IRNazanin" w:cs="IRNazanin"/>
          <w:lang w:bidi="fa-IR"/>
          <w:color w:val="111111"/>
          <w:sz w:val="28"/>
          <w:szCs w:val="28"/>
          <w:rtl/>
        </w:rPr>
        <w:t xml:space="preserve">المطلب الأوّل:الشبهة التحریمیّة،و فیه مسائل:</w:t>
      </w:r>
    </w:p>
    <w:p>
      <w:pPr>
        <w:pStyle w:val="BookText"/>
      </w:pPr>
      <w:r>
        <w:rPr>
          <w:rFonts w:ascii="IRNazanin" w:hAnsi="IRNazanin" w:eastAsia="IRNazanin" w:cs="IRNazanin"/>
          <w:lang w:bidi="fa-IR"/>
          <w:color w:val="111111"/>
          <w:sz w:val="28"/>
          <w:szCs w:val="28"/>
          <w:rtl/>
        </w:rPr>
        <w:t xml:space="preserve">المسألة الاولی:الشبهة التحریمیّة من جهة فقدان النصّ 20</w:t>
      </w:r>
    </w:p>
    <w:p>
      <w:pPr>
        <w:pStyle w:val="BookText"/>
      </w:pPr>
      <w:r>
        <w:rPr>
          <w:rFonts w:ascii="IRNazanin" w:hAnsi="IRNazanin" w:eastAsia="IRNazanin" w:cs="IRNazanin"/>
          <w:lang w:bidi="fa-IR"/>
          <w:color w:val="111111"/>
          <w:sz w:val="28"/>
          <w:szCs w:val="28"/>
          <w:rtl/>
        </w:rPr>
        <w:t xml:space="preserve">قولان فی المسألة 20</w:t>
      </w:r>
    </w:p>
    <w:p>
      <w:pPr>
        <w:pStyle w:val="BookText"/>
      </w:pPr>
      <w:r>
        <w:rPr>
          <w:rFonts w:ascii="IRNazanin" w:hAnsi="IRNazanin" w:eastAsia="IRNazanin" w:cs="IRNazanin"/>
          <w:lang w:bidi="fa-IR"/>
          <w:color w:val="111111"/>
          <w:sz w:val="28"/>
          <w:szCs w:val="28"/>
          <w:rtl/>
        </w:rPr>
        <w:t xml:space="preserve">أدلّة القول بالإباحة و عدم وجوب الاحتیاط:21</w:t>
      </w:r>
    </w:p>
    <w:p>
      <w:pPr>
        <w:pStyle w:val="BookText"/>
      </w:pPr>
      <w:r>
        <w:rPr>
          <w:rFonts w:ascii="IRNazanin" w:hAnsi="IRNazanin" w:eastAsia="IRNazanin" w:cs="IRNazanin"/>
          <w:lang w:bidi="fa-IR"/>
          <w:color w:val="111111"/>
          <w:sz w:val="28"/>
          <w:szCs w:val="28"/>
          <w:rtl/>
        </w:rPr>
        <w:t xml:space="preserve">من الکتاب آیات:21</w:t>
      </w:r>
    </w:p>
    <w:p>
      <w:pPr>
        <w:pStyle w:val="BookText"/>
      </w:pPr>
      <w:r>
        <w:rPr>
          <w:rFonts w:ascii="IRNazanin" w:hAnsi="IRNazanin" w:eastAsia="IRNazanin" w:cs="IRNazanin"/>
          <w:lang w:bidi="fa-IR"/>
          <w:color w:val="111111"/>
          <w:sz w:val="28"/>
          <w:szCs w:val="28"/>
          <w:rtl/>
        </w:rPr>
        <w:t xml:space="preserve">الاستدلال بآیة«و لا یکلّف اللّه...»و المناقشة فیه 21</w:t>
      </w:r>
    </w:p>
    <w:p>
      <w:pPr>
        <w:pStyle w:val="BookText"/>
      </w:pPr>
      <w:r>
        <w:rPr>
          <w:rFonts w:ascii="IRNazanin" w:hAnsi="IRNazanin" w:eastAsia="IRNazanin" w:cs="IRNazanin"/>
          <w:lang w:bidi="fa-IR"/>
          <w:color w:val="111111"/>
          <w:sz w:val="28"/>
          <w:szCs w:val="28"/>
          <w:rtl/>
        </w:rPr>
        <w:t xml:space="preserve">الاستدلال بآیة«و ما کنّا معذّبین...»و المناقشة فیه 22</w:t>
      </w:r>
    </w:p>
    <w:p>
      <w:pPr>
        <w:pStyle w:val="BookText"/>
      </w:pPr>
      <w:r>
        <w:rPr>
          <w:rFonts w:ascii="IRNazanin" w:hAnsi="IRNazanin" w:eastAsia="IRNazanin" w:cs="IRNazanin"/>
          <w:lang w:bidi="fa-IR"/>
          <w:color w:val="111111"/>
          <w:sz w:val="28"/>
          <w:szCs w:val="28"/>
          <w:rtl/>
        </w:rPr>
        <w:t xml:space="preserve">الاستدلال بآیة«و ما کان اللّه لیضلّ...»و المناقشة فیه 24</w:t>
      </w:r>
    </w:p>
    <w:p>
      <w:pPr>
        <w:pStyle w:val="BookText"/>
      </w:pPr>
      <w:r>
        <w:rPr>
          <w:rFonts w:ascii="IRNazanin" w:hAnsi="IRNazanin" w:eastAsia="IRNazanin" w:cs="IRNazanin"/>
          <w:lang w:bidi="fa-IR"/>
          <w:color w:val="111111"/>
          <w:sz w:val="28"/>
          <w:szCs w:val="28"/>
          <w:rtl/>
        </w:rPr>
        <w:t xml:space="preserve">الاستدلال بآیة«لیهلک من هلک...»و المناقشة فیه 25</w:t>
      </w:r>
    </w:p>
    <w:p>
      <w:pPr>
        <w:pStyle w:val="BookText"/>
      </w:pPr>
      <w:r>
        <w:rPr>
          <w:rFonts w:ascii="Amiri" w:hAnsi="Amiri" w:eastAsia="Amiri" w:cs="Amiri"/>
          <w:lang w:bidi="ar-SA"/>
          <w:color w:val="111111"/>
          <w:sz w:val="28"/>
          <w:szCs w:val="28"/>
          <w:rtl/>
        </w:rPr>
        <w:t xml:space="preserve">إیراد عامّ 25</w:t>
      </w:r>
    </w:p>
    <w:p>
      <w:pPr>
        <w:pStyle w:val="BookText"/>
      </w:pPr>
      <w:r>
        <w:rPr>
          <w:rFonts w:ascii="IRNazanin" w:hAnsi="IRNazanin" w:eastAsia="IRNazanin" w:cs="IRNazanin"/>
          <w:lang w:bidi="fa-IR"/>
          <w:color w:val="111111"/>
          <w:sz w:val="28"/>
          <w:szCs w:val="28"/>
          <w:rtl/>
        </w:rPr>
        <w:t xml:space="preserve">الاستدلال بآیة«قل لا أجد...»و المناقشة فیه 25</w:t>
      </w:r>
    </w:p>
    <w:p>
      <w:pPr>
        <w:pStyle w:val="BookText"/>
      </w:pPr>
      <w:r>
        <w:rPr>
          <w:rFonts w:ascii="IRNazanin" w:hAnsi="IRNazanin" w:eastAsia="IRNazanin" w:cs="IRNazanin"/>
          <w:lang w:bidi="fa-IR"/>
          <w:color w:val="111111"/>
          <w:sz w:val="28"/>
          <w:szCs w:val="28"/>
          <w:rtl/>
        </w:rPr>
        <w:t xml:space="preserve">الاستدلال بآیة«و ما لکم أن لا تأکلوا...»و المناقشة فیه 26</w:t>
      </w:r>
    </w:p>
    <w:p>
      <w:pPr>
        <w:pStyle w:val="BookText"/>
      </w:pPr>
      <w:r>
        <w:rPr>
          <w:rFonts w:ascii="IRNazanin" w:hAnsi="IRNazanin" w:eastAsia="IRNazanin" w:cs="IRNazanin"/>
          <w:lang w:bidi="fa-IR"/>
          <w:color w:val="111111"/>
          <w:sz w:val="28"/>
          <w:szCs w:val="28"/>
          <w:rtl/>
        </w:rPr>
        <w:t xml:space="preserve">عدم نهوض الآیات المذکورة لإبطال وجوب الاحتیاط 27</w:t>
      </w:r>
    </w:p>
    <w:p>
      <w:pPr>
        <w:pStyle w:val="BookText"/>
      </w:pPr>
      <w:r>
        <w:rPr>
          <w:rFonts w:ascii="IRNazanin" w:hAnsi="IRNazanin" w:eastAsia="IRNazanin" w:cs="IRNazanin"/>
          <w:lang w:bidi="fa-IR"/>
          <w:color w:val="111111"/>
          <w:sz w:val="28"/>
          <w:szCs w:val="28"/>
          <w:rtl/>
        </w:rPr>
        <w:t xml:space="preserve">[شماره صفحه واقعی : 478]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الاستدلال علی البراءة بالسنّة:27</w:t>
      </w:r>
    </w:p>
    <w:p>
      <w:pPr>
        <w:pStyle w:val="BookText"/>
      </w:pPr>
      <w:r>
        <w:rPr>
          <w:rFonts w:ascii="IRNazanin" w:hAnsi="IRNazanin" w:eastAsia="IRNazanin" w:cs="IRNazanin"/>
          <w:lang w:bidi="fa-IR"/>
          <w:color w:val="111111"/>
          <w:sz w:val="28"/>
          <w:szCs w:val="28"/>
          <w:rtl/>
        </w:rPr>
        <w:t xml:space="preserve">الاستدلال بحدیث«الرفع»27</w:t>
      </w:r>
    </w:p>
    <w:p>
      <w:pPr>
        <w:pStyle w:val="BookText"/>
      </w:pPr>
      <w:r>
        <w:rPr>
          <w:rFonts w:ascii="IRNazanin" w:hAnsi="IRNazanin" w:eastAsia="IRNazanin" w:cs="IRNazanin"/>
          <w:lang w:bidi="fa-IR"/>
          <w:color w:val="111111"/>
          <w:sz w:val="28"/>
          <w:szCs w:val="28"/>
          <w:rtl/>
        </w:rPr>
        <w:t xml:space="preserve">وجه الاستدلال 28</w:t>
      </w:r>
    </w:p>
    <w:p>
      <w:pPr>
        <w:pStyle w:val="BookText"/>
      </w:pPr>
      <w:r>
        <w:rPr>
          <w:rFonts w:ascii="IRNazanin" w:hAnsi="IRNazanin" w:eastAsia="IRNazanin" w:cs="IRNazanin"/>
          <w:lang w:bidi="fa-IR"/>
          <w:color w:val="111111"/>
          <w:sz w:val="28"/>
          <w:szCs w:val="28"/>
          <w:rtl/>
        </w:rPr>
        <w:t xml:space="preserve">المناقشة فی الاستدلال 28</w:t>
      </w:r>
    </w:p>
    <w:p>
      <w:pPr>
        <w:pStyle w:val="BookText"/>
      </w:pPr>
      <w:r>
        <w:rPr>
          <w:rFonts w:ascii="IRNazanin" w:hAnsi="IRNazanin" w:eastAsia="IRNazanin" w:cs="IRNazanin"/>
          <w:lang w:bidi="fa-IR"/>
          <w:color w:val="111111"/>
          <w:sz w:val="28"/>
          <w:szCs w:val="28"/>
          <w:rtl/>
        </w:rPr>
        <w:t xml:space="preserve">ظاهر بعض الأخبار أنّ المرفوع جمیع الآثار و الجواب عنه 29</w:t>
      </w:r>
    </w:p>
    <w:p>
      <w:pPr>
        <w:pStyle w:val="BookText"/>
      </w:pPr>
      <w:r>
        <w:rPr>
          <w:rFonts w:ascii="Amiri" w:hAnsi="Amiri" w:eastAsia="Amiri" w:cs="Amiri"/>
          <w:lang w:bidi="ar-SA"/>
          <w:color w:val="111111"/>
          <w:sz w:val="28"/>
          <w:szCs w:val="28"/>
          <w:rtl/>
        </w:rPr>
        <w:t xml:space="preserve">ممّا یؤیّد إرادة العموم 30</w:t>
      </w:r>
    </w:p>
    <w:p>
      <w:pPr>
        <w:pStyle w:val="BookText"/>
      </w:pPr>
      <w:r>
        <w:rPr>
          <w:rFonts w:ascii="IRNazanin" w:hAnsi="IRNazanin" w:eastAsia="IRNazanin" w:cs="IRNazanin"/>
          <w:lang w:bidi="fa-IR"/>
          <w:color w:val="111111"/>
          <w:sz w:val="28"/>
          <w:szCs w:val="28"/>
          <w:rtl/>
        </w:rPr>
        <w:t xml:space="preserve">الجواب عن المؤیّد نقضا و حلاّ 30</w:t>
      </w:r>
    </w:p>
    <w:p>
      <w:pPr>
        <w:pStyle w:val="BookText"/>
      </w:pPr>
      <w:r>
        <w:rPr>
          <w:rFonts w:ascii="IRNazanin" w:hAnsi="IRNazanin" w:eastAsia="IRNazanin" w:cs="IRNazanin"/>
          <w:lang w:bidi="fa-IR"/>
          <w:color w:val="111111"/>
          <w:sz w:val="28"/>
          <w:szCs w:val="28"/>
          <w:rtl/>
        </w:rPr>
        <w:t xml:space="preserve">وهن العموم بلزوم کثرة الإضمار و الجواب عنه 31</w:t>
      </w:r>
    </w:p>
    <w:p>
      <w:pPr>
        <w:pStyle w:val="BookText"/>
      </w:pPr>
      <w:r>
        <w:rPr>
          <w:rFonts w:ascii="IRNazanin" w:hAnsi="IRNazanin" w:eastAsia="IRNazanin" w:cs="IRNazanin"/>
          <w:lang w:bidi="fa-IR"/>
          <w:color w:val="111111"/>
          <w:sz w:val="28"/>
          <w:szCs w:val="28"/>
          <w:rtl/>
        </w:rPr>
        <w:t xml:space="preserve">وهن العموم بلزوم کثرة التخصیص و الجواب عنه 32</w:t>
      </w:r>
    </w:p>
    <w:p>
      <w:pPr>
        <w:pStyle w:val="BookText"/>
      </w:pPr>
      <w:r>
        <w:rPr>
          <w:rFonts w:ascii="IRNazanin" w:hAnsi="IRNazanin" w:eastAsia="IRNazanin" w:cs="IRNazanin"/>
          <w:lang w:bidi="fa-IR"/>
          <w:color w:val="111111"/>
          <w:sz w:val="28"/>
          <w:szCs w:val="28"/>
          <w:rtl/>
        </w:rPr>
        <w:t xml:space="preserve">لیس المراد رفع الآثار المترتّبة علی هذه العناوین 32</w:t>
      </w:r>
    </w:p>
    <w:p>
      <w:pPr>
        <w:pStyle w:val="BookText"/>
      </w:pPr>
      <w:r>
        <w:rPr>
          <w:rFonts w:ascii="IRNazanin" w:hAnsi="IRNazanin" w:eastAsia="IRNazanin" w:cs="IRNazanin"/>
          <w:lang w:bidi="fa-IR"/>
          <w:color w:val="111111"/>
          <w:sz w:val="28"/>
          <w:szCs w:val="28"/>
          <w:rtl/>
        </w:rPr>
        <w:t xml:space="preserve">المرفوع هو الآثار الشرعیّة دون العقلیّة و العادیّة 32</w:t>
      </w:r>
    </w:p>
    <w:p>
      <w:pPr>
        <w:pStyle w:val="BookText"/>
      </w:pPr>
      <w:r>
        <w:rPr>
          <w:rFonts w:ascii="IRNazanin" w:hAnsi="IRNazanin" w:eastAsia="IRNazanin" w:cs="IRNazanin"/>
          <w:lang w:bidi="fa-IR"/>
          <w:color w:val="111111"/>
          <w:sz w:val="28"/>
          <w:szCs w:val="28"/>
          <w:rtl/>
        </w:rPr>
        <w:t xml:space="preserve">المراد من«الرفع»33</w:t>
      </w:r>
    </w:p>
    <w:p>
      <w:pPr>
        <w:pStyle w:val="BookText"/>
      </w:pPr>
      <w:r>
        <w:rPr>
          <w:rFonts w:ascii="IRNazanin" w:hAnsi="IRNazanin" w:eastAsia="IRNazanin" w:cs="IRNazanin"/>
          <w:lang w:bidi="fa-IR"/>
          <w:color w:val="111111"/>
          <w:sz w:val="28"/>
          <w:szCs w:val="28"/>
          <w:rtl/>
        </w:rPr>
        <w:t xml:space="preserve">المرتفع هو إیجاب التحفّظ و الاحتیاط 34</w:t>
      </w:r>
    </w:p>
    <w:p>
      <w:pPr>
        <w:pStyle w:val="BookText"/>
      </w:pPr>
      <w:r>
        <w:rPr>
          <w:rFonts w:ascii="IRNazanin" w:hAnsi="IRNazanin" w:eastAsia="IRNazanin" w:cs="IRNazanin"/>
          <w:lang w:bidi="fa-IR"/>
          <w:color w:val="111111"/>
          <w:sz w:val="28"/>
          <w:szCs w:val="28"/>
          <w:rtl/>
        </w:rPr>
        <w:t xml:space="preserve">اختصاص الرفع بما لا یکون فی رفعه ما ینافی الامتنان 35</w:t>
      </w:r>
    </w:p>
    <w:p>
      <w:pPr>
        <w:pStyle w:val="BookText"/>
      </w:pPr>
      <w:r>
        <w:rPr>
          <w:rFonts w:ascii="IRNazanin" w:hAnsi="IRNazanin" w:eastAsia="IRNazanin" w:cs="IRNazanin"/>
          <w:lang w:bidi="fa-IR"/>
          <w:color w:val="111111"/>
          <w:sz w:val="28"/>
          <w:szCs w:val="28"/>
          <w:rtl/>
        </w:rPr>
        <w:t xml:space="preserve">المراد من رفع الحسد 36</w:t>
      </w:r>
    </w:p>
    <w:p>
      <w:pPr>
        <w:pStyle w:val="BookText"/>
      </w:pPr>
      <w:r>
        <w:rPr>
          <w:rFonts w:ascii="IRNazanin" w:hAnsi="IRNazanin" w:eastAsia="IRNazanin" w:cs="IRNazanin"/>
          <w:lang w:bidi="fa-IR"/>
          <w:color w:val="111111"/>
          <w:sz w:val="28"/>
          <w:szCs w:val="28"/>
          <w:rtl/>
        </w:rPr>
        <w:t xml:space="preserve">المراد من رفع الطیرة 38</w:t>
      </w:r>
    </w:p>
    <w:p>
      <w:pPr>
        <w:pStyle w:val="BookText"/>
      </w:pPr>
      <w:r>
        <w:rPr>
          <w:rFonts w:ascii="IRNazanin" w:hAnsi="IRNazanin" w:eastAsia="IRNazanin" w:cs="IRNazanin"/>
          <w:lang w:bidi="fa-IR"/>
          <w:color w:val="111111"/>
          <w:sz w:val="28"/>
          <w:szCs w:val="28"/>
          <w:rtl/>
        </w:rPr>
        <w:t xml:space="preserve">المراد من الوسوسة فی الخلق 38</w:t>
      </w:r>
    </w:p>
    <w:p>
      <w:pPr>
        <w:pStyle w:val="BookText"/>
      </w:pPr>
      <w:r>
        <w:rPr>
          <w:rFonts w:ascii="IRNazanin" w:hAnsi="IRNazanin" w:eastAsia="IRNazanin" w:cs="IRNazanin"/>
          <w:lang w:bidi="fa-IR"/>
          <w:color w:val="111111"/>
          <w:sz w:val="28"/>
          <w:szCs w:val="28"/>
          <w:rtl/>
        </w:rPr>
        <w:t xml:space="preserve">ما ذکره الصدوق فی تفسیر الطیرة و الحسد و الوسوسة 40</w:t>
      </w:r>
    </w:p>
    <w:p>
      <w:pPr>
        <w:pStyle w:val="BookText"/>
      </w:pPr>
      <w:r>
        <w:rPr>
          <w:rFonts w:ascii="IRNazanin" w:hAnsi="IRNazanin" w:eastAsia="IRNazanin" w:cs="IRNazanin"/>
          <w:lang w:bidi="fa-IR"/>
          <w:color w:val="111111"/>
          <w:sz w:val="28"/>
          <w:szCs w:val="28"/>
          <w:rtl/>
        </w:rPr>
        <w:t xml:space="preserve">الاستدلال بحدیث«الحجب»و المناقشة فیه 41</w:t>
      </w:r>
    </w:p>
    <w:p>
      <w:pPr>
        <w:pStyle w:val="BookText"/>
      </w:pPr>
      <w:r>
        <w:rPr>
          <w:rFonts w:ascii="IRNazanin" w:hAnsi="IRNazanin" w:eastAsia="IRNazanin" w:cs="IRNazanin"/>
          <w:lang w:bidi="fa-IR"/>
          <w:color w:val="111111"/>
          <w:sz w:val="28"/>
          <w:szCs w:val="28"/>
          <w:rtl/>
        </w:rPr>
        <w:t xml:space="preserve">الاستدلال بحدیث«السعة»و المناقشة فیه 41</w:t>
      </w:r>
    </w:p>
    <w:p>
      <w:pPr>
        <w:pStyle w:val="BookText"/>
      </w:pPr>
      <w:r>
        <w:rPr>
          <w:rFonts w:ascii="IRNazanin" w:hAnsi="IRNazanin" w:eastAsia="IRNazanin" w:cs="IRNazanin"/>
          <w:lang w:bidi="fa-IR"/>
          <w:color w:val="111111"/>
          <w:sz w:val="28"/>
          <w:szCs w:val="28"/>
          <w:rtl/>
        </w:rPr>
        <w:t xml:space="preserve">الاستدلال بروایة«عبد الأعلی»و المناقشة فیه 42</w:t>
      </w:r>
    </w:p>
    <w:p>
      <w:pPr>
        <w:pStyle w:val="BookText"/>
      </w:pPr>
      <w:r>
        <w:rPr>
          <w:rFonts w:ascii="IRNazanin" w:hAnsi="IRNazanin" w:eastAsia="IRNazanin" w:cs="IRNazanin"/>
          <w:lang w:bidi="fa-IR"/>
          <w:color w:val="111111"/>
          <w:sz w:val="28"/>
          <w:szCs w:val="28"/>
          <w:rtl/>
        </w:rPr>
        <w:t xml:space="preserve">الاستدلال بروایة«أیّما امرئ...»و المناقشة فیه 42</w:t>
      </w:r>
    </w:p>
    <w:p>
      <w:pPr>
        <w:pStyle w:val="BookText"/>
      </w:pPr>
      <w:r>
        <w:rPr>
          <w:rFonts w:ascii="IRNazanin" w:hAnsi="IRNazanin" w:eastAsia="IRNazanin" w:cs="IRNazanin"/>
          <w:lang w:bidi="fa-IR"/>
          <w:color w:val="111111"/>
          <w:sz w:val="28"/>
          <w:szCs w:val="28"/>
          <w:rtl/>
        </w:rPr>
        <w:t xml:space="preserve">الاستدلال بروایة«إنّ اللّه تعالی یحتجّ...»و المناقشة فیه 42</w:t>
      </w:r>
    </w:p>
    <w:p>
      <w:pPr>
        <w:pStyle w:val="BookText"/>
      </w:pPr>
      <w:r>
        <w:rPr>
          <w:rFonts w:ascii="IRNazanin" w:hAnsi="IRNazanin" w:eastAsia="IRNazanin" w:cs="IRNazanin"/>
          <w:lang w:bidi="fa-IR"/>
          <w:color w:val="111111"/>
          <w:sz w:val="28"/>
          <w:szCs w:val="28"/>
          <w:rtl/>
        </w:rPr>
        <w:t xml:space="preserve">[شماره صفحه واقعی : 479]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الاستدلال بمرسلة الفقیه 43</w:t>
      </w:r>
    </w:p>
    <w:p>
      <w:pPr>
        <w:pStyle w:val="BookText"/>
      </w:pPr>
      <w:r>
        <w:rPr>
          <w:rFonts w:ascii="IRNazanin" w:hAnsi="IRNazanin" w:eastAsia="IRNazanin" w:cs="IRNazanin"/>
          <w:lang w:bidi="fa-IR"/>
          <w:color w:val="111111"/>
          <w:sz w:val="28"/>
          <w:szCs w:val="28"/>
          <w:rtl/>
        </w:rPr>
        <w:t xml:space="preserve">الاستدلال بصحیحة عبد الرحمن بن الحجّاج 43</w:t>
      </w:r>
    </w:p>
    <w:p>
      <w:pPr>
        <w:pStyle w:val="BookText"/>
      </w:pPr>
      <w:r>
        <w:rPr>
          <w:rFonts w:ascii="IRNazanin" w:hAnsi="IRNazanin" w:eastAsia="IRNazanin" w:cs="IRNazanin"/>
          <w:lang w:bidi="fa-IR"/>
          <w:color w:val="111111"/>
          <w:sz w:val="28"/>
          <w:szCs w:val="28"/>
          <w:rtl/>
        </w:rPr>
        <w:t xml:space="preserve">المناقشة فی الاستدلال بالصحیحة 44</w:t>
      </w:r>
    </w:p>
    <w:p>
      <w:pPr>
        <w:pStyle w:val="BookText"/>
      </w:pPr>
      <w:r>
        <w:rPr>
          <w:rFonts w:ascii="IRNazanin" w:hAnsi="IRNazanin" w:eastAsia="IRNazanin" w:cs="IRNazanin"/>
          <w:lang w:bidi="fa-IR"/>
          <w:color w:val="111111"/>
          <w:sz w:val="28"/>
          <w:szCs w:val="28"/>
          <w:rtl/>
        </w:rPr>
        <w:t xml:space="preserve">الاستدلال بروایة«کلّ شیء فیه حلال و حرام...»45</w:t>
      </w:r>
    </w:p>
    <w:p>
      <w:pPr>
        <w:pStyle w:val="BookText"/>
      </w:pPr>
      <w:r>
        <w:rPr>
          <w:rFonts w:ascii="IRNazanin" w:hAnsi="IRNazanin" w:eastAsia="IRNazanin" w:cs="IRNazanin"/>
          <w:lang w:bidi="fa-IR"/>
          <w:color w:val="111111"/>
          <w:sz w:val="28"/>
          <w:szCs w:val="28"/>
          <w:rtl/>
        </w:rPr>
        <w:t xml:space="preserve">المناقشة فی الاستدلال 47</w:t>
      </w:r>
    </w:p>
    <w:p>
      <w:pPr>
        <w:pStyle w:val="BookText"/>
      </w:pPr>
      <w:r>
        <w:rPr>
          <w:rFonts w:ascii="IRNazanin" w:hAnsi="IRNazanin" w:eastAsia="IRNazanin" w:cs="IRNazanin"/>
          <w:lang w:bidi="fa-IR"/>
          <w:color w:val="111111"/>
          <w:sz w:val="28"/>
          <w:szCs w:val="28"/>
          <w:rtl/>
        </w:rPr>
        <w:t xml:space="preserve">المحصّل من الأخبار المستدلّ بها علی البراءة 50</w:t>
      </w:r>
    </w:p>
    <w:p>
      <w:pPr>
        <w:pStyle w:val="BookText"/>
      </w:pPr>
      <w:r>
        <w:rPr>
          <w:rFonts w:ascii="IRNazanin" w:hAnsi="IRNazanin" w:eastAsia="IRNazanin" w:cs="IRNazanin"/>
          <w:lang w:bidi="fa-IR"/>
          <w:color w:val="111111"/>
          <w:sz w:val="28"/>
          <w:szCs w:val="28"/>
          <w:rtl/>
        </w:rPr>
        <w:t xml:space="preserve">الاستدلال علی البراءة بالإجماع من وجهین:50</w:t>
      </w:r>
    </w:p>
    <w:p>
      <w:pPr>
        <w:pStyle w:val="BookText"/>
      </w:pPr>
      <w:r>
        <w:rPr>
          <w:rFonts w:ascii="IRNazanin" w:hAnsi="IRNazanin" w:eastAsia="IRNazanin" w:cs="IRNazanin"/>
          <w:lang w:bidi="fa-IR"/>
          <w:color w:val="111111"/>
          <w:sz w:val="28"/>
          <w:szCs w:val="28"/>
          <w:rtl/>
        </w:rPr>
        <w:t xml:space="preserve">1-دعوی الإجماع فیما لم یرد دلیل علی تحریمه مطلقا 50</w:t>
      </w:r>
    </w:p>
    <w:p>
      <w:pPr>
        <w:pStyle w:val="BookText"/>
      </w:pPr>
      <w:r>
        <w:rPr>
          <w:rFonts w:ascii="IRNazanin" w:hAnsi="IRNazanin" w:eastAsia="IRNazanin" w:cs="IRNazanin"/>
          <w:lang w:bidi="fa-IR"/>
          <w:color w:val="111111"/>
          <w:sz w:val="28"/>
          <w:szCs w:val="28"/>
          <w:rtl/>
        </w:rPr>
        <w:t xml:space="preserve">2-دعوی الإجماع فیما لم یرد دلیل علی تحریمه من حیث هو 51</w:t>
      </w:r>
    </w:p>
    <w:p>
      <w:pPr>
        <w:pStyle w:val="BookText"/>
      </w:pPr>
      <w:r>
        <w:rPr>
          <w:rFonts w:ascii="IRNazanin" w:hAnsi="IRNazanin" w:eastAsia="IRNazanin" w:cs="IRNazanin"/>
          <w:lang w:bidi="fa-IR"/>
          <w:color w:val="111111"/>
          <w:sz w:val="28"/>
          <w:szCs w:val="28"/>
          <w:rtl/>
        </w:rPr>
        <w:t xml:space="preserve">تحصیل الإجماع علی النحو الثانی من وجوه:51</w:t>
      </w:r>
    </w:p>
    <w:p>
      <w:pPr>
        <w:pStyle w:val="BookText"/>
      </w:pPr>
      <w:r>
        <w:rPr>
          <w:rFonts w:ascii="IRNazanin" w:hAnsi="IRNazanin" w:eastAsia="IRNazanin" w:cs="IRNazanin"/>
          <w:lang w:bidi="fa-IR"/>
          <w:color w:val="111111"/>
          <w:sz w:val="28"/>
          <w:szCs w:val="28"/>
          <w:rtl/>
        </w:rPr>
        <w:t xml:space="preserve">1-ملاحظة فتاوی العلماء:51</w:t>
      </w:r>
    </w:p>
    <w:p>
      <w:pPr>
        <w:pStyle w:val="BookText"/>
      </w:pPr>
      <w:r>
        <w:rPr>
          <w:rFonts w:ascii="Amiri" w:hAnsi="Amiri" w:eastAsia="Amiri" w:cs="Amiri"/>
          <w:lang w:bidi="ar-SA"/>
          <w:color w:val="111111"/>
          <w:sz w:val="28"/>
          <w:szCs w:val="28"/>
          <w:rtl/>
        </w:rPr>
        <w:t xml:space="preserve">2-الإجماعات المنقولة و الشهرة المحقّقة 54</w:t>
      </w:r>
    </w:p>
    <w:p>
      <w:pPr>
        <w:pStyle w:val="BookText"/>
      </w:pPr>
      <w:r>
        <w:rPr>
          <w:rFonts w:ascii="IRNazanin" w:hAnsi="IRNazanin" w:eastAsia="IRNazanin" w:cs="IRNazanin"/>
          <w:lang w:bidi="fa-IR"/>
          <w:color w:val="111111"/>
          <w:sz w:val="28"/>
          <w:szCs w:val="28"/>
          <w:rtl/>
        </w:rPr>
        <w:t xml:space="preserve">3-الإجماع العملی 55</w:t>
      </w:r>
    </w:p>
    <w:p>
      <w:pPr>
        <w:pStyle w:val="BookText"/>
      </w:pPr>
      <w:r>
        <w:rPr>
          <w:rFonts w:ascii="IRNazanin" w:hAnsi="IRNazanin" w:eastAsia="IRNazanin" w:cs="IRNazanin"/>
          <w:lang w:bidi="fa-IR"/>
          <w:color w:val="111111"/>
          <w:sz w:val="28"/>
          <w:szCs w:val="28"/>
          <w:rtl/>
        </w:rPr>
        <w:t xml:space="preserve">الدلیل العقلی علی البراءة:«قاعدة قبح العقاب بلا بیان»56</w:t>
      </w:r>
    </w:p>
    <w:p>
      <w:pPr>
        <w:pStyle w:val="BookText"/>
      </w:pPr>
      <w:r>
        <w:rPr>
          <w:rFonts w:ascii="IRNazanin" w:hAnsi="IRNazanin" w:eastAsia="IRNazanin" w:cs="IRNazanin"/>
          <w:lang w:bidi="fa-IR"/>
          <w:color w:val="111111"/>
          <w:sz w:val="28"/>
          <w:szCs w:val="28"/>
          <w:rtl/>
        </w:rPr>
        <w:t xml:space="preserve">حکم العقل بوجوب دفع الضرر المحتمل لا یکون بیانا 56</w:t>
      </w:r>
    </w:p>
    <w:p>
      <w:pPr>
        <w:pStyle w:val="BookText"/>
      </w:pPr>
      <w:r>
        <w:rPr>
          <w:rFonts w:ascii="IRNazanin" w:hAnsi="IRNazanin" w:eastAsia="IRNazanin" w:cs="IRNazanin"/>
          <w:lang w:bidi="fa-IR"/>
          <w:color w:val="111111"/>
          <w:sz w:val="28"/>
          <w:szCs w:val="28"/>
          <w:rtl/>
        </w:rPr>
        <w:t xml:space="preserve">ما ذکره فی الغنیة:من أنّ التکلیف بما لا طریق إلی العلم به</w:t>
      </w:r>
    </w:p>
    <w:p>
      <w:pPr>
        <w:pStyle w:val="BookText"/>
      </w:pPr>
      <w:r>
        <w:rPr>
          <w:rFonts w:ascii="IRNazanin" w:hAnsi="IRNazanin" w:eastAsia="IRNazanin" w:cs="IRNazanin"/>
          <w:lang w:bidi="fa-IR"/>
          <w:color w:val="111111"/>
          <w:sz w:val="28"/>
          <w:szCs w:val="28"/>
          <w:rtl/>
        </w:rPr>
        <w:t xml:space="preserve">تکلیف بما لا یطاق 57</w:t>
      </w:r>
    </w:p>
    <w:p>
      <w:pPr>
        <w:pStyle w:val="BookText"/>
      </w:pPr>
      <w:r>
        <w:rPr>
          <w:rFonts w:ascii="IRNazanin" w:hAnsi="IRNazanin" w:eastAsia="IRNazanin" w:cs="IRNazanin"/>
          <w:lang w:bidi="fa-IR"/>
          <w:color w:val="111111"/>
          <w:sz w:val="28"/>
          <w:szCs w:val="28"/>
          <w:rtl/>
        </w:rPr>
        <w:t xml:space="preserve">المراد ب«ما لا یطاق»58</w:t>
      </w:r>
    </w:p>
    <w:p>
      <w:pPr>
        <w:pStyle w:val="BookText"/>
      </w:pPr>
      <w:r>
        <w:rPr>
          <w:rFonts w:ascii="IRNazanin" w:hAnsi="IRNazanin" w:eastAsia="IRNazanin" w:cs="IRNazanin"/>
          <w:lang w:bidi="fa-IR"/>
          <w:color w:val="111111"/>
          <w:sz w:val="28"/>
          <w:szCs w:val="28"/>
          <w:rtl/>
        </w:rPr>
        <w:t xml:space="preserve">الدلیل العقلی المذکور لیس من أدلّة البراءة 59</w:t>
      </w:r>
    </w:p>
    <w:p>
      <w:pPr>
        <w:pStyle w:val="BookText"/>
      </w:pPr>
      <w:r>
        <w:rPr>
          <w:rFonts w:ascii="IRNazanin" w:hAnsi="IRNazanin" w:eastAsia="IRNazanin" w:cs="IRNazanin"/>
          <w:lang w:bidi="fa-IR"/>
          <w:color w:val="111111"/>
          <w:sz w:val="28"/>
          <w:szCs w:val="28"/>
          <w:rtl/>
        </w:rPr>
        <w:t xml:space="preserve">الاستدلال علی البراءة بوجوه غیر ناهضة:59</w:t>
      </w:r>
    </w:p>
    <w:p>
      <w:pPr>
        <w:pStyle w:val="BookText"/>
      </w:pPr>
      <w:r>
        <w:rPr>
          <w:rFonts w:ascii="IRNazanin" w:hAnsi="IRNazanin" w:eastAsia="IRNazanin" w:cs="IRNazanin"/>
          <w:lang w:bidi="fa-IR"/>
          <w:color w:val="111111"/>
          <w:sz w:val="28"/>
          <w:szCs w:val="28"/>
          <w:rtl/>
        </w:rPr>
        <w:t xml:space="preserve">1-استصحاب البراءة المتیقّنة 59</w:t>
      </w:r>
    </w:p>
    <w:p>
      <w:pPr>
        <w:pStyle w:val="BookText"/>
      </w:pPr>
      <w:r>
        <w:rPr>
          <w:rFonts w:ascii="IRNazanin" w:hAnsi="IRNazanin" w:eastAsia="IRNazanin" w:cs="IRNazanin"/>
          <w:lang w:bidi="fa-IR"/>
          <w:color w:val="111111"/>
          <w:sz w:val="28"/>
          <w:szCs w:val="28"/>
          <w:rtl/>
        </w:rPr>
        <w:t xml:space="preserve">2-کون الاحتیاط عسرا 61</w:t>
      </w:r>
    </w:p>
    <w:p>
      <w:pPr>
        <w:pStyle w:val="BookText"/>
      </w:pPr>
      <w:r>
        <w:rPr>
          <w:rFonts w:ascii="IRNazanin" w:hAnsi="IRNazanin" w:eastAsia="IRNazanin" w:cs="IRNazanin"/>
          <w:lang w:bidi="fa-IR"/>
          <w:color w:val="111111"/>
          <w:sz w:val="28"/>
          <w:szCs w:val="28"/>
          <w:rtl/>
        </w:rPr>
        <w:t xml:space="preserve">3-کون الاحتیاط متعذّرا أحیانا 61</w:t>
      </w:r>
    </w:p>
    <w:p>
      <w:pPr>
        <w:pStyle w:val="BookText"/>
      </w:pPr>
      <w:r>
        <w:rPr>
          <w:rFonts w:ascii="IRNazanin" w:hAnsi="IRNazanin" w:eastAsia="IRNazanin" w:cs="IRNazanin"/>
          <w:lang w:bidi="fa-IR"/>
          <w:color w:val="111111"/>
          <w:sz w:val="28"/>
          <w:szCs w:val="28"/>
          <w:rtl/>
        </w:rPr>
        <w:t xml:space="preserve">[شماره صفحه واقعی : 480]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أدلّة القول بوجوب الاحتیاط 62</w:t>
      </w:r>
    </w:p>
    <w:p>
      <w:pPr>
        <w:pStyle w:val="BookText"/>
      </w:pPr>
      <w:r>
        <w:rPr>
          <w:rFonts w:ascii="IRNazanin" w:hAnsi="IRNazanin" w:eastAsia="IRNazanin" w:cs="IRNazanin"/>
          <w:lang w:bidi="fa-IR"/>
          <w:color w:val="111111"/>
          <w:sz w:val="28"/>
          <w:szCs w:val="28"/>
          <w:rtl/>
        </w:rPr>
        <w:t xml:space="preserve">الاستدلال بالکتاب:62</w:t>
      </w:r>
    </w:p>
    <w:p>
      <w:pPr>
        <w:pStyle w:val="BookText"/>
      </w:pPr>
      <w:r>
        <w:rPr>
          <w:rFonts w:ascii="IRNazanin" w:hAnsi="IRNazanin" w:eastAsia="IRNazanin" w:cs="IRNazanin"/>
          <w:lang w:bidi="fa-IR"/>
          <w:color w:val="111111"/>
          <w:sz w:val="28"/>
          <w:szCs w:val="28"/>
          <w:rtl/>
        </w:rPr>
        <w:t xml:space="preserve">1-الآیات الناهیة عن القول بغیر علم 62</w:t>
      </w:r>
    </w:p>
    <w:p>
      <w:pPr>
        <w:pStyle w:val="BookText"/>
      </w:pPr>
      <w:r>
        <w:rPr>
          <w:rFonts w:ascii="IRNazanin" w:hAnsi="IRNazanin" w:eastAsia="IRNazanin" w:cs="IRNazanin"/>
          <w:lang w:bidi="fa-IR"/>
          <w:color w:val="111111"/>
          <w:sz w:val="28"/>
          <w:szCs w:val="28"/>
          <w:rtl/>
        </w:rPr>
        <w:t xml:space="preserve">2-الآیات الدالّة علی لزوم الاحتیاط و الاتقاء 62</w:t>
      </w:r>
    </w:p>
    <w:p>
      <w:pPr>
        <w:pStyle w:val="BookText"/>
      </w:pPr>
      <w:r>
        <w:rPr>
          <w:rFonts w:ascii="IRNazanin" w:hAnsi="IRNazanin" w:eastAsia="IRNazanin" w:cs="IRNazanin"/>
          <w:lang w:bidi="fa-IR"/>
          <w:color w:val="111111"/>
          <w:sz w:val="28"/>
          <w:szCs w:val="28"/>
          <w:rtl/>
        </w:rPr>
        <w:t xml:space="preserve">الجواب عن آیات النهی عن القول بغیر علم 63</w:t>
      </w:r>
    </w:p>
    <w:p>
      <w:pPr>
        <w:pStyle w:val="BookText"/>
      </w:pPr>
      <w:r>
        <w:rPr>
          <w:rFonts w:ascii="IRNazanin" w:hAnsi="IRNazanin" w:eastAsia="IRNazanin" w:cs="IRNazanin"/>
          <w:lang w:bidi="fa-IR"/>
          <w:color w:val="111111"/>
          <w:sz w:val="28"/>
          <w:szCs w:val="28"/>
          <w:rtl/>
        </w:rPr>
        <w:t xml:space="preserve">الجواب عن آیات الاحتیاط 63</w:t>
      </w:r>
    </w:p>
    <w:p>
      <w:pPr>
        <w:pStyle w:val="BookText"/>
      </w:pPr>
      <w:r>
        <w:rPr>
          <w:rFonts w:ascii="IRNazanin" w:hAnsi="IRNazanin" w:eastAsia="IRNazanin" w:cs="IRNazanin"/>
          <w:lang w:bidi="fa-IR"/>
          <w:color w:val="111111"/>
          <w:sz w:val="28"/>
          <w:szCs w:val="28"/>
          <w:rtl/>
        </w:rPr>
        <w:t xml:space="preserve">الاستدلال علی وجوب الاحتیاط بالسنّة:63</w:t>
      </w:r>
    </w:p>
    <w:p>
      <w:pPr>
        <w:pStyle w:val="BookText"/>
      </w:pPr>
      <w:r>
        <w:rPr>
          <w:rFonts w:ascii="IRNazanin" w:hAnsi="IRNazanin" w:eastAsia="IRNazanin" w:cs="IRNazanin"/>
          <w:lang w:bidi="fa-IR"/>
          <w:color w:val="111111"/>
          <w:sz w:val="28"/>
          <w:szCs w:val="28"/>
          <w:rtl/>
        </w:rPr>
        <w:t xml:space="preserve">1-الأخبار الدالّة علی حرمة القول و العمل بغیر علم و الجواب عنها 63</w:t>
      </w:r>
    </w:p>
    <w:p>
      <w:pPr>
        <w:pStyle w:val="BookText"/>
      </w:pPr>
      <w:r>
        <w:rPr>
          <w:rFonts w:ascii="IRNazanin" w:hAnsi="IRNazanin" w:eastAsia="IRNazanin" w:cs="IRNazanin"/>
          <w:lang w:bidi="fa-IR"/>
          <w:color w:val="111111"/>
          <w:sz w:val="28"/>
          <w:szCs w:val="28"/>
          <w:rtl/>
        </w:rPr>
        <w:t xml:space="preserve">2-الأخبار الدالّة علی وجوب التوقّف 64</w:t>
      </w:r>
    </w:p>
    <w:p>
      <w:pPr>
        <w:pStyle w:val="BookText"/>
      </w:pPr>
      <w:r>
        <w:rPr>
          <w:rFonts w:ascii="IRNazanin" w:hAnsi="IRNazanin" w:eastAsia="IRNazanin" w:cs="IRNazanin"/>
          <w:lang w:bidi="fa-IR"/>
          <w:color w:val="111111"/>
          <w:sz w:val="28"/>
          <w:szCs w:val="28"/>
          <w:rtl/>
        </w:rPr>
        <w:t xml:space="preserve">الجواب عن الاستدلال بأخبار التوقّف 67</w:t>
      </w:r>
    </w:p>
    <w:p>
      <w:pPr>
        <w:pStyle w:val="BookText"/>
      </w:pPr>
      <w:r>
        <w:rPr>
          <w:rFonts w:ascii="IRNazanin" w:hAnsi="IRNazanin" w:eastAsia="IRNazanin" w:cs="IRNazanin"/>
          <w:lang w:bidi="fa-IR"/>
          <w:color w:val="111111"/>
          <w:sz w:val="28"/>
          <w:szCs w:val="28"/>
          <w:rtl/>
        </w:rPr>
        <w:t xml:space="preserve">استعمال خیریّة الوقوف عند الشبهة فی مقامین:72</w:t>
      </w:r>
    </w:p>
    <w:p>
      <w:pPr>
        <w:pStyle w:val="BookText"/>
      </w:pPr>
      <w:r>
        <w:rPr>
          <w:rFonts w:ascii="IRNazanin" w:hAnsi="IRNazanin" w:eastAsia="IRNazanin" w:cs="IRNazanin"/>
          <w:lang w:bidi="fa-IR"/>
          <w:color w:val="111111"/>
          <w:sz w:val="28"/>
          <w:szCs w:val="28"/>
          <w:rtl/>
        </w:rPr>
        <w:t xml:space="preserve">أ-استعمالها فی مقام لزوم التوقّف 72</w:t>
      </w:r>
    </w:p>
    <w:p>
      <w:pPr>
        <w:pStyle w:val="BookText"/>
      </w:pPr>
      <w:r>
        <w:rPr>
          <w:rFonts w:ascii="IRNazanin" w:hAnsi="IRNazanin" w:eastAsia="IRNazanin" w:cs="IRNazanin"/>
          <w:lang w:bidi="fa-IR"/>
          <w:color w:val="111111"/>
          <w:sz w:val="28"/>
          <w:szCs w:val="28"/>
          <w:rtl/>
        </w:rPr>
        <w:t xml:space="preserve">ب-استعمالها فی غیر اللازم 72</w:t>
      </w:r>
    </w:p>
    <w:p>
      <w:pPr>
        <w:pStyle w:val="BookText"/>
      </w:pPr>
      <w:r>
        <w:rPr>
          <w:rFonts w:ascii="IRNazanin" w:hAnsi="IRNazanin" w:eastAsia="IRNazanin" w:cs="IRNazanin"/>
          <w:lang w:bidi="fa-IR"/>
          <w:color w:val="111111"/>
          <w:sz w:val="28"/>
          <w:szCs w:val="28"/>
          <w:rtl/>
        </w:rPr>
        <w:t xml:space="preserve">الجواب عن أخبار التوقّف بوجوه غیر تامّة 73</w:t>
      </w:r>
    </w:p>
    <w:p>
      <w:pPr>
        <w:pStyle w:val="BookText"/>
      </w:pPr>
      <w:r>
        <w:rPr>
          <w:rFonts w:ascii="IRNazanin" w:hAnsi="IRNazanin" w:eastAsia="IRNazanin" w:cs="IRNazanin"/>
          <w:lang w:bidi="fa-IR"/>
          <w:color w:val="111111"/>
          <w:sz w:val="28"/>
          <w:szCs w:val="28"/>
          <w:rtl/>
        </w:rPr>
        <w:t xml:space="preserve">3-الأخبار الدالّة علی وجوب الاحتیاط 76</w:t>
      </w:r>
    </w:p>
    <w:p>
      <w:pPr>
        <w:pStyle w:val="BookText"/>
      </w:pPr>
      <w:r>
        <w:rPr>
          <w:rFonts w:ascii="IRNazanin" w:hAnsi="IRNazanin" w:eastAsia="IRNazanin" w:cs="IRNazanin"/>
          <w:lang w:bidi="fa-IR"/>
          <w:color w:val="111111"/>
          <w:sz w:val="28"/>
          <w:szCs w:val="28"/>
          <w:rtl/>
        </w:rPr>
        <w:t xml:space="preserve">الجواب عن الاستدلال بأخبار الاحتیاط 78</w:t>
      </w:r>
    </w:p>
    <w:p>
      <w:pPr>
        <w:pStyle w:val="BookText"/>
      </w:pPr>
      <w:r>
        <w:rPr>
          <w:rFonts w:ascii="IRNazanin" w:hAnsi="IRNazanin" w:eastAsia="IRNazanin" w:cs="IRNazanin"/>
          <w:lang w:bidi="fa-IR"/>
          <w:color w:val="111111"/>
          <w:sz w:val="28"/>
          <w:szCs w:val="28"/>
          <w:rtl/>
        </w:rPr>
        <w:t xml:space="preserve">4-أخبار التثلیث 82</w:t>
      </w:r>
    </w:p>
    <w:p>
      <w:pPr>
        <w:pStyle w:val="BookText"/>
      </w:pPr>
      <w:r>
        <w:rPr>
          <w:rFonts w:ascii="IRNazanin" w:hAnsi="IRNazanin" w:eastAsia="IRNazanin" w:cs="IRNazanin"/>
          <w:lang w:bidi="fa-IR"/>
          <w:color w:val="111111"/>
          <w:sz w:val="28"/>
          <w:szCs w:val="28"/>
          <w:rtl/>
        </w:rPr>
        <w:t xml:space="preserve">وجه الاستدلال 83</w:t>
      </w:r>
    </w:p>
    <w:p>
      <w:pPr>
        <w:pStyle w:val="BookText"/>
      </w:pPr>
      <w:r>
        <w:rPr>
          <w:rFonts w:ascii="IRNazanin" w:hAnsi="IRNazanin" w:eastAsia="IRNazanin" w:cs="IRNazanin"/>
          <w:lang w:bidi="fa-IR"/>
          <w:color w:val="111111"/>
          <w:sz w:val="28"/>
          <w:szCs w:val="28"/>
          <w:rtl/>
        </w:rPr>
        <w:t xml:space="preserve">المناقشة فی الاستدلال 84</w:t>
      </w:r>
    </w:p>
    <w:p>
      <w:pPr>
        <w:pStyle w:val="BookText"/>
      </w:pPr>
      <w:r>
        <w:rPr>
          <w:rFonts w:ascii="IRNazanin" w:hAnsi="IRNazanin" w:eastAsia="IRNazanin" w:cs="IRNazanin"/>
          <w:lang w:bidi="fa-IR"/>
          <w:color w:val="111111"/>
          <w:sz w:val="28"/>
          <w:szCs w:val="28"/>
          <w:rtl/>
        </w:rPr>
        <w:t xml:space="preserve">لیس المقصود من الأمر بطرح الشبهات خصوص الإلزام 84</w:t>
      </w:r>
    </w:p>
    <w:p>
      <w:pPr>
        <w:pStyle w:val="BookText"/>
      </w:pPr>
      <w:r>
        <w:rPr>
          <w:rFonts w:ascii="IRNazanin" w:hAnsi="IRNazanin" w:eastAsia="IRNazanin" w:cs="IRNazanin"/>
          <w:lang w:bidi="fa-IR"/>
          <w:color w:val="111111"/>
          <w:sz w:val="28"/>
          <w:szCs w:val="28"/>
          <w:rtl/>
        </w:rPr>
        <w:t xml:space="preserve">المؤیّد لما ذکرنا امور:84</w:t>
      </w:r>
    </w:p>
    <w:p>
      <w:pPr>
        <w:pStyle w:val="BookText"/>
      </w:pPr>
      <w:r>
        <w:rPr>
          <w:rFonts w:ascii="IRNazanin" w:hAnsi="IRNazanin" w:eastAsia="IRNazanin" w:cs="IRNazanin"/>
          <w:lang w:bidi="fa-IR"/>
          <w:color w:val="111111"/>
          <w:sz w:val="28"/>
          <w:szCs w:val="28"/>
          <w:rtl/>
        </w:rPr>
        <w:t xml:space="preserve">أ-عموم الشبهات للشبهة الموضوعیّة التحریمیّة 85</w:t>
      </w:r>
    </w:p>
    <w:p>
      <w:pPr>
        <w:pStyle w:val="BookText"/>
      </w:pPr>
      <w:r>
        <w:rPr>
          <w:rFonts w:ascii="IRNazanin" w:hAnsi="IRNazanin" w:eastAsia="IRNazanin" w:cs="IRNazanin"/>
          <w:lang w:bidi="fa-IR"/>
          <w:color w:val="111111"/>
          <w:sz w:val="28"/>
          <w:szCs w:val="28"/>
          <w:rtl/>
        </w:rPr>
        <w:t xml:space="preserve">ب-کون المراد جنس الشبهة 85</w:t>
      </w:r>
    </w:p>
    <w:p>
      <w:pPr>
        <w:pStyle w:val="BookText"/>
      </w:pPr>
      <w:r>
        <w:rPr>
          <w:rFonts w:ascii="IRNazanin" w:hAnsi="IRNazanin" w:eastAsia="IRNazanin" w:cs="IRNazanin"/>
          <w:lang w:bidi="fa-IR"/>
          <w:color w:val="111111"/>
          <w:sz w:val="28"/>
          <w:szCs w:val="28"/>
          <w:rtl/>
        </w:rPr>
        <w:t xml:space="preserve">[شماره صفحه واقعی : 481]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ج-الأخبار الکثیرة 85</w:t>
      </w:r>
    </w:p>
    <w:p>
      <w:pPr>
        <w:pStyle w:val="BookText"/>
      </w:pPr>
      <w:r>
        <w:rPr>
          <w:rFonts w:ascii="IRNazanin" w:hAnsi="IRNazanin" w:eastAsia="IRNazanin" w:cs="IRNazanin"/>
          <w:lang w:bidi="fa-IR"/>
          <w:color w:val="111111"/>
          <w:sz w:val="28"/>
          <w:szCs w:val="28"/>
          <w:rtl/>
        </w:rPr>
        <w:t xml:space="preserve">الدلیل العقلی علی وجوب الاحتیاط من وجهین:87</w:t>
      </w:r>
    </w:p>
    <w:p>
      <w:pPr>
        <w:pStyle w:val="BookText"/>
      </w:pPr>
      <w:r>
        <w:rPr>
          <w:rFonts w:ascii="IRNazanin" w:hAnsi="IRNazanin" w:eastAsia="IRNazanin" w:cs="IRNazanin"/>
          <w:lang w:bidi="fa-IR"/>
          <w:color w:val="111111"/>
          <w:sz w:val="28"/>
          <w:szCs w:val="28"/>
          <w:rtl/>
        </w:rPr>
        <w:t xml:space="preserve">1-العلم الإجمالی بوجود محرّمات کثیرة 87</w:t>
      </w:r>
    </w:p>
    <w:p>
      <w:pPr>
        <w:pStyle w:val="BookText"/>
      </w:pPr>
      <w:r>
        <w:rPr>
          <w:rFonts w:ascii="IRNazanin" w:hAnsi="IRNazanin" w:eastAsia="IRNazanin" w:cs="IRNazanin"/>
          <w:lang w:bidi="fa-IR"/>
          <w:color w:val="111111"/>
          <w:sz w:val="28"/>
          <w:szCs w:val="28"/>
          <w:rtl/>
        </w:rPr>
        <w:t xml:space="preserve">الجواب عن هذا الوجه 89</w:t>
      </w:r>
    </w:p>
    <w:p>
      <w:pPr>
        <w:pStyle w:val="BookText"/>
      </w:pPr>
      <w:r>
        <w:rPr>
          <w:rFonts w:ascii="IRNazanin" w:hAnsi="IRNazanin" w:eastAsia="IRNazanin" w:cs="IRNazanin"/>
          <w:lang w:bidi="fa-IR"/>
          <w:color w:val="111111"/>
          <w:sz w:val="28"/>
          <w:szCs w:val="28"/>
          <w:rtl/>
        </w:rPr>
        <w:t xml:space="preserve">2-أصالة الحظر فی الأفعال 90</w:t>
      </w:r>
    </w:p>
    <w:p>
      <w:pPr>
        <w:pStyle w:val="BookText"/>
      </w:pPr>
      <w:r>
        <w:rPr>
          <w:rFonts w:ascii="IRNazanin" w:hAnsi="IRNazanin" w:eastAsia="IRNazanin" w:cs="IRNazanin"/>
          <w:lang w:bidi="fa-IR"/>
          <w:color w:val="111111"/>
          <w:sz w:val="28"/>
          <w:szCs w:val="28"/>
          <w:rtl/>
        </w:rPr>
        <w:t xml:space="preserve">الجواب عن هذا الوجه أیضا 91</w:t>
      </w:r>
    </w:p>
    <w:p>
      <w:pPr>
        <w:pStyle w:val="BookText"/>
      </w:pPr>
      <w:r>
        <w:rPr>
          <w:rFonts w:ascii="IRNazanin" w:hAnsi="IRNazanin" w:eastAsia="IRNazanin" w:cs="IRNazanin"/>
          <w:lang w:bidi="fa-IR"/>
          <w:color w:val="111111"/>
          <w:sz w:val="28"/>
          <w:szCs w:val="28"/>
          <w:rtl/>
        </w:rPr>
        <w:t xml:space="preserve">التنبیه علی امور:</w:t>
      </w:r>
    </w:p>
    <w:p>
      <w:pPr>
        <w:pStyle w:val="BookText"/>
      </w:pPr>
      <w:r>
        <w:rPr>
          <w:rFonts w:ascii="IRNazanin" w:hAnsi="IRNazanin" w:eastAsia="IRNazanin" w:cs="IRNazanin"/>
          <w:lang w:bidi="fa-IR"/>
          <w:color w:val="111111"/>
          <w:sz w:val="28"/>
          <w:szCs w:val="28"/>
          <w:rtl/>
        </w:rPr>
        <w:t xml:space="preserve">الأوّل:التفصیل المحکی عن المحقّق بین ما یعمّ به البلوی و غیره 93</w:t>
      </w:r>
    </w:p>
    <w:p>
      <w:pPr>
        <w:pStyle w:val="BookText"/>
      </w:pPr>
      <w:r>
        <w:rPr>
          <w:rFonts w:ascii="IRNazanin" w:hAnsi="IRNazanin" w:eastAsia="IRNazanin" w:cs="IRNazanin"/>
          <w:lang w:bidi="fa-IR"/>
          <w:color w:val="111111"/>
          <w:sz w:val="28"/>
          <w:szCs w:val="28"/>
          <w:rtl/>
        </w:rPr>
        <w:t xml:space="preserve">المناقشة فیما أفاده المحقّق قدّس سرّه 95</w:t>
      </w:r>
    </w:p>
    <w:p>
      <w:pPr>
        <w:pStyle w:val="BookText"/>
      </w:pPr>
      <w:r>
        <w:rPr>
          <w:rFonts w:ascii="IRNazanin" w:hAnsi="IRNazanin" w:eastAsia="IRNazanin" w:cs="IRNazanin"/>
          <w:lang w:bidi="fa-IR"/>
          <w:color w:val="111111"/>
          <w:sz w:val="28"/>
          <w:szCs w:val="28"/>
          <w:rtl/>
        </w:rPr>
        <w:t xml:space="preserve">الثانی:هل أنّ أصالة الإباحة من الأدلّة الظنّیة أو من الاصول؟99</w:t>
      </w:r>
    </w:p>
    <w:p>
      <w:pPr>
        <w:pStyle w:val="BookText"/>
      </w:pPr>
      <w:r>
        <w:rPr>
          <w:rFonts w:ascii="IRNazanin" w:hAnsi="IRNazanin" w:eastAsia="IRNazanin" w:cs="IRNazanin"/>
          <w:lang w:bidi="fa-IR"/>
          <w:color w:val="111111"/>
          <w:sz w:val="28"/>
          <w:szCs w:val="28"/>
          <w:rtl/>
        </w:rPr>
        <w:t xml:space="preserve">الثالث:هل أنّ أوامر الاحتیاط للاستحباب أو للإرشاد؟101</w:t>
      </w:r>
    </w:p>
    <w:p>
      <w:pPr>
        <w:pStyle w:val="BookText"/>
      </w:pPr>
      <w:r>
        <w:rPr>
          <w:rFonts w:ascii="IRNazanin" w:hAnsi="IRNazanin" w:eastAsia="IRNazanin" w:cs="IRNazanin"/>
          <w:lang w:bidi="fa-IR"/>
          <w:color w:val="111111"/>
          <w:sz w:val="28"/>
          <w:szCs w:val="28"/>
          <w:rtl/>
        </w:rPr>
        <w:t xml:space="preserve">الظاهر کونها للإرشاد 101</w:t>
      </w:r>
    </w:p>
    <w:p>
      <w:pPr>
        <w:pStyle w:val="BookText"/>
      </w:pPr>
      <w:r>
        <w:rPr>
          <w:rFonts w:ascii="IRNazanin" w:hAnsi="IRNazanin" w:eastAsia="IRNazanin" w:cs="IRNazanin"/>
          <w:lang w:bidi="fa-IR"/>
          <w:color w:val="111111"/>
          <w:sz w:val="28"/>
          <w:szCs w:val="28"/>
          <w:rtl/>
        </w:rPr>
        <w:t xml:space="preserve">ظاهر بعض الأخبار کونها للاستحباب 103</w:t>
      </w:r>
    </w:p>
    <w:p>
      <w:pPr>
        <w:pStyle w:val="BookText"/>
      </w:pPr>
      <w:r>
        <w:rPr>
          <w:rFonts w:ascii="IRNazanin" w:hAnsi="IRNazanin" w:eastAsia="IRNazanin" w:cs="IRNazanin"/>
          <w:lang w:bidi="fa-IR"/>
          <w:color w:val="111111"/>
          <w:sz w:val="28"/>
          <w:szCs w:val="28"/>
          <w:rtl/>
        </w:rPr>
        <w:t xml:space="preserve">الرابع:المذاهب الأربعة المنسوبة إلی الأخباریین فیما لا نصّ فیه 105</w:t>
      </w:r>
    </w:p>
    <w:p>
      <w:pPr>
        <w:pStyle w:val="BookText"/>
      </w:pPr>
      <w:r>
        <w:rPr>
          <w:rFonts w:ascii="IRNazanin" w:hAnsi="IRNazanin" w:eastAsia="IRNazanin" w:cs="IRNazanin"/>
          <w:lang w:bidi="fa-IR"/>
          <w:color w:val="111111"/>
          <w:sz w:val="28"/>
          <w:szCs w:val="28"/>
          <w:rtl/>
        </w:rPr>
        <w:t xml:space="preserve">التوقّف أعمّ من الاحتیاط بحسب المورد 105</w:t>
      </w:r>
    </w:p>
    <w:p>
      <w:pPr>
        <w:pStyle w:val="BookText"/>
      </w:pPr>
      <w:r>
        <w:rPr>
          <w:rFonts w:ascii="IRNazanin" w:hAnsi="IRNazanin" w:eastAsia="IRNazanin" w:cs="IRNazanin"/>
          <w:lang w:bidi="fa-IR"/>
          <w:color w:val="111111"/>
          <w:sz w:val="28"/>
          <w:szCs w:val="28"/>
          <w:rtl/>
        </w:rPr>
        <w:t xml:space="preserve">الاحتیاط أعمّ من موارد احتمال التحریم 105</w:t>
      </w:r>
    </w:p>
    <w:p>
      <w:pPr>
        <w:pStyle w:val="BookText"/>
      </w:pPr>
      <w:r>
        <w:rPr>
          <w:rFonts w:ascii="IRNazanin" w:hAnsi="IRNazanin" w:eastAsia="IRNazanin" w:cs="IRNazanin"/>
          <w:lang w:bidi="fa-IR"/>
          <w:color w:val="111111"/>
          <w:sz w:val="28"/>
          <w:szCs w:val="28"/>
          <w:rtl/>
        </w:rPr>
        <w:t xml:space="preserve">الفرق بین الحرمة الظاهریّة و الواقعیّة 106</w:t>
      </w:r>
    </w:p>
    <w:p>
      <w:pPr>
        <w:pStyle w:val="BookText"/>
      </w:pPr>
      <w:r>
        <w:rPr>
          <w:rFonts w:ascii="IRNazanin" w:hAnsi="IRNazanin" w:eastAsia="IRNazanin" w:cs="IRNazanin"/>
          <w:lang w:bidi="fa-IR"/>
          <w:color w:val="111111"/>
          <w:sz w:val="28"/>
          <w:szCs w:val="28"/>
          <w:rtl/>
        </w:rPr>
        <w:t xml:space="preserve">أوامر الاحتیاط إرشادیّة 107</w:t>
      </w:r>
    </w:p>
    <w:p>
      <w:pPr>
        <w:pStyle w:val="BookText"/>
      </w:pPr>
      <w:r>
        <w:rPr>
          <w:rFonts w:ascii="IRNazanin" w:hAnsi="IRNazanin" w:eastAsia="IRNazanin" w:cs="IRNazanin"/>
          <w:lang w:bidi="fa-IR"/>
          <w:color w:val="111111"/>
          <w:sz w:val="28"/>
          <w:szCs w:val="28"/>
          <w:rtl/>
        </w:rPr>
        <w:t xml:space="preserve">الخامس:أصل الإباحة إنّما هو مع عدم أصل موضوعیّ</w:t>
      </w:r>
    </w:p>
    <w:p>
      <w:pPr>
        <w:pStyle w:val="BookText"/>
      </w:pPr>
      <w:r>
        <w:rPr>
          <w:rFonts w:ascii="IRNazanin" w:hAnsi="IRNazanin" w:eastAsia="IRNazanin" w:cs="IRNazanin"/>
          <w:lang w:bidi="fa-IR"/>
          <w:color w:val="111111"/>
          <w:sz w:val="28"/>
          <w:szCs w:val="28"/>
          <w:rtl/>
        </w:rPr>
        <w:t xml:space="preserve">حاکم علیه 109</w:t>
      </w:r>
    </w:p>
    <w:p>
      <w:pPr>
        <w:pStyle w:val="BookText"/>
      </w:pPr>
      <w:r>
        <w:rPr>
          <w:rFonts w:ascii="IRNazanin" w:hAnsi="IRNazanin" w:eastAsia="IRNazanin" w:cs="IRNazanin"/>
          <w:lang w:bidi="fa-IR"/>
          <w:color w:val="111111"/>
          <w:sz w:val="28"/>
          <w:szCs w:val="28"/>
          <w:rtl/>
        </w:rPr>
        <w:t xml:space="preserve">ما یظهر من المحقّق و الشهید الثانیین فی حیوان متولّد من</w:t>
      </w:r>
    </w:p>
    <w:p>
      <w:pPr>
        <w:pStyle w:val="BookText"/>
      </w:pPr>
      <w:r>
        <w:rPr>
          <w:rFonts w:ascii="IRNazanin" w:hAnsi="IRNazanin" w:eastAsia="IRNazanin" w:cs="IRNazanin"/>
          <w:lang w:bidi="fa-IR"/>
          <w:color w:val="111111"/>
          <w:sz w:val="28"/>
          <w:szCs w:val="28"/>
          <w:rtl/>
        </w:rPr>
        <w:t xml:space="preserve">طاهر و نجس و المناقشة فی ذلک 109</w:t>
      </w:r>
    </w:p>
    <w:p>
      <w:pPr>
        <w:pStyle w:val="BookText"/>
      </w:pPr>
      <w:r>
        <w:rPr>
          <w:rFonts w:ascii="IRNazanin" w:hAnsi="IRNazanin" w:eastAsia="IRNazanin" w:cs="IRNazanin"/>
          <w:lang w:bidi="fa-IR"/>
          <w:color w:val="111111"/>
          <w:sz w:val="28"/>
          <w:szCs w:val="28"/>
          <w:rtl/>
        </w:rPr>
        <w:t xml:space="preserve">[شماره صفحه واقعی : 482]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ذکره شارح الروضة فی المسألة و المناقشة فیه 110</w:t>
      </w:r>
    </w:p>
    <w:p>
      <w:pPr>
        <w:pStyle w:val="BookText"/>
      </w:pPr>
      <w:r>
        <w:rPr>
          <w:rFonts w:ascii="IRNazanin" w:hAnsi="IRNazanin" w:eastAsia="IRNazanin" w:cs="IRNazanin"/>
          <w:lang w:bidi="fa-IR"/>
          <w:color w:val="111111"/>
          <w:sz w:val="28"/>
          <w:szCs w:val="28"/>
          <w:rtl/>
        </w:rPr>
        <w:t xml:space="preserve">السادس:اعتراض بعض الأخباریّین علی الاصولیّین و مناقشته 112</w:t>
      </w:r>
    </w:p>
    <w:p>
      <w:pPr>
        <w:pStyle w:val="BookText"/>
      </w:pPr>
      <w:r>
        <w:rPr>
          <w:rFonts w:ascii="IRNazanin" w:hAnsi="IRNazanin" w:eastAsia="IRNazanin" w:cs="IRNazanin"/>
          <w:lang w:bidi="fa-IR"/>
          <w:color w:val="111111"/>
          <w:sz w:val="28"/>
          <w:szCs w:val="28"/>
          <w:rtl/>
        </w:rPr>
        <w:t xml:space="preserve">المسألة الثانیة:الشبهة التحریمیّة من جهة إجمال النصّ 114</w:t>
      </w:r>
    </w:p>
    <w:p>
      <w:pPr>
        <w:pStyle w:val="BookText"/>
      </w:pPr>
      <w:r>
        <w:rPr>
          <w:rFonts w:ascii="IRNazanin" w:hAnsi="IRNazanin" w:eastAsia="IRNazanin" w:cs="IRNazanin"/>
          <w:lang w:bidi="fa-IR"/>
          <w:color w:val="111111"/>
          <w:sz w:val="28"/>
          <w:szCs w:val="28"/>
          <w:rtl/>
        </w:rPr>
        <w:t xml:space="preserve">المسألة الثالثة:الشبهة التحریمیّة من جهة تعارض النصّین 115</w:t>
      </w:r>
    </w:p>
    <w:p>
      <w:pPr>
        <w:pStyle w:val="BookText"/>
      </w:pPr>
      <w:r>
        <w:rPr>
          <w:rFonts w:ascii="IRNazanin" w:hAnsi="IRNazanin" w:eastAsia="IRNazanin" w:cs="IRNazanin"/>
          <w:lang w:bidi="fa-IR"/>
          <w:color w:val="111111"/>
          <w:sz w:val="28"/>
          <w:szCs w:val="28"/>
          <w:rtl/>
        </w:rPr>
        <w:t xml:space="preserve">الأقوی عدم وجوب الاحتیاط 115</w:t>
      </w:r>
    </w:p>
    <w:p>
      <w:pPr>
        <w:pStyle w:val="BookText"/>
      </w:pPr>
      <w:r>
        <w:rPr>
          <w:rFonts w:ascii="IRNazanin" w:hAnsi="IRNazanin" w:eastAsia="IRNazanin" w:cs="IRNazanin"/>
          <w:lang w:bidi="fa-IR"/>
          <w:color w:val="111111"/>
          <w:sz w:val="28"/>
          <w:szCs w:val="28"/>
          <w:rtl/>
        </w:rPr>
        <w:t xml:space="preserve">ظاهر مرفوعة زرارة وجوب الاحتیاط 115</w:t>
      </w:r>
    </w:p>
    <w:p>
      <w:pPr>
        <w:pStyle w:val="BookText"/>
      </w:pPr>
      <w:r>
        <w:rPr>
          <w:rFonts w:ascii="Amiri" w:hAnsi="Amiri" w:eastAsia="Amiri" w:cs="Amiri"/>
          <w:lang w:bidi="ar-SA"/>
          <w:color w:val="111111"/>
          <w:sz w:val="28"/>
          <w:szCs w:val="28"/>
          <w:rtl/>
        </w:rPr>
        <w:t xml:space="preserve">الجواب عن المرفوعة 116</w:t>
      </w:r>
    </w:p>
    <w:p>
      <w:pPr>
        <w:pStyle w:val="BookText"/>
      </w:pPr>
      <w:r>
        <w:rPr>
          <w:rFonts w:ascii="IRNazanin" w:hAnsi="IRNazanin" w:eastAsia="IRNazanin" w:cs="IRNazanin"/>
          <w:lang w:bidi="fa-IR"/>
          <w:color w:val="111111"/>
          <w:sz w:val="28"/>
          <w:szCs w:val="28"/>
          <w:rtl/>
        </w:rPr>
        <w:t xml:space="preserve">تعارض«المقرّر و الناقل»،و«المبیح و الحاظر»117</w:t>
      </w:r>
    </w:p>
    <w:p>
      <w:pPr>
        <w:pStyle w:val="BookText"/>
      </w:pPr>
      <w:r>
        <w:rPr>
          <w:rFonts w:ascii="IRNazanin" w:hAnsi="IRNazanin" w:eastAsia="IRNazanin" w:cs="IRNazanin"/>
          <w:lang w:bidi="fa-IR"/>
          <w:color w:val="111111"/>
          <w:sz w:val="28"/>
          <w:szCs w:val="28"/>
          <w:rtl/>
        </w:rPr>
        <w:t xml:space="preserve">الفرق بین المسألتین 118</w:t>
      </w:r>
    </w:p>
    <w:p>
      <w:pPr>
        <w:pStyle w:val="BookText"/>
      </w:pPr>
      <w:r>
        <w:rPr>
          <w:rFonts w:ascii="IRNazanin" w:hAnsi="IRNazanin" w:eastAsia="IRNazanin" w:cs="IRNazanin"/>
          <w:lang w:bidi="fa-IR"/>
          <w:color w:val="111111"/>
          <w:sz w:val="28"/>
          <w:szCs w:val="28"/>
          <w:rtl/>
        </w:rPr>
        <w:t xml:space="preserve">المسألة الرابعة:الشبهة التحریمیّة من جهة اشتباه الموضوع 119</w:t>
      </w:r>
    </w:p>
    <w:p>
      <w:pPr>
        <w:pStyle w:val="BookText"/>
      </w:pPr>
      <w:r>
        <w:rPr>
          <w:rFonts w:ascii="IRNazanin" w:hAnsi="IRNazanin" w:eastAsia="IRNazanin" w:cs="IRNazanin"/>
          <w:lang w:bidi="fa-IR"/>
          <w:color w:val="111111"/>
          <w:sz w:val="28"/>
          <w:szCs w:val="28"/>
          <w:rtl/>
        </w:rPr>
        <w:t xml:space="preserve">عدم الخلاف فی الإباحة 119</w:t>
      </w:r>
    </w:p>
    <w:p>
      <w:pPr>
        <w:pStyle w:val="BookText"/>
      </w:pPr>
      <w:r>
        <w:rPr>
          <w:rFonts w:ascii="IRNazanin" w:hAnsi="IRNazanin" w:eastAsia="IRNazanin" w:cs="IRNazanin"/>
          <w:lang w:bidi="fa-IR"/>
          <w:color w:val="111111"/>
          <w:sz w:val="28"/>
          <w:szCs w:val="28"/>
          <w:rtl/>
        </w:rPr>
        <w:t xml:space="preserve">استدلال العلاّمة بروایة مسعدة 120</w:t>
      </w:r>
    </w:p>
    <w:p>
      <w:pPr>
        <w:pStyle w:val="BookText"/>
      </w:pPr>
      <w:r>
        <w:rPr>
          <w:rFonts w:ascii="IRNazanin" w:hAnsi="IRNazanin" w:eastAsia="IRNazanin" w:cs="IRNazanin"/>
          <w:lang w:bidi="fa-IR"/>
          <w:color w:val="111111"/>
          <w:sz w:val="28"/>
          <w:szCs w:val="28"/>
          <w:rtl/>
        </w:rPr>
        <w:t xml:space="preserve">الإشکال فی الأمثلة المذکورة فی الروایة 120</w:t>
      </w:r>
    </w:p>
    <w:p>
      <w:pPr>
        <w:pStyle w:val="BookText"/>
      </w:pPr>
      <w:r>
        <w:rPr>
          <w:rFonts w:ascii="IRNazanin" w:hAnsi="IRNazanin" w:eastAsia="IRNazanin" w:cs="IRNazanin"/>
          <w:lang w:bidi="fa-IR"/>
          <w:color w:val="111111"/>
          <w:sz w:val="28"/>
          <w:szCs w:val="28"/>
          <w:rtl/>
        </w:rPr>
        <w:t xml:space="preserve">توهّم عدم جریان قبح التکلیف من غیر بیان فی المسألة</w:t>
      </w:r>
    </w:p>
    <w:p>
      <w:pPr>
        <w:pStyle w:val="BookText"/>
      </w:pPr>
      <w:r>
        <w:rPr>
          <w:rFonts w:ascii="IRNazanin" w:hAnsi="IRNazanin" w:eastAsia="IRNazanin" w:cs="IRNazanin"/>
          <w:lang w:bidi="fa-IR"/>
          <w:color w:val="111111"/>
          <w:sz w:val="28"/>
          <w:szCs w:val="28"/>
          <w:rtl/>
        </w:rPr>
        <w:t xml:space="preserve">و الجواب عنه 121</w:t>
      </w:r>
    </w:p>
    <w:p>
      <w:pPr>
        <w:pStyle w:val="BookText"/>
      </w:pPr>
      <w:r>
        <w:rPr>
          <w:rFonts w:ascii="IRNazanin" w:hAnsi="IRNazanin" w:eastAsia="IRNazanin" w:cs="IRNazanin"/>
          <w:lang w:bidi="fa-IR"/>
          <w:color w:val="111111"/>
          <w:sz w:val="28"/>
          <w:szCs w:val="28"/>
          <w:rtl/>
        </w:rPr>
        <w:t xml:space="preserve">نظیر هذا التوهّم 122</w:t>
      </w:r>
    </w:p>
    <w:p>
      <w:pPr>
        <w:pStyle w:val="BookText"/>
      </w:pPr>
      <w:r>
        <w:rPr>
          <w:rFonts w:ascii="IRNazanin" w:hAnsi="IRNazanin" w:eastAsia="IRNazanin" w:cs="IRNazanin"/>
          <w:lang w:bidi="fa-IR"/>
          <w:color w:val="111111"/>
          <w:sz w:val="28"/>
          <w:szCs w:val="28"/>
          <w:rtl/>
        </w:rPr>
        <w:t xml:space="preserve">توهّم جریان وجوب دفع الضرر المحتمل فی المسألة و الجواب عنه 122</w:t>
      </w:r>
    </w:p>
    <w:p>
      <w:pPr>
        <w:pStyle w:val="BookText"/>
      </w:pPr>
      <w:r>
        <w:rPr>
          <w:rFonts w:ascii="IRNazanin" w:hAnsi="IRNazanin" w:eastAsia="IRNazanin" w:cs="IRNazanin"/>
          <w:lang w:bidi="fa-IR"/>
          <w:color w:val="111111"/>
          <w:sz w:val="28"/>
          <w:szCs w:val="28"/>
          <w:rtl/>
        </w:rPr>
        <w:t xml:space="preserve">تقریر التوهّم بوجه آخر و الجواب عنه أیضا 123</w:t>
      </w:r>
    </w:p>
    <w:p>
      <w:pPr>
        <w:pStyle w:val="BookText"/>
      </w:pPr>
      <w:r>
        <w:rPr>
          <w:rFonts w:ascii="IRNazanin" w:hAnsi="IRNazanin" w:eastAsia="IRNazanin" w:cs="IRNazanin"/>
          <w:lang w:bidi="fa-IR"/>
          <w:color w:val="111111"/>
          <w:sz w:val="28"/>
          <w:szCs w:val="28"/>
          <w:rtl/>
        </w:rPr>
        <w:t xml:space="preserve">عدم حکم العقل بوجوب دفع الضرر إذا ترتّب علیه نفع اخروی 125</w:t>
      </w:r>
    </w:p>
    <w:p>
      <w:pPr>
        <w:pStyle w:val="BookText"/>
      </w:pPr>
      <w:r>
        <w:rPr>
          <w:rFonts w:ascii="IRNazanin" w:hAnsi="IRNazanin" w:eastAsia="IRNazanin" w:cs="IRNazanin"/>
          <w:lang w:bidi="fa-IR"/>
          <w:color w:val="111111"/>
          <w:sz w:val="28"/>
          <w:szCs w:val="28"/>
          <w:rtl/>
        </w:rPr>
        <w:t xml:space="preserve">التنبیه علی امور:</w:t>
      </w:r>
    </w:p>
    <w:p>
      <w:pPr>
        <w:pStyle w:val="BookText"/>
      </w:pPr>
      <w:r>
        <w:rPr>
          <w:rFonts w:ascii="IRNazanin" w:hAnsi="IRNazanin" w:eastAsia="IRNazanin" w:cs="IRNazanin"/>
          <w:lang w:bidi="fa-IR"/>
          <w:color w:val="111111"/>
          <w:sz w:val="28"/>
          <w:szCs w:val="28"/>
          <w:rtl/>
        </w:rPr>
        <w:t xml:space="preserve">الأوّل:محلّ الکلام فی الشبهة الموضوعیّة ما إذا لم یکن</w:t>
      </w:r>
    </w:p>
    <w:p>
      <w:pPr>
        <w:pStyle w:val="BookText"/>
      </w:pPr>
      <w:r>
        <w:rPr>
          <w:rFonts w:ascii="IRNazanin" w:hAnsi="IRNazanin" w:eastAsia="IRNazanin" w:cs="IRNazanin"/>
          <w:lang w:bidi="fa-IR"/>
          <w:color w:val="111111"/>
          <w:sz w:val="28"/>
          <w:szCs w:val="28"/>
          <w:rtl/>
        </w:rPr>
        <w:t xml:space="preserve">أصل موضوعیّ یقضی بالحرمة 127</w:t>
      </w:r>
    </w:p>
    <w:p>
      <w:pPr>
        <w:pStyle w:val="BookText"/>
      </w:pPr>
      <w:r>
        <w:rPr>
          <w:rFonts w:ascii="IRNazanin" w:hAnsi="IRNazanin" w:eastAsia="IRNazanin" w:cs="IRNazanin"/>
          <w:lang w:bidi="fa-IR"/>
          <w:color w:val="111111"/>
          <w:sz w:val="28"/>
          <w:szCs w:val="28"/>
          <w:rtl/>
        </w:rPr>
        <w:t xml:space="preserve">[شماره صفحه واقعی : 483]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الثانی:کلمات المحدّث العاملی فی الفرق بین الشبهة فی</w:t>
      </w:r>
    </w:p>
    <w:p>
      <w:pPr>
        <w:pStyle w:val="BookText"/>
      </w:pPr>
      <w:r>
        <w:rPr>
          <w:rFonts w:ascii="IRNazanin" w:hAnsi="IRNazanin" w:eastAsia="IRNazanin" w:cs="IRNazanin"/>
          <w:lang w:bidi="fa-IR"/>
          <w:color w:val="111111"/>
          <w:sz w:val="28"/>
          <w:szCs w:val="28"/>
          <w:rtl/>
        </w:rPr>
        <w:t xml:space="preserve">نفس الحکم و بین الشبهة فی طریقه و المناقشة فیها 130</w:t>
      </w:r>
    </w:p>
    <w:p>
      <w:pPr>
        <w:pStyle w:val="BookText"/>
      </w:pPr>
      <w:r>
        <w:rPr>
          <w:rFonts w:ascii="IRNazanin" w:hAnsi="IRNazanin" w:eastAsia="IRNazanin" w:cs="IRNazanin"/>
          <w:lang w:bidi="fa-IR"/>
          <w:color w:val="111111"/>
          <w:sz w:val="28"/>
          <w:szCs w:val="28"/>
          <w:rtl/>
        </w:rPr>
        <w:t xml:space="preserve">الثالث:الاحتیاط التامّ موجب لاختلال النظام 137</w:t>
      </w:r>
    </w:p>
    <w:p>
      <w:pPr>
        <w:pStyle w:val="BookText"/>
      </w:pPr>
      <w:r>
        <w:rPr>
          <w:rFonts w:ascii="IRNazanin" w:hAnsi="IRNazanin" w:eastAsia="IRNazanin" w:cs="IRNazanin"/>
          <w:lang w:bidi="fa-IR"/>
          <w:color w:val="111111"/>
          <w:sz w:val="28"/>
          <w:szCs w:val="28"/>
          <w:rtl/>
        </w:rPr>
        <w:t xml:space="preserve">التبعیض بحسب الاحتمالات 137</w:t>
      </w:r>
    </w:p>
    <w:p>
      <w:pPr>
        <w:pStyle w:val="BookText"/>
      </w:pPr>
      <w:r>
        <w:rPr>
          <w:rFonts w:ascii="IRNazanin" w:hAnsi="IRNazanin" w:eastAsia="IRNazanin" w:cs="IRNazanin"/>
          <w:lang w:bidi="fa-IR"/>
          <w:color w:val="111111"/>
          <w:sz w:val="28"/>
          <w:szCs w:val="28"/>
          <w:rtl/>
        </w:rPr>
        <w:t xml:space="preserve">التبعیض بحسب المحتملات 137</w:t>
      </w:r>
    </w:p>
    <w:p>
      <w:pPr>
        <w:pStyle w:val="BookText"/>
      </w:pPr>
      <w:r>
        <w:rPr>
          <w:rFonts w:ascii="IRNazanin" w:hAnsi="IRNazanin" w:eastAsia="IRNazanin" w:cs="IRNazanin"/>
          <w:lang w:bidi="fa-IR"/>
          <w:color w:val="111111"/>
          <w:sz w:val="28"/>
          <w:szCs w:val="28"/>
          <w:rtl/>
        </w:rPr>
        <w:t xml:space="preserve">التبعیض بین مورد الأمارة علی الإباحة و بین غیره 138</w:t>
      </w:r>
    </w:p>
    <w:p>
      <w:pPr>
        <w:pStyle w:val="BookText"/>
      </w:pPr>
      <w:r>
        <w:rPr>
          <w:rFonts w:ascii="Amiri" w:hAnsi="Amiri" w:eastAsia="Amiri" w:cs="Amiri"/>
          <w:lang w:bidi="ar-SA"/>
          <w:color w:val="111111"/>
          <w:sz w:val="28"/>
          <w:szCs w:val="28"/>
          <w:rtl/>
        </w:rPr>
        <w:t xml:space="preserve">الرابع:عدم اختصاص الإباحة بالعاجز عن الاستعلام 140</w:t>
      </w:r>
    </w:p>
    <w:p>
      <w:pPr>
        <w:pStyle w:val="BookText"/>
      </w:pPr>
      <w:r>
        <w:rPr>
          <w:rFonts w:ascii="IRNazanin" w:hAnsi="IRNazanin" w:eastAsia="IRNazanin" w:cs="IRNazanin"/>
          <w:lang w:bidi="fa-IR"/>
          <w:color w:val="111111"/>
          <w:sz w:val="28"/>
          <w:szCs w:val="28"/>
          <w:rtl/>
        </w:rPr>
        <w:t xml:space="preserve">المطلب الثانی:الشبهة الوجوبیّة،و فیه مسائل:</w:t>
      </w:r>
    </w:p>
    <w:p>
      <w:pPr>
        <w:pStyle w:val="BookText"/>
      </w:pPr>
      <w:r>
        <w:rPr>
          <w:rFonts w:ascii="IRNazanin" w:hAnsi="IRNazanin" w:eastAsia="IRNazanin" w:cs="IRNazanin"/>
          <w:lang w:bidi="fa-IR"/>
          <w:color w:val="111111"/>
          <w:sz w:val="28"/>
          <w:szCs w:val="28"/>
          <w:rtl/>
        </w:rPr>
        <w:t xml:space="preserve">المسألة الاولی:الشبهة الوجوبیّة من جهة فقدان النصّ 142</w:t>
      </w:r>
    </w:p>
    <w:p>
      <w:pPr>
        <w:pStyle w:val="BookText"/>
      </w:pPr>
      <w:r>
        <w:rPr>
          <w:rFonts w:ascii="IRNazanin" w:hAnsi="IRNazanin" w:eastAsia="IRNazanin" w:cs="IRNazanin"/>
          <w:lang w:bidi="fa-IR"/>
          <w:color w:val="111111"/>
          <w:sz w:val="28"/>
          <w:szCs w:val="28"/>
          <w:rtl/>
        </w:rPr>
        <w:t xml:space="preserve">المعروف من الأخباریّین عدم وجوب الاحتیاط 142</w:t>
      </w:r>
    </w:p>
    <w:p>
      <w:pPr>
        <w:pStyle w:val="BookText"/>
      </w:pPr>
      <w:r>
        <w:rPr>
          <w:rFonts w:ascii="IRNazanin" w:hAnsi="IRNazanin" w:eastAsia="IRNazanin" w:cs="IRNazanin"/>
          <w:lang w:bidi="fa-IR"/>
          <w:color w:val="111111"/>
          <w:sz w:val="28"/>
          <w:szCs w:val="28"/>
          <w:rtl/>
        </w:rPr>
        <w:t xml:space="preserve">المسألة خلافیّة و الأقوی البراءة 148</w:t>
      </w:r>
    </w:p>
    <w:p>
      <w:pPr>
        <w:pStyle w:val="BookText"/>
      </w:pPr>
      <w:r>
        <w:rPr>
          <w:rFonts w:ascii="IRNazanin" w:hAnsi="IRNazanin" w:eastAsia="IRNazanin" w:cs="IRNazanin"/>
          <w:lang w:bidi="fa-IR"/>
          <w:color w:val="111111"/>
          <w:sz w:val="28"/>
          <w:szCs w:val="28"/>
          <w:rtl/>
        </w:rPr>
        <w:t xml:space="preserve">التنبیه علی امور:</w:t>
      </w:r>
    </w:p>
    <w:p>
      <w:pPr>
        <w:pStyle w:val="BookText"/>
      </w:pPr>
      <w:r>
        <w:rPr>
          <w:rFonts w:ascii="IRNazanin" w:hAnsi="IRNazanin" w:eastAsia="IRNazanin" w:cs="IRNazanin"/>
          <w:lang w:bidi="fa-IR"/>
          <w:color w:val="111111"/>
          <w:sz w:val="28"/>
          <w:szCs w:val="28"/>
          <w:rtl/>
        </w:rPr>
        <w:t xml:space="preserve">الأوّل:محلّ الکلام فی المسألة 149</w:t>
      </w:r>
    </w:p>
    <w:p>
      <w:pPr>
        <w:pStyle w:val="BookText"/>
      </w:pPr>
      <w:r>
        <w:rPr>
          <w:rFonts w:ascii="IRNazanin" w:hAnsi="IRNazanin" w:eastAsia="IRNazanin" w:cs="IRNazanin"/>
          <w:lang w:bidi="fa-IR"/>
          <w:color w:val="111111"/>
          <w:sz w:val="28"/>
          <w:szCs w:val="28"/>
          <w:rtl/>
        </w:rPr>
        <w:t xml:space="preserve">الثانی:رجحان الاحتیاط و ترتّب الثواب علیه 150</w:t>
      </w:r>
    </w:p>
    <w:p>
      <w:pPr>
        <w:pStyle w:val="BookText"/>
      </w:pPr>
      <w:r>
        <w:rPr>
          <w:rFonts w:ascii="IRNazanin" w:hAnsi="IRNazanin" w:eastAsia="IRNazanin" w:cs="IRNazanin"/>
          <w:lang w:bidi="fa-IR"/>
          <w:color w:val="111111"/>
          <w:sz w:val="28"/>
          <w:szCs w:val="28"/>
          <w:rtl/>
        </w:rPr>
        <w:t xml:space="preserve">الإشکال فی جریان الاحتیاط فی العبادات عند دوران الأمر</w:t>
      </w:r>
    </w:p>
    <w:p>
      <w:pPr>
        <w:pStyle w:val="BookText"/>
      </w:pPr>
      <w:r>
        <w:rPr>
          <w:rFonts w:ascii="IRNazanin" w:hAnsi="IRNazanin" w:eastAsia="IRNazanin" w:cs="IRNazanin"/>
          <w:lang w:bidi="fa-IR"/>
          <w:color w:val="111111"/>
          <w:sz w:val="28"/>
          <w:szCs w:val="28"/>
          <w:rtl/>
        </w:rPr>
        <w:t xml:space="preserve">بین الوجوب و غیر الاستحباب 150</w:t>
      </w:r>
    </w:p>
    <w:p>
      <w:pPr>
        <w:pStyle w:val="BookText"/>
      </w:pPr>
      <w:r>
        <w:rPr>
          <w:rFonts w:ascii="IRNazanin" w:hAnsi="IRNazanin" w:eastAsia="IRNazanin" w:cs="IRNazanin"/>
          <w:lang w:bidi="fa-IR"/>
          <w:color w:val="111111"/>
          <w:sz w:val="28"/>
          <w:szCs w:val="28"/>
          <w:rtl/>
        </w:rPr>
        <w:t xml:space="preserve">احتمال الجریان 151</w:t>
      </w:r>
    </w:p>
    <w:p>
      <w:pPr>
        <w:pStyle w:val="BookText"/>
      </w:pPr>
      <w:r>
        <w:rPr>
          <w:rFonts w:ascii="IRNazanin" w:hAnsi="IRNazanin" w:eastAsia="IRNazanin" w:cs="IRNazanin"/>
          <w:lang w:bidi="fa-IR"/>
          <w:color w:val="111111"/>
          <w:sz w:val="28"/>
          <w:szCs w:val="28"/>
          <w:rtl/>
        </w:rPr>
        <w:t xml:space="preserve">التحقیق فی المسألة 152</w:t>
      </w:r>
    </w:p>
    <w:p>
      <w:pPr>
        <w:pStyle w:val="BookText"/>
      </w:pPr>
      <w:r>
        <w:rPr>
          <w:rFonts w:ascii="IRNazanin" w:hAnsi="IRNazanin" w:eastAsia="IRNazanin" w:cs="IRNazanin"/>
          <w:lang w:bidi="fa-IR"/>
          <w:color w:val="111111"/>
          <w:sz w:val="28"/>
          <w:szCs w:val="28"/>
          <w:rtl/>
        </w:rPr>
        <w:t xml:space="preserve">قاعدة«التسامح فی أدلّة السنن»153</w:t>
      </w:r>
    </w:p>
    <w:p>
      <w:pPr>
        <w:pStyle w:val="BookText"/>
      </w:pPr>
      <w:r>
        <w:rPr>
          <w:rFonts w:ascii="IRNazanin" w:hAnsi="IRNazanin" w:eastAsia="IRNazanin" w:cs="IRNazanin"/>
          <w:lang w:bidi="fa-IR"/>
          <w:color w:val="111111"/>
          <w:sz w:val="28"/>
          <w:szCs w:val="28"/>
          <w:rtl/>
        </w:rPr>
        <w:t xml:space="preserve">الاستدلال علی القاعدة ب«أخبار من بلغ»154</w:t>
      </w:r>
    </w:p>
    <w:p>
      <w:pPr>
        <w:pStyle w:val="BookText"/>
      </w:pPr>
      <w:r>
        <w:rPr>
          <w:rFonts w:ascii="IRNazanin" w:hAnsi="IRNazanin" w:eastAsia="IRNazanin" w:cs="IRNazanin"/>
          <w:lang w:bidi="fa-IR"/>
          <w:color w:val="111111"/>
          <w:sz w:val="28"/>
          <w:szCs w:val="28"/>
          <w:rtl/>
        </w:rPr>
        <w:t xml:space="preserve">ما یورد علی الاستدلال 155</w:t>
      </w:r>
    </w:p>
    <w:p>
      <w:pPr>
        <w:pStyle w:val="BookText"/>
      </w:pPr>
      <w:r>
        <w:rPr>
          <w:rFonts w:ascii="IRNazanin" w:hAnsi="IRNazanin" w:eastAsia="IRNazanin" w:cs="IRNazanin"/>
          <w:lang w:bidi="fa-IR"/>
          <w:color w:val="111111"/>
          <w:sz w:val="28"/>
          <w:szCs w:val="28"/>
          <w:rtl/>
        </w:rPr>
        <w:t xml:space="preserve">[شماره صفحه واقعی : 484]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عدم دلالة ثبوت الأجر علی الاستحباب الشرعی 155</w:t>
      </w:r>
    </w:p>
    <w:p>
      <w:pPr>
        <w:pStyle w:val="BookText"/>
      </w:pPr>
      <w:r>
        <w:rPr>
          <w:rFonts w:ascii="IRNazanin" w:hAnsi="IRNazanin" w:eastAsia="IRNazanin" w:cs="IRNazanin"/>
          <w:lang w:bidi="fa-IR"/>
          <w:color w:val="111111"/>
          <w:sz w:val="28"/>
          <w:szCs w:val="28"/>
          <w:rtl/>
        </w:rPr>
        <w:t xml:space="preserve">دلالة«أخبار من بلغ»علی الأمر الإرشادی 156</w:t>
      </w:r>
    </w:p>
    <w:p>
      <w:pPr>
        <w:pStyle w:val="BookText"/>
      </w:pPr>
      <w:r>
        <w:rPr>
          <w:rFonts w:ascii="IRNazanin" w:hAnsi="IRNazanin" w:eastAsia="IRNazanin" w:cs="IRNazanin"/>
          <w:lang w:bidi="fa-IR"/>
          <w:color w:val="111111"/>
          <w:sz w:val="28"/>
          <w:szCs w:val="28"/>
          <w:rtl/>
        </w:rPr>
        <w:t xml:space="preserve">الثمرة بین الأمر الإرشادی و الاستحباب الشرعی 158</w:t>
      </w:r>
    </w:p>
    <w:p>
      <w:pPr>
        <w:pStyle w:val="BookText"/>
      </w:pPr>
      <w:r>
        <w:rPr>
          <w:rFonts w:ascii="IRNazanin" w:hAnsi="IRNazanin" w:eastAsia="IRNazanin" w:cs="IRNazanin"/>
          <w:lang w:bidi="fa-IR"/>
          <w:color w:val="111111"/>
          <w:sz w:val="28"/>
          <w:szCs w:val="28"/>
          <w:rtl/>
        </w:rPr>
        <w:t xml:space="preserve">الثالث:اختصاص أدلّة البراءة بالشکّ فی الوجوب التعیینی 159</w:t>
      </w:r>
    </w:p>
    <w:p>
      <w:pPr>
        <w:pStyle w:val="BookText"/>
      </w:pPr>
      <w:r>
        <w:rPr>
          <w:rFonts w:ascii="IRNazanin" w:hAnsi="IRNazanin" w:eastAsia="IRNazanin" w:cs="IRNazanin"/>
          <w:lang w:bidi="fa-IR"/>
          <w:color w:val="111111"/>
          <w:sz w:val="28"/>
          <w:szCs w:val="28"/>
          <w:rtl/>
        </w:rPr>
        <w:t xml:space="preserve">لو شکّ فی الوجوب التخییری و الإباحة 159</w:t>
      </w:r>
    </w:p>
    <w:p>
      <w:pPr>
        <w:pStyle w:val="BookText"/>
      </w:pPr>
      <w:r>
        <w:rPr>
          <w:rFonts w:ascii="IRNazanin" w:hAnsi="IRNazanin" w:eastAsia="IRNazanin" w:cs="IRNazanin"/>
          <w:lang w:bidi="fa-IR"/>
          <w:color w:val="111111"/>
          <w:sz w:val="28"/>
          <w:szCs w:val="28"/>
          <w:rtl/>
        </w:rPr>
        <w:t xml:space="preserve">هل یجب الائتمام علی من عجز عن القراءة و تعلّمها؟160</w:t>
      </w:r>
    </w:p>
    <w:p>
      <w:pPr>
        <w:pStyle w:val="BookText"/>
      </w:pPr>
      <w:r>
        <w:rPr>
          <w:rFonts w:ascii="IRNazanin" w:hAnsi="IRNazanin" w:eastAsia="IRNazanin" w:cs="IRNazanin"/>
          <w:lang w:bidi="fa-IR"/>
          <w:color w:val="111111"/>
          <w:sz w:val="28"/>
          <w:szCs w:val="28"/>
          <w:rtl/>
        </w:rPr>
        <w:t xml:space="preserve">کلام فخر المحقّقین فی أنّ قراءة الإمام بدل أو مسقط 161</w:t>
      </w:r>
    </w:p>
    <w:p>
      <w:pPr>
        <w:pStyle w:val="BookText"/>
      </w:pPr>
      <w:r>
        <w:rPr>
          <w:rFonts w:ascii="IRNazanin" w:hAnsi="IRNazanin" w:eastAsia="IRNazanin" w:cs="IRNazanin"/>
          <w:lang w:bidi="fa-IR"/>
          <w:color w:val="111111"/>
          <w:sz w:val="28"/>
          <w:szCs w:val="28"/>
          <w:rtl/>
        </w:rPr>
        <w:t xml:space="preserve">الشکّ فی الوجوب الکفائی 161</w:t>
      </w:r>
    </w:p>
    <w:p>
      <w:pPr>
        <w:pStyle w:val="BookText"/>
      </w:pPr>
      <w:r>
        <w:rPr>
          <w:rFonts w:ascii="IRNazanin" w:hAnsi="IRNazanin" w:eastAsia="IRNazanin" w:cs="IRNazanin"/>
          <w:lang w:bidi="fa-IR"/>
          <w:color w:val="111111"/>
          <w:sz w:val="28"/>
          <w:szCs w:val="28"/>
          <w:rtl/>
        </w:rPr>
        <w:t xml:space="preserve">المسألة الثانیة:الشبهة الوجوبیّة من جهة إجمال النصّ 162</w:t>
      </w:r>
    </w:p>
    <w:p>
      <w:pPr>
        <w:pStyle w:val="BookText"/>
      </w:pPr>
      <w:r>
        <w:rPr>
          <w:rFonts w:ascii="IRNazanin" w:hAnsi="IRNazanin" w:eastAsia="IRNazanin" w:cs="IRNazanin"/>
          <w:lang w:bidi="fa-IR"/>
          <w:color w:val="111111"/>
          <w:sz w:val="28"/>
          <w:szCs w:val="28"/>
          <w:rtl/>
        </w:rPr>
        <w:t xml:space="preserve">المعروف عدم وجوب الاحتیاط 162</w:t>
      </w:r>
    </w:p>
    <w:p>
      <w:pPr>
        <w:pStyle w:val="BookText"/>
      </w:pPr>
      <w:r>
        <w:rPr>
          <w:rFonts w:ascii="IRNazanin" w:hAnsi="IRNazanin" w:eastAsia="IRNazanin" w:cs="IRNazanin"/>
          <w:lang w:bidi="fa-IR"/>
          <w:color w:val="111111"/>
          <w:sz w:val="28"/>
          <w:szCs w:val="28"/>
          <w:rtl/>
        </w:rPr>
        <w:t xml:space="preserve">تصریح المحدّثین الأسترابادی و البحرانی بوجوب التوقّف و الاحتیاط 162</w:t>
      </w:r>
    </w:p>
    <w:p>
      <w:pPr>
        <w:pStyle w:val="BookText"/>
      </w:pPr>
      <w:r>
        <w:rPr>
          <w:rFonts w:ascii="IRNazanin" w:hAnsi="IRNazanin" w:eastAsia="IRNazanin" w:cs="IRNazanin"/>
          <w:lang w:bidi="fa-IR"/>
          <w:color w:val="111111"/>
          <w:sz w:val="28"/>
          <w:szCs w:val="28"/>
          <w:rtl/>
        </w:rPr>
        <w:t xml:space="preserve">المسألة الثالثة:الشبهة الوجوبیة من جهة تعارض النصّین 165</w:t>
      </w:r>
    </w:p>
    <w:p>
      <w:pPr>
        <w:pStyle w:val="BookText"/>
      </w:pPr>
      <w:r>
        <w:rPr>
          <w:rFonts w:ascii="IRNazanin" w:hAnsi="IRNazanin" w:eastAsia="IRNazanin" w:cs="IRNazanin"/>
          <w:lang w:bidi="fa-IR"/>
          <w:color w:val="111111"/>
          <w:sz w:val="28"/>
          <w:szCs w:val="28"/>
          <w:rtl/>
        </w:rPr>
        <w:t xml:space="preserve">المعروف عدم وجوب الاحتیاط خلافا للأسترآبادی و البحرانی 165</w:t>
      </w:r>
    </w:p>
    <w:p>
      <w:pPr>
        <w:pStyle w:val="BookText"/>
      </w:pPr>
      <w:r>
        <w:rPr>
          <w:rFonts w:ascii="IRNazanin" w:hAnsi="IRNazanin" w:eastAsia="IRNazanin" w:cs="IRNazanin"/>
          <w:lang w:bidi="fa-IR"/>
          <w:color w:val="111111"/>
          <w:sz w:val="28"/>
          <w:szCs w:val="28"/>
          <w:rtl/>
        </w:rPr>
        <w:t xml:space="preserve">الجواب عن مرفوعة زرارة الآمرة بالاحتیاط 166</w:t>
      </w:r>
    </w:p>
    <w:p>
      <w:pPr>
        <w:pStyle w:val="BookText"/>
      </w:pPr>
      <w:r>
        <w:rPr>
          <w:rFonts w:ascii="IRNazanin" w:hAnsi="IRNazanin" w:eastAsia="IRNazanin" w:cs="IRNazanin"/>
          <w:lang w:bidi="fa-IR"/>
          <w:color w:val="111111"/>
          <w:sz w:val="28"/>
          <w:szCs w:val="28"/>
          <w:rtl/>
        </w:rPr>
        <w:t xml:space="preserve">ممّا یدلّ علی التخییر فی المسألة 166</w:t>
      </w:r>
    </w:p>
    <w:p>
      <w:pPr>
        <w:pStyle w:val="BookText"/>
      </w:pPr>
      <w:r>
        <w:rPr>
          <w:rFonts w:ascii="IRNazanin" w:hAnsi="IRNazanin" w:eastAsia="IRNazanin" w:cs="IRNazanin"/>
          <w:lang w:bidi="fa-IR"/>
          <w:color w:val="111111"/>
          <w:sz w:val="28"/>
          <w:szCs w:val="28"/>
          <w:rtl/>
        </w:rPr>
        <w:t xml:space="preserve">ما ذکره الاصولیّون فی باب التراجیح 167</w:t>
      </w:r>
    </w:p>
    <w:p>
      <w:pPr>
        <w:pStyle w:val="BookText"/>
      </w:pPr>
      <w:r>
        <w:rPr>
          <w:rFonts w:ascii="IRNazanin" w:hAnsi="IRNazanin" w:eastAsia="IRNazanin" w:cs="IRNazanin"/>
          <w:lang w:bidi="fa-IR"/>
          <w:color w:val="111111"/>
          <w:sz w:val="28"/>
          <w:szCs w:val="28"/>
          <w:rtl/>
        </w:rPr>
        <w:t xml:space="preserve">المسألة الرابعة:الشبهة الوجوبیّة من جهة اشتباه الموضوع 169</w:t>
      </w:r>
    </w:p>
    <w:p>
      <w:pPr>
        <w:pStyle w:val="BookText"/>
      </w:pPr>
      <w:r>
        <w:rPr>
          <w:rFonts w:ascii="IRNazanin" w:hAnsi="IRNazanin" w:eastAsia="IRNazanin" w:cs="IRNazanin"/>
          <w:lang w:bidi="fa-IR"/>
          <w:color w:val="111111"/>
          <w:sz w:val="28"/>
          <w:szCs w:val="28"/>
          <w:rtl/>
        </w:rPr>
        <w:t xml:space="preserve">جریان أدلّة البراءة 169</w:t>
      </w:r>
    </w:p>
    <w:p>
      <w:pPr>
        <w:pStyle w:val="BookText"/>
      </w:pPr>
      <w:r>
        <w:rPr>
          <w:rFonts w:ascii="IRNazanin" w:hAnsi="IRNazanin" w:eastAsia="IRNazanin" w:cs="IRNazanin"/>
          <w:lang w:bidi="fa-IR"/>
          <w:color w:val="111111"/>
          <w:sz w:val="28"/>
          <w:szCs w:val="28"/>
          <w:rtl/>
        </w:rPr>
        <w:t xml:space="preserve">لو تردّدت الفائتة بین الأقلّ و الاکثر 169</w:t>
      </w:r>
    </w:p>
    <w:p>
      <w:pPr>
        <w:pStyle w:val="BookText"/>
      </w:pPr>
      <w:r>
        <w:rPr>
          <w:rFonts w:ascii="IRNazanin" w:hAnsi="IRNazanin" w:eastAsia="IRNazanin" w:cs="IRNazanin"/>
          <w:lang w:bidi="fa-IR"/>
          <w:color w:val="111111"/>
          <w:sz w:val="28"/>
          <w:szCs w:val="28"/>
          <w:rtl/>
        </w:rPr>
        <w:t xml:space="preserve">المشهور وجوب القضاء حتّی یظنّ الفراغ 170</w:t>
      </w:r>
    </w:p>
    <w:p>
      <w:pPr>
        <w:pStyle w:val="BookText"/>
      </w:pPr>
      <w:r>
        <w:rPr>
          <w:rFonts w:ascii="IRNazanin" w:hAnsi="IRNazanin" w:eastAsia="IRNazanin" w:cs="IRNazanin"/>
          <w:lang w:bidi="fa-IR"/>
          <w:color w:val="111111"/>
          <w:sz w:val="28"/>
          <w:szCs w:val="28"/>
          <w:rtl/>
        </w:rPr>
        <w:t xml:space="preserve">المورد من موارد جریان أصالة البراءة 171</w:t>
      </w:r>
    </w:p>
    <w:p>
      <w:pPr>
        <w:pStyle w:val="BookText"/>
      </w:pPr>
      <w:r>
        <w:rPr>
          <w:rFonts w:ascii="IRNazanin" w:hAnsi="IRNazanin" w:eastAsia="IRNazanin" w:cs="IRNazanin"/>
          <w:lang w:bidi="fa-IR"/>
          <w:color w:val="111111"/>
          <w:sz w:val="28"/>
          <w:szCs w:val="28"/>
          <w:rtl/>
        </w:rPr>
        <w:t xml:space="preserve">توجیه فتوی المشهور 173</w:t>
      </w:r>
    </w:p>
    <w:p>
      <w:pPr>
        <w:pStyle w:val="BookText"/>
      </w:pPr>
      <w:r>
        <w:rPr>
          <w:rFonts w:ascii="IRNazanin" w:hAnsi="IRNazanin" w:eastAsia="IRNazanin" w:cs="IRNazanin"/>
          <w:lang w:bidi="fa-IR"/>
          <w:color w:val="111111"/>
          <w:sz w:val="28"/>
          <w:szCs w:val="28"/>
          <w:rtl/>
        </w:rPr>
        <w:t xml:space="preserve">ضعف التوجیه المذکور 175</w:t>
      </w:r>
    </w:p>
    <w:p>
      <w:pPr>
        <w:pStyle w:val="BookText"/>
      </w:pPr>
      <w:r>
        <w:rPr>
          <w:rFonts w:ascii="IRNazanin" w:hAnsi="IRNazanin" w:eastAsia="IRNazanin" w:cs="IRNazanin"/>
          <w:lang w:bidi="fa-IR"/>
          <w:color w:val="111111"/>
          <w:sz w:val="28"/>
          <w:szCs w:val="28"/>
          <w:rtl/>
        </w:rPr>
        <w:t xml:space="preserve">[شماره صفحه واقعی : 485]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التوجیه الأضعف 176</w:t>
      </w:r>
    </w:p>
    <w:p>
      <w:pPr>
        <w:pStyle w:val="BookText"/>
      </w:pPr>
      <w:r>
        <w:rPr>
          <w:rFonts w:ascii="IRNazanin" w:hAnsi="IRNazanin" w:eastAsia="IRNazanin" w:cs="IRNazanin"/>
          <w:lang w:bidi="fa-IR"/>
          <w:color w:val="111111"/>
          <w:sz w:val="28"/>
          <w:szCs w:val="28"/>
          <w:rtl/>
        </w:rPr>
        <w:t xml:space="preserve">المطلب الثالث:دوران الأمر بین المحذورین،و فیه مسائل:</w:t>
      </w:r>
    </w:p>
    <w:p>
      <w:pPr>
        <w:pStyle w:val="BookText"/>
      </w:pPr>
      <w:r>
        <w:rPr>
          <w:rFonts w:ascii="IRNazanin" w:hAnsi="IRNazanin" w:eastAsia="IRNazanin" w:cs="IRNazanin"/>
          <w:lang w:bidi="fa-IR"/>
          <w:color w:val="111111"/>
          <w:sz w:val="28"/>
          <w:szCs w:val="28"/>
          <w:rtl/>
        </w:rPr>
        <w:t xml:space="preserve">المسألة الاولی:الدوران بین المحذورین من جهة فقدان النصّ 178</w:t>
      </w:r>
    </w:p>
    <w:p>
      <w:pPr>
        <w:pStyle w:val="BookText"/>
      </w:pPr>
      <w:r>
        <w:rPr>
          <w:rFonts w:ascii="IRNazanin" w:hAnsi="IRNazanin" w:eastAsia="IRNazanin" w:cs="IRNazanin"/>
          <w:lang w:bidi="fa-IR"/>
          <w:color w:val="111111"/>
          <w:sz w:val="28"/>
          <w:szCs w:val="28"/>
          <w:rtl/>
        </w:rPr>
        <w:t xml:space="preserve">هل الحکم فی المسألة،الإباحة أو التوقّف أو التخییر؟178</w:t>
      </w:r>
    </w:p>
    <w:p>
      <w:pPr>
        <w:pStyle w:val="BookText"/>
      </w:pPr>
      <w:r>
        <w:rPr>
          <w:rFonts w:ascii="IRNazanin" w:hAnsi="IRNazanin" w:eastAsia="IRNazanin" w:cs="IRNazanin"/>
          <w:lang w:bidi="fa-IR"/>
          <w:color w:val="111111"/>
          <w:sz w:val="28"/>
          <w:szCs w:val="28"/>
          <w:rtl/>
        </w:rPr>
        <w:t xml:space="preserve">الحکم بالإباحة ظاهرا و دلیله 179</w:t>
      </w:r>
    </w:p>
    <w:p>
      <w:pPr>
        <w:pStyle w:val="BookText"/>
      </w:pPr>
      <w:r>
        <w:rPr>
          <w:rFonts w:ascii="IRNazanin" w:hAnsi="IRNazanin" w:eastAsia="IRNazanin" w:cs="IRNazanin"/>
          <w:lang w:bidi="fa-IR"/>
          <w:color w:val="111111"/>
          <w:sz w:val="28"/>
          <w:szCs w:val="28"/>
          <w:rtl/>
        </w:rPr>
        <w:t xml:space="preserve">دعوی وجوب الالتزام بحکم اللّه تعالی و الجواب عنها 180</w:t>
      </w:r>
    </w:p>
    <w:p>
      <w:pPr>
        <w:pStyle w:val="BookText"/>
      </w:pPr>
      <w:r>
        <w:rPr>
          <w:rFonts w:ascii="IRNazanin" w:hAnsi="IRNazanin" w:eastAsia="IRNazanin" w:cs="IRNazanin"/>
          <w:lang w:bidi="fa-IR"/>
          <w:color w:val="111111"/>
          <w:sz w:val="28"/>
          <w:szCs w:val="28"/>
          <w:rtl/>
        </w:rPr>
        <w:t xml:space="preserve">دعوی أن الحکم بالإباحة طرح لحکم اللّه الواقعی و الجواب عنها 180</w:t>
      </w:r>
    </w:p>
    <w:p>
      <w:pPr>
        <w:pStyle w:val="BookText"/>
      </w:pPr>
      <w:r>
        <w:rPr>
          <w:rFonts w:ascii="IRNazanin" w:hAnsi="IRNazanin" w:eastAsia="IRNazanin" w:cs="IRNazanin"/>
          <w:lang w:bidi="fa-IR"/>
          <w:color w:val="111111"/>
          <w:sz w:val="28"/>
          <w:szCs w:val="28"/>
          <w:rtl/>
        </w:rPr>
        <w:t xml:space="preserve">عدم صحّة قیاس ما نحن فیه بصورة تعارض الخبرین 181</w:t>
      </w:r>
    </w:p>
    <w:p>
      <w:pPr>
        <w:pStyle w:val="BookText"/>
      </w:pPr>
      <w:r>
        <w:rPr>
          <w:rFonts w:ascii="IRNazanin" w:hAnsi="IRNazanin" w:eastAsia="IRNazanin" w:cs="IRNazanin"/>
          <w:lang w:bidi="fa-IR"/>
          <w:color w:val="111111"/>
          <w:sz w:val="28"/>
          <w:szCs w:val="28"/>
          <w:rtl/>
        </w:rPr>
        <w:t xml:space="preserve">عدم شمول ما ذکروه فی مسألة اختلاف الامّة لما نحن فیه 183</w:t>
      </w:r>
    </w:p>
    <w:p>
      <w:pPr>
        <w:pStyle w:val="BookText"/>
      </w:pPr>
      <w:r>
        <w:rPr>
          <w:rFonts w:ascii="IRNazanin" w:hAnsi="IRNazanin" w:eastAsia="IRNazanin" w:cs="IRNazanin"/>
          <w:lang w:bidi="fa-IR"/>
          <w:color w:val="111111"/>
          <w:sz w:val="28"/>
          <w:szCs w:val="28"/>
          <w:rtl/>
        </w:rPr>
        <w:t xml:space="preserve">شمول أدلّة الإباحة لما نحن فیه 185</w:t>
      </w:r>
    </w:p>
    <w:p>
      <w:pPr>
        <w:pStyle w:val="BookText"/>
      </w:pPr>
      <w:r>
        <w:rPr>
          <w:rFonts w:ascii="IRNazanin" w:hAnsi="IRNazanin" w:eastAsia="IRNazanin" w:cs="IRNazanin"/>
          <w:lang w:bidi="fa-IR"/>
          <w:color w:val="111111"/>
          <w:sz w:val="28"/>
          <w:szCs w:val="28"/>
          <w:rtl/>
        </w:rPr>
        <w:t xml:space="preserve">اللازم فی المسألة هو التوقّف 185</w:t>
      </w:r>
    </w:p>
    <w:p>
      <w:pPr>
        <w:pStyle w:val="BookText"/>
      </w:pPr>
      <w:r>
        <w:rPr>
          <w:rFonts w:ascii="IRNazanin" w:hAnsi="IRNazanin" w:eastAsia="IRNazanin" w:cs="IRNazanin"/>
          <w:lang w:bidi="fa-IR"/>
          <w:color w:val="111111"/>
          <w:sz w:val="28"/>
          <w:szCs w:val="28"/>
          <w:rtl/>
        </w:rPr>
        <w:t xml:space="preserve">بناء علی وجوب الأخذ،هل یتعیّن الأخذ بالحرمة أو یتخیّر؟185</w:t>
      </w:r>
    </w:p>
    <w:p>
      <w:pPr>
        <w:pStyle w:val="BookText"/>
      </w:pPr>
      <w:r>
        <w:rPr>
          <w:rFonts w:ascii="IRNazanin" w:hAnsi="IRNazanin" w:eastAsia="IRNazanin" w:cs="IRNazanin"/>
          <w:lang w:bidi="fa-IR"/>
          <w:color w:val="111111"/>
          <w:sz w:val="28"/>
          <w:szCs w:val="28"/>
          <w:rtl/>
        </w:rPr>
        <w:t xml:space="preserve">أدلّة تعیّن الأخذ بالحرمة 185</w:t>
      </w:r>
    </w:p>
    <w:p>
      <w:pPr>
        <w:pStyle w:val="BookText"/>
      </w:pPr>
      <w:r>
        <w:rPr>
          <w:rFonts w:ascii="IRNazanin" w:hAnsi="IRNazanin" w:eastAsia="IRNazanin" w:cs="IRNazanin"/>
          <w:lang w:bidi="fa-IR"/>
          <w:color w:val="111111"/>
          <w:sz w:val="28"/>
          <w:szCs w:val="28"/>
          <w:rtl/>
        </w:rPr>
        <w:t xml:space="preserve">المناقشة فی الأدلّة 186</w:t>
      </w:r>
    </w:p>
    <w:p>
      <w:pPr>
        <w:pStyle w:val="BookText"/>
      </w:pPr>
      <w:r>
        <w:rPr>
          <w:rFonts w:ascii="IRNazanin" w:hAnsi="IRNazanin" w:eastAsia="IRNazanin" w:cs="IRNazanin"/>
          <w:lang w:bidi="fa-IR"/>
          <w:color w:val="111111"/>
          <w:sz w:val="28"/>
          <w:szCs w:val="28"/>
          <w:rtl/>
        </w:rPr>
        <w:t xml:space="preserve">هل التخییر علی القول به،ابتدائی أو استمراری؟189</w:t>
      </w:r>
    </w:p>
    <w:p>
      <w:pPr>
        <w:pStyle w:val="BookText"/>
      </w:pPr>
      <w:r>
        <w:rPr>
          <w:rFonts w:ascii="IRNazanin" w:hAnsi="IRNazanin" w:eastAsia="IRNazanin" w:cs="IRNazanin"/>
          <w:lang w:bidi="fa-IR"/>
          <w:color w:val="111111"/>
          <w:sz w:val="28"/>
          <w:szCs w:val="28"/>
          <w:rtl/>
        </w:rPr>
        <w:t xml:space="preserve">ما استدلّ به للتخییر الابتدائی 189</w:t>
      </w:r>
    </w:p>
    <w:p>
      <w:pPr>
        <w:pStyle w:val="BookText"/>
      </w:pPr>
      <w:r>
        <w:rPr>
          <w:rFonts w:ascii="IRNazanin" w:hAnsi="IRNazanin" w:eastAsia="IRNazanin" w:cs="IRNazanin"/>
          <w:lang w:bidi="fa-IR"/>
          <w:color w:val="111111"/>
          <w:sz w:val="28"/>
          <w:szCs w:val="28"/>
          <w:rtl/>
        </w:rPr>
        <w:t xml:space="preserve">المناقشة فیما استدلّ 189</w:t>
      </w:r>
    </w:p>
    <w:p>
      <w:pPr>
        <w:pStyle w:val="BookText"/>
      </w:pPr>
      <w:r>
        <w:rPr>
          <w:rFonts w:ascii="IRNazanin" w:hAnsi="IRNazanin" w:eastAsia="IRNazanin" w:cs="IRNazanin"/>
          <w:lang w:bidi="fa-IR"/>
          <w:color w:val="111111"/>
          <w:sz w:val="28"/>
          <w:szCs w:val="28"/>
          <w:rtl/>
        </w:rPr>
        <w:t xml:space="preserve">الأقوی هو التخییر الاستمراری 189</w:t>
      </w:r>
    </w:p>
    <w:p>
      <w:pPr>
        <w:pStyle w:val="BookText"/>
      </w:pPr>
      <w:r>
        <w:rPr>
          <w:rFonts w:ascii="IRNazanin" w:hAnsi="IRNazanin" w:eastAsia="IRNazanin" w:cs="IRNazanin"/>
          <w:lang w:bidi="fa-IR"/>
          <w:color w:val="111111"/>
          <w:sz w:val="28"/>
          <w:szCs w:val="28"/>
          <w:rtl/>
        </w:rPr>
        <w:t xml:space="preserve">المسألة الثانیة:الدوران بین المحذورین من جهة إجمال النصّ 190</w:t>
      </w:r>
    </w:p>
    <w:p>
      <w:pPr>
        <w:pStyle w:val="BookText"/>
      </w:pPr>
      <w:r>
        <w:rPr>
          <w:rFonts w:ascii="IRNazanin" w:hAnsi="IRNazanin" w:eastAsia="IRNazanin" w:cs="IRNazanin"/>
          <w:lang w:bidi="fa-IR"/>
          <w:color w:val="111111"/>
          <w:sz w:val="28"/>
          <w:szCs w:val="28"/>
          <w:rtl/>
        </w:rPr>
        <w:t xml:space="preserve">المسألة الثالثة:الدوران بین المحذورین من جهة تعارض النصّین 191</w:t>
      </w:r>
    </w:p>
    <w:p>
      <w:pPr>
        <w:pStyle w:val="BookText"/>
      </w:pPr>
      <w:r>
        <w:rPr>
          <w:rFonts w:ascii="IRNazanin" w:hAnsi="IRNazanin" w:eastAsia="IRNazanin" w:cs="IRNazanin"/>
          <w:lang w:bidi="fa-IR"/>
          <w:color w:val="111111"/>
          <w:sz w:val="28"/>
          <w:szCs w:val="28"/>
          <w:rtl/>
        </w:rPr>
        <w:t xml:space="preserve">الحکم هو التخییر و الاستدلال علیه 191</w:t>
      </w:r>
    </w:p>
    <w:p>
      <w:pPr>
        <w:pStyle w:val="BookText"/>
      </w:pPr>
      <w:r>
        <w:rPr>
          <w:rFonts w:ascii="IRNazanin" w:hAnsi="IRNazanin" w:eastAsia="IRNazanin" w:cs="IRNazanin"/>
          <w:lang w:bidi="fa-IR"/>
          <w:color w:val="111111"/>
          <w:sz w:val="28"/>
          <w:szCs w:val="28"/>
          <w:rtl/>
        </w:rPr>
        <w:t xml:space="preserve">هل التخییر ابتدائیّ أو استمراریّ؟وجوه 191</w:t>
      </w:r>
    </w:p>
    <w:p>
      <w:pPr>
        <w:pStyle w:val="BookText"/>
      </w:pPr>
      <w:r>
        <w:rPr>
          <w:rFonts w:ascii="IRNazanin" w:hAnsi="IRNazanin" w:eastAsia="IRNazanin" w:cs="IRNazanin"/>
          <w:lang w:bidi="fa-IR"/>
          <w:color w:val="111111"/>
          <w:sz w:val="28"/>
          <w:szCs w:val="28"/>
          <w:rtl/>
        </w:rPr>
        <w:t xml:space="preserve">[شماره صفحه واقعی : 486]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اللازم الاستمرار علی ما اختار 192</w:t>
      </w:r>
    </w:p>
    <w:p>
      <w:pPr>
        <w:pStyle w:val="BookText"/>
      </w:pPr>
      <w:r>
        <w:rPr>
          <w:rFonts w:ascii="IRNazanin" w:hAnsi="IRNazanin" w:eastAsia="IRNazanin" w:cs="IRNazanin"/>
          <w:lang w:bidi="fa-IR"/>
          <w:color w:val="111111"/>
          <w:sz w:val="28"/>
          <w:szCs w:val="28"/>
          <w:rtl/>
        </w:rPr>
        <w:t xml:space="preserve">المسألة الرابعة:الدوران بین المحذورین من جهة اشتباه الموضوع 193</w:t>
      </w:r>
    </w:p>
    <w:p>
      <w:pPr>
        <w:pStyle w:val="BookText"/>
      </w:pPr>
      <w:r>
        <w:rPr>
          <w:rFonts w:ascii="Amiri" w:hAnsi="Amiri" w:eastAsia="Amiri" w:cs="Amiri"/>
          <w:lang w:bidi="ar-SA"/>
          <w:color w:val="111111"/>
          <w:sz w:val="28"/>
          <w:szCs w:val="28"/>
          <w:rtl/>
        </w:rPr>
        <w:t xml:space="preserve">ما مثّل به للمسألة 193</w:t>
      </w:r>
    </w:p>
    <w:p>
      <w:pPr>
        <w:pStyle w:val="BookText"/>
      </w:pPr>
      <w:r>
        <w:rPr>
          <w:rFonts w:ascii="IRNazanin" w:hAnsi="IRNazanin" w:eastAsia="IRNazanin" w:cs="IRNazanin"/>
          <w:lang w:bidi="fa-IR"/>
          <w:color w:val="111111"/>
          <w:sz w:val="28"/>
          <w:szCs w:val="28"/>
          <w:rtl/>
        </w:rPr>
        <w:t xml:space="preserve">المناقشة فی الأمثلة 193</w:t>
      </w:r>
    </w:p>
    <w:p>
      <w:pPr>
        <w:pStyle w:val="BookText"/>
      </w:pPr>
      <w:r>
        <w:rPr>
          <w:rFonts w:ascii="IRNazanin" w:hAnsi="IRNazanin" w:eastAsia="IRNazanin" w:cs="IRNazanin"/>
          <w:lang w:bidi="fa-IR"/>
          <w:color w:val="111111"/>
          <w:sz w:val="28"/>
          <w:szCs w:val="28"/>
          <w:rtl/>
        </w:rPr>
        <w:t xml:space="preserve">دوران الأمر بین ما عدا الوجوب و الحرمة من الأحکام 194</w:t>
      </w:r>
    </w:p>
    <w:p>
      <w:pPr>
        <w:pStyle w:val="BookText"/>
      </w:pPr>
      <w:r>
        <w:rPr>
          <w:rFonts w:ascii="IRNazanin" w:hAnsi="IRNazanin" w:eastAsia="IRNazanin" w:cs="IRNazanin"/>
          <w:lang w:bidi="fa-IR"/>
          <w:color w:val="111111"/>
          <w:sz w:val="28"/>
          <w:szCs w:val="28"/>
          <w:rtl/>
        </w:rPr>
        <w:t xml:space="preserve">الموضع الثانی الشکّ فی المکلّف به،و فیه مطالب:</w:t>
      </w:r>
    </w:p>
    <w:p>
      <w:pPr>
        <w:pStyle w:val="BookText"/>
      </w:pPr>
      <w:r>
        <w:rPr>
          <w:rFonts w:ascii="IRNazanin" w:hAnsi="IRNazanin" w:eastAsia="IRNazanin" w:cs="IRNazanin"/>
          <w:lang w:bidi="fa-IR"/>
          <w:color w:val="111111"/>
          <w:sz w:val="28"/>
          <w:szCs w:val="28"/>
          <w:rtl/>
        </w:rPr>
        <w:t xml:space="preserve">المطلب الأوّل:اشتباه الحرام بغیر الواجب،و فیه مسائل:</w:t>
      </w:r>
    </w:p>
    <w:p>
      <w:pPr>
        <w:pStyle w:val="BookText"/>
      </w:pPr>
      <w:r>
        <w:rPr>
          <w:rFonts w:ascii="IRNazanin" w:hAnsi="IRNazanin" w:eastAsia="IRNazanin" w:cs="IRNazanin"/>
          <w:lang w:bidi="fa-IR"/>
          <w:color w:val="111111"/>
          <w:sz w:val="28"/>
          <w:szCs w:val="28"/>
          <w:rtl/>
        </w:rPr>
        <w:t xml:space="preserve">المسألة الاولی:الاشتباه من جهة اشتباه الموضوع،و فیه مقامان:197</w:t>
      </w:r>
    </w:p>
    <w:p>
      <w:pPr>
        <w:pStyle w:val="BookText"/>
      </w:pPr>
      <w:r>
        <w:rPr>
          <w:rFonts w:ascii="IRNazanin" w:hAnsi="IRNazanin" w:eastAsia="IRNazanin" w:cs="IRNazanin"/>
          <w:lang w:bidi="fa-IR"/>
          <w:color w:val="111111"/>
          <w:sz w:val="28"/>
          <w:szCs w:val="28"/>
          <w:rtl/>
        </w:rPr>
        <w:t xml:space="preserve">المقام الأوّل:فی الشبهة المحصورة،و فیه مقامان:</w:t>
      </w:r>
    </w:p>
    <w:p>
      <w:pPr>
        <w:pStyle w:val="BookText"/>
      </w:pPr>
      <w:r>
        <w:rPr>
          <w:rFonts w:ascii="IRNazanin" w:hAnsi="IRNazanin" w:eastAsia="IRNazanin" w:cs="IRNazanin"/>
          <w:lang w:bidi="fa-IR"/>
          <w:color w:val="111111"/>
          <w:sz w:val="28"/>
          <w:szCs w:val="28"/>
          <w:rtl/>
        </w:rPr>
        <w:t xml:space="preserve">المقام الأوّل:هل یجوز ارتکاب جمیع المشتبهات؟200</w:t>
      </w:r>
    </w:p>
    <w:p>
      <w:pPr>
        <w:pStyle w:val="BookText"/>
      </w:pPr>
      <w:r>
        <w:rPr>
          <w:rFonts w:ascii="IRNazanin" w:hAnsi="IRNazanin" w:eastAsia="IRNazanin" w:cs="IRNazanin"/>
          <w:lang w:bidi="fa-IR"/>
          <w:color w:val="111111"/>
          <w:sz w:val="28"/>
          <w:szCs w:val="28"/>
          <w:rtl/>
        </w:rPr>
        <w:t xml:space="preserve">الحقّ حرمة المخالفة القطعیّة و الاستدلال علیه 200</w:t>
      </w:r>
    </w:p>
    <w:p>
      <w:pPr>
        <w:pStyle w:val="BookText"/>
      </w:pPr>
      <w:r>
        <w:rPr>
          <w:rFonts w:ascii="IRNazanin" w:hAnsi="IRNazanin" w:eastAsia="IRNazanin" w:cs="IRNazanin"/>
          <w:lang w:bidi="fa-IR"/>
          <w:color w:val="111111"/>
          <w:sz w:val="28"/>
          <w:szCs w:val="28"/>
          <w:rtl/>
        </w:rPr>
        <w:t xml:space="preserve">عدم صلاحیّة أخبار«الحلّ»للمنع عن الحرمة 201</w:t>
      </w:r>
    </w:p>
    <w:p>
      <w:pPr>
        <w:pStyle w:val="BookText"/>
      </w:pPr>
      <w:r>
        <w:rPr>
          <w:rFonts w:ascii="IRNazanin" w:hAnsi="IRNazanin" w:eastAsia="IRNazanin" w:cs="IRNazanin"/>
          <w:lang w:bidi="fa-IR"/>
          <w:color w:val="111111"/>
          <w:sz w:val="28"/>
          <w:szCs w:val="28"/>
          <w:rtl/>
        </w:rPr>
        <w:t xml:space="preserve">ما هو غایة الحلّ فی أخبار«الحلّ»؟201</w:t>
      </w:r>
    </w:p>
    <w:p>
      <w:pPr>
        <w:pStyle w:val="BookText"/>
      </w:pPr>
      <w:r>
        <w:rPr>
          <w:rFonts w:ascii="IRNazanin" w:hAnsi="IRNazanin" w:eastAsia="IRNazanin" w:cs="IRNazanin"/>
          <w:lang w:bidi="fa-IR"/>
          <w:color w:val="111111"/>
          <w:sz w:val="28"/>
          <w:szCs w:val="28"/>
          <w:rtl/>
        </w:rPr>
        <w:t xml:space="preserve">قبح جعل الحکم الظاهری مع علم المکلّف بمخالفته للحکم الواقعی 203</w:t>
      </w:r>
    </w:p>
    <w:p>
      <w:pPr>
        <w:pStyle w:val="BookText"/>
      </w:pPr>
      <w:r>
        <w:rPr>
          <w:rFonts w:ascii="IRNazanin" w:hAnsi="IRNazanin" w:eastAsia="IRNazanin" w:cs="IRNazanin"/>
          <w:lang w:bidi="fa-IR"/>
          <w:color w:val="111111"/>
          <w:sz w:val="28"/>
          <w:szCs w:val="28"/>
          <w:rtl/>
        </w:rPr>
        <w:t xml:space="preserve">وجوب الاحتیاط فیما لا یرتکب إلاّ تدریجا أیضا 204</w:t>
      </w:r>
    </w:p>
    <w:p>
      <w:pPr>
        <w:pStyle w:val="BookText"/>
      </w:pPr>
      <w:r>
        <w:rPr>
          <w:rFonts w:ascii="IRNazanin" w:hAnsi="IRNazanin" w:eastAsia="IRNazanin" w:cs="IRNazanin"/>
          <w:lang w:bidi="fa-IR"/>
          <w:color w:val="111111"/>
          <w:sz w:val="28"/>
          <w:szCs w:val="28"/>
          <w:rtl/>
        </w:rPr>
        <w:t xml:space="preserve">توهّم وجود المخالفة القطعیّة للعلم الإجمالی فی الشرعیّات 206</w:t>
      </w:r>
    </w:p>
    <w:p>
      <w:pPr>
        <w:pStyle w:val="BookText"/>
      </w:pPr>
      <w:r>
        <w:rPr>
          <w:rFonts w:ascii="IRNazanin" w:hAnsi="IRNazanin" w:eastAsia="IRNazanin" w:cs="IRNazanin"/>
          <w:lang w:bidi="fa-IR"/>
          <w:color w:val="111111"/>
          <w:sz w:val="28"/>
          <w:szCs w:val="28"/>
          <w:rtl/>
        </w:rPr>
        <w:t xml:space="preserve">الجواب عن التوهّم المذکور 207</w:t>
      </w:r>
    </w:p>
    <w:p>
      <w:pPr>
        <w:pStyle w:val="BookText"/>
      </w:pPr>
      <w:r>
        <w:rPr>
          <w:rFonts w:ascii="IRNazanin" w:hAnsi="IRNazanin" w:eastAsia="IRNazanin" w:cs="IRNazanin"/>
          <w:lang w:bidi="fa-IR"/>
          <w:color w:val="111111"/>
          <w:sz w:val="28"/>
          <w:szCs w:val="28"/>
          <w:rtl/>
        </w:rPr>
        <w:t xml:space="preserve">تفصیل صاحب الحدائق فی الشبهة المحصورة 209</w:t>
      </w:r>
    </w:p>
    <w:p>
      <w:pPr>
        <w:pStyle w:val="BookText"/>
      </w:pPr>
      <w:r>
        <w:rPr>
          <w:rFonts w:ascii="IRNazanin" w:hAnsi="IRNazanin" w:eastAsia="IRNazanin" w:cs="IRNazanin"/>
          <w:lang w:bidi="fa-IR"/>
          <w:color w:val="111111"/>
          <w:sz w:val="28"/>
          <w:szCs w:val="28"/>
          <w:rtl/>
        </w:rPr>
        <w:t xml:space="preserve">المقام الثانی:هل یجب اجتناب جمیع المشتبهات؟210</w:t>
      </w:r>
    </w:p>
    <w:p>
      <w:pPr>
        <w:pStyle w:val="BookText"/>
      </w:pPr>
      <w:r>
        <w:rPr>
          <w:rFonts w:ascii="IRNazanin" w:hAnsi="IRNazanin" w:eastAsia="IRNazanin" w:cs="IRNazanin"/>
          <w:lang w:bidi="fa-IR"/>
          <w:color w:val="111111"/>
          <w:sz w:val="28"/>
          <w:szCs w:val="28"/>
          <w:rtl/>
        </w:rPr>
        <w:t xml:space="preserve">الحقّ وجوب الاجتناب و الاحتیاط 210</w:t>
      </w:r>
    </w:p>
    <w:p>
      <w:pPr>
        <w:pStyle w:val="BookText"/>
      </w:pPr>
      <w:r>
        <w:rPr>
          <w:rFonts w:ascii="IRNazanin" w:hAnsi="IRNazanin" w:eastAsia="IRNazanin" w:cs="IRNazanin"/>
          <w:lang w:bidi="fa-IR"/>
          <w:color w:val="111111"/>
          <w:sz w:val="28"/>
          <w:szCs w:val="28"/>
          <w:rtl/>
        </w:rPr>
        <w:t xml:space="preserve">[شماره صفحه واقعی : 487]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الاستدلال علیه 210</w:t>
      </w:r>
    </w:p>
    <w:p>
      <w:pPr>
        <w:pStyle w:val="BookText"/>
      </w:pPr>
      <w:r>
        <w:rPr>
          <w:rFonts w:ascii="IRNazanin" w:hAnsi="IRNazanin" w:eastAsia="IRNazanin" w:cs="IRNazanin"/>
          <w:lang w:bidi="fa-IR"/>
          <w:color w:val="111111"/>
          <w:sz w:val="28"/>
          <w:szCs w:val="28"/>
          <w:rtl/>
        </w:rPr>
        <w:t xml:space="preserve">توهّم جریان أصالة الحلّ فی کلا المشتبهین و التخییر بینهما و دفعه 211</w:t>
      </w:r>
    </w:p>
    <w:p>
      <w:pPr>
        <w:pStyle w:val="BookText"/>
      </w:pPr>
      <w:r>
        <w:rPr>
          <w:rFonts w:ascii="IRNazanin" w:hAnsi="IRNazanin" w:eastAsia="IRNazanin" w:cs="IRNazanin"/>
          <w:lang w:bidi="fa-IR"/>
          <w:color w:val="111111"/>
          <w:sz w:val="28"/>
          <w:szCs w:val="28"/>
          <w:rtl/>
        </w:rPr>
        <w:t xml:space="preserve">الحکم فی تعارض الأصلین هو التساقط،لا التخییر 212</w:t>
      </w:r>
    </w:p>
    <w:p>
      <w:pPr>
        <w:pStyle w:val="BookText"/>
      </w:pPr>
      <w:r>
        <w:rPr>
          <w:rFonts w:ascii="IRNazanin" w:hAnsi="IRNazanin" w:eastAsia="IRNazanin" w:cs="IRNazanin"/>
          <w:lang w:bidi="fa-IR"/>
          <w:color w:val="111111"/>
          <w:sz w:val="28"/>
          <w:szCs w:val="28"/>
          <w:rtl/>
        </w:rPr>
        <w:t xml:space="preserve">عدم استفادة الحلیّة علی البدل من أخبار«الحلّ»213</w:t>
      </w:r>
    </w:p>
    <w:p>
      <w:pPr>
        <w:pStyle w:val="BookText"/>
      </w:pPr>
      <w:r>
        <w:rPr>
          <w:rFonts w:ascii="IRNazanin" w:hAnsi="IRNazanin" w:eastAsia="IRNazanin" w:cs="IRNazanin"/>
          <w:lang w:bidi="fa-IR"/>
          <w:color w:val="111111"/>
          <w:sz w:val="28"/>
          <w:szCs w:val="28"/>
          <w:rtl/>
        </w:rPr>
        <w:t xml:space="preserve">أدلّة القول بجواز ارتکاب ما عدا مقدار الحرام:214</w:t>
      </w:r>
    </w:p>
    <w:p>
      <w:pPr>
        <w:pStyle w:val="BookText"/>
      </w:pPr>
      <w:r>
        <w:rPr>
          <w:rFonts w:ascii="IRNazanin" w:hAnsi="IRNazanin" w:eastAsia="IRNazanin" w:cs="IRNazanin"/>
          <w:lang w:bidi="fa-IR"/>
          <w:color w:val="111111"/>
          <w:sz w:val="28"/>
          <w:szCs w:val="28"/>
          <w:rtl/>
        </w:rPr>
        <w:t xml:space="preserve">1-ما دلّ علی حلّ ما لم یعلم حرمته و المناقشة فیه 214</w:t>
      </w:r>
    </w:p>
    <w:p>
      <w:pPr>
        <w:pStyle w:val="BookText"/>
      </w:pPr>
      <w:r>
        <w:rPr>
          <w:rFonts w:ascii="IRNazanin" w:hAnsi="IRNazanin" w:eastAsia="IRNazanin" w:cs="IRNazanin"/>
          <w:lang w:bidi="fa-IR"/>
          <w:color w:val="111111"/>
          <w:sz w:val="28"/>
          <w:szCs w:val="28"/>
          <w:rtl/>
        </w:rPr>
        <w:t xml:space="preserve">2-ما دلّ علی جواز تناول الشبهة المحصورة:216</w:t>
      </w:r>
    </w:p>
    <w:p>
      <w:pPr>
        <w:pStyle w:val="BookText"/>
      </w:pPr>
      <w:r>
        <w:rPr>
          <w:rFonts w:ascii="Amiri" w:hAnsi="Amiri" w:eastAsia="Amiri" w:cs="Amiri"/>
          <w:lang w:bidi="ar-SA"/>
          <w:color w:val="111111"/>
          <w:sz w:val="28"/>
          <w:szCs w:val="28"/>
          <w:rtl/>
        </w:rPr>
        <w:t xml:space="preserve">أ-موثّقة سماعة 216</w:t>
      </w:r>
    </w:p>
    <w:p>
      <w:pPr>
        <w:pStyle w:val="BookText"/>
      </w:pPr>
      <w:r>
        <w:rPr>
          <w:rFonts w:ascii="Amiri" w:hAnsi="Amiri" w:eastAsia="Amiri" w:cs="Amiri"/>
          <w:lang w:bidi="ar-SA"/>
          <w:color w:val="111111"/>
          <w:sz w:val="28"/>
          <w:szCs w:val="28"/>
          <w:rtl/>
        </w:rPr>
        <w:t xml:space="preserve">الجواب عن الموثّقة 217</w:t>
      </w:r>
    </w:p>
    <w:p>
      <w:pPr>
        <w:pStyle w:val="BookText"/>
      </w:pPr>
      <w:r>
        <w:rPr>
          <w:rFonts w:ascii="IRNazanin" w:hAnsi="IRNazanin" w:eastAsia="IRNazanin" w:cs="IRNazanin"/>
          <w:lang w:bidi="fa-IR"/>
          <w:color w:val="111111"/>
          <w:sz w:val="28"/>
          <w:szCs w:val="28"/>
          <w:rtl/>
        </w:rPr>
        <w:t xml:space="preserve">ب-الأخبار الواردة فی حلّیة ما لم یعلم حرمته:217</w:t>
      </w:r>
    </w:p>
    <w:p>
      <w:pPr>
        <w:pStyle w:val="BookText"/>
      </w:pPr>
      <w:r>
        <w:rPr>
          <w:rFonts w:ascii="IRNazanin" w:hAnsi="IRNazanin" w:eastAsia="IRNazanin" w:cs="IRNazanin"/>
          <w:lang w:bidi="fa-IR"/>
          <w:color w:val="111111"/>
          <w:sz w:val="28"/>
          <w:szCs w:val="28"/>
          <w:rtl/>
        </w:rPr>
        <w:t xml:space="preserve">1-أخبار الحلّ و الجواب عنها 217</w:t>
      </w:r>
    </w:p>
    <w:p>
      <w:pPr>
        <w:pStyle w:val="BookText"/>
      </w:pPr>
      <w:r>
        <w:rPr>
          <w:rFonts w:ascii="IRNazanin" w:hAnsi="IRNazanin" w:eastAsia="IRNazanin" w:cs="IRNazanin"/>
          <w:lang w:bidi="fa-IR"/>
          <w:color w:val="111111"/>
          <w:sz w:val="28"/>
          <w:szCs w:val="28"/>
          <w:rtl/>
        </w:rPr>
        <w:t xml:space="preserve">2-ما دلّ علی ارتکاب کلا المشتبهین فی الشبهة المحصورة</w:t>
      </w:r>
    </w:p>
    <w:p>
      <w:pPr>
        <w:pStyle w:val="BookText"/>
      </w:pPr>
      <w:r>
        <w:rPr>
          <w:rFonts w:ascii="IRNazanin" w:hAnsi="IRNazanin" w:eastAsia="IRNazanin" w:cs="IRNazanin"/>
          <w:lang w:bidi="fa-IR"/>
          <w:color w:val="111111"/>
          <w:sz w:val="28"/>
          <w:szCs w:val="28"/>
          <w:rtl/>
        </w:rPr>
        <w:t xml:space="preserve">و الجواب عنه 217</w:t>
      </w:r>
    </w:p>
    <w:p>
      <w:pPr>
        <w:pStyle w:val="BookText"/>
      </w:pPr>
      <w:r>
        <w:rPr>
          <w:rFonts w:ascii="IRNazanin" w:hAnsi="IRNazanin" w:eastAsia="IRNazanin" w:cs="IRNazanin"/>
          <w:lang w:bidi="fa-IR"/>
          <w:color w:val="111111"/>
          <w:sz w:val="28"/>
          <w:szCs w:val="28"/>
          <w:rtl/>
        </w:rPr>
        <w:t xml:space="preserve">3-أخبار جواز الأخذ من العامل و السارق و السلطان و الجواب عنها 217</w:t>
      </w:r>
    </w:p>
    <w:p>
      <w:pPr>
        <w:pStyle w:val="BookText"/>
      </w:pPr>
      <w:r>
        <w:rPr>
          <w:rFonts w:ascii="IRNazanin" w:hAnsi="IRNazanin" w:eastAsia="IRNazanin" w:cs="IRNazanin"/>
          <w:lang w:bidi="fa-IR"/>
          <w:color w:val="111111"/>
          <w:sz w:val="28"/>
          <w:szCs w:val="28"/>
          <w:rtl/>
        </w:rPr>
        <w:t xml:space="preserve">قاعدة وجوب دفع الضرر المقطوع به بین المشتبهین عقلا 219</w:t>
      </w:r>
    </w:p>
    <w:p>
      <w:pPr>
        <w:pStyle w:val="BookText"/>
      </w:pPr>
      <w:r>
        <w:rPr>
          <w:rFonts w:ascii="IRNazanin" w:hAnsi="IRNazanin" w:eastAsia="IRNazanin" w:cs="IRNazanin"/>
          <w:lang w:bidi="fa-IR"/>
          <w:color w:val="111111"/>
          <w:sz w:val="28"/>
          <w:szCs w:val="28"/>
          <w:rtl/>
        </w:rPr>
        <w:t xml:space="preserve">اعتضاد القاعدة بوجهین آخرین:219</w:t>
      </w:r>
    </w:p>
    <w:p>
      <w:pPr>
        <w:pStyle w:val="BookText"/>
      </w:pPr>
      <w:r>
        <w:rPr>
          <w:rFonts w:ascii="IRNazanin" w:hAnsi="IRNazanin" w:eastAsia="IRNazanin" w:cs="IRNazanin"/>
          <w:lang w:bidi="fa-IR"/>
          <w:color w:val="111111"/>
          <w:sz w:val="28"/>
          <w:szCs w:val="28"/>
          <w:rtl/>
        </w:rPr>
        <w:t xml:space="preserve">1-الأخبار الدالّة علی هذه القاعدة 219</w:t>
      </w:r>
    </w:p>
    <w:p>
      <w:pPr>
        <w:pStyle w:val="BookText"/>
      </w:pPr>
      <w:r>
        <w:rPr>
          <w:rFonts w:ascii="IRNazanin" w:hAnsi="IRNazanin" w:eastAsia="IRNazanin" w:cs="IRNazanin"/>
          <w:lang w:bidi="fa-IR"/>
          <w:color w:val="111111"/>
          <w:sz w:val="28"/>
          <w:szCs w:val="28"/>
          <w:rtl/>
        </w:rPr>
        <w:t xml:space="preserve">2-ما یستفاد من الأخبار الکثیرة:من کون الاجتناب عن کلّ واحد من المشتبهین أمرا مسلّما 221</w:t>
      </w:r>
    </w:p>
    <w:p>
      <w:pPr>
        <w:pStyle w:val="BookText"/>
      </w:pPr>
      <w:r>
        <w:rPr>
          <w:rFonts w:ascii="IRNazanin" w:hAnsi="IRNazanin" w:eastAsia="IRNazanin" w:cs="IRNazanin"/>
          <w:lang w:bidi="fa-IR"/>
          <w:color w:val="111111"/>
          <w:sz w:val="28"/>
          <w:szCs w:val="28"/>
          <w:rtl/>
        </w:rPr>
        <w:t xml:space="preserve">الاستئناس لما ذکرنا بروایة وجوب القرعة فی قطیع الغنم 223</w:t>
      </w:r>
    </w:p>
    <w:p>
      <w:pPr>
        <w:pStyle w:val="BookText"/>
      </w:pPr>
      <w:r>
        <w:rPr>
          <w:rFonts w:ascii="IRNazanin" w:hAnsi="IRNazanin" w:eastAsia="IRNazanin" w:cs="IRNazanin"/>
          <w:lang w:bidi="fa-IR"/>
          <w:color w:val="111111"/>
          <w:sz w:val="28"/>
          <w:szCs w:val="28"/>
          <w:rtl/>
        </w:rPr>
        <w:t xml:space="preserve">الروایة أدلّ علی مطلب الخصم 223</w:t>
      </w:r>
    </w:p>
    <w:p>
      <w:pPr>
        <w:pStyle w:val="BookText"/>
      </w:pPr>
      <w:r>
        <w:rPr>
          <w:rFonts w:ascii="IRNazanin" w:hAnsi="IRNazanin" w:eastAsia="IRNazanin" w:cs="IRNazanin"/>
          <w:lang w:bidi="fa-IR"/>
          <w:color w:val="111111"/>
          <w:sz w:val="28"/>
          <w:szCs w:val="28"/>
          <w:rtl/>
        </w:rPr>
        <w:t xml:space="preserve">[شماره صفحه واقعی : 488]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التنبیه علی امور:</w:t>
      </w:r>
    </w:p>
    <w:p>
      <w:pPr>
        <w:pStyle w:val="BookText"/>
      </w:pPr>
      <w:r>
        <w:rPr>
          <w:rFonts w:ascii="IRNazanin" w:hAnsi="IRNazanin" w:eastAsia="IRNazanin" w:cs="IRNazanin"/>
          <w:lang w:bidi="fa-IR"/>
          <w:color w:val="111111"/>
          <w:sz w:val="28"/>
          <w:szCs w:val="28"/>
          <w:rtl/>
        </w:rPr>
        <w:t xml:space="preserve">الأوّل:عدم الفرق فی وجوب الاجتناب بین کون المشتبهین</w:t>
      </w:r>
    </w:p>
    <w:p>
      <w:pPr>
        <w:pStyle w:val="BookText"/>
      </w:pPr>
      <w:r>
        <w:rPr>
          <w:rFonts w:ascii="IRNazanin" w:hAnsi="IRNazanin" w:eastAsia="IRNazanin" w:cs="IRNazanin"/>
          <w:lang w:bidi="fa-IR"/>
          <w:color w:val="111111"/>
          <w:sz w:val="28"/>
          <w:szCs w:val="28"/>
          <w:rtl/>
        </w:rPr>
        <w:t xml:space="preserve">مندرجین تحت حقیقة واحدة و غیره 225</w:t>
      </w:r>
    </w:p>
    <w:p>
      <w:pPr>
        <w:pStyle w:val="BookText"/>
      </w:pPr>
      <w:r>
        <w:rPr>
          <w:rFonts w:ascii="IRNazanin" w:hAnsi="IRNazanin" w:eastAsia="IRNazanin" w:cs="IRNazanin"/>
          <w:lang w:bidi="fa-IR"/>
          <w:color w:val="111111"/>
          <w:sz w:val="28"/>
          <w:szCs w:val="28"/>
          <w:rtl/>
        </w:rPr>
        <w:t xml:space="preserve">ظاهر صاحب الحدائق التفصیل بینهما 225</w:t>
      </w:r>
    </w:p>
    <w:p>
      <w:pPr>
        <w:pStyle w:val="BookText"/>
      </w:pPr>
      <w:r>
        <w:rPr>
          <w:rFonts w:ascii="IRNazanin" w:hAnsi="IRNazanin" w:eastAsia="IRNazanin" w:cs="IRNazanin"/>
          <w:lang w:bidi="fa-IR"/>
          <w:color w:val="111111"/>
          <w:sz w:val="28"/>
          <w:szCs w:val="28"/>
          <w:rtl/>
        </w:rPr>
        <w:t xml:space="preserve">کلام صاحب الحدائق فی جواب صاحب المدارک 225</w:t>
      </w:r>
    </w:p>
    <w:p>
      <w:pPr>
        <w:pStyle w:val="BookText"/>
      </w:pPr>
      <w:r>
        <w:rPr>
          <w:rFonts w:ascii="IRNazanin" w:hAnsi="IRNazanin" w:eastAsia="IRNazanin" w:cs="IRNazanin"/>
          <w:lang w:bidi="fa-IR"/>
          <w:color w:val="111111"/>
          <w:sz w:val="28"/>
          <w:szCs w:val="28"/>
          <w:rtl/>
        </w:rPr>
        <w:t xml:space="preserve">المناقشة فیما أفاده صاحب الحدائق قدّس سرّه 226</w:t>
      </w:r>
    </w:p>
    <w:p>
      <w:pPr>
        <w:pStyle w:val="BookText"/>
      </w:pPr>
      <w:r>
        <w:rPr>
          <w:rFonts w:ascii="IRNazanin" w:hAnsi="IRNazanin" w:eastAsia="IRNazanin" w:cs="IRNazanin"/>
          <w:lang w:bidi="fa-IR"/>
          <w:color w:val="111111"/>
          <w:sz w:val="28"/>
          <w:szCs w:val="28"/>
          <w:rtl/>
        </w:rPr>
        <w:t xml:space="preserve">هل یشترط فی العنوان المحرّم الواقعی المردّد بین المشتبهین</w:t>
      </w:r>
    </w:p>
    <w:p>
      <w:pPr>
        <w:pStyle w:val="BookText"/>
      </w:pPr>
      <w:r>
        <w:rPr>
          <w:rFonts w:ascii="IRNazanin" w:hAnsi="IRNazanin" w:eastAsia="IRNazanin" w:cs="IRNazanin"/>
          <w:lang w:bidi="fa-IR"/>
          <w:color w:val="111111"/>
          <w:sz w:val="28"/>
          <w:szCs w:val="28"/>
          <w:rtl/>
        </w:rPr>
        <w:t xml:space="preserve">أن یکون علی کلّ تقدیر متعلّقا لحکم واحد،أم لا؟227</w:t>
      </w:r>
    </w:p>
    <w:p>
      <w:pPr>
        <w:pStyle w:val="BookText"/>
      </w:pPr>
      <w:r>
        <w:rPr>
          <w:rFonts w:ascii="IRNazanin" w:hAnsi="IRNazanin" w:eastAsia="IRNazanin" w:cs="IRNazanin"/>
          <w:lang w:bidi="fa-IR"/>
          <w:color w:val="111111"/>
          <w:sz w:val="28"/>
          <w:szCs w:val="28"/>
          <w:rtl/>
        </w:rPr>
        <w:t xml:space="preserve">لو کان المحرّم علی کل تقدیر عنوانا غیره علی التقدیر الآخر 227</w:t>
      </w:r>
    </w:p>
    <w:p>
      <w:pPr>
        <w:pStyle w:val="BookText"/>
      </w:pPr>
      <w:r>
        <w:rPr>
          <w:rFonts w:ascii="IRNazanin" w:hAnsi="IRNazanin" w:eastAsia="IRNazanin" w:cs="IRNazanin"/>
          <w:lang w:bidi="fa-IR"/>
          <w:color w:val="111111"/>
          <w:sz w:val="28"/>
          <w:szCs w:val="28"/>
          <w:rtl/>
        </w:rPr>
        <w:t xml:space="preserve">لو تردّد الأمر بین کون هذه المرأة أجنبیّة أو هذا المائع خمرا 227</w:t>
      </w:r>
    </w:p>
    <w:p>
      <w:pPr>
        <w:pStyle w:val="BookText"/>
      </w:pPr>
      <w:r>
        <w:rPr>
          <w:rFonts w:ascii="IRNazanin" w:hAnsi="IRNazanin" w:eastAsia="IRNazanin" w:cs="IRNazanin"/>
          <w:lang w:bidi="fa-IR"/>
          <w:color w:val="111111"/>
          <w:sz w:val="28"/>
          <w:szCs w:val="28"/>
          <w:rtl/>
        </w:rPr>
        <w:t xml:space="preserve">الأقوی عدم جواز المخالفة القطعیّة فی جمیع ذلک 227</w:t>
      </w:r>
    </w:p>
    <w:p>
      <w:pPr>
        <w:pStyle w:val="BookText"/>
      </w:pPr>
      <w:r>
        <w:rPr>
          <w:rFonts w:ascii="IRNazanin" w:hAnsi="IRNazanin" w:eastAsia="IRNazanin" w:cs="IRNazanin"/>
          <w:lang w:bidi="fa-IR"/>
          <w:color w:val="111111"/>
          <w:sz w:val="28"/>
          <w:szCs w:val="28"/>
          <w:rtl/>
        </w:rPr>
        <w:t xml:space="preserve">الأقوی وجوب الموافقة القطعیّة أیضا 228</w:t>
      </w:r>
    </w:p>
    <w:p>
      <w:pPr>
        <w:pStyle w:val="BookText"/>
      </w:pPr>
      <w:r>
        <w:rPr>
          <w:rFonts w:ascii="IRNazanin" w:hAnsi="IRNazanin" w:eastAsia="IRNazanin" w:cs="IRNazanin"/>
          <w:lang w:bidi="fa-IR"/>
          <w:color w:val="111111"/>
          <w:sz w:val="28"/>
          <w:szCs w:val="28"/>
          <w:rtl/>
        </w:rPr>
        <w:t xml:space="preserve">الثانی:هل تختصّ المؤاخذة بصورة الوقوع فی الحرام،أم لا؟229</w:t>
      </w:r>
    </w:p>
    <w:p>
      <w:pPr>
        <w:pStyle w:val="BookText"/>
      </w:pPr>
      <w:r>
        <w:rPr>
          <w:rFonts w:ascii="IRNazanin" w:hAnsi="IRNazanin" w:eastAsia="IRNazanin" w:cs="IRNazanin"/>
          <w:lang w:bidi="fa-IR"/>
          <w:color w:val="111111"/>
          <w:sz w:val="28"/>
          <w:szCs w:val="28"/>
          <w:rtl/>
        </w:rPr>
        <w:t xml:space="preserve">الأقوی الاختصاص و الدلیل علیه 229</w:t>
      </w:r>
    </w:p>
    <w:p>
      <w:pPr>
        <w:pStyle w:val="BookText"/>
      </w:pPr>
      <w:r>
        <w:rPr>
          <w:rFonts w:ascii="IRNazanin" w:hAnsi="IRNazanin" w:eastAsia="IRNazanin" w:cs="IRNazanin"/>
          <w:lang w:bidi="fa-IR"/>
          <w:color w:val="111111"/>
          <w:sz w:val="28"/>
          <w:szCs w:val="28"/>
          <w:rtl/>
        </w:rPr>
        <w:t xml:space="preserve">التمسّک للحرمة فی المسألة بکونه تجرّیا و المناقشة فیه 231</w:t>
      </w:r>
    </w:p>
    <w:p>
      <w:pPr>
        <w:pStyle w:val="BookText"/>
      </w:pPr>
      <w:r>
        <w:rPr>
          <w:rFonts w:ascii="IRNazanin" w:hAnsi="IRNazanin" w:eastAsia="IRNazanin" w:cs="IRNazanin"/>
          <w:lang w:bidi="fa-IR"/>
          <w:color w:val="111111"/>
          <w:sz w:val="28"/>
          <w:szCs w:val="28"/>
          <w:rtl/>
        </w:rPr>
        <w:t xml:space="preserve">التمسّک بالأدلّة الشرعیّة الدالّة علی الاحتیاط و المناقشة فیه أیضا 232</w:t>
      </w:r>
    </w:p>
    <w:p>
      <w:pPr>
        <w:pStyle w:val="BookText"/>
      </w:pPr>
      <w:r>
        <w:rPr>
          <w:rFonts w:ascii="IRNazanin" w:hAnsi="IRNazanin" w:eastAsia="IRNazanin" w:cs="IRNazanin"/>
          <w:lang w:bidi="fa-IR"/>
          <w:color w:val="111111"/>
          <w:sz w:val="28"/>
          <w:szCs w:val="28"/>
          <w:rtl/>
        </w:rPr>
        <w:t xml:space="preserve">الثالث:وجوب الاجتناب إنّما هو مع تنجّز التکلیف علی کلّ تقدیر 233</w:t>
      </w:r>
    </w:p>
    <w:p>
      <w:pPr>
        <w:pStyle w:val="BookText"/>
      </w:pPr>
      <w:r>
        <w:rPr>
          <w:rFonts w:ascii="IRNazanin" w:hAnsi="IRNazanin" w:eastAsia="IRNazanin" w:cs="IRNazanin"/>
          <w:lang w:bidi="fa-IR"/>
          <w:color w:val="111111"/>
          <w:sz w:val="28"/>
          <w:szCs w:val="28"/>
          <w:rtl/>
        </w:rPr>
        <w:t xml:space="preserve">لو لم یکلّف بالتکلیف علی کلّ تقدیر 233</w:t>
      </w:r>
    </w:p>
    <w:p>
      <w:pPr>
        <w:pStyle w:val="BookText"/>
      </w:pPr>
      <w:r>
        <w:rPr>
          <w:rFonts w:ascii="IRNazanin" w:hAnsi="IRNazanin" w:eastAsia="IRNazanin" w:cs="IRNazanin"/>
          <w:lang w:bidi="fa-IR"/>
          <w:color w:val="111111"/>
          <w:sz w:val="28"/>
          <w:szCs w:val="28"/>
          <w:rtl/>
        </w:rPr>
        <w:t xml:space="preserve">لو کان التکلیف فی أحدهما معلّقا علی تمکّن المکلّف منه 233</w:t>
      </w:r>
    </w:p>
    <w:p>
      <w:pPr>
        <w:pStyle w:val="BookText"/>
      </w:pPr>
      <w:r>
        <w:rPr>
          <w:rFonts w:ascii="IRNazanin" w:hAnsi="IRNazanin" w:eastAsia="IRNazanin" w:cs="IRNazanin"/>
          <w:lang w:bidi="fa-IR"/>
          <w:color w:val="111111"/>
          <w:sz w:val="28"/>
          <w:szCs w:val="28"/>
          <w:rtl/>
        </w:rPr>
        <w:t xml:space="preserve">لو کان أحدهما المعیّن غیر مبتلی به 234</w:t>
      </w:r>
    </w:p>
    <w:p>
      <w:pPr>
        <w:pStyle w:val="BookText"/>
      </w:pPr>
      <w:r>
        <w:rPr>
          <w:rFonts w:ascii="IRNazanin" w:hAnsi="IRNazanin" w:eastAsia="IRNazanin" w:cs="IRNazanin"/>
          <w:lang w:bidi="fa-IR"/>
          <w:color w:val="111111"/>
          <w:sz w:val="28"/>
          <w:szCs w:val="28"/>
          <w:rtl/>
        </w:rPr>
        <w:t xml:space="preserve">اختصاص النواهی بمن یعدّ مبتلی بالواقعة المنهیّة عنها و السرّ</w:t>
      </w:r>
    </w:p>
    <w:p>
      <w:pPr>
        <w:pStyle w:val="BookText"/>
      </w:pPr>
      <w:r>
        <w:rPr>
          <w:rFonts w:ascii="IRNazanin" w:hAnsi="IRNazanin" w:eastAsia="IRNazanin" w:cs="IRNazanin"/>
          <w:lang w:bidi="fa-IR"/>
          <w:color w:val="111111"/>
          <w:sz w:val="28"/>
          <w:szCs w:val="28"/>
          <w:rtl/>
        </w:rPr>
        <w:t xml:space="preserve">فی ذلک 234</w:t>
      </w:r>
    </w:p>
    <w:p>
      <w:pPr>
        <w:pStyle w:val="BookText"/>
      </w:pPr>
      <w:r>
        <w:rPr>
          <w:rFonts w:ascii="IRNazanin" w:hAnsi="IRNazanin" w:eastAsia="IRNazanin" w:cs="IRNazanin"/>
          <w:lang w:bidi="fa-IR"/>
          <w:color w:val="111111"/>
          <w:sz w:val="28"/>
          <w:szCs w:val="28"/>
          <w:rtl/>
        </w:rPr>
        <w:t xml:space="preserve">[شماره صفحه واقعی : 489]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حلّ الإشکال بما ذکرنا عن کثیر من مواقع عدم وجوب</w:t>
      </w:r>
    </w:p>
    <w:p>
      <w:pPr>
        <w:pStyle w:val="BookText"/>
      </w:pPr>
      <w:r>
        <w:rPr>
          <w:rFonts w:ascii="IRNazanin" w:hAnsi="IRNazanin" w:eastAsia="IRNazanin" w:cs="IRNazanin"/>
          <w:lang w:bidi="fa-IR"/>
          <w:color w:val="111111"/>
          <w:sz w:val="28"/>
          <w:szCs w:val="28"/>
          <w:rtl/>
        </w:rPr>
        <w:t xml:space="preserve">الاجتناب فی الشبهة المحصورة 235</w:t>
      </w:r>
    </w:p>
    <w:p>
      <w:pPr>
        <w:pStyle w:val="BookText"/>
      </w:pPr>
      <w:r>
        <w:rPr>
          <w:rFonts w:ascii="IRNazanin" w:hAnsi="IRNazanin" w:eastAsia="IRNazanin" w:cs="IRNazanin"/>
          <w:lang w:bidi="fa-IR"/>
          <w:color w:val="111111"/>
          <w:sz w:val="28"/>
          <w:szCs w:val="28"/>
          <w:rtl/>
        </w:rPr>
        <w:t xml:space="preserve">اندفاع ما أفاده صاحب المدارک فیما تقدّم بما ذکرنا 235</w:t>
      </w:r>
    </w:p>
    <w:p>
      <w:pPr>
        <w:pStyle w:val="BookText"/>
      </w:pPr>
      <w:r>
        <w:rPr>
          <w:rFonts w:ascii="IRNazanin" w:hAnsi="IRNazanin" w:eastAsia="IRNazanin" w:cs="IRNazanin"/>
          <w:lang w:bidi="fa-IR"/>
          <w:color w:val="111111"/>
          <w:sz w:val="28"/>
          <w:szCs w:val="28"/>
          <w:rtl/>
        </w:rPr>
        <w:t xml:space="preserve">خفاء تشخیص موارد الابتلاء و عدمه غالبا 236</w:t>
      </w:r>
    </w:p>
    <w:p>
      <w:pPr>
        <w:pStyle w:val="BookText"/>
      </w:pPr>
      <w:r>
        <w:rPr>
          <w:rFonts w:ascii="IRNazanin" w:hAnsi="IRNazanin" w:eastAsia="IRNazanin" w:cs="IRNazanin"/>
          <w:lang w:bidi="fa-IR"/>
          <w:color w:val="111111"/>
          <w:sz w:val="28"/>
          <w:szCs w:val="28"/>
          <w:rtl/>
        </w:rPr>
        <w:t xml:space="preserve">المعیار صحّة التکلیف و حسنه غیر مقیّد بصورة الابتلاء 237</w:t>
      </w:r>
    </w:p>
    <w:p>
      <w:pPr>
        <w:pStyle w:val="BookText"/>
      </w:pPr>
      <w:r>
        <w:rPr>
          <w:rFonts w:ascii="IRNazanin" w:hAnsi="IRNazanin" w:eastAsia="IRNazanin" w:cs="IRNazanin"/>
          <w:lang w:bidi="fa-IR"/>
          <w:color w:val="111111"/>
          <w:sz w:val="28"/>
          <w:szCs w:val="28"/>
          <w:rtl/>
        </w:rPr>
        <w:t xml:space="preserve">لو شکّ فی حسن التکلیف التنجیزی فالأصل البراءة 237</w:t>
      </w:r>
    </w:p>
    <w:p>
      <w:pPr>
        <w:pStyle w:val="BookText"/>
      </w:pPr>
      <w:r>
        <w:rPr>
          <w:rFonts w:ascii="IRNazanin" w:hAnsi="IRNazanin" w:eastAsia="IRNazanin" w:cs="IRNazanin"/>
          <w:lang w:bidi="fa-IR"/>
          <w:color w:val="111111"/>
          <w:sz w:val="28"/>
          <w:szCs w:val="28"/>
          <w:rtl/>
        </w:rPr>
        <w:t xml:space="preserve">الأولی الرجوع إلی الإطلاقات 237</w:t>
      </w:r>
    </w:p>
    <w:p>
      <w:pPr>
        <w:pStyle w:val="BookText"/>
      </w:pPr>
      <w:r>
        <w:rPr>
          <w:rFonts w:ascii="IRNazanin" w:hAnsi="IRNazanin" w:eastAsia="IRNazanin" w:cs="IRNazanin"/>
          <w:lang w:bidi="fa-IR"/>
          <w:color w:val="111111"/>
          <w:sz w:val="28"/>
          <w:szCs w:val="28"/>
          <w:rtl/>
        </w:rPr>
        <w:t xml:space="preserve">الرابع:الثابت فی المشتبهین وجوب الاجتناب دون سائر</w:t>
      </w:r>
    </w:p>
    <w:p>
      <w:pPr>
        <w:pStyle w:val="BookText"/>
      </w:pPr>
      <w:r>
        <w:rPr>
          <w:rFonts w:ascii="IRNazanin" w:hAnsi="IRNazanin" w:eastAsia="IRNazanin" w:cs="IRNazanin"/>
          <w:lang w:bidi="fa-IR"/>
          <w:color w:val="111111"/>
          <w:sz w:val="28"/>
          <w:szCs w:val="28"/>
          <w:rtl/>
        </w:rPr>
        <w:t xml:space="preserve">الآثار الشرعیّة 239</w:t>
      </w:r>
    </w:p>
    <w:p>
      <w:pPr>
        <w:pStyle w:val="BookText"/>
      </w:pPr>
      <w:r>
        <w:rPr>
          <w:rFonts w:ascii="IRNazanin" w:hAnsi="IRNazanin" w:eastAsia="IRNazanin" w:cs="IRNazanin"/>
          <w:lang w:bidi="fa-IR"/>
          <w:color w:val="111111"/>
          <w:sz w:val="28"/>
          <w:szCs w:val="28"/>
          <w:rtl/>
        </w:rPr>
        <w:t xml:space="preserve">هل یحکم بتنجّس ملاقی أحد المشتبهین؟239</w:t>
      </w:r>
    </w:p>
    <w:p>
      <w:pPr>
        <w:pStyle w:val="BookText"/>
      </w:pPr>
      <w:r>
        <w:rPr>
          <w:rFonts w:ascii="IRNazanin" w:hAnsi="IRNazanin" w:eastAsia="IRNazanin" w:cs="IRNazanin"/>
          <w:lang w:bidi="fa-IR"/>
          <w:color w:val="111111"/>
          <w:sz w:val="28"/>
          <w:szCs w:val="28"/>
          <w:rtl/>
        </w:rPr>
        <w:t xml:space="preserve">ما استدلّ به علی تنجّس الملاقی 239</w:t>
      </w:r>
    </w:p>
    <w:p>
      <w:pPr>
        <w:pStyle w:val="BookText"/>
      </w:pPr>
      <w:r>
        <w:rPr>
          <w:rFonts w:ascii="IRNazanin" w:hAnsi="IRNazanin" w:eastAsia="IRNazanin" w:cs="IRNazanin"/>
          <w:lang w:bidi="fa-IR"/>
          <w:color w:val="111111"/>
          <w:sz w:val="28"/>
          <w:szCs w:val="28"/>
          <w:rtl/>
        </w:rPr>
        <w:t xml:space="preserve">الأقوی عدم الحکم بالتنجّس و عدم تمامیّة الأدلّة المذکورة 240</w:t>
      </w:r>
    </w:p>
    <w:p>
      <w:pPr>
        <w:pStyle w:val="BookText"/>
      </w:pPr>
      <w:r>
        <w:rPr>
          <w:rFonts w:ascii="IRNazanin" w:hAnsi="IRNazanin" w:eastAsia="IRNazanin" w:cs="IRNazanin"/>
          <w:lang w:bidi="fa-IR"/>
          <w:color w:val="111111"/>
          <w:sz w:val="28"/>
          <w:szCs w:val="28"/>
          <w:rtl/>
        </w:rPr>
        <w:t xml:space="preserve">الاستدلال بروایة عمرو بن شمر علی تنجّس الملاقی 241</w:t>
      </w:r>
    </w:p>
    <w:p>
      <w:pPr>
        <w:pStyle w:val="BookText"/>
      </w:pPr>
      <w:r>
        <w:rPr>
          <w:rFonts w:ascii="IRNazanin" w:hAnsi="IRNazanin" w:eastAsia="IRNazanin" w:cs="IRNazanin"/>
          <w:lang w:bidi="fa-IR"/>
          <w:color w:val="111111"/>
          <w:sz w:val="28"/>
          <w:szCs w:val="28"/>
          <w:rtl/>
        </w:rPr>
        <w:t xml:space="preserve">الجواب عن الروایة 241</w:t>
      </w:r>
    </w:p>
    <w:p>
      <w:pPr>
        <w:pStyle w:val="BookText"/>
      </w:pPr>
      <w:r>
        <w:rPr>
          <w:rFonts w:ascii="IRNazanin" w:hAnsi="IRNazanin" w:eastAsia="IRNazanin" w:cs="IRNazanin"/>
          <w:lang w:bidi="fa-IR"/>
          <w:color w:val="111111"/>
          <w:sz w:val="28"/>
          <w:szCs w:val="28"/>
          <w:rtl/>
        </w:rPr>
        <w:t xml:space="preserve">أصالة الطهارة و الحلّ فی الملاقی سلیمة عن المعارض 242</w:t>
      </w:r>
    </w:p>
    <w:p>
      <w:pPr>
        <w:pStyle w:val="BookText"/>
      </w:pPr>
      <w:r>
        <w:rPr>
          <w:rFonts w:ascii="IRNazanin" w:hAnsi="IRNazanin" w:eastAsia="IRNazanin" w:cs="IRNazanin"/>
          <w:lang w:bidi="fa-IR"/>
          <w:color w:val="111111"/>
          <w:sz w:val="28"/>
          <w:szCs w:val="28"/>
          <w:rtl/>
        </w:rPr>
        <w:t xml:space="preserve">التحقیق فی تعارض الأصلین الرجوع إلی ما وراءهما من الاصول 243</w:t>
      </w:r>
    </w:p>
    <w:p>
      <w:pPr>
        <w:pStyle w:val="BookText"/>
      </w:pPr>
      <w:r>
        <w:rPr>
          <w:rFonts w:ascii="IRNazanin" w:hAnsi="IRNazanin" w:eastAsia="IRNazanin" w:cs="IRNazanin"/>
          <w:lang w:bidi="fa-IR"/>
          <w:color w:val="111111"/>
          <w:sz w:val="28"/>
          <w:szCs w:val="28"/>
          <w:rtl/>
        </w:rPr>
        <w:t xml:space="preserve">الخامس:الاضطرار إلی بعض المحتملات 245</w:t>
      </w:r>
    </w:p>
    <w:p>
      <w:pPr>
        <w:pStyle w:val="BookText"/>
      </w:pPr>
      <w:r>
        <w:rPr>
          <w:rFonts w:ascii="IRNazanin" w:hAnsi="IRNazanin" w:eastAsia="IRNazanin" w:cs="IRNazanin"/>
          <w:lang w:bidi="fa-IR"/>
          <w:color w:val="111111"/>
          <w:sz w:val="28"/>
          <w:szCs w:val="28"/>
          <w:rtl/>
        </w:rPr>
        <w:t xml:space="preserve">لو کان المضطرّ إلیه بعضا معیّنا 245</w:t>
      </w:r>
    </w:p>
    <w:p>
      <w:pPr>
        <w:pStyle w:val="BookText"/>
      </w:pPr>
      <w:r>
        <w:rPr>
          <w:rFonts w:ascii="IRNazanin" w:hAnsi="IRNazanin" w:eastAsia="IRNazanin" w:cs="IRNazanin"/>
          <w:lang w:bidi="fa-IR"/>
          <w:color w:val="111111"/>
          <w:sz w:val="28"/>
          <w:szCs w:val="28"/>
          <w:rtl/>
        </w:rPr>
        <w:t xml:space="preserve">لو کان المضطرّ إلیه بعضا غیر معیّن 245</w:t>
      </w:r>
    </w:p>
    <w:p>
      <w:pPr>
        <w:pStyle w:val="BookText"/>
      </w:pPr>
      <w:r>
        <w:rPr>
          <w:rFonts w:ascii="IRNazanin" w:hAnsi="IRNazanin" w:eastAsia="IRNazanin" w:cs="IRNazanin"/>
          <w:lang w:bidi="fa-IR"/>
          <w:color w:val="111111"/>
          <w:sz w:val="28"/>
          <w:szCs w:val="28"/>
          <w:rtl/>
        </w:rPr>
        <w:t xml:space="preserve">السادس:لو کانت المشتبهات ممّا توجد تدریجا 248</w:t>
      </w:r>
    </w:p>
    <w:p>
      <w:pPr>
        <w:pStyle w:val="BookText"/>
      </w:pPr>
      <w:r>
        <w:rPr>
          <w:rFonts w:ascii="IRNazanin" w:hAnsi="IRNazanin" w:eastAsia="IRNazanin" w:cs="IRNazanin"/>
          <w:lang w:bidi="fa-IR"/>
          <w:color w:val="111111"/>
          <w:sz w:val="28"/>
          <w:szCs w:val="28"/>
          <w:rtl/>
        </w:rPr>
        <w:t xml:space="preserve">عدم الابتلاء دفعة فی التدریجیّات 248</w:t>
      </w:r>
    </w:p>
    <w:p>
      <w:pPr>
        <w:pStyle w:val="BookText"/>
      </w:pPr>
      <w:r>
        <w:rPr>
          <w:rFonts w:ascii="IRNazanin" w:hAnsi="IRNazanin" w:eastAsia="IRNazanin" w:cs="IRNazanin"/>
          <w:lang w:bidi="fa-IR"/>
          <w:color w:val="111111"/>
          <w:sz w:val="28"/>
          <w:szCs w:val="28"/>
          <w:rtl/>
        </w:rPr>
        <w:t xml:space="preserve">بناء علی عدم وجوب الاحتیاط فی الشبهة التدریجیّة فالظاهر</w:t>
      </w:r>
    </w:p>
    <w:p>
      <w:pPr>
        <w:pStyle w:val="BookText"/>
      </w:pPr>
      <w:r>
        <w:rPr>
          <w:rFonts w:ascii="IRNazanin" w:hAnsi="IRNazanin" w:eastAsia="IRNazanin" w:cs="IRNazanin"/>
          <w:lang w:bidi="fa-IR"/>
          <w:color w:val="111111"/>
          <w:sz w:val="28"/>
          <w:szCs w:val="28"/>
          <w:rtl/>
        </w:rPr>
        <w:t xml:space="preserve">جواز المخالفة القطعیّة 249</w:t>
      </w:r>
    </w:p>
    <w:p>
      <w:pPr>
        <w:pStyle w:val="BookText"/>
      </w:pPr>
      <w:r>
        <w:rPr>
          <w:rFonts w:ascii="IRNazanin" w:hAnsi="IRNazanin" w:eastAsia="IRNazanin" w:cs="IRNazanin"/>
          <w:lang w:bidi="fa-IR"/>
          <w:color w:val="111111"/>
          <w:sz w:val="28"/>
          <w:szCs w:val="28"/>
          <w:rtl/>
        </w:rPr>
        <w:t xml:space="preserve">[شماره صفحه واقعی : 490]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السابع:العلم الإجمالی فی الشبهة المحصورة قد ینشأ عن</w:t>
      </w:r>
    </w:p>
    <w:p>
      <w:pPr>
        <w:pStyle w:val="BookText"/>
      </w:pPr>
      <w:r>
        <w:rPr>
          <w:rFonts w:ascii="IRNazanin" w:hAnsi="IRNazanin" w:eastAsia="IRNazanin" w:cs="IRNazanin"/>
          <w:lang w:bidi="fa-IR"/>
          <w:color w:val="111111"/>
          <w:sz w:val="28"/>
          <w:szCs w:val="28"/>
          <w:rtl/>
        </w:rPr>
        <w:t xml:space="preserve">اشتباه المکلّف به و قد یکون من جهة اشتباه المکلّف 251</w:t>
      </w:r>
    </w:p>
    <w:p>
      <w:pPr>
        <w:pStyle w:val="BookText"/>
      </w:pPr>
      <w:r>
        <w:rPr>
          <w:rFonts w:ascii="IRNazanin" w:hAnsi="IRNazanin" w:eastAsia="IRNazanin" w:cs="IRNazanin"/>
          <w:lang w:bidi="fa-IR"/>
          <w:color w:val="111111"/>
          <w:sz w:val="28"/>
          <w:szCs w:val="28"/>
          <w:rtl/>
        </w:rPr>
        <w:t xml:space="preserve">حکم الخنثی 251</w:t>
      </w:r>
    </w:p>
    <w:p>
      <w:pPr>
        <w:pStyle w:val="BookText"/>
      </w:pPr>
      <w:r>
        <w:rPr>
          <w:rFonts w:ascii="IRNazanin" w:hAnsi="IRNazanin" w:eastAsia="IRNazanin" w:cs="IRNazanin"/>
          <w:lang w:bidi="fa-IR"/>
          <w:color w:val="111111"/>
          <w:sz w:val="28"/>
          <w:szCs w:val="28"/>
          <w:rtl/>
        </w:rPr>
        <w:t xml:space="preserve">القول بعدم توجّه الخطابات التکلیفیّة المختصّة إلیها 252</w:t>
      </w:r>
    </w:p>
    <w:p>
      <w:pPr>
        <w:pStyle w:val="BookText"/>
      </w:pPr>
      <w:r>
        <w:rPr>
          <w:rFonts w:ascii="IRNazanin" w:hAnsi="IRNazanin" w:eastAsia="IRNazanin" w:cs="IRNazanin"/>
          <w:lang w:bidi="fa-IR"/>
          <w:color w:val="111111"/>
          <w:sz w:val="28"/>
          <w:szCs w:val="28"/>
          <w:rtl/>
        </w:rPr>
        <w:t xml:space="preserve">المناقشة فی القول المذکور 253</w:t>
      </w:r>
    </w:p>
    <w:p>
      <w:pPr>
        <w:pStyle w:val="BookText"/>
      </w:pPr>
      <w:r>
        <w:rPr>
          <w:rFonts w:ascii="IRNazanin" w:hAnsi="IRNazanin" w:eastAsia="IRNazanin" w:cs="IRNazanin"/>
          <w:lang w:bidi="fa-IR"/>
          <w:color w:val="111111"/>
          <w:sz w:val="28"/>
          <w:szCs w:val="28"/>
          <w:rtl/>
        </w:rPr>
        <w:t xml:space="preserve">الثامن:التسویة بین کون الأصل فی کلّ واحد من المشتبهین</w:t>
      </w:r>
    </w:p>
    <w:p>
      <w:pPr>
        <w:pStyle w:val="BookText"/>
      </w:pPr>
      <w:r>
        <w:rPr>
          <w:rFonts w:ascii="Amiri" w:hAnsi="Amiri" w:eastAsia="Amiri" w:cs="Amiri"/>
          <w:lang w:bidi="ar-SA"/>
          <w:color w:val="111111"/>
          <w:sz w:val="28"/>
          <w:szCs w:val="28"/>
          <w:rtl/>
        </w:rPr>
        <w:t xml:space="preserve">هو الحلّ أو الحرمة 254</w:t>
      </w:r>
    </w:p>
    <w:p>
      <w:pPr>
        <w:pStyle w:val="BookText"/>
      </w:pPr>
      <w:r>
        <w:rPr>
          <w:rFonts w:ascii="IRNazanin" w:hAnsi="IRNazanin" w:eastAsia="IRNazanin" w:cs="IRNazanin"/>
          <w:lang w:bidi="fa-IR"/>
          <w:color w:val="111111"/>
          <w:sz w:val="28"/>
          <w:szCs w:val="28"/>
          <w:rtl/>
        </w:rPr>
        <w:t xml:space="preserve">التاسع:المشتبه بأحد المشتبهین حکمه حکمهما 256</w:t>
      </w:r>
    </w:p>
    <w:p>
      <w:pPr>
        <w:pStyle w:val="BookText"/>
      </w:pPr>
      <w:r>
        <w:rPr>
          <w:rFonts w:ascii="IRNazanin" w:hAnsi="IRNazanin" w:eastAsia="IRNazanin" w:cs="IRNazanin"/>
          <w:lang w:bidi="fa-IR"/>
          <w:color w:val="111111"/>
          <w:sz w:val="28"/>
          <w:szCs w:val="28"/>
          <w:rtl/>
        </w:rPr>
        <w:t xml:space="preserve">المقام الثانی:فی الشبهة غیر المحصورة المعروف عدم وجوب الاجتناب و الاستدلال علیه من وجوه:257</w:t>
      </w:r>
    </w:p>
    <w:p>
      <w:pPr>
        <w:pStyle w:val="BookText"/>
      </w:pPr>
      <w:r>
        <w:rPr>
          <w:rFonts w:ascii="IRNazanin" w:hAnsi="IRNazanin" w:eastAsia="IRNazanin" w:cs="IRNazanin"/>
          <w:lang w:bidi="fa-IR"/>
          <w:color w:val="111111"/>
          <w:sz w:val="28"/>
          <w:szCs w:val="28"/>
          <w:rtl/>
        </w:rPr>
        <w:t xml:space="preserve">1-الإجماع 257</w:t>
      </w:r>
    </w:p>
    <w:p>
      <w:pPr>
        <w:pStyle w:val="BookText"/>
      </w:pPr>
      <w:r>
        <w:rPr>
          <w:rFonts w:ascii="IRNazanin" w:hAnsi="IRNazanin" w:eastAsia="IRNazanin" w:cs="IRNazanin"/>
          <w:lang w:bidi="fa-IR"/>
          <w:color w:val="111111"/>
          <w:sz w:val="28"/>
          <w:szCs w:val="28"/>
          <w:rtl/>
        </w:rPr>
        <w:t xml:space="preserve">2-لزوم المشقّة فی الاجتناب 257</w:t>
      </w:r>
    </w:p>
    <w:p>
      <w:pPr>
        <w:pStyle w:val="BookText"/>
      </w:pPr>
      <w:r>
        <w:rPr>
          <w:rFonts w:ascii="IRNazanin" w:hAnsi="IRNazanin" w:eastAsia="IRNazanin" w:cs="IRNazanin"/>
          <w:lang w:bidi="fa-IR"/>
          <w:color w:val="111111"/>
          <w:sz w:val="28"/>
          <w:szCs w:val="28"/>
          <w:rtl/>
        </w:rPr>
        <w:t xml:space="preserve">المناقشة فی هذا الاستدلال 258</w:t>
      </w:r>
    </w:p>
    <w:p>
      <w:pPr>
        <w:pStyle w:val="BookText"/>
      </w:pPr>
      <w:r>
        <w:rPr>
          <w:rFonts w:ascii="IRNazanin" w:hAnsi="IRNazanin" w:eastAsia="IRNazanin" w:cs="IRNazanin"/>
          <w:lang w:bidi="fa-IR"/>
          <w:color w:val="111111"/>
          <w:sz w:val="28"/>
          <w:szCs w:val="28"/>
          <w:rtl/>
        </w:rPr>
        <w:t xml:space="preserve">عدم فائدة دوران الأحکام مدار السهولة علی الأغلب فیما</w:t>
      </w:r>
    </w:p>
    <w:p>
      <w:pPr>
        <w:pStyle w:val="BookText"/>
      </w:pPr>
      <w:r>
        <w:rPr>
          <w:rFonts w:ascii="IRNazanin" w:hAnsi="IRNazanin" w:eastAsia="IRNazanin" w:cs="IRNazanin"/>
          <w:lang w:bidi="fa-IR"/>
          <w:color w:val="111111"/>
          <w:sz w:val="28"/>
          <w:szCs w:val="28"/>
          <w:rtl/>
        </w:rPr>
        <w:t xml:space="preserve">نحن فیه 258</w:t>
      </w:r>
    </w:p>
    <w:p>
      <w:pPr>
        <w:pStyle w:val="BookText"/>
      </w:pPr>
      <w:r>
        <w:rPr>
          <w:rFonts w:ascii="IRNazanin" w:hAnsi="IRNazanin" w:eastAsia="IRNazanin" w:cs="IRNazanin"/>
          <w:lang w:bidi="fa-IR"/>
          <w:color w:val="111111"/>
          <w:sz w:val="28"/>
          <w:szCs w:val="28"/>
          <w:rtl/>
        </w:rPr>
        <w:t xml:space="preserve">عدم لزوم الحرج فی الاجتناب عن الشبهة غیر المحصورة 260</w:t>
      </w:r>
    </w:p>
    <w:p>
      <w:pPr>
        <w:pStyle w:val="BookText"/>
      </w:pPr>
      <w:r>
        <w:rPr>
          <w:rFonts w:ascii="Amiri" w:hAnsi="Amiri" w:eastAsia="Amiri" w:cs="Amiri"/>
          <w:lang w:bidi="ar-SA"/>
          <w:color w:val="111111"/>
          <w:sz w:val="28"/>
          <w:szCs w:val="28"/>
          <w:rtl/>
        </w:rPr>
        <w:t xml:space="preserve">3-أخبار الحلّ 260</w:t>
      </w:r>
    </w:p>
    <w:p>
      <w:pPr>
        <w:pStyle w:val="BookText"/>
      </w:pPr>
      <w:r>
        <w:rPr>
          <w:rFonts w:ascii="IRNazanin" w:hAnsi="IRNazanin" w:eastAsia="IRNazanin" w:cs="IRNazanin"/>
          <w:lang w:bidi="fa-IR"/>
          <w:color w:val="111111"/>
          <w:sz w:val="28"/>
          <w:szCs w:val="28"/>
          <w:rtl/>
        </w:rPr>
        <w:t xml:space="preserve">المناقشة فی هذا الاستدلال 261</w:t>
      </w:r>
    </w:p>
    <w:p>
      <w:pPr>
        <w:pStyle w:val="BookText"/>
      </w:pPr>
      <w:r>
        <w:rPr>
          <w:rFonts w:ascii="IRNazanin" w:hAnsi="IRNazanin" w:eastAsia="IRNazanin" w:cs="IRNazanin"/>
          <w:lang w:bidi="fa-IR"/>
          <w:color w:val="111111"/>
          <w:sz w:val="28"/>
          <w:szCs w:val="28"/>
          <w:rtl/>
        </w:rPr>
        <w:t xml:space="preserve">4-بعض الأخبار فی خصوص المسألة 262</w:t>
      </w:r>
    </w:p>
    <w:p>
      <w:pPr>
        <w:pStyle w:val="BookText"/>
      </w:pPr>
      <w:r>
        <w:rPr>
          <w:rFonts w:ascii="Amiri" w:hAnsi="Amiri" w:eastAsia="Amiri" w:cs="Amiri"/>
          <w:lang w:bidi="ar-SA"/>
          <w:color w:val="111111"/>
          <w:sz w:val="28"/>
          <w:szCs w:val="28"/>
          <w:rtl/>
        </w:rPr>
        <w:t xml:space="preserve">5-أصالة البراءة 263</w:t>
      </w:r>
    </w:p>
    <w:p>
      <w:pPr>
        <w:pStyle w:val="BookText"/>
      </w:pPr>
      <w:r>
        <w:rPr>
          <w:rFonts w:ascii="IRNazanin" w:hAnsi="IRNazanin" w:eastAsia="IRNazanin" w:cs="IRNazanin"/>
          <w:lang w:bidi="fa-IR"/>
          <w:color w:val="111111"/>
          <w:sz w:val="28"/>
          <w:szCs w:val="28"/>
          <w:rtl/>
        </w:rPr>
        <w:t xml:space="preserve">6-عدم الابتلاء إلاّ ببعض معیّن 265</w:t>
      </w:r>
    </w:p>
    <w:p>
      <w:pPr>
        <w:pStyle w:val="BookText"/>
      </w:pPr>
      <w:r>
        <w:rPr>
          <w:rFonts w:ascii="IRNazanin" w:hAnsi="IRNazanin" w:eastAsia="IRNazanin" w:cs="IRNazanin"/>
          <w:lang w:bidi="fa-IR"/>
          <w:color w:val="111111"/>
          <w:sz w:val="28"/>
          <w:szCs w:val="28"/>
          <w:rtl/>
        </w:rPr>
        <w:t xml:space="preserve">المستفاد من الأدلّة المذکورة 265</w:t>
      </w:r>
    </w:p>
    <w:p>
      <w:pPr>
        <w:pStyle w:val="BookText"/>
      </w:pPr>
      <w:r>
        <w:rPr>
          <w:rFonts w:ascii="IRNazanin" w:hAnsi="IRNazanin" w:eastAsia="IRNazanin" w:cs="IRNazanin"/>
          <w:lang w:bidi="fa-IR"/>
          <w:color w:val="111111"/>
          <w:sz w:val="28"/>
          <w:szCs w:val="28"/>
          <w:rtl/>
        </w:rPr>
        <w:t xml:space="preserve">[شماره صفحه واقعی : 491]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الکلام فی موارد:</w:t>
      </w:r>
    </w:p>
    <w:p>
      <w:pPr>
        <w:pStyle w:val="BookText"/>
      </w:pPr>
      <w:r>
        <w:rPr>
          <w:rFonts w:ascii="IRNazanin" w:hAnsi="IRNazanin" w:eastAsia="IRNazanin" w:cs="IRNazanin"/>
          <w:lang w:bidi="fa-IR"/>
          <w:color w:val="111111"/>
          <w:sz w:val="28"/>
          <w:szCs w:val="28"/>
          <w:rtl/>
        </w:rPr>
        <w:t xml:space="preserve">الأوّل:هل یجوز ارتکاب جمیع المشتبهات فی غیر المحصور؟266</w:t>
      </w:r>
    </w:p>
    <w:p>
      <w:pPr>
        <w:pStyle w:val="BookText"/>
      </w:pPr>
      <w:r>
        <w:rPr>
          <w:rFonts w:ascii="IRNazanin" w:hAnsi="IRNazanin" w:eastAsia="IRNazanin" w:cs="IRNazanin"/>
          <w:lang w:bidi="fa-IR"/>
          <w:color w:val="111111"/>
          <w:sz w:val="28"/>
          <w:szCs w:val="28"/>
          <w:rtl/>
        </w:rPr>
        <w:t xml:space="preserve">التحقیق عدم جواز ارتکاب الکلّ 266</w:t>
      </w:r>
    </w:p>
    <w:p>
      <w:pPr>
        <w:pStyle w:val="BookText"/>
      </w:pPr>
      <w:r>
        <w:rPr>
          <w:rFonts w:ascii="IRNazanin" w:hAnsi="IRNazanin" w:eastAsia="IRNazanin" w:cs="IRNazanin"/>
          <w:lang w:bidi="fa-IR"/>
          <w:color w:val="111111"/>
          <w:sz w:val="28"/>
          <w:szCs w:val="28"/>
          <w:rtl/>
        </w:rPr>
        <w:t xml:space="preserve">غایة ما ثبت فی غیر المحصور الاکتفاء بترک بعض المحتملات 267</w:t>
      </w:r>
    </w:p>
    <w:p>
      <w:pPr>
        <w:pStyle w:val="BookText"/>
      </w:pPr>
      <w:r>
        <w:rPr>
          <w:rFonts w:ascii="IRNazanin" w:hAnsi="IRNazanin" w:eastAsia="IRNazanin" w:cs="IRNazanin"/>
          <w:lang w:bidi="fa-IR"/>
          <w:color w:val="111111"/>
          <w:sz w:val="28"/>
          <w:szCs w:val="28"/>
          <w:rtl/>
        </w:rPr>
        <w:t xml:space="preserve">الثانی:ضابط المحصور و غیر المحصور 268</w:t>
      </w:r>
    </w:p>
    <w:p>
      <w:pPr>
        <w:pStyle w:val="BookText"/>
      </w:pPr>
      <w:r>
        <w:rPr>
          <w:rFonts w:ascii="IRNazanin" w:hAnsi="IRNazanin" w:eastAsia="IRNazanin" w:cs="IRNazanin"/>
          <w:lang w:bidi="fa-IR"/>
          <w:color w:val="111111"/>
          <w:sz w:val="28"/>
          <w:szCs w:val="28"/>
          <w:rtl/>
        </w:rPr>
        <w:t xml:space="preserve">القول بأنّ المرجع فیه العرف و المناقشة فیه 268</w:t>
      </w:r>
    </w:p>
    <w:p>
      <w:pPr>
        <w:pStyle w:val="BookText"/>
      </w:pPr>
      <w:r>
        <w:rPr>
          <w:rFonts w:ascii="IRNazanin" w:hAnsi="IRNazanin" w:eastAsia="IRNazanin" w:cs="IRNazanin"/>
          <w:lang w:bidi="fa-IR"/>
          <w:color w:val="111111"/>
          <w:sz w:val="28"/>
          <w:szCs w:val="28"/>
          <w:rtl/>
        </w:rPr>
        <w:t xml:space="preserve">ما ذکره المحقّق الثانی من الضابط و المناقشة فیه 268</w:t>
      </w:r>
    </w:p>
    <w:p>
      <w:pPr>
        <w:pStyle w:val="BookText"/>
      </w:pPr>
      <w:r>
        <w:rPr>
          <w:rFonts w:ascii="IRNazanin" w:hAnsi="IRNazanin" w:eastAsia="IRNazanin" w:cs="IRNazanin"/>
          <w:lang w:bidi="fa-IR"/>
          <w:color w:val="111111"/>
          <w:sz w:val="28"/>
          <w:szCs w:val="28"/>
          <w:rtl/>
        </w:rPr>
        <w:t xml:space="preserve">ما ذکره الفاضل الهندی من الضابط و المناقشة فیه 271</w:t>
      </w:r>
    </w:p>
    <w:p>
      <w:pPr>
        <w:pStyle w:val="BookText"/>
      </w:pPr>
      <w:r>
        <w:rPr>
          <w:rFonts w:ascii="IRNazanin" w:hAnsi="IRNazanin" w:eastAsia="IRNazanin" w:cs="IRNazanin"/>
          <w:lang w:bidi="fa-IR"/>
          <w:color w:val="111111"/>
          <w:sz w:val="28"/>
          <w:szCs w:val="28"/>
          <w:rtl/>
        </w:rPr>
        <w:t xml:space="preserve">الضابط بنظر المصنّف 271</w:t>
      </w:r>
    </w:p>
    <w:p>
      <w:pPr>
        <w:pStyle w:val="BookText"/>
      </w:pPr>
      <w:r>
        <w:rPr>
          <w:rFonts w:ascii="IRNazanin" w:hAnsi="IRNazanin" w:eastAsia="IRNazanin" w:cs="IRNazanin"/>
          <w:lang w:bidi="fa-IR"/>
          <w:color w:val="111111"/>
          <w:sz w:val="28"/>
          <w:szCs w:val="28"/>
          <w:rtl/>
        </w:rPr>
        <w:t xml:space="preserve">إذا شکّ فی کون الشبهة محصورة أو غیر محصورة 272</w:t>
      </w:r>
    </w:p>
    <w:p>
      <w:pPr>
        <w:pStyle w:val="BookText"/>
      </w:pPr>
      <w:r>
        <w:rPr>
          <w:rFonts w:ascii="IRNazanin" w:hAnsi="IRNazanin" w:eastAsia="IRNazanin" w:cs="IRNazanin"/>
          <w:lang w:bidi="fa-IR"/>
          <w:color w:val="111111"/>
          <w:sz w:val="28"/>
          <w:szCs w:val="28"/>
          <w:rtl/>
        </w:rPr>
        <w:t xml:space="preserve">الثالث:إذا کان المردّد بین الامور غیر المحصورة أفرادا کثیرة 274</w:t>
      </w:r>
    </w:p>
    <w:p>
      <w:pPr>
        <w:pStyle w:val="BookText"/>
      </w:pPr>
      <w:r>
        <w:rPr>
          <w:rFonts w:ascii="IRNazanin" w:hAnsi="IRNazanin" w:eastAsia="IRNazanin" w:cs="IRNazanin"/>
          <w:lang w:bidi="fa-IR"/>
          <w:color w:val="111111"/>
          <w:sz w:val="28"/>
          <w:szCs w:val="28"/>
          <w:rtl/>
        </w:rPr>
        <w:t xml:space="preserve">الرابع:أقسام الشکّ فی الحرام مع العلم بالحرمة 275</w:t>
      </w:r>
    </w:p>
    <w:p>
      <w:pPr>
        <w:pStyle w:val="BookText"/>
      </w:pPr>
      <w:r>
        <w:rPr>
          <w:rFonts w:ascii="IRNazanin" w:hAnsi="IRNazanin" w:eastAsia="IRNazanin" w:cs="IRNazanin"/>
          <w:lang w:bidi="fa-IR"/>
          <w:color w:val="111111"/>
          <w:sz w:val="28"/>
          <w:szCs w:val="28"/>
          <w:rtl/>
        </w:rPr>
        <w:t xml:space="preserve">المسائل الثلاث الأخر:اشتباه الحرام بغیر الواجب من جهة</w:t>
      </w:r>
    </w:p>
    <w:p>
      <w:pPr>
        <w:pStyle w:val="BookText"/>
      </w:pPr>
      <w:r>
        <w:rPr>
          <w:rFonts w:ascii="IRNazanin" w:hAnsi="IRNazanin" w:eastAsia="IRNazanin" w:cs="IRNazanin"/>
          <w:lang w:bidi="fa-IR"/>
          <w:color w:val="111111"/>
          <w:sz w:val="28"/>
          <w:szCs w:val="28"/>
          <w:rtl/>
        </w:rPr>
        <w:t xml:space="preserve">اشتباه الحکم 275</w:t>
      </w:r>
    </w:p>
    <w:p>
      <w:pPr>
        <w:pStyle w:val="BookText"/>
      </w:pPr>
      <w:r>
        <w:rPr>
          <w:rFonts w:ascii="IRNazanin" w:hAnsi="IRNazanin" w:eastAsia="IRNazanin" w:cs="IRNazanin"/>
          <w:lang w:bidi="fa-IR"/>
          <w:color w:val="111111"/>
          <w:sz w:val="28"/>
          <w:szCs w:val="28"/>
          <w:rtl/>
        </w:rPr>
        <w:t xml:space="preserve">المطلب الثانی:اشتباه الواجب بغیر الحرام،و هو علی قسمین:</w:t>
      </w:r>
    </w:p>
    <w:p>
      <w:pPr>
        <w:pStyle w:val="BookText"/>
      </w:pPr>
      <w:r>
        <w:rPr>
          <w:rFonts w:ascii="IRNazanin" w:hAnsi="IRNazanin" w:eastAsia="IRNazanin" w:cs="IRNazanin"/>
          <w:lang w:bidi="fa-IR"/>
          <w:color w:val="111111"/>
          <w:sz w:val="28"/>
          <w:szCs w:val="28"/>
          <w:rtl/>
        </w:rPr>
        <w:t xml:space="preserve">القسم الأوّل:دوران الأمر بین المتباینین،و فیه مسائل:</w:t>
      </w:r>
    </w:p>
    <w:p>
      <w:pPr>
        <w:pStyle w:val="BookText"/>
      </w:pPr>
      <w:r>
        <w:rPr>
          <w:rFonts w:ascii="IRNazanin" w:hAnsi="IRNazanin" w:eastAsia="IRNazanin" w:cs="IRNazanin"/>
          <w:lang w:bidi="fa-IR"/>
          <w:color w:val="111111"/>
          <w:sz w:val="28"/>
          <w:szCs w:val="28"/>
          <w:rtl/>
        </w:rPr>
        <w:t xml:space="preserve">المسألة الاولی:اشتباه الواجب بغیره من جهة فقدان النصّ 279</w:t>
      </w:r>
    </w:p>
    <w:p>
      <w:pPr>
        <w:pStyle w:val="BookText"/>
      </w:pPr>
      <w:r>
        <w:rPr>
          <w:rFonts w:ascii="IRNazanin" w:hAnsi="IRNazanin" w:eastAsia="IRNazanin" w:cs="IRNazanin"/>
          <w:lang w:bidi="fa-IR"/>
          <w:color w:val="111111"/>
          <w:sz w:val="28"/>
          <w:szCs w:val="28"/>
          <w:rtl/>
        </w:rPr>
        <w:t xml:space="preserve">الظاهر حرمة المخالفة القطعیّة و الدلیل علیه 279</w:t>
      </w:r>
    </w:p>
    <w:p>
      <w:pPr>
        <w:pStyle w:val="BookText"/>
      </w:pPr>
      <w:r>
        <w:rPr>
          <w:rFonts w:ascii="IRNazanin" w:hAnsi="IRNazanin" w:eastAsia="IRNazanin" w:cs="IRNazanin"/>
          <w:lang w:bidi="fa-IR"/>
          <w:color w:val="111111"/>
          <w:sz w:val="28"/>
          <w:szCs w:val="28"/>
          <w:rtl/>
        </w:rPr>
        <w:t xml:space="preserve">الأقوی وجوب الموافقة القطعیّة و الدلیل علیه 280</w:t>
      </w:r>
    </w:p>
    <w:p>
      <w:pPr>
        <w:pStyle w:val="BookText"/>
      </w:pPr>
      <w:r>
        <w:rPr>
          <w:rFonts w:ascii="IRNazanin" w:hAnsi="IRNazanin" w:eastAsia="IRNazanin" w:cs="IRNazanin"/>
          <w:lang w:bidi="fa-IR"/>
          <w:color w:val="111111"/>
          <w:sz w:val="28"/>
          <w:szCs w:val="28"/>
          <w:rtl/>
        </w:rPr>
        <w:t xml:space="preserve">عدم کون الجهل التفصیلی عذرا لا عقلا و لا نقلا 280</w:t>
      </w:r>
    </w:p>
    <w:p>
      <w:pPr>
        <w:pStyle w:val="BookText"/>
      </w:pPr>
      <w:r>
        <w:rPr>
          <w:rFonts w:ascii="IRNazanin" w:hAnsi="IRNazanin" w:eastAsia="IRNazanin" w:cs="IRNazanin"/>
          <w:lang w:bidi="fa-IR"/>
          <w:color w:val="111111"/>
          <w:sz w:val="28"/>
          <w:szCs w:val="28"/>
          <w:rtl/>
        </w:rPr>
        <w:t xml:space="preserve">دلالة بعض الأخبار علی وجوب الاحتیاط فی المسألة 281</w:t>
      </w:r>
    </w:p>
    <w:p>
      <w:pPr>
        <w:pStyle w:val="BookText"/>
      </w:pPr>
      <w:r>
        <w:rPr>
          <w:rFonts w:ascii="IRNazanin" w:hAnsi="IRNazanin" w:eastAsia="IRNazanin" w:cs="IRNazanin"/>
          <w:lang w:bidi="fa-IR"/>
          <w:color w:val="111111"/>
          <w:sz w:val="28"/>
          <w:szCs w:val="28"/>
          <w:rtl/>
        </w:rPr>
        <w:t xml:space="preserve">[شماره صفحه واقعی : 492]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العلم الإجمالی کالتفصیلی علّة تامّة لتنجّز التکلیف بالمعلوم 282</w:t>
      </w:r>
    </w:p>
    <w:p>
      <w:pPr>
        <w:pStyle w:val="BookText"/>
      </w:pPr>
      <w:r>
        <w:rPr>
          <w:rFonts w:ascii="IRNazanin" w:hAnsi="IRNazanin" w:eastAsia="IRNazanin" w:cs="IRNazanin"/>
          <w:lang w:bidi="fa-IR"/>
          <w:color w:val="111111"/>
          <w:sz w:val="28"/>
          <w:szCs w:val="28"/>
          <w:rtl/>
        </w:rPr>
        <w:t xml:space="preserve">عدم جواز التمسّک فی المسألة بأدلّة البراءة 283</w:t>
      </w:r>
    </w:p>
    <w:p>
      <w:pPr>
        <w:pStyle w:val="BookText"/>
      </w:pPr>
      <w:r>
        <w:rPr>
          <w:rFonts w:ascii="IRNazanin" w:hAnsi="IRNazanin" w:eastAsia="IRNazanin" w:cs="IRNazanin"/>
          <w:lang w:bidi="fa-IR"/>
          <w:color w:val="111111"/>
          <w:sz w:val="28"/>
          <w:szCs w:val="28"/>
          <w:rtl/>
        </w:rPr>
        <w:t xml:space="preserve">إذا سقط قصد التعیین فبأیّهما ینوی الوجوب و القربة؟289</w:t>
      </w:r>
    </w:p>
    <w:p>
      <w:pPr>
        <w:pStyle w:val="BookText"/>
      </w:pPr>
      <w:r>
        <w:rPr>
          <w:rFonts w:ascii="IRNazanin" w:hAnsi="IRNazanin" w:eastAsia="IRNazanin" w:cs="IRNazanin"/>
          <w:lang w:bidi="fa-IR"/>
          <w:color w:val="111111"/>
          <w:sz w:val="28"/>
          <w:szCs w:val="28"/>
          <w:rtl/>
        </w:rPr>
        <w:t xml:space="preserve">توهّم أنّ الجمع بین المحتملین مستلزم لإتیان غیر الواجب علی جهة العبادة،و دفعه 290</w:t>
      </w:r>
    </w:p>
    <w:p>
      <w:pPr>
        <w:pStyle w:val="BookText"/>
      </w:pPr>
      <w:r>
        <w:rPr>
          <w:rFonts w:ascii="IRNazanin" w:hAnsi="IRNazanin" w:eastAsia="IRNazanin" w:cs="IRNazanin"/>
          <w:lang w:bidi="fa-IR"/>
          <w:color w:val="111111"/>
          <w:sz w:val="28"/>
          <w:szCs w:val="28"/>
          <w:rtl/>
        </w:rPr>
        <w:t xml:space="preserve">معنی نیّة الفعل 291</w:t>
      </w:r>
    </w:p>
    <w:p>
      <w:pPr>
        <w:pStyle w:val="BookText"/>
      </w:pPr>
      <w:r>
        <w:rPr>
          <w:rFonts w:ascii="IRNazanin" w:hAnsi="IRNazanin" w:eastAsia="IRNazanin" w:cs="IRNazanin"/>
          <w:lang w:bidi="fa-IR"/>
          <w:color w:val="111111"/>
          <w:sz w:val="28"/>
          <w:szCs w:val="28"/>
          <w:rtl/>
        </w:rPr>
        <w:t xml:space="preserve">هل یمکن إثبات الوجوب الشرعی المصحّح لنیّة الوجه و القربة؟293</w:t>
      </w:r>
    </w:p>
    <w:p>
      <w:pPr>
        <w:pStyle w:val="BookText"/>
      </w:pPr>
      <w:r>
        <w:rPr>
          <w:rFonts w:ascii="IRNazanin" w:hAnsi="IRNazanin" w:eastAsia="IRNazanin" w:cs="IRNazanin"/>
          <w:lang w:bidi="fa-IR"/>
          <w:color w:val="111111"/>
          <w:sz w:val="28"/>
          <w:szCs w:val="28"/>
          <w:rtl/>
        </w:rPr>
        <w:t xml:space="preserve">المسألة الثانیة:اشتباه الواجب بغیره من جهة إجمال النصّ 294</w:t>
      </w:r>
    </w:p>
    <w:p>
      <w:pPr>
        <w:pStyle w:val="BookText"/>
      </w:pPr>
      <w:r>
        <w:rPr>
          <w:rFonts w:ascii="IRNazanin" w:hAnsi="IRNazanin" w:eastAsia="IRNazanin" w:cs="IRNazanin"/>
          <w:lang w:bidi="fa-IR"/>
          <w:color w:val="111111"/>
          <w:sz w:val="28"/>
          <w:szCs w:val="28"/>
          <w:rtl/>
        </w:rPr>
        <w:t xml:space="preserve">مختار المصنّف فی المسألة 294</w:t>
      </w:r>
    </w:p>
    <w:p>
      <w:pPr>
        <w:pStyle w:val="BookText"/>
      </w:pPr>
      <w:r>
        <w:rPr>
          <w:rFonts w:ascii="IRNazanin" w:hAnsi="IRNazanin" w:eastAsia="IRNazanin" w:cs="IRNazanin"/>
          <w:lang w:bidi="fa-IR"/>
          <w:color w:val="111111"/>
          <w:sz w:val="28"/>
          <w:szCs w:val="28"/>
          <w:rtl/>
        </w:rPr>
        <w:t xml:space="preserve">المسألة الثالثة:اشتباه الواجب بغیره من جهة تعارض النصّین 298</w:t>
      </w:r>
    </w:p>
    <w:p>
      <w:pPr>
        <w:pStyle w:val="BookText"/>
      </w:pPr>
      <w:r>
        <w:rPr>
          <w:rFonts w:ascii="IRNazanin" w:hAnsi="IRNazanin" w:eastAsia="IRNazanin" w:cs="IRNazanin"/>
          <w:lang w:bidi="fa-IR"/>
          <w:color w:val="111111"/>
          <w:sz w:val="28"/>
          <w:szCs w:val="28"/>
          <w:rtl/>
        </w:rPr>
        <w:t xml:space="preserve">المشهور التخییر 298</w:t>
      </w:r>
    </w:p>
    <w:p>
      <w:pPr>
        <w:pStyle w:val="BookText"/>
      </w:pPr>
      <w:r>
        <w:rPr>
          <w:rFonts w:ascii="IRNazanin" w:hAnsi="IRNazanin" w:eastAsia="IRNazanin" w:cs="IRNazanin"/>
          <w:lang w:bidi="fa-IR"/>
          <w:color w:val="111111"/>
          <w:sz w:val="28"/>
          <w:szCs w:val="28"/>
          <w:rtl/>
        </w:rPr>
        <w:t xml:space="preserve">المسألة الرابعة:اشتباه الواجب بغیره من جهة اشتباه الموضوع 299</w:t>
      </w:r>
    </w:p>
    <w:p>
      <w:pPr>
        <w:pStyle w:val="BookText"/>
      </w:pPr>
      <w:r>
        <w:rPr>
          <w:rFonts w:ascii="IRNazanin" w:hAnsi="IRNazanin" w:eastAsia="IRNazanin" w:cs="IRNazanin"/>
          <w:lang w:bidi="fa-IR"/>
          <w:color w:val="111111"/>
          <w:sz w:val="28"/>
          <w:szCs w:val="28"/>
          <w:rtl/>
        </w:rPr>
        <w:t xml:space="preserve">الأقوی وجوب الاحتیاط 299</w:t>
      </w:r>
    </w:p>
    <w:p>
      <w:pPr>
        <w:pStyle w:val="BookText"/>
      </w:pPr>
      <w:r>
        <w:rPr>
          <w:rFonts w:ascii="IRNazanin" w:hAnsi="IRNazanin" w:eastAsia="IRNazanin" w:cs="IRNazanin"/>
          <w:lang w:bidi="fa-IR"/>
          <w:color w:val="111111"/>
          <w:sz w:val="28"/>
          <w:szCs w:val="28"/>
          <w:rtl/>
        </w:rPr>
        <w:t xml:space="preserve">التنبیه علی امور:</w:t>
      </w:r>
    </w:p>
    <w:p>
      <w:pPr>
        <w:pStyle w:val="BookText"/>
      </w:pPr>
      <w:r>
        <w:rPr>
          <w:rFonts w:ascii="IRNazanin" w:hAnsi="IRNazanin" w:eastAsia="IRNazanin" w:cs="IRNazanin"/>
          <w:lang w:bidi="fa-IR"/>
          <w:color w:val="111111"/>
          <w:sz w:val="28"/>
          <w:szCs w:val="28"/>
          <w:rtl/>
        </w:rPr>
        <w:t xml:space="preserve">الأوّل:لو کان الاشتباه الموضوعی فی شرط من شروط الواجب 301</w:t>
      </w:r>
    </w:p>
    <w:p>
      <w:pPr>
        <w:pStyle w:val="BookText"/>
      </w:pPr>
      <w:r>
        <w:rPr>
          <w:rFonts w:ascii="IRNazanin" w:hAnsi="IRNazanin" w:eastAsia="IRNazanin" w:cs="IRNazanin"/>
          <w:lang w:bidi="fa-IR"/>
          <w:color w:val="111111"/>
          <w:sz w:val="28"/>
          <w:szCs w:val="28"/>
          <w:rtl/>
        </w:rPr>
        <w:t xml:space="preserve">دعوی سقوط الشرط المجهول لوجهین 301</w:t>
      </w:r>
    </w:p>
    <w:p>
      <w:pPr>
        <w:pStyle w:val="BookText"/>
      </w:pPr>
      <w:r>
        <w:rPr>
          <w:rFonts w:ascii="IRNazanin" w:hAnsi="IRNazanin" w:eastAsia="IRNazanin" w:cs="IRNazanin"/>
          <w:lang w:bidi="fa-IR"/>
          <w:color w:val="111111"/>
          <w:sz w:val="28"/>
          <w:szCs w:val="28"/>
          <w:rtl/>
        </w:rPr>
        <w:t xml:space="preserve">المناقشة فی الوجهین 302</w:t>
      </w:r>
    </w:p>
    <w:p>
      <w:pPr>
        <w:pStyle w:val="BookText"/>
      </w:pPr>
      <w:r>
        <w:rPr>
          <w:rFonts w:ascii="IRNazanin" w:hAnsi="IRNazanin" w:eastAsia="IRNazanin" w:cs="IRNazanin"/>
          <w:lang w:bidi="fa-IR"/>
          <w:color w:val="111111"/>
          <w:sz w:val="28"/>
          <w:szCs w:val="28"/>
          <w:rtl/>
        </w:rPr>
        <w:t xml:space="preserve">الثانی:کیفیّة النیّة فی الصلوات المتعدّدة فی مسألة اشتباه</w:t>
      </w:r>
    </w:p>
    <w:p>
      <w:pPr>
        <w:pStyle w:val="BookText"/>
      </w:pPr>
      <w:r>
        <w:rPr>
          <w:rFonts w:ascii="Amiri" w:hAnsi="Amiri" w:eastAsia="Amiri" w:cs="Amiri"/>
          <w:lang w:bidi="ar-SA"/>
          <w:color w:val="111111"/>
          <w:sz w:val="28"/>
          <w:szCs w:val="28"/>
          <w:rtl/>
        </w:rPr>
        <w:t xml:space="preserve">القبلة و نحوها 303</w:t>
      </w:r>
    </w:p>
    <w:p>
      <w:pPr>
        <w:pStyle w:val="BookText"/>
      </w:pPr>
      <w:r>
        <w:rPr>
          <w:rFonts w:ascii="IRNazanin" w:hAnsi="IRNazanin" w:eastAsia="IRNazanin" w:cs="IRNazanin"/>
          <w:lang w:bidi="fa-IR"/>
          <w:color w:val="111111"/>
          <w:sz w:val="28"/>
          <w:szCs w:val="28"/>
          <w:rtl/>
        </w:rPr>
        <w:t xml:space="preserve">الثالث:وجوب کلّ من المحتملات عقلیّ لا شرعی 305</w:t>
      </w:r>
    </w:p>
    <w:p>
      <w:pPr>
        <w:pStyle w:val="BookText"/>
      </w:pPr>
      <w:r>
        <w:rPr>
          <w:rFonts w:ascii="IRNazanin" w:hAnsi="IRNazanin" w:eastAsia="IRNazanin" w:cs="IRNazanin"/>
          <w:lang w:bidi="fa-IR"/>
          <w:color w:val="111111"/>
          <w:sz w:val="28"/>
          <w:szCs w:val="28"/>
          <w:rtl/>
        </w:rPr>
        <w:t xml:space="preserve">الرابع:لو انکشفت مطابقة المأتیّ به للواقع قبل فعل الباقی 307</w:t>
      </w:r>
    </w:p>
    <w:p>
      <w:pPr>
        <w:pStyle w:val="BookText"/>
      </w:pPr>
      <w:r>
        <w:rPr>
          <w:rFonts w:ascii="IRNazanin" w:hAnsi="IRNazanin" w:eastAsia="IRNazanin" w:cs="IRNazanin"/>
          <w:lang w:bidi="fa-IR"/>
          <w:color w:val="111111"/>
          <w:sz w:val="28"/>
          <w:szCs w:val="28"/>
          <w:rtl/>
        </w:rPr>
        <w:t xml:space="preserve">الخامس:لو کانت محتملات الواجب غیر محصورة 308</w:t>
      </w:r>
    </w:p>
    <w:p>
      <w:pPr>
        <w:pStyle w:val="BookText"/>
      </w:pPr>
      <w:r>
        <w:rPr>
          <w:rFonts w:ascii="IRNazanin" w:hAnsi="IRNazanin" w:eastAsia="IRNazanin" w:cs="IRNazanin"/>
          <w:lang w:bidi="fa-IR"/>
          <w:color w:val="111111"/>
          <w:sz w:val="28"/>
          <w:szCs w:val="28"/>
          <w:rtl/>
        </w:rPr>
        <w:t xml:space="preserve">[شماره صفحه واقعی : 493]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السادس:هل یشترط فی الامتثال الإجمالی عدم التمکّن من الامتثال التفصیلی؟310</w:t>
      </w:r>
    </w:p>
    <w:p>
      <w:pPr>
        <w:pStyle w:val="BookText"/>
      </w:pPr>
      <w:r>
        <w:rPr>
          <w:rFonts w:ascii="IRNazanin" w:hAnsi="IRNazanin" w:eastAsia="IRNazanin" w:cs="IRNazanin"/>
          <w:lang w:bidi="fa-IR"/>
          <w:color w:val="111111"/>
          <w:sz w:val="28"/>
          <w:szCs w:val="28"/>
          <w:rtl/>
        </w:rPr>
        <w:t xml:space="preserve">لو قدر علی العلم التفصیلی من بعض الجهات و عجز عنه من جهة اخری 311</w:t>
      </w:r>
    </w:p>
    <w:p>
      <w:pPr>
        <w:pStyle w:val="BookText"/>
      </w:pPr>
      <w:r>
        <w:rPr>
          <w:rFonts w:ascii="IRNazanin" w:hAnsi="IRNazanin" w:eastAsia="IRNazanin" w:cs="IRNazanin"/>
          <w:lang w:bidi="fa-IR"/>
          <w:color w:val="111111"/>
          <w:sz w:val="28"/>
          <w:szCs w:val="28"/>
          <w:rtl/>
        </w:rPr>
        <w:t xml:space="preserve">السابع:لو کان الواجب المشتبه أمرین مترتّبین شرعا 312</w:t>
      </w:r>
    </w:p>
    <w:p>
      <w:pPr>
        <w:pStyle w:val="BookText"/>
      </w:pPr>
      <w:r>
        <w:rPr>
          <w:rFonts w:ascii="IRNazanin" w:hAnsi="IRNazanin" w:eastAsia="IRNazanin" w:cs="IRNazanin"/>
          <w:lang w:bidi="fa-IR"/>
          <w:color w:val="111111"/>
          <w:sz w:val="28"/>
          <w:szCs w:val="28"/>
          <w:rtl/>
        </w:rPr>
        <w:t xml:space="preserve">قولان فی المسألة 313</w:t>
      </w:r>
    </w:p>
    <w:p>
      <w:pPr>
        <w:pStyle w:val="BookText"/>
      </w:pPr>
      <w:r>
        <w:rPr>
          <w:rFonts w:ascii="IRNazanin" w:hAnsi="IRNazanin" w:eastAsia="IRNazanin" w:cs="IRNazanin"/>
          <w:lang w:bidi="fa-IR"/>
          <w:color w:val="111111"/>
          <w:sz w:val="28"/>
          <w:szCs w:val="28"/>
          <w:rtl/>
        </w:rPr>
        <w:t xml:space="preserve">إذا تحقّق الأمر بأحدهما فی الوقت المختصّ 314</w:t>
      </w:r>
    </w:p>
    <w:p>
      <w:pPr>
        <w:pStyle w:val="BookText"/>
      </w:pPr>
      <w:r>
        <w:rPr>
          <w:rFonts w:ascii="IRNazanin" w:hAnsi="IRNazanin" w:eastAsia="IRNazanin" w:cs="IRNazanin"/>
          <w:lang w:bidi="fa-IR"/>
          <w:color w:val="111111"/>
          <w:sz w:val="28"/>
          <w:szCs w:val="28"/>
          <w:rtl/>
        </w:rPr>
        <w:t xml:space="preserve">القسم الثانی:دوران الأمر بین الأقلّ و الأکثر،و هو علی قسمین:</w:t>
      </w:r>
    </w:p>
    <w:p>
      <w:pPr>
        <w:pStyle w:val="BookText"/>
      </w:pPr>
      <w:r>
        <w:rPr>
          <w:rFonts w:ascii="IRNazanin" w:hAnsi="IRNazanin" w:eastAsia="IRNazanin" w:cs="IRNazanin"/>
          <w:lang w:bidi="fa-IR"/>
          <w:color w:val="111111"/>
          <w:sz w:val="28"/>
          <w:szCs w:val="28"/>
          <w:rtl/>
        </w:rPr>
        <w:t xml:space="preserve">القسم الأوّل:الشکّ فی الجزء الخارجی،و فیه مسائل:</w:t>
      </w:r>
    </w:p>
    <w:p>
      <w:pPr>
        <w:pStyle w:val="BookText"/>
      </w:pPr>
      <w:r>
        <w:rPr>
          <w:rFonts w:ascii="IRNazanin" w:hAnsi="IRNazanin" w:eastAsia="IRNazanin" w:cs="IRNazanin"/>
          <w:lang w:bidi="fa-IR"/>
          <w:color w:val="111111"/>
          <w:sz w:val="28"/>
          <w:szCs w:val="28"/>
          <w:rtl/>
        </w:rPr>
        <w:t xml:space="preserve">المسألة الاولی:الشکّ فی الجزئیّة من جهة فقدان النصّ 316</w:t>
      </w:r>
    </w:p>
    <w:p>
      <w:pPr>
        <w:pStyle w:val="BookText"/>
      </w:pPr>
      <w:r>
        <w:rPr>
          <w:rFonts w:ascii="IRNazanin" w:hAnsi="IRNazanin" w:eastAsia="IRNazanin" w:cs="IRNazanin"/>
          <w:lang w:bidi="fa-IR"/>
          <w:color w:val="111111"/>
          <w:sz w:val="28"/>
          <w:szCs w:val="28"/>
          <w:rtl/>
        </w:rPr>
        <w:t xml:space="preserve">المشهور إجراء أصالة البراءة فی المسألة 317</w:t>
      </w:r>
    </w:p>
    <w:p>
      <w:pPr>
        <w:pStyle w:val="BookText"/>
      </w:pPr>
      <w:r>
        <w:rPr>
          <w:rFonts w:ascii="IRNazanin" w:hAnsi="IRNazanin" w:eastAsia="IRNazanin" w:cs="IRNazanin"/>
          <w:lang w:bidi="fa-IR"/>
          <w:color w:val="111111"/>
          <w:sz w:val="28"/>
          <w:szCs w:val="28"/>
          <w:rtl/>
        </w:rPr>
        <w:t xml:space="preserve">الاستدلال علیه من العقل 318</w:t>
      </w:r>
    </w:p>
    <w:p>
      <w:pPr>
        <w:pStyle w:val="BookText"/>
      </w:pPr>
      <w:r>
        <w:rPr>
          <w:rFonts w:ascii="IRNazanin" w:hAnsi="IRNazanin" w:eastAsia="IRNazanin" w:cs="IRNazanin"/>
          <w:lang w:bidi="fa-IR"/>
          <w:color w:val="111111"/>
          <w:sz w:val="28"/>
          <w:szCs w:val="28"/>
          <w:rtl/>
        </w:rPr>
        <w:t xml:space="preserve">قبح المؤاخذة إذا عجز العبد عن تحصیل العلم بجزء 319</w:t>
      </w:r>
    </w:p>
    <w:p>
      <w:pPr>
        <w:pStyle w:val="BookText"/>
      </w:pPr>
      <w:r>
        <w:rPr>
          <w:rFonts w:ascii="IRNazanin" w:hAnsi="IRNazanin" w:eastAsia="IRNazanin" w:cs="IRNazanin"/>
          <w:lang w:bidi="fa-IR"/>
          <w:color w:val="111111"/>
          <w:sz w:val="28"/>
          <w:szCs w:val="28"/>
          <w:rtl/>
        </w:rPr>
        <w:t xml:space="preserve">عدم ابتناء مسألة البراءة و الاحتیاط علی مسألة اللطف 319</w:t>
      </w:r>
    </w:p>
    <w:p>
      <w:pPr>
        <w:pStyle w:val="BookText"/>
      </w:pPr>
      <w:r>
        <w:rPr>
          <w:rFonts w:ascii="IRNazanin" w:hAnsi="IRNazanin" w:eastAsia="IRNazanin" w:cs="IRNazanin"/>
          <w:lang w:bidi="fa-IR"/>
          <w:color w:val="111111"/>
          <w:sz w:val="28"/>
          <w:szCs w:val="28"/>
          <w:rtl/>
        </w:rPr>
        <w:t xml:space="preserve">اللطف إنّما هو فی الإتیان علی وجه الامتثال 320</w:t>
      </w:r>
    </w:p>
    <w:p>
      <w:pPr>
        <w:pStyle w:val="BookText"/>
      </w:pPr>
      <w:r>
        <w:rPr>
          <w:rFonts w:ascii="IRNazanin" w:hAnsi="IRNazanin" w:eastAsia="IRNazanin" w:cs="IRNazanin"/>
          <w:lang w:bidi="fa-IR"/>
          <w:color w:val="111111"/>
          <w:sz w:val="28"/>
          <w:szCs w:val="28"/>
          <w:rtl/>
        </w:rPr>
        <w:t xml:space="preserve">الجهل مانع عقلی عن توجّه التکلیف بالجزء المشکوک 321</w:t>
      </w:r>
    </w:p>
    <w:p>
      <w:pPr>
        <w:pStyle w:val="BookText"/>
      </w:pPr>
      <w:r>
        <w:rPr>
          <w:rFonts w:ascii="IRNazanin" w:hAnsi="IRNazanin" w:eastAsia="IRNazanin" w:cs="IRNazanin"/>
          <w:lang w:bidi="fa-IR"/>
          <w:color w:val="111111"/>
          <w:sz w:val="28"/>
          <w:szCs w:val="28"/>
          <w:rtl/>
        </w:rPr>
        <w:t xml:space="preserve">عدم جریان الدلیل العقلی المتقدّم فی المتباینین فیما نحن فیه 322</w:t>
      </w:r>
    </w:p>
    <w:p>
      <w:pPr>
        <w:pStyle w:val="BookText"/>
      </w:pPr>
      <w:r>
        <w:rPr>
          <w:rFonts w:ascii="IRNazanin" w:hAnsi="IRNazanin" w:eastAsia="IRNazanin" w:cs="IRNazanin"/>
          <w:lang w:bidi="fa-IR"/>
          <w:color w:val="111111"/>
          <w:sz w:val="28"/>
          <w:szCs w:val="28"/>
          <w:rtl/>
        </w:rPr>
        <w:t xml:space="preserve">عدم معذوریّة الجاهل المقصّر 322</w:t>
      </w:r>
    </w:p>
    <w:p>
      <w:pPr>
        <w:pStyle w:val="BookText"/>
      </w:pPr>
      <w:r>
        <w:rPr>
          <w:rFonts w:ascii="IRNazanin" w:hAnsi="IRNazanin" w:eastAsia="IRNazanin" w:cs="IRNazanin"/>
          <w:lang w:bidi="fa-IR"/>
          <w:color w:val="111111"/>
          <w:sz w:val="28"/>
          <w:szCs w:val="28"/>
          <w:rtl/>
        </w:rPr>
        <w:t xml:space="preserve">العلم الإجمالی فیما نحن فیه غیر مؤثّر فی وجوب الاحتیاط 322</w:t>
      </w:r>
    </w:p>
    <w:p>
      <w:pPr>
        <w:pStyle w:val="BookText"/>
      </w:pPr>
      <w:r>
        <w:rPr>
          <w:rFonts w:ascii="IRNazanin" w:hAnsi="IRNazanin" w:eastAsia="IRNazanin" w:cs="IRNazanin"/>
          <w:lang w:bidi="fa-IR"/>
          <w:color w:val="111111"/>
          <w:sz w:val="28"/>
          <w:szCs w:val="28"/>
          <w:rtl/>
        </w:rPr>
        <w:t xml:space="preserve">التمسّک بأصالة عدم وجوب الأکثر فی المسألة 323</w:t>
      </w:r>
    </w:p>
    <w:p>
      <w:pPr>
        <w:pStyle w:val="BookText"/>
      </w:pPr>
      <w:r>
        <w:rPr>
          <w:rFonts w:ascii="IRNazanin" w:hAnsi="IRNazanin" w:eastAsia="IRNazanin" w:cs="IRNazanin"/>
          <w:lang w:bidi="fa-IR"/>
          <w:color w:val="111111"/>
          <w:sz w:val="28"/>
          <w:szCs w:val="28"/>
          <w:rtl/>
        </w:rPr>
        <w:t xml:space="preserve">المناقشة فی هذا الأصل 324</w:t>
      </w:r>
    </w:p>
    <w:p>
      <w:pPr>
        <w:pStyle w:val="BookText"/>
      </w:pPr>
      <w:r>
        <w:rPr>
          <w:rFonts w:ascii="IRNazanin" w:hAnsi="IRNazanin" w:eastAsia="IRNazanin" w:cs="IRNazanin"/>
          <w:lang w:bidi="fa-IR"/>
          <w:color w:val="111111"/>
          <w:sz w:val="28"/>
          <w:szCs w:val="28"/>
          <w:rtl/>
        </w:rPr>
        <w:t xml:space="preserve">سائر ما یتمسّک به لوجوب الاحتیاط فی المسألة،و المناقشة فیها 325</w:t>
      </w:r>
    </w:p>
    <w:p>
      <w:pPr>
        <w:pStyle w:val="BookText"/>
      </w:pPr>
      <w:r>
        <w:rPr>
          <w:rFonts w:ascii="IRNazanin" w:hAnsi="IRNazanin" w:eastAsia="IRNazanin" w:cs="IRNazanin"/>
          <w:lang w:bidi="fa-IR"/>
          <w:color w:val="111111"/>
          <w:sz w:val="28"/>
          <w:szCs w:val="28"/>
          <w:rtl/>
        </w:rPr>
        <w:t xml:space="preserve">[شماره صفحه واقعی : 494]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کیف تقصد القربة بإتیان الأقلّ؟327</w:t>
      </w:r>
    </w:p>
    <w:p>
      <w:pPr>
        <w:pStyle w:val="BookText"/>
      </w:pPr>
      <w:r>
        <w:rPr>
          <w:rFonts w:ascii="IRNazanin" w:hAnsi="IRNazanin" w:eastAsia="IRNazanin" w:cs="IRNazanin"/>
          <w:lang w:bidi="fa-IR"/>
          <w:color w:val="111111"/>
          <w:sz w:val="28"/>
          <w:szCs w:val="28"/>
          <w:rtl/>
        </w:rPr>
        <w:t xml:space="preserve">الاستدلال بالأخبار علی البراءة فی المسألة:328</w:t>
      </w:r>
    </w:p>
    <w:p>
      <w:pPr>
        <w:pStyle w:val="BookText"/>
      </w:pPr>
      <w:r>
        <w:rPr>
          <w:rFonts w:ascii="IRNazanin" w:hAnsi="IRNazanin" w:eastAsia="IRNazanin" w:cs="IRNazanin"/>
          <w:lang w:bidi="fa-IR"/>
          <w:color w:val="111111"/>
          <w:sz w:val="28"/>
          <w:szCs w:val="28"/>
          <w:rtl/>
        </w:rPr>
        <w:t xml:space="preserve">1-حدیث الحجب 328</w:t>
      </w:r>
    </w:p>
    <w:p>
      <w:pPr>
        <w:pStyle w:val="BookText"/>
      </w:pPr>
      <w:r>
        <w:rPr>
          <w:rFonts w:ascii="IRNazanin" w:hAnsi="IRNazanin" w:eastAsia="IRNazanin" w:cs="IRNazanin"/>
          <w:lang w:bidi="fa-IR"/>
          <w:color w:val="111111"/>
          <w:sz w:val="28"/>
          <w:szCs w:val="28"/>
          <w:rtl/>
        </w:rPr>
        <w:t xml:space="preserve">2-حدیث الرفع 328</w:t>
      </w:r>
    </w:p>
    <w:p>
      <w:pPr>
        <w:pStyle w:val="BookText"/>
      </w:pPr>
      <w:r>
        <w:rPr>
          <w:rFonts w:ascii="IRNazanin" w:hAnsi="IRNazanin" w:eastAsia="IRNazanin" w:cs="IRNazanin"/>
          <w:lang w:bidi="fa-IR"/>
          <w:color w:val="111111"/>
          <w:sz w:val="28"/>
          <w:szCs w:val="28"/>
          <w:rtl/>
        </w:rPr>
        <w:t xml:space="preserve">عدم الفرق فی أخبار البراءة بین الشکّ فی الوجوب النفسی</w:t>
      </w:r>
    </w:p>
    <w:p>
      <w:pPr>
        <w:pStyle w:val="BookText"/>
      </w:pPr>
      <w:r>
        <w:rPr>
          <w:rFonts w:ascii="IRNazanin" w:hAnsi="IRNazanin" w:eastAsia="IRNazanin" w:cs="IRNazanin"/>
          <w:lang w:bidi="fa-IR"/>
          <w:color w:val="111111"/>
          <w:sz w:val="28"/>
          <w:szCs w:val="28"/>
          <w:rtl/>
        </w:rPr>
        <w:t xml:space="preserve">أو فی الوجوب الغیری 329</w:t>
      </w:r>
    </w:p>
    <w:p>
      <w:pPr>
        <w:pStyle w:val="BookText"/>
      </w:pPr>
      <w:r>
        <w:rPr>
          <w:rFonts w:ascii="IRNazanin" w:hAnsi="IRNazanin" w:eastAsia="IRNazanin" w:cs="IRNazanin"/>
          <w:lang w:bidi="fa-IR"/>
          <w:color w:val="111111"/>
          <w:sz w:val="28"/>
          <w:szCs w:val="28"/>
          <w:rtl/>
        </w:rPr>
        <w:t xml:space="preserve">حکومة أخبار البراءة علی الدلیل العقلیّ المتقدّم لوجوب الاحتیاط 330</w:t>
      </w:r>
    </w:p>
    <w:p>
      <w:pPr>
        <w:pStyle w:val="BookText"/>
      </w:pPr>
      <w:r>
        <w:rPr>
          <w:rFonts w:ascii="IRNazanin" w:hAnsi="IRNazanin" w:eastAsia="IRNazanin" w:cs="IRNazanin"/>
          <w:lang w:bidi="fa-IR"/>
          <w:color w:val="111111"/>
          <w:sz w:val="28"/>
          <w:szCs w:val="28"/>
          <w:rtl/>
        </w:rPr>
        <w:t xml:space="preserve">کلام صاحب الفصول فی حکومة أدلّة الاحتیاط علی أخبار</w:t>
      </w:r>
    </w:p>
    <w:p>
      <w:pPr>
        <w:pStyle w:val="BookText"/>
      </w:pPr>
      <w:r>
        <w:rPr>
          <w:rFonts w:ascii="IRNazanin" w:hAnsi="IRNazanin" w:eastAsia="IRNazanin" w:cs="IRNazanin"/>
          <w:lang w:bidi="fa-IR"/>
          <w:color w:val="111111"/>
          <w:sz w:val="28"/>
          <w:szCs w:val="28"/>
          <w:rtl/>
        </w:rPr>
        <w:t xml:space="preserve">البراءة فی المسألة 330</w:t>
      </w:r>
    </w:p>
    <w:p>
      <w:pPr>
        <w:pStyle w:val="BookText"/>
      </w:pPr>
      <w:r>
        <w:rPr>
          <w:rFonts w:ascii="IRNazanin" w:hAnsi="IRNazanin" w:eastAsia="IRNazanin" w:cs="IRNazanin"/>
          <w:lang w:bidi="fa-IR"/>
          <w:color w:val="111111"/>
          <w:sz w:val="28"/>
          <w:szCs w:val="28"/>
          <w:rtl/>
        </w:rPr>
        <w:t xml:space="preserve">المناقشة فیما أفاده صاحب الفصول 331</w:t>
      </w:r>
    </w:p>
    <w:p>
      <w:pPr>
        <w:pStyle w:val="BookText"/>
      </w:pPr>
      <w:r>
        <w:rPr>
          <w:rFonts w:ascii="IRNazanin" w:hAnsi="IRNazanin" w:eastAsia="IRNazanin" w:cs="IRNazanin"/>
          <w:lang w:bidi="fa-IR"/>
          <w:color w:val="111111"/>
          <w:sz w:val="28"/>
          <w:szCs w:val="28"/>
          <w:rtl/>
        </w:rPr>
        <w:t xml:space="preserve">حکومة أخبار البراءة علی استصحاب الاشتغال أیضا 332</w:t>
      </w:r>
    </w:p>
    <w:p>
      <w:pPr>
        <w:pStyle w:val="BookText"/>
      </w:pPr>
      <w:r>
        <w:rPr>
          <w:rFonts w:ascii="IRNazanin" w:hAnsi="IRNazanin" w:eastAsia="IRNazanin" w:cs="IRNazanin"/>
          <w:lang w:bidi="fa-IR"/>
          <w:color w:val="111111"/>
          <w:sz w:val="28"/>
          <w:szCs w:val="28"/>
          <w:rtl/>
        </w:rPr>
        <w:t xml:space="preserve">استدلال صاحب الفصول بأخبار البراءة علی نفی الحکم الوضعی 332</w:t>
      </w:r>
    </w:p>
    <w:p>
      <w:pPr>
        <w:pStyle w:val="BookText"/>
      </w:pPr>
      <w:r>
        <w:rPr>
          <w:rFonts w:ascii="IRNazanin" w:hAnsi="IRNazanin" w:eastAsia="IRNazanin" w:cs="IRNazanin"/>
          <w:lang w:bidi="fa-IR"/>
          <w:color w:val="111111"/>
          <w:sz w:val="28"/>
          <w:szCs w:val="28"/>
          <w:rtl/>
        </w:rPr>
        <w:t xml:space="preserve">المناقشة فیما أفاده صاحب الفصول 333</w:t>
      </w:r>
    </w:p>
    <w:p>
      <w:pPr>
        <w:pStyle w:val="BookText"/>
      </w:pPr>
      <w:r>
        <w:rPr>
          <w:rFonts w:ascii="IRNazanin" w:hAnsi="IRNazanin" w:eastAsia="IRNazanin" w:cs="IRNazanin"/>
          <w:lang w:bidi="fa-IR"/>
          <w:color w:val="111111"/>
          <w:sz w:val="28"/>
          <w:szCs w:val="28"/>
          <w:rtl/>
        </w:rPr>
        <w:t xml:space="preserve">اصول أخر قد یتمسّک بها علی البراءة فی المسألة:336</w:t>
      </w:r>
    </w:p>
    <w:p>
      <w:pPr>
        <w:pStyle w:val="BookText"/>
      </w:pPr>
      <w:r>
        <w:rPr>
          <w:rFonts w:ascii="IRNazanin" w:hAnsi="IRNazanin" w:eastAsia="IRNazanin" w:cs="IRNazanin"/>
          <w:lang w:bidi="fa-IR"/>
          <w:color w:val="111111"/>
          <w:sz w:val="28"/>
          <w:szCs w:val="28"/>
          <w:rtl/>
        </w:rPr>
        <w:t xml:space="preserve">1-أصالة عدم وجوب الأکثر و المناقشة فیها 336</w:t>
      </w:r>
    </w:p>
    <w:p>
      <w:pPr>
        <w:pStyle w:val="BookText"/>
      </w:pPr>
      <w:r>
        <w:rPr>
          <w:rFonts w:ascii="IRNazanin" w:hAnsi="IRNazanin" w:eastAsia="IRNazanin" w:cs="IRNazanin"/>
          <w:lang w:bidi="fa-IR"/>
          <w:color w:val="111111"/>
          <w:sz w:val="28"/>
          <w:szCs w:val="28"/>
          <w:rtl/>
        </w:rPr>
        <w:t xml:space="preserve">2-أصالة عدم وجوب الشیء المشکوک فی جزئیّته و المناقشة فیها 336</w:t>
      </w:r>
    </w:p>
    <w:p>
      <w:pPr>
        <w:pStyle w:val="BookText"/>
      </w:pPr>
      <w:r>
        <w:rPr>
          <w:rFonts w:ascii="IRNazanin" w:hAnsi="IRNazanin" w:eastAsia="IRNazanin" w:cs="IRNazanin"/>
          <w:lang w:bidi="fa-IR"/>
          <w:color w:val="111111"/>
          <w:sz w:val="28"/>
          <w:szCs w:val="28"/>
          <w:rtl/>
        </w:rPr>
        <w:t xml:space="preserve">3-أصالة عدم جزئیّة الشیء المشکوک و المناقشة فیها 336</w:t>
      </w:r>
    </w:p>
    <w:p>
      <w:pPr>
        <w:pStyle w:val="BookText"/>
      </w:pPr>
      <w:r>
        <w:rPr>
          <w:rFonts w:ascii="IRNazanin" w:hAnsi="IRNazanin" w:eastAsia="IRNazanin" w:cs="IRNazanin"/>
          <w:lang w:bidi="fa-IR"/>
          <w:color w:val="111111"/>
          <w:sz w:val="28"/>
          <w:szCs w:val="28"/>
          <w:rtl/>
        </w:rPr>
        <w:t xml:space="preserve">المسألة الثانیة:الشکّ فی الجزئیّة من جهة إجمال النصّ 339</w:t>
      </w:r>
    </w:p>
    <w:p>
      <w:pPr>
        <w:pStyle w:val="BookText"/>
      </w:pPr>
      <w:r>
        <w:rPr>
          <w:rFonts w:ascii="IRNazanin" w:hAnsi="IRNazanin" w:eastAsia="IRNazanin" w:cs="IRNazanin"/>
          <w:lang w:bidi="fa-IR"/>
          <w:color w:val="111111"/>
          <w:sz w:val="28"/>
          <w:szCs w:val="28"/>
          <w:rtl/>
        </w:rPr>
        <w:t xml:space="preserve">الإجمال قد یکون فی المعنی العرفی و قد یکون فی المعنی الشرعی 339</w:t>
      </w:r>
    </w:p>
    <w:p>
      <w:pPr>
        <w:pStyle w:val="BookText"/>
      </w:pPr>
      <w:r>
        <w:rPr>
          <w:rFonts w:ascii="IRNazanin" w:hAnsi="IRNazanin" w:eastAsia="IRNazanin" w:cs="IRNazanin"/>
          <w:lang w:bidi="fa-IR"/>
          <w:color w:val="111111"/>
          <w:sz w:val="28"/>
          <w:szCs w:val="28"/>
          <w:rtl/>
        </w:rPr>
        <w:t xml:space="preserve">الأقوی جریان أصالة البراءة أیضا 339</w:t>
      </w:r>
    </w:p>
    <w:p>
      <w:pPr>
        <w:pStyle w:val="BookText"/>
      </w:pPr>
      <w:r>
        <w:rPr>
          <w:rFonts w:ascii="IRNazanin" w:hAnsi="IRNazanin" w:eastAsia="IRNazanin" w:cs="IRNazanin"/>
          <w:lang w:bidi="fa-IR"/>
          <w:color w:val="111111"/>
          <w:sz w:val="28"/>
          <w:szCs w:val="28"/>
          <w:rtl/>
        </w:rPr>
        <w:t xml:space="preserve">تخیّل جریان قاعدة الاشتغال فی المسألة،و دفعه 340</w:t>
      </w:r>
    </w:p>
    <w:p>
      <w:pPr>
        <w:pStyle w:val="BookText"/>
      </w:pPr>
      <w:r>
        <w:rPr>
          <w:rFonts w:ascii="IRNazanin" w:hAnsi="IRNazanin" w:eastAsia="IRNazanin" w:cs="IRNazanin"/>
          <w:lang w:bidi="fa-IR"/>
          <w:color w:val="111111"/>
          <w:sz w:val="28"/>
          <w:szCs w:val="28"/>
          <w:rtl/>
        </w:rPr>
        <w:t xml:space="preserve">عدم تعلّق التکلیف بمفهوم المراد من اللفظ بل بمصداقه 341</w:t>
      </w:r>
    </w:p>
    <w:p>
      <w:pPr>
        <w:pStyle w:val="BookText"/>
      </w:pPr>
      <w:r>
        <w:rPr>
          <w:rFonts w:ascii="IRNazanin" w:hAnsi="IRNazanin" w:eastAsia="IRNazanin" w:cs="IRNazanin"/>
          <w:lang w:bidi="fa-IR"/>
          <w:color w:val="111111"/>
          <w:sz w:val="28"/>
          <w:szCs w:val="28"/>
          <w:rtl/>
        </w:rPr>
        <w:t xml:space="preserve">ما ذکره بعض من الثمرة بین الصحیحی و الأعمّی 341</w:t>
      </w:r>
    </w:p>
    <w:p>
      <w:pPr>
        <w:pStyle w:val="BookText"/>
      </w:pPr>
      <w:r>
        <w:rPr>
          <w:rFonts w:ascii="IRNazanin" w:hAnsi="IRNazanin" w:eastAsia="IRNazanin" w:cs="IRNazanin"/>
          <w:lang w:bidi="fa-IR"/>
          <w:color w:val="111111"/>
          <w:sz w:val="28"/>
          <w:szCs w:val="28"/>
          <w:rtl/>
        </w:rPr>
        <w:t xml:space="preserve">[شماره صفحه واقعی : 495]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عدم کون الثمرة وجوب الاحتیاط بناء علی الصحیحی 341</w:t>
      </w:r>
    </w:p>
    <w:p>
      <w:pPr>
        <w:pStyle w:val="BookText"/>
      </w:pPr>
      <w:r>
        <w:rPr>
          <w:rFonts w:ascii="IRNazanin" w:hAnsi="IRNazanin" w:eastAsia="IRNazanin" w:cs="IRNazanin"/>
          <w:lang w:bidi="fa-IR"/>
          <w:color w:val="111111"/>
          <w:sz w:val="28"/>
          <w:szCs w:val="28"/>
          <w:rtl/>
        </w:rPr>
        <w:t xml:space="preserve">توضیح ما ذکروه ثمرة للصحیحی و الأعمّی 342</w:t>
      </w:r>
    </w:p>
    <w:p>
      <w:pPr>
        <w:pStyle w:val="BookText"/>
      </w:pPr>
      <w:r>
        <w:rPr>
          <w:rFonts w:ascii="IRNazanin" w:hAnsi="IRNazanin" w:eastAsia="IRNazanin" w:cs="IRNazanin"/>
          <w:lang w:bidi="fa-IR"/>
          <w:color w:val="111111"/>
          <w:sz w:val="28"/>
          <w:szCs w:val="28"/>
          <w:rtl/>
        </w:rPr>
        <w:t xml:space="preserve">عدم کون الثمرة البراءة بناء علی الأعمّی 346</w:t>
      </w:r>
    </w:p>
    <w:p>
      <w:pPr>
        <w:pStyle w:val="BookText"/>
      </w:pPr>
      <w:r>
        <w:rPr>
          <w:rFonts w:ascii="IRNazanin" w:hAnsi="IRNazanin" w:eastAsia="IRNazanin" w:cs="IRNazanin"/>
          <w:lang w:bidi="fa-IR"/>
          <w:color w:val="111111"/>
          <w:sz w:val="28"/>
          <w:szCs w:val="28"/>
          <w:rtl/>
        </w:rPr>
        <w:t xml:space="preserve">ما ینبغی أن یقال فی ثمرة الخلاف بین الصحیحی و الأعمّی 347</w:t>
      </w:r>
    </w:p>
    <w:p>
      <w:pPr>
        <w:pStyle w:val="BookText"/>
      </w:pPr>
      <w:r>
        <w:rPr>
          <w:rFonts w:ascii="IRNazanin" w:hAnsi="IRNazanin" w:eastAsia="IRNazanin" w:cs="IRNazanin"/>
          <w:lang w:bidi="fa-IR"/>
          <w:color w:val="111111"/>
          <w:sz w:val="28"/>
          <w:szCs w:val="28"/>
          <w:rtl/>
        </w:rPr>
        <w:t xml:space="preserve">المسألة الثالثة:الشکّ فی الجزئیّة من جهة تعارض النصّین 348</w:t>
      </w:r>
    </w:p>
    <w:p>
      <w:pPr>
        <w:pStyle w:val="BookText"/>
      </w:pPr>
      <w:r>
        <w:rPr>
          <w:rFonts w:ascii="IRNazanin" w:hAnsi="IRNazanin" w:eastAsia="IRNazanin" w:cs="IRNazanin"/>
          <w:lang w:bidi="fa-IR"/>
          <w:color w:val="111111"/>
          <w:sz w:val="28"/>
          <w:szCs w:val="28"/>
          <w:rtl/>
        </w:rPr>
        <w:t xml:space="preserve">مقتضی إطلاق أکثر الأصحاب ثبوت التخییر 348</w:t>
      </w:r>
    </w:p>
    <w:p>
      <w:pPr>
        <w:pStyle w:val="BookText"/>
      </w:pPr>
      <w:r>
        <w:rPr>
          <w:rFonts w:ascii="Amiri" w:hAnsi="Amiri" w:eastAsia="Amiri" w:cs="Amiri"/>
          <w:lang w:bidi="ar-SA"/>
          <w:color w:val="111111"/>
          <w:sz w:val="28"/>
          <w:szCs w:val="28"/>
          <w:rtl/>
        </w:rPr>
        <w:t xml:space="preserve">موضوع المسألة 348</w:t>
      </w:r>
    </w:p>
    <w:p>
      <w:pPr>
        <w:pStyle w:val="BookText"/>
      </w:pPr>
      <w:r>
        <w:rPr>
          <w:rFonts w:ascii="IRNazanin" w:hAnsi="IRNazanin" w:eastAsia="IRNazanin" w:cs="IRNazanin"/>
          <w:lang w:bidi="fa-IR"/>
          <w:color w:val="111111"/>
          <w:sz w:val="28"/>
          <w:szCs w:val="28"/>
          <w:rtl/>
        </w:rPr>
        <w:t xml:space="preserve">المتعارضان مع وجود المطلق 349</w:t>
      </w:r>
    </w:p>
    <w:p>
      <w:pPr>
        <w:pStyle w:val="BookText"/>
      </w:pPr>
      <w:r>
        <w:rPr>
          <w:rFonts w:ascii="IRNazanin" w:hAnsi="IRNazanin" w:eastAsia="IRNazanin" w:cs="IRNazanin"/>
          <w:lang w:bidi="fa-IR"/>
          <w:color w:val="111111"/>
          <w:sz w:val="28"/>
          <w:szCs w:val="28"/>
          <w:rtl/>
        </w:rPr>
        <w:t xml:space="preserve">الفرق بین أصالة الإطلاق و سائر الاصول العقلیّة و النقلیّة 350</w:t>
      </w:r>
    </w:p>
    <w:p>
      <w:pPr>
        <w:pStyle w:val="BookText"/>
      </w:pPr>
      <w:r>
        <w:rPr>
          <w:rFonts w:ascii="IRNazanin" w:hAnsi="IRNazanin" w:eastAsia="IRNazanin" w:cs="IRNazanin"/>
          <w:lang w:bidi="fa-IR"/>
          <w:color w:val="111111"/>
          <w:sz w:val="28"/>
          <w:szCs w:val="28"/>
          <w:rtl/>
        </w:rPr>
        <w:t xml:space="preserve">الإنصاف حکومة أخبار التخییر علی أصالة الإطلاق 350</w:t>
      </w:r>
    </w:p>
    <w:p>
      <w:pPr>
        <w:pStyle w:val="BookText"/>
      </w:pPr>
      <w:r>
        <w:rPr>
          <w:rFonts w:ascii="IRNazanin" w:hAnsi="IRNazanin" w:eastAsia="IRNazanin" w:cs="IRNazanin"/>
          <w:lang w:bidi="fa-IR"/>
          <w:color w:val="111111"/>
          <w:sz w:val="28"/>
          <w:szCs w:val="28"/>
          <w:rtl/>
        </w:rPr>
        <w:t xml:space="preserve">المسألة الرابعة:الشکّ فی الجزئیّة من جهة اشتباه الموضوع 352</w:t>
      </w:r>
    </w:p>
    <w:p>
      <w:pPr>
        <w:pStyle w:val="BookText"/>
      </w:pPr>
      <w:r>
        <w:rPr>
          <w:rFonts w:ascii="IRNazanin" w:hAnsi="IRNazanin" w:eastAsia="IRNazanin" w:cs="IRNazanin"/>
          <w:lang w:bidi="fa-IR"/>
          <w:color w:val="111111"/>
          <w:sz w:val="28"/>
          <w:szCs w:val="28"/>
          <w:rtl/>
        </w:rPr>
        <w:t xml:space="preserve">اللازم فی المسألة الاحتیاط 352</w:t>
      </w:r>
    </w:p>
    <w:p>
      <w:pPr>
        <w:pStyle w:val="BookText"/>
      </w:pPr>
      <w:r>
        <w:rPr>
          <w:rFonts w:ascii="IRNazanin" w:hAnsi="IRNazanin" w:eastAsia="IRNazanin" w:cs="IRNazanin"/>
          <w:lang w:bidi="fa-IR"/>
          <w:color w:val="111111"/>
          <w:sz w:val="28"/>
          <w:szCs w:val="28"/>
          <w:rtl/>
        </w:rPr>
        <w:t xml:space="preserve">عدم جریان أدلّة البراءة فی المسألة 352</w:t>
      </w:r>
    </w:p>
    <w:p>
      <w:pPr>
        <w:pStyle w:val="BookText"/>
      </w:pPr>
      <w:r>
        <w:rPr>
          <w:rFonts w:ascii="IRNazanin" w:hAnsi="IRNazanin" w:eastAsia="IRNazanin" w:cs="IRNazanin"/>
          <w:lang w:bidi="fa-IR"/>
          <w:color w:val="111111"/>
          <w:sz w:val="28"/>
          <w:szCs w:val="28"/>
          <w:rtl/>
        </w:rPr>
        <w:t xml:space="preserve">الفرق بین المسألة و المسائل المتقدّمة من الشبهة الحکمیّة 353</w:t>
      </w:r>
    </w:p>
    <w:p>
      <w:pPr>
        <w:pStyle w:val="BookText"/>
      </w:pPr>
      <w:r>
        <w:rPr>
          <w:rFonts w:ascii="IRNazanin" w:hAnsi="IRNazanin" w:eastAsia="IRNazanin" w:cs="IRNazanin"/>
          <w:lang w:bidi="fa-IR"/>
          <w:color w:val="111111"/>
          <w:sz w:val="28"/>
          <w:szCs w:val="28"/>
          <w:rtl/>
        </w:rPr>
        <w:t xml:space="preserve">القسم الثانی:الشکّ فی الجزء الذهنی،و هو القید القید قد یکون منشؤه مغایرا للمقیّد و قد یکون قیدا متّحدا معه 354</w:t>
      </w:r>
    </w:p>
    <w:p>
      <w:pPr>
        <w:pStyle w:val="BookText"/>
      </w:pPr>
      <w:r>
        <w:rPr>
          <w:rFonts w:ascii="IRNazanin" w:hAnsi="IRNazanin" w:eastAsia="IRNazanin" w:cs="IRNazanin"/>
          <w:lang w:bidi="fa-IR"/>
          <w:color w:val="111111"/>
          <w:sz w:val="28"/>
          <w:szCs w:val="28"/>
          <w:rtl/>
        </w:rPr>
        <w:t xml:space="preserve">الظاهر اتّحاد حکمهما 354</w:t>
      </w:r>
    </w:p>
    <w:p>
      <w:pPr>
        <w:pStyle w:val="BookText"/>
      </w:pPr>
      <w:r>
        <w:rPr>
          <w:rFonts w:ascii="IRNazanin" w:hAnsi="IRNazanin" w:eastAsia="IRNazanin" w:cs="IRNazanin"/>
          <w:lang w:bidi="fa-IR"/>
          <w:color w:val="111111"/>
          <w:sz w:val="28"/>
          <w:szCs w:val="28"/>
          <w:rtl/>
        </w:rPr>
        <w:t xml:space="preserve">قد یفرّق بین القسمین بإلحاق الأوّل بالشکّ فی الجزئیّة دون الثانی 354</w:t>
      </w:r>
    </w:p>
    <w:p>
      <w:pPr>
        <w:pStyle w:val="BookText"/>
      </w:pPr>
      <w:r>
        <w:rPr>
          <w:rFonts w:ascii="IRNazanin" w:hAnsi="IRNazanin" w:eastAsia="IRNazanin" w:cs="IRNazanin"/>
          <w:lang w:bidi="fa-IR"/>
          <w:color w:val="111111"/>
          <w:sz w:val="28"/>
          <w:szCs w:val="28"/>
          <w:rtl/>
        </w:rPr>
        <w:t xml:space="preserve">المناقشة فیما ذکر من الفرق بین القسمین 356</w:t>
      </w:r>
    </w:p>
    <w:p>
      <w:pPr>
        <w:pStyle w:val="BookText"/>
      </w:pPr>
      <w:r>
        <w:rPr>
          <w:rFonts w:ascii="IRNazanin" w:hAnsi="IRNazanin" w:eastAsia="IRNazanin" w:cs="IRNazanin"/>
          <w:lang w:bidi="fa-IR"/>
          <w:color w:val="111111"/>
          <w:sz w:val="28"/>
          <w:szCs w:val="28"/>
          <w:rtl/>
        </w:rPr>
        <w:t xml:space="preserve">دوران الأمر بین التخییر و التعیین 357</w:t>
      </w:r>
    </w:p>
    <w:p>
      <w:pPr>
        <w:pStyle w:val="BookText"/>
      </w:pPr>
      <w:r>
        <w:rPr>
          <w:rFonts w:ascii="IRNazanin" w:hAnsi="IRNazanin" w:eastAsia="IRNazanin" w:cs="IRNazanin"/>
          <w:lang w:bidi="fa-IR"/>
          <w:color w:val="111111"/>
          <w:sz w:val="28"/>
          <w:szCs w:val="28"/>
          <w:rtl/>
        </w:rPr>
        <w:t xml:space="preserve">المسألة فی غایة الإشکال 358</w:t>
      </w:r>
    </w:p>
    <w:p>
      <w:pPr>
        <w:pStyle w:val="BookText"/>
      </w:pPr>
      <w:r>
        <w:rPr>
          <w:rFonts w:ascii="IRNazanin" w:hAnsi="IRNazanin" w:eastAsia="IRNazanin" w:cs="IRNazanin"/>
          <w:lang w:bidi="fa-IR"/>
          <w:color w:val="111111"/>
          <w:sz w:val="28"/>
          <w:szCs w:val="28"/>
          <w:rtl/>
        </w:rPr>
        <w:t xml:space="preserve">الأقوی وجوب الاحتیاط 359</w:t>
      </w:r>
    </w:p>
    <w:p>
      <w:pPr>
        <w:pStyle w:val="BookText"/>
      </w:pPr>
      <w:r>
        <w:rPr>
          <w:rFonts w:ascii="IRNazanin" w:hAnsi="IRNazanin" w:eastAsia="IRNazanin" w:cs="IRNazanin"/>
          <w:lang w:bidi="fa-IR"/>
          <w:color w:val="111111"/>
          <w:sz w:val="28"/>
          <w:szCs w:val="28"/>
          <w:rtl/>
        </w:rPr>
        <w:t xml:space="preserve">[شماره صفحه واقعی : 496]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الشکّ فی المانعیّة 359</w:t>
      </w:r>
    </w:p>
    <w:p>
      <w:pPr>
        <w:pStyle w:val="BookText"/>
      </w:pPr>
      <w:r>
        <w:rPr>
          <w:rFonts w:ascii="Amiri" w:hAnsi="Amiri" w:eastAsia="Amiri" w:cs="Amiri"/>
          <w:lang w:bidi="ar-SA"/>
          <w:color w:val="111111"/>
          <w:sz w:val="28"/>
          <w:szCs w:val="28"/>
          <w:rtl/>
        </w:rPr>
        <w:t xml:space="preserve">الشکّ فی القاطعیّة 359</w:t>
      </w:r>
    </w:p>
    <w:p>
      <w:pPr>
        <w:pStyle w:val="BookText"/>
      </w:pPr>
      <w:r>
        <w:rPr>
          <w:rFonts w:ascii="IRNazanin" w:hAnsi="IRNazanin" w:eastAsia="IRNazanin" w:cs="IRNazanin"/>
          <w:lang w:bidi="fa-IR"/>
          <w:color w:val="111111"/>
          <w:sz w:val="28"/>
          <w:szCs w:val="28"/>
          <w:rtl/>
        </w:rPr>
        <w:t xml:space="preserve">إذا کان الشکّ فی الجزئیّة أو الشرطیّة ناشئا عن الشکّ فی حکم تکلیفی نفسی 359</w:t>
      </w:r>
    </w:p>
    <w:p>
      <w:pPr>
        <w:pStyle w:val="BookText"/>
      </w:pPr>
      <w:r>
        <w:rPr>
          <w:rFonts w:ascii="IRNazanin" w:hAnsi="IRNazanin" w:eastAsia="IRNazanin" w:cs="IRNazanin"/>
          <w:lang w:bidi="fa-IR"/>
          <w:color w:val="111111"/>
          <w:sz w:val="28"/>
          <w:szCs w:val="28"/>
          <w:rtl/>
        </w:rPr>
        <w:t xml:space="preserve">التنبیه علی امور:</w:t>
      </w:r>
    </w:p>
    <w:p>
      <w:pPr>
        <w:pStyle w:val="BookText"/>
      </w:pPr>
      <w:r>
        <w:rPr>
          <w:rFonts w:ascii="Amiri" w:hAnsi="Amiri" w:eastAsia="Amiri" w:cs="Amiri"/>
          <w:lang w:bidi="ar-SA"/>
          <w:color w:val="111111"/>
          <w:sz w:val="28"/>
          <w:szCs w:val="28"/>
          <w:rtl/>
        </w:rPr>
        <w:t xml:space="preserve">الأمر الأوّل:الشکّ فی الرکنیّة 361</w:t>
      </w:r>
    </w:p>
    <w:p>
      <w:pPr>
        <w:pStyle w:val="BookText"/>
      </w:pPr>
      <w:r>
        <w:rPr>
          <w:rFonts w:ascii="IRNazanin" w:hAnsi="IRNazanin" w:eastAsia="IRNazanin" w:cs="IRNazanin"/>
          <w:lang w:bidi="fa-IR"/>
          <w:color w:val="111111"/>
          <w:sz w:val="28"/>
          <w:szCs w:val="28"/>
          <w:rtl/>
        </w:rPr>
        <w:t xml:space="preserve">الرکن فی اصطلاح الفقهاء 361</w:t>
      </w:r>
    </w:p>
    <w:p>
      <w:pPr>
        <w:pStyle w:val="BookText"/>
      </w:pPr>
      <w:r>
        <w:rPr>
          <w:rFonts w:ascii="IRNazanin" w:hAnsi="IRNazanin" w:eastAsia="IRNazanin" w:cs="IRNazanin"/>
          <w:lang w:bidi="fa-IR"/>
          <w:color w:val="111111"/>
          <w:sz w:val="28"/>
          <w:szCs w:val="28"/>
          <w:rtl/>
        </w:rPr>
        <w:t xml:space="preserve">حکم الإخلال بالجزء نقیصة و زیادة 362</w:t>
      </w:r>
    </w:p>
    <w:p>
      <w:pPr>
        <w:pStyle w:val="BookText"/>
      </w:pPr>
      <w:r>
        <w:rPr>
          <w:rFonts w:ascii="IRNazanin" w:hAnsi="IRNazanin" w:eastAsia="IRNazanin" w:cs="IRNazanin"/>
          <w:lang w:bidi="fa-IR"/>
          <w:color w:val="111111"/>
          <w:sz w:val="28"/>
          <w:szCs w:val="28"/>
          <w:rtl/>
        </w:rPr>
        <w:t xml:space="preserve">هنا مسائل ثلاث:362</w:t>
      </w:r>
    </w:p>
    <w:p>
      <w:pPr>
        <w:pStyle w:val="BookText"/>
      </w:pPr>
      <w:r>
        <w:rPr>
          <w:rFonts w:ascii="IRNazanin" w:hAnsi="IRNazanin" w:eastAsia="IRNazanin" w:cs="IRNazanin"/>
          <w:lang w:bidi="fa-IR"/>
          <w:color w:val="111111"/>
          <w:sz w:val="28"/>
          <w:szCs w:val="28"/>
          <w:rtl/>
        </w:rPr>
        <w:t xml:space="preserve">المسألة الاولی:هل تبطل العبادة بترک الجزء سهوا؟363</w:t>
      </w:r>
    </w:p>
    <w:p>
      <w:pPr>
        <w:pStyle w:val="BookText"/>
      </w:pPr>
      <w:r>
        <w:rPr>
          <w:rFonts w:ascii="IRNazanin" w:hAnsi="IRNazanin" w:eastAsia="IRNazanin" w:cs="IRNazanin"/>
          <w:lang w:bidi="fa-IR"/>
          <w:color w:val="111111"/>
          <w:sz w:val="28"/>
          <w:szCs w:val="28"/>
          <w:rtl/>
        </w:rPr>
        <w:t xml:space="preserve">الأصل البطلان و الدلیل علیه 363</w:t>
      </w:r>
    </w:p>
    <w:p>
      <w:pPr>
        <w:pStyle w:val="BookText"/>
      </w:pPr>
      <w:r>
        <w:rPr>
          <w:rFonts w:ascii="IRNazanin" w:hAnsi="IRNazanin" w:eastAsia="IRNazanin" w:cs="IRNazanin"/>
          <w:lang w:bidi="fa-IR"/>
          <w:color w:val="111111"/>
          <w:sz w:val="28"/>
          <w:szCs w:val="28"/>
          <w:rtl/>
        </w:rPr>
        <w:t xml:space="preserve">عدم کون هذه المسألة من مسألة الإجزاء 365</w:t>
      </w:r>
    </w:p>
    <w:p>
      <w:pPr>
        <w:pStyle w:val="BookText"/>
      </w:pPr>
      <w:r>
        <w:rPr>
          <w:rFonts w:ascii="IRNazanin" w:hAnsi="IRNazanin" w:eastAsia="IRNazanin" w:cs="IRNazanin"/>
          <w:lang w:bidi="fa-IR"/>
          <w:color w:val="111111"/>
          <w:sz w:val="28"/>
          <w:szCs w:val="28"/>
          <w:rtl/>
        </w:rPr>
        <w:t xml:space="preserve">التمسّک فی المسألة باستصحاب الصحّة و المناقشة فیه 366</w:t>
      </w:r>
    </w:p>
    <w:p>
      <w:pPr>
        <w:pStyle w:val="BookText"/>
      </w:pPr>
      <w:r>
        <w:rPr>
          <w:rFonts w:ascii="IRNazanin" w:hAnsi="IRNazanin" w:eastAsia="IRNazanin" w:cs="IRNazanin"/>
          <w:lang w:bidi="fa-IR"/>
          <w:color w:val="111111"/>
          <w:sz w:val="28"/>
          <w:szCs w:val="28"/>
          <w:rtl/>
        </w:rPr>
        <w:t xml:space="preserve">توهّم أصل ثانوی فی المسألة من جهة حدیث الرفع 366</w:t>
      </w:r>
    </w:p>
    <w:p>
      <w:pPr>
        <w:pStyle w:val="BookText"/>
      </w:pPr>
      <w:r>
        <w:rPr>
          <w:rFonts w:ascii="IRNazanin" w:hAnsi="IRNazanin" w:eastAsia="IRNazanin" w:cs="IRNazanin"/>
          <w:lang w:bidi="fa-IR"/>
          <w:color w:val="111111"/>
          <w:sz w:val="28"/>
          <w:szCs w:val="28"/>
          <w:rtl/>
        </w:rPr>
        <w:t xml:space="preserve">المناقشة فی التمسّک بحدیث الرفع 367</w:t>
      </w:r>
    </w:p>
    <w:p>
      <w:pPr>
        <w:pStyle w:val="BookText"/>
      </w:pPr>
      <w:r>
        <w:rPr>
          <w:rFonts w:ascii="IRNazanin" w:hAnsi="IRNazanin" w:eastAsia="IRNazanin" w:cs="IRNazanin"/>
          <w:lang w:bidi="fa-IR"/>
          <w:color w:val="111111"/>
          <w:sz w:val="28"/>
          <w:szCs w:val="28"/>
          <w:rtl/>
        </w:rPr>
        <w:t xml:space="preserve">إمکان دعوی أصل ثانوی فی خصوص الصلاة 368</w:t>
      </w:r>
    </w:p>
    <w:p>
      <w:pPr>
        <w:pStyle w:val="BookText"/>
      </w:pPr>
      <w:r>
        <w:rPr>
          <w:rFonts w:ascii="IRNazanin" w:hAnsi="IRNazanin" w:eastAsia="IRNazanin" w:cs="IRNazanin"/>
          <w:lang w:bidi="fa-IR"/>
          <w:color w:val="111111"/>
          <w:sz w:val="28"/>
          <w:szCs w:val="28"/>
          <w:rtl/>
        </w:rPr>
        <w:t xml:space="preserve">المسألة الثانیة:هل تبطل العبادة بزیادة الجزء عمدا؟370</w:t>
      </w:r>
    </w:p>
    <w:p>
      <w:pPr>
        <w:pStyle w:val="BookText"/>
      </w:pPr>
      <w:r>
        <w:rPr>
          <w:rFonts w:ascii="Amiri" w:hAnsi="Amiri" w:eastAsia="Amiri" w:cs="Amiri"/>
          <w:lang w:bidi="ar-SA"/>
          <w:color w:val="111111"/>
          <w:sz w:val="28"/>
          <w:szCs w:val="28"/>
          <w:rtl/>
        </w:rPr>
        <w:t xml:space="preserve">موضوع المسألة 370</w:t>
      </w:r>
    </w:p>
    <w:p>
      <w:pPr>
        <w:pStyle w:val="BookText"/>
      </w:pPr>
      <w:r>
        <w:rPr>
          <w:rFonts w:ascii="IRNazanin" w:hAnsi="IRNazanin" w:eastAsia="IRNazanin" w:cs="IRNazanin"/>
          <w:lang w:bidi="fa-IR"/>
          <w:color w:val="111111"/>
          <w:sz w:val="28"/>
          <w:szCs w:val="28"/>
          <w:rtl/>
        </w:rPr>
        <w:t xml:space="preserve">أقسام الزیادة العمدیّة:370</w:t>
      </w:r>
    </w:p>
    <w:p>
      <w:pPr>
        <w:pStyle w:val="BookText"/>
      </w:pPr>
      <w:r>
        <w:rPr>
          <w:rFonts w:ascii="IRNazanin" w:hAnsi="IRNazanin" w:eastAsia="IRNazanin" w:cs="IRNazanin"/>
          <w:lang w:bidi="fa-IR"/>
          <w:color w:val="111111"/>
          <w:sz w:val="28"/>
          <w:szCs w:val="28"/>
          <w:rtl/>
        </w:rPr>
        <w:t xml:space="preserve">1-قصد کون الزائد جزءا مستقلاّ 370</w:t>
      </w:r>
    </w:p>
    <w:p>
      <w:pPr>
        <w:pStyle w:val="BookText"/>
      </w:pPr>
      <w:r>
        <w:rPr>
          <w:rFonts w:ascii="IRNazanin" w:hAnsi="IRNazanin" w:eastAsia="IRNazanin" w:cs="IRNazanin"/>
          <w:lang w:bidi="fa-IR"/>
          <w:color w:val="111111"/>
          <w:sz w:val="28"/>
          <w:szCs w:val="28"/>
          <w:rtl/>
        </w:rPr>
        <w:t xml:space="preserve">2-قصد کون مجموع الزائد و المزید علیه جزءا واحدا 370</w:t>
      </w:r>
    </w:p>
    <w:p>
      <w:pPr>
        <w:pStyle w:val="BookText"/>
      </w:pPr>
      <w:r>
        <w:rPr>
          <w:rFonts w:ascii="IRNazanin" w:hAnsi="IRNazanin" w:eastAsia="IRNazanin" w:cs="IRNazanin"/>
          <w:lang w:bidi="fa-IR"/>
          <w:color w:val="111111"/>
          <w:sz w:val="28"/>
          <w:szCs w:val="28"/>
          <w:rtl/>
        </w:rPr>
        <w:t xml:space="preserve">3-أن یأتی بالزائد بدلا عن المزید 371</w:t>
      </w:r>
    </w:p>
    <w:p>
      <w:pPr>
        <w:pStyle w:val="BookText"/>
      </w:pPr>
      <w:r>
        <w:rPr>
          <w:rFonts w:ascii="IRNazanin" w:hAnsi="IRNazanin" w:eastAsia="IRNazanin" w:cs="IRNazanin"/>
          <w:lang w:bidi="fa-IR"/>
          <w:color w:val="111111"/>
          <w:sz w:val="28"/>
          <w:szCs w:val="28"/>
          <w:rtl/>
        </w:rPr>
        <w:t xml:space="preserve">[شماره صفحه واقعی : 497]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بطلان العبادة فی القسم الأوّل 371</w:t>
      </w:r>
    </w:p>
    <w:p>
      <w:pPr>
        <w:pStyle w:val="BookText"/>
      </w:pPr>
      <w:r>
        <w:rPr>
          <w:rFonts w:ascii="IRNazanin" w:hAnsi="IRNazanin" w:eastAsia="IRNazanin" w:cs="IRNazanin"/>
          <w:lang w:bidi="fa-IR"/>
          <w:color w:val="111111"/>
          <w:sz w:val="28"/>
          <w:szCs w:val="28"/>
          <w:rtl/>
        </w:rPr>
        <w:t xml:space="preserve">عدم البطلان فی القسمین الأخیرین 371</w:t>
      </w:r>
    </w:p>
    <w:p>
      <w:pPr>
        <w:pStyle w:val="BookText"/>
      </w:pPr>
      <w:r>
        <w:rPr>
          <w:rFonts w:ascii="IRNazanin" w:hAnsi="IRNazanin" w:eastAsia="IRNazanin" w:cs="IRNazanin"/>
          <w:lang w:bidi="fa-IR"/>
          <w:color w:val="111111"/>
          <w:sz w:val="28"/>
          <w:szCs w:val="28"/>
          <w:rtl/>
        </w:rPr>
        <w:t xml:space="preserve">استدلال المحقّق علی البطلان و المناقشة فیه 371</w:t>
      </w:r>
    </w:p>
    <w:p>
      <w:pPr>
        <w:pStyle w:val="BookText"/>
      </w:pPr>
      <w:r>
        <w:rPr>
          <w:rFonts w:ascii="IRNazanin" w:hAnsi="IRNazanin" w:eastAsia="IRNazanin" w:cs="IRNazanin"/>
          <w:lang w:bidi="fa-IR"/>
          <w:color w:val="111111"/>
          <w:sz w:val="28"/>
          <w:szCs w:val="28"/>
          <w:rtl/>
        </w:rPr>
        <w:t xml:space="preserve">الاستدلال علی الصحّة باستصحاب الصحّة و المناقشة فیه 372</w:t>
      </w:r>
    </w:p>
    <w:p>
      <w:pPr>
        <w:pStyle w:val="BookText"/>
      </w:pPr>
      <w:r>
        <w:rPr>
          <w:rFonts w:ascii="IRNazanin" w:hAnsi="IRNazanin" w:eastAsia="IRNazanin" w:cs="IRNazanin"/>
          <w:lang w:bidi="fa-IR"/>
          <w:color w:val="111111"/>
          <w:sz w:val="28"/>
          <w:szCs w:val="28"/>
          <w:rtl/>
        </w:rPr>
        <w:t xml:space="preserve">عدم الحاجة إلی استصحاب صحّة الأجزاء السابقة 373</w:t>
      </w:r>
    </w:p>
    <w:p>
      <w:pPr>
        <w:pStyle w:val="BookText"/>
      </w:pPr>
      <w:r>
        <w:rPr>
          <w:rFonts w:ascii="Amiri" w:hAnsi="Amiri" w:eastAsia="Amiri" w:cs="Amiri"/>
          <w:lang w:bidi="ar-SA"/>
          <w:color w:val="111111"/>
          <w:sz w:val="28"/>
          <w:szCs w:val="28"/>
          <w:rtl/>
        </w:rPr>
        <w:t xml:space="preserve">صحّة الاستصحاب إذا شکّ فی القاطعیّة 374</w:t>
      </w:r>
    </w:p>
    <w:p>
      <w:pPr>
        <w:pStyle w:val="BookText"/>
      </w:pPr>
      <w:r>
        <w:rPr>
          <w:rFonts w:ascii="IRNazanin" w:hAnsi="IRNazanin" w:eastAsia="IRNazanin" w:cs="IRNazanin"/>
          <w:lang w:bidi="fa-IR"/>
          <w:color w:val="111111"/>
          <w:sz w:val="28"/>
          <w:szCs w:val="28"/>
          <w:rtl/>
        </w:rPr>
        <w:t xml:space="preserve">الفرق بین الشکّ فی المانعیّة و القاطعیّة 374</w:t>
      </w:r>
    </w:p>
    <w:p>
      <w:pPr>
        <w:pStyle w:val="BookText"/>
      </w:pPr>
      <w:r>
        <w:rPr>
          <w:rFonts w:ascii="IRNazanin" w:hAnsi="IRNazanin" w:eastAsia="IRNazanin" w:cs="IRNazanin"/>
          <w:lang w:bidi="fa-IR"/>
          <w:color w:val="111111"/>
          <w:sz w:val="28"/>
          <w:szCs w:val="28"/>
          <w:rtl/>
        </w:rPr>
        <w:t xml:space="preserve">الإشکال فی الاستصحاب إذا شکّ فی القاطعیّة أیضا 375</w:t>
      </w:r>
    </w:p>
    <w:p>
      <w:pPr>
        <w:pStyle w:val="BookText"/>
      </w:pPr>
      <w:r>
        <w:rPr>
          <w:rFonts w:ascii="IRNazanin" w:hAnsi="IRNazanin" w:eastAsia="IRNazanin" w:cs="IRNazanin"/>
          <w:lang w:bidi="fa-IR"/>
          <w:color w:val="111111"/>
          <w:sz w:val="28"/>
          <w:szCs w:val="28"/>
          <w:rtl/>
        </w:rPr>
        <w:t xml:space="preserve">دفع الإشکال 376</w:t>
      </w:r>
    </w:p>
    <w:p>
      <w:pPr>
        <w:pStyle w:val="BookText"/>
      </w:pPr>
      <w:r>
        <w:rPr>
          <w:rFonts w:ascii="IRNazanin" w:hAnsi="IRNazanin" w:eastAsia="IRNazanin" w:cs="IRNazanin"/>
          <w:lang w:bidi="fa-IR"/>
          <w:color w:val="111111"/>
          <w:sz w:val="28"/>
          <w:szCs w:val="28"/>
          <w:rtl/>
        </w:rPr>
        <w:t xml:space="preserve">الاستدلال علی الصحّة بقوله تعالی:«لا تبطلوا أعمالکم»376</w:t>
      </w:r>
    </w:p>
    <w:p>
      <w:pPr>
        <w:pStyle w:val="BookText"/>
      </w:pPr>
      <w:r>
        <w:rPr>
          <w:rFonts w:ascii="IRNazanin" w:hAnsi="IRNazanin" w:eastAsia="IRNazanin" w:cs="IRNazanin"/>
          <w:lang w:bidi="fa-IR"/>
          <w:color w:val="111111"/>
          <w:sz w:val="28"/>
          <w:szCs w:val="28"/>
          <w:rtl/>
        </w:rPr>
        <w:t xml:space="preserve">المناقشة فی الاستدلال 377</w:t>
      </w:r>
    </w:p>
    <w:p>
      <w:pPr>
        <w:pStyle w:val="BookText"/>
      </w:pPr>
      <w:r>
        <w:rPr>
          <w:rFonts w:ascii="IRNazanin" w:hAnsi="IRNazanin" w:eastAsia="IRNazanin" w:cs="IRNazanin"/>
          <w:lang w:bidi="fa-IR"/>
          <w:color w:val="111111"/>
          <w:sz w:val="28"/>
          <w:szCs w:val="28"/>
          <w:rtl/>
        </w:rPr>
        <w:t xml:space="preserve">معانی حرمة إبطال العمل 377</w:t>
      </w:r>
    </w:p>
    <w:p>
      <w:pPr>
        <w:pStyle w:val="BookText"/>
      </w:pPr>
      <w:r>
        <w:rPr>
          <w:rFonts w:ascii="IRNazanin" w:hAnsi="IRNazanin" w:eastAsia="IRNazanin" w:cs="IRNazanin"/>
          <w:lang w:bidi="fa-IR"/>
          <w:color w:val="111111"/>
          <w:sz w:val="28"/>
          <w:szCs w:val="28"/>
          <w:rtl/>
        </w:rPr>
        <w:t xml:space="preserve">الاستدلال علی الصحّة باستصحاب حرمة القطع و المناقشة فیه 380</w:t>
      </w:r>
    </w:p>
    <w:p>
      <w:pPr>
        <w:pStyle w:val="BookText"/>
      </w:pPr>
      <w:r>
        <w:rPr>
          <w:rFonts w:ascii="IRNazanin" w:hAnsi="IRNazanin" w:eastAsia="IRNazanin" w:cs="IRNazanin"/>
          <w:lang w:bidi="fa-IR"/>
          <w:color w:val="111111"/>
          <w:sz w:val="28"/>
          <w:szCs w:val="28"/>
          <w:rtl/>
        </w:rPr>
        <w:t xml:space="preserve">الاستدلال علی الصحّة باستصحاب وجوب الإتمام و المناقشة فیه 380</w:t>
      </w:r>
    </w:p>
    <w:p>
      <w:pPr>
        <w:pStyle w:val="BookText"/>
      </w:pPr>
      <w:r>
        <w:rPr>
          <w:rFonts w:ascii="IRNazanin" w:hAnsi="IRNazanin" w:eastAsia="IRNazanin" w:cs="IRNazanin"/>
          <w:lang w:bidi="fa-IR"/>
          <w:color w:val="111111"/>
          <w:sz w:val="28"/>
          <w:szCs w:val="28"/>
          <w:rtl/>
        </w:rPr>
        <w:t xml:space="preserve">الجواب عن الاستصحابین بوجه آخر،و المناقشة فی</w:t>
      </w:r>
    </w:p>
    <w:p>
      <w:pPr>
        <w:pStyle w:val="BookText"/>
      </w:pPr>
      <w:r>
        <w:rPr>
          <w:rFonts w:ascii="IRNazanin" w:hAnsi="IRNazanin" w:eastAsia="IRNazanin" w:cs="IRNazanin"/>
          <w:lang w:bidi="fa-IR"/>
          <w:color w:val="111111"/>
          <w:sz w:val="28"/>
          <w:szCs w:val="28"/>
          <w:rtl/>
        </w:rPr>
        <w:t xml:space="preserve">هذا الجواب 381</w:t>
      </w:r>
    </w:p>
    <w:p>
      <w:pPr>
        <w:pStyle w:val="BookText"/>
      </w:pPr>
      <w:r>
        <w:rPr>
          <w:rFonts w:ascii="IRNazanin" w:hAnsi="IRNazanin" w:eastAsia="IRNazanin" w:cs="IRNazanin"/>
          <w:lang w:bidi="fa-IR"/>
          <w:color w:val="111111"/>
          <w:sz w:val="28"/>
          <w:szCs w:val="28"/>
          <w:rtl/>
        </w:rPr>
        <w:t xml:space="preserve">الدلیل الخاصّ علی مبطلیّة الزیادة فی بعض العبادات 382</w:t>
      </w:r>
    </w:p>
    <w:p>
      <w:pPr>
        <w:pStyle w:val="BookText"/>
      </w:pPr>
      <w:r>
        <w:rPr>
          <w:rFonts w:ascii="IRNazanin" w:hAnsi="IRNazanin" w:eastAsia="IRNazanin" w:cs="IRNazanin"/>
          <w:lang w:bidi="fa-IR"/>
          <w:color w:val="111111"/>
          <w:sz w:val="28"/>
          <w:szCs w:val="28"/>
          <w:rtl/>
        </w:rPr>
        <w:t xml:space="preserve">ما ورد فی الصلاة 382</w:t>
      </w:r>
    </w:p>
    <w:p>
      <w:pPr>
        <w:pStyle w:val="BookText"/>
      </w:pPr>
      <w:r>
        <w:rPr>
          <w:rFonts w:ascii="IRNazanin" w:hAnsi="IRNazanin" w:eastAsia="IRNazanin" w:cs="IRNazanin"/>
          <w:lang w:bidi="fa-IR"/>
          <w:color w:val="111111"/>
          <w:sz w:val="28"/>
          <w:szCs w:val="28"/>
          <w:rtl/>
        </w:rPr>
        <w:t xml:space="preserve">ما ورد فی الطواف 383</w:t>
      </w:r>
    </w:p>
    <w:p>
      <w:pPr>
        <w:pStyle w:val="BookText"/>
      </w:pPr>
      <w:r>
        <w:rPr>
          <w:rFonts w:ascii="IRNazanin" w:hAnsi="IRNazanin" w:eastAsia="IRNazanin" w:cs="IRNazanin"/>
          <w:lang w:bidi="fa-IR"/>
          <w:color w:val="111111"/>
          <w:sz w:val="28"/>
          <w:szCs w:val="28"/>
          <w:rtl/>
        </w:rPr>
        <w:t xml:space="preserve">المسألة الثالثة:هل تبطل العبادة بزیادة الجزء سهوا؟384</w:t>
      </w:r>
    </w:p>
    <w:p>
      <w:pPr>
        <w:pStyle w:val="BookText"/>
      </w:pPr>
      <w:r>
        <w:rPr>
          <w:rFonts w:ascii="IRNazanin" w:hAnsi="IRNazanin" w:eastAsia="IRNazanin" w:cs="IRNazanin"/>
          <w:lang w:bidi="fa-IR"/>
          <w:color w:val="111111"/>
          <w:sz w:val="28"/>
          <w:szCs w:val="28"/>
          <w:rtl/>
        </w:rPr>
        <w:t xml:space="preserve">الأقوی البطلان 384</w:t>
      </w:r>
    </w:p>
    <w:p>
      <w:pPr>
        <w:pStyle w:val="BookText"/>
      </w:pPr>
      <w:r>
        <w:rPr>
          <w:rFonts w:ascii="IRNazanin" w:hAnsi="IRNazanin" w:eastAsia="IRNazanin" w:cs="IRNazanin"/>
          <w:lang w:bidi="fa-IR"/>
          <w:color w:val="111111"/>
          <w:sz w:val="28"/>
          <w:szCs w:val="28"/>
          <w:rtl/>
        </w:rPr>
        <w:t xml:space="preserve">الأصل فی الجزء أن یکون نقصه مخلاّ دون زیادته 384</w:t>
      </w:r>
    </w:p>
    <w:p>
      <w:pPr>
        <w:pStyle w:val="BookText"/>
      </w:pPr>
      <w:r>
        <w:rPr>
          <w:rFonts w:ascii="IRNazanin" w:hAnsi="IRNazanin" w:eastAsia="IRNazanin" w:cs="IRNazanin"/>
          <w:lang w:bidi="fa-IR"/>
          <w:color w:val="111111"/>
          <w:sz w:val="28"/>
          <w:szCs w:val="28"/>
          <w:rtl/>
        </w:rPr>
        <w:t xml:space="preserve">مقتضی الاصول 385</w:t>
      </w:r>
    </w:p>
    <w:p>
      <w:pPr>
        <w:pStyle w:val="BookText"/>
      </w:pPr>
      <w:r>
        <w:rPr>
          <w:rFonts w:ascii="IRNazanin" w:hAnsi="IRNazanin" w:eastAsia="IRNazanin" w:cs="IRNazanin"/>
          <w:lang w:bidi="fa-IR"/>
          <w:color w:val="111111"/>
          <w:sz w:val="28"/>
          <w:szCs w:val="28"/>
          <w:rtl/>
        </w:rPr>
        <w:t xml:space="preserve">[شماره صفحه واقعی : 498]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مقتضی القواعد الحاکمة علی الاصول 385</w:t>
      </w:r>
    </w:p>
    <w:p>
      <w:pPr>
        <w:pStyle w:val="BookText"/>
      </w:pPr>
      <w:r>
        <w:rPr>
          <w:rFonts w:ascii="IRNazanin" w:hAnsi="IRNazanin" w:eastAsia="IRNazanin" w:cs="IRNazanin"/>
          <w:lang w:bidi="fa-IR"/>
          <w:color w:val="111111"/>
          <w:sz w:val="28"/>
          <w:szCs w:val="28"/>
          <w:rtl/>
        </w:rPr>
        <w:t xml:space="preserve">الأمر الثانی:هل یسقط التکلیف بالکلّ أو المشروط إذا تعذّر</w:t>
      </w:r>
    </w:p>
    <w:p>
      <w:pPr>
        <w:pStyle w:val="BookText"/>
      </w:pPr>
      <w:r>
        <w:rPr>
          <w:rFonts w:ascii="IRNazanin" w:hAnsi="IRNazanin" w:eastAsia="IRNazanin" w:cs="IRNazanin"/>
          <w:lang w:bidi="fa-IR"/>
          <w:color w:val="111111"/>
          <w:sz w:val="28"/>
          <w:szCs w:val="28"/>
          <w:rtl/>
        </w:rPr>
        <w:t xml:space="preserve">الجزء أو الشرط،أم لا؟387</w:t>
      </w:r>
    </w:p>
    <w:p>
      <w:pPr>
        <w:pStyle w:val="BookText"/>
      </w:pPr>
      <w:r>
        <w:rPr>
          <w:rFonts w:ascii="IRNazanin" w:hAnsi="IRNazanin" w:eastAsia="IRNazanin" w:cs="IRNazanin"/>
          <w:lang w:bidi="fa-IR"/>
          <w:color w:val="111111"/>
          <w:sz w:val="28"/>
          <w:szCs w:val="28"/>
          <w:rtl/>
        </w:rPr>
        <w:t xml:space="preserve">القول بالسقوط و دلیله 387</w:t>
      </w:r>
    </w:p>
    <w:p>
      <w:pPr>
        <w:pStyle w:val="BookText"/>
      </w:pPr>
      <w:r>
        <w:rPr>
          <w:rFonts w:ascii="IRNazanin" w:hAnsi="IRNazanin" w:eastAsia="IRNazanin" w:cs="IRNazanin"/>
          <w:lang w:bidi="fa-IR"/>
          <w:color w:val="111111"/>
          <w:sz w:val="28"/>
          <w:szCs w:val="28"/>
          <w:rtl/>
        </w:rPr>
        <w:t xml:space="preserve">القول بعدم السقوط و دلیله 389</w:t>
      </w:r>
    </w:p>
    <w:p>
      <w:pPr>
        <w:pStyle w:val="BookText"/>
      </w:pPr>
      <w:r>
        <w:rPr>
          <w:rFonts w:ascii="IRNazanin" w:hAnsi="IRNazanin" w:eastAsia="IRNazanin" w:cs="IRNazanin"/>
          <w:lang w:bidi="fa-IR"/>
          <w:color w:val="111111"/>
          <w:sz w:val="28"/>
          <w:szCs w:val="28"/>
          <w:rtl/>
        </w:rPr>
        <w:t xml:space="preserve">الاستدلال علی هذا القول بثلاثة روایات أیضا 390</w:t>
      </w:r>
    </w:p>
    <w:p>
      <w:pPr>
        <w:pStyle w:val="BookText"/>
      </w:pPr>
      <w:r>
        <w:rPr>
          <w:rFonts w:ascii="IRNazanin" w:hAnsi="IRNazanin" w:eastAsia="IRNazanin" w:cs="IRNazanin"/>
          <w:lang w:bidi="fa-IR"/>
          <w:color w:val="111111"/>
          <w:sz w:val="28"/>
          <w:szCs w:val="28"/>
          <w:rtl/>
        </w:rPr>
        <w:t xml:space="preserve">الأصل فی الشروط ما مرّ فی الأجزاء 395</w:t>
      </w:r>
    </w:p>
    <w:p>
      <w:pPr>
        <w:pStyle w:val="BookText"/>
      </w:pPr>
      <w:r>
        <w:rPr>
          <w:rFonts w:ascii="IRNazanin" w:hAnsi="IRNazanin" w:eastAsia="IRNazanin" w:cs="IRNazanin"/>
          <w:lang w:bidi="fa-IR"/>
          <w:color w:val="111111"/>
          <w:sz w:val="28"/>
          <w:szCs w:val="28"/>
          <w:rtl/>
        </w:rPr>
        <w:t xml:space="preserve">عدم جریان القاعدة المستفادة من الروایات فی الشروط 395</w:t>
      </w:r>
    </w:p>
    <w:p>
      <w:pPr>
        <w:pStyle w:val="BookText"/>
      </w:pPr>
      <w:r>
        <w:rPr>
          <w:rFonts w:ascii="IRNazanin" w:hAnsi="IRNazanin" w:eastAsia="IRNazanin" w:cs="IRNazanin"/>
          <w:lang w:bidi="fa-IR"/>
          <w:color w:val="111111"/>
          <w:sz w:val="28"/>
          <w:szCs w:val="28"/>
          <w:rtl/>
        </w:rPr>
        <w:t xml:space="preserve">جریان القاعدة فی بعض الشروط 395</w:t>
      </w:r>
    </w:p>
    <w:p>
      <w:pPr>
        <w:pStyle w:val="BookText"/>
      </w:pPr>
      <w:r>
        <w:rPr>
          <w:rFonts w:ascii="IRNazanin" w:hAnsi="IRNazanin" w:eastAsia="IRNazanin" w:cs="IRNazanin"/>
          <w:lang w:bidi="fa-IR"/>
          <w:color w:val="111111"/>
          <w:sz w:val="28"/>
          <w:szCs w:val="28"/>
          <w:rtl/>
        </w:rPr>
        <w:t xml:space="preserve">الاستدلال بروایة عبد الأعلی علی عدم سقوط المشروط</w:t>
      </w:r>
    </w:p>
    <w:p>
      <w:pPr>
        <w:pStyle w:val="BookText"/>
      </w:pPr>
      <w:r>
        <w:rPr>
          <w:rFonts w:ascii="Amiri" w:hAnsi="Amiri" w:eastAsia="Amiri" w:cs="Amiri"/>
          <w:lang w:bidi="ar-SA"/>
          <w:color w:val="111111"/>
          <w:sz w:val="28"/>
          <w:szCs w:val="28"/>
          <w:rtl/>
        </w:rPr>
        <w:t xml:space="preserve">بتعذّر شرطه 397</w:t>
      </w:r>
    </w:p>
    <w:p>
      <w:pPr>
        <w:pStyle w:val="BookText"/>
      </w:pPr>
      <w:r>
        <w:rPr>
          <w:rFonts w:ascii="IRNazanin" w:hAnsi="IRNazanin" w:eastAsia="IRNazanin" w:cs="IRNazanin"/>
          <w:lang w:bidi="fa-IR"/>
          <w:color w:val="111111"/>
          <w:sz w:val="28"/>
          <w:szCs w:val="28"/>
          <w:rtl/>
        </w:rPr>
        <w:t xml:space="preserve">لو دار الأمر بین ترک الجزء و ترک الشرط 398</w:t>
      </w:r>
    </w:p>
    <w:p>
      <w:pPr>
        <w:pStyle w:val="BookText"/>
      </w:pPr>
      <w:r>
        <w:rPr>
          <w:rFonts w:ascii="IRNazanin" w:hAnsi="IRNazanin" w:eastAsia="IRNazanin" w:cs="IRNazanin"/>
          <w:lang w:bidi="fa-IR"/>
          <w:color w:val="111111"/>
          <w:sz w:val="28"/>
          <w:szCs w:val="28"/>
          <w:rtl/>
        </w:rPr>
        <w:t xml:space="preserve">لو جعل الشارع للکلّ بدلا اضطراریا 398</w:t>
      </w:r>
    </w:p>
    <w:p>
      <w:pPr>
        <w:pStyle w:val="BookText"/>
      </w:pPr>
      <w:r>
        <w:rPr>
          <w:rFonts w:ascii="IRNazanin" w:hAnsi="IRNazanin" w:eastAsia="IRNazanin" w:cs="IRNazanin"/>
          <w:lang w:bidi="fa-IR"/>
          <w:color w:val="111111"/>
          <w:sz w:val="28"/>
          <w:szCs w:val="28"/>
          <w:rtl/>
        </w:rPr>
        <w:t xml:space="preserve">الأمر الثالث:لو دار الأمر بین الشرطیّة و الجزئیّة 399</w:t>
      </w:r>
    </w:p>
    <w:p>
      <w:pPr>
        <w:pStyle w:val="BookText"/>
      </w:pPr>
      <w:r>
        <w:rPr>
          <w:rFonts w:ascii="IRNazanin" w:hAnsi="IRNazanin" w:eastAsia="IRNazanin" w:cs="IRNazanin"/>
          <w:lang w:bidi="fa-IR"/>
          <w:color w:val="111111"/>
          <w:sz w:val="28"/>
          <w:szCs w:val="28"/>
          <w:rtl/>
        </w:rPr>
        <w:t xml:space="preserve">الأمر الرابع:لو دار الأمر بین کون الشیء شرطا أو مانعا أو بین کونه جزءا أو زیادة مبطلة 400</w:t>
      </w:r>
    </w:p>
    <w:p>
      <w:pPr>
        <w:pStyle w:val="BookText"/>
      </w:pPr>
      <w:r>
        <w:rPr>
          <w:rFonts w:ascii="IRNazanin" w:hAnsi="IRNazanin" w:eastAsia="IRNazanin" w:cs="IRNazanin"/>
          <w:lang w:bidi="fa-IR"/>
          <w:color w:val="111111"/>
          <w:sz w:val="28"/>
          <w:szCs w:val="28"/>
          <w:rtl/>
        </w:rPr>
        <w:t xml:space="preserve">وجهان فی المسألة 400</w:t>
      </w:r>
    </w:p>
    <w:p>
      <w:pPr>
        <w:pStyle w:val="BookText"/>
      </w:pPr>
      <w:r>
        <w:rPr>
          <w:rFonts w:ascii="IRNazanin" w:hAnsi="IRNazanin" w:eastAsia="IRNazanin" w:cs="IRNazanin"/>
          <w:lang w:bidi="fa-IR"/>
          <w:color w:val="111111"/>
          <w:sz w:val="28"/>
          <w:szCs w:val="28"/>
          <w:rtl/>
        </w:rPr>
        <w:t xml:space="preserve">التخییر و الدلیل علیه 400</w:t>
      </w:r>
    </w:p>
    <w:p>
      <w:pPr>
        <w:pStyle w:val="BookText"/>
      </w:pPr>
      <w:r>
        <w:rPr>
          <w:rFonts w:ascii="IRNazanin" w:hAnsi="IRNazanin" w:eastAsia="IRNazanin" w:cs="IRNazanin"/>
          <w:lang w:bidi="fa-IR"/>
          <w:color w:val="111111"/>
          <w:sz w:val="28"/>
          <w:szCs w:val="28"/>
          <w:rtl/>
        </w:rPr>
        <w:t xml:space="preserve">وجوب الاحتیاط و الدلیل علیه 402</w:t>
      </w:r>
    </w:p>
    <w:p>
      <w:pPr>
        <w:pStyle w:val="BookText"/>
      </w:pPr>
      <w:r>
        <w:rPr>
          <w:rFonts w:ascii="IRNazanin" w:hAnsi="IRNazanin" w:eastAsia="IRNazanin" w:cs="IRNazanin"/>
          <w:lang w:bidi="fa-IR"/>
          <w:color w:val="111111"/>
          <w:sz w:val="28"/>
          <w:szCs w:val="28"/>
          <w:rtl/>
        </w:rPr>
        <w:t xml:space="preserve">التحقیق فی المسألة 402</w:t>
      </w:r>
    </w:p>
    <w:p>
      <w:pPr>
        <w:pStyle w:val="BookText"/>
      </w:pPr>
      <w:r>
        <w:rPr>
          <w:rFonts w:ascii="IRNazanin" w:hAnsi="IRNazanin" w:eastAsia="IRNazanin" w:cs="IRNazanin"/>
          <w:lang w:bidi="fa-IR"/>
          <w:color w:val="111111"/>
          <w:sz w:val="28"/>
          <w:szCs w:val="28"/>
          <w:rtl/>
        </w:rPr>
        <w:t xml:space="preserve">المطلب الثالث:اشتباه الواجب بالحرام حکم المسألة 403</w:t>
      </w:r>
    </w:p>
    <w:p>
      <w:pPr>
        <w:pStyle w:val="BookText"/>
      </w:pPr>
      <w:r>
        <w:rPr>
          <w:rFonts w:ascii="IRNazanin" w:hAnsi="IRNazanin" w:eastAsia="IRNazanin" w:cs="IRNazanin"/>
          <w:lang w:bidi="fa-IR"/>
          <w:color w:val="111111"/>
          <w:sz w:val="28"/>
          <w:szCs w:val="28"/>
          <w:rtl/>
        </w:rPr>
        <w:t xml:space="preserve">[شماره صفحه واقعی : 499]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خاتمة فیما یعتبر فی العمل بالأصل،و الکلام فی مقامین:</w:t>
      </w:r>
    </w:p>
    <w:p>
      <w:pPr>
        <w:pStyle w:val="BookText"/>
      </w:pPr>
      <w:r>
        <w:rPr>
          <w:rFonts w:ascii="IRNazanin" w:hAnsi="IRNazanin" w:eastAsia="IRNazanin" w:cs="IRNazanin"/>
          <w:lang w:bidi="fa-IR"/>
          <w:color w:val="111111"/>
          <w:sz w:val="28"/>
          <w:szCs w:val="28"/>
          <w:rtl/>
        </w:rPr>
        <w:t xml:space="preserve">المقام الأوّل:ما یعتبر فی العمل بالاحتیاط لا یعتبر فی الاحتیاط إلاّ إحراز الواقع 405</w:t>
      </w:r>
    </w:p>
    <w:p>
      <w:pPr>
        <w:pStyle w:val="BookText"/>
      </w:pPr>
      <w:r>
        <w:rPr>
          <w:rFonts w:ascii="IRNazanin" w:hAnsi="IRNazanin" w:eastAsia="IRNazanin" w:cs="IRNazanin"/>
          <w:lang w:bidi="fa-IR"/>
          <w:color w:val="111111"/>
          <w:sz w:val="28"/>
          <w:szCs w:val="28"/>
          <w:rtl/>
        </w:rPr>
        <w:t xml:space="preserve">المشهور عدم تحقّق الاحتیاط فی العبادات إلاّ بعد الفحص 405</w:t>
      </w:r>
    </w:p>
    <w:p>
      <w:pPr>
        <w:pStyle w:val="BookText"/>
      </w:pPr>
      <w:r>
        <w:rPr>
          <w:rFonts w:ascii="IRNazanin" w:hAnsi="IRNazanin" w:eastAsia="IRNazanin" w:cs="IRNazanin"/>
          <w:lang w:bidi="fa-IR"/>
          <w:color w:val="111111"/>
          <w:sz w:val="28"/>
          <w:szCs w:val="28"/>
          <w:rtl/>
        </w:rPr>
        <w:t xml:space="preserve">المشهور بطلان عبادة تارک طریقی الاجتهاد و التقلید 406</w:t>
      </w:r>
    </w:p>
    <w:p>
      <w:pPr>
        <w:pStyle w:val="BookText"/>
      </w:pPr>
      <w:r>
        <w:rPr>
          <w:rFonts w:ascii="IRNazanin" w:hAnsi="IRNazanin" w:eastAsia="IRNazanin" w:cs="IRNazanin"/>
          <w:lang w:bidi="fa-IR"/>
          <w:color w:val="111111"/>
          <w:sz w:val="28"/>
          <w:szCs w:val="28"/>
          <w:rtl/>
        </w:rPr>
        <w:t xml:space="preserve">لو کان التارک للطریقین بانیا علی الاحتیاط 407</w:t>
      </w:r>
    </w:p>
    <w:p>
      <w:pPr>
        <w:pStyle w:val="BookText"/>
      </w:pPr>
      <w:r>
        <w:rPr>
          <w:rFonts w:ascii="IRNazanin" w:hAnsi="IRNazanin" w:eastAsia="IRNazanin" w:cs="IRNazanin"/>
          <w:lang w:bidi="fa-IR"/>
          <w:color w:val="111111"/>
          <w:sz w:val="28"/>
          <w:szCs w:val="28"/>
          <w:rtl/>
        </w:rPr>
        <w:t xml:space="preserve">الأقوی الصحّة إذا لم یتوقّف الاحتیاط علی التکرار 407</w:t>
      </w:r>
    </w:p>
    <w:p>
      <w:pPr>
        <w:pStyle w:val="BookText"/>
      </w:pPr>
      <w:r>
        <w:rPr>
          <w:rFonts w:ascii="IRNazanin" w:hAnsi="IRNazanin" w:eastAsia="IRNazanin" w:cs="IRNazanin"/>
          <w:lang w:bidi="fa-IR"/>
          <w:color w:val="111111"/>
          <w:sz w:val="28"/>
          <w:szCs w:val="28"/>
          <w:rtl/>
        </w:rPr>
        <w:t xml:space="preserve">الأحوط عدم الاکتفاء بالاحتیاط 408</w:t>
      </w:r>
    </w:p>
    <w:p>
      <w:pPr>
        <w:pStyle w:val="BookText"/>
      </w:pPr>
      <w:r>
        <w:rPr>
          <w:rFonts w:ascii="IRNazanin" w:hAnsi="IRNazanin" w:eastAsia="IRNazanin" w:cs="IRNazanin"/>
          <w:lang w:bidi="fa-IR"/>
          <w:color w:val="111111"/>
          <w:sz w:val="28"/>
          <w:szCs w:val="28"/>
          <w:rtl/>
        </w:rPr>
        <w:t xml:space="preserve">لو توقّف الاحتیاط علی التکرار 409</w:t>
      </w:r>
    </w:p>
    <w:p>
      <w:pPr>
        <w:pStyle w:val="BookText"/>
      </w:pPr>
      <w:r>
        <w:rPr>
          <w:rFonts w:ascii="IRNazanin" w:hAnsi="IRNazanin" w:eastAsia="IRNazanin" w:cs="IRNazanin"/>
          <w:lang w:bidi="fa-IR"/>
          <w:color w:val="111111"/>
          <w:sz w:val="28"/>
          <w:szCs w:val="28"/>
          <w:rtl/>
        </w:rPr>
        <w:t xml:space="preserve">قوّة احتمال اعتبار الإطاعة التفصیلیّة دون الاحتمالیّة 409</w:t>
      </w:r>
    </w:p>
    <w:p>
      <w:pPr>
        <w:pStyle w:val="BookText"/>
      </w:pPr>
      <w:r>
        <w:rPr>
          <w:rFonts w:ascii="IRNazanin" w:hAnsi="IRNazanin" w:eastAsia="IRNazanin" w:cs="IRNazanin"/>
          <w:lang w:bidi="fa-IR"/>
          <w:color w:val="111111"/>
          <w:sz w:val="28"/>
          <w:szCs w:val="28"/>
          <w:rtl/>
        </w:rPr>
        <w:t xml:space="preserve">لو دخل فی العبادة بنیّة الجزم ثمّ اتّفق ما یوجب تردّده فی الصحّة و البطلان 409</w:t>
      </w:r>
    </w:p>
    <w:p>
      <w:pPr>
        <w:pStyle w:val="BookText"/>
      </w:pPr>
      <w:r>
        <w:rPr>
          <w:rFonts w:ascii="IRNazanin" w:hAnsi="IRNazanin" w:eastAsia="IRNazanin" w:cs="IRNazanin"/>
          <w:lang w:bidi="fa-IR"/>
          <w:color w:val="111111"/>
          <w:sz w:val="28"/>
          <w:szCs w:val="28"/>
          <w:rtl/>
        </w:rPr>
        <w:t xml:space="preserve">إمکان التفصیل بین کون الموجب للتردّد ممّا یعمّ به البلوی و غیره 411</w:t>
      </w:r>
    </w:p>
    <w:p>
      <w:pPr>
        <w:pStyle w:val="BookText"/>
      </w:pPr>
      <w:r>
        <w:rPr>
          <w:rFonts w:ascii="IRNazanin" w:hAnsi="IRNazanin" w:eastAsia="IRNazanin" w:cs="IRNazanin"/>
          <w:lang w:bidi="fa-IR"/>
          <w:color w:val="111111"/>
          <w:sz w:val="28"/>
          <w:szCs w:val="28"/>
          <w:rtl/>
        </w:rPr>
        <w:t xml:space="preserve">المقام الثانی:ما یعتبر فی العمل بالبراءة عدم اعتبار الفحص فی الشبهة الموضوعیّة 411</w:t>
      </w:r>
    </w:p>
    <w:p>
      <w:pPr>
        <w:pStyle w:val="BookText"/>
      </w:pPr>
      <w:r>
        <w:rPr>
          <w:rFonts w:ascii="IRNazanin" w:hAnsi="IRNazanin" w:eastAsia="IRNazanin" w:cs="IRNazanin"/>
          <w:lang w:bidi="fa-IR"/>
          <w:color w:val="111111"/>
          <w:sz w:val="28"/>
          <w:szCs w:val="28"/>
          <w:rtl/>
        </w:rPr>
        <w:t xml:space="preserve">وجوب الفحص فی الشبهة الحکمیّة 412</w:t>
      </w:r>
    </w:p>
    <w:p>
      <w:pPr>
        <w:pStyle w:val="BookText"/>
      </w:pPr>
      <w:r>
        <w:rPr>
          <w:rFonts w:ascii="IRNazanin" w:hAnsi="IRNazanin" w:eastAsia="IRNazanin" w:cs="IRNazanin"/>
          <w:lang w:bidi="fa-IR"/>
          <w:color w:val="111111"/>
          <w:sz w:val="28"/>
          <w:szCs w:val="28"/>
          <w:rtl/>
        </w:rPr>
        <w:t xml:space="preserve">الکلام هنا فی مقامین:</w:t>
      </w:r>
    </w:p>
    <w:p>
      <w:pPr>
        <w:pStyle w:val="BookText"/>
      </w:pPr>
      <w:r>
        <w:rPr>
          <w:rFonts w:ascii="IRNazanin" w:hAnsi="IRNazanin" w:eastAsia="IRNazanin" w:cs="IRNazanin"/>
          <w:lang w:bidi="fa-IR"/>
          <w:color w:val="111111"/>
          <w:sz w:val="28"/>
          <w:szCs w:val="28"/>
          <w:rtl/>
        </w:rPr>
        <w:t xml:space="preserve">المقام الأوّل:فی وجوب أصل الفحص</w:t>
      </w:r>
    </w:p>
    <w:p>
      <w:pPr>
        <w:pStyle w:val="BookText"/>
      </w:pPr>
      <w:r>
        <w:rPr>
          <w:rFonts w:ascii="Amiri" w:hAnsi="Amiri" w:eastAsia="Amiri" w:cs="Amiri"/>
          <w:lang w:bidi="ar-SA"/>
          <w:color w:val="111111"/>
          <w:sz w:val="28"/>
          <w:szCs w:val="28"/>
          <w:rtl/>
        </w:rPr>
        <w:t xml:space="preserve">أدلّة وجوب الفحص:412</w:t>
      </w:r>
    </w:p>
    <w:p>
      <w:pPr>
        <w:pStyle w:val="BookText"/>
      </w:pPr>
      <w:r>
        <w:rPr>
          <w:rFonts w:ascii="IRNazanin" w:hAnsi="IRNazanin" w:eastAsia="IRNazanin" w:cs="IRNazanin"/>
          <w:lang w:bidi="fa-IR"/>
          <w:color w:val="111111"/>
          <w:sz w:val="28"/>
          <w:szCs w:val="28"/>
          <w:rtl/>
        </w:rPr>
        <w:t xml:space="preserve">[شماره صفحه واقعی : 500]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1-الإجماع 412</w:t>
      </w:r>
    </w:p>
    <w:p>
      <w:pPr>
        <w:pStyle w:val="BookText"/>
      </w:pPr>
      <w:r>
        <w:rPr>
          <w:rFonts w:ascii="IRNazanin" w:hAnsi="IRNazanin" w:eastAsia="IRNazanin" w:cs="IRNazanin"/>
          <w:lang w:bidi="fa-IR"/>
          <w:color w:val="111111"/>
          <w:sz w:val="28"/>
          <w:szCs w:val="28"/>
          <w:rtl/>
        </w:rPr>
        <w:t xml:space="preserve">2-ما دلّ علی وجوب تحصیل العلم 412</w:t>
      </w:r>
    </w:p>
    <w:p>
      <w:pPr>
        <w:pStyle w:val="BookText"/>
      </w:pPr>
      <w:r>
        <w:rPr>
          <w:rFonts w:ascii="IRNazanin" w:hAnsi="IRNazanin" w:eastAsia="IRNazanin" w:cs="IRNazanin"/>
          <w:lang w:bidi="fa-IR"/>
          <w:color w:val="111111"/>
          <w:sz w:val="28"/>
          <w:szCs w:val="28"/>
          <w:rtl/>
        </w:rPr>
        <w:t xml:space="preserve">3-ما دلّ علی مؤاخذة الجهّال 412</w:t>
      </w:r>
    </w:p>
    <w:p>
      <w:pPr>
        <w:pStyle w:val="BookText"/>
      </w:pPr>
      <w:r>
        <w:rPr>
          <w:rFonts w:ascii="IRNazanin" w:hAnsi="IRNazanin" w:eastAsia="IRNazanin" w:cs="IRNazanin"/>
          <w:lang w:bidi="fa-IR"/>
          <w:color w:val="111111"/>
          <w:sz w:val="28"/>
          <w:szCs w:val="28"/>
          <w:rtl/>
        </w:rPr>
        <w:t xml:space="preserve">4-دلیل العقل 413</w:t>
      </w:r>
    </w:p>
    <w:p>
      <w:pPr>
        <w:pStyle w:val="BookText"/>
      </w:pPr>
      <w:r>
        <w:rPr>
          <w:rFonts w:ascii="IRNazanin" w:hAnsi="IRNazanin" w:eastAsia="IRNazanin" w:cs="IRNazanin"/>
          <w:lang w:bidi="fa-IR"/>
          <w:color w:val="111111"/>
          <w:sz w:val="28"/>
          <w:szCs w:val="28"/>
          <w:rtl/>
        </w:rPr>
        <w:t xml:space="preserve">5-العلم الإجمالی 414</w:t>
      </w:r>
    </w:p>
    <w:p>
      <w:pPr>
        <w:pStyle w:val="BookText"/>
      </w:pPr>
      <w:r>
        <w:rPr>
          <w:rFonts w:ascii="IRNazanin" w:hAnsi="IRNazanin" w:eastAsia="IRNazanin" w:cs="IRNazanin"/>
          <w:lang w:bidi="fa-IR"/>
          <w:color w:val="111111"/>
          <w:sz w:val="28"/>
          <w:szCs w:val="28"/>
          <w:rtl/>
        </w:rPr>
        <w:t xml:space="preserve">المناقشة فی العلم الإجمالی 415</w:t>
      </w:r>
    </w:p>
    <w:p>
      <w:pPr>
        <w:pStyle w:val="BookText"/>
      </w:pPr>
      <w:r>
        <w:rPr>
          <w:rFonts w:ascii="IRNazanin" w:hAnsi="IRNazanin" w:eastAsia="IRNazanin" w:cs="IRNazanin"/>
          <w:lang w:bidi="fa-IR"/>
          <w:color w:val="111111"/>
          <w:sz w:val="28"/>
          <w:szCs w:val="28"/>
          <w:rtl/>
        </w:rPr>
        <w:t xml:space="preserve">الأولی ما ذکر فی الوجه الرابع 415</w:t>
      </w:r>
    </w:p>
    <w:p>
      <w:pPr>
        <w:pStyle w:val="BookText"/>
      </w:pPr>
      <w:r>
        <w:rPr>
          <w:rFonts w:ascii="IRNazanin" w:hAnsi="IRNazanin" w:eastAsia="IRNazanin" w:cs="IRNazanin"/>
          <w:lang w:bidi="fa-IR"/>
          <w:color w:val="111111"/>
          <w:sz w:val="28"/>
          <w:szCs w:val="28"/>
          <w:rtl/>
        </w:rPr>
        <w:t xml:space="preserve">الأخذ بالبراءة مع ترک الفحص 416</w:t>
      </w:r>
    </w:p>
    <w:p>
      <w:pPr>
        <w:pStyle w:val="BookText"/>
      </w:pPr>
      <w:r>
        <w:rPr>
          <w:rFonts w:ascii="IRNazanin" w:hAnsi="IRNazanin" w:eastAsia="IRNazanin" w:cs="IRNazanin"/>
          <w:lang w:bidi="fa-IR"/>
          <w:color w:val="111111"/>
          <w:sz w:val="28"/>
          <w:szCs w:val="28"/>
          <w:rtl/>
        </w:rPr>
        <w:t xml:space="preserve">المشهور أنّ عقاب الجاهل المقصّر علی مخالفة الواقع 416</w:t>
      </w:r>
    </w:p>
    <w:p>
      <w:pPr>
        <w:pStyle w:val="BookText"/>
      </w:pPr>
      <w:r>
        <w:rPr>
          <w:rFonts w:ascii="Amiri" w:hAnsi="Amiri" w:eastAsia="Amiri" w:cs="Amiri"/>
          <w:lang w:bidi="ar-SA"/>
          <w:color w:val="111111"/>
          <w:sz w:val="28"/>
          <w:szCs w:val="28"/>
          <w:rtl/>
        </w:rPr>
        <w:t xml:space="preserve">عدم العقاب مع عدم مخالفة الواقع 416</w:t>
      </w:r>
    </w:p>
    <w:p>
      <w:pPr>
        <w:pStyle w:val="BookText"/>
      </w:pPr>
      <w:r>
        <w:rPr>
          <w:rFonts w:ascii="IRNazanin" w:hAnsi="IRNazanin" w:eastAsia="IRNazanin" w:cs="IRNazanin"/>
          <w:lang w:bidi="fa-IR"/>
          <w:color w:val="111111"/>
          <w:sz w:val="28"/>
          <w:szCs w:val="28"/>
          <w:rtl/>
        </w:rPr>
        <w:t xml:space="preserve">الاستدلال علی العقاب عند مخالفة الواقع 417</w:t>
      </w:r>
    </w:p>
    <w:p>
      <w:pPr>
        <w:pStyle w:val="BookText"/>
      </w:pPr>
      <w:r>
        <w:rPr>
          <w:rFonts w:ascii="IRNazanin" w:hAnsi="IRNazanin" w:eastAsia="IRNazanin" w:cs="IRNazanin"/>
          <w:lang w:bidi="fa-IR"/>
          <w:color w:val="111111"/>
          <w:sz w:val="28"/>
          <w:szCs w:val="28"/>
          <w:rtl/>
        </w:rPr>
        <w:t xml:space="preserve">عدم کون الجهل مانعا من العقاب لا عقلا و لا شرعا 417</w:t>
      </w:r>
    </w:p>
    <w:p>
      <w:pPr>
        <w:pStyle w:val="BookText"/>
      </w:pPr>
      <w:r>
        <w:rPr>
          <w:rFonts w:ascii="IRNazanin" w:hAnsi="IRNazanin" w:eastAsia="IRNazanin" w:cs="IRNazanin"/>
          <w:lang w:bidi="fa-IR"/>
          <w:color w:val="111111"/>
          <w:sz w:val="28"/>
          <w:szCs w:val="28"/>
          <w:rtl/>
        </w:rPr>
        <w:t xml:space="preserve">الاستدلال علی العقاب بالاجماع علی مؤاخذة الکفّار علی</w:t>
      </w:r>
    </w:p>
    <w:p>
      <w:pPr>
        <w:pStyle w:val="BookText"/>
      </w:pPr>
      <w:r>
        <w:rPr>
          <w:rFonts w:ascii="IRNazanin" w:hAnsi="IRNazanin" w:eastAsia="IRNazanin" w:cs="IRNazanin"/>
          <w:lang w:bidi="fa-IR"/>
          <w:color w:val="111111"/>
          <w:sz w:val="28"/>
          <w:szCs w:val="28"/>
          <w:rtl/>
        </w:rPr>
        <w:t xml:space="preserve">الفروع و المناقشة فیه 418</w:t>
      </w:r>
    </w:p>
    <w:p>
      <w:pPr>
        <w:pStyle w:val="BookText"/>
      </w:pPr>
      <w:r>
        <w:rPr>
          <w:rFonts w:ascii="IRNazanin" w:hAnsi="IRNazanin" w:eastAsia="IRNazanin" w:cs="IRNazanin"/>
          <w:lang w:bidi="fa-IR"/>
          <w:color w:val="111111"/>
          <w:sz w:val="28"/>
          <w:szCs w:val="28"/>
          <w:rtl/>
        </w:rPr>
        <w:t xml:space="preserve">جعل العقاب علی ترک التعلّم فی کلام صاحب المدارک 418</w:t>
      </w:r>
    </w:p>
    <w:p>
      <w:pPr>
        <w:pStyle w:val="BookText"/>
      </w:pPr>
      <w:r>
        <w:rPr>
          <w:rFonts w:ascii="IRNazanin" w:hAnsi="IRNazanin" w:eastAsia="IRNazanin" w:cs="IRNazanin"/>
          <w:lang w:bidi="fa-IR"/>
          <w:color w:val="111111"/>
          <w:sz w:val="28"/>
          <w:szCs w:val="28"/>
          <w:rtl/>
        </w:rPr>
        <w:t xml:space="preserve">توجیه کلام صاحب المدارک 418</w:t>
      </w:r>
    </w:p>
    <w:p>
      <w:pPr>
        <w:pStyle w:val="BookText"/>
      </w:pPr>
      <w:r>
        <w:rPr>
          <w:rFonts w:ascii="IRNazanin" w:hAnsi="IRNazanin" w:eastAsia="IRNazanin" w:cs="IRNazanin"/>
          <w:lang w:bidi="fa-IR"/>
          <w:color w:val="111111"/>
          <w:sz w:val="28"/>
          <w:szCs w:val="28"/>
          <w:rtl/>
        </w:rPr>
        <w:t xml:space="preserve">ما هو مراد المشهور القائلین بالعقاب علی مخالفة الواقع؟419</w:t>
      </w:r>
    </w:p>
    <w:p>
      <w:pPr>
        <w:pStyle w:val="BookText"/>
      </w:pPr>
      <w:r>
        <w:rPr>
          <w:rFonts w:ascii="IRNazanin" w:hAnsi="IRNazanin" w:eastAsia="IRNazanin" w:cs="IRNazanin"/>
          <w:lang w:bidi="fa-IR"/>
          <w:color w:val="111111"/>
          <w:sz w:val="28"/>
          <w:szCs w:val="28"/>
          <w:rtl/>
        </w:rPr>
        <w:t xml:space="preserve">ظاهر بعض کلماتهم توجّه النهی إلی الجاهل حین غفلته 419</w:t>
      </w:r>
    </w:p>
    <w:p>
      <w:pPr>
        <w:pStyle w:val="BookText"/>
      </w:pPr>
      <w:r>
        <w:rPr>
          <w:rFonts w:ascii="IRNazanin" w:hAnsi="IRNazanin" w:eastAsia="IRNazanin" w:cs="IRNazanin"/>
          <w:lang w:bidi="fa-IR"/>
          <w:color w:val="111111"/>
          <w:sz w:val="28"/>
          <w:szCs w:val="28"/>
          <w:rtl/>
        </w:rPr>
        <w:t xml:space="preserve">الفرق بین جاهل الحکم و جاهل الموضوع 420</w:t>
      </w:r>
    </w:p>
    <w:p>
      <w:pPr>
        <w:pStyle w:val="BookText"/>
      </w:pPr>
      <w:r>
        <w:rPr>
          <w:rFonts w:ascii="IRNazanin" w:hAnsi="IRNazanin" w:eastAsia="IRNazanin" w:cs="IRNazanin"/>
          <w:lang w:bidi="fa-IR"/>
          <w:color w:val="111111"/>
          <w:sz w:val="28"/>
          <w:szCs w:val="28"/>
          <w:rtl/>
        </w:rPr>
        <w:t xml:space="preserve">الإشکال فی ناسی الحکم خصوصا المقصّر 420</w:t>
      </w:r>
    </w:p>
    <w:p>
      <w:pPr>
        <w:pStyle w:val="BookText"/>
      </w:pPr>
      <w:r>
        <w:rPr>
          <w:rFonts w:ascii="IRNazanin" w:hAnsi="IRNazanin" w:eastAsia="IRNazanin" w:cs="IRNazanin"/>
          <w:lang w:bidi="fa-IR"/>
          <w:color w:val="111111"/>
          <w:sz w:val="28"/>
          <w:szCs w:val="28"/>
          <w:rtl/>
        </w:rPr>
        <w:t xml:space="preserve">عدم إباء کلام صاحب المدارک عن کون العلم واجبا نفسیا 421</w:t>
      </w:r>
    </w:p>
    <w:p>
      <w:pPr>
        <w:pStyle w:val="BookText"/>
      </w:pPr>
      <w:r>
        <w:rPr>
          <w:rFonts w:ascii="IRNazanin" w:hAnsi="IRNazanin" w:eastAsia="IRNazanin" w:cs="IRNazanin"/>
          <w:lang w:bidi="fa-IR"/>
          <w:color w:val="111111"/>
          <w:sz w:val="28"/>
          <w:szCs w:val="28"/>
          <w:rtl/>
        </w:rPr>
        <w:t xml:space="preserve">ظاهر أدلّة وجوب العلم کونه واجبا غیریّا 422</w:t>
      </w:r>
    </w:p>
    <w:p>
      <w:pPr>
        <w:pStyle w:val="BookText"/>
      </w:pPr>
      <w:r>
        <w:rPr>
          <w:rFonts w:ascii="IRNazanin" w:hAnsi="IRNazanin" w:eastAsia="IRNazanin" w:cs="IRNazanin"/>
          <w:lang w:bidi="fa-IR"/>
          <w:color w:val="111111"/>
          <w:sz w:val="28"/>
          <w:szCs w:val="28"/>
          <w:rtl/>
        </w:rPr>
        <w:t xml:space="preserve">هل العمل الصادر من الجاهل صحیح أو فاسد؟422</w:t>
      </w:r>
    </w:p>
    <w:p>
      <w:pPr>
        <w:pStyle w:val="BookText"/>
      </w:pPr>
      <w:r>
        <w:rPr>
          <w:rFonts w:ascii="IRNazanin" w:hAnsi="IRNazanin" w:eastAsia="IRNazanin" w:cs="IRNazanin"/>
          <w:lang w:bidi="fa-IR"/>
          <w:color w:val="111111"/>
          <w:sz w:val="28"/>
          <w:szCs w:val="28"/>
          <w:rtl/>
        </w:rPr>
        <w:t xml:space="preserve">[شماره صفحه واقعی : 501]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المشهور أنّ العبرة فی المعاملات بمطابقة الواقع و مخالفته 422</w:t>
      </w:r>
    </w:p>
    <w:p>
      <w:pPr>
        <w:pStyle w:val="BookText"/>
      </w:pPr>
      <w:r>
        <w:rPr>
          <w:rFonts w:ascii="IRNazanin" w:hAnsi="IRNazanin" w:eastAsia="IRNazanin" w:cs="IRNazanin"/>
          <w:lang w:bidi="fa-IR"/>
          <w:color w:val="111111"/>
          <w:sz w:val="28"/>
          <w:szCs w:val="28"/>
          <w:rtl/>
        </w:rPr>
        <w:t xml:space="preserve">عدم الفرق فی صحّة معاملة الجاهل بین شکّه فی الصحّة حین</w:t>
      </w:r>
    </w:p>
    <w:p>
      <w:pPr>
        <w:pStyle w:val="BookText"/>
      </w:pPr>
      <w:r>
        <w:rPr>
          <w:rFonts w:ascii="IRNazanin" w:hAnsi="IRNazanin" w:eastAsia="IRNazanin" w:cs="IRNazanin"/>
          <w:lang w:bidi="fa-IR"/>
          <w:color w:val="111111"/>
          <w:sz w:val="28"/>
          <w:szCs w:val="28"/>
          <w:rtl/>
        </w:rPr>
        <w:t xml:space="preserve">صدورها أو قطعه بفسادها 429</w:t>
      </w:r>
    </w:p>
    <w:p>
      <w:pPr>
        <w:pStyle w:val="BookText"/>
      </w:pPr>
      <w:r>
        <w:rPr>
          <w:rFonts w:ascii="IRNazanin" w:hAnsi="IRNazanin" w:eastAsia="IRNazanin" w:cs="IRNazanin"/>
          <w:lang w:bidi="fa-IR"/>
          <w:color w:val="111111"/>
          <w:sz w:val="28"/>
          <w:szCs w:val="28"/>
          <w:rtl/>
        </w:rPr>
        <w:t xml:space="preserve">إذا أوقع الجاهل عبادة عمل فیها بما تقتضیه البراءة 429</w:t>
      </w:r>
    </w:p>
    <w:p>
      <w:pPr>
        <w:pStyle w:val="BookText"/>
      </w:pPr>
      <w:r>
        <w:rPr>
          <w:rFonts w:ascii="IRNazanin" w:hAnsi="IRNazanin" w:eastAsia="IRNazanin" w:cs="IRNazanin"/>
          <w:lang w:bidi="fa-IR"/>
          <w:color w:val="111111"/>
          <w:sz w:val="28"/>
          <w:szCs w:val="28"/>
          <w:rtl/>
        </w:rPr>
        <w:t xml:space="preserve">عدم تحقّق قصد القربة مع الشکّ فی کون العمل مقرّبا 430</w:t>
      </w:r>
    </w:p>
    <w:p>
      <w:pPr>
        <w:pStyle w:val="BookText"/>
      </w:pPr>
      <w:r>
        <w:rPr>
          <w:rFonts w:ascii="IRNazanin" w:hAnsi="IRNazanin" w:eastAsia="IRNazanin" w:cs="IRNazanin"/>
          <w:lang w:bidi="fa-IR"/>
          <w:color w:val="111111"/>
          <w:sz w:val="28"/>
          <w:szCs w:val="28"/>
          <w:rtl/>
        </w:rPr>
        <w:t xml:space="preserve">إذا کان غافلا و عمل باعتقاد التقرّب 430</w:t>
      </w:r>
    </w:p>
    <w:p>
      <w:pPr>
        <w:pStyle w:val="BookText"/>
      </w:pPr>
      <w:r>
        <w:rPr>
          <w:rFonts w:ascii="IRNazanin" w:hAnsi="IRNazanin" w:eastAsia="IRNazanin" w:cs="IRNazanin"/>
          <w:lang w:bidi="fa-IR"/>
          <w:color w:val="111111"/>
          <w:sz w:val="28"/>
          <w:szCs w:val="28"/>
          <w:rtl/>
        </w:rPr>
        <w:t xml:space="preserve">الکلام فی امور:</w:t>
      </w:r>
    </w:p>
    <w:p>
      <w:pPr>
        <w:pStyle w:val="BookText"/>
      </w:pPr>
      <w:r>
        <w:rPr>
          <w:rFonts w:ascii="IRNazanin" w:hAnsi="IRNazanin" w:eastAsia="IRNazanin" w:cs="IRNazanin"/>
          <w:lang w:bidi="fa-IR"/>
          <w:color w:val="111111"/>
          <w:sz w:val="28"/>
          <w:szCs w:val="28"/>
          <w:rtl/>
        </w:rPr>
        <w:t xml:space="preserve">الأوّل:هل العبرة فی عقاب الجاهل بمخالفة الواقع أو الطریق؟433</w:t>
      </w:r>
    </w:p>
    <w:p>
      <w:pPr>
        <w:pStyle w:val="BookText"/>
      </w:pPr>
      <w:r>
        <w:rPr>
          <w:rFonts w:ascii="IRNazanin" w:hAnsi="IRNazanin" w:eastAsia="IRNazanin" w:cs="IRNazanin"/>
          <w:lang w:bidi="fa-IR"/>
          <w:color w:val="111111"/>
          <w:sz w:val="28"/>
          <w:szCs w:val="28"/>
          <w:rtl/>
        </w:rPr>
        <w:t xml:space="preserve">فی المسألة وجوه أربعة 433</w:t>
      </w:r>
    </w:p>
    <w:p>
      <w:pPr>
        <w:pStyle w:val="BookText"/>
      </w:pPr>
      <w:r>
        <w:rPr>
          <w:rFonts w:ascii="IRNazanin" w:hAnsi="IRNazanin" w:eastAsia="IRNazanin" w:cs="IRNazanin"/>
          <w:lang w:bidi="fa-IR"/>
          <w:color w:val="111111"/>
          <w:sz w:val="28"/>
          <w:szCs w:val="28"/>
          <w:rtl/>
        </w:rPr>
        <w:t xml:space="preserve">رأی المصنّف و الدلیل علیه 435</w:t>
      </w:r>
    </w:p>
    <w:p>
      <w:pPr>
        <w:pStyle w:val="BookText"/>
      </w:pPr>
      <w:r>
        <w:rPr>
          <w:rFonts w:ascii="IRNazanin" w:hAnsi="IRNazanin" w:eastAsia="IRNazanin" w:cs="IRNazanin"/>
          <w:lang w:bidi="fa-IR"/>
          <w:color w:val="111111"/>
          <w:sz w:val="28"/>
          <w:szCs w:val="28"/>
          <w:rtl/>
        </w:rPr>
        <w:t xml:space="preserve">الثانی:معذوریّة الجاهل بالقصر و الإتمام و الجهر و الإخفات 437</w:t>
      </w:r>
    </w:p>
    <w:p>
      <w:pPr>
        <w:pStyle w:val="BookText"/>
      </w:pPr>
      <w:r>
        <w:rPr>
          <w:rFonts w:ascii="IRNazanin" w:hAnsi="IRNazanin" w:eastAsia="IRNazanin" w:cs="IRNazanin"/>
          <w:lang w:bidi="fa-IR"/>
          <w:color w:val="111111"/>
          <w:sz w:val="28"/>
          <w:szCs w:val="28"/>
          <w:rtl/>
        </w:rPr>
        <w:t xml:space="preserve">الإشکال الوارد فی المسألة 437</w:t>
      </w:r>
    </w:p>
    <w:p>
      <w:pPr>
        <w:pStyle w:val="BookText"/>
      </w:pPr>
      <w:r>
        <w:rPr>
          <w:rFonts w:ascii="IRNazanin" w:hAnsi="IRNazanin" w:eastAsia="IRNazanin" w:cs="IRNazanin"/>
          <w:lang w:bidi="fa-IR"/>
          <w:color w:val="111111"/>
          <w:sz w:val="28"/>
          <w:szCs w:val="28"/>
          <w:rtl/>
        </w:rPr>
        <w:t xml:space="preserve">دفع الإشکال من وجوه،و المناقشة فیها 438</w:t>
      </w:r>
    </w:p>
    <w:p>
      <w:pPr>
        <w:pStyle w:val="BookText"/>
      </w:pPr>
      <w:r>
        <w:rPr>
          <w:rFonts w:ascii="IRNazanin" w:hAnsi="IRNazanin" w:eastAsia="IRNazanin" w:cs="IRNazanin"/>
          <w:lang w:bidi="fa-IR"/>
          <w:color w:val="111111"/>
          <w:sz w:val="28"/>
          <w:szCs w:val="28"/>
          <w:rtl/>
        </w:rPr>
        <w:t xml:space="preserve">الثالث:عدم وجوب الفحص فی الشبهة الموضوعیّة التحریمیّة 441</w:t>
      </w:r>
    </w:p>
    <w:p>
      <w:pPr>
        <w:pStyle w:val="BookText"/>
      </w:pPr>
      <w:r>
        <w:rPr>
          <w:rFonts w:ascii="IRNazanin" w:hAnsi="IRNazanin" w:eastAsia="IRNazanin" w:cs="IRNazanin"/>
          <w:lang w:bidi="fa-IR"/>
          <w:color w:val="111111"/>
          <w:sz w:val="28"/>
          <w:szCs w:val="28"/>
          <w:rtl/>
        </w:rPr>
        <w:t xml:space="preserve">هل یجب الفحص فی الشبهة الموضوعیّة الوجوبیّة؟442</w:t>
      </w:r>
    </w:p>
    <w:p>
      <w:pPr>
        <w:pStyle w:val="BookText"/>
      </w:pPr>
      <w:r>
        <w:rPr>
          <w:rFonts w:ascii="IRNazanin" w:hAnsi="IRNazanin" w:eastAsia="IRNazanin" w:cs="IRNazanin"/>
          <w:lang w:bidi="fa-IR"/>
          <w:color w:val="111111"/>
          <w:sz w:val="28"/>
          <w:szCs w:val="28"/>
          <w:rtl/>
        </w:rPr>
        <w:t xml:space="preserve">بناء العقلاء فی بعض الموارد علی الفحص 442</w:t>
      </w:r>
    </w:p>
    <w:p>
      <w:pPr>
        <w:pStyle w:val="BookText"/>
      </w:pPr>
      <w:r>
        <w:rPr>
          <w:rFonts w:ascii="IRNazanin" w:hAnsi="IRNazanin" w:eastAsia="IRNazanin" w:cs="IRNazanin"/>
          <w:lang w:bidi="fa-IR"/>
          <w:color w:val="111111"/>
          <w:sz w:val="28"/>
          <w:szCs w:val="28"/>
          <w:rtl/>
        </w:rPr>
        <w:t xml:space="preserve">کلام صاحب المعالم فی وجوب الفحص فی خبر مجهول الحال 442</w:t>
      </w:r>
    </w:p>
    <w:p>
      <w:pPr>
        <w:pStyle w:val="BookText"/>
      </w:pPr>
      <w:r>
        <w:rPr>
          <w:rFonts w:ascii="IRNazanin" w:hAnsi="IRNazanin" w:eastAsia="IRNazanin" w:cs="IRNazanin"/>
          <w:lang w:bidi="fa-IR"/>
          <w:color w:val="111111"/>
          <w:sz w:val="28"/>
          <w:szCs w:val="28"/>
          <w:rtl/>
        </w:rPr>
        <w:t xml:space="preserve">اختلاف کلمات الفقهاء فی فروع المسألة 443</w:t>
      </w:r>
    </w:p>
    <w:p>
      <w:pPr>
        <w:pStyle w:val="BookText"/>
      </w:pPr>
      <w:r>
        <w:rPr>
          <w:rFonts w:ascii="IRNazanin" w:hAnsi="IRNazanin" w:eastAsia="IRNazanin" w:cs="IRNazanin"/>
          <w:lang w:bidi="fa-IR"/>
          <w:color w:val="111111"/>
          <w:sz w:val="28"/>
          <w:szCs w:val="28"/>
          <w:rtl/>
        </w:rPr>
        <w:t xml:space="preserve">المناقشة فیما ذکره صاحب المعالم 445</w:t>
      </w:r>
    </w:p>
    <w:p>
      <w:pPr>
        <w:pStyle w:val="BookText"/>
      </w:pPr>
      <w:r>
        <w:rPr>
          <w:rFonts w:ascii="IRNazanin" w:hAnsi="IRNazanin" w:eastAsia="IRNazanin" w:cs="IRNazanin"/>
          <w:lang w:bidi="fa-IR"/>
          <w:color w:val="111111"/>
          <w:sz w:val="28"/>
          <w:szCs w:val="28"/>
          <w:rtl/>
        </w:rPr>
        <w:t xml:space="preserve">ما یمکن أن یقال فی المسألة 445</w:t>
      </w:r>
    </w:p>
    <w:p>
      <w:pPr>
        <w:pStyle w:val="BookText"/>
      </w:pPr>
      <w:r>
        <w:rPr>
          <w:rFonts w:ascii="IRNazanin" w:hAnsi="IRNazanin" w:eastAsia="IRNazanin" w:cs="IRNazanin"/>
          <w:lang w:bidi="fa-IR"/>
          <w:color w:val="111111"/>
          <w:sz w:val="28"/>
          <w:szCs w:val="28"/>
          <w:rtl/>
        </w:rPr>
        <w:t xml:space="preserve">المقام الثانی:فی مقدار الفحص حدّ الفحص هو الیأس 447</w:t>
      </w:r>
    </w:p>
    <w:p>
      <w:pPr>
        <w:pStyle w:val="BookText"/>
      </w:pPr>
      <w:r>
        <w:rPr>
          <w:rFonts w:ascii="IRNazanin" w:hAnsi="IRNazanin" w:eastAsia="IRNazanin" w:cs="IRNazanin"/>
          <w:lang w:bidi="fa-IR"/>
          <w:color w:val="111111"/>
          <w:sz w:val="28"/>
          <w:szCs w:val="28"/>
          <w:rtl/>
        </w:rPr>
        <w:t xml:space="preserve">[شماره صفحه واقعی : 502]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تذنیب:شرطان آخران ذکرهما الفاضل التونی لأصل البراءة:</w:t>
      </w:r>
    </w:p>
    <w:p>
      <w:pPr>
        <w:pStyle w:val="BookText"/>
      </w:pPr>
      <w:r>
        <w:rPr>
          <w:rFonts w:ascii="IRNazanin" w:hAnsi="IRNazanin" w:eastAsia="IRNazanin" w:cs="IRNazanin"/>
          <w:lang w:bidi="fa-IR"/>
          <w:color w:val="111111"/>
          <w:sz w:val="28"/>
          <w:szCs w:val="28"/>
          <w:rtl/>
        </w:rPr>
        <w:t xml:space="preserve">1-أن لا یکون موجبا لثبوت حکم آخر 449</w:t>
      </w:r>
    </w:p>
    <w:p>
      <w:pPr>
        <w:pStyle w:val="BookText"/>
      </w:pPr>
      <w:r>
        <w:rPr>
          <w:rFonts w:ascii="IRNazanin" w:hAnsi="IRNazanin" w:eastAsia="IRNazanin" w:cs="IRNazanin"/>
          <w:lang w:bidi="fa-IR"/>
          <w:color w:val="111111"/>
          <w:sz w:val="28"/>
          <w:szCs w:val="28"/>
          <w:rtl/>
        </w:rPr>
        <w:t xml:space="preserve">توضیح المقام و مناقشة کلام الفاضل التونی 449</w:t>
      </w:r>
    </w:p>
    <w:p>
      <w:pPr>
        <w:pStyle w:val="BookText"/>
      </w:pPr>
      <w:r>
        <w:rPr>
          <w:rFonts w:ascii="IRNazanin" w:hAnsi="IRNazanin" w:eastAsia="IRNazanin" w:cs="IRNazanin"/>
          <w:lang w:bidi="fa-IR"/>
          <w:color w:val="111111"/>
          <w:sz w:val="28"/>
          <w:szCs w:val="28"/>
          <w:rtl/>
        </w:rPr>
        <w:t xml:space="preserve">إذا ارید بإعمال الأصل إثبات موضوع لحکم شرعی 450</w:t>
      </w:r>
    </w:p>
    <w:p>
      <w:pPr>
        <w:pStyle w:val="BookText"/>
      </w:pPr>
      <w:r>
        <w:rPr>
          <w:rFonts w:ascii="IRNazanin" w:hAnsi="IRNazanin" w:eastAsia="IRNazanin" w:cs="IRNazanin"/>
          <w:lang w:bidi="fa-IR"/>
          <w:color w:val="111111"/>
          <w:sz w:val="28"/>
          <w:szCs w:val="28"/>
          <w:rtl/>
        </w:rPr>
        <w:t xml:space="preserve">إذا ارید بإعمال الأصل نفی أحد الحکمین و إثبات الآخر 450</w:t>
      </w:r>
    </w:p>
    <w:p>
      <w:pPr>
        <w:pStyle w:val="BookText"/>
      </w:pPr>
      <w:r>
        <w:rPr>
          <w:rFonts w:ascii="IRNazanin" w:hAnsi="IRNazanin" w:eastAsia="IRNazanin" w:cs="IRNazanin"/>
          <w:lang w:bidi="fa-IR"/>
          <w:color w:val="111111"/>
          <w:sz w:val="28"/>
          <w:szCs w:val="28"/>
          <w:rtl/>
        </w:rPr>
        <w:t xml:space="preserve">إذا ارید مجرّد نفی أحد الحکمین 451</w:t>
      </w:r>
    </w:p>
    <w:p>
      <w:pPr>
        <w:pStyle w:val="BookText"/>
      </w:pPr>
      <w:r>
        <w:rPr>
          <w:rFonts w:ascii="IRNazanin" w:hAnsi="IRNazanin" w:eastAsia="IRNazanin" w:cs="IRNazanin"/>
          <w:lang w:bidi="fa-IR"/>
          <w:color w:val="111111"/>
          <w:sz w:val="28"/>
          <w:szCs w:val="28"/>
          <w:rtl/>
        </w:rPr>
        <w:t xml:space="preserve">سقوط العمل بکلّ أصل لأجل المعارض 451</w:t>
      </w:r>
    </w:p>
    <w:p>
      <w:pPr>
        <w:pStyle w:val="BookText"/>
      </w:pPr>
      <w:r>
        <w:rPr>
          <w:rFonts w:ascii="IRNazanin" w:hAnsi="IRNazanin" w:eastAsia="IRNazanin" w:cs="IRNazanin"/>
          <w:lang w:bidi="fa-IR"/>
          <w:color w:val="111111"/>
          <w:sz w:val="28"/>
          <w:szCs w:val="28"/>
          <w:rtl/>
        </w:rPr>
        <w:t xml:space="preserve">عدم الفرق بین أصالة عدم بلوغ الملاقی للنجاسة کرّا و أصالة</w:t>
      </w:r>
    </w:p>
    <w:p>
      <w:pPr>
        <w:pStyle w:val="BookText"/>
      </w:pPr>
      <w:r>
        <w:rPr>
          <w:rFonts w:ascii="IRNazanin" w:hAnsi="IRNazanin" w:eastAsia="IRNazanin" w:cs="IRNazanin"/>
          <w:lang w:bidi="fa-IR"/>
          <w:color w:val="111111"/>
          <w:sz w:val="28"/>
          <w:szCs w:val="28"/>
          <w:rtl/>
        </w:rPr>
        <w:t xml:space="preserve">البراءة من الدّین 452</w:t>
      </w:r>
    </w:p>
    <w:p>
      <w:pPr>
        <w:pStyle w:val="BookText"/>
      </w:pPr>
      <w:r>
        <w:rPr>
          <w:rFonts w:ascii="IRNazanin" w:hAnsi="IRNazanin" w:eastAsia="IRNazanin" w:cs="IRNazanin"/>
          <w:lang w:bidi="fa-IR"/>
          <w:color w:val="111111"/>
          <w:sz w:val="28"/>
          <w:szCs w:val="28"/>
          <w:rtl/>
        </w:rPr>
        <w:t xml:space="preserve">مورد الشکّ فی البلوغ کرّا 452</w:t>
      </w:r>
    </w:p>
    <w:p>
      <w:pPr>
        <w:pStyle w:val="BookText"/>
      </w:pPr>
      <w:r>
        <w:rPr>
          <w:rFonts w:ascii="IRNazanin" w:hAnsi="IRNazanin" w:eastAsia="IRNazanin" w:cs="IRNazanin"/>
          <w:lang w:bidi="fa-IR"/>
          <w:color w:val="111111"/>
          <w:sz w:val="28"/>
          <w:szCs w:val="28"/>
          <w:rtl/>
        </w:rPr>
        <w:t xml:space="preserve">أصالة عدم تقدّم الکرّیة علی الملاقاة 453</w:t>
      </w:r>
    </w:p>
    <w:p>
      <w:pPr>
        <w:pStyle w:val="BookText"/>
      </w:pPr>
      <w:r>
        <w:rPr>
          <w:rFonts w:ascii="IRNazanin" w:hAnsi="IRNazanin" w:eastAsia="IRNazanin" w:cs="IRNazanin"/>
          <w:lang w:bidi="fa-IR"/>
          <w:color w:val="111111"/>
          <w:sz w:val="28"/>
          <w:szCs w:val="28"/>
          <w:rtl/>
        </w:rPr>
        <w:t xml:space="preserve">تفصیل صاحب الفصول فی مسألة الکرّیة و الملاقاة 453</w:t>
      </w:r>
    </w:p>
    <w:p>
      <w:pPr>
        <w:pStyle w:val="BookText"/>
      </w:pPr>
      <w:r>
        <w:rPr>
          <w:rFonts w:ascii="IRNazanin" w:hAnsi="IRNazanin" w:eastAsia="IRNazanin" w:cs="IRNazanin"/>
          <w:lang w:bidi="fa-IR"/>
          <w:color w:val="111111"/>
          <w:sz w:val="28"/>
          <w:szCs w:val="28"/>
          <w:rtl/>
        </w:rPr>
        <w:t xml:space="preserve">المناقشة فیما أفاده صاحب الفصول 453</w:t>
      </w:r>
    </w:p>
    <w:p>
      <w:pPr>
        <w:pStyle w:val="BookText"/>
      </w:pPr>
      <w:r>
        <w:rPr>
          <w:rFonts w:ascii="IRNazanin" w:hAnsi="IRNazanin" w:eastAsia="IRNazanin" w:cs="IRNazanin"/>
          <w:lang w:bidi="fa-IR"/>
          <w:color w:val="111111"/>
          <w:sz w:val="28"/>
          <w:szCs w:val="28"/>
          <w:rtl/>
        </w:rPr>
        <w:t xml:space="preserve">2-الشرط الثانی الذی ذکره الفاضل التونی لأصل البراءة:</w:t>
      </w:r>
    </w:p>
    <w:p>
      <w:pPr>
        <w:pStyle w:val="BookText"/>
      </w:pPr>
      <w:r>
        <w:rPr>
          <w:rFonts w:ascii="IRNazanin" w:hAnsi="IRNazanin" w:eastAsia="IRNazanin" w:cs="IRNazanin"/>
          <w:lang w:bidi="fa-IR"/>
          <w:color w:val="111111"/>
          <w:sz w:val="28"/>
          <w:szCs w:val="28"/>
          <w:rtl/>
        </w:rPr>
        <w:t xml:space="preserve">عدم تضرّر آخر،و المناقشة فیه 455</w:t>
      </w:r>
    </w:p>
    <w:p>
      <w:pPr>
        <w:pStyle w:val="BookText"/>
      </w:pPr>
      <w:r>
        <w:rPr>
          <w:rFonts w:ascii="IRNazanin" w:hAnsi="IRNazanin" w:eastAsia="IRNazanin" w:cs="IRNazanin"/>
          <w:lang w:bidi="fa-IR"/>
          <w:color w:val="111111"/>
          <w:sz w:val="28"/>
          <w:szCs w:val="28"/>
          <w:rtl/>
        </w:rPr>
        <w:t xml:space="preserve">قاعدة «لا ضرر و لا ضرار» دعوی فخر الدین تواتر الأخبار بنفی الضرر و الضرار 457</w:t>
      </w:r>
    </w:p>
    <w:p>
      <w:pPr>
        <w:pStyle w:val="BookText"/>
      </w:pPr>
      <w:r>
        <w:rPr>
          <w:rFonts w:ascii="IRNazanin" w:hAnsi="IRNazanin" w:eastAsia="IRNazanin" w:cs="IRNazanin"/>
          <w:lang w:bidi="fa-IR"/>
          <w:color w:val="111111"/>
          <w:sz w:val="28"/>
          <w:szCs w:val="28"/>
          <w:rtl/>
        </w:rPr>
        <w:t xml:space="preserve">الروایة المتضمّنة لقضیّة سمرة بن جندب 458</w:t>
      </w:r>
    </w:p>
    <w:p>
      <w:pPr>
        <w:pStyle w:val="BookText"/>
      </w:pPr>
      <w:r>
        <w:rPr>
          <w:rFonts w:ascii="IRNazanin" w:hAnsi="IRNazanin" w:eastAsia="IRNazanin" w:cs="IRNazanin"/>
          <w:lang w:bidi="fa-IR"/>
          <w:color w:val="111111"/>
          <w:sz w:val="28"/>
          <w:szCs w:val="28"/>
          <w:rtl/>
        </w:rPr>
        <w:t xml:space="preserve">معنی«الضرر»و«الضرار»459</w:t>
      </w:r>
    </w:p>
    <w:p>
      <w:pPr>
        <w:pStyle w:val="BookText"/>
      </w:pPr>
      <w:r>
        <w:rPr>
          <w:rFonts w:ascii="IRNazanin" w:hAnsi="IRNazanin" w:eastAsia="IRNazanin" w:cs="IRNazanin"/>
          <w:lang w:bidi="fa-IR"/>
          <w:color w:val="111111"/>
          <w:sz w:val="28"/>
          <w:szCs w:val="28"/>
          <w:rtl/>
        </w:rPr>
        <w:t xml:space="preserve">معانی«لا ضرر و لا ضرار»فی الروایة:460</w:t>
      </w:r>
    </w:p>
    <w:p>
      <w:pPr>
        <w:pStyle w:val="BookText"/>
      </w:pPr>
      <w:r>
        <w:rPr>
          <w:rFonts w:ascii="IRNazanin" w:hAnsi="IRNazanin" w:eastAsia="IRNazanin" w:cs="IRNazanin"/>
          <w:lang w:bidi="fa-IR"/>
          <w:color w:val="111111"/>
          <w:sz w:val="28"/>
          <w:szCs w:val="28"/>
          <w:rtl/>
        </w:rPr>
        <w:t xml:space="preserve">[شماره صفحه واقعی : 503]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1-عدم تشریع الضرر 460</w:t>
      </w:r>
    </w:p>
    <w:p>
      <w:pPr>
        <w:pStyle w:val="BookText"/>
      </w:pPr>
      <w:r>
        <w:rPr>
          <w:rFonts w:ascii="IRNazanin" w:hAnsi="IRNazanin" w:eastAsia="IRNazanin" w:cs="IRNazanin"/>
          <w:lang w:bidi="fa-IR"/>
          <w:color w:val="111111"/>
          <w:sz w:val="28"/>
          <w:szCs w:val="28"/>
          <w:rtl/>
        </w:rPr>
        <w:t xml:space="preserve">2-حمل النفی علی النهی 461</w:t>
      </w:r>
    </w:p>
    <w:p>
      <w:pPr>
        <w:pStyle w:val="BookText"/>
      </w:pPr>
      <w:r>
        <w:rPr>
          <w:rFonts w:ascii="IRNazanin" w:hAnsi="IRNazanin" w:eastAsia="IRNazanin" w:cs="IRNazanin"/>
          <w:lang w:bidi="fa-IR"/>
          <w:color w:val="111111"/>
          <w:sz w:val="28"/>
          <w:szCs w:val="28"/>
          <w:rtl/>
        </w:rPr>
        <w:t xml:space="preserve">الأظهر المعنی الأوّل 461</w:t>
      </w:r>
    </w:p>
    <w:p>
      <w:pPr>
        <w:pStyle w:val="BookText"/>
      </w:pPr>
      <w:r>
        <w:rPr>
          <w:rFonts w:ascii="IRNazanin" w:hAnsi="IRNazanin" w:eastAsia="IRNazanin" w:cs="IRNazanin"/>
          <w:lang w:bidi="fa-IR"/>
          <w:color w:val="111111"/>
          <w:sz w:val="28"/>
          <w:szCs w:val="28"/>
          <w:rtl/>
        </w:rPr>
        <w:t xml:space="preserve">حکومة هذه القاعدة علی عمومات تشریع الأحکام الضرریّة 462</w:t>
      </w:r>
    </w:p>
    <w:p>
      <w:pPr>
        <w:pStyle w:val="BookText"/>
      </w:pPr>
      <w:r>
        <w:rPr>
          <w:rFonts w:ascii="IRNazanin" w:hAnsi="IRNazanin" w:eastAsia="IRNazanin" w:cs="IRNazanin"/>
          <w:lang w:bidi="fa-IR"/>
          <w:color w:val="111111"/>
          <w:sz w:val="28"/>
          <w:szCs w:val="28"/>
          <w:rtl/>
        </w:rPr>
        <w:t xml:space="preserve">المراد من الحکومة 462</w:t>
      </w:r>
    </w:p>
    <w:p>
      <w:pPr>
        <w:pStyle w:val="BookText"/>
      </w:pPr>
      <w:r>
        <w:rPr>
          <w:rFonts w:ascii="IRNazanin" w:hAnsi="IRNazanin" w:eastAsia="IRNazanin" w:cs="IRNazanin"/>
          <w:lang w:bidi="fa-IR"/>
          <w:color w:val="111111"/>
          <w:sz w:val="28"/>
          <w:szCs w:val="28"/>
          <w:rtl/>
        </w:rPr>
        <w:t xml:space="preserve">توهّم أن الضرر یتدارک بمصلحة الحکم الضرری المجعول 463</w:t>
      </w:r>
    </w:p>
    <w:p>
      <w:pPr>
        <w:pStyle w:val="BookText"/>
      </w:pPr>
      <w:r>
        <w:rPr>
          <w:rFonts w:ascii="IRNazanin" w:hAnsi="IRNazanin" w:eastAsia="IRNazanin" w:cs="IRNazanin"/>
          <w:lang w:bidi="fa-IR"/>
          <w:color w:val="111111"/>
          <w:sz w:val="28"/>
          <w:szCs w:val="28"/>
          <w:rtl/>
        </w:rPr>
        <w:t xml:space="preserve">فساد هذا التوهّم 464</w:t>
      </w:r>
    </w:p>
    <w:p>
      <w:pPr>
        <w:pStyle w:val="BookText"/>
      </w:pPr>
      <w:r>
        <w:rPr>
          <w:rFonts w:ascii="IRNazanin" w:hAnsi="IRNazanin" w:eastAsia="IRNazanin" w:cs="IRNazanin"/>
          <w:lang w:bidi="fa-IR"/>
          <w:color w:val="111111"/>
          <w:sz w:val="28"/>
          <w:szCs w:val="28"/>
          <w:rtl/>
        </w:rPr>
        <w:t xml:space="preserve">تمامیّة القاعدة سندا و دلالة 464</w:t>
      </w:r>
    </w:p>
    <w:p>
      <w:pPr>
        <w:pStyle w:val="BookText"/>
      </w:pPr>
      <w:r>
        <w:rPr>
          <w:rFonts w:ascii="IRNazanin" w:hAnsi="IRNazanin" w:eastAsia="IRNazanin" w:cs="IRNazanin"/>
          <w:lang w:bidi="fa-IR"/>
          <w:color w:val="111111"/>
          <w:sz w:val="28"/>
          <w:szCs w:val="28"/>
          <w:rtl/>
        </w:rPr>
        <w:t xml:space="preserve">وهن القاعدة بکثرة التخصیصات و الجواب عنه 465</w:t>
      </w:r>
    </w:p>
    <w:p>
      <w:pPr>
        <w:pStyle w:val="BookText"/>
      </w:pPr>
      <w:r>
        <w:rPr>
          <w:rFonts w:ascii="IRNazanin" w:hAnsi="IRNazanin" w:eastAsia="IRNazanin" w:cs="IRNazanin"/>
          <w:lang w:bidi="fa-IR"/>
          <w:color w:val="111111"/>
          <w:sz w:val="28"/>
          <w:szCs w:val="28"/>
          <w:rtl/>
        </w:rPr>
        <w:t xml:space="preserve">وجه التمسّک بکثیر من العمومات مع خروج أکثر أفرادها 465</w:t>
      </w:r>
    </w:p>
    <w:p>
      <w:pPr>
        <w:pStyle w:val="BookText"/>
      </w:pPr>
      <w:r>
        <w:rPr>
          <w:rFonts w:ascii="IRNazanin" w:hAnsi="IRNazanin" w:eastAsia="IRNazanin" w:cs="IRNazanin"/>
          <w:lang w:bidi="fa-IR"/>
          <w:color w:val="111111"/>
          <w:sz w:val="28"/>
          <w:szCs w:val="28"/>
          <w:rtl/>
        </w:rPr>
        <w:t xml:space="preserve">الضرر المنفی هو الضرر النوعی لا الشخصی 466</w:t>
      </w:r>
    </w:p>
    <w:p>
      <w:pPr>
        <w:pStyle w:val="BookText"/>
      </w:pPr>
      <w:r>
        <w:rPr>
          <w:rFonts w:ascii="IRNazanin" w:hAnsi="IRNazanin" w:eastAsia="IRNazanin" w:cs="IRNazanin"/>
          <w:lang w:bidi="fa-IR"/>
          <w:color w:val="111111"/>
          <w:sz w:val="28"/>
          <w:szCs w:val="28"/>
          <w:rtl/>
        </w:rPr>
        <w:t xml:space="preserve">تعارض الضررین 467</w:t>
      </w:r>
    </w:p>
    <w:p>
      <w:pPr>
        <w:pStyle w:val="BookText"/>
      </w:pPr>
      <w:r>
        <w:rPr>
          <w:rFonts w:ascii="IRNazanin" w:hAnsi="IRNazanin" w:eastAsia="IRNazanin" w:cs="IRNazanin"/>
          <w:lang w:bidi="fa-IR"/>
          <w:color w:val="111111"/>
          <w:sz w:val="28"/>
          <w:szCs w:val="28"/>
          <w:rtl/>
        </w:rPr>
        <w:t xml:space="preserve">تعارض ضرر المالک و ضرر الغیر 467</w:t>
      </w:r>
    </w:p>
    <w:p>
      <w:pPr>
        <w:pStyle w:val="BookText"/>
      </w:pPr>
      <w:r>
        <w:rPr>
          <w:rFonts w:ascii="IRNazanin" w:hAnsi="IRNazanin" w:eastAsia="IRNazanin" w:cs="IRNazanin"/>
          <w:lang w:bidi="fa-IR"/>
          <w:color w:val="111111"/>
          <w:sz w:val="28"/>
          <w:szCs w:val="28"/>
          <w:rtl/>
        </w:rPr>
        <w:t xml:space="preserve">جواز تصرّف المالک و إن تضرّر الجار 467</w:t>
      </w:r>
    </w:p>
    <w:p>
      <w:pPr>
        <w:pStyle w:val="BookText"/>
      </w:pPr>
      <w:r>
        <w:rPr>
          <w:rFonts w:ascii="IRNazanin" w:hAnsi="IRNazanin" w:eastAsia="IRNazanin" w:cs="IRNazanin"/>
          <w:lang w:bidi="fa-IR"/>
          <w:color w:val="111111"/>
          <w:sz w:val="28"/>
          <w:szCs w:val="28"/>
          <w:rtl/>
        </w:rPr>
        <w:t xml:space="preserve">إشکال المحقّق السبزواری فیما إذا تضرّر الجار ضررا فاحشا 468</w:t>
      </w:r>
    </w:p>
    <w:p>
      <w:pPr>
        <w:pStyle w:val="BookText"/>
      </w:pPr>
      <w:r>
        <w:rPr>
          <w:rFonts w:ascii="IRNazanin" w:hAnsi="IRNazanin" w:eastAsia="IRNazanin" w:cs="IRNazanin"/>
          <w:lang w:bidi="fa-IR"/>
          <w:color w:val="111111"/>
          <w:sz w:val="28"/>
          <w:szCs w:val="28"/>
          <w:rtl/>
        </w:rPr>
        <w:t xml:space="preserve">الأوفق بالقواعد تقدیم المالک 470</w:t>
      </w:r>
    </w:p>
    <w:p>
      <w:pPr>
        <w:pStyle w:val="BookText"/>
      </w:pPr>
      <w:r>
        <w:rPr>
          <w:rFonts w:ascii="IRNazanin" w:hAnsi="IRNazanin" w:eastAsia="IRNazanin" w:cs="IRNazanin"/>
          <w:lang w:bidi="fa-IR"/>
          <w:color w:val="111111"/>
          <w:sz w:val="28"/>
          <w:szCs w:val="28"/>
          <w:rtl/>
        </w:rPr>
        <w:t xml:space="preserve">عدم الفرق بین کون ضرر المالک أشدّ من ضرر الغیر أو أقلّ 471</w:t>
      </w:r>
    </w:p>
    <w:p>
      <w:pPr>
        <w:pStyle w:val="BookText"/>
      </w:pPr>
      <w:r>
        <w:rPr>
          <w:rFonts w:ascii="IRNazanin" w:hAnsi="IRNazanin" w:eastAsia="IRNazanin" w:cs="IRNazanin"/>
          <w:lang w:bidi="fa-IR"/>
          <w:color w:val="111111"/>
          <w:sz w:val="28"/>
          <w:szCs w:val="28"/>
          <w:rtl/>
        </w:rPr>
        <w:t xml:space="preserve">تعارض ضرر المالکین 471</w:t>
      </w:r>
    </w:p>
    <w:p>
      <w:pPr>
        <w:pStyle w:val="BookText"/>
      </w:pPr>
      <w:r>
        <w:rPr>
          <w:rFonts w:ascii="IRNazanin" w:hAnsi="IRNazanin" w:eastAsia="IRNazanin" w:cs="IRNazanin"/>
          <w:lang w:bidi="fa-IR"/>
          <w:color w:val="111111"/>
          <w:sz w:val="28"/>
          <w:szCs w:val="28"/>
          <w:rtl/>
        </w:rPr>
        <w:t xml:space="preserve">العناوین العامة 475</w:t>
      </w:r>
    </w:p>
    <w:p>
      <w:pPr>
        <w:pStyle w:val="BookText"/>
      </w:pPr>
      <w:r>
        <w:rPr>
          <w:rFonts w:ascii="IRNazanin" w:hAnsi="IRNazanin" w:eastAsia="IRNazanin" w:cs="IRNazanin"/>
          <w:lang w:bidi="fa-IR"/>
          <w:color w:val="111111"/>
          <w:sz w:val="28"/>
          <w:szCs w:val="28"/>
          <w:rtl/>
        </w:rPr>
        <w:t xml:space="preserve">فهرس المحتوی 477</w:t>
      </w:r>
    </w:p>
    <w:p>
      <w:pPr>
        <w:pStyle w:val="BookText"/>
      </w:pPr>
      <w:r>
        <w:rPr>
          <w:rFonts w:ascii="IRNazanin" w:hAnsi="IRNazanin" w:eastAsia="IRNazanin" w:cs="IRNazanin"/>
          <w:lang w:bidi="fa-IR"/>
          <w:color w:val="111111"/>
          <w:sz w:val="28"/>
          <w:szCs w:val="28"/>
          <w:rtl/>
        </w:rPr>
        <w:t xml:space="preserve">[شماره صفحه واقعی : 504]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319" w:name="pg14411_142894"/>
    <w:bookmarkEnd w:id="319"/>
    <w:p>
      <w:pPr>
        <w:pStyle w:val="Heading3"/>
      </w:pPr>
      <w:bookmarkStart w:id="1633" w:name="_Toc668"/>
      <w:r>
        <w:t>فرائد الاصول المجلد 3 (الاستصحاب)</w:t>
      </w:r>
      <w:bookmarkEnd w:id="1633"/>
    </w:p>
    <w:p>
      <w:pPr>
        <w:pStyle w:val="Heading4"/>
      </w:pPr>
      <w:bookmarkStart w:id="1634" w:name="_Toc669"/>
      <w:r>
        <w:t>اشارة</w:t>
      </w:r>
      <w:bookmarkEnd w:id="1634"/>
    </w:p>
    <w:p>
      <w:pPr>
        <w:pStyle w:val="BookText"/>
      </w:pPr>
      <w:r>
        <w:rPr>
          <w:rFonts w:ascii="IRNazanin" w:hAnsi="IRNazanin" w:eastAsia="IRNazanin" w:cs="IRNazanin"/>
          <w:lang w:bidi="fa-IR"/>
          <w:color w:val="111111"/>
          <w:sz w:val="28"/>
          <w:szCs w:val="28"/>
          <w:rtl/>
        </w:rPr>
        <w:t xml:space="preserve">سرشناسه : انصاری، مرتضی بن محمدامین، ۱۲۱۴ - ۱۲۸۱ق.</w:t>
      </w:r>
    </w:p>
    <w:p>
      <w:pPr>
        <w:pStyle w:val="BookText"/>
      </w:pPr>
      <w:r>
        <w:rPr>
          <w:rFonts w:ascii="IRNazanin" w:hAnsi="IRNazanin" w:eastAsia="IRNazanin" w:cs="IRNazanin"/>
          <w:lang w:bidi="fa-IR"/>
          <w:color w:val="111111"/>
          <w:sz w:val="28"/>
          <w:szCs w:val="28"/>
          <w:rtl/>
        </w:rPr>
        <w:t xml:space="preserve">عنوان و نام پدیدآور : فرائد ‌الاصول/ لمرتضی الانصاری؛ اعداد لجنه تحقیق تراث‌الشیخ الاعظم؛ للموتمر العالمی بمناسبه الذکری للمئویه‌الثانیه لمیلاد‌الشیخ‌الانصاری.</w:t>
      </w:r>
    </w:p>
    <w:p>
      <w:pPr>
        <w:pStyle w:val="BookText"/>
      </w:pPr>
      <w:r>
        <w:rPr>
          <w:rFonts w:ascii="IRNazanin" w:hAnsi="IRNazanin" w:eastAsia="IRNazanin" w:cs="IRNazanin"/>
          <w:lang w:bidi="fa-IR"/>
          <w:color w:val="111111"/>
          <w:sz w:val="28"/>
          <w:szCs w:val="28"/>
          <w:rtl/>
        </w:rPr>
        <w:t xml:space="preserve">مشخصات نشر : قم: مجمع الفکر‌الاسلامی، ۱۴۱۹ق.= ۱۳۷۷.</w:t>
      </w:r>
    </w:p>
    <w:p>
      <w:pPr>
        <w:pStyle w:val="BookText"/>
      </w:pPr>
      <w:r>
        <w:rPr>
          <w:rFonts w:ascii="IRNazanin" w:hAnsi="IRNazanin" w:eastAsia="IRNazanin" w:cs="IRNazanin"/>
          <w:lang w:bidi="fa-IR"/>
          <w:color w:val="111111"/>
          <w:sz w:val="28"/>
          <w:szCs w:val="28"/>
          <w:rtl/>
        </w:rPr>
        <w:t xml:space="preserve">مشخصات ظاهری : ۴ ج.</w:t>
      </w:r>
    </w:p>
    <w:p>
      <w:pPr>
        <w:pStyle w:val="BookText"/>
      </w:pPr>
      <w:r>
        <w:rPr>
          <w:rFonts w:ascii="IRNazanin" w:hAnsi="IRNazanin" w:eastAsia="IRNazanin" w:cs="IRNazanin"/>
          <w:lang w:bidi="fa-IR"/>
          <w:color w:val="111111"/>
          <w:sz w:val="28"/>
          <w:szCs w:val="28"/>
          <w:rtl/>
        </w:rPr>
        <w:t xml:space="preserve">موضوع : اصول فقه شیعه</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۱۵۹/الف‌۸ف‌۴ ۱۳۷۷</w:t>
      </w:r>
    </w:p>
    <w:p>
      <w:pPr>
        <w:pStyle w:val="BookText"/>
      </w:pPr>
      <w:r>
        <w:rPr>
          <w:rFonts w:ascii="IRNazanin" w:hAnsi="IRNazanin" w:eastAsia="IRNazanin" w:cs="IRNazanin"/>
          <w:lang w:bidi="fa-IR"/>
          <w:color w:val="111111"/>
          <w:sz w:val="28"/>
          <w:szCs w:val="28"/>
          <w:rtl/>
        </w:rPr>
        <w:t xml:space="preserve">رده بندی دیویی : ۲۹۷/۳۱۲</w:t>
      </w:r>
    </w:p>
    <w:p>
      <w:pPr>
        <w:pStyle w:val="BookText"/>
      </w:pPr>
      <w:r>
        <w:rPr>
          <w:rFonts w:ascii="IRNazanin" w:hAnsi="IRNazanin" w:eastAsia="IRNazanin" w:cs="IRNazanin"/>
          <w:lang w:bidi="fa-IR"/>
          <w:color w:val="111111"/>
          <w:sz w:val="28"/>
          <w:szCs w:val="28"/>
          <w:rtl/>
        </w:rPr>
        <w:t xml:space="preserve">شماره کتابشناسی ملی : م‌۷۷-۱۲۰۴۷</w:t>
      </w:r>
    </w:p>
    <w:p>
      <w:pPr>
        <w:pStyle w:val="BookText"/>
      </w:pPr>
      <w:r>
        <w:rPr>
          <w:rFonts w:ascii="IRNazanin" w:hAnsi="IRNazanin" w:eastAsia="IRNazanin" w:cs="IRNazanin"/>
          <w:lang w:bidi="fa-IR"/>
          <w:color w:val="111111"/>
          <w:sz w:val="28"/>
          <w:szCs w:val="28"/>
          <w:rtl/>
        </w:rPr>
        <w:t xml:space="preserve">توضیح : فرائد الأصول یا الرسائل یا الدلائل تألیف شیخ اعظم مرتضی بن محمد امین انصاری تستری نجفی (متوفای 1281 قمری) است.</w:t>
      </w:r>
    </w:p>
    <w:p>
      <w:pPr>
        <w:pStyle w:val="BookText"/>
      </w:pPr>
      <w:r>
        <w:rPr>
          <w:rFonts w:ascii="IRNazanin" w:hAnsi="IRNazanin" w:eastAsia="IRNazanin" w:cs="IRNazanin"/>
          <w:lang w:bidi="fa-IR"/>
          <w:color w:val="111111"/>
          <w:sz w:val="28"/>
          <w:szCs w:val="28"/>
          <w:rtl/>
        </w:rPr>
        <w:t xml:space="preserve">کتاب فرائد الأصول (رسائل) یکی از مهم‌ترین کتاب‌های درسی حوزه‌های علمیّه از زمان شیخ اعظم به بعد می‌باشد و بسیاری از علمای اصولی بر این کتاب تعلیقه زده‌اند. از مهم‌ترین این افراد میرزا موسی تبریزی (متوفای 1305 قمری)، میرزا حسن آشتیانی (متوفای 1319 قمری)، شیخ حسن مامقانی (متوفای 1323 قمری)، شیخ ملا محمد کاظم خراسانی (متوفای 1329 قمری)، شیخ آقا رضا همدانی (متوفای 1322 قمری) می‌باشند.</w:t>
      </w:r>
    </w:p>
    <w:p>
      <w:pPr>
        <w:pStyle w:val="BookText"/>
      </w:pPr>
      <w:r>
        <w:rPr>
          <w:rFonts w:ascii="IRNazanin" w:hAnsi="IRNazanin" w:eastAsia="IRNazanin" w:cs="IRNazanin"/>
          <w:lang w:bidi="fa-IR"/>
          <w:color w:val="111111"/>
          <w:sz w:val="28"/>
          <w:szCs w:val="28"/>
          <w:rtl/>
        </w:rPr>
        <w:t xml:space="preserve">کتاب فرائد الأصول (رسائل)، مباحث عقلی اصول فقه می‌باشد. به تعبیر مؤلف، کتاب شامل سه مقصد است. مقصد اول قطع، مقصد دوّم ظن و مقصد سوّم شک (اصول عملیّه) و در خاتمه نیز تعادل و تراجیح می‌باشد.به تعبیر دیگری کتاب را رسائل خمس نیز می‌گویند (أعیان الشیعة ج 10 ص 118) که شامل پنج بحث اصلی قطع، ظن، اصل برائت، استصحاب و تعادل و تراجیح می‌باشد. (الذریعة ج 16 ص 132).</w:t>
      </w:r>
    </w:p>
    <w:p>
      <w:pPr>
        <w:pStyle w:val="BookText"/>
      </w:pPr>
      <w:r>
        <w:rPr>
          <w:rFonts w:ascii="IRNazanin" w:hAnsi="IRNazanin" w:eastAsia="IRNazanin" w:cs="IRNazanin"/>
          <w:lang w:bidi="fa-IR"/>
          <w:color w:val="111111"/>
          <w:sz w:val="28"/>
          <w:szCs w:val="28"/>
          <w:rtl/>
        </w:rPr>
        <w:t xml:space="preserve">بسیاری از مباحث حجج و امارات که در کتب پیشینیان مورد توجه بود، در ساختار منطقی و نظام تعلیمی خاصی قرار نداشت. شیخ اعظم در آغاز فرائد الأصول این بخش از مباحث اصولی را در تقسیمی منطقی به سه بخش قطع و ظن و شک تقسیم نموده و در خاتمه نیز بحث تعادل و تراجیح را مطرح نموده‌اند.اصول عملیّه در کلام پیشینیان دارای انسجام دقیق منطقی نبود؛ ولی مرحوم شیخ اعظم به آن حصر عقلی داده، یعنی اصول عملی کمتر و بیشتر از چهار اصل نمی‌تواند باشد.</w:t>
      </w:r>
    </w:p>
    <w:p>
      <w:pPr>
        <w:pStyle w:val="BookText"/>
      </w:pPr>
      <w:r>
        <w:rPr>
          <w:rFonts w:ascii="IRNazanin" w:hAnsi="IRNazanin" w:eastAsia="IRNazanin" w:cs="IRNazanin"/>
          <w:lang w:bidi="fa-IR"/>
          <w:color w:val="111111"/>
          <w:sz w:val="28"/>
          <w:szCs w:val="28"/>
          <w:rtl/>
        </w:rPr>
        <w:t xml:space="preserve">یکی دیگر از خصوصیات کتاب وسعت تتبع در نظریات علمای اصولی می‌باشد. حجم جستجو در اندیشه‌های دیگران از معیارهای ارزشیابی پژوهش‌ها و تحقیقات است. شیخ انصاری از این نگاه نیز محققی برجسته و بنام است. منابع مورد استفادۀ وی در فرائد الأصول، بالغ بر صد عنوان است؛ مثلا در بحث انسداد کلمات شیخ صدوق در من‌ لا‌یحضره‌ الفقیه، سید مرتضی در رسائل، شیخ طوسی در عدة، محقق حلی در معتبر، علامۀ حلی در نهج المسترشدین، فاضل مقداد در شرح باب حادی عشر، محقق خوانساری، صاحب وافیة، محدث بحرانی در الحدائق الناظرة، عضدی و حاجبی در مختصر الأصول را نقل و به نتیجه‌گیری می‌پردازند. یا در بحث شبهۀ تحریمیه یکی از دلائل قائلان به برائت اجماع است. شیخ به نقل آرای علما پرداخته‌اند و بطلان این سخن را که برائت در شبهۀ موضوعیه نظریۀ عالمان متأخر امامیه است، روشن می‌سازد و بدین منظور، سخن کلینی (در مقدمۀ کافی)، شیخ صدوق (در العقائد)، سید مرتضی، ابن زهره، شیخ طوسی، شیخ مفید، ابوالصلاح حلبی، محقق، علامه، شهید اول و شهید ثانی را نقل می‌کند.</w:t>
      </w:r>
    </w:p>
    <w:p>
      <w:pPr>
        <w:pStyle w:val="BookText"/>
      </w:pPr>
      <w:r>
        <w:rPr>
          <w:rFonts w:ascii="IRNazanin" w:hAnsi="IRNazanin" w:eastAsia="IRNazanin" w:cs="IRNazanin"/>
          <w:lang w:bidi="fa-IR"/>
          <w:color w:val="111111"/>
          <w:sz w:val="28"/>
          <w:szCs w:val="28"/>
          <w:rtl/>
        </w:rPr>
        <w:t xml:space="preserve">ص: 1</w:t>
      </w:r>
    </w:p>
    <w:p>
      <w:pPr>
        <w:pStyle w:val="Heading4"/>
      </w:pPr>
      <w:bookmarkStart w:id="1635" w:name="_Toc670"/>
      <w:r>
        <w:t>اشارة</w:t>
      </w:r>
      <w:bookmarkEnd w:id="1635"/>
    </w:p>
    <w:p>
      <w:pPr>
        <w:pStyle w:val="BookText"/>
      </w:pPr>
      <w:r>
        <w:rPr>
          <w:rFonts w:ascii="IRNazanin" w:hAnsi="IRNazanin" w:eastAsia="IRNazanin" w:cs="IRNazanin"/>
          <w:lang w:bidi="fa-IR"/>
          <w:color w:val="111111"/>
          <w:sz w:val="28"/>
          <w:szCs w:val="28"/>
          <w:rtl/>
        </w:rPr>
        <w:t xml:space="preserve">[شماره صفحه واقعی : 1]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2]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3]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4]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[شماره صفحه واقعی : 5]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6]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المقام الثّانی فی الاستصحاب</w:t>
      </w:r>
    </w:p>
    <w:p>
      <w:pPr>
        <w:pStyle w:val="BookText"/>
      </w:pPr>
      <w:r>
        <w:rPr>
          <w:rFonts w:ascii="IRNazanin" w:hAnsi="IRNazanin" w:eastAsia="IRNazanin" w:cs="IRNazanin"/>
          <w:lang w:bidi="fa-IR"/>
          <w:color w:val="111111"/>
          <w:sz w:val="28"/>
          <w:szCs w:val="28"/>
          <w:rtl/>
        </w:rPr>
        <w:t xml:space="preserve">[شماره صفحه واقعی : 7]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الحمد للّه ربّ العالمین،و الصلاة و السلام علی خیر خلقه محمّد و آله الطاهرین،و لعنة اللّه علی أعدائهم أجمعین إلی یوم الدین.</w:t>
      </w:r>
    </w:p>
    <w:p>
      <w:pPr>
        <w:pStyle w:val="BookText"/>
      </w:pPr>
      <w:r>
        <w:rPr>
          <w:rFonts w:ascii="IRNazanin" w:hAnsi="IRNazanin" w:eastAsia="IRNazanin" w:cs="IRNazanin"/>
          <w:lang w:bidi="fa-IR"/>
          <w:color w:val="111111"/>
          <w:sz w:val="28"/>
          <w:szCs w:val="28"/>
          <w:rtl/>
        </w:rPr>
        <w:t xml:space="preserve">[شماره صفحه واقعی : 8]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bookmarkStart w:id="320" w:name="pg14411_142902"/>
    <w:bookmarkEnd w:id="320"/>
    <w:p>
      <w:pPr>
        <w:pStyle w:val="Heading4"/>
      </w:pPr>
      <w:bookmarkStart w:id="1636" w:name="_Toc671"/>
      <w:r>
        <w:t>المقام الثانی : فی الاستصحاب</w:t>
      </w:r>
      <w:bookmarkEnd w:id="1636"/>
    </w:p>
    <w:p>
      <w:pPr>
        <w:pStyle w:val="Heading5"/>
      </w:pPr>
      <w:bookmarkStart w:id="1637" w:name="_Toc672"/>
      <w:r>
        <w:t>اشارة</w:t>
      </w:r>
      <w:bookmarkEnd w:id="1637"/>
    </w:p>
    <w:p>
      <w:pPr>
        <w:pStyle w:val="BookText"/>
      </w:pPr>
      <w:r>
        <w:rPr>
          <w:rFonts w:ascii="IRNazanin" w:hAnsi="IRNazanin" w:eastAsia="IRNazanin" w:cs="IRNazanin"/>
          <w:lang w:bidi="fa-IR"/>
          <w:color w:val="111111"/>
          <w:sz w:val="28"/>
          <w:szCs w:val="28"/>
          <w:rtl/>
        </w:rPr>
        <w:t xml:space="preserve">المقام الثانی </w:t>
      </w:r>
      <w:r>
        <w:rPr>
          <w:rStyle w:val="FootnoteReference"/>
        </w:rPr>
        <w:footnoteReference w:id="1459"/>
      </w:r>
      <w:r>
        <w:rPr>
          <w:rFonts w:ascii="IRNazanin" w:hAnsi="IRNazanin" w:eastAsia="IRNazanin" w:cs="IRNazanin"/>
          <w:lang w:bidi="fa-IR"/>
          <w:color w:val="111111"/>
          <w:sz w:val="28"/>
          <w:szCs w:val="28"/>
          <w:rtl/>
        </w:rPr>
        <w:t xml:space="preserve">فی الاستصحاب</w:t>
      </w:r>
    </w:p>
    <w:p>
      <w:pPr>
        <w:pStyle w:val="Heading5"/>
      </w:pPr>
      <w:bookmarkStart w:id="1638" w:name="_Toc673"/>
      <w:r>
        <w:t>[تعاریف الاستصحاب:]</w:t>
      </w:r>
      <w:bookmarkEnd w:id="1638"/>
    </w:p>
    <w:p>
      <w:pPr>
        <w:pStyle w:val="Heading6"/>
      </w:pPr>
      <w:bookmarkStart w:id="1639" w:name="_Toc674"/>
      <w:r>
        <w:t>[الاستصحاب لغة و اصطلاحا]</w:t>
      </w:r>
      <w:bookmarkEnd w:id="1639"/>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 هو لغة:أخذ الشیء مصاحبا </w:t>
      </w:r>
      <w:r>
        <w:rPr>
          <w:rStyle w:val="FootnoteReference"/>
        </w:rPr>
        <w:footnoteReference w:id="1460"/>
      </w:r>
      <w:r>
        <w:rPr>
          <w:rFonts w:ascii="IRNazanin" w:hAnsi="IRNazanin" w:eastAsia="IRNazanin" w:cs="IRNazanin"/>
          <w:lang w:bidi="fa-IR"/>
          <w:color w:val="111111"/>
          <w:sz w:val="28"/>
          <w:szCs w:val="28"/>
          <w:rtl/>
        </w:rPr>
        <w:t xml:space="preserve">،و منه:استصحاب أجزاء ما لا یؤکل لحمه فی الصلاة.</w:t>
      </w:r>
    </w:p>
    <w:p>
      <w:pPr>
        <w:pStyle w:val="BookText"/>
      </w:pPr>
      <w:r>
        <w:rPr>
          <w:rFonts w:ascii="IRNazanin" w:hAnsi="IRNazanin" w:eastAsia="IRNazanin" w:cs="IRNazanin"/>
          <w:lang w:bidi="fa-IR"/>
          <w:color w:val="111111"/>
          <w:sz w:val="28"/>
          <w:szCs w:val="28"/>
          <w:rtl/>
        </w:rPr>
        <w:t xml:space="preserve">و عند الاصولیّین عرّف بتعاریف،أسدّها و أخصرها:«إبقاء ما کان» </w:t>
      </w:r>
      <w:r>
        <w:rPr>
          <w:rStyle w:val="FootnoteReference"/>
        </w:rPr>
        <w:footnoteReference w:id="1461"/>
      </w:r>
      <w:r>
        <w:rPr>
          <w:rFonts w:ascii="IRNazanin" w:hAnsi="IRNazanin" w:eastAsia="IRNazanin" w:cs="IRNazanin"/>
          <w:lang w:bidi="fa-IR"/>
          <w:color w:val="111111"/>
          <w:sz w:val="28"/>
          <w:szCs w:val="28"/>
          <w:rtl/>
        </w:rPr>
        <w:t xml:space="preserve">،و المراد بالإبقاء الحکم بالبقاء،و دخل الوصف فی الموضوع مشعر بعلّیته للحکم،فعلّة الإبقاء هو أنّه </w:t>
      </w:r>
      <w:r>
        <w:rPr>
          <w:rStyle w:val="FootnoteReference"/>
        </w:rPr>
        <w:footnoteReference w:id="1462"/>
      </w:r>
      <w:r>
        <w:rPr>
          <w:rFonts w:ascii="IRNazanin" w:hAnsi="IRNazanin" w:eastAsia="IRNazanin" w:cs="IRNazanin"/>
          <w:lang w:bidi="fa-IR"/>
          <w:color w:val="111111"/>
          <w:sz w:val="28"/>
          <w:szCs w:val="28"/>
          <w:rtl/>
        </w:rPr>
        <w:t xml:space="preserve">کان،فیخرج إبقاء الحکم لأجل وجود علّته أو دلیله.</w:t>
      </w:r>
    </w:p>
    <w:p>
      <w:pPr>
        <w:pStyle w:val="BookText"/>
      </w:pPr>
      <w:r>
        <w:rPr>
          <w:rFonts w:ascii="IRNazanin" w:hAnsi="IRNazanin" w:eastAsia="IRNazanin" w:cs="IRNazanin"/>
          <w:lang w:bidi="fa-IR"/>
          <w:color w:val="111111"/>
          <w:sz w:val="28"/>
          <w:szCs w:val="28"/>
          <w:rtl/>
        </w:rPr>
        <w:t xml:space="preserve">و إلی ما ذکرنا یرجع تعریفه فی الزبدة بأنّه:«إثبات الحکم فی الزمان الثانی تعویلا علی ثبوته فی الزمان الأوّل» </w:t>
      </w:r>
      <w:r>
        <w:rPr>
          <w:rStyle w:val="FootnoteReference"/>
        </w:rPr>
        <w:footnoteReference w:id="1463"/>
      </w:r>
      <w:r>
        <w:rPr>
          <w:rFonts w:ascii="IRNazanin" w:hAnsi="IRNazanin" w:eastAsia="IRNazanin" w:cs="IRNazanin"/>
          <w:lang w:bidi="fa-IR"/>
          <w:color w:val="111111"/>
          <w:sz w:val="28"/>
          <w:szCs w:val="28"/>
          <w:rtl/>
        </w:rPr>
        <w:t xml:space="preserve">،بل نسبه شارح</w:t>
      </w:r>
    </w:p>
    <w:p>
      <w:pPr>
        <w:pStyle w:val="BookText"/>
      </w:pPr>
      <w:r>
        <w:rPr>
          <w:rFonts w:ascii="IRNazanin" w:hAnsi="IRNazanin" w:eastAsia="IRNazanin" w:cs="IRNazanin"/>
          <w:lang w:bidi="fa-IR"/>
          <w:color w:val="111111"/>
          <w:sz w:val="28"/>
          <w:szCs w:val="28"/>
          <w:rtl/>
        </w:rPr>
        <w:t xml:space="preserve">[شماره صفحه واقعی : 9]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321" w:name="pg14411_142903"/>
    <w:bookmarkEnd w:id="321"/>
    <w:p>
      <w:pPr>
        <w:pStyle w:val="BookText"/>
      </w:pPr>
      <w:r>
        <w:rPr>
          <w:rFonts w:ascii="IRNazanin" w:hAnsi="IRNazanin" w:eastAsia="IRNazanin" w:cs="IRNazanin"/>
          <w:lang w:bidi="fa-IR"/>
          <w:color w:val="111111"/>
          <w:sz w:val="28"/>
          <w:szCs w:val="28"/>
          <w:rtl/>
        </w:rPr>
        <w:t xml:space="preserve">الدروس إلی القوم،فقال:إنّ القوم ذکروا أنّ الاستصحاب إثبات حکم فی زمان لوجوده فی زمان سابق علیه </w:t>
      </w:r>
      <w:r>
        <w:rPr>
          <w:rStyle w:val="FootnoteReference"/>
        </w:rPr>
        <w:footnoteReference w:id="1464"/>
      </w:r>
      <w:r>
        <w:rPr>
          <w:rFonts w:ascii="Times New Roman" w:hAnsi="Times New Roman" w:eastAsia="Times New Roman" w:cs="Times New Roman"/>
          <w:lang w:val="en-US" w:bidi="en-US"/>
          <w:color w:val="111111"/>
          <w:sz w:val="28"/>
          <w:szCs w:val="28"/>
          <w:rtl/>
        </w:rPr>
        <w:t xml:space="preserve">.</w:t>
      </w:r>
    </w:p>
    <w:p>
      <w:pPr>
        <w:pStyle w:val="Heading6"/>
      </w:pPr>
      <w:bookmarkStart w:id="1640" w:name="_Toc675"/>
      <w:r>
        <w:t>[تعریف صاحب القوانین و المناقشة فیه:]</w:t>
      </w:r>
      <w:bookmarkEnd w:id="1640"/>
    </w:p>
    <w:p>
      <w:pPr>
        <w:pStyle w:val="Heading6"/>
      </w:pPr>
      <w:bookmarkStart w:id="1641" w:name="_Toc676"/>
      <w:r>
        <w:t>اشارة</w:t>
      </w:r>
      <w:bookmarkEnd w:id="1641"/>
    </w:p>
    <w:p>
      <w:pPr>
        <w:pStyle w:val="BookText"/>
      </w:pPr>
      <w:r>
        <w:rPr>
          <w:rFonts w:ascii="IRNazanin" w:hAnsi="IRNazanin" w:eastAsia="IRNazanin" w:cs="IRNazanin"/>
          <w:lang w:bidi="fa-IR"/>
          <w:color w:val="111111"/>
          <w:sz w:val="28"/>
          <w:szCs w:val="28"/>
          <w:rtl/>
        </w:rPr>
        <w:t xml:space="preserve">و أزیف التعاریف تعریفه بأنّه:«کون حکم أو وصف یقینیّ الحصول فی الآن السابق مشکوک البقاء فی الآن اللاحق» </w:t>
      </w:r>
      <w:r>
        <w:rPr>
          <w:rStyle w:val="FootnoteReference"/>
        </w:rPr>
        <w:footnoteReference w:id="1465"/>
      </w:r>
      <w:r>
        <w:rPr>
          <w:rFonts w:ascii="IRNazanin" w:hAnsi="IRNazanin" w:eastAsia="IRNazanin" w:cs="IRNazanin"/>
          <w:lang w:bidi="fa-IR"/>
          <w:color w:val="111111"/>
          <w:sz w:val="28"/>
          <w:szCs w:val="28"/>
          <w:rtl/>
        </w:rPr>
        <w:t xml:space="preserve">إذ لا یخفی أنّ کون حکم أو وصف کذلک،هو محقّق مورد الاستصحاب و محلّه، لا نفسه.و لذا صرّح فی المعالم-کما عن غایة المأمول </w:t>
      </w:r>
      <w:r>
        <w:rPr>
          <w:rStyle w:val="FootnoteReference"/>
        </w:rPr>
        <w:footnoteReference w:id="1466"/>
      </w:r>
      <w:r>
        <w:rPr>
          <w:rFonts w:ascii="IRNazanin" w:hAnsi="IRNazanin" w:eastAsia="IRNazanin" w:cs="IRNazanin"/>
          <w:lang w:bidi="fa-IR"/>
          <w:color w:val="111111"/>
          <w:sz w:val="28"/>
          <w:szCs w:val="28"/>
          <w:rtl/>
        </w:rPr>
        <w:t xml:space="preserve">-:بأنّ استصحاب الحال،محلّه أن یثبت حکم فی وقت،ثمّ یجیء وقت آخر،و لا یقوم دلیل علی انتفاء ذلک الحکم،فهل یحکم ببقائه علی ما کان،و هو الاستصحاب؟ </w:t>
      </w:r>
      <w:r>
        <w:rPr>
          <w:rStyle w:val="FootnoteReference"/>
        </w:rPr>
        <w:footnoteReference w:id="1467"/>
      </w:r>
      <w:r>
        <w:rPr>
          <w:rFonts w:ascii="IRNazanin" w:hAnsi="IRNazanin" w:eastAsia="IRNazanin" w:cs="IRNazanin"/>
          <w:lang w:bidi="fa-IR"/>
          <w:color w:val="111111"/>
          <w:sz w:val="28"/>
          <w:szCs w:val="28"/>
          <w:rtl/>
        </w:rPr>
        <w:t xml:space="preserve">انتهی.</w:t>
      </w:r>
    </w:p>
    <w:p>
      <w:pPr>
        <w:pStyle w:val="Heading6"/>
      </w:pPr>
      <w:bookmarkStart w:id="1642" w:name="_Toc677"/>
      <w:r>
        <w:t>[توجیه تعریف القوانین:]</w:t>
      </w:r>
      <w:bookmarkEnd w:id="1642"/>
    </w:p>
    <w:p>
      <w:pPr>
        <w:pStyle w:val="Heading6"/>
      </w:pPr>
      <w:bookmarkStart w:id="1643" w:name="_Toc678"/>
      <w:r>
        <w:t>اشارة</w:t>
      </w:r>
      <w:bookmarkEnd w:id="1643"/>
    </w:p>
    <w:p>
      <w:pPr>
        <w:pStyle w:val="BookText"/>
      </w:pPr>
      <w:r>
        <w:rPr>
          <w:rFonts w:ascii="IRNazanin" w:hAnsi="IRNazanin" w:eastAsia="IRNazanin" w:cs="IRNazanin"/>
          <w:lang w:bidi="fa-IR"/>
          <w:color w:val="111111"/>
          <w:sz w:val="28"/>
          <w:szCs w:val="28"/>
          <w:rtl/>
        </w:rPr>
        <w:t xml:space="preserve">و یمکن توجیه التعریف المذکور:بأنّ المحدود هو الاستصحاب المعدود من الأدلّة،و لیس الدلیل إلاّ ما أفاد العلم أو الظنّ بالحکم، و المفید للظنّ بوجود الحکم فی الآن اللاحق لیس إلاّ کونه یقینیّ الحصول فی الآن السابق،مشکوک البقاء فی الآن اللاحق؛فلا مناص عن تعریف الاستصحاب المعدود من الأمارات إلاّ </w:t>
      </w:r>
      <w:r>
        <w:rPr>
          <w:rStyle w:val="FootnoteReference"/>
        </w:rPr>
        <w:footnoteReference w:id="1468"/>
      </w:r>
      <w:r>
        <w:rPr>
          <w:rFonts w:ascii="Amiri" w:hAnsi="Amiri" w:eastAsia="Amiri" w:cs="Amiri"/>
          <w:lang w:bidi="ar-SA"/>
          <w:color w:val="111111"/>
          <w:sz w:val="28"/>
          <w:szCs w:val="28"/>
          <w:rtl/>
        </w:rPr>
        <w:t xml:space="preserve">بما ذکره قدّس سرّه.</w:t>
      </w:r>
    </w:p>
    <w:p>
      <w:pPr>
        <w:pStyle w:val="Heading6"/>
      </w:pPr>
      <w:bookmarkStart w:id="1644" w:name="_Toc679"/>
      <w:r>
        <w:t>[عدم تمامیة التوجیه المذکور:]</w:t>
      </w:r>
      <w:bookmarkEnd w:id="1644"/>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Amiri" w:hAnsi="Amiri" w:eastAsia="Amiri" w:cs="Amiri"/>
          <w:lang w:bidi="ar-SA"/>
          <w:color w:val="111111"/>
          <w:sz w:val="28"/>
          <w:szCs w:val="28"/>
          <w:rtl/>
        </w:rPr>
        <w:t xml:space="preserve">لکن فیه:أنّ الاستصحاب-کما صرّح به هو قدّس سرّه فی أوّل کتابه </w:t>
      </w:r>
      <w:r>
        <w:rPr>
          <w:rStyle w:val="FootnoteReference"/>
        </w:rPr>
        <w:footnoteReference w:id="14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10]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322" w:name="pg14411_142904"/>
    <w:bookmarkEnd w:id="322"/>
    <w:p>
      <w:pPr>
        <w:pStyle w:val="BookText"/>
      </w:pPr>
      <w:r>
        <w:rPr>
          <w:rFonts w:ascii="IRNazanin" w:hAnsi="IRNazanin" w:eastAsia="IRNazanin" w:cs="IRNazanin"/>
          <w:lang w:bidi="fa-IR"/>
          <w:color w:val="111111"/>
          <w:sz w:val="28"/>
          <w:szCs w:val="28"/>
          <w:rtl/>
        </w:rPr>
        <w:t xml:space="preserve">إن اخذ من العقل کان داخلا فی دلیل العقل </w:t>
      </w:r>
      <w:r>
        <w:rPr>
          <w:rStyle w:val="FootnoteReference"/>
        </w:rPr>
        <w:footnoteReference w:id="1470"/>
      </w:r>
      <w:r>
        <w:rPr>
          <w:rFonts w:ascii="IRNazanin" w:hAnsi="IRNazanin" w:eastAsia="IRNazanin" w:cs="IRNazanin"/>
          <w:lang w:bidi="fa-IR"/>
          <w:color w:val="111111"/>
          <w:sz w:val="28"/>
          <w:szCs w:val="28"/>
          <w:rtl/>
        </w:rPr>
        <w:t xml:space="preserve">،و إن اخذ من الأخبار فیدخل فی السنّة،و علی کلّ تقدیر،فلا یستقیم تعریفه بما ذکره؛ لأنّ دلیل العقل هو حکم عقلیّ یتوصّل به إلی حکم شرعیّ،و لیس هنا إلاّ حکم العقل ببقاء ما کان علی ما کان </w:t>
      </w:r>
      <w:r>
        <w:rPr>
          <w:rStyle w:val="FootnoteReference"/>
        </w:rPr>
        <w:footnoteReference w:id="1471"/>
      </w:r>
      <w:r>
        <w:rPr>
          <w:rFonts w:ascii="IRNazanin" w:hAnsi="IRNazanin" w:eastAsia="IRNazanin" w:cs="IRNazanin"/>
          <w:lang w:bidi="fa-IR"/>
          <w:color w:val="111111"/>
          <w:sz w:val="28"/>
          <w:szCs w:val="28"/>
          <w:rtl/>
        </w:rPr>
        <w:t xml:space="preserve">،و المأخوذ من السنّة لیس إلاّ وجوب الحکم ببقاء ما کان علی ما کان،فکون الشیء معلوما سابقا مشکوکا فیه لاحقا </w:t>
      </w:r>
      <w:r>
        <w:rPr>
          <w:rStyle w:val="FootnoteReference"/>
        </w:rPr>
        <w:footnoteReference w:id="1472"/>
      </w:r>
      <w:r>
        <w:rPr>
          <w:rFonts w:ascii="IRNazanin" w:hAnsi="IRNazanin" w:eastAsia="IRNazanin" w:cs="IRNazanin"/>
          <w:lang w:bidi="fa-IR"/>
          <w:color w:val="111111"/>
          <w:sz w:val="28"/>
          <w:szCs w:val="28"/>
          <w:rtl/>
        </w:rPr>
        <w:t xml:space="preserve">لا ینطبق علی الاستصحاب بأحد الوجهین.</w:t>
      </w:r>
    </w:p>
    <w:p>
      <w:pPr>
        <w:pStyle w:val="Heading6"/>
      </w:pPr>
      <w:bookmarkStart w:id="1645" w:name="_Toc680"/>
      <w:r>
        <w:t>[تعریف شارح المختصر:]</w:t>
      </w:r>
      <w:bookmarkEnd w:id="1645"/>
    </w:p>
    <w:p>
      <w:pPr>
        <w:pStyle w:val="BookText"/>
      </w:pPr>
      <w:r>
        <w:rPr>
          <w:rFonts w:ascii="IRNazanin" w:hAnsi="IRNazanin" w:eastAsia="IRNazanin" w:cs="IRNazanin"/>
          <w:lang w:bidi="fa-IR"/>
          <w:color w:val="111111"/>
          <w:sz w:val="28"/>
          <w:szCs w:val="28"/>
          <w:rtl/>
        </w:rPr>
        <w:t xml:space="preserve">نعم ذکر شارح المختصر:«أنّ معنی استصحاب الحال أنّ الحکم الفلانی قد کان و لم یظنّ عدمه،و کلّ ما کان کذلک فهو مظنون البقاء» </w:t>
      </w:r>
      <w:r>
        <w:rPr>
          <w:rStyle w:val="FootnoteReference"/>
        </w:rPr>
        <w:footnoteReference w:id="14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کان الحدّ هو خصوص الصغری انطبق علی التعریف المذکور، و إن جعل خصوص الکبری انطبق علی تعاریف </w:t>
      </w:r>
      <w:r>
        <w:rPr>
          <w:rStyle w:val="FootnoteReference"/>
        </w:rPr>
        <w:footnoteReference w:id="1474"/>
      </w:r>
      <w:r>
        <w:rPr>
          <w:rFonts w:ascii="IRNazanin" w:hAnsi="IRNazanin" w:eastAsia="IRNazanin" w:cs="IRNazanin"/>
          <w:lang w:bidi="fa-IR"/>
          <w:color w:val="111111"/>
          <w:sz w:val="28"/>
          <w:szCs w:val="28"/>
          <w:rtl/>
        </w:rPr>
        <w:t xml:space="preserve">المشهور.</w:t>
      </w:r>
    </w:p>
    <w:p>
      <w:pPr>
        <w:pStyle w:val="Heading6"/>
      </w:pPr>
      <w:bookmarkStart w:id="1646" w:name="_Toc681"/>
      <w:r>
        <w:t>[تعریف صاحب الوافیة:]</w:t>
      </w:r>
      <w:bookmarkEnd w:id="1646"/>
    </w:p>
    <w:p>
      <w:pPr>
        <w:pStyle w:val="BookText"/>
      </w:pPr>
      <w:r>
        <w:rPr>
          <w:rFonts w:ascii="IRNazanin" w:hAnsi="IRNazanin" w:eastAsia="IRNazanin" w:cs="IRNazanin"/>
          <w:lang w:bidi="fa-IR"/>
          <w:color w:val="111111"/>
          <w:sz w:val="28"/>
          <w:szCs w:val="28"/>
          <w:rtl/>
        </w:rPr>
        <w:t xml:space="preserve">و کأنّ صاحب الوافیة استظهر منه </w:t>
      </w:r>
      <w:r>
        <w:rPr>
          <w:rStyle w:val="FootnoteReference"/>
        </w:rPr>
        <w:footnoteReference w:id="1475"/>
      </w:r>
      <w:r>
        <w:rPr>
          <w:rFonts w:ascii="IRNazanin" w:hAnsi="IRNazanin" w:eastAsia="IRNazanin" w:cs="IRNazanin"/>
          <w:lang w:bidi="fa-IR"/>
          <w:color w:val="111111"/>
          <w:sz w:val="28"/>
          <w:szCs w:val="28"/>
          <w:rtl/>
        </w:rPr>
        <w:t xml:space="preserve">کون التعریف مجموع المقدّمتین، فوافقه فی ذلک،فقال:الاستصحاب هو التمسّک بثبوت ما ثبت فی وقت أو حال علی بقائه فیما بعد ذلک الوقت أو فی غیر تلک الحال،فیقال:</w:t>
      </w:r>
    </w:p>
    <w:p>
      <w:pPr>
        <w:pStyle w:val="BookText"/>
      </w:pPr>
      <w:r>
        <w:rPr>
          <w:rFonts w:ascii="IRNazanin" w:hAnsi="IRNazanin" w:eastAsia="IRNazanin" w:cs="IRNazanin"/>
          <w:lang w:bidi="fa-IR"/>
          <w:color w:val="111111"/>
          <w:sz w:val="28"/>
          <w:szCs w:val="28"/>
          <w:rtl/>
        </w:rPr>
        <w:t xml:space="preserve">[شماره صفحه واقعی : 11]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الأمر الفلانی قد کان و لم یعلم عدمه،و کلّ ما کان کذلک فهو باق </w:t>
      </w:r>
      <w:r>
        <w:rPr>
          <w:rStyle w:val="FootnoteReference"/>
        </w:rPr>
        <w:footnoteReference w:id="1476"/>
      </w:r>
      <w:r>
        <w:rPr>
          <w:rFonts w:ascii="IRNazanin" w:hAnsi="IRNazanin" w:eastAsia="IRNazanin" w:cs="IRNazanin"/>
          <w:lang w:bidi="fa-IR"/>
          <w:color w:val="111111"/>
          <w:sz w:val="28"/>
          <w:szCs w:val="28"/>
          <w:rtl/>
        </w:rPr>
        <w:t xml:space="preserve">،انتهی.و لا ثمرة مهمّة فی ذلک.</w:t>
      </w:r>
    </w:p>
    <w:p>
      <w:pPr>
        <w:pStyle w:val="BookText"/>
      </w:pPr>
      <w:r>
        <w:rPr>
          <w:rFonts w:ascii="IRNazanin" w:hAnsi="IRNazanin" w:eastAsia="IRNazanin" w:cs="IRNazanin"/>
          <w:lang w:bidi="fa-IR"/>
          <w:color w:val="111111"/>
          <w:sz w:val="28"/>
          <w:szCs w:val="28"/>
          <w:rtl/>
        </w:rPr>
        <w:t xml:space="preserve">[شماره صفحه واقعی : 12]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323" w:name="pg14411_142906"/>
    <w:bookmarkEnd w:id="323"/>
    <w:p>
      <w:pPr>
        <w:pStyle w:val="Heading5"/>
      </w:pPr>
      <w:bookmarkStart w:id="1647" w:name="_Toc682"/>
      <w:r>
        <w:t>بقی الکلام فی امور</w:t>
      </w:r>
      <w:bookmarkEnd w:id="1647"/>
    </w:p>
    <w:p>
      <w:pPr>
        <w:pStyle w:val="Heading6"/>
      </w:pPr>
      <w:bookmarkStart w:id="1648" w:name="_Toc683"/>
      <w:r>
        <w:t>[الأمر ] الأوّل [:هل الاستصحاب أصل عملیّ أو أمارة ظنّیة؟]</w:t>
      </w:r>
      <w:bookmarkEnd w:id="1648"/>
    </w:p>
    <w:p>
      <w:pPr>
        <w:pStyle w:val="Heading6"/>
      </w:pPr>
      <w:bookmarkStart w:id="1649" w:name="_Toc684"/>
      <w:r>
        <w:t>اشارة</w:t>
      </w:r>
      <w:bookmarkEnd w:id="1649"/>
    </w:p>
    <w:p>
      <w:pPr>
        <w:pStyle w:val="BookText"/>
      </w:pPr>
      <w:r>
        <w:rPr>
          <w:rFonts w:ascii="IRNazanin" w:hAnsi="IRNazanin" w:eastAsia="IRNazanin" w:cs="IRNazanin"/>
          <w:lang w:bidi="fa-IR"/>
          <w:color w:val="111111"/>
          <w:sz w:val="28"/>
          <w:szCs w:val="28"/>
          <w:rtl/>
        </w:rPr>
        <w:t xml:space="preserve">أنّ عدّ الاستصحاب من الأحکام الظاهریّة الثابتة للشیء بوصف کونه مشکوک الحکم-نظیر أصل البراءة و قاعدة الاشتغال-مبنیّ علی استفادته من الأخبار،و أمّا بناء علی کونه من أحکام العقل فهو دلیل ظنّیّ اجتهادیّ،نظیر القیاس و الاستقراء،علی القول بهما.</w:t>
      </w:r>
    </w:p>
    <w:p>
      <w:pPr>
        <w:pStyle w:val="Heading6"/>
      </w:pPr>
      <w:bookmarkStart w:id="1650" w:name="_Toc685"/>
      <w:r>
        <w:t>[المختار کونه من الاصول العملیّة:]</w:t>
      </w:r>
      <w:bookmarkEnd w:id="1650"/>
    </w:p>
    <w:p>
      <w:pPr>
        <w:pStyle w:val="BookText"/>
      </w:pPr>
      <w:r>
        <w:rPr>
          <w:rFonts w:ascii="IRNazanin" w:hAnsi="IRNazanin" w:eastAsia="IRNazanin" w:cs="IRNazanin"/>
          <w:lang w:bidi="fa-IR"/>
          <w:color w:val="111111"/>
          <w:sz w:val="28"/>
          <w:szCs w:val="28"/>
          <w:rtl/>
        </w:rPr>
        <w:t xml:space="preserve">و حیث إنّ المختار عندنا هو الأوّل،ذکرناه فی الاصول العملیّة المقرّرة للموضوعات بوصف کونها مشکوکة الحکم،لکن ظاهر کلمات الأکثر-کالشیخ </w:t>
      </w:r>
      <w:r>
        <w:rPr>
          <w:rStyle w:val="FootnoteReference"/>
        </w:rPr>
        <w:footnoteReference w:id="1477"/>
      </w:r>
      <w:r>
        <w:rPr>
          <w:rFonts w:ascii="Amiri" w:hAnsi="Amiri" w:eastAsia="Amiri" w:cs="Amiri"/>
          <w:lang w:bidi="ar-SA"/>
          <w:color w:val="111111"/>
          <w:sz w:val="28"/>
          <w:szCs w:val="28"/>
          <w:rtl/>
        </w:rPr>
        <w:t xml:space="preserve">و السیّدین </w:t>
      </w:r>
      <w:r>
        <w:rPr>
          <w:rStyle w:val="FootnoteReference"/>
        </w:rPr>
        <w:footnoteReference w:id="1478"/>
      </w:r>
      <w:r>
        <w:rPr>
          <w:rFonts w:ascii="IRNazanin" w:hAnsi="IRNazanin" w:eastAsia="IRNazanin" w:cs="IRNazanin"/>
          <w:lang w:bidi="fa-IR"/>
          <w:color w:val="111111"/>
          <w:sz w:val="28"/>
          <w:szCs w:val="28"/>
          <w:rtl/>
        </w:rPr>
        <w:t xml:space="preserve">و الفاضلین </w:t>
      </w:r>
      <w:r>
        <w:rPr>
          <w:rStyle w:val="FootnoteReference"/>
        </w:rPr>
        <w:footnoteReference w:id="1479"/>
      </w:r>
      <w:r>
        <w:rPr>
          <w:rFonts w:ascii="IRNazanin" w:hAnsi="IRNazanin" w:eastAsia="IRNazanin" w:cs="IRNazanin"/>
          <w:lang w:bidi="fa-IR"/>
          <w:color w:val="111111"/>
          <w:sz w:val="28"/>
          <w:szCs w:val="28"/>
          <w:rtl/>
        </w:rPr>
        <w:t xml:space="preserve">و الشهیدین </w:t>
      </w:r>
      <w:r>
        <w:rPr>
          <w:rStyle w:val="FootnoteReference"/>
        </w:rPr>
        <w:footnoteReference w:id="1480"/>
      </w:r>
      <w:r>
        <w:rPr>
          <w:rFonts w:ascii="IRNazanin" w:hAnsi="IRNazanin" w:eastAsia="IRNazanin" w:cs="IRNazanin"/>
          <w:lang w:bidi="fa-IR"/>
          <w:color w:val="111111"/>
          <w:sz w:val="28"/>
          <w:szCs w:val="28"/>
          <w:rtl/>
        </w:rPr>
        <w:t xml:space="preserve">و صاحب المعالم </w:t>
      </w:r>
      <w:r>
        <w:rPr>
          <w:rStyle w:val="FootnoteReference"/>
        </w:rPr>
        <w:footnoteReference w:id="14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13]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کونه حکما عقلیّا؛و لذا لم یتمسّک أحد </w:t>
      </w:r>
      <w:r>
        <w:rPr>
          <w:rStyle w:val="FootnoteReference"/>
        </w:rPr>
        <w:footnoteReference w:id="1482"/>
      </w:r>
      <w:r>
        <w:rPr>
          <w:rFonts w:ascii="IRNazanin" w:hAnsi="IRNazanin" w:eastAsia="IRNazanin" w:cs="IRNazanin"/>
          <w:lang w:bidi="fa-IR"/>
          <w:color w:val="111111"/>
          <w:sz w:val="28"/>
          <w:szCs w:val="28"/>
          <w:rtl/>
        </w:rPr>
        <w:t xml:space="preserve">هؤلاء فیه بخبر من الأخبار.</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نعم،ذکر فی العدّة </w:t>
      </w:r>
      <w:r>
        <w:rPr>
          <w:rStyle w:val="FootnoteReference"/>
        </w:rPr>
        <w:footnoteReference w:id="1483"/>
      </w:r>
      <w:r>
        <w:rPr>
          <w:rFonts w:ascii="IRNazanin" w:hAnsi="IRNazanin" w:eastAsia="IRNazanin" w:cs="IRNazanin"/>
          <w:lang w:bidi="fa-IR"/>
          <w:color w:val="111111"/>
          <w:sz w:val="28"/>
          <w:szCs w:val="28"/>
          <w:rtl/>
        </w:rPr>
        <w:t xml:space="preserve">-انتصارا للقائل بحجّیته-ما روی عن النبیّ صلی اللّه علیه و آله من:«أنّ الشیطان ینفخ </w:t>
      </w:r>
      <w:r>
        <w:rPr>
          <w:rStyle w:val="FootnoteReference"/>
        </w:rPr>
        <w:footnoteReference w:id="1484"/>
      </w:r>
      <w:r>
        <w:rPr>
          <w:rFonts w:ascii="IRNazanin" w:hAnsi="IRNazanin" w:eastAsia="IRNazanin" w:cs="IRNazanin"/>
          <w:lang w:bidi="fa-IR"/>
          <w:color w:val="111111"/>
          <w:sz w:val="28"/>
          <w:szCs w:val="28"/>
          <w:rtl/>
        </w:rPr>
        <w:t xml:space="preserve">بین ألیتی المصلّی فلا ینصرفنّ أحدکم إلاّ بعد أن یسمع صوتا أو یجد ریحا» </w:t>
      </w:r>
      <w:r>
        <w:rPr>
          <w:rStyle w:val="FootnoteReference"/>
        </w:rPr>
        <w:footnoteReference w:id="14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العجب أنّه انتصر بهذا الخبر الضعیف المختصّ بمورد خاصّ، و لم یتمسّک بالأخبار الصحیحة العامّة المعدودة-فی حدیث الأربعمائة- من أبواب العلوم </w:t>
      </w:r>
      <w:r>
        <w:rPr>
          <w:rStyle w:val="FootnoteReference"/>
        </w:rPr>
        <w:footnoteReference w:id="14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أوّل من تمسّک بهذه الأخبار-فیما وجدته-والد الشیخ البهائی قدّس سرّه، فیما حکی عنه فی العقد الطهماسبی </w:t>
      </w:r>
      <w:r>
        <w:rPr>
          <w:rStyle w:val="FootnoteReference"/>
        </w:rPr>
        <w:footnoteReference w:id="1487"/>
      </w:r>
      <w:r>
        <w:rPr>
          <w:rFonts w:ascii="IRNazanin" w:hAnsi="IRNazanin" w:eastAsia="IRNazanin" w:cs="IRNazanin"/>
          <w:lang w:bidi="fa-IR"/>
          <w:color w:val="111111"/>
          <w:sz w:val="28"/>
          <w:szCs w:val="28"/>
          <w:rtl/>
        </w:rPr>
        <w:t xml:space="preserve">،و تبعه صاحب الذخیرة </w:t>
      </w:r>
      <w:r>
        <w:rPr>
          <w:rStyle w:val="FootnoteReference"/>
        </w:rPr>
        <w:footnoteReference w:id="1488"/>
      </w:r>
      <w:r>
        <w:rPr>
          <w:rFonts w:ascii="IRNazanin" w:hAnsi="IRNazanin" w:eastAsia="IRNazanin" w:cs="IRNazanin"/>
          <w:lang w:bidi="fa-IR"/>
          <w:color w:val="111111"/>
          <w:sz w:val="28"/>
          <w:szCs w:val="28"/>
          <w:rtl/>
        </w:rPr>
        <w:t xml:space="preserve">و شارح الدروس </w:t>
      </w:r>
      <w:r>
        <w:rPr>
          <w:rStyle w:val="FootnoteReference"/>
        </w:rPr>
        <w:footnoteReference w:id="1489"/>
      </w:r>
      <w:r>
        <w:rPr>
          <w:rFonts w:ascii="IRNazanin" w:hAnsi="IRNazanin" w:eastAsia="IRNazanin" w:cs="IRNazanin"/>
          <w:lang w:bidi="fa-IR"/>
          <w:color w:val="111111"/>
          <w:sz w:val="28"/>
          <w:szCs w:val="28"/>
          <w:rtl/>
        </w:rPr>
        <w:t xml:space="preserve">،و شاع بین من تأخّر عنهم </w:t>
      </w:r>
      <w:r>
        <w:rPr>
          <w:rStyle w:val="FootnoteReference"/>
        </w:rPr>
        <w:footnoteReference w:id="14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14]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نعم،ربما یظهر من الحلّی فی السرائر </w:t>
      </w:r>
      <w:r>
        <w:rPr>
          <w:rStyle w:val="FootnoteReference"/>
        </w:rPr>
        <w:footnoteReference w:id="1491"/>
      </w:r>
      <w:r>
        <w:rPr>
          <w:rFonts w:ascii="IRNazanin" w:hAnsi="IRNazanin" w:eastAsia="IRNazanin" w:cs="IRNazanin"/>
          <w:lang w:bidi="fa-IR"/>
          <w:color w:val="111111"/>
          <w:sz w:val="28"/>
          <w:szCs w:val="28"/>
          <w:rtl/>
        </w:rPr>
        <w:t xml:space="preserve">الاعتماد علی هذه الأخبار؛ حیث عبّر عن استصحاب نجاسة الماء المتغیّر بعد زوال تغیّره من قبل نفسه،ب:«عدم نقض الیقین إلاّ بالیقین» </w:t>
      </w:r>
      <w:r>
        <w:rPr>
          <w:rStyle w:val="FootnoteReference"/>
        </w:rPr>
        <w:footnoteReference w:id="1492"/>
      </w:r>
      <w:r>
        <w:rPr>
          <w:rFonts w:ascii="Amiri" w:hAnsi="Amiri" w:eastAsia="Amiri" w:cs="Amiri"/>
          <w:lang w:bidi="ar-SA"/>
          <w:color w:val="111111"/>
          <w:sz w:val="28"/>
          <w:szCs w:val="28"/>
          <w:rtl/>
        </w:rPr>
        <w:t xml:space="preserve">.و هذه العبارة،الظاهر </w:t>
      </w:r>
      <w:r>
        <w:rPr>
          <w:rStyle w:val="FootnoteReference"/>
        </w:rPr>
        <w:footnoteReference w:id="1493"/>
      </w:r>
      <w:r>
        <w:rPr>
          <w:rFonts w:ascii="Amiri" w:hAnsi="Amiri" w:eastAsia="Amiri" w:cs="Amiri"/>
          <w:lang w:bidi="ar-SA"/>
          <w:color w:val="111111"/>
          <w:sz w:val="28"/>
          <w:szCs w:val="28"/>
          <w:rtl/>
        </w:rPr>
        <w:t xml:space="preserve">أنّها مأخوذة من الأخبار.</w:t>
      </w:r>
    </w:p>
    <w:p>
      <w:pPr>
        <w:pStyle w:val="BookText"/>
      </w:pPr>
      <w:r>
        <w:rPr>
          <w:rFonts w:ascii="IRNazanin" w:hAnsi="IRNazanin" w:eastAsia="IRNazanin" w:cs="IRNazanin"/>
          <w:lang w:bidi="fa-IR"/>
          <w:color w:val="111111"/>
          <w:sz w:val="28"/>
          <w:szCs w:val="28"/>
          <w:rtl/>
        </w:rPr>
        <w:t xml:space="preserve">[شماره صفحه واقعی : 15]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bookmarkStart w:id="324" w:name="pg14411_142909"/>
    <w:bookmarkEnd w:id="324"/>
    <w:p>
      <w:pPr>
        <w:pStyle w:val="Heading6"/>
      </w:pPr>
      <w:bookmarkStart w:id="1651" w:name="_Toc686"/>
      <w:r>
        <w:t>[الأمر ] الثانی [:الوجه فی عدّ الاستصحاب من الأدلّة العقلیّة]</w:t>
      </w:r>
      <w:bookmarkEnd w:id="1651"/>
    </w:p>
    <w:p>
      <w:pPr>
        <w:pStyle w:val="BookText"/>
      </w:pPr>
      <w:r>
        <w:rPr>
          <w:rFonts w:ascii="IRNazanin" w:hAnsi="IRNazanin" w:eastAsia="IRNazanin" w:cs="IRNazanin"/>
          <w:lang w:bidi="fa-IR"/>
          <w:color w:val="111111"/>
          <w:sz w:val="28"/>
          <w:szCs w:val="28"/>
          <w:rtl/>
        </w:rPr>
        <w:t xml:space="preserve">أنّ عدّ الاستصحاب-علی تقدیر اعتباره من باب إفادة الظنّ- من الأدلّة العقلیّة،کما فعله غیر واحد منهم؛باعتبار أنّه حکم عقلیّ یتوصّل به إلی حکم شرعیّ بواسطة خطاب الشارع،فنقول:إنّ الحکم الشرعی الفلانی ثبت سابقا و لم یعلم ارتفاعه،و کلّ ما کان کذلک فهو باق،فالصغری شرعیّة،و الکبری عقلیّة ظنّیة،فهو و القیاس و الاستحسان و الاستقراء </w:t>
      </w:r>
      <w:r>
        <w:rPr>
          <w:rStyle w:val="FootnoteReference"/>
        </w:rPr>
        <w:footnoteReference w:id="1494"/>
      </w:r>
      <w:r>
        <w:rPr>
          <w:rFonts w:ascii="IRNazanin" w:hAnsi="IRNazanin" w:eastAsia="IRNazanin" w:cs="IRNazanin"/>
          <w:lang w:bidi="fa-IR"/>
          <w:color w:val="111111"/>
          <w:sz w:val="28"/>
          <w:szCs w:val="28"/>
          <w:rtl/>
        </w:rPr>
        <w:t xml:space="preserve">-نظیر المفاهیم و الاستلزامات-من العقلیّات الغیر المستقلّة.</w:t>
      </w:r>
    </w:p>
    <w:p>
      <w:pPr>
        <w:pStyle w:val="BookText"/>
      </w:pPr>
      <w:r>
        <w:rPr>
          <w:rFonts w:ascii="IRNazanin" w:hAnsi="IRNazanin" w:eastAsia="IRNazanin" w:cs="IRNazanin"/>
          <w:lang w:bidi="fa-IR"/>
          <w:color w:val="111111"/>
          <w:sz w:val="28"/>
          <w:szCs w:val="28"/>
          <w:rtl/>
        </w:rPr>
        <w:t xml:space="preserve">[شماره صفحه واقعی : 16]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325" w:name="pg14411_142910"/>
    <w:bookmarkEnd w:id="325"/>
    <w:p>
      <w:pPr>
        <w:pStyle w:val="Heading6"/>
      </w:pPr>
      <w:bookmarkStart w:id="1652" w:name="_Toc687"/>
      <w:r>
        <w:t>[الأمر ] الثالث [:هل الاستصحاب مسألة اصولیّة أو فقهیّة؟]</w:t>
      </w:r>
      <w:bookmarkEnd w:id="1652"/>
    </w:p>
    <w:p>
      <w:pPr>
        <w:pStyle w:val="Heading6"/>
      </w:pPr>
      <w:bookmarkStart w:id="1653" w:name="_Toc688"/>
      <w:r>
        <w:t>اشارة</w:t>
      </w:r>
      <w:bookmarkEnd w:id="1653"/>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أنّ مسألة الاستصحاب علی القول بکونه من الأحکام العقلیّة مسألة اصولیّة یبحث فیها عن کون الشیء دلیلا علی الحکم الشرعیّ، نظیر حجّیة القیاس و الاستقراء.</w:t>
      </w:r>
    </w:p>
    <w:p>
      <w:pPr>
        <w:pStyle w:val="Heading6"/>
      </w:pPr>
      <w:bookmarkStart w:id="1654" w:name="_Toc689"/>
      <w:r>
        <w:t>[بناء علی کونه حکما عقلیا فهو مسألة اصولیّة:]</w:t>
      </w:r>
      <w:bookmarkEnd w:id="1654"/>
    </w:p>
    <w:p>
      <w:pPr>
        <w:pStyle w:val="BookText"/>
      </w:pPr>
      <w:r>
        <w:rPr>
          <w:rFonts w:ascii="IRNazanin" w:hAnsi="IRNazanin" w:eastAsia="IRNazanin" w:cs="IRNazanin"/>
          <w:lang w:bidi="fa-IR"/>
          <w:color w:val="111111"/>
          <w:sz w:val="28"/>
          <w:szCs w:val="28"/>
          <w:rtl/>
        </w:rPr>
        <w:t xml:space="preserve">نعم،یشکل ذلک بما ذکره المحقّق القمّی قدّس سرّه فی القوانین و حاشیته:</w:t>
      </w:r>
    </w:p>
    <w:p>
      <w:pPr>
        <w:pStyle w:val="BookText"/>
      </w:pPr>
      <w:r>
        <w:rPr>
          <w:rFonts w:ascii="IRNazanin" w:hAnsi="IRNazanin" w:eastAsia="IRNazanin" w:cs="IRNazanin"/>
          <w:lang w:bidi="fa-IR"/>
          <w:color w:val="111111"/>
          <w:sz w:val="28"/>
          <w:szCs w:val="28"/>
          <w:rtl/>
        </w:rPr>
        <w:t xml:space="preserve">من أنّ مسائل الاصول ما یبحث فیها عن حال الدلیل بعد الفراغ عن کونه دلیلا،لا عن دلیلیّة الدلیل </w:t>
      </w:r>
      <w:r>
        <w:rPr>
          <w:rStyle w:val="FootnoteReference"/>
        </w:rPr>
        <w:footnoteReference w:id="14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علی ما ذکره قدّس سرّه،فیکون مسألة الاستصحاب-کمسائل حجّیة الأدلّة الظنّیة،کظاهر الکتاب و خبر الواحد و نحوهما-من المبادئ التصدیقیّة للمسائل الاصولیّة،و حیث لم تتبیّن فی علم آخر احتیج إلی بیانها فی نفس العلم،کأکثر المبادئ التصوّریّة.</w:t>
      </w:r>
    </w:p>
    <w:p>
      <w:pPr>
        <w:pStyle w:val="BookText"/>
      </w:pPr>
      <w:r>
        <w:rPr>
          <w:rFonts w:ascii="IRNazanin" w:hAnsi="IRNazanin" w:eastAsia="IRNazanin" w:cs="IRNazanin"/>
          <w:lang w:bidi="fa-IR"/>
          <w:color w:val="111111"/>
          <w:sz w:val="28"/>
          <w:szCs w:val="28"/>
          <w:rtl/>
        </w:rPr>
        <w:t xml:space="preserve">نعم ذکر بعضهم </w:t>
      </w:r>
      <w:r>
        <w:rPr>
          <w:rStyle w:val="FootnoteReference"/>
        </w:rPr>
        <w:footnoteReference w:id="1496"/>
      </w:r>
      <w:r>
        <w:rPr>
          <w:rFonts w:ascii="IRNazanin" w:hAnsi="IRNazanin" w:eastAsia="IRNazanin" w:cs="IRNazanin"/>
          <w:lang w:bidi="fa-IR"/>
          <w:color w:val="111111"/>
          <w:sz w:val="28"/>
          <w:szCs w:val="28"/>
          <w:rtl/>
        </w:rPr>
        <w:t xml:space="preserve">:أنّ موضوع الاصول </w:t>
      </w:r>
      <w:r>
        <w:rPr>
          <w:rStyle w:val="FootnoteReference"/>
        </w:rPr>
        <w:footnoteReference w:id="1497"/>
      </w:r>
      <w:r>
        <w:rPr>
          <w:rFonts w:ascii="IRNazanin" w:hAnsi="IRNazanin" w:eastAsia="IRNazanin" w:cs="IRNazanin"/>
          <w:lang w:bidi="fa-IR"/>
          <w:color w:val="111111"/>
          <w:sz w:val="28"/>
          <w:szCs w:val="28"/>
          <w:rtl/>
        </w:rPr>
        <w:t xml:space="preserve">ذوات الأدلّة من حیث</w:t>
      </w:r>
    </w:p>
    <w:p>
      <w:pPr>
        <w:pStyle w:val="BookText"/>
      </w:pPr>
      <w:r>
        <w:rPr>
          <w:rFonts w:ascii="IRNazanin" w:hAnsi="IRNazanin" w:eastAsia="IRNazanin" w:cs="IRNazanin"/>
          <w:lang w:bidi="fa-IR"/>
          <w:color w:val="111111"/>
          <w:sz w:val="28"/>
          <w:szCs w:val="28"/>
          <w:rtl/>
        </w:rPr>
        <w:t xml:space="preserve">[شماره صفحه واقعی : 17]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326" w:name="pg14411_142911"/>
    <w:bookmarkEnd w:id="326"/>
    <w:p>
      <w:pPr>
        <w:pStyle w:val="BookText"/>
      </w:pPr>
      <w:r>
        <w:rPr>
          <w:rFonts w:ascii="IRNazanin" w:hAnsi="IRNazanin" w:eastAsia="IRNazanin" w:cs="IRNazanin"/>
          <w:lang w:bidi="fa-IR"/>
          <w:color w:val="111111"/>
          <w:sz w:val="28"/>
          <w:szCs w:val="28"/>
          <w:rtl/>
        </w:rPr>
        <w:t xml:space="preserve">یبحث عن دلیلیّتها أو عمّا یعرض لها بعد الدلیلیّة.</w:t>
      </w:r>
    </w:p>
    <w:p>
      <w:pPr>
        <w:pStyle w:val="BookText"/>
      </w:pPr>
      <w:r>
        <w:rPr>
          <w:rFonts w:ascii="IRNazanin" w:hAnsi="IRNazanin" w:eastAsia="IRNazanin" w:cs="IRNazanin"/>
          <w:lang w:bidi="fa-IR"/>
          <w:color w:val="111111"/>
          <w:sz w:val="28"/>
          <w:szCs w:val="28"/>
          <w:rtl/>
        </w:rPr>
        <w:t xml:space="preserve">و لعلّه موافق لتعریف الاصول بأنّه:«العلم بالقواعد الممهّدة لاستنباط الأحکام الفرعیّة من أدلّتها» </w:t>
      </w:r>
      <w:r>
        <w:rPr>
          <w:rStyle w:val="FootnoteReference"/>
        </w:rPr>
        <w:footnoteReference w:id="1498"/>
      </w:r>
      <w:r>
        <w:rPr>
          <w:rFonts w:ascii="Times New Roman" w:hAnsi="Times New Roman" w:eastAsia="Times New Roman" w:cs="Times New Roman"/>
          <w:lang w:val="en-US" w:bidi="en-US"/>
          <w:color w:val="111111"/>
          <w:sz w:val="28"/>
          <w:szCs w:val="28"/>
          <w:rtl/>
        </w:rPr>
        <w:t xml:space="preserve">.</w:t>
      </w:r>
    </w:p>
    <w:p>
      <w:pPr>
        <w:pStyle w:val="Heading6"/>
      </w:pPr>
      <w:bookmarkStart w:id="1655" w:name="_Toc690"/>
      <w:r>
        <w:t>[بناء علی کونه من الاصول العملیّة ففی کونه من المسائل الاصولیّة غموض:]</w:t>
      </w:r>
      <w:bookmarkEnd w:id="1655"/>
    </w:p>
    <w:p>
      <w:pPr>
        <w:pStyle w:val="BookText"/>
      </w:pPr>
      <w:r>
        <w:rPr>
          <w:rFonts w:ascii="IRNazanin" w:hAnsi="IRNazanin" w:eastAsia="IRNazanin" w:cs="IRNazanin"/>
          <w:lang w:bidi="fa-IR"/>
          <w:color w:val="111111"/>
          <w:sz w:val="28"/>
          <w:szCs w:val="28"/>
          <w:rtl/>
        </w:rPr>
        <w:t xml:space="preserve">و </w:t>
      </w:r>
      <w:r>
        <w:rPr>
          <w:rStyle w:val="FootnoteReference"/>
        </w:rPr>
        <w:footnoteReference w:id="1499"/>
      </w:r>
      <w:r>
        <w:rPr>
          <w:rFonts w:ascii="IRNazanin" w:hAnsi="IRNazanin" w:eastAsia="IRNazanin" w:cs="IRNazanin"/>
          <w:lang w:bidi="fa-IR"/>
          <w:color w:val="111111"/>
          <w:sz w:val="28"/>
          <w:szCs w:val="28"/>
          <w:rtl/>
        </w:rPr>
        <w:t xml:space="preserve">أمّا علی القول بکونه من الاصول العملیّة،ففی کونه من المسائل الاصولیّة غموض؛من حیث إنّ </w:t>
      </w:r>
      <w:r>
        <w:rPr>
          <w:rStyle w:val="FootnoteReference"/>
        </w:rPr>
        <w:footnoteReference w:id="1500"/>
      </w:r>
      <w:r>
        <w:rPr>
          <w:rFonts w:ascii="IRNazanin" w:hAnsi="IRNazanin" w:eastAsia="IRNazanin" w:cs="IRNazanin"/>
          <w:lang w:bidi="fa-IR"/>
          <w:color w:val="111111"/>
          <w:sz w:val="28"/>
          <w:szCs w:val="28"/>
          <w:rtl/>
        </w:rPr>
        <w:t xml:space="preserve">الاستصحاب حینئذ قاعدة مستفادة من السنّة،و لیس التکلّم فیه تکلّما فی أحوال السنّة،بل هو نظیر سائر القواعد المستفادة من الکتاب و السنّة،و المسألة الاصولیّة هی التی بمعونتها یستنبط هذه القاعدة من قولهم علیهم السّلام:«لا تنقض الیقین بالشکّ»،و هی المسائل الباحثة عن أحوال طریق الخبر و عن أحوال الألفاظ الواقعة فیه،</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فهذه القاعدة-کقاعدة«البراءة»و«الاشتغال»- نظیر قاعدة«نفی الضرر و الحرج»،من القواعد الفرعیّة المتعلّقة بعمل المکلّف.نعم،تندرج تحت هذه القاعدة مسألة اصولیّة یجری فیها الاستصحاب،کما تندرج المسألة الاصولیّة أحیانا تحت أدلّة نفی الحرج </w:t>
      </w:r>
      <w:r>
        <w:rPr>
          <w:rStyle w:val="FootnoteReference"/>
        </w:rPr>
        <w:footnoteReference w:id="1501"/>
      </w:r>
      <w:r>
        <w:rPr>
          <w:rFonts w:ascii="IRNazanin" w:hAnsi="IRNazanin" w:eastAsia="IRNazanin" w:cs="IRNazanin"/>
          <w:lang w:bidi="fa-IR"/>
          <w:color w:val="111111"/>
          <w:sz w:val="28"/>
          <w:szCs w:val="28"/>
          <w:rtl/>
        </w:rPr>
        <w:t xml:space="preserve">، کما ینفی وجوب الفحص عن المعارض حتّی یقطع بعدمه بنفی الحرج.</w:t>
      </w:r>
    </w:p>
    <w:p>
      <w:pPr>
        <w:pStyle w:val="Heading6"/>
      </w:pPr>
      <w:bookmarkStart w:id="1656" w:name="_Toc691"/>
      <w:r>
        <w:t>[الإشکال فی کون الاستصحاب من المسائل الفرعیة:]</w:t>
      </w:r>
      <w:bookmarkEnd w:id="1656"/>
    </w:p>
    <w:p>
      <w:pPr>
        <w:pStyle w:val="BookText"/>
      </w:pPr>
      <w:r>
        <w:rPr>
          <w:rFonts w:ascii="IRNazanin" w:hAnsi="IRNazanin" w:eastAsia="IRNazanin" w:cs="IRNazanin"/>
          <w:lang w:bidi="fa-IR"/>
          <w:color w:val="111111"/>
          <w:sz w:val="28"/>
          <w:szCs w:val="28"/>
          <w:rtl/>
        </w:rPr>
        <w:t xml:space="preserve">نعم،یشکل کون الاستصحاب من المسائل الفرعیّة:بأنّ إجراءها فی موردها </w:t>
      </w:r>
      <w:r>
        <w:rPr>
          <w:rStyle w:val="FootnoteReference"/>
        </w:rPr>
        <w:footnoteReference w:id="1502"/>
      </w:r>
      <w:r>
        <w:rPr>
          <w:rFonts w:ascii="IRNazanin" w:hAnsi="IRNazanin" w:eastAsia="IRNazanin" w:cs="IRNazanin"/>
          <w:lang w:bidi="fa-IR"/>
          <w:color w:val="111111"/>
          <w:sz w:val="28"/>
          <w:szCs w:val="28"/>
          <w:rtl/>
        </w:rPr>
        <w:t xml:space="preserve">-أعنی:صورة الشکّ فی بقاء الحکم الشرعی السابق، کنجاسة الماء المتغیّر بعد زوال تغیّره-مختصّ بالمجتهد و لیس وظیفة</w:t>
      </w:r>
    </w:p>
    <w:p>
      <w:pPr>
        <w:pStyle w:val="BookText"/>
      </w:pPr>
      <w:r>
        <w:rPr>
          <w:rFonts w:ascii="IRNazanin" w:hAnsi="IRNazanin" w:eastAsia="IRNazanin" w:cs="IRNazanin"/>
          <w:lang w:bidi="fa-IR"/>
          <w:color w:val="111111"/>
          <w:sz w:val="28"/>
          <w:szCs w:val="28"/>
          <w:rtl/>
        </w:rPr>
        <w:t xml:space="preserve">[شماره صفحه واقعی : 18]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bookmarkStart w:id="327" w:name="pg14411_142912"/>
    <w:bookmarkEnd w:id="327"/>
    <w:p>
      <w:pPr>
        <w:pStyle w:val="BookText"/>
      </w:pPr>
      <w:r>
        <w:rPr>
          <w:rFonts w:ascii="Amiri" w:hAnsi="Amiri" w:eastAsia="Amiri" w:cs="Amiri"/>
          <w:lang w:bidi="ar-SA"/>
          <w:color w:val="111111"/>
          <w:sz w:val="28"/>
          <w:szCs w:val="28"/>
          <w:rtl/>
        </w:rPr>
        <w:t xml:space="preserve">للمقلّد </w:t>
      </w:r>
      <w:r>
        <w:rPr>
          <w:rStyle w:val="FootnoteReference"/>
        </w:rPr>
        <w:footnoteReference w:id="1503"/>
      </w:r>
      <w:r>
        <w:rPr>
          <w:rFonts w:ascii="IRNazanin" w:hAnsi="IRNazanin" w:eastAsia="IRNazanin" w:cs="IRNazanin"/>
          <w:lang w:bidi="fa-IR"/>
          <w:color w:val="111111"/>
          <w:sz w:val="28"/>
          <w:szCs w:val="28"/>
          <w:rtl/>
        </w:rPr>
        <w:t xml:space="preserve">،فهی ممّا یحتاج إلیه المجتهد فقط و لا ینفع للمقلّد،و هذا من خواصّ المسألة الاصولیّة؛فإنّ المسائل الاصولیّة لمّا مهّدت للاجتهاد و استنباط الأحکام من الأدلّة اختصّ التکلّم فیها بالمستنبط،و لا حظّ لغیره فیها.</w:t>
      </w:r>
    </w:p>
    <w:p>
      <w:pPr>
        <w:pStyle w:val="BookText"/>
      </w:pPr>
      <w:r>
        <w:rPr>
          <w:rFonts w:ascii="IRNazanin" w:hAnsi="IRNazanin" w:eastAsia="IRNazanin" w:cs="IRNazanin"/>
          <w:lang w:bidi="fa-IR"/>
          <w:color w:val="111111"/>
          <w:sz w:val="28"/>
          <w:szCs w:val="28"/>
          <w:rtl/>
        </w:rPr>
        <w:t xml:space="preserve">فإن قلت:إنّ اختصاص هذه المسألة بالمجتهد؛لأجل أنّ موضوعها-و هو الشکّ فی الحکم الشرعیّ و عدم قیام الدلیل الاجتهادی علیه-لا یتشخّص إلاّ للمجتهد،و إلاّ فمضمونه و هو:العمل علی طبق الحالة السابقة و ترتیب آثارها،مشترک بین المجتهد و المقلّد.</w:t>
      </w:r>
    </w:p>
    <w:p>
      <w:pPr>
        <w:pStyle w:val="BookText"/>
      </w:pPr>
      <w:r>
        <w:rPr>
          <w:rFonts w:ascii="IRNazanin" w:hAnsi="IRNazanin" w:eastAsia="IRNazanin" w:cs="IRNazanin"/>
          <w:lang w:bidi="fa-IR"/>
          <w:color w:val="111111"/>
          <w:sz w:val="28"/>
          <w:szCs w:val="28"/>
          <w:rtl/>
        </w:rPr>
        <w:t xml:space="preserve">قلت:جمیع المسائل الاصولیّة کذلک؛لأنّ وجوب العمل بخبر الواحد و ترتیب آثار الصدق علیه لیس مختصّا بالمجتهد.نعم،تشخیص مجری خبر الواحد و تعیین مدلوله و تحصیل شروط العمل به مختصّ بالمجتهد؛لتمکّنه من ذلک و عجز المقلّد عنه،فکأنّ المجتهد نائب عن المقلّد </w:t>
      </w:r>
      <w:r>
        <w:rPr>
          <w:rStyle w:val="FootnoteReference"/>
        </w:rPr>
        <w:footnoteReference w:id="1504"/>
      </w:r>
      <w:r>
        <w:rPr>
          <w:rFonts w:ascii="IRNazanin" w:hAnsi="IRNazanin" w:eastAsia="IRNazanin" w:cs="IRNazanin"/>
          <w:lang w:bidi="fa-IR"/>
          <w:color w:val="111111"/>
          <w:sz w:val="28"/>
          <w:szCs w:val="28"/>
          <w:rtl/>
        </w:rPr>
        <w:t xml:space="preserve">فی تحصیل مقدّمات العمل بالأدلّة الاجتهادیّة و تشخیص مجاری الاصول العملیّة،و إلاّ فحکم اللّه الشرعیّ فی الاصول و الفروع مشترک بین المجتهد و المقلّد.</w:t>
      </w:r>
    </w:p>
    <w:p>
      <w:pPr>
        <w:pStyle w:val="Heading6"/>
      </w:pPr>
      <w:bookmarkStart w:id="1657" w:name="_Toc692"/>
      <w:r>
        <w:t>[کلام السید بحر العلوم فیما یرتبط بالمقام:]</w:t>
      </w:r>
      <w:bookmarkEnd w:id="1657"/>
    </w:p>
    <w:p>
      <w:pPr>
        <w:pStyle w:val="Heading6"/>
      </w:pPr>
      <w:bookmarkStart w:id="1658" w:name="_Toc693"/>
      <w:r>
        <w:t>اشارة</w:t>
      </w:r>
      <w:bookmarkEnd w:id="1658"/>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Amiri" w:hAnsi="Amiri" w:eastAsia="Amiri" w:cs="Amiri"/>
          <w:lang w:bidi="ar-SA"/>
          <w:color w:val="111111"/>
          <w:sz w:val="28"/>
          <w:szCs w:val="28"/>
          <w:rtl/>
        </w:rPr>
        <w:t xml:space="preserve">هذا،و قد جعل بعض السادة الفحول </w:t>
      </w:r>
      <w:r>
        <w:rPr>
          <w:rStyle w:val="FootnoteReference"/>
        </w:rPr>
        <w:footnoteReference w:id="1505"/>
      </w:r>
      <w:r>
        <w:rPr>
          <w:rFonts w:ascii="IRNazanin" w:hAnsi="IRNazanin" w:eastAsia="IRNazanin" w:cs="IRNazanin"/>
          <w:lang w:bidi="fa-IR"/>
          <w:color w:val="111111"/>
          <w:sz w:val="28"/>
          <w:szCs w:val="28"/>
          <w:rtl/>
        </w:rPr>
        <w:t xml:space="preserve">الاستصحاب دلیلا علی الحکم فی مورده،و جعل قولهم علیهم السّلام:«لا تنقض الیقین بالشکّ»دلیلا علی الدلیل-نظیر آیة النبأ بالنسبة إلی خبر الواحد-حیث قال:</w:t>
      </w:r>
    </w:p>
    <w:p>
      <w:pPr>
        <w:pStyle w:val="BookText"/>
      </w:pPr>
      <w:r>
        <w:rPr>
          <w:rFonts w:ascii="IRNazanin" w:hAnsi="IRNazanin" w:eastAsia="IRNazanin" w:cs="IRNazanin"/>
          <w:lang w:bidi="fa-IR"/>
          <w:color w:val="111111"/>
          <w:sz w:val="28"/>
          <w:szCs w:val="28"/>
          <w:rtl/>
        </w:rPr>
        <w:t xml:space="preserve">[شماره صفحه واقعی : 19]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bookmarkStart w:id="328" w:name="pg14411_142913"/>
    <w:bookmarkEnd w:id="328"/>
    <w:p>
      <w:pPr>
        <w:pStyle w:val="BookText"/>
      </w:pPr>
      <w:r>
        <w:rPr>
          <w:rFonts w:ascii="IRNazanin" w:hAnsi="IRNazanin" w:eastAsia="IRNazanin" w:cs="IRNazanin"/>
          <w:lang w:bidi="fa-IR"/>
          <w:color w:val="111111"/>
          <w:sz w:val="28"/>
          <w:szCs w:val="28"/>
          <w:rtl/>
        </w:rPr>
        <w:t xml:space="preserve">إنّ استصحاب الحکم المخالف للأصل فی شیء،دلیل شرعیّ رافع لحکم الأصل،و مخصّص لعمومات الحلّ-إلی أن قال فی آخر کلام له سیأتی نقله </w:t>
      </w:r>
      <w:r>
        <w:rPr>
          <w:rStyle w:val="FootnoteReference"/>
        </w:rPr>
        <w:footnoteReference w:id="1506"/>
      </w:r>
      <w:r>
        <w:rPr>
          <w:rFonts w:ascii="IRNazanin" w:hAnsi="IRNazanin" w:eastAsia="IRNazanin" w:cs="IRNazanin"/>
          <w:lang w:bidi="fa-IR"/>
          <w:color w:val="111111"/>
          <w:sz w:val="28"/>
          <w:szCs w:val="28"/>
          <w:rtl/>
        </w:rPr>
        <w:t xml:space="preserve">-:و لیس عموم قولهم علیهم السّلام:«لا تنقض الیقین بالشکّ» بالقیاس إلی أفراد الاستصحاب و جزئیّاته،إلاّ کعموم آیة النبأ بالقیاس إلی آحاد الأخبار المعتبرة </w:t>
      </w:r>
      <w:r>
        <w:rPr>
          <w:rStyle w:val="FootnoteReference"/>
        </w:rPr>
        <w:footnoteReference w:id="1507"/>
      </w:r>
      <w:r>
        <w:rPr>
          <w:rFonts w:ascii="IRNazanin" w:hAnsi="IRNazanin" w:eastAsia="IRNazanin" w:cs="IRNazanin"/>
          <w:lang w:bidi="fa-IR"/>
          <w:color w:val="111111"/>
          <w:sz w:val="28"/>
          <w:szCs w:val="28"/>
          <w:rtl/>
        </w:rPr>
        <w:t xml:space="preserve">،انتهی.</w:t>
      </w:r>
    </w:p>
    <w:p>
      <w:pPr>
        <w:pStyle w:val="Heading6"/>
      </w:pPr>
      <w:bookmarkStart w:id="1659" w:name="_Toc694"/>
      <w:r>
        <w:t>[المناقشة فیما أفاده بحر العلوم:]</w:t>
      </w:r>
      <w:bookmarkEnd w:id="1659"/>
    </w:p>
    <w:p>
      <w:pPr>
        <w:pStyle w:val="BookText"/>
      </w:pPr>
      <w:r>
        <w:rPr>
          <w:rFonts w:ascii="IRNazanin" w:hAnsi="IRNazanin" w:eastAsia="IRNazanin" w:cs="IRNazanin"/>
          <w:lang w:bidi="fa-IR"/>
          <w:color w:val="111111"/>
          <w:sz w:val="28"/>
          <w:szCs w:val="28"/>
          <w:rtl/>
        </w:rPr>
        <w:t xml:space="preserve">أقول:معنی الاستصحاب الجزئیّ فی المورد الخاصّ-کاستصحاب نجاسة الماء المتغیّر-لیس إلاّ الحکم بثبوت النجاسة فی ذلک الماء النجس سابقا،و هل هذا إلاّ نفس الحکم الشرعی؟!و هل الدلیل علیه إلاّ قولهم علیهم السّلام:«لا تنقض الیقین بالشکّ» </w:t>
      </w:r>
      <w:r>
        <w:rPr>
          <w:rStyle w:val="FootnoteReference"/>
        </w:rPr>
        <w:footnoteReference w:id="1508"/>
      </w:r>
      <w:r>
        <w:rPr>
          <w:rFonts w:ascii="IRNazanin" w:hAnsi="IRNazanin" w:eastAsia="IRNazanin" w:cs="IRNazanin"/>
          <w:lang w:bidi="fa-IR"/>
          <w:color w:val="111111"/>
          <w:sz w:val="28"/>
          <w:szCs w:val="28"/>
          <w:rtl/>
        </w:rPr>
        <w:t xml:space="preserve">؟!و بالجملة:فلا فرق بین الاستصحاب و سائر القواعد المستفادة من العمومات.</w:t>
      </w:r>
    </w:p>
    <w:p>
      <w:pPr>
        <w:pStyle w:val="BookText"/>
      </w:pPr>
      <w:r>
        <w:rPr>
          <w:rFonts w:ascii="IRNazanin" w:hAnsi="IRNazanin" w:eastAsia="IRNazanin" w:cs="IRNazanin"/>
          <w:lang w:bidi="fa-IR"/>
          <w:color w:val="111111"/>
          <w:sz w:val="28"/>
          <w:szCs w:val="28"/>
          <w:rtl/>
        </w:rPr>
        <w:t xml:space="preserve">هذا کلّه فی الاستصحاب الجاری فی الشبهة الحکمیّة المثبت للحکم الظاهری الکلّی.</w:t>
      </w:r>
    </w:p>
    <w:p>
      <w:pPr>
        <w:pStyle w:val="Heading6"/>
      </w:pPr>
      <w:bookmarkStart w:id="1660" w:name="_Toc695"/>
      <w:r>
        <w:t>[الاستصحاب الجاری فی الشبهة الموضوعیّة:]</w:t>
      </w:r>
      <w:bookmarkEnd w:id="1660"/>
    </w:p>
    <w:p>
      <w:pPr>
        <w:pStyle w:val="BookText"/>
      </w:pPr>
      <w:r>
        <w:rPr>
          <w:rFonts w:ascii="IRNazanin" w:hAnsi="IRNazanin" w:eastAsia="IRNazanin" w:cs="IRNazanin"/>
          <w:lang w:bidi="fa-IR"/>
          <w:color w:val="111111"/>
          <w:sz w:val="28"/>
          <w:szCs w:val="28"/>
          <w:rtl/>
        </w:rPr>
        <w:t xml:space="preserve">و أمّا الجاری فی الشبهة الموضوعیّة-کعدالة زید و نجاسة ثوبه و فسق عمرو و طهارة بدنه-فلا إشکال فی کونه حکما فرعیّا،سواء کان التکلّم فیه من باب الظنّ،أم کان من باب کونها قاعدة تعبّدیّة مستفادة من الأخبار؛لأنّ التکلّم فیه علی الأوّل،نظیر التکلّم فی اعتبار سائر الأمارات،ک«ید المسلمین»و«سوقهم»و«البیّنة» و«الغلبة»و نحوها فی الشبهات الخارجیّة.و علی الثانی،من باب أصالة الطهارة و عدم الاعتناء بالشکّ بعد الفراغ،و نحو ذلک.</w:t>
      </w:r>
    </w:p>
    <w:p>
      <w:pPr>
        <w:pStyle w:val="BookText"/>
      </w:pPr>
      <w:r>
        <w:rPr>
          <w:rFonts w:ascii="IRNazanin" w:hAnsi="IRNazanin" w:eastAsia="IRNazanin" w:cs="IRNazanin"/>
          <w:lang w:bidi="fa-IR"/>
          <w:color w:val="111111"/>
          <w:sz w:val="28"/>
          <w:szCs w:val="28"/>
          <w:rtl/>
        </w:rPr>
        <w:t xml:space="preserve">[شماره صفحه واقعی : 20]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329" w:name="pg14411_142914"/>
    <w:bookmarkEnd w:id="329"/>
    <w:p>
      <w:pPr>
        <w:pStyle w:val="Heading6"/>
      </w:pPr>
      <w:bookmarkStart w:id="1661" w:name="_Toc696"/>
      <w:r>
        <w:t>[الأمر ] الرابع [:مناط الاستصحاب بناء علی کونه من باب التعبّد]</w:t>
      </w:r>
      <w:bookmarkEnd w:id="1661"/>
    </w:p>
    <w:p>
      <w:pPr>
        <w:pStyle w:val="Heading6"/>
      </w:pPr>
      <w:bookmarkStart w:id="1662" w:name="_Toc697"/>
      <w:r>
        <w:t>اشارة</w:t>
      </w:r>
      <w:bookmarkEnd w:id="1662"/>
    </w:p>
    <w:p>
      <w:pPr>
        <w:pStyle w:val="BookText"/>
      </w:pPr>
      <w:r>
        <w:rPr>
          <w:rFonts w:ascii="IRNazanin" w:hAnsi="IRNazanin" w:eastAsia="IRNazanin" w:cs="IRNazanin"/>
          <w:lang w:bidi="fa-IR"/>
          <w:color w:val="111111"/>
          <w:sz w:val="28"/>
          <w:szCs w:val="28"/>
          <w:rtl/>
        </w:rPr>
        <w:t xml:space="preserve">أنّ المناط فی اعتبار الاستصحاب علی القول بکونه من باب التعبّد الظاهری </w:t>
      </w:r>
      <w:r>
        <w:rPr>
          <w:rStyle w:val="FootnoteReference"/>
        </w:rPr>
        <w:footnoteReference w:id="1509"/>
      </w:r>
      <w:r>
        <w:rPr>
          <w:rFonts w:ascii="Amiri" w:hAnsi="Amiri" w:eastAsia="Amiri" w:cs="Amiri"/>
          <w:lang w:bidi="ar-SA"/>
          <w:color w:val="111111"/>
          <w:sz w:val="28"/>
          <w:szCs w:val="28"/>
          <w:rtl/>
        </w:rPr>
        <w:t xml:space="preserve">،هو مجرّد عدم العلم بزوال الحالة السابقة.</w:t>
      </w:r>
    </w:p>
    <w:p>
      <w:pPr>
        <w:pStyle w:val="Heading6"/>
      </w:pPr>
      <w:bookmarkStart w:id="1663" w:name="_Toc698"/>
      <w:r>
        <w:t>[لیس المناط الظنّ الشخصی بناء علی کونه من باب الظنّ:]</w:t>
      </w:r>
      <w:bookmarkEnd w:id="1663"/>
    </w:p>
    <w:p>
      <w:pPr>
        <w:pStyle w:val="BookText"/>
      </w:pPr>
      <w:r>
        <w:rPr>
          <w:rFonts w:ascii="IRNazanin" w:hAnsi="IRNazanin" w:eastAsia="IRNazanin" w:cs="IRNazanin"/>
          <w:lang w:bidi="fa-IR"/>
          <w:color w:val="111111"/>
          <w:sz w:val="28"/>
          <w:szCs w:val="28"/>
          <w:rtl/>
        </w:rPr>
        <w:t xml:space="preserve">و أمّا علی القول بکونه من باب الظنّ،فالمعهود من طریقة الفقهاء عدم اعتبار إفادة الظنّ فی خصوص المقام؛</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کما یعلم ذلک من حکمهم بمقتضیات الاصول کلّیة مع عدم اعتبارهم أن یکون العامل بها ظانّا ببقاء الحالة السابقة </w:t>
      </w:r>
      <w:r>
        <w:rPr>
          <w:rStyle w:val="FootnoteReference"/>
        </w:rPr>
        <w:footnoteReference w:id="1510"/>
      </w:r>
      <w:r>
        <w:rPr>
          <w:rFonts w:ascii="IRNazanin" w:hAnsi="IRNazanin" w:eastAsia="IRNazanin" w:cs="IRNazanin"/>
          <w:lang w:bidi="fa-IR"/>
          <w:color w:val="111111"/>
          <w:sz w:val="28"/>
          <w:szCs w:val="28"/>
          <w:rtl/>
        </w:rPr>
        <w:t xml:space="preserve">،و یظهر ذلک بأدنی تتبّع </w:t>
      </w:r>
      <w:r>
        <w:rPr>
          <w:rStyle w:val="FootnoteReference"/>
        </w:rPr>
        <w:footnoteReference w:id="1511"/>
      </w:r>
      <w:r>
        <w:rPr>
          <w:rFonts w:ascii="IRNazanin" w:hAnsi="IRNazanin" w:eastAsia="IRNazanin" w:cs="IRNazanin"/>
          <w:lang w:bidi="fa-IR"/>
          <w:color w:val="111111"/>
          <w:sz w:val="28"/>
          <w:szCs w:val="28"/>
          <w:rtl/>
        </w:rPr>
        <w:t xml:space="preserve">فی أحکام العبادات و المعاملات و المرافعات و السیاسات.</w:t>
      </w:r>
    </w:p>
    <w:p>
      <w:pPr>
        <w:pStyle w:val="Heading6"/>
      </w:pPr>
      <w:bookmarkStart w:id="1664" w:name="_Toc699"/>
      <w:r>
        <w:t>[کلام الشیخ البهائی فی أن المناط الظن الشخصی:]</w:t>
      </w:r>
      <w:bookmarkEnd w:id="1664"/>
    </w:p>
    <w:p>
      <w:pPr>
        <w:pStyle w:val="BookText"/>
      </w:pPr>
      <w:r>
        <w:rPr>
          <w:rFonts w:ascii="IRNazanin" w:hAnsi="IRNazanin" w:eastAsia="IRNazanin" w:cs="IRNazanin"/>
          <w:lang w:bidi="fa-IR"/>
          <w:color w:val="111111"/>
          <w:sz w:val="28"/>
          <w:szCs w:val="28"/>
          <w:rtl/>
        </w:rPr>
        <w:t xml:space="preserve">نعم،ذکر شیخنا البهائی قدّس سرّه فی الحبل المتین-فی باب الشکّ فی الحدث بعد الطهارة-ما یظهر منه اعتبار الظنّ الشخصیّ،حیث قال:</w:t>
      </w:r>
    </w:p>
    <w:p>
      <w:pPr>
        <w:pStyle w:val="BookText"/>
      </w:pPr>
      <w:r>
        <w:rPr>
          <w:rFonts w:ascii="IRNazanin" w:hAnsi="IRNazanin" w:eastAsia="IRNazanin" w:cs="IRNazanin"/>
          <w:lang w:bidi="fa-IR"/>
          <w:color w:val="111111"/>
          <w:sz w:val="28"/>
          <w:szCs w:val="28"/>
          <w:rtl/>
        </w:rPr>
        <w:t xml:space="preserve">لا یخفی أنّ الظنّ الحاصل بالاستصحاب فی من تیقّن الطهارة و شکّ فی الحدث،لا یبقی علی نهج واحد،بل یضعف بطول المدّة شیئا</w:t>
      </w:r>
    </w:p>
    <w:p>
      <w:pPr>
        <w:pStyle w:val="BookText"/>
      </w:pPr>
      <w:r>
        <w:rPr>
          <w:rFonts w:ascii="IRNazanin" w:hAnsi="IRNazanin" w:eastAsia="IRNazanin" w:cs="IRNazanin"/>
          <w:lang w:bidi="fa-IR"/>
          <w:color w:val="111111"/>
          <w:sz w:val="28"/>
          <w:szCs w:val="28"/>
          <w:rtl/>
        </w:rPr>
        <w:t xml:space="preserve">[شماره صفحه واقعی : 21]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bookmarkStart w:id="330" w:name="pg14411_142915"/>
    <w:bookmarkEnd w:id="330"/>
    <w:p>
      <w:pPr>
        <w:pStyle w:val="BookText"/>
      </w:pPr>
      <w:r>
        <w:rPr>
          <w:rFonts w:ascii="IRNazanin" w:hAnsi="IRNazanin" w:eastAsia="IRNazanin" w:cs="IRNazanin"/>
          <w:lang w:bidi="fa-IR"/>
          <w:color w:val="111111"/>
          <w:sz w:val="28"/>
          <w:szCs w:val="28"/>
          <w:rtl/>
        </w:rPr>
        <w:t xml:space="preserve">فشیئا،بل قد یزول الرجحان و یتساوی الطرفان،بل ربما یصیر الراجح مرجوحا،کما إذا توضّأ عند الصبح و ذهل عن التحفّظ،ثمّ شکّ عند المغرب فی صدور الحدث منه،و لم یکن من عادته البقاء علی الطهارة إلی ذلک الوقت.و الحاصل:أنّ المدار علی الظنّ،فما دام باقیا فالعمل علیه و إن ضعف </w:t>
      </w:r>
      <w:r>
        <w:rPr>
          <w:rStyle w:val="FootnoteReference"/>
        </w:rPr>
        <w:footnoteReference w:id="1512"/>
      </w:r>
      <w:r>
        <w:rPr>
          <w:rFonts w:ascii="IRNazanin" w:hAnsi="IRNazanin" w:eastAsia="IRNazanin" w:cs="IRNazanin"/>
          <w:lang w:bidi="fa-IR"/>
          <w:color w:val="111111"/>
          <w:sz w:val="28"/>
          <w:szCs w:val="28"/>
          <w:rtl/>
        </w:rPr>
        <w:t xml:space="preserve">.انتهی کلامه،رفع فی الخلد مقامه.</w:t>
      </w:r>
    </w:p>
    <w:p>
      <w:pPr>
        <w:pStyle w:val="Heading6"/>
      </w:pPr>
      <w:bookmarkStart w:id="1665" w:name="_Toc700"/>
      <w:r>
        <w:t>[ظاهر شارح الدروس ارتضاؤه ذلک:]</w:t>
      </w:r>
      <w:bookmarkEnd w:id="1665"/>
    </w:p>
    <w:p>
      <w:pPr>
        <w:pStyle w:val="BookText"/>
      </w:pPr>
      <w:r>
        <w:rPr>
          <w:rFonts w:ascii="IRNazanin" w:hAnsi="IRNazanin" w:eastAsia="IRNazanin" w:cs="IRNazanin"/>
          <w:lang w:bidi="fa-IR"/>
          <w:color w:val="111111"/>
          <w:sz w:val="28"/>
          <w:szCs w:val="28"/>
          <w:rtl/>
        </w:rPr>
        <w:t xml:space="preserve">و یظهر من شارح الدروس ارتضاؤه؛حیث قال بعد حکایة هذا الکلام:</w:t>
      </w:r>
    </w:p>
    <w:p>
      <w:pPr>
        <w:pStyle w:val="BookText"/>
      </w:pPr>
      <w:r>
        <w:rPr>
          <w:rFonts w:ascii="IRNazanin" w:hAnsi="IRNazanin" w:eastAsia="IRNazanin" w:cs="IRNazanin"/>
          <w:lang w:bidi="fa-IR"/>
          <w:color w:val="111111"/>
          <w:sz w:val="28"/>
          <w:szCs w:val="28"/>
          <w:rtl/>
        </w:rPr>
        <w:t xml:space="preserve">و لا یخفی أنّ هذا إنّما یصحّ لو بنی المسألة علی أنّ ما تیقّن بحصوله فی وقت و لم یعلم أو یظنّ طروّ ما یزیله،یحصل الظنّ ببقائه، و الشکّ فی نقیضه لا یعارضه؛إذ الضعیف لا یعارض القویّ.</w:t>
      </w:r>
    </w:p>
    <w:p>
      <w:pPr>
        <w:pStyle w:val="BookText"/>
      </w:pPr>
      <w:r>
        <w:rPr>
          <w:rFonts w:ascii="IRNazanin" w:hAnsi="IRNazanin" w:eastAsia="IRNazanin" w:cs="IRNazanin"/>
          <w:lang w:bidi="fa-IR"/>
          <w:color w:val="111111"/>
          <w:sz w:val="28"/>
          <w:szCs w:val="28"/>
          <w:rtl/>
        </w:rPr>
        <w:t xml:space="preserve">لکن،هذا البناء ضعیف جدّا،بل بناؤها علی الروایات مؤیّدة بأصالة البراءة فی بعض الموارد،و هی تشمل الشکّ و الظنّ معا،فإخراج الظنّ منها </w:t>
      </w:r>
      <w:r>
        <w:rPr>
          <w:rStyle w:val="FootnoteReference"/>
        </w:rPr>
        <w:footnoteReference w:id="1513"/>
      </w:r>
      <w:r>
        <w:rPr>
          <w:rFonts w:ascii="IRNazanin" w:hAnsi="IRNazanin" w:eastAsia="IRNazanin" w:cs="IRNazanin"/>
          <w:lang w:bidi="fa-IR"/>
          <w:color w:val="111111"/>
          <w:sz w:val="28"/>
          <w:szCs w:val="28"/>
          <w:rtl/>
        </w:rPr>
        <w:t xml:space="preserve">ممّا لا وجه له أصلا </w:t>
      </w:r>
      <w:r>
        <w:rPr>
          <w:rStyle w:val="FootnoteReference"/>
        </w:rPr>
        <w:footnoteReference w:id="1514"/>
      </w:r>
      <w:r>
        <w:rPr>
          <w:rFonts w:ascii="IRNazanin" w:hAnsi="IRNazanin" w:eastAsia="IRNazanin" w:cs="IRNazanin"/>
          <w:lang w:bidi="fa-IR"/>
          <w:color w:val="111111"/>
          <w:sz w:val="28"/>
          <w:szCs w:val="28"/>
          <w:rtl/>
        </w:rPr>
        <w:t xml:space="preserve">،انتهی کلامه.</w:t>
      </w:r>
    </w:p>
    <w:p>
      <w:pPr>
        <w:pStyle w:val="Heading6"/>
      </w:pPr>
      <w:bookmarkStart w:id="1666" w:name="_Toc701"/>
      <w:r>
        <w:t>[استظهار ذلک من کلام الشهید قدّس سرّه فی الذکری:]</w:t>
      </w:r>
      <w:bookmarkEnd w:id="1666"/>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 یمکن استظهار ذلک من الشهید قدّس سرّه فی الذکری حیث ذکر أنّ:</w:t>
      </w:r>
    </w:p>
    <w:p>
      <w:pPr>
        <w:pStyle w:val="BookText"/>
      </w:pPr>
      <w:r>
        <w:rPr>
          <w:rFonts w:ascii="IRNazanin" w:hAnsi="IRNazanin" w:eastAsia="IRNazanin" w:cs="IRNazanin"/>
          <w:lang w:bidi="fa-IR"/>
          <w:color w:val="111111"/>
          <w:sz w:val="28"/>
          <w:szCs w:val="28"/>
          <w:rtl/>
        </w:rPr>
        <w:t xml:space="preserve">قولنا:«الیقین لا ینقضه الشکّ»،لا نعنی به اجتماع الیقین و الشکّ، بل المراد أنّ الیقین الذی کان فی الزمن الأوّل لا یخرج عن حکمه بالشکّ فی الزمان الثانی؛لأصالة بقاء ما کان،فیؤول إلی اجتماع الظنّ</w:t>
      </w:r>
    </w:p>
    <w:p>
      <w:pPr>
        <w:pStyle w:val="BookText"/>
      </w:pPr>
      <w:r>
        <w:rPr>
          <w:rFonts w:ascii="IRNazanin" w:hAnsi="IRNazanin" w:eastAsia="IRNazanin" w:cs="IRNazanin"/>
          <w:lang w:bidi="fa-IR"/>
          <w:color w:val="111111"/>
          <w:sz w:val="28"/>
          <w:szCs w:val="28"/>
          <w:rtl/>
        </w:rPr>
        <w:t xml:space="preserve">[شماره صفحه واقعی : 22]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الشکّ فی الزمان الواحد،فیرجّح الظنّ علیه،کما هو مطّرد فی العبادات </w:t>
      </w:r>
      <w:r>
        <w:rPr>
          <w:rStyle w:val="FootnoteReference"/>
        </w:rPr>
        <w:footnoteReference w:id="1515"/>
      </w:r>
      <w:r>
        <w:rPr>
          <w:rFonts w:ascii="IRNazanin" w:hAnsi="IRNazanin" w:eastAsia="IRNazanin" w:cs="IRNazanin"/>
          <w:lang w:bidi="fa-IR"/>
          <w:color w:val="111111"/>
          <w:sz w:val="28"/>
          <w:szCs w:val="28"/>
          <w:rtl/>
        </w:rPr>
        <w:t xml:space="preserve">،انتهی کلامه.</w:t>
      </w:r>
    </w:p>
    <w:p>
      <w:pPr>
        <w:pStyle w:val="BookText"/>
      </w:pPr>
      <w:r>
        <w:rPr>
          <w:rFonts w:ascii="IRNazanin" w:hAnsi="IRNazanin" w:eastAsia="IRNazanin" w:cs="IRNazanin"/>
          <w:lang w:bidi="fa-IR"/>
          <w:color w:val="111111"/>
          <w:sz w:val="28"/>
          <w:szCs w:val="28"/>
          <w:rtl/>
        </w:rPr>
        <w:t xml:space="preserve">و مراده من الشکّ مجرّد الاحتمال،بل ظاهر کلامه أنّ المناط فی اعتبار الاستصحاب من باب </w:t>
      </w:r>
      <w:r>
        <w:rPr>
          <w:rStyle w:val="FootnoteReference"/>
        </w:rPr>
        <w:footnoteReference w:id="1516"/>
      </w:r>
      <w:r>
        <w:rPr>
          <w:rFonts w:ascii="IRNazanin" w:hAnsi="IRNazanin" w:eastAsia="IRNazanin" w:cs="IRNazanin"/>
          <w:lang w:bidi="fa-IR"/>
          <w:color w:val="111111"/>
          <w:sz w:val="28"/>
          <w:szCs w:val="28"/>
          <w:rtl/>
        </w:rPr>
        <w:t xml:space="preserve">أخبار عدم نقض الیقین بالشکّ،هو الظنّ أیضا،فتأمّل.</w:t>
      </w:r>
    </w:p>
    <w:p>
      <w:pPr>
        <w:pStyle w:val="BookText"/>
      </w:pPr>
      <w:r>
        <w:rPr>
          <w:rFonts w:ascii="IRNazanin" w:hAnsi="IRNazanin" w:eastAsia="IRNazanin" w:cs="IRNazanin"/>
          <w:lang w:bidi="fa-IR"/>
          <w:color w:val="111111"/>
          <w:sz w:val="28"/>
          <w:szCs w:val="28"/>
          <w:rtl/>
        </w:rPr>
        <w:t xml:space="preserve">[شماره صفحه واقعی : 23]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331" w:name="pg14411_142917"/>
    <w:bookmarkEnd w:id="331"/>
    <w:p>
      <w:pPr>
        <w:pStyle w:val="Heading6"/>
      </w:pPr>
      <w:bookmarkStart w:id="1667" w:name="_Toc702"/>
      <w:r>
        <w:t>[الأمر ] الخامس:تقوّم الاستصحاب بأمرین:الیقین بالحدوث،و الشکّ فی البقاء</w:t>
      </w:r>
      <w:bookmarkEnd w:id="1667"/>
    </w:p>
    <w:p>
      <w:pPr>
        <w:pStyle w:val="Heading6"/>
      </w:pPr>
      <w:bookmarkStart w:id="1668" w:name="_Toc703"/>
      <w:r>
        <w:t>اشارة</w:t>
      </w:r>
      <w:bookmarkEnd w:id="1668"/>
    </w:p>
    <w:p>
      <w:pPr>
        <w:pStyle w:val="BookText"/>
      </w:pPr>
      <w:r>
        <w:rPr>
          <w:rFonts w:ascii="IRNazanin" w:hAnsi="IRNazanin" w:eastAsia="IRNazanin" w:cs="IRNazanin"/>
          <w:lang w:bidi="fa-IR"/>
          <w:color w:val="111111"/>
          <w:sz w:val="28"/>
          <w:szCs w:val="28"/>
          <w:rtl/>
        </w:rPr>
        <w:t xml:space="preserve">أنّ المستفاد من تعریفنا السابق </w:t>
      </w:r>
      <w:r>
        <w:rPr>
          <w:rStyle w:val="FootnoteReference"/>
        </w:rPr>
        <w:footnoteReference w:id="1517"/>
      </w:r>
      <w:r>
        <w:rPr>
          <w:rFonts w:ascii="IRNazanin" w:hAnsi="IRNazanin" w:eastAsia="IRNazanin" w:cs="IRNazanin"/>
          <w:lang w:bidi="fa-IR"/>
          <w:color w:val="111111"/>
          <w:sz w:val="28"/>
          <w:szCs w:val="28"/>
          <w:rtl/>
        </w:rPr>
        <w:t xml:space="preserve">-الظاهر فی استناد الحکم بالبقاء إلی مجرّد الوجود السابق-أنّ الاستصحاب یتقوّم بأمرین:</w:t>
      </w:r>
    </w:p>
    <w:p>
      <w:pPr>
        <w:pStyle w:val="BookText"/>
      </w:pPr>
      <w:r>
        <w:rPr>
          <w:rFonts w:ascii="IRNazanin" w:hAnsi="IRNazanin" w:eastAsia="IRNazanin" w:cs="IRNazanin"/>
          <w:lang w:bidi="fa-IR"/>
          <w:color w:val="111111"/>
          <w:sz w:val="28"/>
          <w:szCs w:val="28"/>
          <w:rtl/>
        </w:rPr>
        <w:t xml:space="preserve">أحدهما:وجود الشیء فی زمان،سواء علم به فی زمان وجوده أم لا.نعم،لا بدّ من إحراز ذلک حین إرادة الحکم بالبقاء بالعلم أو الظنّ المعتبر،و أمّا مجرّد الاعتقاد بوجود شیء فی زمان مع زوال ذلک الاعتقاد فی زمان آخر،فلا یتحقّق معه الاستصحاب الاصطلاحی و إن توهّم بعضهم </w:t>
      </w:r>
      <w:r>
        <w:rPr>
          <w:rStyle w:val="FootnoteReference"/>
        </w:rPr>
        <w:footnoteReference w:id="1518"/>
      </w:r>
      <w:r>
        <w:rPr>
          <w:rFonts w:ascii="IRNazanin" w:hAnsi="IRNazanin" w:eastAsia="IRNazanin" w:cs="IRNazanin"/>
          <w:lang w:bidi="fa-IR"/>
          <w:color w:val="111111"/>
          <w:sz w:val="28"/>
          <w:szCs w:val="28"/>
          <w:rtl/>
        </w:rPr>
        <w:t xml:space="preserve">:جریان عموم </w:t>
      </w:r>
      <w:r>
        <w:rPr>
          <w:rStyle w:val="FootnoteReference"/>
        </w:rPr>
        <w:footnoteReference w:id="1519"/>
      </w:r>
      <w:r>
        <w:rPr>
          <w:rFonts w:ascii="IRNazanin" w:hAnsi="IRNazanin" w:eastAsia="IRNazanin" w:cs="IRNazanin"/>
          <w:lang w:bidi="fa-IR"/>
          <w:color w:val="111111"/>
          <w:sz w:val="28"/>
          <w:szCs w:val="28"/>
          <w:rtl/>
        </w:rPr>
        <w:t xml:space="preserve">«لا تنقض»فیه،کما سننبّه علیه </w:t>
      </w:r>
      <w:r>
        <w:rPr>
          <w:rStyle w:val="FootnoteReference"/>
        </w:rPr>
        <w:footnoteReference w:id="1520"/>
      </w:r>
      <w:r>
        <w:rPr>
          <w:rFonts w:ascii="Times New Roman" w:hAnsi="Times New Roman" w:eastAsia="Times New Roman" w:cs="Times New Roman"/>
          <w:lang w:val="en-US" w:bidi="en-US"/>
          <w:color w:val="111111"/>
          <w:sz w:val="28"/>
          <w:szCs w:val="28"/>
          <w:rtl/>
        </w:rPr>
        <w:t xml:space="preserve">.</w:t>
      </w:r>
    </w:p>
    <w:p>
      <w:pPr>
        <w:pStyle w:val="Heading6"/>
      </w:pPr>
      <w:bookmarkStart w:id="1669" w:name="_Toc704"/>
      <w:r>
        <w:t>[الاستصحاب القهقری:]</w:t>
      </w:r>
      <w:bookmarkEnd w:id="1669"/>
    </w:p>
    <w:p>
      <w:pPr>
        <w:pStyle w:val="BookText"/>
      </w:pPr>
      <w:r>
        <w:rPr>
          <w:rFonts w:ascii="IRNazanin" w:hAnsi="IRNazanin" w:eastAsia="IRNazanin" w:cs="IRNazanin"/>
          <w:lang w:bidi="fa-IR"/>
          <w:color w:val="111111"/>
          <w:sz w:val="28"/>
          <w:szCs w:val="28"/>
          <w:rtl/>
        </w:rPr>
        <w:t xml:space="preserve">و الثانی:الشکّ فی وجوده فی زمان لاحق علیه؛فلو شکّ فی زمان سابق علیه فلا استصحاب،و قد یطلق علیه الاستصحاب القهقری مجازا.</w:t>
      </w:r>
    </w:p>
    <w:p>
      <w:pPr>
        <w:pStyle w:val="BookText"/>
      </w:pPr>
      <w:r>
        <w:rPr>
          <w:rFonts w:ascii="IRNazanin" w:hAnsi="IRNazanin" w:eastAsia="IRNazanin" w:cs="IRNazanin"/>
          <w:lang w:bidi="fa-IR"/>
          <w:color w:val="111111"/>
          <w:sz w:val="28"/>
          <w:szCs w:val="28"/>
          <w:rtl/>
        </w:rPr>
        <w:t xml:space="preserve">[شماره صفحه واقعی : 24]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bookmarkStart w:id="332" w:name="pg14411_142918"/>
    <w:bookmarkEnd w:id="332"/>
    <w:p>
      <w:pPr>
        <w:pStyle w:val="Heading6"/>
      </w:pPr>
      <w:bookmarkStart w:id="1670" w:name="_Toc705"/>
      <w:r>
        <w:t>[المعتبر هو الشکّ الفعلیّ]</w:t>
      </w:r>
      <w:bookmarkEnd w:id="1670"/>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ثمّ المعتبر هو الشکّ الفعلیّ الموجود حال الالتفات إلیه،أمّا لو لم یلتفت </w:t>
      </w:r>
      <w:r>
        <w:rPr>
          <w:rStyle w:val="FootnoteReference"/>
        </w:rPr>
        <w:footnoteReference w:id="1521"/>
      </w:r>
      <w:r>
        <w:rPr>
          <w:rFonts w:ascii="IRNazanin" w:hAnsi="IRNazanin" w:eastAsia="IRNazanin" w:cs="IRNazanin"/>
          <w:lang w:bidi="fa-IR"/>
          <w:color w:val="111111"/>
          <w:sz w:val="28"/>
          <w:szCs w:val="28"/>
          <w:rtl/>
        </w:rPr>
        <w:t xml:space="preserve">فلا استصحاب و إن فرض الشکّ فیه علی فرض الالتفات.</w:t>
      </w:r>
    </w:p>
    <w:p>
      <w:pPr>
        <w:pStyle w:val="BookText"/>
      </w:pPr>
      <w:r>
        <w:rPr>
          <w:rFonts w:ascii="IRNazanin" w:hAnsi="IRNazanin" w:eastAsia="IRNazanin" w:cs="IRNazanin"/>
          <w:lang w:bidi="fa-IR"/>
          <w:color w:val="111111"/>
          <w:sz w:val="28"/>
          <w:szCs w:val="28"/>
          <w:rtl/>
        </w:rPr>
        <w:t xml:space="preserve">فالمتیقّن للحدث إذا التفت إلی حاله فی اللاحق فشکّ،جری الاستصحاب فی حقّه،فلو غفل عن ذلک و صلّی بطلت صلاته؛لسبق الأمر بالطهارة </w:t>
      </w:r>
      <w:r>
        <w:rPr>
          <w:rStyle w:val="FootnoteReference"/>
        </w:rPr>
        <w:footnoteReference w:id="1522"/>
      </w:r>
      <w:r>
        <w:rPr>
          <w:rFonts w:ascii="IRNazanin" w:hAnsi="IRNazanin" w:eastAsia="IRNazanin" w:cs="IRNazanin"/>
          <w:lang w:bidi="fa-IR"/>
          <w:color w:val="111111"/>
          <w:sz w:val="28"/>
          <w:szCs w:val="28"/>
          <w:rtl/>
        </w:rPr>
        <w:t xml:space="preserve">،و لا یجری فی حقّه حکم الشکّ فی الصحّة بعد الفراغ عن العمل؛لأنّ مجراه الشکّ الحادث بعد الفراغ،لا الموجود من قبل </w:t>
      </w:r>
      <w:r>
        <w:rPr>
          <w:rStyle w:val="FootnoteReference"/>
        </w:rPr>
        <w:footnoteReference w:id="15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 </w:t>
      </w:r>
      <w:r>
        <w:rPr>
          <w:rStyle w:val="FootnoteReference"/>
        </w:rPr>
        <w:footnoteReference w:id="1524"/>
      </w:r>
      <w:r>
        <w:rPr>
          <w:rFonts w:ascii="IRNazanin" w:hAnsi="IRNazanin" w:eastAsia="IRNazanin" w:cs="IRNazanin"/>
          <w:lang w:bidi="fa-IR"/>
          <w:color w:val="111111"/>
          <w:sz w:val="28"/>
          <w:szCs w:val="28"/>
          <w:rtl/>
        </w:rPr>
        <w:t xml:space="preserve">،لو غفل عن حاله بعد الیقین بالحدث و صلّی،ثمّ التفت و شکّ فی کونه محدثا حال الصلاة أو متطهّرا،جری فی حقّه قاعدة الشکّ بعد الفراغ؛لحدوث الشکّ بعد العمل و عدم وجوده قبله حتّی یوجب الأمر بالطهارة و النهی عن الدخول فیه بدونها.</w:t>
      </w:r>
    </w:p>
    <w:p>
      <w:pPr>
        <w:pStyle w:val="BookText"/>
      </w:pPr>
      <w:r>
        <w:rPr>
          <w:rFonts w:ascii="IRNazanin" w:hAnsi="IRNazanin" w:eastAsia="IRNazanin" w:cs="IRNazanin"/>
          <w:lang w:bidi="fa-IR"/>
          <w:color w:val="111111"/>
          <w:sz w:val="28"/>
          <w:szCs w:val="28"/>
          <w:rtl/>
        </w:rPr>
        <w:t xml:space="preserve">نعم،هذا الشکّ اللاحق یوجب الإعادة بحکم استصحاب عدم الطهارة،لو لا حکومة قاعدة الشکّ بعد الفراغ علیه،فافهم </w:t>
      </w:r>
      <w:r>
        <w:rPr>
          <w:rStyle w:val="FootnoteReference"/>
        </w:rPr>
        <w:footnoteReference w:id="15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25]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bookmarkStart w:id="333" w:name="pg14411_142919"/>
    <w:bookmarkEnd w:id="333"/>
    <w:p>
      <w:pPr>
        <w:pStyle w:val="Heading6"/>
      </w:pPr>
      <w:bookmarkStart w:id="1671" w:name="_Toc706"/>
      <w:r>
        <w:t>[الأمر ] السادس:تقسیم الاستصحاب من وجوه:</w:t>
      </w:r>
      <w:bookmarkEnd w:id="1671"/>
    </w:p>
    <w:p>
      <w:pPr>
        <w:pStyle w:val="Heading6"/>
      </w:pPr>
      <w:bookmarkStart w:id="1672" w:name="_Toc707"/>
      <w:r>
        <w:t>اشارة</w:t>
      </w:r>
      <w:bookmarkEnd w:id="1672"/>
    </w:p>
    <w:p>
      <w:pPr>
        <w:pStyle w:val="BookText"/>
      </w:pPr>
      <w:r>
        <w:rPr>
          <w:rFonts w:ascii="IRNazanin" w:hAnsi="IRNazanin" w:eastAsia="IRNazanin" w:cs="IRNazanin"/>
          <w:lang w:bidi="fa-IR"/>
          <w:color w:val="111111"/>
          <w:sz w:val="28"/>
          <w:szCs w:val="28"/>
          <w:rtl/>
        </w:rPr>
        <w:t xml:space="preserve">فی تقسیم الاستصحاب إلی أقسام؛لیعرف أنّ الخلاف فی مسألة الاستصحاب فی کلّها أو فی بعضها،فنقول:</w:t>
      </w:r>
    </w:p>
    <w:p>
      <w:pPr>
        <w:pStyle w:val="BookText"/>
      </w:pPr>
      <w:r>
        <w:rPr>
          <w:rFonts w:ascii="IRNazanin" w:hAnsi="IRNazanin" w:eastAsia="IRNazanin" w:cs="IRNazanin"/>
          <w:lang w:bidi="fa-IR"/>
          <w:color w:val="111111"/>
          <w:sz w:val="28"/>
          <w:szCs w:val="28"/>
          <w:rtl/>
        </w:rPr>
        <w:t xml:space="preserve">إنّ له تقسیما باعتبار المستصحب.</w:t>
      </w:r>
    </w:p>
    <w:p>
      <w:pPr>
        <w:pStyle w:val="BookText"/>
      </w:pPr>
      <w:r>
        <w:rPr>
          <w:rFonts w:ascii="IRNazanin" w:hAnsi="IRNazanin" w:eastAsia="IRNazanin" w:cs="IRNazanin"/>
          <w:lang w:bidi="fa-IR"/>
          <w:color w:val="111111"/>
          <w:sz w:val="28"/>
          <w:szCs w:val="28"/>
          <w:rtl/>
        </w:rPr>
        <w:t xml:space="preserve">و آخر باعتبار الدلیل الدالّ علیه.</w:t>
      </w:r>
    </w:p>
    <w:p>
      <w:pPr>
        <w:pStyle w:val="BookText"/>
      </w:pPr>
      <w:r>
        <w:rPr>
          <w:rFonts w:ascii="IRNazanin" w:hAnsi="IRNazanin" w:eastAsia="IRNazanin" w:cs="IRNazanin"/>
          <w:lang w:bidi="fa-IR"/>
          <w:color w:val="111111"/>
          <w:sz w:val="28"/>
          <w:szCs w:val="28"/>
          <w:rtl/>
        </w:rPr>
        <w:t xml:space="preserve">و ثالثا باعتبار الشکّ المأخوذ فیه.</w:t>
      </w:r>
    </w:p>
    <w:p>
      <w:pPr>
        <w:pStyle w:val="Heading6"/>
      </w:pPr>
      <w:bookmarkStart w:id="1673" w:name="_Toc708"/>
      <w:r>
        <w:t>[1-تقسیم الاستصحاب باعتبار المستصحب]</w:t>
      </w:r>
      <w:bookmarkEnd w:id="1673"/>
    </w:p>
    <w:p>
      <w:pPr>
        <w:pStyle w:val="Heading6"/>
      </w:pPr>
      <w:bookmarkStart w:id="1674" w:name="_Toc709"/>
      <w:r>
        <w:t>اشارة</w:t>
      </w:r>
      <w:bookmarkEnd w:id="1674"/>
    </w:p>
    <w:p>
      <w:pPr>
        <w:pStyle w:val="BookText"/>
      </w:pPr>
      <w:r>
        <w:rPr>
          <w:rFonts w:ascii="IRNazanin" w:hAnsi="IRNazanin" w:eastAsia="IRNazanin" w:cs="IRNazanin"/>
          <w:lang w:bidi="fa-IR"/>
          <w:color w:val="111111"/>
          <w:sz w:val="28"/>
          <w:szCs w:val="28"/>
          <w:rtl/>
        </w:rPr>
        <w:t xml:space="preserve">[1-تقسیم الاستصحاب باعتبار المستصحب] </w:t>
      </w:r>
      <w:r>
        <w:rPr>
          <w:rStyle w:val="FootnoteReference"/>
        </w:rPr>
        <w:footnoteReference w:id="1526"/>
      </w:r>
    </w:p>
    <w:p>
      <w:pPr>
        <w:pStyle w:val="BookText"/>
      </w:pPr>
      <w:r>
        <w:rPr>
          <w:rFonts w:ascii="IRNazanin" w:hAnsi="IRNazanin" w:eastAsia="IRNazanin" w:cs="IRNazanin"/>
          <w:lang w:bidi="fa-IR"/>
          <w:color w:val="111111"/>
          <w:sz w:val="28"/>
          <w:szCs w:val="28"/>
          <w:rtl/>
        </w:rPr>
        <w:t xml:space="preserve">أمّا بالاعتبار الأوّل فمن وجوه:</w:t>
      </w:r>
    </w:p>
    <w:p>
      <w:pPr>
        <w:pStyle w:val="Heading6"/>
      </w:pPr>
      <w:bookmarkStart w:id="1675" w:name="_Toc710"/>
      <w:r>
        <w:t>الوجه الأوّل:المستصحب إمّا وجودیّ و إمّا عدمیّ:</w:t>
      </w:r>
      <w:bookmarkEnd w:id="1675"/>
    </w:p>
    <w:p>
      <w:pPr>
        <w:pStyle w:val="BookText"/>
      </w:pPr>
      <w:r>
        <w:rPr>
          <w:rFonts w:ascii="IRNazanin" w:hAnsi="IRNazanin" w:eastAsia="IRNazanin" w:cs="IRNazanin"/>
          <w:lang w:bidi="fa-IR"/>
          <w:color w:val="111111"/>
          <w:sz w:val="28"/>
          <w:szCs w:val="28"/>
          <w:rtl/>
        </w:rPr>
        <w:t xml:space="preserve">من حیث إنّ المستصحب قد یکون أمرا وجودیّا-کوجوب </w:t>
      </w:r>
      <w:r>
        <w:rPr>
          <w:rStyle w:val="FootnoteReference"/>
        </w:rPr>
        <w:footnoteReference w:id="1527"/>
      </w:r>
      <w:r>
        <w:rPr>
          <w:rFonts w:ascii="IRNazanin" w:hAnsi="IRNazanin" w:eastAsia="IRNazanin" w:cs="IRNazanin"/>
          <w:lang w:bidi="fa-IR"/>
          <w:color w:val="111111"/>
          <w:sz w:val="28"/>
          <w:szCs w:val="28"/>
          <w:rtl/>
        </w:rPr>
        <w:t xml:space="preserve">شیء</w:t>
      </w:r>
    </w:p>
    <w:p>
      <w:pPr>
        <w:pStyle w:val="BookText"/>
      </w:pPr>
      <w:r>
        <w:rPr>
          <w:rFonts w:ascii="IRNazanin" w:hAnsi="IRNazanin" w:eastAsia="IRNazanin" w:cs="IRNazanin"/>
          <w:lang w:bidi="fa-IR"/>
          <w:color w:val="111111"/>
          <w:sz w:val="28"/>
          <w:szCs w:val="28"/>
          <w:rtl/>
        </w:rPr>
        <w:t xml:space="preserve">[شماره صفحه واقعی : 26]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bookmarkStart w:id="334" w:name="pg14411_142920"/>
    <w:bookmarkEnd w:id="334"/>
    <w:p>
      <w:pPr>
        <w:pStyle w:val="BookText"/>
      </w:pPr>
      <w:r>
        <w:rPr>
          <w:rFonts w:ascii="IRNazanin" w:hAnsi="IRNazanin" w:eastAsia="IRNazanin" w:cs="IRNazanin"/>
          <w:lang w:bidi="fa-IR"/>
          <w:color w:val="111111"/>
          <w:sz w:val="28"/>
          <w:szCs w:val="28"/>
          <w:rtl/>
        </w:rPr>
        <w:t xml:space="preserve">أو طهارة شیء أو رطوبة ثوب </w:t>
      </w:r>
      <w:r>
        <w:rPr>
          <w:rStyle w:val="FootnoteReference"/>
        </w:rPr>
        <w:footnoteReference w:id="1528"/>
      </w:r>
      <w:r>
        <w:rPr>
          <w:rFonts w:ascii="IRNazanin" w:hAnsi="IRNazanin" w:eastAsia="IRNazanin" w:cs="IRNazanin"/>
          <w:lang w:bidi="fa-IR"/>
          <w:color w:val="111111"/>
          <w:sz w:val="28"/>
          <w:szCs w:val="28"/>
          <w:rtl/>
        </w:rPr>
        <w:t xml:space="preserve">أو نحو ذلک-و قد یکون عدمیّا.</w:t>
      </w:r>
    </w:p>
    <w:p>
      <w:pPr>
        <w:pStyle w:val="BookText"/>
      </w:pPr>
      <w:r>
        <w:rPr>
          <w:rFonts w:ascii="IRNazanin" w:hAnsi="IRNazanin" w:eastAsia="IRNazanin" w:cs="IRNazanin"/>
          <w:lang w:bidi="fa-IR"/>
          <w:color w:val="111111"/>
          <w:sz w:val="28"/>
          <w:szCs w:val="28"/>
          <w:rtl/>
        </w:rPr>
        <w:t xml:space="preserve">و هو علی قسمین:</w:t>
      </w:r>
    </w:p>
    <w:p>
      <w:pPr>
        <w:pStyle w:val="BookText"/>
      </w:pPr>
      <w:r>
        <w:rPr>
          <w:rFonts w:ascii="IRNazanin" w:hAnsi="IRNazanin" w:eastAsia="IRNazanin" w:cs="IRNazanin"/>
          <w:lang w:bidi="fa-IR"/>
          <w:color w:val="111111"/>
          <w:sz w:val="28"/>
          <w:szCs w:val="28"/>
          <w:rtl/>
        </w:rPr>
        <w:t xml:space="preserve">أحدهما:عدم اشتغال الذمّة بتکلیف شرعیّ،و یسمّی عند بعضهم </w:t>
      </w:r>
      <w:r>
        <w:rPr>
          <w:rStyle w:val="FootnoteReference"/>
        </w:rPr>
        <w:footnoteReference w:id="1529"/>
      </w:r>
      <w:r>
        <w:rPr>
          <w:rFonts w:ascii="IRNazanin" w:hAnsi="IRNazanin" w:eastAsia="IRNazanin" w:cs="IRNazanin"/>
          <w:lang w:bidi="fa-IR"/>
          <w:color w:val="111111"/>
          <w:sz w:val="28"/>
          <w:szCs w:val="28"/>
          <w:rtl/>
        </w:rPr>
        <w:t xml:space="preserve">ب:«البراءة الأصلیّة»و«أصالة النفی».</w:t>
      </w:r>
    </w:p>
    <w:p>
      <w:pPr>
        <w:pStyle w:val="BookText"/>
      </w:pPr>
      <w:r>
        <w:rPr>
          <w:rFonts w:ascii="IRNazanin" w:hAnsi="IRNazanin" w:eastAsia="IRNazanin" w:cs="IRNazanin"/>
          <w:lang w:bidi="fa-IR"/>
          <w:color w:val="111111"/>
          <w:sz w:val="28"/>
          <w:szCs w:val="28"/>
          <w:rtl/>
        </w:rPr>
        <w:t xml:space="preserve">و الثانی:غیره،کعدم نقل اللفظ عن معناه،و عدم القرینة،و عدم موت زید و رطوبة الثوب و حدوث موجب الوضوء أو الغسل،و نحو ذلک.</w:t>
      </w:r>
    </w:p>
    <w:p>
      <w:pPr>
        <w:pStyle w:val="BookText"/>
      </w:pPr>
      <w:r>
        <w:rPr>
          <w:rFonts w:ascii="IRNazanin" w:hAnsi="IRNazanin" w:eastAsia="IRNazanin" w:cs="IRNazanin"/>
          <w:lang w:bidi="fa-IR"/>
          <w:color w:val="111111"/>
          <w:sz w:val="28"/>
          <w:szCs w:val="28"/>
          <w:rtl/>
        </w:rPr>
        <w:t xml:space="preserve">و لا خلاف فی کون الوجودیّ محلّ النزاع.</w:t>
      </w:r>
    </w:p>
    <w:p>
      <w:pPr>
        <w:pStyle w:val="Heading6"/>
      </w:pPr>
      <w:bookmarkStart w:id="1676" w:name="_Toc711"/>
      <w:r>
        <w:t>[کلام شریف العلماء فی خروج العدمیّات عن محلّ النزاع:]</w:t>
      </w:r>
      <w:bookmarkEnd w:id="1676"/>
    </w:p>
    <w:p>
      <w:pPr>
        <w:pStyle w:val="BookText"/>
      </w:pPr>
      <w:r>
        <w:rPr>
          <w:rFonts w:ascii="IRNazanin" w:hAnsi="IRNazanin" w:eastAsia="IRNazanin" w:cs="IRNazanin"/>
          <w:lang w:bidi="fa-IR"/>
          <w:color w:val="111111"/>
          <w:sz w:val="28"/>
          <w:szCs w:val="28"/>
          <w:rtl/>
        </w:rPr>
        <w:t xml:space="preserve">و أمّا العدمی،فقد مال الاستاذ </w:t>
      </w:r>
      <w:r>
        <w:rPr>
          <w:rStyle w:val="FootnoteReference"/>
        </w:rPr>
        <w:footnoteReference w:id="1530"/>
      </w:r>
      <w:r>
        <w:rPr>
          <w:rFonts w:ascii="IRNazanin" w:hAnsi="IRNazanin" w:eastAsia="IRNazanin" w:cs="IRNazanin"/>
          <w:lang w:bidi="fa-IR"/>
          <w:color w:val="111111"/>
          <w:sz w:val="28"/>
          <w:szCs w:val="28"/>
          <w:rtl/>
        </w:rPr>
        <w:t xml:space="preserve">قدّس سرّه إلی عدم الخلاف فیه،تبعا لما حکاه عن استاذه السیّد صاحب الریاض رحمه اللّه:من دعوی الإجماع علی اعتباره فی العدمیّات.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 استشهد علی ذلک-بعد نقل الإجماع المذکور-باستقرار سیرة العلماء علی التمسّک بالاصول العدمیّة،مثل:</w:t>
      </w:r>
    </w:p>
    <w:p>
      <w:pPr>
        <w:pStyle w:val="BookText"/>
      </w:pPr>
      <w:r>
        <w:rPr>
          <w:rFonts w:ascii="IRNazanin" w:hAnsi="IRNazanin" w:eastAsia="IRNazanin" w:cs="IRNazanin"/>
          <w:lang w:bidi="fa-IR"/>
          <w:color w:val="111111"/>
          <w:sz w:val="28"/>
          <w:szCs w:val="28"/>
          <w:rtl/>
        </w:rPr>
        <w:t xml:space="preserve">أصالة عدم القرینة و النقل و الاشتراک و غیر ذلک،و ببنائهم هذه المسألة علی کفایة العلّة المحدثة للإبقاء.</w:t>
      </w:r>
    </w:p>
    <w:p>
      <w:pPr>
        <w:pStyle w:val="BookText"/>
      </w:pPr>
      <w:r>
        <w:rPr>
          <w:rFonts w:ascii="IRNazanin" w:hAnsi="IRNazanin" w:eastAsia="IRNazanin" w:cs="IRNazanin"/>
          <w:lang w:bidi="fa-IR"/>
          <w:color w:val="111111"/>
          <w:sz w:val="28"/>
          <w:szCs w:val="28"/>
          <w:rtl/>
        </w:rPr>
        <w:t xml:space="preserve">[شماره صفحه واقعی : 27]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bookmarkStart w:id="335" w:name="pg14411_142921"/>
    <w:bookmarkEnd w:id="335"/>
    <w:p>
      <w:pPr>
        <w:pStyle w:val="Heading6"/>
      </w:pPr>
      <w:bookmarkStart w:id="1677" w:name="_Toc712"/>
      <w:r>
        <w:t>[المناقشة فیما أفاده شریف العلماء:]</w:t>
      </w:r>
      <w:bookmarkEnd w:id="1677"/>
    </w:p>
    <w:p>
      <w:pPr>
        <w:pStyle w:val="BookText"/>
      </w:pPr>
      <w:r>
        <w:rPr>
          <w:rFonts w:ascii="IRNazanin" w:hAnsi="IRNazanin" w:eastAsia="IRNazanin" w:cs="IRNazanin"/>
          <w:lang w:bidi="fa-IR"/>
          <w:color w:val="111111"/>
          <w:sz w:val="28"/>
          <w:szCs w:val="28"/>
          <w:rtl/>
        </w:rPr>
        <w:t xml:space="preserve">أقول:ما استظهره قدّس سرّه لا یخلو عن تأمّل </w:t>
      </w:r>
      <w:r>
        <w:rPr>
          <w:rStyle w:val="FootnoteReference"/>
        </w:rPr>
        <w:footnoteReference w:id="15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دعوی الإجماع،فلا مسرح لها فی المقام مع ما سیمرّ بک من تصریحات کثیر </w:t>
      </w:r>
      <w:r>
        <w:rPr>
          <w:rStyle w:val="FootnoteReference"/>
        </w:rPr>
        <w:footnoteReference w:id="1532"/>
      </w:r>
      <w:r>
        <w:rPr>
          <w:rFonts w:ascii="IRNazanin" w:hAnsi="IRNazanin" w:eastAsia="IRNazanin" w:cs="IRNazanin"/>
          <w:lang w:bidi="fa-IR"/>
          <w:color w:val="111111"/>
          <w:sz w:val="28"/>
          <w:szCs w:val="28"/>
          <w:rtl/>
        </w:rPr>
        <w:t xml:space="preserve">بخلافها،و إن کان یشهد لها ظاهر التفتازانی فی شرح الشرح؛حیث قال:</w:t>
      </w:r>
    </w:p>
    <w:p>
      <w:pPr>
        <w:pStyle w:val="BookText"/>
      </w:pPr>
      <w:r>
        <w:rPr>
          <w:rFonts w:ascii="IRNazanin" w:hAnsi="IRNazanin" w:eastAsia="IRNazanin" w:cs="IRNazanin"/>
          <w:lang w:bidi="fa-IR"/>
          <w:color w:val="111111"/>
          <w:sz w:val="28"/>
          <w:szCs w:val="28"/>
          <w:rtl/>
        </w:rPr>
        <w:t xml:space="preserve">«إنّ خلاف الحنفیّة المنکرین للاستصحاب إنّما هو فی الإثبات دون النفی الأصلیّ» </w:t>
      </w:r>
      <w:r>
        <w:rPr>
          <w:rStyle w:val="FootnoteReference"/>
        </w:rPr>
        <w:footnoteReference w:id="1533"/>
      </w:r>
      <w:r>
        <w:rPr>
          <w:rFonts w:ascii="Times New Roman" w:hAnsi="Times New Roman" w:eastAsia="Times New Roman" w:cs="Times New Roman"/>
          <w:lang w:val="en-US" w:bidi="en-US"/>
          <w:color w:val="111111"/>
          <w:sz w:val="28"/>
          <w:szCs w:val="28"/>
          <w:rtl/>
        </w:rPr>
        <w:t xml:space="preserve">.</w:t>
      </w:r>
    </w:p>
    <w:p>
      <w:pPr>
        <w:pStyle w:val="Heading6"/>
      </w:pPr>
      <w:bookmarkStart w:id="1678" w:name="_Toc713"/>
      <w:r>
        <w:t>[قیام السیرة علی التمسّک بالاصول الوجودیّة و العدمیّة فی باب الألفاظ]</w:t>
      </w:r>
      <w:bookmarkEnd w:id="1678"/>
    </w:p>
    <w:p>
      <w:pPr>
        <w:pStyle w:val="BookText"/>
      </w:pPr>
      <w:r>
        <w:rPr>
          <w:rFonts w:ascii="IRNazanin" w:hAnsi="IRNazanin" w:eastAsia="IRNazanin" w:cs="IRNazanin"/>
          <w:lang w:bidi="fa-IR"/>
          <w:color w:val="111111"/>
          <w:sz w:val="28"/>
          <w:szCs w:val="28"/>
          <w:rtl/>
        </w:rPr>
        <w:t xml:space="preserve">و أمّا سیرة العلماء،فقد استقرّت فی باب الألفاظ علی التمسّک بالاصول الوجودیّة و العدمیّة کلتیهما.</w:t>
      </w:r>
    </w:p>
    <w:p>
      <w:pPr>
        <w:pStyle w:val="BookText"/>
      </w:pPr>
      <w:r>
        <w:rPr>
          <w:rFonts w:ascii="IRNazanin" w:hAnsi="IRNazanin" w:eastAsia="IRNazanin" w:cs="IRNazanin"/>
          <w:lang w:bidi="fa-IR"/>
          <w:color w:val="111111"/>
          <w:sz w:val="28"/>
          <w:szCs w:val="28"/>
          <w:rtl/>
        </w:rPr>
        <w:t xml:space="preserve">قال الوحید البهبهانی فی رسالته الاستصحابیّة-بعد نقل القول بإنکار اعتبار الاستصحاب مطلقا عن بعض،و إثباته عن بعض، و التفصیل عن بعض آخر-ما هذا لفظه:</w:t>
      </w:r>
    </w:p>
    <w:p>
      <w:pPr>
        <w:pStyle w:val="Heading6"/>
      </w:pPr>
      <w:bookmarkStart w:id="1679" w:name="_Toc714"/>
      <w:r>
        <w:t>[کلام الوحید البهبهانی فی ذلک:]</w:t>
      </w:r>
      <w:bookmarkEnd w:id="1679"/>
    </w:p>
    <w:p>
      <w:pPr>
        <w:pStyle w:val="BookText"/>
      </w:pPr>
      <w:r>
        <w:rPr>
          <w:rFonts w:ascii="IRNazanin" w:hAnsi="IRNazanin" w:eastAsia="IRNazanin" w:cs="IRNazanin"/>
          <w:lang w:bidi="fa-IR"/>
          <w:color w:val="111111"/>
          <w:sz w:val="28"/>
          <w:szCs w:val="28"/>
          <w:rtl/>
        </w:rPr>
        <w:t xml:space="preserve">لکنّ الذی نجد من الجمیع-حتّی من المنکر مطلقا-أنّهم یستدلّون بأصالة عدم النقل،فیقولون:الأمر حقیقة فی الوجوب عرفا، فکذا لغة؛لأصالة عدم النقل،و یستدلّون بأصالة بقاء المعنی اللغویّ، فینکرون الحقیقة الشرعیّة،إلی غیر ذلک،کما لا یخفی علی المتتبّع </w:t>
      </w:r>
      <w:r>
        <w:rPr>
          <w:rStyle w:val="FootnoteReference"/>
        </w:rPr>
        <w:footnoteReference w:id="1534"/>
      </w:r>
      <w:r>
        <w:rPr>
          <w:rFonts w:ascii="IRNazanin" w:hAnsi="IRNazanin" w:eastAsia="IRNazanin" w:cs="IRNazanin"/>
          <w:lang w:bidi="fa-IR"/>
          <w:color w:val="111111"/>
          <w:sz w:val="28"/>
          <w:szCs w:val="28"/>
          <w:rtl/>
        </w:rPr>
        <w:t xml:space="preserve">، انتهی.</w:t>
      </w:r>
    </w:p>
    <w:p>
      <w:pPr>
        <w:pStyle w:val="BookText"/>
      </w:pPr>
      <w:r>
        <w:rPr>
          <w:rFonts w:ascii="IRNazanin" w:hAnsi="IRNazanin" w:eastAsia="IRNazanin" w:cs="IRNazanin"/>
          <w:lang w:bidi="fa-IR"/>
          <w:color w:val="111111"/>
          <w:sz w:val="28"/>
          <w:szCs w:val="28"/>
          <w:rtl/>
        </w:rPr>
        <w:t xml:space="preserve">[شماره صفحه واقعی : 28]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bookmarkStart w:id="336" w:name="pg14411_142922"/>
    <w:bookmarkEnd w:id="336"/>
    <w:p>
      <w:pPr>
        <w:pStyle w:val="BookText"/>
      </w:pPr>
      <w:r>
        <w:rPr>
          <w:rFonts w:ascii="IRNazanin" w:hAnsi="IRNazanin" w:eastAsia="IRNazanin" w:cs="IRNazanin"/>
          <w:lang w:bidi="fa-IR"/>
          <w:color w:val="111111"/>
          <w:sz w:val="28"/>
          <w:szCs w:val="28"/>
          <w:rtl/>
        </w:rPr>
        <w:t xml:space="preserve">و حینئذ،فلا شهادة فی السیرة الجاریة فی باب الألفاظ علی خروج العدمیّات.</w:t>
      </w:r>
    </w:p>
    <w:p>
      <w:pPr>
        <w:pStyle w:val="Heading6"/>
      </w:pPr>
      <w:bookmarkStart w:id="1680" w:name="_Toc715"/>
      <w:r>
        <w:t>[ما یظهر منه الاختصاص بالوجودیّات و مناقشته:]</w:t>
      </w:r>
      <w:bookmarkEnd w:id="1680"/>
    </w:p>
    <w:p>
      <w:pPr>
        <w:pStyle w:val="BookText"/>
      </w:pPr>
      <w:r>
        <w:rPr>
          <w:rFonts w:ascii="IRNazanin" w:hAnsi="IRNazanin" w:eastAsia="IRNazanin" w:cs="IRNazanin"/>
          <w:lang w:bidi="fa-IR"/>
          <w:color w:val="111111"/>
          <w:sz w:val="28"/>
          <w:szCs w:val="28"/>
          <w:rtl/>
        </w:rPr>
        <w:t xml:space="preserve">و أمّا استدلالهم علی إثبات الاستصحاب باستغناء الباقی عن المؤثّر الظاهر الاختصاص بالوجودیّ-فمع أنّه معارض باختصاص بعض أدلّتهم الآتی بالعدمی </w:t>
      </w:r>
      <w:r>
        <w:rPr>
          <w:rStyle w:val="FootnoteReference"/>
        </w:rPr>
        <w:footnoteReference w:id="1535"/>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 بأنّه یقتضی أن یکون النزاع مختصّا بالشکّ من حیث المقتضی لا من حیث الرافع-یمکن توجیهه </w:t>
      </w:r>
      <w:r>
        <w:rPr>
          <w:rStyle w:val="FootnoteReference"/>
        </w:rPr>
        <w:footnoteReference w:id="1536"/>
      </w:r>
      <w:r>
        <w:rPr>
          <w:rFonts w:ascii="IRNazanin" w:hAnsi="IRNazanin" w:eastAsia="IRNazanin" w:cs="IRNazanin"/>
          <w:lang w:bidi="fa-IR"/>
          <w:color w:val="111111"/>
          <w:sz w:val="28"/>
          <w:szCs w:val="28"/>
          <w:rtl/>
        </w:rPr>
        <w:t xml:space="preserve">:بأنّ الغرض الأصلیّ هنا لمّا کان هو التکلّم فی الاستصحاب الذی هو من أدلّة الأحکام الشرعیّة،اکتفوا بذکر ما یثبت الاستصحاب الوجودیّ.مع أنّه یمکن أن یکون الغرض تتمیم المطلب فی العدمیّ بالإجماع المرکّب،بل الأولویّة؛لأنّ الموجود إذا لم یحتج فی بقائه إلی المؤثّر فالمعدوم کذلک بالطریق الأولی.</w:t>
      </w:r>
    </w:p>
    <w:p>
      <w:pPr>
        <w:pStyle w:val="BookText"/>
      </w:pPr>
      <w:r>
        <w:rPr>
          <w:rFonts w:ascii="IRNazanin" w:hAnsi="IRNazanin" w:eastAsia="IRNazanin" w:cs="IRNazanin"/>
          <w:lang w:bidi="fa-IR"/>
          <w:color w:val="111111"/>
          <w:sz w:val="28"/>
          <w:szCs w:val="28"/>
          <w:rtl/>
        </w:rPr>
        <w:t xml:space="preserve">نعم،ظاهر عنوانهم للمسألة ب«استصحاب الحال»،و تعریفهم له، ظاهر </w:t>
      </w:r>
      <w:r>
        <w:rPr>
          <w:rStyle w:val="FootnoteReference"/>
        </w:rPr>
        <w:footnoteReference w:id="1537"/>
      </w:r>
      <w:r>
        <w:rPr>
          <w:rFonts w:ascii="IRNazanin" w:hAnsi="IRNazanin" w:eastAsia="IRNazanin" w:cs="IRNazanin"/>
          <w:lang w:bidi="fa-IR"/>
          <w:color w:val="111111"/>
          <w:sz w:val="28"/>
          <w:szCs w:val="28"/>
          <w:rtl/>
        </w:rPr>
        <w:t xml:space="preserve">الاختصاص بالوجودیّ،إلاّ أنّ الوجه فیه:بیان الاستصحاب الذی هو من الأدلّة الشرعیّة للأحکام؛و لذا عنونه بعضهم-بل الأکثر- ب«استصحاب حال الشرع».</w:t>
      </w:r>
    </w:p>
    <w:p>
      <w:pPr>
        <w:pStyle w:val="BookText"/>
      </w:pPr>
      <w:r>
        <w:rPr>
          <w:rFonts w:ascii="IRNazanin" w:hAnsi="IRNazanin" w:eastAsia="IRNazanin" w:cs="IRNazanin"/>
          <w:lang w:bidi="fa-IR"/>
          <w:color w:val="111111"/>
          <w:sz w:val="28"/>
          <w:szCs w:val="28"/>
          <w:rtl/>
        </w:rPr>
        <w:t xml:space="preserve">و ممّا ذکرنا یظهر عدم جواز الاستشهاد </w:t>
      </w:r>
      <w:r>
        <w:rPr>
          <w:rStyle w:val="FootnoteReference"/>
        </w:rPr>
        <w:footnoteReference w:id="1538"/>
      </w:r>
      <w:r>
        <w:rPr>
          <w:rFonts w:ascii="IRNazanin" w:hAnsi="IRNazanin" w:eastAsia="IRNazanin" w:cs="IRNazanin"/>
          <w:lang w:bidi="fa-IR"/>
          <w:color w:val="111111"/>
          <w:sz w:val="28"/>
          <w:szCs w:val="28"/>
          <w:rtl/>
        </w:rPr>
        <w:t xml:space="preserve">علی اختصاص محلّ النزاع بظهور </w:t>
      </w:r>
      <w:r>
        <w:rPr>
          <w:rStyle w:val="FootnoteReference"/>
        </w:rPr>
        <w:footnoteReference w:id="1539"/>
      </w:r>
      <w:r>
        <w:rPr>
          <w:rFonts w:ascii="IRNazanin" w:hAnsi="IRNazanin" w:eastAsia="IRNazanin" w:cs="IRNazanin"/>
          <w:lang w:bidi="fa-IR"/>
          <w:color w:val="111111"/>
          <w:sz w:val="28"/>
          <w:szCs w:val="28"/>
          <w:rtl/>
        </w:rPr>
        <w:t xml:space="preserve">قولهم فی عنوان المسألة:«استصحاب الحال»،فی</w:t>
      </w:r>
    </w:p>
    <w:p>
      <w:pPr>
        <w:pStyle w:val="BookText"/>
      </w:pPr>
      <w:r>
        <w:rPr>
          <w:rFonts w:ascii="IRNazanin" w:hAnsi="IRNazanin" w:eastAsia="IRNazanin" w:cs="IRNazanin"/>
          <w:lang w:bidi="fa-IR"/>
          <w:color w:val="111111"/>
          <w:sz w:val="28"/>
          <w:szCs w:val="28"/>
          <w:rtl/>
        </w:rPr>
        <w:t xml:space="preserve">[شماره صفحه واقعی : 29]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bookmarkStart w:id="337" w:name="pg14411_142923"/>
    <w:bookmarkEnd w:id="337"/>
    <w:p>
      <w:pPr>
        <w:pStyle w:val="BookText"/>
      </w:pPr>
      <w:r>
        <w:rPr>
          <w:rFonts w:ascii="IRNazanin" w:hAnsi="IRNazanin" w:eastAsia="IRNazanin" w:cs="IRNazanin"/>
          <w:lang w:bidi="fa-IR"/>
          <w:color w:val="111111"/>
          <w:sz w:val="28"/>
          <w:szCs w:val="28"/>
          <w:rtl/>
        </w:rPr>
        <w:t xml:space="preserve">الوجودیّ؛و إلاّ لدلّ تقیید کثیر منهم العنوان ب«استصحاب حال الشرع»،علی اختصاص النزاع بغیر الامور الخارجیّة.</w:t>
      </w:r>
    </w:p>
    <w:p>
      <w:pPr>
        <w:pStyle w:val="BookText"/>
      </w:pPr>
      <w:r>
        <w:rPr>
          <w:rFonts w:ascii="IRNazanin" w:hAnsi="IRNazanin" w:eastAsia="IRNazanin" w:cs="IRNazanin"/>
          <w:lang w:bidi="fa-IR"/>
          <w:color w:val="111111"/>
          <w:sz w:val="28"/>
          <w:szCs w:val="28"/>
          <w:rtl/>
        </w:rPr>
        <w:t xml:space="preserve">و ممّن یظهر منه دخول العدمیّات فی محلّ الخلاف الوحید البهبهانی فیما تقدّم منه </w:t>
      </w:r>
      <w:r>
        <w:rPr>
          <w:rStyle w:val="FootnoteReference"/>
        </w:rPr>
        <w:footnoteReference w:id="1540"/>
      </w:r>
      <w:r>
        <w:rPr>
          <w:rFonts w:ascii="IRNazanin" w:hAnsi="IRNazanin" w:eastAsia="IRNazanin" w:cs="IRNazanin"/>
          <w:lang w:bidi="fa-IR"/>
          <w:color w:val="111111"/>
          <w:sz w:val="28"/>
          <w:szCs w:val="28"/>
          <w:rtl/>
        </w:rPr>
        <w:t xml:space="preserve">،بل لعلّه صریح فی ذلک بملاحظة ما ذکره قبل ذلک فی تقسیم الاستصحاب </w:t>
      </w:r>
      <w:r>
        <w:rPr>
          <w:rStyle w:val="FootnoteReference"/>
        </w:rPr>
        <w:footnoteReference w:id="15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 أصرح من ذلک فی عموم محلّ النزاع،استدلال النافین فی کتب الخاصّة </w:t>
      </w:r>
      <w:r>
        <w:rPr>
          <w:rStyle w:val="FootnoteReference"/>
        </w:rPr>
        <w:footnoteReference w:id="1542"/>
      </w:r>
      <w:r>
        <w:rPr>
          <w:rFonts w:ascii="Amiri" w:hAnsi="Amiri" w:eastAsia="Amiri" w:cs="Amiri"/>
          <w:lang w:bidi="ar-SA"/>
          <w:color w:val="111111"/>
          <w:sz w:val="28"/>
          <w:szCs w:val="28"/>
          <w:rtl/>
        </w:rPr>
        <w:t xml:space="preserve">و العامّة </w:t>
      </w:r>
      <w:r>
        <w:rPr>
          <w:rStyle w:val="FootnoteReference"/>
        </w:rPr>
        <w:footnoteReference w:id="1543"/>
      </w:r>
      <w:r>
        <w:rPr>
          <w:rFonts w:ascii="IRNazanin" w:hAnsi="IRNazanin" w:eastAsia="IRNazanin" w:cs="IRNazanin"/>
          <w:lang w:bidi="fa-IR"/>
          <w:color w:val="111111"/>
          <w:sz w:val="28"/>
          <w:szCs w:val="28"/>
          <w:rtl/>
        </w:rPr>
        <w:t xml:space="preserve">:بأنّه لو کان الاستصحاب معتبرا لزم ترجیح بیّنة النافی؛لاعتضاده </w:t>
      </w:r>
      <w:r>
        <w:rPr>
          <w:rStyle w:val="FootnoteReference"/>
        </w:rPr>
        <w:footnoteReference w:id="1544"/>
      </w:r>
      <w:r>
        <w:rPr>
          <w:rFonts w:ascii="IRNazanin" w:hAnsi="IRNazanin" w:eastAsia="IRNazanin" w:cs="IRNazanin"/>
          <w:lang w:bidi="fa-IR"/>
          <w:color w:val="111111"/>
          <w:sz w:val="28"/>
          <w:szCs w:val="28"/>
          <w:rtl/>
        </w:rPr>
        <w:t xml:space="preserve">بالاستصحاب،و استدلال المثبتین-کما فی المنیة-:</w:t>
      </w:r>
    </w:p>
    <w:p>
      <w:pPr>
        <w:pStyle w:val="BookText"/>
      </w:pPr>
      <w:r>
        <w:rPr>
          <w:rFonts w:ascii="IRNazanin" w:hAnsi="IRNazanin" w:eastAsia="IRNazanin" w:cs="IRNazanin"/>
          <w:lang w:bidi="fa-IR"/>
          <w:color w:val="111111"/>
          <w:sz w:val="28"/>
          <w:szCs w:val="28"/>
          <w:rtl/>
        </w:rPr>
        <w:t xml:space="preserve">بأنّه لو لم یعتبر الاستصحاب لا نسدّ باب استنباط الأحکام من الأدلّة؛ لتطرّق احتمالات فیها لا تندفع إلاّ بالاستصحاب </w:t>
      </w:r>
      <w:r>
        <w:rPr>
          <w:rStyle w:val="FootnoteReference"/>
        </w:rPr>
        <w:footnoteReference w:id="15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ممّن أنکر الاستصحاب فی العدمیّات صاحب المدارک؛حیث أنکر اعتبار استصحاب عدم التذکیة الذی تمسّک به الأکثر لنجاسة الجلد المطروح </w:t>
      </w:r>
      <w:r>
        <w:rPr>
          <w:rStyle w:val="FootnoteReference"/>
        </w:rPr>
        <w:footnoteReference w:id="1546"/>
      </w:r>
      <w:r>
        <w:rPr>
          <w:rFonts w:ascii="Times New Roman" w:hAnsi="Times New Roman" w:eastAsia="Times New Roman" w:cs="Times New Roman"/>
          <w:lang w:val="en-US" w:bidi="en-US"/>
          <w:color w:val="111111"/>
          <w:sz w:val="28"/>
          <w:szCs w:val="28"/>
          <w:rtl/>
        </w:rPr>
        <w:t xml:space="preserve">.</w:t>
      </w:r>
    </w:p>
    <w:p>
      <w:pPr>
        <w:pStyle w:val="Heading6"/>
      </w:pPr>
      <w:bookmarkStart w:id="1681" w:name="_Toc716"/>
      <w:r>
        <w:t>[التتبّع یشهد بعدم خروج العدمیّات عن محلّ النزاع:]</w:t>
      </w:r>
      <w:bookmarkEnd w:id="1681"/>
    </w:p>
    <w:p>
      <w:pPr>
        <w:pStyle w:val="BookText"/>
      </w:pPr>
      <w:r>
        <w:rPr>
          <w:rFonts w:ascii="IRNazanin" w:hAnsi="IRNazanin" w:eastAsia="IRNazanin" w:cs="IRNazanin"/>
          <w:lang w:bidi="fa-IR"/>
          <w:color w:val="111111"/>
          <w:sz w:val="28"/>
          <w:szCs w:val="28"/>
          <w:rtl/>
        </w:rPr>
        <w:t xml:space="preserve">و بالجملة:فالظاهر أنّ التتبّع یشهد بأنّ العدمیّات لیست خارجة</w:t>
      </w:r>
    </w:p>
    <w:p>
      <w:pPr>
        <w:pStyle w:val="BookText"/>
      </w:pPr>
      <w:r>
        <w:rPr>
          <w:rFonts w:ascii="IRNazanin" w:hAnsi="IRNazanin" w:eastAsia="IRNazanin" w:cs="IRNazanin"/>
          <w:lang w:bidi="fa-IR"/>
          <w:color w:val="111111"/>
          <w:sz w:val="28"/>
          <w:szCs w:val="28"/>
          <w:rtl/>
        </w:rPr>
        <w:t xml:space="preserve">[شماره صفحه واقعی : 30]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338" w:name="pg14411_142924"/>
    <w:bookmarkEnd w:id="338"/>
    <w:p>
      <w:pPr>
        <w:pStyle w:val="BookText"/>
      </w:pPr>
      <w:r>
        <w:rPr>
          <w:rFonts w:ascii="IRNazanin" w:hAnsi="IRNazanin" w:eastAsia="IRNazanin" w:cs="IRNazanin"/>
          <w:lang w:bidi="fa-IR"/>
          <w:color w:val="111111"/>
          <w:sz w:val="28"/>
          <w:szCs w:val="28"/>
          <w:rtl/>
        </w:rPr>
        <w:t xml:space="preserve">عن محلّ النزاع،بل سیجیء-عند بیان أدلّة الأقوال-أنّ القول بالتفصیل بین العدمیّ و الوجودیّ-بناء علی اعتبار الاستصحاب من باب الظنّ-وجوده بین العلماء لا یخلو من إشکال،فضلا عن اتّفاق النافین علیه؛إذ ما من استصحاب وجودیّ إلاّ و یمکن معه فرض استصحاب عدمیّ یلزم من الظنّ به الظنّ بذلک المستصحب الوجودیّ، فیسقط فائدة نفی اعتبار الاستصحابات الوجودیّة.و انتظر لتمام الکلام </w:t>
      </w:r>
      <w:r>
        <w:rPr>
          <w:rStyle w:val="FootnoteReference"/>
        </w:rPr>
        <w:footnoteReference w:id="15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ممّا یشهد بعدم الاتّفاق فی العدمیّات:اختلافهم فی أنّ النافی یحتاج إلی دلیل أم لا؟فلاحظ ذلک العنوان </w:t>
      </w:r>
      <w:r>
        <w:rPr>
          <w:rStyle w:val="FootnoteReference"/>
        </w:rPr>
        <w:footnoteReference w:id="1548"/>
      </w:r>
      <w:r>
        <w:rPr>
          <w:rFonts w:ascii="IRNazanin" w:hAnsi="IRNazanin" w:eastAsia="IRNazanin" w:cs="IRNazanin"/>
          <w:lang w:bidi="fa-IR"/>
          <w:color w:val="111111"/>
          <w:sz w:val="28"/>
          <w:szCs w:val="28"/>
          <w:rtl/>
        </w:rPr>
        <w:t xml:space="preserve">تجده شاهد صدق علی ما ادّعیناه.</w:t>
      </w:r>
    </w:p>
    <w:p>
      <w:pPr>
        <w:pStyle w:val="Heading6"/>
      </w:pPr>
      <w:bookmarkStart w:id="1682" w:name="_Toc717"/>
      <w:r>
        <w:t>[ظاهر جماعة خروج بعض العدمیّات عن محلّ النزاع:]</w:t>
      </w:r>
      <w:bookmarkEnd w:id="1682"/>
    </w:p>
    <w:p>
      <w:pPr>
        <w:pStyle w:val="BookText"/>
      </w:pPr>
      <w:r>
        <w:rPr>
          <w:rFonts w:ascii="IRNazanin" w:hAnsi="IRNazanin" w:eastAsia="IRNazanin" w:cs="IRNazanin"/>
          <w:lang w:bidi="fa-IR"/>
          <w:color w:val="111111"/>
          <w:sz w:val="28"/>
          <w:szCs w:val="28"/>
          <w:rtl/>
        </w:rPr>
        <w:t xml:space="preserve">نعم،ربما یظهر من بعضهم خروج بعض الأقسام من العدمیّات من محلّ النزاع،کاستصحاب النفی المسمّی ب«البراءة الأصلیّة»؛فإنّ المصرّح به فی کلام جماعة-کالمحقّق </w:t>
      </w:r>
      <w:r>
        <w:rPr>
          <w:rStyle w:val="FootnoteReference"/>
        </w:rPr>
        <w:footnoteReference w:id="1549"/>
      </w:r>
      <w:r>
        <w:rPr>
          <w:rFonts w:ascii="Amiri" w:hAnsi="Amiri" w:eastAsia="Amiri" w:cs="Amiri"/>
          <w:lang w:bidi="ar-SA"/>
          <w:color w:val="111111"/>
          <w:sz w:val="28"/>
          <w:szCs w:val="28"/>
          <w:rtl/>
        </w:rPr>
        <w:t xml:space="preserve">و العلاّمة </w:t>
      </w:r>
      <w:r>
        <w:rPr>
          <w:rStyle w:val="FootnoteReference"/>
        </w:rPr>
        <w:footnoteReference w:id="1550"/>
      </w:r>
      <w:r>
        <w:rPr>
          <w:rFonts w:ascii="IRNazanin" w:hAnsi="IRNazanin" w:eastAsia="IRNazanin" w:cs="IRNazanin"/>
          <w:lang w:bidi="fa-IR"/>
          <w:color w:val="111111"/>
          <w:sz w:val="28"/>
          <w:szCs w:val="28"/>
          <w:rtl/>
        </w:rPr>
        <w:t xml:space="preserve">و الفاضل الجواد </w:t>
      </w:r>
      <w:r>
        <w:rPr>
          <w:rStyle w:val="FootnoteReference"/>
        </w:rPr>
        <w:footnoteReference w:id="15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الإطباق علی العمل علیه.و کاستصحاب عدم النسخ؛فإنّ المصرّح به فی کلام غیر واحد-کالمحدّث الأسترابادی و المحدّث البحرانی-:عدم الخلاف فیه،بل مال الأوّل إلی کونه من ضروریات الدین </w:t>
      </w:r>
      <w:r>
        <w:rPr>
          <w:rStyle w:val="FootnoteReference"/>
        </w:rPr>
        <w:footnoteReference w:id="1552"/>
      </w:r>
      <w:r>
        <w:rPr>
          <w:rFonts w:ascii="IRNazanin" w:hAnsi="IRNazanin" w:eastAsia="IRNazanin" w:cs="IRNazanin"/>
          <w:lang w:bidi="fa-IR"/>
          <w:color w:val="111111"/>
          <w:sz w:val="28"/>
          <w:szCs w:val="28"/>
          <w:rtl/>
        </w:rPr>
        <w:t xml:space="preserve">،و ألحق</w:t>
      </w:r>
    </w:p>
    <w:p>
      <w:pPr>
        <w:pStyle w:val="BookText"/>
      </w:pPr>
      <w:r>
        <w:rPr>
          <w:rFonts w:ascii="IRNazanin" w:hAnsi="IRNazanin" w:eastAsia="IRNazanin" w:cs="IRNazanin"/>
          <w:lang w:bidi="fa-IR"/>
          <w:color w:val="111111"/>
          <w:sz w:val="28"/>
          <w:szCs w:val="28"/>
          <w:rtl/>
        </w:rPr>
        <w:t xml:space="preserve">[شماره صفحه واقعی : 31]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bookmarkStart w:id="339" w:name="pg14411_142925"/>
    <w:bookmarkEnd w:id="339"/>
    <w:p>
      <w:pPr>
        <w:pStyle w:val="BookText"/>
      </w:pPr>
      <w:r>
        <w:rPr>
          <w:rFonts w:ascii="IRNazanin" w:hAnsi="IRNazanin" w:eastAsia="IRNazanin" w:cs="IRNazanin"/>
          <w:lang w:bidi="fa-IR"/>
          <w:color w:val="111111"/>
          <w:sz w:val="28"/>
          <w:szCs w:val="28"/>
          <w:rtl/>
        </w:rPr>
        <w:t xml:space="preserve">الثانی بذلک استصحاب عدم المخصّص و المقیّد </w:t>
      </w:r>
      <w:r>
        <w:rPr>
          <w:rStyle w:val="FootnoteReference"/>
        </w:rPr>
        <w:footnoteReference w:id="15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 التحقیق:أنّ اعتبار الاستصحاب-بمعنی التعویل فی تحقّق شیء فی الزمان الثانی علی تحقّقه فی الزمان السابق علیه-مختلف فیه،من غیر فرق بین الوجودیّ و العدمیّ.نعم،قد یتحقّق فی بعض الموارد قاعدة اخری توجب الأخذ بمقتضی الحالة السابقة،ک«قاعدة قبح التکلیف من غیر بیان»،أو«عدم الدلیل دلیل العدم»،أو«ظهور الدلیل الدالّ علی الحکم فی استمراره أو عمومه أو إطلاقه»،أو غیر ذلک،و هذا لا ربط له باعتبار الاستصحاب.</w:t>
      </w:r>
    </w:p>
    <w:p>
      <w:pPr>
        <w:pStyle w:val="BookText"/>
      </w:pPr>
      <w:r>
        <w:rPr>
          <w:rFonts w:ascii="IRNazanin" w:hAnsi="IRNazanin" w:eastAsia="IRNazanin" w:cs="IRNazanin"/>
          <w:lang w:bidi="fa-IR"/>
          <w:color w:val="111111"/>
          <w:sz w:val="28"/>
          <w:szCs w:val="28"/>
          <w:rtl/>
        </w:rPr>
        <w:t xml:space="preserve">ثمّ إنّا لم نجد فی أصحابنا من فرّق بین الوجودیّ و العدمیّ.نعم، حکی شارح الشرح </w:t>
      </w:r>
      <w:r>
        <w:rPr>
          <w:rStyle w:val="FootnoteReference"/>
        </w:rPr>
        <w:footnoteReference w:id="1554"/>
      </w:r>
      <w:r>
        <w:rPr>
          <w:rFonts w:ascii="IRNazanin" w:hAnsi="IRNazanin" w:eastAsia="IRNazanin" w:cs="IRNazanin"/>
          <w:lang w:bidi="fa-IR"/>
          <w:color w:val="111111"/>
          <w:sz w:val="28"/>
          <w:szCs w:val="28"/>
          <w:rtl/>
        </w:rPr>
        <w:t xml:space="preserve">هذا التفصیل عن الحنفیّة.</w:t>
      </w:r>
    </w:p>
    <w:p>
      <w:pPr>
        <w:pStyle w:val="Heading6"/>
      </w:pPr>
      <w:bookmarkStart w:id="1683" w:name="_Toc718"/>
      <w:r>
        <w:t>الوجه الثانی: [المستصحب إمّا حکم شرعیّ و إمّا من الامور الخارجیّة:]</w:t>
      </w:r>
      <w:bookmarkEnd w:id="1683"/>
    </w:p>
    <w:p>
      <w:pPr>
        <w:pStyle w:val="BookText"/>
      </w:pPr>
      <w:r>
        <w:rPr>
          <w:rFonts w:ascii="IRNazanin" w:hAnsi="IRNazanin" w:eastAsia="IRNazanin" w:cs="IRNazanin"/>
          <w:lang w:bidi="fa-IR"/>
          <w:color w:val="111111"/>
          <w:sz w:val="28"/>
          <w:szCs w:val="28"/>
          <w:rtl/>
        </w:rPr>
        <w:t xml:space="preserve">أنّ المستصحب قد یکون حکما شرعیّا،کالطهارة المستصحبة بعد خروج المذی،و النجاسة المستصحبة بعد زوال تغیّر المتغیّر بنفسه،و قد یکون غیره،کاستصحاب الکرّیة،و الرطوبة،و الوضع الأوّل عند الشکّ فی حدوث النقل أو فی تأریخه.</w:t>
      </w:r>
    </w:p>
    <w:p>
      <w:pPr>
        <w:pStyle w:val="Heading6"/>
      </w:pPr>
      <w:bookmarkStart w:id="1684" w:name="_Toc719"/>
      <w:r>
        <w:t>[وقوع الخلاف فی کلیهما:]</w:t>
      </w:r>
      <w:bookmarkEnd w:id="1684"/>
    </w:p>
    <w:p>
      <w:pPr>
        <w:pStyle w:val="BookText"/>
      </w:pPr>
      <w:r>
        <w:rPr>
          <w:rFonts w:ascii="IRNazanin" w:hAnsi="IRNazanin" w:eastAsia="IRNazanin" w:cs="IRNazanin"/>
          <w:lang w:bidi="fa-IR"/>
          <w:color w:val="111111"/>
          <w:sz w:val="28"/>
          <w:szCs w:val="28"/>
          <w:rtl/>
        </w:rPr>
        <w:t xml:space="preserve">و الظاهر بل صریح جماعة وقوع الخلاف فی کلا القسمین.</w:t>
      </w:r>
    </w:p>
    <w:p>
      <w:pPr>
        <w:pStyle w:val="BookText"/>
      </w:pPr>
      <w:r>
        <w:rPr>
          <w:rFonts w:ascii="IRNazanin" w:hAnsi="IRNazanin" w:eastAsia="IRNazanin" w:cs="IRNazanin"/>
          <w:lang w:bidi="fa-IR"/>
          <w:color w:val="111111"/>
          <w:sz w:val="28"/>
          <w:szCs w:val="28"/>
          <w:rtl/>
        </w:rPr>
        <w:t xml:space="preserve">نعم،نسب إلی بعض التفصیل بینهما بإنکار الأوّل و الاعتراف</w:t>
      </w:r>
    </w:p>
    <w:p>
      <w:pPr>
        <w:pStyle w:val="BookText"/>
      </w:pPr>
      <w:r>
        <w:rPr>
          <w:rFonts w:ascii="IRNazanin" w:hAnsi="IRNazanin" w:eastAsia="IRNazanin" w:cs="IRNazanin"/>
          <w:lang w:bidi="fa-IR"/>
          <w:color w:val="111111"/>
          <w:sz w:val="28"/>
          <w:szCs w:val="28"/>
          <w:rtl/>
        </w:rPr>
        <w:t xml:space="preserve">[شماره صفحه واقعی : 32]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bookmarkStart w:id="340" w:name="pg14411_142926"/>
    <w:bookmarkEnd w:id="340"/>
    <w:p>
      <w:pPr>
        <w:pStyle w:val="BookText"/>
      </w:pPr>
      <w:r>
        <w:rPr>
          <w:rFonts w:ascii="IRNazanin" w:hAnsi="IRNazanin" w:eastAsia="IRNazanin" w:cs="IRNazanin"/>
          <w:lang w:bidi="fa-IR"/>
          <w:color w:val="111111"/>
          <w:sz w:val="28"/>
          <w:szCs w:val="28"/>
          <w:rtl/>
        </w:rPr>
        <w:t xml:space="preserve">بالثانی،و نسب إلی آخر العکس،حکاهما الفاضل القمّی فی القوانین </w:t>
      </w:r>
      <w:r>
        <w:rPr>
          <w:rStyle w:val="FootnoteReference"/>
        </w:rPr>
        <w:footnoteReference w:id="15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فیه نظر،یظهر بتوضیح المراد من الحکم الشرعی و غیره،</w:t>
      </w:r>
    </w:p>
    <w:p>
      <w:pPr>
        <w:pStyle w:val="Heading6"/>
      </w:pPr>
      <w:bookmarkStart w:id="1685" w:name="_Toc720"/>
      <w:r>
        <w:t>[للحکم الشرعی إطلاقان:</w:t>
      </w:r>
      <w:bookmarkEnd w:id="1685"/>
    </w:p>
    <w:p>
      <w:pPr>
        <w:pStyle w:val="BookText"/>
      </w:pPr>
      <w:r>
        <w:rPr>
          <w:rFonts w:ascii="IRNazanin" w:hAnsi="IRNazanin" w:eastAsia="IRNazanin" w:cs="IRNazanin"/>
          <w:lang w:bidi="fa-IR"/>
          <w:color w:val="111111"/>
          <w:sz w:val="28"/>
          <w:szCs w:val="28"/>
          <w:rtl/>
        </w:rPr>
        <w:t xml:space="preserve">1-الحکم الکلّی 2-ما یعمّ الحکم الجزئی]</w:t>
      </w:r>
    </w:p>
    <w:p>
      <w:pPr>
        <w:pStyle w:val="BookText"/>
      </w:pPr>
      <w:r>
        <w:rPr>
          <w:rFonts w:ascii="IRNazanin" w:hAnsi="IRNazanin" w:eastAsia="IRNazanin" w:cs="IRNazanin"/>
          <w:lang w:bidi="fa-IR"/>
          <w:color w:val="111111"/>
          <w:sz w:val="28"/>
          <w:szCs w:val="28"/>
          <w:rtl/>
        </w:rPr>
        <w:t xml:space="preserve">فنقول:الحکم الشرعیّ یراد به تارة الحکم الکلّی الذی من شأنه أن یؤخذ من الشارع،کطهارة من خرج منه المذی أو نجاسة ما زال تغیّره بنفسه،و اخری یراد به ما یعمّ الحکم الجزئی الخاصّ فی الموضوع الخاصّ،کطهارة هذا الثوب و نجاسته؛فإنّ الحکم بهما-من جهة عدم ملاقاته للنجس أو ملاقاته-لیس وظیفة للشارع.نعم،وظیفته إثبات الطهارة کلّیة </w:t>
      </w:r>
      <w:r>
        <w:rPr>
          <w:rStyle w:val="FootnoteReference"/>
        </w:rPr>
        <w:footnoteReference w:id="1556"/>
      </w:r>
      <w:r>
        <w:rPr>
          <w:rFonts w:ascii="IRNazanin" w:hAnsi="IRNazanin" w:eastAsia="IRNazanin" w:cs="IRNazanin"/>
          <w:lang w:bidi="fa-IR"/>
          <w:color w:val="111111"/>
          <w:sz w:val="28"/>
          <w:szCs w:val="28"/>
          <w:rtl/>
        </w:rPr>
        <w:t xml:space="preserve">لکلّ شیء شکّ فی ملاقاته للنجس و عدمها.</w:t>
      </w:r>
    </w:p>
    <w:p>
      <w:pPr>
        <w:pStyle w:val="Heading6"/>
      </w:pPr>
      <w:bookmarkStart w:id="1686" w:name="_Toc721"/>
      <w:r>
        <w:t>[إنکار الأخباریین جریان الاستصحاب فی الحکم بالإطلاق الأوّل]</w:t>
      </w:r>
      <w:bookmarkEnd w:id="1686"/>
    </w:p>
    <w:p>
      <w:pPr>
        <w:pStyle w:val="BookText"/>
      </w:pPr>
      <w:r>
        <w:rPr>
          <w:rFonts w:ascii="IRNazanin" w:hAnsi="IRNazanin" w:eastAsia="IRNazanin" w:cs="IRNazanin"/>
          <w:lang w:bidi="fa-IR"/>
          <w:color w:val="111111"/>
          <w:sz w:val="28"/>
          <w:szCs w:val="28"/>
          <w:rtl/>
        </w:rPr>
        <w:t xml:space="preserve">و علی الإطلاق الأوّل جری الأخباریّون؛حیث أنکروا اعتبار الاستصحاب فی نفس أحکام اللّه تعالی،و جعله الأسترابادی من أغلاط من تأخّر عن المفید،مع اعترافه باعتبار الاستصحاب فی مثل طهارة الثوب و نجاسته </w:t>
      </w:r>
      <w:r>
        <w:rPr>
          <w:rStyle w:val="FootnoteReference"/>
        </w:rPr>
        <w:footnoteReference w:id="1557"/>
      </w:r>
      <w:r>
        <w:rPr>
          <w:rFonts w:ascii="IRNazanin" w:hAnsi="IRNazanin" w:eastAsia="IRNazanin" w:cs="IRNazanin"/>
          <w:lang w:bidi="fa-IR"/>
          <w:color w:val="111111"/>
          <w:sz w:val="28"/>
          <w:szCs w:val="28"/>
          <w:rtl/>
        </w:rPr>
        <w:t xml:space="preserve">و غیرهما ممّا شکّ فیه من الأحکام الجزئیّة لأجل الاشتباه فی الامور الخارجیّة </w:t>
      </w:r>
      <w:r>
        <w:rPr>
          <w:rStyle w:val="FootnoteReference"/>
        </w:rPr>
        <w:footnoteReference w:id="15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 صرّح المحدّث الحرّ العاملی:بأنّ أخبار الاستصحاب لا تدلّ علی اعتباره فی نفس الحکم الشرعیّ،و إنّما تدلّ علی اعتباره فی موضوعاته و متعلّقاته </w:t>
      </w:r>
      <w:r>
        <w:rPr>
          <w:rStyle w:val="FootnoteReference"/>
        </w:rPr>
        <w:footnoteReference w:id="15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33]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الأصل فی ذلک عندهم:أنّ الشبهة فی الحکم الکلّی لا مرجع فیها إلاّ الاحتیاط دون البراءة أو الاستصحاب؛فإنّهما عندهم مختصّان بالشبهة فی الموضوع.</w:t>
      </w:r>
    </w:p>
    <w:p>
      <w:pPr>
        <w:pStyle w:val="BookText"/>
      </w:pPr>
      <w:r>
        <w:rPr>
          <w:rFonts w:ascii="IRNazanin" w:hAnsi="IRNazanin" w:eastAsia="IRNazanin" w:cs="IRNazanin"/>
          <w:lang w:bidi="fa-IR"/>
          <w:color w:val="111111"/>
          <w:sz w:val="28"/>
          <w:szCs w:val="28"/>
          <w:rtl/>
        </w:rPr>
        <w:t xml:space="preserve">و علی الإطلاق الثانی جری بعض آخر.</w:t>
      </w:r>
    </w:p>
    <w:p>
      <w:pPr>
        <w:pStyle w:val="BookText"/>
      </w:pPr>
      <w:r>
        <w:rPr>
          <w:rFonts w:ascii="IRNazanin" w:hAnsi="IRNazanin" w:eastAsia="IRNazanin" w:cs="IRNazanin"/>
          <w:lang w:bidi="fa-IR"/>
          <w:color w:val="111111"/>
          <w:sz w:val="28"/>
          <w:szCs w:val="28"/>
          <w:rtl/>
        </w:rPr>
        <w:t xml:space="preserve">قال المحقّق الخوانساری فی مسألة الاستنجاء بالأحجار:</w:t>
      </w:r>
    </w:p>
    <w:p>
      <w:pPr>
        <w:pStyle w:val="BookText"/>
      </w:pPr>
      <w:r>
        <w:rPr>
          <w:rFonts w:ascii="IRNazanin" w:hAnsi="IRNazanin" w:eastAsia="IRNazanin" w:cs="IRNazanin"/>
          <w:lang w:bidi="fa-IR"/>
          <w:color w:val="111111"/>
          <w:sz w:val="28"/>
          <w:szCs w:val="28"/>
          <w:rtl/>
        </w:rPr>
        <w:t xml:space="preserve">و ینقسم الاستصحاب إلی قسمین،باعتبار[انقسام] </w:t>
      </w:r>
      <w:r>
        <w:rPr>
          <w:rStyle w:val="FootnoteReference"/>
        </w:rPr>
        <w:footnoteReference w:id="1560"/>
      </w:r>
      <w:r>
        <w:rPr>
          <w:rFonts w:ascii="IRNazanin" w:hAnsi="IRNazanin" w:eastAsia="IRNazanin" w:cs="IRNazanin"/>
          <w:lang w:bidi="fa-IR"/>
          <w:color w:val="111111"/>
          <w:sz w:val="28"/>
          <w:szCs w:val="28"/>
          <w:rtl/>
        </w:rPr>
        <w:t xml:space="preserve">الحکم المأخوذ فیه إلی شرعی و غیره.و مثّل للأوّل بنجاسة الثوب أو البدن، و للثانی برطوبته،ثمّ قال:ذهب بعضهم إلی حجّیته بقسمیه،و بعضهم إلی حجّیة القسم الأوّل فقط </w:t>
      </w:r>
      <w:r>
        <w:rPr>
          <w:rStyle w:val="FootnoteReference"/>
        </w:rPr>
        <w:footnoteReference w:id="1561"/>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إذا عرفت ما ذکرناه،ظهر </w:t>
      </w:r>
      <w:r>
        <w:rPr>
          <w:rStyle w:val="FootnoteReference"/>
        </w:rPr>
        <w:footnoteReference w:id="1562"/>
      </w:r>
      <w:r>
        <w:rPr>
          <w:rFonts w:ascii="IRNazanin" w:hAnsi="IRNazanin" w:eastAsia="IRNazanin" w:cs="IRNazanin"/>
          <w:lang w:bidi="fa-IR"/>
          <w:color w:val="111111"/>
          <w:sz w:val="28"/>
          <w:szCs w:val="28"/>
          <w:rtl/>
        </w:rPr>
        <w:t xml:space="preserve">أنّ عدّ القول بالتفصیل بین الأحکام الشرعیّة و الامور الخارجیّة قولین متعاکسین لیس علی ما ینبغی؛لأنّ المراد بالحکم الشرعیّ:</w:t>
      </w:r>
    </w:p>
    <w:p>
      <w:pPr>
        <w:pStyle w:val="BookText"/>
      </w:pPr>
      <w:r>
        <w:rPr>
          <w:rFonts w:ascii="IRNazanin" w:hAnsi="IRNazanin" w:eastAsia="IRNazanin" w:cs="IRNazanin"/>
          <w:lang w:bidi="fa-IR"/>
          <w:color w:val="111111"/>
          <w:sz w:val="28"/>
          <w:szCs w:val="28"/>
          <w:rtl/>
        </w:rPr>
        <w:t xml:space="preserve">إن کان هو الحکم الکلّی الذی أنکره الأخباریّون فلیس هنا من یقول باعتبار الاستصحاب فیه و نفیه فی غیره؛فإنّ ما حکاه المحقّق الخوانساری </w:t>
      </w:r>
      <w:r>
        <w:rPr>
          <w:rStyle w:val="FootnoteReference"/>
        </w:rPr>
        <w:footnoteReference w:id="1563"/>
      </w:r>
      <w:r>
        <w:rPr>
          <w:rFonts w:ascii="IRNazanin" w:hAnsi="IRNazanin" w:eastAsia="IRNazanin" w:cs="IRNazanin"/>
          <w:lang w:bidi="fa-IR"/>
          <w:color w:val="111111"/>
          <w:sz w:val="28"/>
          <w:szCs w:val="28"/>
          <w:rtl/>
        </w:rPr>
        <w:t xml:space="preserve">و استظهره السبزواری </w:t>
      </w:r>
      <w:r>
        <w:rPr>
          <w:rStyle w:val="FootnoteReference"/>
        </w:rPr>
        <w:footnoteReference w:id="1564"/>
      </w:r>
      <w:r>
        <w:rPr>
          <w:rFonts w:ascii="IRNazanin" w:hAnsi="IRNazanin" w:eastAsia="IRNazanin" w:cs="IRNazanin"/>
          <w:lang w:bidi="fa-IR"/>
          <w:color w:val="111111"/>
          <w:sz w:val="28"/>
          <w:szCs w:val="28"/>
          <w:rtl/>
        </w:rPr>
        <w:t xml:space="preserve">هو اعتباره فی الحکم الشرعی بالإطلاق الثانی الذی هو أعمّ من الأوّل.</w:t>
      </w:r>
    </w:p>
    <w:p>
      <w:pPr>
        <w:pStyle w:val="BookText"/>
      </w:pPr>
      <w:r>
        <w:rPr>
          <w:rFonts w:ascii="IRNazanin" w:hAnsi="IRNazanin" w:eastAsia="IRNazanin" w:cs="IRNazanin"/>
          <w:lang w:bidi="fa-IR"/>
          <w:color w:val="111111"/>
          <w:sz w:val="28"/>
          <w:szCs w:val="28"/>
          <w:rtl/>
        </w:rPr>
        <w:t xml:space="preserve">[شماره صفحه واقعی : 34]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bookmarkStart w:id="341" w:name="pg14411_142928"/>
    <w:bookmarkEnd w:id="341"/>
    <w:p>
      <w:pPr>
        <w:pStyle w:val="BookText"/>
      </w:pPr>
      <w:r>
        <w:rPr>
          <w:rFonts w:ascii="IRNazanin" w:hAnsi="IRNazanin" w:eastAsia="IRNazanin" w:cs="IRNazanin"/>
          <w:lang w:bidi="fa-IR"/>
          <w:color w:val="111111"/>
          <w:sz w:val="28"/>
          <w:szCs w:val="28"/>
          <w:rtl/>
        </w:rPr>
        <w:t xml:space="preserve">و إن ارید بالحکم الشرعیّ الإطلاق الثانی الأعمّ،فلم یقل أحد باعتباره فی غیر الحکم الشرعیّ و عدمه فی الحکم الشرعیّ؛لأنّ الأخباریّین لا ینکرون الاستصحاب فی الأحکام الجزئیّة.</w:t>
      </w:r>
    </w:p>
    <w:p>
      <w:pPr>
        <w:pStyle w:val="Heading6"/>
      </w:pPr>
      <w:bookmarkStart w:id="1687" w:name="_Toc722"/>
      <w:r>
        <w:t>[الأقوی فی حجّیة الاستصحاب من حیث هذا التقسیم]</w:t>
      </w:r>
      <w:bookmarkEnd w:id="1687"/>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ثمّ إنّ المحصّل من القول بالتفصیل بین القسمین المذکورین فی هذا التقسیم ثلاثة:</w:t>
      </w:r>
    </w:p>
    <w:p>
      <w:pPr>
        <w:pStyle w:val="BookText"/>
      </w:pPr>
      <w:r>
        <w:rPr>
          <w:rFonts w:ascii="IRNazanin" w:hAnsi="IRNazanin" w:eastAsia="IRNazanin" w:cs="IRNazanin"/>
          <w:lang w:bidi="fa-IR"/>
          <w:color w:val="111111"/>
          <w:sz w:val="28"/>
          <w:szCs w:val="28"/>
          <w:rtl/>
        </w:rPr>
        <w:t xml:space="preserve">الأوّل:اعتبار الاستصحاب فی الحکم الشرعیّ مطلقا-جزئیّا کان کنجاسة الثوب،أو کلّیا کنجاسة الماء المتغیّر بعد زوال التغیّر-و هو الظاهر ممّا حکاه المحقّق الخوانساری </w:t>
      </w:r>
      <w:r>
        <w:rPr>
          <w:rStyle w:val="FootnoteReference"/>
        </w:rPr>
        <w:footnoteReference w:id="15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الثانی:اعتباره فی ما عدا الحکم الشرعیّ الکلّی و إن کان حکما جزئیا،و هو الذی حکاه فی الرسالة الاستصحابیّة عن الأخباریّین </w:t>
      </w:r>
      <w:r>
        <w:rPr>
          <w:rStyle w:val="FootnoteReference"/>
        </w:rPr>
        <w:footnoteReference w:id="15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الثالث:اعتباره فی الحکم الجزئیّ دون الکلّی و دون الامور الخارجیّة،و هو الذی ربما یستظهر ممّا حکاه السیّد شارح الوافیة عن المحقّق الخوانساری فی حاشیة له علی قول الشهید قدّس سرّه فی تحریم استعمال الماء النجس و المشتبه </w:t>
      </w:r>
      <w:r>
        <w:rPr>
          <w:rStyle w:val="FootnoteReference"/>
        </w:rPr>
        <w:footnoteReference w:id="1567"/>
      </w:r>
      <w:r>
        <w:rPr>
          <w:rFonts w:ascii="Times New Roman" w:hAnsi="Times New Roman" w:eastAsia="Times New Roman" w:cs="Times New Roman"/>
          <w:lang w:val="en-US" w:bidi="en-US"/>
          <w:color w:val="111111"/>
          <w:sz w:val="28"/>
          <w:szCs w:val="28"/>
          <w:rtl/>
        </w:rPr>
        <w:t xml:space="preserve">.</w:t>
      </w:r>
    </w:p>
    <w:p>
      <w:pPr>
        <w:pStyle w:val="Heading6"/>
      </w:pPr>
      <w:bookmarkStart w:id="1688" w:name="_Toc723"/>
      <w:r>
        <w:t>الوجه الثالث: [المستصحب إمّا حکم تکلیفی و إمّا حکم وضعی:]</w:t>
      </w:r>
      <w:bookmarkEnd w:id="1688"/>
    </w:p>
    <w:p>
      <w:pPr>
        <w:pStyle w:val="BookText"/>
      </w:pPr>
      <w:r>
        <w:rPr>
          <w:rFonts w:ascii="IRNazanin" w:hAnsi="IRNazanin" w:eastAsia="IRNazanin" w:cs="IRNazanin"/>
          <w:lang w:bidi="fa-IR"/>
          <w:color w:val="111111"/>
          <w:sz w:val="28"/>
          <w:szCs w:val="28"/>
          <w:rtl/>
        </w:rPr>
        <w:t xml:space="preserve">من حیث إنّ المستصحب قد یکون حکما تکلیفیّا،و قد یکون</w:t>
      </w:r>
    </w:p>
    <w:p>
      <w:pPr>
        <w:pStyle w:val="BookText"/>
      </w:pPr>
      <w:r>
        <w:rPr>
          <w:rFonts w:ascii="IRNazanin" w:hAnsi="IRNazanin" w:eastAsia="IRNazanin" w:cs="IRNazanin"/>
          <w:lang w:bidi="fa-IR"/>
          <w:color w:val="111111"/>
          <w:sz w:val="28"/>
          <w:szCs w:val="28"/>
          <w:rtl/>
        </w:rPr>
        <w:t xml:space="preserve">[شماره صفحه واقعی : 35]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bookmarkStart w:id="342" w:name="pg14411_142929"/>
    <w:bookmarkEnd w:id="342"/>
    <w:p>
      <w:pPr>
        <w:pStyle w:val="BookText"/>
      </w:pPr>
      <w:r>
        <w:rPr>
          <w:rFonts w:ascii="Amiri" w:hAnsi="Amiri" w:eastAsia="Amiri" w:cs="Amiri"/>
          <w:lang w:bidi="ar-SA"/>
          <w:color w:val="111111"/>
          <w:sz w:val="28"/>
          <w:szCs w:val="28"/>
          <w:rtl/>
        </w:rPr>
        <w:t xml:space="preserve">وضعیّا شرعیّا </w:t>
      </w:r>
      <w:r>
        <w:rPr>
          <w:rStyle w:val="FootnoteReference"/>
        </w:rPr>
        <w:footnoteReference w:id="1568"/>
      </w:r>
      <w:r>
        <w:rPr>
          <w:rFonts w:ascii="IRNazanin" w:hAnsi="IRNazanin" w:eastAsia="IRNazanin" w:cs="IRNazanin"/>
          <w:lang w:bidi="fa-IR"/>
          <w:color w:val="111111"/>
          <w:sz w:val="28"/>
          <w:szCs w:val="28"/>
          <w:rtl/>
        </w:rPr>
        <w:t xml:space="preserve">کالأسباب و الشروط و الموانع.</w:t>
      </w:r>
    </w:p>
    <w:p>
      <w:pPr>
        <w:pStyle w:val="Heading6"/>
      </w:pPr>
      <w:bookmarkStart w:id="1689" w:name="_Toc724"/>
      <w:r>
        <w:t>[القول بالتفصیل بین التکلیفی و غیره:]</w:t>
      </w:r>
      <w:bookmarkEnd w:id="1689"/>
    </w:p>
    <w:p>
      <w:pPr>
        <w:pStyle w:val="BookText"/>
      </w:pPr>
      <w:r>
        <w:rPr>
          <w:rFonts w:ascii="IRNazanin" w:hAnsi="IRNazanin" w:eastAsia="IRNazanin" w:cs="IRNazanin"/>
          <w:lang w:bidi="fa-IR"/>
          <w:color w:val="111111"/>
          <w:sz w:val="28"/>
          <w:szCs w:val="28"/>
          <w:rtl/>
        </w:rPr>
        <w:t xml:space="preserve">و قد وقع الخلاف من هذه الجهة،ففصّل صاحب الوافیة بین التکلیفیّ و غیره،بالإنکار فی الأوّل دون الثانی </w:t>
      </w:r>
      <w:r>
        <w:rPr>
          <w:rStyle w:val="FootnoteReference"/>
        </w:rPr>
        <w:footnoteReference w:id="15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إنّما لم ندرج هذا التقسیم فی التقسیم الثانی مع أنّه تقسیم لأحد قسمیه؛لأنّ ظاهر کلام المفصّل المذکور و إن کان هو التفصیل بین الحکم التکلیفیّ و الوضعیّ،إلاّ أنّ آخر کلامه ظاهر فی إجراء الاستصحاب فی نفس الأسباب و الشروط و الموانع،دون السببیّة و الشرطیّة و المانعیّة، و سیتّضح ذلک عند نقل عبارته عند التعرّض لأدلّة الأقوال </w:t>
      </w:r>
      <w:r>
        <w:rPr>
          <w:rStyle w:val="FootnoteReference"/>
        </w:rPr>
        <w:footnoteReference w:id="15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36]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bookmarkStart w:id="343" w:name="pg14411_142930"/>
    <w:bookmarkEnd w:id="343"/>
    <w:p>
      <w:pPr>
        <w:pStyle w:val="Heading6"/>
      </w:pPr>
      <w:bookmarkStart w:id="1690" w:name="_Toc725"/>
      <w:r>
        <w:t>[2-تقسیم الاستصحاب باعتبار دلیل المستصحب]</w:t>
      </w:r>
      <w:bookmarkEnd w:id="1690"/>
    </w:p>
    <w:p>
      <w:pPr>
        <w:pStyle w:val="Heading6"/>
      </w:pPr>
      <w:bookmarkStart w:id="1691" w:name="_Toc726"/>
      <w:r>
        <w:t>اشارة</w:t>
      </w:r>
      <w:bookmarkEnd w:id="1691"/>
    </w:p>
    <w:p>
      <w:pPr>
        <w:pStyle w:val="BookText"/>
      </w:pPr>
      <w:r>
        <w:rPr>
          <w:rFonts w:ascii="IRNazanin" w:hAnsi="IRNazanin" w:eastAsia="IRNazanin" w:cs="IRNazanin"/>
          <w:lang w:bidi="fa-IR"/>
          <w:color w:val="111111"/>
          <w:sz w:val="28"/>
          <w:szCs w:val="28"/>
          <w:rtl/>
        </w:rPr>
        <w:t xml:space="preserve">[2-تقسیم الاستصحاب باعتبار دلیل المستصحب] </w:t>
      </w:r>
      <w:r>
        <w:rPr>
          <w:rStyle w:val="FootnoteReference"/>
        </w:rPr>
        <w:footnoteReference w:id="1571"/>
      </w:r>
    </w:p>
    <w:p>
      <w:pPr>
        <w:pStyle w:val="BookText"/>
      </w:pPr>
      <w:r>
        <w:rPr>
          <w:rFonts w:ascii="IRNazanin" w:hAnsi="IRNazanin" w:eastAsia="IRNazanin" w:cs="IRNazanin"/>
          <w:lang w:bidi="fa-IR"/>
          <w:color w:val="111111"/>
          <w:sz w:val="28"/>
          <w:szCs w:val="28"/>
          <w:rtl/>
        </w:rPr>
        <w:t xml:space="preserve">و أمّا بالاعتبار الثانی،فمن وجوه أیضا:</w:t>
      </w:r>
    </w:p>
    <w:p>
      <w:pPr>
        <w:pStyle w:val="Heading6"/>
      </w:pPr>
      <w:bookmarkStart w:id="1692" w:name="_Toc727"/>
      <w:r>
        <w:t>أحدها: [دلیل المستصحب إمّا الإجماع و إمّا غیره:]</w:t>
      </w:r>
      <w:bookmarkEnd w:id="1692"/>
    </w:p>
    <w:p>
      <w:pPr>
        <w:pStyle w:val="BookText"/>
      </w:pPr>
      <w:r>
        <w:rPr>
          <w:rFonts w:ascii="IRNazanin" w:hAnsi="IRNazanin" w:eastAsia="IRNazanin" w:cs="IRNazanin"/>
          <w:lang w:bidi="fa-IR"/>
          <w:color w:val="111111"/>
          <w:sz w:val="28"/>
          <w:szCs w:val="28"/>
          <w:rtl/>
        </w:rPr>
        <w:t xml:space="preserve">من حیث إنّ الدلیل المثبت للمستصحب إمّا أن یکون هو الإجماع،و إمّا أن یکون غیره.و قد فصّل بین هذین القسمین الغزالی، فأنکر الاستصحاب فی الأوّل </w:t>
      </w:r>
      <w:r>
        <w:rPr>
          <w:rStyle w:val="FootnoteReference"/>
        </w:rPr>
        <w:footnoteReference w:id="1572"/>
      </w:r>
      <w:r>
        <w:rPr>
          <w:rFonts w:ascii="IRNazanin" w:hAnsi="IRNazanin" w:eastAsia="IRNazanin" w:cs="IRNazanin"/>
          <w:lang w:bidi="fa-IR"/>
          <w:color w:val="111111"/>
          <w:sz w:val="28"/>
          <w:szCs w:val="28"/>
          <w:rtl/>
        </w:rPr>
        <w:t xml:space="preserve">.و ربما یظهر من صاحب الحدائق-فیما حکی عنه فی الدرر النجفیّة-أنّ محلّ النزاع فی الاستصحاب منحصر فی استصحاب حال الإجماع </w:t>
      </w:r>
      <w:r>
        <w:rPr>
          <w:rStyle w:val="FootnoteReference"/>
        </w:rPr>
        <w:footnoteReference w:id="1573"/>
      </w:r>
      <w:r>
        <w:rPr>
          <w:rFonts w:ascii="IRNazanin" w:hAnsi="IRNazanin" w:eastAsia="IRNazanin" w:cs="IRNazanin"/>
          <w:lang w:bidi="fa-IR"/>
          <w:color w:val="111111"/>
          <w:sz w:val="28"/>
          <w:szCs w:val="28"/>
          <w:rtl/>
        </w:rPr>
        <w:t xml:space="preserve">.و سیأتی تفصیل ذلک عند نقل أدلّة الأقوال إن شاء اللّه.</w:t>
      </w:r>
    </w:p>
    <w:p>
      <w:pPr>
        <w:pStyle w:val="Heading6"/>
      </w:pPr>
      <w:bookmarkStart w:id="1693" w:name="_Toc728"/>
      <w:r>
        <w:t>[الوجه ] الثانی: [المستصحب إمّا یثبت بالدلیل العقلی و إمّا بالدلیل الشرعی]</w:t>
      </w:r>
      <w:bookmarkEnd w:id="1693"/>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من حیث إنّه قد یثبت بالدلیل الشرعیّ،و قد یثبت بالدلیل العقلیّ.و لم أجد من فصّل بینهما،إلاّ أنّ فی تحقّق الاستصحاب مع ثبوت الحکم بالدلیل العقلیّ-و هو الحکم العقلیّ المتوصّل به إلی حکم شرعی-تأمّلا؛نظرا إلی أنّ الأحکام العقلیّة کلّها مبیّنة مفصّلة من حیث مناط الحکم </w:t>
      </w:r>
      <w:r>
        <w:rPr>
          <w:rStyle w:val="FootnoteReference"/>
        </w:rPr>
        <w:footnoteReference w:id="1574"/>
      </w:r>
      <w:r>
        <w:rPr>
          <w:rFonts w:ascii="IRNazanin" w:hAnsi="IRNazanin" w:eastAsia="IRNazanin" w:cs="IRNazanin"/>
          <w:lang w:bidi="fa-IR"/>
          <w:color w:val="111111"/>
          <w:sz w:val="28"/>
          <w:szCs w:val="28"/>
          <w:rtl/>
        </w:rPr>
        <w:t xml:space="preserve">،و الشکّ فی بقاء المستصحب و عدمه لا بدّ و أن</w:t>
      </w:r>
    </w:p>
    <w:p>
      <w:pPr>
        <w:pStyle w:val="BookText"/>
      </w:pPr>
      <w:r>
        <w:rPr>
          <w:rFonts w:ascii="IRNazanin" w:hAnsi="IRNazanin" w:eastAsia="IRNazanin" w:cs="IRNazanin"/>
          <w:lang w:bidi="fa-IR"/>
          <w:color w:val="111111"/>
          <w:sz w:val="28"/>
          <w:szCs w:val="28"/>
          <w:rtl/>
        </w:rPr>
        <w:t xml:space="preserve">[شماره صفحه واقعی : 37]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bookmarkStart w:id="344" w:name="pg14411_142931"/>
    <w:bookmarkEnd w:id="344"/>
    <w:p>
      <w:pPr>
        <w:pStyle w:val="BookText"/>
      </w:pPr>
      <w:r>
        <w:rPr>
          <w:rFonts w:ascii="IRNazanin" w:hAnsi="IRNazanin" w:eastAsia="IRNazanin" w:cs="IRNazanin"/>
          <w:lang w:bidi="fa-IR"/>
          <w:color w:val="111111"/>
          <w:sz w:val="28"/>
          <w:szCs w:val="28"/>
          <w:rtl/>
        </w:rPr>
        <w:t xml:space="preserve">یرجع إلی الشکّ فی موضوع الحکم؛لأنّ الجهات المقتضیة للحکم العقلیّ بالحسن و القبح کلّها راجعة إلی قیود فعل المکلّف،الذی هو الموضوع.</w:t>
      </w:r>
    </w:p>
    <w:p>
      <w:pPr>
        <w:pStyle w:val="Heading6"/>
      </w:pPr>
      <w:bookmarkStart w:id="1694" w:name="_Toc729"/>
      <w:r>
        <w:t>[الإشکال فی الاستصحاب مع ثبوت الحکم بالدلیل العقلی]</w:t>
      </w:r>
      <w:bookmarkEnd w:id="1694"/>
    </w:p>
    <w:p>
      <w:pPr>
        <w:pStyle w:val="BookText"/>
      </w:pPr>
      <w:r>
        <w:rPr>
          <w:rFonts w:ascii="IRNazanin" w:hAnsi="IRNazanin" w:eastAsia="IRNazanin" w:cs="IRNazanin"/>
          <w:lang w:bidi="fa-IR"/>
          <w:color w:val="111111"/>
          <w:sz w:val="28"/>
          <w:szCs w:val="28"/>
          <w:rtl/>
        </w:rPr>
        <w:t xml:space="preserve">فالشکّ فی حکم العقل حتّی لأجل وجود الرافع لا یکون إلاّ للشکّ فی موضوعه،و الموضوع لا بدّ أن یکون محرزا معلوم البقاء فی الاستصحاب، کما سیجیء </w:t>
      </w:r>
      <w:r>
        <w:rPr>
          <w:rStyle w:val="FootnoteReference"/>
        </w:rPr>
        <w:footnoteReference w:id="15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 لا فرق فیما ذکرنا،بین أن یکون الشکّ من جهة الشکّ فی وجود الرافع،و بین أن یکون لأجل الشکّ فی استعداد الحکم؛لأنّ ارتفاع الحکم العقلیّ لا یکون إلاّ بارتفاع موضوعه،فیرجع الأمر بالأخرة إلی تبدّل العنوان؛أ لا تری أنّ العقل إذا حکم بقبح الصدق الضارّ،فحکمه یرجع إلی أنّ الضارّ من حیث إنّه ضارّ حرام،و معلوم أنّ هذه القضیّة غیر قابلة للاستصحاب عند الشکّ فی الضرر مع العلم بتحقّقه سابقا؛لأنّ قولنا:«المضرّ قبیح»حکم دائمیّ لا یحتمل ارتفاعه أبدا،و لا ینفع فی إثبات القبح عند الشکّ فی بقاء الضرر.</w:t>
      </w:r>
    </w:p>
    <w:p>
      <w:pPr>
        <w:pStyle w:val="BookText"/>
      </w:pPr>
      <w:r>
        <w:rPr>
          <w:rFonts w:ascii="IRNazanin" w:hAnsi="IRNazanin" w:eastAsia="IRNazanin" w:cs="IRNazanin"/>
          <w:lang w:bidi="fa-IR"/>
          <w:color w:val="111111"/>
          <w:sz w:val="28"/>
          <w:szCs w:val="28"/>
          <w:rtl/>
        </w:rPr>
        <w:t xml:space="preserve">و لا یجوز أن یقال:إنّ هذا الصدق کان قبیحا سابقا فیستصحب قبحه؛لأنّ الموضوع فی حکم العقل بالقبح لیس هذا الصدق،بل عنوان المضرّ،و الحکم له مقطوع البقاء،و هذا بخلاف الأحکام الشرعیّة؛فإنّه قد یحکم الشارع علی الصدق بکونه حراما،و لا یعلم أنّ المناط الحقیقیّ </w:t>
      </w:r>
      <w:r>
        <w:rPr>
          <w:rStyle w:val="FootnoteReference"/>
        </w:rPr>
        <w:footnoteReference w:id="1576"/>
      </w:r>
      <w:r>
        <w:rPr>
          <w:rFonts w:ascii="IRNazanin" w:hAnsi="IRNazanin" w:eastAsia="IRNazanin" w:cs="IRNazanin"/>
          <w:lang w:bidi="fa-IR"/>
          <w:color w:val="111111"/>
          <w:sz w:val="28"/>
          <w:szCs w:val="28"/>
          <w:rtl/>
        </w:rPr>
        <w:t xml:space="preserve">فیه باق فی زمان الشکّ أو مرتفع-إمّا من جهة جهل المناط أو من جهة الجهل ببقائه مع معرفته </w:t>
      </w:r>
      <w:r>
        <w:rPr>
          <w:rStyle w:val="FootnoteReference"/>
        </w:rPr>
        <w:footnoteReference w:id="1577"/>
      </w:r>
      <w:r>
        <w:rPr>
          <w:rFonts w:ascii="IRNazanin" w:hAnsi="IRNazanin" w:eastAsia="IRNazanin" w:cs="IRNazanin"/>
          <w:lang w:bidi="fa-IR"/>
          <w:color w:val="111111"/>
          <w:sz w:val="28"/>
          <w:szCs w:val="28"/>
          <w:rtl/>
        </w:rPr>
        <w:t xml:space="preserve">-فیستصحب الحکم الشرعیّ.</w:t>
      </w:r>
    </w:p>
    <w:p>
      <w:pPr>
        <w:pStyle w:val="BookText"/>
      </w:pPr>
      <w:r>
        <w:rPr>
          <w:rFonts w:ascii="IRNazanin" w:hAnsi="IRNazanin" w:eastAsia="IRNazanin" w:cs="IRNazanin"/>
          <w:lang w:bidi="fa-IR"/>
          <w:color w:val="111111"/>
          <w:sz w:val="28"/>
          <w:szCs w:val="28"/>
          <w:rtl/>
        </w:rPr>
        <w:t xml:space="preserve">[شماره صفحه واقعی : 38]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bookmarkStart w:id="345" w:name="pg14411_142932"/>
    <w:bookmarkEnd w:id="345"/>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فإن قلت:علی القول بکون الأحکام الشرعیّة تابعة للأحکام العقلیّة،فما هو مناط الحکم و موضوعه فی الحکم العقلیّ بقبح هذا الصدق فهو المناط و الموضوع فی حکم الشرع بحرمته؛إذ المفروض بقاعدة التطابق،أنّ موضوع الحرمة و مناطها هو بعینه موضوع القبح و مناطه.</w:t>
      </w:r>
    </w:p>
    <w:p>
      <w:pPr>
        <w:pStyle w:val="BookText"/>
      </w:pPr>
      <w:r>
        <w:rPr>
          <w:rFonts w:ascii="IRNazanin" w:hAnsi="IRNazanin" w:eastAsia="IRNazanin" w:cs="IRNazanin"/>
          <w:lang w:bidi="fa-IR"/>
          <w:color w:val="111111"/>
          <w:sz w:val="28"/>
          <w:szCs w:val="28"/>
          <w:rtl/>
        </w:rPr>
        <w:t xml:space="preserve">قلت:هذا مسلّم،لکنّه مانع عن الفرق بین الحکم الشرعیّ و العقلیّ من حیث الظنّ بالبقاء فی الآن اللاحق،لا من حیث جریان أخبار الاستصحاب و عدمه؛فإنّه تابع لتحقّق موضوع المستصحب و معروضه بحکم العرف،فإذا حکم الشارع بحرمة شیء فی زمان،و شکّ فی الزمان الثانی،و لم یعلم أنّ المناط الحقیقی واقعا-الذی هو المناط و الموضوع </w:t>
      </w:r>
      <w:r>
        <w:rPr>
          <w:rStyle w:val="FootnoteReference"/>
        </w:rPr>
        <w:footnoteReference w:id="1578"/>
      </w:r>
      <w:r>
        <w:rPr>
          <w:rFonts w:ascii="IRNazanin" w:hAnsi="IRNazanin" w:eastAsia="IRNazanin" w:cs="IRNazanin"/>
          <w:lang w:bidi="fa-IR"/>
          <w:color w:val="111111"/>
          <w:sz w:val="28"/>
          <w:szCs w:val="28"/>
          <w:rtl/>
        </w:rPr>
        <w:t xml:space="preserve">فی حکم العقل-باق هنا أم لا،فیصدق هنا أنّ الحکم الشرعیّ الثابت لما هو الموضوع له فی الأدلّة الشرعیّة کان موجودا سابقا و شکّ فی بقائه،و یجری فیه أخبار الاستصحاب.نعم،لو علم مناط هذا الحکم و موضوعه </w:t>
      </w:r>
      <w:r>
        <w:rPr>
          <w:rStyle w:val="FootnoteReference"/>
        </w:rPr>
        <w:footnoteReference w:id="1579"/>
      </w:r>
      <w:r>
        <w:rPr>
          <w:rFonts w:ascii="IRNazanin" w:hAnsi="IRNazanin" w:eastAsia="IRNazanin" w:cs="IRNazanin"/>
          <w:lang w:bidi="fa-IR"/>
          <w:color w:val="111111"/>
          <w:sz w:val="28"/>
          <w:szCs w:val="28"/>
          <w:rtl/>
        </w:rPr>
        <w:t xml:space="preserve">المعلّق علیه فی حکم العقل لم یجر الاستصحاب؛لما ذکرنا من عدم إحراز الموضوع.</w:t>
      </w:r>
    </w:p>
    <w:p>
      <w:pPr>
        <w:pStyle w:val="Heading6"/>
      </w:pPr>
      <w:bookmarkStart w:id="1695" w:name="_Toc730"/>
      <w:r>
        <w:t>[عدم جریان الاستصحاب فی الأحکام العقلیّة و لا فی الأحکام الشرعیّة المستندة إلیها]</w:t>
      </w:r>
      <w:bookmarkEnd w:id="1695"/>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 ممّا ذکرنا یظهر:أنّ الاستصحاب لا یجری فی الأحکام العقلیّة، و لا فی الأحکام الشرعیّة المستندة إلیها،سواء کانت وجودیّة أم عدمیّة، إذا کان العدم مستندا إلی القضیّة العقلیّة،کعدم وجوب الصلاة مع السورة علی ناسیها،فإنّه لا یجوز استصحابه بعد الالتفات،کما صدر</w:t>
      </w:r>
    </w:p>
    <w:p>
      <w:pPr>
        <w:pStyle w:val="BookText"/>
      </w:pPr>
      <w:r>
        <w:rPr>
          <w:rFonts w:ascii="IRNazanin" w:hAnsi="IRNazanin" w:eastAsia="IRNazanin" w:cs="IRNazanin"/>
          <w:lang w:bidi="fa-IR"/>
          <w:color w:val="111111"/>
          <w:sz w:val="28"/>
          <w:szCs w:val="28"/>
          <w:rtl/>
        </w:rPr>
        <w:t xml:space="preserve">[شماره صفحه واقعی : 39]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bookmarkStart w:id="346" w:name="pg14411_142933"/>
    <w:bookmarkEnd w:id="346"/>
    <w:p>
      <w:pPr>
        <w:pStyle w:val="BookText"/>
      </w:pPr>
      <w:r>
        <w:rPr>
          <w:rFonts w:ascii="IRNazanin" w:hAnsi="IRNazanin" w:eastAsia="IRNazanin" w:cs="IRNazanin"/>
          <w:lang w:bidi="fa-IR"/>
          <w:color w:val="111111"/>
          <w:sz w:val="28"/>
          <w:szCs w:val="28"/>
          <w:rtl/>
        </w:rPr>
        <w:t xml:space="preserve">من بعض </w:t>
      </w:r>
      <w:r>
        <w:rPr>
          <w:rStyle w:val="FootnoteReference"/>
        </w:rPr>
        <w:footnoteReference w:id="1580"/>
      </w:r>
      <w:r>
        <w:rPr>
          <w:rFonts w:ascii="IRNazanin" w:hAnsi="IRNazanin" w:eastAsia="IRNazanin" w:cs="IRNazanin"/>
          <w:lang w:bidi="fa-IR"/>
          <w:color w:val="111111"/>
          <w:sz w:val="28"/>
          <w:szCs w:val="28"/>
          <w:rtl/>
        </w:rPr>
        <w:t xml:space="preserve">من مال إلی الحکم بالإجزاء فی هذه الصورة و أمثالها من موارد الأعذار العقلیّة الرافعة للتکلیف مع قیام مقتضیه.</w:t>
      </w:r>
    </w:p>
    <w:p>
      <w:pPr>
        <w:pStyle w:val="BookText"/>
      </w:pPr>
      <w:r>
        <w:rPr>
          <w:rFonts w:ascii="IRNazanin" w:hAnsi="IRNazanin" w:eastAsia="IRNazanin" w:cs="IRNazanin"/>
          <w:lang w:bidi="fa-IR"/>
          <w:color w:val="111111"/>
          <w:sz w:val="28"/>
          <w:szCs w:val="28"/>
          <w:rtl/>
        </w:rPr>
        <w:t xml:space="preserve">و أمّا إذا لم یکن العدم مستندا إلی القضیّة العقلیّة،بل کان لعدم المقتضی و إن کان القضیّة العقلیّة موجودة أیضا،فلا بأس باستصحاب العدم المطلق بعد ارتفاع القضیّة العقلیّة.</w:t>
      </w:r>
    </w:p>
    <w:p>
      <w:pPr>
        <w:pStyle w:val="Heading6"/>
      </w:pPr>
      <w:bookmarkStart w:id="1696" w:name="_Toc731"/>
      <w:r>
        <w:t>[استصحاب حال العقل لا یستند إلی القضیّة العقلیّة:]</w:t>
      </w:r>
      <w:bookmarkEnd w:id="1696"/>
    </w:p>
    <w:p>
      <w:pPr>
        <w:pStyle w:val="BookText"/>
      </w:pPr>
      <w:r>
        <w:rPr>
          <w:rFonts w:ascii="IRNazanin" w:hAnsi="IRNazanin" w:eastAsia="IRNazanin" w:cs="IRNazanin"/>
          <w:lang w:bidi="fa-IR"/>
          <w:color w:val="111111"/>
          <w:sz w:val="28"/>
          <w:szCs w:val="28"/>
          <w:rtl/>
        </w:rPr>
        <w:t xml:space="preserve">و من هذا الباب استصحاب حال العقل،المراد به فی اصطلاحهم استصحاب البراءة و النفی،فالمراد استصحاب الحال التی یحکم العقل علی طبقها-و هو عدم التکلیف-لا الحال المستندة إلی العقل،حتّی یقال:إنّ مقتضی ما تقدّم هو عدم جواز استصحاب عدم التکلیف عند ارتفاع القضیّة العقلیّة،و هی قبح تکلیف غیر الممیّز أو المعدوم.</w:t>
      </w:r>
    </w:p>
    <w:p>
      <w:pPr>
        <w:pStyle w:val="BookText"/>
      </w:pPr>
      <w:r>
        <w:rPr>
          <w:rFonts w:ascii="IRNazanin" w:hAnsi="IRNazanin" w:eastAsia="IRNazanin" w:cs="IRNazanin"/>
          <w:lang w:bidi="fa-IR"/>
          <w:color w:val="111111"/>
          <w:sz w:val="28"/>
          <w:szCs w:val="28"/>
          <w:rtl/>
        </w:rPr>
        <w:t xml:space="preserve">و ممّا ذکرنا ظهر أنّه لا وجه للاعتراض </w:t>
      </w:r>
      <w:r>
        <w:rPr>
          <w:rStyle w:val="FootnoteReference"/>
        </w:rPr>
        <w:footnoteReference w:id="1581"/>
      </w:r>
      <w:r>
        <w:rPr>
          <w:rFonts w:ascii="IRNazanin" w:hAnsi="IRNazanin" w:eastAsia="IRNazanin" w:cs="IRNazanin"/>
          <w:lang w:bidi="fa-IR"/>
          <w:color w:val="111111"/>
          <w:sz w:val="28"/>
          <w:szCs w:val="28"/>
          <w:rtl/>
        </w:rPr>
        <w:t xml:space="preserve">علی القوم-فی تخصیص استصحاب حال العقل باستصحاب النفی و البراءة-بأنّ الثابت بالعقل قد یکون </w:t>
      </w:r>
      <w:r>
        <w:rPr>
          <w:rStyle w:val="FootnoteReference"/>
        </w:rPr>
        <w:footnoteReference w:id="1582"/>
      </w:r>
      <w:r>
        <w:rPr>
          <w:rFonts w:ascii="IRNazanin" w:hAnsi="IRNazanin" w:eastAsia="IRNazanin" w:cs="IRNazanin"/>
          <w:lang w:bidi="fa-IR"/>
          <w:color w:val="111111"/>
          <w:sz w:val="28"/>
          <w:szCs w:val="28"/>
          <w:rtl/>
        </w:rPr>
        <w:t xml:space="preserve">عدمیّا و قد یکون وجودیّا،فلا وجه للتخصیص؛ و ذلک لما عرفت:من أنّ الحال المستند إلی العقل المنوط بالقضیّة العقلیّة لا یجری فیه </w:t>
      </w:r>
      <w:r>
        <w:rPr>
          <w:rStyle w:val="FootnoteReference"/>
        </w:rPr>
        <w:footnoteReference w:id="1583"/>
      </w:r>
      <w:r>
        <w:rPr>
          <w:rFonts w:ascii="IRNazanin" w:hAnsi="IRNazanin" w:eastAsia="IRNazanin" w:cs="IRNazanin"/>
          <w:lang w:bidi="fa-IR"/>
          <w:color w:val="111111"/>
          <w:sz w:val="28"/>
          <w:szCs w:val="28"/>
          <w:rtl/>
        </w:rPr>
        <w:t xml:space="preserve">الاستصحاب وجودیّا کان أو عدمیّا،و ما ذکره من الأمثلة یظهر الحال فیها ممّا تقدّم.</w:t>
      </w:r>
    </w:p>
    <w:p>
      <w:pPr>
        <w:pStyle w:val="BookText"/>
      </w:pPr>
      <w:r>
        <w:rPr>
          <w:rFonts w:ascii="IRNazanin" w:hAnsi="IRNazanin" w:eastAsia="IRNazanin" w:cs="IRNazanin"/>
          <w:lang w:bidi="fa-IR"/>
          <w:color w:val="111111"/>
          <w:sz w:val="28"/>
          <w:szCs w:val="28"/>
          <w:rtl/>
        </w:rPr>
        <w:t xml:space="preserve">[شماره صفحه واقعی : 40]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bookmarkStart w:id="347" w:name="pg14411_142934"/>
    <w:bookmarkEnd w:id="347"/>
    <w:p>
      <w:pPr>
        <w:pStyle w:val="Heading6"/>
      </w:pPr>
      <w:bookmarkStart w:id="1697" w:name="_Toc732"/>
      <w:r>
        <w:t>[الوجه ] الثالث: [دلیل المستصحب قد یدلّ علی الاستمرار و قد لا یدلّ]</w:t>
      </w:r>
      <w:bookmarkEnd w:id="1697"/>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أنّ دلیل المستصحب:إمّا أن یدلّ علی استمرار الحکم إلی حصول رافع أو غایة،و إمّا أن لا یدلّ.و قد فصّل بین هذین القسمین المحقّق فی المعارج،و المحقّق الخوانساری فی شرح الدروس،فأنکرا الحجّیة فی الثانی و اعترفا بها فی الأوّل،مطلقا کما یظهر من المعارج </w:t>
      </w:r>
      <w:r>
        <w:rPr>
          <w:rStyle w:val="FootnoteReference"/>
        </w:rPr>
        <w:footnoteReference w:id="1584"/>
      </w:r>
      <w:r>
        <w:rPr>
          <w:rFonts w:ascii="IRNazanin" w:hAnsi="IRNazanin" w:eastAsia="IRNazanin" w:cs="IRNazanin"/>
          <w:lang w:bidi="fa-IR"/>
          <w:color w:val="111111"/>
          <w:sz w:val="28"/>
          <w:szCs w:val="28"/>
          <w:rtl/>
        </w:rPr>
        <w:t xml:space="preserve">، أو بشرط کون الشکّ فی وجود الغایة کما یأتی من شارح الدروس </w:t>
      </w:r>
      <w:r>
        <w:rPr>
          <w:rStyle w:val="FootnoteReference"/>
        </w:rPr>
        <w:footnoteReference w:id="15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تخیّل بعضهم </w:t>
      </w:r>
      <w:r>
        <w:rPr>
          <w:rStyle w:val="FootnoteReference"/>
        </w:rPr>
        <w:footnoteReference w:id="1586"/>
      </w:r>
      <w:r>
        <w:rPr>
          <w:rFonts w:ascii="IRNazanin" w:hAnsi="IRNazanin" w:eastAsia="IRNazanin" w:cs="IRNazanin"/>
          <w:lang w:bidi="fa-IR"/>
          <w:color w:val="111111"/>
          <w:sz w:val="28"/>
          <w:szCs w:val="28"/>
          <w:rtl/>
        </w:rPr>
        <w:t xml:space="preserve">-تبعا لصاحب المعالم </w:t>
      </w:r>
      <w:r>
        <w:rPr>
          <w:rStyle w:val="FootnoteReference"/>
        </w:rPr>
        <w:footnoteReference w:id="1587"/>
      </w:r>
      <w:r>
        <w:rPr>
          <w:rFonts w:ascii="IRNazanin" w:hAnsi="IRNazanin" w:eastAsia="IRNazanin" w:cs="IRNazanin"/>
          <w:lang w:bidi="fa-IR"/>
          <w:color w:val="111111"/>
          <w:sz w:val="28"/>
          <w:szCs w:val="28"/>
          <w:rtl/>
        </w:rPr>
        <w:t xml:space="preserve">-:أنّ قول المحقّق قدّس سرّه موافق للمنکرین؛لأنّ محلّ النزاع ما لم یکن الدلیل مقتضیا للحکم فی الآن اللاحق لو لا الشکّ فی الرافع.و هو غیر بعید بالنظر إلی کلام السیّد </w:t>
      </w:r>
      <w:r>
        <w:rPr>
          <w:rStyle w:val="FootnoteReference"/>
        </w:rPr>
        <w:footnoteReference w:id="1588"/>
      </w:r>
      <w:r>
        <w:rPr>
          <w:rFonts w:ascii="IRNazanin" w:hAnsi="IRNazanin" w:eastAsia="IRNazanin" w:cs="IRNazanin"/>
          <w:lang w:bidi="fa-IR"/>
          <w:color w:val="111111"/>
          <w:sz w:val="28"/>
          <w:szCs w:val="28"/>
          <w:rtl/>
        </w:rPr>
        <w:t xml:space="preserve">و الشیخ </w:t>
      </w:r>
      <w:r>
        <w:rPr>
          <w:rStyle w:val="FootnoteReference"/>
        </w:rPr>
        <w:footnoteReference w:id="1589"/>
      </w:r>
      <w:r>
        <w:rPr>
          <w:rFonts w:ascii="Amiri" w:hAnsi="Amiri" w:eastAsia="Amiri" w:cs="Amiri"/>
          <w:lang w:bidi="ar-SA"/>
          <w:color w:val="111111"/>
          <w:sz w:val="28"/>
          <w:szCs w:val="28"/>
          <w:rtl/>
        </w:rPr>
        <w:t xml:space="preserve">و ابن زهرة </w:t>
      </w:r>
      <w:r>
        <w:rPr>
          <w:rStyle w:val="FootnoteReference"/>
        </w:rPr>
        <w:footnoteReference w:id="1590"/>
      </w:r>
      <w:r>
        <w:rPr>
          <w:rFonts w:ascii="IRNazanin" w:hAnsi="IRNazanin" w:eastAsia="IRNazanin" w:cs="IRNazanin"/>
          <w:lang w:bidi="fa-IR"/>
          <w:color w:val="111111"/>
          <w:sz w:val="28"/>
          <w:szCs w:val="28"/>
          <w:rtl/>
        </w:rPr>
        <w:t xml:space="preserve">و غیرهم؛حیث إنّ المفروض فی کلامهم هو کون دلیل الحکم فی الزمان الأوّل قضیّة مهملة ساکتة عن حکم الزمان الثانی و لو مع فرض عدم الرافع.</w:t>
      </w:r>
    </w:p>
    <w:p>
      <w:pPr>
        <w:pStyle w:val="BookText"/>
      </w:pPr>
      <w:r>
        <w:rPr>
          <w:rFonts w:ascii="IRNazanin" w:hAnsi="IRNazanin" w:eastAsia="IRNazanin" w:cs="IRNazanin"/>
          <w:lang w:bidi="fa-IR"/>
          <w:color w:val="111111"/>
          <w:sz w:val="28"/>
          <w:szCs w:val="28"/>
          <w:rtl/>
        </w:rPr>
        <w:t xml:space="preserve">[شماره صفحه واقعی : 41]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إلاّ أنّ الذی یقتضیه التدبّر فی بعض کلماتهم-مثل:إنکار السیّد </w:t>
      </w:r>
      <w:r>
        <w:rPr>
          <w:rStyle w:val="FootnoteReference"/>
        </w:rPr>
        <w:footnoteReference w:id="1591"/>
      </w:r>
      <w:r>
        <w:rPr>
          <w:rFonts w:ascii="IRNazanin" w:hAnsi="IRNazanin" w:eastAsia="IRNazanin" w:cs="IRNazanin"/>
          <w:lang w:bidi="fa-IR"/>
          <w:color w:val="111111"/>
          <w:sz w:val="28"/>
          <w:szCs w:val="28"/>
          <w:rtl/>
        </w:rPr>
        <w:t xml:space="preserve">لاستصحاب البلد المبنیّ علی ساحل البحر مع کون الشکّ فیه نظیر الشکّ فی وجود الرافع للحکم الشرعیّ،و غیر ذلک ممّا یظهر للمتأمّل، و یقتضیه الجمع بین کلماتهم و بین ما یظهر من بعض استدلال المثبتین و النافین-:هو عموم النزاع لما ذکره المحقّق،فما ذکره فی المعارج </w:t>
      </w:r>
      <w:r>
        <w:rPr>
          <w:rStyle w:val="FootnoteReference"/>
        </w:rPr>
        <w:footnoteReference w:id="1592"/>
      </w:r>
      <w:r>
        <w:rPr>
          <w:rFonts w:ascii="IRNazanin" w:hAnsi="IRNazanin" w:eastAsia="IRNazanin" w:cs="IRNazanin"/>
          <w:lang w:bidi="fa-IR"/>
          <w:color w:val="111111"/>
          <w:sz w:val="28"/>
          <w:szCs w:val="28"/>
          <w:rtl/>
        </w:rPr>
        <w:t xml:space="preserve">أخیرا لیس رجوعا عمّا ذکره أوّلا،بل لعلّه بیان لمورد تلک الأدلّة التی ذکرها لاعتبار الاستصحاب،و أنّها لا تقتضی اعتبارا أزید من مورد یکون الدلیل فیه مقتضیا للحکم مطلقا و یشکّ فی رافعه.</w:t>
      </w:r>
    </w:p>
    <w:p>
      <w:pPr>
        <w:pStyle w:val="BookText"/>
      </w:pPr>
      <w:r>
        <w:rPr>
          <w:rFonts w:ascii="IRNazanin" w:hAnsi="IRNazanin" w:eastAsia="IRNazanin" w:cs="IRNazanin"/>
          <w:lang w:bidi="fa-IR"/>
          <w:color w:val="111111"/>
          <w:sz w:val="28"/>
          <w:szCs w:val="28"/>
          <w:rtl/>
        </w:rPr>
        <w:t xml:space="preserve">[شماره صفحه واقعی : 42]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bookmarkStart w:id="348" w:name="pg14411_142936"/>
    <w:bookmarkEnd w:id="348"/>
    <w:p>
      <w:pPr>
        <w:pStyle w:val="Heading6"/>
      </w:pPr>
      <w:bookmarkStart w:id="1698" w:name="_Toc733"/>
      <w:r>
        <w:t>[3-تقسیم الاستصحاب باعتبار الشکّ المأخوذ فیه]</w:t>
      </w:r>
      <w:bookmarkEnd w:id="1698"/>
    </w:p>
    <w:p>
      <w:pPr>
        <w:pStyle w:val="Heading6"/>
      </w:pPr>
      <w:bookmarkStart w:id="1699" w:name="_Toc734"/>
      <w:r>
        <w:t>اشارة</w:t>
      </w:r>
      <w:bookmarkEnd w:id="1699"/>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Style w:val="FootnoteReference"/>
        </w:rPr>
        <w:footnoteReference w:id="1593"/>
      </w:r>
      <w:r>
        <w:rPr>
          <w:rFonts w:ascii="IRNazanin" w:hAnsi="IRNazanin" w:eastAsia="IRNazanin" w:cs="IRNazanin"/>
          <w:lang w:bidi="fa-IR"/>
          <w:color w:val="111111"/>
          <w:sz w:val="28"/>
          <w:szCs w:val="28"/>
          <w:rtl/>
        </w:rPr>
        <w:t xml:space="preserve">
و أمّا باعتبار الشکّ فی البقاء،فمن وجوه أیضا:</w:t>
      </w:r>
    </w:p>
    <w:p>
      <w:pPr>
        <w:pStyle w:val="Heading6"/>
      </w:pPr>
      <w:bookmarkStart w:id="1700" w:name="_Toc735"/>
      <w:r>
        <w:t>أحدها: [منشأ الشکّ إمّا اشتباه الأمر الخارجی و إمّا اشتباه الحکم الشرعی]</w:t>
      </w:r>
      <w:bookmarkEnd w:id="1700"/>
    </w:p>
    <w:p>
      <w:pPr>
        <w:pStyle w:val="BookText"/>
      </w:pPr>
      <w:r>
        <w:rPr>
          <w:rFonts w:ascii="IRNazanin" w:hAnsi="IRNazanin" w:eastAsia="IRNazanin" w:cs="IRNazanin"/>
          <w:lang w:bidi="fa-IR"/>
          <w:color w:val="111111"/>
          <w:sz w:val="28"/>
          <w:szCs w:val="28"/>
          <w:rtl/>
        </w:rPr>
        <w:t xml:space="preserve">من جهة أنّ الشکّ قد ینشأ من اشتباه الأمر الخارجیّ-مثل:</w:t>
      </w:r>
    </w:p>
    <w:p>
      <w:pPr>
        <w:pStyle w:val="BookText"/>
      </w:pPr>
      <w:r>
        <w:rPr>
          <w:rFonts w:ascii="IRNazanin" w:hAnsi="IRNazanin" w:eastAsia="IRNazanin" w:cs="IRNazanin"/>
          <w:lang w:bidi="fa-IR"/>
          <w:color w:val="111111"/>
          <w:sz w:val="28"/>
          <w:szCs w:val="28"/>
          <w:rtl/>
        </w:rPr>
        <w:t xml:space="preserve">الشکّ فی حدوث البول،أو کون الحادث بولا أو وذیا-و یسمّی بالشبهة فی الموضوع،سواء کان المستصحب حکما شرعیّا جزئیّا کالطهارة فی المثالین،أم موضوعا کالرطوبة و الکرّیّة و نقل اللفظ عن معناه الأصلی،و شبه ذلک.</w:t>
      </w:r>
    </w:p>
    <w:p>
      <w:pPr>
        <w:pStyle w:val="BookText"/>
      </w:pPr>
      <w:r>
        <w:rPr>
          <w:rFonts w:ascii="IRNazanin" w:hAnsi="IRNazanin" w:eastAsia="IRNazanin" w:cs="IRNazanin"/>
          <w:lang w:bidi="fa-IR"/>
          <w:color w:val="111111"/>
          <w:sz w:val="28"/>
          <w:szCs w:val="28"/>
          <w:rtl/>
        </w:rPr>
        <w:t xml:space="preserve">و قد ینشأ من اشتباه الحکم الشرعیّ الصادر من الشارع،کالشکّ فی بقاء نجاسة المتغیّر بعد زوال تغیّره،و طهارة المکلّف بعد حدوث المذی منه،و نحو ذلک.</w:t>
      </w:r>
    </w:p>
    <w:p>
      <w:pPr>
        <w:pStyle w:val="Heading6"/>
      </w:pPr>
      <w:bookmarkStart w:id="1701" w:name="_Toc736"/>
      <w:r>
        <w:t>[دخول القسمین فی محلّ النزاع:]</w:t>
      </w:r>
      <w:bookmarkEnd w:id="1701"/>
    </w:p>
    <w:p>
      <w:pPr>
        <w:pStyle w:val="BookText"/>
      </w:pPr>
      <w:r>
        <w:rPr>
          <w:rFonts w:ascii="IRNazanin" w:hAnsi="IRNazanin" w:eastAsia="IRNazanin" w:cs="IRNazanin"/>
          <w:lang w:bidi="fa-IR"/>
          <w:color w:val="111111"/>
          <w:sz w:val="28"/>
          <w:szCs w:val="28"/>
          <w:rtl/>
        </w:rPr>
        <w:t xml:space="preserve">و الظاهر دخول القسمین فی محلّ النزاع،کما یظهر من کلام المنکرین؛حیث ینکرون استصحاب حیاة زید بعد غیبته عن النظر، و البلد المبنیّ علی ساحل البحر،و من کلام المثبتین حیث یستدلّون یتوقّف نظام معاش الناس و معادهم علی الاستصحاب.</w:t>
      </w:r>
    </w:p>
    <w:p>
      <w:pPr>
        <w:pStyle w:val="Heading6"/>
      </w:pPr>
      <w:bookmarkStart w:id="1702" w:name="_Toc737"/>
      <w:r>
        <w:t>[المحکی عن الأخباریین اختصاص النزاع بالشبهة الحکمیّة:]</w:t>
      </w:r>
      <w:bookmarkEnd w:id="1702"/>
    </w:p>
    <w:p>
      <w:pPr>
        <w:pStyle w:val="BookText"/>
      </w:pPr>
      <w:r>
        <w:rPr>
          <w:rFonts w:ascii="IRNazanin" w:hAnsi="IRNazanin" w:eastAsia="IRNazanin" w:cs="IRNazanin"/>
          <w:lang w:bidi="fa-IR"/>
          <w:color w:val="111111"/>
          <w:sz w:val="28"/>
          <w:szCs w:val="28"/>
          <w:rtl/>
        </w:rPr>
        <w:t xml:space="preserve">و یحکی عن الأخباریّین اختصاص الخلاف بالثانی،و هو الذی صرّح به المحدّث البحرانی </w:t>
      </w:r>
      <w:r>
        <w:rPr>
          <w:rStyle w:val="FootnoteReference"/>
        </w:rPr>
        <w:footnoteReference w:id="1594"/>
      </w:r>
      <w:r>
        <w:rPr>
          <w:rFonts w:ascii="IRNazanin" w:hAnsi="IRNazanin" w:eastAsia="IRNazanin" w:cs="IRNazanin"/>
          <w:lang w:bidi="fa-IR"/>
          <w:color w:val="111111"/>
          <w:sz w:val="28"/>
          <w:szCs w:val="28"/>
          <w:rtl/>
        </w:rPr>
        <w:t xml:space="preserve">،و یظهر من کلام المحدّث الأسترابادی،</w:t>
      </w:r>
    </w:p>
    <w:p>
      <w:pPr>
        <w:pStyle w:val="BookText"/>
      </w:pPr>
      <w:r>
        <w:rPr>
          <w:rFonts w:ascii="IRNazanin" w:hAnsi="IRNazanin" w:eastAsia="IRNazanin" w:cs="IRNazanin"/>
          <w:lang w:bidi="fa-IR"/>
          <w:color w:val="111111"/>
          <w:sz w:val="28"/>
          <w:szCs w:val="28"/>
          <w:rtl/>
        </w:rPr>
        <w:t xml:space="preserve">[شماره صفحه واقعی : 43]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bookmarkStart w:id="349" w:name="pg14411_142937"/>
    <w:bookmarkEnd w:id="349"/>
    <w:p>
      <w:pPr>
        <w:pStyle w:val="BookText"/>
      </w:pPr>
      <w:r>
        <w:rPr>
          <w:rFonts w:ascii="IRNazanin" w:hAnsi="IRNazanin" w:eastAsia="IRNazanin" w:cs="IRNazanin"/>
          <w:lang w:bidi="fa-IR"/>
          <w:color w:val="111111"/>
          <w:sz w:val="28"/>
          <w:szCs w:val="28"/>
          <w:rtl/>
        </w:rPr>
        <w:t xml:space="preserve">حیث قال فی فوائده:</w:t>
      </w:r>
    </w:p>
    <w:p>
      <w:pPr>
        <w:pStyle w:val="Heading6"/>
      </w:pPr>
      <w:bookmarkStart w:id="1703" w:name="_Toc738"/>
      <w:r>
        <w:t>[کلام المحدّث الأسترابادی فی الفوائد المدنیة:]</w:t>
      </w:r>
      <w:bookmarkEnd w:id="1703"/>
    </w:p>
    <w:p>
      <w:pPr>
        <w:pStyle w:val="BookText"/>
      </w:pPr>
      <w:r>
        <w:rPr>
          <w:rFonts w:ascii="IRNazanin" w:hAnsi="IRNazanin" w:eastAsia="IRNazanin" w:cs="IRNazanin"/>
          <w:lang w:bidi="fa-IR"/>
          <w:color w:val="111111"/>
          <w:sz w:val="28"/>
          <w:szCs w:val="28"/>
          <w:rtl/>
        </w:rPr>
        <w:t xml:space="preserve">اعلم أنّ للاستصحاب صورتین معتبرتین باتّفاق الامّة،بل أقول:</w:t>
      </w:r>
    </w:p>
    <w:p>
      <w:pPr>
        <w:pStyle w:val="BookText"/>
      </w:pPr>
      <w:r>
        <w:rPr>
          <w:rFonts w:ascii="IRNazanin" w:hAnsi="IRNazanin" w:eastAsia="IRNazanin" w:cs="IRNazanin"/>
          <w:lang w:bidi="fa-IR"/>
          <w:color w:val="111111"/>
          <w:sz w:val="28"/>
          <w:szCs w:val="28"/>
          <w:rtl/>
        </w:rPr>
        <w:t xml:space="preserve">اعتبارهما من ضروریّات الدین.</w:t>
      </w:r>
    </w:p>
    <w:p>
      <w:pPr>
        <w:pStyle w:val="BookText"/>
      </w:pPr>
      <w:r>
        <w:rPr>
          <w:rFonts w:ascii="IRNazanin" w:hAnsi="IRNazanin" w:eastAsia="IRNazanin" w:cs="IRNazanin"/>
          <w:lang w:bidi="fa-IR"/>
          <w:color w:val="111111"/>
          <w:sz w:val="28"/>
          <w:szCs w:val="28"/>
          <w:rtl/>
        </w:rPr>
        <w:t xml:space="preserve">إحداهما:أنّ الصحابة و غیرهم کانوا یستصحبون ما جاء به نبیّنا صلی اللّه علیه و آله و سلّم إلی أن یجیء ناسخه.</w:t>
      </w:r>
    </w:p>
    <w:p>
      <w:pPr>
        <w:pStyle w:val="BookText"/>
      </w:pPr>
      <w:r>
        <w:rPr>
          <w:rFonts w:ascii="IRNazanin" w:hAnsi="IRNazanin" w:eastAsia="IRNazanin" w:cs="IRNazanin"/>
          <w:lang w:bidi="fa-IR"/>
          <w:color w:val="111111"/>
          <w:sz w:val="28"/>
          <w:szCs w:val="28"/>
          <w:rtl/>
        </w:rPr>
        <w:t xml:space="preserve">الثانیة:أنّا نستصحب کلّ أمر من الامور الشرعیّة-مثل:کون الرجل مالک أرض،و کونه زوج امرأة،و کونه عبد رجل،و کونه علی وضوء،و کون الثوب طاهرا أو نجسا،و کون اللیل أو النهار باقیا، و کون ذمّة الإنسان مشغولة بصلاة أو طواف-إلی أن یقطع بوجود شیء جعله الشارع سببا لنقض تلک الامور </w:t>
      </w:r>
      <w:r>
        <w:rPr>
          <w:rStyle w:val="FootnoteReference"/>
        </w:rPr>
        <w:footnoteReference w:id="1595"/>
      </w:r>
      <w:r>
        <w:rPr>
          <w:rFonts w:ascii="IRNazanin" w:hAnsi="IRNazanin" w:eastAsia="IRNazanin" w:cs="IRNazanin"/>
          <w:lang w:bidi="fa-IR"/>
          <w:color w:val="111111"/>
          <w:sz w:val="28"/>
          <w:szCs w:val="28"/>
          <w:rtl/>
        </w:rPr>
        <w:t xml:space="preserve">.ثمّ ذلک الشیء قد یکون شهادة العدلین،و قد یکون قول الحجّام المسلم أو من فی حکمه،و قد یکون قول القصّار أو من فی حکمه،و قد یکون بیع ما یحتاج إلی الذبح و الغسل فی سوق المسلمین،و أشباه ذلک من الامور الحسّیة </w:t>
      </w:r>
      <w:r>
        <w:rPr>
          <w:rStyle w:val="FootnoteReference"/>
        </w:rPr>
        <w:footnoteReference w:id="1596"/>
      </w:r>
      <w:r>
        <w:rPr>
          <w:rFonts w:ascii="IRNazanin" w:hAnsi="IRNazanin" w:eastAsia="IRNazanin" w:cs="IRNazanin"/>
          <w:lang w:bidi="fa-IR"/>
          <w:color w:val="111111"/>
          <w:sz w:val="28"/>
          <w:szCs w:val="28"/>
          <w:rtl/>
        </w:rPr>
        <w:t xml:space="preserve">، انتهی.</w:t>
      </w:r>
    </w:p>
    <w:p>
      <w:pPr>
        <w:pStyle w:val="BookText"/>
      </w:pPr>
      <w:r>
        <w:rPr>
          <w:rFonts w:ascii="IRNazanin" w:hAnsi="IRNazanin" w:eastAsia="IRNazanin" w:cs="IRNazanin"/>
          <w:lang w:bidi="fa-IR"/>
          <w:color w:val="111111"/>
          <w:sz w:val="28"/>
          <w:szCs w:val="28"/>
          <w:rtl/>
        </w:rPr>
        <w:t xml:space="preserve">و لو لا تمثیله باستصحاب اللیل و النهار لاحتمل أن یکون معقد إجماعه الشکّ من حیث المانع وجودا أو منعا،إلاّ أنّ الجامع بین جمیع أمثلة الصورة الثانیة لیس إلاّ الشبهة الموضوعیّة،فکأنّه استثنی من محلّ الخلاف صورة واحدة من الشبهة الحکمیّة-أعنی الشکّ فی النسخ-</w:t>
      </w:r>
    </w:p>
    <w:p>
      <w:pPr>
        <w:pStyle w:val="BookText"/>
      </w:pPr>
      <w:r>
        <w:rPr>
          <w:rFonts w:ascii="IRNazanin" w:hAnsi="IRNazanin" w:eastAsia="IRNazanin" w:cs="IRNazanin"/>
          <w:lang w:bidi="fa-IR"/>
          <w:color w:val="111111"/>
          <w:sz w:val="28"/>
          <w:szCs w:val="28"/>
          <w:rtl/>
        </w:rPr>
        <w:t xml:space="preserve">[شماره صفحه واقعی : 44]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bookmarkStart w:id="350" w:name="pg14411_142938"/>
    <w:bookmarkEnd w:id="350"/>
    <w:p>
      <w:pPr>
        <w:pStyle w:val="BookText"/>
      </w:pPr>
      <w:r>
        <w:rPr>
          <w:rFonts w:ascii="IRNazanin" w:hAnsi="IRNazanin" w:eastAsia="IRNazanin" w:cs="IRNazanin"/>
          <w:lang w:bidi="fa-IR"/>
          <w:color w:val="111111"/>
          <w:sz w:val="28"/>
          <w:szCs w:val="28"/>
          <w:rtl/>
        </w:rPr>
        <w:t xml:space="preserve">و جمیع صور الشبهة الموضوعیّة.</w:t>
      </w:r>
    </w:p>
    <w:p>
      <w:pPr>
        <w:pStyle w:val="Heading6"/>
      </w:pPr>
      <w:bookmarkStart w:id="1704" w:name="_Toc739"/>
      <w:r>
        <w:t>[کلامه فی الفوائد المکیة:]</w:t>
      </w:r>
      <w:bookmarkEnd w:id="1704"/>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 أصرح من العبارة المذکورة فی اختصاص محلّ الخلاف بالشبهة الحکمیّة،ما حکی عنه فی الفوائد </w:t>
      </w:r>
      <w:r>
        <w:rPr>
          <w:rStyle w:val="FootnoteReference"/>
        </w:rPr>
        <w:footnoteReference w:id="1597"/>
      </w:r>
      <w:r>
        <w:rPr>
          <w:rFonts w:ascii="IRNazanin" w:hAnsi="IRNazanin" w:eastAsia="IRNazanin" w:cs="IRNazanin"/>
          <w:lang w:bidi="fa-IR"/>
          <w:color w:val="111111"/>
          <w:sz w:val="28"/>
          <w:szCs w:val="28"/>
          <w:rtl/>
        </w:rPr>
        <w:t xml:space="preserve">أنّه قال-فی جملة کلام له-:إنّ صور الاستصحاب المختلف فیه راجعة إلی أنّه إذا ثبت حکم بخطاب شرعیّ فی موضوع فی حال من حالاته نجریه فی ذلک الموضوع عند زوال الحالة القدیمة و حدوث نقیضها فیه.و من المعلوم أنّه إذا تبدّل قید موضوع المسألة بنقیض ذلک القید اختلف موضوع المسألتین،فالذی سمّوه استصحابا راجع فی الحقیقة إلی إسراء حکم لموضوع إلی موضوع آخر متّحد معه بالذات مختلف بالقید و الصفات </w:t>
      </w:r>
      <w:r>
        <w:rPr>
          <w:rStyle w:val="FootnoteReference"/>
        </w:rPr>
        <w:footnoteReference w:id="1598"/>
      </w:r>
      <w:r>
        <w:rPr>
          <w:rFonts w:ascii="IRNazanin" w:hAnsi="IRNazanin" w:eastAsia="IRNazanin" w:cs="IRNazanin"/>
          <w:lang w:bidi="fa-IR"/>
          <w:color w:val="111111"/>
          <w:sz w:val="28"/>
          <w:szCs w:val="28"/>
          <w:rtl/>
        </w:rPr>
        <w:t xml:space="preserve">،انتهی.</w:t>
      </w:r>
    </w:p>
    <w:p>
      <w:pPr>
        <w:pStyle w:val="Heading6"/>
      </w:pPr>
      <w:bookmarkStart w:id="1705" w:name="_Toc740"/>
      <w:r>
        <w:t>[الوجه ] الثانی: [الشکّ فی البقاء قد یکون مع تساوی الطرفین و قد یکون مع رجحان البقاء أو الارتفاع]</w:t>
      </w:r>
      <w:bookmarkEnd w:id="1705"/>
    </w:p>
    <w:p>
      <w:pPr>
        <w:pStyle w:val="BookText"/>
      </w:pPr>
      <w:r>
        <w:rPr>
          <w:rFonts w:ascii="IRNazanin" w:hAnsi="IRNazanin" w:eastAsia="IRNazanin" w:cs="IRNazanin"/>
          <w:lang w:bidi="fa-IR"/>
          <w:color w:val="111111"/>
          <w:sz w:val="28"/>
          <w:szCs w:val="28"/>
          <w:rtl/>
        </w:rPr>
        <w:t xml:space="preserve">من حیث إنّ الشکّ بالمعنی الأعمّ الذی هو المأخوذ فی تعریف الاستصحاب:</w:t>
      </w:r>
    </w:p>
    <w:p>
      <w:pPr>
        <w:pStyle w:val="BookText"/>
      </w:pPr>
      <w:r>
        <w:rPr>
          <w:rFonts w:ascii="IRNazanin" w:hAnsi="IRNazanin" w:eastAsia="IRNazanin" w:cs="IRNazanin"/>
          <w:lang w:bidi="fa-IR"/>
          <w:color w:val="111111"/>
          <w:sz w:val="28"/>
          <w:szCs w:val="28"/>
          <w:rtl/>
        </w:rPr>
        <w:t xml:space="preserve">قد یکون مع تساوی الطرفین،و قد یکون مع رجحان البقاء،أو الارتفاع.</w:t>
      </w:r>
    </w:p>
    <w:p>
      <w:pPr>
        <w:pStyle w:val="BookText"/>
      </w:pPr>
      <w:r>
        <w:rPr>
          <w:rFonts w:ascii="IRNazanin" w:hAnsi="IRNazanin" w:eastAsia="IRNazanin" w:cs="IRNazanin"/>
          <w:lang w:bidi="fa-IR"/>
          <w:color w:val="111111"/>
          <w:sz w:val="28"/>
          <w:szCs w:val="28"/>
          <w:rtl/>
        </w:rPr>
        <w:t xml:space="preserve">و لا إشکال فی دخول الأوّلین فی محلّ النزاع،و أمّا الثالث فقد یتراءی من بعض کلماتهم عدم وقوع الخلاف فیه.</w:t>
      </w:r>
    </w:p>
    <w:p>
      <w:pPr>
        <w:pStyle w:val="BookText"/>
      </w:pPr>
      <w:r>
        <w:rPr>
          <w:rFonts w:ascii="IRNazanin" w:hAnsi="IRNazanin" w:eastAsia="IRNazanin" w:cs="IRNazanin"/>
          <w:lang w:bidi="fa-IR"/>
          <w:color w:val="111111"/>
          <w:sz w:val="28"/>
          <w:szCs w:val="28"/>
          <w:rtl/>
        </w:rPr>
        <w:t xml:space="preserve">قال شارح المختصر:معنی استصحاب الحال أنّ الحکم الفلانی قد</w:t>
      </w:r>
    </w:p>
    <w:p>
      <w:pPr>
        <w:pStyle w:val="BookText"/>
      </w:pPr>
      <w:r>
        <w:rPr>
          <w:rFonts w:ascii="IRNazanin" w:hAnsi="IRNazanin" w:eastAsia="IRNazanin" w:cs="IRNazanin"/>
          <w:lang w:bidi="fa-IR"/>
          <w:color w:val="111111"/>
          <w:sz w:val="28"/>
          <w:szCs w:val="28"/>
          <w:rtl/>
        </w:rPr>
        <w:t xml:space="preserve">[شماره صفحه واقعی : 45]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bookmarkStart w:id="351" w:name="pg14411_142939"/>
    <w:bookmarkEnd w:id="351"/>
    <w:p>
      <w:pPr>
        <w:pStyle w:val="BookText"/>
      </w:pPr>
      <w:r>
        <w:rPr>
          <w:rFonts w:ascii="IRNazanin" w:hAnsi="IRNazanin" w:eastAsia="IRNazanin" w:cs="IRNazanin"/>
          <w:lang w:bidi="fa-IR"/>
          <w:color w:val="111111"/>
          <w:sz w:val="28"/>
          <w:szCs w:val="28"/>
          <w:rtl/>
        </w:rPr>
        <w:t xml:space="preserve">کان و لم یظنّ عدمه،و کلّ ما کان کذلک فهو مظنون البقاء،و قد اختلف فی صحّة الاستدلال به لإفادته الظنّ،و عدمها لعدم إفادته </w:t>
      </w:r>
      <w:r>
        <w:rPr>
          <w:rStyle w:val="FootnoteReference"/>
        </w:rPr>
        <w:footnoteReference w:id="1599"/>
      </w:r>
      <w:r>
        <w:rPr>
          <w:rFonts w:ascii="IRNazanin" w:hAnsi="IRNazanin" w:eastAsia="IRNazanin" w:cs="IRNazanin"/>
          <w:lang w:bidi="fa-IR"/>
          <w:color w:val="111111"/>
          <w:sz w:val="28"/>
          <w:szCs w:val="28"/>
          <w:rtl/>
        </w:rPr>
        <w:t xml:space="preserve">،انتهی.</w:t>
      </w:r>
    </w:p>
    <w:p>
      <w:pPr>
        <w:pStyle w:val="Heading6"/>
      </w:pPr>
      <w:bookmarkStart w:id="1706" w:name="_Toc741"/>
      <w:r>
        <w:t>[محلّ الخلاف فی هذه الصور:]</w:t>
      </w:r>
      <w:bookmarkEnd w:id="1706"/>
    </w:p>
    <w:p>
      <w:pPr>
        <w:pStyle w:val="BookText"/>
      </w:pPr>
      <w:r>
        <w:rPr>
          <w:rFonts w:ascii="IRNazanin" w:hAnsi="IRNazanin" w:eastAsia="IRNazanin" w:cs="IRNazanin"/>
          <w:lang w:bidi="fa-IR"/>
          <w:color w:val="111111"/>
          <w:sz w:val="28"/>
          <w:szCs w:val="28"/>
          <w:rtl/>
        </w:rPr>
        <w:t xml:space="preserve">و التحقیق:أنّ محلّ الخلاف إن کان فی اعتبار الاستصحاب من باب التعبّد و الطریق الظاهریّ،عمّ صورة الظنّ الغیر المعتبر بالخلاف.</w:t>
      </w:r>
    </w:p>
    <w:p>
      <w:pPr>
        <w:pStyle w:val="BookText"/>
      </w:pPr>
      <w:r>
        <w:rPr>
          <w:rFonts w:ascii="IRNazanin" w:hAnsi="IRNazanin" w:eastAsia="IRNazanin" w:cs="IRNazanin"/>
          <w:lang w:bidi="fa-IR"/>
          <w:color w:val="111111"/>
          <w:sz w:val="28"/>
          <w:szCs w:val="28"/>
          <w:rtl/>
        </w:rPr>
        <w:t xml:space="preserve">و إن کان من باب إفادة الظنّ-کما صرّح به شارح المختصر-فإن کان من باب الظنّ الشخصیّ،کما یظهر من کلمات بعضهم-کشیخنا البهائیّ فی الحبل المتین </w:t>
      </w:r>
      <w:r>
        <w:rPr>
          <w:rStyle w:val="FootnoteReference"/>
        </w:rPr>
        <w:footnoteReference w:id="1600"/>
      </w:r>
      <w:r>
        <w:rPr>
          <w:rFonts w:ascii="IRNazanin" w:hAnsi="IRNazanin" w:eastAsia="IRNazanin" w:cs="IRNazanin"/>
          <w:lang w:bidi="fa-IR"/>
          <w:color w:val="111111"/>
          <w:sz w:val="28"/>
          <w:szCs w:val="28"/>
          <w:rtl/>
        </w:rPr>
        <w:t xml:space="preserve">و بعض من تأخّر عنه </w:t>
      </w:r>
      <w:r>
        <w:rPr>
          <w:rStyle w:val="FootnoteReference"/>
        </w:rPr>
        <w:footnoteReference w:id="1601"/>
      </w:r>
      <w:r>
        <w:rPr>
          <w:rFonts w:ascii="IRNazanin" w:hAnsi="IRNazanin" w:eastAsia="IRNazanin" w:cs="IRNazanin"/>
          <w:lang w:bidi="fa-IR"/>
          <w:color w:val="111111"/>
          <w:sz w:val="28"/>
          <w:szCs w:val="28"/>
          <w:rtl/>
        </w:rPr>
        <w:t xml:space="preserve">-کان محلّ الخلاف فی غیر صورة الظنّ بالخلاف؛إذ مع وجوده لا یعقل ظنّ البقاء،و إن کان من باب إفادة نوعه الظنّ لو خلّی و طبعه-و إن عرض لبعض أفراده ما یسقطه عن إفادة الظنّ-عمّ الخلاف صورة الظنّ بالخلاف أیضا.</w:t>
      </w:r>
    </w:p>
    <w:p>
      <w:pPr>
        <w:pStyle w:val="BookText"/>
      </w:pPr>
      <w:r>
        <w:rPr>
          <w:rFonts w:ascii="IRNazanin" w:hAnsi="IRNazanin" w:eastAsia="IRNazanin" w:cs="IRNazanin"/>
          <w:lang w:bidi="fa-IR"/>
          <w:color w:val="111111"/>
          <w:sz w:val="28"/>
          <w:szCs w:val="28"/>
          <w:rtl/>
        </w:rPr>
        <w:t xml:space="preserve">و یمکن أن یحمل کلام العضدیّ علی إرادة أنّ الاستصحاب من شأنه بالنوع أن یفید الظنّ عند فرض عدم الظنّ بالخلاف،و سیجیء زیادة توضیح لذلک </w:t>
      </w:r>
      <w:r>
        <w:rPr>
          <w:rStyle w:val="FootnoteReference"/>
        </w:rPr>
        <w:footnoteReference w:id="1602"/>
      </w:r>
      <w:r>
        <w:rPr>
          <w:rFonts w:ascii="Amiri" w:hAnsi="Amiri" w:eastAsia="Amiri" w:cs="Amiri"/>
          <w:lang w:bidi="ar-SA"/>
          <w:color w:val="111111"/>
          <w:sz w:val="28"/>
          <w:szCs w:val="28"/>
          <w:rtl/>
        </w:rPr>
        <w:t xml:space="preserve">إن شاء اللّه.</w:t>
      </w:r>
    </w:p>
    <w:p>
      <w:pPr>
        <w:pStyle w:val="Heading6"/>
      </w:pPr>
      <w:bookmarkStart w:id="1707" w:name="_Toc742"/>
      <w:r>
        <w:t>الثالث: [الشکّ إمّا فی المقتضی و إمّا فی الرافع]</w:t>
      </w:r>
      <w:bookmarkEnd w:id="1707"/>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من حیث إنّ الشکّ فی بقاء المستصحب:</w:t>
      </w:r>
    </w:p>
    <w:p>
      <w:pPr>
        <w:pStyle w:val="BookText"/>
      </w:pPr>
      <w:r>
        <w:rPr>
          <w:rFonts w:ascii="IRNazanin" w:hAnsi="IRNazanin" w:eastAsia="IRNazanin" w:cs="IRNazanin"/>
          <w:lang w:bidi="fa-IR"/>
          <w:color w:val="111111"/>
          <w:sz w:val="28"/>
          <w:szCs w:val="28"/>
          <w:rtl/>
        </w:rPr>
        <w:t xml:space="preserve">قد یکون من جهة المقتضی،و المراد به:الشکّ من حیث استعداده</w:t>
      </w:r>
    </w:p>
    <w:p>
      <w:pPr>
        <w:pStyle w:val="BookText"/>
      </w:pPr>
      <w:r>
        <w:rPr>
          <w:rFonts w:ascii="IRNazanin" w:hAnsi="IRNazanin" w:eastAsia="IRNazanin" w:cs="IRNazanin"/>
          <w:lang w:bidi="fa-IR"/>
          <w:color w:val="111111"/>
          <w:sz w:val="28"/>
          <w:szCs w:val="28"/>
          <w:rtl/>
        </w:rPr>
        <w:t xml:space="preserve">[شماره صفحه واقعی : 46]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bookmarkStart w:id="352" w:name="pg14411_142940"/>
    <w:bookmarkEnd w:id="352"/>
    <w:p>
      <w:pPr>
        <w:pStyle w:val="BookText"/>
      </w:pPr>
      <w:r>
        <w:rPr>
          <w:rFonts w:ascii="IRNazanin" w:hAnsi="IRNazanin" w:eastAsia="IRNazanin" w:cs="IRNazanin"/>
          <w:lang w:bidi="fa-IR"/>
          <w:color w:val="111111"/>
          <w:sz w:val="28"/>
          <w:szCs w:val="28"/>
          <w:rtl/>
        </w:rPr>
        <w:t xml:space="preserve">و قابلیّته فی ذاته للبقاء،کالشکّ فی بقاء اللیل و النهار و خیار الغبن بعد الزمان الأوّل.</w:t>
      </w:r>
    </w:p>
    <w:p>
      <w:pPr>
        <w:pStyle w:val="Heading6"/>
      </w:pPr>
      <w:bookmarkStart w:id="1708" w:name="_Toc743"/>
      <w:r>
        <w:t>[أقسام الشکّ من جهة الرافع:]</w:t>
      </w:r>
      <w:bookmarkEnd w:id="1708"/>
    </w:p>
    <w:p>
      <w:pPr>
        <w:pStyle w:val="BookText"/>
      </w:pPr>
      <w:r>
        <w:rPr>
          <w:rFonts w:ascii="IRNazanin" w:hAnsi="IRNazanin" w:eastAsia="IRNazanin" w:cs="IRNazanin"/>
          <w:lang w:bidi="fa-IR"/>
          <w:color w:val="111111"/>
          <w:sz w:val="28"/>
          <w:szCs w:val="28"/>
          <w:rtl/>
        </w:rPr>
        <w:t xml:space="preserve">و قد یکون من جهة طروّ الرافع مع القطع باستعداده للبقاء،و هذا علی أقسام:لأنّ الشکّ إمّا فی وجود الرافع،کالشکّ فی حدوث البول، و إمّا أن یکون فی رافعیّة الموجود؛إمّا لعدم تعیّن المستصحب و تردّده بین ما یکون الموجود رافعا </w:t>
      </w:r>
      <w:r>
        <w:rPr>
          <w:rStyle w:val="FootnoteReference"/>
        </w:rPr>
        <w:footnoteReference w:id="1603"/>
      </w:r>
      <w:r>
        <w:rPr>
          <w:rFonts w:ascii="IRNazanin" w:hAnsi="IRNazanin" w:eastAsia="IRNazanin" w:cs="IRNazanin"/>
          <w:lang w:bidi="fa-IR"/>
          <w:color w:val="111111"/>
          <w:sz w:val="28"/>
          <w:szCs w:val="28"/>
          <w:rtl/>
        </w:rPr>
        <w:t xml:space="preserve">و بین ما لا یکون،کفعل الظهر المشکوک کونه رافعا لشغل الذمّة بالصلاة المکلّف بها قبل العصر یوم الجمعة من جهة تردّده بین الظهر و الجمعة،و إمّا للجهل بصفة الموجود من کونه رافعا کالمذی،أو مصداقا لرافع معلوم المفهوم کالرطوبة المردّدة بین البول و الودی،أو مجهول المفهوم.</w:t>
      </w:r>
    </w:p>
    <w:p>
      <w:pPr>
        <w:pStyle w:val="Heading6"/>
      </w:pPr>
      <w:bookmarkStart w:id="1709" w:name="_Toc744"/>
      <w:r>
        <w:t>[محل الخلاف من هذه الأقسام:]</w:t>
      </w:r>
      <w:bookmarkEnd w:id="1709"/>
    </w:p>
    <w:p>
      <w:pPr>
        <w:pStyle w:val="BookText"/>
      </w:pPr>
      <w:r>
        <w:rPr>
          <w:rFonts w:ascii="IRNazanin" w:hAnsi="IRNazanin" w:eastAsia="IRNazanin" w:cs="IRNazanin"/>
          <w:lang w:bidi="fa-IR"/>
          <w:color w:val="111111"/>
          <w:sz w:val="28"/>
          <w:szCs w:val="28"/>
          <w:rtl/>
        </w:rPr>
        <w:t xml:space="preserve">و لا إشکال فی کون ما عدا الشکّ فی وجود الرافع محلا للخلاف، و إن کان ظاهر استدلال بعض المثبتین:بأنّ المقتضی للحکم الأوّل موجود </w:t>
      </w:r>
      <w:r>
        <w:rPr>
          <w:rStyle w:val="FootnoteReference"/>
        </w:rPr>
        <w:footnoteReference w:id="1604"/>
      </w:r>
      <w:r>
        <w:rPr>
          <w:rFonts w:ascii="IRNazanin" w:hAnsi="IRNazanin" w:eastAsia="IRNazanin" w:cs="IRNazanin"/>
          <w:lang w:bidi="fa-IR"/>
          <w:color w:val="111111"/>
          <w:sz w:val="28"/>
          <w:szCs w:val="28"/>
          <w:rtl/>
        </w:rPr>
        <w:t xml:space="preserve">...إلی آخره،یوهم الخلاف.</w:t>
      </w:r>
    </w:p>
    <w:p>
      <w:pPr>
        <w:pStyle w:val="BookText"/>
      </w:pPr>
      <w:r>
        <w:rPr>
          <w:rFonts w:ascii="IRNazanin" w:hAnsi="IRNazanin" w:eastAsia="IRNazanin" w:cs="IRNazanin"/>
          <w:lang w:bidi="fa-IR"/>
          <w:color w:val="111111"/>
          <w:sz w:val="28"/>
          <w:szCs w:val="28"/>
          <w:rtl/>
        </w:rPr>
        <w:t xml:space="preserve">و أمّا هو فالظاهر أیضا وقوع الخلاف فیه؛کما یظهر من إنکار السیّد قدّس سرّه للاستصحاب فی البلد المبنیّ علی ساحل البحر،و زید الغائب عن النظر </w:t>
      </w:r>
      <w:r>
        <w:rPr>
          <w:rStyle w:val="FootnoteReference"/>
        </w:rPr>
        <w:footnoteReference w:id="1605"/>
      </w:r>
      <w:r>
        <w:rPr>
          <w:rFonts w:ascii="IRNazanin" w:hAnsi="IRNazanin" w:eastAsia="IRNazanin" w:cs="IRNazanin"/>
          <w:lang w:bidi="fa-IR"/>
          <w:color w:val="111111"/>
          <w:sz w:val="28"/>
          <w:szCs w:val="28"/>
          <w:rtl/>
        </w:rPr>
        <w:t xml:space="preserve">،و أنّ الاستصحاب لو کان حجّة لکان بیّنة النافی أولی؛ لاعتضادها بالاستصحاب.</w:t>
      </w:r>
    </w:p>
    <w:p>
      <w:pPr>
        <w:pStyle w:val="BookText"/>
      </w:pPr>
      <w:r>
        <w:rPr>
          <w:rFonts w:ascii="IRNazanin" w:hAnsi="IRNazanin" w:eastAsia="IRNazanin" w:cs="IRNazanin"/>
          <w:lang w:bidi="fa-IR"/>
          <w:color w:val="111111"/>
          <w:sz w:val="28"/>
          <w:szCs w:val="28"/>
          <w:rtl/>
        </w:rPr>
        <w:t xml:space="preserve">و کیف کان،فقد یفصّل بین کون الشکّ من جهة المقتضی و بین</w:t>
      </w:r>
    </w:p>
    <w:p>
      <w:pPr>
        <w:pStyle w:val="BookText"/>
      </w:pPr>
      <w:r>
        <w:rPr>
          <w:rFonts w:ascii="IRNazanin" w:hAnsi="IRNazanin" w:eastAsia="IRNazanin" w:cs="IRNazanin"/>
          <w:lang w:bidi="fa-IR"/>
          <w:color w:val="111111"/>
          <w:sz w:val="28"/>
          <w:szCs w:val="28"/>
          <w:rtl/>
        </w:rPr>
        <w:t xml:space="preserve">[شماره صفحه واقعی : 47]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کونه من جهة الرافع،فینکر الاستصحاب فی الأوّل.</w:t>
      </w:r>
    </w:p>
    <w:p>
      <w:pPr>
        <w:pStyle w:val="BookText"/>
      </w:pPr>
      <w:r>
        <w:rPr>
          <w:rFonts w:ascii="IRNazanin" w:hAnsi="IRNazanin" w:eastAsia="IRNazanin" w:cs="IRNazanin"/>
          <w:lang w:bidi="fa-IR"/>
          <w:color w:val="111111"/>
          <w:sz w:val="28"/>
          <w:szCs w:val="28"/>
          <w:rtl/>
        </w:rPr>
        <w:t xml:space="preserve">و قد یفصّل فی الرافع بین الشکّ فی وجوده و الشکّ فی رافعیّته، فینکر الثانی مطلقا،أو إذا لم یکن الشکّ فی المصداق الخارجی.</w:t>
      </w:r>
    </w:p>
    <w:p>
      <w:pPr>
        <w:pStyle w:val="BookText"/>
      </w:pPr>
      <w:r>
        <w:rPr>
          <w:rFonts w:ascii="IRNazanin" w:hAnsi="IRNazanin" w:eastAsia="IRNazanin" w:cs="IRNazanin"/>
          <w:lang w:bidi="fa-IR"/>
          <w:color w:val="111111"/>
          <w:sz w:val="28"/>
          <w:szCs w:val="28"/>
          <w:rtl/>
        </w:rPr>
        <w:t xml:space="preserve">هذه جملة ما حضرنی من کلمات الأصحاب.</w:t>
      </w:r>
    </w:p>
    <w:p>
      <w:pPr>
        <w:pStyle w:val="BookText"/>
      </w:pPr>
      <w:r>
        <w:rPr>
          <w:rFonts w:ascii="IRNazanin" w:hAnsi="IRNazanin" w:eastAsia="IRNazanin" w:cs="IRNazanin"/>
          <w:lang w:bidi="fa-IR"/>
          <w:color w:val="111111"/>
          <w:sz w:val="28"/>
          <w:szCs w:val="28"/>
          <w:rtl/>
        </w:rPr>
        <w:t xml:space="preserve">و المتحصّل منها فی بادئ النظر أحد عشر قولا:</w:t>
      </w:r>
    </w:p>
    <w:p>
      <w:pPr>
        <w:pStyle w:val="BookText"/>
      </w:pPr>
      <w:r>
        <w:rPr>
          <w:rFonts w:ascii="IRNazanin" w:hAnsi="IRNazanin" w:eastAsia="IRNazanin" w:cs="IRNazanin"/>
          <w:lang w:bidi="fa-IR"/>
          <w:color w:val="111111"/>
          <w:sz w:val="28"/>
          <w:szCs w:val="28"/>
          <w:rtl/>
        </w:rPr>
        <w:t xml:space="preserve">[شماره صفحه واقعی : 48]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bookmarkStart w:id="353" w:name="pg14411_142942"/>
    <w:bookmarkEnd w:id="353"/>
    <w:p>
      <w:pPr>
        <w:pStyle w:val="Heading5"/>
      </w:pPr>
      <w:bookmarkStart w:id="1710" w:name="_Toc745"/>
      <w:r>
        <w:t>[الأقوال فی حجّیة الاستصحاب]</w:t>
      </w:r>
      <w:bookmarkEnd w:id="1710"/>
    </w:p>
    <w:p>
      <w:pPr>
        <w:pStyle w:val="Heading6"/>
      </w:pPr>
      <w:bookmarkStart w:id="1711" w:name="_Toc746"/>
      <w:r>
        <w:t>اشارة</w:t>
      </w:r>
      <w:bookmarkEnd w:id="1711"/>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[الأقوال فی حجّیة الاستصحاب] </w:t>
      </w:r>
      <w:r>
        <w:rPr>
          <w:rStyle w:val="FootnoteReference"/>
        </w:rPr>
        <w:footnoteReference w:id="1606"/>
      </w:r>
    </w:p>
    <w:p>
      <w:pPr>
        <w:pStyle w:val="Heading6"/>
      </w:pPr>
      <w:bookmarkStart w:id="1712" w:name="_Toc747"/>
      <w:r>
        <w:t>الأوّل:القول بالحجّیة مطلقا.</w:t>
      </w:r>
      <w:bookmarkEnd w:id="1712"/>
    </w:p>
    <w:p>
      <w:pPr>
        <w:pStyle w:val="Heading6"/>
      </w:pPr>
      <w:bookmarkStart w:id="1713" w:name="_Toc748"/>
      <w:r>
        <w:t>الثانی:عدمها مطلقا.</w:t>
      </w:r>
      <w:bookmarkEnd w:id="1713"/>
    </w:p>
    <w:p>
      <w:pPr>
        <w:pStyle w:val="Heading6"/>
      </w:pPr>
      <w:bookmarkStart w:id="1714" w:name="_Toc749"/>
      <w:r>
        <w:t>الثالث:التفصیل بین العدمیّ و الوجودیّ.</w:t>
      </w:r>
      <w:bookmarkEnd w:id="1714"/>
    </w:p>
    <w:p>
      <w:pPr>
        <w:pStyle w:val="Heading6"/>
      </w:pPr>
      <w:bookmarkStart w:id="1715" w:name="_Toc750"/>
      <w:r>
        <w:t>الرابع:التفصیل بین الامور الخارجیّة و بین الحکم الشرعیّ مطلقا،</w:t>
      </w:r>
      <w:bookmarkEnd w:id="1715"/>
    </w:p>
    <w:p>
      <w:pPr>
        <w:pStyle w:val="BookText"/>
      </w:pPr>
      <w:r>
        <w:rPr>
          <w:rFonts w:ascii="IRNazanin" w:hAnsi="IRNazanin" w:eastAsia="IRNazanin" w:cs="IRNazanin"/>
          <w:lang w:bidi="fa-IR"/>
          <w:color w:val="111111"/>
          <w:sz w:val="28"/>
          <w:szCs w:val="28"/>
          <w:rtl/>
        </w:rPr>
        <w:t xml:space="preserve">فلا یعتبر فی الأوّل.</w:t>
      </w:r>
    </w:p>
    <w:p>
      <w:pPr>
        <w:pStyle w:val="Heading6"/>
      </w:pPr>
      <w:bookmarkStart w:id="1716" w:name="_Toc751"/>
      <w:r>
        <w:t>الخامس:التفصیل بین الحکم الشرعیّ الکلّی و غیره</w:t>
      </w:r>
      <w:bookmarkEnd w:id="1716"/>
    </w:p>
    <w:p>
      <w:pPr>
        <w:pStyle w:val="BookText"/>
      </w:pPr>
      <w:r>
        <w:rPr>
          <w:rFonts w:ascii="IRNazanin" w:hAnsi="IRNazanin" w:eastAsia="IRNazanin" w:cs="IRNazanin"/>
          <w:lang w:bidi="fa-IR"/>
          <w:color w:val="111111"/>
          <w:sz w:val="28"/>
          <w:szCs w:val="28"/>
          <w:rtl/>
        </w:rPr>
        <w:t xml:space="preserve">،فلا یعتبر فی الأوّل إلاّ فی عدم النسخ.</w:t>
      </w:r>
    </w:p>
    <w:p>
      <w:pPr>
        <w:pStyle w:val="Heading6"/>
      </w:pPr>
      <w:bookmarkStart w:id="1717" w:name="_Toc752"/>
      <w:r>
        <w:t>السادس:التفصیل بین الحکم الجزئی و غیره</w:t>
      </w:r>
      <w:bookmarkEnd w:id="1717"/>
    </w:p>
    <w:p>
      <w:pPr>
        <w:pStyle w:val="BookText"/>
      </w:pPr>
      <w:r>
        <w:rPr>
          <w:rFonts w:ascii="IRNazanin" w:hAnsi="IRNazanin" w:eastAsia="IRNazanin" w:cs="IRNazanin"/>
          <w:lang w:bidi="fa-IR"/>
          <w:color w:val="111111"/>
          <w:sz w:val="28"/>
          <w:szCs w:val="28"/>
          <w:rtl/>
        </w:rPr>
        <w:t xml:space="preserve">،فلا یعتبر فی غیر الأوّل،و هذا هو الذی تقدّم أنّه ربما یستظهر من کلام المحقّق الخوانساری فی حاشیة شرح </w:t>
      </w:r>
      <w:r>
        <w:rPr>
          <w:rStyle w:val="FootnoteReference"/>
        </w:rPr>
        <w:footnoteReference w:id="1607"/>
      </w:r>
      <w:r>
        <w:rPr>
          <w:rFonts w:ascii="IRNazanin" w:hAnsi="IRNazanin" w:eastAsia="IRNazanin" w:cs="IRNazanin"/>
          <w:lang w:bidi="fa-IR"/>
          <w:color w:val="111111"/>
          <w:sz w:val="28"/>
          <w:szCs w:val="28"/>
          <w:rtl/>
        </w:rPr>
        <w:t xml:space="preserve">الدروس </w:t>
      </w:r>
      <w:r>
        <w:rPr>
          <w:rStyle w:val="FootnoteReference"/>
        </w:rPr>
        <w:footnoteReference w:id="1608"/>
      </w:r>
      <w:r>
        <w:rPr>
          <w:rFonts w:ascii="IRNazanin" w:hAnsi="IRNazanin" w:eastAsia="IRNazanin" w:cs="IRNazanin"/>
          <w:lang w:bidi="fa-IR"/>
          <w:color w:val="111111"/>
          <w:sz w:val="28"/>
          <w:szCs w:val="28"/>
          <w:rtl/>
        </w:rPr>
        <w:t xml:space="preserve">،علی ما حکاه السیّد فی</w:t>
      </w:r>
    </w:p>
    <w:p>
      <w:pPr>
        <w:pStyle w:val="BookText"/>
      </w:pPr>
      <w:r>
        <w:rPr>
          <w:rFonts w:ascii="IRNazanin" w:hAnsi="IRNazanin" w:eastAsia="IRNazanin" w:cs="IRNazanin"/>
          <w:lang w:bidi="fa-IR"/>
          <w:color w:val="111111"/>
          <w:sz w:val="28"/>
          <w:szCs w:val="28"/>
          <w:rtl/>
        </w:rPr>
        <w:t xml:space="preserve">[شماره صفحه واقعی : 49]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bookmarkStart w:id="354" w:name="pg14411_142943"/>
    <w:bookmarkEnd w:id="354"/>
    <w:p>
      <w:pPr>
        <w:pStyle w:val="BookText"/>
      </w:pPr>
      <w:r>
        <w:rPr>
          <w:rFonts w:ascii="IRNazanin" w:hAnsi="IRNazanin" w:eastAsia="IRNazanin" w:cs="IRNazanin"/>
          <w:lang w:bidi="fa-IR"/>
          <w:color w:val="111111"/>
          <w:sz w:val="28"/>
          <w:szCs w:val="28"/>
          <w:rtl/>
        </w:rPr>
        <w:t xml:space="preserve">شرح الوافیة </w:t>
      </w:r>
      <w:r>
        <w:rPr>
          <w:rStyle w:val="FootnoteReference"/>
        </w:rPr>
        <w:footnoteReference w:id="1609"/>
      </w:r>
      <w:r>
        <w:rPr>
          <w:rFonts w:ascii="Times New Roman" w:hAnsi="Times New Roman" w:eastAsia="Times New Roman" w:cs="Times New Roman"/>
          <w:lang w:val="en-US" w:bidi="en-US"/>
          <w:color w:val="111111"/>
          <w:sz w:val="28"/>
          <w:szCs w:val="28"/>
          <w:rtl/>
        </w:rPr>
        <w:t xml:space="preserve">.</w:t>
      </w:r>
    </w:p>
    <w:p>
      <w:pPr>
        <w:pStyle w:val="Heading6"/>
      </w:pPr>
      <w:bookmarkStart w:id="1718" w:name="_Toc753"/>
      <w:r>
        <w:t>السابع:التفصیل بین الأحکام الوضعیّة</w:t>
      </w:r>
      <w:bookmarkEnd w:id="1718"/>
    </w:p>
    <w:p>
      <w:pPr>
        <w:pStyle w:val="BookText"/>
      </w:pPr>
      <w:r>
        <w:rPr>
          <w:rFonts w:ascii="IRNazanin" w:hAnsi="IRNazanin" w:eastAsia="IRNazanin" w:cs="IRNazanin"/>
          <w:lang w:bidi="fa-IR"/>
          <w:color w:val="111111"/>
          <w:sz w:val="28"/>
          <w:szCs w:val="28"/>
          <w:rtl/>
        </w:rPr>
        <w:t xml:space="preserve">-یعنی نفس الأسباب و الشروط و الموانع-و الأحکام التکلیفیّة التابعة لها،و بین غیرها من الأحکام الشرعیّة،فیجری فی الأوّل دون الثانی </w:t>
      </w:r>
      <w:r>
        <w:rPr>
          <w:rStyle w:val="FootnoteReference"/>
        </w:rPr>
        <w:footnoteReference w:id="1610"/>
      </w:r>
      <w:r>
        <w:rPr>
          <w:rFonts w:ascii="Times New Roman" w:hAnsi="Times New Roman" w:eastAsia="Times New Roman" w:cs="Times New Roman"/>
          <w:lang w:val="en-US" w:bidi="en-US"/>
          <w:color w:val="111111"/>
          <w:sz w:val="28"/>
          <w:szCs w:val="28"/>
          <w:rtl/>
        </w:rPr>
        <w:t xml:space="preserve">.</w:t>
      </w:r>
    </w:p>
    <w:p>
      <w:pPr>
        <w:pStyle w:val="Heading6"/>
      </w:pPr>
      <w:bookmarkStart w:id="1719" w:name="_Toc754"/>
      <w:r>
        <w:t>الثامن:التفصیل بین ما ثبت بالإجماع و غیره</w:t>
      </w:r>
      <w:bookmarkEnd w:id="1719"/>
    </w:p>
    <w:p>
      <w:pPr>
        <w:pStyle w:val="BookText"/>
      </w:pPr>
      <w:r>
        <w:rPr>
          <w:rFonts w:ascii="IRNazanin" w:hAnsi="IRNazanin" w:eastAsia="IRNazanin" w:cs="IRNazanin"/>
          <w:lang w:bidi="fa-IR"/>
          <w:color w:val="111111"/>
          <w:sz w:val="28"/>
          <w:szCs w:val="28"/>
          <w:rtl/>
        </w:rPr>
        <w:t xml:space="preserve">،فلا یعتبر فی الأوّل.</w:t>
      </w:r>
    </w:p>
    <w:p>
      <w:pPr>
        <w:pStyle w:val="Heading6"/>
      </w:pPr>
      <w:bookmarkStart w:id="1720" w:name="_Toc755"/>
      <w:r>
        <w:t>التاسع:التفصیل بین کون المستصحب ممّا ثبت بدلیله أو من الخارج</w:t>
      </w:r>
      <w:bookmarkEnd w:id="1720"/>
    </w:p>
    <w:p>
      <w:pPr>
        <w:pStyle w:val="BookText"/>
      </w:pPr>
      <w:r>
        <w:rPr>
          <w:rFonts w:ascii="IRNazanin" w:hAnsi="IRNazanin" w:eastAsia="IRNazanin" w:cs="IRNazanin"/>
          <w:lang w:bidi="fa-IR"/>
          <w:color w:val="111111"/>
          <w:sz w:val="28"/>
          <w:szCs w:val="28"/>
          <w:rtl/>
        </w:rPr>
        <w:t xml:space="preserve">استمراره فشکّ فی الغایة الرافعة له،و بین غیره،فیعتبر فی الأوّل دون الثانی،کما هو ظاهر المعارج </w:t>
      </w:r>
      <w:r>
        <w:rPr>
          <w:rStyle w:val="FootnoteReference"/>
        </w:rPr>
        <w:footnoteReference w:id="1611"/>
      </w:r>
      <w:r>
        <w:rPr>
          <w:rFonts w:ascii="Times New Roman" w:hAnsi="Times New Roman" w:eastAsia="Times New Roman" w:cs="Times New Roman"/>
          <w:lang w:val="en-US" w:bidi="en-US"/>
          <w:color w:val="111111"/>
          <w:sz w:val="28"/>
          <w:szCs w:val="28"/>
          <w:rtl/>
        </w:rPr>
        <w:t xml:space="preserve">.</w:t>
      </w:r>
    </w:p>
    <w:p>
      <w:pPr>
        <w:pStyle w:val="Heading6"/>
      </w:pPr>
      <w:bookmarkStart w:id="1721" w:name="_Toc756"/>
      <w:r>
        <w:t>العاشر:هذا التفصیل مع اختصاص الشکّ بوجود الغایة</w:t>
      </w:r>
      <w:bookmarkEnd w:id="1721"/>
    </w:p>
    <w:p>
      <w:pPr>
        <w:pStyle w:val="BookText"/>
      </w:pPr>
      <w:r>
        <w:rPr>
          <w:rFonts w:ascii="IRNazanin" w:hAnsi="IRNazanin" w:eastAsia="IRNazanin" w:cs="IRNazanin"/>
          <w:lang w:bidi="fa-IR"/>
          <w:color w:val="111111"/>
          <w:sz w:val="28"/>
          <w:szCs w:val="28"/>
          <w:rtl/>
        </w:rPr>
        <w:t xml:space="preserve">،کما هو الظاهر من المحقّق السبزواری فیما سیجیء من کلامه </w:t>
      </w:r>
      <w:r>
        <w:rPr>
          <w:rStyle w:val="FootnoteReference"/>
        </w:rPr>
        <w:footnoteReference w:id="1612"/>
      </w:r>
      <w:r>
        <w:rPr>
          <w:rFonts w:ascii="Times New Roman" w:hAnsi="Times New Roman" w:eastAsia="Times New Roman" w:cs="Times New Roman"/>
          <w:lang w:val="en-US" w:bidi="en-US"/>
          <w:color w:val="111111"/>
          <w:sz w:val="28"/>
          <w:szCs w:val="28"/>
          <w:rtl/>
        </w:rPr>
        <w:t xml:space="preserve">.</w:t>
      </w:r>
    </w:p>
    <w:p>
      <w:pPr>
        <w:pStyle w:val="Heading6"/>
      </w:pPr>
      <w:bookmarkStart w:id="1722" w:name="_Toc757"/>
      <w:r>
        <w:t>الحادی عشر:زیادة الشکّ فی مصداق الغایة من جهة الاشتباه</w:t>
      </w:r>
      <w:bookmarkEnd w:id="1722"/>
    </w:p>
    <w:p>
      <w:pPr>
        <w:pStyle w:val="BookText"/>
      </w:pPr>
      <w:r>
        <w:rPr>
          <w:rFonts w:ascii="IRNazanin" w:hAnsi="IRNazanin" w:eastAsia="IRNazanin" w:cs="IRNazanin"/>
          <w:lang w:bidi="fa-IR"/>
          <w:color w:val="111111"/>
          <w:sz w:val="28"/>
          <w:szCs w:val="28"/>
          <w:rtl/>
        </w:rPr>
        <w:t xml:space="preserve">المصداقیّ دون المفهومیّ،کما هو ظاهر ما سیجیء من المحقّق الخوانساری </w:t>
      </w:r>
      <w:r>
        <w:rPr>
          <w:rStyle w:val="FootnoteReference"/>
        </w:rPr>
        <w:footnoteReference w:id="16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إنّه لو بنی علی ملاحظة ظواهر کلمات من تعرّض لهذه المسألة</w:t>
      </w:r>
    </w:p>
    <w:p>
      <w:pPr>
        <w:pStyle w:val="BookText"/>
      </w:pPr>
      <w:r>
        <w:rPr>
          <w:rFonts w:ascii="IRNazanin" w:hAnsi="IRNazanin" w:eastAsia="IRNazanin" w:cs="IRNazanin"/>
          <w:lang w:bidi="fa-IR"/>
          <w:color w:val="111111"/>
          <w:sz w:val="28"/>
          <w:szCs w:val="28"/>
          <w:rtl/>
        </w:rPr>
        <w:t xml:space="preserve">[شماره صفحه واقعی : 50]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bookmarkStart w:id="355" w:name="pg14411_142944"/>
    <w:bookmarkEnd w:id="355"/>
    <w:p>
      <w:pPr>
        <w:pStyle w:val="BookText"/>
      </w:pPr>
      <w:r>
        <w:rPr>
          <w:rFonts w:ascii="IRNazanin" w:hAnsi="IRNazanin" w:eastAsia="IRNazanin" w:cs="IRNazanin"/>
          <w:lang w:bidi="fa-IR"/>
          <w:color w:val="111111"/>
          <w:sz w:val="28"/>
          <w:szCs w:val="28"/>
          <w:rtl/>
        </w:rPr>
        <w:t xml:space="preserve">فی الاصول و الفروع،لزادت الأقوال علی العدد المذکور بکثیر </w:t>
      </w:r>
      <w:r>
        <w:rPr>
          <w:rStyle w:val="FootnoteReference"/>
        </w:rPr>
        <w:footnoteReference w:id="1614"/>
      </w:r>
      <w:r>
        <w:rPr>
          <w:rFonts w:ascii="IRNazanin" w:hAnsi="IRNazanin" w:eastAsia="IRNazanin" w:cs="IRNazanin"/>
          <w:lang w:bidi="fa-IR"/>
          <w:color w:val="111111"/>
          <w:sz w:val="28"/>
          <w:szCs w:val="28"/>
          <w:rtl/>
        </w:rPr>
        <w:t xml:space="preserve">،بل یحصل لعالم واحد قولان أو أزید فی المسألة،إلاّ أنّ صرف الوقت فی هذا ممّا لا ینبغی.</w:t>
      </w:r>
    </w:p>
    <w:p>
      <w:pPr>
        <w:pStyle w:val="Heading5"/>
      </w:pPr>
      <w:bookmarkStart w:id="1723" w:name="_Toc758"/>
      <w:r>
        <w:t>[أقوی الأقوال فی الاستصحاب]</w:t>
      </w:r>
      <w:bookmarkEnd w:id="1723"/>
    </w:p>
    <w:p>
      <w:pPr>
        <w:pStyle w:val="BookText"/>
      </w:pPr>
      <w:r>
        <w:rPr>
          <w:rFonts w:ascii="IRNazanin" w:hAnsi="IRNazanin" w:eastAsia="IRNazanin" w:cs="IRNazanin"/>
          <w:lang w:bidi="fa-IR"/>
          <w:color w:val="111111"/>
          <w:sz w:val="28"/>
          <w:szCs w:val="28"/>
          <w:rtl/>
        </w:rPr>
        <w:t xml:space="preserve">[أقوی الأقوال فی الاستصحاب] </w:t>
      </w:r>
      <w:r>
        <w:rPr>
          <w:rStyle w:val="FootnoteReference"/>
        </w:rPr>
        <w:footnoteReference w:id="1615"/>
      </w:r>
    </w:p>
    <w:p>
      <w:pPr>
        <w:pStyle w:val="BookText"/>
      </w:pPr>
      <w:r>
        <w:rPr>
          <w:rFonts w:ascii="IRNazanin" w:hAnsi="IRNazanin" w:eastAsia="IRNazanin" w:cs="IRNazanin"/>
          <w:lang w:bidi="fa-IR"/>
          <w:color w:val="111111"/>
          <w:sz w:val="28"/>
          <w:szCs w:val="28"/>
          <w:rtl/>
        </w:rPr>
        <w:t xml:space="preserve">و الأقوی:هو القول التاسع،و هو الذی اختاره المحقّق،فإنّ المحکیّ عنه فی المعارج </w:t>
      </w:r>
      <w:r>
        <w:rPr>
          <w:rStyle w:val="FootnoteReference"/>
        </w:rPr>
        <w:footnoteReference w:id="1616"/>
      </w:r>
      <w:r>
        <w:rPr>
          <w:rFonts w:ascii="Amiri" w:hAnsi="Amiri" w:eastAsia="Amiri" w:cs="Amiri"/>
          <w:lang w:bidi="ar-SA"/>
          <w:color w:val="111111"/>
          <w:sz w:val="28"/>
          <w:szCs w:val="28"/>
          <w:rtl/>
        </w:rPr>
        <w:t xml:space="preserve">أنّه قال:</w:t>
      </w:r>
    </w:p>
    <w:p>
      <w:pPr>
        <w:pStyle w:val="BookText"/>
      </w:pPr>
      <w:r>
        <w:rPr>
          <w:rFonts w:ascii="IRNazanin" w:hAnsi="IRNazanin" w:eastAsia="IRNazanin" w:cs="IRNazanin"/>
          <w:lang w:bidi="fa-IR"/>
          <w:color w:val="111111"/>
          <w:sz w:val="28"/>
          <w:szCs w:val="28"/>
          <w:rtl/>
        </w:rPr>
        <w:t xml:space="preserve">إذا ثبت حکم فی وقت،ثمّ جاء وقت آخر و لم یقم دلیل علی انتفاء ذلک الحکم،هل یحکم ببقائه ما لم یقم دلالة علی نفیه؟أم یفتقر الحکم فی الوقت الثانی إلی دلالة؟</w:t>
      </w:r>
    </w:p>
    <w:p>
      <w:pPr>
        <w:pStyle w:val="Heading5"/>
      </w:pPr>
      <w:bookmarkStart w:id="1724" w:name="_Toc759"/>
      <w:r>
        <w:t>[کلام المحقق فی المعارج:]</w:t>
      </w:r>
      <w:bookmarkEnd w:id="1724"/>
    </w:p>
    <w:p>
      <w:pPr>
        <w:pStyle w:val="BookText"/>
      </w:pPr>
      <w:r>
        <w:rPr>
          <w:rFonts w:ascii="IRNazanin" w:hAnsi="IRNazanin" w:eastAsia="IRNazanin" w:cs="IRNazanin"/>
          <w:lang w:bidi="fa-IR"/>
          <w:color w:val="111111"/>
          <w:sz w:val="28"/>
          <w:szCs w:val="28"/>
          <w:rtl/>
        </w:rPr>
        <w:t xml:space="preserve">حکی عن المفید قدّس سرّه:أنّه یحکم ببقائه </w:t>
      </w:r>
      <w:r>
        <w:rPr>
          <w:rStyle w:val="FootnoteReference"/>
        </w:rPr>
        <w:footnoteReference w:id="1617"/>
      </w:r>
      <w:r>
        <w:rPr>
          <w:rFonts w:ascii="IRNazanin" w:hAnsi="IRNazanin" w:eastAsia="IRNazanin" w:cs="IRNazanin"/>
          <w:lang w:bidi="fa-IR"/>
          <w:color w:val="111111"/>
          <w:sz w:val="28"/>
          <w:szCs w:val="28"/>
          <w:rtl/>
        </w:rPr>
        <w:t xml:space="preserve">،و هو المختار.و قال المرتضی قدّس سرّه:لا یحکم </w:t>
      </w:r>
      <w:r>
        <w:rPr>
          <w:rStyle w:val="FootnoteReference"/>
        </w:rPr>
        <w:footnoteReference w:id="16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51]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مثّل بالمتیمّم الواجد للماء فی أثناء الصلاة،ثمّ احتجّ للحجّیة بوجوه،منها:أنّ المقتضی للحکم الأوّل موجود،ثمّ ذکر أدلّة المانعین و أجاب عنها.</w:t>
      </w:r>
    </w:p>
    <w:p>
      <w:pPr>
        <w:pStyle w:val="BookText"/>
      </w:pPr>
      <w:r>
        <w:rPr>
          <w:rFonts w:ascii="IRNazanin" w:hAnsi="IRNazanin" w:eastAsia="IRNazanin" w:cs="IRNazanin"/>
          <w:lang w:bidi="fa-IR"/>
          <w:color w:val="111111"/>
          <w:sz w:val="28"/>
          <w:szCs w:val="28"/>
          <w:rtl/>
        </w:rPr>
        <w:t xml:space="preserve">ثمّ قال:و الذی نختاره:أن ننظر فی دلیل ذلک الحکم،فإن کان یقتضیه مطلقا وجب الحکم باستمرار الحکم،ک:«عقد النکاح»،فإنّه یوجب حلّ الوطء مطلقا،فإذا وقع الخلاف فی الألفاظ التی یقع بها الطلاق،فالمستدلّ علی أنّ الطلاق لا یقع بها لو قال:«حلّ الوطء ثابت قبل النطق بهذه الألفاظ،فکذا بعده»کان صحیحا؛لأنّ المقتضی للتحلیل-و هو العقد-اقتضاه مطلقا،و لا یعلم أنّ الألفاظ المذکورة رافعة لذلک الاقتضاء،فیثبت الحکم عملا بالمقتضی.</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لا یقال:إنّ المقتضی هو العقد،و لم یثبت أنّه باق.</w:t>
      </w:r>
    </w:p>
    <w:p>
      <w:pPr>
        <w:pStyle w:val="BookText"/>
      </w:pPr>
      <w:r>
        <w:rPr>
          <w:rFonts w:ascii="IRNazanin" w:hAnsi="IRNazanin" w:eastAsia="IRNazanin" w:cs="IRNazanin"/>
          <w:lang w:bidi="fa-IR"/>
          <w:color w:val="111111"/>
          <w:sz w:val="28"/>
          <w:szCs w:val="28"/>
          <w:rtl/>
        </w:rPr>
        <w:t xml:space="preserve">لأنّا نقول:وقوع العقد اقتضی حلّ الوطء لا مقیّدا بوقت،فیلزم دوام الحلّ؛نظرا إلی وقوع المقتضی،لا إلی دوامه،فیجب أن یثبت الحلّ حتّی یثبت الرافع.</w:t>
      </w:r>
    </w:p>
    <w:p>
      <w:pPr>
        <w:pStyle w:val="BookText"/>
      </w:pPr>
      <w:r>
        <w:rPr>
          <w:rFonts w:ascii="IRNazanin" w:hAnsi="IRNazanin" w:eastAsia="IRNazanin" w:cs="IRNazanin"/>
          <w:lang w:bidi="fa-IR"/>
          <w:color w:val="111111"/>
          <w:sz w:val="28"/>
          <w:szCs w:val="28"/>
          <w:rtl/>
        </w:rPr>
        <w:t xml:space="preserve">ثمّ قال:فإن کان الخصم یعنی بالاستصحاب ما أشرنا إلیه فلیس هذا عملا بغیر دلیل،و إن کان یعنی أمرا آخر وراء هذا فنحن مضربون عنه </w:t>
      </w:r>
      <w:r>
        <w:rPr>
          <w:rStyle w:val="FootnoteReference"/>
        </w:rPr>
        <w:footnoteReference w:id="1619"/>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یظهر من صاحب المعالم اختیاره؛حیث جعل هذا القول من المحقّق نفیا لحجّیة الاستصحاب </w:t>
      </w:r>
      <w:r>
        <w:rPr>
          <w:rStyle w:val="FootnoteReference"/>
        </w:rPr>
        <w:footnoteReference w:id="1620"/>
      </w:r>
      <w:r>
        <w:rPr>
          <w:rFonts w:ascii="IRNazanin" w:hAnsi="IRNazanin" w:eastAsia="IRNazanin" w:cs="IRNazanin"/>
          <w:lang w:bidi="fa-IR"/>
          <w:color w:val="111111"/>
          <w:sz w:val="28"/>
          <w:szCs w:val="28"/>
          <w:rtl/>
        </w:rPr>
        <w:t xml:space="preserve">،فیظهر أنّ الاستصحاب المختلف فیه غیره.</w:t>
      </w:r>
    </w:p>
    <w:p>
      <w:pPr>
        <w:pStyle w:val="BookText"/>
      </w:pPr>
      <w:r>
        <w:rPr>
          <w:rFonts w:ascii="IRNazanin" w:hAnsi="IRNazanin" w:eastAsia="IRNazanin" w:cs="IRNazanin"/>
          <w:lang w:bidi="fa-IR"/>
          <w:color w:val="111111"/>
          <w:sz w:val="28"/>
          <w:szCs w:val="28"/>
          <w:rtl/>
        </w:rPr>
        <w:t xml:space="preserve">[شماره صفحه واقعی : 52]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bookmarkStart w:id="356" w:name="pg14411_142946"/>
    <w:bookmarkEnd w:id="356"/>
    <w:p>
      <w:pPr>
        <w:pStyle w:val="Heading5"/>
      </w:pPr>
      <w:bookmarkStart w:id="1725" w:name="_Toc760"/>
      <w:r>
        <w:t>[الاستدلال علی القول المختار]</w:t>
      </w:r>
      <w:bookmarkEnd w:id="1725"/>
    </w:p>
    <w:p>
      <w:pPr>
        <w:pStyle w:val="Heading6"/>
      </w:pPr>
      <w:bookmarkStart w:id="1726" w:name="_Toc761"/>
      <w:r>
        <w:t>اشارة</w:t>
      </w:r>
      <w:bookmarkEnd w:id="1726"/>
    </w:p>
    <w:p>
      <w:pPr>
        <w:pStyle w:val="BookText"/>
      </w:pPr>
      <w:r>
        <w:rPr>
          <w:rFonts w:ascii="IRNazanin" w:hAnsi="IRNazanin" w:eastAsia="IRNazanin" w:cs="IRNazanin"/>
          <w:lang w:bidi="fa-IR"/>
          <w:color w:val="111111"/>
          <w:sz w:val="28"/>
          <w:szCs w:val="28"/>
          <w:rtl/>
        </w:rPr>
        <w:t xml:space="preserve">[الاستدلال علی القول المختار] </w:t>
      </w:r>
      <w:r>
        <w:rPr>
          <w:rStyle w:val="FootnoteReference"/>
        </w:rPr>
        <w:footnoteReference w:id="1621"/>
      </w:r>
    </w:p>
    <w:p>
      <w:pPr>
        <w:pStyle w:val="BookText"/>
      </w:pPr>
      <w:r>
        <w:rPr>
          <w:rFonts w:ascii="IRNazanin" w:hAnsi="IRNazanin" w:eastAsia="IRNazanin" w:cs="IRNazanin"/>
          <w:lang w:bidi="fa-IR"/>
          <w:color w:val="111111"/>
          <w:sz w:val="28"/>
          <w:szCs w:val="28"/>
          <w:rtl/>
        </w:rPr>
        <w:t xml:space="preserve">لنا علی ذلک وجوه:</w:t>
      </w:r>
    </w:p>
    <w:p>
      <w:pPr>
        <w:pStyle w:val="Heading6"/>
      </w:pPr>
      <w:bookmarkStart w:id="1727" w:name="_Toc762"/>
      <w:r>
        <w:t>[الوجه ] الأوّل:ظهور کلمات جماعة فی الاتّفاق علیه.</w:t>
      </w:r>
      <w:bookmarkEnd w:id="1727"/>
    </w:p>
    <w:p>
      <w:pPr>
        <w:pStyle w:val="BookText"/>
      </w:pPr>
      <w:r>
        <w:rPr>
          <w:rFonts w:ascii="IRNazanin" w:hAnsi="IRNazanin" w:eastAsia="IRNazanin" w:cs="IRNazanin"/>
          <w:lang w:bidi="fa-IR"/>
          <w:color w:val="111111"/>
          <w:sz w:val="28"/>
          <w:szCs w:val="28"/>
          <w:rtl/>
        </w:rPr>
        <w:t xml:space="preserve">فمنها:ما عن المبادئ،حیث قال:الاستصحاب حجّة؛لإجماع الفقهاء علی أنّه متی حصل حکم،ثمّ وقع الشکّ فی أنّه طرأ ما یزیله أم لا؟وجب الحکم ببقائه علی ما کان أوّلا،و لو لا القول بأنّ الاستصحاب حجّة،لکان ترجیحا لأحد طرفی الممکن من غیر مرجّح </w:t>
      </w:r>
      <w:r>
        <w:rPr>
          <w:rStyle w:val="FootnoteReference"/>
        </w:rPr>
        <w:footnoteReference w:id="1622"/>
      </w:r>
      <w:r>
        <w:rPr>
          <w:rFonts w:ascii="IRNazanin" w:hAnsi="IRNazanin" w:eastAsia="IRNazanin" w:cs="IRNazanin"/>
          <w:lang w:bidi="fa-IR"/>
          <w:color w:val="111111"/>
          <w:sz w:val="28"/>
          <w:szCs w:val="28"/>
          <w:rtl/>
        </w:rPr>
        <w:t xml:space="preserve">، انتهی.</w:t>
      </w:r>
    </w:p>
    <w:p>
      <w:pPr>
        <w:pStyle w:val="BookText"/>
      </w:pPr>
      <w:r>
        <w:rPr>
          <w:rFonts w:ascii="IRNazanin" w:hAnsi="IRNazanin" w:eastAsia="IRNazanin" w:cs="IRNazanin"/>
          <w:lang w:bidi="fa-IR"/>
          <w:color w:val="111111"/>
          <w:sz w:val="28"/>
          <w:szCs w:val="28"/>
          <w:rtl/>
        </w:rPr>
        <w:t xml:space="preserve">و مراده و إن کان الاستدلال به علی حجّیة مطلق الاستصحاب، بناء علی ما ادّعاه:من أنّ الوجه فی الإجماع علی الاستصحاب مع الشکّ فی طروّ المزیل،هو اعتبار الحالة السابقة مطلقا،لکنّه ممنوع؛ لعدم الملازمة،کما سیجیء </w:t>
      </w:r>
      <w:r>
        <w:rPr>
          <w:rStyle w:val="FootnoteReference"/>
        </w:rPr>
        <w:footnoteReference w:id="16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نظیر هذا ما عن النهایة:من أنّ الفقهاء بأسرهم-علی کثرة اختلافهم-اتّفقوا علی أنّا متی تیقّنا حصول شیء و شککنا فی حدوث المزیل له أخذنا بالمتیقّن،و هو عین الاستصحاب؛لأنّهم رجّحوا بقاء الباقی علی حدوث الحادث </w:t>
      </w:r>
      <w:r>
        <w:rPr>
          <w:rStyle w:val="FootnoteReference"/>
        </w:rPr>
        <w:footnoteReference w:id="16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53]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bookmarkStart w:id="357" w:name="pg14411_142947"/>
    <w:bookmarkEnd w:id="357"/>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 منها:تصریح صاحب المعالم </w:t>
      </w:r>
      <w:r>
        <w:rPr>
          <w:rStyle w:val="FootnoteReference"/>
        </w:rPr>
        <w:footnoteReference w:id="1625"/>
      </w:r>
      <w:r>
        <w:rPr>
          <w:rFonts w:ascii="IRNazanin" w:hAnsi="IRNazanin" w:eastAsia="IRNazanin" w:cs="IRNazanin"/>
          <w:lang w:bidi="fa-IR"/>
          <w:color w:val="111111"/>
          <w:sz w:val="28"/>
          <w:szCs w:val="28"/>
          <w:rtl/>
        </w:rPr>
        <w:t xml:space="preserve">و الفاضل الجواد </w:t>
      </w:r>
      <w:r>
        <w:rPr>
          <w:rStyle w:val="FootnoteReference"/>
        </w:rPr>
        <w:footnoteReference w:id="1626"/>
      </w:r>
      <w:r>
        <w:rPr>
          <w:rFonts w:ascii="IRNazanin" w:hAnsi="IRNazanin" w:eastAsia="IRNazanin" w:cs="IRNazanin"/>
          <w:lang w:bidi="fa-IR"/>
          <w:color w:val="111111"/>
          <w:sz w:val="28"/>
          <w:szCs w:val="28"/>
          <w:rtl/>
        </w:rPr>
        <w:t xml:space="preserve">:بأنّ ما ذکره المحقّق أخیرا فی المعارج </w:t>
      </w:r>
      <w:r>
        <w:rPr>
          <w:rStyle w:val="FootnoteReference"/>
        </w:rPr>
        <w:footnoteReference w:id="1627"/>
      </w:r>
      <w:r>
        <w:rPr>
          <w:rFonts w:ascii="IRNazanin" w:hAnsi="IRNazanin" w:eastAsia="IRNazanin" w:cs="IRNazanin"/>
          <w:lang w:bidi="fa-IR"/>
          <w:color w:val="111111"/>
          <w:sz w:val="28"/>
          <w:szCs w:val="28"/>
          <w:rtl/>
        </w:rPr>
        <w:t xml:space="preserve">راجع إلی قول السیّد المرتضی المنکر للاستصحاب </w:t>
      </w:r>
      <w:r>
        <w:rPr>
          <w:rStyle w:val="FootnoteReference"/>
        </w:rPr>
        <w:footnoteReference w:id="1628"/>
      </w:r>
      <w:r>
        <w:rPr>
          <w:rFonts w:ascii="IRNazanin" w:hAnsi="IRNazanin" w:eastAsia="IRNazanin" w:cs="IRNazanin"/>
          <w:lang w:bidi="fa-IR"/>
          <w:color w:val="111111"/>
          <w:sz w:val="28"/>
          <w:szCs w:val="28"/>
          <w:rtl/>
        </w:rPr>
        <w:t xml:space="preserve">فإنّ هذه شهادة منهما علی خروج ما ذکره المحقّق عن مورد النزاع و کونه موضع وفاق.إلاّ أنّ فی صحّة هذه الشهادة نظرا؛ لأنّ ما مثّل فی المعارج من الشکّ فی الرافعیّة من </w:t>
      </w:r>
      <w:r>
        <w:rPr>
          <w:rStyle w:val="FootnoteReference"/>
        </w:rPr>
        <w:footnoteReference w:id="1629"/>
      </w:r>
      <w:r>
        <w:rPr>
          <w:rFonts w:ascii="IRNazanin" w:hAnsi="IRNazanin" w:eastAsia="IRNazanin" w:cs="IRNazanin"/>
          <w:lang w:bidi="fa-IR"/>
          <w:color w:val="111111"/>
          <w:sz w:val="28"/>
          <w:szCs w:val="28"/>
          <w:rtl/>
        </w:rPr>
        <w:t xml:space="preserve">مثال النکاح </w:t>
      </w:r>
      <w:r>
        <w:rPr>
          <w:rStyle w:val="FootnoteReference"/>
        </w:rPr>
        <w:footnoteReference w:id="1630"/>
      </w:r>
      <w:r>
        <w:rPr>
          <w:rFonts w:ascii="IRNazanin" w:hAnsi="IRNazanin" w:eastAsia="IRNazanin" w:cs="IRNazanin"/>
          <w:lang w:bidi="fa-IR"/>
          <w:color w:val="111111"/>
          <w:sz w:val="28"/>
          <w:szCs w:val="28"/>
          <w:rtl/>
        </w:rPr>
        <w:t xml:space="preserve">هو بعینه ما أنکره الغزالی و مثّل له بالخارج من غیر السبیلین </w:t>
      </w:r>
      <w:r>
        <w:rPr>
          <w:rStyle w:val="FootnoteReference"/>
        </w:rPr>
        <w:footnoteReference w:id="1631"/>
      </w:r>
      <w:r>
        <w:rPr>
          <w:rFonts w:ascii="IRNazanin" w:hAnsi="IRNazanin" w:eastAsia="IRNazanin" w:cs="IRNazanin"/>
          <w:lang w:bidi="fa-IR"/>
          <w:color w:val="111111"/>
          <w:sz w:val="28"/>
          <w:szCs w:val="28"/>
          <w:rtl/>
        </w:rPr>
        <w:t xml:space="preserve">فإنّ الطهارة کالنکاح فی أنّ سببها مقتض لتحقّقه </w:t>
      </w:r>
      <w:r>
        <w:rPr>
          <w:rStyle w:val="FootnoteReference"/>
        </w:rPr>
        <w:footnoteReference w:id="1632"/>
      </w:r>
      <w:r>
        <w:rPr>
          <w:rFonts w:ascii="IRNazanin" w:hAnsi="IRNazanin" w:eastAsia="IRNazanin" w:cs="IRNazanin"/>
          <w:lang w:bidi="fa-IR"/>
          <w:color w:val="111111"/>
          <w:sz w:val="28"/>
          <w:szCs w:val="28"/>
          <w:rtl/>
        </w:rPr>
        <w:t xml:space="preserve">دائما إلی أن یثبت الرافع.</w:t>
      </w:r>
    </w:p>
    <w:p>
      <w:pPr>
        <w:pStyle w:val="Heading6"/>
      </w:pPr>
      <w:bookmarkStart w:id="1728" w:name="_Toc763"/>
      <w:r>
        <w:t>[الوجه ] الثانی: [الاستقراء:]</w:t>
      </w:r>
      <w:bookmarkEnd w:id="1728"/>
    </w:p>
    <w:p>
      <w:pPr>
        <w:pStyle w:val="BookText"/>
      </w:pPr>
      <w:r>
        <w:rPr>
          <w:rFonts w:ascii="IRNazanin" w:hAnsi="IRNazanin" w:eastAsia="IRNazanin" w:cs="IRNazanin"/>
          <w:lang w:bidi="fa-IR"/>
          <w:color w:val="111111"/>
          <w:sz w:val="28"/>
          <w:szCs w:val="28"/>
          <w:rtl/>
        </w:rPr>
        <w:t xml:space="preserve">أنّا تتبّعنا موارد الشکّ فی بقاء الحکم السابق المشکوک من جهة الرافع،فلم نجد من أوّل الفقه إلی آخره موردا إلاّ و حکم الشارع فیه بالبقاء،إلاّ مع أمارة توجب الظنّ بالخلاف،کالحکم بنجاسة الخارج قبل الاستبراء؛فإنّ الحکم بها لیس لعدم اعتبار الحالة السابقة-و إلاّ لوجب الحکم بالطهارة لقاعدة الطهارة-بل لغلبة بقاء جزء من البول</w:t>
      </w:r>
    </w:p>
    <w:p>
      <w:pPr>
        <w:pStyle w:val="BookText"/>
      </w:pPr>
      <w:r>
        <w:rPr>
          <w:rFonts w:ascii="IRNazanin" w:hAnsi="IRNazanin" w:eastAsia="IRNazanin" w:cs="IRNazanin"/>
          <w:lang w:bidi="fa-IR"/>
          <w:color w:val="111111"/>
          <w:sz w:val="28"/>
          <w:szCs w:val="28"/>
          <w:rtl/>
        </w:rPr>
        <w:t xml:space="preserve">[شماره صفحه واقعی : 54]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bookmarkStart w:id="358" w:name="pg14411_142948"/>
    <w:bookmarkEnd w:id="358"/>
    <w:p>
      <w:pPr>
        <w:pStyle w:val="BookText"/>
      </w:pPr>
      <w:r>
        <w:rPr>
          <w:rFonts w:ascii="IRNazanin" w:hAnsi="IRNazanin" w:eastAsia="IRNazanin" w:cs="IRNazanin"/>
          <w:lang w:bidi="fa-IR"/>
          <w:color w:val="111111"/>
          <w:sz w:val="28"/>
          <w:szCs w:val="28"/>
          <w:rtl/>
        </w:rPr>
        <w:t xml:space="preserve">أو المنیّ فی المخرج،فرجّح هذا الظاهر علی الأصل،کما فی غسالة الحمّام عند بعض،و البناء علی الصحّة المستندة إلی ظهور فعل المسلم.</w:t>
      </w:r>
    </w:p>
    <w:p>
      <w:pPr>
        <w:pStyle w:val="BookText"/>
      </w:pPr>
      <w:r>
        <w:rPr>
          <w:rFonts w:ascii="IRNazanin" w:hAnsi="IRNazanin" w:eastAsia="IRNazanin" w:cs="IRNazanin"/>
          <w:lang w:bidi="fa-IR"/>
          <w:color w:val="111111"/>
          <w:sz w:val="28"/>
          <w:szCs w:val="28"/>
          <w:rtl/>
        </w:rPr>
        <w:t xml:space="preserve">و الإنصاف:أنّ هذا الاستقراء یکاد یفید القطع،و هو أولی من الاستقراء الذی ذکر غیر واحد-کالمحقّق البهبهانی </w:t>
      </w:r>
      <w:r>
        <w:rPr>
          <w:rStyle w:val="FootnoteReference"/>
        </w:rPr>
        <w:footnoteReference w:id="1633"/>
      </w:r>
      <w:r>
        <w:rPr>
          <w:rFonts w:ascii="IRNazanin" w:hAnsi="IRNazanin" w:eastAsia="IRNazanin" w:cs="IRNazanin"/>
          <w:lang w:bidi="fa-IR"/>
          <w:color w:val="111111"/>
          <w:sz w:val="28"/>
          <w:szCs w:val="28"/>
          <w:rtl/>
        </w:rPr>
        <w:t xml:space="preserve">و صاحب الریاض </w:t>
      </w:r>
      <w:r>
        <w:rPr>
          <w:rStyle w:val="FootnoteReference"/>
        </w:rPr>
        <w:footnoteReference w:id="16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أنّه المستند فی حجّیة شهادة العدلین علی الإطلاق.</w:t>
      </w:r>
    </w:p>
    <w:p>
      <w:pPr>
        <w:pStyle w:val="Heading6"/>
      </w:pPr>
      <w:bookmarkStart w:id="1729" w:name="_Toc764"/>
      <w:r>
        <w:t>[الوجه ] الثالث:الأخبار المستفیضة</w:t>
      </w:r>
      <w:bookmarkEnd w:id="1729"/>
    </w:p>
    <w:p>
      <w:pPr>
        <w:pStyle w:val="Heading6"/>
      </w:pPr>
      <w:bookmarkStart w:id="1730" w:name="_Toc765"/>
      <w:r>
        <w:t>[1-صحیحة زرارة الاولی:]</w:t>
      </w:r>
      <w:bookmarkEnd w:id="1730"/>
    </w:p>
    <w:p>
      <w:pPr>
        <w:pStyle w:val="Heading6"/>
      </w:pPr>
      <w:bookmarkStart w:id="1731" w:name="_Toc766"/>
      <w:r>
        <w:t>اشارة</w:t>
      </w:r>
      <w:bookmarkEnd w:id="1731"/>
    </w:p>
    <w:p>
      <w:pPr>
        <w:pStyle w:val="BookText"/>
      </w:pPr>
      <w:r>
        <w:rPr>
          <w:rFonts w:ascii="IRNazanin" w:hAnsi="IRNazanin" w:eastAsia="IRNazanin" w:cs="IRNazanin"/>
          <w:lang w:bidi="fa-IR"/>
          <w:color w:val="111111"/>
          <w:sz w:val="28"/>
          <w:szCs w:val="28"/>
          <w:rtl/>
        </w:rPr>
        <w:t xml:space="preserve">منها:صحیحة زرارة-و لا یضرّها الإضمار-«قال:قلت له:</w:t>
      </w:r>
    </w:p>
    <w:p>
      <w:pPr>
        <w:pStyle w:val="BookText"/>
      </w:pPr>
      <w:r>
        <w:rPr>
          <w:rFonts w:ascii="IRNazanin" w:hAnsi="IRNazanin" w:eastAsia="IRNazanin" w:cs="IRNazanin"/>
          <w:lang w:bidi="fa-IR"/>
          <w:color w:val="111111"/>
          <w:sz w:val="28"/>
          <w:szCs w:val="28"/>
          <w:rtl/>
        </w:rPr>
        <w:t xml:space="preserve">الرجل ینام و هو علی وضوء،أ توجب الخفقة و الخفقتان علیه الوضوء؟</w:t>
      </w:r>
    </w:p>
    <w:p>
      <w:pPr>
        <w:pStyle w:val="BookText"/>
      </w:pPr>
      <w:r>
        <w:rPr>
          <w:rFonts w:ascii="IRNazanin" w:hAnsi="IRNazanin" w:eastAsia="IRNazanin" w:cs="IRNazanin"/>
          <w:lang w:bidi="fa-IR"/>
          <w:color w:val="111111"/>
          <w:sz w:val="28"/>
          <w:szCs w:val="28"/>
          <w:rtl/>
        </w:rPr>
        <w:t xml:space="preserve">قال:یا زرارة،قد تنام العین و لا ینام القلب و الاذن،فإذا نامت العین و الاذن </w:t>
      </w:r>
      <w:r>
        <w:rPr>
          <w:rStyle w:val="FootnoteReference"/>
        </w:rPr>
        <w:footnoteReference w:id="1635"/>
      </w:r>
      <w:r>
        <w:rPr>
          <w:rFonts w:ascii="IRNazanin" w:hAnsi="IRNazanin" w:eastAsia="IRNazanin" w:cs="IRNazanin"/>
          <w:lang w:bidi="fa-IR"/>
          <w:color w:val="111111"/>
          <w:sz w:val="28"/>
          <w:szCs w:val="28"/>
          <w:rtl/>
        </w:rPr>
        <w:t xml:space="preserve">فقد وجب الوضوء.</w:t>
      </w:r>
    </w:p>
    <w:p>
      <w:pPr>
        <w:pStyle w:val="BookText"/>
      </w:pPr>
      <w:r>
        <w:rPr>
          <w:rFonts w:ascii="IRNazanin" w:hAnsi="IRNazanin" w:eastAsia="IRNazanin" w:cs="IRNazanin"/>
          <w:lang w:bidi="fa-IR"/>
          <w:color w:val="111111"/>
          <w:sz w:val="28"/>
          <w:szCs w:val="28"/>
          <w:rtl/>
        </w:rPr>
        <w:t xml:space="preserve">قلت:فإن حرّک إلی </w:t>
      </w:r>
      <w:r>
        <w:rPr>
          <w:rStyle w:val="FootnoteReference"/>
        </w:rPr>
        <w:footnoteReference w:id="1636"/>
      </w:r>
      <w:r>
        <w:rPr>
          <w:rFonts w:ascii="IRNazanin" w:hAnsi="IRNazanin" w:eastAsia="IRNazanin" w:cs="IRNazanin"/>
          <w:lang w:bidi="fa-IR"/>
          <w:color w:val="111111"/>
          <w:sz w:val="28"/>
          <w:szCs w:val="28"/>
          <w:rtl/>
        </w:rPr>
        <w:t xml:space="preserve">جنبه شیء،و هو لا یعلم؟</w:t>
      </w:r>
    </w:p>
    <w:p>
      <w:pPr>
        <w:pStyle w:val="BookText"/>
      </w:pPr>
      <w:r>
        <w:rPr>
          <w:rFonts w:ascii="IRNazanin" w:hAnsi="IRNazanin" w:eastAsia="IRNazanin" w:cs="IRNazanin"/>
          <w:lang w:bidi="fa-IR"/>
          <w:color w:val="111111"/>
          <w:sz w:val="28"/>
          <w:szCs w:val="28"/>
          <w:rtl/>
        </w:rPr>
        <w:t xml:space="preserve">قال:لا،حتّی یستیقن أنّه قد نام،حتّی یجیء من ذلک أمر بیّن، و إلاّ فإنّه علی یقین من وضوئه،و لا ینقض الیقین أبدا بالشکّ،و لکن ینقضه بیقین آخر» </w:t>
      </w:r>
      <w:r>
        <w:rPr>
          <w:rStyle w:val="FootnoteReference"/>
        </w:rPr>
        <w:footnoteReference w:id="16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55]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bookmarkStart w:id="359" w:name="pg14411_142949"/>
    <w:bookmarkEnd w:id="359"/>
    <w:p>
      <w:pPr>
        <w:pStyle w:val="Heading6"/>
      </w:pPr>
      <w:bookmarkStart w:id="1732" w:name="_Toc767"/>
      <w:r>
        <w:t>تقریر الاستدلال</w:t>
      </w:r>
      <w:bookmarkEnd w:id="1732"/>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Amiri" w:hAnsi="Amiri" w:eastAsia="Amiri" w:cs="Amiri"/>
          <w:lang w:bidi="ar-SA"/>
          <w:color w:val="111111"/>
          <w:sz w:val="28"/>
          <w:szCs w:val="28"/>
          <w:rtl/>
        </w:rPr>
        <w:t xml:space="preserve">و تقریر الاستدلال:أنّ جواب الشرط فی قوله علیه السّلام:«و إلاّ فإنّه علی یقین»محذوف،قامت العلّة مقامه لدلالتها علیه،و جعلها نفس الجزاء یحتاج إلی تکلّف،و إقامة العلّة مقام الجزاء لا تحصی کثرة فی القرآن و غیره،مثل قوله تعالی: وَ إِنْ تَجْهَرْ بِالْقَوْلِ فَإِنَّهُ یَعْلَمُ السِّرَّ وَ أَخْفیٰ </w:t>
      </w:r>
      <w:r>
        <w:rPr>
          <w:rStyle w:val="FootnoteReference"/>
        </w:rPr>
        <w:footnoteReference w:id="1638"/>
      </w:r>
      <w:r>
        <w:rPr>
          <w:rFonts w:ascii="Amiri" w:hAnsi="Amiri" w:eastAsia="Amiri" w:cs="Amiri"/>
          <w:lang w:bidi="ar-SA"/>
          <w:color w:val="111111"/>
          <w:sz w:val="28"/>
          <w:szCs w:val="28"/>
          <w:rtl/>
        </w:rPr>
        <w:t xml:space="preserve">،و إِنْ تَکْفُرُوا فَإِنَّ اللّٰهَ غَنِیٌّ عَنْکُمْ </w:t>
      </w:r>
      <w:r>
        <w:rPr>
          <w:rStyle w:val="FootnoteReference"/>
        </w:rPr>
        <w:footnoteReference w:id="1639"/>
      </w:r>
      <w:r>
        <w:rPr>
          <w:rFonts w:ascii="Amiri" w:hAnsi="Amiri" w:eastAsia="Amiri" w:cs="Amiri"/>
          <w:lang w:bidi="ar-SA"/>
          <w:color w:val="111111"/>
          <w:sz w:val="28"/>
          <w:szCs w:val="28"/>
          <w:rtl/>
        </w:rPr>
        <w:t xml:space="preserve">،و مَنْ کَفَرَ فَإِنَّ رَبِّی غَنِیٌّ کَرِیمٌ </w:t>
      </w:r>
      <w:r>
        <w:rPr>
          <w:rStyle w:val="FootnoteReference"/>
        </w:rPr>
        <w:footnoteReference w:id="1640"/>
      </w:r>
      <w:r>
        <w:rPr>
          <w:rFonts w:ascii="Amiri" w:hAnsi="Amiri" w:eastAsia="Amiri" w:cs="Amiri"/>
          <w:lang w:bidi="ar-SA"/>
          <w:color w:val="111111"/>
          <w:sz w:val="28"/>
          <w:szCs w:val="28"/>
          <w:rtl/>
        </w:rPr>
        <w:t xml:space="preserve">،و مَنْ کَفَرَ فَإِنَّ اللّٰهَ غَنِیٌّ عَنِ الْعٰالَمِینَ </w:t>
      </w:r>
      <w:r>
        <w:rPr>
          <w:rStyle w:val="FootnoteReference"/>
        </w:rPr>
        <w:footnoteReference w:id="1641"/>
      </w:r>
      <w:r>
        <w:rPr>
          <w:rFonts w:ascii="Amiri" w:hAnsi="Amiri" w:eastAsia="Amiri" w:cs="Amiri"/>
          <w:lang w:bidi="ar-SA"/>
          <w:color w:val="111111"/>
          <w:sz w:val="28"/>
          <w:szCs w:val="28"/>
          <w:rtl/>
        </w:rPr>
        <w:t xml:space="preserve">،و فَإِنْ یَکْفُرْ بِهٰا هٰؤُلاٰءِ فَقَدْ وَکَّلْنٰا بِهٰا قَوْماً لَیْسُوا بِهٰا بِکٰافِرِینَ </w:t>
      </w:r>
      <w:r>
        <w:rPr>
          <w:rStyle w:val="FootnoteReference"/>
        </w:rPr>
        <w:footnoteReference w:id="1642"/>
      </w:r>
      <w:r>
        <w:rPr>
          <w:rFonts w:ascii="Amiri" w:hAnsi="Amiri" w:eastAsia="Amiri" w:cs="Amiri"/>
          <w:lang w:bidi="ar-SA"/>
          <w:color w:val="111111"/>
          <w:sz w:val="28"/>
          <w:szCs w:val="28"/>
          <w:rtl/>
        </w:rPr>
        <w:t xml:space="preserve">،و إِنْ یَسْرِقْ فَقَدْ سَرَقَ أَخٌ لَهُ مِنْ قَبْلُ </w:t>
      </w:r>
      <w:r>
        <w:rPr>
          <w:rStyle w:val="FootnoteReference"/>
        </w:rPr>
        <w:footnoteReference w:id="1643"/>
      </w:r>
      <w:r>
        <w:rPr>
          <w:rFonts w:ascii="Amiri" w:hAnsi="Amiri" w:eastAsia="Amiri" w:cs="Amiri"/>
          <w:lang w:bidi="ar-SA"/>
          <w:color w:val="111111"/>
          <w:sz w:val="28"/>
          <w:szCs w:val="28"/>
          <w:rtl/>
        </w:rPr>
        <w:t xml:space="preserve">،و إِنْ یُکَذِّبُوکَ فَقَدْ کُذِّبَتْ </w:t>
      </w:r>
      <w:r>
        <w:rPr>
          <w:rStyle w:val="FootnoteReference"/>
        </w:rPr>
        <w:footnoteReference w:id="1644"/>
      </w:r>
      <w:r>
        <w:rPr>
          <w:rFonts w:ascii="IRNazanin" w:hAnsi="IRNazanin" w:eastAsia="IRNazanin" w:cs="IRNazanin"/>
          <w:lang w:bidi="fa-IR"/>
          <w:color w:val="111111"/>
          <w:sz w:val="28"/>
          <w:szCs w:val="28"/>
          <w:rtl/>
        </w:rPr>
        <w:t xml:space="preserve">،إلی غیر ذلک.</w:t>
      </w:r>
    </w:p>
    <w:p>
      <w:pPr>
        <w:pStyle w:val="Heading6"/>
      </w:pPr>
      <w:bookmarkStart w:id="1733" w:name="_Toc768"/>
      <w:r>
        <w:t>[معنی الروایة:]</w:t>
      </w:r>
      <w:bookmarkEnd w:id="1733"/>
    </w:p>
    <w:p>
      <w:pPr>
        <w:pStyle w:val="BookText"/>
      </w:pPr>
      <w:r>
        <w:rPr>
          <w:rFonts w:ascii="IRNazanin" w:hAnsi="IRNazanin" w:eastAsia="IRNazanin" w:cs="IRNazanin"/>
          <w:lang w:bidi="fa-IR"/>
          <w:color w:val="111111"/>
          <w:sz w:val="28"/>
          <w:szCs w:val="28"/>
          <w:rtl/>
        </w:rPr>
        <w:t xml:space="preserve">فمعنی الروایة:إن لم یستیقن أنّه قد نام فلا یجب علیه الوضوء؛ لأنّه علی یقین من وضوئه فی السابق،و بعد إهمال تقیید الیقین بالوضوء و جعل العلّة نفس الیقین،یکون قوله علیه السّلام:«و لا ینقض الیقین»بمنزلة کبری کلّیة للصغری المزبورة.</w:t>
      </w:r>
    </w:p>
    <w:p>
      <w:pPr>
        <w:pStyle w:val="Heading6"/>
      </w:pPr>
      <w:bookmarkStart w:id="1734" w:name="_Toc769"/>
      <w:r>
        <w:t>[کون اللام فی«الیقین»للجنس:]</w:t>
      </w:r>
      <w:bookmarkEnd w:id="1734"/>
    </w:p>
    <w:p>
      <w:pPr>
        <w:pStyle w:val="BookText"/>
      </w:pPr>
      <w:r>
        <w:rPr>
          <w:rFonts w:ascii="IRNazanin" w:hAnsi="IRNazanin" w:eastAsia="IRNazanin" w:cs="IRNazanin"/>
          <w:lang w:bidi="fa-IR"/>
          <w:color w:val="111111"/>
          <w:sz w:val="28"/>
          <w:szCs w:val="28"/>
          <w:rtl/>
        </w:rPr>
        <w:t xml:space="preserve">هذا،و لکنّ مبنی الاستدلال علی کون اللام فی«الیقین»للجنس؛ إذ لو کانت للعهد لکانت الکبری-المنضمّة إلی الصغری-«و لا ینقض</w:t>
      </w:r>
    </w:p>
    <w:p>
      <w:pPr>
        <w:pStyle w:val="BookText"/>
      </w:pPr>
      <w:r>
        <w:rPr>
          <w:rFonts w:ascii="IRNazanin" w:hAnsi="IRNazanin" w:eastAsia="IRNazanin" w:cs="IRNazanin"/>
          <w:lang w:bidi="fa-IR"/>
          <w:color w:val="111111"/>
          <w:sz w:val="28"/>
          <w:szCs w:val="28"/>
          <w:rtl/>
        </w:rPr>
        <w:t xml:space="preserve">[شماره صفحه واقعی : 56]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الیقین بالوضوء بالشکّ»،فیفید قاعدة کلیّة فی باب الوضوء،و أنّه لا ینقض إلاّ بالیقین بالحدث،و«اللام»و إن کان ظاهرا فی الجنس،</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إلاّ أنّ سبق یقین الوضوء ربما یوهن الظهور المذکور،بحیث لو فرض إرادة خصوص یقین الوضوء لم یکن بعیدا عن اللفظ.مع احتمال أن لا یکون قوله علیه السّلام:«فإنّه علی یقین»علّة قائمة مقام الجزاء،بل یکون الجزاء مستفادا من قوله علیه السّلام:«و لا ینقض»،و قوله علیه السّلام:«فإنّه علی یقین»توطئة له،و المعنی:أنّه إن لم یستیقن النوم فهو مستیقن لوضوئه السابق،و یثبت علی مقتضی یقینه و لا ینقضه؛فیخرج قوله:«لا ینقض» عن کونه بمنزلة الکبری،فیصیر عموم الیقین و إرادة الجنس منه أوهن.</w:t>
      </w:r>
    </w:p>
    <w:p>
      <w:pPr>
        <w:pStyle w:val="BookText"/>
      </w:pPr>
      <w:r>
        <w:rPr>
          <w:rFonts w:ascii="IRNazanin" w:hAnsi="IRNazanin" w:eastAsia="IRNazanin" w:cs="IRNazanin"/>
          <w:lang w:bidi="fa-IR"/>
          <w:color w:val="111111"/>
          <w:sz w:val="28"/>
          <w:szCs w:val="28"/>
          <w:rtl/>
        </w:rPr>
        <w:t xml:space="preserve">لکنّ الإنصاف:أنّ الکلام مع ذلک لا یخلو عن ظهور،خصوصا بضمیمة الأخبار الأخر الآتیة المتضمّنة لعدم نقض الیقین بالشکّ.</w:t>
      </w:r>
    </w:p>
    <w:p>
      <w:pPr>
        <w:pStyle w:val="BookText"/>
      </w:pPr>
      <w:r>
        <w:rPr>
          <w:rFonts w:ascii="IRNazanin" w:hAnsi="IRNazanin" w:eastAsia="IRNazanin" w:cs="IRNazanin"/>
          <w:lang w:bidi="fa-IR"/>
          <w:color w:val="111111"/>
          <w:sz w:val="28"/>
          <w:szCs w:val="28"/>
          <w:rtl/>
        </w:rPr>
        <w:t xml:space="preserve">و ربما یورد علی إرادة العموم من الیقین:أنّ النفی الوارد علی العموم لا یدلّ علی السلب الکلّی </w:t>
      </w:r>
      <w:r>
        <w:rPr>
          <w:rStyle w:val="FootnoteReference"/>
        </w:rPr>
        <w:footnoteReference w:id="16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فیه:أنّ العموم مستفاد من الجنس فی حیّز النفی؛فالعموم بملاحظة النفی کما فی«لا رجل فی الدار»،لا فی حیّزه کما فی«لم آخذ کلّ الدراهم»،و لو کان اللام لاستغراق الأفراد کان </w:t>
      </w:r>
      <w:r>
        <w:rPr>
          <w:rStyle w:val="FootnoteReference"/>
        </w:rPr>
        <w:footnoteReference w:id="1646"/>
      </w:r>
      <w:r>
        <w:rPr>
          <w:rFonts w:ascii="IRNazanin" w:hAnsi="IRNazanin" w:eastAsia="IRNazanin" w:cs="IRNazanin"/>
          <w:lang w:bidi="fa-IR"/>
          <w:color w:val="111111"/>
          <w:sz w:val="28"/>
          <w:szCs w:val="28"/>
          <w:rtl/>
        </w:rPr>
        <w:t xml:space="preserve">الظاهر </w:t>
      </w:r>
      <w:r>
        <w:rPr>
          <w:rStyle w:val="FootnoteReference"/>
        </w:rPr>
        <w:footnoteReference w:id="1647"/>
      </w:r>
      <w:r>
        <w:rPr>
          <w:rFonts w:ascii="IRNazanin" w:hAnsi="IRNazanin" w:eastAsia="IRNazanin" w:cs="IRNazanin"/>
          <w:lang w:bidi="fa-IR"/>
          <w:color w:val="111111"/>
          <w:sz w:val="28"/>
          <w:szCs w:val="28"/>
          <w:rtl/>
        </w:rPr>
        <w:t xml:space="preserve">-بقرینة</w:t>
      </w:r>
    </w:p>
    <w:p>
      <w:pPr>
        <w:pStyle w:val="BookText"/>
      </w:pPr>
      <w:r>
        <w:rPr>
          <w:rFonts w:ascii="IRNazanin" w:hAnsi="IRNazanin" w:eastAsia="IRNazanin" w:cs="IRNazanin"/>
          <w:lang w:bidi="fa-IR"/>
          <w:color w:val="111111"/>
          <w:sz w:val="28"/>
          <w:szCs w:val="28"/>
          <w:rtl/>
        </w:rPr>
        <w:t xml:space="preserve">[شماره صفحه واقعی : 57]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bookmarkStart w:id="360" w:name="pg14411_142951"/>
    <w:bookmarkEnd w:id="360"/>
    <w:p>
      <w:pPr>
        <w:pStyle w:val="BookText"/>
      </w:pPr>
      <w:r>
        <w:rPr>
          <w:rFonts w:ascii="IRNazanin" w:hAnsi="IRNazanin" w:eastAsia="IRNazanin" w:cs="IRNazanin"/>
          <w:lang w:bidi="fa-IR"/>
          <w:color w:val="111111"/>
          <w:sz w:val="28"/>
          <w:szCs w:val="28"/>
          <w:rtl/>
        </w:rPr>
        <w:t xml:space="preserve">المقام و التعلیل و قوله:«أبدا»-هو </w:t>
      </w:r>
      <w:r>
        <w:rPr>
          <w:rStyle w:val="FootnoteReference"/>
        </w:rPr>
        <w:footnoteReference w:id="1648"/>
      </w:r>
      <w:r>
        <w:rPr>
          <w:rFonts w:ascii="IRNazanin" w:hAnsi="IRNazanin" w:eastAsia="IRNazanin" w:cs="IRNazanin"/>
          <w:lang w:bidi="fa-IR"/>
          <w:color w:val="111111"/>
          <w:sz w:val="28"/>
          <w:szCs w:val="28"/>
          <w:rtl/>
        </w:rPr>
        <w:t xml:space="preserve">إرادة عموم النفی،لا نفی العموم.</w:t>
      </w:r>
    </w:p>
    <w:p>
      <w:pPr>
        <w:pStyle w:val="BookText"/>
      </w:pPr>
      <w:r>
        <w:rPr>
          <w:rFonts w:ascii="IRNazanin" w:hAnsi="IRNazanin" w:eastAsia="IRNazanin" w:cs="IRNazanin"/>
          <w:lang w:bidi="fa-IR"/>
          <w:color w:val="111111"/>
          <w:sz w:val="28"/>
          <w:szCs w:val="28"/>
          <w:rtl/>
        </w:rPr>
        <w:t xml:space="preserve">و قد أورد علی الاستدلال بالصحیحة بما لا یخفی جوابه علی الفطن </w:t>
      </w:r>
      <w:r>
        <w:rPr>
          <w:rStyle w:val="FootnoteReference"/>
        </w:rPr>
        <w:footnoteReference w:id="16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المهمّ فی هذا الاستدلال إثبات إرادة الجنس من الیقین.</w:t>
      </w:r>
    </w:p>
    <w:p>
      <w:pPr>
        <w:pStyle w:val="Heading6"/>
      </w:pPr>
      <w:bookmarkStart w:id="1735" w:name="_Toc770"/>
      <w:r>
        <w:t>[2-صحیحة زرارة الثانیة:]</w:t>
      </w:r>
      <w:bookmarkEnd w:id="1735"/>
    </w:p>
    <w:p>
      <w:pPr>
        <w:pStyle w:val="Heading6"/>
      </w:pPr>
      <w:bookmarkStart w:id="1736" w:name="_Toc771"/>
      <w:r>
        <w:t>اشارة</w:t>
      </w:r>
      <w:bookmarkEnd w:id="1736"/>
    </w:p>
    <w:p>
      <w:pPr>
        <w:pStyle w:val="BookText"/>
      </w:pPr>
      <w:r>
        <w:rPr>
          <w:rFonts w:ascii="IRNazanin" w:hAnsi="IRNazanin" w:eastAsia="IRNazanin" w:cs="IRNazanin"/>
          <w:lang w:bidi="fa-IR"/>
          <w:color w:val="111111"/>
          <w:sz w:val="28"/>
          <w:szCs w:val="28"/>
          <w:rtl/>
        </w:rPr>
        <w:t xml:space="preserve">و منها:صحیحة اخری لزرارة-مضمرة أیضا-:«قال:قلت له </w:t>
      </w:r>
      <w:r>
        <w:rPr>
          <w:rStyle w:val="FootnoteReference"/>
        </w:rPr>
        <w:footnoteReference w:id="1650"/>
      </w:r>
      <w:r>
        <w:rPr>
          <w:rFonts w:ascii="IRNazanin" w:hAnsi="IRNazanin" w:eastAsia="IRNazanin" w:cs="IRNazanin"/>
          <w:lang w:bidi="fa-IR"/>
          <w:color w:val="111111"/>
          <w:sz w:val="28"/>
          <w:szCs w:val="28"/>
          <w:rtl/>
        </w:rPr>
        <w:t xml:space="preserve">:أصاب ثوبی دم رعاف أو غیره أو شیء من المنی،فعلّمت أثره إلی أن اصیب له الماء،فأصبت،فحضرت الصلاة،و نسیت أنّ بثوبی شیئا و صلّیت،ثمّ إنّی ذکرت بعد ذلک؟</w:t>
      </w:r>
    </w:p>
    <w:p>
      <w:pPr>
        <w:pStyle w:val="BookText"/>
      </w:pPr>
      <w:r>
        <w:rPr>
          <w:rFonts w:ascii="IRNazanin" w:hAnsi="IRNazanin" w:eastAsia="IRNazanin" w:cs="IRNazanin"/>
          <w:lang w:bidi="fa-IR"/>
          <w:color w:val="111111"/>
          <w:sz w:val="28"/>
          <w:szCs w:val="28"/>
          <w:rtl/>
        </w:rPr>
        <w:t xml:space="preserve">قال علیه السّلام:تعید الصلاة و تغسله.</w:t>
      </w:r>
    </w:p>
    <w:p>
      <w:pPr>
        <w:pStyle w:val="BookText"/>
      </w:pPr>
      <w:r>
        <w:rPr>
          <w:rFonts w:ascii="IRNazanin" w:hAnsi="IRNazanin" w:eastAsia="IRNazanin" w:cs="IRNazanin"/>
          <w:lang w:bidi="fa-IR"/>
          <w:color w:val="111111"/>
          <w:sz w:val="28"/>
          <w:szCs w:val="28"/>
          <w:rtl/>
        </w:rPr>
        <w:t xml:space="preserve">قلت:فإن لم أکن رأیت موضعه،و علمت أنّه قد أصابه،فطلبته و لم أقدر علیه،فلمّا صلّیت وجدته؟</w:t>
      </w:r>
    </w:p>
    <w:p>
      <w:pPr>
        <w:pStyle w:val="BookText"/>
      </w:pPr>
      <w:r>
        <w:rPr>
          <w:rFonts w:ascii="IRNazanin" w:hAnsi="IRNazanin" w:eastAsia="IRNazanin" w:cs="IRNazanin"/>
          <w:lang w:bidi="fa-IR"/>
          <w:color w:val="111111"/>
          <w:sz w:val="28"/>
          <w:szCs w:val="28"/>
          <w:rtl/>
        </w:rPr>
        <w:t xml:space="preserve">قال علیه السّلام:تغسله و تعید.</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قلت:فإن ظننت أنّه أصابه و لم أتیقّن ذلک،فنظرت فلم أر شیئا فصلّیت،فرأیت فیه؟</w:t>
      </w:r>
    </w:p>
    <w:p>
      <w:pPr>
        <w:pStyle w:val="BookText"/>
      </w:pPr>
      <w:r>
        <w:rPr>
          <w:rFonts w:ascii="IRNazanin" w:hAnsi="IRNazanin" w:eastAsia="IRNazanin" w:cs="IRNazanin"/>
          <w:lang w:bidi="fa-IR"/>
          <w:color w:val="111111"/>
          <w:sz w:val="28"/>
          <w:szCs w:val="28"/>
          <w:rtl/>
        </w:rPr>
        <w:t xml:space="preserve">قال:تغسله و لا تعید الصلاة.</w:t>
      </w:r>
    </w:p>
    <w:p>
      <w:pPr>
        <w:pStyle w:val="BookText"/>
      </w:pPr>
      <w:r>
        <w:rPr>
          <w:rFonts w:ascii="IRNazanin" w:hAnsi="IRNazanin" w:eastAsia="IRNazanin" w:cs="IRNazanin"/>
          <w:lang w:bidi="fa-IR"/>
          <w:color w:val="111111"/>
          <w:sz w:val="28"/>
          <w:szCs w:val="28"/>
          <w:rtl/>
        </w:rPr>
        <w:t xml:space="preserve">قلت:لم ذلک؟</w:t>
      </w:r>
    </w:p>
    <w:p>
      <w:pPr>
        <w:pStyle w:val="BookText"/>
      </w:pPr>
      <w:r>
        <w:rPr>
          <w:rFonts w:ascii="IRNazanin" w:hAnsi="IRNazanin" w:eastAsia="IRNazanin" w:cs="IRNazanin"/>
          <w:lang w:bidi="fa-IR"/>
          <w:color w:val="111111"/>
          <w:sz w:val="28"/>
          <w:szCs w:val="28"/>
          <w:rtl/>
        </w:rPr>
        <w:t xml:space="preserve">قال:لأنّک کنت علی یقین من طهارتک فشککت،و لیس ینبغی لک أن تنقض الیقین بالشکّ أبدا.</w:t>
      </w:r>
    </w:p>
    <w:p>
      <w:pPr>
        <w:pStyle w:val="BookText"/>
      </w:pPr>
      <w:r>
        <w:rPr>
          <w:rFonts w:ascii="IRNazanin" w:hAnsi="IRNazanin" w:eastAsia="IRNazanin" w:cs="IRNazanin"/>
          <w:lang w:bidi="fa-IR"/>
          <w:color w:val="111111"/>
          <w:sz w:val="28"/>
          <w:szCs w:val="28"/>
          <w:rtl/>
        </w:rPr>
        <w:t xml:space="preserve">[شماره صفحه واقعی : 58]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bookmarkStart w:id="361" w:name="pg14411_142952"/>
    <w:bookmarkEnd w:id="361"/>
    <w:p>
      <w:pPr>
        <w:pStyle w:val="BookText"/>
      </w:pPr>
      <w:r>
        <w:rPr>
          <w:rFonts w:ascii="IRNazanin" w:hAnsi="IRNazanin" w:eastAsia="IRNazanin" w:cs="IRNazanin"/>
          <w:lang w:bidi="fa-IR"/>
          <w:color w:val="111111"/>
          <w:sz w:val="28"/>
          <w:szCs w:val="28"/>
          <w:rtl/>
        </w:rPr>
        <w:t xml:space="preserve">قلت:فإنّی قد علمت أنّه قد أصابه،و لم أدر أین هو فأغسله؟</w:t>
      </w:r>
    </w:p>
    <w:p>
      <w:pPr>
        <w:pStyle w:val="BookText"/>
      </w:pPr>
      <w:r>
        <w:rPr>
          <w:rFonts w:ascii="IRNazanin" w:hAnsi="IRNazanin" w:eastAsia="IRNazanin" w:cs="IRNazanin"/>
          <w:lang w:bidi="fa-IR"/>
          <w:color w:val="111111"/>
          <w:sz w:val="28"/>
          <w:szCs w:val="28"/>
          <w:rtl/>
        </w:rPr>
        <w:t xml:space="preserve">قال:تغسل من ثوبک الناحیة التی تری أنّه قد أصابها،حتّی تکون علی یقین من طهارتک.</w:t>
      </w:r>
    </w:p>
    <w:p>
      <w:pPr>
        <w:pStyle w:val="BookText"/>
      </w:pPr>
      <w:r>
        <w:rPr>
          <w:rFonts w:ascii="IRNazanin" w:hAnsi="IRNazanin" w:eastAsia="IRNazanin" w:cs="IRNazanin"/>
          <w:lang w:bidi="fa-IR"/>
          <w:color w:val="111111"/>
          <w:sz w:val="28"/>
          <w:szCs w:val="28"/>
          <w:rtl/>
        </w:rPr>
        <w:t xml:space="preserve">قلت:فهل علیّ إن شککت فی أنّه أصابه شیء،أن انظر فیه؟</w:t>
      </w:r>
    </w:p>
    <w:p>
      <w:pPr>
        <w:pStyle w:val="BookText"/>
      </w:pPr>
      <w:r>
        <w:rPr>
          <w:rFonts w:ascii="IRNazanin" w:hAnsi="IRNazanin" w:eastAsia="IRNazanin" w:cs="IRNazanin"/>
          <w:lang w:bidi="fa-IR"/>
          <w:color w:val="111111"/>
          <w:sz w:val="28"/>
          <w:szCs w:val="28"/>
          <w:rtl/>
        </w:rPr>
        <w:t xml:space="preserve">قال:لا،و لکنّک إنّما ترید أن تذهب بالشکّ </w:t>
      </w:r>
      <w:r>
        <w:rPr>
          <w:rStyle w:val="FootnoteReference"/>
        </w:rPr>
        <w:footnoteReference w:id="1651"/>
      </w:r>
      <w:r>
        <w:rPr>
          <w:rFonts w:ascii="IRNazanin" w:hAnsi="IRNazanin" w:eastAsia="IRNazanin" w:cs="IRNazanin"/>
          <w:lang w:bidi="fa-IR"/>
          <w:color w:val="111111"/>
          <w:sz w:val="28"/>
          <w:szCs w:val="28"/>
          <w:rtl/>
        </w:rPr>
        <w:t xml:space="preserve">الذی وقع فی نفسک.</w:t>
      </w:r>
    </w:p>
    <w:p>
      <w:pPr>
        <w:pStyle w:val="BookText"/>
      </w:pPr>
      <w:r>
        <w:rPr>
          <w:rFonts w:ascii="IRNazanin" w:hAnsi="IRNazanin" w:eastAsia="IRNazanin" w:cs="IRNazanin"/>
          <w:lang w:bidi="fa-IR"/>
          <w:color w:val="111111"/>
          <w:sz w:val="28"/>
          <w:szCs w:val="28"/>
          <w:rtl/>
        </w:rPr>
        <w:t xml:space="preserve">قلت:إن رأیته فی ثوبی و أنا فی الصلاة؟</w:t>
      </w:r>
    </w:p>
    <w:p>
      <w:pPr>
        <w:pStyle w:val="BookText"/>
      </w:pPr>
      <w:r>
        <w:rPr>
          <w:rFonts w:ascii="IRNazanin" w:hAnsi="IRNazanin" w:eastAsia="IRNazanin" w:cs="IRNazanin"/>
          <w:lang w:bidi="fa-IR"/>
          <w:color w:val="111111"/>
          <w:sz w:val="28"/>
          <w:szCs w:val="28"/>
          <w:rtl/>
        </w:rPr>
        <w:t xml:space="preserve">قال:تنقض الصلاة و تعید إذا شککت فی موضع منه ثمّ رأیته، و إن لم تشکّ ثمّ رأیته رطبا قطعت الصلاة و غسلته ثمّ بنیت علی الصلاة؛لأنّک لا تدری،لعلّه شیء اوقع علیک؛فلیس ینبغی لک أن تنقض الیقین بالشکّ...الحدیث» </w:t>
      </w:r>
      <w:r>
        <w:rPr>
          <w:rStyle w:val="FootnoteReference"/>
        </w:rPr>
        <w:footnoteReference w:id="16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التقریب:کما تقدّم فی الصحیحة الاولی </w:t>
      </w:r>
      <w:r>
        <w:rPr>
          <w:rStyle w:val="FootnoteReference"/>
        </w:rPr>
        <w:footnoteReference w:id="1653"/>
      </w:r>
      <w:r>
        <w:rPr>
          <w:rFonts w:ascii="IRNazanin" w:hAnsi="IRNazanin" w:eastAsia="IRNazanin" w:cs="IRNazanin"/>
          <w:lang w:bidi="fa-IR"/>
          <w:color w:val="111111"/>
          <w:sz w:val="28"/>
          <w:szCs w:val="28"/>
          <w:rtl/>
        </w:rPr>
        <w:t xml:space="preserve">،و إرادة الجنس من الیقین لعلّه أظهر هنا.</w:t>
      </w:r>
    </w:p>
    <w:p>
      <w:pPr>
        <w:pStyle w:val="Heading6"/>
      </w:pPr>
      <w:bookmarkStart w:id="1737" w:name="_Toc772"/>
      <w:r>
        <w:t>[فقه الحدیث و مورد الاستدلال:]</w:t>
      </w:r>
      <w:bookmarkEnd w:id="1737"/>
    </w:p>
    <w:p>
      <w:pPr>
        <w:pStyle w:val="BookText"/>
      </w:pPr>
      <w:r>
        <w:rPr>
          <w:rFonts w:ascii="IRNazanin" w:hAnsi="IRNazanin" w:eastAsia="IRNazanin" w:cs="IRNazanin"/>
          <w:lang w:bidi="fa-IR"/>
          <w:color w:val="111111"/>
          <w:sz w:val="28"/>
          <w:szCs w:val="28"/>
          <w:rtl/>
        </w:rPr>
        <w:t xml:space="preserve">و أمّا فقه الحدیث،فبیانه:أنّ مورد الاستدلال یحتمل وجهین:</w:t>
      </w:r>
    </w:p>
    <w:p>
      <w:pPr>
        <w:pStyle w:val="BookText"/>
      </w:pPr>
      <w:r>
        <w:rPr>
          <w:rFonts w:ascii="IRNazanin" w:hAnsi="IRNazanin" w:eastAsia="IRNazanin" w:cs="IRNazanin"/>
          <w:lang w:bidi="fa-IR"/>
          <w:color w:val="111111"/>
          <w:sz w:val="28"/>
          <w:szCs w:val="28"/>
          <w:rtl/>
        </w:rPr>
        <w:t xml:space="preserve">[شماره صفحه واقعی : 59]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أحدهما:أن یکون مورد السؤال فیه أن رأی بعد الصلاة نجاسة یعلم أنّها هی التی خفیت علیه قبل الصلاة،و حینئذ فالمراد:الیقین بالطهارة قبل ظنّ الإصابة،و الشکّ حین إرادة الدخول فی الصلاة.</w:t>
      </w:r>
    </w:p>
    <w:p>
      <w:pPr>
        <w:pStyle w:val="BookText"/>
      </w:pPr>
      <w:r>
        <w:rPr>
          <w:rFonts w:ascii="IRNazanin" w:hAnsi="IRNazanin" w:eastAsia="IRNazanin" w:cs="IRNazanin"/>
          <w:lang w:bidi="fa-IR"/>
          <w:color w:val="111111"/>
          <w:sz w:val="28"/>
          <w:szCs w:val="28"/>
          <w:rtl/>
        </w:rPr>
        <w:t xml:space="preserve">لکن،عدم نقض ذلک الیقین بذلک الشکّ إنّما یصلح علّة لمشروعیّة الدخول فی العبادة المشروطة بالطهارة مع الشکّ فیها،و أنّ الامتناع عن الدخول فیها نقض لآثار تلک الطهارة المتیقّنة،لا لعدم وجوب الإعادة علی من تیقّن أنّه صلّی فی النجاسة-کما صرّح </w:t>
      </w:r>
      <w:r>
        <w:rPr>
          <w:rStyle w:val="FootnoteReference"/>
        </w:rPr>
        <w:footnoteReference w:id="1654"/>
      </w:r>
      <w:r>
        <w:rPr>
          <w:rFonts w:ascii="IRNazanin" w:hAnsi="IRNazanin" w:eastAsia="IRNazanin" w:cs="IRNazanin"/>
          <w:lang w:bidi="fa-IR"/>
          <w:color w:val="111111"/>
          <w:sz w:val="28"/>
          <w:szCs w:val="28"/>
          <w:rtl/>
        </w:rPr>
        <w:t xml:space="preserve">به السیّد الشارح للوافیة </w:t>
      </w:r>
      <w:r>
        <w:rPr>
          <w:rStyle w:val="FootnoteReference"/>
        </w:rPr>
        <w:footnoteReference w:id="1655"/>
      </w:r>
      <w:r>
        <w:rPr>
          <w:rFonts w:ascii="IRNazanin" w:hAnsi="IRNazanin" w:eastAsia="IRNazanin" w:cs="IRNazanin"/>
          <w:lang w:bidi="fa-IR"/>
          <w:color w:val="111111"/>
          <w:sz w:val="28"/>
          <w:szCs w:val="28"/>
          <w:rtl/>
        </w:rPr>
        <w:t xml:space="preserve">-إذ الإعادة لیست نقضا لأثر الطهارة المتیقّنة بالشکّ،بل هو نقض بالیقین؛بناء علی أنّ من آثار حصول الیقین بنجاسة الثوب حین الصلاة و لو بعدها وجوب إعادتها.</w:t>
      </w:r>
    </w:p>
    <w:p>
      <w:pPr>
        <w:pStyle w:val="BookText"/>
      </w:pPr>
      <w:r>
        <w:rPr>
          <w:rFonts w:ascii="IRNazanin" w:hAnsi="IRNazanin" w:eastAsia="IRNazanin" w:cs="IRNazanin"/>
          <w:lang w:bidi="fa-IR"/>
          <w:color w:val="111111"/>
          <w:sz w:val="28"/>
          <w:szCs w:val="28"/>
          <w:rtl/>
        </w:rPr>
        <w:t xml:space="preserve">و ربما یتخیّل </w:t>
      </w:r>
      <w:r>
        <w:rPr>
          <w:rStyle w:val="FootnoteReference"/>
        </w:rPr>
        <w:footnoteReference w:id="1656"/>
      </w:r>
      <w:r>
        <w:rPr>
          <w:rFonts w:ascii="IRNazanin" w:hAnsi="IRNazanin" w:eastAsia="IRNazanin" w:cs="IRNazanin"/>
          <w:lang w:bidi="fa-IR"/>
          <w:color w:val="111111"/>
          <w:sz w:val="28"/>
          <w:szCs w:val="28"/>
          <w:rtl/>
        </w:rPr>
        <w:t xml:space="preserve">:حسن التعلیل لعدم الإعادة؛بملاحظة </w:t>
      </w:r>
      <w:r>
        <w:rPr>
          <w:rStyle w:val="FootnoteReference"/>
        </w:rPr>
        <w:footnoteReference w:id="1657"/>
      </w:r>
      <w:r>
        <w:rPr>
          <w:rFonts w:ascii="IRNazanin" w:hAnsi="IRNazanin" w:eastAsia="IRNazanin" w:cs="IRNazanin"/>
          <w:lang w:bidi="fa-IR"/>
          <w:color w:val="111111"/>
          <w:sz w:val="28"/>
          <w:szCs w:val="28"/>
          <w:rtl/>
        </w:rPr>
        <w:t xml:space="preserve">اقتضاء امتثال الأمر الظاهری للإجزاء،فیکون الصحیحة من حیث تعلیلها دلیلا علی تلک القاعدة و کاشفة عنها.</w:t>
      </w:r>
    </w:p>
    <w:p>
      <w:pPr>
        <w:pStyle w:val="BookText"/>
      </w:pPr>
      <w:r>
        <w:rPr>
          <w:rFonts w:ascii="IRNazanin" w:hAnsi="IRNazanin" w:eastAsia="IRNazanin" w:cs="IRNazanin"/>
          <w:lang w:bidi="fa-IR"/>
          <w:color w:val="111111"/>
          <w:sz w:val="28"/>
          <w:szCs w:val="28"/>
          <w:rtl/>
        </w:rPr>
        <w:t xml:space="preserve">و فیه:أنّ ظاهر قوله:«فلیس ینبغی»،یعنی لیس ینبغی لک الإعادة لکونه نقضا،کما أنّ ظاهر </w:t>
      </w:r>
      <w:r>
        <w:rPr>
          <w:rStyle w:val="FootnoteReference"/>
        </w:rPr>
        <w:footnoteReference w:id="1658"/>
      </w:r>
      <w:r>
        <w:rPr>
          <w:rFonts w:ascii="IRNazanin" w:hAnsi="IRNazanin" w:eastAsia="IRNazanin" w:cs="IRNazanin"/>
          <w:lang w:bidi="fa-IR"/>
          <w:color w:val="111111"/>
          <w:sz w:val="28"/>
          <w:szCs w:val="28"/>
          <w:rtl/>
        </w:rPr>
        <w:t xml:space="preserve">قوله علیه السّلام فی الصحیحة الاولی </w:t>
      </w:r>
      <w:r>
        <w:rPr>
          <w:rStyle w:val="FootnoteReference"/>
        </w:rPr>
        <w:footnoteReference w:id="16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60]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ینقض الیقین بالشکّ أبدا»،عدم إیجاب إعادة الوضوء،فافهم؛فإنّه لا یخلو عن دقّة.</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 دعوی:أنّ من آثار الطهارة السابقة إجزاء الصلاة معها </w:t>
      </w:r>
      <w:r>
        <w:rPr>
          <w:rStyle w:val="FootnoteReference"/>
        </w:rPr>
        <w:footnoteReference w:id="1660"/>
      </w:r>
      <w:r>
        <w:rPr>
          <w:rFonts w:ascii="Amiri" w:hAnsi="Amiri" w:eastAsia="Amiri" w:cs="Amiri"/>
          <w:lang w:bidi="ar-SA"/>
          <w:color w:val="111111"/>
          <w:sz w:val="28"/>
          <w:szCs w:val="28"/>
          <w:rtl/>
        </w:rPr>
        <w:t xml:space="preserve">و عدم وجوب الإعادة لها،فوجوب الإعادة نقض لآثار الطهارة السابقة </w:t>
      </w:r>
      <w:r>
        <w:rPr>
          <w:rStyle w:val="FootnoteReference"/>
        </w:rPr>
        <w:footnoteReference w:id="16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مدفوعة:بأنّ الصحّة الواقعیّة و عدم الإعادة للصلاة مع الطهارة المتحقّقة سابقا،من الآثار العقلیّة الغیر المجعولة للطهارة المتحقّقة؛لعدم معقولیّة عدم الإجزاء فیها،مع أنّه یوجب الفرق بین وقوع تمام الصلاة مع النجاسة فلا یعید و بین وقوع بعضها معها فیعید،کما هو ظاهر قوله علیه السّلام بعد ذلک:«و تعید إذا شککت فی موضع منه ثمّ رأیته».إلاّ أن یحمل هذه الفقرة-کما استظهره شارح الوافیة </w:t>
      </w:r>
      <w:r>
        <w:rPr>
          <w:rStyle w:val="FootnoteReference"/>
        </w:rPr>
        <w:footnoteReference w:id="1662"/>
      </w:r>
      <w:r>
        <w:rPr>
          <w:rFonts w:ascii="IRNazanin" w:hAnsi="IRNazanin" w:eastAsia="IRNazanin" w:cs="IRNazanin"/>
          <w:lang w:bidi="fa-IR"/>
          <w:color w:val="111111"/>
          <w:sz w:val="28"/>
          <w:szCs w:val="28"/>
          <w:rtl/>
        </w:rPr>
        <w:t xml:space="preserve">-علی ما لو علم الإصابة و شکّ فی موضعها و لم یغسلها نسیانا،و هو مخالف لظاهر الکلام و ظاهر قوله علیه السّلام بعد ذلک:«و إن لم تشکّ ثمّ رأیته...الخ».</w:t>
      </w:r>
    </w:p>
    <w:p>
      <w:pPr>
        <w:pStyle w:val="BookText"/>
      </w:pPr>
      <w:r>
        <w:rPr>
          <w:rFonts w:ascii="IRNazanin" w:hAnsi="IRNazanin" w:eastAsia="IRNazanin" w:cs="IRNazanin"/>
          <w:lang w:bidi="fa-IR"/>
          <w:color w:val="111111"/>
          <w:sz w:val="28"/>
          <w:szCs w:val="28"/>
          <w:rtl/>
        </w:rPr>
        <w:t xml:space="preserve">و الثانی:أن یکون مورد السؤال رؤیة النجاسة بعد الصلاة مع احتمال وقوعها بعدها،فالمراد:أنّه لیس ینبغی أن تنقض </w:t>
      </w:r>
      <w:r>
        <w:rPr>
          <w:rStyle w:val="FootnoteReference"/>
        </w:rPr>
        <w:footnoteReference w:id="1663"/>
      </w:r>
      <w:r>
        <w:rPr>
          <w:rFonts w:ascii="IRNazanin" w:hAnsi="IRNazanin" w:eastAsia="IRNazanin" w:cs="IRNazanin"/>
          <w:lang w:bidi="fa-IR"/>
          <w:color w:val="111111"/>
          <w:sz w:val="28"/>
          <w:szCs w:val="28"/>
          <w:rtl/>
        </w:rPr>
        <w:t xml:space="preserve">یقین الطهارة بمجرّد احتمال وجود النجاسة حال الصلاة.</w:t>
      </w:r>
    </w:p>
    <w:p>
      <w:pPr>
        <w:pStyle w:val="BookText"/>
      </w:pPr>
      <w:r>
        <w:rPr>
          <w:rFonts w:ascii="IRNazanin" w:hAnsi="IRNazanin" w:eastAsia="IRNazanin" w:cs="IRNazanin"/>
          <w:lang w:bidi="fa-IR"/>
          <w:color w:val="111111"/>
          <w:sz w:val="28"/>
          <w:szCs w:val="28"/>
          <w:rtl/>
        </w:rPr>
        <w:t xml:space="preserve">و هذا الوجه سالم عمّا یرد علی الأوّل،إلاّ أنّه خلاف ظاهر السؤال.</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نعم،مورد قوله علیه السّلام أخیرا:«فلیس ینبغی لک...الخ»هو</w:t>
      </w:r>
    </w:p>
    <w:p>
      <w:pPr>
        <w:pStyle w:val="BookText"/>
      </w:pPr>
      <w:r>
        <w:rPr>
          <w:rFonts w:ascii="IRNazanin" w:hAnsi="IRNazanin" w:eastAsia="IRNazanin" w:cs="IRNazanin"/>
          <w:lang w:bidi="fa-IR"/>
          <w:color w:val="111111"/>
          <w:sz w:val="28"/>
          <w:szCs w:val="28"/>
          <w:rtl/>
        </w:rPr>
        <w:t xml:space="preserve">[شماره صفحه واقعی : 61]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bookmarkStart w:id="362" w:name="pg14411_142955"/>
    <w:bookmarkEnd w:id="362"/>
    <w:p>
      <w:pPr>
        <w:pStyle w:val="BookText"/>
      </w:pPr>
      <w:r>
        <w:rPr>
          <w:rFonts w:ascii="IRNazanin" w:hAnsi="IRNazanin" w:eastAsia="IRNazanin" w:cs="IRNazanin"/>
          <w:lang w:bidi="fa-IR"/>
          <w:color w:val="111111"/>
          <w:sz w:val="28"/>
          <w:szCs w:val="28"/>
          <w:rtl/>
        </w:rPr>
        <w:t xml:space="preserve">الشکّ فی وقوعه أوّل الصلاة أو حین الرؤیة،و یکون المراد من قطع الصلاة الاشتغال عنها بغسل الثوب مع عدم تخلّل المنافی،لا إبطالها ثمّ البناء علیها الذی هو خلاف الإجماع،لکن تفریع عدم نقض الیقین علی احتمال تأخّر الوقوع یأبی عن حمل اللام علی الجنس،فافهم.</w:t>
      </w:r>
    </w:p>
    <w:p>
      <w:pPr>
        <w:pStyle w:val="Heading6"/>
      </w:pPr>
      <w:bookmarkStart w:id="1738" w:name="_Toc773"/>
      <w:r>
        <w:t>[3-صحیحة زرارة الثالثة:]</w:t>
      </w:r>
      <w:bookmarkEnd w:id="1738"/>
    </w:p>
    <w:p>
      <w:pPr>
        <w:pStyle w:val="Heading6"/>
      </w:pPr>
      <w:bookmarkStart w:id="1739" w:name="_Toc774"/>
      <w:r>
        <w:t>اشارة</w:t>
      </w:r>
      <w:bookmarkEnd w:id="1739"/>
    </w:p>
    <w:p>
      <w:pPr>
        <w:pStyle w:val="BookText"/>
      </w:pPr>
      <w:r>
        <w:rPr>
          <w:rFonts w:ascii="IRNazanin" w:hAnsi="IRNazanin" w:eastAsia="IRNazanin" w:cs="IRNazanin"/>
          <w:lang w:bidi="fa-IR"/>
          <w:color w:val="111111"/>
          <w:sz w:val="28"/>
          <w:szCs w:val="28"/>
          <w:rtl/>
        </w:rPr>
        <w:t xml:space="preserve">و منها:صحیحة ثالثة لزرارة:«و إذا لم یدر فی ثلاث هو أو فی أربع و قد أحرز الثلاث،قام فأضاف إلیها اخری،و لا شیء علیه.و لا ینقض الیقین بالشکّ،و لا یدخل الشکّ فی الیقین،و لا یخلط أحدهما بالآخر،و لکنّه ینقض الشکّ بالیقین،و یتمّ علی الیقین،فیبنی علیه، و لا یعتدّ بالشکّ فی حال من الحالات» </w:t>
      </w:r>
      <w:r>
        <w:rPr>
          <w:rStyle w:val="FootnoteReference"/>
        </w:rPr>
        <w:footnoteReference w:id="16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تمسّک بها فی الوافیة </w:t>
      </w:r>
      <w:r>
        <w:rPr>
          <w:rStyle w:val="FootnoteReference"/>
        </w:rPr>
        <w:footnoteReference w:id="1665"/>
      </w:r>
      <w:r>
        <w:rPr>
          <w:rFonts w:ascii="IRNazanin" w:hAnsi="IRNazanin" w:eastAsia="IRNazanin" w:cs="IRNazanin"/>
          <w:lang w:bidi="fa-IR"/>
          <w:color w:val="111111"/>
          <w:sz w:val="28"/>
          <w:szCs w:val="28"/>
          <w:rtl/>
        </w:rPr>
        <w:t xml:space="preserve">،و قرّره الشارح </w:t>
      </w:r>
      <w:r>
        <w:rPr>
          <w:rStyle w:val="FootnoteReference"/>
        </w:rPr>
        <w:footnoteReference w:id="1666"/>
      </w:r>
      <w:r>
        <w:rPr>
          <w:rFonts w:ascii="Amiri" w:hAnsi="Amiri" w:eastAsia="Amiri" w:cs="Amiri"/>
          <w:lang w:bidi="ar-SA"/>
          <w:color w:val="111111"/>
          <w:sz w:val="28"/>
          <w:szCs w:val="28"/>
          <w:rtl/>
        </w:rPr>
        <w:t xml:space="preserve">،و تبعه جماعة ممّن تأخّر عنه </w:t>
      </w:r>
      <w:r>
        <w:rPr>
          <w:rStyle w:val="FootnoteReference"/>
        </w:rPr>
        <w:footnoteReference w:id="1667"/>
      </w:r>
      <w:r>
        <w:rPr>
          <w:rFonts w:ascii="Times New Roman" w:hAnsi="Times New Roman" w:eastAsia="Times New Roman" w:cs="Times New Roman"/>
          <w:lang w:val="en-US" w:bidi="en-US"/>
          <w:color w:val="111111"/>
          <w:sz w:val="28"/>
          <w:szCs w:val="28"/>
          <w:rtl/>
        </w:rPr>
        <w:t xml:space="preserve">.</w:t>
      </w:r>
    </w:p>
    <w:p>
      <w:pPr>
        <w:pStyle w:val="Heading6"/>
      </w:pPr>
      <w:bookmarkStart w:id="1740" w:name="_Toc775"/>
      <w:r>
        <w:t>[التأمّل فی الاستدلال بهذه الصحیحة:]</w:t>
      </w:r>
      <w:bookmarkEnd w:id="1740"/>
    </w:p>
    <w:p>
      <w:pPr>
        <w:pStyle w:val="BookText"/>
      </w:pPr>
      <w:r>
        <w:rPr>
          <w:rFonts w:ascii="IRNazanin" w:hAnsi="IRNazanin" w:eastAsia="IRNazanin" w:cs="IRNazanin"/>
          <w:lang w:bidi="fa-IR"/>
          <w:color w:val="111111"/>
          <w:sz w:val="28"/>
          <w:szCs w:val="28"/>
          <w:rtl/>
        </w:rPr>
        <w:t xml:space="preserve">و فیه تأمّل:لأنّه إن کان المراد بقوله علیه السّلام:«قام فأضاف إلیها اخری»،القیام للرکعة الرابعة من دون تسلیم فی الرکعة المردّدة بین الثالثة و الرابعة </w:t>
      </w:r>
      <w:r>
        <w:rPr>
          <w:rStyle w:val="FootnoteReference"/>
        </w:rPr>
        <w:footnoteReference w:id="1668"/>
      </w:r>
      <w:r>
        <w:rPr>
          <w:rFonts w:ascii="IRNazanin" w:hAnsi="IRNazanin" w:eastAsia="IRNazanin" w:cs="IRNazanin"/>
          <w:lang w:bidi="fa-IR"/>
          <w:color w:val="111111"/>
          <w:sz w:val="28"/>
          <w:szCs w:val="28"/>
          <w:rtl/>
        </w:rPr>
        <w:t xml:space="preserve">،حتّی یکون حاصل الجواب هو:البناء علی الأقلّ،</w:t>
      </w:r>
    </w:p>
    <w:p>
      <w:pPr>
        <w:pStyle w:val="BookText"/>
      </w:pPr>
      <w:r>
        <w:rPr>
          <w:rFonts w:ascii="IRNazanin" w:hAnsi="IRNazanin" w:eastAsia="IRNazanin" w:cs="IRNazanin"/>
          <w:lang w:bidi="fa-IR"/>
          <w:color w:val="111111"/>
          <w:sz w:val="28"/>
          <w:szCs w:val="28"/>
          <w:rtl/>
        </w:rPr>
        <w:t xml:space="preserve">[شماره صفحه واقعی : 62]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bookmarkStart w:id="363" w:name="pg14411_142956"/>
    <w:bookmarkEnd w:id="363"/>
    <w:p>
      <w:pPr>
        <w:pStyle w:val="BookText"/>
      </w:pPr>
      <w:r>
        <w:rPr>
          <w:rFonts w:ascii="IRNazanin" w:hAnsi="IRNazanin" w:eastAsia="IRNazanin" w:cs="IRNazanin"/>
          <w:lang w:bidi="fa-IR"/>
          <w:color w:val="111111"/>
          <w:sz w:val="28"/>
          <w:szCs w:val="28"/>
          <w:rtl/>
        </w:rPr>
        <w:t xml:space="preserve">فهو مخالف للمذهب،و موافق لقول العامّة،و مخالف لظاهر الفقرة الاولی من قوله:«یرکع </w:t>
      </w:r>
      <w:r>
        <w:rPr>
          <w:rStyle w:val="FootnoteReference"/>
        </w:rPr>
        <w:footnoteReference w:id="1669"/>
      </w:r>
      <w:r>
        <w:rPr>
          <w:rFonts w:ascii="IRNazanin" w:hAnsi="IRNazanin" w:eastAsia="IRNazanin" w:cs="IRNazanin"/>
          <w:lang w:bidi="fa-IR"/>
          <w:color w:val="111111"/>
          <w:sz w:val="28"/>
          <w:szCs w:val="28"/>
          <w:rtl/>
        </w:rPr>
        <w:t xml:space="preserve">رکعتین بفاتحة الکتاب»؛فإنّ ظاهرها-بقرینة تعیین الفاتحة-إرادة رکعتین منفصلتین،أعنی:صلاة الاحتیاط،فتعیّن أن یکون المراد به القیام-بعد التسلیم فی الرکعة المردّدة-إلی رکعة مستقلّة،کما هو مذهب الإمامیّة.</w:t>
      </w:r>
    </w:p>
    <w:p>
      <w:pPr>
        <w:pStyle w:val="Heading6"/>
      </w:pPr>
      <w:bookmarkStart w:id="1741" w:name="_Toc776"/>
      <w:r>
        <w:t>[المراد من«الیقین»فی هذه الصحیحة:]</w:t>
      </w:r>
      <w:bookmarkEnd w:id="1741"/>
    </w:p>
    <w:p>
      <w:pPr>
        <w:pStyle w:val="BookText"/>
      </w:pPr>
      <w:r>
        <w:rPr>
          <w:rFonts w:ascii="IRNazanin" w:hAnsi="IRNazanin" w:eastAsia="IRNazanin" w:cs="IRNazanin"/>
          <w:lang w:bidi="fa-IR"/>
          <w:color w:val="111111"/>
          <w:sz w:val="28"/>
          <w:szCs w:val="28"/>
          <w:rtl/>
        </w:rPr>
        <w:t xml:space="preserve">فالمراد ب«الیقین»-کما فی«الیقین»الوارد فی الموثّقة الآتیة </w:t>
      </w:r>
      <w:r>
        <w:rPr>
          <w:rStyle w:val="FootnoteReference"/>
        </w:rPr>
        <w:footnoteReference w:id="1670"/>
      </w:r>
      <w:r>
        <w:rPr>
          <w:rFonts w:ascii="IRNazanin" w:hAnsi="IRNazanin" w:eastAsia="IRNazanin" w:cs="IRNazanin"/>
          <w:lang w:bidi="fa-IR"/>
          <w:color w:val="111111"/>
          <w:sz w:val="28"/>
          <w:szCs w:val="28"/>
          <w:rtl/>
        </w:rPr>
        <w:t xml:space="preserve">، علی ما صرّح به السیّد المرتضی رحمه اللّه </w:t>
      </w:r>
      <w:r>
        <w:rPr>
          <w:rStyle w:val="FootnoteReference"/>
        </w:rPr>
        <w:footnoteReference w:id="1671"/>
      </w:r>
      <w:r>
        <w:rPr>
          <w:rFonts w:ascii="IRNazanin" w:hAnsi="IRNazanin" w:eastAsia="IRNazanin" w:cs="IRNazanin"/>
          <w:lang w:bidi="fa-IR"/>
          <w:color w:val="111111"/>
          <w:sz w:val="28"/>
          <w:szCs w:val="28"/>
          <w:rtl/>
        </w:rPr>
        <w:t xml:space="preserve">،و استفید من قوله علیه السّلام فی أخبار الاحتیاط:إن کنت قد نقصت فکذا،و إن کنت قد أتممت فکذا </w:t>
      </w:r>
      <w:r>
        <w:rPr>
          <w:rStyle w:val="FootnoteReference"/>
        </w:rPr>
        <w:footnoteReference w:id="1672"/>
      </w:r>
      <w:r>
        <w:rPr>
          <w:rFonts w:ascii="IRNazanin" w:hAnsi="IRNazanin" w:eastAsia="IRNazanin" w:cs="IRNazanin"/>
          <w:lang w:bidi="fa-IR"/>
          <w:color w:val="111111"/>
          <w:sz w:val="28"/>
          <w:szCs w:val="28"/>
          <w:rtl/>
        </w:rPr>
        <w:t xml:space="preserve">-:هو الیقین بالبراءة،فیکون المراد وجوب الاحتیاط و تحصیل الیقین بالبراءة،بالبناء علی الأکثر و فعل صلاة مستقلّة قابلة لتدارک ما یحتمل نقصه.</w:t>
      </w:r>
    </w:p>
    <w:p>
      <w:pPr>
        <w:pStyle w:val="BookText"/>
      </w:pPr>
      <w:r>
        <w:rPr>
          <w:rFonts w:ascii="IRNazanin" w:hAnsi="IRNazanin" w:eastAsia="IRNazanin" w:cs="IRNazanin"/>
          <w:lang w:bidi="fa-IR"/>
          <w:color w:val="111111"/>
          <w:sz w:val="28"/>
          <w:szCs w:val="28"/>
          <w:rtl/>
        </w:rPr>
        <w:t xml:space="preserve">و قد ارید من«الیقین»و«الاحتیاط»فی غیر واحد من الأخبار هذا النحو من العمل،منها:قوله علیه السّلام فی الموثّقة الآتیة:«إذا شککت فابن علی الیقین» </w:t>
      </w:r>
      <w:r>
        <w:rPr>
          <w:rStyle w:val="FootnoteReference"/>
        </w:rPr>
        <w:footnoteReference w:id="1673"/>
      </w:r>
      <w:r>
        <w:rPr>
          <w:rFonts w:ascii="Times New Roman" w:hAnsi="Times New Roman" w:eastAsia="Times New Roman" w:cs="Times New Roman"/>
          <w:lang w:val="en-US" w:bidi="en-US"/>
          <w:color w:val="111111"/>
          <w:sz w:val="28"/>
          <w:szCs w:val="28"/>
          <w:rtl/>
        </w:rPr>
        <w:t xml:space="preserve">.</w:t>
      </w:r>
    </w:p>
    <w:p>
      <w:pPr>
        <w:pStyle w:val="Heading6"/>
      </w:pPr>
      <w:bookmarkStart w:id="1742" w:name="_Toc777"/>
      <w:r>
        <w:t>[المراد من«البناء علی الیقین»فی الأخبار:]</w:t>
      </w:r>
      <w:bookmarkEnd w:id="1742"/>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فهذه الأخبار الآمرة بالبناء علی الیقین و عدم نقضه،یراد منها:</w:t>
      </w:r>
    </w:p>
    <w:p>
      <w:pPr>
        <w:pStyle w:val="BookText"/>
      </w:pPr>
      <w:r>
        <w:rPr>
          <w:rFonts w:ascii="IRNazanin" w:hAnsi="IRNazanin" w:eastAsia="IRNazanin" w:cs="IRNazanin"/>
          <w:lang w:bidi="fa-IR"/>
          <w:color w:val="111111"/>
          <w:sz w:val="28"/>
          <w:szCs w:val="28"/>
          <w:rtl/>
        </w:rPr>
        <w:t xml:space="preserve">البناء علی ما هو المتیقّن من العدد،و التسلیم علیه،مع جبره بصلاة</w:t>
      </w:r>
    </w:p>
    <w:p>
      <w:pPr>
        <w:pStyle w:val="BookText"/>
      </w:pPr>
      <w:r>
        <w:rPr>
          <w:rFonts w:ascii="IRNazanin" w:hAnsi="IRNazanin" w:eastAsia="IRNazanin" w:cs="IRNazanin"/>
          <w:lang w:bidi="fa-IR"/>
          <w:color w:val="111111"/>
          <w:sz w:val="28"/>
          <w:szCs w:val="28"/>
          <w:rtl/>
        </w:rPr>
        <w:t xml:space="preserve">[شماره صفحه واقعی : 63]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الاحتیاط؛و لهذا ذکر فی غیر واحد من الأخبار ما یدلّ علی أنّ هذا </w:t>
      </w:r>
      <w:r>
        <w:rPr>
          <w:rStyle w:val="FootnoteReference"/>
        </w:rPr>
        <w:footnoteReference w:id="1674"/>
      </w:r>
      <w:r>
        <w:rPr>
          <w:rFonts w:ascii="IRNazanin" w:hAnsi="IRNazanin" w:eastAsia="IRNazanin" w:cs="IRNazanin"/>
          <w:lang w:bidi="fa-IR"/>
          <w:color w:val="111111"/>
          <w:sz w:val="28"/>
          <w:szCs w:val="28"/>
          <w:rtl/>
        </w:rPr>
        <w:t xml:space="preserve">العمل محرز للواقع،مثل قوله علیه السّلام:«أ لا اعلّمک شیئا إذا صنعته </w:t>
      </w:r>
      <w:r>
        <w:rPr>
          <w:rStyle w:val="FootnoteReference"/>
        </w:rPr>
        <w:footnoteReference w:id="1675"/>
      </w:r>
      <w:r>
        <w:rPr>
          <w:rFonts w:ascii="IRNazanin" w:hAnsi="IRNazanin" w:eastAsia="IRNazanin" w:cs="IRNazanin"/>
          <w:lang w:bidi="fa-IR"/>
          <w:color w:val="111111"/>
          <w:sz w:val="28"/>
          <w:szCs w:val="28"/>
          <w:rtl/>
        </w:rPr>
        <w:t xml:space="preserve">،ثمّ ذکرت أنّک نقصت أو أتممت،لم یکن علیک شیء؟» </w:t>
      </w:r>
      <w:r>
        <w:rPr>
          <w:rStyle w:val="FootnoteReference"/>
        </w:rPr>
        <w:footnoteReference w:id="16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تصدّی جماعة </w:t>
      </w:r>
      <w:r>
        <w:rPr>
          <w:rStyle w:val="FootnoteReference"/>
        </w:rPr>
        <w:footnoteReference w:id="1677"/>
      </w:r>
      <w:r>
        <w:rPr>
          <w:rFonts w:ascii="IRNazanin" w:hAnsi="IRNazanin" w:eastAsia="IRNazanin" w:cs="IRNazanin"/>
          <w:lang w:bidi="fa-IR"/>
          <w:color w:val="111111"/>
          <w:sz w:val="28"/>
          <w:szCs w:val="28"/>
          <w:rtl/>
        </w:rPr>
        <w:t xml:space="preserve">-تبعا للسیّد المرتضی-لبیان أنّ هذا العمل هو الأخذ بالیقین و الاحتیاط،دون ما یقوله العامّة:من البناء علی الأقلّ.و مبالغة الإمام علیه السّلام فی هذه الصحیحة بتکرار عدم الاعتناء بالشکّ،و تسمیة ذلک فی غیرها </w:t>
      </w:r>
      <w:r>
        <w:rPr>
          <w:rStyle w:val="FootnoteReference"/>
        </w:rPr>
        <w:footnoteReference w:id="1678"/>
      </w:r>
      <w:r>
        <w:rPr>
          <w:rFonts w:ascii="IRNazanin" w:hAnsi="IRNazanin" w:eastAsia="IRNazanin" w:cs="IRNazanin"/>
          <w:lang w:bidi="fa-IR"/>
          <w:color w:val="111111"/>
          <w:sz w:val="28"/>
          <w:szCs w:val="28"/>
          <w:rtl/>
        </w:rPr>
        <w:t xml:space="preserve">بالبناء علی الیقین و الاحتیاط،یشعر بکونه فی مقابل العامّة الزاعمین بکون مقتضی البناء علی الیقین هو البناء علی الأقلّ و ضمّ الرکعة المشکوکة.</w:t>
      </w:r>
    </w:p>
    <w:p>
      <w:pPr>
        <w:pStyle w:val="BookText"/>
      </w:pPr>
      <w:r>
        <w:rPr>
          <w:rFonts w:ascii="IRNazanin" w:hAnsi="IRNazanin" w:eastAsia="IRNazanin" w:cs="IRNazanin"/>
          <w:lang w:bidi="fa-IR"/>
          <w:color w:val="111111"/>
          <w:sz w:val="28"/>
          <w:szCs w:val="28"/>
          <w:rtl/>
        </w:rPr>
        <w:t xml:space="preserve">ثمّ لو سلّم ظهور الصحیحة فی البناء علی الأقلّ المطابق للاستصحاب،کان هناک صوارف عن هذا الظاهر،مثل:</w:t>
      </w:r>
    </w:p>
    <w:p>
      <w:pPr>
        <w:pStyle w:val="BookText"/>
      </w:pPr>
      <w:r>
        <w:rPr>
          <w:rFonts w:ascii="IRNazanin" w:hAnsi="IRNazanin" w:eastAsia="IRNazanin" w:cs="IRNazanin"/>
          <w:lang w:bidi="fa-IR"/>
          <w:color w:val="111111"/>
          <w:sz w:val="28"/>
          <w:szCs w:val="28"/>
          <w:rtl/>
        </w:rPr>
        <w:t xml:space="preserve">[شماره صفحه واقعی : 64]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تعیّن حملها حینئذ علی التقیّة،و هو مخالف للأصل.</w:t>
      </w:r>
    </w:p>
    <w:p>
      <w:pPr>
        <w:pStyle w:val="BookText"/>
      </w:pPr>
      <w:r>
        <w:rPr>
          <w:rFonts w:ascii="IRNazanin" w:hAnsi="IRNazanin" w:eastAsia="IRNazanin" w:cs="IRNazanin"/>
          <w:lang w:bidi="fa-IR"/>
          <w:color w:val="111111"/>
          <w:sz w:val="28"/>
          <w:szCs w:val="28"/>
          <w:rtl/>
        </w:rPr>
        <w:t xml:space="preserve">ثمّ ارتکاب الحمل علی التقیّة فی مورد الروایة،و حمل القاعدة المستشهد بها لهذا الحکم المخالف للواقع علی بیان الواقع-لیکون التقیّة فی إجراء القاعدة فی المورد لا فی نفسها-مخالفة اخری للظاهر و إن کان ممکنا فی نفسه.</w:t>
      </w:r>
    </w:p>
    <w:p>
      <w:pPr>
        <w:pStyle w:val="BookText"/>
      </w:pPr>
      <w:r>
        <w:rPr>
          <w:rFonts w:ascii="IRNazanin" w:hAnsi="IRNazanin" w:eastAsia="IRNazanin" w:cs="IRNazanin"/>
          <w:lang w:bidi="fa-IR"/>
          <w:color w:val="111111"/>
          <w:sz w:val="28"/>
          <w:szCs w:val="28"/>
          <w:rtl/>
        </w:rPr>
        <w:t xml:space="preserve">مع أنّ هذا المعنی مخالف لظاهر صدر الروایة الآبی عن الحمل علی التقیّة.</w:t>
      </w:r>
    </w:p>
    <w:p>
      <w:pPr>
        <w:pStyle w:val="BookText"/>
      </w:pPr>
      <w:r>
        <w:rPr>
          <w:rFonts w:ascii="IRNazanin" w:hAnsi="IRNazanin" w:eastAsia="IRNazanin" w:cs="IRNazanin"/>
          <w:lang w:bidi="fa-IR"/>
          <w:color w:val="111111"/>
          <w:sz w:val="28"/>
          <w:szCs w:val="28"/>
          <w:rtl/>
        </w:rPr>
        <w:t xml:space="preserve">مع أنّ العلماء لم یفهموا منها إلاّ البناء علی الأکثر.</w:t>
      </w:r>
    </w:p>
    <w:p>
      <w:pPr>
        <w:pStyle w:val="BookText"/>
      </w:pPr>
      <w:r>
        <w:rPr>
          <w:rFonts w:ascii="IRNazanin" w:hAnsi="IRNazanin" w:eastAsia="IRNazanin" w:cs="IRNazanin"/>
          <w:lang w:bidi="fa-IR"/>
          <w:color w:val="111111"/>
          <w:sz w:val="28"/>
          <w:szCs w:val="28"/>
          <w:rtl/>
        </w:rPr>
        <w:t xml:space="preserve">إلی غیر ذلک ممّا یوهن إرادة البناء علی الأقلّ.</w:t>
      </w:r>
    </w:p>
    <w:p>
      <w:pPr>
        <w:pStyle w:val="BookText"/>
      </w:pPr>
      <w:r>
        <w:rPr>
          <w:rFonts w:ascii="IRNazanin" w:hAnsi="IRNazanin" w:eastAsia="IRNazanin" w:cs="IRNazanin"/>
          <w:lang w:bidi="fa-IR"/>
          <w:color w:val="111111"/>
          <w:sz w:val="28"/>
          <w:szCs w:val="28"/>
          <w:rtl/>
        </w:rPr>
        <w:t xml:space="preserve">و أمّا احتمال </w:t>
      </w:r>
      <w:r>
        <w:rPr>
          <w:rStyle w:val="FootnoteReference"/>
        </w:rPr>
        <w:footnoteReference w:id="1679"/>
      </w:r>
      <w:r>
        <w:rPr>
          <w:rFonts w:ascii="IRNazanin" w:hAnsi="IRNazanin" w:eastAsia="IRNazanin" w:cs="IRNazanin"/>
          <w:lang w:bidi="fa-IR"/>
          <w:color w:val="111111"/>
          <w:sz w:val="28"/>
          <w:szCs w:val="28"/>
          <w:rtl/>
        </w:rPr>
        <w:t xml:space="preserve">کون المراد من عدم نقض الیقین بالشکّ عدم جواز البناء علی وقوع المشکوک بمجرّد الشکّ-کما هو مقتضی الاستصحاب- فیکون مفاده:عدم جواز الاقتصار علی الرکعة المردّدة بین الثالثة و الرابعة،و قوله:«لا یدخل الشکّ فی الیقین»یراد به:أنّ الرکعة المشکوک فیها المبنیّ علی عدم وقوعها لا یضمّها إلی الیقین-أعنی </w:t>
      </w:r>
      <w:r>
        <w:rPr>
          <w:rStyle w:val="FootnoteReference"/>
        </w:rPr>
        <w:footnoteReference w:id="1680"/>
      </w:r>
      <w:r>
        <w:rPr>
          <w:rFonts w:ascii="IRNazanin" w:hAnsi="IRNazanin" w:eastAsia="IRNazanin" w:cs="IRNazanin"/>
          <w:lang w:bidi="fa-IR"/>
          <w:color w:val="111111"/>
          <w:sz w:val="28"/>
          <w:szCs w:val="28"/>
          <w:rtl/>
        </w:rPr>
        <w:t xml:space="preserve">القدر المتیقّن من الصلاة-بل یأتی بها مستقلّة علی ما هو مذهب الخاصّة.</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ففیه:من المخالفة لظاهر </w:t>
      </w:r>
      <w:r>
        <w:rPr>
          <w:rStyle w:val="FootnoteReference"/>
        </w:rPr>
        <w:footnoteReference w:id="1681"/>
      </w:r>
      <w:r>
        <w:rPr>
          <w:rFonts w:ascii="IRNazanin" w:hAnsi="IRNazanin" w:eastAsia="IRNazanin" w:cs="IRNazanin"/>
          <w:lang w:bidi="fa-IR"/>
          <w:color w:val="111111"/>
          <w:sz w:val="28"/>
          <w:szCs w:val="28"/>
          <w:rtl/>
        </w:rPr>
        <w:t xml:space="preserve">الفقرات الستّ أو السبع ما لا یخفی علی المتأمّل؛فإنّ مقتضی التدبّر فی الخبر أحد معنیین:</w:t>
      </w:r>
    </w:p>
    <w:p>
      <w:pPr>
        <w:pStyle w:val="BookText"/>
      </w:pPr>
      <w:r>
        <w:rPr>
          <w:rFonts w:ascii="IRNazanin" w:hAnsi="IRNazanin" w:eastAsia="IRNazanin" w:cs="IRNazanin"/>
          <w:lang w:bidi="fa-IR"/>
          <w:color w:val="111111"/>
          <w:sz w:val="28"/>
          <w:szCs w:val="28"/>
          <w:rtl/>
        </w:rPr>
        <w:t xml:space="preserve">[شماره صفحه واقعی : 65]
</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bookmarkStart w:id="364" w:name="pg14411_142959"/>
    <w:bookmarkEnd w:id="364"/>
    <w:p>
      <w:pPr>
        <w:pStyle w:val="BookText"/>
      </w:pPr>
      <w:r>
        <w:rPr>
          <w:rFonts w:ascii="IRNazanin" w:hAnsi="IRNazanin" w:eastAsia="IRNazanin" w:cs="IRNazanin"/>
          <w:lang w:bidi="fa-IR"/>
          <w:color w:val="111111"/>
          <w:sz w:val="28"/>
          <w:szCs w:val="28"/>
          <w:rtl/>
        </w:rPr>
        <w:t xml:space="preserve">إمّا الحمل علی التقیّة،و قد عرفت مخالفته للاصول و الظواهر.</w:t>
      </w:r>
    </w:p>
    <w:p>
      <w:pPr>
        <w:pStyle w:val="BookText"/>
      </w:pPr>
      <w:r>
        <w:rPr>
          <w:rFonts w:ascii="IRNazanin" w:hAnsi="IRNazanin" w:eastAsia="IRNazanin" w:cs="IRNazanin"/>
          <w:lang w:bidi="fa-IR"/>
          <w:color w:val="111111"/>
          <w:sz w:val="28"/>
          <w:szCs w:val="28"/>
          <w:rtl/>
        </w:rPr>
        <w:t xml:space="preserve">و إمّا حمله علی وجوب تحصیل الیقین بعدد الرکعات علی الوجه الأحوط،و هذا الوجه و إن کان بعیدا فی نفسه،لکنّه منحصر بعد عدم إمکان الحمل علی ما یطابق الاستصحاب،و لا أقلّ من مساواته لما ذکره هذا القائل،فیسقط الاستدلال بالصحیحة،خصوصا علی مثل هذه القاعدة.</w:t>
      </w:r>
    </w:p>
    <w:p>
      <w:pPr>
        <w:pStyle w:val="BookText"/>
      </w:pPr>
      <w:r>
        <w:rPr>
          <w:rFonts w:ascii="IRNazanin" w:hAnsi="IRNazanin" w:eastAsia="IRNazanin" w:cs="IRNazanin"/>
          <w:lang w:bidi="fa-IR"/>
          <w:color w:val="111111"/>
          <w:sz w:val="28"/>
          <w:szCs w:val="28"/>
          <w:rtl/>
        </w:rPr>
        <w:t xml:space="preserve">و أضعف من هذا دعوی </w:t>
      </w:r>
      <w:r>
        <w:rPr>
          <w:rStyle w:val="FootnoteReference"/>
        </w:rPr>
        <w:footnoteReference w:id="1682"/>
      </w:r>
      <w:r>
        <w:rPr>
          <w:rFonts w:ascii="IRNazanin" w:hAnsi="IRNazanin" w:eastAsia="IRNazanin" w:cs="IRNazanin"/>
          <w:lang w:bidi="fa-IR"/>
          <w:color w:val="111111"/>
          <w:sz w:val="28"/>
          <w:szCs w:val="28"/>
          <w:rtl/>
        </w:rPr>
        <w:t xml:space="preserve">:أنّ حملها علی وجوب تحصیل الیقین فی الصلاة بالعمل علی الأکثر،و العمل علی الاحتیاط بعد الصلاة-علی ما هو فتوی الخاصّة و صریح أخبارهم الآخر-لا ینافی إرادة العموم من القاعدة لهذا و للعمل علی الیقین السابق فی الموارد الأخر.</w:t>
      </w:r>
    </w:p>
    <w:p>
      <w:pPr>
        <w:pStyle w:val="BookText"/>
      </w:pPr>
      <w:r>
        <w:rPr>
          <w:rFonts w:ascii="IRNazanin" w:hAnsi="IRNazanin" w:eastAsia="IRNazanin" w:cs="IRNazanin"/>
          <w:lang w:bidi="fa-IR"/>
          <w:color w:val="111111"/>
          <w:sz w:val="28"/>
          <w:szCs w:val="28"/>
          <w:rtl/>
        </w:rPr>
        <w:t xml:space="preserve">و سیظهر اندفاعها بما سیجیء فی الأخبار الآتیة </w:t>
      </w:r>
      <w:r>
        <w:rPr>
          <w:rStyle w:val="FootnoteReference"/>
        </w:rPr>
        <w:footnoteReference w:id="1683"/>
      </w:r>
      <w:r>
        <w:rPr>
          <w:rFonts w:ascii="IRNazanin" w:hAnsi="IRNazanin" w:eastAsia="IRNazanin" w:cs="IRNazanin"/>
          <w:lang w:bidi="fa-IR"/>
          <w:color w:val="111111"/>
          <w:sz w:val="28"/>
          <w:szCs w:val="28"/>
          <w:rtl/>
        </w:rPr>
        <w:t xml:space="preserve">:من عدم إمکان الجمع بین هذین المعنیین فی المراد من العمل علی الیقین و عدم نقضه.</w:t>
      </w:r>
    </w:p>
    <w:p>
      <w:pPr>
        <w:pStyle w:val="Heading6"/>
      </w:pPr>
      <w:bookmarkStart w:id="1743" w:name="_Toc778"/>
      <w:r>
        <w:t>[4-الاستدلال بموثّقة إسحاق بن عمّار و الإشکال فیه:]</w:t>
      </w:r>
      <w:bookmarkEnd w:id="1743"/>
    </w:p>
    <w:p>
      <w:pPr>
        <w:pStyle w:val="BookText"/>
      </w:pPr>
      <w:r>
        <w:rPr>
          <w:rFonts w:ascii="IRNazanin" w:hAnsi="IRNazanin" w:eastAsia="IRNazanin" w:cs="IRNazanin"/>
          <w:lang w:bidi="fa-IR"/>
          <w:color w:val="111111"/>
          <w:sz w:val="28"/>
          <w:szCs w:val="28"/>
          <w:rtl/>
        </w:rPr>
        <w:t xml:space="preserve">و ممّا ذکرنا ظهر عدم صحّة الاستدلال </w:t>
      </w:r>
      <w:r>
        <w:rPr>
          <w:rStyle w:val="FootnoteReference"/>
        </w:rPr>
        <w:footnoteReference w:id="1684"/>
      </w:r>
      <w:r>
        <w:rPr>
          <w:rFonts w:ascii="Amiri" w:hAnsi="Amiri" w:eastAsia="Amiri" w:cs="Amiri"/>
          <w:lang w:bidi="ar-SA"/>
          <w:color w:val="111111"/>
          <w:sz w:val="28"/>
          <w:szCs w:val="28"/>
          <w:rtl/>
        </w:rPr>
        <w:t xml:space="preserve">بموثّقة عمّار </w:t>
      </w:r>
      <w:r>
        <w:rPr>
          <w:rStyle w:val="FootnoteReference"/>
        </w:rPr>
        <w:footnoteReference w:id="1685"/>
      </w:r>
      <w:r>
        <w:rPr>
          <w:rFonts w:ascii="IRNazanin" w:hAnsi="IRNazanin" w:eastAsia="IRNazanin" w:cs="IRNazanin"/>
          <w:lang w:bidi="fa-IR"/>
          <w:color w:val="111111"/>
          <w:sz w:val="28"/>
          <w:szCs w:val="28"/>
          <w:rtl/>
        </w:rPr>
        <w:t xml:space="preserve">عن أبی الحسن علیه السّلام:«قال:إذا شککت فابن علی الیقین.قلت:هذا أصل؟.</w:t>
      </w:r>
    </w:p>
    <w:p>
      <w:pPr>
        <w:pStyle w:val="BookText"/>
      </w:pPr>
      <w:r>
        <w:rPr>
          <w:rFonts w:ascii="IRNazanin" w:hAnsi="IRNazanin" w:eastAsia="IRNazanin" w:cs="IRNazanin"/>
          <w:lang w:bidi="fa-IR"/>
          <w:color w:val="111111"/>
          <w:sz w:val="28"/>
          <w:szCs w:val="28"/>
          <w:rtl/>
        </w:rPr>
        <w:t xml:space="preserve">[شماره صفحه واقعی : 66]
</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قال:نعم» </w:t>
      </w:r>
      <w:r>
        <w:rPr>
          <w:rStyle w:val="FootnoteReference"/>
        </w:rPr>
        <w:footnoteReference w:id="16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جعل البناء علی الأقلّ أصلا ینافی ما جعله الشارع أصلا فی غیر واحد من الأخبار،مثل:قوله علیه السّلام:«أجمع لک السهو کلّه فی کلمتین:متی ما شککت فابن علی الأکثر» </w:t>
      </w:r>
      <w:r>
        <w:rPr>
          <w:rStyle w:val="FootnoteReference"/>
        </w:rPr>
        <w:footnoteReference w:id="1687"/>
      </w:r>
      <w:r>
        <w:rPr>
          <w:rFonts w:ascii="IRNazanin" w:hAnsi="IRNazanin" w:eastAsia="IRNazanin" w:cs="IRNazanin"/>
          <w:lang w:bidi="fa-IR"/>
          <w:color w:val="111111"/>
          <w:sz w:val="28"/>
          <w:szCs w:val="28"/>
          <w:rtl/>
        </w:rPr>
        <w:t xml:space="preserve">،و قوله علیه السّلام فیما تقدّم:</w:t>
      </w:r>
    </w:p>
    <w:p>
      <w:pPr>
        <w:pStyle w:val="BookText"/>
      </w:pPr>
      <w:r>
        <w:rPr>
          <w:rFonts w:ascii="IRNazanin" w:hAnsi="IRNazanin" w:eastAsia="IRNazanin" w:cs="IRNazanin"/>
          <w:lang w:bidi="fa-IR"/>
          <w:color w:val="111111"/>
          <w:sz w:val="28"/>
          <w:szCs w:val="28"/>
          <w:rtl/>
        </w:rPr>
        <w:t xml:space="preserve">«أ لا اعلّمک شیئا...إلی آخر ما تقدّم» </w:t>
      </w:r>
      <w:r>
        <w:rPr>
          <w:rStyle w:val="FootnoteReference"/>
        </w:rPr>
        <w:footnoteReference w:id="16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فالوجه فیه:إمّا الحمل علی التقیّة،و إمّا ما ذکره بعض </w:t>
      </w:r>
      <w:r>
        <w:rPr>
          <w:rStyle w:val="FootnoteReference"/>
        </w:rPr>
        <w:footnoteReference w:id="1689"/>
      </w:r>
      <w:r>
        <w:rPr>
          <w:rFonts w:ascii="IRNazanin" w:hAnsi="IRNazanin" w:eastAsia="IRNazanin" w:cs="IRNazanin"/>
          <w:lang w:bidi="fa-IR"/>
          <w:color w:val="111111"/>
          <w:sz w:val="28"/>
          <w:szCs w:val="28"/>
          <w:rtl/>
        </w:rPr>
        <w:t xml:space="preserve">الأصحاب </w:t>
      </w:r>
      <w:r>
        <w:rPr>
          <w:rStyle w:val="FootnoteReference"/>
        </w:rPr>
        <w:footnoteReference w:id="1690"/>
      </w:r>
      <w:r>
        <w:rPr>
          <w:rFonts w:ascii="IRNazanin" w:hAnsi="IRNazanin" w:eastAsia="IRNazanin" w:cs="IRNazanin"/>
          <w:lang w:bidi="fa-IR"/>
          <w:color w:val="111111"/>
          <w:sz w:val="28"/>
          <w:szCs w:val="28"/>
          <w:rtl/>
        </w:rPr>
        <w:t xml:space="preserve">فی معنی الروایة:بإرادة البناء علی الأکثر،ثمّ الاحتیاط بفعل ما ینفع </w:t>
      </w:r>
      <w:r>
        <w:rPr>
          <w:rStyle w:val="FootnoteReference"/>
        </w:rPr>
        <w:footnoteReference w:id="1691"/>
      </w:r>
      <w:r>
        <w:rPr>
          <w:rFonts w:ascii="IRNazanin" w:hAnsi="IRNazanin" w:eastAsia="IRNazanin" w:cs="IRNazanin"/>
          <w:lang w:bidi="fa-IR"/>
          <w:color w:val="111111"/>
          <w:sz w:val="28"/>
          <w:szCs w:val="28"/>
          <w:rtl/>
        </w:rPr>
        <w:t xml:space="preserve">لأجل الصلاة علی تقدیر الحاجة،و لا یضرّ بها علی تقدیر الاستغناء.</w:t>
      </w:r>
    </w:p>
    <w:p>
      <w:pPr>
        <w:pStyle w:val="BookText"/>
      </w:pPr>
      <w:r>
        <w:rPr>
          <w:rFonts w:ascii="IRNazanin" w:hAnsi="IRNazanin" w:eastAsia="IRNazanin" w:cs="IRNazanin"/>
          <w:lang w:bidi="fa-IR"/>
          <w:color w:val="111111"/>
          <w:sz w:val="28"/>
          <w:szCs w:val="28"/>
          <w:rtl/>
        </w:rPr>
        <w:t xml:space="preserve">نعم،یمکن أن یقال بعدم الدلیل علی اختصاص الموثّقة بشکوک الصلاة،فضلا عن الشکّ فی رکعاتها،فهو أصل کلّی خرج منه الشکّ فی عدد الرکعات،و هو غیر قادح.</w:t>
      </w:r>
    </w:p>
    <w:p>
      <w:pPr>
        <w:pStyle w:val="BookText"/>
      </w:pPr>
      <w:r>
        <w:rPr>
          <w:rFonts w:ascii="IRNazanin" w:hAnsi="IRNazanin" w:eastAsia="IRNazanin" w:cs="IRNazanin"/>
          <w:lang w:bidi="fa-IR"/>
          <w:color w:val="111111"/>
          <w:sz w:val="28"/>
          <w:szCs w:val="28"/>
          <w:rtl/>
        </w:rPr>
        <w:t xml:space="preserve">لکن یرد علیه:عدم الدلالة علی إرادة الیقین السابق علی الشکّ،</w:t>
      </w:r>
    </w:p>
    <w:p>
      <w:pPr>
        <w:pStyle w:val="BookText"/>
      </w:pPr>
      <w:r>
        <w:rPr>
          <w:rFonts w:ascii="IRNazanin" w:hAnsi="IRNazanin" w:eastAsia="IRNazanin" w:cs="IRNazanin"/>
          <w:lang w:bidi="fa-IR"/>
          <w:color w:val="111111"/>
          <w:sz w:val="28"/>
          <w:szCs w:val="28"/>
          <w:rtl/>
        </w:rPr>
        <w:t xml:space="preserve">[شماره صفحه واقعی : 67]
</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bookmarkStart w:id="365" w:name="pg14411_142961"/>
    <w:bookmarkEnd w:id="365"/>
    <w:p>
      <w:pPr>
        <w:pStyle w:val="BookText"/>
      </w:pPr>
      <w:r>
        <w:rPr>
          <w:rFonts w:ascii="IRNazanin" w:hAnsi="IRNazanin" w:eastAsia="IRNazanin" w:cs="IRNazanin"/>
          <w:lang w:bidi="fa-IR"/>
          <w:color w:val="111111"/>
          <w:sz w:val="28"/>
          <w:szCs w:val="28"/>
          <w:rtl/>
        </w:rPr>
        <w:t xml:space="preserve">و لا المتیقّن السابق علی المشکوک اللاحق،فهی أضعف دلالة من الروایة الآتیة الصریحة فی الیقین السابق؛لاحتمالها لإرادة إیجاب العمل بالاحتیاط،فافهم </w:t>
      </w:r>
      <w:r>
        <w:rPr>
          <w:rStyle w:val="FootnoteReference"/>
        </w:rPr>
        <w:footnoteReference w:id="1692"/>
      </w:r>
      <w:r>
        <w:rPr>
          <w:rFonts w:ascii="Times New Roman" w:hAnsi="Times New Roman" w:eastAsia="Times New Roman" w:cs="Times New Roman"/>
          <w:lang w:val="en-US" w:bidi="en-US"/>
          <w:color w:val="111111"/>
          <w:sz w:val="28"/>
          <w:szCs w:val="28"/>
          <w:rtl/>
        </w:rPr>
        <w:t xml:space="preserve">.</w:t>
      </w:r>
    </w:p>
    <w:p>
      <w:pPr>
        <w:pStyle w:val="Heading6"/>
      </w:pPr>
      <w:bookmarkStart w:id="1744" w:name="_Toc779"/>
      <w:r>
        <w:t>[5-الاستدلال بروایة الخصال و روایة اخری:]</w:t>
      </w:r>
      <w:bookmarkEnd w:id="1744"/>
    </w:p>
    <w:p>
      <w:pPr>
        <w:pStyle w:val="Heading6"/>
      </w:pPr>
      <w:bookmarkStart w:id="1745" w:name="_Toc780"/>
      <w:r>
        <w:t>اشارة</w:t>
      </w:r>
      <w:bookmarkEnd w:id="1745"/>
    </w:p>
    <w:p>
      <w:pPr>
        <w:pStyle w:val="BookText"/>
      </w:pPr>
      <w:r>
        <w:rPr>
          <w:rFonts w:ascii="IRNazanin" w:hAnsi="IRNazanin" w:eastAsia="IRNazanin" w:cs="IRNazanin"/>
          <w:lang w:bidi="fa-IR"/>
          <w:color w:val="111111"/>
          <w:sz w:val="28"/>
          <w:szCs w:val="28"/>
          <w:rtl/>
        </w:rPr>
        <w:t xml:space="preserve">و منها:ما عن الخصال بسنده عن محمّد بن مسلم عن أبی عبد اللّه علیه السّلام،قال:«قال أمیر المؤمنین صلوات اللّه و سلامه علیه:من کان علی یقین فشکّ فلیمض علی یقینه؛فإنّ الشکّ لا ینقض الیقین» </w:t>
      </w:r>
      <w:r>
        <w:rPr>
          <w:rStyle w:val="FootnoteReference"/>
        </w:rPr>
        <w:footnoteReference w:id="16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روایة اخری عنه علیه السّلام:«من کان علی یقین فأصابه شکّ فلیمض علی یقینه؛فإنّ الیقین لا یدفع بالشکّ» </w:t>
      </w:r>
      <w:r>
        <w:rPr>
          <w:rStyle w:val="FootnoteReference"/>
        </w:rPr>
        <w:footnoteReference w:id="1694"/>
      </w:r>
      <w:r>
        <w:rPr>
          <w:rFonts w:ascii="IRNazanin" w:hAnsi="IRNazanin" w:eastAsia="IRNazanin" w:cs="IRNazanin"/>
          <w:lang w:bidi="fa-IR"/>
          <w:color w:val="111111"/>
          <w:sz w:val="28"/>
          <w:szCs w:val="28"/>
          <w:rtl/>
        </w:rPr>
        <w:t xml:space="preserve">.و عدّها المجلسی-فی البحار-فی سلک الأخبار التی یستفاد منها القواعد الکلّیة </w:t>
      </w:r>
      <w:r>
        <w:rPr>
          <w:rStyle w:val="FootnoteReference"/>
        </w:rPr>
        <w:footnoteReference w:id="1695"/>
      </w:r>
      <w:r>
        <w:rPr>
          <w:rFonts w:ascii="Times New Roman" w:hAnsi="Times New Roman" w:eastAsia="Times New Roman" w:cs="Times New Roman"/>
          <w:lang w:val="en-US" w:bidi="en-US"/>
          <w:color w:val="111111"/>
          <w:sz w:val="28"/>
          <w:szCs w:val="28"/>
          <w:rtl/>
        </w:rPr>
        <w:t xml:space="preserve">.</w:t>
      </w:r>
    </w:p>
    <w:p>
      <w:pPr>
        <w:pStyle w:val="Heading6"/>
      </w:pPr>
      <w:bookmarkStart w:id="1746" w:name="_Toc781"/>
      <w:r>
        <w:t>[المناقشة فی الاستدلال بهاتین الروایتین:]</w:t>
      </w:r>
      <w:bookmarkEnd w:id="1746"/>
    </w:p>
    <w:p>
      <w:pPr>
        <w:pStyle w:val="BookText"/>
      </w:pPr>
      <w:r>
        <w:rPr>
          <w:rFonts w:ascii="IRNazanin" w:hAnsi="IRNazanin" w:eastAsia="IRNazanin" w:cs="IRNazanin"/>
          <w:lang w:bidi="fa-IR"/>
          <w:color w:val="111111"/>
          <w:sz w:val="28"/>
          <w:szCs w:val="28"/>
          <w:rtl/>
        </w:rPr>
        <w:t xml:space="preserve">أقول:لا یخفی أنّ الشکّ و الیقین لا یجتمعان حتّی ینقض أحدهما الآخر،بل لا بدّ من اختلافهما:</w:t>
      </w:r>
    </w:p>
    <w:p>
      <w:pPr>
        <w:pStyle w:val="BookText"/>
      </w:pPr>
      <w:r>
        <w:rPr>
          <w:rFonts w:ascii="IRNazanin" w:hAnsi="IRNazanin" w:eastAsia="IRNazanin" w:cs="IRNazanin"/>
          <w:lang w:bidi="fa-IR"/>
          <w:color w:val="111111"/>
          <w:sz w:val="28"/>
          <w:szCs w:val="28"/>
          <w:rtl/>
        </w:rPr>
        <w:t xml:space="preserve">إمّا فی زمان نفس الوصفین،کأن یقطع یوم الجمعة بعدالة زید فی زمان،ثمّ یشکّ یوم السبت فی عدالته فی ذلک الزمان.</w:t>
      </w:r>
    </w:p>
    <w:p>
      <w:pPr>
        <w:pStyle w:val="BookText"/>
      </w:pPr>
      <w:r>
        <w:rPr>
          <w:rFonts w:ascii="IRNazanin" w:hAnsi="IRNazanin" w:eastAsia="IRNazanin" w:cs="IRNazanin"/>
          <w:lang w:bidi="fa-IR"/>
          <w:color w:val="111111"/>
          <w:sz w:val="28"/>
          <w:szCs w:val="28"/>
          <w:rtl/>
        </w:rPr>
        <w:t xml:space="preserve">و إمّا فی زمان متعلّقهما و إن اتّحد زمانهما،کأن یقطع یوم السبت بعدالة زید یوم الجمعة،و یشکّ-فی زمان هذا القطع-بعدالته </w:t>
      </w:r>
      <w:r>
        <w:rPr>
          <w:rStyle w:val="FootnoteReference"/>
        </w:rPr>
        <w:footnoteReference w:id="1696"/>
      </w:r>
      <w:r>
        <w:rPr>
          <w:rFonts w:ascii="IRNazanin" w:hAnsi="IRNazanin" w:eastAsia="IRNazanin" w:cs="IRNazanin"/>
          <w:lang w:bidi="fa-IR"/>
          <w:color w:val="111111"/>
          <w:sz w:val="28"/>
          <w:szCs w:val="28"/>
          <w:rtl/>
        </w:rPr>
        <w:t xml:space="preserve">فی یوم</w:t>
      </w:r>
    </w:p>
    <w:p>
      <w:pPr>
        <w:pStyle w:val="BookText"/>
      </w:pPr>
      <w:r>
        <w:rPr>
          <w:rFonts w:ascii="IRNazanin" w:hAnsi="IRNazanin" w:eastAsia="IRNazanin" w:cs="IRNazanin"/>
          <w:lang w:bidi="fa-IR"/>
          <w:color w:val="111111"/>
          <w:sz w:val="28"/>
          <w:szCs w:val="28"/>
          <w:rtl/>
        </w:rPr>
        <w:t xml:space="preserve">[شماره صفحه واقعی : 68]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السبت،و هذا هو الاستصحاب،و لیس منوطا بتعدّد زمان الشکّ و الیقین -کما عرفت فی المثال-فضلا عن تأخّر الأوّل عن الثانی.</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 حیث إنّ صریح الروایة اختلاف زمان الوصفین،و ظاهرها اتّحاد زمان متعلّقهما؛تعیّن حملها علی القاعدة الاولی،و حاصلها:عدم العبرة بطروّ الشکّ فی شیء بعد الیقین بذلک الشیء.</w:t>
      </w:r>
    </w:p>
    <w:p>
      <w:pPr>
        <w:pStyle w:val="BookText"/>
      </w:pPr>
      <w:r>
        <w:rPr>
          <w:rFonts w:ascii="IRNazanin" w:hAnsi="IRNazanin" w:eastAsia="IRNazanin" w:cs="IRNazanin"/>
          <w:lang w:bidi="fa-IR"/>
          <w:color w:val="111111"/>
          <w:sz w:val="28"/>
          <w:szCs w:val="28"/>
          <w:rtl/>
        </w:rPr>
        <w:t xml:space="preserve">و یؤیّده:أنّ النقض حینئذ محمول علی حقیقته؛لأنّه رفع الید عن نفس الآثار التی رتّبها سابقا علی المتیقّن،بخلاف الاستصحاب؛فإنّ المراد بنقض الیقین فیه رفع الید عن ترتیب الآثار فی غیر زمان الیقین، و هذا لیس نقضا للیقین السابق،إلاّ إذا اخذ متعلّقه مجرّدا عن التقیید بالزمان الأوّل.</w:t>
      </w:r>
    </w:p>
    <w:p>
      <w:pPr>
        <w:pStyle w:val="BookText"/>
      </w:pPr>
      <w:r>
        <w:rPr>
          <w:rFonts w:ascii="IRNazanin" w:hAnsi="IRNazanin" w:eastAsia="IRNazanin" w:cs="IRNazanin"/>
          <w:lang w:bidi="fa-IR"/>
          <w:color w:val="111111"/>
          <w:sz w:val="28"/>
          <w:szCs w:val="28"/>
          <w:rtl/>
        </w:rPr>
        <w:t xml:space="preserve">و بالجملة:فمن تأمّل فی الروایة،و أغمض عن ذکر بعض </w:t>
      </w:r>
      <w:r>
        <w:rPr>
          <w:rStyle w:val="FootnoteReference"/>
        </w:rPr>
        <w:footnoteReference w:id="1697"/>
      </w:r>
      <w:r>
        <w:rPr>
          <w:rFonts w:ascii="IRNazanin" w:hAnsi="IRNazanin" w:eastAsia="IRNazanin" w:cs="IRNazanin"/>
          <w:lang w:bidi="fa-IR"/>
          <w:color w:val="111111"/>
          <w:sz w:val="28"/>
          <w:szCs w:val="28"/>
          <w:rtl/>
        </w:rPr>
        <w:t xml:space="preserve">لها فی أدلّة الاستصحاب،جزم بما </w:t>
      </w:r>
      <w:r>
        <w:rPr>
          <w:rStyle w:val="FootnoteReference"/>
        </w:rPr>
        <w:footnoteReference w:id="1698"/>
      </w:r>
      <w:r>
        <w:rPr>
          <w:rFonts w:ascii="IRNazanin" w:hAnsi="IRNazanin" w:eastAsia="IRNazanin" w:cs="IRNazanin"/>
          <w:lang w:bidi="fa-IR"/>
          <w:color w:val="111111"/>
          <w:sz w:val="28"/>
          <w:szCs w:val="28"/>
          <w:rtl/>
        </w:rPr>
        <w:t xml:space="preserve">ذکرناه فی معنی الروایة.</w:t>
      </w:r>
    </w:p>
    <w:p>
      <w:pPr>
        <w:pStyle w:val="BookText"/>
      </w:pPr>
      <w:r>
        <w:rPr>
          <w:rFonts w:ascii="IRNazanin" w:hAnsi="IRNazanin" w:eastAsia="IRNazanin" w:cs="IRNazanin"/>
          <w:lang w:bidi="fa-IR"/>
          <w:color w:val="111111"/>
          <w:sz w:val="28"/>
          <w:szCs w:val="28"/>
          <w:rtl/>
        </w:rPr>
        <w:t xml:space="preserve">ثمّ لو سلّم أنّ هذه القاعدة بإطلاقها مخالفة للإجماع،أمکن تقییدها بعدم نقض الیقین السابق بالنسبة إلی الأعمال التی رتّبها حال الیقین به-کالاقتداء بذلک الشخص فی مثال العدالة،أو العمل بفتواه أو شهادته-أو تقیید الحکم بصورة عدم التذکّر لمستند القطع السابق، و إخراج صورة تذکّره و التفطّن لفساده و عدم قابلیّته لإفادة القطع </w:t>
      </w:r>
      <w:r>
        <w:rPr>
          <w:rStyle w:val="FootnoteReference"/>
        </w:rPr>
        <w:footnoteReference w:id="16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69]
</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bookmarkStart w:id="366" w:name="pg14411_142963"/>
    <w:bookmarkEnd w:id="366"/>
    <w:p>
      <w:pPr>
        <w:pStyle w:val="Heading6"/>
      </w:pPr>
      <w:bookmarkStart w:id="1747" w:name="_Toc782"/>
      <w:r>
        <w:t>[إمکان دفع المناقشة المذکورة:]</w:t>
      </w:r>
      <w:bookmarkEnd w:id="1747"/>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اللّهم إلاّ أن یقال-بعد ظهور کون الزمان الماضی فی الروایة ظرفا للیقین-:إنّ الظاهر تجرید متعلّق الیقین عن التقیید بالزمان؛فإنّ قول القائل:«کنت متیقّنا أمس بعدالة زید»ظاهر فی إرادة أصل العدالة،لا العدالة المقیّدة </w:t>
      </w:r>
      <w:r>
        <w:rPr>
          <w:rStyle w:val="FootnoteReference"/>
        </w:rPr>
        <w:footnoteReference w:id="1700"/>
      </w:r>
      <w:r>
        <w:rPr>
          <w:rFonts w:ascii="IRNazanin" w:hAnsi="IRNazanin" w:eastAsia="IRNazanin" w:cs="IRNazanin"/>
          <w:lang w:bidi="fa-IR"/>
          <w:color w:val="111111"/>
          <w:sz w:val="28"/>
          <w:szCs w:val="28"/>
          <w:rtl/>
        </w:rPr>
        <w:t xml:space="preserve">بالزمان الماضی،و إن کان ظرفه </w:t>
      </w:r>
      <w:r>
        <w:rPr>
          <w:rStyle w:val="FootnoteReference"/>
        </w:rPr>
        <w:footnoteReference w:id="1701"/>
      </w:r>
      <w:r>
        <w:rPr>
          <w:rFonts w:ascii="IRNazanin" w:hAnsi="IRNazanin" w:eastAsia="IRNazanin" w:cs="IRNazanin"/>
          <w:lang w:bidi="fa-IR"/>
          <w:color w:val="111111"/>
          <w:sz w:val="28"/>
          <w:szCs w:val="28"/>
          <w:rtl/>
        </w:rPr>
        <w:t xml:space="preserve">فی الواقع ظرف الیقین،لکن لم یلاحظه علی وجه التقیید،فیکون الشکّ فیما بعد هذا الزمان،متعلّقا بنفس ذلک المتیقّن مجرّدا عن ذلک التقیید،ظاهرا فی تحقّق أصل العدالة فی زمان الشکّ،فینطبق علی الاستصحاب، فافهم </w:t>
      </w:r>
      <w:r>
        <w:rPr>
          <w:rStyle w:val="FootnoteReference"/>
        </w:rPr>
        <w:footnoteReference w:id="17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فالإنصاف </w:t>
      </w:r>
      <w:r>
        <w:rPr>
          <w:rStyle w:val="FootnoteReference"/>
        </w:rPr>
        <w:footnoteReference w:id="1703"/>
      </w:r>
      <w:r>
        <w:rPr>
          <w:rFonts w:ascii="IRNazanin" w:hAnsi="IRNazanin" w:eastAsia="IRNazanin" w:cs="IRNazanin"/>
          <w:lang w:bidi="fa-IR"/>
          <w:color w:val="111111"/>
          <w:sz w:val="28"/>
          <w:szCs w:val="28"/>
          <w:rtl/>
        </w:rPr>
        <w:t xml:space="preserve">:أنّ الروایة-سیّما بملاحظة </w:t>
      </w:r>
      <w:r>
        <w:rPr>
          <w:rStyle w:val="FootnoteReference"/>
        </w:rPr>
        <w:footnoteReference w:id="1704"/>
      </w:r>
      <w:r>
        <w:rPr>
          <w:rFonts w:ascii="IRNazanin" w:hAnsi="IRNazanin" w:eastAsia="IRNazanin" w:cs="IRNazanin"/>
          <w:lang w:bidi="fa-IR"/>
          <w:color w:val="111111"/>
          <w:sz w:val="28"/>
          <w:szCs w:val="28"/>
          <w:rtl/>
        </w:rPr>
        <w:t xml:space="preserve">قوله علیه السّلام:«فإنّ الشکّ لا ینقض الیقین» </w:t>
      </w:r>
      <w:r>
        <w:rPr>
          <w:rStyle w:val="FootnoteReference"/>
        </w:rPr>
        <w:footnoteReference w:id="1705"/>
      </w:r>
      <w:r>
        <w:rPr>
          <w:rFonts w:ascii="IRNazanin" w:hAnsi="IRNazanin" w:eastAsia="IRNazanin" w:cs="IRNazanin"/>
          <w:lang w:bidi="fa-IR"/>
          <w:color w:val="111111"/>
          <w:sz w:val="28"/>
          <w:szCs w:val="28"/>
          <w:rtl/>
        </w:rPr>
        <w:t xml:space="preserve">،و </w:t>
      </w:r>
      <w:r>
        <w:rPr>
          <w:rStyle w:val="FootnoteReference"/>
        </w:rPr>
        <w:footnoteReference w:id="1706"/>
      </w:r>
      <w:r>
        <w:rPr>
          <w:rFonts w:ascii="IRNazanin" w:hAnsi="IRNazanin" w:eastAsia="IRNazanin" w:cs="IRNazanin"/>
          <w:lang w:bidi="fa-IR"/>
          <w:color w:val="111111"/>
          <w:sz w:val="28"/>
          <w:szCs w:val="28"/>
          <w:rtl/>
        </w:rPr>
        <w:t xml:space="preserve">بملاحظة ما سبق فی الصحاح من قوله:«لا ینقض الیقین بالشکّ»حیث إنّ ظاهره مساوقته لها-ظاهرة فی الاستصحاب </w:t>
      </w:r>
      <w:r>
        <w:rPr>
          <w:rStyle w:val="FootnoteReference"/>
        </w:rPr>
        <w:footnoteReference w:id="1707"/>
      </w:r>
      <w:r>
        <w:rPr>
          <w:rFonts w:ascii="IRNazanin" w:hAnsi="IRNazanin" w:eastAsia="IRNazanin" w:cs="IRNazanin"/>
          <w:lang w:bidi="fa-IR"/>
          <w:color w:val="111111"/>
          <w:sz w:val="28"/>
          <w:szCs w:val="28"/>
          <w:rtl/>
        </w:rPr>
        <w:t xml:space="preserve">،و یبعد حملها علی المعنی الذی </w:t>
      </w:r>
      <w:r>
        <w:rPr>
          <w:rStyle w:val="FootnoteReference"/>
        </w:rPr>
        <w:footnoteReference w:id="1708"/>
      </w:r>
      <w:r>
        <w:rPr>
          <w:rFonts w:ascii="IRNazanin" w:hAnsi="IRNazanin" w:eastAsia="IRNazanin" w:cs="IRNazanin"/>
          <w:lang w:bidi="fa-IR"/>
          <w:color w:val="111111"/>
          <w:sz w:val="28"/>
          <w:szCs w:val="28"/>
          <w:rtl/>
        </w:rPr>
        <w:t xml:space="preserve">ذکرنا.</w:t>
      </w:r>
    </w:p>
    <w:p>
      <w:pPr>
        <w:pStyle w:val="BookText"/>
      </w:pPr>
      <w:r>
        <w:rPr>
          <w:rFonts w:ascii="IRNazanin" w:hAnsi="IRNazanin" w:eastAsia="IRNazanin" w:cs="IRNazanin"/>
          <w:lang w:bidi="fa-IR"/>
          <w:color w:val="111111"/>
          <w:sz w:val="28"/>
          <w:szCs w:val="28"/>
          <w:rtl/>
        </w:rPr>
        <w:t xml:space="preserve">[شماره صفحه واقعی : 70]
</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bookmarkStart w:id="367" w:name="pg14411_142964"/>
    <w:bookmarkEnd w:id="367"/>
    <w:p>
      <w:pPr>
        <w:pStyle w:val="BookText"/>
      </w:pPr>
      <w:r>
        <w:rPr>
          <w:rFonts w:ascii="IRNazanin" w:hAnsi="IRNazanin" w:eastAsia="IRNazanin" w:cs="IRNazanin"/>
          <w:lang w:bidi="fa-IR"/>
          <w:color w:val="111111"/>
          <w:sz w:val="28"/>
          <w:szCs w:val="28"/>
          <w:rtl/>
        </w:rPr>
        <w:t xml:space="preserve">هذا </w:t>
      </w:r>
      <w:r>
        <w:rPr>
          <w:rStyle w:val="FootnoteReference"/>
        </w:rPr>
        <w:footnoteReference w:id="1709"/>
      </w:r>
      <w:r>
        <w:rPr>
          <w:rFonts w:ascii="IRNazanin" w:hAnsi="IRNazanin" w:eastAsia="IRNazanin" w:cs="IRNazanin"/>
          <w:lang w:bidi="fa-IR"/>
          <w:color w:val="111111"/>
          <w:sz w:val="28"/>
          <w:szCs w:val="28"/>
          <w:rtl/>
        </w:rPr>
        <w:t xml:space="preserve">،لکن سند الروایة ضعیف ب«القاسم بن یحیی»؛لتضعیف العلاّمة له فی الخلاصة </w:t>
      </w:r>
      <w:r>
        <w:rPr>
          <w:rStyle w:val="FootnoteReference"/>
        </w:rPr>
        <w:footnoteReference w:id="1710"/>
      </w:r>
      <w:r>
        <w:rPr>
          <w:rFonts w:ascii="IRNazanin" w:hAnsi="IRNazanin" w:eastAsia="IRNazanin" w:cs="IRNazanin"/>
          <w:lang w:bidi="fa-IR"/>
          <w:color w:val="111111"/>
          <w:sz w:val="28"/>
          <w:szCs w:val="28"/>
          <w:rtl/>
        </w:rPr>
        <w:t xml:space="preserve">،و إن ضعّف ذلک بعض </w:t>
      </w:r>
      <w:r>
        <w:rPr>
          <w:rStyle w:val="FootnoteReference"/>
        </w:rPr>
        <w:footnoteReference w:id="1711"/>
      </w:r>
      <w:r>
        <w:rPr>
          <w:rFonts w:ascii="IRNazanin" w:hAnsi="IRNazanin" w:eastAsia="IRNazanin" w:cs="IRNazanin"/>
          <w:lang w:bidi="fa-IR"/>
          <w:color w:val="111111"/>
          <w:sz w:val="28"/>
          <w:szCs w:val="28"/>
          <w:rtl/>
        </w:rPr>
        <w:t xml:space="preserve">باستناده إلی تضعیف ابن الغضائری-المعروف عدم قدحه-فتأمّل.</w:t>
      </w:r>
    </w:p>
    <w:p>
      <w:pPr>
        <w:pStyle w:val="Heading6"/>
      </w:pPr>
      <w:bookmarkStart w:id="1748" w:name="_Toc783"/>
      <w:r>
        <w:t>[6-مکاتبة علی بن محمّد القاسانی:]</w:t>
      </w:r>
      <w:bookmarkEnd w:id="1748"/>
    </w:p>
    <w:p>
      <w:pPr>
        <w:pStyle w:val="Heading6"/>
      </w:pPr>
      <w:bookmarkStart w:id="1749" w:name="_Toc784"/>
      <w:r>
        <w:t>اشارة</w:t>
      </w:r>
      <w:bookmarkEnd w:id="1749"/>
    </w:p>
    <w:p>
      <w:pPr>
        <w:pStyle w:val="BookText"/>
      </w:pPr>
      <w:r>
        <w:rPr>
          <w:rFonts w:ascii="IRNazanin" w:hAnsi="IRNazanin" w:eastAsia="IRNazanin" w:cs="IRNazanin"/>
          <w:lang w:bidi="fa-IR"/>
          <w:color w:val="111111"/>
          <w:sz w:val="28"/>
          <w:szCs w:val="28"/>
          <w:rtl/>
        </w:rPr>
        <w:t xml:space="preserve">و منها:مکاتبة علی بن محمد القاسانی:«قال:کتبت إلیه-و أنا بالمدینة- </w:t>
      </w:r>
      <w:r>
        <w:rPr>
          <w:rStyle w:val="FootnoteReference"/>
        </w:rPr>
        <w:footnoteReference w:id="1712"/>
      </w:r>
      <w:r>
        <w:rPr>
          <w:rFonts w:ascii="IRNazanin" w:hAnsi="IRNazanin" w:eastAsia="IRNazanin" w:cs="IRNazanin"/>
          <w:lang w:bidi="fa-IR"/>
          <w:color w:val="111111"/>
          <w:sz w:val="28"/>
          <w:szCs w:val="28"/>
          <w:rtl/>
        </w:rPr>
        <w:t xml:space="preserve">عن الیوم الذی یشکّ فیه من رمضان،هل یصام أم لا؟ فکتب علیه السّلام:الیقین لا یدخله الشکّ،صم للرؤیة و افطر للرؤیة» </w:t>
      </w:r>
      <w:r>
        <w:rPr>
          <w:rStyle w:val="FootnoteReference"/>
        </w:rPr>
        <w:footnoteReference w:id="1713"/>
      </w:r>
      <w:r>
        <w:rPr>
          <w:rFonts w:ascii="Times New Roman" w:hAnsi="Times New Roman" w:eastAsia="Times New Roman" w:cs="Times New Roman"/>
          <w:lang w:val="en-US" w:bidi="en-US"/>
          <w:color w:val="111111"/>
          <w:sz w:val="28"/>
          <w:szCs w:val="28"/>
          <w:rtl/>
        </w:rPr>
        <w:t xml:space="preserve">.</w:t>
      </w:r>
    </w:p>
    <w:p>
      <w:pPr>
        <w:pStyle w:val="Heading6"/>
      </w:pPr>
      <w:bookmarkStart w:id="1750" w:name="_Toc785"/>
      <w:r>
        <w:t>[تقریب الاستدلال:]</w:t>
      </w:r>
      <w:bookmarkEnd w:id="1750"/>
    </w:p>
    <w:p>
      <w:pPr>
        <w:pStyle w:val="BookText"/>
      </w:pPr>
      <w:r>
        <w:rPr>
          <w:rFonts w:ascii="IRNazanin" w:hAnsi="IRNazanin" w:eastAsia="IRNazanin" w:cs="IRNazanin"/>
          <w:lang w:bidi="fa-IR"/>
          <w:color w:val="111111"/>
          <w:sz w:val="28"/>
          <w:szCs w:val="28"/>
          <w:rtl/>
        </w:rPr>
        <w:t xml:space="preserve">فإنّ تفریع تحدید کلّ من الصوم و الإفطار-برؤیة هلالی رمضان و شوّال-علی قوله علیه السّلام:«الیقین لا یدخله الشکّ»لا یستقیم إلاّ بإرادة عدم جعل الیقین السابق مدخولا بالشکّ،أی مزاحما به.</w:t>
      </w:r>
    </w:p>
    <w:p>
      <w:pPr>
        <w:pStyle w:val="BookText"/>
      </w:pPr>
      <w:r>
        <w:rPr>
          <w:rFonts w:ascii="IRNazanin" w:hAnsi="IRNazanin" w:eastAsia="IRNazanin" w:cs="IRNazanin"/>
          <w:lang w:bidi="fa-IR"/>
          <w:color w:val="111111"/>
          <w:sz w:val="28"/>
          <w:szCs w:val="28"/>
          <w:rtl/>
        </w:rPr>
        <w:t xml:space="preserve">و الإنصاف:أنّ هذه الروایة أظهر ما فی هذا الباب من أخبار الاستصحاب،إلاّ أنّ سندها غیر سلیم.</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هذه جملة ما وقفت علیه من الأخبار المستدلّ بها للاستصحاب، و قد عرفت عدم ظهور الصحیح منها </w:t>
      </w:r>
      <w:r>
        <w:rPr>
          <w:rStyle w:val="FootnoteReference"/>
        </w:rPr>
        <w:footnoteReference w:id="1714"/>
      </w:r>
      <w:r>
        <w:rPr>
          <w:rFonts w:ascii="Amiri" w:hAnsi="Amiri" w:eastAsia="Amiri" w:cs="Amiri"/>
          <w:lang w:bidi="ar-SA"/>
          <w:color w:val="111111"/>
          <w:sz w:val="28"/>
          <w:szCs w:val="28"/>
          <w:rtl/>
        </w:rPr>
        <w:t xml:space="preserve">،و عدم صحّة الظاهر منها </w:t>
      </w:r>
      <w:r>
        <w:rPr>
          <w:rStyle w:val="FootnoteReference"/>
        </w:rPr>
        <w:footnoteReference w:id="1715"/>
      </w:r>
      <w:r>
        <w:rPr>
          <w:rFonts w:ascii="IRNazanin" w:hAnsi="IRNazanin" w:eastAsia="IRNazanin" w:cs="IRNazanin"/>
          <w:lang w:bidi="fa-IR"/>
          <w:color w:val="111111"/>
          <w:sz w:val="28"/>
          <w:szCs w:val="28"/>
          <w:rtl/>
        </w:rPr>
        <w:t xml:space="preserve">فلعلّ الاستدلال بالمجموع باعتبار التجابر و التعاضد.</w:t>
      </w:r>
    </w:p>
    <w:p>
      <w:pPr>
        <w:pStyle w:val="BookText"/>
      </w:pPr>
      <w:r>
        <w:rPr>
          <w:rFonts w:ascii="IRNazanin" w:hAnsi="IRNazanin" w:eastAsia="IRNazanin" w:cs="IRNazanin"/>
          <w:lang w:bidi="fa-IR"/>
          <w:color w:val="111111"/>
          <w:sz w:val="28"/>
          <w:szCs w:val="28"/>
          <w:rtl/>
        </w:rPr>
        <w:t xml:space="preserve">[شماره صفحه واقعی : 71]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bookmarkStart w:id="368" w:name="pg14411_142965"/>
    <w:bookmarkEnd w:id="368"/>
    <w:p>
      <w:pPr>
        <w:pStyle w:val="Heading6"/>
      </w:pPr>
      <w:bookmarkStart w:id="1751" w:name="_Toc786"/>
      <w:r>
        <w:t>[تأیید المختار بالأخبار الخاصّة:]</w:t>
      </w:r>
      <w:bookmarkEnd w:id="1751"/>
    </w:p>
    <w:p>
      <w:pPr>
        <w:pStyle w:val="Heading6"/>
      </w:pPr>
      <w:bookmarkStart w:id="1752" w:name="_Toc787"/>
      <w:r>
        <w:t>اشارة</w:t>
      </w:r>
      <w:bookmarkEnd w:id="1752"/>
    </w:p>
    <w:p>
      <w:pPr>
        <w:pStyle w:val="BookText"/>
      </w:pPr>
      <w:r>
        <w:rPr>
          <w:rFonts w:ascii="IRNazanin" w:hAnsi="IRNazanin" w:eastAsia="IRNazanin" w:cs="IRNazanin"/>
          <w:lang w:bidi="fa-IR"/>
          <w:color w:val="111111"/>
          <w:sz w:val="28"/>
          <w:szCs w:val="28"/>
          <w:rtl/>
        </w:rPr>
        <w:t xml:space="preserve">و ربما یؤیّد ذلک بالأخبار الواردة فی الموارد الخاصّة:</w:t>
      </w:r>
    </w:p>
    <w:p>
      <w:pPr>
        <w:pStyle w:val="Heading6"/>
      </w:pPr>
      <w:bookmarkStart w:id="1753" w:name="_Toc788"/>
      <w:r>
        <w:t>[1-روایة عبد اللّه بن سنان:]</w:t>
      </w:r>
      <w:bookmarkEnd w:id="1753"/>
    </w:p>
    <w:p>
      <w:pPr>
        <w:pStyle w:val="Heading6"/>
      </w:pPr>
      <w:bookmarkStart w:id="1754" w:name="_Toc789"/>
      <w:r>
        <w:t>اشارة</w:t>
      </w:r>
      <w:bookmarkEnd w:id="1754"/>
    </w:p>
    <w:p>
      <w:pPr>
        <w:pStyle w:val="BookText"/>
      </w:pPr>
      <w:r>
        <w:rPr>
          <w:rFonts w:ascii="IRNazanin" w:hAnsi="IRNazanin" w:eastAsia="IRNazanin" w:cs="IRNazanin"/>
          <w:lang w:bidi="fa-IR"/>
          <w:color w:val="111111"/>
          <w:sz w:val="28"/>
          <w:szCs w:val="28"/>
          <w:rtl/>
        </w:rPr>
        <w:t xml:space="preserve">مثل:روایة عبد اللّه بن سنان-الواردة فیمن یعیر ثوبه الذمّیّ، و هو یعلم أنّه یشرب الخمر و یأکل لحم الخنزیر-:«قال:فهل علیّ أن أغسله؟فقال علیه السّلام:لا؛لأنّک أعرته إیّاه و هو طاهر،و لم تستیقن أنّه نجّسه» </w:t>
      </w:r>
      <w:r>
        <w:rPr>
          <w:rStyle w:val="FootnoteReference"/>
        </w:rPr>
        <w:footnoteReference w:id="1716"/>
      </w:r>
      <w:r>
        <w:rPr>
          <w:rFonts w:ascii="Times New Roman" w:hAnsi="Times New Roman" w:eastAsia="Times New Roman" w:cs="Times New Roman"/>
          <w:lang w:val="en-US" w:bidi="en-US"/>
          <w:color w:val="111111"/>
          <w:sz w:val="28"/>
          <w:szCs w:val="28"/>
          <w:rtl/>
        </w:rPr>
        <w:t xml:space="preserve">.</w:t>
      </w:r>
    </w:p>
    <w:p>
      <w:pPr>
        <w:pStyle w:val="Heading6"/>
      </w:pPr>
      <w:bookmarkStart w:id="1755" w:name="_Toc790"/>
      <w:r>
        <w:t>[تقریب الاستدلال:]</w:t>
      </w:r>
      <w:bookmarkEnd w:id="1755"/>
    </w:p>
    <w:p>
      <w:pPr>
        <w:pStyle w:val="BookText"/>
      </w:pPr>
      <w:r>
        <w:rPr>
          <w:rFonts w:ascii="IRNazanin" w:hAnsi="IRNazanin" w:eastAsia="IRNazanin" w:cs="IRNazanin"/>
          <w:lang w:bidi="fa-IR"/>
          <w:color w:val="111111"/>
          <w:sz w:val="28"/>
          <w:szCs w:val="28"/>
          <w:rtl/>
        </w:rPr>
        <w:t xml:space="preserve">و فیها دلالة واضحة علی أنّ وجه البناء علی الطهارة و عدم وجوب غسله،هو سبق طهارته و عدم العلم بارتفاعها،و لو کان المستند قاعدة الطهارة لم یکن معنی لتعلیل الحکم بسبق الطهارة؛إذ الحکم فی القاعدة مستند إلی نفس عدم العلم بالطهارة و النجاسة.</w:t>
      </w:r>
    </w:p>
    <w:p>
      <w:pPr>
        <w:pStyle w:val="BookText"/>
      </w:pPr>
      <w:r>
        <w:rPr>
          <w:rFonts w:ascii="IRNazanin" w:hAnsi="IRNazanin" w:eastAsia="IRNazanin" w:cs="IRNazanin"/>
          <w:lang w:bidi="fa-IR"/>
          <w:color w:val="111111"/>
          <w:sz w:val="28"/>
          <w:szCs w:val="28"/>
          <w:rtl/>
        </w:rPr>
        <w:t xml:space="preserve">نعم،الروایة مختصّة باستصحاب الطهارة دون غیرها،و لا یبعد عدم القول بالفصل بینها و بین غیرها ممّا یشکّ فی ارتفاعها بالرافع.</w:t>
      </w:r>
    </w:p>
    <w:p>
      <w:pPr>
        <w:pStyle w:val="Heading6"/>
      </w:pPr>
      <w:bookmarkStart w:id="1756" w:name="_Toc791"/>
      <w:r>
        <w:t>[2-موثّقة عمّار:]</w:t>
      </w:r>
      <w:bookmarkEnd w:id="1756"/>
    </w:p>
    <w:p>
      <w:pPr>
        <w:pStyle w:val="Heading6"/>
      </w:pPr>
      <w:bookmarkStart w:id="1757" w:name="_Toc792"/>
      <w:r>
        <w:t>اشارة</w:t>
      </w:r>
      <w:bookmarkEnd w:id="1757"/>
    </w:p>
    <w:p>
      <w:pPr>
        <w:pStyle w:val="BookText"/>
      </w:pPr>
      <w:r>
        <w:rPr>
          <w:rFonts w:ascii="Amiri" w:hAnsi="Amiri" w:eastAsia="Amiri" w:cs="Amiri"/>
          <w:lang w:bidi="ar-SA"/>
          <w:color w:val="111111"/>
          <w:sz w:val="28"/>
          <w:szCs w:val="28"/>
          <w:rtl/>
        </w:rPr>
        <w:t xml:space="preserve">و مثل:قوله علیه السّلام فی موثّقة عمّار:«کلّ شیء طاهر حتّی تعلم أنّه قذر» </w:t>
      </w:r>
      <w:r>
        <w:rPr>
          <w:rStyle w:val="FootnoteReference"/>
        </w:rPr>
        <w:footnoteReference w:id="17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بناء علی أنّه مسوق لبیان استمرار طهارة کلّ شیء إلی أن یعلم حدوث قذارته،لا ثبوتها له ظاهرا و استمرار هذا الثبوت إلی أن یعلم عدمها.</w:t>
      </w:r>
    </w:p>
    <w:p>
      <w:pPr>
        <w:pStyle w:val="BookText"/>
      </w:pPr>
      <w:r>
        <w:rPr>
          <w:rFonts w:ascii="IRNazanin" w:hAnsi="IRNazanin" w:eastAsia="IRNazanin" w:cs="IRNazanin"/>
          <w:lang w:bidi="fa-IR"/>
          <w:color w:val="111111"/>
          <w:sz w:val="28"/>
          <w:szCs w:val="28"/>
          <w:rtl/>
        </w:rPr>
        <w:t xml:space="preserve">فالغایة-و هی العلم بالقذارة-علی الأوّل،غایة للطهارة رافعة لاستمرارها،فکلّ شیء محکوم ظاهرا باستمرار طهارته إلی حصول</w:t>
      </w:r>
    </w:p>
    <w:p>
      <w:pPr>
        <w:pStyle w:val="BookText"/>
      </w:pPr>
      <w:r>
        <w:rPr>
          <w:rFonts w:ascii="IRNazanin" w:hAnsi="IRNazanin" w:eastAsia="IRNazanin" w:cs="IRNazanin"/>
          <w:lang w:bidi="fa-IR"/>
          <w:color w:val="111111"/>
          <w:sz w:val="28"/>
          <w:szCs w:val="28"/>
          <w:rtl/>
        </w:rPr>
        <w:t xml:space="preserve">[شماره صفحه واقعی : 72]
</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bookmarkStart w:id="369" w:name="pg14411_142966"/>
    <w:bookmarkEnd w:id="369"/>
    <w:p>
      <w:pPr>
        <w:pStyle w:val="BookText"/>
      </w:pPr>
      <w:r>
        <w:rPr>
          <w:rFonts w:ascii="IRNazanin" w:hAnsi="IRNazanin" w:eastAsia="IRNazanin" w:cs="IRNazanin"/>
          <w:lang w:bidi="fa-IR"/>
          <w:color w:val="111111"/>
          <w:sz w:val="28"/>
          <w:szCs w:val="28"/>
          <w:rtl/>
        </w:rPr>
        <w:t xml:space="preserve">العلم بالقذارة،فغایة الحکم غیر مذکورة و لا مقصودة.</w:t>
      </w:r>
    </w:p>
    <w:p>
      <w:pPr>
        <w:pStyle w:val="BookText"/>
      </w:pPr>
      <w:r>
        <w:rPr>
          <w:rFonts w:ascii="IRNazanin" w:hAnsi="IRNazanin" w:eastAsia="IRNazanin" w:cs="IRNazanin"/>
          <w:lang w:bidi="fa-IR"/>
          <w:color w:val="111111"/>
          <w:sz w:val="28"/>
          <w:szCs w:val="28"/>
          <w:rtl/>
        </w:rPr>
        <w:t xml:space="preserve">و علی الثانی،غایة للحکم بثبوتها،و الغایة-و هی العلم بعدم الطهارة-رافعة للحکم،فکلّ شیء یستمرّ الحکم بطهارته إلی کذا،فإذا حصلت الغایة انقطع الحکم بطهارته،لا نفسها.</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 الأصل فی ذلک:أنّ القضیّة المغیّاة-سواء کانت إخبارا عن الواقع و کانت الغایة قیدا للمحمول،کما فی قولنا:الثوب طاهر إلی أن یلاقی نجسا،أم کانت ظاهریّة مغیّاة بالعلم بعدم المحمول،کما فی ما نحن فیه-قد یقصد المتکلّم مجرّد ثبوت المحمول للموضوع ظاهرا أو واقعا، من غیر ملاحظة کونه مسبوقا بثبوته له،و قد یقصد المتکلّم به مجرّد الاستمرار،لا أصل الثبوت،بحیث یکون أصل الثبوت مفروغا عنه.</w:t>
      </w:r>
    </w:p>
    <w:p>
      <w:pPr>
        <w:pStyle w:val="BookText"/>
      </w:pPr>
      <w:r>
        <w:rPr>
          <w:rFonts w:ascii="IRNazanin" w:hAnsi="IRNazanin" w:eastAsia="IRNazanin" w:cs="IRNazanin"/>
          <w:lang w:bidi="fa-IR"/>
          <w:color w:val="111111"/>
          <w:sz w:val="28"/>
          <w:szCs w:val="28"/>
          <w:rtl/>
        </w:rPr>
        <w:t xml:space="preserve">و الأوّل أعمّ من الثانی من حیث المورد.</w:t>
      </w:r>
    </w:p>
    <w:p>
      <w:pPr>
        <w:pStyle w:val="Heading6"/>
      </w:pPr>
      <w:bookmarkStart w:id="1758" w:name="_Toc793"/>
      <w:r>
        <w:t>[معنی الموثّقة إمّا الاستصحاب أو قاعدة الطهارة:]</w:t>
      </w:r>
      <w:bookmarkEnd w:id="1758"/>
    </w:p>
    <w:p>
      <w:pPr>
        <w:pStyle w:val="BookText"/>
      </w:pPr>
      <w:r>
        <w:rPr>
          <w:rFonts w:ascii="IRNazanin" w:hAnsi="IRNazanin" w:eastAsia="IRNazanin" w:cs="IRNazanin"/>
          <w:lang w:bidi="fa-IR"/>
          <w:color w:val="111111"/>
          <w:sz w:val="28"/>
          <w:szCs w:val="28"/>
          <w:rtl/>
        </w:rPr>
        <w:t xml:space="preserve">إذا عرفت هذا فنقول:إنّ معنی الروایة:</w:t>
      </w:r>
    </w:p>
    <w:p>
      <w:pPr>
        <w:pStyle w:val="BookText"/>
      </w:pPr>
      <w:r>
        <w:rPr>
          <w:rFonts w:ascii="IRNazanin" w:hAnsi="IRNazanin" w:eastAsia="IRNazanin" w:cs="IRNazanin"/>
          <w:lang w:bidi="fa-IR"/>
          <w:color w:val="111111"/>
          <w:sz w:val="28"/>
          <w:szCs w:val="28"/>
          <w:rtl/>
        </w:rPr>
        <w:t xml:space="preserve">إمّا أن یکون خصوص المعنی الثانی،و هو القصد إلی بیان الاستمرار بعد الفراغ عن ثبوت أصل الطهارة،فیکون دلیلا علی استصحاب الطهارة.لکنّه خلاف الظاهر.</w:t>
      </w:r>
    </w:p>
    <w:p>
      <w:pPr>
        <w:pStyle w:val="BookText"/>
      </w:pPr>
      <w:r>
        <w:rPr>
          <w:rFonts w:ascii="IRNazanin" w:hAnsi="IRNazanin" w:eastAsia="IRNazanin" w:cs="IRNazanin"/>
          <w:lang w:bidi="fa-IR"/>
          <w:color w:val="111111"/>
          <w:sz w:val="28"/>
          <w:szCs w:val="28"/>
          <w:rtl/>
        </w:rPr>
        <w:t xml:space="preserve">و إمّا خصوص المعنی الأوّل الأعمّ منه،و حینئذ لم یکن فیه دلالة علی استصحاب الطهارة و إن شمل مورده؛لأنّ </w:t>
      </w:r>
      <w:r>
        <w:rPr>
          <w:rStyle w:val="FootnoteReference"/>
        </w:rPr>
        <w:footnoteReference w:id="1718"/>
      </w:r>
      <w:r>
        <w:rPr>
          <w:rFonts w:ascii="IRNazanin" w:hAnsi="IRNazanin" w:eastAsia="IRNazanin" w:cs="IRNazanin"/>
          <w:lang w:bidi="fa-IR"/>
          <w:color w:val="111111"/>
          <w:sz w:val="28"/>
          <w:szCs w:val="28"/>
          <w:rtl/>
        </w:rPr>
        <w:t xml:space="preserve">الحکم فیما علم طهارته و لم یعلم طروّ القذارة له لیس من حیث سبق طهارته،بل باعتبار مجرّد کونه مشکوک الطهارة،فالروایة تفید قاعدة الطهارة حتّی فی مسبوق الطهارة،لا استصحابها،بل تجری فی مسبوق النجاسة علی أقوی</w:t>
      </w:r>
    </w:p>
    <w:p>
      <w:pPr>
        <w:pStyle w:val="BookText"/>
      </w:pPr>
      <w:r>
        <w:rPr>
          <w:rFonts w:ascii="IRNazanin" w:hAnsi="IRNazanin" w:eastAsia="IRNazanin" w:cs="IRNazanin"/>
          <w:lang w:bidi="fa-IR"/>
          <w:color w:val="111111"/>
          <w:sz w:val="28"/>
          <w:szCs w:val="28"/>
          <w:rtl/>
        </w:rPr>
        <w:t xml:space="preserve">[شماره صفحه واقعی : 73]
</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bookmarkStart w:id="370" w:name="pg14411_142967"/>
    <w:bookmarkEnd w:id="370"/>
    <w:p>
      <w:pPr>
        <w:pStyle w:val="BookText"/>
      </w:pPr>
      <w:r>
        <w:rPr>
          <w:rFonts w:ascii="IRNazanin" w:hAnsi="IRNazanin" w:eastAsia="IRNazanin" w:cs="IRNazanin"/>
          <w:lang w:bidi="fa-IR"/>
          <w:color w:val="111111"/>
          <w:sz w:val="28"/>
          <w:szCs w:val="28"/>
          <w:rtl/>
        </w:rPr>
        <w:t xml:space="preserve">الوجهین الآتیین فی باب معارضة الاستصحاب للقاعدة.</w:t>
      </w:r>
    </w:p>
    <w:p>
      <w:pPr>
        <w:pStyle w:val="BookText"/>
      </w:pPr>
      <w:r>
        <w:rPr>
          <w:rFonts w:ascii="IRNazanin" w:hAnsi="IRNazanin" w:eastAsia="IRNazanin" w:cs="IRNazanin"/>
          <w:lang w:bidi="fa-IR"/>
          <w:color w:val="111111"/>
          <w:sz w:val="28"/>
          <w:szCs w:val="28"/>
          <w:rtl/>
        </w:rPr>
        <w:t xml:space="preserve">ثمّ لا فرق فی مفاد الروایة،بین الموضوع الخارجی الذی یشکّ فی طهارته من حیث الشبهة فی حکم نوعه،و بین الموضوع الخارجی المشکوک طهارته من حیث اشتباه الموضوع الخارجی.</w:t>
      </w:r>
    </w:p>
    <w:p>
      <w:pPr>
        <w:pStyle w:val="BookText"/>
      </w:pPr>
      <w:r>
        <w:rPr>
          <w:rFonts w:ascii="IRNazanin" w:hAnsi="IRNazanin" w:eastAsia="IRNazanin" w:cs="IRNazanin"/>
          <w:lang w:bidi="fa-IR"/>
          <w:color w:val="111111"/>
          <w:sz w:val="28"/>
          <w:szCs w:val="28"/>
          <w:rtl/>
        </w:rPr>
        <w:t xml:space="preserve">فعلم ممّا ذکرنا:أنّه لا وجه لما ذکره صاحب القوانین:من امتناع إرادة المعانی الثلاثة من الروایة </w:t>
      </w:r>
      <w:r>
        <w:rPr>
          <w:rStyle w:val="FootnoteReference"/>
        </w:rPr>
        <w:footnoteReference w:id="1719"/>
      </w:r>
      <w:r>
        <w:rPr>
          <w:rFonts w:ascii="IRNazanin" w:hAnsi="IRNazanin" w:eastAsia="IRNazanin" w:cs="IRNazanin"/>
          <w:lang w:bidi="fa-IR"/>
          <w:color w:val="111111"/>
          <w:sz w:val="28"/>
          <w:szCs w:val="28"/>
          <w:rtl/>
        </w:rPr>
        <w:t xml:space="preserve">-أعنی:قاعدة الطهارة فی الشبهة الحکمیّة،و فی الشبهة الموضوعیّة،و استصحاب الطهارة-؛إذ لا مانع عن إرادة الجامع بین الأوّلین،أعنی:قاعدة الطهارة فی الشبهة الحکمیّة و الموضوعیّة.</w:t>
      </w:r>
    </w:p>
    <w:p>
      <w:pPr>
        <w:pStyle w:val="Heading6"/>
      </w:pPr>
      <w:bookmarkStart w:id="1759" w:name="_Toc794"/>
      <w:r>
        <w:t>[عدم إمکان إرادة القاعدة و الاستصحاب معا من الموثّقة:]</w:t>
      </w:r>
      <w:bookmarkEnd w:id="1759"/>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نعم،إرادة القاعدة و الاستصحاب معا یوجب استعمال اللفظ فی معنیین؛لما عرفت </w:t>
      </w:r>
      <w:r>
        <w:rPr>
          <w:rStyle w:val="FootnoteReference"/>
        </w:rPr>
        <w:footnoteReference w:id="1720"/>
      </w:r>
      <w:r>
        <w:rPr>
          <w:rFonts w:ascii="IRNazanin" w:hAnsi="IRNazanin" w:eastAsia="IRNazanin" w:cs="IRNazanin"/>
          <w:lang w:bidi="fa-IR"/>
          <w:color w:val="111111"/>
          <w:sz w:val="28"/>
          <w:szCs w:val="28"/>
          <w:rtl/>
        </w:rPr>
        <w:t xml:space="preserve">أنّ المقصود فی القاعدة مجرّد إثبات الطهارة فی المشکوک،و فی الاستصحاب خصوص إبقائها فی معلوم الطهارة سابقا، و الجامع بینهما غیر موجود،فیلزم ما ذکرنا.و الفرق بینهما ظاهر،نظیر الفرق بین قاعدة البراءة و استصحابها،و لا جامع بینهما </w:t>
      </w:r>
      <w:r>
        <w:rPr>
          <w:rStyle w:val="FootnoteReference"/>
        </w:rPr>
        <w:footnoteReference w:id="17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خفی ذلک علی بعض المعاصرین </w:t>
      </w:r>
      <w:r>
        <w:rPr>
          <w:rStyle w:val="FootnoteReference"/>
        </w:rPr>
        <w:footnoteReference w:id="1722"/>
      </w:r>
      <w:r>
        <w:rPr>
          <w:rFonts w:ascii="IRNazanin" w:hAnsi="IRNazanin" w:eastAsia="IRNazanin" w:cs="IRNazanin"/>
          <w:lang w:bidi="fa-IR"/>
          <w:color w:val="111111"/>
          <w:sz w:val="28"/>
          <w:szCs w:val="28"/>
          <w:rtl/>
        </w:rPr>
        <w:t xml:space="preserve">،فزعم جواز إرادة القاعدة و الاستصحاب معا،و أنکر ذلک علی صاحب القوانین فقال:</w:t>
      </w:r>
    </w:p>
    <w:p>
      <w:pPr>
        <w:pStyle w:val="BookText"/>
      </w:pPr>
      <w:r>
        <w:rPr>
          <w:rFonts w:ascii="IRNazanin" w:hAnsi="IRNazanin" w:eastAsia="IRNazanin" w:cs="IRNazanin"/>
          <w:lang w:bidi="fa-IR"/>
          <w:color w:val="111111"/>
          <w:sz w:val="28"/>
          <w:szCs w:val="28"/>
          <w:rtl/>
        </w:rPr>
        <w:t xml:space="preserve">[شماره صفحه واقعی : 74]
</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bookmarkStart w:id="371" w:name="pg14411_142968"/>
    <w:bookmarkEnd w:id="371"/>
    <w:p>
      <w:pPr>
        <w:pStyle w:val="Heading6"/>
      </w:pPr>
      <w:bookmarkStart w:id="1760" w:name="_Toc795"/>
      <w:r>
        <w:t>[کلام صاحب الفصول فی جواز إرادة کلیهما منها:]</w:t>
      </w:r>
      <w:bookmarkEnd w:id="1760"/>
    </w:p>
    <w:p>
      <w:pPr>
        <w:pStyle w:val="BookText"/>
      </w:pPr>
      <w:r>
        <w:rPr>
          <w:rFonts w:ascii="IRNazanin" w:hAnsi="IRNazanin" w:eastAsia="IRNazanin" w:cs="IRNazanin"/>
          <w:lang w:bidi="fa-IR"/>
          <w:color w:val="111111"/>
          <w:sz w:val="28"/>
          <w:szCs w:val="28"/>
          <w:rtl/>
        </w:rPr>
        <w:t xml:space="preserve">إنّ الروایة تدلّ علی أصلین:</w:t>
      </w:r>
    </w:p>
    <w:p>
      <w:pPr>
        <w:pStyle w:val="BookText"/>
      </w:pPr>
      <w:r>
        <w:rPr>
          <w:rFonts w:ascii="IRNazanin" w:hAnsi="IRNazanin" w:eastAsia="IRNazanin" w:cs="IRNazanin"/>
          <w:lang w:bidi="fa-IR"/>
          <w:color w:val="111111"/>
          <w:sz w:val="28"/>
          <w:szCs w:val="28"/>
          <w:rtl/>
        </w:rPr>
        <w:t xml:space="preserve">أحدهما:أنّ الحکم الأوّلی للأشیاء ظاهرا هی الطهارة مع عدم العلم بالنجاسة،و هذا لا تعلّق له بمسألة الاستصحاب.</w:t>
      </w:r>
    </w:p>
    <w:p>
      <w:pPr>
        <w:pStyle w:val="BookText"/>
      </w:pPr>
      <w:r>
        <w:rPr>
          <w:rFonts w:ascii="IRNazanin" w:hAnsi="IRNazanin" w:eastAsia="IRNazanin" w:cs="IRNazanin"/>
          <w:lang w:bidi="fa-IR"/>
          <w:color w:val="111111"/>
          <w:sz w:val="28"/>
          <w:szCs w:val="28"/>
          <w:rtl/>
        </w:rPr>
        <w:t xml:space="preserve">الثانی:أنّ هذا الحکم مستمرّ إلی زمن العلم بالنجاسة،و هذا من موارد الاستصحاب و جزئیّاته </w:t>
      </w:r>
      <w:r>
        <w:rPr>
          <w:rStyle w:val="FootnoteReference"/>
        </w:rPr>
        <w:footnoteReference w:id="1723"/>
      </w:r>
      <w:r>
        <w:rPr>
          <w:rFonts w:ascii="IRNazanin" w:hAnsi="IRNazanin" w:eastAsia="IRNazanin" w:cs="IRNazanin"/>
          <w:lang w:bidi="fa-IR"/>
          <w:color w:val="111111"/>
          <w:sz w:val="28"/>
          <w:szCs w:val="28"/>
          <w:rtl/>
        </w:rPr>
        <w:t xml:space="preserve">،انتهی.</w:t>
      </w:r>
    </w:p>
    <w:p>
      <w:pPr>
        <w:pStyle w:val="Heading6"/>
      </w:pPr>
      <w:bookmarkStart w:id="1761" w:name="_Toc796"/>
      <w:r>
        <w:t>[المناقشة فیما أفاده صاحب الفصول:]</w:t>
      </w:r>
      <w:bookmarkEnd w:id="1761"/>
    </w:p>
    <w:p>
      <w:pPr>
        <w:pStyle w:val="BookText"/>
      </w:pPr>
      <w:r>
        <w:rPr>
          <w:rFonts w:ascii="IRNazanin" w:hAnsi="IRNazanin" w:eastAsia="IRNazanin" w:cs="IRNazanin"/>
          <w:lang w:bidi="fa-IR"/>
          <w:color w:val="111111"/>
          <w:sz w:val="28"/>
          <w:szCs w:val="28"/>
          <w:rtl/>
        </w:rPr>
        <w:t xml:space="preserve">أقول:لیت شعری ما المشار إلیه بقوله:«هذا الحکم مستمرّ إلی زمن العلم بالنجاسة»؟</w:t>
      </w:r>
    </w:p>
    <w:p>
      <w:pPr>
        <w:pStyle w:val="BookText"/>
      </w:pPr>
      <w:r>
        <w:rPr>
          <w:rFonts w:ascii="IRNazanin" w:hAnsi="IRNazanin" w:eastAsia="IRNazanin" w:cs="IRNazanin"/>
          <w:lang w:bidi="fa-IR"/>
          <w:color w:val="111111"/>
          <w:sz w:val="28"/>
          <w:szCs w:val="28"/>
          <w:rtl/>
        </w:rPr>
        <w:t xml:space="preserve">فإن کان هو الحکم المستفاد من الأصل الأوّلی،فلیس استمراره ظاهرا و لا واقعا مغیّا بزمان العلم بالنجاسة،بل هو مستمرّ إلی زمن نسخ هذا الحکم فی الشریعة،</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مع أنّ قوله:«حتّی تعلم»إذا جعل من توابع الحکم الأوّل الذی هو الموضوع للحکم الثانی،فمن أین یصیر الثانی مغیّا به؟!إذ لا یعقل کون شیء فی استعمال واحد غایة لحکم و لحکم آخر یکون الحکم الأوّل المغیّا موضوعا له.</w:t>
      </w:r>
    </w:p>
    <w:p>
      <w:pPr>
        <w:pStyle w:val="BookText"/>
      </w:pPr>
      <w:r>
        <w:rPr>
          <w:rFonts w:ascii="IRNazanin" w:hAnsi="IRNazanin" w:eastAsia="IRNazanin" w:cs="IRNazanin"/>
          <w:lang w:bidi="fa-IR"/>
          <w:color w:val="111111"/>
          <w:sz w:val="28"/>
          <w:szCs w:val="28"/>
          <w:rtl/>
        </w:rPr>
        <w:t xml:space="preserve">و إن کان هو الحکم الواقعیّ المعلوم-یعنی أنّ الطهارة إذا ثبتت واقعا فی زمان،فهو مستمرّ فی الظاهر إلی زمن العلم بالنجاسة-فیکون الکلام مسوقا لبیان الاستمرار الظاهریّ فیما علم ثبوت الطهارة له واقعا فی زمان،فأین هذا من بیان قاعدة الطهارة من حیث هی للشیء المشکوک من حیث هو مشکوک؟!</w:t>
      </w:r>
    </w:p>
    <w:p>
      <w:pPr>
        <w:pStyle w:val="BookText"/>
      </w:pPr>
      <w:r>
        <w:rPr>
          <w:rFonts w:ascii="IRNazanin" w:hAnsi="IRNazanin" w:eastAsia="IRNazanin" w:cs="IRNazanin"/>
          <w:lang w:bidi="fa-IR"/>
          <w:color w:val="111111"/>
          <w:sz w:val="28"/>
          <w:szCs w:val="28"/>
          <w:rtl/>
        </w:rPr>
        <w:t xml:space="preserve">و منشأ الاشتباه فی هذا المقام:ملاحظة عموم القاعدة لمورد الاستصحاب،فیتخیّل أنّ الروایة تدلّ علی الاستصحاب،و قد عرفت </w:t>
      </w:r>
      <w:r>
        <w:rPr>
          <w:rStyle w:val="FootnoteReference"/>
        </w:rPr>
        <w:footnoteReference w:id="17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75]
</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bookmarkStart w:id="372" w:name="pg14411_142969"/>
    <w:bookmarkEnd w:id="372"/>
    <w:p>
      <w:pPr>
        <w:pStyle w:val="BookText"/>
      </w:pPr>
      <w:r>
        <w:rPr>
          <w:rFonts w:ascii="IRNazanin" w:hAnsi="IRNazanin" w:eastAsia="IRNazanin" w:cs="IRNazanin"/>
          <w:lang w:bidi="fa-IR"/>
          <w:color w:val="111111"/>
          <w:sz w:val="28"/>
          <w:szCs w:val="28"/>
          <w:rtl/>
        </w:rPr>
        <w:t xml:space="preserve">أنّ دلالة الروایة علی طهارة مستصحب الطهارة غیر دلالتها علی اعتبار استصحاب الطهارة،و إلاّ فقد أشرنا </w:t>
      </w:r>
      <w:r>
        <w:rPr>
          <w:rStyle w:val="FootnoteReference"/>
        </w:rPr>
        <w:footnoteReference w:id="1725"/>
      </w:r>
      <w:r>
        <w:rPr>
          <w:rFonts w:ascii="IRNazanin" w:hAnsi="IRNazanin" w:eastAsia="IRNazanin" w:cs="IRNazanin"/>
          <w:lang w:bidi="fa-IR"/>
          <w:color w:val="111111"/>
          <w:sz w:val="28"/>
          <w:szCs w:val="28"/>
          <w:rtl/>
        </w:rPr>
        <w:t xml:space="preserve">إلی أنّ القاعدة تشمل مستصحب النجاسة أیضا،کما سیجیء.</w:t>
      </w:r>
    </w:p>
    <w:p>
      <w:pPr>
        <w:pStyle w:val="BookText"/>
      </w:pPr>
      <w:r>
        <w:rPr>
          <w:rFonts w:ascii="IRNazanin" w:hAnsi="IRNazanin" w:eastAsia="IRNazanin" w:cs="IRNazanin"/>
          <w:lang w:bidi="fa-IR"/>
          <w:color w:val="111111"/>
          <w:sz w:val="28"/>
          <w:szCs w:val="28"/>
          <w:rtl/>
        </w:rPr>
        <w:t xml:space="preserve">و نظیر ذلک ما صنعه صاحب الوافیة؛حیث ذکر روایات«أصالة الحلّ»الواردة فی مشتبه الحکم أو الموضوع فی هذا المقام </w:t>
      </w:r>
      <w:r>
        <w:rPr>
          <w:rStyle w:val="FootnoteReference"/>
        </w:rPr>
        <w:footnoteReference w:id="17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ثمّ علی هذا،کان ینبغی ذکر أدلّة أصالة البراءة؛لأنّها أیضا متصادقة مع الاستصحاب من حیث المورد.</w:t>
      </w:r>
    </w:p>
    <w:p>
      <w:pPr>
        <w:pStyle w:val="BookText"/>
      </w:pPr>
      <w:r>
        <w:rPr>
          <w:rFonts w:ascii="IRNazanin" w:hAnsi="IRNazanin" w:eastAsia="IRNazanin" w:cs="IRNazanin"/>
          <w:lang w:bidi="fa-IR"/>
          <w:color w:val="111111"/>
          <w:sz w:val="28"/>
          <w:szCs w:val="28"/>
          <w:rtl/>
        </w:rPr>
        <w:t xml:space="preserve">فالتحقیق:أنّ الاستصحاب-من حیث هو-مخالف للقواعد الثلاث:البراءة،و الحلّ،و الطهارة،و إن تصادقت مواردها.</w:t>
      </w:r>
    </w:p>
    <w:p>
      <w:pPr>
        <w:pStyle w:val="Heading6"/>
      </w:pPr>
      <w:bookmarkStart w:id="1762" w:name="_Toc797"/>
      <w:r>
        <w:t>[الظاهر إرادة القاعدة:]</w:t>
      </w:r>
      <w:bookmarkEnd w:id="1762"/>
    </w:p>
    <w:p>
      <w:pPr>
        <w:pStyle w:val="BookText"/>
      </w:pPr>
      <w:r>
        <w:rPr>
          <w:rFonts w:ascii="IRNazanin" w:hAnsi="IRNazanin" w:eastAsia="IRNazanin" w:cs="IRNazanin"/>
          <w:lang w:bidi="fa-IR"/>
          <w:color w:val="111111"/>
          <w:sz w:val="28"/>
          <w:szCs w:val="28"/>
          <w:rtl/>
        </w:rPr>
        <w:t xml:space="preserve">فثبت من جمیع ما ذکرنا:أنّ المتعیّن حمل الروایة المذکورة علی أحد المعنیین،و الظاهر إرادة القاعدة-نظیر قوله علیه السّلام:«کلّ شیء لک حلال» </w:t>
      </w:r>
      <w:r>
        <w:rPr>
          <w:rStyle w:val="FootnoteReference"/>
        </w:rPr>
        <w:footnoteReference w:id="1727"/>
      </w:r>
      <w:r>
        <w:rPr>
          <w:rFonts w:ascii="IRNazanin" w:hAnsi="IRNazanin" w:eastAsia="IRNazanin" w:cs="IRNazanin"/>
          <w:lang w:bidi="fa-IR"/>
          <w:color w:val="111111"/>
          <w:sz w:val="28"/>
          <w:szCs w:val="28"/>
          <w:rtl/>
        </w:rPr>
        <w:t xml:space="preserve">-؛لأنّ حمله علی الاستصحاب و حمل الکلام علی إرادة خصوص الاستمرار فیما علم طهارته سابقا خلاف الظاهر؛إذ ظاهر الجملة الخبریّة إثبات أصل المحمول للموضوع،لا إثبات استمراره فی مورد الفراغ عن ثبوت أصله.</w:t>
      </w:r>
    </w:p>
    <w:p>
      <w:pPr>
        <w:pStyle w:val="BookText"/>
      </w:pPr>
      <w:r>
        <w:rPr>
          <w:rFonts w:ascii="IRNazanin" w:hAnsi="IRNazanin" w:eastAsia="IRNazanin" w:cs="IRNazanin"/>
          <w:lang w:bidi="fa-IR"/>
          <w:color w:val="111111"/>
          <w:sz w:val="28"/>
          <w:szCs w:val="28"/>
          <w:rtl/>
        </w:rPr>
        <w:t xml:space="preserve">نعم،قوله:«حتّی تعلم»یدلّ علی استمرار المغیّا،لکن المغیّا به الحکم بالطهارة،یعنی:هذا الحکم الظاهری مستمرّ له إلی کذا، لا أنّ الطهارة الواقعیّة المفروغ عنها مستمرّة ظاهرا إلی زمن العلم.</w:t>
      </w:r>
    </w:p>
    <w:p>
      <w:pPr>
        <w:pStyle w:val="BookText"/>
      </w:pPr>
      <w:r>
        <w:rPr>
          <w:rFonts w:ascii="IRNazanin" w:hAnsi="IRNazanin" w:eastAsia="IRNazanin" w:cs="IRNazanin"/>
          <w:lang w:bidi="fa-IR"/>
          <w:color w:val="111111"/>
          <w:sz w:val="28"/>
          <w:szCs w:val="28"/>
          <w:rtl/>
        </w:rPr>
        <w:t xml:space="preserve">[شماره صفحه واقعی : 76]
</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bookmarkStart w:id="373" w:name="pg14411_142970"/>
    <w:bookmarkEnd w:id="373"/>
    <w:p>
      <w:pPr>
        <w:pStyle w:val="Heading6"/>
      </w:pPr>
      <w:bookmarkStart w:id="1763" w:name="_Toc798"/>
      <w:r>
        <w:t>[3-الروایة الثالثة:]</w:t>
      </w:r>
      <w:bookmarkEnd w:id="1763"/>
    </w:p>
    <w:p>
      <w:pPr>
        <w:pStyle w:val="BookText"/>
      </w:pPr>
      <w:r>
        <w:rPr>
          <w:rFonts w:ascii="IRNazanin" w:hAnsi="IRNazanin" w:eastAsia="IRNazanin" w:cs="IRNazanin"/>
          <w:lang w:bidi="fa-IR"/>
          <w:color w:val="111111"/>
          <w:sz w:val="28"/>
          <w:szCs w:val="28"/>
          <w:rtl/>
        </w:rPr>
        <w:t xml:space="preserve">و منها:قوله علیه السّلام:«الماء کلّه طاهر حتّی تعلم أنّه نجس» </w:t>
      </w:r>
      <w:r>
        <w:rPr>
          <w:rStyle w:val="FootnoteReference"/>
        </w:rPr>
        <w:footnoteReference w:id="17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هو و إن کان متّحدا مع الخبر السابق </w:t>
      </w:r>
      <w:r>
        <w:rPr>
          <w:rStyle w:val="FootnoteReference"/>
        </w:rPr>
        <w:footnoteReference w:id="1729"/>
      </w:r>
      <w:r>
        <w:rPr>
          <w:rFonts w:ascii="IRNazanin" w:hAnsi="IRNazanin" w:eastAsia="IRNazanin" w:cs="IRNazanin"/>
          <w:lang w:bidi="fa-IR"/>
          <w:color w:val="111111"/>
          <w:sz w:val="28"/>
          <w:szCs w:val="28"/>
          <w:rtl/>
        </w:rPr>
        <w:t xml:space="preserve">من حیث الحکم و الغایة </w:t>
      </w:r>
      <w:r>
        <w:rPr>
          <w:rStyle w:val="FootnoteReference"/>
        </w:rPr>
        <w:footnoteReference w:id="1730"/>
      </w:r>
      <w:r>
        <w:rPr>
          <w:rFonts w:ascii="IRNazanin" w:hAnsi="IRNazanin" w:eastAsia="IRNazanin" w:cs="IRNazanin"/>
          <w:lang w:bidi="fa-IR"/>
          <w:color w:val="111111"/>
          <w:sz w:val="28"/>
          <w:szCs w:val="28"/>
          <w:rtl/>
        </w:rPr>
        <w:t xml:space="preserve">إلاّ أنّ الاشتباه فی الماء من غیر جهة عروض النجاسة للماء غیر متحقّق غالبا،فالأولی حملها علی إرادة الاستصحاب،و المعنی:أنّ الماء المعلوم طهارته بحسب أصل الخلقة طاهر حتّی تعلم...،أی:تستمرّ طهارته المفروضة إلی حین العلم بعروض القذارة له،سواء کان الاشتباه و عدم العلم من جهة الاشتباه فی الحکم،کالقلیل الملاقی للنجس و البئر،أم کان من جهة الاشتباه فی الأمر الخارجیّ،کالشکّ فی ملاقاته للنجاسة أو نجاسة ملاقیه.</w:t>
      </w:r>
    </w:p>
    <w:p>
      <w:pPr>
        <w:pStyle w:val="Heading6"/>
      </w:pPr>
      <w:bookmarkStart w:id="1764" w:name="_Toc799"/>
      <w:r>
        <w:t>[4-الروایة الرابعة:]</w:t>
      </w:r>
      <w:bookmarkEnd w:id="1764"/>
    </w:p>
    <w:p>
      <w:pPr>
        <w:pStyle w:val="BookText"/>
      </w:pPr>
      <w:r>
        <w:rPr>
          <w:rFonts w:ascii="IRNazanin" w:hAnsi="IRNazanin" w:eastAsia="IRNazanin" w:cs="IRNazanin"/>
          <w:lang w:bidi="fa-IR"/>
          <w:color w:val="111111"/>
          <w:sz w:val="28"/>
          <w:szCs w:val="28"/>
          <w:rtl/>
        </w:rPr>
        <w:t xml:space="preserve">و منها:قوله علیه السّلام:«إذا استیقنت أنّک توضّأت فإیّاک أن تحدث وضوءا،حتّی تستیقن أنّک أحدثت» </w:t>
      </w:r>
      <w:r>
        <w:rPr>
          <w:rStyle w:val="FootnoteReference"/>
        </w:rPr>
        <w:footnoteReference w:id="17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دلالته علی استصحاب الطهارة ظاهرة.</w:t>
      </w:r>
    </w:p>
    <w:p>
      <w:pPr>
        <w:pStyle w:val="BookText"/>
      </w:pPr>
      <w:r>
        <w:rPr>
          <w:rFonts w:ascii="IRNazanin" w:hAnsi="IRNazanin" w:eastAsia="IRNazanin" w:cs="IRNazanin"/>
          <w:lang w:bidi="fa-IR"/>
          <w:color w:val="111111"/>
          <w:sz w:val="28"/>
          <w:szCs w:val="28"/>
          <w:rtl/>
        </w:rPr>
        <w:t xml:space="preserve">[شماره صفحه واقعی : 77]
</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bookmarkStart w:id="374" w:name="pg14411_142971"/>
    <w:bookmarkEnd w:id="374"/>
    <w:p>
      <w:pPr>
        <w:pStyle w:val="Heading6"/>
      </w:pPr>
      <w:bookmarkStart w:id="1765" w:name="_Toc800"/>
      <w:r>
        <w:t>[اختصاص الأخبار بالشکّ فی الرافع]</w:t>
      </w:r>
      <w:bookmarkEnd w:id="1765"/>
    </w:p>
    <w:p>
      <w:pPr>
        <w:pStyle w:val="Heading6"/>
      </w:pPr>
      <w:bookmarkStart w:id="1766" w:name="_Toc801"/>
      <w:r>
        <w:t>اشارة</w:t>
      </w:r>
      <w:bookmarkEnd w:id="1766"/>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[اختصاص الأخبار بالشکّ فی الرافع] </w:t>
      </w:r>
      <w:r>
        <w:rPr>
          <w:rStyle w:val="FootnoteReference"/>
        </w:rPr>
        <w:footnoteReference w:id="1732"/>
      </w:r>
    </w:p>
    <w:p>
      <w:pPr>
        <w:pStyle w:val="BookText"/>
      </w:pPr>
      <w:r>
        <w:rPr>
          <w:rFonts w:ascii="Amiri" w:hAnsi="Amiri" w:eastAsia="Amiri" w:cs="Amiri"/>
          <w:lang w:bidi="ar-SA"/>
          <w:color w:val="111111"/>
          <w:sz w:val="28"/>
          <w:szCs w:val="28"/>
          <w:rtl/>
        </w:rPr>
        <w:t xml:space="preserve">ثمّ إنّ اختصاص ما عدا الأخبار العامّة بالقول المختار واضح.</w:t>
      </w:r>
    </w:p>
    <w:p>
      <w:pPr>
        <w:pStyle w:val="BookText"/>
      </w:pPr>
      <w:r>
        <w:rPr>
          <w:rFonts w:ascii="IRNazanin" w:hAnsi="IRNazanin" w:eastAsia="IRNazanin" w:cs="IRNazanin"/>
          <w:lang w:bidi="fa-IR"/>
          <w:color w:val="111111"/>
          <w:sz w:val="28"/>
          <w:szCs w:val="28"/>
          <w:rtl/>
        </w:rPr>
        <w:t xml:space="preserve">و أمّا الأخبار العامّة،فالمعروف بین المتأخّرین الاستدلال بها علی حجّیة الاستصحاب فی جمیع الموارد </w:t>
      </w:r>
      <w:r>
        <w:rPr>
          <w:rStyle w:val="FootnoteReference"/>
        </w:rPr>
        <w:footnoteReference w:id="1733"/>
      </w:r>
      <w:r>
        <w:rPr>
          <w:rFonts w:ascii="Times New Roman" w:hAnsi="Times New Roman" w:eastAsia="Times New Roman" w:cs="Times New Roman"/>
          <w:lang w:val="en-US" w:bidi="en-US"/>
          <w:color w:val="111111"/>
          <w:sz w:val="28"/>
          <w:szCs w:val="28"/>
          <w:rtl/>
        </w:rPr>
        <w:t xml:space="preserve">.</w:t>
      </w:r>
    </w:p>
    <w:p>
      <w:pPr>
        <w:pStyle w:val="Heading6"/>
      </w:pPr>
      <w:bookmarkStart w:id="1767" w:name="_Toc802"/>
      <w:r>
        <w:t>[تأمّل المحقّق الخوانساری فی الاستدلال بالأخبار علی الحجّیة مطلقا:]</w:t>
      </w:r>
      <w:bookmarkEnd w:id="1767"/>
    </w:p>
    <w:p>
      <w:pPr>
        <w:pStyle w:val="BookText"/>
      </w:pPr>
      <w:r>
        <w:rPr>
          <w:rFonts w:ascii="IRNazanin" w:hAnsi="IRNazanin" w:eastAsia="IRNazanin" w:cs="IRNazanin"/>
          <w:lang w:bidi="fa-IR"/>
          <w:color w:val="111111"/>
          <w:sz w:val="28"/>
          <w:szCs w:val="28"/>
          <w:rtl/>
        </w:rPr>
        <w:t xml:space="preserve">و فیه تأمّل،قد فتح بابه المحقّق الخوانساری فی شرح الدروس </w:t>
      </w:r>
      <w:r>
        <w:rPr>
          <w:rStyle w:val="FootnoteReference"/>
        </w:rPr>
        <w:footnoteReference w:id="17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توضیحه:أنّ حقیقة النقض هو رفع الهیئة الاتّصالیّة،کما فی نقض الحبل.</w:t>
      </w:r>
    </w:p>
    <w:p>
      <w:pPr>
        <w:pStyle w:val="BookText"/>
      </w:pPr>
      <w:r>
        <w:rPr>
          <w:rFonts w:ascii="IRNazanin" w:hAnsi="IRNazanin" w:eastAsia="IRNazanin" w:cs="IRNazanin"/>
          <w:lang w:bidi="fa-IR"/>
          <w:color w:val="111111"/>
          <w:sz w:val="28"/>
          <w:szCs w:val="28"/>
          <w:rtl/>
        </w:rPr>
        <w:t xml:space="preserve">و الأقرب إلیه-علی تقدیر مجازیّته-هو رفع الأمر الثابت </w:t>
      </w:r>
      <w:r>
        <w:rPr>
          <w:rStyle w:val="FootnoteReference"/>
        </w:rPr>
        <w:footnoteReference w:id="17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یطلق علی مطلق رفع الید عن الشیء-و لو لعدم المقتضی له- بعد أن کان آخذا به،فالمراد من«النقض»عدم الاستمرار علیه و البناء علی عدمه بعد وجوده </w:t>
      </w:r>
      <w:r>
        <w:rPr>
          <w:rStyle w:val="FootnoteReference"/>
        </w:rPr>
        <w:footnoteReference w:id="17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78]
</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bookmarkStart w:id="375" w:name="pg14411_142972"/>
    <w:bookmarkEnd w:id="375"/>
    <w:p>
      <w:pPr>
        <w:pStyle w:val="BookText"/>
      </w:pPr>
      <w:r>
        <w:rPr>
          <w:rFonts w:ascii="IRNazanin" w:hAnsi="IRNazanin" w:eastAsia="IRNazanin" w:cs="IRNazanin"/>
          <w:lang w:bidi="fa-IR"/>
          <w:color w:val="111111"/>
          <w:sz w:val="28"/>
          <w:szCs w:val="28"/>
          <w:rtl/>
        </w:rPr>
        <w:t xml:space="preserve">إذا عرفت هذا،فنقول:إنّ الأمر یدور:</w:t>
      </w:r>
    </w:p>
    <w:p>
      <w:pPr>
        <w:pStyle w:val="BookText"/>
      </w:pPr>
      <w:r>
        <w:rPr>
          <w:rFonts w:ascii="IRNazanin" w:hAnsi="IRNazanin" w:eastAsia="IRNazanin" w:cs="IRNazanin"/>
          <w:lang w:bidi="fa-IR"/>
          <w:color w:val="111111"/>
          <w:sz w:val="28"/>
          <w:szCs w:val="28"/>
          <w:rtl/>
        </w:rPr>
        <w:t xml:space="preserve">بین أن یراد ب«النقض»مطلق ترک العمل و ترتیب الأثر-و هو المعنی الثالث </w:t>
      </w:r>
      <w:r>
        <w:rPr>
          <w:rStyle w:val="FootnoteReference"/>
        </w:rPr>
        <w:footnoteReference w:id="1737"/>
      </w:r>
      <w:r>
        <w:rPr>
          <w:rFonts w:ascii="IRNazanin" w:hAnsi="IRNazanin" w:eastAsia="IRNazanin" w:cs="IRNazanin"/>
          <w:lang w:bidi="fa-IR"/>
          <w:color w:val="111111"/>
          <w:sz w:val="28"/>
          <w:szCs w:val="28"/>
          <w:rtl/>
        </w:rPr>
        <w:t xml:space="preserve">-و یبقی المنقوض عامّا لکلّ یقین.</w:t>
      </w:r>
    </w:p>
    <w:p>
      <w:pPr>
        <w:pStyle w:val="BookText"/>
      </w:pPr>
      <w:r>
        <w:rPr>
          <w:rFonts w:ascii="IRNazanin" w:hAnsi="IRNazanin" w:eastAsia="IRNazanin" w:cs="IRNazanin"/>
          <w:lang w:bidi="fa-IR"/>
          <w:color w:val="111111"/>
          <w:sz w:val="28"/>
          <w:szCs w:val="28"/>
          <w:rtl/>
        </w:rPr>
        <w:t xml:space="preserve">و بین أن یراد من النقض ظاهره-و هو المعنی الثانی </w:t>
      </w:r>
      <w:r>
        <w:rPr>
          <w:rStyle w:val="FootnoteReference"/>
        </w:rPr>
        <w:footnoteReference w:id="1738"/>
      </w:r>
      <w:r>
        <w:rPr>
          <w:rFonts w:ascii="IRNazanin" w:hAnsi="IRNazanin" w:eastAsia="IRNazanin" w:cs="IRNazanin"/>
          <w:lang w:bidi="fa-IR"/>
          <w:color w:val="111111"/>
          <w:sz w:val="28"/>
          <w:szCs w:val="28"/>
          <w:rtl/>
        </w:rPr>
        <w:t xml:space="preserve">-فیختصّ متعلّقه بما من شأنه الاستمرار و الاتّصال </w:t>
      </w:r>
      <w:r>
        <w:rPr>
          <w:rStyle w:val="FootnoteReference"/>
        </w:rPr>
        <w:footnoteReference w:id="1739"/>
      </w:r>
      <w:r>
        <w:rPr>
          <w:rFonts w:ascii="IRNazanin" w:hAnsi="IRNazanin" w:eastAsia="IRNazanin" w:cs="IRNazanin"/>
          <w:lang w:bidi="fa-IR"/>
          <w:color w:val="111111"/>
          <w:sz w:val="28"/>
          <w:szCs w:val="28"/>
          <w:rtl/>
        </w:rPr>
        <w:t xml:space="preserve">،المختصّ بالموارد التی یوجد فیها هذا المعنی.</w:t>
      </w:r>
    </w:p>
    <w:p>
      <w:pPr>
        <w:pStyle w:val="BookText"/>
      </w:pPr>
      <w:r>
        <w:rPr>
          <w:rFonts w:ascii="IRNazanin" w:hAnsi="IRNazanin" w:eastAsia="IRNazanin" w:cs="IRNazanin"/>
          <w:lang w:bidi="fa-IR"/>
          <w:color w:val="111111"/>
          <w:sz w:val="28"/>
          <w:szCs w:val="28"/>
          <w:rtl/>
        </w:rPr>
        <w:t xml:space="preserve">و لا یخفی </w:t>
      </w:r>
      <w:r>
        <w:rPr>
          <w:rStyle w:val="FootnoteReference"/>
        </w:rPr>
        <w:footnoteReference w:id="1740"/>
      </w:r>
      <w:r>
        <w:rPr>
          <w:rFonts w:ascii="IRNazanin" w:hAnsi="IRNazanin" w:eastAsia="IRNazanin" w:cs="IRNazanin"/>
          <w:lang w:bidi="fa-IR"/>
          <w:color w:val="111111"/>
          <w:sz w:val="28"/>
          <w:szCs w:val="28"/>
          <w:rtl/>
        </w:rPr>
        <w:t xml:space="preserve">رجحان هذا علی الأوّل؛لأنّ الفعل الخاصّ یصیر مخصّصا لمتعلّقه العامّ،کما فی قول القائل:لا تضرب أحدا؛فإنّ الضرب قرینة علی اختصاص العامّ بالأحیاء،و لا یکون عمومه للأموات </w:t>
      </w:r>
      <w:r>
        <w:rPr>
          <w:rStyle w:val="FootnoteReference"/>
        </w:rPr>
        <w:footnoteReference w:id="1741"/>
      </w:r>
      <w:r>
        <w:rPr>
          <w:rFonts w:ascii="IRNazanin" w:hAnsi="IRNazanin" w:eastAsia="IRNazanin" w:cs="IRNazanin"/>
          <w:lang w:bidi="fa-IR"/>
          <w:color w:val="111111"/>
          <w:sz w:val="28"/>
          <w:szCs w:val="28"/>
          <w:rtl/>
        </w:rPr>
        <w:t xml:space="preserve">قرینة علی إرادة مطلق الضرب علیه کسائر الجمادات.</w:t>
      </w:r>
    </w:p>
    <w:p>
      <w:pPr>
        <w:pStyle w:val="Heading6"/>
      </w:pPr>
      <w:bookmarkStart w:id="1768" w:name="_Toc803"/>
      <w:r>
        <w:t>[المراد من«نقض الیقین»:]</w:t>
      </w:r>
      <w:bookmarkEnd w:id="1768"/>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ثمّ لا یتوهّم الاحتیاج حینئذ إلی تصرّف فی الیقین بإرادة المتیقّن منه؛لأنّ التصرّف لازم علی کلّ حال؛فإنّ النقض الاختیاری القابل لورود النهی علیه لا یتعلّق بنفس الیقین علی کلّ تقدیر،بل المراد:</w:t>
      </w:r>
    </w:p>
    <w:p>
      <w:pPr>
        <w:pStyle w:val="BookText"/>
      </w:pPr>
      <w:r>
        <w:rPr>
          <w:rFonts w:ascii="IRNazanin" w:hAnsi="IRNazanin" w:eastAsia="IRNazanin" w:cs="IRNazanin"/>
          <w:lang w:bidi="fa-IR"/>
          <w:color w:val="111111"/>
          <w:sz w:val="28"/>
          <w:szCs w:val="28"/>
          <w:rtl/>
        </w:rPr>
        <w:t xml:space="preserve">نقض ما کان علی یقین منه-و هو الطهارة السابقة-أو أحکام الیقین.</w:t>
      </w:r>
    </w:p>
    <w:p>
      <w:pPr>
        <w:pStyle w:val="BookText"/>
      </w:pPr>
      <w:r>
        <w:rPr>
          <w:rFonts w:ascii="IRNazanin" w:hAnsi="IRNazanin" w:eastAsia="IRNazanin" w:cs="IRNazanin"/>
          <w:lang w:bidi="fa-IR"/>
          <w:color w:val="111111"/>
          <w:sz w:val="28"/>
          <w:szCs w:val="28"/>
          <w:rtl/>
        </w:rPr>
        <w:t xml:space="preserve">و المراد ب«أحکام الیقین»لیس أحکام نفس وصف الیقین؛إذ لو فرضنا حکما شرعیّا محمولا علی نفس صفة الیقین ارتفع بالشکّ قطعا،</w:t>
      </w:r>
    </w:p>
    <w:p>
      <w:pPr>
        <w:pStyle w:val="BookText"/>
      </w:pPr>
      <w:r>
        <w:rPr>
          <w:rFonts w:ascii="IRNazanin" w:hAnsi="IRNazanin" w:eastAsia="IRNazanin" w:cs="IRNazanin"/>
          <w:lang w:bidi="fa-IR"/>
          <w:color w:val="111111"/>
          <w:sz w:val="28"/>
          <w:szCs w:val="28"/>
          <w:rtl/>
        </w:rPr>
        <w:t xml:space="preserve">[شماره صفحه واقعی : 79]
</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کمن نذر فعلا فی مدّة الیقین بحیاة زید.</w:t>
      </w:r>
    </w:p>
    <w:p>
      <w:pPr>
        <w:pStyle w:val="BookText"/>
      </w:pPr>
      <w:r>
        <w:rPr>
          <w:rFonts w:ascii="IRNazanin" w:hAnsi="IRNazanin" w:eastAsia="IRNazanin" w:cs="IRNazanin"/>
          <w:lang w:bidi="fa-IR"/>
          <w:color w:val="111111"/>
          <w:sz w:val="28"/>
          <w:szCs w:val="28"/>
          <w:rtl/>
        </w:rPr>
        <w:t xml:space="preserve">بل المراد:أحکام المتیقّن المثبتة له من جهة الیقین،و هذه الأحکام کنفس المتیقّن أیضا لها استمرار شأنیّ لا یرتفع إلاّ بالرافع؛فإنّ جواز الدخول فی الصلاة بالطهارة أمر مستمرّ إلی أن یحدث ناقضها.</w:t>
      </w:r>
    </w:p>
    <w:p>
      <w:pPr>
        <w:pStyle w:val="BookText"/>
      </w:pPr>
      <w:r>
        <w:rPr>
          <w:rFonts w:ascii="IRNazanin" w:hAnsi="IRNazanin" w:eastAsia="IRNazanin" w:cs="IRNazanin"/>
          <w:lang w:bidi="fa-IR"/>
          <w:color w:val="111111"/>
          <w:sz w:val="28"/>
          <w:szCs w:val="28"/>
          <w:rtl/>
        </w:rPr>
        <w:t xml:space="preserve">و کیف کان،فالمراد:إمّا نقض المتیقّن،و المراد به رفع الید عن مقتضاه،و إمّا نقض أحکام الیقین-أی الثابتة للمتیقّن من جهة الیقین به-و المراد حینئذ رفع الید عنها.</w:t>
      </w:r>
    </w:p>
    <w:p>
      <w:pPr>
        <w:pStyle w:val="BookText"/>
      </w:pPr>
      <w:r>
        <w:rPr>
          <w:rFonts w:ascii="IRNazanin" w:hAnsi="IRNazanin" w:eastAsia="IRNazanin" w:cs="IRNazanin"/>
          <w:lang w:bidi="fa-IR"/>
          <w:color w:val="111111"/>
          <w:sz w:val="28"/>
          <w:szCs w:val="28"/>
          <w:rtl/>
        </w:rPr>
        <w:t xml:space="preserve">و یمکن أن یستفاد من بعض الأمارات إرادة المعنی الثالث </w:t>
      </w:r>
      <w:r>
        <w:rPr>
          <w:rStyle w:val="FootnoteReference"/>
        </w:rPr>
        <w:footnoteReference w:id="1742"/>
      </w:r>
      <w:r>
        <w:rPr>
          <w:rFonts w:ascii="IRNazanin" w:hAnsi="IRNazanin" w:eastAsia="IRNazanin" w:cs="IRNazanin"/>
          <w:lang w:bidi="fa-IR"/>
          <w:color w:val="111111"/>
          <w:sz w:val="28"/>
          <w:szCs w:val="28"/>
          <w:rtl/>
        </w:rPr>
        <w:t xml:space="preserve">،مثل:</w:t>
      </w:r>
    </w:p>
    <w:p>
      <w:pPr>
        <w:pStyle w:val="BookText"/>
      </w:pPr>
      <w:r>
        <w:rPr>
          <w:rFonts w:ascii="IRNazanin" w:hAnsi="IRNazanin" w:eastAsia="IRNazanin" w:cs="IRNazanin"/>
          <w:lang w:bidi="fa-IR"/>
          <w:color w:val="111111"/>
          <w:sz w:val="28"/>
          <w:szCs w:val="28"/>
          <w:rtl/>
        </w:rPr>
        <w:t xml:space="preserve">قوله علیه السّلام:«بل ینقض الشکّ بالیقین» </w:t>
      </w:r>
      <w:r>
        <w:rPr>
          <w:rStyle w:val="FootnoteReference"/>
        </w:rPr>
        <w:footnoteReference w:id="17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قوله علیه السّلام:«و لا یعتدّ بالشکّ فی حال من الحالات» </w:t>
      </w:r>
      <w:r>
        <w:rPr>
          <w:rStyle w:val="FootnoteReference"/>
        </w:rPr>
        <w:footnoteReference w:id="17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قوله علیه السّلام:«الیقین لا یدخله الشکّ،صم للرؤیة و أفطر للرؤیة» </w:t>
      </w:r>
      <w:r>
        <w:rPr>
          <w:rStyle w:val="FootnoteReference"/>
        </w:rPr>
        <w:footnoteReference w:id="1745"/>
      </w:r>
      <w:r>
        <w:rPr>
          <w:rFonts w:ascii="IRNazanin" w:hAnsi="IRNazanin" w:eastAsia="IRNazanin" w:cs="IRNazanin"/>
          <w:lang w:bidi="fa-IR"/>
          <w:color w:val="111111"/>
          <w:sz w:val="28"/>
          <w:szCs w:val="28"/>
          <w:rtl/>
        </w:rPr>
        <w:t xml:space="preserve">، فإنّ مورده استصحاب بقاء رمضان،و الشکّ فیه لیس شکّا فی الرافع، کما لا یخفی.</w:t>
      </w:r>
    </w:p>
    <w:p>
      <w:pPr>
        <w:pStyle w:val="BookText"/>
      </w:pPr>
      <w:r>
        <w:rPr>
          <w:rFonts w:ascii="IRNazanin" w:hAnsi="IRNazanin" w:eastAsia="IRNazanin" w:cs="IRNazanin"/>
          <w:lang w:bidi="fa-IR"/>
          <w:color w:val="111111"/>
          <w:sz w:val="28"/>
          <w:szCs w:val="28"/>
          <w:rtl/>
        </w:rPr>
        <w:t xml:space="preserve">و قوله علیه السّلام فی روایة الأربعمائة:«من کان علی یقین فشکّ فلیمض علی یقینه،فإنّ الیقین لا یدفع بالشکّ» </w:t>
      </w:r>
      <w:r>
        <w:rPr>
          <w:rStyle w:val="FootnoteReference"/>
        </w:rPr>
        <w:footnoteReference w:id="17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قوله:«إذا شککت فابن علی الیقین» </w:t>
      </w:r>
      <w:r>
        <w:rPr>
          <w:rFonts w:ascii="Times New Roman" w:hAnsi="Times New Roman" w:eastAsia="Times New Roman" w:cs="Times New Roman"/>
          <w:lang w:val="en-US" w:bidi="en-US"/>
          <w:color w:val="111111"/>
          <w:sz w:val="28"/>
          <w:szCs w:val="28"/>
          <w:vertAlign w:val="superscript"/>
          <w:rtl/>
        </w:rPr>
        <w:t xml:space="preserve">(6)</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80]
</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المستفاد من هذه و أمثالها:أنّ المراد بعدم النقض عدم الاعتناء بالاحتمال المخالف للیقین السابق،نظیر قوله علیه السّلام:«إذا خرجت من شیء و دخلت فی غیره فشکّک لیس بشیء» </w:t>
      </w:r>
      <w:r>
        <w:rPr>
          <w:rStyle w:val="FootnoteReference"/>
        </w:rPr>
        <w:footnoteReference w:id="17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هذا،و لکنّ الإنصاف:أنّ شیئا من ذلک لا یصلح لصرف لفظ «النقض»عن ظاهره.</w:t>
      </w:r>
    </w:p>
    <w:p>
      <w:pPr>
        <w:pStyle w:val="BookText"/>
      </w:pPr>
      <w:r>
        <w:rPr>
          <w:rFonts w:ascii="IRNazanin" w:hAnsi="IRNazanin" w:eastAsia="IRNazanin" w:cs="IRNazanin"/>
          <w:lang w:bidi="fa-IR"/>
          <w:color w:val="111111"/>
          <w:sz w:val="28"/>
          <w:szCs w:val="28"/>
          <w:rtl/>
        </w:rPr>
        <w:t xml:space="preserve">لأنّ قوله:«بل ینقض الشکّ بالیقین»معناه رفع الشکّ؛لأنّ الشکّ ممّا إذا حصل لا یرتفع إلاّ برافع.</w:t>
      </w:r>
    </w:p>
    <w:p>
      <w:pPr>
        <w:pStyle w:val="BookText"/>
      </w:pPr>
      <w:r>
        <w:rPr>
          <w:rFonts w:ascii="IRNazanin" w:hAnsi="IRNazanin" w:eastAsia="IRNazanin" w:cs="IRNazanin"/>
          <w:lang w:bidi="fa-IR"/>
          <w:color w:val="111111"/>
          <w:sz w:val="28"/>
          <w:szCs w:val="28"/>
          <w:rtl/>
        </w:rPr>
        <w:t xml:space="preserve">و أمّا قوله علیه السّلام:«من کان علی یقین فشکّ»،فقد عرفت </w:t>
      </w:r>
      <w:r>
        <w:rPr>
          <w:rStyle w:val="FootnoteReference"/>
        </w:rPr>
        <w:footnoteReference w:id="1748"/>
      </w:r>
      <w:r>
        <w:rPr>
          <w:rFonts w:ascii="IRNazanin" w:hAnsi="IRNazanin" w:eastAsia="IRNazanin" w:cs="IRNazanin"/>
          <w:lang w:bidi="fa-IR"/>
          <w:color w:val="111111"/>
          <w:sz w:val="28"/>
          <w:szCs w:val="28"/>
          <w:rtl/>
        </w:rPr>
        <w:t xml:space="preserve">أنّه کقوله:«إذا شککت فابن علی الیقین»غیر ظاهر فی الاستصحاب </w:t>
      </w:r>
      <w:r>
        <w:rPr>
          <w:rStyle w:val="FootnoteReference"/>
        </w:rPr>
        <w:footnoteReference w:id="1749"/>
      </w:r>
      <w:r>
        <w:rPr>
          <w:rFonts w:ascii="IRNazanin" w:hAnsi="IRNazanin" w:eastAsia="IRNazanin" w:cs="IRNazanin"/>
          <w:lang w:bidi="fa-IR"/>
          <w:color w:val="111111"/>
          <w:sz w:val="28"/>
          <w:szCs w:val="28"/>
          <w:rtl/>
        </w:rPr>
        <w:t xml:space="preserve">، مع إمکان أن یجعل قوله علیه السّلام:«فإنّ الیقین لا ینقض بالشکّ،أو لا یدفع به»قرینة علی اختصاص صدر الروایة بموارد النقض،</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i w:val="1"/>
          <w:iCs w:val="1"/>
          <w:rtl/>
        </w:rPr>
        <w:t xml:space="preserve">صوت بعدی صفحه 191،تنبیهات استصحاب</w:t>
      </w:r>
    </w:p>
    <w:p>
      <w:pPr>
        <w:pStyle w:val="BookText"/>
      </w:pPr>
      <w:r>
        <w:rPr>
          <w:rFonts w:ascii="IRNazanin" w:hAnsi="IRNazanin" w:eastAsia="IRNazanin" w:cs="IRNazanin"/>
          <w:lang w:bidi="fa-IR"/>
          <w:color w:val="111111"/>
          <w:sz w:val="28"/>
          <w:szCs w:val="28"/>
          <w:rtl/>
        </w:rPr>
        <w:t xml:space="preserve">مع أنّ الظاهر من المضیّ:الجری علی مقتضی الداعی السابق و عدم التوقّف </w:t>
      </w:r>
      <w:r>
        <w:rPr>
          <w:rStyle w:val="FootnoteReference"/>
        </w:rPr>
        <w:footnoteReference w:id="1750"/>
      </w:r>
      <w:r>
        <w:rPr>
          <w:rFonts w:ascii="IRNazanin" w:hAnsi="IRNazanin" w:eastAsia="IRNazanin" w:cs="IRNazanin"/>
          <w:lang w:bidi="fa-IR"/>
          <w:color w:val="111111"/>
          <w:sz w:val="28"/>
          <w:szCs w:val="28"/>
          <w:rtl/>
        </w:rPr>
        <w:t xml:space="preserve">إلاّ لصارف،نظیر قوله علیه السّلام:«إذا کثر علیک السهو فامض علی صلاتک» </w:t>
      </w:r>
      <w:r>
        <w:rPr>
          <w:rStyle w:val="FootnoteReference"/>
        </w:rPr>
        <w:footnoteReference w:id="1751"/>
      </w:r>
      <w:r>
        <w:rPr>
          <w:rFonts w:ascii="IRNazanin" w:hAnsi="IRNazanin" w:eastAsia="IRNazanin" w:cs="IRNazanin"/>
          <w:lang w:bidi="fa-IR"/>
          <w:color w:val="111111"/>
          <w:sz w:val="28"/>
          <w:szCs w:val="28"/>
          <w:rtl/>
        </w:rPr>
        <w:t xml:space="preserve">و نحوه،فهو أیضا مختصّ بما ذکرنا.</w:t>
      </w:r>
    </w:p>
    <w:p>
      <w:pPr>
        <w:pStyle w:val="BookText"/>
      </w:pPr>
      <w:r>
        <w:rPr>
          <w:rFonts w:ascii="IRNazanin" w:hAnsi="IRNazanin" w:eastAsia="IRNazanin" w:cs="IRNazanin"/>
          <w:lang w:bidi="fa-IR"/>
          <w:color w:val="111111"/>
          <w:sz w:val="28"/>
          <w:szCs w:val="28"/>
          <w:rtl/>
        </w:rPr>
        <w:t xml:space="preserve">[شماره صفحه واقعی : 81]
</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قوله علیه السّلام:«الیقین لا یدخله الشکّ»فتفرّع الإفطار للرؤیة علیه من جهة استصحاب الاشتغال بصوم رمضان إلی أن یحصل الرافع.</w:t>
      </w:r>
    </w:p>
    <w:p>
      <w:pPr>
        <w:pStyle w:val="BookText"/>
      </w:pPr>
      <w:r>
        <w:rPr>
          <w:rFonts w:ascii="IRNazanin" w:hAnsi="IRNazanin" w:eastAsia="IRNazanin" w:cs="IRNazanin"/>
          <w:lang w:bidi="fa-IR"/>
          <w:color w:val="111111"/>
          <w:sz w:val="28"/>
          <w:szCs w:val="28"/>
          <w:rtl/>
        </w:rPr>
        <w:t xml:space="preserve">و بالجملة:فالمتأمّل المنصف یجد أنّ هذه الأخبار لا تدلّ علی أزید من اعتبار الیقین السابق عند الشکّ فی الارتفاع برافع.</w:t>
      </w:r>
    </w:p>
    <w:p>
      <w:pPr>
        <w:pStyle w:val="BookText"/>
      </w:pPr>
      <w:r>
        <w:rPr>
          <w:rFonts w:ascii="IRNazanin" w:hAnsi="IRNazanin" w:eastAsia="IRNazanin" w:cs="IRNazanin"/>
          <w:lang w:bidi="fa-IR"/>
          <w:color w:val="111111"/>
          <w:sz w:val="28"/>
          <w:szCs w:val="28"/>
          <w:rtl/>
        </w:rPr>
        <w:t xml:space="preserve">[شماره صفحه واقعی : 82]
</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bookmarkStart w:id="376" w:name="pg14411_142976"/>
    <w:bookmarkEnd w:id="376"/>
    <w:p>
      <w:pPr>
        <w:pStyle w:val="Heading5"/>
      </w:pPr>
      <w:bookmarkStart w:id="1769" w:name="_Toc804"/>
      <w:r>
        <w:t>[حجة القول الأوّل]: [الاستدلال علی الحجیة مطلقا:]</w:t>
      </w:r>
      <w:bookmarkEnd w:id="1769"/>
    </w:p>
    <w:p>
      <w:pPr>
        <w:pStyle w:val="Heading6"/>
      </w:pPr>
      <w:bookmarkStart w:id="1770" w:name="_Toc805"/>
      <w:r>
        <w:t>اشارة</w:t>
      </w:r>
      <w:bookmarkEnd w:id="1770"/>
    </w:p>
    <w:p>
      <w:pPr>
        <w:pStyle w:val="BookText"/>
      </w:pPr>
      <w:r>
        <w:rPr>
          <w:rFonts w:ascii="Amiri" w:hAnsi="Amiri" w:eastAsia="Amiri" w:cs="Amiri"/>
          <w:lang w:bidi="ar-SA"/>
          <w:color w:val="111111"/>
          <w:sz w:val="28"/>
          <w:szCs w:val="28"/>
          <w:rtl/>
        </w:rPr>
        <w:t xml:space="preserve">[حجة القول الأوّل]: </w:t>
      </w:r>
      <w:r>
        <w:rPr>
          <w:rStyle w:val="FootnoteReference"/>
        </w:rPr>
        <w:footnoteReference w:id="1752"/>
      </w:r>
      <w:r>
        <w:rPr>
          <w:rFonts w:ascii="IRNazanin" w:hAnsi="IRNazanin" w:eastAsia="IRNazanin" w:cs="IRNazanin"/>
          <w:lang w:bidi="fa-IR"/>
          <w:color w:val="111111"/>
          <w:sz w:val="28"/>
          <w:szCs w:val="28"/>
          <w:rtl/>
        </w:rPr>
        <w:t xml:space="preserve">[الاستدلال علی الحجیة مطلقا:]</w:t>
      </w:r>
    </w:p>
    <w:p>
      <w:pPr>
        <w:pStyle w:val="BookText"/>
      </w:pPr>
      <w:r>
        <w:rPr>
          <w:rFonts w:ascii="IRNazanin" w:hAnsi="IRNazanin" w:eastAsia="IRNazanin" w:cs="IRNazanin"/>
          <w:lang w:bidi="fa-IR"/>
          <w:color w:val="111111"/>
          <w:sz w:val="28"/>
          <w:szCs w:val="28"/>
          <w:rtl/>
        </w:rPr>
        <w:t xml:space="preserve">احتجّ للقول الأوّل بوجوه:</w:t>
      </w:r>
    </w:p>
    <w:p>
      <w:pPr>
        <w:pStyle w:val="Heading6"/>
      </w:pPr>
      <w:bookmarkStart w:id="1771" w:name="_Toc806"/>
      <w:r>
        <w:t>[الوجه الأوّل و المناقشة فیه:]</w:t>
      </w:r>
      <w:bookmarkEnd w:id="1771"/>
    </w:p>
    <w:p>
      <w:pPr>
        <w:pStyle w:val="BookText"/>
      </w:pPr>
      <w:r>
        <w:rPr>
          <w:rFonts w:ascii="IRNazanin" w:hAnsi="IRNazanin" w:eastAsia="IRNazanin" w:cs="IRNazanin"/>
          <w:lang w:bidi="fa-IR"/>
          <w:color w:val="111111"/>
          <w:sz w:val="28"/>
          <w:szCs w:val="28"/>
          <w:rtl/>
        </w:rPr>
        <w:t xml:space="preserve">منها:أنّه لو لم یکن الاستصحاب حجّة لم یستقم استفادة الأحکام من الأدلّة اللفظیّة؛لتوقّفها علی أصالة عدم القرینة و المعارض و المخصّص و المقیّد و الناسخ و غیر ذلک.</w:t>
      </w:r>
    </w:p>
    <w:p>
      <w:pPr>
        <w:pStyle w:val="BookText"/>
      </w:pPr>
      <w:r>
        <w:rPr>
          <w:rFonts w:ascii="IRNazanin" w:hAnsi="IRNazanin" w:eastAsia="IRNazanin" w:cs="IRNazanin"/>
          <w:lang w:bidi="fa-IR"/>
          <w:color w:val="111111"/>
          <w:sz w:val="28"/>
          <w:szCs w:val="28"/>
          <w:rtl/>
        </w:rPr>
        <w:t xml:space="preserve">و فیه:أنّ تلک الاصول قواعد لفظیّة مجمع علیها بین العلماء و جمیع أهل اللسان فی باب الاستفادة،مع أنّها اصول عدمیّة لا یستلزم القول بها القول باعتبار الاستصحاب مطلقا،إمّا لکونها مجمعا علیها بالخصوص،و إمّا لرجوعها إلی الشکّ فی الرافع.</w:t>
      </w:r>
    </w:p>
    <w:p>
      <w:pPr>
        <w:pStyle w:val="Heading6"/>
      </w:pPr>
      <w:bookmarkStart w:id="1772" w:name="_Toc807"/>
      <w:r>
        <w:t>[الوجه الثانی:]</w:t>
      </w:r>
      <w:bookmarkEnd w:id="1772"/>
    </w:p>
    <w:p>
      <w:pPr>
        <w:pStyle w:val="Heading6"/>
      </w:pPr>
      <w:bookmarkStart w:id="1773" w:name="_Toc808"/>
      <w:r>
        <w:t>اشارة</w:t>
      </w:r>
      <w:bookmarkEnd w:id="1773"/>
    </w:p>
    <w:p>
      <w:pPr>
        <w:pStyle w:val="BookText"/>
      </w:pPr>
      <w:r>
        <w:rPr>
          <w:rFonts w:ascii="IRNazanin" w:hAnsi="IRNazanin" w:eastAsia="IRNazanin" w:cs="IRNazanin"/>
          <w:lang w:bidi="fa-IR"/>
          <w:color w:val="111111"/>
          <w:sz w:val="28"/>
          <w:szCs w:val="28"/>
          <w:rtl/>
        </w:rPr>
        <w:t xml:space="preserve">و منها:ما ذکره المحقّق فی المعارج،و هو:أنّ المقتضی للحکم الأوّل ثابت،و العارض لا یصلح رافعا،فیجب الحکم بثبوته فی الآن الثانی.أمّا أنّ المقتضی ثابت،فلأنّا نتکلّم علی هذا التقدیر.و أمّا أنّ العارض لا یصلح رافعا؛فلأنّ العارض احتمال تجدّد ما یوجب زوال الحکم،لکنّ احتمال ذلک معارض باحتمال عدمه،فیکون کلّ منهما مدفوعا بمقابله،فیبقی الحکم الثابت سلیما عن الرافع </w:t>
      </w:r>
      <w:r>
        <w:rPr>
          <w:rStyle w:val="FootnoteReference"/>
        </w:rPr>
        <w:footnoteReference w:id="1753"/>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فیه:أنّ المراد بالمقتضی؛إمّا العلّة التامّة للحکم أو للعلم به</w:t>
      </w:r>
    </w:p>
    <w:p>
      <w:pPr>
        <w:pStyle w:val="BookText"/>
      </w:pPr>
      <w:r>
        <w:rPr>
          <w:rFonts w:ascii="IRNazanin" w:hAnsi="IRNazanin" w:eastAsia="IRNazanin" w:cs="IRNazanin"/>
          <w:lang w:bidi="fa-IR"/>
          <w:color w:val="111111"/>
          <w:sz w:val="28"/>
          <w:szCs w:val="28"/>
          <w:rtl/>
        </w:rPr>
        <w:t xml:space="preserve">[شماره صفحه واقعی : 83]
</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bookmarkStart w:id="377" w:name="pg14411_142977"/>
    <w:bookmarkEnd w:id="377"/>
    <w:p>
      <w:pPr>
        <w:pStyle w:val="BookText"/>
      </w:pPr>
      <w:r>
        <w:rPr>
          <w:rFonts w:ascii="IRNazanin" w:hAnsi="IRNazanin" w:eastAsia="IRNazanin" w:cs="IRNazanin"/>
          <w:lang w:bidi="fa-IR"/>
          <w:color w:val="111111"/>
          <w:sz w:val="28"/>
          <w:szCs w:val="28"/>
          <w:rtl/>
        </w:rPr>
        <w:t xml:space="preserve">-أعنی الدلیل-،أو المقتضی بالمعنی الأخصّ.</w:t>
      </w:r>
    </w:p>
    <w:p>
      <w:pPr>
        <w:pStyle w:val="BookText"/>
      </w:pPr>
      <w:r>
        <w:rPr>
          <w:rFonts w:ascii="IRNazanin" w:hAnsi="IRNazanin" w:eastAsia="IRNazanin" w:cs="IRNazanin"/>
          <w:lang w:bidi="fa-IR"/>
          <w:color w:val="111111"/>
          <w:sz w:val="28"/>
          <w:szCs w:val="28"/>
          <w:rtl/>
        </w:rPr>
        <w:t xml:space="preserve">و علی التقدیر الأوّل </w:t>
      </w:r>
      <w:r>
        <w:rPr>
          <w:rStyle w:val="FootnoteReference"/>
        </w:rPr>
        <w:footnoteReference w:id="1754"/>
      </w:r>
      <w:r>
        <w:rPr>
          <w:rFonts w:ascii="IRNazanin" w:hAnsi="IRNazanin" w:eastAsia="IRNazanin" w:cs="IRNazanin"/>
          <w:lang w:bidi="fa-IR"/>
          <w:color w:val="111111"/>
          <w:sz w:val="28"/>
          <w:szCs w:val="28"/>
          <w:rtl/>
        </w:rPr>
        <w:t xml:space="preserve">،فلا بدّ من أن یراد من ثبوته ثبوته فی الزمان الأوّل،و من المعلوم عدم اقتضاء ذلک لثبوت المعلول أو المدلول فی الزمان الثانی أصلا.</w:t>
      </w:r>
    </w:p>
    <w:p>
      <w:pPr>
        <w:pStyle w:val="BookText"/>
      </w:pPr>
      <w:r>
        <w:rPr>
          <w:rFonts w:ascii="IRNazanin" w:hAnsi="IRNazanin" w:eastAsia="IRNazanin" w:cs="IRNazanin"/>
          <w:lang w:bidi="fa-IR"/>
          <w:color w:val="111111"/>
          <w:sz w:val="28"/>
          <w:szCs w:val="28"/>
          <w:rtl/>
        </w:rPr>
        <w:t xml:space="preserve">و علی الثانی </w:t>
      </w:r>
      <w:r>
        <w:rPr>
          <w:rStyle w:val="FootnoteReference"/>
        </w:rPr>
        <w:footnoteReference w:id="1755"/>
      </w:r>
      <w:r>
        <w:rPr>
          <w:rFonts w:ascii="IRNazanin" w:hAnsi="IRNazanin" w:eastAsia="IRNazanin" w:cs="IRNazanin"/>
          <w:lang w:bidi="fa-IR"/>
          <w:color w:val="111111"/>
          <w:sz w:val="28"/>
          <w:szCs w:val="28"/>
          <w:rtl/>
        </w:rPr>
        <w:t xml:space="preserve">،فلا بدّ من أن یراد ثبوته فی الزمان الثانی مقتضیا للحکم.</w:t>
      </w:r>
    </w:p>
    <w:p>
      <w:pPr>
        <w:pStyle w:val="Heading6"/>
      </w:pPr>
      <w:bookmarkStart w:id="1774" w:name="_Toc809"/>
      <w:r>
        <w:t>[المناقشة فی الوجه الثانی:]</w:t>
      </w:r>
      <w:bookmarkEnd w:id="1774"/>
    </w:p>
    <w:p>
      <w:pPr>
        <w:pStyle w:val="BookText"/>
      </w:pPr>
      <w:r>
        <w:rPr>
          <w:rFonts w:ascii="IRNazanin" w:hAnsi="IRNazanin" w:eastAsia="IRNazanin" w:cs="IRNazanin"/>
          <w:lang w:bidi="fa-IR"/>
          <w:color w:val="111111"/>
          <w:sz w:val="28"/>
          <w:szCs w:val="28"/>
          <w:rtl/>
        </w:rPr>
        <w:t xml:space="preserve">و فیه-مع أنّه أخصّ من المدّعی-:أنّ مجرّد احتمال عدم الرافع لا یثبت العلم و لا الظنّ بثبوت المقتضی،بالفتح.</w:t>
      </w:r>
    </w:p>
    <w:p>
      <w:pPr>
        <w:pStyle w:val="BookText"/>
      </w:pPr>
      <w:r>
        <w:rPr>
          <w:rFonts w:ascii="Amiri" w:hAnsi="Amiri" w:eastAsia="Amiri" w:cs="Amiri"/>
          <w:lang w:bidi="ar-SA"/>
          <w:color w:val="111111"/>
          <w:sz w:val="28"/>
          <w:szCs w:val="28"/>
          <w:rtl/>
        </w:rPr>
        <w:t xml:space="preserve">و المراد من معارضة احتمال الرافع باحتمال عدمه الموجبة للتساقط:</w:t>
      </w:r>
    </w:p>
    <w:p>
      <w:pPr>
        <w:pStyle w:val="BookText"/>
      </w:pPr>
      <w:r>
        <w:rPr>
          <w:rFonts w:ascii="IRNazanin" w:hAnsi="IRNazanin" w:eastAsia="IRNazanin" w:cs="IRNazanin"/>
          <w:lang w:bidi="fa-IR"/>
          <w:color w:val="111111"/>
          <w:sz w:val="28"/>
          <w:szCs w:val="28"/>
          <w:rtl/>
        </w:rPr>
        <w:t xml:space="preserve">إن کان سقوط الاحتمالین فلا معنی له،و إن کان سقوط المحتملین عن الاعتبار حتّی لا یحکم بالرافع و لا بعدمه،فمعنی ذلک التوقّف عن الحکم بثبوت المقتضی-بالفتح-لا ثبوته.</w:t>
      </w:r>
    </w:p>
    <w:p>
      <w:pPr>
        <w:pStyle w:val="BookText"/>
      </w:pPr>
      <w:r>
        <w:rPr>
          <w:rFonts w:ascii="IRNazanin" w:hAnsi="IRNazanin" w:eastAsia="IRNazanin" w:cs="IRNazanin"/>
          <w:lang w:bidi="fa-IR"/>
          <w:color w:val="111111"/>
          <w:sz w:val="28"/>
          <w:szCs w:val="28"/>
          <w:rtl/>
        </w:rPr>
        <w:t xml:space="preserve">و ربما یحکی إبدال قوله:«فیجب الحکم بثبوته»،بقوله:«فیظنّ ثبوته» </w:t>
      </w:r>
      <w:r>
        <w:rPr>
          <w:rStyle w:val="FootnoteReference"/>
        </w:rPr>
        <w:footnoteReference w:id="1756"/>
      </w:r>
      <w:r>
        <w:rPr>
          <w:rFonts w:ascii="IRNazanin" w:hAnsi="IRNazanin" w:eastAsia="IRNazanin" w:cs="IRNazanin"/>
          <w:lang w:bidi="fa-IR"/>
          <w:color w:val="111111"/>
          <w:sz w:val="28"/>
          <w:szCs w:val="28"/>
          <w:rtl/>
        </w:rPr>
        <w:t xml:space="preserve">،و یتخیّل أنّ هذا أبعد عن الإیراد،و مرجعه إلی دلیل آخر ذکره العضدی </w:t>
      </w:r>
      <w:r>
        <w:rPr>
          <w:rStyle w:val="FootnoteReference"/>
        </w:rPr>
        <w:footnoteReference w:id="1757"/>
      </w:r>
      <w:r>
        <w:rPr>
          <w:rFonts w:ascii="IRNazanin" w:hAnsi="IRNazanin" w:eastAsia="IRNazanin" w:cs="IRNazanin"/>
          <w:lang w:bidi="fa-IR"/>
          <w:color w:val="111111"/>
          <w:sz w:val="28"/>
          <w:szCs w:val="28"/>
          <w:rtl/>
        </w:rPr>
        <w:t xml:space="preserve">و غیره </w:t>
      </w:r>
      <w:r>
        <w:rPr>
          <w:rStyle w:val="FootnoteReference"/>
        </w:rPr>
        <w:footnoteReference w:id="1758"/>
      </w:r>
      <w:r>
        <w:rPr>
          <w:rFonts w:ascii="IRNazanin" w:hAnsi="IRNazanin" w:eastAsia="IRNazanin" w:cs="IRNazanin"/>
          <w:lang w:bidi="fa-IR"/>
          <w:color w:val="111111"/>
          <w:sz w:val="28"/>
          <w:szCs w:val="28"/>
          <w:rtl/>
        </w:rPr>
        <w:t xml:space="preserve">،و هو:أنّ ما ثبت فی وقت و لم یظنّ عدمه</w:t>
      </w:r>
    </w:p>
    <w:p>
      <w:pPr>
        <w:pStyle w:val="BookText"/>
      </w:pPr>
      <w:r>
        <w:rPr>
          <w:rFonts w:ascii="IRNazanin" w:hAnsi="IRNazanin" w:eastAsia="IRNazanin" w:cs="IRNazanin"/>
          <w:lang w:bidi="fa-IR"/>
          <w:color w:val="111111"/>
          <w:sz w:val="28"/>
          <w:szCs w:val="28"/>
          <w:rtl/>
        </w:rPr>
        <w:t xml:space="preserve">[شماره صفحه واقعی : 84]
</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فهو مظنون البقاء.و سیجیء ما فیه </w:t>
      </w:r>
      <w:r>
        <w:rPr>
          <w:rStyle w:val="FootnoteReference"/>
        </w:rPr>
        <w:footnoteReference w:id="17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 ظاهر هذا الدلیل دعوی القطع ببقاء الحالة السابقة واقعا </w:t>
      </w:r>
      <w:r>
        <w:rPr>
          <w:rStyle w:val="FootnoteReference"/>
        </w:rPr>
        <w:footnoteReference w:id="1760"/>
      </w:r>
      <w:r>
        <w:rPr>
          <w:rFonts w:ascii="IRNazanin" w:hAnsi="IRNazanin" w:eastAsia="IRNazanin" w:cs="IRNazanin"/>
          <w:lang w:bidi="fa-IR"/>
          <w:color w:val="111111"/>
          <w:sz w:val="28"/>
          <w:szCs w:val="28"/>
          <w:rtl/>
        </w:rPr>
        <w:t xml:space="preserve">، و لم یعرف هذه الدعوی من أحد،و اعترف بعدمه فی المعارج فی أجوبة النافین،و صرّح بدعوی رجحان البقاء </w:t>
      </w:r>
      <w:r>
        <w:rPr>
          <w:rStyle w:val="FootnoteReference"/>
        </w:rPr>
        <w:footnoteReference w:id="17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یمکن أن یرید به:إثبات البناء </w:t>
      </w:r>
      <w:r>
        <w:rPr>
          <w:rStyle w:val="FootnoteReference"/>
        </w:rPr>
        <w:footnoteReference w:id="1762"/>
      </w:r>
      <w:r>
        <w:rPr>
          <w:rFonts w:ascii="IRNazanin" w:hAnsi="IRNazanin" w:eastAsia="IRNazanin" w:cs="IRNazanin"/>
          <w:lang w:bidi="fa-IR"/>
          <w:color w:val="111111"/>
          <w:sz w:val="28"/>
          <w:szCs w:val="28"/>
          <w:rtl/>
        </w:rPr>
        <w:t xml:space="preserve">علی الحالة السابقة و لو مع عدم رجحانه،و هو فی غایة البعد عن عمل العقلاء بالاستصحاب فی امورهم.</w:t>
      </w:r>
    </w:p>
    <w:p>
      <w:pPr>
        <w:pStyle w:val="BookText"/>
      </w:pPr>
      <w:r>
        <w:rPr>
          <w:rFonts w:ascii="IRNazanin" w:hAnsi="IRNazanin" w:eastAsia="IRNazanin" w:cs="IRNazanin"/>
          <w:lang w:bidi="fa-IR"/>
          <w:color w:val="111111"/>
          <w:sz w:val="28"/>
          <w:szCs w:val="28"/>
          <w:rtl/>
        </w:rPr>
        <w:t xml:space="preserve">و الظاهر أنّ مرجع هذا الدلیل إلی أنّه إذا احرز المقتضی و شکّ فی المانع-بعد تحقّق المقتضی و عدم المانع فی السابق-بنی علی عدمه و وجود المقتضی.</w:t>
      </w:r>
    </w:p>
    <w:p>
      <w:pPr>
        <w:pStyle w:val="BookText"/>
      </w:pPr>
      <w:r>
        <w:rPr>
          <w:rFonts w:ascii="IRNazanin" w:hAnsi="IRNazanin" w:eastAsia="IRNazanin" w:cs="IRNazanin"/>
          <w:lang w:bidi="fa-IR"/>
          <w:color w:val="111111"/>
          <w:sz w:val="28"/>
          <w:szCs w:val="28"/>
          <w:rtl/>
        </w:rPr>
        <w:t xml:space="preserve">و یمکن أن یستفاد من کلامه السابق </w:t>
      </w:r>
      <w:r>
        <w:rPr>
          <w:rStyle w:val="FootnoteReference"/>
        </w:rPr>
        <w:footnoteReference w:id="1763"/>
      </w:r>
      <w:r>
        <w:rPr>
          <w:rFonts w:ascii="IRNazanin" w:hAnsi="IRNazanin" w:eastAsia="IRNazanin" w:cs="IRNazanin"/>
          <w:lang w:bidi="fa-IR"/>
          <w:color w:val="111111"/>
          <w:sz w:val="28"/>
          <w:szCs w:val="28"/>
          <w:rtl/>
        </w:rPr>
        <w:t xml:space="preserve">فی قوله:«و الذی نختاره»، أنّ مراده بالمقتضی للحکم دلیله،و أنّ المراد بالعارض احتمال طروّ المخصّص لذلک الدلیل،فمرجعه إلی أنّ الشکّ فی تخصیص العامّ أو تقیید المطلق لا عبرة به،کما یظهر من تمثیله بالنکاح و الشکّ فی حصول الطلاق ببعض الألفاظ،فإنّه إذا دلّ الدلیل علی أنّ عقد النکاح یحدث علاقة الزوجیّة،و علم من الدلیل دوامها،و وجد فی الشرع ما ثبت</w:t>
      </w:r>
    </w:p>
    <w:p>
      <w:pPr>
        <w:pStyle w:val="BookText"/>
      </w:pPr>
      <w:r>
        <w:rPr>
          <w:rFonts w:ascii="IRNazanin" w:hAnsi="IRNazanin" w:eastAsia="IRNazanin" w:cs="IRNazanin"/>
          <w:lang w:bidi="fa-IR"/>
          <w:color w:val="111111"/>
          <w:sz w:val="28"/>
          <w:szCs w:val="28"/>
          <w:rtl/>
        </w:rPr>
        <w:t xml:space="preserve">[شماره صفحه واقعی : 85]
</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bookmarkStart w:id="378" w:name="pg14411_142979"/>
    <w:bookmarkEnd w:id="378"/>
    <w:p>
      <w:pPr>
        <w:pStyle w:val="BookText"/>
      </w:pPr>
      <w:r>
        <w:rPr>
          <w:rFonts w:ascii="IRNazanin" w:hAnsi="IRNazanin" w:eastAsia="IRNazanin" w:cs="IRNazanin"/>
          <w:lang w:bidi="fa-IR"/>
          <w:color w:val="111111"/>
          <w:sz w:val="28"/>
          <w:szCs w:val="28"/>
          <w:rtl/>
        </w:rPr>
        <w:t xml:space="preserve">کونه رافعا لها،و شکّ فی شیء آخر أنّه رافع مستقلّ أو فرد من ذلک الرافع أم لا،وجب العمل بدوام الزوجیّة؛عملا بالعموم إلی أن یثبت المخصّص.و هذا حقّ،و علیه عمل العلماء کافّة.</w:t>
      </w:r>
    </w:p>
    <w:p>
      <w:pPr>
        <w:pStyle w:val="BookText"/>
      </w:pPr>
      <w:r>
        <w:rPr>
          <w:rFonts w:ascii="IRNazanin" w:hAnsi="IRNazanin" w:eastAsia="IRNazanin" w:cs="IRNazanin"/>
          <w:lang w:bidi="fa-IR"/>
          <w:color w:val="111111"/>
          <w:sz w:val="28"/>
          <w:szCs w:val="28"/>
          <w:rtl/>
        </w:rPr>
        <w:t xml:space="preserve">نعم،لو شکّ فی صدق الرافع علی موجود خارجیّ لشبهة -کظلمة أو عدم الخبرة-ففی العمل بالعموم حینئذ و عدمه-کما إذا قیل:«أکرم العلماء إلاّ زیدا»فشکّ فی إنسان أنّه زید أو عمرو- قولان فی باب العامّ المخصّص،أصحّهما عدم الاعتبار بذلک العامّ.لکن، کلام المحقّق قدّس سرّه فی الشبهة الحکمیّة،بل مفروض کلام القوم أیضا اعتبار الاستصحاب المعدود من أدلّة الأحکام فیها،دون مطلق الشبهة الشاملة للشبهة الخارجیّة.</w:t>
      </w:r>
    </w:p>
    <w:p>
      <w:pPr>
        <w:pStyle w:val="BookText"/>
      </w:pPr>
      <w:r>
        <w:rPr>
          <w:rFonts w:ascii="IRNazanin" w:hAnsi="IRNazanin" w:eastAsia="IRNazanin" w:cs="IRNazanin"/>
          <w:lang w:bidi="fa-IR"/>
          <w:color w:val="111111"/>
          <w:sz w:val="28"/>
          <w:szCs w:val="28"/>
          <w:rtl/>
        </w:rPr>
        <w:t xml:space="preserve">هذا غایة ما أمکننا من توجیه الدلیل المذکور.</w:t>
      </w:r>
    </w:p>
    <w:p>
      <w:pPr>
        <w:pStyle w:val="BookText"/>
      </w:pPr>
      <w:r>
        <w:rPr>
          <w:rFonts w:ascii="IRNazanin" w:hAnsi="IRNazanin" w:eastAsia="IRNazanin" w:cs="IRNazanin"/>
          <w:lang w:bidi="fa-IR"/>
          <w:color w:val="111111"/>
          <w:sz w:val="28"/>
          <w:szCs w:val="28"/>
          <w:rtl/>
        </w:rPr>
        <w:t xml:space="preserve">لکنّ الذی یظهر بالتأمّل:عدم استقامته فی نفسه،و عدم انطباقه علی قوله المتقدّم:«و الذی نختاره» </w:t>
      </w:r>
      <w:r>
        <w:rPr>
          <w:rStyle w:val="FootnoteReference"/>
        </w:rPr>
        <w:footnoteReference w:id="1764"/>
      </w:r>
      <w:r>
        <w:rPr>
          <w:rFonts w:ascii="IRNazanin" w:hAnsi="IRNazanin" w:eastAsia="IRNazanin" w:cs="IRNazanin"/>
          <w:lang w:bidi="fa-IR"/>
          <w:color w:val="111111"/>
          <w:sz w:val="28"/>
          <w:szCs w:val="28"/>
          <w:rtl/>
        </w:rPr>
        <w:t xml:space="preserve">،کما نبّه علیه فی المعالم </w:t>
      </w:r>
      <w:r>
        <w:rPr>
          <w:rStyle w:val="FootnoteReference"/>
        </w:rPr>
        <w:footnoteReference w:id="1765"/>
      </w:r>
      <w:r>
        <w:rPr>
          <w:rFonts w:ascii="IRNazanin" w:hAnsi="IRNazanin" w:eastAsia="IRNazanin" w:cs="IRNazanin"/>
          <w:lang w:bidi="fa-IR"/>
          <w:color w:val="111111"/>
          <w:sz w:val="28"/>
          <w:szCs w:val="28"/>
          <w:rtl/>
        </w:rPr>
        <w:t xml:space="preserve">و تبعه غیره </w:t>
      </w:r>
      <w:r>
        <w:rPr>
          <w:rStyle w:val="FootnoteReference"/>
        </w:rPr>
        <w:footnoteReference w:id="1766"/>
      </w:r>
      <w:r>
        <w:rPr>
          <w:rFonts w:ascii="Amiri" w:hAnsi="Amiri" w:eastAsia="Amiri" w:cs="Amiri"/>
          <w:lang w:bidi="ar-SA"/>
          <w:color w:val="111111"/>
          <w:sz w:val="28"/>
          <w:szCs w:val="28"/>
          <w:rtl/>
        </w:rPr>
        <w:t xml:space="preserve">،فتأمّل.</w:t>
      </w:r>
    </w:p>
    <w:p>
      <w:pPr>
        <w:pStyle w:val="Heading6"/>
      </w:pPr>
      <w:bookmarkStart w:id="1775" w:name="_Toc810"/>
      <w:r>
        <w:t>[الوجه الثالث:]</w:t>
      </w:r>
      <w:bookmarkEnd w:id="1775"/>
    </w:p>
    <w:p>
      <w:pPr>
        <w:pStyle w:val="Heading6"/>
      </w:pPr>
      <w:bookmarkStart w:id="1776" w:name="_Toc811"/>
      <w:r>
        <w:t>اشارة</w:t>
      </w:r>
      <w:bookmarkEnd w:id="1776"/>
    </w:p>
    <w:p>
      <w:pPr>
        <w:pStyle w:val="BookText"/>
      </w:pPr>
      <w:r>
        <w:rPr>
          <w:rFonts w:ascii="IRNazanin" w:hAnsi="IRNazanin" w:eastAsia="IRNazanin" w:cs="IRNazanin"/>
          <w:lang w:bidi="fa-IR"/>
          <w:color w:val="111111"/>
          <w:sz w:val="28"/>
          <w:szCs w:val="28"/>
          <w:rtl/>
        </w:rPr>
        <w:t xml:space="preserve">و منها:أنّ الثابت فی الزمان الأوّل ممکن الثبوت فی الآن الثانی -و إلاّ لم یحتمل البقاء-فیثبت بقاؤه ما لم یتجدّد مؤثّر العدم؛لاستحالة خروج الممکن عمّا علیه بلا مؤثّر،فإذا کان التقدیر تقدیر عدم العلم بالمؤثّر فالراجح بقاؤه،فیجب العمل علیه.</w:t>
      </w:r>
    </w:p>
    <w:p>
      <w:pPr>
        <w:pStyle w:val="BookText"/>
      </w:pPr>
      <w:r>
        <w:rPr>
          <w:rFonts w:ascii="IRNazanin" w:hAnsi="IRNazanin" w:eastAsia="IRNazanin" w:cs="IRNazanin"/>
          <w:lang w:bidi="fa-IR"/>
          <w:color w:val="111111"/>
          <w:sz w:val="28"/>
          <w:szCs w:val="28"/>
          <w:rtl/>
        </w:rPr>
        <w:t xml:space="preserve">[شماره صفحه واقعی : 86]
</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bookmarkStart w:id="379" w:name="pg14411_142980"/>
    <w:bookmarkEnd w:id="379"/>
    <w:p>
      <w:pPr>
        <w:pStyle w:val="Heading6"/>
      </w:pPr>
      <w:bookmarkStart w:id="1777" w:name="_Toc812"/>
      <w:r>
        <w:t>[المناقشة فی الوجه الثالث:]</w:t>
      </w:r>
      <w:bookmarkEnd w:id="1777"/>
    </w:p>
    <w:p>
      <w:pPr>
        <w:pStyle w:val="Heading6"/>
      </w:pPr>
      <w:bookmarkStart w:id="1778" w:name="_Toc813"/>
      <w:r>
        <w:t>اشارة</w:t>
      </w:r>
      <w:bookmarkEnd w:id="1778"/>
    </w:p>
    <w:p>
      <w:pPr>
        <w:pStyle w:val="BookText"/>
      </w:pPr>
      <w:r>
        <w:rPr>
          <w:rFonts w:ascii="IRNazanin" w:hAnsi="IRNazanin" w:eastAsia="IRNazanin" w:cs="IRNazanin"/>
          <w:lang w:bidi="fa-IR"/>
          <w:color w:val="111111"/>
          <w:sz w:val="28"/>
          <w:szCs w:val="28"/>
          <w:rtl/>
        </w:rPr>
        <w:t xml:space="preserve">و فیه:منع استلزام عدم العلم بالمؤثّر رجحان عدمه المستلزم لرجحان البقاء،مع أنّ مرجع هذا الوجه إلی ما ذکره العضدیّ و غیره </w:t>
      </w:r>
      <w:r>
        <w:rPr>
          <w:rStyle w:val="FootnoteReference"/>
        </w:rPr>
        <w:footnoteReference w:id="17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أنّ ما تحقّق وجوده و لم یظنّ عدمه أو لم یعلم عدمه،فهو مظنون البقاء.</w:t>
      </w:r>
    </w:p>
    <w:p>
      <w:pPr>
        <w:pStyle w:val="Heading6"/>
      </w:pPr>
      <w:bookmarkStart w:id="1779" w:name="_Toc814"/>
      <w:r>
        <w:t>[دعوی أنّ وجود الشیء سابقا یقتضی الظنّ ببقائه و الجواب عنها:]</w:t>
      </w:r>
      <w:bookmarkEnd w:id="1779"/>
    </w:p>
    <w:p>
      <w:pPr>
        <w:pStyle w:val="BookText"/>
      </w:pPr>
      <w:r>
        <w:rPr>
          <w:rFonts w:ascii="IRNazanin" w:hAnsi="IRNazanin" w:eastAsia="IRNazanin" w:cs="IRNazanin"/>
          <w:lang w:bidi="fa-IR"/>
          <w:color w:val="111111"/>
          <w:sz w:val="28"/>
          <w:szCs w:val="28"/>
          <w:rtl/>
        </w:rPr>
        <w:t xml:space="preserve">و محصّل الجواب-عن هذا و أمثاله من أدلّتهم الراجعة إلی دعوی حصول ظنّ البقاء-:منع کون مجرّد وجود الشیء سابقا مقتضیا لظنّ بقائه؛کما یشهد له تتّبع موارد الاستصحاب.</w:t>
      </w:r>
    </w:p>
    <w:p>
      <w:pPr>
        <w:pStyle w:val="BookText"/>
      </w:pPr>
      <w:r>
        <w:rPr>
          <w:rFonts w:ascii="IRNazanin" w:hAnsi="IRNazanin" w:eastAsia="IRNazanin" w:cs="IRNazanin"/>
          <w:lang w:bidi="fa-IR"/>
          <w:color w:val="111111"/>
          <w:sz w:val="28"/>
          <w:szCs w:val="28"/>
          <w:rtl/>
        </w:rPr>
        <w:t xml:space="preserve">مع أنّه إن ارید اعتبار الاستصحاب من باب الظنّ النوعیّ-یعنی لمجرّد </w:t>
      </w:r>
      <w:r>
        <w:rPr>
          <w:rStyle w:val="FootnoteReference"/>
        </w:rPr>
        <w:footnoteReference w:id="1768"/>
      </w:r>
      <w:r>
        <w:rPr>
          <w:rFonts w:ascii="IRNazanin" w:hAnsi="IRNazanin" w:eastAsia="IRNazanin" w:cs="IRNazanin"/>
          <w:lang w:bidi="fa-IR"/>
          <w:color w:val="111111"/>
          <w:sz w:val="28"/>
          <w:szCs w:val="28"/>
          <w:rtl/>
        </w:rPr>
        <w:t xml:space="preserve">کونه لو خلّی و طبعه یفید الظنّ بالبقاء و إن لم یفده فعلا لمانع- ففیه:أنّه لا دلیل علی اعتباره أصلا.</w:t>
      </w:r>
    </w:p>
    <w:p>
      <w:pPr>
        <w:pStyle w:val="BookText"/>
      </w:pPr>
      <w:r>
        <w:rPr>
          <w:rFonts w:ascii="IRNazanin" w:hAnsi="IRNazanin" w:eastAsia="IRNazanin" w:cs="IRNazanin"/>
          <w:lang w:bidi="fa-IR"/>
          <w:color w:val="111111"/>
          <w:sz w:val="28"/>
          <w:szCs w:val="28"/>
          <w:rtl/>
        </w:rPr>
        <w:t xml:space="preserve">و إن ارید اعتباره عند حصول الظنّ فعلا منه،فهو و إن استقام علی ما یظهر من بعض من قارب عصرنا </w:t>
      </w:r>
      <w:r>
        <w:rPr>
          <w:rStyle w:val="FootnoteReference"/>
        </w:rPr>
        <w:footnoteReference w:id="1769"/>
      </w:r>
      <w:r>
        <w:rPr>
          <w:rFonts w:ascii="IRNazanin" w:hAnsi="IRNazanin" w:eastAsia="IRNazanin" w:cs="IRNazanin"/>
          <w:lang w:bidi="fa-IR"/>
          <w:color w:val="111111"/>
          <w:sz w:val="28"/>
          <w:szCs w:val="28"/>
          <w:rtl/>
        </w:rPr>
        <w:t xml:space="preserve">:من أصالة حجّیة الظنّ، إلاّ أنّ القول باعتبار الاستصحاب بشرط حصول الظنّ الشخصیّ منه- حتّی أنّه فی الموارد الواحد یختلف الحکم باختلاف الأشخاص و الأزمان و غیرها-لم یقل به أحد فیما أعلم،عدا ما یظهر من شیخنا البهائی قدّس سرّه فی عبارته المتقدّمة </w:t>
      </w:r>
      <w:r>
        <w:rPr>
          <w:rStyle w:val="FootnoteReference"/>
        </w:rPr>
        <w:footnoteReference w:id="1770"/>
      </w:r>
      <w:r>
        <w:rPr>
          <w:rFonts w:ascii="IRNazanin" w:hAnsi="IRNazanin" w:eastAsia="IRNazanin" w:cs="IRNazanin"/>
          <w:lang w:bidi="fa-IR"/>
          <w:color w:val="111111"/>
          <w:sz w:val="28"/>
          <w:szCs w:val="28"/>
          <w:rtl/>
        </w:rPr>
        <w:t xml:space="preserve">،و ما ذکره قدّس سرّه مخالف للإجماع ظاهرا؛لأنّ بناء</w:t>
      </w:r>
    </w:p>
    <w:p>
      <w:pPr>
        <w:pStyle w:val="BookText"/>
      </w:pPr>
      <w:r>
        <w:rPr>
          <w:rFonts w:ascii="IRNazanin" w:hAnsi="IRNazanin" w:eastAsia="IRNazanin" w:cs="IRNazanin"/>
          <w:lang w:bidi="fa-IR"/>
          <w:color w:val="111111"/>
          <w:sz w:val="28"/>
          <w:szCs w:val="28"/>
          <w:rtl/>
        </w:rPr>
        <w:t xml:space="preserve">[شماره صفحه واقعی : 87]
</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bookmarkStart w:id="380" w:name="pg14411_142981"/>
    <w:bookmarkEnd w:id="380"/>
    <w:p>
      <w:pPr>
        <w:pStyle w:val="BookText"/>
      </w:pPr>
      <w:r>
        <w:rPr>
          <w:rFonts w:ascii="IRNazanin" w:hAnsi="IRNazanin" w:eastAsia="IRNazanin" w:cs="IRNazanin"/>
          <w:lang w:bidi="fa-IR"/>
          <w:color w:val="111111"/>
          <w:sz w:val="28"/>
          <w:szCs w:val="28"/>
          <w:rtl/>
        </w:rPr>
        <w:t xml:space="preserve">العلماء فی العمل بالاستصحاب فی الأحکام الجزئیّة و الکلّیة و الموضوعات -خصوصا العدمیّات-علی عدم مراعاة الظنّ الفعلیّ.</w:t>
      </w:r>
    </w:p>
    <w:p>
      <w:pPr>
        <w:pStyle w:val="BookText"/>
      </w:pPr>
      <w:r>
        <w:rPr>
          <w:rFonts w:ascii="Amiri" w:hAnsi="Amiri" w:eastAsia="Amiri" w:cs="Amiri"/>
          <w:lang w:bidi="ar-SA"/>
          <w:color w:val="111111"/>
          <w:sz w:val="28"/>
          <w:szCs w:val="28"/>
          <w:rtl/>
        </w:rPr>
        <w:t xml:space="preserve">ثمّ إنّ ظاهر کلام العضدی </w:t>
      </w:r>
      <w:r>
        <w:rPr>
          <w:rStyle w:val="FootnoteReference"/>
        </w:rPr>
        <w:footnoteReference w:id="1771"/>
      </w:r>
      <w:r>
        <w:rPr>
          <w:rFonts w:ascii="IRNazanin" w:hAnsi="IRNazanin" w:eastAsia="IRNazanin" w:cs="IRNazanin"/>
          <w:lang w:bidi="fa-IR"/>
          <w:color w:val="111111"/>
          <w:sz w:val="28"/>
          <w:szCs w:val="28"/>
          <w:rtl/>
        </w:rPr>
        <w:t xml:space="preserve">-حیث أخذ فی إفادته الظنّ بالبقاء عدم الظنّ بالارتفاع-أنّ الاستصحاب أمارة حیث لا أمارة،و لیس فی الأمارات ما یکون کذلک.نعم،لا یبعد أن یکون الغلبة کذلک.</w:t>
      </w:r>
    </w:p>
    <w:p>
      <w:pPr>
        <w:pStyle w:val="BookText"/>
      </w:pPr>
      <w:r>
        <w:rPr>
          <w:rFonts w:ascii="IRNazanin" w:hAnsi="IRNazanin" w:eastAsia="IRNazanin" w:cs="IRNazanin"/>
          <w:lang w:bidi="fa-IR"/>
          <w:color w:val="111111"/>
          <w:sz w:val="28"/>
          <w:szCs w:val="28"/>
          <w:rtl/>
        </w:rPr>
        <w:t xml:space="preserve">و کیف کان،فقد عرفت </w:t>
      </w:r>
      <w:r>
        <w:rPr>
          <w:rStyle w:val="FootnoteReference"/>
        </w:rPr>
        <w:footnoteReference w:id="1772"/>
      </w:r>
      <w:r>
        <w:rPr>
          <w:rFonts w:ascii="IRNazanin" w:hAnsi="IRNazanin" w:eastAsia="IRNazanin" w:cs="IRNazanin"/>
          <w:lang w:bidi="fa-IR"/>
          <w:color w:val="111111"/>
          <w:sz w:val="28"/>
          <w:szCs w:val="28"/>
          <w:rtl/>
        </w:rPr>
        <w:t xml:space="preserve">منع إفادة مجرّد الیقین بوجود الشیء للظنّ ببقائه.</w:t>
      </w:r>
    </w:p>
    <w:p>
      <w:pPr>
        <w:pStyle w:val="BookText"/>
      </w:pPr>
      <w:r>
        <w:rPr>
          <w:rFonts w:ascii="IRNazanin" w:hAnsi="IRNazanin" w:eastAsia="IRNazanin" w:cs="IRNazanin"/>
          <w:lang w:bidi="fa-IR"/>
          <w:color w:val="111111"/>
          <w:sz w:val="28"/>
          <w:szCs w:val="28"/>
          <w:rtl/>
        </w:rPr>
        <w:t xml:space="preserve">و قد استظهر بعض </w:t>
      </w:r>
      <w:r>
        <w:rPr>
          <w:rStyle w:val="FootnoteReference"/>
        </w:rPr>
        <w:footnoteReference w:id="1773"/>
      </w:r>
      <w:r>
        <w:rPr>
          <w:rFonts w:ascii="IRNazanin" w:hAnsi="IRNazanin" w:eastAsia="IRNazanin" w:cs="IRNazanin"/>
          <w:lang w:bidi="fa-IR"/>
          <w:color w:val="111111"/>
          <w:sz w:val="28"/>
          <w:szCs w:val="28"/>
          <w:rtl/>
        </w:rPr>
        <w:t xml:space="preserve">تبعا لبعض-بعد الاعتراف بذلک-أنّ المنشأ فی حصول الظنّ غلبة البقاء فی الامور القارّة.</w:t>
      </w:r>
    </w:p>
    <w:p>
      <w:pPr>
        <w:pStyle w:val="Heading6"/>
      </w:pPr>
      <w:bookmarkStart w:id="1780" w:name="_Toc815"/>
      <w:r>
        <w:t>[کلام السید الصدر فی المقام:]</w:t>
      </w:r>
      <w:bookmarkEnd w:id="1780"/>
    </w:p>
    <w:p>
      <w:pPr>
        <w:pStyle w:val="BookText"/>
      </w:pPr>
      <w:r>
        <w:rPr>
          <w:rFonts w:ascii="IRNazanin" w:hAnsi="IRNazanin" w:eastAsia="IRNazanin" w:cs="IRNazanin"/>
          <w:lang w:bidi="fa-IR"/>
          <w:color w:val="111111"/>
          <w:sz w:val="28"/>
          <w:szCs w:val="28"/>
          <w:rtl/>
        </w:rPr>
        <w:t xml:space="preserve">قال السیّد الشارح للوافیة-بعد دعوی رجحان البقاء-:</w:t>
      </w:r>
    </w:p>
    <w:p>
      <w:pPr>
        <w:pStyle w:val="BookText"/>
      </w:pPr>
      <w:r>
        <w:rPr>
          <w:rFonts w:ascii="IRNazanin" w:hAnsi="IRNazanin" w:eastAsia="IRNazanin" w:cs="IRNazanin"/>
          <w:lang w:bidi="fa-IR"/>
          <w:color w:val="111111"/>
          <w:sz w:val="28"/>
          <w:szCs w:val="28"/>
          <w:rtl/>
        </w:rPr>
        <w:t xml:space="preserve">إنّ الرجحان لا بدّ له من موجب؛لأنّ وجود کلّ معلول یدلّ علی وجود علّة له إجمالا،و لیست هی الیقین المتقدّم بنفسه؛لأنّ ما ثبت جاز أن یدوم و جاز أن لا یدوم،و یشبه أن یکون </w:t>
      </w:r>
      <w:r>
        <w:rPr>
          <w:rStyle w:val="FootnoteReference"/>
        </w:rPr>
        <w:footnoteReference w:id="1774"/>
      </w:r>
      <w:r>
        <w:rPr>
          <w:rFonts w:ascii="IRNazanin" w:hAnsi="IRNazanin" w:eastAsia="IRNazanin" w:cs="IRNazanin"/>
          <w:lang w:bidi="fa-IR"/>
          <w:color w:val="111111"/>
          <w:sz w:val="28"/>
          <w:szCs w:val="28"/>
          <w:rtl/>
        </w:rPr>
        <w:t xml:space="preserve">هی کون الأغلب فی أفراد الممکن القارّ أن یستمرّ وجوده بعد التحقّق،فیکون رجحان وجود هذا الممکن الخاصّ للإلحاق بالأعمّ الأغلب.هذا إذا لم یکن رجحان الدوام مؤیّدا بعادة أو أمارة،و إلاّ فیقوی بهما.و قس</w:t>
      </w:r>
    </w:p>
    <w:p>
      <w:pPr>
        <w:pStyle w:val="BookText"/>
      </w:pPr>
      <w:r>
        <w:rPr>
          <w:rFonts w:ascii="IRNazanin" w:hAnsi="IRNazanin" w:eastAsia="IRNazanin" w:cs="IRNazanin"/>
          <w:lang w:bidi="fa-IR"/>
          <w:color w:val="111111"/>
          <w:sz w:val="28"/>
          <w:szCs w:val="28"/>
          <w:rtl/>
        </w:rPr>
        <w:t xml:space="preserve">[شماره صفحه واقعی : 88]
</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bookmarkStart w:id="381" w:name="pg14411_142982"/>
    <w:bookmarkEnd w:id="381"/>
    <w:p>
      <w:pPr>
        <w:pStyle w:val="BookText"/>
      </w:pPr>
      <w:r>
        <w:rPr>
          <w:rFonts w:ascii="IRNazanin" w:hAnsi="IRNazanin" w:eastAsia="IRNazanin" w:cs="IRNazanin"/>
          <w:lang w:bidi="fa-IR"/>
          <w:color w:val="111111"/>
          <w:sz w:val="28"/>
          <w:szCs w:val="28"/>
          <w:rtl/>
        </w:rPr>
        <w:t xml:space="preserve">علی الوجود حال العدم إذا کان یقینیّا </w:t>
      </w:r>
      <w:r>
        <w:rPr>
          <w:rStyle w:val="FootnoteReference"/>
        </w:rPr>
        <w:footnoteReference w:id="1775"/>
      </w:r>
      <w:r>
        <w:rPr>
          <w:rFonts w:ascii="IRNazanin" w:hAnsi="IRNazanin" w:eastAsia="IRNazanin" w:cs="IRNazanin"/>
          <w:lang w:bidi="fa-IR"/>
          <w:color w:val="111111"/>
          <w:sz w:val="28"/>
          <w:szCs w:val="28"/>
          <w:rtl/>
        </w:rPr>
        <w:t xml:space="preserve">.انتهی کلامه،رفع مقامه.</w:t>
      </w:r>
    </w:p>
    <w:p>
      <w:pPr>
        <w:pStyle w:val="Heading6"/>
      </w:pPr>
      <w:bookmarkStart w:id="1781" w:name="_Toc816"/>
      <w:r>
        <w:t>[المناقشة فیما أفاده السید الصدر:]</w:t>
      </w:r>
      <w:bookmarkEnd w:id="1781"/>
    </w:p>
    <w:p>
      <w:pPr>
        <w:pStyle w:val="BookText"/>
      </w:pPr>
      <w:r>
        <w:rPr>
          <w:rFonts w:ascii="IRNazanin" w:hAnsi="IRNazanin" w:eastAsia="IRNazanin" w:cs="IRNazanin"/>
          <w:lang w:bidi="fa-IR"/>
          <w:color w:val="111111"/>
          <w:sz w:val="28"/>
          <w:szCs w:val="28"/>
          <w:rtl/>
        </w:rPr>
        <w:t xml:space="preserve">و فیه:أنّ المراد بغلبة البقاء لیس غلبة البقاء أبد الآباد،بل المراد البقاء علی مقدار خاصّ من الزمان،و لا ریب أنّ ذلک المقدار الخاصّ لیس أمرا مضبوطا فی الممکنات و لا فی المستصحبات،و القدر المشترک بین الکلّ أو الأغلب منه معلوم التحقّق فی موارد الاستصحاب،و إنّما الشکّ فی الزائد.</w:t>
      </w:r>
    </w:p>
    <w:p>
      <w:pPr>
        <w:pStyle w:val="BookText"/>
      </w:pPr>
      <w:r>
        <w:rPr>
          <w:rFonts w:ascii="IRNazanin" w:hAnsi="IRNazanin" w:eastAsia="IRNazanin" w:cs="IRNazanin"/>
          <w:lang w:bidi="fa-IR"/>
          <w:color w:val="111111"/>
          <w:sz w:val="28"/>
          <w:szCs w:val="28"/>
          <w:rtl/>
        </w:rPr>
        <w:t xml:space="preserve">و إن ارید بقاء الأغلب إلی زمان الشکّ </w:t>
      </w:r>
      <w:r>
        <w:rPr>
          <w:rStyle w:val="FootnoteReference"/>
        </w:rPr>
        <w:footnoteReference w:id="17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ارید أغلب الموجودات السابقة بقول مطلق،ففیه:</w:t>
      </w:r>
    </w:p>
    <w:p>
      <w:pPr>
        <w:pStyle w:val="BookText"/>
      </w:pPr>
      <w:r>
        <w:rPr>
          <w:rFonts w:ascii="IRNazanin" w:hAnsi="IRNazanin" w:eastAsia="IRNazanin" w:cs="IRNazanin"/>
          <w:lang w:bidi="fa-IR"/>
          <w:color w:val="111111"/>
          <w:sz w:val="28"/>
          <w:szCs w:val="28"/>
          <w:rtl/>
        </w:rPr>
        <w:t xml:space="preserve">أوّلا:أنّا لا نعلم بقاء الأغلب فی زمان الشکّ.</w:t>
      </w:r>
    </w:p>
    <w:p>
      <w:pPr>
        <w:pStyle w:val="BookText"/>
      </w:pPr>
      <w:r>
        <w:rPr>
          <w:rFonts w:ascii="IRNazanin" w:hAnsi="IRNazanin" w:eastAsia="IRNazanin" w:cs="IRNazanin"/>
          <w:lang w:bidi="fa-IR"/>
          <w:color w:val="111111"/>
          <w:sz w:val="28"/>
          <w:szCs w:val="28"/>
          <w:rtl/>
        </w:rPr>
        <w:t xml:space="preserve">و ثانیا:لا ینفع بقاء الأغلب فی إلحاق المشکوک؛للعلم بعدم الرابط بینها </w:t>
      </w:r>
      <w:r>
        <w:rPr>
          <w:rStyle w:val="FootnoteReference"/>
        </w:rPr>
        <w:footnoteReference w:id="1777"/>
      </w:r>
      <w:r>
        <w:rPr>
          <w:rFonts w:ascii="IRNazanin" w:hAnsi="IRNazanin" w:eastAsia="IRNazanin" w:cs="IRNazanin"/>
          <w:lang w:bidi="fa-IR"/>
          <w:color w:val="111111"/>
          <w:sz w:val="28"/>
          <w:szCs w:val="28"/>
          <w:rtl/>
        </w:rPr>
        <w:t xml:space="preserve">،و عدم استناد البقاء فیها إلی جامع-کما لا یخفی-بل البقاء فی کلّ واحد منها مستند إلی ما هو مفقود فی غیره.نعم،بعضها مشترک </w:t>
      </w:r>
      <w:r>
        <w:rPr>
          <w:rStyle w:val="FootnoteReference"/>
        </w:rPr>
        <w:footnoteReference w:id="1778"/>
      </w:r>
      <w:r>
        <w:rPr>
          <w:rFonts w:ascii="IRNazanin" w:hAnsi="IRNazanin" w:eastAsia="IRNazanin" w:cs="IRNazanin"/>
          <w:lang w:bidi="fa-IR"/>
          <w:color w:val="111111"/>
          <w:sz w:val="28"/>
          <w:szCs w:val="28"/>
          <w:rtl/>
        </w:rPr>
        <w:t xml:space="preserve">فی مناط البقاء.</w:t>
      </w:r>
    </w:p>
    <w:p>
      <w:pPr>
        <w:pStyle w:val="BookText"/>
      </w:pPr>
      <w:r>
        <w:rPr>
          <w:rFonts w:ascii="IRNazanin" w:hAnsi="IRNazanin" w:eastAsia="IRNazanin" w:cs="IRNazanin"/>
          <w:lang w:bidi="fa-IR"/>
          <w:color w:val="111111"/>
          <w:sz w:val="28"/>
          <w:szCs w:val="28"/>
          <w:rtl/>
        </w:rPr>
        <w:t xml:space="preserve">و بالجملة:فمن الواضح أنّ بقاء الموجودات المشارکة مع نجاسة الماء المتغیّر فی الوجود-من الجواهر و الأعراض-فی زمان الشکّ فی النجاسة؛لذهاب التغیّر المشکوک مدخلیّته فی بقاء النجاسة،لا یوجب الظنّ ببقائها و عدم مدخلیّة التغیّر فیها.و هکذا الکلام فی کلّ ما شکّ فی</w:t>
      </w:r>
    </w:p>
    <w:p>
      <w:pPr>
        <w:pStyle w:val="BookText"/>
      </w:pPr>
      <w:r>
        <w:rPr>
          <w:rFonts w:ascii="IRNazanin" w:hAnsi="IRNazanin" w:eastAsia="IRNazanin" w:cs="IRNazanin"/>
          <w:lang w:bidi="fa-IR"/>
          <w:color w:val="111111"/>
          <w:sz w:val="28"/>
          <w:szCs w:val="28"/>
          <w:rtl/>
        </w:rPr>
        <w:t xml:space="preserve">[شماره صفحه واقعی : 89]
</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bookmarkStart w:id="382" w:name="pg14411_142983"/>
    <w:bookmarkEnd w:id="382"/>
    <w:p>
      <w:pPr>
        <w:pStyle w:val="BookText"/>
      </w:pPr>
      <w:r>
        <w:rPr>
          <w:rFonts w:ascii="IRNazanin" w:hAnsi="IRNazanin" w:eastAsia="IRNazanin" w:cs="IRNazanin"/>
          <w:lang w:bidi="fa-IR"/>
          <w:color w:val="111111"/>
          <w:sz w:val="28"/>
          <w:szCs w:val="28"/>
          <w:rtl/>
        </w:rPr>
        <w:t xml:space="preserve">بقائه لأجل الشکّ فی استعداده للبقاء.</w:t>
      </w:r>
    </w:p>
    <w:p>
      <w:pPr>
        <w:pStyle w:val="Heading6"/>
      </w:pPr>
      <w:bookmarkStart w:id="1782" w:name="_Toc817"/>
      <w:r>
        <w:t>[کلام صاحب القوانین فی المقام:]</w:t>
      </w:r>
      <w:bookmarkEnd w:id="1782"/>
    </w:p>
    <w:p>
      <w:pPr>
        <w:pStyle w:val="BookText"/>
      </w:pPr>
      <w:r>
        <w:rPr>
          <w:rFonts w:ascii="IRNazanin" w:hAnsi="IRNazanin" w:eastAsia="IRNazanin" w:cs="IRNazanin"/>
          <w:lang w:bidi="fa-IR"/>
          <w:color w:val="111111"/>
          <w:sz w:val="28"/>
          <w:szCs w:val="28"/>
          <w:rtl/>
        </w:rPr>
        <w:t xml:space="preserve">و إن ارید به </w:t>
      </w:r>
      <w:r>
        <w:rPr>
          <w:rStyle w:val="FootnoteReference"/>
        </w:rPr>
        <w:footnoteReference w:id="1779"/>
      </w:r>
      <w:r>
        <w:rPr>
          <w:rFonts w:ascii="Amiri" w:hAnsi="Amiri" w:eastAsia="Amiri" w:cs="Amiri"/>
          <w:lang w:bidi="ar-SA"/>
          <w:color w:val="111111"/>
          <w:sz w:val="28"/>
          <w:szCs w:val="28"/>
          <w:rtl/>
        </w:rPr>
        <w:t xml:space="preserve">ما وجّه به کلام السیّد المتقدّم </w:t>
      </w:r>
      <w:r>
        <w:rPr>
          <w:rStyle w:val="FootnoteReference"/>
        </w:rPr>
        <w:footnoteReference w:id="1780"/>
      </w:r>
      <w:r>
        <w:rPr>
          <w:rFonts w:ascii="IRNazanin" w:hAnsi="IRNazanin" w:eastAsia="IRNazanin" w:cs="IRNazanin"/>
          <w:lang w:bidi="fa-IR"/>
          <w:color w:val="111111"/>
          <w:sz w:val="28"/>
          <w:szCs w:val="28"/>
          <w:rtl/>
        </w:rPr>
        <w:t xml:space="preserve">صاحب القوانین -بعد ما تبعه فی الاعتراف بأنّ هذا الظنّ لیس منشؤه محض الحصول فی الآن السابق؛لأنّ ما ثبت جاز أن یدوم و جاز أن لا یدوم-قال:</w:t>
      </w:r>
    </w:p>
    <w:p>
      <w:pPr>
        <w:pStyle w:val="BookText"/>
      </w:pPr>
      <w:r>
        <w:rPr>
          <w:rFonts w:ascii="IRNazanin" w:hAnsi="IRNazanin" w:eastAsia="IRNazanin" w:cs="IRNazanin"/>
          <w:lang w:bidi="fa-IR"/>
          <w:color w:val="111111"/>
          <w:sz w:val="28"/>
          <w:szCs w:val="28"/>
          <w:rtl/>
        </w:rPr>
        <w:t xml:space="preserve">بل لأنّا لمّا فتّشنا الامور الخارجیّة من الأعدام و الموجودات وجدناها مستمرّة بوجودها الأوّل علی حسب استعداداتها و تفاوتها فی مراتبها،فنحکم فیما لم نعلم حاله بما وجدناه فی الغالب؛إلحاقا له بالأعمّ الأغلب.</w:t>
      </w:r>
    </w:p>
    <w:p>
      <w:pPr>
        <w:pStyle w:val="BookText"/>
      </w:pPr>
      <w:r>
        <w:rPr>
          <w:rFonts w:ascii="IRNazanin" w:hAnsi="IRNazanin" w:eastAsia="IRNazanin" w:cs="IRNazanin"/>
          <w:lang w:bidi="fa-IR"/>
          <w:color w:val="111111"/>
          <w:sz w:val="28"/>
          <w:szCs w:val="28"/>
          <w:rtl/>
        </w:rPr>
        <w:t xml:space="preserve">ثمّ إنّ کلّ نوع من أنواع الممکنات یلاحظ زمان الحکم ببقائه بحسب ما غلب فی أفراد ذلک النوع؛فالاستعداد الحاصل للجدران القویمة یقتضی مقدارا من البقاء بحسب العادة،و الاستعداد الحاصل للإنسان یقتضی مقدارا منه،و للفرس مقدارا آخر،و للحشرات مقدارا آخر،و لدود القزّ و البقّ و الذباب مقدارا آخر،و کذلک الرطوبة فی الصیف و الشتاء.</w:t>
      </w:r>
    </w:p>
    <w:p>
      <w:pPr>
        <w:pStyle w:val="BookText"/>
      </w:pPr>
      <w:r>
        <w:rPr>
          <w:rFonts w:ascii="IRNazanin" w:hAnsi="IRNazanin" w:eastAsia="IRNazanin" w:cs="IRNazanin"/>
          <w:lang w:bidi="fa-IR"/>
          <w:color w:val="111111"/>
          <w:sz w:val="28"/>
          <w:szCs w:val="28"/>
          <w:rtl/>
        </w:rPr>
        <w:t xml:space="preserve">فهنا مرحلتان:</w:t>
      </w:r>
    </w:p>
    <w:p>
      <w:pPr>
        <w:pStyle w:val="BookText"/>
      </w:pPr>
      <w:r>
        <w:rPr>
          <w:rFonts w:ascii="IRNazanin" w:hAnsi="IRNazanin" w:eastAsia="IRNazanin" w:cs="IRNazanin"/>
          <w:lang w:bidi="fa-IR"/>
          <w:color w:val="111111"/>
          <w:sz w:val="28"/>
          <w:szCs w:val="28"/>
          <w:rtl/>
        </w:rPr>
        <w:t xml:space="preserve">الاولی:إثبات الاستمرار فی الجملة.</w:t>
      </w:r>
    </w:p>
    <w:p>
      <w:pPr>
        <w:pStyle w:val="BookText"/>
      </w:pPr>
      <w:r>
        <w:rPr>
          <w:rFonts w:ascii="IRNazanin" w:hAnsi="IRNazanin" w:eastAsia="IRNazanin" w:cs="IRNazanin"/>
          <w:lang w:bidi="fa-IR"/>
          <w:color w:val="111111"/>
          <w:sz w:val="28"/>
          <w:szCs w:val="28"/>
          <w:rtl/>
        </w:rPr>
        <w:t xml:space="preserve">و الثانیة:إثبات مقدار الاستمرار.</w:t>
      </w:r>
    </w:p>
    <w:p>
      <w:pPr>
        <w:pStyle w:val="BookText"/>
      </w:pPr>
      <w:r>
        <w:rPr>
          <w:rFonts w:ascii="IRNazanin" w:hAnsi="IRNazanin" w:eastAsia="IRNazanin" w:cs="IRNazanin"/>
          <w:lang w:bidi="fa-IR"/>
          <w:color w:val="111111"/>
          <w:sz w:val="28"/>
          <w:szCs w:val="28"/>
          <w:rtl/>
        </w:rPr>
        <w:t xml:space="preserve">ففیما جهل حاله من الممکنات القارّة،یثبت ظنّ الاستمرار فی الجملة بملاحظة حال أغلب الممکنات مع قطع النظر عن تفاوت أنواعها،</w:t>
      </w:r>
    </w:p>
    <w:p>
      <w:pPr>
        <w:pStyle w:val="BookText"/>
      </w:pPr>
      <w:r>
        <w:rPr>
          <w:rFonts w:ascii="IRNazanin" w:hAnsi="IRNazanin" w:eastAsia="IRNazanin" w:cs="IRNazanin"/>
          <w:lang w:bidi="fa-IR"/>
          <w:color w:val="111111"/>
          <w:sz w:val="28"/>
          <w:szCs w:val="28"/>
          <w:rtl/>
        </w:rPr>
        <w:t xml:space="preserve">[شماره صفحه واقعی : 90]
</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ظنّ مقدار خاصّ من الاستمرار بملاحظة حال النوع الذی هو من جملتها.</w:t>
      </w:r>
    </w:p>
    <w:p>
      <w:pPr>
        <w:pStyle w:val="BookText"/>
      </w:pPr>
      <w:r>
        <w:rPr>
          <w:rFonts w:ascii="IRNazanin" w:hAnsi="IRNazanin" w:eastAsia="IRNazanin" w:cs="IRNazanin"/>
          <w:lang w:bidi="fa-IR"/>
          <w:color w:val="111111"/>
          <w:sz w:val="28"/>
          <w:szCs w:val="28"/>
          <w:rtl/>
        </w:rPr>
        <w:t xml:space="preserve">فالحکم الشرعیّ-مثلا-نوع من الممکنات قد یلاحظ من جهة ملاحظة مطلق الممکن،و قد یلاحظ من جهة ملاحظة مطلق الأحکام الصادرة من الموالی إلی العبید،و قد یلاحظ من جهة ملاحظة سائر الأحکام الشرعیّة.فإذا أردنا التکلّم فی إثبات الحکم الشرعیّ فنأخذ الظنّ الذی ادّعیناه من ملاحظة أغلب الأحکام الشرعیّة؛لأنّه الأنسب به و الأقرب إلیه،و إن أمکن ذلک بملاحظة أحکام سائر الموالی و عزائم سائر العباد.</w:t>
      </w:r>
    </w:p>
    <w:p>
      <w:pPr>
        <w:pStyle w:val="BookText"/>
      </w:pPr>
      <w:r>
        <w:rPr>
          <w:rFonts w:ascii="IRNazanin" w:hAnsi="IRNazanin" w:eastAsia="IRNazanin" w:cs="IRNazanin"/>
          <w:lang w:bidi="fa-IR"/>
          <w:color w:val="111111"/>
          <w:sz w:val="28"/>
          <w:szCs w:val="28"/>
          <w:rtl/>
        </w:rPr>
        <w:t xml:space="preserve">ثمّ إنّ الظنّ الحاصل من جهة الغلبة فی الأحکام الشرعیّة، محصّله:أنّا نری أغلب الأحکام الشرعیّة مستمرّة بسبب دلیله الأوّل، بمعنی أنّها لیست أحکاما آنیّة مختصّة بآن الصدور،بل یفهم من حاله من جهة أمر خارجیّ عن الدلیل أنّه یرید استمرار ذلک الحکم الأوّل من دون دلالة الحکم الأوّل علی الاستمرار،فإذا رأینا منه فی مواضع عدیدة أنّه اکتفی-حین إبداء الحکم-بالأمر المطلق القابل للاستمرار و عدمه،ثمّ علمنا أنّ مراده من الأمر الأوّل الاستمرار،نحکم فیما لم یظهر مراده،بالاستمرار؛إلحاقا بالأغلب،فقد حصل الظنّ بالدلیل -و هو قول الشارع-بالاستمرار.و کذلک الکلام فی موضوعات الأحکام من الامور الخارجیّة؛فإنّ غلبة البقاء یورث الظنّ القویّ ببقاء ما هو مجهول الحال </w:t>
      </w:r>
      <w:r>
        <w:rPr>
          <w:rStyle w:val="FootnoteReference"/>
        </w:rPr>
        <w:footnoteReference w:id="1781"/>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[شماره صفحه واقعی : 91]
</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bookmarkStart w:id="383" w:name="pg14411_142985"/>
    <w:bookmarkEnd w:id="383"/>
    <w:p>
      <w:pPr>
        <w:pStyle w:val="BookText"/>
      </w:pPr>
      <w:r>
        <w:rPr>
          <w:rFonts w:ascii="IRNazanin" w:hAnsi="IRNazanin" w:eastAsia="IRNazanin" w:cs="IRNazanin"/>
          <w:lang w:bidi="fa-IR"/>
          <w:color w:val="111111"/>
          <w:sz w:val="28"/>
          <w:szCs w:val="28"/>
          <w:rtl/>
        </w:rPr>
        <w:t xml:space="preserve">فیظهر وجه ضعف هذا التوجیه أیضا </w:t>
      </w:r>
      <w:r>
        <w:rPr>
          <w:rStyle w:val="FootnoteReference"/>
        </w:rPr>
        <w:footnoteReference w:id="1782"/>
      </w:r>
      <w:r>
        <w:rPr>
          <w:rFonts w:ascii="IRNazanin" w:hAnsi="IRNazanin" w:eastAsia="IRNazanin" w:cs="IRNazanin"/>
          <w:lang w:bidi="fa-IR"/>
          <w:color w:val="111111"/>
          <w:sz w:val="28"/>
          <w:szCs w:val="28"/>
          <w:rtl/>
        </w:rPr>
        <w:t xml:space="preserve">ممّا أشرنا إلیه </w:t>
      </w:r>
      <w:r>
        <w:rPr>
          <w:rStyle w:val="FootnoteReference"/>
        </w:rPr>
        <w:footnoteReference w:id="1783"/>
      </w:r>
      <w:r>
        <w:rPr>
          <w:rFonts w:ascii="Times New Roman" w:hAnsi="Times New Roman" w:eastAsia="Times New Roman" w:cs="Times New Roman"/>
          <w:lang w:val="en-US" w:bidi="en-US"/>
          <w:color w:val="111111"/>
          <w:sz w:val="28"/>
          <w:szCs w:val="28"/>
          <w:rtl/>
        </w:rPr>
        <w:t xml:space="preserve">.</w:t>
      </w:r>
    </w:p>
    <w:p>
      <w:pPr>
        <w:pStyle w:val="Heading6"/>
      </w:pPr>
      <w:bookmarkStart w:id="1783" w:name="_Toc818"/>
      <w:r>
        <w:t>[المناقشة فیما أفاده صاحب القوانین:]</w:t>
      </w:r>
      <w:bookmarkEnd w:id="1783"/>
    </w:p>
    <w:p>
      <w:pPr>
        <w:pStyle w:val="BookText"/>
      </w:pPr>
      <w:r>
        <w:rPr>
          <w:rFonts w:ascii="IRNazanin" w:hAnsi="IRNazanin" w:eastAsia="IRNazanin" w:cs="IRNazanin"/>
          <w:lang w:bidi="fa-IR"/>
          <w:color w:val="111111"/>
          <w:sz w:val="28"/>
          <w:szCs w:val="28"/>
          <w:rtl/>
        </w:rPr>
        <w:t xml:space="preserve">توضیحه:أنّ الشکّ فی الحکم الشرعی،قد یکون من جهة الشکّ فی مقدار استعداده،و قد یکون من جهة الشکّ فی تحقّق الرافع.</w:t>
      </w:r>
    </w:p>
    <w:p>
      <w:pPr>
        <w:pStyle w:val="BookText"/>
      </w:pPr>
      <w:r>
        <w:rPr>
          <w:rFonts w:ascii="IRNazanin" w:hAnsi="IRNazanin" w:eastAsia="IRNazanin" w:cs="IRNazanin"/>
          <w:lang w:bidi="fa-IR"/>
          <w:color w:val="111111"/>
          <w:sz w:val="28"/>
          <w:szCs w:val="28"/>
          <w:rtl/>
        </w:rPr>
        <w:t xml:space="preserve">أمّا الأوّل،فلیس فیه نوع و لا صنف مضبوط من حیث مقدار الاستعداد،مثلا:إذا شککنا فی مدخلیّة التغیّر فی النجاسة حدوثا و ارتفاعا و عدمها،فهل ینفع فی حصول الظنّ بعدم المدخلیّة تتبّع الأحکام الشرعیّة الأخر،مثل:أحکام الطهارات و النجاسات،فضلا عن أحکام المعاملات و السیاسات،فضلا عن أحکام الموالی إلی العبید؟</w:t>
      </w:r>
    </w:p>
    <w:p>
      <w:pPr>
        <w:pStyle w:val="BookText"/>
      </w:pPr>
      <w:r>
        <w:rPr>
          <w:rFonts w:ascii="IRNazanin" w:hAnsi="IRNazanin" w:eastAsia="IRNazanin" w:cs="IRNazanin"/>
          <w:lang w:bidi="fa-IR"/>
          <w:color w:val="111111"/>
          <w:sz w:val="28"/>
          <w:szCs w:val="28"/>
          <w:rtl/>
        </w:rPr>
        <w:t xml:space="preserve">و بالجملة:فکلّ حکم شرعیّ أو غیره تابع لخصوص ما فی نفس الحاکم من الأغراض و المصالح،و متعلّق بما هو موضوع له و له دخل فی تحقّقه،و لا دخل لغیره من الحکم المغایر له،و لو اتّفق موافقته له کان بمجرّد الاتّفاق من دون ربط.</w:t>
      </w:r>
    </w:p>
    <w:p>
      <w:pPr>
        <w:pStyle w:val="BookText"/>
      </w:pPr>
      <w:r>
        <w:rPr>
          <w:rFonts w:ascii="IRNazanin" w:hAnsi="IRNazanin" w:eastAsia="IRNazanin" w:cs="IRNazanin"/>
          <w:lang w:bidi="fa-IR"/>
          <w:color w:val="111111"/>
          <w:sz w:val="28"/>
          <w:szCs w:val="28"/>
          <w:rtl/>
        </w:rPr>
        <w:t xml:space="preserve">و من هنا لو شکّ واحد من العبید فی مدخلیّة شیء فی حکم مولاه حدوثا و ارتفاعا،فتتبّع-لأجل الظنّ بعدم المدخلیّة و بقاء الحکم بعد ارتفاع ذلک الشیء-أحکام سائر الموالی،بل أحکام هذا المولی المغایرة للحکم المشکوک موضوعا و محمولا،عدّ من أسفه السفهاء.</w:t>
      </w:r>
    </w:p>
    <w:p>
      <w:pPr>
        <w:pStyle w:val="BookText"/>
      </w:pPr>
      <w:r>
        <w:rPr>
          <w:rFonts w:ascii="IRNazanin" w:hAnsi="IRNazanin" w:eastAsia="IRNazanin" w:cs="IRNazanin"/>
          <w:lang w:bidi="fa-IR"/>
          <w:color w:val="111111"/>
          <w:sz w:val="28"/>
          <w:szCs w:val="28"/>
          <w:rtl/>
        </w:rPr>
        <w:t xml:space="preserve">و أمّا الثانی-و هو الشکّ فی الرافع-فإن کان الشکّ فی رافعیّة الشیء للحکم،فهو أیضا لا دخل له بسائر الأحکام؛أ لا تری أنّ الشکّ فی رافعیّة المذی للطهارة لا ینفع فیه تتبّع موارد الشکّ فی</w:t>
      </w:r>
    </w:p>
    <w:p>
      <w:pPr>
        <w:pStyle w:val="BookText"/>
      </w:pPr>
      <w:r>
        <w:rPr>
          <w:rFonts w:ascii="IRNazanin" w:hAnsi="IRNazanin" w:eastAsia="IRNazanin" w:cs="IRNazanin"/>
          <w:lang w:bidi="fa-IR"/>
          <w:color w:val="111111"/>
          <w:sz w:val="28"/>
          <w:szCs w:val="28"/>
          <w:rtl/>
        </w:rPr>
        <w:t xml:space="preserve">[شماره صفحه واقعی : 92]
</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الرافعیّة،مثل:ارتفاع النجاسة بالغسل مرّة،أو نجاسة الماء بالإتمام کرّا، أو ارتفاع طهارة الثوب و البدن بعصیر العنب أو الزبیب أو التمر.</w:t>
      </w:r>
    </w:p>
    <w:p>
      <w:pPr>
        <w:pStyle w:val="BookText"/>
      </w:pPr>
      <w:r>
        <w:rPr>
          <w:rFonts w:ascii="IRNazanin" w:hAnsi="IRNazanin" w:eastAsia="IRNazanin" w:cs="IRNazanin"/>
          <w:lang w:bidi="fa-IR"/>
          <w:color w:val="111111"/>
          <w:sz w:val="28"/>
          <w:szCs w:val="28"/>
          <w:rtl/>
        </w:rPr>
        <w:t xml:space="preserve">و أمّا الشکّ فی وجود الرافع و عدمه،فالکلام فیه هو الکلام فی الامور الخارجیّة.</w:t>
      </w:r>
    </w:p>
    <w:p>
      <w:pPr>
        <w:pStyle w:val="BookText"/>
      </w:pPr>
      <w:r>
        <w:rPr>
          <w:rFonts w:ascii="IRNazanin" w:hAnsi="IRNazanin" w:eastAsia="IRNazanin" w:cs="IRNazanin"/>
          <w:lang w:bidi="fa-IR"/>
          <w:color w:val="111111"/>
          <w:sz w:val="28"/>
          <w:szCs w:val="28"/>
          <w:rtl/>
        </w:rPr>
        <w:t xml:space="preserve">و محصّله:أنّه إن ارید أنّه یحصل الظنّ بالبقاء إذا فرض له صنف أو نوع یکون الغالب فی أفراده البقاء،فلا ننکره؛و لذا یظنّ عدم النسخ عند الشکّ فیه.لکنّه یحتاج إلی ملاحظة الصنف أو النوع </w:t>
      </w:r>
      <w:r>
        <w:rPr>
          <w:rStyle w:val="FootnoteReference"/>
        </w:rPr>
        <w:footnoteReference w:id="1784"/>
      </w:r>
      <w:r>
        <w:rPr>
          <w:rFonts w:ascii="IRNazanin" w:hAnsi="IRNazanin" w:eastAsia="IRNazanin" w:cs="IRNazanin"/>
          <w:lang w:bidi="fa-IR"/>
          <w:color w:val="111111"/>
          <w:sz w:val="28"/>
          <w:szCs w:val="28"/>
          <w:rtl/>
        </w:rPr>
        <w:t xml:space="preserve">حتّی لا یحصل التغایر؛فإنّ المتطهّر فی الصبح إذا شکّ فی وقت الضحی فی بقاء طهارته و أراد إثبات ذلک بالغلبة،فلا ینفعه تتبّع الموجودات الخارجیّة،مثل:بیاض ثوبه و طهارته و حیاة زید و قعوده و عدم ولادة الحمل الفلانی،و نحو ذلک.نعم،لو لوحظ صنف هذا المتطهّر فی وقت الصبح المتّحد أو المتقارب فیما له مدخل فی بقاء الطهارة،و وجد الأغلب متطهّرا فی هذا الزمان،حصل الظنّ ببقاء طهارته.</w:t>
      </w:r>
    </w:p>
    <w:p>
      <w:pPr>
        <w:pStyle w:val="BookText"/>
      </w:pPr>
      <w:r>
        <w:rPr>
          <w:rFonts w:ascii="IRNazanin" w:hAnsi="IRNazanin" w:eastAsia="IRNazanin" w:cs="IRNazanin"/>
          <w:lang w:bidi="fa-IR"/>
          <w:color w:val="111111"/>
          <w:sz w:val="28"/>
          <w:szCs w:val="28"/>
          <w:rtl/>
        </w:rPr>
        <w:t xml:space="preserve">و بالجملة:فما ذکره من ملاحظة أغلب الصنف فحصول الظنّ به حقّ،إلاّ أنّ البناء علی هذا فی الاستصحاب یسقطه عن الاعتبار فی أکثر موارده.</w:t>
      </w:r>
    </w:p>
    <w:p>
      <w:pPr>
        <w:pStyle w:val="BookText"/>
      </w:pPr>
      <w:r>
        <w:rPr>
          <w:rFonts w:ascii="IRNazanin" w:hAnsi="IRNazanin" w:eastAsia="IRNazanin" w:cs="IRNazanin"/>
          <w:lang w:bidi="fa-IR"/>
          <w:color w:val="111111"/>
          <w:sz w:val="28"/>
          <w:szCs w:val="28"/>
          <w:rtl/>
        </w:rPr>
        <w:t xml:space="preserve">و إن بنی علی ملاحظة الأنواع البعیدة أو الجنس البعید أو الأبعد -و هو الممکن القارّ-کما هو ظاهر کلام السیّد المتقدّم،ففیه:ما تقدّم من القطع بعدم جامع بین مورد </w:t>
      </w:r>
      <w:r>
        <w:rPr>
          <w:rStyle w:val="FootnoteReference"/>
        </w:rPr>
        <w:footnoteReference w:id="1785"/>
      </w:r>
      <w:r>
        <w:rPr>
          <w:rFonts w:ascii="IRNazanin" w:hAnsi="IRNazanin" w:eastAsia="IRNazanin" w:cs="IRNazanin"/>
          <w:lang w:bidi="fa-IR"/>
          <w:color w:val="111111"/>
          <w:sz w:val="28"/>
          <w:szCs w:val="28"/>
          <w:rtl/>
        </w:rPr>
        <w:t xml:space="preserve">الشکّ و موارد الاستقراء،یصلح</w:t>
      </w:r>
    </w:p>
    <w:p>
      <w:pPr>
        <w:pStyle w:val="BookText"/>
      </w:pPr>
      <w:r>
        <w:rPr>
          <w:rFonts w:ascii="IRNazanin" w:hAnsi="IRNazanin" w:eastAsia="IRNazanin" w:cs="IRNazanin"/>
          <w:lang w:bidi="fa-IR"/>
          <w:color w:val="111111"/>
          <w:sz w:val="28"/>
          <w:szCs w:val="28"/>
          <w:rtl/>
        </w:rPr>
        <w:t xml:space="preserve">[شماره صفحه واقعی : 93]
</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bookmarkStart w:id="384" w:name="pg14411_142987"/>
    <w:bookmarkEnd w:id="384"/>
    <w:p>
      <w:pPr>
        <w:pStyle w:val="BookText"/>
      </w:pPr>
      <w:r>
        <w:rPr>
          <w:rFonts w:ascii="IRNazanin" w:hAnsi="IRNazanin" w:eastAsia="IRNazanin" w:cs="IRNazanin"/>
          <w:lang w:bidi="fa-IR"/>
          <w:color w:val="111111"/>
          <w:sz w:val="28"/>
          <w:szCs w:val="28"/>
          <w:rtl/>
        </w:rPr>
        <w:t xml:space="preserve">لاستناد البقاء إلیه،و فی مثله لا یحصل الظنّ بالإلحاق؛لأنّه لا بدّ فی الظنّ بلحوق المشکوک بالأغلب من الظنّ أوّلا بثبوت الحکم أو الوصف للجامع </w:t>
      </w:r>
      <w:r>
        <w:rPr>
          <w:rStyle w:val="FootnoteReference"/>
        </w:rPr>
        <w:footnoteReference w:id="1786"/>
      </w:r>
      <w:r>
        <w:rPr>
          <w:rFonts w:ascii="IRNazanin" w:hAnsi="IRNazanin" w:eastAsia="IRNazanin" w:cs="IRNazanin"/>
          <w:lang w:bidi="fa-IR"/>
          <w:color w:val="111111"/>
          <w:sz w:val="28"/>
          <w:szCs w:val="28"/>
          <w:rtl/>
        </w:rPr>
        <w:t xml:space="preserve">،لیحصل </w:t>
      </w:r>
      <w:r>
        <w:rPr>
          <w:rStyle w:val="FootnoteReference"/>
        </w:rPr>
        <w:footnoteReference w:id="1787"/>
      </w:r>
      <w:r>
        <w:rPr>
          <w:rFonts w:ascii="IRNazanin" w:hAnsi="IRNazanin" w:eastAsia="IRNazanin" w:cs="IRNazanin"/>
          <w:lang w:bidi="fa-IR"/>
          <w:color w:val="111111"/>
          <w:sz w:val="28"/>
          <w:szCs w:val="28"/>
          <w:rtl/>
        </w:rPr>
        <w:t xml:space="preserve">الظنّ بثبوته فی الفرد المشکوک.</w:t>
      </w:r>
    </w:p>
    <w:p>
      <w:pPr>
        <w:pStyle w:val="BookText"/>
      </w:pPr>
      <w:r>
        <w:rPr>
          <w:rFonts w:ascii="IRNazanin" w:hAnsi="IRNazanin" w:eastAsia="IRNazanin" w:cs="IRNazanin"/>
          <w:lang w:bidi="fa-IR"/>
          <w:color w:val="111111"/>
          <w:sz w:val="28"/>
          <w:szCs w:val="28"/>
          <w:rtl/>
        </w:rPr>
        <w:t xml:space="preserve">و ممّا یشهد بعدم حصول الظنّ بالبقاء اعتبار الاستصحاب فی موردین یعلم بمخالفة أحدهما للواقع؛فإنّ المتطهّر بمائع شکّ فی کونه بولا أو ماء،یحکم باستصحاب طهارة بدنه و بقاء حدثه،مع أنّ الظنّ بهما محال.و کذا الحوض الواحد إذا صبّ فیه الماء تدریجا فبلغ إلی موضع شکّ فی بلوغ مائه کرّا،فإنّه یحکم حینئذ ببقاء قلّته،فإذا امتلأ و اخذ منه الماء تدریجا إلی ذلک الموضع،فیشکّ حینئذ فی نقصه عن الکرّ،فیحکم ببقاء کرّیته،مع أنّ الظنّ بالقلّة فی الأوّل و بالکرّیة فی الثانی محال.</w:t>
      </w:r>
    </w:p>
    <w:p>
      <w:pPr>
        <w:pStyle w:val="BookText"/>
      </w:pPr>
      <w:r>
        <w:rPr>
          <w:rFonts w:ascii="IRNazanin" w:hAnsi="IRNazanin" w:eastAsia="IRNazanin" w:cs="IRNazanin"/>
          <w:lang w:bidi="fa-IR"/>
          <w:color w:val="111111"/>
          <w:sz w:val="28"/>
          <w:szCs w:val="28"/>
          <w:rtl/>
        </w:rPr>
        <w:t xml:space="preserve">ثمّ إنّ إثبات حجّیة الظنّ المذکور-علی تقدیر تسلیمه-دونه خرط القتاد،خصوصا فی الشبهة الخارجیّة التی لا تعتبر فیها الغلبة اتّفاقا؛فإنّ اعتبار استصحاب طهارة الماء من جهة الظنّ الحاصل من الغلبة،و عدم اعتبار الظنّ بنجاسته من غلبة اخری-کطین الطریق مثلا-ممّا لا یجتمعان.و کذا اعتبار قول المنکر من باب الاستصحاب مع الظنّ بصدق المدّعی لأجل الغلبة.</w:t>
      </w:r>
    </w:p>
    <w:p>
      <w:pPr>
        <w:pStyle w:val="Heading6"/>
      </w:pPr>
      <w:bookmarkStart w:id="1784" w:name="_Toc819"/>
      <w:r>
        <w:t>[الوجه الرابع:بناء العقلاء:]</w:t>
      </w:r>
      <w:bookmarkEnd w:id="1784"/>
    </w:p>
    <w:p>
      <w:pPr>
        <w:pStyle w:val="Heading6"/>
      </w:pPr>
      <w:bookmarkStart w:id="1785" w:name="_Toc820"/>
      <w:r>
        <w:t>اشارة</w:t>
      </w:r>
      <w:bookmarkEnd w:id="1785"/>
    </w:p>
    <w:p>
      <w:pPr>
        <w:pStyle w:val="BookText"/>
      </w:pPr>
      <w:r>
        <w:rPr>
          <w:rFonts w:ascii="IRNazanin" w:hAnsi="IRNazanin" w:eastAsia="IRNazanin" w:cs="IRNazanin"/>
          <w:lang w:bidi="fa-IR"/>
          <w:color w:val="111111"/>
          <w:sz w:val="28"/>
          <w:szCs w:val="28"/>
          <w:rtl/>
        </w:rPr>
        <w:t xml:space="preserve">و منها:بناء العقلاء علی ذلک فی جمیع امورهم،کما ادّعاه العلاّمة رحمه اللّه فی النهایة </w:t>
      </w:r>
      <w:r>
        <w:rPr>
          <w:rStyle w:val="FootnoteReference"/>
        </w:rPr>
        <w:footnoteReference w:id="1788"/>
      </w:r>
      <w:r>
        <w:rPr>
          <w:rFonts w:ascii="IRNazanin" w:hAnsi="IRNazanin" w:eastAsia="IRNazanin" w:cs="IRNazanin"/>
          <w:lang w:bidi="fa-IR"/>
          <w:color w:val="111111"/>
          <w:sz w:val="28"/>
          <w:szCs w:val="28"/>
          <w:rtl/>
        </w:rPr>
        <w:t xml:space="preserve">و أکثر من تأخّر عنه.</w:t>
      </w:r>
    </w:p>
    <w:p>
      <w:pPr>
        <w:pStyle w:val="BookText"/>
      </w:pPr>
      <w:r>
        <w:rPr>
          <w:rFonts w:ascii="IRNazanin" w:hAnsi="IRNazanin" w:eastAsia="IRNazanin" w:cs="IRNazanin"/>
          <w:lang w:bidi="fa-IR"/>
          <w:color w:val="111111"/>
          <w:sz w:val="28"/>
          <w:szCs w:val="28"/>
          <w:rtl/>
        </w:rPr>
        <w:t xml:space="preserve">[شماره صفحه واقعی : 94]
</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bookmarkStart w:id="385" w:name="pg14411_142988"/>
    <w:bookmarkEnd w:id="385"/>
    <w:p>
      <w:pPr>
        <w:pStyle w:val="BookText"/>
      </w:pPr>
      <w:r>
        <w:rPr>
          <w:rFonts w:ascii="IRNazanin" w:hAnsi="IRNazanin" w:eastAsia="IRNazanin" w:cs="IRNazanin"/>
          <w:lang w:bidi="fa-IR"/>
          <w:color w:val="111111"/>
          <w:sz w:val="28"/>
          <w:szCs w:val="28"/>
          <w:rtl/>
        </w:rPr>
        <w:t xml:space="preserve">و زاد بعضهم </w:t>
      </w:r>
      <w:r>
        <w:rPr>
          <w:rStyle w:val="FootnoteReference"/>
        </w:rPr>
        <w:footnoteReference w:id="1789"/>
      </w:r>
      <w:r>
        <w:rPr>
          <w:rFonts w:ascii="IRNazanin" w:hAnsi="IRNazanin" w:eastAsia="IRNazanin" w:cs="IRNazanin"/>
          <w:lang w:bidi="fa-IR"/>
          <w:color w:val="111111"/>
          <w:sz w:val="28"/>
          <w:szCs w:val="28"/>
          <w:rtl/>
        </w:rPr>
        <w:t xml:space="preserve">:أنّه لو لا ذلک لاختلّ نظام العالم و أساس عیش بنی آدم.</w:t>
      </w:r>
    </w:p>
    <w:p>
      <w:pPr>
        <w:pStyle w:val="BookText"/>
      </w:pPr>
      <w:r>
        <w:rPr>
          <w:rFonts w:ascii="IRNazanin" w:hAnsi="IRNazanin" w:eastAsia="IRNazanin" w:cs="IRNazanin"/>
          <w:lang w:bidi="fa-IR"/>
          <w:color w:val="111111"/>
          <w:sz w:val="28"/>
          <w:szCs w:val="28"/>
          <w:rtl/>
        </w:rPr>
        <w:t xml:space="preserve">و زاد آخر </w:t>
      </w:r>
      <w:r>
        <w:rPr>
          <w:rStyle w:val="FootnoteReference"/>
        </w:rPr>
        <w:footnoteReference w:id="1790"/>
      </w:r>
      <w:r>
        <w:rPr>
          <w:rFonts w:ascii="IRNazanin" w:hAnsi="IRNazanin" w:eastAsia="IRNazanin" w:cs="IRNazanin"/>
          <w:lang w:bidi="fa-IR"/>
          <w:color w:val="111111"/>
          <w:sz w:val="28"/>
          <w:szCs w:val="28"/>
          <w:rtl/>
        </w:rPr>
        <w:t xml:space="preserve">:أنّ العمل علی الحالة السابقة أمر مرکوز فی النفوس حتّی الحیوانات؛أ لا تری أنّ الحیوانات تطلب عند الحاجة المواضع التی عهدت فیها الماء و الکلأ،و الطیور تعود من الأماکن البعیدة إلی أوکارها،و لو لا البناء علی«إبقاء ما کان علی ما کان» </w:t>
      </w:r>
      <w:r>
        <w:rPr>
          <w:rStyle w:val="FootnoteReference"/>
        </w:rPr>
        <w:footnoteReference w:id="1791"/>
      </w:r>
      <w:r>
        <w:rPr>
          <w:rFonts w:ascii="IRNazanin" w:hAnsi="IRNazanin" w:eastAsia="IRNazanin" w:cs="IRNazanin"/>
          <w:lang w:bidi="fa-IR"/>
          <w:color w:val="111111"/>
          <w:sz w:val="28"/>
          <w:szCs w:val="28"/>
          <w:rtl/>
        </w:rPr>
        <w:t xml:space="preserve">لم یکن وجه لذلک.</w:t>
      </w:r>
    </w:p>
    <w:p>
      <w:pPr>
        <w:pStyle w:val="Heading6"/>
      </w:pPr>
      <w:bookmarkStart w:id="1786" w:name="_Toc821"/>
      <w:r>
        <w:t>[المناقشة فی الوجه الرابع:]</w:t>
      </w:r>
      <w:bookmarkEnd w:id="1786"/>
    </w:p>
    <w:p>
      <w:pPr>
        <w:pStyle w:val="Heading6"/>
      </w:pPr>
      <w:bookmarkStart w:id="1787" w:name="_Toc822"/>
      <w:r>
        <w:t>اشارة</w:t>
      </w:r>
      <w:bookmarkEnd w:id="1787"/>
    </w:p>
    <w:p>
      <w:pPr>
        <w:pStyle w:val="BookText"/>
      </w:pPr>
      <w:r>
        <w:rPr>
          <w:rFonts w:ascii="IRNazanin" w:hAnsi="IRNazanin" w:eastAsia="IRNazanin" w:cs="IRNazanin"/>
          <w:lang w:bidi="fa-IR"/>
          <w:color w:val="111111"/>
          <w:sz w:val="28"/>
          <w:szCs w:val="28"/>
          <w:rtl/>
        </w:rPr>
        <w:t xml:space="preserve">و الجواب:أنّ بناء العقلاء إنّما یسلّم فی موضع یحصل لهم الظنّ بالبقاء لأجل الغلبة،فإنّهم فی امورهم عاملون بالغلبة،سواء وافقت الحالة السابقة أو خالفتها؛أ لا تری أنّهم لا یکاتبون من عهدوه فی حال لا یغلب فیه السلامة،فضلا عن المهالک-إلاّ علی سبیل الاحتیاط لاحتمال الحیاة-و لا یرسلون إلیه البضائع للتجارة،و لا یجعلونه وصیّا فی الأموال أو قیّما علی الأطفال،و لا یقلّدونه فی هذا الحال إذا کان من أهل الاستدلال،و تراهم لو شکّوا فی نسخ الحکم الشرعیّ یبنون علی عدمه،و لو شکّوا فی رافعیّة المذی شرعا للطهارة فلا یبنون علی عدمها.</w:t>
      </w:r>
    </w:p>
    <w:p>
      <w:pPr>
        <w:pStyle w:val="BookText"/>
      </w:pPr>
      <w:r>
        <w:rPr>
          <w:rFonts w:ascii="IRNazanin" w:hAnsi="IRNazanin" w:eastAsia="IRNazanin" w:cs="IRNazanin"/>
          <w:lang w:bidi="fa-IR"/>
          <w:color w:val="111111"/>
          <w:sz w:val="28"/>
          <w:szCs w:val="28"/>
          <w:rtl/>
        </w:rPr>
        <w:t xml:space="preserve">و بالجملة:فالذی أظنّ أنّهم غیر بانین فی الشکّ فی الحکم</w:t>
      </w:r>
    </w:p>
    <w:p>
      <w:pPr>
        <w:pStyle w:val="BookText"/>
      </w:pPr>
      <w:r>
        <w:rPr>
          <w:rFonts w:ascii="IRNazanin" w:hAnsi="IRNazanin" w:eastAsia="IRNazanin" w:cs="IRNazanin"/>
          <w:lang w:bidi="fa-IR"/>
          <w:color w:val="111111"/>
          <w:sz w:val="28"/>
          <w:szCs w:val="28"/>
          <w:rtl/>
        </w:rPr>
        <w:t xml:space="preserve">[شماره صفحه واقعی : 95]
</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bookmarkStart w:id="386" w:name="pg14411_142989"/>
    <w:bookmarkEnd w:id="386"/>
    <w:p>
      <w:pPr>
        <w:pStyle w:val="BookText"/>
      </w:pPr>
      <w:r>
        <w:rPr>
          <w:rFonts w:ascii="IRNazanin" w:hAnsi="IRNazanin" w:eastAsia="IRNazanin" w:cs="IRNazanin"/>
          <w:lang w:bidi="fa-IR"/>
          <w:color w:val="111111"/>
          <w:sz w:val="28"/>
          <w:szCs w:val="28"/>
          <w:rtl/>
        </w:rPr>
        <w:t xml:space="preserve">الشرعیّ من غیر جهة النسخ علی الاستصحاب.</w:t>
      </w:r>
    </w:p>
    <w:p>
      <w:pPr>
        <w:pStyle w:val="BookText"/>
      </w:pPr>
      <w:r>
        <w:rPr>
          <w:rFonts w:ascii="IRNazanin" w:hAnsi="IRNazanin" w:eastAsia="IRNazanin" w:cs="IRNazanin"/>
          <w:lang w:bidi="fa-IR"/>
          <w:color w:val="111111"/>
          <w:sz w:val="28"/>
          <w:szCs w:val="28"/>
          <w:rtl/>
        </w:rPr>
        <w:t xml:space="preserve">نعم،الإنصاف:أنّهم لو شکّوا فی بقاء حکم شرعیّ فلیس عندهم کالشکّ فی حدوثه فی البناء علی العدم،و لعلّ هذا من جهة عدم وجدان الدلیل بعد الفحص؛فإنّها أمارة علی العدم؛لما علم من بناء الشارع علی التبلیغ،فظنّ عدم الورود یستلزم الظنّ بعدم الوجود.</w:t>
      </w:r>
    </w:p>
    <w:p>
      <w:pPr>
        <w:pStyle w:val="BookText"/>
      </w:pPr>
      <w:r>
        <w:rPr>
          <w:rFonts w:ascii="IRNazanin" w:hAnsi="IRNazanin" w:eastAsia="IRNazanin" w:cs="IRNazanin"/>
          <w:lang w:bidi="fa-IR"/>
          <w:color w:val="111111"/>
          <w:sz w:val="28"/>
          <w:szCs w:val="28"/>
          <w:rtl/>
        </w:rPr>
        <w:t xml:space="preserve">و الکلام فی اعتبار هذا الظنّ بمجرّده-من غیر ضمّ حکم العقل بقبح التعبّد بما لا یعلم-فی باب أصل البراءة </w:t>
      </w:r>
      <w:r>
        <w:rPr>
          <w:rStyle w:val="FootnoteReference"/>
        </w:rPr>
        <w:footnoteReference w:id="1792"/>
      </w:r>
      <w:r>
        <w:rPr>
          <w:rFonts w:ascii="Times New Roman" w:hAnsi="Times New Roman" w:eastAsia="Times New Roman" w:cs="Times New Roman"/>
          <w:lang w:val="en-US" w:bidi="en-US"/>
          <w:color w:val="111111"/>
          <w:sz w:val="28"/>
          <w:szCs w:val="28"/>
          <w:rtl/>
        </w:rPr>
        <w:t xml:space="preserve">.</w:t>
      </w:r>
    </w:p>
    <w:p>
      <w:pPr>
        <w:pStyle w:val="Heading6"/>
      </w:pPr>
      <w:bookmarkStart w:id="1788" w:name="_Toc823"/>
      <w:r>
        <w:t>[کلام الشیخ الطوسی فی العدة:]</w:t>
      </w:r>
      <w:bookmarkEnd w:id="1788"/>
    </w:p>
    <w:p>
      <w:pPr>
        <w:pStyle w:val="BookText"/>
      </w:pPr>
      <w:r>
        <w:rPr>
          <w:rFonts w:ascii="IRNazanin" w:hAnsi="IRNazanin" w:eastAsia="IRNazanin" w:cs="IRNazanin"/>
          <w:lang w:bidi="fa-IR"/>
          <w:color w:val="111111"/>
          <w:sz w:val="28"/>
          <w:szCs w:val="28"/>
          <w:rtl/>
        </w:rPr>
        <w:t xml:space="preserve">قال فی العدّة-بعد ما اختار عدم اعتبار الاستصحاب فی مثل المتیمّم الداخل فی الصلاة-:و الذی یمکن أن ینتصر به طریقة استصحاب الحال ما أومأنا إلیه من أن یقال:لو کانت الحالة الثانیة مغیّرة للحکم الأوّل لکان علیه دلیل،و إذا تتبّعنا جمیع الأدلّة فلم نجد فیها ما یدلّ علی أنّ الحالة الثانیة مخالفة للحالة الاولی،دلّ علی أنّ حکم الحالة الاولی باق علی ما کان.</w:t>
      </w:r>
    </w:p>
    <w:p>
      <w:pPr>
        <w:pStyle w:val="BookText"/>
      </w:pPr>
      <w:r>
        <w:rPr>
          <w:rFonts w:ascii="IRNazanin" w:hAnsi="IRNazanin" w:eastAsia="IRNazanin" w:cs="IRNazanin"/>
          <w:lang w:bidi="fa-IR"/>
          <w:color w:val="111111"/>
          <w:sz w:val="28"/>
          <w:szCs w:val="28"/>
          <w:rtl/>
        </w:rPr>
        <w:t xml:space="preserve">فإن قیل:هذا رجوع إلی الاستدلال بطریق آخر،و ذلک خارج عن استصحاب الحال.</w:t>
      </w:r>
    </w:p>
    <w:p>
      <w:pPr>
        <w:pStyle w:val="BookText"/>
      </w:pPr>
      <w:r>
        <w:rPr>
          <w:rFonts w:ascii="IRNazanin" w:hAnsi="IRNazanin" w:eastAsia="IRNazanin" w:cs="IRNazanin"/>
          <w:lang w:bidi="fa-IR"/>
          <w:color w:val="111111"/>
          <w:sz w:val="28"/>
          <w:szCs w:val="28"/>
          <w:rtl/>
        </w:rPr>
        <w:t xml:space="preserve">قیل:إنّ الذی نرید باستصحاب الحال هذا الذی ذکرناه،و أمّا غیر ذلک فلا یکاد یحصل غرض القائل به </w:t>
      </w:r>
      <w:r>
        <w:rPr>
          <w:rStyle w:val="FootnoteReference"/>
        </w:rPr>
        <w:footnoteReference w:id="1793"/>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[شماره صفحه واقعی : 96]
</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bookmarkStart w:id="387" w:name="pg14411_142990"/>
    <w:bookmarkEnd w:id="387"/>
    <w:p>
      <w:pPr>
        <w:pStyle w:val="Heading5"/>
      </w:pPr>
      <w:bookmarkStart w:id="1789" w:name="_Toc824"/>
      <w:r>
        <w:t>[حجة القول الثانی]: [الاستدلال علی عدم الحجیة مطلقا:]</w:t>
      </w:r>
      <w:bookmarkEnd w:id="1789"/>
    </w:p>
    <w:p>
      <w:pPr>
        <w:pStyle w:val="Heading6"/>
      </w:pPr>
      <w:bookmarkStart w:id="1790" w:name="_Toc825"/>
      <w:r>
        <w:t>اشارة</w:t>
      </w:r>
      <w:bookmarkEnd w:id="1790"/>
    </w:p>
    <w:p>
      <w:pPr>
        <w:pStyle w:val="BookText"/>
      </w:pPr>
      <w:r>
        <w:rPr>
          <w:rFonts w:ascii="IRNazanin" w:hAnsi="IRNazanin" w:eastAsia="IRNazanin" w:cs="IRNazanin"/>
          <w:lang w:bidi="fa-IR"/>
          <w:color w:val="111111"/>
          <w:sz w:val="28"/>
          <w:szCs w:val="28"/>
          <w:rtl/>
        </w:rPr>
        <w:t xml:space="preserve">[حجة القول الثانی]: </w:t>
      </w:r>
      <w:r>
        <w:rPr>
          <w:rStyle w:val="FootnoteReference"/>
        </w:rPr>
        <w:footnoteReference w:id="1794"/>
      </w:r>
      <w:r>
        <w:rPr>
          <w:rFonts w:ascii="IRNazanin" w:hAnsi="IRNazanin" w:eastAsia="IRNazanin" w:cs="IRNazanin"/>
          <w:lang w:bidi="fa-IR"/>
          <w:color w:val="111111"/>
          <w:sz w:val="28"/>
          <w:szCs w:val="28"/>
          <w:rtl/>
        </w:rPr>
        <w:t xml:space="preserve">[الاستدلال علی عدم الحجیة مطلقا:]</w:t>
      </w:r>
    </w:p>
    <w:p>
      <w:pPr>
        <w:pStyle w:val="BookText"/>
      </w:pPr>
      <w:r>
        <w:rPr>
          <w:rFonts w:ascii="IRNazanin" w:hAnsi="IRNazanin" w:eastAsia="IRNazanin" w:cs="IRNazanin"/>
          <w:lang w:bidi="fa-IR"/>
          <w:color w:val="111111"/>
          <w:sz w:val="28"/>
          <w:szCs w:val="28"/>
          <w:rtl/>
        </w:rPr>
        <w:t xml:space="preserve">احتجّ النافون بوجوه:</w:t>
      </w:r>
    </w:p>
    <w:p>
      <w:pPr>
        <w:pStyle w:val="BookText"/>
      </w:pPr>
      <w:r>
        <w:rPr>
          <w:rFonts w:ascii="IRNazanin" w:hAnsi="IRNazanin" w:eastAsia="IRNazanin" w:cs="IRNazanin"/>
          <w:lang w:bidi="fa-IR"/>
          <w:color w:val="111111"/>
          <w:sz w:val="28"/>
          <w:szCs w:val="28"/>
          <w:rtl/>
        </w:rPr>
        <w:t xml:space="preserve">منها:ما عن الذریعة و فی الغنیة،من أنّ المتعلّق بالاستصحاب یثبت الحکم عند التحقیق من غیر دلیل.</w:t>
      </w:r>
    </w:p>
    <w:p>
      <w:pPr>
        <w:pStyle w:val="Heading6"/>
      </w:pPr>
      <w:bookmarkStart w:id="1791" w:name="_Toc826"/>
      <w:r>
        <w:t>[1-دعوی أنّ الاستصحاب إثبات للحکم من غیر دلیل:]</w:t>
      </w:r>
      <w:bookmarkEnd w:id="1791"/>
    </w:p>
    <w:p>
      <w:pPr>
        <w:pStyle w:val="Heading6"/>
      </w:pPr>
      <w:bookmarkStart w:id="1792" w:name="_Toc827"/>
      <w:r>
        <w:t>اشارة</w:t>
      </w:r>
      <w:bookmarkEnd w:id="1792"/>
    </w:p>
    <w:p>
      <w:pPr>
        <w:pStyle w:val="BookText"/>
      </w:pPr>
      <w:r>
        <w:rPr>
          <w:rFonts w:ascii="IRNazanin" w:hAnsi="IRNazanin" w:eastAsia="IRNazanin" w:cs="IRNazanin"/>
          <w:lang w:bidi="fa-IR"/>
          <w:color w:val="111111"/>
          <w:sz w:val="28"/>
          <w:szCs w:val="28"/>
          <w:rtl/>
        </w:rPr>
        <w:t xml:space="preserve">توضیح ذلک:أنّهم یقولون:قد ثبت بالإجماع علی من شرع فی الصلاة بالتیمّم وجوب المضیّ فیها قبل مشاهدة الماء،فیجب أن یکون علی هذا الحال بعد المشاهدة.و هذا منهم جمع بین الحالتین فی حکم من غیر دلیل اقتضی الجمع بینهما؛لأنّ اختلاف الحالتین لا شبهة فیه؛لأنّ المصلّی غیر واجد للماء فی إحداهما و واجد له فی الاخری،فلا یجوز التسویة بینهما من غیر دلالة،فإذا کان الدلیل لا یتناول إلاّ الحالة الاولی،و کانت الحالة الاخری عاریة منه،لم یجز أن یثبت فیها مثل الحکم </w:t>
      </w:r>
      <w:r>
        <w:rPr>
          <w:rStyle w:val="FootnoteReference"/>
        </w:rPr>
        <w:footnoteReference w:id="1795"/>
      </w:r>
      <w:r>
        <w:rPr>
          <w:rFonts w:ascii="IRNazanin" w:hAnsi="IRNazanin" w:eastAsia="IRNazanin" w:cs="IRNazanin"/>
          <w:lang w:bidi="fa-IR"/>
          <w:color w:val="111111"/>
          <w:sz w:val="28"/>
          <w:szCs w:val="28"/>
          <w:rtl/>
        </w:rPr>
        <w:t xml:space="preserve">،انتهی.</w:t>
      </w:r>
    </w:p>
    <w:p>
      <w:pPr>
        <w:pStyle w:val="Heading6"/>
      </w:pPr>
      <w:bookmarkStart w:id="1793" w:name="_Toc828"/>
      <w:r>
        <w:t>[المناقشة فی ذلک:]</w:t>
      </w:r>
      <w:bookmarkEnd w:id="1793"/>
    </w:p>
    <w:p>
      <w:pPr>
        <w:pStyle w:val="BookText"/>
      </w:pPr>
      <w:r>
        <w:rPr>
          <w:rFonts w:ascii="IRNazanin" w:hAnsi="IRNazanin" w:eastAsia="IRNazanin" w:cs="IRNazanin"/>
          <w:lang w:bidi="fa-IR"/>
          <w:color w:val="111111"/>
          <w:sz w:val="28"/>
          <w:szCs w:val="28"/>
          <w:rtl/>
        </w:rPr>
        <w:t xml:space="preserve">أقول:إن کان محلّ الکلام فیما کان الشکّ لتخلّف وصف وجودیّ أو عدمیّ متحقّق سابقا یشکّ فی مدخلیّته فی أصل الحکم أو بقائه، فالاستدلال المذکور متین جدّا؛لأنّ الفرض </w:t>
      </w:r>
      <w:r>
        <w:rPr>
          <w:rStyle w:val="FootnoteReference"/>
        </w:rPr>
        <w:footnoteReference w:id="1796"/>
      </w:r>
      <w:r>
        <w:rPr>
          <w:rFonts w:ascii="IRNazanin" w:hAnsi="IRNazanin" w:eastAsia="IRNazanin" w:cs="IRNazanin"/>
          <w:lang w:bidi="fa-IR"/>
          <w:color w:val="111111"/>
          <w:sz w:val="28"/>
          <w:szCs w:val="28"/>
          <w:rtl/>
        </w:rPr>
        <w:t xml:space="preserve">عدم دلالة دلیل الحکم الأوّل،و فقد دلیل عامّ یدلّ علی انسحاب کلّ حکم ثبت فی الحالة</w:t>
      </w:r>
    </w:p>
    <w:p>
      <w:pPr>
        <w:pStyle w:val="BookText"/>
      </w:pPr>
      <w:r>
        <w:rPr>
          <w:rFonts w:ascii="IRNazanin" w:hAnsi="IRNazanin" w:eastAsia="IRNazanin" w:cs="IRNazanin"/>
          <w:lang w:bidi="fa-IR"/>
          <w:color w:val="111111"/>
          <w:sz w:val="28"/>
          <w:szCs w:val="28"/>
          <w:rtl/>
        </w:rPr>
        <w:t xml:space="preserve">[شماره صفحه واقعی : 97]
</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الاولی فی الحالة الثانیة؛لأنّ عمدة ما ذکروه من الدلیل هی الأخبار المذکورة،و قد عرفت اختصاصها بمورد یتحقّق </w:t>
      </w:r>
      <w:r>
        <w:rPr>
          <w:rStyle w:val="FootnoteReference"/>
        </w:rPr>
        <w:footnoteReference w:id="1797"/>
      </w:r>
      <w:r>
        <w:rPr>
          <w:rFonts w:ascii="IRNazanin" w:hAnsi="IRNazanin" w:eastAsia="IRNazanin" w:cs="IRNazanin"/>
          <w:lang w:bidi="fa-IR"/>
          <w:color w:val="111111"/>
          <w:sz w:val="28"/>
          <w:szCs w:val="28"/>
          <w:rtl/>
        </w:rPr>
        <w:t xml:space="preserve">معنی النقض،و هو الشکّ من جهة الرافع.</w:t>
      </w:r>
    </w:p>
    <w:p>
      <w:pPr>
        <w:pStyle w:val="BookText"/>
      </w:pPr>
      <w:r>
        <w:rPr>
          <w:rFonts w:ascii="IRNazanin" w:hAnsi="IRNazanin" w:eastAsia="IRNazanin" w:cs="IRNazanin"/>
          <w:lang w:bidi="fa-IR"/>
          <w:color w:val="111111"/>
          <w:sz w:val="28"/>
          <w:szCs w:val="28"/>
          <w:rtl/>
        </w:rPr>
        <w:t xml:space="preserve">نعم قد یتخیّل:کون مثال التیمّم من قبیل الشکّ من جهة الرافع؛ لأنّ الشکّ فی انتقاض التیمّم بوجدان الماء فی الصلاة کانتقاضه بوجدانه قبلها،سواء قلنا بأنّ التیمّم رافع للحدث،أم قلنا:إنّه مبیح؛لأنّ الإباحة أیضا مستمرّة إلی أن ینتقض بالحدث أو یوجد الماء.</w:t>
      </w:r>
    </w:p>
    <w:p>
      <w:pPr>
        <w:pStyle w:val="BookText"/>
      </w:pPr>
      <w:r>
        <w:rPr>
          <w:rFonts w:ascii="IRNazanin" w:hAnsi="IRNazanin" w:eastAsia="IRNazanin" w:cs="IRNazanin"/>
          <w:lang w:bidi="fa-IR"/>
          <w:color w:val="111111"/>
          <w:sz w:val="28"/>
          <w:szCs w:val="28"/>
          <w:rtl/>
        </w:rPr>
        <w:t xml:space="preserve">و لکنّه فاسد:من حیث إنّ وجدان الماء لیس من الروافع و النواقض،بل الفقدان الذی هو وصف المکلّف لمّا کان مأخوذا فی صحّة التیمّم حدوثا و بقاء فی الجملة،کان الوجدان رافعا لوصف الموضوع الذی هو المکلّف،فهو نظیر التغیّر الذی یشکّ فی زوال النجاسة بزواله،فوجدان الماء لیس کالحدث و إن قرن به فی قوله علیه السّلام -حین سئل عن جواز الصلوات المتعدّدة بتیمّم واحد-:«نعم،ما لم یحدث أو یجد ماء» </w:t>
      </w:r>
      <w:r>
        <w:rPr>
          <w:rStyle w:val="FootnoteReference"/>
        </w:rPr>
        <w:footnoteReference w:id="1798"/>
      </w:r>
      <w:r>
        <w:rPr>
          <w:rFonts w:ascii="IRNazanin" w:hAnsi="IRNazanin" w:eastAsia="IRNazanin" w:cs="IRNazanin"/>
          <w:lang w:bidi="fa-IR"/>
          <w:color w:val="111111"/>
          <w:sz w:val="28"/>
          <w:szCs w:val="28"/>
          <w:rtl/>
        </w:rPr>
        <w:t xml:space="preserve">لأنّ المراد من ذلک تحدید الحکم بزوال المقتضی أو طروّ الرافع.</w:t>
      </w:r>
    </w:p>
    <w:p>
      <w:pPr>
        <w:pStyle w:val="BookText"/>
      </w:pPr>
      <w:r>
        <w:rPr>
          <w:rFonts w:ascii="IRNazanin" w:hAnsi="IRNazanin" w:eastAsia="IRNazanin" w:cs="IRNazanin"/>
          <w:lang w:bidi="fa-IR"/>
          <w:color w:val="111111"/>
          <w:sz w:val="28"/>
          <w:szCs w:val="28"/>
          <w:rtl/>
        </w:rPr>
        <w:t xml:space="preserve">و کیف کان،فإن کان محلّ الکلام فی الاستصحاب ما کان من قبیل هذا المثال فالحقّ مع المنکرین؛لما ذکروه.</w:t>
      </w:r>
    </w:p>
    <w:p>
      <w:pPr>
        <w:pStyle w:val="BookText"/>
      </w:pPr>
      <w:r>
        <w:rPr>
          <w:rFonts w:ascii="IRNazanin" w:hAnsi="IRNazanin" w:eastAsia="IRNazanin" w:cs="IRNazanin"/>
          <w:lang w:bidi="fa-IR"/>
          <w:color w:val="111111"/>
          <w:sz w:val="28"/>
          <w:szCs w:val="28"/>
          <w:rtl/>
        </w:rPr>
        <w:t xml:space="preserve">و إن شمل ما کان من قبیل تمثیلهم الآخر-و هو الشکّ فی ناقضیّة الخارج من غیر السبیلین-قلنا:إنّ إثبات الحکم بعد خروج الخارج</w:t>
      </w:r>
    </w:p>
    <w:p>
      <w:pPr>
        <w:pStyle w:val="BookText"/>
      </w:pPr>
      <w:r>
        <w:rPr>
          <w:rFonts w:ascii="IRNazanin" w:hAnsi="IRNazanin" w:eastAsia="IRNazanin" w:cs="IRNazanin"/>
          <w:lang w:bidi="fa-IR"/>
          <w:color w:val="111111"/>
          <w:sz w:val="28"/>
          <w:szCs w:val="28"/>
          <w:rtl/>
        </w:rPr>
        <w:t xml:space="preserve">[شماره صفحه واقعی : 98]
</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bookmarkStart w:id="388" w:name="pg14411_142992"/>
    <w:bookmarkEnd w:id="388"/>
    <w:p>
      <w:pPr>
        <w:pStyle w:val="BookText"/>
      </w:pPr>
      <w:r>
        <w:rPr>
          <w:rFonts w:ascii="IRNazanin" w:hAnsi="IRNazanin" w:eastAsia="IRNazanin" w:cs="IRNazanin"/>
          <w:lang w:bidi="fa-IR"/>
          <w:color w:val="111111"/>
          <w:sz w:val="28"/>
          <w:szCs w:val="28"/>
          <w:rtl/>
        </w:rPr>
        <w:t xml:space="preserve">لیس من غیر دلیل،بل الدلیل ما ذکرنا من الوجوه الثلاثة،مضافا إلی إمکان التمسّک بما ذکرنا فی توجیه کلام المحقّق رحمه اللّه فی المعارج،لکن عرفت ما فیه من التأمّل </w:t>
      </w:r>
      <w:r>
        <w:rPr>
          <w:rStyle w:val="FootnoteReference"/>
        </w:rPr>
        <w:footnoteReference w:id="17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إنّه أجاب فی المعارج عن الدلیل المذکور:بأنّ قوله:«عمل بغیر دلیل»غیر مسلّم؛لأنّ الدلیل دلّ علی أنّ الثابت لا یرتفع إلاّ برافع،فإذا کان التقدیر تقدیر عدمه کان بقاء الثابت راجحا فی نظر المجتهد،و العمل بالراجح لازم </w:t>
      </w:r>
      <w:r>
        <w:rPr>
          <w:rStyle w:val="FootnoteReference"/>
        </w:rPr>
        <w:footnoteReference w:id="1800"/>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کأنّ مراده بتقدیر عدم الرافع عدم العلم به،و قد عرفت ما فی دعوی حصول الظنّ بالبقاء بمجرّد ذلک،إلاّ أن یرجع إلی عدم الدلیل بعد الفحص الموجب للظنّ بالعدم.</w:t>
      </w:r>
    </w:p>
    <w:p>
      <w:pPr>
        <w:pStyle w:val="Heading6"/>
      </w:pPr>
      <w:bookmarkStart w:id="1794" w:name="_Toc829"/>
      <w:r>
        <w:t>[2-لزوم القطع بالبقاء بناء علی حجّیة الاستصحاب:]</w:t>
      </w:r>
      <w:bookmarkEnd w:id="1794"/>
    </w:p>
    <w:p>
      <w:pPr>
        <w:pStyle w:val="Heading6"/>
      </w:pPr>
      <w:bookmarkStart w:id="1795" w:name="_Toc830"/>
      <w:r>
        <w:t>اشارة</w:t>
      </w:r>
      <w:bookmarkEnd w:id="1795"/>
    </w:p>
    <w:p>
      <w:pPr>
        <w:pStyle w:val="BookText"/>
      </w:pPr>
      <w:r>
        <w:rPr>
          <w:rFonts w:ascii="IRNazanin" w:hAnsi="IRNazanin" w:eastAsia="IRNazanin" w:cs="IRNazanin"/>
          <w:lang w:bidi="fa-IR"/>
          <w:color w:val="111111"/>
          <w:sz w:val="28"/>
          <w:szCs w:val="28"/>
          <w:rtl/>
        </w:rPr>
        <w:t xml:space="preserve">و منها:أنّه لو کان الاستصحاب حجّة لوجب فیمن علم زیدا فی الدار و لم یعلم بخروجه منها أن یقطع ببقائه فیها،و کذا کان یلزم إذا علم بأنّه حیّ ثمّ انقضت مدّة لم یعلم فیها بموته أن یقطع ببقائه،و هو باطل.</w:t>
      </w:r>
    </w:p>
    <w:p>
      <w:pPr>
        <w:pStyle w:val="BookText"/>
      </w:pPr>
      <w:r>
        <w:rPr>
          <w:rFonts w:ascii="IRNazanin" w:hAnsi="IRNazanin" w:eastAsia="IRNazanin" w:cs="IRNazanin"/>
          <w:lang w:bidi="fa-IR"/>
          <w:color w:val="111111"/>
          <w:sz w:val="28"/>
          <w:szCs w:val="28"/>
          <w:rtl/>
        </w:rPr>
        <w:t xml:space="preserve">و قال فی محکیّ الذریعة:قد ثبت فی العقول أنّ من شاهد زیدا فی الدار ثمّ غاب عنه لم یحسن اعتقاد استمرار کونه فی الدار إلاّ بدلیل متجدّد،و لا یجوز استصحاب الحال الاولی </w:t>
      </w:r>
      <w:r>
        <w:rPr>
          <w:rStyle w:val="FootnoteReference"/>
        </w:rPr>
        <w:footnoteReference w:id="1801"/>
      </w:r>
      <w:r>
        <w:rPr>
          <w:rFonts w:ascii="IRNazanin" w:hAnsi="IRNazanin" w:eastAsia="IRNazanin" w:cs="IRNazanin"/>
          <w:lang w:bidi="fa-IR"/>
          <w:color w:val="111111"/>
          <w:sz w:val="28"/>
          <w:szCs w:val="28"/>
          <w:rtl/>
        </w:rPr>
        <w:t xml:space="preserve">و قد صار کونه فی الدار فی الزمان الثانی و قد زالت الرؤیة،بمنزلة کون عمرو فیها مع فقد الرؤیة </w:t>
      </w:r>
      <w:r>
        <w:rPr>
          <w:rStyle w:val="FootnoteReference"/>
        </w:rPr>
        <w:footnoteReference w:id="18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99]
</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bookmarkStart w:id="389" w:name="pg14411_142993"/>
    <w:bookmarkEnd w:id="389"/>
    <w:p>
      <w:pPr>
        <w:pStyle w:val="BookText"/>
      </w:pPr>
      <w:r>
        <w:rPr>
          <w:rFonts w:ascii="IRNazanin" w:hAnsi="IRNazanin" w:eastAsia="IRNazanin" w:cs="IRNazanin"/>
          <w:lang w:bidi="fa-IR"/>
          <w:color w:val="111111"/>
          <w:sz w:val="28"/>
          <w:szCs w:val="28"/>
          <w:rtl/>
        </w:rPr>
        <w:t xml:space="preserve">و أجاب فی المعارج عن ذلک:بأنّا لا ندّعی القطع،لکن ندّعی رجحان الاعتقاد ببقائه،و هذا یکفی فی العمل به </w:t>
      </w:r>
      <w:r>
        <w:rPr>
          <w:rStyle w:val="FootnoteReference"/>
        </w:rPr>
        <w:footnoteReference w:id="1803"/>
      </w:r>
      <w:r>
        <w:rPr>
          <w:rFonts w:ascii="Times New Roman" w:hAnsi="Times New Roman" w:eastAsia="Times New Roman" w:cs="Times New Roman"/>
          <w:lang w:val="en-US" w:bidi="en-US"/>
          <w:color w:val="111111"/>
          <w:sz w:val="28"/>
          <w:szCs w:val="28"/>
          <w:rtl/>
        </w:rPr>
        <w:t xml:space="preserve">.</w:t>
      </w:r>
    </w:p>
    <w:p>
      <w:pPr>
        <w:pStyle w:val="Heading6"/>
      </w:pPr>
      <w:bookmarkStart w:id="1796" w:name="_Toc831"/>
      <w:r>
        <w:t>[المناقشة فیه:]</w:t>
      </w:r>
      <w:bookmarkEnd w:id="1796"/>
    </w:p>
    <w:p>
      <w:pPr>
        <w:pStyle w:val="BookText"/>
      </w:pPr>
      <w:r>
        <w:rPr>
          <w:rFonts w:ascii="IRNazanin" w:hAnsi="IRNazanin" w:eastAsia="IRNazanin" w:cs="IRNazanin"/>
          <w:lang w:bidi="fa-IR"/>
          <w:color w:val="111111"/>
          <w:sz w:val="28"/>
          <w:szCs w:val="28"/>
          <w:rtl/>
        </w:rPr>
        <w:t xml:space="preserve">أقول:قد عرفت ممّا سبق منع حصول الظنّ کلّیة،و منع حجّیته </w:t>
      </w:r>
      <w:r>
        <w:rPr>
          <w:rStyle w:val="FootnoteReference"/>
        </w:rPr>
        <w:footnoteReference w:id="1804"/>
      </w:r>
      <w:r>
        <w:rPr>
          <w:rFonts w:ascii="Times New Roman" w:hAnsi="Times New Roman" w:eastAsia="Times New Roman" w:cs="Times New Roman"/>
          <w:lang w:val="en-US" w:bidi="en-US"/>
          <w:color w:val="111111"/>
          <w:sz w:val="28"/>
          <w:szCs w:val="28"/>
          <w:rtl/>
        </w:rPr>
        <w:t xml:space="preserve">.</w:t>
      </w:r>
    </w:p>
    <w:p>
      <w:pPr>
        <w:pStyle w:val="Heading6"/>
      </w:pPr>
      <w:bookmarkStart w:id="1797" w:name="_Toc832"/>
      <w:r>
        <w:t>[3-لزوم التناقض بناء علی الحجّیة و المناقشة فیه:]</w:t>
      </w:r>
      <w:bookmarkEnd w:id="1797"/>
    </w:p>
    <w:p>
      <w:pPr>
        <w:pStyle w:val="Heading6"/>
      </w:pPr>
      <w:bookmarkStart w:id="1798" w:name="_Toc833"/>
      <w:r>
        <w:t>اشارة</w:t>
      </w:r>
      <w:bookmarkEnd w:id="1798"/>
    </w:p>
    <w:p>
      <w:pPr>
        <w:pStyle w:val="BookText"/>
      </w:pPr>
      <w:r>
        <w:rPr>
          <w:rFonts w:ascii="IRNazanin" w:hAnsi="IRNazanin" w:eastAsia="IRNazanin" w:cs="IRNazanin"/>
          <w:lang w:bidi="fa-IR"/>
          <w:color w:val="111111"/>
          <w:sz w:val="28"/>
          <w:szCs w:val="28"/>
          <w:rtl/>
        </w:rPr>
        <w:t xml:space="preserve">و منها:أنّه لو کان حجّة لزم التناقض؛إذ کما یقال:کان للمصلّی قبل وجدان الماء المضیّ فی صلاته فکذا بعد الوجدان،کذلک یقال:إنّ وجدان الماء قبل الدخول فی الصلاة کان ناقضا للتیمّم فکذا بعد الدخول، أو یقال:الاشتغال بصلاة متیقّنة ثابت قبل فعل هذه الصلاة فیستصحب.</w:t>
      </w:r>
    </w:p>
    <w:p>
      <w:pPr>
        <w:pStyle w:val="BookText"/>
      </w:pPr>
      <w:r>
        <w:rPr>
          <w:rFonts w:ascii="IRNazanin" w:hAnsi="IRNazanin" w:eastAsia="IRNazanin" w:cs="IRNazanin"/>
          <w:lang w:bidi="fa-IR"/>
          <w:color w:val="111111"/>
          <w:sz w:val="28"/>
          <w:szCs w:val="28"/>
          <w:rtl/>
        </w:rPr>
        <w:t xml:space="preserve">قال فی المعتبر:استصحاب الحال لیس حجّة؛لأنّ شرعیّة الصلاة بشرط عدم الماء لا یستلزم الشرعیّة معه،ثمّ إنّ مثل هذا لا یسلم عن المعارض؛ لأنّک تقول:الذمّة مشغولة بالصلاة قبل الإتمام فکذا بعده </w:t>
      </w:r>
      <w:r>
        <w:rPr>
          <w:rStyle w:val="FootnoteReference"/>
        </w:rPr>
        <w:footnoteReference w:id="1805"/>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أجاب عن ذلک فی المعارج:بمنع وجود المعارض فی کلّ مقام،و وجود المعارض فی الأدلّة المظنونة لا یوجب سقوطها حیث تسلم عن المعارض </w:t>
      </w:r>
      <w:r>
        <w:rPr>
          <w:rStyle w:val="FootnoteReference"/>
        </w:rPr>
        <w:footnoteReference w:id="1806"/>
      </w:r>
      <w:r>
        <w:rPr>
          <w:rFonts w:ascii="Times New Roman" w:hAnsi="Times New Roman" w:eastAsia="Times New Roman" w:cs="Times New Roman"/>
          <w:lang w:val="en-US" w:bidi="en-US"/>
          <w:color w:val="111111"/>
          <w:sz w:val="28"/>
          <w:szCs w:val="28"/>
          <w:rtl/>
        </w:rPr>
        <w:t xml:space="preserve">.</w:t>
      </w:r>
    </w:p>
    <w:p>
      <w:pPr>
        <w:pStyle w:val="Heading6"/>
      </w:pPr>
      <w:bookmarkStart w:id="1799" w:name="_Toc834"/>
      <w:r>
        <w:t>[المناقشة فیه:]</w:t>
      </w:r>
      <w:bookmarkEnd w:id="1799"/>
    </w:p>
    <w:p>
      <w:pPr>
        <w:pStyle w:val="BookText"/>
      </w:pPr>
      <w:r>
        <w:rPr>
          <w:rFonts w:ascii="IRNazanin" w:hAnsi="IRNazanin" w:eastAsia="IRNazanin" w:cs="IRNazanin"/>
          <w:lang w:bidi="fa-IR"/>
          <w:color w:val="111111"/>
          <w:sz w:val="28"/>
          <w:szCs w:val="28"/>
          <w:rtl/>
        </w:rPr>
        <w:t xml:space="preserve">أقول:لو بنی علی معارضة الاستصحاب بمثل استصحاب الاشتغال لم یسلم الاستصحاب فی أغلب الموارد </w:t>
      </w:r>
      <w:r>
        <w:rPr>
          <w:rFonts w:ascii="Times New Roman" w:hAnsi="Times New Roman" w:eastAsia="Times New Roman" w:cs="Times New Roman"/>
          <w:lang w:val="en-US" w:bidi="en-US"/>
          <w:color w:val="111111"/>
          <w:sz w:val="28"/>
          <w:szCs w:val="28"/>
          <w:vertAlign w:val="superscript"/>
          <w:rtl/>
        </w:rPr>
        <w:t xml:space="preserve">(5)</w:t>
      </w:r>
      <w:r>
        <w:rPr>
          <w:rFonts w:ascii="IRNazanin" w:hAnsi="IRNazanin" w:eastAsia="IRNazanin" w:cs="IRNazanin"/>
          <w:lang w:bidi="fa-IR"/>
          <w:color w:val="111111"/>
          <w:sz w:val="28"/>
          <w:szCs w:val="28"/>
          <w:rtl/>
        </w:rPr>
        <w:t xml:space="preserve">عن المعارض؛إذ قلّما ینفکّ مستصحب عن أثر حادث یراد ترتّبه علی بقائه،فیقال:الأصل عدم ذلک الأثر.</w:t>
      </w:r>
    </w:p>
    <w:p>
      <w:pPr>
        <w:pStyle w:val="BookText"/>
      </w:pPr>
      <w:r>
        <w:rPr>
          <w:rFonts w:ascii="IRNazanin" w:hAnsi="IRNazanin" w:eastAsia="IRNazanin" w:cs="IRNazanin"/>
          <w:lang w:bidi="fa-IR"/>
          <w:color w:val="111111"/>
          <w:sz w:val="28"/>
          <w:szCs w:val="28"/>
          <w:rtl/>
        </w:rPr>
        <w:t xml:space="preserve">و الأولی فی الجواب:أنّا إذا قلنا باعتبار الاستصحاب لإفادته</w:t>
      </w:r>
    </w:p>
    <w:p>
      <w:pPr>
        <w:pStyle w:val="BookText"/>
      </w:pPr>
      <w:r>
        <w:rPr>
          <w:rFonts w:ascii="IRNazanin" w:hAnsi="IRNazanin" w:eastAsia="IRNazanin" w:cs="IRNazanin"/>
          <w:lang w:bidi="fa-IR"/>
          <w:color w:val="111111"/>
          <w:sz w:val="28"/>
          <w:szCs w:val="28"/>
          <w:rtl/>
        </w:rPr>
        <w:t xml:space="preserve">[شماره صفحه واقعی : 100]
</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bookmarkStart w:id="390" w:name="pg14411_142994"/>
    <w:bookmarkEnd w:id="390"/>
    <w:p>
      <w:pPr>
        <w:pStyle w:val="BookText"/>
      </w:pPr>
      <w:r>
        <w:rPr>
          <w:rFonts w:ascii="IRNazanin" w:hAnsi="IRNazanin" w:eastAsia="IRNazanin" w:cs="IRNazanin"/>
          <w:lang w:bidi="fa-IR"/>
          <w:color w:val="111111"/>
          <w:sz w:val="28"/>
          <w:szCs w:val="28"/>
          <w:rtl/>
        </w:rPr>
        <w:t xml:space="preserve">الظنّ بالبقاء،فإذا ثبت ظنّ البقاء فی شیء لزمه عقلا ظنّ ارتفاع کلّ أمر فرض کون بقاء المستصحب رافعا له أو جزءا أخیرا له،فلا یعقل الظنّ ببقائه؛فإنّ ظنّ بقاء طهارة ماء غسل به ثوب نجس أو توضّأ به محدث،مستلزم عقلا للظنّ بطهارة </w:t>
      </w:r>
      <w:r>
        <w:rPr>
          <w:rStyle w:val="FootnoteReference"/>
        </w:rPr>
        <w:footnoteReference w:id="1807"/>
      </w:r>
      <w:r>
        <w:rPr>
          <w:rFonts w:ascii="IRNazanin" w:hAnsi="IRNazanin" w:eastAsia="IRNazanin" w:cs="IRNazanin"/>
          <w:lang w:bidi="fa-IR"/>
          <w:color w:val="111111"/>
          <w:sz w:val="28"/>
          <w:szCs w:val="28"/>
          <w:rtl/>
        </w:rPr>
        <w:t xml:space="preserve">ثوبه و بدنه و براءة ذمّته بالصلاة بعد تلک الطهارة.و کذا الظنّ بوجوب المضیّ فی الصلاة یستلزم الظنّ بارتفاع اشتغال الذمّة بمجرّد إتمام تلک الصلاة.</w:t>
      </w:r>
    </w:p>
    <w:p>
      <w:pPr>
        <w:pStyle w:val="BookText"/>
      </w:pPr>
      <w:r>
        <w:rPr>
          <w:rFonts w:ascii="IRNazanin" w:hAnsi="IRNazanin" w:eastAsia="IRNazanin" w:cs="IRNazanin"/>
          <w:lang w:bidi="fa-IR"/>
          <w:color w:val="111111"/>
          <w:sz w:val="28"/>
          <w:szCs w:val="28"/>
          <w:rtl/>
        </w:rPr>
        <w:t xml:space="preserve">و توهّم إمکان العکس،مدفوع بما سیجیء توضیحه من عدم إمکانه </w:t>
      </w:r>
      <w:r>
        <w:rPr>
          <w:rStyle w:val="FootnoteReference"/>
        </w:rPr>
        <w:footnoteReference w:id="18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کذا إذا قلنا باعتباره من باب التعبّد بالنسبة إلی الآثار الشرعیّة المترتّبة علی وجود المستصحب أو عدمه؛لما ستعرف:من عدم إمکان شمول الروایات إلاّ للشکّ السببی </w:t>
      </w:r>
      <w:r>
        <w:rPr>
          <w:rStyle w:val="FootnoteReference"/>
        </w:rPr>
        <w:footnoteReference w:id="1809"/>
      </w:r>
      <w:r>
        <w:rPr>
          <w:rFonts w:ascii="IRNazanin" w:hAnsi="IRNazanin" w:eastAsia="IRNazanin" w:cs="IRNazanin"/>
          <w:lang w:bidi="fa-IR"/>
          <w:color w:val="111111"/>
          <w:sz w:val="28"/>
          <w:szCs w:val="28"/>
          <w:rtl/>
        </w:rPr>
        <w:t xml:space="preserve">،و منه یظهر حال معارضة استصحاب وجوب المضیّ باستصحاب انتقاض التیمّم بوجدان الماء.</w:t>
      </w:r>
    </w:p>
    <w:p>
      <w:pPr>
        <w:pStyle w:val="Heading6"/>
      </w:pPr>
      <w:bookmarkStart w:id="1800" w:name="_Toc835"/>
      <w:r>
        <w:t>[4-استلزام القول بالحجّیة ترجیح بیّنة النافی:]</w:t>
      </w:r>
      <w:bookmarkEnd w:id="1800"/>
    </w:p>
    <w:p>
      <w:pPr>
        <w:pStyle w:val="Heading6"/>
      </w:pPr>
      <w:bookmarkStart w:id="1801" w:name="_Toc836"/>
      <w:r>
        <w:t>اشارة</w:t>
      </w:r>
      <w:bookmarkEnd w:id="1801"/>
    </w:p>
    <w:p>
      <w:pPr>
        <w:pStyle w:val="BookText"/>
      </w:pPr>
      <w:r>
        <w:rPr>
          <w:rFonts w:ascii="IRNazanin" w:hAnsi="IRNazanin" w:eastAsia="IRNazanin" w:cs="IRNazanin"/>
          <w:lang w:bidi="fa-IR"/>
          <w:color w:val="111111"/>
          <w:sz w:val="28"/>
          <w:szCs w:val="28"/>
          <w:rtl/>
        </w:rPr>
        <w:t xml:space="preserve">و منها:أنّه لو کان الاستصحاب حجّة لکان بیّنة النفی أولی و أرجح من بیّنة الإثبات؛لاعتضادها باستصحاب النفی.</w:t>
      </w:r>
    </w:p>
    <w:p>
      <w:pPr>
        <w:pStyle w:val="Heading6"/>
      </w:pPr>
      <w:bookmarkStart w:id="1802" w:name="_Toc837"/>
      <w:r>
        <w:t>[المناقشة فی ذلک:]</w:t>
      </w:r>
      <w:bookmarkEnd w:id="1802"/>
    </w:p>
    <w:p>
      <w:pPr>
        <w:pStyle w:val="BookText"/>
      </w:pPr>
      <w:r>
        <w:rPr>
          <w:rFonts w:ascii="IRNazanin" w:hAnsi="IRNazanin" w:eastAsia="IRNazanin" w:cs="IRNazanin"/>
          <w:lang w:bidi="fa-IR"/>
          <w:color w:val="111111"/>
          <w:sz w:val="28"/>
          <w:szCs w:val="28"/>
          <w:rtl/>
        </w:rPr>
        <w:t xml:space="preserve">و الجواب عنه:</w:t>
      </w:r>
    </w:p>
    <w:p>
      <w:pPr>
        <w:pStyle w:val="BookText"/>
      </w:pPr>
      <w:r>
        <w:rPr>
          <w:rFonts w:ascii="IRNazanin" w:hAnsi="IRNazanin" w:eastAsia="IRNazanin" w:cs="IRNazanin"/>
          <w:lang w:bidi="fa-IR"/>
          <w:color w:val="111111"/>
          <w:sz w:val="28"/>
          <w:szCs w:val="28"/>
          <w:rtl/>
        </w:rPr>
        <w:t xml:space="preserve">أوّلا:باشتراک هذا الإیراد؛بناء علی ما صرّح به جماعة </w:t>
      </w:r>
      <w:r>
        <w:rPr>
          <w:rStyle w:val="FootnoteReference"/>
        </w:rPr>
        <w:footnoteReference w:id="1810"/>
      </w:r>
      <w:r>
        <w:rPr>
          <w:rFonts w:ascii="IRNazanin" w:hAnsi="IRNazanin" w:eastAsia="IRNazanin" w:cs="IRNazanin"/>
          <w:lang w:bidi="fa-IR"/>
          <w:color w:val="111111"/>
          <w:sz w:val="28"/>
          <w:szCs w:val="28"/>
          <w:rtl/>
        </w:rPr>
        <w:t xml:space="preserve">:من کون استصحاب النفی المسمّی ب:«البراءة الأصلیّة»معتبرا إجماعا،</w:t>
      </w:r>
    </w:p>
    <w:p>
      <w:pPr>
        <w:pStyle w:val="BookText"/>
      </w:pPr>
      <w:r>
        <w:rPr>
          <w:rFonts w:ascii="IRNazanin" w:hAnsi="IRNazanin" w:eastAsia="IRNazanin" w:cs="IRNazanin"/>
          <w:lang w:bidi="fa-IR"/>
          <w:color w:val="111111"/>
          <w:sz w:val="28"/>
          <w:szCs w:val="28"/>
          <w:rtl/>
        </w:rPr>
        <w:t xml:space="preserve">[شماره صفحه واقعی : 101]
</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إلاّ أن یقال:إنّ اعتبارها لیس </w:t>
      </w:r>
      <w:r>
        <w:rPr>
          <w:rStyle w:val="FootnoteReference"/>
        </w:rPr>
        <w:footnoteReference w:id="1811"/>
      </w:r>
      <w:r>
        <w:rPr>
          <w:rFonts w:ascii="IRNazanin" w:hAnsi="IRNazanin" w:eastAsia="IRNazanin" w:cs="IRNazanin"/>
          <w:lang w:bidi="fa-IR"/>
          <w:color w:val="111111"/>
          <w:sz w:val="28"/>
          <w:szCs w:val="28"/>
          <w:rtl/>
        </w:rPr>
        <w:t xml:space="preserve">لأجل الظنّ،أو یقال:إنّ الإجماع إنّما هو علی البراءة الأصلیّة فی الأحکام الکلّیة-فلو کان أحد الدلیلین معتضدا بالاستصحاب اخذ به-لا فی باب الشکّ فی اشتغال ذمّة الناس؛فإنّه من محلّ الخلاف فی باب الاستصحاب.</w:t>
      </w:r>
    </w:p>
    <w:p>
      <w:pPr>
        <w:pStyle w:val="BookText"/>
      </w:pPr>
      <w:r>
        <w:rPr>
          <w:rFonts w:ascii="IRNazanin" w:hAnsi="IRNazanin" w:eastAsia="IRNazanin" w:cs="IRNazanin"/>
          <w:lang w:bidi="fa-IR"/>
          <w:color w:val="111111"/>
          <w:sz w:val="28"/>
          <w:szCs w:val="28"/>
          <w:rtl/>
        </w:rPr>
        <w:t xml:space="preserve">و ثانیا:بما ذکره جماعة </w:t>
      </w:r>
      <w:r>
        <w:rPr>
          <w:rStyle w:val="FootnoteReference"/>
        </w:rPr>
        <w:footnoteReference w:id="1812"/>
      </w:r>
      <w:r>
        <w:rPr>
          <w:rFonts w:ascii="IRNazanin" w:hAnsi="IRNazanin" w:eastAsia="IRNazanin" w:cs="IRNazanin"/>
          <w:lang w:bidi="fa-IR"/>
          <w:color w:val="111111"/>
          <w:sz w:val="28"/>
          <w:szCs w:val="28"/>
          <w:rtl/>
        </w:rPr>
        <w:t xml:space="preserve">،من أنّ تقدیم بیّنة الإثبات لقوّتها علی بیّنة النفی و إن اعتضد </w:t>
      </w:r>
      <w:r>
        <w:rPr>
          <w:rStyle w:val="FootnoteReference"/>
        </w:rPr>
        <w:footnoteReference w:id="1813"/>
      </w:r>
      <w:r>
        <w:rPr>
          <w:rFonts w:ascii="IRNazanin" w:hAnsi="IRNazanin" w:eastAsia="IRNazanin" w:cs="IRNazanin"/>
          <w:lang w:bidi="fa-IR"/>
          <w:color w:val="111111"/>
          <w:sz w:val="28"/>
          <w:szCs w:val="28"/>
          <w:rtl/>
        </w:rPr>
        <w:t xml:space="preserve">بالاستصحاب؛إذ ربّ دلیل أقوی من دلیلین.</w:t>
      </w:r>
    </w:p>
    <w:p>
      <w:pPr>
        <w:pStyle w:val="BookText"/>
      </w:pPr>
      <w:r>
        <w:rPr>
          <w:rFonts w:ascii="IRNazanin" w:hAnsi="IRNazanin" w:eastAsia="IRNazanin" w:cs="IRNazanin"/>
          <w:lang w:bidi="fa-IR"/>
          <w:color w:val="111111"/>
          <w:sz w:val="28"/>
          <w:szCs w:val="28"/>
          <w:rtl/>
        </w:rPr>
        <w:t xml:space="preserve">نعم،لو تکافأ دلیلان رجّح موافق الأصل به،لکن بیّنة النفی لا تکافئ بیّنة الإثبات،إلاّ أن یرجع أیضا إلی نوع من الإثبات،فیتکافئان.</w:t>
      </w:r>
    </w:p>
    <w:p>
      <w:pPr>
        <w:pStyle w:val="BookText"/>
      </w:pPr>
      <w:r>
        <w:rPr>
          <w:rFonts w:ascii="IRNazanin" w:hAnsi="IRNazanin" w:eastAsia="IRNazanin" w:cs="IRNazanin"/>
          <w:lang w:bidi="fa-IR"/>
          <w:color w:val="111111"/>
          <w:sz w:val="28"/>
          <w:szCs w:val="28"/>
          <w:rtl/>
        </w:rPr>
        <w:t xml:space="preserve">و حینئذ فالوجه تقدیم بیّنة النفی لو کان الترجیح فی البیّنات-کالترجیح فی الأدلّة-منوطا بقوّة الظنّ مطلقا،أو فی غیر الموارد المنصوصة علی الخلاف،کتقدیم بیّنة الخارج.</w:t>
      </w:r>
    </w:p>
    <w:p>
      <w:pPr>
        <w:pStyle w:val="BookText"/>
      </w:pPr>
      <w:r>
        <w:rPr>
          <w:rFonts w:ascii="IRNazanin" w:hAnsi="IRNazanin" w:eastAsia="IRNazanin" w:cs="IRNazanin"/>
          <w:lang w:bidi="fa-IR"/>
          <w:color w:val="111111"/>
          <w:sz w:val="28"/>
          <w:szCs w:val="28"/>
          <w:rtl/>
        </w:rPr>
        <w:t xml:space="preserve">و ربما تمسّکوا بوجوه أخر </w:t>
      </w:r>
      <w:r>
        <w:rPr>
          <w:rStyle w:val="FootnoteReference"/>
        </w:rPr>
        <w:footnoteReference w:id="1814"/>
      </w:r>
      <w:r>
        <w:rPr>
          <w:rFonts w:ascii="IRNazanin" w:hAnsi="IRNazanin" w:eastAsia="IRNazanin" w:cs="IRNazanin"/>
          <w:lang w:bidi="fa-IR"/>
          <w:color w:val="111111"/>
          <w:sz w:val="28"/>
          <w:szCs w:val="28"/>
          <w:rtl/>
        </w:rPr>
        <w:t xml:space="preserve">،یظهر حالها بملاحظة ما ذکرنا فی ما ذکرنا من أدلّتهم.</w:t>
      </w:r>
    </w:p>
    <w:p>
      <w:pPr>
        <w:pStyle w:val="BookText"/>
      </w:pPr>
      <w:r>
        <w:rPr>
          <w:rFonts w:ascii="IRNazanin" w:hAnsi="IRNazanin" w:eastAsia="IRNazanin" w:cs="IRNazanin"/>
          <w:lang w:bidi="fa-IR"/>
          <w:color w:val="111111"/>
          <w:sz w:val="28"/>
          <w:szCs w:val="28"/>
          <w:rtl/>
        </w:rPr>
        <w:t xml:space="preserve">هذا ملخّص الکلام فی أدلّة المثبتین و النافین مطلقا.</w:t>
      </w:r>
    </w:p>
    <w:p>
      <w:pPr>
        <w:pStyle w:val="BookText"/>
      </w:pPr>
      <w:r>
        <w:rPr>
          <w:rFonts w:ascii="IRNazanin" w:hAnsi="IRNazanin" w:eastAsia="IRNazanin" w:cs="IRNazanin"/>
          <w:lang w:bidi="fa-IR"/>
          <w:color w:val="111111"/>
          <w:sz w:val="28"/>
          <w:szCs w:val="28"/>
          <w:rtl/>
        </w:rPr>
        <w:t xml:space="preserve">[شماره صفحه واقعی : 102]
</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bookmarkStart w:id="391" w:name="pg14411_142996"/>
    <w:bookmarkEnd w:id="391"/>
    <w:p>
      <w:pPr>
        <w:pStyle w:val="Heading5"/>
      </w:pPr>
      <w:bookmarkStart w:id="1803" w:name="_Toc838"/>
      <w:r>
        <w:t>[حجّة القول الثالث] : [القول بالتفصیل بین العدمی و الوجودی:]</w:t>
      </w:r>
      <w:bookmarkEnd w:id="1803"/>
    </w:p>
    <w:p>
      <w:pPr>
        <w:pStyle w:val="Heading6"/>
      </w:pPr>
      <w:bookmarkStart w:id="1804" w:name="_Toc839"/>
      <w:r>
        <w:t>اشارة</w:t>
      </w:r>
      <w:bookmarkEnd w:id="1804"/>
    </w:p>
    <w:p>
      <w:pPr>
        <w:pStyle w:val="BookText"/>
      </w:pPr>
      <w:r>
        <w:rPr>
          <w:rFonts w:ascii="Amiri" w:hAnsi="Amiri" w:eastAsia="Amiri" w:cs="Amiri"/>
          <w:lang w:bidi="ar-SA"/>
          <w:color w:val="111111"/>
          <w:sz w:val="28"/>
          <w:szCs w:val="28"/>
          <w:rtl/>
        </w:rPr>
        <w:t xml:space="preserve">[حجّة القول الثالث] </w:t>
      </w:r>
      <w:r>
        <w:rPr>
          <w:rStyle w:val="FootnoteReference"/>
        </w:rPr>
        <w:footnoteReference w:id="1815"/>
      </w:r>
      <w:r>
        <w:rPr>
          <w:rFonts w:ascii="IRNazanin" w:hAnsi="IRNazanin" w:eastAsia="IRNazanin" w:cs="IRNazanin"/>
          <w:lang w:bidi="fa-IR"/>
          <w:color w:val="111111"/>
          <w:sz w:val="28"/>
          <w:szCs w:val="28"/>
          <w:rtl/>
        </w:rPr>
        <w:t xml:space="preserve">[القول بالتفصیل بین العدمی و الوجودی:]</w:t>
      </w:r>
    </w:p>
    <w:p>
      <w:pPr>
        <w:pStyle w:val="BookText"/>
      </w:pPr>
      <w:r>
        <w:rPr>
          <w:rFonts w:ascii="IRNazanin" w:hAnsi="IRNazanin" w:eastAsia="IRNazanin" w:cs="IRNazanin"/>
          <w:lang w:bidi="fa-IR"/>
          <w:color w:val="111111"/>
          <w:sz w:val="28"/>
          <w:szCs w:val="28"/>
          <w:rtl/>
        </w:rPr>
        <w:t xml:space="preserve">بقی الکلام فی حجج المفصّلین.</w:t>
      </w:r>
    </w:p>
    <w:p>
      <w:pPr>
        <w:pStyle w:val="BookText"/>
      </w:pPr>
      <w:r>
        <w:rPr>
          <w:rFonts w:ascii="IRNazanin" w:hAnsi="IRNazanin" w:eastAsia="IRNazanin" w:cs="IRNazanin"/>
          <w:lang w:bidi="fa-IR"/>
          <w:color w:val="111111"/>
          <w:sz w:val="28"/>
          <w:szCs w:val="28"/>
          <w:rtl/>
        </w:rPr>
        <w:t xml:space="preserve">فنقول:أمّا التفصیل بین العدمیّ و الوجودیّ بالاعتبار فی الأوّل و عدمه فی الثانی،فهو الذی ربما یستظهر من کلام التفتازانی،حیث استظهر من عبارة العضدی </w:t>
      </w:r>
      <w:r>
        <w:rPr>
          <w:rStyle w:val="FootnoteReference"/>
        </w:rPr>
        <w:footnoteReference w:id="1816"/>
      </w:r>
      <w:r>
        <w:rPr>
          <w:rFonts w:ascii="IRNazanin" w:hAnsi="IRNazanin" w:eastAsia="IRNazanin" w:cs="IRNazanin"/>
          <w:lang w:bidi="fa-IR"/>
          <w:color w:val="111111"/>
          <w:sz w:val="28"/>
          <w:szCs w:val="28"/>
          <w:rtl/>
        </w:rPr>
        <w:t xml:space="preserve">فی نقل الخلاف:أنّ خلاف منکری الاستصحاب إنّما هو فی الإثبات دون النفی </w:t>
      </w:r>
      <w:r>
        <w:rPr>
          <w:rStyle w:val="FootnoteReference"/>
        </w:rPr>
        <w:footnoteReference w:id="18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ما استظهره التفتازانی لا یخلو ظهوره عن تأمّل.</w:t>
      </w:r>
    </w:p>
    <w:p>
      <w:pPr>
        <w:pStyle w:val="BookText"/>
      </w:pPr>
      <w:r>
        <w:rPr>
          <w:rFonts w:ascii="IRNazanin" w:hAnsi="IRNazanin" w:eastAsia="IRNazanin" w:cs="IRNazanin"/>
          <w:lang w:bidi="fa-IR"/>
          <w:color w:val="111111"/>
          <w:sz w:val="28"/>
          <w:szCs w:val="28"/>
          <w:rtl/>
        </w:rPr>
        <w:t xml:space="preserve">مع أنّ هنا إشکالا آخر-قد أشرنا إلیه فی تقسیم الاستصحاب فی </w:t>
      </w:r>
      <w:r>
        <w:rPr>
          <w:rStyle w:val="FootnoteReference"/>
        </w:rPr>
        <w:footnoteReference w:id="1818"/>
      </w:r>
      <w:r>
        <w:rPr>
          <w:rFonts w:ascii="IRNazanin" w:hAnsi="IRNazanin" w:eastAsia="IRNazanin" w:cs="IRNazanin"/>
          <w:lang w:bidi="fa-IR"/>
          <w:color w:val="111111"/>
          <w:sz w:val="28"/>
          <w:szCs w:val="28"/>
          <w:rtl/>
        </w:rPr>
        <w:t xml:space="preserve">تحریر محلّ الخلاف </w:t>
      </w:r>
      <w:r>
        <w:rPr>
          <w:rStyle w:val="FootnoteReference"/>
        </w:rPr>
        <w:footnoteReference w:id="1819"/>
      </w:r>
      <w:r>
        <w:rPr>
          <w:rFonts w:ascii="IRNazanin" w:hAnsi="IRNazanin" w:eastAsia="IRNazanin" w:cs="IRNazanin"/>
          <w:lang w:bidi="fa-IR"/>
          <w:color w:val="111111"/>
          <w:sz w:val="28"/>
          <w:szCs w:val="28"/>
          <w:rtl/>
        </w:rPr>
        <w:t xml:space="preserve">-و هو:أنّ القول باعتبار الاستصحاب فی العدمیّات یغنی عن التکلّم فی اعتباره فی الوجودیّات؛إذ ما من مستصحب وجودیّ إلاّ و فی مورده استصحاب عدمیّ یلزم من الظنّ ببقائه الظنّ ببقاء المستصحب الوجودی،و أقلّ ما یکون عدم ضدّه؛ فإنّ الطهارة لا تنفکّ عن عدم النجاسة،و الحیاة لا تنفکّ عن عدم الموت،و الوجوب أو غیره من الأحکام لا ینفکّ عن عدم ما عداه</w:t>
      </w:r>
    </w:p>
    <w:p>
      <w:pPr>
        <w:pStyle w:val="BookText"/>
      </w:pPr>
      <w:r>
        <w:rPr>
          <w:rFonts w:ascii="IRNazanin" w:hAnsi="IRNazanin" w:eastAsia="IRNazanin" w:cs="IRNazanin"/>
          <w:lang w:bidi="fa-IR"/>
          <w:color w:val="111111"/>
          <w:sz w:val="28"/>
          <w:szCs w:val="28"/>
          <w:rtl/>
        </w:rPr>
        <w:t xml:space="preserve">[شماره صفحه واقعی : 103]
</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bookmarkStart w:id="392" w:name="pg14411_142997"/>
    <w:bookmarkEnd w:id="392"/>
    <w:p>
      <w:pPr>
        <w:pStyle w:val="BookText"/>
      </w:pPr>
      <w:r>
        <w:rPr>
          <w:rFonts w:ascii="IRNazanin" w:hAnsi="IRNazanin" w:eastAsia="IRNazanin" w:cs="IRNazanin"/>
          <w:lang w:bidi="fa-IR"/>
          <w:color w:val="111111"/>
          <w:sz w:val="28"/>
          <w:szCs w:val="28"/>
          <w:rtl/>
        </w:rPr>
        <w:t xml:space="preserve">من أضداده،و الظنّ ببقاء هذه الأعدام لا ینفکّ عن الظنّ ببقاء تلک الوجودات،فلا بدّ من القول باعتباره،خصوصا بناء علی ما هو الظاهر المصرّح به فی کلام العضدی و غیره </w:t>
      </w:r>
      <w:r>
        <w:rPr>
          <w:rStyle w:val="FootnoteReference"/>
        </w:rPr>
        <w:footnoteReference w:id="1820"/>
      </w:r>
      <w:r>
        <w:rPr>
          <w:rFonts w:ascii="IRNazanin" w:hAnsi="IRNazanin" w:eastAsia="IRNazanin" w:cs="IRNazanin"/>
          <w:lang w:bidi="fa-IR"/>
          <w:color w:val="111111"/>
          <w:sz w:val="28"/>
          <w:szCs w:val="28"/>
          <w:rtl/>
        </w:rPr>
        <w:t xml:space="preserve">،من:«أنّ إنکار الاستصحاب لعدم إفادته الظنّ بالبقاء»،و إن کان ظاهر بعض النافین -کالسیّد قدّس سرّه </w:t>
      </w:r>
      <w:r>
        <w:rPr>
          <w:rStyle w:val="FootnoteReference"/>
        </w:rPr>
        <w:footnoteReference w:id="1821"/>
      </w:r>
      <w:r>
        <w:rPr>
          <w:rFonts w:ascii="IRNazanin" w:hAnsi="IRNazanin" w:eastAsia="IRNazanin" w:cs="IRNazanin"/>
          <w:lang w:bidi="fa-IR"/>
          <w:color w:val="111111"/>
          <w:sz w:val="28"/>
          <w:szCs w:val="28"/>
          <w:rtl/>
        </w:rPr>
        <w:t xml:space="preserve">و غیره </w:t>
      </w:r>
      <w:r>
        <w:rPr>
          <w:rStyle w:val="FootnoteReference"/>
        </w:rPr>
        <w:footnoteReference w:id="1822"/>
      </w:r>
      <w:r>
        <w:rPr>
          <w:rFonts w:ascii="IRNazanin" w:hAnsi="IRNazanin" w:eastAsia="IRNazanin" w:cs="IRNazanin"/>
          <w:lang w:bidi="fa-IR"/>
          <w:color w:val="111111"/>
          <w:sz w:val="28"/>
          <w:szCs w:val="28"/>
          <w:rtl/>
        </w:rPr>
        <w:t xml:space="preserve">-استنادهم إلی عدم إفادته للعلم؛بناء علی أنّ عدم اعتبار الظنّ عندهم مفروغ عنه فی أخبار الآحاد،فضلا عن الظنّ الاستصحابی.</w:t>
      </w:r>
    </w:p>
    <w:p>
      <w:pPr>
        <w:pStyle w:val="Heading6"/>
      </w:pPr>
      <w:bookmarkStart w:id="1805" w:name="_Toc840"/>
      <w:r>
        <w:t>[عدم استقامة هذا القول بناء علی اعتبار الاستصحاب من باب الظنّ:]</w:t>
      </w:r>
      <w:bookmarkEnd w:id="1805"/>
    </w:p>
    <w:p>
      <w:pPr>
        <w:pStyle w:val="BookText"/>
      </w:pPr>
      <w:r>
        <w:rPr>
          <w:rFonts w:ascii="IRNazanin" w:hAnsi="IRNazanin" w:eastAsia="IRNazanin" w:cs="IRNazanin"/>
          <w:lang w:bidi="fa-IR"/>
          <w:color w:val="111111"/>
          <w:sz w:val="28"/>
          <w:szCs w:val="28"/>
          <w:rtl/>
        </w:rPr>
        <w:t xml:space="preserve">و بالجملة:فإنکار الاستصحاب فی الوجودیّات و الاعتراف به فی العدمیّات لا یستقیم بناء علی اعتبار الاستصحاب من باب الظنّ.</w:t>
      </w:r>
    </w:p>
    <w:p>
      <w:pPr>
        <w:pStyle w:val="BookText"/>
      </w:pPr>
      <w:r>
        <w:rPr>
          <w:rFonts w:ascii="IRNazanin" w:hAnsi="IRNazanin" w:eastAsia="IRNazanin" w:cs="IRNazanin"/>
          <w:lang w:bidi="fa-IR"/>
          <w:color w:val="111111"/>
          <w:sz w:val="28"/>
          <w:szCs w:val="28"/>
          <w:rtl/>
        </w:rPr>
        <w:t xml:space="preserve">نعم،لو قلنا باعتباره من باب التعبّد-من جهة الأخبار-صحّ أن یقال:إنّ ثبوت العدم بالاستصحاب لا یوجب ثبوت ما قارنه من الوجودات،فاستصحاب عدم أضداد الوجوب لا یثبت الوجوب فی الزمان اللاحق،کما أنّ عدم ما عدا زید من أفراد الإنسان فی الدار لا یثبت باستصحابه </w:t>
      </w:r>
      <w:r>
        <w:rPr>
          <w:rStyle w:val="FootnoteReference"/>
        </w:rPr>
        <w:footnoteReference w:id="1823"/>
      </w:r>
      <w:r>
        <w:rPr>
          <w:rFonts w:ascii="IRNazanin" w:hAnsi="IRNazanin" w:eastAsia="IRNazanin" w:cs="IRNazanin"/>
          <w:lang w:bidi="fa-IR"/>
          <w:color w:val="111111"/>
          <w:sz w:val="28"/>
          <w:szCs w:val="28"/>
          <w:rtl/>
        </w:rPr>
        <w:t xml:space="preserve">ثبوت زید فیها،کما سیجیء تفصیله إن شاء اللّه تعالی </w:t>
      </w:r>
      <w:r>
        <w:rPr>
          <w:rStyle w:val="FootnoteReference"/>
        </w:rPr>
        <w:footnoteReference w:id="18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لکنّ المتکلّم فی الاستصحاب من باب التعبّد و الأخبار-بین</w:t>
      </w:r>
    </w:p>
    <w:p>
      <w:pPr>
        <w:pStyle w:val="BookText"/>
      </w:pPr>
      <w:r>
        <w:rPr>
          <w:rFonts w:ascii="IRNazanin" w:hAnsi="IRNazanin" w:eastAsia="IRNazanin" w:cs="IRNazanin"/>
          <w:lang w:bidi="fa-IR"/>
          <w:color w:val="111111"/>
          <w:sz w:val="28"/>
          <w:szCs w:val="28"/>
          <w:rtl/>
        </w:rPr>
        <w:t xml:space="preserve">[شماره صفحه واقعی : 104]
</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العلماء-فی غایة القلّة إلی زمان متأخّری المتأخّرین </w:t>
      </w:r>
      <w:r>
        <w:rPr>
          <w:rStyle w:val="FootnoteReference"/>
        </w:rPr>
        <w:footnoteReference w:id="1825"/>
      </w:r>
      <w:r>
        <w:rPr>
          <w:rFonts w:ascii="IRNazanin" w:hAnsi="IRNazanin" w:eastAsia="IRNazanin" w:cs="IRNazanin"/>
          <w:lang w:bidi="fa-IR"/>
          <w:color w:val="111111"/>
          <w:sz w:val="28"/>
          <w:szCs w:val="28"/>
          <w:rtl/>
        </w:rPr>
        <w:t xml:space="preserve">،مع أنّ بعض هؤلاء </w:t>
      </w:r>
      <w:r>
        <w:rPr>
          <w:rStyle w:val="FootnoteReference"/>
        </w:rPr>
        <w:footnoteReference w:id="1826"/>
      </w:r>
      <w:r>
        <w:rPr>
          <w:rFonts w:ascii="IRNazanin" w:hAnsi="IRNazanin" w:eastAsia="IRNazanin" w:cs="IRNazanin"/>
          <w:lang w:bidi="fa-IR"/>
          <w:color w:val="111111"/>
          <w:sz w:val="28"/>
          <w:szCs w:val="28"/>
          <w:rtl/>
        </w:rPr>
        <w:t xml:space="preserve">وجدناهم لا یفرّقون فی مقارنات المستصحب بین أفرادها، و یثبتون بالاستصحاب جمیع ما لا ینفکّ عن المستصحب،علی خلاف التحقیق الآتی فی التنبیهات الآتیة إن شاء اللّه تعالی </w:t>
      </w:r>
      <w:r>
        <w:rPr>
          <w:rStyle w:val="FootnoteReference"/>
        </w:rPr>
        <w:footnoteReference w:id="18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دعوی:أنّ اعتبار الاستصحابات العدمیّة لعلّه لیس لأجل الظنّ حتّی یسری إلی الوجودیّات المقارنة معها،بل لبناء العقلاء علیها فی امورهم بمقتضی جبلّتهم.</w:t>
      </w:r>
    </w:p>
    <w:p>
      <w:pPr>
        <w:pStyle w:val="BookText"/>
      </w:pPr>
      <w:r>
        <w:rPr>
          <w:rFonts w:ascii="IRNazanin" w:hAnsi="IRNazanin" w:eastAsia="IRNazanin" w:cs="IRNazanin"/>
          <w:lang w:bidi="fa-IR"/>
          <w:color w:val="111111"/>
          <w:sz w:val="28"/>
          <w:szCs w:val="28"/>
          <w:rtl/>
        </w:rPr>
        <w:t xml:space="preserve">مدفوعة:بأنّ عمل العقلاء فی معاشهم علی ما لا یفید الظنّ بمقاصدهم و المضیّ فی امورهم-بمحض الشکّ و التردّد-فی غایة البعد، بل خلاف ما نجده من أنفسنا معاشر العقلاء.</w:t>
      </w:r>
    </w:p>
    <w:p>
      <w:pPr>
        <w:pStyle w:val="BookText"/>
      </w:pPr>
      <w:r>
        <w:rPr>
          <w:rFonts w:ascii="IRNazanin" w:hAnsi="IRNazanin" w:eastAsia="IRNazanin" w:cs="IRNazanin"/>
          <w:lang w:bidi="fa-IR"/>
          <w:color w:val="111111"/>
          <w:sz w:val="28"/>
          <w:szCs w:val="28"/>
          <w:rtl/>
        </w:rPr>
        <w:t xml:space="preserve">و أضعف من ذلک أن یدّعی:أنّ المعتبر عند العقلاء من الظنّ الاستصحابی هو الحاصل بالشیء من تحقّقه السابق،لا الظنّ الساری من هذا الظنّ إلی شیء آخر،و حینئذ فنقول:العدم المحقّق سابقا یظنّ بتحقّقه لاحقا-ما لم یعلم أو یظنّ تبدّله بالوجود-بخلاف الوجود المحقّق سابقا فإنّه لا یحصل الظنّ ببقائه لمجرّد تحقّقه السابق،و الظنّ الحاصل ببقائه من الظنّ الاستصحابی المتعلّق بالعدمیّ المقارن له غیر</w:t>
      </w:r>
    </w:p>
    <w:p>
      <w:pPr>
        <w:pStyle w:val="BookText"/>
      </w:pPr>
      <w:r>
        <w:rPr>
          <w:rFonts w:ascii="IRNazanin" w:hAnsi="IRNazanin" w:eastAsia="IRNazanin" w:cs="IRNazanin"/>
          <w:lang w:bidi="fa-IR"/>
          <w:color w:val="111111"/>
          <w:sz w:val="28"/>
          <w:szCs w:val="28"/>
          <w:rtl/>
        </w:rPr>
        <w:t xml:space="preserve">[شماره صفحه واقعی : 105]
</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bookmarkStart w:id="393" w:name="pg14411_142999"/>
    <w:bookmarkEnd w:id="393"/>
    <w:p>
      <w:pPr>
        <w:pStyle w:val="BookText"/>
      </w:pPr>
      <w:r>
        <w:rPr>
          <w:rFonts w:ascii="IRNazanin" w:hAnsi="IRNazanin" w:eastAsia="IRNazanin" w:cs="IRNazanin"/>
          <w:lang w:bidi="fa-IR"/>
          <w:color w:val="111111"/>
          <w:sz w:val="28"/>
          <w:szCs w:val="28"/>
          <w:rtl/>
        </w:rPr>
        <w:t xml:space="preserve">معتبر،إمّا مطلقا،أو إذا لم یکن ذلک الوجودیّ من آثار العدمیّ المترتّبة علیه </w:t>
      </w:r>
      <w:r>
        <w:rPr>
          <w:rStyle w:val="FootnoteReference"/>
        </w:rPr>
        <w:footnoteReference w:id="1828"/>
      </w:r>
      <w:r>
        <w:rPr>
          <w:rFonts w:ascii="Amiri" w:hAnsi="Amiri" w:eastAsia="Amiri" w:cs="Amiri"/>
          <w:lang w:bidi="ar-SA"/>
          <w:color w:val="111111"/>
          <w:sz w:val="28"/>
          <w:szCs w:val="28"/>
          <w:rtl/>
        </w:rPr>
        <w:t xml:space="preserve">من جهة الاستصحاب </w:t>
      </w:r>
      <w:r>
        <w:rPr>
          <w:rStyle w:val="FootnoteReference"/>
        </w:rPr>
        <w:footnoteReference w:id="18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لعلّه المراد بما حکاه التفتازانی عن الحنفیّة،من:«أنّ حیاة الغائب بالاستصحاب إنّما یصلح عندهم-من جهة الاستصحاب-لعدم انتقال إرثه إلی وارثه،لا انتقال إرث </w:t>
      </w:r>
      <w:r>
        <w:rPr>
          <w:rStyle w:val="FootnoteReference"/>
        </w:rPr>
        <w:footnoteReference w:id="1830"/>
      </w:r>
      <w:r>
        <w:rPr>
          <w:rFonts w:ascii="Amiri" w:hAnsi="Amiri" w:eastAsia="Amiri" w:cs="Amiri"/>
          <w:lang w:bidi="ar-SA"/>
          <w:color w:val="111111"/>
          <w:sz w:val="28"/>
          <w:szCs w:val="28"/>
          <w:rtl/>
        </w:rPr>
        <w:t xml:space="preserve">مورّثه إلیه» </w:t>
      </w:r>
      <w:r>
        <w:rPr>
          <w:rStyle w:val="FootnoteReference"/>
        </w:rPr>
        <w:footnoteReference w:id="1831"/>
      </w:r>
      <w:r>
        <w:rPr>
          <w:rFonts w:ascii="IRNazanin" w:hAnsi="IRNazanin" w:eastAsia="IRNazanin" w:cs="IRNazanin"/>
          <w:lang w:bidi="fa-IR"/>
          <w:color w:val="111111"/>
          <w:sz w:val="28"/>
          <w:szCs w:val="28"/>
          <w:rtl/>
        </w:rPr>
        <w:t xml:space="preserve">فإنّ معنی ذلک أنّهم یعتبرون ظنّ عدم انتقال مال الغائب إلی وارثه،لا انتقال مال مورّثه إلیه و إن کان أحد الظنّین لا ینفکّ عن الآخر </w:t>
      </w:r>
      <w:r>
        <w:rPr>
          <w:rStyle w:val="FootnoteReference"/>
        </w:rPr>
        <w:footnoteReference w:id="1832"/>
      </w:r>
      <w:r>
        <w:rPr>
          <w:rFonts w:ascii="Times New Roman" w:hAnsi="Times New Roman" w:eastAsia="Times New Roman" w:cs="Times New Roman"/>
          <w:lang w:val="en-US" w:bidi="en-US"/>
          <w:color w:val="111111"/>
          <w:sz w:val="28"/>
          <w:szCs w:val="28"/>
          <w:rtl/>
        </w:rPr>
        <w:t xml:space="preserve">.</w:t>
      </w:r>
    </w:p>
    <w:p>
      <w:pPr>
        <w:pStyle w:val="Heading6"/>
      </w:pPr>
      <w:bookmarkStart w:id="1806" w:name="_Toc841"/>
      <w:r>
        <w:t>[معنی عدم اعتبار الاستصحاب فی الوجودی:]</w:t>
      </w:r>
      <w:bookmarkEnd w:id="1806"/>
    </w:p>
    <w:p>
      <w:pPr>
        <w:pStyle w:val="BookText"/>
      </w:pPr>
      <w:r>
        <w:rPr>
          <w:rFonts w:ascii="IRNazanin" w:hAnsi="IRNazanin" w:eastAsia="IRNazanin" w:cs="IRNazanin"/>
          <w:lang w:bidi="fa-IR"/>
          <w:color w:val="111111"/>
          <w:sz w:val="28"/>
          <w:szCs w:val="28"/>
          <w:rtl/>
        </w:rPr>
        <w:t xml:space="preserve">ثمّ إنّ معنی عدم اعتبار الاستصحاب فی الوجودیّ:</w:t>
      </w:r>
    </w:p>
    <w:p>
      <w:pPr>
        <w:pStyle w:val="BookText"/>
      </w:pPr>
      <w:r>
        <w:rPr>
          <w:rFonts w:ascii="IRNazanin" w:hAnsi="IRNazanin" w:eastAsia="IRNazanin" w:cs="IRNazanin"/>
          <w:lang w:bidi="fa-IR"/>
          <w:color w:val="111111"/>
          <w:sz w:val="28"/>
          <w:szCs w:val="28"/>
          <w:rtl/>
        </w:rPr>
        <w:t xml:space="preserve">إمّا عدم الحکم ببقاء المستصحب الوجودیّ و إن کان لترتّب أمر عدمیّ علیه،کترتّب عدم جواز </w:t>
      </w:r>
      <w:r>
        <w:rPr>
          <w:rStyle w:val="FootnoteReference"/>
        </w:rPr>
        <w:footnoteReference w:id="1833"/>
      </w:r>
      <w:r>
        <w:rPr>
          <w:rFonts w:ascii="IRNazanin" w:hAnsi="IRNazanin" w:eastAsia="IRNazanin" w:cs="IRNazanin"/>
          <w:lang w:bidi="fa-IR"/>
          <w:color w:val="111111"/>
          <w:sz w:val="28"/>
          <w:szCs w:val="28"/>
          <w:rtl/>
        </w:rPr>
        <w:t xml:space="preserve">تزویج المرأة المفقود زوجها المترتّب علی حیاته.</w:t>
      </w:r>
    </w:p>
    <w:p>
      <w:pPr>
        <w:pStyle w:val="BookText"/>
      </w:pPr>
      <w:r>
        <w:rPr>
          <w:rFonts w:ascii="IRNazanin" w:hAnsi="IRNazanin" w:eastAsia="IRNazanin" w:cs="IRNazanin"/>
          <w:lang w:bidi="fa-IR"/>
          <w:color w:val="111111"/>
          <w:sz w:val="28"/>
          <w:szCs w:val="28"/>
          <w:rtl/>
        </w:rPr>
        <w:t xml:space="preserve">و إمّا عدم ثبوت الأمر الوجودیّ لأجل الاستصحاب و إن کان المستصحب عدمیّا،فلا یترتّب انتقال مال قریب الغائب إلیه و إن کان</w:t>
      </w:r>
    </w:p>
    <w:p>
      <w:pPr>
        <w:pStyle w:val="BookText"/>
      </w:pPr>
      <w:r>
        <w:rPr>
          <w:rFonts w:ascii="IRNazanin" w:hAnsi="IRNazanin" w:eastAsia="IRNazanin" w:cs="IRNazanin"/>
          <w:lang w:bidi="fa-IR"/>
          <w:color w:val="111111"/>
          <w:sz w:val="28"/>
          <w:szCs w:val="28"/>
          <w:rtl/>
        </w:rPr>
        <w:t xml:space="preserve">[شماره صفحه واقعی : 106]
</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مترتّبا علی استصحاب عدم موته.و لعلّ هذا هو المراد بما حکاه التفتازانی عن الحنفیّة:من أنّ الاستصحاب حجّة فی النفی دون الإثبات </w:t>
      </w:r>
      <w:r>
        <w:rPr>
          <w:rStyle w:val="FootnoteReference"/>
        </w:rPr>
        <w:footnoteReference w:id="18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بالجملة:فلم یظهر لی ما یدفع هذا الإشکال عن القول بعدم اعتبار الاستصحاب فی الإثبات و اعتباره فی النفی من باب الظنّ.</w:t>
      </w:r>
    </w:p>
    <w:p>
      <w:pPr>
        <w:pStyle w:val="BookText"/>
      </w:pPr>
      <w:r>
        <w:rPr>
          <w:rFonts w:ascii="IRNazanin" w:hAnsi="IRNazanin" w:eastAsia="IRNazanin" w:cs="IRNazanin"/>
          <w:lang w:bidi="fa-IR"/>
          <w:color w:val="111111"/>
          <w:sz w:val="28"/>
          <w:szCs w:val="28"/>
          <w:rtl/>
        </w:rPr>
        <w:t xml:space="preserve">نعم،قد أشرنا فیما مضی </w:t>
      </w:r>
      <w:r>
        <w:rPr>
          <w:rStyle w:val="FootnoteReference"/>
        </w:rPr>
        <w:footnoteReference w:id="1835"/>
      </w:r>
      <w:r>
        <w:rPr>
          <w:rFonts w:ascii="Amiri" w:hAnsi="Amiri" w:eastAsia="Amiri" w:cs="Amiri"/>
          <w:lang w:bidi="ar-SA"/>
          <w:color w:val="111111"/>
          <w:sz w:val="28"/>
          <w:szCs w:val="28"/>
          <w:rtl/>
        </w:rPr>
        <w:t xml:space="preserve">إلی أنّه </w:t>
      </w:r>
      <w:r>
        <w:rPr>
          <w:rStyle w:val="FootnoteReference"/>
        </w:rPr>
        <w:footnoteReference w:id="1836"/>
      </w:r>
      <w:r>
        <w:rPr>
          <w:rFonts w:ascii="IRNazanin" w:hAnsi="IRNazanin" w:eastAsia="IRNazanin" w:cs="IRNazanin"/>
          <w:lang w:bidi="fa-IR"/>
          <w:color w:val="111111"/>
          <w:sz w:val="28"/>
          <w:szCs w:val="28"/>
          <w:rtl/>
        </w:rPr>
        <w:t xml:space="preserve">لو قیل باعتباره فی النفی من باب التعبّد،لم یغن ذلک عن التکلّم فی الاستصحاب الوجودیّ؛بناء علی ما سنحقّقه </w:t>
      </w:r>
      <w:r>
        <w:rPr>
          <w:rStyle w:val="FootnoteReference"/>
        </w:rPr>
        <w:footnoteReference w:id="1837"/>
      </w:r>
      <w:r>
        <w:rPr>
          <w:rFonts w:ascii="IRNazanin" w:hAnsi="IRNazanin" w:eastAsia="IRNazanin" w:cs="IRNazanin"/>
          <w:lang w:bidi="fa-IR"/>
          <w:color w:val="111111"/>
          <w:sz w:val="28"/>
          <w:szCs w:val="28"/>
          <w:rtl/>
        </w:rPr>
        <w:t xml:space="preserve">:من أنّه لا یثبت بالاستصحاب إلاّ آثار المستصحب المترتّبة علیه شرعا.</w:t>
      </w:r>
    </w:p>
    <w:p>
      <w:pPr>
        <w:pStyle w:val="BookText"/>
      </w:pPr>
      <w:r>
        <w:rPr>
          <w:rFonts w:ascii="IRNazanin" w:hAnsi="IRNazanin" w:eastAsia="IRNazanin" w:cs="IRNazanin"/>
          <w:lang w:bidi="fa-IR"/>
          <w:color w:val="111111"/>
          <w:sz w:val="28"/>
          <w:szCs w:val="28"/>
          <w:rtl/>
        </w:rPr>
        <w:t xml:space="preserve">لکن یرد </w:t>
      </w:r>
      <w:r>
        <w:rPr>
          <w:rStyle w:val="FootnoteReference"/>
        </w:rPr>
        <w:footnoteReference w:id="1838"/>
      </w:r>
      <w:r>
        <w:rPr>
          <w:rFonts w:ascii="IRNazanin" w:hAnsi="IRNazanin" w:eastAsia="IRNazanin" w:cs="IRNazanin"/>
          <w:lang w:bidi="fa-IR"/>
          <w:color w:val="111111"/>
          <w:sz w:val="28"/>
          <w:szCs w:val="28"/>
          <w:rtl/>
        </w:rPr>
        <w:t xml:space="preserve">علی هذا:أنّ هذا التفصیل مساو للتفصیل المختار المتقدّم </w:t>
      </w:r>
      <w:r>
        <w:rPr>
          <w:rStyle w:val="FootnoteReference"/>
        </w:rPr>
        <w:footnoteReference w:id="1839"/>
      </w:r>
      <w:r>
        <w:rPr>
          <w:rFonts w:ascii="IRNazanin" w:hAnsi="IRNazanin" w:eastAsia="IRNazanin" w:cs="IRNazanin"/>
          <w:lang w:bidi="fa-IR"/>
          <w:color w:val="111111"/>
          <w:sz w:val="28"/>
          <w:szCs w:val="28"/>
          <w:rtl/>
        </w:rPr>
        <w:t xml:space="preserve">،و لا یفترقان فیغنی أحدهما عن الآخر </w:t>
      </w:r>
      <w:r>
        <w:rPr>
          <w:rStyle w:val="FootnoteReference"/>
        </w:rPr>
        <w:footnoteReference w:id="1840"/>
      </w:r>
      <w:r>
        <w:rPr>
          <w:rFonts w:ascii="IRNazanin" w:hAnsi="IRNazanin" w:eastAsia="IRNazanin" w:cs="IRNazanin"/>
          <w:lang w:bidi="fa-IR"/>
          <w:color w:val="111111"/>
          <w:sz w:val="28"/>
          <w:szCs w:val="28"/>
          <w:rtl/>
        </w:rPr>
        <w:t xml:space="preserve">إذ الشکّ فی بقاء الأعدام السابقة من جهة الشکّ فی تحقّق الرافع لها-و هی علّة الوجود- و الشکّ فی بقاء الأمر الوجودی من جهة الشک فی الرافع،لا ینفکّ عن</w:t>
      </w:r>
    </w:p>
    <w:p>
      <w:pPr>
        <w:pStyle w:val="BookText"/>
      </w:pPr>
      <w:r>
        <w:rPr>
          <w:rFonts w:ascii="IRNazanin" w:hAnsi="IRNazanin" w:eastAsia="IRNazanin" w:cs="IRNazanin"/>
          <w:lang w:bidi="fa-IR"/>
          <w:color w:val="111111"/>
          <w:sz w:val="28"/>
          <w:szCs w:val="28"/>
          <w:rtl/>
        </w:rPr>
        <w:t xml:space="preserve">[شماره صفحه واقعی : 107]
</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bookmarkStart w:id="394" w:name="pg14411_143001"/>
    <w:bookmarkEnd w:id="394"/>
    <w:p>
      <w:pPr>
        <w:pStyle w:val="BookText"/>
      </w:pPr>
      <w:r>
        <w:rPr>
          <w:rFonts w:ascii="IRNazanin" w:hAnsi="IRNazanin" w:eastAsia="IRNazanin" w:cs="IRNazanin"/>
          <w:lang w:bidi="fa-IR"/>
          <w:color w:val="111111"/>
          <w:sz w:val="28"/>
          <w:szCs w:val="28"/>
          <w:rtl/>
        </w:rPr>
        <w:t xml:space="preserve">الشکّ فی تحقّق الرافع،فیستصحب عدمه،و یترتّب علیه بقاء ذلک الأمر الوجودیّ.</w:t>
      </w:r>
    </w:p>
    <w:p>
      <w:pPr>
        <w:pStyle w:val="BookText"/>
      </w:pPr>
      <w:r>
        <w:rPr>
          <w:rFonts w:ascii="IRNazanin" w:hAnsi="IRNazanin" w:eastAsia="IRNazanin" w:cs="IRNazanin"/>
          <w:lang w:bidi="fa-IR"/>
          <w:color w:val="111111"/>
          <w:sz w:val="28"/>
          <w:szCs w:val="28"/>
          <w:rtl/>
        </w:rPr>
        <w:t xml:space="preserve">و تخیّل:أنّ الأمر الوجودیّ قد لا یکون من الآثار الشرعیّة لعدم الرافع،فلا یغنی العدمیّ عن الوجودیّ.</w:t>
      </w:r>
    </w:p>
    <w:p>
      <w:pPr>
        <w:pStyle w:val="BookText"/>
      </w:pPr>
      <w:r>
        <w:rPr>
          <w:rFonts w:ascii="IRNazanin" w:hAnsi="IRNazanin" w:eastAsia="IRNazanin" w:cs="IRNazanin"/>
          <w:lang w:bidi="fa-IR"/>
          <w:color w:val="111111"/>
          <w:sz w:val="28"/>
          <w:szCs w:val="28"/>
          <w:rtl/>
        </w:rPr>
        <w:t xml:space="preserve">مدفوع:بأنّ الشکّ إذا فرض من جهة الرافع فیکون الأحکام الشرعیّة المترتّبة علی ذلک الأمر الوجودیّ مستمرّة إلی تحقّق ذلک الرافع،فإذا حکم بعدمه عند الشکّ،یترتّب </w:t>
      </w:r>
      <w:r>
        <w:rPr>
          <w:rStyle w:val="FootnoteReference"/>
        </w:rPr>
        <w:footnoteReference w:id="1841"/>
      </w:r>
      <w:r>
        <w:rPr>
          <w:rFonts w:ascii="IRNazanin" w:hAnsi="IRNazanin" w:eastAsia="IRNazanin" w:cs="IRNazanin"/>
          <w:lang w:bidi="fa-IR"/>
          <w:color w:val="111111"/>
          <w:sz w:val="28"/>
          <w:szCs w:val="28"/>
          <w:rtl/>
        </w:rPr>
        <w:t xml:space="preserve">علیه شرعا جمیع تلک الأحکام،فیغنی ذلک عن الاستصحاب الوجودیّ.</w:t>
      </w:r>
    </w:p>
    <w:p>
      <w:pPr>
        <w:pStyle w:val="Heading6"/>
      </w:pPr>
      <w:bookmarkStart w:id="1807" w:name="_Toc842"/>
      <w:r>
        <w:t>[ما یمکن أن یحتجّ به لهذا القول:]</w:t>
      </w:r>
      <w:bookmarkEnd w:id="1807"/>
    </w:p>
    <w:p>
      <w:pPr>
        <w:pStyle w:val="Heading6"/>
      </w:pPr>
      <w:bookmarkStart w:id="1808" w:name="_Toc843"/>
      <w:r>
        <w:t>اشارة</w:t>
      </w:r>
      <w:bookmarkEnd w:id="1808"/>
    </w:p>
    <w:p>
      <w:pPr>
        <w:pStyle w:val="BookText"/>
      </w:pPr>
      <w:r>
        <w:rPr>
          <w:rFonts w:ascii="IRNazanin" w:hAnsi="IRNazanin" w:eastAsia="IRNazanin" w:cs="IRNazanin"/>
          <w:lang w:bidi="fa-IR"/>
          <w:color w:val="111111"/>
          <w:sz w:val="28"/>
          <w:szCs w:val="28"/>
          <w:rtl/>
        </w:rPr>
        <w:t xml:space="preserve">و حینئذ،فیمکن أن یحتجّ لهذا القول:</w:t>
      </w:r>
    </w:p>
    <w:p>
      <w:pPr>
        <w:pStyle w:val="BookText"/>
      </w:pPr>
      <w:r>
        <w:rPr>
          <w:rFonts w:ascii="IRNazanin" w:hAnsi="IRNazanin" w:eastAsia="IRNazanin" w:cs="IRNazanin"/>
          <w:lang w:bidi="fa-IR"/>
          <w:color w:val="111111"/>
          <w:sz w:val="28"/>
          <w:szCs w:val="28"/>
          <w:rtl/>
        </w:rPr>
        <w:t xml:space="preserve">أمّا علی عدم الحجّیة فی الوجودیّات،فیما تقدّم فی أدلّة النافین </w:t>
      </w:r>
      <w:r>
        <w:rPr>
          <w:rStyle w:val="FootnoteReference"/>
        </w:rPr>
        <w:footnoteReference w:id="18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علی الحجّیة فی العدمیّات،فیما تقدّم فی أدلّة المختار </w:t>
      </w:r>
      <w:r>
        <w:rPr>
          <w:rStyle w:val="FootnoteReference"/>
        </w:rPr>
        <w:footnoteReference w:id="1843"/>
      </w:r>
      <w:r>
        <w:rPr>
          <w:rFonts w:ascii="IRNazanin" w:hAnsi="IRNazanin" w:eastAsia="IRNazanin" w:cs="IRNazanin"/>
          <w:lang w:bidi="fa-IR"/>
          <w:color w:val="111111"/>
          <w:sz w:val="28"/>
          <w:szCs w:val="28"/>
          <w:rtl/>
        </w:rPr>
        <w:t xml:space="preserve">:من الإجماع،و الاستقراء،و الأخبار؛بناء علی أنّ </w:t>
      </w:r>
      <w:r>
        <w:rPr>
          <w:rStyle w:val="FootnoteReference"/>
        </w:rPr>
        <w:footnoteReference w:id="1844"/>
      </w:r>
      <w:r>
        <w:rPr>
          <w:rFonts w:ascii="IRNazanin" w:hAnsi="IRNazanin" w:eastAsia="IRNazanin" w:cs="IRNazanin"/>
          <w:lang w:bidi="fa-IR"/>
          <w:color w:val="111111"/>
          <w:sz w:val="28"/>
          <w:szCs w:val="28"/>
          <w:rtl/>
        </w:rPr>
        <w:t xml:space="preserve">الشیء المشکوک فی بقائه من جهة الرافع إنّما یحکم ببقائه لترتّبه علی استصحاب عدم وجود الرافع،لا لاستصحابه فی نفسه؛فإنّ الشاکّ فی بقاء الطهارة من جهة الشکّ فی وجود الرافع یحکم بعدم الرافع،فیحکم من أجله ببقاء الطهارة.</w:t>
      </w:r>
    </w:p>
    <w:p>
      <w:pPr>
        <w:pStyle w:val="BookText"/>
      </w:pPr>
      <w:r>
        <w:rPr>
          <w:rFonts w:ascii="IRNazanin" w:hAnsi="IRNazanin" w:eastAsia="IRNazanin" w:cs="IRNazanin"/>
          <w:lang w:bidi="fa-IR"/>
          <w:color w:val="111111"/>
          <w:sz w:val="28"/>
          <w:szCs w:val="28"/>
          <w:rtl/>
        </w:rPr>
        <w:t xml:space="preserve">و حینئذ،فقوله علیه السّلام:«و إلاّ فإنّه علی یقین من وضوئه و لا ینقض</w:t>
      </w:r>
    </w:p>
    <w:p>
      <w:pPr>
        <w:pStyle w:val="BookText"/>
      </w:pPr>
      <w:r>
        <w:rPr>
          <w:rFonts w:ascii="IRNazanin" w:hAnsi="IRNazanin" w:eastAsia="IRNazanin" w:cs="IRNazanin"/>
          <w:lang w:bidi="fa-IR"/>
          <w:color w:val="111111"/>
          <w:sz w:val="28"/>
          <w:szCs w:val="28"/>
          <w:rtl/>
        </w:rPr>
        <w:t xml:space="preserve">[شماره صفحه واقعی : 108]
</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bookmarkStart w:id="395" w:name="pg14411_143002"/>
    <w:bookmarkEnd w:id="395"/>
    <w:p>
      <w:pPr>
        <w:pStyle w:val="BookText"/>
      </w:pPr>
      <w:r>
        <w:rPr>
          <w:rFonts w:ascii="IRNazanin" w:hAnsi="IRNazanin" w:eastAsia="IRNazanin" w:cs="IRNazanin"/>
          <w:lang w:bidi="fa-IR"/>
          <w:color w:val="111111"/>
          <w:sz w:val="28"/>
          <w:szCs w:val="28"/>
          <w:rtl/>
        </w:rPr>
        <w:t xml:space="preserve">الیقین بالشکّ» </w:t>
      </w:r>
      <w:r>
        <w:rPr>
          <w:rStyle w:val="FootnoteReference"/>
        </w:rPr>
        <w:footnoteReference w:id="1845"/>
      </w:r>
      <w:r>
        <w:rPr>
          <w:rFonts w:ascii="IRNazanin" w:hAnsi="IRNazanin" w:eastAsia="IRNazanin" w:cs="IRNazanin"/>
          <w:lang w:bidi="fa-IR"/>
          <w:color w:val="111111"/>
          <w:sz w:val="28"/>
          <w:szCs w:val="28"/>
          <w:rtl/>
        </w:rPr>
        <w:t xml:space="preserve">،و قوله:«لأنّک کنت علی یقین من طهارتک فشککت و لیس ینبغی لک أن تنقض الیقین» </w:t>
      </w:r>
      <w:r>
        <w:rPr>
          <w:rStyle w:val="FootnoteReference"/>
        </w:rPr>
        <w:footnoteReference w:id="1846"/>
      </w:r>
      <w:r>
        <w:rPr>
          <w:rFonts w:ascii="IRNazanin" w:hAnsi="IRNazanin" w:eastAsia="IRNazanin" w:cs="IRNazanin"/>
          <w:lang w:bidi="fa-IR"/>
          <w:color w:val="111111"/>
          <w:sz w:val="28"/>
          <w:szCs w:val="28"/>
          <w:rtl/>
        </w:rPr>
        <w:t xml:space="preserve">،و غیرهما ممّا دلّ علی أنّ الیقین لا ینقض أو لا یدفع بالشکّ،یراد منه أنّ احتمال طروّ الرافع لا یعتنی به،و لا یترتّب علیه أثر النقض،فیکون وجوده کالعدم،فالحکم ببقاء الطهارة السابقة من جهة استصحاب العدم،لا من جهة استصحابها </w:t>
      </w:r>
      <w:r>
        <w:rPr>
          <w:rStyle w:val="FootnoteReference"/>
        </w:rPr>
        <w:footnoteReference w:id="18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الأصل فی ذلک:أنّ الشکّ فی بقاء الشیء إذا کان مسبّبا عن الشکّ فی شیء آخر،فلا یجتمع معه فی الدخول تحت عموم«لا تنقض» -سواء تعارض مقتضی الیقین السابق فیهما أم تعاضدا-بل الداخل هو الشکّ السببیّ،و معنی عدم الاعتناء به زوال الشکّ المسبّب به، و سیجیء توضیح ذلک </w:t>
      </w:r>
      <w:r>
        <w:rPr>
          <w:rStyle w:val="FootnoteReference"/>
        </w:rPr>
        <w:footnoteReference w:id="1848"/>
      </w:r>
      <w:r>
        <w:rPr>
          <w:rFonts w:ascii="Times New Roman" w:hAnsi="Times New Roman" w:eastAsia="Times New Roman" w:cs="Times New Roman"/>
          <w:lang w:val="en-US" w:bidi="en-US"/>
          <w:color w:val="111111"/>
          <w:sz w:val="28"/>
          <w:szCs w:val="28"/>
          <w:rtl/>
        </w:rPr>
        <w:t xml:space="preserve">.</w:t>
      </w:r>
    </w:p>
    <w:p>
      <w:pPr>
        <w:pStyle w:val="Heading6"/>
      </w:pPr>
      <w:bookmarkStart w:id="1809" w:name="_Toc844"/>
      <w:r>
        <w:t>[المناقشة فی الاحتجاج المذکور:]</w:t>
      </w:r>
      <w:bookmarkEnd w:id="1809"/>
    </w:p>
    <w:p>
      <w:pPr>
        <w:pStyle w:val="BookText"/>
      </w:pPr>
      <w:r>
        <w:rPr>
          <w:rFonts w:ascii="IRNazanin" w:hAnsi="IRNazanin" w:eastAsia="IRNazanin" w:cs="IRNazanin"/>
          <w:lang w:bidi="fa-IR"/>
          <w:color w:val="111111"/>
          <w:sz w:val="28"/>
          <w:szCs w:val="28"/>
          <w:rtl/>
        </w:rPr>
        <w:t xml:space="preserve">هذا،و لکن یرد علیه:أنّه </w:t>
      </w:r>
      <w:r>
        <w:rPr>
          <w:rStyle w:val="FootnoteReference"/>
        </w:rPr>
        <w:footnoteReference w:id="1849"/>
      </w:r>
      <w:r>
        <w:rPr>
          <w:rFonts w:ascii="IRNazanin" w:hAnsi="IRNazanin" w:eastAsia="IRNazanin" w:cs="IRNazanin"/>
          <w:lang w:bidi="fa-IR"/>
          <w:color w:val="111111"/>
          <w:sz w:val="28"/>
          <w:szCs w:val="28"/>
          <w:rtl/>
        </w:rPr>
        <w:t xml:space="preserve">قد یکون الأمر الوجودیّ أمرا خارجیّا کالرطوبة </w:t>
      </w:r>
      <w:r>
        <w:rPr>
          <w:rStyle w:val="FootnoteReference"/>
        </w:rPr>
        <w:footnoteReference w:id="1850"/>
      </w:r>
      <w:r>
        <w:rPr>
          <w:rFonts w:ascii="IRNazanin" w:hAnsi="IRNazanin" w:eastAsia="IRNazanin" w:cs="IRNazanin"/>
          <w:lang w:bidi="fa-IR"/>
          <w:color w:val="111111"/>
          <w:sz w:val="28"/>
          <w:szCs w:val="28"/>
          <w:rtl/>
        </w:rPr>
        <w:t xml:space="preserve">یترتّب علیها آثار شرعیّة،فإذا شکّ فی وجود الرافع لها لم یجز أن یثبت به الرطوبة حتّی یترتّب علیها أحکامها؛لما سیجیء </w:t>
      </w:r>
      <w:r>
        <w:rPr>
          <w:rStyle w:val="FootnoteReference"/>
        </w:rPr>
        <w:footnoteReference w:id="1851"/>
      </w:r>
      <w:r>
        <w:rPr>
          <w:rFonts w:ascii="IRNazanin" w:hAnsi="IRNazanin" w:eastAsia="IRNazanin" w:cs="IRNazanin"/>
          <w:lang w:bidi="fa-IR"/>
          <w:color w:val="111111"/>
          <w:sz w:val="28"/>
          <w:szCs w:val="28"/>
          <w:rtl/>
        </w:rPr>
        <w:t xml:space="preserve">:من أنّ المستصحب لا یترتّب علیه إلاّ آثاره الشرعیّة</w:t>
      </w:r>
    </w:p>
    <w:p>
      <w:pPr>
        <w:pStyle w:val="BookText"/>
      </w:pPr>
      <w:r>
        <w:rPr>
          <w:rFonts w:ascii="IRNazanin" w:hAnsi="IRNazanin" w:eastAsia="IRNazanin" w:cs="IRNazanin"/>
          <w:lang w:bidi="fa-IR"/>
          <w:color w:val="111111"/>
          <w:sz w:val="28"/>
          <w:szCs w:val="28"/>
          <w:rtl/>
        </w:rPr>
        <w:t xml:space="preserve">[شماره صفحه واقعی : 109]
</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المترتّبة علیه بلا واسطة أمر عقلیّ أو عادیّ،فیتعیّن حینئذ استصحاب نفس الرطوبة.</w:t>
      </w:r>
    </w:p>
    <w:p>
      <w:pPr>
        <w:pStyle w:val="BookText"/>
      </w:pPr>
      <w:r>
        <w:rPr>
          <w:rFonts w:ascii="IRNazanin" w:hAnsi="IRNazanin" w:eastAsia="IRNazanin" w:cs="IRNazanin"/>
          <w:lang w:bidi="fa-IR"/>
          <w:color w:val="111111"/>
          <w:sz w:val="28"/>
          <w:szCs w:val="28"/>
          <w:rtl/>
        </w:rPr>
        <w:t xml:space="preserve">و أصالة عدم الرافع:إن ارید بها أصالة عدم ذات الرافع-کالریح المجفّف للرطوبة مثلا-لم ینفع فی الأحکام المترتّبة شرعا علی نفس الرطوبة؛بناء علی عدم اعتبار الأصل المثبت،کما سیجیء </w:t>
      </w:r>
      <w:r>
        <w:rPr>
          <w:rStyle w:val="FootnoteReference"/>
        </w:rPr>
        <w:footnoteReference w:id="18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إن ارید بها أصالة عدمه من حیث وصف الرافعیّة-و مرجعها إلی أصالة عدم ارتفاع الرطوبة-فهی و إن لم یکن یترتّب علیها إلاّ الأحکام الشرعیّة للرطوبة،لکنّها عبارة اخری عن استصحاب نفس الرطوبة.</w:t>
      </w:r>
    </w:p>
    <w:p>
      <w:pPr>
        <w:pStyle w:val="BookText"/>
      </w:pPr>
      <w:r>
        <w:rPr>
          <w:rFonts w:ascii="IRNazanin" w:hAnsi="IRNazanin" w:eastAsia="IRNazanin" w:cs="IRNazanin"/>
          <w:lang w:bidi="fa-IR"/>
          <w:color w:val="111111"/>
          <w:sz w:val="28"/>
          <w:szCs w:val="28"/>
          <w:rtl/>
        </w:rPr>
        <w:t xml:space="preserve">فالإنصاف:افتراق القولین فی هذا القسم </w:t>
      </w:r>
      <w:r>
        <w:rPr>
          <w:rStyle w:val="FootnoteReference"/>
        </w:rPr>
        <w:footnoteReference w:id="1853"/>
      </w:r>
    </w:p>
    <w:p>
      <w:pPr>
        <w:pStyle w:val="BookText"/>
      </w:pPr>
      <w:r>
        <w:rPr>
          <w:rFonts w:ascii="IRNazanin" w:hAnsi="IRNazanin" w:eastAsia="IRNazanin" w:cs="IRNazanin"/>
          <w:lang w:bidi="fa-IR"/>
          <w:color w:val="111111"/>
          <w:sz w:val="28"/>
          <w:szCs w:val="28"/>
          <w:rtl/>
        </w:rPr>
        <w:t xml:space="preserve">[شماره صفحه واقعی : 110]
</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bookmarkStart w:id="396" w:name="pg14411_143004"/>
    <w:bookmarkEnd w:id="396"/>
    <w:p>
      <w:pPr>
        <w:pStyle w:val="Heading5"/>
      </w:pPr>
      <w:bookmarkStart w:id="1810" w:name="_Toc845"/>
      <w:r>
        <w:t>[حجّة القول الرابع] : [حجة القول بالتفصیل بین الأمور الخارجیة و الحکم الشرعی مطلقا:]</w:t>
      </w:r>
      <w:bookmarkEnd w:id="1810"/>
    </w:p>
    <w:p>
      <w:pPr>
        <w:pStyle w:val="Heading6"/>
      </w:pPr>
      <w:bookmarkStart w:id="1811" w:name="_Toc846"/>
      <w:r>
        <w:t>اشارة</w:t>
      </w:r>
      <w:bookmarkEnd w:id="1811"/>
    </w:p>
    <w:p>
      <w:pPr>
        <w:pStyle w:val="BookText"/>
      </w:pPr>
      <w:r>
        <w:rPr>
          <w:rFonts w:ascii="Amiri" w:hAnsi="Amiri" w:eastAsia="Amiri" w:cs="Amiri"/>
          <w:lang w:bidi="ar-SA"/>
          <w:color w:val="111111"/>
          <w:sz w:val="28"/>
          <w:szCs w:val="28"/>
          <w:rtl/>
        </w:rPr>
        <w:t xml:space="preserve">[حجّة القول الرابع] </w:t>
      </w:r>
      <w:r>
        <w:rPr>
          <w:rStyle w:val="FootnoteReference"/>
        </w:rPr>
        <w:footnoteReference w:id="1854"/>
      </w:r>
      <w:r>
        <w:rPr>
          <w:rFonts w:ascii="IRNazanin" w:hAnsi="IRNazanin" w:eastAsia="IRNazanin" w:cs="IRNazanin"/>
          <w:lang w:bidi="fa-IR"/>
          <w:color w:val="111111"/>
          <w:sz w:val="28"/>
          <w:szCs w:val="28"/>
          <w:rtl/>
        </w:rPr>
        <w:t xml:space="preserve">[حجة القول بالتفصیل بین الأمور الخارجیة و الحکم الشرعی مطلقا:]</w:t>
      </w:r>
    </w:p>
    <w:p>
      <w:pPr>
        <w:pStyle w:val="BookText"/>
      </w:pPr>
      <w:r>
        <w:rPr>
          <w:rFonts w:ascii="IRNazanin" w:hAnsi="IRNazanin" w:eastAsia="IRNazanin" w:cs="IRNazanin"/>
          <w:lang w:bidi="fa-IR"/>
          <w:color w:val="111111"/>
          <w:sz w:val="28"/>
          <w:szCs w:val="28"/>
          <w:rtl/>
        </w:rPr>
        <w:t xml:space="preserve">حجّة من أنکر الاستصحاب فی الامور الخارجیّة ما ذکره </w:t>
      </w:r>
      <w:r>
        <w:rPr>
          <w:rStyle w:val="FootnoteReference"/>
        </w:rPr>
        <w:footnoteReference w:id="1855"/>
      </w:r>
      <w:r>
        <w:rPr>
          <w:rFonts w:ascii="IRNazanin" w:hAnsi="IRNazanin" w:eastAsia="IRNazanin" w:cs="IRNazanin"/>
          <w:lang w:bidi="fa-IR"/>
          <w:color w:val="111111"/>
          <w:sz w:val="28"/>
          <w:szCs w:val="28"/>
          <w:rtl/>
        </w:rPr>
        <w:t xml:space="preserve">المحقّق الخوانساری فی شرح الدروس،و حکاه </w:t>
      </w:r>
      <w:r>
        <w:rPr>
          <w:rStyle w:val="FootnoteReference"/>
        </w:rPr>
        <w:footnoteReference w:id="1856"/>
      </w:r>
      <w:r>
        <w:rPr>
          <w:rFonts w:ascii="IRNazanin" w:hAnsi="IRNazanin" w:eastAsia="IRNazanin" w:cs="IRNazanin"/>
          <w:lang w:bidi="fa-IR"/>
          <w:color w:val="111111"/>
          <w:sz w:val="28"/>
          <w:szCs w:val="28"/>
          <w:rtl/>
        </w:rPr>
        <w:t xml:space="preserve">فی حاشیة له عند کلام الشهید:«و یحرم استعمال الماء النجس و المشتبه»-علی ما حکاه شارح الوافیة </w:t>
      </w:r>
      <w:r>
        <w:rPr>
          <w:rStyle w:val="FootnoteReference"/>
        </w:rPr>
        <w:footnoteReference w:id="1857"/>
      </w:r>
      <w:r>
        <w:rPr>
          <w:rFonts w:ascii="IRNazanin" w:hAnsi="IRNazanin" w:eastAsia="IRNazanin" w:cs="IRNazanin"/>
          <w:lang w:bidi="fa-IR"/>
          <w:color w:val="111111"/>
          <w:sz w:val="28"/>
          <w:szCs w:val="28"/>
          <w:rtl/>
        </w:rPr>
        <w:t xml:space="preserve">-و استظهره المحقّق القمّی قدّس سرّه من السبزواری،من:</w:t>
      </w:r>
    </w:p>
    <w:p>
      <w:pPr>
        <w:pStyle w:val="BookText"/>
      </w:pPr>
      <w:r>
        <w:rPr>
          <w:rFonts w:ascii="IRNazanin" w:hAnsi="IRNazanin" w:eastAsia="IRNazanin" w:cs="IRNazanin"/>
          <w:lang w:bidi="fa-IR"/>
          <w:color w:val="111111"/>
          <w:sz w:val="28"/>
          <w:szCs w:val="28"/>
          <w:rtl/>
        </w:rPr>
        <w:t xml:space="preserve">أنّ الأخبار لا یظهر شمولها للامور الخارجیّة-مثل رطوبة الثوب و نحوها-إذ یبعد أن یکون مرادهم بیان الحکم فی مثل هذه الامور الذی لیس حکما شرعیّا و إن کان یمکن أن یصیر منشأ لحکم شرعیّ، و هذا ما یقال:إنّ الاستصحاب فی الامور الخارجیّة لا عبرة به </w:t>
      </w:r>
      <w:r>
        <w:rPr>
          <w:rStyle w:val="FootnoteReference"/>
        </w:rPr>
        <w:footnoteReference w:id="1858"/>
      </w:r>
      <w:r>
        <w:rPr>
          <w:rFonts w:ascii="IRNazanin" w:hAnsi="IRNazanin" w:eastAsia="IRNazanin" w:cs="IRNazanin"/>
          <w:lang w:bidi="fa-IR"/>
          <w:color w:val="111111"/>
          <w:sz w:val="28"/>
          <w:szCs w:val="28"/>
          <w:rtl/>
        </w:rPr>
        <w:t xml:space="preserve">، انتهی.</w:t>
      </w:r>
    </w:p>
    <w:p>
      <w:pPr>
        <w:pStyle w:val="Heading6"/>
      </w:pPr>
      <w:bookmarkStart w:id="1812" w:name="_Toc847"/>
      <w:r>
        <w:t>[المناقشة فیه:]</w:t>
      </w:r>
      <w:bookmarkEnd w:id="1812"/>
    </w:p>
    <w:p>
      <w:pPr>
        <w:pStyle w:val="BookText"/>
      </w:pPr>
      <w:r>
        <w:rPr>
          <w:rFonts w:ascii="IRNazanin" w:hAnsi="IRNazanin" w:eastAsia="IRNazanin" w:cs="IRNazanin"/>
          <w:lang w:bidi="fa-IR"/>
          <w:color w:val="111111"/>
          <w:sz w:val="28"/>
          <w:szCs w:val="28"/>
          <w:rtl/>
        </w:rPr>
        <w:t xml:space="preserve">و فیه:</w:t>
      </w:r>
    </w:p>
    <w:p>
      <w:pPr>
        <w:pStyle w:val="BookText"/>
      </w:pPr>
      <w:r>
        <w:rPr>
          <w:rFonts w:ascii="IRNazanin" w:hAnsi="IRNazanin" w:eastAsia="IRNazanin" w:cs="IRNazanin"/>
          <w:lang w:bidi="fa-IR"/>
          <w:color w:val="111111"/>
          <w:sz w:val="28"/>
          <w:szCs w:val="28"/>
          <w:rtl/>
        </w:rPr>
        <w:t xml:space="preserve">أمّا أوّلا:فبالنقض بالأحکام الجزئیّة،مثل طهارة الثوب من حیث عدم ملاقاته للنجاسة،و نجاسته من حیث ملاقاته لها؛فإنّ بیانها</w:t>
      </w:r>
    </w:p>
    <w:p>
      <w:pPr>
        <w:pStyle w:val="BookText"/>
      </w:pPr>
      <w:r>
        <w:rPr>
          <w:rFonts w:ascii="IRNazanin" w:hAnsi="IRNazanin" w:eastAsia="IRNazanin" w:cs="IRNazanin"/>
          <w:lang w:bidi="fa-IR"/>
          <w:color w:val="111111"/>
          <w:sz w:val="28"/>
          <w:szCs w:val="28"/>
          <w:rtl/>
        </w:rPr>
        <w:t xml:space="preserve">[شماره صفحه واقعی : 111]
</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أیضا لیس من وظیفة الإمام علیه السّلام،کما أنّه لیس وظیفة المجتهد، و لا یجوز التقلید فیها،و إنّما وظیفته-من حیث کونه مبیّنا للشرع-بیان الأحکام الکلّیة المشتبهة علی الرعیّة </w:t>
      </w:r>
      <w:r>
        <w:rPr>
          <w:rStyle w:val="FootnoteReference"/>
        </w:rPr>
        <w:footnoteReference w:id="18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ثانیا:فبالحلّ،توضیحه:أنّ بیان الحکم الجزئیّ فی المشتبهات </w:t>
      </w:r>
      <w:r>
        <w:rPr>
          <w:rStyle w:val="FootnoteReference"/>
        </w:rPr>
        <w:footnoteReference w:id="1860"/>
      </w:r>
      <w:r>
        <w:rPr>
          <w:rFonts w:ascii="IRNazanin" w:hAnsi="IRNazanin" w:eastAsia="IRNazanin" w:cs="IRNazanin"/>
          <w:lang w:bidi="fa-IR"/>
          <w:color w:val="111111"/>
          <w:sz w:val="28"/>
          <w:szCs w:val="28"/>
          <w:rtl/>
        </w:rPr>
        <w:t xml:space="preserve">الخارجیّة لیس وظیفة للشارع و لا لأحد من قبله.نعم، حکم المشتبه حکمه الجزئیّ-کمشکوک النجاسة أو الحرمة-حکم شرعیّ کلیّ لیس بیانه وظیفة إلاّ للشارع.و کذلک الموضوع الخارجیّ کرطوبة الثوب،فإنّ بیان ثبوتها و انتفائها فی الواقع لیس وظیفة للشارع.نعم، حکم الموضوع المشتبه فی الخارج-کالمائع المردّد بین الخلّ و الخمر- حکم کلیّ لیس بیانه وظیفة إلاّ للشارع،و قد قال الصادق علیه السّلام:«کلّ شیء لک حلال حتّی تعلم أنّه حرام،و ذلک مثل الثوب یکون علیک...</w:t>
      </w:r>
    </w:p>
    <w:p>
      <w:pPr>
        <w:pStyle w:val="BookText"/>
      </w:pPr>
      <w:r>
        <w:rPr>
          <w:rFonts w:ascii="IRNazanin" w:hAnsi="IRNazanin" w:eastAsia="IRNazanin" w:cs="IRNazanin"/>
          <w:lang w:bidi="fa-IR"/>
          <w:color w:val="111111"/>
          <w:sz w:val="28"/>
          <w:szCs w:val="28"/>
          <w:rtl/>
        </w:rPr>
        <w:t xml:space="preserve">إلی آخره» </w:t>
      </w:r>
      <w:r>
        <w:rPr>
          <w:rStyle w:val="FootnoteReference"/>
        </w:rPr>
        <w:footnoteReference w:id="1861"/>
      </w:r>
      <w:r>
        <w:rPr>
          <w:rFonts w:ascii="IRNazanin" w:hAnsi="IRNazanin" w:eastAsia="IRNazanin" w:cs="IRNazanin"/>
          <w:lang w:bidi="fa-IR"/>
          <w:color w:val="111111"/>
          <w:sz w:val="28"/>
          <w:szCs w:val="28"/>
          <w:rtl/>
        </w:rPr>
        <w:t xml:space="preserve">،و قوله فی خبر آخر:«ساخبرک عن الجبن و غیره» </w:t>
      </w:r>
      <w:r>
        <w:rPr>
          <w:rStyle w:val="FootnoteReference"/>
        </w:rPr>
        <w:footnoteReference w:id="18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لعلّ التوهّم نشأ من تخیّل:أنّ ظاهر«لا تنقض»إبقاء نفس المتیقّن السابق،و لیس إبقاء الرطوبة ممّا یقبل حکم الشارع بوجوبه.</w:t>
      </w:r>
    </w:p>
    <w:p>
      <w:pPr>
        <w:pStyle w:val="BookText"/>
      </w:pPr>
      <w:r>
        <w:rPr>
          <w:rFonts w:ascii="IRNazanin" w:hAnsi="IRNazanin" w:eastAsia="IRNazanin" w:cs="IRNazanin"/>
          <w:lang w:bidi="fa-IR"/>
          <w:color w:val="111111"/>
          <w:sz w:val="28"/>
          <w:szCs w:val="28"/>
          <w:rtl/>
        </w:rPr>
        <w:t xml:space="preserve">و یدفعه-بعد النقض بالطهارة المتیقّنة سابقا؛فإنّ إبقاءها لیس من الأفعال الاختیاریّة القابلة للإیجاب-:أنّ المراد من الإبقاء و عدم النقض،هو ترتیب الآثار الشرعیّة المترتّبة علی المتیقّن،فمعنی</w:t>
      </w:r>
    </w:p>
    <w:p>
      <w:pPr>
        <w:pStyle w:val="BookText"/>
      </w:pPr>
      <w:r>
        <w:rPr>
          <w:rFonts w:ascii="IRNazanin" w:hAnsi="IRNazanin" w:eastAsia="IRNazanin" w:cs="IRNazanin"/>
          <w:lang w:bidi="fa-IR"/>
          <w:color w:val="111111"/>
          <w:sz w:val="28"/>
          <w:szCs w:val="28"/>
          <w:rtl/>
        </w:rPr>
        <w:t xml:space="preserve">[شماره صفحه واقعی : 112]
</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استصحاب الرطوبة ترتیب آثارها الشرعیّة فی زمان الشکّ،نظیر استصحاب الطهارة،فطهارة الثوب و رطوبته سیّان فی عدم قابلیّة الحکم بإبقائهما عند الشکّ،و فی قابلیّة الحکم بترتیب آثارهما الشرعیّة فی زمان الشکّ،فالتفصیل بین کون المستصحب من قبیل رطوبة الثوب و کونه من قبیل طهارته-لعدم شمول أدلّة«لا تنقض»للأوّل-فی غایة الضعف.</w:t>
      </w:r>
    </w:p>
    <w:p>
      <w:pPr>
        <w:pStyle w:val="BookText"/>
      </w:pPr>
      <w:r>
        <w:rPr>
          <w:rFonts w:ascii="IRNazanin" w:hAnsi="IRNazanin" w:eastAsia="IRNazanin" w:cs="IRNazanin"/>
          <w:lang w:bidi="fa-IR"/>
          <w:color w:val="111111"/>
          <w:sz w:val="28"/>
          <w:szCs w:val="28"/>
          <w:rtl/>
        </w:rPr>
        <w:t xml:space="preserve">نعم،یبقی فی المقام:أنّ استصحاب الامور الخارجیّة-إذا کان معناه ترتیب آثارها الشرعیّة-لا یظهر له فائدة؛لأنّ تلک الآثار المترتّبة علیه </w:t>
      </w:r>
      <w:r>
        <w:rPr>
          <w:rStyle w:val="FootnoteReference"/>
        </w:rPr>
        <w:footnoteReference w:id="1863"/>
      </w:r>
      <w:r>
        <w:rPr>
          <w:rFonts w:ascii="IRNazanin" w:hAnsi="IRNazanin" w:eastAsia="IRNazanin" w:cs="IRNazanin"/>
          <w:lang w:bidi="fa-IR"/>
          <w:color w:val="111111"/>
          <w:sz w:val="28"/>
          <w:szCs w:val="28"/>
          <w:rtl/>
        </w:rPr>
        <w:t xml:space="preserve">کانت مشارکة معه فی الیقین السابق،فاستصحابها یغنی عن استصحاب نفس الموضوع،فإنّ استصحاب حرمة مال زید الغائب و زوجته یغنی عن استصحاب حیاته إذا فرض أنّ معنی إبقاء الحیاة ترتیب آثارها الشرعیّة.نعم،قد یحتاج إجراء الاستصحاب فی آثاره إلی أدنی تدبّر،کما فی الآثار الغیر المشارکة معه فی الیقین السابق، مثل:توریث الغائب من قریبه المتوفّی فی زمان الشکّ فی حیاة الغائب، فإنّ التوریث غیر متحقّق حال الیقین بحیاة الغائب؛لعدم موت قریبه بعد.لکن مقتضی التدبّر إجراء الاستصحاب علی وجه التعلیق،بأن یقال:لو مات قریبه قبل الشکّ فی حیاته لورث منه،و بعبارة اخری:</w:t>
      </w:r>
    </w:p>
    <w:p>
      <w:pPr>
        <w:pStyle w:val="BookText"/>
      </w:pPr>
      <w:r>
        <w:rPr>
          <w:rFonts w:ascii="IRNazanin" w:hAnsi="IRNazanin" w:eastAsia="IRNazanin" w:cs="IRNazanin"/>
          <w:lang w:bidi="fa-IR"/>
          <w:color w:val="111111"/>
          <w:sz w:val="28"/>
          <w:szCs w:val="28"/>
          <w:rtl/>
        </w:rPr>
        <w:t xml:space="preserve">موت قریبه قبل ذلک کان ملازما لإرثه منه و لم یعلم انتفاء الملازمة فیستصحب.</w:t>
      </w:r>
    </w:p>
    <w:p>
      <w:pPr>
        <w:pStyle w:val="BookText"/>
      </w:pPr>
      <w:r>
        <w:rPr>
          <w:rFonts w:ascii="IRNazanin" w:hAnsi="IRNazanin" w:eastAsia="IRNazanin" w:cs="IRNazanin"/>
          <w:lang w:bidi="fa-IR"/>
          <w:color w:val="111111"/>
          <w:sz w:val="28"/>
          <w:szCs w:val="28"/>
          <w:rtl/>
        </w:rPr>
        <w:t xml:space="preserve">و بالجملة:الآثار المترتّبة علی الموضوع الخارجیّ،منها ما یجتمع</w:t>
      </w:r>
    </w:p>
    <w:p>
      <w:pPr>
        <w:pStyle w:val="BookText"/>
      </w:pPr>
      <w:r>
        <w:rPr>
          <w:rFonts w:ascii="IRNazanin" w:hAnsi="IRNazanin" w:eastAsia="IRNazanin" w:cs="IRNazanin"/>
          <w:lang w:bidi="fa-IR"/>
          <w:color w:val="111111"/>
          <w:sz w:val="28"/>
          <w:szCs w:val="28"/>
          <w:rtl/>
        </w:rPr>
        <w:t xml:space="preserve">[شماره صفحه واقعی : 113]
</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معه فی زمان الیقین به،و منها ما لا یجتمع معه فی ذلک الزمان،لکن عدم الترتّب فعلا فی ذلک الزمان-مع فرض کونه من آثاره شرعا- لیس إلاّ لمانع فی ذلک الزمان أو لعدم شرط،فیصدق فی ذلک الزمان أنّه لو لا ذلک المانع أو عدم الشرط لترتّب الآثار،فإذا فقد المانع الموجود أو وجد الشرط المفقود،و شکّ فی الترتّب من جهة الشکّ فی بقاء ذلک الأمر الخارجیّ،حکم باستصحاب ذلک الترتّب الشأنیّ.</w:t>
      </w:r>
    </w:p>
    <w:p>
      <w:pPr>
        <w:pStyle w:val="BookText"/>
      </w:pPr>
      <w:r>
        <w:rPr>
          <w:rFonts w:ascii="IRNazanin" w:hAnsi="IRNazanin" w:eastAsia="IRNazanin" w:cs="IRNazanin"/>
          <w:lang w:bidi="fa-IR"/>
          <w:color w:val="111111"/>
          <w:sz w:val="28"/>
          <w:szCs w:val="28"/>
          <w:rtl/>
        </w:rPr>
        <w:t xml:space="preserve">و سیأتی لذلک مزید توضیح فی بعض التنبیهات الآتیة </w:t>
      </w:r>
      <w:r>
        <w:rPr>
          <w:rStyle w:val="FootnoteReference"/>
        </w:rPr>
        <w:footnoteReference w:id="18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هذا،و لکنّ التحقیق:أنّ فی موضع </w:t>
      </w:r>
      <w:r>
        <w:rPr>
          <w:rStyle w:val="FootnoteReference"/>
        </w:rPr>
        <w:footnoteReference w:id="1865"/>
      </w:r>
      <w:r>
        <w:rPr>
          <w:rFonts w:ascii="IRNazanin" w:hAnsi="IRNazanin" w:eastAsia="IRNazanin" w:cs="IRNazanin"/>
          <w:lang w:bidi="fa-IR"/>
          <w:color w:val="111111"/>
          <w:sz w:val="28"/>
          <w:szCs w:val="28"/>
          <w:rtl/>
        </w:rPr>
        <w:t xml:space="preserve">جریان الاستصحاب فی الأمر الخارجیّ لا یجری استصحاب الأثر المترتّب علیه،فإذا شکّ فی بقاء حیاة زید فلا سبیل إلی إثبات آثار حیاته إلاّ بحکم الشارع بعدم جواز نقض حیاته،بمعنی وجوب ترتیب الآثار الشرعیّة المترتّبة علی الشخص الحیّ،و لا یغنی عن ذلک إجراء الاستصحاب فی نفس الآثار، بأن یقال:إنّ حرمة ماله و زوجته کانت متیقّنة،فیحرم نقض الیقین بالشکّ؛لأنّ حرمة المال و الزوجة إنّما تترتّبان فی السابق علی الشخص الحیّ بوصف أنّه حیّ،فالحیاة داخل فی موضوع المستصحب-و لا أقلّ من الشکّ فی ذلک </w:t>
      </w:r>
      <w:r>
        <w:rPr>
          <w:rStyle w:val="FootnoteReference"/>
        </w:rPr>
        <w:footnoteReference w:id="1866"/>
      </w:r>
      <w:r>
        <w:rPr>
          <w:rFonts w:ascii="IRNazanin" w:hAnsi="IRNazanin" w:eastAsia="IRNazanin" w:cs="IRNazanin"/>
          <w:lang w:bidi="fa-IR"/>
          <w:color w:val="111111"/>
          <w:sz w:val="28"/>
          <w:szCs w:val="28"/>
          <w:rtl/>
        </w:rPr>
        <w:t xml:space="preserve">-فالموضوع مشکوک </w:t>
      </w:r>
      <w:r>
        <w:rPr>
          <w:rStyle w:val="FootnoteReference"/>
        </w:rPr>
        <w:footnoteReference w:id="1867"/>
      </w:r>
      <w:r>
        <w:rPr>
          <w:rFonts w:ascii="IRNazanin" w:hAnsi="IRNazanin" w:eastAsia="IRNazanin" w:cs="IRNazanin"/>
          <w:lang w:bidi="fa-IR"/>
          <w:color w:val="111111"/>
          <w:sz w:val="28"/>
          <w:szCs w:val="28"/>
          <w:rtl/>
        </w:rPr>
        <w:t xml:space="preserve">فی الزمن اللاحق،و سیجیء اشتراط القطع ببقاء الموضوع فی الاستصحاب </w:t>
      </w:r>
      <w:r>
        <w:rPr>
          <w:rStyle w:val="FootnoteReference"/>
        </w:rPr>
        <w:footnoteReference w:id="1868"/>
      </w:r>
      <w:r>
        <w:rPr>
          <w:rFonts w:ascii="IRNazanin" w:hAnsi="IRNazanin" w:eastAsia="IRNazanin" w:cs="IRNazanin"/>
          <w:lang w:bidi="fa-IR"/>
          <w:color w:val="111111"/>
          <w:sz w:val="28"/>
          <w:szCs w:val="28"/>
          <w:rtl/>
        </w:rPr>
        <w:t xml:space="preserve">.و استصحاب الحیاة</w:t>
      </w:r>
    </w:p>
    <w:p>
      <w:pPr>
        <w:pStyle w:val="BookText"/>
      </w:pPr>
      <w:r>
        <w:rPr>
          <w:rFonts w:ascii="IRNazanin" w:hAnsi="IRNazanin" w:eastAsia="IRNazanin" w:cs="IRNazanin"/>
          <w:lang w:bidi="fa-IR"/>
          <w:color w:val="111111"/>
          <w:sz w:val="28"/>
          <w:szCs w:val="28"/>
          <w:rtl/>
        </w:rPr>
        <w:t xml:space="preserve">[شماره صفحه واقعی : 114]
</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لإحراز الموضوع فی استصحاب الآثار غلط؛لأنّ معنی استصحاب الموضوع ترتیب آثاره الشرعیّة.</w:t>
      </w:r>
    </w:p>
    <w:p>
      <w:pPr>
        <w:pStyle w:val="BookText"/>
      </w:pPr>
      <w:r>
        <w:rPr>
          <w:rFonts w:ascii="IRNazanin" w:hAnsi="IRNazanin" w:eastAsia="IRNazanin" w:cs="IRNazanin"/>
          <w:lang w:bidi="fa-IR"/>
          <w:color w:val="111111"/>
          <w:sz w:val="28"/>
          <w:szCs w:val="28"/>
          <w:rtl/>
        </w:rPr>
        <w:t xml:space="preserve">فتحقّق:أنّ استصحاب الآثار نفسها غیر صحیح؛لعدم إحراز الموضوع،و استصحاب الموضوع کاف فی إثبات الآثار.و قد مرّ فی مستند التفصیل السابق </w:t>
      </w:r>
      <w:r>
        <w:rPr>
          <w:rStyle w:val="FootnoteReference"/>
        </w:rPr>
        <w:footnoteReference w:id="1869"/>
      </w:r>
      <w:r>
        <w:rPr>
          <w:rFonts w:ascii="IRNazanin" w:hAnsi="IRNazanin" w:eastAsia="IRNazanin" w:cs="IRNazanin"/>
          <w:lang w:bidi="fa-IR"/>
          <w:color w:val="111111"/>
          <w:sz w:val="28"/>
          <w:szCs w:val="28"/>
          <w:rtl/>
        </w:rPr>
        <w:t xml:space="preserve">،و سیجیء فی اشتراط بقاء الموضوع </w:t>
      </w:r>
      <w:r>
        <w:rPr>
          <w:rStyle w:val="FootnoteReference"/>
        </w:rPr>
        <w:footnoteReference w:id="1870"/>
      </w:r>
      <w:r>
        <w:rPr>
          <w:rFonts w:ascii="IRNazanin" w:hAnsi="IRNazanin" w:eastAsia="IRNazanin" w:cs="IRNazanin"/>
          <w:lang w:bidi="fa-IR"/>
          <w:color w:val="111111"/>
          <w:sz w:val="28"/>
          <w:szCs w:val="28"/>
          <w:rtl/>
        </w:rPr>
        <w:t xml:space="preserve">،و فی تعارض الاستصحابین </w:t>
      </w:r>
      <w:r>
        <w:rPr>
          <w:rStyle w:val="FootnoteReference"/>
        </w:rPr>
        <w:footnoteReference w:id="1871"/>
      </w:r>
      <w:r>
        <w:rPr>
          <w:rStyle w:val="FootnoteReference"/>
        </w:rPr>
        <w:footnoteReference w:id="1872"/>
      </w:r>
      <w:r>
        <w:rPr>
          <w:rFonts w:ascii="IRNazanin" w:hAnsi="IRNazanin" w:eastAsia="IRNazanin" w:cs="IRNazanin"/>
          <w:lang w:bidi="fa-IR"/>
          <w:color w:val="111111"/>
          <w:sz w:val="28"/>
          <w:szCs w:val="28"/>
          <w:rtl/>
        </w:rPr>
        <w:t xml:space="preserve">:أنّ الشکّ المسبّب عن شکّ آخر لا یجامع معه فی الدخول تحت عموم«لا تنقض»،بل الداخل هو الشکّ السببیّ، و معنی عدم الاعتناء به و عدم جعله ناقضا للیقین،زوال الشکّ المسبّب به،فافهم.</w:t>
      </w:r>
    </w:p>
    <w:p>
      <w:pPr>
        <w:pStyle w:val="BookText"/>
      </w:pPr>
      <w:r>
        <w:rPr>
          <w:rFonts w:ascii="IRNazanin" w:hAnsi="IRNazanin" w:eastAsia="IRNazanin" w:cs="IRNazanin"/>
          <w:lang w:bidi="fa-IR"/>
          <w:color w:val="111111"/>
          <w:sz w:val="28"/>
          <w:szCs w:val="28"/>
          <w:rtl/>
        </w:rPr>
        <w:t xml:space="preserve">[شماره صفحه واقعی : 115]
</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bookmarkStart w:id="397" w:name="pg14411_143009"/>
    <w:bookmarkEnd w:id="397"/>
    <w:p>
      <w:pPr>
        <w:pStyle w:val="Heading5"/>
      </w:pPr>
      <w:bookmarkStart w:id="1813" w:name="_Toc848"/>
      <w:r>
        <w:t>[حجّة القول الخامس] : [القول بالتفصیل بین الحکم الشرعی الکلی و غیره:]</w:t>
      </w:r>
      <w:bookmarkEnd w:id="1813"/>
    </w:p>
    <w:p>
      <w:pPr>
        <w:pStyle w:val="Heading6"/>
      </w:pPr>
      <w:bookmarkStart w:id="1814" w:name="_Toc849"/>
      <w:r>
        <w:t>اشارة</w:t>
      </w:r>
      <w:bookmarkEnd w:id="1814"/>
    </w:p>
    <w:p>
      <w:pPr>
        <w:pStyle w:val="BookText"/>
      </w:pPr>
      <w:r>
        <w:rPr>
          <w:rFonts w:ascii="Amiri" w:hAnsi="Amiri" w:eastAsia="Amiri" w:cs="Amiri"/>
          <w:lang w:bidi="ar-SA"/>
          <w:color w:val="111111"/>
          <w:sz w:val="28"/>
          <w:szCs w:val="28"/>
          <w:rtl/>
        </w:rPr>
        <w:t xml:space="preserve">[حجّة القول الخامس] </w:t>
      </w:r>
      <w:r>
        <w:rPr>
          <w:rStyle w:val="FootnoteReference"/>
        </w:rPr>
        <w:footnoteReference w:id="1873"/>
      </w:r>
      <w:r>
        <w:rPr>
          <w:rFonts w:ascii="IRNazanin" w:hAnsi="IRNazanin" w:eastAsia="IRNazanin" w:cs="IRNazanin"/>
          <w:lang w:bidi="fa-IR"/>
          <w:color w:val="111111"/>
          <w:sz w:val="28"/>
          <w:szCs w:val="28"/>
          <w:rtl/>
        </w:rPr>
        <w:t xml:space="preserve">[القول بالتفصیل بین الحکم الشرعی الکلی و غیره:]</w:t>
      </w:r>
    </w:p>
    <w:p>
      <w:pPr>
        <w:pStyle w:val="BookText"/>
      </w:pPr>
      <w:r>
        <w:rPr>
          <w:rFonts w:ascii="IRNazanin" w:hAnsi="IRNazanin" w:eastAsia="IRNazanin" w:cs="IRNazanin"/>
          <w:lang w:bidi="fa-IR"/>
          <w:color w:val="111111"/>
          <w:sz w:val="28"/>
          <w:szCs w:val="28"/>
          <w:rtl/>
        </w:rPr>
        <w:t xml:space="preserve">و أمّا القول الخامس-و هو التفصیل بین الحکم الشرعیّ الکلّی و بین غیره،فلا یعتبر فی الأوّل-فهو المصرّح به فی کلام المحدّث الأسترابادی،لکنّه صرّح باستثناء استصحاب عدم النسخ </w:t>
      </w:r>
      <w:r>
        <w:rPr>
          <w:rStyle w:val="FootnoteReference"/>
        </w:rPr>
        <w:footnoteReference w:id="1874"/>
      </w:r>
      <w:r>
        <w:rPr>
          <w:rFonts w:ascii="IRNazanin" w:hAnsi="IRNazanin" w:eastAsia="IRNazanin" w:cs="IRNazanin"/>
          <w:lang w:bidi="fa-IR"/>
          <w:color w:val="111111"/>
          <w:sz w:val="28"/>
          <w:szCs w:val="28"/>
          <w:rtl/>
        </w:rPr>
        <w:t xml:space="preserve">مدّعیا الإجماع بل الضرورة علی اعتباره.قال فی محکیّ فوائده المکّیة </w:t>
      </w:r>
      <w:r>
        <w:rPr>
          <w:rStyle w:val="FootnoteReference"/>
        </w:rPr>
        <w:footnoteReference w:id="1875"/>
      </w:r>
      <w:r>
        <w:rPr>
          <w:rFonts w:ascii="IRNazanin" w:hAnsi="IRNazanin" w:eastAsia="IRNazanin" w:cs="IRNazanin"/>
          <w:lang w:bidi="fa-IR"/>
          <w:color w:val="111111"/>
          <w:sz w:val="28"/>
          <w:szCs w:val="28"/>
          <w:rtl/>
        </w:rPr>
        <w:t xml:space="preserve">-بعد ذکر أخبار الاستصحاب-ما لفظه:</w:t>
      </w:r>
    </w:p>
    <w:p>
      <w:pPr>
        <w:pStyle w:val="Heading6"/>
      </w:pPr>
      <w:bookmarkStart w:id="1815" w:name="_Toc850"/>
      <w:r>
        <w:t>[کلام المحدّث الأسترابادی فی الاستدلال علی هذا القول:]</w:t>
      </w:r>
      <w:bookmarkEnd w:id="1815"/>
    </w:p>
    <w:p>
      <w:pPr>
        <w:pStyle w:val="Heading6"/>
      </w:pPr>
      <w:bookmarkStart w:id="1816" w:name="_Toc851"/>
      <w:r>
        <w:t>اشارة</w:t>
      </w:r>
      <w:bookmarkEnd w:id="1816"/>
    </w:p>
    <w:p>
      <w:pPr>
        <w:pStyle w:val="BookText"/>
      </w:pPr>
      <w:r>
        <w:rPr>
          <w:rFonts w:ascii="IRNazanin" w:hAnsi="IRNazanin" w:eastAsia="IRNazanin" w:cs="IRNazanin"/>
          <w:lang w:bidi="fa-IR"/>
          <w:color w:val="111111"/>
          <w:sz w:val="28"/>
          <w:szCs w:val="28"/>
          <w:rtl/>
        </w:rPr>
        <w:t xml:space="preserve">لا یقال:هذه القاعدة تقتضی جواز العمل بالاستصحاب فی أحکام اللّه تعالی-کما ذهب إلیه المفید و العلاّمة من أصحابنا،و الشافعیّة قاطبة-و تقتضی بطلان قول أکثر علمائنا و الحنفیّة بعدم جواز العمل به.</w:t>
      </w:r>
    </w:p>
    <w:p>
      <w:pPr>
        <w:pStyle w:val="BookText"/>
      </w:pPr>
      <w:r>
        <w:rPr>
          <w:rFonts w:ascii="IRNazanin" w:hAnsi="IRNazanin" w:eastAsia="IRNazanin" w:cs="IRNazanin"/>
          <w:lang w:bidi="fa-IR"/>
          <w:color w:val="111111"/>
          <w:sz w:val="28"/>
          <w:szCs w:val="28"/>
          <w:rtl/>
        </w:rPr>
        <w:t xml:space="preserve">لأنّا نقول:هذه شبهة عجز عن جوابها کثیر من فحول الاصولیّین و الفقهاء،و قد أجبنا عنها فی الفوائد المدنیّة </w:t>
      </w:r>
      <w:r>
        <w:rPr>
          <w:rStyle w:val="FootnoteReference"/>
        </w:rPr>
        <w:footnoteReference w:id="18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تارة،بما ملخّصه:أنّ صور الاستصحاب المختلف فیها-عند النظر الدقیق و التحقیق-راجعة إلی أنّه إذا ثبت حکم بخطاب شرعیّ فی موضوع فی حال من حالاته،نجریه فی ذلک الموضوع عند زوال الحالة القدیمة و حدوث نقیضها فیه.و من المعلوم أنّه إذا تبدّل قید موضوع المسألة</w:t>
      </w:r>
    </w:p>
    <w:p>
      <w:pPr>
        <w:pStyle w:val="BookText"/>
      </w:pPr>
      <w:r>
        <w:rPr>
          <w:rFonts w:ascii="IRNazanin" w:hAnsi="IRNazanin" w:eastAsia="IRNazanin" w:cs="IRNazanin"/>
          <w:lang w:bidi="fa-IR"/>
          <w:color w:val="111111"/>
          <w:sz w:val="28"/>
          <w:szCs w:val="28"/>
          <w:rtl/>
        </w:rPr>
        <w:t xml:space="preserve">[شماره صفحه واقعی : 116]
</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bookmarkStart w:id="398" w:name="pg14411_143010"/>
    <w:bookmarkEnd w:id="398"/>
    <w:p>
      <w:pPr>
        <w:pStyle w:val="BookText"/>
      </w:pPr>
      <w:r>
        <w:rPr>
          <w:rFonts w:ascii="IRNazanin" w:hAnsi="IRNazanin" w:eastAsia="IRNazanin" w:cs="IRNazanin"/>
          <w:lang w:bidi="fa-IR"/>
          <w:color w:val="111111"/>
          <w:sz w:val="28"/>
          <w:szCs w:val="28"/>
          <w:rtl/>
        </w:rPr>
        <w:t xml:space="preserve">بنقیض ذلک القید اختلف موضوع المسألتین،فالذی سمّوه استصحابا راجع فی الحقیقة إلی إسراء حکم موضوع إلی موضوع آخر متّحد معه فی الذات مختلف معه فی الصفات،و من المعلوم عند الحکیم أنّ هذا المعنی غیر معتبر شرعا و أنّ القاعدة الشریفة المذکورة غیر شاملة له.</w:t>
      </w:r>
    </w:p>
    <w:p>
      <w:pPr>
        <w:pStyle w:val="BookText"/>
      </w:pPr>
      <w:r>
        <w:rPr>
          <w:rFonts w:ascii="IRNazanin" w:hAnsi="IRNazanin" w:eastAsia="IRNazanin" w:cs="IRNazanin"/>
          <w:lang w:bidi="fa-IR"/>
          <w:color w:val="111111"/>
          <w:sz w:val="28"/>
          <w:szCs w:val="28"/>
          <w:rtl/>
        </w:rPr>
        <w:t xml:space="preserve">و تارة:بأنّ استصحاب الحکم الشرعیّ،و کذا الأصل-أی الحالة التی إذا خلّی الشیء و نفسه کان علیها-إنّما یعمل بهما ما لم یظهر مخرج عنهما،و قد ظهر فی محلّ النزاع؛لتواتر الأخبار:بأنّ کلّ ما یحتاج إلیه الأمّة ورد فیه خطاب و حکم حتّی أرش الخدش </w:t>
      </w:r>
      <w:r>
        <w:rPr>
          <w:rStyle w:val="FootnoteReference"/>
        </w:rPr>
        <w:footnoteReference w:id="1877"/>
      </w:r>
      <w:r>
        <w:rPr>
          <w:rFonts w:ascii="IRNazanin" w:hAnsi="IRNazanin" w:eastAsia="IRNazanin" w:cs="IRNazanin"/>
          <w:lang w:bidi="fa-IR"/>
          <w:color w:val="111111"/>
          <w:sz w:val="28"/>
          <w:szCs w:val="28"/>
          <w:rtl/>
        </w:rPr>
        <w:t xml:space="preserve">،و کثیر ممّا ورد مخزون عند أهل الذکر علیهم السّلام،فعلم أنّه ورد فی محلّ النزاع أحکام لا نعلمها بعینها،و تواتر الأخبار بحصر المسائل فی ثلاث:بیّن رشده، و بیّن غیّه-أی مقطوع فیه ذلک،لا ریب فیه-،و ما لیس هذا و لا ذاک، و بوجوب التوقّف فی الثالث </w:t>
      </w:r>
      <w:r>
        <w:rPr>
          <w:rStyle w:val="FootnoteReference"/>
        </w:rPr>
        <w:footnoteReference w:id="1878"/>
      </w:r>
      <w:r>
        <w:rPr>
          <w:rFonts w:ascii="IRNazanin" w:hAnsi="IRNazanin" w:eastAsia="IRNazanin" w:cs="IRNazanin"/>
          <w:lang w:bidi="fa-IR"/>
          <w:color w:val="111111"/>
          <w:sz w:val="28"/>
          <w:szCs w:val="28"/>
          <w:rtl/>
        </w:rPr>
        <w:t xml:space="preserve">،انتهی.</w:t>
      </w:r>
    </w:p>
    <w:p>
      <w:pPr>
        <w:pStyle w:val="Heading6"/>
      </w:pPr>
      <w:bookmarkStart w:id="1817" w:name="_Toc852"/>
      <w:r>
        <w:t>[المناقشة فیما أفاده المحدّث الأسترابادی:]</w:t>
      </w:r>
      <w:bookmarkEnd w:id="1817"/>
    </w:p>
    <w:p>
      <w:pPr>
        <w:pStyle w:val="BookText"/>
      </w:pPr>
      <w:r>
        <w:rPr>
          <w:rFonts w:ascii="IRNazanin" w:hAnsi="IRNazanin" w:eastAsia="IRNazanin" w:cs="IRNazanin"/>
          <w:lang w:bidi="fa-IR"/>
          <w:color w:val="111111"/>
          <w:sz w:val="28"/>
          <w:szCs w:val="28"/>
          <w:rtl/>
        </w:rPr>
        <w:t xml:space="preserve">أقول:لا یخفی أنّ ما ذکره أوّلا قد استدلّ به کلّ من نفی الاستصحاب من أصحابنا،و أوضحوا ذلک غایة الإیضاح،کما یظهر لمن راجع الذریعة </w:t>
      </w:r>
      <w:r>
        <w:rPr>
          <w:rStyle w:val="FootnoteReference"/>
        </w:rPr>
        <w:footnoteReference w:id="1879"/>
      </w:r>
      <w:r>
        <w:rPr>
          <w:rFonts w:ascii="Amiri" w:hAnsi="Amiri" w:eastAsia="Amiri" w:cs="Amiri"/>
          <w:lang w:bidi="ar-SA"/>
          <w:color w:val="111111"/>
          <w:sz w:val="28"/>
          <w:szCs w:val="28"/>
          <w:rtl/>
        </w:rPr>
        <w:t xml:space="preserve">و العدّة </w:t>
      </w:r>
      <w:r>
        <w:rPr>
          <w:rStyle w:val="FootnoteReference"/>
        </w:rPr>
        <w:footnoteReference w:id="1880"/>
      </w:r>
      <w:r>
        <w:rPr>
          <w:rFonts w:ascii="IRNazanin" w:hAnsi="IRNazanin" w:eastAsia="IRNazanin" w:cs="IRNazanin"/>
          <w:lang w:bidi="fa-IR"/>
          <w:color w:val="111111"/>
          <w:sz w:val="28"/>
          <w:szCs w:val="28"/>
          <w:rtl/>
        </w:rPr>
        <w:t xml:space="preserve">و الغنیة </w:t>
      </w:r>
      <w:r>
        <w:rPr>
          <w:rStyle w:val="FootnoteReference"/>
        </w:rPr>
        <w:footnoteReference w:id="1881"/>
      </w:r>
      <w:r>
        <w:rPr>
          <w:rFonts w:ascii="IRNazanin" w:hAnsi="IRNazanin" w:eastAsia="IRNazanin" w:cs="IRNazanin"/>
          <w:lang w:bidi="fa-IR"/>
          <w:color w:val="111111"/>
          <w:sz w:val="28"/>
          <w:szCs w:val="28"/>
          <w:rtl/>
        </w:rPr>
        <w:t xml:space="preserve">و غیرها </w:t>
      </w:r>
      <w:r>
        <w:rPr>
          <w:rStyle w:val="FootnoteReference"/>
        </w:rPr>
        <w:footnoteReference w:id="1882"/>
      </w:r>
      <w:r>
        <w:rPr>
          <w:rFonts w:ascii="IRNazanin" w:hAnsi="IRNazanin" w:eastAsia="IRNazanin" w:cs="IRNazanin"/>
          <w:lang w:bidi="fa-IR"/>
          <w:color w:val="111111"/>
          <w:sz w:val="28"/>
          <w:szCs w:val="28"/>
          <w:rtl/>
        </w:rPr>
        <w:t xml:space="preserve">،إلاّ أنّهم منعوا من إثبات</w:t>
      </w:r>
    </w:p>
    <w:p>
      <w:pPr>
        <w:pStyle w:val="BookText"/>
      </w:pPr>
      <w:r>
        <w:rPr>
          <w:rFonts w:ascii="IRNazanin" w:hAnsi="IRNazanin" w:eastAsia="IRNazanin" w:cs="IRNazanin"/>
          <w:lang w:bidi="fa-IR"/>
          <w:color w:val="111111"/>
          <w:sz w:val="28"/>
          <w:szCs w:val="28"/>
          <w:rtl/>
        </w:rPr>
        <w:t xml:space="preserve">[شماره صفحه واقعی : 117]
</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الحکم الثابت لموضوع فی زمان،له بعینه فی زمان آخر،من دون تغیّر و اختلاف فی صفة الموضوع سابقا و لاحقا-کما یشهد له تمثیلهم بعدم الاعتماد علی حیاة زید أو بقاء البلد علی ساحل البحر بعد الغیبة عنهما- و أهملوا </w:t>
      </w:r>
      <w:r>
        <w:rPr>
          <w:rStyle w:val="FootnoteReference"/>
        </w:rPr>
        <w:footnoteReference w:id="1883"/>
      </w:r>
      <w:r>
        <w:rPr>
          <w:rFonts w:ascii="IRNazanin" w:hAnsi="IRNazanin" w:eastAsia="IRNazanin" w:cs="IRNazanin"/>
          <w:lang w:bidi="fa-IR"/>
          <w:color w:val="111111"/>
          <w:sz w:val="28"/>
          <w:szCs w:val="28"/>
          <w:rtl/>
        </w:rPr>
        <w:t xml:space="preserve">قاعدة«البناء علی الیقین السابق»؛لعدم دلالة العقل علیه و لا النقل،بناء علی عدم التفاتهم إلی الأخبار المذکورة؛لقصور دلالتها عندهم ببعض ما أشرنا إلیه سابقا </w:t>
      </w:r>
      <w:r>
        <w:rPr>
          <w:rStyle w:val="FootnoteReference"/>
        </w:rPr>
        <w:footnoteReference w:id="1884"/>
      </w:r>
      <w:r>
        <w:rPr>
          <w:rFonts w:ascii="IRNazanin" w:hAnsi="IRNazanin" w:eastAsia="IRNazanin" w:cs="IRNazanin"/>
          <w:lang w:bidi="fa-IR"/>
          <w:color w:val="111111"/>
          <w:sz w:val="28"/>
          <w:szCs w:val="28"/>
          <w:rtl/>
        </w:rPr>
        <w:t xml:space="preserve">،أو لغفلتهم عنها،علی أبعد الاحتمالات </w:t>
      </w:r>
      <w:r>
        <w:rPr>
          <w:rStyle w:val="FootnoteReference"/>
        </w:rPr>
        <w:footnoteReference w:id="1885"/>
      </w:r>
      <w:r>
        <w:rPr>
          <w:rFonts w:ascii="IRNazanin" w:hAnsi="IRNazanin" w:eastAsia="IRNazanin" w:cs="IRNazanin"/>
          <w:lang w:bidi="fa-IR"/>
          <w:color w:val="111111"/>
          <w:sz w:val="28"/>
          <w:szCs w:val="28"/>
          <w:rtl/>
        </w:rPr>
        <w:t xml:space="preserve">عن ساحة من هو دونهم فی الفضل.</w:t>
      </w:r>
    </w:p>
    <w:p>
      <w:pPr>
        <w:pStyle w:val="BookText"/>
      </w:pPr>
      <w:r>
        <w:rPr>
          <w:rFonts w:ascii="IRNazanin" w:hAnsi="IRNazanin" w:eastAsia="IRNazanin" w:cs="IRNazanin"/>
          <w:lang w:bidi="fa-IR"/>
          <w:color w:val="111111"/>
          <w:sz w:val="28"/>
          <w:szCs w:val="28"/>
          <w:rtl/>
        </w:rPr>
        <w:t xml:space="preserve">و هذا المحدّث قد سلّم دلالة الأخبار علی وجوب البناء علی الیقین السابق و حرمة نقضه مع اتّحاد الموضوع </w:t>
      </w:r>
      <w:r>
        <w:rPr>
          <w:rStyle w:val="FootnoteReference"/>
        </w:rPr>
        <w:footnoteReference w:id="1886"/>
      </w:r>
      <w:r>
        <w:rPr>
          <w:rFonts w:ascii="IRNazanin" w:hAnsi="IRNazanin" w:eastAsia="IRNazanin" w:cs="IRNazanin"/>
          <w:lang w:bidi="fa-IR"/>
          <w:color w:val="111111"/>
          <w:sz w:val="28"/>
          <w:szCs w:val="28"/>
          <w:rtl/>
        </w:rPr>
        <w:t xml:space="preserve">،إلاّ أنّه ادّعی تغایر موضوع المسألة المتیقّنة و المسألة المشکوکة،فالحکم فیها بالحکم السابق لیس بناء علی الیقین السابق،و عدم الحکم به لیس نقضا له.</w:t>
      </w:r>
    </w:p>
    <w:p>
      <w:pPr>
        <w:pStyle w:val="BookText"/>
      </w:pPr>
      <w:r>
        <w:rPr>
          <w:rFonts w:ascii="IRNazanin" w:hAnsi="IRNazanin" w:eastAsia="IRNazanin" w:cs="IRNazanin"/>
          <w:lang w:bidi="fa-IR"/>
          <w:color w:val="111111"/>
          <w:sz w:val="28"/>
          <w:szCs w:val="28"/>
          <w:rtl/>
        </w:rPr>
        <w:t xml:space="preserve">فیرد علیه:</w:t>
      </w:r>
    </w:p>
    <w:p>
      <w:pPr>
        <w:pStyle w:val="BookText"/>
      </w:pPr>
      <w:r>
        <w:rPr>
          <w:rFonts w:ascii="IRNazanin" w:hAnsi="IRNazanin" w:eastAsia="IRNazanin" w:cs="IRNazanin"/>
          <w:lang w:bidi="fa-IR"/>
          <w:color w:val="111111"/>
          <w:sz w:val="28"/>
          <w:szCs w:val="28"/>
          <w:rtl/>
        </w:rPr>
        <w:t xml:space="preserve">أوّلا:النقض بالموارد التی ادّعی الإجماع و الضرورة علی اعتبار الاستصحاب فیها-کما حکیناها عنه سابقا </w:t>
      </w:r>
      <w:r>
        <w:rPr>
          <w:rStyle w:val="FootnoteReference"/>
        </w:rPr>
        <w:footnoteReference w:id="1887"/>
      </w:r>
      <w:r>
        <w:rPr>
          <w:rFonts w:ascii="IRNazanin" w:hAnsi="IRNazanin" w:eastAsia="IRNazanin" w:cs="IRNazanin"/>
          <w:lang w:bidi="fa-IR"/>
          <w:color w:val="111111"/>
          <w:sz w:val="28"/>
          <w:szCs w:val="28"/>
          <w:rtl/>
        </w:rPr>
        <w:t xml:space="preserve">-فإنّ منها:استصحاب اللیل و النهار؛فإنّ کون الزمان المشکوک لیلا أو نهارا أشدّ تغایرا و اختلافا مع کون الزمان السابق کذلک،من ثبوت خیار الغبن أو</w:t>
      </w:r>
    </w:p>
    <w:p>
      <w:pPr>
        <w:pStyle w:val="BookText"/>
      </w:pPr>
      <w:r>
        <w:rPr>
          <w:rFonts w:ascii="IRNazanin" w:hAnsi="IRNazanin" w:eastAsia="IRNazanin" w:cs="IRNazanin"/>
          <w:lang w:bidi="fa-IR"/>
          <w:color w:val="111111"/>
          <w:sz w:val="28"/>
          <w:szCs w:val="28"/>
          <w:rtl/>
        </w:rPr>
        <w:t xml:space="preserve">[شماره صفحه واقعی : 118]
</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الشفعة فی الزمان المشکوک و ثبوتهما فی الزمان السابق.</w:t>
      </w:r>
    </w:p>
    <w:p>
      <w:pPr>
        <w:pStyle w:val="BookText"/>
      </w:pPr>
      <w:r>
        <w:rPr>
          <w:rFonts w:ascii="IRNazanin" w:hAnsi="IRNazanin" w:eastAsia="IRNazanin" w:cs="IRNazanin"/>
          <w:lang w:bidi="fa-IR"/>
          <w:color w:val="111111"/>
          <w:sz w:val="28"/>
          <w:szCs w:val="28"/>
          <w:rtl/>
        </w:rPr>
        <w:t xml:space="preserve">و لو ارید من اللیل و النهار طلوع الفجر و غروب الشمس لا نفس الزمان،کان الأمر کذلک-و إن کان دون الأوّل فی الظهور-لأنّ مرجع الطلوع و الغروب إلی الحرکة الحادثة شیئا فشیئا.</w:t>
      </w:r>
    </w:p>
    <w:p>
      <w:pPr>
        <w:pStyle w:val="BookText"/>
      </w:pPr>
      <w:r>
        <w:rPr>
          <w:rFonts w:ascii="IRNazanin" w:hAnsi="IRNazanin" w:eastAsia="IRNazanin" w:cs="IRNazanin"/>
          <w:lang w:bidi="fa-IR"/>
          <w:color w:val="111111"/>
          <w:sz w:val="28"/>
          <w:szCs w:val="28"/>
          <w:rtl/>
        </w:rPr>
        <w:t xml:space="preserve">و لو ارید استصحاب أحکامهما،مثل:جواز الأکل و الشرب و حرمتهما،ففیه:أنّ ثبوتهما </w:t>
      </w:r>
      <w:r>
        <w:rPr>
          <w:rStyle w:val="FootnoteReference"/>
        </w:rPr>
        <w:footnoteReference w:id="1888"/>
      </w:r>
      <w:r>
        <w:rPr>
          <w:rFonts w:ascii="IRNazanin" w:hAnsi="IRNazanin" w:eastAsia="IRNazanin" w:cs="IRNazanin"/>
          <w:lang w:bidi="fa-IR"/>
          <w:color w:val="111111"/>
          <w:sz w:val="28"/>
          <w:szCs w:val="28"/>
          <w:rtl/>
        </w:rPr>
        <w:t xml:space="preserve">فی السابق کان منوطا و متعلّقا فی الأدلّة الشرعیّة بزمانی اللیل و النهار،فإجراؤهما مع الشکّ فی تحقّق الموضوع بمنزلة ما أنکره علی القائلین بالاستصحاب،من إسراء </w:t>
      </w:r>
      <w:r>
        <w:rPr>
          <w:rStyle w:val="FootnoteReference"/>
        </w:rPr>
        <w:footnoteReference w:id="1889"/>
      </w:r>
      <w:r>
        <w:rPr>
          <w:rFonts w:ascii="IRNazanin" w:hAnsi="IRNazanin" w:eastAsia="IRNazanin" w:cs="IRNazanin"/>
          <w:lang w:bidi="fa-IR"/>
          <w:color w:val="111111"/>
          <w:sz w:val="28"/>
          <w:szCs w:val="28"/>
          <w:rtl/>
        </w:rPr>
        <w:t xml:space="preserve">الحکم من موضوع إلی موضوع آخر.</w:t>
      </w:r>
    </w:p>
    <w:p>
      <w:pPr>
        <w:pStyle w:val="BookText"/>
      </w:pPr>
      <w:r>
        <w:rPr>
          <w:rFonts w:ascii="IRNazanin" w:hAnsi="IRNazanin" w:eastAsia="IRNazanin" w:cs="IRNazanin"/>
          <w:lang w:bidi="fa-IR"/>
          <w:color w:val="111111"/>
          <w:sz w:val="28"/>
          <w:szCs w:val="28"/>
          <w:rtl/>
        </w:rPr>
        <w:t xml:space="preserve">و بما ذکرنا یظهر:ورود النقض المذکور علیه فی سائر الأمثلة، فأیّ فرق بین الشکّ فی تحقّق الحدث أو الخبث بعد الطهارة-الذی جعل الاستصحاب فیه من ضروریّات الدین-،و بین الشکّ فی کون المذی محکوما شرعا برافعیّة الطهارة؟!فإنّ الطهارة السابقة فی کلّ منهما کان منوطا بعدم تحقّق الرافع،و هذا المناط فی زمان الشکّ غیر متحقّق، فکیف یسری حکم حالة وجود المناط إلیه؟!</w:t>
      </w:r>
    </w:p>
    <w:p>
      <w:pPr>
        <w:pStyle w:val="BookText"/>
      </w:pPr>
      <w:r>
        <w:rPr>
          <w:rFonts w:ascii="IRNazanin" w:hAnsi="IRNazanin" w:eastAsia="IRNazanin" w:cs="IRNazanin"/>
          <w:lang w:bidi="fa-IR"/>
          <w:color w:val="111111"/>
          <w:sz w:val="28"/>
          <w:szCs w:val="28"/>
          <w:rtl/>
        </w:rPr>
        <w:t xml:space="preserve">و ثانیا:بالحلّ،بأنّ اتّحاد القضیّة المتیقّنة و المشکوکة-الذی یتوقّف صدق البناء علی الیقین و </w:t>
      </w:r>
      <w:r>
        <w:rPr>
          <w:rStyle w:val="FootnoteReference"/>
        </w:rPr>
        <w:footnoteReference w:id="1890"/>
      </w:r>
      <w:r>
        <w:rPr>
          <w:rFonts w:ascii="IRNazanin" w:hAnsi="IRNazanin" w:eastAsia="IRNazanin" w:cs="IRNazanin"/>
          <w:lang w:bidi="fa-IR"/>
          <w:color w:val="111111"/>
          <w:sz w:val="28"/>
          <w:szCs w:val="28"/>
          <w:rtl/>
        </w:rPr>
        <w:t xml:space="preserve">نقضه بالشکّ علیه-أمر راجع إلی العرف؛ لأنّه المحکّم فی باب الألفاظ،و من المعلوم أنّ الخیار أو الشفعة إذا ثبت</w:t>
      </w:r>
    </w:p>
    <w:p>
      <w:pPr>
        <w:pStyle w:val="BookText"/>
      </w:pPr>
      <w:r>
        <w:rPr>
          <w:rFonts w:ascii="IRNazanin" w:hAnsi="IRNazanin" w:eastAsia="IRNazanin" w:cs="IRNazanin"/>
          <w:lang w:bidi="fa-IR"/>
          <w:color w:val="111111"/>
          <w:sz w:val="28"/>
          <w:szCs w:val="28"/>
          <w:rtl/>
        </w:rPr>
        <w:t xml:space="preserve">[شماره صفحه واقعی : 119]
</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الزمان الأوّل و شکّ فی ثبوتهما فی الزمان الثانی،یصدق عرفا أنّ القضیّة المتیقّنة فی الزمان الأوّل بعینها مشکوکة فی الزمان الثانی.</w:t>
      </w:r>
    </w:p>
    <w:p>
      <w:pPr>
        <w:pStyle w:val="BookText"/>
      </w:pPr>
      <w:r>
        <w:rPr>
          <w:rFonts w:ascii="IRNazanin" w:hAnsi="IRNazanin" w:eastAsia="IRNazanin" w:cs="IRNazanin"/>
          <w:lang w:bidi="fa-IR"/>
          <w:color w:val="111111"/>
          <w:sz w:val="28"/>
          <w:szCs w:val="28"/>
          <w:rtl/>
        </w:rPr>
        <w:t xml:space="preserve">نعم،قد یتحقّق فی بعض الموارد الشکّ فی إحراز الموضوع للشکّ فی مدخلیّة الحالة المتبدّلة فیه.فلا بدّ من التأمّل التامّ،فإنّه من أعظم المزال فی هذا المقام.</w:t>
      </w:r>
    </w:p>
    <w:p>
      <w:pPr>
        <w:pStyle w:val="BookText"/>
      </w:pPr>
      <w:r>
        <w:rPr>
          <w:rFonts w:ascii="IRNazanin" w:hAnsi="IRNazanin" w:eastAsia="IRNazanin" w:cs="IRNazanin"/>
          <w:lang w:bidi="fa-IR"/>
          <w:color w:val="111111"/>
          <w:sz w:val="28"/>
          <w:szCs w:val="28"/>
          <w:rtl/>
        </w:rPr>
        <w:t xml:space="preserve">و أمّا ما ذکره ثانیا:من معارضة قاعدة الیقین و الأصل بما دلّ علی التوقّف.</w:t>
      </w:r>
    </w:p>
    <w:p>
      <w:pPr>
        <w:pStyle w:val="BookText"/>
      </w:pPr>
      <w:r>
        <w:rPr>
          <w:rFonts w:ascii="IRNazanin" w:hAnsi="IRNazanin" w:eastAsia="IRNazanin" w:cs="IRNazanin"/>
          <w:lang w:bidi="fa-IR"/>
          <w:color w:val="111111"/>
          <w:sz w:val="28"/>
          <w:szCs w:val="28"/>
          <w:rtl/>
        </w:rPr>
        <w:t xml:space="preserve">ففیه-مضافا إلی ما حقّقناه فی أصل البراءة،من ضعف دلالة الأخبار علی وجوب الاحتیاط </w:t>
      </w:r>
      <w:r>
        <w:rPr>
          <w:rStyle w:val="FootnoteReference"/>
        </w:rPr>
        <w:footnoteReference w:id="1891"/>
      </w:r>
      <w:r>
        <w:rPr>
          <w:rFonts w:ascii="IRNazanin" w:hAnsi="IRNazanin" w:eastAsia="IRNazanin" w:cs="IRNazanin"/>
          <w:lang w:bidi="fa-IR"/>
          <w:color w:val="111111"/>
          <w:sz w:val="28"/>
          <w:szCs w:val="28"/>
          <w:rtl/>
        </w:rPr>
        <w:t xml:space="preserve">،و إنّما تدلّ علی وجوب التحرّز عن موارد الهلکة الدنیویّة أو الاخرویّة،و الأخیرة مختصّة بموارد حکم العقل بوجوب الاحتیاط من جهة القطع بثبوت العقاب إجمالا و تردّده بین المحتملات-:أنّ أخبار الاستصحاب حاکمة علی أدلّة الاحتیاط-علی تقدیر دلالة الأخبار علیه أیضا-کما سیجیء </w:t>
      </w:r>
      <w:r>
        <w:rPr>
          <w:rStyle w:val="FootnoteReference"/>
        </w:rPr>
        <w:footnoteReference w:id="1892"/>
      </w:r>
      <w:r>
        <w:rPr>
          <w:rFonts w:ascii="IRNazanin" w:hAnsi="IRNazanin" w:eastAsia="IRNazanin" w:cs="IRNazanin"/>
          <w:lang w:bidi="fa-IR"/>
          <w:color w:val="111111"/>
          <w:sz w:val="28"/>
          <w:szCs w:val="28"/>
          <w:rtl/>
        </w:rPr>
        <w:t xml:space="preserve">فی مسألة تعارض الاستصحاب مع سائر الاصول إن شاء اللّه تعالی.</w:t>
      </w:r>
    </w:p>
    <w:p>
      <w:pPr>
        <w:pStyle w:val="BookText"/>
      </w:pPr>
      <w:r>
        <w:rPr>
          <w:rFonts w:ascii="IRNazanin" w:hAnsi="IRNazanin" w:eastAsia="IRNazanin" w:cs="IRNazanin"/>
          <w:lang w:bidi="fa-IR"/>
          <w:color w:val="111111"/>
          <w:sz w:val="28"/>
          <w:szCs w:val="28"/>
          <w:rtl/>
        </w:rPr>
        <w:t xml:space="preserve">ثمّ إنّ ما ذکره:من أنّه شبهة عجز عن جوابها الفحول،ممّا لا یخفی ما فیه؛إذ أیّ اصولیّ أو فقیه تعرّض لهذه الأخبار و ورود هذه الشبهة فعجز عن جوابها؟!مع أنّه لم یذکر فی الجواب الأوّل عنها إلاّ ما اشتهر بین النافین للاستصحاب،و لا فی الجواب الثانی إلاّ ما اشتهر بین الأخباریّین:من وجوب التوقّف و الاحتیاط فی الشبهة الحکمیّة.</w:t>
      </w:r>
    </w:p>
    <w:p>
      <w:pPr>
        <w:pStyle w:val="BookText"/>
      </w:pPr>
      <w:r>
        <w:rPr>
          <w:rFonts w:ascii="IRNazanin" w:hAnsi="IRNazanin" w:eastAsia="IRNazanin" w:cs="IRNazanin"/>
          <w:lang w:bidi="fa-IR"/>
          <w:color w:val="111111"/>
          <w:sz w:val="28"/>
          <w:szCs w:val="28"/>
          <w:rtl/>
        </w:rPr>
        <w:t xml:space="preserve">[شماره صفحه واقعی : 120]
</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bookmarkStart w:id="399" w:name="pg14411_143014"/>
    <w:bookmarkEnd w:id="399"/>
    <w:p>
      <w:pPr>
        <w:pStyle w:val="Heading5"/>
      </w:pPr>
      <w:bookmarkStart w:id="1818" w:name="_Toc853"/>
      <w:r>
        <w:t>[حجّة القول السادس] : التفصیل بین الحکم الجزئی و غیره و الجواب عنه</w:t>
      </w:r>
      <w:bookmarkEnd w:id="1818"/>
    </w:p>
    <w:p>
      <w:pPr>
        <w:pStyle w:val="BookText"/>
      </w:pPr>
      <w:r>
        <w:rPr>
          <w:rFonts w:ascii="Amiri" w:hAnsi="Amiri" w:eastAsia="Amiri" w:cs="Amiri"/>
          <w:lang w:bidi="ar-SA"/>
          <w:color w:val="111111"/>
          <w:sz w:val="28"/>
          <w:szCs w:val="28"/>
          <w:rtl/>
        </w:rPr>
        <w:t xml:space="preserve">[حجّة القول السادس] </w:t>
      </w:r>
      <w:r>
        <w:rPr>
          <w:rStyle w:val="FootnoteReference"/>
        </w:rPr>
        <w:footnoteReference w:id="1893"/>
      </w:r>
      <w:r>
        <w:rPr>
          <w:rFonts w:ascii="IRNazanin" w:hAnsi="IRNazanin" w:eastAsia="IRNazanin" w:cs="IRNazanin"/>
          <w:lang w:bidi="fa-IR"/>
          <w:color w:val="111111"/>
          <w:sz w:val="28"/>
          <w:szCs w:val="28"/>
          <w:rtl/>
        </w:rPr>
        <w:t xml:space="preserve">التفصیل بین الحکم الجزئی و غیره و الجواب عنه</w:t>
      </w:r>
    </w:p>
    <w:p>
      <w:pPr>
        <w:pStyle w:val="BookText"/>
      </w:pPr>
      <w:r>
        <w:rPr>
          <w:rFonts w:ascii="IRNazanin" w:hAnsi="IRNazanin" w:eastAsia="IRNazanin" w:cs="IRNazanin"/>
          <w:lang w:bidi="fa-IR"/>
          <w:color w:val="111111"/>
          <w:sz w:val="28"/>
          <w:szCs w:val="28"/>
          <w:rtl/>
        </w:rPr>
        <w:t xml:space="preserve">حجّة القول السادس-علی تقدیر وجود القائل به،علی ما سبق التأمّل </w:t>
      </w:r>
      <w:r>
        <w:rPr>
          <w:rStyle w:val="FootnoteReference"/>
        </w:rPr>
        <w:footnoteReference w:id="1894"/>
      </w:r>
      <w:r>
        <w:rPr>
          <w:rFonts w:ascii="IRNazanin" w:hAnsi="IRNazanin" w:eastAsia="IRNazanin" w:cs="IRNazanin"/>
          <w:lang w:bidi="fa-IR"/>
          <w:color w:val="111111"/>
          <w:sz w:val="28"/>
          <w:szCs w:val="28"/>
          <w:rtl/>
        </w:rPr>
        <w:t xml:space="preserve">فیه </w:t>
      </w:r>
      <w:r>
        <w:rPr>
          <w:rStyle w:val="FootnoteReference"/>
        </w:rPr>
        <w:footnoteReference w:id="1895"/>
      </w:r>
      <w:r>
        <w:rPr>
          <w:rFonts w:ascii="IRNazanin" w:hAnsi="IRNazanin" w:eastAsia="IRNazanin" w:cs="IRNazanin"/>
          <w:lang w:bidi="fa-IR"/>
          <w:color w:val="111111"/>
          <w:sz w:val="28"/>
          <w:szCs w:val="28"/>
          <w:rtl/>
        </w:rPr>
        <w:t xml:space="preserve">-تظهر مع جوابها ممّا تقدّم فی القولین السابقین </w:t>
      </w:r>
      <w:r>
        <w:rPr>
          <w:rStyle w:val="FootnoteReference"/>
        </w:rPr>
        <w:footnoteReference w:id="1896"/>
      </w:r>
      <w:r>
        <w:rPr>
          <w:rFonts w:ascii="Times New Roman" w:hAnsi="Times New Roman" w:eastAsia="Times New Roman" w:cs="Times New Roman"/>
          <w:lang w:val="en-US" w:bidi="en-US"/>
          <w:color w:val="111111"/>
          <w:sz w:val="28"/>
          <w:szCs w:val="28"/>
          <w:rtl/>
        </w:rPr>
        <w:t xml:space="preserve">.</w:t>
      </w:r>
    </w:p>
    <w:p>
      <w:pPr>
        <w:pStyle w:val="Heading5"/>
      </w:pPr>
      <w:bookmarkStart w:id="1819" w:name="_Toc854"/>
      <w:r>
        <w:t>[حجّة القول السابع] : التفصیل بین الحکم التکلیفی و الوضعی</w:t>
      </w:r>
      <w:bookmarkEnd w:id="1819"/>
    </w:p>
    <w:p>
      <w:pPr>
        <w:pStyle w:val="Heading6"/>
      </w:pPr>
      <w:bookmarkStart w:id="1820" w:name="_Toc855"/>
      <w:r>
        <w:t>اشارة</w:t>
      </w:r>
      <w:bookmarkEnd w:id="1820"/>
    </w:p>
    <w:p>
      <w:pPr>
        <w:pStyle w:val="BookText"/>
      </w:pPr>
      <w:r>
        <w:rPr>
          <w:rFonts w:ascii="Amiri" w:hAnsi="Amiri" w:eastAsia="Amiri" w:cs="Amiri"/>
          <w:lang w:bidi="ar-SA"/>
          <w:color w:val="111111"/>
          <w:sz w:val="28"/>
          <w:szCs w:val="28"/>
          <w:rtl/>
        </w:rPr>
        <w:t xml:space="preserve">[حجّة القول السابع] </w:t>
      </w:r>
      <w:r>
        <w:rPr>
          <w:rStyle w:val="FootnoteReference"/>
        </w:rPr>
        <w:footnoteReference w:id="1897"/>
      </w:r>
      <w:r>
        <w:rPr>
          <w:rFonts w:ascii="IRNazanin" w:hAnsi="IRNazanin" w:eastAsia="IRNazanin" w:cs="IRNazanin"/>
          <w:lang w:bidi="fa-IR"/>
          <w:color w:val="111111"/>
          <w:sz w:val="28"/>
          <w:szCs w:val="28"/>
          <w:rtl/>
        </w:rPr>
        <w:t xml:space="preserve">التفصیل بین الحکم التکلیفی و الوضعی</w:t>
      </w:r>
    </w:p>
    <w:p>
      <w:pPr>
        <w:pStyle w:val="BookText"/>
      </w:pPr>
      <w:r>
        <w:rPr>
          <w:rFonts w:ascii="IRNazanin" w:hAnsi="IRNazanin" w:eastAsia="IRNazanin" w:cs="IRNazanin"/>
          <w:lang w:bidi="fa-IR"/>
          <w:color w:val="111111"/>
          <w:sz w:val="28"/>
          <w:szCs w:val="28"/>
          <w:rtl/>
        </w:rPr>
        <w:t xml:space="preserve">حجّة القول السابع-الذی نسبه الفاضل التونی قدّس سرّه إلی نفسه، و إن لم یلزم ممّا حقّقه فی کلامه-: </w:t>
      </w:r>
      <w:r>
        <w:rPr>
          <w:rStyle w:val="FootnoteReference"/>
        </w:rPr>
        <w:footnoteReference w:id="1898"/>
      </w:r>
      <w:r>
        <w:rPr>
          <w:rFonts w:ascii="IRNazanin" w:hAnsi="IRNazanin" w:eastAsia="IRNazanin" w:cs="IRNazanin"/>
          <w:lang w:bidi="fa-IR"/>
          <w:color w:val="111111"/>
          <w:sz w:val="28"/>
          <w:szCs w:val="28"/>
          <w:rtl/>
        </w:rPr>
        <w:t xml:space="preserve">ما ذکره فی کلام طویل له </w:t>
      </w:r>
      <w:r>
        <w:rPr>
          <w:rStyle w:val="FootnoteReference"/>
        </w:rPr>
        <w:footnoteReference w:id="1899"/>
      </w:r>
      <w:r>
        <w:rPr>
          <w:rFonts w:ascii="IRNazanin" w:hAnsi="IRNazanin" w:eastAsia="IRNazanin" w:cs="IRNazanin"/>
          <w:lang w:bidi="fa-IR"/>
          <w:color w:val="111111"/>
          <w:sz w:val="28"/>
          <w:szCs w:val="28"/>
          <w:rtl/>
        </w:rPr>
        <w:t xml:space="preserve">،فإنّه بعد الإشارة إلی الخلاف فی المسألة،قال:</w:t>
      </w:r>
    </w:p>
    <w:p>
      <w:pPr>
        <w:pStyle w:val="BookText"/>
      </w:pPr>
      <w:r>
        <w:rPr>
          <w:rFonts w:ascii="IRNazanin" w:hAnsi="IRNazanin" w:eastAsia="IRNazanin" w:cs="IRNazanin"/>
          <w:lang w:bidi="fa-IR"/>
          <w:color w:val="111111"/>
          <w:sz w:val="28"/>
          <w:szCs w:val="28"/>
          <w:rtl/>
        </w:rPr>
        <w:t xml:space="preserve">و لتحقیق المقام لا بدّ من إیراد کلام یتّضح به حقیقة الحال،</w:t>
      </w:r>
    </w:p>
    <w:p>
      <w:pPr>
        <w:pStyle w:val="BookText"/>
      </w:pPr>
      <w:r>
        <w:rPr>
          <w:rFonts w:ascii="IRNazanin" w:hAnsi="IRNazanin" w:eastAsia="IRNazanin" w:cs="IRNazanin"/>
          <w:lang w:bidi="fa-IR"/>
          <w:color w:val="111111"/>
          <w:sz w:val="28"/>
          <w:szCs w:val="28"/>
          <w:rtl/>
        </w:rPr>
        <w:t xml:space="preserve">[شماره صفحه واقعی : 121]
</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bookmarkStart w:id="400" w:name="pg14411_143015"/>
    <w:bookmarkEnd w:id="400"/>
    <w:p>
      <w:pPr>
        <w:pStyle w:val="Heading6"/>
      </w:pPr>
      <w:bookmarkStart w:id="1821" w:name="_Toc856"/>
      <w:r>
        <w:t>[کلام الفاضل التونی:]</w:t>
      </w:r>
      <w:bookmarkEnd w:id="1821"/>
    </w:p>
    <w:p>
      <w:pPr>
        <w:pStyle w:val="BookText"/>
      </w:pPr>
      <w:r>
        <w:rPr>
          <w:rFonts w:ascii="IRNazanin" w:hAnsi="IRNazanin" w:eastAsia="IRNazanin" w:cs="IRNazanin"/>
          <w:lang w:bidi="fa-IR"/>
          <w:color w:val="111111"/>
          <w:sz w:val="28"/>
          <w:szCs w:val="28"/>
          <w:rtl/>
        </w:rPr>
        <w:t xml:space="preserve">فنقول:الأحکام الشرعیّة تنقسم إلی ستّة أقسام:</w:t>
      </w:r>
    </w:p>
    <w:p>
      <w:pPr>
        <w:pStyle w:val="BookText"/>
      </w:pPr>
      <w:r>
        <w:rPr>
          <w:rFonts w:ascii="IRNazanin" w:hAnsi="IRNazanin" w:eastAsia="IRNazanin" w:cs="IRNazanin"/>
          <w:lang w:bidi="fa-IR"/>
          <w:color w:val="111111"/>
          <w:sz w:val="28"/>
          <w:szCs w:val="28"/>
          <w:rtl/>
        </w:rPr>
        <w:t xml:space="preserve">الأوّل و الثانی:الأحکام الاقتضائیّة المطلوب فیها الفعل،و هی الواجب و المندوب.</w:t>
      </w:r>
    </w:p>
    <w:p>
      <w:pPr>
        <w:pStyle w:val="BookText"/>
      </w:pPr>
      <w:r>
        <w:rPr>
          <w:rFonts w:ascii="IRNazanin" w:hAnsi="IRNazanin" w:eastAsia="IRNazanin" w:cs="IRNazanin"/>
          <w:lang w:bidi="fa-IR"/>
          <w:color w:val="111111"/>
          <w:sz w:val="28"/>
          <w:szCs w:val="28"/>
          <w:rtl/>
        </w:rPr>
        <w:t xml:space="preserve">و الثالث و الرابع:الأحکام الاقتضائیّة المطلوب فیها الترک،و هی الحرام و المکروه.</w:t>
      </w:r>
    </w:p>
    <w:p>
      <w:pPr>
        <w:pStyle w:val="BookText"/>
      </w:pPr>
      <w:r>
        <w:rPr>
          <w:rFonts w:ascii="IRNazanin" w:hAnsi="IRNazanin" w:eastAsia="IRNazanin" w:cs="IRNazanin"/>
          <w:lang w:bidi="fa-IR"/>
          <w:color w:val="111111"/>
          <w:sz w:val="28"/>
          <w:szCs w:val="28"/>
          <w:rtl/>
        </w:rPr>
        <w:t xml:space="preserve">و الخامس:الأحکام التخییریّة الدالّة علی الإباحة.</w:t>
      </w:r>
    </w:p>
    <w:p>
      <w:pPr>
        <w:pStyle w:val="BookText"/>
      </w:pPr>
      <w:r>
        <w:rPr>
          <w:rFonts w:ascii="IRNazanin" w:hAnsi="IRNazanin" w:eastAsia="IRNazanin" w:cs="IRNazanin"/>
          <w:lang w:bidi="fa-IR"/>
          <w:color w:val="111111"/>
          <w:sz w:val="28"/>
          <w:szCs w:val="28"/>
          <w:rtl/>
        </w:rPr>
        <w:t xml:space="preserve">و السادس:الأحکام الوضعیّة،کالحکم علی الشیء بأنّه سبب لأمر أو شرط له أو مانع له.و المضایقة بمنع أنّ الخطاب الوضعی داخل فی الحکم الشرعیّ،ممّا لا یضرّ فیما نحن بصدده.</w:t>
      </w:r>
    </w:p>
    <w:p>
      <w:pPr>
        <w:pStyle w:val="BookText"/>
      </w:pPr>
      <w:r>
        <w:rPr>
          <w:rFonts w:ascii="IRNazanin" w:hAnsi="IRNazanin" w:eastAsia="IRNazanin" w:cs="IRNazanin"/>
          <w:lang w:bidi="fa-IR"/>
          <w:color w:val="111111"/>
          <w:sz w:val="28"/>
          <w:szCs w:val="28"/>
          <w:rtl/>
        </w:rPr>
        <w:t xml:space="preserve">إذا عرفت هذا،فإذا ورد أمر بطلب شیء،فلا یخلو إمّا أن یکون موقّتا أم لا.</w:t>
      </w:r>
    </w:p>
    <w:p>
      <w:pPr>
        <w:pStyle w:val="BookText"/>
      </w:pPr>
      <w:r>
        <w:rPr>
          <w:rFonts w:ascii="IRNazanin" w:hAnsi="IRNazanin" w:eastAsia="IRNazanin" w:cs="IRNazanin"/>
          <w:lang w:bidi="fa-IR"/>
          <w:color w:val="111111"/>
          <w:sz w:val="28"/>
          <w:szCs w:val="28"/>
          <w:rtl/>
        </w:rPr>
        <w:t xml:space="preserve">و علی الأوّل،یکون وجوب ذلک الشیء أو ندبه فی کلّ جزء من أجزاء ذلک الوقت ثابتا بذلک الأمر،فالتمسّک فی ثبوت ذلک الحکم فی الزمان الثانی بالنصّ،لا بالثبوت فی الزمان الأوّل حتّی یکون استصحابا،و هو ظاهر.</w:t>
      </w:r>
    </w:p>
    <w:p>
      <w:pPr>
        <w:pStyle w:val="BookText"/>
      </w:pPr>
      <w:r>
        <w:rPr>
          <w:rFonts w:ascii="IRNazanin" w:hAnsi="IRNazanin" w:eastAsia="IRNazanin" w:cs="IRNazanin"/>
          <w:lang w:bidi="fa-IR"/>
          <w:color w:val="111111"/>
          <w:sz w:val="28"/>
          <w:szCs w:val="28"/>
          <w:rtl/>
        </w:rPr>
        <w:t xml:space="preserve">و علی الثانی،أیضا کذلک إن قلنا بإفادة الأمر التکرار،و إلاّ فذمّة المکلّف مشغولة حتّی یأتی به فی أیّ زمان کان.و نسبة أجزاء الزمان إلیه نسبة واحدة فی کونه أداء فی کلّ جزء منها،سواء قلنا بأنّ الأمر للفور أم لا.</w:t>
      </w:r>
    </w:p>
    <w:p>
      <w:pPr>
        <w:pStyle w:val="BookText"/>
      </w:pPr>
      <w:r>
        <w:rPr>
          <w:rFonts w:ascii="IRNazanin" w:hAnsi="IRNazanin" w:eastAsia="IRNazanin" w:cs="IRNazanin"/>
          <w:lang w:bidi="fa-IR"/>
          <w:color w:val="111111"/>
          <w:sz w:val="28"/>
          <w:szCs w:val="28"/>
          <w:rtl/>
        </w:rPr>
        <w:t xml:space="preserve">و التوهّم:بأنّ الأمر إذا کان للفور یکون من قبیل الموقّت المضیّق،اشتباه غیر خفیّ علی المتأمّل.</w:t>
      </w:r>
    </w:p>
    <w:p>
      <w:pPr>
        <w:pStyle w:val="BookText"/>
      </w:pPr>
      <w:r>
        <w:rPr>
          <w:rFonts w:ascii="IRNazanin" w:hAnsi="IRNazanin" w:eastAsia="IRNazanin" w:cs="IRNazanin"/>
          <w:lang w:bidi="fa-IR"/>
          <w:color w:val="111111"/>
          <w:sz w:val="28"/>
          <w:szCs w:val="28"/>
          <w:rtl/>
        </w:rPr>
        <w:t xml:space="preserve">فهذا أیضا لیس من الاستصحاب فی شیء.</w:t>
      </w:r>
    </w:p>
    <w:p>
      <w:pPr>
        <w:pStyle w:val="BookText"/>
      </w:pPr>
      <w:r>
        <w:rPr>
          <w:rFonts w:ascii="IRNazanin" w:hAnsi="IRNazanin" w:eastAsia="IRNazanin" w:cs="IRNazanin"/>
          <w:lang w:bidi="fa-IR"/>
          <w:color w:val="111111"/>
          <w:sz w:val="28"/>
          <w:szCs w:val="28"/>
          <w:rtl/>
        </w:rPr>
        <w:t xml:space="preserve">[شماره صفحه واقعی : 122]
</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یمکن أن یقال:إثبات الحکم فی القسم الأوّل فیما بعد وقته من الاستصحاب؛فإنّ هذا لم یقل به أحد،و لا یجوز إجماعا.</w:t>
      </w:r>
    </w:p>
    <w:p>
      <w:pPr>
        <w:pStyle w:val="BookText"/>
      </w:pPr>
      <w:r>
        <w:rPr>
          <w:rFonts w:ascii="IRNazanin" w:hAnsi="IRNazanin" w:eastAsia="IRNazanin" w:cs="IRNazanin"/>
          <w:lang w:bidi="fa-IR"/>
          <w:color w:val="111111"/>
          <w:sz w:val="28"/>
          <w:szCs w:val="28"/>
          <w:rtl/>
        </w:rPr>
        <w:t xml:space="preserve">و کذا الکلام فی النهی،بل هو الأولی بعدم توهّم الاستصحاب فیه؛لأنّ مطلقه یفید التکرار.</w:t>
      </w:r>
    </w:p>
    <w:p>
      <w:pPr>
        <w:pStyle w:val="BookText"/>
      </w:pPr>
      <w:r>
        <w:rPr>
          <w:rFonts w:ascii="IRNazanin" w:hAnsi="IRNazanin" w:eastAsia="IRNazanin" w:cs="IRNazanin"/>
          <w:lang w:bidi="fa-IR"/>
          <w:color w:val="111111"/>
          <w:sz w:val="28"/>
          <w:szCs w:val="28"/>
          <w:rtl/>
        </w:rPr>
        <w:t xml:space="preserve">و التخییری أیضا کذلک.</w:t>
      </w:r>
    </w:p>
    <w:p>
      <w:pPr>
        <w:pStyle w:val="BookText"/>
      </w:pPr>
      <w:r>
        <w:rPr>
          <w:rFonts w:ascii="IRNazanin" w:hAnsi="IRNazanin" w:eastAsia="IRNazanin" w:cs="IRNazanin"/>
          <w:lang w:bidi="fa-IR"/>
          <w:color w:val="111111"/>
          <w:sz w:val="28"/>
          <w:szCs w:val="28"/>
          <w:rtl/>
        </w:rPr>
        <w:t xml:space="preserve">فالأحکام التکلیفیّة الخمسة المجرّدة عن الأحکام الوضعیّة لا یتصوّر فیها الاستدلال بالاستصحاب.</w:t>
      </w:r>
    </w:p>
    <w:p>
      <w:pPr>
        <w:pStyle w:val="BookText"/>
      </w:pPr>
      <w:r>
        <w:rPr>
          <w:rFonts w:ascii="IRNazanin" w:hAnsi="IRNazanin" w:eastAsia="IRNazanin" w:cs="IRNazanin"/>
          <w:lang w:bidi="fa-IR"/>
          <w:color w:val="111111"/>
          <w:sz w:val="28"/>
          <w:szCs w:val="28"/>
          <w:rtl/>
        </w:rPr>
        <w:t xml:space="preserve">و أمّا الأحکام الوضعیّة،فإذا جعل الشارع شیئا سببا لحکم من الأحکام الخمسة-کالدلوک لوجوب الظهر،و الکسوف لوجوب صلاته، و الزلزلة لصلاتها،و الإیجاب و القبول لإباحة التصرّفات و الاستمتاعات فی الملک و النکاح،و فیه لتحریم أمّ الزوجة،و الحیض و النفاس لتحریم الصوم و الصلاة،إلی غیر ذلک-فینبغی أن ینظر إلی کیفیّة سببیّة السبب:هل هی علی الإطلاق؟کما فی الإیجاب و القبول؛فإنّ سببیّته علی نحو خاصّ،و هو الدوام إلی أن یتحقّق المزیل،و کذا الزلزلة،أو فی وقت معیّن؟کالدلوک و نحوه ممّا لم یکن السبب وقتا،و کالکسوف و الحیض و نحوهما ممّا یکون السبب وقتا للحکم،فإنّ السببیّة فی هذه الأشیاء علی نحو آخر؛فإنّها أسباب للحکم فی أوقات معیّنة.</w:t>
      </w:r>
    </w:p>
    <w:p>
      <w:pPr>
        <w:pStyle w:val="BookText"/>
      </w:pPr>
      <w:r>
        <w:rPr>
          <w:rFonts w:ascii="IRNazanin" w:hAnsi="IRNazanin" w:eastAsia="IRNazanin" w:cs="IRNazanin"/>
          <w:lang w:bidi="fa-IR"/>
          <w:color w:val="111111"/>
          <w:sz w:val="28"/>
          <w:szCs w:val="28"/>
          <w:rtl/>
        </w:rPr>
        <w:t xml:space="preserve">و جمیع ذلک لیس من الاستصحاب فی شیء؛فإنّ ثبوت الحکم فی شیء من أجزاء الزمان الثابت فیه الحکم،لیس تابعا للثبوت فی جزء آخر،بل نسبة السبب فی اقتضاء الحکم فی کلّ جزء نسبة واحدة.و کذا الکلام فی الشرط و المانع.</w:t>
      </w:r>
    </w:p>
    <w:p>
      <w:pPr>
        <w:pStyle w:val="BookText"/>
      </w:pPr>
      <w:r>
        <w:rPr>
          <w:rFonts w:ascii="IRNazanin" w:hAnsi="IRNazanin" w:eastAsia="IRNazanin" w:cs="IRNazanin"/>
          <w:lang w:bidi="fa-IR"/>
          <w:color w:val="111111"/>
          <w:sz w:val="28"/>
          <w:szCs w:val="28"/>
          <w:rtl/>
        </w:rPr>
        <w:t xml:space="preserve">فظهر ممّا ذکرناه:أنّ الاستصحاب المختلف فیه لا یکون إلاّ فی</w:t>
      </w:r>
    </w:p>
    <w:p>
      <w:pPr>
        <w:pStyle w:val="BookText"/>
      </w:pPr>
      <w:r>
        <w:rPr>
          <w:rFonts w:ascii="IRNazanin" w:hAnsi="IRNazanin" w:eastAsia="IRNazanin" w:cs="IRNazanin"/>
          <w:lang w:bidi="fa-IR"/>
          <w:color w:val="111111"/>
          <w:sz w:val="28"/>
          <w:szCs w:val="28"/>
          <w:rtl/>
        </w:rPr>
        <w:t xml:space="preserve">[شماره صفحه واقعی : 123]
</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الأحکام الوضعیّة-أعنی،الأسباب و الشرائط و الموانع للأحکام الخمسة من حیث إنّها کذلک-و وقوعه فی الأحکام الخمسة إنّما هو بتبعیّتها،کما یقال فی الماء الکرّ المتغیّر بالنجاسة إذا زال تغیّره من قبل نفسه،بأنّه یجب الاجتناب عنه فی الصلاة؛لوجوبه قبل زوال تغیّره،فإنّ مرجعه إلی أنّ النجاسة کانت ثابتة قبل زوال تغیّره،فکذلک تکون بعده.</w:t>
      </w:r>
    </w:p>
    <w:p>
      <w:pPr>
        <w:pStyle w:val="BookText"/>
      </w:pPr>
      <w:r>
        <w:rPr>
          <w:rFonts w:ascii="IRNazanin" w:hAnsi="IRNazanin" w:eastAsia="IRNazanin" w:cs="IRNazanin"/>
          <w:lang w:bidi="fa-IR"/>
          <w:color w:val="111111"/>
          <w:sz w:val="28"/>
          <w:szCs w:val="28"/>
          <w:rtl/>
        </w:rPr>
        <w:t xml:space="preserve">و یقال فی المتیمّم إذا وجد الماء فی أثناء الصلاة:إنّ صلاته کانت صحیحة قبل الوجدان،فکذا بعده-أی:کان مکلّفا و مأمورا بالصلاة بتیمّمه قبله،فکذا بعده-فإنّ مرجعه إلی أنّه کان متطهّرا قبل وجدان الماء،فکذا بعده.و الطهارة من الشروط.</w:t>
      </w:r>
    </w:p>
    <w:p>
      <w:pPr>
        <w:pStyle w:val="BookText"/>
      </w:pPr>
      <w:r>
        <w:rPr>
          <w:rFonts w:ascii="IRNazanin" w:hAnsi="IRNazanin" w:eastAsia="IRNazanin" w:cs="IRNazanin"/>
          <w:lang w:bidi="fa-IR"/>
          <w:color w:val="111111"/>
          <w:sz w:val="28"/>
          <w:szCs w:val="28"/>
          <w:rtl/>
        </w:rPr>
        <w:t xml:space="preserve">فالحقّ-مع قطع النظر عن الروایات-:عدم حجّیة الاستصحاب؛ لأنّ العلم بوجود السبب أو الشرط أو المانع فی وقت لا یقتضی العلم بل و لا الظنّ بوجوده فی غیر ذلک الوقت،کما لا یخفی.فکیف یکون الحکم المعلّق علیه ثابتا فی غیر ذلک الوقت؟!</w:t>
      </w:r>
    </w:p>
    <w:p>
      <w:pPr>
        <w:pStyle w:val="BookText"/>
      </w:pPr>
      <w:r>
        <w:rPr>
          <w:rFonts w:ascii="IRNazanin" w:hAnsi="IRNazanin" w:eastAsia="IRNazanin" w:cs="IRNazanin"/>
          <w:lang w:bidi="fa-IR"/>
          <w:color w:val="111111"/>
          <w:sz w:val="28"/>
          <w:szCs w:val="28"/>
          <w:rtl/>
        </w:rPr>
        <w:t xml:space="preserve">فالذی یقتضیه النظر-بدون ملاحظة الروایات-:أنّه إذا علم تحقّق العلامة الوضعیّة تعلّق الحکم بالمکلّف،و إذا زال ذلک العلم بطروّ الشکّ-بل الظنّ أیضا-یتوقّف عن الحکم بثبوت ذلک الحکم الثابت أوّلا،إلاّ أنّ الظاهر من الأخبار أنّه إذا علم وجود شیء،فإنّه یحکم به حتّی یعلم زواله </w:t>
      </w:r>
      <w:r>
        <w:rPr>
          <w:rStyle w:val="FootnoteReference"/>
        </w:rPr>
        <w:footnoteReference w:id="1900"/>
      </w:r>
      <w:r>
        <w:rPr>
          <w:rFonts w:ascii="IRNazanin" w:hAnsi="IRNazanin" w:eastAsia="IRNazanin" w:cs="IRNazanin"/>
          <w:lang w:bidi="fa-IR"/>
          <w:color w:val="111111"/>
          <w:sz w:val="28"/>
          <w:szCs w:val="28"/>
          <w:rtl/>
        </w:rPr>
        <w:t xml:space="preserve">.انتهی کلامه،رفع مقامه.</w:t>
      </w:r>
    </w:p>
    <w:p>
      <w:pPr>
        <w:pStyle w:val="BookText"/>
      </w:pPr>
      <w:r>
        <w:rPr>
          <w:rFonts w:ascii="IRNazanin" w:hAnsi="IRNazanin" w:eastAsia="IRNazanin" w:cs="IRNazanin"/>
          <w:lang w:bidi="fa-IR"/>
          <w:color w:val="111111"/>
          <w:sz w:val="28"/>
          <w:szCs w:val="28"/>
          <w:rtl/>
        </w:rPr>
        <w:t xml:space="preserve">و فی کلامه أنظار یتوقّف بیانها علی ذکر کلّ فقرة هی مورد للنظر،ثمّ توضیح النظر فیه بما یخطر فی الذهن القاصر،فنقول:</w:t>
      </w:r>
    </w:p>
    <w:p>
      <w:pPr>
        <w:pStyle w:val="BookText"/>
      </w:pPr>
      <w:r>
        <w:rPr>
          <w:rFonts w:ascii="IRNazanin" w:hAnsi="IRNazanin" w:eastAsia="IRNazanin" w:cs="IRNazanin"/>
          <w:lang w:bidi="fa-IR"/>
          <w:color w:val="111111"/>
          <w:sz w:val="28"/>
          <w:szCs w:val="28"/>
          <w:rtl/>
        </w:rPr>
        <w:t xml:space="preserve">[شماره صفحه واقعی : 124]
</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bookmarkStart w:id="401" w:name="pg14411_143018"/>
    <w:bookmarkEnd w:id="401"/>
    <w:p>
      <w:pPr>
        <w:pStyle w:val="BookText"/>
      </w:pPr>
      <w:r>
        <w:rPr>
          <w:rFonts w:ascii="IRNazanin" w:hAnsi="IRNazanin" w:eastAsia="IRNazanin" w:cs="IRNazanin"/>
          <w:lang w:bidi="fa-IR"/>
          <w:color w:val="111111"/>
          <w:sz w:val="28"/>
          <w:szCs w:val="28"/>
          <w:rtl/>
        </w:rPr>
        <w:t xml:space="preserve">قوله أوّلا:«و المضایقة بمنع أنّ الخطاب الوضعیّ داخل فی الحکم الشرعیّ،لا یضرّ فیما نحن بصدده».</w:t>
      </w:r>
    </w:p>
    <w:p>
      <w:pPr>
        <w:pStyle w:val="BookText"/>
      </w:pPr>
      <w:r>
        <w:rPr>
          <w:rFonts w:ascii="IRNazanin" w:hAnsi="IRNazanin" w:eastAsia="IRNazanin" w:cs="IRNazanin"/>
          <w:lang w:bidi="fa-IR"/>
          <w:color w:val="111111"/>
          <w:sz w:val="28"/>
          <w:szCs w:val="28"/>
          <w:rtl/>
        </w:rPr>
        <w:t xml:space="preserve">فیه:أنّ المنع المذکور لا یضرّ فیما یلزم من تحقیقه الذی ذکره -و هو اعتبار الاستصحاب فی موضوعات الأحکام الوضعیّة،أعنی نفس السبب و الشرط و المانع-و إنّما یضرّ </w:t>
      </w:r>
      <w:r>
        <w:rPr>
          <w:rStyle w:val="FootnoteReference"/>
        </w:rPr>
        <w:footnoteReference w:id="1901"/>
      </w:r>
      <w:r>
        <w:rPr>
          <w:rFonts w:ascii="IRNazanin" w:hAnsi="IRNazanin" w:eastAsia="IRNazanin" w:cs="IRNazanin"/>
          <w:lang w:bidi="fa-IR"/>
          <w:color w:val="111111"/>
          <w:sz w:val="28"/>
          <w:szCs w:val="28"/>
          <w:rtl/>
        </w:rPr>
        <w:t xml:space="preserve">فی التفصیل بین الأحکام الوضعیّة-أعنی سببیّة السبب و شرطیّة الشرط-و الأحکام التکلیفیّة.</w:t>
      </w:r>
    </w:p>
    <w:p>
      <w:pPr>
        <w:pStyle w:val="BookText"/>
      </w:pPr>
      <w:r>
        <w:rPr>
          <w:rFonts w:ascii="IRNazanin" w:hAnsi="IRNazanin" w:eastAsia="IRNazanin" w:cs="IRNazanin"/>
          <w:lang w:bidi="fa-IR"/>
          <w:color w:val="111111"/>
          <w:sz w:val="28"/>
          <w:szCs w:val="28"/>
          <w:rtl/>
        </w:rPr>
        <w:t xml:space="preserve">و کیف لا یضرّ فی هذا التفصیل منع کون الحکم الوضعیّ حکما مستقلا، و تسلیم أنّه أمر اعتباری منتزع من التکلیف،تابع له حدوثا و بقاء؟! و هل یعقل التفصیل مع هذا المنع؟!</w:t>
      </w:r>
    </w:p>
    <w:p>
      <w:pPr>
        <w:pStyle w:val="Heading6"/>
      </w:pPr>
      <w:bookmarkStart w:id="1822" w:name="_Toc857"/>
      <w:r>
        <w:t>[الکلام فی الأحکام الوضعیّة]</w:t>
      </w:r>
      <w:bookmarkEnd w:id="1822"/>
    </w:p>
    <w:p>
      <w:pPr>
        <w:pStyle w:val="Heading6"/>
      </w:pPr>
      <w:bookmarkStart w:id="1823" w:name="_Toc858"/>
      <w:r>
        <w:t>اشارة</w:t>
      </w:r>
      <w:bookmarkEnd w:id="1823"/>
    </w:p>
    <w:p>
      <w:pPr>
        <w:pStyle w:val="BookText"/>
      </w:pPr>
      <w:r>
        <w:rPr>
          <w:rFonts w:ascii="IRNazanin" w:hAnsi="IRNazanin" w:eastAsia="IRNazanin" w:cs="IRNazanin"/>
          <w:lang w:bidi="fa-IR"/>
          <w:color w:val="111111"/>
          <w:sz w:val="28"/>
          <w:szCs w:val="28"/>
          <w:rtl/>
        </w:rPr>
        <w:t xml:space="preserve">[الکلام فی الأحکام الوضعیّة] </w:t>
      </w:r>
      <w:r>
        <w:rPr>
          <w:rStyle w:val="FootnoteReference"/>
        </w:rPr>
        <w:footnoteReference w:id="1902"/>
      </w:r>
    </w:p>
    <w:p>
      <w:pPr>
        <w:pStyle w:val="Heading6"/>
      </w:pPr>
      <w:bookmarkStart w:id="1824" w:name="_Toc859"/>
      <w:r>
        <w:t>[هل الحکم الوضعی حکم مستقل مجعول،أو لا؟:]</w:t>
      </w:r>
      <w:bookmarkEnd w:id="1824"/>
    </w:p>
    <w:p>
      <w:pPr>
        <w:pStyle w:val="BookText"/>
      </w:pPr>
      <w:r>
        <w:rPr>
          <w:rFonts w:ascii="IRNazanin" w:hAnsi="IRNazanin" w:eastAsia="IRNazanin" w:cs="IRNazanin"/>
          <w:lang w:bidi="fa-IR"/>
          <w:color w:val="111111"/>
          <w:sz w:val="28"/>
          <w:szCs w:val="28"/>
          <w:rtl/>
        </w:rPr>
        <w:t xml:space="preserve">ثمّ إنّه لا بأس بصرف الکلام إلی بیان أنّ الحکم الوضعیّ حکم مستقلّ مجعول-کما اشتهر فی ألسنة جماعة </w:t>
      </w:r>
      <w:r>
        <w:rPr>
          <w:rStyle w:val="FootnoteReference"/>
        </w:rPr>
        <w:footnoteReference w:id="1903"/>
      </w:r>
      <w:r>
        <w:rPr>
          <w:rFonts w:ascii="IRNazanin" w:hAnsi="IRNazanin" w:eastAsia="IRNazanin" w:cs="IRNazanin"/>
          <w:lang w:bidi="fa-IR"/>
          <w:color w:val="111111"/>
          <w:sz w:val="28"/>
          <w:szCs w:val="28"/>
          <w:rtl/>
        </w:rPr>
        <w:t xml:space="preserve">-أو لا،و إنّما مرجعه إلی الحکم التکلیفی؟فنقول:</w:t>
      </w:r>
    </w:p>
    <w:p>
      <w:pPr>
        <w:pStyle w:val="BookText"/>
      </w:pPr>
      <w:r>
        <w:rPr>
          <w:rFonts w:ascii="IRNazanin" w:hAnsi="IRNazanin" w:eastAsia="IRNazanin" w:cs="IRNazanin"/>
          <w:lang w:bidi="fa-IR"/>
          <w:color w:val="111111"/>
          <w:sz w:val="28"/>
          <w:szCs w:val="28"/>
          <w:rtl/>
        </w:rPr>
        <w:t xml:space="preserve">[شماره صفحه واقعی : 125]
</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المشهور </w:t>
      </w:r>
      <w:r>
        <w:rPr>
          <w:rStyle w:val="FootnoteReference"/>
        </w:rPr>
        <w:footnoteReference w:id="1904"/>
      </w:r>
      <w:r>
        <w:rPr>
          <w:rFonts w:ascii="IRNazanin" w:hAnsi="IRNazanin" w:eastAsia="IRNazanin" w:cs="IRNazanin"/>
          <w:lang w:bidi="fa-IR"/>
          <w:color w:val="111111"/>
          <w:sz w:val="28"/>
          <w:szCs w:val="28"/>
          <w:rtl/>
        </w:rPr>
        <w:t xml:space="preserve">-کما فی شرح الزبدة </w:t>
      </w:r>
      <w:r>
        <w:rPr>
          <w:rStyle w:val="FootnoteReference"/>
        </w:rPr>
        <w:footnoteReference w:id="1905"/>
      </w:r>
      <w:r>
        <w:rPr>
          <w:rFonts w:ascii="IRNazanin" w:hAnsi="IRNazanin" w:eastAsia="IRNazanin" w:cs="IRNazanin"/>
          <w:lang w:bidi="fa-IR"/>
          <w:color w:val="111111"/>
          <w:sz w:val="28"/>
          <w:szCs w:val="28"/>
          <w:rtl/>
        </w:rPr>
        <w:t xml:space="preserve">-بل الذی استقرّ علیه رأی المحقّقین-کما فی شرح الوافیة للسیّد صدر الدین </w:t>
      </w:r>
      <w:r>
        <w:rPr>
          <w:rStyle w:val="FootnoteReference"/>
        </w:rPr>
        <w:footnoteReference w:id="1906"/>
      </w:r>
      <w:r>
        <w:rPr>
          <w:rFonts w:ascii="IRNazanin" w:hAnsi="IRNazanin" w:eastAsia="IRNazanin" w:cs="IRNazanin"/>
          <w:lang w:bidi="fa-IR"/>
          <w:color w:val="111111"/>
          <w:sz w:val="28"/>
          <w:szCs w:val="28"/>
          <w:rtl/>
        </w:rPr>
        <w:t xml:space="preserve">-:أنّ الخطاب الوضعیّ مرجعه إلی الخطاب الشرعیّ،و أنّ کون الشیء سببا لواجب هو الحکم بوجوب ذلک الواجب عند حصول ذلک الشیء،فمعنی قولنا:</w:t>
      </w:r>
    </w:p>
    <w:p>
      <w:pPr>
        <w:pStyle w:val="BookText"/>
      </w:pPr>
      <w:r>
        <w:rPr>
          <w:rFonts w:ascii="IRNazanin" w:hAnsi="IRNazanin" w:eastAsia="IRNazanin" w:cs="IRNazanin"/>
          <w:lang w:bidi="fa-IR"/>
          <w:color w:val="111111"/>
          <w:sz w:val="28"/>
          <w:szCs w:val="28"/>
          <w:rtl/>
        </w:rPr>
        <w:t xml:space="preserve">«إتلاف الصبیّ سبب لضمانه»،أنّه یجب علیه غرامة المثل أو القیمة إذا اجتمع فیه شرائط التکلیف من البلوغ و العقل و الیسار و غیرها،فإذا خاطب الشارع البالغ العاقل الموسر بقوله:«اغرم ما أتلفته فی حال صغرک»،انتزع من هذا الخطاب معنی یعبّر عنه بسببیّة الإتلاف للضمان، و یقال:إنّه ضامن،بمعنی أنّه یجب علیه الغرامة عند اجتماع شرائط التکلیف.</w:t>
      </w:r>
    </w:p>
    <w:p>
      <w:pPr>
        <w:pStyle w:val="BookText"/>
      </w:pPr>
      <w:r>
        <w:rPr>
          <w:rFonts w:ascii="IRNazanin" w:hAnsi="IRNazanin" w:eastAsia="IRNazanin" w:cs="IRNazanin"/>
          <w:lang w:bidi="fa-IR"/>
          <w:color w:val="111111"/>
          <w:sz w:val="28"/>
          <w:szCs w:val="28"/>
          <w:rtl/>
        </w:rPr>
        <w:t xml:space="preserve">و لم یدّع أحد إرجاع الحکم الوضعیّ إلی التکلیف </w:t>
      </w:r>
      <w:r>
        <w:rPr>
          <w:rStyle w:val="FootnoteReference"/>
        </w:rPr>
        <w:footnoteReference w:id="1907"/>
      </w:r>
      <w:r>
        <w:rPr>
          <w:rFonts w:ascii="IRNazanin" w:hAnsi="IRNazanin" w:eastAsia="IRNazanin" w:cs="IRNazanin"/>
          <w:lang w:bidi="fa-IR"/>
          <w:color w:val="111111"/>
          <w:sz w:val="28"/>
          <w:szCs w:val="28"/>
          <w:rtl/>
        </w:rPr>
        <w:t xml:space="preserve">الفعلیّ المنجّز حال استناد الحکم الوضعیّ إلی الشخص،حتّی یدفع ذلک بما ذکره بعض من غفل عن مراد النافین </w:t>
      </w:r>
      <w:r>
        <w:rPr>
          <w:rStyle w:val="FootnoteReference"/>
        </w:rPr>
        <w:footnoteReference w:id="1908"/>
      </w:r>
      <w:r>
        <w:rPr>
          <w:rFonts w:ascii="IRNazanin" w:hAnsi="IRNazanin" w:eastAsia="IRNazanin" w:cs="IRNazanin"/>
          <w:lang w:bidi="fa-IR"/>
          <w:color w:val="111111"/>
          <w:sz w:val="28"/>
          <w:szCs w:val="28"/>
          <w:rtl/>
        </w:rPr>
        <w:t xml:space="preserve">:من أنّه قد یتحقّق الحکم الوضعیّ فی مورد غیر قابل للحکم التکلیفی،کالصبیّ و النائم و شبههما.</w:t>
      </w:r>
    </w:p>
    <w:p>
      <w:pPr>
        <w:pStyle w:val="BookText"/>
      </w:pPr>
      <w:r>
        <w:rPr>
          <w:rFonts w:ascii="IRNazanin" w:hAnsi="IRNazanin" w:eastAsia="IRNazanin" w:cs="IRNazanin"/>
          <w:lang w:bidi="fa-IR"/>
          <w:color w:val="111111"/>
          <w:sz w:val="28"/>
          <w:szCs w:val="28"/>
          <w:rtl/>
        </w:rPr>
        <w:t xml:space="preserve">[شماره صفحه واقعی : 126]
</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bookmarkStart w:id="402" w:name="pg14411_143020"/>
    <w:bookmarkEnd w:id="402"/>
    <w:p>
      <w:pPr>
        <w:pStyle w:val="BookText"/>
      </w:pPr>
      <w:r>
        <w:rPr>
          <w:rFonts w:ascii="IRNazanin" w:hAnsi="IRNazanin" w:eastAsia="IRNazanin" w:cs="IRNazanin"/>
          <w:lang w:bidi="fa-IR"/>
          <w:color w:val="111111"/>
          <w:sz w:val="28"/>
          <w:szCs w:val="28"/>
          <w:rtl/>
        </w:rPr>
        <w:t xml:space="preserve">و کذا الکلام فی غیر السبب؛فإنّ شرطیّة الطهارة للصلاة لیست مجعولة بجعل مغایر لإنشاء وجوب الصلاة الواقعة حال الطهارة،و کذا مانعیّة النجاسة لیست إلاّ منتزعة من المنع عن الصلاة فی النجس،و کذا الجزئیّة منتزعة من الأمر بالمرکّب.</w:t>
      </w:r>
    </w:p>
    <w:p>
      <w:pPr>
        <w:pStyle w:val="BookText"/>
      </w:pPr>
      <w:r>
        <w:rPr>
          <w:rFonts w:ascii="Amiri" w:hAnsi="Amiri" w:eastAsia="Amiri" w:cs="Amiri"/>
          <w:lang w:bidi="ar-SA"/>
          <w:color w:val="111111"/>
          <w:sz w:val="28"/>
          <w:szCs w:val="28"/>
          <w:rtl/>
        </w:rPr>
        <w:t xml:space="preserve">و العجب ممّن ادّعی </w:t>
      </w:r>
      <w:r>
        <w:rPr>
          <w:rStyle w:val="FootnoteReference"/>
        </w:rPr>
        <w:footnoteReference w:id="1909"/>
      </w:r>
      <w:r>
        <w:rPr>
          <w:rFonts w:ascii="IRNazanin" w:hAnsi="IRNazanin" w:eastAsia="IRNazanin" w:cs="IRNazanin"/>
          <w:lang w:bidi="fa-IR"/>
          <w:color w:val="111111"/>
          <w:sz w:val="28"/>
          <w:szCs w:val="28"/>
          <w:rtl/>
        </w:rPr>
        <w:t xml:space="preserve">بداهة بطلان ما ذکرنا،مع ما عرفت من أنّه المشهور و الذی استقرّ علیه رأی المحقّقین.فقال قدّس سرّه فی شرحه علی الوافیة-تعریضا علی السیّد الصدر-:</w:t>
      </w:r>
    </w:p>
    <w:p>
      <w:pPr>
        <w:pStyle w:val="Heading6"/>
      </w:pPr>
      <w:bookmarkStart w:id="1825" w:name="_Toc860"/>
      <w:r>
        <w:t>[کلام السید الکاظمی:]</w:t>
      </w:r>
      <w:bookmarkEnd w:id="1825"/>
    </w:p>
    <w:p>
      <w:pPr>
        <w:pStyle w:val="Heading6"/>
      </w:pPr>
      <w:bookmarkStart w:id="1826" w:name="_Toc861"/>
      <w:r>
        <w:t>اشارة</w:t>
      </w:r>
      <w:bookmarkEnd w:id="1826"/>
    </w:p>
    <w:p>
      <w:pPr>
        <w:pStyle w:val="BookText"/>
      </w:pPr>
      <w:r>
        <w:rPr>
          <w:rFonts w:ascii="IRNazanin" w:hAnsi="IRNazanin" w:eastAsia="IRNazanin" w:cs="IRNazanin"/>
          <w:lang w:bidi="fa-IR"/>
          <w:color w:val="111111"/>
          <w:sz w:val="28"/>
          <w:szCs w:val="28"/>
          <w:rtl/>
        </w:rPr>
        <w:t xml:space="preserve">و أمّا من زعم أنّ الحکم الوضعیّ عین الحکم التکلیفی-علی ما هو ظاهر قولهم:«إنّ کون الشیء سببا لواجب هو الحکم بوجوب ذلک الواجب عند حصول ذلک الشیء»-فبطلانه غنیّ عن البیان؛إذ الفرق بین الوضع و التکلیف ممّا لا یخفی علی من له أدنی مسکة،و التکالیف المبنیّة علی الوضع غیر الوضع،و الکلام إنّما هو فی نفس الوضع و الجعل و التقریر.</w:t>
      </w:r>
    </w:p>
    <w:p>
      <w:pPr>
        <w:pStyle w:val="BookText"/>
      </w:pPr>
      <w:r>
        <w:rPr>
          <w:rFonts w:ascii="Amiri" w:hAnsi="Amiri" w:eastAsia="Amiri" w:cs="Amiri"/>
          <w:lang w:bidi="ar-SA"/>
          <w:color w:val="111111"/>
          <w:sz w:val="28"/>
          <w:szCs w:val="28"/>
          <w:rtl/>
        </w:rPr>
        <w:t xml:space="preserve">و بالجملة:فقول الشارع:«دلوک الشمس سبب لوجوب الصلاة» و«الحیض مانع منها»،خطاب وضعیّ و إن استتبع تکلیفا و هو إیجاب الصلاة عند الزوال و تحریمها عند الحیض،کما أنّ قوله تعالی: أَقِمِ الصَّلاٰةَ لِدُلُوکِ الشَّمْسِ </w:t>
      </w:r>
      <w:r>
        <w:rPr>
          <w:rStyle w:val="FootnoteReference"/>
        </w:rPr>
        <w:footnoteReference w:id="1910"/>
      </w:r>
      <w:r>
        <w:rPr>
          <w:rFonts w:ascii="IRNazanin" w:hAnsi="IRNazanin" w:eastAsia="IRNazanin" w:cs="IRNazanin"/>
          <w:lang w:bidi="fa-IR"/>
          <w:color w:val="111111"/>
          <w:sz w:val="28"/>
          <w:szCs w:val="28"/>
          <w:rtl/>
        </w:rPr>
        <w:t xml:space="preserve">،و قوله:«دعی الصلاة أیّام أقرائک» </w:t>
      </w:r>
      <w:r>
        <w:rPr>
          <w:rStyle w:val="FootnoteReference"/>
        </w:rPr>
        <w:footnoteReference w:id="1911"/>
      </w:r>
      <w:r>
        <w:rPr>
          <w:rFonts w:ascii="IRNazanin" w:hAnsi="IRNazanin" w:eastAsia="IRNazanin" w:cs="IRNazanin"/>
          <w:lang w:bidi="fa-IR"/>
          <w:color w:val="111111"/>
          <w:sz w:val="28"/>
          <w:szCs w:val="28"/>
          <w:rtl/>
        </w:rPr>
        <w:t xml:space="preserve">، خطاب تکلیفیّ و إن استتبع وضعا،و هو کون الدلوک سببا و الإقراء مانعا.</w:t>
      </w:r>
    </w:p>
    <w:p>
      <w:pPr>
        <w:pStyle w:val="BookText"/>
      </w:pPr>
      <w:r>
        <w:rPr>
          <w:rFonts w:ascii="IRNazanin" w:hAnsi="IRNazanin" w:eastAsia="IRNazanin" w:cs="IRNazanin"/>
          <w:lang w:bidi="fa-IR"/>
          <w:color w:val="111111"/>
          <w:sz w:val="28"/>
          <w:szCs w:val="28"/>
          <w:rtl/>
        </w:rPr>
        <w:t xml:space="preserve">[شماره صفحه واقعی : 127]
</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bookmarkStart w:id="403" w:name="pg14411_143021"/>
    <w:bookmarkEnd w:id="403"/>
    <w:p>
      <w:pPr>
        <w:pStyle w:val="BookText"/>
      </w:pPr>
      <w:r>
        <w:rPr>
          <w:rFonts w:ascii="IRNazanin" w:hAnsi="IRNazanin" w:eastAsia="IRNazanin" w:cs="IRNazanin"/>
          <w:lang w:bidi="fa-IR"/>
          <w:color w:val="111111"/>
          <w:sz w:val="28"/>
          <w:szCs w:val="28"/>
          <w:rtl/>
        </w:rPr>
        <w:t xml:space="preserve">و الحاصل:أنّ هناک أمرین متباینین،کلّ منهما فرد للحکم، فلا یغنی استتباع أحدهما للآخر عن مراعاته و احتسابه فی عداد الأحکام.انتهی کلامه،رفع مقامه </w:t>
      </w:r>
      <w:r>
        <w:rPr>
          <w:rStyle w:val="FootnoteReference"/>
        </w:rPr>
        <w:footnoteReference w:id="1912"/>
      </w:r>
      <w:r>
        <w:rPr>
          <w:rFonts w:ascii="Times New Roman" w:hAnsi="Times New Roman" w:eastAsia="Times New Roman" w:cs="Times New Roman"/>
          <w:lang w:val="en-US" w:bidi="en-US"/>
          <w:color w:val="111111"/>
          <w:sz w:val="28"/>
          <w:szCs w:val="28"/>
          <w:rtl/>
        </w:rPr>
        <w:t xml:space="preserve">.</w:t>
      </w:r>
    </w:p>
    <w:p>
      <w:pPr>
        <w:pStyle w:val="Heading6"/>
      </w:pPr>
      <w:bookmarkStart w:id="1827" w:name="_Toc862"/>
      <w:r>
        <w:t>[مناقشة کلام السید الکاظمی:]</w:t>
      </w:r>
      <w:bookmarkEnd w:id="1827"/>
    </w:p>
    <w:p>
      <w:pPr>
        <w:pStyle w:val="BookText"/>
      </w:pPr>
      <w:r>
        <w:rPr>
          <w:rFonts w:ascii="IRNazanin" w:hAnsi="IRNazanin" w:eastAsia="IRNazanin" w:cs="IRNazanin"/>
          <w:lang w:bidi="fa-IR"/>
          <w:color w:val="111111"/>
          <w:sz w:val="28"/>
          <w:szCs w:val="28"/>
          <w:rtl/>
        </w:rPr>
        <w:t xml:space="preserve">أقول:لو فرض نفسه حاکما بحکم تکلیفیّ و وضعیّ بالنسبة إلی عبده لوجد من نفسه صدق ما ذکرنا؛فإنّه إذا قال لعبده:«أکرم زیدا إن جاءک»،فهل یجد المولی من نفسه أنّه أنشأ إنشاءین و جعل أمرین:</w:t>
      </w:r>
    </w:p>
    <w:p>
      <w:pPr>
        <w:pStyle w:val="BookText"/>
      </w:pPr>
      <w:r>
        <w:rPr>
          <w:rFonts w:ascii="IRNazanin" w:hAnsi="IRNazanin" w:eastAsia="IRNazanin" w:cs="IRNazanin"/>
          <w:lang w:bidi="fa-IR"/>
          <w:color w:val="111111"/>
          <w:sz w:val="28"/>
          <w:szCs w:val="28"/>
          <w:rtl/>
        </w:rPr>
        <w:t xml:space="preserve">أحدهما:وجوب إکرام زید عند مجیئه،و الآخر:کون مجیئه سببا لوجوب إکرامه؟أو أنّ الثانی مفهوم منتزع من الأوّل لا یحتاج إلی جعل مغایر لجعله </w:t>
      </w:r>
      <w:r>
        <w:rPr>
          <w:rStyle w:val="FootnoteReference"/>
        </w:rPr>
        <w:footnoteReference w:id="1913"/>
      </w:r>
      <w:r>
        <w:rPr>
          <w:rFonts w:ascii="IRNazanin" w:hAnsi="IRNazanin" w:eastAsia="IRNazanin" w:cs="IRNazanin"/>
          <w:lang w:bidi="fa-IR"/>
          <w:color w:val="111111"/>
          <w:sz w:val="28"/>
          <w:szCs w:val="28"/>
          <w:rtl/>
        </w:rPr>
        <w:t xml:space="preserve">و لا إلی بیان مخالف لبیانه؛و لهذا اشتهر فی ألسنة الفقهاء«سببیّة الدلوک»و«مانعیّة الحیض»،و لم یرد من الشارع إلاّ إنشاء طلب الصلاة عند الأوّل،و طلب ترکها عند الثانی؟</w:t>
      </w:r>
    </w:p>
    <w:p>
      <w:pPr>
        <w:pStyle w:val="BookText"/>
      </w:pPr>
      <w:r>
        <w:rPr>
          <w:rFonts w:ascii="IRNazanin" w:hAnsi="IRNazanin" w:eastAsia="IRNazanin" w:cs="IRNazanin"/>
          <w:lang w:bidi="fa-IR"/>
          <w:color w:val="111111"/>
          <w:sz w:val="28"/>
          <w:szCs w:val="28"/>
          <w:rtl/>
        </w:rPr>
        <w:t xml:space="preserve">فإن أراد تباینهما مفهوما فهو أظهر من أن یخفی،کیف!و هما محمولان مختلفا الموضوع.</w:t>
      </w:r>
    </w:p>
    <w:p>
      <w:pPr>
        <w:pStyle w:val="BookText"/>
      </w:pPr>
      <w:r>
        <w:rPr>
          <w:rFonts w:ascii="IRNazanin" w:hAnsi="IRNazanin" w:eastAsia="IRNazanin" w:cs="IRNazanin"/>
          <w:lang w:bidi="fa-IR"/>
          <w:color w:val="111111"/>
          <w:sz w:val="28"/>
          <w:szCs w:val="28"/>
          <w:rtl/>
        </w:rPr>
        <w:t xml:space="preserve">و إن أراد کونهما مجعولین بجعلین،فالحوالة علی الوجدان لا البرهان.</w:t>
      </w:r>
    </w:p>
    <w:p>
      <w:pPr>
        <w:pStyle w:val="BookText"/>
      </w:pPr>
      <w:r>
        <w:rPr>
          <w:rFonts w:ascii="IRNazanin" w:hAnsi="IRNazanin" w:eastAsia="IRNazanin" w:cs="IRNazanin"/>
          <w:lang w:bidi="fa-IR"/>
          <w:color w:val="111111"/>
          <w:sz w:val="28"/>
          <w:szCs w:val="28"/>
          <w:rtl/>
        </w:rPr>
        <w:t xml:space="preserve">و کذا لو أراد کونهما مجعولین بجعل واحد؛فإنّ الوجدان شاهد علی أنّ السببیّة و المانعیّة فی المثالین اعتباران منتزعان،کالمسببیّة و المشروطیّة و الممنوعیّة،مع أنّ قول الشارع:«دلوک الشمس سبب لوجوب الصلاة»لیس جعلا للإیجاب استتباعا-کما ذکره-بل هو</w:t>
      </w:r>
    </w:p>
    <w:p>
      <w:pPr>
        <w:pStyle w:val="BookText"/>
      </w:pPr>
      <w:r>
        <w:rPr>
          <w:rFonts w:ascii="IRNazanin" w:hAnsi="IRNazanin" w:eastAsia="IRNazanin" w:cs="IRNazanin"/>
          <w:lang w:bidi="fa-IR"/>
          <w:color w:val="111111"/>
          <w:sz w:val="28"/>
          <w:szCs w:val="28"/>
          <w:rtl/>
        </w:rPr>
        <w:t xml:space="preserve">[شماره صفحه واقعی : 128]
</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bookmarkStart w:id="404" w:name="pg14411_143022"/>
    <w:bookmarkEnd w:id="404"/>
    <w:p>
      <w:pPr>
        <w:pStyle w:val="BookText"/>
      </w:pPr>
      <w:r>
        <w:rPr>
          <w:rFonts w:ascii="IRNazanin" w:hAnsi="IRNazanin" w:eastAsia="IRNazanin" w:cs="IRNazanin"/>
          <w:lang w:bidi="fa-IR"/>
          <w:color w:val="111111"/>
          <w:sz w:val="28"/>
          <w:szCs w:val="28"/>
          <w:rtl/>
        </w:rPr>
        <w:t xml:space="preserve">إخبار عن تحقّق الوجوب عند الدلوک.</w:t>
      </w:r>
    </w:p>
    <w:p>
      <w:pPr>
        <w:pStyle w:val="BookText"/>
      </w:pPr>
      <w:r>
        <w:rPr>
          <w:rFonts w:ascii="IRNazanin" w:hAnsi="IRNazanin" w:eastAsia="IRNazanin" w:cs="IRNazanin"/>
          <w:lang w:bidi="fa-IR"/>
          <w:color w:val="111111"/>
          <w:sz w:val="28"/>
          <w:szCs w:val="28"/>
          <w:rtl/>
        </w:rPr>
        <w:t xml:space="preserve">هذا کلّه،مضافا إلی أنّه لا معنی لکون السببیّة مجعولة فیما نحن فیه حتّی یتکلّم أنّه بجعل مستقلّ أو لا؛فإنّا لا نعقل من جعل الدلوک سببا للوجوب-خصوصا عند من لا یری(کالأشاعرة)الأحکام منوطة بالمصالح و المفاسد الموجودة فی الأفعال-إلاّ إنشاء الوجوب عند الدلوک،و إلاّ فالسببیّة القائمة بالدلوک لیست من لوازم ذاته،بأن </w:t>
      </w:r>
      <w:r>
        <w:rPr>
          <w:rStyle w:val="FootnoteReference"/>
        </w:rPr>
        <w:footnoteReference w:id="1914"/>
      </w:r>
      <w:r>
        <w:rPr>
          <w:rFonts w:ascii="IRNazanin" w:hAnsi="IRNazanin" w:eastAsia="IRNazanin" w:cs="IRNazanin"/>
          <w:lang w:bidi="fa-IR"/>
          <w:color w:val="111111"/>
          <w:sz w:val="28"/>
          <w:szCs w:val="28"/>
          <w:rtl/>
        </w:rPr>
        <w:t xml:space="preserve">یکون فیه معنی یقتضی إیجاب الشارع فعلا عند حصوله،و لو کانت لم تکن مجعولة من الشارع،و لا نعقلها أیضا صفة أوجدها الشارع فیه باعتبار الفصول المنوّعة و لا </w:t>
      </w:r>
      <w:r>
        <w:rPr>
          <w:rStyle w:val="FootnoteReference"/>
        </w:rPr>
        <w:footnoteReference w:id="1915"/>
      </w:r>
      <w:r>
        <w:rPr>
          <w:rFonts w:ascii="Amiri" w:hAnsi="Amiri" w:eastAsia="Amiri" w:cs="Amiri"/>
          <w:lang w:bidi="ar-SA"/>
          <w:color w:val="111111"/>
          <w:sz w:val="28"/>
          <w:szCs w:val="28"/>
          <w:rtl/>
        </w:rPr>
        <w:t xml:space="preserve">الخصوصیّات المصنّفة و المشخّصة.</w:t>
      </w:r>
    </w:p>
    <w:p>
      <w:pPr>
        <w:pStyle w:val="BookText"/>
      </w:pPr>
      <w:r>
        <w:rPr>
          <w:rFonts w:ascii="IRNazanin" w:hAnsi="IRNazanin" w:eastAsia="IRNazanin" w:cs="IRNazanin"/>
          <w:lang w:bidi="fa-IR"/>
          <w:color w:val="111111"/>
          <w:sz w:val="28"/>
          <w:szCs w:val="28"/>
          <w:rtl/>
        </w:rPr>
        <w:t xml:space="preserve">هذا کلّه فی السبب و الشرط و المانع و الجزء.</w:t>
      </w:r>
    </w:p>
    <w:p>
      <w:pPr>
        <w:pStyle w:val="Heading6"/>
      </w:pPr>
      <w:bookmarkStart w:id="1828" w:name="_Toc863"/>
      <w:r>
        <w:t>[الکلام فی الصحّة و الفساد:]</w:t>
      </w:r>
      <w:bookmarkEnd w:id="1828"/>
    </w:p>
    <w:p>
      <w:pPr>
        <w:pStyle w:val="BookText"/>
      </w:pPr>
      <w:r>
        <w:rPr>
          <w:rFonts w:ascii="IRNazanin" w:hAnsi="IRNazanin" w:eastAsia="IRNazanin" w:cs="IRNazanin"/>
          <w:lang w:bidi="fa-IR"/>
          <w:color w:val="111111"/>
          <w:sz w:val="28"/>
          <w:szCs w:val="28"/>
          <w:rtl/>
        </w:rPr>
        <w:t xml:space="preserve">و أمّا الصحّة و الفساد،فهما فی العبادات:موافقة الفعل المأتیّ به للفعل المأمور به و مخالفته له،و من المعلوم أنّ هاتین-الموافقة و المخالفة- لیستا بجعل جاعل.</w:t>
      </w:r>
    </w:p>
    <w:p>
      <w:pPr>
        <w:pStyle w:val="BookText"/>
      </w:pPr>
      <w:r>
        <w:rPr>
          <w:rFonts w:ascii="IRNazanin" w:hAnsi="IRNazanin" w:eastAsia="IRNazanin" w:cs="IRNazanin"/>
          <w:lang w:bidi="fa-IR"/>
          <w:color w:val="111111"/>
          <w:sz w:val="28"/>
          <w:szCs w:val="28"/>
          <w:rtl/>
        </w:rPr>
        <w:t xml:space="preserve">و أمّا فی المعاملات،فهما:ترتّب الأثر علیها و عدمه،فمرجع ذلک إلی سببیّة هذه المعاملة لأثرها و عدم سببیّة تلک </w:t>
      </w:r>
      <w:r>
        <w:rPr>
          <w:rStyle w:val="FootnoteReference"/>
        </w:rPr>
        <w:footnoteReference w:id="19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لوحظت المعاملة سببا لحکم تکلیفیّ-کالبیع لإباحة التصرّفات، و النکاح لإباحة الاستمتاعات-فالکلام فیها یعرف ممّا سبق فی السببیّة و أخواتها.</w:t>
      </w:r>
    </w:p>
    <w:p>
      <w:pPr>
        <w:pStyle w:val="BookText"/>
      </w:pPr>
      <w:r>
        <w:rPr>
          <w:rFonts w:ascii="IRNazanin" w:hAnsi="IRNazanin" w:eastAsia="IRNazanin" w:cs="IRNazanin"/>
          <w:lang w:bidi="fa-IR"/>
          <w:color w:val="111111"/>
          <w:sz w:val="28"/>
          <w:szCs w:val="28"/>
          <w:rtl/>
        </w:rPr>
        <w:t xml:space="preserve">[شماره صفحه واقعی : 129]
</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bookmarkStart w:id="405" w:name="pg14411_143023"/>
    <w:bookmarkEnd w:id="405"/>
    <w:p>
      <w:pPr>
        <w:pStyle w:val="BookText"/>
      </w:pPr>
      <w:r>
        <w:rPr>
          <w:rFonts w:ascii="IRNazanin" w:hAnsi="IRNazanin" w:eastAsia="IRNazanin" w:cs="IRNazanin"/>
          <w:lang w:bidi="fa-IR"/>
          <w:color w:val="111111"/>
          <w:sz w:val="28"/>
          <w:szCs w:val="28"/>
          <w:rtl/>
        </w:rPr>
        <w:t xml:space="preserve">و إن لوحظت سببا لأمر آخر-کسببیّة البیع للملکیّة،و النکاح للزوجیّة،و العتق للحریّة،و سببیّة الغسل للطهارة-فهذه الامور بنفسها لیست أحکاما شرعیّة.نعم،الحکم بثبوتها شرعیّ.و حقائقها إمّا امور اعتباریّة منتزعة من الأحکام التکلیفیّة-کما یقال:الملکیّة کون الشیء بحیث یجوز الانتفاع به و بعوضه،و الطهارة کون الشیء بحیث یجوز استعماله فی الأکل و الشرب و الصلاة،نقیض النجاسة-و إمّا امور واقعیّة کشف عنها الشارع.</w:t>
      </w:r>
    </w:p>
    <w:p>
      <w:pPr>
        <w:pStyle w:val="BookText"/>
      </w:pPr>
      <w:r>
        <w:rPr>
          <w:rFonts w:ascii="IRNazanin" w:hAnsi="IRNazanin" w:eastAsia="IRNazanin" w:cs="IRNazanin"/>
          <w:lang w:bidi="fa-IR"/>
          <w:color w:val="111111"/>
          <w:sz w:val="28"/>
          <w:szCs w:val="28"/>
          <w:rtl/>
        </w:rPr>
        <w:t xml:space="preserve">فأسبابها علی الأوّل-فی الحقیقة-أسباب للتکالیف،فتصیر سببیّة تلک الأسباب </w:t>
      </w:r>
      <w:r>
        <w:rPr>
          <w:rStyle w:val="FootnoteReference"/>
        </w:rPr>
        <w:footnoteReference w:id="1917"/>
      </w:r>
      <w:r>
        <w:rPr>
          <w:rFonts w:ascii="IRNazanin" w:hAnsi="IRNazanin" w:eastAsia="IRNazanin" w:cs="IRNazanin"/>
          <w:lang w:bidi="fa-IR"/>
          <w:color w:val="111111"/>
          <w:sz w:val="28"/>
          <w:szCs w:val="28"/>
          <w:rtl/>
        </w:rPr>
        <w:t xml:space="preserve">کمسبّباتها امورا انتزاعیّة.</w:t>
      </w:r>
    </w:p>
    <w:p>
      <w:pPr>
        <w:pStyle w:val="BookText"/>
      </w:pPr>
      <w:r>
        <w:rPr>
          <w:rFonts w:ascii="IRNazanin" w:hAnsi="IRNazanin" w:eastAsia="IRNazanin" w:cs="IRNazanin"/>
          <w:lang w:bidi="fa-IR"/>
          <w:color w:val="111111"/>
          <w:sz w:val="28"/>
          <w:szCs w:val="28"/>
          <w:rtl/>
        </w:rPr>
        <w:t xml:space="preserve">و علی الثانی،یکون أسبابها کنفس المسبّبات امورا واقعیّة مکشوفا عنها ببیان الشارع.</w:t>
      </w:r>
    </w:p>
    <w:p>
      <w:pPr>
        <w:pStyle w:val="BookText"/>
      </w:pPr>
      <w:r>
        <w:rPr>
          <w:rFonts w:ascii="IRNazanin" w:hAnsi="IRNazanin" w:eastAsia="IRNazanin" w:cs="IRNazanin"/>
          <w:lang w:bidi="fa-IR"/>
          <w:color w:val="111111"/>
          <w:sz w:val="28"/>
          <w:szCs w:val="28"/>
          <w:rtl/>
        </w:rPr>
        <w:t xml:space="preserve">و علی التقدیرین فلا جعل فی سببیّة هذه الأسباب.</w:t>
      </w:r>
    </w:p>
    <w:p>
      <w:pPr>
        <w:pStyle w:val="BookText"/>
      </w:pPr>
      <w:r>
        <w:rPr>
          <w:rFonts w:ascii="IRNazanin" w:hAnsi="IRNazanin" w:eastAsia="IRNazanin" w:cs="IRNazanin"/>
          <w:lang w:bidi="fa-IR"/>
          <w:color w:val="111111"/>
          <w:sz w:val="28"/>
          <w:szCs w:val="28"/>
          <w:rtl/>
        </w:rPr>
        <w:t xml:space="preserve">و ممّا ذکرنا تعرف الحال فی غیر المعاملات من أسباب هذه الامور،کسببیّة الغلیان فی العصیر للنجاسة،و کالملاقاة لها،و السبی للرقّیة،و التنکیل للحریّة،و الرضاع لانفساخ الزوجیّة،و غیر ذلک.فافهم و تأمّل فی المقام؛فإنّه من مزالّ الأقدام.</w:t>
      </w:r>
    </w:p>
    <w:p>
      <w:pPr>
        <w:pStyle w:val="Heading6"/>
      </w:pPr>
      <w:bookmarkStart w:id="1829" w:name="_Toc864"/>
      <w:r>
        <w:t>[رجوع إلی کلام الفاضل التونی:]</w:t>
      </w:r>
      <w:bookmarkEnd w:id="1829"/>
    </w:p>
    <w:p>
      <w:pPr>
        <w:pStyle w:val="Heading6"/>
      </w:pPr>
      <w:bookmarkStart w:id="1830" w:name="_Toc865"/>
      <w:r>
        <w:t>اشارة</w:t>
      </w:r>
      <w:bookmarkEnd w:id="1830"/>
    </w:p>
    <w:p>
      <w:pPr>
        <w:pStyle w:val="BookText"/>
      </w:pPr>
      <w:r>
        <w:rPr>
          <w:rFonts w:ascii="IRNazanin" w:hAnsi="IRNazanin" w:eastAsia="IRNazanin" w:cs="IRNazanin"/>
          <w:lang w:bidi="fa-IR"/>
          <w:color w:val="111111"/>
          <w:sz w:val="28"/>
          <w:szCs w:val="28"/>
          <w:rtl/>
        </w:rPr>
        <w:t xml:space="preserve">قوله </w:t>
      </w:r>
      <w:r>
        <w:rPr>
          <w:rStyle w:val="FootnoteReference"/>
        </w:rPr>
        <w:footnoteReference w:id="1918"/>
      </w:r>
      <w:r>
        <w:rPr>
          <w:rFonts w:ascii="IRNazanin" w:hAnsi="IRNazanin" w:eastAsia="IRNazanin" w:cs="IRNazanin"/>
          <w:lang w:bidi="fa-IR"/>
          <w:color w:val="111111"/>
          <w:sz w:val="28"/>
          <w:szCs w:val="28"/>
          <w:rtl/>
        </w:rPr>
        <w:t xml:space="preserve">:«و علی الأوّل یکون وجوب ذلک الشیء أو ندبه فی کلّ جزء من أجزاء ذلک الوقت ثابتا بذلک الأمر،فالتمسّک فی ثبوت الحکم</w:t>
      </w:r>
    </w:p>
    <w:p>
      <w:pPr>
        <w:pStyle w:val="BookText"/>
      </w:pPr>
      <w:r>
        <w:rPr>
          <w:rFonts w:ascii="IRNazanin" w:hAnsi="IRNazanin" w:eastAsia="IRNazanin" w:cs="IRNazanin"/>
          <w:lang w:bidi="fa-IR"/>
          <w:color w:val="111111"/>
          <w:sz w:val="28"/>
          <w:szCs w:val="28"/>
          <w:rtl/>
        </w:rPr>
        <w:t xml:space="preserve">[شماره صفحه واقعی : 130]
</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bookmarkStart w:id="406" w:name="pg14411_143024"/>
    <w:bookmarkEnd w:id="406"/>
    <w:p>
      <w:pPr>
        <w:pStyle w:val="BookText"/>
      </w:pPr>
      <w:r>
        <w:rPr>
          <w:rFonts w:ascii="IRNazanin" w:hAnsi="IRNazanin" w:eastAsia="IRNazanin" w:cs="IRNazanin"/>
          <w:lang w:bidi="fa-IR"/>
          <w:color w:val="111111"/>
          <w:sz w:val="28"/>
          <w:szCs w:val="28"/>
          <w:rtl/>
        </w:rPr>
        <w:t xml:space="preserve">فی الزمان الثانی بالنصّ،لا بثبوته فی الزمان الأوّل حتّی یکون استصحابا».</w:t>
      </w:r>
    </w:p>
    <w:p>
      <w:pPr>
        <w:pStyle w:val="BookText"/>
      </w:pPr>
      <w:r>
        <w:rPr>
          <w:rFonts w:ascii="IRNazanin" w:hAnsi="IRNazanin" w:eastAsia="IRNazanin" w:cs="IRNazanin"/>
          <w:lang w:bidi="fa-IR"/>
          <w:color w:val="111111"/>
          <w:sz w:val="28"/>
          <w:szCs w:val="28"/>
          <w:rtl/>
        </w:rPr>
        <w:t xml:space="preserve">أقول:فیه:أنّ الموقّت قد یتردّد وقته بین زمان و ما بعده فیجری الاستصحاب.</w:t>
      </w:r>
    </w:p>
    <w:p>
      <w:pPr>
        <w:pStyle w:val="Heading6"/>
      </w:pPr>
      <w:bookmarkStart w:id="1831" w:name="_Toc866"/>
      <w:r>
        <w:t>[ما أورد علیه:]</w:t>
      </w:r>
      <w:bookmarkEnd w:id="1831"/>
    </w:p>
    <w:p>
      <w:pPr>
        <w:pStyle w:val="BookText"/>
      </w:pPr>
      <w:r>
        <w:rPr>
          <w:rFonts w:ascii="IRNazanin" w:hAnsi="IRNazanin" w:eastAsia="IRNazanin" w:cs="IRNazanin"/>
          <w:lang w:bidi="fa-IR"/>
          <w:color w:val="111111"/>
          <w:sz w:val="28"/>
          <w:szCs w:val="28"/>
          <w:rtl/>
        </w:rPr>
        <w:t xml:space="preserve">و اورد علیه تارة:بأنّ الشکّ قد یکون فی النسخ </w:t>
      </w:r>
      <w:r>
        <w:rPr>
          <w:rStyle w:val="FootnoteReference"/>
        </w:rPr>
        <w:footnoteReference w:id="19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اخری:بأنّ الشکّ قد یحصل فی التکلیف کمن شکّ فی وجوب إتمام الصوم لحصول مرض یشکّ فی کونه مبیحا للإفطار </w:t>
      </w:r>
      <w:r>
        <w:rPr>
          <w:rStyle w:val="FootnoteReference"/>
        </w:rPr>
        <w:footnoteReference w:id="19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ثالثة:بأنّه قد یکون أوّل الوقت و آخره معلوما و لکنّه یشکّ فی حدوث الآخر و الغایة،فیحتاج المجتهد فی الحکم بالوجوب أو الندب أو الحکم بعدمهما عند عروض ذلک الشکّ إلی دلیل عقلیّ أو نقلیّ غیر ذلک الأمر </w:t>
      </w:r>
      <w:r>
        <w:rPr>
          <w:rStyle w:val="FootnoteReference"/>
        </w:rPr>
        <w:footnoteReference w:id="1921"/>
      </w:r>
      <w:r>
        <w:rPr>
          <w:rFonts w:ascii="Times New Roman" w:hAnsi="Times New Roman" w:eastAsia="Times New Roman" w:cs="Times New Roman"/>
          <w:lang w:val="en-US" w:bidi="en-US"/>
          <w:color w:val="111111"/>
          <w:sz w:val="28"/>
          <w:szCs w:val="28"/>
          <w:rtl/>
        </w:rPr>
        <w:t xml:space="preserve">.</w:t>
      </w:r>
    </w:p>
    <w:p>
      <w:pPr>
        <w:pStyle w:val="Heading6"/>
      </w:pPr>
      <w:bookmarkStart w:id="1832" w:name="_Toc867"/>
      <w:r>
        <w:t>[عدم ورود شیء ممّا اورد علیه:]</w:t>
      </w:r>
      <w:bookmarkEnd w:id="1832"/>
    </w:p>
    <w:p>
      <w:pPr>
        <w:pStyle w:val="BookText"/>
      </w:pPr>
      <w:r>
        <w:rPr>
          <w:rFonts w:ascii="IRNazanin" w:hAnsi="IRNazanin" w:eastAsia="IRNazanin" w:cs="IRNazanin"/>
          <w:lang w:bidi="fa-IR"/>
          <w:color w:val="111111"/>
          <w:sz w:val="28"/>
          <w:szCs w:val="28"/>
          <w:rtl/>
        </w:rPr>
        <w:t xml:space="preserve">هذا،و لکنّ الإنصاف:عدم ورود شیء من ذلک علیه.</w:t>
      </w:r>
    </w:p>
    <w:p>
      <w:pPr>
        <w:pStyle w:val="BookText"/>
      </w:pPr>
      <w:r>
        <w:rPr>
          <w:rFonts w:ascii="IRNazanin" w:hAnsi="IRNazanin" w:eastAsia="IRNazanin" w:cs="IRNazanin"/>
          <w:lang w:bidi="fa-IR"/>
          <w:color w:val="111111"/>
          <w:sz w:val="28"/>
          <w:szCs w:val="28"/>
          <w:rtl/>
        </w:rPr>
        <w:t xml:space="preserve">أمّا الشکّ فی النسخ،فهو خارج عمّا نحن فیه؛لأنّ کلامه فی الموقّت من حیث الشکّ فی بعض أجزاء الوقت،کما إذا شکّ فی جزء ممّا بین الظهر و العصر فی الحکم المستفاد من قوله:«اجلس فی المسجد من الظهر إلی العصر»،و هو الذی ادّعی أنّ وجوبه فی الجزء المشکوک ثابت بنفس الدلیل.</w:t>
      </w:r>
    </w:p>
    <w:p>
      <w:pPr>
        <w:pStyle w:val="BookText"/>
      </w:pPr>
      <w:r>
        <w:rPr>
          <w:rFonts w:ascii="IRNazanin" w:hAnsi="IRNazanin" w:eastAsia="IRNazanin" w:cs="IRNazanin"/>
          <w:lang w:bidi="fa-IR"/>
          <w:color w:val="111111"/>
          <w:sz w:val="28"/>
          <w:szCs w:val="28"/>
          <w:rtl/>
        </w:rPr>
        <w:t xml:space="preserve">و أمّا الشکّ فی ثبوت هذا الحکم الموقّت لکلّ یوم أو نسخه فی</w:t>
      </w:r>
    </w:p>
    <w:p>
      <w:pPr>
        <w:pStyle w:val="BookText"/>
      </w:pPr>
      <w:r>
        <w:rPr>
          <w:rFonts w:ascii="IRNazanin" w:hAnsi="IRNazanin" w:eastAsia="IRNazanin" w:cs="IRNazanin"/>
          <w:lang w:bidi="fa-IR"/>
          <w:color w:val="111111"/>
          <w:sz w:val="28"/>
          <w:szCs w:val="28"/>
          <w:rtl/>
        </w:rPr>
        <w:t xml:space="preserve">[شماره صفحه واقعی : 131]
</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الیوم،فهو شکّ لا من حیث توقیت الحکم،بل من حیث نسخ الموقّت.</w:t>
      </w:r>
    </w:p>
    <w:p>
      <w:pPr>
        <w:pStyle w:val="BookText"/>
      </w:pPr>
      <w:r>
        <w:rPr>
          <w:rFonts w:ascii="IRNazanin" w:hAnsi="IRNazanin" w:eastAsia="IRNazanin" w:cs="IRNazanin"/>
          <w:lang w:bidi="fa-IR"/>
          <w:color w:val="111111"/>
          <w:sz w:val="28"/>
          <w:szCs w:val="28"/>
          <w:rtl/>
        </w:rPr>
        <w:t xml:space="preserve">فإن وقع الشکّ فی النسخ الاصطلاحی لم یکن استصحاب عدمه من الاستصحاب المختلف فیه؛لأنّ إثبات الحکم فی الزمان الثانی؛لعموم الأمر الأوّل للأزمان و لو کان فهم هذا العموم من استمرار طریقة الشارع،بل کلّ شارع </w:t>
      </w:r>
      <w:r>
        <w:rPr>
          <w:rStyle w:val="FootnoteReference"/>
        </w:rPr>
        <w:footnoteReference w:id="1922"/>
      </w:r>
      <w:r>
        <w:rPr>
          <w:rFonts w:ascii="IRNazanin" w:hAnsi="IRNazanin" w:eastAsia="IRNazanin" w:cs="IRNazanin"/>
          <w:lang w:bidi="fa-IR"/>
          <w:color w:val="111111"/>
          <w:sz w:val="28"/>
          <w:szCs w:val="28"/>
          <w:rtl/>
        </w:rPr>
        <w:t xml:space="preserve">علی إرادة دوام الحکم ما دامت تلک الشریعة، لا من </w:t>
      </w:r>
      <w:r>
        <w:rPr>
          <w:rStyle w:val="FootnoteReference"/>
        </w:rPr>
        <w:footnoteReference w:id="1923"/>
      </w:r>
      <w:r>
        <w:rPr>
          <w:rFonts w:ascii="Amiri" w:hAnsi="Amiri" w:eastAsia="Amiri" w:cs="Amiri"/>
          <w:lang w:bidi="ar-SA"/>
          <w:color w:val="111111"/>
          <w:sz w:val="28"/>
          <w:szCs w:val="28"/>
          <w:rtl/>
        </w:rPr>
        <w:t xml:space="preserve">عموم لفظیّ زمانیّ.</w:t>
      </w:r>
    </w:p>
    <w:p>
      <w:pPr>
        <w:pStyle w:val="BookText"/>
      </w:pPr>
      <w:r>
        <w:rPr>
          <w:rFonts w:ascii="IRNazanin" w:hAnsi="IRNazanin" w:eastAsia="IRNazanin" w:cs="IRNazanin"/>
          <w:lang w:bidi="fa-IR"/>
          <w:color w:val="111111"/>
          <w:sz w:val="28"/>
          <w:szCs w:val="28"/>
          <w:rtl/>
        </w:rPr>
        <w:t xml:space="preserve">و کیف کان،فاستصحاب عدم النسخ لدفع احتمال حصول التخصیص </w:t>
      </w:r>
      <w:r>
        <w:rPr>
          <w:rStyle w:val="FootnoteReference"/>
        </w:rPr>
        <w:footnoteReference w:id="1924"/>
      </w:r>
      <w:r>
        <w:rPr>
          <w:rFonts w:ascii="IRNazanin" w:hAnsi="IRNazanin" w:eastAsia="IRNazanin" w:cs="IRNazanin"/>
          <w:lang w:bidi="fa-IR"/>
          <w:color w:val="111111"/>
          <w:sz w:val="28"/>
          <w:szCs w:val="28"/>
          <w:rtl/>
        </w:rPr>
        <w:t xml:space="preserve">فی الأزمان،کاستصحاب عدم التخصیص لدفع احتمال المخصّص فی الأفراد،و استصحاب عدم التقیید لدفع إرادة المقیّد من المطلق.</w:t>
      </w:r>
    </w:p>
    <w:p>
      <w:pPr>
        <w:pStyle w:val="BookText"/>
      </w:pPr>
      <w:r>
        <w:rPr>
          <w:rFonts w:ascii="IRNazanin" w:hAnsi="IRNazanin" w:eastAsia="IRNazanin" w:cs="IRNazanin"/>
          <w:lang w:bidi="fa-IR"/>
          <w:color w:val="111111"/>
          <w:sz w:val="28"/>
          <w:szCs w:val="28"/>
          <w:rtl/>
        </w:rPr>
        <w:t xml:space="preserve">و الظاهر:أنّ مثل هذا لا مجال لإنکاره،و لیس إثباتا للحکم فی الزمان الثانی لوجوده فی الزمان الأوّل،بل لعموم دلیله الأوّل،کما لا یخفی.</w:t>
      </w:r>
    </w:p>
    <w:p>
      <w:pPr>
        <w:pStyle w:val="BookText"/>
      </w:pPr>
      <w:r>
        <w:rPr>
          <w:rFonts w:ascii="IRNazanin" w:hAnsi="IRNazanin" w:eastAsia="IRNazanin" w:cs="IRNazanin"/>
          <w:lang w:bidi="fa-IR"/>
          <w:color w:val="111111"/>
          <w:sz w:val="28"/>
          <w:szCs w:val="28"/>
          <w:rtl/>
        </w:rPr>
        <w:t xml:space="preserve">و بالجملة:فقد صرّح هذا المفصّل بأنّ الاستصحاب المختلف فیه لا یجری فی التکلیفیّات،و مثل هذا الاستصحاب ممّا انعقد علی اعتباره الإجماع بل الضرورة،کما تقدّم فی کلام المحدّث الأسترابادی </w:t>
      </w:r>
      <w:r>
        <w:rPr>
          <w:rStyle w:val="FootnoteReference"/>
        </w:rPr>
        <w:footnoteReference w:id="19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132]
</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فرض الشکّ فی النسخ فی </w:t>
      </w:r>
      <w:r>
        <w:rPr>
          <w:rStyle w:val="FootnoteReference"/>
        </w:rPr>
        <w:footnoteReference w:id="1926"/>
      </w:r>
      <w:r>
        <w:rPr>
          <w:rFonts w:ascii="IRNazanin" w:hAnsi="IRNazanin" w:eastAsia="IRNazanin" w:cs="IRNazanin"/>
          <w:lang w:bidi="fa-IR"/>
          <w:color w:val="111111"/>
          <w:sz w:val="28"/>
          <w:szCs w:val="28"/>
          <w:rtl/>
        </w:rPr>
        <w:t xml:space="preserve">حکم لم یثبت له من دلیله و لا من الخارج عموم زمانی </w:t>
      </w:r>
      <w:r>
        <w:rPr>
          <w:rStyle w:val="FootnoteReference"/>
        </w:rPr>
        <w:footnoteReference w:id="1927"/>
      </w:r>
      <w:r>
        <w:rPr>
          <w:rFonts w:ascii="IRNazanin" w:hAnsi="IRNazanin" w:eastAsia="IRNazanin" w:cs="IRNazanin"/>
          <w:lang w:bidi="fa-IR"/>
          <w:color w:val="111111"/>
          <w:sz w:val="28"/>
          <w:szCs w:val="28"/>
          <w:rtl/>
        </w:rPr>
        <w:t xml:space="preserve">،فهو خارج عن النسخ الاصطلاحی، داخل فیما ذکره:من أنّ الأمر إذا لم یکن للتکرار یکفی فیه المرّة، و لا وجه للنقض به فی مسألة الموقّت،فتأمّل </w:t>
      </w:r>
      <w:r>
        <w:rPr>
          <w:rStyle w:val="FootnoteReference"/>
        </w:rPr>
        <w:footnoteReference w:id="19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الشکّ فی تحقّق المانع-کالمرض المبیح للإفطار،و السفر الموجب له و للقصر،و الضرر المبیح لتناول المحرّمات-فهو الذی ذکره المفصّل فی آخر کلامه بجریان الاستصحاب فی الحکم التکلیفی تبعا للحکم الوضعی؛فإنّ السلامة من المرض الذی یضرّ به الصوم شرط فی وجوبه،و کذا الحضر،و کذا الأمن من الضرر فی ترک المحرّم،فإذا شکّ فی وجود شیء من ذلک استصحب الحالة السابقة له وجودا أو عدما، و یتبعه بقاء الحکم التکلیفیّ السابق،بل </w:t>
      </w:r>
      <w:r>
        <w:rPr>
          <w:rStyle w:val="FootnoteReference"/>
        </w:rPr>
        <w:footnoteReference w:id="1929"/>
      </w:r>
      <w:r>
        <w:rPr>
          <w:rFonts w:ascii="IRNazanin" w:hAnsi="IRNazanin" w:eastAsia="IRNazanin" w:cs="IRNazanin"/>
          <w:lang w:bidi="fa-IR"/>
          <w:color w:val="111111"/>
          <w:sz w:val="28"/>
          <w:szCs w:val="28"/>
          <w:rtl/>
        </w:rPr>
        <w:t xml:space="preserve">قد عرفت فیما مرّ </w:t>
      </w:r>
      <w:r>
        <w:rPr>
          <w:rStyle w:val="FootnoteReference"/>
        </w:rPr>
        <w:footnoteReference w:id="1930"/>
      </w:r>
      <w:r>
        <w:rPr>
          <w:rFonts w:ascii="IRNazanin" w:hAnsi="IRNazanin" w:eastAsia="IRNazanin" w:cs="IRNazanin"/>
          <w:lang w:bidi="fa-IR"/>
          <w:color w:val="111111"/>
          <w:sz w:val="28"/>
          <w:szCs w:val="28"/>
          <w:rtl/>
        </w:rPr>
        <w:t xml:space="preserve">عدم </w:t>
      </w:r>
      <w:r>
        <w:rPr>
          <w:rStyle w:val="FootnoteReference"/>
        </w:rPr>
        <w:footnoteReference w:id="1931"/>
      </w:r>
      <w:r>
        <w:rPr>
          <w:rFonts w:ascii="IRNazanin" w:hAnsi="IRNazanin" w:eastAsia="IRNazanin" w:cs="IRNazanin"/>
          <w:lang w:bidi="fa-IR"/>
          <w:color w:val="111111"/>
          <w:sz w:val="28"/>
          <w:szCs w:val="28"/>
          <w:rtl/>
        </w:rPr>
        <w:t xml:space="preserve">جریان الاستصحاب فی الحکم التکلیفی إلاّ مع قطع النظر عن استصحاب موضوعه،و هو </w:t>
      </w:r>
      <w:r>
        <w:rPr>
          <w:rStyle w:val="FootnoteReference"/>
        </w:rPr>
        <w:footnoteReference w:id="1932"/>
      </w:r>
      <w:r>
        <w:rPr>
          <w:rFonts w:ascii="IRNazanin" w:hAnsi="IRNazanin" w:eastAsia="IRNazanin" w:cs="IRNazanin"/>
          <w:lang w:bidi="fa-IR"/>
          <w:color w:val="111111"/>
          <w:sz w:val="28"/>
          <w:szCs w:val="28"/>
          <w:rtl/>
        </w:rPr>
        <w:t xml:space="preserve">الحکم الوضعیّ فی المقام.</w:t>
      </w:r>
    </w:p>
    <w:p>
      <w:pPr>
        <w:pStyle w:val="BookText"/>
      </w:pPr>
      <w:r>
        <w:rPr>
          <w:rFonts w:ascii="IRNazanin" w:hAnsi="IRNazanin" w:eastAsia="IRNazanin" w:cs="IRNazanin"/>
          <w:lang w:bidi="fa-IR"/>
          <w:color w:val="111111"/>
          <w:sz w:val="28"/>
          <w:szCs w:val="28"/>
          <w:rtl/>
        </w:rPr>
        <w:t xml:space="preserve">[شماره صفحه واقعی : 133]
</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مثلا:إذا أوجب الشارع الصوم إلی اللیل علی المکلّف بشرط سلامته من المرض الذی یتضرّر بالصوم،فإذا شکّ فی بقائها و حدوث المرض المذکور و أحرز الشرط أو عدم المانع </w:t>
      </w:r>
      <w:r>
        <w:rPr>
          <w:rStyle w:val="FootnoteReference"/>
        </w:rPr>
        <w:footnoteReference w:id="1933"/>
      </w:r>
      <w:r>
        <w:rPr>
          <w:rFonts w:ascii="IRNazanin" w:hAnsi="IRNazanin" w:eastAsia="IRNazanin" w:cs="IRNazanin"/>
          <w:lang w:bidi="fa-IR"/>
          <w:color w:val="111111"/>
          <w:sz w:val="28"/>
          <w:szCs w:val="28"/>
          <w:rtl/>
        </w:rPr>
        <w:t xml:space="preserve">بالاستصحاب أغنی عن استصحاب المشروط،بل لم یبق مجری له؛لأنّ معنی استصحاب الشرط و عدم المانع </w:t>
      </w:r>
      <w:r>
        <w:rPr>
          <w:rStyle w:val="FootnoteReference"/>
        </w:rPr>
        <w:footnoteReference w:id="1934"/>
      </w:r>
      <w:r>
        <w:rPr>
          <w:rFonts w:ascii="IRNazanin" w:hAnsi="IRNazanin" w:eastAsia="IRNazanin" w:cs="IRNazanin"/>
          <w:lang w:bidi="fa-IR"/>
          <w:color w:val="111111"/>
          <w:sz w:val="28"/>
          <w:szCs w:val="28"/>
          <w:rtl/>
        </w:rPr>
        <w:t xml:space="preserve">ترتیب آثار وجوده،و هو ثبوت المشروط مع فرض وجود باقی العلل الناقصة،و حینئذ فلا یبقی الشکّ فی بقاء المشروط </w:t>
      </w:r>
      <w:r>
        <w:rPr>
          <w:rStyle w:val="FootnoteReference"/>
        </w:rPr>
        <w:footnoteReference w:id="19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بعبارة اخری:الشکّ فی بقاء المشروط مسبّب عن الشکّ فی بقاء الشرط،و الاستصحاب فی الشرط وجودا أو عدما مبیّن لبقاء المشروط أو ارتفاعه،فلا یجری فیه الاستصحاب،لا معارضا لاستصحاب الشرط؛لأنّه مزیل له،و لا معاضدا،کما فیما نحن فیه.</w:t>
      </w:r>
    </w:p>
    <w:p>
      <w:pPr>
        <w:pStyle w:val="BookText"/>
      </w:pPr>
      <w:r>
        <w:rPr>
          <w:rFonts w:ascii="IRNazanin" w:hAnsi="IRNazanin" w:eastAsia="IRNazanin" w:cs="IRNazanin"/>
          <w:lang w:bidi="fa-IR"/>
          <w:color w:val="111111"/>
          <w:sz w:val="28"/>
          <w:szCs w:val="28"/>
          <w:rtl/>
        </w:rPr>
        <w:t xml:space="preserve">و سیتّضح ذلک فی مسألة الاستصحاب فی الامور الخارجیّة </w:t>
      </w:r>
      <w:r>
        <w:rPr>
          <w:rStyle w:val="FootnoteReference"/>
        </w:rPr>
        <w:footnoteReference w:id="1936"/>
      </w:r>
      <w:r>
        <w:rPr>
          <w:rFonts w:ascii="IRNazanin" w:hAnsi="IRNazanin" w:eastAsia="IRNazanin" w:cs="IRNazanin"/>
          <w:lang w:bidi="fa-IR"/>
          <w:color w:val="111111"/>
          <w:sz w:val="28"/>
          <w:szCs w:val="28"/>
          <w:rtl/>
        </w:rPr>
        <w:t xml:space="preserve">،و فی بیان اشتراط الاستصحاب ببقاء الموضوع إن شاء اللّه تعالی </w:t>
      </w:r>
      <w:r>
        <w:rPr>
          <w:rStyle w:val="FootnoteReference"/>
        </w:rPr>
        <w:footnoteReference w:id="19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ممّا ذکرنا یظهر الجواب عن النقض الثالث علیه-بما إذا کان الشکّ فی بقاء الوقت المضروب للحکم التکلیفی-فإنّه إن جری معه استصحاب الوقت أغنی عن استصحاب الحکم التکلیفی-کما عرفت فی الشرط-فإنّ الوقت شرط أو سبب،و إلاّ لم یجر استصحاب الحکم</w:t>
      </w:r>
    </w:p>
    <w:p>
      <w:pPr>
        <w:pStyle w:val="BookText"/>
      </w:pPr>
      <w:r>
        <w:rPr>
          <w:rFonts w:ascii="IRNazanin" w:hAnsi="IRNazanin" w:eastAsia="IRNazanin" w:cs="IRNazanin"/>
          <w:lang w:bidi="fa-IR"/>
          <w:color w:val="111111"/>
          <w:sz w:val="28"/>
          <w:szCs w:val="28"/>
          <w:rtl/>
        </w:rPr>
        <w:t xml:space="preserve">[شماره صفحه واقعی : 134]
</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التکلیفی </w:t>
      </w:r>
      <w:r>
        <w:rPr>
          <w:rStyle w:val="FootnoteReference"/>
        </w:rPr>
        <w:footnoteReference w:id="1938"/>
      </w:r>
      <w:r>
        <w:rPr>
          <w:rFonts w:ascii="IRNazanin" w:hAnsi="IRNazanin" w:eastAsia="IRNazanin" w:cs="IRNazanin"/>
          <w:lang w:bidi="fa-IR"/>
          <w:color w:val="111111"/>
          <w:sz w:val="28"/>
          <w:szCs w:val="28"/>
          <w:rtl/>
        </w:rPr>
        <w:t xml:space="preserve">لأنّه کان متحقّقا بقید ذلک الوقت </w:t>
      </w:r>
      <w:r>
        <w:rPr>
          <w:rStyle w:val="FootnoteReference"/>
        </w:rPr>
        <w:footnoteReference w:id="19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فالصوم </w:t>
      </w:r>
      <w:r>
        <w:rPr>
          <w:rStyle w:val="FootnoteReference"/>
        </w:rPr>
        <w:footnoteReference w:id="1940"/>
      </w:r>
      <w:r>
        <w:rPr>
          <w:rFonts w:ascii="IRNazanin" w:hAnsi="IRNazanin" w:eastAsia="IRNazanin" w:cs="IRNazanin"/>
          <w:lang w:bidi="fa-IR"/>
          <w:color w:val="111111"/>
          <w:sz w:val="28"/>
          <w:szCs w:val="28"/>
          <w:rtl/>
        </w:rPr>
        <w:t xml:space="preserve">المقیّد وجوبه </w:t>
      </w:r>
      <w:r>
        <w:rPr>
          <w:rStyle w:val="FootnoteReference"/>
        </w:rPr>
        <w:footnoteReference w:id="1941"/>
      </w:r>
      <w:r>
        <w:rPr>
          <w:rFonts w:ascii="IRNazanin" w:hAnsi="IRNazanin" w:eastAsia="IRNazanin" w:cs="IRNazanin"/>
          <w:lang w:bidi="fa-IR"/>
          <w:color w:val="111111"/>
          <w:sz w:val="28"/>
          <w:szCs w:val="28"/>
          <w:rtl/>
        </w:rPr>
        <w:t xml:space="preserve">بکونه فی النهار لا ینفع استصحاب وجوبه فی الزمان المشکوک کونه من النهار،و أصالة بقاء الحکم المقیّد بالنهار فی هذا الزمان لا یثبت کون هذا الزمان نهارا،کما سیجیء توضیحه فی نفی الاصول المثبتة إن شاء اللّه </w:t>
      </w:r>
      <w:r>
        <w:rPr>
          <w:rStyle w:val="FootnoteReference"/>
        </w:rPr>
        <w:footnoteReference w:id="19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اللهمّ إلاّ أن یقال:إنّه یکفی فی الاستصحاب تنجّز التکلیف سابقا و إن کان لتعلیقه علی أمر حاصل،فیقال عرفا إذا ارتفع الاستطاعة المعلّق علیها وجوب الحجّ:إنّ الوجوب ارتفع.فإذا شکّ فی ارتفاعها یکون شکّا فی ارتفاع الحکم المتنجّز و بقائه و إن کان الحکم المعلّق لا یرتفع بارتفاع المعلّق علیه؛لأنّ ارتفاع الشرط لا یوجب ارتفاع الشرطیّة،إلاّ أنّ استصحاب وجود ذلک الأمر المعلّق علیه کاف فی عدم جریان الاستصحاب المذکور،فإنّه حاکم علیه،کما ستعرف.</w:t>
      </w:r>
    </w:p>
    <w:p>
      <w:pPr>
        <w:pStyle w:val="BookText"/>
      </w:pPr>
      <w:r>
        <w:rPr>
          <w:rFonts w:ascii="IRNazanin" w:hAnsi="IRNazanin" w:eastAsia="IRNazanin" w:cs="IRNazanin"/>
          <w:lang w:bidi="fa-IR"/>
          <w:color w:val="111111"/>
          <w:sz w:val="28"/>
          <w:szCs w:val="28"/>
          <w:rtl/>
        </w:rPr>
        <w:t xml:space="preserve">نعم لو فرض فی مقام </w:t>
      </w:r>
      <w:r>
        <w:rPr>
          <w:rStyle w:val="FootnoteReference"/>
        </w:rPr>
        <w:footnoteReference w:id="1943"/>
      </w:r>
      <w:r>
        <w:rPr>
          <w:rFonts w:ascii="IRNazanin" w:hAnsi="IRNazanin" w:eastAsia="IRNazanin" w:cs="IRNazanin"/>
          <w:lang w:bidi="fa-IR"/>
          <w:color w:val="111111"/>
          <w:sz w:val="28"/>
          <w:szCs w:val="28"/>
          <w:rtl/>
        </w:rPr>
        <w:t xml:space="preserve">عدم جریان الاستصحاب فی الشکّ فی الوقت،کما لو کان الوقت مردّدا بین أمرین-کذهاب الحمرة و استتار</w:t>
      </w:r>
    </w:p>
    <w:p>
      <w:pPr>
        <w:pStyle w:val="BookText"/>
      </w:pPr>
      <w:r>
        <w:rPr>
          <w:rFonts w:ascii="IRNazanin" w:hAnsi="IRNazanin" w:eastAsia="IRNazanin" w:cs="IRNazanin"/>
          <w:lang w:bidi="fa-IR"/>
          <w:color w:val="111111"/>
          <w:sz w:val="28"/>
          <w:szCs w:val="28"/>
          <w:rtl/>
        </w:rPr>
        <w:t xml:space="preserve">[شماره صفحه واقعی : 135]
</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bookmarkStart w:id="407" w:name="pg14411_143029"/>
    <w:bookmarkEnd w:id="407"/>
    <w:p>
      <w:pPr>
        <w:pStyle w:val="BookText"/>
      </w:pPr>
      <w:r>
        <w:rPr>
          <w:rFonts w:ascii="IRNazanin" w:hAnsi="IRNazanin" w:eastAsia="IRNazanin" w:cs="IRNazanin"/>
          <w:lang w:bidi="fa-IR"/>
          <w:color w:val="111111"/>
          <w:sz w:val="28"/>
          <w:szCs w:val="28"/>
          <w:rtl/>
        </w:rPr>
        <w:t xml:space="preserve">القرص-انحصر الأمر حینئذ فی إجراء استصحاب التکلیف،فتأمّل.</w:t>
      </w:r>
    </w:p>
    <w:p>
      <w:pPr>
        <w:pStyle w:val="BookText"/>
      </w:pPr>
      <w:r>
        <w:rPr>
          <w:rFonts w:ascii="IRNazanin" w:hAnsi="IRNazanin" w:eastAsia="IRNazanin" w:cs="IRNazanin"/>
          <w:lang w:bidi="fa-IR"/>
          <w:color w:val="111111"/>
          <w:sz w:val="28"/>
          <w:szCs w:val="28"/>
          <w:rtl/>
        </w:rPr>
        <w:t xml:space="preserve">و الحاصل:أنّ النقض علیه بالنسبة إلی الحکم التکلیفیّ المشکوک بقاؤه </w:t>
      </w:r>
      <w:r>
        <w:rPr>
          <w:rStyle w:val="FootnoteReference"/>
        </w:rPr>
        <w:footnoteReference w:id="1944"/>
      </w:r>
      <w:r>
        <w:rPr>
          <w:rFonts w:ascii="IRNazanin" w:hAnsi="IRNazanin" w:eastAsia="IRNazanin" w:cs="IRNazanin"/>
          <w:lang w:bidi="fa-IR"/>
          <w:color w:val="111111"/>
          <w:sz w:val="28"/>
          <w:szCs w:val="28"/>
          <w:rtl/>
        </w:rPr>
        <w:t xml:space="preserve">من جهة الشکّ فی سببه أو شرطه أو مانعة غیر متّجه؛لأنّ مجری الاستصحاب فی هذه الموارد أوّلا و بالذات هو نفس السبب و الشرط و المانع،و یتبعه بقاء </w:t>
      </w:r>
      <w:r>
        <w:rPr>
          <w:rStyle w:val="FootnoteReference"/>
        </w:rPr>
        <w:footnoteReference w:id="1945"/>
      </w:r>
      <w:r>
        <w:rPr>
          <w:rFonts w:ascii="IRNazanin" w:hAnsi="IRNazanin" w:eastAsia="IRNazanin" w:cs="IRNazanin"/>
          <w:lang w:bidi="fa-IR"/>
          <w:color w:val="111111"/>
          <w:sz w:val="28"/>
          <w:szCs w:val="28"/>
          <w:rtl/>
        </w:rPr>
        <w:t xml:space="preserve">الحکم التکلیفی،و لا یجوز إجراء الاستصحاب فی الحکم التکلیفی ابتداء،إلاّ إذا فرض انتفاء استصحاب الأمر الوضعیّ.</w:t>
      </w:r>
    </w:p>
    <w:p>
      <w:pPr>
        <w:pStyle w:val="Heading6"/>
      </w:pPr>
      <w:bookmarkStart w:id="1833" w:name="_Toc868"/>
      <w:r>
        <w:t>[رجوع إلی کلام الفاضل التونی و التعلیق علیه:]</w:t>
      </w:r>
      <w:bookmarkEnd w:id="1833"/>
    </w:p>
    <w:p>
      <w:pPr>
        <w:pStyle w:val="BookText"/>
      </w:pPr>
      <w:r>
        <w:rPr>
          <w:rFonts w:ascii="IRNazanin" w:hAnsi="IRNazanin" w:eastAsia="IRNazanin" w:cs="IRNazanin"/>
          <w:lang w:bidi="fa-IR"/>
          <w:color w:val="111111"/>
          <w:sz w:val="28"/>
          <w:szCs w:val="28"/>
          <w:rtl/>
        </w:rPr>
        <w:t xml:space="preserve">قوله:«و علی الثانی أیضا کذلک إن قلنا بإفادة الأمر التکرار...الخ».</w:t>
      </w:r>
    </w:p>
    <w:p>
      <w:pPr>
        <w:pStyle w:val="BookText"/>
      </w:pPr>
      <w:r>
        <w:rPr>
          <w:rFonts w:ascii="Amiri" w:hAnsi="Amiri" w:eastAsia="Amiri" w:cs="Amiri"/>
          <w:lang w:bidi="ar-SA"/>
          <w:color w:val="111111"/>
          <w:sz w:val="28"/>
          <w:szCs w:val="28"/>
          <w:rtl/>
        </w:rPr>
        <w:t xml:space="preserve">ربّما یورد علیه:أنّه </w:t>
      </w:r>
      <w:r>
        <w:rPr>
          <w:rStyle w:val="FootnoteReference"/>
        </w:rPr>
        <w:footnoteReference w:id="1946"/>
      </w:r>
      <w:r>
        <w:rPr>
          <w:rFonts w:ascii="IRNazanin" w:hAnsi="IRNazanin" w:eastAsia="IRNazanin" w:cs="IRNazanin"/>
          <w:lang w:bidi="fa-IR"/>
          <w:color w:val="111111"/>
          <w:sz w:val="28"/>
          <w:szCs w:val="28"/>
          <w:rtl/>
        </w:rPr>
        <w:t xml:space="preserve">قد یکون التکرار مردّدا بین وجهین،کما إذا علمنا بأنّه لیس للتکرار الدائمی،لکنّ العدد المتکرّر کان مردّدا بین الزائد و الناقص.</w:t>
      </w:r>
    </w:p>
    <w:p>
      <w:pPr>
        <w:pStyle w:val="BookText"/>
      </w:pPr>
      <w:r>
        <w:rPr>
          <w:rFonts w:ascii="IRNazanin" w:hAnsi="IRNazanin" w:eastAsia="IRNazanin" w:cs="IRNazanin"/>
          <w:lang w:bidi="fa-IR"/>
          <w:color w:val="111111"/>
          <w:sz w:val="28"/>
          <w:szCs w:val="28"/>
          <w:rtl/>
        </w:rPr>
        <w:t xml:space="preserve">و هذا الإیراد لا یندفع بما ذکره قدّس سرّه:من أنّ الحکم فی التکرار کالأمر الموقّت،کما لا یخفی.</w:t>
      </w:r>
    </w:p>
    <w:p>
      <w:pPr>
        <w:pStyle w:val="BookText"/>
      </w:pPr>
      <w:r>
        <w:rPr>
          <w:rFonts w:ascii="IRNazanin" w:hAnsi="IRNazanin" w:eastAsia="IRNazanin" w:cs="IRNazanin"/>
          <w:lang w:bidi="fa-IR"/>
          <w:color w:val="111111"/>
          <w:sz w:val="28"/>
          <w:szCs w:val="28"/>
          <w:rtl/>
        </w:rPr>
        <w:t xml:space="preserve">فالصواب أن یقال:إذا ثبت وجوب التکرار،فالشکّ فی بقاء ذلک الحکم من هذه الجهة مرجعه إلی الشکّ فی مقدار التکرار؛لتردّده بین الزائد و الناقص،و لا یجری فیه الاستصحاب؛لأنّ کلّ واحد من المکرّر:</w:t>
      </w:r>
    </w:p>
    <w:p>
      <w:pPr>
        <w:pStyle w:val="BookText"/>
      </w:pPr>
      <w:r>
        <w:rPr>
          <w:rFonts w:ascii="IRNazanin" w:hAnsi="IRNazanin" w:eastAsia="IRNazanin" w:cs="IRNazanin"/>
          <w:lang w:bidi="fa-IR"/>
          <w:color w:val="111111"/>
          <w:sz w:val="28"/>
          <w:szCs w:val="28"/>
          <w:rtl/>
        </w:rPr>
        <w:t xml:space="preserve">إن کان تکلیفا مستقلا فالشکّ فی الزائد شکّ فی التکلیف المستقلّ، و حکمه النفی بأصالة البراءة،لا الإثبات بالاستصحاب،کما لا یخفی.</w:t>
      </w:r>
    </w:p>
    <w:p>
      <w:pPr>
        <w:pStyle w:val="BookText"/>
      </w:pPr>
      <w:r>
        <w:rPr>
          <w:rFonts w:ascii="IRNazanin" w:hAnsi="IRNazanin" w:eastAsia="IRNazanin" w:cs="IRNazanin"/>
          <w:lang w:bidi="fa-IR"/>
          <w:color w:val="111111"/>
          <w:sz w:val="28"/>
          <w:szCs w:val="28"/>
          <w:rtl/>
        </w:rPr>
        <w:t xml:space="preserve">[شماره صفحه واقعی : 136]
</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 کان الزائد علی تقدیر وجوبه جزءا من المأمور به-بأن یکون الأمر بمجموع العدد المتکرّر من حیث إنّه مرکّب واحد-فمرجعه إلی الشکّ فی جزئیّة شیء للمأمور به و عدمها،و لا یجری فیه أیضا الاستصحاب؛لأنّ ثبوت الوجوب لباقی الأجزاء لا یثبت وجوب هذا الشیء المشکوک فی جزئیّته،بل لا بدّ من الرجوع إلی البراءة أو قاعدة الاحتیاط.</w:t>
      </w:r>
    </w:p>
    <w:p>
      <w:pPr>
        <w:pStyle w:val="BookText"/>
      </w:pPr>
      <w:r>
        <w:rPr>
          <w:rFonts w:ascii="Amiri" w:hAnsi="Amiri" w:eastAsia="Amiri" w:cs="Amiri"/>
          <w:lang w:bidi="ar-SA"/>
          <w:color w:val="111111"/>
          <w:sz w:val="28"/>
          <w:szCs w:val="28"/>
          <w:rtl/>
        </w:rPr>
        <w:t xml:space="preserve">قوله:«و إلاّ فذمّة المکلّف مشغولة حتّی یأتی به فی أیّ زمان کان».</w:t>
      </w:r>
    </w:p>
    <w:p>
      <w:pPr>
        <w:pStyle w:val="BookText"/>
      </w:pPr>
      <w:r>
        <w:rPr>
          <w:rFonts w:ascii="IRNazanin" w:hAnsi="IRNazanin" w:eastAsia="IRNazanin" w:cs="IRNazanin"/>
          <w:lang w:bidi="fa-IR"/>
          <w:color w:val="111111"/>
          <w:sz w:val="28"/>
          <w:szCs w:val="28"/>
          <w:rtl/>
        </w:rPr>
        <w:t xml:space="preserve">قد یورد علیه النقض بما عرفت </w:t>
      </w:r>
      <w:r>
        <w:rPr>
          <w:rStyle w:val="FootnoteReference"/>
        </w:rPr>
        <w:footnoteReference w:id="1947"/>
      </w:r>
      <w:r>
        <w:rPr>
          <w:rFonts w:ascii="IRNazanin" w:hAnsi="IRNazanin" w:eastAsia="IRNazanin" w:cs="IRNazanin"/>
          <w:lang w:bidi="fa-IR"/>
          <w:color w:val="111111"/>
          <w:sz w:val="28"/>
          <w:szCs w:val="28"/>
          <w:rtl/>
        </w:rPr>
        <w:t xml:space="preserve">حاله فی العبارة الاولی </w:t>
      </w:r>
      <w:r>
        <w:rPr>
          <w:rStyle w:val="FootnoteReference"/>
        </w:rPr>
        <w:footnoteReference w:id="19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إنّه لو شکّ فی کون الأمر للتکرار أو المرّة کان الحکم کما ذکرنا فی تردّد التکرار بین الزائد و الناقص.</w:t>
      </w:r>
    </w:p>
    <w:p>
      <w:pPr>
        <w:pStyle w:val="BookText"/>
      </w:pPr>
      <w:r>
        <w:rPr>
          <w:rFonts w:ascii="IRNazanin" w:hAnsi="IRNazanin" w:eastAsia="IRNazanin" w:cs="IRNazanin"/>
          <w:lang w:bidi="fa-IR"/>
          <w:color w:val="111111"/>
          <w:sz w:val="28"/>
          <w:szCs w:val="28"/>
          <w:rtl/>
        </w:rPr>
        <w:t xml:space="preserve">و کذا لو أمر المولی بفعل له استمرار فی الجملة-کالجلوس فی المسجد-و لم یعلم مقدار استمراره،فإنّ الشکّ بین الزائد و الناقص یرجع-مع فرض کون الزائد المشکوک واجبا مستقلا علی تقدیر وجوبه-إلی أصالة البراءة،و مع فرض کونه جزءا،یرجع إلی مسألة الشکّ فی الجزئیّة و عدمها،فإنّ </w:t>
      </w:r>
      <w:r>
        <w:rPr>
          <w:rStyle w:val="FootnoteReference"/>
        </w:rPr>
        <w:footnoteReference w:id="1949"/>
      </w:r>
      <w:r>
        <w:rPr>
          <w:rFonts w:ascii="IRNazanin" w:hAnsi="IRNazanin" w:eastAsia="IRNazanin" w:cs="IRNazanin"/>
          <w:lang w:bidi="fa-IR"/>
          <w:color w:val="111111"/>
          <w:sz w:val="28"/>
          <w:szCs w:val="28"/>
          <w:rtl/>
        </w:rPr>
        <w:t xml:space="preserve">فیها البراءة أو وجوب الاحتیاط </w:t>
      </w:r>
      <w:r>
        <w:rPr>
          <w:rStyle w:val="FootnoteReference"/>
        </w:rPr>
        <w:footnoteReference w:id="19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137]
</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قوله:«و توهّم:أنّ الأمر إذا کان للفور یکون من قبیل الموقّت المضیّق،اشتباه غیر خفیّ علی المتأمّل».</w:t>
      </w:r>
    </w:p>
    <w:p>
      <w:pPr>
        <w:pStyle w:val="BookText"/>
      </w:pPr>
      <w:r>
        <w:rPr>
          <w:rFonts w:ascii="IRNazanin" w:hAnsi="IRNazanin" w:eastAsia="IRNazanin" w:cs="IRNazanin"/>
          <w:lang w:bidi="fa-IR"/>
          <w:color w:val="111111"/>
          <w:sz w:val="28"/>
          <w:szCs w:val="28"/>
          <w:rtl/>
        </w:rPr>
        <w:t xml:space="preserve">الظاهر أنّه دفع اعتراض علی تسویته فی ثبوت الوجوب فی کلّ جزء من الوقت بنفس الأمر بین کونه للفور و عدمه،و لا دخل له بمطلبه و هو عدم جریان الاستصحاب فی الأمر الفوری؛لأنّ کونه من قبیل الموقّت المضیّق لا یوجب جریان الاستصحاب فیه؛لأنّ الفور المنزّل-عند المتوهّم-منزلة الموقّت المضیّق:</w:t>
      </w:r>
    </w:p>
    <w:p>
      <w:pPr>
        <w:pStyle w:val="BookText"/>
      </w:pPr>
      <w:r>
        <w:rPr>
          <w:rFonts w:ascii="IRNazanin" w:hAnsi="IRNazanin" w:eastAsia="IRNazanin" w:cs="IRNazanin"/>
          <w:lang w:bidi="fa-IR"/>
          <w:color w:val="111111"/>
          <w:sz w:val="28"/>
          <w:szCs w:val="28"/>
          <w:rtl/>
        </w:rPr>
        <w:t xml:space="preserve">إمّا أن یراد به المسارعة فی أوّل أزمنة الإمکان،و إن لم یسارع ففی ثانیها و هکذا.</w:t>
      </w:r>
    </w:p>
    <w:p>
      <w:pPr>
        <w:pStyle w:val="BookText"/>
      </w:pPr>
      <w:r>
        <w:rPr>
          <w:rFonts w:ascii="IRNazanin" w:hAnsi="IRNazanin" w:eastAsia="IRNazanin" w:cs="IRNazanin"/>
          <w:lang w:bidi="fa-IR"/>
          <w:color w:val="111111"/>
          <w:sz w:val="28"/>
          <w:szCs w:val="28"/>
          <w:rtl/>
        </w:rPr>
        <w:t xml:space="preserve">و إمّا أن یراد به خصوص الزمان الأوّل فإذا فات لم یثبت بالأمر وجوب الفعل فی الآن الثانی لا فورا و لا متراخیا.</w:t>
      </w:r>
    </w:p>
    <w:p>
      <w:pPr>
        <w:pStyle w:val="BookText"/>
      </w:pPr>
      <w:r>
        <w:rPr>
          <w:rFonts w:ascii="IRNazanin" w:hAnsi="IRNazanin" w:eastAsia="IRNazanin" w:cs="IRNazanin"/>
          <w:lang w:bidi="fa-IR"/>
          <w:color w:val="111111"/>
          <w:sz w:val="28"/>
          <w:szCs w:val="28"/>
          <w:rtl/>
        </w:rPr>
        <w:t xml:space="preserve">و إمّا أن یراد به ثبوته فی الآن الثانی </w:t>
      </w:r>
      <w:r>
        <w:rPr>
          <w:rStyle w:val="FootnoteReference"/>
        </w:rPr>
        <w:footnoteReference w:id="1951"/>
      </w:r>
      <w:r>
        <w:rPr>
          <w:rFonts w:ascii="IRNazanin" w:hAnsi="IRNazanin" w:eastAsia="IRNazanin" w:cs="IRNazanin"/>
          <w:lang w:bidi="fa-IR"/>
          <w:color w:val="111111"/>
          <w:sz w:val="28"/>
          <w:szCs w:val="28"/>
          <w:rtl/>
        </w:rPr>
        <w:t xml:space="preserve">متراخیا.</w:t>
      </w:r>
    </w:p>
    <w:p>
      <w:pPr>
        <w:pStyle w:val="BookText"/>
      </w:pPr>
      <w:r>
        <w:rPr>
          <w:rFonts w:ascii="Amiri" w:hAnsi="Amiri" w:eastAsia="Amiri" w:cs="Amiri"/>
          <w:lang w:bidi="ar-SA"/>
          <w:color w:val="111111"/>
          <w:sz w:val="28"/>
          <w:szCs w:val="28"/>
          <w:rtl/>
        </w:rPr>
        <w:t xml:space="preserve">و علی الأوّل،فهو فی کلّ </w:t>
      </w:r>
      <w:r>
        <w:rPr>
          <w:rStyle w:val="FootnoteReference"/>
        </w:rPr>
        <w:footnoteReference w:id="1952"/>
      </w:r>
      <w:r>
        <w:rPr>
          <w:rFonts w:ascii="IRNazanin" w:hAnsi="IRNazanin" w:eastAsia="IRNazanin" w:cs="IRNazanin"/>
          <w:lang w:bidi="fa-IR"/>
          <w:color w:val="111111"/>
          <w:sz w:val="28"/>
          <w:szCs w:val="28"/>
          <w:rtl/>
        </w:rPr>
        <w:t xml:space="preserve">جزء من الوقت من قبیل الموقّت المضیّق.</w:t>
      </w:r>
    </w:p>
    <w:p>
      <w:pPr>
        <w:pStyle w:val="BookText"/>
      </w:pPr>
      <w:r>
        <w:rPr>
          <w:rFonts w:ascii="IRNazanin" w:hAnsi="IRNazanin" w:eastAsia="IRNazanin" w:cs="IRNazanin"/>
          <w:lang w:bidi="fa-IR"/>
          <w:color w:val="111111"/>
          <w:sz w:val="28"/>
          <w:szCs w:val="28"/>
          <w:rtl/>
        </w:rPr>
        <w:t xml:space="preserve">و علی الثانی،فلا معنی للاستصحاب،بناء علی ما سیذکره؛من أنّ الاستصحاب لم یقل به أحد فیما بعد الوقت.</w:t>
      </w:r>
    </w:p>
    <w:p>
      <w:pPr>
        <w:pStyle w:val="BookText"/>
      </w:pPr>
      <w:r>
        <w:rPr>
          <w:rFonts w:ascii="IRNazanin" w:hAnsi="IRNazanin" w:eastAsia="IRNazanin" w:cs="IRNazanin"/>
          <w:lang w:bidi="fa-IR"/>
          <w:color w:val="111111"/>
          <w:sz w:val="28"/>
          <w:szCs w:val="28"/>
          <w:rtl/>
        </w:rPr>
        <w:t xml:space="preserve">و علی الثالث،یکون فی الوقت الأوّل کالمضیّق و فیما بعده کالأمر المطلق.</w:t>
      </w:r>
    </w:p>
    <w:p>
      <w:pPr>
        <w:pStyle w:val="BookText"/>
      </w:pPr>
      <w:r>
        <w:rPr>
          <w:rFonts w:ascii="IRNazanin" w:hAnsi="IRNazanin" w:eastAsia="IRNazanin" w:cs="IRNazanin"/>
          <w:lang w:bidi="fa-IR"/>
          <w:color w:val="111111"/>
          <w:sz w:val="28"/>
          <w:szCs w:val="28"/>
          <w:rtl/>
        </w:rPr>
        <w:t xml:space="preserve">و قد ذکر بعض شرّاح الوافیة </w:t>
      </w:r>
      <w:r>
        <w:rPr>
          <w:rStyle w:val="FootnoteReference"/>
        </w:rPr>
        <w:footnoteReference w:id="1953"/>
      </w:r>
      <w:r>
        <w:rPr>
          <w:rFonts w:ascii="Amiri" w:hAnsi="Amiri" w:eastAsia="Amiri" w:cs="Amiri"/>
          <w:lang w:bidi="ar-SA"/>
          <w:color w:val="111111"/>
          <w:sz w:val="28"/>
          <w:szCs w:val="28"/>
          <w:rtl/>
        </w:rPr>
        <w:t xml:space="preserve">:أنّ دفع هذا التوهّم لأجل</w:t>
      </w:r>
    </w:p>
    <w:p>
      <w:pPr>
        <w:pStyle w:val="BookText"/>
      </w:pPr>
      <w:r>
        <w:rPr>
          <w:rFonts w:ascii="IRNazanin" w:hAnsi="IRNazanin" w:eastAsia="IRNazanin" w:cs="IRNazanin"/>
          <w:lang w:bidi="fa-IR"/>
          <w:color w:val="111111"/>
          <w:sz w:val="28"/>
          <w:szCs w:val="28"/>
          <w:rtl/>
        </w:rPr>
        <w:t xml:space="preserve">[شماره صفحه واقعی : 138]
</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استلزامه الاحتیاج إلی الاستصحاب لإثبات الوجوب فی ما بعد الوقت الأوّل.</w:t>
      </w:r>
    </w:p>
    <w:p>
      <w:pPr>
        <w:pStyle w:val="BookText"/>
      </w:pPr>
      <w:r>
        <w:rPr>
          <w:rFonts w:ascii="IRNazanin" w:hAnsi="IRNazanin" w:eastAsia="IRNazanin" w:cs="IRNazanin"/>
          <w:lang w:bidi="fa-IR"/>
          <w:color w:val="111111"/>
          <w:sz w:val="28"/>
          <w:szCs w:val="28"/>
          <w:rtl/>
        </w:rPr>
        <w:t xml:space="preserve">و لم أعرف له وجها.</w:t>
      </w:r>
    </w:p>
    <w:p>
      <w:pPr>
        <w:pStyle w:val="BookText"/>
      </w:pPr>
      <w:r>
        <w:rPr>
          <w:rFonts w:ascii="IRNazanin" w:hAnsi="IRNazanin" w:eastAsia="IRNazanin" w:cs="IRNazanin"/>
          <w:lang w:bidi="fa-IR"/>
          <w:color w:val="111111"/>
          <w:sz w:val="28"/>
          <w:szCs w:val="28"/>
          <w:rtl/>
        </w:rPr>
        <w:t xml:space="preserve">قوله:«و کذا النهی».</w:t>
      </w:r>
    </w:p>
    <w:p>
      <w:pPr>
        <w:pStyle w:val="BookText"/>
      </w:pPr>
      <w:r>
        <w:rPr>
          <w:rFonts w:ascii="IRNazanin" w:hAnsi="IRNazanin" w:eastAsia="IRNazanin" w:cs="IRNazanin"/>
          <w:lang w:bidi="fa-IR"/>
          <w:color w:val="111111"/>
          <w:sz w:val="28"/>
          <w:szCs w:val="28"/>
          <w:rtl/>
        </w:rPr>
        <w:t xml:space="preserve">لا یخفی أنّه قدّس سرّه لم یستوف أقسام الأمر؛لأنّ منها ما یتردّد الأمر بین الموقّت بوقت فیرتفع الأمر بفواته،و بین المطلق الذی یجوز امتثاله بعد ذلک الوقت،کما إذا شککنا فی أنّ الأمر بالغسل فی یوم الجمعة مطلق-فیجوز الإتیان به فی کلّ جزء من النهار-أو موقّت إلی الزوال؟و کذا وجوب الفطرة بالنسبة إلی یوم العید،فإنّ الظاهر أنّه لا مانع من استصحاب الحکم التکلیفیّ هنا ابتداء.</w:t>
      </w:r>
    </w:p>
    <w:p>
      <w:pPr>
        <w:pStyle w:val="BookText"/>
      </w:pPr>
      <w:r>
        <w:rPr>
          <w:rFonts w:ascii="IRNazanin" w:hAnsi="IRNazanin" w:eastAsia="IRNazanin" w:cs="IRNazanin"/>
          <w:lang w:bidi="fa-IR"/>
          <w:color w:val="111111"/>
          <w:sz w:val="28"/>
          <w:szCs w:val="28"/>
          <w:rtl/>
        </w:rPr>
        <w:t xml:space="preserve">قوله:«بل هو أولی لأنّ مطلقه...الخ».</w:t>
      </w:r>
    </w:p>
    <w:p>
      <w:pPr>
        <w:pStyle w:val="BookText"/>
      </w:pPr>
      <w:r>
        <w:rPr>
          <w:rFonts w:ascii="IRNazanin" w:hAnsi="IRNazanin" w:eastAsia="IRNazanin" w:cs="IRNazanin"/>
          <w:lang w:bidi="fa-IR"/>
          <w:color w:val="111111"/>
          <w:sz w:val="28"/>
          <w:szCs w:val="28"/>
          <w:rtl/>
        </w:rPr>
        <w:t xml:space="preserve">کأنّه قدّس سرّه لم یلاحظ إلاّ الأوامر و النواهی اللفظیّة البیّنة المدلول، و إلاّ فإذا قام الإجماع أو دلیل لفظیّ مجمل علی حرمة شیء فی زمان و لم یعلم بقاؤها بعده-کحرمة الوطء للحائض المردّدة بین اختصاصها بأیّام رؤیة الدم فیرتفع بعد النقاء،و شمولها لزمان بقاء حدث الحیض فلا یرتفع إلاّ بالاغتسال،و کحرمة العصیر العنبیّ بعد ذهاب ثلثیه بغیر النار،و حلّیة عصیر الزبیب و التمر بعد غلیانهما،إلی غیر ذلک ممّا لا یحصی-فلا مانع فی ذلک کلّه من الاستصحاب.</w:t>
      </w:r>
    </w:p>
    <w:p>
      <w:pPr>
        <w:pStyle w:val="BookText"/>
      </w:pPr>
      <w:r>
        <w:rPr>
          <w:rFonts w:ascii="IRNazanin" w:hAnsi="IRNazanin" w:eastAsia="IRNazanin" w:cs="IRNazanin"/>
          <w:lang w:bidi="fa-IR"/>
          <w:color w:val="111111"/>
          <w:sz w:val="28"/>
          <w:szCs w:val="28"/>
          <w:rtl/>
        </w:rPr>
        <w:t xml:space="preserve">قوله:«فینبغی أن ینظر إلی کیفیّة سببیّة السبب هل هی علی الإطلاق...الخ».</w:t>
      </w:r>
    </w:p>
    <w:p>
      <w:pPr>
        <w:pStyle w:val="BookText"/>
      </w:pPr>
      <w:r>
        <w:rPr>
          <w:rFonts w:ascii="IRNazanin" w:hAnsi="IRNazanin" w:eastAsia="IRNazanin" w:cs="IRNazanin"/>
          <w:lang w:bidi="fa-IR"/>
          <w:color w:val="111111"/>
          <w:sz w:val="28"/>
          <w:szCs w:val="28"/>
          <w:rtl/>
        </w:rPr>
        <w:t xml:space="preserve">الظاهر أنّ مراده من سببیّة السبب تأثیره،لا کونه سببا فی الشرع و هو الحکم الوضعی؛لأنّ هذا لا ینقسم إلی ما ذکره من</w:t>
      </w:r>
    </w:p>
    <w:p>
      <w:pPr>
        <w:pStyle w:val="BookText"/>
      </w:pPr>
      <w:r>
        <w:rPr>
          <w:rFonts w:ascii="IRNazanin" w:hAnsi="IRNazanin" w:eastAsia="IRNazanin" w:cs="IRNazanin"/>
          <w:lang w:bidi="fa-IR"/>
          <w:color w:val="111111"/>
          <w:sz w:val="28"/>
          <w:szCs w:val="28"/>
          <w:rtl/>
        </w:rPr>
        <w:t xml:space="preserve">[شماره صفحه واقعی : 139]
</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الأقسام،لکونه دائمیّا فی جمیع الأسباب إلی أن ینسخ.</w:t>
      </w:r>
    </w:p>
    <w:p>
      <w:pPr>
        <w:pStyle w:val="BookText"/>
      </w:pPr>
      <w:r>
        <w:rPr>
          <w:rFonts w:ascii="IRNazanin" w:hAnsi="IRNazanin" w:eastAsia="IRNazanin" w:cs="IRNazanin"/>
          <w:lang w:bidi="fa-IR"/>
          <w:color w:val="111111"/>
          <w:sz w:val="28"/>
          <w:szCs w:val="28"/>
          <w:rtl/>
        </w:rPr>
        <w:t xml:space="preserve">فإن أراد من النظر فی کیفیّة سببیّة السبب تحصیل مورد یشکّ فی کیفیّة السببیّة لیکون موردا للاستصحاب فی المسبّب،فهو مناف لما ذکره:من عدم جریان الاستصحاب فی التکلیفیّات إلاّ تبعا </w:t>
      </w:r>
      <w:r>
        <w:rPr>
          <w:rStyle w:val="FootnoteReference"/>
        </w:rPr>
        <w:footnoteReference w:id="1954"/>
      </w:r>
      <w:r>
        <w:rPr>
          <w:rFonts w:ascii="Amiri" w:hAnsi="Amiri" w:eastAsia="Amiri" w:cs="Amiri"/>
          <w:lang w:bidi="ar-SA"/>
          <w:color w:val="111111"/>
          <w:sz w:val="28"/>
          <w:szCs w:val="28"/>
          <w:rtl/>
        </w:rPr>
        <w:t xml:space="preserve">للوضعیّات.</w:t>
      </w:r>
    </w:p>
    <w:p>
      <w:pPr>
        <w:pStyle w:val="BookText"/>
      </w:pPr>
      <w:r>
        <w:rPr>
          <w:rFonts w:ascii="IRNazanin" w:hAnsi="IRNazanin" w:eastAsia="IRNazanin" w:cs="IRNazanin"/>
          <w:lang w:bidi="fa-IR"/>
          <w:color w:val="111111"/>
          <w:sz w:val="28"/>
          <w:szCs w:val="28"/>
          <w:rtl/>
        </w:rPr>
        <w:t xml:space="preserve">و إن أراد من ذلک نفی مورد یشکّ فی کیفیّة سببیّة السبب لیجری الاستصحاب فی المسبّب </w:t>
      </w:r>
      <w:r>
        <w:rPr>
          <w:rStyle w:val="FootnoteReference"/>
        </w:rPr>
        <w:footnoteReference w:id="1955"/>
      </w:r>
      <w:r>
        <w:rPr>
          <w:rFonts w:ascii="IRNazanin" w:hAnsi="IRNazanin" w:eastAsia="IRNazanin" w:cs="IRNazanin"/>
          <w:lang w:bidi="fa-IR"/>
          <w:color w:val="111111"/>
          <w:sz w:val="28"/>
          <w:szCs w:val="28"/>
          <w:rtl/>
        </w:rPr>
        <w:t xml:space="preserve">،فأنت خبیر بأنّ موارد الشکّ کثیرة؛فإنّ السببیّة </w:t>
      </w:r>
      <w:r>
        <w:rPr>
          <w:rStyle w:val="FootnoteReference"/>
        </w:rPr>
        <w:footnoteReference w:id="1956"/>
      </w:r>
      <w:r>
        <w:rPr>
          <w:rFonts w:ascii="IRNazanin" w:hAnsi="IRNazanin" w:eastAsia="IRNazanin" w:cs="IRNazanin"/>
          <w:lang w:bidi="fa-IR"/>
          <w:color w:val="111111"/>
          <w:sz w:val="28"/>
          <w:szCs w:val="28"/>
          <w:rtl/>
        </w:rPr>
        <w:t xml:space="preserve">قد تتردّد بین الدائم و الموقّت-کالخیار المسبّب عن الغبن المتردّد بین کونه دائما لو لا المسقط و بین کونه فوریّا،و کالشفعة المردّدة بین کونه مستمرّا إلی الصبح لو علم به لیلا أم لا،و هکذا-و الموقّت قد یتردّد بین وقتین،کالکسوف الذی هو سبب لوجوب الصلاة المردّد وقتها بین الأخذ فی الانجلاء و تمامه.</w:t>
      </w:r>
    </w:p>
    <w:p>
      <w:pPr>
        <w:pStyle w:val="BookText"/>
      </w:pPr>
      <w:r>
        <w:rPr>
          <w:rFonts w:ascii="IRNazanin" w:hAnsi="IRNazanin" w:eastAsia="IRNazanin" w:cs="IRNazanin"/>
          <w:lang w:bidi="fa-IR"/>
          <w:color w:val="111111"/>
          <w:sz w:val="28"/>
          <w:szCs w:val="28"/>
          <w:rtl/>
        </w:rPr>
        <w:t xml:space="preserve">قوله:«و کذا الکلام فی الشرط و المانع...الخ».</w:t>
      </w:r>
    </w:p>
    <w:p>
      <w:pPr>
        <w:pStyle w:val="BookText"/>
      </w:pPr>
      <w:r>
        <w:rPr>
          <w:rFonts w:ascii="IRNazanin" w:hAnsi="IRNazanin" w:eastAsia="IRNazanin" w:cs="IRNazanin"/>
          <w:lang w:bidi="fa-IR"/>
          <w:color w:val="111111"/>
          <w:sz w:val="28"/>
          <w:szCs w:val="28"/>
          <w:rtl/>
        </w:rPr>
        <w:t xml:space="preserve">لم أعرف المراد من إلحاق الشرط و المانع بالسبب؛فإنّ شیئا من الأقسام المذکورة للسبب لا یجری فی </w:t>
      </w:r>
      <w:r>
        <w:rPr>
          <w:rStyle w:val="FootnoteReference"/>
        </w:rPr>
        <w:footnoteReference w:id="1957"/>
      </w:r>
      <w:r>
        <w:rPr>
          <w:rFonts w:ascii="IRNazanin" w:hAnsi="IRNazanin" w:eastAsia="IRNazanin" w:cs="IRNazanin"/>
          <w:lang w:bidi="fa-IR"/>
          <w:color w:val="111111"/>
          <w:sz w:val="28"/>
          <w:szCs w:val="28"/>
          <w:rtl/>
        </w:rPr>
        <w:t xml:space="preserve">المانع و إن جری کلّها أو بعضها فی المانع إن لوحظ کونه سببا للعدم؛لکنّ المانع بهذا الاعتبار یدخل فی السبب،و کذا عدم الشرط إذا لوحظ کونه سببا لعدم الحکم.</w:t>
      </w:r>
    </w:p>
    <w:p>
      <w:pPr>
        <w:pStyle w:val="BookText"/>
      </w:pPr>
      <w:r>
        <w:rPr>
          <w:rFonts w:ascii="IRNazanin" w:hAnsi="IRNazanin" w:eastAsia="IRNazanin" w:cs="IRNazanin"/>
          <w:lang w:bidi="fa-IR"/>
          <w:color w:val="111111"/>
          <w:sz w:val="28"/>
          <w:szCs w:val="28"/>
          <w:rtl/>
        </w:rPr>
        <w:t xml:space="preserve">و کذا ما ذکره فی وجه عدم جریان الاستصحاب بقوله:«فإنّ</w:t>
      </w:r>
    </w:p>
    <w:p>
      <w:pPr>
        <w:pStyle w:val="BookText"/>
      </w:pPr>
      <w:r>
        <w:rPr>
          <w:rFonts w:ascii="IRNazanin" w:hAnsi="IRNazanin" w:eastAsia="IRNazanin" w:cs="IRNazanin"/>
          <w:lang w:bidi="fa-IR"/>
          <w:color w:val="111111"/>
          <w:sz w:val="28"/>
          <w:szCs w:val="28"/>
          <w:rtl/>
        </w:rPr>
        <w:t xml:space="preserve">[شماره صفحه واقعی : 140]
</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ثبوت الحکم...الخ» </w:t>
      </w:r>
      <w:r>
        <w:rPr>
          <w:rStyle w:val="FootnoteReference"/>
        </w:rPr>
        <w:footnoteReference w:id="19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w:t>
      </w:r>
      <w:r>
        <w:rPr>
          <w:rStyle w:val="FootnoteReference"/>
        </w:rPr>
        <w:footnoteReference w:id="1959"/>
      </w:r>
      <w:r>
        <w:rPr>
          <w:rFonts w:ascii="IRNazanin" w:hAnsi="IRNazanin" w:eastAsia="IRNazanin" w:cs="IRNazanin"/>
          <w:lang w:bidi="fa-IR"/>
          <w:color w:val="111111"/>
          <w:sz w:val="28"/>
          <w:szCs w:val="28"/>
          <w:rtl/>
        </w:rPr>
        <w:t xml:space="preserve">الحاصل من النظر فی کیفیّة شرطیّة الشرط أنّه:</w:t>
      </w:r>
    </w:p>
    <w:p>
      <w:pPr>
        <w:pStyle w:val="BookText"/>
      </w:pPr>
      <w:r>
        <w:rPr>
          <w:rFonts w:ascii="IRNazanin" w:hAnsi="IRNazanin" w:eastAsia="IRNazanin" w:cs="IRNazanin"/>
          <w:lang w:bidi="fa-IR"/>
          <w:color w:val="111111"/>
          <w:sz w:val="28"/>
          <w:szCs w:val="28"/>
          <w:rtl/>
        </w:rPr>
        <w:t xml:space="preserve">قد یکون نفس الشیء شرطا لشیء علی الإطلاق،کالطهارة من الحدث الأصغر للمسّ،و من الأکبر للمکث فی المساجد،و من الحیض للوطء و وجوب العبادة.</w:t>
      </w:r>
    </w:p>
    <w:p>
      <w:pPr>
        <w:pStyle w:val="BookText"/>
      </w:pPr>
      <w:r>
        <w:rPr>
          <w:rFonts w:ascii="IRNazanin" w:hAnsi="IRNazanin" w:eastAsia="IRNazanin" w:cs="IRNazanin"/>
          <w:lang w:bidi="fa-IR"/>
          <w:color w:val="111111"/>
          <w:sz w:val="28"/>
          <w:szCs w:val="28"/>
          <w:rtl/>
        </w:rPr>
        <w:t xml:space="preserve">و قد یکون شرطا فی حال دون حال،کاشتراط الطهارة من الخبث فی الصلاة مع التمکّن،لا مع عدمه.</w:t>
      </w:r>
    </w:p>
    <w:p>
      <w:pPr>
        <w:pStyle w:val="BookText"/>
      </w:pPr>
      <w:r>
        <w:rPr>
          <w:rFonts w:ascii="IRNazanin" w:hAnsi="IRNazanin" w:eastAsia="IRNazanin" w:cs="IRNazanin"/>
          <w:lang w:bidi="fa-IR"/>
          <w:color w:val="111111"/>
          <w:sz w:val="28"/>
          <w:szCs w:val="28"/>
          <w:rtl/>
        </w:rPr>
        <w:t xml:space="preserve">و قد یکون حدوثه فی زمان ما شرطا للشیء فیبقی المشروط و لو بعد ارتفاع الشرط،کالاستطاعة للحجّ.</w:t>
      </w:r>
    </w:p>
    <w:p>
      <w:pPr>
        <w:pStyle w:val="BookText"/>
      </w:pPr>
      <w:r>
        <w:rPr>
          <w:rFonts w:ascii="IRNazanin" w:hAnsi="IRNazanin" w:eastAsia="IRNazanin" w:cs="IRNazanin"/>
          <w:lang w:bidi="fa-IR"/>
          <w:color w:val="111111"/>
          <w:sz w:val="28"/>
          <w:szCs w:val="28"/>
          <w:rtl/>
        </w:rPr>
        <w:t xml:space="preserve">و قد یکون تأثیر الشرط بالنسبة إلی فعل دون آخر،کالوضوء العذریّ المؤثّر فیما یؤتی به حال العذر.</w:t>
      </w:r>
    </w:p>
    <w:p>
      <w:pPr>
        <w:pStyle w:val="BookText"/>
      </w:pPr>
      <w:r>
        <w:rPr>
          <w:rFonts w:ascii="IRNazanin" w:hAnsi="IRNazanin" w:eastAsia="IRNazanin" w:cs="IRNazanin"/>
          <w:lang w:bidi="fa-IR"/>
          <w:color w:val="111111"/>
          <w:sz w:val="28"/>
          <w:szCs w:val="28"/>
          <w:rtl/>
        </w:rPr>
        <w:t xml:space="preserve">فإذا شککنا فی مسألة الحجّ فی بقاء وجوبه بعد ارتفاع الاستطاعة، فلا مانع من استصحابه.</w:t>
      </w:r>
    </w:p>
    <w:p>
      <w:pPr>
        <w:pStyle w:val="BookText"/>
      </w:pPr>
      <w:r>
        <w:rPr>
          <w:rFonts w:ascii="IRNazanin" w:hAnsi="IRNazanin" w:eastAsia="IRNazanin" w:cs="IRNazanin"/>
          <w:lang w:bidi="fa-IR"/>
          <w:color w:val="111111"/>
          <w:sz w:val="28"/>
          <w:szCs w:val="28"/>
          <w:rtl/>
        </w:rPr>
        <w:t xml:space="preserve">و کذا لو شککنا فی اختصاص الاشتراط بحال التمکّن من الشرط -کما إذا ارتفع التمکّن من إزالة النجاسة فی أثناء الوقت-فإنّه لا مانع من استصحاب الوجوب.</w:t>
      </w:r>
    </w:p>
    <w:p>
      <w:pPr>
        <w:pStyle w:val="BookText"/>
      </w:pPr>
      <w:r>
        <w:rPr>
          <w:rFonts w:ascii="IRNazanin" w:hAnsi="IRNazanin" w:eastAsia="IRNazanin" w:cs="IRNazanin"/>
          <w:lang w:bidi="fa-IR"/>
          <w:color w:val="111111"/>
          <w:sz w:val="28"/>
          <w:szCs w:val="28"/>
          <w:rtl/>
        </w:rPr>
        <w:t xml:space="preserve">و کذا لو شککنا فی أنّ الشرط فی إباحة الوطء الطهارة بمعنی النقاء من الحیض أو ارتفاع حدث الحیض.</w:t>
      </w:r>
    </w:p>
    <w:p>
      <w:pPr>
        <w:pStyle w:val="BookText"/>
      </w:pPr>
      <w:r>
        <w:rPr>
          <w:rFonts w:ascii="IRNazanin" w:hAnsi="IRNazanin" w:eastAsia="IRNazanin" w:cs="IRNazanin"/>
          <w:lang w:bidi="fa-IR"/>
          <w:color w:val="111111"/>
          <w:sz w:val="28"/>
          <w:szCs w:val="28"/>
          <w:rtl/>
        </w:rPr>
        <w:t xml:space="preserve">و کذا لو شککنا فی بقاء إباحة الصلاة أو المسّ بعد الوضوء</w:t>
      </w:r>
    </w:p>
    <w:p>
      <w:pPr>
        <w:pStyle w:val="BookText"/>
      </w:pPr>
      <w:r>
        <w:rPr>
          <w:rFonts w:ascii="IRNazanin" w:hAnsi="IRNazanin" w:eastAsia="IRNazanin" w:cs="IRNazanin"/>
          <w:lang w:bidi="fa-IR"/>
          <w:color w:val="111111"/>
          <w:sz w:val="28"/>
          <w:szCs w:val="28"/>
          <w:rtl/>
        </w:rPr>
        <w:t xml:space="preserve">[شماره صفحه واقعی : 141]
</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العذریّ إذا کان الفعل المشروط به بعد زوال العذر </w:t>
      </w:r>
      <w:r>
        <w:rPr>
          <w:rStyle w:val="FootnoteReference"/>
        </w:rPr>
        <w:footnoteReference w:id="19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بالجملة:فلا أجد کیفیّة شرطیة الشرط مانعة عن جریان الاستصحاب فی المشروط،بل قد یوجب إجراءه فیه.</w:t>
      </w:r>
    </w:p>
    <w:p>
      <w:pPr>
        <w:pStyle w:val="BookText"/>
      </w:pPr>
      <w:r>
        <w:rPr>
          <w:rFonts w:ascii="IRNazanin" w:hAnsi="IRNazanin" w:eastAsia="IRNazanin" w:cs="IRNazanin"/>
          <w:lang w:bidi="fa-IR"/>
          <w:color w:val="111111"/>
          <w:sz w:val="28"/>
          <w:szCs w:val="28"/>
          <w:rtl/>
        </w:rPr>
        <w:t xml:space="preserve">قوله:«فظهر ممّا ذکرنا أنّ الاستصحاب المختلف فیه لا یجری إلاّ فی الأحکام الوضعیّة،أعنی:الأسباب و الشروط و الموانع».</w:t>
      </w:r>
    </w:p>
    <w:p>
      <w:pPr>
        <w:pStyle w:val="BookText"/>
      </w:pPr>
      <w:r>
        <w:rPr>
          <w:rFonts w:ascii="IRNazanin" w:hAnsi="IRNazanin" w:eastAsia="IRNazanin" w:cs="IRNazanin"/>
          <w:lang w:bidi="fa-IR"/>
          <w:color w:val="111111"/>
          <w:sz w:val="28"/>
          <w:szCs w:val="28"/>
          <w:rtl/>
        </w:rPr>
        <w:t xml:space="preserve">لا یخفی ما فی هذا التفریع؛فإنّه لم یظهر من کلامه جریان الاستصحاب فی الأحکام الوضعیّة بمعنی نفس الأسباب و الشروط و الموانع،و لا عدمه فیها بالمعنی المعروف.نعم،علم من کلامه عدم الجریان فی المسبّبات أیضا؛لزعمه انحصارها فی المؤبّد و الموقّت بوقت محدود معلوم.</w:t>
      </w:r>
    </w:p>
    <w:p>
      <w:pPr>
        <w:pStyle w:val="BookText"/>
      </w:pPr>
      <w:r>
        <w:rPr>
          <w:rFonts w:ascii="IRNazanin" w:hAnsi="IRNazanin" w:eastAsia="IRNazanin" w:cs="IRNazanin"/>
          <w:lang w:bidi="fa-IR"/>
          <w:color w:val="111111"/>
          <w:sz w:val="28"/>
          <w:szCs w:val="28"/>
          <w:rtl/>
        </w:rPr>
        <w:t xml:space="preserve">فبقی أمران:أحدهما:نفس الحکم الوضعیّ،و هو جعل الشیء سببا لشیء أو شرطا.و اللازم عدم جریان الاستصحاب فیها؛لعین ما ذکره فی الأحکام التکلیفیّة.</w:t>
      </w:r>
    </w:p>
    <w:p>
      <w:pPr>
        <w:pStyle w:val="BookText"/>
      </w:pPr>
      <w:r>
        <w:rPr>
          <w:rFonts w:ascii="IRNazanin" w:hAnsi="IRNazanin" w:eastAsia="IRNazanin" w:cs="IRNazanin"/>
          <w:lang w:bidi="fa-IR"/>
          <w:color w:val="111111"/>
          <w:sz w:val="28"/>
          <w:szCs w:val="28"/>
          <w:rtl/>
        </w:rPr>
        <w:t xml:space="preserve">و الثانی:نفس الأسباب و الشروط.</w:t>
      </w:r>
    </w:p>
    <w:p>
      <w:pPr>
        <w:pStyle w:val="BookText"/>
      </w:pPr>
      <w:r>
        <w:rPr>
          <w:rFonts w:ascii="IRNazanin" w:hAnsi="IRNazanin" w:eastAsia="IRNazanin" w:cs="IRNazanin"/>
          <w:lang w:bidi="fa-IR"/>
          <w:color w:val="111111"/>
          <w:sz w:val="28"/>
          <w:szCs w:val="28"/>
          <w:rtl/>
        </w:rPr>
        <w:t xml:space="preserve">و یرد علیه:أنّ نفس السبب و الشرط و المانع إن کان أمرا غیر شرعیّ،فظاهر کلامه-حیث جعل محلّ الکلام فی الاستصحاب المختلف فیه هی الامور الشرعیّة-خروج مثل هذا عنه،کحیاة زید و رطوبة ثوبه.و إن کان أمرا شرعیّا-کالطهارة و النجاسة-فلا یخفی أنّ هذه الامور الشرعیّة مسبّبة عن أسباب،فإنّ النجاسة التی مثّل بها فی الماء</w:t>
      </w:r>
    </w:p>
    <w:p>
      <w:pPr>
        <w:pStyle w:val="BookText"/>
      </w:pPr>
      <w:r>
        <w:rPr>
          <w:rFonts w:ascii="IRNazanin" w:hAnsi="IRNazanin" w:eastAsia="IRNazanin" w:cs="IRNazanin"/>
          <w:lang w:bidi="fa-IR"/>
          <w:color w:val="111111"/>
          <w:sz w:val="28"/>
          <w:szCs w:val="28"/>
          <w:rtl/>
        </w:rPr>
        <w:t xml:space="preserve">[شماره صفحه واقعی : 142]
</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المتغیّر مسبّبة عن التغیّر،و الطهارة التی مثّل بها فی مسألة المتیمّم مسبّبة عن التیمّم؛فالشکّ فی بقائهما </w:t>
      </w:r>
      <w:r>
        <w:rPr>
          <w:rStyle w:val="FootnoteReference"/>
        </w:rPr>
        <w:footnoteReference w:id="1961"/>
      </w:r>
      <w:r>
        <w:rPr>
          <w:rFonts w:ascii="IRNazanin" w:hAnsi="IRNazanin" w:eastAsia="IRNazanin" w:cs="IRNazanin"/>
          <w:lang w:bidi="fa-IR"/>
          <w:color w:val="111111"/>
          <w:sz w:val="28"/>
          <w:szCs w:val="28"/>
          <w:rtl/>
        </w:rPr>
        <w:t xml:space="preserve">لا یکون إلاّ للشکّ فی کیفیّة سببیّة السبب الموجب لإجراء الاستصحاب فی المسبّب-أعنی النجاسة و الطهارة-،و قد سبق منه المنع عن جریان الاستصحاب فی المسبّب.</w:t>
      </w:r>
    </w:p>
    <w:p>
      <w:pPr>
        <w:pStyle w:val="BookText"/>
      </w:pPr>
      <w:r>
        <w:rPr>
          <w:rFonts w:ascii="IRNazanin" w:hAnsi="IRNazanin" w:eastAsia="IRNazanin" w:cs="IRNazanin"/>
          <w:lang w:bidi="fa-IR"/>
          <w:color w:val="111111"/>
          <w:sz w:val="28"/>
          <w:szCs w:val="28"/>
          <w:rtl/>
        </w:rPr>
        <w:t xml:space="preserve">و دعوی:أنّ الممنوع فی کلامه جریان الاستصحاب فی الحکم التکلیفیّ المسبّب عن الأسباب إلاّ تبعا لجریانه فی نفس الأسباب.</w:t>
      </w:r>
    </w:p>
    <w:p>
      <w:pPr>
        <w:pStyle w:val="BookText"/>
      </w:pPr>
      <w:r>
        <w:rPr>
          <w:rFonts w:ascii="IRNazanin" w:hAnsi="IRNazanin" w:eastAsia="IRNazanin" w:cs="IRNazanin"/>
          <w:lang w:bidi="fa-IR"/>
          <w:color w:val="111111"/>
          <w:sz w:val="28"/>
          <w:szCs w:val="28"/>
          <w:rtl/>
        </w:rPr>
        <w:t xml:space="preserve">مدفوعة:بأنّ النجاسة-کما حکاه المفصّل عن الشهید </w:t>
      </w:r>
      <w:r>
        <w:rPr>
          <w:rStyle w:val="FootnoteReference"/>
        </w:rPr>
        <w:footnoteReference w:id="1962"/>
      </w:r>
      <w:r>
        <w:rPr>
          <w:rFonts w:ascii="IRNazanin" w:hAnsi="IRNazanin" w:eastAsia="IRNazanin" w:cs="IRNazanin"/>
          <w:lang w:bidi="fa-IR"/>
          <w:color w:val="111111"/>
          <w:sz w:val="28"/>
          <w:szCs w:val="28"/>
          <w:rtl/>
        </w:rPr>
        <w:t xml:space="preserve">-لیست إلاّ عبارة عن وجوب الاجتناب،و الطهر الحاصل من التیمّم لیس إلاّ إباحة الدخول فی الصلاة المستلزمة لوجوب المضیّ فیها بعد الدخول، فهما اعتباران </w:t>
      </w:r>
      <w:r>
        <w:rPr>
          <w:rStyle w:val="FootnoteReference"/>
        </w:rPr>
        <w:footnoteReference w:id="1963"/>
      </w:r>
      <w:r>
        <w:rPr>
          <w:rFonts w:ascii="IRNazanin" w:hAnsi="IRNazanin" w:eastAsia="IRNazanin" w:cs="IRNazanin"/>
          <w:lang w:bidi="fa-IR"/>
          <w:color w:val="111111"/>
          <w:sz w:val="28"/>
          <w:szCs w:val="28"/>
          <w:rtl/>
        </w:rPr>
        <w:t xml:space="preserve">منتزعان من الحکم التکلیفیّ.</w:t>
      </w:r>
    </w:p>
    <w:p>
      <w:pPr>
        <w:pStyle w:val="BookText"/>
      </w:pPr>
      <w:r>
        <w:rPr>
          <w:rFonts w:ascii="IRNazanin" w:hAnsi="IRNazanin" w:eastAsia="IRNazanin" w:cs="IRNazanin"/>
          <w:lang w:bidi="fa-IR"/>
          <w:color w:val="111111"/>
          <w:sz w:val="28"/>
          <w:szCs w:val="28"/>
          <w:rtl/>
        </w:rPr>
        <w:t xml:space="preserve">قوله:«و وقوعه فی الأحکام الخمسة إنّما هو بتبعیّتها...الخ».</w:t>
      </w:r>
    </w:p>
    <w:p>
      <w:pPr>
        <w:pStyle w:val="BookText"/>
      </w:pPr>
      <w:r>
        <w:rPr>
          <w:rFonts w:ascii="IRNazanin" w:hAnsi="IRNazanin" w:eastAsia="IRNazanin" w:cs="IRNazanin"/>
          <w:lang w:bidi="fa-IR"/>
          <w:color w:val="111111"/>
          <w:sz w:val="28"/>
          <w:szCs w:val="28"/>
          <w:rtl/>
        </w:rPr>
        <w:t xml:space="preserve">قد عرفت و ستعرف </w:t>
      </w:r>
      <w:r>
        <w:rPr>
          <w:rStyle w:val="FootnoteReference"/>
        </w:rPr>
        <w:footnoteReference w:id="1964"/>
      </w:r>
      <w:r>
        <w:rPr>
          <w:rFonts w:ascii="IRNazanin" w:hAnsi="IRNazanin" w:eastAsia="IRNazanin" w:cs="IRNazanin"/>
          <w:lang w:bidi="fa-IR"/>
          <w:color w:val="111111"/>
          <w:sz w:val="28"/>
          <w:szCs w:val="28"/>
          <w:rtl/>
        </w:rPr>
        <w:t xml:space="preserve">أیضا:أنّه لا خفاء فی أنّ استصحاب النجاسة لا یعقل له معنی إلاّ ترتیب أثرها-أعنی وجوب الاجتناب فی الصلاة و الأکل و الشرب-،فلیس هنا استصحاب للحکم التکلیفیّ، لا ابتداء و لا تبعا،و هذا کاستصحاب حیاة زید؛فإنّ حقیقة ذلک هو الحکم بتحریم عقد زوجته و التصرّف فی ماله،و لیس هذا استصحابا لهذا التحریم.</w:t>
      </w:r>
    </w:p>
    <w:p>
      <w:pPr>
        <w:pStyle w:val="BookText"/>
      </w:pPr>
      <w:r>
        <w:rPr>
          <w:rFonts w:ascii="IRNazanin" w:hAnsi="IRNazanin" w:eastAsia="IRNazanin" w:cs="IRNazanin"/>
          <w:lang w:bidi="fa-IR"/>
          <w:color w:val="111111"/>
          <w:sz w:val="28"/>
          <w:szCs w:val="28"/>
          <w:rtl/>
        </w:rPr>
        <w:t xml:space="preserve">[شماره صفحه واقعی : 143]
</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 </w:t>
      </w:r>
      <w:r>
        <w:rPr>
          <w:rStyle w:val="FootnoteReference"/>
        </w:rPr>
        <w:footnoteReference w:id="1965"/>
      </w:r>
      <w:r>
        <w:rPr>
          <w:rFonts w:ascii="IRNazanin" w:hAnsi="IRNazanin" w:eastAsia="IRNazanin" w:cs="IRNazanin"/>
          <w:lang w:bidi="fa-IR"/>
          <w:color w:val="111111"/>
          <w:sz w:val="28"/>
          <w:szCs w:val="28"/>
          <w:rtl/>
        </w:rPr>
        <w:t xml:space="preserve">التحقیق-کما سیجیء </w:t>
      </w:r>
      <w:r>
        <w:rPr>
          <w:rStyle w:val="FootnoteReference"/>
        </w:rPr>
        <w:footnoteReference w:id="1966"/>
      </w:r>
      <w:r>
        <w:rPr>
          <w:rFonts w:ascii="IRNazanin" w:hAnsi="IRNazanin" w:eastAsia="IRNazanin" w:cs="IRNazanin"/>
          <w:lang w:bidi="fa-IR"/>
          <w:color w:val="111111"/>
          <w:sz w:val="28"/>
          <w:szCs w:val="28"/>
          <w:rtl/>
        </w:rPr>
        <w:t xml:space="preserve">-:عدم جواز إجراء الاستصحاب فی الأحکام التی تستصحب موضوعاتها؛لأنّ استصحاب وجوب الاجتناب-مثلا-إن کان بملاحظة استصحاب النجاسة فقد عرفت أنّه لا یبقی بهذه الملاحظة شکّ فی وجوب الاجتناب؛لما عرفت </w:t>
      </w:r>
      <w:r>
        <w:rPr>
          <w:rStyle w:val="FootnoteReference"/>
        </w:rPr>
        <w:footnoteReference w:id="1967"/>
      </w:r>
      <w:r>
        <w:rPr>
          <w:rFonts w:ascii="IRNazanin" w:hAnsi="IRNazanin" w:eastAsia="IRNazanin" w:cs="IRNazanin"/>
          <w:lang w:bidi="fa-IR"/>
          <w:color w:val="111111"/>
          <w:sz w:val="28"/>
          <w:szCs w:val="28"/>
          <w:rtl/>
        </w:rPr>
        <w:t xml:space="preserve">:من أنّ حقیقة حکم الشارع باستصحاب النجاسة هو حکمه بوجوب الاجتناب حتّی یحصل الیقین بالطهارة.و إن کان مع قطع النظر عن استصحابها فلا یجوز الاستصحاب؛فإنّ وجوب الاجتناب سابقا عن الماء المذکور إنّما کان من حیث کونه نجسا؛لأنّ النجس هو الموضوع لوجوب الاجتناب، فما لم یحرز الموضوع فی حال الشکّ لم یجر الاستصحاب،کما سیجیء </w:t>
      </w:r>
      <w:r>
        <w:rPr>
          <w:rStyle w:val="FootnoteReference"/>
        </w:rPr>
        <w:footnoteReference w:id="1968"/>
      </w:r>
      <w:r>
        <w:rPr>
          <w:rFonts w:ascii="IRNazanin" w:hAnsi="IRNazanin" w:eastAsia="IRNazanin" w:cs="IRNazanin"/>
          <w:lang w:bidi="fa-IR"/>
          <w:color w:val="111111"/>
          <w:sz w:val="28"/>
          <w:szCs w:val="28"/>
          <w:rtl/>
        </w:rPr>
        <w:t xml:space="preserve">فی مسألة اشتراط القطع ببقاء الموضوع فی الاستصحاب </w:t>
      </w:r>
      <w:r>
        <w:rPr>
          <w:rStyle w:val="FootnoteReference"/>
        </w:rPr>
        <w:footnoteReference w:id="19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144]
</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bookmarkStart w:id="408" w:name="pg14411_143038"/>
    <w:bookmarkEnd w:id="408"/>
    <w:p>
      <w:pPr>
        <w:pStyle w:val="Heading6"/>
      </w:pPr>
      <w:bookmarkStart w:id="1834" w:name="_Toc869"/>
      <w:r>
        <w:t>[شبهة اخری فی منع جریان الاستصحاب فی الأحکام التکلیفیّة:]</w:t>
      </w:r>
      <w:bookmarkEnd w:id="1834"/>
    </w:p>
    <w:p>
      <w:pPr>
        <w:pStyle w:val="Heading6"/>
      </w:pPr>
      <w:bookmarkStart w:id="1835" w:name="_Toc870"/>
      <w:r>
        <w:t>اشارة</w:t>
      </w:r>
      <w:bookmarkEnd w:id="1835"/>
    </w:p>
    <w:p>
      <w:pPr>
        <w:pStyle w:val="BookText"/>
      </w:pPr>
      <w:r>
        <w:rPr>
          <w:rFonts w:ascii="IRNazanin" w:hAnsi="IRNazanin" w:eastAsia="IRNazanin" w:cs="IRNazanin"/>
          <w:lang w:bidi="fa-IR"/>
          <w:color w:val="111111"/>
          <w:sz w:val="28"/>
          <w:szCs w:val="28"/>
          <w:rtl/>
        </w:rPr>
        <w:t xml:space="preserve">ثمّ اعلم:أنّه بقی هنا شبهة اخری فی منع جریان الاستصحاب فی الأحکام التکلیفیّة مطلقا،و هی:أنّ الموضوع للحکم التکلیفیّ لیس إلاّ فعل المکلّف،و لا ریب أنّ الشارع-بل کلّ حاکم-إنّما یلاحظ الموضوع بجمیع مشخّصاته التی لها دخل فی ذلک الحکم ثمّ یحکم علیه.</w:t>
      </w:r>
    </w:p>
    <w:p>
      <w:pPr>
        <w:pStyle w:val="BookText"/>
      </w:pPr>
      <w:r>
        <w:rPr>
          <w:rFonts w:ascii="IRNazanin" w:hAnsi="IRNazanin" w:eastAsia="IRNazanin" w:cs="IRNazanin"/>
          <w:lang w:bidi="fa-IR"/>
          <w:color w:val="111111"/>
          <w:sz w:val="28"/>
          <w:szCs w:val="28"/>
          <w:rtl/>
        </w:rPr>
        <w:t xml:space="preserve">و حینئذ،فإذا أمر الشارع بفعل-کالجلوس فی المسجد مثلا-فإن کان الموضوع فیه هو مطلق الجلوس فیه الغیر المقیّد بشیء أصلا، فلا إشکال فی عدم ارتفاع وجوبه إلاّ بالإتیان به؛إذ لو ارتفع الوجوب بغیره کان ذلک الرافع من قیود الفعل،و کان الفعل المطلوب مقیّدا بعدم هذا القید من أوّل الأمر،و المفروض خلافه.</w:t>
      </w:r>
    </w:p>
    <w:p>
      <w:pPr>
        <w:pStyle w:val="BookText"/>
      </w:pPr>
      <w:r>
        <w:rPr>
          <w:rFonts w:ascii="IRNazanin" w:hAnsi="IRNazanin" w:eastAsia="IRNazanin" w:cs="IRNazanin"/>
          <w:lang w:bidi="fa-IR"/>
          <w:color w:val="111111"/>
          <w:sz w:val="28"/>
          <w:szCs w:val="28"/>
          <w:rtl/>
        </w:rPr>
        <w:t xml:space="preserve">و إن کان الموضوع فیه هو الجلوس المقیّد بقید،کان عدم ذلک القید موجبا لانعدام الموضوع،فعدم مطلوبیّته لیس بارتفاع الطلب عنه، بل لم یکن مطلوبا من أوّل الأمر.</w:t>
      </w:r>
    </w:p>
    <w:p>
      <w:pPr>
        <w:pStyle w:val="BookText"/>
      </w:pPr>
      <w:r>
        <w:rPr>
          <w:rFonts w:ascii="IRNazanin" w:hAnsi="IRNazanin" w:eastAsia="IRNazanin" w:cs="IRNazanin"/>
          <w:lang w:bidi="fa-IR"/>
          <w:color w:val="111111"/>
          <w:sz w:val="28"/>
          <w:szCs w:val="28"/>
          <w:rtl/>
        </w:rPr>
        <w:t xml:space="preserve">و حینئذ فإذا شکّ فی الزمان المتأخّر فی وجوب الجلوس،یرجع الشکّ إلی الشکّ فی کون الموضوع للوجوب هو الفعل المقیّد،أو الفعل المعرّی عن هذا القید.</w:t>
      </w:r>
    </w:p>
    <w:p>
      <w:pPr>
        <w:pStyle w:val="BookText"/>
      </w:pPr>
      <w:r>
        <w:rPr>
          <w:rFonts w:ascii="IRNazanin" w:hAnsi="IRNazanin" w:eastAsia="IRNazanin" w:cs="IRNazanin"/>
          <w:lang w:bidi="fa-IR"/>
          <w:color w:val="111111"/>
          <w:sz w:val="28"/>
          <w:szCs w:val="28"/>
          <w:rtl/>
        </w:rPr>
        <w:t xml:space="preserve">و من المعلوم عدم جریان الاستصحاب هنا؛لأنّ معناه إثبات حکم کان متیقّنا لموضوع معیّن عند الشکّ فی ارتفاعه عن ذلک الموضوع،و هذا غیر متحقّق فیما نحن فیه.</w:t>
      </w:r>
    </w:p>
    <w:p>
      <w:pPr>
        <w:pStyle w:val="BookText"/>
      </w:pPr>
      <w:r>
        <w:rPr>
          <w:rFonts w:ascii="IRNazanin" w:hAnsi="IRNazanin" w:eastAsia="IRNazanin" w:cs="IRNazanin"/>
          <w:lang w:bidi="fa-IR"/>
          <w:color w:val="111111"/>
          <w:sz w:val="28"/>
          <w:szCs w:val="28"/>
          <w:rtl/>
        </w:rPr>
        <w:t xml:space="preserve">و کذا الکلام فی غیر الوجوب من الأحکام الأربعة الأخر؛ لاشتراک الجمیع فی کون الموضوع لها هو فعل المکلّف الملحوظ للحاکم بجمیع مشخّصاته،خصوصا إذا کان حکیما،و خصوصا عند القائل بالتحسین و التقبیح؛لمدخلیّة المشخّصات فی الحسن و القبح حتّی الزمان.</w:t>
      </w:r>
    </w:p>
    <w:p>
      <w:pPr>
        <w:pStyle w:val="BookText"/>
      </w:pPr>
      <w:r>
        <w:rPr>
          <w:rFonts w:ascii="IRNazanin" w:hAnsi="IRNazanin" w:eastAsia="IRNazanin" w:cs="IRNazanin"/>
          <w:lang w:bidi="fa-IR"/>
          <w:color w:val="111111"/>
          <w:sz w:val="28"/>
          <w:szCs w:val="28"/>
          <w:rtl/>
        </w:rPr>
        <w:t xml:space="preserve">[شماره صفحه واقعی : 145]
</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bookmarkStart w:id="409" w:name="pg14411_143039"/>
    <w:bookmarkEnd w:id="409"/>
    <w:p>
      <w:pPr>
        <w:pStyle w:val="BookText"/>
      </w:pPr>
      <w:r>
        <w:rPr>
          <w:rFonts w:ascii="IRNazanin" w:hAnsi="IRNazanin" w:eastAsia="IRNazanin" w:cs="IRNazanin"/>
          <w:lang w:bidi="fa-IR"/>
          <w:color w:val="111111"/>
          <w:sz w:val="28"/>
          <w:szCs w:val="28"/>
          <w:rtl/>
        </w:rPr>
        <w:t xml:space="preserve">و به یندفع ما یقال:إنّه کما یمکن أن یجعل الزمان ظرفا للفعل، بأن یقال:إنّ التبرید فی زمان الصیف مطلوب،فلا یجری الاستصحاب إذا شکّ فی مطلوبیّته فی زمان آخر،أمکن أن یقال:إنّ التبرید مطلوب فی الصیف،علی أن یکون الموضوع نفس التبرید و الزمان قیدا للطلب،و حینئذ فیجوز استصحاب الطلب إذا شکّ فی بقائه بعد الصیف؛ إذا الموضوع باق علی حاله </w:t>
      </w:r>
      <w:r>
        <w:rPr>
          <w:rStyle w:val="FootnoteReference"/>
        </w:rPr>
        <w:footnoteReference w:id="19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توضیح الاندفاع:أنّ القید فی الحقیقة راجع إلی الموضوع،و تقیید الطلب به </w:t>
      </w:r>
      <w:r>
        <w:rPr>
          <w:rStyle w:val="FootnoteReference"/>
        </w:rPr>
        <w:footnoteReference w:id="1971"/>
      </w:r>
      <w:r>
        <w:rPr>
          <w:rFonts w:ascii="IRNazanin" w:hAnsi="IRNazanin" w:eastAsia="IRNazanin" w:cs="IRNazanin"/>
          <w:lang w:bidi="fa-IR"/>
          <w:color w:val="111111"/>
          <w:sz w:val="28"/>
          <w:szCs w:val="28"/>
          <w:rtl/>
        </w:rPr>
        <w:t xml:space="preserve">أحیانا فی الکلام مسامحة فی التعبیر-کما لا یخفی-فافهم.</w:t>
      </w:r>
    </w:p>
    <w:p>
      <w:pPr>
        <w:pStyle w:val="BookText"/>
      </w:pPr>
      <w:r>
        <w:rPr>
          <w:rFonts w:ascii="IRNazanin" w:hAnsi="IRNazanin" w:eastAsia="IRNazanin" w:cs="IRNazanin"/>
          <w:lang w:bidi="fa-IR"/>
          <w:color w:val="111111"/>
          <w:sz w:val="28"/>
          <w:szCs w:val="28"/>
          <w:rtl/>
        </w:rPr>
        <w:t xml:space="preserve">و بالجملة:فینحصر مجری الاستصحاب فی الامور القابلة للاستمرار فی موضوع،و للارتفاع عن ذلک الموضوع بعینه،کالطهارة و الحدث و النجاسة و الملکیّة و الزوجیّة و الرطوبة و الیبوسة و نحو ذلک.</w:t>
      </w:r>
    </w:p>
    <w:p>
      <w:pPr>
        <w:pStyle w:val="BookText"/>
      </w:pPr>
      <w:r>
        <w:rPr>
          <w:rFonts w:ascii="IRNazanin" w:hAnsi="IRNazanin" w:eastAsia="IRNazanin" w:cs="IRNazanin"/>
          <w:lang w:bidi="fa-IR"/>
          <w:color w:val="111111"/>
          <w:sz w:val="28"/>
          <w:szCs w:val="28"/>
          <w:rtl/>
        </w:rPr>
        <w:t xml:space="preserve">و من ذلک یظهر عدم جریان الاستصحاب فی الحکم الوضعیّ </w:t>
      </w:r>
      <w:r>
        <w:rPr>
          <w:rStyle w:val="FootnoteReference"/>
        </w:rPr>
        <w:footnoteReference w:id="1972"/>
      </w:r>
      <w:r>
        <w:rPr>
          <w:rFonts w:ascii="IRNazanin" w:hAnsi="IRNazanin" w:eastAsia="IRNazanin" w:cs="IRNazanin"/>
          <w:lang w:bidi="fa-IR"/>
          <w:color w:val="111111"/>
          <w:sz w:val="28"/>
          <w:szCs w:val="28"/>
          <w:rtl/>
        </w:rPr>
        <w:t xml:space="preserve">أیضا إذا تعلّق بفعل الشخص.</w:t>
      </w:r>
    </w:p>
    <w:p>
      <w:pPr>
        <w:pStyle w:val="Heading6"/>
      </w:pPr>
      <w:bookmarkStart w:id="1836" w:name="_Toc871"/>
      <w:r>
        <w:t>[الجواب عن هذه الشبهة:]</w:t>
      </w:r>
      <w:bookmarkEnd w:id="1836"/>
    </w:p>
    <w:p>
      <w:pPr>
        <w:pStyle w:val="BookText"/>
      </w:pPr>
      <w:r>
        <w:rPr>
          <w:rFonts w:ascii="IRNazanin" w:hAnsi="IRNazanin" w:eastAsia="IRNazanin" w:cs="IRNazanin"/>
          <w:lang w:bidi="fa-IR"/>
          <w:color w:val="111111"/>
          <w:sz w:val="28"/>
          <w:szCs w:val="28"/>
          <w:rtl/>
        </w:rPr>
        <w:t xml:space="preserve">هذا،و الجواب عن ذلک:أنّ مبنی الاستصحاب-خصوصا إذا استند فیه إلی الأخبار-علی القضایا العرفیّة المتحقّقة فی الزمان السابق التی ینتزعها العرف من الأدلّة الشرعیّة،فإنّهم لا یرتابون فی أنّه إذا ثبت تحریم فعل فی زمان ثمّ شکّ فی بقائه بعده،أنّ </w:t>
      </w:r>
      <w:r>
        <w:rPr>
          <w:rStyle w:val="FootnoteReference"/>
        </w:rPr>
        <w:footnoteReference w:id="1973"/>
      </w:r>
      <w:r>
        <w:rPr>
          <w:rFonts w:ascii="Amiri" w:hAnsi="Amiri" w:eastAsia="Amiri" w:cs="Amiri"/>
          <w:lang w:bidi="ar-SA"/>
          <w:color w:val="111111"/>
          <w:sz w:val="28"/>
          <w:szCs w:val="28"/>
          <w:rtl/>
        </w:rPr>
        <w:t xml:space="preserve">الشکّ فی هذه</w:t>
      </w:r>
    </w:p>
    <w:p>
      <w:pPr>
        <w:pStyle w:val="BookText"/>
      </w:pPr>
      <w:r>
        <w:rPr>
          <w:rFonts w:ascii="IRNazanin" w:hAnsi="IRNazanin" w:eastAsia="IRNazanin" w:cs="IRNazanin"/>
          <w:lang w:bidi="fa-IR"/>
          <w:color w:val="111111"/>
          <w:sz w:val="28"/>
          <w:szCs w:val="28"/>
          <w:rtl/>
        </w:rPr>
        <w:t xml:space="preserve">[شماره صفحه واقعی : 146]
</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المسألة فی استمرار الحرمة لهذا الفعل و ارتفاعها،و إن کان مقتضی المداقّة العقلیّة کون الزمان قیدا للفعل.و کذلک الإباحة و الکراهة و الاستحباب.</w:t>
      </w:r>
    </w:p>
    <w:p>
      <w:pPr>
        <w:pStyle w:val="BookText"/>
      </w:pPr>
      <w:r>
        <w:rPr>
          <w:rFonts w:ascii="IRNazanin" w:hAnsi="IRNazanin" w:eastAsia="IRNazanin" w:cs="IRNazanin"/>
          <w:lang w:bidi="fa-IR"/>
          <w:color w:val="111111"/>
          <w:sz w:val="28"/>
          <w:szCs w:val="28"/>
          <w:rtl/>
        </w:rPr>
        <w:t xml:space="preserve">نعم قد یتحقّق فی بعض الواجبات مورد لا یحکم العرف بکون الشکّ فی الاستمرار،مثلا:إذا ثبت فی یوم وجوب فعل عند الزوال، ثمّ شککنا فی الغد أنّه واجب الیوم عند الزوال،فلا یحکمون باستصحاب ذلک،و لا یبنون علی کونه ممّا شکّ فی استمراره و ارتفاعه، بل یحکمون فی الغد بأصالة عدم الوجوب قبل الزوال.أمّا لو ثبت ذلک مرارا،ثمّ شکّ فیه بعد أیّام،فالظاهر حکمهم بأنّ هذا الحکم کان مستمرّا و شکّ فی ارتفاعه،فیستصحب.</w:t>
      </w:r>
    </w:p>
    <w:p>
      <w:pPr>
        <w:pStyle w:val="BookText"/>
      </w:pPr>
      <w:r>
        <w:rPr>
          <w:rFonts w:ascii="IRNazanin" w:hAnsi="IRNazanin" w:eastAsia="IRNazanin" w:cs="IRNazanin"/>
          <w:lang w:bidi="fa-IR"/>
          <w:color w:val="111111"/>
          <w:sz w:val="28"/>
          <w:szCs w:val="28"/>
          <w:rtl/>
        </w:rPr>
        <w:t xml:space="preserve">و من هنا تری الأصحاب یتمسّکون باستصحاب وجوب التمام عند الشکّ فی حدوث التکلیف بالقصر،و باستصحاب وجوب العبادة عند شکّ المرأة فی حدوث الحیض،لا من جهة أصالة عدم السفر الموجب للقصر،و عدم الحیض المقتضی لوجوب العبادة-حتّی یحکم بوجوب التمام؛لأنّه من آثار عدم السفر الشرعیّ الموجب للقصر، و بوجوب العبادة؛لأنّه من آثار عدم الحیض-بل من جهة کون التکلیف بالتمام و بالعبادة عند زوال کلّ یوم أمرا مستمرّا عندهم و إن کان التکلیف یتجدّد یوما فیوما،فهو فی کلّ یوم مسبوق بالعدم، فینبغی أن یرجع إلی استصحاب عدمه،لا إلی استصحاب وجوده.</w:t>
      </w:r>
    </w:p>
    <w:p>
      <w:pPr>
        <w:pStyle w:val="BookText"/>
      </w:pPr>
      <w:r>
        <w:rPr>
          <w:rFonts w:ascii="IRNazanin" w:hAnsi="IRNazanin" w:eastAsia="IRNazanin" w:cs="IRNazanin"/>
          <w:lang w:bidi="fa-IR"/>
          <w:color w:val="111111"/>
          <w:sz w:val="28"/>
          <w:szCs w:val="28"/>
          <w:rtl/>
        </w:rPr>
        <w:t xml:space="preserve">و الحاصل:أنّ المعیار حکم العرف بأنّ الشیء الفلانیّ کان مستمرّا فارتفع و انقطع،و أنّه مشکوک الانقطاع.و لو لا ملاحظة هذا التخیّل العرفیّ لم یصدق علی النسخ أنّه رفع للحکم الثابت أو لمثله؛فإنّ عدم التکلیف فی وقت الصلاة بالصلاة إلی القبلة المنسوخة دفع فی الحقیقة</w:t>
      </w:r>
    </w:p>
    <w:p>
      <w:pPr>
        <w:pStyle w:val="BookText"/>
      </w:pPr>
      <w:r>
        <w:rPr>
          <w:rFonts w:ascii="IRNazanin" w:hAnsi="IRNazanin" w:eastAsia="IRNazanin" w:cs="IRNazanin"/>
          <w:lang w:bidi="fa-IR"/>
          <w:color w:val="111111"/>
          <w:sz w:val="28"/>
          <w:szCs w:val="28"/>
          <w:rtl/>
        </w:rPr>
        <w:t xml:space="preserve">[شماره صفحه واقعی : 147]
</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للتکلیف،لا رفع.</w:t>
      </w:r>
    </w:p>
    <w:p>
      <w:pPr>
        <w:pStyle w:val="BookText"/>
      </w:pPr>
      <w:r>
        <w:rPr>
          <w:rFonts w:ascii="IRNazanin" w:hAnsi="IRNazanin" w:eastAsia="IRNazanin" w:cs="IRNazanin"/>
          <w:lang w:bidi="fa-IR"/>
          <w:color w:val="111111"/>
          <w:sz w:val="28"/>
          <w:szCs w:val="28"/>
          <w:rtl/>
        </w:rPr>
        <w:t xml:space="preserve">و نظیر ذلک-فی غیر الأحکام الشرعیّة-ما سیجیء:من إجراء الاستصحاب فی مثل الکرّیة و عدمها </w:t>
      </w:r>
      <w:r>
        <w:rPr>
          <w:rStyle w:val="FootnoteReference"/>
        </w:rPr>
        <w:footnoteReference w:id="1974"/>
      </w:r>
      <w:r>
        <w:rPr>
          <w:rFonts w:ascii="IRNazanin" w:hAnsi="IRNazanin" w:eastAsia="IRNazanin" w:cs="IRNazanin"/>
          <w:lang w:bidi="fa-IR"/>
          <w:color w:val="111111"/>
          <w:sz w:val="28"/>
          <w:szCs w:val="28"/>
          <w:rtl/>
        </w:rPr>
        <w:t xml:space="preserve">،و فی الامور التدریجیّة المتجدّدة شیئا فشیئا </w:t>
      </w:r>
      <w:r>
        <w:rPr>
          <w:rStyle w:val="FootnoteReference"/>
        </w:rPr>
        <w:footnoteReference w:id="1975"/>
      </w:r>
      <w:r>
        <w:rPr>
          <w:rFonts w:ascii="IRNazanin" w:hAnsi="IRNazanin" w:eastAsia="IRNazanin" w:cs="IRNazanin"/>
          <w:lang w:bidi="fa-IR"/>
          <w:color w:val="111111"/>
          <w:sz w:val="28"/>
          <w:szCs w:val="28"/>
          <w:rtl/>
        </w:rPr>
        <w:t xml:space="preserve">،و فی مثل وجوب الناقص بعد تعذّر بعض الأجزاء </w:t>
      </w:r>
      <w:r>
        <w:rPr>
          <w:rStyle w:val="FootnoteReference"/>
        </w:rPr>
        <w:footnoteReference w:id="1976"/>
      </w:r>
      <w:r>
        <w:rPr>
          <w:rFonts w:ascii="IRNazanin" w:hAnsi="IRNazanin" w:eastAsia="IRNazanin" w:cs="IRNazanin"/>
          <w:lang w:bidi="fa-IR"/>
          <w:color w:val="111111"/>
          <w:sz w:val="28"/>
          <w:szCs w:val="28"/>
          <w:rtl/>
        </w:rPr>
        <w:t xml:space="preserve">فیما لا یکون الموضوع فیه باقیا إلاّ بالمسامحة العرفیّة،کما سیجیء إن شاء اللّه تعالی.</w:t>
      </w:r>
    </w:p>
    <w:p>
      <w:pPr>
        <w:pStyle w:val="BookText"/>
      </w:pPr>
      <w:r>
        <w:rPr>
          <w:rFonts w:ascii="IRNazanin" w:hAnsi="IRNazanin" w:eastAsia="IRNazanin" w:cs="IRNazanin"/>
          <w:lang w:bidi="fa-IR"/>
          <w:color w:val="111111"/>
          <w:sz w:val="28"/>
          <w:szCs w:val="28"/>
          <w:rtl/>
        </w:rPr>
        <w:t xml:space="preserve">[شماره صفحه واقعی : 148]
</w:t>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bookmarkStart w:id="410" w:name="pg14411_143042"/>
    <w:bookmarkEnd w:id="410"/>
    <w:p>
      <w:pPr>
        <w:pStyle w:val="Heading5"/>
      </w:pPr>
      <w:bookmarkStart w:id="1837" w:name="_Toc872"/>
      <w:r>
        <w:t>[حجّة القول الثامن] : [التفصیل بین ما ثبت بالإجماع و غیره و نسبته الی الغزالی:]</w:t>
      </w:r>
      <w:bookmarkEnd w:id="1837"/>
    </w:p>
    <w:p>
      <w:pPr>
        <w:pStyle w:val="Heading6"/>
      </w:pPr>
      <w:bookmarkStart w:id="1838" w:name="_Toc873"/>
      <w:r>
        <w:t>اشارة</w:t>
      </w:r>
      <w:bookmarkEnd w:id="1838"/>
    </w:p>
    <w:p>
      <w:pPr>
        <w:pStyle w:val="BookText"/>
      </w:pPr>
      <w:r>
        <w:rPr>
          <w:rFonts w:ascii="Amiri" w:hAnsi="Amiri" w:eastAsia="Amiri" w:cs="Amiri"/>
          <w:lang w:bidi="ar-SA"/>
          <w:color w:val="111111"/>
          <w:sz w:val="28"/>
          <w:szCs w:val="28"/>
          <w:rtl/>
        </w:rPr>
        <w:t xml:space="preserve">[حجّة القول الثامن] </w:t>
      </w:r>
      <w:r>
        <w:rPr>
          <w:rStyle w:val="FootnoteReference"/>
        </w:rPr>
        <w:footnoteReference w:id="1977"/>
      </w:r>
      <w:r>
        <w:rPr>
          <w:rFonts w:ascii="IRNazanin" w:hAnsi="IRNazanin" w:eastAsia="IRNazanin" w:cs="IRNazanin"/>
          <w:lang w:bidi="fa-IR"/>
          <w:color w:val="111111"/>
          <w:sz w:val="28"/>
          <w:szCs w:val="28"/>
          <w:rtl/>
        </w:rPr>
        <w:t xml:space="preserve">[التفصیل بین ما ثبت بالإجماع و غیره و نسبته الی الغزالی:]</w:t>
      </w:r>
    </w:p>
    <w:p>
      <w:pPr>
        <w:pStyle w:val="BookText"/>
      </w:pPr>
      <w:r>
        <w:rPr>
          <w:rFonts w:ascii="IRNazanin" w:hAnsi="IRNazanin" w:eastAsia="IRNazanin" w:cs="IRNazanin"/>
          <w:lang w:bidi="fa-IR"/>
          <w:color w:val="111111"/>
          <w:sz w:val="28"/>
          <w:szCs w:val="28"/>
          <w:rtl/>
        </w:rPr>
        <w:t xml:space="preserve">حجّة القول الثامن و جوابها یظهر بعد بیانه و توضیح القول فیه.</w:t>
      </w:r>
    </w:p>
    <w:p>
      <w:pPr>
        <w:pStyle w:val="BookText"/>
      </w:pPr>
      <w:r>
        <w:rPr>
          <w:rFonts w:ascii="IRNazanin" w:hAnsi="IRNazanin" w:eastAsia="IRNazanin" w:cs="IRNazanin"/>
          <w:lang w:bidi="fa-IR"/>
          <w:color w:val="111111"/>
          <w:sz w:val="28"/>
          <w:szCs w:val="28"/>
          <w:rtl/>
        </w:rPr>
        <w:t xml:space="preserve">فنقول:</w:t>
      </w:r>
    </w:p>
    <w:p>
      <w:pPr>
        <w:pStyle w:val="BookText"/>
      </w:pPr>
      <w:r>
        <w:rPr>
          <w:rFonts w:ascii="Amiri" w:hAnsi="Amiri" w:eastAsia="Amiri" w:cs="Amiri"/>
          <w:lang w:bidi="ar-SA"/>
          <w:color w:val="111111"/>
          <w:sz w:val="28"/>
          <w:szCs w:val="28"/>
          <w:rtl/>
        </w:rPr>
        <w:t xml:space="preserve">قد نسب جماعة </w:t>
      </w:r>
      <w:r>
        <w:rPr>
          <w:rStyle w:val="FootnoteReference"/>
        </w:rPr>
        <w:footnoteReference w:id="1978"/>
      </w:r>
      <w:r>
        <w:rPr>
          <w:rFonts w:ascii="IRNazanin" w:hAnsi="IRNazanin" w:eastAsia="IRNazanin" w:cs="IRNazanin"/>
          <w:lang w:bidi="fa-IR"/>
          <w:color w:val="111111"/>
          <w:sz w:val="28"/>
          <w:szCs w:val="28"/>
          <w:rtl/>
        </w:rPr>
        <w:t xml:space="preserve">إلی الغزالیّ القول بحجّیّة الاستصحاب و إنکارها فی استصحاب حال الإجماع،و ظاهر ذلک کونه مفصّلا فی المسألة.</w:t>
      </w:r>
    </w:p>
    <w:p>
      <w:pPr>
        <w:pStyle w:val="BookText"/>
      </w:pPr>
      <w:r>
        <w:rPr>
          <w:rFonts w:ascii="IRNazanin" w:hAnsi="IRNazanin" w:eastAsia="IRNazanin" w:cs="IRNazanin"/>
          <w:lang w:bidi="fa-IR"/>
          <w:color w:val="111111"/>
          <w:sz w:val="28"/>
          <w:szCs w:val="28"/>
          <w:rtl/>
        </w:rPr>
        <w:t xml:space="preserve">و قد ذکر فی النهایة </w:t>
      </w:r>
      <w:r>
        <w:rPr>
          <w:rStyle w:val="FootnoteReference"/>
        </w:rPr>
        <w:footnoteReference w:id="1979"/>
      </w:r>
      <w:r>
        <w:rPr>
          <w:rFonts w:ascii="IRNazanin" w:hAnsi="IRNazanin" w:eastAsia="IRNazanin" w:cs="IRNazanin"/>
          <w:lang w:bidi="fa-IR"/>
          <w:color w:val="111111"/>
          <w:sz w:val="28"/>
          <w:szCs w:val="28"/>
          <w:rtl/>
        </w:rPr>
        <w:t xml:space="preserve">مسألة الاستصحاب،و نسب إلی جماعة منهم الغزالیّ حجّیته،ثمّ أطال الکلام فی أدلّة النافین و المثبتین،ثمّ ذکر عنوانا آخر لاستصحاب حال الإجماع،و مثّل له بالمتیمّم إذا رأی الماء فی أثناء الصلاة،و بالخارج من غیر السبیلین من المتطهّر،و نسب إلی الأکثر و منهم الغزالیّ عدم حجّیّته.</w:t>
      </w:r>
    </w:p>
    <w:p>
      <w:pPr>
        <w:pStyle w:val="Heading6"/>
      </w:pPr>
      <w:bookmarkStart w:id="1839" w:name="_Toc874"/>
      <w:r>
        <w:t>[ظاهر کلام الغزالی إنکار الاستصحاب مطلقا:]</w:t>
      </w:r>
      <w:bookmarkEnd w:id="1839"/>
    </w:p>
    <w:p>
      <w:pPr>
        <w:pStyle w:val="BookText"/>
      </w:pPr>
      <w:r>
        <w:rPr>
          <w:rFonts w:ascii="IRNazanin" w:hAnsi="IRNazanin" w:eastAsia="IRNazanin" w:cs="IRNazanin"/>
          <w:lang w:bidi="fa-IR"/>
          <w:color w:val="111111"/>
          <w:sz w:val="28"/>
          <w:szCs w:val="28"/>
          <w:rtl/>
        </w:rPr>
        <w:t xml:space="preserve">إلاّ أنّ الذی یظهر بالتدبّر فی کلامه المحکیّ فی النهایة:هو إنکار الاستصحاب المتنازع فیه رأسا و إن ثبت المستصحب بغیر الإجماع من الأدلّة المختصّة دلالتها بالحال الأوّل المعلوم انتفاؤها فی الحال الثانی؛ فإنّه قد یعبّر عن جمیع ذلک باستصحاب حال الإجماع،کما ستعرف</w:t>
      </w:r>
    </w:p>
    <w:p>
      <w:pPr>
        <w:pStyle w:val="BookText"/>
      </w:pPr>
      <w:r>
        <w:rPr>
          <w:rFonts w:ascii="IRNazanin" w:hAnsi="IRNazanin" w:eastAsia="IRNazanin" w:cs="IRNazanin"/>
          <w:lang w:bidi="fa-IR"/>
          <w:color w:val="111111"/>
          <w:sz w:val="28"/>
          <w:szCs w:val="28"/>
          <w:rtl/>
        </w:rPr>
        <w:t xml:space="preserve">[شماره صفحه واقعی : 149]
</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bookmarkStart w:id="411" w:name="pg14411_143043"/>
    <w:bookmarkEnd w:id="411"/>
    <w:p>
      <w:pPr>
        <w:pStyle w:val="BookText"/>
      </w:pPr>
      <w:r>
        <w:rPr>
          <w:rFonts w:ascii="IRNazanin" w:hAnsi="IRNazanin" w:eastAsia="IRNazanin" w:cs="IRNazanin"/>
          <w:lang w:bidi="fa-IR"/>
          <w:color w:val="111111"/>
          <w:sz w:val="28"/>
          <w:szCs w:val="28"/>
          <w:rtl/>
        </w:rPr>
        <w:t xml:space="preserve">فی کلام الشهید رحمه اللّه </w:t>
      </w:r>
      <w:r>
        <w:rPr>
          <w:rStyle w:val="FootnoteReference"/>
        </w:rPr>
        <w:footnoteReference w:id="1980"/>
      </w:r>
      <w:r>
        <w:rPr>
          <w:rFonts w:ascii="IRNazanin" w:hAnsi="IRNazanin" w:eastAsia="IRNazanin" w:cs="IRNazanin"/>
          <w:lang w:bidi="fa-IR"/>
          <w:color w:val="111111"/>
          <w:sz w:val="28"/>
          <w:szCs w:val="28"/>
          <w:rtl/>
        </w:rPr>
        <w:t xml:space="preserve">،و إنّما المسلّم عنده استصحاب عموم النصّ أو إطلاقه الخارج عن محلّ النزاع،بل عن حقیقة الاستصحاب حقیقة.</w:t>
      </w:r>
    </w:p>
    <w:p>
      <w:pPr>
        <w:pStyle w:val="Heading6"/>
      </w:pPr>
      <w:bookmarkStart w:id="1840" w:name="_Toc875"/>
      <w:r>
        <w:t>[منشأ نسبة هذا التفصیل إلی الغزالی:]</w:t>
      </w:r>
      <w:bookmarkEnd w:id="1840"/>
    </w:p>
    <w:p>
      <w:pPr>
        <w:pStyle w:val="BookText"/>
      </w:pPr>
      <w:r>
        <w:rPr>
          <w:rFonts w:ascii="IRNazanin" w:hAnsi="IRNazanin" w:eastAsia="IRNazanin" w:cs="IRNazanin"/>
          <w:lang w:bidi="fa-IR"/>
          <w:color w:val="111111"/>
          <w:sz w:val="28"/>
          <w:szCs w:val="28"/>
          <w:rtl/>
        </w:rPr>
        <w:t xml:space="preserve">فمنشأ نسبة التفصیل إطلاق الغزالیّ الاستصحاب علی استصحاب عموم النصّ أو إطلاقه،و تخصیص عنوان ما أنکره باستصحاب حال الإجماع،و إن صرّح فی أثناء کلامه بإلحاق غیره-ممّا یشبه فی اختصاص مدلوله بالحالة الاولی-به فی منع جریان الاستصحاب فیما ثبت به </w:t>
      </w:r>
      <w:r>
        <w:rPr>
          <w:rStyle w:val="FootnoteReference"/>
        </w:rPr>
        <w:footnoteReference w:id="19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فی الذکری-بعد تقسیم حکم العقل الغیر المتوقّف علی الخطاب إلی خمسة أقسام:ما یستقلّ به العقل کحسن العدل،و التمسّک بأصل البراءة،و عدم الدلیل دلیل العدم،و الأخذ بالأقلّ عند فقد دلیل علی الأکثر-:</w:t>
      </w:r>
    </w:p>
    <w:p>
      <w:pPr>
        <w:pStyle w:val="BookText"/>
      </w:pPr>
      <w:r>
        <w:rPr>
          <w:rFonts w:ascii="IRNazanin" w:hAnsi="IRNazanin" w:eastAsia="IRNazanin" w:cs="IRNazanin"/>
          <w:lang w:bidi="fa-IR"/>
          <w:color w:val="111111"/>
          <w:sz w:val="28"/>
          <w:szCs w:val="28"/>
          <w:rtl/>
        </w:rPr>
        <w:t xml:space="preserve">الخامس:أصالة بقاء ما کان،و یسمّی استصحاب حال الشرع و حال الإجماع فی محلّ الخلاف،مثاله:المتیمّم...الخ،و اختلف الأصحاب فی حجّیته،و هو مقرّر فی الاصول </w:t>
      </w:r>
      <w:r>
        <w:rPr>
          <w:rStyle w:val="FootnoteReference"/>
        </w:rPr>
        <w:footnoteReference w:id="1982"/>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نحوه ما حکی عن الشهید الثانی فی مسألة أنّ الخارج من غیر السبیلین ناقض أم لا؟و فی مسألة المتیمّم...الخ </w:t>
      </w:r>
      <w:r>
        <w:rPr>
          <w:rStyle w:val="FootnoteReference"/>
        </w:rPr>
        <w:footnoteReference w:id="1983"/>
      </w:r>
      <w:r>
        <w:rPr>
          <w:rFonts w:ascii="IRNazanin" w:hAnsi="IRNazanin" w:eastAsia="IRNazanin" w:cs="IRNazanin"/>
          <w:lang w:bidi="fa-IR"/>
          <w:color w:val="111111"/>
          <w:sz w:val="28"/>
          <w:szCs w:val="28"/>
          <w:rtl/>
        </w:rPr>
        <w:t xml:space="preserve">،و صاحب الحدائق فی</w:t>
      </w:r>
    </w:p>
    <w:p>
      <w:pPr>
        <w:pStyle w:val="BookText"/>
      </w:pPr>
      <w:r>
        <w:rPr>
          <w:rFonts w:ascii="IRNazanin" w:hAnsi="IRNazanin" w:eastAsia="IRNazanin" w:cs="IRNazanin"/>
          <w:lang w:bidi="fa-IR"/>
          <w:color w:val="111111"/>
          <w:sz w:val="28"/>
          <w:szCs w:val="28"/>
          <w:rtl/>
        </w:rPr>
        <w:t xml:space="preserve">[شماره صفحه واقعی : 150]
</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bookmarkStart w:id="412" w:name="pg14411_143044"/>
    <w:bookmarkEnd w:id="412"/>
    <w:p>
      <w:pPr>
        <w:pStyle w:val="BookText"/>
      </w:pPr>
      <w:r>
        <w:rPr>
          <w:rFonts w:ascii="IRNazanin" w:hAnsi="IRNazanin" w:eastAsia="IRNazanin" w:cs="IRNazanin"/>
          <w:lang w:bidi="fa-IR"/>
          <w:color w:val="111111"/>
          <w:sz w:val="28"/>
          <w:szCs w:val="28"/>
          <w:rtl/>
        </w:rPr>
        <w:t xml:space="preserve">الدرر النجفیّة </w:t>
      </w:r>
      <w:r>
        <w:rPr>
          <w:rStyle w:val="FootnoteReference"/>
        </w:rPr>
        <w:footnoteReference w:id="1984"/>
      </w:r>
      <w:r>
        <w:rPr>
          <w:rFonts w:ascii="IRNazanin" w:hAnsi="IRNazanin" w:eastAsia="IRNazanin" w:cs="IRNazanin"/>
          <w:lang w:bidi="fa-IR"/>
          <w:color w:val="111111"/>
          <w:sz w:val="28"/>
          <w:szCs w:val="28"/>
          <w:rtl/>
        </w:rPr>
        <w:t xml:space="preserve">،بل استظهر هذا من کلّ من مثّل لمحلّ النزاع بمسألة المتیمّم،کالمعتبر </w:t>
      </w:r>
      <w:r>
        <w:rPr>
          <w:rStyle w:val="FootnoteReference"/>
        </w:rPr>
        <w:footnoteReference w:id="1985"/>
      </w:r>
      <w:r>
        <w:rPr>
          <w:rFonts w:ascii="IRNazanin" w:hAnsi="IRNazanin" w:eastAsia="IRNazanin" w:cs="IRNazanin"/>
          <w:lang w:bidi="fa-IR"/>
          <w:color w:val="111111"/>
          <w:sz w:val="28"/>
          <w:szCs w:val="28"/>
          <w:rtl/>
        </w:rPr>
        <w:t xml:space="preserve">و المعالم </w:t>
      </w:r>
      <w:r>
        <w:rPr>
          <w:rStyle w:val="FootnoteReference"/>
        </w:rPr>
        <w:footnoteReference w:id="1986"/>
      </w:r>
      <w:r>
        <w:rPr>
          <w:rFonts w:ascii="IRNazanin" w:hAnsi="IRNazanin" w:eastAsia="IRNazanin" w:cs="IRNazanin"/>
          <w:lang w:bidi="fa-IR"/>
          <w:color w:val="111111"/>
          <w:sz w:val="28"/>
          <w:szCs w:val="28"/>
          <w:rtl/>
        </w:rPr>
        <w:t xml:space="preserve">و غیرهما </w:t>
      </w:r>
      <w:r>
        <w:rPr>
          <w:rStyle w:val="FootnoteReference"/>
        </w:rPr>
        <w:footnoteReference w:id="1987"/>
      </w:r>
      <w:r>
        <w:rPr>
          <w:rFonts w:ascii="Times New Roman" w:hAnsi="Times New Roman" w:eastAsia="Times New Roman" w:cs="Times New Roman"/>
          <w:lang w:val="en-US" w:bidi="en-US"/>
          <w:color w:val="111111"/>
          <w:sz w:val="28"/>
          <w:szCs w:val="28"/>
          <w:rtl/>
        </w:rPr>
        <w:t xml:space="preserve">.</w:t>
      </w:r>
    </w:p>
    <w:p>
      <w:pPr>
        <w:pStyle w:val="Heading6"/>
      </w:pPr>
      <w:bookmarkStart w:id="1841" w:name="_Toc876"/>
      <w:r>
        <w:t>[کلام الغزالیّ:]</w:t>
      </w:r>
      <w:bookmarkEnd w:id="1841"/>
    </w:p>
    <w:p>
      <w:pPr>
        <w:pStyle w:val="BookText"/>
      </w:pPr>
      <w:r>
        <w:rPr>
          <w:rFonts w:ascii="IRNazanin" w:hAnsi="IRNazanin" w:eastAsia="IRNazanin" w:cs="IRNazanin"/>
          <w:lang w:bidi="fa-IR"/>
          <w:color w:val="111111"/>
          <w:sz w:val="28"/>
          <w:szCs w:val="28"/>
          <w:rtl/>
        </w:rPr>
        <w:t xml:space="preserve">و لا بدّ من نقل عبارة الغزالیّ-المحکیّة فی النهایة-حتّی یتّضح حقیقة الحال.قال الغزالیّ-علی ما حکاه فی النهایة </w:t>
      </w:r>
      <w:r>
        <w:rPr>
          <w:rStyle w:val="FootnoteReference"/>
        </w:rPr>
        <w:footnoteReference w:id="19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المستصحب إن أقرّ بأنّه لم یقم دلیلا فی المسألة،بل قال:أنا ناف و لا دلیل علی النافی،فسیأتی بیان وجوب الدلیل علی النافی،و إن ظنّ إقامة الدلیل فقد أخطأ؛فإنّا نقول:إنّما یستدام الحکم الذی دلّ الدلیل علی دوامه،و هو إن کان لفظ الشارع فلا بدّ من بیانه،فلعلّه یدلّ علی دوامها عند عدم الخروج من غیر السبیلین </w:t>
      </w:r>
      <w:r>
        <w:rPr>
          <w:rStyle w:val="FootnoteReference"/>
        </w:rPr>
        <w:footnoteReference w:id="1989"/>
      </w:r>
      <w:r>
        <w:rPr>
          <w:rFonts w:ascii="IRNazanin" w:hAnsi="IRNazanin" w:eastAsia="IRNazanin" w:cs="IRNazanin"/>
          <w:lang w:bidi="fa-IR"/>
          <w:color w:val="111111"/>
          <w:sz w:val="28"/>
          <w:szCs w:val="28"/>
          <w:rtl/>
        </w:rPr>
        <w:t xml:space="preserve">لا عند وجوده </w:t>
      </w:r>
      <w:r>
        <w:rPr>
          <w:rStyle w:val="FootnoteReference"/>
        </w:rPr>
        <w:footnoteReference w:id="1990"/>
      </w:r>
      <w:r>
        <w:rPr>
          <w:rFonts w:ascii="IRNazanin" w:hAnsi="IRNazanin" w:eastAsia="IRNazanin" w:cs="IRNazanin"/>
          <w:lang w:bidi="fa-IR"/>
          <w:color w:val="111111"/>
          <w:sz w:val="28"/>
          <w:szCs w:val="28"/>
          <w:rtl/>
        </w:rPr>
        <w:t xml:space="preserve">.و إن دلّ بعمومه علی دوامها عند العدم و الوجود معا کان ذلک تمسّکا بالعموم، فیجب إظهار دلیل التخصیص.و إن کان بالإجماع </w:t>
      </w:r>
      <w:r>
        <w:rPr>
          <w:rStyle w:val="FootnoteReference"/>
        </w:rPr>
        <w:footnoteReference w:id="1991"/>
      </w:r>
      <w:r>
        <w:rPr>
          <w:rFonts w:ascii="IRNazanin" w:hAnsi="IRNazanin" w:eastAsia="IRNazanin" w:cs="IRNazanin"/>
          <w:lang w:bidi="fa-IR"/>
          <w:color w:val="111111"/>
          <w:sz w:val="28"/>
          <w:szCs w:val="28"/>
          <w:rtl/>
        </w:rPr>
        <w:t xml:space="preserve">فالإجماع إنّما انعقد علی دوام الصلاة عند العدم دون الوجود،و لو کان الإجماع شاملا حال الوجود کان المخالف له خارقا للإجماع،کما أنّ المخالف فی انقطاع الصلاة</w:t>
      </w:r>
    </w:p>
    <w:p>
      <w:pPr>
        <w:pStyle w:val="BookText"/>
      </w:pPr>
      <w:r>
        <w:rPr>
          <w:rFonts w:ascii="IRNazanin" w:hAnsi="IRNazanin" w:eastAsia="IRNazanin" w:cs="IRNazanin"/>
          <w:lang w:bidi="fa-IR"/>
          <w:color w:val="111111"/>
          <w:sz w:val="28"/>
          <w:szCs w:val="28"/>
          <w:rtl/>
        </w:rPr>
        <w:t xml:space="preserve">[شماره صفحه واقعی : 151]
</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عند هبوب الریاح و طلوع الشمس خارق للإجماع؛لأنّ الإجماع لم ینعقد مشروطا بعدم الهبوب و انعقد مشروطا بعدم الخروج و عدم </w:t>
      </w:r>
      <w:r>
        <w:rPr>
          <w:rStyle w:val="FootnoteReference"/>
        </w:rPr>
        <w:footnoteReference w:id="1992"/>
      </w:r>
      <w:r>
        <w:rPr>
          <w:rFonts w:ascii="IRNazanin" w:hAnsi="IRNazanin" w:eastAsia="IRNazanin" w:cs="IRNazanin"/>
          <w:lang w:bidi="fa-IR"/>
          <w:color w:val="111111"/>
          <w:sz w:val="28"/>
          <w:szCs w:val="28"/>
          <w:rtl/>
        </w:rPr>
        <w:t xml:space="preserve">الماء، فإذا وجد فلا إجماع،فیجب أن یقاس حال الوجود علی حال العدم المجمع علیه لعلّة جامعة،فأمّا أن یستصحب الإجماع عند انتفاء الإجماع فهو محال.و هذا کما أنّ العقل دلّ علی البراءة الأصلیّة بشرط عدم دلیل السمع،فلا یبقی له دلالة مع وجود دلیل السمع،فکذا هنا انعقد الإجماع بشرط العدم،فانتفی الإجماع عند الوجود.</w:t>
      </w:r>
    </w:p>
    <w:p>
      <w:pPr>
        <w:pStyle w:val="BookText"/>
      </w:pPr>
      <w:r>
        <w:rPr>
          <w:rFonts w:ascii="Amiri" w:hAnsi="Amiri" w:eastAsia="Amiri" w:cs="Amiri"/>
          <w:lang w:bidi="ar-SA"/>
          <w:color w:val="111111"/>
          <w:sz w:val="28"/>
          <w:szCs w:val="28"/>
          <w:rtl/>
        </w:rPr>
        <w:t xml:space="preserve">و هذه دقیقة:و هو أنّ کلّ دلیل یضادّ </w:t>
      </w:r>
      <w:r>
        <w:rPr>
          <w:rStyle w:val="FootnoteReference"/>
        </w:rPr>
        <w:footnoteReference w:id="1993"/>
      </w:r>
      <w:r>
        <w:rPr>
          <w:rFonts w:ascii="IRNazanin" w:hAnsi="IRNazanin" w:eastAsia="IRNazanin" w:cs="IRNazanin"/>
          <w:lang w:bidi="fa-IR"/>
          <w:color w:val="111111"/>
          <w:sz w:val="28"/>
          <w:szCs w:val="28"/>
          <w:rtl/>
        </w:rPr>
        <w:t xml:space="preserve">نفس الخلاف فلا یمکن استصحابه مع الخلاف،و الإجماع یضادّه نفس الخلاف؛إذ لا إجماع مع الخلاف،بخلاف العموم و النصّ و دلیل العقل،فإنّ الخلاف لا یضادّه؛ فإنّ المخالف مقرّ بأنّ العموم بصیغته شامل لمحلّ الخلاف؛فإنّ قوله علیه و آله الصلاة و السلام:«لا صیام لمن لا یبیت الصّیام من اللّیل» </w:t>
      </w:r>
      <w:r>
        <w:rPr>
          <w:rStyle w:val="FootnoteReference"/>
        </w:rPr>
        <w:footnoteReference w:id="1994"/>
      </w:r>
      <w:r>
        <w:rPr>
          <w:rFonts w:ascii="IRNazanin" w:hAnsi="IRNazanin" w:eastAsia="IRNazanin" w:cs="IRNazanin"/>
          <w:lang w:bidi="fa-IR"/>
          <w:color w:val="111111"/>
          <w:sz w:val="28"/>
          <w:szCs w:val="28"/>
          <w:rtl/>
        </w:rPr>
        <w:t xml:space="preserve">شامل بصیغته صوم رمضان،مع خلاف الخصم فیه،فیقول:«اسلّم شمول الصیغة،لکنّی أخصّصه </w:t>
      </w:r>
      <w:r>
        <w:rPr>
          <w:rStyle w:val="FootnoteReference"/>
        </w:rPr>
        <w:footnoteReference w:id="1995"/>
      </w:r>
      <w:r>
        <w:rPr>
          <w:rFonts w:ascii="IRNazanin" w:hAnsi="IRNazanin" w:eastAsia="IRNazanin" w:cs="IRNazanin"/>
          <w:lang w:bidi="fa-IR"/>
          <w:color w:val="111111"/>
          <w:sz w:val="28"/>
          <w:szCs w:val="28"/>
          <w:rtl/>
        </w:rPr>
        <w:t xml:space="preserve">بدلیل»فعلیه الدلیل.و هنا،المخالف لا یسلّم شمول الإجماع لمحلّ الخلاف؛لاستحالة الإجماع مع الخلاف، و لا یستحیل شمول الصیغة مع الدلیل.فهذه دقیقة یجب التنبّه لها.</w:t>
      </w:r>
    </w:p>
    <w:p>
      <w:pPr>
        <w:pStyle w:val="BookText"/>
      </w:pPr>
      <w:r>
        <w:rPr>
          <w:rFonts w:ascii="IRNazanin" w:hAnsi="IRNazanin" w:eastAsia="IRNazanin" w:cs="IRNazanin"/>
          <w:lang w:bidi="fa-IR"/>
          <w:color w:val="111111"/>
          <w:sz w:val="28"/>
          <w:szCs w:val="28"/>
          <w:rtl/>
        </w:rPr>
        <w:t xml:space="preserve">ثمّ قال:فإن قیل:الإجماع یحرّم الخلاف،فکیف یرتفع بالخلاف؟</w:t>
      </w:r>
    </w:p>
    <w:p>
      <w:pPr>
        <w:pStyle w:val="BookText"/>
      </w:pPr>
      <w:r>
        <w:rPr>
          <w:rFonts w:ascii="IRNazanin" w:hAnsi="IRNazanin" w:eastAsia="IRNazanin" w:cs="IRNazanin"/>
          <w:lang w:bidi="fa-IR"/>
          <w:color w:val="111111"/>
          <w:sz w:val="28"/>
          <w:szCs w:val="28"/>
          <w:rtl/>
        </w:rPr>
        <w:t xml:space="preserve">[شماره صفحه واقعی : 152]
</w:t>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أجاب:بأنّ هذا الخلاف غیر محرّم بالإجماع،و لم یکن المخالف خارقا للإجماع؛لأنّ الإجماع إنّما انعقد علی حالة العدم،لا علی حالة الوجود،فمن ألحق الوجود بالعدم فعلیه الدلیل.</w:t>
      </w:r>
    </w:p>
    <w:p>
      <w:pPr>
        <w:pStyle w:val="BookText"/>
      </w:pPr>
      <w:r>
        <w:rPr>
          <w:rFonts w:ascii="IRNazanin" w:hAnsi="IRNazanin" w:eastAsia="IRNazanin" w:cs="IRNazanin"/>
          <w:lang w:bidi="fa-IR"/>
          <w:color w:val="111111"/>
          <w:sz w:val="28"/>
          <w:szCs w:val="28"/>
          <w:rtl/>
        </w:rPr>
        <w:t xml:space="preserve">لا یقال:دلیل صحّة الشروع دالّ علی الدوام إلی أن یقوم دلیل علی الانقطاع.</w:t>
      </w:r>
    </w:p>
    <w:p>
      <w:pPr>
        <w:pStyle w:val="BookText"/>
      </w:pPr>
      <w:r>
        <w:rPr>
          <w:rFonts w:ascii="IRNazanin" w:hAnsi="IRNazanin" w:eastAsia="IRNazanin" w:cs="IRNazanin"/>
          <w:lang w:bidi="fa-IR"/>
          <w:color w:val="111111"/>
          <w:sz w:val="28"/>
          <w:szCs w:val="28"/>
          <w:rtl/>
        </w:rPr>
        <w:t xml:space="preserve">لأنّا نقول:ذلک الدلیل لیس هو الإجماع؛لأنّه مشروط بالعدم، فلا یکون دلیلا عند الوجود </w:t>
      </w:r>
      <w:r>
        <w:rPr>
          <w:rStyle w:val="FootnoteReference"/>
        </w:rPr>
        <w:footnoteReference w:id="1996"/>
      </w:r>
      <w:r>
        <w:rPr>
          <w:rFonts w:ascii="IRNazanin" w:hAnsi="IRNazanin" w:eastAsia="IRNazanin" w:cs="IRNazanin"/>
          <w:lang w:bidi="fa-IR"/>
          <w:color w:val="111111"/>
          <w:sz w:val="28"/>
          <w:szCs w:val="28"/>
          <w:rtl/>
        </w:rPr>
        <w:t xml:space="preserve">،و إن کان نصّا فبیّنه حتّی ننظر هل یتناول حال الوجود أم لا؟</w:t>
      </w:r>
    </w:p>
    <w:p>
      <w:pPr>
        <w:pStyle w:val="BookText"/>
      </w:pPr>
      <w:r>
        <w:rPr>
          <w:rFonts w:ascii="IRNazanin" w:hAnsi="IRNazanin" w:eastAsia="IRNazanin" w:cs="IRNazanin"/>
          <w:lang w:bidi="fa-IR"/>
          <w:color w:val="111111"/>
          <w:sz w:val="28"/>
          <w:szCs w:val="28"/>
          <w:rtl/>
        </w:rPr>
        <w:t xml:space="preserve">لا یقال:لم ینکروا </w:t>
      </w:r>
      <w:r>
        <w:rPr>
          <w:rStyle w:val="FootnoteReference"/>
        </w:rPr>
        <w:footnoteReference w:id="1997"/>
      </w:r>
      <w:r>
        <w:rPr>
          <w:rFonts w:ascii="IRNazanin" w:hAnsi="IRNazanin" w:eastAsia="IRNazanin" w:cs="IRNazanin"/>
          <w:lang w:bidi="fa-IR"/>
          <w:color w:val="111111"/>
          <w:sz w:val="28"/>
          <w:szCs w:val="28"/>
          <w:rtl/>
        </w:rPr>
        <w:t xml:space="preserve">علی من یقول:الأصل أنّ ما ثبت دام إلی وجود قاطع؛فلا یحتاج الدوام إلی دلیل فی نفسه،بل الثبوت هو المحتاج،کما إذا ثبت موت زید أو بناء دار کان دوامه بنفسه لا بسبب.</w:t>
      </w:r>
    </w:p>
    <w:p>
      <w:pPr>
        <w:pStyle w:val="BookText"/>
      </w:pPr>
      <w:r>
        <w:rPr>
          <w:rFonts w:ascii="IRNazanin" w:hAnsi="IRNazanin" w:eastAsia="IRNazanin" w:cs="IRNazanin"/>
          <w:lang w:bidi="fa-IR"/>
          <w:color w:val="111111"/>
          <w:sz w:val="28"/>
          <w:szCs w:val="28"/>
          <w:rtl/>
        </w:rPr>
        <w:t xml:space="preserve">لأنّا نقول:هذا وهم باطل؛لأنّ کلّ ما ثبت جاز دوامه و عدمه، فلا بدّ لدوامه من سبب و دلیل سوی دلیل الثبوت.و لو لا دلیل العادة علی أنّ المیّت لا یحیی و الدار لا ینهدم إلاّ بهادم أو طول الزمان،لما عرفنا دوامه بمجرّد ثبوته،کما لو اخبر عن قعود الأمیر و أکله و دخوله الدار،و لم یدلّ العادة علی دوام هذه الأحوال،فإنّا لا نقضی بدوامها.</w:t>
      </w:r>
    </w:p>
    <w:p>
      <w:pPr>
        <w:pStyle w:val="BookText"/>
      </w:pPr>
      <w:r>
        <w:rPr>
          <w:rFonts w:ascii="IRNazanin" w:hAnsi="IRNazanin" w:eastAsia="IRNazanin" w:cs="IRNazanin"/>
          <w:lang w:bidi="fa-IR"/>
          <w:color w:val="111111"/>
          <w:sz w:val="28"/>
          <w:szCs w:val="28"/>
          <w:rtl/>
        </w:rPr>
        <w:t xml:space="preserve">و کذا خبر الشارع عن دوام الصلاة مع عدم الماء لیس خبرا عن دوامها مع وجوده،فیفتقر فی دوامها إلی دلیل آخر </w:t>
      </w:r>
      <w:r>
        <w:rPr>
          <w:rStyle w:val="FootnoteReference"/>
        </w:rPr>
        <w:footnoteReference w:id="1998"/>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[شماره صفحه واقعی : 153]
</w:t>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bookmarkStart w:id="413" w:name="pg14411_143047"/>
    <w:bookmarkEnd w:id="413"/>
    <w:p>
      <w:pPr>
        <w:pStyle w:val="BookText"/>
      </w:pPr>
      <w:r>
        <w:rPr>
          <w:rFonts w:ascii="IRNazanin" w:hAnsi="IRNazanin" w:eastAsia="IRNazanin" w:cs="IRNazanin"/>
          <w:lang w:bidi="fa-IR"/>
          <w:color w:val="111111"/>
          <w:sz w:val="28"/>
          <w:szCs w:val="28"/>
          <w:rtl/>
        </w:rPr>
        <w:t xml:space="preserve">و لا یخفی أنّ کثیرا من کلماته-خصوصا قوله أخیرا:«خبر الشارع عن دوامها»-صریح فی أنّ هذا الحکم غیر مختصّ بالإجماع، بل یشمل کلّ دلیل یدلّ علی قضیّة مهملة من حیث الزمان بحیث یقطع بانحصار مدلوله الفعلیّ فی الزمان الأوّل.</w:t>
      </w:r>
    </w:p>
    <w:p>
      <w:pPr>
        <w:pStyle w:val="Heading6"/>
      </w:pPr>
      <w:bookmarkStart w:id="1842" w:name="_Toc877"/>
      <w:r>
        <w:t>[نسبة شارح المختصر القول بحجّیة الاستصحاب مطلقا إلی الغزالی:]</w:t>
      </w:r>
      <w:bookmarkEnd w:id="1842"/>
    </w:p>
    <w:p>
      <w:pPr>
        <w:pStyle w:val="BookText"/>
      </w:pPr>
      <w:r>
        <w:rPr>
          <w:rFonts w:ascii="IRNazanin" w:hAnsi="IRNazanin" w:eastAsia="IRNazanin" w:cs="IRNazanin"/>
          <w:lang w:bidi="fa-IR"/>
          <w:color w:val="111111"/>
          <w:sz w:val="28"/>
          <w:szCs w:val="28"/>
          <w:rtl/>
        </w:rPr>
        <w:t xml:space="preserve">و العجب من شارح المختصر؛حیث إنّه نسب القول بحجّیة الاستصحاب إلی جماعة منهم الغزالیّ،ثمّ قال:</w:t>
      </w:r>
    </w:p>
    <w:p>
      <w:pPr>
        <w:pStyle w:val="BookText"/>
      </w:pPr>
      <w:r>
        <w:rPr>
          <w:rFonts w:ascii="IRNazanin" w:hAnsi="IRNazanin" w:eastAsia="IRNazanin" w:cs="IRNazanin"/>
          <w:lang w:bidi="fa-IR"/>
          <w:color w:val="111111"/>
          <w:sz w:val="28"/>
          <w:szCs w:val="28"/>
          <w:rtl/>
        </w:rPr>
        <w:t xml:space="preserve">و لا فرق عند من یری صحّة الاستدلال به بین أن یکون الثابت به نفیا أصلیّا،کما یقال فیما اختلف کونه نصابا:لم تکن الزکاة واجبة علیه و الأصل بقاؤه،أو حکما شرعیّا،مثل قول الشافعیّة فی الخارج من غیر السبیلین:إنّه کان قبل خروج الخارج متطهّرا،و الأصل البقاء حتّی یثبت معارض،و الأصل عدمه </w:t>
      </w:r>
      <w:r>
        <w:rPr>
          <w:rStyle w:val="FootnoteReference"/>
        </w:rPr>
        <w:footnoteReference w:id="1999"/>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لا یخفی:أنّ المثال الثانی،ممّا نسب إلی الغزالیّ إنکار الاستصحاب فیه،کما عرفت </w:t>
      </w:r>
      <w:r>
        <w:rPr>
          <w:rStyle w:val="FootnoteReference"/>
        </w:rPr>
        <w:footnoteReference w:id="2000"/>
      </w:r>
      <w:r>
        <w:rPr>
          <w:rFonts w:ascii="IRNazanin" w:hAnsi="IRNazanin" w:eastAsia="IRNazanin" w:cs="IRNazanin"/>
          <w:lang w:bidi="fa-IR"/>
          <w:color w:val="111111"/>
          <w:sz w:val="28"/>
          <w:szCs w:val="28"/>
          <w:rtl/>
        </w:rPr>
        <w:t xml:space="preserve">من النهایة و من عبارته </w:t>
      </w:r>
      <w:r>
        <w:rPr>
          <w:rStyle w:val="FootnoteReference"/>
        </w:rPr>
        <w:footnoteReference w:id="2001"/>
      </w:r>
      <w:r>
        <w:rPr>
          <w:rFonts w:ascii="Amiri" w:hAnsi="Amiri" w:eastAsia="Amiri" w:cs="Amiri"/>
          <w:lang w:bidi="ar-SA"/>
          <w:color w:val="111111"/>
          <w:sz w:val="28"/>
          <w:szCs w:val="28"/>
          <w:rtl/>
        </w:rPr>
        <w:t xml:space="preserve">المحکیّة </w:t>
      </w:r>
      <w:r>
        <w:rPr>
          <w:rStyle w:val="FootnoteReference"/>
        </w:rPr>
        <w:footnoteReference w:id="2002"/>
      </w:r>
      <w:r>
        <w:rPr>
          <w:rFonts w:ascii="IRNazanin" w:hAnsi="IRNazanin" w:eastAsia="IRNazanin" w:cs="IRNazanin"/>
          <w:lang w:bidi="fa-IR"/>
          <w:color w:val="111111"/>
          <w:sz w:val="28"/>
          <w:szCs w:val="28"/>
          <w:rtl/>
        </w:rPr>
        <w:t xml:space="preserve">فیها.</w:t>
      </w:r>
    </w:p>
    <w:p>
      <w:pPr>
        <w:pStyle w:val="Heading6"/>
      </w:pPr>
      <w:bookmarkStart w:id="1843" w:name="_Toc878"/>
      <w:r>
        <w:t>[کلام السیّد الصدر فی الجمع بین قولی الغزالی:]</w:t>
      </w:r>
      <w:bookmarkEnd w:id="1843"/>
    </w:p>
    <w:p>
      <w:pPr>
        <w:pStyle w:val="Heading6"/>
      </w:pPr>
      <w:bookmarkStart w:id="1844" w:name="_Toc879"/>
      <w:r>
        <w:t>اشارة</w:t>
      </w:r>
      <w:bookmarkEnd w:id="1844"/>
    </w:p>
    <w:p>
      <w:pPr>
        <w:pStyle w:val="BookText"/>
      </w:pPr>
      <w:r>
        <w:rPr>
          <w:rFonts w:ascii="IRNazanin" w:hAnsi="IRNazanin" w:eastAsia="IRNazanin" w:cs="IRNazanin"/>
          <w:lang w:bidi="fa-IR"/>
          <w:color w:val="111111"/>
          <w:sz w:val="28"/>
          <w:szCs w:val="28"/>
          <w:rtl/>
        </w:rPr>
        <w:t xml:space="preserve">ثمّ إنّ السیّد صدر الدین جمع فی شرح الوافیة بین قولی الغزالیّ:</w:t>
      </w:r>
    </w:p>
    <w:p>
      <w:pPr>
        <w:pStyle w:val="BookText"/>
      </w:pPr>
      <w:r>
        <w:rPr>
          <w:rFonts w:ascii="IRNazanin" w:hAnsi="IRNazanin" w:eastAsia="IRNazanin" w:cs="IRNazanin"/>
          <w:lang w:bidi="fa-IR"/>
          <w:color w:val="111111"/>
          <w:sz w:val="28"/>
          <w:szCs w:val="28"/>
          <w:rtl/>
        </w:rPr>
        <w:t xml:space="preserve">تارة:بأنّ قوله بحجّیّة الاستصحاب لیس مبنیّا علی ما جعله القوم دلیلا من حصول الظنّ،بل هو مبنیّ علی دلالة الروایات علیها، و الروایات لا تدلّ علی حجّیّة استصحاب حال الإجماع.</w:t>
      </w:r>
    </w:p>
    <w:p>
      <w:pPr>
        <w:pStyle w:val="BookText"/>
      </w:pPr>
      <w:r>
        <w:rPr>
          <w:rFonts w:ascii="IRNazanin" w:hAnsi="IRNazanin" w:eastAsia="IRNazanin" w:cs="IRNazanin"/>
          <w:lang w:bidi="fa-IR"/>
          <w:color w:val="111111"/>
          <w:sz w:val="28"/>
          <w:szCs w:val="28"/>
          <w:rtl/>
        </w:rPr>
        <w:t xml:space="preserve">[شماره صفحه واقعی : 154]
</w:t>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bookmarkStart w:id="414" w:name="pg14411_143048"/>
    <w:bookmarkEnd w:id="414"/>
    <w:p>
      <w:pPr>
        <w:pStyle w:val="BookText"/>
      </w:pPr>
      <w:r>
        <w:rPr>
          <w:rFonts w:ascii="IRNazanin" w:hAnsi="IRNazanin" w:eastAsia="IRNazanin" w:cs="IRNazanin"/>
          <w:lang w:bidi="fa-IR"/>
          <w:color w:val="111111"/>
          <w:sz w:val="28"/>
          <w:szCs w:val="28"/>
          <w:rtl/>
        </w:rPr>
        <w:t xml:space="preserve">و اخری:بأنّ غرضه من دلالة الدلیل علی الدوام،کونه بحیث لو علم أو ظنّ وجود المدلول فی الزمان الثانی أو الحالة الثانیة لأجل موجب لکان حمل الدلیل علی الدوام ممکنا،و الإجماع لیس کذلک؛لأنّه یضادّ الخلاف،فکیف یدلّ علی کون المختلف فیه مجمعا علیه؟کما یرشد إلیه قوله:«و الإجماع یضادّه نفس الخلاف،إذ لا إجماع مع الخلاف، بخلاف النصّ و العموم و دلیل العقل،فإنّ الخلاف لا یضادّه».و یکون غرضه من قوله:«فلا بدّ له من سبب»الردّ علی من ادّعی أنّ علّة الدوام هو مجرّد تحقّق الشیء فی الواقع،و أنّ الإذعان به یحصل من مجرّد العلم بالتحقّق،فردّ علیه:بأنّه لیس الأمر کذلک،و أنّ الإذعان و الظنّ بالبقاء لا بدّ له من أمر أیضا،کعادة أو أمارة أو غیرهما </w:t>
      </w:r>
      <w:r>
        <w:rPr>
          <w:rStyle w:val="FootnoteReference"/>
        </w:rPr>
        <w:footnoteReference w:id="2003"/>
      </w:r>
      <w:r>
        <w:rPr>
          <w:rFonts w:ascii="IRNazanin" w:hAnsi="IRNazanin" w:eastAsia="IRNazanin" w:cs="IRNazanin"/>
          <w:lang w:bidi="fa-IR"/>
          <w:color w:val="111111"/>
          <w:sz w:val="28"/>
          <w:szCs w:val="28"/>
          <w:rtl/>
        </w:rPr>
        <w:t xml:space="preserve">، انتهی.</w:t>
      </w:r>
    </w:p>
    <w:p>
      <w:pPr>
        <w:pStyle w:val="Heading6"/>
      </w:pPr>
      <w:bookmarkStart w:id="1845" w:name="_Toc880"/>
      <w:r>
        <w:t>[المناقشة فی ما أفاده السیّد الصدر:]</w:t>
      </w:r>
      <w:bookmarkEnd w:id="1845"/>
    </w:p>
    <w:p>
      <w:pPr>
        <w:pStyle w:val="BookText"/>
      </w:pPr>
      <w:r>
        <w:rPr>
          <w:rFonts w:ascii="IRNazanin" w:hAnsi="IRNazanin" w:eastAsia="IRNazanin" w:cs="IRNazanin"/>
          <w:lang w:bidi="fa-IR"/>
          <w:color w:val="111111"/>
          <w:sz w:val="28"/>
          <w:szCs w:val="28"/>
          <w:rtl/>
        </w:rPr>
        <w:t xml:space="preserve">أقول:أمّا الوجه الأوّل،فهو کما تری؛فإنّ التمسّک بالروایات لیس له أثر فی کلام الخاصّة الّذین هم الأصل فی تدوینها فی کتبهم، فضلا عن العامّة.</w:t>
      </w:r>
    </w:p>
    <w:p>
      <w:pPr>
        <w:pStyle w:val="BookText"/>
      </w:pPr>
      <w:r>
        <w:rPr>
          <w:rFonts w:ascii="IRNazanin" w:hAnsi="IRNazanin" w:eastAsia="IRNazanin" w:cs="IRNazanin"/>
          <w:lang w:bidi="fa-IR"/>
          <w:color w:val="111111"/>
          <w:sz w:val="28"/>
          <w:szCs w:val="28"/>
          <w:rtl/>
        </w:rPr>
        <w:t xml:space="preserve">و أمّا الوجه الثانی،ففیه:أنّ منشأ العجب من تناقض قولیه؛ حیث إنّ ما ذکره فی استصحاب حال الإجماع-من اختصاص دلیل الحکم بالحالة الاولی-بعینه موجود فی بعض صور استصحاب حال غیر الإجماع،فإنّه إذا ورد النصّ علی وجه یکون ساکتا بالنسبة إلی ما بعد الحالة الاولی،کما إذا ورد أنّ الماء ینجس بالتغیّر،مع فرض عدم إشعار فیه بحکم ما بعد زوال التغیّر،فإنّ وجود هذا الدلیل-بوصف</w:t>
      </w:r>
    </w:p>
    <w:p>
      <w:pPr>
        <w:pStyle w:val="BookText"/>
      </w:pPr>
      <w:r>
        <w:rPr>
          <w:rFonts w:ascii="IRNazanin" w:hAnsi="IRNazanin" w:eastAsia="IRNazanin" w:cs="IRNazanin"/>
          <w:lang w:bidi="fa-IR"/>
          <w:color w:val="111111"/>
          <w:sz w:val="28"/>
          <w:szCs w:val="28"/>
          <w:rtl/>
        </w:rPr>
        <w:t xml:space="preserve">[شماره صفحه واقعی : 155]
</w:t>
      </w: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کونه دلیلا-مقطوع العدم فی الحالة الثانیة،کما فی الإجماع.</w:t>
      </w:r>
    </w:p>
    <w:p>
      <w:pPr>
        <w:pStyle w:val="BookText"/>
      </w:pPr>
      <w:r>
        <w:rPr>
          <w:rFonts w:ascii="IRNazanin" w:hAnsi="IRNazanin" w:eastAsia="IRNazanin" w:cs="IRNazanin"/>
          <w:lang w:bidi="fa-IR"/>
          <w:color w:val="111111"/>
          <w:sz w:val="28"/>
          <w:szCs w:val="28"/>
          <w:rtl/>
        </w:rPr>
        <w:t xml:space="preserve">و أمّا قوله:«و غرضه من دلالة الدلیل علی الدوام کونه بحیث لو علم أو ظنّ بوجود المدلول فی الآن الثانی...إلی آخر ما ذکره».</w:t>
      </w:r>
    </w:p>
    <w:p>
      <w:pPr>
        <w:pStyle w:val="BookText"/>
      </w:pPr>
      <w:r>
        <w:rPr>
          <w:rFonts w:ascii="IRNazanin" w:hAnsi="IRNazanin" w:eastAsia="IRNazanin" w:cs="IRNazanin"/>
          <w:lang w:bidi="fa-IR"/>
          <w:color w:val="111111"/>
          <w:sz w:val="28"/>
          <w:szCs w:val="28"/>
          <w:rtl/>
        </w:rPr>
        <w:t xml:space="preserve">ففیه </w:t>
      </w:r>
      <w:r>
        <w:rPr>
          <w:rStyle w:val="FootnoteReference"/>
        </w:rPr>
        <w:footnoteReference w:id="2004"/>
      </w:r>
      <w:r>
        <w:rPr>
          <w:rFonts w:ascii="IRNazanin" w:hAnsi="IRNazanin" w:eastAsia="IRNazanin" w:cs="IRNazanin"/>
          <w:lang w:bidi="fa-IR"/>
          <w:color w:val="111111"/>
          <w:sz w:val="28"/>
          <w:szCs w:val="28"/>
          <w:rtl/>
        </w:rPr>
        <w:t xml:space="preserve">:أنّه إذا علم لدلیل أو ظنّ لأمارة،بوجود مضمون هذا الدلیل الساکت-أعنی النجاسة فی المثال المذکور-فإمکان حمل هذا الدلیل علی الدوام:</w:t>
      </w:r>
    </w:p>
    <w:p>
      <w:pPr>
        <w:pStyle w:val="BookText"/>
      </w:pPr>
      <w:r>
        <w:rPr>
          <w:rFonts w:ascii="IRNazanin" w:hAnsi="IRNazanin" w:eastAsia="IRNazanin" w:cs="IRNazanin"/>
          <w:lang w:bidi="fa-IR"/>
          <w:color w:val="111111"/>
          <w:sz w:val="28"/>
          <w:szCs w:val="28"/>
          <w:rtl/>
        </w:rPr>
        <w:t xml:space="preserve">إن ارید به إمکان کونه دلیلا علی الدوام،فهو ممنوع؛لامتناع دلالته علی ذلک،لأنّ دلالة اللفظ لا بدّ له من سبب و اقتضاء، و المفروض عدمه.</w:t>
      </w:r>
    </w:p>
    <w:p>
      <w:pPr>
        <w:pStyle w:val="BookText"/>
      </w:pPr>
      <w:r>
        <w:rPr>
          <w:rFonts w:ascii="IRNazanin" w:hAnsi="IRNazanin" w:eastAsia="IRNazanin" w:cs="IRNazanin"/>
          <w:lang w:bidi="fa-IR"/>
          <w:color w:val="111111"/>
          <w:sz w:val="28"/>
          <w:szCs w:val="28"/>
          <w:rtl/>
        </w:rPr>
        <w:t xml:space="preserve">و إن ارید إمکان کونه مرادا فی الواقع من الدلیل و إن لم یکن الدلیل مفیدا له،ففیه-مع اختصاصه </w:t>
      </w:r>
      <w:r>
        <w:rPr>
          <w:rStyle w:val="FootnoteReference"/>
        </w:rPr>
        <w:footnoteReference w:id="2005"/>
      </w:r>
      <w:r>
        <w:rPr>
          <w:rFonts w:ascii="IRNazanin" w:hAnsi="IRNazanin" w:eastAsia="IRNazanin" w:cs="IRNazanin"/>
          <w:lang w:bidi="fa-IR"/>
          <w:color w:val="111111"/>
          <w:sz w:val="28"/>
          <w:szCs w:val="28"/>
          <w:rtl/>
        </w:rPr>
        <w:t xml:space="preserve">بالإجماع عند العامّة،الذی هو نفس مستند الحکم،لا کاشف عن مستنده الراجع إلی النصّ،و جریان مثله فی المستصحب الثابت بالفعل أو التقریر؛فإنّه لو ثبت دوام الحکم لم یمکن حمل الدلیل علی الدوام-:أنّ هذا المقدار من الفرق لا یؤثّر فیما ذکره الغزالیّ فی نفی استصحاب حال الإجماع؛لأنّ مناط نفیه لذلک -کما عرفت من تمثیله بموت زید و بناء دار-احتیاج الحکم فی الزمان الثانی إلی دلیل أو أمارة.</w:t>
      </w:r>
    </w:p>
    <w:p>
      <w:pPr>
        <w:pStyle w:val="BookText"/>
      </w:pPr>
      <w:r>
        <w:rPr>
          <w:rFonts w:ascii="IRNazanin" w:hAnsi="IRNazanin" w:eastAsia="IRNazanin" w:cs="IRNazanin"/>
          <w:lang w:bidi="fa-IR"/>
          <w:color w:val="111111"/>
          <w:sz w:val="28"/>
          <w:szCs w:val="28"/>
          <w:rtl/>
        </w:rPr>
        <w:t xml:space="preserve">هذا،و علی کلّ حال،فلو فرض کون الغزالیّ مفصّلا فی المسألة بین ثبوت المستصحب بالإجماع و ثبوته بغیره،فیظهر ردّه ممّا ظهر من</w:t>
      </w:r>
    </w:p>
    <w:p>
      <w:pPr>
        <w:pStyle w:val="BookText"/>
      </w:pPr>
      <w:r>
        <w:rPr>
          <w:rFonts w:ascii="IRNazanin" w:hAnsi="IRNazanin" w:eastAsia="IRNazanin" w:cs="IRNazanin"/>
          <w:lang w:bidi="fa-IR"/>
          <w:color w:val="111111"/>
          <w:sz w:val="28"/>
          <w:szCs w:val="28"/>
          <w:rtl/>
        </w:rPr>
        <w:t xml:space="preserve">[شماره صفحه واقعی : 156]
</w:t>
      </w: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تضاعیف ما تقدّم:من أنّ أدلّة الإثبات لا یفرّق فیها بین الإجماع و غیره،خصوصا ما کان نظیر الإجماع فی السکوت عن حکم الحالة الثانیة،خصوصا إذا علم عدم إرادة الدوام منه فی الواقع کالفعل و التقریر،و أدلّة النفی کذلک لا یفرّق فیها بینهما أیضا.</w:t>
      </w:r>
    </w:p>
    <w:p>
      <w:pPr>
        <w:pStyle w:val="BookText"/>
      </w:pPr>
      <w:r>
        <w:rPr>
          <w:rFonts w:ascii="IRNazanin" w:hAnsi="IRNazanin" w:eastAsia="IRNazanin" w:cs="IRNazanin"/>
          <w:lang w:bidi="fa-IR"/>
          <w:color w:val="111111"/>
          <w:sz w:val="28"/>
          <w:szCs w:val="28"/>
          <w:rtl/>
        </w:rPr>
        <w:t xml:space="preserve">و </w:t>
      </w:r>
      <w:r>
        <w:rPr>
          <w:rStyle w:val="FootnoteReference"/>
        </w:rPr>
        <w:footnoteReference w:id="2006"/>
      </w:r>
      <w:r>
        <w:rPr>
          <w:rFonts w:ascii="Amiri" w:hAnsi="Amiri" w:eastAsia="Amiri" w:cs="Amiri"/>
          <w:lang w:bidi="ar-SA"/>
          <w:color w:val="111111"/>
          <w:sz w:val="28"/>
          <w:szCs w:val="28"/>
          <w:rtl/>
        </w:rPr>
        <w:t xml:space="preserve">قد یفرّق </w:t>
      </w:r>
      <w:r>
        <w:rPr>
          <w:rStyle w:val="FootnoteReference"/>
        </w:rPr>
        <w:footnoteReference w:id="2007"/>
      </w:r>
      <w:r>
        <w:rPr>
          <w:rFonts w:ascii="IRNazanin" w:hAnsi="IRNazanin" w:eastAsia="IRNazanin" w:cs="IRNazanin"/>
          <w:lang w:bidi="fa-IR"/>
          <w:color w:val="111111"/>
          <w:sz w:val="28"/>
          <w:szCs w:val="28"/>
          <w:rtl/>
        </w:rPr>
        <w:t xml:space="preserve">بینهما:بأنّ الموضوع فی النصّ مبیّن یمکن العلم بتحقّقه و عدم تحقّقه فی الآن اللاحق،کما إذا قال:«الماء إذا تغیّر نجس»،فإنّ الماء موضوع و التغیّر قید للنجاسة،فإذا زال التغیّر أمکن استصحاب النجاسة للماء.</w:t>
      </w:r>
    </w:p>
    <w:p>
      <w:pPr>
        <w:pStyle w:val="BookText"/>
      </w:pPr>
      <w:r>
        <w:rPr>
          <w:rFonts w:ascii="IRNazanin" w:hAnsi="IRNazanin" w:eastAsia="IRNazanin" w:cs="IRNazanin"/>
          <w:lang w:bidi="fa-IR"/>
          <w:color w:val="111111"/>
          <w:sz w:val="28"/>
          <w:szCs w:val="28"/>
          <w:rtl/>
        </w:rPr>
        <w:t xml:space="preserve">و إذا قال:«الماء المتغیّر نجس»،فظاهره ثبوت النجاسة للماء المتلبّس بالتغیّر،فإذا زال التغیّر لم یمکن الاستصحاب؛لأنّ الموضوع هو المتلبّس بالتغیّر و هو غیر موجود،کما إذا قال:«الکلب نجس»،فإنّه لا یمکن استصحاب النجاسة بعد استحالته ملحا.</w:t>
      </w:r>
    </w:p>
    <w:p>
      <w:pPr>
        <w:pStyle w:val="BookText"/>
      </w:pPr>
      <w:r>
        <w:rPr>
          <w:rFonts w:ascii="IRNazanin" w:hAnsi="IRNazanin" w:eastAsia="IRNazanin" w:cs="IRNazanin"/>
          <w:lang w:bidi="fa-IR"/>
          <w:color w:val="111111"/>
          <w:sz w:val="28"/>
          <w:szCs w:val="28"/>
          <w:rtl/>
        </w:rPr>
        <w:t xml:space="preserve">فإذا فرضنا انعقاد الإجماع علی نجاسة الماء المتّصف بالتغیّر، فالإجماع أمر لبّیّ لیس فیه تعرّض لبیان کون الماء موضوعا و التغیّر قیدا للنجاسة،أو أنّ الموضوع هو المتلبّس بوصف التغیّر.</w:t>
      </w:r>
    </w:p>
    <w:p>
      <w:pPr>
        <w:pStyle w:val="BookText"/>
      </w:pPr>
      <w:r>
        <w:rPr>
          <w:rFonts w:ascii="IRNazanin" w:hAnsi="IRNazanin" w:eastAsia="IRNazanin" w:cs="IRNazanin"/>
          <w:lang w:bidi="fa-IR"/>
          <w:color w:val="111111"/>
          <w:sz w:val="28"/>
          <w:szCs w:val="28"/>
          <w:rtl/>
        </w:rPr>
        <w:t xml:space="preserve">و کذلک إذا انعقد الإجماع علی جواز تقلید المجتهد فی حال حیاته ثمّ مات،فإنّه لا یتعیّن الموضوع حتّی یحرز عند إرادة الاستصحاب.</w:t>
      </w:r>
    </w:p>
    <w:p>
      <w:pPr>
        <w:pStyle w:val="BookText"/>
      </w:pPr>
      <w:r>
        <w:rPr>
          <w:rFonts w:ascii="IRNazanin" w:hAnsi="IRNazanin" w:eastAsia="IRNazanin" w:cs="IRNazanin"/>
          <w:lang w:bidi="fa-IR"/>
          <w:color w:val="111111"/>
          <w:sz w:val="28"/>
          <w:szCs w:val="28"/>
          <w:rtl/>
        </w:rPr>
        <w:t xml:space="preserve">لکن هذا الکلام جار فی جمیع الأدلّة الغیر اللفظیّة.</w:t>
      </w:r>
    </w:p>
    <w:p>
      <w:pPr>
        <w:pStyle w:val="BookText"/>
      </w:pPr>
      <w:r>
        <w:rPr>
          <w:rFonts w:ascii="IRNazanin" w:hAnsi="IRNazanin" w:eastAsia="IRNazanin" w:cs="IRNazanin"/>
          <w:lang w:bidi="fa-IR"/>
          <w:color w:val="111111"/>
          <w:sz w:val="28"/>
          <w:szCs w:val="28"/>
          <w:rtl/>
        </w:rPr>
        <w:t xml:space="preserve">[شماره صفحه واقعی : 157]
</w:t>
      </w: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 </w:t>
      </w:r>
      <w:r>
        <w:rPr>
          <w:rStyle w:val="FootnoteReference"/>
        </w:rPr>
        <w:footnoteReference w:id="2008"/>
      </w:r>
      <w:r>
        <w:rPr>
          <w:rFonts w:ascii="IRNazanin" w:hAnsi="IRNazanin" w:eastAsia="IRNazanin" w:cs="IRNazanin"/>
          <w:lang w:bidi="fa-IR"/>
          <w:color w:val="111111"/>
          <w:sz w:val="28"/>
          <w:szCs w:val="28"/>
          <w:rtl/>
        </w:rPr>
        <w:t xml:space="preserve">،ما سیجیء </w:t>
      </w:r>
      <w:r>
        <w:rPr>
          <w:rStyle w:val="FootnoteReference"/>
        </w:rPr>
        <w:footnoteReference w:id="2009"/>
      </w:r>
      <w:r>
        <w:rPr>
          <w:rFonts w:ascii="Amiri" w:hAnsi="Amiri" w:eastAsia="Amiri" w:cs="Amiri"/>
          <w:lang w:bidi="ar-SA"/>
          <w:color w:val="111111"/>
          <w:sz w:val="28"/>
          <w:szCs w:val="28"/>
          <w:rtl/>
        </w:rPr>
        <w:t xml:space="preserve">و تقدّم </w:t>
      </w:r>
      <w:r>
        <w:rPr>
          <w:rStyle w:val="FootnoteReference"/>
        </w:rPr>
        <w:footnoteReference w:id="2010"/>
      </w:r>
      <w:r>
        <w:rPr>
          <w:rFonts w:ascii="IRNazanin" w:hAnsi="IRNazanin" w:eastAsia="IRNazanin" w:cs="IRNazanin"/>
          <w:lang w:bidi="fa-IR"/>
          <w:color w:val="111111"/>
          <w:sz w:val="28"/>
          <w:szCs w:val="28"/>
          <w:rtl/>
        </w:rPr>
        <w:t xml:space="preserve">-من أنّ تعیین الموضوع فی الاستصحاب بالعرف لا بالمداقّة و لا بمراجعة الأدلّة الشرعیّة-یکفی فی دفع الفرق المذکور،فتراهم یجرون الاستصحاب فیما لا یساعد دلیل المستصحب علی بقاء الموضوع فیه فی الزمان اللاحق،کما سیجیء فی مسألة اشتراط بقاء الموضوع إن شاء اللّه </w:t>
      </w:r>
      <w:r>
        <w:rPr>
          <w:rStyle w:val="FootnoteReference"/>
        </w:rPr>
        <w:footnoteReference w:id="20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158]
</w:t>
      </w: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bookmarkStart w:id="415" w:name="pg14411_143052"/>
    <w:bookmarkEnd w:id="415"/>
    <w:p>
      <w:pPr>
        <w:pStyle w:val="Heading5"/>
      </w:pPr>
      <w:bookmarkStart w:id="1846" w:name="_Toc881"/>
      <w:r>
        <w:t>حجّة القول التاسع [:التفصیل بین الشک فی المقتضی و الشک فی الرافع:]</w:t>
      </w:r>
      <w:bookmarkEnd w:id="1846"/>
    </w:p>
    <w:p>
      <w:pPr>
        <w:pStyle w:val="Heading6"/>
      </w:pPr>
      <w:bookmarkStart w:id="1847" w:name="_Toc882"/>
      <w:r>
        <w:t>اشارة</w:t>
      </w:r>
      <w:bookmarkEnd w:id="1847"/>
    </w:p>
    <w:p>
      <w:pPr>
        <w:pStyle w:val="BookText"/>
      </w:pPr>
      <w:r>
        <w:rPr>
          <w:rFonts w:ascii="IRNazanin" w:hAnsi="IRNazanin" w:eastAsia="IRNazanin" w:cs="IRNazanin"/>
          <w:lang w:bidi="fa-IR"/>
          <w:color w:val="111111"/>
          <w:sz w:val="28"/>
          <w:szCs w:val="28"/>
          <w:rtl/>
        </w:rPr>
        <w:t xml:space="preserve">و هو التفصیل بین ما ثبت استمرار المستصحب و احتیاجه فی الارتفاع إلی الرافع،و بین غیره:ما یظهر من آخر کلام المحقّق فی المعارج-کما تقدّم فی نقل الأقوال </w:t>
      </w:r>
      <w:r>
        <w:rPr>
          <w:rStyle w:val="FootnoteReference"/>
        </w:rPr>
        <w:footnoteReference w:id="2012"/>
      </w:r>
      <w:r>
        <w:rPr>
          <w:rFonts w:ascii="IRNazanin" w:hAnsi="IRNazanin" w:eastAsia="IRNazanin" w:cs="IRNazanin"/>
          <w:lang w:bidi="fa-IR"/>
          <w:color w:val="111111"/>
          <w:sz w:val="28"/>
          <w:szCs w:val="28"/>
          <w:rtl/>
        </w:rPr>
        <w:t xml:space="preserve">-حیث قال:</w:t>
      </w:r>
    </w:p>
    <w:p>
      <w:pPr>
        <w:pStyle w:val="Heading6"/>
      </w:pPr>
      <w:bookmarkStart w:id="1848" w:name="_Toc883"/>
      <w:r>
        <w:t>[ما استدلّ به فی المعارج علی هذا القول:]</w:t>
      </w:r>
      <w:bookmarkEnd w:id="1848"/>
    </w:p>
    <w:p>
      <w:pPr>
        <w:pStyle w:val="Heading6"/>
      </w:pPr>
      <w:bookmarkStart w:id="1849" w:name="_Toc884"/>
      <w:r>
        <w:t>اشارة</w:t>
      </w:r>
      <w:bookmarkEnd w:id="1849"/>
    </w:p>
    <w:p>
      <w:pPr>
        <w:pStyle w:val="BookText"/>
      </w:pPr>
      <w:r>
        <w:rPr>
          <w:rFonts w:ascii="IRNazanin" w:hAnsi="IRNazanin" w:eastAsia="IRNazanin" w:cs="IRNazanin"/>
          <w:lang w:bidi="fa-IR"/>
          <w:color w:val="111111"/>
          <w:sz w:val="28"/>
          <w:szCs w:val="28"/>
          <w:rtl/>
        </w:rPr>
        <w:t xml:space="preserve">و الذی نختاره أن ننظر فی دلیل ذلک الحکم،فإن کان یقتضیه مطلقا وجب الحکم باستمرار الحکم،کعقد النکاح فإنّه یوجب حلّ الوطء مطلقا،فإذا وجد الخلاف فی الألفاظ التی یقع بها الطلاق، فالمستدلّ علی أنّ الطلاق لا یقع بها لو قال:«حلّ الوطء ثابت قبل النطق بها فکذا بعده»کان صحیحا؛فإنّ المقتضی للتحلیل-و هو العقد- اقتضاه مطلقا،و لا یعلم أنّ الألفاظ المذکورة رافعة لذلک الاقتضاء، فیثبت الحکم عملا بالمقتضی.</w:t>
      </w:r>
    </w:p>
    <w:p>
      <w:pPr>
        <w:pStyle w:val="BookText"/>
      </w:pPr>
      <w:r>
        <w:rPr>
          <w:rFonts w:ascii="IRNazanin" w:hAnsi="IRNazanin" w:eastAsia="IRNazanin" w:cs="IRNazanin"/>
          <w:lang w:bidi="fa-IR"/>
          <w:color w:val="111111"/>
          <w:sz w:val="28"/>
          <w:szCs w:val="28"/>
          <w:rtl/>
        </w:rPr>
        <w:t xml:space="preserve">لا یقال:إنّ المقتضی هو العقد،و لم یثبت أنّه باق،فلم یثبت الحکم.</w:t>
      </w:r>
    </w:p>
    <w:p>
      <w:pPr>
        <w:pStyle w:val="BookText"/>
      </w:pPr>
      <w:r>
        <w:rPr>
          <w:rFonts w:ascii="IRNazanin" w:hAnsi="IRNazanin" w:eastAsia="IRNazanin" w:cs="IRNazanin"/>
          <w:lang w:bidi="fa-IR"/>
          <w:color w:val="111111"/>
          <w:sz w:val="28"/>
          <w:szCs w:val="28"/>
          <w:rtl/>
        </w:rPr>
        <w:t xml:space="preserve">لأنّا نقول:وقوع العقد اقتضی حلّ الوطء لا مقیّدا،فیلزم دوام الحلّ؛نظرا إلی وقوع المقتضی،لا إلی دوامه،فیجب أن یثبت الحلّ حتّی یثبت الرافع.فإن کان الخصم یعنی بالاستصحاب ما أشرنا إلیه فلیس ذلک عملا بغیر دلیل،و إن کان یعنی أمرا آخر وراء هذا فنحن مضربون عنه </w:t>
      </w:r>
      <w:r>
        <w:rPr>
          <w:rStyle w:val="FootnoteReference"/>
        </w:rPr>
        <w:footnoteReference w:id="2013"/>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[شماره صفحه واقعی : 159]
</w:t>
      </w: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bookmarkStart w:id="416" w:name="pg14411_143053"/>
    <w:bookmarkEnd w:id="416"/>
    <w:p>
      <w:pPr>
        <w:pStyle w:val="BookText"/>
      </w:pPr>
      <w:r>
        <w:rPr>
          <w:rFonts w:ascii="IRNazanin" w:hAnsi="IRNazanin" w:eastAsia="IRNazanin" w:cs="IRNazanin"/>
          <w:lang w:bidi="fa-IR"/>
          <w:color w:val="111111"/>
          <w:sz w:val="28"/>
          <w:szCs w:val="28"/>
          <w:rtl/>
        </w:rPr>
        <w:t xml:space="preserve">و حاصل هذا الاستدلال یرجع إلی کفایة وجود المقتضی و عدم العلم بالرافع لوجود المقتضی </w:t>
      </w:r>
      <w:r>
        <w:rPr>
          <w:rStyle w:val="FootnoteReference"/>
        </w:rPr>
        <w:footnoteReference w:id="2014"/>
      </w:r>
      <w:r>
        <w:rPr>
          <w:rFonts w:ascii="Times New Roman" w:hAnsi="Times New Roman" w:eastAsia="Times New Roman" w:cs="Times New Roman"/>
          <w:lang w:val="en-US" w:bidi="en-US"/>
          <w:color w:val="111111"/>
          <w:sz w:val="28"/>
          <w:szCs w:val="28"/>
          <w:rtl/>
        </w:rPr>
        <w:t xml:space="preserve">.</w:t>
      </w:r>
    </w:p>
    <w:p>
      <w:pPr>
        <w:pStyle w:val="Heading6"/>
      </w:pPr>
      <w:bookmarkStart w:id="1850" w:name="_Toc885"/>
      <w:r>
        <w:t>[المناقشة فی الدلیل المذکور:]</w:t>
      </w:r>
      <w:bookmarkEnd w:id="1850"/>
    </w:p>
    <w:p>
      <w:pPr>
        <w:pStyle w:val="Heading6"/>
      </w:pPr>
      <w:bookmarkStart w:id="1851" w:name="_Toc886"/>
      <w:r>
        <w:t>اشارة</w:t>
      </w:r>
      <w:bookmarkEnd w:id="1851"/>
    </w:p>
    <w:p>
      <w:pPr>
        <w:pStyle w:val="BookText"/>
      </w:pPr>
      <w:r>
        <w:rPr>
          <w:rFonts w:ascii="IRNazanin" w:hAnsi="IRNazanin" w:eastAsia="IRNazanin" w:cs="IRNazanin"/>
          <w:lang w:bidi="fa-IR"/>
          <w:color w:val="111111"/>
          <w:sz w:val="28"/>
          <w:szCs w:val="28"/>
          <w:rtl/>
        </w:rPr>
        <w:t xml:space="preserve">و فیه:أنّ الحکم بوجود الشیء لا یکون إلاّ مع العلم بوجود علّته التامّة التی من أجزائها عدم الرافع،فعدم العلم به یوجب عدم العلم بتحقّق العلّة التامّة،إلاّ أن یثبت التعبّد من الشارع بالحکم بالعدم عند عدم العلم به،و هو عین الکلام فی اعتبار الاستصحاب.</w:t>
      </w:r>
    </w:p>
    <w:p>
      <w:pPr>
        <w:pStyle w:val="Heading6"/>
      </w:pPr>
      <w:bookmarkStart w:id="1852" w:name="_Toc887"/>
      <w:r>
        <w:t>[الأولی فی الاستدلال علی هذا القول:]</w:t>
      </w:r>
      <w:bookmarkEnd w:id="1852"/>
    </w:p>
    <w:p>
      <w:pPr>
        <w:pStyle w:val="BookText"/>
      </w:pPr>
      <w:r>
        <w:rPr>
          <w:rFonts w:ascii="IRNazanin" w:hAnsi="IRNazanin" w:eastAsia="IRNazanin" w:cs="IRNazanin"/>
          <w:lang w:bidi="fa-IR"/>
          <w:color w:val="111111"/>
          <w:sz w:val="28"/>
          <w:szCs w:val="28"/>
          <w:rtl/>
        </w:rPr>
        <w:t xml:space="preserve">و الأولی:الاستدلال له بما استظهرناه </w:t>
      </w:r>
      <w:r>
        <w:rPr>
          <w:rStyle w:val="FootnoteReference"/>
        </w:rPr>
        <w:footnoteReference w:id="2015"/>
      </w:r>
      <w:r>
        <w:rPr>
          <w:rFonts w:ascii="IRNazanin" w:hAnsi="IRNazanin" w:eastAsia="IRNazanin" w:cs="IRNazanin"/>
          <w:lang w:bidi="fa-IR"/>
          <w:color w:val="111111"/>
          <w:sz w:val="28"/>
          <w:szCs w:val="28"/>
          <w:rtl/>
        </w:rPr>
        <w:t xml:space="preserve">من الروایات السابقة-بعد نقلها-:من أنّ النقض رفع الأمر المستمرّ فی نفسه و قطع الشیء المتّصل کذلک،فلا بدّ أن یکون متعلّقة ما یکون له استمرار و اتّصال،و لیس ذلک نفس الیقین؛لانتقاضه بغیر اختیار المکلّف،فلا یقع فی حیّز التحریم،و لا أحکام الیقین من حیث هو وصف من الأوصاف؛ لارتفاعها بارتفاعه قطعا،بل المراد به </w:t>
      </w:r>
      <w:r>
        <w:rPr>
          <w:rStyle w:val="FootnoteReference"/>
        </w:rPr>
        <w:footnoteReference w:id="2016"/>
      </w:r>
      <w:r>
        <w:rPr>
          <w:rFonts w:ascii="IRNazanin" w:hAnsi="IRNazanin" w:eastAsia="IRNazanin" w:cs="IRNazanin"/>
          <w:lang w:bidi="fa-IR"/>
          <w:color w:val="111111"/>
          <w:sz w:val="28"/>
          <w:szCs w:val="28"/>
          <w:rtl/>
        </w:rPr>
        <w:t xml:space="preserve">-بدلالة الاقتضاء-الأحکام الثابتة للمتیقّن بواسطة الیقین؛لأنّ نقض الیقین بعد ارتفاعه لا یعقل له معنی سوی هذا،فحینئذ لا بدّ أن یکون أحکام المتیقّن کنفسه ممّا یکون مستمرّا لو لا </w:t>
      </w:r>
      <w:r>
        <w:rPr>
          <w:rStyle w:val="FootnoteReference"/>
        </w:rPr>
        <w:footnoteReference w:id="2017"/>
      </w:r>
      <w:r>
        <w:rPr>
          <w:rFonts w:ascii="IRNazanin" w:hAnsi="IRNazanin" w:eastAsia="IRNazanin" w:cs="IRNazanin"/>
          <w:lang w:bidi="fa-IR"/>
          <w:color w:val="111111"/>
          <w:sz w:val="28"/>
          <w:szCs w:val="28"/>
          <w:rtl/>
        </w:rPr>
        <w:t xml:space="preserve">الناقض.</w:t>
      </w:r>
    </w:p>
    <w:p>
      <w:pPr>
        <w:pStyle w:val="BookText"/>
      </w:pPr>
      <w:r>
        <w:rPr>
          <w:rFonts w:ascii="IRNazanin" w:hAnsi="IRNazanin" w:eastAsia="IRNazanin" w:cs="IRNazanin"/>
          <w:lang w:bidi="fa-IR"/>
          <w:color w:val="111111"/>
          <w:sz w:val="28"/>
          <w:szCs w:val="28"/>
          <w:rtl/>
        </w:rPr>
        <w:t xml:space="preserve">هذا،و لکن لا بدّ من التأمّل فی أنّ هذا المعنی جار فی المستصحب العدمیّ أم لا؟و لا یبعد تحقّقه،فتأمّل.</w:t>
      </w:r>
    </w:p>
    <w:p>
      <w:pPr>
        <w:pStyle w:val="BookText"/>
      </w:pPr>
      <w:r>
        <w:rPr>
          <w:rFonts w:ascii="IRNazanin" w:hAnsi="IRNazanin" w:eastAsia="IRNazanin" w:cs="IRNazanin"/>
          <w:lang w:bidi="fa-IR"/>
          <w:color w:val="111111"/>
          <w:sz w:val="28"/>
          <w:szCs w:val="28"/>
          <w:rtl/>
        </w:rPr>
        <w:t xml:space="preserve">[شماره صفحه واقعی : 160]
</w:t>
      </w:r>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bookmarkStart w:id="417" w:name="pg14411_143054"/>
    <w:bookmarkEnd w:id="417"/>
    <w:p>
      <w:pPr>
        <w:pStyle w:val="Heading6"/>
      </w:pPr>
      <w:bookmarkStart w:id="1853" w:name="_Toc888"/>
      <w:r>
        <w:t>[مبنی نسبة هذا القول إلی المحقّق:]</w:t>
      </w:r>
      <w:bookmarkEnd w:id="1853"/>
    </w:p>
    <w:p>
      <w:pPr>
        <w:pStyle w:val="Heading6"/>
      </w:pPr>
      <w:bookmarkStart w:id="1854" w:name="_Toc889"/>
      <w:r>
        <w:t>اشارة</w:t>
      </w:r>
      <w:bookmarkEnd w:id="1854"/>
    </w:p>
    <w:p>
      <w:pPr>
        <w:pStyle w:val="BookText"/>
      </w:pPr>
      <w:r>
        <w:rPr>
          <w:rFonts w:ascii="Amiri" w:hAnsi="Amiri" w:eastAsia="Amiri" w:cs="Amiri"/>
          <w:lang w:bidi="ar-SA"/>
          <w:color w:val="111111"/>
          <w:sz w:val="28"/>
          <w:szCs w:val="28"/>
          <w:rtl/>
        </w:rPr>
        <w:t xml:space="preserve">ثمّ إنّ نسبة القول المذکور إلی المحقّق قدّس سرّه مبنیّ علی أنّ مراده </w:t>
      </w:r>
      <w:r>
        <w:rPr>
          <w:rStyle w:val="FootnoteReference"/>
        </w:rPr>
        <w:footnoteReference w:id="2018"/>
      </w:r>
      <w:r>
        <w:rPr>
          <w:rFonts w:ascii="IRNazanin" w:hAnsi="IRNazanin" w:eastAsia="IRNazanin" w:cs="IRNazanin"/>
          <w:lang w:bidi="fa-IR"/>
          <w:color w:val="111111"/>
          <w:sz w:val="28"/>
          <w:szCs w:val="28"/>
          <w:rtl/>
        </w:rPr>
        <w:t xml:space="preserve">من دلیل الحکم فی کلامه-بقرینة تمثیله بعقد النکاح فی المثال المذکور- هو المقتضی،و علی أن یکون حکم الشکّ فی وجود الرافع حکم الشکّ فی رافعیّة الشیء؛إمّا لدلالة دلیله المذکور علی ذلک،و إمّا لعدم القول بالإثبات فی الشکّ فی الرافعیّة و الإنکار فی الشکّ فی وجود الرافع،و إن کان العکس موجودا،کما سیجیء من المحقّق السبزواری </w:t>
      </w:r>
      <w:r>
        <w:rPr>
          <w:rStyle w:val="FootnoteReference"/>
        </w:rPr>
        <w:footnoteReference w:id="20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لکن فی کلا الوجهین نظر:</w:t>
      </w:r>
    </w:p>
    <w:p>
      <w:pPr>
        <w:pStyle w:val="Heading6"/>
      </w:pPr>
      <w:bookmarkStart w:id="1855" w:name="_Toc890"/>
      <w:r>
        <w:t>[المناقشة فی المبنی المذکور:]</w:t>
      </w:r>
      <w:bookmarkEnd w:id="1855"/>
    </w:p>
    <w:p>
      <w:pPr>
        <w:pStyle w:val="BookText"/>
      </w:pPr>
      <w:r>
        <w:rPr>
          <w:rFonts w:ascii="IRNazanin" w:hAnsi="IRNazanin" w:eastAsia="IRNazanin" w:cs="IRNazanin"/>
          <w:lang w:bidi="fa-IR"/>
          <w:color w:val="111111"/>
          <w:sz w:val="28"/>
          <w:szCs w:val="28"/>
          <w:rtl/>
        </w:rPr>
        <w:t xml:space="preserve">أمّا الأوّل،فالإمکان الفرق فی الدلیل الذی ذکره؛لأنّ مرجع ما ذکره فی الاستدلال إلی جعل المقتضی و الرافع من قبیل العامّ و المخصّص، فإذا ثبت عموم المقتضی-و هو عقد النکاح-لحلّ الوطء فی جمیع الأوقات،فلا یجوز رفع الید عنه بالألفاظ التی وقع الشکّ فی کونها مزیلة لقید </w:t>
      </w:r>
      <w:r>
        <w:rPr>
          <w:rStyle w:val="FootnoteReference"/>
        </w:rPr>
        <w:footnoteReference w:id="2020"/>
      </w:r>
      <w:r>
        <w:rPr>
          <w:rFonts w:ascii="IRNazanin" w:hAnsi="IRNazanin" w:eastAsia="IRNazanin" w:cs="IRNazanin"/>
          <w:lang w:bidi="fa-IR"/>
          <w:color w:val="111111"/>
          <w:sz w:val="28"/>
          <w:szCs w:val="28"/>
          <w:rtl/>
        </w:rPr>
        <w:t xml:space="preserve">النکاح؛إذ من المعلوم أنّ العموم لا یرفع الید عنه بمجرّد الشکّ فی التخصیص.</w:t>
      </w:r>
    </w:p>
    <w:p>
      <w:pPr>
        <w:pStyle w:val="BookText"/>
      </w:pPr>
      <w:r>
        <w:rPr>
          <w:rFonts w:ascii="IRNazanin" w:hAnsi="IRNazanin" w:eastAsia="IRNazanin" w:cs="IRNazanin"/>
          <w:lang w:bidi="fa-IR"/>
          <w:color w:val="111111"/>
          <w:sz w:val="28"/>
          <w:szCs w:val="28"/>
          <w:rtl/>
        </w:rPr>
        <w:t xml:space="preserve">أمّا لو ثبت تخصیص العامّ-و هو المقتضی لحلّ الوطء،أعنی عقد النکاح-بمخصّص،و هو اللفظ الذی اتّفق علی کونه مزیلا لقید </w:t>
      </w:r>
      <w:r>
        <w:rPr>
          <w:rFonts w:ascii="Times New Roman" w:hAnsi="Times New Roman" w:eastAsia="Times New Roman" w:cs="Times New Roman"/>
          <w:lang w:val="en-US" w:bidi="en-US"/>
          <w:color w:val="111111"/>
          <w:sz w:val="28"/>
          <w:szCs w:val="28"/>
          <w:vertAlign w:val="superscript"/>
          <w:rtl/>
        </w:rPr>
        <w:t xml:space="preserve">(4)</w:t>
      </w:r>
      <w:r>
        <w:rPr>
          <w:rFonts w:ascii="IRNazanin" w:hAnsi="IRNazanin" w:eastAsia="IRNazanin" w:cs="IRNazanin"/>
          <w:lang w:bidi="fa-IR"/>
          <w:color w:val="111111"/>
          <w:sz w:val="28"/>
          <w:szCs w:val="28"/>
          <w:rtl/>
        </w:rPr>
        <w:t xml:space="preserve">النکاح،فإذا شکّ فی تحقّقه و عدمه فیمکن منع التمسّک بالعموم حینئذ؛ إذ الشکّ لیس فی طروّ التخصیص علی العامّ،بل فی وجود ما خصّص العامّ به یقینا،فیحتاج إثبات عدمه المتمّم للتمسّک بالعامّ إلی إجراء</w:t>
      </w:r>
    </w:p>
    <w:p>
      <w:pPr>
        <w:pStyle w:val="BookText"/>
      </w:pPr>
      <w:r>
        <w:rPr>
          <w:rFonts w:ascii="IRNazanin" w:hAnsi="IRNazanin" w:eastAsia="IRNazanin" w:cs="IRNazanin"/>
          <w:lang w:bidi="fa-IR"/>
          <w:color w:val="111111"/>
          <w:sz w:val="28"/>
          <w:szCs w:val="28"/>
          <w:rtl/>
        </w:rPr>
        <w:t xml:space="preserve">[شماره صفحه واقعی : 161]
</w:t>
      </w:r>
    </w:p>
    <w:p>
      <w:pPr>
        <w:sectPr>
          <w:footerReference w:type="default" r:id="rId673"/>
          <w:footnotePr>
            <w:numStart w:val="1"/>
            <w:numRestart w:val="eachPage"/>
          </w:footnotePr>
          <w:pgSz w:orient="portrait" w:w="11905.511811023622" w:h="16837.79527559055"/>
          <w:pgMar w:top="1440" w:right="1440" w:bottom="1440" w:left="1440" w:header="720" w:footer="720" w:gutter="0"/>
          <w:cols w:num="1" w:space="720"/>
        </w:sectPr>
      </w:pPr>
    </w:p>
    <w:bookmarkStart w:id="418" w:name="pg14411_143055"/>
    <w:bookmarkEnd w:id="418"/>
    <w:p>
      <w:pPr>
        <w:pStyle w:val="BookText"/>
      </w:pPr>
      <w:r>
        <w:rPr>
          <w:rFonts w:ascii="IRNazanin" w:hAnsi="IRNazanin" w:eastAsia="IRNazanin" w:cs="IRNazanin"/>
          <w:lang w:bidi="fa-IR"/>
          <w:color w:val="111111"/>
          <w:sz w:val="28"/>
          <w:szCs w:val="28"/>
          <w:rtl/>
        </w:rPr>
        <w:t xml:space="preserve">الاستصحاب،بخلاف ما لو شکّ فی أصل التخصیص،فإنّ العامّ یکفی لإثبات حکمه فی مورد الشکّ </w:t>
      </w:r>
      <w:r>
        <w:rPr>
          <w:rStyle w:val="FootnoteReference"/>
        </w:rPr>
        <w:footnoteReference w:id="20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بالجملة:فالفرق بینهما،أنّ الشکّ فی الرافعیّة-فی ما نحن فیه </w:t>
      </w:r>
      <w:r>
        <w:rPr>
          <w:rStyle w:val="FootnoteReference"/>
        </w:rPr>
        <w:footnoteReference w:id="2022"/>
      </w:r>
      <w:r>
        <w:rPr>
          <w:rFonts w:ascii="IRNazanin" w:hAnsi="IRNazanin" w:eastAsia="IRNazanin" w:cs="IRNazanin"/>
          <w:lang w:bidi="fa-IR"/>
          <w:color w:val="111111"/>
          <w:sz w:val="28"/>
          <w:szCs w:val="28"/>
          <w:rtl/>
        </w:rPr>
        <w:t xml:space="preserve">- من قبیل الشکّ فی تخصیص العامّ زائدا علی ما علم تخصیصه،نظیر ما إذا ثبت تخصیص العلماء فی«أکرم العلماء»بمرتکبی الکبائر،و شکّ فی تخصیصه بمرتکب الصغائر،فإنّه یجب التمسّک بالعموم.</w:t>
      </w:r>
    </w:p>
    <w:p>
      <w:pPr>
        <w:pStyle w:val="BookText"/>
      </w:pPr>
      <w:r>
        <w:rPr>
          <w:rFonts w:ascii="IRNazanin" w:hAnsi="IRNazanin" w:eastAsia="IRNazanin" w:cs="IRNazanin"/>
          <w:lang w:bidi="fa-IR"/>
          <w:color w:val="111111"/>
          <w:sz w:val="28"/>
          <w:szCs w:val="28"/>
          <w:rtl/>
        </w:rPr>
        <w:t xml:space="preserve">و الشکّ فی وجود الرافع-فیما نحن فیه </w:t>
      </w:r>
      <w:r>
        <w:rPr>
          <w:rStyle w:val="FootnoteReference"/>
        </w:rPr>
        <w:footnoteReference w:id="2023"/>
      </w:r>
      <w:r>
        <w:rPr>
          <w:rFonts w:ascii="IRNazanin" w:hAnsi="IRNazanin" w:eastAsia="IRNazanin" w:cs="IRNazanin"/>
          <w:lang w:bidi="fa-IR"/>
          <w:color w:val="111111"/>
          <w:sz w:val="28"/>
          <w:szCs w:val="28"/>
          <w:rtl/>
        </w:rPr>
        <w:t xml:space="preserve">-شکّ فی وجود ما خصّص العامّ به یقینا،نظیر ما إذا علم تخصیصه بمرتکبی الکبائر و شکّ فی تحقّق الارتکاب و عدمه فی عالم،فإنّه لو لا إحراز عدم الارتکاب بأصالة العدم التی مرجعها إلی الاستصحاب المختلف فیه لم ینفع العامّ فی إیجاب إکرام ذلک المشکوک.</w:t>
      </w:r>
    </w:p>
    <w:p>
      <w:pPr>
        <w:pStyle w:val="Heading6"/>
      </w:pPr>
      <w:bookmarkStart w:id="1856" w:name="_Toc891"/>
      <w:r>
        <w:t>[توجیه نسبة هذا القول إلی المحقّق:]</w:t>
      </w:r>
      <w:bookmarkEnd w:id="1856"/>
    </w:p>
    <w:p>
      <w:pPr>
        <w:pStyle w:val="BookText"/>
      </w:pPr>
      <w:r>
        <w:rPr>
          <w:rFonts w:ascii="IRNazanin" w:hAnsi="IRNazanin" w:eastAsia="IRNazanin" w:cs="IRNazanin"/>
          <w:lang w:bidi="fa-IR"/>
          <w:color w:val="111111"/>
          <w:sz w:val="28"/>
          <w:szCs w:val="28"/>
          <w:rtl/>
        </w:rPr>
        <w:t xml:space="preserve">هذا،و لکن یمکن أن یقال:إنّ مبنی کلام المحقّق قدّس سرّه لمّا کان علی وجود المقتضی حال الشکّ و کفایة ذلک فی الحکم بالمقتضی،فلا فرق فی کون الشکّ فی وجود الرافع أو رافعیّة الموجود.</w:t>
      </w:r>
    </w:p>
    <w:p>
      <w:pPr>
        <w:pStyle w:val="BookText"/>
      </w:pPr>
      <w:r>
        <w:rPr>
          <w:rFonts w:ascii="IRNazanin" w:hAnsi="IRNazanin" w:eastAsia="IRNazanin" w:cs="IRNazanin"/>
          <w:lang w:bidi="fa-IR"/>
          <w:color w:val="111111"/>
          <w:sz w:val="28"/>
          <w:szCs w:val="28"/>
          <w:rtl/>
        </w:rPr>
        <w:t xml:space="preserve">و الفرق بین الشکّ فی الخروج و الشکّ فی تحقّق الخارج فی مثال العموم و الخصوص،من جهة إحراز المقتضی للحکم بالعموم ظاهرا فی المثال الأوّل-من جهة أصالة الحقیقة </w:t>
      </w:r>
      <w:r>
        <w:rPr>
          <w:rFonts w:ascii="Times New Roman" w:hAnsi="Times New Roman" w:eastAsia="Times New Roman" w:cs="Times New Roman"/>
          <w:lang w:val="en-US" w:bidi="en-US"/>
          <w:color w:val="111111"/>
          <w:sz w:val="28"/>
          <w:szCs w:val="28"/>
          <w:vertAlign w:val="superscript"/>
          <w:rtl/>
        </w:rPr>
        <w:t xml:space="preserve">(4)</w:t>
      </w:r>
      <w:r>
        <w:rPr>
          <w:rFonts w:ascii="IRNazanin" w:hAnsi="IRNazanin" w:eastAsia="IRNazanin" w:cs="IRNazanin"/>
          <w:lang w:bidi="fa-IR"/>
          <w:color w:val="111111"/>
          <w:sz w:val="28"/>
          <w:szCs w:val="28"/>
          <w:rtl/>
        </w:rPr>
        <w:t xml:space="preserve">-و عدم إحرازه فی المثال الثانی</w:t>
      </w:r>
    </w:p>
    <w:p>
      <w:pPr>
        <w:pStyle w:val="BookText"/>
      </w:pPr>
      <w:r>
        <w:rPr>
          <w:rFonts w:ascii="IRNazanin" w:hAnsi="IRNazanin" w:eastAsia="IRNazanin" w:cs="IRNazanin"/>
          <w:lang w:bidi="fa-IR"/>
          <w:color w:val="111111"/>
          <w:sz w:val="28"/>
          <w:szCs w:val="28"/>
          <w:rtl/>
        </w:rPr>
        <w:t xml:space="preserve">[شماره صفحه واقعی : 162]
</w:t>
      </w:r>
    </w:p>
    <w:p>
      <w:pPr>
        <w:sectPr>
          <w:footerReference w:type="default" r:id="rId6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لعدم جریان ذلک الأصل،لا لإحراز المقتضی لنفس الحکم-و هو وجوب الإکرام-فی الأوّل دون الثانی،فظهر الفرق بین ما نحن فیه و بین المثالین </w:t>
      </w:r>
      <w:r>
        <w:rPr>
          <w:rStyle w:val="FootnoteReference"/>
        </w:rPr>
        <w:footnoteReference w:id="20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دعوی عدم الفصل بین الشکّین علی الوجه المذکور فهو ممّا لم یثبت.</w:t>
      </w:r>
    </w:p>
    <w:p>
      <w:pPr>
        <w:pStyle w:val="BookText"/>
      </w:pPr>
      <w:r>
        <w:rPr>
          <w:rFonts w:ascii="IRNazanin" w:hAnsi="IRNazanin" w:eastAsia="IRNazanin" w:cs="IRNazanin"/>
          <w:lang w:bidi="fa-IR"/>
          <w:color w:val="111111"/>
          <w:sz w:val="28"/>
          <w:szCs w:val="28"/>
          <w:rtl/>
        </w:rPr>
        <w:t xml:space="preserve">نعم،یمکن أن یقال:إنّ المحقّق قدّس سرّه لم یتعرّض لحکم الشکّ فی وجود الرافع؛لأنّ ما کان من الشبهة الحکمیّة من هذا القبیل لیس إلاّ النسخ،و إجراء الاستصحاب فیه إجماعیّ بل ضروریّ،کما تقدّم </w:t>
      </w:r>
      <w:r>
        <w:rPr>
          <w:rStyle w:val="FootnoteReference"/>
        </w:rPr>
        <w:footnoteReference w:id="2025"/>
      </w:r>
      <w:r>
        <w:rPr>
          <w:rStyle w:val="FootnoteReference"/>
        </w:rPr>
        <w:footnoteReference w:id="20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الشبهة الموضوعیّة،فقد تقدّم </w:t>
      </w:r>
      <w:r>
        <w:rPr>
          <w:rStyle w:val="FootnoteReference"/>
        </w:rPr>
        <w:footnoteReference w:id="2027"/>
      </w:r>
      <w:r>
        <w:rPr>
          <w:rFonts w:ascii="IRNazanin" w:hAnsi="IRNazanin" w:eastAsia="IRNazanin" w:cs="IRNazanin"/>
          <w:lang w:bidi="fa-IR"/>
          <w:color w:val="111111"/>
          <w:sz w:val="28"/>
          <w:szCs w:val="28"/>
          <w:rtl/>
        </w:rPr>
        <w:t xml:space="preserve">خروجها فی کلام القدماء عن </w:t>
      </w:r>
      <w:r>
        <w:rPr>
          <w:rStyle w:val="FootnoteReference"/>
        </w:rPr>
        <w:footnoteReference w:id="2028"/>
      </w:r>
      <w:r>
        <w:rPr>
          <w:rFonts w:ascii="IRNazanin" w:hAnsi="IRNazanin" w:eastAsia="IRNazanin" w:cs="IRNazanin"/>
          <w:lang w:bidi="fa-IR"/>
          <w:color w:val="111111"/>
          <w:sz w:val="28"/>
          <w:szCs w:val="28"/>
          <w:rtl/>
        </w:rPr>
        <w:t xml:space="preserve">مسألة الاستصحاب المعدود فی أدلّة الأحکام،فالتکلّم فیها إنّما یقع تبعا للشبهة الحکمیّة،و من باب تمثیل جریان الاستصحاب فی الأحکام و عدم جریانه بالاستصحاب </w:t>
      </w:r>
      <w:r>
        <w:rPr>
          <w:rStyle w:val="FootnoteReference"/>
        </w:rPr>
        <w:footnoteReference w:id="2029"/>
      </w:r>
      <w:r>
        <w:rPr>
          <w:rFonts w:ascii="IRNazanin" w:hAnsi="IRNazanin" w:eastAsia="IRNazanin" w:cs="IRNazanin"/>
          <w:lang w:bidi="fa-IR"/>
          <w:color w:val="111111"/>
          <w:sz w:val="28"/>
          <w:szCs w:val="28"/>
          <w:rtl/>
        </w:rPr>
        <w:t xml:space="preserve">فی الموضوعات الخارجیّة،فتری المنکرین </w:t>
      </w:r>
      <w:r>
        <w:rPr>
          <w:rStyle w:val="FootnoteReference"/>
        </w:rPr>
        <w:footnoteReference w:id="2030"/>
      </w:r>
      <w:r>
        <w:rPr>
          <w:rFonts w:ascii="IRNazanin" w:hAnsi="IRNazanin" w:eastAsia="IRNazanin" w:cs="IRNazanin"/>
          <w:lang w:bidi="fa-IR"/>
          <w:color w:val="111111"/>
          <w:sz w:val="28"/>
          <w:szCs w:val="28"/>
          <w:rtl/>
        </w:rPr>
        <w:t xml:space="preserve">یمثّلون بما إذا غبنا عن بلد فی ساحل البحر لم یجر العادة</w:t>
      </w:r>
    </w:p>
    <w:p>
      <w:pPr>
        <w:pStyle w:val="BookText"/>
      </w:pPr>
      <w:r>
        <w:rPr>
          <w:rFonts w:ascii="IRNazanin" w:hAnsi="IRNazanin" w:eastAsia="IRNazanin" w:cs="IRNazanin"/>
          <w:lang w:bidi="fa-IR"/>
          <w:color w:val="111111"/>
          <w:sz w:val="28"/>
          <w:szCs w:val="28"/>
          <w:rtl/>
        </w:rPr>
        <w:t xml:space="preserve">[شماره صفحه واقعی : 163]
</w:t>
      </w:r>
    </w:p>
    <w:p>
      <w:pPr>
        <w:sectPr>
          <w:footerReference w:type="default" r:id="rId6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ببقائه فإنّه لا یحکم ببقائه بمجرّد احتماله،و المثبتین </w:t>
      </w:r>
      <w:r>
        <w:rPr>
          <w:rStyle w:val="FootnoteReference"/>
        </w:rPr>
        <w:footnoteReference w:id="2031"/>
      </w:r>
      <w:r>
        <w:rPr>
          <w:rFonts w:ascii="IRNazanin" w:hAnsi="IRNazanin" w:eastAsia="IRNazanin" w:cs="IRNazanin"/>
          <w:lang w:bidi="fa-IR"/>
          <w:color w:val="111111"/>
          <w:sz w:val="28"/>
          <w:szCs w:val="28"/>
          <w:rtl/>
        </w:rPr>
        <w:t xml:space="preserve">بما إذا غاب زید عن أهله و ماله فإنّه یحرم التصرّف فیهما بمجرّد احتمال الموت.</w:t>
      </w:r>
    </w:p>
    <w:p>
      <w:pPr>
        <w:pStyle w:val="BookText"/>
      </w:pPr>
      <w:r>
        <w:rPr>
          <w:rFonts w:ascii="IRNazanin" w:hAnsi="IRNazanin" w:eastAsia="IRNazanin" w:cs="IRNazanin"/>
          <w:lang w:bidi="fa-IR"/>
          <w:color w:val="111111"/>
          <w:sz w:val="28"/>
          <w:szCs w:val="28"/>
          <w:rtl/>
        </w:rPr>
        <w:t xml:space="preserve">ثمّ إنّ ظاهر عبارة المحقّق و إن أوهم اختصاص مورد کلامه بصورة دلالة المقتضی علی تأیید الحکم،فلا یشمل ما لو کان الحکم موقّتا-حتّی جعل بعض </w:t>
      </w:r>
      <w:r>
        <w:rPr>
          <w:rStyle w:val="FootnoteReference"/>
        </w:rPr>
        <w:footnoteReference w:id="2032"/>
      </w:r>
      <w:r>
        <w:rPr>
          <w:rFonts w:ascii="IRNazanin" w:hAnsi="IRNazanin" w:eastAsia="IRNazanin" w:cs="IRNazanin"/>
          <w:lang w:bidi="fa-IR"/>
          <w:color w:val="111111"/>
          <w:sz w:val="28"/>
          <w:szCs w:val="28"/>
          <w:rtl/>
        </w:rPr>
        <w:t xml:space="preserve">هذا من وجوه الفرق بین قول المحقّق و المختار،بعد ما ذکر وجوها أخر ضعیفة غیر فارقة-لکن مقتضی دلیله </w:t>
      </w:r>
      <w:r>
        <w:rPr>
          <w:rStyle w:val="FootnoteReference"/>
        </w:rPr>
        <w:footnoteReference w:id="2033"/>
      </w:r>
      <w:r>
        <w:rPr>
          <w:rFonts w:ascii="IRNazanin" w:hAnsi="IRNazanin" w:eastAsia="IRNazanin" w:cs="IRNazanin"/>
          <w:lang w:bidi="fa-IR"/>
          <w:color w:val="111111"/>
          <w:sz w:val="28"/>
          <w:szCs w:val="28"/>
          <w:rtl/>
        </w:rPr>
        <w:t xml:space="preserve">شموله لذلک إذا کان الشکّ فی رافعیّة شیء للحکم قبل مجیء الوقت.</w:t>
      </w:r>
    </w:p>
    <w:p>
      <w:pPr>
        <w:pStyle w:val="BookText"/>
      </w:pPr>
      <w:r>
        <w:rPr>
          <w:rFonts w:ascii="IRNazanin" w:hAnsi="IRNazanin" w:eastAsia="IRNazanin" w:cs="IRNazanin"/>
          <w:lang w:bidi="fa-IR"/>
          <w:color w:val="111111"/>
          <w:sz w:val="28"/>
          <w:szCs w:val="28"/>
          <w:rtl/>
        </w:rPr>
        <w:t xml:space="preserve">[شماره صفحه واقعی : 164]
</w:t>
      </w:r>
    </w:p>
    <w:p>
      <w:pPr>
        <w:sectPr>
          <w:footerReference w:type="default" r:id="rId676"/>
          <w:footnotePr>
            <w:numStart w:val="1"/>
            <w:numRestart w:val="eachPage"/>
          </w:footnotePr>
          <w:pgSz w:orient="portrait" w:w="11905.511811023622" w:h="16837.79527559055"/>
          <w:pgMar w:top="1440" w:right="1440" w:bottom="1440" w:left="1440" w:header="720" w:footer="720" w:gutter="0"/>
          <w:cols w:num="1" w:space="720"/>
        </w:sectPr>
      </w:pPr>
    </w:p>
    <w:bookmarkStart w:id="419" w:name="pg14411_143058"/>
    <w:bookmarkEnd w:id="419"/>
    <w:p>
      <w:pPr>
        <w:pStyle w:val="Heading5"/>
      </w:pPr>
      <w:bookmarkStart w:id="1857" w:name="_Toc892"/>
      <w:r>
        <w:t>حجّة القول العاشر [التفصیل بین الشک فی وجود الغایة و عدمه:]</w:t>
      </w:r>
      <w:bookmarkEnd w:id="1857"/>
    </w:p>
    <w:p>
      <w:pPr>
        <w:pStyle w:val="Heading6"/>
      </w:pPr>
      <w:bookmarkStart w:id="1858" w:name="_Toc893"/>
      <w:r>
        <w:t>اشارة</w:t>
      </w:r>
      <w:bookmarkEnd w:id="1858"/>
    </w:p>
    <w:p>
      <w:pPr>
        <w:pStyle w:val="BookText"/>
      </w:pPr>
      <w:r>
        <w:rPr>
          <w:rFonts w:ascii="IRNazanin" w:hAnsi="IRNazanin" w:eastAsia="IRNazanin" w:cs="IRNazanin"/>
          <w:lang w:bidi="fa-IR"/>
          <w:color w:val="111111"/>
          <w:sz w:val="28"/>
          <w:szCs w:val="28"/>
          <w:rtl/>
        </w:rPr>
        <w:t xml:space="preserve">ما حکی عن المحقّق السبزواری فی الذخیرة </w:t>
      </w:r>
      <w:r>
        <w:rPr>
          <w:rStyle w:val="FootnoteReference"/>
        </w:rPr>
        <w:footnoteReference w:id="2034"/>
      </w:r>
      <w:r>
        <w:rPr>
          <w:rFonts w:ascii="IRNazanin" w:hAnsi="IRNazanin" w:eastAsia="IRNazanin" w:cs="IRNazanin"/>
          <w:lang w:bidi="fa-IR"/>
          <w:color w:val="111111"/>
          <w:sz w:val="28"/>
          <w:szCs w:val="28"/>
          <w:rtl/>
        </w:rPr>
        <w:t xml:space="preserve">،فإنّه استدلّ علی نجاسة الماء الکثیر المطلق الذی سلب عنه الإطلاق-بممازجته مع المضاف النجس-بالاستصحاب.ثمّ ردّه:بأنّ استمرار الحکم تابع لدلالة الدلیل،و الإجماع إنّما دلّ علی النجاسة قبل الممازجة.ثمّ قال:</w:t>
      </w:r>
    </w:p>
    <w:p>
      <w:pPr>
        <w:pStyle w:val="Heading6"/>
      </w:pPr>
      <w:bookmarkStart w:id="1859" w:name="_Toc894"/>
      <w:r>
        <w:t>[ما استدلّ به المحقّق السبزواری علی هذا القول:]</w:t>
      </w:r>
      <w:bookmarkEnd w:id="1859"/>
    </w:p>
    <w:p>
      <w:pPr>
        <w:pStyle w:val="Heading6"/>
      </w:pPr>
      <w:bookmarkStart w:id="1860" w:name="_Toc895"/>
      <w:r>
        <w:t>اشارة</w:t>
      </w:r>
      <w:bookmarkEnd w:id="1860"/>
    </w:p>
    <w:p>
      <w:pPr>
        <w:pStyle w:val="BookText"/>
      </w:pPr>
      <w:r>
        <w:rPr>
          <w:rFonts w:ascii="IRNazanin" w:hAnsi="IRNazanin" w:eastAsia="IRNazanin" w:cs="IRNazanin"/>
          <w:lang w:bidi="fa-IR"/>
          <w:color w:val="111111"/>
          <w:sz w:val="28"/>
          <w:szCs w:val="28"/>
          <w:rtl/>
        </w:rPr>
        <w:t xml:space="preserve">لا یقال:قول أبی جعفر علیه السّلام فی صحیحة زرارة:«لیس ینبغی لک أن تنقض الیقین بالشکّ أبدا،و لکن تنقضه بیقین آخر»یدلّ علی استمرار أحکام الیقین ما لم یثبت الرافع.</w:t>
      </w:r>
    </w:p>
    <w:p>
      <w:pPr>
        <w:pStyle w:val="BookText"/>
      </w:pPr>
      <w:r>
        <w:rPr>
          <w:rFonts w:ascii="IRNazanin" w:hAnsi="IRNazanin" w:eastAsia="IRNazanin" w:cs="IRNazanin"/>
          <w:lang w:bidi="fa-IR"/>
          <w:color w:val="111111"/>
          <w:sz w:val="28"/>
          <w:szCs w:val="28"/>
          <w:rtl/>
        </w:rPr>
        <w:t xml:space="preserve">لأنّا نقول:التحقیق أنّ الحکم الشرعیّ الذی تعلّق به الیقین:إمّا أن یکون مستمرّا-بمعنی أنّ له دلیلا دالا علی الاستمرار بظاهره-أم لا،و علی الأوّل فالشکّ فی رفعه یکون علی أقسام.</w:t>
      </w:r>
    </w:p>
    <w:p>
      <w:pPr>
        <w:pStyle w:val="BookText"/>
      </w:pPr>
      <w:r>
        <w:rPr>
          <w:rFonts w:ascii="IRNazanin" w:hAnsi="IRNazanin" w:eastAsia="IRNazanin" w:cs="IRNazanin"/>
          <w:lang w:bidi="fa-IR"/>
          <w:color w:val="111111"/>
          <w:sz w:val="28"/>
          <w:szCs w:val="28"/>
          <w:rtl/>
        </w:rPr>
        <w:t xml:space="preserve">ثمّ ذکر الشکّ فی وجود الرافع،و الشکّ فی رافعیّة الشیء من جهة إجمال معنی ذلک الشیء،و الشکّ فی کون الشیء مصداقا للرافع المبیّن مفهوما،و الشکّ فی کون الشیء رافعا مستقلا.ثمّ قال:</w:t>
      </w:r>
    </w:p>
    <w:p>
      <w:pPr>
        <w:pStyle w:val="BookText"/>
      </w:pPr>
      <w:r>
        <w:rPr>
          <w:rFonts w:ascii="IRNazanin" w:hAnsi="IRNazanin" w:eastAsia="IRNazanin" w:cs="IRNazanin"/>
          <w:lang w:bidi="fa-IR"/>
          <w:color w:val="111111"/>
          <w:sz w:val="28"/>
          <w:szCs w:val="28"/>
          <w:rtl/>
        </w:rPr>
        <w:t xml:space="preserve">إنّ الخبر المذکور إنّما یدلّ علی النهی عن نقض الیقین بالشکّ، و ذلک إنّما یعقل فی القسم الأوّل من تلک الأقسام الأربعة دون غیره؛ لأنّ فی غیره لو نقض الحکم بوجود الأمر الذی شکّ فی کونه رافعا لم یکن النقض بالشکّ،بل إنّما یحصل النقض بالیقین بوجود ما شکّ فی</w:t>
      </w:r>
    </w:p>
    <w:p>
      <w:pPr>
        <w:pStyle w:val="BookText"/>
      </w:pPr>
      <w:r>
        <w:rPr>
          <w:rFonts w:ascii="IRNazanin" w:hAnsi="IRNazanin" w:eastAsia="IRNazanin" w:cs="IRNazanin"/>
          <w:lang w:bidi="fa-IR"/>
          <w:color w:val="111111"/>
          <w:sz w:val="28"/>
          <w:szCs w:val="28"/>
          <w:rtl/>
        </w:rPr>
        <w:t xml:space="preserve">[شماره صفحه واقعی : 165]
</w:t>
      </w:r>
    </w:p>
    <w:p>
      <w:pPr>
        <w:sectPr>
          <w:footerReference w:type="default" r:id="rId677"/>
          <w:footnotePr>
            <w:numStart w:val="1"/>
            <w:numRestart w:val="eachPage"/>
          </w:footnotePr>
          <w:pgSz w:orient="portrait" w:w="11905.511811023622" w:h="16837.79527559055"/>
          <w:pgMar w:top="1440" w:right="1440" w:bottom="1440" w:left="1440" w:header="720" w:footer="720" w:gutter="0"/>
          <w:cols w:num="1" w:space="720"/>
        </w:sectPr>
      </w:pPr>
    </w:p>
    <w:bookmarkStart w:id="420" w:name="pg14411_143059"/>
    <w:bookmarkEnd w:id="420"/>
    <w:p>
      <w:pPr>
        <w:pStyle w:val="BookText"/>
      </w:pPr>
      <w:r>
        <w:rPr>
          <w:rFonts w:ascii="IRNazanin" w:hAnsi="IRNazanin" w:eastAsia="IRNazanin" w:cs="IRNazanin"/>
          <w:lang w:bidi="fa-IR"/>
          <w:color w:val="111111"/>
          <w:sz w:val="28"/>
          <w:szCs w:val="28"/>
          <w:rtl/>
        </w:rPr>
        <w:t xml:space="preserve">کونه رافعا أو بالیقین بوجود ما یشکّ فی استمرار الحکم معه، لا بالشکّ؛فإنّ الشکّ فی تلک الصور کان حاصلا من قبل و لم یکن بسببه نقض،و إنّما حصل </w:t>
      </w:r>
      <w:r>
        <w:rPr>
          <w:rStyle w:val="FootnoteReference"/>
        </w:rPr>
        <w:footnoteReference w:id="2035"/>
      </w:r>
      <w:r>
        <w:rPr>
          <w:rFonts w:ascii="IRNazanin" w:hAnsi="IRNazanin" w:eastAsia="IRNazanin" w:cs="IRNazanin"/>
          <w:lang w:bidi="fa-IR"/>
          <w:color w:val="111111"/>
          <w:sz w:val="28"/>
          <w:szCs w:val="28"/>
          <w:rtl/>
        </w:rPr>
        <w:t xml:space="preserve">النقض حین الیقین بوجود ما یشکّ فی کونه رافعا للحکم بسببه؛لأنّ الشیء إنّما یستند إلی العلّة التامّة أو الجزء الأخیر منها،فلا یکون فی تلک الصور نقض الیقین بالشکّ،و إنّما یکون ذلک فی صورة خاصّة دون </w:t>
      </w:r>
      <w:r>
        <w:rPr>
          <w:rStyle w:val="FootnoteReference"/>
        </w:rPr>
        <w:footnoteReference w:id="2036"/>
      </w:r>
      <w:r>
        <w:rPr>
          <w:rFonts w:ascii="IRNazanin" w:hAnsi="IRNazanin" w:eastAsia="IRNazanin" w:cs="IRNazanin"/>
          <w:lang w:bidi="fa-IR"/>
          <w:color w:val="111111"/>
          <w:sz w:val="28"/>
          <w:szCs w:val="28"/>
          <w:rtl/>
        </w:rPr>
        <w:t xml:space="preserve">غیرها </w:t>
      </w:r>
      <w:r>
        <w:rPr>
          <w:rStyle w:val="FootnoteReference"/>
        </w:rPr>
        <w:footnoteReference w:id="2037"/>
      </w:r>
      <w:r>
        <w:rPr>
          <w:rFonts w:ascii="IRNazanin" w:hAnsi="IRNazanin" w:eastAsia="IRNazanin" w:cs="IRNazanin"/>
          <w:lang w:bidi="fa-IR"/>
          <w:color w:val="111111"/>
          <w:sz w:val="28"/>
          <w:szCs w:val="28"/>
          <w:rtl/>
        </w:rPr>
        <w:t xml:space="preserve">.انتهی کلامه،رفع مقامه.</w:t>
      </w:r>
    </w:p>
    <w:p>
      <w:pPr>
        <w:pStyle w:val="BookText"/>
      </w:pPr>
      <w:r>
        <w:rPr>
          <w:rFonts w:ascii="IRNazanin" w:hAnsi="IRNazanin" w:eastAsia="IRNazanin" w:cs="IRNazanin"/>
          <w:lang w:bidi="fa-IR"/>
          <w:color w:val="111111"/>
          <w:sz w:val="28"/>
          <w:szCs w:val="28"/>
          <w:rtl/>
        </w:rPr>
        <w:t xml:space="preserve">أقول:ظاهره تسلیم صدق النقض فی صورة الشکّ فی استمرار الحکم فیما عدا القسم الأوّل أیضا </w:t>
      </w:r>
      <w:r>
        <w:rPr>
          <w:rStyle w:val="FootnoteReference"/>
        </w:rPr>
        <w:footnoteReference w:id="2038"/>
      </w:r>
      <w:r>
        <w:rPr>
          <w:rFonts w:ascii="IRNazanin" w:hAnsi="IRNazanin" w:eastAsia="IRNazanin" w:cs="IRNazanin"/>
          <w:lang w:bidi="fa-IR"/>
          <w:color w:val="111111"/>
          <w:sz w:val="28"/>
          <w:szCs w:val="28"/>
          <w:rtl/>
        </w:rPr>
        <w:t xml:space="preserve">،و إنّما المانع عدم صدق النقض بالشکّ فیها.</w:t>
      </w:r>
    </w:p>
    <w:p>
      <w:pPr>
        <w:pStyle w:val="Heading6"/>
      </w:pPr>
      <w:bookmarkStart w:id="1861" w:name="_Toc896"/>
      <w:r>
        <w:t>[المناقشة فیما أفاده المحقّق السبزواری:]</w:t>
      </w:r>
      <w:bookmarkEnd w:id="1861"/>
    </w:p>
    <w:p>
      <w:pPr>
        <w:pStyle w:val="BookText"/>
      </w:pPr>
      <w:r>
        <w:rPr>
          <w:rFonts w:ascii="IRNazanin" w:hAnsi="IRNazanin" w:eastAsia="IRNazanin" w:cs="IRNazanin"/>
          <w:lang w:bidi="fa-IR"/>
          <w:color w:val="111111"/>
          <w:sz w:val="28"/>
          <w:szCs w:val="28"/>
          <w:rtl/>
        </w:rPr>
        <w:t xml:space="preserve">و یرد علیه:</w:t>
      </w:r>
    </w:p>
    <w:p>
      <w:pPr>
        <w:pStyle w:val="BookText"/>
      </w:pPr>
      <w:r>
        <w:rPr>
          <w:rFonts w:ascii="IRNazanin" w:hAnsi="IRNazanin" w:eastAsia="IRNazanin" w:cs="IRNazanin"/>
          <w:lang w:bidi="fa-IR"/>
          <w:color w:val="111111"/>
          <w:sz w:val="28"/>
          <w:szCs w:val="28"/>
          <w:rtl/>
        </w:rPr>
        <w:t xml:space="preserve">أوّلا:أنّ الشکّ و الیقین قد یلاحظان بالنسبة إلی الطهارة مقیّدة بکونها قبل حدوث ما یشکّ فی کونه رافعا،و مقیّدة بکونها بعده، فیتعلّق الیقین بالاولی و الشکّ بالثانیة،و الیقین و الشکّ بهذه الملاحظة یجتمعان فی زمان واحد-سواء کان قبل حدوث ذلک الشیء أو بعده- فهذا الشکّ کان حاصلا من قبل،کما أنّ الیقین باق من بعد.</w:t>
      </w:r>
    </w:p>
    <w:p>
      <w:pPr>
        <w:pStyle w:val="BookText"/>
      </w:pPr>
      <w:r>
        <w:rPr>
          <w:rFonts w:ascii="IRNazanin" w:hAnsi="IRNazanin" w:eastAsia="IRNazanin" w:cs="IRNazanin"/>
          <w:lang w:bidi="fa-IR"/>
          <w:color w:val="111111"/>
          <w:sz w:val="28"/>
          <w:szCs w:val="28"/>
          <w:rtl/>
        </w:rPr>
        <w:t xml:space="preserve">و قد یلاحظان بالنسبة إلی الطهارة المطلقة،و هما بهذا الاعتبار لا یجتمعان فی زمان واحد،بل الشکّ متأخّر عن الیقین.</w:t>
      </w:r>
    </w:p>
    <w:p>
      <w:pPr>
        <w:pStyle w:val="BookText"/>
      </w:pPr>
      <w:r>
        <w:rPr>
          <w:rFonts w:ascii="IRNazanin" w:hAnsi="IRNazanin" w:eastAsia="IRNazanin" w:cs="IRNazanin"/>
          <w:lang w:bidi="fa-IR"/>
          <w:color w:val="111111"/>
          <w:sz w:val="28"/>
          <w:szCs w:val="28"/>
          <w:rtl/>
        </w:rPr>
        <w:t xml:space="preserve">[شماره صفحه واقعی : 166]
</w:t>
      </w:r>
    </w:p>
    <w:p>
      <w:pPr>
        <w:sectPr>
          <w:footerReference w:type="default" r:id="rId6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ریب أنّ المراد بالیقین و الشکّ فی قوله علیه السّلام فی صدر الصحیحة المذکورة:«لأنّک کنت علی یقین من طهارتک فشککت» و غیرها من أخبار الاستصحاب،هو الیقین و الشکّ المتعلّقان بشیء واحد-أعنی الطهارة المطلقة-و حینئذ فالنقض المنهیّ عنه هو نقض الیقین بالطهارة بهذا الشکّ المتأخّر المتعلّق بنفس ما تعلّق به الیقین.</w:t>
      </w:r>
    </w:p>
    <w:p>
      <w:pPr>
        <w:pStyle w:val="BookText"/>
      </w:pPr>
      <w:r>
        <w:rPr>
          <w:rFonts w:ascii="IRNazanin" w:hAnsi="IRNazanin" w:eastAsia="IRNazanin" w:cs="IRNazanin"/>
          <w:lang w:bidi="fa-IR"/>
          <w:color w:val="111111"/>
          <w:sz w:val="28"/>
          <w:szCs w:val="28"/>
          <w:rtl/>
        </w:rPr>
        <w:t xml:space="preserve">و أمّا وجود الشیء المشکوک الرافعیّة،فهو بوصف الشکّ فی کونه رافعا الحاصل من قبل سبب لهذا الشکّ؛فإنّ کلّ شکّ </w:t>
      </w:r>
      <w:r>
        <w:rPr>
          <w:rStyle w:val="FootnoteReference"/>
        </w:rPr>
        <w:footnoteReference w:id="2039"/>
      </w:r>
      <w:r>
        <w:rPr>
          <w:rFonts w:ascii="IRNazanin" w:hAnsi="IRNazanin" w:eastAsia="IRNazanin" w:cs="IRNazanin"/>
          <w:lang w:bidi="fa-IR"/>
          <w:color w:val="111111"/>
          <w:sz w:val="28"/>
          <w:szCs w:val="28"/>
          <w:rtl/>
        </w:rPr>
        <w:t xml:space="preserve">لا بدّ له من سبب متیقّن الوجود حتّی الشکّ فی وجود الرافع،فوجود الشیء المشکوک فی رافعیّته جزء أخیر </w:t>
      </w:r>
      <w:r>
        <w:rPr>
          <w:rStyle w:val="FootnoteReference"/>
        </w:rPr>
        <w:footnoteReference w:id="2040"/>
      </w:r>
      <w:r>
        <w:rPr>
          <w:rFonts w:ascii="Amiri" w:hAnsi="Amiri" w:eastAsia="Amiri" w:cs="Amiri"/>
          <w:lang w:bidi="ar-SA"/>
          <w:color w:val="111111"/>
          <w:sz w:val="28"/>
          <w:szCs w:val="28"/>
          <w:rtl/>
        </w:rPr>
        <w:t xml:space="preserve">للعلّة التامّة للشکّ المتأخّر الناقض، لا للنقض.</w:t>
      </w:r>
    </w:p>
    <w:p>
      <w:pPr>
        <w:pStyle w:val="BookText"/>
      </w:pPr>
      <w:r>
        <w:rPr>
          <w:rFonts w:ascii="IRNazanin" w:hAnsi="IRNazanin" w:eastAsia="IRNazanin" w:cs="IRNazanin"/>
          <w:lang w:bidi="fa-IR"/>
          <w:color w:val="111111"/>
          <w:sz w:val="28"/>
          <w:szCs w:val="28"/>
          <w:rtl/>
        </w:rPr>
        <w:t xml:space="preserve">و ثانیا:أنّ رفع الید عن أحکام الیقین عند الشکّ فی بقائه و ارتفاعه لا یعقل إلاّ أن یکون مسبّبا عن نفس الشکّ؛لأنّ التوقّف فی الزمان اللاحق عن الحکم السابق أو العمل بالاصول المخالفة له لا یکون إلاّ لأجل الشکّ،غایة الأمر کون الشیء المشکوک کونه رافعا منشأ للشکّ.و الفرق بین الوجهین:أنّ الأوّل ناظر إلی عدم الوقوع،و الثانی إلی عدم الإمکان.</w:t>
      </w:r>
    </w:p>
    <w:p>
      <w:pPr>
        <w:pStyle w:val="BookText"/>
      </w:pPr>
      <w:r>
        <w:rPr>
          <w:rFonts w:ascii="IRNazanin" w:hAnsi="IRNazanin" w:eastAsia="IRNazanin" w:cs="IRNazanin"/>
          <w:lang w:bidi="fa-IR"/>
          <w:color w:val="111111"/>
          <w:sz w:val="28"/>
          <w:szCs w:val="28"/>
          <w:rtl/>
        </w:rPr>
        <w:t xml:space="preserve">و ثالثا:سلّمنا أنّ النقض فی هذه الصور لیس بالشکّ،لکنّه لیس نقضا بالیقین بالخلاف،و لا یخفی أنّ ظاهر ما ذکره فی ذیل الصحیحة:</w:t>
      </w:r>
    </w:p>
    <w:p>
      <w:pPr>
        <w:pStyle w:val="BookText"/>
      </w:pPr>
      <w:r>
        <w:rPr>
          <w:rFonts w:ascii="IRNazanin" w:hAnsi="IRNazanin" w:eastAsia="IRNazanin" w:cs="IRNazanin"/>
          <w:lang w:bidi="fa-IR"/>
          <w:color w:val="111111"/>
          <w:sz w:val="28"/>
          <w:szCs w:val="28"/>
          <w:rtl/>
        </w:rPr>
        <w:t xml:space="preserve">«و لکن تنقضه بیقین آخر»حصر الناقض للیقین السابق فی الیقین</w:t>
      </w:r>
    </w:p>
    <w:p>
      <w:pPr>
        <w:pStyle w:val="BookText"/>
      </w:pPr>
      <w:r>
        <w:rPr>
          <w:rFonts w:ascii="IRNazanin" w:hAnsi="IRNazanin" w:eastAsia="IRNazanin" w:cs="IRNazanin"/>
          <w:lang w:bidi="fa-IR"/>
          <w:color w:val="111111"/>
          <w:sz w:val="28"/>
          <w:szCs w:val="28"/>
          <w:rtl/>
        </w:rPr>
        <w:t xml:space="preserve">[شماره صفحه واقعی : 167]
</w:t>
      </w:r>
    </w:p>
    <w:p>
      <w:pPr>
        <w:sectPr>
          <w:footerReference w:type="default" r:id="rId6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بخلافه،و حرمة النقض بغیره-شکّا کان أم یقینا بوجود ما شکّ فی کونه رافعا-أ لا تری أنّه لو قیل فی صورة الشکّ فی وجود الرافع:أنّ النقض بما هو متیقّن من سبب الشکّ لا بنفسه،لا یسمع.</w:t>
      </w:r>
    </w:p>
    <w:p>
      <w:pPr>
        <w:pStyle w:val="BookText"/>
      </w:pPr>
      <w:r>
        <w:rPr>
          <w:rFonts w:ascii="IRNazanin" w:hAnsi="IRNazanin" w:eastAsia="IRNazanin" w:cs="IRNazanin"/>
          <w:lang w:bidi="fa-IR"/>
          <w:color w:val="111111"/>
          <w:sz w:val="28"/>
          <w:szCs w:val="28"/>
          <w:rtl/>
        </w:rPr>
        <w:t xml:space="preserve">و بالجملة:فهذا القول ضعیف فی الغایة،بل یمکن دعوی الإجماع المرکّب بل البسیط علی خلافه.</w:t>
      </w:r>
    </w:p>
    <w:p>
      <w:pPr>
        <w:pStyle w:val="BookText"/>
      </w:pPr>
      <w:r>
        <w:rPr>
          <w:rFonts w:ascii="Amiri" w:hAnsi="Amiri" w:eastAsia="Amiri" w:cs="Amiri"/>
          <w:lang w:bidi="ar-SA"/>
          <w:color w:val="111111"/>
          <w:sz w:val="28"/>
          <w:szCs w:val="28"/>
          <w:rtl/>
        </w:rPr>
        <w:t xml:space="preserve">و قد یتوهّم </w:t>
      </w:r>
      <w:r>
        <w:rPr>
          <w:rStyle w:val="FootnoteReference"/>
        </w:rPr>
        <w:footnoteReference w:id="2041"/>
      </w:r>
      <w:r>
        <w:rPr>
          <w:rFonts w:ascii="IRNazanin" w:hAnsi="IRNazanin" w:eastAsia="IRNazanin" w:cs="IRNazanin"/>
          <w:lang w:bidi="fa-IR"/>
          <w:color w:val="111111"/>
          <w:sz w:val="28"/>
          <w:szCs w:val="28"/>
          <w:rtl/>
        </w:rPr>
        <w:t xml:space="preserve">:أنّ مورد صحیحة زرارة الاولی </w:t>
      </w:r>
      <w:r>
        <w:rPr>
          <w:rStyle w:val="FootnoteReference"/>
        </w:rPr>
        <w:footnoteReference w:id="2042"/>
      </w:r>
      <w:r>
        <w:rPr>
          <w:rFonts w:ascii="IRNazanin" w:hAnsi="IRNazanin" w:eastAsia="IRNazanin" w:cs="IRNazanin"/>
          <w:lang w:bidi="fa-IR"/>
          <w:color w:val="111111"/>
          <w:sz w:val="28"/>
          <w:szCs w:val="28"/>
          <w:rtl/>
        </w:rPr>
        <w:t xml:space="preserve">ممّا أنکر المحقّق المذکور الاستصحاب فیه؛لأنّ السؤال فیها عن الخفقة و الخفقتین من نقضهما للوضوء.</w:t>
      </w:r>
    </w:p>
    <w:p>
      <w:pPr>
        <w:pStyle w:val="BookText"/>
      </w:pPr>
      <w:r>
        <w:rPr>
          <w:rFonts w:ascii="IRNazanin" w:hAnsi="IRNazanin" w:eastAsia="IRNazanin" w:cs="IRNazanin"/>
          <w:lang w:bidi="fa-IR"/>
          <w:color w:val="111111"/>
          <w:sz w:val="28"/>
          <w:szCs w:val="28"/>
          <w:rtl/>
        </w:rPr>
        <w:t xml:space="preserve">و فیه:ما لا یخفی؛فإنّ حکم الخفقة و الخفقتین قد علم من قوله علیه السّلام:«قد تنام العین و لا ینام القلب و الاذن»،و إنّما سئل فیها بعد ذلک عن حکم ما إذا وجدت أمارة علی النوم،مثل:تحریک شیء إلی جنبه و هو لا یعلم،فأجاب بعدم اعتبار ما عدا الیقین بقوله علیه السّلام:</w:t>
      </w:r>
    </w:p>
    <w:p>
      <w:pPr>
        <w:pStyle w:val="BookText"/>
      </w:pPr>
      <w:r>
        <w:rPr>
          <w:rFonts w:ascii="IRNazanin" w:hAnsi="IRNazanin" w:eastAsia="IRNazanin" w:cs="IRNazanin"/>
          <w:lang w:bidi="fa-IR"/>
          <w:color w:val="111111"/>
          <w:sz w:val="28"/>
          <w:szCs w:val="28"/>
          <w:rtl/>
        </w:rPr>
        <w:t xml:space="preserve">«لا،حتّی یستیقن أنّه قد نام،حتّی یجیء من ذلک أمر بیّن،و إلاّ فإنّه علی یقین...الخ».</w:t>
      </w:r>
    </w:p>
    <w:p>
      <w:pPr>
        <w:pStyle w:val="BookText"/>
      </w:pPr>
      <w:r>
        <w:rPr>
          <w:rFonts w:ascii="IRNazanin" w:hAnsi="IRNazanin" w:eastAsia="IRNazanin" w:cs="IRNazanin"/>
          <w:lang w:bidi="fa-IR"/>
          <w:color w:val="111111"/>
          <w:sz w:val="28"/>
          <w:szCs w:val="28"/>
          <w:rtl/>
        </w:rPr>
        <w:t xml:space="preserve">نعم،یمکن أن یلزم المحقّق المذکور-کما ذکرنا سابقا </w:t>
      </w:r>
      <w:r>
        <w:rPr>
          <w:rStyle w:val="FootnoteReference"/>
        </w:rPr>
        <w:footnoteReference w:id="2043"/>
      </w:r>
      <w:r>
        <w:rPr>
          <w:rFonts w:ascii="IRNazanin" w:hAnsi="IRNazanin" w:eastAsia="IRNazanin" w:cs="IRNazanin"/>
          <w:lang w:bidi="fa-IR"/>
          <w:color w:val="111111"/>
          <w:sz w:val="28"/>
          <w:szCs w:val="28"/>
          <w:rtl/>
        </w:rPr>
        <w:t xml:space="preserve">-بأنّ الشکّ فی أصل النوم فی مورد الروایة مسبّب عن وجود ما یوجب الشکّ فی تحقّق النوم،فالنقض به،لا بالشکّ </w:t>
      </w:r>
      <w:r>
        <w:rPr>
          <w:rStyle w:val="FootnoteReference"/>
        </w:rPr>
        <w:footnoteReference w:id="2044"/>
      </w:r>
      <w:r>
        <w:rPr>
          <w:rFonts w:ascii="Amiri" w:hAnsi="Amiri" w:eastAsia="Amiri" w:cs="Amiri"/>
          <w:lang w:bidi="ar-SA"/>
          <w:color w:val="111111"/>
          <w:sz w:val="28"/>
          <w:szCs w:val="28"/>
          <w:rtl/>
        </w:rPr>
        <w:t xml:space="preserve">،فتأمّل.</w:t>
      </w:r>
    </w:p>
    <w:p>
      <w:pPr>
        <w:pStyle w:val="BookText"/>
      </w:pPr>
      <w:r>
        <w:rPr>
          <w:rFonts w:ascii="IRNazanin" w:hAnsi="IRNazanin" w:eastAsia="IRNazanin" w:cs="IRNazanin"/>
          <w:lang w:bidi="fa-IR"/>
          <w:color w:val="111111"/>
          <w:sz w:val="28"/>
          <w:szCs w:val="28"/>
          <w:rtl/>
        </w:rPr>
        <w:t xml:space="preserve">[شماره صفحه واقعی : 168]
</w:t>
      </w:r>
    </w:p>
    <w:p>
      <w:pPr>
        <w:sectPr>
          <w:footerReference w:type="default" r:id="rId680"/>
          <w:footnotePr>
            <w:numStart w:val="1"/>
            <w:numRestart w:val="eachPage"/>
          </w:footnotePr>
          <w:pgSz w:orient="portrait" w:w="11905.511811023622" w:h="16837.79527559055"/>
          <w:pgMar w:top="1440" w:right="1440" w:bottom="1440" w:left="1440" w:header="720" w:footer="720" w:gutter="0"/>
          <w:cols w:num="1" w:space="720"/>
        </w:sectPr>
      </w:pPr>
    </w:p>
    <w:bookmarkStart w:id="421" w:name="pg14411_143062"/>
    <w:bookmarkEnd w:id="421"/>
    <w:p>
      <w:pPr>
        <w:pStyle w:val="Heading5"/>
      </w:pPr>
      <w:bookmarkStart w:id="1862" w:name="_Toc897"/>
      <w:r>
        <w:t>حجّة القول الحادی عشر [التفصیل المتقدم مع زیادة الشک فی مصداق الغایة:]</w:t>
      </w:r>
      <w:bookmarkEnd w:id="1862"/>
    </w:p>
    <w:p>
      <w:pPr>
        <w:pStyle w:val="Heading6"/>
      </w:pPr>
      <w:bookmarkStart w:id="1863" w:name="_Toc898"/>
      <w:r>
        <w:t>[استدلال المحقّق الخوانساری علی هذا القول:]</w:t>
      </w:r>
      <w:bookmarkEnd w:id="1863"/>
    </w:p>
    <w:p>
      <w:pPr>
        <w:pStyle w:val="Heading6"/>
      </w:pPr>
      <w:bookmarkStart w:id="1864" w:name="_Toc899"/>
      <w:r>
        <w:t>اشارة</w:t>
      </w:r>
      <w:bookmarkEnd w:id="1864"/>
    </w:p>
    <w:p>
      <w:pPr>
        <w:pStyle w:val="BookText"/>
      </w:pPr>
      <w:r>
        <w:rPr>
          <w:rFonts w:ascii="IRNazanin" w:hAnsi="IRNazanin" w:eastAsia="IRNazanin" w:cs="IRNazanin"/>
          <w:lang w:bidi="fa-IR"/>
          <w:color w:val="111111"/>
          <w:sz w:val="28"/>
          <w:szCs w:val="28"/>
          <w:rtl/>
        </w:rPr>
        <w:t xml:space="preserve">ما ذکره المحقّق الخوانساری قدّس سرّه فی شرح الدروس-عند قول الشهید قدّس سرّه:«و یجزی ذو الجهات الثلاث»-ما لفظه:</w:t>
      </w:r>
    </w:p>
    <w:p>
      <w:pPr>
        <w:pStyle w:val="BookText"/>
      </w:pPr>
      <w:r>
        <w:rPr>
          <w:rFonts w:ascii="IRNazanin" w:hAnsi="IRNazanin" w:eastAsia="IRNazanin" w:cs="IRNazanin"/>
          <w:lang w:bidi="fa-IR"/>
          <w:color w:val="111111"/>
          <w:sz w:val="28"/>
          <w:szCs w:val="28"/>
          <w:rtl/>
        </w:rPr>
        <w:t xml:space="preserve">حجّة القول بعدم الإجزاء:الروایات الواردة بالمسح بثلاثة أحجار -و الحجر الواحد لا یسمّی بذلک-،و استصحاب حکم النجاسة حتّی یعلم لها مطهّر شرعیّ،و بدون الثلاثة لا یعلم المطهّر الشرعیّ.</w:t>
      </w:r>
    </w:p>
    <w:p>
      <w:pPr>
        <w:pStyle w:val="BookText"/>
      </w:pPr>
      <w:r>
        <w:rPr>
          <w:rFonts w:ascii="IRNazanin" w:hAnsi="IRNazanin" w:eastAsia="IRNazanin" w:cs="IRNazanin"/>
          <w:lang w:bidi="fa-IR"/>
          <w:color w:val="111111"/>
          <w:sz w:val="28"/>
          <w:szCs w:val="28"/>
          <w:rtl/>
        </w:rPr>
        <w:t xml:space="preserve">و حسنة ابن المغیرة </w:t>
      </w:r>
      <w:r>
        <w:rPr>
          <w:rStyle w:val="FootnoteReference"/>
        </w:rPr>
        <w:footnoteReference w:id="2045"/>
      </w:r>
      <w:r>
        <w:rPr>
          <w:rFonts w:ascii="IRNazanin" w:hAnsi="IRNazanin" w:eastAsia="IRNazanin" w:cs="IRNazanin"/>
          <w:lang w:bidi="fa-IR"/>
          <w:color w:val="111111"/>
          <w:sz w:val="28"/>
          <w:szCs w:val="28"/>
          <w:rtl/>
        </w:rPr>
        <w:t xml:space="preserve">و موثّقة ابن یعقوب </w:t>
      </w:r>
      <w:r>
        <w:rPr>
          <w:rStyle w:val="FootnoteReference"/>
        </w:rPr>
        <w:footnoteReference w:id="2046"/>
      </w:r>
      <w:r>
        <w:rPr>
          <w:rFonts w:ascii="IRNazanin" w:hAnsi="IRNazanin" w:eastAsia="IRNazanin" w:cs="IRNazanin"/>
          <w:lang w:bidi="fa-IR"/>
          <w:color w:val="111111"/>
          <w:sz w:val="28"/>
          <w:szCs w:val="28"/>
          <w:rtl/>
        </w:rPr>
        <w:t xml:space="preserve">لا یخرجان عن الأصل؛لعدم صحّة سندهما،خصوصا مع معارضتهما بالروایات الواردة بالمسح بثلاثة أحجار.</w:t>
      </w:r>
    </w:p>
    <w:p>
      <w:pPr>
        <w:pStyle w:val="BookText"/>
      </w:pPr>
      <w:r>
        <w:rPr>
          <w:rFonts w:ascii="IRNazanin" w:hAnsi="IRNazanin" w:eastAsia="IRNazanin" w:cs="IRNazanin"/>
          <w:lang w:bidi="fa-IR"/>
          <w:color w:val="111111"/>
          <w:sz w:val="28"/>
          <w:szCs w:val="28"/>
          <w:rtl/>
        </w:rPr>
        <w:t xml:space="preserve">و أصل البراءة-بعد ثبوت النجاسة و وجوب إزالتها-لا یبقی بحاله.</w:t>
      </w:r>
    </w:p>
    <w:p>
      <w:pPr>
        <w:pStyle w:val="BookText"/>
      </w:pPr>
      <w:r>
        <w:rPr>
          <w:rFonts w:ascii="IRNazanin" w:hAnsi="IRNazanin" w:eastAsia="IRNazanin" w:cs="IRNazanin"/>
          <w:lang w:bidi="fa-IR"/>
          <w:color w:val="111111"/>
          <w:sz w:val="28"/>
          <w:szCs w:val="28"/>
          <w:rtl/>
        </w:rPr>
        <w:t xml:space="preserve">إلی أن قال-بعد منع حجّیّة الاستصحاب-:</w:t>
      </w:r>
    </w:p>
    <w:p>
      <w:pPr>
        <w:pStyle w:val="BookText"/>
      </w:pPr>
      <w:r>
        <w:rPr>
          <w:rFonts w:ascii="IRNazanin" w:hAnsi="IRNazanin" w:eastAsia="IRNazanin" w:cs="IRNazanin"/>
          <w:lang w:bidi="fa-IR"/>
          <w:color w:val="111111"/>
          <w:sz w:val="28"/>
          <w:szCs w:val="28"/>
          <w:rtl/>
        </w:rPr>
        <w:t xml:space="preserve">اعلم أنّ القوم ذکروا أنّ الاستصحاب إثبات حکم فی زمان لوجوده فی زمان سابق علیه،و هو ینقسم إلی قسمین،باعتبار انقسام الحکم المأخوذ فیه إلی شرعیّ و غیره.</w:t>
      </w:r>
    </w:p>
    <w:p>
      <w:pPr>
        <w:pStyle w:val="BookText"/>
      </w:pPr>
      <w:r>
        <w:rPr>
          <w:rFonts w:ascii="IRNazanin" w:hAnsi="IRNazanin" w:eastAsia="IRNazanin" w:cs="IRNazanin"/>
          <w:lang w:bidi="fa-IR"/>
          <w:color w:val="111111"/>
          <w:sz w:val="28"/>
          <w:szCs w:val="28"/>
          <w:rtl/>
        </w:rPr>
        <w:t xml:space="preserve">فالأوّل،مثل:ما إذا ثبت نجاسة ثوب أو بدن فی زمان،فیقولون:</w:t>
      </w:r>
    </w:p>
    <w:p>
      <w:pPr>
        <w:pStyle w:val="BookText"/>
      </w:pPr>
      <w:r>
        <w:rPr>
          <w:rFonts w:ascii="IRNazanin" w:hAnsi="IRNazanin" w:eastAsia="IRNazanin" w:cs="IRNazanin"/>
          <w:lang w:bidi="fa-IR"/>
          <w:color w:val="111111"/>
          <w:sz w:val="28"/>
          <w:szCs w:val="28"/>
          <w:rtl/>
        </w:rPr>
        <w:t xml:space="preserve">إنّ بعد ذلک الزمان </w:t>
      </w:r>
      <w:r>
        <w:rPr>
          <w:rStyle w:val="FootnoteReference"/>
        </w:rPr>
        <w:footnoteReference w:id="2047"/>
      </w:r>
      <w:r>
        <w:rPr>
          <w:rFonts w:ascii="IRNazanin" w:hAnsi="IRNazanin" w:eastAsia="IRNazanin" w:cs="IRNazanin"/>
          <w:lang w:bidi="fa-IR"/>
          <w:color w:val="111111"/>
          <w:sz w:val="28"/>
          <w:szCs w:val="28"/>
          <w:rtl/>
        </w:rPr>
        <w:t xml:space="preserve">یجب الحکم بنجاسته إذا لم یحصل العلم برفعها.</w:t>
      </w:r>
    </w:p>
    <w:p>
      <w:pPr>
        <w:pStyle w:val="BookText"/>
      </w:pPr>
      <w:r>
        <w:rPr>
          <w:rFonts w:ascii="IRNazanin" w:hAnsi="IRNazanin" w:eastAsia="IRNazanin" w:cs="IRNazanin"/>
          <w:lang w:bidi="fa-IR"/>
          <w:color w:val="111111"/>
          <w:sz w:val="28"/>
          <w:szCs w:val="28"/>
          <w:rtl/>
        </w:rPr>
        <w:t xml:space="preserve">[شماره صفحه واقعی : 169]
</w:t>
      </w:r>
    </w:p>
    <w:p>
      <w:pPr>
        <w:sectPr>
          <w:footerReference w:type="default" r:id="rId6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الثانی،مثل:ما إذا ثبت رطوبة ثوب فی زمان،ففی ما بعد ذلک الزمان یجب الحکم برطوبته ما لم یعلم الجفاف.</w:t>
      </w:r>
    </w:p>
    <w:p>
      <w:pPr>
        <w:pStyle w:val="BookText"/>
      </w:pPr>
      <w:r>
        <w:rPr>
          <w:rFonts w:ascii="IRNazanin" w:hAnsi="IRNazanin" w:eastAsia="IRNazanin" w:cs="IRNazanin"/>
          <w:lang w:bidi="fa-IR"/>
          <w:color w:val="111111"/>
          <w:sz w:val="28"/>
          <w:szCs w:val="28"/>
          <w:rtl/>
        </w:rPr>
        <w:t xml:space="preserve">فذهب بعضهم إلی حجّیّته بقسمیه،و ذهب بعضهم إلی حجّیّة القسم الأوّل </w:t>
      </w:r>
      <w:r>
        <w:rPr>
          <w:rStyle w:val="FootnoteReference"/>
        </w:rPr>
        <w:footnoteReference w:id="2048"/>
      </w:r>
      <w:r>
        <w:rPr>
          <w:rFonts w:ascii="IRNazanin" w:hAnsi="IRNazanin" w:eastAsia="IRNazanin" w:cs="IRNazanin"/>
          <w:lang w:bidi="fa-IR"/>
          <w:color w:val="111111"/>
          <w:sz w:val="28"/>
          <w:szCs w:val="28"/>
          <w:rtl/>
        </w:rPr>
        <w:t xml:space="preserve">.و استدلّ کلّ من الفریقین بدلائل مذکورة فی محلّها،کلّها قاصرة عن إفادة المرام،کما یظهر بالتأمّل فیها.و لم نتعرّض لذکرها هنا،بل نشیر إلی ما هو الظاهر عندنا فی هذا الباب،فنقول:</w:t>
      </w:r>
    </w:p>
    <w:p>
      <w:pPr>
        <w:pStyle w:val="BookText"/>
      </w:pPr>
      <w:r>
        <w:rPr>
          <w:rFonts w:ascii="IRNazanin" w:hAnsi="IRNazanin" w:eastAsia="IRNazanin" w:cs="IRNazanin"/>
          <w:lang w:bidi="fa-IR"/>
          <w:color w:val="111111"/>
          <w:sz w:val="28"/>
          <w:szCs w:val="28"/>
          <w:rtl/>
        </w:rPr>
        <w:t xml:space="preserve">إنّ الاستصحاب بهذا المعنی لا حجّیّة فیه أصلا بکلا قسمیه؛إذ لا دلیل علیه تامّا،لا عقلا و لا نقلا.نعم،الظاهر حجّیّة الاستصحاب بمعنی آخر:و هو أن یکون دلیل شرعیّ علی أنّ الحکم الفلانیّ بعد تحقّقه ثابت إلی زمان حدوث حال کذا أو وقت کذا-مثلا-معیّن فی الواقع،بلا اشتراطه بشیء أصلا،فحینئذ إذا حصل ذلک الحکم فیلزم الحکم باستمراره إلی أن یعلم وجود ما جعل مزیلا له،و لا یحکم بنفیه بمجرّد الشکّ فی وجوده.</w:t>
      </w:r>
    </w:p>
    <w:p>
      <w:pPr>
        <w:pStyle w:val="BookText"/>
      </w:pPr>
      <w:r>
        <w:rPr>
          <w:rFonts w:ascii="IRNazanin" w:hAnsi="IRNazanin" w:eastAsia="IRNazanin" w:cs="IRNazanin"/>
          <w:lang w:bidi="fa-IR"/>
          <w:color w:val="111111"/>
          <w:sz w:val="28"/>
          <w:szCs w:val="28"/>
          <w:rtl/>
        </w:rPr>
        <w:t xml:space="preserve">و الدلیل علی حجّیّته أمران:</w:t>
      </w:r>
    </w:p>
    <w:p>
      <w:pPr>
        <w:pStyle w:val="BookText"/>
      </w:pPr>
      <w:r>
        <w:rPr>
          <w:rFonts w:ascii="IRNazanin" w:hAnsi="IRNazanin" w:eastAsia="IRNazanin" w:cs="IRNazanin"/>
          <w:lang w:bidi="fa-IR"/>
          <w:color w:val="111111"/>
          <w:sz w:val="28"/>
          <w:szCs w:val="28"/>
          <w:rtl/>
        </w:rPr>
        <w:t xml:space="preserve">الأوّل:أنّ هذا الحکم إمّا وضعیّ،أو اقتضائیّ،أو تخییریّ،و لمّا کان الأوّل عند التحقیق یرجع إلیهما فینحصر فی الأخیرین.</w:t>
      </w:r>
    </w:p>
    <w:p>
      <w:pPr>
        <w:pStyle w:val="BookText"/>
      </w:pPr>
      <w:r>
        <w:rPr>
          <w:rFonts w:ascii="IRNazanin" w:hAnsi="IRNazanin" w:eastAsia="IRNazanin" w:cs="IRNazanin"/>
          <w:lang w:bidi="fa-IR"/>
          <w:color w:val="111111"/>
          <w:sz w:val="28"/>
          <w:szCs w:val="28"/>
          <w:rtl/>
        </w:rPr>
        <w:t xml:space="preserve">و علی التقدیرین فیثبت ما رمناه </w:t>
      </w:r>
      <w:r>
        <w:rPr>
          <w:rStyle w:val="FootnoteReference"/>
        </w:rPr>
        <w:footnoteReference w:id="20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علی الأوّل،فلأنّه إذا کان أمر أو نهی بفعل إلی غایة معیّنة -مثلا-فعند الشکّ فی حدوث تلک الغایة،لو لم یمتثل التکلیف المذکور</w:t>
      </w:r>
    </w:p>
    <w:p>
      <w:pPr>
        <w:pStyle w:val="BookText"/>
      </w:pPr>
      <w:r>
        <w:rPr>
          <w:rFonts w:ascii="IRNazanin" w:hAnsi="IRNazanin" w:eastAsia="IRNazanin" w:cs="IRNazanin"/>
          <w:lang w:bidi="fa-IR"/>
          <w:color w:val="111111"/>
          <w:sz w:val="28"/>
          <w:szCs w:val="28"/>
          <w:rtl/>
        </w:rPr>
        <w:t xml:space="preserve">[شماره صفحه واقعی : 170]
</w:t>
      </w:r>
    </w:p>
    <w:p>
      <w:pPr>
        <w:sectPr>
          <w:footerReference w:type="default" r:id="rId6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 یحصل الظنّ بالامتثال و الخروج عن العهدة،و ما لم یحصل الظنّ لم یحصل الامتثال،فلا بدّ من بقاء ذلک التکلیف حال الشکّ أیضا،و هو المطلوب.</w:t>
      </w:r>
    </w:p>
    <w:p>
      <w:pPr>
        <w:pStyle w:val="BookText"/>
      </w:pPr>
      <w:r>
        <w:rPr>
          <w:rFonts w:ascii="IRNazanin" w:hAnsi="IRNazanin" w:eastAsia="IRNazanin" w:cs="IRNazanin"/>
          <w:lang w:bidi="fa-IR"/>
          <w:color w:val="111111"/>
          <w:sz w:val="28"/>
          <w:szCs w:val="28"/>
          <w:rtl/>
        </w:rPr>
        <w:t xml:space="preserve">و أمّا علی الثانی،فالأمر أظهر،کما لا یخفی.</w:t>
      </w:r>
    </w:p>
    <w:p>
      <w:pPr>
        <w:pStyle w:val="BookText"/>
      </w:pPr>
      <w:r>
        <w:rPr>
          <w:rFonts w:ascii="IRNazanin" w:hAnsi="IRNazanin" w:eastAsia="IRNazanin" w:cs="IRNazanin"/>
          <w:lang w:bidi="fa-IR"/>
          <w:color w:val="111111"/>
          <w:sz w:val="28"/>
          <w:szCs w:val="28"/>
          <w:rtl/>
        </w:rPr>
        <w:t xml:space="preserve">و الثانی:ما ورد فی الروایات:من أنّ«الیقین لا ینقض بالشکّ».</w:t>
      </w:r>
    </w:p>
    <w:p>
      <w:pPr>
        <w:pStyle w:val="BookText"/>
      </w:pPr>
      <w:r>
        <w:rPr>
          <w:rFonts w:ascii="IRNazanin" w:hAnsi="IRNazanin" w:eastAsia="IRNazanin" w:cs="IRNazanin"/>
          <w:lang w:bidi="fa-IR"/>
          <w:color w:val="111111"/>
          <w:sz w:val="28"/>
          <w:szCs w:val="28"/>
          <w:rtl/>
        </w:rPr>
        <w:t xml:space="preserve">فإن قلت:هذا کما یدلّ علی </w:t>
      </w:r>
      <w:r>
        <w:rPr>
          <w:rStyle w:val="FootnoteReference"/>
        </w:rPr>
        <w:footnoteReference w:id="2050"/>
      </w:r>
      <w:r>
        <w:rPr>
          <w:rFonts w:ascii="IRNazanin" w:hAnsi="IRNazanin" w:eastAsia="IRNazanin" w:cs="IRNazanin"/>
          <w:lang w:bidi="fa-IR"/>
          <w:color w:val="111111"/>
          <w:sz w:val="28"/>
          <w:szCs w:val="28"/>
          <w:rtl/>
        </w:rPr>
        <w:t xml:space="preserve">المعنی الذی ذکرته،کذلک یدلّ علی </w:t>
      </w:r>
      <w:r>
        <w:rPr>
          <w:rFonts w:ascii="Times New Roman" w:hAnsi="Times New Roman" w:eastAsia="Times New Roman" w:cs="Times New Roman"/>
          <w:lang w:val="en-US" w:bidi="en-US"/>
          <w:color w:val="111111"/>
          <w:sz w:val="28"/>
          <w:szCs w:val="28"/>
          <w:vertAlign w:val="superscript"/>
          <w:rtl/>
        </w:rPr>
        <w:t xml:space="preserve">(2)</w:t>
      </w:r>
      <w:r>
        <w:rPr>
          <w:rFonts w:ascii="IRNazanin" w:hAnsi="IRNazanin" w:eastAsia="IRNazanin" w:cs="IRNazanin"/>
          <w:lang w:bidi="fa-IR"/>
          <w:color w:val="111111"/>
          <w:sz w:val="28"/>
          <w:szCs w:val="28"/>
          <w:rtl/>
        </w:rPr>
        <w:t xml:space="preserve">المعنی الذی ذکره القوم؛لأنّه إذا حصل الیقین فی زمان فلا ینبغی أن ینقض فی زمان آخر بالشکّ،نظرا إلی الروایات،و هو بعینه ما ذکروه.</w:t>
      </w:r>
    </w:p>
    <w:p>
      <w:pPr>
        <w:pStyle w:val="BookText"/>
      </w:pPr>
      <w:r>
        <w:rPr>
          <w:rFonts w:ascii="IRNazanin" w:hAnsi="IRNazanin" w:eastAsia="IRNazanin" w:cs="IRNazanin"/>
          <w:lang w:bidi="fa-IR"/>
          <w:color w:val="111111"/>
          <w:sz w:val="28"/>
          <w:szCs w:val="28"/>
          <w:rtl/>
        </w:rPr>
        <w:t xml:space="preserve">قلت:الظاهر أنّ المراد من عدم نقض الیقین بالشکّ أنّه عند التعارض لا ینقض به،و المراد بالتعارض أن یکون شیء یوجب الیقین لو لا الشکّ.و فیما ذکروه لیس کذلک؛لأنّ الیقین بحکم فی زمان لیس ممّا یوجب حصوله فی زمان آخر لو لا عروض الشکّ، و هو ظاهر.</w:t>
      </w:r>
    </w:p>
    <w:p>
      <w:pPr>
        <w:pStyle w:val="BookText"/>
      </w:pPr>
      <w:r>
        <w:rPr>
          <w:rFonts w:ascii="IRNazanin" w:hAnsi="IRNazanin" w:eastAsia="IRNazanin" w:cs="IRNazanin"/>
          <w:lang w:bidi="fa-IR"/>
          <w:color w:val="111111"/>
          <w:sz w:val="28"/>
          <w:szCs w:val="28"/>
          <w:rtl/>
        </w:rPr>
        <w:t xml:space="preserve">فإن قلت:هل الشکّ فی کون الشیء مزیلا للحکم مع العلم بوجوده کالشکّ فی وجود المزیل أو لا؟</w:t>
      </w:r>
    </w:p>
    <w:p>
      <w:pPr>
        <w:pStyle w:val="BookText"/>
      </w:pPr>
      <w:r>
        <w:rPr>
          <w:rFonts w:ascii="IRNazanin" w:hAnsi="IRNazanin" w:eastAsia="IRNazanin" w:cs="IRNazanin"/>
          <w:lang w:bidi="fa-IR"/>
          <w:color w:val="111111"/>
          <w:sz w:val="28"/>
          <w:szCs w:val="28"/>
          <w:rtl/>
        </w:rPr>
        <w:t xml:space="preserve">قلت:فیه تفصیل؛لأنّه إن ثبت بالدلیل أنّ ذلک الحکم مستمرّ إلی غایة معیّنة فی الواقع،ثمّ علمنا صدق تلک الغایة علی شیء، و شککنا فی صدقها علی شیء آخر،فحینئذ لا ینقض الیقین بالشکّ.</w:t>
      </w:r>
    </w:p>
    <w:p>
      <w:pPr>
        <w:pStyle w:val="BookText"/>
      </w:pPr>
      <w:r>
        <w:rPr>
          <w:rFonts w:ascii="IRNazanin" w:hAnsi="IRNazanin" w:eastAsia="IRNazanin" w:cs="IRNazanin"/>
          <w:lang w:bidi="fa-IR"/>
          <w:color w:val="111111"/>
          <w:sz w:val="28"/>
          <w:szCs w:val="28"/>
          <w:rtl/>
        </w:rPr>
        <w:t xml:space="preserve">[شماره صفحه واقعی : 171]
</w:t>
      </w:r>
    </w:p>
    <w:p>
      <w:pPr>
        <w:sectPr>
          <w:footerReference w:type="default" r:id="rId6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إذا لم یثبت ذلک،بل ثبت أنّ ذلک الحکم مستمرّ فی الجملة، و مزیله الشیء الفلانیّ،و شککنا فی أنّ الشیء الآخر أیضا یزیله أم لا؟ فحینئذ لا ظهور فی عدم نقض الحکم و ثبوت استمراره؛إذ الدلیل الأوّل غیر جاز فیه؛لعدم ثبوت حکم العقل فی مثل هذه الصورة، خصوصا مع ورود بعض الروایات الدالّة علی عدم المؤاخذة بما لا یعلم.</w:t>
      </w:r>
    </w:p>
    <w:p>
      <w:pPr>
        <w:pStyle w:val="BookText"/>
      </w:pPr>
      <w:r>
        <w:rPr>
          <w:rFonts w:ascii="IRNazanin" w:hAnsi="IRNazanin" w:eastAsia="IRNazanin" w:cs="IRNazanin"/>
          <w:lang w:bidi="fa-IR"/>
          <w:color w:val="111111"/>
          <w:sz w:val="28"/>
          <w:szCs w:val="28"/>
          <w:rtl/>
        </w:rPr>
        <w:t xml:space="preserve">و الدلیل الثانی،الحقّ أنّه لا یخلو من إجمال،و غایة ما یسلّم منها ثبوت الحکم فی الصورتین اللتین ذکرناهما،و إن کان فیه أیضا بعض المناقشات، لکنّه لا یخلو عن تأیید للدلیل الأوّل،فتأمّل.</w:t>
      </w:r>
    </w:p>
    <w:p>
      <w:pPr>
        <w:pStyle w:val="BookText"/>
      </w:pPr>
      <w:r>
        <w:rPr>
          <w:rFonts w:ascii="IRNazanin" w:hAnsi="IRNazanin" w:eastAsia="IRNazanin" w:cs="IRNazanin"/>
          <w:lang w:bidi="fa-IR"/>
          <w:color w:val="111111"/>
          <w:sz w:val="28"/>
          <w:szCs w:val="28"/>
          <w:rtl/>
        </w:rPr>
        <w:t xml:space="preserve">فإن قلت:الاستصحاب الذی یدّعونه فیما نحن فیه و أنت منعته، الظاهر أنّه من قبیل ما اعترفت به؛لأنّ حکم النجاسة ثابت ما لم یحصل مطهّر شرعیّ إجماعا،و هنا لم یحصل الظنّ المعتبر شرعا بوجود المطهّر؛لأنّ حسنة ابن المغیرة و موثّقة ابن یعقوب </w:t>
      </w:r>
      <w:r>
        <w:rPr>
          <w:rStyle w:val="FootnoteReference"/>
        </w:rPr>
        <w:footnoteReference w:id="2051"/>
      </w:r>
      <w:r>
        <w:rPr>
          <w:rFonts w:ascii="IRNazanin" w:hAnsi="IRNazanin" w:eastAsia="IRNazanin" w:cs="IRNazanin"/>
          <w:lang w:bidi="fa-IR"/>
          <w:color w:val="111111"/>
          <w:sz w:val="28"/>
          <w:szCs w:val="28"/>
          <w:rtl/>
        </w:rPr>
        <w:t xml:space="preserve">لیستا حجّة شرعیّة، خصوصا مع معارضتهما بالروایات المتقدّمة،فغایة الأمر حصول الشکّ بوجود المطهّر،و هو لا ینقض الیقین </w:t>
      </w:r>
      <w:r>
        <w:rPr>
          <w:rStyle w:val="FootnoteReference"/>
        </w:rPr>
        <w:footnoteReference w:id="20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قلت:کونه من قبیل الثانی ممنوع؛إذ لا دلیل علی أنّ النجاسة باقیة ما لم یحصل مطهّر شرعیّ،و ما ذکر من الإجماع غیر معلوم؛لأنّ غایة ما أجمعوا علیه أنّ التغوّط إذا حصل لا یصحّ الصلاة </w:t>
      </w:r>
      <w:r>
        <w:rPr>
          <w:rStyle w:val="FootnoteReference"/>
        </w:rPr>
        <w:footnoteReference w:id="2053"/>
      </w:r>
      <w:r>
        <w:rPr>
          <w:rFonts w:ascii="Amiri" w:hAnsi="Amiri" w:eastAsia="Amiri" w:cs="Amiri"/>
          <w:lang w:bidi="ar-SA"/>
          <w:color w:val="111111"/>
          <w:sz w:val="28"/>
          <w:szCs w:val="28"/>
          <w:rtl/>
        </w:rPr>
        <w:t xml:space="preserve">بدون الماء و التمسّح رأسا-لا بالثلاثة و لا بشعب الحجر الواحد-فهذا الإجماع</w:t>
      </w:r>
    </w:p>
    <w:p>
      <w:pPr>
        <w:pStyle w:val="BookText"/>
      </w:pPr>
      <w:r>
        <w:rPr>
          <w:rFonts w:ascii="IRNazanin" w:hAnsi="IRNazanin" w:eastAsia="IRNazanin" w:cs="IRNazanin"/>
          <w:lang w:bidi="fa-IR"/>
          <w:color w:val="111111"/>
          <w:sz w:val="28"/>
          <w:szCs w:val="28"/>
          <w:rtl/>
        </w:rPr>
        <w:t xml:space="preserve">[شماره صفحه واقعی : 172]
</w:t>
      </w:r>
    </w:p>
    <w:p>
      <w:pPr>
        <w:sectPr>
          <w:footerReference w:type="default" r:id="rId6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یستلزم الإجماع علی ثبوت حکم النجاسة حتّی یحدث شیء معیّن فی الواقع مجهول عندنا قد اعتبره الشارع مطهّرا،فلا یکون من قبیل ما ذکرنا.</w:t>
      </w:r>
    </w:p>
    <w:p>
      <w:pPr>
        <w:pStyle w:val="BookText"/>
      </w:pPr>
      <w:r>
        <w:rPr>
          <w:rFonts w:ascii="IRNazanin" w:hAnsi="IRNazanin" w:eastAsia="IRNazanin" w:cs="IRNazanin"/>
          <w:lang w:bidi="fa-IR"/>
          <w:color w:val="111111"/>
          <w:sz w:val="28"/>
          <w:szCs w:val="28"/>
          <w:rtl/>
        </w:rPr>
        <w:t xml:space="preserve">فإن قلت:هب أنّه لیس داخلا تحت الاستصحاب المذکور،لکن نقول:قد ثبت بالإجماع وجوب شیء علی المتغوّط فی الواقع،و هو مردّد بین أن یکون المسح بثلاثة أحجار أو الأعمّ منه و من المسح بجهات حجر واحد،فما لم یأت بالأوّل لم یحصل الیقین بالامتثال و الخروج عن العهدة،فیکون الإتیان به واجبا.</w:t>
      </w:r>
    </w:p>
    <w:p>
      <w:pPr>
        <w:pStyle w:val="BookText"/>
      </w:pPr>
      <w:r>
        <w:rPr>
          <w:rFonts w:ascii="IRNazanin" w:hAnsi="IRNazanin" w:eastAsia="IRNazanin" w:cs="IRNazanin"/>
          <w:lang w:bidi="fa-IR"/>
          <w:color w:val="111111"/>
          <w:sz w:val="28"/>
          <w:szCs w:val="28"/>
          <w:rtl/>
        </w:rPr>
        <w:t xml:space="preserve">قلت:نمنع الإجماع علی وجوب شیء معیّن فی الواقع مبهم فی نظر المکلّف،بحیث لو لم یأت بذلک الشیء المعیّن لاستحقّ العقاب،بل الإجماع علی أنّ ترک الأمرین معا سبب لاستحقاق العقاب،فیجب أن لا یترکهما.</w:t>
      </w:r>
    </w:p>
    <w:p>
      <w:pPr>
        <w:pStyle w:val="BookText"/>
      </w:pPr>
      <w:r>
        <w:rPr>
          <w:rFonts w:ascii="IRNazanin" w:hAnsi="IRNazanin" w:eastAsia="IRNazanin" w:cs="IRNazanin"/>
          <w:lang w:bidi="fa-IR"/>
          <w:color w:val="111111"/>
          <w:sz w:val="28"/>
          <w:szCs w:val="28"/>
          <w:rtl/>
        </w:rPr>
        <w:t xml:space="preserve">و الحاصل:أنّه إذا ورد نصّ أو إجماع علی وجوب شیء معیّن -مثلا-معلوم عندنا،أو ثبوت حکم إلی غایة معیّنة عندنا،فلا بدّ من الحکم بلزوم تحصیل الیقین أو الظنّ بوجود ذلک الشیء المعلوم،حتّی یتحقّق الامتثال،و لا یکفی الشکّ فی وجوده.و کذا یلزم الحکم ببقاء ذلک الحکم إلی أن یحصل العلم أو الظنّ بوجود تلک الغایة المعلومة، و لا یکفی الشکّ فی وجودها فی ارتفاع ذلک الحکم.</w:t>
      </w:r>
    </w:p>
    <w:p>
      <w:pPr>
        <w:pStyle w:val="BookText"/>
      </w:pPr>
      <w:r>
        <w:rPr>
          <w:rFonts w:ascii="IRNazanin" w:hAnsi="IRNazanin" w:eastAsia="IRNazanin" w:cs="IRNazanin"/>
          <w:lang w:bidi="fa-IR"/>
          <w:color w:val="111111"/>
          <w:sz w:val="28"/>
          <w:szCs w:val="28"/>
          <w:rtl/>
        </w:rPr>
        <w:t xml:space="preserve">و کذا إذا ورد نصّ أو إجماع علی وجوب شیء معیّن فی الواقع مردّد فی نظرنا بین امور،و یعلم أنّ ذلک التکلیف غیر مشروط بشیء من العلم بذلک الشیء مثلا،أو علی ثبوت حکم إلی غایة معیّنة فی الواقع مردّدة عندنا بین أشیاء،و یعلم أیضا عدم اشتراطه بالعلم مثلا،</w:t>
      </w:r>
    </w:p>
    <w:p>
      <w:pPr>
        <w:pStyle w:val="BookText"/>
      </w:pPr>
      <w:r>
        <w:rPr>
          <w:rFonts w:ascii="IRNazanin" w:hAnsi="IRNazanin" w:eastAsia="IRNazanin" w:cs="IRNazanin"/>
          <w:lang w:bidi="fa-IR"/>
          <w:color w:val="111111"/>
          <w:sz w:val="28"/>
          <w:szCs w:val="28"/>
          <w:rtl/>
        </w:rPr>
        <w:t xml:space="preserve">[شماره صفحه واقعی : 173]
</w:t>
      </w:r>
    </w:p>
    <w:p>
      <w:pPr>
        <w:sectPr>
          <w:footerReference w:type="default" r:id="rId6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یجب الحکم بوجوب تلک الأشیاء المردّدة </w:t>
      </w:r>
      <w:r>
        <w:rPr>
          <w:rStyle w:val="FootnoteReference"/>
        </w:rPr>
        <w:footnoteReference w:id="2054"/>
      </w:r>
      <w:r>
        <w:rPr>
          <w:rFonts w:ascii="IRNazanin" w:hAnsi="IRNazanin" w:eastAsia="IRNazanin" w:cs="IRNazanin"/>
          <w:lang w:bidi="fa-IR"/>
          <w:color w:val="111111"/>
          <w:sz w:val="28"/>
          <w:szCs w:val="28"/>
          <w:rtl/>
        </w:rPr>
        <w:t xml:space="preserve">فی نظرنا،و بقاء ذلک الحکم إلی حصول تلک الأشیاء أیضا،و لا یکفی الإتیان بشیء واحد منها فی سقوط التکلیف،و کذا حصول شیء واحد فی ارتفاع الحکم.و سواء فی ذلک کون الواجب شیئا معیّنا فی الواقع مجهولا عندنا أو أشیاء کذلک، أو غایة معیّنة فی الواقع مجهولة عندنا أو غایات کذلک،و سواء أیضا تحقّق قدر مشترک بین تلک الأشیاء و الغایات أو تباینها بالکلّیّة.</w:t>
      </w:r>
    </w:p>
    <w:p>
      <w:pPr>
        <w:pStyle w:val="BookText"/>
      </w:pPr>
      <w:r>
        <w:rPr>
          <w:rFonts w:ascii="IRNazanin" w:hAnsi="IRNazanin" w:eastAsia="IRNazanin" w:cs="IRNazanin"/>
          <w:lang w:bidi="fa-IR"/>
          <w:color w:val="111111"/>
          <w:sz w:val="28"/>
          <w:szCs w:val="28"/>
          <w:rtl/>
        </w:rPr>
        <w:t xml:space="preserve">و أمّا إذا لم یکن الأمر کذلک،بل ورد نصّ-مثلا-علی أنّ الواجب الشیء الفلانیّ و نصّ آخر علی أنّ ذلک الواجب شیء آخر، أو ذهب بعض الأمّة إلی وجوب شیء و بعض آخر إلی وجوب شیء آخر،و ظهر-بالنصّ و </w:t>
      </w:r>
      <w:r>
        <w:rPr>
          <w:rStyle w:val="FootnoteReference"/>
        </w:rPr>
        <w:footnoteReference w:id="2055"/>
      </w:r>
      <w:r>
        <w:rPr>
          <w:rFonts w:ascii="IRNazanin" w:hAnsi="IRNazanin" w:eastAsia="IRNazanin" w:cs="IRNazanin"/>
          <w:lang w:bidi="fa-IR"/>
          <w:color w:val="111111"/>
          <w:sz w:val="28"/>
          <w:szCs w:val="28"/>
          <w:rtl/>
        </w:rPr>
        <w:t xml:space="preserve">الإجماع فی الصورتین-أنّ ترک ذینک الشیئین معا سبب لاستحقاق العقاب،فحینئذ لم یظهر وجوب الإتیان بهما معا حتّی یتحقّق الامتثال،بل الظاهر الاکتفاء بواحد منهما،سواء اشترکا فی أمر أم تباینا کلّیّة.و کذلک الحکم فی ثبوت الحکم الکلّی إلی الغایة.</w:t>
      </w:r>
    </w:p>
    <w:p>
      <w:pPr>
        <w:pStyle w:val="BookText"/>
      </w:pPr>
      <w:r>
        <w:rPr>
          <w:rFonts w:ascii="IRNazanin" w:hAnsi="IRNazanin" w:eastAsia="IRNazanin" w:cs="IRNazanin"/>
          <w:lang w:bidi="fa-IR"/>
          <w:color w:val="111111"/>
          <w:sz w:val="28"/>
          <w:szCs w:val="28"/>
          <w:rtl/>
        </w:rPr>
        <w:t xml:space="preserve">هذا مجمل القول فی هذا المقام.و علیک بالتأمّل فی خصوصیّات الموارد،و استنباط أحکامها عن هذا الأصل،و رعایة جمیع ما یجب رعایته عند تعارض المعارضات.و اللّه الهادی إلی سواء الطریق </w:t>
      </w:r>
      <w:r>
        <w:rPr>
          <w:rStyle w:val="FootnoteReference"/>
        </w:rPr>
        <w:footnoteReference w:id="20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انتهی کلامه،رفع مقامه.</w:t>
      </w:r>
    </w:p>
    <w:p>
      <w:pPr>
        <w:pStyle w:val="BookText"/>
      </w:pPr>
      <w:r>
        <w:rPr>
          <w:rFonts w:ascii="IRNazanin" w:hAnsi="IRNazanin" w:eastAsia="IRNazanin" w:cs="IRNazanin"/>
          <w:lang w:bidi="fa-IR"/>
          <w:color w:val="111111"/>
          <w:sz w:val="28"/>
          <w:szCs w:val="28"/>
          <w:rtl/>
        </w:rPr>
        <w:t xml:space="preserve">[شماره صفحه واقعی : 174]
</w:t>
      </w:r>
    </w:p>
    <w:p>
      <w:pPr>
        <w:sectPr>
          <w:footerReference w:type="default" r:id="rId6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حکی السیّد الصدر فی شرح الوافیة عنه قدّس سرّه حاشیة اخری له </w:t>
      </w:r>
      <w:r>
        <w:rPr>
          <w:rStyle w:val="FootnoteReference"/>
        </w:rPr>
        <w:footnoteReference w:id="2057"/>
      </w:r>
      <w:r>
        <w:rPr>
          <w:rFonts w:ascii="IRNazanin" w:hAnsi="IRNazanin" w:eastAsia="IRNazanin" w:cs="IRNazanin"/>
          <w:lang w:bidi="fa-IR"/>
          <w:color w:val="111111"/>
          <w:sz w:val="28"/>
          <w:szCs w:val="28"/>
          <w:rtl/>
        </w:rPr>
        <w:t xml:space="preserve">-عند قول الشهید رحمه اللّه:«و یحرم استعمال الماء النجس و المشتبه...الخ»- ما لفظه:</w:t>
      </w:r>
    </w:p>
    <w:p>
      <w:pPr>
        <w:pStyle w:val="BookText"/>
      </w:pPr>
      <w:r>
        <w:rPr>
          <w:rFonts w:ascii="IRNazanin" w:hAnsi="IRNazanin" w:eastAsia="IRNazanin" w:cs="IRNazanin"/>
          <w:lang w:bidi="fa-IR"/>
          <w:color w:val="111111"/>
          <w:sz w:val="28"/>
          <w:szCs w:val="28"/>
          <w:rtl/>
        </w:rPr>
        <w:t xml:space="preserve">و توضیحه:أنّ الاستصحاب لا دلیل علی حجّیّته عقلا،و ما تمسّکوا به ضعیف.و غایة ما تمسّکوا </w:t>
      </w:r>
      <w:r>
        <w:rPr>
          <w:rStyle w:val="FootnoteReference"/>
        </w:rPr>
        <w:footnoteReference w:id="2058"/>
      </w:r>
      <w:r>
        <w:rPr>
          <w:rFonts w:ascii="IRNazanin" w:hAnsi="IRNazanin" w:eastAsia="IRNazanin" w:cs="IRNazanin"/>
          <w:lang w:bidi="fa-IR"/>
          <w:color w:val="111111"/>
          <w:sz w:val="28"/>
          <w:szCs w:val="28"/>
          <w:rtl/>
        </w:rPr>
        <w:t xml:space="preserve">فیها ما ورد فی بعض الروایات الصحیحة:«إنّ الیقین لا ینقض بالشکّ»،و علی تقدیر تسلیم صحّة الاحتجاج بالخبر فی مثل هذا الأصل </w:t>
      </w:r>
      <w:r>
        <w:rPr>
          <w:rStyle w:val="FootnoteReference"/>
        </w:rPr>
        <w:footnoteReference w:id="2059"/>
      </w:r>
      <w:r>
        <w:rPr>
          <w:rFonts w:ascii="IRNazanin" w:hAnsi="IRNazanin" w:eastAsia="IRNazanin" w:cs="IRNazanin"/>
          <w:lang w:bidi="fa-IR"/>
          <w:color w:val="111111"/>
          <w:sz w:val="28"/>
          <w:szCs w:val="28"/>
          <w:rtl/>
        </w:rPr>
        <w:t xml:space="preserve">و عدم منعها-بناء علی أنّ هذا الحکم الظاهر أنّه من الاصول،و یشکل التمسّک بخبر الواحد فی الاصول،إن سلّم التمسّک به فی الفروع-نقول:</w:t>
      </w:r>
    </w:p>
    <w:p>
      <w:pPr>
        <w:pStyle w:val="BookText"/>
      </w:pPr>
      <w:r>
        <w:rPr>
          <w:rFonts w:ascii="IRNazanin" w:hAnsi="IRNazanin" w:eastAsia="IRNazanin" w:cs="IRNazanin"/>
          <w:lang w:bidi="fa-IR"/>
          <w:color w:val="111111"/>
          <w:sz w:val="28"/>
          <w:szCs w:val="28"/>
          <w:rtl/>
        </w:rPr>
        <w:t xml:space="preserve">أوّلا:أنّه لا یظهر شموله للامور الخارجیّة،مثل رطوبة الثوب و نحوها؛إذ یبعد أن یکون مرادهم بیان الحکم فی مثل هذه الامور التی لیست أحکاما شرعیّة،و إن أمکن أن یصیر منشأ لحکم شرعیّ،و هذا ما یقال:إنّ الاستصحاب فی الامور الخارجیّة لا عبرة به.</w:t>
      </w:r>
    </w:p>
    <w:p>
      <w:pPr>
        <w:pStyle w:val="BookText"/>
      </w:pPr>
      <w:r>
        <w:rPr>
          <w:rFonts w:ascii="IRNazanin" w:hAnsi="IRNazanin" w:eastAsia="IRNazanin" w:cs="IRNazanin"/>
          <w:lang w:bidi="fa-IR"/>
          <w:color w:val="111111"/>
          <w:sz w:val="28"/>
          <w:szCs w:val="28"/>
          <w:rtl/>
        </w:rPr>
        <w:t xml:space="preserve">ثمّ بعد تخصیصه بالأحکام الشرعیّة،فنقول:الأمر علی وجهین:</w:t>
      </w:r>
    </w:p>
    <w:p>
      <w:pPr>
        <w:pStyle w:val="BookText"/>
      </w:pPr>
      <w:r>
        <w:rPr>
          <w:rFonts w:ascii="IRNazanin" w:hAnsi="IRNazanin" w:eastAsia="IRNazanin" w:cs="IRNazanin"/>
          <w:lang w:bidi="fa-IR"/>
          <w:color w:val="111111"/>
          <w:sz w:val="28"/>
          <w:szCs w:val="28"/>
          <w:rtl/>
        </w:rPr>
        <w:t xml:space="preserve">أحدهما:أن یثبت حکم شرعیّ فی مورد خاصّ باعتبار حال یعلم من الخارج أنّ زوال تلک الحال لا یستلزم زوال ذلک الحکم.</w:t>
      </w:r>
    </w:p>
    <w:p>
      <w:pPr>
        <w:pStyle w:val="BookText"/>
      </w:pPr>
      <w:r>
        <w:rPr>
          <w:rFonts w:ascii="IRNazanin" w:hAnsi="IRNazanin" w:eastAsia="IRNazanin" w:cs="IRNazanin"/>
          <w:lang w:bidi="fa-IR"/>
          <w:color w:val="111111"/>
          <w:sz w:val="28"/>
          <w:szCs w:val="28"/>
          <w:rtl/>
        </w:rPr>
        <w:t xml:space="preserve">و الآخر:أن یثبت باعتبار حال لا یعلم فیه ذلک.</w:t>
      </w:r>
    </w:p>
    <w:p>
      <w:pPr>
        <w:pStyle w:val="BookText"/>
      </w:pPr>
      <w:r>
        <w:rPr>
          <w:rFonts w:ascii="IRNazanin" w:hAnsi="IRNazanin" w:eastAsia="IRNazanin" w:cs="IRNazanin"/>
          <w:lang w:bidi="fa-IR"/>
          <w:color w:val="111111"/>
          <w:sz w:val="28"/>
          <w:szCs w:val="28"/>
          <w:rtl/>
        </w:rPr>
        <w:t xml:space="preserve">[شماره صفحه واقعی : 175]
</w:t>
      </w:r>
    </w:p>
    <w:p>
      <w:pPr>
        <w:sectPr>
          <w:footerReference w:type="default" r:id="rId6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مثال الأوّل:إذا ثبت نجاسة ثوب خاصّ باعتبار ملاقاته للبول، بأن یستدلّ علیها:بأنّ هذا شیء لاقاه البول،و کلّ ما لاقاه البول نجس،فهذا نجس.و الحکم الشرعی النجاسة،و ثبوته باعتبار حال هو ملاقاة البول،و قد علم من خارج-ضرورة أو إجماعا أو غیر ذلک- بأنّه لا یزول النجاسة بزوال الملاقاة فقط.</w:t>
      </w:r>
    </w:p>
    <w:p>
      <w:pPr>
        <w:pStyle w:val="BookText"/>
      </w:pPr>
      <w:r>
        <w:rPr>
          <w:rFonts w:ascii="IRNazanin" w:hAnsi="IRNazanin" w:eastAsia="IRNazanin" w:cs="IRNazanin"/>
          <w:lang w:bidi="fa-IR"/>
          <w:color w:val="111111"/>
          <w:sz w:val="28"/>
          <w:szCs w:val="28"/>
          <w:rtl/>
        </w:rPr>
        <w:t xml:space="preserve">و مثال الثانی:ما نحن بصدده،فإنّه ثبت وجوب الاجتناب عن الإناء المخصوص باعتبار أنّه شیء یعلم وقوع النجاسة فیه بعینه،و کلّ شیء کذلک یجب الاجتناب عنه،و لم یعلم بدلیل من الخارج أنّ زوال ذلک الوصف الذی یحصل باعتبار زوال المعلومیّة بعینه لا دخل له فی زوال ذلک الحکم.</w:t>
      </w:r>
    </w:p>
    <w:p>
      <w:pPr>
        <w:pStyle w:val="BookText"/>
      </w:pPr>
      <w:r>
        <w:rPr>
          <w:rFonts w:ascii="IRNazanin" w:hAnsi="IRNazanin" w:eastAsia="IRNazanin" w:cs="IRNazanin"/>
          <w:lang w:bidi="fa-IR"/>
          <w:color w:val="111111"/>
          <w:sz w:val="28"/>
          <w:szCs w:val="28"/>
          <w:rtl/>
        </w:rPr>
        <w:t xml:space="preserve">و علی هذا نقول:شمول الخبر للقسم الأوّل ظاهر،فیمکن التمسّک بالاستصحاب فیه.و أمّا القسم الثانی فالتمسّک فیه مشکل.</w:t>
      </w:r>
    </w:p>
    <w:p>
      <w:pPr>
        <w:pStyle w:val="BookText"/>
      </w:pPr>
      <w:r>
        <w:rPr>
          <w:rFonts w:ascii="IRNazanin" w:hAnsi="IRNazanin" w:eastAsia="IRNazanin" w:cs="IRNazanin"/>
          <w:lang w:bidi="fa-IR"/>
          <w:color w:val="111111"/>
          <w:sz w:val="28"/>
          <w:szCs w:val="28"/>
          <w:rtl/>
        </w:rPr>
        <w:t xml:space="preserve">فإن قلت:بعد ما علم فی القسم الأوّل أنّه لا یزول الحکم بزوال الوصف،فأیّ حاجة إلی التمسّک بالاستصحاب؟و أیّ فائدة فیما ورد فی الأخبار،من:أنّ الیقین لا ینقض بالشکّ؟</w:t>
      </w:r>
    </w:p>
    <w:p>
      <w:pPr>
        <w:pStyle w:val="BookText"/>
      </w:pPr>
      <w:r>
        <w:rPr>
          <w:rFonts w:ascii="IRNazanin" w:hAnsi="IRNazanin" w:eastAsia="IRNazanin" w:cs="IRNazanin"/>
          <w:lang w:bidi="fa-IR"/>
          <w:color w:val="111111"/>
          <w:sz w:val="28"/>
          <w:szCs w:val="28"/>
          <w:rtl/>
        </w:rPr>
        <w:t xml:space="preserve">قلت:القسم الأوّل علی وجهین:</w:t>
      </w:r>
    </w:p>
    <w:p>
      <w:pPr>
        <w:pStyle w:val="BookText"/>
      </w:pPr>
      <w:r>
        <w:rPr>
          <w:rFonts w:ascii="IRNazanin" w:hAnsi="IRNazanin" w:eastAsia="IRNazanin" w:cs="IRNazanin"/>
          <w:lang w:bidi="fa-IR"/>
          <w:color w:val="111111"/>
          <w:sz w:val="28"/>
          <w:szCs w:val="28"/>
          <w:rtl/>
        </w:rPr>
        <w:t xml:space="preserve">أحدهما:أن یثبت أنّ الحکم-مثل النجاسة بعد الملاقاة-حاصل ما لم یرد علیه </w:t>
      </w:r>
      <w:r>
        <w:rPr>
          <w:rStyle w:val="FootnoteReference"/>
        </w:rPr>
        <w:footnoteReference w:id="2060"/>
      </w:r>
      <w:r>
        <w:rPr>
          <w:rFonts w:ascii="IRNazanin" w:hAnsi="IRNazanin" w:eastAsia="IRNazanin" w:cs="IRNazanin"/>
          <w:lang w:bidi="fa-IR"/>
          <w:color w:val="111111"/>
          <w:sz w:val="28"/>
          <w:szCs w:val="28"/>
          <w:rtl/>
        </w:rPr>
        <w:t xml:space="preserve">الماء علی الوجه المعتبر فی الشرع،و حینئذ فائدته أنّ عند حصول الشکّ فی ورود الماء لا یحکم بزوال النجاسة.</w:t>
      </w:r>
    </w:p>
    <w:p>
      <w:pPr>
        <w:pStyle w:val="BookText"/>
      </w:pPr>
      <w:r>
        <w:rPr>
          <w:rFonts w:ascii="IRNazanin" w:hAnsi="IRNazanin" w:eastAsia="IRNazanin" w:cs="IRNazanin"/>
          <w:lang w:bidi="fa-IR"/>
          <w:color w:val="111111"/>
          <w:sz w:val="28"/>
          <w:szCs w:val="28"/>
          <w:rtl/>
        </w:rPr>
        <w:t xml:space="preserve">و الآخر:أن یعلم ثبوت الحکم فی الجملة بعد زوال الوصف،لکن</w:t>
      </w:r>
    </w:p>
    <w:p>
      <w:pPr>
        <w:pStyle w:val="BookText"/>
      </w:pPr>
      <w:r>
        <w:rPr>
          <w:rFonts w:ascii="IRNazanin" w:hAnsi="IRNazanin" w:eastAsia="IRNazanin" w:cs="IRNazanin"/>
          <w:lang w:bidi="fa-IR"/>
          <w:color w:val="111111"/>
          <w:sz w:val="28"/>
          <w:szCs w:val="28"/>
          <w:rtl/>
        </w:rPr>
        <w:t xml:space="preserve">[شماره صفحه واقعی : 176]
</w:t>
      </w:r>
    </w:p>
    <w:p>
      <w:pPr>
        <w:sectPr>
          <w:footerReference w:type="default" r:id="rId688"/>
          <w:footnotePr>
            <w:numStart w:val="1"/>
            <w:numRestart w:val="eachPage"/>
          </w:footnotePr>
          <w:pgSz w:orient="portrait" w:w="11905.511811023622" w:h="16837.79527559055"/>
          <w:pgMar w:top="1440" w:right="1440" w:bottom="1440" w:left="1440" w:header="720" w:footer="720" w:gutter="0"/>
          <w:cols w:num="1" w:space="720"/>
        </w:sectPr>
      </w:pPr>
    </w:p>
    <w:bookmarkStart w:id="422" w:name="pg14411_143070"/>
    <w:bookmarkEnd w:id="422"/>
    <w:p>
      <w:pPr>
        <w:pStyle w:val="BookText"/>
      </w:pPr>
      <w:r>
        <w:rPr>
          <w:rFonts w:ascii="IRNazanin" w:hAnsi="IRNazanin" w:eastAsia="IRNazanin" w:cs="IRNazanin"/>
          <w:lang w:bidi="fa-IR"/>
          <w:color w:val="111111"/>
          <w:sz w:val="28"/>
          <w:szCs w:val="28"/>
          <w:rtl/>
        </w:rPr>
        <w:t xml:space="preserve">لم یعلم أنّه ثابت دائما،أو فی بعض الأوقات إلی غایة معیّنة محدودة، أم لا؟و فائدته </w:t>
      </w:r>
      <w:r>
        <w:rPr>
          <w:rStyle w:val="FootnoteReference"/>
        </w:rPr>
        <w:footnoteReference w:id="2061"/>
      </w:r>
      <w:r>
        <w:rPr>
          <w:rFonts w:ascii="IRNazanin" w:hAnsi="IRNazanin" w:eastAsia="IRNazanin" w:cs="IRNazanin"/>
          <w:lang w:bidi="fa-IR"/>
          <w:color w:val="111111"/>
          <w:sz w:val="28"/>
          <w:szCs w:val="28"/>
          <w:rtl/>
        </w:rPr>
        <w:t xml:space="preserve">أنّه إذا ثبت الحکم فی الجملة فیستصحب إلی أن یعلم المزیل.</w:t>
      </w:r>
    </w:p>
    <w:p>
      <w:pPr>
        <w:pStyle w:val="BookText"/>
      </w:pPr>
      <w:r>
        <w:rPr>
          <w:rFonts w:ascii="IRNazanin" w:hAnsi="IRNazanin" w:eastAsia="IRNazanin" w:cs="IRNazanin"/>
          <w:lang w:bidi="fa-IR"/>
          <w:color w:val="111111"/>
          <w:sz w:val="28"/>
          <w:szCs w:val="28"/>
          <w:rtl/>
        </w:rPr>
        <w:t xml:space="preserve">ثمّ لا یخفی:أنّ الفرق الذی ذکرنا-من أنّ إثبات مثل هذا بمجرّد الخبر مشکل،مع انضمام أنّ الظهور </w:t>
      </w:r>
      <w:r>
        <w:rPr>
          <w:rStyle w:val="FootnoteReference"/>
        </w:rPr>
        <w:footnoteReference w:id="2062"/>
      </w:r>
      <w:r>
        <w:rPr>
          <w:rFonts w:ascii="IRNazanin" w:hAnsi="IRNazanin" w:eastAsia="IRNazanin" w:cs="IRNazanin"/>
          <w:lang w:bidi="fa-IR"/>
          <w:color w:val="111111"/>
          <w:sz w:val="28"/>
          <w:szCs w:val="28"/>
          <w:rtl/>
        </w:rPr>
        <w:t xml:space="preserve">فی القسم الثانی لم یبلغ مبلغه فی القسم الأوّل،و أنّ الیقین لا ینقض بالشکّ-قد یقال:إنّ ظاهره أن یکون الیقین حاصلا-لو لا الشکّ-باعتبار دلیل دالّ علی الحکم فی غیر صورة ما شکّ فیه؛إذ لو فرض عدم دلیل لکان نقض الیقین -حقیقة-باعتبار عدم الدلیل الذی هو دلیل العدم،لا الشکّ،کأنّه یصیر قریبا.و مع ذلک ینبغی رعایة الاحتیاط فی کلّ من القسمین،بل فی الامور الخارجیّة أیضا </w:t>
      </w:r>
      <w:r>
        <w:rPr>
          <w:rStyle w:val="FootnoteReference"/>
        </w:rPr>
        <w:footnoteReference w:id="2063"/>
      </w:r>
      <w:r>
        <w:rPr>
          <w:rFonts w:ascii="IRNazanin" w:hAnsi="IRNazanin" w:eastAsia="IRNazanin" w:cs="IRNazanin"/>
          <w:lang w:bidi="fa-IR"/>
          <w:color w:val="111111"/>
          <w:sz w:val="28"/>
          <w:szCs w:val="28"/>
          <w:rtl/>
        </w:rPr>
        <w:t xml:space="preserve">.انتهی کلامه،رفع مقامه.</w:t>
      </w:r>
    </w:p>
    <w:p>
      <w:pPr>
        <w:pStyle w:val="Heading6"/>
      </w:pPr>
      <w:bookmarkStart w:id="1865" w:name="_Toc900"/>
      <w:r>
        <w:t>[المناقشة فیما أفاده المحقّق الخوانساری:]</w:t>
      </w:r>
      <w:bookmarkEnd w:id="1865"/>
    </w:p>
    <w:p>
      <w:pPr>
        <w:pStyle w:val="BookText"/>
      </w:pPr>
      <w:r>
        <w:rPr>
          <w:rFonts w:ascii="IRNazanin" w:hAnsi="IRNazanin" w:eastAsia="IRNazanin" w:cs="IRNazanin"/>
          <w:lang w:bidi="fa-IR"/>
          <w:color w:val="111111"/>
          <w:sz w:val="28"/>
          <w:szCs w:val="28"/>
          <w:rtl/>
        </w:rPr>
        <w:t xml:space="preserve">أقول:لقد أجاد فیما أفاد،و جاء بما فوق المراد،إلاّ أنّ فی کلامه مواقع للتأمّل،فلنذکر مواقعه و نشیر إلی وجهه،فنقول:</w:t>
      </w:r>
    </w:p>
    <w:p>
      <w:pPr>
        <w:pStyle w:val="BookText"/>
      </w:pPr>
      <w:r>
        <w:rPr>
          <w:rFonts w:ascii="IRNazanin" w:hAnsi="IRNazanin" w:eastAsia="IRNazanin" w:cs="IRNazanin"/>
          <w:lang w:bidi="fa-IR"/>
          <w:color w:val="111111"/>
          <w:sz w:val="28"/>
          <w:szCs w:val="28"/>
          <w:rtl/>
        </w:rPr>
        <w:t xml:space="preserve">قوله:«و ذهب بعضهم إلی حجّیّته فی القسم الأوّل».</w:t>
      </w:r>
    </w:p>
    <w:p>
      <w:pPr>
        <w:pStyle w:val="BookText"/>
      </w:pPr>
      <w:r>
        <w:rPr>
          <w:rFonts w:ascii="IRNazanin" w:hAnsi="IRNazanin" w:eastAsia="IRNazanin" w:cs="IRNazanin"/>
          <w:lang w:bidi="fa-IR"/>
          <w:color w:val="111111"/>
          <w:sz w:val="28"/>
          <w:szCs w:val="28"/>
          <w:rtl/>
        </w:rPr>
        <w:t xml:space="preserve">ظاهره-کصریح ما تقدّم منه فی حاشیته الاخری-وجود القائل بحجّیّة الاستصحاب فی الأحکام الشرعیّة الجزئیّة کطهارة هذا الثوب، و الکلّیّة کنجاسة المتغیّر بعد زوال التغیّر،و عدم الحجّیّة فی الامور الخارجیّة،کرطوبة الثوب و حیاة زید.</w:t>
      </w:r>
    </w:p>
    <w:p>
      <w:pPr>
        <w:pStyle w:val="BookText"/>
      </w:pPr>
      <w:r>
        <w:rPr>
          <w:rFonts w:ascii="IRNazanin" w:hAnsi="IRNazanin" w:eastAsia="IRNazanin" w:cs="IRNazanin"/>
          <w:lang w:bidi="fa-IR"/>
          <w:color w:val="111111"/>
          <w:sz w:val="28"/>
          <w:szCs w:val="28"/>
          <w:rtl/>
        </w:rPr>
        <w:t xml:space="preserve">[شماره صفحه واقعی : 177]
</w:t>
      </w:r>
    </w:p>
    <w:p>
      <w:pPr>
        <w:sectPr>
          <w:footerReference w:type="default" r:id="rId6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فیه نظر،یعرف </w:t>
      </w:r>
      <w:r>
        <w:rPr>
          <w:rStyle w:val="FootnoteReference"/>
        </w:rPr>
        <w:footnoteReference w:id="2064"/>
      </w:r>
      <w:r>
        <w:rPr>
          <w:rFonts w:ascii="IRNazanin" w:hAnsi="IRNazanin" w:eastAsia="IRNazanin" w:cs="IRNazanin"/>
          <w:lang w:bidi="fa-IR"/>
          <w:color w:val="111111"/>
          <w:sz w:val="28"/>
          <w:szCs w:val="28"/>
          <w:rtl/>
        </w:rPr>
        <w:t xml:space="preserve">بالتتبّع فی کلمات القائلین بحجّیّة الاستصحاب و عدمها،و النظر فی أدلّتهم،مع أنّ ما ذکره فی الحاشیة الأخیرة-دلیلا لعدم الجریان فی الموضوع-جار فی الحکم الجزئیّ أیضا؛فإنّ بیان وصول النجاسة إلی هذا الثوب الخاصّ واقعا و عدم وصولها،و بیان نجاسته المسبّبة عن هذا الوصول و عدمها لعدم الوصول،کلاهما خارج عن شأن الشارع،کما أنّ بیان طهارة الثوب المذکور ظاهرا و بیان عدم وصول النجاسة إلیه ظاهرا-الراجع فی الحقیقة إلی الحکم بالطهارة ظاهرا-لیس إلاّ شأن الشارع،کما نبّهنا علیه فیما تقدّم </w:t>
      </w:r>
      <w:r>
        <w:rPr>
          <w:rStyle w:val="FootnoteReference"/>
        </w:rPr>
        <w:footnoteReference w:id="2065"/>
      </w:r>
      <w:r>
        <w:rPr>
          <w:rStyle w:val="FootnoteReference"/>
        </w:rPr>
        <w:footnoteReference w:id="20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قوله:«الظاهر حجّیّة الاستصحاب بمعنی آخر...الخ».</w:t>
      </w:r>
    </w:p>
    <w:p>
      <w:pPr>
        <w:pStyle w:val="BookText"/>
      </w:pPr>
      <w:r>
        <w:rPr>
          <w:rFonts w:ascii="IRNazanin" w:hAnsi="IRNazanin" w:eastAsia="IRNazanin" w:cs="IRNazanin"/>
          <w:lang w:bidi="fa-IR"/>
          <w:color w:val="111111"/>
          <w:sz w:val="28"/>
          <w:szCs w:val="28"/>
          <w:rtl/>
        </w:rPr>
        <w:t xml:space="preserve">وجه مغایرة ما ذکره لما ذکره المشهور،هو:أنّ الاعتماد فی البقاء عند المشهور علی الوجود السابق-کما هو ظاهر قوله:«لوجوده فی زمان سابق علیه»،و صریح قول شیخنا البهائیّ:«إثبات الحکم فی الزمان الثانی تعویلا علی ثبوته فی الزمن الأوّل» </w:t>
      </w:r>
      <w:r>
        <w:rPr>
          <w:rStyle w:val="FootnoteReference"/>
        </w:rPr>
        <w:footnoteReference w:id="2067"/>
      </w:r>
      <w:r>
        <w:rPr>
          <w:rFonts w:ascii="IRNazanin" w:hAnsi="IRNazanin" w:eastAsia="IRNazanin" w:cs="IRNazanin"/>
          <w:lang w:bidi="fa-IR"/>
          <w:color w:val="111111"/>
          <w:sz w:val="28"/>
          <w:szCs w:val="28"/>
          <w:rtl/>
        </w:rPr>
        <w:t xml:space="preserve">-و لیس الأمر کذلک علی طریقة شارح الدروس.</w:t>
      </w:r>
    </w:p>
    <w:p>
      <w:pPr>
        <w:pStyle w:val="BookText"/>
      </w:pPr>
      <w:r>
        <w:rPr>
          <w:rFonts w:ascii="IRNazanin" w:hAnsi="IRNazanin" w:eastAsia="IRNazanin" w:cs="IRNazanin"/>
          <w:lang w:bidi="fa-IR"/>
          <w:color w:val="111111"/>
          <w:sz w:val="28"/>
          <w:szCs w:val="28"/>
          <w:rtl/>
        </w:rPr>
        <w:t xml:space="preserve">قوله قدّس سرّه:«إنّ الحکم الفلانیّ بعد تحقّقه ثابت إلی حدوث حال</w:t>
      </w:r>
    </w:p>
    <w:p>
      <w:pPr>
        <w:pStyle w:val="BookText"/>
      </w:pPr>
      <w:r>
        <w:rPr>
          <w:rFonts w:ascii="IRNazanin" w:hAnsi="IRNazanin" w:eastAsia="IRNazanin" w:cs="IRNazanin"/>
          <w:lang w:bidi="fa-IR"/>
          <w:color w:val="111111"/>
          <w:sz w:val="28"/>
          <w:szCs w:val="28"/>
          <w:rtl/>
        </w:rPr>
        <w:t xml:space="preserve">[شماره صفحه واقعی : 178]
</w:t>
      </w:r>
    </w:p>
    <w:p>
      <w:pPr>
        <w:sectPr>
          <w:footerReference w:type="default" r:id="rId6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کذا أو وقت کذا...الخ».</w:t>
      </w:r>
    </w:p>
    <w:p>
      <w:pPr>
        <w:pStyle w:val="BookText"/>
      </w:pPr>
      <w:r>
        <w:rPr>
          <w:rFonts w:ascii="IRNazanin" w:hAnsi="IRNazanin" w:eastAsia="IRNazanin" w:cs="IRNazanin"/>
          <w:lang w:bidi="fa-IR"/>
          <w:color w:val="111111"/>
          <w:sz w:val="28"/>
          <w:szCs w:val="28"/>
          <w:rtl/>
        </w:rPr>
        <w:t xml:space="preserve">أقول:بقاء الحکم إلی زمان کذا یتصوّر علی وجهین:</w:t>
      </w:r>
    </w:p>
    <w:p>
      <w:pPr>
        <w:pStyle w:val="BookText"/>
      </w:pPr>
      <w:r>
        <w:rPr>
          <w:rFonts w:ascii="IRNazanin" w:hAnsi="IRNazanin" w:eastAsia="IRNazanin" w:cs="IRNazanin"/>
          <w:lang w:bidi="fa-IR"/>
          <w:color w:val="111111"/>
          <w:sz w:val="28"/>
          <w:szCs w:val="28"/>
          <w:rtl/>
        </w:rPr>
        <w:t xml:space="preserve">الأوّل:أن یلاحظ الفعل إلی زمان کذا موضوعا واحدا تعلّق به الحکم الواحد،کأن یلاحظ الجلوس فی المسجد إلی وقت الزوال فعلا واحدا تعلّق به أحد الأحکام الخمسة،و من أمثلته:الإمساک المستمرّ إلی اللیل؛حیث إنّه ملحوظ فعلا واحدا تعلّق به الوجوب أو الندب أو غیرهما من أحکام الصوم.</w:t>
      </w:r>
    </w:p>
    <w:p>
      <w:pPr>
        <w:pStyle w:val="BookText"/>
      </w:pPr>
      <w:r>
        <w:rPr>
          <w:rFonts w:ascii="IRNazanin" w:hAnsi="IRNazanin" w:eastAsia="IRNazanin" w:cs="IRNazanin"/>
          <w:lang w:bidi="fa-IR"/>
          <w:color w:val="111111"/>
          <w:sz w:val="28"/>
          <w:szCs w:val="28"/>
          <w:rtl/>
        </w:rPr>
        <w:t xml:space="preserve">الثانی:أن یلاحظ الفعل فی کلّ جزء یسعه من الزمان المغیّا </w:t>
      </w:r>
      <w:r>
        <w:rPr>
          <w:rStyle w:val="FootnoteReference"/>
        </w:rPr>
        <w:footnoteReference w:id="2068"/>
      </w:r>
      <w:r>
        <w:rPr>
          <w:rFonts w:ascii="IRNazanin" w:hAnsi="IRNazanin" w:eastAsia="IRNazanin" w:cs="IRNazanin"/>
          <w:lang w:bidi="fa-IR"/>
          <w:color w:val="111111"/>
          <w:sz w:val="28"/>
          <w:szCs w:val="28"/>
          <w:rtl/>
        </w:rPr>
        <w:t xml:space="preserve">موضوعا مستقلا تعلّق به حکم،فیحدث فی المقام أحکام متعدّدة لموضوعات متعدّدة،و من أمثلته:وجوب الصوم عند رؤیة هلال رمضان إلی أن یری هلال شوّال؛فإنّ صوم کلّ یوم إلی انقضاء الشهر فعل مستقلّ تعلّق به حکم مستقلّ.</w:t>
      </w:r>
    </w:p>
    <w:p>
      <w:pPr>
        <w:pStyle w:val="BookText"/>
      </w:pPr>
      <w:r>
        <w:rPr>
          <w:rFonts w:ascii="Amiri" w:hAnsi="Amiri" w:eastAsia="Amiri" w:cs="Amiri"/>
          <w:lang w:bidi="ar-SA"/>
          <w:color w:val="111111"/>
          <w:sz w:val="28"/>
          <w:szCs w:val="28"/>
          <w:rtl/>
        </w:rPr>
        <w:t xml:space="preserve">أمّا الأوّل،فالحکم التکلیفیّ:إمّا أمر،و إمّا نهی،و إمّا تخییر:</w:t>
      </w:r>
    </w:p>
    <w:p>
      <w:pPr>
        <w:pStyle w:val="BookText"/>
      </w:pPr>
      <w:r>
        <w:rPr>
          <w:rFonts w:ascii="IRNazanin" w:hAnsi="IRNazanin" w:eastAsia="IRNazanin" w:cs="IRNazanin"/>
          <w:lang w:bidi="fa-IR"/>
          <w:color w:val="111111"/>
          <w:sz w:val="28"/>
          <w:szCs w:val="28"/>
          <w:rtl/>
        </w:rPr>
        <w:t xml:space="preserve">فإن کان أمرا،کان اللازم عند الشکّ فی وجود الغایة ما ذکره:</w:t>
      </w:r>
    </w:p>
    <w:p>
      <w:pPr>
        <w:pStyle w:val="BookText"/>
      </w:pPr>
      <w:r>
        <w:rPr>
          <w:rFonts w:ascii="IRNazanin" w:hAnsi="IRNazanin" w:eastAsia="IRNazanin" w:cs="IRNazanin"/>
          <w:lang w:bidi="fa-IR"/>
          <w:color w:val="111111"/>
          <w:sz w:val="28"/>
          <w:szCs w:val="28"/>
          <w:rtl/>
        </w:rPr>
        <w:t xml:space="preserve">من وجوب الإتیان بالفعل تحصیلا للیقین بالبراءة من التکلیف المعلوم، لکن یجب تقییده بما إذا لم یعارضه تکلیف آخر محدود بما بعد الغایة، کما إذا وجب الجلوس فی المسجد إلی الزوال،و وجب الخروج منه من الزوال إلی الغروب؛فإنّ وجوب الاحتیاط للتکلیف بالجلوس عند الشکّ فی الزوال معارض بوجوب الاحتیاط للتکلیف بالخروج بعد الزوال،فلا بدّ من الرجوع فی وجوب الجلوس عند الشکّ فی الزوال</w:t>
      </w:r>
    </w:p>
    <w:p>
      <w:pPr>
        <w:pStyle w:val="BookText"/>
      </w:pPr>
      <w:r>
        <w:rPr>
          <w:rFonts w:ascii="IRNazanin" w:hAnsi="IRNazanin" w:eastAsia="IRNazanin" w:cs="IRNazanin"/>
          <w:lang w:bidi="fa-IR"/>
          <w:color w:val="111111"/>
          <w:sz w:val="28"/>
          <w:szCs w:val="28"/>
          <w:rtl/>
        </w:rPr>
        <w:t xml:space="preserve">[شماره صفحه واقعی : 179]
</w:t>
      </w:r>
    </w:p>
    <w:p>
      <w:pPr>
        <w:sectPr>
          <w:footerReference w:type="default" r:id="rId6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أصل آخر غیر الاحتیاط،مثل:أصالة عدم الزوال،أو عدم الخروج عن عهدة التکلیف بالجلوس،أو عدم حدوث التکلیف بالخروج، أو غیر ذلک.</w:t>
      </w:r>
    </w:p>
    <w:p>
      <w:pPr>
        <w:pStyle w:val="BookText"/>
      </w:pPr>
      <w:r>
        <w:rPr>
          <w:rFonts w:ascii="IRNazanin" w:hAnsi="IRNazanin" w:eastAsia="IRNazanin" w:cs="IRNazanin"/>
          <w:lang w:bidi="fa-IR"/>
          <w:color w:val="111111"/>
          <w:sz w:val="28"/>
          <w:szCs w:val="28"/>
          <w:rtl/>
        </w:rPr>
        <w:t xml:space="preserve">و إن کان نهیا،کما إذا حرم الإمساک المحدود بالغایة المذکورة أو الجلوس المذکور،فإن قلنا بتحریم الاشتغال-کما هو الظاهر-کان المتیقّن التحریم قبل الشکّ فی وجود الغایة،و أمّا التحریم بعده فلا یثبت بما ذکر فی الأمر،بل یحتاج إلی الاستصحاب المشهور،و إلاّ فالأصل الإباحة فی صورة الشکّ.و إن قلنا:إنّه لا یتحقّق الحرام و لا استحقاق العقاب إلاّ بعد تمام </w:t>
      </w:r>
      <w:r>
        <w:rPr>
          <w:rStyle w:val="FootnoteReference"/>
        </w:rPr>
        <w:footnoteReference w:id="2069"/>
      </w:r>
      <w:r>
        <w:rPr>
          <w:rFonts w:ascii="IRNazanin" w:hAnsi="IRNazanin" w:eastAsia="IRNazanin" w:cs="IRNazanin"/>
          <w:lang w:bidi="fa-IR"/>
          <w:color w:val="111111"/>
          <w:sz w:val="28"/>
          <w:szCs w:val="28"/>
          <w:rtl/>
        </w:rPr>
        <w:t xml:space="preserve">الإمساک و الجلوس المذکورین،فیرجع إلی مقتضی أصالة عدم استحقاق العقاب و عدم تحقّق المعصیة،و لا دخل له بما ذکره فی الأمر.</w:t>
      </w:r>
    </w:p>
    <w:p>
      <w:pPr>
        <w:pStyle w:val="BookText"/>
      </w:pPr>
      <w:r>
        <w:rPr>
          <w:rFonts w:ascii="IRNazanin" w:hAnsi="IRNazanin" w:eastAsia="IRNazanin" w:cs="IRNazanin"/>
          <w:lang w:bidi="fa-IR"/>
          <w:color w:val="111111"/>
          <w:sz w:val="28"/>
          <w:szCs w:val="28"/>
          <w:rtl/>
        </w:rPr>
        <w:t xml:space="preserve">و إن کان تخییرا،فالأصل فیه و إن اقتضی عدم حدوث حکم ما بعد الغایة للفعل عند الشکّ فیها،إلاّ أنّه قد یکون حکم ما بعد الغایة تکلیفا منجّزا یجب فیه الاحتیاط،کما إذا أباح الأکل إلی طلوع الفجر مع تنجّز وجوب الإمساک من طلوع الفجر إلی الغروب علیه؛فإنّ الظاهر لزوم الکفّ من الأکل عند الشکّ.هذا کلّه إذا لوحظ الفعل المحکوم علیه بالحکم الاقتضائیّ أو التخییریّ أمرا واحدا مستمرّا.</w:t>
      </w:r>
    </w:p>
    <w:p>
      <w:pPr>
        <w:pStyle w:val="BookText"/>
      </w:pPr>
      <w:r>
        <w:rPr>
          <w:rFonts w:ascii="IRNazanin" w:hAnsi="IRNazanin" w:eastAsia="IRNazanin" w:cs="IRNazanin"/>
          <w:lang w:bidi="fa-IR"/>
          <w:color w:val="111111"/>
          <w:sz w:val="28"/>
          <w:szCs w:val="28"/>
          <w:rtl/>
        </w:rPr>
        <w:t xml:space="preserve">و أمّا الثانی،و هو ما لوحظ فیه الفعل امورا متعدّدة کلّ واحد منها متّصف بذلک الحکم غیر مربوط بالآخر،فإن کان أمرا أو نهیا فأصالة الإباحة و البراءة قاضیة بعدم الوجوب و الحرمة فی زمان الشکّ،</w:t>
      </w:r>
    </w:p>
    <w:p>
      <w:pPr>
        <w:pStyle w:val="BookText"/>
      </w:pPr>
      <w:r>
        <w:rPr>
          <w:rFonts w:ascii="IRNazanin" w:hAnsi="IRNazanin" w:eastAsia="IRNazanin" w:cs="IRNazanin"/>
          <w:lang w:bidi="fa-IR"/>
          <w:color w:val="111111"/>
          <w:sz w:val="28"/>
          <w:szCs w:val="28"/>
          <w:rtl/>
        </w:rPr>
        <w:t xml:space="preserve">[شماره صفحه واقعی : 180]
</w:t>
      </w:r>
    </w:p>
    <w:p>
      <w:pPr>
        <w:sectPr>
          <w:footerReference w:type="default" r:id="rId692"/>
          <w:footnotePr>
            <w:numStart w:val="1"/>
            <w:numRestart w:val="eachPage"/>
          </w:footnotePr>
          <w:pgSz w:orient="portrait" w:w="11905.511811023622" w:h="16837.79527559055"/>
          <w:pgMar w:top="1440" w:right="1440" w:bottom="1440" w:left="1440" w:header="720" w:footer="720" w:gutter="0"/>
          <w:cols w:num="1" w:space="720"/>
        </w:sectPr>
      </w:pPr>
    </w:p>
    <w:bookmarkStart w:id="423" w:name="pg14411_143074"/>
    <w:bookmarkEnd w:id="423"/>
    <w:p>
      <w:pPr>
        <w:pStyle w:val="BookText"/>
      </w:pPr>
      <w:r>
        <w:rPr>
          <w:rFonts w:ascii="IRNazanin" w:hAnsi="IRNazanin" w:eastAsia="IRNazanin" w:cs="IRNazanin"/>
          <w:lang w:bidi="fa-IR"/>
          <w:color w:val="111111"/>
          <w:sz w:val="28"/>
          <w:szCs w:val="28"/>
          <w:rtl/>
        </w:rPr>
        <w:t xml:space="preserve">و کذلک أصالة الإباحة فی الحکم التخییریّ،إلاّ إذا کان الحکم فیما بعد الغایة تکلیفا منجّزا یجب فیه الاحتیاط.</w:t>
      </w:r>
    </w:p>
    <w:p>
      <w:pPr>
        <w:pStyle w:val="BookText"/>
      </w:pPr>
      <w:r>
        <w:rPr>
          <w:rFonts w:ascii="IRNazanin" w:hAnsi="IRNazanin" w:eastAsia="IRNazanin" w:cs="IRNazanin"/>
          <w:lang w:bidi="fa-IR"/>
          <w:color w:val="111111"/>
          <w:sz w:val="28"/>
          <w:szCs w:val="28"/>
          <w:rtl/>
        </w:rPr>
        <w:t xml:space="preserve">فعلم ممّا ذکرنا:أنّ ما ذکره من الوجه الأوّل الراجع إلی وجوب تحصیل الامتثال لا یجری إلاّ فی قلیل من الصور المتصوّرة فی المسألة،و مع ذلک فلا یخفی أنّ إثبات الحکم فی زمان الشکّ بقاعدة الاحتیاط کما فی الاقتضائیّ،أو قاعدة الإباحة و البراءة کما فی الحکم التخییریّ،لیس قولا بالاستصحاب المختلف فیه أصلا؛لأنّ مرجعه إلی أنّ إثبات الحکم فی الزمان الثانی یحتاج إلی دلیل یدلّ علیه و لو کان أصالة الاحتیاط أو البراءة،و هذا عین إنکار الاستصحاب؛لأنّ المنکر </w:t>
      </w:r>
      <w:r>
        <w:rPr>
          <w:rStyle w:val="FootnoteReference"/>
        </w:rPr>
        <w:footnoteReference w:id="2070"/>
      </w:r>
      <w:r>
        <w:rPr>
          <w:rFonts w:ascii="IRNazanin" w:hAnsi="IRNazanin" w:eastAsia="IRNazanin" w:cs="IRNazanin"/>
          <w:lang w:bidi="fa-IR"/>
          <w:color w:val="111111"/>
          <w:sz w:val="28"/>
          <w:szCs w:val="28"/>
          <w:rtl/>
        </w:rPr>
        <w:t xml:space="preserve">یرجع إلی اصول أخر،فلا حاجة إلی تطویل الکلام و تغییر اسلوب کلام المنکرین فی هذا المقام.</w:t>
      </w:r>
    </w:p>
    <w:p>
      <w:pPr>
        <w:pStyle w:val="Heading6"/>
      </w:pPr>
      <w:bookmarkStart w:id="1866" w:name="_Toc901"/>
      <w:r>
        <w:t>[توجیه ما ذکره المحقق الخوانساری فی الحکم التخییری:]</w:t>
      </w:r>
      <w:bookmarkEnd w:id="1866"/>
    </w:p>
    <w:p>
      <w:pPr>
        <w:pStyle w:val="BookText"/>
      </w:pPr>
      <w:r>
        <w:rPr>
          <w:rFonts w:ascii="IRNazanin" w:hAnsi="IRNazanin" w:eastAsia="IRNazanin" w:cs="IRNazanin"/>
          <w:lang w:bidi="fa-IR"/>
          <w:color w:val="111111"/>
          <w:sz w:val="28"/>
          <w:szCs w:val="28"/>
          <w:rtl/>
        </w:rPr>
        <w:t xml:space="preserve">بقی الکلام فی توجیه ما ذکره:من أنّ الأمر فی الحکم التخییریّ أظهر،و لعلّ الوجه فیه:أنّ الحکم بالتخییر فی زمان الشکّ فی وجود الغایة مطابق لأصالة الإباحة الثابتة بالعقل و النقل،کما أنّ الحکم بالبقاء فی الحکم الاقتضائیّ کان مطابقا لأصالة الاحتیاط الثابتة فی المقام بالعقل و النقل.</w:t>
      </w:r>
    </w:p>
    <w:p>
      <w:pPr>
        <w:pStyle w:val="Heading6"/>
      </w:pPr>
      <w:bookmarkStart w:id="1867" w:name="_Toc902"/>
      <w:r>
        <w:t>[توجیه المحقّق القمّی:]</w:t>
      </w:r>
      <w:bookmarkEnd w:id="1867"/>
    </w:p>
    <w:p>
      <w:pPr>
        <w:pStyle w:val="Heading6"/>
      </w:pPr>
      <w:bookmarkStart w:id="1868" w:name="_Toc903"/>
      <w:r>
        <w:t>اشارة</w:t>
      </w:r>
      <w:bookmarkEnd w:id="1868"/>
    </w:p>
    <w:p>
      <w:pPr>
        <w:pStyle w:val="BookText"/>
      </w:pPr>
      <w:r>
        <w:rPr>
          <w:rFonts w:ascii="Amiri" w:hAnsi="Amiri" w:eastAsia="Amiri" w:cs="Amiri"/>
          <w:lang w:bidi="ar-SA"/>
          <w:color w:val="111111"/>
          <w:sz w:val="28"/>
          <w:szCs w:val="28"/>
          <w:rtl/>
        </w:rPr>
        <w:t xml:space="preserve">و قد وجّه المحقّق القمّی قدّس سرّه إلحاق الحکم التخییریّ بالاقتضائیّ:</w:t>
      </w:r>
    </w:p>
    <w:p>
      <w:pPr>
        <w:pStyle w:val="BookText"/>
      </w:pPr>
      <w:r>
        <w:rPr>
          <w:rFonts w:ascii="IRNazanin" w:hAnsi="IRNazanin" w:eastAsia="IRNazanin" w:cs="IRNazanin"/>
          <w:lang w:bidi="fa-IR"/>
          <w:color w:val="111111"/>
          <w:sz w:val="28"/>
          <w:szCs w:val="28"/>
          <w:rtl/>
        </w:rPr>
        <w:t xml:space="preserve">بأنّ مقتضی التخییر إلی غایة وجوب الاعتقاد بثبوته فی کلّ جزء ممّا</w:t>
      </w:r>
    </w:p>
    <w:p>
      <w:pPr>
        <w:pStyle w:val="BookText"/>
      </w:pPr>
      <w:r>
        <w:rPr>
          <w:rFonts w:ascii="IRNazanin" w:hAnsi="IRNazanin" w:eastAsia="IRNazanin" w:cs="IRNazanin"/>
          <w:lang w:bidi="fa-IR"/>
          <w:color w:val="111111"/>
          <w:sz w:val="28"/>
          <w:szCs w:val="28"/>
          <w:rtl/>
        </w:rPr>
        <w:t xml:space="preserve">[شماره صفحه واقعی : 181]
</w:t>
      </w:r>
    </w:p>
    <w:p>
      <w:pPr>
        <w:sectPr>
          <w:footerReference w:type="default" r:id="rId693"/>
          <w:footnotePr>
            <w:numStart w:val="1"/>
            <w:numRestart w:val="eachPage"/>
          </w:footnotePr>
          <w:pgSz w:orient="portrait" w:w="11905.511811023622" w:h="16837.79527559055"/>
          <w:pgMar w:top="1440" w:right="1440" w:bottom="1440" w:left="1440" w:header="720" w:footer="720" w:gutter="0"/>
          <w:cols w:num="1" w:space="720"/>
        </w:sectPr>
      </w:pPr>
    </w:p>
    <w:bookmarkStart w:id="424" w:name="pg14411_143075"/>
    <w:bookmarkEnd w:id="424"/>
    <w:p>
      <w:pPr>
        <w:pStyle w:val="BookText"/>
      </w:pPr>
      <w:r>
        <w:rPr>
          <w:rFonts w:ascii="IRNazanin" w:hAnsi="IRNazanin" w:eastAsia="IRNazanin" w:cs="IRNazanin"/>
          <w:lang w:bidi="fa-IR"/>
          <w:color w:val="111111"/>
          <w:sz w:val="28"/>
          <w:szCs w:val="28"/>
          <w:rtl/>
        </w:rPr>
        <w:t xml:space="preserve">قبل الغایة،و لا یحصل الیقین بالبراءة من التکلیف باعتقاد التخییر عند الشکّ فی حدوث الغایة،إلاّ بالحکم بالإباحة و اعتقادها فی هذا الزمان أیضا </w:t>
      </w:r>
      <w:r>
        <w:rPr>
          <w:rStyle w:val="FootnoteReference"/>
        </w:rPr>
        <w:footnoteReference w:id="2071"/>
      </w:r>
      <w:r>
        <w:rPr>
          <w:rFonts w:ascii="Times New Roman" w:hAnsi="Times New Roman" w:eastAsia="Times New Roman" w:cs="Times New Roman"/>
          <w:lang w:val="en-US" w:bidi="en-US"/>
          <w:color w:val="111111"/>
          <w:sz w:val="28"/>
          <w:szCs w:val="28"/>
          <w:rtl/>
        </w:rPr>
        <w:t xml:space="preserve">.</w:t>
      </w:r>
    </w:p>
    <w:p>
      <w:pPr>
        <w:pStyle w:val="Heading6"/>
      </w:pPr>
      <w:bookmarkStart w:id="1869" w:name="_Toc904"/>
      <w:r>
        <w:t>[المناقشة فی توجیه المحقّق القمّی:]</w:t>
      </w:r>
      <w:bookmarkEnd w:id="1869"/>
    </w:p>
    <w:p>
      <w:pPr>
        <w:pStyle w:val="BookText"/>
      </w:pPr>
      <w:r>
        <w:rPr>
          <w:rFonts w:ascii="IRNazanin" w:hAnsi="IRNazanin" w:eastAsia="IRNazanin" w:cs="IRNazanin"/>
          <w:lang w:bidi="fa-IR"/>
          <w:color w:val="111111"/>
          <w:sz w:val="28"/>
          <w:szCs w:val="28"/>
          <w:rtl/>
        </w:rPr>
        <w:t xml:space="preserve">و فیه:أنّه إن ارید وجوب الاعتقاد بکون الحکم المذکور ثابتا إلی الغایة المعیّنة،فهذا الاعتقاد موجود و لو بعد القطع بتحقّق الغایة فضلا عن صورة الشکّ فیه؛فإنّ هذا اعتقاد بالحکم الشرعیّ الکلّی، و وجوبه غیر مغیّا بغایة؛فإنّ الغایة غایة للمعتقد لا لوجوب الاعتقاد.</w:t>
      </w:r>
    </w:p>
    <w:p>
      <w:pPr>
        <w:pStyle w:val="BookText"/>
      </w:pPr>
      <w:r>
        <w:rPr>
          <w:rFonts w:ascii="IRNazanin" w:hAnsi="IRNazanin" w:eastAsia="IRNazanin" w:cs="IRNazanin"/>
          <w:lang w:bidi="fa-IR"/>
          <w:color w:val="111111"/>
          <w:sz w:val="28"/>
          <w:szCs w:val="28"/>
          <w:rtl/>
        </w:rPr>
        <w:t xml:space="preserve">و إن ارید وجوب الاعتقاد بذلک الحکم التخییریّ فی کلّ جزء من الزمان الذی یکون فی الواقع ممّا قبل الغایة و إن لم یکن معلوما عندنا، ففیه:أنّ وجوب الاعتقاد فی هذا الجزء المشکوک بکون الحکم فیه هو الحکم الأوّلیّ أو غیره ممنوع جدّا،بل الکلام فی جوازه؛لأنّه معارض بوجوب الاعتقاد بالحکم الآخر الذی ثبت فیما بعد الغایة واقعا و إن لم یکن معلوما،بل لا یعقل وجوب الاعتقاد مع الشکّ فی الموضوع،کما لا یخفی.</w:t>
      </w:r>
    </w:p>
    <w:p>
      <w:pPr>
        <w:pStyle w:val="BookText"/>
      </w:pPr>
      <w:r>
        <w:rPr>
          <w:rFonts w:ascii="IRNazanin" w:hAnsi="IRNazanin" w:eastAsia="IRNazanin" w:cs="IRNazanin"/>
          <w:lang w:bidi="fa-IR"/>
          <w:color w:val="111111"/>
          <w:sz w:val="28"/>
          <w:szCs w:val="28"/>
          <w:rtl/>
        </w:rPr>
        <w:t xml:space="preserve">و لعلّ هذا الموجّه قدّس سرّه قد وجد عبارة شرح الدروس فی نسخته -کما وجدته </w:t>
      </w:r>
      <w:r>
        <w:rPr>
          <w:rStyle w:val="FootnoteReference"/>
        </w:rPr>
        <w:footnoteReference w:id="2072"/>
      </w:r>
      <w:r>
        <w:rPr>
          <w:rFonts w:ascii="IRNazanin" w:hAnsi="IRNazanin" w:eastAsia="IRNazanin" w:cs="IRNazanin"/>
          <w:lang w:bidi="fa-IR"/>
          <w:color w:val="111111"/>
          <w:sz w:val="28"/>
          <w:szCs w:val="28"/>
          <w:rtl/>
        </w:rPr>
        <w:t xml:space="preserve">فی بعض نسخ شرح الوافیة-هکذا </w:t>
      </w:r>
      <w:r>
        <w:rPr>
          <w:rStyle w:val="FootnoteReference"/>
        </w:rPr>
        <w:footnoteReference w:id="2073"/>
      </w:r>
      <w:r>
        <w:rPr>
          <w:rFonts w:ascii="IRNazanin" w:hAnsi="IRNazanin" w:eastAsia="IRNazanin" w:cs="IRNazanin"/>
          <w:lang w:bidi="fa-IR"/>
          <w:color w:val="111111"/>
          <w:sz w:val="28"/>
          <w:szCs w:val="28"/>
          <w:rtl/>
        </w:rPr>
        <w:t xml:space="preserve">:«و أمّا علی الثانی فالأمر کذلک»کما لا یخفی،لکنّی راجعت بعض نسخ شرح الدروس</w:t>
      </w:r>
    </w:p>
    <w:p>
      <w:pPr>
        <w:pStyle w:val="BookText"/>
      </w:pPr>
      <w:r>
        <w:rPr>
          <w:rFonts w:ascii="IRNazanin" w:hAnsi="IRNazanin" w:eastAsia="IRNazanin" w:cs="IRNazanin"/>
          <w:lang w:bidi="fa-IR"/>
          <w:color w:val="111111"/>
          <w:sz w:val="28"/>
          <w:szCs w:val="28"/>
          <w:rtl/>
        </w:rPr>
        <w:t xml:space="preserve">[شماره صفحه واقعی : 182]
</w:t>
      </w:r>
    </w:p>
    <w:p>
      <w:pPr>
        <w:sectPr>
          <w:footerReference w:type="default" r:id="rId694"/>
          <w:footnotePr>
            <w:numStart w:val="1"/>
            <w:numRestart w:val="eachPage"/>
          </w:footnotePr>
          <w:pgSz w:orient="portrait" w:w="11905.511811023622" w:h="16837.79527559055"/>
          <w:pgMar w:top="1440" w:right="1440" w:bottom="1440" w:left="1440" w:header="720" w:footer="720" w:gutter="0"/>
          <w:cols w:num="1" w:space="720"/>
        </w:sectPr>
      </w:pPr>
    </w:p>
    <w:bookmarkStart w:id="425" w:name="pg14411_143076"/>
    <w:bookmarkEnd w:id="425"/>
    <w:p>
      <w:pPr>
        <w:pStyle w:val="BookText"/>
      </w:pPr>
      <w:r>
        <w:rPr>
          <w:rFonts w:ascii="IRNazanin" w:hAnsi="IRNazanin" w:eastAsia="IRNazanin" w:cs="IRNazanin"/>
          <w:lang w:bidi="fa-IR"/>
          <w:color w:val="111111"/>
          <w:sz w:val="28"/>
          <w:szCs w:val="28"/>
          <w:rtl/>
        </w:rPr>
        <w:t xml:space="preserve">فوجدت لفظ«أظهر»بدل«کذلک» </w:t>
      </w:r>
      <w:r>
        <w:rPr>
          <w:rStyle w:val="FootnoteReference"/>
        </w:rPr>
        <w:footnoteReference w:id="2074"/>
      </w:r>
      <w:r>
        <w:rPr>
          <w:rFonts w:ascii="IRNazanin" w:hAnsi="IRNazanin" w:eastAsia="IRNazanin" w:cs="IRNazanin"/>
          <w:lang w:bidi="fa-IR"/>
          <w:color w:val="111111"/>
          <w:sz w:val="28"/>
          <w:szCs w:val="28"/>
          <w:rtl/>
        </w:rPr>
        <w:t xml:space="preserve">،و حینئذ فظاهره مقابلة وجه الحکم بالبقاء فی التخییر بوجه الحکم بالبقاء فی الاقتضاء،فلا وجه لإرجاع أحدهما إلی الآخر.</w:t>
      </w:r>
    </w:p>
    <w:p>
      <w:pPr>
        <w:pStyle w:val="BookText"/>
      </w:pPr>
      <w:r>
        <w:rPr>
          <w:rFonts w:ascii="IRNazanin" w:hAnsi="IRNazanin" w:eastAsia="IRNazanin" w:cs="IRNazanin"/>
          <w:lang w:bidi="fa-IR"/>
          <w:color w:val="111111"/>
          <w:sz w:val="28"/>
          <w:szCs w:val="28"/>
          <w:rtl/>
        </w:rPr>
        <w:t xml:space="preserve">و العجب من بعض المعاصرین </w:t>
      </w:r>
      <w:r>
        <w:rPr>
          <w:rStyle w:val="FootnoteReference"/>
        </w:rPr>
        <w:footnoteReference w:id="2075"/>
      </w:r>
      <w:r>
        <w:rPr>
          <w:rFonts w:ascii="IRNazanin" w:hAnsi="IRNazanin" w:eastAsia="IRNazanin" w:cs="IRNazanin"/>
          <w:lang w:bidi="fa-IR"/>
          <w:color w:val="111111"/>
          <w:sz w:val="28"/>
          <w:szCs w:val="28"/>
          <w:rtl/>
        </w:rPr>
        <w:t xml:space="preserve">:حیث أخذ التوجیه المذکور عن القوانین،و نسبه إلی المحقّق الخوانساریّ،فقال:</w:t>
      </w:r>
    </w:p>
    <w:p>
      <w:pPr>
        <w:pStyle w:val="BookText"/>
      </w:pPr>
      <w:r>
        <w:rPr>
          <w:rFonts w:ascii="IRNazanin" w:hAnsi="IRNazanin" w:eastAsia="IRNazanin" w:cs="IRNazanin"/>
          <w:lang w:bidi="fa-IR"/>
          <w:color w:val="111111"/>
          <w:sz w:val="28"/>
          <w:szCs w:val="28"/>
          <w:rtl/>
        </w:rPr>
        <w:t xml:space="preserve">حجّة المحقّق الخوانساریّ أمران:الأخبار،و أصالة الاشتغال.ثمّ أخذ فی إجراء أصالة الاشتغال فی الحکم التخییریّ بما وجّهه فی القوانین،ثمّ أخذ فی الطعن علیه.</w:t>
      </w:r>
    </w:p>
    <w:p>
      <w:pPr>
        <w:pStyle w:val="BookText"/>
      </w:pPr>
      <w:r>
        <w:rPr>
          <w:rFonts w:ascii="IRNazanin" w:hAnsi="IRNazanin" w:eastAsia="IRNazanin" w:cs="IRNazanin"/>
          <w:lang w:bidi="fa-IR"/>
          <w:color w:val="111111"/>
          <w:sz w:val="28"/>
          <w:szCs w:val="28"/>
          <w:rtl/>
        </w:rPr>
        <w:t xml:space="preserve">و أنت خبیر:بأنّ الطعن فی التوجیه،لا فی حجّة المحقّق،بل لا طعن فی التوجیه أیضا؛لأنّ غلط النسخة ألجأه إلیه.</w:t>
      </w:r>
    </w:p>
    <w:p>
      <w:pPr>
        <w:pStyle w:val="Heading6"/>
      </w:pPr>
      <w:bookmarkStart w:id="1870" w:name="_Toc905"/>
      <w:r>
        <w:t>[ما أورده السید الصدر علی المحقق الخوانساری:]</w:t>
      </w:r>
      <w:bookmarkEnd w:id="1870"/>
    </w:p>
    <w:p>
      <w:pPr>
        <w:pStyle w:val="Heading6"/>
      </w:pPr>
      <w:bookmarkStart w:id="1871" w:name="_Toc906"/>
      <w:r>
        <w:t>اشارة</w:t>
      </w:r>
      <w:bookmarkEnd w:id="1871"/>
    </w:p>
    <w:p>
      <w:pPr>
        <w:pStyle w:val="BookText"/>
      </w:pPr>
      <w:r>
        <w:rPr>
          <w:rFonts w:ascii="IRNazanin" w:hAnsi="IRNazanin" w:eastAsia="IRNazanin" w:cs="IRNazanin"/>
          <w:lang w:bidi="fa-IR"/>
          <w:color w:val="111111"/>
          <w:sz w:val="28"/>
          <w:szCs w:val="28"/>
          <w:rtl/>
        </w:rPr>
        <w:t xml:space="preserve">هذا،و قد أورد علیه السیّد الشارح:بجریان ما ذکره من قاعدة وجوب تحصیل الامتثال فی استصحاب القوم </w:t>
      </w:r>
      <w:r>
        <w:rPr>
          <w:rStyle w:val="FootnoteReference"/>
        </w:rPr>
        <w:footnoteReference w:id="2076"/>
      </w:r>
      <w:r>
        <w:rPr>
          <w:rFonts w:ascii="IRNazanin" w:hAnsi="IRNazanin" w:eastAsia="IRNazanin" w:cs="IRNazanin"/>
          <w:lang w:bidi="fa-IR"/>
          <w:color w:val="111111"/>
          <w:sz w:val="28"/>
          <w:szCs w:val="28"/>
          <w:rtl/>
        </w:rPr>
        <w:t xml:space="preserve">،قال:</w:t>
      </w:r>
    </w:p>
    <w:p>
      <w:pPr>
        <w:pStyle w:val="BookText"/>
      </w:pPr>
      <w:r>
        <w:rPr>
          <w:rFonts w:ascii="IRNazanin" w:hAnsi="IRNazanin" w:eastAsia="IRNazanin" w:cs="IRNazanin"/>
          <w:lang w:bidi="fa-IR"/>
          <w:color w:val="111111"/>
          <w:sz w:val="28"/>
          <w:szCs w:val="28"/>
          <w:rtl/>
        </w:rPr>
        <w:t xml:space="preserve">بیانه:أنّا کما نجزم-فی الصورة التی فرضها-بتحقّق الحکم فی قطعة من الزمان،و نشکّ أیضا-حین القطع-فی تحقّقه فی زمان یکون حدوث الغایة فیه و عدمه متساویین عندنا،فکذلک نجزم بتحقّق الحکم فی زمان لا یمکن تحقّقه إلاّ فیه،و نشکّ-حین القطع-فی تحقّقه فی زمان متّصل بذلک الزمان؛لاحتمال وجود رافع لجزء من أجزاء علّة الوجود،و کما أنّ فی الصورة الاولی یکون الدلیل محتملا لأن یراد منه</w:t>
      </w:r>
    </w:p>
    <w:p>
      <w:pPr>
        <w:pStyle w:val="BookText"/>
      </w:pPr>
      <w:r>
        <w:rPr>
          <w:rFonts w:ascii="IRNazanin" w:hAnsi="IRNazanin" w:eastAsia="IRNazanin" w:cs="IRNazanin"/>
          <w:lang w:bidi="fa-IR"/>
          <w:color w:val="111111"/>
          <w:sz w:val="28"/>
          <w:szCs w:val="28"/>
          <w:rtl/>
        </w:rPr>
        <w:t xml:space="preserve">[شماره صفحه واقعی : 183]
</w:t>
      </w:r>
    </w:p>
    <w:p>
      <w:pPr>
        <w:sectPr>
          <w:footerReference w:type="default" r:id="rId695"/>
          <w:footnotePr>
            <w:numStart w:val="1"/>
            <w:numRestart w:val="eachPage"/>
          </w:footnotePr>
          <w:pgSz w:orient="portrait" w:w="11905.511811023622" w:h="16837.79527559055"/>
          <w:pgMar w:top="1440" w:right="1440" w:bottom="1440" w:left="1440" w:header="720" w:footer="720" w:gutter="0"/>
          <w:cols w:num="1" w:space="720"/>
        </w:sectPr>
      </w:pPr>
    </w:p>
    <w:bookmarkStart w:id="426" w:name="pg14411_143077"/>
    <w:bookmarkEnd w:id="426"/>
    <w:p>
      <w:pPr>
        <w:pStyle w:val="BookText"/>
      </w:pPr>
      <w:r>
        <w:rPr>
          <w:rFonts w:ascii="IRNazanin" w:hAnsi="IRNazanin" w:eastAsia="IRNazanin" w:cs="IRNazanin"/>
          <w:lang w:bidi="fa-IR"/>
          <w:color w:val="111111"/>
          <w:sz w:val="28"/>
          <w:szCs w:val="28"/>
          <w:rtl/>
        </w:rPr>
        <w:t xml:space="preserve">وجود الحکم فی زمان الشکّ و أن یراد عدم وجوده،فکذلک الدلیل فی الصورة التی فرضناها،و حینئذ فنقول:لو لم یمتثل المکلّف </w:t>
      </w:r>
      <w:r>
        <w:rPr>
          <w:rStyle w:val="FootnoteReference"/>
        </w:rPr>
        <w:footnoteReference w:id="2077"/>
      </w:r>
      <w:r>
        <w:rPr>
          <w:rFonts w:ascii="IRNazanin" w:hAnsi="IRNazanin" w:eastAsia="IRNazanin" w:cs="IRNazanin"/>
          <w:lang w:bidi="fa-IR"/>
          <w:color w:val="111111"/>
          <w:sz w:val="28"/>
          <w:szCs w:val="28"/>
          <w:rtl/>
        </w:rPr>
        <w:t xml:space="preserve">لم یحصل الظنّ بالامتثال...إلی آخر ما ذکره </w:t>
      </w:r>
      <w:r>
        <w:rPr>
          <w:rStyle w:val="FootnoteReference"/>
        </w:rPr>
        <w:footnoteReference w:id="2078"/>
      </w:r>
      <w:r>
        <w:rPr>
          <w:rFonts w:ascii="IRNazanin" w:hAnsi="IRNazanin" w:eastAsia="IRNazanin" w:cs="IRNazanin"/>
          <w:lang w:bidi="fa-IR"/>
          <w:color w:val="111111"/>
          <w:sz w:val="28"/>
          <w:szCs w:val="28"/>
          <w:rtl/>
        </w:rPr>
        <w:t xml:space="preserve">،انتهی.</w:t>
      </w:r>
    </w:p>
    <w:p>
      <w:pPr>
        <w:pStyle w:val="Heading6"/>
      </w:pPr>
      <w:bookmarkStart w:id="1872" w:name="_Toc907"/>
      <w:r>
        <w:t>[المناقشة فی الإیراد:]</w:t>
      </w:r>
      <w:bookmarkEnd w:id="1872"/>
    </w:p>
    <w:p>
      <w:pPr>
        <w:pStyle w:val="BookText"/>
      </w:pPr>
      <w:r>
        <w:rPr>
          <w:rFonts w:ascii="IRNazanin" w:hAnsi="IRNazanin" w:eastAsia="IRNazanin" w:cs="IRNazanin"/>
          <w:lang w:bidi="fa-IR"/>
          <w:color w:val="111111"/>
          <w:sz w:val="28"/>
          <w:szCs w:val="28"/>
          <w:rtl/>
        </w:rPr>
        <w:t xml:space="preserve">أقول:و هذا الإیراد ساقط عن المحقّق؛لعدم جریان قاعدة الاشتغال فی غیر الصورة التی فرضها المحقّق،مثلا:إذا ثبت وجوب الصوم فی الجملة،و شککنا فی أنّ غایته سقوط القرص أو میل الحمرة المشرقیّة،فاللازم حینئذ-علی ما صرّح به المحقّق المذکور فی عدّة مواضع من کلماته-الرجوع فی نفی الزائد،و هو وجوب الإمساک بعد سقوط القرص،إلی أصالة البراءة؛لعدم ثبوت التکلیف بإمساک أزید من المقدار المعلوم،فیرجع إلی مسألة الشکّ فی الجزئیّة،فلا یمکن أن یقال:إنّه لو لم یمتثل التکلیف لم یحصل الظنّ بالامتثال؛لأنّه إن ارید امتثال التکلیف المعلوم فقد حصل قطعا،و إن ارید امتثال التکلیف المحتمل فتحصیله غیر لازم.</w:t>
      </w:r>
    </w:p>
    <w:p>
      <w:pPr>
        <w:pStyle w:val="BookText"/>
      </w:pPr>
      <w:r>
        <w:rPr>
          <w:rFonts w:ascii="IRNazanin" w:hAnsi="IRNazanin" w:eastAsia="IRNazanin" w:cs="IRNazanin"/>
          <w:lang w:bidi="fa-IR"/>
          <w:color w:val="111111"/>
          <w:sz w:val="28"/>
          <w:szCs w:val="28"/>
          <w:rtl/>
        </w:rPr>
        <w:t xml:space="preserve">و هذا بخلاف فرض المحقّق؛فإنّ التکلیف بالإمساک-إلی السقوط علی القول به أو میل الحمرة علی القول الآخر-معلوم مبیّن،و إنّما الشکّ فی الإتیان به عند الشکّ فی حدوث الغایة.فالفرق بین مورد استصحابه و مورد استصحاب القوم،کالفرق بین الشکّ فی إتیان الجزء المعلوم الجزئیّة و الشکّ فی جزئیّة شیء،و قد تقرّر فی محلّه جریان أصالة الاحتیاط فی الأوّل دون الثانی </w:t>
      </w:r>
      <w:r>
        <w:rPr>
          <w:rStyle w:val="FootnoteReference"/>
        </w:rPr>
        <w:footnoteReference w:id="20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184]
</w:t>
      </w:r>
    </w:p>
    <w:p>
      <w:pPr>
        <w:sectPr>
          <w:footerReference w:type="default" r:id="rId696"/>
          <w:footnotePr>
            <w:numStart w:val="1"/>
            <w:numRestart w:val="eachPage"/>
          </w:footnotePr>
          <w:pgSz w:orient="portrait" w:w="11905.511811023622" w:h="16837.79527559055"/>
          <w:pgMar w:top="1440" w:right="1440" w:bottom="1440" w:left="1440" w:header="720" w:footer="720" w:gutter="0"/>
          <w:cols w:num="1" w:space="720"/>
        </w:sectPr>
      </w:pPr>
    </w:p>
    <w:bookmarkStart w:id="427" w:name="pg14411_143078"/>
    <w:bookmarkEnd w:id="427"/>
    <w:p>
      <w:pPr>
        <w:pStyle w:val="BookText"/>
      </w:pPr>
      <w:r>
        <w:rPr>
          <w:rFonts w:ascii="IRNazanin" w:hAnsi="IRNazanin" w:eastAsia="IRNazanin" w:cs="IRNazanin"/>
          <w:lang w:bidi="fa-IR"/>
          <w:color w:val="111111"/>
          <w:sz w:val="28"/>
          <w:szCs w:val="28"/>
          <w:rtl/>
        </w:rPr>
        <w:t xml:space="preserve">و قس علی ذلک سائر موارد استصحاب القوم،کما لو ثبت أنّ للحکم غایة و شککنا فی کون شیء آخر أیضا غایة له،فإنّ المرجع فی الشکّ فی ثبوت الحکم بعد تحقّق ما شکّ فی کونه غایة عند المحقّق الخوانساریّ قدّس سرّه هی أصالة البراءة دون الاحتیاط.</w:t>
      </w:r>
    </w:p>
    <w:p>
      <w:pPr>
        <w:pStyle w:val="Heading6"/>
      </w:pPr>
      <w:bookmarkStart w:id="1873" w:name="_Toc908"/>
      <w:r>
        <w:t>[رجوع إلی کلام المحقق الخوانساری:]</w:t>
      </w:r>
      <w:bookmarkEnd w:id="1873"/>
    </w:p>
    <w:p>
      <w:pPr>
        <w:pStyle w:val="BookText"/>
      </w:pPr>
      <w:r>
        <w:rPr>
          <w:rFonts w:ascii="IRNazanin" w:hAnsi="IRNazanin" w:eastAsia="IRNazanin" w:cs="IRNazanin"/>
          <w:lang w:bidi="fa-IR"/>
          <w:color w:val="111111"/>
          <w:sz w:val="28"/>
          <w:szCs w:val="28"/>
          <w:rtl/>
        </w:rPr>
        <w:t xml:space="preserve">قوله </w:t>
      </w:r>
      <w:r>
        <w:rPr>
          <w:rStyle w:val="FootnoteReference"/>
        </w:rPr>
        <w:footnoteReference w:id="2080"/>
      </w:r>
      <w:r>
        <w:rPr>
          <w:rFonts w:ascii="IRNazanin" w:hAnsi="IRNazanin" w:eastAsia="IRNazanin" w:cs="IRNazanin"/>
          <w:lang w:bidi="fa-IR"/>
          <w:color w:val="111111"/>
          <w:sz w:val="28"/>
          <w:szCs w:val="28"/>
          <w:rtl/>
        </w:rPr>
        <w:t xml:space="preserve">:«الظاهر أنّ المراد من عدم نقض الیقین بالشکّ أنّه عند التعارض لا ینقض،و معنی التعارض أن یکون شیء یوجب الیقین لو لا الشکّ».</w:t>
      </w:r>
    </w:p>
    <w:p>
      <w:pPr>
        <w:pStyle w:val="BookText"/>
      </w:pPr>
      <w:r>
        <w:rPr>
          <w:rFonts w:ascii="IRNazanin" w:hAnsi="IRNazanin" w:eastAsia="IRNazanin" w:cs="IRNazanin"/>
          <w:lang w:bidi="fa-IR"/>
          <w:color w:val="111111"/>
          <w:sz w:val="28"/>
          <w:szCs w:val="28"/>
          <w:rtl/>
        </w:rPr>
        <w:t xml:space="preserve">أقول:ظاهر هذا الکلام جعل تعارض الیقین و الشکّ باعتبار تعارض المقتضی للیقین و نفس الشکّ،علی أن یکون الشکّ مانعا عن الیقین،فیکون من قبیل تعارض المقتضی للشیء و المانع عنه.و الظاهر أنّ المراد بالموجب فی کلامه دلیل الیقین السابق،و هو الدالّ علی استمرار حکم إلی غایة معیّنة.</w:t>
      </w:r>
    </w:p>
    <w:p>
      <w:pPr>
        <w:pStyle w:val="BookText"/>
      </w:pPr>
      <w:r>
        <w:rPr>
          <w:rFonts w:ascii="IRNazanin" w:hAnsi="IRNazanin" w:eastAsia="IRNazanin" w:cs="IRNazanin"/>
          <w:lang w:bidi="fa-IR"/>
          <w:color w:val="111111"/>
          <w:sz w:val="28"/>
          <w:szCs w:val="28"/>
          <w:rtl/>
        </w:rPr>
        <w:t xml:space="preserve">و حینئذ فیرد علیه-مضافا إلی أنّ التعارض الذی استظهره من لفظ«النقض»لا بدّ أن یلاحظ بالنسبة إلی الناقض و نفس المنقوض، لا مقتضیه الموجب له لو لا الناقض-:أنّ نقض الیقین بالشکّ-بعد صرفه عن ظاهره،و هو نقض صفة الیقین أو أحکامه الثابتة له من حیث هی صفة من الصفات؛لارتفاع </w:t>
      </w:r>
      <w:r>
        <w:rPr>
          <w:rStyle w:val="FootnoteReference"/>
        </w:rPr>
        <w:footnoteReference w:id="2081"/>
      </w:r>
      <w:r>
        <w:rPr>
          <w:rFonts w:ascii="IRNazanin" w:hAnsi="IRNazanin" w:eastAsia="IRNazanin" w:cs="IRNazanin"/>
          <w:lang w:bidi="fa-IR"/>
          <w:color w:val="111111"/>
          <w:sz w:val="28"/>
          <w:szCs w:val="28"/>
          <w:rtl/>
        </w:rPr>
        <w:t xml:space="preserve">الیقین و أحکامه الثابتة له من حیث هو حین الشکّ قطعا-ظاهر فی نقض أحکام الیقین،یعنی:الأحکام الثابتة باعتباره للمتیقّن أعنی المستصحب،فیلاحظ التعارض حینئذ بین</w:t>
      </w:r>
    </w:p>
    <w:p>
      <w:pPr>
        <w:pStyle w:val="BookText"/>
      </w:pPr>
      <w:r>
        <w:rPr>
          <w:rFonts w:ascii="IRNazanin" w:hAnsi="IRNazanin" w:eastAsia="IRNazanin" w:cs="IRNazanin"/>
          <w:lang w:bidi="fa-IR"/>
          <w:color w:val="111111"/>
          <w:sz w:val="28"/>
          <w:szCs w:val="28"/>
          <w:rtl/>
        </w:rPr>
        <w:t xml:space="preserve">[شماره صفحه واقعی : 185]
</w:t>
      </w:r>
    </w:p>
    <w:p>
      <w:pPr>
        <w:sectPr>
          <w:footerReference w:type="default" r:id="rId6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المنقوض و الناقض،و اللازم من ذلک اختصاص الأخبار بما یکون المتیقّن و أحکامه ممّا یقتضی بنفسه الاستمرار لو لا الرافع،فلا ینقض تلک الأحکام بمجرّد الشکّ فی الرافع،سواء کان الشکّ فی وجود الرافع أو فی رافعیّة الموجود.و بین هذا و ما ذکره المحقّق </w:t>
      </w:r>
      <w:r>
        <w:rPr>
          <w:rStyle w:val="FootnoteReference"/>
        </w:rPr>
        <w:footnoteReference w:id="2082"/>
      </w:r>
      <w:r>
        <w:rPr>
          <w:rFonts w:ascii="Amiri" w:hAnsi="Amiri" w:eastAsia="Amiri" w:cs="Amiri"/>
          <w:lang w:bidi="ar-SA"/>
          <w:color w:val="111111"/>
          <w:sz w:val="28"/>
          <w:szCs w:val="28"/>
          <w:rtl/>
        </w:rPr>
        <w:t xml:space="preserve">تباین جزئیّ.</w:t>
      </w:r>
    </w:p>
    <w:p>
      <w:pPr>
        <w:pStyle w:val="BookText"/>
      </w:pPr>
      <w:r>
        <w:rPr>
          <w:rFonts w:ascii="IRNazanin" w:hAnsi="IRNazanin" w:eastAsia="IRNazanin" w:cs="IRNazanin"/>
          <w:lang w:bidi="fa-IR"/>
          <w:color w:val="111111"/>
          <w:sz w:val="28"/>
          <w:szCs w:val="28"/>
          <w:rtl/>
        </w:rPr>
        <w:t xml:space="preserve">ثمّ إنّ تعارض المقتضی للیقین و نفس الشکّ لم یکد یتصوّر فیما نحن فیه؛لأنّ الیقین بالمستصحب-کوجوب الإمساک فی الزمان السابق-کان حاصلا من الیقین بمقدّمتین:صغری وجدانیّة،و هی«أنّ هذا الآن لم یدخل اللیل»،و کبری مستفادة من دلیل استمرار الحکم إلی غایة معیّنة،و هی«وجوب الإمساک قبل أن یدخل اللیل» و </w:t>
      </w:r>
      <w:r>
        <w:rPr>
          <w:rStyle w:val="FootnoteReference"/>
        </w:rPr>
        <w:footnoteReference w:id="2083"/>
      </w:r>
      <w:r>
        <w:rPr>
          <w:rFonts w:ascii="IRNazanin" w:hAnsi="IRNazanin" w:eastAsia="IRNazanin" w:cs="IRNazanin"/>
          <w:lang w:bidi="fa-IR"/>
          <w:color w:val="111111"/>
          <w:sz w:val="28"/>
          <w:szCs w:val="28"/>
          <w:rtl/>
        </w:rPr>
        <w:t xml:space="preserve">المراد بالشکّ زوال الیقین بالصغری،و هو لیس من قبیل المانع عن الیقین،و الکبری من قبیل المقتضی له،حتّی یکونا من قبیل المتعارضین، بل نسبة الیقین إلی المقدّمتین علی نهج سواء،کلّ منهما من قبیل جزء المقتضی له.</w:t>
      </w:r>
    </w:p>
    <w:p>
      <w:pPr>
        <w:pStyle w:val="BookText"/>
      </w:pPr>
      <w:r>
        <w:rPr>
          <w:rFonts w:ascii="IRNazanin" w:hAnsi="IRNazanin" w:eastAsia="IRNazanin" w:cs="IRNazanin"/>
          <w:lang w:bidi="fa-IR"/>
          <w:color w:val="111111"/>
          <w:sz w:val="28"/>
          <w:szCs w:val="28"/>
          <w:rtl/>
        </w:rPr>
        <w:t xml:space="preserve">و الحاصل:أنّ ملاحظة النقض بالنسبة إلی الشکّ و أحکام المتیقّن الثابتة لأجل الیقین أولی من ملاحظته بالنسبة إلی الشکّ و دلیل الیقین.</w:t>
      </w:r>
    </w:p>
    <w:p>
      <w:pPr>
        <w:pStyle w:val="BookText"/>
      </w:pPr>
      <w:r>
        <w:rPr>
          <w:rFonts w:ascii="IRNazanin" w:hAnsi="IRNazanin" w:eastAsia="IRNazanin" w:cs="IRNazanin"/>
          <w:lang w:bidi="fa-IR"/>
          <w:color w:val="111111"/>
          <w:sz w:val="28"/>
          <w:szCs w:val="28"/>
          <w:rtl/>
        </w:rPr>
        <w:t xml:space="preserve">و أمّا توجیه کلام المحقّق:بأن یراد من موجب الیقین دلیل</w:t>
      </w:r>
    </w:p>
    <w:p>
      <w:pPr>
        <w:pStyle w:val="BookText"/>
      </w:pPr>
      <w:r>
        <w:rPr>
          <w:rFonts w:ascii="IRNazanin" w:hAnsi="IRNazanin" w:eastAsia="IRNazanin" w:cs="IRNazanin"/>
          <w:lang w:bidi="fa-IR"/>
          <w:color w:val="111111"/>
          <w:sz w:val="28"/>
          <w:szCs w:val="28"/>
          <w:rtl/>
        </w:rPr>
        <w:t xml:space="preserve">[شماره صفحه واقعی : 186]
</w:t>
      </w:r>
    </w:p>
    <w:p>
      <w:pPr>
        <w:sectPr>
          <w:footerReference w:type="default" r:id="rId6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المستصحب و هو عموم الحکم المغیّا،و من الشکّ احتمال الغایة </w:t>
      </w:r>
      <w:r>
        <w:rPr>
          <w:rStyle w:val="FootnoteReference"/>
        </w:rPr>
        <w:footnoteReference w:id="2084"/>
      </w:r>
      <w:r>
        <w:rPr>
          <w:rFonts w:ascii="IRNazanin" w:hAnsi="IRNazanin" w:eastAsia="IRNazanin" w:cs="IRNazanin"/>
          <w:lang w:bidi="fa-IR"/>
          <w:color w:val="111111"/>
          <w:sz w:val="28"/>
          <w:szCs w:val="28"/>
          <w:rtl/>
        </w:rPr>
        <w:t xml:space="preserve">التی </w:t>
      </w:r>
      <w:r>
        <w:rPr>
          <w:rStyle w:val="FootnoteReference"/>
        </w:rPr>
        <w:footnoteReference w:id="2085"/>
      </w:r>
      <w:r>
        <w:rPr>
          <w:rFonts w:ascii="IRNazanin" w:hAnsi="IRNazanin" w:eastAsia="IRNazanin" w:cs="IRNazanin"/>
          <w:lang w:bidi="fa-IR"/>
          <w:color w:val="111111"/>
          <w:sz w:val="28"/>
          <w:szCs w:val="28"/>
          <w:rtl/>
        </w:rPr>
        <w:t xml:space="preserve">من مخصّصات العامّ،فالمراد عدم نقض عموم دلیل المستصحب بمجرّد الشکّ فی المخصّص.</w:t>
      </w:r>
    </w:p>
    <w:p>
      <w:pPr>
        <w:pStyle w:val="BookText"/>
      </w:pPr>
      <w:r>
        <w:rPr>
          <w:rFonts w:ascii="IRNazanin" w:hAnsi="IRNazanin" w:eastAsia="IRNazanin" w:cs="IRNazanin"/>
          <w:lang w:bidi="fa-IR"/>
          <w:color w:val="111111"/>
          <w:sz w:val="28"/>
          <w:szCs w:val="28"/>
          <w:rtl/>
        </w:rPr>
        <w:t xml:space="preserve">فمدفوع:بأنّ نقض العامّ باحتمال التخصیص إنّما یتصوّر فی الشکّ فی أصل التخصیص،و معه یتمسّک بعموم الدلیل لا بالاستصحاب،و أمّا مع الیقین بالتخصیص و الشکّ فی تحقّق المخصّص المتیقّن-کما فی ما نحن فیه-فلا مقتضی للحکم العامّ حتّی یتصوّر نقضه؛لأنّ العامّ المخصّص لا اقتضاء فیه لثبوت الحکم فی مورد الشکّ فی تحقّق المخصّص،خصوصا فی مثل التخصیص بالغایة.</w:t>
      </w:r>
    </w:p>
    <w:p>
      <w:pPr>
        <w:pStyle w:val="BookText"/>
      </w:pPr>
      <w:r>
        <w:rPr>
          <w:rFonts w:ascii="IRNazanin" w:hAnsi="IRNazanin" w:eastAsia="IRNazanin" w:cs="IRNazanin"/>
          <w:lang w:bidi="fa-IR"/>
          <w:color w:val="111111"/>
          <w:sz w:val="28"/>
          <w:szCs w:val="28"/>
          <w:rtl/>
        </w:rPr>
        <w:t xml:space="preserve">و الحاصل:أنّ المقتضی و المانع فی باب العامّ و الخاصّ هو لفظ العامّ و المخصّص،فإذا احرز المقتضی و شکّ فی وجود المخصّص یحکم بعدمه عملا بظاهر العامّ،و إذا علم بالتخصیص و خروج اللفظ عن ظاهر العموم ثمّ شکّ فی صدق المخصّص علی شیء،فنسبة دلیلی العموم و التخصیص إلیه علی السواء من حیث الاقتضاء.</w:t>
      </w:r>
    </w:p>
    <w:p>
      <w:pPr>
        <w:pStyle w:val="BookText"/>
      </w:pPr>
      <w:r>
        <w:rPr>
          <w:rFonts w:ascii="IRNazanin" w:hAnsi="IRNazanin" w:eastAsia="IRNazanin" w:cs="IRNazanin"/>
          <w:lang w:bidi="fa-IR"/>
          <w:color w:val="111111"/>
          <w:sz w:val="28"/>
          <w:szCs w:val="28"/>
          <w:rtl/>
        </w:rPr>
        <w:t xml:space="preserve">هذا کلّه،مع أنّ ما ذکره فی معنی«النقض»لا یستقیم فی قوله علیه السّلام فی ذیل الصحیحة </w:t>
      </w:r>
      <w:r>
        <w:rPr>
          <w:rStyle w:val="FootnoteReference"/>
        </w:rPr>
        <w:footnoteReference w:id="2086"/>
      </w:r>
      <w:r>
        <w:rPr>
          <w:rFonts w:ascii="IRNazanin" w:hAnsi="IRNazanin" w:eastAsia="IRNazanin" w:cs="IRNazanin"/>
          <w:lang w:bidi="fa-IR"/>
          <w:color w:val="111111"/>
          <w:sz w:val="28"/>
          <w:szCs w:val="28"/>
          <w:rtl/>
        </w:rPr>
        <w:t xml:space="preserve">:«و لکن ینقضه بیقین آخر»،و قوله علیه السّلام فی الصحیحة المتقدّمة </w:t>
      </w:r>
      <w:r>
        <w:rPr>
          <w:rStyle w:val="FootnoteReference"/>
        </w:rPr>
        <w:footnoteReference w:id="2087"/>
      </w:r>
      <w:r>
        <w:rPr>
          <w:rFonts w:ascii="IRNazanin" w:hAnsi="IRNazanin" w:eastAsia="IRNazanin" w:cs="IRNazanin"/>
          <w:lang w:bidi="fa-IR"/>
          <w:color w:val="111111"/>
          <w:sz w:val="28"/>
          <w:szCs w:val="28"/>
          <w:rtl/>
        </w:rPr>
        <w:t xml:space="preserve">الواردة فی الشکّ بین الثلاث و الأربع:«و لکن</w:t>
      </w:r>
    </w:p>
    <w:p>
      <w:pPr>
        <w:pStyle w:val="BookText"/>
      </w:pPr>
      <w:r>
        <w:rPr>
          <w:rFonts w:ascii="IRNazanin" w:hAnsi="IRNazanin" w:eastAsia="IRNazanin" w:cs="IRNazanin"/>
          <w:lang w:bidi="fa-IR"/>
          <w:color w:val="111111"/>
          <w:sz w:val="28"/>
          <w:szCs w:val="28"/>
          <w:rtl/>
        </w:rPr>
        <w:t xml:space="preserve">[شماره صفحه واقعی : 187]
</w:t>
      </w:r>
    </w:p>
    <w:p>
      <w:pPr>
        <w:sectPr>
          <w:footerReference w:type="default" r:id="rId6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ینقض الشکّ بالیقین»،بل و لا فی صدرها المصرّح بعدم نقض الیقین بالشکّ؛فإنّ المستصحب فی موردها:إمّا عدم فعل الزائد،و إمّا عدم براءة الذمّة من الصلاة-کما تقدّم </w:t>
      </w:r>
      <w:r>
        <w:rPr>
          <w:rStyle w:val="FootnoteReference"/>
        </w:rPr>
        <w:footnoteReference w:id="2088"/>
      </w:r>
      <w:r>
        <w:rPr>
          <w:rFonts w:ascii="IRNazanin" w:hAnsi="IRNazanin" w:eastAsia="IRNazanin" w:cs="IRNazanin"/>
          <w:lang w:bidi="fa-IR"/>
          <w:color w:val="111111"/>
          <w:sz w:val="28"/>
          <w:szCs w:val="28"/>
          <w:rtl/>
        </w:rPr>
        <w:t xml:space="preserve">-،و من المعلوم أنّه لیس فی شیء منهما دلیل یوجب الیقین لو لا الشکّ.</w:t>
      </w:r>
    </w:p>
    <w:p>
      <w:pPr>
        <w:pStyle w:val="BookText"/>
      </w:pPr>
      <w:r>
        <w:rPr>
          <w:rFonts w:ascii="IRNazanin" w:hAnsi="IRNazanin" w:eastAsia="IRNazanin" w:cs="IRNazanin"/>
          <w:lang w:bidi="fa-IR"/>
          <w:color w:val="111111"/>
          <w:sz w:val="28"/>
          <w:szCs w:val="28"/>
          <w:rtl/>
        </w:rPr>
        <w:t xml:space="preserve">قوله </w:t>
      </w:r>
      <w:r>
        <w:rPr>
          <w:rStyle w:val="FootnoteReference"/>
        </w:rPr>
        <w:footnoteReference w:id="2089"/>
      </w:r>
      <w:r>
        <w:rPr>
          <w:rFonts w:ascii="IRNazanin" w:hAnsi="IRNazanin" w:eastAsia="IRNazanin" w:cs="IRNazanin"/>
          <w:lang w:bidi="fa-IR"/>
          <w:color w:val="111111"/>
          <w:sz w:val="28"/>
          <w:szCs w:val="28"/>
          <w:rtl/>
        </w:rPr>
        <w:t xml:space="preserve">-فی جواب السؤال-:«قلت:فیه تفصیل...إلی آخر الجواب».</w:t>
      </w:r>
    </w:p>
    <w:p>
      <w:pPr>
        <w:pStyle w:val="BookText"/>
      </w:pPr>
      <w:r>
        <w:rPr>
          <w:rFonts w:ascii="IRNazanin" w:hAnsi="IRNazanin" w:eastAsia="IRNazanin" w:cs="IRNazanin"/>
          <w:lang w:bidi="fa-IR"/>
          <w:color w:val="111111"/>
          <w:sz w:val="28"/>
          <w:szCs w:val="28"/>
          <w:rtl/>
        </w:rPr>
        <w:t xml:space="preserve">أقول:إنّ النجاسة فیما ذکره من الفرض-أعنی موضع الغائط- مستمرّة،و ثبت أنّ التمسّح بثلاثة أحجار مزیل لها،و شکّ أنّ التمسّح بالحجر الواحد ذی الجهات مزیل أیضا أم لا؟فإذا ثبت وجوب إزالة النجاسة،و المفروض الشکّ فی تحقّق الإزالة بالتمسّح بالحجر الواحد ذی الجهات،فمقتضی دلیله هو وجوب تحصیل الیقین أو الظنّ المعتبر بالزوال،و فی مثل هذا المقام لا یجری أصالة البراءة و لا أدلّتها؛لعدم وجود القدر المتیقّن فی المأمور به و هی الإزالة و إن کان ما یتحقّق به مردّدا بین الأقلّ و الأکثر،لکن هذا التردید لیس فی نفس المأمور به، کما لا یخفی.نعم،لو فرض أنّه لم یثبت الأمر بنفس الإزالة،و إنّما ثبت بالتمسّح بثلاثة أحجار أو بالأعمّ منه و من التمسّح بذی الجهات،أمکن بل لم یبعد إجراء أصالة البراءة عمّا عدا الأعمّ.</w:t>
      </w:r>
    </w:p>
    <w:p>
      <w:pPr>
        <w:pStyle w:val="BookText"/>
      </w:pPr>
      <w:r>
        <w:rPr>
          <w:rFonts w:ascii="IRNazanin" w:hAnsi="IRNazanin" w:eastAsia="IRNazanin" w:cs="IRNazanin"/>
          <w:lang w:bidi="fa-IR"/>
          <w:color w:val="111111"/>
          <w:sz w:val="28"/>
          <w:szCs w:val="28"/>
          <w:rtl/>
        </w:rPr>
        <w:t xml:space="preserve">و الحاصل:أنّه فرق بین الأمر بإزالة النجاسة من الثوب،المردّدة بین غسله مرّة أو مرّتین،و بین الأمر بنفس الغسل المردّد بین المرّة</w:t>
      </w:r>
    </w:p>
    <w:p>
      <w:pPr>
        <w:pStyle w:val="BookText"/>
      </w:pPr>
      <w:r>
        <w:rPr>
          <w:rFonts w:ascii="IRNazanin" w:hAnsi="IRNazanin" w:eastAsia="IRNazanin" w:cs="IRNazanin"/>
          <w:lang w:bidi="fa-IR"/>
          <w:color w:val="111111"/>
          <w:sz w:val="28"/>
          <w:szCs w:val="28"/>
          <w:rtl/>
        </w:rPr>
        <w:t xml:space="preserve">[شماره صفحه واقعی : 188]
</w:t>
      </w:r>
    </w:p>
    <w:p>
      <w:pPr>
        <w:sectPr>
          <w:footerReference w:type="default" r:id="rId7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المرّتین.و الذی یعیّن کون مسألة التمسّح من قبیل الأوّل دون الثانی هو ما استفید من أدلّة وجوب إزالة النجاسة عن الثوب و البدن </w:t>
      </w:r>
      <w:r>
        <w:rPr>
          <w:rStyle w:val="FootnoteReference"/>
        </w:rPr>
        <w:footnoteReference w:id="2090"/>
      </w:r>
      <w:r>
        <w:rPr>
          <w:rFonts w:ascii="Amiri" w:hAnsi="Amiri" w:eastAsia="Amiri" w:cs="Amiri"/>
          <w:lang w:bidi="ar-SA"/>
          <w:color w:val="111111"/>
          <w:sz w:val="28"/>
          <w:szCs w:val="28"/>
          <w:rtl/>
        </w:rPr>
        <w:t xml:space="preserve">للصلاة،مثل قوله تعالی: وَ ثِیٰابَکَ فَطَهِّرْ </w:t>
      </w:r>
      <w:r>
        <w:rPr>
          <w:rStyle w:val="FootnoteReference"/>
        </w:rPr>
        <w:footnoteReference w:id="2091"/>
      </w:r>
      <w:r>
        <w:rPr>
          <w:rFonts w:ascii="IRNazanin" w:hAnsi="IRNazanin" w:eastAsia="IRNazanin" w:cs="IRNazanin"/>
          <w:lang w:bidi="fa-IR"/>
          <w:color w:val="111111"/>
          <w:sz w:val="28"/>
          <w:szCs w:val="28"/>
          <w:rtl/>
        </w:rPr>
        <w:t xml:space="preserve">،و قوله علیه السّلام فی صحیحة زرارة:«لا صلاة إلاّ بطهور» </w:t>
      </w:r>
      <w:r>
        <w:rPr>
          <w:rStyle w:val="FootnoteReference"/>
        </w:rPr>
        <w:footnoteReference w:id="2092"/>
      </w:r>
      <w:r>
        <w:rPr>
          <w:rFonts w:ascii="IRNazanin" w:hAnsi="IRNazanin" w:eastAsia="IRNazanin" w:cs="IRNazanin"/>
          <w:lang w:bidi="fa-IR"/>
          <w:color w:val="111111"/>
          <w:sz w:val="28"/>
          <w:szCs w:val="28"/>
          <w:rtl/>
        </w:rPr>
        <w:t xml:space="preserve">بناء علی شمول الطهور-و لو بقرینة ذیله الدالّ علی کفایة الأحجار من الاستنجاء-للطهارة الخبثیّة،و مثل الإجماعات المنقولة علی وجوب إزالة النجاسة عن الثوب و البدن للصلاة.</w:t>
      </w:r>
    </w:p>
    <w:p>
      <w:pPr>
        <w:pStyle w:val="BookText"/>
      </w:pPr>
      <w:r>
        <w:rPr>
          <w:rFonts w:ascii="IRNazanin" w:hAnsi="IRNazanin" w:eastAsia="IRNazanin" w:cs="IRNazanin"/>
          <w:lang w:bidi="fa-IR"/>
          <w:color w:val="111111"/>
          <w:sz w:val="28"/>
          <w:szCs w:val="28"/>
          <w:rtl/>
        </w:rPr>
        <w:t xml:space="preserve">و هذا المعنی و إن لم یدلّ علیه دلیل صحیح السند و الدلالة علی وجه یرتضیه المحقّق المذکور </w:t>
      </w:r>
      <w:r>
        <w:rPr>
          <w:rStyle w:val="FootnoteReference"/>
        </w:rPr>
        <w:footnoteReference w:id="2093"/>
      </w:r>
      <w:r>
        <w:rPr>
          <w:rFonts w:ascii="IRNazanin" w:hAnsi="IRNazanin" w:eastAsia="IRNazanin" w:cs="IRNazanin"/>
          <w:lang w:bidi="fa-IR"/>
          <w:color w:val="111111"/>
          <w:sz w:val="28"/>
          <w:szCs w:val="28"/>
          <w:rtl/>
        </w:rPr>
        <w:t xml:space="preserve">،بل ظاهر أکثر الأخبار الأمر بنفس الغسل،إلاّ أنّ الإنصاف وجود الدلیل علی وجوب نفس الإزالة،و أنّ الأمر بالغسل فی الأخبار لیس لاعتباره بنفسه فی الصلاة،و إنّما هو أمر مقدّمیّ لإزالة النجاسة،مع أنّ کلام المحقّق المذکور لا یختصّ بالمثال الذی ذکره حتّی یناقش فیه.</w:t>
      </w:r>
    </w:p>
    <w:p>
      <w:pPr>
        <w:pStyle w:val="BookText"/>
      </w:pPr>
      <w:r>
        <w:rPr>
          <w:rFonts w:ascii="IRNazanin" w:hAnsi="IRNazanin" w:eastAsia="IRNazanin" w:cs="IRNazanin"/>
          <w:lang w:bidi="fa-IR"/>
          <w:color w:val="111111"/>
          <w:sz w:val="28"/>
          <w:szCs w:val="28"/>
          <w:rtl/>
        </w:rPr>
        <w:t xml:space="preserve">و بما ذکرنا یظهر ما فی قوله فی جواب الاعتراض الثانی </w:t>
      </w:r>
      <w:r>
        <w:rPr>
          <w:rStyle w:val="FootnoteReference"/>
        </w:rPr>
        <w:footnoteReference w:id="2094"/>
      </w:r>
      <w:r>
        <w:rPr>
          <w:rFonts w:ascii="IRNazanin" w:hAnsi="IRNazanin" w:eastAsia="IRNazanin" w:cs="IRNazanin"/>
          <w:lang w:bidi="fa-IR"/>
          <w:color w:val="111111"/>
          <w:sz w:val="28"/>
          <w:szCs w:val="28"/>
          <w:rtl/>
        </w:rPr>
        <w:t xml:space="preserve">-بأنّ مسألة الاستنجاء من قبیل ما نحن فیه-ما لفظه:«غایة ما أجمعوا</w:t>
      </w:r>
    </w:p>
    <w:p>
      <w:pPr>
        <w:pStyle w:val="BookText"/>
      </w:pPr>
      <w:r>
        <w:rPr>
          <w:rFonts w:ascii="IRNazanin" w:hAnsi="IRNazanin" w:eastAsia="IRNazanin" w:cs="IRNazanin"/>
          <w:lang w:bidi="fa-IR"/>
          <w:color w:val="111111"/>
          <w:sz w:val="28"/>
          <w:szCs w:val="28"/>
          <w:rtl/>
        </w:rPr>
        <w:t xml:space="preserve">[شماره صفحه واقعی : 189]
</w:t>
      </w:r>
    </w:p>
    <w:p>
      <w:pPr>
        <w:sectPr>
          <w:footerReference w:type="default" r:id="rId701"/>
          <w:footnotePr>
            <w:numStart w:val="1"/>
            <w:numRestart w:val="eachPage"/>
          </w:footnotePr>
          <w:pgSz w:orient="portrait" w:w="11905.511811023622" w:h="16837.79527559055"/>
          <w:pgMar w:top="1440" w:right="1440" w:bottom="1440" w:left="1440" w:header="720" w:footer="720" w:gutter="0"/>
          <w:cols w:num="1" w:space="720"/>
        </w:sectPr>
      </w:pPr>
    </w:p>
    <w:bookmarkStart w:id="428" w:name="pg14411_143083"/>
    <w:bookmarkEnd w:id="428"/>
    <w:p>
      <w:pPr>
        <w:pStyle w:val="BookText"/>
      </w:pPr>
      <w:r>
        <w:rPr>
          <w:rFonts w:ascii="IRNazanin" w:hAnsi="IRNazanin" w:eastAsia="IRNazanin" w:cs="IRNazanin"/>
          <w:lang w:bidi="fa-IR"/>
          <w:color w:val="111111"/>
          <w:sz w:val="28"/>
          <w:szCs w:val="28"/>
          <w:rtl/>
        </w:rPr>
        <w:t xml:space="preserve">علیه:أنّ التغوّط متی حصل لا یصحّ الصلاة بدون الماء و التمسّح رأسا -لا بالثلاث و لا بشعب الحجر الواحد-و هذا لا یستلزم الإجماع علی ثبوت النجاسة حتّی یحصل شیء معیّن فی الواقع مجهول عندنا قد اعتبره الشارع مطهّرا...الخ» </w:t>
      </w:r>
      <w:r>
        <w:rPr>
          <w:rStyle w:val="FootnoteReference"/>
        </w:rPr>
        <w:footnoteReference w:id="20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یظهر ما فی قوله جوابا عن الاعتراض الأخیر </w:t>
      </w:r>
      <w:r>
        <w:rPr>
          <w:rStyle w:val="FootnoteReference"/>
        </w:rPr>
        <w:footnoteReference w:id="2096"/>
      </w:r>
      <w:r>
        <w:rPr>
          <w:rFonts w:ascii="IRNazanin" w:hAnsi="IRNazanin" w:eastAsia="IRNazanin" w:cs="IRNazanin"/>
          <w:lang w:bidi="fa-IR"/>
          <w:color w:val="111111"/>
          <w:sz w:val="28"/>
          <w:szCs w:val="28"/>
          <w:rtl/>
        </w:rPr>
        <w:t xml:space="preserve">:«إنّه لم یثبت الإجماع علی وجوب شیء معیّن بحیث لو لم یأت بذلک الشیء لاستحقّ العقاب...الخ» </w:t>
      </w:r>
      <w:r>
        <w:rPr>
          <w:rStyle w:val="FootnoteReference"/>
        </w:rPr>
        <w:footnoteReference w:id="20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ما فی کلامه المحکیّ </w:t>
      </w:r>
      <w:r>
        <w:rPr>
          <w:rStyle w:val="FootnoteReference"/>
        </w:rPr>
        <w:footnoteReference w:id="2098"/>
      </w:r>
      <w:r>
        <w:rPr>
          <w:rFonts w:ascii="IRNazanin" w:hAnsi="IRNazanin" w:eastAsia="IRNazanin" w:cs="IRNazanin"/>
          <w:lang w:bidi="fa-IR"/>
          <w:color w:val="111111"/>
          <w:sz w:val="28"/>
          <w:szCs w:val="28"/>
          <w:rtl/>
        </w:rPr>
        <w:t xml:space="preserve">فی حاشیة شرحه علی قول الشهید قدّس سرّه:</w:t>
      </w:r>
    </w:p>
    <w:p>
      <w:pPr>
        <w:pStyle w:val="BookText"/>
      </w:pPr>
      <w:r>
        <w:rPr>
          <w:rFonts w:ascii="IRNazanin" w:hAnsi="IRNazanin" w:eastAsia="IRNazanin" w:cs="IRNazanin"/>
          <w:lang w:bidi="fa-IR"/>
          <w:color w:val="111111"/>
          <w:sz w:val="28"/>
          <w:szCs w:val="28"/>
          <w:rtl/>
        </w:rPr>
        <w:t xml:space="preserve">«و یحرم استعمال الماء النجس و المشتبه...».</w:t>
      </w:r>
    </w:p>
    <w:p>
      <w:pPr>
        <w:pStyle w:val="Heading6"/>
      </w:pPr>
      <w:bookmarkStart w:id="1874" w:name="_Toc909"/>
      <w:r>
        <w:t>[أقوی الأقوال القول التاسع،و بعده المشهور:]</w:t>
      </w:r>
      <w:bookmarkEnd w:id="1874"/>
    </w:p>
    <w:p>
      <w:pPr>
        <w:pStyle w:val="BookText"/>
      </w:pPr>
      <w:r>
        <w:rPr>
          <w:rFonts w:ascii="IRNazanin" w:hAnsi="IRNazanin" w:eastAsia="IRNazanin" w:cs="IRNazanin"/>
          <w:lang w:bidi="fa-IR"/>
          <w:color w:val="111111"/>
          <w:sz w:val="28"/>
          <w:szCs w:val="28"/>
          <w:rtl/>
        </w:rPr>
        <w:t xml:space="preserve">و أنت إذا أحطت خبرا بما ذکرنا فی أدلّة الأقوال،علمت أنّ الأقوی منها القول التاسع،و بعده القول المشهور،و اللّه العالم بحقائق الامور.</w:t>
      </w:r>
    </w:p>
    <w:p>
      <w:pPr>
        <w:pStyle w:val="BookText"/>
      </w:pPr>
      <w:r>
        <w:rPr>
          <w:rFonts w:ascii="IRNazanin" w:hAnsi="IRNazanin" w:eastAsia="IRNazanin" w:cs="IRNazanin"/>
          <w:lang w:bidi="fa-IR"/>
          <w:color w:val="111111"/>
          <w:sz w:val="28"/>
          <w:szCs w:val="28"/>
          <w:rtl/>
        </w:rPr>
        <w:t xml:space="preserve">[شماره صفحه واقعی : 190]
</w:t>
      </w:r>
    </w:p>
    <w:p>
      <w:pPr>
        <w:sectPr>
          <w:footerReference w:type="default" r:id="rId702"/>
          <w:footnotePr>
            <w:numStart w:val="1"/>
            <w:numRestart w:val="eachPage"/>
          </w:footnotePr>
          <w:pgSz w:orient="portrait" w:w="11905.511811023622" w:h="16837.79527559055"/>
          <w:pgMar w:top="1440" w:right="1440" w:bottom="1440" w:left="1440" w:header="720" w:footer="720" w:gutter="0"/>
          <w:cols w:num="1" w:space="720"/>
        </w:sectPr>
      </w:pPr>
    </w:p>
    <w:bookmarkStart w:id="429" w:name="pg14411_143084"/>
    <w:bookmarkEnd w:id="429"/>
    <w:p>
      <w:pPr>
        <w:pStyle w:val="Heading5"/>
      </w:pPr>
      <w:bookmarkStart w:id="1875" w:name="_Toc910"/>
      <w:r>
        <w:t>و ینبغی التنبیه علی امور:</w:t>
      </w:r>
      <w:bookmarkEnd w:id="1875"/>
    </w:p>
    <w:p>
      <w:pPr>
        <w:pStyle w:val="Heading6"/>
      </w:pPr>
      <w:bookmarkStart w:id="1876" w:name="_Toc911"/>
      <w:r>
        <w:t>اشارة</w:t>
      </w:r>
      <w:bookmarkEnd w:id="1876"/>
    </w:p>
    <w:p>
      <w:pPr>
        <w:pStyle w:val="BookText"/>
      </w:pPr>
      <w:r>
        <w:rPr>
          <w:rFonts w:ascii="IRNazanin" w:hAnsi="IRNazanin" w:eastAsia="IRNazanin" w:cs="IRNazanin"/>
          <w:lang w:bidi="fa-IR"/>
          <w:color w:val="111111"/>
          <w:sz w:val="28"/>
          <w:szCs w:val="28"/>
          <w:rtl/>
        </w:rPr>
        <w:t xml:space="preserve">و هی بین ما یتعلّق بالمتیقّن السابق،و ما یتعلّق بدلیله الدالّ علیه، و ما یتعلّق بالشکّ اللاحق فی بقائه.</w:t>
      </w:r>
    </w:p>
    <w:p>
      <w:pPr>
        <w:pStyle w:val="Heading6"/>
      </w:pPr>
      <w:bookmarkStart w:id="1877" w:name="_Toc912"/>
      <w:r>
        <w:t>الأوّل: [أقسام استصحاب الکلّی]</w:t>
      </w:r>
      <w:bookmarkEnd w:id="1877"/>
    </w:p>
    <w:p>
      <w:pPr>
        <w:pStyle w:val="Heading6"/>
      </w:pPr>
      <w:bookmarkStart w:id="1878" w:name="_Toc913"/>
      <w:r>
        <w:t>اشارة</w:t>
      </w:r>
      <w:bookmarkEnd w:id="1878"/>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Amiri" w:hAnsi="Amiri" w:eastAsia="Amiri" w:cs="Amiri"/>
          <w:lang w:bidi="ar-SA"/>
          <w:color w:val="111111"/>
          <w:sz w:val="28"/>
          <w:szCs w:val="28"/>
          <w:rtl/>
        </w:rPr>
        <w:t xml:space="preserve">أنّ المتیقّن السابق إذا کان کلّیّا فی ضمن فرد </w:t>
      </w:r>
      <w:r>
        <w:rPr>
          <w:rStyle w:val="FootnoteReference"/>
        </w:rPr>
        <w:footnoteReference w:id="2099"/>
      </w:r>
      <w:r>
        <w:rPr>
          <w:rFonts w:ascii="IRNazanin" w:hAnsi="IRNazanin" w:eastAsia="IRNazanin" w:cs="IRNazanin"/>
          <w:lang w:bidi="fa-IR"/>
          <w:color w:val="111111"/>
          <w:sz w:val="28"/>
          <w:szCs w:val="28"/>
          <w:rtl/>
        </w:rPr>
        <w:t xml:space="preserve">و شکّ فی بقائه:</w:t>
      </w:r>
    </w:p>
    <w:p>
      <w:pPr>
        <w:pStyle w:val="BookText"/>
      </w:pPr>
      <w:r>
        <w:rPr>
          <w:rFonts w:ascii="IRNazanin" w:hAnsi="IRNazanin" w:eastAsia="IRNazanin" w:cs="IRNazanin"/>
          <w:lang w:bidi="fa-IR"/>
          <w:color w:val="111111"/>
          <w:sz w:val="28"/>
          <w:szCs w:val="28"/>
          <w:rtl/>
        </w:rPr>
        <w:t xml:space="preserve">فإمّا أن یکون الشکّ من جهة الشکّ فی بقاء ذلک الفرد.</w:t>
      </w:r>
    </w:p>
    <w:p>
      <w:pPr>
        <w:pStyle w:val="BookText"/>
      </w:pPr>
      <w:r>
        <w:rPr>
          <w:rFonts w:ascii="IRNazanin" w:hAnsi="IRNazanin" w:eastAsia="IRNazanin" w:cs="IRNazanin"/>
          <w:lang w:bidi="fa-IR"/>
          <w:color w:val="111111"/>
          <w:sz w:val="28"/>
          <w:szCs w:val="28"/>
          <w:rtl/>
        </w:rPr>
        <w:t xml:space="preserve">و إمّا أن یکون من جهة الشکّ فی تعیین ذلک الفرد و تردّده بین ما هو باق جزما و بین ما هو مرتفع کذلک.</w:t>
      </w:r>
    </w:p>
    <w:p>
      <w:pPr>
        <w:pStyle w:val="BookText"/>
      </w:pPr>
      <w:r>
        <w:rPr>
          <w:rFonts w:ascii="IRNazanin" w:hAnsi="IRNazanin" w:eastAsia="IRNazanin" w:cs="IRNazanin"/>
          <w:lang w:bidi="fa-IR"/>
          <w:color w:val="111111"/>
          <w:sz w:val="28"/>
          <w:szCs w:val="28"/>
          <w:rtl/>
        </w:rPr>
        <w:t xml:space="preserve">و إمّا أن یکون من جهة الشکّ فی وجود فرد آخر مع الجزم بارتفاع ذلک الفرد.</w:t>
      </w:r>
    </w:p>
    <w:p>
      <w:pPr>
        <w:pStyle w:val="Heading6"/>
      </w:pPr>
      <w:bookmarkStart w:id="1879" w:name="_Toc914"/>
      <w:r>
        <w:t>[جواز استصحاب الکلّی و الفرد فی القسم الأوّل:]</w:t>
      </w:r>
      <w:bookmarkEnd w:id="1879"/>
    </w:p>
    <w:p>
      <w:pPr>
        <w:pStyle w:val="BookText"/>
      </w:pPr>
      <w:r>
        <w:rPr>
          <w:rFonts w:ascii="IRNazanin" w:hAnsi="IRNazanin" w:eastAsia="IRNazanin" w:cs="IRNazanin"/>
          <w:lang w:bidi="fa-IR"/>
          <w:color w:val="111111"/>
          <w:sz w:val="28"/>
          <w:szCs w:val="28"/>
          <w:rtl/>
        </w:rPr>
        <w:t xml:space="preserve">أمّا الأوّل،فلا إشکال فی جواز استصحاب الکلّیّ و نفس الفرد و ترتیب أحکام کلّ منهما علیه.</w:t>
      </w:r>
    </w:p>
    <w:p>
      <w:pPr>
        <w:pStyle w:val="Heading6"/>
      </w:pPr>
      <w:bookmarkStart w:id="1880" w:name="_Toc915"/>
      <w:r>
        <w:t>[جواز استصحاب الکلّی فی القسم الثانی دون الفرد:]</w:t>
      </w:r>
      <w:bookmarkEnd w:id="1880"/>
    </w:p>
    <w:p>
      <w:pPr>
        <w:pStyle w:val="Heading6"/>
      </w:pPr>
      <w:bookmarkStart w:id="1881" w:name="_Toc916"/>
      <w:r>
        <w:t>اشارة</w:t>
      </w:r>
      <w:bookmarkEnd w:id="1881"/>
    </w:p>
    <w:p>
      <w:pPr>
        <w:pStyle w:val="BookText"/>
      </w:pPr>
      <w:r>
        <w:rPr>
          <w:rFonts w:ascii="IRNazanin" w:hAnsi="IRNazanin" w:eastAsia="IRNazanin" w:cs="IRNazanin"/>
          <w:lang w:bidi="fa-IR"/>
          <w:color w:val="111111"/>
          <w:sz w:val="28"/>
          <w:szCs w:val="28"/>
          <w:rtl/>
        </w:rPr>
        <w:t xml:space="preserve">و أمّا الثانی،فالظاهر جواز الاستصحاب فی الکلّیّ مطلقا علی المشهور </w:t>
      </w:r>
      <w:r>
        <w:rPr>
          <w:rStyle w:val="FootnoteReference"/>
        </w:rPr>
        <w:footnoteReference w:id="2100"/>
      </w:r>
      <w:r>
        <w:rPr>
          <w:rFonts w:ascii="IRNazanin" w:hAnsi="IRNazanin" w:eastAsia="IRNazanin" w:cs="IRNazanin"/>
          <w:lang w:bidi="fa-IR"/>
          <w:color w:val="111111"/>
          <w:sz w:val="28"/>
          <w:szCs w:val="28"/>
          <w:rtl/>
        </w:rPr>
        <w:t xml:space="preserve">.نعم،لا یتعیّن بذلک أحکام الفرد الباقی </w:t>
      </w:r>
      <w:r>
        <w:rPr>
          <w:rStyle w:val="FootnoteReference"/>
        </w:rPr>
        <w:footnoteReference w:id="21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191]
</w:t>
      </w:r>
    </w:p>
    <w:p>
      <w:pPr>
        <w:sectPr>
          <w:footerReference w:type="default" r:id="rId703"/>
          <w:footnotePr>
            <w:numStart w:val="1"/>
            <w:numRestart w:val="eachPage"/>
          </w:footnotePr>
          <w:pgSz w:orient="portrait" w:w="11905.511811023622" w:h="16837.79527559055"/>
          <w:pgMar w:top="1440" w:right="1440" w:bottom="1440" w:left="1440" w:header="720" w:footer="720" w:gutter="0"/>
          <w:cols w:num="1" w:space="720"/>
        </w:sectPr>
      </w:pPr>
    </w:p>
    <w:bookmarkStart w:id="430" w:name="pg14411_143085"/>
    <w:bookmarkEnd w:id="430"/>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سواء کان الشکّ من جهة الرافع،کما إذا علم بحدوث البول أو المنیّ و لم یعلم الحالة السابقة وجب </w:t>
      </w:r>
      <w:r>
        <w:rPr>
          <w:rStyle w:val="FootnoteReference"/>
        </w:rPr>
        <w:footnoteReference w:id="2102"/>
      </w:r>
      <w:r>
        <w:rPr>
          <w:rFonts w:ascii="IRNazanin" w:hAnsi="IRNazanin" w:eastAsia="IRNazanin" w:cs="IRNazanin"/>
          <w:lang w:bidi="fa-IR"/>
          <w:color w:val="111111"/>
          <w:sz w:val="28"/>
          <w:szCs w:val="28"/>
          <w:rtl/>
        </w:rPr>
        <w:t xml:space="preserve">الجمع بین الطهارتین،فإذا فعل إحداهما و شکّ فی رفع الحدث فالأصل بقاؤه،و إن کان الأصل عدم تحقّق الجنابة،فیجوز له ما یحرم علی الجنب.</w:t>
      </w:r>
    </w:p>
    <w:p>
      <w:pPr>
        <w:pStyle w:val="BookText"/>
      </w:pPr>
      <w:r>
        <w:rPr>
          <w:rFonts w:ascii="IRNazanin" w:hAnsi="IRNazanin" w:eastAsia="IRNazanin" w:cs="IRNazanin"/>
          <w:lang w:bidi="fa-IR"/>
          <w:color w:val="111111"/>
          <w:sz w:val="28"/>
          <w:szCs w:val="28"/>
          <w:rtl/>
        </w:rPr>
        <w:t xml:space="preserve">أم کان الشکّ من جهة المقتضی،کما لو تردّد من فی الدار بین کونه حیوانا لا یعیش إلاّ سنة و کونه حیوانا یعیش مائة سنة،فیجوز بعد السنة الاولی استصحاب الکلّیّ المشترک بین الحیوانین،و یترتّب علیه آثاره الشرعیّة الثابتة دون آثار شیء من الخصوصیّتین،بل یحکم بعدم کلّ منهما لو لم یکن مانع عن إجراء الأصلین،کما فی الشبهة المحصورة.</w:t>
      </w:r>
    </w:p>
    <w:p>
      <w:pPr>
        <w:pStyle w:val="Heading6"/>
      </w:pPr>
      <w:bookmarkStart w:id="1882" w:name="_Toc917"/>
      <w:r>
        <w:t>[توهّم عدم جریان استصحاب الکلّی فی هذا القسم و دفعه:]</w:t>
      </w:r>
      <w:bookmarkEnd w:id="1882"/>
    </w:p>
    <w:p>
      <w:pPr>
        <w:pStyle w:val="BookText"/>
      </w:pPr>
      <w:r>
        <w:rPr>
          <w:rFonts w:ascii="IRNazanin" w:hAnsi="IRNazanin" w:eastAsia="IRNazanin" w:cs="IRNazanin"/>
          <w:lang w:bidi="fa-IR"/>
          <w:color w:val="111111"/>
          <w:sz w:val="28"/>
          <w:szCs w:val="28"/>
          <w:rtl/>
        </w:rPr>
        <w:t xml:space="preserve">و توهّم:عدم جریان الأصل فی القدر المشترک؛من حیث دورانه بین ما هو مقطوع الانتفاء،و ما هو مشکوک الحدوث،و هو </w:t>
      </w:r>
      <w:r>
        <w:rPr>
          <w:rStyle w:val="FootnoteReference"/>
        </w:rPr>
        <w:footnoteReference w:id="2103"/>
      </w:r>
      <w:r>
        <w:rPr>
          <w:rFonts w:ascii="IRNazanin" w:hAnsi="IRNazanin" w:eastAsia="IRNazanin" w:cs="IRNazanin"/>
          <w:lang w:bidi="fa-IR"/>
          <w:color w:val="111111"/>
          <w:sz w:val="28"/>
          <w:szCs w:val="28"/>
          <w:rtl/>
        </w:rPr>
        <w:t xml:space="preserve">محکوم بالانتفاء بحکم الأصل </w:t>
      </w:r>
      <w:r>
        <w:rPr>
          <w:rStyle w:val="FootnoteReference"/>
        </w:rPr>
        <w:footnoteReference w:id="21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مدفوع:بأنّه لا یقدح ذلک فی استصحابه بعد فرض الشکّ فی بقائه و ارتفاعه،إمّا لعدم استعداده و إمّا لوجود الرافع </w:t>
      </w:r>
      <w:r>
        <w:rPr>
          <w:rStyle w:val="FootnoteReference"/>
        </w:rPr>
        <w:footnoteReference w:id="2105"/>
      </w:r>
      <w:r>
        <w:rPr>
          <w:rFonts w:ascii="Times New Roman" w:hAnsi="Times New Roman" w:eastAsia="Times New Roman" w:cs="Times New Roman"/>
          <w:lang w:val="en-US" w:bidi="en-US"/>
          <w:color w:val="111111"/>
          <w:sz w:val="28"/>
          <w:szCs w:val="28"/>
          <w:rtl/>
        </w:rPr>
        <w:t xml:space="preserve">.</w:t>
      </w:r>
    </w:p>
    <w:p>
      <w:pPr>
        <w:pStyle w:val="Heading6"/>
      </w:pPr>
      <w:bookmarkStart w:id="1883" w:name="_Toc918"/>
      <w:r>
        <w:t>[توهّم آخر و دفعه:]</w:t>
      </w:r>
      <w:bookmarkEnd w:id="1883"/>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کاندفاع توهّم </w:t>
      </w:r>
      <w:r>
        <w:rPr>
          <w:rStyle w:val="FootnoteReference"/>
        </w:rPr>
        <w:footnoteReference w:id="2106"/>
      </w:r>
      <w:r>
        <w:rPr>
          <w:rFonts w:ascii="Amiri" w:hAnsi="Amiri" w:eastAsia="Amiri" w:cs="Amiri"/>
          <w:lang w:bidi="ar-SA"/>
          <w:color w:val="111111"/>
          <w:sz w:val="28"/>
          <w:szCs w:val="28"/>
          <w:rtl/>
        </w:rPr>
        <w:t xml:space="preserve">:کون الشکّ فی بقائه مسبّبا عن الشکّ فی</w:t>
      </w:r>
    </w:p>
    <w:p>
      <w:pPr>
        <w:pStyle w:val="BookText"/>
      </w:pPr>
      <w:r>
        <w:rPr>
          <w:rFonts w:ascii="IRNazanin" w:hAnsi="IRNazanin" w:eastAsia="IRNazanin" w:cs="IRNazanin"/>
          <w:lang w:bidi="fa-IR"/>
          <w:color w:val="111111"/>
          <w:sz w:val="28"/>
          <w:szCs w:val="28"/>
          <w:rtl/>
        </w:rPr>
        <w:t xml:space="preserve">[شماره صفحه واقعی : 192]
</w:t>
      </w:r>
    </w:p>
    <w:p>
      <w:pPr>
        <w:sectPr>
          <w:footerReference w:type="default" r:id="rId704"/>
          <w:footnotePr>
            <w:numStart w:val="1"/>
            <w:numRestart w:val="eachPage"/>
          </w:footnotePr>
          <w:pgSz w:orient="portrait" w:w="11905.511811023622" w:h="16837.79527559055"/>
          <w:pgMar w:top="1440" w:right="1440" w:bottom="1440" w:left="1440" w:header="720" w:footer="720" w:gutter="0"/>
          <w:cols w:num="1" w:space="720"/>
        </w:sectPr>
      </w:pPr>
    </w:p>
    <w:bookmarkStart w:id="431" w:name="pg14411_143086"/>
    <w:bookmarkEnd w:id="431"/>
    <w:p>
      <w:pPr>
        <w:pStyle w:val="BookText"/>
      </w:pPr>
      <w:r>
        <w:rPr>
          <w:rFonts w:ascii="IRNazanin" w:hAnsi="IRNazanin" w:eastAsia="IRNazanin" w:cs="IRNazanin"/>
          <w:lang w:bidi="fa-IR"/>
          <w:color w:val="111111"/>
          <w:sz w:val="28"/>
          <w:szCs w:val="28"/>
          <w:rtl/>
        </w:rPr>
        <w:t xml:space="preserve">حدوث ذلک المشکوک الحدوث،فإذا حکم بأصالة عدم حدوثه لزمه </w:t>
      </w:r>
      <w:r>
        <w:rPr>
          <w:rStyle w:val="FootnoteReference"/>
        </w:rPr>
        <w:footnoteReference w:id="2107"/>
      </w:r>
      <w:r>
        <w:rPr>
          <w:rFonts w:ascii="IRNazanin" w:hAnsi="IRNazanin" w:eastAsia="IRNazanin" w:cs="IRNazanin"/>
          <w:lang w:bidi="fa-IR"/>
          <w:color w:val="111111"/>
          <w:sz w:val="28"/>
          <w:szCs w:val="28"/>
          <w:rtl/>
        </w:rPr>
        <w:t xml:space="preserve">ارتفاع القدر المشترک؛لأنّه من آثاره؛فإنّ ارتفاع القدر المشترک من لوازم کون الحادث ذلک الأمر المقطوع الارتفاع،لا من لوازم عدم حدوث الأمر الآخر.نعم،اللازم من عدم حدوثه هو عدم وجود ما </w:t>
      </w:r>
      <w:r>
        <w:rPr>
          <w:rStyle w:val="FootnoteReference"/>
        </w:rPr>
        <w:footnoteReference w:id="2108"/>
      </w:r>
      <w:r>
        <w:rPr>
          <w:rFonts w:ascii="IRNazanin" w:hAnsi="IRNazanin" w:eastAsia="IRNazanin" w:cs="IRNazanin"/>
          <w:lang w:bidi="fa-IR"/>
          <w:color w:val="111111"/>
          <w:sz w:val="28"/>
          <w:szCs w:val="28"/>
          <w:rtl/>
        </w:rPr>
        <w:t xml:space="preserve">فی ضمنه من القدر المشترک فی الزمان الثانی،لا ارتفاع القدر المشترک بین الأمرین،و بینهما فرق واضح؛و لذا ذکرنا أنّه تترتّب علیه أحکام عدم وجود الجنابة فی المثال المتقدّم.</w:t>
      </w:r>
    </w:p>
    <w:p>
      <w:pPr>
        <w:pStyle w:val="Heading6"/>
      </w:pPr>
      <w:bookmarkStart w:id="1884" w:name="_Toc919"/>
      <w:r>
        <w:t>[ظاهر المحقّق القمّی عدم الجریان:]</w:t>
      </w:r>
      <w:bookmarkEnd w:id="1884"/>
    </w:p>
    <w:p>
      <w:pPr>
        <w:pStyle w:val="BookText"/>
      </w:pPr>
      <w:r>
        <w:rPr>
          <w:rFonts w:ascii="IRNazanin" w:hAnsi="IRNazanin" w:eastAsia="IRNazanin" w:cs="IRNazanin"/>
          <w:lang w:bidi="fa-IR"/>
          <w:color w:val="111111"/>
          <w:sz w:val="28"/>
          <w:szCs w:val="28"/>
          <w:rtl/>
        </w:rPr>
        <w:t xml:space="preserve">و یظهر من المحقّق القمّی رحمه اللّه فی القوانین-مع قوله بحجّیّة الاستصحاب علی الإطلاق-عدم جواز إجراء الاستصحاب فی هذا القسم،و لم أتحقّق وجهه.قال:</w:t>
      </w:r>
    </w:p>
    <w:p>
      <w:pPr>
        <w:pStyle w:val="BookText"/>
      </w:pPr>
      <w:r>
        <w:rPr>
          <w:rFonts w:ascii="IRNazanin" w:hAnsi="IRNazanin" w:eastAsia="IRNazanin" w:cs="IRNazanin"/>
          <w:lang w:bidi="fa-IR"/>
          <w:color w:val="111111"/>
          <w:sz w:val="28"/>
          <w:szCs w:val="28"/>
          <w:rtl/>
        </w:rPr>
        <w:t xml:space="preserve">إنّ الاستصحاب یتبع الموضوع و حکمه فی مقدار قابلیّة الامتداد و ملاحظة الغلبة فیه،فلا بدّ من التأمّل فی أنّه کلّیّ أو جزئیّ،فقد یکون الموضوع الثابت حکمه أوّلا مفهوما کلّیّا مردّدا بین امور،و قد یکون جزئیّا حقیقیّا معیّنا،و بذلک یتفاوت الحال؛إذ قد یختلف أفراد الکلّیّ فی قابلیة الامتداد و مقداره،فالاستصحاب حینئذ ینصرف إلی أقلّها استعدادا للامتداد.</w:t>
      </w:r>
    </w:p>
    <w:p>
      <w:pPr>
        <w:pStyle w:val="BookText"/>
      </w:pPr>
      <w:r>
        <w:rPr>
          <w:rFonts w:ascii="IRNazanin" w:hAnsi="IRNazanin" w:eastAsia="IRNazanin" w:cs="IRNazanin"/>
          <w:lang w:bidi="fa-IR"/>
          <w:color w:val="111111"/>
          <w:sz w:val="28"/>
          <w:szCs w:val="28"/>
          <w:rtl/>
        </w:rPr>
        <w:t xml:space="preserve">ثمّ ذکر حکایة تمسّک بعض أهل الکتاب لإثبات نبوّة نبیّه بالاستصحاب،و ردّ بعض معاصریه </w:t>
      </w:r>
      <w:r>
        <w:rPr>
          <w:rStyle w:val="FootnoteReference"/>
        </w:rPr>
        <w:footnoteReference w:id="2109"/>
      </w:r>
      <w:r>
        <w:rPr>
          <w:rFonts w:ascii="Amiri" w:hAnsi="Amiri" w:eastAsia="Amiri" w:cs="Amiri"/>
          <w:lang w:bidi="ar-SA"/>
          <w:color w:val="111111"/>
          <w:sz w:val="28"/>
          <w:szCs w:val="28"/>
          <w:rtl/>
        </w:rPr>
        <w:t xml:space="preserve">له بما لم یرتضه الکتابیّ،ثمّ ردّه</w:t>
      </w:r>
    </w:p>
    <w:p>
      <w:pPr>
        <w:pStyle w:val="BookText"/>
      </w:pPr>
      <w:r>
        <w:rPr>
          <w:rFonts w:ascii="IRNazanin" w:hAnsi="IRNazanin" w:eastAsia="IRNazanin" w:cs="IRNazanin"/>
          <w:lang w:bidi="fa-IR"/>
          <w:color w:val="111111"/>
          <w:sz w:val="28"/>
          <w:szCs w:val="28"/>
          <w:rtl/>
        </w:rPr>
        <w:t xml:space="preserve">[شماره صفحه واقعی : 193]
</w:t>
      </w:r>
    </w:p>
    <w:p>
      <w:pPr>
        <w:sectPr>
          <w:footerReference w:type="default" r:id="rId705"/>
          <w:footnotePr>
            <w:numStart w:val="1"/>
            <w:numRestart w:val="eachPage"/>
          </w:footnotePr>
          <w:pgSz w:orient="portrait" w:w="11905.511811023622" w:h="16837.79527559055"/>
          <w:pgMar w:top="1440" w:right="1440" w:bottom="1440" w:left="1440" w:header="720" w:footer="720" w:gutter="0"/>
          <w:cols w:num="1" w:space="720"/>
        </w:sectPr>
      </w:pPr>
    </w:p>
    <w:bookmarkStart w:id="432" w:name="pg14411_143087"/>
    <w:bookmarkEnd w:id="432"/>
    <w:p>
      <w:pPr>
        <w:pStyle w:val="BookText"/>
      </w:pPr>
      <w:r>
        <w:rPr>
          <w:rFonts w:ascii="IRNazanin" w:hAnsi="IRNazanin" w:eastAsia="IRNazanin" w:cs="IRNazanin"/>
          <w:lang w:bidi="fa-IR"/>
          <w:color w:val="111111"/>
          <w:sz w:val="28"/>
          <w:szCs w:val="28"/>
          <w:rtl/>
        </w:rPr>
        <w:t xml:space="preserve">بما ادّعی ابتناءه علی ما ذکره من ملاحظة مقدار القابلیّة.</w:t>
      </w:r>
    </w:p>
    <w:p>
      <w:pPr>
        <w:pStyle w:val="BookText"/>
      </w:pPr>
      <w:r>
        <w:rPr>
          <w:rFonts w:ascii="IRNazanin" w:hAnsi="IRNazanin" w:eastAsia="IRNazanin" w:cs="IRNazanin"/>
          <w:lang w:bidi="fa-IR"/>
          <w:color w:val="111111"/>
          <w:sz w:val="28"/>
          <w:szCs w:val="28"/>
          <w:rtl/>
        </w:rPr>
        <w:t xml:space="preserve">ثمّ أوضح ذلک بمثال،و هو:أنّا إذا علمنا أنّ فی الدار حیوانا، لکن لا نعلم أنّه أیّ نوع هو،من الطیور أو البهائم أو الحشار أو الدیدان؟</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ثمّ غبنا عن ذلک مدّة،فلا یمکن لنا الحکم ببقائه فی مدّة یعیش فیها أطول الحیوان عمرا،فإذا احتمل کون الحیوان الخاصّ فی البیت عصفورا أو فأرة أو دود قزّ،فکیف یحکم-بسبب العلم بالقدر المشترک-باستصحابها </w:t>
      </w:r>
      <w:r>
        <w:rPr>
          <w:rStyle w:val="FootnoteReference"/>
        </w:rPr>
        <w:footnoteReference w:id="2110"/>
      </w:r>
      <w:r>
        <w:rPr>
          <w:rFonts w:ascii="IRNazanin" w:hAnsi="IRNazanin" w:eastAsia="IRNazanin" w:cs="IRNazanin"/>
          <w:lang w:bidi="fa-IR"/>
          <w:color w:val="111111"/>
          <w:sz w:val="28"/>
          <w:szCs w:val="28"/>
          <w:rtl/>
        </w:rPr>
        <w:t xml:space="preserve">إلی حصول زمان ظنّ بقاء أطول الحیوانات عمرا؟!قال:و بذلک بطل تمسّک الکتابیّ </w:t>
      </w:r>
      <w:r>
        <w:rPr>
          <w:rStyle w:val="FootnoteReference"/>
        </w:rPr>
        <w:footnoteReference w:id="2111"/>
      </w:r>
      <w:r>
        <w:rPr>
          <w:rFonts w:ascii="IRNazanin" w:hAnsi="IRNazanin" w:eastAsia="IRNazanin" w:cs="IRNazanin"/>
          <w:lang w:bidi="fa-IR"/>
          <w:color w:val="111111"/>
          <w:sz w:val="28"/>
          <w:szCs w:val="28"/>
          <w:rtl/>
        </w:rPr>
        <w:t xml:space="preserve">،انتهی.</w:t>
      </w:r>
    </w:p>
    <w:p>
      <w:pPr>
        <w:pStyle w:val="Heading6"/>
      </w:pPr>
      <w:bookmarkStart w:id="1885" w:name="_Toc920"/>
      <w:r>
        <w:t>[المناقشة فیما أفاده المحقق القمی:]</w:t>
      </w:r>
      <w:bookmarkEnd w:id="1885"/>
    </w:p>
    <w:p>
      <w:pPr>
        <w:pStyle w:val="BookText"/>
      </w:pPr>
      <w:r>
        <w:rPr>
          <w:rFonts w:ascii="IRNazanin" w:hAnsi="IRNazanin" w:eastAsia="IRNazanin" w:cs="IRNazanin"/>
          <w:lang w:bidi="fa-IR"/>
          <w:color w:val="111111"/>
          <w:sz w:val="28"/>
          <w:szCs w:val="28"/>
          <w:rtl/>
        </w:rPr>
        <w:t xml:space="preserve">أقول:إنّ ملاحظة استعداد المستصحب و اعتباره فی الاستصحاب -مع أنّه مستلزم لاختصاص اعتبار الاستصحاب بالشکّ فی الرافع- موجب لعدم انضباط الاستصحاب؛لعدم استقامة إرادة استعداده من حیث شخصه </w:t>
      </w:r>
      <w:r>
        <w:rPr>
          <w:rStyle w:val="FootnoteReference"/>
        </w:rPr>
        <w:footnoteReference w:id="2112"/>
      </w:r>
      <w:r>
        <w:rPr>
          <w:rFonts w:ascii="IRNazanin" w:hAnsi="IRNazanin" w:eastAsia="IRNazanin" w:cs="IRNazanin"/>
          <w:lang w:bidi="fa-IR"/>
          <w:color w:val="111111"/>
          <w:sz w:val="28"/>
          <w:szCs w:val="28"/>
          <w:rtl/>
        </w:rPr>
        <w:t xml:space="preserve">،و لا أبعد الأجناس،و لا أقرب الأصناف،و لا ضابط لتعیین المتوسّط،و الإحالة علی الظنّ الشخصیّ قد عرفت ما فیه سابقا </w:t>
      </w:r>
      <w:r>
        <w:rPr>
          <w:rStyle w:val="FootnoteReference"/>
        </w:rPr>
        <w:footnoteReference w:id="2113"/>
      </w:r>
      <w:r>
        <w:rPr>
          <w:rFonts w:ascii="IRNazanin" w:hAnsi="IRNazanin" w:eastAsia="IRNazanin" w:cs="IRNazanin"/>
          <w:lang w:bidi="fa-IR"/>
          <w:color w:val="111111"/>
          <w:sz w:val="28"/>
          <w:szCs w:val="28"/>
          <w:rtl/>
        </w:rPr>
        <w:t xml:space="preserve">،مع أنّ اعتبار الاستصحاب عند هذا المحقّق لا یختصّ دلیله بالظنّ،کما اعترف به سابقا </w:t>
      </w:r>
      <w:r>
        <w:rPr>
          <w:rStyle w:val="FootnoteReference"/>
        </w:rPr>
        <w:footnoteReference w:id="2114"/>
      </w:r>
      <w:r>
        <w:rPr>
          <w:rFonts w:ascii="IRNazanin" w:hAnsi="IRNazanin" w:eastAsia="IRNazanin" w:cs="IRNazanin"/>
          <w:lang w:bidi="fa-IR"/>
          <w:color w:val="111111"/>
          <w:sz w:val="28"/>
          <w:szCs w:val="28"/>
          <w:rtl/>
        </w:rPr>
        <w:t xml:space="preserve">،فلا مانع من استصحاب وجود الحیوان فی الدار إذا ترتّب اثر شرعیّ علی وجود مطلق الحیوان فیها.</w:t>
      </w:r>
    </w:p>
    <w:p>
      <w:pPr>
        <w:pStyle w:val="BookText"/>
      </w:pPr>
      <w:r>
        <w:rPr>
          <w:rFonts w:ascii="IRNazanin" w:hAnsi="IRNazanin" w:eastAsia="IRNazanin" w:cs="IRNazanin"/>
          <w:lang w:bidi="fa-IR"/>
          <w:color w:val="111111"/>
          <w:sz w:val="28"/>
          <w:szCs w:val="28"/>
          <w:rtl/>
        </w:rPr>
        <w:t xml:space="preserve">[شماره صفحه واقعی : 194]
</w:t>
      </w:r>
    </w:p>
    <w:p>
      <w:pPr>
        <w:sectPr>
          <w:footerReference w:type="default" r:id="rId706"/>
          <w:footnotePr>
            <w:numStart w:val="1"/>
            <w:numRestart w:val="eachPage"/>
          </w:footnotePr>
          <w:pgSz w:orient="portrait" w:w="11905.511811023622" w:h="16837.79527559055"/>
          <w:pgMar w:top="1440" w:right="1440" w:bottom="1440" w:left="1440" w:header="720" w:footer="720" w:gutter="0"/>
          <w:cols w:num="1" w:space="720"/>
        </w:sectPr>
      </w:pPr>
    </w:p>
    <w:bookmarkStart w:id="433" w:name="pg14411_143088"/>
    <w:bookmarkEnd w:id="433"/>
    <w:p>
      <w:pPr>
        <w:pStyle w:val="BookText"/>
      </w:pPr>
      <w:r>
        <w:rPr>
          <w:rFonts w:ascii="IRNazanin" w:hAnsi="IRNazanin" w:eastAsia="IRNazanin" w:cs="IRNazanin"/>
          <w:lang w:bidi="fa-IR"/>
          <w:color w:val="111111"/>
          <w:sz w:val="28"/>
          <w:szCs w:val="28"/>
          <w:rtl/>
        </w:rPr>
        <w:t xml:space="preserve">ثمّ إنّ ما ذکره:من ابتناء جواب الکتابیّ علی ما ذکره،سیجیء ما فیه مفصّلا </w:t>
      </w:r>
      <w:r>
        <w:rPr>
          <w:rStyle w:val="FootnoteReference"/>
        </w:rPr>
        <w:footnoteReference w:id="2115"/>
      </w:r>
      <w:r>
        <w:rPr>
          <w:rFonts w:ascii="IRNazanin" w:hAnsi="IRNazanin" w:eastAsia="IRNazanin" w:cs="IRNazanin"/>
          <w:lang w:bidi="fa-IR"/>
          <w:color w:val="111111"/>
          <w:sz w:val="28"/>
          <w:szCs w:val="28"/>
          <w:rtl/>
        </w:rPr>
        <w:t xml:space="preserve">إن شاء اللّه تعالی.</w:t>
      </w:r>
    </w:p>
    <w:p>
      <w:pPr>
        <w:pStyle w:val="BookText"/>
      </w:pPr>
      <w:r>
        <w:rPr>
          <w:rFonts w:ascii="IRNazanin" w:hAnsi="IRNazanin" w:eastAsia="IRNazanin" w:cs="IRNazanin"/>
          <w:lang w:bidi="fa-IR"/>
          <w:color w:val="111111"/>
          <w:sz w:val="28"/>
          <w:szCs w:val="28"/>
          <w:rtl/>
        </w:rPr>
        <w:t xml:space="preserve">و أمّا الثالث-و هو ما إذا کان الشکّ فی بقاء الکلّیّ مستندا إلی احتمال وجود فرد آخر غیر الفرد المعلوم حدوثه و ارتفاعه-فهو علی قسمین؛لأنّ الفرد الآخر:</w:t>
      </w:r>
    </w:p>
    <w:p>
      <w:pPr>
        <w:pStyle w:val="BookText"/>
      </w:pPr>
      <w:r>
        <w:rPr>
          <w:rFonts w:ascii="IRNazanin" w:hAnsi="IRNazanin" w:eastAsia="IRNazanin" w:cs="IRNazanin"/>
          <w:lang w:bidi="fa-IR"/>
          <w:color w:val="111111"/>
          <w:sz w:val="28"/>
          <w:szCs w:val="28"/>
          <w:rtl/>
        </w:rPr>
        <w:t xml:space="preserve">إمّا أن یحتمل وجوده مع ذلک الفرد المعلوم حاله.</w:t>
      </w:r>
    </w:p>
    <w:p>
      <w:pPr>
        <w:pStyle w:val="BookText"/>
      </w:pPr>
      <w:r>
        <w:rPr>
          <w:rFonts w:ascii="Amiri" w:hAnsi="Amiri" w:eastAsia="Amiri" w:cs="Amiri"/>
          <w:lang w:bidi="ar-SA"/>
          <w:color w:val="111111"/>
          <w:sz w:val="28"/>
          <w:szCs w:val="28"/>
          <w:rtl/>
        </w:rPr>
        <w:t xml:space="preserve">و إمّا أن </w:t>
      </w:r>
      <w:r>
        <w:rPr>
          <w:rStyle w:val="FootnoteReference"/>
        </w:rPr>
        <w:footnoteReference w:id="2116"/>
      </w:r>
      <w:r>
        <w:rPr>
          <w:rFonts w:ascii="IRNazanin" w:hAnsi="IRNazanin" w:eastAsia="IRNazanin" w:cs="IRNazanin"/>
          <w:lang w:bidi="fa-IR"/>
          <w:color w:val="111111"/>
          <w:sz w:val="28"/>
          <w:szCs w:val="28"/>
          <w:rtl/>
        </w:rPr>
        <w:t xml:space="preserve">یحتمل حدوثه بعده،إمّا بتبدّله إلیه و إمّا بمجرّد حدوثه مقارنا لارتفاع ذلک الفرد.</w:t>
      </w:r>
    </w:p>
    <w:p>
      <w:pPr>
        <w:pStyle w:val="Heading6"/>
      </w:pPr>
      <w:bookmarkStart w:id="1886" w:name="_Toc921"/>
      <w:r>
        <w:t>[هل یجری الاستصحاب فی القسمین أو لا یجری فی کلیهما أو فیه تفصیل؟:]</w:t>
      </w:r>
      <w:bookmarkEnd w:id="1886"/>
    </w:p>
    <w:p>
      <w:pPr>
        <w:pStyle w:val="BookText"/>
      </w:pPr>
      <w:r>
        <w:rPr>
          <w:rFonts w:ascii="IRNazanin" w:hAnsi="IRNazanin" w:eastAsia="IRNazanin" w:cs="IRNazanin"/>
          <w:lang w:bidi="fa-IR"/>
          <w:color w:val="111111"/>
          <w:sz w:val="28"/>
          <w:szCs w:val="28"/>
          <w:rtl/>
        </w:rPr>
        <w:t xml:space="preserve">و فی جریان استصحاب الکلّیّ فی کلا القسمین؛نظرا إلی تیقّنه سابقا و عدم العلم بارتفاعه،و إن علم بارتفاع بعض وجوداته و شکّ فی حدوث ما عداه؛لأنّ ذلک مانع من إجراء الاستصحاب فی الأفراد دون الکلّیّ،کما تقدّم نظیره فی القسم الثانی.</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أو عدم جریانه فیهما؛لأنّ بقاء الکلّیّ فی الخارج عبارة عن استمرار وجوده الخارجیّ </w:t>
      </w:r>
      <w:r>
        <w:rPr>
          <w:rStyle w:val="FootnoteReference"/>
        </w:rPr>
        <w:footnoteReference w:id="2117"/>
      </w:r>
      <w:r>
        <w:rPr>
          <w:rFonts w:ascii="IRNazanin" w:hAnsi="IRNazanin" w:eastAsia="IRNazanin" w:cs="IRNazanin"/>
          <w:lang w:bidi="fa-IR"/>
          <w:color w:val="111111"/>
          <w:sz w:val="28"/>
          <w:szCs w:val="28"/>
          <w:rtl/>
        </w:rPr>
        <w:t xml:space="preserve">المتیقّن سابقا،و هو معلوم العدم،و هذا هو الفارق بین ما نحن فیه و القسم الثانی؛حیث إنّ الباقی فی الآن اللاحق بالاستصحاب </w:t>
      </w:r>
      <w:r>
        <w:rPr>
          <w:rStyle w:val="FootnoteReference"/>
        </w:rPr>
        <w:footnoteReference w:id="2118"/>
      </w:r>
      <w:r>
        <w:rPr>
          <w:rFonts w:ascii="IRNazanin" w:hAnsi="IRNazanin" w:eastAsia="IRNazanin" w:cs="IRNazanin"/>
          <w:lang w:bidi="fa-IR"/>
          <w:color w:val="111111"/>
          <w:sz w:val="28"/>
          <w:szCs w:val="28"/>
          <w:rtl/>
        </w:rPr>
        <w:t xml:space="preserve">هو عین الوجود </w:t>
      </w:r>
      <w:r>
        <w:rPr>
          <w:rStyle w:val="FootnoteReference"/>
        </w:rPr>
        <w:footnoteReference w:id="2119"/>
      </w:r>
      <w:r>
        <w:rPr>
          <w:rFonts w:ascii="IRNazanin" w:hAnsi="IRNazanin" w:eastAsia="IRNazanin" w:cs="IRNazanin"/>
          <w:lang w:bidi="fa-IR"/>
          <w:color w:val="111111"/>
          <w:sz w:val="28"/>
          <w:szCs w:val="28"/>
          <w:rtl/>
        </w:rPr>
        <w:t xml:space="preserve">المتیقّن سابقا.</w:t>
      </w:r>
    </w:p>
    <w:p>
      <w:pPr>
        <w:pStyle w:val="BookText"/>
      </w:pPr>
      <w:r>
        <w:rPr>
          <w:rFonts w:ascii="IRNazanin" w:hAnsi="IRNazanin" w:eastAsia="IRNazanin" w:cs="IRNazanin"/>
          <w:lang w:bidi="fa-IR"/>
          <w:color w:val="111111"/>
          <w:sz w:val="28"/>
          <w:szCs w:val="28"/>
          <w:rtl/>
        </w:rPr>
        <w:t xml:space="preserve">[شماره صفحه واقعی : 195]
</w:t>
      </w:r>
    </w:p>
    <w:p>
      <w:pPr>
        <w:sectPr>
          <w:footerReference w:type="default" r:id="rId707"/>
          <w:footnotePr>
            <w:numStart w:val="1"/>
            <w:numRestart w:val="eachPage"/>
          </w:footnotePr>
          <w:pgSz w:orient="portrait" w:w="11905.511811023622" w:h="16837.79527559055"/>
          <w:pgMar w:top="1440" w:right="1440" w:bottom="1440" w:left="1440" w:header="720" w:footer="720" w:gutter="0"/>
          <w:cols w:num="1" w:space="720"/>
        </w:sectPr>
      </w:pPr>
    </w:p>
    <w:bookmarkStart w:id="434" w:name="pg14411_143089"/>
    <w:bookmarkEnd w:id="434"/>
    <w:p>
      <w:pPr>
        <w:pStyle w:val="Heading6"/>
      </w:pPr>
      <w:bookmarkStart w:id="1887" w:name="_Toc922"/>
      <w:r>
        <w:t>[مختار المصنف هو التفصیل:]</w:t>
      </w:r>
      <w:bookmarkEnd w:id="1887"/>
    </w:p>
    <w:p>
      <w:pPr>
        <w:pStyle w:val="BookText"/>
      </w:pPr>
      <w:r>
        <w:rPr>
          <w:rFonts w:ascii="IRNazanin" w:hAnsi="IRNazanin" w:eastAsia="IRNazanin" w:cs="IRNazanin"/>
          <w:lang w:bidi="fa-IR"/>
          <w:color w:val="111111"/>
          <w:sz w:val="28"/>
          <w:szCs w:val="28"/>
          <w:rtl/>
        </w:rPr>
        <w:t xml:space="preserve">أو التفصیل بین القسمین،فیجری فی الأوّل؛لاحتمال کون الثابت فی الآن اللاحق هو عین الموجود سابقا،فیتردّد الکلّیّ المعلوم سابقا بین أن یکون وجوده الخارجیّ علی نحو لا یرتفع بارتفاع </w:t>
      </w:r>
      <w:r>
        <w:rPr>
          <w:rStyle w:val="FootnoteReference"/>
        </w:rPr>
        <w:footnoteReference w:id="2120"/>
      </w:r>
      <w:r>
        <w:rPr>
          <w:rFonts w:ascii="IRNazanin" w:hAnsi="IRNazanin" w:eastAsia="IRNazanin" w:cs="IRNazanin"/>
          <w:lang w:bidi="fa-IR"/>
          <w:color w:val="111111"/>
          <w:sz w:val="28"/>
          <w:szCs w:val="28"/>
          <w:rtl/>
        </w:rPr>
        <w:t xml:space="preserve">الفرد المعلوم ارتفاعه،و أن یکون علی نحو یرتفع بارتفاع ذلک الفرد،فالشکّ حقیقة إنّما هو فی مقدار استعداد ذلک الکلّیّ،و استصحاب عدم حدوث الفرد المشکوک لا یثبت تعیین استعداد الکلّیّ.</w:t>
      </w:r>
    </w:p>
    <w:p>
      <w:pPr>
        <w:pStyle w:val="BookText"/>
      </w:pPr>
      <w:r>
        <w:rPr>
          <w:rFonts w:ascii="IRNazanin" w:hAnsi="IRNazanin" w:eastAsia="IRNazanin" w:cs="IRNazanin"/>
          <w:lang w:bidi="fa-IR"/>
          <w:color w:val="111111"/>
          <w:sz w:val="28"/>
          <w:szCs w:val="28"/>
          <w:rtl/>
        </w:rPr>
        <w:t xml:space="preserve">وجوه،أقواها الأخیر.</w:t>
      </w:r>
    </w:p>
    <w:p>
      <w:pPr>
        <w:pStyle w:val="Heading6"/>
      </w:pPr>
      <w:bookmarkStart w:id="1888" w:name="_Toc923"/>
      <w:r>
        <w:t>[استثناء مورد واحد من القسم الثانی:]</w:t>
      </w:r>
      <w:bookmarkEnd w:id="1888"/>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 یستثنی من عدم الجریان فی القسم الثانی،ما یتسامح فیه </w:t>
      </w:r>
      <w:r>
        <w:rPr>
          <w:rStyle w:val="FootnoteReference"/>
        </w:rPr>
        <w:footnoteReference w:id="2121"/>
      </w:r>
      <w:r>
        <w:rPr>
          <w:rFonts w:ascii="IRNazanin" w:hAnsi="IRNazanin" w:eastAsia="IRNazanin" w:cs="IRNazanin"/>
          <w:lang w:bidi="fa-IR"/>
          <w:color w:val="111111"/>
          <w:sz w:val="28"/>
          <w:szCs w:val="28"/>
          <w:rtl/>
        </w:rPr>
        <w:t xml:space="preserve">العرف فیعدّون الفرد اللاحق مع الفرد السابق کالمستمرّ الواحد،مثل:</w:t>
      </w:r>
    </w:p>
    <w:p>
      <w:pPr>
        <w:pStyle w:val="BookText"/>
      </w:pPr>
      <w:r>
        <w:rPr>
          <w:rFonts w:ascii="IRNazanin" w:hAnsi="IRNazanin" w:eastAsia="IRNazanin" w:cs="IRNazanin"/>
          <w:lang w:bidi="fa-IR"/>
          <w:color w:val="111111"/>
          <w:sz w:val="28"/>
          <w:szCs w:val="28"/>
          <w:rtl/>
        </w:rPr>
        <w:t xml:space="preserve">ما لو علم السواد الشدید فی محلّ و شکّ فی تبدّله بالبیاض أو بسواد أضعف من الأوّل،فإنّه یستصحب السواد.و کذا لو کان الشخص فی مرتبة من کثرة الشکّ،ثمّ شکّ-من جهة اشتباه المفهوم أو المصداق- فی زوالها أو تبدّلها إلی مرتبة دونها.أو علم إضافة المائع،ثمّ شکّ فی زوالها أو تبدّلها إلی فرد آخر من المضاف.</w:t>
      </w:r>
    </w:p>
    <w:p>
      <w:pPr>
        <w:pStyle w:val="Heading6"/>
      </w:pPr>
      <w:bookmarkStart w:id="1889" w:name="_Toc924"/>
      <w:r>
        <w:t>[العبرة فی جریان الاستصحاب:]</w:t>
      </w:r>
      <w:bookmarkEnd w:id="1889"/>
    </w:p>
    <w:p>
      <w:pPr>
        <w:pStyle w:val="BookText"/>
      </w:pPr>
      <w:r>
        <w:rPr>
          <w:rFonts w:ascii="IRNazanin" w:hAnsi="IRNazanin" w:eastAsia="IRNazanin" w:cs="IRNazanin"/>
          <w:lang w:bidi="fa-IR"/>
          <w:color w:val="111111"/>
          <w:sz w:val="28"/>
          <w:szCs w:val="28"/>
          <w:rtl/>
        </w:rPr>
        <w:t xml:space="preserve">و بالجملة:فالعبرة فی جریان الاستصحاب عدّ الموجود السابق مستمرّا إلی اللاحق،و لو کان الأمر اللاحق علی تقدیر وجوده مغایرا بحسب الدقّة للفرد السابق؛و لذا لا إشکال فی استصحاب الأعراض، حتّی علی القول فیها بتجدّد الأمثال </w:t>
      </w:r>
      <w:r>
        <w:rPr>
          <w:rStyle w:val="FootnoteReference"/>
        </w:rPr>
        <w:footnoteReference w:id="2122"/>
      </w:r>
      <w:r>
        <w:rPr>
          <w:rFonts w:ascii="IRNazanin" w:hAnsi="IRNazanin" w:eastAsia="IRNazanin" w:cs="IRNazanin"/>
          <w:lang w:bidi="fa-IR"/>
          <w:color w:val="111111"/>
          <w:sz w:val="28"/>
          <w:szCs w:val="28"/>
          <w:rtl/>
        </w:rPr>
        <w:t xml:space="preserve">.و سیأتی ما یوضح عدم ابتناء</w:t>
      </w:r>
    </w:p>
    <w:p>
      <w:pPr>
        <w:pStyle w:val="BookText"/>
      </w:pPr>
      <w:r>
        <w:rPr>
          <w:rFonts w:ascii="IRNazanin" w:hAnsi="IRNazanin" w:eastAsia="IRNazanin" w:cs="IRNazanin"/>
          <w:lang w:bidi="fa-IR"/>
          <w:color w:val="111111"/>
          <w:sz w:val="28"/>
          <w:szCs w:val="28"/>
          <w:rtl/>
        </w:rPr>
        <w:t xml:space="preserve">[شماره صفحه واقعی : 196]
</w:t>
      </w:r>
    </w:p>
    <w:p>
      <w:pPr>
        <w:sectPr>
          <w:footerReference w:type="default" r:id="rId708"/>
          <w:footnotePr>
            <w:numStart w:val="1"/>
            <w:numRestart w:val="eachPage"/>
          </w:footnotePr>
          <w:pgSz w:orient="portrait" w:w="11905.511811023622" w:h="16837.79527559055"/>
          <w:pgMar w:top="1440" w:right="1440" w:bottom="1440" w:left="1440" w:header="720" w:footer="720" w:gutter="0"/>
          <w:cols w:num="1" w:space="720"/>
        </w:sectPr>
      </w:pPr>
    </w:p>
    <w:bookmarkStart w:id="435" w:name="pg14411_143090"/>
    <w:bookmarkEnd w:id="435"/>
    <w:p>
      <w:pPr>
        <w:pStyle w:val="BookText"/>
      </w:pPr>
      <w:r>
        <w:rPr>
          <w:rFonts w:ascii="IRNazanin" w:hAnsi="IRNazanin" w:eastAsia="IRNazanin" w:cs="IRNazanin"/>
          <w:lang w:bidi="fa-IR"/>
          <w:color w:val="111111"/>
          <w:sz w:val="28"/>
          <w:szCs w:val="28"/>
          <w:rtl/>
        </w:rPr>
        <w:t xml:space="preserve">الاستصحاب علی المداقّة العقلیّة </w:t>
      </w:r>
      <w:r>
        <w:rPr>
          <w:rStyle w:val="FootnoteReference"/>
        </w:rPr>
        <w:footnoteReference w:id="2123"/>
      </w:r>
      <w:r>
        <w:rPr>
          <w:rFonts w:ascii="Times New Roman" w:hAnsi="Times New Roman" w:eastAsia="Times New Roman" w:cs="Times New Roman"/>
          <w:lang w:val="en-US" w:bidi="en-US"/>
          <w:color w:val="111111"/>
          <w:sz w:val="28"/>
          <w:szCs w:val="28"/>
          <w:rtl/>
        </w:rPr>
        <w:t xml:space="preserve">.</w:t>
      </w:r>
    </w:p>
    <w:p>
      <w:pPr>
        <w:pStyle w:val="Heading6"/>
      </w:pPr>
      <w:bookmarkStart w:id="1890" w:name="_Toc925"/>
      <w:r>
        <w:t>[کلام الفاضل التونی تأییدا لبعض ما ذکرنا:]</w:t>
      </w:r>
      <w:bookmarkEnd w:id="1890"/>
    </w:p>
    <w:p>
      <w:pPr>
        <w:pStyle w:val="BookText"/>
      </w:pPr>
      <w:r>
        <w:rPr>
          <w:rFonts w:ascii="IRNazanin" w:hAnsi="IRNazanin" w:eastAsia="IRNazanin" w:cs="IRNazanin"/>
          <w:lang w:bidi="fa-IR"/>
          <w:color w:val="111111"/>
          <w:sz w:val="28"/>
          <w:szCs w:val="28"/>
          <w:rtl/>
        </w:rPr>
        <w:t xml:space="preserve">ثمّ إنّ للفاضل التونیّ کلاما یناسب المقام-مؤیّدا لبعض ما ذکرناه-و إن لم یخل بعضه عن النظر بل المنع.قال فی ردّ تمسّک المشهور فی نجاسة الجلد المطروح باستصحاب عدم التذکیة:</w:t>
      </w:r>
    </w:p>
    <w:p>
      <w:pPr>
        <w:pStyle w:val="BookText"/>
      </w:pPr>
      <w:r>
        <w:rPr>
          <w:rFonts w:ascii="IRNazanin" w:hAnsi="IRNazanin" w:eastAsia="IRNazanin" w:cs="IRNazanin"/>
          <w:lang w:bidi="fa-IR"/>
          <w:color w:val="111111"/>
          <w:sz w:val="28"/>
          <w:szCs w:val="28"/>
          <w:rtl/>
        </w:rPr>
        <w:t xml:space="preserve">إنّ عدم المذبوحیّة لازم لأمرین:الحیاة،و الموت حتف الأنف.</w:t>
      </w:r>
    </w:p>
    <w:p>
      <w:pPr>
        <w:pStyle w:val="BookText"/>
      </w:pPr>
      <w:r>
        <w:rPr>
          <w:rFonts w:ascii="IRNazanin" w:hAnsi="IRNazanin" w:eastAsia="IRNazanin" w:cs="IRNazanin"/>
          <w:lang w:bidi="fa-IR"/>
          <w:color w:val="111111"/>
          <w:sz w:val="28"/>
          <w:szCs w:val="28"/>
          <w:rtl/>
        </w:rPr>
        <w:t xml:space="preserve">و الموجب للنجاسة لیس هذا اللازم من حیث هو،بل ملزومه الثانی، أعنی:الموت حتف الأنف،فعدم المذبوحیّة لازم أعمّ لموجب النجاسة، فعدم المذبوحیّة اللازم </w:t>
      </w:r>
      <w:r>
        <w:rPr>
          <w:rStyle w:val="FootnoteReference"/>
        </w:rPr>
        <w:footnoteReference w:id="2124"/>
      </w:r>
      <w:r>
        <w:rPr>
          <w:rFonts w:ascii="IRNazanin" w:hAnsi="IRNazanin" w:eastAsia="IRNazanin" w:cs="IRNazanin"/>
          <w:lang w:bidi="fa-IR"/>
          <w:color w:val="111111"/>
          <w:sz w:val="28"/>
          <w:szCs w:val="28"/>
          <w:rtl/>
        </w:rPr>
        <w:t xml:space="preserve">للحیاة مغایر لعدم المذبوحیّة العارض للموت حتف أنفه.و المعلوم ثبوته فی الزمان السابق هو الأوّل لا الثانی، و ظاهر أنّه غیر باق فی الزمان الثانی،ففی الحقیقة یخرج مثل هذه الصورة من الاستصحاب؛</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إذ شرطه بقاء الموضوع،و عدمه هنا معلوم.قال:</w:t>
      </w:r>
    </w:p>
    <w:p>
      <w:pPr>
        <w:pStyle w:val="BookText"/>
      </w:pPr>
      <w:r>
        <w:rPr>
          <w:rFonts w:ascii="IRNazanin" w:hAnsi="IRNazanin" w:eastAsia="IRNazanin" w:cs="IRNazanin"/>
          <w:lang w:bidi="fa-IR"/>
          <w:color w:val="111111"/>
          <w:sz w:val="28"/>
          <w:szCs w:val="28"/>
          <w:rtl/>
        </w:rPr>
        <w:t xml:space="preserve">و لیس مثل المتمسّک بهذا الاستصحاب إلاّ مثل من تمسّک علی وجود عمرو فی الدار </w:t>
      </w:r>
      <w:r>
        <w:rPr>
          <w:rStyle w:val="FootnoteReference"/>
        </w:rPr>
        <w:footnoteReference w:id="2125"/>
      </w:r>
      <w:r>
        <w:rPr>
          <w:rFonts w:ascii="IRNazanin" w:hAnsi="IRNazanin" w:eastAsia="IRNazanin" w:cs="IRNazanin"/>
          <w:lang w:bidi="fa-IR"/>
          <w:color w:val="111111"/>
          <w:sz w:val="28"/>
          <w:szCs w:val="28"/>
          <w:rtl/>
        </w:rPr>
        <w:t xml:space="preserve">باستصحاب بقاء الضاحک المتحقّق بوجود زید فی الدار فی الوقت الأوّل.و فساده غنیّ عن البیان </w:t>
      </w:r>
      <w:r>
        <w:rPr>
          <w:rStyle w:val="FootnoteReference"/>
        </w:rPr>
        <w:footnoteReference w:id="2126"/>
      </w:r>
      <w:r>
        <w:rPr>
          <w:rFonts w:ascii="IRNazanin" w:hAnsi="IRNazanin" w:eastAsia="IRNazanin" w:cs="IRNazanin"/>
          <w:lang w:bidi="fa-IR"/>
          <w:color w:val="111111"/>
          <w:sz w:val="28"/>
          <w:szCs w:val="28"/>
          <w:rtl/>
        </w:rPr>
        <w:t xml:space="preserve">،انتهی.</w:t>
      </w:r>
    </w:p>
    <w:p>
      <w:pPr>
        <w:pStyle w:val="Heading6"/>
      </w:pPr>
      <w:bookmarkStart w:id="1891" w:name="_Toc926"/>
      <w:r>
        <w:t>[بعض المناقشات فیما أفاد الفاضل التونی:]</w:t>
      </w:r>
      <w:bookmarkEnd w:id="1891"/>
    </w:p>
    <w:p>
      <w:pPr>
        <w:pStyle w:val="BookText"/>
      </w:pPr>
      <w:r>
        <w:rPr>
          <w:rFonts w:ascii="IRNazanin" w:hAnsi="IRNazanin" w:eastAsia="IRNazanin" w:cs="IRNazanin"/>
          <w:lang w:bidi="fa-IR"/>
          <w:color w:val="111111"/>
          <w:sz w:val="28"/>
          <w:szCs w:val="28"/>
          <w:rtl/>
        </w:rPr>
        <w:t xml:space="preserve">أقول:و لقد أجاد فیما أفاد،من عدم جواز الاستصحاب فی المثال المذکور و نظیره،إلاّ أنّ نظر المشهور-فی تمسّکهم علی النجاسة-إلی أنّ</w:t>
      </w:r>
    </w:p>
    <w:p>
      <w:pPr>
        <w:pStyle w:val="BookText"/>
      </w:pPr>
      <w:r>
        <w:rPr>
          <w:rFonts w:ascii="IRNazanin" w:hAnsi="IRNazanin" w:eastAsia="IRNazanin" w:cs="IRNazanin"/>
          <w:lang w:bidi="fa-IR"/>
          <w:color w:val="111111"/>
          <w:sz w:val="28"/>
          <w:szCs w:val="28"/>
          <w:rtl/>
        </w:rPr>
        <w:t xml:space="preserve">[شماره صفحه واقعی : 197]
</w:t>
      </w:r>
    </w:p>
    <w:p>
      <w:pPr>
        <w:sectPr>
          <w:footerReference w:type="default" r:id="rId7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النجاسة إنّما رتّبت فی الشرع علی مجرّد عدم التذکیة،کما یرشد إلیه قوله تعالی: إِلاّٰ مٰا ذَکَّیْتُمْ </w:t>
      </w:r>
      <w:r>
        <w:rPr>
          <w:rStyle w:val="FootnoteReference"/>
        </w:rPr>
        <w:footnoteReference w:id="2127"/>
      </w:r>
      <w:r>
        <w:rPr>
          <w:rFonts w:ascii="Amiri" w:hAnsi="Amiri" w:eastAsia="Amiri" w:cs="Amiri"/>
          <w:lang w:bidi="ar-SA"/>
          <w:color w:val="111111"/>
          <w:sz w:val="28"/>
          <w:szCs w:val="28"/>
          <w:rtl/>
        </w:rPr>
        <w:t xml:space="preserve">،الظاهر فی أنّ المحرّم إنّما هو لحم الحیوان الذی لم یقع علیه التذکیة واقعا أو بطریق شرعیّ و لو کان أصلا،و قوله تعالی: وَ لاٰ تَأْکُلُوا مِمّٰا لَمْ یُذْکَرِ اسْمُ اللّٰهِ عَلَیْهِ </w:t>
      </w:r>
      <w:r>
        <w:rPr>
          <w:rStyle w:val="FootnoteReference"/>
        </w:rPr>
        <w:footnoteReference w:id="2128"/>
      </w:r>
      <w:r>
        <w:rPr>
          <w:rFonts w:ascii="Amiri" w:hAnsi="Amiri" w:eastAsia="Amiri" w:cs="Amiri"/>
          <w:lang w:bidi="ar-SA"/>
          <w:color w:val="111111"/>
          <w:sz w:val="28"/>
          <w:szCs w:val="28"/>
          <w:rtl/>
        </w:rPr>
        <w:t xml:space="preserve">،و قوله تعالی: فَکُلُوا مِمّٰا ذُکِرَ اسْمُ اللّٰهِ عَلَیْهِ </w:t>
      </w:r>
      <w:r>
        <w:rPr>
          <w:rStyle w:val="FootnoteReference"/>
        </w:rPr>
        <w:footnoteReference w:id="2129"/>
      </w:r>
      <w:r>
        <w:rPr>
          <w:rFonts w:ascii="IRNazanin" w:hAnsi="IRNazanin" w:eastAsia="IRNazanin" w:cs="IRNazanin"/>
          <w:lang w:bidi="fa-IR"/>
          <w:color w:val="111111"/>
          <w:sz w:val="28"/>
          <w:szCs w:val="28"/>
          <w:rtl/>
        </w:rPr>
        <w:t xml:space="preserve">،و قوله علیه السّلام فی ذیل موثّقة ابن بکیر:«إذا کان ذکیّا ذکّاه الذابح» </w:t>
      </w:r>
      <w:r>
        <w:rPr>
          <w:rStyle w:val="FootnoteReference"/>
        </w:rPr>
        <w:footnoteReference w:id="2130"/>
      </w:r>
      <w:r>
        <w:rPr>
          <w:rFonts w:ascii="IRNazanin" w:hAnsi="IRNazanin" w:eastAsia="IRNazanin" w:cs="IRNazanin"/>
          <w:lang w:bidi="fa-IR"/>
          <w:color w:val="111111"/>
          <w:sz w:val="28"/>
          <w:szCs w:val="28"/>
          <w:rtl/>
        </w:rPr>
        <w:t xml:space="preserve">،و بعض الأخبار المعلّلة لحرمة الصید الذی ارسل إلیه کلاب و لم یعلم أنّه مات بأخذ المعلّم </w:t>
      </w:r>
      <w:r>
        <w:rPr>
          <w:rStyle w:val="FootnoteReference"/>
        </w:rPr>
        <w:footnoteReference w:id="2131"/>
      </w:r>
      <w:r>
        <w:rPr>
          <w:rFonts w:ascii="IRNazanin" w:hAnsi="IRNazanin" w:eastAsia="IRNazanin" w:cs="IRNazanin"/>
          <w:lang w:bidi="fa-IR"/>
          <w:color w:val="111111"/>
          <w:sz w:val="28"/>
          <w:szCs w:val="28"/>
          <w:rtl/>
        </w:rPr>
        <w:t xml:space="preserve">،بالشکّ فی استناد موته إلی المعلّم </w:t>
      </w:r>
      <w:r>
        <w:rPr>
          <w:rStyle w:val="FootnoteReference"/>
        </w:rPr>
        <w:footnoteReference w:id="2132"/>
      </w:r>
      <w:r>
        <w:rPr>
          <w:rFonts w:ascii="IRNazanin" w:hAnsi="IRNazanin" w:eastAsia="IRNazanin" w:cs="IRNazanin"/>
          <w:lang w:bidi="fa-IR"/>
          <w:color w:val="111111"/>
          <w:sz w:val="28"/>
          <w:szCs w:val="28"/>
          <w:rtl/>
        </w:rPr>
        <w:t xml:space="preserve">،إلی غیر ذلک ممّا اشترط فیه العلم باستناد القتل إلی الرمی،و النهی عن الأکل مع الشکّ.</w:t>
      </w:r>
    </w:p>
    <w:p>
      <w:pPr>
        <w:pStyle w:val="BookText"/>
      </w:pPr>
      <w:r>
        <w:rPr>
          <w:rFonts w:ascii="IRNazanin" w:hAnsi="IRNazanin" w:eastAsia="IRNazanin" w:cs="IRNazanin"/>
          <w:lang w:bidi="fa-IR"/>
          <w:color w:val="111111"/>
          <w:sz w:val="28"/>
          <w:szCs w:val="28"/>
          <w:rtl/>
        </w:rPr>
        <w:t xml:space="preserve">و لا ینافی ذلک ما دلّ </w:t>
      </w:r>
      <w:r>
        <w:rPr>
          <w:rStyle w:val="FootnoteReference"/>
        </w:rPr>
        <w:footnoteReference w:id="2133"/>
      </w:r>
      <w:r>
        <w:rPr>
          <w:rFonts w:ascii="IRNazanin" w:hAnsi="IRNazanin" w:eastAsia="IRNazanin" w:cs="IRNazanin"/>
          <w:lang w:bidi="fa-IR"/>
          <w:color w:val="111111"/>
          <w:sz w:val="28"/>
          <w:szCs w:val="28"/>
          <w:rtl/>
        </w:rPr>
        <w:t xml:space="preserve">علی کون حکم النجاسة مرتّبا علی موضوع«المیتة» </w:t>
      </w:r>
      <w:r>
        <w:rPr>
          <w:rStyle w:val="FootnoteReference"/>
        </w:rPr>
        <w:footnoteReference w:id="2134"/>
      </w:r>
      <w:r>
        <w:rPr>
          <w:rFonts w:ascii="IRNazanin" w:hAnsi="IRNazanin" w:eastAsia="IRNazanin" w:cs="IRNazanin"/>
          <w:lang w:bidi="fa-IR"/>
          <w:color w:val="111111"/>
          <w:sz w:val="28"/>
          <w:szCs w:val="28"/>
          <w:rtl/>
        </w:rPr>
        <w:t xml:space="preserve">بمقتضی أدلّة نجاسة المیتة </w:t>
      </w:r>
      <w:r>
        <w:rPr>
          <w:rStyle w:val="FootnoteReference"/>
        </w:rPr>
        <w:footnoteReference w:id="2135"/>
      </w:r>
      <w:r>
        <w:rPr>
          <w:rFonts w:ascii="IRNazanin" w:hAnsi="IRNazanin" w:eastAsia="IRNazanin" w:cs="IRNazanin"/>
          <w:lang w:bidi="fa-IR"/>
          <w:color w:val="111111"/>
          <w:sz w:val="28"/>
          <w:szCs w:val="28"/>
          <w:rtl/>
        </w:rPr>
        <w:t xml:space="preserve">لأنّ«المیتة»عبارة عن</w:t>
      </w:r>
    </w:p>
    <w:p>
      <w:pPr>
        <w:pStyle w:val="BookText"/>
      </w:pPr>
      <w:r>
        <w:rPr>
          <w:rFonts w:ascii="IRNazanin" w:hAnsi="IRNazanin" w:eastAsia="IRNazanin" w:cs="IRNazanin"/>
          <w:lang w:bidi="fa-IR"/>
          <w:color w:val="111111"/>
          <w:sz w:val="28"/>
          <w:szCs w:val="28"/>
          <w:rtl/>
        </w:rPr>
        <w:t xml:space="preserve">[شماره صفحه واقعی : 198]
</w:t>
      </w:r>
    </w:p>
    <w:p>
      <w:pPr>
        <w:sectPr>
          <w:footerReference w:type="default" r:id="rId7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کلّ ما لم یذکّ؛لأنّ التذکیة أمر شرعیّ توقیفیّ،فما عدا المذکّی میتة </w:t>
      </w:r>
      <w:r>
        <w:rPr>
          <w:rStyle w:val="FootnoteReference"/>
        </w:rPr>
        <w:footnoteReference w:id="21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الحاصل:أنّ التذکیة سبب للحلّ و الطهارة،فکلّما شکّ فیه أو فی مدخلیّة شیء فیه،فأصالة عدم تحقّق السبب الشرعیّ حاکمة علی أصالة الحلّ و الطهارة.</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ثمّ إنّ الموضوع للحلّ و الطهارة و مقابلیهما هو اللحم أو المأکول، فمجرّد تحقّق عدم التذکیة فی اللحم یکفی فی الحرمة و النجاسة.</w:t>
      </w:r>
    </w:p>
    <w:p>
      <w:pPr>
        <w:pStyle w:val="BookText"/>
      </w:pPr>
      <w:r>
        <w:rPr>
          <w:rFonts w:ascii="IRNazanin" w:hAnsi="IRNazanin" w:eastAsia="IRNazanin" w:cs="IRNazanin"/>
          <w:lang w:bidi="fa-IR"/>
          <w:color w:val="111111"/>
          <w:sz w:val="28"/>
          <w:szCs w:val="28"/>
          <w:rtl/>
        </w:rPr>
        <w:t xml:space="preserve">لکنّ الإنصاف:أنّه لو علّق حکم النجاسة علی ما مات حتف الأنف-لکون المیتة عبارة عن هذا المعنی،کما یراه بعض </w:t>
      </w:r>
      <w:r>
        <w:rPr>
          <w:rStyle w:val="FootnoteReference"/>
        </w:rPr>
        <w:footnoteReference w:id="2137"/>
      </w:r>
      <w:r>
        <w:rPr>
          <w:rFonts w:ascii="IRNazanin" w:hAnsi="IRNazanin" w:eastAsia="IRNazanin" w:cs="IRNazanin"/>
          <w:lang w:bidi="fa-IR"/>
          <w:color w:val="111111"/>
          <w:sz w:val="28"/>
          <w:szCs w:val="28"/>
          <w:rtl/>
        </w:rPr>
        <w:t xml:space="preserve">-أشکل إثبات </w:t>
      </w:r>
      <w:r>
        <w:rPr>
          <w:rStyle w:val="FootnoteReference"/>
        </w:rPr>
        <w:footnoteReference w:id="2138"/>
      </w:r>
      <w:r>
        <w:rPr>
          <w:rFonts w:ascii="IRNazanin" w:hAnsi="IRNazanin" w:eastAsia="IRNazanin" w:cs="IRNazanin"/>
          <w:lang w:bidi="fa-IR"/>
          <w:color w:val="111111"/>
          <w:sz w:val="28"/>
          <w:szCs w:val="28"/>
          <w:rtl/>
        </w:rPr>
        <w:t xml:space="preserve">الموضوع بمجرّد أصالة عدم التذکیة الثابتة </w:t>
      </w:r>
      <w:r>
        <w:rPr>
          <w:rStyle w:val="FootnoteReference"/>
        </w:rPr>
        <w:footnoteReference w:id="2139"/>
      </w:r>
      <w:r>
        <w:rPr>
          <w:rFonts w:ascii="IRNazanin" w:hAnsi="IRNazanin" w:eastAsia="IRNazanin" w:cs="IRNazanin"/>
          <w:lang w:bidi="fa-IR"/>
          <w:color w:val="111111"/>
          <w:sz w:val="28"/>
          <w:szCs w:val="28"/>
          <w:rtl/>
        </w:rPr>
        <w:t xml:space="preserve">حال الحیاة؛لأنّ عدم التذکیة السابق حال الحیاة،المستصحب إلی </w:t>
      </w:r>
      <w:r>
        <w:rPr>
          <w:rStyle w:val="FootnoteReference"/>
        </w:rPr>
        <w:footnoteReference w:id="2140"/>
      </w:r>
      <w:r>
        <w:rPr>
          <w:rFonts w:ascii="IRNazanin" w:hAnsi="IRNazanin" w:eastAsia="IRNazanin" w:cs="IRNazanin"/>
          <w:lang w:bidi="fa-IR"/>
          <w:color w:val="111111"/>
          <w:sz w:val="28"/>
          <w:szCs w:val="28"/>
          <w:rtl/>
        </w:rPr>
        <w:t xml:space="preserve">زمان خروج الروح لا یثبت کون الخروج حتف الأنف،فیبقی أصالة عدم حدوث سبب نجاسة اللحم-و هو الموت حتف الأنف-سلیمة عن المعارض،و إن لم یثبت به التذکیة،کما زعمه السیّد الشارح للوافیة،فذکر:أنّ أصالة عدم التذکیة تثبت الموت حتف الأنف،و أصالة عدم الموت </w:t>
      </w:r>
      <w:r>
        <w:rPr>
          <w:rStyle w:val="FootnoteReference"/>
        </w:rPr>
        <w:footnoteReference w:id="2141"/>
      </w:r>
      <w:r>
        <w:rPr>
          <w:rFonts w:ascii="IRNazanin" w:hAnsi="IRNazanin" w:eastAsia="IRNazanin" w:cs="IRNazanin"/>
          <w:lang w:bidi="fa-IR"/>
          <w:color w:val="111111"/>
          <w:sz w:val="28"/>
          <w:szCs w:val="28"/>
          <w:rtl/>
        </w:rPr>
        <w:t xml:space="preserve">حتف الأنف تثبت التذکیة </w:t>
      </w:r>
      <w:r>
        <w:rPr>
          <w:rStyle w:val="FootnoteReference"/>
        </w:rPr>
        <w:footnoteReference w:id="21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199]
</w:t>
      </w:r>
    </w:p>
    <w:p>
      <w:pPr>
        <w:sectPr>
          <w:footerReference w:type="default" r:id="rId7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فیکون وجه الحاجة إلی إحراز التذکیة-مع أنّ الإباحة و الطهارة لا تتوقّفان علیه،بل یکفی استصحابهما-أنّ استصحاب عدم التذکیة حاکم علی استصحابهما،فلو لا ثبوت التذکیة بأصالة عدم الموت حتف الأنف لم یکن مستند للإباحة و الطهارة.</w:t>
      </w:r>
    </w:p>
    <w:p>
      <w:pPr>
        <w:pStyle w:val="BookText"/>
      </w:pPr>
      <w:r>
        <w:rPr>
          <w:rFonts w:ascii="IRNazanin" w:hAnsi="IRNazanin" w:eastAsia="IRNazanin" w:cs="IRNazanin"/>
          <w:lang w:bidi="fa-IR"/>
          <w:color w:val="111111"/>
          <w:sz w:val="28"/>
          <w:szCs w:val="28"/>
          <w:rtl/>
        </w:rPr>
        <w:t xml:space="preserve">و کأنّ السیّد قدّس سرّه ذکر هذا؛لزعمه أنّ مبنی تمسّک المشهور علی إثبات الموت حتف الأنف بأصالة عدم التذکیة،فیستقیم حینئذ معارضتهم بما ذکره السیّد قدّس سرّه،فیرجع بعد التعارض إلی قاعدتی«الحلّ» و«الطهارة»و استصحابهما.</w:t>
      </w:r>
    </w:p>
    <w:p>
      <w:pPr>
        <w:pStyle w:val="BookText"/>
      </w:pPr>
      <w:r>
        <w:rPr>
          <w:rFonts w:ascii="IRNazanin" w:hAnsi="IRNazanin" w:eastAsia="IRNazanin" w:cs="IRNazanin"/>
          <w:lang w:bidi="fa-IR"/>
          <w:color w:val="111111"/>
          <w:sz w:val="28"/>
          <w:szCs w:val="28"/>
          <w:rtl/>
        </w:rPr>
        <w:t xml:space="preserve">لکن هذا کلّه مبنیّ علی ما فرضناه:من تعلّق الحکم علی المیتة، و القول بأنّها ما زهق روحه بحتف الأنف.</w:t>
      </w:r>
    </w:p>
    <w:p>
      <w:pPr>
        <w:pStyle w:val="BookText"/>
      </w:pPr>
      <w:r>
        <w:rPr>
          <w:rFonts w:ascii="IRNazanin" w:hAnsi="IRNazanin" w:eastAsia="IRNazanin" w:cs="IRNazanin"/>
          <w:lang w:bidi="fa-IR"/>
          <w:color w:val="111111"/>
          <w:sz w:val="28"/>
          <w:szCs w:val="28"/>
          <w:rtl/>
        </w:rPr>
        <w:t xml:space="preserve">أمّا إذا قلنا بتعلّق الحکم علی لحم لم یذکّ حیوانه </w:t>
      </w:r>
      <w:r>
        <w:rPr>
          <w:rStyle w:val="FootnoteReference"/>
        </w:rPr>
        <w:footnoteReference w:id="2143"/>
      </w:r>
      <w:r>
        <w:rPr>
          <w:rFonts w:ascii="IRNazanin" w:hAnsi="IRNazanin" w:eastAsia="IRNazanin" w:cs="IRNazanin"/>
          <w:lang w:bidi="fa-IR"/>
          <w:color w:val="111111"/>
          <w:sz w:val="28"/>
          <w:szCs w:val="28"/>
          <w:rtl/>
        </w:rPr>
        <w:t xml:space="preserve">أو لم یذکر اسم اللّه علیه،أو تعلّق الحلّ علی ذبیحة المسلم و </w:t>
      </w:r>
      <w:r>
        <w:rPr>
          <w:rStyle w:val="FootnoteReference"/>
        </w:rPr>
        <w:footnoteReference w:id="2144"/>
      </w:r>
      <w:r>
        <w:rPr>
          <w:rFonts w:ascii="IRNazanin" w:hAnsi="IRNazanin" w:eastAsia="IRNazanin" w:cs="IRNazanin"/>
          <w:lang w:bidi="fa-IR"/>
          <w:color w:val="111111"/>
          <w:sz w:val="28"/>
          <w:szCs w:val="28"/>
          <w:rtl/>
        </w:rPr>
        <w:t xml:space="preserve">ما ذکر اسم اللّه علیه المستلزم لانتفائه بانتفاء أحد الأمرین و لو بحکم الأصل-و لا ینافی ذلک تعلّق الحکم فی بعض الأدلّة الأخر بالمیتة،</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Amiri" w:hAnsi="Amiri" w:eastAsia="Amiri" w:cs="Amiri"/>
          <w:lang w:bidi="ar-SA"/>
          <w:color w:val="111111"/>
          <w:sz w:val="28"/>
          <w:szCs w:val="28"/>
          <w:rtl/>
        </w:rPr>
        <w:t xml:space="preserve">و لا ما علّق فیه الحلّ علی ما لم یکن میتة،کما فی آیة: قُلْ لاٰ أَجِدُ... الآیة </w:t>
      </w:r>
      <w:r>
        <w:rPr>
          <w:rStyle w:val="FootnoteReference"/>
        </w:rPr>
        <w:footnoteReference w:id="2145"/>
      </w:r>
      <w:r>
        <w:rPr>
          <w:rFonts w:ascii="IRNazanin" w:hAnsi="IRNazanin" w:eastAsia="IRNazanin" w:cs="IRNazanin"/>
          <w:lang w:bidi="fa-IR"/>
          <w:color w:val="111111"/>
          <w:sz w:val="28"/>
          <w:szCs w:val="28"/>
          <w:rtl/>
        </w:rPr>
        <w:t xml:space="preserve">-،أو قلنا:</w:t>
      </w:r>
    </w:p>
    <w:p>
      <w:pPr>
        <w:pStyle w:val="BookText"/>
      </w:pPr>
      <w:r>
        <w:rPr>
          <w:rFonts w:ascii="IRNazanin" w:hAnsi="IRNazanin" w:eastAsia="IRNazanin" w:cs="IRNazanin"/>
          <w:lang w:bidi="fa-IR"/>
          <w:color w:val="111111"/>
          <w:sz w:val="28"/>
          <w:szCs w:val="28"/>
          <w:rtl/>
        </w:rPr>
        <w:t xml:space="preserve">إنّ المیتة هی ما زهق روحه مطلقا،خرج منه ما ذکّی،فإذا شکّ فی عنوان المخرج فالأصل عدمه،فلا محیص عن قول المشهور.</w:t>
      </w:r>
    </w:p>
    <w:p>
      <w:pPr>
        <w:pStyle w:val="BookText"/>
      </w:pPr>
      <w:r>
        <w:rPr>
          <w:rFonts w:ascii="IRNazanin" w:hAnsi="IRNazanin" w:eastAsia="IRNazanin" w:cs="IRNazanin"/>
          <w:lang w:bidi="fa-IR"/>
          <w:color w:val="111111"/>
          <w:sz w:val="28"/>
          <w:szCs w:val="28"/>
          <w:rtl/>
        </w:rPr>
        <w:t xml:space="preserve">ثمّ إنّ ما ذکره الفاضل التونیّ-من عدم جواز إثبات عمرو</w:t>
      </w:r>
    </w:p>
    <w:p>
      <w:pPr>
        <w:pStyle w:val="BookText"/>
      </w:pPr>
      <w:r>
        <w:rPr>
          <w:rFonts w:ascii="IRNazanin" w:hAnsi="IRNazanin" w:eastAsia="IRNazanin" w:cs="IRNazanin"/>
          <w:lang w:bidi="fa-IR"/>
          <w:color w:val="111111"/>
          <w:sz w:val="28"/>
          <w:szCs w:val="28"/>
          <w:rtl/>
        </w:rPr>
        <w:t xml:space="preserve">[شماره صفحه واقعی : 200]
</w:t>
      </w:r>
    </w:p>
    <w:p>
      <w:pPr>
        <w:sectPr>
          <w:footerReference w:type="default" r:id="rId712"/>
          <w:footnotePr>
            <w:numStart w:val="1"/>
            <w:numRestart w:val="eachPage"/>
          </w:footnotePr>
          <w:pgSz w:orient="portrait" w:w="11905.511811023622" w:h="16837.79527559055"/>
          <w:pgMar w:top="1440" w:right="1440" w:bottom="1440" w:left="1440" w:header="720" w:footer="720" w:gutter="0"/>
          <w:cols w:num="1" w:space="720"/>
        </w:sectPr>
      </w:pPr>
    </w:p>
    <w:bookmarkStart w:id="436" w:name="pg14411_143094"/>
    <w:bookmarkEnd w:id="436"/>
    <w:p>
      <w:pPr>
        <w:pStyle w:val="BookText"/>
      </w:pPr>
      <w:r>
        <w:rPr>
          <w:rFonts w:ascii="IRNazanin" w:hAnsi="IRNazanin" w:eastAsia="IRNazanin" w:cs="IRNazanin"/>
          <w:lang w:bidi="fa-IR"/>
          <w:color w:val="111111"/>
          <w:sz w:val="28"/>
          <w:szCs w:val="28"/>
          <w:rtl/>
        </w:rPr>
        <w:t xml:space="preserve">باستصحاب الضاحک المحقّق فی ضمن زید-صحیح،و قد عرفت أنّ عدم جواز استصحاب نفس الکلّی-و إن لم یثبت به </w:t>
      </w:r>
      <w:r>
        <w:rPr>
          <w:rStyle w:val="FootnoteReference"/>
        </w:rPr>
        <w:footnoteReference w:id="2146"/>
      </w:r>
      <w:r>
        <w:rPr>
          <w:rFonts w:ascii="Amiri" w:hAnsi="Amiri" w:eastAsia="Amiri" w:cs="Amiri"/>
          <w:lang w:bidi="ar-SA"/>
          <w:color w:val="111111"/>
          <w:sz w:val="28"/>
          <w:szCs w:val="28"/>
          <w:rtl/>
        </w:rPr>
        <w:t xml:space="preserve">خصوصیّة </w:t>
      </w:r>
      <w:r>
        <w:rPr>
          <w:rStyle w:val="FootnoteReference"/>
        </w:rPr>
        <w:footnoteReference w:id="2147"/>
      </w:r>
      <w:r>
        <w:rPr>
          <w:rFonts w:ascii="IRNazanin" w:hAnsi="IRNazanin" w:eastAsia="IRNazanin" w:cs="IRNazanin"/>
          <w:lang w:bidi="fa-IR"/>
          <w:color w:val="111111"/>
          <w:sz w:val="28"/>
          <w:szCs w:val="28"/>
          <w:rtl/>
        </w:rPr>
        <w:t xml:space="preserve">- لا یخلو عن وجه،و إن کان الحقّ فیه التفصیل،کما عرفت </w:t>
      </w:r>
      <w:r>
        <w:rPr>
          <w:rStyle w:val="FootnoteReference"/>
        </w:rPr>
        <w:footnoteReference w:id="2148"/>
      </w:r>
      <w:r>
        <w:rPr>
          <w:rFonts w:ascii="Times New Roman" w:hAnsi="Times New Roman" w:eastAsia="Times New Roman" w:cs="Times New Roman"/>
          <w:lang w:val="en-US" w:bidi="en-US"/>
          <w:color w:val="111111"/>
          <w:sz w:val="28"/>
          <w:szCs w:val="28"/>
          <w:rtl/>
        </w:rPr>
        <w:t xml:space="preserve">.</w:t>
      </w:r>
    </w:p>
    <w:p>
      <w:pPr>
        <w:pStyle w:val="Heading6"/>
      </w:pPr>
      <w:bookmarkStart w:id="1892" w:name="_Toc927"/>
      <w:r>
        <w:t>[المناقشة فی ما مثل به الفاضل التونی لما نحن فیه:]</w:t>
      </w:r>
      <w:bookmarkEnd w:id="1892"/>
    </w:p>
    <w:p>
      <w:pPr>
        <w:pStyle w:val="BookText"/>
      </w:pPr>
      <w:r>
        <w:rPr>
          <w:rFonts w:ascii="IRNazanin" w:hAnsi="IRNazanin" w:eastAsia="IRNazanin" w:cs="IRNazanin"/>
          <w:lang w:bidi="fa-IR"/>
          <w:color w:val="111111"/>
          <w:sz w:val="28"/>
          <w:szCs w:val="28"/>
          <w:rtl/>
        </w:rPr>
        <w:t xml:space="preserve">إلاّ أنّ کون عدم المذبوحیّة من قبیل الضاحک محلّ نظر؛من حیث إنّ العدم الأزلیّ مستمرّ مع حیاة الحیوان و موته حتف الأنف، فلا مانع من استصحابه و ترتیب أحکامه علیه عند الشکّ،و إن قطع بتبادل الوجودات المقارنة له،بل لو قلنا بعدم جریان الاستصحاب فی القسمین الأوّلین من الکلّیّ کان الاستصحاب فی الأمر العدمیّ المقارن للوجودات خالیا عن الإشکال إذا لم یرد به إثبات الموجود المتأخّر المقارن له-نظیر إثبات الموت حتف الأنف بعدم التذکیة-أو ارتباط الموجود المقارن له به،کما إذا فرض الدلیل علی أنّ کلّ ما تقذفه المرأة من الدم إذا لم یکن حیضا فهو استحاضة،فإنّ استصحاب عدم الحیض فی زمان خروج الدم المشکوک لا یوجب انطباق هذا السلب علی ذلک الدم و صدقه علیه،حتّی یصدق«لیس بحیض»علی هذا الدم،فیحکم علیه بالاستحاضة؛إذ فرق بین الدم المقارن لعدم الحیض و بین الدم المنفیّ عنه الحیضیّة.</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 سیجیء </w:t>
      </w:r>
      <w:r>
        <w:rPr>
          <w:rStyle w:val="FootnoteReference"/>
        </w:rPr>
        <w:footnoteReference w:id="2149"/>
      </w:r>
      <w:r>
        <w:rPr>
          <w:rFonts w:ascii="IRNazanin" w:hAnsi="IRNazanin" w:eastAsia="IRNazanin" w:cs="IRNazanin"/>
          <w:lang w:bidi="fa-IR"/>
          <w:color w:val="111111"/>
          <w:sz w:val="28"/>
          <w:szCs w:val="28"/>
          <w:rtl/>
        </w:rPr>
        <w:t xml:space="preserve">نظیر هذا الاستصحاب الوجودیّ و العدمیّ فی الفرق</w:t>
      </w:r>
    </w:p>
    <w:p>
      <w:pPr>
        <w:pStyle w:val="BookText"/>
      </w:pPr>
      <w:r>
        <w:rPr>
          <w:rFonts w:ascii="IRNazanin" w:hAnsi="IRNazanin" w:eastAsia="IRNazanin" w:cs="IRNazanin"/>
          <w:lang w:bidi="fa-IR"/>
          <w:color w:val="111111"/>
          <w:sz w:val="28"/>
          <w:szCs w:val="28"/>
          <w:rtl/>
        </w:rPr>
        <w:t xml:space="preserve">[شماره صفحه واقعی : 201]
</w:t>
      </w:r>
    </w:p>
    <w:p>
      <w:pPr>
        <w:sectPr>
          <w:footerReference w:type="default" r:id="rId7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بین الماء المقارن لوجود الکرّ و بین الماء </w:t>
      </w:r>
      <w:r>
        <w:rPr>
          <w:rStyle w:val="FootnoteReference"/>
        </w:rPr>
        <w:footnoteReference w:id="2150"/>
      </w:r>
      <w:r>
        <w:rPr>
          <w:rFonts w:ascii="Amiri" w:hAnsi="Amiri" w:eastAsia="Amiri" w:cs="Amiri"/>
          <w:lang w:bidi="ar-SA"/>
          <w:color w:val="111111"/>
          <w:sz w:val="28"/>
          <w:szCs w:val="28"/>
          <w:rtl/>
        </w:rPr>
        <w:t xml:space="preserve">المتّصف بالکرّیّة.</w:t>
      </w:r>
    </w:p>
    <w:p>
      <w:pPr>
        <w:pStyle w:val="BookText"/>
      </w:pPr>
      <w:r>
        <w:rPr>
          <w:rFonts w:ascii="IRNazanin" w:hAnsi="IRNazanin" w:eastAsia="IRNazanin" w:cs="IRNazanin"/>
          <w:lang w:bidi="fa-IR"/>
          <w:color w:val="111111"/>
          <w:sz w:val="28"/>
          <w:szCs w:val="28"/>
          <w:rtl/>
        </w:rPr>
        <w:t xml:space="preserve">و المعیار:عدم الخلط بین المتّصف بوصف عنوانی و بین قیام ذلک الوصف بمحلّ؛فإنّ استصحاب وجود المتّصف أو عدمه لا یثبت کون المحلّ موردا لذلک </w:t>
      </w:r>
      <w:r>
        <w:rPr>
          <w:rStyle w:val="FootnoteReference"/>
        </w:rPr>
        <w:footnoteReference w:id="2151"/>
      </w:r>
      <w:r>
        <w:rPr>
          <w:rFonts w:ascii="IRNazanin" w:hAnsi="IRNazanin" w:eastAsia="IRNazanin" w:cs="IRNazanin"/>
          <w:lang w:bidi="fa-IR"/>
          <w:color w:val="111111"/>
          <w:sz w:val="28"/>
          <w:szCs w:val="28"/>
          <w:rtl/>
        </w:rPr>
        <w:t xml:space="preserve">الوصف العنوانیّ،فافهم.</w:t>
      </w:r>
    </w:p>
    <w:p>
      <w:pPr>
        <w:pStyle w:val="BookText"/>
      </w:pPr>
      <w:r>
        <w:rPr>
          <w:rFonts w:ascii="IRNazanin" w:hAnsi="IRNazanin" w:eastAsia="IRNazanin" w:cs="IRNazanin"/>
          <w:lang w:bidi="fa-IR"/>
          <w:color w:val="111111"/>
          <w:sz w:val="28"/>
          <w:szCs w:val="28"/>
          <w:rtl/>
        </w:rPr>
        <w:t xml:space="preserve">[شماره صفحه واقعی : 202]
</w:t>
      </w:r>
    </w:p>
    <w:p>
      <w:pPr>
        <w:sectPr>
          <w:footerReference w:type="default" r:id="rId714"/>
          <w:footnotePr>
            <w:numStart w:val="1"/>
            <w:numRestart w:val="eachPage"/>
          </w:footnotePr>
          <w:pgSz w:orient="portrait" w:w="11905.511811023622" w:h="16837.79527559055"/>
          <w:pgMar w:top="1440" w:right="1440" w:bottom="1440" w:left="1440" w:header="720" w:footer="720" w:gutter="0"/>
          <w:cols w:num="1" w:space="720"/>
        </w:sectPr>
      </w:pPr>
    </w:p>
    <w:bookmarkStart w:id="437" w:name="pg14411_143096"/>
    <w:bookmarkEnd w:id="437"/>
    <w:p>
      <w:pPr>
        <w:pStyle w:val="Heading6"/>
      </w:pPr>
      <w:bookmarkStart w:id="1893" w:name="_Toc928"/>
      <w:r>
        <w:t>الأمر الثانی [:هل یجری الاستصحاب فی الزمان و الزمانیّات؟]</w:t>
      </w:r>
      <w:bookmarkEnd w:id="1893"/>
    </w:p>
    <w:p>
      <w:pPr>
        <w:pStyle w:val="Heading6"/>
      </w:pPr>
      <w:bookmarkStart w:id="1894" w:name="_Toc929"/>
      <w:r>
        <w:t>اشارة</w:t>
      </w:r>
      <w:bookmarkEnd w:id="1894"/>
    </w:p>
    <w:p>
      <w:pPr>
        <w:pStyle w:val="BookText"/>
      </w:pPr>
      <w:r>
        <w:rPr>
          <w:rFonts w:ascii="IRNazanin" w:hAnsi="IRNazanin" w:eastAsia="IRNazanin" w:cs="IRNazanin"/>
          <w:lang w:bidi="fa-IR"/>
          <w:color w:val="111111"/>
          <w:sz w:val="28"/>
          <w:szCs w:val="28"/>
          <w:rtl/>
        </w:rPr>
        <w:t xml:space="preserve">أنّه قد علم من تعریف الاستصحاب و أدلّته أنّ مورده الشکّ فی البقاء،و هو وجود ما کان موجودا فی الزمان السابق.و یترتّب علیه عدم جریان الاستصحاب فی نفس الزمان،و لا فی الزمانیّ الذی لا استقرار لوجوده بل یتجدّد شیئا فشیئا علی التدریج،و کذا فی المستقرّ الذی یؤخذ قیدا له.إلاّ أنّه یظهر من کلمات جماعة </w:t>
      </w:r>
      <w:r>
        <w:rPr>
          <w:rStyle w:val="FootnoteReference"/>
        </w:rPr>
        <w:footnoteReference w:id="2152"/>
      </w:r>
      <w:r>
        <w:rPr>
          <w:rFonts w:ascii="IRNazanin" w:hAnsi="IRNazanin" w:eastAsia="IRNazanin" w:cs="IRNazanin"/>
          <w:lang w:bidi="fa-IR"/>
          <w:color w:val="111111"/>
          <w:sz w:val="28"/>
          <w:szCs w:val="28"/>
          <w:rtl/>
        </w:rPr>
        <w:t xml:space="preserve">جریان الاستصحاب فی الزمان،فیجری فی القسمین الأخیرین بطریق أولی،بل تقدّم من بعض الأخباریین:أنّ استصحاب اللیل و النهار من الضروریّات </w:t>
      </w:r>
      <w:r>
        <w:rPr>
          <w:rStyle w:val="FootnoteReference"/>
        </w:rPr>
        <w:footnoteReference w:id="2153"/>
      </w:r>
      <w:r>
        <w:rPr>
          <w:rFonts w:ascii="Times New Roman" w:hAnsi="Times New Roman" w:eastAsia="Times New Roman" w:cs="Times New Roman"/>
          <w:lang w:val="en-US" w:bidi="en-US"/>
          <w:color w:val="111111"/>
          <w:sz w:val="28"/>
          <w:szCs w:val="28"/>
          <w:rtl/>
        </w:rPr>
        <w:t xml:space="preserve">.</w:t>
      </w:r>
    </w:p>
    <w:p>
      <w:pPr>
        <w:pStyle w:val="Heading6"/>
      </w:pPr>
      <w:bookmarkStart w:id="1895" w:name="_Toc930"/>
      <w:r>
        <w:t>[الأقسام ثلاثة:]</w:t>
      </w:r>
      <w:bookmarkEnd w:id="1895"/>
    </w:p>
    <w:p>
      <w:pPr>
        <w:pStyle w:val="Heading6"/>
      </w:pPr>
      <w:bookmarkStart w:id="1896" w:name="_Toc931"/>
      <w:r>
        <w:t>اشارة</w:t>
      </w:r>
      <w:bookmarkEnd w:id="1896"/>
    </w:p>
    <w:p>
      <w:pPr>
        <w:pStyle w:val="BookText"/>
      </w:pPr>
      <w:r>
        <w:rPr>
          <w:rFonts w:ascii="IRNazanin" w:hAnsi="IRNazanin" w:eastAsia="IRNazanin" w:cs="IRNazanin"/>
          <w:lang w:bidi="fa-IR"/>
          <w:color w:val="111111"/>
          <w:sz w:val="28"/>
          <w:szCs w:val="28"/>
          <w:rtl/>
        </w:rPr>
        <w:t xml:space="preserve">و التحقیق:أنّ هنا أقساما ثلاثة:</w:t>
      </w:r>
    </w:p>
    <w:p>
      <w:pPr>
        <w:pStyle w:val="Heading6"/>
      </w:pPr>
      <w:bookmarkStart w:id="1897" w:name="_Toc932"/>
      <w:r>
        <w:t>[1-استصحاب نفس الزمان:]</w:t>
      </w:r>
      <w:bookmarkEnd w:id="1897"/>
    </w:p>
    <w:p>
      <w:pPr>
        <w:pStyle w:val="BookText"/>
      </w:pPr>
      <w:r>
        <w:rPr>
          <w:rFonts w:ascii="IRNazanin" w:hAnsi="IRNazanin" w:eastAsia="IRNazanin" w:cs="IRNazanin"/>
          <w:lang w:bidi="fa-IR"/>
          <w:color w:val="111111"/>
          <w:sz w:val="28"/>
          <w:szCs w:val="28"/>
          <w:rtl/>
        </w:rPr>
        <w:t xml:space="preserve">أمّا نفس الزمان،فلا إشکال فی عدم جریان الاستصحاب فیه لتشخیص کون الجزء المشکوک فیه من أجزاء اللیل أو النهار؛لأنّ نفس الجزء لم یتحقّق فی السابق،فضلا عن وصف کونه نهارا أو لیلا.</w:t>
      </w:r>
    </w:p>
    <w:p>
      <w:pPr>
        <w:pStyle w:val="BookText"/>
      </w:pPr>
      <w:r>
        <w:rPr>
          <w:rFonts w:ascii="IRNazanin" w:hAnsi="IRNazanin" w:eastAsia="IRNazanin" w:cs="IRNazanin"/>
          <w:lang w:bidi="fa-IR"/>
          <w:color w:val="111111"/>
          <w:sz w:val="28"/>
          <w:szCs w:val="28"/>
          <w:rtl/>
        </w:rPr>
        <w:t xml:space="preserve">[شماره صفحه واقعی : 203]
</w:t>
      </w:r>
    </w:p>
    <w:p>
      <w:pPr>
        <w:sectPr>
          <w:footerReference w:type="default" r:id="rId7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نعم لو اخذ المستصحب مجموع اللیل أو النهار،و لوحظ کونه أمرا خارجیّا واحدا،و جعل بقاؤه و ارتفاعه عبارة عن عدم تحقّق جزئه الأخیر و تحقّقه </w:t>
      </w:r>
      <w:r>
        <w:rPr>
          <w:rStyle w:val="FootnoteReference"/>
        </w:rPr>
        <w:footnoteReference w:id="2154"/>
      </w:r>
      <w:r>
        <w:rPr>
          <w:rFonts w:ascii="IRNazanin" w:hAnsi="IRNazanin" w:eastAsia="IRNazanin" w:cs="IRNazanin"/>
          <w:lang w:bidi="fa-IR"/>
          <w:color w:val="111111"/>
          <w:sz w:val="28"/>
          <w:szCs w:val="28"/>
          <w:rtl/>
        </w:rPr>
        <w:t xml:space="preserve">أو عن عدم تجدّد جزء مقابله و تجدّده،أمکن القول بالاستصحاب بهذا المعنی فیه أیضا </w:t>
      </w:r>
      <w:r>
        <w:rPr>
          <w:rStyle w:val="FootnoteReference"/>
        </w:rPr>
        <w:footnoteReference w:id="2155"/>
      </w:r>
      <w:r>
        <w:rPr>
          <w:rFonts w:ascii="IRNazanin" w:hAnsi="IRNazanin" w:eastAsia="IRNazanin" w:cs="IRNazanin"/>
          <w:lang w:bidi="fa-IR"/>
          <w:color w:val="111111"/>
          <w:sz w:val="28"/>
          <w:szCs w:val="28"/>
          <w:rtl/>
        </w:rPr>
        <w:t xml:space="preserve">لأنّ بقاء کلّ شیء فی العرف بحسب ما یتصوّره </w:t>
      </w:r>
      <w:r>
        <w:rPr>
          <w:rStyle w:val="FootnoteReference"/>
        </w:rPr>
        <w:footnoteReference w:id="2156"/>
      </w:r>
      <w:r>
        <w:rPr>
          <w:rFonts w:ascii="IRNazanin" w:hAnsi="IRNazanin" w:eastAsia="IRNazanin" w:cs="IRNazanin"/>
          <w:lang w:bidi="fa-IR"/>
          <w:color w:val="111111"/>
          <w:sz w:val="28"/>
          <w:szCs w:val="28"/>
          <w:rtl/>
        </w:rPr>
        <w:t xml:space="preserve">العرف له </w:t>
      </w:r>
      <w:r>
        <w:rPr>
          <w:rStyle w:val="FootnoteReference"/>
        </w:rPr>
        <w:footnoteReference w:id="2157"/>
      </w:r>
      <w:r>
        <w:rPr>
          <w:rFonts w:ascii="IRNazanin" w:hAnsi="IRNazanin" w:eastAsia="IRNazanin" w:cs="IRNazanin"/>
          <w:lang w:bidi="fa-IR"/>
          <w:color w:val="111111"/>
          <w:sz w:val="28"/>
          <w:szCs w:val="28"/>
          <w:rtl/>
        </w:rPr>
        <w:t xml:space="preserve">من الوجود،فیصدق أنّ الشخص کان علی یقین من وجود اللیل فشکّ فیه،فالعبرة بالشکّ فی وجوده و العلم بتحقّقه قبل زمان الشکّ و إن کان تحقّقه بنفس تحقّق زمان الشکّ.و إنّما وقع التعبیر بالبقاء فی تعریف الاستصحاب بملاحظة هذا المعنی فی الزمانیّات،حیث جعلوا الکلام فی استصحاب الحال،أو لتعمیم </w:t>
      </w:r>
      <w:r>
        <w:rPr>
          <w:rStyle w:val="FootnoteReference"/>
        </w:rPr>
        <w:footnoteReference w:id="2158"/>
      </w:r>
      <w:r>
        <w:rPr>
          <w:rFonts w:ascii="Amiri" w:hAnsi="Amiri" w:eastAsia="Amiri" w:cs="Amiri"/>
          <w:lang w:bidi="ar-SA"/>
          <w:color w:val="111111"/>
          <w:sz w:val="28"/>
          <w:szCs w:val="28"/>
          <w:rtl/>
        </w:rPr>
        <w:t xml:space="preserve">البقاء لمثل هذا مسامحة.</w:t>
      </w:r>
    </w:p>
    <w:p>
      <w:pPr>
        <w:pStyle w:val="BookText"/>
      </w:pPr>
      <w:r>
        <w:rPr>
          <w:rFonts w:ascii="IRNazanin" w:hAnsi="IRNazanin" w:eastAsia="IRNazanin" w:cs="IRNazanin"/>
          <w:lang w:bidi="fa-IR"/>
          <w:color w:val="111111"/>
          <w:sz w:val="28"/>
          <w:szCs w:val="28"/>
          <w:rtl/>
        </w:rPr>
        <w:t xml:space="preserve">إلاّ أنّ هذا المعنی-علی تقدیر صحّته و الإغماض عمّا فیه- لا یکاد یجدی فی إثبات کون الجزء المشکوک فیه متّصفا بکونه من النهار أو من اللیل،حتّی یصدق علی الفعل الواقع فیه أنّه واقع فی اللیل أو النهار،إلاّ علی القول بالأصل المثبت مطلقا أو علی بعض الوجوه الآتیة </w:t>
      </w:r>
      <w:r>
        <w:rPr>
          <w:rStyle w:val="FootnoteReference"/>
        </w:rPr>
        <w:footnoteReference w:id="2159"/>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 لو بنینا علی ذلک أغنانا عمّا ذکر من التوجیه </w:t>
      </w:r>
      <w:r>
        <w:rPr>
          <w:rStyle w:val="FootnoteReference"/>
        </w:rPr>
        <w:footnoteReference w:id="2160"/>
      </w:r>
      <w:r>
        <w:rPr>
          <w:rFonts w:ascii="IRNazanin" w:hAnsi="IRNazanin" w:eastAsia="IRNazanin" w:cs="IRNazanin"/>
          <w:lang w:bidi="fa-IR"/>
          <w:color w:val="111111"/>
          <w:sz w:val="28"/>
          <w:szCs w:val="28"/>
          <w:rtl/>
        </w:rPr>
        <w:t xml:space="preserve">استصحابات</w:t>
      </w:r>
    </w:p>
    <w:p>
      <w:pPr>
        <w:pStyle w:val="BookText"/>
      </w:pPr>
      <w:r>
        <w:rPr>
          <w:rFonts w:ascii="IRNazanin" w:hAnsi="IRNazanin" w:eastAsia="IRNazanin" w:cs="IRNazanin"/>
          <w:lang w:bidi="fa-IR"/>
          <w:color w:val="111111"/>
          <w:sz w:val="28"/>
          <w:szCs w:val="28"/>
          <w:rtl/>
        </w:rPr>
        <w:t xml:space="preserve">[شماره صفحه واقعی : 204]
</w:t>
      </w:r>
    </w:p>
    <w:p>
      <w:pPr>
        <w:sectPr>
          <w:footerReference w:type="default" r:id="rId716"/>
          <w:footnotePr>
            <w:numStart w:val="1"/>
            <w:numRestart w:val="eachPage"/>
          </w:footnotePr>
          <w:pgSz w:orient="portrait" w:w="11905.511811023622" w:h="16837.79527559055"/>
          <w:pgMar w:top="1440" w:right="1440" w:bottom="1440" w:left="1440" w:header="720" w:footer="720" w:gutter="0"/>
          <w:cols w:num="1" w:space="720"/>
        </w:sectPr>
      </w:pPr>
    </w:p>
    <w:bookmarkStart w:id="438" w:name="pg14411_143098"/>
    <w:bookmarkEnd w:id="438"/>
    <w:p>
      <w:pPr>
        <w:pStyle w:val="BookText"/>
      </w:pPr>
      <w:r>
        <w:rPr>
          <w:rFonts w:ascii="IRNazanin" w:hAnsi="IRNazanin" w:eastAsia="IRNazanin" w:cs="IRNazanin"/>
          <w:lang w:bidi="fa-IR"/>
          <w:color w:val="111111"/>
          <w:sz w:val="28"/>
          <w:szCs w:val="28"/>
          <w:rtl/>
        </w:rPr>
        <w:t xml:space="preserve">آخر فی </w:t>
      </w:r>
      <w:r>
        <w:rPr>
          <w:rStyle w:val="FootnoteReference"/>
        </w:rPr>
        <w:footnoteReference w:id="2161"/>
      </w:r>
      <w:r>
        <w:rPr>
          <w:rFonts w:ascii="IRNazanin" w:hAnsi="IRNazanin" w:eastAsia="IRNazanin" w:cs="IRNazanin"/>
          <w:lang w:bidi="fa-IR"/>
          <w:color w:val="111111"/>
          <w:sz w:val="28"/>
          <w:szCs w:val="28"/>
          <w:rtl/>
        </w:rPr>
        <w:t xml:space="preserve">امور متلازمة مع الزمان،کطلوع الفجر،و غروب الشمس، و ذهاب الحمرة،و عدم وصول القمر إلی درجة یمکن رؤیته فیها.</w:t>
      </w:r>
    </w:p>
    <w:p>
      <w:pPr>
        <w:pStyle w:val="BookText"/>
      </w:pPr>
      <w:r>
        <w:rPr>
          <w:rFonts w:ascii="IRNazanin" w:hAnsi="IRNazanin" w:eastAsia="IRNazanin" w:cs="IRNazanin"/>
          <w:lang w:bidi="fa-IR"/>
          <w:color w:val="111111"/>
          <w:sz w:val="28"/>
          <w:szCs w:val="28"/>
          <w:rtl/>
        </w:rPr>
        <w:t xml:space="preserve">فالأولی:التمسّک فی هذا المقام باستصحاب الحکم المترتّب علی الزمان </w:t>
      </w:r>
      <w:r>
        <w:rPr>
          <w:rStyle w:val="FootnoteReference"/>
        </w:rPr>
        <w:footnoteReference w:id="2162"/>
      </w:r>
      <w:r>
        <w:rPr>
          <w:rFonts w:ascii="IRNazanin" w:hAnsi="IRNazanin" w:eastAsia="IRNazanin" w:cs="IRNazanin"/>
          <w:lang w:bidi="fa-IR"/>
          <w:color w:val="111111"/>
          <w:sz w:val="28"/>
          <w:szCs w:val="28"/>
          <w:rtl/>
        </w:rPr>
        <w:t xml:space="preserve">لو کان جاریا فیه،کعدم تحقّق حکم الصوم و الإفطار عند الشکّ فی هلال رمضان أو شوّال،و لعلّه المراد بقوله علیه السّلام فی المکاتبة المتقدّمة </w:t>
      </w:r>
      <w:r>
        <w:rPr>
          <w:rStyle w:val="FootnoteReference"/>
        </w:rPr>
        <w:footnoteReference w:id="2163"/>
      </w:r>
      <w:r>
        <w:rPr>
          <w:rFonts w:ascii="IRNazanin" w:hAnsi="IRNazanin" w:eastAsia="IRNazanin" w:cs="IRNazanin"/>
          <w:lang w:bidi="fa-IR"/>
          <w:color w:val="111111"/>
          <w:sz w:val="28"/>
          <w:szCs w:val="28"/>
          <w:rtl/>
        </w:rPr>
        <w:t xml:space="preserve">فی أدلّة الاستصحاب:«الیقین لا یدخله الشّکّ،صم للرّؤیة و أفطر للرّؤیة»،إلاّ أنّ جواز الإفطار </w:t>
      </w:r>
      <w:r>
        <w:rPr>
          <w:rStyle w:val="FootnoteReference"/>
        </w:rPr>
        <w:footnoteReference w:id="2164"/>
      </w:r>
      <w:r>
        <w:rPr>
          <w:rFonts w:ascii="IRNazanin" w:hAnsi="IRNazanin" w:eastAsia="IRNazanin" w:cs="IRNazanin"/>
          <w:lang w:bidi="fa-IR"/>
          <w:color w:val="111111"/>
          <w:sz w:val="28"/>
          <w:szCs w:val="28"/>
          <w:rtl/>
        </w:rPr>
        <w:t xml:space="preserve">للرؤیة لا یتفرّع علی الاستصحاب الحکمیّ،إلاّ بناء علی جریان استصحاب الاشتغال و التکلیف بصوم رمضان،مع أنّ الحقّ فی مثله التمسّک بالبراءة؛لکون صوم کلّ یوم واجبا مستقلا.</w:t>
      </w:r>
    </w:p>
    <w:p>
      <w:pPr>
        <w:pStyle w:val="Heading6"/>
      </w:pPr>
      <w:bookmarkStart w:id="1898" w:name="_Toc933"/>
      <w:r>
        <w:t>[2-استصحاب الامور التدریجیّة غیر القارّة:]</w:t>
      </w:r>
      <w:bookmarkEnd w:id="1898"/>
    </w:p>
    <w:p>
      <w:pPr>
        <w:pStyle w:val="BookText"/>
      </w:pPr>
      <w:r>
        <w:rPr>
          <w:rFonts w:ascii="IRNazanin" w:hAnsi="IRNazanin" w:eastAsia="IRNazanin" w:cs="IRNazanin"/>
          <w:lang w:bidi="fa-IR"/>
          <w:color w:val="111111"/>
          <w:sz w:val="28"/>
          <w:szCs w:val="28"/>
          <w:rtl/>
        </w:rPr>
        <w:t xml:space="preserve">و أمّا القسم الثانی،أعنی:الامور التدریجیّة </w:t>
      </w:r>
      <w:r>
        <w:rPr>
          <w:rStyle w:val="FootnoteReference"/>
        </w:rPr>
        <w:footnoteReference w:id="2165"/>
      </w:r>
      <w:r>
        <w:rPr>
          <w:rFonts w:ascii="IRNazanin" w:hAnsi="IRNazanin" w:eastAsia="IRNazanin" w:cs="IRNazanin"/>
          <w:lang w:bidi="fa-IR"/>
          <w:color w:val="111111"/>
          <w:sz w:val="28"/>
          <w:szCs w:val="28"/>
          <w:rtl/>
        </w:rPr>
        <w:t xml:space="preserve">الغیر القارّة-کالتکلّم و الکتابة و المشی و نبع الماء من العین و سیلان دم الحیض من الرحم- فالظاهر جواز إجراء الاستصحاب فیما یمکن أن یفرض فیها </w:t>
      </w:r>
      <w:r>
        <w:rPr>
          <w:rStyle w:val="FootnoteReference"/>
        </w:rPr>
        <w:footnoteReference w:id="2166"/>
      </w:r>
      <w:r>
        <w:rPr>
          <w:rFonts w:ascii="IRNazanin" w:hAnsi="IRNazanin" w:eastAsia="IRNazanin" w:cs="IRNazanin"/>
          <w:lang w:bidi="fa-IR"/>
          <w:color w:val="111111"/>
          <w:sz w:val="28"/>
          <w:szCs w:val="28"/>
          <w:rtl/>
        </w:rPr>
        <w:t xml:space="preserve">أمرا واحدا مستمرّا،نظیر ما ذکرناه فی نفس الزمان،فیفرض التکلّم-مثلا- مجموع أجزائه أمرا واحدا،و الشکّ فی بقائه لأجل الشکّ فی قلّة أجزاء</w:t>
      </w:r>
    </w:p>
    <w:p>
      <w:pPr>
        <w:pStyle w:val="BookText"/>
      </w:pPr>
      <w:r>
        <w:rPr>
          <w:rFonts w:ascii="IRNazanin" w:hAnsi="IRNazanin" w:eastAsia="IRNazanin" w:cs="IRNazanin"/>
          <w:lang w:bidi="fa-IR"/>
          <w:color w:val="111111"/>
          <w:sz w:val="28"/>
          <w:szCs w:val="28"/>
          <w:rtl/>
        </w:rPr>
        <w:t xml:space="preserve">[شماره صفحه واقعی : 205]
</w:t>
      </w:r>
    </w:p>
    <w:p>
      <w:pPr>
        <w:sectPr>
          <w:footerReference w:type="default" r:id="rId7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ذلک الفرد الموجود منه فی الخارج و کثرتها،فیستصحب القدر المشترک المردّد بین قلیل الأجزاء و کثیرها.</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 دعوی:أنّ الشکّ فی بقاء القدر المشترک ناش عن حدوث جزء آخر من الکلام،و الأصل عدمه المستلزم لارتفاع القدر المشترک،فهو من قبیل </w:t>
      </w:r>
      <w:r>
        <w:rPr>
          <w:rStyle w:val="FootnoteReference"/>
        </w:rPr>
        <w:footnoteReference w:id="2167"/>
      </w:r>
      <w:r>
        <w:rPr>
          <w:rFonts w:ascii="IRNazanin" w:hAnsi="IRNazanin" w:eastAsia="IRNazanin" w:cs="IRNazanin"/>
          <w:lang w:bidi="fa-IR"/>
          <w:color w:val="111111"/>
          <w:sz w:val="28"/>
          <w:szCs w:val="28"/>
          <w:rtl/>
        </w:rPr>
        <w:t xml:space="preserve">القسم الثالث من الأقسام المذکورة فی الأمر السابق.</w:t>
      </w:r>
    </w:p>
    <w:p>
      <w:pPr>
        <w:pStyle w:val="BookText"/>
      </w:pPr>
      <w:r>
        <w:rPr>
          <w:rFonts w:ascii="IRNazanin" w:hAnsi="IRNazanin" w:eastAsia="IRNazanin" w:cs="IRNazanin"/>
          <w:lang w:bidi="fa-IR"/>
          <w:color w:val="111111"/>
          <w:sz w:val="28"/>
          <w:szCs w:val="28"/>
          <w:rtl/>
        </w:rPr>
        <w:t xml:space="preserve">مدفوعة:بأنّ الظاهر کونه من قبیل الأوّل من تلک الأقسام الثلاثة؛لأنّ المفروض فی توجیه الاستصحاب جعل کلّ فرد من التکلّم مجموع ما یقع فی الخارج من الأجزاء التی یجمعها رابطة توجب عدّها شیئا واحدا و فردا من الطبیعة،لا جعل کلّ قطعة من الکلام الواحد فردا واحدا حتّی یکون بقاء الطبیعة بتبادل أفراده،غایة الأمر کون المراد بالبقاء هنا وجود المجموع فی الزمان الأوّل بوجود جزء منه و وجوده فی الزمان الثانی بوجود جزء آخر منه.و الحاصل:أنّ المفروض کون کلّ قطعة جزء من الکلّ،لا جزئیّا من الکلّیّ.</w:t>
      </w:r>
    </w:p>
    <w:p>
      <w:pPr>
        <w:pStyle w:val="BookText"/>
      </w:pPr>
      <w:r>
        <w:rPr>
          <w:rFonts w:ascii="IRNazanin" w:hAnsi="IRNazanin" w:eastAsia="IRNazanin" w:cs="IRNazanin"/>
          <w:lang w:bidi="fa-IR"/>
          <w:color w:val="111111"/>
          <w:sz w:val="28"/>
          <w:szCs w:val="28"/>
          <w:rtl/>
        </w:rPr>
        <w:t xml:space="preserve">هذا،مع ما عرفت-فی الأمر السابق </w:t>
      </w:r>
      <w:r>
        <w:rPr>
          <w:rStyle w:val="FootnoteReference"/>
        </w:rPr>
        <w:footnoteReference w:id="2168"/>
      </w:r>
      <w:r>
        <w:rPr>
          <w:rFonts w:ascii="IRNazanin" w:hAnsi="IRNazanin" w:eastAsia="IRNazanin" w:cs="IRNazanin"/>
          <w:lang w:bidi="fa-IR"/>
          <w:color w:val="111111"/>
          <w:sz w:val="28"/>
          <w:szCs w:val="28"/>
          <w:rtl/>
        </w:rPr>
        <w:t xml:space="preserve">-من جریان الاستصحاب فیما کان من القسم الثالث فیما إذا لم یعدّ الفرد اللاحق علی تقدیر وجوده موجودا آخر مغایرا للموجود الأوّل،کما فی السواد الضعیف الباقی بعد ارتفاع القویّ.و ما نحن فیه من هذا القبیل،فافهم.</w:t>
      </w:r>
    </w:p>
    <w:p>
      <w:pPr>
        <w:pStyle w:val="BookText"/>
      </w:pPr>
      <w:r>
        <w:rPr>
          <w:rFonts w:ascii="Amiri" w:hAnsi="Amiri" w:eastAsia="Amiri" w:cs="Amiri"/>
          <w:lang w:bidi="ar-SA"/>
          <w:color w:val="111111"/>
          <w:sz w:val="28"/>
          <w:szCs w:val="28"/>
          <w:rtl/>
        </w:rPr>
        <w:t xml:space="preserve">ثمّ إنّ الرابطة الموجبة لعدّ المجموع </w:t>
      </w:r>
      <w:r>
        <w:rPr>
          <w:rStyle w:val="FootnoteReference"/>
        </w:rPr>
        <w:footnoteReference w:id="2169"/>
      </w:r>
      <w:r>
        <w:rPr>
          <w:rFonts w:ascii="IRNazanin" w:hAnsi="IRNazanin" w:eastAsia="IRNazanin" w:cs="IRNazanin"/>
          <w:lang w:bidi="fa-IR"/>
          <w:color w:val="111111"/>
          <w:sz w:val="28"/>
          <w:szCs w:val="28"/>
          <w:rtl/>
        </w:rPr>
        <w:t xml:space="preserve">أمرا واحدا موکولة إلی</w:t>
      </w:r>
    </w:p>
    <w:p>
      <w:pPr>
        <w:pStyle w:val="BookText"/>
      </w:pPr>
      <w:r>
        <w:rPr>
          <w:rFonts w:ascii="IRNazanin" w:hAnsi="IRNazanin" w:eastAsia="IRNazanin" w:cs="IRNazanin"/>
          <w:lang w:bidi="fa-IR"/>
          <w:color w:val="111111"/>
          <w:sz w:val="28"/>
          <w:szCs w:val="28"/>
          <w:rtl/>
        </w:rPr>
        <w:t xml:space="preserve">[شماره صفحه واقعی : 206]
</w:t>
      </w:r>
    </w:p>
    <w:p>
      <w:pPr>
        <w:sectPr>
          <w:footerReference w:type="default" r:id="rId7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العرف،فإنّ المشتغل بقراءة القرآن لداع،یعدّ جمیع ما یحصل منه فی الخارج بذلک الداعی أمرا واحدا،فإذا شکّ فی بقاء اشتغاله بها فی زمان لأجل الشکّ فی حدوث الصارف أو لأجل الشکّ فی مقدار اقتضاء الداعی،فالأصل بقاؤه.</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أمّا لو تکلّم لداع أو لدواع ثمّ شکّ فی بقائه علی صفة التکلّم لداع آخر،فالأصل عدم حدوث </w:t>
      </w:r>
      <w:r>
        <w:rPr>
          <w:rStyle w:val="FootnoteReference"/>
        </w:rPr>
        <w:footnoteReference w:id="2170"/>
      </w:r>
      <w:r>
        <w:rPr>
          <w:rFonts w:ascii="IRNazanin" w:hAnsi="IRNazanin" w:eastAsia="IRNazanin" w:cs="IRNazanin"/>
          <w:lang w:bidi="fa-IR"/>
          <w:color w:val="111111"/>
          <w:sz w:val="28"/>
          <w:szCs w:val="28"/>
          <w:rtl/>
        </w:rPr>
        <w:t xml:space="preserve">الزائد علی المتیقّن.</w:t>
      </w:r>
    </w:p>
    <w:p>
      <w:pPr>
        <w:pStyle w:val="BookText"/>
      </w:pPr>
      <w:r>
        <w:rPr>
          <w:rFonts w:ascii="IRNazanin" w:hAnsi="IRNazanin" w:eastAsia="IRNazanin" w:cs="IRNazanin"/>
          <w:lang w:bidi="fa-IR"/>
          <w:color w:val="111111"/>
          <w:sz w:val="28"/>
          <w:szCs w:val="28"/>
          <w:rtl/>
        </w:rPr>
        <w:t xml:space="preserve">و کذا لو شکّ بعد انقطاع دم الحیض فی عوده فی زمان یحکم علیه بالحیضیّة أم لا،فیمکن إجراء الاستصحاب؛نظرا إلی أنّ الشکّ فی اقتضاء طبیعتها </w:t>
      </w:r>
      <w:r>
        <w:rPr>
          <w:rStyle w:val="FootnoteReference"/>
        </w:rPr>
        <w:footnoteReference w:id="2171"/>
      </w:r>
      <w:r>
        <w:rPr>
          <w:rFonts w:ascii="IRNazanin" w:hAnsi="IRNazanin" w:eastAsia="IRNazanin" w:cs="IRNazanin"/>
          <w:lang w:bidi="fa-IR"/>
          <w:color w:val="111111"/>
          <w:sz w:val="28"/>
          <w:szCs w:val="28"/>
          <w:rtl/>
        </w:rPr>
        <w:t xml:space="preserve">لقذف الرحم </w:t>
      </w:r>
      <w:r>
        <w:rPr>
          <w:rStyle w:val="FootnoteReference"/>
        </w:rPr>
        <w:footnoteReference w:id="2172"/>
      </w:r>
      <w:r>
        <w:rPr>
          <w:rFonts w:ascii="IRNazanin" w:hAnsi="IRNazanin" w:eastAsia="IRNazanin" w:cs="IRNazanin"/>
          <w:lang w:bidi="fa-IR"/>
          <w:color w:val="111111"/>
          <w:sz w:val="28"/>
          <w:szCs w:val="28"/>
          <w:rtl/>
        </w:rPr>
        <w:t xml:space="preserve">الدم فی أیّ مقدار من الزمان، فالأصل عدم انقطاعه.</w:t>
      </w:r>
    </w:p>
    <w:p>
      <w:pPr>
        <w:pStyle w:val="BookText"/>
      </w:pPr>
      <w:r>
        <w:rPr>
          <w:rFonts w:ascii="IRNazanin" w:hAnsi="IRNazanin" w:eastAsia="IRNazanin" w:cs="IRNazanin"/>
          <w:lang w:bidi="fa-IR"/>
          <w:color w:val="111111"/>
          <w:sz w:val="28"/>
          <w:szCs w:val="28"/>
          <w:rtl/>
        </w:rPr>
        <w:t xml:space="preserve">و کذا لو شکّ فی الیأس،فرأت الدم،فإنّه قد یقال باستصحاب الحیض؛نظرا إلی کون الشکّ فی انقضاء ما اقتضته الطبیعة من قذف الحیض فی کلّ شهر.</w:t>
      </w:r>
    </w:p>
    <w:p>
      <w:pPr>
        <w:pStyle w:val="BookText"/>
      </w:pPr>
      <w:r>
        <w:rPr>
          <w:rFonts w:ascii="IRNazanin" w:hAnsi="IRNazanin" w:eastAsia="IRNazanin" w:cs="IRNazanin"/>
          <w:lang w:bidi="fa-IR"/>
          <w:color w:val="111111"/>
          <w:sz w:val="28"/>
          <w:szCs w:val="28"/>
          <w:rtl/>
        </w:rPr>
        <w:t xml:space="preserve">و حاصل وجه الاستصحاب:ملاحظة کون الشکّ فی استمرار الأمر الواحد الذی اقتضاه السبب الواحد،و إذا لوحظ کلّ واحد من أجزاء هذا الأمر حادثا مستقلا،فالأصل عدم الزائد علی المتیقّن و عدم حدوث سببه.</w:t>
      </w:r>
    </w:p>
    <w:p>
      <w:pPr>
        <w:pStyle w:val="BookText"/>
      </w:pPr>
      <w:r>
        <w:rPr>
          <w:rFonts w:ascii="IRNazanin" w:hAnsi="IRNazanin" w:eastAsia="IRNazanin" w:cs="IRNazanin"/>
          <w:lang w:bidi="fa-IR"/>
          <w:color w:val="111111"/>
          <w:sz w:val="28"/>
          <w:szCs w:val="28"/>
          <w:rtl/>
        </w:rPr>
        <w:t xml:space="preserve">و منشأ اختلاف بعض العلماء فی إجراء الاستصحاب فی هذه</w:t>
      </w:r>
    </w:p>
    <w:p>
      <w:pPr>
        <w:pStyle w:val="BookText"/>
      </w:pPr>
      <w:r>
        <w:rPr>
          <w:rFonts w:ascii="IRNazanin" w:hAnsi="IRNazanin" w:eastAsia="IRNazanin" w:cs="IRNazanin"/>
          <w:lang w:bidi="fa-IR"/>
          <w:color w:val="111111"/>
          <w:sz w:val="28"/>
          <w:szCs w:val="28"/>
          <w:rtl/>
        </w:rPr>
        <w:t xml:space="preserve">[شماره صفحه واقعی : 207]
</w:t>
      </w:r>
    </w:p>
    <w:p>
      <w:pPr>
        <w:sectPr>
          <w:footerReference w:type="default" r:id="rId719"/>
          <w:footnotePr>
            <w:numStart w:val="1"/>
            <w:numRestart w:val="eachPage"/>
          </w:footnotePr>
          <w:pgSz w:orient="portrait" w:w="11905.511811023622" w:h="16837.79527559055"/>
          <w:pgMar w:top="1440" w:right="1440" w:bottom="1440" w:left="1440" w:header="720" w:footer="720" w:gutter="0"/>
          <w:cols w:num="1" w:space="720"/>
        </w:sectPr>
      </w:pPr>
    </w:p>
    <w:bookmarkStart w:id="439" w:name="pg14411_143101"/>
    <w:bookmarkEnd w:id="439"/>
    <w:p>
      <w:pPr>
        <w:pStyle w:val="BookText"/>
      </w:pPr>
      <w:r>
        <w:rPr>
          <w:rFonts w:ascii="IRNazanin" w:hAnsi="IRNazanin" w:eastAsia="IRNazanin" w:cs="IRNazanin"/>
          <w:lang w:bidi="fa-IR"/>
          <w:color w:val="111111"/>
          <w:sz w:val="28"/>
          <w:szCs w:val="28"/>
          <w:rtl/>
        </w:rPr>
        <w:t xml:space="preserve">الموارد اختلاف أنظارهم فی ملاحظة ذلک المستمرّ حادثا واحدا أو حوادث متعدّدة.</w:t>
      </w:r>
    </w:p>
    <w:p>
      <w:pPr>
        <w:pStyle w:val="BookText"/>
      </w:pPr>
      <w:r>
        <w:rPr>
          <w:rFonts w:ascii="IRNazanin" w:hAnsi="IRNazanin" w:eastAsia="IRNazanin" w:cs="IRNazanin"/>
          <w:lang w:bidi="fa-IR"/>
          <w:color w:val="111111"/>
          <w:sz w:val="28"/>
          <w:szCs w:val="28"/>
          <w:rtl/>
        </w:rPr>
        <w:t xml:space="preserve">و الإنصاف:وضوح الوحدة فی بعض الموارد،و عدمها فی بعض، و التباس الأمر فی ثالث.و اللّه الهادی إلی سواء السبیل،فتدبّر.</w:t>
      </w:r>
    </w:p>
    <w:p>
      <w:pPr>
        <w:pStyle w:val="Heading6"/>
      </w:pPr>
      <w:bookmarkStart w:id="1899" w:name="_Toc934"/>
      <w:r>
        <w:t>[3-استصحاب الامور المقیّدة بالزمان:]</w:t>
      </w:r>
      <w:bookmarkEnd w:id="1899"/>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 أمّا القسم الثالث-و هو ما کان مقیّدا بالزمان-فینبغی القطع بعدم جریان الاستصحاب فیه.و وجهه:أنّ الشیء المقیّد بزمان خاصّ لا یعقل فیه البقاء؛لأنّ البقاء:وجود الموجود الأوّل فی الآن الثانی، و قد تقدّم الاستشکال </w:t>
      </w:r>
      <w:r>
        <w:rPr>
          <w:rStyle w:val="FootnoteReference"/>
        </w:rPr>
        <w:footnoteReference w:id="2173"/>
      </w:r>
      <w:r>
        <w:rPr>
          <w:rFonts w:ascii="IRNazanin" w:hAnsi="IRNazanin" w:eastAsia="IRNazanin" w:cs="IRNazanin"/>
          <w:lang w:bidi="fa-IR"/>
          <w:color w:val="111111"/>
          <w:sz w:val="28"/>
          <w:szCs w:val="28"/>
          <w:rtl/>
        </w:rPr>
        <w:t xml:space="preserve">فی جریان الاستصحاب فی الأحکام التکلیفیّة؛ لکون متعلّقاتها هی الأفعال المتشخّصة بالمشخّصات التی لها دخل وجودا و عدما فی تعلّق الحکم،و من جملتها الزمان.</w:t>
      </w:r>
    </w:p>
    <w:p>
      <w:pPr>
        <w:pStyle w:val="Heading6"/>
      </w:pPr>
      <w:bookmarkStart w:id="1900" w:name="_Toc935"/>
      <w:r>
        <w:t>[ما ذکره الفاضل النراقی:من معارضة استصحاب عدم الأمر الوجودی المتیقّن سابقا مع استصحاب وجوده:]</w:t>
      </w:r>
      <w:bookmarkEnd w:id="1900"/>
    </w:p>
    <w:p>
      <w:pPr>
        <w:pStyle w:val="BookText"/>
      </w:pPr>
      <w:r>
        <w:rPr>
          <w:rFonts w:ascii="IRNazanin" w:hAnsi="IRNazanin" w:eastAsia="IRNazanin" w:cs="IRNazanin"/>
          <w:lang w:bidi="fa-IR"/>
          <w:color w:val="111111"/>
          <w:sz w:val="28"/>
          <w:szCs w:val="28"/>
          <w:rtl/>
        </w:rPr>
        <w:t xml:space="preserve">و ممّا ذکرنا یظهر فساد ما وقع لبعض المعاصرین </w:t>
      </w:r>
      <w:r>
        <w:rPr>
          <w:rStyle w:val="FootnoteReference"/>
        </w:rPr>
        <w:footnoteReference w:id="2174"/>
      </w:r>
      <w:r>
        <w:rPr>
          <w:rFonts w:ascii="IRNazanin" w:hAnsi="IRNazanin" w:eastAsia="IRNazanin" w:cs="IRNazanin"/>
          <w:lang w:bidi="fa-IR"/>
          <w:color w:val="111111"/>
          <w:sz w:val="28"/>
          <w:szCs w:val="28"/>
          <w:rtl/>
        </w:rPr>
        <w:t xml:space="preserve">:من تخیّل جریان استصحاب عدم الأمر الوجودیّ المتیقّن سابقا،و معارضته مع استصحاب وجوده؛بزعم أنّ المتیقّن وجود ذلک الأمر فی القطعة الاولی من الزمان،و الأصل بقاؤه-عند الشکّ-علی العدم الأزلیّ الذی لم یعلم انقلابه إلی الوجود إلاّ فی القطعة السابقة من الزمان.قال فی تقریب ما ذکره من تعارض الاستصحابین:</w:t>
      </w:r>
    </w:p>
    <w:p>
      <w:pPr>
        <w:pStyle w:val="BookText"/>
      </w:pPr>
      <w:r>
        <w:rPr>
          <w:rFonts w:ascii="IRNazanin" w:hAnsi="IRNazanin" w:eastAsia="IRNazanin" w:cs="IRNazanin"/>
          <w:lang w:bidi="fa-IR"/>
          <w:color w:val="111111"/>
          <w:sz w:val="28"/>
          <w:szCs w:val="28"/>
          <w:rtl/>
        </w:rPr>
        <w:t xml:space="preserve">إنّه إذا علم أنّ الشارع أمر بالجلوس یوم الجمعة،و علم أنّه واجب إلی الزوال،و لم یعلم وجوبه فیما بعده،فنقول:کان عدم التکلیف بالجلوس قبل یوم الجمعة و فیه إلی الزوال،و بعده معلوما قبل</w:t>
      </w:r>
    </w:p>
    <w:p>
      <w:pPr>
        <w:pStyle w:val="BookText"/>
      </w:pPr>
      <w:r>
        <w:rPr>
          <w:rFonts w:ascii="IRNazanin" w:hAnsi="IRNazanin" w:eastAsia="IRNazanin" w:cs="IRNazanin"/>
          <w:lang w:bidi="fa-IR"/>
          <w:color w:val="111111"/>
          <w:sz w:val="28"/>
          <w:szCs w:val="28"/>
          <w:rtl/>
        </w:rPr>
        <w:t xml:space="preserve">[شماره صفحه واقعی : 208]
</w:t>
      </w:r>
    </w:p>
    <w:p>
      <w:pPr>
        <w:sectPr>
          <w:footerReference w:type="default" r:id="rId7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ورود أمر الشارع،و علم بقاء ذلک العدم قبل یوم الجمعة،و علم ارتفاعه و التکلیف بالجلوس فیه قبل الزوال،و صار بعده موضع الشکّ، فهنا شکّ و یقینان،و لیس إبقاء حکم أحد الیقینین أولی من إبقاء حکم الآخر.</w:t>
      </w:r>
    </w:p>
    <w:p>
      <w:pPr>
        <w:pStyle w:val="BookText"/>
      </w:pPr>
      <w:r>
        <w:rPr>
          <w:rFonts w:ascii="IRNazanin" w:hAnsi="IRNazanin" w:eastAsia="IRNazanin" w:cs="IRNazanin"/>
          <w:lang w:bidi="fa-IR"/>
          <w:color w:val="111111"/>
          <w:sz w:val="28"/>
          <w:szCs w:val="28"/>
          <w:rtl/>
        </w:rPr>
        <w:t xml:space="preserve">فإن قلت:یحکم ببقاء </w:t>
      </w:r>
      <w:r>
        <w:rPr>
          <w:rStyle w:val="FootnoteReference"/>
        </w:rPr>
        <w:footnoteReference w:id="2175"/>
      </w:r>
      <w:r>
        <w:rPr>
          <w:rFonts w:ascii="IRNazanin" w:hAnsi="IRNazanin" w:eastAsia="IRNazanin" w:cs="IRNazanin"/>
          <w:lang w:bidi="fa-IR"/>
          <w:color w:val="111111"/>
          <w:sz w:val="28"/>
          <w:szCs w:val="28"/>
          <w:rtl/>
        </w:rPr>
        <w:t xml:space="preserve">الیقین المتّصل بالشکّ،و هو الیقین بالجلوس.</w:t>
      </w:r>
    </w:p>
    <w:p>
      <w:pPr>
        <w:pStyle w:val="BookText"/>
      </w:pPr>
      <w:r>
        <w:rPr>
          <w:rFonts w:ascii="IRNazanin" w:hAnsi="IRNazanin" w:eastAsia="IRNazanin" w:cs="IRNazanin"/>
          <w:lang w:bidi="fa-IR"/>
          <w:color w:val="111111"/>
          <w:sz w:val="28"/>
          <w:szCs w:val="28"/>
          <w:rtl/>
        </w:rPr>
        <w:t xml:space="preserve">قلنا:إنّ الشکّ فی تکلیف ما بعد الزوال حاصل قبل مجیء یوم الجمعة وقت ملاحظة أمر الشارع،فشکّ فی یوم الخمیس-مثلا،حال ورود الأمر-فی أنّ الجلوس غدا هل هو المکلّف به بعد الزوال أیضا أم لا؟و الیقین المتّصل به هو عدم التکلیف،فیستصحب و یستمرّ ذلک إلی وقت الزوال </w:t>
      </w:r>
      <w:r>
        <w:rPr>
          <w:rStyle w:val="FootnoteReference"/>
        </w:rPr>
        <w:footnoteReference w:id="2176"/>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ثمّ أجری ما ذکره-من تعارض استصحابی الوجود و العدم-فی مثل:وجوب الصوم إذا عرض مرض یشکّ فی بقاء وجوب الصوم معه،و فی الطهارة إذا حصل الشکّ فیها لأجل المذی،و فی طهارة الثوب النجس إذا غسل مرّة.</w:t>
      </w:r>
    </w:p>
    <w:p>
      <w:pPr>
        <w:pStyle w:val="BookText"/>
      </w:pPr>
      <w:r>
        <w:rPr>
          <w:rFonts w:ascii="IRNazanin" w:hAnsi="IRNazanin" w:eastAsia="IRNazanin" w:cs="IRNazanin"/>
          <w:lang w:bidi="fa-IR"/>
          <w:color w:val="111111"/>
          <w:sz w:val="28"/>
          <w:szCs w:val="28"/>
          <w:rtl/>
        </w:rPr>
        <w:t xml:space="preserve">فحکم فی الأوّل بتعارض استصحاب وجوب الصوم قبل عروض الحمّی و استصحاب عدمه الأصلی قبل وجوب الصوم،و فی الثانی بتعارض استصحاب الطهارة قبل المذی و استصحاب عدم جعل الشارع الوضوء سببا للطهارة بعد المذی،و فی الثالث بتعارض استصحاب</w:t>
      </w:r>
    </w:p>
    <w:p>
      <w:pPr>
        <w:pStyle w:val="BookText"/>
      </w:pPr>
      <w:r>
        <w:rPr>
          <w:rFonts w:ascii="IRNazanin" w:hAnsi="IRNazanin" w:eastAsia="IRNazanin" w:cs="IRNazanin"/>
          <w:lang w:bidi="fa-IR"/>
          <w:color w:val="111111"/>
          <w:sz w:val="28"/>
          <w:szCs w:val="28"/>
          <w:rtl/>
        </w:rPr>
        <w:t xml:space="preserve">[شماره صفحه واقعی : 209]
</w:t>
      </w:r>
    </w:p>
    <w:p>
      <w:pPr>
        <w:sectPr>
          <w:footerReference w:type="default" r:id="rId721"/>
          <w:footnotePr>
            <w:numStart w:val="1"/>
            <w:numRestart w:val="eachPage"/>
          </w:footnotePr>
          <w:pgSz w:orient="portrait" w:w="11905.511811023622" w:h="16837.79527559055"/>
          <w:pgMar w:top="1440" w:right="1440" w:bottom="1440" w:left="1440" w:header="720" w:footer="720" w:gutter="0"/>
          <w:cols w:num="1" w:space="720"/>
        </w:sectPr>
      </w:pPr>
    </w:p>
    <w:bookmarkStart w:id="440" w:name="pg14411_143103"/>
    <w:bookmarkEnd w:id="440"/>
    <w:p>
      <w:pPr>
        <w:pStyle w:val="BookText"/>
      </w:pPr>
      <w:r>
        <w:rPr>
          <w:rFonts w:ascii="IRNazanin" w:hAnsi="IRNazanin" w:eastAsia="IRNazanin" w:cs="IRNazanin"/>
          <w:lang w:bidi="fa-IR"/>
          <w:color w:val="111111"/>
          <w:sz w:val="28"/>
          <w:szCs w:val="28"/>
          <w:rtl/>
        </w:rPr>
        <w:t xml:space="preserve">النجاسة قبل الغسل و استصحاب عدم کون ملاقاة البول سببا للنجاسة بعد الغسل مرّة،فیتساقط الاستصحابان </w:t>
      </w:r>
      <w:r>
        <w:rPr>
          <w:rStyle w:val="FootnoteReference"/>
        </w:rPr>
        <w:footnoteReference w:id="2177"/>
      </w:r>
      <w:r>
        <w:rPr>
          <w:rFonts w:ascii="IRNazanin" w:hAnsi="IRNazanin" w:eastAsia="IRNazanin" w:cs="IRNazanin"/>
          <w:lang w:bidi="fa-IR"/>
          <w:color w:val="111111"/>
          <w:sz w:val="28"/>
          <w:szCs w:val="28"/>
          <w:rtl/>
        </w:rPr>
        <w:t xml:space="preserve">فی هذه الصور،إلاّ أن </w:t>
      </w:r>
      <w:r>
        <w:rPr>
          <w:rStyle w:val="FootnoteReference"/>
        </w:rPr>
        <w:footnoteReference w:id="2178"/>
      </w:r>
      <w:r>
        <w:rPr>
          <w:rFonts w:ascii="IRNazanin" w:hAnsi="IRNazanin" w:eastAsia="IRNazanin" w:cs="IRNazanin"/>
          <w:lang w:bidi="fa-IR"/>
          <w:color w:val="111111"/>
          <w:sz w:val="28"/>
          <w:szCs w:val="28"/>
          <w:rtl/>
        </w:rPr>
        <w:t xml:space="preserve">یرجع إلی استصحاب آخر حاکم علی استصحاب العدم،و هو عدم الرافع و عدم جعل الشارع مشکوک الرافعیّة رافعا.</w:t>
      </w:r>
    </w:p>
    <w:p>
      <w:pPr>
        <w:pStyle w:val="BookText"/>
      </w:pPr>
      <w:r>
        <w:rPr>
          <w:rFonts w:ascii="IRNazanin" w:hAnsi="IRNazanin" w:eastAsia="IRNazanin" w:cs="IRNazanin"/>
          <w:lang w:bidi="fa-IR"/>
          <w:color w:val="111111"/>
          <w:sz w:val="28"/>
          <w:szCs w:val="28"/>
          <w:rtl/>
        </w:rPr>
        <w:t xml:space="preserve">قال:و لو لم یعلم أنّ الطهارة ممّا لا یرتفع إلاّ برافع،لم نقل فیه باستصحاب الوجود.</w:t>
      </w:r>
    </w:p>
    <w:p>
      <w:pPr>
        <w:pStyle w:val="BookText"/>
      </w:pPr>
      <w:r>
        <w:rPr>
          <w:rFonts w:ascii="IRNazanin" w:hAnsi="IRNazanin" w:eastAsia="IRNazanin" w:cs="IRNazanin"/>
          <w:lang w:bidi="fa-IR"/>
          <w:color w:val="111111"/>
          <w:sz w:val="28"/>
          <w:szCs w:val="28"/>
          <w:rtl/>
        </w:rPr>
        <w:t xml:space="preserve">ثمّ قال:هذا فی الامور الشرعیّة،و أمّا الامور الخارجیّة-کالیوم و اللیل و الحیاة و الرطوبة و الجفاف و نحوها ممّا لا دخل لجعل الشارع فی وجودها-فاستصحاب </w:t>
      </w:r>
      <w:r>
        <w:rPr>
          <w:rStyle w:val="FootnoteReference"/>
        </w:rPr>
        <w:footnoteReference w:id="2179"/>
      </w:r>
      <w:r>
        <w:rPr>
          <w:rFonts w:ascii="IRNazanin" w:hAnsi="IRNazanin" w:eastAsia="IRNazanin" w:cs="IRNazanin"/>
          <w:lang w:bidi="fa-IR"/>
          <w:color w:val="111111"/>
          <w:sz w:val="28"/>
          <w:szCs w:val="28"/>
          <w:rtl/>
        </w:rPr>
        <w:t xml:space="preserve">الوجود فیها حجّة بلا معارض؛لعدم تحقّق استصحاب حال عقل معارض باستصحاب وجودها </w:t>
      </w:r>
      <w:r>
        <w:rPr>
          <w:rStyle w:val="FootnoteReference"/>
        </w:rPr>
        <w:footnoteReference w:id="2180"/>
      </w:r>
      <w:r>
        <w:rPr>
          <w:rFonts w:ascii="IRNazanin" w:hAnsi="IRNazanin" w:eastAsia="IRNazanin" w:cs="IRNazanin"/>
          <w:lang w:bidi="fa-IR"/>
          <w:color w:val="111111"/>
          <w:sz w:val="28"/>
          <w:szCs w:val="28"/>
          <w:rtl/>
        </w:rPr>
        <w:t xml:space="preserve">،انتهی.</w:t>
      </w:r>
    </w:p>
    <w:p>
      <w:pPr>
        <w:pStyle w:val="Heading6"/>
      </w:pPr>
      <w:bookmarkStart w:id="1901" w:name="_Toc936"/>
      <w:r>
        <w:t>[مناقشات فی ما أفاده الفاضل النراقی:]</w:t>
      </w:r>
      <w:bookmarkEnd w:id="1901"/>
    </w:p>
    <w:p>
      <w:pPr>
        <w:pStyle w:val="BookText"/>
      </w:pPr>
      <w:r>
        <w:rPr>
          <w:rFonts w:ascii="IRNazanin" w:hAnsi="IRNazanin" w:eastAsia="IRNazanin" w:cs="IRNazanin"/>
          <w:lang w:bidi="fa-IR"/>
          <w:color w:val="111111"/>
          <w:sz w:val="28"/>
          <w:szCs w:val="28"/>
          <w:rtl/>
        </w:rPr>
        <w:t xml:space="preserve">أقول:الظاهر التباس الأمر علیه.</w:t>
      </w:r>
    </w:p>
    <w:p>
      <w:pPr>
        <w:pStyle w:val="Heading6"/>
      </w:pPr>
      <w:bookmarkStart w:id="1902" w:name="_Toc937"/>
      <w:r>
        <w:t>[مناقشة أولی:الزمان قد یؤخذ قیدا و قد یؤخذ ظرفا:]</w:t>
      </w:r>
      <w:bookmarkEnd w:id="1902"/>
    </w:p>
    <w:p>
      <w:pPr>
        <w:pStyle w:val="BookText"/>
      </w:pPr>
      <w:r>
        <w:rPr>
          <w:rFonts w:ascii="IRNazanin" w:hAnsi="IRNazanin" w:eastAsia="IRNazanin" w:cs="IRNazanin"/>
          <w:lang w:bidi="fa-IR"/>
          <w:color w:val="111111"/>
          <w:sz w:val="28"/>
          <w:szCs w:val="28"/>
          <w:rtl/>
        </w:rPr>
        <w:t xml:space="preserve">أمّا أوّلا:فلأنّ الأمر الوجودیّ المجعول،إن لوحظ الزمان قیدا له أو لمتعلّقه-بأن لوحظ وجوب الجلوس المقیّد بکونه إلی الزوال شیئا، و المقیّد بکونه بعد الزوال شیئا آخر متعلّقا للوجوب-فلا مجال لاستصحاب الوجوب؛للقطع بارتفاع ما علم وجوده و الشکّ فی حدوث ما عداه؛و لذا لا یجوز الاستصحاب فی مثل:«صم یوم الخمیس»إذا شکّ فی وجوب صوم یوم الجمعة.</w:t>
      </w:r>
    </w:p>
    <w:p>
      <w:pPr>
        <w:pStyle w:val="BookText"/>
      </w:pPr>
      <w:r>
        <w:rPr>
          <w:rFonts w:ascii="IRNazanin" w:hAnsi="IRNazanin" w:eastAsia="IRNazanin" w:cs="IRNazanin"/>
          <w:lang w:bidi="fa-IR"/>
          <w:color w:val="111111"/>
          <w:sz w:val="28"/>
          <w:szCs w:val="28"/>
          <w:rtl/>
        </w:rPr>
        <w:t xml:space="preserve">[شماره صفحه واقعی : 210]
</w:t>
      </w:r>
    </w:p>
    <w:p>
      <w:pPr>
        <w:sectPr>
          <w:footerReference w:type="default" r:id="rId7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 إن لوحظ الزمان ظرفا لوجوب الجلوس فلا مجال لاستصحاب العدم؛لأنّه إذا انقلب العدم إلی الوجود المردّد بین کونه فی قطعة خاصّة من الزمان و کونه أزید،و المفروض تسلیم حکم الشارع بأنّ المتیقّن فی زمان لا بدّ من إبقائه،فلا وجه لاعتبار العدم السابق.</w:t>
      </w:r>
    </w:p>
    <w:p>
      <w:pPr>
        <w:pStyle w:val="BookText"/>
      </w:pPr>
      <w:r>
        <w:rPr>
          <w:rFonts w:ascii="IRNazanin" w:hAnsi="IRNazanin" w:eastAsia="IRNazanin" w:cs="IRNazanin"/>
          <w:lang w:bidi="fa-IR"/>
          <w:color w:val="111111"/>
          <w:sz w:val="28"/>
          <w:szCs w:val="28"/>
          <w:rtl/>
        </w:rPr>
        <w:t xml:space="preserve">و ما ذکره قدّس سرّه:من أنّ الشکّ فی وجوب الجلوس بعد الزوال کان ثابتا حال الیقین بالعدم یوم الخمیس،مدفوع:بأنّ ذلک </w:t>
      </w:r>
      <w:r>
        <w:rPr>
          <w:rStyle w:val="FootnoteReference"/>
        </w:rPr>
        <w:footnoteReference w:id="2181"/>
      </w:r>
      <w:r>
        <w:rPr>
          <w:rFonts w:ascii="IRNazanin" w:hAnsi="IRNazanin" w:eastAsia="IRNazanin" w:cs="IRNazanin"/>
          <w:lang w:bidi="fa-IR"/>
          <w:color w:val="111111"/>
          <w:sz w:val="28"/>
          <w:szCs w:val="28"/>
          <w:rtl/>
        </w:rPr>
        <w:t xml:space="preserve">أیضا-حیث کان مفروضا بعد الیقین بوجوب الجلوس إلی الزوال-مهمل بحکم الشارع بإبقاء کلّ حادث لا یعلم مدّة بقائه،کما لو شکّ قبل حدوث حادث فی مدّة بقائه.</w:t>
      </w:r>
    </w:p>
    <w:p>
      <w:pPr>
        <w:pStyle w:val="BookText"/>
      </w:pPr>
      <w:r>
        <w:rPr>
          <w:rFonts w:ascii="IRNazanin" w:hAnsi="IRNazanin" w:eastAsia="IRNazanin" w:cs="IRNazanin"/>
          <w:lang w:bidi="fa-IR"/>
          <w:color w:val="111111"/>
          <w:sz w:val="28"/>
          <w:szCs w:val="28"/>
          <w:rtl/>
        </w:rPr>
        <w:t xml:space="preserve">و الحاصل:أنّ الموجود فی الزمان الأوّل،إن لوحظ مغایرا من حیث القیود المأخوذة فیه للموجود الثانی،فیکون الموجود الثانی حادثا مغایرا للحادث الأوّل،فلا مجال لاستصحاب الموجود </w:t>
      </w:r>
      <w:r>
        <w:rPr>
          <w:rStyle w:val="FootnoteReference"/>
        </w:rPr>
        <w:footnoteReference w:id="2182"/>
      </w:r>
      <w:r>
        <w:rPr>
          <w:rFonts w:ascii="IRNazanin" w:hAnsi="IRNazanin" w:eastAsia="IRNazanin" w:cs="IRNazanin"/>
          <w:lang w:bidi="fa-IR"/>
          <w:color w:val="111111"/>
          <w:sz w:val="28"/>
          <w:szCs w:val="28"/>
          <w:rtl/>
        </w:rPr>
        <w:t xml:space="preserve">إذ لا یتصوّر البقاء لذلک الموجود بعد فرض کون الزمان الأوّل من مقوّماته.</w:t>
      </w:r>
    </w:p>
    <w:p>
      <w:pPr>
        <w:pStyle w:val="BookText"/>
      </w:pPr>
      <w:r>
        <w:rPr>
          <w:rFonts w:ascii="IRNazanin" w:hAnsi="IRNazanin" w:eastAsia="IRNazanin" w:cs="IRNazanin"/>
          <w:lang w:bidi="fa-IR"/>
          <w:color w:val="111111"/>
          <w:sz w:val="28"/>
          <w:szCs w:val="28"/>
          <w:rtl/>
        </w:rPr>
        <w:t xml:space="preserve">و إن لوحظ متّحدا مع الثانی لا مغایرا له إلاّ من حیث ظرفه الزمانیّ،فلا معنی لاستصحاب عدم ذلک الموجود؛لأنّه انقلب إلی الوجود.</w:t>
      </w:r>
    </w:p>
    <w:p>
      <w:pPr>
        <w:pStyle w:val="BookText"/>
      </w:pPr>
      <w:r>
        <w:rPr>
          <w:rFonts w:ascii="IRNazanin" w:hAnsi="IRNazanin" w:eastAsia="IRNazanin" w:cs="IRNazanin"/>
          <w:lang w:bidi="fa-IR"/>
          <w:color w:val="111111"/>
          <w:sz w:val="28"/>
          <w:szCs w:val="28"/>
          <w:rtl/>
        </w:rPr>
        <w:t xml:space="preserve">و کأنّ المتوهّم ینظر فی دعوی جریان استصحاب الوجود إلی کون الموجود أمرا واحدا قابلا للاستمرار بعد زمان الشکّ،و فی دعوی جریان استصحاب العدم إلی تقطیع وجودات ذلک الموجود و جعل کلّ</w:t>
      </w:r>
    </w:p>
    <w:p>
      <w:pPr>
        <w:pStyle w:val="BookText"/>
      </w:pPr>
      <w:r>
        <w:rPr>
          <w:rFonts w:ascii="IRNazanin" w:hAnsi="IRNazanin" w:eastAsia="IRNazanin" w:cs="IRNazanin"/>
          <w:lang w:bidi="fa-IR"/>
          <w:color w:val="111111"/>
          <w:sz w:val="28"/>
          <w:szCs w:val="28"/>
          <w:rtl/>
        </w:rPr>
        <w:t xml:space="preserve">[شماره صفحه واقعی : 211]
</w:t>
      </w:r>
    </w:p>
    <w:p>
      <w:pPr>
        <w:sectPr>
          <w:footerReference w:type="default" r:id="rId723"/>
          <w:footnotePr>
            <w:numStart w:val="1"/>
            <w:numRestart w:val="eachPage"/>
          </w:footnotePr>
          <w:pgSz w:orient="portrait" w:w="11905.511811023622" w:h="16837.79527559055"/>
          <w:pgMar w:top="1440" w:right="1440" w:bottom="1440" w:left="1440" w:header="720" w:footer="720" w:gutter="0"/>
          <w:cols w:num="1" w:space="720"/>
        </w:sectPr>
      </w:pPr>
    </w:p>
    <w:bookmarkStart w:id="441" w:name="pg14411_143105"/>
    <w:bookmarkEnd w:id="441"/>
    <w:p>
      <w:pPr>
        <w:pStyle w:val="BookText"/>
      </w:pPr>
      <w:r>
        <w:rPr>
          <w:rFonts w:ascii="IRNazanin" w:hAnsi="IRNazanin" w:eastAsia="IRNazanin" w:cs="IRNazanin"/>
          <w:lang w:bidi="fa-IR"/>
          <w:color w:val="111111"/>
          <w:sz w:val="28"/>
          <w:szCs w:val="28"/>
          <w:rtl/>
        </w:rPr>
        <w:t xml:space="preserve">واحد منها بملاحظة تحقّقه فی زمان مغایرا للآخر،فیؤخذ بالمتیقّن منها و یحکم علی المشکوک منها </w:t>
      </w:r>
      <w:r>
        <w:rPr>
          <w:rStyle w:val="FootnoteReference"/>
        </w:rPr>
        <w:footnoteReference w:id="2183"/>
      </w:r>
      <w:r>
        <w:rPr>
          <w:rFonts w:ascii="IRNazanin" w:hAnsi="IRNazanin" w:eastAsia="IRNazanin" w:cs="IRNazanin"/>
          <w:lang w:bidi="fa-IR"/>
          <w:color w:val="111111"/>
          <w:sz w:val="28"/>
          <w:szCs w:val="28"/>
          <w:rtl/>
        </w:rPr>
        <w:t xml:space="preserve">بالعدم.</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 ملخّص الکلام فی دفعه:أنّ الزمان إن اخذ ظرفا للشیء فلا یجری إلاّ استصحاب وجوده؛لأنّ العدم انتقض بالوجود المطلق، و قد حکم علیه بالاستمرار بمقتضی أدلّة الاستصحاب.و إن اخذ قیدا له فلا یجری إلاّ استصحاب العدم؛لأنّ انتقاض عدم الوجود المقیّد لا یستلزم انتقاض المطلق </w:t>
      </w:r>
      <w:r>
        <w:rPr>
          <w:rStyle w:val="FootnoteReference"/>
        </w:rPr>
        <w:footnoteReference w:id="2184"/>
      </w:r>
      <w:r>
        <w:rPr>
          <w:rFonts w:ascii="IRNazanin" w:hAnsi="IRNazanin" w:eastAsia="IRNazanin" w:cs="IRNazanin"/>
          <w:lang w:bidi="fa-IR"/>
          <w:color w:val="111111"/>
          <w:sz w:val="28"/>
          <w:szCs w:val="28"/>
          <w:rtl/>
        </w:rPr>
        <w:t xml:space="preserve">،و الأصل عدم الانتقاض،کما إذا ثبت وجوب صوم یوم الجمعة و لم یثبت غیره.</w:t>
      </w:r>
    </w:p>
    <w:p>
      <w:pPr>
        <w:pStyle w:val="Heading6"/>
      </w:pPr>
      <w:bookmarkStart w:id="1903" w:name="_Toc938"/>
      <w:r>
        <w:t>[مناقشة ثانیة فیما أفاده النراقی:]</w:t>
      </w:r>
      <w:bookmarkEnd w:id="1903"/>
    </w:p>
    <w:p>
      <w:pPr>
        <w:pStyle w:val="BookText"/>
      </w:pPr>
      <w:r>
        <w:rPr>
          <w:rFonts w:ascii="IRNazanin" w:hAnsi="IRNazanin" w:eastAsia="IRNazanin" w:cs="IRNazanin"/>
          <w:lang w:bidi="fa-IR"/>
          <w:color w:val="111111"/>
          <w:sz w:val="28"/>
          <w:szCs w:val="28"/>
          <w:rtl/>
        </w:rPr>
        <w:t xml:space="preserve">و أمّا ثانیا:فلأنّ ما ذکره،من استصحاب عدم الجعل و السببیّة فی صورة الشکّ فی الرافع،غیر مستقیم؛لأنّا إذا علمنا أنّ الشارع جعل الوضوء علّة تامّة لوجود الطهارة،و شککنا فی أنّ المذی رافع لهذه الطهارة الموجودة المستمرّة بمقتضی استعدادها،فلیس الشکّ متعلّقا بمقدار سببیّة السبب.و کذا الکلام فی سببیّة ملاقاة البول للنجاسة عند الشکّ فی ارتفاعها بالغسل مرّة.</w:t>
      </w:r>
    </w:p>
    <w:p>
      <w:pPr>
        <w:pStyle w:val="BookText"/>
      </w:pPr>
      <w:r>
        <w:rPr>
          <w:rFonts w:ascii="IRNazanin" w:hAnsi="IRNazanin" w:eastAsia="IRNazanin" w:cs="IRNazanin"/>
          <w:lang w:bidi="fa-IR"/>
          <w:color w:val="111111"/>
          <w:sz w:val="28"/>
          <w:szCs w:val="28"/>
          <w:rtl/>
        </w:rPr>
        <w:t xml:space="preserve">فإن قلت:إنّا نعلم أنّ الطهارة بعد الوضوء قبل الشرع لم تکن مجعولة أصلا،و علمنا بحدوث هذا الأمر الشرعیّ قبل المذی،و شککنا فی الحکم بوجودها بعده،و الأصل عدم ثبوتها بالشرع.</w:t>
      </w:r>
    </w:p>
    <w:p>
      <w:pPr>
        <w:pStyle w:val="BookText"/>
      </w:pPr>
      <w:r>
        <w:rPr>
          <w:rFonts w:ascii="IRNazanin" w:hAnsi="IRNazanin" w:eastAsia="IRNazanin" w:cs="IRNazanin"/>
          <w:lang w:bidi="fa-IR"/>
          <w:color w:val="111111"/>
          <w:sz w:val="28"/>
          <w:szCs w:val="28"/>
          <w:rtl/>
        </w:rPr>
        <w:t xml:space="preserve">قلت:لا بدّ من أن یلاحظ حینئذ أنّ منشأ الشکّ فی ثبوت</w:t>
      </w:r>
    </w:p>
    <w:p>
      <w:pPr>
        <w:pStyle w:val="BookText"/>
      </w:pPr>
      <w:r>
        <w:rPr>
          <w:rFonts w:ascii="IRNazanin" w:hAnsi="IRNazanin" w:eastAsia="IRNazanin" w:cs="IRNazanin"/>
          <w:lang w:bidi="fa-IR"/>
          <w:color w:val="111111"/>
          <w:sz w:val="28"/>
          <w:szCs w:val="28"/>
          <w:rtl/>
        </w:rPr>
        <w:t xml:space="preserve">[شماره صفحه واقعی : 212]
</w:t>
      </w:r>
    </w:p>
    <w:p>
      <w:pPr>
        <w:sectPr>
          <w:footerReference w:type="default" r:id="rId724"/>
          <w:footnotePr>
            <w:numStart w:val="1"/>
            <w:numRestart w:val="eachPage"/>
          </w:footnotePr>
          <w:pgSz w:orient="portrait" w:w="11905.511811023622" w:h="16837.79527559055"/>
          <w:pgMar w:top="1440" w:right="1440" w:bottom="1440" w:left="1440" w:header="720" w:footer="720" w:gutter="0"/>
          <w:cols w:num="1" w:space="720"/>
        </w:sectPr>
      </w:pPr>
    </w:p>
    <w:bookmarkStart w:id="442" w:name="pg14411_143106"/>
    <w:bookmarkEnd w:id="442"/>
    <w:p>
      <w:pPr>
        <w:pStyle w:val="BookText"/>
      </w:pPr>
      <w:r>
        <w:rPr>
          <w:rFonts w:ascii="IRNazanin" w:hAnsi="IRNazanin" w:eastAsia="IRNazanin" w:cs="IRNazanin"/>
          <w:lang w:bidi="fa-IR"/>
          <w:color w:val="111111"/>
          <w:sz w:val="28"/>
          <w:szCs w:val="28"/>
          <w:rtl/>
        </w:rPr>
        <w:t xml:space="preserve">الطهارة بعد المذی،الشکّ فی مقدار تأثیر المؤثّر-و هو الوضوء-و أنّ المتیقّن تأثیره مع عدم المذی لا مع وجوده،أو أنّا نعلم قطعا تأثیر الوضوء فی إحداث أمر مستمرّ لو لا ما جعله الشارع رافعا.فعلی الأوّل،لا معنی لاستصحاب عدم جعل الشیء رافعا؛لأنّ المتیقّن تأثیر السبب مع عدم ذلک الشیء،و الأصل عدم التأثیر مع وجوده،</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إلاّ أن یتمسّک باستصحاب وجود المسبّب،فهو نظیر ما لو شکّ فی بقاء تأثیر الوضوء المبیح-کوضوء التقیّة بعد زوالها-لا من قبیل الشکّ فی ناقضیّة المذی.و علی الثانی،لا معنی لاستصحاب العدم؛إذ لا شکّ فی مقدار تأثیر المؤثّر حتّی یؤخذ بالمتیقّن.</w:t>
      </w:r>
    </w:p>
    <w:p>
      <w:pPr>
        <w:pStyle w:val="Heading6"/>
      </w:pPr>
      <w:bookmarkStart w:id="1904" w:name="_Toc939"/>
      <w:r>
        <w:t>[مناقشة ثالثة فیما أفاده النراقی:]</w:t>
      </w:r>
      <w:bookmarkEnd w:id="1904"/>
    </w:p>
    <w:p>
      <w:pPr>
        <w:pStyle w:val="BookText"/>
      </w:pPr>
      <w:r>
        <w:rPr>
          <w:rFonts w:ascii="IRNazanin" w:hAnsi="IRNazanin" w:eastAsia="IRNazanin" w:cs="IRNazanin"/>
          <w:lang w:bidi="fa-IR"/>
          <w:color w:val="111111"/>
          <w:sz w:val="28"/>
          <w:szCs w:val="28"/>
          <w:rtl/>
        </w:rPr>
        <w:t xml:space="preserve">و أمّا ثالثا:فلو سلّم جریان استصحاب العدم حینئذ،لکن لیس استصحاب عدم جعل الشیء رافعا حاکما علی هذا الاستصحاب؛لأنّ الشکّ فی أحدهما لیس مسبّبا عن الشکّ فی الآخر،بل مرجع الشکّ فیهما إلی شیء واحد،و هو:أنّ المجعول فی حقّ المکلّف فی هذه الحالة هو الحدث أو الطهارة.نعم،یستقیم ذلک فیما إذا کان الشکّ فی الموضوع الخارجیّ-أعنی وجود المزیل و عدمه-لأنّ الشکّ فی کون المکلّف حال الشکّ مجعولا فی حقّه الطهارة أو الحدث مسبّب عن الشکّ فی تحقّق الرافع،إلاّ أنّ الاستصحاب مع هذا العلم الإجمالیّ بجعل أحد الأمرین فی حقّ المکلّف غیر جار </w:t>
      </w:r>
      <w:r>
        <w:rPr>
          <w:rStyle w:val="FootnoteReference"/>
        </w:rPr>
        <w:footnoteReference w:id="21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213]
</w:t>
      </w:r>
    </w:p>
    <w:p>
      <w:pPr>
        <w:sectPr>
          <w:footerReference w:type="default" r:id="rId7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214]
</w:t>
      </w:r>
    </w:p>
    <w:p>
      <w:pPr>
        <w:sectPr>
          <w:footerReference w:type="default" r:id="rId726"/>
          <w:footnotePr>
            <w:numStart w:val="1"/>
            <w:numRestart w:val="eachPage"/>
          </w:footnotePr>
          <w:pgSz w:orient="portrait" w:w="11905.511811023622" w:h="16837.79527559055"/>
          <w:pgMar w:top="1440" w:right="1440" w:bottom="1440" w:left="1440" w:header="720" w:footer="720" w:gutter="0"/>
          <w:cols w:num="1" w:space="720"/>
        </w:sectPr>
      </w:pPr>
    </w:p>
    <w:bookmarkStart w:id="443" w:name="pg14411_143108"/>
    <w:bookmarkEnd w:id="443"/>
    <w:p>
      <w:pPr>
        <w:pStyle w:val="Heading6"/>
      </w:pPr>
      <w:bookmarkStart w:id="1905" w:name="_Toc940"/>
      <w:r>
        <w:t>الأمر الثالث [:عدم جریان الاستصحاب فی الأحکام العقلیّة]</w:t>
      </w:r>
      <w:bookmarkEnd w:id="1905"/>
    </w:p>
    <w:p>
      <w:pPr>
        <w:pStyle w:val="Heading6"/>
      </w:pPr>
      <w:bookmarkStart w:id="1906" w:name="_Toc941"/>
      <w:r>
        <w:t>اشارة</w:t>
      </w:r>
      <w:bookmarkEnd w:id="1906"/>
    </w:p>
    <w:p>
      <w:pPr>
        <w:pStyle w:val="BookText"/>
      </w:pPr>
      <w:r>
        <w:rPr>
          <w:rFonts w:ascii="IRNazanin" w:hAnsi="IRNazanin" w:eastAsia="IRNazanin" w:cs="IRNazanin"/>
          <w:lang w:bidi="fa-IR"/>
          <w:color w:val="111111"/>
          <w:sz w:val="28"/>
          <w:szCs w:val="28"/>
          <w:rtl/>
        </w:rPr>
        <w:t xml:space="preserve">أنّ المتیقّن السابق إذا کان ممّا یستقلّ به العقل-کحرمة الظلم و قبح التکلیف بما لا یطاق و نحوهما من المحسّنات و المقبّحات العقلیّة- فلا یجوز استصحابه؛لأنّ الاستصحاب إبقاء ما کان،و الحکم العقلیّ موضوعه معلوم تفصیلا للعقل الحاکم به،فإن أدرک العقل بقاء الموضوع فی الآن الثانی حکم به حکما قطعیّا کما حکم أوّلا،و إن أدرک ارتفاعه قطع بارتفاع ذلک الحکم،</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 لو ثبت مثله بدلیل لکان حکما جدیدا حادثا فی موضوع جدید.</w:t>
      </w:r>
    </w:p>
    <w:p>
      <w:pPr>
        <w:pStyle w:val="BookText"/>
      </w:pPr>
      <w:r>
        <w:rPr>
          <w:rFonts w:ascii="IRNazanin" w:hAnsi="IRNazanin" w:eastAsia="IRNazanin" w:cs="IRNazanin"/>
          <w:lang w:bidi="fa-IR"/>
          <w:color w:val="111111"/>
          <w:sz w:val="28"/>
          <w:szCs w:val="28"/>
          <w:rtl/>
        </w:rPr>
        <w:t xml:space="preserve">و أمّا الشکّ فی بقاء الموضوع،فإن کان لاشتباه خارجیّ-کالشکّ فی بقاء الإضرار فی السمّ الذی حکم العقل بقبح شربه-فذلک خارج عمّا نحن فیه،و سیأتی الکلام فیه </w:t>
      </w:r>
      <w:r>
        <w:rPr>
          <w:rStyle w:val="FootnoteReference"/>
        </w:rPr>
        <w:footnoteReference w:id="21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إن کان لعدم تعیین الموضوع تفصیلا و احتمال مدخلیّة موجود مرتفع أو معدوم حادث فی موضوعیّة الموضوع،فهذا غیر متصوّر فی المستقلاّت العقلیّة؛لأنّ العقل لا یستقلّ بالحکم إلاّ بعد إحراز الموضوع</w:t>
      </w:r>
    </w:p>
    <w:p>
      <w:pPr>
        <w:pStyle w:val="BookText"/>
      </w:pPr>
      <w:r>
        <w:rPr>
          <w:rFonts w:ascii="IRNazanin" w:hAnsi="IRNazanin" w:eastAsia="IRNazanin" w:cs="IRNazanin"/>
          <w:lang w:bidi="fa-IR"/>
          <w:color w:val="111111"/>
          <w:sz w:val="28"/>
          <w:szCs w:val="28"/>
          <w:rtl/>
        </w:rPr>
        <w:t xml:space="preserve">[شماره صفحه واقعی : 215]
</w:t>
      </w:r>
    </w:p>
    <w:p>
      <w:pPr>
        <w:sectPr>
          <w:footerReference w:type="default" r:id="rId727"/>
          <w:footnotePr>
            <w:numStart w:val="1"/>
            <w:numRestart w:val="eachPage"/>
          </w:footnotePr>
          <w:pgSz w:orient="portrait" w:w="11905.511811023622" w:h="16837.79527559055"/>
          <w:pgMar w:top="1440" w:right="1440" w:bottom="1440" w:left="1440" w:header="720" w:footer="720" w:gutter="0"/>
          <w:cols w:num="1" w:space="720"/>
        </w:sectPr>
      </w:pPr>
    </w:p>
    <w:bookmarkStart w:id="444" w:name="pg14411_143109"/>
    <w:bookmarkEnd w:id="444"/>
    <w:p>
      <w:pPr>
        <w:pStyle w:val="BookText"/>
      </w:pPr>
      <w:r>
        <w:rPr>
          <w:rFonts w:ascii="IRNazanin" w:hAnsi="IRNazanin" w:eastAsia="IRNazanin" w:cs="IRNazanin"/>
          <w:lang w:bidi="fa-IR"/>
          <w:color w:val="111111"/>
          <w:sz w:val="28"/>
          <w:szCs w:val="28"/>
          <w:rtl/>
        </w:rPr>
        <w:t xml:space="preserve">و معرفته تفصیلا؛لأنّ القضایا العقلیّة إمّا ضروریّة لا یحتاج العقل فی حکمه إلی أزید من تصوّر الموضوع بجمیع ما له دخل فی موضوعیّته من قیوده،و إمّا نظریّة تنتهی إلی ضروریّة کذلک،فلا یعقل إجمال الموضوع فی حکم العقل،مع أنّک ستعرف فی مسألة اشتراط بقاء الموضوع </w:t>
      </w:r>
      <w:r>
        <w:rPr>
          <w:rStyle w:val="FootnoteReference"/>
        </w:rPr>
        <w:footnoteReference w:id="2187"/>
      </w:r>
      <w:r>
        <w:rPr>
          <w:rFonts w:ascii="IRNazanin" w:hAnsi="IRNazanin" w:eastAsia="IRNazanin" w:cs="IRNazanin"/>
          <w:lang w:bidi="fa-IR"/>
          <w:color w:val="111111"/>
          <w:sz w:val="28"/>
          <w:szCs w:val="28"/>
          <w:rtl/>
        </w:rPr>
        <w:t xml:space="preserve">،أنّ الشکّ فی الموضوع-خصوصا لأجل مدخلیّة شیء- مانع عن إجراء الاستصحاب.</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فإن قلت:فکیف یستصحب الحکم الشرعیّ مع أنّه کاشف عن حکم عقلیّ مستقلّ؟فإنّه إذا ثبت حکم العقل بردّ الودیعة،و حکم الشارع طبقه بوجوب الردّ،ثمّ عرض ما یوجب الشکّ-مثل الاضطرار و الخوف-فیستصحب الحکم </w:t>
      </w:r>
      <w:r>
        <w:rPr>
          <w:rStyle w:val="FootnoteReference"/>
        </w:rPr>
        <w:footnoteReference w:id="2188"/>
      </w:r>
      <w:r>
        <w:rPr>
          <w:rFonts w:ascii="IRNazanin" w:hAnsi="IRNazanin" w:eastAsia="IRNazanin" w:cs="IRNazanin"/>
          <w:lang w:bidi="fa-IR"/>
          <w:color w:val="111111"/>
          <w:sz w:val="28"/>
          <w:szCs w:val="28"/>
          <w:rtl/>
        </w:rPr>
        <w:t xml:space="preserve">مع أنّه کان تابعا للحکم العقلیّ.</w:t>
      </w:r>
    </w:p>
    <w:p>
      <w:pPr>
        <w:pStyle w:val="Heading6"/>
      </w:pPr>
      <w:bookmarkStart w:id="1907" w:name="_Toc942"/>
      <w:r>
        <w:t>[عدم جریان الاستصحاب فی الحکم الشرعی المستند إلی الحکم العقلی أیضا:]</w:t>
      </w:r>
      <w:bookmarkEnd w:id="1907"/>
    </w:p>
    <w:p>
      <w:pPr>
        <w:pStyle w:val="BookText"/>
      </w:pPr>
      <w:r>
        <w:rPr>
          <w:rFonts w:ascii="IRNazanin" w:hAnsi="IRNazanin" w:eastAsia="IRNazanin" w:cs="IRNazanin"/>
          <w:lang w:bidi="fa-IR"/>
          <w:color w:val="111111"/>
          <w:sz w:val="28"/>
          <w:szCs w:val="28"/>
          <w:rtl/>
        </w:rPr>
        <w:t xml:space="preserve">قلت:أمّا الحکم الشرعیّ المستند إلی الحکم العقلیّ،فحاله حال الحکم العقلیّ فی عدم جریان الاستصحاب.نعم،لو ورد فی مورد حکم العقل حکم شرعیّ من غیر جهة العقل،و حصل التغیّر فی حال من أحوال موضوعه ممّا یحتمل مدخلیّته وجودا أو عدما فی الحکم،جری الاستصحاب و حکم بأنّ موضوعه أعمّ من موضوع حکم العقل؛و من هنا یجری استصحاب عدم التکلیف فی حال یستقلّ العقل بقبح التکلیف فیه،لکنّ </w:t>
      </w:r>
      <w:r>
        <w:rPr>
          <w:rStyle w:val="FootnoteReference"/>
        </w:rPr>
        <w:footnoteReference w:id="2189"/>
      </w:r>
      <w:r>
        <w:rPr>
          <w:rFonts w:ascii="IRNazanin" w:hAnsi="IRNazanin" w:eastAsia="IRNazanin" w:cs="IRNazanin"/>
          <w:lang w:bidi="fa-IR"/>
          <w:color w:val="111111"/>
          <w:sz w:val="28"/>
          <w:szCs w:val="28"/>
          <w:rtl/>
        </w:rPr>
        <w:t xml:space="preserve">العدم الأزلیّ لیس مستندا إلی القبح و إن کان موردا للقبح.</w:t>
      </w:r>
    </w:p>
    <w:p>
      <w:pPr>
        <w:pStyle w:val="BookText"/>
      </w:pPr>
      <w:r>
        <w:rPr>
          <w:rFonts w:ascii="IRNazanin" w:hAnsi="IRNazanin" w:eastAsia="IRNazanin" w:cs="IRNazanin"/>
          <w:lang w:bidi="fa-IR"/>
          <w:color w:val="111111"/>
          <w:sz w:val="28"/>
          <w:szCs w:val="28"/>
          <w:rtl/>
        </w:rPr>
        <w:t xml:space="preserve">هذا حال نفس الحکم العقلی.</w:t>
      </w:r>
    </w:p>
    <w:p>
      <w:pPr>
        <w:pStyle w:val="BookText"/>
      </w:pPr>
      <w:r>
        <w:rPr>
          <w:rFonts w:ascii="IRNazanin" w:hAnsi="IRNazanin" w:eastAsia="IRNazanin" w:cs="IRNazanin"/>
          <w:lang w:bidi="fa-IR"/>
          <w:color w:val="111111"/>
          <w:sz w:val="28"/>
          <w:szCs w:val="28"/>
          <w:rtl/>
        </w:rPr>
        <w:t xml:space="preserve">[شماره صفحه واقعی : 216]
</w:t>
      </w:r>
    </w:p>
    <w:p>
      <w:pPr>
        <w:sectPr>
          <w:footerReference w:type="default" r:id="rId728"/>
          <w:footnotePr>
            <w:numStart w:val="1"/>
            <w:numRestart w:val="eachPage"/>
          </w:footnotePr>
          <w:pgSz w:orient="portrait" w:w="11905.511811023622" w:h="16837.79527559055"/>
          <w:pgMar w:top="1440" w:right="1440" w:bottom="1440" w:left="1440" w:header="720" w:footer="720" w:gutter="0"/>
          <w:cols w:num="1" w:space="720"/>
        </w:sectPr>
      </w:pPr>
    </w:p>
    <w:bookmarkStart w:id="445" w:name="pg14411_143110"/>
    <w:bookmarkEnd w:id="445"/>
    <w:p>
      <w:pPr>
        <w:pStyle w:val="Heading6"/>
      </w:pPr>
      <w:bookmarkStart w:id="1908" w:name="_Toc943"/>
      <w:r>
        <w:t>[هل یجری الاستصحاب فی موضوع الحکم العقلی؟:]</w:t>
      </w:r>
      <w:bookmarkEnd w:id="1908"/>
    </w:p>
    <w:p>
      <w:pPr>
        <w:pStyle w:val="BookText"/>
      </w:pPr>
      <w:r>
        <w:rPr>
          <w:rFonts w:ascii="IRNazanin" w:hAnsi="IRNazanin" w:eastAsia="IRNazanin" w:cs="IRNazanin"/>
          <w:lang w:bidi="fa-IR"/>
          <w:color w:val="111111"/>
          <w:sz w:val="28"/>
          <w:szCs w:val="28"/>
          <w:rtl/>
        </w:rPr>
        <w:t xml:space="preserve">و أمّا موضوعه-کالضرر المشکوک بقاؤه فی المثال المتقدّم-فالذی ینبغی أن یقال فیه:</w:t>
      </w:r>
    </w:p>
    <w:p>
      <w:pPr>
        <w:pStyle w:val="BookText"/>
      </w:pPr>
      <w:r>
        <w:rPr>
          <w:rFonts w:ascii="IRNazanin" w:hAnsi="IRNazanin" w:eastAsia="IRNazanin" w:cs="IRNazanin"/>
          <w:lang w:bidi="fa-IR"/>
          <w:color w:val="111111"/>
          <w:sz w:val="28"/>
          <w:szCs w:val="28"/>
          <w:rtl/>
        </w:rPr>
        <w:t xml:space="preserve">إنّ الاستصحاب إن اعتبر من باب الظنّ عمل به هنا؛لأنّه یظنّ الضرر بالاستصحاب،فیحمل علیه الحکم العقلیّ إن کان موضوعه أعمّ من القطع و الظنّ،کما فی مثال الضرر </w:t>
      </w:r>
      <w:r>
        <w:rPr>
          <w:rStyle w:val="FootnoteReference"/>
        </w:rPr>
        <w:footnoteReference w:id="21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إن اعتبر من باب التعبّد-لأجل الأخبار-فلا یجوز العمل به؛ للقطع بانتفاء حکم العقل مع الشکّ فی الموضوع الذی کان یحکم علیه مع القطع </w:t>
      </w:r>
      <w:r>
        <w:rPr>
          <w:rStyle w:val="FootnoteReference"/>
        </w:rPr>
        <w:footnoteReference w:id="21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مثلا:إذا ثبت بقاء الضرر فی السمّ فی المثال المتقدّم بالاستصحاب، فمعنی ذلک ترتیب الآثار الشرعیّة المجعولة للضرر علی مورد الشکّ،و أمّا الحکم العقلی </w:t>
      </w:r>
      <w:r>
        <w:rPr>
          <w:rStyle w:val="FootnoteReference"/>
        </w:rPr>
        <w:footnoteReference w:id="2192"/>
      </w:r>
      <w:r>
        <w:rPr>
          <w:rFonts w:ascii="Amiri" w:hAnsi="Amiri" w:eastAsia="Amiri" w:cs="Amiri"/>
          <w:lang w:bidi="ar-SA"/>
          <w:color w:val="111111"/>
          <w:sz w:val="28"/>
          <w:szCs w:val="28"/>
          <w:rtl/>
        </w:rPr>
        <w:t xml:space="preserve">بالقبح و الحرمة </w:t>
      </w:r>
      <w:r>
        <w:rPr>
          <w:rStyle w:val="FootnoteReference"/>
        </w:rPr>
        <w:footnoteReference w:id="2193"/>
      </w:r>
      <w:r>
        <w:rPr>
          <w:rFonts w:ascii="IRNazanin" w:hAnsi="IRNazanin" w:eastAsia="IRNazanin" w:cs="IRNazanin"/>
          <w:lang w:bidi="fa-IR"/>
          <w:color w:val="111111"/>
          <w:sz w:val="28"/>
          <w:szCs w:val="28"/>
          <w:rtl/>
        </w:rPr>
        <w:t xml:space="preserve">فلا یثبت إلاّ مع إحراز الضرر </w:t>
      </w:r>
      <w:r>
        <w:rPr>
          <w:rStyle w:val="FootnoteReference"/>
        </w:rPr>
        <w:footnoteReference w:id="2194"/>
      </w:r>
      <w:r>
        <w:rPr>
          <w:rFonts w:ascii="IRNazanin" w:hAnsi="IRNazanin" w:eastAsia="IRNazanin" w:cs="IRNazanin"/>
          <w:lang w:bidi="fa-IR"/>
          <w:color w:val="111111"/>
          <w:sz w:val="28"/>
          <w:szCs w:val="28"/>
          <w:rtl/>
        </w:rPr>
        <w:t xml:space="preserve">.نعم، یثبت الحرمة الشرعیّة بمعنی نهی الشارع ظاهرا </w:t>
      </w:r>
      <w:r>
        <w:rPr>
          <w:rStyle w:val="FootnoteReference"/>
        </w:rPr>
        <w:footnoteReference w:id="2195"/>
      </w:r>
      <w:r>
        <w:rPr>
          <w:rFonts w:ascii="IRNazanin" w:hAnsi="IRNazanin" w:eastAsia="IRNazanin" w:cs="IRNazanin"/>
          <w:lang w:bidi="fa-IR"/>
          <w:color w:val="111111"/>
          <w:sz w:val="28"/>
          <w:szCs w:val="28"/>
          <w:rtl/>
        </w:rPr>
        <w:t xml:space="preserve">،و لا منافاة بین انتفاء</w:t>
      </w:r>
    </w:p>
    <w:p>
      <w:pPr>
        <w:pStyle w:val="BookText"/>
      </w:pPr>
      <w:r>
        <w:rPr>
          <w:rFonts w:ascii="IRNazanin" w:hAnsi="IRNazanin" w:eastAsia="IRNazanin" w:cs="IRNazanin"/>
          <w:lang w:bidi="fa-IR"/>
          <w:color w:val="111111"/>
          <w:sz w:val="28"/>
          <w:szCs w:val="28"/>
          <w:rtl/>
        </w:rPr>
        <w:t xml:space="preserve">[شماره صفحه واقعی : 217]
</w:t>
      </w:r>
    </w:p>
    <w:p>
      <w:pPr>
        <w:sectPr>
          <w:footerReference w:type="default" r:id="rId7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الحکم العقلیّ و ثبوت الحکم الشرعیّ؛لأنّ عدم حکم العقل </w:t>
      </w:r>
      <w:r>
        <w:rPr>
          <w:rStyle w:val="FootnoteReference"/>
        </w:rPr>
        <w:footnoteReference w:id="2196"/>
      </w:r>
      <w:r>
        <w:rPr>
          <w:rFonts w:ascii="IRNazanin" w:hAnsi="IRNazanin" w:eastAsia="IRNazanin" w:cs="IRNazanin"/>
          <w:lang w:bidi="fa-IR"/>
          <w:color w:val="111111"/>
          <w:sz w:val="28"/>
          <w:szCs w:val="28"/>
          <w:rtl/>
        </w:rPr>
        <w:t xml:space="preserve">مع الشکّ إنّما هو لاشتباه الموضوع عنده،و باشتباهه یشتبه الحکم الشرعیّ الواقعیّ أیضا،إلاّ أنّ الشارع حکم علی هذا المشتبه الحکم الواقعیّ بحکم ظاهریّ هی الحرمة.</w:t>
      </w:r>
    </w:p>
    <w:p>
      <w:pPr>
        <w:pStyle w:val="BookText"/>
      </w:pPr>
      <w:r>
        <w:rPr>
          <w:rFonts w:ascii="IRNazanin" w:hAnsi="IRNazanin" w:eastAsia="IRNazanin" w:cs="IRNazanin"/>
          <w:lang w:bidi="fa-IR"/>
          <w:color w:val="111111"/>
          <w:sz w:val="28"/>
          <w:szCs w:val="28"/>
          <w:rtl/>
        </w:rPr>
        <w:t xml:space="preserve">و ممّا ذکرنا-من عدم جریان الاستصحاب فی الحکم العقلیّ- یظهر:</w:t>
      </w:r>
    </w:p>
    <w:p>
      <w:pPr>
        <w:pStyle w:val="BookText"/>
      </w:pPr>
      <w:r>
        <w:rPr>
          <w:rFonts w:ascii="IRNazanin" w:hAnsi="IRNazanin" w:eastAsia="IRNazanin" w:cs="IRNazanin"/>
          <w:lang w:bidi="fa-IR"/>
          <w:color w:val="111111"/>
          <w:sz w:val="28"/>
          <w:szCs w:val="28"/>
          <w:rtl/>
        </w:rPr>
        <w:t xml:space="preserve">ما فی تمسّک بعضهم </w:t>
      </w:r>
      <w:r>
        <w:rPr>
          <w:rStyle w:val="FootnoteReference"/>
        </w:rPr>
        <w:footnoteReference w:id="2197"/>
      </w:r>
      <w:r>
        <w:rPr>
          <w:rFonts w:ascii="IRNazanin" w:hAnsi="IRNazanin" w:eastAsia="IRNazanin" w:cs="IRNazanin"/>
          <w:lang w:bidi="fa-IR"/>
          <w:color w:val="111111"/>
          <w:sz w:val="28"/>
          <w:szCs w:val="28"/>
          <w:rtl/>
        </w:rPr>
        <w:t xml:space="preserve">لإجزاء ما فعله الناسی لجزء من العبادة أو شرطها،باستصحاب عدم التکلیف الثابت حال النسیان.</w:t>
      </w:r>
    </w:p>
    <w:p>
      <w:pPr>
        <w:pStyle w:val="BookText"/>
      </w:pPr>
      <w:r>
        <w:rPr>
          <w:rFonts w:ascii="IRNazanin" w:hAnsi="IRNazanin" w:eastAsia="IRNazanin" w:cs="IRNazanin"/>
          <w:lang w:bidi="fa-IR"/>
          <w:color w:val="111111"/>
          <w:sz w:val="28"/>
          <w:szCs w:val="28"/>
          <w:rtl/>
        </w:rPr>
        <w:t xml:space="preserve">و ما فی اعتراض بعض المعاصرین </w:t>
      </w:r>
      <w:r>
        <w:rPr>
          <w:rStyle w:val="FootnoteReference"/>
        </w:rPr>
        <w:footnoteReference w:id="2198"/>
      </w:r>
      <w:r>
        <w:rPr>
          <w:rFonts w:ascii="IRNazanin" w:hAnsi="IRNazanin" w:eastAsia="IRNazanin" w:cs="IRNazanin"/>
          <w:lang w:bidi="fa-IR"/>
          <w:color w:val="111111"/>
          <w:sz w:val="28"/>
          <w:szCs w:val="28"/>
          <w:rtl/>
        </w:rPr>
        <w:t xml:space="preserve">علی من خصّ-من القدماء و المتأخّرین-استصحاب حال العقل باستصحاب العدم،بأنّه لا وجه للتخصیص؛فإنّ حکم العقل المستصحب قد یکون وجودیّا تکلیفیّا کاستصحاب تحریم التصرّف فی مال الغیر و وجوب ردّ الأمانة إذا عرض هناک ما یحتمل معه زوالهما-کالاضطرار و الخوف-أو وضعیّا کشرطیّة العلم للتکلیف إذا عرض ما یوجب الشکّ فی بقائها.و یظهر حال المثالین الأوّلین ممّا ذکرنا سابقا </w:t>
      </w:r>
      <w:r>
        <w:rPr>
          <w:rStyle w:val="FootnoteReference"/>
        </w:rPr>
        <w:footnoteReference w:id="2199"/>
      </w:r>
      <w:r>
        <w:rPr>
          <w:rFonts w:ascii="IRNazanin" w:hAnsi="IRNazanin" w:eastAsia="IRNazanin" w:cs="IRNazanin"/>
          <w:lang w:bidi="fa-IR"/>
          <w:color w:val="111111"/>
          <w:sz w:val="28"/>
          <w:szCs w:val="28"/>
          <w:rtl/>
        </w:rPr>
        <w:t xml:space="preserve">.و أمّا المثال الثالث،فلم یتصوّر فیه الشکّ فی بقاء شرطیّة العلم للتکلیف فی زمان.نعم،ربما یستصحب التکلیف فیما کان المکلّف به معلوما بالتفصیل ثمّ اشتبه و صار معلوما</w:t>
      </w:r>
    </w:p>
    <w:p>
      <w:pPr>
        <w:pStyle w:val="BookText"/>
      </w:pPr>
      <w:r>
        <w:rPr>
          <w:rFonts w:ascii="IRNazanin" w:hAnsi="IRNazanin" w:eastAsia="IRNazanin" w:cs="IRNazanin"/>
          <w:lang w:bidi="fa-IR"/>
          <w:color w:val="111111"/>
          <w:sz w:val="28"/>
          <w:szCs w:val="28"/>
          <w:rtl/>
        </w:rPr>
        <w:t xml:space="preserve">[شماره صفحه واقعی : 218]
</w:t>
      </w:r>
    </w:p>
    <w:p>
      <w:pPr>
        <w:sectPr>
          <w:footerReference w:type="default" r:id="rId7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بالإجمال،لکنّه خارج عمّا نحن فیه،مع عدم جریان الاستصحاب فیه،کما سننبّه علیه </w:t>
      </w:r>
      <w:r>
        <w:rPr>
          <w:rStyle w:val="FootnoteReference"/>
        </w:rPr>
        <w:footnoteReference w:id="22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یظهر أیضا فساد التمسّک باستصحاب البراءة و الاشتغال الثابتین بقاعدتی البراءة و الاشتغال </w:t>
      </w:r>
      <w:r>
        <w:rPr>
          <w:rStyle w:val="FootnoteReference"/>
        </w:rPr>
        <w:footnoteReference w:id="22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مثال الأوّل:ما إذا قطع بالبراءة عن وجوب غسل الجمعة و الدعاء عند رؤیة الهلال قبل الشرع أو العثور علیه،فإنّ مجرّد الشکّ فی حصول الاشتغال کاف فی حکم العقل بالبراءة،و لا حاجة إلی إبقاء البراءة السابقة و الحکم بعدم ارتفاعها ظاهرا،فلا فرق بین الحالة السابقة و اللاحقة فی استقلال العقل بقبح التکلیف فیهما؛لکون المناط فی القبح عدم العلم.</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نعم،لو ارید إثبات عدم الحکم أمکن إثباته باستصحاب عدمه،لکنّ المقصود من استصحابه لیس إلاّ ترتیب آثار عدم الحکم، و لیس إلاّ عدم الاشتغال الذی یحکم به العقل فی زمان الشکّ،فهو من آثار الشکّ لا المشکوک.</w:t>
      </w:r>
    </w:p>
    <w:p>
      <w:pPr>
        <w:pStyle w:val="BookText"/>
      </w:pPr>
      <w:r>
        <w:rPr>
          <w:rFonts w:ascii="IRNazanin" w:hAnsi="IRNazanin" w:eastAsia="IRNazanin" w:cs="IRNazanin"/>
          <w:lang w:bidi="fa-IR"/>
          <w:color w:val="111111"/>
          <w:sz w:val="28"/>
          <w:szCs w:val="28"/>
          <w:rtl/>
        </w:rPr>
        <w:t xml:space="preserve">و مثال الثانی:ما إذا حکم العقل-عند اشتباه المکلّف به- بوجوب السورة فی الصلاة،و وجوب الصلاة إلی أربع جهات،و وجوب الاجتناب عن کلا المشتبهین فی الشبهة المحصورة،ففعل ما یحتمل معه بقاء التکلیف الواقعیّ و سقوطه-کأن صلّی بلا سورة أو إلی بعض الجهات أو اجتنب أحدهما-فربما یتمسّک حینئذ باستصحاب الاشتغال المتیقّن سابقا.</w:t>
      </w:r>
    </w:p>
    <w:p>
      <w:pPr>
        <w:pStyle w:val="BookText"/>
      </w:pPr>
      <w:r>
        <w:rPr>
          <w:rFonts w:ascii="IRNazanin" w:hAnsi="IRNazanin" w:eastAsia="IRNazanin" w:cs="IRNazanin"/>
          <w:lang w:bidi="fa-IR"/>
          <w:color w:val="111111"/>
          <w:sz w:val="28"/>
          <w:szCs w:val="28"/>
          <w:rtl/>
        </w:rPr>
        <w:t xml:space="preserve">[شماره صفحه واقعی : 219]
</w:t>
      </w:r>
    </w:p>
    <w:p>
      <w:pPr>
        <w:sectPr>
          <w:footerReference w:type="default" r:id="rId7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فیه:أنّ الحکم السابق لم یکن إلاّ بحکم العقل الحاکم بوجوب تحصیل الیقین بالبراءة عن التکلیف المعلوم فی زمان،و هو بعینه موجود فی هذا الزمان.نعم،الفرق بین هذا الزمان و الزمان السابق:حصول العلم بوجود التکلیف فعلا بالواقع فی السابق و عدم العلم به فی هذا الزمان،و هذا لا یؤثّر فی حکم العقل المذکور؛إذ یکفی فیه العلم بالتکلیف الواقعی آناً ما.نعم،یجری استصحاب عدم فعل الواجب الواقعیّ و عدم سقوطه عنه،لکنّه لا یقضی بوجوب الإتیان بالصلاة مع السورة و الصلاة إلی الجهة الباقیة و اجتناب المشتبه الباقی،بل یقضی بوجوب تحصیل البراءة من الواقع.لکن مجرّد ذلک لا یثبت وجوب الإتیان بما یقتضی الیقین بالبراءة،إلاّ علی القول بالأصل المثبت،أو بضمیمة حکم العقل بوجوب تحصیل الیقین،و الأوّل لا نقول به،و الثانی بعینه موجود فی محلّ الشکّ من دون الاستصحاب.</w:t>
      </w:r>
    </w:p>
    <w:p>
      <w:pPr>
        <w:pStyle w:val="BookText"/>
      </w:pPr>
      <w:r>
        <w:rPr>
          <w:rFonts w:ascii="IRNazanin" w:hAnsi="IRNazanin" w:eastAsia="IRNazanin" w:cs="IRNazanin"/>
          <w:lang w:bidi="fa-IR"/>
          <w:color w:val="111111"/>
          <w:sz w:val="28"/>
          <w:szCs w:val="28"/>
          <w:rtl/>
        </w:rPr>
        <w:t xml:space="preserve">[شماره صفحه واقعی : 220]
</w:t>
      </w:r>
    </w:p>
    <w:p>
      <w:pPr>
        <w:sectPr>
          <w:footerReference w:type="default" r:id="rId732"/>
          <w:footnotePr>
            <w:numStart w:val="1"/>
            <w:numRestart w:val="eachPage"/>
          </w:footnotePr>
          <w:pgSz w:orient="portrait" w:w="11905.511811023622" w:h="16837.79527559055"/>
          <w:pgMar w:top="1440" w:right="1440" w:bottom="1440" w:left="1440" w:header="720" w:footer="720" w:gutter="0"/>
          <w:cols w:num="1" w:space="720"/>
        </w:sectPr>
      </w:pPr>
    </w:p>
    <w:bookmarkStart w:id="446" w:name="pg14411_143114"/>
    <w:bookmarkEnd w:id="446"/>
    <w:p>
      <w:pPr>
        <w:pStyle w:val="Heading6"/>
      </w:pPr>
      <w:bookmarkStart w:id="1909" w:name="_Toc944"/>
      <w:r>
        <w:t>الأمر الرابع [:هل یجری الاستصحاب التعلیقی؟]</w:t>
      </w:r>
      <w:bookmarkEnd w:id="1909"/>
    </w:p>
    <w:p>
      <w:pPr>
        <w:pStyle w:val="Heading6"/>
      </w:pPr>
      <w:bookmarkStart w:id="1910" w:name="_Toc945"/>
      <w:r>
        <w:t>اشارة</w:t>
      </w:r>
      <w:bookmarkEnd w:id="1910"/>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قد یطلق علی بعض الاستصحابات:الاستصحاب التقدیریّ تارة، و التعلیقیّ اخری؛باعتبار کون القضیّة المستصحبة قضیّة تعلیقیّة حکم فیها بوجود حکم علی تقدیر وجود آخر،فربما یتوهّم </w:t>
      </w:r>
      <w:r>
        <w:rPr>
          <w:rStyle w:val="FootnoteReference"/>
        </w:rPr>
        <w:footnoteReference w:id="2202"/>
      </w:r>
      <w:r>
        <w:rPr>
          <w:rFonts w:ascii="IRNazanin" w:hAnsi="IRNazanin" w:eastAsia="IRNazanin" w:cs="IRNazanin"/>
          <w:lang w:bidi="fa-IR"/>
          <w:color w:val="111111"/>
          <w:sz w:val="28"/>
          <w:szCs w:val="28"/>
          <w:rtl/>
        </w:rPr>
        <w:t xml:space="preserve">-لأجل ذلک- الإشکال فی اعتباره،بل منعه و الرجوع فیه إلی استصحاب مخالف له.</w:t>
      </w:r>
    </w:p>
    <w:p>
      <w:pPr>
        <w:pStyle w:val="Heading6"/>
      </w:pPr>
      <w:bookmarkStart w:id="1911" w:name="_Toc946"/>
      <w:r>
        <w:t>[توضیح هذا الاستصحاب:]</w:t>
      </w:r>
      <w:bookmarkEnd w:id="1911"/>
    </w:p>
    <w:p>
      <w:pPr>
        <w:pStyle w:val="BookText"/>
      </w:pPr>
      <w:r>
        <w:rPr>
          <w:rFonts w:ascii="IRNazanin" w:hAnsi="IRNazanin" w:eastAsia="IRNazanin" w:cs="IRNazanin"/>
          <w:lang w:bidi="fa-IR"/>
          <w:color w:val="111111"/>
          <w:sz w:val="28"/>
          <w:szCs w:val="28"/>
          <w:rtl/>
        </w:rPr>
        <w:t xml:space="preserve">توضیح ذلک:أنّ المستصحب قد یکون أمرا موجودا فی السابق بالفعل-کما إذا وجب الصلاة فعلا أو حرم العصیر العنبیّ بالفعل فی زمان،ثمّ شکّ فی بقائه و ارتفاعه-و هذا لا إشکال فی جریان الاستصحاب فیه.</w:t>
      </w:r>
    </w:p>
    <w:p>
      <w:pPr>
        <w:pStyle w:val="BookText"/>
      </w:pPr>
      <w:r>
        <w:rPr>
          <w:rFonts w:ascii="IRNazanin" w:hAnsi="IRNazanin" w:eastAsia="IRNazanin" w:cs="IRNazanin"/>
          <w:lang w:bidi="fa-IR"/>
          <w:color w:val="111111"/>
          <w:sz w:val="28"/>
          <w:szCs w:val="28"/>
          <w:rtl/>
        </w:rPr>
        <w:t xml:space="preserve">و قد یکون أمرا موجودا علی تقدیر وجود أمر،فالمستصحب هو وجوده التعلیقیّ،مثل:أنّ العنب کان حرمة مائه معلّقة علی غلیانه، فالحرمة ثابتة علی تقدیر الغلیان </w:t>
      </w:r>
      <w:r>
        <w:rPr>
          <w:rStyle w:val="FootnoteReference"/>
        </w:rPr>
        <w:footnoteReference w:id="2203"/>
      </w:r>
      <w:r>
        <w:rPr>
          <w:rFonts w:ascii="IRNazanin" w:hAnsi="IRNazanin" w:eastAsia="IRNazanin" w:cs="IRNazanin"/>
          <w:lang w:bidi="fa-IR"/>
          <w:color w:val="111111"/>
          <w:sz w:val="28"/>
          <w:szCs w:val="28"/>
          <w:rtl/>
        </w:rPr>
        <w:t xml:space="preserve">،فإذا جفّ و صار زبیبا فهل یبقی بالاستصحاب حرمة مائه المعلّقة علی الغلیان،فیحرم عند تحقّق الغلیان</w:t>
      </w:r>
    </w:p>
    <w:p>
      <w:pPr>
        <w:pStyle w:val="BookText"/>
      </w:pPr>
      <w:r>
        <w:rPr>
          <w:rFonts w:ascii="IRNazanin" w:hAnsi="IRNazanin" w:eastAsia="IRNazanin" w:cs="IRNazanin"/>
          <w:lang w:bidi="fa-IR"/>
          <w:color w:val="111111"/>
          <w:sz w:val="28"/>
          <w:szCs w:val="28"/>
          <w:rtl/>
        </w:rPr>
        <w:t xml:space="preserve">[شماره صفحه واقعی : 221]
</w:t>
      </w:r>
    </w:p>
    <w:p>
      <w:pPr>
        <w:sectPr>
          <w:footerReference w:type="default" r:id="rId733"/>
          <w:footnotePr>
            <w:numStart w:val="1"/>
            <w:numRestart w:val="eachPage"/>
          </w:footnotePr>
          <w:pgSz w:orient="portrait" w:w="11905.511811023622" w:h="16837.79527559055"/>
          <w:pgMar w:top="1440" w:right="1440" w:bottom="1440" w:left="1440" w:header="720" w:footer="720" w:gutter="0"/>
          <w:cols w:num="1" w:space="720"/>
        </w:sectPr>
      </w:pPr>
    </w:p>
    <w:bookmarkStart w:id="447" w:name="pg14411_143115"/>
    <w:bookmarkEnd w:id="447"/>
    <w:p>
      <w:pPr>
        <w:pStyle w:val="BookText"/>
      </w:pPr>
      <w:r>
        <w:rPr>
          <w:rFonts w:ascii="IRNazanin" w:hAnsi="IRNazanin" w:eastAsia="IRNazanin" w:cs="IRNazanin"/>
          <w:lang w:bidi="fa-IR"/>
          <w:color w:val="111111"/>
          <w:sz w:val="28"/>
          <w:szCs w:val="28"/>
          <w:rtl/>
        </w:rPr>
        <w:t xml:space="preserve">أم لا،بل یستصحب الإباحة السابقة لماء الزبیب قبل الغلیان؟</w:t>
      </w:r>
    </w:p>
    <w:p>
      <w:pPr>
        <w:pStyle w:val="BookText"/>
      </w:pPr>
      <w:r>
        <w:rPr>
          <w:rFonts w:ascii="IRNazanin" w:hAnsi="IRNazanin" w:eastAsia="IRNazanin" w:cs="IRNazanin"/>
          <w:lang w:bidi="fa-IR"/>
          <w:color w:val="111111"/>
          <w:sz w:val="28"/>
          <w:szCs w:val="28"/>
          <w:rtl/>
        </w:rPr>
        <w:t xml:space="preserve">ظاهر سیّد مشایخنا </w:t>
      </w:r>
      <w:r>
        <w:rPr>
          <w:rStyle w:val="FootnoteReference"/>
        </w:rPr>
        <w:footnoteReference w:id="2204"/>
      </w:r>
      <w:r>
        <w:rPr>
          <w:rFonts w:ascii="IRNazanin" w:hAnsi="IRNazanin" w:eastAsia="IRNazanin" w:cs="IRNazanin"/>
          <w:lang w:bidi="fa-IR"/>
          <w:color w:val="111111"/>
          <w:sz w:val="28"/>
          <w:szCs w:val="28"/>
          <w:rtl/>
        </w:rPr>
        <w:t xml:space="preserve">فی المناهل-وفاقا لما حکاه عن والده قدّس سرّه </w:t>
      </w:r>
      <w:r>
        <w:rPr>
          <w:rStyle w:val="FootnoteReference"/>
        </w:rPr>
        <w:footnoteReference w:id="2205"/>
      </w:r>
      <w:r>
        <w:rPr>
          <w:rFonts w:ascii="IRNazanin" w:hAnsi="IRNazanin" w:eastAsia="IRNazanin" w:cs="IRNazanin"/>
          <w:lang w:bidi="fa-IR"/>
          <w:color w:val="111111"/>
          <w:sz w:val="28"/>
          <w:szCs w:val="28"/>
          <w:rtl/>
        </w:rPr>
        <w:t xml:space="preserve">فی الدرس-:عدم اعتبار الاستصحاب الأوّل،و الرجوع إلی الاستصحاب الثانی.</w:t>
      </w:r>
    </w:p>
    <w:p>
      <w:pPr>
        <w:pStyle w:val="Heading6"/>
      </w:pPr>
      <w:bookmarkStart w:id="1912" w:name="_Toc947"/>
      <w:r>
        <w:t>[کلام صاحب المناهل فی عدم جریان الاستصحاب التعلیقی:]</w:t>
      </w:r>
      <w:bookmarkEnd w:id="1912"/>
    </w:p>
    <w:p>
      <w:pPr>
        <w:pStyle w:val="Heading6"/>
      </w:pPr>
      <w:bookmarkStart w:id="1913" w:name="_Toc948"/>
      <w:r>
        <w:t>اشارة</w:t>
      </w:r>
      <w:bookmarkEnd w:id="1913"/>
    </w:p>
    <w:p>
      <w:pPr>
        <w:pStyle w:val="BookText"/>
      </w:pPr>
      <w:r>
        <w:rPr>
          <w:rFonts w:ascii="Amiri" w:hAnsi="Amiri" w:eastAsia="Amiri" w:cs="Amiri"/>
          <w:lang w:bidi="ar-SA"/>
          <w:color w:val="111111"/>
          <w:sz w:val="28"/>
          <w:szCs w:val="28"/>
          <w:rtl/>
        </w:rPr>
        <w:t xml:space="preserve">قال فی المناهل-فی ردّ تمسّک السیّد العلاّمة الطباطبائیّ </w:t>
      </w:r>
      <w:r>
        <w:rPr>
          <w:rStyle w:val="FootnoteReference"/>
        </w:rPr>
        <w:footnoteReference w:id="2206"/>
      </w:r>
      <w:r>
        <w:rPr>
          <w:rFonts w:ascii="IRNazanin" w:hAnsi="IRNazanin" w:eastAsia="IRNazanin" w:cs="IRNazanin"/>
          <w:lang w:bidi="fa-IR"/>
          <w:color w:val="111111"/>
          <w:sz w:val="28"/>
          <w:szCs w:val="28"/>
          <w:rtl/>
        </w:rPr>
        <w:t xml:space="preserve">علی حرمة العصیر من الزبیب إذا غلا بالاستصحاب،و دعوی تقدیمه علی استصحاب الإباحة-:</w:t>
      </w:r>
    </w:p>
    <w:p>
      <w:pPr>
        <w:pStyle w:val="BookText"/>
      </w:pPr>
      <w:r>
        <w:rPr>
          <w:rFonts w:ascii="IRNazanin" w:hAnsi="IRNazanin" w:eastAsia="IRNazanin" w:cs="IRNazanin"/>
          <w:lang w:bidi="fa-IR"/>
          <w:color w:val="111111"/>
          <w:sz w:val="28"/>
          <w:szCs w:val="28"/>
          <w:rtl/>
        </w:rPr>
        <w:t xml:space="preserve">إنّه یشترط فی حجّیّة الاستصحاب ثبوت أمر أو </w:t>
      </w:r>
      <w:r>
        <w:rPr>
          <w:rStyle w:val="FootnoteReference"/>
        </w:rPr>
        <w:footnoteReference w:id="2207"/>
      </w:r>
      <w:r>
        <w:rPr>
          <w:rFonts w:ascii="Amiri" w:hAnsi="Amiri" w:eastAsia="Amiri" w:cs="Amiri"/>
          <w:lang w:bidi="ar-SA"/>
          <w:color w:val="111111"/>
          <w:sz w:val="28"/>
          <w:szCs w:val="28"/>
          <w:rtl/>
        </w:rPr>
        <w:t xml:space="preserve">حکم وضعیّ أو تکلیفیّ </w:t>
      </w:r>
      <w:r>
        <w:rPr>
          <w:rStyle w:val="FootnoteReference"/>
        </w:rPr>
        <w:footnoteReference w:id="2208"/>
      </w:r>
      <w:r>
        <w:rPr>
          <w:rFonts w:ascii="IRNazanin" w:hAnsi="IRNazanin" w:eastAsia="IRNazanin" w:cs="IRNazanin"/>
          <w:lang w:bidi="fa-IR"/>
          <w:color w:val="111111"/>
          <w:sz w:val="28"/>
          <w:szCs w:val="28"/>
          <w:rtl/>
        </w:rPr>
        <w:t xml:space="preserve">فی زمان من الأزمنة قطعا،ثمّ یحصل الشکّ فی ارتفاعه بسبب من الأسباب،و لا </w:t>
      </w:r>
      <w:r>
        <w:rPr>
          <w:rStyle w:val="FootnoteReference"/>
        </w:rPr>
        <w:footnoteReference w:id="2209"/>
      </w:r>
      <w:r>
        <w:rPr>
          <w:rFonts w:ascii="IRNazanin" w:hAnsi="IRNazanin" w:eastAsia="IRNazanin" w:cs="IRNazanin"/>
          <w:lang w:bidi="fa-IR"/>
          <w:color w:val="111111"/>
          <w:sz w:val="28"/>
          <w:szCs w:val="28"/>
          <w:rtl/>
        </w:rPr>
        <w:t xml:space="preserve">یکفی مجرّد قابلیّة الثبوت باعتبار من الاعتبارات،فالاستصحاب التقدیریّ باطل،و قد صرّح بذلک الوالد العلاّمة قدّس سرّه فی أثناء الدرس،فلا وجه للتمسّک باستصحاب التحریم فی المسألة </w:t>
      </w:r>
      <w:r>
        <w:rPr>
          <w:rStyle w:val="FootnoteReference"/>
        </w:rPr>
        <w:footnoteReference w:id="2210"/>
      </w:r>
      <w:r>
        <w:rPr>
          <w:rFonts w:ascii="IRNazanin" w:hAnsi="IRNazanin" w:eastAsia="IRNazanin" w:cs="IRNazanin"/>
          <w:lang w:bidi="fa-IR"/>
          <w:color w:val="111111"/>
          <w:sz w:val="28"/>
          <w:szCs w:val="28"/>
          <w:rtl/>
        </w:rPr>
        <w:t xml:space="preserve">.انتهی کلامه،رفع مقامه.</w:t>
      </w:r>
    </w:p>
    <w:p>
      <w:pPr>
        <w:pStyle w:val="Heading6"/>
      </w:pPr>
      <w:bookmarkStart w:id="1914" w:name="_Toc949"/>
      <w:r>
        <w:t>[المناقشة فی ما أفاده صاحب المناهل:]</w:t>
      </w:r>
      <w:bookmarkEnd w:id="1914"/>
    </w:p>
    <w:p>
      <w:pPr>
        <w:pStyle w:val="BookText"/>
      </w:pPr>
      <w:r>
        <w:rPr>
          <w:rFonts w:ascii="IRNazanin" w:hAnsi="IRNazanin" w:eastAsia="IRNazanin" w:cs="IRNazanin"/>
          <w:lang w:bidi="fa-IR"/>
          <w:color w:val="111111"/>
          <w:sz w:val="28"/>
          <w:szCs w:val="28"/>
          <w:rtl/>
        </w:rPr>
        <w:t xml:space="preserve">أقول:لا إشکال فی أنّه یعتبر فی الاستصحاب تحقّق المستصحب</w:t>
      </w:r>
    </w:p>
    <w:p>
      <w:pPr>
        <w:pStyle w:val="BookText"/>
      </w:pPr>
      <w:r>
        <w:rPr>
          <w:rFonts w:ascii="IRNazanin" w:hAnsi="IRNazanin" w:eastAsia="IRNazanin" w:cs="IRNazanin"/>
          <w:lang w:bidi="fa-IR"/>
          <w:color w:val="111111"/>
          <w:sz w:val="28"/>
          <w:szCs w:val="28"/>
          <w:rtl/>
        </w:rPr>
        <w:t xml:space="preserve">[شماره صفحه واقعی : 222]
</w:t>
      </w:r>
    </w:p>
    <w:p>
      <w:pPr>
        <w:sectPr>
          <w:footerReference w:type="default" r:id="rId734"/>
          <w:footnotePr>
            <w:numStart w:val="1"/>
            <w:numRestart w:val="eachPage"/>
          </w:footnotePr>
          <w:pgSz w:orient="portrait" w:w="11905.511811023622" w:h="16837.79527559055"/>
          <w:pgMar w:top="1440" w:right="1440" w:bottom="1440" w:left="1440" w:header="720" w:footer="720" w:gutter="0"/>
          <w:cols w:num="1" w:space="720"/>
        </w:sectPr>
      </w:pPr>
    </w:p>
    <w:bookmarkStart w:id="448" w:name="pg14411_143116"/>
    <w:bookmarkEnd w:id="448"/>
    <w:p>
      <w:pPr>
        <w:pStyle w:val="BookText"/>
      </w:pPr>
      <w:r>
        <w:rPr>
          <w:rFonts w:ascii="IRNazanin" w:hAnsi="IRNazanin" w:eastAsia="IRNazanin" w:cs="IRNazanin"/>
          <w:lang w:bidi="fa-IR"/>
          <w:color w:val="111111"/>
          <w:sz w:val="28"/>
          <w:szCs w:val="28"/>
          <w:rtl/>
        </w:rPr>
        <w:t xml:space="preserve">سابقا،و الشکّ فی ارتفاع ذلک المحقّق،و لا إشکال أیضا فی عدم اعتبار أزید من ذلک.و من المعلوم أنّ تحقّق کلّ شیء بحسبه،</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فإذا قلنا:العنب یحرم ماؤه إذا غلا أو بسبب الغلیان،فهناک لازم،و ملزوم،و ملازمة.</w:t>
      </w:r>
    </w:p>
    <w:p>
      <w:pPr>
        <w:pStyle w:val="BookText"/>
      </w:pPr>
      <w:r>
        <w:rPr>
          <w:rFonts w:ascii="IRNazanin" w:hAnsi="IRNazanin" w:eastAsia="IRNazanin" w:cs="IRNazanin"/>
          <w:lang w:bidi="fa-IR"/>
          <w:color w:val="111111"/>
          <w:sz w:val="28"/>
          <w:szCs w:val="28"/>
          <w:rtl/>
        </w:rPr>
        <w:t xml:space="preserve">أمّا الملازمة-و بعبارة اخری:سببیّة الغلیان لتحریم ماء العصیر- فهی متحقّقه بالفعل من دون تعلیق.</w:t>
      </w:r>
    </w:p>
    <w:p>
      <w:pPr>
        <w:pStyle w:val="BookText"/>
      </w:pPr>
      <w:r>
        <w:rPr>
          <w:rFonts w:ascii="IRNazanin" w:hAnsi="IRNazanin" w:eastAsia="IRNazanin" w:cs="IRNazanin"/>
          <w:lang w:bidi="fa-IR"/>
          <w:color w:val="111111"/>
          <w:sz w:val="28"/>
          <w:szCs w:val="28"/>
          <w:rtl/>
        </w:rPr>
        <w:t xml:space="preserve">و أمّا اللازم-و هی الحرمة-فله وجود مقیّد بکونه علی تقدیر الملزوم،و هذا الوجود التقدیریّ أمر متحقّق فی نفسه فی مقابل عدمه، و حینئذ فإذا شککنا فی أنّ وصف العنبیّة له مدخل فی تأثیر الغلیان فی حرمة مائه،فلا أثر للغلیان فی التحریم بعد جفاف العنب و صیرورته زبیبا،فأیّ فرق بین هذا و بین سائر الأحکام الثابتة للعنب إذا شکّ فی بقائها بعد صیرورته زبیبا؟</w:t>
      </w:r>
    </w:p>
    <w:p>
      <w:pPr>
        <w:pStyle w:val="Heading6"/>
      </w:pPr>
      <w:bookmarkStart w:id="1915" w:name="_Toc950"/>
      <w:r>
        <w:t>[بعض المناقشات فی الاستصحاب التعلیقی و دفعها:]</w:t>
      </w:r>
      <w:bookmarkEnd w:id="1915"/>
    </w:p>
    <w:p>
      <w:pPr>
        <w:pStyle w:val="BookText"/>
      </w:pPr>
      <w:r>
        <w:rPr>
          <w:rFonts w:ascii="IRNazanin" w:hAnsi="IRNazanin" w:eastAsia="IRNazanin" w:cs="IRNazanin"/>
          <w:lang w:bidi="fa-IR"/>
          <w:color w:val="111111"/>
          <w:sz w:val="28"/>
          <w:szCs w:val="28"/>
          <w:rtl/>
        </w:rPr>
        <w:t xml:space="preserve">نعم ربما یناقش فی الاستصحاب المذکور:تارة بانتفاء الموضوع و هو العنب،و اخری بمعارضته باستصحاب الإباحة قبل الغلیان،بل ترجیحه علیه بمثل الشهرة و العمومات </w:t>
      </w:r>
      <w:r>
        <w:rPr>
          <w:rStyle w:val="FootnoteReference"/>
        </w:rPr>
        <w:footnoteReference w:id="22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لکنّ الأوّل لا دخل له فی الفرق بین الآثار الثابتة للعنب بالفعل و الثابتة له علی تقدیر دون آخر،و الثانی فاسد؛لحکومة استصحاب الحرمة علی تقدیر الغلیان علی استصحاب الإباحة قبل الغلیان.</w:t>
      </w:r>
    </w:p>
    <w:p>
      <w:pPr>
        <w:pStyle w:val="Heading6"/>
      </w:pPr>
      <w:bookmarkStart w:id="1916" w:name="_Toc951"/>
      <w:r>
        <w:t>[مختار المصنّف فی المسألة:]</w:t>
      </w:r>
      <w:bookmarkEnd w:id="1916"/>
    </w:p>
    <w:p>
      <w:pPr>
        <w:pStyle w:val="BookText"/>
      </w:pPr>
      <w:r>
        <w:rPr>
          <w:rFonts w:ascii="IRNazanin" w:hAnsi="IRNazanin" w:eastAsia="IRNazanin" w:cs="IRNazanin"/>
          <w:lang w:bidi="fa-IR"/>
          <w:color w:val="111111"/>
          <w:sz w:val="28"/>
          <w:szCs w:val="28"/>
          <w:rtl/>
        </w:rPr>
        <w:t xml:space="preserve">فالتحقیق:أنّه لا یعقل فرق فی جریان الاستصحاب و لا فی اعتباره-من حیث الأخبار أو من حیث العقل-بین أنحاء تحقّق المستصحب،فکلّ نحو من التحقّق ثبت للمستصحب و شکّ فی ارتفاعه،</w:t>
      </w:r>
    </w:p>
    <w:p>
      <w:pPr>
        <w:pStyle w:val="BookText"/>
      </w:pPr>
      <w:r>
        <w:rPr>
          <w:rFonts w:ascii="IRNazanin" w:hAnsi="IRNazanin" w:eastAsia="IRNazanin" w:cs="IRNazanin"/>
          <w:lang w:bidi="fa-IR"/>
          <w:color w:val="111111"/>
          <w:sz w:val="28"/>
          <w:szCs w:val="28"/>
          <w:rtl/>
        </w:rPr>
        <w:t xml:space="preserve">[شماره صفحه واقعی : 223]
</w:t>
      </w:r>
    </w:p>
    <w:p>
      <w:pPr>
        <w:sectPr>
          <w:footerReference w:type="default" r:id="rId7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فالأصل بقاؤه،مع أنّک عرفت:أنّ الملازمة و سببیّة الملزوم للاّزم موجود بالفعل،وجد الملزوم أم لم یوجد؛لأنّ صدق الشرطیّة لا یتوقّف علی صدق الشرط،و هذا الاستصحاب غیر متوقّف علی وجود الملزوم.</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نعم،لو ارید إثبات وجود الحکم فعلا فی الزمان الثانی اعتبر إحراز الملزوم فیه؛لیترتّب علیه بحکم الاستصحاب لازمه،و قد یقع الشکّ فی وجود الملزوم فی الآن اللاحق؛لعدم تعیّنه و احتمال مدخلیّة شیء فی تأثیر ما یتراءی أنّه ملزوم.</w:t>
      </w:r>
    </w:p>
    <w:p>
      <w:pPr>
        <w:pStyle w:val="BookText"/>
      </w:pPr>
      <w:r>
        <w:rPr>
          <w:rFonts w:ascii="IRNazanin" w:hAnsi="IRNazanin" w:eastAsia="IRNazanin" w:cs="IRNazanin"/>
          <w:lang w:bidi="fa-IR"/>
          <w:color w:val="111111"/>
          <w:sz w:val="28"/>
          <w:szCs w:val="28"/>
          <w:rtl/>
        </w:rPr>
        <w:t xml:space="preserve">[شماره صفحه واقعی : 224]
</w:t>
      </w:r>
    </w:p>
    <w:p>
      <w:pPr>
        <w:sectPr>
          <w:footerReference w:type="default" r:id="rId736"/>
          <w:footnotePr>
            <w:numStart w:val="1"/>
            <w:numRestart w:val="eachPage"/>
          </w:footnotePr>
          <w:pgSz w:orient="portrait" w:w="11905.511811023622" w:h="16837.79527559055"/>
          <w:pgMar w:top="1440" w:right="1440" w:bottom="1440" w:left="1440" w:header="720" w:footer="720" w:gutter="0"/>
          <w:cols w:num="1" w:space="720"/>
        </w:sectPr>
      </w:pPr>
    </w:p>
    <w:bookmarkStart w:id="449" w:name="pg14411_143118"/>
    <w:bookmarkEnd w:id="449"/>
    <w:p>
      <w:pPr>
        <w:pStyle w:val="Heading6"/>
      </w:pPr>
      <w:bookmarkStart w:id="1917" w:name="_Toc952"/>
      <w:r>
        <w:t>الأمر الخامس [:استصحاب أحکام الشرائع السابقة]</w:t>
      </w:r>
      <w:bookmarkEnd w:id="1917"/>
    </w:p>
    <w:p>
      <w:pPr>
        <w:pStyle w:val="Heading6"/>
      </w:pPr>
      <w:bookmarkStart w:id="1918" w:name="_Toc953"/>
      <w:r>
        <w:t>اشارة</w:t>
      </w:r>
      <w:bookmarkEnd w:id="1918"/>
    </w:p>
    <w:p>
      <w:pPr>
        <w:pStyle w:val="BookText"/>
      </w:pPr>
      <w:r>
        <w:rPr>
          <w:rFonts w:ascii="IRNazanin" w:hAnsi="IRNazanin" w:eastAsia="IRNazanin" w:cs="IRNazanin"/>
          <w:lang w:bidi="fa-IR"/>
          <w:color w:val="111111"/>
          <w:sz w:val="28"/>
          <w:szCs w:val="28"/>
          <w:rtl/>
        </w:rPr>
        <w:t xml:space="preserve">أنّه لا فرق فی المستصحب بین أن یکون حکما ثابتا فی هذه الشریعة أم حکما من أحکام الشریعة السابقة؛إذ المقتضی موجود-و هو جریان دلیل الاستصحاب-و عدم ما یصلح مانعا،عدا امور:</w:t>
      </w:r>
    </w:p>
    <w:p>
      <w:pPr>
        <w:pStyle w:val="Heading6"/>
      </w:pPr>
      <w:bookmarkStart w:id="1919" w:name="_Toc954"/>
      <w:r>
        <w:t>[ما ذکره صاحب الفصول فی وجه المنع عن هذا الاستصحاب:]</w:t>
      </w:r>
      <w:bookmarkEnd w:id="1919"/>
    </w:p>
    <w:p>
      <w:pPr>
        <w:pStyle w:val="Heading6"/>
      </w:pPr>
      <w:bookmarkStart w:id="1920" w:name="_Toc955"/>
      <w:r>
        <w:t>اشارة</w:t>
      </w:r>
      <w:bookmarkEnd w:id="1920"/>
    </w:p>
    <w:p>
      <w:pPr>
        <w:pStyle w:val="BookText"/>
      </w:pPr>
      <w:r>
        <w:rPr>
          <w:rFonts w:ascii="IRNazanin" w:hAnsi="IRNazanin" w:eastAsia="IRNazanin" w:cs="IRNazanin"/>
          <w:lang w:bidi="fa-IR"/>
          <w:color w:val="111111"/>
          <w:sz w:val="28"/>
          <w:szCs w:val="28"/>
          <w:rtl/>
        </w:rPr>
        <w:t xml:space="preserve">منها:ما ذکره بعض المعاصرین </w:t>
      </w:r>
      <w:r>
        <w:rPr>
          <w:rStyle w:val="FootnoteReference"/>
        </w:rPr>
        <w:footnoteReference w:id="2212"/>
      </w:r>
      <w:r>
        <w:rPr>
          <w:rFonts w:ascii="IRNazanin" w:hAnsi="IRNazanin" w:eastAsia="IRNazanin" w:cs="IRNazanin"/>
          <w:lang w:bidi="fa-IR"/>
          <w:color w:val="111111"/>
          <w:sz w:val="28"/>
          <w:szCs w:val="28"/>
          <w:rtl/>
        </w:rPr>
        <w:t xml:space="preserve">،من أنّ الحکم الثابت فی حقّ جماعة لا یمکن استصحابه فی حقّ آخرین؛لتغایر الموضوع؛فإنّ ما ثبت فی حقّهم مثله لا نفسه،و لذا یتمسّک </w:t>
      </w:r>
      <w:r>
        <w:rPr>
          <w:rStyle w:val="FootnoteReference"/>
        </w:rPr>
        <w:footnoteReference w:id="2213"/>
      </w:r>
      <w:r>
        <w:rPr>
          <w:rFonts w:ascii="IRNazanin" w:hAnsi="IRNazanin" w:eastAsia="IRNazanin" w:cs="IRNazanin"/>
          <w:lang w:bidi="fa-IR"/>
          <w:color w:val="111111"/>
          <w:sz w:val="28"/>
          <w:szCs w:val="28"/>
          <w:rtl/>
        </w:rPr>
        <w:t xml:space="preserve">فی تسریة الأحکام الثابتة للحاضرین أو الموجودین إلی الغائبین أو المعدومین،بالإجماع و الأخبار الدالّة علی الشرکة،لا بالاستصحاب.</w:t>
      </w:r>
    </w:p>
    <w:p>
      <w:pPr>
        <w:pStyle w:val="Heading6"/>
      </w:pPr>
      <w:bookmarkStart w:id="1921" w:name="_Toc956"/>
      <w:r>
        <w:t>[المناقشة فی ما أفاده صاحب الفصول:]</w:t>
      </w:r>
      <w:bookmarkEnd w:id="1921"/>
    </w:p>
    <w:p>
      <w:pPr>
        <w:pStyle w:val="BookText"/>
      </w:pPr>
      <w:r>
        <w:rPr>
          <w:rFonts w:ascii="IRNazanin" w:hAnsi="IRNazanin" w:eastAsia="IRNazanin" w:cs="IRNazanin"/>
          <w:lang w:bidi="fa-IR"/>
          <w:color w:val="111111"/>
          <w:sz w:val="28"/>
          <w:szCs w:val="28"/>
          <w:rtl/>
        </w:rPr>
        <w:t xml:space="preserve">و فیه:أوّلا:أنّا نفرض الشخص الواحد مدرکا للشریعتین،فإذا حرم فی حقّه شیء سابقا،و شکّ فی بقاء الحرمة فی الشریعة اللاحقة، فلا مانع عن الاستصحاب أصلا؛فإنّ الشریعة اللاحقة لا تحدث عند</w:t>
      </w:r>
    </w:p>
    <w:p>
      <w:pPr>
        <w:pStyle w:val="BookText"/>
      </w:pPr>
      <w:r>
        <w:rPr>
          <w:rFonts w:ascii="IRNazanin" w:hAnsi="IRNazanin" w:eastAsia="IRNazanin" w:cs="IRNazanin"/>
          <w:lang w:bidi="fa-IR"/>
          <w:color w:val="111111"/>
          <w:sz w:val="28"/>
          <w:szCs w:val="28"/>
          <w:rtl/>
        </w:rPr>
        <w:t xml:space="preserve">[شماره صفحه واقعی : 225]
</w:t>
      </w:r>
    </w:p>
    <w:p>
      <w:pPr>
        <w:sectPr>
          <w:footerReference w:type="default" r:id="rId7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انقراض أهل الشریعة الاولی </w:t>
      </w:r>
      <w:r>
        <w:rPr>
          <w:rStyle w:val="FootnoteReference"/>
        </w:rPr>
        <w:footnoteReference w:id="22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ثانیا:أنّ اختلاف الأشخاص لا یمنع عن الاستصحاب،و إلاّ لم یجر استصحاب عدم النسخ.</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 حلّه:أنّ المستصحب هو الحکم الکلّیّ الثابت للجماعة علی وجه لا مدخل لأشخاصهم فیه </w:t>
      </w:r>
      <w:r>
        <w:rPr>
          <w:rStyle w:val="FootnoteReference"/>
        </w:rPr>
        <w:footnoteReference w:id="2215"/>
      </w:r>
      <w:r>
        <w:rPr>
          <w:rFonts w:ascii="IRNazanin" w:hAnsi="IRNazanin" w:eastAsia="IRNazanin" w:cs="IRNazanin"/>
          <w:lang w:bidi="fa-IR"/>
          <w:color w:val="111111"/>
          <w:sz w:val="28"/>
          <w:szCs w:val="28"/>
          <w:rtl/>
        </w:rPr>
        <w:t xml:space="preserve">إذ لو فرض وجود اللاحقین فی السابق عمّهم الحکم قطعا،غایة الأمر احتمال مدخلیّة بعض أوصافهم المعتبرة </w:t>
      </w:r>
      <w:r>
        <w:rPr>
          <w:rStyle w:val="FootnoteReference"/>
        </w:rPr>
        <w:footnoteReference w:id="2216"/>
      </w:r>
      <w:r>
        <w:rPr>
          <w:rFonts w:ascii="IRNazanin" w:hAnsi="IRNazanin" w:eastAsia="IRNazanin" w:cs="IRNazanin"/>
          <w:lang w:bidi="fa-IR"/>
          <w:color w:val="111111"/>
          <w:sz w:val="28"/>
          <w:szCs w:val="28"/>
          <w:rtl/>
        </w:rPr>
        <w:t xml:space="preserve">فی موضوع الحکم،و مثل هذا لو أثّر فی الاستصحاب لقدح فی أکثر الاستصحابات،بل فی جمیع موارد الشکّ من غیر جهة الرافع.</w:t>
      </w:r>
    </w:p>
    <w:p>
      <w:pPr>
        <w:pStyle w:val="BookText"/>
      </w:pPr>
      <w:r>
        <w:rPr>
          <w:rFonts w:ascii="IRNazanin" w:hAnsi="IRNazanin" w:eastAsia="IRNazanin" w:cs="IRNazanin"/>
          <w:lang w:bidi="fa-IR"/>
          <w:color w:val="111111"/>
          <w:sz w:val="28"/>
          <w:szCs w:val="28"/>
          <w:rtl/>
        </w:rPr>
        <w:t xml:space="preserve">و أمّا التمسّک فی تسریة الحکم من الحاضرین إلی الغائبین،فلیس مجری للاستصحاب حتّی یتمسّک به؛لأنّ تغایر الحاضرین المشافهین و الغائبین لیس بالزمان،و لعلّه سهو من قلمه قدّس سرّه.</w:t>
      </w:r>
    </w:p>
    <w:p>
      <w:pPr>
        <w:pStyle w:val="BookText"/>
      </w:pPr>
      <w:r>
        <w:rPr>
          <w:rFonts w:ascii="IRNazanin" w:hAnsi="IRNazanin" w:eastAsia="IRNazanin" w:cs="IRNazanin"/>
          <w:lang w:bidi="fa-IR"/>
          <w:color w:val="111111"/>
          <w:sz w:val="28"/>
          <w:szCs w:val="28"/>
          <w:rtl/>
        </w:rPr>
        <w:t xml:space="preserve">و أمّا التسریة من الموجودین إلی المعدومین،فیمکن التمسّک فیها بالاستصحاب بالتقریب المتقدّم </w:t>
      </w:r>
      <w:r>
        <w:rPr>
          <w:rStyle w:val="FootnoteReference"/>
        </w:rPr>
        <w:footnoteReference w:id="2217"/>
      </w:r>
      <w:r>
        <w:rPr>
          <w:rFonts w:ascii="IRNazanin" w:hAnsi="IRNazanin" w:eastAsia="IRNazanin" w:cs="IRNazanin"/>
          <w:lang w:bidi="fa-IR"/>
          <w:color w:val="111111"/>
          <w:sz w:val="28"/>
          <w:szCs w:val="28"/>
          <w:rtl/>
        </w:rPr>
        <w:t xml:space="preserve">،أو بإجرائه فی من بقی من الموجودین</w:t>
      </w:r>
    </w:p>
    <w:p>
      <w:pPr>
        <w:pStyle w:val="BookText"/>
      </w:pPr>
      <w:r>
        <w:rPr>
          <w:rFonts w:ascii="IRNazanin" w:hAnsi="IRNazanin" w:eastAsia="IRNazanin" w:cs="IRNazanin"/>
          <w:lang w:bidi="fa-IR"/>
          <w:color w:val="111111"/>
          <w:sz w:val="28"/>
          <w:szCs w:val="28"/>
          <w:rtl/>
        </w:rPr>
        <w:t xml:space="preserve">[شماره صفحه واقعی : 226]
</w:t>
      </w:r>
    </w:p>
    <w:p>
      <w:pPr>
        <w:sectPr>
          <w:footerReference w:type="default" r:id="rId738"/>
          <w:footnotePr>
            <w:numStart w:val="1"/>
            <w:numRestart w:val="eachPage"/>
          </w:footnotePr>
          <w:pgSz w:orient="portrait" w:w="11905.511811023622" w:h="16837.79527559055"/>
          <w:pgMar w:top="1440" w:right="1440" w:bottom="1440" w:left="1440" w:header="720" w:footer="720" w:gutter="0"/>
          <w:cols w:num="1" w:space="720"/>
        </w:sectPr>
      </w:pPr>
    </w:p>
    <w:bookmarkStart w:id="450" w:name="pg14411_143120"/>
    <w:bookmarkEnd w:id="450"/>
    <w:p>
      <w:pPr>
        <w:pStyle w:val="BookText"/>
      </w:pPr>
      <w:r>
        <w:rPr>
          <w:rFonts w:ascii="IRNazanin" w:hAnsi="IRNazanin" w:eastAsia="IRNazanin" w:cs="IRNazanin"/>
          <w:lang w:bidi="fa-IR"/>
          <w:color w:val="111111"/>
          <w:sz w:val="28"/>
          <w:szCs w:val="28"/>
          <w:rtl/>
        </w:rPr>
        <w:t xml:space="preserve">إلی زمان وجود المعدومین،و یتمّ الحکم فی المعدومین بقیام الضرورة علی اشتراک أهل الزمان الواحد فی الشریعة الواحدة.</w:t>
      </w:r>
    </w:p>
    <w:p>
      <w:pPr>
        <w:pStyle w:val="Heading6"/>
      </w:pPr>
      <w:bookmarkStart w:id="1922" w:name="_Toc957"/>
      <w:r>
        <w:t>[وجه آخر للمنع و دفعه:]</w:t>
      </w:r>
      <w:bookmarkEnd w:id="1922"/>
    </w:p>
    <w:p>
      <w:pPr>
        <w:pStyle w:val="BookText"/>
      </w:pPr>
      <w:r>
        <w:rPr>
          <w:rFonts w:ascii="IRNazanin" w:hAnsi="IRNazanin" w:eastAsia="IRNazanin" w:cs="IRNazanin"/>
          <w:lang w:bidi="fa-IR"/>
          <w:color w:val="111111"/>
          <w:sz w:val="28"/>
          <w:szCs w:val="28"/>
          <w:rtl/>
        </w:rPr>
        <w:t xml:space="preserve">و منها:ما اشتهر من أنّ هذه الشریعة ناسخة لغیرها من الشرائع، فلا یجوز الحکم بالبقاء </w:t>
      </w:r>
      <w:r>
        <w:rPr>
          <w:rStyle w:val="FootnoteReference"/>
        </w:rPr>
        <w:footnoteReference w:id="22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فیه:أنّه إن ارید نسخ کلّ حکم إلهیّ من أحکام الشریعة السابقة فهو ممنوع.</w:t>
      </w:r>
    </w:p>
    <w:p>
      <w:pPr>
        <w:pStyle w:val="BookText"/>
      </w:pPr>
      <w:r>
        <w:rPr>
          <w:rFonts w:ascii="IRNazanin" w:hAnsi="IRNazanin" w:eastAsia="IRNazanin" w:cs="IRNazanin"/>
          <w:lang w:bidi="fa-IR"/>
          <w:color w:val="111111"/>
          <w:sz w:val="28"/>
          <w:szCs w:val="28"/>
          <w:rtl/>
        </w:rPr>
        <w:t xml:space="preserve">و إن ارید نسخ البعض فالمتیقّن من المنسوخ ما علم بالدلیل، فیبقی غیره علی ما کان علیه و لو بحکم الاستصحاب.</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فإن قلت:إنّا نعلم قطعا بنسخ کثیر من الأحکام السابقة، و المعلوم تفصیلا منها قلیل فی الغایة،فیعلم بوجود المنسوخ فی غیره.</w:t>
      </w:r>
    </w:p>
    <w:p>
      <w:pPr>
        <w:pStyle w:val="BookText"/>
      </w:pPr>
      <w:r>
        <w:rPr>
          <w:rFonts w:ascii="IRNazanin" w:hAnsi="IRNazanin" w:eastAsia="IRNazanin" w:cs="IRNazanin"/>
          <w:lang w:bidi="fa-IR"/>
          <w:color w:val="111111"/>
          <w:sz w:val="28"/>
          <w:szCs w:val="28"/>
          <w:rtl/>
        </w:rPr>
        <w:t xml:space="preserve">قلت:لو سلّم ذلک،لم یقدح فی إجراء أصالة عدم النسخ فی المشکوکات؛لأنّ الأحکام المعلومة فی شرعنا بالأدلّة واجبة العمل -سواء کانت من موارد النسخ أم لا-فأصالة عدم النسخ فیها غیر محتاج إلیها،فیبقی أصالة عدم النسخ فی محلّ الحاجة سلیمة عن المعارض </w:t>
      </w:r>
      <w:r>
        <w:rPr>
          <w:rStyle w:val="FootnoteReference"/>
        </w:rPr>
        <w:footnoteReference w:id="2219"/>
      </w:r>
      <w:r>
        <w:rPr>
          <w:rFonts w:ascii="IRNazanin" w:hAnsi="IRNazanin" w:eastAsia="IRNazanin" w:cs="IRNazanin"/>
          <w:lang w:bidi="fa-IR"/>
          <w:color w:val="111111"/>
          <w:sz w:val="28"/>
          <w:szCs w:val="28"/>
          <w:rtl/>
        </w:rPr>
        <w:t xml:space="preserve">لما تقرّر فی الشبهة المحصورة </w:t>
      </w:r>
      <w:r>
        <w:rPr>
          <w:rStyle w:val="FootnoteReference"/>
        </w:rPr>
        <w:footnoteReference w:id="2220"/>
      </w:r>
      <w:r>
        <w:rPr>
          <w:rFonts w:ascii="IRNazanin" w:hAnsi="IRNazanin" w:eastAsia="IRNazanin" w:cs="IRNazanin"/>
          <w:lang w:bidi="fa-IR"/>
          <w:color w:val="111111"/>
          <w:sz w:val="28"/>
          <w:szCs w:val="28"/>
          <w:rtl/>
        </w:rPr>
        <w:t xml:space="preserve">:من أنّ الأصل فی بعض</w:t>
      </w:r>
    </w:p>
    <w:p>
      <w:pPr>
        <w:pStyle w:val="BookText"/>
      </w:pPr>
      <w:r>
        <w:rPr>
          <w:rFonts w:ascii="IRNazanin" w:hAnsi="IRNazanin" w:eastAsia="IRNazanin" w:cs="IRNazanin"/>
          <w:lang w:bidi="fa-IR"/>
          <w:color w:val="111111"/>
          <w:sz w:val="28"/>
          <w:szCs w:val="28"/>
          <w:rtl/>
        </w:rPr>
        <w:t xml:space="preserve">[شماره صفحه واقعی : 227]
</w:t>
      </w:r>
    </w:p>
    <w:p>
      <w:pPr>
        <w:sectPr>
          <w:footerReference w:type="default" r:id="rId739"/>
          <w:footnotePr>
            <w:numStart w:val="1"/>
            <w:numRestart w:val="eachPage"/>
          </w:footnotePr>
          <w:pgSz w:orient="portrait" w:w="11905.511811023622" w:h="16837.79527559055"/>
          <w:pgMar w:top="1440" w:right="1440" w:bottom="1440" w:left="1440" w:header="720" w:footer="720" w:gutter="0"/>
          <w:cols w:num="1" w:space="720"/>
        </w:sectPr>
      </w:pPr>
    </w:p>
    <w:bookmarkStart w:id="451" w:name="pg14411_143121"/>
    <w:bookmarkEnd w:id="451"/>
    <w:p>
      <w:pPr>
        <w:pStyle w:val="BookText"/>
      </w:pPr>
      <w:r>
        <w:rPr>
          <w:rFonts w:ascii="IRNazanin" w:hAnsi="IRNazanin" w:eastAsia="IRNazanin" w:cs="IRNazanin"/>
          <w:lang w:bidi="fa-IR"/>
          <w:color w:val="111111"/>
          <w:sz w:val="28"/>
          <w:szCs w:val="28"/>
          <w:rtl/>
        </w:rPr>
        <w:t xml:space="preserve">أطراف الشبهة إذا لم یکن جاریا أو لم یحتج إلیه،فلا ضیر فی إجراء الأصل فی البعض الآخر،و لأجل ما ذکرنا استمرّ بناء المسلمین فی أوّل البعثة علی الاستمرار علی ما کانوا علیه حتّی یطّلعوا علی الخلاف.</w:t>
      </w:r>
    </w:p>
    <w:p>
      <w:pPr>
        <w:pStyle w:val="BookText"/>
      </w:pPr>
      <w:r>
        <w:rPr>
          <w:rFonts w:ascii="IRNazanin" w:hAnsi="IRNazanin" w:eastAsia="IRNazanin" w:cs="IRNazanin"/>
          <w:lang w:bidi="fa-IR"/>
          <w:color w:val="111111"/>
          <w:sz w:val="28"/>
          <w:szCs w:val="28"/>
          <w:rtl/>
        </w:rPr>
        <w:t xml:space="preserve">إلاّ ان یقال:إنّ ذلک کان قبل إکمال شریعتنا،و أمّا بعده فقد جاء النبیّ صلی اللّه علیه و آله و سلّم بجمیع ما یحتاج إلیه الامّة إلی یوم القیامة،سواء خالف الشریعة السابقة أم وافقها،فنحن مکلّفون بتحصیل ذلک الحکم موافقا أم مخالفا؛لأنّه مقتضی التدیّن بهذا الدین.</w:t>
      </w:r>
    </w:p>
    <w:p>
      <w:pPr>
        <w:pStyle w:val="BookText"/>
      </w:pPr>
      <w:r>
        <w:rPr>
          <w:rFonts w:ascii="IRNazanin" w:hAnsi="IRNazanin" w:eastAsia="IRNazanin" w:cs="IRNazanin"/>
          <w:lang w:bidi="fa-IR"/>
          <w:color w:val="111111"/>
          <w:sz w:val="28"/>
          <w:szCs w:val="28"/>
          <w:rtl/>
        </w:rPr>
        <w:t xml:space="preserve">و لکن یدفعه:أنّ المفروض حصول الظنّ المعتبر من الاستصحاب ببقاء حکم اللّه السابق فی هذه الشریعة،فیظنّ بکونه ممّا جاء به النبیّ صلی اللّه علیه و آله و سلّم.و لو بنینا علی الاستصحاب تعبّدا فالأمر أوضح؛لکونه حکما کلّیّا فی شریعتنا بإبقاء ما ثبت فی السابق.</w:t>
      </w:r>
    </w:p>
    <w:p>
      <w:pPr>
        <w:pStyle w:val="Heading6"/>
      </w:pPr>
      <w:bookmarkStart w:id="1923" w:name="_Toc958"/>
      <w:r>
        <w:t>[ما ذکره المحقّق القمّی فی وجه المنع:]</w:t>
      </w:r>
      <w:bookmarkEnd w:id="1923"/>
    </w:p>
    <w:p>
      <w:pPr>
        <w:pStyle w:val="Heading6"/>
      </w:pPr>
      <w:bookmarkStart w:id="1924" w:name="_Toc959"/>
      <w:r>
        <w:t>اشارة</w:t>
      </w:r>
      <w:bookmarkEnd w:id="1924"/>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 منها:ما ذکره فی القوانین،من أنّ جریان الاستصحاب مبنیّ علی القول بکون حسن الأشیاء ذاتیّا،و هو ممنوع،بل التحقیق:أنّه بالوجوه و الاعتبارات </w:t>
      </w:r>
      <w:r>
        <w:rPr>
          <w:rStyle w:val="FootnoteReference"/>
        </w:rPr>
        <w:footnoteReference w:id="2221"/>
      </w:r>
      <w:r>
        <w:rPr>
          <w:rFonts w:ascii="Times New Roman" w:hAnsi="Times New Roman" w:eastAsia="Times New Roman" w:cs="Times New Roman"/>
          <w:lang w:val="en-US" w:bidi="en-US"/>
          <w:color w:val="111111"/>
          <w:sz w:val="28"/>
          <w:szCs w:val="28"/>
          <w:rtl/>
        </w:rPr>
        <w:t xml:space="preserve">.</w:t>
      </w:r>
    </w:p>
    <w:p>
      <w:pPr>
        <w:pStyle w:val="Heading6"/>
      </w:pPr>
      <w:bookmarkStart w:id="1925" w:name="_Toc960"/>
      <w:r>
        <w:t>[الجواب عمّا ذکره المحقّق القمّی:]</w:t>
      </w:r>
      <w:bookmarkEnd w:id="1925"/>
    </w:p>
    <w:p>
      <w:pPr>
        <w:pStyle w:val="BookText"/>
      </w:pPr>
      <w:r>
        <w:rPr>
          <w:rFonts w:ascii="IRNazanin" w:hAnsi="IRNazanin" w:eastAsia="IRNazanin" w:cs="IRNazanin"/>
          <w:lang w:bidi="fa-IR"/>
          <w:color w:val="111111"/>
          <w:sz w:val="28"/>
          <w:szCs w:val="28"/>
          <w:rtl/>
        </w:rPr>
        <w:t xml:space="preserve">و فیه:أنّه إن ارید ب«الذاتیّ»المعنی الذی ینافیه النسخ-و هو الذی أبطلوه بوقوع النسخ-فهذا المعنی لیس مبنی الاستصحاب،بل هو مانع عنه؛للقطع بعدم النسخ حینئذ،فلا یحتمل الارتفاع.</w:t>
      </w:r>
    </w:p>
    <w:p>
      <w:pPr>
        <w:pStyle w:val="BookText"/>
      </w:pPr>
      <w:r>
        <w:rPr>
          <w:rFonts w:ascii="IRNazanin" w:hAnsi="IRNazanin" w:eastAsia="IRNazanin" w:cs="IRNazanin"/>
          <w:lang w:bidi="fa-IR"/>
          <w:color w:val="111111"/>
          <w:sz w:val="28"/>
          <w:szCs w:val="28"/>
          <w:rtl/>
        </w:rPr>
        <w:t xml:space="preserve">و إن ارید غیره فلا فرق بین القول به و القول بالوجوه و الاعتبارات؛ فإنّ القول بالوجوه لو کان مانعا عن الاستصحاب لم یجر الاستصحاب فی هذه الشریعة.</w:t>
      </w:r>
    </w:p>
    <w:p>
      <w:pPr>
        <w:pStyle w:val="BookText"/>
      </w:pPr>
      <w:r>
        <w:rPr>
          <w:rFonts w:ascii="IRNazanin" w:hAnsi="IRNazanin" w:eastAsia="IRNazanin" w:cs="IRNazanin"/>
          <w:lang w:bidi="fa-IR"/>
          <w:color w:val="111111"/>
          <w:sz w:val="28"/>
          <w:szCs w:val="28"/>
          <w:rtl/>
        </w:rPr>
        <w:t xml:space="preserve">[شماره صفحه واقعی : 228]
</w:t>
      </w:r>
    </w:p>
    <w:p>
      <w:pPr>
        <w:sectPr>
          <w:footerReference w:type="default" r:id="rId740"/>
          <w:footnotePr>
            <w:numStart w:val="1"/>
            <w:numRestart w:val="eachPage"/>
          </w:footnotePr>
          <w:pgSz w:orient="portrait" w:w="11905.511811023622" w:h="16837.79527559055"/>
          <w:pgMar w:top="1440" w:right="1440" w:bottom="1440" w:left="1440" w:header="720" w:footer="720" w:gutter="0"/>
          <w:cols w:num="1" w:space="720"/>
        </w:sectPr>
      </w:pPr>
    </w:p>
    <w:bookmarkStart w:id="452" w:name="pg14411_143122"/>
    <w:bookmarkEnd w:id="452"/>
    <w:p>
      <w:pPr>
        <w:pStyle w:val="Heading6"/>
      </w:pPr>
      <w:bookmarkStart w:id="1926" w:name="_Toc961"/>
      <w:r>
        <w:t>[الثمرات المذکورة لهذه المسألة و مناقشتها:]</w:t>
      </w:r>
      <w:bookmarkEnd w:id="1926"/>
    </w:p>
    <w:p>
      <w:pPr>
        <w:pStyle w:val="Heading6"/>
      </w:pPr>
      <w:bookmarkStart w:id="1927" w:name="_Toc962"/>
      <w:r>
        <w:t>اشارة</w:t>
      </w:r>
      <w:bookmarkEnd w:id="1927"/>
    </w:p>
    <w:p>
      <w:pPr>
        <w:pStyle w:val="BookText"/>
      </w:pPr>
      <w:r>
        <w:rPr>
          <w:rFonts w:ascii="Amiri" w:hAnsi="Amiri" w:eastAsia="Amiri" w:cs="Amiri"/>
          <w:lang w:bidi="ar-SA"/>
          <w:color w:val="111111"/>
          <w:sz w:val="28"/>
          <w:szCs w:val="28"/>
          <w:rtl/>
        </w:rPr>
        <w:t xml:space="preserve">ثمّ إنّ جماعة </w:t>
      </w:r>
      <w:r>
        <w:rPr>
          <w:rStyle w:val="FootnoteReference"/>
        </w:rPr>
        <w:footnoteReference w:id="2222"/>
      </w:r>
      <w:r>
        <w:rPr>
          <w:rFonts w:ascii="IRNazanin" w:hAnsi="IRNazanin" w:eastAsia="IRNazanin" w:cs="IRNazanin"/>
          <w:lang w:bidi="fa-IR"/>
          <w:color w:val="111111"/>
          <w:sz w:val="28"/>
          <w:szCs w:val="28"/>
          <w:rtl/>
        </w:rPr>
        <w:t xml:space="preserve">رتّبوا علی إبقاء الشرع السابق فی مورد </w:t>
      </w:r>
      <w:r>
        <w:rPr>
          <w:rStyle w:val="FootnoteReference"/>
        </w:rPr>
        <w:footnoteReference w:id="2223"/>
      </w:r>
      <w:r>
        <w:rPr>
          <w:rFonts w:ascii="IRNazanin" w:hAnsi="IRNazanin" w:eastAsia="IRNazanin" w:cs="IRNazanin"/>
          <w:lang w:bidi="fa-IR"/>
          <w:color w:val="111111"/>
          <w:sz w:val="28"/>
          <w:szCs w:val="28"/>
          <w:rtl/>
        </w:rPr>
        <w:t xml:space="preserve">الشکّ -تبعا لتمهید القواعد </w:t>
      </w:r>
      <w:r>
        <w:rPr>
          <w:rStyle w:val="FootnoteReference"/>
        </w:rPr>
        <w:footnoteReference w:id="2224"/>
      </w:r>
      <w:r>
        <w:rPr>
          <w:rFonts w:ascii="IRNazanin" w:hAnsi="IRNazanin" w:eastAsia="IRNazanin" w:cs="IRNazanin"/>
          <w:lang w:bidi="fa-IR"/>
          <w:color w:val="111111"/>
          <w:sz w:val="28"/>
          <w:szCs w:val="28"/>
          <w:rtl/>
        </w:rPr>
        <w:t xml:space="preserve">-ثمرات.</w:t>
      </w:r>
    </w:p>
    <w:p>
      <w:pPr>
        <w:pStyle w:val="Heading6"/>
      </w:pPr>
      <w:bookmarkStart w:id="1928" w:name="_Toc963"/>
      <w:r>
        <w:t>[الثمرة الأولی:]</w:t>
      </w:r>
      <w:bookmarkEnd w:id="1928"/>
    </w:p>
    <w:p>
      <w:pPr>
        <w:pStyle w:val="BookText"/>
      </w:pPr>
      <w:r>
        <w:rPr>
          <w:rFonts w:ascii="Amiri" w:hAnsi="Amiri" w:eastAsia="Amiri" w:cs="Amiri"/>
          <w:lang w:bidi="ar-SA"/>
          <w:color w:val="111111"/>
          <w:sz w:val="28"/>
          <w:szCs w:val="28"/>
          <w:rtl/>
        </w:rPr>
        <w:t xml:space="preserve">منها:إثبات وجوب نیّة الإخلاص فی العبادة بقوله تعالی حکایة عن تکلیف أهل الکتاب-: وَ مٰا أُمِرُوا إِلاّٰ لِیَعْبُدُوا اللّٰهَ مُخْلِصِینَ لَهُ الدِّینَ حُنَفٰاءَ وَ یُقِیمُوا الصَّلاٰةَ وَ یُؤْتُوا الزَّکٰاةَ وَ ذٰلِکَ دِینُ الْقَیِّمَةِ </w:t>
      </w:r>
      <w:r>
        <w:rPr>
          <w:rStyle w:val="FootnoteReference"/>
        </w:rPr>
        <w:footnoteReference w:id="22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یرد علیه-بعد الإغماض عن عدم دلالة الآیة علی وجوب الإخلاص بمعنی القربة فی کلّ واجب،</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 إنّما تدلّ علی وجوب عبادة اللّه خالصة عن الشرک،و بعبارة اخری:وجوب التوحید،کما أوضحنا ذلک فی باب النیّة من الفقه </w:t>
      </w:r>
      <w:r>
        <w:rPr>
          <w:rStyle w:val="FootnoteReference"/>
        </w:rPr>
        <w:footnoteReference w:id="2226"/>
      </w:r>
      <w:r>
        <w:rPr>
          <w:rFonts w:ascii="IRNazanin" w:hAnsi="IRNazanin" w:eastAsia="IRNazanin" w:cs="IRNazanin"/>
          <w:lang w:bidi="fa-IR"/>
          <w:color w:val="111111"/>
          <w:sz w:val="28"/>
          <w:szCs w:val="28"/>
          <w:rtl/>
        </w:rPr>
        <w:t xml:space="preserve">-:أنّ الآیة إنّما تدلّ علی اعتبار الإخلاص فی واجباتهم،لا علی وجوب </w:t>
      </w:r>
      <w:r>
        <w:rPr>
          <w:rStyle w:val="FootnoteReference"/>
        </w:rPr>
        <w:footnoteReference w:id="2227"/>
      </w:r>
      <w:r>
        <w:rPr>
          <w:rFonts w:ascii="IRNazanin" w:hAnsi="IRNazanin" w:eastAsia="IRNazanin" w:cs="IRNazanin"/>
          <w:lang w:bidi="fa-IR"/>
          <w:color w:val="111111"/>
          <w:sz w:val="28"/>
          <w:szCs w:val="28"/>
          <w:rtl/>
        </w:rPr>
        <w:t xml:space="preserve">الإخلاص علیهم فی کلّ واجب،و فرق بین وجوب کلّ شیء علیهم لغایة الإخلاص،و بین وجوب قصد الإخلاص علیهم فی کلّ واجب.</w:t>
      </w:r>
    </w:p>
    <w:p>
      <w:pPr>
        <w:pStyle w:val="BookText"/>
      </w:pPr>
      <w:r>
        <w:rPr>
          <w:rFonts w:ascii="IRNazanin" w:hAnsi="IRNazanin" w:eastAsia="IRNazanin" w:cs="IRNazanin"/>
          <w:lang w:bidi="fa-IR"/>
          <w:color w:val="111111"/>
          <w:sz w:val="28"/>
          <w:szCs w:val="28"/>
          <w:rtl/>
        </w:rPr>
        <w:t xml:space="preserve">و ظاهر الآیة هو الأوّل،و مقتضاه:أنّ تشریع الواجبات لأجل تحقّق العبادة علی وجه الإخلاص،و مرجع ذلک إلی کونها لطفا.و لا ینافی</w:t>
      </w:r>
    </w:p>
    <w:p>
      <w:pPr>
        <w:pStyle w:val="BookText"/>
      </w:pPr>
      <w:r>
        <w:rPr>
          <w:rFonts w:ascii="IRNazanin" w:hAnsi="IRNazanin" w:eastAsia="IRNazanin" w:cs="IRNazanin"/>
          <w:lang w:bidi="fa-IR"/>
          <w:color w:val="111111"/>
          <w:sz w:val="28"/>
          <w:szCs w:val="28"/>
          <w:rtl/>
        </w:rPr>
        <w:t xml:space="preserve">[شماره صفحه واقعی : 229]
</w:t>
      </w:r>
    </w:p>
    <w:p>
      <w:pPr>
        <w:sectPr>
          <w:footerReference w:type="default" r:id="rId741"/>
          <w:footnotePr>
            <w:numStart w:val="1"/>
            <w:numRestart w:val="eachPage"/>
          </w:footnotePr>
          <w:pgSz w:orient="portrait" w:w="11905.511811023622" w:h="16837.79527559055"/>
          <w:pgMar w:top="1440" w:right="1440" w:bottom="1440" w:left="1440" w:header="720" w:footer="720" w:gutter="0"/>
          <w:cols w:num="1" w:space="720"/>
        </w:sectPr>
      </w:pPr>
    </w:p>
    <w:bookmarkStart w:id="453" w:name="pg14411_143123"/>
    <w:bookmarkEnd w:id="453"/>
    <w:p>
      <w:pPr>
        <w:pStyle w:val="BookText"/>
      </w:pPr>
      <w:r>
        <w:rPr>
          <w:rFonts w:ascii="IRNazanin" w:hAnsi="IRNazanin" w:eastAsia="IRNazanin" w:cs="IRNazanin"/>
          <w:lang w:bidi="fa-IR"/>
          <w:color w:val="111111"/>
          <w:sz w:val="28"/>
          <w:szCs w:val="28"/>
          <w:rtl/>
        </w:rPr>
        <w:t xml:space="preserve">ذلک کون بعضها بل کلّها توصّلیّا لا یعتبر فی سقوطه قصد القربة.</w:t>
      </w:r>
    </w:p>
    <w:p>
      <w:pPr>
        <w:pStyle w:val="BookText"/>
      </w:pPr>
      <w:r>
        <w:rPr>
          <w:rFonts w:ascii="IRNazanin" w:hAnsi="IRNazanin" w:eastAsia="IRNazanin" w:cs="IRNazanin"/>
          <w:lang w:bidi="fa-IR"/>
          <w:color w:val="111111"/>
          <w:sz w:val="28"/>
          <w:szCs w:val="28"/>
          <w:rtl/>
        </w:rPr>
        <w:t xml:space="preserve">و مقتضی الثانی:کون الإخلاص واجبا شرطیّا فی کلّ واجب </w:t>
      </w:r>
      <w:r>
        <w:rPr>
          <w:rStyle w:val="FootnoteReference"/>
        </w:rPr>
        <w:footnoteReference w:id="2228"/>
      </w:r>
      <w:r>
        <w:rPr>
          <w:rFonts w:ascii="IRNazanin" w:hAnsi="IRNazanin" w:eastAsia="IRNazanin" w:cs="IRNazanin"/>
          <w:lang w:bidi="fa-IR"/>
          <w:color w:val="111111"/>
          <w:sz w:val="28"/>
          <w:szCs w:val="28"/>
          <w:rtl/>
        </w:rPr>
        <w:t xml:space="preserve">، و هو المطلوب </w:t>
      </w:r>
      <w:r>
        <w:rPr>
          <w:rStyle w:val="FootnoteReference"/>
        </w:rPr>
        <w:footnoteReference w:id="22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کلّه،مع أنّه یکفی فی ثبوت الحکم فی شرعنا قوله تعالی:</w:t>
      </w:r>
    </w:p>
    <w:p>
      <w:pPr>
        <w:pStyle w:val="BookText"/>
      </w:pPr>
      <w:r>
        <w:rPr>
          <w:rFonts w:ascii="Amiri" w:hAnsi="Amiri" w:eastAsia="Amiri" w:cs="Amiri"/>
          <w:lang w:bidi="ar-SA"/>
          <w:color w:val="111111"/>
          <w:sz w:val="28"/>
          <w:szCs w:val="28"/>
          <w:rtl/>
        </w:rPr>
        <w:t xml:space="preserve">وَ ذٰلِکَ دِینُ الْقَیِّمَةِ، بناء علی تفسیرها بالثابتة التی لا تنسخ.</w:t>
      </w:r>
    </w:p>
    <w:p>
      <w:pPr>
        <w:pStyle w:val="Heading6"/>
      </w:pPr>
      <w:bookmarkStart w:id="1929" w:name="_Toc964"/>
      <w:r>
        <w:t>[الثمرة الثانیة:]</w:t>
      </w:r>
      <w:bookmarkEnd w:id="1929"/>
    </w:p>
    <w:p>
      <w:pPr>
        <w:pStyle w:val="BookText"/>
      </w:pPr>
      <w:r>
        <w:rPr>
          <w:rFonts w:ascii="Amiri" w:hAnsi="Amiri" w:eastAsia="Amiri" w:cs="Amiri"/>
          <w:lang w:bidi="ar-SA"/>
          <w:color w:val="111111"/>
          <w:sz w:val="28"/>
          <w:szCs w:val="28"/>
          <w:rtl/>
        </w:rPr>
        <w:t xml:space="preserve">و منها:قوله تعالی-حکایة عن مؤذّن یوسف علیه السّلام-: وَ لِمَنْ جٰاءَ بِهِ حِمْلُ بَعِیرٍ وَ أَنَا بِهِ زَعِیمٌ </w:t>
      </w:r>
      <w:r>
        <w:rPr>
          <w:rStyle w:val="FootnoteReference"/>
        </w:rPr>
        <w:footnoteReference w:id="22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فدلّ علی جواز الجهالة فی مال الجعالة،و علی جواز ضمان ما لم یجب.</w:t>
      </w:r>
    </w:p>
    <w:p>
      <w:pPr>
        <w:pStyle w:val="BookText"/>
      </w:pPr>
      <w:r>
        <w:rPr>
          <w:rFonts w:ascii="IRNazanin" w:hAnsi="IRNazanin" w:eastAsia="IRNazanin" w:cs="IRNazanin"/>
          <w:lang w:bidi="fa-IR"/>
          <w:color w:val="111111"/>
          <w:sz w:val="28"/>
          <w:szCs w:val="28"/>
          <w:rtl/>
        </w:rPr>
        <w:t xml:space="preserve">و فیه:أنّ حمل البعیر لعلّه کان معلوم المقدار عندهم،مع احتمال کونه مجرّد وعد لا جعالة،</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مع أنّه لا یثبت الشرع بمجرّد فعل المؤذّن؛ لأنّه غیر حجّة،و لم یثبت إذن یوسف-علی نبیّنا و آله و علیه السلام- فی ذلک و لا تقریره.</w:t>
      </w:r>
    </w:p>
    <w:p>
      <w:pPr>
        <w:pStyle w:val="BookText"/>
      </w:pPr>
      <w:r>
        <w:rPr>
          <w:rFonts w:ascii="IRNazanin" w:hAnsi="IRNazanin" w:eastAsia="IRNazanin" w:cs="IRNazanin"/>
          <w:lang w:bidi="fa-IR"/>
          <w:color w:val="111111"/>
          <w:sz w:val="28"/>
          <w:szCs w:val="28"/>
          <w:rtl/>
        </w:rPr>
        <w:t xml:space="preserve">و منه یظهر عدم ثبوت شرعیّة الضمان المذکور،خصوصا مع کون کلّ من الجعالة و الضمان صوریّا قصد بهما تلبیس الأمر علی إخوة یوسف علیه السّلام،و لا بأس بذکر معاملة فاسدة یحصل به الغرض،مع احتمال إرادة أنّ الحمل فی ماله و أنّه الملتزم به؛فإنّ الزعیم هو الکفیل و الضامن،و هما لغة:مطلق الالتزام،و لم یثبت کونهما فی ذلک الزمان</w:t>
      </w:r>
    </w:p>
    <w:p>
      <w:pPr>
        <w:pStyle w:val="BookText"/>
      </w:pPr>
      <w:r>
        <w:rPr>
          <w:rFonts w:ascii="IRNazanin" w:hAnsi="IRNazanin" w:eastAsia="IRNazanin" w:cs="IRNazanin"/>
          <w:lang w:bidi="fa-IR"/>
          <w:color w:val="111111"/>
          <w:sz w:val="28"/>
          <w:szCs w:val="28"/>
          <w:rtl/>
        </w:rPr>
        <w:t xml:space="preserve">[شماره صفحه واقعی : 230]
</w:t>
      </w:r>
    </w:p>
    <w:p>
      <w:pPr>
        <w:sectPr>
          <w:footerReference w:type="default" r:id="rId742"/>
          <w:footnotePr>
            <w:numStart w:val="1"/>
            <w:numRestart w:val="eachPage"/>
          </w:footnotePr>
          <w:pgSz w:orient="portrait" w:w="11905.511811023622" w:h="16837.79527559055"/>
          <w:pgMar w:top="1440" w:right="1440" w:bottom="1440" w:left="1440" w:header="720" w:footer="720" w:gutter="0"/>
          <w:cols w:num="1" w:space="720"/>
        </w:sectPr>
      </w:pPr>
    </w:p>
    <w:bookmarkStart w:id="454" w:name="pg14411_143124"/>
    <w:bookmarkEnd w:id="454"/>
    <w:p>
      <w:pPr>
        <w:pStyle w:val="BookText"/>
      </w:pPr>
      <w:r>
        <w:rPr>
          <w:rFonts w:ascii="IRNazanin" w:hAnsi="IRNazanin" w:eastAsia="IRNazanin" w:cs="IRNazanin"/>
          <w:lang w:bidi="fa-IR"/>
          <w:color w:val="111111"/>
          <w:sz w:val="28"/>
          <w:szCs w:val="28"/>
          <w:rtl/>
        </w:rPr>
        <w:t xml:space="preserve">حقیقة فی الالتزام عن الغیر،فیکون الفقرة الثانیة تأکیدا لظاهر الاولی، و دفعا لتوهّم کونه من الملک فیصعب تحصیله.</w:t>
      </w:r>
    </w:p>
    <w:p>
      <w:pPr>
        <w:pStyle w:val="Heading6"/>
      </w:pPr>
      <w:bookmarkStart w:id="1930" w:name="_Toc965"/>
      <w:r>
        <w:t>[الثمرة الثالثة:]</w:t>
      </w:r>
      <w:bookmarkEnd w:id="1930"/>
    </w:p>
    <w:p>
      <w:pPr>
        <w:pStyle w:val="BookText"/>
      </w:pPr>
      <w:r>
        <w:rPr>
          <w:rFonts w:ascii="Amiri" w:hAnsi="Amiri" w:eastAsia="Amiri" w:cs="Amiri"/>
          <w:lang w:bidi="ar-SA"/>
          <w:color w:val="111111"/>
          <w:sz w:val="28"/>
          <w:szCs w:val="28"/>
          <w:rtl/>
        </w:rPr>
        <w:t xml:space="preserve">و منها:قوله تعالی-حکایة عن أحوال یحیی علیه السّلام-: وَ سَیِّداً وَ حَصُوراً وَ نَبِیًّا مِنَ الصّٰالِحِینَ </w:t>
      </w:r>
      <w:r>
        <w:rPr>
          <w:rStyle w:val="FootnoteReference"/>
        </w:rPr>
        <w:footnoteReference w:id="22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ظاهره یدّل علی مدح یحیی علیه السّلام بکونه حصورا ممتنعا عن مباشرة النسوان،فیمکن أن یرجّح فی شریعتنا التعفّف علی التزویج.</w:t>
      </w:r>
    </w:p>
    <w:p>
      <w:pPr>
        <w:pStyle w:val="BookText"/>
      </w:pPr>
      <w:r>
        <w:rPr>
          <w:rFonts w:ascii="IRNazanin" w:hAnsi="IRNazanin" w:eastAsia="IRNazanin" w:cs="IRNazanin"/>
          <w:lang w:bidi="fa-IR"/>
          <w:color w:val="111111"/>
          <w:sz w:val="28"/>
          <w:szCs w:val="28"/>
          <w:rtl/>
        </w:rPr>
        <w:t xml:space="preserve">و فیه؛أنّ الآیة لا تدلّ إلاّ علی حسن هذه الصفة لما فیها من المصالح و التخلّص عمّا یترتّب علیه،و لا دلیل فیها علی رجحان هذه الصفة علی صفة اخری،أعنی:المباشرة لبعض المصالح الاخرویّة؛فإنّ مدح زید بکونه صائم النهار متهجّدا لا یدلّ علی رجحان هاتین الصفتین علی الإفطار فی النهار و ترک التهجّد فی اللیل للاشتغال بما هو أهمّ منهما.</w:t>
      </w:r>
    </w:p>
    <w:p>
      <w:pPr>
        <w:pStyle w:val="Heading6"/>
      </w:pPr>
      <w:bookmarkStart w:id="1931" w:name="_Toc966"/>
      <w:r>
        <w:t>[الثمرة الرابعة:]</w:t>
      </w:r>
      <w:bookmarkEnd w:id="1931"/>
    </w:p>
    <w:p>
      <w:pPr>
        <w:pStyle w:val="BookText"/>
      </w:pPr>
      <w:r>
        <w:rPr>
          <w:rFonts w:ascii="Amiri" w:hAnsi="Amiri" w:eastAsia="Amiri" w:cs="Amiri"/>
          <w:lang w:bidi="ar-SA"/>
          <w:color w:val="111111"/>
          <w:sz w:val="28"/>
          <w:szCs w:val="28"/>
          <w:rtl/>
        </w:rPr>
        <w:t xml:space="preserve">و منها:قوله تعالی: وَ خُذْ بِیَدِکَ ضِغْثاً فَاضْرِبْ بِهِ... الآیة </w:t>
      </w:r>
      <w:r>
        <w:rPr>
          <w:rStyle w:val="FootnoteReference"/>
        </w:rPr>
        <w:footnoteReference w:id="22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دلّ علی جواز برّ الیمین علی ضرب المستحقّ مائة بالضرب بالضّغث.</w:t>
      </w:r>
    </w:p>
    <w:p>
      <w:pPr>
        <w:pStyle w:val="BookText"/>
      </w:pPr>
      <w:r>
        <w:rPr>
          <w:rFonts w:ascii="IRNazanin" w:hAnsi="IRNazanin" w:eastAsia="IRNazanin" w:cs="IRNazanin"/>
          <w:lang w:bidi="fa-IR"/>
          <w:color w:val="111111"/>
          <w:sz w:val="28"/>
          <w:szCs w:val="28"/>
          <w:rtl/>
        </w:rPr>
        <w:t xml:space="preserve">و فیه:ما لا یخفی.</w:t>
      </w:r>
    </w:p>
    <w:p>
      <w:pPr>
        <w:pStyle w:val="Heading6"/>
      </w:pPr>
      <w:bookmarkStart w:id="1932" w:name="_Toc967"/>
      <w:r>
        <w:t>[الثمرة الخامسة:]</w:t>
      </w:r>
      <w:bookmarkEnd w:id="1932"/>
    </w:p>
    <w:p>
      <w:pPr>
        <w:pStyle w:val="BookText"/>
      </w:pPr>
      <w:r>
        <w:rPr>
          <w:rFonts w:ascii="Amiri" w:hAnsi="Amiri" w:eastAsia="Amiri" w:cs="Amiri"/>
          <w:lang w:bidi="ar-SA"/>
          <w:color w:val="111111"/>
          <w:sz w:val="28"/>
          <w:szCs w:val="28"/>
          <w:rtl/>
        </w:rPr>
        <w:t xml:space="preserve">و منها:قوله تعالی: أَنَّ النَّفْسَ بِالنَّفْسِ وَ الْعَیْنَ بِالْعَیْنِ... إلی آخر الآیة </w:t>
      </w:r>
      <w:r>
        <w:rPr>
          <w:rStyle w:val="FootnoteReference"/>
        </w:rPr>
        <w:footnoteReference w:id="22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استدلّ بها فی حکم من قلع عین ذی العین الواحدة </w:t>
      </w:r>
      <w:r>
        <w:rPr>
          <w:rStyle w:val="FootnoteReference"/>
        </w:rPr>
        <w:footnoteReference w:id="22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231]
</w:t>
      </w:r>
    </w:p>
    <w:p>
      <w:pPr>
        <w:sectPr>
          <w:footerReference w:type="default" r:id="rId743"/>
          <w:footnotePr>
            <w:numStart w:val="1"/>
            <w:numRestart w:val="eachPage"/>
          </w:footnotePr>
          <w:pgSz w:orient="portrait" w:w="11905.511811023622" w:h="16837.79527559055"/>
          <w:pgMar w:top="1440" w:right="1440" w:bottom="1440" w:left="1440" w:header="720" w:footer="720" w:gutter="0"/>
          <w:cols w:num="1" w:space="720"/>
        </w:sectPr>
      </w:pPr>
    </w:p>
    <w:bookmarkStart w:id="455" w:name="pg14411_143125"/>
    <w:bookmarkEnd w:id="455"/>
    <w:p>
      <w:pPr>
        <w:pStyle w:val="Heading6"/>
      </w:pPr>
      <w:bookmarkStart w:id="1933" w:name="_Toc968"/>
      <w:r>
        <w:t>[الثمرة السادسة:]</w:t>
      </w:r>
      <w:bookmarkEnd w:id="1933"/>
    </w:p>
    <w:p>
      <w:pPr>
        <w:pStyle w:val="BookText"/>
      </w:pPr>
      <w:r>
        <w:rPr>
          <w:rFonts w:ascii="Amiri" w:hAnsi="Amiri" w:eastAsia="Amiri" w:cs="Amiri"/>
          <w:lang w:bidi="ar-SA"/>
          <w:color w:val="111111"/>
          <w:sz w:val="28"/>
          <w:szCs w:val="28"/>
          <w:rtl/>
        </w:rPr>
        <w:t xml:space="preserve">و منها:قوله تعالی-حکایة عن شعیب علیه السّلام-: إِنِّی أُرِیدُ أَنْ أُنْکِحَکَ إِحْدَی ابْنَتَیَّ هٰاتَیْنِ عَلیٰ أَنْ تَأْجُرَنِی ثَمٰانِیَ حِجَجٍ فَإِنْ أَتْمَمْتَ عَشْراً فَمِنْ عِنْدِکَ </w:t>
      </w:r>
      <w:r>
        <w:rPr>
          <w:rStyle w:val="FootnoteReference"/>
        </w:rPr>
        <w:footnoteReference w:id="22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فیه:أنّ حکم المسألة قد علم من العمومات و الخصوصات </w:t>
      </w:r>
      <w:r>
        <w:rPr>
          <w:rStyle w:val="FootnoteReference"/>
        </w:rPr>
        <w:footnoteReference w:id="2236"/>
      </w:r>
      <w:r>
        <w:rPr>
          <w:rFonts w:ascii="IRNazanin" w:hAnsi="IRNazanin" w:eastAsia="IRNazanin" w:cs="IRNazanin"/>
          <w:lang w:bidi="fa-IR"/>
          <w:color w:val="111111"/>
          <w:sz w:val="28"/>
          <w:szCs w:val="28"/>
          <w:rtl/>
        </w:rPr>
        <w:t xml:space="preserve">الواردة فیها،فلا ثمرة فی الاستصحاب.</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نعم فی بعض تلک الأخبار إشعار بجواز العمل بالحکم الثابت فی الشرع السابق،لو لا المنع عنه، فراجع و تأمّل.</w:t>
      </w:r>
    </w:p>
    <w:p>
      <w:pPr>
        <w:pStyle w:val="BookText"/>
      </w:pPr>
      <w:r>
        <w:rPr>
          <w:rFonts w:ascii="IRNazanin" w:hAnsi="IRNazanin" w:eastAsia="IRNazanin" w:cs="IRNazanin"/>
          <w:lang w:bidi="fa-IR"/>
          <w:color w:val="111111"/>
          <w:sz w:val="28"/>
          <w:szCs w:val="28"/>
          <w:rtl/>
        </w:rPr>
        <w:t xml:space="preserve">[شماره صفحه واقعی : 232]
</w:t>
      </w:r>
    </w:p>
    <w:p>
      <w:pPr>
        <w:sectPr>
          <w:footerReference w:type="default" r:id="rId744"/>
          <w:footnotePr>
            <w:numStart w:val="1"/>
            <w:numRestart w:val="eachPage"/>
          </w:footnotePr>
          <w:pgSz w:orient="portrait" w:w="11905.511811023622" w:h="16837.79527559055"/>
          <w:pgMar w:top="1440" w:right="1440" w:bottom="1440" w:left="1440" w:header="720" w:footer="720" w:gutter="0"/>
          <w:cols w:num="1" w:space="720"/>
        </w:sectPr>
      </w:pPr>
    </w:p>
    <w:bookmarkStart w:id="456" w:name="pg14411_143126"/>
    <w:bookmarkEnd w:id="456"/>
    <w:p>
      <w:pPr>
        <w:pStyle w:val="Heading6"/>
      </w:pPr>
      <w:bookmarkStart w:id="1934" w:name="_Toc969"/>
      <w:r>
        <w:t>الأمر السادس [:عدم ترتّب الآثار غیر الشرعیّة علی الاستصحاب و الدلیل علیه]</w:t>
      </w:r>
      <w:bookmarkEnd w:id="1934"/>
    </w:p>
    <w:p>
      <w:pPr>
        <w:pStyle w:val="Heading6"/>
      </w:pPr>
      <w:bookmarkStart w:id="1935" w:name="_Toc970"/>
      <w:r>
        <w:t>اشارة</w:t>
      </w:r>
      <w:bookmarkEnd w:id="1935"/>
    </w:p>
    <w:p>
      <w:pPr>
        <w:pStyle w:val="BookText"/>
      </w:pPr>
      <w:r>
        <w:rPr>
          <w:rFonts w:ascii="IRNazanin" w:hAnsi="IRNazanin" w:eastAsia="IRNazanin" w:cs="IRNazanin"/>
          <w:lang w:bidi="fa-IR"/>
          <w:color w:val="111111"/>
          <w:sz w:val="28"/>
          <w:szCs w:val="28"/>
          <w:rtl/>
        </w:rPr>
        <w:t xml:space="preserve">قد عرفت أنّ معنی عدم نقض الیقین و المضیّ علیه،هو ترتیب آثار الیقین السابق الثابتة بواسطته للمتیقّن،و وجوب ترتیب تلک الآثار من جانب الشارع لا یعقل إلاّ فی الآثار الشرعیّة المجعولة من الشارع لذلک الشیء؛لأنّها القابلة للجعل دون غیرها من الآثار العقلیّة و العادیّة.فالمعقول من حکم الشارع بحیاة زید و إیجابه ترتیب آثار الحیاة فی زمان الشکّ،هو حکمه بحرمة تزویج زوجته و التصرّف فی ماله،لا حکمه بنموّه و نبات لحیته؛لأنّ هذه غیر قابلة لجعل الشارع.</w:t>
      </w:r>
    </w:p>
    <w:p>
      <w:pPr>
        <w:pStyle w:val="BookText"/>
      </w:pPr>
      <w:r>
        <w:rPr>
          <w:rFonts w:ascii="IRNazanin" w:hAnsi="IRNazanin" w:eastAsia="IRNazanin" w:cs="IRNazanin"/>
          <w:lang w:bidi="fa-IR"/>
          <w:color w:val="111111"/>
          <w:sz w:val="28"/>
          <w:szCs w:val="28"/>
          <w:rtl/>
        </w:rPr>
        <w:t xml:space="preserve">نعم،لو وقع نفس النموّ و نبات اللحیة موردا للاستصحاب أو غیره من التنزیلات الشرعیّة أفاد ذلک جعل آثارهما الشرعیّة دون العقلیّة و العادیّة،لکنّ المفروض ورود الحیاة موردا للاستصحاب.</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 الحاصل:أنّ تنزیل الشارع المشکوک منزلة المتیقّن-کسائر التنزیلات-إنّما یفید ترتیب الأحکام و الآثار الشرعیّة المحمولة علی المتیقّن السابق،فلا دلالة فیها </w:t>
      </w:r>
      <w:r>
        <w:rPr>
          <w:rStyle w:val="FootnoteReference"/>
        </w:rPr>
        <w:footnoteReference w:id="2237"/>
      </w:r>
      <w:r>
        <w:rPr>
          <w:rFonts w:ascii="IRNazanin" w:hAnsi="IRNazanin" w:eastAsia="IRNazanin" w:cs="IRNazanin"/>
          <w:lang w:bidi="fa-IR"/>
          <w:color w:val="111111"/>
          <w:sz w:val="28"/>
          <w:szCs w:val="28"/>
          <w:rtl/>
        </w:rPr>
        <w:t xml:space="preserve">علی جعل غیرها من الآثار العقلیّة</w:t>
      </w:r>
    </w:p>
    <w:p>
      <w:pPr>
        <w:pStyle w:val="BookText"/>
      </w:pPr>
      <w:r>
        <w:rPr>
          <w:rFonts w:ascii="IRNazanin" w:hAnsi="IRNazanin" w:eastAsia="IRNazanin" w:cs="IRNazanin"/>
          <w:lang w:bidi="fa-IR"/>
          <w:color w:val="111111"/>
          <w:sz w:val="28"/>
          <w:szCs w:val="28"/>
          <w:rtl/>
        </w:rPr>
        <w:t xml:space="preserve">[شماره صفحه واقعی : 233]
</w:t>
      </w:r>
    </w:p>
    <w:p>
      <w:pPr>
        <w:sectPr>
          <w:footerReference w:type="default" r:id="rId745"/>
          <w:footnotePr>
            <w:numStart w:val="1"/>
            <w:numRestart w:val="eachPage"/>
          </w:footnotePr>
          <w:pgSz w:orient="portrait" w:w="11905.511811023622" w:h="16837.79527559055"/>
          <w:pgMar w:top="1440" w:right="1440" w:bottom="1440" w:left="1440" w:header="720" w:footer="720" w:gutter="0"/>
          <w:cols w:num="1" w:space="720"/>
        </w:sectPr>
      </w:pPr>
    </w:p>
    <w:bookmarkStart w:id="457" w:name="pg14411_143127"/>
    <w:bookmarkEnd w:id="457"/>
    <w:p>
      <w:pPr>
        <w:pStyle w:val="BookText"/>
      </w:pPr>
      <w:r>
        <w:rPr>
          <w:rFonts w:ascii="IRNazanin" w:hAnsi="IRNazanin" w:eastAsia="IRNazanin" w:cs="IRNazanin"/>
          <w:lang w:bidi="fa-IR"/>
          <w:color w:val="111111"/>
          <w:sz w:val="28"/>
          <w:szCs w:val="28"/>
          <w:rtl/>
        </w:rPr>
        <w:t xml:space="preserve">و العادیّة؛لعدم قابلیّتها للجعل،و لا علی جعل الآثار الشرعیّة المترتّبة علی تلک الآثار؛لأنّها لیست آثارا لنفس المتیقّن،و لم یقع ذوها موردا لتنزیل الشارع حتّی تترتّب هی علیه.</w:t>
      </w:r>
    </w:p>
    <w:p>
      <w:pPr>
        <w:pStyle w:val="BookText"/>
      </w:pPr>
      <w:r>
        <w:rPr>
          <w:rFonts w:ascii="IRNazanin" w:hAnsi="IRNazanin" w:eastAsia="IRNazanin" w:cs="IRNazanin"/>
          <w:lang w:bidi="fa-IR"/>
          <w:color w:val="111111"/>
          <w:sz w:val="28"/>
          <w:szCs w:val="28"/>
          <w:rtl/>
        </w:rPr>
        <w:t xml:space="preserve">إذا عرفت هذا فنقول:إنّ المستصحب إمّا أن یکون حکما </w:t>
      </w:r>
      <w:r>
        <w:rPr>
          <w:rStyle w:val="FootnoteReference"/>
        </w:rPr>
        <w:footnoteReference w:id="2238"/>
      </w:r>
      <w:r>
        <w:rPr>
          <w:rFonts w:ascii="IRNazanin" w:hAnsi="IRNazanin" w:eastAsia="IRNazanin" w:cs="IRNazanin"/>
          <w:lang w:bidi="fa-IR"/>
          <w:color w:val="111111"/>
          <w:sz w:val="28"/>
          <w:szCs w:val="28"/>
          <w:rtl/>
        </w:rPr>
        <w:t xml:space="preserve">من الأحکام الشرعیّة المجعولة-کالوجوب و التحریم و الإباحة و غیرها-و إمّا أن یکون من غیر المجعولات،کالموضوعات الخارجیّة و اللغویّة.</w:t>
      </w:r>
    </w:p>
    <w:p>
      <w:pPr>
        <w:pStyle w:val="BookText"/>
      </w:pPr>
      <w:r>
        <w:rPr>
          <w:rFonts w:ascii="IRNazanin" w:hAnsi="IRNazanin" w:eastAsia="IRNazanin" w:cs="IRNazanin"/>
          <w:lang w:bidi="fa-IR"/>
          <w:color w:val="111111"/>
          <w:sz w:val="28"/>
          <w:szCs w:val="28"/>
          <w:rtl/>
        </w:rPr>
        <w:t xml:space="preserve">فإن کان من الأحکام الشرعیّة فالمجعول فی زمان الشکّ حکم ظاهریّ مساو للمتیقّن السابق فی جمیع ما یترتّب علیه؛لأنّه مفاد وجوب ترتیب آثار المتیقّن السابق و وجوب المضیّ علیه و العمل به.</w:t>
      </w:r>
    </w:p>
    <w:p>
      <w:pPr>
        <w:pStyle w:val="BookText"/>
      </w:pPr>
      <w:r>
        <w:rPr>
          <w:rFonts w:ascii="IRNazanin" w:hAnsi="IRNazanin" w:eastAsia="IRNazanin" w:cs="IRNazanin"/>
          <w:lang w:bidi="fa-IR"/>
          <w:color w:val="111111"/>
          <w:sz w:val="28"/>
          <w:szCs w:val="28"/>
          <w:rtl/>
        </w:rPr>
        <w:t xml:space="preserve">و إن کان من غیرها فالمجعول فی زمان الشکّ هی لوازمه الشرعیّة،دون العقلیّة و العادیّة،و دون ملزومه شرعیّا کان أو غیره، و دون ما هو ملازم معه لملزوم ثالث.</w:t>
      </w:r>
    </w:p>
    <w:p>
      <w:pPr>
        <w:pStyle w:val="Heading6"/>
      </w:pPr>
      <w:bookmarkStart w:id="1936" w:name="_Toc971"/>
      <w:r>
        <w:t>[المراد من نفی الاصول المثبتة:]</w:t>
      </w:r>
      <w:bookmarkEnd w:id="1936"/>
    </w:p>
    <w:p>
      <w:pPr>
        <w:pStyle w:val="BookText"/>
      </w:pPr>
      <w:r>
        <w:rPr>
          <w:rFonts w:ascii="IRNazanin" w:hAnsi="IRNazanin" w:eastAsia="IRNazanin" w:cs="IRNazanin"/>
          <w:lang w:bidi="fa-IR"/>
          <w:color w:val="111111"/>
          <w:sz w:val="28"/>
          <w:szCs w:val="28"/>
          <w:rtl/>
        </w:rPr>
        <w:t xml:space="preserve">و لعلّ هذا هو المراد بما اشتهر علی ألسنة أهل العصر </w:t>
      </w:r>
      <w:r>
        <w:rPr>
          <w:rStyle w:val="FootnoteReference"/>
        </w:rPr>
        <w:footnoteReference w:id="2239"/>
      </w:r>
      <w:r>
        <w:rPr>
          <w:rFonts w:ascii="IRNazanin" w:hAnsi="IRNazanin" w:eastAsia="IRNazanin" w:cs="IRNazanin"/>
          <w:lang w:bidi="fa-IR"/>
          <w:color w:val="111111"/>
          <w:sz w:val="28"/>
          <w:szCs w:val="28"/>
          <w:rtl/>
        </w:rPr>
        <w:t xml:space="preserve">:من نفی الاصول المثبتة،فیریدون به:أنّ الأصل لا یثبت أمرا فی الخارج حتّی یترتّب علیه حکمه الشرعیّ،بل مؤدّاه أمر الشارع بالعمل علی طبق مجراه شرعا.</w:t>
      </w:r>
    </w:p>
    <w:p>
      <w:pPr>
        <w:pStyle w:val="BookText"/>
      </w:pPr>
      <w:r>
        <w:rPr>
          <w:rFonts w:ascii="IRNazanin" w:hAnsi="IRNazanin" w:eastAsia="IRNazanin" w:cs="IRNazanin"/>
          <w:lang w:bidi="fa-IR"/>
          <w:color w:val="111111"/>
          <w:sz w:val="28"/>
          <w:szCs w:val="28"/>
          <w:rtl/>
        </w:rPr>
        <w:t xml:space="preserve">فإن قلت:الظاهر من الأخبار وجوب أن یعمل الشاکّ عمل المتیقّن،بأن یفرض نفسه متیقّنا و یعمل کلّ عمل ینشأ من تیقّنه بذلک</w:t>
      </w:r>
    </w:p>
    <w:p>
      <w:pPr>
        <w:pStyle w:val="BookText"/>
      </w:pPr>
      <w:r>
        <w:rPr>
          <w:rFonts w:ascii="IRNazanin" w:hAnsi="IRNazanin" w:eastAsia="IRNazanin" w:cs="IRNazanin"/>
          <w:lang w:bidi="fa-IR"/>
          <w:color w:val="111111"/>
          <w:sz w:val="28"/>
          <w:szCs w:val="28"/>
          <w:rtl/>
        </w:rPr>
        <w:t xml:space="preserve">[شماره صفحه واقعی : 234]
</w:t>
      </w:r>
    </w:p>
    <w:p>
      <w:pPr>
        <w:sectPr>
          <w:footerReference w:type="default" r:id="rId746"/>
          <w:footnotePr>
            <w:numStart w:val="1"/>
            <w:numRestart w:val="eachPage"/>
          </w:footnotePr>
          <w:pgSz w:orient="portrait" w:w="11905.511811023622" w:h="16837.79527559055"/>
          <w:pgMar w:top="1440" w:right="1440" w:bottom="1440" w:left="1440" w:header="720" w:footer="720" w:gutter="0"/>
          <w:cols w:num="1" w:space="720"/>
        </w:sectPr>
      </w:pPr>
    </w:p>
    <w:bookmarkStart w:id="458" w:name="pg14411_143128"/>
    <w:bookmarkEnd w:id="458"/>
    <w:p>
      <w:pPr>
        <w:pStyle w:val="BookText"/>
      </w:pPr>
      <w:r>
        <w:rPr>
          <w:rFonts w:ascii="IRNazanin" w:hAnsi="IRNazanin" w:eastAsia="IRNazanin" w:cs="IRNazanin"/>
          <w:lang w:bidi="fa-IR"/>
          <w:color w:val="111111"/>
          <w:sz w:val="28"/>
          <w:szCs w:val="28"/>
          <w:rtl/>
        </w:rPr>
        <w:t xml:space="preserve">المشکوک،سواء کان ترتّبه علیه بلا واسطة أو بواسطة أمر عادیّ أو عقلیّ مترتّب علی ذلک المتیقّن.</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قلت:الواجب علی الشاکّ عمل المتیقّن بالمستصحب من حیث تیقّنه به،و أمّا ما یجب علیه من حیث تیقّنه بأمر یلازم ذلک المتیقّن عقلا أو عادة،فلا یجب علیه؛لأنّ وجوبه علیه یتوقّف علی وجود واقعیّ لذلک الأمر العقلیّ أو العادیّ،أو وجود جعلیّ بأن یقع موردا لجعل الشارع حتّی یرجع جعله الغیر المعقول إلی جعل أحکامه الشرعیّة،و حیث فرض عدم الوجود الواقعیّ و الجعلیّ لذلک الأمر،کان الأصل عدم وجوده و عدم ترتّب آثاره.</w:t>
      </w:r>
    </w:p>
    <w:p>
      <w:pPr>
        <w:pStyle w:val="BookText"/>
      </w:pPr>
      <w:r>
        <w:rPr>
          <w:rFonts w:ascii="IRNazanin" w:hAnsi="IRNazanin" w:eastAsia="IRNazanin" w:cs="IRNazanin"/>
          <w:lang w:bidi="fa-IR"/>
          <w:color w:val="111111"/>
          <w:sz w:val="28"/>
          <w:szCs w:val="28"/>
          <w:rtl/>
        </w:rPr>
        <w:t xml:space="preserve">و هذه المسألة نظیر </w:t>
      </w:r>
      <w:r>
        <w:rPr>
          <w:rStyle w:val="FootnoteReference"/>
        </w:rPr>
        <w:footnoteReference w:id="2240"/>
      </w:r>
      <w:r>
        <w:rPr>
          <w:rFonts w:ascii="IRNazanin" w:hAnsi="IRNazanin" w:eastAsia="IRNazanin" w:cs="IRNazanin"/>
          <w:lang w:bidi="fa-IR"/>
          <w:color w:val="111111"/>
          <w:sz w:val="28"/>
          <w:szCs w:val="28"/>
          <w:rtl/>
        </w:rPr>
        <w:t xml:space="preserve">ما هو المشهور فی باب الرضاع:من أنّه إذا ثبت بالرضاع عنوان ملازم لعنوان محرّم من المحرّمات لم یوجب التحریم؛لأنّ الحکم تابع لذلک العنوان الحاصل بالنسب أو بالرضاع، فلا یترتّب علی غیره المتّحد معه وجودا.</w:t>
      </w:r>
    </w:p>
    <w:p>
      <w:pPr>
        <w:pStyle w:val="Heading6"/>
      </w:pPr>
      <w:bookmarkStart w:id="1937" w:name="_Toc972"/>
      <w:r>
        <w:t>[عدم ترتّب الآثار و اللوازم غیر الشرعیّة مطلقا:]</w:t>
      </w:r>
      <w:bookmarkEnd w:id="1937"/>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 من هنا یعلم:أنّه لا فرق فی الأمر العادیّ بین کونه متّحد الوجود مع المستصحب بحیث لا یتغایران إلاّ مفهوما-کاستصحاب بقاء الکرّ فی الحوض عند الشکّ فی کریّة الماء الباقی فیه-و بین تغایرهما فی الوجود،کما لو علم بوجود المقتضی لحادث علی وجه لو لا المانع لحدث،و شکّ فی وجود المانع.</w:t>
      </w:r>
    </w:p>
    <w:p>
      <w:pPr>
        <w:pStyle w:val="BookText"/>
      </w:pPr>
      <w:r>
        <w:rPr>
          <w:rFonts w:ascii="IRNazanin" w:hAnsi="IRNazanin" w:eastAsia="IRNazanin" w:cs="IRNazanin"/>
          <w:lang w:bidi="fa-IR"/>
          <w:color w:val="111111"/>
          <w:sz w:val="28"/>
          <w:szCs w:val="28"/>
          <w:rtl/>
        </w:rPr>
        <w:t xml:space="preserve">و کذا لا فرق بین أن یکون اللزوم بینها </w:t>
      </w:r>
      <w:r>
        <w:rPr>
          <w:rStyle w:val="FootnoteReference"/>
        </w:rPr>
        <w:footnoteReference w:id="2241"/>
      </w:r>
      <w:r>
        <w:rPr>
          <w:rFonts w:ascii="Amiri" w:hAnsi="Amiri" w:eastAsia="Amiri" w:cs="Amiri"/>
          <w:lang w:bidi="ar-SA"/>
          <w:color w:val="111111"/>
          <w:sz w:val="28"/>
          <w:szCs w:val="28"/>
          <w:rtl/>
        </w:rPr>
        <w:t xml:space="preserve">و بین المستصحب کلّیّا</w:t>
      </w:r>
    </w:p>
    <w:p>
      <w:pPr>
        <w:pStyle w:val="BookText"/>
      </w:pPr>
      <w:r>
        <w:rPr>
          <w:rFonts w:ascii="IRNazanin" w:hAnsi="IRNazanin" w:eastAsia="IRNazanin" w:cs="IRNazanin"/>
          <w:lang w:bidi="fa-IR"/>
          <w:color w:val="111111"/>
          <w:sz w:val="28"/>
          <w:szCs w:val="28"/>
          <w:rtl/>
        </w:rPr>
        <w:t xml:space="preserve">[شماره صفحه واقعی : 235]
</w:t>
      </w:r>
    </w:p>
    <w:p>
      <w:pPr>
        <w:sectPr>
          <w:footerReference w:type="default" r:id="rId747"/>
          <w:footnotePr>
            <w:numStart w:val="1"/>
            <w:numRestart w:val="eachPage"/>
          </w:footnotePr>
          <w:pgSz w:orient="portrait" w:w="11905.511811023622" w:h="16837.79527559055"/>
          <w:pgMar w:top="1440" w:right="1440" w:bottom="1440" w:left="1440" w:header="720" w:footer="720" w:gutter="0"/>
          <w:cols w:num="1" w:space="720"/>
        </w:sectPr>
      </w:pPr>
    </w:p>
    <w:bookmarkStart w:id="459" w:name="pg14411_143129"/>
    <w:bookmarkEnd w:id="459"/>
    <w:p>
      <w:pPr>
        <w:pStyle w:val="BookText"/>
      </w:pPr>
      <w:r>
        <w:rPr>
          <w:rFonts w:ascii="IRNazanin" w:hAnsi="IRNazanin" w:eastAsia="IRNazanin" w:cs="IRNazanin"/>
          <w:lang w:bidi="fa-IR"/>
          <w:color w:val="111111"/>
          <w:sz w:val="28"/>
          <w:szCs w:val="28"/>
          <w:rtl/>
        </w:rPr>
        <w:t xml:space="preserve">لعلاقة،و بین أن یکون اتفاقیّا فی قضیّة جزئیّة،کما إذا علم-لأجل العلم الإجمالیّ الحاصل بموت زید أو عمرو-أنّ بقاء حیاة زید ملازم لموت عمرو،و کذا بقاء حیاة عمرو،ففی الحقیقة عدم الانفکاک اتفاقیّ من دون ملازمة.</w:t>
      </w:r>
    </w:p>
    <w:p>
      <w:pPr>
        <w:pStyle w:val="BookText"/>
      </w:pPr>
      <w:r>
        <w:rPr>
          <w:rFonts w:ascii="IRNazanin" w:hAnsi="IRNazanin" w:eastAsia="IRNazanin" w:cs="IRNazanin"/>
          <w:lang w:bidi="fa-IR"/>
          <w:color w:val="111111"/>
          <w:sz w:val="28"/>
          <w:szCs w:val="28"/>
          <w:rtl/>
        </w:rPr>
        <w:t xml:space="preserve">و کذا لا فرق بین أن یثبت بالمستصحب تمام ذلک الأمر العادیّ کالمثالین،أو قید له عدمیّ أو وجودیّ،کاستصحاب الحیاة للمقطوع نصفین،فیثبت به </w:t>
      </w:r>
      <w:r>
        <w:rPr>
          <w:rStyle w:val="FootnoteReference"/>
        </w:rPr>
        <w:footnoteReference w:id="2242"/>
      </w:r>
      <w:r>
        <w:rPr>
          <w:rFonts w:ascii="IRNazanin" w:hAnsi="IRNazanin" w:eastAsia="IRNazanin" w:cs="IRNazanin"/>
          <w:lang w:bidi="fa-IR"/>
          <w:color w:val="111111"/>
          <w:sz w:val="28"/>
          <w:szCs w:val="28"/>
          <w:rtl/>
        </w:rPr>
        <w:t xml:space="preserve">القتل الذی هو إزهاق الحیاة،و کاستصحاب عدم الاستحاضة المثبت لکون الدم الموجود حیضا-بناء علی أنّ کلّ دم لیس باستحاضة حیض شرعا-و کاستصحاب عدم الفصل الطویل المثبت لاتّصاف الأجزاء المتفاصلة-بما لا یعلم معه فوات الموالاة-بالتوالی.</w:t>
      </w:r>
      <w:r>
        <w:rPr>
          <w:rStyle w:val="FootnoteReference"/>
        </w:rPr>
        <w:footnoteReference w:id="2243"/>
      </w:r>
    </w:p>
    <w:p>
      <w:pPr>
        <w:pStyle w:val="Heading6"/>
      </w:pPr>
      <w:bookmarkStart w:id="1938" w:name="_Toc973"/>
      <w:r>
        <w:t>[ما استدلّ به صاحب الفصول علی عدم حجّیة الأصل المثبت:]</w:t>
      </w:r>
      <w:bookmarkEnd w:id="1938"/>
    </w:p>
    <w:p>
      <w:pPr>
        <w:pStyle w:val="Heading6"/>
      </w:pPr>
      <w:bookmarkStart w:id="1939" w:name="_Toc974"/>
      <w:r>
        <w:t>اشارة</w:t>
      </w:r>
      <w:bookmarkEnd w:id="1939"/>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 قد استدلّ بعض </w:t>
      </w:r>
      <w:r>
        <w:rPr>
          <w:rStyle w:val="FootnoteReference"/>
        </w:rPr>
        <w:footnoteReference w:id="2244"/>
      </w:r>
      <w:r>
        <w:rPr>
          <w:rFonts w:ascii="IRNazanin" w:hAnsi="IRNazanin" w:eastAsia="IRNazanin" w:cs="IRNazanin"/>
          <w:lang w:bidi="fa-IR"/>
          <w:color w:val="111111"/>
          <w:sz w:val="28"/>
          <w:szCs w:val="28"/>
          <w:rtl/>
        </w:rPr>
        <w:t xml:space="preserve">-تبعا لکاشف الغطاء </w:t>
      </w:r>
      <w:r>
        <w:rPr>
          <w:rStyle w:val="FootnoteReference"/>
        </w:rPr>
        <w:footnoteReference w:id="2245"/>
      </w:r>
      <w:r>
        <w:rPr>
          <w:rFonts w:ascii="IRNazanin" w:hAnsi="IRNazanin" w:eastAsia="IRNazanin" w:cs="IRNazanin"/>
          <w:lang w:bidi="fa-IR"/>
          <w:color w:val="111111"/>
          <w:sz w:val="28"/>
          <w:szCs w:val="28"/>
          <w:rtl/>
        </w:rPr>
        <w:t xml:space="preserve">-علی نفی الأصل المثبت،بتعارض الأصل فی جانب الثابت و المثبت،فکما أنّ الأصل بقاء الأوّل،کذلک الأصل عدم الثانی.قال:</w:t>
      </w:r>
    </w:p>
    <w:p>
      <w:pPr>
        <w:pStyle w:val="BookText"/>
      </w:pPr>
      <w:r>
        <w:rPr>
          <w:rFonts w:ascii="IRNazanin" w:hAnsi="IRNazanin" w:eastAsia="IRNazanin" w:cs="IRNazanin"/>
          <w:lang w:bidi="fa-IR"/>
          <w:color w:val="111111"/>
          <w:sz w:val="28"/>
          <w:szCs w:val="28"/>
          <w:rtl/>
        </w:rPr>
        <w:t xml:space="preserve">[شماره صفحه واقعی : 236]
</w:t>
      </w:r>
    </w:p>
    <w:p>
      <w:pPr>
        <w:sectPr>
          <w:footerReference w:type="default" r:id="rId748"/>
          <w:footnotePr>
            <w:numStart w:val="1"/>
            <w:numRestart w:val="eachPage"/>
          </w:footnotePr>
          <w:pgSz w:orient="portrait" w:w="11905.511811023622" w:h="16837.79527559055"/>
          <w:pgMar w:top="1440" w:right="1440" w:bottom="1440" w:left="1440" w:header="720" w:footer="720" w:gutter="0"/>
          <w:cols w:num="1" w:space="720"/>
        </w:sectPr>
      </w:pPr>
    </w:p>
    <w:bookmarkStart w:id="460" w:name="pg14411_143130"/>
    <w:bookmarkEnd w:id="460"/>
    <w:p>
      <w:pPr>
        <w:pStyle w:val="BookText"/>
      </w:pPr>
      <w:r>
        <w:rPr>
          <w:rFonts w:ascii="IRNazanin" w:hAnsi="IRNazanin" w:eastAsia="IRNazanin" w:cs="IRNazanin"/>
          <w:lang w:bidi="fa-IR"/>
          <w:color w:val="111111"/>
          <w:sz w:val="28"/>
          <w:szCs w:val="28"/>
          <w:rtl/>
        </w:rPr>
        <w:t xml:space="preserve">و لیس فی أخبار الباب ما یدلّ علی حجّیّته بالنسبة إلی ذلک؛ لأنّها مسوقة لتفریع الأحکام الشرعیّة،دون العادیّة و إن استتبعت أحکاما شرعیّة </w:t>
      </w:r>
      <w:r>
        <w:rPr>
          <w:rStyle w:val="FootnoteReference"/>
        </w:rPr>
        <w:footnoteReference w:id="2246"/>
      </w:r>
      <w:r>
        <w:rPr>
          <w:rFonts w:ascii="IRNazanin" w:hAnsi="IRNazanin" w:eastAsia="IRNazanin" w:cs="IRNazanin"/>
          <w:lang w:bidi="fa-IR"/>
          <w:color w:val="111111"/>
          <w:sz w:val="28"/>
          <w:szCs w:val="28"/>
          <w:rtl/>
        </w:rPr>
        <w:t xml:space="preserve">،انتهی.</w:t>
      </w:r>
    </w:p>
    <w:p>
      <w:pPr>
        <w:pStyle w:val="Heading6"/>
      </w:pPr>
      <w:bookmarkStart w:id="1940" w:name="_Toc975"/>
      <w:r>
        <w:t>[المناقشة فی ما أفاده صاحب الفصول:]</w:t>
      </w:r>
      <w:bookmarkEnd w:id="1940"/>
    </w:p>
    <w:p>
      <w:pPr>
        <w:pStyle w:val="BookText"/>
      </w:pPr>
      <w:r>
        <w:rPr>
          <w:rFonts w:ascii="IRNazanin" w:hAnsi="IRNazanin" w:eastAsia="IRNazanin" w:cs="IRNazanin"/>
          <w:lang w:bidi="fa-IR"/>
          <w:color w:val="111111"/>
          <w:sz w:val="28"/>
          <w:szCs w:val="28"/>
          <w:rtl/>
        </w:rPr>
        <w:t xml:space="preserve">أقول:لا ریب فی أنّه لو بنی علی أنّ الأصل فی الملزوم قابل لإثبات اللازم العادیّ لم یکن وجه لإجراء أصالة عدم اللازم؛لأنّه حاکم علیها،فلا معنی للتعارض علی ما هو الحقّ و اعترف به هذا المستدلّ </w:t>
      </w:r>
      <w:r>
        <w:rPr>
          <w:rStyle w:val="FootnoteReference"/>
        </w:rPr>
        <w:footnoteReference w:id="2247"/>
      </w:r>
      <w:r>
        <w:rPr>
          <w:rFonts w:ascii="IRNazanin" w:hAnsi="IRNazanin" w:eastAsia="IRNazanin" w:cs="IRNazanin"/>
          <w:lang w:bidi="fa-IR"/>
          <w:color w:val="111111"/>
          <w:sz w:val="28"/>
          <w:szCs w:val="28"/>
          <w:rtl/>
        </w:rPr>
        <w:t xml:space="preserve">-من حکومة الأصل فی الملزوم علی الأصل فی اللازم- فلا تعارض أصالة الطهارة لأصالة </w:t>
      </w:r>
      <w:r>
        <w:rPr>
          <w:rStyle w:val="FootnoteReference"/>
        </w:rPr>
        <w:footnoteReference w:id="2248"/>
      </w:r>
      <w:r>
        <w:rPr>
          <w:rFonts w:ascii="IRNazanin" w:hAnsi="IRNazanin" w:eastAsia="IRNazanin" w:cs="IRNazanin"/>
          <w:lang w:bidi="fa-IR"/>
          <w:color w:val="111111"/>
          <w:sz w:val="28"/>
          <w:szCs w:val="28"/>
          <w:rtl/>
        </w:rPr>
        <w:t xml:space="preserve">عدم التذکیة،فلو </w:t>
      </w:r>
      <w:r>
        <w:rPr>
          <w:rStyle w:val="FootnoteReference"/>
        </w:rPr>
        <w:footnoteReference w:id="2249"/>
      </w:r>
      <w:r>
        <w:rPr>
          <w:rFonts w:ascii="IRNazanin" w:hAnsi="IRNazanin" w:eastAsia="IRNazanin" w:cs="IRNazanin"/>
          <w:lang w:bidi="fa-IR"/>
          <w:color w:val="111111"/>
          <w:sz w:val="28"/>
          <w:szCs w:val="28"/>
          <w:rtl/>
        </w:rPr>
        <w:t xml:space="preserve">بنی علی المعارضة لم یکن فرق بین اللوازم الشرعیّة و العادیّة؛لأنّ الکلّ أحکام للمستصحب مسبوقة بالعدم.</w:t>
      </w:r>
    </w:p>
    <w:p>
      <w:pPr>
        <w:pStyle w:val="BookText"/>
      </w:pPr>
      <w:r>
        <w:rPr>
          <w:rFonts w:ascii="IRNazanin" w:hAnsi="IRNazanin" w:eastAsia="IRNazanin" w:cs="IRNazanin"/>
          <w:lang w:bidi="fa-IR"/>
          <w:color w:val="111111"/>
          <w:sz w:val="28"/>
          <w:szCs w:val="28"/>
          <w:rtl/>
        </w:rPr>
        <w:t xml:space="preserve">و أمّا قوله:«لیس فی أخبار الباب...الخ».</w:t>
      </w:r>
    </w:p>
    <w:p>
      <w:pPr>
        <w:pStyle w:val="BookText"/>
      </w:pPr>
      <w:r>
        <w:rPr>
          <w:rFonts w:ascii="IRNazanin" w:hAnsi="IRNazanin" w:eastAsia="IRNazanin" w:cs="IRNazanin"/>
          <w:lang w:bidi="fa-IR"/>
          <w:color w:val="111111"/>
          <w:sz w:val="28"/>
          <w:szCs w:val="28"/>
          <w:rtl/>
        </w:rPr>
        <w:t xml:space="preserve">إن أراد بذلک عدم دلالة الأخبار علی ترتّب اللوازم الغیر الشرعیّة،فهو مناف لما ذکره من التعارض؛إذ یبقی حینئذ أصالة عدم اللازم الغیر الشرعیّ سلیما عن المعارض.</w:t>
      </w:r>
    </w:p>
    <w:p>
      <w:pPr>
        <w:pStyle w:val="BookText"/>
      </w:pPr>
      <w:r>
        <w:rPr>
          <w:rFonts w:ascii="IRNazanin" w:hAnsi="IRNazanin" w:eastAsia="IRNazanin" w:cs="IRNazanin"/>
          <w:lang w:bidi="fa-IR"/>
          <w:color w:val="111111"/>
          <w:sz w:val="28"/>
          <w:szCs w:val="28"/>
          <w:rtl/>
        </w:rPr>
        <w:t xml:space="preserve">و إن أراد تتمیم الدلیل الأوّل،بأن یقال:إنّ دلیل الاستصحاب إن کان غیر الأخبار فالأصل یتعارض من الجانبین،و إن کانت الأخبار</w:t>
      </w:r>
    </w:p>
    <w:p>
      <w:pPr>
        <w:pStyle w:val="BookText"/>
      </w:pPr>
      <w:r>
        <w:rPr>
          <w:rFonts w:ascii="IRNazanin" w:hAnsi="IRNazanin" w:eastAsia="IRNazanin" w:cs="IRNazanin"/>
          <w:lang w:bidi="fa-IR"/>
          <w:color w:val="111111"/>
          <w:sz w:val="28"/>
          <w:szCs w:val="28"/>
          <w:rtl/>
        </w:rPr>
        <w:t xml:space="preserve">[شماره صفحه واقعی : 237]
</w:t>
      </w:r>
    </w:p>
    <w:p>
      <w:pPr>
        <w:sectPr>
          <w:footerReference w:type="default" r:id="rId749"/>
          <w:footnotePr>
            <w:numStart w:val="1"/>
            <w:numRestart w:val="eachPage"/>
          </w:footnotePr>
          <w:pgSz w:orient="portrait" w:w="11905.511811023622" w:h="16837.79527559055"/>
          <w:pgMar w:top="1440" w:right="1440" w:bottom="1440" w:left="1440" w:header="720" w:footer="720" w:gutter="0"/>
          <w:cols w:num="1" w:space="720"/>
        </w:sectPr>
      </w:pPr>
    </w:p>
    <w:bookmarkStart w:id="461" w:name="pg14411_143131"/>
    <w:bookmarkEnd w:id="461"/>
    <w:p>
      <w:pPr>
        <w:pStyle w:val="BookText"/>
      </w:pPr>
      <w:r>
        <w:rPr>
          <w:rFonts w:ascii="IRNazanin" w:hAnsi="IRNazanin" w:eastAsia="IRNazanin" w:cs="IRNazanin"/>
          <w:lang w:bidi="fa-IR"/>
          <w:color w:val="111111"/>
          <w:sz w:val="28"/>
          <w:szCs w:val="28"/>
          <w:rtl/>
        </w:rPr>
        <w:t xml:space="preserve">فلا دلالة فیها،ففیه:أنّ الأصل إذا کان مدرکه غیر الأخبار-و هو الظنّ النوعیّ الحاصل ببقاء ما کان علی ما کان-لم یکن إشکال فی أنّ الظنّ بالملزوم یوجب الظنّ باللازم و لو کان عادیّا،و لا یمکن حصول الظنّ بعدم اللازم بعد حصول الظنّ بوجود ملزومه،</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کیف!و لو حصل الظنّ بعدم اللازم اقتضی الظنّ بعدم الملزوم،فلا یؤثّر فی ترتّب اللوازم الشرعیّة أیضا.</w:t>
      </w:r>
    </w:p>
    <w:p>
      <w:pPr>
        <w:pStyle w:val="Heading6"/>
      </w:pPr>
      <w:bookmarkStart w:id="1941" w:name="_Toc976"/>
      <w:r>
        <w:t>[وجوب الالتزام بالاصول المثبتة بناء علی اعتبار الاستصحاب من باب الظنّ:]</w:t>
      </w:r>
      <w:bookmarkEnd w:id="1941"/>
    </w:p>
    <w:p>
      <w:pPr>
        <w:pStyle w:val="BookText"/>
      </w:pPr>
      <w:r>
        <w:rPr>
          <w:rFonts w:ascii="IRNazanin" w:hAnsi="IRNazanin" w:eastAsia="IRNazanin" w:cs="IRNazanin"/>
          <w:lang w:bidi="fa-IR"/>
          <w:color w:val="111111"/>
          <w:sz w:val="28"/>
          <w:szCs w:val="28"/>
          <w:rtl/>
        </w:rPr>
        <w:t xml:space="preserve">و من هنا یعلم:أنّه لو قلنا باعتبار الاستصحاب من باب الظنّ لم یکن مناص عن الالتزام بالاصول المثبتة؛لعدم انفکاک الظنّ بالملزوم عن الظنّ باللازم،شرعیّا کان أو غیره.</w:t>
      </w:r>
    </w:p>
    <w:p>
      <w:pPr>
        <w:pStyle w:val="BookText"/>
      </w:pPr>
      <w:r>
        <w:rPr>
          <w:rFonts w:ascii="IRNazanin" w:hAnsi="IRNazanin" w:eastAsia="IRNazanin" w:cs="IRNazanin"/>
          <w:lang w:bidi="fa-IR"/>
          <w:color w:val="111111"/>
          <w:sz w:val="28"/>
          <w:szCs w:val="28"/>
          <w:rtl/>
        </w:rPr>
        <w:t xml:space="preserve">إلاّ أن یقال:إنّ الظنّ الحاصل من الحالة السابقة حجّة فی لوازمه الشرعیّة دون غیرها.</w:t>
      </w:r>
    </w:p>
    <w:p>
      <w:pPr>
        <w:pStyle w:val="BookText"/>
      </w:pPr>
      <w:r>
        <w:rPr>
          <w:rFonts w:ascii="IRNazanin" w:hAnsi="IRNazanin" w:eastAsia="IRNazanin" w:cs="IRNazanin"/>
          <w:lang w:bidi="fa-IR"/>
          <w:color w:val="111111"/>
          <w:sz w:val="28"/>
          <w:szCs w:val="28"/>
          <w:rtl/>
        </w:rPr>
        <w:t xml:space="preserve">لکنّه إنّما یتمّ إذا کان دلیل اعتبار الظنّ مقتصرا فیه علی ترتّب بعض اللوازم دون آخر-کما إذا دلّ الدلیل علی أنّه یجب الصوم عند الشکّ فی هلال رمضان بشهادة عدل،فلا یلزم منه جواز الإفطار بعد مضیّ ثلاثین من ذلک الیوم-أو کان بعض الآثار ممّا لا یعتبر فیه مجرّد الظنّ،إمّا مطلقا-کما إذا حصل من الخبر الوارد فی المسألة الفرعیّة ظنّ بمسألة اصولیّة،فإنّه لا یعمل فیه بذلک الظنّ؛بناء علی عدم العمل بالظنّ فی الاصول-،و إمّا فی خصوص المقام،کما إذا ظنّ بالقبلة مع تعذّر العلم بها،فلزم منه الظنّ بدخول الوقت مع عدم العذر المسوّغ للعمل بالظنّ فی الوقت.</w:t>
      </w:r>
    </w:p>
    <w:p>
      <w:pPr>
        <w:pStyle w:val="Heading6"/>
      </w:pPr>
      <w:bookmarkStart w:id="1942" w:name="_Toc977"/>
      <w:r>
        <w:t>[فروع تمسّکوا فیها بالاصول المثبتة:]</w:t>
      </w:r>
      <w:bookmarkEnd w:id="1942"/>
    </w:p>
    <w:p>
      <w:pPr>
        <w:pStyle w:val="Heading6"/>
      </w:pPr>
      <w:bookmarkStart w:id="1943" w:name="_Toc978"/>
      <w:r>
        <w:t>اشارة</w:t>
      </w:r>
      <w:bookmarkEnd w:id="1943"/>
    </w:p>
    <w:p>
      <w:pPr>
        <w:pStyle w:val="BookText"/>
      </w:pPr>
      <w:r>
        <w:rPr>
          <w:rFonts w:ascii="IRNazanin" w:hAnsi="IRNazanin" w:eastAsia="IRNazanin" w:cs="IRNazanin"/>
          <w:lang w:bidi="fa-IR"/>
          <w:color w:val="111111"/>
          <w:sz w:val="28"/>
          <w:szCs w:val="28"/>
          <w:rtl/>
        </w:rPr>
        <w:t xml:space="preserve">و لعلّ ما ذکرنا هو الوجه فی عمل جماعة من القدماء و المتأخّرین بالاصول المثبتة فی کثیر من الموارد:</w:t>
      </w:r>
    </w:p>
    <w:p>
      <w:pPr>
        <w:pStyle w:val="BookText"/>
      </w:pPr>
      <w:r>
        <w:rPr>
          <w:rFonts w:ascii="IRNazanin" w:hAnsi="IRNazanin" w:eastAsia="IRNazanin" w:cs="IRNazanin"/>
          <w:lang w:bidi="fa-IR"/>
          <w:color w:val="111111"/>
          <w:sz w:val="28"/>
          <w:szCs w:val="28"/>
          <w:rtl/>
        </w:rPr>
        <w:t xml:space="preserve">[شماره صفحه واقعی : 238]
</w:t>
      </w:r>
    </w:p>
    <w:p>
      <w:pPr>
        <w:sectPr>
          <w:footerReference w:type="default" r:id="rId750"/>
          <w:footnotePr>
            <w:numStart w:val="1"/>
            <w:numRestart w:val="eachPage"/>
          </w:footnotePr>
          <w:pgSz w:orient="portrait" w:w="11905.511811023622" w:h="16837.79527559055"/>
          <w:pgMar w:top="1440" w:right="1440" w:bottom="1440" w:left="1440" w:header="720" w:footer="720" w:gutter="0"/>
          <w:cols w:num="1" w:space="720"/>
        </w:sectPr>
      </w:pPr>
    </w:p>
    <w:bookmarkStart w:id="462" w:name="pg14411_143132"/>
    <w:bookmarkEnd w:id="462"/>
    <w:p>
      <w:pPr>
        <w:pStyle w:val="Heading6"/>
      </w:pPr>
      <w:bookmarkStart w:id="1944" w:name="_Toc979"/>
      <w:r>
        <w:t>[الفرع الأول:]</w:t>
      </w:r>
      <w:bookmarkEnd w:id="1944"/>
    </w:p>
    <w:p>
      <w:pPr>
        <w:pStyle w:val="BookText"/>
      </w:pPr>
      <w:r>
        <w:rPr>
          <w:rFonts w:ascii="IRNazanin" w:hAnsi="IRNazanin" w:eastAsia="IRNazanin" w:cs="IRNazanin"/>
          <w:lang w:bidi="fa-IR"/>
          <w:color w:val="111111"/>
          <w:sz w:val="28"/>
          <w:szCs w:val="28"/>
          <w:rtl/>
        </w:rPr>
        <w:t xml:space="preserve">منها:ما ذکره جماعة-منهم المحقّق فی الشرائع </w:t>
      </w:r>
      <w:r>
        <w:rPr>
          <w:rStyle w:val="FootnoteReference"/>
        </w:rPr>
        <w:footnoteReference w:id="2250"/>
      </w:r>
      <w:r>
        <w:rPr>
          <w:rFonts w:ascii="Amiri" w:hAnsi="Amiri" w:eastAsia="Amiri" w:cs="Amiri"/>
          <w:lang w:bidi="ar-SA"/>
          <w:color w:val="111111"/>
          <w:sz w:val="28"/>
          <w:szCs w:val="28"/>
          <w:rtl/>
        </w:rPr>
        <w:t xml:space="preserve">و جماعة ممّن تقدّم علیه </w:t>
      </w:r>
      <w:r>
        <w:rPr>
          <w:rStyle w:val="FootnoteReference"/>
        </w:rPr>
        <w:footnoteReference w:id="2251"/>
      </w:r>
      <w:r>
        <w:rPr>
          <w:rFonts w:ascii="Amiri" w:hAnsi="Amiri" w:eastAsia="Amiri" w:cs="Amiri"/>
          <w:lang w:bidi="ar-SA"/>
          <w:color w:val="111111"/>
          <w:sz w:val="28"/>
          <w:szCs w:val="28"/>
          <w:rtl/>
        </w:rPr>
        <w:t xml:space="preserve">و تأخّر عنه </w:t>
      </w:r>
      <w:r>
        <w:rPr>
          <w:rStyle w:val="FootnoteReference"/>
        </w:rPr>
        <w:footnoteReference w:id="2252"/>
      </w:r>
      <w:r>
        <w:rPr>
          <w:rFonts w:ascii="IRNazanin" w:hAnsi="IRNazanin" w:eastAsia="IRNazanin" w:cs="IRNazanin"/>
          <w:lang w:bidi="fa-IR"/>
          <w:color w:val="111111"/>
          <w:sz w:val="28"/>
          <w:szCs w:val="28"/>
          <w:rtl/>
        </w:rPr>
        <w:t xml:space="preserve">-:من أنّه لو اتّفق الوارثان علی إسلام أحدهما المعیّن فی أوّل شعبان و الآخر فی غرّة رمضان،و اختلفا:فادّعی أحدهما موت المورّث فی شعبان و الآخر موته فی أثناء رمضان،کان المال بینهما نصفین؛لأصالة بقاء حیاة المورّث.</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 لا یخفی:أنّ الإرث مترتّب علی موت المورّث عن وارث مسلم،و بقاء حیاة المورّث إلی غرّة رمضان لا یستلزم بنفسه موت المورّث فی حال إسلام الوارث.نعم،لمّا علم بإسلام الوارث فی غرّة رمضان لم ینفکّ بقاء حیاته حال الإسلام عن موته بعد الإسلام الذی هو سبب الإرث.</w:t>
      </w:r>
    </w:p>
    <w:p>
      <w:pPr>
        <w:pStyle w:val="BookText"/>
      </w:pPr>
      <w:r>
        <w:rPr>
          <w:rFonts w:ascii="IRNazanin" w:hAnsi="IRNazanin" w:eastAsia="IRNazanin" w:cs="IRNazanin"/>
          <w:lang w:bidi="fa-IR"/>
          <w:color w:val="111111"/>
          <w:sz w:val="28"/>
          <w:szCs w:val="28"/>
          <w:rtl/>
        </w:rPr>
        <w:t xml:space="preserve">إلاّ أن یوجّه بأنّ المقصود فی المقام إحراز إسلام الوارث فی حیاة أبیه-کما یعلم من الفرع الذی ذکره قبل هذا الفرع فی الشرائع </w:t>
      </w:r>
      <w:r>
        <w:rPr>
          <w:rStyle w:val="FootnoteReference"/>
        </w:rPr>
        <w:footnoteReference w:id="2253"/>
      </w:r>
      <w:r>
        <w:rPr>
          <w:rFonts w:ascii="IRNazanin" w:hAnsi="IRNazanin" w:eastAsia="IRNazanin" w:cs="IRNazanin"/>
          <w:lang w:bidi="fa-IR"/>
          <w:color w:val="111111"/>
          <w:sz w:val="28"/>
          <w:szCs w:val="28"/>
          <w:rtl/>
        </w:rPr>
        <w:t xml:space="preserve">- و یکفی ثبوت الإسلام حال الحیاة المستصحبة،فی تحقّق سبب الإرث و حدوث علاقة الوارثیّة بین الولد و والده فی حال الحیاة.</w:t>
      </w:r>
    </w:p>
    <w:p>
      <w:pPr>
        <w:pStyle w:val="Heading6"/>
      </w:pPr>
      <w:bookmarkStart w:id="1945" w:name="_Toc980"/>
      <w:r>
        <w:t>[الفرع الثانی:]</w:t>
      </w:r>
      <w:bookmarkEnd w:id="1945"/>
    </w:p>
    <w:p>
      <w:pPr>
        <w:pStyle w:val="BookText"/>
      </w:pPr>
      <w:r>
        <w:rPr>
          <w:rFonts w:ascii="IRNazanin" w:hAnsi="IRNazanin" w:eastAsia="IRNazanin" w:cs="IRNazanin"/>
          <w:lang w:bidi="fa-IR"/>
          <w:color w:val="111111"/>
          <w:sz w:val="28"/>
          <w:szCs w:val="28"/>
          <w:rtl/>
        </w:rPr>
        <w:t xml:space="preserve">و منها:ما ذکره جماعة </w:t>
      </w:r>
      <w:r>
        <w:rPr>
          <w:rStyle w:val="FootnoteReference"/>
        </w:rPr>
        <w:footnoteReference w:id="2254"/>
      </w:r>
      <w:r>
        <w:rPr>
          <w:rFonts w:ascii="IRNazanin" w:hAnsi="IRNazanin" w:eastAsia="IRNazanin" w:cs="IRNazanin"/>
          <w:lang w:bidi="fa-IR"/>
          <w:color w:val="111111"/>
          <w:sz w:val="28"/>
          <w:szCs w:val="28"/>
          <w:rtl/>
        </w:rPr>
        <w:t xml:space="preserve">-تبعا للمحقّق </w:t>
      </w:r>
      <w:r>
        <w:rPr>
          <w:rStyle w:val="FootnoteReference"/>
        </w:rPr>
        <w:footnoteReference w:id="2255"/>
      </w:r>
      <w:r>
        <w:rPr>
          <w:rFonts w:ascii="IRNazanin" w:hAnsi="IRNazanin" w:eastAsia="IRNazanin" w:cs="IRNazanin"/>
          <w:lang w:bidi="fa-IR"/>
          <w:color w:val="111111"/>
          <w:sz w:val="28"/>
          <w:szCs w:val="28"/>
          <w:rtl/>
        </w:rPr>
        <w:t xml:space="preserve">-فی کرّ وجد فیه</w:t>
      </w:r>
    </w:p>
    <w:p>
      <w:pPr>
        <w:pStyle w:val="BookText"/>
      </w:pPr>
      <w:r>
        <w:rPr>
          <w:rFonts w:ascii="IRNazanin" w:hAnsi="IRNazanin" w:eastAsia="IRNazanin" w:cs="IRNazanin"/>
          <w:lang w:bidi="fa-IR"/>
          <w:color w:val="111111"/>
          <w:sz w:val="28"/>
          <w:szCs w:val="28"/>
          <w:rtl/>
        </w:rPr>
        <w:t xml:space="preserve">[شماره صفحه واقعی : 239]
</w:t>
      </w:r>
    </w:p>
    <w:p>
      <w:pPr>
        <w:sectPr>
          <w:footerReference w:type="default" r:id="rId751"/>
          <w:footnotePr>
            <w:numStart w:val="1"/>
            <w:numRestart w:val="eachPage"/>
          </w:footnotePr>
          <w:pgSz w:orient="portrait" w:w="11905.511811023622" w:h="16837.79527559055"/>
          <w:pgMar w:top="1440" w:right="1440" w:bottom="1440" w:left="1440" w:header="720" w:footer="720" w:gutter="0"/>
          <w:cols w:num="1" w:space="720"/>
        </w:sectPr>
      </w:pPr>
    </w:p>
    <w:bookmarkStart w:id="463" w:name="pg14411_143133"/>
    <w:bookmarkEnd w:id="463"/>
    <w:p>
      <w:pPr>
        <w:pStyle w:val="BookText"/>
      </w:pPr>
      <w:r>
        <w:rPr>
          <w:rFonts w:ascii="IRNazanin" w:hAnsi="IRNazanin" w:eastAsia="IRNazanin" w:cs="IRNazanin"/>
          <w:lang w:bidi="fa-IR"/>
          <w:color w:val="111111"/>
          <w:sz w:val="28"/>
          <w:szCs w:val="28"/>
          <w:rtl/>
        </w:rPr>
        <w:t xml:space="preserve">نجاسة لا یعلم سبقها علی الکرّیّة و تأخّرها،فإنّهم حکموا بأنّ استصحاب عدم الکریّة قبل الملاقاة الراجع إلی استصحاب عدم المانع عن الانفعال حین وجود المقتضی له،معارض باستصحاب عدم الملاقاة قبل الکریّة.</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 لا یخفی:أنّ الملاقاة معلومة،فإن کان اللازم فی الحکم بالنجاسة إحراز وقوعها فی زمان القلّة-و إلاّ فالأصل عدم التأثیر-لم یکن وجه لمعارضة الاستصحاب الثانی بالاستصحاب الأوّل؛لأنّ أصالة عدم الکرّیّة قبل الملاقاة </w:t>
      </w:r>
      <w:r>
        <w:rPr>
          <w:rStyle w:val="FootnoteReference"/>
        </w:rPr>
        <w:footnoteReference w:id="2256"/>
      </w:r>
      <w:r>
        <w:rPr>
          <w:rFonts w:ascii="IRNazanin" w:hAnsi="IRNazanin" w:eastAsia="IRNazanin" w:cs="IRNazanin"/>
          <w:lang w:bidi="fa-IR"/>
          <w:color w:val="111111"/>
          <w:sz w:val="28"/>
          <w:szCs w:val="28"/>
          <w:rtl/>
        </w:rPr>
        <w:t xml:space="preserve">لا یثبت کون الملاقاة قبل الکرّیّة و فی زمان القلّة، حتّی یثبت النجاسة،إلاّ من باب عدم انفکاک عدم الکرّیّة حین الملاقاة عن وقوع الملاقاة حین القلّة،نظیر عدم انفکاک عدم الموت حین الإسلام لوقوع الموت بعد الإسلام،فافهم.</w:t>
      </w:r>
    </w:p>
    <w:p>
      <w:pPr>
        <w:pStyle w:val="Heading6"/>
      </w:pPr>
      <w:bookmarkStart w:id="1946" w:name="_Toc981"/>
      <w:r>
        <w:t>[الفرع الثالث:]</w:t>
      </w:r>
      <w:bookmarkEnd w:id="1946"/>
    </w:p>
    <w:p>
      <w:pPr>
        <w:pStyle w:val="BookText"/>
      </w:pPr>
      <w:r>
        <w:rPr>
          <w:rFonts w:ascii="IRNazanin" w:hAnsi="IRNazanin" w:eastAsia="IRNazanin" w:cs="IRNazanin"/>
          <w:lang w:bidi="fa-IR"/>
          <w:color w:val="111111"/>
          <w:sz w:val="28"/>
          <w:szCs w:val="28"/>
          <w:rtl/>
        </w:rPr>
        <w:t xml:space="preserve">و منها:ما فی الشرائع و التحریر-تبعا للمحکیّ عن المبسوط-:</w:t>
      </w:r>
    </w:p>
    <w:p>
      <w:pPr>
        <w:pStyle w:val="BookText"/>
      </w:pPr>
      <w:r>
        <w:rPr>
          <w:rFonts w:ascii="IRNazanin" w:hAnsi="IRNazanin" w:eastAsia="IRNazanin" w:cs="IRNazanin"/>
          <w:lang w:bidi="fa-IR"/>
          <w:color w:val="111111"/>
          <w:sz w:val="28"/>
          <w:szCs w:val="28"/>
          <w:rtl/>
        </w:rPr>
        <w:t xml:space="preserve">من أنّه لو ادّعی الجانی أنّ المجنیّ علیه شرب سمّا فمات بالسمّ،و ادّعی الولیّ أنّه مات بالسرایة،فالاحتمالان فیه سواء.</w:t>
      </w:r>
    </w:p>
    <w:p>
      <w:pPr>
        <w:pStyle w:val="BookText"/>
      </w:pPr>
      <w:r>
        <w:rPr>
          <w:rFonts w:ascii="IRNazanin" w:hAnsi="IRNazanin" w:eastAsia="IRNazanin" w:cs="IRNazanin"/>
          <w:lang w:bidi="fa-IR"/>
          <w:color w:val="111111"/>
          <w:sz w:val="28"/>
          <w:szCs w:val="28"/>
          <w:rtl/>
        </w:rPr>
        <w:t xml:space="preserve">و کذا الملفوف فی الکساء إذا قدّة بنصفین،فادّعی الولیّ أنّه کان حیّا،و الجانی أنّه کان میتا،فالاحتمالان متساویان.</w:t>
      </w:r>
    </w:p>
    <w:p>
      <w:pPr>
        <w:pStyle w:val="BookText"/>
      </w:pPr>
      <w:r>
        <w:rPr>
          <w:rFonts w:ascii="IRNazanin" w:hAnsi="IRNazanin" w:eastAsia="IRNazanin" w:cs="IRNazanin"/>
          <w:lang w:bidi="fa-IR"/>
          <w:color w:val="111111"/>
          <w:sz w:val="28"/>
          <w:szCs w:val="28"/>
          <w:rtl/>
        </w:rPr>
        <w:t xml:space="preserve">ثمّ حکی عن المبسوط التردّد </w:t>
      </w:r>
      <w:r>
        <w:rPr>
          <w:rStyle w:val="FootnoteReference"/>
        </w:rPr>
        <w:footnoteReference w:id="22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الشرائع:رجّح قول الجانی؛لأنّ الأصل عدم الضمان،و فیه احتمال آخر ضعیف </w:t>
      </w:r>
      <w:r>
        <w:rPr>
          <w:rStyle w:val="FootnoteReference"/>
        </w:rPr>
        <w:footnoteReference w:id="22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240]
</w:t>
      </w:r>
    </w:p>
    <w:p>
      <w:pPr>
        <w:sectPr>
          <w:footerReference w:type="default" r:id="rId752"/>
          <w:footnotePr>
            <w:numStart w:val="1"/>
            <w:numRestart w:val="eachPage"/>
          </w:footnotePr>
          <w:pgSz w:orient="portrait" w:w="11905.511811023622" w:h="16837.79527559055"/>
          <w:pgMar w:top="1440" w:right="1440" w:bottom="1440" w:left="1440" w:header="720" w:footer="720" w:gutter="0"/>
          <w:cols w:num="1" w:space="720"/>
        </w:sectPr>
      </w:pPr>
    </w:p>
    <w:bookmarkStart w:id="464" w:name="pg14411_143134"/>
    <w:bookmarkEnd w:id="464"/>
    <w:p>
      <w:pPr>
        <w:pStyle w:val="BookText"/>
      </w:pPr>
      <w:r>
        <w:rPr>
          <w:rFonts w:ascii="IRNazanin" w:hAnsi="IRNazanin" w:eastAsia="IRNazanin" w:cs="IRNazanin"/>
          <w:lang w:bidi="fa-IR"/>
          <w:color w:val="111111"/>
          <w:sz w:val="28"/>
          <w:szCs w:val="28"/>
          <w:rtl/>
        </w:rPr>
        <w:t xml:space="preserve">و فی التحریر:أنّ الأصل عدم الضمان من جانبه و استمرار الحیاة من جانب الملفوف،فیرجّح قول الجانی.و فیه نظر </w:t>
      </w:r>
      <w:r>
        <w:rPr>
          <w:rStyle w:val="FootnoteReference"/>
        </w:rPr>
        <w:footnoteReference w:id="22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الظاهر أنّ مراده النظر فی عدم الضمان؛من حیث إنّ بقاء الحیاة بالاستصحاب إلی زمان القدّ سبب فی الضمان،فلا یجری أصالة عدمه، و هو الذی ضعّفه المحقّق،لکن قوّاه بعض محشّیه </w:t>
      </w:r>
      <w:r>
        <w:rPr>
          <w:rStyle w:val="FootnoteReference"/>
        </w:rPr>
        <w:footnoteReference w:id="22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المستفاد من الکلّ نهوض استصحاب الحیاة لإثبات القتل الذی هو سبب الضمان،لکنّه مقدّم علی ما عداه عند العلاّمة </w:t>
      </w:r>
      <w:r>
        <w:rPr>
          <w:rStyle w:val="FootnoteReference"/>
        </w:rPr>
        <w:footnoteReference w:id="2261"/>
      </w:r>
      <w:r>
        <w:rPr>
          <w:rFonts w:ascii="IRNazanin" w:hAnsi="IRNazanin" w:eastAsia="IRNazanin" w:cs="IRNazanin"/>
          <w:lang w:bidi="fa-IR"/>
          <w:color w:val="111111"/>
          <w:sz w:val="28"/>
          <w:szCs w:val="28"/>
          <w:rtl/>
        </w:rPr>
        <w:t xml:space="preserve">و بعض من تأخّر عنه </w:t>
      </w:r>
      <w:r>
        <w:rPr>
          <w:rStyle w:val="FootnoteReference"/>
        </w:rPr>
        <w:footnoteReference w:id="2262"/>
      </w:r>
      <w:r>
        <w:rPr>
          <w:rFonts w:ascii="IRNazanin" w:hAnsi="IRNazanin" w:eastAsia="IRNazanin" w:cs="IRNazanin"/>
          <w:lang w:bidi="fa-IR"/>
          <w:color w:val="111111"/>
          <w:sz w:val="28"/>
          <w:szCs w:val="28"/>
          <w:rtl/>
        </w:rPr>
        <w:t xml:space="preserve">،و مکافئ لأصالة عدم الضمان من غیر ترجیح عند الشیخ فی المبسوط،و یرجّح علیه أصالة عدم الضمان عند المحقّق و الشهید فی المسالک </w:t>
      </w:r>
      <w:r>
        <w:rPr>
          <w:rStyle w:val="FootnoteReference"/>
        </w:rPr>
        <w:footnoteReference w:id="2263"/>
      </w:r>
      <w:r>
        <w:rPr>
          <w:rStyle w:val="FootnoteReference"/>
        </w:rPr>
        <w:footnoteReference w:id="2264"/>
      </w:r>
      <w:r>
        <w:rPr>
          <w:rFonts w:ascii="Times New Roman" w:hAnsi="Times New Roman" w:eastAsia="Times New Roman" w:cs="Times New Roman"/>
          <w:lang w:val="en-US" w:bidi="en-US"/>
          <w:color w:val="111111"/>
          <w:sz w:val="28"/>
          <w:szCs w:val="28"/>
          <w:rtl/>
        </w:rPr>
        <w:t xml:space="preserve">.</w:t>
      </w:r>
    </w:p>
    <w:p>
      <w:pPr>
        <w:pStyle w:val="Heading6"/>
      </w:pPr>
      <w:bookmarkStart w:id="1947" w:name="_Toc982"/>
      <w:r>
        <w:t>[الفرع الرابع:]</w:t>
      </w:r>
      <w:bookmarkEnd w:id="1947"/>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 منها:ما فی التحریر-بعد هذا الفرع-:و لو ادّعی الجانی نقصان ید المجنیّ علیه بإصبع،احتمل تقدیم قوله عملا بأصالة عدم القصاص،و تقدیم قول المجنیّ علیه إذ الأصل السلامة،هذا إن ادّعی</w:t>
      </w:r>
    </w:p>
    <w:p>
      <w:pPr>
        <w:pStyle w:val="BookText"/>
      </w:pPr>
      <w:r>
        <w:rPr>
          <w:rFonts w:ascii="IRNazanin" w:hAnsi="IRNazanin" w:eastAsia="IRNazanin" w:cs="IRNazanin"/>
          <w:lang w:bidi="fa-IR"/>
          <w:color w:val="111111"/>
          <w:sz w:val="28"/>
          <w:szCs w:val="28"/>
          <w:rtl/>
        </w:rPr>
        <w:t xml:space="preserve">[شماره صفحه واقعی : 241]
</w:t>
      </w:r>
    </w:p>
    <w:p>
      <w:pPr>
        <w:sectPr>
          <w:footerReference w:type="default" r:id="rId753"/>
          <w:footnotePr>
            <w:numStart w:val="1"/>
            <w:numRestart w:val="eachPage"/>
          </w:footnotePr>
          <w:pgSz w:orient="portrait" w:w="11905.511811023622" w:h="16837.79527559055"/>
          <w:pgMar w:top="1440" w:right="1440" w:bottom="1440" w:left="1440" w:header="720" w:footer="720" w:gutter="0"/>
          <w:cols w:num="1" w:space="720"/>
        </w:sectPr>
      </w:pPr>
    </w:p>
    <w:bookmarkStart w:id="465" w:name="pg14411_143135"/>
    <w:bookmarkEnd w:id="465"/>
    <w:p>
      <w:pPr>
        <w:pStyle w:val="BookText"/>
      </w:pPr>
      <w:r>
        <w:rPr>
          <w:rFonts w:ascii="IRNazanin" w:hAnsi="IRNazanin" w:eastAsia="IRNazanin" w:cs="IRNazanin"/>
          <w:lang w:bidi="fa-IR"/>
          <w:color w:val="111111"/>
          <w:sz w:val="28"/>
          <w:szCs w:val="28"/>
          <w:rtl/>
        </w:rPr>
        <w:t xml:space="preserve">الجانی نفی السلامة أصلا.و أمّا لو ادّعی زوالها طارئا،فالأقرب أنّ القول قول المجنیّ علیه </w:t>
      </w:r>
      <w:r>
        <w:rPr>
          <w:rStyle w:val="FootnoteReference"/>
        </w:rPr>
        <w:footnoteReference w:id="2265"/>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لا یخفی صراحته فی العمل بأصالة عدم زوال الإصبع فی إثبات الجنایة علی الید التامّة.</w:t>
      </w:r>
    </w:p>
    <w:p>
      <w:pPr>
        <w:pStyle w:val="BookText"/>
      </w:pPr>
      <w:r>
        <w:rPr>
          <w:rFonts w:ascii="IRNazanin" w:hAnsi="IRNazanin" w:eastAsia="IRNazanin" w:cs="IRNazanin"/>
          <w:lang w:bidi="fa-IR"/>
          <w:color w:val="111111"/>
          <w:sz w:val="28"/>
          <w:szCs w:val="28"/>
          <w:rtl/>
        </w:rPr>
        <w:t xml:space="preserve">و الظاهر أنّ مقابل الأقرب ما یظهر من الشیخ رحمه اللّه فی الخلاف </w:t>
      </w:r>
      <w:r>
        <w:rPr>
          <w:rStyle w:val="FootnoteReference"/>
        </w:rPr>
        <w:footnoteReference w:id="2266"/>
      </w:r>
      <w:r>
        <w:rPr>
          <w:rFonts w:ascii="IRNazanin" w:hAnsi="IRNazanin" w:eastAsia="IRNazanin" w:cs="IRNazanin"/>
          <w:lang w:bidi="fa-IR"/>
          <w:color w:val="111111"/>
          <w:sz w:val="28"/>
          <w:szCs w:val="28"/>
          <w:rtl/>
        </w:rPr>
        <w:t xml:space="preserve">فی نظیر المسألة،و هو ما إذا اختلف الجانی و المجنیّ علیه فی صحّة العضو المقطوع و عیبه،فإنّه قوّی عدم ضمان الصحیح.</w:t>
      </w:r>
    </w:p>
    <w:p>
      <w:pPr>
        <w:pStyle w:val="Heading6"/>
      </w:pPr>
      <w:bookmarkStart w:id="1948" w:name="_Toc983"/>
      <w:r>
        <w:t>[الفرع الخامس:]</w:t>
      </w:r>
      <w:bookmarkEnd w:id="1948"/>
    </w:p>
    <w:p>
      <w:pPr>
        <w:pStyle w:val="BookText"/>
      </w:pPr>
      <w:r>
        <w:rPr>
          <w:rFonts w:ascii="IRNazanin" w:hAnsi="IRNazanin" w:eastAsia="IRNazanin" w:cs="IRNazanin"/>
          <w:lang w:bidi="fa-IR"/>
          <w:color w:val="111111"/>
          <w:sz w:val="28"/>
          <w:szCs w:val="28"/>
          <w:rtl/>
        </w:rPr>
        <w:t xml:space="preserve">و منها:ما ذکره جماعة </w:t>
      </w:r>
      <w:r>
        <w:rPr>
          <w:rStyle w:val="FootnoteReference"/>
        </w:rPr>
        <w:footnoteReference w:id="2267"/>
      </w:r>
      <w:r>
        <w:rPr>
          <w:rFonts w:ascii="IRNazanin" w:hAnsi="IRNazanin" w:eastAsia="IRNazanin" w:cs="IRNazanin"/>
          <w:lang w:bidi="fa-IR"/>
          <w:color w:val="111111"/>
          <w:sz w:val="28"/>
          <w:szCs w:val="28"/>
          <w:rtl/>
        </w:rPr>
        <w:t xml:space="preserve">-تبعا للمبسوط </w:t>
      </w:r>
      <w:r>
        <w:rPr>
          <w:rStyle w:val="FootnoteReference"/>
        </w:rPr>
        <w:footnoteReference w:id="2268"/>
      </w:r>
      <w:r>
        <w:rPr>
          <w:rFonts w:ascii="IRNazanin" w:hAnsi="IRNazanin" w:eastAsia="IRNazanin" w:cs="IRNazanin"/>
          <w:lang w:bidi="fa-IR"/>
          <w:color w:val="111111"/>
          <w:sz w:val="28"/>
          <w:szCs w:val="28"/>
          <w:rtl/>
        </w:rPr>
        <w:t xml:space="preserve">و الشرائع </w:t>
      </w:r>
      <w:r>
        <w:rPr>
          <w:rStyle w:val="FootnoteReference"/>
        </w:rPr>
        <w:footnoteReference w:id="2269"/>
      </w:r>
      <w:r>
        <w:rPr>
          <w:rFonts w:ascii="IRNazanin" w:hAnsi="IRNazanin" w:eastAsia="IRNazanin" w:cs="IRNazanin"/>
          <w:lang w:bidi="fa-IR"/>
          <w:color w:val="111111"/>
          <w:sz w:val="28"/>
          <w:szCs w:val="28"/>
          <w:rtl/>
        </w:rPr>
        <w:t xml:space="preserve">-فی اختلاف الجانی و الولیّ فی موت المجنیّ علیه بعد الاندمال أو قبله.</w:t>
      </w:r>
    </w:p>
    <w:p>
      <w:pPr>
        <w:pStyle w:val="BookText"/>
      </w:pPr>
      <w:r>
        <w:rPr>
          <w:rFonts w:ascii="IRNazanin" w:hAnsi="IRNazanin" w:eastAsia="IRNazanin" w:cs="IRNazanin"/>
          <w:lang w:bidi="fa-IR"/>
          <w:color w:val="111111"/>
          <w:sz w:val="28"/>
          <w:szCs w:val="28"/>
          <w:rtl/>
        </w:rPr>
        <w:t xml:space="preserve">إلی غیر ذلک ممّا یقف علیه المتتبّع فی کتب الفقه،خصوصا کتب الشیخ و الفاضلین و الشهیدین.</w:t>
      </w:r>
    </w:p>
    <w:p>
      <w:pPr>
        <w:pStyle w:val="Heading6"/>
      </w:pPr>
      <w:bookmarkStart w:id="1949" w:name="_Toc984"/>
      <w:r>
        <w:t>[عدم عمل الأصحاب بکلّ أصل مثبت:]</w:t>
      </w:r>
      <w:bookmarkEnd w:id="1949"/>
    </w:p>
    <w:p>
      <w:pPr>
        <w:pStyle w:val="BookText"/>
      </w:pPr>
      <w:r>
        <w:rPr>
          <w:rFonts w:ascii="IRNazanin" w:hAnsi="IRNazanin" w:eastAsia="IRNazanin" w:cs="IRNazanin"/>
          <w:lang w:bidi="fa-IR"/>
          <w:color w:val="111111"/>
          <w:sz w:val="28"/>
          <w:szCs w:val="28"/>
          <w:rtl/>
        </w:rPr>
        <w:t xml:space="preserve">لکنّ المعلوم منهم و من غیرهم من الأصحاب عدم العمل بکلّ أصل مثبت.</w:t>
      </w:r>
    </w:p>
    <w:p>
      <w:pPr>
        <w:pStyle w:val="BookText"/>
      </w:pPr>
      <w:r>
        <w:rPr>
          <w:rFonts w:ascii="IRNazanin" w:hAnsi="IRNazanin" w:eastAsia="IRNazanin" w:cs="IRNazanin"/>
          <w:lang w:bidi="fa-IR"/>
          <w:color w:val="111111"/>
          <w:sz w:val="28"/>
          <w:szCs w:val="28"/>
          <w:rtl/>
        </w:rPr>
        <w:t xml:space="preserve">فإذا تسالم الخصمان فی بعض الفروع المتقدّمة علی ضرب اللّفاف </w:t>
      </w:r>
      <w:r>
        <w:rPr>
          <w:rStyle w:val="FootnoteReference"/>
        </w:rPr>
        <w:footnoteReference w:id="2270"/>
      </w:r>
    </w:p>
    <w:p>
      <w:pPr>
        <w:pStyle w:val="BookText"/>
      </w:pPr>
      <w:r>
        <w:rPr>
          <w:rFonts w:ascii="IRNazanin" w:hAnsi="IRNazanin" w:eastAsia="IRNazanin" w:cs="IRNazanin"/>
          <w:lang w:bidi="fa-IR"/>
          <w:color w:val="111111"/>
          <w:sz w:val="28"/>
          <w:szCs w:val="28"/>
          <w:rtl/>
        </w:rPr>
        <w:t xml:space="preserve">[شماره صفحه واقعی : 242]
</w:t>
      </w:r>
    </w:p>
    <w:p>
      <w:pPr>
        <w:sectPr>
          <w:footerReference w:type="default" r:id="rId7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بالسیف علی وجه لو کان زید الملفوف به سابقا باقیا علی اللفاف لقتله،إلاّ أنّهما اختلفا فی بقائه ملفوفا أو خروجه عن اللفّ،فهل تجد من نفسک رمی أحد من الأصحاب بالحکم بأنّ الأصل بقاء لفّه،فیثبت القتل إلاّ أن یثبت الآخر خروجه؟!أو تجد فرقا بین بقاء زید علی اللفّ و بقائه علی الحیاة؛لتوقّف تحقّق عنوان القتل علیهما؟!</w:t>
      </w:r>
    </w:p>
    <w:p>
      <w:pPr>
        <w:pStyle w:val="BookText"/>
      </w:pPr>
      <w:r>
        <w:rPr>
          <w:rFonts w:ascii="IRNazanin" w:hAnsi="IRNazanin" w:eastAsia="IRNazanin" w:cs="IRNazanin"/>
          <w:lang w:bidi="fa-IR"/>
          <w:color w:val="111111"/>
          <w:sz w:val="28"/>
          <w:szCs w:val="28"/>
          <w:rtl/>
        </w:rPr>
        <w:t xml:space="preserve">و کذا لو وقع الثوب النجس فی حوض کان فیه الماء سابقا،ثمّ شکّ فی بقائه فیه،فهل یحکم أحد بطهارة الثوب بثبوت انغساله بأصالة بقاء الماء؟!</w:t>
      </w:r>
    </w:p>
    <w:p>
      <w:pPr>
        <w:pStyle w:val="BookText"/>
      </w:pPr>
      <w:r>
        <w:rPr>
          <w:rFonts w:ascii="IRNazanin" w:hAnsi="IRNazanin" w:eastAsia="IRNazanin" w:cs="IRNazanin"/>
          <w:lang w:bidi="fa-IR"/>
          <w:color w:val="111111"/>
          <w:sz w:val="28"/>
          <w:szCs w:val="28"/>
          <w:rtl/>
        </w:rPr>
        <w:t xml:space="preserve">و کذا لو رمی صیدا أو شخصا علی وجه لو لم یطرأ حائل لأصابه،فهل یحکم بقتل الصید أو الشخص بأصالة عدم الحائل؟!</w:t>
      </w:r>
    </w:p>
    <w:p>
      <w:pPr>
        <w:pStyle w:val="BookText"/>
      </w:pPr>
      <w:r>
        <w:rPr>
          <w:rFonts w:ascii="IRNazanin" w:hAnsi="IRNazanin" w:eastAsia="IRNazanin" w:cs="IRNazanin"/>
          <w:lang w:bidi="fa-IR"/>
          <w:color w:val="111111"/>
          <w:sz w:val="28"/>
          <w:szCs w:val="28"/>
          <w:rtl/>
        </w:rPr>
        <w:t xml:space="preserve">إلی غیر ذلک ممّا لا یحصی من الأمثلة التی نقطع بعدم جریان الأصل لإثبات الموضوعات الخارجیّة التی یترتّب علیها الأحکام الشرعیّة.</w:t>
      </w:r>
    </w:p>
    <w:p>
      <w:pPr>
        <w:pStyle w:val="BookText"/>
      </w:pPr>
      <w:r>
        <w:rPr>
          <w:rFonts w:ascii="IRNazanin" w:hAnsi="IRNazanin" w:eastAsia="IRNazanin" w:cs="IRNazanin"/>
          <w:lang w:bidi="fa-IR"/>
          <w:color w:val="111111"/>
          <w:sz w:val="28"/>
          <w:szCs w:val="28"/>
          <w:rtl/>
        </w:rPr>
        <w:t xml:space="preserve">و کیف کان،فالمتّبع هو الدلیل.</w:t>
      </w:r>
    </w:p>
    <w:p>
      <w:pPr>
        <w:pStyle w:val="BookText"/>
      </w:pPr>
      <w:r>
        <w:rPr>
          <w:rFonts w:ascii="IRNazanin" w:hAnsi="IRNazanin" w:eastAsia="IRNazanin" w:cs="IRNazanin"/>
          <w:lang w:bidi="fa-IR"/>
          <w:color w:val="111111"/>
          <w:sz w:val="28"/>
          <w:szCs w:val="28"/>
          <w:rtl/>
        </w:rPr>
        <w:t xml:space="preserve">و قد عرفت </w:t>
      </w:r>
      <w:r>
        <w:rPr>
          <w:rStyle w:val="FootnoteReference"/>
        </w:rPr>
        <w:footnoteReference w:id="2271"/>
      </w:r>
      <w:r>
        <w:rPr>
          <w:rFonts w:ascii="IRNazanin" w:hAnsi="IRNazanin" w:eastAsia="IRNazanin" w:cs="IRNazanin"/>
          <w:lang w:bidi="fa-IR"/>
          <w:color w:val="111111"/>
          <w:sz w:val="28"/>
          <w:szCs w:val="28"/>
          <w:rtl/>
        </w:rPr>
        <w:t xml:space="preserve">أنّ الاستصحاب إن قلنا به من باب الظنّ النوعیّ -کما هو ظاهر أکثر القدماء-فهو کإحدی الأمارات الاجتهادیّة یثبت به کلّ موضوع یکون نظیر المستصحب فی جواز العمل فیه بالظنّ الاستصحابیّ.</w:t>
      </w:r>
    </w:p>
    <w:p>
      <w:pPr>
        <w:pStyle w:val="BookText"/>
      </w:pPr>
      <w:r>
        <w:rPr>
          <w:rFonts w:ascii="IRNazanin" w:hAnsi="IRNazanin" w:eastAsia="IRNazanin" w:cs="IRNazanin"/>
          <w:lang w:bidi="fa-IR"/>
          <w:color w:val="111111"/>
          <w:sz w:val="28"/>
          <w:szCs w:val="28"/>
          <w:rtl/>
        </w:rPr>
        <w:t xml:space="preserve">و أمّا علی المختار:من اعتباره من باب الأخبار،فلا یثبت به ما عدا الآثار الشرعیّة المترتّبة علی نفس المستصحب.</w:t>
      </w:r>
    </w:p>
    <w:p>
      <w:pPr>
        <w:pStyle w:val="BookText"/>
      </w:pPr>
      <w:r>
        <w:rPr>
          <w:rFonts w:ascii="IRNazanin" w:hAnsi="IRNazanin" w:eastAsia="IRNazanin" w:cs="IRNazanin"/>
          <w:lang w:bidi="fa-IR"/>
          <w:color w:val="111111"/>
          <w:sz w:val="28"/>
          <w:szCs w:val="28"/>
          <w:rtl/>
        </w:rPr>
        <w:t xml:space="preserve">[شماره صفحه واقعی : 243]
</w:t>
      </w:r>
    </w:p>
    <w:p>
      <w:pPr>
        <w:sectPr>
          <w:footerReference w:type="default" r:id="rId755"/>
          <w:footnotePr>
            <w:numStart w:val="1"/>
            <w:numRestart w:val="eachPage"/>
          </w:footnotePr>
          <w:pgSz w:orient="portrait" w:w="11905.511811023622" w:h="16837.79527559055"/>
          <w:pgMar w:top="1440" w:right="1440" w:bottom="1440" w:left="1440" w:header="720" w:footer="720" w:gutter="0"/>
          <w:cols w:num="1" w:space="720"/>
        </w:sectPr>
      </w:pPr>
    </w:p>
    <w:bookmarkStart w:id="466" w:name="pg14411_143137"/>
    <w:bookmarkEnd w:id="466"/>
    <w:p>
      <w:pPr>
        <w:pStyle w:val="Heading6"/>
      </w:pPr>
      <w:bookmarkStart w:id="1950" w:name="_Toc985"/>
      <w:r>
        <w:t>[حجّیة الأصل المثبت مع خفاء الواسطة:]</w:t>
      </w:r>
      <w:bookmarkEnd w:id="1950"/>
    </w:p>
    <w:p>
      <w:pPr>
        <w:pStyle w:val="Heading6"/>
      </w:pPr>
      <w:bookmarkStart w:id="1951" w:name="_Toc986"/>
      <w:r>
        <w:t>اشارة</w:t>
      </w:r>
      <w:bookmarkEnd w:id="1951"/>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نعم هنا شیء:</w:t>
      </w:r>
    </w:p>
    <w:p>
      <w:pPr>
        <w:pStyle w:val="BookText"/>
      </w:pPr>
      <w:r>
        <w:rPr>
          <w:rFonts w:ascii="IRNazanin" w:hAnsi="IRNazanin" w:eastAsia="IRNazanin" w:cs="IRNazanin"/>
          <w:lang w:bidi="fa-IR"/>
          <w:color w:val="111111"/>
          <w:sz w:val="28"/>
          <w:szCs w:val="28"/>
          <w:rtl/>
        </w:rPr>
        <w:t xml:space="preserve">و هو أنّ بعض الموضوعات الخارجیّة المتوسّطة بین المستصحب و بین الحکم الشرعیّ،من الوسائط الخفیّة،بحیث یعدّ فی العرف الأحکام الشرعیّة المترتّبة علیها أحکاما لنفس المستصحب،و هذا المعنی یختلف وضوحا و خفاء باختلاف مراتب خفاء الوسائط عن أنظار العرف.</w:t>
      </w:r>
    </w:p>
    <w:p>
      <w:pPr>
        <w:pStyle w:val="Heading6"/>
      </w:pPr>
      <w:bookmarkStart w:id="1952" w:name="_Toc987"/>
      <w:r>
        <w:t>[نماذج من خفاء الواسطة:]</w:t>
      </w:r>
      <w:bookmarkEnd w:id="1952"/>
    </w:p>
    <w:p>
      <w:pPr>
        <w:pStyle w:val="BookText"/>
      </w:pPr>
      <w:r>
        <w:rPr>
          <w:rFonts w:ascii="IRNazanin" w:hAnsi="IRNazanin" w:eastAsia="IRNazanin" w:cs="IRNazanin"/>
          <w:lang w:bidi="fa-IR"/>
          <w:color w:val="111111"/>
          <w:sz w:val="28"/>
          <w:szCs w:val="28"/>
          <w:rtl/>
        </w:rPr>
        <w:t xml:space="preserve">منها:ما إذا استصحب رطوبة النجس من المتلاقیین مع جفاف الآخر،فإنّه لا یبعد الحکم بنجاسته،مع أنّ تنجّسه لیس من أحکام ملاقاته للنجس رطبا،بل من أحکام سرایة رطوبة النجاسة إلیه و تأثّره بها،بحیث یوجد فی الثوب رطوبة متنجّسة،و من المعلوم أنّ استصحاب رطوبة النجس الراجع إلی بقاء جزء مائیّ قابل للتأثیر لا یثبت تأثّر الثوب و تنجّسه بها،فهو أشبه مثال بمسألة بقاء الماء فی الحوض،المثبت لانغسال الثوب به.</w:t>
      </w:r>
    </w:p>
    <w:p>
      <w:pPr>
        <w:pStyle w:val="BookText"/>
      </w:pPr>
      <w:r>
        <w:rPr>
          <w:rFonts w:ascii="IRNazanin" w:hAnsi="IRNazanin" w:eastAsia="IRNazanin" w:cs="IRNazanin"/>
          <w:lang w:bidi="fa-IR"/>
          <w:color w:val="111111"/>
          <w:sz w:val="28"/>
          <w:szCs w:val="28"/>
          <w:rtl/>
        </w:rPr>
        <w:t xml:space="preserve">و حکی فی الذکری عن المحقّق </w:t>
      </w:r>
      <w:r>
        <w:rPr>
          <w:rStyle w:val="FootnoteReference"/>
        </w:rPr>
        <w:footnoteReference w:id="2272"/>
      </w:r>
      <w:r>
        <w:rPr>
          <w:rFonts w:ascii="IRNazanin" w:hAnsi="IRNazanin" w:eastAsia="IRNazanin" w:cs="IRNazanin"/>
          <w:lang w:bidi="fa-IR"/>
          <w:color w:val="111111"/>
          <w:sz w:val="28"/>
          <w:szCs w:val="28"/>
          <w:rtl/>
        </w:rPr>
        <w:t xml:space="preserve">تعلیل الحکم بطهارة الثوب الذی طارت الذبابة عن النجاسة إلیه،بعدم الجزم ببقاء رطوبة الذبابة، و ارتضاه.فیحتمل أن یکون لعدم إثبات الاستصحاب لوصول الرطوبة إلی الثوب کما ذکرنا،و یحتمل أن یکون لمعارضته باستصحاب طهارة الثوب إغماضا عن قاعدة حکومة بعض الاستصحابات علی بعض کما یظهر من المحقّق </w:t>
      </w:r>
      <w:r>
        <w:rPr>
          <w:rStyle w:val="FootnoteReference"/>
        </w:rPr>
        <w:footnoteReference w:id="2273"/>
      </w:r>
      <w:r>
        <w:rPr>
          <w:rFonts w:ascii="IRNazanin" w:hAnsi="IRNazanin" w:eastAsia="IRNazanin" w:cs="IRNazanin"/>
          <w:lang w:bidi="fa-IR"/>
          <w:color w:val="111111"/>
          <w:sz w:val="28"/>
          <w:szCs w:val="28"/>
          <w:rtl/>
        </w:rPr>
        <w:t xml:space="preserve">حیث عارض استصحاب طهارة الشاکّ فی الحدث باستصحاب اشتغال ذمّته </w:t>
      </w:r>
      <w:r>
        <w:rPr>
          <w:rStyle w:val="FootnoteReference"/>
        </w:rPr>
        <w:footnoteReference w:id="22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244]
</w:t>
      </w:r>
    </w:p>
    <w:p>
      <w:pPr>
        <w:sectPr>
          <w:footerReference w:type="default" r:id="rId7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 منها:أصالة عدم دخول هلال شوّال فی یوم الشکّ،المثبت لکون غده یوم العید،فیترتّب علیه أحکام العید،من الصلاة و الغسل و غیرهما.فإنّ مجرّد عدم الهلال فی یوم لا یثبت آخریّته </w:t>
      </w:r>
      <w:r>
        <w:rPr>
          <w:rStyle w:val="FootnoteReference"/>
        </w:rPr>
        <w:footnoteReference w:id="2275"/>
      </w:r>
      <w:r>
        <w:rPr>
          <w:rFonts w:ascii="IRNazanin" w:hAnsi="IRNazanin" w:eastAsia="IRNazanin" w:cs="IRNazanin"/>
          <w:lang w:bidi="fa-IR"/>
          <w:color w:val="111111"/>
          <w:sz w:val="28"/>
          <w:szCs w:val="28"/>
          <w:rtl/>
        </w:rPr>
        <w:t xml:space="preserve">،و لا أوّلیّة غده للشهر اللاحق،لکنّ العرف لا یفهمون من وجوب ترتیب آثار عدم انقضاء رمضان و عدم دخول شوّال،إلاّ ترتیب أحکام آخریّة ذلک الیوم لشهر و أوّلیّة غده لشهر آخر،فالأوّل عندهم ما لم یسبق بمثله و الآخر ما اتّصل بزمان حکم بکونه أوّل الشهر الآخر.</w:t>
      </w:r>
    </w:p>
    <w:p>
      <w:pPr>
        <w:pStyle w:val="BookText"/>
      </w:pPr>
      <w:r>
        <w:rPr>
          <w:rFonts w:ascii="IRNazanin" w:hAnsi="IRNazanin" w:eastAsia="IRNazanin" w:cs="IRNazanin"/>
          <w:lang w:bidi="fa-IR"/>
          <w:color w:val="111111"/>
          <w:sz w:val="28"/>
          <w:szCs w:val="28"/>
          <w:rtl/>
        </w:rPr>
        <w:t xml:space="preserve">و کیف کان،فالمعیار خفاء توسّط الأمر العادیّ و العقلیّ بحیث یعدّ آثاره آثارا لنفس المستصحب.</w:t>
      </w:r>
    </w:p>
    <w:p>
      <w:pPr>
        <w:pStyle w:val="BookText"/>
      </w:pPr>
      <w:r>
        <w:rPr>
          <w:rFonts w:ascii="IRNazanin" w:hAnsi="IRNazanin" w:eastAsia="IRNazanin" w:cs="IRNazanin"/>
          <w:lang w:bidi="fa-IR"/>
          <w:color w:val="111111"/>
          <w:sz w:val="28"/>
          <w:szCs w:val="28"/>
          <w:rtl/>
        </w:rPr>
        <w:t xml:space="preserve">و ربما یتمسّک </w:t>
      </w:r>
      <w:r>
        <w:rPr>
          <w:rStyle w:val="FootnoteReference"/>
        </w:rPr>
        <w:footnoteReference w:id="2276"/>
      </w:r>
      <w:r>
        <w:rPr>
          <w:rFonts w:ascii="IRNazanin" w:hAnsi="IRNazanin" w:eastAsia="IRNazanin" w:cs="IRNazanin"/>
          <w:lang w:bidi="fa-IR"/>
          <w:color w:val="111111"/>
          <w:sz w:val="28"/>
          <w:szCs w:val="28"/>
          <w:rtl/>
        </w:rPr>
        <w:t xml:space="preserve">فی بعض موارد الاصول المثبتة،بجریان السیرة أو الإجماع علی اعتباره هناک،مثل:إجراء أصالة عدم الحاجب عند الشکّ فی وجوده علی محلّ الغسل أو المسح،لإثبات غسل البشرة و مسحها المأمور بهما فی الوضوء و الغسل.</w:t>
      </w:r>
    </w:p>
    <w:p>
      <w:pPr>
        <w:pStyle w:val="BookText"/>
      </w:pPr>
      <w:r>
        <w:rPr>
          <w:rFonts w:ascii="IRNazanin" w:hAnsi="IRNazanin" w:eastAsia="IRNazanin" w:cs="IRNazanin"/>
          <w:lang w:bidi="fa-IR"/>
          <w:color w:val="111111"/>
          <w:sz w:val="28"/>
          <w:szCs w:val="28"/>
          <w:rtl/>
        </w:rPr>
        <w:t xml:space="preserve">و فیه نظر.</w:t>
      </w:r>
    </w:p>
    <w:p>
      <w:pPr>
        <w:pStyle w:val="BookText"/>
      </w:pPr>
      <w:r>
        <w:rPr>
          <w:rFonts w:ascii="IRNazanin" w:hAnsi="IRNazanin" w:eastAsia="IRNazanin" w:cs="IRNazanin"/>
          <w:lang w:bidi="fa-IR"/>
          <w:color w:val="111111"/>
          <w:sz w:val="28"/>
          <w:szCs w:val="28"/>
          <w:rtl/>
        </w:rPr>
        <w:t xml:space="preserve">[شماره صفحه واقعی : 245]
</w:t>
      </w:r>
    </w:p>
    <w:p>
      <w:pPr>
        <w:sectPr>
          <w:footerReference w:type="default" r:id="rId7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246]
</w:t>
      </w:r>
    </w:p>
    <w:p>
      <w:pPr>
        <w:sectPr>
          <w:footerReference w:type="default" r:id="rId758"/>
          <w:footnotePr>
            <w:numStart w:val="1"/>
            <w:numRestart w:val="eachPage"/>
          </w:footnotePr>
          <w:pgSz w:orient="portrait" w:w="11905.511811023622" w:h="16837.79527559055"/>
          <w:pgMar w:top="1440" w:right="1440" w:bottom="1440" w:left="1440" w:header="720" w:footer="720" w:gutter="0"/>
          <w:cols w:num="1" w:space="720"/>
        </w:sectPr>
      </w:pPr>
    </w:p>
    <w:bookmarkStart w:id="467" w:name="pg14411_143140"/>
    <w:bookmarkEnd w:id="467"/>
    <w:p>
      <w:pPr>
        <w:pStyle w:val="Heading6"/>
      </w:pPr>
      <w:bookmarkStart w:id="1953" w:name="_Toc988"/>
      <w:r>
        <w:t>الأمر السابع [:هل تجری أصالة تأخّر الحادث؟]</w:t>
      </w:r>
      <w:bookmarkEnd w:id="1953"/>
    </w:p>
    <w:p>
      <w:pPr>
        <w:pStyle w:val="Heading6"/>
      </w:pPr>
      <w:bookmarkStart w:id="1954" w:name="_Toc989"/>
      <w:r>
        <w:t>اشارة</w:t>
      </w:r>
      <w:bookmarkEnd w:id="1954"/>
    </w:p>
    <w:p>
      <w:pPr>
        <w:pStyle w:val="BookText"/>
      </w:pPr>
      <w:r>
        <w:rPr>
          <w:rFonts w:ascii="IRNazanin" w:hAnsi="IRNazanin" w:eastAsia="IRNazanin" w:cs="IRNazanin"/>
          <w:lang w:bidi="fa-IR"/>
          <w:color w:val="111111"/>
          <w:sz w:val="28"/>
          <w:szCs w:val="28"/>
          <w:rtl/>
        </w:rPr>
        <w:t xml:space="preserve">لا فرق فی المستصحب بین أن یکون مشکوک الارتفاع فی الزمان اللاحق رأسا،و بین أن یکون مشکوک الارتفاع فی جزء من الزمان اللاحق مع القطع بارتفاعه بعد ذلک الجزء.</w:t>
      </w:r>
    </w:p>
    <w:p>
      <w:pPr>
        <w:pStyle w:val="BookText"/>
      </w:pPr>
      <w:r>
        <w:rPr>
          <w:rFonts w:ascii="IRNazanin" w:hAnsi="IRNazanin" w:eastAsia="IRNazanin" w:cs="IRNazanin"/>
          <w:lang w:bidi="fa-IR"/>
          <w:color w:val="111111"/>
          <w:sz w:val="28"/>
          <w:szCs w:val="28"/>
          <w:rtl/>
        </w:rPr>
        <w:t xml:space="preserve">فإذا شکّ فی بقاء حیاة زید فی جزء من الزمان اللاحق، فلا یقدح فی جریان استصحاب حیاته علمنا بموته بعد ذلک الجزء من الزمان و عدمه.</w:t>
      </w:r>
    </w:p>
    <w:p>
      <w:pPr>
        <w:pStyle w:val="BookText"/>
      </w:pPr>
      <w:r>
        <w:rPr>
          <w:rFonts w:ascii="IRNazanin" w:hAnsi="IRNazanin" w:eastAsia="IRNazanin" w:cs="IRNazanin"/>
          <w:lang w:bidi="fa-IR"/>
          <w:color w:val="111111"/>
          <w:sz w:val="28"/>
          <w:szCs w:val="28"/>
          <w:rtl/>
        </w:rPr>
        <w:t xml:space="preserve">و هذا هو الذی یعبّر عنه بأصالة تأخّر الحادث،یریدون به:أنّه إذا علم بوجود حادث فی زمان و شکّ فی وجوده قبل ذلک الزمان، فیحکم باستصحاب عدمه قبل ذلک،و یلزمه عقلا تأخّر حدوث ذلک الحادث.فإذا شکّ فی مبدأ موت زید مع القطع بکونه یوم الجمعة میّتا، فحیاته قبل الجمعة الثابتة بالاستصحاب مستلزمة عقلا لکون مبدأ موته یوم الجمعة.</w:t>
      </w:r>
    </w:p>
    <w:p>
      <w:pPr>
        <w:pStyle w:val="BookText"/>
      </w:pPr>
      <w:r>
        <w:rPr>
          <w:rFonts w:ascii="IRNazanin" w:hAnsi="IRNazanin" w:eastAsia="IRNazanin" w:cs="IRNazanin"/>
          <w:lang w:bidi="fa-IR"/>
          <w:color w:val="111111"/>
          <w:sz w:val="28"/>
          <w:szCs w:val="28"/>
          <w:rtl/>
        </w:rPr>
        <w:t xml:space="preserve">و حیث تقدّم فی الأمر السابق </w:t>
      </w:r>
      <w:r>
        <w:rPr>
          <w:rStyle w:val="FootnoteReference"/>
        </w:rPr>
        <w:footnoteReference w:id="2277"/>
      </w:r>
      <w:r>
        <w:rPr>
          <w:rFonts w:ascii="IRNazanin" w:hAnsi="IRNazanin" w:eastAsia="IRNazanin" w:cs="IRNazanin"/>
          <w:lang w:bidi="fa-IR"/>
          <w:color w:val="111111"/>
          <w:sz w:val="28"/>
          <w:szCs w:val="28"/>
          <w:rtl/>
        </w:rPr>
        <w:t xml:space="preserve">أنّه لا یثبت بالاستصحاب-بناء</w:t>
      </w:r>
    </w:p>
    <w:p>
      <w:pPr>
        <w:pStyle w:val="BookText"/>
      </w:pPr>
      <w:r>
        <w:rPr>
          <w:rFonts w:ascii="IRNazanin" w:hAnsi="IRNazanin" w:eastAsia="IRNazanin" w:cs="IRNazanin"/>
          <w:lang w:bidi="fa-IR"/>
          <w:color w:val="111111"/>
          <w:sz w:val="28"/>
          <w:szCs w:val="28"/>
          <w:rtl/>
        </w:rPr>
        <w:t xml:space="preserve">[شماره صفحه واقعی : 247]
</w:t>
      </w:r>
    </w:p>
    <w:p>
      <w:pPr>
        <w:sectPr>
          <w:footerReference w:type="default" r:id="rId759"/>
          <w:footnotePr>
            <w:numStart w:val="1"/>
            <w:numRestart w:val="eachPage"/>
          </w:footnotePr>
          <w:pgSz w:orient="portrait" w:w="11905.511811023622" w:h="16837.79527559055"/>
          <w:pgMar w:top="1440" w:right="1440" w:bottom="1440" w:left="1440" w:header="720" w:footer="720" w:gutter="0"/>
          <w:cols w:num="1" w:space="720"/>
        </w:sectPr>
      </w:pPr>
    </w:p>
    <w:bookmarkStart w:id="468" w:name="pg14411_143141"/>
    <w:bookmarkEnd w:id="468"/>
    <w:p>
      <w:pPr>
        <w:pStyle w:val="BookText"/>
      </w:pPr>
      <w:r>
        <w:rPr>
          <w:rFonts w:ascii="IRNazanin" w:hAnsi="IRNazanin" w:eastAsia="IRNazanin" w:cs="IRNazanin"/>
          <w:lang w:bidi="fa-IR"/>
          <w:color w:val="111111"/>
          <w:sz w:val="28"/>
          <w:szCs w:val="28"/>
          <w:rtl/>
        </w:rPr>
        <w:t xml:space="preserve">علی العمل به من باب الأخبار-لوازمه العقلیّة،</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فلو ترتّب علی حدوث موت زید فی یوم الجمعة-لا علی مجرّد حیاته قبل الجمعة- حکم شرعیّ لم یترتّب علی ذلک.</w:t>
      </w:r>
    </w:p>
    <w:p>
      <w:pPr>
        <w:pStyle w:val="Heading6"/>
      </w:pPr>
      <w:bookmarkStart w:id="1955" w:name="_Toc990"/>
      <w:r>
        <w:t>[صور تأخّر الحادث:]</w:t>
      </w:r>
      <w:bookmarkEnd w:id="1955"/>
    </w:p>
    <w:p>
      <w:pPr>
        <w:pStyle w:val="Heading6"/>
      </w:pPr>
      <w:bookmarkStart w:id="1956" w:name="_Toc991"/>
      <w:r>
        <w:t>اشارة</w:t>
      </w:r>
      <w:bookmarkEnd w:id="1956"/>
    </w:p>
    <w:p>
      <w:pPr>
        <w:pStyle w:val="BookText"/>
      </w:pPr>
      <w:r>
        <w:rPr>
          <w:rFonts w:ascii="IRNazanin" w:hAnsi="IRNazanin" w:eastAsia="IRNazanin" w:cs="IRNazanin"/>
          <w:lang w:bidi="fa-IR"/>
          <w:color w:val="111111"/>
          <w:sz w:val="28"/>
          <w:szCs w:val="28"/>
          <w:rtl/>
        </w:rPr>
        <w:t xml:space="preserve">نعم،لو قلنا باعتبار الاستصحاب من باب الظنّ،أو کان اللازم العقلیّ من اللوازم الخفیّة،جری فیه ما تقدّم ذکره </w:t>
      </w:r>
      <w:r>
        <w:rPr>
          <w:rStyle w:val="FootnoteReference"/>
        </w:rPr>
        <w:footnoteReference w:id="22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تحقیق المقام و توضیحه:</w:t>
      </w:r>
    </w:p>
    <w:p>
      <w:pPr>
        <w:pStyle w:val="Heading6"/>
      </w:pPr>
      <w:bookmarkStart w:id="1957" w:name="_Toc992"/>
      <w:r>
        <w:t>[1-إذا لوحظ تأخّر الحادث بالقیاس إلی ما قبله من أجزاء الزمان:]</w:t>
      </w:r>
      <w:bookmarkEnd w:id="1957"/>
    </w:p>
    <w:p>
      <w:pPr>
        <w:pStyle w:val="BookText"/>
      </w:pPr>
      <w:r>
        <w:rPr>
          <w:rFonts w:ascii="IRNazanin" w:hAnsi="IRNazanin" w:eastAsia="IRNazanin" w:cs="IRNazanin"/>
          <w:lang w:bidi="fa-IR"/>
          <w:color w:val="111111"/>
          <w:sz w:val="28"/>
          <w:szCs w:val="28"/>
          <w:rtl/>
        </w:rPr>
        <w:t xml:space="preserve">أنّ تأخّر الحادث قد یلاحظ بالقیاس إلی ما قبله من أجزاء الزمان-کالمثال المتقدّم-فیقال:الأصل عدم موت زید قبل الجمعة، فیترتّب علیه جمیع أحکام ذلک العدم،لا أحکام حدوثه یوم الجمعة؛إذ المتیقّن بالوجدان تحقّق الموت یوم الجمعة لا حدوثه.</w:t>
      </w:r>
    </w:p>
    <w:p>
      <w:pPr>
        <w:pStyle w:val="BookText"/>
      </w:pPr>
      <w:r>
        <w:rPr>
          <w:rFonts w:ascii="IRNazanin" w:hAnsi="IRNazanin" w:eastAsia="IRNazanin" w:cs="IRNazanin"/>
          <w:lang w:bidi="fa-IR"/>
          <w:color w:val="111111"/>
          <w:sz w:val="28"/>
          <w:szCs w:val="28"/>
          <w:rtl/>
        </w:rPr>
        <w:t xml:space="preserve">إلاّ أن یقال:إنّ الحدوث هو الوجود المسبوق بالعدم،و إذا ثبت بالأصل عدم الشیء سابقا،و علم بوجوده بعد ذلک،فوجوده المطلق فی الزمان اللاحق إذا انضمّ إلی عدمه قبل ذلک الثابت بالأصل،تحقّق مفهوم الحدوث،و قد عرفت </w:t>
      </w:r>
      <w:r>
        <w:rPr>
          <w:rStyle w:val="FootnoteReference"/>
        </w:rPr>
        <w:footnoteReference w:id="2279"/>
      </w:r>
      <w:r>
        <w:rPr>
          <w:rFonts w:ascii="IRNazanin" w:hAnsi="IRNazanin" w:eastAsia="IRNazanin" w:cs="IRNazanin"/>
          <w:lang w:bidi="fa-IR"/>
          <w:color w:val="111111"/>
          <w:sz w:val="28"/>
          <w:szCs w:val="28"/>
          <w:rtl/>
        </w:rPr>
        <w:t xml:space="preserve">حال الموضوع الخارجیّ الثابت أحد جزئی مفهومه بالأصل.</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 ممّا ذکرنا یعلم:أنّه لو کان الحادث ممّا نعلم بارتفاعه بعد حدوثه فلا یترتّب علیه أحکام الوجود فی الزمان المتأخّر أیضا؛لأنّ وجوده مساو لحدوثه.نعم،یترتّب علیه أحکام وجوده المطلق فی زمان </w:t>
      </w:r>
      <w:r>
        <w:rPr>
          <w:rStyle w:val="FootnoteReference"/>
        </w:rPr>
        <w:footnoteReference w:id="2280"/>
      </w:r>
      <w:r>
        <w:rPr>
          <w:rFonts w:ascii="IRNazanin" w:hAnsi="IRNazanin" w:eastAsia="IRNazanin" w:cs="IRNazanin"/>
          <w:lang w:bidi="fa-IR"/>
          <w:color w:val="111111"/>
          <w:sz w:val="28"/>
          <w:szCs w:val="28"/>
          <w:rtl/>
        </w:rPr>
        <w:t xml:space="preserve">من الزمانین،کما إذا علمنا أنّ الماء لم یکن کرّا قبل الخمیس،</w:t>
      </w:r>
    </w:p>
    <w:p>
      <w:pPr>
        <w:pStyle w:val="BookText"/>
      </w:pPr>
      <w:r>
        <w:rPr>
          <w:rFonts w:ascii="IRNazanin" w:hAnsi="IRNazanin" w:eastAsia="IRNazanin" w:cs="IRNazanin"/>
          <w:lang w:bidi="fa-IR"/>
          <w:color w:val="111111"/>
          <w:sz w:val="28"/>
          <w:szCs w:val="28"/>
          <w:rtl/>
        </w:rPr>
        <w:t xml:space="preserve">[شماره صفحه واقعی : 248]
</w:t>
      </w:r>
    </w:p>
    <w:p>
      <w:pPr>
        <w:sectPr>
          <w:footerReference w:type="default" r:id="rId760"/>
          <w:footnotePr>
            <w:numStart w:val="1"/>
            <w:numRestart w:val="eachPage"/>
          </w:footnotePr>
          <w:pgSz w:orient="portrait" w:w="11905.511811023622" w:h="16837.79527559055"/>
          <w:pgMar w:top="1440" w:right="1440" w:bottom="1440" w:left="1440" w:header="720" w:footer="720" w:gutter="0"/>
          <w:cols w:num="1" w:space="720"/>
        </w:sectPr>
      </w:pPr>
    </w:p>
    <w:bookmarkStart w:id="469" w:name="pg14411_143142"/>
    <w:bookmarkEnd w:id="469"/>
    <w:p>
      <w:pPr>
        <w:pStyle w:val="BookText"/>
      </w:pPr>
      <w:r>
        <w:rPr>
          <w:rFonts w:ascii="IRNazanin" w:hAnsi="IRNazanin" w:eastAsia="IRNazanin" w:cs="IRNazanin"/>
          <w:lang w:bidi="fa-IR"/>
          <w:color w:val="111111"/>
          <w:sz w:val="28"/>
          <w:szCs w:val="28"/>
          <w:rtl/>
        </w:rPr>
        <w:t xml:space="preserve">فعلم أنّه صار کرّا بعده و ارتفع کرّیّته بعد ذلک،فنقول:الأصل عدم کرّیّته فی یوم الخمیس،و لا یثبت بذلک کرّیّته یوم الجمعة،فلا یحکم بطهارة ثوب نجس وقع فیه فی أحد الیومین؛لأصالة بقاء نجاسته و عدم أصل حاکم علیه.نعم،لو وقع فیه فی کلّ من الیومین حکم بطهارته من باب انغسال الثوب بماءین مشتبهین.</w:t>
      </w:r>
    </w:p>
    <w:p>
      <w:pPr>
        <w:pStyle w:val="Heading6"/>
      </w:pPr>
      <w:bookmarkStart w:id="1958" w:name="_Toc993"/>
      <w:r>
        <w:t>[2-إذا لوحظ بالقیاس إلی حادث آخر و جهل تأریخهما:]</w:t>
      </w:r>
      <w:bookmarkEnd w:id="1958"/>
    </w:p>
    <w:p>
      <w:pPr>
        <w:pStyle w:val="BookText"/>
      </w:pPr>
      <w:r>
        <w:rPr>
          <w:rFonts w:ascii="IRNazanin" w:hAnsi="IRNazanin" w:eastAsia="IRNazanin" w:cs="IRNazanin"/>
          <w:lang w:bidi="fa-IR"/>
          <w:color w:val="111111"/>
          <w:sz w:val="28"/>
          <w:szCs w:val="28"/>
          <w:rtl/>
        </w:rPr>
        <w:t xml:space="preserve">و قد یلاحظ تأخّر الحادث بالقیاس إلی حادث آخر،کما إذا علم بحدوث حادثین و شکّ فی تقدّم أحدهما علی الآخر،فإمّا أن یجهل تأریخهما أو یعلم تأریخ أحدهما:</w:t>
      </w:r>
    </w:p>
    <w:p>
      <w:pPr>
        <w:pStyle w:val="BookText"/>
      </w:pPr>
      <w:r>
        <w:rPr>
          <w:rFonts w:ascii="IRNazanin" w:hAnsi="IRNazanin" w:eastAsia="IRNazanin" w:cs="IRNazanin"/>
          <w:lang w:bidi="fa-IR"/>
          <w:color w:val="111111"/>
          <w:sz w:val="28"/>
          <w:szCs w:val="28"/>
          <w:rtl/>
        </w:rPr>
        <w:t xml:space="preserve">فإن جهل تأریخهما فلا یحکم بتأخّر أحدهما المعیّن عن الآخر؛ لأنّ التأخّر فی نفسه لیس مجری الاستصحاب؛لعدم مسبوقیّته بالیقین.</w:t>
      </w:r>
    </w:p>
    <w:p>
      <w:pPr>
        <w:pStyle w:val="BookText"/>
      </w:pPr>
      <w:r>
        <w:rPr>
          <w:rFonts w:ascii="IRNazanin" w:hAnsi="IRNazanin" w:eastAsia="IRNazanin" w:cs="IRNazanin"/>
          <w:lang w:bidi="fa-IR"/>
          <w:color w:val="111111"/>
          <w:sz w:val="28"/>
          <w:szCs w:val="28"/>
          <w:rtl/>
        </w:rPr>
        <w:t xml:space="preserve">و أمّا أصالة عدم أحدهما فی زمان حدوث الآخر فهی معارضة بالمثل، و حکمه التساقط مع ترتّب الأثر علی کلّ واحد من الأصلین،و سیجیء تحقیقه </w:t>
      </w:r>
      <w:r>
        <w:rPr>
          <w:rStyle w:val="FootnoteReference"/>
        </w:rPr>
        <w:footnoteReference w:id="2281"/>
      </w:r>
      <w:r>
        <w:rPr>
          <w:rFonts w:ascii="IRNazanin" w:hAnsi="IRNazanin" w:eastAsia="IRNazanin" w:cs="IRNazanin"/>
          <w:lang w:bidi="fa-IR"/>
          <w:color w:val="111111"/>
          <w:sz w:val="28"/>
          <w:szCs w:val="28"/>
          <w:rtl/>
        </w:rPr>
        <w:t xml:space="preserve">إن شاء اللّه تعالی.و هل یحکم بتقارنهما فی مقام یتصوّر التقارن؛لأصالة عدم کلّ منهما قبل وجود الآخر؟ وجهان:</w:t>
      </w:r>
    </w:p>
    <w:p>
      <w:pPr>
        <w:pStyle w:val="BookText"/>
      </w:pPr>
      <w:r>
        <w:rPr>
          <w:rFonts w:ascii="IRNazanin" w:hAnsi="IRNazanin" w:eastAsia="IRNazanin" w:cs="IRNazanin"/>
          <w:lang w:bidi="fa-IR"/>
          <w:color w:val="111111"/>
          <w:sz w:val="28"/>
          <w:szCs w:val="28"/>
          <w:rtl/>
        </w:rPr>
        <w:t xml:space="preserve">من کون التقارن أمرا وجودیّا لازما لعدم </w:t>
      </w:r>
      <w:r>
        <w:rPr>
          <w:rStyle w:val="FootnoteReference"/>
        </w:rPr>
        <w:footnoteReference w:id="2282"/>
      </w:r>
      <w:r>
        <w:rPr>
          <w:rFonts w:ascii="IRNazanin" w:hAnsi="IRNazanin" w:eastAsia="IRNazanin" w:cs="IRNazanin"/>
          <w:lang w:bidi="fa-IR"/>
          <w:color w:val="111111"/>
          <w:sz w:val="28"/>
          <w:szCs w:val="28"/>
          <w:rtl/>
        </w:rPr>
        <w:t xml:space="preserve">کلّ منهما قبل الآخر.</w:t>
      </w:r>
    </w:p>
    <w:p>
      <w:pPr>
        <w:pStyle w:val="BookText"/>
      </w:pPr>
      <w:r>
        <w:rPr>
          <w:rFonts w:ascii="IRNazanin" w:hAnsi="IRNazanin" w:eastAsia="IRNazanin" w:cs="IRNazanin"/>
          <w:lang w:bidi="fa-IR"/>
          <w:color w:val="111111"/>
          <w:sz w:val="28"/>
          <w:szCs w:val="28"/>
          <w:rtl/>
        </w:rPr>
        <w:t xml:space="preserve">و من کونه من اللوازم الخفیّة حتّی کاد یتوهّم أنّه عبارة عن عدم تقدّم أحدهما علی الآخر فی الوجود.</w:t>
      </w:r>
    </w:p>
    <w:p>
      <w:pPr>
        <w:pStyle w:val="Heading6"/>
      </w:pPr>
      <w:bookmarkStart w:id="1959" w:name="_Toc994"/>
      <w:r>
        <w:t>[لو کان أحدهما معلوم التأریخ:]</w:t>
      </w:r>
      <w:bookmarkEnd w:id="1959"/>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 إن کان أحدهما معلوم التأریخ فلا یحکم علی مجهول التأریخ إلاّ بأصالة عدم وجوده فی تأریخ ذلک،لا تأخّر وجوده عنه بمعنی حدوثه بعده.نعم،یثبت ذلک علی القول بالأصل المثبت.فإذا علم تأریخ</w:t>
      </w:r>
    </w:p>
    <w:p>
      <w:pPr>
        <w:pStyle w:val="BookText"/>
      </w:pPr>
      <w:r>
        <w:rPr>
          <w:rFonts w:ascii="IRNazanin" w:hAnsi="IRNazanin" w:eastAsia="IRNazanin" w:cs="IRNazanin"/>
          <w:lang w:bidi="fa-IR"/>
          <w:color w:val="111111"/>
          <w:sz w:val="28"/>
          <w:szCs w:val="28"/>
          <w:rtl/>
        </w:rPr>
        <w:t xml:space="preserve">[شماره صفحه واقعی : 249]
</w:t>
      </w:r>
    </w:p>
    <w:p>
      <w:pPr>
        <w:sectPr>
          <w:footerReference w:type="default" r:id="rId761"/>
          <w:footnotePr>
            <w:numStart w:val="1"/>
            <w:numRestart w:val="eachPage"/>
          </w:footnotePr>
          <w:pgSz w:orient="portrait" w:w="11905.511811023622" w:h="16837.79527559055"/>
          <w:pgMar w:top="1440" w:right="1440" w:bottom="1440" w:left="1440" w:header="720" w:footer="720" w:gutter="0"/>
          <w:cols w:num="1" w:space="720"/>
        </w:sectPr>
      </w:pPr>
    </w:p>
    <w:bookmarkStart w:id="470" w:name="pg14411_143143"/>
    <w:bookmarkEnd w:id="470"/>
    <w:p>
      <w:pPr>
        <w:pStyle w:val="BookText"/>
      </w:pPr>
      <w:r>
        <w:rPr>
          <w:rFonts w:ascii="IRNazanin" w:hAnsi="IRNazanin" w:eastAsia="IRNazanin" w:cs="IRNazanin"/>
          <w:lang w:bidi="fa-IR"/>
          <w:color w:val="111111"/>
          <w:sz w:val="28"/>
          <w:szCs w:val="28"/>
          <w:rtl/>
        </w:rPr>
        <w:t xml:space="preserve">ملاقاة الثوب للحوض و جهل تأریخ صیرورته کرّا،فیقال:الأصل بقاء قلّته و عدم کرّیّته فی زمان الملاقاة.و إذا علم تأریخ الکریّة حکم أیضا بأصالة عدم تقدّم </w:t>
      </w:r>
      <w:r>
        <w:rPr>
          <w:rStyle w:val="FootnoteReference"/>
        </w:rPr>
        <w:footnoteReference w:id="2283"/>
      </w:r>
      <w:r>
        <w:rPr>
          <w:rFonts w:ascii="IRNazanin" w:hAnsi="IRNazanin" w:eastAsia="IRNazanin" w:cs="IRNazanin"/>
          <w:lang w:bidi="fa-IR"/>
          <w:color w:val="111111"/>
          <w:sz w:val="28"/>
          <w:szCs w:val="28"/>
          <w:rtl/>
        </w:rPr>
        <w:t xml:space="preserve">الملاقاة فی زمان الکرّیّة،و هکذا.</w:t>
      </w:r>
    </w:p>
    <w:p>
      <w:pPr>
        <w:pStyle w:val="BookText"/>
      </w:pPr>
      <w:r>
        <w:rPr>
          <w:rFonts w:ascii="IRNazanin" w:hAnsi="IRNazanin" w:eastAsia="IRNazanin" w:cs="IRNazanin"/>
          <w:lang w:bidi="fa-IR"/>
          <w:color w:val="111111"/>
          <w:sz w:val="28"/>
          <w:szCs w:val="28"/>
          <w:rtl/>
        </w:rPr>
        <w:t xml:space="preserve">و ربما یتوهّم </w:t>
      </w:r>
      <w:r>
        <w:rPr>
          <w:rStyle w:val="FootnoteReference"/>
        </w:rPr>
        <w:footnoteReference w:id="2284"/>
      </w:r>
      <w:r>
        <w:rPr>
          <w:rFonts w:ascii="IRNazanin" w:hAnsi="IRNazanin" w:eastAsia="IRNazanin" w:cs="IRNazanin"/>
          <w:lang w:bidi="fa-IR"/>
          <w:color w:val="111111"/>
          <w:sz w:val="28"/>
          <w:szCs w:val="28"/>
          <w:rtl/>
        </w:rPr>
        <w:t xml:space="preserve">:جریان الأصل فی طرف المعلوم أیضا </w:t>
      </w:r>
      <w:r>
        <w:rPr>
          <w:rStyle w:val="FootnoteReference"/>
        </w:rPr>
        <w:footnoteReference w:id="2285"/>
      </w:r>
      <w:r>
        <w:rPr>
          <w:rFonts w:ascii="IRNazanin" w:hAnsi="IRNazanin" w:eastAsia="IRNazanin" w:cs="IRNazanin"/>
          <w:lang w:bidi="fa-IR"/>
          <w:color w:val="111111"/>
          <w:sz w:val="28"/>
          <w:szCs w:val="28"/>
          <w:rtl/>
        </w:rPr>
        <w:t xml:space="preserve">،بأن یقال:الأصل عدم وجوده فی الزمان الواقعیّ للآخر.</w:t>
      </w:r>
    </w:p>
    <w:p>
      <w:pPr>
        <w:pStyle w:val="BookText"/>
      </w:pPr>
      <w:r>
        <w:rPr>
          <w:rFonts w:ascii="IRNazanin" w:hAnsi="IRNazanin" w:eastAsia="IRNazanin" w:cs="IRNazanin"/>
          <w:lang w:bidi="fa-IR"/>
          <w:color w:val="111111"/>
          <w:sz w:val="28"/>
          <w:szCs w:val="28"/>
          <w:rtl/>
        </w:rPr>
        <w:t xml:space="preserve">و یندفع:بأنّ نفس وجوده غیر مشکوک فی زمان،و أمّا وجوده فی زمان الآخر فلیس مسبوقا بالعدم.</w:t>
      </w:r>
    </w:p>
    <w:p>
      <w:pPr>
        <w:pStyle w:val="Heading6"/>
      </w:pPr>
      <w:bookmarkStart w:id="1960" w:name="_Toc995"/>
      <w:r>
        <w:t>[قولان آخران فی هذه الصورة:]</w:t>
      </w:r>
      <w:bookmarkEnd w:id="1960"/>
    </w:p>
    <w:p>
      <w:pPr>
        <w:pStyle w:val="BookText"/>
      </w:pPr>
      <w:r>
        <w:rPr>
          <w:rFonts w:ascii="IRNazanin" w:hAnsi="IRNazanin" w:eastAsia="IRNazanin" w:cs="IRNazanin"/>
          <w:lang w:bidi="fa-IR"/>
          <w:color w:val="111111"/>
          <w:sz w:val="28"/>
          <w:szCs w:val="28"/>
          <w:rtl/>
        </w:rPr>
        <w:t xml:space="preserve">ثمّ إنّه یظهر من الأصحاب هنا قولان آخران:</w:t>
      </w:r>
    </w:p>
    <w:p>
      <w:pPr>
        <w:pStyle w:val="Heading6"/>
      </w:pPr>
      <w:bookmarkStart w:id="1961" w:name="_Toc996"/>
      <w:r>
        <w:t>أحدهما:جریان هذا الأصل فی طرف مجهول التأریخ</w:t>
      </w:r>
      <w:bookmarkEnd w:id="1961"/>
    </w:p>
    <w:p>
      <w:pPr>
        <w:pStyle w:val="BookText"/>
      </w:pPr>
      <w:r>
        <w:rPr>
          <w:rFonts w:ascii="IRNazanin" w:hAnsi="IRNazanin" w:eastAsia="IRNazanin" w:cs="IRNazanin"/>
          <w:lang w:bidi="fa-IR"/>
          <w:color w:val="111111"/>
          <w:sz w:val="28"/>
          <w:szCs w:val="28"/>
          <w:rtl/>
        </w:rPr>
        <w:t xml:space="preserve">،و إثبات تأخّره عن معلوم التأریخ بذلک.و هو ظاهر المشهور،و قد صرّح بالعمل به الشیخ </w:t>
      </w:r>
      <w:r>
        <w:rPr>
          <w:rStyle w:val="FootnoteReference"/>
        </w:rPr>
        <w:footnoteReference w:id="2286"/>
      </w:r>
      <w:r>
        <w:rPr>
          <w:rFonts w:ascii="Amiri" w:hAnsi="Amiri" w:eastAsia="Amiri" w:cs="Amiri"/>
          <w:lang w:bidi="ar-SA"/>
          <w:color w:val="111111"/>
          <w:sz w:val="28"/>
          <w:szCs w:val="28"/>
          <w:rtl/>
        </w:rPr>
        <w:t xml:space="preserve">و ابن حمزة </w:t>
      </w:r>
      <w:r>
        <w:rPr>
          <w:rStyle w:val="FootnoteReference"/>
        </w:rPr>
        <w:footnoteReference w:id="2287"/>
      </w:r>
      <w:r>
        <w:rPr>
          <w:rFonts w:ascii="Amiri" w:hAnsi="Amiri" w:eastAsia="Amiri" w:cs="Amiri"/>
          <w:lang w:bidi="ar-SA"/>
          <w:color w:val="111111"/>
          <w:sz w:val="28"/>
          <w:szCs w:val="28"/>
          <w:rtl/>
        </w:rPr>
        <w:t xml:space="preserve">و المحقّق </w:t>
      </w:r>
      <w:r>
        <w:rPr>
          <w:rStyle w:val="FootnoteReference"/>
        </w:rPr>
        <w:footnoteReference w:id="2288"/>
      </w:r>
      <w:r>
        <w:rPr>
          <w:rFonts w:ascii="Amiri" w:hAnsi="Amiri" w:eastAsia="Amiri" w:cs="Amiri"/>
          <w:lang w:bidi="ar-SA"/>
          <w:color w:val="111111"/>
          <w:sz w:val="28"/>
          <w:szCs w:val="28"/>
          <w:rtl/>
        </w:rPr>
        <w:t xml:space="preserve">و العلاّمة </w:t>
      </w:r>
      <w:r>
        <w:rPr>
          <w:rStyle w:val="FootnoteReference"/>
        </w:rPr>
        <w:footnoteReference w:id="2289"/>
      </w:r>
      <w:r>
        <w:rPr>
          <w:rFonts w:ascii="IRNazanin" w:hAnsi="IRNazanin" w:eastAsia="IRNazanin" w:cs="IRNazanin"/>
          <w:lang w:bidi="fa-IR"/>
          <w:color w:val="111111"/>
          <w:sz w:val="28"/>
          <w:szCs w:val="28"/>
          <w:rtl/>
        </w:rPr>
        <w:t xml:space="preserve">و الشهیدان </w:t>
      </w:r>
      <w:r>
        <w:rPr>
          <w:rStyle w:val="FootnoteReference"/>
        </w:rPr>
        <w:footnoteReference w:id="2290"/>
      </w:r>
      <w:r>
        <w:rPr>
          <w:rFonts w:ascii="IRNazanin" w:hAnsi="IRNazanin" w:eastAsia="IRNazanin" w:cs="IRNazanin"/>
          <w:lang w:bidi="fa-IR"/>
          <w:color w:val="111111"/>
          <w:sz w:val="28"/>
          <w:szCs w:val="28"/>
          <w:rtl/>
        </w:rPr>
        <w:t xml:space="preserve">و غیرهم </w:t>
      </w:r>
      <w:r>
        <w:rPr>
          <w:rStyle w:val="FootnoteReference"/>
        </w:rPr>
        <w:footnoteReference w:id="2291"/>
      </w:r>
      <w:r>
        <w:rPr>
          <w:rFonts w:ascii="IRNazanin" w:hAnsi="IRNazanin" w:eastAsia="IRNazanin" w:cs="IRNazanin"/>
          <w:lang w:bidi="fa-IR"/>
          <w:color w:val="111111"/>
          <w:sz w:val="28"/>
          <w:szCs w:val="28"/>
          <w:rtl/>
        </w:rPr>
        <w:t xml:space="preserve">فی</w:t>
      </w:r>
    </w:p>
    <w:p>
      <w:pPr>
        <w:pStyle w:val="BookText"/>
      </w:pPr>
      <w:r>
        <w:rPr>
          <w:rFonts w:ascii="IRNazanin" w:hAnsi="IRNazanin" w:eastAsia="IRNazanin" w:cs="IRNazanin"/>
          <w:lang w:bidi="fa-IR"/>
          <w:color w:val="111111"/>
          <w:sz w:val="28"/>
          <w:szCs w:val="28"/>
          <w:rtl/>
        </w:rPr>
        <w:t xml:space="preserve">[شماره صفحه واقعی : 250]
</w:t>
      </w:r>
    </w:p>
    <w:p>
      <w:pPr>
        <w:sectPr>
          <w:footerReference w:type="default" r:id="rId7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بعض الموارد،منها:مسألة اتّفاق الوارثین علی إسلام أحدهما فی غرّة رمضان و اختلافهما فی موت المورّث قبل الغرّة أو بعدها،فإنّهم حکموا بأنّ القول قول مدّعی تأخّر الموت.</w:t>
      </w:r>
    </w:p>
    <w:p>
      <w:pPr>
        <w:pStyle w:val="BookText"/>
      </w:pPr>
      <w:r>
        <w:rPr>
          <w:rFonts w:ascii="IRNazanin" w:hAnsi="IRNazanin" w:eastAsia="IRNazanin" w:cs="IRNazanin"/>
          <w:lang w:bidi="fa-IR"/>
          <w:color w:val="111111"/>
          <w:sz w:val="28"/>
          <w:szCs w:val="28"/>
          <w:rtl/>
        </w:rPr>
        <w:t xml:space="preserve">نعم،ربما یظهر من إطلاقهم التوقّف فی بعض المقامات-من غیر تفصیل بین العلم بتأریخ أحد الحادثین و بین الجهل بهما-عدم العمل بالأصل فی المجهول مع علم تأریخ الآخر،کمسألة اشتباه تقدّم الطهارة أو الحدث،و مسألة اشتباه الجمعتین،و اشتباه موت المتوارثین،و مسألة اشتباه تقدّم رجوع المرتهن عن الإذن فی البیع علی وقوع البیع أو تأخّره عنه،و غیر ذلک.</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لکنّ الإنصاف:عدم الوثوق بهذا الإطلاق،بل هو إمّا محمول علی صورة الجهل بتأریخهما-و أحالوا صورة العلم بتأریخ أحدهما علی ما صرّحوا به فی مقام آخر-أو علی محامل أخر.</w:t>
      </w:r>
    </w:p>
    <w:p>
      <w:pPr>
        <w:pStyle w:val="BookText"/>
      </w:pPr>
      <w:r>
        <w:rPr>
          <w:rFonts w:ascii="IRNazanin" w:hAnsi="IRNazanin" w:eastAsia="IRNazanin" w:cs="IRNazanin"/>
          <w:lang w:bidi="fa-IR"/>
          <w:color w:val="111111"/>
          <w:sz w:val="28"/>
          <w:szCs w:val="28"/>
          <w:rtl/>
        </w:rPr>
        <w:t xml:space="preserve">و کیف کان،فحکمهم فی مسألة الاختلاف فی تقدّم الموت علی الإسلام و تأخّره مع إطلاقهم فی تلک الموارد،من قبیل النصّ و الظاهر.</w:t>
      </w:r>
    </w:p>
    <w:p>
      <w:pPr>
        <w:pStyle w:val="BookText"/>
      </w:pPr>
      <w:r>
        <w:rPr>
          <w:rFonts w:ascii="IRNazanin" w:hAnsi="IRNazanin" w:eastAsia="IRNazanin" w:cs="IRNazanin"/>
          <w:lang w:bidi="fa-IR"/>
          <w:color w:val="111111"/>
          <w:sz w:val="28"/>
          <w:szCs w:val="28"/>
          <w:rtl/>
        </w:rPr>
        <w:t xml:space="preserve">مع أنّ جماعة منهم نصّوا علی تقیید هذا الإطلاق فی موارد،کالشهیدین فی الدروس </w:t>
      </w:r>
      <w:r>
        <w:rPr>
          <w:rStyle w:val="FootnoteReference"/>
        </w:rPr>
        <w:footnoteReference w:id="2292"/>
      </w:r>
      <w:r>
        <w:rPr>
          <w:rFonts w:ascii="IRNazanin" w:hAnsi="IRNazanin" w:eastAsia="IRNazanin" w:cs="IRNazanin"/>
          <w:lang w:bidi="fa-IR"/>
          <w:color w:val="111111"/>
          <w:sz w:val="28"/>
          <w:szCs w:val="28"/>
          <w:rtl/>
        </w:rPr>
        <w:t xml:space="preserve">و المسالک </w:t>
      </w:r>
      <w:r>
        <w:rPr>
          <w:rStyle w:val="FootnoteReference"/>
        </w:rPr>
        <w:footnoteReference w:id="2293"/>
      </w:r>
      <w:r>
        <w:rPr>
          <w:rFonts w:ascii="IRNazanin" w:hAnsi="IRNazanin" w:eastAsia="IRNazanin" w:cs="IRNazanin"/>
          <w:lang w:bidi="fa-IR"/>
          <w:color w:val="111111"/>
          <w:sz w:val="28"/>
          <w:szCs w:val="28"/>
          <w:rtl/>
        </w:rPr>
        <w:t xml:space="preserve">فی مسألة الاختلاف فی تقدّم الرجوع عن الإذن فی بیع الرهن علی بیعه و تأخّره،و العلاّمة الطباطبائیّ </w:t>
      </w:r>
      <w:r>
        <w:rPr>
          <w:rStyle w:val="FootnoteReference"/>
        </w:rPr>
        <w:footnoteReference w:id="2294"/>
      </w:r>
      <w:r>
        <w:rPr>
          <w:rFonts w:ascii="IRNazanin" w:hAnsi="IRNazanin" w:eastAsia="IRNazanin" w:cs="IRNazanin"/>
          <w:lang w:bidi="fa-IR"/>
          <w:color w:val="111111"/>
          <w:sz w:val="28"/>
          <w:szCs w:val="28"/>
          <w:rtl/>
        </w:rPr>
        <w:t xml:space="preserve">فی مسألة</w:t>
      </w:r>
    </w:p>
    <w:p>
      <w:pPr>
        <w:pStyle w:val="BookText"/>
      </w:pPr>
      <w:r>
        <w:rPr>
          <w:rFonts w:ascii="IRNazanin" w:hAnsi="IRNazanin" w:eastAsia="IRNazanin" w:cs="IRNazanin"/>
          <w:lang w:bidi="fa-IR"/>
          <w:color w:val="111111"/>
          <w:sz w:val="28"/>
          <w:szCs w:val="28"/>
          <w:rtl/>
        </w:rPr>
        <w:t xml:space="preserve">[شماره صفحه واقعی : 251]
</w:t>
      </w:r>
    </w:p>
    <w:p>
      <w:pPr>
        <w:sectPr>
          <w:footerReference w:type="default" r:id="rId763"/>
          <w:footnotePr>
            <w:numStart w:val="1"/>
            <w:numRestart w:val="eachPage"/>
          </w:footnotePr>
          <w:pgSz w:orient="portrait" w:w="11905.511811023622" w:h="16837.79527559055"/>
          <w:pgMar w:top="1440" w:right="1440" w:bottom="1440" w:left="1440" w:header="720" w:footer="720" w:gutter="0"/>
          <w:cols w:num="1" w:space="720"/>
        </w:sectPr>
      </w:pPr>
    </w:p>
    <w:bookmarkStart w:id="471" w:name="pg14411_143145"/>
    <w:bookmarkEnd w:id="471"/>
    <w:p>
      <w:pPr>
        <w:pStyle w:val="BookText"/>
      </w:pPr>
      <w:r>
        <w:rPr>
          <w:rFonts w:ascii="Amiri" w:hAnsi="Amiri" w:eastAsia="Amiri" w:cs="Amiri"/>
          <w:lang w:bidi="ar-SA"/>
          <w:color w:val="111111"/>
          <w:sz w:val="28"/>
          <w:szCs w:val="28"/>
          <w:rtl/>
        </w:rPr>
        <w:t xml:space="preserve">اشتباه السابق من الحدث و الطهارة.</w:t>
      </w:r>
    </w:p>
    <w:p>
      <w:pPr>
        <w:pStyle w:val="BookText"/>
      </w:pPr>
      <w:r>
        <w:rPr>
          <w:rFonts w:ascii="IRNazanin" w:hAnsi="IRNazanin" w:eastAsia="IRNazanin" w:cs="IRNazanin"/>
          <w:lang w:bidi="fa-IR"/>
          <w:color w:val="111111"/>
          <w:sz w:val="28"/>
          <w:szCs w:val="28"/>
          <w:rtl/>
        </w:rPr>
        <w:t xml:space="preserve">هذا،مع أنّه لا یخفی-علی متتبّع موارد هذه المسائل و شبهها ممّا یرجع فی حکمها إلی الاصول-أنّ غفلة بعضهم بل أکثرهم عن مجاری الاصول فی بعض شقوق المسألة غیر عزیزة.</w:t>
      </w:r>
    </w:p>
    <w:p>
      <w:pPr>
        <w:pStyle w:val="Heading6"/>
      </w:pPr>
      <w:bookmarkStart w:id="1962" w:name="_Toc997"/>
      <w:r>
        <w:t>الثانی:عدم العمل بالأصل و إلحاق صورة جهل تأریخ أحدهما بصورة جهل تأریخهما.</w:t>
      </w:r>
      <w:bookmarkEnd w:id="1962"/>
    </w:p>
    <w:p>
      <w:pPr>
        <w:pStyle w:val="BookText"/>
      </w:pPr>
      <w:r>
        <w:rPr>
          <w:rFonts w:ascii="IRNazanin" w:hAnsi="IRNazanin" w:eastAsia="IRNazanin" w:cs="IRNazanin"/>
          <w:lang w:bidi="fa-IR"/>
          <w:color w:val="111111"/>
          <w:sz w:val="28"/>
          <w:szCs w:val="28"/>
          <w:rtl/>
        </w:rPr>
        <w:t xml:space="preserve">و قد صرّح به بعض المعاصرین </w:t>
      </w:r>
      <w:r>
        <w:rPr>
          <w:rStyle w:val="FootnoteReference"/>
        </w:rPr>
        <w:footnoteReference w:id="2295"/>
      </w:r>
      <w:r>
        <w:rPr>
          <w:rFonts w:ascii="IRNazanin" w:hAnsi="IRNazanin" w:eastAsia="IRNazanin" w:cs="IRNazanin"/>
          <w:lang w:bidi="fa-IR"/>
          <w:color w:val="111111"/>
          <w:sz w:val="28"/>
          <w:szCs w:val="28"/>
          <w:rtl/>
        </w:rPr>
        <w:t xml:space="preserve">-تبعا لبعض الأساطین </w:t>
      </w:r>
      <w:r>
        <w:rPr>
          <w:rStyle w:val="FootnoteReference"/>
        </w:rPr>
        <w:footnoteReference w:id="2296"/>
      </w:r>
      <w:r>
        <w:rPr>
          <w:rFonts w:ascii="IRNazanin" w:hAnsi="IRNazanin" w:eastAsia="IRNazanin" w:cs="IRNazanin"/>
          <w:lang w:bidi="fa-IR"/>
          <w:color w:val="111111"/>
          <w:sz w:val="28"/>
          <w:szCs w:val="28"/>
          <w:rtl/>
        </w:rPr>
        <w:t xml:space="preserve">-مستشهدا علی ذلک بعدم تفصیل الجماعة فی مسألة الجمعتین و الطهارة و الحدث و موت المتوارثین،مستدلا علی ذلک بأنّ التأخّر لیس أمرا مطابقا للأصل.</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 ظاهر استدلاله إرادة ما ذکرنا:من عدم ترتیب أحکام صفة التأخّر و کون المجهول متحقّقا بعد </w:t>
      </w:r>
      <w:r>
        <w:rPr>
          <w:rStyle w:val="FootnoteReference"/>
        </w:rPr>
        <w:footnoteReference w:id="2297"/>
      </w:r>
      <w:r>
        <w:rPr>
          <w:rFonts w:ascii="IRNazanin" w:hAnsi="IRNazanin" w:eastAsia="IRNazanin" w:cs="IRNazanin"/>
          <w:lang w:bidi="fa-IR"/>
          <w:color w:val="111111"/>
          <w:sz w:val="28"/>
          <w:szCs w:val="28"/>
          <w:rtl/>
        </w:rPr>
        <w:t xml:space="preserve">المعلوم.</w:t>
      </w:r>
    </w:p>
    <w:p>
      <w:pPr>
        <w:pStyle w:val="BookText"/>
      </w:pPr>
      <w:r>
        <w:rPr>
          <w:rFonts w:ascii="IRNazanin" w:hAnsi="IRNazanin" w:eastAsia="IRNazanin" w:cs="IRNazanin"/>
          <w:lang w:bidi="fa-IR"/>
          <w:color w:val="111111"/>
          <w:sz w:val="28"/>
          <w:szCs w:val="28"/>
          <w:rtl/>
        </w:rPr>
        <w:t xml:space="preserve">لکن ظاهر استشهاده بعدم تفصیل الأصحاب فی المسائل المذکورة إرادة عدم ثمرة مترتّبة علی العلم بتأریخ أحدهما أصلا.فإذا فرضنا العلم بموت زید فی یوم الجمعة،و شککنا فی حیاة ولده فی ذلک الزمان، فالأصل بقاء حیاة ولده،فیحکم له بإرث أبیه،و ظاهر هذا القائل عدم الحکم بذلک،و کون حکمه حکم الجهل بتأریخ موت زید أیضا فی عدم التوارث بینهما.</w:t>
      </w:r>
    </w:p>
    <w:p>
      <w:pPr>
        <w:pStyle w:val="BookText"/>
      </w:pPr>
      <w:r>
        <w:rPr>
          <w:rFonts w:ascii="IRNazanin" w:hAnsi="IRNazanin" w:eastAsia="IRNazanin" w:cs="IRNazanin"/>
          <w:lang w:bidi="fa-IR"/>
          <w:color w:val="111111"/>
          <w:sz w:val="28"/>
          <w:szCs w:val="28"/>
          <w:rtl/>
        </w:rPr>
        <w:t xml:space="preserve">و کیف کان،فإن أراد هذا القائل ترتیب آثار تأخّر ذلک الحادث</w:t>
      </w:r>
    </w:p>
    <w:p>
      <w:pPr>
        <w:pStyle w:val="BookText"/>
      </w:pPr>
      <w:r>
        <w:rPr>
          <w:rFonts w:ascii="IRNazanin" w:hAnsi="IRNazanin" w:eastAsia="IRNazanin" w:cs="IRNazanin"/>
          <w:lang w:bidi="fa-IR"/>
          <w:color w:val="111111"/>
          <w:sz w:val="28"/>
          <w:szCs w:val="28"/>
          <w:rtl/>
        </w:rPr>
        <w:t xml:space="preserve">[شماره صفحه واقعی : 252]
</w:t>
      </w:r>
    </w:p>
    <w:p>
      <w:pPr>
        <w:sectPr>
          <w:footerReference w:type="default" r:id="rId7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-کما هو ظاهر المشهور-فإنکاره فی محلّه.</w:t>
      </w:r>
    </w:p>
    <w:p>
      <w:pPr>
        <w:pStyle w:val="BookText"/>
      </w:pPr>
      <w:r>
        <w:rPr>
          <w:rFonts w:ascii="IRNazanin" w:hAnsi="IRNazanin" w:eastAsia="IRNazanin" w:cs="IRNazanin"/>
          <w:lang w:bidi="fa-IR"/>
          <w:color w:val="111111"/>
          <w:sz w:val="28"/>
          <w:szCs w:val="28"/>
          <w:rtl/>
        </w:rPr>
        <w:t xml:space="preserve">و إن أراد عدم جواز التمسّک باستصحاب عدم ذلک الحادث و وجود ضدّه و ترتیب جمیع آثاره الشرعیّة فی زمان الشکّ،فلا وجه لإنکاره؛إذ لا یعقل </w:t>
      </w:r>
      <w:r>
        <w:rPr>
          <w:rStyle w:val="FootnoteReference"/>
        </w:rPr>
        <w:footnoteReference w:id="2298"/>
      </w:r>
      <w:r>
        <w:rPr>
          <w:rFonts w:ascii="IRNazanin" w:hAnsi="IRNazanin" w:eastAsia="IRNazanin" w:cs="IRNazanin"/>
          <w:lang w:bidi="fa-IR"/>
          <w:color w:val="111111"/>
          <w:sz w:val="28"/>
          <w:szCs w:val="28"/>
          <w:rtl/>
        </w:rPr>
        <w:t xml:space="preserve">الفرق بین مستصحب علم بارتفاعه فی زمان و ما لم یعلم.</w:t>
      </w:r>
    </w:p>
    <w:p>
      <w:pPr>
        <w:pStyle w:val="BookText"/>
      </w:pPr>
      <w:r>
        <w:rPr>
          <w:rFonts w:ascii="IRNazanin" w:hAnsi="IRNazanin" w:eastAsia="IRNazanin" w:cs="IRNazanin"/>
          <w:lang w:bidi="fa-IR"/>
          <w:color w:val="111111"/>
          <w:sz w:val="28"/>
          <w:szCs w:val="28"/>
          <w:rtl/>
        </w:rPr>
        <w:t xml:space="preserve">و أمّا ما ذکره:من عدم تفصیل الأصحاب فی مسألة الجمعتین و أخواتها،فقد عرفت ما فیه </w:t>
      </w:r>
      <w:r>
        <w:rPr>
          <w:rStyle w:val="FootnoteReference"/>
        </w:rPr>
        <w:footnoteReference w:id="22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فالحاصل:أنّ المعتبر فی مورد الشکّ فی تأخّر حادث عن آخر استصحاب عدم الحادث فی زمان حدوث الآخر.</w:t>
      </w:r>
    </w:p>
    <w:p>
      <w:pPr>
        <w:pStyle w:val="BookText"/>
      </w:pPr>
      <w:r>
        <w:rPr>
          <w:rFonts w:ascii="IRNazanin" w:hAnsi="IRNazanin" w:eastAsia="IRNazanin" w:cs="IRNazanin"/>
          <w:lang w:bidi="fa-IR"/>
          <w:color w:val="111111"/>
          <w:sz w:val="28"/>
          <w:szCs w:val="28"/>
          <w:rtl/>
        </w:rPr>
        <w:t xml:space="preserve">فإن کان زمان حدوثه معلوما فیجری أحکام بقاء المستصحب فی زمان الحادث المعلوم لا غیرها،فإذا علم بتطهّره فی الساعة الاولی من النهار،و شکّ فی تحقّق الحدث قبل تلک الساعة أو بعدها،فالأصل عدم الحدث فیما قبل الساعة </w:t>
      </w:r>
      <w:r>
        <w:rPr>
          <w:rStyle w:val="FootnoteReference"/>
        </w:rPr>
        <w:footnoteReference w:id="2300"/>
      </w:r>
      <w:r>
        <w:rPr>
          <w:rFonts w:ascii="IRNazanin" w:hAnsi="IRNazanin" w:eastAsia="IRNazanin" w:cs="IRNazanin"/>
          <w:lang w:bidi="fa-IR"/>
          <w:color w:val="111111"/>
          <w:sz w:val="28"/>
          <w:szCs w:val="28"/>
          <w:rtl/>
        </w:rPr>
        <w:t xml:space="preserve">،لکن لا یلزم من ذلک ارتفاع الطهارة المتحقّقة فی الساعة الاولی،کما تخیّله بعض الفحول </w:t>
      </w:r>
      <w:r>
        <w:rPr>
          <w:rStyle w:val="FootnoteReference"/>
        </w:rPr>
        <w:footnoteReference w:id="23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إن کان مجهولا کان حکمه حکم أحد الحادثین المعلوم حدوث أحدهما إجمالا،و سیجیء توضیحه </w:t>
      </w:r>
      <w:r>
        <w:rPr>
          <w:rStyle w:val="FootnoteReference"/>
        </w:rPr>
        <w:footnoteReference w:id="23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253]
</w:t>
      </w:r>
    </w:p>
    <w:p>
      <w:pPr>
        <w:sectPr>
          <w:footerReference w:type="default" r:id="rId765"/>
          <w:footnotePr>
            <w:numStart w:val="1"/>
            <w:numRestart w:val="eachPage"/>
          </w:footnotePr>
          <w:pgSz w:orient="portrait" w:w="11905.511811023622" w:h="16837.79527559055"/>
          <w:pgMar w:top="1440" w:right="1440" w:bottom="1440" w:left="1440" w:header="720" w:footer="720" w:gutter="0"/>
          <w:cols w:num="1" w:space="720"/>
        </w:sectPr>
      </w:pPr>
    </w:p>
    <w:bookmarkStart w:id="472" w:name="pg14411_143147"/>
    <w:bookmarkEnd w:id="472"/>
    <w:p>
      <w:pPr>
        <w:pStyle w:val="Heading6"/>
      </w:pPr>
      <w:bookmarkStart w:id="1963" w:name="_Toc998"/>
      <w:r>
        <w:t>[صحّة الاستصحاب القهقری بناء علی الأصل المثبت:]</w:t>
      </w:r>
      <w:bookmarkEnd w:id="1963"/>
    </w:p>
    <w:p>
      <w:pPr>
        <w:pStyle w:val="Heading6"/>
      </w:pPr>
      <w:bookmarkStart w:id="1964" w:name="_Toc999"/>
      <w:r>
        <w:t>اشارة</w:t>
      </w:r>
      <w:bookmarkEnd w:id="1964"/>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 اعلم:أنّه قد یوجد شیء فی زمان و یشکّ فی مبدئه،و یحکم بتقدّمه؛لأنّ تأخّره لازم لحدوث حادث آخر قبله و الأصل عدمه،و قد یسمّی ذلک بالاستصحاب القهقری.</w:t>
      </w:r>
    </w:p>
    <w:p>
      <w:pPr>
        <w:pStyle w:val="BookText"/>
      </w:pPr>
      <w:r>
        <w:rPr>
          <w:rFonts w:ascii="IRNazanin" w:hAnsi="IRNazanin" w:eastAsia="IRNazanin" w:cs="IRNazanin"/>
          <w:lang w:bidi="fa-IR"/>
          <w:color w:val="111111"/>
          <w:sz w:val="28"/>
          <w:szCs w:val="28"/>
          <w:rtl/>
        </w:rPr>
        <w:t xml:space="preserve">مثاله:أنّه إذا ثبت أنّ صیغة الأمر حقیقة فی الوجوب فی عرفنا، و شکّ فی کونها کذلک قبل ذلک حتّی تحمل خطابات الشارع علی ذلک، فیقال:مقتضی الأصل کون الصیغة حقیقة فیه فی ذلک الزمان،بل قبله؛ إذ لو کان </w:t>
      </w:r>
      <w:r>
        <w:rPr>
          <w:rStyle w:val="FootnoteReference"/>
        </w:rPr>
        <w:footnoteReference w:id="2303"/>
      </w:r>
      <w:r>
        <w:rPr>
          <w:rFonts w:ascii="IRNazanin" w:hAnsi="IRNazanin" w:eastAsia="IRNazanin" w:cs="IRNazanin"/>
          <w:lang w:bidi="fa-IR"/>
          <w:color w:val="111111"/>
          <w:sz w:val="28"/>
          <w:szCs w:val="28"/>
          <w:rtl/>
        </w:rPr>
        <w:t xml:space="preserve">فی ذلک الزمان حقیقة فی غیره لزم النقل و تعدّد الوضع، و الأصل عدمه.</w:t>
      </w:r>
    </w:p>
    <w:p>
      <w:pPr>
        <w:pStyle w:val="Heading6"/>
      </w:pPr>
      <w:bookmarkStart w:id="1965" w:name="_Toc1000"/>
      <w:r>
        <w:t>[الاتفاق علی هذا الاستصحاب فی الاصول اللفظیّة:]</w:t>
      </w:r>
      <w:bookmarkEnd w:id="1965"/>
    </w:p>
    <w:p>
      <w:pPr>
        <w:pStyle w:val="BookText"/>
      </w:pPr>
      <w:r>
        <w:rPr>
          <w:rFonts w:ascii="IRNazanin" w:hAnsi="IRNazanin" w:eastAsia="IRNazanin" w:cs="IRNazanin"/>
          <w:lang w:bidi="fa-IR"/>
          <w:color w:val="111111"/>
          <w:sz w:val="28"/>
          <w:szCs w:val="28"/>
          <w:rtl/>
        </w:rPr>
        <w:t xml:space="preserve">و هذا إنّما یصحّ بناء علی الأصل المثبت،و قد استظهرنا سابقا </w:t>
      </w:r>
      <w:r>
        <w:rPr>
          <w:rStyle w:val="FootnoteReference"/>
        </w:rPr>
        <w:footnoteReference w:id="2304"/>
      </w:r>
      <w:r>
        <w:rPr>
          <w:rFonts w:ascii="IRNazanin" w:hAnsi="IRNazanin" w:eastAsia="IRNazanin" w:cs="IRNazanin"/>
          <w:lang w:bidi="fa-IR"/>
          <w:color w:val="111111"/>
          <w:sz w:val="28"/>
          <w:szCs w:val="28"/>
          <w:rtl/>
        </w:rPr>
        <w:t xml:space="preserve">أنّه متّفق علیه فی الاصول اللفظیّة،و مورده:صورة الشکّ فی وحدة المعنی و تعدّده.أمّا إذا علم التعدّد و شکّ فی مبدأ حدوث الوضع المعلوم فی زماننا،فمقتضی الأصل عدم ثبوته قبل الزمان المعلوم؛و لذا اتّفقوا فی مسألة الحقیقة الشرعیّة علی أنّ الأصل فیها عدم الثبوت.</w:t>
      </w:r>
    </w:p>
    <w:p>
      <w:pPr>
        <w:pStyle w:val="BookText"/>
      </w:pPr>
      <w:r>
        <w:rPr>
          <w:rFonts w:ascii="IRNazanin" w:hAnsi="IRNazanin" w:eastAsia="IRNazanin" w:cs="IRNazanin"/>
          <w:lang w:bidi="fa-IR"/>
          <w:color w:val="111111"/>
          <w:sz w:val="28"/>
          <w:szCs w:val="28"/>
          <w:rtl/>
        </w:rPr>
        <w:t xml:space="preserve">[شماره صفحه واقعی : 254]
</w:t>
      </w:r>
    </w:p>
    <w:p>
      <w:pPr>
        <w:sectPr>
          <w:footerReference w:type="default" r:id="rId766"/>
          <w:footnotePr>
            <w:numStart w:val="1"/>
            <w:numRestart w:val="eachPage"/>
          </w:footnotePr>
          <w:pgSz w:orient="portrait" w:w="11905.511811023622" w:h="16837.79527559055"/>
          <w:pgMar w:top="1440" w:right="1440" w:bottom="1440" w:left="1440" w:header="720" w:footer="720" w:gutter="0"/>
          <w:cols w:num="1" w:space="720"/>
        </w:sectPr>
      </w:pPr>
    </w:p>
    <w:bookmarkStart w:id="473" w:name="pg14411_143148"/>
    <w:bookmarkEnd w:id="473"/>
    <w:p>
      <w:pPr>
        <w:pStyle w:val="Heading6"/>
      </w:pPr>
      <w:bookmarkStart w:id="1966" w:name="_Toc1001"/>
      <w:r>
        <w:t>الأمر الثامن [:هل یجری استصحاب صحّة العبادة عند الشکّ فی طروء مفسد؟]</w:t>
      </w:r>
      <w:bookmarkEnd w:id="1966"/>
    </w:p>
    <w:p>
      <w:pPr>
        <w:pStyle w:val="Heading6"/>
      </w:pPr>
      <w:bookmarkStart w:id="1967" w:name="_Toc1002"/>
      <w:r>
        <w:t>اشارة</w:t>
      </w:r>
      <w:bookmarkEnd w:id="1967"/>
    </w:p>
    <w:p>
      <w:pPr>
        <w:pStyle w:val="BookText"/>
      </w:pPr>
      <w:r>
        <w:rPr>
          <w:rFonts w:ascii="IRNazanin" w:hAnsi="IRNazanin" w:eastAsia="IRNazanin" w:cs="IRNazanin"/>
          <w:lang w:bidi="fa-IR"/>
          <w:color w:val="111111"/>
          <w:sz w:val="28"/>
          <w:szCs w:val="28"/>
          <w:rtl/>
        </w:rPr>
        <w:t xml:space="preserve">قد یستصحب صحّة العبادة عند الشکّ فی طروّ مفسد،کفقد ما یشکّ فی اعتبار وجوده فی العبادة،أو وجود ما یشکّ فی اعتبار عدمه.</w:t>
      </w:r>
    </w:p>
    <w:p>
      <w:pPr>
        <w:pStyle w:val="BookText"/>
      </w:pPr>
      <w:r>
        <w:rPr>
          <w:rFonts w:ascii="IRNazanin" w:hAnsi="IRNazanin" w:eastAsia="IRNazanin" w:cs="IRNazanin"/>
          <w:lang w:bidi="fa-IR"/>
          <w:color w:val="111111"/>
          <w:sz w:val="28"/>
          <w:szCs w:val="28"/>
          <w:rtl/>
        </w:rPr>
        <w:t xml:space="preserve">و قد اشتهر التمسّک بها بین الأصحاب،کالشیخ </w:t>
      </w:r>
      <w:r>
        <w:rPr>
          <w:rStyle w:val="FootnoteReference"/>
        </w:rPr>
        <w:footnoteReference w:id="2305"/>
      </w:r>
      <w:r>
        <w:rPr>
          <w:rFonts w:ascii="Amiri" w:hAnsi="Amiri" w:eastAsia="Amiri" w:cs="Amiri"/>
          <w:lang w:bidi="ar-SA"/>
          <w:color w:val="111111"/>
          <w:sz w:val="28"/>
          <w:szCs w:val="28"/>
          <w:rtl/>
        </w:rPr>
        <w:t xml:space="preserve">و الحلّی </w:t>
      </w:r>
      <w:r>
        <w:rPr>
          <w:rStyle w:val="FootnoteReference"/>
        </w:rPr>
        <w:footnoteReference w:id="2306"/>
      </w:r>
      <w:r>
        <w:rPr>
          <w:rFonts w:ascii="Amiri" w:hAnsi="Amiri" w:eastAsia="Amiri" w:cs="Amiri"/>
          <w:lang w:bidi="ar-SA"/>
          <w:color w:val="111111"/>
          <w:sz w:val="28"/>
          <w:szCs w:val="28"/>
          <w:rtl/>
        </w:rPr>
        <w:t xml:space="preserve">و المحقّق </w:t>
      </w:r>
      <w:r>
        <w:rPr>
          <w:rStyle w:val="FootnoteReference"/>
        </w:rPr>
        <w:footnoteReference w:id="2307"/>
      </w:r>
      <w:r>
        <w:rPr>
          <w:rFonts w:ascii="Amiri" w:hAnsi="Amiri" w:eastAsia="Amiri" w:cs="Amiri"/>
          <w:lang w:bidi="ar-SA"/>
          <w:color w:val="111111"/>
          <w:sz w:val="28"/>
          <w:szCs w:val="28"/>
          <w:rtl/>
        </w:rPr>
        <w:t xml:space="preserve">و العلاّمة </w:t>
      </w:r>
      <w:r>
        <w:rPr>
          <w:rStyle w:val="FootnoteReference"/>
        </w:rPr>
        <w:footnoteReference w:id="2308"/>
      </w:r>
      <w:r>
        <w:rPr>
          <w:rFonts w:ascii="IRNazanin" w:hAnsi="IRNazanin" w:eastAsia="IRNazanin" w:cs="IRNazanin"/>
          <w:lang w:bidi="fa-IR"/>
          <w:color w:val="111111"/>
          <w:sz w:val="28"/>
          <w:szCs w:val="28"/>
          <w:rtl/>
        </w:rPr>
        <w:t xml:space="preserve">و غیرهم </w:t>
      </w:r>
      <w:r>
        <w:rPr>
          <w:rStyle w:val="FootnoteReference"/>
        </w:rPr>
        <w:footnoteReference w:id="23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تحقیقه و توضیح مورد جریانه:أنّه لا شکّ و لا ریب فی أنّ المراد بالصحّة المستصحبة لیس صحّة مجموع العمل؛لأنّ الفرض التمسّک به عند الشکّ فی الأثناء.</w:t>
      </w:r>
    </w:p>
    <w:p>
      <w:pPr>
        <w:pStyle w:val="BookText"/>
      </w:pPr>
      <w:r>
        <w:rPr>
          <w:rFonts w:ascii="IRNazanin" w:hAnsi="IRNazanin" w:eastAsia="IRNazanin" w:cs="IRNazanin"/>
          <w:lang w:bidi="fa-IR"/>
          <w:color w:val="111111"/>
          <w:sz w:val="28"/>
          <w:szCs w:val="28"/>
          <w:rtl/>
        </w:rPr>
        <w:t xml:space="preserve">و أمّا صحّة الأجزاء السابقة فالمراد بها:إمّا موافقتها للأمر المتعلّق بها،و إمّا ترتّب الأثر علیها:</w:t>
      </w:r>
    </w:p>
    <w:p>
      <w:pPr>
        <w:pStyle w:val="BookText"/>
      </w:pPr>
      <w:r>
        <w:rPr>
          <w:rFonts w:ascii="IRNazanin" w:hAnsi="IRNazanin" w:eastAsia="IRNazanin" w:cs="IRNazanin"/>
          <w:lang w:bidi="fa-IR"/>
          <w:color w:val="111111"/>
          <w:sz w:val="28"/>
          <w:szCs w:val="28"/>
          <w:rtl/>
        </w:rPr>
        <w:t xml:space="preserve">[شماره صفحه واقعی : 255]
</w:t>
      </w:r>
    </w:p>
    <w:p>
      <w:pPr>
        <w:sectPr>
          <w:footerReference w:type="default" r:id="rId767"/>
          <w:footnotePr>
            <w:numStart w:val="1"/>
            <w:numRestart w:val="eachPage"/>
          </w:footnotePr>
          <w:pgSz w:orient="portrait" w:w="11905.511811023622" w:h="16837.79527559055"/>
          <w:pgMar w:top="1440" w:right="1440" w:bottom="1440" w:left="1440" w:header="720" w:footer="720" w:gutter="0"/>
          <w:cols w:num="1" w:space="720"/>
        </w:sectPr>
      </w:pPr>
    </w:p>
    <w:bookmarkStart w:id="474" w:name="pg14411_143149"/>
    <w:bookmarkEnd w:id="474"/>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أمّا موافقتها للأمر المتعلّق بها،فالمفروض أنّها متیقّنة،سواء فسد العمل أم لا؛لأنّ فساد العمل لا یوجب خروج الأجزاء المأتیّ بها علی طبق الأمر المتعلّق بها عن کونها کذلک؛ضرورة عدم انقلاب الشیء عمّا وجد علیه.</w:t>
      </w:r>
    </w:p>
    <w:p>
      <w:pPr>
        <w:pStyle w:val="BookText"/>
      </w:pPr>
      <w:r>
        <w:rPr>
          <w:rFonts w:ascii="IRNazanin" w:hAnsi="IRNazanin" w:eastAsia="IRNazanin" w:cs="IRNazanin"/>
          <w:lang w:bidi="fa-IR"/>
          <w:color w:val="111111"/>
          <w:sz w:val="28"/>
          <w:szCs w:val="28"/>
          <w:rtl/>
        </w:rPr>
        <w:t xml:space="preserve">و أمّا ترتّب الأثر،فلیس الثابت منه للجزء </w:t>
      </w:r>
      <w:r>
        <w:rPr>
          <w:rStyle w:val="FootnoteReference"/>
        </w:rPr>
        <w:footnoteReference w:id="2310"/>
      </w:r>
      <w:r>
        <w:rPr>
          <w:rFonts w:ascii="IRNazanin" w:hAnsi="IRNazanin" w:eastAsia="IRNazanin" w:cs="IRNazanin"/>
          <w:lang w:bidi="fa-IR"/>
          <w:color w:val="111111"/>
          <w:sz w:val="28"/>
          <w:szCs w:val="28"/>
          <w:rtl/>
        </w:rPr>
        <w:t xml:space="preserve">-من حیث إنّه جزء-إلاّ کونه بحیث لو ضمّ إلیه الأجزاء الباقیة مع الشرائط المعتبرة لالتأم الکلّ،فی مقابل الجزء الفاسد،و هو الذی لا یلزم من ضمّ باقی الأجزاء و الشرائط إلیه وجود الکلّ.</w:t>
      </w:r>
    </w:p>
    <w:p>
      <w:pPr>
        <w:pStyle w:val="BookText"/>
      </w:pPr>
      <w:r>
        <w:rPr>
          <w:rFonts w:ascii="IRNazanin" w:hAnsi="IRNazanin" w:eastAsia="IRNazanin" w:cs="IRNazanin"/>
          <w:lang w:bidi="fa-IR"/>
          <w:color w:val="111111"/>
          <w:sz w:val="28"/>
          <w:szCs w:val="28"/>
          <w:rtl/>
        </w:rPr>
        <w:t xml:space="preserve">و من المعلوم أنّ هذا الأثر موجود فی الجزء دائما،سواء قطع بضمّ الأجزاء الباقیة،أم قطع بعدمه،أم شکّ فی ذلک.فإذا شکّ فی حصول الفساد من غیر جهة تلک الأجزاء،فالقطع ببقاء صحّة تلک الأجزاء لا ینفع فی تحقّق الکلّ مع وصف هذا الشکّ،فضلا عن استصحاب الصحّة.مع ما عرفت:من أنّه لیس الشکّ فی بقاء صحّة تلک الأجزاء، بأیّ معنی اعتبر من معانی الصحّة.</w:t>
      </w:r>
    </w:p>
    <w:p>
      <w:pPr>
        <w:pStyle w:val="BookText"/>
      </w:pPr>
      <w:r>
        <w:rPr>
          <w:rFonts w:ascii="IRNazanin" w:hAnsi="IRNazanin" w:eastAsia="IRNazanin" w:cs="IRNazanin"/>
          <w:lang w:bidi="fa-IR"/>
          <w:color w:val="111111"/>
          <w:sz w:val="28"/>
          <w:szCs w:val="28"/>
          <w:rtl/>
        </w:rPr>
        <w:t xml:space="preserve">و من هنا،ردّ هذا الاستصحاب جماعة من المعاصرین </w:t>
      </w:r>
      <w:r>
        <w:rPr>
          <w:rStyle w:val="FootnoteReference"/>
        </w:rPr>
        <w:footnoteReference w:id="2311"/>
      </w:r>
      <w:r>
        <w:rPr>
          <w:rFonts w:ascii="Amiri" w:hAnsi="Amiri" w:eastAsia="Amiri" w:cs="Amiri"/>
          <w:lang w:bidi="ar-SA"/>
          <w:color w:val="111111"/>
          <w:sz w:val="28"/>
          <w:szCs w:val="28"/>
          <w:rtl/>
        </w:rPr>
        <w:t xml:space="preserve">ممّن یری حجّیّة الاستصحاب مطلقا.</w:t>
      </w:r>
    </w:p>
    <w:p>
      <w:pPr>
        <w:pStyle w:val="Heading6"/>
      </w:pPr>
      <w:bookmarkStart w:id="1968" w:name="_Toc1003"/>
      <w:r>
        <w:t>[مختار المصنّف التفصیل:]</w:t>
      </w:r>
      <w:bookmarkEnd w:id="1968"/>
    </w:p>
    <w:p>
      <w:pPr>
        <w:pStyle w:val="BookText"/>
      </w:pPr>
      <w:r>
        <w:rPr>
          <w:rFonts w:ascii="IRNazanin" w:hAnsi="IRNazanin" w:eastAsia="IRNazanin" w:cs="IRNazanin"/>
          <w:lang w:bidi="fa-IR"/>
          <w:color w:val="111111"/>
          <w:sz w:val="28"/>
          <w:szCs w:val="28"/>
          <w:rtl/>
        </w:rPr>
        <w:t xml:space="preserve">لکنّ التحقیق:التفصیل بین موارد التمسّک.</w:t>
      </w:r>
    </w:p>
    <w:p>
      <w:pPr>
        <w:pStyle w:val="BookText"/>
      </w:pPr>
      <w:r>
        <w:rPr>
          <w:rFonts w:ascii="IRNazanin" w:hAnsi="IRNazanin" w:eastAsia="IRNazanin" w:cs="IRNazanin"/>
          <w:lang w:bidi="fa-IR"/>
          <w:color w:val="111111"/>
          <w:sz w:val="28"/>
          <w:szCs w:val="28"/>
          <w:rtl/>
        </w:rPr>
        <w:t xml:space="preserve">بیانه:أنّه قد یکون الشکّ فی الفساد من جهة احتمال فقد أمر معتبر أو وجود أمر مانع،و هذا هو الذی لا یعتنی فی نفیه باستصحاب</w:t>
      </w:r>
    </w:p>
    <w:p>
      <w:pPr>
        <w:pStyle w:val="BookText"/>
      </w:pPr>
      <w:r>
        <w:rPr>
          <w:rFonts w:ascii="IRNazanin" w:hAnsi="IRNazanin" w:eastAsia="IRNazanin" w:cs="IRNazanin"/>
          <w:lang w:bidi="fa-IR"/>
          <w:color w:val="111111"/>
          <w:sz w:val="28"/>
          <w:szCs w:val="28"/>
          <w:rtl/>
        </w:rPr>
        <w:t xml:space="preserve">[شماره صفحه واقعی : 256]
</w:t>
      </w:r>
    </w:p>
    <w:p>
      <w:pPr>
        <w:sectPr>
          <w:footerReference w:type="default" r:id="rId768"/>
          <w:footnotePr>
            <w:numStart w:val="1"/>
            <w:numRestart w:val="eachPage"/>
          </w:footnotePr>
          <w:pgSz w:orient="portrait" w:w="11905.511811023622" w:h="16837.79527559055"/>
          <w:pgMar w:top="1440" w:right="1440" w:bottom="1440" w:left="1440" w:header="720" w:footer="720" w:gutter="0"/>
          <w:cols w:num="1" w:space="720"/>
        </w:sectPr>
      </w:pPr>
    </w:p>
    <w:bookmarkStart w:id="475" w:name="pg14411_143150"/>
    <w:bookmarkEnd w:id="475"/>
    <w:p>
      <w:pPr>
        <w:pStyle w:val="BookText"/>
      </w:pPr>
      <w:r>
        <w:rPr>
          <w:rFonts w:ascii="Amiri" w:hAnsi="Amiri" w:eastAsia="Amiri" w:cs="Amiri"/>
          <w:lang w:bidi="ar-SA"/>
          <w:color w:val="111111"/>
          <w:sz w:val="28"/>
          <w:szCs w:val="28"/>
          <w:rtl/>
        </w:rPr>
        <w:t xml:space="preserve">الصحّة؛لما عرفت </w:t>
      </w:r>
      <w:r>
        <w:rPr>
          <w:rStyle w:val="FootnoteReference"/>
        </w:rPr>
        <w:footnoteReference w:id="2312"/>
      </w:r>
      <w:r>
        <w:rPr>
          <w:rFonts w:ascii="IRNazanin" w:hAnsi="IRNazanin" w:eastAsia="IRNazanin" w:cs="IRNazanin"/>
          <w:lang w:bidi="fa-IR"/>
          <w:color w:val="111111"/>
          <w:sz w:val="28"/>
          <w:szCs w:val="28"/>
          <w:rtl/>
        </w:rPr>
        <w:t xml:space="preserve">:من أنّ فقد بعض ما یعتبر من الامور اللاحقة لا یقدح فی صحّة الأجزاء السابقة.</w:t>
      </w:r>
    </w:p>
    <w:p>
      <w:pPr>
        <w:pStyle w:val="BookText"/>
      </w:pPr>
      <w:r>
        <w:rPr>
          <w:rFonts w:ascii="IRNazanin" w:hAnsi="IRNazanin" w:eastAsia="IRNazanin" w:cs="IRNazanin"/>
          <w:lang w:bidi="fa-IR"/>
          <w:color w:val="111111"/>
          <w:sz w:val="28"/>
          <w:szCs w:val="28"/>
          <w:rtl/>
        </w:rPr>
        <w:t xml:space="preserve">و قد یکون من جهة عروض ما ینقطع معه الهیئة الاتّصالیّة المعتبرة فی الصلاة،فإنّا استکشفنا-من تعبیر الشارع عن بعض ما یعتبر عدمه فی الصلاة بالقواطع-أنّ للصلاة هیئة اتصالیّة ینافیها توسّط بعض الأشیاء فی خلال أجزائها،الموجب لخروج الأجزاء اللاحقة عن قابلیّة الانضمام و الأجزاء السابقة عن قابلیّة الانضمام إلیها،فإذا شکّ فی شیء من ذلک وجودا أو صفة جری استصحاب صحّة الأجزاء-بمعنی بقائها علی القابلیّة المذکورة-فیتفرّع علی ذلک عدم وجوب استئنافها، أو استصحاب الاتصال الملحوظ بین الأجزاء السابقة و ما یلحقها من الأجزاء الباقیة،فیتفرّع علیه بقاء الأمر بالإتمام.</w:t>
      </w:r>
    </w:p>
    <w:p>
      <w:pPr>
        <w:pStyle w:val="BookText"/>
      </w:pPr>
      <w:r>
        <w:rPr>
          <w:rFonts w:ascii="IRNazanin" w:hAnsi="IRNazanin" w:eastAsia="IRNazanin" w:cs="IRNazanin"/>
          <w:lang w:bidi="fa-IR"/>
          <w:color w:val="111111"/>
          <w:sz w:val="28"/>
          <w:szCs w:val="28"/>
          <w:rtl/>
        </w:rPr>
        <w:t xml:space="preserve">و هذا الکلام و إن کان قابلا للنقض و الإبرام،إلاّ أنّ الأظهر بحسب المسامحة العرفیّة فی کثیر من الاستصحابات جریان الاستصحاب فی المقام.</w:t>
      </w:r>
    </w:p>
    <w:p>
      <w:pPr>
        <w:pStyle w:val="Heading6"/>
      </w:pPr>
      <w:bookmarkStart w:id="1969" w:name="_Toc1004"/>
      <w:r>
        <w:t>[التمسّک فی مطلق الشکّ فی الفساد باستصحاب حرمة القطع و غیر ذلک و مناقشتها:]</w:t>
      </w:r>
      <w:bookmarkEnd w:id="1969"/>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 ربما یتمسّک </w:t>
      </w:r>
      <w:r>
        <w:rPr>
          <w:rStyle w:val="FootnoteReference"/>
        </w:rPr>
        <w:footnoteReference w:id="2313"/>
      </w:r>
      <w:r>
        <w:rPr>
          <w:rFonts w:ascii="IRNazanin" w:hAnsi="IRNazanin" w:eastAsia="IRNazanin" w:cs="IRNazanin"/>
          <w:lang w:bidi="fa-IR"/>
          <w:color w:val="111111"/>
          <w:sz w:val="28"/>
          <w:szCs w:val="28"/>
          <w:rtl/>
        </w:rPr>
        <w:t xml:space="preserve">فی مطلق الشکّ فی الفساد،باستصحاب حرمة القطع و وجوب المضیّ.</w:t>
      </w:r>
    </w:p>
    <w:p>
      <w:pPr>
        <w:pStyle w:val="BookText"/>
      </w:pPr>
      <w:r>
        <w:rPr>
          <w:rFonts w:ascii="IRNazanin" w:hAnsi="IRNazanin" w:eastAsia="IRNazanin" w:cs="IRNazanin"/>
          <w:lang w:bidi="fa-IR"/>
          <w:color w:val="111111"/>
          <w:sz w:val="28"/>
          <w:szCs w:val="28"/>
          <w:rtl/>
        </w:rPr>
        <w:t xml:space="preserve">و فیه:أنّ الموضوع فی هذا المستصحب هو الفعل الصحیح لا محالة، و المفروض الشکّ فی الصحّة.</w:t>
      </w:r>
    </w:p>
    <w:p>
      <w:pPr>
        <w:pStyle w:val="BookText"/>
      </w:pPr>
      <w:r>
        <w:rPr>
          <w:rFonts w:ascii="IRNazanin" w:hAnsi="IRNazanin" w:eastAsia="IRNazanin" w:cs="IRNazanin"/>
          <w:lang w:bidi="fa-IR"/>
          <w:color w:val="111111"/>
          <w:sz w:val="28"/>
          <w:szCs w:val="28"/>
          <w:rtl/>
        </w:rPr>
        <w:t xml:space="preserve">و ربما یتمسّک فی إثبات الصحّة فی محلّ الشکّ،بقوله تعالی:</w:t>
      </w:r>
    </w:p>
    <w:p>
      <w:pPr>
        <w:pStyle w:val="BookText"/>
      </w:pPr>
      <w:r>
        <w:rPr>
          <w:rFonts w:ascii="IRNazanin" w:hAnsi="IRNazanin" w:eastAsia="IRNazanin" w:cs="IRNazanin"/>
          <w:lang w:bidi="fa-IR"/>
          <w:color w:val="111111"/>
          <w:sz w:val="28"/>
          <w:szCs w:val="28"/>
          <w:rtl/>
        </w:rPr>
        <w:t xml:space="preserve">[شماره صفحه واقعی : 257]
</w:t>
      </w:r>
    </w:p>
    <w:p>
      <w:pPr>
        <w:sectPr>
          <w:footerReference w:type="default" r:id="rId7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تُبْطِلُوا أَعْمٰالَکُمْ</w:t>
      </w:r>
    </w:p>
    <w:p>
      <w:pPr>
        <w:pStyle w:val="BookText"/>
      </w:pPr>
      <w:r>
        <w:rPr>
          <w:rStyle w:val="FootnoteReference"/>
        </w:rPr>
        <w:footnoteReference w:id="2314"/>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 قد بیّنا عدم دلالة الآیة علی هذا المطلب فی أصالة البراءة عند الکلام فی مسألة الشکّ فی الشرطیّة </w:t>
      </w:r>
      <w:r>
        <w:rPr>
          <w:rStyle w:val="FootnoteReference"/>
        </w:rPr>
        <w:footnoteReference w:id="2315"/>
      </w:r>
      <w:r>
        <w:rPr>
          <w:rFonts w:ascii="IRNazanin" w:hAnsi="IRNazanin" w:eastAsia="IRNazanin" w:cs="IRNazanin"/>
          <w:lang w:bidi="fa-IR"/>
          <w:color w:val="111111"/>
          <w:sz w:val="28"/>
          <w:szCs w:val="28"/>
          <w:rtl/>
        </w:rPr>
        <w:t xml:space="preserve">،و کذلک التمسّک بما عداها من العمومات المقتضیة للصحّة.</w:t>
      </w:r>
    </w:p>
    <w:p>
      <w:pPr>
        <w:pStyle w:val="BookText"/>
      </w:pPr>
      <w:r>
        <w:rPr>
          <w:rFonts w:ascii="IRNazanin" w:hAnsi="IRNazanin" w:eastAsia="IRNazanin" w:cs="IRNazanin"/>
          <w:lang w:bidi="fa-IR"/>
          <w:color w:val="111111"/>
          <w:sz w:val="28"/>
          <w:szCs w:val="28"/>
          <w:rtl/>
        </w:rPr>
        <w:t xml:space="preserve">[شماره صفحه واقعی : 258]
</w:t>
      </w:r>
    </w:p>
    <w:p>
      <w:pPr>
        <w:sectPr>
          <w:footerReference w:type="default" r:id="rId770"/>
          <w:footnotePr>
            <w:numStart w:val="1"/>
            <w:numRestart w:val="eachPage"/>
          </w:footnotePr>
          <w:pgSz w:orient="portrait" w:w="11905.511811023622" w:h="16837.79527559055"/>
          <w:pgMar w:top="1440" w:right="1440" w:bottom="1440" w:left="1440" w:header="720" w:footer="720" w:gutter="0"/>
          <w:cols w:num="1" w:space="720"/>
        </w:sectPr>
      </w:pPr>
    </w:p>
    <w:bookmarkStart w:id="476" w:name="pg14411_143152"/>
    <w:bookmarkEnd w:id="476"/>
    <w:p>
      <w:pPr>
        <w:pStyle w:val="Heading6"/>
      </w:pPr>
      <w:bookmarkStart w:id="1970" w:name="_Toc1005"/>
      <w:r>
        <w:t>الأمر التاسع [:عدم جریان الاستصحاب فی الامور الاعتقادیّة]</w:t>
      </w:r>
      <w:bookmarkEnd w:id="1970"/>
    </w:p>
    <w:p>
      <w:pPr>
        <w:pStyle w:val="Heading6"/>
      </w:pPr>
      <w:bookmarkStart w:id="1971" w:name="_Toc1006"/>
      <w:r>
        <w:t>اشارة</w:t>
      </w:r>
      <w:bookmarkEnd w:id="1971"/>
    </w:p>
    <w:p>
      <w:pPr>
        <w:pStyle w:val="BookText"/>
      </w:pPr>
      <w:r>
        <w:rPr>
          <w:rFonts w:ascii="IRNazanin" w:hAnsi="IRNazanin" w:eastAsia="IRNazanin" w:cs="IRNazanin"/>
          <w:lang w:bidi="fa-IR"/>
          <w:color w:val="111111"/>
          <w:sz w:val="28"/>
          <w:szCs w:val="28"/>
          <w:rtl/>
        </w:rPr>
        <w:t xml:space="preserve">لا فرق فی المستصحب بین أن یکون من الموضوعات الخارجیّة أو اللغویّة أو الأحکام الشرعیّة العملیّة،اصولیّة کانت أو فرعیّة.</w:t>
      </w:r>
    </w:p>
    <w:p>
      <w:pPr>
        <w:pStyle w:val="BookText"/>
      </w:pPr>
      <w:r>
        <w:rPr>
          <w:rFonts w:ascii="IRNazanin" w:hAnsi="IRNazanin" w:eastAsia="IRNazanin" w:cs="IRNazanin"/>
          <w:lang w:bidi="fa-IR"/>
          <w:color w:val="111111"/>
          <w:sz w:val="28"/>
          <w:szCs w:val="28"/>
          <w:rtl/>
        </w:rPr>
        <w:t xml:space="preserve">و أمّا الشرعیّة الاعتقادیّة،فلا یعتبر الاستصحاب فیها؛لأنّه:</w:t>
      </w:r>
    </w:p>
    <w:p>
      <w:pPr>
        <w:pStyle w:val="BookText"/>
      </w:pPr>
      <w:r>
        <w:rPr>
          <w:rFonts w:ascii="IRNazanin" w:hAnsi="IRNazanin" w:eastAsia="IRNazanin" w:cs="IRNazanin"/>
          <w:lang w:bidi="fa-IR"/>
          <w:color w:val="111111"/>
          <w:sz w:val="28"/>
          <w:szCs w:val="28"/>
          <w:rtl/>
        </w:rPr>
        <w:t xml:space="preserve">إن کان من باب الأخبار فلیس مؤدّاها إلاّ الحکم علی ما کان </w:t>
      </w:r>
      <w:r>
        <w:rPr>
          <w:rStyle w:val="FootnoteReference"/>
        </w:rPr>
        <w:footnoteReference w:id="2316"/>
      </w:r>
      <w:r>
        <w:rPr>
          <w:rFonts w:ascii="IRNazanin" w:hAnsi="IRNazanin" w:eastAsia="IRNazanin" w:cs="IRNazanin"/>
          <w:lang w:bidi="fa-IR"/>
          <w:color w:val="111111"/>
          <w:sz w:val="28"/>
          <w:szCs w:val="28"/>
          <w:rtl/>
        </w:rPr>
        <w:t xml:space="preserve">معمولا به علی تقدیر الیقین </w:t>
      </w:r>
      <w:r>
        <w:rPr>
          <w:rStyle w:val="FootnoteReference"/>
        </w:rPr>
        <w:footnoteReference w:id="2317"/>
      </w:r>
      <w:r>
        <w:rPr>
          <w:rFonts w:ascii="IRNazanin" w:hAnsi="IRNazanin" w:eastAsia="IRNazanin" w:cs="IRNazanin"/>
          <w:lang w:bidi="fa-IR"/>
          <w:color w:val="111111"/>
          <w:sz w:val="28"/>
          <w:szCs w:val="28"/>
          <w:rtl/>
        </w:rPr>
        <w:t xml:space="preserve">،و المفروض أنّ وجوب الاعتقاد بشیء علی تقدیر الیقین به لا یمکن الحکم به عند الشکّ؛لزوال الاعتقاد فلا یعقل التکلیف.</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 إن کان من باب الظنّ فهو مبنیّ علی اعتبار الظنّ فی اصول الدین،بل الظنّ غیر حاصل فیما کان المستصحب من العقائد الثابتة بالعقل أو النقل القطعیّ؛لأنّ الشکّ إنّما ینشأ من تغیّر بعض ما یحتمل مدخلیّته وجودا أو عدما فی المستصحب.نعم،لو شکّ فی نسخة أمکن دعوی الظنّ،لو لم یکن احتمال النسخ ناشئا عن احتمال نسخ أصل</w:t>
      </w:r>
    </w:p>
    <w:p>
      <w:pPr>
        <w:pStyle w:val="BookText"/>
      </w:pPr>
      <w:r>
        <w:rPr>
          <w:rFonts w:ascii="IRNazanin" w:hAnsi="IRNazanin" w:eastAsia="IRNazanin" w:cs="IRNazanin"/>
          <w:lang w:bidi="fa-IR"/>
          <w:color w:val="111111"/>
          <w:sz w:val="28"/>
          <w:szCs w:val="28"/>
          <w:rtl/>
        </w:rPr>
        <w:t xml:space="preserve">[شماره صفحه واقعی : 259]
</w:t>
      </w:r>
    </w:p>
    <w:p>
      <w:pPr>
        <w:sectPr>
          <w:footerReference w:type="default" r:id="rId771"/>
          <w:footnotePr>
            <w:numStart w:val="1"/>
            <w:numRestart w:val="eachPage"/>
          </w:footnotePr>
          <w:pgSz w:orient="portrait" w:w="11905.511811023622" w:h="16837.79527559055"/>
          <w:pgMar w:top="1440" w:right="1440" w:bottom="1440" w:left="1440" w:header="720" w:footer="720" w:gutter="0"/>
          <w:cols w:num="1" w:space="720"/>
        </w:sectPr>
      </w:pPr>
    </w:p>
    <w:bookmarkStart w:id="477" w:name="pg14411_143153"/>
    <w:bookmarkEnd w:id="477"/>
    <w:p>
      <w:pPr>
        <w:pStyle w:val="BookText"/>
      </w:pPr>
      <w:r>
        <w:rPr>
          <w:rFonts w:ascii="IRNazanin" w:hAnsi="IRNazanin" w:eastAsia="IRNazanin" w:cs="IRNazanin"/>
          <w:lang w:bidi="fa-IR"/>
          <w:color w:val="111111"/>
          <w:sz w:val="28"/>
          <w:szCs w:val="28"/>
          <w:rtl/>
        </w:rPr>
        <w:t xml:space="preserve">الشریعة،لا نسخ الحکم فی تلک الشریعة.</w:t>
      </w:r>
    </w:p>
    <w:p>
      <w:pPr>
        <w:pStyle w:val="BookText"/>
      </w:pPr>
      <w:r>
        <w:rPr>
          <w:rFonts w:ascii="IRNazanin" w:hAnsi="IRNazanin" w:eastAsia="IRNazanin" w:cs="IRNazanin"/>
          <w:lang w:bidi="fa-IR"/>
          <w:color w:val="111111"/>
          <w:sz w:val="28"/>
          <w:szCs w:val="28"/>
          <w:rtl/>
        </w:rPr>
        <w:t xml:space="preserve">أمّا الاحتمال الناشئ عن احتمال نسخ الشریعة فلا یحصل الظنّ بعدمه؛لأنّ نسخ الشرائع شائع،بخلاف نسخ الحکم فی شریعة واحدة؛ فإنّ الغالب بقاء الأحکام.</w:t>
      </w:r>
    </w:p>
    <w:p>
      <w:pPr>
        <w:pStyle w:val="Heading6"/>
      </w:pPr>
      <w:bookmarkStart w:id="1972" w:name="_Toc1007"/>
      <w:r>
        <w:t>[لو شکّ فی نسخ أصل الشریعة؟:]</w:t>
      </w:r>
      <w:bookmarkEnd w:id="1972"/>
    </w:p>
    <w:p>
      <w:pPr>
        <w:pStyle w:val="BookText"/>
      </w:pPr>
      <w:r>
        <w:rPr>
          <w:rFonts w:ascii="IRNazanin" w:hAnsi="IRNazanin" w:eastAsia="IRNazanin" w:cs="IRNazanin"/>
          <w:lang w:bidi="fa-IR"/>
          <w:color w:val="111111"/>
          <w:sz w:val="28"/>
          <w:szCs w:val="28"/>
          <w:rtl/>
        </w:rPr>
        <w:t xml:space="preserve">و ممّا ذکرنا یظهر أنّه لو شکّ فی نسخ أصل الشریعة لم یجز التمسّک بالاستصحاب لإثبات بقائها،مع أنّه لو سلّمنا حصول الظنّ فلا دلیل علی حجّیّته حینئذ؛لعدم مساعدة العقل علیه و إن انسدّ باب العلم؛لإمکان الاحتیاط إلاّ فیما لا یمکن.و الدلیل النقلیّ الدالّ علیه لا یجدی؛لعدم ثبوت الشریعة السابقة و لا اللاحقة.</w:t>
      </w:r>
    </w:p>
    <w:p>
      <w:pPr>
        <w:pStyle w:val="Heading6"/>
      </w:pPr>
      <w:bookmarkStart w:id="1973" w:name="_Toc1008"/>
      <w:r>
        <w:t>[تمسّک بعض أهل الکتاب باستصحاب شرعه:]</w:t>
      </w:r>
      <w:bookmarkEnd w:id="1973"/>
    </w:p>
    <w:p>
      <w:pPr>
        <w:pStyle w:val="Heading6"/>
      </w:pPr>
      <w:bookmarkStart w:id="1974" w:name="_Toc1009"/>
      <w:r>
        <w:t>اشارة</w:t>
      </w:r>
      <w:bookmarkEnd w:id="1974"/>
    </w:p>
    <w:p>
      <w:pPr>
        <w:pStyle w:val="BookText"/>
      </w:pPr>
      <w:r>
        <w:rPr>
          <w:rFonts w:ascii="IRNazanin" w:hAnsi="IRNazanin" w:eastAsia="IRNazanin" w:cs="IRNazanin"/>
          <w:lang w:bidi="fa-IR"/>
          <w:color w:val="111111"/>
          <w:sz w:val="28"/>
          <w:szCs w:val="28"/>
          <w:rtl/>
        </w:rPr>
        <w:t xml:space="preserve">فعلم ممّا ذکرنا أنّ ما یحکی:من تمسّک بعض أهل الکتاب-فی مناظرة بعض الفضلاء السادة </w:t>
      </w:r>
      <w:r>
        <w:rPr>
          <w:rStyle w:val="FootnoteReference"/>
        </w:rPr>
        <w:footnoteReference w:id="2318"/>
      </w:r>
      <w:r>
        <w:rPr>
          <w:rFonts w:ascii="IRNazanin" w:hAnsi="IRNazanin" w:eastAsia="IRNazanin" w:cs="IRNazanin"/>
          <w:lang w:bidi="fa-IR"/>
          <w:color w:val="111111"/>
          <w:sz w:val="28"/>
          <w:szCs w:val="28"/>
          <w:rtl/>
        </w:rPr>
        <w:t xml:space="preserve">-باستصحاب شرعه،ممّا لا وجه له، إلاّ أن یرید جعل البیّنة علی المسلمین فی دعوی الشریعة الناسخة،إمّا لدفع کلفة الاستدلال عن نفسه،و إمّا لإبطال دعوی المدّعی؛بناء علی أنّ مدّعی الدین الجدید کمدّعی النبوّة یحتاج إلی برهان قاطع،فعدم الدلیل القاطع للعذر علی الدین الجدید-کالنبیّ الجدید-دلیل قطعیّ</w:t>
      </w:r>
    </w:p>
    <w:p>
      <w:pPr>
        <w:pStyle w:val="BookText"/>
      </w:pPr>
      <w:r>
        <w:rPr>
          <w:rFonts w:ascii="IRNazanin" w:hAnsi="IRNazanin" w:eastAsia="IRNazanin" w:cs="IRNazanin"/>
          <w:lang w:bidi="fa-IR"/>
          <w:color w:val="111111"/>
          <w:sz w:val="28"/>
          <w:szCs w:val="28"/>
          <w:rtl/>
        </w:rPr>
        <w:t xml:space="preserve">[شماره صفحه واقعی : 260]
</w:t>
      </w:r>
    </w:p>
    <w:p>
      <w:pPr>
        <w:sectPr>
          <w:footerReference w:type="default" r:id="rId772"/>
          <w:footnotePr>
            <w:numStart w:val="1"/>
            <w:numRestart w:val="eachPage"/>
          </w:footnotePr>
          <w:pgSz w:orient="portrait" w:w="11905.511811023622" w:h="16837.79527559055"/>
          <w:pgMar w:top="1440" w:right="1440" w:bottom="1440" w:left="1440" w:header="720" w:footer="720" w:gutter="0"/>
          <w:cols w:num="1" w:space="720"/>
        </w:sectPr>
      </w:pPr>
    </w:p>
    <w:bookmarkStart w:id="478" w:name="pg14411_143154"/>
    <w:bookmarkEnd w:id="478"/>
    <w:p>
      <w:pPr>
        <w:pStyle w:val="BookText"/>
      </w:pPr>
      <w:r>
        <w:rPr>
          <w:rFonts w:ascii="IRNazanin" w:hAnsi="IRNazanin" w:eastAsia="IRNazanin" w:cs="IRNazanin"/>
          <w:lang w:bidi="fa-IR"/>
          <w:color w:val="111111"/>
          <w:sz w:val="28"/>
          <w:szCs w:val="28"/>
          <w:rtl/>
        </w:rPr>
        <w:t xml:space="preserve">علی عدمه بحکم العادة،بل العقل،فغرض الکتابیّ إثبات حقّیة دینه بأسهل الوجهین.</w:t>
      </w:r>
    </w:p>
    <w:p>
      <w:pPr>
        <w:pStyle w:val="Heading6"/>
      </w:pPr>
      <w:bookmarkStart w:id="1975" w:name="_Toc1010"/>
      <w:r>
        <w:t>[بعض الأجوبة عن استصحاب الکتابی و مناقشتها:]</w:t>
      </w:r>
      <w:bookmarkEnd w:id="1975"/>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ثمّ إنّه قد اجیب عن استصحاب الکتابیّ المذکور بأجوبة:</w:t>
      </w:r>
    </w:p>
    <w:p>
      <w:pPr>
        <w:pStyle w:val="Heading6"/>
      </w:pPr>
      <w:bookmarkStart w:id="1976" w:name="_Toc1011"/>
      <w:r>
        <w:t>[1-ما ذکره بعض الفضلاء:]</w:t>
      </w:r>
      <w:bookmarkEnd w:id="1976"/>
    </w:p>
    <w:p>
      <w:pPr>
        <w:pStyle w:val="BookText"/>
      </w:pPr>
      <w:r>
        <w:rPr>
          <w:rFonts w:ascii="IRNazanin" w:hAnsi="IRNazanin" w:eastAsia="IRNazanin" w:cs="IRNazanin"/>
          <w:lang w:bidi="fa-IR"/>
          <w:color w:val="111111"/>
          <w:sz w:val="28"/>
          <w:szCs w:val="28"/>
          <w:rtl/>
        </w:rPr>
        <w:t xml:space="preserve">منها:ما حکی </w:t>
      </w:r>
      <w:r>
        <w:rPr>
          <w:rStyle w:val="FootnoteReference"/>
        </w:rPr>
        <w:footnoteReference w:id="2319"/>
      </w:r>
      <w:r>
        <w:rPr>
          <w:rFonts w:ascii="IRNazanin" w:hAnsi="IRNazanin" w:eastAsia="IRNazanin" w:cs="IRNazanin"/>
          <w:lang w:bidi="fa-IR"/>
          <w:color w:val="111111"/>
          <w:sz w:val="28"/>
          <w:szCs w:val="28"/>
          <w:rtl/>
        </w:rPr>
        <w:t xml:space="preserve">عن بعض الفضلاء المناظرین له:</w:t>
      </w:r>
    </w:p>
    <w:p>
      <w:pPr>
        <w:pStyle w:val="BookText"/>
      </w:pPr>
      <w:r>
        <w:rPr>
          <w:rFonts w:ascii="IRNazanin" w:hAnsi="IRNazanin" w:eastAsia="IRNazanin" w:cs="IRNazanin"/>
          <w:lang w:bidi="fa-IR"/>
          <w:color w:val="111111"/>
          <w:sz w:val="28"/>
          <w:szCs w:val="28"/>
          <w:rtl/>
        </w:rPr>
        <w:t xml:space="preserve">و هو أنّا نؤمن و نعترف بنبوّة کلّ موسی و عیسی أقرّ بنبوّة نبیّنا صلی اللّه علیه و آله، و کافر </w:t>
      </w:r>
      <w:r>
        <w:rPr>
          <w:rStyle w:val="FootnoteReference"/>
        </w:rPr>
        <w:footnoteReference w:id="2320"/>
      </w:r>
      <w:r>
        <w:rPr>
          <w:rFonts w:ascii="IRNazanin" w:hAnsi="IRNazanin" w:eastAsia="IRNazanin" w:cs="IRNazanin"/>
          <w:lang w:bidi="fa-IR"/>
          <w:color w:val="111111"/>
          <w:sz w:val="28"/>
          <w:szCs w:val="28"/>
          <w:rtl/>
        </w:rPr>
        <w:t xml:space="preserve">بنبوّة کلّ من لم یقرّ بذلک.و هذا مضمون ما ذکره مولانا الرضا علیه السّلام فی جواب الجاثلیق </w:t>
      </w:r>
      <w:r>
        <w:rPr>
          <w:rStyle w:val="FootnoteReference"/>
        </w:rPr>
        <w:footnoteReference w:id="23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الجواب بظاهره مخدوش بما عن الکتابیّ:من أنّ موسی بن عمران أو عیسی بن مریم شخص واحد و جزئیّ حقیقیّ اعترف المسلمون و أهل الکتاب بنبوّته،فعلی المسلمین نسخها.</w:t>
      </w:r>
    </w:p>
    <w:p>
      <w:pPr>
        <w:pStyle w:val="BookText"/>
      </w:pPr>
      <w:r>
        <w:rPr>
          <w:rFonts w:ascii="IRNazanin" w:hAnsi="IRNazanin" w:eastAsia="IRNazanin" w:cs="IRNazanin"/>
          <w:lang w:bidi="fa-IR"/>
          <w:color w:val="111111"/>
          <w:sz w:val="28"/>
          <w:szCs w:val="28"/>
          <w:rtl/>
        </w:rPr>
        <w:t xml:space="preserve">و أمّا ما ذکره الإمام علیه السّلام </w:t>
      </w:r>
      <w:r>
        <w:rPr>
          <w:rStyle w:val="FootnoteReference"/>
        </w:rPr>
        <w:footnoteReference w:id="2322"/>
      </w:r>
      <w:r>
        <w:rPr>
          <w:rFonts w:ascii="IRNazanin" w:hAnsi="IRNazanin" w:eastAsia="IRNazanin" w:cs="IRNazanin"/>
          <w:lang w:bidi="fa-IR"/>
          <w:color w:val="111111"/>
          <w:sz w:val="28"/>
          <w:szCs w:val="28"/>
          <w:rtl/>
        </w:rPr>
        <w:t xml:space="preserve">،فلعلّه أراد به غیر ظاهره،بقرینة ظاهرة بینه و بین الجاثلیق.و سیأتی ما یمکن أن یؤوّل به.</w:t>
      </w:r>
    </w:p>
    <w:p>
      <w:pPr>
        <w:pStyle w:val="Heading6"/>
      </w:pPr>
      <w:bookmarkStart w:id="1977" w:name="_Toc1012"/>
      <w:r>
        <w:t>[2-ما ذکره الفاضل النراقی:]</w:t>
      </w:r>
      <w:bookmarkEnd w:id="1977"/>
    </w:p>
    <w:p>
      <w:pPr>
        <w:pStyle w:val="BookText"/>
      </w:pPr>
      <w:r>
        <w:rPr>
          <w:rFonts w:ascii="IRNazanin" w:hAnsi="IRNazanin" w:eastAsia="IRNazanin" w:cs="IRNazanin"/>
          <w:lang w:bidi="fa-IR"/>
          <w:color w:val="111111"/>
          <w:sz w:val="28"/>
          <w:szCs w:val="28"/>
          <w:rtl/>
        </w:rPr>
        <w:t xml:space="preserve">و منها:ما ذکره بعض المعاصرین </w:t>
      </w:r>
      <w:r>
        <w:rPr>
          <w:rStyle w:val="FootnoteReference"/>
        </w:rPr>
        <w:footnoteReference w:id="2323"/>
      </w:r>
      <w:r>
        <w:rPr>
          <w:rFonts w:ascii="IRNazanin" w:hAnsi="IRNazanin" w:eastAsia="IRNazanin" w:cs="IRNazanin"/>
          <w:lang w:bidi="fa-IR"/>
          <w:color w:val="111111"/>
          <w:sz w:val="28"/>
          <w:szCs w:val="28"/>
          <w:rtl/>
        </w:rPr>
        <w:t xml:space="preserve">:من أنّ استصحاب النبوّة معارض باستصحاب عدمها الثابت قبل حدوث أصل النبوّة؛بناء علی أصل فاسد تقدّم حکایته عنه،و هو:أنّ الحکم الشرعیّ الموجود یقتصر فیه علی القدر المتیقّن،و بعده یتعارض استصحاب وجوده</w:t>
      </w:r>
    </w:p>
    <w:p>
      <w:pPr>
        <w:pStyle w:val="BookText"/>
      </w:pPr>
      <w:r>
        <w:rPr>
          <w:rFonts w:ascii="IRNazanin" w:hAnsi="IRNazanin" w:eastAsia="IRNazanin" w:cs="IRNazanin"/>
          <w:lang w:bidi="fa-IR"/>
          <w:color w:val="111111"/>
          <w:sz w:val="28"/>
          <w:szCs w:val="28"/>
          <w:rtl/>
        </w:rPr>
        <w:t xml:space="preserve">[شماره صفحه واقعی : 261]
</w:t>
      </w:r>
    </w:p>
    <w:p>
      <w:pPr>
        <w:sectPr>
          <w:footerReference w:type="default" r:id="rId773"/>
          <w:footnotePr>
            <w:numStart w:val="1"/>
            <w:numRestart w:val="eachPage"/>
          </w:footnotePr>
          <w:pgSz w:orient="portrait" w:w="11905.511811023622" w:h="16837.79527559055"/>
          <w:pgMar w:top="1440" w:right="1440" w:bottom="1440" w:left="1440" w:header="720" w:footer="720" w:gutter="0"/>
          <w:cols w:num="1" w:space="720"/>
        </w:sectPr>
      </w:pPr>
    </w:p>
    <w:bookmarkStart w:id="479" w:name="pg14411_143155"/>
    <w:bookmarkEnd w:id="479"/>
    <w:p>
      <w:pPr>
        <w:pStyle w:val="BookText"/>
      </w:pPr>
      <w:r>
        <w:rPr>
          <w:rFonts w:ascii="IRNazanin" w:hAnsi="IRNazanin" w:eastAsia="IRNazanin" w:cs="IRNazanin"/>
          <w:lang w:bidi="fa-IR"/>
          <w:color w:val="111111"/>
          <w:sz w:val="28"/>
          <w:szCs w:val="28"/>
          <w:rtl/>
        </w:rPr>
        <w:t xml:space="preserve">و استصحاب عدمه.</w:t>
      </w:r>
    </w:p>
    <w:p>
      <w:pPr>
        <w:pStyle w:val="BookText"/>
      </w:pPr>
      <w:r>
        <w:rPr>
          <w:rFonts w:ascii="IRNazanin" w:hAnsi="IRNazanin" w:eastAsia="IRNazanin" w:cs="IRNazanin"/>
          <w:lang w:bidi="fa-IR"/>
          <w:color w:val="111111"/>
          <w:sz w:val="28"/>
          <w:szCs w:val="28"/>
          <w:rtl/>
        </w:rPr>
        <w:t xml:space="preserve">و قد أوضحنا فساده بما لا مزید علیه </w:t>
      </w:r>
      <w:r>
        <w:rPr>
          <w:rStyle w:val="FootnoteReference"/>
        </w:rPr>
        <w:footnoteReference w:id="2324"/>
      </w:r>
      <w:r>
        <w:rPr>
          <w:rFonts w:ascii="Times New Roman" w:hAnsi="Times New Roman" w:eastAsia="Times New Roman" w:cs="Times New Roman"/>
          <w:lang w:val="en-US" w:bidi="en-US"/>
          <w:color w:val="111111"/>
          <w:sz w:val="28"/>
          <w:szCs w:val="28"/>
          <w:rtl/>
        </w:rPr>
        <w:t xml:space="preserve">.</w:t>
      </w:r>
    </w:p>
    <w:p>
      <w:pPr>
        <w:pStyle w:val="Heading6"/>
      </w:pPr>
      <w:bookmarkStart w:id="1978" w:name="_Toc1013"/>
      <w:r>
        <w:t>[3-ما ذکره المحقّق القمّی:]</w:t>
      </w:r>
      <w:bookmarkEnd w:id="1978"/>
    </w:p>
    <w:p>
      <w:pPr>
        <w:pStyle w:val="BookText"/>
      </w:pPr>
      <w:r>
        <w:rPr>
          <w:rFonts w:ascii="IRNazanin" w:hAnsi="IRNazanin" w:eastAsia="IRNazanin" w:cs="IRNazanin"/>
          <w:lang w:bidi="fa-IR"/>
          <w:color w:val="111111"/>
          <w:sz w:val="28"/>
          <w:szCs w:val="28"/>
          <w:rtl/>
        </w:rPr>
        <w:t xml:space="preserve">و منها:ما ذکره فی القوانین-بانیا له علی ما تقدّم منه فی الأمر الأوّل:من أنّ الاستصحاب مشروط بمعرفة استعداد المستصحب،فلا یجوز استصحاب حیاة الحیوان المردّد بین حیوانین مختلفین فی الاستعداد بعد انقضاء مدّة استعداد أقلّهما استعدادا-قال:</w:t>
      </w:r>
    </w:p>
    <w:p>
      <w:pPr>
        <w:pStyle w:val="BookText"/>
      </w:pPr>
      <w:r>
        <w:rPr>
          <w:rFonts w:ascii="IRNazanin" w:hAnsi="IRNazanin" w:eastAsia="IRNazanin" w:cs="IRNazanin"/>
          <w:lang w:bidi="fa-IR"/>
          <w:color w:val="111111"/>
          <w:sz w:val="28"/>
          <w:szCs w:val="28"/>
          <w:rtl/>
        </w:rPr>
        <w:t xml:space="preserve">إنّ موضوع الاستصحاب لا بدّ أن یکون متعیّنا حتّی یجری علی منواله،و لم یتعیّن هنا إلاّ النبوّة فی الجملة،و هی کلّیّ من حیث إنّها قابلة للنبوّة إلی آخر الأبد،بأن یقول اللّه جلّ ذکره لموسی علیه السّلام:</w:t>
      </w:r>
    </w:p>
    <w:p>
      <w:pPr>
        <w:pStyle w:val="BookText"/>
      </w:pPr>
      <w:r>
        <w:rPr>
          <w:rFonts w:ascii="IRNazanin" w:hAnsi="IRNazanin" w:eastAsia="IRNazanin" w:cs="IRNazanin"/>
          <w:lang w:bidi="fa-IR"/>
          <w:color w:val="111111"/>
          <w:sz w:val="28"/>
          <w:szCs w:val="28"/>
          <w:rtl/>
        </w:rPr>
        <w:t xml:space="preserve">«أنت نبیّی و صاحب دینی إلی آخر الأبد».و لأن یکون إلی زمان محمّد صلی اللّه علیه و آله،بأن یقول له:«أنت نبیّی و دینک باق إلی زمان محمّد صلی اللّه علیه و آله».</w:t>
      </w:r>
    </w:p>
    <w:p>
      <w:pPr>
        <w:pStyle w:val="BookText"/>
      </w:pPr>
      <w:r>
        <w:rPr>
          <w:rFonts w:ascii="IRNazanin" w:hAnsi="IRNazanin" w:eastAsia="IRNazanin" w:cs="IRNazanin"/>
          <w:lang w:bidi="fa-IR"/>
          <w:color w:val="111111"/>
          <w:sz w:val="28"/>
          <w:szCs w:val="28"/>
          <w:rtl/>
        </w:rPr>
        <w:t xml:space="preserve">و لأن یکون غیر مغیّا بغایة،بأن یقول:«أنت نبیّی»بدون أحد القیدین.فعلی الخصم أن یثبت:إمّا التصریح بالامتداد إلی آخر الأبد، أو الإطلاق.و لا سبیل إلی الأوّل،مع أنّه یخرج عن الاستصحاب.</w:t>
      </w:r>
    </w:p>
    <w:p>
      <w:pPr>
        <w:pStyle w:val="BookText"/>
      </w:pPr>
      <w:r>
        <w:rPr>
          <w:rFonts w:ascii="IRNazanin" w:hAnsi="IRNazanin" w:eastAsia="IRNazanin" w:cs="IRNazanin"/>
          <w:lang w:bidi="fa-IR"/>
          <w:color w:val="111111"/>
          <w:sz w:val="28"/>
          <w:szCs w:val="28"/>
          <w:rtl/>
        </w:rPr>
        <w:t xml:space="preserve">و لا إلی الثانی؛لأنّ الإطلاق فی معنی القید،فلا بدّ من إثباته.و من المعلوم أنّ مطلق النبوّة غیر النبوّة المطلقة،و الذی یمکن استصحابه هو الثانی دون الأوّل؛إذ الکلّی لا یمکن استصحابه إلاّ بما یمکن من بقاء أقلّ أفراده </w:t>
      </w:r>
      <w:r>
        <w:rPr>
          <w:rStyle w:val="FootnoteReference"/>
        </w:rPr>
        <w:footnoteReference w:id="2325"/>
      </w:r>
      <w:r>
        <w:rPr>
          <w:rFonts w:ascii="IRNazanin" w:hAnsi="IRNazanin" w:eastAsia="IRNazanin" w:cs="IRNazanin"/>
          <w:lang w:bidi="fa-IR"/>
          <w:color w:val="111111"/>
          <w:sz w:val="28"/>
          <w:szCs w:val="28"/>
          <w:rtl/>
        </w:rPr>
        <w:t xml:space="preserve">،انتهی موضع الحاجة.</w:t>
      </w:r>
    </w:p>
    <w:p>
      <w:pPr>
        <w:pStyle w:val="Heading6"/>
      </w:pPr>
      <w:bookmarkStart w:id="1979" w:name="_Toc1014"/>
      <w:r>
        <w:t>[المناقشة فی ما أفاده المحقّق القمّی:]</w:t>
      </w:r>
      <w:bookmarkEnd w:id="1979"/>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 فیه:</w:t>
      </w:r>
    </w:p>
    <w:p>
      <w:pPr>
        <w:pStyle w:val="BookText"/>
      </w:pPr>
      <w:r>
        <w:rPr>
          <w:rFonts w:ascii="IRNazanin" w:hAnsi="IRNazanin" w:eastAsia="IRNazanin" w:cs="IRNazanin"/>
          <w:lang w:bidi="fa-IR"/>
          <w:color w:val="111111"/>
          <w:sz w:val="28"/>
          <w:szCs w:val="28"/>
          <w:rtl/>
        </w:rPr>
        <w:t xml:space="preserve">[شماره صفحه واقعی : 262]
</w:t>
      </w:r>
    </w:p>
    <w:p>
      <w:pPr>
        <w:sectPr>
          <w:footerReference w:type="default" r:id="rId774"/>
          <w:footnotePr>
            <w:numStart w:val="1"/>
            <w:numRestart w:val="eachPage"/>
          </w:footnotePr>
          <w:pgSz w:orient="portrait" w:w="11905.511811023622" w:h="16837.79527559055"/>
          <w:pgMar w:top="1440" w:right="1440" w:bottom="1440" w:left="1440" w:header="720" w:footer="720" w:gutter="0"/>
          <w:cols w:num="1" w:space="720"/>
        </w:sectPr>
      </w:pPr>
    </w:p>
    <w:bookmarkStart w:id="480" w:name="pg14411_143156"/>
    <w:bookmarkEnd w:id="480"/>
    <w:p>
      <w:pPr>
        <w:pStyle w:val="BookText"/>
      </w:pPr>
      <w:r>
        <w:rPr>
          <w:rFonts w:ascii="Amiri" w:hAnsi="Amiri" w:eastAsia="Amiri" w:cs="Amiri"/>
          <w:lang w:bidi="ar-SA"/>
          <w:color w:val="111111"/>
          <w:sz w:val="28"/>
          <w:szCs w:val="28"/>
          <w:rtl/>
        </w:rPr>
        <w:t xml:space="preserve">أوّلا:ما تقدّم </w:t>
      </w:r>
      <w:r>
        <w:rPr>
          <w:rStyle w:val="FootnoteReference"/>
        </w:rPr>
        <w:footnoteReference w:id="2326"/>
      </w:r>
      <w:r>
        <w:rPr>
          <w:rFonts w:ascii="IRNazanin" w:hAnsi="IRNazanin" w:eastAsia="IRNazanin" w:cs="IRNazanin"/>
          <w:lang w:bidi="fa-IR"/>
          <w:color w:val="111111"/>
          <w:sz w:val="28"/>
          <w:szCs w:val="28"/>
          <w:rtl/>
        </w:rPr>
        <w:t xml:space="preserve">،من عدم توقّف جریان الاستصحاب علی إحراز استعداد المستصحب.</w:t>
      </w:r>
    </w:p>
    <w:p>
      <w:pPr>
        <w:pStyle w:val="BookText"/>
      </w:pPr>
      <w:r>
        <w:rPr>
          <w:rFonts w:ascii="IRNazanin" w:hAnsi="IRNazanin" w:eastAsia="IRNazanin" w:cs="IRNazanin"/>
          <w:lang w:bidi="fa-IR"/>
          <w:color w:val="111111"/>
          <w:sz w:val="28"/>
          <w:szCs w:val="28"/>
          <w:rtl/>
        </w:rPr>
        <w:t xml:space="preserve">و ثانیا:أنّ ما ذکره-من أنّ الإطلاق غیر ثابت،لأنّه فی معنی القید-غیر صحیح؛لأنّ عدم التقیید مطابق للأصل.نعم،المخالف للأصل الإطلاق بمعنی العموم الراجع إلی الدوام.</w:t>
      </w:r>
    </w:p>
    <w:p>
      <w:pPr>
        <w:pStyle w:val="BookText"/>
      </w:pPr>
      <w:r>
        <w:rPr>
          <w:rFonts w:ascii="IRNazanin" w:hAnsi="IRNazanin" w:eastAsia="IRNazanin" w:cs="IRNazanin"/>
          <w:lang w:bidi="fa-IR"/>
          <w:color w:val="111111"/>
          <w:sz w:val="28"/>
          <w:szCs w:val="28"/>
          <w:rtl/>
        </w:rPr>
        <w:t xml:space="preserve">و الحاصل:أنّ هنا فی الواقع و نفس الأمر نبوّة مستدامة إلی آخر الأبد،و نبوّة مغیّاة إلی وقت خاصّ،و لا ثالث لهما فی الواقع،فالنبوّة المطلقة-بمعنی غیر المقیّدة-و مطلق النبوّة سیّان فی التردّد بین الاستمرار و التوقیت،فلا وجه لإجراء الاستصحاب علی أحدهما دون الآخر.إلاّ أن یرید-بقرینة ما ذکره بعد ذلک،من أنّ المراد من مطلقات کلّ شریعة بحکم الاستقراء الدوام و الاستمرار إلی أن یثبت الرافع-أنّ المطلق فی حکم الاستمرار،فالشکّ فیه شکّ فی الرافع،بخلاف مطلق النبوّة؛فإنّ استعداده غیر محرز عند الشکّ،فهو من قبیل الحیوان المردّد بین مختلفی الاستعداد.</w:t>
      </w:r>
    </w:p>
    <w:p>
      <w:pPr>
        <w:pStyle w:val="BookText"/>
      </w:pPr>
      <w:r>
        <w:rPr>
          <w:rFonts w:ascii="IRNazanin" w:hAnsi="IRNazanin" w:eastAsia="IRNazanin" w:cs="IRNazanin"/>
          <w:lang w:bidi="fa-IR"/>
          <w:color w:val="111111"/>
          <w:sz w:val="28"/>
          <w:szCs w:val="28"/>
          <w:rtl/>
        </w:rPr>
        <w:t xml:space="preserve">و ثالثا:أنّ ما ذکره منقوض بالاستصحاب فی الأحکام الشرعیّة؛ لجریان ما ذکره فی کثیر منها،بل فی أکثرها.</w:t>
      </w:r>
    </w:p>
    <w:p>
      <w:pPr>
        <w:pStyle w:val="Heading6"/>
      </w:pPr>
      <w:bookmarkStart w:id="1980" w:name="_Toc1015"/>
      <w:r>
        <w:t>[کلام آخر للمحقق القمی:]</w:t>
      </w:r>
      <w:bookmarkEnd w:id="1980"/>
    </w:p>
    <w:p>
      <w:pPr>
        <w:pStyle w:val="BookText"/>
      </w:pPr>
      <w:r>
        <w:rPr>
          <w:rFonts w:ascii="IRNazanin" w:hAnsi="IRNazanin" w:eastAsia="IRNazanin" w:cs="IRNazanin"/>
          <w:lang w:bidi="fa-IR"/>
          <w:color w:val="111111"/>
          <w:sz w:val="28"/>
          <w:szCs w:val="28"/>
          <w:rtl/>
        </w:rPr>
        <w:t xml:space="preserve">و قد تفطّن لورود هذا علیه،و دفعه بما لا یندفع به،فقال:</w:t>
      </w:r>
    </w:p>
    <w:p>
      <w:pPr>
        <w:pStyle w:val="BookText"/>
      </w:pPr>
      <w:r>
        <w:rPr>
          <w:rFonts w:ascii="IRNazanin" w:hAnsi="IRNazanin" w:eastAsia="IRNazanin" w:cs="IRNazanin"/>
          <w:lang w:bidi="fa-IR"/>
          <w:color w:val="111111"/>
          <w:sz w:val="28"/>
          <w:szCs w:val="28"/>
          <w:rtl/>
        </w:rPr>
        <w:t xml:space="preserve">إنّ التتبّع و الاستقراء یحکمان بأنّ غالب الأحکام الشرعیّة-فی غیر ما ثبت فی الشرع له حدّ-لیست بآنیّة،و لا محدودة إلی حدّ معیّن،و أنّ الشارع اکتفی فیها فیما ورد عنه مطلقا فی استمراره،و یظهر</w:t>
      </w:r>
    </w:p>
    <w:p>
      <w:pPr>
        <w:pStyle w:val="BookText"/>
      </w:pPr>
      <w:r>
        <w:rPr>
          <w:rFonts w:ascii="IRNazanin" w:hAnsi="IRNazanin" w:eastAsia="IRNazanin" w:cs="IRNazanin"/>
          <w:lang w:bidi="fa-IR"/>
          <w:color w:val="111111"/>
          <w:sz w:val="28"/>
          <w:szCs w:val="28"/>
          <w:rtl/>
        </w:rPr>
        <w:t xml:space="preserve">[شماره صفحه واقعی : 263]
</w:t>
      </w:r>
    </w:p>
    <w:p>
      <w:pPr>
        <w:sectPr>
          <w:footerReference w:type="default" r:id="rId7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الخارج أنّه أراد منه الاستمرار؛</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Amiri" w:hAnsi="Amiri" w:eastAsia="Amiri" w:cs="Amiri"/>
          <w:lang w:bidi="ar-SA"/>
          <w:color w:val="111111"/>
          <w:sz w:val="28"/>
          <w:szCs w:val="28"/>
          <w:rtl/>
        </w:rPr>
        <w:t xml:space="preserve">فإنّ من </w:t>
      </w:r>
      <w:r>
        <w:rPr>
          <w:rStyle w:val="FootnoteReference"/>
        </w:rPr>
        <w:footnoteReference w:id="2327"/>
      </w:r>
      <w:r>
        <w:rPr>
          <w:rFonts w:ascii="IRNazanin" w:hAnsi="IRNazanin" w:eastAsia="IRNazanin" w:cs="IRNazanin"/>
          <w:lang w:bidi="fa-IR"/>
          <w:color w:val="111111"/>
          <w:sz w:val="28"/>
          <w:szCs w:val="28"/>
          <w:rtl/>
        </w:rPr>
        <w:t xml:space="preserve">تتبّع أکثر الموارد و استقرأها </w:t>
      </w:r>
      <w:r>
        <w:rPr>
          <w:rStyle w:val="FootnoteReference"/>
        </w:rPr>
        <w:footnoteReference w:id="2328"/>
      </w:r>
      <w:r>
        <w:rPr>
          <w:rFonts w:ascii="IRNazanin" w:hAnsi="IRNazanin" w:eastAsia="IRNazanin" w:cs="IRNazanin"/>
          <w:lang w:bidi="fa-IR"/>
          <w:color w:val="111111"/>
          <w:sz w:val="28"/>
          <w:szCs w:val="28"/>
          <w:rtl/>
        </w:rPr>
        <w:t xml:space="preserve">یحصّل الظنّ القویّ بأنّ مراده من تلک المطلقات هو الاستمرار إلی أن یثبت الرافع من دلیل عقلیّ أو نقلیّ </w:t>
      </w:r>
      <w:r>
        <w:rPr>
          <w:rStyle w:val="FootnoteReference"/>
        </w:rPr>
        <w:footnoteReference w:id="2329"/>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لا یخفی ما فیه:</w:t>
      </w:r>
    </w:p>
    <w:p>
      <w:pPr>
        <w:pStyle w:val="BookText"/>
      </w:pPr>
      <w:r>
        <w:rPr>
          <w:rFonts w:ascii="IRNazanin" w:hAnsi="IRNazanin" w:eastAsia="IRNazanin" w:cs="IRNazanin"/>
          <w:lang w:bidi="fa-IR"/>
          <w:color w:val="111111"/>
          <w:sz w:val="28"/>
          <w:szCs w:val="28"/>
          <w:rtl/>
        </w:rPr>
        <w:t xml:space="preserve">أمّا أوّلا:فلأنّ مورد النقض لا یختصّ بما شکّ فی رفع الحکم الشرعیّ الکلّیّ،بل قد یکون الشکّ لتبدّل ما یحتمل مدخلیّته فی بقاء الحکم،کتغیّر الماء للنجاسة.</w:t>
      </w:r>
    </w:p>
    <w:p>
      <w:pPr>
        <w:pStyle w:val="BookText"/>
      </w:pPr>
      <w:r>
        <w:rPr>
          <w:rFonts w:ascii="IRNazanin" w:hAnsi="IRNazanin" w:eastAsia="IRNazanin" w:cs="IRNazanin"/>
          <w:lang w:bidi="fa-IR"/>
          <w:color w:val="111111"/>
          <w:sz w:val="28"/>
          <w:szCs w:val="28"/>
          <w:rtl/>
        </w:rPr>
        <w:t xml:space="preserve">و أمّا ثانیا:فلأنّ الشکّ فی رفع الحکم الشرعیّ إنّما هو بحسب ظاهر دلیله الظاهر فی الاستمرار-بنفسه أو بمعونة القرائن،مثل الاستقراء الذی ذکره فی المطلقات-لکنّ الحکم الشرعیّ الکلّی فی الحقیقة إنّما یرتفع بتمام استعداده،حتّی فی النسخ،فضلا عن نحو الخیار المردّد بین کونه علی الفور أو التراخی،و النسخ أیضا رفع صوریّ،و حقیقته انتهاء استعداد الحکم،فالشکّ فی بقاء الحکم الشرعیّ لا یکون إلاّ من جهة الشکّ فی مقدار استعداده،نظیر الحیوان المجهول استعداده.</w:t>
      </w:r>
    </w:p>
    <w:p>
      <w:pPr>
        <w:pStyle w:val="BookText"/>
      </w:pPr>
      <w:r>
        <w:rPr>
          <w:rFonts w:ascii="IRNazanin" w:hAnsi="IRNazanin" w:eastAsia="IRNazanin" w:cs="IRNazanin"/>
          <w:lang w:bidi="fa-IR"/>
          <w:color w:val="111111"/>
          <w:sz w:val="28"/>
          <w:szCs w:val="28"/>
          <w:rtl/>
        </w:rPr>
        <w:t xml:space="preserve">و أمّا ثالثا:فلأنّ ما ذکره-من حصول الظنّ بإرادة الاستمرار من الإطلاق-لو تمّ،یکون دلیلا اجتهادیّا مغنیا عن التمسّک بالاستصحاب؛ فإنّ التحقیق:أنّ الشکّ فی نسخ الحکم المدلول علیه بدلیل ظاهر-فی</w:t>
      </w:r>
    </w:p>
    <w:p>
      <w:pPr>
        <w:pStyle w:val="BookText"/>
      </w:pPr>
      <w:r>
        <w:rPr>
          <w:rFonts w:ascii="IRNazanin" w:hAnsi="IRNazanin" w:eastAsia="IRNazanin" w:cs="IRNazanin"/>
          <w:lang w:bidi="fa-IR"/>
          <w:color w:val="111111"/>
          <w:sz w:val="28"/>
          <w:szCs w:val="28"/>
          <w:rtl/>
        </w:rPr>
        <w:t xml:space="preserve">[شماره صفحه واقعی : 264]
</w:t>
      </w:r>
    </w:p>
    <w:p>
      <w:pPr>
        <w:sectPr>
          <w:footerReference w:type="default" r:id="rId7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نفسه أو بمعونة دلیل خارجیّ-فی الاستمرار،لیس موردا للاستصحاب؛ لوجود الدلیل الاجتهادیّ فی مورد الشکّ،و هو ظنّ الاستمرار.</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نعم، هو من قبیل استصحاب حکم العامّ إلی أن یرد المخصّص،و هو لیس استصحابا فی حکم شرعیّ،کما لا یخفی.</w:t>
      </w:r>
    </w:p>
    <w:p>
      <w:pPr>
        <w:pStyle w:val="BookText"/>
      </w:pPr>
      <w:r>
        <w:rPr>
          <w:rFonts w:ascii="Amiri" w:hAnsi="Amiri" w:eastAsia="Amiri" w:cs="Amiri"/>
          <w:lang w:bidi="ar-SA"/>
          <w:color w:val="111111"/>
          <w:sz w:val="28"/>
          <w:szCs w:val="28"/>
          <w:rtl/>
        </w:rPr>
        <w:t xml:space="preserve">ثمّ إنّه قدّس سرّه أورد علی ما ذکره-من قضاء التتبّع </w:t>
      </w:r>
      <w:r>
        <w:rPr>
          <w:rStyle w:val="FootnoteReference"/>
        </w:rPr>
        <w:footnoteReference w:id="2330"/>
      </w:r>
      <w:r>
        <w:rPr>
          <w:rFonts w:ascii="IRNazanin" w:hAnsi="IRNazanin" w:eastAsia="IRNazanin" w:cs="IRNazanin"/>
          <w:lang w:bidi="fa-IR"/>
          <w:color w:val="111111"/>
          <w:sz w:val="28"/>
          <w:szCs w:val="28"/>
          <w:rtl/>
        </w:rPr>
        <w:t xml:space="preserve">بغلبة الاستمرار فی ما ظاهره الإطلاق-:بأنّ النبوّة أیضا من تلک الأحکام.</w:t>
      </w:r>
    </w:p>
    <w:p>
      <w:pPr>
        <w:pStyle w:val="BookText"/>
      </w:pPr>
      <w:r>
        <w:rPr>
          <w:rFonts w:ascii="IRNazanin" w:hAnsi="IRNazanin" w:eastAsia="IRNazanin" w:cs="IRNazanin"/>
          <w:lang w:bidi="fa-IR"/>
          <w:color w:val="111111"/>
          <w:sz w:val="28"/>
          <w:szCs w:val="28"/>
          <w:rtl/>
        </w:rPr>
        <w:t xml:space="preserve">ثمّ أجاب:بأنّ غالب النبوّات محدودة،و الذی ثبت علینا استمراره نبوّة نبیّنا صلی اللّه علیه و آله </w:t>
      </w:r>
      <w:r>
        <w:rPr>
          <w:rStyle w:val="FootnoteReference"/>
        </w:rPr>
        <w:footnoteReference w:id="23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یخفی ما فی هذا الجواب:</w:t>
      </w:r>
    </w:p>
    <w:p>
      <w:pPr>
        <w:pStyle w:val="BookText"/>
      </w:pPr>
      <w:r>
        <w:rPr>
          <w:rFonts w:ascii="IRNazanin" w:hAnsi="IRNazanin" w:eastAsia="IRNazanin" w:cs="IRNazanin"/>
          <w:lang w:bidi="fa-IR"/>
          <w:color w:val="111111"/>
          <w:sz w:val="28"/>
          <w:szCs w:val="28"/>
          <w:rtl/>
        </w:rPr>
        <w:t xml:space="preserve">أمّا أوّلا:فلأنّ نسخ أکثر النبوّات لا یستلزم تحدیدها،فللخصم أن یدّعی ظهور أدلّتها-فی أنفسها أو بمعونة الاستقراء-فی الاستمرار، فانکشف نسخ ما نسخ و بقی ما لم یثبت نسخه.</w:t>
      </w:r>
    </w:p>
    <w:p>
      <w:pPr>
        <w:pStyle w:val="BookText"/>
      </w:pPr>
      <w:r>
        <w:rPr>
          <w:rFonts w:ascii="IRNazanin" w:hAnsi="IRNazanin" w:eastAsia="IRNazanin" w:cs="IRNazanin"/>
          <w:lang w:bidi="fa-IR"/>
          <w:color w:val="111111"/>
          <w:sz w:val="28"/>
          <w:szCs w:val="28"/>
          <w:rtl/>
        </w:rPr>
        <w:t xml:space="preserve">و أمّا ثانیا:فلأنّ غلبة التحدید فی النبوّات غیر مجدیة؛للقطع بکون إحداها </w:t>
      </w:r>
      <w:r>
        <w:rPr>
          <w:rStyle w:val="FootnoteReference"/>
        </w:rPr>
        <w:footnoteReference w:id="2332"/>
      </w:r>
      <w:r>
        <w:rPr>
          <w:rFonts w:ascii="IRNazanin" w:hAnsi="IRNazanin" w:eastAsia="IRNazanin" w:cs="IRNazanin"/>
          <w:lang w:bidi="fa-IR"/>
          <w:color w:val="111111"/>
          <w:sz w:val="28"/>
          <w:szCs w:val="28"/>
          <w:rtl/>
        </w:rPr>
        <w:t xml:space="preserve">مستمرّة،فلیس ما وقع الکلام فی استمراره أمرا ثالثا یتردّد بین إلحاقه بالغالب و إلحاقه بالنادر،بل یشکّ فی أنّه الفرد النادر أو النادر غیره،فیکون هذا ملحقا بالغالب.</w:t>
      </w:r>
    </w:p>
    <w:p>
      <w:pPr>
        <w:pStyle w:val="BookText"/>
      </w:pPr>
      <w:r>
        <w:rPr>
          <w:rFonts w:ascii="IRNazanin" w:hAnsi="IRNazanin" w:eastAsia="IRNazanin" w:cs="IRNazanin"/>
          <w:lang w:bidi="fa-IR"/>
          <w:color w:val="111111"/>
          <w:sz w:val="28"/>
          <w:szCs w:val="28"/>
          <w:rtl/>
        </w:rPr>
        <w:t xml:space="preserve">و الحاصل:أنّ هنا أفرادا غالبة و فردا نادرا،و لیس هنا مشکوک قابل اللحوق بأحدهما،بل الأمر یدور بین کون هذا الفرد هو الأخیر</w:t>
      </w:r>
    </w:p>
    <w:p>
      <w:pPr>
        <w:pStyle w:val="BookText"/>
      </w:pPr>
      <w:r>
        <w:rPr>
          <w:rFonts w:ascii="IRNazanin" w:hAnsi="IRNazanin" w:eastAsia="IRNazanin" w:cs="IRNazanin"/>
          <w:lang w:bidi="fa-IR"/>
          <w:color w:val="111111"/>
          <w:sz w:val="28"/>
          <w:szCs w:val="28"/>
          <w:rtl/>
        </w:rPr>
        <w:t xml:space="preserve">[شماره صفحه واقعی : 265]
</w:t>
      </w:r>
    </w:p>
    <w:p>
      <w:pPr>
        <w:sectPr>
          <w:footerReference w:type="default" r:id="rId777"/>
          <w:footnotePr>
            <w:numStart w:val="1"/>
            <w:numRestart w:val="eachPage"/>
          </w:footnotePr>
          <w:pgSz w:orient="portrait" w:w="11905.511811023622" w:h="16837.79527559055"/>
          <w:pgMar w:top="1440" w:right="1440" w:bottom="1440" w:left="1440" w:header="720" w:footer="720" w:gutter="0"/>
          <w:cols w:num="1" w:space="720"/>
        </w:sectPr>
      </w:pPr>
    </w:p>
    <w:bookmarkStart w:id="481" w:name="pg14411_143159"/>
    <w:bookmarkEnd w:id="481"/>
    <w:p>
      <w:pPr>
        <w:pStyle w:val="BookText"/>
      </w:pPr>
      <w:r>
        <w:rPr>
          <w:rFonts w:ascii="IRNazanin" w:hAnsi="IRNazanin" w:eastAsia="IRNazanin" w:cs="IRNazanin"/>
          <w:lang w:bidi="fa-IR"/>
          <w:color w:val="111111"/>
          <w:sz w:val="28"/>
          <w:szCs w:val="28"/>
          <w:rtl/>
        </w:rPr>
        <w:t xml:space="preserve">النادر،أو ما قبله الغالب،بل قد یثبت بأصالة عدم ما عداه </w:t>
      </w:r>
      <w:r>
        <w:rPr>
          <w:rStyle w:val="FootnoteReference"/>
        </w:rPr>
        <w:footnoteReference w:id="2333"/>
      </w:r>
      <w:r>
        <w:rPr>
          <w:rFonts w:ascii="IRNazanin" w:hAnsi="IRNazanin" w:eastAsia="IRNazanin" w:cs="IRNazanin"/>
          <w:lang w:bidi="fa-IR"/>
          <w:color w:val="111111"/>
          <w:sz w:val="28"/>
          <w:szCs w:val="28"/>
          <w:rtl/>
        </w:rPr>
        <w:t xml:space="preserve">کون هذا هو الأخیر المغایر للباقی.</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ثمّ أورد قدّس سرّه علی نفسه:بجواز استصحاب أحکام الشریعة السابقة المطلقة.</w:t>
      </w:r>
    </w:p>
    <w:p>
      <w:pPr>
        <w:pStyle w:val="BookText"/>
      </w:pPr>
      <w:r>
        <w:rPr>
          <w:rFonts w:ascii="IRNazanin" w:hAnsi="IRNazanin" w:eastAsia="IRNazanin" w:cs="IRNazanin"/>
          <w:lang w:bidi="fa-IR"/>
          <w:color w:val="111111"/>
          <w:sz w:val="28"/>
          <w:szCs w:val="28"/>
          <w:rtl/>
        </w:rPr>
        <w:t xml:space="preserve">و أجاب:بأنّ إطلاق الأحکام مع اقترانها ببشارة مجیء نبیّنا صلی اللّه علیه و آله لا ینفعهم </w:t>
      </w:r>
      <w:r>
        <w:rPr>
          <w:rStyle w:val="FootnoteReference"/>
        </w:rPr>
        <w:footnoteReference w:id="23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ربما یورد علیه:أنّ الکتابیّ لا یسلّم البشارة المذکورة حتّی یضرّه فی التمسّک بالاستصحاب أو لا ینفعه.</w:t>
      </w:r>
    </w:p>
    <w:p>
      <w:pPr>
        <w:pStyle w:val="BookText"/>
      </w:pPr>
      <w:r>
        <w:rPr>
          <w:rFonts w:ascii="IRNazanin" w:hAnsi="IRNazanin" w:eastAsia="IRNazanin" w:cs="IRNazanin"/>
          <w:lang w:bidi="fa-IR"/>
          <w:color w:val="111111"/>
          <w:sz w:val="28"/>
          <w:szCs w:val="28"/>
          <w:rtl/>
        </w:rPr>
        <w:t xml:space="preserve">و یمکن توجیه کلامه:بأنّ المراد أنّه إذا </w:t>
      </w:r>
      <w:r>
        <w:rPr>
          <w:rStyle w:val="FootnoteReference"/>
        </w:rPr>
        <w:footnoteReference w:id="2335"/>
      </w:r>
      <w:r>
        <w:rPr>
          <w:rFonts w:ascii="IRNazanin" w:hAnsi="IRNazanin" w:eastAsia="IRNazanin" w:cs="IRNazanin"/>
          <w:lang w:bidi="fa-IR"/>
          <w:color w:val="111111"/>
          <w:sz w:val="28"/>
          <w:szCs w:val="28"/>
          <w:rtl/>
        </w:rPr>
        <w:t xml:space="preserve">لم ینفع الإطلاق مع اقترانها بالبشارة،فإذا فرض قضیّة نبوّته مهملة غیر دالّة إلاّ علی مطلق النبوّة،فلا ینفع الإطلاق بعد العلم بتبعیّة تلک الأحکام لمدّة النبوّة؛فإنّها تصیر أیضا حینئذ مهملة.</w:t>
      </w:r>
    </w:p>
    <w:p>
      <w:pPr>
        <w:pStyle w:val="Heading6"/>
      </w:pPr>
      <w:bookmarkStart w:id="1981" w:name="_Toc1016"/>
      <w:r>
        <w:t>[الجواب عن استصحاب الکتابی بوجوه أخر:]</w:t>
      </w:r>
      <w:bookmarkEnd w:id="1981"/>
    </w:p>
    <w:p>
      <w:pPr>
        <w:pStyle w:val="BookText"/>
      </w:pPr>
      <w:r>
        <w:rPr>
          <w:rFonts w:ascii="IRNazanin" w:hAnsi="IRNazanin" w:eastAsia="IRNazanin" w:cs="IRNazanin"/>
          <w:lang w:bidi="fa-IR"/>
          <w:color w:val="111111"/>
          <w:sz w:val="28"/>
          <w:szCs w:val="28"/>
          <w:rtl/>
        </w:rPr>
        <w:t xml:space="preserve">ثمّ إنّه یمکن الجواب عن الاستصحاب المذکور بوجوه:</w:t>
      </w:r>
    </w:p>
    <w:p>
      <w:pPr>
        <w:pStyle w:val="Heading6"/>
      </w:pPr>
      <w:bookmarkStart w:id="1982" w:name="_Toc1017"/>
      <w:r>
        <w:t>الوجه الأوّل:أنّ المقصود من التمسّک به:</w:t>
      </w:r>
      <w:bookmarkEnd w:id="1982"/>
    </w:p>
    <w:p>
      <w:pPr>
        <w:pStyle w:val="BookText"/>
      </w:pPr>
      <w:r>
        <w:rPr>
          <w:rFonts w:ascii="IRNazanin" w:hAnsi="IRNazanin" w:eastAsia="IRNazanin" w:cs="IRNazanin"/>
          <w:lang w:bidi="fa-IR"/>
          <w:color w:val="111111"/>
          <w:sz w:val="28"/>
          <w:szCs w:val="28"/>
          <w:rtl/>
        </w:rPr>
        <w:t xml:space="preserve">إن کان الاقتناع به فی العمل عند الشکّ،فهو-مع مخالفته للمحکیّ عنه من قوله:«فعلیکم کذا و کذا»؛فإنّه ظاهر فی أنّ غرضه الإسکات و الإلزام-فاسد جدّا؛لأنّ العمل به علی تقدیر تسلیم جوازه غیر جائز إلاّ بعد الفحص و البحث،و حینئذ یحصل العلم بأحد الطرفین</w:t>
      </w:r>
    </w:p>
    <w:p>
      <w:pPr>
        <w:pStyle w:val="BookText"/>
      </w:pPr>
      <w:r>
        <w:rPr>
          <w:rFonts w:ascii="IRNazanin" w:hAnsi="IRNazanin" w:eastAsia="IRNazanin" w:cs="IRNazanin"/>
          <w:lang w:bidi="fa-IR"/>
          <w:color w:val="111111"/>
          <w:sz w:val="28"/>
          <w:szCs w:val="28"/>
          <w:rtl/>
        </w:rPr>
        <w:t xml:space="preserve">[شماره صفحه واقعی : 266]
</w:t>
      </w:r>
    </w:p>
    <w:p>
      <w:pPr>
        <w:sectPr>
          <w:footerReference w:type="default" r:id="rId778"/>
          <w:footnotePr>
            <w:numStart w:val="1"/>
            <w:numRestart w:val="eachPage"/>
          </w:footnotePr>
          <w:pgSz w:orient="portrait" w:w="11905.511811023622" w:h="16837.79527559055"/>
          <w:pgMar w:top="1440" w:right="1440" w:bottom="1440" w:left="1440" w:header="720" w:footer="720" w:gutter="0"/>
          <w:cols w:num="1" w:space="720"/>
        </w:sectPr>
      </w:pPr>
    </w:p>
    <w:bookmarkStart w:id="482" w:name="pg14411_143160"/>
    <w:bookmarkEnd w:id="482"/>
    <w:p>
      <w:pPr>
        <w:pStyle w:val="BookText"/>
      </w:pPr>
      <w:r>
        <w:rPr>
          <w:rFonts w:ascii="IRNazanin" w:hAnsi="IRNazanin" w:eastAsia="IRNazanin" w:cs="IRNazanin"/>
          <w:lang w:bidi="fa-IR"/>
          <w:color w:val="111111"/>
          <w:sz w:val="28"/>
          <w:szCs w:val="28"/>
          <w:rtl/>
        </w:rPr>
        <w:t xml:space="preserve">بناء علی ما ثبت:من انفتاح باب العلم فی مثل هذه المسألة،کما یدلّ علیه النصّ الدالّ علی تعذیب الکفّار </w:t>
      </w:r>
      <w:r>
        <w:rPr>
          <w:rStyle w:val="FootnoteReference"/>
        </w:rPr>
        <w:footnoteReference w:id="2336"/>
      </w:r>
      <w:r>
        <w:rPr>
          <w:rFonts w:ascii="IRNazanin" w:hAnsi="IRNazanin" w:eastAsia="IRNazanin" w:cs="IRNazanin"/>
          <w:lang w:bidi="fa-IR"/>
          <w:color w:val="111111"/>
          <w:sz w:val="28"/>
          <w:szCs w:val="28"/>
          <w:rtl/>
        </w:rPr>
        <w:t xml:space="preserve">،و الإجماع المدّعی </w:t>
      </w:r>
      <w:r>
        <w:rPr>
          <w:rStyle w:val="FootnoteReference"/>
        </w:rPr>
        <w:footnoteReference w:id="2337"/>
      </w:r>
      <w:r>
        <w:rPr>
          <w:rFonts w:ascii="IRNazanin" w:hAnsi="IRNazanin" w:eastAsia="IRNazanin" w:cs="IRNazanin"/>
          <w:lang w:bidi="fa-IR"/>
          <w:color w:val="111111"/>
          <w:sz w:val="28"/>
          <w:szCs w:val="28"/>
          <w:rtl/>
        </w:rPr>
        <w:t xml:space="preserve">علی عدم معذوریّة الجاهل </w:t>
      </w:r>
      <w:r>
        <w:rPr>
          <w:rStyle w:val="FootnoteReference"/>
        </w:rPr>
        <w:footnoteReference w:id="2338"/>
      </w:r>
      <w:r>
        <w:rPr>
          <w:rFonts w:ascii="IRNazanin" w:hAnsi="IRNazanin" w:eastAsia="IRNazanin" w:cs="IRNazanin"/>
          <w:lang w:bidi="fa-IR"/>
          <w:color w:val="111111"/>
          <w:sz w:val="28"/>
          <w:szCs w:val="28"/>
          <w:rtl/>
        </w:rPr>
        <w:t xml:space="preserve">،خصوصا فی هذه المسألة،خصوصا من مثل هذا الشخص الناشئ فی بلاد الإسلام.و کیف کان،فلا یبقی مجال للتمسّک بالاستصحاب.</w:t>
      </w:r>
    </w:p>
    <w:p>
      <w:pPr>
        <w:pStyle w:val="BookText"/>
      </w:pPr>
      <w:r>
        <w:rPr>
          <w:rFonts w:ascii="IRNazanin" w:hAnsi="IRNazanin" w:eastAsia="IRNazanin" w:cs="IRNazanin"/>
          <w:lang w:bidi="fa-IR"/>
          <w:color w:val="111111"/>
          <w:sz w:val="28"/>
          <w:szCs w:val="28"/>
          <w:rtl/>
        </w:rPr>
        <w:t xml:space="preserve">و إن أراد به الإسکات و الإلزام،ففیه:أنّ الاستصحاب لیس دلیلا إسکاتیّا؛لأنّه فرع الشکّ،و هو أمر وجدانیّ-کالقطع-لا یلزم </w:t>
      </w:r>
      <w:r>
        <w:rPr>
          <w:rStyle w:val="FootnoteReference"/>
        </w:rPr>
        <w:footnoteReference w:id="2339"/>
      </w:r>
      <w:r>
        <w:rPr>
          <w:rFonts w:ascii="IRNazanin" w:hAnsi="IRNazanin" w:eastAsia="IRNazanin" w:cs="IRNazanin"/>
          <w:lang w:bidi="fa-IR"/>
          <w:color w:val="111111"/>
          <w:sz w:val="28"/>
          <w:szCs w:val="28"/>
          <w:rtl/>
        </w:rPr>
        <w:t xml:space="preserve">به أحد.</w:t>
      </w:r>
    </w:p>
    <w:p>
      <w:pPr>
        <w:pStyle w:val="BookText"/>
      </w:pPr>
      <w:r>
        <w:rPr>
          <w:rFonts w:ascii="IRNazanin" w:hAnsi="IRNazanin" w:eastAsia="IRNazanin" w:cs="IRNazanin"/>
          <w:lang w:bidi="fa-IR"/>
          <w:color w:val="111111"/>
          <w:sz w:val="28"/>
          <w:szCs w:val="28"/>
          <w:rtl/>
        </w:rPr>
        <w:t xml:space="preserve">و إن أراد بیان أنّ مدّعی ارتفاع الشریعة السابقة و نسخها محتاج إلی الاستدلال،فهو غلط؛لأنّ مدّعی البقاء فی مثل المسألة-أیضا- یحتاج إلی الاستدلال علیه.</w:t>
      </w:r>
    </w:p>
    <w:p>
      <w:pPr>
        <w:pStyle w:val="Heading6"/>
      </w:pPr>
      <w:bookmarkStart w:id="1983" w:name="_Toc1018"/>
      <w:r>
        <w:t>الوجه الثانی:أنّ اعتبار الاستصحاب إن کان من باب الأخبار</w:t>
      </w:r>
      <w:bookmarkEnd w:id="1983"/>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،فلا ینفع الکتابیّ التمسّک به؛لأنّ ثبوته فی شرعنا مانع عن استصحاب النبوّة،و ثبوته فی شرعهم غیر معلوم.نعم،لو ثبت ذلک من شریعتهم أمکن التمسّک به؛لصیرورته حکما إلهیّا </w:t>
      </w:r>
      <w:r>
        <w:rPr>
          <w:rStyle w:val="FootnoteReference"/>
        </w:rPr>
        <w:footnoteReference w:id="2340"/>
      </w:r>
      <w:r>
        <w:rPr>
          <w:rFonts w:ascii="IRNazanin" w:hAnsi="IRNazanin" w:eastAsia="IRNazanin" w:cs="IRNazanin"/>
          <w:lang w:bidi="fa-IR"/>
          <w:color w:val="111111"/>
          <w:sz w:val="28"/>
          <w:szCs w:val="28"/>
          <w:rtl/>
        </w:rPr>
        <w:t xml:space="preserve">غیر منسوخ یجب تعبّد</w:t>
      </w:r>
    </w:p>
    <w:p>
      <w:pPr>
        <w:pStyle w:val="BookText"/>
      </w:pPr>
      <w:r>
        <w:rPr>
          <w:rFonts w:ascii="IRNazanin" w:hAnsi="IRNazanin" w:eastAsia="IRNazanin" w:cs="IRNazanin"/>
          <w:lang w:bidi="fa-IR"/>
          <w:color w:val="111111"/>
          <w:sz w:val="28"/>
          <w:szCs w:val="28"/>
          <w:rtl/>
        </w:rPr>
        <w:t xml:space="preserve">[شماره صفحه واقعی : 267]
</w:t>
      </w:r>
    </w:p>
    <w:p>
      <w:pPr>
        <w:sectPr>
          <w:footerReference w:type="default" r:id="rId7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الفریقین به.</w:t>
      </w:r>
    </w:p>
    <w:p>
      <w:pPr>
        <w:pStyle w:val="BookText"/>
      </w:pPr>
      <w:r>
        <w:rPr>
          <w:rFonts w:ascii="IRNazanin" w:hAnsi="IRNazanin" w:eastAsia="IRNazanin" w:cs="IRNazanin"/>
          <w:lang w:bidi="fa-IR"/>
          <w:color w:val="111111"/>
          <w:sz w:val="28"/>
          <w:szCs w:val="28"/>
          <w:rtl/>
        </w:rPr>
        <w:t xml:space="preserve">و إن کان من باب الظنّ،فقد عرفت-فی صدر المبحث-أنّ حصول الظنّ ببقاء الحکم الشرعیّ الکلّیّ ممنوع جدّا،و علی تقدیره فالعمل بهذا الظنّ فی مسألة النبوّة ممنوع.و إرجاع الظنّ بها إلی الظنّ بالأحکام الکلّیّة الثابتة فی تلک الشریعة أیضا لا یجدی؛لمنع الدلیل علی العمل بالظنّ،عدا دلیل الانسداد الغیر الجاری فی المقام مع التمکّن من التوقّف و الاحتیاط فی العمل.و نفی الحرج لا دلیل علیه فی الشریعة السابقة،خصوصا بالنسبة إلی قلیل من الناس ممّن لم یحصل له العلم بعد الفحص و البحث.</w:t>
      </w:r>
    </w:p>
    <w:p>
      <w:pPr>
        <w:pStyle w:val="BookText"/>
      </w:pPr>
      <w:r>
        <w:rPr>
          <w:rFonts w:ascii="IRNazanin" w:hAnsi="IRNazanin" w:eastAsia="IRNazanin" w:cs="IRNazanin"/>
          <w:lang w:bidi="fa-IR"/>
          <w:color w:val="111111"/>
          <w:sz w:val="28"/>
          <w:szCs w:val="28"/>
          <w:rtl/>
        </w:rPr>
        <w:t xml:space="preserve">و دعوی:قیام الدلیل الخاصّ علی اعتبار هذا الظنّ؛بالتقریب الذی ذکره بعض المعاصرین </w:t>
      </w:r>
      <w:r>
        <w:rPr>
          <w:rStyle w:val="FootnoteReference"/>
        </w:rPr>
        <w:footnoteReference w:id="2341"/>
      </w:r>
      <w:r>
        <w:rPr>
          <w:rFonts w:ascii="IRNazanin" w:hAnsi="IRNazanin" w:eastAsia="IRNazanin" w:cs="IRNazanin"/>
          <w:lang w:bidi="fa-IR"/>
          <w:color w:val="111111"/>
          <w:sz w:val="28"/>
          <w:szCs w:val="28"/>
          <w:rtl/>
        </w:rPr>
        <w:t xml:space="preserve">:من أنّ شرائع الأنبیاء السلف و إن کانت لم تثبت علی سبیل الاستمرار،لکنّها فی الظاهر لم تکن محدودة بزمن معیّن،بل بمجیء النبیّ اللاحق،و لا ریب أنّها تستصحب ما لم تثبت نبوّة اللاحق،و لو لا ذلک لاختلّ علی الامم السابقة نظام شرائعهم؛من حیث تجویزهم فی کلّ زمان ظهور نبیّ و لو فی الأماکن البعیدة،فلا یستقرّ لهم البناء علی أحکامهم.</w:t>
      </w:r>
    </w:p>
    <w:p>
      <w:pPr>
        <w:pStyle w:val="BookText"/>
      </w:pPr>
      <w:r>
        <w:rPr>
          <w:rFonts w:ascii="IRNazanin" w:hAnsi="IRNazanin" w:eastAsia="IRNazanin" w:cs="IRNazanin"/>
          <w:lang w:bidi="fa-IR"/>
          <w:color w:val="111111"/>
          <w:sz w:val="28"/>
          <w:szCs w:val="28"/>
          <w:rtl/>
        </w:rPr>
        <w:t xml:space="preserve">مدفوعة:بأنّ استقرار الشرائع لم یکن بالاستصحاب قطعا؛و إلاّ لزم کونهم شاکّین فی حقّیّة شریعتهم و نبوّة نبیّهم </w:t>
      </w:r>
      <w:r>
        <w:rPr>
          <w:rStyle w:val="FootnoteReference"/>
        </w:rPr>
        <w:footnoteReference w:id="2342"/>
      </w:r>
      <w:r>
        <w:rPr>
          <w:rFonts w:ascii="IRNazanin" w:hAnsi="IRNazanin" w:eastAsia="IRNazanin" w:cs="IRNazanin"/>
          <w:lang w:bidi="fa-IR"/>
          <w:color w:val="111111"/>
          <w:sz w:val="28"/>
          <w:szCs w:val="28"/>
          <w:rtl/>
        </w:rPr>
        <w:t xml:space="preserve">فی أکثر الأوقات لما تقدّم </w:t>
      </w:r>
      <w:r>
        <w:rPr>
          <w:rStyle w:val="FootnoteReference"/>
        </w:rPr>
        <w:footnoteReference w:id="2343"/>
      </w:r>
      <w:r>
        <w:rPr>
          <w:rFonts w:ascii="IRNazanin" w:hAnsi="IRNazanin" w:eastAsia="IRNazanin" w:cs="IRNazanin"/>
          <w:lang w:bidi="fa-IR"/>
          <w:color w:val="111111"/>
          <w:sz w:val="28"/>
          <w:szCs w:val="28"/>
          <w:rtl/>
        </w:rPr>
        <w:t xml:space="preserve">:من أنّ الاستصحاب بناء علی کونه من باب الظنّ لا یفید</w:t>
      </w:r>
    </w:p>
    <w:p>
      <w:pPr>
        <w:pStyle w:val="BookText"/>
      </w:pPr>
      <w:r>
        <w:rPr>
          <w:rFonts w:ascii="IRNazanin" w:hAnsi="IRNazanin" w:eastAsia="IRNazanin" w:cs="IRNazanin"/>
          <w:lang w:bidi="fa-IR"/>
          <w:color w:val="111111"/>
          <w:sz w:val="28"/>
          <w:szCs w:val="28"/>
          <w:rtl/>
        </w:rPr>
        <w:t xml:space="preserve">[شماره صفحه واقعی : 268]
</w:t>
      </w:r>
    </w:p>
    <w:p>
      <w:pPr>
        <w:sectPr>
          <w:footerReference w:type="default" r:id="rId780"/>
          <w:footnotePr>
            <w:numStart w:val="1"/>
            <w:numRestart w:val="eachPage"/>
          </w:footnotePr>
          <w:pgSz w:orient="portrait" w:w="11905.511811023622" w:h="16837.79527559055"/>
          <w:pgMar w:top="1440" w:right="1440" w:bottom="1440" w:left="1440" w:header="720" w:footer="720" w:gutter="0"/>
          <w:cols w:num="1" w:space="720"/>
        </w:sectPr>
      </w:pPr>
    </w:p>
    <w:bookmarkStart w:id="483" w:name="pg14411_143162"/>
    <w:bookmarkEnd w:id="483"/>
    <w:p>
      <w:pPr>
        <w:pStyle w:val="BookText"/>
      </w:pPr>
      <w:r>
        <w:rPr>
          <w:rFonts w:ascii="Amiri" w:hAnsi="Amiri" w:eastAsia="Amiri" w:cs="Amiri"/>
          <w:lang w:bidi="ar-SA"/>
          <w:color w:val="111111"/>
          <w:sz w:val="28"/>
          <w:szCs w:val="28"/>
          <w:rtl/>
        </w:rPr>
        <w:t xml:space="preserve">الظنّ الشخصیّ فی کلّ مورد.</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 غایة ما یستفاد من بناء العقلاء فی الاستصحاب،هی ترتیب الأعمال المترتّبة علی الدین السابق دون حقّیّة دینهم و نبوّة نبیّهم التی هی من اصول الدین.</w:t>
      </w:r>
    </w:p>
    <w:p>
      <w:pPr>
        <w:pStyle w:val="BookText"/>
      </w:pPr>
      <w:r>
        <w:rPr>
          <w:rFonts w:ascii="IRNazanin" w:hAnsi="IRNazanin" w:eastAsia="IRNazanin" w:cs="IRNazanin"/>
          <w:lang w:bidi="fa-IR"/>
          <w:color w:val="111111"/>
          <w:sz w:val="28"/>
          <w:szCs w:val="28"/>
          <w:rtl/>
        </w:rPr>
        <w:t xml:space="preserve">فالأظهر أن یقال:إنّهم کانوا قاطعین بحقیّة دینهم؛من جهة بعض العلامات التی أخبرهم بها النبیّ السابق.نعم،بعد ظهور النبیّ الجدید، الظاهر کونهم شاکّین فی دینهم مع بقائهم علی الأعمال،و حینئذ فللمسلمین أیضا أن یطالبوا الیهود بإثبات حقیّة دینهم؛لعدم الدلیل لهم علیها و إن کان لهم الدلیل علی البقاء علی الأعمال فی الظاهر </w:t>
      </w:r>
      <w:r>
        <w:rPr>
          <w:rStyle w:val="FootnoteReference"/>
        </w:rPr>
        <w:footnoteReference w:id="2344"/>
      </w:r>
      <w:r>
        <w:rPr>
          <w:rFonts w:ascii="Times New Roman" w:hAnsi="Times New Roman" w:eastAsia="Times New Roman" w:cs="Times New Roman"/>
          <w:lang w:val="en-US" w:bidi="en-US"/>
          <w:color w:val="111111"/>
          <w:sz w:val="28"/>
          <w:szCs w:val="28"/>
          <w:rtl/>
        </w:rPr>
        <w:t xml:space="preserve">.</w:t>
      </w:r>
    </w:p>
    <w:p>
      <w:pPr>
        <w:pStyle w:val="Heading6"/>
      </w:pPr>
      <w:bookmarkStart w:id="1984" w:name="_Toc1019"/>
      <w:r>
        <w:t>الوجه الثالث:أنّا لم نجزم بالمستصحب-و هی نبوّة موسی أو عیسی</w:t>
      </w:r>
      <w:bookmarkEnd w:id="1984"/>
    </w:p>
    <w:p>
      <w:pPr>
        <w:pStyle w:val="BookText"/>
      </w:pPr>
      <w:r>
        <w:rPr>
          <w:rFonts w:ascii="IRNazanin" w:hAnsi="IRNazanin" w:eastAsia="IRNazanin" w:cs="IRNazanin"/>
          <w:lang w:bidi="fa-IR"/>
          <w:color w:val="111111"/>
          <w:sz w:val="28"/>
          <w:szCs w:val="28"/>
          <w:rtl/>
        </w:rPr>
        <w:t xml:space="preserve">علیهما السّلام-إلاّ بإخبار نبیّنا صلی اللّه علیه و آله و سلّم و نصّ القرآن؛و حینئذ فلا معنی للاستصحاب.</w:t>
      </w:r>
    </w:p>
    <w:p>
      <w:pPr>
        <w:pStyle w:val="BookText"/>
      </w:pPr>
      <w:r>
        <w:rPr>
          <w:rFonts w:ascii="IRNazanin" w:hAnsi="IRNazanin" w:eastAsia="IRNazanin" w:cs="IRNazanin"/>
          <w:lang w:bidi="fa-IR"/>
          <w:color w:val="111111"/>
          <w:sz w:val="28"/>
          <w:szCs w:val="28"/>
          <w:rtl/>
        </w:rPr>
        <w:t xml:space="preserve">و دعوی:أنّ النبوّة موقوفة علی صدق نبیّنا صلی اللّه علیه و آله لا علی نبوّته، مدفوعة:بأنّا لم نعرف صدقه إلاّ من حیث نبوّته.</w:t>
      </w:r>
    </w:p>
    <w:p>
      <w:pPr>
        <w:pStyle w:val="BookText"/>
      </w:pPr>
      <w:r>
        <w:rPr>
          <w:rFonts w:ascii="IRNazanin" w:hAnsi="IRNazanin" w:eastAsia="IRNazanin" w:cs="IRNazanin"/>
          <w:lang w:bidi="fa-IR"/>
          <w:color w:val="111111"/>
          <w:sz w:val="28"/>
          <w:szCs w:val="28"/>
          <w:rtl/>
        </w:rPr>
        <w:t xml:space="preserve">و الحاصل:أنّ الاستصحاب موقوف علی تسالم المسلمین و غیرهم علیه،لا من جهة النصّ علیه فی هذه الشریعة.و هو مشکل،خصوصا بالنسبة إلی عیسی علیه السّلام؛لإمکان معارضة قول النصاری بتکذیب الیهود </w:t>
      </w:r>
      <w:r>
        <w:rPr>
          <w:rStyle w:val="FootnoteReference"/>
        </w:rPr>
        <w:footnoteReference w:id="2345"/>
      </w:r>
      <w:r>
        <w:rPr>
          <w:rFonts w:ascii="Times New Roman" w:hAnsi="Times New Roman" w:eastAsia="Times New Roman" w:cs="Times New Roman"/>
          <w:lang w:val="en-US" w:bidi="en-US"/>
          <w:color w:val="111111"/>
          <w:sz w:val="28"/>
          <w:szCs w:val="28"/>
          <w:rtl/>
        </w:rPr>
        <w:t xml:space="preserve">.</w:t>
      </w:r>
    </w:p>
    <w:p>
      <w:pPr>
        <w:pStyle w:val="Heading6"/>
      </w:pPr>
      <w:bookmarkStart w:id="1985" w:name="_Toc1020"/>
      <w:r>
        <w:t>الوجه الرابع:أنّ مرجع النبوّة المستصحبة لیس إلاّ إلی وجوب التدیّن</w:t>
      </w:r>
      <w:bookmarkEnd w:id="1985"/>
    </w:p>
    <w:p>
      <w:pPr>
        <w:pStyle w:val="BookText"/>
      </w:pPr>
      <w:r>
        <w:rPr>
          <w:rFonts w:ascii="IRNazanin" w:hAnsi="IRNazanin" w:eastAsia="IRNazanin" w:cs="IRNazanin"/>
          <w:lang w:bidi="fa-IR"/>
          <w:color w:val="111111"/>
          <w:sz w:val="28"/>
          <w:szCs w:val="28"/>
          <w:rtl/>
        </w:rPr>
        <w:t xml:space="preserve">بجمیع ما جاء به ذلک النبیّ،و إلاّ فأصل صفة النبوّة أمر قائم بنفس النبیّ صلی اللّه علیه و آله،لا معنی لاستصحابه؛لعدم قابلیّته للارتفاع أبدا.و لا ریب</w:t>
      </w:r>
    </w:p>
    <w:p>
      <w:pPr>
        <w:pStyle w:val="BookText"/>
      </w:pPr>
      <w:r>
        <w:rPr>
          <w:rFonts w:ascii="IRNazanin" w:hAnsi="IRNazanin" w:eastAsia="IRNazanin" w:cs="IRNazanin"/>
          <w:lang w:bidi="fa-IR"/>
          <w:color w:val="111111"/>
          <w:sz w:val="28"/>
          <w:szCs w:val="28"/>
          <w:rtl/>
        </w:rPr>
        <w:t xml:space="preserve">[شماره صفحه واقعی : 269]
</w:t>
      </w:r>
    </w:p>
    <w:p>
      <w:pPr>
        <w:sectPr>
          <w:footerReference w:type="default" r:id="rId781"/>
          <w:footnotePr>
            <w:numStart w:val="1"/>
            <w:numRestart w:val="eachPage"/>
          </w:footnotePr>
          <w:pgSz w:orient="portrait" w:w="11905.511811023622" w:h="16837.79527559055"/>
          <w:pgMar w:top="1440" w:right="1440" w:bottom="1440" w:left="1440" w:header="720" w:footer="720" w:gutter="0"/>
          <w:cols w:num="1" w:space="720"/>
        </w:sectPr>
      </w:pPr>
    </w:p>
    <w:bookmarkStart w:id="484" w:name="pg14411_143163"/>
    <w:bookmarkEnd w:id="484"/>
    <w:p>
      <w:pPr>
        <w:pStyle w:val="BookText"/>
      </w:pPr>
      <w:r>
        <w:rPr>
          <w:rFonts w:ascii="Amiri" w:hAnsi="Amiri" w:eastAsia="Amiri" w:cs="Amiri"/>
          <w:lang w:bidi="ar-SA"/>
          <w:color w:val="111111"/>
          <w:sz w:val="28"/>
          <w:szCs w:val="28"/>
          <w:rtl/>
        </w:rPr>
        <w:t xml:space="preserve">أنّا قاطعون بأنّ من أعظم ما جاء به النبیّ السابق الإخبار بنبوّة نبیّنا صلی اللّه علیه و آله، کما یشهد به الاهتمام بشأنه فی قوله تعالی-حکایة عن عیسی-: إِنِّی رَسُولُ اللّٰهِ إِلَیْکُمْ مُصَدِّقاً لِمٰا بَیْنَ یَدَیَّ مِنَ التَّوْرٰاةِ وَ مُبَشِّراً بِرَسُولٍ یَأْتِی مِنْ بَعْدِی اسْمُهُ أَحْمَدُ </w:t>
      </w:r>
      <w:r>
        <w:rPr>
          <w:rStyle w:val="FootnoteReference"/>
        </w:rPr>
        <w:footnoteReference w:id="2346"/>
      </w:r>
      <w:r>
        <w:rPr>
          <w:rFonts w:ascii="IRNazanin" w:hAnsi="IRNazanin" w:eastAsia="IRNazanin" w:cs="IRNazanin"/>
          <w:lang w:bidi="fa-IR"/>
          <w:color w:val="111111"/>
          <w:sz w:val="28"/>
          <w:szCs w:val="28"/>
          <w:rtl/>
        </w:rPr>
        <w:t xml:space="preserve">فکلّ ما جاء به من الأحکام فهو فی الحقیقة مغیّا بمجیء نبیّنا صلی اللّه علیه و آله،فدین عیسی علیه السّلام المختصّ به عبارة عن مجموع أحکام مغیّاة إجمالا بمجیء نبیّنا صلی اللّه علیه و آله،و من المعلوم أنّ الاعتراف ببقاء ذلک الدین لا یضرّ المسلمین فضلا عن استصحابه.</w:t>
      </w:r>
    </w:p>
    <w:p>
      <w:pPr>
        <w:pStyle w:val="BookText"/>
      </w:pPr>
      <w:r>
        <w:rPr>
          <w:rFonts w:ascii="IRNazanin" w:hAnsi="IRNazanin" w:eastAsia="IRNazanin" w:cs="IRNazanin"/>
          <w:lang w:bidi="fa-IR"/>
          <w:color w:val="111111"/>
          <w:sz w:val="28"/>
          <w:szCs w:val="28"/>
          <w:rtl/>
        </w:rPr>
        <w:t xml:space="preserve">فإن أراد الکتابیّ دینا غیر هذه الجملة المغیّاة إجمالا بالبشارة المذکورة،فنحن منکرون له،و إن أراد هذه الجملة،فهو عین مذهب المسلمین،و فی الحقیقة بعد کون أحکامهم مغیّاة لا رفع حقیقة،و معنی النسخ انتهاء مدّة الحکم المعلومة </w:t>
      </w:r>
      <w:r>
        <w:rPr>
          <w:rStyle w:val="FootnoteReference"/>
        </w:rPr>
        <w:footnoteReference w:id="2347"/>
      </w:r>
      <w:r>
        <w:rPr>
          <w:rFonts w:ascii="IRNazanin" w:hAnsi="IRNazanin" w:eastAsia="IRNazanin" w:cs="IRNazanin"/>
          <w:lang w:bidi="fa-IR"/>
          <w:color w:val="111111"/>
          <w:sz w:val="28"/>
          <w:szCs w:val="28"/>
          <w:rtl/>
        </w:rPr>
        <w:t xml:space="preserve">إجمالا.</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فإن قلت:لعلّ مناظرة الکتابیّ،فی تحقّق الغایة المعلومة،و أنّ الشخص الجائی هو المبشّر به أم لا،فیصحّ تمسّکه بالاستصحاب.</w:t>
      </w:r>
    </w:p>
    <w:p>
      <w:pPr>
        <w:pStyle w:val="BookText"/>
      </w:pPr>
      <w:r>
        <w:rPr>
          <w:rFonts w:ascii="IRNazanin" w:hAnsi="IRNazanin" w:eastAsia="IRNazanin" w:cs="IRNazanin"/>
          <w:lang w:bidi="fa-IR"/>
          <w:color w:val="111111"/>
          <w:sz w:val="28"/>
          <w:szCs w:val="28"/>
          <w:rtl/>
        </w:rPr>
        <w:t xml:space="preserve">قلت:المسلّم هو الدین المغیّا بمجیء هذا الشخص الخاصّ، لا بمجیء موصوف کلّیّ حتّی یتکلّم فی انطباقه علی هذا الشخص، و یتمسّک بالاستصحاب.</w:t>
      </w:r>
    </w:p>
    <w:p>
      <w:pPr>
        <w:pStyle w:val="Heading6"/>
      </w:pPr>
      <w:bookmarkStart w:id="1986" w:name="_Toc1021"/>
      <w:r>
        <w:t>[الوجه ] الخامس:أن یقال:</w:t>
      </w:r>
      <w:bookmarkEnd w:id="1986"/>
    </w:p>
    <w:p>
      <w:pPr>
        <w:pStyle w:val="BookText"/>
      </w:pPr>
      <w:r>
        <w:rPr>
          <w:rFonts w:ascii="IRNazanin" w:hAnsi="IRNazanin" w:eastAsia="IRNazanin" w:cs="IRNazanin"/>
          <w:lang w:bidi="fa-IR"/>
          <w:color w:val="111111"/>
          <w:sz w:val="28"/>
          <w:szCs w:val="28"/>
          <w:rtl/>
        </w:rPr>
        <w:t xml:space="preserve">إنّا-معاشر المسلمین-لمّا علمنا أنّ النبیّ السالف أخبر بمجیء نبیّنا صلی اللّه علیه و آله و سلّم،و أنّ ذلک کان واجبا علیه،و وجوب الإقرار به و الإیمان به متوقّف علی تبلیغ ذلک إلی رعیّته،صحّ لنا أن</w:t>
      </w:r>
    </w:p>
    <w:p>
      <w:pPr>
        <w:pStyle w:val="BookText"/>
      </w:pPr>
      <w:r>
        <w:rPr>
          <w:rFonts w:ascii="IRNazanin" w:hAnsi="IRNazanin" w:eastAsia="IRNazanin" w:cs="IRNazanin"/>
          <w:lang w:bidi="fa-IR"/>
          <w:color w:val="111111"/>
          <w:sz w:val="28"/>
          <w:szCs w:val="28"/>
          <w:rtl/>
        </w:rPr>
        <w:t xml:space="preserve">[شماره صفحه واقعی : 270]
</w:t>
      </w:r>
    </w:p>
    <w:p>
      <w:pPr>
        <w:sectPr>
          <w:footerReference w:type="default" r:id="rId782"/>
          <w:footnotePr>
            <w:numStart w:val="1"/>
            <w:numRestart w:val="eachPage"/>
          </w:footnotePr>
          <w:pgSz w:orient="portrait" w:w="11905.511811023622" w:h="16837.79527559055"/>
          <w:pgMar w:top="1440" w:right="1440" w:bottom="1440" w:left="1440" w:header="720" w:footer="720" w:gutter="0"/>
          <w:cols w:num="1" w:space="720"/>
        </w:sectPr>
      </w:pPr>
    </w:p>
    <w:bookmarkStart w:id="485" w:name="pg14411_143164"/>
    <w:bookmarkEnd w:id="485"/>
    <w:p>
      <w:pPr>
        <w:pStyle w:val="BookText"/>
      </w:pPr>
      <w:r>
        <w:rPr>
          <w:rFonts w:ascii="IRNazanin" w:hAnsi="IRNazanin" w:eastAsia="IRNazanin" w:cs="IRNazanin"/>
          <w:lang w:bidi="fa-IR"/>
          <w:color w:val="111111"/>
          <w:sz w:val="28"/>
          <w:szCs w:val="28"/>
          <w:rtl/>
        </w:rPr>
        <w:t xml:space="preserve">نقول:إنّ المسلّم نبوّة النبیّ السالف علی تقدیر تبلیغ نبوّة نبیّنا صلی اللّه علیه و آله، و النبوّة التقدیریّة لا یضرّنا و لا ینفعهم فی بقاء شریعتهم.</w:t>
      </w:r>
    </w:p>
    <w:p>
      <w:pPr>
        <w:pStyle w:val="Heading6"/>
      </w:pPr>
      <w:bookmarkStart w:id="1987" w:name="_Toc1022"/>
      <w:r>
        <w:t>[کلام الإمام الرضا علیه السّلام فی جواب الجاثلیق:]</w:t>
      </w:r>
      <w:bookmarkEnd w:id="1987"/>
    </w:p>
    <w:p>
      <w:pPr>
        <w:pStyle w:val="BookText"/>
      </w:pPr>
      <w:r>
        <w:rPr>
          <w:rFonts w:ascii="IRNazanin" w:hAnsi="IRNazanin" w:eastAsia="IRNazanin" w:cs="IRNazanin"/>
          <w:lang w:bidi="fa-IR"/>
          <w:color w:val="111111"/>
          <w:sz w:val="28"/>
          <w:szCs w:val="28"/>
          <w:rtl/>
        </w:rPr>
        <w:t xml:space="preserve">و لعلّ هذا الجواب یرجع إلی ما ذکره الإمام أبو الحسن الرضا صلوات اللّه علیه فی جواب الجاثلیق،حیث قال له علیه السّلام:</w:t>
      </w:r>
    </w:p>
    <w:p>
      <w:pPr>
        <w:pStyle w:val="BookText"/>
      </w:pPr>
      <w:r>
        <w:rPr>
          <w:rFonts w:ascii="IRNazanin" w:hAnsi="IRNazanin" w:eastAsia="IRNazanin" w:cs="IRNazanin"/>
          <w:lang w:bidi="fa-IR"/>
          <w:color w:val="111111"/>
          <w:sz w:val="28"/>
          <w:szCs w:val="28"/>
          <w:rtl/>
        </w:rPr>
        <w:t xml:space="preserve">ما تقول فی نبوّة عیسی و کتابه،هل تنکر منهما شیئا؟</w:t>
      </w:r>
    </w:p>
    <w:p>
      <w:pPr>
        <w:pStyle w:val="BookText"/>
      </w:pPr>
      <w:r>
        <w:rPr>
          <w:rFonts w:ascii="Amiri" w:hAnsi="Amiri" w:eastAsia="Amiri" w:cs="Amiri"/>
          <w:lang w:bidi="ar-SA"/>
          <w:color w:val="111111"/>
          <w:sz w:val="28"/>
          <w:szCs w:val="28"/>
          <w:rtl/>
        </w:rPr>
        <w:t xml:space="preserve">قال علیه السّلام:أنا مقرّ بنبوّة عیسی و کتابه و ما بشّر به أمّته و أقرّت به الحواریّون،و کافر بنبوّة کلّ عیسی لم یقرّ بنبوّة محمّد صلی اللّه علیه و آله و کتابه و لم یبشّر به أمّته.</w:t>
      </w:r>
    </w:p>
    <w:p>
      <w:pPr>
        <w:pStyle w:val="BookText"/>
      </w:pPr>
      <w:r>
        <w:rPr>
          <w:rFonts w:ascii="IRNazanin" w:hAnsi="IRNazanin" w:eastAsia="IRNazanin" w:cs="IRNazanin"/>
          <w:lang w:bidi="fa-IR"/>
          <w:color w:val="111111"/>
          <w:sz w:val="28"/>
          <w:szCs w:val="28"/>
          <w:rtl/>
        </w:rPr>
        <w:t xml:space="preserve">ثمّ قال الجاثلیق:أ لیس تقطع الأحکام بشاهدی عدل؟</w:t>
      </w:r>
    </w:p>
    <w:p>
      <w:pPr>
        <w:pStyle w:val="BookText"/>
      </w:pPr>
      <w:r>
        <w:rPr>
          <w:rFonts w:ascii="IRNazanin" w:hAnsi="IRNazanin" w:eastAsia="IRNazanin" w:cs="IRNazanin"/>
          <w:lang w:bidi="fa-IR"/>
          <w:color w:val="111111"/>
          <w:sz w:val="28"/>
          <w:szCs w:val="28"/>
          <w:rtl/>
        </w:rPr>
        <w:t xml:space="preserve">قال علیه السّلام:بلی.</w:t>
      </w:r>
    </w:p>
    <w:p>
      <w:pPr>
        <w:pStyle w:val="BookText"/>
      </w:pPr>
      <w:r>
        <w:rPr>
          <w:rFonts w:ascii="IRNazanin" w:hAnsi="IRNazanin" w:eastAsia="IRNazanin" w:cs="IRNazanin"/>
          <w:lang w:bidi="fa-IR"/>
          <w:color w:val="111111"/>
          <w:sz w:val="28"/>
          <w:szCs w:val="28"/>
          <w:rtl/>
        </w:rPr>
        <w:t xml:space="preserve">قال الجاثلیق:فأقم شاهدین عدلین </w:t>
      </w:r>
      <w:r>
        <w:rPr>
          <w:rStyle w:val="FootnoteReference"/>
        </w:rPr>
        <w:footnoteReference w:id="2348"/>
      </w:r>
      <w:r>
        <w:rPr>
          <w:rFonts w:ascii="IRNazanin" w:hAnsi="IRNazanin" w:eastAsia="IRNazanin" w:cs="IRNazanin"/>
          <w:lang w:bidi="fa-IR"/>
          <w:color w:val="111111"/>
          <w:sz w:val="28"/>
          <w:szCs w:val="28"/>
          <w:rtl/>
        </w:rPr>
        <w:t xml:space="preserve">-من غیر أهل ملّتک-علی نبوّة محمّد صلی اللّه علیه و آله ممّن لا تنکره النصرانیّة،و سلنا مثل ذلک من غیر أهل ملّتنا.</w:t>
      </w:r>
    </w:p>
    <w:p>
      <w:pPr>
        <w:pStyle w:val="BookText"/>
      </w:pPr>
      <w:r>
        <w:rPr>
          <w:rFonts w:ascii="IRNazanin" w:hAnsi="IRNazanin" w:eastAsia="IRNazanin" w:cs="IRNazanin"/>
          <w:lang w:bidi="fa-IR"/>
          <w:color w:val="111111"/>
          <w:sz w:val="28"/>
          <w:szCs w:val="28"/>
          <w:rtl/>
        </w:rPr>
        <w:t xml:space="preserve">قال علیه السّلام:الآن جئت بالنّصفة یا نصرانیّ.</w:t>
      </w:r>
    </w:p>
    <w:p>
      <w:pPr>
        <w:pStyle w:val="BookText"/>
      </w:pPr>
      <w:r>
        <w:rPr>
          <w:rFonts w:ascii="Amiri" w:hAnsi="Amiri" w:eastAsia="Amiri" w:cs="Amiri"/>
          <w:lang w:bidi="ar-SA"/>
          <w:color w:val="111111"/>
          <w:sz w:val="28"/>
          <w:szCs w:val="28"/>
          <w:rtl/>
        </w:rPr>
        <w:t xml:space="preserve">ثمّ ذکر علیه السّلام إخبار خواصّ عیسی علیه السّلام بنبوّة محمّد صلی اللّه علیه و آله </w:t>
      </w:r>
      <w:r>
        <w:rPr>
          <w:rStyle w:val="FootnoteReference"/>
        </w:rPr>
        <w:footnoteReference w:id="23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یخفی:أنّ الإقرار بنبوّة عیسی علیه السّلام و کتابه و ما بشّر به أمّته لا یکون حاسما لکلام الجاثلیق،إلاّ إذا ارید المجموع من حیث المجموع، بجعل الإقرار بعیسی علیه السّلام مرتبطا بتقدیر بشارته المذکورة.</w:t>
      </w:r>
    </w:p>
    <w:p>
      <w:pPr>
        <w:pStyle w:val="BookText"/>
      </w:pPr>
      <w:r>
        <w:rPr>
          <w:rFonts w:ascii="IRNazanin" w:hAnsi="IRNazanin" w:eastAsia="IRNazanin" w:cs="IRNazanin"/>
          <w:lang w:bidi="fa-IR"/>
          <w:color w:val="111111"/>
          <w:sz w:val="28"/>
          <w:szCs w:val="28"/>
          <w:rtl/>
        </w:rPr>
        <w:t xml:space="preserve">و یشهد له قوله علیه السّلام بعد ذلک:«کافر بنبوّة کلّ عیسی لم یقرّ و لم</w:t>
      </w:r>
    </w:p>
    <w:p>
      <w:pPr>
        <w:pStyle w:val="BookText"/>
      </w:pPr>
      <w:r>
        <w:rPr>
          <w:rFonts w:ascii="IRNazanin" w:hAnsi="IRNazanin" w:eastAsia="IRNazanin" w:cs="IRNazanin"/>
          <w:lang w:bidi="fa-IR"/>
          <w:color w:val="111111"/>
          <w:sz w:val="28"/>
          <w:szCs w:val="28"/>
          <w:rtl/>
        </w:rPr>
        <w:t xml:space="preserve">[شماره صفحه واقعی : 271]
</w:t>
      </w:r>
    </w:p>
    <w:p>
      <w:pPr>
        <w:sectPr>
          <w:footerReference w:type="default" r:id="rId7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یبشّر»؛فإنّ هذا فی قوّة مفهوم التعلیق المستفاد من الکلام السابق.</w:t>
      </w:r>
    </w:p>
    <w:p>
      <w:pPr>
        <w:pStyle w:val="BookText"/>
      </w:pPr>
      <w:r>
        <w:rPr>
          <w:rFonts w:ascii="IRNazanin" w:hAnsi="IRNazanin" w:eastAsia="IRNazanin" w:cs="IRNazanin"/>
          <w:lang w:bidi="fa-IR"/>
          <w:color w:val="111111"/>
          <w:sz w:val="28"/>
          <w:szCs w:val="28"/>
          <w:rtl/>
        </w:rPr>
        <w:t xml:space="preserve">و أمّا التزامه علیه السّلام بالبیّنة علی دعواه،فلا یدلّ علی تسلیمه الاستصحاب و صیرورته مثبتا بمجرّد ذلک،بل لأنّه علیه السّلام من أوّل المناظرة ملتزم بالإثبات،و إلاّ فالظاهر المؤیّد بقول الجاثلیق:«و سلنا مثل ذلک»کون کلّ منهما مدّعیا،</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إلاّ أن یرید الجاثلیق ببیّنته نفس الإمام و غیره من المسلمین المعترفین بنبوّة عیسی علیه السّلام؛إذ لا بیّنة له ممّن لا ینکره المسلمون سوی ذلک،فافهم.</w:t>
      </w:r>
    </w:p>
    <w:p>
      <w:pPr>
        <w:pStyle w:val="BookText"/>
      </w:pPr>
      <w:r>
        <w:rPr>
          <w:rFonts w:ascii="IRNazanin" w:hAnsi="IRNazanin" w:eastAsia="IRNazanin" w:cs="IRNazanin"/>
          <w:lang w:bidi="fa-IR"/>
          <w:color w:val="111111"/>
          <w:sz w:val="28"/>
          <w:szCs w:val="28"/>
          <w:rtl/>
        </w:rPr>
        <w:t xml:space="preserve">[شماره صفحه واقعی : 272]
</w:t>
      </w:r>
    </w:p>
    <w:p>
      <w:pPr>
        <w:sectPr>
          <w:footerReference w:type="default" r:id="rId784"/>
          <w:footnotePr>
            <w:numStart w:val="1"/>
            <w:numRestart w:val="eachPage"/>
          </w:footnotePr>
          <w:pgSz w:orient="portrait" w:w="11905.511811023622" w:h="16837.79527559055"/>
          <w:pgMar w:top="1440" w:right="1440" w:bottom="1440" w:left="1440" w:header="720" w:footer="720" w:gutter="0"/>
          <w:cols w:num="1" w:space="720"/>
        </w:sectPr>
      </w:pPr>
    </w:p>
    <w:bookmarkStart w:id="486" w:name="pg14411_143166"/>
    <w:bookmarkEnd w:id="486"/>
    <w:p>
      <w:pPr>
        <w:pStyle w:val="Heading6"/>
      </w:pPr>
      <w:bookmarkStart w:id="1988" w:name="_Toc1023"/>
      <w:r>
        <w:t>الأمر العاشر [:دوران الأمر بین التمسّک بالعامّ أو استصحاب حکم المخصّص]</w:t>
      </w:r>
      <w:bookmarkEnd w:id="1988"/>
    </w:p>
    <w:p>
      <w:pPr>
        <w:pStyle w:val="Heading6"/>
      </w:pPr>
      <w:bookmarkStart w:id="1989" w:name="_Toc1024"/>
      <w:r>
        <w:t>[الدلیل الدالّ علی الحکم فی الزمان السابق علی ثلاثة أنحاء:]</w:t>
      </w:r>
      <w:bookmarkEnd w:id="1989"/>
    </w:p>
    <w:p>
      <w:pPr>
        <w:pStyle w:val="BookText"/>
      </w:pPr>
      <w:r>
        <w:rPr>
          <w:rFonts w:ascii="IRNazanin" w:hAnsi="IRNazanin" w:eastAsia="IRNazanin" w:cs="IRNazanin"/>
          <w:lang w:bidi="fa-IR"/>
          <w:color w:val="111111"/>
          <w:sz w:val="28"/>
          <w:szCs w:val="28"/>
          <w:rtl/>
        </w:rPr>
        <w:t xml:space="preserve">أنّ الدلیل الدالّ علی الحکم فی الزمان السابق:</w:t>
      </w:r>
    </w:p>
    <w:p>
      <w:pPr>
        <w:pStyle w:val="BookText"/>
      </w:pPr>
      <w:r>
        <w:rPr>
          <w:rFonts w:ascii="IRNazanin" w:hAnsi="IRNazanin" w:eastAsia="IRNazanin" w:cs="IRNazanin"/>
          <w:lang w:bidi="fa-IR"/>
          <w:color w:val="111111"/>
          <w:sz w:val="28"/>
          <w:szCs w:val="28"/>
          <w:rtl/>
        </w:rPr>
        <w:t xml:space="preserve">إمّا أن یکون مبیّنا لثبوت الحکم فی الزمان الثانی،کقوله:«أکرم العلماء فی کلّ زمان»،و کقوله:«لا تهن فقیرا»؛حیث إنّ النهی للدوام.</w:t>
      </w:r>
    </w:p>
    <w:p>
      <w:pPr>
        <w:pStyle w:val="BookText"/>
      </w:pPr>
      <w:r>
        <w:rPr>
          <w:rFonts w:ascii="IRNazanin" w:hAnsi="IRNazanin" w:eastAsia="IRNazanin" w:cs="IRNazanin"/>
          <w:lang w:bidi="fa-IR"/>
          <w:color w:val="111111"/>
          <w:sz w:val="28"/>
          <w:szCs w:val="28"/>
          <w:rtl/>
        </w:rPr>
        <w:t xml:space="preserve">و إمّا أن یکون مبیّنا لعدمه،نحو:«أکرم العلماء إلی أن یفسقوا»؛ بناء علی مفهوم الغایة.</w:t>
      </w:r>
    </w:p>
    <w:p>
      <w:pPr>
        <w:pStyle w:val="BookText"/>
      </w:pPr>
      <w:r>
        <w:rPr>
          <w:rFonts w:ascii="IRNazanin" w:hAnsi="IRNazanin" w:eastAsia="IRNazanin" w:cs="IRNazanin"/>
          <w:lang w:bidi="fa-IR"/>
          <w:color w:val="111111"/>
          <w:sz w:val="28"/>
          <w:szCs w:val="28"/>
          <w:rtl/>
        </w:rPr>
        <w:t xml:space="preserve">و إمّا أن یکون غیر مبیّن لحال الحکم فی الزمان الثانی نفیا و إثباتا:</w:t>
      </w:r>
    </w:p>
    <w:p>
      <w:pPr>
        <w:pStyle w:val="BookText"/>
      </w:pPr>
      <w:r>
        <w:rPr>
          <w:rFonts w:ascii="IRNazanin" w:hAnsi="IRNazanin" w:eastAsia="IRNazanin" w:cs="IRNazanin"/>
          <w:lang w:bidi="fa-IR"/>
          <w:color w:val="111111"/>
          <w:sz w:val="28"/>
          <w:szCs w:val="28"/>
          <w:rtl/>
        </w:rPr>
        <w:t xml:space="preserve">إمّا لإجماله،کما إذا أمر بالجلوس إلی اللیل،مع تردّد اللیل بین استتار القرص و ذهاب الحمرة.</w:t>
      </w:r>
    </w:p>
    <w:p>
      <w:pPr>
        <w:pStyle w:val="BookText"/>
      </w:pPr>
      <w:r>
        <w:rPr>
          <w:rFonts w:ascii="IRNazanin" w:hAnsi="IRNazanin" w:eastAsia="IRNazanin" w:cs="IRNazanin"/>
          <w:lang w:bidi="fa-IR"/>
          <w:color w:val="111111"/>
          <w:sz w:val="28"/>
          <w:szCs w:val="28"/>
          <w:rtl/>
        </w:rPr>
        <w:t xml:space="preserve">و إمّا لقصور دلالته،کما إذا قال:«إذا تغیّر الماء نجس»؛فإنّه لا یدلّ علی أزید من حدوث النجاسة فی الماء،و مثل الإجماع المنعقد علی حکم فی زمان؛فإنّ الإجماع لا یشمل ما </w:t>
      </w:r>
      <w:r>
        <w:rPr>
          <w:rStyle w:val="FootnoteReference"/>
        </w:rPr>
        <w:footnoteReference w:id="2350"/>
      </w:r>
      <w:r>
        <w:rPr>
          <w:rFonts w:ascii="IRNazanin" w:hAnsi="IRNazanin" w:eastAsia="IRNazanin" w:cs="IRNazanin"/>
          <w:lang w:bidi="fa-IR"/>
          <w:color w:val="111111"/>
          <w:sz w:val="28"/>
          <w:szCs w:val="28"/>
          <w:rtl/>
        </w:rPr>
        <w:t xml:space="preserve">بعد ذلک الزمان.</w:t>
      </w:r>
    </w:p>
    <w:p>
      <w:pPr>
        <w:pStyle w:val="BookText"/>
      </w:pPr>
      <w:r>
        <w:rPr>
          <w:rFonts w:ascii="IRNazanin" w:hAnsi="IRNazanin" w:eastAsia="IRNazanin" w:cs="IRNazanin"/>
          <w:lang w:bidi="fa-IR"/>
          <w:color w:val="111111"/>
          <w:sz w:val="28"/>
          <w:szCs w:val="28"/>
          <w:rtl/>
        </w:rPr>
        <w:t xml:space="preserve">و لا إشکال فی جریان الاستصحاب فی هذا القسم الثالث.</w:t>
      </w:r>
    </w:p>
    <w:p>
      <w:pPr>
        <w:pStyle w:val="BookText"/>
      </w:pPr>
      <w:r>
        <w:rPr>
          <w:rFonts w:ascii="IRNazanin" w:hAnsi="IRNazanin" w:eastAsia="IRNazanin" w:cs="IRNazanin"/>
          <w:lang w:bidi="fa-IR"/>
          <w:color w:val="111111"/>
          <w:sz w:val="28"/>
          <w:szCs w:val="28"/>
          <w:rtl/>
        </w:rPr>
        <w:t xml:space="preserve">و أمّا القسم الثانی،فلا إشکال فی عدم جریان الاستصحاب فیه؛</w:t>
      </w:r>
    </w:p>
    <w:p>
      <w:pPr>
        <w:pStyle w:val="BookText"/>
      </w:pPr>
      <w:r>
        <w:rPr>
          <w:rFonts w:ascii="IRNazanin" w:hAnsi="IRNazanin" w:eastAsia="IRNazanin" w:cs="IRNazanin"/>
          <w:lang w:bidi="fa-IR"/>
          <w:color w:val="111111"/>
          <w:sz w:val="28"/>
          <w:szCs w:val="28"/>
          <w:rtl/>
        </w:rPr>
        <w:t xml:space="preserve">[شماره صفحه واقعی : 273]
</w:t>
      </w:r>
    </w:p>
    <w:p>
      <w:pPr>
        <w:sectPr>
          <w:footerReference w:type="default" r:id="rId785"/>
          <w:footnotePr>
            <w:numStart w:val="1"/>
            <w:numRestart w:val="eachPage"/>
          </w:footnotePr>
          <w:pgSz w:orient="portrait" w:w="11905.511811023622" w:h="16837.79527559055"/>
          <w:pgMar w:top="1440" w:right="1440" w:bottom="1440" w:left="1440" w:header="720" w:footer="720" w:gutter="0"/>
          <w:cols w:num="1" w:space="720"/>
        </w:sectPr>
      </w:pPr>
    </w:p>
    <w:bookmarkStart w:id="487" w:name="pg14411_143167"/>
    <w:bookmarkEnd w:id="487"/>
    <w:p>
      <w:pPr>
        <w:pStyle w:val="BookText"/>
      </w:pPr>
      <w:r>
        <w:rPr>
          <w:rFonts w:ascii="IRNazanin" w:hAnsi="IRNazanin" w:eastAsia="IRNazanin" w:cs="IRNazanin"/>
          <w:lang w:bidi="fa-IR"/>
          <w:color w:val="111111"/>
          <w:sz w:val="28"/>
          <w:szCs w:val="28"/>
          <w:rtl/>
        </w:rPr>
        <w:t xml:space="preserve">لوجود الدلیل علی ارتفاع الحکم فی الزمان الثانی.</w:t>
      </w:r>
    </w:p>
    <w:p>
      <w:pPr>
        <w:pStyle w:val="BookText"/>
      </w:pPr>
      <w:r>
        <w:rPr>
          <w:rFonts w:ascii="IRNazanin" w:hAnsi="IRNazanin" w:eastAsia="IRNazanin" w:cs="IRNazanin"/>
          <w:lang w:bidi="fa-IR"/>
          <w:color w:val="111111"/>
          <w:sz w:val="28"/>
          <w:szCs w:val="28"/>
          <w:rtl/>
        </w:rPr>
        <w:t xml:space="preserve">و کذلک القسم الأوّل؛لأنّ عموم اللفظ للزمان اللاحق کاف و مغن عن الاستصحاب،بل مانع عنه؛إذ المعتبر فی الاستصحاب عدم الدلیل و لو علی طبق الحالة السابقة.</w:t>
      </w:r>
    </w:p>
    <w:p>
      <w:pPr>
        <w:pStyle w:val="Heading6"/>
      </w:pPr>
      <w:bookmarkStart w:id="1990" w:name="_Toc1025"/>
      <w:r>
        <w:t>[هل یجری استصحاب حکم المخصّص مع العموم الأزمانی أم لا؟:]</w:t>
      </w:r>
      <w:bookmarkEnd w:id="1990"/>
    </w:p>
    <w:p>
      <w:pPr>
        <w:pStyle w:val="Heading6"/>
      </w:pPr>
      <w:bookmarkStart w:id="1991" w:name="_Toc1026"/>
      <w:r>
        <w:t>اشارة</w:t>
      </w:r>
      <w:bookmarkEnd w:id="1991"/>
    </w:p>
    <w:p>
      <w:pPr>
        <w:pStyle w:val="BookText"/>
      </w:pPr>
      <w:r>
        <w:rPr>
          <w:rFonts w:ascii="IRNazanin" w:hAnsi="IRNazanin" w:eastAsia="IRNazanin" w:cs="IRNazanin"/>
          <w:lang w:bidi="fa-IR"/>
          <w:color w:val="111111"/>
          <w:sz w:val="28"/>
          <w:szCs w:val="28"/>
          <w:rtl/>
        </w:rPr>
        <w:t xml:space="preserve">ثمّ إذا فرض خروج بعض الأفراد فی بعض الأزمنة عن هذا العموم،فشکّ فیما بعد ذلک الزمان المخرج،بالنسبة إلی ذلک الفرد،هل هو ملحق به فی الحکم أو ملحق بما قبله؟</w:t>
      </w:r>
    </w:p>
    <w:p>
      <w:pPr>
        <w:pStyle w:val="Heading6"/>
      </w:pPr>
      <w:bookmarkStart w:id="1992" w:name="_Toc1027"/>
      <w:r>
        <w:t>[إذا کان العموم الأزمانی أفرادیّا:]</w:t>
      </w:r>
      <w:bookmarkEnd w:id="1992"/>
    </w:p>
    <w:p>
      <w:pPr>
        <w:pStyle w:val="BookText"/>
      </w:pPr>
      <w:r>
        <w:rPr>
          <w:rFonts w:ascii="IRNazanin" w:hAnsi="IRNazanin" w:eastAsia="IRNazanin" w:cs="IRNazanin"/>
          <w:lang w:bidi="fa-IR"/>
          <w:color w:val="111111"/>
          <w:sz w:val="28"/>
          <w:szCs w:val="28"/>
          <w:rtl/>
        </w:rPr>
        <w:t xml:space="preserve">الحقّ:هو التفصیل فی المقام،بأن یقال:</w:t>
      </w:r>
    </w:p>
    <w:p>
      <w:pPr>
        <w:pStyle w:val="BookText"/>
      </w:pPr>
      <w:r>
        <w:rPr>
          <w:rFonts w:ascii="IRNazanin" w:hAnsi="IRNazanin" w:eastAsia="IRNazanin" w:cs="IRNazanin"/>
          <w:lang w:bidi="fa-IR"/>
          <w:color w:val="111111"/>
          <w:sz w:val="28"/>
          <w:szCs w:val="28"/>
          <w:rtl/>
        </w:rPr>
        <w:t xml:space="preserve">إن اخذ فیه عموم الأزمان أفرادیّا،بأن اخذ کلّ زمان موضوعا مستقلا لحکم مستقلّ؛لینحلّ العموم إلی أحکام متعدّدة بتعدّد الأزمان </w:t>
      </w:r>
      <w:r>
        <w:rPr>
          <w:rStyle w:val="FootnoteReference"/>
        </w:rPr>
        <w:footnoteReference w:id="2351"/>
      </w:r>
      <w:r>
        <w:rPr>
          <w:rFonts w:ascii="IRNazanin" w:hAnsi="IRNazanin" w:eastAsia="IRNazanin" w:cs="IRNazanin"/>
          <w:lang w:bidi="fa-IR"/>
          <w:color w:val="111111"/>
          <w:sz w:val="28"/>
          <w:szCs w:val="28"/>
          <w:rtl/>
        </w:rPr>
        <w:t xml:space="preserve">، کقوله:«أکرم العلماء کلّ یوم»فقام الإجماع علی حرمة إکرام زید العالم یوم الجمعة.</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 مثله ما لو قال:«أکرم العلماء»،ثمّ قال:«لا تکرم زیدا یوم الجمعة»إذا فرض </w:t>
      </w:r>
      <w:r>
        <w:rPr>
          <w:rStyle w:val="FootnoteReference"/>
        </w:rPr>
        <w:footnoteReference w:id="2352"/>
      </w:r>
      <w:r>
        <w:rPr>
          <w:rFonts w:ascii="IRNazanin" w:hAnsi="IRNazanin" w:eastAsia="IRNazanin" w:cs="IRNazanin"/>
          <w:lang w:bidi="fa-IR"/>
          <w:color w:val="111111"/>
          <w:sz w:val="28"/>
          <w:szCs w:val="28"/>
          <w:rtl/>
        </w:rPr>
        <w:t xml:space="preserve">الاستثناء قرینة علی أخذ کلّ زمان فردا مستقلا، فحینئذ یعمل عند الشکّ بالعموم،و لا یجری الاستصحاب،بل لو لم یکن عموم وجب الرجوع إلی سائر الاصول؛لعدم قابلیّة المورد للاستصحاب.</w:t>
      </w:r>
    </w:p>
    <w:p>
      <w:pPr>
        <w:pStyle w:val="Heading6"/>
      </w:pPr>
      <w:bookmarkStart w:id="1993" w:name="_Toc1028"/>
      <w:r>
        <w:t>[إذا کان العموم الأزمانی استمراریّا:]</w:t>
      </w:r>
      <w:bookmarkEnd w:id="1993"/>
    </w:p>
    <w:p>
      <w:pPr>
        <w:pStyle w:val="BookText"/>
      </w:pPr>
      <w:r>
        <w:rPr>
          <w:rFonts w:ascii="IRNazanin" w:hAnsi="IRNazanin" w:eastAsia="IRNazanin" w:cs="IRNazanin"/>
          <w:lang w:bidi="fa-IR"/>
          <w:color w:val="111111"/>
          <w:sz w:val="28"/>
          <w:szCs w:val="28"/>
          <w:rtl/>
        </w:rPr>
        <w:t xml:space="preserve">و إن اخذ لبیان الاستمرار،کقوله:«أکرم العلماء دائما»،ثمّ خرج فرد فی زمان،و شکّ فی حکم ذلک الفرد بعد ذلک الزمان،فالظاهر جریان الاستصحاب؛إذ لا یلزم من ثبوت ذلک الحکم للفرد بعد ذلک الزمان تخصیص زائد علی التخصیص المعلوم؛لأنّ مورد التخصیص</w:t>
      </w:r>
    </w:p>
    <w:p>
      <w:pPr>
        <w:pStyle w:val="BookText"/>
      </w:pPr>
      <w:r>
        <w:rPr>
          <w:rFonts w:ascii="IRNazanin" w:hAnsi="IRNazanin" w:eastAsia="IRNazanin" w:cs="IRNazanin"/>
          <w:lang w:bidi="fa-IR"/>
          <w:color w:val="111111"/>
          <w:sz w:val="28"/>
          <w:szCs w:val="28"/>
          <w:rtl/>
        </w:rPr>
        <w:t xml:space="preserve">[شماره صفحه واقعی : 274]
</w:t>
      </w:r>
    </w:p>
    <w:p>
      <w:pPr>
        <w:sectPr>
          <w:footerReference w:type="default" r:id="rId786"/>
          <w:footnotePr>
            <w:numStart w:val="1"/>
            <w:numRestart w:val="eachPage"/>
          </w:footnotePr>
          <w:pgSz w:orient="portrait" w:w="11905.511811023622" w:h="16837.79527559055"/>
          <w:pgMar w:top="1440" w:right="1440" w:bottom="1440" w:left="1440" w:header="720" w:footer="720" w:gutter="0"/>
          <w:cols w:num="1" w:space="720"/>
        </w:sectPr>
      </w:pPr>
    </w:p>
    <w:bookmarkStart w:id="488" w:name="pg14411_143168"/>
    <w:bookmarkEnd w:id="488"/>
    <w:p>
      <w:pPr>
        <w:pStyle w:val="BookText"/>
      </w:pPr>
      <w:r>
        <w:rPr>
          <w:rFonts w:ascii="IRNazanin" w:hAnsi="IRNazanin" w:eastAsia="IRNazanin" w:cs="IRNazanin"/>
          <w:lang w:bidi="fa-IR"/>
          <w:color w:val="111111"/>
          <w:sz w:val="28"/>
          <w:szCs w:val="28"/>
          <w:rtl/>
        </w:rPr>
        <w:t xml:space="preserve">الأفراد دون الأزمنة،بخلاف القسم الأوّل،بل لو لم یکن هنا استصحاب لم یرجع إلی العموم،بل إلی الاصول الأخر.</w:t>
      </w:r>
    </w:p>
    <w:p>
      <w:pPr>
        <w:pStyle w:val="BookText"/>
      </w:pPr>
      <w:r>
        <w:rPr>
          <w:rFonts w:ascii="IRNazanin" w:hAnsi="IRNazanin" w:eastAsia="IRNazanin" w:cs="IRNazanin"/>
          <w:lang w:bidi="fa-IR"/>
          <w:color w:val="111111"/>
          <w:sz w:val="28"/>
          <w:szCs w:val="28"/>
          <w:rtl/>
        </w:rPr>
        <w:t xml:space="preserve">و لا فرق بین استفادة الاستمرار من اللفظ،کالمثال المتقدّم،أو من الإطلاق،کقوله:«تواضع للناس»-بناء علی استفادة الاستمرار منه- فإنّه إذا خرج منه التواضع فی بعض الأزمنة،علی وجه لا یفهم من التخصیص ملاحظة المتکلّم کلّ زمان فردا مستقلا لمتعلّق الحکم،استصحب حکمه بعد الخروج،و لیس هذا من باب تخصیص العامّ بالاستصحاب.</w:t>
      </w:r>
    </w:p>
    <w:p>
      <w:pPr>
        <w:pStyle w:val="Heading6"/>
      </w:pPr>
      <w:bookmarkStart w:id="1994" w:name="_Toc1029"/>
      <w:r>
        <w:t>[المخالفة لما ذکرنا فی موضعین:]</w:t>
      </w:r>
      <w:bookmarkEnd w:id="1994"/>
    </w:p>
    <w:p>
      <w:pPr>
        <w:pStyle w:val="Heading6"/>
      </w:pPr>
      <w:bookmarkStart w:id="1995" w:name="_Toc1030"/>
      <w:r>
        <w:t>اشارة</w:t>
      </w:r>
      <w:bookmarkEnd w:id="1995"/>
    </w:p>
    <w:p>
      <w:pPr>
        <w:pStyle w:val="BookText"/>
      </w:pPr>
      <w:r>
        <w:rPr>
          <w:rFonts w:ascii="IRNazanin" w:hAnsi="IRNazanin" w:eastAsia="IRNazanin" w:cs="IRNazanin"/>
          <w:lang w:bidi="fa-IR"/>
          <w:color w:val="111111"/>
          <w:sz w:val="28"/>
          <w:szCs w:val="28"/>
          <w:rtl/>
        </w:rPr>
        <w:t xml:space="preserve">و قد صدر خلاف ما ذکرنا-من أنّ مثل هذا من مورد </w:t>
      </w:r>
      <w:r>
        <w:rPr>
          <w:rStyle w:val="FootnoteReference"/>
        </w:rPr>
        <w:footnoteReference w:id="2353"/>
      </w:r>
      <w:r>
        <w:rPr>
          <w:rFonts w:ascii="IRNazanin" w:hAnsi="IRNazanin" w:eastAsia="IRNazanin" w:cs="IRNazanin"/>
          <w:lang w:bidi="fa-IR"/>
          <w:color w:val="111111"/>
          <w:sz w:val="28"/>
          <w:szCs w:val="28"/>
          <w:rtl/>
        </w:rPr>
        <w:t xml:space="preserve">الاستصحاب،و أنّ هذا لیس من تخصیص العامّ به-فی موضعین:</w:t>
      </w:r>
    </w:p>
    <w:p>
      <w:pPr>
        <w:pStyle w:val="Heading6"/>
      </w:pPr>
      <w:bookmarkStart w:id="1996" w:name="_Toc1031"/>
      <w:r>
        <w:t>[:1-ما ذکره المحقّق الثانی فی مسألة خیار الغبن و ما یرد علیه:]</w:t>
      </w:r>
      <w:bookmarkEnd w:id="1996"/>
    </w:p>
    <w:p>
      <w:pPr>
        <w:pStyle w:val="BookText"/>
      </w:pPr>
      <w:r>
        <w:rPr>
          <w:rFonts w:ascii="IRNazanin" w:hAnsi="IRNazanin" w:eastAsia="IRNazanin" w:cs="IRNazanin"/>
          <w:lang w:bidi="fa-IR"/>
          <w:color w:val="111111"/>
          <w:sz w:val="28"/>
          <w:szCs w:val="28"/>
          <w:rtl/>
        </w:rPr>
        <w:t xml:space="preserve">أحدهما:ما ذکره المحقّق الثانی رحمه اللّه فی مسألة خیار الغبن فی باب تلقّی الرکبان:من أنّه فوریّ؛لأنّ عموم الوفاء بالعقود من حیث الأفراد،یستتبع عموم الأزمان </w:t>
      </w:r>
      <w:r>
        <w:rPr>
          <w:rStyle w:val="FootnoteReference"/>
        </w:rPr>
        <w:footnoteReference w:id="23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حاصله:منع جریان الاستصحاب؛لأجل عموم وجوب الوفاء، خرج منه أوّل زمان الاطّلاع علی الغبن و بقی الباقی.</w:t>
      </w:r>
    </w:p>
    <w:p>
      <w:pPr>
        <w:pStyle w:val="BookText"/>
      </w:pPr>
      <w:r>
        <w:rPr>
          <w:rFonts w:ascii="IRNazanin" w:hAnsi="IRNazanin" w:eastAsia="IRNazanin" w:cs="IRNazanin"/>
          <w:lang w:bidi="fa-IR"/>
          <w:color w:val="111111"/>
          <w:sz w:val="28"/>
          <w:szCs w:val="28"/>
          <w:rtl/>
        </w:rPr>
        <w:t xml:space="preserve">و ظاهر الشهید الثانی فی المسالک إجراء الاستصحاب فی هذا الخیار.و هو الأقوی؛بناء علی أنّه لا یستفاد من إطلاق وجوب الوفاء إلاّ کون الحکم مستمرّا،لا أنّ الوفاء فی کلّ زمان موضوع مستقلّ محکوم بوجوب مستقلّ،حتّی یقتصر فی تخصیصه علی ما ثبت من جواز نقض العقد فی جزء من الزمان و بقی الباقی.</w:t>
      </w:r>
    </w:p>
    <w:p>
      <w:pPr>
        <w:pStyle w:val="BookText"/>
      </w:pPr>
      <w:r>
        <w:rPr>
          <w:rFonts w:ascii="IRNazanin" w:hAnsi="IRNazanin" w:eastAsia="IRNazanin" w:cs="IRNazanin"/>
          <w:lang w:bidi="fa-IR"/>
          <w:color w:val="111111"/>
          <w:sz w:val="28"/>
          <w:szCs w:val="28"/>
          <w:rtl/>
        </w:rPr>
        <w:t xml:space="preserve">[شماره صفحه واقعی : 275]
</w:t>
      </w:r>
    </w:p>
    <w:p>
      <w:pPr>
        <w:sectPr>
          <w:footerReference w:type="default" r:id="rId787"/>
          <w:footnotePr>
            <w:numStart w:val="1"/>
            <w:numRestart w:val="eachPage"/>
          </w:footnotePr>
          <w:pgSz w:orient="portrait" w:w="11905.511811023622" w:h="16837.79527559055"/>
          <w:pgMar w:top="1440" w:right="1440" w:bottom="1440" w:left="1440" w:header="720" w:footer="720" w:gutter="0"/>
          <w:cols w:num="1" w:space="720"/>
        </w:sectPr>
      </w:pPr>
    </w:p>
    <w:bookmarkStart w:id="489" w:name="pg14411_143169"/>
    <w:bookmarkEnd w:id="489"/>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نعم لو استظهر من وجوب الوفاء بالعقد عموم لا ینتقض بجواز نقضه فی زمان،بالإضافة إلی غیره من الأزمنة،صحّ ما ادّعاه المحقّق قدّس سرّه.</w:t>
      </w:r>
    </w:p>
    <w:p>
      <w:pPr>
        <w:pStyle w:val="BookText"/>
      </w:pPr>
      <w:r>
        <w:rPr>
          <w:rFonts w:ascii="IRNazanin" w:hAnsi="IRNazanin" w:eastAsia="IRNazanin" w:cs="IRNazanin"/>
          <w:lang w:bidi="fa-IR"/>
          <w:color w:val="111111"/>
          <w:sz w:val="28"/>
          <w:szCs w:val="28"/>
          <w:rtl/>
        </w:rPr>
        <w:t xml:space="preserve">لکنّه بعید؛و لهذا رجع إلی الاستصحاب فی المسألة جماعة من متأخّری المتأخّرین </w:t>
      </w:r>
      <w:r>
        <w:rPr>
          <w:rStyle w:val="FootnoteReference"/>
        </w:rPr>
        <w:footnoteReference w:id="2355"/>
      </w:r>
      <w:r>
        <w:rPr>
          <w:rFonts w:ascii="IRNazanin" w:hAnsi="IRNazanin" w:eastAsia="IRNazanin" w:cs="IRNazanin"/>
          <w:lang w:bidi="fa-IR"/>
          <w:color w:val="111111"/>
          <w:sz w:val="28"/>
          <w:szCs w:val="28"/>
          <w:rtl/>
        </w:rPr>
        <w:t xml:space="preserve">تبعا للمسالک </w:t>
      </w:r>
      <w:r>
        <w:rPr>
          <w:rStyle w:val="FootnoteReference"/>
        </w:rPr>
        <w:footnoteReference w:id="23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أنّ بعضهم </w:t>
      </w:r>
      <w:r>
        <w:rPr>
          <w:rStyle w:val="FootnoteReference"/>
        </w:rPr>
        <w:footnoteReference w:id="2357"/>
      </w:r>
      <w:r>
        <w:rPr>
          <w:rFonts w:ascii="IRNazanin" w:hAnsi="IRNazanin" w:eastAsia="IRNazanin" w:cs="IRNazanin"/>
          <w:lang w:bidi="fa-IR"/>
          <w:color w:val="111111"/>
          <w:sz w:val="28"/>
          <w:szCs w:val="28"/>
          <w:rtl/>
        </w:rPr>
        <w:t xml:space="preserve">قیّده بکون مدرک الخیار فی الزمان الأوّل هو الإجماع،لا أدلّة نفی الضرر؛لاندفاع الضرر بثبوت الخیار فی الزمن الأوّل.</w:t>
      </w:r>
    </w:p>
    <w:p>
      <w:pPr>
        <w:pStyle w:val="BookText"/>
      </w:pPr>
      <w:r>
        <w:rPr>
          <w:rFonts w:ascii="IRNazanin" w:hAnsi="IRNazanin" w:eastAsia="IRNazanin" w:cs="IRNazanin"/>
          <w:lang w:bidi="fa-IR"/>
          <w:color w:val="111111"/>
          <w:sz w:val="28"/>
          <w:szCs w:val="28"/>
          <w:rtl/>
        </w:rPr>
        <w:t xml:space="preserve">و لا أجد وجها لهذا التفصیل؛لأنّ نفی الضرر إنّما نفی لزوم العقد، و لم یحدّد زمان الجواز،فإن کان عموم أزمنة وجوب الوفاء یقتصر فی تخصیصه علی ما یندفع به الضرر،و یرجع فی الزائد </w:t>
      </w:r>
      <w:r>
        <w:rPr>
          <w:rStyle w:val="FootnoteReference"/>
        </w:rPr>
        <w:footnoteReference w:id="2358"/>
      </w:r>
      <w:r>
        <w:rPr>
          <w:rFonts w:ascii="IRNazanin" w:hAnsi="IRNazanin" w:eastAsia="IRNazanin" w:cs="IRNazanin"/>
          <w:lang w:bidi="fa-IR"/>
          <w:color w:val="111111"/>
          <w:sz w:val="28"/>
          <w:szCs w:val="28"/>
          <w:rtl/>
        </w:rPr>
        <w:t xml:space="preserve">إلی العموم، فالإجماع أیضا کذلک،یقتصر فیه علی معقده.</w:t>
      </w:r>
    </w:p>
    <w:p>
      <w:pPr>
        <w:pStyle w:val="Heading6"/>
      </w:pPr>
      <w:bookmarkStart w:id="1997" w:name="_Toc1032"/>
      <w:r>
        <w:t>[2-ما ذکره السیّد بحر العلوم قدّس سرّه:]</w:t>
      </w:r>
      <w:bookmarkEnd w:id="1997"/>
    </w:p>
    <w:p>
      <w:pPr>
        <w:pStyle w:val="BookText"/>
      </w:pPr>
      <w:r>
        <w:rPr>
          <w:rFonts w:ascii="IRNazanin" w:hAnsi="IRNazanin" w:eastAsia="IRNazanin" w:cs="IRNazanin"/>
          <w:lang w:bidi="fa-IR"/>
          <w:color w:val="111111"/>
          <w:sz w:val="28"/>
          <w:szCs w:val="28"/>
          <w:rtl/>
        </w:rPr>
        <w:t xml:space="preserve">و الثانی:ما ذکره بعض من قارب عصرنا من الفحول </w:t>
      </w:r>
      <w:r>
        <w:rPr>
          <w:rStyle w:val="FootnoteReference"/>
        </w:rPr>
        <w:footnoteReference w:id="2359"/>
      </w:r>
      <w:r>
        <w:rPr>
          <w:rFonts w:ascii="IRNazanin" w:hAnsi="IRNazanin" w:eastAsia="IRNazanin" w:cs="IRNazanin"/>
          <w:lang w:bidi="fa-IR"/>
          <w:color w:val="111111"/>
          <w:sz w:val="28"/>
          <w:szCs w:val="28"/>
          <w:rtl/>
        </w:rPr>
        <w:t xml:space="preserve">:من أنّ الاستصحاب المخالف للأصل دلیل شرعیّ مخصّص للعمومات،و لا ینافیه عموم أدلّة حجّیّته،من أخبار الباب الدالّة علی عدم جواز نقض الیقین بغیر الیقین؛إذ لیس العبرة فی العموم و الخصوص بدلیل الدلیل،و إلاّ لم</w:t>
      </w:r>
    </w:p>
    <w:p>
      <w:pPr>
        <w:pStyle w:val="BookText"/>
      </w:pPr>
      <w:r>
        <w:rPr>
          <w:rFonts w:ascii="IRNazanin" w:hAnsi="IRNazanin" w:eastAsia="IRNazanin" w:cs="IRNazanin"/>
          <w:lang w:bidi="fa-IR"/>
          <w:color w:val="111111"/>
          <w:sz w:val="28"/>
          <w:szCs w:val="28"/>
          <w:rtl/>
        </w:rPr>
        <w:t xml:space="preserve">[شماره صفحه واقعی : 276]
</w:t>
      </w:r>
    </w:p>
    <w:p>
      <w:pPr>
        <w:sectPr>
          <w:footerReference w:type="default" r:id="rId788"/>
          <w:footnotePr>
            <w:numStart w:val="1"/>
            <w:numRestart w:val="eachPage"/>
          </w:footnotePr>
          <w:pgSz w:orient="portrait" w:w="11905.511811023622" w:h="16837.79527559055"/>
          <w:pgMar w:top="1440" w:right="1440" w:bottom="1440" w:left="1440" w:header="720" w:footer="720" w:gutter="0"/>
          <w:cols w:num="1" w:space="720"/>
        </w:sectPr>
      </w:pPr>
    </w:p>
    <w:bookmarkStart w:id="490" w:name="pg14411_143170"/>
    <w:bookmarkEnd w:id="490"/>
    <w:p>
      <w:pPr>
        <w:pStyle w:val="BookText"/>
      </w:pPr>
      <w:r>
        <w:rPr>
          <w:rFonts w:ascii="IRNazanin" w:hAnsi="IRNazanin" w:eastAsia="IRNazanin" w:cs="IRNazanin"/>
          <w:lang w:bidi="fa-IR"/>
          <w:color w:val="111111"/>
          <w:sz w:val="28"/>
          <w:szCs w:val="28"/>
          <w:rtl/>
        </w:rPr>
        <w:t xml:space="preserve">یتحقّق لنا فی الأدلّة دلیل خاصّ؛لانتهاء </w:t>
      </w:r>
      <w:r>
        <w:rPr>
          <w:rStyle w:val="FootnoteReference"/>
        </w:rPr>
        <w:footnoteReference w:id="2360"/>
      </w:r>
      <w:r>
        <w:rPr>
          <w:rFonts w:ascii="IRNazanin" w:hAnsi="IRNazanin" w:eastAsia="IRNazanin" w:cs="IRNazanin"/>
          <w:lang w:bidi="fa-IR"/>
          <w:color w:val="111111"/>
          <w:sz w:val="28"/>
          <w:szCs w:val="28"/>
          <w:rtl/>
        </w:rPr>
        <w:t xml:space="preserve">کلّ دلیل إلی أدلّة عامّة،بل العبرة بنفس الدلیل.</w:t>
      </w:r>
    </w:p>
    <w:p>
      <w:pPr>
        <w:pStyle w:val="BookText"/>
      </w:pPr>
      <w:r>
        <w:rPr>
          <w:rFonts w:ascii="IRNazanin" w:hAnsi="IRNazanin" w:eastAsia="IRNazanin" w:cs="IRNazanin"/>
          <w:lang w:bidi="fa-IR"/>
          <w:color w:val="111111"/>
          <w:sz w:val="28"/>
          <w:szCs w:val="28"/>
          <w:rtl/>
        </w:rPr>
        <w:t xml:space="preserve">و لا ریب أنّ الاستصحاب الجاری فی کلّ مورد خاصّ به </w:t>
      </w:r>
      <w:r>
        <w:rPr>
          <w:rStyle w:val="FootnoteReference"/>
        </w:rPr>
        <w:footnoteReference w:id="2361"/>
      </w:r>
      <w:r>
        <w:rPr>
          <w:rFonts w:ascii="IRNazanin" w:hAnsi="IRNazanin" w:eastAsia="IRNazanin" w:cs="IRNazanin"/>
          <w:lang w:bidi="fa-IR"/>
          <w:color w:val="111111"/>
          <w:sz w:val="28"/>
          <w:szCs w:val="28"/>
          <w:rtl/>
        </w:rPr>
        <w:t xml:space="preserve">، لا یتعدّاه إلی غیره،فیقدّم علی العامّ،کما یقدّم غیره من الأدلّة علیه؛</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 لذا تری الفقهاء یستدلّون علی الشغل و النجاسة و التحریم بالاستصحاب، فی مقابلة ما دلّ علی البراءة الأصلیّة و طهارة الأشیاء و حلّیّتها.و من ذلک:استنادهم إلی استصحاب النجاسة و التحریم فی صورة الشکّ فی ذهاب ثلثی العصیر،و فی کون التحدید تحقیقیّا أو تقریبیّا،و فی </w:t>
      </w:r>
      <w:r>
        <w:rPr>
          <w:rStyle w:val="FootnoteReference"/>
        </w:rPr>
        <w:footnoteReference w:id="2362"/>
      </w:r>
      <w:r>
        <w:rPr>
          <w:rFonts w:ascii="IRNazanin" w:hAnsi="IRNazanin" w:eastAsia="IRNazanin" w:cs="IRNazanin"/>
          <w:lang w:bidi="fa-IR"/>
          <w:color w:val="111111"/>
          <w:sz w:val="28"/>
          <w:szCs w:val="28"/>
          <w:rtl/>
        </w:rPr>
        <w:t xml:space="preserve">صیرورته قبل ذهاب الثلثین دبسا،إلی غیر ذلک </w:t>
      </w:r>
      <w:r>
        <w:rPr>
          <w:rStyle w:val="FootnoteReference"/>
        </w:rPr>
        <w:footnoteReference w:id="2363"/>
      </w:r>
      <w:r>
        <w:rPr>
          <w:rFonts w:ascii="IRNazanin" w:hAnsi="IRNazanin" w:eastAsia="IRNazanin" w:cs="IRNazanin"/>
          <w:lang w:bidi="fa-IR"/>
          <w:color w:val="111111"/>
          <w:sz w:val="28"/>
          <w:szCs w:val="28"/>
          <w:rtl/>
        </w:rPr>
        <w:t xml:space="preserve">.انتهی کلامه،علی ما لخّصه بعض المعاصرین </w:t>
      </w:r>
      <w:r>
        <w:rPr>
          <w:rStyle w:val="FootnoteReference"/>
        </w:rPr>
        <w:footnoteReference w:id="2364"/>
      </w:r>
      <w:r>
        <w:rPr>
          <w:rFonts w:ascii="Times New Roman" w:hAnsi="Times New Roman" w:eastAsia="Times New Roman" w:cs="Times New Roman"/>
          <w:lang w:val="en-US" w:bidi="en-US"/>
          <w:color w:val="111111"/>
          <w:sz w:val="28"/>
          <w:szCs w:val="28"/>
          <w:rtl/>
        </w:rPr>
        <w:t xml:space="preserve">.</w:t>
      </w:r>
    </w:p>
    <w:p>
      <w:pPr>
        <w:pStyle w:val="Heading6"/>
      </w:pPr>
      <w:bookmarkStart w:id="1998" w:name="_Toc1033"/>
      <w:r>
        <w:t>[المناقشة فی ما أفاده بحر العلوم:]</w:t>
      </w:r>
      <w:bookmarkEnd w:id="1998"/>
    </w:p>
    <w:p>
      <w:pPr>
        <w:pStyle w:val="BookText"/>
      </w:pPr>
      <w:r>
        <w:rPr>
          <w:rFonts w:ascii="IRNazanin" w:hAnsi="IRNazanin" w:eastAsia="IRNazanin" w:cs="IRNazanin"/>
          <w:lang w:bidi="fa-IR"/>
          <w:color w:val="111111"/>
          <w:sz w:val="28"/>
          <w:szCs w:val="28"/>
          <w:rtl/>
        </w:rPr>
        <w:t xml:space="preserve">و لا یخفی ما فی ظاهره؛لما عرفت:من أنّ مورد جریان العموم لا یجری الاستصحاب حتّی لو لم یکن عموم،و مورد جریان الاستصحاب لا یرجع إلی العموم و لو لم یکن استصحاب.</w:t>
      </w:r>
    </w:p>
    <w:p>
      <w:pPr>
        <w:pStyle w:val="BookText"/>
      </w:pPr>
      <w:r>
        <w:rPr>
          <w:rFonts w:ascii="IRNazanin" w:hAnsi="IRNazanin" w:eastAsia="IRNazanin" w:cs="IRNazanin"/>
          <w:lang w:bidi="fa-IR"/>
          <w:color w:val="111111"/>
          <w:sz w:val="28"/>
          <w:szCs w:val="28"/>
          <w:rtl/>
        </w:rPr>
        <w:t xml:space="preserve">ثمّ ما ذکره من الأمثلة خارج عن مسألة تخصیص الاستصحاب للعمومات؛لأنّ الاصول المذکورة بالنسبة إلی الاستصحاب لیست من قبیل العامّ بالنسبة إلی الخاصّ،کما سیجیء فی تعارض الاستصحاب مع</w:t>
      </w:r>
    </w:p>
    <w:p>
      <w:pPr>
        <w:pStyle w:val="BookText"/>
      </w:pPr>
      <w:r>
        <w:rPr>
          <w:rFonts w:ascii="IRNazanin" w:hAnsi="IRNazanin" w:eastAsia="IRNazanin" w:cs="IRNazanin"/>
          <w:lang w:bidi="fa-IR"/>
          <w:color w:val="111111"/>
          <w:sz w:val="28"/>
          <w:szCs w:val="28"/>
          <w:rtl/>
        </w:rPr>
        <w:t xml:space="preserve">[شماره صفحه واقعی : 277]
</w:t>
      </w:r>
    </w:p>
    <w:p>
      <w:pPr>
        <w:sectPr>
          <w:footerReference w:type="default" r:id="rId789"/>
          <w:footnotePr>
            <w:numStart w:val="1"/>
            <w:numRestart w:val="eachPage"/>
          </w:footnotePr>
          <w:pgSz w:orient="portrait" w:w="11905.511811023622" w:h="16837.79527559055"/>
          <w:pgMar w:top="1440" w:right="1440" w:bottom="1440" w:left="1440" w:header="720" w:footer="720" w:gutter="0"/>
          <w:cols w:num="1" w:space="720"/>
        </w:sectPr>
      </w:pPr>
    </w:p>
    <w:bookmarkStart w:id="491" w:name="pg14411_143171"/>
    <w:bookmarkEnd w:id="491"/>
    <w:p>
      <w:pPr>
        <w:pStyle w:val="BookText"/>
      </w:pPr>
      <w:r>
        <w:rPr>
          <w:rFonts w:ascii="IRNazanin" w:hAnsi="IRNazanin" w:eastAsia="IRNazanin" w:cs="IRNazanin"/>
          <w:lang w:bidi="fa-IR"/>
          <w:color w:val="111111"/>
          <w:sz w:val="28"/>
          <w:szCs w:val="28"/>
          <w:rtl/>
        </w:rPr>
        <w:t xml:space="preserve">غیره من الاصول </w:t>
      </w:r>
      <w:r>
        <w:rPr>
          <w:rStyle w:val="FootnoteReference"/>
        </w:rPr>
        <w:footnoteReference w:id="23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نعم،لو فرض الاستناد فی أصالة الحلّیة إلی عموم «حلّ الطیّبات»و«حلّ الانتفاع بما فی الأرض»،کان استصحاب حرمة العصیر فی </w:t>
      </w:r>
      <w:r>
        <w:rPr>
          <w:rStyle w:val="FootnoteReference"/>
        </w:rPr>
        <w:footnoteReference w:id="2366"/>
      </w:r>
      <w:r>
        <w:rPr>
          <w:rFonts w:ascii="IRNazanin" w:hAnsi="IRNazanin" w:eastAsia="IRNazanin" w:cs="IRNazanin"/>
          <w:lang w:bidi="fa-IR"/>
          <w:color w:val="111111"/>
          <w:sz w:val="28"/>
          <w:szCs w:val="28"/>
          <w:rtl/>
        </w:rPr>
        <w:t xml:space="preserve">المثالین الأخیرین مثالا لمطلبه،دون المثال الأوّل؛ لأنّه من قبیل الشکّ فی موضوع الحکم الشرعیّ،لا فی نفسه.ففی الأوّل یستصحب عنوان الخاصّ،و فی الثانی یستصحب حکمه،و هو الذی یتوهّم کونه مخصّصا للعموم دون الأوّل.</w:t>
      </w:r>
    </w:p>
    <w:p>
      <w:pPr>
        <w:pStyle w:val="Heading6"/>
      </w:pPr>
      <w:bookmarkStart w:id="1999" w:name="_Toc1034"/>
      <w:r>
        <w:t>[توجیه کلام بحر العلوم:]</w:t>
      </w:r>
      <w:bookmarkEnd w:id="1999"/>
    </w:p>
    <w:p>
      <w:pPr>
        <w:pStyle w:val="BookText"/>
      </w:pPr>
      <w:r>
        <w:rPr>
          <w:rFonts w:ascii="IRNazanin" w:hAnsi="IRNazanin" w:eastAsia="IRNazanin" w:cs="IRNazanin"/>
          <w:lang w:bidi="fa-IR"/>
          <w:color w:val="111111"/>
          <w:sz w:val="28"/>
          <w:szCs w:val="28"/>
          <w:rtl/>
        </w:rPr>
        <w:t xml:space="preserve">و یمکن توجیه کلامه قدّس سرّه:بأنّ مراده من العمومات-بقرینة تخصیصه الکلام بالاستصحاب المخالف-هی عمومات الاصول،و مراده بالتخصیص للعمومات </w:t>
      </w:r>
      <w:r>
        <w:rPr>
          <w:rStyle w:val="FootnoteReference"/>
        </w:rPr>
        <w:footnoteReference w:id="2367"/>
      </w:r>
      <w:r>
        <w:rPr>
          <w:rFonts w:ascii="IRNazanin" w:hAnsi="IRNazanin" w:eastAsia="IRNazanin" w:cs="IRNazanin"/>
          <w:lang w:bidi="fa-IR"/>
          <w:color w:val="111111"/>
          <w:sz w:val="28"/>
          <w:szCs w:val="28"/>
          <w:rtl/>
        </w:rPr>
        <w:t xml:space="preserve">ما یعمّ الحکومة-کما ذکرنا فی أوّل أصالة البراءة </w:t>
      </w:r>
      <w:r>
        <w:rPr>
          <w:rStyle w:val="FootnoteReference"/>
        </w:rPr>
        <w:footnoteReference w:id="2368"/>
      </w:r>
      <w:r>
        <w:rPr>
          <w:rFonts w:ascii="IRNazanin" w:hAnsi="IRNazanin" w:eastAsia="IRNazanin" w:cs="IRNazanin"/>
          <w:lang w:bidi="fa-IR"/>
          <w:color w:val="111111"/>
          <w:sz w:val="28"/>
          <w:szCs w:val="28"/>
          <w:rtl/>
        </w:rPr>
        <w:t xml:space="preserve">-و غرضه:أنّ مؤدّی الاستصحاب فی کلّ مستصحب إجراء حکم دلیل المستصحب فی صورة الشکّ،فلمّا کان </w:t>
      </w:r>
      <w:r>
        <w:rPr>
          <w:rStyle w:val="FootnoteReference"/>
        </w:rPr>
        <w:footnoteReference w:id="2369"/>
      </w:r>
      <w:r>
        <w:rPr>
          <w:rFonts w:ascii="IRNazanin" w:hAnsi="IRNazanin" w:eastAsia="IRNazanin" w:cs="IRNazanin"/>
          <w:lang w:bidi="fa-IR"/>
          <w:color w:val="111111"/>
          <w:sz w:val="28"/>
          <w:szCs w:val="28"/>
          <w:rtl/>
        </w:rPr>
        <w:t xml:space="preserve">دلیل المستصحب أخصّ من الاصول سمّی تقدّمه علیها تخصیصا،فالاستصحاب فی ذلک متمّم لحکم ذلک الدلیل و مجریه فی الزمان اللاحق.و کذلک الاستصحاب بالنسبة إلی العمومات الاجتهادیّة؛فإنّه إذا خرج المستصحب من العموم بدلیله-و المفروض أنّ الاستصحاب مجر لحکم ذلک الدلیل فی اللاحق- فکأنّه أیضا مخصّص،یعنی موجب للخروج عن حکم العامّ،فافهم.</w:t>
      </w:r>
    </w:p>
    <w:p>
      <w:pPr>
        <w:pStyle w:val="BookText"/>
      </w:pPr>
      <w:r>
        <w:rPr>
          <w:rFonts w:ascii="IRNazanin" w:hAnsi="IRNazanin" w:eastAsia="IRNazanin" w:cs="IRNazanin"/>
          <w:lang w:bidi="fa-IR"/>
          <w:color w:val="111111"/>
          <w:sz w:val="28"/>
          <w:szCs w:val="28"/>
          <w:rtl/>
        </w:rPr>
        <w:t xml:space="preserve">[شماره صفحه واقعی : 278]
</w:t>
      </w:r>
    </w:p>
    <w:p>
      <w:pPr>
        <w:sectPr>
          <w:footerReference w:type="default" r:id="rId790"/>
          <w:footnotePr>
            <w:numStart w:val="1"/>
            <w:numRestart w:val="eachPage"/>
          </w:footnotePr>
          <w:pgSz w:orient="portrait" w:w="11905.511811023622" w:h="16837.79527559055"/>
          <w:pgMar w:top="1440" w:right="1440" w:bottom="1440" w:left="1440" w:header="720" w:footer="720" w:gutter="0"/>
          <w:cols w:num="1" w:space="720"/>
        </w:sectPr>
      </w:pPr>
    </w:p>
    <w:bookmarkStart w:id="492" w:name="pg14411_143172"/>
    <w:bookmarkEnd w:id="492"/>
    <w:p>
      <w:pPr>
        <w:pStyle w:val="Heading6"/>
      </w:pPr>
      <w:bookmarkStart w:id="2000" w:name="_Toc1035"/>
      <w:r>
        <w:t>الأمر الحادی عشر [:لو تعذّر بعض المأمور به فهل یستصحب وجوب الباقی؟]</w:t>
      </w:r>
      <w:bookmarkEnd w:id="2000"/>
    </w:p>
    <w:p>
      <w:pPr>
        <w:pStyle w:val="Heading6"/>
      </w:pPr>
      <w:bookmarkStart w:id="2001" w:name="_Toc1036"/>
      <w:r>
        <w:t>اشارة</w:t>
      </w:r>
      <w:bookmarkEnd w:id="2001"/>
    </w:p>
    <w:p>
      <w:pPr>
        <w:pStyle w:val="BookText"/>
      </w:pPr>
      <w:r>
        <w:rPr>
          <w:rFonts w:ascii="IRNazanin" w:hAnsi="IRNazanin" w:eastAsia="IRNazanin" w:cs="IRNazanin"/>
          <w:lang w:bidi="fa-IR"/>
          <w:color w:val="111111"/>
          <w:sz w:val="28"/>
          <w:szCs w:val="28"/>
          <w:rtl/>
        </w:rPr>
        <w:t xml:space="preserve">قد أجری بعضهم </w:t>
      </w:r>
      <w:r>
        <w:rPr>
          <w:rStyle w:val="FootnoteReference"/>
        </w:rPr>
        <w:footnoteReference w:id="2370"/>
      </w:r>
      <w:r>
        <w:rPr>
          <w:rFonts w:ascii="IRNazanin" w:hAnsi="IRNazanin" w:eastAsia="IRNazanin" w:cs="IRNazanin"/>
          <w:lang w:bidi="fa-IR"/>
          <w:color w:val="111111"/>
          <w:sz w:val="28"/>
          <w:szCs w:val="28"/>
          <w:rtl/>
        </w:rPr>
        <w:t xml:space="preserve">الاستصحاب فی ما إذا تعذّر بعض أجزاء المرکّب،فیستصحب وجوب الباقی الممکن.</w:t>
      </w:r>
    </w:p>
    <w:p>
      <w:pPr>
        <w:pStyle w:val="Heading6"/>
      </w:pPr>
      <w:bookmarkStart w:id="2002" w:name="_Toc1037"/>
      <w:r>
        <w:t>[الإشکال فی هذا الاستصحاب:]</w:t>
      </w:r>
      <w:bookmarkEnd w:id="2002"/>
    </w:p>
    <w:p>
      <w:pPr>
        <w:pStyle w:val="BookText"/>
      </w:pPr>
      <w:r>
        <w:rPr>
          <w:rFonts w:ascii="IRNazanin" w:hAnsi="IRNazanin" w:eastAsia="IRNazanin" w:cs="IRNazanin"/>
          <w:lang w:bidi="fa-IR"/>
          <w:color w:val="111111"/>
          <w:sz w:val="28"/>
          <w:szCs w:val="28"/>
          <w:rtl/>
        </w:rPr>
        <w:t xml:space="preserve">و هو بظاهره-کما صرّح به بعض المحقّقین </w:t>
      </w:r>
      <w:r>
        <w:rPr>
          <w:rStyle w:val="FootnoteReference"/>
        </w:rPr>
        <w:footnoteReference w:id="2371"/>
      </w:r>
      <w:r>
        <w:rPr>
          <w:rFonts w:ascii="IRNazanin" w:hAnsi="IRNazanin" w:eastAsia="IRNazanin" w:cs="IRNazanin"/>
          <w:lang w:bidi="fa-IR"/>
          <w:color w:val="111111"/>
          <w:sz w:val="28"/>
          <w:szCs w:val="28"/>
          <w:rtl/>
        </w:rPr>
        <w:t xml:space="preserve">-غیر صحیح؛لأنّ الثابت سابقا-قبل تعذّر بعض الأجزاء-وجوب هذه الأجزاء الباقیة، تبعا لوجوب الکلّ و من باب المقدّمة،و هو مرتفع قطعا،و الذی یراد ثبوته بعد تعذّر البعض هو الوجوب النفسیّ الاستقلالیّ،و هو معلوم الانتفاء سابقا.</w:t>
      </w:r>
    </w:p>
    <w:p>
      <w:pPr>
        <w:pStyle w:val="Heading6"/>
      </w:pPr>
      <w:bookmarkStart w:id="2003" w:name="_Toc1038"/>
      <w:r>
        <w:t>[توجیه الاستصحاب بوجوه ثلاثة:]</w:t>
      </w:r>
      <w:bookmarkEnd w:id="2003"/>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 یمکن توجیهه-بناء علی ما عرفت </w:t>
      </w:r>
      <w:r>
        <w:rPr>
          <w:rStyle w:val="FootnoteReference"/>
        </w:rPr>
        <w:footnoteReference w:id="2372"/>
      </w:r>
      <w:r>
        <w:rPr>
          <w:rFonts w:ascii="IRNazanin" w:hAnsi="IRNazanin" w:eastAsia="IRNazanin" w:cs="IRNazanin"/>
          <w:lang w:bidi="fa-IR"/>
          <w:color w:val="111111"/>
          <w:sz w:val="28"/>
          <w:szCs w:val="28"/>
          <w:rtl/>
        </w:rPr>
        <w:t xml:space="preserve">،من جواز إبقاء القدر</w:t>
      </w:r>
    </w:p>
    <w:p>
      <w:pPr>
        <w:pStyle w:val="BookText"/>
      </w:pPr>
      <w:r>
        <w:rPr>
          <w:rFonts w:ascii="IRNazanin" w:hAnsi="IRNazanin" w:eastAsia="IRNazanin" w:cs="IRNazanin"/>
          <w:lang w:bidi="fa-IR"/>
          <w:color w:val="111111"/>
          <w:sz w:val="28"/>
          <w:szCs w:val="28"/>
          <w:rtl/>
        </w:rPr>
        <w:t xml:space="preserve">[شماره صفحه واقعی : 279]
</w:t>
      </w:r>
    </w:p>
    <w:p>
      <w:pPr>
        <w:sectPr>
          <w:footerReference w:type="default" r:id="rId7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المشترک فی بعض الموارد و لو علم بانتفاء الفرد المشخّص له سابقا-:</w:t>
      </w:r>
    </w:p>
    <w:p>
      <w:pPr>
        <w:pStyle w:val="BookText"/>
      </w:pPr>
      <w:r>
        <w:rPr>
          <w:rFonts w:ascii="IRNazanin" w:hAnsi="IRNazanin" w:eastAsia="IRNazanin" w:cs="IRNazanin"/>
          <w:lang w:bidi="fa-IR"/>
          <w:color w:val="111111"/>
          <w:sz w:val="28"/>
          <w:szCs w:val="28"/>
          <w:rtl/>
        </w:rPr>
        <w:t xml:space="preserve">بأنّ المستصحب هو مطلق المطلوبیّة المتحقّقة سابقا لهذا الجزء و لو فی ضمن مطلوبیّة الکلّ،إلاّ أنّ العرف لا یرونها مغایرة فی الخارج لمطلوبیّة الجزء فی نفسه </w:t>
      </w:r>
      <w:r>
        <w:rPr>
          <w:rStyle w:val="FootnoteReference"/>
        </w:rPr>
        <w:footnoteReference w:id="23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یمکن توجیهه بوجه آخر-یستصحب معه الوجوب النفسیّ-بأن یقال:إنّ معروض الوجوب سابقا،و المشار إلیه بقولنا:«هذا الفعل کان واجبا»هو الباقی،إلاّ أنّه یشکّ فی مدخلیّة الجزء المفقود فی اتصافه بالوجوب النفسیّ مطلقا،أو اختصاص المدخلیّة بحال الاختیار،فیکون محلّ الوجوب النفسیّ هو الباقی </w:t>
      </w:r>
      <w:r>
        <w:rPr>
          <w:rStyle w:val="FootnoteReference"/>
        </w:rPr>
        <w:footnoteReference w:id="2374"/>
      </w:r>
      <w:r>
        <w:rPr>
          <w:rFonts w:ascii="IRNazanin" w:hAnsi="IRNazanin" w:eastAsia="IRNazanin" w:cs="IRNazanin"/>
          <w:lang w:bidi="fa-IR"/>
          <w:color w:val="111111"/>
          <w:sz w:val="28"/>
          <w:szCs w:val="28"/>
          <w:rtl/>
        </w:rPr>
        <w:t xml:space="preserve">،و وجود ذلک الجزء المفقود و عدمه عند العرف فی حکم الحالات المتبادلة لذلک الواجب المشکوک فی مدخلیّتها.و هذا نظیر استصحاب الکرّیّة فی ماء نقص منه مقدار فشکّ فی بقائه علی الکرّیّة،فیقال:«هذا الماء کان کرّا،و الأصل بقاء کرّیته» مع أنّ هذا الشخص الموجود الباقی لم یعلم بکرّیّته.و کذا استصحاب القلّة فی ماء زید علیه مقدار.</w:t>
      </w:r>
    </w:p>
    <w:p>
      <w:pPr>
        <w:pStyle w:val="BookText"/>
      </w:pPr>
      <w:r>
        <w:rPr>
          <w:rFonts w:ascii="IRNazanin" w:hAnsi="IRNazanin" w:eastAsia="IRNazanin" w:cs="IRNazanin"/>
          <w:lang w:bidi="fa-IR"/>
          <w:color w:val="111111"/>
          <w:sz w:val="28"/>
          <w:szCs w:val="28"/>
          <w:rtl/>
        </w:rPr>
        <w:t xml:space="preserve">و هنا توجیه ثالث،و هو:استصحاب الوجوب النفسیّ المردّد بین تعلّقه سابقا بالمرکّب علی أن یکون المفقود جزءا له مطلقا فیسقط الوجوب بتعذّره،و بین تعلّقه بالمرکّب علی أن یکون الجزء جزءا اختیاریّا </w:t>
      </w:r>
      <w:r>
        <w:rPr>
          <w:rStyle w:val="FootnoteReference"/>
        </w:rPr>
        <w:footnoteReference w:id="2375"/>
      </w:r>
      <w:r>
        <w:rPr>
          <w:rFonts w:ascii="IRNazanin" w:hAnsi="IRNazanin" w:eastAsia="IRNazanin" w:cs="IRNazanin"/>
          <w:lang w:bidi="fa-IR"/>
          <w:color w:val="111111"/>
          <w:sz w:val="28"/>
          <w:szCs w:val="28"/>
          <w:rtl/>
        </w:rPr>
        <w:t xml:space="preserve">یبقی التکلیف بعد تعذّره،و الأصل بقاؤه،فیثبت به تعلّقه</w:t>
      </w:r>
    </w:p>
    <w:p>
      <w:pPr>
        <w:pStyle w:val="BookText"/>
      </w:pPr>
      <w:r>
        <w:rPr>
          <w:rFonts w:ascii="IRNazanin" w:hAnsi="IRNazanin" w:eastAsia="IRNazanin" w:cs="IRNazanin"/>
          <w:lang w:bidi="fa-IR"/>
          <w:color w:val="111111"/>
          <w:sz w:val="28"/>
          <w:szCs w:val="28"/>
          <w:rtl/>
        </w:rPr>
        <w:t xml:space="preserve">[شماره صفحه واقعی : 280]
</w:t>
      </w:r>
    </w:p>
    <w:p>
      <w:pPr>
        <w:sectPr>
          <w:footerReference w:type="default" r:id="rId792"/>
          <w:footnotePr>
            <w:numStart w:val="1"/>
            <w:numRestart w:val="eachPage"/>
          </w:footnotePr>
          <w:pgSz w:orient="portrait" w:w="11905.511811023622" w:h="16837.79527559055"/>
          <w:pgMar w:top="1440" w:right="1440" w:bottom="1440" w:left="1440" w:header="720" w:footer="720" w:gutter="0"/>
          <w:cols w:num="1" w:space="720"/>
        </w:sectPr>
      </w:pPr>
    </w:p>
    <w:bookmarkStart w:id="493" w:name="pg14411_143174"/>
    <w:bookmarkEnd w:id="493"/>
    <w:p>
      <w:pPr>
        <w:pStyle w:val="BookText"/>
      </w:pPr>
      <w:r>
        <w:rPr>
          <w:rFonts w:ascii="IRNazanin" w:hAnsi="IRNazanin" w:eastAsia="IRNazanin" w:cs="IRNazanin"/>
          <w:lang w:bidi="fa-IR"/>
          <w:color w:val="111111"/>
          <w:sz w:val="28"/>
          <w:szCs w:val="28"/>
          <w:rtl/>
        </w:rPr>
        <w:t xml:space="preserve">بالمرکّب علی الوجه الثانی.</w:t>
      </w:r>
    </w:p>
    <w:p>
      <w:pPr>
        <w:pStyle w:val="BookText"/>
      </w:pPr>
      <w:r>
        <w:rPr>
          <w:rFonts w:ascii="IRNazanin" w:hAnsi="IRNazanin" w:eastAsia="IRNazanin" w:cs="IRNazanin"/>
          <w:lang w:bidi="fa-IR"/>
          <w:color w:val="111111"/>
          <w:sz w:val="28"/>
          <w:szCs w:val="28"/>
          <w:rtl/>
        </w:rPr>
        <w:t xml:space="preserve">و هذا نظیر إجراء استصحاب وجود الکرّ فی هذا الإناء لإثبات کرّیّة </w:t>
      </w:r>
      <w:r>
        <w:rPr>
          <w:rStyle w:val="FootnoteReference"/>
        </w:rPr>
        <w:footnoteReference w:id="2376"/>
      </w:r>
      <w:r>
        <w:rPr>
          <w:rFonts w:ascii="IRNazanin" w:hAnsi="IRNazanin" w:eastAsia="IRNazanin" w:cs="IRNazanin"/>
          <w:lang w:bidi="fa-IR"/>
          <w:color w:val="111111"/>
          <w:sz w:val="28"/>
          <w:szCs w:val="28"/>
          <w:rtl/>
        </w:rPr>
        <w:t xml:space="preserve">الباقی فیه.</w:t>
      </w:r>
    </w:p>
    <w:p>
      <w:pPr>
        <w:pStyle w:val="Heading6"/>
      </w:pPr>
      <w:bookmarkStart w:id="2004" w:name="_Toc1039"/>
      <w:r>
        <w:t>[ثمرة هذه التوجیهات:]</w:t>
      </w:r>
      <w:bookmarkEnd w:id="2004"/>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 یظهر فائدة مخالفة التوجیهات:</w:t>
      </w:r>
    </w:p>
    <w:p>
      <w:pPr>
        <w:pStyle w:val="BookText"/>
      </w:pPr>
      <w:r>
        <w:rPr>
          <w:rFonts w:ascii="IRNazanin" w:hAnsi="IRNazanin" w:eastAsia="IRNazanin" w:cs="IRNazanin"/>
          <w:lang w:bidi="fa-IR"/>
          <w:color w:val="111111"/>
          <w:sz w:val="28"/>
          <w:szCs w:val="28"/>
          <w:rtl/>
        </w:rPr>
        <w:t xml:space="preserve">فیما إذا لم یبق إلاّ قلیل من أجزاء المرکّب،فإنّه یجری التوجیه الأوّل و الثالث دون الثانی؛لأنّ العرف لا یساعد علی فرض الموضوع بین هذا الموجود و بین جامع الکلّ و لو مسامحة؛لأنّ هذه المسامحة مختصّة بمعظم الأجزاء الفاقد لما لا یقدح فی إثبات الاسم و الحکم له.</w:t>
      </w:r>
    </w:p>
    <w:p>
      <w:pPr>
        <w:pStyle w:val="BookText"/>
      </w:pPr>
      <w:r>
        <w:rPr>
          <w:rFonts w:ascii="IRNazanin" w:hAnsi="IRNazanin" w:eastAsia="IRNazanin" w:cs="IRNazanin"/>
          <w:lang w:bidi="fa-IR"/>
          <w:color w:val="111111"/>
          <w:sz w:val="28"/>
          <w:szCs w:val="28"/>
          <w:rtl/>
        </w:rPr>
        <w:t xml:space="preserve">و فیما لو کان المفقود شرطا،فإنّه لا یجری الاستصحاب علی الأوّل و یجری علی الأخیرین.</w:t>
      </w:r>
    </w:p>
    <w:p>
      <w:pPr>
        <w:pStyle w:val="Heading6"/>
      </w:pPr>
      <w:bookmarkStart w:id="2005" w:name="_Toc1040"/>
      <w:r>
        <w:t>[الصحیح من هذه التوجیهات:]</w:t>
      </w:r>
      <w:bookmarkEnd w:id="2005"/>
    </w:p>
    <w:p>
      <w:pPr>
        <w:pStyle w:val="BookText"/>
      </w:pPr>
      <w:r>
        <w:rPr>
          <w:rFonts w:ascii="IRNazanin" w:hAnsi="IRNazanin" w:eastAsia="IRNazanin" w:cs="IRNazanin"/>
          <w:lang w:bidi="fa-IR"/>
          <w:color w:val="111111"/>
          <w:sz w:val="28"/>
          <w:szCs w:val="28"/>
          <w:rtl/>
        </w:rPr>
        <w:t xml:space="preserve">و حیث </w:t>
      </w:r>
      <w:r>
        <w:rPr>
          <w:rStyle w:val="FootnoteReference"/>
        </w:rPr>
        <w:footnoteReference w:id="2377"/>
      </w:r>
      <w:r>
        <w:rPr>
          <w:rFonts w:ascii="IRNazanin" w:hAnsi="IRNazanin" w:eastAsia="IRNazanin" w:cs="IRNazanin"/>
          <w:lang w:bidi="fa-IR"/>
          <w:color w:val="111111"/>
          <w:sz w:val="28"/>
          <w:szCs w:val="28"/>
          <w:rtl/>
        </w:rPr>
        <w:t xml:space="preserve">إنّ بناء العرف علی عدم إجراء الاستصحاب فی فاقد معظم الأجزاء و إجرائه فی فاقد الشرط،کشف عن فساد التوجیه الأوّل.</w:t>
      </w:r>
    </w:p>
    <w:p>
      <w:pPr>
        <w:pStyle w:val="BookText"/>
      </w:pPr>
      <w:r>
        <w:rPr>
          <w:rFonts w:ascii="IRNazanin" w:hAnsi="IRNazanin" w:eastAsia="IRNazanin" w:cs="IRNazanin"/>
          <w:lang w:bidi="fa-IR"/>
          <w:color w:val="111111"/>
          <w:sz w:val="28"/>
          <w:szCs w:val="28"/>
          <w:rtl/>
        </w:rPr>
        <w:t xml:space="preserve">و حیث إنّ بناءهم علی استصحاب نفس الکرّیّة دون الذات</w:t>
      </w:r>
    </w:p>
    <w:p>
      <w:pPr>
        <w:pStyle w:val="BookText"/>
      </w:pPr>
      <w:r>
        <w:rPr>
          <w:rFonts w:ascii="IRNazanin" w:hAnsi="IRNazanin" w:eastAsia="IRNazanin" w:cs="IRNazanin"/>
          <w:lang w:bidi="fa-IR"/>
          <w:color w:val="111111"/>
          <w:sz w:val="28"/>
          <w:szCs w:val="28"/>
          <w:rtl/>
        </w:rPr>
        <w:t xml:space="preserve">[شماره صفحه واقعی : 281]
</w:t>
      </w:r>
    </w:p>
    <w:p>
      <w:pPr>
        <w:sectPr>
          <w:footerReference w:type="default" r:id="rId793"/>
          <w:footnotePr>
            <w:numStart w:val="1"/>
            <w:numRestart w:val="eachPage"/>
          </w:footnotePr>
          <w:pgSz w:orient="portrait" w:w="11905.511811023622" w:h="16837.79527559055"/>
          <w:pgMar w:top="1440" w:right="1440" w:bottom="1440" w:left="1440" w:header="720" w:footer="720" w:gutter="0"/>
          <w:cols w:num="1" w:space="720"/>
        </w:sectPr>
      </w:pPr>
    </w:p>
    <w:bookmarkStart w:id="494" w:name="pg14411_143175"/>
    <w:bookmarkEnd w:id="494"/>
    <w:p>
      <w:pPr>
        <w:pStyle w:val="BookText"/>
      </w:pPr>
      <w:r>
        <w:rPr>
          <w:rFonts w:ascii="IRNazanin" w:hAnsi="IRNazanin" w:eastAsia="IRNazanin" w:cs="IRNazanin"/>
          <w:lang w:bidi="fa-IR"/>
          <w:color w:val="111111"/>
          <w:sz w:val="28"/>
          <w:szCs w:val="28"/>
          <w:rtl/>
        </w:rPr>
        <w:t xml:space="preserve">المتّصف بها،کشف عن صحّة الأوّل من الأخیرین </w:t>
      </w:r>
      <w:r>
        <w:rPr>
          <w:rStyle w:val="FootnoteReference"/>
        </w:rPr>
        <w:footnoteReference w:id="23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لکنّ الإشکال بعد فی الاعتماد علی هذه المسامحة العرفیّة المذکورة، إلاّ أنّ الظاهر أنّ استصحاب الکرّیّة من المسلّمات عند القائلین بالاستصحاب،و الظاهر عدم الفرق.</w:t>
      </w:r>
    </w:p>
    <w:p>
      <w:pPr>
        <w:pStyle w:val="Heading6"/>
      </w:pPr>
      <w:bookmarkStart w:id="2006" w:name="_Toc1041"/>
      <w:r>
        <w:t>[عدم الفرق بناء علی جریان الاستصحاب بین تعذّر الجزء بعد تنجّز التکلیف أو قبله:]</w:t>
      </w:r>
      <w:bookmarkEnd w:id="2006"/>
    </w:p>
    <w:p>
      <w:pPr>
        <w:pStyle w:val="BookText"/>
      </w:pPr>
      <w:r>
        <w:rPr>
          <w:rFonts w:ascii="IRNazanin" w:hAnsi="IRNazanin" w:eastAsia="IRNazanin" w:cs="IRNazanin"/>
          <w:lang w:bidi="fa-IR"/>
          <w:color w:val="111111"/>
          <w:sz w:val="28"/>
          <w:szCs w:val="28"/>
          <w:rtl/>
        </w:rPr>
        <w:t xml:space="preserve">ثمّ إنّه لا فرق-بناء علی جریان الاستصحاب-بین تعذّر الجزء بعد تنجّز التکلیف،کما إذا زالت الشمس متمکّنا من جمیع الأجزاء ففقد بعضها،و بین ما إذا فقده قبل الزوال؛لأنّ المستصحب هو الوجوب النوعیّ المنجّز علی تقدیر اجتماع شرائطه،لا الشخصیّ المتوقّف علی تحقّق الشرائط فعلا.نعم،هنا أوضح.</w:t>
      </w:r>
    </w:p>
    <w:p>
      <w:pPr>
        <w:pStyle w:val="BookText"/>
      </w:pPr>
      <w:r>
        <w:rPr>
          <w:rFonts w:ascii="IRNazanin" w:hAnsi="IRNazanin" w:eastAsia="IRNazanin" w:cs="IRNazanin"/>
          <w:lang w:bidi="fa-IR"/>
          <w:color w:val="111111"/>
          <w:sz w:val="28"/>
          <w:szCs w:val="28"/>
          <w:rtl/>
        </w:rPr>
        <w:t xml:space="preserve">و کذا لا فرق-بناء علی عدم الجریان-بین ثبوت جزئیّة المفقود بالدلیل الاجتهادیّ،و بین ثبوتها بقاعدة الاشتغال.</w:t>
      </w:r>
    </w:p>
    <w:p>
      <w:pPr>
        <w:pStyle w:val="Heading6"/>
      </w:pPr>
      <w:bookmarkStart w:id="2007" w:name="_Toc1042"/>
      <w:r>
        <w:t>[تخیّل و دفع:]</w:t>
      </w:r>
      <w:bookmarkEnd w:id="2007"/>
    </w:p>
    <w:p>
      <w:pPr>
        <w:pStyle w:val="BookText"/>
      </w:pPr>
      <w:r>
        <w:rPr>
          <w:rFonts w:ascii="IRNazanin" w:hAnsi="IRNazanin" w:eastAsia="IRNazanin" w:cs="IRNazanin"/>
          <w:lang w:bidi="fa-IR"/>
          <w:color w:val="111111"/>
          <w:sz w:val="28"/>
          <w:szCs w:val="28"/>
          <w:rtl/>
        </w:rPr>
        <w:t xml:space="preserve">و ربما یتخیّل:أنّه لا إشکال فی الاستصحاب فی القسم الثانی؛ لأنّ وجوب الاتیان بذلک الجزء لم یکن إلاّ لوجوب الخروج عن عهدة التکلیف،و هذا بعینه مقتض لوجوب الاتیان بالباقی بعد تعذّر الجزء.</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 فیه:ما تقدّم </w:t>
      </w:r>
      <w:r>
        <w:rPr>
          <w:rStyle w:val="FootnoteReference"/>
        </w:rPr>
        <w:footnoteReference w:id="2379"/>
      </w:r>
      <w:r>
        <w:rPr>
          <w:rFonts w:ascii="IRNazanin" w:hAnsi="IRNazanin" w:eastAsia="IRNazanin" w:cs="IRNazanin"/>
          <w:lang w:bidi="fa-IR"/>
          <w:color w:val="111111"/>
          <w:sz w:val="28"/>
          <w:szCs w:val="28"/>
          <w:rtl/>
        </w:rPr>
        <w:t xml:space="preserve">،من أنّ وجوب الخروج عن عهدة التکلیف بالمجمل إنّما هو بحکم العقل لا بالاستصحاب،و الاستصحاب لا ینفع إلاّ</w:t>
      </w:r>
    </w:p>
    <w:p>
      <w:pPr>
        <w:pStyle w:val="BookText"/>
      </w:pPr>
      <w:r>
        <w:rPr>
          <w:rFonts w:ascii="IRNazanin" w:hAnsi="IRNazanin" w:eastAsia="IRNazanin" w:cs="IRNazanin"/>
          <w:lang w:bidi="fa-IR"/>
          <w:color w:val="111111"/>
          <w:sz w:val="28"/>
          <w:szCs w:val="28"/>
          <w:rtl/>
        </w:rPr>
        <w:t xml:space="preserve">[شماره صفحه واقعی : 282]
</w:t>
      </w:r>
    </w:p>
    <w:p>
      <w:pPr>
        <w:sectPr>
          <w:footerReference w:type="default" r:id="rId794"/>
          <w:footnotePr>
            <w:numStart w:val="1"/>
            <w:numRestart w:val="eachPage"/>
          </w:footnotePr>
          <w:pgSz w:orient="portrait" w:w="11905.511811023622" w:h="16837.79527559055"/>
          <w:pgMar w:top="1440" w:right="1440" w:bottom="1440" w:left="1440" w:header="720" w:footer="720" w:gutter="0"/>
          <w:cols w:num="1" w:space="720"/>
        </w:sectPr>
      </w:pPr>
    </w:p>
    <w:bookmarkStart w:id="495" w:name="pg14411_143176"/>
    <w:bookmarkEnd w:id="495"/>
    <w:p>
      <w:pPr>
        <w:pStyle w:val="BookText"/>
      </w:pPr>
      <w:r>
        <w:rPr>
          <w:rFonts w:ascii="IRNazanin" w:hAnsi="IRNazanin" w:eastAsia="IRNazanin" w:cs="IRNazanin"/>
          <w:lang w:bidi="fa-IR"/>
          <w:color w:val="111111"/>
          <w:sz w:val="28"/>
          <w:szCs w:val="28"/>
          <w:rtl/>
        </w:rPr>
        <w:t xml:space="preserve">بناء علی الأصل المثبت.و لو قلنا به لم یفرق بین ثبوت الجزء بالدلیل أو بالأصل؛لما عرفت:من جریان استصحاب بقاء أصل التکلیف، و إن کان بینهما فرق؛من حیث إنّ استصحاب التکلیف فی المقام من قبیل استصحاب الکلّی المتحقّق سابقا فی ضمن فرد معیّن بعد العلم بارتفاع ذلک الفرد المعیّن،و فی استصحاب الاشتغال من قبیل استصحاب الکلّی المتحقّق فی ضمن المردّد بین المرتفع و الباقی،و قد عرفت </w:t>
      </w:r>
      <w:r>
        <w:rPr>
          <w:rStyle w:val="FootnoteReference"/>
        </w:rPr>
        <w:footnoteReference w:id="2380"/>
      </w:r>
      <w:r>
        <w:rPr>
          <w:rFonts w:ascii="IRNazanin" w:hAnsi="IRNazanin" w:eastAsia="IRNazanin" w:cs="IRNazanin"/>
          <w:lang w:bidi="fa-IR"/>
          <w:color w:val="111111"/>
          <w:sz w:val="28"/>
          <w:szCs w:val="28"/>
          <w:rtl/>
        </w:rPr>
        <w:t xml:space="preserve">عدم جریان الاستصحاب فی الصورة الاولی،إلاّ فی بعض مواردها بمساعدة العرف.</w:t>
      </w:r>
    </w:p>
    <w:p>
      <w:pPr>
        <w:pStyle w:val="Heading6"/>
      </w:pPr>
      <w:bookmarkStart w:id="2008" w:name="_Toc1043"/>
      <w:r>
        <w:t>[نسبة التمسّک بالاستصحاب فی هذه المسألة إلی الفاضلین:]</w:t>
      </w:r>
      <w:bookmarkEnd w:id="2008"/>
    </w:p>
    <w:p>
      <w:pPr>
        <w:pStyle w:val="Heading6"/>
      </w:pPr>
      <w:bookmarkStart w:id="2009" w:name="_Toc1044"/>
      <w:r>
        <w:t>اشارة</w:t>
      </w:r>
      <w:bookmarkEnd w:id="2009"/>
    </w:p>
    <w:p>
      <w:pPr>
        <w:pStyle w:val="BookText"/>
      </w:pPr>
      <w:r>
        <w:rPr>
          <w:rFonts w:ascii="Amiri" w:hAnsi="Amiri" w:eastAsia="Amiri" w:cs="Amiri"/>
          <w:lang w:bidi="ar-SA"/>
          <w:color w:val="111111"/>
          <w:sz w:val="28"/>
          <w:szCs w:val="28"/>
          <w:rtl/>
        </w:rPr>
        <w:t xml:space="preserve">ثمّ اعلم:أنّه نسب إلی الفاضلین قدّس سرّهما </w:t>
      </w:r>
      <w:r>
        <w:rPr>
          <w:rStyle w:val="FootnoteReference"/>
        </w:rPr>
        <w:footnoteReference w:id="2381"/>
      </w:r>
      <w:r>
        <w:rPr>
          <w:rFonts w:ascii="IRNazanin" w:hAnsi="IRNazanin" w:eastAsia="IRNazanin" w:cs="IRNazanin"/>
          <w:lang w:bidi="fa-IR"/>
          <w:color w:val="111111"/>
          <w:sz w:val="28"/>
          <w:szCs w:val="28"/>
          <w:rtl/>
        </w:rPr>
        <w:t xml:space="preserve">التمسّک بالاستصحاب فی هذه المسألة،فی </w:t>
      </w:r>
      <w:r>
        <w:rPr>
          <w:rStyle w:val="FootnoteReference"/>
        </w:rPr>
        <w:footnoteReference w:id="2382"/>
      </w:r>
      <w:r>
        <w:rPr>
          <w:rFonts w:ascii="Amiri" w:hAnsi="Amiri" w:eastAsia="Amiri" w:cs="Amiri"/>
          <w:lang w:bidi="ar-SA"/>
          <w:color w:val="111111"/>
          <w:sz w:val="28"/>
          <w:szCs w:val="28"/>
          <w:rtl/>
        </w:rPr>
        <w:t xml:space="preserve">مسألة الأقطع.</w:t>
      </w:r>
    </w:p>
    <w:p>
      <w:pPr>
        <w:pStyle w:val="BookText"/>
      </w:pPr>
      <w:r>
        <w:rPr>
          <w:rFonts w:ascii="IRNazanin" w:hAnsi="IRNazanin" w:eastAsia="IRNazanin" w:cs="IRNazanin"/>
          <w:lang w:bidi="fa-IR"/>
          <w:color w:val="111111"/>
          <w:sz w:val="28"/>
          <w:szCs w:val="28"/>
          <w:rtl/>
        </w:rPr>
        <w:t xml:space="preserve">و المذکور فی المعتبر و المنتهی الاستدلال علی وجوب غسل ما بقی من الید المقطوعة ممّا دون المرفق:بأنّ غسل الجمیع بتقدیر وجود ذلک البعض واجب،فإذا زال البعض لم یسقط الآخر </w:t>
      </w:r>
      <w:r>
        <w:rPr>
          <w:rStyle w:val="FootnoteReference"/>
        </w:rPr>
        <w:footnoteReference w:id="2383"/>
      </w:r>
      <w:r>
        <w:rPr>
          <w:rFonts w:ascii="IRNazanin" w:hAnsi="IRNazanin" w:eastAsia="IRNazanin" w:cs="IRNazanin"/>
          <w:lang w:bidi="fa-IR"/>
          <w:color w:val="111111"/>
          <w:sz w:val="28"/>
          <w:szCs w:val="28"/>
          <w:rtl/>
        </w:rPr>
        <w:t xml:space="preserve">،انتهی.</w:t>
      </w:r>
    </w:p>
    <w:p>
      <w:pPr>
        <w:pStyle w:val="Heading6"/>
      </w:pPr>
      <w:bookmarkStart w:id="2010" w:name="_Toc1045"/>
      <w:r>
        <w:t>[المناقشة فی هذه النسبة:]</w:t>
      </w:r>
      <w:bookmarkEnd w:id="2010"/>
    </w:p>
    <w:p>
      <w:pPr>
        <w:pStyle w:val="BookText"/>
      </w:pPr>
      <w:r>
        <w:rPr>
          <w:rFonts w:ascii="IRNazanin" w:hAnsi="IRNazanin" w:eastAsia="IRNazanin" w:cs="IRNazanin"/>
          <w:lang w:bidi="fa-IR"/>
          <w:color w:val="111111"/>
          <w:sz w:val="28"/>
          <w:szCs w:val="28"/>
          <w:rtl/>
        </w:rPr>
        <w:t xml:space="preserve">و هذا الاستدلال یحتمل أن یراد منه مفاد قاعدة«المیسور لا یسقط بالمعسور»؛و لذا أبدله فی الذکری بنفس القاعدة </w:t>
      </w:r>
      <w:r>
        <w:rPr>
          <w:rStyle w:val="FootnoteReference"/>
        </w:rPr>
        <w:footnoteReference w:id="23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283]
</w:t>
      </w:r>
    </w:p>
    <w:p>
      <w:pPr>
        <w:sectPr>
          <w:footerReference w:type="default" r:id="rId7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یحتمل أن یراد منه الاستصحاب،بأن یراد منه:أنّ هذا الموجود بتقدیر وجود المفقود فی زمان سابق واجب،فإذا زال البعض لم یعلم سقوط الباقی،و الأصل عدمه،أو لم یسقط بحکم الاستصحاب.</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 یحتمل أن یراد به التمسّک بعموم ما دلّ علی وجوب کلّ من الأجزاء من غیر مخصّص له بصورة التمکّن من الجمیع،لکنّه ضعیف احتمالا و محتملا.</w:t>
      </w:r>
    </w:p>
    <w:p>
      <w:pPr>
        <w:pStyle w:val="BookText"/>
      </w:pPr>
      <w:r>
        <w:rPr>
          <w:rFonts w:ascii="IRNazanin" w:hAnsi="IRNazanin" w:eastAsia="IRNazanin" w:cs="IRNazanin"/>
          <w:lang w:bidi="fa-IR"/>
          <w:color w:val="111111"/>
          <w:sz w:val="28"/>
          <w:szCs w:val="28"/>
          <w:rtl/>
        </w:rPr>
        <w:t xml:space="preserve">[شماره صفحه واقعی : 284]
</w:t>
      </w:r>
    </w:p>
    <w:p>
      <w:pPr>
        <w:sectPr>
          <w:footerReference w:type="default" r:id="rId796"/>
          <w:footnotePr>
            <w:numStart w:val="1"/>
            <w:numRestart w:val="eachPage"/>
          </w:footnotePr>
          <w:pgSz w:orient="portrait" w:w="11905.511811023622" w:h="16837.79527559055"/>
          <w:pgMar w:top="1440" w:right="1440" w:bottom="1440" w:left="1440" w:header="720" w:footer="720" w:gutter="0"/>
          <w:cols w:num="1" w:space="720"/>
        </w:sectPr>
      </w:pPr>
    </w:p>
    <w:bookmarkStart w:id="496" w:name="pg14411_143178"/>
    <w:bookmarkEnd w:id="496"/>
    <w:p>
      <w:pPr>
        <w:pStyle w:val="Heading6"/>
      </w:pPr>
      <w:bookmarkStart w:id="2011" w:name="_Toc1046"/>
      <w:r>
        <w:t>الأمر الثانی عشر [:جریان الاستصحاب حتّی مع الظنّ بالخلاف و الدلیل علیه من وجوه]</w:t>
      </w:r>
      <w:bookmarkEnd w:id="2011"/>
    </w:p>
    <w:p>
      <w:pPr>
        <w:pStyle w:val="Heading6"/>
      </w:pPr>
      <w:bookmarkStart w:id="2012" w:name="_Toc1047"/>
      <w:r>
        <w:t>اشارة</w:t>
      </w:r>
      <w:bookmarkEnd w:id="2012"/>
    </w:p>
    <w:p>
      <w:pPr>
        <w:pStyle w:val="BookText"/>
      </w:pPr>
      <w:r>
        <w:rPr>
          <w:rFonts w:ascii="IRNazanin" w:hAnsi="IRNazanin" w:eastAsia="IRNazanin" w:cs="IRNazanin"/>
          <w:lang w:bidi="fa-IR"/>
          <w:color w:val="111111"/>
          <w:sz w:val="28"/>
          <w:szCs w:val="28"/>
          <w:rtl/>
        </w:rPr>
        <w:t xml:space="preserve">أنّه لا فرق فی احتمال خلاف الحالة السابقة بین أن یکون مساویا لاحتمال بقائه،أو راجحا علیه بأمارة غیر معتبرة.</w:t>
      </w:r>
    </w:p>
    <w:p>
      <w:pPr>
        <w:pStyle w:val="BookText"/>
      </w:pPr>
      <w:r>
        <w:rPr>
          <w:rFonts w:ascii="IRNazanin" w:hAnsi="IRNazanin" w:eastAsia="IRNazanin" w:cs="IRNazanin"/>
          <w:lang w:bidi="fa-IR"/>
          <w:color w:val="111111"/>
          <w:sz w:val="28"/>
          <w:szCs w:val="28"/>
          <w:rtl/>
        </w:rPr>
        <w:t xml:space="preserve">و یدلّ علیه وجوه:</w:t>
      </w:r>
    </w:p>
    <w:p>
      <w:pPr>
        <w:pStyle w:val="Heading6"/>
      </w:pPr>
      <w:bookmarkStart w:id="2013" w:name="_Toc1048"/>
      <w:r>
        <w:t>[الوجه ] الأوّل:الإجماع القطعیّ</w:t>
      </w:r>
      <w:bookmarkEnd w:id="2013"/>
    </w:p>
    <w:p>
      <w:pPr>
        <w:pStyle w:val="BookText"/>
      </w:pPr>
      <w:r>
        <w:rPr>
          <w:rFonts w:ascii="IRNazanin" w:hAnsi="IRNazanin" w:eastAsia="IRNazanin" w:cs="IRNazanin"/>
          <w:lang w:bidi="fa-IR"/>
          <w:color w:val="111111"/>
          <w:sz w:val="28"/>
          <w:szCs w:val="28"/>
          <w:rtl/>
        </w:rPr>
        <w:t xml:space="preserve">علی تقدیر اعتبار الاستصحاب من باب الأخبار.</w:t>
      </w:r>
    </w:p>
    <w:p>
      <w:pPr>
        <w:pStyle w:val="Heading6"/>
      </w:pPr>
      <w:bookmarkStart w:id="2014" w:name="_Toc1049"/>
      <w:r>
        <w:t>[الوجه:] الثانی:أنّ المراد بالشکّ فی الروایات معناه اللغویّ،</w:t>
      </w:r>
      <w:bookmarkEnd w:id="2014"/>
    </w:p>
    <w:p>
      <w:pPr>
        <w:pStyle w:val="BookText"/>
      </w:pPr>
      <w:r>
        <w:rPr>
          <w:rFonts w:ascii="IRNazanin" w:hAnsi="IRNazanin" w:eastAsia="IRNazanin" w:cs="IRNazanin"/>
          <w:lang w:bidi="fa-IR"/>
          <w:color w:val="111111"/>
          <w:sz w:val="28"/>
          <w:szCs w:val="28"/>
          <w:rtl/>
        </w:rPr>
        <w:t xml:space="preserve">و هو خلاف الیقین،کما فی الصحاح </w:t>
      </w:r>
      <w:r>
        <w:rPr>
          <w:rStyle w:val="FootnoteReference"/>
        </w:rPr>
        <w:footnoteReference w:id="2385"/>
      </w:r>
      <w:r>
        <w:rPr>
          <w:rFonts w:ascii="IRNazanin" w:hAnsi="IRNazanin" w:eastAsia="IRNazanin" w:cs="IRNazanin"/>
          <w:lang w:bidi="fa-IR"/>
          <w:color w:val="111111"/>
          <w:sz w:val="28"/>
          <w:szCs w:val="28"/>
          <w:rtl/>
        </w:rPr>
        <w:t xml:space="preserve">.و لا خلاف فیه ظاهرا </w:t>
      </w:r>
      <w:r>
        <w:rPr>
          <w:rStyle w:val="FootnoteReference"/>
        </w:rPr>
        <w:footnoteReference w:id="23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دعوی:انصراف المطلق فی الروایات إلی معناه الأخصّ،و هو الاحتمال المساوی،لا شاهد لها،بل یشهد بخلافها-مضافا إلی تعارف إطلاق الشکّ فی الأخبار علی المعنی الأعمّ </w:t>
      </w:r>
      <w:r>
        <w:rPr>
          <w:rStyle w:val="FootnoteReference"/>
        </w:rPr>
        <w:footnoteReference w:id="2387"/>
      </w:r>
      <w:r>
        <w:rPr>
          <w:rFonts w:ascii="IRNazanin" w:hAnsi="IRNazanin" w:eastAsia="IRNazanin" w:cs="IRNazanin"/>
          <w:lang w:bidi="fa-IR"/>
          <w:color w:val="111111"/>
          <w:sz w:val="28"/>
          <w:szCs w:val="28"/>
          <w:rtl/>
        </w:rPr>
        <w:t xml:space="preserve">-موارد من الأخبار:</w:t>
      </w:r>
    </w:p>
    <w:p>
      <w:pPr>
        <w:pStyle w:val="BookText"/>
      </w:pPr>
      <w:r>
        <w:rPr>
          <w:rFonts w:ascii="IRNazanin" w:hAnsi="IRNazanin" w:eastAsia="IRNazanin" w:cs="IRNazanin"/>
          <w:lang w:bidi="fa-IR"/>
          <w:color w:val="111111"/>
          <w:sz w:val="28"/>
          <w:szCs w:val="28"/>
          <w:rtl/>
        </w:rPr>
        <w:t xml:space="preserve">منها:مقابلة الشکّ بالیقین فی جمیع الأخبار.</w:t>
      </w:r>
    </w:p>
    <w:p>
      <w:pPr>
        <w:pStyle w:val="BookText"/>
      </w:pPr>
      <w:r>
        <w:rPr>
          <w:rFonts w:ascii="IRNazanin" w:hAnsi="IRNazanin" w:eastAsia="IRNazanin" w:cs="IRNazanin"/>
          <w:lang w:bidi="fa-IR"/>
          <w:color w:val="111111"/>
          <w:sz w:val="28"/>
          <w:szCs w:val="28"/>
          <w:rtl/>
        </w:rPr>
        <w:t xml:space="preserve">[شماره صفحه واقعی : 285]
</w:t>
      </w:r>
    </w:p>
    <w:p>
      <w:pPr>
        <w:sectPr>
          <w:footerReference w:type="default" r:id="rId797"/>
          <w:footnotePr>
            <w:numStart w:val="1"/>
            <w:numRestart w:val="eachPage"/>
          </w:footnotePr>
          <w:pgSz w:orient="portrait" w:w="11905.511811023622" w:h="16837.79527559055"/>
          <w:pgMar w:top="1440" w:right="1440" w:bottom="1440" w:left="1440" w:header="720" w:footer="720" w:gutter="0"/>
          <w:cols w:num="1" w:space="720"/>
        </w:sectPr>
      </w:pPr>
    </w:p>
    <w:bookmarkStart w:id="497" w:name="pg14411_143179"/>
    <w:bookmarkEnd w:id="497"/>
    <w:p>
      <w:pPr>
        <w:pStyle w:val="BookText"/>
      </w:pPr>
      <w:r>
        <w:rPr>
          <w:rFonts w:ascii="IRNazanin" w:hAnsi="IRNazanin" w:eastAsia="IRNazanin" w:cs="IRNazanin"/>
          <w:lang w:bidi="fa-IR"/>
          <w:color w:val="111111"/>
          <w:sz w:val="28"/>
          <w:szCs w:val="28"/>
          <w:rtl/>
        </w:rPr>
        <w:t xml:space="preserve">و منها:قوله علیه السّلام فی صحیحة زرارة الاولی </w:t>
      </w:r>
      <w:r>
        <w:rPr>
          <w:rStyle w:val="FootnoteReference"/>
        </w:rPr>
        <w:footnoteReference w:id="2388"/>
      </w:r>
      <w:r>
        <w:rPr>
          <w:rFonts w:ascii="IRNazanin" w:hAnsi="IRNazanin" w:eastAsia="IRNazanin" w:cs="IRNazanin"/>
          <w:lang w:bidi="fa-IR"/>
          <w:color w:val="111111"/>
          <w:sz w:val="28"/>
          <w:szCs w:val="28"/>
          <w:rtl/>
        </w:rPr>
        <w:t xml:space="preserve">:«فإن حرّک إلی جنبه شیء و هو لا یعلم به»؛فإنّ ظاهره فرض السؤال فیما کان معه أمارة النوم.</w:t>
      </w:r>
    </w:p>
    <w:p>
      <w:pPr>
        <w:pStyle w:val="BookText"/>
      </w:pPr>
      <w:r>
        <w:rPr>
          <w:rFonts w:ascii="IRNazanin" w:hAnsi="IRNazanin" w:eastAsia="IRNazanin" w:cs="IRNazanin"/>
          <w:lang w:bidi="fa-IR"/>
          <w:color w:val="111111"/>
          <w:sz w:val="28"/>
          <w:szCs w:val="28"/>
          <w:rtl/>
        </w:rPr>
        <w:t xml:space="preserve">و منها:قوله علیه السّلام:«لا،حتّی یستیقن»؛حیث جعل غایة وجوب الوضوء الاستیقان بالنوم و مجیء أمر بیّن عنه.</w:t>
      </w:r>
    </w:p>
    <w:p>
      <w:pPr>
        <w:pStyle w:val="BookText"/>
      </w:pPr>
      <w:r>
        <w:rPr>
          <w:rFonts w:ascii="IRNazanin" w:hAnsi="IRNazanin" w:eastAsia="IRNazanin" w:cs="IRNazanin"/>
          <w:lang w:bidi="fa-IR"/>
          <w:color w:val="111111"/>
          <w:sz w:val="28"/>
          <w:szCs w:val="28"/>
          <w:rtl/>
        </w:rPr>
        <w:t xml:space="preserve">و منها:قوله علیه السّلام:«و لکن ینقضه بیقین آخر»؛فإنّ الظاهر سوقه فی مقام بیان حصر ناقض الیقین فی الیقین.</w:t>
      </w:r>
    </w:p>
    <w:p>
      <w:pPr>
        <w:pStyle w:val="BookText"/>
      </w:pPr>
      <w:r>
        <w:rPr>
          <w:rFonts w:ascii="IRNazanin" w:hAnsi="IRNazanin" w:eastAsia="IRNazanin" w:cs="IRNazanin"/>
          <w:lang w:bidi="fa-IR"/>
          <w:color w:val="111111"/>
          <w:sz w:val="28"/>
          <w:szCs w:val="28"/>
          <w:rtl/>
        </w:rPr>
        <w:t xml:space="preserve">و منها:قوله علیه السّلام فی صحیحة زرارة الثانیة </w:t>
      </w:r>
      <w:r>
        <w:rPr>
          <w:rStyle w:val="FootnoteReference"/>
        </w:rPr>
        <w:footnoteReference w:id="2389"/>
      </w:r>
      <w:r>
        <w:rPr>
          <w:rFonts w:ascii="IRNazanin" w:hAnsi="IRNazanin" w:eastAsia="IRNazanin" w:cs="IRNazanin"/>
          <w:lang w:bidi="fa-IR"/>
          <w:color w:val="111111"/>
          <w:sz w:val="28"/>
          <w:szCs w:val="28"/>
          <w:rtl/>
        </w:rPr>
        <w:t xml:space="preserve">:«فلعلّه شیء أوقع علیک،و لیس ینبغی لک أن تنقض الیقین بالشّکّ»؛فإنّ کلمة«لعلّ» ظاهرة فی مجرّد الاحتمال،خصوصا مع وروده فی مقام إبداء ذلک کما فی المقام،فیکون الحکم متفرّعا علیه.</w:t>
      </w:r>
    </w:p>
    <w:p>
      <w:pPr>
        <w:pStyle w:val="BookText"/>
      </w:pPr>
      <w:r>
        <w:rPr>
          <w:rFonts w:ascii="IRNazanin" w:hAnsi="IRNazanin" w:eastAsia="IRNazanin" w:cs="IRNazanin"/>
          <w:lang w:bidi="fa-IR"/>
          <w:color w:val="111111"/>
          <w:sz w:val="28"/>
          <w:szCs w:val="28"/>
          <w:rtl/>
        </w:rPr>
        <w:t xml:space="preserve">و منها:تفریع قوله علیه السّلام:«صم للرّؤیة و أفطر للرّؤیة»علی قوله علیه السّلام:</w:t>
      </w:r>
    </w:p>
    <w:p>
      <w:pPr>
        <w:pStyle w:val="BookText"/>
      </w:pPr>
      <w:r>
        <w:rPr>
          <w:rFonts w:ascii="Amiri" w:hAnsi="Amiri" w:eastAsia="Amiri" w:cs="Amiri"/>
          <w:lang w:bidi="ar-SA"/>
          <w:color w:val="111111"/>
          <w:sz w:val="28"/>
          <w:szCs w:val="28"/>
          <w:rtl/>
        </w:rPr>
        <w:t xml:space="preserve">«الیقین لا یدخله الشّکّ» </w:t>
      </w:r>
      <w:r>
        <w:rPr>
          <w:rStyle w:val="FootnoteReference"/>
        </w:rPr>
        <w:footnoteReference w:id="2390"/>
      </w:r>
      <w:r>
        <w:rPr>
          <w:rFonts w:ascii="Times New Roman" w:hAnsi="Times New Roman" w:eastAsia="Times New Roman" w:cs="Times New Roman"/>
          <w:lang w:val="en-US" w:bidi="en-US"/>
          <w:color w:val="111111"/>
          <w:sz w:val="28"/>
          <w:szCs w:val="28"/>
          <w:rtl/>
        </w:rPr>
        <w:t xml:space="preserve">.</w:t>
      </w:r>
    </w:p>
    <w:p>
      <w:pPr>
        <w:pStyle w:val="Heading6"/>
      </w:pPr>
      <w:bookmarkStart w:id="2015" w:name="_Toc1050"/>
      <w:r>
        <w:t>[الوجه:] الثالث:أنّ الظنّ الغیر المعتبر إن علم بعدم اعتباره</w:t>
      </w:r>
      <w:bookmarkEnd w:id="2015"/>
    </w:p>
    <w:p>
      <w:pPr>
        <w:pStyle w:val="Heading6"/>
      </w:pPr>
      <w:bookmarkStart w:id="2016" w:name="_Toc1051"/>
      <w:r>
        <w:t>اشارة</w:t>
      </w:r>
      <w:bookmarkEnd w:id="2016"/>
    </w:p>
    <w:p>
      <w:pPr>
        <w:pStyle w:val="BookText"/>
      </w:pPr>
      <w:r>
        <w:rPr>
          <w:rFonts w:ascii="IRNazanin" w:hAnsi="IRNazanin" w:eastAsia="IRNazanin" w:cs="IRNazanin"/>
          <w:lang w:bidi="fa-IR"/>
          <w:color w:val="111111"/>
          <w:sz w:val="28"/>
          <w:szCs w:val="28"/>
          <w:rtl/>
        </w:rPr>
        <w:t xml:space="preserve">بالدلیل،فمعناه أنّ وجوده کعدمه عند الشارع،و أنّ کلّ ما یترتّب شرعا علی تقدیر عدمه فهو المترتّب علی تقدیر وجوده.و إن کان ممّا شکّ فی اعتباره، فمرجع رفع الید عن الیقین بالحکم الفعلیّ السابق بسببه،إلی نقض الیقین بالشکّ،فتأمّل جدّا </w:t>
      </w:r>
      <w:r>
        <w:rPr>
          <w:rStyle w:val="FootnoteReference"/>
        </w:rPr>
        <w:footnoteReference w:id="23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286]
</w:t>
      </w:r>
    </w:p>
    <w:p>
      <w:pPr>
        <w:sectPr>
          <w:footerReference w:type="default" r:id="rId798"/>
          <w:footnotePr>
            <w:numStart w:val="1"/>
            <w:numRestart w:val="eachPage"/>
          </w:footnotePr>
          <w:pgSz w:orient="portrait" w:w="11905.511811023622" w:h="16837.79527559055"/>
          <w:pgMar w:top="1440" w:right="1440" w:bottom="1440" w:left="1440" w:header="720" w:footer="720" w:gutter="0"/>
          <w:cols w:num="1" w:space="720"/>
        </w:sectPr>
      </w:pPr>
    </w:p>
    <w:bookmarkStart w:id="498" w:name="pg14411_143180"/>
    <w:bookmarkEnd w:id="498"/>
    <w:p>
      <w:pPr>
        <w:pStyle w:val="BookText"/>
      </w:pPr>
      <w:r>
        <w:rPr>
          <w:rFonts w:ascii="IRNazanin" w:hAnsi="IRNazanin" w:eastAsia="IRNazanin" w:cs="IRNazanin"/>
          <w:lang w:bidi="fa-IR"/>
          <w:color w:val="111111"/>
          <w:sz w:val="28"/>
          <w:szCs w:val="28"/>
          <w:rtl/>
        </w:rPr>
        <w:t xml:space="preserve">هذا کلّه علی تقدیر اعتبار الاستصحاب من باب التعبّد المستنبط من الأخبار.</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 أمّا علی تقدیر اعتباره من باب الظنّ الحاصل من تحقّق المستصحب فی السابق،فظاهر کلماتهم أنّه لا یقدح فیه أیضا وجود الأمارة الغیر المعتبرة،فیکون العبرة فیه عندهم بالظنّ النوعیّ و إن کان الظنّ الشخصیّ علی خلافه؛و لذا تمسّکوا به فی مقامات غیر محصورة علی الوجه الکلّیّ،من غیر التفات إلی وجود الأمارات الغیر المعتبرة فی خصوصیّات الموارد.</w:t>
      </w:r>
    </w:p>
    <w:p>
      <w:pPr>
        <w:pStyle w:val="BookText"/>
      </w:pPr>
      <w:r>
        <w:rPr>
          <w:rFonts w:ascii="IRNazanin" w:hAnsi="IRNazanin" w:eastAsia="IRNazanin" w:cs="IRNazanin"/>
          <w:lang w:bidi="fa-IR"/>
          <w:color w:val="111111"/>
          <w:sz w:val="28"/>
          <w:szCs w:val="28"/>
          <w:rtl/>
        </w:rPr>
        <w:t xml:space="preserve">و اعلم:أنّ الشهید قدّس سرّه فی الذکری-بعد ما ذکر مسألة الشکّ فی تقدّم الحدث علی الطهارة-قال:</w:t>
      </w:r>
    </w:p>
    <w:p>
      <w:pPr>
        <w:pStyle w:val="Heading6"/>
      </w:pPr>
      <w:bookmarkStart w:id="2017" w:name="_Toc1052"/>
      <w:r>
        <w:t>تنبیه: [کلام الشهید فی الذکری]</w:t>
      </w:r>
      <w:bookmarkEnd w:id="2017"/>
    </w:p>
    <w:p>
      <w:pPr>
        <w:pStyle w:val="BookText"/>
      </w:pPr>
      <w:r>
        <w:rPr>
          <w:rFonts w:ascii="IRNazanin" w:hAnsi="IRNazanin" w:eastAsia="IRNazanin" w:cs="IRNazanin"/>
          <w:lang w:bidi="fa-IR"/>
          <w:color w:val="111111"/>
          <w:sz w:val="28"/>
          <w:szCs w:val="28"/>
          <w:rtl/>
        </w:rPr>
        <w:t xml:space="preserve">قولنا:«الیقین لا یرفعه الشکّ»،لا نعنی به اجتماع الیقین و الشکّ فی زمان واحد؛لامتناع ذلک،ضرورة أنّ الشکّ فی أحد النقیضین یرفع یقین الآخر،بل المعنیّ به:أنّ الیقین الذی کان فی الزمن الأوّل لا یخرج عن حکمه بالشکّ فی الزمان الثانی؛لأصالة بقاء ما کان علی ما کان،فیؤول إلی اجتماع الظنّ و الشکّ فی الزمان الواحد،فیرجّح الظنّ علیه،کما هو مطّرد فی العبادات </w:t>
      </w:r>
      <w:r>
        <w:rPr>
          <w:rStyle w:val="FootnoteReference"/>
        </w:rPr>
        <w:footnoteReference w:id="2392"/>
      </w:r>
      <w:r>
        <w:rPr>
          <w:rFonts w:ascii="IRNazanin" w:hAnsi="IRNazanin" w:eastAsia="IRNazanin" w:cs="IRNazanin"/>
          <w:lang w:bidi="fa-IR"/>
          <w:color w:val="111111"/>
          <w:sz w:val="28"/>
          <w:szCs w:val="28"/>
          <w:rtl/>
        </w:rPr>
        <w:t xml:space="preserve">،انتهی.</w:t>
      </w:r>
    </w:p>
    <w:p>
      <w:pPr>
        <w:pStyle w:val="Heading6"/>
      </w:pPr>
      <w:bookmarkStart w:id="2018" w:name="_Toc1053"/>
      <w:r>
        <w:t>[توجیه کلام الشهید«قدس سره»:]</w:t>
      </w:r>
      <w:bookmarkEnd w:id="2018"/>
    </w:p>
    <w:p>
      <w:pPr>
        <w:pStyle w:val="BookText"/>
      </w:pPr>
      <w:r>
        <w:rPr>
          <w:rFonts w:ascii="IRNazanin" w:hAnsi="IRNazanin" w:eastAsia="IRNazanin" w:cs="IRNazanin"/>
          <w:lang w:bidi="fa-IR"/>
          <w:color w:val="111111"/>
          <w:sz w:val="28"/>
          <w:szCs w:val="28"/>
          <w:rtl/>
        </w:rPr>
        <w:t xml:space="preserve">و مراده من الشکّ معناه اللغویّ،و هو مجرّد الاحتمال المنافی للیقین، فلا ینافی ثبوت الظنّ الحاصل من أصالة بقاء ما کان،فلا یرد ما اورد علیه </w:t>
      </w:r>
      <w:r>
        <w:rPr>
          <w:rStyle w:val="FootnoteReference"/>
        </w:rPr>
        <w:footnoteReference w:id="2393"/>
      </w:r>
      <w:r>
        <w:rPr>
          <w:rFonts w:ascii="IRNazanin" w:hAnsi="IRNazanin" w:eastAsia="IRNazanin" w:cs="IRNazanin"/>
          <w:lang w:bidi="fa-IR"/>
          <w:color w:val="111111"/>
          <w:sz w:val="28"/>
          <w:szCs w:val="28"/>
          <w:rtl/>
        </w:rPr>
        <w:t xml:space="preserve">:من أنّ الظنّ کالیقین فی عدم الاجتماع مع الشکّ.</w:t>
      </w:r>
    </w:p>
    <w:p>
      <w:pPr>
        <w:pStyle w:val="BookText"/>
      </w:pPr>
      <w:r>
        <w:rPr>
          <w:rFonts w:ascii="IRNazanin" w:hAnsi="IRNazanin" w:eastAsia="IRNazanin" w:cs="IRNazanin"/>
          <w:lang w:bidi="fa-IR"/>
          <w:color w:val="111111"/>
          <w:sz w:val="28"/>
          <w:szCs w:val="28"/>
          <w:rtl/>
        </w:rPr>
        <w:t xml:space="preserve">[شماره صفحه واقعی : 287]
</w:t>
      </w:r>
    </w:p>
    <w:p>
      <w:pPr>
        <w:sectPr>
          <w:footerReference w:type="default" r:id="rId799"/>
          <w:footnotePr>
            <w:numStart w:val="1"/>
            <w:numRestart w:val="eachPage"/>
          </w:footnotePr>
          <w:pgSz w:orient="portrait" w:w="11905.511811023622" w:h="16837.79527559055"/>
          <w:pgMar w:top="1440" w:right="1440" w:bottom="1440" w:left="1440" w:header="720" w:footer="720" w:gutter="0"/>
          <w:cols w:num="1" w:space="720"/>
        </w:sectPr>
      </w:pPr>
    </w:p>
    <w:bookmarkStart w:id="499" w:name="pg14411_143181"/>
    <w:bookmarkEnd w:id="499"/>
    <w:p>
      <w:pPr>
        <w:pStyle w:val="Heading6"/>
      </w:pPr>
      <w:bookmarkStart w:id="2019" w:name="_Toc1054"/>
      <w:r>
        <w:t>[ما یرد علی هذا التوجیه:]</w:t>
      </w:r>
      <w:bookmarkEnd w:id="2019"/>
    </w:p>
    <w:p>
      <w:pPr>
        <w:pStyle w:val="BookText"/>
      </w:pPr>
      <w:r>
        <w:rPr>
          <w:rFonts w:ascii="IRNazanin" w:hAnsi="IRNazanin" w:eastAsia="IRNazanin" w:cs="IRNazanin"/>
          <w:lang w:bidi="fa-IR"/>
          <w:color w:val="111111"/>
          <w:sz w:val="28"/>
          <w:szCs w:val="28"/>
          <w:rtl/>
        </w:rPr>
        <w:t xml:space="preserve">نعم،یرد علی ما ذکرنا من التوجیه:أنّ الشهید قدّس سرّه فی مقام دفع ما یتوهّم من التناقض المتوهّم </w:t>
      </w:r>
      <w:r>
        <w:rPr>
          <w:rStyle w:val="FootnoteReference"/>
        </w:rPr>
        <w:footnoteReference w:id="2394"/>
      </w:r>
      <w:r>
        <w:rPr>
          <w:rFonts w:ascii="IRNazanin" w:hAnsi="IRNazanin" w:eastAsia="IRNazanin" w:cs="IRNazanin"/>
          <w:lang w:bidi="fa-IR"/>
          <w:color w:val="111111"/>
          <w:sz w:val="28"/>
          <w:szCs w:val="28"/>
          <w:rtl/>
        </w:rPr>
        <w:t xml:space="preserve">فی قولهم:«الیقین لا یرفعه الشّکّ»، و لا ریب أنّ الشکّ الذی حکم بأنّه لا یرفع الیقین،لیس المراد منه الاحتمال الموهوم؛لأنّه إنّما یصیر موهوما بعد ملاحظة أصالة بقاء ما کان،نظیر المشکوک الذی یراد إلحاقه بالغالب،فإنّه یصیر مظنونا </w:t>
      </w:r>
      <w:r>
        <w:rPr>
          <w:rStyle w:val="FootnoteReference"/>
        </w:rPr>
        <w:footnoteReference w:id="2395"/>
      </w:r>
      <w:r>
        <w:rPr>
          <w:rFonts w:ascii="IRNazanin" w:hAnsi="IRNazanin" w:eastAsia="IRNazanin" w:cs="IRNazanin"/>
          <w:lang w:bidi="fa-IR"/>
          <w:color w:val="111111"/>
          <w:sz w:val="28"/>
          <w:szCs w:val="28"/>
          <w:rtl/>
        </w:rPr>
        <w:t xml:space="preserve">بعد ملاحظة الغلبة.و علی تقدیر إرادة الاحتمال الموهوم-کما ذکره المدقّق الخوانساری </w:t>
      </w:r>
      <w:r>
        <w:rPr>
          <w:rStyle w:val="FootnoteReference"/>
        </w:rPr>
        <w:footnoteReference w:id="2396"/>
      </w:r>
      <w:r>
        <w:rPr>
          <w:rFonts w:ascii="IRNazanin" w:hAnsi="IRNazanin" w:eastAsia="IRNazanin" w:cs="IRNazanin"/>
          <w:lang w:bidi="fa-IR"/>
          <w:color w:val="111111"/>
          <w:sz w:val="28"/>
          <w:szCs w:val="28"/>
          <w:rtl/>
        </w:rPr>
        <w:t xml:space="preserve">-فلا یندفع به توهّم اجتماع الوهم و الیقین المستفاد من عدم رفع الأوّل للثانی.و إرادة الیقین السابق و الشکّ اللاحق یغنی عن إرادة خصوص الوهم من الشکّ.</w:t>
      </w:r>
    </w:p>
    <w:p>
      <w:pPr>
        <w:pStyle w:val="BookText"/>
      </w:pPr>
      <w:r>
        <w:rPr>
          <w:rFonts w:ascii="IRNazanin" w:hAnsi="IRNazanin" w:eastAsia="IRNazanin" w:cs="IRNazanin"/>
          <w:lang w:bidi="fa-IR"/>
          <w:color w:val="111111"/>
          <w:sz w:val="28"/>
          <w:szCs w:val="28"/>
          <w:rtl/>
        </w:rPr>
        <w:t xml:space="preserve">و کیف کان،فما ذکره المورد-من اشتراک الظنّ و الیقین فی عدم الاجتماع مع الشکّ مطلقا-فی محلّه.</w:t>
      </w:r>
    </w:p>
    <w:p>
      <w:pPr>
        <w:pStyle w:val="Heading6"/>
      </w:pPr>
      <w:bookmarkStart w:id="2020" w:name="_Toc1055"/>
      <w:r>
        <w:t>[المراد من قولهم:«الیقین لا یرفعه الشکّ»:]</w:t>
      </w:r>
      <w:bookmarkEnd w:id="2020"/>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فالأولی أن یقال:إنّ قولهم:«الیقین لا یرفعه الشکّ»لا دلالة فیه علی اجتماعهما فی زمان واحد،إلاّ من حیث الحکم فی تلک القضیّة بعدم الرفع.و لا ریب أنّ هذا لیس إخبارا عن الواقع؛لأنّه کذب، و لیس حکما شرعیّا بإبقاء نفس الیقین أیضا؛لأنّه غیر معقول،و إنّما هو حکم شرعیّ بعدم </w:t>
      </w:r>
      <w:r>
        <w:rPr>
          <w:rStyle w:val="FootnoteReference"/>
        </w:rPr>
        <w:footnoteReference w:id="2397"/>
      </w:r>
      <w:r>
        <w:rPr>
          <w:rFonts w:ascii="IRNazanin" w:hAnsi="IRNazanin" w:eastAsia="IRNazanin" w:cs="IRNazanin"/>
          <w:lang w:bidi="fa-IR"/>
          <w:color w:val="111111"/>
          <w:sz w:val="28"/>
          <w:szCs w:val="28"/>
          <w:rtl/>
        </w:rPr>
        <w:t xml:space="preserve">رفع آثار الیقین السابق بالشکّ اللاحق،سواء کان احتمالا مساویا أو مرجوحا.</w:t>
      </w:r>
    </w:p>
    <w:p>
      <w:pPr>
        <w:pStyle w:val="BookText"/>
      </w:pPr>
      <w:r>
        <w:rPr>
          <w:rFonts w:ascii="IRNazanin" w:hAnsi="IRNazanin" w:eastAsia="IRNazanin" w:cs="IRNazanin"/>
          <w:lang w:bidi="fa-IR"/>
          <w:color w:val="111111"/>
          <w:sz w:val="28"/>
          <w:szCs w:val="28"/>
          <w:rtl/>
        </w:rPr>
        <w:t xml:space="preserve">[شماره صفحه واقعی : 288]
</w:t>
      </w:r>
    </w:p>
    <w:p>
      <w:pPr>
        <w:sectPr>
          <w:footerReference w:type="default" r:id="rId800"/>
          <w:footnotePr>
            <w:numStart w:val="1"/>
            <w:numRestart w:val="eachPage"/>
          </w:footnotePr>
          <w:pgSz w:orient="portrait" w:w="11905.511811023622" w:h="16837.79527559055"/>
          <w:pgMar w:top="1440" w:right="1440" w:bottom="1440" w:left="1440" w:header="720" w:footer="720" w:gutter="0"/>
          <w:cols w:num="1" w:space="720"/>
        </w:sectPr>
      </w:pPr>
    </w:p>
    <w:bookmarkStart w:id="500" w:name="pg14411_143182"/>
    <w:bookmarkEnd w:id="500"/>
    <w:p>
      <w:pPr>
        <w:pStyle w:val="Heading5"/>
      </w:pPr>
      <w:bookmarkStart w:id="2021" w:name="_Toc1056"/>
      <w:r>
        <w:t>خاتمة</w:t>
      </w:r>
      <w:bookmarkEnd w:id="2021"/>
    </w:p>
    <w:p>
      <w:pPr>
        <w:pStyle w:val="Heading6"/>
      </w:pPr>
      <w:bookmarkStart w:id="2022" w:name="_Toc1057"/>
      <w:r>
        <w:t>[شرائط العمل بالاستصحاب:]</w:t>
      </w:r>
      <w:bookmarkEnd w:id="2022"/>
    </w:p>
    <w:p>
      <w:pPr>
        <w:pStyle w:val="Heading6"/>
      </w:pPr>
      <w:bookmarkStart w:id="2023" w:name="_Toc1058"/>
      <w:r>
        <w:t>اشارة</w:t>
      </w:r>
      <w:bookmarkEnd w:id="2023"/>
    </w:p>
    <w:p>
      <w:pPr>
        <w:pStyle w:val="BookText"/>
      </w:pPr>
      <w:r>
        <w:rPr>
          <w:rFonts w:ascii="IRNazanin" w:hAnsi="IRNazanin" w:eastAsia="IRNazanin" w:cs="IRNazanin"/>
          <w:lang w:bidi="fa-IR"/>
          <w:color w:val="111111"/>
          <w:sz w:val="28"/>
          <w:szCs w:val="28"/>
          <w:rtl/>
        </w:rPr>
        <w:t xml:space="preserve">ذکر بعضهم </w:t>
      </w:r>
      <w:r>
        <w:rPr>
          <w:rStyle w:val="FootnoteReference"/>
        </w:rPr>
        <w:footnoteReference w:id="2398"/>
      </w:r>
      <w:r>
        <w:rPr>
          <w:rFonts w:ascii="IRNazanin" w:hAnsi="IRNazanin" w:eastAsia="IRNazanin" w:cs="IRNazanin"/>
          <w:lang w:bidi="fa-IR"/>
          <w:color w:val="111111"/>
          <w:sz w:val="28"/>
          <w:szCs w:val="28"/>
          <w:rtl/>
        </w:rPr>
        <w:t xml:space="preserve">للعمل بالاستصحاب شروطا،کبقاء الموضوع،و عدم المعارض،و وجوب الفحص.</w:t>
      </w:r>
    </w:p>
    <w:p>
      <w:pPr>
        <w:pStyle w:val="BookText"/>
      </w:pPr>
      <w:r>
        <w:rPr>
          <w:rFonts w:ascii="IRNazanin" w:hAnsi="IRNazanin" w:eastAsia="IRNazanin" w:cs="IRNazanin"/>
          <w:lang w:bidi="fa-IR"/>
          <w:color w:val="111111"/>
          <w:sz w:val="28"/>
          <w:szCs w:val="28"/>
          <w:rtl/>
        </w:rPr>
        <w:t xml:space="preserve">و التحقیق:رجوع الکلّ إلی شروط جریان الاستصحاب.</w:t>
      </w:r>
    </w:p>
    <w:p>
      <w:pPr>
        <w:pStyle w:val="BookText"/>
      </w:pPr>
      <w:r>
        <w:rPr>
          <w:rFonts w:ascii="IRNazanin" w:hAnsi="IRNazanin" w:eastAsia="IRNazanin" w:cs="IRNazanin"/>
          <w:lang w:bidi="fa-IR"/>
          <w:color w:val="111111"/>
          <w:sz w:val="28"/>
          <w:szCs w:val="28"/>
          <w:rtl/>
        </w:rPr>
        <w:t xml:space="preserve">و توضیح ذلک:أنّک قد عرفت أنّ الاستصحاب عبارة عن إبقاء ما شکّ فی بقائه،و هذا لا یتحقّق إلاّ مع الشکّ فی بقاء القضیّة المحقّقة </w:t>
      </w:r>
      <w:r>
        <w:rPr>
          <w:rStyle w:val="FootnoteReference"/>
        </w:rPr>
        <w:footnoteReference w:id="2399"/>
      </w:r>
      <w:r>
        <w:rPr>
          <w:rFonts w:ascii="IRNazanin" w:hAnsi="IRNazanin" w:eastAsia="IRNazanin" w:cs="IRNazanin"/>
          <w:lang w:bidi="fa-IR"/>
          <w:color w:val="111111"/>
          <w:sz w:val="28"/>
          <w:szCs w:val="28"/>
          <w:rtl/>
        </w:rPr>
        <w:t xml:space="preserve">فی السابق بعینها فی الزمان اللاحق.</w:t>
      </w:r>
    </w:p>
    <w:p>
      <w:pPr>
        <w:pStyle w:val="BookText"/>
      </w:pPr>
      <w:r>
        <w:rPr>
          <w:rFonts w:ascii="IRNazanin" w:hAnsi="IRNazanin" w:eastAsia="IRNazanin" w:cs="IRNazanin"/>
          <w:lang w:bidi="fa-IR"/>
          <w:color w:val="111111"/>
          <w:sz w:val="28"/>
          <w:szCs w:val="28"/>
          <w:rtl/>
        </w:rPr>
        <w:t xml:space="preserve">و الشکّ علی هذا الوجه لا یتحقّق إلاّ بامور:</w:t>
      </w:r>
    </w:p>
    <w:p>
      <w:pPr>
        <w:pStyle w:val="Heading6"/>
      </w:pPr>
      <w:bookmarkStart w:id="2024" w:name="_Toc1059"/>
      <w:r>
        <w:t>الأمر الأوّل [:اشتراط بقاء الموضوع:]</w:t>
      </w:r>
      <w:bookmarkEnd w:id="2024"/>
    </w:p>
    <w:p>
      <w:pPr>
        <w:pStyle w:val="Heading6"/>
      </w:pPr>
      <w:bookmarkStart w:id="2025" w:name="_Toc1060"/>
      <w:r>
        <w:t>اشارة</w:t>
      </w:r>
      <w:bookmarkEnd w:id="2025"/>
    </w:p>
    <w:p>
      <w:pPr>
        <w:pStyle w:val="BookText"/>
      </w:pPr>
      <w:r>
        <w:rPr>
          <w:rFonts w:ascii="IRNazanin" w:hAnsi="IRNazanin" w:eastAsia="IRNazanin" w:cs="IRNazanin"/>
          <w:lang w:bidi="fa-IR"/>
          <w:color w:val="111111"/>
          <w:sz w:val="28"/>
          <w:szCs w:val="28"/>
          <w:rtl/>
        </w:rPr>
        <w:t xml:space="preserve">بقاء الموضوع فی الزمان اللاحق،و المراد به معروض المستصحب.</w:t>
      </w:r>
    </w:p>
    <w:p>
      <w:pPr>
        <w:pStyle w:val="BookText"/>
      </w:pPr>
      <w:r>
        <w:rPr>
          <w:rFonts w:ascii="IRNazanin" w:hAnsi="IRNazanin" w:eastAsia="IRNazanin" w:cs="IRNazanin"/>
          <w:lang w:bidi="fa-IR"/>
          <w:color w:val="111111"/>
          <w:sz w:val="28"/>
          <w:szCs w:val="28"/>
          <w:rtl/>
        </w:rPr>
        <w:t xml:space="preserve">[شماره صفحه واقعی : 289]
</w:t>
      </w:r>
    </w:p>
    <w:p>
      <w:pPr>
        <w:sectPr>
          <w:footerReference w:type="default" r:id="rId801"/>
          <w:footnotePr>
            <w:numStart w:val="1"/>
            <w:numRestart w:val="eachPage"/>
          </w:footnotePr>
          <w:pgSz w:orient="portrait" w:w="11905.511811023622" w:h="16837.79527559055"/>
          <w:pgMar w:top="1440" w:right="1440" w:bottom="1440" w:left="1440" w:header="720" w:footer="720" w:gutter="0"/>
          <w:cols w:num="1" w:space="720"/>
        </w:sectPr>
      </w:pPr>
    </w:p>
    <w:bookmarkStart w:id="501" w:name="pg14411_143183"/>
    <w:bookmarkEnd w:id="501"/>
    <w:p>
      <w:pPr>
        <w:pStyle w:val="BookText"/>
      </w:pPr>
      <w:r>
        <w:rPr>
          <w:rFonts w:ascii="IRNazanin" w:hAnsi="IRNazanin" w:eastAsia="IRNazanin" w:cs="IRNazanin"/>
          <w:lang w:bidi="fa-IR"/>
          <w:color w:val="111111"/>
          <w:sz w:val="28"/>
          <w:szCs w:val="28"/>
          <w:rtl/>
        </w:rPr>
        <w:t xml:space="preserve">فإذا ارید استصحاب قیام زید،أو وجوده،فلا بدّ من تحقّق زید فی الزمان اللاحق علی النحو الذی کان معروضا فی السابق،سواء کان تحقّقه فی السابق بتقرّره ذهنا أو بوجوده خارجا،فزید معروض للقیام فی السابق بوصف وجوده الخارجیّ،و للوجود بوصف تقرّره ذهنا، لا وجوده الخارجیّ.</w:t>
      </w:r>
    </w:p>
    <w:p>
      <w:pPr>
        <w:pStyle w:val="BookText"/>
      </w:pPr>
      <w:r>
        <w:rPr>
          <w:rFonts w:ascii="IRNazanin" w:hAnsi="IRNazanin" w:eastAsia="IRNazanin" w:cs="IRNazanin"/>
          <w:lang w:bidi="fa-IR"/>
          <w:color w:val="111111"/>
          <w:sz w:val="28"/>
          <w:szCs w:val="28"/>
          <w:rtl/>
        </w:rPr>
        <w:t xml:space="preserve">و بهذا اندفع ما استشکله بعض </w:t>
      </w:r>
      <w:r>
        <w:rPr>
          <w:rStyle w:val="FootnoteReference"/>
        </w:rPr>
        <w:footnoteReference w:id="2400"/>
      </w:r>
      <w:r>
        <w:rPr>
          <w:rFonts w:ascii="IRNazanin" w:hAnsi="IRNazanin" w:eastAsia="IRNazanin" w:cs="IRNazanin"/>
          <w:lang w:bidi="fa-IR"/>
          <w:color w:val="111111"/>
          <w:sz w:val="28"/>
          <w:szCs w:val="28"/>
          <w:rtl/>
        </w:rPr>
        <w:t xml:space="preserve">فی کلّیّة اعتبار بقاء الموضوع فی الاستصحاب،بانتقاضها باستصحاب وجود الموجودات عند الشکّ فی بقائها؛زعما منه أنّ المراد ببقائه وجوده الخارجیّ الثانویّ،و غفلة عن أنّ المراد وجوده الثانویّ علی نحو وجوده الأوّلیّ الصالح لأن یحکم علیه بالمستصحب و بنقیضه،</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 إلاّ لم یجز أن یحمل علیه المستصحب فی الزمان السابق.فالموضوع فی استصحاب حیاة زید هو زید القابل لأن یحکم علیه بالحیاة تارة و بالموت اخری،و هذا المعنی لا شکّ فی تحقّقه عند الشکّ فی بقاء حیاته.</w:t>
      </w:r>
    </w:p>
    <w:p>
      <w:pPr>
        <w:pStyle w:val="Heading6"/>
      </w:pPr>
      <w:bookmarkStart w:id="2026" w:name="_Toc1061"/>
      <w:r>
        <w:t>[الدلیل علی هذا الشرط:]</w:t>
      </w:r>
      <w:bookmarkEnd w:id="2026"/>
    </w:p>
    <w:p>
      <w:pPr>
        <w:pStyle w:val="BookText"/>
      </w:pPr>
      <w:r>
        <w:rPr>
          <w:rFonts w:ascii="IRNazanin" w:hAnsi="IRNazanin" w:eastAsia="IRNazanin" w:cs="IRNazanin"/>
          <w:lang w:bidi="fa-IR"/>
          <w:color w:val="111111"/>
          <w:sz w:val="28"/>
          <w:szCs w:val="28"/>
          <w:rtl/>
        </w:rPr>
        <w:t xml:space="preserve">ثمّ الدلیل علی اعتبار هذا الشرط فی جریان الاستصحاب واضح؛ لأنّه لو لم یعلم تحقّقه لاحقا،فإذا ارید إبقاء المستصحب العارض له المتقوّم به:</w:t>
      </w:r>
    </w:p>
    <w:p>
      <w:pPr>
        <w:pStyle w:val="BookText"/>
      </w:pPr>
      <w:r>
        <w:rPr>
          <w:rFonts w:ascii="IRNazanin" w:hAnsi="IRNazanin" w:eastAsia="IRNazanin" w:cs="IRNazanin"/>
          <w:lang w:bidi="fa-IR"/>
          <w:color w:val="111111"/>
          <w:sz w:val="28"/>
          <w:szCs w:val="28"/>
          <w:rtl/>
        </w:rPr>
        <w:t xml:space="preserve">فإمّا أن یبقی فی غیر محلّ و موضوع،و هو محال.</w:t>
      </w:r>
    </w:p>
    <w:p>
      <w:pPr>
        <w:pStyle w:val="BookText"/>
      </w:pPr>
      <w:r>
        <w:rPr>
          <w:rFonts w:ascii="IRNazanin" w:hAnsi="IRNazanin" w:eastAsia="IRNazanin" w:cs="IRNazanin"/>
          <w:lang w:bidi="fa-IR"/>
          <w:color w:val="111111"/>
          <w:sz w:val="28"/>
          <w:szCs w:val="28"/>
          <w:rtl/>
        </w:rPr>
        <w:t xml:space="preserve">و إمّا أن یبقی فی موضوع غیر الموضوع السابق،و من المعلوم أنّ هذا لیس إبقاء لنفس ذلک العارض،و إنّما هو حکم بحدوث عارض مثله فی موضوع جدید،فیخرج عن الاستصحاب،بل حدوثه للموضوع</w:t>
      </w:r>
    </w:p>
    <w:p>
      <w:pPr>
        <w:pStyle w:val="BookText"/>
      </w:pPr>
      <w:r>
        <w:rPr>
          <w:rFonts w:ascii="IRNazanin" w:hAnsi="IRNazanin" w:eastAsia="IRNazanin" w:cs="IRNazanin"/>
          <w:lang w:bidi="fa-IR"/>
          <w:color w:val="111111"/>
          <w:sz w:val="28"/>
          <w:szCs w:val="28"/>
          <w:rtl/>
        </w:rPr>
        <w:t xml:space="preserve">[شماره صفحه واقعی : 290]
</w:t>
      </w:r>
    </w:p>
    <w:p>
      <w:pPr>
        <w:sectPr>
          <w:footerReference w:type="default" r:id="rId802"/>
          <w:footnotePr>
            <w:numStart w:val="1"/>
            <w:numRestart w:val="eachPage"/>
          </w:footnotePr>
          <w:pgSz w:orient="portrait" w:w="11905.511811023622" w:h="16837.79527559055"/>
          <w:pgMar w:top="1440" w:right="1440" w:bottom="1440" w:left="1440" w:header="720" w:footer="720" w:gutter="0"/>
          <w:cols w:num="1" w:space="720"/>
        </w:sectPr>
      </w:pPr>
    </w:p>
    <w:bookmarkStart w:id="502" w:name="pg14411_143184"/>
    <w:bookmarkEnd w:id="502"/>
    <w:p>
      <w:pPr>
        <w:pStyle w:val="BookText"/>
      </w:pPr>
      <w:r>
        <w:rPr>
          <w:rFonts w:ascii="IRNazanin" w:hAnsi="IRNazanin" w:eastAsia="IRNazanin" w:cs="IRNazanin"/>
          <w:lang w:bidi="fa-IR"/>
          <w:color w:val="111111"/>
          <w:sz w:val="28"/>
          <w:szCs w:val="28"/>
          <w:rtl/>
        </w:rPr>
        <w:t xml:space="preserve">الجدید کان مسبوقا بالعدم،فهو المستصحب دون وجوده.</w:t>
      </w:r>
    </w:p>
    <w:p>
      <w:pPr>
        <w:pStyle w:val="BookText"/>
      </w:pPr>
      <w:r>
        <w:rPr>
          <w:rFonts w:ascii="IRNazanin" w:hAnsi="IRNazanin" w:eastAsia="IRNazanin" w:cs="IRNazanin"/>
          <w:lang w:bidi="fa-IR"/>
          <w:color w:val="111111"/>
          <w:sz w:val="28"/>
          <w:szCs w:val="28"/>
          <w:rtl/>
        </w:rPr>
        <w:t xml:space="preserve">و بعبارة اخری:بقاء المستصحب لا فی موضوع محال،و کذا فی موضوع آخر؛إمّا لاستحالة انتقال العرض،و إمّا لأنّ المتیقّن سابقا وجوده فی الموضوع السابق،و الحکم بعدم ثبوته لهذا الموضوع الجدید لیس نقضا للمتیقّن السابق.</w:t>
      </w:r>
    </w:p>
    <w:p>
      <w:pPr>
        <w:pStyle w:val="Heading6"/>
      </w:pPr>
      <w:bookmarkStart w:id="2027" w:name="_Toc1062"/>
      <w:r>
        <w:t>[المعتبر هو العلم ببقاء الموضوع:]</w:t>
      </w:r>
      <w:bookmarkEnd w:id="2027"/>
    </w:p>
    <w:p>
      <w:pPr>
        <w:pStyle w:val="BookText"/>
      </w:pPr>
      <w:r>
        <w:rPr>
          <w:rFonts w:ascii="IRNazanin" w:hAnsi="IRNazanin" w:eastAsia="IRNazanin" w:cs="IRNazanin"/>
          <w:lang w:bidi="fa-IR"/>
          <w:color w:val="111111"/>
          <w:sz w:val="28"/>
          <w:szCs w:val="28"/>
          <w:rtl/>
        </w:rPr>
        <w:t xml:space="preserve">و ممّا ذکرنا یعلم:أنّ المعتبر هو العلم ببقاء الموضوع،و لا یکفی احتمال البقاء؛إذ لا بدّ من العلم بکون الحکم بوجود المستصحب إبقاء، و الحکم بعدمه نقضا.</w:t>
      </w:r>
    </w:p>
    <w:p>
      <w:pPr>
        <w:pStyle w:val="Heading6"/>
      </w:pPr>
      <w:bookmarkStart w:id="2028" w:name="_Toc1063"/>
      <w:r>
        <w:t>[هل یجوز إحراز الموضوع فی الزمان اللاحق بالاستصحاب؟:]</w:t>
      </w:r>
      <w:bookmarkEnd w:id="2028"/>
    </w:p>
    <w:p>
      <w:pPr>
        <w:pStyle w:val="BookText"/>
      </w:pPr>
      <w:r>
        <w:rPr>
          <w:rFonts w:ascii="IRNazanin" w:hAnsi="IRNazanin" w:eastAsia="IRNazanin" w:cs="IRNazanin"/>
          <w:lang w:bidi="fa-IR"/>
          <w:color w:val="111111"/>
          <w:sz w:val="28"/>
          <w:szCs w:val="28"/>
          <w:rtl/>
        </w:rPr>
        <w:t xml:space="preserve">فإن قلت:إذا کان الموضوع محتمل البقاء فیجوز إحرازه فی الزمان اللاحق بالاستصحاب </w:t>
      </w:r>
      <w:r>
        <w:rPr>
          <w:rStyle w:val="FootnoteReference"/>
        </w:rPr>
        <w:footnoteReference w:id="24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قلت:لا مضایقة من جواز استصحابه فی بعض الصور،إلاّ أنّه لا ینفع فی استصحاب الحکم المحمول علیه.</w:t>
      </w:r>
    </w:p>
    <w:p>
      <w:pPr>
        <w:pStyle w:val="BookText"/>
      </w:pPr>
      <w:r>
        <w:rPr>
          <w:rFonts w:ascii="IRNazanin" w:hAnsi="IRNazanin" w:eastAsia="IRNazanin" w:cs="IRNazanin"/>
          <w:lang w:bidi="fa-IR"/>
          <w:color w:val="111111"/>
          <w:sz w:val="28"/>
          <w:szCs w:val="28"/>
          <w:rtl/>
        </w:rPr>
        <w:t xml:space="preserve">بیان ذلک:أنّ الشکّ فی بقاء الحکم الذی یراد استصحابه:إمّا أن یکون مسبّبا عن سبب غیر الشکّ فی بقاء ذلک الموضوع المشکوک البقاء -مثل أن یشکّ فی عدالة مجتهده مع الشکّ فی حیاته-و إمّا أن یکون مسبّبا عنه.</w:t>
      </w:r>
    </w:p>
    <w:p>
      <w:pPr>
        <w:pStyle w:val="BookText"/>
      </w:pPr>
      <w:r>
        <w:rPr>
          <w:rFonts w:ascii="IRNazanin" w:hAnsi="IRNazanin" w:eastAsia="IRNazanin" w:cs="IRNazanin"/>
          <w:lang w:bidi="fa-IR"/>
          <w:color w:val="111111"/>
          <w:sz w:val="28"/>
          <w:szCs w:val="28"/>
          <w:rtl/>
        </w:rPr>
        <w:t xml:space="preserve">فإن کان الأوّل،فلا إشکال فی استصحاب الموضوع عند الشکّ،</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لکن استصحاب الحکم کالعدالة-مثلا-لا یحتاج إلی إبقاء حیاة زید؛ لأنّ موضوع العدالة:زید علی تقدیر الحیاة؛إذ لا شکّ فیها إلاّ علی فرض الحیاة،فالذی یراد استصحابه هو عدالته علی تقدیر الحیاة.</w:t>
      </w:r>
    </w:p>
    <w:p>
      <w:pPr>
        <w:pStyle w:val="BookText"/>
      </w:pPr>
      <w:r>
        <w:rPr>
          <w:rFonts w:ascii="IRNazanin" w:hAnsi="IRNazanin" w:eastAsia="IRNazanin" w:cs="IRNazanin"/>
          <w:lang w:bidi="fa-IR"/>
          <w:color w:val="111111"/>
          <w:sz w:val="28"/>
          <w:szCs w:val="28"/>
          <w:rtl/>
        </w:rPr>
        <w:t xml:space="preserve">[شماره صفحه واقعی : 291]
</w:t>
      </w:r>
    </w:p>
    <w:p>
      <w:pPr>
        <w:sectPr>
          <w:footerReference w:type="default" r:id="rId8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بالجملة:فهنا مستصحبان،لکلّ منهما موضوع علی حدة:حیاة زید، و عدالته علی تقدیر الحیاة،و لا یعتبر فی الثانی إثبات الحیاة </w:t>
      </w:r>
      <w:r>
        <w:rPr>
          <w:rStyle w:val="FootnoteReference"/>
        </w:rPr>
        <w:footnoteReference w:id="24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علی الثانی،فالموضوع:إمّا أن یکون معلوما معیّنا شکّ فی بقائه،کما إذا علم أنّ الموضوع لنجاسة الماء هو الماء بوصف التغیّر، و للمطهّریّة هو الماء بوصف الکرّیّة و الإطلاق،ثمّ شکّ فی بقاء تغیّر الماء الأوّل و کرّیّة الماء الثانی أو إطلاقه.</w:t>
      </w:r>
    </w:p>
    <w:p>
      <w:pPr>
        <w:pStyle w:val="BookText"/>
      </w:pPr>
      <w:r>
        <w:rPr>
          <w:rFonts w:ascii="IRNazanin" w:hAnsi="IRNazanin" w:eastAsia="IRNazanin" w:cs="IRNazanin"/>
          <w:lang w:bidi="fa-IR"/>
          <w:color w:val="111111"/>
          <w:sz w:val="28"/>
          <w:szCs w:val="28"/>
          <w:rtl/>
        </w:rPr>
        <w:t xml:space="preserve">و إمّا أن یکون غیر معیّن،بل مردّدا بین أمر معلوم البقاء و آخر معلوم الارتفاع،کما إذا لم یعلم أنّ الموضوع للنجاسة هو الماء الذی حدث فیه التغیّر آناً ما،أو الماء المتلبّس فعلا بالتغیّر.و کما إذا شککنا فی أنّ النجاسة محمولة علی الکلب بوصف أنّه کلب،أو المشترک بین الکلب و بین ما یستحال إلیه من الملح أو غیره.</w:t>
      </w:r>
    </w:p>
    <w:p>
      <w:pPr>
        <w:pStyle w:val="BookText"/>
      </w:pPr>
      <w:r>
        <w:rPr>
          <w:rFonts w:ascii="IRNazanin" w:hAnsi="IRNazanin" w:eastAsia="IRNazanin" w:cs="IRNazanin"/>
          <w:lang w:bidi="fa-IR"/>
          <w:color w:val="111111"/>
          <w:sz w:val="28"/>
          <w:szCs w:val="28"/>
          <w:rtl/>
        </w:rPr>
        <w:t xml:space="preserve">أمّا الأوّل،فلا إشکال فی استصحاب الموضوع،و قد عرفت -فی مسألة الاستصحاب فی الامور الخارجیّة </w:t>
      </w:r>
      <w:r>
        <w:rPr>
          <w:rStyle w:val="FootnoteReference"/>
        </w:rPr>
        <w:footnoteReference w:id="2403"/>
      </w:r>
      <w:r>
        <w:rPr>
          <w:rFonts w:ascii="IRNazanin" w:hAnsi="IRNazanin" w:eastAsia="IRNazanin" w:cs="IRNazanin"/>
          <w:lang w:bidi="fa-IR"/>
          <w:color w:val="111111"/>
          <w:sz w:val="28"/>
          <w:szCs w:val="28"/>
          <w:rtl/>
        </w:rPr>
        <w:t xml:space="preserve">-أنّ استصحاب الموضوع، حقیقته </w:t>
      </w:r>
      <w:r>
        <w:rPr>
          <w:rStyle w:val="FootnoteReference"/>
        </w:rPr>
        <w:footnoteReference w:id="2404"/>
      </w:r>
      <w:r>
        <w:rPr>
          <w:rFonts w:ascii="IRNazanin" w:hAnsi="IRNazanin" w:eastAsia="IRNazanin" w:cs="IRNazanin"/>
          <w:lang w:bidi="fa-IR"/>
          <w:color w:val="111111"/>
          <w:sz w:val="28"/>
          <w:szCs w:val="28"/>
          <w:rtl/>
        </w:rPr>
        <w:t xml:space="preserve">ترتیب الأحکام الشرعیّة المحمولة علی ذلک الموضوع الموجود واقعا،فحقیقة استصحاب التغیّر و الکرّیّة و الإطلاق فی الماء، ترتیب أحکامها المحمولة علیها،کالنجاسة فی الأوّل،و المطهّریّة فی الأخیرین.</w:t>
      </w:r>
    </w:p>
    <w:p>
      <w:pPr>
        <w:pStyle w:val="BookText"/>
      </w:pPr>
      <w:r>
        <w:rPr>
          <w:rFonts w:ascii="IRNazanin" w:hAnsi="IRNazanin" w:eastAsia="IRNazanin" w:cs="IRNazanin"/>
          <w:lang w:bidi="fa-IR"/>
          <w:color w:val="111111"/>
          <w:sz w:val="28"/>
          <w:szCs w:val="28"/>
          <w:rtl/>
        </w:rPr>
        <w:t xml:space="preserve">فمجرّد استصحاب الموضوع یوجب إجراء الأحکام،فلا مجال</w:t>
      </w:r>
    </w:p>
    <w:p>
      <w:pPr>
        <w:pStyle w:val="BookText"/>
      </w:pPr>
      <w:r>
        <w:rPr>
          <w:rFonts w:ascii="IRNazanin" w:hAnsi="IRNazanin" w:eastAsia="IRNazanin" w:cs="IRNazanin"/>
          <w:lang w:bidi="fa-IR"/>
          <w:color w:val="111111"/>
          <w:sz w:val="28"/>
          <w:szCs w:val="28"/>
          <w:rtl/>
        </w:rPr>
        <w:t xml:space="preserve">[شماره صفحه واقعی : 292]
</w:t>
      </w:r>
    </w:p>
    <w:p>
      <w:pPr>
        <w:sectPr>
          <w:footerReference w:type="default" r:id="rId8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لاستصحاب الأحکام حینئذ </w:t>
      </w:r>
      <w:r>
        <w:rPr>
          <w:rStyle w:val="FootnoteReference"/>
        </w:rPr>
        <w:footnoteReference w:id="2405"/>
      </w:r>
      <w:r>
        <w:rPr>
          <w:rFonts w:ascii="IRNazanin" w:hAnsi="IRNazanin" w:eastAsia="IRNazanin" w:cs="IRNazanin"/>
          <w:lang w:bidi="fa-IR"/>
          <w:color w:val="111111"/>
          <w:sz w:val="28"/>
          <w:szCs w:val="28"/>
          <w:rtl/>
        </w:rPr>
        <w:t xml:space="preserve">لارتفاع الشکّ،بل لو ارید استصحابها لم یجر </w:t>
      </w:r>
      <w:r>
        <w:rPr>
          <w:rStyle w:val="FootnoteReference"/>
        </w:rPr>
        <w:footnoteReference w:id="2406"/>
      </w:r>
      <w:r>
        <w:rPr>
          <w:rFonts w:ascii="IRNazanin" w:hAnsi="IRNazanin" w:eastAsia="IRNazanin" w:cs="IRNazanin"/>
          <w:lang w:bidi="fa-IR"/>
          <w:color w:val="111111"/>
          <w:sz w:val="28"/>
          <w:szCs w:val="28"/>
          <w:rtl/>
        </w:rPr>
        <w:t xml:space="preserve">لأنّ صحّة استصحاب النجاسة مثلا لیس من أحکام التغیّر الواقعیّ لیثبت باستصحابه؛لأنّ أثر التغیّر الواقعیّ هی النجاسة الواقعیّة، لا استصحابها؛إذ مع فرض التغیّر لا شکّ فی النجاسة.</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مع أنّ قضیّة ما ذکرنا من الدلیل علی اشتراط بقاء الموضوع فی الاستصحاب،حکم العقل باشتراط بقائه فیه،فالمتغیّر </w:t>
      </w:r>
      <w:r>
        <w:rPr>
          <w:rStyle w:val="FootnoteReference"/>
        </w:rPr>
        <w:footnoteReference w:id="2407"/>
      </w:r>
      <w:r>
        <w:rPr>
          <w:rFonts w:ascii="IRNazanin" w:hAnsi="IRNazanin" w:eastAsia="IRNazanin" w:cs="IRNazanin"/>
          <w:lang w:bidi="fa-IR"/>
          <w:color w:val="111111"/>
          <w:sz w:val="28"/>
          <w:szCs w:val="28"/>
          <w:rtl/>
        </w:rPr>
        <w:t xml:space="preserve">الواقعیّ إنّما یجوز استصحاب النجاسة له بحکم العقل،فهذا الحکم-أعنی ترتّب الاستصحاب علی بقاء الموضوع-لیس أمرا جعلیّا حتّی یترتّب علی وجوده الاستصحابیّ،فتأمّل.</w:t>
      </w:r>
    </w:p>
    <w:p>
      <w:pPr>
        <w:pStyle w:val="BookText"/>
      </w:pPr>
      <w:r>
        <w:rPr>
          <w:rFonts w:ascii="IRNazanin" w:hAnsi="IRNazanin" w:eastAsia="IRNazanin" w:cs="IRNazanin"/>
          <w:lang w:bidi="fa-IR"/>
          <w:color w:val="111111"/>
          <w:sz w:val="28"/>
          <w:szCs w:val="28"/>
          <w:rtl/>
        </w:rPr>
        <w:t xml:space="preserve">و علی الثانی،فلا مجال لاستصحاب الموضوع و لا الحکم.</w:t>
      </w:r>
    </w:p>
    <w:p>
      <w:pPr>
        <w:pStyle w:val="BookText"/>
      </w:pPr>
      <w:r>
        <w:rPr>
          <w:rFonts w:ascii="IRNazanin" w:hAnsi="IRNazanin" w:eastAsia="IRNazanin" w:cs="IRNazanin"/>
          <w:lang w:bidi="fa-IR"/>
          <w:color w:val="111111"/>
          <w:sz w:val="28"/>
          <w:szCs w:val="28"/>
          <w:rtl/>
        </w:rPr>
        <w:t xml:space="preserve">أمّا الأوّل؛فلأنّ أصالة بقاء الموضوع لا یثبت کون هذا الأمر الباقی متّصفا بالموضوعیّة،إلاّ بناء علی القول بالأصل المثبت،کما تقدّم </w:t>
      </w:r>
      <w:r>
        <w:rPr>
          <w:rStyle w:val="FootnoteReference"/>
        </w:rPr>
        <w:footnoteReference w:id="2408"/>
      </w:r>
      <w:r>
        <w:rPr>
          <w:rFonts w:ascii="IRNazanin" w:hAnsi="IRNazanin" w:eastAsia="IRNazanin" w:cs="IRNazanin"/>
          <w:lang w:bidi="fa-IR"/>
          <w:color w:val="111111"/>
          <w:sz w:val="28"/>
          <w:szCs w:val="28"/>
          <w:rtl/>
        </w:rPr>
        <w:t xml:space="preserve">فی أصالة بقاء الکرّ المثبتة لکرّیّة المشکوک بقاؤه علی الکرّیّة،و علی هذا القول فحکم هذا القسم حکم القسم الأوّل.و أمّا أصالة بقاء الموضوع بوصف کونه موضوعا فهو فی معنی استصحاب الحکم؛لأنّ صفة الموضوعیّة للموضوع ملازم لإنشاء الحکم من الشارع باستصحابه.</w:t>
      </w:r>
    </w:p>
    <w:p>
      <w:pPr>
        <w:pStyle w:val="BookText"/>
      </w:pPr>
      <w:r>
        <w:rPr>
          <w:rFonts w:ascii="IRNazanin" w:hAnsi="IRNazanin" w:eastAsia="IRNazanin" w:cs="IRNazanin"/>
          <w:lang w:bidi="fa-IR"/>
          <w:color w:val="111111"/>
          <w:sz w:val="28"/>
          <w:szCs w:val="28"/>
          <w:rtl/>
        </w:rPr>
        <w:t xml:space="preserve">و أمّا استصحاب الحکم؛فلأنّه کان ثابتا لأمر لا یعلم بقاؤه،</w:t>
      </w:r>
    </w:p>
    <w:p>
      <w:pPr>
        <w:pStyle w:val="BookText"/>
      </w:pPr>
      <w:r>
        <w:rPr>
          <w:rFonts w:ascii="IRNazanin" w:hAnsi="IRNazanin" w:eastAsia="IRNazanin" w:cs="IRNazanin"/>
          <w:lang w:bidi="fa-IR"/>
          <w:color w:val="111111"/>
          <w:sz w:val="28"/>
          <w:szCs w:val="28"/>
          <w:rtl/>
        </w:rPr>
        <w:t xml:space="preserve">[شماره صفحه واقعی : 293]
</w:t>
      </w:r>
    </w:p>
    <w:p>
      <w:pPr>
        <w:sectPr>
          <w:footerReference w:type="default" r:id="rId805"/>
          <w:footnotePr>
            <w:numStart w:val="1"/>
            <w:numRestart w:val="eachPage"/>
          </w:footnotePr>
          <w:pgSz w:orient="portrait" w:w="11905.511811023622" w:h="16837.79527559055"/>
          <w:pgMar w:top="1440" w:right="1440" w:bottom="1440" w:left="1440" w:header="720" w:footer="720" w:gutter="0"/>
          <w:cols w:num="1" w:space="720"/>
        </w:sectPr>
      </w:pPr>
    </w:p>
    <w:bookmarkStart w:id="503" w:name="pg14411_143187"/>
    <w:bookmarkEnd w:id="503"/>
    <w:p>
      <w:pPr>
        <w:pStyle w:val="BookText"/>
      </w:pPr>
      <w:r>
        <w:rPr>
          <w:rFonts w:ascii="IRNazanin" w:hAnsi="IRNazanin" w:eastAsia="IRNazanin" w:cs="IRNazanin"/>
          <w:lang w:bidi="fa-IR"/>
          <w:color w:val="111111"/>
          <w:sz w:val="28"/>
          <w:szCs w:val="28"/>
          <w:rtl/>
        </w:rPr>
        <w:t xml:space="preserve">و بقاؤه قائما بهذا الموجود الباقی </w:t>
      </w:r>
      <w:r>
        <w:rPr>
          <w:rStyle w:val="FootnoteReference"/>
        </w:rPr>
        <w:footnoteReference w:id="2409"/>
      </w:r>
      <w:r>
        <w:rPr>
          <w:rFonts w:ascii="IRNazanin" w:hAnsi="IRNazanin" w:eastAsia="IRNazanin" w:cs="IRNazanin"/>
          <w:lang w:bidi="fa-IR"/>
          <w:color w:val="111111"/>
          <w:sz w:val="28"/>
          <w:szCs w:val="28"/>
          <w:rtl/>
        </w:rPr>
        <w:t xml:space="preserve">لیس قیاما بنفس ما قام به أوّلا، حتّی یکون إثباته إبقاء و نفیه نقضا.</w:t>
      </w:r>
    </w:p>
    <w:p>
      <w:pPr>
        <w:pStyle w:val="Heading6"/>
      </w:pPr>
      <w:bookmarkStart w:id="2029" w:name="_Toc1064"/>
      <w:r>
        <w:t>[الشکّ فی الحکم من جهة الشکّ فی القیود المأخوذة فی الموضوع:]</w:t>
      </w:r>
      <w:bookmarkEnd w:id="2029"/>
    </w:p>
    <w:p>
      <w:pPr>
        <w:pStyle w:val="BookText"/>
      </w:pPr>
      <w:r>
        <w:rPr>
          <w:rFonts w:ascii="IRNazanin" w:hAnsi="IRNazanin" w:eastAsia="IRNazanin" w:cs="IRNazanin"/>
          <w:lang w:bidi="fa-IR"/>
          <w:color w:val="111111"/>
          <w:sz w:val="28"/>
          <w:szCs w:val="28"/>
          <w:rtl/>
        </w:rPr>
        <w:t xml:space="preserve">إذا عرفت ما ذکرنا،فاعلم:أنّه کثیرا ما یقع الشکّ فی الحکم من جهة الشکّ فی أنّ موضوعه و محلّه هو الأمر الزائل و لو بزوال قیده المأخوذ فی موضوعیّته،حتّی یکون الحکم مرتفعا،أو هو الأمر الباقی، و الزائل لیس موضوعا و لا مأخوذا فیه،فلو فرض شکّ فی الحکم کان من جهة اخری غیر الموضوع،کما یقال:إنّ حکم النجاسة فی الماء المتغیّر،موضوعه نفس الماء،و التغیّر علّة محدثة للحکم،فیشکّ فی علّیّته للبقاء.</w:t>
      </w:r>
    </w:p>
    <w:p>
      <w:pPr>
        <w:pStyle w:val="Heading6"/>
      </w:pPr>
      <w:bookmarkStart w:id="2030" w:name="_Toc1065"/>
      <w:r>
        <w:t>[ما یمیّز به القیود المأخوذة فی الموضوع أحد امور:]</w:t>
      </w:r>
      <w:bookmarkEnd w:id="2030"/>
    </w:p>
    <w:p>
      <w:pPr>
        <w:pStyle w:val="BookText"/>
      </w:pPr>
      <w:r>
        <w:rPr>
          <w:rFonts w:ascii="IRNazanin" w:hAnsi="IRNazanin" w:eastAsia="IRNazanin" w:cs="IRNazanin"/>
          <w:lang w:bidi="fa-IR"/>
          <w:color w:val="111111"/>
          <w:sz w:val="28"/>
          <w:szCs w:val="28"/>
          <w:rtl/>
        </w:rPr>
        <w:t xml:space="preserve">فلا بدّ من میزان یمیّز به القیود المأخوذة فی الموضوع عن غیرها، و هو أحد امور:</w:t>
      </w:r>
    </w:p>
    <w:p>
      <w:pPr>
        <w:pStyle w:val="Heading6"/>
      </w:pPr>
      <w:bookmarkStart w:id="2031" w:name="_Toc1066"/>
      <w:r>
        <w:t>الأوّل:العقل</w:t>
      </w:r>
      <w:bookmarkEnd w:id="2031"/>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،فیقال:إنّ مقتضاه کون جمیع القیود قیودا للموضوع مأخوذة فیه،فیکون الحکم ثابتا لأمر واحد یجمعها؛و ذلک لأنّ کلّ قضیّة و إن کثرت قیودها المأخوذة فیها راجعة فی الحقیقة إلی موضوع واحد و محمول واحد،فإذا شکّ فی ثبوت الحکم السابق بعد زوال بعض تلک القیود،سواء علم کونه قیدا للموضوع أو للمحمول أو لم یعلم أحدهما،فلا یجوز الاستصحاب؛لأنّه إثبات عین الحکم السابق لعین الموضوع السابق،و لا یصدق هذا مع الشکّ فی أحدهما.نعم،لو شکّ بسبب تغیّر الزمان المجعول ظرفا للحکم-کالخیار-لم یقدح فی جریان الاستصحاب؛لأنّ الاستصحاب مبنیّ علی إلغاء خصوصیّة الزمان الأوّل.</w:t>
      </w:r>
    </w:p>
    <w:p>
      <w:pPr>
        <w:pStyle w:val="BookText"/>
      </w:pPr>
      <w:r>
        <w:rPr>
          <w:rFonts w:ascii="IRNazanin" w:hAnsi="IRNazanin" w:eastAsia="IRNazanin" w:cs="IRNazanin"/>
          <w:lang w:bidi="fa-IR"/>
          <w:color w:val="111111"/>
          <w:sz w:val="28"/>
          <w:szCs w:val="28"/>
          <w:rtl/>
        </w:rPr>
        <w:t xml:space="preserve">[شماره صفحه واقعی : 294]
</w:t>
      </w:r>
    </w:p>
    <w:p>
      <w:pPr>
        <w:sectPr>
          <w:footerReference w:type="default" r:id="rId806"/>
          <w:footnotePr>
            <w:numStart w:val="1"/>
            <w:numRestart w:val="eachPage"/>
          </w:footnotePr>
          <w:pgSz w:orient="portrait" w:w="11905.511811023622" w:h="16837.79527559055"/>
          <w:pgMar w:top="1440" w:right="1440" w:bottom="1440" w:left="1440" w:header="720" w:footer="720" w:gutter="0"/>
          <w:cols w:num="1" w:space="720"/>
        </w:sectPr>
      </w:pPr>
    </w:p>
    <w:bookmarkStart w:id="504" w:name="pg14411_143188"/>
    <w:bookmarkEnd w:id="504"/>
    <w:p>
      <w:pPr>
        <w:pStyle w:val="BookText"/>
      </w:pPr>
      <w:r>
        <w:rPr>
          <w:rFonts w:ascii="IRNazanin" w:hAnsi="IRNazanin" w:eastAsia="IRNazanin" w:cs="IRNazanin"/>
          <w:lang w:bidi="fa-IR"/>
          <w:color w:val="111111"/>
          <w:sz w:val="28"/>
          <w:szCs w:val="28"/>
          <w:rtl/>
        </w:rPr>
        <w:t xml:space="preserve">فالاستصحاب فی الحکم الشرعیّ لا یجری إلاّ فی الشکّ من جهة الرافع ذاتا أو وصفا،و فیما </w:t>
      </w:r>
      <w:r>
        <w:rPr>
          <w:rStyle w:val="FootnoteReference"/>
        </w:rPr>
        <w:footnoteReference w:id="2410"/>
      </w:r>
      <w:r>
        <w:rPr>
          <w:rFonts w:ascii="IRNazanin" w:hAnsi="IRNazanin" w:eastAsia="IRNazanin" w:cs="IRNazanin"/>
          <w:lang w:bidi="fa-IR"/>
          <w:color w:val="111111"/>
          <w:sz w:val="28"/>
          <w:szCs w:val="28"/>
          <w:rtl/>
        </w:rPr>
        <w:t xml:space="preserve">کان من جهة مدخلیّة الزمان.نعم،یجری فی الموضوعات الخارجیّة بأسرها.</w:t>
      </w:r>
    </w:p>
    <w:p>
      <w:pPr>
        <w:pStyle w:val="BookText"/>
      </w:pPr>
      <w:r>
        <w:rPr>
          <w:rFonts w:ascii="IRNazanin" w:hAnsi="IRNazanin" w:eastAsia="IRNazanin" w:cs="IRNazanin"/>
          <w:lang w:bidi="fa-IR"/>
          <w:color w:val="111111"/>
          <w:sz w:val="28"/>
          <w:szCs w:val="28"/>
          <w:rtl/>
        </w:rPr>
        <w:t xml:space="preserve">ثمّ لو لم یعلم مدخلیّة القیود فی الموضوع کفی فی عدم جریان الاستصحاب الشکّ فی بقاء الموضوع،علی ما عرفت مفصّلا </w:t>
      </w:r>
      <w:r>
        <w:rPr>
          <w:rStyle w:val="FootnoteReference"/>
        </w:rPr>
        <w:footnoteReference w:id="2411"/>
      </w:r>
      <w:r>
        <w:rPr>
          <w:rFonts w:ascii="Times New Roman" w:hAnsi="Times New Roman" w:eastAsia="Times New Roman" w:cs="Times New Roman"/>
          <w:lang w:val="en-US" w:bidi="en-US"/>
          <w:color w:val="111111"/>
          <w:sz w:val="28"/>
          <w:szCs w:val="28"/>
          <w:rtl/>
        </w:rPr>
        <w:t xml:space="preserve">.</w:t>
      </w:r>
    </w:p>
    <w:p>
      <w:pPr>
        <w:pStyle w:val="Heading6"/>
      </w:pPr>
      <w:bookmarkStart w:id="2032" w:name="_Toc1067"/>
      <w:r>
        <w:t>الثانی: [لسان الدلیل]</w:t>
      </w:r>
      <w:bookmarkEnd w:id="2032"/>
    </w:p>
    <w:p>
      <w:pPr>
        <w:pStyle w:val="BookText"/>
      </w:pPr>
      <w:r>
        <w:rPr>
          <w:rFonts w:ascii="IRNazanin" w:hAnsi="IRNazanin" w:eastAsia="IRNazanin" w:cs="IRNazanin"/>
          <w:lang w:bidi="fa-IR"/>
          <w:color w:val="111111"/>
          <w:sz w:val="28"/>
          <w:szCs w:val="28"/>
          <w:rtl/>
        </w:rPr>
        <w:t xml:space="preserve">أن یرجع فی معرفة الموضوع للأحکام إلی الأدلّة،و یفرّق بین قوله:«الماء المتغیّر نجس»،و بین قوله:«الماء ینجس إذا تغیّر»، فیجعل الموضوع فی الأوّل الماء المتلبّس بالتغیّر،فیزول الحکم بزواله، و فی الثانی نفس الماء فیستصحب النجاسة لو شکّ فی مدخلیّة التغیّر فی بقائها،و هکذا.</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 علی هذا فلا یجری الاستصحاب فیما کان الشکّ من غیر جهة الرافع إذا کان </w:t>
      </w:r>
      <w:r>
        <w:rPr>
          <w:rStyle w:val="FootnoteReference"/>
        </w:rPr>
        <w:footnoteReference w:id="2412"/>
      </w:r>
      <w:r>
        <w:rPr>
          <w:rFonts w:ascii="IRNazanin" w:hAnsi="IRNazanin" w:eastAsia="IRNazanin" w:cs="IRNazanin"/>
          <w:lang w:bidi="fa-IR"/>
          <w:color w:val="111111"/>
          <w:sz w:val="28"/>
          <w:szCs w:val="28"/>
          <w:rtl/>
        </w:rPr>
        <w:t xml:space="preserve">الدلیل غیر لفظیّ لا یتمیّز فیه الموضوع؛ لاحتمال مدخلیّة القید الزائل فیه.</w:t>
      </w:r>
    </w:p>
    <w:p>
      <w:pPr>
        <w:pStyle w:val="Heading6"/>
      </w:pPr>
      <w:bookmarkStart w:id="2033" w:name="_Toc1068"/>
      <w:r>
        <w:t>الثالث:أن یرجع فی ذلک إلی العرف</w:t>
      </w:r>
      <w:bookmarkEnd w:id="2033"/>
    </w:p>
    <w:p>
      <w:pPr>
        <w:pStyle w:val="BookText"/>
      </w:pPr>
      <w:r>
        <w:rPr>
          <w:rFonts w:ascii="IRNazanin" w:hAnsi="IRNazanin" w:eastAsia="IRNazanin" w:cs="IRNazanin"/>
          <w:lang w:bidi="fa-IR"/>
          <w:color w:val="111111"/>
          <w:sz w:val="28"/>
          <w:szCs w:val="28"/>
          <w:rtl/>
        </w:rPr>
        <w:t xml:space="preserve">،فکلّ مورد یصدق عرفا أنّ هذا کان کذا سابقا جری فیه الاستصحاب و إن کان المشار إلیه لا یعلم بالتدقیق أو بملاحظة الأدلّة کونه موضوعا،بل علم عدمه.</w:t>
      </w:r>
    </w:p>
    <w:p>
      <w:pPr>
        <w:pStyle w:val="BookText"/>
      </w:pPr>
      <w:r>
        <w:rPr>
          <w:rFonts w:ascii="IRNazanin" w:hAnsi="IRNazanin" w:eastAsia="IRNazanin" w:cs="IRNazanin"/>
          <w:lang w:bidi="fa-IR"/>
          <w:color w:val="111111"/>
          <w:sz w:val="28"/>
          <w:szCs w:val="28"/>
          <w:rtl/>
        </w:rPr>
        <w:t xml:space="preserve">مثلا:قد ثبت بالأدلّة أنّ الإنسان طاهر و الکلب نجس،فإذا ماتا و اطّلع أهل العرف علی حکم الشارع علیهما بعد الموت،فیحکمون </w:t>
      </w:r>
      <w:r>
        <w:rPr>
          <w:rStyle w:val="FootnoteReference"/>
        </w:rPr>
        <w:footnoteReference w:id="2413"/>
      </w:r>
    </w:p>
    <w:p>
      <w:pPr>
        <w:pStyle w:val="BookText"/>
      </w:pPr>
      <w:r>
        <w:rPr>
          <w:rFonts w:ascii="IRNazanin" w:hAnsi="IRNazanin" w:eastAsia="IRNazanin" w:cs="IRNazanin"/>
          <w:lang w:bidi="fa-IR"/>
          <w:color w:val="111111"/>
          <w:sz w:val="28"/>
          <w:szCs w:val="28"/>
          <w:rtl/>
        </w:rPr>
        <w:t xml:space="preserve">[شماره صفحه واقعی : 295]
</w:t>
      </w:r>
    </w:p>
    <w:p>
      <w:pPr>
        <w:sectPr>
          <w:footerReference w:type="default" r:id="rId807"/>
          <w:footnotePr>
            <w:numStart w:val="1"/>
            <w:numRestart w:val="eachPage"/>
          </w:footnotePr>
          <w:pgSz w:orient="portrait" w:w="11905.511811023622" w:h="16837.79527559055"/>
          <w:pgMar w:top="1440" w:right="1440" w:bottom="1440" w:left="1440" w:header="720" w:footer="720" w:gutter="0"/>
          <w:cols w:num="1" w:space="720"/>
        </w:sectPr>
      </w:pPr>
    </w:p>
    <w:bookmarkStart w:id="505" w:name="pg14411_143189"/>
    <w:bookmarkEnd w:id="505"/>
    <w:p>
      <w:pPr>
        <w:pStyle w:val="BookText"/>
      </w:pPr>
      <w:r>
        <w:rPr>
          <w:rFonts w:ascii="IRNazanin" w:hAnsi="IRNazanin" w:eastAsia="IRNazanin" w:cs="IRNazanin"/>
          <w:lang w:bidi="fa-IR"/>
          <w:color w:val="111111"/>
          <w:sz w:val="28"/>
          <w:szCs w:val="28"/>
          <w:rtl/>
        </w:rPr>
        <w:t xml:space="preserve">بارتفاع طهارة الأوّل و بقاء نجاسة الثانی،مع عدم صدق الارتفاع و البقاء فیهما بحسب التدقیق </w:t>
      </w:r>
      <w:r>
        <w:rPr>
          <w:rStyle w:val="FootnoteReference"/>
        </w:rPr>
        <w:footnoteReference w:id="2414"/>
      </w:r>
      <w:r>
        <w:rPr>
          <w:rFonts w:ascii="IRNazanin" w:hAnsi="IRNazanin" w:eastAsia="IRNazanin" w:cs="IRNazanin"/>
          <w:lang w:bidi="fa-IR"/>
          <w:color w:val="111111"/>
          <w:sz w:val="28"/>
          <w:szCs w:val="28"/>
          <w:rtl/>
        </w:rPr>
        <w:t xml:space="preserve">لأنّ الطهارة و النجاسة کانتا محمولتین علی الحیوانین المذکورین </w:t>
      </w:r>
      <w:r>
        <w:rPr>
          <w:rStyle w:val="FootnoteReference"/>
        </w:rPr>
        <w:footnoteReference w:id="2415"/>
      </w:r>
      <w:r>
        <w:rPr>
          <w:rFonts w:ascii="IRNazanin" w:hAnsi="IRNazanin" w:eastAsia="IRNazanin" w:cs="IRNazanin"/>
          <w:lang w:bidi="fa-IR"/>
          <w:color w:val="111111"/>
          <w:sz w:val="28"/>
          <w:szCs w:val="28"/>
          <w:rtl/>
        </w:rPr>
        <w:t xml:space="preserve">،و قد ارتفعت الحیوانیة بعد صیرورته جمادا.</w:t>
      </w:r>
    </w:p>
    <w:p>
      <w:pPr>
        <w:pStyle w:val="BookText"/>
      </w:pPr>
      <w:r>
        <w:rPr>
          <w:rFonts w:ascii="IRNazanin" w:hAnsi="IRNazanin" w:eastAsia="IRNazanin" w:cs="IRNazanin"/>
          <w:lang w:bidi="fa-IR"/>
          <w:color w:val="111111"/>
          <w:sz w:val="28"/>
          <w:szCs w:val="28"/>
          <w:rtl/>
        </w:rPr>
        <w:t xml:space="preserve">و نحوه حکم العرف باستصحاب بقاء الزوجیّة بعد موت أحد الزوجین،و قد تقدّم </w:t>
      </w:r>
      <w:r>
        <w:rPr>
          <w:rStyle w:val="FootnoteReference"/>
        </w:rPr>
        <w:footnoteReference w:id="2416"/>
      </w:r>
      <w:r>
        <w:rPr>
          <w:rFonts w:ascii="IRNazanin" w:hAnsi="IRNazanin" w:eastAsia="IRNazanin" w:cs="IRNazanin"/>
          <w:lang w:bidi="fa-IR"/>
          <w:color w:val="111111"/>
          <w:sz w:val="28"/>
          <w:szCs w:val="28"/>
          <w:rtl/>
        </w:rPr>
        <w:t xml:space="preserve">حکم العرف ببقاء کرّیّة ما کان کرّا سابقا، و وجوب الأجزاء الواجبة سابقا قبل تعذّر بعضها،و استصحاب السواد فیما علم زوال مرتبة معیّنة منه و یشکّ فی تبدّله بالبیاض أو بسواد خفیف،إلی غیر ذلک.</w:t>
      </w:r>
    </w:p>
    <w:p>
      <w:pPr>
        <w:pStyle w:val="Heading6"/>
      </w:pPr>
      <w:bookmarkStart w:id="2034" w:name="_Toc1069"/>
      <w:r>
        <w:t>[کلام الفاضلین تأییدا لکون المیزان نظر العرف:]</w:t>
      </w:r>
      <w:bookmarkEnd w:id="2034"/>
    </w:p>
    <w:p>
      <w:pPr>
        <w:pStyle w:val="BookText"/>
      </w:pPr>
      <w:r>
        <w:rPr>
          <w:rFonts w:ascii="IRNazanin" w:hAnsi="IRNazanin" w:eastAsia="IRNazanin" w:cs="IRNazanin"/>
          <w:lang w:bidi="fa-IR"/>
          <w:color w:val="111111"/>
          <w:sz w:val="28"/>
          <w:szCs w:val="28"/>
          <w:rtl/>
        </w:rPr>
        <w:t xml:space="preserve">و بهذا الوجه یصحّ للفاضلین قدّس سرّهما-فی المعتبر و المنتهی-الاستدلال علی بقاء نجاسة الأعیان النجسة بعد الاستحالة:بأنّ النجاسة قائمة بالأعیان </w:t>
      </w:r>
      <w:r>
        <w:rPr>
          <w:rStyle w:val="FootnoteReference"/>
        </w:rPr>
        <w:footnoteReference w:id="2417"/>
      </w:r>
      <w:r>
        <w:rPr>
          <w:rFonts w:ascii="IRNazanin" w:hAnsi="IRNazanin" w:eastAsia="IRNazanin" w:cs="IRNazanin"/>
          <w:lang w:bidi="fa-IR"/>
          <w:color w:val="111111"/>
          <w:sz w:val="28"/>
          <w:szCs w:val="28"/>
          <w:rtl/>
        </w:rPr>
        <w:t xml:space="preserve">النجسة،لا بأوصاف الأجزاء،فلا تزول بتغیّر أوصاف محلّها،و تلک الأجزاء باقیة،فتکون النجاسة باقیة؛لانتفاء ما یقتضی ارتفاعها </w:t>
      </w:r>
      <w:r>
        <w:rPr>
          <w:rStyle w:val="FootnoteReference"/>
        </w:rPr>
        <w:footnoteReference w:id="2418"/>
      </w:r>
      <w:r>
        <w:rPr>
          <w:rFonts w:ascii="IRNazanin" w:hAnsi="IRNazanin" w:eastAsia="IRNazanin" w:cs="IRNazanin"/>
          <w:lang w:bidi="fa-IR"/>
          <w:color w:val="111111"/>
          <w:sz w:val="28"/>
          <w:szCs w:val="28"/>
          <w:rtl/>
        </w:rPr>
        <w:t xml:space="preserve">،انتهی کلام المعتبر.</w:t>
      </w:r>
    </w:p>
    <w:p>
      <w:pPr>
        <w:pStyle w:val="BookText"/>
      </w:pPr>
      <w:r>
        <w:rPr>
          <w:rFonts w:ascii="IRNazanin" w:hAnsi="IRNazanin" w:eastAsia="IRNazanin" w:cs="IRNazanin"/>
          <w:lang w:bidi="fa-IR"/>
          <w:color w:val="111111"/>
          <w:sz w:val="28"/>
          <w:szCs w:val="28"/>
          <w:rtl/>
        </w:rPr>
        <w:t xml:space="preserve">و احتجّ فخر الدین للنجاسة:بأصالة بقائها،و بأنّ الاسم أمارة و معرّف،فلا یزول الحکم بزواله </w:t>
      </w:r>
      <w:r>
        <w:rPr>
          <w:rStyle w:val="FootnoteReference"/>
        </w:rPr>
        <w:footnoteReference w:id="2419"/>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[شماره صفحه واقعی : 296]
</w:t>
      </w:r>
    </w:p>
    <w:p>
      <w:pPr>
        <w:sectPr>
          <w:footerReference w:type="default" r:id="rId808"/>
          <w:footnotePr>
            <w:numStart w:val="1"/>
            <w:numRestart w:val="eachPage"/>
          </w:footnotePr>
          <w:pgSz w:orient="portrait" w:w="11905.511811023622" w:h="16837.79527559055"/>
          <w:pgMar w:top="1440" w:right="1440" w:bottom="1440" w:left="1440" w:header="720" w:footer="720" w:gutter="0"/>
          <w:cols w:num="1" w:space="720"/>
        </w:sectPr>
      </w:pPr>
    </w:p>
    <w:bookmarkStart w:id="506" w:name="pg14411_143190"/>
    <w:bookmarkEnd w:id="506"/>
    <w:p>
      <w:pPr>
        <w:pStyle w:val="BookText"/>
      </w:pPr>
      <w:r>
        <w:rPr>
          <w:rFonts w:ascii="IRNazanin" w:hAnsi="IRNazanin" w:eastAsia="IRNazanin" w:cs="IRNazanin"/>
          <w:lang w:bidi="fa-IR"/>
          <w:color w:val="111111"/>
          <w:sz w:val="28"/>
          <w:szCs w:val="28"/>
          <w:rtl/>
        </w:rPr>
        <w:t xml:space="preserve">و هذه الکلمات و إن کانت محلّ الإیراد؛لعدم ثبوت قیام حکم الشارع بالنجاسة بجسم الکلب المشترک بین الحیوان و الجماد،بل ظهور عدمه؛لأنّ ظاهر الأدلّة تبعیّة الأحکام للأسماء،کما اعترف به فی المنتهی فی استحالة الأعیان النجسة </w:t>
      </w:r>
      <w:r>
        <w:rPr>
          <w:rStyle w:val="FootnoteReference"/>
        </w:rPr>
        <w:footnoteReference w:id="2420"/>
      </w:r>
      <w:r>
        <w:rPr>
          <w:rFonts w:ascii="IRNazanin" w:hAnsi="IRNazanin" w:eastAsia="IRNazanin" w:cs="IRNazanin"/>
          <w:lang w:bidi="fa-IR"/>
          <w:color w:val="111111"/>
          <w:sz w:val="28"/>
          <w:szCs w:val="28"/>
          <w:rtl/>
        </w:rPr>
        <w:t xml:space="preserve">،إلاّ أنّها شاهدة علی إمکان اعتبار </w:t>
      </w:r>
      <w:r>
        <w:rPr>
          <w:rStyle w:val="FootnoteReference"/>
        </w:rPr>
        <w:footnoteReference w:id="2421"/>
      </w:r>
      <w:r>
        <w:rPr>
          <w:rFonts w:ascii="IRNazanin" w:hAnsi="IRNazanin" w:eastAsia="IRNazanin" w:cs="IRNazanin"/>
          <w:lang w:bidi="fa-IR"/>
          <w:color w:val="111111"/>
          <w:sz w:val="28"/>
          <w:szCs w:val="28"/>
          <w:rtl/>
        </w:rPr>
        <w:t xml:space="preserve">موضوعیّة الذات المشترکة بین واجد الوصف العنوانیّ و فاقده، کما ذکرنا فی نجاسة الکلب بالموت،حیث إنّ أهل العرف لا یفهمون نجاسة اخری حاصلة بالموت،و یفهمون ارتفاع طهارة الإنسان،إلی غیر ذلک ممّا یفهمون الموضوع فیه مشترکا بین الواجد للوصف العنوانیّ و الفاقد.</w:t>
      </w:r>
    </w:p>
    <w:p>
      <w:pPr>
        <w:pStyle w:val="Heading6"/>
      </w:pPr>
      <w:bookmarkStart w:id="2035" w:name="_Toc1070"/>
      <w:r>
        <w:t>[الفرق بین نجس العین و المتنجّس عند الاستحالة:]</w:t>
      </w:r>
      <w:bookmarkEnd w:id="2035"/>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Amiri" w:hAnsi="Amiri" w:eastAsia="Amiri" w:cs="Amiri"/>
          <w:lang w:bidi="ar-SA"/>
          <w:color w:val="111111"/>
          <w:sz w:val="28"/>
          <w:szCs w:val="28"/>
          <w:rtl/>
        </w:rPr>
        <w:t xml:space="preserve">ثمّ إنّ بعض المتأخّرین </w:t>
      </w:r>
      <w:r>
        <w:rPr>
          <w:rStyle w:val="FootnoteReference"/>
        </w:rPr>
        <w:footnoteReference w:id="2422"/>
      </w:r>
      <w:r>
        <w:rPr>
          <w:rFonts w:ascii="IRNazanin" w:hAnsi="IRNazanin" w:eastAsia="IRNazanin" w:cs="IRNazanin"/>
          <w:lang w:bidi="fa-IR"/>
          <w:color w:val="111111"/>
          <w:sz w:val="28"/>
          <w:szCs w:val="28"/>
          <w:rtl/>
        </w:rPr>
        <w:t xml:space="preserve">فرّق بین استحالة نجس العین و المتنجّس، فحکم بطهارة الأوّل لزوال الموضوع،دون الثانی؛لأنّ موضوع النجاسة فیه لیس عنوان المستحیل-أعنی الخشب مثلا-و إنّما هو الجسم و لم یزل بالاستحالة.</w:t>
      </w:r>
    </w:p>
    <w:p>
      <w:pPr>
        <w:pStyle w:val="Heading6"/>
      </w:pPr>
      <w:bookmarkStart w:id="2036" w:name="_Toc1071"/>
      <w:r>
        <w:t>[الإشکال فی هذا الفرق:]</w:t>
      </w:r>
      <w:bookmarkEnd w:id="2036"/>
    </w:p>
    <w:p>
      <w:pPr>
        <w:pStyle w:val="BookText"/>
      </w:pPr>
      <w:r>
        <w:rPr>
          <w:rFonts w:ascii="IRNazanin" w:hAnsi="IRNazanin" w:eastAsia="IRNazanin" w:cs="IRNazanin"/>
          <w:lang w:bidi="fa-IR"/>
          <w:color w:val="111111"/>
          <w:sz w:val="28"/>
          <w:szCs w:val="28"/>
          <w:rtl/>
        </w:rPr>
        <w:t xml:space="preserve">و هو حسن فی بادئ النظر،إلاّ أنّ دقیق النظر یقتضی خلافه؛ إذ لم یعلم أنّ النجاسة فی المتنجّسات محمولة علی الصورة الجنسیّة و هی الجسم،و إن اشتهر فی الفتاوی و معاقد الإجماعات:أنّ کلّ جسم لاقی نجسا مع رطوبة أحدهما فهو نجس،إلاّ أنّه لا یخفی علی المتأمّل أنّ التعبیر بالجسم لبیان </w:t>
      </w:r>
      <w:r>
        <w:rPr>
          <w:rStyle w:val="FootnoteReference"/>
        </w:rPr>
        <w:footnoteReference w:id="2423"/>
      </w:r>
      <w:r>
        <w:rPr>
          <w:rFonts w:ascii="IRNazanin" w:hAnsi="IRNazanin" w:eastAsia="IRNazanin" w:cs="IRNazanin"/>
          <w:lang w:bidi="fa-IR"/>
          <w:color w:val="111111"/>
          <w:sz w:val="28"/>
          <w:szCs w:val="28"/>
          <w:rtl/>
        </w:rPr>
        <w:t xml:space="preserve">عموم الحکم لجمیع الأجسام الملاقیة من حیث</w:t>
      </w:r>
    </w:p>
    <w:p>
      <w:pPr>
        <w:pStyle w:val="BookText"/>
      </w:pPr>
      <w:r>
        <w:rPr>
          <w:rFonts w:ascii="IRNazanin" w:hAnsi="IRNazanin" w:eastAsia="IRNazanin" w:cs="IRNazanin"/>
          <w:lang w:bidi="fa-IR"/>
          <w:color w:val="111111"/>
          <w:sz w:val="28"/>
          <w:szCs w:val="28"/>
          <w:rtl/>
        </w:rPr>
        <w:t xml:space="preserve">[شماره صفحه واقعی : 297]
</w:t>
      </w:r>
    </w:p>
    <w:p>
      <w:pPr>
        <w:sectPr>
          <w:footerReference w:type="default" r:id="rId8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سببیّة الملاقاة للتنجّس </w:t>
      </w:r>
      <w:r>
        <w:rPr>
          <w:rStyle w:val="FootnoteReference"/>
        </w:rPr>
        <w:footnoteReference w:id="2424"/>
      </w:r>
      <w:r>
        <w:rPr>
          <w:rFonts w:ascii="IRNazanin" w:hAnsi="IRNazanin" w:eastAsia="IRNazanin" w:cs="IRNazanin"/>
          <w:lang w:bidi="fa-IR"/>
          <w:color w:val="111111"/>
          <w:sz w:val="28"/>
          <w:szCs w:val="28"/>
          <w:rtl/>
        </w:rPr>
        <w:t xml:space="preserve">،لا لبیان إناطة الحکم بالجسمیّة.</w:t>
      </w:r>
    </w:p>
    <w:p>
      <w:pPr>
        <w:pStyle w:val="BookText"/>
      </w:pPr>
      <w:r>
        <w:rPr>
          <w:rFonts w:ascii="IRNazanin" w:hAnsi="IRNazanin" w:eastAsia="IRNazanin" w:cs="IRNazanin"/>
          <w:lang w:bidi="fa-IR"/>
          <w:color w:val="111111"/>
          <w:sz w:val="28"/>
          <w:szCs w:val="28"/>
          <w:rtl/>
        </w:rPr>
        <w:t xml:space="preserve">و بتقریر آخر </w:t>
      </w:r>
      <w:r>
        <w:rPr>
          <w:rStyle w:val="FootnoteReference"/>
        </w:rPr>
        <w:footnoteReference w:id="2425"/>
      </w:r>
      <w:r>
        <w:rPr>
          <w:rFonts w:ascii="IRNazanin" w:hAnsi="IRNazanin" w:eastAsia="IRNazanin" w:cs="IRNazanin"/>
          <w:lang w:bidi="fa-IR"/>
          <w:color w:val="111111"/>
          <w:sz w:val="28"/>
          <w:szCs w:val="28"/>
          <w:rtl/>
        </w:rPr>
        <w:t xml:space="preserve">:الحکم ثابت لأشخاص الجسم،فلا ینافی ثبوته لکلّ واحد منها من حیث نوعه أو صنفه المتقوّم به عند الملاقاة.</w:t>
      </w:r>
    </w:p>
    <w:p>
      <w:pPr>
        <w:pStyle w:val="BookText"/>
      </w:pPr>
      <w:r>
        <w:rPr>
          <w:rFonts w:ascii="IRNazanin" w:hAnsi="IRNazanin" w:eastAsia="IRNazanin" w:cs="IRNazanin"/>
          <w:lang w:bidi="fa-IR"/>
          <w:color w:val="111111"/>
          <w:sz w:val="28"/>
          <w:szCs w:val="28"/>
          <w:rtl/>
        </w:rPr>
        <w:t xml:space="preserve">فقولهم:«کلّ جسم لاقی نجسا فهو نجس»لبیان حدوث النجاسة فی الجسم بسبب الملاقاة من غیر تعرّض للمحلّ الذی یتقوّم به،کما إذا قال القائل:«إنّ کلّ جسم له خاصّیّة و تأثیر»مع کون الخواصّ و التأثیرات من عوارض الأنواع.</w:t>
      </w:r>
    </w:p>
    <w:p>
      <w:pPr>
        <w:pStyle w:val="BookText"/>
      </w:pPr>
      <w:r>
        <w:rPr>
          <w:rFonts w:ascii="IRNazanin" w:hAnsi="IRNazanin" w:eastAsia="IRNazanin" w:cs="IRNazanin"/>
          <w:lang w:bidi="fa-IR"/>
          <w:color w:val="111111"/>
          <w:sz w:val="28"/>
          <w:szCs w:val="28"/>
          <w:rtl/>
        </w:rPr>
        <w:t xml:space="preserve">و إن أبیت إلاّ عن ظهور معقد الإجماع فی تقوّم النجاسة بالجسم، فنقول:لا شکّ </w:t>
      </w:r>
      <w:r>
        <w:rPr>
          <w:rStyle w:val="FootnoteReference"/>
        </w:rPr>
        <w:footnoteReference w:id="2426"/>
      </w:r>
      <w:r>
        <w:rPr>
          <w:rFonts w:ascii="IRNazanin" w:hAnsi="IRNazanin" w:eastAsia="IRNazanin" w:cs="IRNazanin"/>
          <w:lang w:bidi="fa-IR"/>
          <w:color w:val="111111"/>
          <w:sz w:val="28"/>
          <w:szCs w:val="28"/>
          <w:rtl/>
        </w:rPr>
        <w:t xml:space="preserve">فی أنّ مستند هذا العموم هی الأدلّة الخاصّة الواردة فی الأشخاص الخاصّة-مثل الثوب و البدن و الماء و غیر ذلک-،فاستنباط القضیّة الکلّیّة المذکورة منها لیس إلاّ من حیث عنوان حدوث النجاسة، لا ما یتقوّم به،و إلاّ فاللازم إناطة النجاسة فی کلّ مورد بالعنوان المذکور فی دلیله.</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 دعوی:أنّ ثبوت الحکم لکلّ عنوان خاصّ من حیث کونه جسما،لیست بأولی من دعوی کون التعبیر بالجسم فی القضیّة العامّة من حیث عموم ما یحدث فیه النجاسة بالملاقاة،لا من حیث تقوّم النجاسة بالجسم.نعم،الفرق بین المتنجّس و النجس:أنّ الموضوع فی النجس معلوم الانتفاء فی ظاهر الدلیل،و فی المتنجّس محتمل البقاء.</w:t>
      </w:r>
    </w:p>
    <w:p>
      <w:pPr>
        <w:pStyle w:val="BookText"/>
      </w:pPr>
      <w:r>
        <w:rPr>
          <w:rFonts w:ascii="IRNazanin" w:hAnsi="IRNazanin" w:eastAsia="IRNazanin" w:cs="IRNazanin"/>
          <w:lang w:bidi="fa-IR"/>
          <w:color w:val="111111"/>
          <w:sz w:val="28"/>
          <w:szCs w:val="28"/>
          <w:rtl/>
        </w:rPr>
        <w:t xml:space="preserve">[شماره صفحه واقعی : 298]
</w:t>
      </w:r>
    </w:p>
    <w:p>
      <w:pPr>
        <w:sectPr>
          <w:footerReference w:type="default" r:id="rId810"/>
          <w:footnotePr>
            <w:numStart w:val="1"/>
            <w:numRestart w:val="eachPage"/>
          </w:footnotePr>
          <w:pgSz w:orient="portrait" w:w="11905.511811023622" w:h="16837.79527559055"/>
          <w:pgMar w:top="1440" w:right="1440" w:bottom="1440" w:left="1440" w:header="720" w:footer="720" w:gutter="0"/>
          <w:cols w:num="1" w:space="720"/>
        </w:sectPr>
      </w:pPr>
    </w:p>
    <w:bookmarkStart w:id="507" w:name="pg14411_143192"/>
    <w:bookmarkEnd w:id="507"/>
    <w:p>
      <w:pPr>
        <w:pStyle w:val="Heading6"/>
      </w:pPr>
      <w:bookmarkStart w:id="2037" w:name="_Toc1072"/>
      <w:r>
        <w:t>[عدم الفرق بناء علی کون المحکّم نظر العرف:]</w:t>
      </w:r>
      <w:bookmarkEnd w:id="2037"/>
    </w:p>
    <w:p>
      <w:pPr>
        <w:pStyle w:val="BookText"/>
      </w:pPr>
      <w:r>
        <w:rPr>
          <w:rFonts w:ascii="IRNazanin" w:hAnsi="IRNazanin" w:eastAsia="IRNazanin" w:cs="IRNazanin"/>
          <w:lang w:bidi="fa-IR"/>
          <w:color w:val="111111"/>
          <w:sz w:val="28"/>
          <w:szCs w:val="28"/>
          <w:rtl/>
        </w:rPr>
        <w:t xml:space="preserve">لکنّ هذا المقدار لا یوجب الفرق بعد ما </w:t>
      </w:r>
      <w:r>
        <w:rPr>
          <w:rStyle w:val="FootnoteReference"/>
        </w:rPr>
        <w:footnoteReference w:id="2427"/>
      </w:r>
      <w:r>
        <w:rPr>
          <w:rFonts w:ascii="IRNazanin" w:hAnsi="IRNazanin" w:eastAsia="IRNazanin" w:cs="IRNazanin"/>
          <w:lang w:bidi="fa-IR"/>
          <w:color w:val="111111"/>
          <w:sz w:val="28"/>
          <w:szCs w:val="28"/>
          <w:rtl/>
        </w:rPr>
        <w:t xml:space="preserve">تبیّن أنّ العرف هو المحکّم فی موضوع الاستصحاب.أ رأیت أنّه لو حکم علی الحنطة أو العنب بالحلّیّة أو الحرمة أو النجاسة أو الطهارة،هل یتأمّل العرف فی إجراء تلک الأحکام علی الدقیق و الزبیب؟!کما لا یتأمّلون فی عدم جریان الاستصحاب فی استحالة الخشب دخانا و الماء المتنجّس بولا لمأکول اللحم،خصوصا إذا اطّلعوا علی زوال النجاسة بالاستحالة.</w:t>
      </w:r>
    </w:p>
    <w:p>
      <w:pPr>
        <w:pStyle w:val="BookText"/>
      </w:pPr>
      <w:r>
        <w:rPr>
          <w:rFonts w:ascii="IRNazanin" w:hAnsi="IRNazanin" w:eastAsia="IRNazanin" w:cs="IRNazanin"/>
          <w:lang w:bidi="fa-IR"/>
          <w:color w:val="111111"/>
          <w:sz w:val="28"/>
          <w:szCs w:val="28"/>
          <w:rtl/>
        </w:rPr>
        <w:t xml:space="preserve">کما أنّ العلماء أیضا لم یفرّقوا فی الاستحالة بین النجس و المتنجّس، کما لا یخفی علی المتتبّع </w:t>
      </w:r>
      <w:r>
        <w:rPr>
          <w:rStyle w:val="FootnoteReference"/>
        </w:rPr>
        <w:footnoteReference w:id="2428"/>
      </w:r>
      <w:r>
        <w:rPr>
          <w:rFonts w:ascii="IRNazanin" w:hAnsi="IRNazanin" w:eastAsia="IRNazanin" w:cs="IRNazanin"/>
          <w:lang w:bidi="fa-IR"/>
          <w:color w:val="111111"/>
          <w:sz w:val="28"/>
          <w:szCs w:val="28"/>
          <w:rtl/>
        </w:rPr>
        <w:t xml:space="preserve">،بل جعل بعضهم </w:t>
      </w:r>
      <w:r>
        <w:rPr>
          <w:rStyle w:val="FootnoteReference"/>
        </w:rPr>
        <w:footnoteReference w:id="2429"/>
      </w:r>
      <w:r>
        <w:rPr>
          <w:rFonts w:ascii="Amiri" w:hAnsi="Amiri" w:eastAsia="Amiri" w:cs="Amiri"/>
          <w:lang w:bidi="ar-SA"/>
          <w:color w:val="111111"/>
          <w:sz w:val="28"/>
          <w:szCs w:val="28"/>
          <w:rtl/>
        </w:rPr>
        <w:t xml:space="preserve">الاستحالة مطهّرة للمتنجّس بالأولویّة الجلیّة </w:t>
      </w:r>
      <w:r>
        <w:rPr>
          <w:rStyle w:val="FootnoteReference"/>
        </w:rPr>
        <w:footnoteReference w:id="2430"/>
      </w:r>
      <w:r>
        <w:rPr>
          <w:rFonts w:ascii="Amiri" w:hAnsi="Amiri" w:eastAsia="Amiri" w:cs="Amiri"/>
          <w:lang w:bidi="ar-SA"/>
          <w:color w:val="111111"/>
          <w:sz w:val="28"/>
          <w:szCs w:val="28"/>
          <w:rtl/>
        </w:rPr>
        <w:t xml:space="preserve">،حتّی تمسّک بها فی المقام من لا یقول بحجّیّة مطلق الظنّ </w:t>
      </w:r>
      <w:r>
        <w:rPr>
          <w:rStyle w:val="FootnoteReference"/>
        </w:rPr>
        <w:footnoteReference w:id="24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ممّا ذکرنا یظهر وجه النظر فیما ذکره جماعة </w:t>
      </w:r>
      <w:r>
        <w:rPr>
          <w:rStyle w:val="FootnoteReference"/>
        </w:rPr>
        <w:footnoteReference w:id="2432"/>
      </w:r>
      <w:r>
        <w:rPr>
          <w:rFonts w:ascii="IRNazanin" w:hAnsi="IRNazanin" w:eastAsia="IRNazanin" w:cs="IRNazanin"/>
          <w:lang w:bidi="fa-IR"/>
          <w:color w:val="111111"/>
          <w:sz w:val="28"/>
          <w:szCs w:val="28"/>
          <w:rtl/>
        </w:rPr>
        <w:t xml:space="preserve">-تبعا للفاضل الهندی قدّس سرّه </w:t>
      </w:r>
      <w:r>
        <w:rPr>
          <w:rStyle w:val="FootnoteReference"/>
        </w:rPr>
        <w:footnoteReference w:id="2433"/>
      </w:r>
      <w:r>
        <w:rPr>
          <w:rFonts w:ascii="IRNazanin" w:hAnsi="IRNazanin" w:eastAsia="IRNazanin" w:cs="IRNazanin"/>
          <w:lang w:bidi="fa-IR"/>
          <w:color w:val="111111"/>
          <w:sz w:val="28"/>
          <w:szCs w:val="28"/>
          <w:rtl/>
        </w:rPr>
        <w:t xml:space="preserve">-:من أنّ الحکم فی المتنجّسات لیس دائرا مدار الاسم</w:t>
      </w:r>
    </w:p>
    <w:p>
      <w:pPr>
        <w:pStyle w:val="BookText"/>
      </w:pPr>
      <w:r>
        <w:rPr>
          <w:rFonts w:ascii="IRNazanin" w:hAnsi="IRNazanin" w:eastAsia="IRNazanin" w:cs="IRNazanin"/>
          <w:lang w:bidi="fa-IR"/>
          <w:color w:val="111111"/>
          <w:sz w:val="28"/>
          <w:szCs w:val="28"/>
          <w:rtl/>
        </w:rPr>
        <w:t xml:space="preserve">[شماره صفحه واقعی : 299]
</w:t>
      </w:r>
    </w:p>
    <w:p>
      <w:pPr>
        <w:sectPr>
          <w:footerReference w:type="default" r:id="rId811"/>
          <w:footnotePr>
            <w:numStart w:val="1"/>
            <w:numRestart w:val="eachPage"/>
          </w:footnotePr>
          <w:pgSz w:orient="portrait" w:w="11905.511811023622" w:h="16837.79527559055"/>
          <w:pgMar w:top="1440" w:right="1440" w:bottom="1440" w:left="1440" w:header="720" w:footer="720" w:gutter="0"/>
          <w:cols w:num="1" w:space="720"/>
        </w:sectPr>
      </w:pPr>
    </w:p>
    <w:bookmarkStart w:id="508" w:name="pg14411_143193"/>
    <w:bookmarkEnd w:id="508"/>
    <w:p>
      <w:pPr>
        <w:pStyle w:val="BookText"/>
      </w:pPr>
      <w:r>
        <w:rPr>
          <w:rFonts w:ascii="Amiri" w:hAnsi="Amiri" w:eastAsia="Amiri" w:cs="Amiri"/>
          <w:lang w:bidi="ar-SA"/>
          <w:color w:val="111111"/>
          <w:sz w:val="28"/>
          <w:szCs w:val="28"/>
          <w:rtl/>
        </w:rPr>
        <w:t xml:space="preserve">حتّی یطهر </w:t>
      </w:r>
      <w:r>
        <w:rPr>
          <w:rStyle w:val="FootnoteReference"/>
        </w:rPr>
        <w:footnoteReference w:id="2434"/>
      </w:r>
      <w:r>
        <w:rPr>
          <w:rFonts w:ascii="IRNazanin" w:hAnsi="IRNazanin" w:eastAsia="IRNazanin" w:cs="IRNazanin"/>
          <w:lang w:bidi="fa-IR"/>
          <w:color w:val="111111"/>
          <w:sz w:val="28"/>
          <w:szCs w:val="28"/>
          <w:rtl/>
        </w:rPr>
        <w:t xml:space="preserve">بالاستحالة،بل لأنّه جسم لاقی نجسا،و هذا المعنی لم یزل </w:t>
      </w:r>
      <w:r>
        <w:rPr>
          <w:rStyle w:val="FootnoteReference"/>
        </w:rPr>
        <w:footnoteReference w:id="2435"/>
      </w:r>
      <w:r>
        <w:rPr>
          <w:rFonts w:ascii="Times New Roman" w:hAnsi="Times New Roman" w:eastAsia="Times New Roman" w:cs="Times New Roman"/>
          <w:lang w:val="en-US" w:bidi="en-US"/>
          <w:color w:val="111111"/>
          <w:sz w:val="28"/>
          <w:szCs w:val="28"/>
          <w:rtl/>
        </w:rPr>
        <w:t xml:space="preserve">.</w:t>
      </w:r>
    </w:p>
    <w:p>
      <w:pPr>
        <w:pStyle w:val="Heading6"/>
      </w:pPr>
      <w:bookmarkStart w:id="2038" w:name="_Toc1073"/>
      <w:r>
        <w:t>[مراتب التغیّر و الأحکام مختلفة:]</w:t>
      </w:r>
      <w:bookmarkEnd w:id="2038"/>
    </w:p>
    <w:p>
      <w:pPr>
        <w:pStyle w:val="BookText"/>
      </w:pPr>
      <w:r>
        <w:rPr>
          <w:rFonts w:ascii="IRNazanin" w:hAnsi="IRNazanin" w:eastAsia="IRNazanin" w:cs="IRNazanin"/>
          <w:lang w:bidi="fa-IR"/>
          <w:color w:val="111111"/>
          <w:sz w:val="28"/>
          <w:szCs w:val="28"/>
          <w:rtl/>
        </w:rPr>
        <w:t xml:space="preserve">فالتحقیق:أنّ مراتب تغیّر الصورة فی الأجسام مختلفة،بل الأحکام أیضا مختلفة،ففی بعض مراتب التغیّر یحکم العرف بجریان دلیل العنوان من غیر حاجة إلی الاستصحاب،و فی بعض آخر لا یحکمون بذلک و یثبتون الحکم بالاستصحاب،و فی ثالث لا یجرون الاستصحاب أیضا،من غیر فرق-فی حکم النجاسة-بین النجس و المتنجّس.</w:t>
      </w:r>
    </w:p>
    <w:p>
      <w:pPr>
        <w:pStyle w:val="BookText"/>
      </w:pPr>
      <w:r>
        <w:rPr>
          <w:rFonts w:ascii="IRNazanin" w:hAnsi="IRNazanin" w:eastAsia="IRNazanin" w:cs="IRNazanin"/>
          <w:lang w:bidi="fa-IR"/>
          <w:color w:val="111111"/>
          <w:sz w:val="28"/>
          <w:szCs w:val="28"/>
          <w:rtl/>
        </w:rPr>
        <w:t xml:space="preserve">فمن الأوّل:ما لو حکم علی الرطب أو العنب بالحلّیّة أو الطهارة أو النجاسة،فإنّ الظاهر جریان عموم أدلّة هذه الأحکام للتمر و الزبیب، فکأنّهم یفهمون من الرطب و العنب الأعمّ ممّا جفّ منهما فصار تمرا أو زبیبا،مع أنّ الظاهر تغایر الاسمین؛و لهذا لو حلف علی ترک أحدهما لم یحنث بأکل الآخر.و الظاهر أنّهم لا یحتاجون فی إجراء الأحکام المذکورة إلی الاستصحاب.</w:t>
      </w:r>
    </w:p>
    <w:p>
      <w:pPr>
        <w:pStyle w:val="BookText"/>
      </w:pPr>
      <w:r>
        <w:rPr>
          <w:rFonts w:ascii="IRNazanin" w:hAnsi="IRNazanin" w:eastAsia="IRNazanin" w:cs="IRNazanin"/>
          <w:lang w:bidi="fa-IR"/>
          <w:color w:val="111111"/>
          <w:sz w:val="28"/>
          <w:szCs w:val="28"/>
          <w:rtl/>
        </w:rPr>
        <w:t xml:space="preserve">و من الثانی:إجراء حکم بول غیر المأکول إذا صار بولا لمأکول و بالعکس،و کذا صیرورة الخمر خلاّ،و صیرورة الکلب أو الإنسان جمادا بالموت،إلاّ أنّ الشارع حکم فی بعض هذه الموارد بارتفاع الحکم السابق،إمّا للنصّ،کما فی الخمر المستحیل خلاّ </w:t>
      </w:r>
      <w:r>
        <w:rPr>
          <w:rStyle w:val="FootnoteReference"/>
        </w:rPr>
        <w:footnoteReference w:id="2436"/>
      </w:r>
      <w:r>
        <w:rPr>
          <w:rFonts w:ascii="IRNazanin" w:hAnsi="IRNazanin" w:eastAsia="IRNazanin" w:cs="IRNazanin"/>
          <w:lang w:bidi="fa-IR"/>
          <w:color w:val="111111"/>
          <w:sz w:val="28"/>
          <w:szCs w:val="28"/>
          <w:rtl/>
        </w:rPr>
        <w:t xml:space="preserve">،و إمّا لعموم ما دلّ علی حکم المنتقل إلیه،</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فإنّ الظاهر أنّ استفادة طهارة المستحال إلیه إذا</w:t>
      </w:r>
    </w:p>
    <w:p>
      <w:pPr>
        <w:pStyle w:val="BookText"/>
      </w:pPr>
      <w:r>
        <w:rPr>
          <w:rFonts w:ascii="IRNazanin" w:hAnsi="IRNazanin" w:eastAsia="IRNazanin" w:cs="IRNazanin"/>
          <w:lang w:bidi="fa-IR"/>
          <w:color w:val="111111"/>
          <w:sz w:val="28"/>
          <w:szCs w:val="28"/>
          <w:rtl/>
        </w:rPr>
        <w:t xml:space="preserve">[شماره صفحه واقعی : 300]
</w:t>
      </w:r>
    </w:p>
    <w:p>
      <w:pPr>
        <w:sectPr>
          <w:footerReference w:type="default" r:id="rId812"/>
          <w:footnotePr>
            <w:numStart w:val="1"/>
            <w:numRestart w:val="eachPage"/>
          </w:footnotePr>
          <w:pgSz w:orient="portrait" w:w="11905.511811023622" w:h="16837.79527559055"/>
          <w:pgMar w:top="1440" w:right="1440" w:bottom="1440" w:left="1440" w:header="720" w:footer="720" w:gutter="0"/>
          <w:cols w:num="1" w:space="720"/>
        </w:sectPr>
      </w:pPr>
    </w:p>
    <w:bookmarkStart w:id="509" w:name="pg14411_143194"/>
    <w:bookmarkEnd w:id="509"/>
    <w:p>
      <w:pPr>
        <w:pStyle w:val="BookText"/>
      </w:pPr>
      <w:r>
        <w:rPr>
          <w:rFonts w:ascii="IRNazanin" w:hAnsi="IRNazanin" w:eastAsia="IRNazanin" w:cs="IRNazanin"/>
          <w:lang w:bidi="fa-IR"/>
          <w:color w:val="111111"/>
          <w:sz w:val="28"/>
          <w:szCs w:val="28"/>
          <w:rtl/>
        </w:rPr>
        <w:t xml:space="preserve">کان بولا لمأکول </w:t>
      </w:r>
      <w:r>
        <w:rPr>
          <w:rStyle w:val="FootnoteReference"/>
        </w:rPr>
        <w:footnoteReference w:id="2437"/>
      </w:r>
      <w:r>
        <w:rPr>
          <w:rFonts w:ascii="IRNazanin" w:hAnsi="IRNazanin" w:eastAsia="IRNazanin" w:cs="IRNazanin"/>
          <w:lang w:bidi="fa-IR"/>
          <w:color w:val="111111"/>
          <w:sz w:val="28"/>
          <w:szCs w:val="28"/>
          <w:rtl/>
        </w:rPr>
        <w:t xml:space="preserve">لیس من أصالة الطهارة بعد عدم جریان الاستصحاب، بل هو من الدلیل،نظیر استفادة نجاسة بول المأکول إذا صار بولا لغیر مأکول.</w:t>
      </w:r>
    </w:p>
    <w:p>
      <w:pPr>
        <w:pStyle w:val="BookText"/>
      </w:pPr>
      <w:r>
        <w:rPr>
          <w:rFonts w:ascii="Amiri" w:hAnsi="Amiri" w:eastAsia="Amiri" w:cs="Amiri"/>
          <w:lang w:bidi="ar-SA"/>
          <w:color w:val="111111"/>
          <w:sz w:val="28"/>
          <w:szCs w:val="28"/>
          <w:rtl/>
        </w:rPr>
        <w:t xml:space="preserve">و من الثالث:استحالة العذرة </w:t>
      </w:r>
      <w:r>
        <w:rPr>
          <w:rStyle w:val="FootnoteReference"/>
        </w:rPr>
        <w:footnoteReference w:id="2438"/>
      </w:r>
      <w:r>
        <w:rPr>
          <w:rFonts w:ascii="IRNazanin" w:hAnsi="IRNazanin" w:eastAsia="IRNazanin" w:cs="IRNazanin"/>
          <w:lang w:bidi="fa-IR"/>
          <w:color w:val="111111"/>
          <w:sz w:val="28"/>
          <w:szCs w:val="28"/>
          <w:rtl/>
        </w:rPr>
        <w:t xml:space="preserve">أو الدّهن المتنجّس دخانا،و المنیّ حیوانا.و لو نوقش فی بعض الأمثلة المذکورة،فالمثال غیر عزیز علی المتتبّع المتأمّل.</w:t>
      </w:r>
    </w:p>
    <w:p>
      <w:pPr>
        <w:pStyle w:val="Heading6"/>
      </w:pPr>
      <w:bookmarkStart w:id="2039" w:name="_Toc1074"/>
      <w:r>
        <w:t>[معنی قولهم:«الأحکام تدور مدار الأسماء»:]</w:t>
      </w:r>
      <w:bookmarkEnd w:id="2039"/>
    </w:p>
    <w:p>
      <w:pPr>
        <w:pStyle w:val="BookText"/>
      </w:pPr>
      <w:r>
        <w:rPr>
          <w:rFonts w:ascii="IRNazanin" w:hAnsi="IRNazanin" w:eastAsia="IRNazanin" w:cs="IRNazanin"/>
          <w:lang w:bidi="fa-IR"/>
          <w:color w:val="111111"/>
          <w:sz w:val="28"/>
          <w:szCs w:val="28"/>
          <w:rtl/>
        </w:rPr>
        <w:t xml:space="preserve">و ممّا ذکرنا یظهر أنّ معنی قولهم«الأحکام تدور مدار الأسماء»، أنّها تدور مدار أسماء موضوعاتها التی هی المعیار فی وجودها و عدمها، فإذا قال الشارع:العنب حلال،فإن ثبت کون الموضوع هو مسمّی هذا الاسم،دار الحکم مداره،فینتفی عند صیرورته زبیبا،أمّا إذا علم من العرف أو غیره أنّ الموضوع هو الکلّیّ الموجود فی العنب المشترک بینه و بین الزبیب،أو بینهما و بین العصیر،دار الحکم مداره أیضا.</w:t>
      </w:r>
    </w:p>
    <w:p>
      <w:pPr>
        <w:pStyle w:val="BookText"/>
      </w:pPr>
      <w:r>
        <w:rPr>
          <w:rFonts w:ascii="IRNazanin" w:hAnsi="IRNazanin" w:eastAsia="IRNazanin" w:cs="IRNazanin"/>
          <w:lang w:bidi="fa-IR"/>
          <w:color w:val="111111"/>
          <w:sz w:val="28"/>
          <w:szCs w:val="28"/>
          <w:rtl/>
        </w:rPr>
        <w:t xml:space="preserve">نعم،یبقی دعوی:أنّ ظاهر اللفظ فی مثل القضیّة المذکورة کون الموضوع هو العنوان،و تقوّم الحکم به،المستلزم لانتفائه بانتفائه.</w:t>
      </w:r>
    </w:p>
    <w:p>
      <w:pPr>
        <w:pStyle w:val="BookText"/>
      </w:pPr>
      <w:r>
        <w:rPr>
          <w:rFonts w:ascii="IRNazanin" w:hAnsi="IRNazanin" w:eastAsia="IRNazanin" w:cs="IRNazanin"/>
          <w:lang w:bidi="fa-IR"/>
          <w:color w:val="111111"/>
          <w:sz w:val="28"/>
          <w:szCs w:val="28"/>
          <w:rtl/>
        </w:rPr>
        <w:t xml:space="preserve">لکنّک عرفت:أنّ العناوین مختلفة،و الأحکام أیضا مختلفة </w:t>
      </w:r>
      <w:r>
        <w:rPr>
          <w:rStyle w:val="FootnoteReference"/>
        </w:rPr>
        <w:footnoteReference w:id="2439"/>
      </w:r>
      <w:r>
        <w:rPr>
          <w:rFonts w:ascii="IRNazanin" w:hAnsi="IRNazanin" w:eastAsia="IRNazanin" w:cs="IRNazanin"/>
          <w:lang w:bidi="fa-IR"/>
          <w:color w:val="111111"/>
          <w:sz w:val="28"/>
          <w:szCs w:val="28"/>
          <w:rtl/>
        </w:rPr>
        <w:t xml:space="preserve">،و قد تقدّم حکایة بقاء نجاسة الخنزیر المستحیل ملحا عن أکثر أهل العلم، و اختیار الفاضلین له </w:t>
      </w:r>
      <w:r>
        <w:rPr>
          <w:rStyle w:val="FootnoteReference"/>
        </w:rPr>
        <w:footnoteReference w:id="24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301]
</w:t>
      </w:r>
    </w:p>
    <w:p>
      <w:pPr>
        <w:sectPr>
          <w:footerReference w:type="default" r:id="rId813"/>
          <w:footnotePr>
            <w:numStart w:val="1"/>
            <w:numRestart w:val="eachPage"/>
          </w:footnotePr>
          <w:pgSz w:orient="portrait" w:w="11905.511811023622" w:h="16837.79527559055"/>
          <w:pgMar w:top="1440" w:right="1440" w:bottom="1440" w:left="1440" w:header="720" w:footer="720" w:gutter="0"/>
          <w:cols w:num="1" w:space="720"/>
        </w:sectPr>
      </w:pPr>
    </w:p>
    <w:bookmarkStart w:id="510" w:name="pg14411_143195"/>
    <w:bookmarkEnd w:id="510"/>
    <w:p>
      <w:pPr>
        <w:pStyle w:val="BookText"/>
      </w:pPr>
      <w:r>
        <w:rPr>
          <w:rFonts w:ascii="IRNazanin" w:hAnsi="IRNazanin" w:eastAsia="IRNazanin" w:cs="IRNazanin"/>
          <w:lang w:bidi="fa-IR"/>
          <w:color w:val="111111"/>
          <w:sz w:val="28"/>
          <w:szCs w:val="28"/>
          <w:rtl/>
        </w:rPr>
        <w:t xml:space="preserve">و دعوی:احتیاج استفادة غیر ما ذکر من ظاهر اللفظ إلی القرینة الخارجیّة،و إلاّ فظاهر اللفظ کون القضیّة ما دام الوصف العنوانیّ،لا تضرّنا فیما نحن بصدده؛لأنّ المقصود مراعاة العرف فی تشخیص الموضوع و عدم الاقتصار فی ذلک علی ما یقتضیه العقل علی وجه الدقّة،و لا علی ما یقتضیه الدلیل اللفظیّ إذا کان العرف بالنسبة إلی القضیّة الخاصّة علی خلافه.</w:t>
      </w:r>
    </w:p>
    <w:p>
      <w:pPr>
        <w:pStyle w:val="BookText"/>
      </w:pPr>
      <w:r>
        <w:rPr>
          <w:rFonts w:ascii="IRNazanin" w:hAnsi="IRNazanin" w:eastAsia="IRNazanin" w:cs="IRNazanin"/>
          <w:lang w:bidi="fa-IR"/>
          <w:color w:val="111111"/>
          <w:sz w:val="28"/>
          <w:szCs w:val="28"/>
          <w:rtl/>
        </w:rPr>
        <w:t xml:space="preserve">و حینئذ،فیستقیم أن یراد من قولهم:«إنّ الأحکام تدور مدار الأسماء»أنّ مقتضی ظاهر دلیل الحکم تبعیّة ذلک الحکم لاسم الموضوع الذی علّق علیه الحکم فی ظاهر الدلیل،فیراد من هذه القضیّة تأسیس أصل،قد یعدل عنه بقرینة فهم العرف أو غیره،فافهم.</w:t>
      </w:r>
    </w:p>
    <w:p>
      <w:pPr>
        <w:pStyle w:val="Heading6"/>
      </w:pPr>
      <w:bookmarkStart w:id="2040" w:name="_Toc1075"/>
      <w:r>
        <w:t>[الأمر الثانی]</w:t>
      </w:r>
      <w:bookmarkEnd w:id="2040"/>
    </w:p>
    <w:p>
      <w:pPr>
        <w:pStyle w:val="Heading6"/>
      </w:pPr>
      <w:bookmarkStart w:id="2041" w:name="_Toc1076"/>
      <w:r>
        <w:t>اشارة</w:t>
      </w:r>
      <w:bookmarkEnd w:id="2041"/>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[الأمر الثانی] </w:t>
      </w:r>
      <w:r>
        <w:rPr>
          <w:rStyle w:val="FootnoteReference"/>
        </w:rPr>
        <w:footnoteReference w:id="2441"/>
      </w:r>
      <w:r>
        <w:rPr>
          <w:rFonts w:ascii="IRNazanin" w:hAnsi="IRNazanin" w:eastAsia="IRNazanin" w:cs="IRNazanin"/>
          <w:lang w:bidi="fa-IR"/>
          <w:color w:val="111111"/>
          <w:sz w:val="28"/>
          <w:szCs w:val="28"/>
          <w:rtl/>
        </w:rPr>
        <w:t xml:space="preserve">[:اشتراط الشکّ فی البقاء]</w:t>
      </w:r>
    </w:p>
    <w:p>
      <w:pPr>
        <w:pStyle w:val="BookText"/>
      </w:pPr>
      <w:r>
        <w:rPr>
          <w:rFonts w:ascii="IRNazanin" w:hAnsi="IRNazanin" w:eastAsia="IRNazanin" w:cs="IRNazanin"/>
          <w:lang w:bidi="fa-IR"/>
          <w:color w:val="111111"/>
          <w:sz w:val="28"/>
          <w:szCs w:val="28"/>
          <w:rtl/>
        </w:rPr>
        <w:t xml:space="preserve">الأمر الثانی ممّا یعتبر فی تحقّق الاستصحاب:أن یکون فی حال الشکّ متیقّنا بوجود المستصحب فی السابق،حتّی یکون شکّه فی البقاء.</w:t>
      </w:r>
    </w:p>
    <w:p>
      <w:pPr>
        <w:pStyle w:val="BookText"/>
      </w:pPr>
      <w:r>
        <w:rPr>
          <w:rFonts w:ascii="IRNazanin" w:hAnsi="IRNazanin" w:eastAsia="IRNazanin" w:cs="IRNazanin"/>
          <w:lang w:bidi="fa-IR"/>
          <w:color w:val="111111"/>
          <w:sz w:val="28"/>
          <w:szCs w:val="28"/>
          <w:rtl/>
        </w:rPr>
        <w:t xml:space="preserve">فلو کان الشکّ فی تحقّق نفس ما تیقّنه سابقا-کأن تیقّن عدالة زید فی زمان،کیوم الجمعة مثلا،ثمّ شکّ فی نفس هذا المتیقّن،و هو عدالته یوم الجمعة،بأن زال مدرک اعتقاده السابق،فشکّ فی مطابقته للواقع،أو کونه جهلا مرکّبا-لم یکن هذا من مورد الاستصحاب لغة، و لا اصطلاحا.</w:t>
      </w:r>
    </w:p>
    <w:p>
      <w:pPr>
        <w:pStyle w:val="BookText"/>
      </w:pPr>
      <w:r>
        <w:rPr>
          <w:rFonts w:ascii="IRNazanin" w:hAnsi="IRNazanin" w:eastAsia="IRNazanin" w:cs="IRNazanin"/>
          <w:lang w:bidi="fa-IR"/>
          <w:color w:val="111111"/>
          <w:sz w:val="28"/>
          <w:szCs w:val="28"/>
          <w:rtl/>
        </w:rPr>
        <w:t xml:space="preserve">[شماره صفحه واقعی : 302]
</w:t>
      </w:r>
    </w:p>
    <w:p>
      <w:pPr>
        <w:sectPr>
          <w:footerReference w:type="default" r:id="rId814"/>
          <w:footnotePr>
            <w:numStart w:val="1"/>
            <w:numRestart w:val="eachPage"/>
          </w:footnotePr>
          <w:pgSz w:orient="portrait" w:w="11905.511811023622" w:h="16837.79527559055"/>
          <w:pgMar w:top="1440" w:right="1440" w:bottom="1440" w:left="1440" w:header="720" w:footer="720" w:gutter="0"/>
          <w:cols w:num="1" w:space="720"/>
        </w:sectPr>
      </w:pPr>
    </w:p>
    <w:bookmarkStart w:id="511" w:name="pg14411_143196"/>
    <w:bookmarkEnd w:id="511"/>
    <w:p>
      <w:pPr>
        <w:pStyle w:val="Heading6"/>
      </w:pPr>
      <w:bookmarkStart w:id="2042" w:name="_Toc1077"/>
      <w:r>
        <w:t>[الدلیل علی اعتبار هذا الشرط:]</w:t>
      </w:r>
      <w:bookmarkEnd w:id="2042"/>
    </w:p>
    <w:p>
      <w:pPr>
        <w:pStyle w:val="BookText"/>
      </w:pPr>
      <w:r>
        <w:rPr>
          <w:rFonts w:ascii="IRNazanin" w:hAnsi="IRNazanin" w:eastAsia="IRNazanin" w:cs="IRNazanin"/>
          <w:lang w:bidi="fa-IR"/>
          <w:color w:val="111111"/>
          <w:sz w:val="28"/>
          <w:szCs w:val="28"/>
          <w:rtl/>
        </w:rPr>
        <w:t xml:space="preserve">أمّا الأوّل،فلأنّ الاستصحاب-لغة-أخذ الشیء مصاحبا،فلا بدّ من إحراز ذلک الشیء </w:t>
      </w:r>
      <w:r>
        <w:rPr>
          <w:rStyle w:val="FootnoteReference"/>
        </w:rPr>
        <w:footnoteReference w:id="2442"/>
      </w:r>
      <w:r>
        <w:rPr>
          <w:rFonts w:ascii="IRNazanin" w:hAnsi="IRNazanin" w:eastAsia="IRNazanin" w:cs="IRNazanin"/>
          <w:lang w:bidi="fa-IR"/>
          <w:color w:val="111111"/>
          <w:sz w:val="28"/>
          <w:szCs w:val="28"/>
          <w:rtl/>
        </w:rPr>
        <w:t xml:space="preserve">حتّی یأخذه مصاحبا،فإذا شکّ فی حدوثه من أصله فلا استصحاب.</w:t>
      </w:r>
    </w:p>
    <w:p>
      <w:pPr>
        <w:pStyle w:val="BookText"/>
      </w:pPr>
      <w:r>
        <w:rPr>
          <w:rFonts w:ascii="IRNazanin" w:hAnsi="IRNazanin" w:eastAsia="IRNazanin" w:cs="IRNazanin"/>
          <w:lang w:bidi="fa-IR"/>
          <w:color w:val="111111"/>
          <w:sz w:val="28"/>
          <w:szCs w:val="28"/>
          <w:rtl/>
        </w:rPr>
        <w:t xml:space="preserve">و أمّا اصطلاحا،فلأنّهم اتّفقوا علی أخذ الشکّ فی البقاء-أو ما یؤدّی هذا المعنی-فی معنی الاستصحاب.</w:t>
      </w:r>
    </w:p>
    <w:p>
      <w:pPr>
        <w:pStyle w:val="Heading6"/>
      </w:pPr>
      <w:bookmarkStart w:id="2043" w:name="_Toc1078"/>
      <w:r>
        <w:t>[قاعدة الیقین و الشکّ الساری:]</w:t>
      </w:r>
      <w:bookmarkEnd w:id="2043"/>
    </w:p>
    <w:p>
      <w:pPr>
        <w:pStyle w:val="BookText"/>
      </w:pPr>
      <w:r>
        <w:rPr>
          <w:rFonts w:ascii="IRNazanin" w:hAnsi="IRNazanin" w:eastAsia="IRNazanin" w:cs="IRNazanin"/>
          <w:lang w:bidi="fa-IR"/>
          <w:color w:val="111111"/>
          <w:sz w:val="28"/>
          <w:szCs w:val="28"/>
          <w:rtl/>
        </w:rPr>
        <w:t xml:space="preserve">نعم،لو ثبت أنّ الشکّ بعد الیقین بهذا المعنی ملغی فی نظر الشارع،فهی قاعدة اخری مباینة للاستصحاب،سنتکلّم فیها </w:t>
      </w:r>
      <w:r>
        <w:rPr>
          <w:rStyle w:val="FootnoteReference"/>
        </w:rPr>
        <w:footnoteReference w:id="2443"/>
      </w:r>
      <w:r>
        <w:rPr>
          <w:rFonts w:ascii="IRNazanin" w:hAnsi="IRNazanin" w:eastAsia="IRNazanin" w:cs="IRNazanin"/>
          <w:lang w:bidi="fa-IR"/>
          <w:color w:val="111111"/>
          <w:sz w:val="28"/>
          <w:szCs w:val="28"/>
          <w:rtl/>
        </w:rPr>
        <w:t xml:space="preserve">بعد دفع توهّم من توهّم أنّ أدلّة الاستصحاب تشملها،و أنّ مدلولها لا یختصّ بالشکّ فی البقاء،بل الشکّ بعد الیقین ملغی مطلقا </w:t>
      </w:r>
      <w:r>
        <w:rPr>
          <w:rStyle w:val="FootnoteReference"/>
        </w:rPr>
        <w:footnoteReference w:id="2444"/>
      </w:r>
      <w:r>
        <w:rPr>
          <w:rFonts w:ascii="IRNazanin" w:hAnsi="IRNazanin" w:eastAsia="IRNazanin" w:cs="IRNazanin"/>
          <w:lang w:bidi="fa-IR"/>
          <w:color w:val="111111"/>
          <w:sz w:val="28"/>
          <w:szCs w:val="28"/>
          <w:rtl/>
        </w:rPr>
        <w:t xml:space="preserve">،سواء تعلّق بنفس ما تیقّنه سابقا،أم ببقائه.</w:t>
      </w:r>
    </w:p>
    <w:p>
      <w:pPr>
        <w:pStyle w:val="BookText"/>
      </w:pPr>
      <w:r>
        <w:rPr>
          <w:rFonts w:ascii="IRNazanin" w:hAnsi="IRNazanin" w:eastAsia="IRNazanin" w:cs="IRNazanin"/>
          <w:lang w:bidi="fa-IR"/>
          <w:color w:val="111111"/>
          <w:sz w:val="28"/>
          <w:szCs w:val="28"/>
          <w:rtl/>
        </w:rPr>
        <w:t xml:space="preserve">و أوّل من صرّح بذلک الفاضل السبزواری-فی الذخیرة-فی مسألة من شکّ فی بعض أفعال الوضوء،حیث قال:</w:t>
      </w:r>
    </w:p>
    <w:p>
      <w:pPr>
        <w:pStyle w:val="Heading6"/>
      </w:pPr>
      <w:bookmarkStart w:id="2044" w:name="_Toc1079"/>
      <w:r>
        <w:t>[تصریح الفاضل السبزواری بأنّ أدلّة الاستصحاب تشمل قاعدة «الیقین»:]</w:t>
      </w:r>
      <w:bookmarkEnd w:id="2044"/>
    </w:p>
    <w:p>
      <w:pPr>
        <w:pStyle w:val="BookText"/>
      </w:pPr>
      <w:r>
        <w:rPr>
          <w:rFonts w:ascii="IRNazanin" w:hAnsi="IRNazanin" w:eastAsia="IRNazanin" w:cs="IRNazanin"/>
          <w:lang w:bidi="fa-IR"/>
          <w:color w:val="111111"/>
          <w:sz w:val="28"/>
          <w:szCs w:val="28"/>
          <w:rtl/>
        </w:rPr>
        <w:t xml:space="preserve">و التحقیق:أنّه إن فرغ من الوضوء متیقّنا للإکمال،ثمّ عرض له الشکّ،فالظاهر عدم وجوب إعادة شیء؛لصحیحة زرارة:«و لا تنقض الیقین أبدا بالشکّ» </w:t>
      </w:r>
      <w:r>
        <w:rPr>
          <w:rStyle w:val="FootnoteReference"/>
        </w:rPr>
        <w:footnoteReference w:id="2445"/>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لعلّه قدّس سرّه،تفطّن له من کلام الحلّیّ فی السرائر،حیث استدلّ علی المسألة المذکورة:بأنّه لا یخرج عن حال الطهارة إلاّ علی یقین من</w:t>
      </w:r>
    </w:p>
    <w:p>
      <w:pPr>
        <w:pStyle w:val="BookText"/>
      </w:pPr>
      <w:r>
        <w:rPr>
          <w:rFonts w:ascii="IRNazanin" w:hAnsi="IRNazanin" w:eastAsia="IRNazanin" w:cs="IRNazanin"/>
          <w:lang w:bidi="fa-IR"/>
          <w:color w:val="111111"/>
          <w:sz w:val="28"/>
          <w:szCs w:val="28"/>
          <w:rtl/>
        </w:rPr>
        <w:t xml:space="preserve">[شماره صفحه واقعی : 303]
</w:t>
      </w:r>
    </w:p>
    <w:p>
      <w:pPr>
        <w:sectPr>
          <w:footerReference w:type="default" r:id="rId815"/>
          <w:footnotePr>
            <w:numStart w:val="1"/>
            <w:numRestart w:val="eachPage"/>
          </w:footnotePr>
          <w:pgSz w:orient="portrait" w:w="11905.511811023622" w:h="16837.79527559055"/>
          <w:pgMar w:top="1440" w:right="1440" w:bottom="1440" w:left="1440" w:header="720" w:footer="720" w:gutter="0"/>
          <w:cols w:num="1" w:space="720"/>
        </w:sectPr>
      </w:pPr>
    </w:p>
    <w:bookmarkStart w:id="512" w:name="pg14411_143197"/>
    <w:bookmarkEnd w:id="512"/>
    <w:p>
      <w:pPr>
        <w:pStyle w:val="BookText"/>
      </w:pPr>
      <w:r>
        <w:rPr>
          <w:rFonts w:ascii="IRNazanin" w:hAnsi="IRNazanin" w:eastAsia="IRNazanin" w:cs="IRNazanin"/>
          <w:lang w:bidi="fa-IR"/>
          <w:color w:val="111111"/>
          <w:sz w:val="28"/>
          <w:szCs w:val="28"/>
          <w:rtl/>
        </w:rPr>
        <w:t xml:space="preserve">کمالها،و لیس ینقض الشکّ الیقین </w:t>
      </w:r>
      <w:r>
        <w:rPr>
          <w:rStyle w:val="FootnoteReference"/>
        </w:rPr>
        <w:footnoteReference w:id="2446"/>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لکن هذا التعبیر من الحلّیّ لا یلزم أن یکون استفاده من أخبار عدم نقض الیقین بالشکّ.و یقرب من هذا التعبیر عبارة جماعة من القدماء </w:t>
      </w:r>
      <w:r>
        <w:rPr>
          <w:rStyle w:val="FootnoteReference"/>
        </w:rPr>
        <w:footnoteReference w:id="24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لکنّ التعبیر لا یلزم دعوی شمول الأخبار للقاعدتین،علی ما توهّمه غیر واحد من المعاصرین </w:t>
      </w:r>
      <w:r>
        <w:rPr>
          <w:rStyle w:val="FootnoteReference"/>
        </w:rPr>
        <w:footnoteReference w:id="2448"/>
      </w:r>
      <w:r>
        <w:rPr>
          <w:rFonts w:ascii="IRNazanin" w:hAnsi="IRNazanin" w:eastAsia="IRNazanin" w:cs="IRNazanin"/>
          <w:lang w:bidi="fa-IR"/>
          <w:color w:val="111111"/>
          <w:sz w:val="28"/>
          <w:szCs w:val="28"/>
          <w:rtl/>
        </w:rPr>
        <w:t xml:space="preserve">،و إن اختلفوا بین مدّع لانصرافها إلی خصوص الاستصحاب </w:t>
      </w:r>
      <w:r>
        <w:rPr>
          <w:rStyle w:val="FootnoteReference"/>
        </w:rPr>
        <w:footnoteReference w:id="2449"/>
      </w:r>
      <w:r>
        <w:rPr>
          <w:rFonts w:ascii="IRNazanin" w:hAnsi="IRNazanin" w:eastAsia="IRNazanin" w:cs="IRNazanin"/>
          <w:lang w:bidi="fa-IR"/>
          <w:color w:val="111111"/>
          <w:sz w:val="28"/>
          <w:szCs w:val="28"/>
          <w:rtl/>
        </w:rPr>
        <w:t xml:space="preserve">،و بین منکر له عامل بعمومها </w:t>
      </w:r>
      <w:r>
        <w:rPr>
          <w:rStyle w:val="FootnoteReference"/>
        </w:rPr>
        <w:footnoteReference w:id="2450"/>
      </w:r>
      <w:r>
        <w:rPr>
          <w:rFonts w:ascii="Times New Roman" w:hAnsi="Times New Roman" w:eastAsia="Times New Roman" w:cs="Times New Roman"/>
          <w:lang w:val="en-US" w:bidi="en-US"/>
          <w:color w:val="111111"/>
          <w:sz w:val="28"/>
          <w:szCs w:val="28"/>
          <w:rtl/>
        </w:rPr>
        <w:t xml:space="preserve">.</w:t>
      </w:r>
    </w:p>
    <w:p>
      <w:pPr>
        <w:pStyle w:val="Heading6"/>
      </w:pPr>
      <w:bookmarkStart w:id="2045" w:name="_Toc1080"/>
      <w:r>
        <w:t>[دفع التوهّم المذکور و توضیح مناط قاعدة الاستصحاب و قاعدة الیقین:]</w:t>
      </w:r>
      <w:bookmarkEnd w:id="2045"/>
    </w:p>
    <w:p>
      <w:pPr>
        <w:pStyle w:val="BookText"/>
      </w:pPr>
      <w:r>
        <w:rPr>
          <w:rFonts w:ascii="IRNazanin" w:hAnsi="IRNazanin" w:eastAsia="IRNazanin" w:cs="IRNazanin"/>
          <w:lang w:bidi="fa-IR"/>
          <w:color w:val="111111"/>
          <w:sz w:val="28"/>
          <w:szCs w:val="28"/>
          <w:rtl/>
        </w:rPr>
        <w:t xml:space="preserve">و توضیح دفعه:أنّ المناط فی القاعدتین مختلف بحیث لا یجمعهما مناط واحد؛فإنّ مناط الاستصحاب هو اتّحاد متعلّق الشکّ و الیقین مع قطع النظر عن الزمان؛لتعلّق الشکّ ببقاء ما تیقّن سابقا،و لازمه کون القضیّة المتیقّنة-أعنی عدالة زید یوم الجمعة-متیقّنة حین الشکّ أیضا من غیر جهة الزمان.و مناط هذه القاعدة اتّحاد متعلّقیهما من جهة الزمان،و معناه کونه فی الزمان اللاحق شاکّا فیما تیقّنه سابقا بوصف</w:t>
      </w:r>
    </w:p>
    <w:p>
      <w:pPr>
        <w:pStyle w:val="BookText"/>
      </w:pPr>
      <w:r>
        <w:rPr>
          <w:rFonts w:ascii="IRNazanin" w:hAnsi="IRNazanin" w:eastAsia="IRNazanin" w:cs="IRNazanin"/>
          <w:lang w:bidi="fa-IR"/>
          <w:color w:val="111111"/>
          <w:sz w:val="28"/>
          <w:szCs w:val="28"/>
          <w:rtl/>
        </w:rPr>
        <w:t xml:space="preserve">[شماره صفحه واقعی : 304]
</w:t>
      </w:r>
    </w:p>
    <w:p>
      <w:pPr>
        <w:sectPr>
          <w:footerReference w:type="default" r:id="rId816"/>
          <w:footnotePr>
            <w:numStart w:val="1"/>
            <w:numRestart w:val="eachPage"/>
          </w:footnotePr>
          <w:pgSz w:orient="portrait" w:w="11905.511811023622" w:h="16837.79527559055"/>
          <w:pgMar w:top="1440" w:right="1440" w:bottom="1440" w:left="1440" w:header="720" w:footer="720" w:gutter="0"/>
          <w:cols w:num="1" w:space="720"/>
        </w:sectPr>
      </w:pPr>
    </w:p>
    <w:bookmarkStart w:id="513" w:name="pg14411_143198"/>
    <w:bookmarkEnd w:id="513"/>
    <w:p>
      <w:pPr>
        <w:pStyle w:val="BookText"/>
      </w:pPr>
      <w:r>
        <w:rPr>
          <w:rFonts w:ascii="IRNazanin" w:hAnsi="IRNazanin" w:eastAsia="IRNazanin" w:cs="IRNazanin"/>
          <w:lang w:bidi="fa-IR"/>
          <w:color w:val="111111"/>
          <w:sz w:val="28"/>
          <w:szCs w:val="28"/>
          <w:rtl/>
        </w:rPr>
        <w:t xml:space="preserve">وجوده فی السابق.</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فإلغاء الشکّ فی القاعدة الاولی عبارة عن الحکم ببقاء المتیقّن سابقا-حیث إنّه متیقّن-من غیر تعرّض لحال حدوثه،و فی القاعدة الثانیة هو الحکم بحدوث ما تیقّن حدوثه من غیر تعرّض لحکم بقائه، فقد یکون بقاؤه معلوما أو معلوم العدم أو مشکوکا.</w:t>
      </w:r>
    </w:p>
    <w:p>
      <w:pPr>
        <w:pStyle w:val="Heading6"/>
      </w:pPr>
      <w:bookmarkStart w:id="2046" w:name="_Toc1081"/>
      <w:r>
        <w:t>[عدم إرادة القاعدتین من قوله علیه السّلام:«فلیمض علی یقینه»:]</w:t>
      </w:r>
      <w:bookmarkEnd w:id="2046"/>
    </w:p>
    <w:p>
      <w:pPr>
        <w:pStyle w:val="BookText"/>
      </w:pPr>
      <w:r>
        <w:rPr>
          <w:rFonts w:ascii="IRNazanin" w:hAnsi="IRNazanin" w:eastAsia="IRNazanin" w:cs="IRNazanin"/>
          <w:lang w:bidi="fa-IR"/>
          <w:color w:val="111111"/>
          <w:sz w:val="28"/>
          <w:szCs w:val="28"/>
          <w:rtl/>
        </w:rPr>
        <w:t xml:space="preserve">و اختلاف مؤدّی القاعدتین </w:t>
      </w:r>
      <w:r>
        <w:rPr>
          <w:rStyle w:val="FootnoteReference"/>
        </w:rPr>
        <w:footnoteReference w:id="2451"/>
      </w:r>
      <w:r>
        <w:rPr>
          <w:rFonts w:ascii="IRNazanin" w:hAnsi="IRNazanin" w:eastAsia="IRNazanin" w:cs="IRNazanin"/>
          <w:lang w:bidi="fa-IR"/>
          <w:color w:val="111111"/>
          <w:sz w:val="28"/>
          <w:szCs w:val="28"/>
          <w:rtl/>
        </w:rPr>
        <w:t xml:space="preserve">،و إن لم یمنع من إرادتهما من کلام واحد-بأن یقول الشارع:إذا حصل بعد الیقین بشیء شکّ له تعلّق بذلک الشیء </w:t>
      </w:r>
      <w:r>
        <w:rPr>
          <w:rStyle w:val="FootnoteReference"/>
        </w:rPr>
        <w:footnoteReference w:id="2452"/>
      </w:r>
      <w:r>
        <w:rPr>
          <w:rFonts w:ascii="IRNazanin" w:hAnsi="IRNazanin" w:eastAsia="IRNazanin" w:cs="IRNazanin"/>
          <w:lang w:bidi="fa-IR"/>
          <w:color w:val="111111"/>
          <w:sz w:val="28"/>
          <w:szCs w:val="28"/>
          <w:rtl/>
        </w:rPr>
        <w:t xml:space="preserve">فلا عبرة به،سواء تعلّق ببقائه أو بحدوثه،و احکم بالبقاء فی الأوّل،و بالحدوث فی الثانی-إلاّ أنّه مانع عن إرادتهما </w:t>
      </w:r>
      <w:r>
        <w:rPr>
          <w:rStyle w:val="FootnoteReference"/>
        </w:rPr>
        <w:footnoteReference w:id="2453"/>
      </w:r>
      <w:r>
        <w:rPr>
          <w:rFonts w:ascii="IRNazanin" w:hAnsi="IRNazanin" w:eastAsia="IRNazanin" w:cs="IRNazanin"/>
          <w:lang w:bidi="fa-IR"/>
          <w:color w:val="111111"/>
          <w:sz w:val="28"/>
          <w:szCs w:val="28"/>
          <w:rtl/>
        </w:rPr>
        <w:t xml:space="preserve">من قوله علیه السّلام:«فلیمض علی یقینه» </w:t>
      </w:r>
      <w:r>
        <w:rPr>
          <w:rStyle w:val="FootnoteReference"/>
        </w:rPr>
        <w:footnoteReference w:id="2454"/>
      </w:r>
      <w:r>
        <w:rPr>
          <w:rFonts w:ascii="IRNazanin" w:hAnsi="IRNazanin" w:eastAsia="IRNazanin" w:cs="IRNazanin"/>
          <w:lang w:bidi="fa-IR"/>
          <w:color w:val="111111"/>
          <w:sz w:val="28"/>
          <w:szCs w:val="28"/>
          <w:rtl/>
        </w:rPr>
        <w:t xml:space="preserve">فإنّ المضیّ علی الیقین السابق- المفروض تحقّقه فی القاعدتین-أعنی عدالة زید یوم الجمعة،بمعنی الحکم بعدالته فی ذلک الیوم من غیر تعرّض لعدالته فیما بعده-کما هو مفاد القاعدة الثانیة-یغایر المضیّ علیه بمعنی عدالته بعد یوم الجمعة من غیر تعرّض لحال یوم الجمعة-کما هو مفاد قاعدة الاستصحاب- فلا یصحّ إرادة المعنیین منه.</w:t>
      </w:r>
    </w:p>
    <w:p>
      <w:pPr>
        <w:pStyle w:val="BookText"/>
      </w:pPr>
      <w:r>
        <w:rPr>
          <w:rFonts w:ascii="IRNazanin" w:hAnsi="IRNazanin" w:eastAsia="IRNazanin" w:cs="IRNazanin"/>
          <w:lang w:bidi="fa-IR"/>
          <w:color w:val="111111"/>
          <w:sz w:val="28"/>
          <w:szCs w:val="28"/>
          <w:rtl/>
        </w:rPr>
        <w:t xml:space="preserve">[شماره صفحه واقعی : 305]
</w:t>
      </w:r>
    </w:p>
    <w:p>
      <w:pPr>
        <w:sectPr>
          <w:footerReference w:type="default" r:id="rId8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قلت:إنّ معنی المضیّ علی الیقین عدم التوقّف من أجل الشکّ العارض و فرض الشکّ کعدمه،و هذا یختلف باختلاف متعلّق الشکّ،فالمضیّ مع الشکّ فی الحدوث بمعنی الحکم بالحدوث،و مع الشکّ فی البقاء بمعنی الحکم به.</w:t>
      </w:r>
    </w:p>
    <w:p>
      <w:pPr>
        <w:pStyle w:val="BookText"/>
      </w:pPr>
      <w:r>
        <w:rPr>
          <w:rFonts w:ascii="IRNazanin" w:hAnsi="IRNazanin" w:eastAsia="IRNazanin" w:cs="IRNazanin"/>
          <w:lang w:bidi="fa-IR"/>
          <w:color w:val="111111"/>
          <w:sz w:val="28"/>
          <w:szCs w:val="28"/>
          <w:rtl/>
        </w:rPr>
        <w:t xml:space="preserve">قلت:لا ریب فی اتّحاد متعلّقی الشکّ و الیقین و کون المراد المضیّ علی ذلک الیقین المتعلّق بما تعلّق به الشکّ،و المفروض أنّه لیس فی السابق إلاّ یقین واحد،و هو الیقین بعدالة زید،و الشکّ فیها </w:t>
      </w:r>
      <w:r>
        <w:rPr>
          <w:rStyle w:val="FootnoteReference"/>
        </w:rPr>
        <w:footnoteReference w:id="2455"/>
      </w:r>
      <w:r>
        <w:rPr>
          <w:rFonts w:ascii="IRNazanin" w:hAnsi="IRNazanin" w:eastAsia="IRNazanin" w:cs="IRNazanin"/>
          <w:lang w:bidi="fa-IR"/>
          <w:color w:val="111111"/>
          <w:sz w:val="28"/>
          <w:szCs w:val="28"/>
          <w:rtl/>
        </w:rPr>
        <w:t xml:space="preserve">لیس له </w:t>
      </w:r>
      <w:r>
        <w:rPr>
          <w:rStyle w:val="FootnoteReference"/>
        </w:rPr>
        <w:footnoteReference w:id="2456"/>
      </w:r>
      <w:r>
        <w:rPr>
          <w:rFonts w:ascii="IRNazanin" w:hAnsi="IRNazanin" w:eastAsia="IRNazanin" w:cs="IRNazanin"/>
          <w:lang w:bidi="fa-IR"/>
          <w:color w:val="111111"/>
          <w:sz w:val="28"/>
          <w:szCs w:val="28"/>
          <w:rtl/>
        </w:rPr>
        <w:t xml:space="preserve">هنا </w:t>
      </w:r>
      <w:r>
        <w:rPr>
          <w:rStyle w:val="FootnoteReference"/>
        </w:rPr>
        <w:footnoteReference w:id="2457"/>
      </w:r>
      <w:r>
        <w:rPr>
          <w:rFonts w:ascii="IRNazanin" w:hAnsi="IRNazanin" w:eastAsia="IRNazanin" w:cs="IRNazanin"/>
          <w:lang w:bidi="fa-IR"/>
          <w:color w:val="111111"/>
          <w:sz w:val="28"/>
          <w:szCs w:val="28"/>
          <w:rtl/>
        </w:rPr>
        <w:t xml:space="preserve">فردان یتعلّق أحدهما بالحدوث و الآخر بالبقاء.</w:t>
      </w:r>
    </w:p>
    <w:p>
      <w:pPr>
        <w:pStyle w:val="BookText"/>
      </w:pPr>
      <w:r>
        <w:rPr>
          <w:rFonts w:ascii="IRNazanin" w:hAnsi="IRNazanin" w:eastAsia="IRNazanin" w:cs="IRNazanin"/>
          <w:lang w:bidi="fa-IR"/>
          <w:color w:val="111111"/>
          <w:sz w:val="28"/>
          <w:szCs w:val="28"/>
          <w:rtl/>
        </w:rPr>
        <w:t xml:space="preserve">و بعبارة اخری:عموم أفراد الیقین باعتبار الامور الواقعیّة،کعدالة زید و فسق عمرو،لا باعتبار تعدّد </w:t>
      </w:r>
      <w:r>
        <w:rPr>
          <w:rStyle w:val="FootnoteReference"/>
        </w:rPr>
        <w:footnoteReference w:id="2458"/>
      </w:r>
      <w:r>
        <w:rPr>
          <w:rFonts w:ascii="IRNazanin" w:hAnsi="IRNazanin" w:eastAsia="IRNazanin" w:cs="IRNazanin"/>
          <w:lang w:bidi="fa-IR"/>
          <w:color w:val="111111"/>
          <w:sz w:val="28"/>
          <w:szCs w:val="28"/>
          <w:rtl/>
        </w:rPr>
        <w:t xml:space="preserve">ملاحظة الیقین بشیء </w:t>
      </w:r>
      <w:r>
        <w:rPr>
          <w:rStyle w:val="FootnoteReference"/>
        </w:rPr>
        <w:footnoteReference w:id="2459"/>
      </w:r>
      <w:r>
        <w:rPr>
          <w:rFonts w:ascii="IRNazanin" w:hAnsi="IRNazanin" w:eastAsia="IRNazanin" w:cs="IRNazanin"/>
          <w:lang w:bidi="fa-IR"/>
          <w:color w:val="111111"/>
          <w:sz w:val="28"/>
          <w:szCs w:val="28"/>
          <w:rtl/>
        </w:rPr>
        <w:t xml:space="preserve">واحد، حتّی ینحلّ الیقین بعدالة زید إلی فردین یتعلّق بکلّ منهما شکّ </w:t>
      </w:r>
      <w:r>
        <w:rPr>
          <w:rStyle w:val="FootnoteReference"/>
        </w:rPr>
        <w:footnoteReference w:id="24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 حینئذ،فإن اعتبر المتکلّم فی کلامه الشکّ فی هذا المتیقّن من دون تقییده بیوم الجمعة،فالمضیّ علی هذا الیقین عبارة عن الحکم باستمرار هذا المتیقّن،و إن اعتبر الشکّ فیه مقیّدا بذلک الیوم،فالمضیّ</w:t>
      </w:r>
    </w:p>
    <w:p>
      <w:pPr>
        <w:pStyle w:val="BookText"/>
      </w:pPr>
      <w:r>
        <w:rPr>
          <w:rFonts w:ascii="IRNazanin" w:hAnsi="IRNazanin" w:eastAsia="IRNazanin" w:cs="IRNazanin"/>
          <w:lang w:bidi="fa-IR"/>
          <w:color w:val="111111"/>
          <w:sz w:val="28"/>
          <w:szCs w:val="28"/>
          <w:rtl/>
        </w:rPr>
        <w:t xml:space="preserve">[شماره صفحه واقعی : 306]
</w:t>
      </w:r>
    </w:p>
    <w:p>
      <w:pPr>
        <w:sectPr>
          <w:footerReference w:type="default" r:id="rId818"/>
          <w:footnotePr>
            <w:numStart w:val="1"/>
            <w:numRestart w:val="eachPage"/>
          </w:footnotePr>
          <w:pgSz w:orient="portrait" w:w="11905.511811023622" w:h="16837.79527559055"/>
          <w:pgMar w:top="1440" w:right="1440" w:bottom="1440" w:left="1440" w:header="720" w:footer="720" w:gutter="0"/>
          <w:cols w:num="1" w:space="720"/>
        </w:sectPr>
      </w:pPr>
    </w:p>
    <w:bookmarkStart w:id="514" w:name="pg14411_143200"/>
    <w:bookmarkEnd w:id="514"/>
    <w:p>
      <w:pPr>
        <w:pStyle w:val="BookText"/>
      </w:pPr>
      <w:r>
        <w:rPr>
          <w:rFonts w:ascii="IRNazanin" w:hAnsi="IRNazanin" w:eastAsia="IRNazanin" w:cs="IRNazanin"/>
          <w:lang w:bidi="fa-IR"/>
          <w:color w:val="111111"/>
          <w:sz w:val="28"/>
          <w:szCs w:val="28"/>
          <w:rtl/>
        </w:rPr>
        <w:t xml:space="preserve">علی ذلک المتیقّن الذی تعلّق به الشکّ عبارة عن الحکم بحدوثه من غیر تعرّض للبقاء،کأنّه قال:من کان علی یقین من عدالة زید یوم الجمعة فشکّ فیها،فلیمض علی یقینه السابق </w:t>
      </w:r>
      <w:r>
        <w:rPr>
          <w:rStyle w:val="FootnoteReference"/>
        </w:rPr>
        <w:footnoteReference w:id="2461"/>
      </w:r>
      <w:r>
        <w:rPr>
          <w:rFonts w:ascii="Times New Roman" w:hAnsi="Times New Roman" w:eastAsia="Times New Roman" w:cs="Times New Roman"/>
          <w:lang w:val="en-US" w:bidi="en-US"/>
          <w:color w:val="111111"/>
          <w:sz w:val="28"/>
          <w:szCs w:val="28"/>
          <w:rtl/>
        </w:rPr>
        <w:t xml:space="preserve">.</w:t>
      </w:r>
    </w:p>
    <w:p>
      <w:pPr>
        <w:pStyle w:val="Heading6"/>
      </w:pPr>
      <w:bookmarkStart w:id="2047" w:name="_Toc1082"/>
      <w:r>
        <w:t>[عدم إرادة القاعدتین من سائر الأخبار أیضا:]</w:t>
      </w:r>
      <w:bookmarkEnd w:id="2047"/>
    </w:p>
    <w:p>
      <w:pPr>
        <w:pStyle w:val="BookText"/>
      </w:pPr>
      <w:r>
        <w:rPr>
          <w:rFonts w:ascii="IRNazanin" w:hAnsi="IRNazanin" w:eastAsia="IRNazanin" w:cs="IRNazanin"/>
          <w:lang w:bidi="fa-IR"/>
          <w:color w:val="111111"/>
          <w:sz w:val="28"/>
          <w:szCs w:val="28"/>
          <w:rtl/>
        </w:rPr>
        <w:t xml:space="preserve">و قس علی هذا سائر الأخبار الدالّة علی عدم نقض الیقین بالشکّ،فإنّ الظاهر اتحاد متعلّق الشکّ و الیقین،فلا بدّ أن یلاحظ المتیقّن و المشکوک غیر مقیّدین بالزمان،و إلاّ لم یجز </w:t>
      </w:r>
      <w:r>
        <w:rPr>
          <w:rStyle w:val="FootnoteReference"/>
        </w:rPr>
        <w:footnoteReference w:id="2462"/>
      </w:r>
      <w:r>
        <w:rPr>
          <w:rFonts w:ascii="IRNazanin" w:hAnsi="IRNazanin" w:eastAsia="IRNazanin" w:cs="IRNazanin"/>
          <w:lang w:bidi="fa-IR"/>
          <w:color w:val="111111"/>
          <w:sz w:val="28"/>
          <w:szCs w:val="28"/>
          <w:rtl/>
        </w:rPr>
        <w:t xml:space="preserve">استصحابه،کما تقدّم فی ردّ شبهة من قال بتعارض الوجود و العدم فی شیء واحد </w:t>
      </w:r>
      <w:r>
        <w:rPr>
          <w:rStyle w:val="FootnoteReference"/>
        </w:rPr>
        <w:footnoteReference w:id="24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المفروض فی القاعدة الثانیة کون الشکّ متعلّقا بالمتیقّن السابق</w:t>
      </w:r>
    </w:p>
    <w:p>
      <w:pPr>
        <w:pStyle w:val="BookText"/>
      </w:pPr>
      <w:r>
        <w:rPr>
          <w:rFonts w:ascii="IRNazanin" w:hAnsi="IRNazanin" w:eastAsia="IRNazanin" w:cs="IRNazanin"/>
          <w:lang w:bidi="fa-IR"/>
          <w:color w:val="111111"/>
          <w:sz w:val="28"/>
          <w:szCs w:val="28"/>
          <w:rtl/>
        </w:rPr>
        <w:t xml:space="preserve">[شماره صفحه واقعی : 307]
</w:t>
      </w:r>
    </w:p>
    <w:p>
      <w:pPr>
        <w:sectPr>
          <w:footerReference w:type="default" r:id="rId819"/>
          <w:footnotePr>
            <w:numStart w:val="1"/>
            <w:numRestart w:val="eachPage"/>
          </w:footnotePr>
          <w:pgSz w:orient="portrait" w:w="11905.511811023622" w:h="16837.79527559055"/>
          <w:pgMar w:top="1440" w:right="1440" w:bottom="1440" w:left="1440" w:header="720" w:footer="720" w:gutter="0"/>
          <w:cols w:num="1" w:space="720"/>
        </w:sectPr>
      </w:pPr>
    </w:p>
    <w:bookmarkStart w:id="515" w:name="pg14411_143201"/>
    <w:bookmarkEnd w:id="515"/>
    <w:p>
      <w:pPr>
        <w:pStyle w:val="BookText"/>
      </w:pPr>
      <w:r>
        <w:rPr>
          <w:rFonts w:ascii="IRNazanin" w:hAnsi="IRNazanin" w:eastAsia="IRNazanin" w:cs="IRNazanin"/>
          <w:lang w:bidi="fa-IR"/>
          <w:color w:val="111111"/>
          <w:sz w:val="28"/>
          <w:szCs w:val="28"/>
          <w:rtl/>
        </w:rPr>
        <w:t xml:space="preserve">بوصف وجوده فی الزمان السابق.و من المعلوم عدم جواز إرادة الاعتبارین من الیقین و الشکّ فی تلک الأخبار </w:t>
      </w:r>
      <w:r>
        <w:rPr>
          <w:rStyle w:val="FootnoteReference"/>
        </w:rPr>
        <w:footnoteReference w:id="24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دعوی:أنّ الیقین بکلّ من الاعتبارین فرد من الیقین،و کذلک الشکّ المتعلّق فرد من الشکّ،فکلّ فرد لا ینقض بشکّه.</w:t>
      </w:r>
    </w:p>
    <w:p>
      <w:pPr>
        <w:pStyle w:val="BookText"/>
      </w:pPr>
      <w:r>
        <w:rPr>
          <w:rFonts w:ascii="Amiri" w:hAnsi="Amiri" w:eastAsia="Amiri" w:cs="Amiri"/>
          <w:lang w:bidi="ar-SA"/>
          <w:color w:val="111111"/>
          <w:sz w:val="28"/>
          <w:szCs w:val="28"/>
          <w:rtl/>
        </w:rPr>
        <w:t xml:space="preserve">مدفوعة:بما تقدّم </w:t>
      </w:r>
      <w:r>
        <w:rPr>
          <w:rStyle w:val="FootnoteReference"/>
        </w:rPr>
        <w:footnoteReference w:id="2465"/>
      </w:r>
      <w:r>
        <w:rPr>
          <w:rFonts w:ascii="Amiri" w:hAnsi="Amiri" w:eastAsia="Amiri" w:cs="Amiri"/>
          <w:lang w:bidi="ar-SA"/>
          <w:color w:val="111111"/>
          <w:sz w:val="28"/>
          <w:szCs w:val="28"/>
          <w:rtl/>
        </w:rPr>
        <w:t xml:space="preserve">،من أنّ </w:t>
      </w:r>
      <w:r>
        <w:rPr>
          <w:rStyle w:val="FootnoteReference"/>
        </w:rPr>
        <w:footnoteReference w:id="2466"/>
      </w:r>
      <w:r>
        <w:rPr>
          <w:rFonts w:ascii="IRNazanin" w:hAnsi="IRNazanin" w:eastAsia="IRNazanin" w:cs="IRNazanin"/>
          <w:lang w:bidi="fa-IR"/>
          <w:color w:val="111111"/>
          <w:sz w:val="28"/>
          <w:szCs w:val="28"/>
          <w:rtl/>
        </w:rPr>
        <w:t xml:space="preserve">تعدّد اللحاظ و الاعتبار فی المتیقّن السابق،بأخذه تارة مقیّدا بالزمان السابق و اخری بأخذه مطلقا، لا یوجب تعدّد أفراد الیقین.و لیس الیقین بتحقّق مطلق العدالة فی یوم الجمعة و الیقین بعدالته المقیّدة بیوم الجمعة فردین من الیقین تحت عموم الخبر،بل الخبر بمثابة أن یقال:من کان علی یقین من عدالة زید أو فسقه أو غیرهما من حالاته فشکّ فیه،فلیمض علی یقینه بذلک، فافهم </w:t>
      </w:r>
      <w:r>
        <w:rPr>
          <w:rStyle w:val="FootnoteReference"/>
        </w:rPr>
        <w:footnoteReference w:id="2467"/>
      </w:r>
      <w:r>
        <w:rPr>
          <w:rFonts w:ascii="Times New Roman" w:hAnsi="Times New Roman" w:eastAsia="Times New Roman" w:cs="Times New Roman"/>
          <w:lang w:val="en-US" w:bidi="en-US"/>
          <w:color w:val="111111"/>
          <w:sz w:val="28"/>
          <w:szCs w:val="28"/>
          <w:rtl/>
        </w:rPr>
        <w:t xml:space="preserve">.</w:t>
      </w:r>
    </w:p>
    <w:p>
      <w:pPr>
        <w:pStyle w:val="Heading6"/>
      </w:pPr>
      <w:bookmarkStart w:id="2048" w:name="_Toc1083"/>
      <w:r>
        <w:t>[اختصاص مدلول الأخبار بقاعدة الاستصحاب:]</w:t>
      </w:r>
      <w:bookmarkEnd w:id="2048"/>
    </w:p>
    <w:p>
      <w:pPr>
        <w:pStyle w:val="BookText"/>
      </w:pPr>
      <w:r>
        <w:rPr>
          <w:rFonts w:ascii="IRNazanin" w:hAnsi="IRNazanin" w:eastAsia="IRNazanin" w:cs="IRNazanin"/>
          <w:lang w:bidi="fa-IR"/>
          <w:color w:val="111111"/>
          <w:sz w:val="28"/>
          <w:szCs w:val="28"/>
          <w:rtl/>
        </w:rPr>
        <w:t xml:space="preserve">ثمّ إذا ثبت عدم جواز إرادة المعنیین،فلا بدّ أن یخصّ </w:t>
      </w:r>
      <w:r>
        <w:rPr>
          <w:rStyle w:val="FootnoteReference"/>
        </w:rPr>
        <w:footnoteReference w:id="2468"/>
      </w:r>
      <w:r>
        <w:rPr>
          <w:rFonts w:ascii="IRNazanin" w:hAnsi="IRNazanin" w:eastAsia="IRNazanin" w:cs="IRNazanin"/>
          <w:lang w:bidi="fa-IR"/>
          <w:color w:val="111111"/>
          <w:sz w:val="28"/>
          <w:szCs w:val="28"/>
          <w:rtl/>
        </w:rPr>
        <w:t xml:space="preserve">مدلولها بقاعدة الاستصحاب؛لورودها فی موارد تلک القاعدة،کالشکّ فی الطهارة من الحدث و الخبث،و دخول هلال شهر رمضان أو شوّال.</w:t>
      </w:r>
    </w:p>
    <w:p>
      <w:pPr>
        <w:pStyle w:val="BookText"/>
      </w:pPr>
      <w:r>
        <w:rPr>
          <w:rFonts w:ascii="IRNazanin" w:hAnsi="IRNazanin" w:eastAsia="IRNazanin" w:cs="IRNazanin"/>
          <w:lang w:bidi="fa-IR"/>
          <w:color w:val="111111"/>
          <w:sz w:val="28"/>
          <w:szCs w:val="28"/>
          <w:rtl/>
        </w:rPr>
        <w:t xml:space="preserve">هذا کلّه،لو ارید من القاعدة الثانیة إثبات نفس المتیقّن عند</w:t>
      </w:r>
    </w:p>
    <w:p>
      <w:pPr>
        <w:pStyle w:val="BookText"/>
      </w:pPr>
      <w:r>
        <w:rPr>
          <w:rFonts w:ascii="IRNazanin" w:hAnsi="IRNazanin" w:eastAsia="IRNazanin" w:cs="IRNazanin"/>
          <w:lang w:bidi="fa-IR"/>
          <w:color w:val="111111"/>
          <w:sz w:val="28"/>
          <w:szCs w:val="28"/>
          <w:rtl/>
        </w:rPr>
        <w:t xml:space="preserve">[شماره صفحه واقعی : 308]
</w:t>
      </w:r>
    </w:p>
    <w:p>
      <w:pPr>
        <w:sectPr>
          <w:footerReference w:type="default" r:id="rId8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الشکّ،و هی عدالة زید فی یوم الجمعة مثلا.</w:t>
      </w:r>
    </w:p>
    <w:p>
      <w:pPr>
        <w:pStyle w:val="BookText"/>
      </w:pPr>
      <w:r>
        <w:rPr>
          <w:rFonts w:ascii="IRNazanin" w:hAnsi="IRNazanin" w:eastAsia="IRNazanin" w:cs="IRNazanin"/>
          <w:lang w:bidi="fa-IR"/>
          <w:color w:val="111111"/>
          <w:sz w:val="28"/>
          <w:szCs w:val="28"/>
          <w:rtl/>
        </w:rPr>
        <w:t xml:space="preserve">أمّا لو ارید منها إثبات عدالته من </w:t>
      </w:r>
      <w:r>
        <w:rPr>
          <w:rStyle w:val="FootnoteReference"/>
        </w:rPr>
        <w:footnoteReference w:id="2469"/>
      </w:r>
      <w:r>
        <w:rPr>
          <w:rFonts w:ascii="IRNazanin" w:hAnsi="IRNazanin" w:eastAsia="IRNazanin" w:cs="IRNazanin"/>
          <w:lang w:bidi="fa-IR"/>
          <w:color w:val="111111"/>
          <w:sz w:val="28"/>
          <w:szCs w:val="28"/>
          <w:rtl/>
        </w:rPr>
        <w:t xml:space="preserve">یوم الجمعة مستمرّة إلی زمان الشکّ و ما بعده إلی الیقین بطروء الفسق،فیلزم استعمال الکلام فی معنیین،حتّی لو ارید منه القاعدة الثانیة فقط،کما لا یخفی </w:t>
      </w:r>
      <w:r>
        <w:rPr>
          <w:rStyle w:val="FootnoteReference"/>
        </w:rPr>
        <w:footnoteReference w:id="2470"/>
      </w:r>
      <w:r>
        <w:rPr>
          <w:rFonts w:ascii="IRNazanin" w:hAnsi="IRNazanin" w:eastAsia="IRNazanin" w:cs="IRNazanin"/>
          <w:lang w:bidi="fa-IR"/>
          <w:color w:val="111111"/>
          <w:sz w:val="28"/>
          <w:szCs w:val="28"/>
          <w:rtl/>
        </w:rPr>
        <w:t xml:space="preserve">لأنّ الشکّ فی عدالة زید یوم الجمعة غیر الشکّ فی استمرارها إلی الزمان اللاحق </w:t>
      </w:r>
      <w:r>
        <w:rPr>
          <w:rStyle w:val="FootnoteReference"/>
        </w:rPr>
        <w:footnoteReference w:id="24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 قد تقدّم نظیر ذلک فی قوله علیه السّلام:«کلّ شیء طاهر حتّی تعلم أنّه قذر» </w:t>
      </w:r>
      <w:r>
        <w:rPr>
          <w:rStyle w:val="FootnoteReference"/>
        </w:rPr>
        <w:footnoteReference w:id="24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لو سلّمنا دلالة الروایات علی ما یشمل القاعدتین،لزم حصول التعارض فی مدلول الروایة المسقط له عن الاستدلال به علی القاعدة الثانیة؛لأنّه إذا شکّ فی ما تیقّن سابقا،أعنی عدالة زید فی یوم الجمعة،فهذا الشکّ معارض لفردین من الیقین،أحدهما:الیقین بعدالته المقیّدة بیوم الجمعة،الثانی:الیقین بعدم عدالته المطلقة قبل یوم الجمعة،فتدلّ بمقتضی القاعدة الثانیة علی عدم نقض الیقین بعدالة زید یوم الجمعة باحتمال انتفائها فی ذلک الزمان،و بمقتضی قاعدة الاستصحاب علی عدم نقض الیقین بعدم عدالته قبل الجمعة باحتمال حدوثها فی الجمعة،فکلّ من طرفی الشکّ معارض لفرد من الیقین.</w:t>
      </w:r>
    </w:p>
    <w:p>
      <w:pPr>
        <w:pStyle w:val="BookText"/>
      </w:pPr>
      <w:r>
        <w:rPr>
          <w:rFonts w:ascii="IRNazanin" w:hAnsi="IRNazanin" w:eastAsia="IRNazanin" w:cs="IRNazanin"/>
          <w:lang w:bidi="fa-IR"/>
          <w:color w:val="111111"/>
          <w:sz w:val="28"/>
          <w:szCs w:val="28"/>
          <w:rtl/>
        </w:rPr>
        <w:t xml:space="preserve">و دعوی:أنّ الیقین السابق علی الجمعة قد انتقض بالیقین فی الجمعة،</w:t>
      </w:r>
    </w:p>
    <w:p>
      <w:pPr>
        <w:pStyle w:val="BookText"/>
      </w:pPr>
      <w:r>
        <w:rPr>
          <w:rFonts w:ascii="IRNazanin" w:hAnsi="IRNazanin" w:eastAsia="IRNazanin" w:cs="IRNazanin"/>
          <w:lang w:bidi="fa-IR"/>
          <w:color w:val="111111"/>
          <w:sz w:val="28"/>
          <w:szCs w:val="28"/>
          <w:rtl/>
        </w:rPr>
        <w:t xml:space="preserve">[شماره صفحه واقعی : 309]
</w:t>
      </w:r>
    </w:p>
    <w:p>
      <w:pPr>
        <w:sectPr>
          <w:footerReference w:type="default" r:id="rId821"/>
          <w:footnotePr>
            <w:numStart w:val="1"/>
            <w:numRestart w:val="eachPage"/>
          </w:footnotePr>
          <w:pgSz w:orient="portrait" w:w="11905.511811023622" w:h="16837.79527559055"/>
          <w:pgMar w:top="1440" w:right="1440" w:bottom="1440" w:left="1440" w:header="720" w:footer="720" w:gutter="0"/>
          <w:cols w:num="1" w:space="720"/>
        </w:sectPr>
      </w:pPr>
    </w:p>
    <w:bookmarkStart w:id="516" w:name="pg14411_143203"/>
    <w:bookmarkEnd w:id="516"/>
    <w:p>
      <w:pPr>
        <w:pStyle w:val="BookText"/>
      </w:pPr>
      <w:r>
        <w:rPr>
          <w:rFonts w:ascii="IRNazanin" w:hAnsi="IRNazanin" w:eastAsia="IRNazanin" w:cs="IRNazanin"/>
          <w:lang w:bidi="fa-IR"/>
          <w:color w:val="111111"/>
          <w:sz w:val="28"/>
          <w:szCs w:val="28"/>
          <w:rtl/>
        </w:rPr>
        <w:t xml:space="preserve">و القاعدة الثانیة تثبت وجوب اعتبار هذا الیقین الناقض للیقین السابق.</w:t>
      </w:r>
    </w:p>
    <w:p>
      <w:pPr>
        <w:pStyle w:val="BookText"/>
      </w:pPr>
      <w:r>
        <w:rPr>
          <w:rFonts w:ascii="IRNazanin" w:hAnsi="IRNazanin" w:eastAsia="IRNazanin" w:cs="IRNazanin"/>
          <w:lang w:bidi="fa-IR"/>
          <w:color w:val="111111"/>
          <w:sz w:val="28"/>
          <w:szCs w:val="28"/>
          <w:rtl/>
        </w:rPr>
        <w:t xml:space="preserve">مدفوعة:بأنّ الشکّ الطارئ فی عدالة زید یوم الجمعة و عدمها، عین الشکّ فی انتقاض ذلک الیقین السابق.و احتمال انتقاضه و عدمه معارضان للیقین بالعدالة و عدمها،فلا یجوز لنا الحکم بالانتقاض و لا بعدمه.</w:t>
      </w:r>
    </w:p>
    <w:p>
      <w:pPr>
        <w:pStyle w:val="BookText"/>
      </w:pPr>
      <w:r>
        <w:rPr>
          <w:rFonts w:ascii="IRNazanin" w:hAnsi="IRNazanin" w:eastAsia="IRNazanin" w:cs="IRNazanin"/>
          <w:lang w:bidi="fa-IR"/>
          <w:color w:val="111111"/>
          <w:sz w:val="28"/>
          <w:szCs w:val="28"/>
          <w:rtl/>
        </w:rPr>
        <w:t xml:space="preserve">ثمّ إنّ هذا من باب التنزّل و المماشاة،و إلاّ فالتحقیق ما ذکرناه:</w:t>
      </w:r>
    </w:p>
    <w:p>
      <w:pPr>
        <w:pStyle w:val="BookText"/>
      </w:pPr>
      <w:r>
        <w:rPr>
          <w:rFonts w:ascii="IRNazanin" w:hAnsi="IRNazanin" w:eastAsia="IRNazanin" w:cs="IRNazanin"/>
          <w:lang w:bidi="fa-IR"/>
          <w:color w:val="111111"/>
          <w:sz w:val="28"/>
          <w:szCs w:val="28"/>
          <w:rtl/>
        </w:rPr>
        <w:t xml:space="preserve">من منع الشمول بالتقریب المتقدّم </w:t>
      </w:r>
      <w:r>
        <w:rPr>
          <w:rStyle w:val="FootnoteReference"/>
        </w:rPr>
        <w:footnoteReference w:id="2473"/>
      </w:r>
      <w:r>
        <w:rPr>
          <w:rFonts w:ascii="IRNazanin" w:hAnsi="IRNazanin" w:eastAsia="IRNazanin" w:cs="IRNazanin"/>
          <w:lang w:bidi="fa-IR"/>
          <w:color w:val="111111"/>
          <w:sz w:val="28"/>
          <w:szCs w:val="28"/>
          <w:rtl/>
        </w:rPr>
        <w:t xml:space="preserve">،مضافا إلی ما ربما یدّعی:من ظهور الأخبار فی الشکّ فی البقاء </w:t>
      </w:r>
      <w:r>
        <w:rPr>
          <w:rStyle w:val="FootnoteReference"/>
        </w:rPr>
        <w:footnoteReference w:id="2474"/>
      </w:r>
      <w:r>
        <w:rPr>
          <w:rFonts w:ascii="Times New Roman" w:hAnsi="Times New Roman" w:eastAsia="Times New Roman" w:cs="Times New Roman"/>
          <w:lang w:val="en-US" w:bidi="en-US"/>
          <w:color w:val="111111"/>
          <w:sz w:val="28"/>
          <w:szCs w:val="28"/>
          <w:rtl/>
        </w:rPr>
        <w:t xml:space="preserve">.</w:t>
      </w:r>
    </w:p>
    <w:p>
      <w:pPr>
        <w:pStyle w:val="Heading6"/>
      </w:pPr>
      <w:bookmarkStart w:id="2049" w:name="_Toc1084"/>
      <w:r>
        <w:t>[قاعدة الیقین]</w:t>
      </w:r>
      <w:bookmarkEnd w:id="2049"/>
    </w:p>
    <w:p>
      <w:pPr>
        <w:pStyle w:val="BookText"/>
      </w:pPr>
      <w:r>
        <w:rPr>
          <w:rFonts w:ascii="IRNazanin" w:hAnsi="IRNazanin" w:eastAsia="IRNazanin" w:cs="IRNazanin"/>
          <w:lang w:bidi="fa-IR"/>
          <w:color w:val="111111"/>
          <w:sz w:val="28"/>
          <w:szCs w:val="28"/>
          <w:rtl/>
        </w:rPr>
        <w:t xml:space="preserve">[قاعدة الیقین] </w:t>
      </w:r>
      <w:r>
        <w:rPr>
          <w:rStyle w:val="FootnoteReference"/>
        </w:rPr>
        <w:footnoteReference w:id="2475"/>
      </w:r>
    </w:p>
    <w:p>
      <w:pPr>
        <w:pStyle w:val="Heading6"/>
      </w:pPr>
      <w:bookmarkStart w:id="2050" w:name="_Toc1085"/>
      <w:r>
        <w:t>[هل یوجد مدرک لقاعدة«الیقین»غیر هذه الأخبار؟:]</w:t>
      </w:r>
      <w:bookmarkEnd w:id="2050"/>
    </w:p>
    <w:p>
      <w:pPr>
        <w:pStyle w:val="BookText"/>
      </w:pPr>
      <w:r>
        <w:rPr>
          <w:rFonts w:ascii="IRNazanin" w:hAnsi="IRNazanin" w:eastAsia="IRNazanin" w:cs="IRNazanin"/>
          <w:lang w:bidi="fa-IR"/>
          <w:color w:val="111111"/>
          <w:sz w:val="28"/>
          <w:szCs w:val="28"/>
          <w:rtl/>
        </w:rPr>
        <w:t xml:space="preserve">بقی الکلام فی وجود مدرک للقاعدة الثانیة غیر عموم </w:t>
      </w:r>
      <w:r>
        <w:rPr>
          <w:rStyle w:val="FootnoteReference"/>
        </w:rPr>
        <w:footnoteReference w:id="2476"/>
      </w:r>
      <w:r>
        <w:rPr>
          <w:rFonts w:ascii="IRNazanin" w:hAnsi="IRNazanin" w:eastAsia="IRNazanin" w:cs="IRNazanin"/>
          <w:lang w:bidi="fa-IR"/>
          <w:color w:val="111111"/>
          <w:sz w:val="28"/>
          <w:szCs w:val="28"/>
          <w:rtl/>
        </w:rPr>
        <w:t xml:space="preserve">هذه الأخبار </w:t>
      </w:r>
      <w:r>
        <w:rPr>
          <w:rStyle w:val="FootnoteReference"/>
        </w:rPr>
        <w:footnoteReference w:id="2477"/>
      </w:r>
      <w:r>
        <w:rPr>
          <w:rFonts w:ascii="IRNazanin" w:hAnsi="IRNazanin" w:eastAsia="IRNazanin" w:cs="IRNazanin"/>
          <w:lang w:bidi="fa-IR"/>
          <w:color w:val="111111"/>
          <w:sz w:val="28"/>
          <w:szCs w:val="28"/>
          <w:rtl/>
        </w:rPr>
        <w:t xml:space="preserve">،فنقول:إنّ المطلوب من تلک القاعدة:</w:t>
      </w:r>
    </w:p>
    <w:p>
      <w:pPr>
        <w:pStyle w:val="BookText"/>
      </w:pPr>
      <w:r>
        <w:rPr>
          <w:rFonts w:ascii="IRNazanin" w:hAnsi="IRNazanin" w:eastAsia="IRNazanin" w:cs="IRNazanin"/>
          <w:lang w:bidi="fa-IR"/>
          <w:color w:val="111111"/>
          <w:sz w:val="28"/>
          <w:szCs w:val="28"/>
          <w:rtl/>
        </w:rPr>
        <w:t xml:space="preserve">إمّا أن یکون إثبات حدوث المشکوک فیه و بقائه مستمرّا إلی الیقین بارتفاعه.</w:t>
      </w:r>
    </w:p>
    <w:p>
      <w:pPr>
        <w:pStyle w:val="BookText"/>
      </w:pPr>
      <w:r>
        <w:rPr>
          <w:rFonts w:ascii="IRNazanin" w:hAnsi="IRNazanin" w:eastAsia="IRNazanin" w:cs="IRNazanin"/>
          <w:lang w:bidi="fa-IR"/>
          <w:color w:val="111111"/>
          <w:sz w:val="28"/>
          <w:szCs w:val="28"/>
          <w:rtl/>
        </w:rPr>
        <w:t xml:space="preserve">و إمّا أن یکون مجرّد حدوثه فی الزمان السابق بدون إثباته بعده،</w:t>
      </w:r>
    </w:p>
    <w:p>
      <w:pPr>
        <w:pStyle w:val="BookText"/>
      </w:pPr>
      <w:r>
        <w:rPr>
          <w:rFonts w:ascii="IRNazanin" w:hAnsi="IRNazanin" w:eastAsia="IRNazanin" w:cs="IRNazanin"/>
          <w:lang w:bidi="fa-IR"/>
          <w:color w:val="111111"/>
          <w:sz w:val="28"/>
          <w:szCs w:val="28"/>
          <w:rtl/>
        </w:rPr>
        <w:t xml:space="preserve">[شماره صفحه واقعی : 310]
</w:t>
      </w:r>
    </w:p>
    <w:p>
      <w:pPr>
        <w:sectPr>
          <w:footerReference w:type="default" r:id="rId822"/>
          <w:footnotePr>
            <w:numStart w:val="1"/>
            <w:numRestart w:val="eachPage"/>
          </w:footnotePr>
          <w:pgSz w:orient="portrait" w:w="11905.511811023622" w:h="16837.79527559055"/>
          <w:pgMar w:top="1440" w:right="1440" w:bottom="1440" w:left="1440" w:header="720" w:footer="720" w:gutter="0"/>
          <w:cols w:num="1" w:space="720"/>
        </w:sectPr>
      </w:pPr>
    </w:p>
    <w:bookmarkStart w:id="517" w:name="pg14411_143204"/>
    <w:bookmarkEnd w:id="517"/>
    <w:p>
      <w:pPr>
        <w:pStyle w:val="BookText"/>
      </w:pPr>
      <w:r>
        <w:rPr>
          <w:rFonts w:ascii="IRNazanin" w:hAnsi="IRNazanin" w:eastAsia="IRNazanin" w:cs="IRNazanin"/>
          <w:lang w:bidi="fa-IR"/>
          <w:color w:val="111111"/>
          <w:sz w:val="28"/>
          <w:szCs w:val="28"/>
          <w:rtl/>
        </w:rPr>
        <w:t xml:space="preserve">بأن یراد إثبات عدالة زید فی یوم الجمعة فقط.</w:t>
      </w:r>
    </w:p>
    <w:p>
      <w:pPr>
        <w:pStyle w:val="BookText"/>
      </w:pPr>
      <w:r>
        <w:rPr>
          <w:rFonts w:ascii="IRNazanin" w:hAnsi="IRNazanin" w:eastAsia="IRNazanin" w:cs="IRNazanin"/>
          <w:lang w:bidi="fa-IR"/>
          <w:color w:val="111111"/>
          <w:sz w:val="28"/>
          <w:szCs w:val="28"/>
          <w:rtl/>
        </w:rPr>
        <w:t xml:space="preserve">و إمّا أن یراد مجرّد إمضاء الآثار التی ترتّبت علیها </w:t>
      </w:r>
      <w:r>
        <w:rPr>
          <w:rStyle w:val="FootnoteReference"/>
        </w:rPr>
        <w:footnoteReference w:id="2478"/>
      </w:r>
      <w:r>
        <w:rPr>
          <w:rFonts w:ascii="IRNazanin" w:hAnsi="IRNazanin" w:eastAsia="IRNazanin" w:cs="IRNazanin"/>
          <w:lang w:bidi="fa-IR"/>
          <w:color w:val="111111"/>
          <w:sz w:val="28"/>
          <w:szCs w:val="28"/>
          <w:rtl/>
        </w:rPr>
        <w:t xml:space="preserve">سابقا و صحّة الأعمال الماضیة المتفرّعة علیه،فإذا تیقّن الطهارة سابقا و صلّی بها ثمّ شکّ فی طهارته فی ذلک الزمان،فصلاته ماضیة.</w:t>
      </w:r>
    </w:p>
    <w:p>
      <w:pPr>
        <w:pStyle w:val="Heading6"/>
      </w:pPr>
      <w:bookmarkStart w:id="2051" w:name="_Toc1086"/>
      <w:r>
        <w:t>[لو ارید من القاعدة إثبات الحدوث و البقاء معا:]</w:t>
      </w:r>
      <w:bookmarkEnd w:id="2051"/>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فإن ارید الأوّل،فالظاهر عدم دلیل یدلّ علیه؛إذ قد عرفت </w:t>
      </w:r>
      <w:r>
        <w:rPr>
          <w:rStyle w:val="FootnoteReference"/>
        </w:rPr>
        <w:footnoteReference w:id="2479"/>
      </w:r>
      <w:r>
        <w:rPr>
          <w:rFonts w:ascii="IRNazanin" w:hAnsi="IRNazanin" w:eastAsia="IRNazanin" w:cs="IRNazanin"/>
          <w:lang w:bidi="fa-IR"/>
          <w:color w:val="111111"/>
          <w:sz w:val="28"/>
          <w:szCs w:val="28"/>
          <w:rtl/>
        </w:rPr>
        <w:t xml:space="preserve">أنّه لو سلّم اختصاص الأخبار المعتبرة للیقین السابق بهذه القاعدة، لم یمکن أن یراد منها إثبات حدوث العدالة و بقائها؛لأنّ لکلّ من الحدوث و البقاء شکّا مستقلاّ.نعم،لو فرض القطع ببقائها علی تقدیر الحدوث،أمکن أن یقال:إنّه إذا ثبت حدوث العدالة بهذه القاعدة ثبت بقاؤها؛للعلم ببقائها علی تقدیر الحدوث.لکنّه لا یتمّ إلاّ علی الأصل المثبت،فهو تقدیر علی تقدیر.</w:t>
      </w:r>
    </w:p>
    <w:p>
      <w:pPr>
        <w:pStyle w:val="Heading6"/>
      </w:pPr>
      <w:bookmarkStart w:id="2052" w:name="_Toc1087"/>
      <w:r>
        <w:t>[عدم صحّة الاستدلال بأدلّة عدم الاعتناء بالشکّ بعد تجاوز المحلّ:]</w:t>
      </w:r>
      <w:bookmarkEnd w:id="2052"/>
    </w:p>
    <w:p>
      <w:pPr>
        <w:pStyle w:val="BookText"/>
      </w:pPr>
      <w:r>
        <w:rPr>
          <w:rFonts w:ascii="IRNazanin" w:hAnsi="IRNazanin" w:eastAsia="IRNazanin" w:cs="IRNazanin"/>
          <w:lang w:bidi="fa-IR"/>
          <w:color w:val="111111"/>
          <w:sz w:val="28"/>
          <w:szCs w:val="28"/>
          <w:rtl/>
        </w:rPr>
        <w:t xml:space="preserve">و ربما یتوهّم:الاستدلال لإثبات هذا المطلب بما دلّ علی عدم الاعتناء بالشکّ فی الشیء بعد تجاوز محلّه.</w:t>
      </w:r>
    </w:p>
    <w:p>
      <w:pPr>
        <w:pStyle w:val="BookText"/>
      </w:pPr>
      <w:r>
        <w:rPr>
          <w:rFonts w:ascii="IRNazanin" w:hAnsi="IRNazanin" w:eastAsia="IRNazanin" w:cs="IRNazanin"/>
          <w:lang w:bidi="fa-IR"/>
          <w:color w:val="111111"/>
          <w:sz w:val="28"/>
          <w:szCs w:val="28"/>
          <w:rtl/>
        </w:rPr>
        <w:t xml:space="preserve">لکنّه فاسد؛لأنّه علی تقدیر الدلالة لا یدلّ علی استمرار المشکوک؛لأنّ الشکّ فی الاستمرار لیس شکّا بعد تجاوز المحلّ.</w:t>
      </w:r>
    </w:p>
    <w:p>
      <w:pPr>
        <w:pStyle w:val="Heading6"/>
      </w:pPr>
      <w:bookmarkStart w:id="2053" w:name="_Toc1088"/>
      <w:r>
        <w:t>[ضعف الاستدلال بأصالة الصحّة فی الاعتقاد:]</w:t>
      </w:r>
      <w:bookmarkEnd w:id="2053"/>
    </w:p>
    <w:p>
      <w:pPr>
        <w:pStyle w:val="BookText"/>
      </w:pPr>
      <w:r>
        <w:rPr>
          <w:rFonts w:ascii="IRNazanin" w:hAnsi="IRNazanin" w:eastAsia="IRNazanin" w:cs="IRNazanin"/>
          <w:lang w:bidi="fa-IR"/>
          <w:color w:val="111111"/>
          <w:sz w:val="28"/>
          <w:szCs w:val="28"/>
          <w:rtl/>
        </w:rPr>
        <w:t xml:space="preserve">و أضعف منه:الاستدلال له بما سیجیء </w:t>
      </w:r>
      <w:r>
        <w:rPr>
          <w:rStyle w:val="FootnoteReference"/>
        </w:rPr>
        <w:footnoteReference w:id="2480"/>
      </w:r>
      <w:r>
        <w:rPr>
          <w:rFonts w:ascii="IRNazanin" w:hAnsi="IRNazanin" w:eastAsia="IRNazanin" w:cs="IRNazanin"/>
          <w:lang w:bidi="fa-IR"/>
          <w:color w:val="111111"/>
          <w:sz w:val="28"/>
          <w:szCs w:val="28"/>
          <w:rtl/>
        </w:rPr>
        <w:t xml:space="preserve">،من دعوی أصالة الصحّة فی اعتقاد المسلم،مع أنّه کالأوّل فی عدم إثباته الاستمرار.</w:t>
      </w:r>
    </w:p>
    <w:p>
      <w:pPr>
        <w:pStyle w:val="BookText"/>
      </w:pPr>
      <w:r>
        <w:rPr>
          <w:rFonts w:ascii="IRNazanin" w:hAnsi="IRNazanin" w:eastAsia="IRNazanin" w:cs="IRNazanin"/>
          <w:lang w:bidi="fa-IR"/>
          <w:color w:val="111111"/>
          <w:sz w:val="28"/>
          <w:szCs w:val="28"/>
          <w:rtl/>
        </w:rPr>
        <w:t xml:space="preserve">و کیف کان،فلا مدرک لهذه القاعدة بهذا المعنی.</w:t>
      </w:r>
    </w:p>
    <w:p>
      <w:pPr>
        <w:pStyle w:val="BookText"/>
      </w:pPr>
      <w:r>
        <w:rPr>
          <w:rFonts w:ascii="IRNazanin" w:hAnsi="IRNazanin" w:eastAsia="IRNazanin" w:cs="IRNazanin"/>
          <w:lang w:bidi="fa-IR"/>
          <w:color w:val="111111"/>
          <w:sz w:val="28"/>
          <w:szCs w:val="28"/>
          <w:rtl/>
        </w:rPr>
        <w:t xml:space="preserve">[شماره صفحه واقعی : 311]
</w:t>
      </w:r>
    </w:p>
    <w:p>
      <w:pPr>
        <w:sectPr>
          <w:footerReference w:type="default" r:id="rId823"/>
          <w:footnotePr>
            <w:numStart w:val="1"/>
            <w:numRestart w:val="eachPage"/>
          </w:footnotePr>
          <w:pgSz w:orient="portrait" w:w="11905.511811023622" w:h="16837.79527559055"/>
          <w:pgMar w:top="1440" w:right="1440" w:bottom="1440" w:left="1440" w:header="720" w:footer="720" w:gutter="0"/>
          <w:cols w:num="1" w:space="720"/>
        </w:sectPr>
      </w:pPr>
    </w:p>
    <w:bookmarkStart w:id="518" w:name="pg14411_143205"/>
    <w:bookmarkEnd w:id="518"/>
    <w:p>
      <w:pPr>
        <w:pStyle w:val="Heading6"/>
      </w:pPr>
      <w:bookmarkStart w:id="2054" w:name="_Toc1089"/>
      <w:r>
        <w:t>[تفصیل کاشف الغطاء:]</w:t>
      </w:r>
      <w:bookmarkEnd w:id="2054"/>
    </w:p>
    <w:p>
      <w:pPr>
        <w:pStyle w:val="BookText"/>
      </w:pPr>
      <w:r>
        <w:rPr>
          <w:rFonts w:ascii="IRNazanin" w:hAnsi="IRNazanin" w:eastAsia="IRNazanin" w:cs="IRNazanin"/>
          <w:lang w:bidi="fa-IR"/>
          <w:color w:val="111111"/>
          <w:sz w:val="28"/>
          <w:szCs w:val="28"/>
          <w:rtl/>
        </w:rPr>
        <w:t xml:space="preserve">و ربما فصّل بعض الأساطین </w:t>
      </w:r>
      <w:r>
        <w:rPr>
          <w:rStyle w:val="FootnoteReference"/>
        </w:rPr>
        <w:footnoteReference w:id="2481"/>
      </w:r>
      <w:r>
        <w:rPr>
          <w:rFonts w:ascii="IRNazanin" w:hAnsi="IRNazanin" w:eastAsia="IRNazanin" w:cs="IRNazanin"/>
          <w:lang w:bidi="fa-IR"/>
          <w:color w:val="111111"/>
          <w:sz w:val="28"/>
          <w:szCs w:val="28"/>
          <w:rtl/>
        </w:rPr>
        <w:t xml:space="preserve">:بین ما إذا علم مدرک الاعتقاد بعد زواله و أنّه غیر قابل للاستناد إلیه،و بین ما إذا لم یذکره،کما إذا علم أنّه اعتقد فی زمان بطهارة ثوبه أو نجاسته،ثمّ غاب المستند و غفل زمانا،فشکّ فی طهارته و نجاسته فیبنی علی معتقده هنا،لا فی الصورة الاولی.</w:t>
      </w:r>
    </w:p>
    <w:p>
      <w:pPr>
        <w:pStyle w:val="Heading6"/>
      </w:pPr>
      <w:bookmarkStart w:id="2055" w:name="_Toc1090"/>
      <w:r>
        <w:t>[لو ارید من القاعدة إثبات مجرّد الحدوث:]</w:t>
      </w:r>
      <w:bookmarkEnd w:id="2055"/>
    </w:p>
    <w:p>
      <w:pPr>
        <w:pStyle w:val="BookText"/>
      </w:pPr>
      <w:r>
        <w:rPr>
          <w:rFonts w:ascii="IRNazanin" w:hAnsi="IRNazanin" w:eastAsia="IRNazanin" w:cs="IRNazanin"/>
          <w:lang w:bidi="fa-IR"/>
          <w:color w:val="111111"/>
          <w:sz w:val="28"/>
          <w:szCs w:val="28"/>
          <w:rtl/>
        </w:rPr>
        <w:t xml:space="preserve">و هو و إن کان أجود من الإطلاق،لکن إتمامه بالدلیل مشکل.</w:t>
      </w:r>
    </w:p>
    <w:p>
      <w:pPr>
        <w:pStyle w:val="BookText"/>
      </w:pPr>
      <w:r>
        <w:rPr>
          <w:rFonts w:ascii="IRNazanin" w:hAnsi="IRNazanin" w:eastAsia="IRNazanin" w:cs="IRNazanin"/>
          <w:lang w:bidi="fa-IR"/>
          <w:color w:val="111111"/>
          <w:sz w:val="28"/>
          <w:szCs w:val="28"/>
          <w:rtl/>
        </w:rPr>
        <w:t xml:space="preserve">و إن ارید بها الثانی،فلا مدرک له بعد عدم دلالة أخبار الاستصحاب، إلاّ ما تقدّم:من أخبار عدم الاعتناء بالشکّ بعد تجاوز المحلّ.لکنّها لو تمّت فإنّما تنفع فی الآثار المترتّبة علیه سابقا،فلا یثبت بها إلاّ صحّة ما ترتّب علیها </w:t>
      </w:r>
      <w:r>
        <w:rPr>
          <w:rStyle w:val="FootnoteReference"/>
        </w:rPr>
        <w:footnoteReference w:id="2482"/>
      </w:r>
      <w:r>
        <w:rPr>
          <w:rFonts w:ascii="IRNazanin" w:hAnsi="IRNazanin" w:eastAsia="IRNazanin" w:cs="IRNazanin"/>
          <w:lang w:bidi="fa-IR"/>
          <w:color w:val="111111"/>
          <w:sz w:val="28"/>
          <w:szCs w:val="28"/>
          <w:rtl/>
        </w:rPr>
        <w:t xml:space="preserve">،و أمّا إثبات نفس ما اعتقده سابقا،حتّی یترتّب علیه بعد ذلک الآثار المترتّبة علی عدالة زید یوم الجمعة و طهارة ثوبه فی الوقت السابق فلا،</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فضلا عن إثبات مقارناته الغیر الشرعیّة،مثل کونها علی تقدیر الحدوث باقیة.</w:t>
      </w:r>
    </w:p>
    <w:p>
      <w:pPr>
        <w:pStyle w:val="Heading6"/>
      </w:pPr>
      <w:bookmarkStart w:id="2056" w:name="_Toc1091"/>
      <w:r>
        <w:t>[لو ارید منها مجرّد إمضاء الآثار المترتّبة سابقا:]</w:t>
      </w:r>
      <w:bookmarkEnd w:id="2056"/>
    </w:p>
    <w:p>
      <w:pPr>
        <w:pStyle w:val="BookText"/>
      </w:pPr>
      <w:r>
        <w:rPr>
          <w:rFonts w:ascii="IRNazanin" w:hAnsi="IRNazanin" w:eastAsia="IRNazanin" w:cs="IRNazanin"/>
          <w:lang w:bidi="fa-IR"/>
          <w:color w:val="111111"/>
          <w:sz w:val="28"/>
          <w:szCs w:val="28"/>
          <w:rtl/>
        </w:rPr>
        <w:t xml:space="preserve">و إن ارید بها الثالث،فله وجه؛بناء علی تمامیّة قاعدة«الشکّ بعد الفراغ و تجاوز المحلّ»،فإذا صلّی بالطهارة المعتقدة،ثمّ شکّ فی صحّة اعتقاده و کونه متطهّرا فی ذلک الزمان،بنی علی صحّة الصلاة،لکنّه لیس من جهة اعتبار الاعتقاد السابق؛و لذا لو فرض فی السابق غافلا غیر معتقد بشیء من الطهارة و الحدث بنی علی الصحّة أیضا؛من جهة أنّ الشکّ فی الصلاة بعد الفراغ منها لا اعتبار به علی المشهور بین</w:t>
      </w:r>
    </w:p>
    <w:p>
      <w:pPr>
        <w:pStyle w:val="BookText"/>
      </w:pPr>
      <w:r>
        <w:rPr>
          <w:rFonts w:ascii="IRNazanin" w:hAnsi="IRNazanin" w:eastAsia="IRNazanin" w:cs="IRNazanin"/>
          <w:lang w:bidi="fa-IR"/>
          <w:color w:val="111111"/>
          <w:sz w:val="28"/>
          <w:szCs w:val="28"/>
          <w:rtl/>
        </w:rPr>
        <w:t xml:space="preserve">[شماره صفحه واقعی : 312]
</w:t>
      </w:r>
    </w:p>
    <w:p>
      <w:pPr>
        <w:sectPr>
          <w:footerReference w:type="default" r:id="rId824"/>
          <w:footnotePr>
            <w:numStart w:val="1"/>
            <w:numRestart w:val="eachPage"/>
          </w:footnotePr>
          <w:pgSz w:orient="portrait" w:w="11905.511811023622" w:h="16837.79527559055"/>
          <w:pgMar w:top="1440" w:right="1440" w:bottom="1440" w:left="1440" w:header="720" w:footer="720" w:gutter="0"/>
          <w:cols w:num="1" w:space="720"/>
        </w:sectPr>
      </w:pPr>
    </w:p>
    <w:bookmarkStart w:id="519" w:name="pg14411_143206"/>
    <w:bookmarkEnd w:id="519"/>
    <w:p>
      <w:pPr>
        <w:pStyle w:val="BookText"/>
      </w:pPr>
      <w:r>
        <w:rPr>
          <w:rFonts w:ascii="IRNazanin" w:hAnsi="IRNazanin" w:eastAsia="IRNazanin" w:cs="IRNazanin"/>
          <w:lang w:bidi="fa-IR"/>
          <w:color w:val="111111"/>
          <w:sz w:val="28"/>
          <w:szCs w:val="28"/>
          <w:rtl/>
        </w:rPr>
        <w:t xml:space="preserve">الأصحاب،خلافا لجماعة من متأخّری المتأخّرین،کصاحب المدارک </w:t>
      </w:r>
      <w:r>
        <w:rPr>
          <w:rStyle w:val="FootnoteReference"/>
        </w:rPr>
        <w:footnoteReference w:id="2483"/>
      </w:r>
      <w:r>
        <w:rPr>
          <w:rFonts w:ascii="IRNazanin" w:hAnsi="IRNazanin" w:eastAsia="IRNazanin" w:cs="IRNazanin"/>
          <w:lang w:bidi="fa-IR"/>
          <w:color w:val="111111"/>
          <w:sz w:val="28"/>
          <w:szCs w:val="28"/>
          <w:rtl/>
        </w:rPr>
        <w:t xml:space="preserve">و کاشف اللثام </w:t>
      </w:r>
      <w:r>
        <w:rPr>
          <w:rStyle w:val="FootnoteReference"/>
        </w:rPr>
        <w:footnoteReference w:id="2484"/>
      </w:r>
      <w:r>
        <w:rPr>
          <w:rFonts w:ascii="IRNazanin" w:hAnsi="IRNazanin" w:eastAsia="IRNazanin" w:cs="IRNazanin"/>
          <w:lang w:bidi="fa-IR"/>
          <w:color w:val="111111"/>
          <w:sz w:val="28"/>
          <w:szCs w:val="28"/>
          <w:rtl/>
        </w:rPr>
        <w:t xml:space="preserve">،حیث منعا البناء علی صحّة الطواف إذا شکّ بعد الفراغ فی کونه مع الطهارة.و الظاهر-کما یظهر من الأخیر-أنّهم یمنعون القاعدة المذکورة فی غیر أجزاء العمل.</w:t>
      </w:r>
    </w:p>
    <w:p>
      <w:pPr>
        <w:pStyle w:val="BookText"/>
      </w:pPr>
      <w:r>
        <w:rPr>
          <w:rFonts w:ascii="IRNazanin" w:hAnsi="IRNazanin" w:eastAsia="IRNazanin" w:cs="IRNazanin"/>
          <w:lang w:bidi="fa-IR"/>
          <w:color w:val="111111"/>
          <w:sz w:val="28"/>
          <w:szCs w:val="28"/>
          <w:rtl/>
        </w:rPr>
        <w:t xml:space="preserve">و لعلّ بعض الکلام فی ذلک سیجیء فی مسألة أصالة الصحّة فی الأفعال </w:t>
      </w:r>
      <w:r>
        <w:rPr>
          <w:rStyle w:val="FootnoteReference"/>
        </w:rPr>
        <w:footnoteReference w:id="2485"/>
      </w:r>
      <w:r>
        <w:rPr>
          <w:rFonts w:ascii="IRNazanin" w:hAnsi="IRNazanin" w:eastAsia="IRNazanin" w:cs="IRNazanin"/>
          <w:lang w:bidi="fa-IR"/>
          <w:color w:val="111111"/>
          <w:sz w:val="28"/>
          <w:szCs w:val="28"/>
          <w:rtl/>
        </w:rPr>
        <w:t xml:space="preserve">،إن شاء اللّه.</w:t>
      </w:r>
    </w:p>
    <w:p>
      <w:pPr>
        <w:pStyle w:val="Heading6"/>
      </w:pPr>
      <w:bookmarkStart w:id="2057" w:name="_Toc1092"/>
      <w:r>
        <w:t>[حاصل الکلام فی المسألة:]</w:t>
      </w:r>
      <w:bookmarkEnd w:id="2057"/>
    </w:p>
    <w:p>
      <w:pPr>
        <w:pStyle w:val="BookText"/>
      </w:pPr>
      <w:r>
        <w:rPr>
          <w:rFonts w:ascii="IRNazanin" w:hAnsi="IRNazanin" w:eastAsia="IRNazanin" w:cs="IRNazanin"/>
          <w:lang w:bidi="fa-IR"/>
          <w:color w:val="111111"/>
          <w:sz w:val="28"/>
          <w:szCs w:val="28"/>
          <w:rtl/>
        </w:rPr>
        <w:t xml:space="preserve">و حاصل الکلام فی هذا المقام،هو أنّه:إذا اعتقد المکلّف قصورا أو تقصیرا بشیء فی زمان-موضوعا کان أو حکما،اجتهادیّا أو تقلیدیّا-ثمّ زال اعتقاده،فلا ینفع اعتقاده السابق فی ترتّب آثار المعتقد،بل یرجع بعد زوال الاعتقاد إلی ما یقتضیه الاصول بالنسبة إلی نفس المعتقد،و إلی الآثار المترتبة علیه سابقا أو لاحقا.</w:t>
      </w:r>
    </w:p>
    <w:p>
      <w:pPr>
        <w:pStyle w:val="Heading6"/>
      </w:pPr>
      <w:bookmarkStart w:id="2058" w:name="_Toc1093"/>
      <w:r>
        <w:t>[الأمر]</w:t>
      </w:r>
      <w:bookmarkEnd w:id="2058"/>
    </w:p>
    <w:p>
      <w:pPr>
        <w:pStyle w:val="Heading6"/>
      </w:pPr>
      <w:bookmarkStart w:id="2059" w:name="_Toc1094"/>
      <w:r>
        <w:t>اشارة</w:t>
      </w:r>
      <w:bookmarkEnd w:id="2059"/>
    </w:p>
    <w:p>
      <w:pPr>
        <w:pStyle w:val="BookText"/>
      </w:pPr>
      <w:r>
        <w:rPr>
          <w:rFonts w:ascii="IRNazanin" w:hAnsi="IRNazanin" w:eastAsia="IRNazanin" w:cs="IRNazanin"/>
          <w:lang w:bidi="fa-IR"/>
          <w:color w:val="111111"/>
          <w:sz w:val="28"/>
          <w:szCs w:val="28"/>
          <w:rtl/>
        </w:rPr>
        <w:t xml:space="preserve">[الأمر] </w:t>
      </w:r>
      <w:r>
        <w:rPr>
          <w:rStyle w:val="FootnoteReference"/>
        </w:rPr>
        <w:footnoteReference w:id="2486"/>
      </w:r>
      <w:r>
        <w:rPr>
          <w:rFonts w:ascii="IRNazanin" w:hAnsi="IRNazanin" w:eastAsia="IRNazanin" w:cs="IRNazanin"/>
          <w:lang w:bidi="fa-IR"/>
          <w:color w:val="111111"/>
          <w:sz w:val="28"/>
          <w:szCs w:val="28"/>
          <w:rtl/>
        </w:rPr>
        <w:t xml:space="preserve">الثالث [:اشتراط عدم العلم بالبقاء أو الارتفاع]</w:t>
      </w:r>
    </w:p>
    <w:p>
      <w:pPr>
        <w:pStyle w:val="BookText"/>
      </w:pPr>
      <w:r>
        <w:rPr>
          <w:rFonts w:ascii="IRNazanin" w:hAnsi="IRNazanin" w:eastAsia="IRNazanin" w:cs="IRNazanin"/>
          <w:lang w:bidi="fa-IR"/>
          <w:color w:val="111111"/>
          <w:sz w:val="28"/>
          <w:szCs w:val="28"/>
          <w:rtl/>
        </w:rPr>
        <w:t xml:space="preserve">أن یکون کلّ من بقاء ما احرز حدوثه سابقا و ارتفاعه غیر معلوم،فلو علم أحدهما فلا استصحاب.</w:t>
      </w:r>
    </w:p>
    <w:p>
      <w:pPr>
        <w:pStyle w:val="BookText"/>
      </w:pPr>
      <w:r>
        <w:rPr>
          <w:rFonts w:ascii="IRNazanin" w:hAnsi="IRNazanin" w:eastAsia="IRNazanin" w:cs="IRNazanin"/>
          <w:lang w:bidi="fa-IR"/>
          <w:color w:val="111111"/>
          <w:sz w:val="28"/>
          <w:szCs w:val="28"/>
          <w:rtl/>
        </w:rPr>
        <w:t xml:space="preserve">و هذا مع العلم بالبقاء أو الارتفاع واقعا من دلیل قطعیّ واقعیّ واضح،و إنّما الکلام فیما أقامه الشارع مقام العلم بالواقع؛فإنّ الشکّ</w:t>
      </w:r>
    </w:p>
    <w:p>
      <w:pPr>
        <w:pStyle w:val="BookText"/>
      </w:pPr>
      <w:r>
        <w:rPr>
          <w:rFonts w:ascii="IRNazanin" w:hAnsi="IRNazanin" w:eastAsia="IRNazanin" w:cs="IRNazanin"/>
          <w:lang w:bidi="fa-IR"/>
          <w:color w:val="111111"/>
          <w:sz w:val="28"/>
          <w:szCs w:val="28"/>
          <w:rtl/>
        </w:rPr>
        <w:t xml:space="preserve">[شماره صفحه واقعی : 313]
</w:t>
      </w:r>
    </w:p>
    <w:p>
      <w:pPr>
        <w:sectPr>
          <w:footerReference w:type="default" r:id="rId825"/>
          <w:footnotePr>
            <w:numStart w:val="1"/>
            <w:numRestart w:val="eachPage"/>
          </w:footnotePr>
          <w:pgSz w:orient="portrait" w:w="11905.511811023622" w:h="16837.79527559055"/>
          <w:pgMar w:top="1440" w:right="1440" w:bottom="1440" w:left="1440" w:header="720" w:footer="720" w:gutter="0"/>
          <w:cols w:num="1" w:space="720"/>
        </w:sectPr>
      </w:pPr>
    </w:p>
    <w:bookmarkStart w:id="520" w:name="pg14411_143207"/>
    <w:bookmarkEnd w:id="520"/>
    <w:p>
      <w:pPr>
        <w:pStyle w:val="BookText"/>
      </w:pPr>
      <w:r>
        <w:rPr>
          <w:rFonts w:ascii="IRNazanin" w:hAnsi="IRNazanin" w:eastAsia="IRNazanin" w:cs="IRNazanin"/>
          <w:lang w:bidi="fa-IR"/>
          <w:color w:val="111111"/>
          <w:sz w:val="28"/>
          <w:szCs w:val="28"/>
          <w:rtl/>
        </w:rPr>
        <w:t xml:space="preserve">الواقعیّ فی البقاء و الارتفاع لا یزول معه،و لا ریب فی العمل به دون الحالة السابقة.</w:t>
      </w:r>
    </w:p>
    <w:p>
      <w:pPr>
        <w:pStyle w:val="Heading6"/>
      </w:pPr>
      <w:bookmarkStart w:id="2060" w:name="_Toc1095"/>
      <w:r>
        <w:t>[حکومة الأدلّة الاجتهادیّة علی أدلّة الاستصحاب:]</w:t>
      </w:r>
      <w:bookmarkEnd w:id="2060"/>
    </w:p>
    <w:p>
      <w:pPr>
        <w:pStyle w:val="BookText"/>
      </w:pPr>
      <w:r>
        <w:rPr>
          <w:rFonts w:ascii="IRNazanin" w:hAnsi="IRNazanin" w:eastAsia="IRNazanin" w:cs="IRNazanin"/>
          <w:lang w:bidi="fa-IR"/>
          <w:color w:val="111111"/>
          <w:sz w:val="28"/>
          <w:szCs w:val="28"/>
          <w:rtl/>
        </w:rPr>
        <w:t xml:space="preserve">لکنّ الشأن فی أنّ العمل به من باب تخصیص أدلّة الاستصحاب، أو من باب التخصّص؟الظاهر أنّه من باب حکومة أدلّة تلک الامور علی أدلّة الاستصحاب،و لیس تخصیصا بمعنی رفع الید عن عموم أدلّة الاستصحاب فی بعض موارده </w:t>
      </w:r>
      <w:r>
        <w:rPr>
          <w:rStyle w:val="FootnoteReference"/>
        </w:rPr>
        <w:footnoteReference w:id="2487"/>
      </w:r>
      <w:r>
        <w:rPr>
          <w:rFonts w:ascii="IRNazanin" w:hAnsi="IRNazanin" w:eastAsia="IRNazanin" w:cs="IRNazanin"/>
          <w:lang w:bidi="fa-IR"/>
          <w:color w:val="111111"/>
          <w:sz w:val="28"/>
          <w:szCs w:val="28"/>
          <w:rtl/>
        </w:rPr>
        <w:t xml:space="preserve">،کما ترفع الید عنها فی مسألة الشکّ بین الثلاث و الأربع و نحوها،بما دلّ علی وجوب البناء علی الأکثر </w:t>
      </w:r>
      <w:r>
        <w:rPr>
          <w:rStyle w:val="FootnoteReference"/>
        </w:rPr>
        <w:footnoteReference w:id="2488"/>
      </w:r>
      <w:r>
        <w:rPr>
          <w:rFonts w:ascii="IRNazanin" w:hAnsi="IRNazanin" w:eastAsia="IRNazanin" w:cs="IRNazanin"/>
          <w:lang w:bidi="fa-IR"/>
          <w:color w:val="111111"/>
          <w:sz w:val="28"/>
          <w:szCs w:val="28"/>
          <w:rtl/>
        </w:rPr>
        <w:t xml:space="preserve">، و لا تخصّصا بمعنی خروج المورد بمجرّد وجود الدلیل عن مورد الاستصحاب؛لأنّ هذا مختصّ بالدلیل العلمیّ المزیل وجوده للشکّ المأخوذ فی مجری الاستصحاب.</w:t>
      </w:r>
    </w:p>
    <w:p>
      <w:pPr>
        <w:pStyle w:val="Heading6"/>
      </w:pPr>
      <w:bookmarkStart w:id="2061" w:name="_Toc1096"/>
      <w:r>
        <w:t>معنی الحکومة:</w:t>
      </w:r>
      <w:bookmarkEnd w:id="2061"/>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 معنی الحکومة-علی ما سیجیء فی باب التعادل و التراجیح </w:t>
      </w:r>
      <w:r>
        <w:rPr>
          <w:rStyle w:val="FootnoteReference"/>
        </w:rPr>
        <w:footnoteReference w:id="24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أن یحکم الشارع فی ضمن دلیل بوجوب رفع الید عمّا یقتضیه الدلیل الآخر لو لا هذا الدلیل الحاکم،أو بوجوب العمل فی مورد بحکم لا یقتضیه دلیله لو لا الدلیل الحاکم </w:t>
      </w:r>
      <w:r>
        <w:rPr>
          <w:rStyle w:val="FootnoteReference"/>
        </w:rPr>
        <w:footnoteReference w:id="2490"/>
      </w:r>
      <w:r>
        <w:rPr>
          <w:rFonts w:ascii="IRNazanin" w:hAnsi="IRNazanin" w:eastAsia="IRNazanin" w:cs="IRNazanin"/>
          <w:lang w:bidi="fa-IR"/>
          <w:color w:val="111111"/>
          <w:sz w:val="28"/>
          <w:szCs w:val="28"/>
          <w:rtl/>
        </w:rPr>
        <w:t xml:space="preserve">،و سیجیء توضیحه إن شاء اللّه تعالی.</w:t>
      </w:r>
    </w:p>
    <w:p>
      <w:pPr>
        <w:pStyle w:val="BookText"/>
      </w:pPr>
      <w:r>
        <w:rPr>
          <w:rFonts w:ascii="IRNazanin" w:hAnsi="IRNazanin" w:eastAsia="IRNazanin" w:cs="IRNazanin"/>
          <w:lang w:bidi="fa-IR"/>
          <w:color w:val="111111"/>
          <w:sz w:val="28"/>
          <w:szCs w:val="28"/>
          <w:rtl/>
        </w:rPr>
        <w:t xml:space="preserve">[شماره صفحه واقعی : 314]
</w:t>
      </w:r>
    </w:p>
    <w:p>
      <w:pPr>
        <w:sectPr>
          <w:footerReference w:type="default" r:id="rId826"/>
          <w:footnotePr>
            <w:numStart w:val="1"/>
            <w:numRestart w:val="eachPage"/>
          </w:footnotePr>
          <w:pgSz w:orient="portrait" w:w="11905.511811023622" w:h="16837.79527559055"/>
          <w:pgMar w:top="1440" w:right="1440" w:bottom="1440" w:left="1440" w:header="720" w:footer="720" w:gutter="0"/>
          <w:cols w:num="1" w:space="720"/>
        </w:sectPr>
      </w:pPr>
    </w:p>
    <w:bookmarkStart w:id="521" w:name="pg14411_143208"/>
    <w:bookmarkEnd w:id="521"/>
    <w:p>
      <w:pPr>
        <w:pStyle w:val="BookText"/>
      </w:pPr>
      <w:r>
        <w:rPr>
          <w:rFonts w:ascii="IRNazanin" w:hAnsi="IRNazanin" w:eastAsia="IRNazanin" w:cs="IRNazanin"/>
          <w:lang w:bidi="fa-IR"/>
          <w:color w:val="111111"/>
          <w:sz w:val="28"/>
          <w:szCs w:val="28"/>
          <w:rtl/>
        </w:rPr>
        <w:t xml:space="preserve">ففی ما نحن فیه </w:t>
      </w:r>
      <w:r>
        <w:rPr>
          <w:rStyle w:val="FootnoteReference"/>
        </w:rPr>
        <w:footnoteReference w:id="2491"/>
      </w:r>
      <w:r>
        <w:rPr>
          <w:rFonts w:ascii="IRNazanin" w:hAnsi="IRNazanin" w:eastAsia="IRNazanin" w:cs="IRNazanin"/>
          <w:lang w:bidi="fa-IR"/>
          <w:color w:val="111111"/>
          <w:sz w:val="28"/>
          <w:szCs w:val="28"/>
          <w:rtl/>
        </w:rPr>
        <w:t xml:space="preserve">،إذا قال الشارع:«اعمل بالبیّنة فی نجاسة ثوبک»-و المفروض أنّ الشکّ موجود مع قیام البیّنة علی نجاسة الثوب- فإنّ الشارع حکم فی دلیل وجوب العمل بالبیّنة،برفع الید عن آثار الاحتمال المخالف للبیّنة،التی منها استصحاب الطهارة </w:t>
      </w:r>
      <w:r>
        <w:rPr>
          <w:rStyle w:val="FootnoteReference"/>
        </w:rPr>
        <w:footnoteReference w:id="2492"/>
      </w:r>
      <w:r>
        <w:rPr>
          <w:rFonts w:ascii="Times New Roman" w:hAnsi="Times New Roman" w:eastAsia="Times New Roman" w:cs="Times New Roman"/>
          <w:lang w:val="en-US" w:bidi="en-US"/>
          <w:color w:val="111111"/>
          <w:sz w:val="28"/>
          <w:szCs w:val="28"/>
          <w:rtl/>
        </w:rPr>
        <w:t xml:space="preserve">.</w:t>
      </w:r>
    </w:p>
    <w:p>
      <w:pPr>
        <w:pStyle w:val="Heading6"/>
      </w:pPr>
      <w:bookmarkStart w:id="2062" w:name="_Toc1097"/>
      <w:r>
        <w:t>[احتمال أن یکون العمل بالأدلّة فی مقابل الاستصحاب من باب التخصّص:]</w:t>
      </w:r>
      <w:bookmarkEnd w:id="2062"/>
    </w:p>
    <w:p>
      <w:pPr>
        <w:pStyle w:val="BookText"/>
      </w:pPr>
      <w:r>
        <w:rPr>
          <w:rFonts w:ascii="IRNazanin" w:hAnsi="IRNazanin" w:eastAsia="IRNazanin" w:cs="IRNazanin"/>
          <w:lang w:bidi="fa-IR"/>
          <w:color w:val="111111"/>
          <w:sz w:val="28"/>
          <w:szCs w:val="28"/>
          <w:rtl/>
        </w:rPr>
        <w:t xml:space="preserve">و ربما یجعل العمل بالأدلّة فی مقابل الاستصحاب من باب التخصّص </w:t>
      </w:r>
      <w:r>
        <w:rPr>
          <w:rStyle w:val="FootnoteReference"/>
        </w:rPr>
        <w:footnoteReference w:id="2493"/>
      </w:r>
      <w:r>
        <w:rPr>
          <w:rFonts w:ascii="IRNazanin" w:hAnsi="IRNazanin" w:eastAsia="IRNazanin" w:cs="IRNazanin"/>
          <w:lang w:bidi="fa-IR"/>
          <w:color w:val="111111"/>
          <w:sz w:val="28"/>
          <w:szCs w:val="28"/>
          <w:rtl/>
        </w:rPr>
        <w:t xml:space="preserve">بناء علی أنّ المراد من«الشکّ»عدم الدلیل و الطریق، و التحیّر فی العمل،و مع قیام الدلیل الاجتهادیّ لا حیرة.و إن شئت قلت </w:t>
      </w:r>
      <w:r>
        <w:rPr>
          <w:rStyle w:val="FootnoteReference"/>
        </w:rPr>
        <w:footnoteReference w:id="2494"/>
      </w:r>
      <w:r>
        <w:rPr>
          <w:rFonts w:ascii="IRNazanin" w:hAnsi="IRNazanin" w:eastAsia="IRNazanin" w:cs="IRNazanin"/>
          <w:lang w:bidi="fa-IR"/>
          <w:color w:val="111111"/>
          <w:sz w:val="28"/>
          <w:szCs w:val="28"/>
          <w:rtl/>
        </w:rPr>
        <w:t xml:space="preserve">:إنّ المفروض دلیلا قطعیّ الاعتبار؛فنقض الحالة السابقة به نقض بالیقین.</w:t>
      </w:r>
    </w:p>
    <w:p>
      <w:pPr>
        <w:pStyle w:val="Heading6"/>
      </w:pPr>
      <w:bookmarkStart w:id="2063" w:name="_Toc1098"/>
      <w:r>
        <w:t>[ضعف هذا الاحتمال:]</w:t>
      </w:r>
      <w:bookmarkEnd w:id="2063"/>
    </w:p>
    <w:p>
      <w:pPr>
        <w:pStyle w:val="BookText"/>
      </w:pPr>
      <w:r>
        <w:rPr>
          <w:rFonts w:ascii="IRNazanin" w:hAnsi="IRNazanin" w:eastAsia="IRNazanin" w:cs="IRNazanin"/>
          <w:lang w:bidi="fa-IR"/>
          <w:color w:val="111111"/>
          <w:sz w:val="28"/>
          <w:szCs w:val="28"/>
          <w:rtl/>
        </w:rPr>
        <w:t xml:space="preserve">و فیه:أنّه لا یرتفع التحیّر و لا یصیر الدلیل الاجتهادیّ قطعیّ الاعتبار فی خصوص مورد الاستصحاب إلاّ بعد إثبات کون مؤدّاه حاکما علی مؤدّی الاستصحاب،و إلاّ أمکن أن یقال:إنّ مؤدّی الاستصحاب وجوب العمل علی الحالة السابقة مع عدم الیقین بارتفاعها،</w:t>
      </w:r>
    </w:p>
    <w:p>
      <w:pPr>
        <w:pStyle w:val="BookText"/>
      </w:pPr>
      <w:r>
        <w:rPr>
          <w:rFonts w:ascii="IRNazanin" w:hAnsi="IRNazanin" w:eastAsia="IRNazanin" w:cs="IRNazanin"/>
          <w:lang w:bidi="fa-IR"/>
          <w:color w:val="111111"/>
          <w:sz w:val="28"/>
          <w:szCs w:val="28"/>
          <w:rtl/>
        </w:rPr>
        <w:t xml:space="preserve">[شماره صفحه واقعی : 315]
</w:t>
      </w:r>
    </w:p>
    <w:p>
      <w:pPr>
        <w:sectPr>
          <w:footerReference w:type="default" r:id="rId827"/>
          <w:footnotePr>
            <w:numStart w:val="1"/>
            <w:numRestart w:val="eachPage"/>
          </w:footnotePr>
          <w:pgSz w:orient="portrait" w:w="11905.511811023622" w:h="16837.79527559055"/>
          <w:pgMar w:top="1440" w:right="1440" w:bottom="1440" w:left="1440" w:header="720" w:footer="720" w:gutter="0"/>
          <w:cols w:num="1" w:space="720"/>
        </w:sectPr>
      </w:pPr>
    </w:p>
    <w:bookmarkStart w:id="522" w:name="pg14411_143209"/>
    <w:bookmarkEnd w:id="522"/>
    <w:p>
      <w:pPr>
        <w:pStyle w:val="BookText"/>
      </w:pPr>
      <w:r>
        <w:rPr>
          <w:rFonts w:ascii="IRNazanin" w:hAnsi="IRNazanin" w:eastAsia="IRNazanin" w:cs="IRNazanin"/>
          <w:lang w:bidi="fa-IR"/>
          <w:color w:val="111111"/>
          <w:sz w:val="28"/>
          <w:szCs w:val="28"/>
          <w:rtl/>
        </w:rPr>
        <w:t xml:space="preserve">سواء کان هناک الأمارة الفلانیّة أم لا،و مؤدّی دلیل تلک الأمارة وجوب العمل بمؤدّاه </w:t>
      </w:r>
      <w:r>
        <w:rPr>
          <w:rStyle w:val="FootnoteReference"/>
        </w:rPr>
        <w:footnoteReference w:id="2495"/>
      </w:r>
      <w:r>
        <w:rPr>
          <w:rFonts w:ascii="Amiri" w:hAnsi="Amiri" w:eastAsia="Amiri" w:cs="Amiri"/>
          <w:lang w:bidi="ar-SA"/>
          <w:color w:val="111111"/>
          <w:sz w:val="28"/>
          <w:szCs w:val="28"/>
          <w:rtl/>
        </w:rPr>
        <w:t xml:space="preserve">،خالف الحالة السابقة أم لا.</w:t>
      </w:r>
    </w:p>
    <w:p>
      <w:pPr>
        <w:pStyle w:val="BookText"/>
      </w:pPr>
      <w:r>
        <w:rPr>
          <w:rFonts w:ascii="IRNazanin" w:hAnsi="IRNazanin" w:eastAsia="IRNazanin" w:cs="IRNazanin"/>
          <w:lang w:bidi="fa-IR"/>
          <w:color w:val="111111"/>
          <w:sz w:val="28"/>
          <w:szCs w:val="28"/>
          <w:rtl/>
        </w:rPr>
        <w:t xml:space="preserve">و لا یندفع مغالطة هذا الکلام،إلاّ بما ذکرنا من طریق الحکومة، کما لا یخفی.</w:t>
      </w:r>
    </w:p>
    <w:p>
      <w:pPr>
        <w:pStyle w:val="Heading6"/>
      </w:pPr>
      <w:bookmarkStart w:id="2064" w:name="_Toc1099"/>
      <w:r>
        <w:t>[المسامحة فیما جعله الفاضل التونی من شرائط الاستصحاب:]</w:t>
      </w:r>
      <w:bookmarkEnd w:id="2064"/>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 کیف کان،فجعل بعضهم </w:t>
      </w:r>
      <w:r>
        <w:rPr>
          <w:rStyle w:val="FootnoteReference"/>
        </w:rPr>
        <w:footnoteReference w:id="2496"/>
      </w:r>
      <w:r>
        <w:rPr>
          <w:rFonts w:ascii="IRNazanin" w:hAnsi="IRNazanin" w:eastAsia="IRNazanin" w:cs="IRNazanin"/>
          <w:lang w:bidi="fa-IR"/>
          <w:color w:val="111111"/>
          <w:sz w:val="28"/>
          <w:szCs w:val="28"/>
          <w:rtl/>
        </w:rPr>
        <w:t xml:space="preserve">عدم الدلیل الاجتهادی علی خلاف الحالة السابقة من شرائط العمل بالاستصحاب،لا یخلو عن مسامحة؛ لأنّ مرجع ذلک بظاهره إلی عدم المعارض لعموم«لا تنقض»،کما فی مسألة البناء علی الأکثر،لکنّه لیس مراد هذا المشترط قطعا،بل مراده عدم الدلیل علی ارتفاع الحالة السابقة.</w:t>
      </w:r>
    </w:p>
    <w:p>
      <w:pPr>
        <w:pStyle w:val="Heading6"/>
      </w:pPr>
      <w:bookmarkStart w:id="2065" w:name="_Toc1100"/>
      <w:r>
        <w:t>[ما أورده المحقّق القمّی علی الفاضل التونی و المناقشة فیه:]</w:t>
      </w:r>
      <w:bookmarkEnd w:id="2065"/>
    </w:p>
    <w:p>
      <w:pPr>
        <w:pStyle w:val="BookText"/>
      </w:pPr>
      <w:r>
        <w:rPr>
          <w:rFonts w:ascii="Amiri" w:hAnsi="Amiri" w:eastAsia="Amiri" w:cs="Amiri"/>
          <w:lang w:bidi="ar-SA"/>
          <w:color w:val="111111"/>
          <w:sz w:val="28"/>
          <w:szCs w:val="28"/>
          <w:rtl/>
        </w:rPr>
        <w:t xml:space="preserve">و لعلّ </w:t>
      </w:r>
      <w:r>
        <w:rPr>
          <w:rStyle w:val="FootnoteReference"/>
        </w:rPr>
        <w:footnoteReference w:id="2497"/>
      </w:r>
      <w:r>
        <w:rPr>
          <w:rFonts w:ascii="IRNazanin" w:hAnsi="IRNazanin" w:eastAsia="IRNazanin" w:cs="IRNazanin"/>
          <w:lang w:bidi="fa-IR"/>
          <w:color w:val="111111"/>
          <w:sz w:val="28"/>
          <w:szCs w:val="28"/>
          <w:rtl/>
        </w:rPr>
        <w:t xml:space="preserve">ما أورده علیه المحقّق القمی قدّس سرّه-من أنّ الاستصحاب أیضا أحد الأدلّة،فقد یرجّح علیه الدلیل،و قد یرجّح علی الدلیل،و قد لا یرجّح أحدهما علی الآخر،قال قدّس سرّه:و لذا ذکر بعضهم </w:t>
      </w:r>
      <w:r>
        <w:rPr>
          <w:rStyle w:val="FootnoteReference"/>
        </w:rPr>
        <w:footnoteReference w:id="2498"/>
      </w:r>
      <w:r>
        <w:rPr>
          <w:rFonts w:ascii="IRNazanin" w:hAnsi="IRNazanin" w:eastAsia="IRNazanin" w:cs="IRNazanin"/>
          <w:lang w:bidi="fa-IR"/>
          <w:color w:val="111111"/>
          <w:sz w:val="28"/>
          <w:szCs w:val="28"/>
          <w:rtl/>
        </w:rPr>
        <w:t xml:space="preserve">فی مال المفقود:أنّه فی حکم ماله حتّی یحصل العلم العادی بموته؛استصحابا لحیاته </w:t>
      </w:r>
      <w:r>
        <w:rPr>
          <w:rStyle w:val="FootnoteReference"/>
        </w:rPr>
        <w:footnoteReference w:id="2499"/>
      </w:r>
      <w:r>
        <w:rPr>
          <w:rFonts w:ascii="IRNazanin" w:hAnsi="IRNazanin" w:eastAsia="IRNazanin" w:cs="IRNazanin"/>
          <w:lang w:bidi="fa-IR"/>
          <w:color w:val="111111"/>
          <w:sz w:val="28"/>
          <w:szCs w:val="28"/>
          <w:rtl/>
        </w:rPr>
        <w:t xml:space="preserve">،مع وجود الروایات المعتبرة </w:t>
      </w:r>
      <w:r>
        <w:rPr>
          <w:rStyle w:val="FootnoteReference"/>
        </w:rPr>
        <w:footnoteReference w:id="2500"/>
      </w:r>
      <w:r>
        <w:rPr>
          <w:rFonts w:ascii="IRNazanin" w:hAnsi="IRNazanin" w:eastAsia="IRNazanin" w:cs="IRNazanin"/>
          <w:lang w:bidi="fa-IR"/>
          <w:color w:val="111111"/>
          <w:sz w:val="28"/>
          <w:szCs w:val="28"/>
          <w:rtl/>
        </w:rPr>
        <w:t xml:space="preserve">المعمول بها عند بعضهم،بل</w:t>
      </w:r>
    </w:p>
    <w:p>
      <w:pPr>
        <w:pStyle w:val="BookText"/>
      </w:pPr>
      <w:r>
        <w:rPr>
          <w:rFonts w:ascii="IRNazanin" w:hAnsi="IRNazanin" w:eastAsia="IRNazanin" w:cs="IRNazanin"/>
          <w:lang w:bidi="fa-IR"/>
          <w:color w:val="111111"/>
          <w:sz w:val="28"/>
          <w:szCs w:val="28"/>
          <w:rtl/>
        </w:rPr>
        <w:t xml:space="preserve">[شماره صفحه واقعی : 316]
</w:t>
      </w:r>
    </w:p>
    <w:p>
      <w:pPr>
        <w:sectPr>
          <w:footerReference w:type="default" r:id="rId8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عند جمع من المحقّقین </w:t>
      </w:r>
      <w:r>
        <w:rPr>
          <w:rStyle w:val="FootnoteReference"/>
        </w:rPr>
        <w:footnoteReference w:id="2501"/>
      </w:r>
      <w:r>
        <w:rPr>
          <w:rFonts w:ascii="IRNazanin" w:hAnsi="IRNazanin" w:eastAsia="IRNazanin" w:cs="IRNazanin"/>
          <w:lang w:bidi="fa-IR"/>
          <w:color w:val="111111"/>
          <w:sz w:val="28"/>
          <w:szCs w:val="28"/>
          <w:rtl/>
        </w:rPr>
        <w:t xml:space="preserve">،الدالّة علی وجوب الفحص أربع سنین </w:t>
      </w:r>
      <w:r>
        <w:rPr>
          <w:rStyle w:val="FootnoteReference"/>
        </w:rPr>
        <w:footnoteReference w:id="2502"/>
      </w:r>
      <w:r>
        <w:rPr>
          <w:rFonts w:ascii="IRNazanin" w:hAnsi="IRNazanin" w:eastAsia="IRNazanin" w:cs="IRNazanin"/>
          <w:lang w:bidi="fa-IR"/>
          <w:color w:val="111111"/>
          <w:sz w:val="28"/>
          <w:szCs w:val="28"/>
          <w:rtl/>
        </w:rPr>
        <w:t xml:space="preserve">-مبنیّ علی ظاهر کلامه:من إرادة العمل بعموم«لا تنقض».</w:t>
      </w:r>
    </w:p>
    <w:p>
      <w:pPr>
        <w:pStyle w:val="BookText"/>
      </w:pPr>
      <w:r>
        <w:rPr>
          <w:rFonts w:ascii="IRNazanin" w:hAnsi="IRNazanin" w:eastAsia="IRNazanin" w:cs="IRNazanin"/>
          <w:lang w:bidi="fa-IR"/>
          <w:color w:val="111111"/>
          <w:sz w:val="28"/>
          <w:szCs w:val="28"/>
          <w:rtl/>
        </w:rPr>
        <w:t xml:space="preserve">و أمّا علی ما جزمنا به </w:t>
      </w:r>
      <w:r>
        <w:rPr>
          <w:rStyle w:val="FootnoteReference"/>
        </w:rPr>
        <w:footnoteReference w:id="2503"/>
      </w:r>
      <w:r>
        <w:rPr>
          <w:rFonts w:ascii="IRNazanin" w:hAnsi="IRNazanin" w:eastAsia="IRNazanin" w:cs="IRNazanin"/>
          <w:lang w:bidi="fa-IR"/>
          <w:color w:val="111111"/>
          <w:sz w:val="28"/>
          <w:szCs w:val="28"/>
          <w:rtl/>
        </w:rPr>
        <w:t xml:space="preserve">-من أنّ مراده عدم ما یدلّ علما أو ظنّا علی ارتفاع الحالة السابقة-فلا وجه لورود ذلک </w:t>
      </w:r>
      <w:r>
        <w:rPr>
          <w:rStyle w:val="FootnoteReference"/>
        </w:rPr>
        <w:footnoteReference w:id="2504"/>
      </w:r>
      <w:r>
        <w:rPr>
          <w:rFonts w:ascii="IRNazanin" w:hAnsi="IRNazanin" w:eastAsia="IRNazanin" w:cs="IRNazanin"/>
          <w:lang w:bidi="fa-IR"/>
          <w:color w:val="111111"/>
          <w:sz w:val="28"/>
          <w:szCs w:val="28"/>
          <w:rtl/>
        </w:rPr>
        <w:t xml:space="preserve">لأنّ الاستصحاب إن اخذ من باب التعبّد،فقد عرفت </w:t>
      </w:r>
      <w:r>
        <w:rPr>
          <w:rStyle w:val="FootnoteReference"/>
        </w:rPr>
        <w:footnoteReference w:id="2505"/>
      </w:r>
      <w:r>
        <w:rPr>
          <w:rFonts w:ascii="IRNazanin" w:hAnsi="IRNazanin" w:eastAsia="IRNazanin" w:cs="IRNazanin"/>
          <w:lang w:bidi="fa-IR"/>
          <w:color w:val="111111"/>
          <w:sz w:val="28"/>
          <w:szCs w:val="28"/>
          <w:rtl/>
        </w:rPr>
        <w:t xml:space="preserve">حکومة أدلّة جمیع الأمارات الاجتهادیّة علی دلیله،و إن اخذ من باب الظنّ،فالظاهر أنّه لا تأمّل لأحد فی أنّ المأخوذ فی إفادته للظنّ عدم وجود أمارة فی مورده علی خلافه؛و لذا ذکر العضدیّ فی دلیله </w:t>
      </w:r>
      <w:r>
        <w:rPr>
          <w:rStyle w:val="FootnoteReference"/>
        </w:rPr>
        <w:footnoteReference w:id="2506"/>
      </w:r>
      <w:r>
        <w:rPr>
          <w:rFonts w:ascii="IRNazanin" w:hAnsi="IRNazanin" w:eastAsia="IRNazanin" w:cs="IRNazanin"/>
          <w:lang w:bidi="fa-IR"/>
          <w:color w:val="111111"/>
          <w:sz w:val="28"/>
          <w:szCs w:val="28"/>
          <w:rtl/>
        </w:rPr>
        <w:t xml:space="preserve">:أنّ ما کان سابقا و لم یظنّ عدمه فهو مظنون البقاء </w:t>
      </w:r>
      <w:r>
        <w:rPr>
          <w:rStyle w:val="FootnoteReference"/>
        </w:rPr>
        <w:footnoteReference w:id="25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317]
</w:t>
      </w:r>
    </w:p>
    <w:p>
      <w:pPr>
        <w:sectPr>
          <w:footerReference w:type="default" r:id="rId829"/>
          <w:footnotePr>
            <w:numStart w:val="1"/>
            <w:numRestart w:val="eachPage"/>
          </w:footnotePr>
          <w:pgSz w:orient="portrait" w:w="11905.511811023622" w:h="16837.79527559055"/>
          <w:pgMar w:top="1440" w:right="1440" w:bottom="1440" w:left="1440" w:header="720" w:footer="720" w:gutter="0"/>
          <w:cols w:num="1" w:space="720"/>
        </w:sectPr>
      </w:pPr>
    </w:p>
    <w:bookmarkStart w:id="523" w:name="pg14411_143211"/>
    <w:bookmarkEnd w:id="523"/>
    <w:p>
      <w:pPr>
        <w:pStyle w:val="BookText"/>
      </w:pPr>
      <w:r>
        <w:rPr>
          <w:rFonts w:ascii="IRNazanin" w:hAnsi="IRNazanin" w:eastAsia="IRNazanin" w:cs="IRNazanin"/>
          <w:lang w:bidi="fa-IR"/>
          <w:color w:val="111111"/>
          <w:sz w:val="28"/>
          <w:szCs w:val="28"/>
          <w:rtl/>
        </w:rPr>
        <w:t xml:space="preserve">و لما ذکرنا لم نر أحدا من العلماء قدّم الاستصحاب علی أمارة مخالفة له مع اعترافه بحجّیّتها لو لا الاستصحاب،لا فی الأحکام و لا فی الموضوعات.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 أمّا ما استشهد به قدّس سرّه-من عمل بعض الأصحاب بالاستصحاب فی مال المفقود،و طرح ما دلّ علی وجوب الفحص أربع سنین و الحکم بموته بعده-فلا دخل له بما نحن فیه؛لأنّ تلک الأخبار لیست أدلّة فی مقابل استصحاب حیاة المفقود،و إنّما المقابل له قیام دلیل معتبر </w:t>
      </w:r>
      <w:r>
        <w:rPr>
          <w:rStyle w:val="FootnoteReference"/>
        </w:rPr>
        <w:footnoteReference w:id="2508"/>
      </w:r>
      <w:r>
        <w:rPr>
          <w:rFonts w:ascii="IRNazanin" w:hAnsi="IRNazanin" w:eastAsia="IRNazanin" w:cs="IRNazanin"/>
          <w:lang w:bidi="fa-IR"/>
          <w:color w:val="111111"/>
          <w:sz w:val="28"/>
          <w:szCs w:val="28"/>
          <w:rtl/>
        </w:rPr>
        <w:t xml:space="preserve">علی موته،و هذه الأخبار علی تقدیر تمامیّتها مخصّصة لعموم أدلّة الاستصحاب، دالّة علی وجوب البناء علی موت المفقود </w:t>
      </w:r>
      <w:r>
        <w:rPr>
          <w:rStyle w:val="FootnoteReference"/>
        </w:rPr>
        <w:footnoteReference w:id="2509"/>
      </w:r>
      <w:r>
        <w:rPr>
          <w:rFonts w:ascii="IRNazanin" w:hAnsi="IRNazanin" w:eastAsia="IRNazanin" w:cs="IRNazanin"/>
          <w:lang w:bidi="fa-IR"/>
          <w:color w:val="111111"/>
          <w:sz w:val="28"/>
          <w:szCs w:val="28"/>
          <w:rtl/>
        </w:rPr>
        <w:t xml:space="preserve">بعد الفحص،نظیر ما دلّ علی وجوب البناء علی الأکثر مع الشکّ فی عدد الرکعات،فمن عمل بها خصّص بها عمومات الاستصحاب،و من طرحها-لقصور فیها-بقی أدلّة الاستصحاب عنده علی عمومها.</w:t>
      </w:r>
    </w:p>
    <w:p>
      <w:pPr>
        <w:pStyle w:val="Heading6"/>
      </w:pPr>
      <w:bookmarkStart w:id="2066" w:name="_Toc1101"/>
      <w:r>
        <w:t>[المراد من«الأدلّة الاجتهادیّة»و«الاصول»:]</w:t>
      </w:r>
      <w:bookmarkEnd w:id="2066"/>
    </w:p>
    <w:p>
      <w:pPr>
        <w:pStyle w:val="BookText"/>
      </w:pPr>
      <w:r>
        <w:rPr>
          <w:rFonts w:ascii="IRNazanin" w:hAnsi="IRNazanin" w:eastAsia="IRNazanin" w:cs="IRNazanin"/>
          <w:lang w:bidi="fa-IR"/>
          <w:color w:val="111111"/>
          <w:sz w:val="28"/>
          <w:szCs w:val="28"/>
          <w:rtl/>
        </w:rPr>
        <w:t xml:space="preserve">ثمّ المراد بالدلیل الاجتهادیّ:کلّ أمارة اعتبرها الشارع من حیث إنّها تحکی عن الواقع و تکشف عنه بالقوّة،و تسمّی فی نفس الأحکام«أدلّة اجتهادیّة»و فی الموضوعات«أمارات معتبرة»،فما کان ممّا نصبه الشارع غیر ناظر إلی الواقع،أو کان ناظرا لکن فرض أنّ الشارع اعتبره لا من هذه الحیثیّة،بل من حیث مجرّد احتمال مطابقته للواقع،فلیس اجتهادیّا،بل </w:t>
      </w:r>
      <w:r>
        <w:rPr>
          <w:rStyle w:val="FootnoteReference"/>
        </w:rPr>
        <w:footnoteReference w:id="2510"/>
      </w:r>
      <w:r>
        <w:rPr>
          <w:rFonts w:ascii="IRNazanin" w:hAnsi="IRNazanin" w:eastAsia="IRNazanin" w:cs="IRNazanin"/>
          <w:lang w:bidi="fa-IR"/>
          <w:color w:val="111111"/>
          <w:sz w:val="28"/>
          <w:szCs w:val="28"/>
          <w:rtl/>
        </w:rPr>
        <w:t xml:space="preserve">هو من الاصول،و إن کان مقدّما علی</w:t>
      </w:r>
    </w:p>
    <w:p>
      <w:pPr>
        <w:pStyle w:val="BookText"/>
      </w:pPr>
      <w:r>
        <w:rPr>
          <w:rFonts w:ascii="IRNazanin" w:hAnsi="IRNazanin" w:eastAsia="IRNazanin" w:cs="IRNazanin"/>
          <w:lang w:bidi="fa-IR"/>
          <w:color w:val="111111"/>
          <w:sz w:val="28"/>
          <w:szCs w:val="28"/>
          <w:rtl/>
        </w:rPr>
        <w:t xml:space="preserve">[شماره صفحه واقعی : 318]
</w:t>
      </w:r>
    </w:p>
    <w:p>
      <w:pPr>
        <w:sectPr>
          <w:footerReference w:type="default" r:id="rId830"/>
          <w:footnotePr>
            <w:numStart w:val="1"/>
            <w:numRestart w:val="eachPage"/>
          </w:footnotePr>
          <w:pgSz w:orient="portrait" w:w="11905.511811023622" w:h="16837.79527559055"/>
          <w:pgMar w:top="1440" w:right="1440" w:bottom="1440" w:left="1440" w:header="720" w:footer="720" w:gutter="0"/>
          <w:cols w:num="1" w:space="720"/>
        </w:sectPr>
      </w:pPr>
    </w:p>
    <w:bookmarkStart w:id="524" w:name="pg14411_143212"/>
    <w:bookmarkEnd w:id="524"/>
    <w:p>
      <w:pPr>
        <w:pStyle w:val="BookText"/>
      </w:pPr>
      <w:r>
        <w:rPr>
          <w:rFonts w:ascii="IRNazanin" w:hAnsi="IRNazanin" w:eastAsia="IRNazanin" w:cs="IRNazanin"/>
          <w:lang w:bidi="fa-IR"/>
          <w:color w:val="111111"/>
          <w:sz w:val="28"/>
          <w:szCs w:val="28"/>
          <w:rtl/>
        </w:rPr>
        <w:t xml:space="preserve">بعض الاصول الأخر.و الظاهر أنّ الاستصحاب و القرعة من هذا القبیل.</w:t>
      </w:r>
    </w:p>
    <w:p>
      <w:pPr>
        <w:pStyle w:val="BookText"/>
      </w:pPr>
      <w:r>
        <w:rPr>
          <w:rFonts w:ascii="IRNazanin" w:hAnsi="IRNazanin" w:eastAsia="IRNazanin" w:cs="IRNazanin"/>
          <w:lang w:bidi="fa-IR"/>
          <w:color w:val="111111"/>
          <w:sz w:val="28"/>
          <w:szCs w:val="28"/>
          <w:rtl/>
        </w:rPr>
        <w:t xml:space="preserve">و مصادیق الأدلّة و الأمارات فی الأحکام و الموضوعات واضحة غالبا.</w:t>
      </w:r>
    </w:p>
    <w:p>
      <w:pPr>
        <w:pStyle w:val="Heading6"/>
      </w:pPr>
      <w:bookmarkStart w:id="2067" w:name="_Toc1102"/>
      <w:r>
        <w:t>[تردّد الشیء بین کونه دلیلا أو أصلا:]</w:t>
      </w:r>
      <w:bookmarkEnd w:id="2067"/>
    </w:p>
    <w:p>
      <w:pPr>
        <w:pStyle w:val="BookText"/>
      </w:pPr>
      <w:r>
        <w:rPr>
          <w:rFonts w:ascii="IRNazanin" w:hAnsi="IRNazanin" w:eastAsia="IRNazanin" w:cs="IRNazanin"/>
          <w:lang w:bidi="fa-IR"/>
          <w:color w:val="111111"/>
          <w:sz w:val="28"/>
          <w:szCs w:val="28"/>
          <w:rtl/>
        </w:rPr>
        <w:t xml:space="preserve">و قد یختفی </w:t>
      </w:r>
      <w:r>
        <w:rPr>
          <w:rStyle w:val="FootnoteReference"/>
        </w:rPr>
        <w:footnoteReference w:id="2511"/>
      </w:r>
      <w:r>
        <w:rPr>
          <w:rFonts w:ascii="IRNazanin" w:hAnsi="IRNazanin" w:eastAsia="IRNazanin" w:cs="IRNazanin"/>
          <w:lang w:bidi="fa-IR"/>
          <w:color w:val="111111"/>
          <w:sz w:val="28"/>
          <w:szCs w:val="28"/>
          <w:rtl/>
        </w:rPr>
        <w:t xml:space="preserve">،فیتردّد الشیء بین کونه دلیلا و بین کونه أصلا؛ لاختفاء کون اعتباره من حیث کونه ناظرا إلی الواقع،أو من حیث هو،کما فی الید المنصوبة دلیلا علی الملک،و کذلک أصالة الصحّة عند الشکّ فی عمل نفسه بعد الفراغ،و أصالة الصحّة فی عمل الغیر.</w:t>
      </w:r>
    </w:p>
    <w:p>
      <w:pPr>
        <w:pStyle w:val="BookText"/>
      </w:pPr>
      <w:r>
        <w:rPr>
          <w:rFonts w:ascii="IRNazanin" w:hAnsi="IRNazanin" w:eastAsia="IRNazanin" w:cs="IRNazanin"/>
          <w:lang w:bidi="fa-IR"/>
          <w:color w:val="111111"/>
          <w:sz w:val="28"/>
          <w:szCs w:val="28"/>
          <w:rtl/>
        </w:rPr>
        <w:t xml:space="preserve">و قد یعلم عدم کونه ناظرا إلی الواقع و کاشفا عنه و أنّه من القواعد التعبّدیّة،لکن یختفی حکومته مع ذلک علی الاستصحاب؛لأنّا قد ذکرنا:أنّه قد یکون الشیء الغیر الکاشف منصوبا من حیث تنزیل الشارع الاحتمال المطابق له منزلة الواقع،إلاّ أنّ الاختفاء فی تقدیم أحد التنزیلین علی الآخر و حکومته علیه.</w:t>
      </w:r>
    </w:p>
    <w:p>
      <w:pPr>
        <w:pStyle w:val="BookText"/>
      </w:pPr>
      <w:r>
        <w:rPr>
          <w:rFonts w:ascii="IRNazanin" w:hAnsi="IRNazanin" w:eastAsia="IRNazanin" w:cs="IRNazanin"/>
          <w:lang w:bidi="fa-IR"/>
          <w:color w:val="111111"/>
          <w:sz w:val="28"/>
          <w:szCs w:val="28"/>
          <w:rtl/>
        </w:rPr>
        <w:t xml:space="preserve">[شماره صفحه واقعی : 319]
</w:t>
      </w:r>
    </w:p>
    <w:p>
      <w:pPr>
        <w:sectPr>
          <w:footerReference w:type="default" r:id="rId831"/>
          <w:footnotePr>
            <w:numStart w:val="1"/>
            <w:numRestart w:val="eachPage"/>
          </w:footnotePr>
          <w:pgSz w:orient="portrait" w:w="11905.511811023622" w:h="16837.79527559055"/>
          <w:pgMar w:top="1440" w:right="1440" w:bottom="1440" w:left="1440" w:header="720" w:footer="720" w:gutter="0"/>
          <w:cols w:num="1" w:space="720"/>
        </w:sectPr>
      </w:pPr>
    </w:p>
    <w:bookmarkStart w:id="525" w:name="pg14411_143213"/>
    <w:bookmarkEnd w:id="525"/>
    <w:p>
      <w:pPr>
        <w:pStyle w:val="Heading6"/>
      </w:pPr>
      <w:bookmarkStart w:id="2068" w:name="_Toc1103"/>
      <w:r>
        <w:t>[تعارض الاستصحاب مع سائر الأمارات و الاصول]</w:t>
      </w:r>
      <w:bookmarkEnd w:id="2068"/>
    </w:p>
    <w:p>
      <w:pPr>
        <w:pStyle w:val="Heading6"/>
      </w:pPr>
      <w:bookmarkStart w:id="2069" w:name="_Toc1104"/>
      <w:r>
        <w:t>اشارة</w:t>
      </w:r>
      <w:bookmarkEnd w:id="2069"/>
    </w:p>
    <w:p>
      <w:pPr>
        <w:pStyle w:val="BookText"/>
      </w:pPr>
      <w:r>
        <w:rPr>
          <w:rFonts w:ascii="IRNazanin" w:hAnsi="IRNazanin" w:eastAsia="IRNazanin" w:cs="IRNazanin"/>
          <w:lang w:bidi="fa-IR"/>
          <w:color w:val="111111"/>
          <w:sz w:val="28"/>
          <w:szCs w:val="28"/>
          <w:rtl/>
        </w:rPr>
        <w:t xml:space="preserve">[تعارض الاستصحاب مع سائر الأمارات و الاصول] </w:t>
      </w:r>
      <w:r>
        <w:rPr>
          <w:rStyle w:val="FootnoteReference"/>
        </w:rPr>
        <w:footnoteReference w:id="2512"/>
      </w:r>
    </w:p>
    <w:p>
      <w:pPr>
        <w:pStyle w:val="BookText"/>
      </w:pPr>
      <w:r>
        <w:rPr>
          <w:rFonts w:ascii="IRNazanin" w:hAnsi="IRNazanin" w:eastAsia="IRNazanin" w:cs="IRNazanin"/>
          <w:lang w:bidi="fa-IR"/>
          <w:color w:val="111111"/>
          <w:sz w:val="28"/>
          <w:szCs w:val="28"/>
          <w:rtl/>
        </w:rPr>
        <w:t xml:space="preserve">ثمّ إنّه لا ریب فی تقدیم الاستصحاب علی الاصول الثلاثة، أعنی:البراءة،و الاحتیاط،و التخییر.إلاّ أنّه قد یختفی وجهه علی المبتدی </w:t>
      </w:r>
      <w:r>
        <w:rPr>
          <w:rStyle w:val="FootnoteReference"/>
        </w:rPr>
        <w:footnoteReference w:id="2513"/>
      </w:r>
      <w:r>
        <w:rPr>
          <w:rFonts w:ascii="IRNazanin" w:hAnsi="IRNazanin" w:eastAsia="IRNazanin" w:cs="IRNazanin"/>
          <w:lang w:bidi="fa-IR"/>
          <w:color w:val="111111"/>
          <w:sz w:val="28"/>
          <w:szCs w:val="28"/>
          <w:rtl/>
        </w:rPr>
        <w:t xml:space="preserve">،فلا بدّ من التکلّم هنا فی مقامات:</w:t>
      </w:r>
    </w:p>
    <w:p>
      <w:pPr>
        <w:pStyle w:val="BookText"/>
      </w:pPr>
      <w:r>
        <w:rPr>
          <w:rFonts w:ascii="IRNazanin" w:hAnsi="IRNazanin" w:eastAsia="IRNazanin" w:cs="IRNazanin"/>
          <w:lang w:bidi="fa-IR"/>
          <w:color w:val="111111"/>
          <w:sz w:val="28"/>
          <w:szCs w:val="28"/>
          <w:rtl/>
        </w:rPr>
        <w:t xml:space="preserve">الأوّل:فی عدم معارضة الاستصحاب لبعض الأمارات التی یتراءی کونها من الاصول،کالید و نحوها.</w:t>
      </w:r>
    </w:p>
    <w:p>
      <w:pPr>
        <w:pStyle w:val="BookText"/>
      </w:pPr>
      <w:r>
        <w:rPr>
          <w:rFonts w:ascii="IRNazanin" w:hAnsi="IRNazanin" w:eastAsia="IRNazanin" w:cs="IRNazanin"/>
          <w:lang w:bidi="fa-IR"/>
          <w:color w:val="111111"/>
          <w:sz w:val="28"/>
          <w:szCs w:val="28"/>
          <w:rtl/>
        </w:rPr>
        <w:t xml:space="preserve">الثانی:فی حکم معارضة الاستصحاب للقرعة و نحوها.</w:t>
      </w:r>
    </w:p>
    <w:p>
      <w:pPr>
        <w:pStyle w:val="BookText"/>
      </w:pPr>
      <w:r>
        <w:rPr>
          <w:rFonts w:ascii="IRNazanin" w:hAnsi="IRNazanin" w:eastAsia="IRNazanin" w:cs="IRNazanin"/>
          <w:lang w:bidi="fa-IR"/>
          <w:color w:val="111111"/>
          <w:sz w:val="28"/>
          <w:szCs w:val="28"/>
          <w:rtl/>
        </w:rPr>
        <w:t xml:space="preserve">الثالث:فی عدم معارضة سائر الاصول للاستصحاب.</w:t>
      </w:r>
    </w:p>
    <w:p>
      <w:pPr>
        <w:pStyle w:val="BookText"/>
      </w:pPr>
      <w:r>
        <w:rPr>
          <w:rFonts w:ascii="IRNazanin" w:hAnsi="IRNazanin" w:eastAsia="IRNazanin" w:cs="IRNazanin"/>
          <w:lang w:bidi="fa-IR"/>
          <w:color w:val="111111"/>
          <w:sz w:val="28"/>
          <w:szCs w:val="28"/>
          <w:rtl/>
        </w:rPr>
        <w:t xml:space="preserve">[شماره صفحه واقعی : 320]
</w:t>
      </w:r>
    </w:p>
    <w:p>
      <w:pPr>
        <w:sectPr>
          <w:footerReference w:type="default" r:id="rId832"/>
          <w:footnotePr>
            <w:numStart w:val="1"/>
            <w:numRestart w:val="eachPage"/>
          </w:footnotePr>
          <w:pgSz w:orient="portrait" w:w="11905.511811023622" w:h="16837.79527559055"/>
          <w:pgMar w:top="1440" w:right="1440" w:bottom="1440" w:left="1440" w:header="720" w:footer="720" w:gutter="0"/>
          <w:cols w:num="1" w:space="720"/>
        </w:sectPr>
      </w:pPr>
    </w:p>
    <w:bookmarkStart w:id="526" w:name="pg14411_143214"/>
    <w:bookmarkEnd w:id="526"/>
    <w:p>
      <w:pPr>
        <w:pStyle w:val="Heading6"/>
      </w:pPr>
      <w:bookmarkStart w:id="2070" w:name="_Toc1105"/>
      <w:r>
        <w:t>[المقام الأوّل:عدم معارضة الاستصحاب لبعض الأمارات،و فیه مسائل:]</w:t>
      </w:r>
      <w:bookmarkEnd w:id="2070"/>
    </w:p>
    <w:p>
      <w:pPr>
        <w:pStyle w:val="Heading6"/>
      </w:pPr>
      <w:bookmarkStart w:id="2071" w:name="_Toc1106"/>
      <w:r>
        <w:t>اشارة</w:t>
      </w:r>
      <w:bookmarkEnd w:id="2071"/>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أمّا الکلام فی المقام الأوّل فیقع فی مسائل:</w:t>
      </w:r>
    </w:p>
    <w:p>
      <w:pPr>
        <w:pStyle w:val="Heading6"/>
      </w:pPr>
      <w:bookmarkStart w:id="2072" w:name="_Toc1107"/>
      <w:r>
        <w:t>[المسألة ] الاولی [:تقدّم«الید»علی الاستصحاب و الاستدلال علیه]</w:t>
      </w:r>
      <w:bookmarkEnd w:id="2072"/>
    </w:p>
    <w:p>
      <w:pPr>
        <w:pStyle w:val="BookText"/>
      </w:pPr>
      <w:r>
        <w:rPr>
          <w:rFonts w:ascii="IRNazanin" w:hAnsi="IRNazanin" w:eastAsia="IRNazanin" w:cs="IRNazanin"/>
          <w:lang w:bidi="fa-IR"/>
          <w:color w:val="111111"/>
          <w:sz w:val="28"/>
          <w:szCs w:val="28"/>
          <w:rtl/>
        </w:rPr>
        <w:t xml:space="preserve">أنّ الید ممّا لا یعارضها الاستصحاب،بل هی حاکمة علیه.</w:t>
      </w:r>
    </w:p>
    <w:p>
      <w:pPr>
        <w:pStyle w:val="BookText"/>
      </w:pPr>
      <w:r>
        <w:rPr>
          <w:rFonts w:ascii="IRNazanin" w:hAnsi="IRNazanin" w:eastAsia="IRNazanin" w:cs="IRNazanin"/>
          <w:lang w:bidi="fa-IR"/>
          <w:color w:val="111111"/>
          <w:sz w:val="28"/>
          <w:szCs w:val="28"/>
          <w:rtl/>
        </w:rPr>
        <w:t xml:space="preserve">بیان ذلک:أنّ الید،إن قلنا بکونها من الأمارات المنصوبة دلیلا علی الملکیّة؛من حیث کون الغالب فی مواردها کون صاحب الید مالکا أو نائبا عنه،و أنّ الید المستقلّة الغیر المالکیّة قلیلة بالنسبة إلیها،و أنّ الشارع إنّما اعتبر هذه الغلبة تسهیلا علی العباد،فلا إشکال فی تقدیمها علی الاستصحاب علی ما عرفت:من حکومة أدلّة الأمارات علی أدلّة </w:t>
      </w:r>
      <w:r>
        <w:rPr>
          <w:rStyle w:val="FootnoteReference"/>
        </w:rPr>
        <w:footnoteReference w:id="2514"/>
      </w:r>
      <w:r>
        <w:rPr>
          <w:rFonts w:ascii="IRNazanin" w:hAnsi="IRNazanin" w:eastAsia="IRNazanin" w:cs="IRNazanin"/>
          <w:lang w:bidi="fa-IR"/>
          <w:color w:val="111111"/>
          <w:sz w:val="28"/>
          <w:szCs w:val="28"/>
          <w:rtl/>
        </w:rPr>
        <w:t xml:space="preserve">الاستصحاب </w:t>
      </w:r>
      <w:r>
        <w:rPr>
          <w:rStyle w:val="FootnoteReference"/>
        </w:rPr>
        <w:footnoteReference w:id="25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إن قلنا بأنّها غیر کاشفة بنفسها عن الملکیّة،أو أنّها کاشفة لکن اعتبار الشارع لها لیس من هذه الحیثیّة،بل جعلها فی محلّ الشکّ تعبّدا؛لتوقّف استقامة نظام معاملات العباد علی اعتبارها-نظیر أصالة الطهارة-کما یشیر إلیه قوله علیه السّلام فی ذیل روایة حفص بن غیاث، الدالّة علی الحکم بالملکیّة علی ما فی ید المسلمین:«و لو لا ذلک لما قام</w:t>
      </w:r>
    </w:p>
    <w:p>
      <w:pPr>
        <w:pStyle w:val="BookText"/>
      </w:pPr>
      <w:r>
        <w:rPr>
          <w:rFonts w:ascii="IRNazanin" w:hAnsi="IRNazanin" w:eastAsia="IRNazanin" w:cs="IRNazanin"/>
          <w:lang w:bidi="fa-IR"/>
          <w:color w:val="111111"/>
          <w:sz w:val="28"/>
          <w:szCs w:val="28"/>
          <w:rtl/>
        </w:rPr>
        <w:t xml:space="preserve">[شماره صفحه واقعی : 321]
</w:t>
      </w:r>
    </w:p>
    <w:p>
      <w:pPr>
        <w:sectPr>
          <w:footerReference w:type="default" r:id="rId833"/>
          <w:footnotePr>
            <w:numStart w:val="1"/>
            <w:numRestart w:val="eachPage"/>
          </w:footnotePr>
          <w:pgSz w:orient="portrait" w:w="11905.511811023622" w:h="16837.79527559055"/>
          <w:pgMar w:top="1440" w:right="1440" w:bottom="1440" w:left="1440" w:header="720" w:footer="720" w:gutter="0"/>
          <w:cols w:num="1" w:space="720"/>
        </w:sectPr>
      </w:pPr>
    </w:p>
    <w:bookmarkStart w:id="527" w:name="pg14411_143215"/>
    <w:bookmarkEnd w:id="527"/>
    <w:p>
      <w:pPr>
        <w:pStyle w:val="BookText"/>
      </w:pPr>
      <w:r>
        <w:rPr>
          <w:rFonts w:ascii="IRNazanin" w:hAnsi="IRNazanin" w:eastAsia="IRNazanin" w:cs="IRNazanin"/>
          <w:lang w:bidi="fa-IR"/>
          <w:color w:val="111111"/>
          <w:sz w:val="28"/>
          <w:szCs w:val="28"/>
          <w:rtl/>
        </w:rPr>
        <w:t xml:space="preserve">للمسلمین سوق» </w:t>
      </w:r>
      <w:r>
        <w:rPr>
          <w:rStyle w:val="FootnoteReference"/>
        </w:rPr>
        <w:footnoteReference w:id="2516"/>
      </w:r>
      <w:r>
        <w:rPr>
          <w:rFonts w:ascii="IRNazanin" w:hAnsi="IRNazanin" w:eastAsia="IRNazanin" w:cs="IRNazanin"/>
          <w:lang w:bidi="fa-IR"/>
          <w:color w:val="111111"/>
          <w:sz w:val="28"/>
          <w:szCs w:val="28"/>
          <w:rtl/>
        </w:rPr>
        <w:t xml:space="preserve">،فالأظهر أیضا تقدیمها علی الاستصحاب؛إذ لو لا هذا لم یجز التمسّک بها فی أکثر المقامات،فیلزم المحذور المنصوص،و هو اختلال السوق و بطلان الحقوق؛إذ الغالب العلم بکون ما فی الید مسبوقا بکونه ملکا للغیر،کما لا یخفی.</w:t>
      </w:r>
    </w:p>
    <w:p>
      <w:pPr>
        <w:pStyle w:val="Heading6"/>
      </w:pPr>
      <w:bookmarkStart w:id="2073" w:name="_Toc1108"/>
      <w:r>
        <w:t>[الوجه فی الرجوع إلی الاستصحاب لو تقارنت«الید»بالإقرار:]</w:t>
      </w:r>
      <w:bookmarkEnd w:id="2073"/>
    </w:p>
    <w:p>
      <w:pPr>
        <w:pStyle w:val="BookText"/>
      </w:pPr>
      <w:r>
        <w:rPr>
          <w:rFonts w:ascii="IRNazanin" w:hAnsi="IRNazanin" w:eastAsia="IRNazanin" w:cs="IRNazanin"/>
          <w:lang w:bidi="fa-IR"/>
          <w:color w:val="111111"/>
          <w:sz w:val="28"/>
          <w:szCs w:val="28"/>
          <w:rtl/>
        </w:rPr>
        <w:t xml:space="preserve">و أمّا حکم المشهور بأنّه:«لو اعترف ذو الید بکونه سابقا ملکا للمدّعی،انتزع منه العین،إلاّ أن یقیم البیّنة علی انتقالها إلیه»فلیس من تقدیم الاستصحاب،بل لأجل أنّ دعواه الملکیّة فی الحال إذا انضمّت إلی إقراره بکونه </w:t>
      </w:r>
      <w:r>
        <w:rPr>
          <w:rStyle w:val="FootnoteReference"/>
        </w:rPr>
        <w:footnoteReference w:id="2517"/>
      </w:r>
      <w:r>
        <w:rPr>
          <w:rFonts w:ascii="IRNazanin" w:hAnsi="IRNazanin" w:eastAsia="IRNazanin" w:cs="IRNazanin"/>
          <w:lang w:bidi="fa-IR"/>
          <w:color w:val="111111"/>
          <w:sz w:val="28"/>
          <w:szCs w:val="28"/>
          <w:rtl/>
        </w:rPr>
        <w:t xml:space="preserve">قبل ذلک للمدّعی،ترجع إلی دعوی انتقالها إلیه،فینقلب مدّعیا،و المدّعی منکرا؛و لذا لو لم یکن فی مقابله مدّع، لم تقدح هذه الدعوی منه فی الحکم بملکیّته،أو کان فی مقابله مدّع لکن أسند الملک السابق إلی غیره،کما لو قال فی جواب زید المدّعی:</w:t>
      </w:r>
    </w:p>
    <w:p>
      <w:pPr>
        <w:pStyle w:val="BookText"/>
      </w:pPr>
      <w:r>
        <w:rPr>
          <w:rFonts w:ascii="IRNazanin" w:hAnsi="IRNazanin" w:eastAsia="IRNazanin" w:cs="IRNazanin"/>
          <w:lang w:bidi="fa-IR"/>
          <w:color w:val="111111"/>
          <w:sz w:val="28"/>
          <w:szCs w:val="28"/>
          <w:rtl/>
        </w:rPr>
        <w:t xml:space="preserve">اشتریته من عمرو.</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بل یظهر ممّا ورد فی محاجّة علیّ علیه السّلام مع أبی بکر فی أمر فدک -المرویّة فی الاحتجاج </w:t>
      </w:r>
      <w:r>
        <w:rPr>
          <w:rStyle w:val="FootnoteReference"/>
        </w:rPr>
        <w:footnoteReference w:id="2518"/>
      </w:r>
      <w:r>
        <w:rPr>
          <w:rFonts w:ascii="IRNazanin" w:hAnsi="IRNazanin" w:eastAsia="IRNazanin" w:cs="IRNazanin"/>
          <w:lang w:bidi="fa-IR"/>
          <w:color w:val="111111"/>
          <w:sz w:val="28"/>
          <w:szCs w:val="28"/>
          <w:rtl/>
        </w:rPr>
        <w:t xml:space="preserve">-أنّه لم یقدح فی تشبّث فاطمة علیها السّلام بالید، دعواها علیها السّلام </w:t>
      </w:r>
      <w:r>
        <w:rPr>
          <w:rStyle w:val="FootnoteReference"/>
        </w:rPr>
        <w:footnoteReference w:id="2519"/>
      </w:r>
      <w:r>
        <w:rPr>
          <w:rFonts w:ascii="IRNazanin" w:hAnsi="IRNazanin" w:eastAsia="IRNazanin" w:cs="IRNazanin"/>
          <w:lang w:bidi="fa-IR"/>
          <w:color w:val="111111"/>
          <w:sz w:val="28"/>
          <w:szCs w:val="28"/>
          <w:rtl/>
        </w:rPr>
        <w:t xml:space="preserve">تلقّی الملک من رسول اللّه صلی اللّه علیه و آله و سلّم،مع أنّه قد یقال:إنّها حینئذ صارت مدّعیة لا تنفعها الید.</w:t>
      </w:r>
    </w:p>
    <w:p>
      <w:pPr>
        <w:pStyle w:val="BookText"/>
      </w:pPr>
      <w:r>
        <w:rPr>
          <w:rFonts w:ascii="IRNazanin" w:hAnsi="IRNazanin" w:eastAsia="IRNazanin" w:cs="IRNazanin"/>
          <w:lang w:bidi="fa-IR"/>
          <w:color w:val="111111"/>
          <w:sz w:val="28"/>
          <w:szCs w:val="28"/>
          <w:rtl/>
        </w:rPr>
        <w:t xml:space="preserve">[شماره صفحه واقعی : 322]
</w:t>
      </w:r>
    </w:p>
    <w:p>
      <w:pPr>
        <w:sectPr>
          <w:footerReference w:type="default" r:id="rId834"/>
          <w:footnotePr>
            <w:numStart w:val="1"/>
            <w:numRestart w:val="eachPage"/>
          </w:footnotePr>
          <w:pgSz w:orient="portrait" w:w="11905.511811023622" w:h="16837.79527559055"/>
          <w:pgMar w:top="1440" w:right="1440" w:bottom="1440" w:left="1440" w:header="720" w:footer="720" w:gutter="0"/>
          <w:cols w:num="1" w:space="720"/>
        </w:sectPr>
      </w:pPr>
    </w:p>
    <w:bookmarkStart w:id="528" w:name="pg14411_143216"/>
    <w:bookmarkEnd w:id="528"/>
    <w:p>
      <w:pPr>
        <w:pStyle w:val="Heading6"/>
      </w:pPr>
      <w:bookmarkStart w:id="2074" w:name="_Toc1109"/>
      <w:r>
        <w:t>[«الید»علی تقدیر کونها من الاصول مقدّمة علی الاستصحاب و إن جعلناه من الأمارات:]</w:t>
      </w:r>
      <w:bookmarkEnd w:id="2074"/>
    </w:p>
    <w:p>
      <w:pPr>
        <w:pStyle w:val="BookText"/>
      </w:pPr>
      <w:r>
        <w:rPr>
          <w:rFonts w:ascii="IRNazanin" w:hAnsi="IRNazanin" w:eastAsia="IRNazanin" w:cs="IRNazanin"/>
          <w:lang w:bidi="fa-IR"/>
          <w:color w:val="111111"/>
          <w:sz w:val="28"/>
          <w:szCs w:val="28"/>
          <w:rtl/>
        </w:rPr>
        <w:t xml:space="preserve">و کیف کان،فالید علی تقدیر کونها من الاصول التعبّدیّة أیضا مقدّمة علی الاستصحاب و إن جعلناه من الأمارات الظنّیّة؛لأنّ الشارع نصبها فی مورد الاستصحاب.و إن شئت قلت:إنّ دلیلها أخصّ من عمومات الاستصحاب </w:t>
      </w:r>
      <w:r>
        <w:rPr>
          <w:rStyle w:val="FootnoteReference"/>
        </w:rPr>
        <w:footnoteReference w:id="25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هذا،مع أنّ الظاهر من الفتوی و النصّ الوارد فی الید-مثل روایة حفص بن غیاث </w:t>
      </w:r>
      <w:r>
        <w:rPr>
          <w:rStyle w:val="FootnoteReference"/>
        </w:rPr>
        <w:footnoteReference w:id="2521"/>
      </w:r>
      <w:r>
        <w:rPr>
          <w:rFonts w:ascii="IRNazanin" w:hAnsi="IRNazanin" w:eastAsia="IRNazanin" w:cs="IRNazanin"/>
          <w:lang w:bidi="fa-IR"/>
          <w:color w:val="111111"/>
          <w:sz w:val="28"/>
          <w:szCs w:val="28"/>
          <w:rtl/>
        </w:rPr>
        <w:t xml:space="preserve">-أنّ اعتبار الید أمر کان مبنی عمل الناس فی امورهم و قد أمضاه الشارع،و لا یخفی أنّ عمل العرف علیها من باب الأمارة،لا من باب الأصل التعبّدیّ.</w:t>
      </w:r>
    </w:p>
    <w:p>
      <w:pPr>
        <w:pStyle w:val="Heading6"/>
      </w:pPr>
      <w:bookmarkStart w:id="2075" w:name="_Toc1110"/>
      <w:r>
        <w:t>[تقدّم البیّنة علی«الید»و الوجه فی ذلک:]</w:t>
      </w:r>
      <w:bookmarkEnd w:id="2075"/>
    </w:p>
    <w:p>
      <w:pPr>
        <w:pStyle w:val="BookText"/>
      </w:pPr>
      <w:r>
        <w:rPr>
          <w:rFonts w:ascii="IRNazanin" w:hAnsi="IRNazanin" w:eastAsia="IRNazanin" w:cs="IRNazanin"/>
          <w:lang w:bidi="fa-IR"/>
          <w:color w:val="111111"/>
          <w:sz w:val="28"/>
          <w:szCs w:val="28"/>
          <w:rtl/>
        </w:rPr>
        <w:t xml:space="preserve">و أمّا تقدیم البیّنة علی الید و عدم ملاحظة التعارض بینهما أصلا، فلا یکشف عن کونها من الاصول؛لأنّ الید إنّما جعلت أمارة علی الملک عند الجهل بسببها،و البیّنة مبیّنة لسببها.</w:t>
      </w:r>
    </w:p>
    <w:p>
      <w:pPr>
        <w:pStyle w:val="BookText"/>
      </w:pPr>
      <w:r>
        <w:rPr>
          <w:rFonts w:ascii="IRNazanin" w:hAnsi="IRNazanin" w:eastAsia="IRNazanin" w:cs="IRNazanin"/>
          <w:lang w:bidi="fa-IR"/>
          <w:color w:val="111111"/>
          <w:sz w:val="28"/>
          <w:szCs w:val="28"/>
          <w:rtl/>
        </w:rPr>
        <w:t xml:space="preserve">و السرّ فی ذلک:أنّ مستند الکشف فی الید هی الغلبة،و الغلبة إنّما توجب إلحاق المشکوک بالأعمّ الأغلب،فإذا کان فی مورد الشکّ أمارة معتبرة تزیل الشکّ،فلا یبقی مورد للإلحاق؛و لذا کانت جمیع الأمارات فی أنفسها مقدّمة علی الغلبة.و حال الید مع البیّنة </w:t>
      </w:r>
      <w:r>
        <w:rPr>
          <w:rStyle w:val="FootnoteReference"/>
        </w:rPr>
        <w:footnoteReference w:id="2522"/>
      </w:r>
      <w:r>
        <w:rPr>
          <w:rFonts w:ascii="IRNazanin" w:hAnsi="IRNazanin" w:eastAsia="IRNazanin" w:cs="IRNazanin"/>
          <w:lang w:bidi="fa-IR"/>
          <w:color w:val="111111"/>
          <w:sz w:val="28"/>
          <w:szCs w:val="28"/>
          <w:rtl/>
        </w:rPr>
        <w:t xml:space="preserve">حال أصالة الحقیقة فی الاستعمال علی مذهب السیّد </w:t>
      </w:r>
      <w:r>
        <w:rPr>
          <w:rStyle w:val="FootnoteReference"/>
        </w:rPr>
        <w:footnoteReference w:id="2523"/>
      </w:r>
      <w:r>
        <w:rPr>
          <w:rFonts w:ascii="IRNazanin" w:hAnsi="IRNazanin" w:eastAsia="IRNazanin" w:cs="IRNazanin"/>
          <w:lang w:bidi="fa-IR"/>
          <w:color w:val="111111"/>
          <w:sz w:val="28"/>
          <w:szCs w:val="28"/>
          <w:rtl/>
        </w:rPr>
        <w:t xml:space="preserve">مع أمارات المجاز،بل حال مطلق الظاهر و النصّ،فافهم.</w:t>
      </w:r>
    </w:p>
    <w:p>
      <w:pPr>
        <w:pStyle w:val="BookText"/>
      </w:pPr>
      <w:r>
        <w:rPr>
          <w:rFonts w:ascii="IRNazanin" w:hAnsi="IRNazanin" w:eastAsia="IRNazanin" w:cs="IRNazanin"/>
          <w:lang w:bidi="fa-IR"/>
          <w:color w:val="111111"/>
          <w:sz w:val="28"/>
          <w:szCs w:val="28"/>
          <w:rtl/>
        </w:rPr>
        <w:t xml:space="preserve">[شماره صفحه واقعی : 323]
</w:t>
      </w:r>
    </w:p>
    <w:p>
      <w:pPr>
        <w:sectPr>
          <w:footerReference w:type="default" r:id="rId8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324]
</w:t>
      </w:r>
    </w:p>
    <w:p>
      <w:pPr>
        <w:sectPr>
          <w:footerReference w:type="default" r:id="rId836"/>
          <w:footnotePr>
            <w:numStart w:val="1"/>
            <w:numRestart w:val="eachPage"/>
          </w:footnotePr>
          <w:pgSz w:orient="portrait" w:w="11905.511811023622" w:h="16837.79527559055"/>
          <w:pgMar w:top="1440" w:right="1440" w:bottom="1440" w:left="1440" w:header="720" w:footer="720" w:gutter="0"/>
          <w:cols w:num="1" w:space="720"/>
        </w:sectPr>
      </w:pPr>
    </w:p>
    <w:bookmarkStart w:id="529" w:name="pg14411_143218"/>
    <w:bookmarkEnd w:id="529"/>
    <w:p>
      <w:pPr>
        <w:pStyle w:val="Heading6"/>
      </w:pPr>
      <w:bookmarkStart w:id="2076" w:name="_Toc1111"/>
      <w:r>
        <w:t>المسألة الثانیة [:فی قاعدة«الفراغ و التجاوز»]</w:t>
      </w:r>
      <w:bookmarkEnd w:id="2076"/>
    </w:p>
    <w:p>
      <w:pPr>
        <w:pStyle w:val="Heading6"/>
      </w:pPr>
      <w:bookmarkStart w:id="2077" w:name="_Toc1112"/>
      <w:r>
        <w:t>[تقدّم قاعدة«الفراغ و التجاوز»علی الاستصحاب و الاستدلال علیه]</w:t>
      </w:r>
      <w:bookmarkEnd w:id="2077"/>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فی أنّ أصالة الصحّة فی العمل بعد الفراغ عنه لا یعارض بها الاستصحاب:</w:t>
      </w:r>
    </w:p>
    <w:p>
      <w:pPr>
        <w:pStyle w:val="BookText"/>
      </w:pPr>
      <w:r>
        <w:rPr>
          <w:rFonts w:ascii="IRNazanin" w:hAnsi="IRNazanin" w:eastAsia="IRNazanin" w:cs="IRNazanin"/>
          <w:lang w:bidi="fa-IR"/>
          <w:color w:val="111111"/>
          <w:sz w:val="28"/>
          <w:szCs w:val="28"/>
          <w:rtl/>
        </w:rPr>
        <w:t xml:space="preserve">إمّا لکونها من الأمارات؛کما یشعر به قوله علیه السّلام-فی بعض روایات ذلک </w:t>
      </w:r>
      <w:r>
        <w:rPr>
          <w:rStyle w:val="FootnoteReference"/>
        </w:rPr>
        <w:footnoteReference w:id="2524"/>
      </w:r>
      <w:r>
        <w:rPr>
          <w:rFonts w:ascii="IRNazanin" w:hAnsi="IRNazanin" w:eastAsia="IRNazanin" w:cs="IRNazanin"/>
          <w:lang w:bidi="fa-IR"/>
          <w:color w:val="111111"/>
          <w:sz w:val="28"/>
          <w:szCs w:val="28"/>
          <w:rtl/>
        </w:rPr>
        <w:t xml:space="preserve">الأصل-:«هو حین یتوضّأ أذکر منه حین یشکّ» </w:t>
      </w:r>
      <w:r>
        <w:rPr>
          <w:rStyle w:val="FootnoteReference"/>
        </w:rPr>
        <w:footnoteReference w:id="25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إمّا لأنّها و إن کانت من الاصول إلاّ أنّ الأمر بالأخذ بها فی مورد الاستصحاب یدلّ علی تقدیمها علیه،فهی خاصّة بالنسبة إلیه، یخصّص بأدلّتها أدلّته،و لا إشکال فی شیء من ذلک.</w:t>
      </w:r>
    </w:p>
    <w:p>
      <w:pPr>
        <w:pStyle w:val="BookText"/>
      </w:pPr>
      <w:r>
        <w:rPr>
          <w:rFonts w:ascii="IRNazanin" w:hAnsi="IRNazanin" w:eastAsia="IRNazanin" w:cs="IRNazanin"/>
          <w:lang w:bidi="fa-IR"/>
          <w:color w:val="111111"/>
          <w:sz w:val="28"/>
          <w:szCs w:val="28"/>
          <w:rtl/>
        </w:rPr>
        <w:t xml:space="preserve">إنّما الإشکال فی تعیین مورد ذلک الأصل من وجهین:</w:t>
      </w:r>
    </w:p>
    <w:p>
      <w:pPr>
        <w:pStyle w:val="BookText"/>
      </w:pPr>
      <w:r>
        <w:rPr>
          <w:rFonts w:ascii="IRNazanin" w:hAnsi="IRNazanin" w:eastAsia="IRNazanin" w:cs="IRNazanin"/>
          <w:lang w:bidi="fa-IR"/>
          <w:color w:val="111111"/>
          <w:sz w:val="28"/>
          <w:szCs w:val="28"/>
          <w:rtl/>
        </w:rPr>
        <w:t xml:space="preserve">أحدهما:من جهة تعیین معنی«الفراغ»و«التجاوز»المعتبر فی الحکم بالصحّة،و أنّه هل یکتفی به،أو یعتبر الدخول فی غیره؟و أنّ المراد بالغیر ما هو؟</w:t>
      </w:r>
    </w:p>
    <w:p>
      <w:pPr>
        <w:pStyle w:val="BookText"/>
      </w:pPr>
      <w:r>
        <w:rPr>
          <w:rFonts w:ascii="IRNazanin" w:hAnsi="IRNazanin" w:eastAsia="IRNazanin" w:cs="IRNazanin"/>
          <w:lang w:bidi="fa-IR"/>
          <w:color w:val="111111"/>
          <w:sz w:val="28"/>
          <w:szCs w:val="28"/>
          <w:rtl/>
        </w:rPr>
        <w:t xml:space="preserve">الثانی:من جهة أنّ الشکّ فی وصف الصحّة للشیء،ملحق</w:t>
      </w:r>
    </w:p>
    <w:p>
      <w:pPr>
        <w:pStyle w:val="BookText"/>
      </w:pPr>
      <w:r>
        <w:rPr>
          <w:rFonts w:ascii="IRNazanin" w:hAnsi="IRNazanin" w:eastAsia="IRNazanin" w:cs="IRNazanin"/>
          <w:lang w:bidi="fa-IR"/>
          <w:color w:val="111111"/>
          <w:sz w:val="28"/>
          <w:szCs w:val="28"/>
          <w:rtl/>
        </w:rPr>
        <w:t xml:space="preserve">[شماره صفحه واقعی : 325]
</w:t>
      </w:r>
    </w:p>
    <w:p>
      <w:pPr>
        <w:sectPr>
          <w:footerReference w:type="default" r:id="rId837"/>
          <w:footnotePr>
            <w:numStart w:val="1"/>
            <w:numRestart w:val="eachPage"/>
          </w:footnotePr>
          <w:pgSz w:orient="portrait" w:w="11905.511811023622" w:h="16837.79527559055"/>
          <w:pgMar w:top="1440" w:right="1440" w:bottom="1440" w:left="1440" w:header="720" w:footer="720" w:gutter="0"/>
          <w:cols w:num="1" w:space="720"/>
        </w:sectPr>
      </w:pPr>
    </w:p>
    <w:bookmarkStart w:id="530" w:name="pg14411_143219"/>
    <w:bookmarkEnd w:id="530"/>
    <w:p>
      <w:pPr>
        <w:pStyle w:val="BookText"/>
      </w:pPr>
      <w:r>
        <w:rPr>
          <w:rFonts w:ascii="IRNazanin" w:hAnsi="IRNazanin" w:eastAsia="IRNazanin" w:cs="IRNazanin"/>
          <w:lang w:bidi="fa-IR"/>
          <w:color w:val="111111"/>
          <w:sz w:val="28"/>
          <w:szCs w:val="28"/>
          <w:rtl/>
        </w:rPr>
        <w:t xml:space="preserve">بالشکّ فی أصل الشیء أم لا؟</w:t>
      </w:r>
    </w:p>
    <w:p>
      <w:pPr>
        <w:pStyle w:val="Heading6"/>
      </w:pPr>
      <w:bookmarkStart w:id="2078" w:name="_Toc1113"/>
      <w:r>
        <w:t>[أخبار القاعدة:]</w:t>
      </w:r>
      <w:bookmarkEnd w:id="2078"/>
    </w:p>
    <w:p>
      <w:pPr>
        <w:pStyle w:val="BookText"/>
      </w:pPr>
      <w:r>
        <w:rPr>
          <w:rFonts w:ascii="IRNazanin" w:hAnsi="IRNazanin" w:eastAsia="IRNazanin" w:cs="IRNazanin"/>
          <w:lang w:bidi="fa-IR"/>
          <w:color w:val="111111"/>
          <w:sz w:val="28"/>
          <w:szCs w:val="28"/>
          <w:rtl/>
        </w:rPr>
        <w:t xml:space="preserve">و توضیح الإشکال من الوجهین موقوف علی ذکر الأخبار الواردة فی هذه القاعدة،لیزول ببرکة تلک الأخبار کلّ شبهة حدثت أو تحدث فی هذا المضمار،فنقول </w:t>
      </w:r>
      <w:r>
        <w:rPr>
          <w:rStyle w:val="FootnoteReference"/>
        </w:rPr>
        <w:footnoteReference w:id="2526"/>
      </w:r>
      <w:r>
        <w:rPr>
          <w:rFonts w:ascii="IRNazanin" w:hAnsi="IRNazanin" w:eastAsia="IRNazanin" w:cs="IRNazanin"/>
          <w:lang w:bidi="fa-IR"/>
          <w:color w:val="111111"/>
          <w:sz w:val="28"/>
          <w:szCs w:val="28"/>
          <w:rtl/>
        </w:rPr>
        <w:t xml:space="preserve">مستعینا باللّه:</w:t>
      </w:r>
    </w:p>
    <w:p>
      <w:pPr>
        <w:pStyle w:val="Heading6"/>
      </w:pPr>
      <w:bookmarkStart w:id="2079" w:name="_Toc1114"/>
      <w:r>
        <w:t>[1-الأخبار العامّة:]</w:t>
      </w:r>
      <w:bookmarkEnd w:id="2079"/>
    </w:p>
    <w:p>
      <w:pPr>
        <w:pStyle w:val="BookText"/>
      </w:pPr>
      <w:r>
        <w:rPr>
          <w:rFonts w:ascii="IRNazanin" w:hAnsi="IRNazanin" w:eastAsia="IRNazanin" w:cs="IRNazanin"/>
          <w:lang w:bidi="fa-IR"/>
          <w:color w:val="111111"/>
          <w:sz w:val="28"/>
          <w:szCs w:val="28"/>
          <w:rtl/>
        </w:rPr>
        <w:t xml:space="preserve">روی زرارة-فی الصحیح-عن أبی عبد اللّه علیه السّلام،قال:«إذا خرجت من شیء و دخلت فی غیره فشکّک لیس بشیء» </w:t>
      </w:r>
      <w:r>
        <w:rPr>
          <w:rStyle w:val="FootnoteReference"/>
        </w:rPr>
        <w:footnoteReference w:id="25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إسماعیل بن جابر عن أبی عبد اللّه علیه السّلام قال:«إن شکّ فی الرکوع بعد ما سجد فلیمض،و إن شکّ فی السّجود بعد ما قام فلیمض، کلّ شیء شکّ فیه و قد جاوزه و دخل فی غیره فلیمض علیه» </w:t>
      </w:r>
      <w:r>
        <w:rPr>
          <w:rStyle w:val="FootnoteReference"/>
        </w:rPr>
        <w:footnoteReference w:id="25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هاتان الروایتان ظاهرتان فی اعتبار الدخول فی غیر المشکوک.</w:t>
      </w:r>
    </w:p>
    <w:p>
      <w:pPr>
        <w:pStyle w:val="BookText"/>
      </w:pPr>
      <w:r>
        <w:rPr>
          <w:rFonts w:ascii="IRNazanin" w:hAnsi="IRNazanin" w:eastAsia="IRNazanin" w:cs="IRNazanin"/>
          <w:lang w:bidi="fa-IR"/>
          <w:color w:val="111111"/>
          <w:sz w:val="28"/>
          <w:szCs w:val="28"/>
          <w:rtl/>
        </w:rPr>
        <w:t xml:space="preserve">و فی الموثّقة:«کلّ ما شککت فیه ممّا قد مضی فامضه کما هو» </w:t>
      </w:r>
      <w:r>
        <w:rPr>
          <w:rStyle w:val="FootnoteReference"/>
        </w:rPr>
        <w:footnoteReference w:id="25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هذه الموثّقة ظاهرة فی عدم اعتبار الدخول فی الغیر.</w:t>
      </w:r>
    </w:p>
    <w:p>
      <w:pPr>
        <w:pStyle w:val="BookText"/>
      </w:pPr>
      <w:r>
        <w:rPr>
          <w:rFonts w:ascii="IRNazanin" w:hAnsi="IRNazanin" w:eastAsia="IRNazanin" w:cs="IRNazanin"/>
          <w:lang w:bidi="fa-IR"/>
          <w:color w:val="111111"/>
          <w:sz w:val="28"/>
          <w:szCs w:val="28"/>
          <w:rtl/>
        </w:rPr>
        <w:t xml:space="preserve">و فی موثّقة ابن أبی یعفور:«إذا شککت فی شیء من الوضوء</w:t>
      </w:r>
    </w:p>
    <w:p>
      <w:pPr>
        <w:pStyle w:val="BookText"/>
      </w:pPr>
      <w:r>
        <w:rPr>
          <w:rFonts w:ascii="IRNazanin" w:hAnsi="IRNazanin" w:eastAsia="IRNazanin" w:cs="IRNazanin"/>
          <w:lang w:bidi="fa-IR"/>
          <w:color w:val="111111"/>
          <w:sz w:val="28"/>
          <w:szCs w:val="28"/>
          <w:rtl/>
        </w:rPr>
        <w:t xml:space="preserve">[شماره صفحه واقعی : 326]
</w:t>
      </w:r>
    </w:p>
    <w:p>
      <w:pPr>
        <w:sectPr>
          <w:footerReference w:type="default" r:id="rId838"/>
          <w:footnotePr>
            <w:numStart w:val="1"/>
            <w:numRestart w:val="eachPage"/>
          </w:footnotePr>
          <w:pgSz w:orient="portrait" w:w="11905.511811023622" w:h="16837.79527559055"/>
          <w:pgMar w:top="1440" w:right="1440" w:bottom="1440" w:left="1440" w:header="720" w:footer="720" w:gutter="0"/>
          <w:cols w:num="1" w:space="720"/>
        </w:sectPr>
      </w:pPr>
    </w:p>
    <w:bookmarkStart w:id="531" w:name="pg14411_143220"/>
    <w:bookmarkEnd w:id="531"/>
    <w:p>
      <w:pPr>
        <w:pStyle w:val="BookText"/>
      </w:pPr>
      <w:r>
        <w:rPr>
          <w:rFonts w:ascii="IRNazanin" w:hAnsi="IRNazanin" w:eastAsia="IRNazanin" w:cs="IRNazanin"/>
          <w:lang w:bidi="fa-IR"/>
          <w:color w:val="111111"/>
          <w:sz w:val="28"/>
          <w:szCs w:val="28"/>
          <w:rtl/>
        </w:rPr>
        <w:t xml:space="preserve">و قد دخلت فی غیره فشکّک لیس بشیء </w:t>
      </w:r>
      <w:r>
        <w:rPr>
          <w:rStyle w:val="FootnoteReference"/>
        </w:rPr>
        <w:footnoteReference w:id="2530"/>
      </w:r>
      <w:r>
        <w:rPr>
          <w:rFonts w:ascii="Amiri" w:hAnsi="Amiri" w:eastAsia="Amiri" w:cs="Amiri"/>
          <w:lang w:bidi="ar-SA"/>
          <w:color w:val="111111"/>
          <w:sz w:val="28"/>
          <w:szCs w:val="28"/>
          <w:rtl/>
        </w:rPr>
        <w:t xml:space="preserve">،إنّما الشّکّ إذا کنت فی شیء لم تجزه» </w:t>
      </w:r>
      <w:r>
        <w:rPr>
          <w:rStyle w:val="FootnoteReference"/>
        </w:rPr>
        <w:footnoteReference w:id="25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ظاهر صدر هذه الموثّقة کالاولیین،و ظاهر عجزها کالثالثة.</w:t>
      </w:r>
    </w:p>
    <w:p>
      <w:pPr>
        <w:pStyle w:val="BookText"/>
      </w:pPr>
      <w:r>
        <w:rPr>
          <w:rFonts w:ascii="IRNazanin" w:hAnsi="IRNazanin" w:eastAsia="IRNazanin" w:cs="IRNazanin"/>
          <w:lang w:bidi="fa-IR"/>
          <w:color w:val="111111"/>
          <w:sz w:val="28"/>
          <w:szCs w:val="28"/>
          <w:rtl/>
        </w:rPr>
        <w:t xml:space="preserve">هذه تمام ما وصل إلینا من الأخبار العامّة.</w:t>
      </w:r>
    </w:p>
    <w:p>
      <w:pPr>
        <w:pStyle w:val="Heading6"/>
      </w:pPr>
      <w:bookmarkStart w:id="2080" w:name="_Toc1115"/>
      <w:r>
        <w:t>[2-الأخبار الخاصّة:]</w:t>
      </w:r>
      <w:bookmarkEnd w:id="2080"/>
    </w:p>
    <w:p>
      <w:pPr>
        <w:pStyle w:val="BookText"/>
      </w:pPr>
      <w:r>
        <w:rPr>
          <w:rFonts w:ascii="IRNazanin" w:hAnsi="IRNazanin" w:eastAsia="IRNazanin" w:cs="IRNazanin"/>
          <w:lang w:bidi="fa-IR"/>
          <w:color w:val="111111"/>
          <w:sz w:val="28"/>
          <w:szCs w:val="28"/>
          <w:rtl/>
        </w:rPr>
        <w:t xml:space="preserve">و ربما یستفاد العموم من بعض ما ورد فی الموارد الخاصّة،مثل:</w:t>
      </w:r>
    </w:p>
    <w:p>
      <w:pPr>
        <w:pStyle w:val="BookText"/>
      </w:pPr>
      <w:r>
        <w:rPr>
          <w:rFonts w:ascii="IRNazanin" w:hAnsi="IRNazanin" w:eastAsia="IRNazanin" w:cs="IRNazanin"/>
          <w:lang w:bidi="fa-IR"/>
          <w:color w:val="111111"/>
          <w:sz w:val="28"/>
          <w:szCs w:val="28"/>
          <w:rtl/>
        </w:rPr>
        <w:t xml:space="preserve">قوله علیه السّلام فی الشکّ فی فعل الصلاة بعد خروج الوقت،من قوله علیه السّلام </w:t>
      </w:r>
      <w:r>
        <w:rPr>
          <w:rStyle w:val="FootnoteReference"/>
        </w:rPr>
        <w:footnoteReference w:id="25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إن کان بعد ما خرج وقتها فقد دخل حائل فلا إعادة» </w:t>
      </w:r>
      <w:r>
        <w:rPr>
          <w:rStyle w:val="FootnoteReference"/>
        </w:rPr>
        <w:footnoteReference w:id="25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قوله علیه السّلام:«کلّ ما مضی من صلاتک و طهورک فذکرته تذکّرا فأمضه کما هو» </w:t>
      </w:r>
      <w:r>
        <w:rPr>
          <w:rStyle w:val="FootnoteReference"/>
        </w:rPr>
        <w:footnoteReference w:id="25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قوله علیه السّلام فی من شکّ فی الوضوء بعد ما فرغ:«هو حین یتوضّأ أذکر منه حین یشکّ» </w:t>
      </w:r>
      <w:r>
        <w:rPr>
          <w:rStyle w:val="FootnoteReference"/>
        </w:rPr>
        <w:footnoteReference w:id="25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لعلّ المتتبّع یعثر علی أزید من ذلک </w:t>
      </w:r>
      <w:r>
        <w:rPr>
          <w:rStyle w:val="FootnoteReference"/>
        </w:rPr>
        <w:footnoteReference w:id="25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327]
</w:t>
      </w:r>
    </w:p>
    <w:p>
      <w:pPr>
        <w:sectPr>
          <w:footerReference w:type="default" r:id="rId839"/>
          <w:footnotePr>
            <w:numStart w:val="1"/>
            <w:numRestart w:val="eachPage"/>
          </w:footnotePr>
          <w:pgSz w:orient="portrait" w:w="11905.511811023622" w:h="16837.79527559055"/>
          <w:pgMar w:top="1440" w:right="1440" w:bottom="1440" w:left="1440" w:header="720" w:footer="720" w:gutter="0"/>
          <w:cols w:num="1" w:space="720"/>
        </w:sectPr>
      </w:pPr>
    </w:p>
    <w:bookmarkStart w:id="532" w:name="pg14411_143221"/>
    <w:bookmarkEnd w:id="532"/>
    <w:p>
      <w:pPr>
        <w:pStyle w:val="Heading6"/>
      </w:pPr>
      <w:bookmarkStart w:id="2081" w:name="_Toc1116"/>
      <w:r>
        <w:t>[تنقیح مضامین الأخبار:]</w:t>
      </w:r>
      <w:bookmarkEnd w:id="2081"/>
    </w:p>
    <w:p>
      <w:pPr>
        <w:pStyle w:val="BookText"/>
      </w:pPr>
      <w:r>
        <w:rPr>
          <w:rFonts w:ascii="IRNazanin" w:hAnsi="IRNazanin" w:eastAsia="IRNazanin" w:cs="IRNazanin"/>
          <w:lang w:bidi="fa-IR"/>
          <w:color w:val="111111"/>
          <w:sz w:val="28"/>
          <w:szCs w:val="28"/>
          <w:rtl/>
        </w:rPr>
        <w:t xml:space="preserve">و حیث إنّ مضمونها لا یختصّ بالطهارة و الصلاة،بل یجری فی غیرهما-کالحجّ-فالمناسب الاهتمام فی تنقیح مضامینها و دفع ما یتراءی من التعارض بینها-فنقول مستعینا باللّه،فإنّه ولیّ التوفیق.</w:t>
      </w:r>
    </w:p>
    <w:p>
      <w:pPr>
        <w:pStyle w:val="BookText"/>
      </w:pPr>
      <w:r>
        <w:rPr>
          <w:rFonts w:ascii="IRNazanin" w:hAnsi="IRNazanin" w:eastAsia="IRNazanin" w:cs="IRNazanin"/>
          <w:lang w:bidi="fa-IR"/>
          <w:color w:val="111111"/>
          <w:sz w:val="28"/>
          <w:szCs w:val="28"/>
          <w:rtl/>
        </w:rPr>
        <w:t xml:space="preserve">إنّ الکلام یقع فی مواضع-:</w:t>
      </w:r>
    </w:p>
    <w:p>
      <w:pPr>
        <w:pStyle w:val="BookText"/>
      </w:pPr>
      <w:r>
        <w:rPr>
          <w:rFonts w:ascii="IRNazanin" w:hAnsi="IRNazanin" w:eastAsia="IRNazanin" w:cs="IRNazanin"/>
          <w:lang w:bidi="fa-IR"/>
          <w:color w:val="111111"/>
          <w:sz w:val="28"/>
          <w:szCs w:val="28"/>
          <w:rtl/>
        </w:rPr>
        <w:t xml:space="preserve">[شماره صفحه واقعی : 328]
</w:t>
      </w:r>
    </w:p>
    <w:p>
      <w:pPr>
        <w:sectPr>
          <w:footerReference w:type="default" r:id="rId840"/>
          <w:footnotePr>
            <w:numStart w:val="1"/>
            <w:numRestart w:val="eachPage"/>
          </w:footnotePr>
          <w:pgSz w:orient="portrait" w:w="11905.511811023622" w:h="16837.79527559055"/>
          <w:pgMar w:top="1440" w:right="1440" w:bottom="1440" w:left="1440" w:header="720" w:footer="720" w:gutter="0"/>
          <w:cols w:num="1" w:space="720"/>
        </w:sectPr>
      </w:pPr>
    </w:p>
    <w:bookmarkStart w:id="533" w:name="pg14411_143222"/>
    <w:bookmarkEnd w:id="533"/>
    <w:p>
      <w:pPr>
        <w:pStyle w:val="Heading6"/>
      </w:pPr>
      <w:bookmarkStart w:id="2082" w:name="_Toc1117"/>
      <w:r>
        <w:t>الموضع الأوّل [:ما هو المراد من«الشکّ فی الشیء»؟]</w:t>
      </w:r>
      <w:bookmarkEnd w:id="2082"/>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أنّ الشکّ فی الشیء ظاهر-لغة و عرفا-فی الشکّ فی وجوده،إلاّ أنّ تقیید ذلک فی الروایات بالخروج عنه و مضیّه و التجاوز عنه،ربما یصیر قرینة علی إرادة کون وجود أصل الشیء مفروغا عنه،و کون الشکّ فیه باعتبار الشکّ فی بعض ما یعتبر فیه شرطا أو شطرا.</w:t>
      </w:r>
    </w:p>
    <w:p>
      <w:pPr>
        <w:pStyle w:val="BookText"/>
      </w:pPr>
      <w:r>
        <w:rPr>
          <w:rFonts w:ascii="IRNazanin" w:hAnsi="IRNazanin" w:eastAsia="IRNazanin" w:cs="IRNazanin"/>
          <w:lang w:bidi="fa-IR"/>
          <w:color w:val="111111"/>
          <w:sz w:val="28"/>
          <w:szCs w:val="28"/>
          <w:rtl/>
        </w:rPr>
        <w:t xml:space="preserve">نعم لو ارید الخروج و التجاوز عن محلّه،أمکن إرادة المعنی الظاهر من الشکّ فی الشیء.و هذا هو المتعیّن؛لأنّ إرادة الأعمّ من الشکّ فی وجود الشیء و الشکّ الواقع فی الشیء الموجود،فی استعمال واحد </w:t>
      </w:r>
      <w:r>
        <w:rPr>
          <w:rStyle w:val="FootnoteReference"/>
        </w:rPr>
        <w:footnoteReference w:id="2537"/>
      </w:r>
      <w:r>
        <w:rPr>
          <w:rFonts w:ascii="IRNazanin" w:hAnsi="IRNazanin" w:eastAsia="IRNazanin" w:cs="IRNazanin"/>
          <w:lang w:bidi="fa-IR"/>
          <w:color w:val="111111"/>
          <w:sz w:val="28"/>
          <w:szCs w:val="28"/>
          <w:rtl/>
        </w:rPr>
        <w:t xml:space="preserve">،غیر صحیح.و کذا إرادة خصوص الثانی؛لأنّ مورد غیر واحد من تلک الأخبار هو الأوّل.لکن یبعد ذلک فی ظاهر موثّقة محمّد ابن مسلم </w:t>
      </w:r>
      <w:r>
        <w:rPr>
          <w:rStyle w:val="FootnoteReference"/>
        </w:rPr>
        <w:footnoteReference w:id="2538"/>
      </w:r>
      <w:r>
        <w:rPr>
          <w:rFonts w:ascii="IRNazanin" w:hAnsi="IRNazanin" w:eastAsia="IRNazanin" w:cs="IRNazanin"/>
          <w:lang w:bidi="fa-IR"/>
          <w:color w:val="111111"/>
          <w:sz w:val="28"/>
          <w:szCs w:val="28"/>
          <w:rtl/>
        </w:rPr>
        <w:t xml:space="preserve">من جهة قوله:«فأمضه کما هو»،بل لا یصحّ ذلک فی موثّقة ابن أبی یعفور </w:t>
      </w:r>
      <w:r>
        <w:rPr>
          <w:rStyle w:val="FootnoteReference"/>
        </w:rPr>
        <w:footnoteReference w:id="2539"/>
      </w:r>
      <w:r>
        <w:rPr>
          <w:rFonts w:ascii="IRNazanin" w:hAnsi="IRNazanin" w:eastAsia="IRNazanin" w:cs="IRNazanin"/>
          <w:lang w:bidi="fa-IR"/>
          <w:color w:val="111111"/>
          <w:sz w:val="28"/>
          <w:szCs w:val="28"/>
          <w:rtl/>
        </w:rPr>
        <w:t xml:space="preserve">،کما لا یخفی.</w:t>
      </w:r>
    </w:p>
    <w:p>
      <w:pPr>
        <w:pStyle w:val="BookText"/>
      </w:pPr>
      <w:r>
        <w:rPr>
          <w:rFonts w:ascii="IRNazanin" w:hAnsi="IRNazanin" w:eastAsia="IRNazanin" w:cs="IRNazanin"/>
          <w:lang w:bidi="fa-IR"/>
          <w:color w:val="111111"/>
          <w:sz w:val="28"/>
          <w:szCs w:val="28"/>
          <w:rtl/>
        </w:rPr>
        <w:t xml:space="preserve">لکنّ الإنصاف:إمکان تطبیق موثّقة محمد بن مسلم علی ما فی الروایات،و أمّا هذه الموثّقة فسیأتی توجیهها علی وجه لا تعارض الروایات إن شاء اللّه تعالی </w:t>
      </w:r>
      <w:r>
        <w:rPr>
          <w:rStyle w:val="FootnoteReference"/>
        </w:rPr>
        <w:footnoteReference w:id="25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329]
</w:t>
      </w:r>
    </w:p>
    <w:p>
      <w:pPr>
        <w:sectPr>
          <w:footerReference w:type="default" r:id="rId841"/>
          <w:footnotePr>
            <w:numStart w:val="1"/>
            <w:numRestart w:val="eachPage"/>
          </w:footnotePr>
          <w:pgSz w:orient="portrait" w:w="11905.511811023622" w:h="16837.79527559055"/>
          <w:pgMar w:top="1440" w:right="1440" w:bottom="1440" w:left="1440" w:header="720" w:footer="720" w:gutter="0"/>
          <w:cols w:num="1" w:space="720"/>
        </w:sectPr>
      </w:pPr>
    </w:p>
    <w:bookmarkStart w:id="534" w:name="pg14411_143223"/>
    <w:bookmarkEnd w:id="534"/>
    <w:p>
      <w:pPr>
        <w:pStyle w:val="Heading6"/>
      </w:pPr>
      <w:bookmarkStart w:id="2083" w:name="_Toc1118"/>
      <w:r>
        <w:t>الموضع الثانی [:ما هو المراد من«محلّ الشیء المشکوک فیه»؟]</w:t>
      </w:r>
      <w:bookmarkEnd w:id="2083"/>
    </w:p>
    <w:p>
      <w:pPr>
        <w:pStyle w:val="BookText"/>
      </w:pPr>
      <w:r>
        <w:rPr>
          <w:rFonts w:ascii="IRNazanin" w:hAnsi="IRNazanin" w:eastAsia="IRNazanin" w:cs="IRNazanin"/>
          <w:lang w:bidi="fa-IR"/>
          <w:color w:val="111111"/>
          <w:sz w:val="28"/>
          <w:szCs w:val="28"/>
          <w:rtl/>
        </w:rPr>
        <w:t xml:space="preserve">أنّ المراد بمحلّ الفعل المشکوک فی وجوده هو الموضع الذی لو اتی به فیه لم یلزم منه اختلال فی الترتیب المقرّر.</w:t>
      </w:r>
    </w:p>
    <w:p>
      <w:pPr>
        <w:pStyle w:val="BookText"/>
      </w:pPr>
      <w:r>
        <w:rPr>
          <w:rFonts w:ascii="IRNazanin" w:hAnsi="IRNazanin" w:eastAsia="IRNazanin" w:cs="IRNazanin"/>
          <w:lang w:bidi="fa-IR"/>
          <w:color w:val="111111"/>
          <w:sz w:val="28"/>
          <w:szCs w:val="28"/>
          <w:rtl/>
        </w:rPr>
        <w:t xml:space="preserve">و بعبارة اخری:محلّ الشیء هی مرتبته المقرّرة له بحکم العقل،أو بوضع الشارع،أو غیره و لو کان نفس المکلّف؛من جهة اعتیاده بإتیان ذلک المشکوک فی ذلک المحلّ.</w:t>
      </w:r>
    </w:p>
    <w:p>
      <w:pPr>
        <w:pStyle w:val="BookText"/>
      </w:pPr>
      <w:r>
        <w:rPr>
          <w:rFonts w:ascii="IRNazanin" w:hAnsi="IRNazanin" w:eastAsia="IRNazanin" w:cs="IRNazanin"/>
          <w:lang w:bidi="fa-IR"/>
          <w:color w:val="111111"/>
          <w:sz w:val="28"/>
          <w:szCs w:val="28"/>
          <w:rtl/>
        </w:rPr>
        <w:t xml:space="preserve">فمحلّ تکبیرة الإحرام قبل الشروع فی الاستعاذة لأجل القراءة بحکم الشارع،و محلّ کلمة«أکبر»قبل تخلّل الفصل الطویل بینه و بین لفظ الجلالة بحکم الطریقة المألوفة فی نظم الکلام،و محلّ الراء من «أکبر»قبل أدنی فصل یوجب الابتداء بالساکن بحکم العقل،و محلّ غسل الجانب الأیسر أو بعضه فی غسل الجنابة لمن اعتاد الموالاة فیه </w:t>
      </w:r>
      <w:r>
        <w:rPr>
          <w:rStyle w:val="FootnoteReference"/>
        </w:rPr>
        <w:footnoteReference w:id="2541"/>
      </w:r>
      <w:r>
        <w:rPr>
          <w:rFonts w:ascii="IRNazanin" w:hAnsi="IRNazanin" w:eastAsia="IRNazanin" w:cs="IRNazanin"/>
          <w:lang w:bidi="fa-IR"/>
          <w:color w:val="111111"/>
          <w:sz w:val="28"/>
          <w:szCs w:val="28"/>
          <w:rtl/>
        </w:rPr>
        <w:t xml:space="preserve">قبل تخلّل فصل یخلّ بما اعتاده من الموالاة.</w:t>
      </w:r>
    </w:p>
    <w:p>
      <w:pPr>
        <w:pStyle w:val="BookText"/>
      </w:pPr>
      <w:r>
        <w:rPr>
          <w:rFonts w:ascii="Amiri" w:hAnsi="Amiri" w:eastAsia="Amiri" w:cs="Amiri"/>
          <w:lang w:bidi="ar-SA"/>
          <w:color w:val="111111"/>
          <w:sz w:val="28"/>
          <w:szCs w:val="28"/>
          <w:rtl/>
        </w:rPr>
        <w:t xml:space="preserve">هذا کلّه ممّا لا إشکال فیه،إلاّ الأخیر؛فإنّه ربما یتخیّل </w:t>
      </w:r>
      <w:r>
        <w:rPr>
          <w:rStyle w:val="FootnoteReference"/>
        </w:rPr>
        <w:footnoteReference w:id="2542"/>
      </w:r>
      <w:r>
        <w:rPr>
          <w:rFonts w:ascii="IRNazanin" w:hAnsi="IRNazanin" w:eastAsia="IRNazanin" w:cs="IRNazanin"/>
          <w:lang w:bidi="fa-IR"/>
          <w:color w:val="111111"/>
          <w:sz w:val="28"/>
          <w:szCs w:val="28"/>
          <w:rtl/>
        </w:rPr>
        <w:t xml:space="preserve">انصراف إطلاق الأخبار إلی غیره.</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مع أنّ فتح هذا الباب بالنسبة إلی العادة یوجب مخالفة إطلاقات کثیرة.فمن اعتاد الصلاة فی أوّل وقتها أو مع الجماعة،فشکّ فی فعلها بعد ذلک،فلا یجب علیه الفعل.و کذا من اعتاد فعل شیء بعد الفراغ من الصلاة فرأی نفسه فیه و شکّ فی فعل الصلاة.و کذا من اعتاد</w:t>
      </w:r>
    </w:p>
    <w:p>
      <w:pPr>
        <w:pStyle w:val="BookText"/>
      </w:pPr>
      <w:r>
        <w:rPr>
          <w:rFonts w:ascii="IRNazanin" w:hAnsi="IRNazanin" w:eastAsia="IRNazanin" w:cs="IRNazanin"/>
          <w:lang w:bidi="fa-IR"/>
          <w:color w:val="111111"/>
          <w:sz w:val="28"/>
          <w:szCs w:val="28"/>
          <w:rtl/>
        </w:rPr>
        <w:t xml:space="preserve">[شماره صفحه واقعی : 330]
</w:t>
      </w:r>
    </w:p>
    <w:p>
      <w:pPr>
        <w:sectPr>
          <w:footerReference w:type="default" r:id="rId8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الوضوء بعد الحدث بلا فصل یعتدّ به،أو قبل دخول الوقت للتهیّؤ، فشکّ بعد ذلک فی الوضوء.إلی غیر ذلک من الفروع التی یبعد التزام الفقیه بها.</w:t>
      </w:r>
    </w:p>
    <w:p>
      <w:pPr>
        <w:pStyle w:val="BookText"/>
      </w:pPr>
      <w:r>
        <w:rPr>
          <w:rFonts w:ascii="IRNazanin" w:hAnsi="IRNazanin" w:eastAsia="IRNazanin" w:cs="IRNazanin"/>
          <w:lang w:bidi="fa-IR"/>
          <w:color w:val="111111"/>
          <w:sz w:val="28"/>
          <w:szCs w:val="28"/>
          <w:rtl/>
        </w:rPr>
        <w:t xml:space="preserve">نعم ذکر جماعة من الأصحاب مسألة معتاد الموالاة فی غسل الجنابة إذا شکّ فی الجزء الأخیر،کالعلاّمة </w:t>
      </w:r>
      <w:r>
        <w:rPr>
          <w:rStyle w:val="FootnoteReference"/>
        </w:rPr>
        <w:footnoteReference w:id="2543"/>
      </w:r>
      <w:r>
        <w:rPr>
          <w:rFonts w:ascii="IRNazanin" w:hAnsi="IRNazanin" w:eastAsia="IRNazanin" w:cs="IRNazanin"/>
          <w:lang w:bidi="fa-IR"/>
          <w:color w:val="111111"/>
          <w:sz w:val="28"/>
          <w:szCs w:val="28"/>
          <w:rtl/>
        </w:rPr>
        <w:t xml:space="preserve">و ولده </w:t>
      </w:r>
      <w:r>
        <w:rPr>
          <w:rStyle w:val="FootnoteReference"/>
        </w:rPr>
        <w:footnoteReference w:id="2544"/>
      </w:r>
      <w:r>
        <w:rPr>
          <w:rFonts w:ascii="IRNazanin" w:hAnsi="IRNazanin" w:eastAsia="IRNazanin" w:cs="IRNazanin"/>
          <w:lang w:bidi="fa-IR"/>
          <w:color w:val="111111"/>
          <w:sz w:val="28"/>
          <w:szCs w:val="28"/>
          <w:rtl/>
        </w:rPr>
        <w:t xml:space="preserve">و الشهیدین </w:t>
      </w:r>
      <w:r>
        <w:rPr>
          <w:rStyle w:val="FootnoteReference"/>
        </w:rPr>
        <w:footnoteReference w:id="2545"/>
      </w:r>
      <w:r>
        <w:rPr>
          <w:rFonts w:ascii="IRNazanin" w:hAnsi="IRNazanin" w:eastAsia="IRNazanin" w:cs="IRNazanin"/>
          <w:lang w:bidi="fa-IR"/>
          <w:color w:val="111111"/>
          <w:sz w:val="28"/>
          <w:szCs w:val="28"/>
          <w:rtl/>
        </w:rPr>
        <w:t xml:space="preserve">و المحقّق الثانی </w:t>
      </w:r>
      <w:r>
        <w:rPr>
          <w:rStyle w:val="FootnoteReference"/>
        </w:rPr>
        <w:footnoteReference w:id="2546"/>
      </w:r>
      <w:r>
        <w:rPr>
          <w:rFonts w:ascii="IRNazanin" w:hAnsi="IRNazanin" w:eastAsia="IRNazanin" w:cs="IRNazanin"/>
          <w:lang w:bidi="fa-IR"/>
          <w:color w:val="111111"/>
          <w:sz w:val="28"/>
          <w:szCs w:val="28"/>
          <w:rtl/>
        </w:rPr>
        <w:t xml:space="preserve">و غیرهم </w:t>
      </w:r>
      <w:r>
        <w:rPr>
          <w:rStyle w:val="FootnoteReference"/>
        </w:rPr>
        <w:footnoteReference w:id="2547"/>
      </w:r>
      <w:r>
        <w:rPr>
          <w:rFonts w:ascii="Amiri" w:hAnsi="Amiri" w:eastAsia="Amiri" w:cs="Amiri"/>
          <w:lang w:bidi="ar-SA"/>
          <w:color w:val="111111"/>
          <w:sz w:val="28"/>
          <w:szCs w:val="28"/>
          <w:rtl/>
        </w:rPr>
        <w:t xml:space="preserve">قدّس اللّه أسرارهم.</w:t>
      </w:r>
    </w:p>
    <w:p>
      <w:pPr>
        <w:pStyle w:val="BookText"/>
      </w:pPr>
      <w:r>
        <w:rPr>
          <w:rFonts w:ascii="IRNazanin" w:hAnsi="IRNazanin" w:eastAsia="IRNazanin" w:cs="IRNazanin"/>
          <w:lang w:bidi="fa-IR"/>
          <w:color w:val="111111"/>
          <w:sz w:val="28"/>
          <w:szCs w:val="28"/>
          <w:rtl/>
        </w:rPr>
        <w:t xml:space="preserve">و استدلّ فخر الدین علی مختاره فی المسألة-بعد صحیحة زرارة المتقدّمة-:بأنّ خرق العادة علی خلاف الأصل </w:t>
      </w:r>
      <w:r>
        <w:rPr>
          <w:rStyle w:val="FootnoteReference"/>
        </w:rPr>
        <w:footnoteReference w:id="2548"/>
      </w:r>
      <w:r>
        <w:rPr>
          <w:rFonts w:ascii="IRNazanin" w:hAnsi="IRNazanin" w:eastAsia="IRNazanin" w:cs="IRNazanin"/>
          <w:lang w:bidi="fa-IR"/>
          <w:color w:val="111111"/>
          <w:sz w:val="28"/>
          <w:szCs w:val="28"/>
          <w:rtl/>
        </w:rPr>
        <w:t xml:space="preserve">.و لکن لا یحضرنی کلام منهم فی غیر هذا المقام،فلا بدّ من التتبّع و التأمّل.</w:t>
      </w:r>
    </w:p>
    <w:p>
      <w:pPr>
        <w:pStyle w:val="BookText"/>
      </w:pPr>
      <w:r>
        <w:rPr>
          <w:rFonts w:ascii="IRNazanin" w:hAnsi="IRNazanin" w:eastAsia="IRNazanin" w:cs="IRNazanin"/>
          <w:lang w:bidi="fa-IR"/>
          <w:color w:val="111111"/>
          <w:sz w:val="28"/>
          <w:szCs w:val="28"/>
          <w:rtl/>
        </w:rPr>
        <w:t xml:space="preserve">و الذی یقرب فی نفسی عاجلا هو الالتفات إلی الشکّ،و إن کان الظاهر من قوله علیه السّلام فیما تقدّم:«هو حین یتوضّأ أذکر منه حین یشکّ» </w:t>
      </w:r>
      <w:r>
        <w:rPr>
          <w:rStyle w:val="FootnoteReference"/>
        </w:rPr>
        <w:footnoteReference w:id="2549"/>
      </w:r>
      <w:r>
        <w:rPr>
          <w:rFonts w:ascii="IRNazanin" w:hAnsi="IRNazanin" w:eastAsia="IRNazanin" w:cs="IRNazanin"/>
          <w:lang w:bidi="fa-IR"/>
          <w:color w:val="111111"/>
          <w:sz w:val="28"/>
          <w:szCs w:val="28"/>
          <w:rtl/>
        </w:rPr>
        <w:t xml:space="preserve">،أنّ هذه القاعدة من باب تقدیم الظاهر علی الأصل،فهو دائر مدار الظهور النوعیّ و لو کان من العادة.لکنّ العمل بعموم ما یستفاد من الروایة أیضا مشکل،فتأمّل.و الأحوط ما ذکرنا.</w:t>
      </w:r>
    </w:p>
    <w:p>
      <w:pPr>
        <w:pStyle w:val="BookText"/>
      </w:pPr>
      <w:r>
        <w:rPr>
          <w:rFonts w:ascii="IRNazanin" w:hAnsi="IRNazanin" w:eastAsia="IRNazanin" w:cs="IRNazanin"/>
          <w:lang w:bidi="fa-IR"/>
          <w:color w:val="111111"/>
          <w:sz w:val="28"/>
          <w:szCs w:val="28"/>
          <w:rtl/>
        </w:rPr>
        <w:t xml:space="preserve">[شماره صفحه واقعی : 331]
</w:t>
      </w:r>
    </w:p>
    <w:p>
      <w:pPr>
        <w:sectPr>
          <w:footerReference w:type="default" r:id="rId843"/>
          <w:footnotePr>
            <w:numStart w:val="1"/>
            <w:numRestart w:val="eachPage"/>
          </w:footnotePr>
          <w:pgSz w:orient="portrait" w:w="11905.511811023622" w:h="16837.79527559055"/>
          <w:pgMar w:top="1440" w:right="1440" w:bottom="1440" w:left="1440" w:header="720" w:footer="720" w:gutter="0"/>
          <w:cols w:num="1" w:space="720"/>
        </w:sectPr>
      </w:pPr>
    </w:p>
    <w:bookmarkStart w:id="535" w:name="pg14411_143225"/>
    <w:bookmarkEnd w:id="535"/>
    <w:p>
      <w:pPr>
        <w:pStyle w:val="Heading6"/>
      </w:pPr>
      <w:bookmarkStart w:id="2084" w:name="_Toc1119"/>
      <w:r>
        <w:t>الموضع الثالث [هل یعتبر فی التجاوز و الفراغ الدخول فی الغیر،أم لا؟:]</w:t>
      </w:r>
      <w:bookmarkEnd w:id="2084"/>
    </w:p>
    <w:p>
      <w:pPr>
        <w:pStyle w:val="BookText"/>
      </w:pPr>
      <w:r>
        <w:rPr>
          <w:rFonts w:ascii="IRNazanin" w:hAnsi="IRNazanin" w:eastAsia="IRNazanin" w:cs="IRNazanin"/>
          <w:lang w:bidi="fa-IR"/>
          <w:color w:val="111111"/>
          <w:sz w:val="28"/>
          <w:szCs w:val="28"/>
          <w:rtl/>
        </w:rPr>
        <w:t xml:space="preserve">الدخول فی غیر المشکوک إن کان محقّقا للتجاوز عن المحلّ، فلا إشکال فی اعتباره،و إلاّ فظاهر الصحیحتین الاولیتین اعتباره، و ظاهر إطلاق موثّقة ابن مسلم عدم اعتباره.</w:t>
      </w:r>
    </w:p>
    <w:p>
      <w:pPr>
        <w:pStyle w:val="BookText"/>
      </w:pPr>
      <w:r>
        <w:rPr>
          <w:rFonts w:ascii="IRNazanin" w:hAnsi="IRNazanin" w:eastAsia="IRNazanin" w:cs="IRNazanin"/>
          <w:lang w:bidi="fa-IR"/>
          <w:color w:val="111111"/>
          <w:sz w:val="28"/>
          <w:szCs w:val="28"/>
          <w:rtl/>
        </w:rPr>
        <w:t xml:space="preserve">و یمکن حمل التقیید فی الصحیحین علی الغالب خصوصا فی أفعال الصلاة؛فإنّ الخروج من أفعالها یتحقّق غالبا بالدخول فی الغیر،و حینئذ فیلغو القید.</w:t>
      </w:r>
    </w:p>
    <w:p>
      <w:pPr>
        <w:pStyle w:val="BookText"/>
      </w:pPr>
      <w:r>
        <w:rPr>
          <w:rFonts w:ascii="IRNazanin" w:hAnsi="IRNazanin" w:eastAsia="IRNazanin" w:cs="IRNazanin"/>
          <w:lang w:bidi="fa-IR"/>
          <w:color w:val="111111"/>
          <w:sz w:val="28"/>
          <w:szCs w:val="28"/>
          <w:rtl/>
        </w:rPr>
        <w:t xml:space="preserve">و یحتمل ورود المطلق علی الغالب،فلا یحکم بالإطلاق.</w:t>
      </w:r>
    </w:p>
    <w:p>
      <w:pPr>
        <w:pStyle w:val="BookText"/>
      </w:pPr>
      <w:r>
        <w:rPr>
          <w:rFonts w:ascii="IRNazanin" w:hAnsi="IRNazanin" w:eastAsia="IRNazanin" w:cs="IRNazanin"/>
          <w:lang w:bidi="fa-IR"/>
          <w:color w:val="111111"/>
          <w:sz w:val="28"/>
          <w:szCs w:val="28"/>
          <w:rtl/>
        </w:rPr>
        <w:t xml:space="preserve">و یؤیّد الأوّل ظاهر التعلیل المستفاد من قوله علیه السّلام:«هو حین یتوضّأ أذکر منه حین یشکّ» </w:t>
      </w:r>
      <w:r>
        <w:rPr>
          <w:rStyle w:val="FootnoteReference"/>
        </w:rPr>
        <w:footnoteReference w:id="2550"/>
      </w:r>
      <w:r>
        <w:rPr>
          <w:rFonts w:ascii="IRNazanin" w:hAnsi="IRNazanin" w:eastAsia="IRNazanin" w:cs="IRNazanin"/>
          <w:lang w:bidi="fa-IR"/>
          <w:color w:val="111111"/>
          <w:sz w:val="28"/>
          <w:szCs w:val="28"/>
          <w:rtl/>
        </w:rPr>
        <w:t xml:space="preserve">،و قوله علیه السّلام:«إنّما الشکّ إذا کنت فی شیء لم تجزه» </w:t>
      </w:r>
      <w:r>
        <w:rPr>
          <w:rStyle w:val="FootnoteReference"/>
        </w:rPr>
        <w:footnoteReference w:id="2551"/>
      </w:r>
      <w:r>
        <w:rPr>
          <w:rFonts w:ascii="IRNazanin" w:hAnsi="IRNazanin" w:eastAsia="IRNazanin" w:cs="IRNazanin"/>
          <w:lang w:bidi="fa-IR"/>
          <w:color w:val="111111"/>
          <w:sz w:val="28"/>
          <w:szCs w:val="28"/>
          <w:rtl/>
        </w:rPr>
        <w:t xml:space="preserve">بناء علی ما سیجیء من التقریب </w:t>
      </w:r>
      <w:r>
        <w:rPr>
          <w:rStyle w:val="FootnoteReference"/>
        </w:rPr>
        <w:footnoteReference w:id="2552"/>
      </w:r>
      <w:r>
        <w:rPr>
          <w:rFonts w:ascii="IRNazanin" w:hAnsi="IRNazanin" w:eastAsia="IRNazanin" w:cs="IRNazanin"/>
          <w:lang w:bidi="fa-IR"/>
          <w:color w:val="111111"/>
          <w:sz w:val="28"/>
          <w:szCs w:val="28"/>
          <w:rtl/>
        </w:rPr>
        <w:t xml:space="preserve">،و قوله علیه السّلام:«کلّ ما مضی من صلاتک و طهورک...الخبر» </w:t>
      </w:r>
      <w:r>
        <w:rPr>
          <w:rStyle w:val="FootnoteReference"/>
        </w:rPr>
        <w:footnoteReference w:id="2553"/>
      </w:r>
      <w:r>
        <w:rPr>
          <w:rFonts w:ascii="Times New Roman" w:hAnsi="Times New Roman" w:eastAsia="Times New Roman" w:cs="Times New Roman"/>
          <w:lang w:val="en-US" w:bidi="en-US"/>
          <w:color w:val="111111"/>
          <w:sz w:val="28"/>
          <w:szCs w:val="28"/>
          <w:rtl/>
        </w:rPr>
        <w:t xml:space="preserve">.</w:t>
      </w:r>
    </w:p>
    <w:p>
      <w:pPr>
        <w:pStyle w:val="Heading6"/>
      </w:pPr>
      <w:bookmarkStart w:id="2085" w:name="_Toc1120"/>
      <w:r>
        <w:t>[ما هو المراد من«الغیر»؟:]</w:t>
      </w:r>
      <w:bookmarkEnd w:id="2085"/>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لکنّ الذی یبعّده أنّ الظاهر من ال«غیر»فی صحیحة إسماعیل ابن جابر:«إن شکّ فی الرکوع بعد ما سجد و إن شکّ فی السجود بعد ما قام فلیمض» </w:t>
      </w:r>
      <w:r>
        <w:rPr>
          <w:rStyle w:val="FootnoteReference"/>
        </w:rPr>
        <w:footnoteReference w:id="2554"/>
      </w:r>
      <w:r>
        <w:rPr>
          <w:rFonts w:ascii="IRNazanin" w:hAnsi="IRNazanin" w:eastAsia="IRNazanin" w:cs="IRNazanin"/>
          <w:lang w:bidi="fa-IR"/>
          <w:color w:val="111111"/>
          <w:sz w:val="28"/>
          <w:szCs w:val="28"/>
          <w:rtl/>
        </w:rPr>
        <w:t xml:space="preserve">بملاحظة مقام التحدید و مقام التوطئة للقاعدة المقرّرة</w:t>
      </w:r>
    </w:p>
    <w:p>
      <w:pPr>
        <w:pStyle w:val="BookText"/>
      </w:pPr>
      <w:r>
        <w:rPr>
          <w:rFonts w:ascii="IRNazanin" w:hAnsi="IRNazanin" w:eastAsia="IRNazanin" w:cs="IRNazanin"/>
          <w:lang w:bidi="fa-IR"/>
          <w:color w:val="111111"/>
          <w:sz w:val="28"/>
          <w:szCs w:val="28"/>
          <w:rtl/>
        </w:rPr>
        <w:t xml:space="preserve">[شماره صفحه واقعی : 332]
</w:t>
      </w:r>
    </w:p>
    <w:p>
      <w:pPr>
        <w:sectPr>
          <w:footerReference w:type="default" r:id="rId844"/>
          <w:footnotePr>
            <w:numStart w:val="1"/>
            <w:numRestart w:val="eachPage"/>
          </w:footnotePr>
          <w:pgSz w:orient="portrait" w:w="11905.511811023622" w:h="16837.79527559055"/>
          <w:pgMar w:top="1440" w:right="1440" w:bottom="1440" w:left="1440" w:header="720" w:footer="720" w:gutter="0"/>
          <w:cols w:num="1" w:space="720"/>
        </w:sectPr>
      </w:pPr>
    </w:p>
    <w:bookmarkStart w:id="536" w:name="pg14411_143226"/>
    <w:bookmarkEnd w:id="536"/>
    <w:p>
      <w:pPr>
        <w:pStyle w:val="BookText"/>
      </w:pPr>
      <w:r>
        <w:rPr>
          <w:rFonts w:ascii="IRNazanin" w:hAnsi="IRNazanin" w:eastAsia="IRNazanin" w:cs="IRNazanin"/>
          <w:lang w:bidi="fa-IR"/>
          <w:color w:val="111111"/>
          <w:sz w:val="28"/>
          <w:szCs w:val="28"/>
          <w:rtl/>
        </w:rPr>
        <w:t xml:space="preserve">بقوله علیه السّلام بعد ذلک:«کلّ شیء شکّ فیه...الخ»کون السجود و القیام حدّا للغیر الذی یعتبر الدخول فیه،و أنّه لا غیر أقرب من الأوّل بالنسبة إلی الرکوع،و من الثانی بالنسبة إلی السجود؛إذ لو کان الهویّ للسجود کافیا عند الشکّ فی الرکوع،و النهوض للقیام کافیا عند الشکّ فی السجود،قبح فی مقام التوطئة للقاعدة الآتیة التحدید بالسجود و القیام،و لم یکن وجه لجزم المشهور </w:t>
      </w:r>
      <w:r>
        <w:rPr>
          <w:rStyle w:val="FootnoteReference"/>
        </w:rPr>
        <w:footnoteReference w:id="2555"/>
      </w:r>
      <w:r>
        <w:rPr>
          <w:rFonts w:ascii="IRNazanin" w:hAnsi="IRNazanin" w:eastAsia="IRNazanin" w:cs="IRNazanin"/>
          <w:lang w:bidi="fa-IR"/>
          <w:color w:val="111111"/>
          <w:sz w:val="28"/>
          <w:szCs w:val="28"/>
          <w:rtl/>
        </w:rPr>
        <w:t xml:space="preserve">بوجوب الالتفات إذا شکّ قبل الاستواء قائما.</w:t>
      </w:r>
    </w:p>
    <w:p>
      <w:pPr>
        <w:pStyle w:val="BookText"/>
      </w:pPr>
      <w:r>
        <w:rPr>
          <w:rFonts w:ascii="IRNazanin" w:hAnsi="IRNazanin" w:eastAsia="IRNazanin" w:cs="IRNazanin"/>
          <w:lang w:bidi="fa-IR"/>
          <w:color w:val="111111"/>
          <w:sz w:val="28"/>
          <w:szCs w:val="28"/>
          <w:rtl/>
        </w:rPr>
        <w:t xml:space="preserve">و ممّا ذکرنا یظهر:أنّ ما ارتکبه بعض من تأخّر </w:t>
      </w:r>
      <w:r>
        <w:rPr>
          <w:rStyle w:val="FootnoteReference"/>
        </w:rPr>
        <w:footnoteReference w:id="2556"/>
      </w:r>
      <w:r>
        <w:rPr>
          <w:rFonts w:ascii="IRNazanin" w:hAnsi="IRNazanin" w:eastAsia="IRNazanin" w:cs="IRNazanin"/>
          <w:lang w:bidi="fa-IR"/>
          <w:color w:val="111111"/>
          <w:sz w:val="28"/>
          <w:szCs w:val="28"/>
          <w:rtl/>
        </w:rPr>
        <w:t xml:space="preserve">،من التزام عموم«الغیر»و إخراج الشکّ فی السجود قبل تمام القیام بمفهوم الروایة، ضعیف جدّا؛لأنّ الظاهر أنّ القید وارد فی مقام التحدید.</w:t>
      </w:r>
    </w:p>
    <w:p>
      <w:pPr>
        <w:pStyle w:val="BookText"/>
      </w:pPr>
      <w:r>
        <w:rPr>
          <w:rFonts w:ascii="IRNazanin" w:hAnsi="IRNazanin" w:eastAsia="IRNazanin" w:cs="IRNazanin"/>
          <w:lang w:bidi="fa-IR"/>
          <w:color w:val="111111"/>
          <w:sz w:val="28"/>
          <w:szCs w:val="28"/>
          <w:rtl/>
        </w:rPr>
        <w:t xml:space="preserve">و الظاهر أنّ التحدید بذلک توطئة للقاعدة،و هی </w:t>
      </w:r>
      <w:r>
        <w:rPr>
          <w:rStyle w:val="FootnoteReference"/>
        </w:rPr>
        <w:footnoteReference w:id="2557"/>
      </w:r>
      <w:r>
        <w:rPr>
          <w:rFonts w:ascii="IRNazanin" w:hAnsi="IRNazanin" w:eastAsia="IRNazanin" w:cs="IRNazanin"/>
          <w:lang w:bidi="fa-IR"/>
          <w:color w:val="111111"/>
          <w:sz w:val="28"/>
          <w:szCs w:val="28"/>
          <w:rtl/>
        </w:rPr>
        <w:t xml:space="preserve">بمنزلة ضابطة کلّیة،کما لا یخفی علی من له أدنی ذوق فی فهم الکلام،فکیف یجعل فردا خارجا بمفهوم القید </w:t>
      </w:r>
      <w:r>
        <w:rPr>
          <w:rStyle w:val="FootnoteReference"/>
        </w:rPr>
        <w:footnoteReference w:id="2558"/>
      </w:r>
      <w:r>
        <w:rPr>
          <w:rFonts w:ascii="Amiri" w:hAnsi="Amiri" w:eastAsia="Amiri" w:cs="Amiri"/>
          <w:lang w:bidi="ar-SA"/>
          <w:color w:val="111111"/>
          <w:sz w:val="28"/>
          <w:szCs w:val="28"/>
          <w:rtl/>
        </w:rPr>
        <w:t xml:space="preserve">عن عموم القاعدة؟!</w:t>
      </w:r>
    </w:p>
    <w:p>
      <w:pPr>
        <w:pStyle w:val="Heading6"/>
      </w:pPr>
      <w:bookmarkStart w:id="2086" w:name="_Toc1121"/>
      <w:r>
        <w:t>[عدم کفایة الدخول فی مقدّمات الغیر:]</w:t>
      </w:r>
      <w:bookmarkEnd w:id="2086"/>
    </w:p>
    <w:p>
      <w:pPr>
        <w:pStyle w:val="BookText"/>
      </w:pPr>
      <w:r>
        <w:rPr>
          <w:rFonts w:ascii="IRNazanin" w:hAnsi="IRNazanin" w:eastAsia="IRNazanin" w:cs="IRNazanin"/>
          <w:lang w:bidi="fa-IR"/>
          <w:color w:val="111111"/>
          <w:sz w:val="28"/>
          <w:szCs w:val="28"/>
          <w:rtl/>
        </w:rPr>
        <w:t xml:space="preserve">فالأولی:أن یجعل هذا کاشفا عن خروج مقدّمات أفعال الصلاة عن عموم«الغیر»فلا یکفی فی الصلاة مجرّد الدخول و لو فی فعل غیر</w:t>
      </w:r>
    </w:p>
    <w:p>
      <w:pPr>
        <w:pStyle w:val="BookText"/>
      </w:pPr>
      <w:r>
        <w:rPr>
          <w:rFonts w:ascii="IRNazanin" w:hAnsi="IRNazanin" w:eastAsia="IRNazanin" w:cs="IRNazanin"/>
          <w:lang w:bidi="fa-IR"/>
          <w:color w:val="111111"/>
          <w:sz w:val="28"/>
          <w:szCs w:val="28"/>
          <w:rtl/>
        </w:rPr>
        <w:t xml:space="preserve">[شماره صفحه واقعی : 333]
</w:t>
      </w:r>
    </w:p>
    <w:p>
      <w:pPr>
        <w:sectPr>
          <w:footerReference w:type="default" r:id="rId845"/>
          <w:footnotePr>
            <w:numStart w:val="1"/>
            <w:numRestart w:val="eachPage"/>
          </w:footnotePr>
          <w:pgSz w:orient="portrait" w:w="11905.511811023622" w:h="16837.79527559055"/>
          <w:pgMar w:top="1440" w:right="1440" w:bottom="1440" w:left="1440" w:header="720" w:footer="720" w:gutter="0"/>
          <w:cols w:num="1" w:space="720"/>
        </w:sectPr>
      </w:pPr>
    </w:p>
    <w:bookmarkStart w:id="537" w:name="pg14411_143227"/>
    <w:bookmarkEnd w:id="537"/>
    <w:p>
      <w:pPr>
        <w:pStyle w:val="BookText"/>
      </w:pPr>
      <w:r>
        <w:rPr>
          <w:rFonts w:ascii="IRNazanin" w:hAnsi="IRNazanin" w:eastAsia="IRNazanin" w:cs="IRNazanin"/>
          <w:lang w:bidi="fa-IR"/>
          <w:color w:val="111111"/>
          <w:sz w:val="28"/>
          <w:szCs w:val="28"/>
          <w:rtl/>
        </w:rPr>
        <w:t xml:space="preserve">أصلی،فضلا عن کفایة مجرّد الفراغ.</w:t>
      </w:r>
    </w:p>
    <w:p>
      <w:pPr>
        <w:pStyle w:val="Heading6"/>
      </w:pPr>
      <w:bookmarkStart w:id="2087" w:name="_Toc1122"/>
      <w:r>
        <w:t>[الأقوی اعتبار الدخول فی الغیر و عدم کفایة مجرّد الفراغ:]</w:t>
      </w:r>
      <w:bookmarkEnd w:id="2087"/>
    </w:p>
    <w:p>
      <w:pPr>
        <w:pStyle w:val="BookText"/>
      </w:pPr>
      <w:r>
        <w:rPr>
          <w:rFonts w:ascii="IRNazanin" w:hAnsi="IRNazanin" w:eastAsia="IRNazanin" w:cs="IRNazanin"/>
          <w:lang w:bidi="fa-IR"/>
          <w:color w:val="111111"/>
          <w:sz w:val="28"/>
          <w:szCs w:val="28"/>
          <w:rtl/>
        </w:rPr>
        <w:t xml:space="preserve">و الأقوی:اعتبار الدخول فی الغیر و عدم کفایة مجرّد الفراغ،إلاّ أنّه قد یکون الفراغ عن الشیء ملازما للدخول فی غیره،کما لو فرغ عن الصلاة و الوضوء؛فإنّ حالة عدم الاشتغال بهما یعدّ مغایرة لحالهما و إن لم یشتغل بفعل وجودیّ،فهو دخول فی الغیر بالنسبة إلیهما.</w:t>
      </w:r>
    </w:p>
    <w:p>
      <w:pPr>
        <w:pStyle w:val="Heading6"/>
      </w:pPr>
      <w:bookmarkStart w:id="2088" w:name="_Toc1123"/>
      <w:r>
        <w:t>[عدم صحّة التفصیل بین الصلاة و الوضوء:]</w:t>
      </w:r>
      <w:bookmarkEnd w:id="2088"/>
    </w:p>
    <w:p>
      <w:pPr>
        <w:pStyle w:val="BookText"/>
      </w:pPr>
      <w:r>
        <w:rPr>
          <w:rFonts w:ascii="IRNazanin" w:hAnsi="IRNazanin" w:eastAsia="IRNazanin" w:cs="IRNazanin"/>
          <w:lang w:bidi="fa-IR"/>
          <w:color w:val="111111"/>
          <w:sz w:val="28"/>
          <w:szCs w:val="28"/>
          <w:rtl/>
        </w:rPr>
        <w:t xml:space="preserve">و أمّا التفصیل بین الصلاة و الوضوء،بالتزام کفایة مجرّد الفراغ من الوضوء و لو مع الشکّ فی الجزء الأخیر منه،فیردّه اتحاد الدلیل فی البابین </w:t>
      </w:r>
      <w:r>
        <w:rPr>
          <w:rStyle w:val="FootnoteReference"/>
        </w:rPr>
        <w:footnoteReference w:id="2559"/>
      </w:r>
      <w:r>
        <w:rPr>
          <w:rFonts w:ascii="IRNazanin" w:hAnsi="IRNazanin" w:eastAsia="IRNazanin" w:cs="IRNazanin"/>
          <w:lang w:bidi="fa-IR"/>
          <w:color w:val="111111"/>
          <w:sz w:val="28"/>
          <w:szCs w:val="28"/>
          <w:rtl/>
        </w:rPr>
        <w:t xml:space="preserve">لأنّ ما ورد،من قوله علیه السّلام فی من شکّ فی الوضوء بعد ما فرغ من الوضوء:«هو حین یتوضّأ أذکر منه حین یشکّ» </w:t>
      </w:r>
      <w:r>
        <w:rPr>
          <w:rStyle w:val="FootnoteReference"/>
        </w:rPr>
        <w:footnoteReference w:id="2560"/>
      </w:r>
      <w:r>
        <w:rPr>
          <w:rFonts w:ascii="IRNazanin" w:hAnsi="IRNazanin" w:eastAsia="IRNazanin" w:cs="IRNazanin"/>
          <w:lang w:bidi="fa-IR"/>
          <w:color w:val="111111"/>
          <w:sz w:val="28"/>
          <w:szCs w:val="28"/>
          <w:rtl/>
        </w:rPr>
        <w:t xml:space="preserve">عامّ بمقتضی التعلیل لغیر الوضوء أیضا؛و لذا استفید منه حکم الغسل و </w:t>
      </w:r>
      <w:r>
        <w:rPr>
          <w:rStyle w:val="FootnoteReference"/>
        </w:rPr>
        <w:footnoteReference w:id="2561"/>
      </w:r>
      <w:r>
        <w:rPr>
          <w:rFonts w:ascii="IRNazanin" w:hAnsi="IRNazanin" w:eastAsia="IRNazanin" w:cs="IRNazanin"/>
          <w:lang w:bidi="fa-IR"/>
          <w:color w:val="111111"/>
          <w:sz w:val="28"/>
          <w:szCs w:val="28"/>
          <w:rtl/>
        </w:rPr>
        <w:t xml:space="preserve">الصلاة أیضا.و کذلک موثّقة ابن أبی یعفور المتقدّمة </w:t>
      </w:r>
      <w:r>
        <w:rPr>
          <w:rStyle w:val="FootnoteReference"/>
        </w:rPr>
        <w:footnoteReference w:id="2562"/>
      </w:r>
      <w:r>
        <w:rPr>
          <w:rFonts w:ascii="IRNazanin" w:hAnsi="IRNazanin" w:eastAsia="IRNazanin" w:cs="IRNazanin"/>
          <w:lang w:bidi="fa-IR"/>
          <w:color w:val="111111"/>
          <w:sz w:val="28"/>
          <w:szCs w:val="28"/>
          <w:rtl/>
        </w:rPr>
        <w:t xml:space="preserve">،صدرها دالّ علی اعتبار الدخول فی الغیر فی الوضوء،و ذیلها یدلّ علی عدم العبرة بالشکّ بمجرّد التجاوز مطلقا من غیر تقیید بالوضوء،بل ظاهرها یأبی عن التقیید.و کذلک روایتا زرارة و أبی بصیر المتقدّمتان </w:t>
      </w:r>
      <w:r>
        <w:rPr>
          <w:rStyle w:val="FootnoteReference"/>
        </w:rPr>
        <w:footnoteReference w:id="2563"/>
      </w:r>
      <w:r>
        <w:rPr>
          <w:rFonts w:ascii="IRNazanin" w:hAnsi="IRNazanin" w:eastAsia="IRNazanin" w:cs="IRNazanin"/>
          <w:lang w:bidi="fa-IR"/>
          <w:color w:val="111111"/>
          <w:sz w:val="28"/>
          <w:szCs w:val="28"/>
          <w:rtl/>
        </w:rPr>
        <w:t xml:space="preserve">آبیتان عن</w:t>
      </w:r>
    </w:p>
    <w:p>
      <w:pPr>
        <w:pStyle w:val="BookText"/>
      </w:pPr>
      <w:r>
        <w:rPr>
          <w:rFonts w:ascii="IRNazanin" w:hAnsi="IRNazanin" w:eastAsia="IRNazanin" w:cs="IRNazanin"/>
          <w:lang w:bidi="fa-IR"/>
          <w:color w:val="111111"/>
          <w:sz w:val="28"/>
          <w:szCs w:val="28"/>
          <w:rtl/>
        </w:rPr>
        <w:t xml:space="preserve">[شماره صفحه واقعی : 334]
</w:t>
      </w:r>
    </w:p>
    <w:p>
      <w:pPr>
        <w:sectPr>
          <w:footerReference w:type="default" r:id="rId8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التقیید.</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 أصرح من جمیع ذلک فی الإباء عن التفصیل بین الوضوء و الصلاة قوله علیه السّلام فی الروایة المتقدّمة </w:t>
      </w:r>
      <w:r>
        <w:rPr>
          <w:rStyle w:val="FootnoteReference"/>
        </w:rPr>
        <w:footnoteReference w:id="2564"/>
      </w:r>
      <w:r>
        <w:rPr>
          <w:rFonts w:ascii="IRNazanin" w:hAnsi="IRNazanin" w:eastAsia="IRNazanin" w:cs="IRNazanin"/>
          <w:lang w:bidi="fa-IR"/>
          <w:color w:val="111111"/>
          <w:sz w:val="28"/>
          <w:szCs w:val="28"/>
          <w:rtl/>
        </w:rPr>
        <w:t xml:space="preserve">:«کلّ ما مضی من صلاتک و طهورک فذکرته تذکّرا فأمضه».</w:t>
      </w:r>
    </w:p>
    <w:p>
      <w:pPr>
        <w:pStyle w:val="BookText"/>
      </w:pPr>
      <w:r>
        <w:rPr>
          <w:rFonts w:ascii="IRNazanin" w:hAnsi="IRNazanin" w:eastAsia="IRNazanin" w:cs="IRNazanin"/>
          <w:lang w:bidi="fa-IR"/>
          <w:color w:val="111111"/>
          <w:sz w:val="28"/>
          <w:szCs w:val="28"/>
          <w:rtl/>
        </w:rPr>
        <w:t xml:space="preserve">[شماره صفحه واقعی : 335]
</w:t>
      </w:r>
    </w:p>
    <w:p>
      <w:pPr>
        <w:sectPr>
          <w:footerReference w:type="default" r:id="rId847"/>
          <w:footnotePr>
            <w:numStart w:val="1"/>
            <w:numRestart w:val="eachPage"/>
          </w:footnotePr>
          <w:pgSz w:orient="portrait" w:w="11905.511811023622" w:h="16837.79527559055"/>
          <w:pgMar w:top="1440" w:right="1440" w:bottom="1440" w:left="1440" w:header="720" w:footer="720" w:gutter="0"/>
          <w:cols w:num="1" w:space="720"/>
        </w:sectPr>
      </w:pPr>
    </w:p>
    <w:bookmarkStart w:id="538" w:name="pg14411_143229"/>
    <w:bookmarkEnd w:id="538"/>
    <w:p>
      <w:pPr>
        <w:pStyle w:val="Heading6"/>
      </w:pPr>
      <w:bookmarkStart w:id="2089" w:name="_Toc1124"/>
      <w:r>
        <w:t>الموضع الرابع [عدم جریان القاعدة فی أفعال الطهارات الثلاث]</w:t>
      </w:r>
      <w:bookmarkEnd w:id="2089"/>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قد خرج من الکلّیّة المذکورة أفعال الطهارات الثلاث؛فإنّهم أجمعوا </w:t>
      </w:r>
      <w:r>
        <w:rPr>
          <w:rStyle w:val="FootnoteReference"/>
        </w:rPr>
        <w:footnoteReference w:id="2565"/>
      </w:r>
      <w:r>
        <w:rPr>
          <w:rFonts w:ascii="IRNazanin" w:hAnsi="IRNazanin" w:eastAsia="IRNazanin" w:cs="IRNazanin"/>
          <w:lang w:bidi="fa-IR"/>
          <w:color w:val="111111"/>
          <w:sz w:val="28"/>
          <w:szCs w:val="28"/>
          <w:rtl/>
        </w:rPr>
        <w:t xml:space="preserve">علی أنّ الشاکّ فی فعل من أفعال الوضوء قبل إتمام الوضوء یأتی به و إن دخل فی فعل آخر،و أمّا الغسل و التیمّم فقد صرّح بذلک فیهما بعضهم </w:t>
      </w:r>
      <w:r>
        <w:rPr>
          <w:rStyle w:val="FootnoteReference"/>
        </w:rPr>
        <w:footnoteReference w:id="2566"/>
      </w:r>
      <w:r>
        <w:rPr>
          <w:rFonts w:ascii="IRNazanin" w:hAnsi="IRNazanin" w:eastAsia="IRNazanin" w:cs="IRNazanin"/>
          <w:lang w:bidi="fa-IR"/>
          <w:color w:val="111111"/>
          <w:sz w:val="28"/>
          <w:szCs w:val="28"/>
          <w:rtl/>
        </w:rPr>
        <w:t xml:space="preserve">علی وجه یظهر منه کونه من المسلّمات،و قد نصّ علی الحکم فی الغسل جمع ممّن تأخّر عن المحقّق،کالعلاّمة </w:t>
      </w:r>
      <w:r>
        <w:rPr>
          <w:rStyle w:val="FootnoteReference"/>
        </w:rPr>
        <w:footnoteReference w:id="2567"/>
      </w:r>
      <w:r>
        <w:rPr>
          <w:rFonts w:ascii="IRNazanin" w:hAnsi="IRNazanin" w:eastAsia="IRNazanin" w:cs="IRNazanin"/>
          <w:lang w:bidi="fa-IR"/>
          <w:color w:val="111111"/>
          <w:sz w:val="28"/>
          <w:szCs w:val="28"/>
          <w:rtl/>
        </w:rPr>
        <w:t xml:space="preserve">و الشهیدین </w:t>
      </w:r>
      <w:r>
        <w:rPr>
          <w:rStyle w:val="FootnoteReference"/>
        </w:rPr>
        <w:footnoteReference w:id="2568"/>
      </w:r>
      <w:r>
        <w:rPr>
          <w:rFonts w:ascii="IRNazanin" w:hAnsi="IRNazanin" w:eastAsia="IRNazanin" w:cs="IRNazanin"/>
          <w:lang w:bidi="fa-IR"/>
          <w:color w:val="111111"/>
          <w:sz w:val="28"/>
          <w:szCs w:val="28"/>
          <w:rtl/>
        </w:rPr>
        <w:t xml:space="preserve">و المحقّق الثانی </w:t>
      </w:r>
      <w:r>
        <w:rPr>
          <w:rStyle w:val="FootnoteReference"/>
        </w:rPr>
        <w:footnoteReference w:id="2569"/>
      </w:r>
      <w:r>
        <w:rPr>
          <w:rFonts w:ascii="IRNazanin" w:hAnsi="IRNazanin" w:eastAsia="IRNazanin" w:cs="IRNazanin"/>
          <w:lang w:bidi="fa-IR"/>
          <w:color w:val="111111"/>
          <w:sz w:val="28"/>
          <w:szCs w:val="28"/>
          <w:rtl/>
        </w:rPr>
        <w:t xml:space="preserve">،و نصّ غیر واحد من هؤلاء </w:t>
      </w:r>
      <w:r>
        <w:rPr>
          <w:rStyle w:val="FootnoteReference"/>
        </w:rPr>
        <w:footnoteReference w:id="2570"/>
      </w:r>
      <w:r>
        <w:rPr>
          <w:rFonts w:ascii="IRNazanin" w:hAnsi="IRNazanin" w:eastAsia="IRNazanin" w:cs="IRNazanin"/>
          <w:lang w:bidi="fa-IR"/>
          <w:color w:val="111111"/>
          <w:sz w:val="28"/>
          <w:szCs w:val="28"/>
          <w:rtl/>
        </w:rPr>
        <w:t xml:space="preserve">علی کون التیمّم کذلک.</w:t>
      </w:r>
    </w:p>
    <w:p>
      <w:pPr>
        <w:pStyle w:val="Heading6"/>
      </w:pPr>
      <w:bookmarkStart w:id="2090" w:name="_Toc1125"/>
      <w:r>
        <w:t>[مستند الخروج:]</w:t>
      </w:r>
      <w:bookmarkEnd w:id="2090"/>
    </w:p>
    <w:p>
      <w:pPr>
        <w:pStyle w:val="BookText"/>
      </w:pPr>
      <w:r>
        <w:rPr>
          <w:rFonts w:ascii="IRNazanin" w:hAnsi="IRNazanin" w:eastAsia="IRNazanin" w:cs="IRNazanin"/>
          <w:lang w:bidi="fa-IR"/>
          <w:color w:val="111111"/>
          <w:sz w:val="28"/>
          <w:szCs w:val="28"/>
          <w:rtl/>
        </w:rPr>
        <w:t xml:space="preserve">و کیف کان،فمستند الخروج-قبل الإجماع-الأخبار الکثیرة المخصّصة للقاعدة المتقدّمة.</w:t>
      </w:r>
    </w:p>
    <w:p>
      <w:pPr>
        <w:pStyle w:val="Heading6"/>
      </w:pPr>
      <w:bookmarkStart w:id="2091" w:name="_Toc1126"/>
      <w:r>
        <w:t>[ظاهر روایة ابن أبی یعفور أنّ حکم الوضوء من باب القاعدة:]</w:t>
      </w:r>
      <w:bookmarkEnd w:id="2091"/>
    </w:p>
    <w:p>
      <w:pPr>
        <w:pStyle w:val="BookText"/>
      </w:pPr>
      <w:r>
        <w:rPr>
          <w:rFonts w:ascii="IRNazanin" w:hAnsi="IRNazanin" w:eastAsia="IRNazanin" w:cs="IRNazanin"/>
          <w:lang w:bidi="fa-IR"/>
          <w:color w:val="111111"/>
          <w:sz w:val="28"/>
          <w:szCs w:val="28"/>
          <w:rtl/>
        </w:rPr>
        <w:t xml:space="preserve">إلاّ أنّه یظهر من روایة ابن أبی یعفور المتقدّمة </w:t>
      </w:r>
      <w:r>
        <w:rPr>
          <w:rStyle w:val="FootnoteReference"/>
        </w:rPr>
        <w:footnoteReference w:id="2571"/>
      </w:r>
      <w:r>
        <w:rPr>
          <w:rFonts w:ascii="IRNazanin" w:hAnsi="IRNazanin" w:eastAsia="IRNazanin" w:cs="IRNazanin"/>
          <w:lang w:bidi="fa-IR"/>
          <w:color w:val="111111"/>
          <w:sz w:val="28"/>
          <w:szCs w:val="28"/>
          <w:rtl/>
        </w:rPr>
        <w:t xml:space="preserve">-و هی قوله علیه السّلام:«إذا شککت فی شیء من الوضوء و قد دخلت فی غیره فشکّک لیس بشیء،إنّما الشکّ إذا کنت فی شیء</w:t>
      </w:r>
    </w:p>
    <w:p>
      <w:pPr>
        <w:pStyle w:val="BookText"/>
      </w:pPr>
      <w:r>
        <w:rPr>
          <w:rFonts w:ascii="IRNazanin" w:hAnsi="IRNazanin" w:eastAsia="IRNazanin" w:cs="IRNazanin"/>
          <w:lang w:bidi="fa-IR"/>
          <w:color w:val="111111"/>
          <w:sz w:val="28"/>
          <w:szCs w:val="28"/>
          <w:rtl/>
        </w:rPr>
        <w:t xml:space="preserve">[شماره صفحه واقعی : 336]
</w:t>
      </w:r>
    </w:p>
    <w:p>
      <w:pPr>
        <w:sectPr>
          <w:footerReference w:type="default" r:id="rId848"/>
          <w:footnotePr>
            <w:numStart w:val="1"/>
            <w:numRestart w:val="eachPage"/>
          </w:footnotePr>
          <w:pgSz w:orient="portrait" w:w="11905.511811023622" w:h="16837.79527559055"/>
          <w:pgMar w:top="1440" w:right="1440" w:bottom="1440" w:left="1440" w:header="720" w:footer="720" w:gutter="0"/>
          <w:cols w:num="1" w:space="720"/>
        </w:sectPr>
      </w:pPr>
    </w:p>
    <w:bookmarkStart w:id="539" w:name="pg14411_143230"/>
    <w:bookmarkEnd w:id="539"/>
    <w:p>
      <w:pPr>
        <w:pStyle w:val="BookText"/>
      </w:pPr>
      <w:r>
        <w:rPr>
          <w:rFonts w:ascii="IRNazanin" w:hAnsi="IRNazanin" w:eastAsia="IRNazanin" w:cs="IRNazanin"/>
          <w:lang w:bidi="fa-IR"/>
          <w:color w:val="111111"/>
          <w:sz w:val="28"/>
          <w:szCs w:val="28"/>
          <w:rtl/>
        </w:rPr>
        <w:t xml:space="preserve">لم تجزه»:أنّ حکم الوضوء من باب القاعدة،لا خارج عنها،بناء علی عود ضمیر«غیره»إلی الوضوء؛لئلاّ یخالف الإجماع علی وجوب الالتفات إذا دخل فی غیر المشکوک من أفعال الوضوء،و حینئذ فقوله علیه السّلام:«إنّما الشکّ»مسوق لبیان قاعدة الشکّ المتعلّق بجزء من أجزاء العمل،و أنّه إنّما یعتبر إذا کان مشتغلا بذلک العمل غیر متجاوز عنه.</w:t>
      </w:r>
    </w:p>
    <w:p>
      <w:pPr>
        <w:pStyle w:val="Heading6"/>
      </w:pPr>
      <w:bookmarkStart w:id="2092" w:name="_Toc1127"/>
      <w:r>
        <w:t>[الإشکال فی ظاهر ذیل الروایة:]</w:t>
      </w:r>
      <w:bookmarkEnd w:id="2092"/>
    </w:p>
    <w:p>
      <w:pPr>
        <w:pStyle w:val="BookText"/>
      </w:pPr>
      <w:r>
        <w:rPr>
          <w:rFonts w:ascii="IRNazanin" w:hAnsi="IRNazanin" w:eastAsia="IRNazanin" w:cs="IRNazanin"/>
          <w:lang w:bidi="fa-IR"/>
          <w:color w:val="111111"/>
          <w:sz w:val="28"/>
          <w:szCs w:val="28"/>
          <w:rtl/>
        </w:rPr>
        <w:t xml:space="preserve">هذا،و لکنّ الاعتماد علی ظاهر </w:t>
      </w:r>
      <w:r>
        <w:rPr>
          <w:rStyle w:val="FootnoteReference"/>
        </w:rPr>
        <w:footnoteReference w:id="2572"/>
      </w:r>
      <w:r>
        <w:rPr>
          <w:rFonts w:ascii="IRNazanin" w:hAnsi="IRNazanin" w:eastAsia="IRNazanin" w:cs="IRNazanin"/>
          <w:lang w:bidi="fa-IR"/>
          <w:color w:val="111111"/>
          <w:sz w:val="28"/>
          <w:szCs w:val="28"/>
          <w:rtl/>
        </w:rPr>
        <w:t xml:space="preserve">ذیل الروایة مشکل؛من جهة أنّه یقتضی بظاهر الحصر أنّ الشکّ الواقع فی غسل الید باعتبار جزء من أجزائه لا یعتنی به إذا جاوز غسل الید،مضافا إلی أنّه معارض للأخبار السابقة فیما إذا شکّ فی جزء من الوضوء بعد الدخول فی جزء آخر قبل الفراغ منه؛لأنّه باعتبار أنّه شکّ فی وجود شیء بعد تجاوز محلّه یدخل فی الأخبار السابقة،و من حیث إنّه شکّ فی أجزاء عمل قبل الفراغ منه یدخل فی هذا الخبر.</w:t>
      </w:r>
    </w:p>
    <w:p>
      <w:pPr>
        <w:pStyle w:val="Heading6"/>
      </w:pPr>
      <w:bookmarkStart w:id="2093" w:name="_Toc1128"/>
      <w:r>
        <w:t>[دفع الإشکال عن الروایة:]</w:t>
      </w:r>
      <w:bookmarkEnd w:id="2093"/>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 یمکن أن یقال لدفع جمیع ما فی الخبر من الإشکال:إنّ الوضوء بتمامه فی نظر الشارع فعل واحد باعتبار وحدة مسبّبه-و هی الطهارة- فلا یلاحظ کلّ فعل منه بحیاله حتّی یکون موردا لتعارض هذا الخبر مع الأخبار السابقة،و لا یلاحظ بعض أجزائه-کغسل الید مثلا-شیئا مستقلا یشکّ فی بعض أجزائه قبل تجاوزه أو بعده لیوجب ذلک الإشکال فی الحصر المستفاد من الذیل.</w:t>
      </w:r>
    </w:p>
    <w:p>
      <w:pPr>
        <w:pStyle w:val="BookText"/>
      </w:pPr>
      <w:r>
        <w:rPr>
          <w:rFonts w:ascii="IRNazanin" w:hAnsi="IRNazanin" w:eastAsia="IRNazanin" w:cs="IRNazanin"/>
          <w:lang w:bidi="fa-IR"/>
          <w:color w:val="111111"/>
          <w:sz w:val="28"/>
          <w:szCs w:val="28"/>
          <w:rtl/>
        </w:rPr>
        <w:t xml:space="preserve">و بالجملة:فإذا فرض الوضوء فعلا واحدا لم یلاحظ الشارع</w:t>
      </w:r>
    </w:p>
    <w:p>
      <w:pPr>
        <w:pStyle w:val="BookText"/>
      </w:pPr>
      <w:r>
        <w:rPr>
          <w:rFonts w:ascii="IRNazanin" w:hAnsi="IRNazanin" w:eastAsia="IRNazanin" w:cs="IRNazanin"/>
          <w:lang w:bidi="fa-IR"/>
          <w:color w:val="111111"/>
          <w:sz w:val="28"/>
          <w:szCs w:val="28"/>
          <w:rtl/>
        </w:rPr>
        <w:t xml:space="preserve">[شماره صفحه واقعی : 337]
</w:t>
      </w:r>
    </w:p>
    <w:p>
      <w:pPr>
        <w:sectPr>
          <w:footerReference w:type="default" r:id="rId849"/>
          <w:footnotePr>
            <w:numStart w:val="1"/>
            <w:numRestart w:val="eachPage"/>
          </w:footnotePr>
          <w:pgSz w:orient="portrait" w:w="11905.511811023622" w:h="16837.79527559055"/>
          <w:pgMar w:top="1440" w:right="1440" w:bottom="1440" w:left="1440" w:header="720" w:footer="720" w:gutter="0"/>
          <w:cols w:num="1" w:space="720"/>
        </w:sectPr>
      </w:pPr>
    </w:p>
    <w:bookmarkStart w:id="540" w:name="pg14411_143231"/>
    <w:bookmarkEnd w:id="540"/>
    <w:p>
      <w:pPr>
        <w:pStyle w:val="BookText"/>
      </w:pPr>
      <w:r>
        <w:rPr>
          <w:rFonts w:ascii="IRNazanin" w:hAnsi="IRNazanin" w:eastAsia="IRNazanin" w:cs="IRNazanin"/>
          <w:lang w:bidi="fa-IR"/>
          <w:color w:val="111111"/>
          <w:sz w:val="28"/>
          <w:szCs w:val="28"/>
          <w:rtl/>
        </w:rPr>
        <w:t xml:space="preserve">أجزاءه أفعالا مستقلّة یجری فیها حکم الشکّ بعد تجاوز المحلّ،لم یتوجّه شیء من الإشکالین فی الاعتماد علی الخبر،و لم یکن حکم الوضوء مخالفا للقاعدة؛إذ الشکّ فی أجزاء الوضوء قبل الفراغ لیس إلاّ شکّا واقعا فی الشیء قبل التجاوز عنه.و القرینة علی هذا الاعتبار جعل القاعدة ضابطة لحکم الشکّ فی أجزاء الوضوء قبل الفراغ عنه أو بعده </w:t>
      </w:r>
      <w:r>
        <w:rPr>
          <w:rStyle w:val="FootnoteReference"/>
        </w:rPr>
        <w:footnoteReference w:id="2573"/>
      </w:r>
      <w:r>
        <w:rPr>
          <w:rFonts w:ascii="Times New Roman" w:hAnsi="Times New Roman" w:eastAsia="Times New Roman" w:cs="Times New Roman"/>
          <w:lang w:val="en-US" w:bidi="en-US"/>
          <w:color w:val="111111"/>
          <w:sz w:val="28"/>
          <w:szCs w:val="28"/>
          <w:rtl/>
        </w:rPr>
        <w:t xml:space="preserve">.</w:t>
      </w:r>
    </w:p>
    <w:p>
      <w:pPr>
        <w:pStyle w:val="Heading6"/>
      </w:pPr>
      <w:bookmarkStart w:id="2094" w:name="_Toc1129"/>
      <w:r>
        <w:t>[عدم غرابة فرض الوضوء فعلا واحدا:]</w:t>
      </w:r>
      <w:bookmarkEnd w:id="2094"/>
    </w:p>
    <w:p>
      <w:pPr>
        <w:pStyle w:val="BookText"/>
      </w:pPr>
      <w:r>
        <w:rPr>
          <w:rFonts w:ascii="IRNazanin" w:hAnsi="IRNazanin" w:eastAsia="IRNazanin" w:cs="IRNazanin"/>
          <w:lang w:bidi="fa-IR"/>
          <w:color w:val="111111"/>
          <w:sz w:val="28"/>
          <w:szCs w:val="28"/>
          <w:rtl/>
        </w:rPr>
        <w:t xml:space="preserve">ثمّ إنّ فرض الوضوء فعلا واحدا لا یلاحظ حکم الشکّ بالنسبة إلی أجزائه،لیس أمرا غریبا؛فقد ارتکب المشهور مثله فی الأخبار السابقة بالنسبة إلی أفعال الصلاة؛حیث لم یجروا حکم الشکّ بعد التجاوز فی کلّ جزء من أجزاء القراءة حتّی الکلمات و الحروف،بل الأظهر عندهم کون الفاتحة فعلا واحدا،بل جعل بعضهم القراءة فعلا واحدا </w:t>
      </w:r>
      <w:r>
        <w:rPr>
          <w:rStyle w:val="FootnoteReference"/>
        </w:rPr>
        <w:footnoteReference w:id="2574"/>
      </w:r>
      <w:r>
        <w:rPr>
          <w:rFonts w:ascii="IRNazanin" w:hAnsi="IRNazanin" w:eastAsia="IRNazanin" w:cs="IRNazanin"/>
          <w:lang w:bidi="fa-IR"/>
          <w:color w:val="111111"/>
          <w:sz w:val="28"/>
          <w:szCs w:val="28"/>
          <w:rtl/>
        </w:rPr>
        <w:t xml:space="preserve">،و قد عرفت النصّ فی الروایات علی عدم اعتبار الهویّ للسجود و النهوض للقیام </w:t>
      </w:r>
      <w:r>
        <w:rPr>
          <w:rStyle w:val="FootnoteReference"/>
        </w:rPr>
        <w:footnoteReference w:id="25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ممّا یشهد لهذا التوجیه إلحاق المشهور الغسل و التیمّم بالوضوء فی هذا الحکم </w:t>
      </w:r>
      <w:r>
        <w:rPr>
          <w:rStyle w:val="FootnoteReference"/>
        </w:rPr>
        <w:footnoteReference w:id="2576"/>
      </w:r>
      <w:r>
        <w:rPr>
          <w:rFonts w:ascii="IRNazanin" w:hAnsi="IRNazanin" w:eastAsia="IRNazanin" w:cs="IRNazanin"/>
          <w:lang w:bidi="fa-IR"/>
          <w:color w:val="111111"/>
          <w:sz w:val="28"/>
          <w:szCs w:val="28"/>
          <w:rtl/>
        </w:rPr>
        <w:t xml:space="preserve">إذ لا وجه له ظاهرا إلاّ ملاحظة کون الوضوء أمرا واحدا یطلب منه أمر واحد غیر قابل للتبعیض،أعنی«الطهارة».</w:t>
      </w:r>
    </w:p>
    <w:p>
      <w:pPr>
        <w:pStyle w:val="BookText"/>
      </w:pPr>
      <w:r>
        <w:rPr>
          <w:rFonts w:ascii="IRNazanin" w:hAnsi="IRNazanin" w:eastAsia="IRNazanin" w:cs="IRNazanin"/>
          <w:lang w:bidi="fa-IR"/>
          <w:color w:val="111111"/>
          <w:sz w:val="28"/>
          <w:szCs w:val="28"/>
          <w:rtl/>
        </w:rPr>
        <w:t xml:space="preserve">[شماره صفحه واقعی : 338]
</w:t>
      </w:r>
    </w:p>
    <w:p>
      <w:pPr>
        <w:sectPr>
          <w:footerReference w:type="default" r:id="rId850"/>
          <w:footnotePr>
            <w:numStart w:val="1"/>
            <w:numRestart w:val="eachPage"/>
          </w:footnotePr>
          <w:pgSz w:orient="portrait" w:w="11905.511811023622" w:h="16837.79527559055"/>
          <w:pgMar w:top="1440" w:right="1440" w:bottom="1440" w:left="1440" w:header="720" w:footer="720" w:gutter="0"/>
          <w:cols w:num="1" w:space="720"/>
        </w:sectPr>
      </w:pPr>
    </w:p>
    <w:bookmarkStart w:id="541" w:name="pg14411_143232"/>
    <w:bookmarkEnd w:id="541"/>
    <w:p>
      <w:pPr>
        <w:pStyle w:val="Heading6"/>
      </w:pPr>
      <w:bookmarkStart w:id="2095" w:name="_Toc1130"/>
      <w:r>
        <w:t>الموضع الخامس [:هل تجری القاعدة فی الشروط کما تجری فی الأجزاء؟]</w:t>
      </w:r>
      <w:bookmarkEnd w:id="2095"/>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ذکر بعض الأساطین </w:t>
      </w:r>
      <w:r>
        <w:rPr>
          <w:rStyle w:val="FootnoteReference"/>
        </w:rPr>
        <w:footnoteReference w:id="2577"/>
      </w:r>
      <w:r>
        <w:rPr>
          <w:rFonts w:ascii="IRNazanin" w:hAnsi="IRNazanin" w:eastAsia="IRNazanin" w:cs="IRNazanin"/>
          <w:lang w:bidi="fa-IR"/>
          <w:color w:val="111111"/>
          <w:sz w:val="28"/>
          <w:szCs w:val="28"/>
          <w:rtl/>
        </w:rPr>
        <w:t xml:space="preserve">:أنّ حکم الشکّ فی الشروط بالنسبة إلی الفراغ عن المشروط-بل الدخول فیه،بل الکون علی هیئة الداخل- حکم الأجزاء فی عدم الالتفات.فلا اعتبار بالشکّ فی الوقت و القبلة و اللباس و الطهارة بأقسامها و الاستقرار و نحوها،بعد الدخول فی الغایة.</w:t>
      </w:r>
    </w:p>
    <w:p>
      <w:pPr>
        <w:pStyle w:val="BookText"/>
      </w:pPr>
      <w:r>
        <w:rPr>
          <w:rFonts w:ascii="IRNazanin" w:hAnsi="IRNazanin" w:eastAsia="IRNazanin" w:cs="IRNazanin"/>
          <w:lang w:bidi="fa-IR"/>
          <w:color w:val="111111"/>
          <w:sz w:val="28"/>
          <w:szCs w:val="28"/>
          <w:rtl/>
        </w:rPr>
        <w:t xml:space="preserve">و لا فرق بین الوضوء و غیره،انتهی.و تبعه بعض من تأخّر عنه </w:t>
      </w:r>
      <w:r>
        <w:rPr>
          <w:rStyle w:val="FootnoteReference"/>
        </w:rPr>
        <w:footnoteReference w:id="25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استقرب-فی مقام آخر-إلغاء الشکّ فی الشرط بالنسبة إلی غیر ما دخل فیه من الغایات </w:t>
      </w:r>
      <w:r>
        <w:rPr>
          <w:rStyle w:val="FootnoteReference"/>
        </w:rPr>
        <w:footnoteReference w:id="25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ما أبعد ما بینه و بین ما ذکره بعض الأصحاب </w:t>
      </w:r>
      <w:r>
        <w:rPr>
          <w:rStyle w:val="FootnoteReference"/>
        </w:rPr>
        <w:footnoteReference w:id="2580"/>
      </w:r>
      <w:r>
        <w:rPr>
          <w:rFonts w:ascii="IRNazanin" w:hAnsi="IRNazanin" w:eastAsia="IRNazanin" w:cs="IRNazanin"/>
          <w:lang w:bidi="fa-IR"/>
          <w:color w:val="111111"/>
          <w:sz w:val="28"/>
          <w:szCs w:val="28"/>
          <w:rtl/>
        </w:rPr>
        <w:t xml:space="preserve">:من اعتبار الشکّ فی الشرط حتّی بعد الفراغ عن المشروط،فأوجب إعادة المشروط.</w:t>
      </w:r>
    </w:p>
    <w:p>
      <w:pPr>
        <w:pStyle w:val="Heading6"/>
      </w:pPr>
      <w:bookmarkStart w:id="2096" w:name="_Toc1131"/>
      <w:r>
        <w:t>[الأقوی التفصیل:]</w:t>
      </w:r>
      <w:bookmarkEnd w:id="2096"/>
    </w:p>
    <w:p>
      <w:pPr>
        <w:pStyle w:val="BookText"/>
      </w:pPr>
      <w:r>
        <w:rPr>
          <w:rFonts w:ascii="IRNazanin" w:hAnsi="IRNazanin" w:eastAsia="IRNazanin" w:cs="IRNazanin"/>
          <w:lang w:bidi="fa-IR"/>
          <w:color w:val="111111"/>
          <w:sz w:val="28"/>
          <w:szCs w:val="28"/>
          <w:rtl/>
        </w:rPr>
        <w:t xml:space="preserve">و الأقوی:التفصیل بین الفراغ عن المشروط فیلغو الشکّ فی الشرط بالنسبة إلیه؛لعموم لغویّة الشکّ فی الشیء بعد التجاوز عنه، و أمّا بالنسبة إلی مشروط آخر لم یدخل فیه فلا ینبغی الإشکال فی</w:t>
      </w:r>
    </w:p>
    <w:p>
      <w:pPr>
        <w:pStyle w:val="BookText"/>
      </w:pPr>
      <w:r>
        <w:rPr>
          <w:rFonts w:ascii="IRNazanin" w:hAnsi="IRNazanin" w:eastAsia="IRNazanin" w:cs="IRNazanin"/>
          <w:lang w:bidi="fa-IR"/>
          <w:color w:val="111111"/>
          <w:sz w:val="28"/>
          <w:szCs w:val="28"/>
          <w:rtl/>
        </w:rPr>
        <w:t xml:space="preserve">[شماره صفحه واقعی : 339]
</w:t>
      </w:r>
    </w:p>
    <w:p>
      <w:pPr>
        <w:sectPr>
          <w:footerReference w:type="default" r:id="rId851"/>
          <w:footnotePr>
            <w:numStart w:val="1"/>
            <w:numRestart w:val="eachPage"/>
          </w:footnotePr>
          <w:pgSz w:orient="portrait" w:w="11905.511811023622" w:h="16837.79527559055"/>
          <w:pgMar w:top="1440" w:right="1440" w:bottom="1440" w:left="1440" w:header="720" w:footer="720" w:gutter="0"/>
          <w:cols w:num="1" w:space="720"/>
        </w:sectPr>
      </w:pPr>
    </w:p>
    <w:bookmarkStart w:id="542" w:name="pg14411_143233"/>
    <w:bookmarkEnd w:id="542"/>
    <w:p>
      <w:pPr>
        <w:pStyle w:val="BookText"/>
      </w:pPr>
      <w:r>
        <w:rPr>
          <w:rFonts w:ascii="IRNazanin" w:hAnsi="IRNazanin" w:eastAsia="IRNazanin" w:cs="IRNazanin"/>
          <w:lang w:bidi="fa-IR"/>
          <w:color w:val="111111"/>
          <w:sz w:val="28"/>
          <w:szCs w:val="28"/>
          <w:rtl/>
        </w:rPr>
        <w:t xml:space="preserve">اعتبار الشکّ فیه؛لأنّ الشرط المذکور من حیث کونه شرطا لهذا المشروط لم یتجاوز عنه،بل محلّه باق،فالشکّ فی تحقّق شرط هذا المشروط شکّ فی الشیء قبل تجاوز محلّه.</w:t>
      </w:r>
    </w:p>
    <w:p>
      <w:pPr>
        <w:pStyle w:val="BookText"/>
      </w:pPr>
      <w:r>
        <w:rPr>
          <w:rFonts w:ascii="IRNazanin" w:hAnsi="IRNazanin" w:eastAsia="IRNazanin" w:cs="IRNazanin"/>
          <w:lang w:bidi="fa-IR"/>
          <w:color w:val="111111"/>
          <w:sz w:val="28"/>
          <w:szCs w:val="28"/>
          <w:rtl/>
        </w:rPr>
        <w:t xml:space="preserve">و ربما بنی بعضهم </w:t>
      </w:r>
      <w:r>
        <w:rPr>
          <w:rStyle w:val="FootnoteReference"/>
        </w:rPr>
        <w:footnoteReference w:id="2581"/>
      </w:r>
      <w:r>
        <w:rPr>
          <w:rFonts w:ascii="IRNazanin" w:hAnsi="IRNazanin" w:eastAsia="IRNazanin" w:cs="IRNazanin"/>
          <w:lang w:bidi="fa-IR"/>
          <w:color w:val="111111"/>
          <w:sz w:val="28"/>
          <w:szCs w:val="28"/>
          <w:rtl/>
        </w:rPr>
        <w:t xml:space="preserve">ذلک علی أنّ معنی عدم العبرة بالشکّ فی الشیء بعد تجاوز المحلّ،هو البناء علی الحصول مطلقا و لو لمشروط آخر </w:t>
      </w:r>
      <w:r>
        <w:rPr>
          <w:rStyle w:val="FootnoteReference"/>
        </w:rPr>
        <w:footnoteReference w:id="2582"/>
      </w:r>
      <w:r>
        <w:rPr>
          <w:rFonts w:ascii="IRNazanin" w:hAnsi="IRNazanin" w:eastAsia="IRNazanin" w:cs="IRNazanin"/>
          <w:lang w:bidi="fa-IR"/>
          <w:color w:val="111111"/>
          <w:sz w:val="28"/>
          <w:szCs w:val="28"/>
          <w:rtl/>
        </w:rPr>
        <w:t xml:space="preserve">،أو یختصّ بالمدخول.</w:t>
      </w:r>
    </w:p>
    <w:p>
      <w:pPr>
        <w:pStyle w:val="Heading6"/>
      </w:pPr>
      <w:bookmarkStart w:id="2097" w:name="_Toc1132"/>
      <w:r>
        <w:t>[معنی عدم العبرة بالشکّ بعد تجاوز المحلّ:]</w:t>
      </w:r>
      <w:bookmarkEnd w:id="2097"/>
    </w:p>
    <w:p>
      <w:pPr>
        <w:pStyle w:val="BookText"/>
      </w:pPr>
      <w:r>
        <w:rPr>
          <w:rFonts w:ascii="IRNazanin" w:hAnsi="IRNazanin" w:eastAsia="IRNazanin" w:cs="IRNazanin"/>
          <w:lang w:bidi="fa-IR"/>
          <w:color w:val="111111"/>
          <w:sz w:val="28"/>
          <w:szCs w:val="28"/>
          <w:rtl/>
        </w:rPr>
        <w:t xml:space="preserve">أقول:لا إشکال فی أنّ معناه البناء علی حصول المشکوک فیه، لکن بعنوانه الذی یتحقّق معه تجاوز المحلّ،لا مطلقا.فلو شکّ فی أثناء العصر فی فعل الظهر بنی علی تحقّق الظهر بعنوان أنّه شرط للعصر و لعدم وجوب العدول إلیه،لا علی تحقّقه مطلقا،حتّی لا یحتاج إلی إعادتها بعد فعل العصر.فالوضوء المشکوک فیما نحن فیه إنّما فات محلّه من حیث کونه شرطا للمشروط المتحقّق،لا من حیث کونه شرطا للمشروط المستقبل.</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 من هنا یظهر أنّ الدخول فی المشروط أیضا لا یکفی فی إلغاء الشکّ فی الشرط،بل لا بدّ من الفراغ عنه؛لأنّ نسبة الشرط إلی جمیع أجزاء المشروط نسبة واحدة،و تجاوز محلّه باعتبار کونه شرطا للأجزاء الماضیة،فلا بدّ من إحرازه للأجزاء المستقبلة.</w:t>
      </w:r>
    </w:p>
    <w:p>
      <w:pPr>
        <w:pStyle w:val="BookText"/>
      </w:pPr>
      <w:r>
        <w:rPr>
          <w:rFonts w:ascii="IRNazanin" w:hAnsi="IRNazanin" w:eastAsia="IRNazanin" w:cs="IRNazanin"/>
          <w:lang w:bidi="fa-IR"/>
          <w:color w:val="111111"/>
          <w:sz w:val="28"/>
          <w:szCs w:val="28"/>
          <w:rtl/>
        </w:rPr>
        <w:t xml:space="preserve">نعم،ربما یدّعی فی مثل الوضوء:أنّ محلّ إحرازه لجمیع أجزاء الصلاة قبل الصلاة لا عند کلّ جزء.</w:t>
      </w:r>
    </w:p>
    <w:p>
      <w:pPr>
        <w:pStyle w:val="BookText"/>
      </w:pPr>
      <w:r>
        <w:rPr>
          <w:rFonts w:ascii="IRNazanin" w:hAnsi="IRNazanin" w:eastAsia="IRNazanin" w:cs="IRNazanin"/>
          <w:lang w:bidi="fa-IR"/>
          <w:color w:val="111111"/>
          <w:sz w:val="28"/>
          <w:szCs w:val="28"/>
          <w:rtl/>
        </w:rPr>
        <w:t xml:space="preserve">[شماره صفحه واقعی : 340]
</w:t>
      </w:r>
    </w:p>
    <w:p>
      <w:pPr>
        <w:sectPr>
          <w:footerReference w:type="default" r:id="rId852"/>
          <w:footnotePr>
            <w:numStart w:val="1"/>
            <w:numRestart w:val="eachPage"/>
          </w:footnotePr>
          <w:pgSz w:orient="portrait" w:w="11905.511811023622" w:h="16837.79527559055"/>
          <w:pgMar w:top="1440" w:right="1440" w:bottom="1440" w:left="1440" w:header="720" w:footer="720" w:gutter="0"/>
          <w:cols w:num="1" w:space="720"/>
        </w:sectPr>
      </w:pPr>
    </w:p>
    <w:bookmarkStart w:id="543" w:name="pg14411_143234"/>
    <w:bookmarkEnd w:id="543"/>
    <w:p>
      <w:pPr>
        <w:pStyle w:val="Heading6"/>
      </w:pPr>
      <w:bookmarkStart w:id="2098" w:name="_Toc1133"/>
      <w:r>
        <w:t>[التفصیل بین الوضوء و نحوه و بین غیره:]</w:t>
      </w:r>
      <w:bookmarkEnd w:id="2098"/>
    </w:p>
    <w:p>
      <w:pPr>
        <w:pStyle w:val="BookText"/>
      </w:pPr>
      <w:r>
        <w:rPr>
          <w:rFonts w:ascii="IRNazanin" w:hAnsi="IRNazanin" w:eastAsia="IRNazanin" w:cs="IRNazanin"/>
          <w:lang w:bidi="fa-IR"/>
          <w:color w:val="111111"/>
          <w:sz w:val="28"/>
          <w:szCs w:val="28"/>
          <w:rtl/>
        </w:rPr>
        <w:t xml:space="preserve">و من هنا قد یفصّل:بین ما کان من قبیل الوضوء ممّا یکون محلّ إحرازه قبل الدخول فی العبادة،و بین غیره ممّا لیس کذلک، کالاستقبال و الستر </w:t>
      </w:r>
      <w:r>
        <w:rPr>
          <w:rStyle w:val="FootnoteReference"/>
        </w:rPr>
        <w:footnoteReference w:id="2583"/>
      </w:r>
      <w:r>
        <w:rPr>
          <w:rFonts w:ascii="IRNazanin" w:hAnsi="IRNazanin" w:eastAsia="IRNazanin" w:cs="IRNazanin"/>
          <w:lang w:bidi="fa-IR"/>
          <w:color w:val="111111"/>
          <w:sz w:val="28"/>
          <w:szCs w:val="28"/>
          <w:rtl/>
        </w:rPr>
        <w:t xml:space="preserve">،فإنّ إحرازهما ممکن فی کلّ جزء،و لیس المحلّ الموظّف لإحرازهما قبل الصلاة بالخصوص،بخلاف الوضوء.و حینئذ فلو شکّ فی أثناء الصلاة فی الستر أو الساتر وجب علیه إحرازه فی أثناء الصلاة للأجزاء المستقبلة.</w:t>
      </w:r>
    </w:p>
    <w:p>
      <w:pPr>
        <w:pStyle w:val="BookText"/>
      </w:pPr>
      <w:r>
        <w:rPr>
          <w:rFonts w:ascii="IRNazanin" w:hAnsi="IRNazanin" w:eastAsia="IRNazanin" w:cs="IRNazanin"/>
          <w:lang w:bidi="fa-IR"/>
          <w:color w:val="111111"/>
          <w:sz w:val="28"/>
          <w:szCs w:val="28"/>
          <w:rtl/>
        </w:rPr>
        <w:t xml:space="preserve">و المسألة لا تخلو عن إشکال،إلاّ أنّه ربما یشهد لما ذکرنا-من التفصیل بین الشکّ فی الوضوء فی أثناء الصلاة،و فیه بعده </w:t>
      </w:r>
      <w:r>
        <w:rPr>
          <w:rStyle w:val="FootnoteReference"/>
        </w:rPr>
        <w:footnoteReference w:id="2584"/>
      </w:r>
      <w:r>
        <w:rPr>
          <w:rFonts w:ascii="IRNazanin" w:hAnsi="IRNazanin" w:eastAsia="IRNazanin" w:cs="IRNazanin"/>
          <w:lang w:bidi="fa-IR"/>
          <w:color w:val="111111"/>
          <w:sz w:val="28"/>
          <w:szCs w:val="28"/>
          <w:rtl/>
        </w:rPr>
        <w:t xml:space="preserve">-صحیحة علیّ بن جعفر عن أخیه علیهما السّلام،قال:«سألته عن الرجل یکون علی وضوء ثمّ یشکّ،علی وضوء هو أم لا؟قال:إذا ذکرها </w:t>
      </w:r>
      <w:r>
        <w:rPr>
          <w:rStyle w:val="FootnoteReference"/>
        </w:rPr>
        <w:footnoteReference w:id="2585"/>
      </w:r>
      <w:r>
        <w:rPr>
          <w:rFonts w:ascii="IRNazanin" w:hAnsi="IRNazanin" w:eastAsia="IRNazanin" w:cs="IRNazanin"/>
          <w:lang w:bidi="fa-IR"/>
          <w:color w:val="111111"/>
          <w:sz w:val="28"/>
          <w:szCs w:val="28"/>
          <w:rtl/>
        </w:rPr>
        <w:t xml:space="preserve">و هو فی صلاته انصرف </w:t>
      </w:r>
      <w:r>
        <w:rPr>
          <w:rStyle w:val="FootnoteReference"/>
        </w:rPr>
        <w:footnoteReference w:id="2586"/>
      </w:r>
      <w:r>
        <w:rPr>
          <w:rFonts w:ascii="IRNazanin" w:hAnsi="IRNazanin" w:eastAsia="IRNazanin" w:cs="IRNazanin"/>
          <w:lang w:bidi="fa-IR"/>
          <w:color w:val="111111"/>
          <w:sz w:val="28"/>
          <w:szCs w:val="28"/>
          <w:rtl/>
        </w:rPr>
        <w:t xml:space="preserve">و أعادها،و إن ذکر و قد فرغ من صلاته أجزأه ذلک» </w:t>
      </w:r>
      <w:r>
        <w:rPr>
          <w:rStyle w:val="FootnoteReference"/>
        </w:rPr>
        <w:footnoteReference w:id="2587"/>
      </w:r>
      <w:r>
        <w:rPr>
          <w:rFonts w:ascii="IRNazanin" w:hAnsi="IRNazanin" w:eastAsia="IRNazanin" w:cs="IRNazanin"/>
          <w:lang w:bidi="fa-IR"/>
          <w:color w:val="111111"/>
          <w:sz w:val="28"/>
          <w:szCs w:val="28"/>
          <w:rtl/>
        </w:rPr>
        <w:t xml:space="preserve">،بناء علی أنّ مورد السؤال الکون علی الوضوء باعتقاده ثمّ شکّ فی ذلک.</w:t>
      </w:r>
    </w:p>
    <w:p>
      <w:pPr>
        <w:pStyle w:val="BookText"/>
      </w:pPr>
      <w:r>
        <w:rPr>
          <w:rFonts w:ascii="IRNazanin" w:hAnsi="IRNazanin" w:eastAsia="IRNazanin" w:cs="IRNazanin"/>
          <w:lang w:bidi="fa-IR"/>
          <w:color w:val="111111"/>
          <w:sz w:val="28"/>
          <w:szCs w:val="28"/>
          <w:rtl/>
        </w:rPr>
        <w:t xml:space="preserve">[شماره صفحه واقعی : 341]
</w:t>
      </w:r>
    </w:p>
    <w:p>
      <w:pPr>
        <w:sectPr>
          <w:footerReference w:type="default" r:id="rId853"/>
          <w:footnotePr>
            <w:numStart w:val="1"/>
            <w:numRestart w:val="eachPage"/>
          </w:footnotePr>
          <w:pgSz w:orient="portrait" w:w="11905.511811023622" w:h="16837.79527559055"/>
          <w:pgMar w:top="1440" w:right="1440" w:bottom="1440" w:left="1440" w:header="720" w:footer="720" w:gutter="0"/>
          <w:cols w:num="1" w:space="720"/>
        </w:sectPr>
      </w:pPr>
    </w:p>
    <w:bookmarkStart w:id="544" w:name="pg14411_143235"/>
    <w:bookmarkEnd w:id="544"/>
    <w:p>
      <w:pPr>
        <w:pStyle w:val="Heading6"/>
      </w:pPr>
      <w:bookmarkStart w:id="2099" w:name="_Toc1134"/>
      <w:r>
        <w:t>الموضع السادس [:هَل یلحق الشکّ فی الصحّة بالشکّ فی الإتیان؟]</w:t>
      </w:r>
      <w:bookmarkEnd w:id="2099"/>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أنّ الشکّ فی صحّة الشیء المأتی به حکمه حکم الشکّ فی الإتیان،بل هو هو؛لأنّ مرجعه إلی الشکّ فی وجود الشیء الصحیح.</w:t>
      </w:r>
    </w:p>
    <w:p>
      <w:pPr>
        <w:pStyle w:val="BookText"/>
      </w:pPr>
      <w:r>
        <w:rPr>
          <w:rFonts w:ascii="IRNazanin" w:hAnsi="IRNazanin" w:eastAsia="IRNazanin" w:cs="IRNazanin"/>
          <w:lang w:bidi="fa-IR"/>
          <w:color w:val="111111"/>
          <w:sz w:val="28"/>
          <w:szCs w:val="28"/>
          <w:rtl/>
        </w:rPr>
        <w:t xml:space="preserve">و محلّ الکلام:ما لا یرجع فیه الشکّ إلی الشکّ فی ترک بعض ما یعتبر فی الصحّة،کما لو شکّ فی تحقّق الموالاة المعتبرة فی حروف الکلمة أو کلمات الآیة.</w:t>
      </w:r>
    </w:p>
    <w:p>
      <w:pPr>
        <w:pStyle w:val="BookText"/>
      </w:pPr>
      <w:r>
        <w:rPr>
          <w:rFonts w:ascii="IRNazanin" w:hAnsi="IRNazanin" w:eastAsia="IRNazanin" w:cs="IRNazanin"/>
          <w:lang w:bidi="fa-IR"/>
          <w:color w:val="111111"/>
          <w:sz w:val="28"/>
          <w:szCs w:val="28"/>
          <w:rtl/>
        </w:rPr>
        <w:t xml:space="preserve">لکنّ الإنصاف:أنّ الإلحاق لا یخلو عن إشکال؛لأنّ الظاهر من أخبار الشکّ فی الشیء اختصاصها بغیر هذه الصورة،إلاّ أن یدّعی تنقیح المناط،أو یستند فیه إلی بعض ما یستفاد منه العموم،مثل موثّقة ابن أبی یعفور </w:t>
      </w:r>
      <w:r>
        <w:rPr>
          <w:rStyle w:val="FootnoteReference"/>
        </w:rPr>
        <w:footnoteReference w:id="2588"/>
      </w:r>
      <w:r>
        <w:rPr>
          <w:rFonts w:ascii="IRNazanin" w:hAnsi="IRNazanin" w:eastAsia="IRNazanin" w:cs="IRNazanin"/>
          <w:lang w:bidi="fa-IR"/>
          <w:color w:val="111111"/>
          <w:sz w:val="28"/>
          <w:szCs w:val="28"/>
          <w:rtl/>
        </w:rPr>
        <w:t xml:space="preserve">،أو یجعل أصالة الصحّة فی فعل الفاعل المرید للصحیح أصلا برأسه،و مدرکه ظهور حال المسلم.</w:t>
      </w:r>
    </w:p>
    <w:p>
      <w:pPr>
        <w:pStyle w:val="BookText"/>
      </w:pPr>
      <w:r>
        <w:rPr>
          <w:rFonts w:ascii="IRNazanin" w:hAnsi="IRNazanin" w:eastAsia="IRNazanin" w:cs="IRNazanin"/>
          <w:lang w:bidi="fa-IR"/>
          <w:color w:val="111111"/>
          <w:sz w:val="28"/>
          <w:szCs w:val="28"/>
          <w:rtl/>
        </w:rPr>
        <w:t xml:space="preserve">قال فخر الدین فی الإیضاح فی مسألة الشکّ فی بعض أفعال الطهارة:</w:t>
      </w:r>
    </w:p>
    <w:p>
      <w:pPr>
        <w:pStyle w:val="BookText"/>
      </w:pPr>
      <w:r>
        <w:rPr>
          <w:rFonts w:ascii="IRNazanin" w:hAnsi="IRNazanin" w:eastAsia="IRNazanin" w:cs="IRNazanin"/>
          <w:lang w:bidi="fa-IR"/>
          <w:color w:val="111111"/>
          <w:sz w:val="28"/>
          <w:szCs w:val="28"/>
          <w:rtl/>
        </w:rPr>
        <w:t xml:space="preserve">إنّ الأصل فی فعل العاقل المکلّف الذی یقصد براءة ذمّته بفعل صحیح،و هو یعلم الکیفیة و الکمیّة،الصحّة </w:t>
      </w:r>
      <w:r>
        <w:rPr>
          <w:rStyle w:val="FootnoteReference"/>
        </w:rPr>
        <w:footnoteReference w:id="2589"/>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یمکن استفادة اعتباره من عموم التعلیل المتقدّم فی قوله:</w:t>
      </w:r>
    </w:p>
    <w:p>
      <w:pPr>
        <w:pStyle w:val="BookText"/>
      </w:pPr>
      <w:r>
        <w:rPr>
          <w:rFonts w:ascii="IRNazanin" w:hAnsi="IRNazanin" w:eastAsia="IRNazanin" w:cs="IRNazanin"/>
          <w:lang w:bidi="fa-IR"/>
          <w:color w:val="111111"/>
          <w:sz w:val="28"/>
          <w:szCs w:val="28"/>
          <w:rtl/>
        </w:rPr>
        <w:t xml:space="preserve">«هو حین یتوضّأ أذکر منه حین یشکّ» </w:t>
      </w:r>
      <w:r>
        <w:rPr>
          <w:rStyle w:val="FootnoteReference"/>
        </w:rPr>
        <w:footnoteReference w:id="2590"/>
      </w:r>
      <w:r>
        <w:rPr>
          <w:rFonts w:ascii="IRNazanin" w:hAnsi="IRNazanin" w:eastAsia="IRNazanin" w:cs="IRNazanin"/>
          <w:lang w:bidi="fa-IR"/>
          <w:color w:val="111111"/>
          <w:sz w:val="28"/>
          <w:szCs w:val="28"/>
          <w:rtl/>
        </w:rPr>
        <w:t xml:space="preserve">فإنّه بمنزلة صغری لقوله:</w:t>
      </w:r>
    </w:p>
    <w:p>
      <w:pPr>
        <w:pStyle w:val="BookText"/>
      </w:pPr>
      <w:r>
        <w:rPr>
          <w:rFonts w:ascii="IRNazanin" w:hAnsi="IRNazanin" w:eastAsia="IRNazanin" w:cs="IRNazanin"/>
          <w:lang w:bidi="fa-IR"/>
          <w:color w:val="111111"/>
          <w:sz w:val="28"/>
          <w:szCs w:val="28"/>
          <w:rtl/>
        </w:rPr>
        <w:t xml:space="preserve">[شماره صفحه واقعی : 342]
</w:t>
      </w:r>
    </w:p>
    <w:p>
      <w:pPr>
        <w:sectPr>
          <w:footerReference w:type="default" r:id="rId8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«فإذا کان أذکر فلا یترک ما یعتبر فی صحّة عمله الذی یرید به إبراء ذمّته»؛لأنّ الترک سهوا خلاف فرض الذکر،و عمدا خلاف إرادة الإبراء </w:t>
      </w:r>
      <w:r>
        <w:rPr>
          <w:rStyle w:val="FootnoteReference"/>
        </w:rPr>
        <w:footnoteReference w:id="25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343]
</w:t>
      </w:r>
    </w:p>
    <w:p>
      <w:pPr>
        <w:sectPr>
          <w:footerReference w:type="default" r:id="rId855"/>
          <w:footnotePr>
            <w:numStart w:val="1"/>
            <w:numRestart w:val="eachPage"/>
          </w:footnotePr>
          <w:pgSz w:orient="portrait" w:w="11905.511811023622" w:h="16837.79527559055"/>
          <w:pgMar w:top="1440" w:right="1440" w:bottom="1440" w:left="1440" w:header="720" w:footer="720" w:gutter="0"/>
          <w:cols w:num="1" w:space="720"/>
        </w:sectPr>
      </w:pPr>
    </w:p>
    <w:bookmarkStart w:id="545" w:name="pg14411_143237"/>
    <w:bookmarkEnd w:id="545"/>
    <w:p>
      <w:pPr>
        <w:pStyle w:val="Heading6"/>
      </w:pPr>
      <w:bookmarkStart w:id="2100" w:name="_Toc1135"/>
      <w:r>
        <w:t>الموضع السابع [ المراد من الشکّ فی موضوع هذه القاعدة:]</w:t>
      </w:r>
      <w:bookmarkEnd w:id="2100"/>
    </w:p>
    <w:p>
      <w:pPr>
        <w:pStyle w:val="BookText"/>
      </w:pPr>
      <w:r>
        <w:rPr>
          <w:rFonts w:ascii="IRNazanin" w:hAnsi="IRNazanin" w:eastAsia="IRNazanin" w:cs="IRNazanin"/>
          <w:lang w:bidi="fa-IR"/>
          <w:color w:val="111111"/>
          <w:sz w:val="28"/>
          <w:szCs w:val="28"/>
          <w:rtl/>
        </w:rPr>
        <w:t xml:space="preserve">الظاهر أنّ المراد بالشکّ فی موضوع </w:t>
      </w:r>
      <w:r>
        <w:rPr>
          <w:rStyle w:val="FootnoteReference"/>
        </w:rPr>
        <w:footnoteReference w:id="2592"/>
      </w:r>
      <w:r>
        <w:rPr>
          <w:rFonts w:ascii="IRNazanin" w:hAnsi="IRNazanin" w:eastAsia="IRNazanin" w:cs="IRNazanin"/>
          <w:lang w:bidi="fa-IR"/>
          <w:color w:val="111111"/>
          <w:sz w:val="28"/>
          <w:szCs w:val="28"/>
          <w:rtl/>
        </w:rPr>
        <w:t xml:space="preserve">هذا الأصل،هو الشکّ الطارئ بسبب الغفلة عن صورة العمل.</w:t>
      </w:r>
    </w:p>
    <w:p>
      <w:pPr>
        <w:pStyle w:val="BookText"/>
      </w:pPr>
      <w:r>
        <w:rPr>
          <w:rFonts w:ascii="IRNazanin" w:hAnsi="IRNazanin" w:eastAsia="IRNazanin" w:cs="IRNazanin"/>
          <w:lang w:bidi="fa-IR"/>
          <w:color w:val="111111"/>
          <w:sz w:val="28"/>
          <w:szCs w:val="28"/>
          <w:rtl/>
        </w:rPr>
        <w:t xml:space="preserve">فلو علم کیفیّة غسل الید،و أنّه کان بارتماسها فی الماء،لکن شکّ فی أنّ ما تحت خاتمه ینغسل بالارتماس أم لا،ففی الحکم بعدم الالتفات،وجهان:</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من إطلاق بعض الأخبار،و من التعلیل بقوله:«هو حین یتوضّأ أذکر منه حین یشکّ» </w:t>
      </w:r>
      <w:r>
        <w:rPr>
          <w:rStyle w:val="FootnoteReference"/>
        </w:rPr>
        <w:footnoteReference w:id="2593"/>
      </w:r>
      <w:r>
        <w:rPr>
          <w:rFonts w:ascii="IRNazanin" w:hAnsi="IRNazanin" w:eastAsia="IRNazanin" w:cs="IRNazanin"/>
          <w:lang w:bidi="fa-IR"/>
          <w:color w:val="111111"/>
          <w:sz w:val="28"/>
          <w:szCs w:val="28"/>
          <w:rtl/>
        </w:rPr>
        <w:t xml:space="preserve">،فإنّ التعلیل یدلّ علی تخصیص الحکم بمورده مع عموم السؤال،فیدلّ علی نفیه عن غیر مورد العلّة.</w:t>
      </w:r>
    </w:p>
    <w:p>
      <w:pPr>
        <w:pStyle w:val="Heading6"/>
      </w:pPr>
      <w:bookmarkStart w:id="2101" w:name="_Toc1136"/>
      <w:r>
        <w:t>[عدم الفرق بین أن یکون المحتمل الترک نسیانا أو تعمّدا:]</w:t>
      </w:r>
      <w:bookmarkEnd w:id="2101"/>
    </w:p>
    <w:p>
      <w:pPr>
        <w:pStyle w:val="BookText"/>
      </w:pPr>
      <w:r>
        <w:rPr>
          <w:rFonts w:ascii="IRNazanin" w:hAnsi="IRNazanin" w:eastAsia="IRNazanin" w:cs="IRNazanin"/>
          <w:lang w:bidi="fa-IR"/>
          <w:color w:val="111111"/>
          <w:sz w:val="28"/>
          <w:szCs w:val="28"/>
          <w:rtl/>
        </w:rPr>
        <w:t xml:space="preserve">نعم،لا فرق بین أن یکون المحتمل ترک الجزء نسیانا،أو ترکه تعمّدا، و </w:t>
      </w:r>
      <w:r>
        <w:rPr>
          <w:rStyle w:val="FootnoteReference"/>
        </w:rPr>
        <w:footnoteReference w:id="2594"/>
      </w:r>
      <w:r>
        <w:rPr>
          <w:rFonts w:ascii="IRNazanin" w:hAnsi="IRNazanin" w:eastAsia="IRNazanin" w:cs="IRNazanin"/>
          <w:lang w:bidi="fa-IR"/>
          <w:color w:val="111111"/>
          <w:sz w:val="28"/>
          <w:szCs w:val="28"/>
          <w:rtl/>
        </w:rPr>
        <w:t xml:space="preserve">التعلیل المذکور بضمیمة الکبری المتقدّمة </w:t>
      </w:r>
      <w:r>
        <w:rPr>
          <w:rStyle w:val="FootnoteReference"/>
        </w:rPr>
        <w:footnoteReference w:id="2595"/>
      </w:r>
      <w:r>
        <w:rPr>
          <w:rFonts w:ascii="IRNazanin" w:hAnsi="IRNazanin" w:eastAsia="IRNazanin" w:cs="IRNazanin"/>
          <w:lang w:bidi="fa-IR"/>
          <w:color w:val="111111"/>
          <w:sz w:val="28"/>
          <w:szCs w:val="28"/>
          <w:rtl/>
        </w:rPr>
        <w:t xml:space="preserve">یدلّ علی نفی الاحتمالین.</w:t>
      </w:r>
    </w:p>
    <w:p>
      <w:pPr>
        <w:pStyle w:val="BookText"/>
      </w:pPr>
      <w:r>
        <w:rPr>
          <w:rFonts w:ascii="IRNazanin" w:hAnsi="IRNazanin" w:eastAsia="IRNazanin" w:cs="IRNazanin"/>
          <w:lang w:bidi="fa-IR"/>
          <w:color w:val="111111"/>
          <w:sz w:val="28"/>
          <w:szCs w:val="28"/>
          <w:rtl/>
        </w:rPr>
        <w:t xml:space="preserve">و لو کان الشکّ من جهة احتمال وجود الحائل علی البدن،ففی شمول الأخبار له،الوجهان.نعم،قد یجری هنا أصالة عدم الحائل، فیحکم بعدمه حتّی لو لم یفرغ عن الوضوء،بل لم یشرع فی غسل موضع احتمال الحائل،لکنّه من الاصول المثبتة.و قد ذکرنا بعض الکلام فی ذلک فی بعض الامور المتقدّمة </w:t>
      </w:r>
      <w:r>
        <w:rPr>
          <w:rStyle w:val="FootnoteReference"/>
        </w:rPr>
        <w:footnoteReference w:id="25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344]
</w:t>
      </w:r>
    </w:p>
    <w:p>
      <w:pPr>
        <w:sectPr>
          <w:footerReference w:type="default" r:id="rId856"/>
          <w:footnotePr>
            <w:numStart w:val="1"/>
            <w:numRestart w:val="eachPage"/>
          </w:footnotePr>
          <w:pgSz w:orient="portrait" w:w="11905.511811023622" w:h="16837.79527559055"/>
          <w:pgMar w:top="1440" w:right="1440" w:bottom="1440" w:left="1440" w:header="720" w:footer="720" w:gutter="0"/>
          <w:cols w:num="1" w:space="720"/>
        </w:sectPr>
      </w:pPr>
    </w:p>
    <w:bookmarkStart w:id="546" w:name="pg14411_143238"/>
    <w:bookmarkEnd w:id="546"/>
    <w:p>
      <w:pPr>
        <w:pStyle w:val="Heading6"/>
      </w:pPr>
      <w:bookmarkStart w:id="2102" w:name="_Toc1137"/>
      <w:r>
        <w:t>المسألة الثالثة فی أصالة الصحّة فی فعل الغیر</w:t>
      </w:r>
      <w:bookmarkEnd w:id="2102"/>
    </w:p>
    <w:p>
      <w:pPr>
        <w:pStyle w:val="Heading6"/>
      </w:pPr>
      <w:bookmarkStart w:id="2103" w:name="_Toc1138"/>
      <w:r>
        <w:t>[أصالة الصحّة من الاصول المجمع علیها بین المسلمین:]</w:t>
      </w:r>
      <w:bookmarkEnd w:id="2103"/>
    </w:p>
    <w:p>
      <w:pPr>
        <w:pStyle w:val="BookText"/>
      </w:pPr>
      <w:r>
        <w:rPr>
          <w:rFonts w:ascii="IRNazanin" w:hAnsi="IRNazanin" w:eastAsia="IRNazanin" w:cs="IRNazanin"/>
          <w:lang w:bidi="fa-IR"/>
          <w:color w:val="111111"/>
          <w:sz w:val="28"/>
          <w:szCs w:val="28"/>
          <w:rtl/>
        </w:rPr>
        <w:t xml:space="preserve">و هی فی الجملة من الاصول المجمع علیها فتوی و عملا </w:t>
      </w:r>
      <w:r>
        <w:rPr>
          <w:rStyle w:val="FootnoteReference"/>
        </w:rPr>
        <w:footnoteReference w:id="2597"/>
      </w:r>
      <w:r>
        <w:rPr>
          <w:rFonts w:ascii="IRNazanin" w:hAnsi="IRNazanin" w:eastAsia="IRNazanin" w:cs="IRNazanin"/>
          <w:lang w:bidi="fa-IR"/>
          <w:color w:val="111111"/>
          <w:sz w:val="28"/>
          <w:szCs w:val="28"/>
          <w:rtl/>
        </w:rPr>
        <w:t xml:space="preserve">بین المسلمین،فلا عبرة فی موردها بأصالة الفساد المتّفق علیها عند الشکّ </w:t>
      </w:r>
      <w:r>
        <w:rPr>
          <w:rStyle w:val="FootnoteReference"/>
        </w:rPr>
        <w:footnoteReference w:id="2598"/>
      </w:r>
      <w:r>
        <w:rPr>
          <w:rFonts w:ascii="IRNazanin" w:hAnsi="IRNazanin" w:eastAsia="IRNazanin" w:cs="IRNazanin"/>
          <w:lang w:bidi="fa-IR"/>
          <w:color w:val="111111"/>
          <w:sz w:val="28"/>
          <w:szCs w:val="28"/>
          <w:rtl/>
        </w:rPr>
        <w:t xml:space="preserve">، إلاّ أنّ معرفة مواردها،و مقدار ما یترتّب علیها من الآثار،و معرفة حالها عند مقابلتها لما عدا أصالة الفساد من الاصول،یتوقّف علی بیان مدرکها من الأدلّة الأربعة.</w:t>
      </w:r>
    </w:p>
    <w:p>
      <w:pPr>
        <w:pStyle w:val="Heading6"/>
      </w:pPr>
      <w:bookmarkStart w:id="2104" w:name="_Toc1139"/>
      <w:r>
        <w:t>[مدرک أصالة الصحّة:]</w:t>
      </w:r>
      <w:bookmarkEnd w:id="2104"/>
    </w:p>
    <w:p>
      <w:pPr>
        <w:pStyle w:val="BookText"/>
      </w:pPr>
      <w:r>
        <w:rPr>
          <w:rFonts w:ascii="IRNazanin" w:hAnsi="IRNazanin" w:eastAsia="IRNazanin" w:cs="IRNazanin"/>
          <w:lang w:bidi="fa-IR"/>
          <w:color w:val="111111"/>
          <w:sz w:val="28"/>
          <w:szCs w:val="28"/>
          <w:rtl/>
        </w:rPr>
        <w:t xml:space="preserve">و لا بدّ من تقدیم ما فیه إشارة إلی هذه القاعدة فی الجملة من الکتاب و السنّة.</w:t>
      </w:r>
    </w:p>
    <w:p>
      <w:pPr>
        <w:pStyle w:val="Heading6"/>
      </w:pPr>
      <w:bookmarkStart w:id="2105" w:name="_Toc1140"/>
      <w:r>
        <w:t>[الاستدلال بالآیات و المناقشة فیه:]</w:t>
      </w:r>
      <w:bookmarkEnd w:id="2105"/>
    </w:p>
    <w:p>
      <w:pPr>
        <w:pStyle w:val="BookText"/>
      </w:pPr>
      <w:r>
        <w:rPr>
          <w:rFonts w:ascii="IRNazanin" w:hAnsi="IRNazanin" w:eastAsia="IRNazanin" w:cs="IRNazanin"/>
          <w:lang w:bidi="fa-IR"/>
          <w:color w:val="111111"/>
          <w:sz w:val="28"/>
          <w:szCs w:val="28"/>
          <w:rtl/>
        </w:rPr>
        <w:t xml:space="preserve">أمّا الکتاب،فمنه آیات:</w:t>
      </w:r>
    </w:p>
    <w:p>
      <w:pPr>
        <w:pStyle w:val="BookText"/>
      </w:pPr>
      <w:r>
        <w:rPr>
          <w:rFonts w:ascii="Amiri" w:hAnsi="Amiri" w:eastAsia="Amiri" w:cs="Amiri"/>
          <w:lang w:bidi="ar-SA"/>
          <w:color w:val="111111"/>
          <w:sz w:val="28"/>
          <w:szCs w:val="28"/>
          <w:rtl/>
        </w:rPr>
        <w:t xml:space="preserve">منها:قوله تعالی: قُولُوا لِلنّٰاسِ حُسْناً </w:t>
      </w:r>
      <w:r>
        <w:rPr>
          <w:rStyle w:val="FootnoteReference"/>
        </w:rPr>
        <w:footnoteReference w:id="2599"/>
      </w:r>
      <w:r>
        <w:rPr>
          <w:rFonts w:ascii="IRNazanin" w:hAnsi="IRNazanin" w:eastAsia="IRNazanin" w:cs="IRNazanin"/>
          <w:lang w:bidi="fa-IR"/>
          <w:color w:val="111111"/>
          <w:sz w:val="28"/>
          <w:szCs w:val="28"/>
          <w:rtl/>
        </w:rPr>
        <w:t xml:space="preserve">،بناء علی تفسیره بما فی الکافی،من قوله علیه السّلام:«لا تقولوا إلاّ خیرا حتّی تعلموا ما هو» </w:t>
      </w:r>
      <w:r>
        <w:rPr>
          <w:rStyle w:val="FootnoteReference"/>
        </w:rPr>
        <w:footnoteReference w:id="2600"/>
      </w:r>
      <w:r>
        <w:rPr>
          <w:rFonts w:ascii="IRNazanin" w:hAnsi="IRNazanin" w:eastAsia="IRNazanin" w:cs="IRNazanin"/>
          <w:lang w:bidi="fa-IR"/>
          <w:color w:val="111111"/>
          <w:sz w:val="28"/>
          <w:szCs w:val="28"/>
          <w:rtl/>
        </w:rPr>
        <w:t xml:space="preserve">، و لعلّ مبناه علی إرادة الظنّ و الاعتقاد من القول.</w:t>
      </w:r>
    </w:p>
    <w:p>
      <w:pPr>
        <w:pStyle w:val="BookText"/>
      </w:pPr>
      <w:r>
        <w:rPr>
          <w:rFonts w:ascii="IRNazanin" w:hAnsi="IRNazanin" w:eastAsia="IRNazanin" w:cs="IRNazanin"/>
          <w:lang w:bidi="fa-IR"/>
          <w:color w:val="111111"/>
          <w:sz w:val="28"/>
          <w:szCs w:val="28"/>
          <w:rtl/>
        </w:rPr>
        <w:t xml:space="preserve">[شماره صفحه واقعی : 345]
</w:t>
      </w:r>
    </w:p>
    <w:p>
      <w:pPr>
        <w:sectPr>
          <w:footerReference w:type="default" r:id="rId857"/>
          <w:footnotePr>
            <w:numStart w:val="1"/>
            <w:numRestart w:val="eachPage"/>
          </w:footnotePr>
          <w:pgSz w:orient="portrait" w:w="11905.511811023622" w:h="16837.79527559055"/>
          <w:pgMar w:top="1440" w:right="1440" w:bottom="1440" w:left="1440" w:header="720" w:footer="720" w:gutter="0"/>
          <w:cols w:num="1" w:space="720"/>
        </w:sectPr>
      </w:pPr>
    </w:p>
    <w:bookmarkStart w:id="547" w:name="pg14411_143239"/>
    <w:bookmarkEnd w:id="547"/>
    <w:p>
      <w:pPr>
        <w:pStyle w:val="BookText"/>
      </w:pPr>
      <w:r>
        <w:rPr>
          <w:rFonts w:ascii="Amiri" w:hAnsi="Amiri" w:eastAsia="Amiri" w:cs="Amiri"/>
          <w:lang w:bidi="ar-SA"/>
          <w:color w:val="111111"/>
          <w:sz w:val="28"/>
          <w:szCs w:val="28"/>
          <w:rtl/>
        </w:rPr>
        <w:t xml:space="preserve">و منها:قوله تعالی: اِجْتَنِبُوا کَثِیراً مِنَ الظَّنِّ إِنَّ بَعْضَ الظَّنِّ إِثْمٌ </w:t>
      </w:r>
      <w:r>
        <w:rPr>
          <w:rStyle w:val="FootnoteReference"/>
        </w:rPr>
        <w:footnoteReference w:id="2601"/>
      </w:r>
      <w:r>
        <w:rPr>
          <w:rFonts w:ascii="IRNazanin" w:hAnsi="IRNazanin" w:eastAsia="IRNazanin" w:cs="IRNazanin"/>
          <w:lang w:bidi="fa-IR"/>
          <w:color w:val="111111"/>
          <w:sz w:val="28"/>
          <w:szCs w:val="28"/>
          <w:rtl/>
        </w:rPr>
        <w:t xml:space="preserve">،فإنّ ظنّ السوء إثم،و إلاّ لم یکن شیء من الظنّ إثما.</w:t>
      </w:r>
    </w:p>
    <w:p>
      <w:pPr>
        <w:pStyle w:val="BookText"/>
      </w:pPr>
      <w:r>
        <w:rPr>
          <w:rFonts w:ascii="Amiri" w:hAnsi="Amiri" w:eastAsia="Amiri" w:cs="Amiri"/>
          <w:lang w:bidi="ar-SA"/>
          <w:color w:val="111111"/>
          <w:sz w:val="28"/>
          <w:szCs w:val="28"/>
          <w:rtl/>
        </w:rPr>
        <w:t xml:space="preserve">و منها:قوله تعالی: أَوْفُوا بِالْعُقُودِ </w:t>
      </w:r>
      <w:r>
        <w:rPr>
          <w:rStyle w:val="FootnoteReference"/>
        </w:rPr>
        <w:footnoteReference w:id="2602"/>
      </w:r>
      <w:r>
        <w:rPr>
          <w:rFonts w:ascii="Amiri" w:hAnsi="Amiri" w:eastAsia="Amiri" w:cs="Amiri"/>
          <w:lang w:bidi="ar-SA"/>
          <w:color w:val="111111"/>
          <w:sz w:val="28"/>
          <w:szCs w:val="28"/>
          <w:rtl/>
        </w:rPr>
        <w:t xml:space="preserve">،بناء علی أنّ الخارج من عمومه لیس إلاّ ما علم فساده؛لأنّه المتیقّن.و کذا قوله تعالی: إِلاّٰ أَنْ تَکُونَ تِجٰارَةً عَنْ تَرٰاضٍ </w:t>
      </w:r>
      <w:r>
        <w:rPr>
          <w:rStyle w:val="FootnoteReference"/>
        </w:rPr>
        <w:footnoteReference w:id="26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الاستدلال به یظهر من المحقّق الثانی،حیث تمسّک فی مسألة بیع الراهن مدّعیا لسبق إذن المرتهن،و أنکر المرتهن السبق:بأنّ الأصل صحّة البیع و لزومه و وجوب الوفاء بالعقد </w:t>
      </w:r>
      <w:r>
        <w:rPr>
          <w:rStyle w:val="FootnoteReference"/>
        </w:rPr>
        <w:footnoteReference w:id="26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لکن لا یخفی ما فیه من الضعف.</w:t>
      </w:r>
    </w:p>
    <w:p>
      <w:pPr>
        <w:pStyle w:val="BookText"/>
      </w:pPr>
      <w:r>
        <w:rPr>
          <w:rFonts w:ascii="IRNazanin" w:hAnsi="IRNazanin" w:eastAsia="IRNazanin" w:cs="IRNazanin"/>
          <w:lang w:bidi="fa-IR"/>
          <w:color w:val="111111"/>
          <w:sz w:val="28"/>
          <w:szCs w:val="28"/>
          <w:rtl/>
        </w:rPr>
        <w:t xml:space="preserve">و أضعف منه:دعوی دلالة الآیتین الاولیتین.</w:t>
      </w:r>
    </w:p>
    <w:p>
      <w:pPr>
        <w:pStyle w:val="Heading6"/>
      </w:pPr>
      <w:bookmarkStart w:id="2106" w:name="_Toc1141"/>
      <w:r>
        <w:t>و أمّا السنّة: [الاستدلال بالأخبار]</w:t>
      </w:r>
      <w:bookmarkEnd w:id="2106"/>
    </w:p>
    <w:p>
      <w:pPr>
        <w:pStyle w:val="BookText"/>
      </w:pPr>
      <w:r>
        <w:rPr>
          <w:rFonts w:ascii="IRNazanin" w:hAnsi="IRNazanin" w:eastAsia="IRNazanin" w:cs="IRNazanin"/>
          <w:lang w:bidi="fa-IR"/>
          <w:color w:val="111111"/>
          <w:sz w:val="28"/>
          <w:szCs w:val="28"/>
          <w:rtl/>
        </w:rPr>
        <w:t xml:space="preserve">فمنها:ما فی الکافی عن أمیر المؤمنین علیه السّلام:«ضع أمر أخیک علی أحسنه حتّی یأتیک ما یقلّبک عنه،و لا تظنّنّ بکلمة خرجت من أخیک سوءا و أنت تجد لها فی الخیر سبیلا» </w:t>
      </w:r>
      <w:r>
        <w:rPr>
          <w:rStyle w:val="FootnoteReference"/>
        </w:rPr>
        <w:footnoteReference w:id="26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346]
</w:t>
      </w:r>
    </w:p>
    <w:p>
      <w:pPr>
        <w:sectPr>
          <w:footerReference w:type="default" r:id="rId858"/>
          <w:footnotePr>
            <w:numStart w:val="1"/>
            <w:numRestart w:val="eachPage"/>
          </w:footnotePr>
          <w:pgSz w:orient="portrait" w:w="11905.511811023622" w:h="16837.79527559055"/>
          <w:pgMar w:top="1440" w:right="1440" w:bottom="1440" w:left="1440" w:header="720" w:footer="720" w:gutter="0"/>
          <w:cols w:num="1" w:space="720"/>
        </w:sectPr>
      </w:pPr>
    </w:p>
    <w:bookmarkStart w:id="548" w:name="pg14411_143240"/>
    <w:bookmarkEnd w:id="548"/>
    <w:p>
      <w:pPr>
        <w:pStyle w:val="BookText"/>
      </w:pPr>
      <w:r>
        <w:rPr>
          <w:rFonts w:ascii="IRNazanin" w:hAnsi="IRNazanin" w:eastAsia="IRNazanin" w:cs="IRNazanin"/>
          <w:lang w:bidi="fa-IR"/>
          <w:color w:val="111111"/>
          <w:sz w:val="28"/>
          <w:szCs w:val="28"/>
          <w:rtl/>
        </w:rPr>
        <w:t xml:space="preserve">و منها:قول الصادق علیه السّلام لمحمّد بن الفضل:«یا محمّد،کذّب سمعک و بصرک عن أخیک،فإن شهد عندک خمسون قسامة أنّه قال، و قال:لم أقل،فصدّقه و کذّبهم» </w:t>
      </w:r>
      <w:r>
        <w:rPr>
          <w:rStyle w:val="FootnoteReference"/>
        </w:rPr>
        <w:footnoteReference w:id="26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منها:ما ورد مستفیضا،من أنّ«المؤمن لا یتّهم أخاه» </w:t>
      </w:r>
      <w:r>
        <w:rPr>
          <w:rStyle w:val="FootnoteReference"/>
        </w:rPr>
        <w:footnoteReference w:id="2607"/>
      </w:r>
      <w:r>
        <w:rPr>
          <w:rFonts w:ascii="IRNazanin" w:hAnsi="IRNazanin" w:eastAsia="IRNazanin" w:cs="IRNazanin"/>
          <w:lang w:bidi="fa-IR"/>
          <w:color w:val="111111"/>
          <w:sz w:val="28"/>
          <w:szCs w:val="28"/>
          <w:rtl/>
        </w:rPr>
        <w:t xml:space="preserve">و أنّه «إذا اتّهم أخاه انماث الإیمان فی قلبه،کما ینماث الملح فی الماء» </w:t>
      </w:r>
      <w:r>
        <w:rPr>
          <w:rStyle w:val="FootnoteReference"/>
        </w:rPr>
        <w:footnoteReference w:id="2608"/>
      </w:r>
      <w:r>
        <w:rPr>
          <w:rFonts w:ascii="IRNazanin" w:hAnsi="IRNazanin" w:eastAsia="IRNazanin" w:cs="IRNazanin"/>
          <w:lang w:bidi="fa-IR"/>
          <w:color w:val="111111"/>
          <w:sz w:val="28"/>
          <w:szCs w:val="28"/>
          <w:rtl/>
        </w:rPr>
        <w:t xml:space="preserve">،و أنّ «من اتّهم أخاه فلا حرمة بینهما» </w:t>
      </w:r>
      <w:r>
        <w:rPr>
          <w:rStyle w:val="FootnoteReference"/>
        </w:rPr>
        <w:footnoteReference w:id="2609"/>
      </w:r>
      <w:r>
        <w:rPr>
          <w:rFonts w:ascii="IRNazanin" w:hAnsi="IRNazanin" w:eastAsia="IRNazanin" w:cs="IRNazanin"/>
          <w:lang w:bidi="fa-IR"/>
          <w:color w:val="111111"/>
          <w:sz w:val="28"/>
          <w:szCs w:val="28"/>
          <w:rtl/>
        </w:rPr>
        <w:t xml:space="preserve">،و أنّ«من اتّهم أخاه فهو ملعون ملعون» </w:t>
      </w:r>
      <w:r>
        <w:rPr>
          <w:rStyle w:val="FootnoteReference"/>
        </w:rPr>
        <w:footnoteReference w:id="2610"/>
      </w:r>
      <w:r>
        <w:rPr>
          <w:rFonts w:ascii="IRNazanin" w:hAnsi="IRNazanin" w:eastAsia="IRNazanin" w:cs="IRNazanin"/>
          <w:lang w:bidi="fa-IR"/>
          <w:color w:val="111111"/>
          <w:sz w:val="28"/>
          <w:szCs w:val="28"/>
          <w:rtl/>
        </w:rPr>
        <w:t xml:space="preserve">،إلی غیر ذلک من الأخبار المشتملة علی هذه المضامین،أو ما یقرب منها </w:t>
      </w:r>
      <w:r>
        <w:rPr>
          <w:rStyle w:val="FootnoteReference"/>
        </w:rPr>
        <w:footnoteReference w:id="2611"/>
      </w:r>
      <w:r>
        <w:rPr>
          <w:rFonts w:ascii="Times New Roman" w:hAnsi="Times New Roman" w:eastAsia="Times New Roman" w:cs="Times New Roman"/>
          <w:lang w:val="en-US" w:bidi="en-US"/>
          <w:color w:val="111111"/>
          <w:sz w:val="28"/>
          <w:szCs w:val="28"/>
          <w:rtl/>
        </w:rPr>
        <w:t xml:space="preserve">.</w:t>
      </w:r>
    </w:p>
    <w:p>
      <w:pPr>
        <w:pStyle w:val="Heading6"/>
      </w:pPr>
      <w:bookmarkStart w:id="2107" w:name="_Toc1142"/>
      <w:r>
        <w:t>[المناقشة فی دلالة الأخبار:]</w:t>
      </w:r>
      <w:bookmarkEnd w:id="2107"/>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هذا،و لکنّ الإنصاف:عدم دلالة هذه الأخبار إلاّ علی أنّه لا بدّ من أن یحمل ما یصدر من الفاعل علی الوجه الحسن عند الفاعل،و لا یحمل علی الوجه القبیح عنده،و هذا غیر ما نحن بصدده؛فإنّه إذا فرض دوران العقد الصادر منه بین کونه صحیحا أو فاسدا لا علی وجه قبیح،بل فرضنا الأمرین فی حقّه مباحا،کبیع الراهن بعد رجوع المرتهن عن الإذن واقعا أو قبله،فإنّ الحکم بأصالة عدم ترتّب الأثر</w:t>
      </w:r>
    </w:p>
    <w:p>
      <w:pPr>
        <w:pStyle w:val="BookText"/>
      </w:pPr>
      <w:r>
        <w:rPr>
          <w:rFonts w:ascii="IRNazanin" w:hAnsi="IRNazanin" w:eastAsia="IRNazanin" w:cs="IRNazanin"/>
          <w:lang w:bidi="fa-IR"/>
          <w:color w:val="111111"/>
          <w:sz w:val="28"/>
          <w:szCs w:val="28"/>
          <w:rtl/>
        </w:rPr>
        <w:t xml:space="preserve">[شماره صفحه واقعی : 347]
</w:t>
      </w:r>
    </w:p>
    <w:p>
      <w:pPr>
        <w:sectPr>
          <w:footerReference w:type="default" r:id="rId8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البیع-مثلا-لا یوجب خروجا عن الأخبار المتقدّمة الآمرة بحسن الظنّ بالمؤمن فی المقام،خصوصا إذا کان المشکوک فعل غیر المؤمن،أو فعل المؤمن الذی یعتقد بصحّة ما هو الفاسد عند الحامل.</w:t>
      </w:r>
    </w:p>
    <w:p>
      <w:pPr>
        <w:pStyle w:val="BookText"/>
      </w:pPr>
      <w:r>
        <w:rPr>
          <w:rFonts w:ascii="IRNazanin" w:hAnsi="IRNazanin" w:eastAsia="IRNazanin" w:cs="IRNazanin"/>
          <w:lang w:bidi="fa-IR"/>
          <w:color w:val="111111"/>
          <w:sz w:val="28"/>
          <w:szCs w:val="28"/>
          <w:rtl/>
        </w:rPr>
        <w:t xml:space="preserve">ثمّ لو فرضنا أنّه یلزم من الحسن ترتیب الآثار،و من القبیح عدم الترتیب-کالمعاملة المردّدة بین الربویّة و غیرها-لم یلزم من الحمل علی الحسن بمقتضی تلک الأخبار الحکم بترتّب الآثار؛لأنّ مفادها الحکم بصفة الحسن فی فعل المؤمن،بمعنی عدم الجرح فی فعله، لا ترتیب جمیع آثار ذلک الفعل الحسن،أ لا تری أنّه لو دار الأمر بین کون الکلام المسموع من مؤمن بعید سلاما،أو تحیّة،أو شتما،لم یلزم من الحمل علی الحسن وجوب ردّ السلام.</w:t>
      </w:r>
    </w:p>
    <w:p>
      <w:pPr>
        <w:pStyle w:val="BookText"/>
      </w:pPr>
      <w:r>
        <w:rPr>
          <w:rFonts w:ascii="IRNazanin" w:hAnsi="IRNazanin" w:eastAsia="IRNazanin" w:cs="IRNazanin"/>
          <w:lang w:bidi="fa-IR"/>
          <w:color w:val="111111"/>
          <w:sz w:val="28"/>
          <w:szCs w:val="28"/>
          <w:rtl/>
        </w:rPr>
        <w:t xml:space="preserve">و ممّا یؤیّد ما ذکرنا،جمع الإمام علیه السّلام فی روایة محمد بن الفضل، بین تکذیب خمسین قسامة-أعنی البیّنة العادلة-و تصدیق الأخ المؤمن، فإنّه ممّا لا یمکن إلاّ بحمل تصدیق المؤمن علی الحکم بمطابقة الواقع، المستلزم لتکذیب القسامة-بمعنی المخالفة للواقع-مع الحکم بصدقهم فی اعتقادهم؛لأنّهم أولی بحسن الظنّ بهم من المؤمن الواحد.فالمراد من تکذیب السمع و البصر تکذیبهما فیما یفهمان من ظواهر بعض الأفعال من القبح،کما إذا تری شخصا ظاهر الصحّة یشرب الخمر فی مجلس یظنّ أنّه مجلس الشرب.</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 کیف کان،فعدم وفاء الأخبار بما نحن بصدده أوضح من أن یحتاج إلی البیان،حتّی المرسل الأوّل،بقرینة ذکر الأخ،و قوله علیه السّلام:</w:t>
      </w:r>
    </w:p>
    <w:p>
      <w:pPr>
        <w:pStyle w:val="BookText"/>
      </w:pPr>
      <w:r>
        <w:rPr>
          <w:rFonts w:ascii="Amiri" w:hAnsi="Amiri" w:eastAsia="Amiri" w:cs="Amiri"/>
          <w:lang w:bidi="ar-SA"/>
          <w:color w:val="111111"/>
          <w:sz w:val="28"/>
          <w:szCs w:val="28"/>
          <w:rtl/>
        </w:rPr>
        <w:t xml:space="preserve">«و لا تظنّنّ...الخبر».</w:t>
      </w:r>
    </w:p>
    <w:p>
      <w:pPr>
        <w:pStyle w:val="BookText"/>
      </w:pPr>
      <w:r>
        <w:rPr>
          <w:rFonts w:ascii="IRNazanin" w:hAnsi="IRNazanin" w:eastAsia="IRNazanin" w:cs="IRNazanin"/>
          <w:lang w:bidi="fa-IR"/>
          <w:color w:val="111111"/>
          <w:sz w:val="28"/>
          <w:szCs w:val="28"/>
          <w:rtl/>
        </w:rPr>
        <w:t xml:space="preserve">و ممّا یؤیّد ما ذکرنا أیضا،ما ورد فی غیر واحد من الروایات:</w:t>
      </w:r>
    </w:p>
    <w:p>
      <w:pPr>
        <w:pStyle w:val="BookText"/>
      </w:pPr>
      <w:r>
        <w:rPr>
          <w:rFonts w:ascii="IRNazanin" w:hAnsi="IRNazanin" w:eastAsia="IRNazanin" w:cs="IRNazanin"/>
          <w:lang w:bidi="fa-IR"/>
          <w:color w:val="111111"/>
          <w:sz w:val="28"/>
          <w:szCs w:val="28"/>
          <w:rtl/>
        </w:rPr>
        <w:t xml:space="preserve">[شماره صفحه واقعی : 348]
</w:t>
      </w:r>
    </w:p>
    <w:p>
      <w:pPr>
        <w:sectPr>
          <w:footerReference w:type="default" r:id="rId8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عدم جواز الوثوق بالمؤمن کلّ الوثوق،مثل:</w:t>
      </w:r>
    </w:p>
    <w:p>
      <w:pPr>
        <w:pStyle w:val="BookText"/>
      </w:pPr>
      <w:r>
        <w:rPr>
          <w:rFonts w:ascii="IRNazanin" w:hAnsi="IRNazanin" w:eastAsia="IRNazanin" w:cs="IRNazanin"/>
          <w:lang w:bidi="fa-IR"/>
          <w:color w:val="111111"/>
          <w:sz w:val="28"/>
          <w:szCs w:val="28"/>
          <w:rtl/>
        </w:rPr>
        <w:t xml:space="preserve">روایة عبد اللّه بن سنان عن أبی عبد اللّه علیه السّلام قال:«لا تثقنّ بأخیک کلّ الثقة؛فإنّ صرعة الاسترسال لا تستقال» </w:t>
      </w:r>
      <w:r>
        <w:rPr>
          <w:rStyle w:val="FootnoteReference"/>
        </w:rPr>
        <w:footnoteReference w:id="26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ما فی نهج البلاغة عنه علیه السّلام:«إذا استولی الصلاح علی الزمان و أهله،ثمّ أساء رجل الظنّ برجل لم یظهر </w:t>
      </w:r>
      <w:r>
        <w:rPr>
          <w:rStyle w:val="FootnoteReference"/>
        </w:rPr>
        <w:footnoteReference w:id="2613"/>
      </w:r>
      <w:r>
        <w:rPr>
          <w:rFonts w:ascii="IRNazanin" w:hAnsi="IRNazanin" w:eastAsia="IRNazanin" w:cs="IRNazanin"/>
          <w:lang w:bidi="fa-IR"/>
          <w:color w:val="111111"/>
          <w:sz w:val="28"/>
          <w:szCs w:val="28"/>
          <w:rtl/>
        </w:rPr>
        <w:t xml:space="preserve">منه خزیة </w:t>
      </w:r>
      <w:r>
        <w:rPr>
          <w:rStyle w:val="FootnoteReference"/>
        </w:rPr>
        <w:footnoteReference w:id="2614"/>
      </w:r>
      <w:r>
        <w:rPr>
          <w:rFonts w:ascii="IRNazanin" w:hAnsi="IRNazanin" w:eastAsia="IRNazanin" w:cs="IRNazanin"/>
          <w:lang w:bidi="fa-IR"/>
          <w:color w:val="111111"/>
          <w:sz w:val="28"/>
          <w:szCs w:val="28"/>
          <w:rtl/>
        </w:rPr>
        <w:t xml:space="preserve">،فقد ظلم، و إذا استولی الفساد علی الزمان و أهله،ثمّ أحسن رجل الظنّ برجل، فقد غرّر» </w:t>
      </w:r>
      <w:r>
        <w:rPr>
          <w:rStyle w:val="FootnoteReference"/>
        </w:rPr>
        <w:footnoteReference w:id="26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معناه قول أبی الحسن علیه السّلام فی روایة محمّد بن هارون الجلاّب:«إذا کان الجور أغلب من الحقّ،لا یحلّ لأحد أن یظنّ بأحد خیرا،حتّی یعرف ذلک منه» </w:t>
      </w:r>
      <w:r>
        <w:rPr>
          <w:rStyle w:val="FootnoteReference"/>
        </w:rPr>
        <w:footnoteReference w:id="26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إلی غیر ذلک ممّا یجده المتتبّع </w:t>
      </w:r>
      <w:r>
        <w:rPr>
          <w:rStyle w:val="FootnoteReference"/>
        </w:rPr>
        <w:footnoteReference w:id="26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الجمع بینها و بین الأخبار المتقدّمة یحصل بأن یراد من الأخبار:ترک ترتیب آثار التهمة،و الحمل علی الوجه الحسن من حیث مجرّد الحسن،و التوقّف فیه من حیث ترتیب سائر الآثار.</w:t>
      </w:r>
    </w:p>
    <w:p>
      <w:pPr>
        <w:pStyle w:val="BookText"/>
      </w:pPr>
      <w:r>
        <w:rPr>
          <w:rFonts w:ascii="IRNazanin" w:hAnsi="IRNazanin" w:eastAsia="IRNazanin" w:cs="IRNazanin"/>
          <w:lang w:bidi="fa-IR"/>
          <w:color w:val="111111"/>
          <w:sz w:val="28"/>
          <w:szCs w:val="28"/>
          <w:rtl/>
        </w:rPr>
        <w:t xml:space="preserve">و یشهد له ما ورد،من:«أنّ المؤمن لا یخلو عن ثلاثة:الظنّ و الحسد و الطیرة،فإذا حسدت فلا تبغ،و إذا ظننت فلا تحقّق،و إذا</w:t>
      </w:r>
    </w:p>
    <w:p>
      <w:pPr>
        <w:pStyle w:val="BookText"/>
      </w:pPr>
      <w:r>
        <w:rPr>
          <w:rFonts w:ascii="IRNazanin" w:hAnsi="IRNazanin" w:eastAsia="IRNazanin" w:cs="IRNazanin"/>
          <w:lang w:bidi="fa-IR"/>
          <w:color w:val="111111"/>
          <w:sz w:val="28"/>
          <w:szCs w:val="28"/>
          <w:rtl/>
        </w:rPr>
        <w:t xml:space="preserve">[شماره صفحه واقعی : 349]
</w:t>
      </w:r>
    </w:p>
    <w:p>
      <w:pPr>
        <w:sectPr>
          <w:footerReference w:type="default" r:id="rId861"/>
          <w:footnotePr>
            <w:numStart w:val="1"/>
            <w:numRestart w:val="eachPage"/>
          </w:footnotePr>
          <w:pgSz w:orient="portrait" w:w="11905.511811023622" w:h="16837.79527559055"/>
          <w:pgMar w:top="1440" w:right="1440" w:bottom="1440" w:left="1440" w:header="720" w:footer="720" w:gutter="0"/>
          <w:cols w:num="1" w:space="720"/>
        </w:sectPr>
      </w:pPr>
    </w:p>
    <w:bookmarkStart w:id="549" w:name="pg14411_143243"/>
    <w:bookmarkEnd w:id="549"/>
    <w:p>
      <w:pPr>
        <w:pStyle w:val="BookText"/>
      </w:pPr>
      <w:r>
        <w:rPr>
          <w:rFonts w:ascii="Amiri" w:hAnsi="Amiri" w:eastAsia="Amiri" w:cs="Amiri"/>
          <w:lang w:bidi="ar-SA"/>
          <w:color w:val="111111"/>
          <w:sz w:val="28"/>
          <w:szCs w:val="28"/>
          <w:rtl/>
        </w:rPr>
        <w:t xml:space="preserve">تطیّرت فامض» </w:t>
      </w:r>
      <w:r>
        <w:rPr>
          <w:rStyle w:val="FootnoteReference"/>
        </w:rPr>
        <w:footnoteReference w:id="2618"/>
      </w:r>
      <w:r>
        <w:rPr>
          <w:rFonts w:ascii="Times New Roman" w:hAnsi="Times New Roman" w:eastAsia="Times New Roman" w:cs="Times New Roman"/>
          <w:lang w:val="en-US" w:bidi="en-US"/>
          <w:color w:val="111111"/>
          <w:sz w:val="28"/>
          <w:szCs w:val="28"/>
          <w:rtl/>
        </w:rPr>
        <w:t xml:space="preserve">.</w:t>
      </w:r>
    </w:p>
    <w:p>
      <w:pPr>
        <w:pStyle w:val="Heading6"/>
      </w:pPr>
      <w:bookmarkStart w:id="2108" w:name="_Toc1143"/>
      <w:r>
        <w:t>الثالث:الإجماع القولیّ و العملیّ</w:t>
      </w:r>
      <w:bookmarkEnd w:id="2108"/>
    </w:p>
    <w:p>
      <w:pPr>
        <w:pStyle w:val="Heading6"/>
      </w:pPr>
      <w:bookmarkStart w:id="2109" w:name="_Toc1144"/>
      <w:r>
        <w:t>أمّا القولیّ</w:t>
      </w:r>
      <w:bookmarkEnd w:id="2109"/>
    </w:p>
    <w:p>
      <w:pPr>
        <w:pStyle w:val="BookText"/>
      </w:pPr>
      <w:r>
        <w:rPr>
          <w:rFonts w:ascii="IRNazanin" w:hAnsi="IRNazanin" w:eastAsia="IRNazanin" w:cs="IRNazanin"/>
          <w:lang w:bidi="fa-IR"/>
          <w:color w:val="111111"/>
          <w:sz w:val="28"/>
          <w:szCs w:val="28"/>
          <w:rtl/>
        </w:rPr>
        <w:t xml:space="preserve">،فهو مستفاد من تتبّع فتاوی الفقهاء فی موارد کثیرة </w:t>
      </w:r>
      <w:r>
        <w:rPr>
          <w:rStyle w:val="FootnoteReference"/>
        </w:rPr>
        <w:footnoteReference w:id="2619"/>
      </w:r>
      <w:r>
        <w:rPr>
          <w:rFonts w:ascii="IRNazanin" w:hAnsi="IRNazanin" w:eastAsia="IRNazanin" w:cs="IRNazanin"/>
          <w:lang w:bidi="fa-IR"/>
          <w:color w:val="111111"/>
          <w:sz w:val="28"/>
          <w:szCs w:val="28"/>
          <w:rtl/>
        </w:rPr>
        <w:t xml:space="preserve">،فإنّهم لا یختلفون فی أنّ قول مدّعی الصحّة فی الجملة مطابق للأصل و إن اختلفوا فی ترجیحه علی سائر الاصول،کما ستعرف </w:t>
      </w:r>
      <w:r>
        <w:rPr>
          <w:rStyle w:val="FootnoteReference"/>
        </w:rPr>
        <w:footnoteReference w:id="2620"/>
      </w:r>
      <w:r>
        <w:rPr>
          <w:rFonts w:ascii="Times New Roman" w:hAnsi="Times New Roman" w:eastAsia="Times New Roman" w:cs="Times New Roman"/>
          <w:lang w:val="en-US" w:bidi="en-US"/>
          <w:color w:val="111111"/>
          <w:sz w:val="28"/>
          <w:szCs w:val="28"/>
          <w:rtl/>
        </w:rPr>
        <w:t xml:space="preserve">.</w:t>
      </w:r>
    </w:p>
    <w:p>
      <w:pPr>
        <w:pStyle w:val="Heading6"/>
      </w:pPr>
      <w:bookmarkStart w:id="2110" w:name="_Toc1145"/>
      <w:r>
        <w:t>و أمّا العملیّ</w:t>
      </w:r>
      <w:bookmarkEnd w:id="2110"/>
    </w:p>
    <w:p>
      <w:pPr>
        <w:pStyle w:val="BookText"/>
      </w:pPr>
      <w:r>
        <w:rPr>
          <w:rFonts w:ascii="IRNazanin" w:hAnsi="IRNazanin" w:eastAsia="IRNazanin" w:cs="IRNazanin"/>
          <w:lang w:bidi="fa-IR"/>
          <w:color w:val="111111"/>
          <w:sz w:val="28"/>
          <w:szCs w:val="28"/>
          <w:rtl/>
        </w:rPr>
        <w:t xml:space="preserve">،فلا یخفی علی أحد أنّ سیرة المسلمین فی جمیع الأعصار،علی حمل الأعمال علی الصحیح،و ترتیب آثار الصحّة فی عباداتهم و معاملاتهم،و لا أظنّ أحدا ینکر ذلک إلاّ مکابرة.</w:t>
      </w:r>
    </w:p>
    <w:p>
      <w:pPr>
        <w:pStyle w:val="Heading6"/>
      </w:pPr>
      <w:bookmarkStart w:id="2111" w:name="_Toc1146"/>
      <w:r>
        <w:t>الرابع:العقل المستقلّ</w:t>
      </w:r>
      <w:bookmarkEnd w:id="2111"/>
    </w:p>
    <w:p>
      <w:pPr>
        <w:pStyle w:val="BookText"/>
      </w:pPr>
      <w:r>
        <w:rPr>
          <w:rFonts w:ascii="IRNazanin" w:hAnsi="IRNazanin" w:eastAsia="IRNazanin" w:cs="IRNazanin"/>
          <w:lang w:bidi="fa-IR"/>
          <w:color w:val="111111"/>
          <w:sz w:val="28"/>
          <w:szCs w:val="28"/>
          <w:rtl/>
        </w:rPr>
        <w:t xml:space="preserve">الحاکم بأنّه لو لم یبن علی هذا الأصل لزم اختلال نظام المعاد و المعاش،بل الاختلال الحاصل من ترک العمل بهذا الأصل أزید من الاختلال الحاصل من ترک العمل ب«ید المسلم».</w:t>
      </w:r>
    </w:p>
    <w:p>
      <w:pPr>
        <w:pStyle w:val="BookText"/>
      </w:pPr>
      <w:r>
        <w:rPr>
          <w:rFonts w:ascii="IRNazanin" w:hAnsi="IRNazanin" w:eastAsia="IRNazanin" w:cs="IRNazanin"/>
          <w:lang w:bidi="fa-IR"/>
          <w:color w:val="111111"/>
          <w:sz w:val="28"/>
          <w:szCs w:val="28"/>
          <w:rtl/>
        </w:rPr>
        <w:t xml:space="preserve">مع أنّ الإمام علیه السّلام قال لحفص بن غیاث-بعد الحکم بأنّ الید دلیل الملک،و یجوز الشهادة بالملک بمجرّد الید-:«إنّه لو لا ذلک لما قام للمسلمین سوق» </w:t>
      </w:r>
      <w:r>
        <w:rPr>
          <w:rStyle w:val="FootnoteReference"/>
        </w:rPr>
        <w:footnoteReference w:id="2621"/>
      </w:r>
      <w:r>
        <w:rPr>
          <w:rFonts w:ascii="IRNazanin" w:hAnsi="IRNazanin" w:eastAsia="IRNazanin" w:cs="IRNazanin"/>
          <w:lang w:bidi="fa-IR"/>
          <w:color w:val="111111"/>
          <w:sz w:val="28"/>
          <w:szCs w:val="28"/>
          <w:rtl/>
        </w:rPr>
        <w:t xml:space="preserve">،فیدلّ بفحواه علی اعتبار أصالة الصحّة فی أعمال</w:t>
      </w:r>
    </w:p>
    <w:p>
      <w:pPr>
        <w:pStyle w:val="BookText"/>
      </w:pPr>
      <w:r>
        <w:rPr>
          <w:rFonts w:ascii="IRNazanin" w:hAnsi="IRNazanin" w:eastAsia="IRNazanin" w:cs="IRNazanin"/>
          <w:lang w:bidi="fa-IR"/>
          <w:color w:val="111111"/>
          <w:sz w:val="28"/>
          <w:szCs w:val="28"/>
          <w:rtl/>
        </w:rPr>
        <w:t xml:space="preserve">[شماره صفحه واقعی : 350]
</w:t>
      </w:r>
    </w:p>
    <w:p>
      <w:pPr>
        <w:sectPr>
          <w:footerReference w:type="default" r:id="rId8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المسلمین،مضافا إلی دلالته بظاهر اللفظ؛حیث إنّ الظاهر أنّ کلّ ما لولاه لزم الاختلال فهو حقّ؛لأنّ الاختلال باطل،و المستلزم للباطل باطل،فنقیضه حقّ،و هو اعتبار أصالة الصحّة عند الشکّ فی صحّة ما صدر عن الغیر.</w:t>
      </w:r>
    </w:p>
    <w:p>
      <w:pPr>
        <w:pStyle w:val="BookText"/>
      </w:pPr>
      <w:r>
        <w:rPr>
          <w:rFonts w:ascii="IRNazanin" w:hAnsi="IRNazanin" w:eastAsia="IRNazanin" w:cs="IRNazanin"/>
          <w:lang w:bidi="fa-IR"/>
          <w:color w:val="111111"/>
          <w:sz w:val="28"/>
          <w:szCs w:val="28"/>
          <w:rtl/>
        </w:rPr>
        <w:t xml:space="preserve">و یشیر إلیه أیضا:ما ورد من نفی الحرج </w:t>
      </w:r>
      <w:r>
        <w:rPr>
          <w:rStyle w:val="FootnoteReference"/>
        </w:rPr>
        <w:footnoteReference w:id="2622"/>
      </w:r>
      <w:r>
        <w:rPr>
          <w:rFonts w:ascii="IRNazanin" w:hAnsi="IRNazanin" w:eastAsia="IRNazanin" w:cs="IRNazanin"/>
          <w:lang w:bidi="fa-IR"/>
          <w:color w:val="111111"/>
          <w:sz w:val="28"/>
          <w:szCs w:val="28"/>
          <w:rtl/>
        </w:rPr>
        <w:t xml:space="preserve">،و توسعة الدین </w:t>
      </w:r>
      <w:r>
        <w:rPr>
          <w:rStyle w:val="FootnoteReference"/>
        </w:rPr>
        <w:footnoteReference w:id="2623"/>
      </w:r>
      <w:r>
        <w:rPr>
          <w:rFonts w:ascii="IRNazanin" w:hAnsi="IRNazanin" w:eastAsia="IRNazanin" w:cs="IRNazanin"/>
          <w:lang w:bidi="fa-IR"/>
          <w:color w:val="111111"/>
          <w:sz w:val="28"/>
          <w:szCs w:val="28"/>
          <w:rtl/>
        </w:rPr>
        <w:t xml:space="preserve">، و ذمّ من ضیّقوا علی أنفسهم بجهالتهم </w:t>
      </w:r>
      <w:r>
        <w:rPr>
          <w:rStyle w:val="FootnoteReference"/>
        </w:rPr>
        <w:footnoteReference w:id="2624"/>
      </w:r>
      <w:r>
        <w:rPr>
          <w:rStyle w:val="FootnoteReference"/>
        </w:rPr>
        <w:footnoteReference w:id="26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351]
</w:t>
      </w:r>
    </w:p>
    <w:p>
      <w:pPr>
        <w:sectPr>
          <w:footerReference w:type="default" r:id="rId8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352]
</w:t>
      </w:r>
    </w:p>
    <w:p>
      <w:pPr>
        <w:sectPr>
          <w:footerReference w:type="default" r:id="rId864"/>
          <w:footnotePr>
            <w:numStart w:val="1"/>
            <w:numRestart w:val="eachPage"/>
          </w:footnotePr>
          <w:pgSz w:orient="portrait" w:w="11905.511811023622" w:h="16837.79527559055"/>
          <w:pgMar w:top="1440" w:right="1440" w:bottom="1440" w:left="1440" w:header="720" w:footer="720" w:gutter="0"/>
          <w:cols w:num="1" w:space="720"/>
        </w:sectPr>
      </w:pPr>
    </w:p>
    <w:bookmarkStart w:id="550" w:name="pg14411_143246"/>
    <w:bookmarkEnd w:id="550"/>
    <w:p>
      <w:pPr>
        <w:pStyle w:val="Heading6"/>
      </w:pPr>
      <w:bookmarkStart w:id="2112" w:name="_Toc1147"/>
      <w:r>
        <w:t>و ینبغی التنبیه علی أمور:</w:t>
      </w:r>
      <w:bookmarkEnd w:id="2112"/>
    </w:p>
    <w:p>
      <w:pPr>
        <w:pStyle w:val="Heading6"/>
      </w:pPr>
      <w:bookmarkStart w:id="2113" w:name="_Toc1148"/>
      <w:r>
        <w:t>[الأمر ] الأوّل [:هل یحمل فعل المسلم علی الصحّة الواقعیّة أو الصحّة عند الفاعل؟]</w:t>
      </w:r>
      <w:bookmarkEnd w:id="2113"/>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أنّ المحمول علیه فعل المسلم،هل الصحّة باعتقاد الفاعل أو الصحّة الواقعیّة؟</w:t>
      </w:r>
    </w:p>
    <w:p>
      <w:pPr>
        <w:pStyle w:val="BookText"/>
      </w:pPr>
      <w:r>
        <w:rPr>
          <w:rFonts w:ascii="IRNazanin" w:hAnsi="IRNazanin" w:eastAsia="IRNazanin" w:cs="IRNazanin"/>
          <w:lang w:bidi="fa-IR"/>
          <w:color w:val="111111"/>
          <w:sz w:val="28"/>
          <w:szCs w:val="28"/>
          <w:rtl/>
        </w:rPr>
        <w:t xml:space="preserve">[شماره صفحه واقعی : 353]
</w:t>
      </w:r>
    </w:p>
    <w:p>
      <w:pPr>
        <w:sectPr>
          <w:footerReference w:type="default" r:id="rId865"/>
          <w:footnotePr>
            <w:numStart w:val="1"/>
            <w:numRestart w:val="eachPage"/>
          </w:footnotePr>
          <w:pgSz w:orient="portrait" w:w="11905.511811023622" w:h="16837.79527559055"/>
          <w:pgMar w:top="1440" w:right="1440" w:bottom="1440" w:left="1440" w:header="720" w:footer="720" w:gutter="0"/>
          <w:cols w:num="1" w:space="720"/>
        </w:sectPr>
      </w:pPr>
    </w:p>
    <w:bookmarkStart w:id="551" w:name="pg14411_143247"/>
    <w:bookmarkEnd w:id="551"/>
    <w:p>
      <w:pPr>
        <w:pStyle w:val="BookText"/>
      </w:pPr>
      <w:r>
        <w:rPr>
          <w:rFonts w:ascii="IRNazanin" w:hAnsi="IRNazanin" w:eastAsia="IRNazanin" w:cs="IRNazanin"/>
          <w:lang w:bidi="fa-IR"/>
          <w:color w:val="111111"/>
          <w:sz w:val="28"/>
          <w:szCs w:val="28"/>
          <w:rtl/>
        </w:rPr>
        <w:t xml:space="preserve">فلو علم أنّ معتقد الفاعل-اعتقادا یعذر فیه-صحّة البیع أو النکاح بالفارسیة </w:t>
      </w:r>
      <w:r>
        <w:rPr>
          <w:rStyle w:val="FootnoteReference"/>
        </w:rPr>
        <w:footnoteReference w:id="2626"/>
      </w:r>
      <w:r>
        <w:rPr>
          <w:rFonts w:ascii="IRNazanin" w:hAnsi="IRNazanin" w:eastAsia="IRNazanin" w:cs="IRNazanin"/>
          <w:lang w:bidi="fa-IR"/>
          <w:color w:val="111111"/>
          <w:sz w:val="28"/>
          <w:szCs w:val="28"/>
          <w:rtl/>
        </w:rPr>
        <w:t xml:space="preserve">فی العقد،فشکّ فیما صدر عنه،مع اعتقاد الشاکّ اعتبار العربیّة </w:t>
      </w:r>
      <w:r>
        <w:rPr>
          <w:rStyle w:val="FootnoteReference"/>
        </w:rPr>
        <w:footnoteReference w:id="2627"/>
      </w:r>
      <w:r>
        <w:rPr>
          <w:rFonts w:ascii="IRNazanin" w:hAnsi="IRNazanin" w:eastAsia="IRNazanin" w:cs="IRNazanin"/>
          <w:lang w:bidi="fa-IR"/>
          <w:color w:val="111111"/>
          <w:sz w:val="28"/>
          <w:szCs w:val="28"/>
          <w:rtl/>
        </w:rPr>
        <w:t xml:space="preserve">،فهل یحمل علی کونه واقعا بالعربیّة،حتّی إذا ادّعی علیه أنّه أوقعه بالفارسیّة،و ادّعی هو أنّه أوقعه بالعربیّة،فهل یحکم الحاکم المعتقد بفساد الفارسیّة،بوقوعه بالعربیّة أم لا؟وجهان،بل قولان:</w:t>
      </w:r>
    </w:p>
    <w:p>
      <w:pPr>
        <w:pStyle w:val="Heading6"/>
      </w:pPr>
      <w:bookmarkStart w:id="2114" w:name="_Toc1149"/>
      <w:r>
        <w:t>ظاهر المشهور الحمل علی الصحّة الواقعیّة</w:t>
      </w:r>
      <w:bookmarkEnd w:id="2114"/>
    </w:p>
    <w:p>
      <w:pPr>
        <w:pStyle w:val="BookText"/>
      </w:pPr>
      <w:r>
        <w:rPr>
          <w:rFonts w:ascii="IRNazanin" w:hAnsi="IRNazanin" w:eastAsia="IRNazanin" w:cs="IRNazanin"/>
          <w:lang w:bidi="fa-IR"/>
          <w:color w:val="111111"/>
          <w:sz w:val="28"/>
          <w:szCs w:val="28"/>
          <w:rtl/>
        </w:rPr>
        <w:t xml:space="preserve">ظاهر المشهور الحمل علی الصحّة الواقعیّة </w:t>
      </w:r>
      <w:r>
        <w:rPr>
          <w:rStyle w:val="FootnoteReference"/>
        </w:rPr>
        <w:footnoteReference w:id="2628"/>
      </w:r>
    </w:p>
    <w:p>
      <w:pPr>
        <w:pStyle w:val="BookText"/>
      </w:pPr>
      <w:r>
        <w:rPr>
          <w:rFonts w:ascii="IRNazanin" w:hAnsi="IRNazanin" w:eastAsia="IRNazanin" w:cs="IRNazanin"/>
          <w:lang w:bidi="fa-IR"/>
          <w:color w:val="111111"/>
          <w:sz w:val="28"/>
          <w:szCs w:val="28"/>
          <w:rtl/>
        </w:rPr>
        <w:t xml:space="preserve">،فإذا شکّ المأموم فی أنّ الإمام المعتقد بعدم وجوب السورة،قرأها أم لا؟جاز له الائتمام به،و إن لم یکن له ذلک إذا علم بترکها.</w:t>
      </w:r>
    </w:p>
    <w:p>
      <w:pPr>
        <w:pStyle w:val="Heading6"/>
      </w:pPr>
      <w:bookmarkStart w:id="2115" w:name="_Toc1150"/>
      <w:r>
        <w:t>[ظاهر بعض المتأخّرین الحمل علی الصحّة باعتقاد الفاعل:]</w:t>
      </w:r>
      <w:bookmarkEnd w:id="2115"/>
    </w:p>
    <w:p>
      <w:pPr>
        <w:pStyle w:val="BookText"/>
      </w:pPr>
      <w:r>
        <w:rPr>
          <w:rFonts w:ascii="IRNazanin" w:hAnsi="IRNazanin" w:eastAsia="IRNazanin" w:cs="IRNazanin"/>
          <w:lang w:bidi="fa-IR"/>
          <w:color w:val="111111"/>
          <w:sz w:val="28"/>
          <w:szCs w:val="28"/>
          <w:rtl/>
        </w:rPr>
        <w:t xml:space="preserve">و یظهر من بعض المتأخّرین خلافه:</w:t>
      </w:r>
    </w:p>
    <w:p>
      <w:pPr>
        <w:pStyle w:val="BookText"/>
      </w:pPr>
      <w:r>
        <w:rPr>
          <w:rFonts w:ascii="IRNazanin" w:hAnsi="IRNazanin" w:eastAsia="IRNazanin" w:cs="IRNazanin"/>
          <w:lang w:bidi="fa-IR"/>
          <w:color w:val="111111"/>
          <w:sz w:val="28"/>
          <w:szCs w:val="28"/>
          <w:rtl/>
        </w:rPr>
        <w:t xml:space="preserve">قال فی المدارک فی شرح قول المحقّق:«و لو اختلف الزوجان فادّعی أحدهما وقوع العقد فی حال الإحرام و أنکر الآخر،فالقول قول من یدّعی الإحلال ترجیحا لجانب الصحّة»،قال:</w:t>
      </w:r>
    </w:p>
    <w:p>
      <w:pPr>
        <w:pStyle w:val="BookText"/>
      </w:pPr>
      <w:r>
        <w:rPr>
          <w:rFonts w:ascii="IRNazanin" w:hAnsi="IRNazanin" w:eastAsia="IRNazanin" w:cs="IRNazanin"/>
          <w:lang w:bidi="fa-IR"/>
          <w:color w:val="111111"/>
          <w:sz w:val="28"/>
          <w:szCs w:val="28"/>
          <w:rtl/>
        </w:rPr>
        <w:t xml:space="preserve">إنّ الحمل علی الصحّة إنّما یتمّ إذا کان المدّعی لوقوع الفعل فی حال الإحرام عالما بفساد ذلک،أمّا مع اعترافهما بالجهل،فلا وجه للحمل علی الصحّة </w:t>
      </w:r>
      <w:r>
        <w:rPr>
          <w:rStyle w:val="FootnoteReference"/>
        </w:rPr>
        <w:footnoteReference w:id="2629"/>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یظهر ذلک من بعض من عاصرناه </w:t>
      </w:r>
      <w:r>
        <w:rPr>
          <w:rStyle w:val="FootnoteReference"/>
        </w:rPr>
        <w:footnoteReference w:id="2630"/>
      </w:r>
      <w:r>
        <w:rPr>
          <w:rFonts w:ascii="IRNazanin" w:hAnsi="IRNazanin" w:eastAsia="IRNazanin" w:cs="IRNazanin"/>
          <w:lang w:bidi="fa-IR"/>
          <w:color w:val="111111"/>
          <w:sz w:val="28"/>
          <w:szCs w:val="28"/>
          <w:rtl/>
        </w:rPr>
        <w:t xml:space="preserve">-فی اصوله و فروعه-حیث</w:t>
      </w:r>
    </w:p>
    <w:p>
      <w:pPr>
        <w:pStyle w:val="BookText"/>
      </w:pPr>
      <w:r>
        <w:rPr>
          <w:rFonts w:ascii="IRNazanin" w:hAnsi="IRNazanin" w:eastAsia="IRNazanin" w:cs="IRNazanin"/>
          <w:lang w:bidi="fa-IR"/>
          <w:color w:val="111111"/>
          <w:sz w:val="28"/>
          <w:szCs w:val="28"/>
          <w:rtl/>
        </w:rPr>
        <w:t xml:space="preserve">[شماره صفحه واقعی : 354]
</w:t>
      </w:r>
    </w:p>
    <w:p>
      <w:pPr>
        <w:sectPr>
          <w:footerReference w:type="default" r:id="rId866"/>
          <w:footnotePr>
            <w:numStart w:val="1"/>
            <w:numRestart w:val="eachPage"/>
          </w:footnotePr>
          <w:pgSz w:orient="portrait" w:w="11905.511811023622" w:h="16837.79527559055"/>
          <w:pgMar w:top="1440" w:right="1440" w:bottom="1440" w:left="1440" w:header="720" w:footer="720" w:gutter="0"/>
          <w:cols w:num="1" w:space="720"/>
        </w:sectPr>
      </w:pPr>
    </w:p>
    <w:bookmarkStart w:id="552" w:name="pg14411_143248"/>
    <w:bookmarkEnd w:id="552"/>
    <w:p>
      <w:pPr>
        <w:pStyle w:val="BookText"/>
      </w:pPr>
      <w:r>
        <w:rPr>
          <w:rFonts w:ascii="IRNazanin" w:hAnsi="IRNazanin" w:eastAsia="IRNazanin" w:cs="IRNazanin"/>
          <w:lang w:bidi="fa-IR"/>
          <w:color w:val="111111"/>
          <w:sz w:val="28"/>
          <w:szCs w:val="28"/>
          <w:rtl/>
        </w:rPr>
        <w:t xml:space="preserve">تمسّک لهذا الأصل بالغلبة.</w:t>
      </w:r>
    </w:p>
    <w:p>
      <w:pPr>
        <w:pStyle w:val="BookText"/>
      </w:pPr>
      <w:r>
        <w:rPr>
          <w:rFonts w:ascii="IRNazanin" w:hAnsi="IRNazanin" w:eastAsia="IRNazanin" w:cs="IRNazanin"/>
          <w:lang w:bidi="fa-IR"/>
          <w:color w:val="111111"/>
          <w:sz w:val="28"/>
          <w:szCs w:val="28"/>
          <w:rtl/>
        </w:rPr>
        <w:t xml:space="preserve">بل و یمکن إسناد هذا القول إلی کلّ من استند فی هذا الأصل إلی ظاهر حال المسلم،کالعلاّمة </w:t>
      </w:r>
      <w:r>
        <w:rPr>
          <w:rStyle w:val="FootnoteReference"/>
        </w:rPr>
        <w:footnoteReference w:id="2631"/>
      </w:r>
      <w:r>
        <w:rPr>
          <w:rFonts w:ascii="Amiri" w:hAnsi="Amiri" w:eastAsia="Amiri" w:cs="Amiri"/>
          <w:lang w:bidi="ar-SA"/>
          <w:color w:val="111111"/>
          <w:sz w:val="28"/>
          <w:szCs w:val="28"/>
          <w:rtl/>
        </w:rPr>
        <w:t xml:space="preserve">و جماعة ممّن تأخّر عنه </w:t>
      </w:r>
      <w:r>
        <w:rPr>
          <w:rStyle w:val="FootnoteReference"/>
        </w:rPr>
        <w:footnoteReference w:id="2632"/>
      </w:r>
      <w:r>
        <w:rPr>
          <w:rFonts w:ascii="Amiri" w:hAnsi="Amiri" w:eastAsia="Amiri" w:cs="Amiri"/>
          <w:lang w:bidi="ar-SA"/>
          <w:color w:val="111111"/>
          <w:sz w:val="28"/>
          <w:szCs w:val="28"/>
          <w:rtl/>
        </w:rPr>
        <w:t xml:space="preserve">،فإنّه لا یشمل إلاّ </w:t>
      </w:r>
      <w:r>
        <w:rPr>
          <w:rStyle w:val="FootnoteReference"/>
        </w:rPr>
        <w:footnoteReference w:id="2633"/>
      </w:r>
      <w:r>
        <w:rPr>
          <w:rFonts w:ascii="IRNazanin" w:hAnsi="IRNazanin" w:eastAsia="IRNazanin" w:cs="IRNazanin"/>
          <w:lang w:bidi="fa-IR"/>
          <w:color w:val="111111"/>
          <w:sz w:val="28"/>
          <w:szCs w:val="28"/>
          <w:rtl/>
        </w:rPr>
        <w:t xml:space="preserve">صورة اعتقاد الصحّة،خصوصا إذا کان قد أمضاه الشارع لاجتهاد أو تقلید أو قیام بیّنة أو غیر ذلک.</w:t>
      </w:r>
    </w:p>
    <w:p>
      <w:pPr>
        <w:pStyle w:val="Heading6"/>
      </w:pPr>
      <w:bookmarkStart w:id="2116" w:name="_Toc1151"/>
      <w:r>
        <w:t>و المسألة محلّ إشکال:</w:t>
      </w:r>
      <w:bookmarkEnd w:id="2116"/>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من إطلاق الأصحاب،و من عدم مساعدة أدلّتهم؛فإنّ العمدة الإجماع و لزوم الاختلال،و الإجماع الفتوائیّ مع ما عرفت مشکل،و العملیّ فی مورد العلم باعتقاد الفاعل للصحّة أیضا مشکل،و الاختلال یندفع بالحمل علی الصحّة فی غیر المورد المذکور.</w:t>
      </w:r>
    </w:p>
    <w:p>
      <w:pPr>
        <w:pStyle w:val="Heading6"/>
      </w:pPr>
      <w:bookmarkStart w:id="2117" w:name="_Toc1152"/>
      <w:r>
        <w:t>[صور المسألة:]</w:t>
      </w:r>
      <w:bookmarkEnd w:id="2117"/>
    </w:p>
    <w:p>
      <w:pPr>
        <w:pStyle w:val="BookText"/>
      </w:pPr>
      <w:r>
        <w:rPr>
          <w:rFonts w:ascii="IRNazanin" w:hAnsi="IRNazanin" w:eastAsia="IRNazanin" w:cs="IRNazanin"/>
          <w:lang w:bidi="fa-IR"/>
          <w:color w:val="111111"/>
          <w:sz w:val="28"/>
          <w:szCs w:val="28"/>
          <w:rtl/>
        </w:rPr>
        <w:t xml:space="preserve">و تفصیل المسألة:أنّ الشاکّ فی الفعل الصادر من غیره:</w:t>
      </w:r>
    </w:p>
    <w:p>
      <w:pPr>
        <w:pStyle w:val="BookText"/>
      </w:pPr>
      <w:r>
        <w:rPr>
          <w:rFonts w:ascii="IRNazanin" w:hAnsi="IRNazanin" w:eastAsia="IRNazanin" w:cs="IRNazanin"/>
          <w:lang w:bidi="fa-IR"/>
          <w:color w:val="111111"/>
          <w:sz w:val="28"/>
          <w:szCs w:val="28"/>
          <w:rtl/>
        </w:rPr>
        <w:t xml:space="preserve">إمّا أن یکون عالما بعلم الفاعل بصحیح الفعل و فاسده،و إمّا أن یکون عالما بجهله و عدم علمه،و إمّا أن یکون جاهلا بحاله.</w:t>
      </w:r>
    </w:p>
    <w:p>
      <w:pPr>
        <w:pStyle w:val="Heading6"/>
      </w:pPr>
      <w:bookmarkStart w:id="2118" w:name="_Toc1153"/>
      <w:r>
        <w:t>[1-أن یعلم کون الفاعل عالما بالصحّة و الفساد:]</w:t>
      </w:r>
      <w:bookmarkEnd w:id="2118"/>
    </w:p>
    <w:p>
      <w:pPr>
        <w:pStyle w:val="BookText"/>
      </w:pPr>
      <w:r>
        <w:rPr>
          <w:rFonts w:ascii="IRNazanin" w:hAnsi="IRNazanin" w:eastAsia="IRNazanin" w:cs="IRNazanin"/>
          <w:lang w:bidi="fa-IR"/>
          <w:color w:val="111111"/>
          <w:sz w:val="28"/>
          <w:szCs w:val="28"/>
          <w:rtl/>
        </w:rPr>
        <w:t xml:space="preserve">فإن علم بعلمه بالصحیح و الفاسد:فإمّا أن یعلم بمطابقة اعتقاده لاعتقاد الشاکّ،أو یعلم مخالفته،أو یجهل الحال.</w:t>
      </w:r>
    </w:p>
    <w:p>
      <w:pPr>
        <w:pStyle w:val="BookText"/>
      </w:pPr>
      <w:r>
        <w:rPr>
          <w:rFonts w:ascii="IRNazanin" w:hAnsi="IRNazanin" w:eastAsia="IRNazanin" w:cs="IRNazanin"/>
          <w:lang w:bidi="fa-IR"/>
          <w:color w:val="111111"/>
          <w:sz w:val="28"/>
          <w:szCs w:val="28"/>
          <w:rtl/>
        </w:rPr>
        <w:t xml:space="preserve">لا إشکال فی الحمل فی الصورة الاولی.</w:t>
      </w:r>
    </w:p>
    <w:p>
      <w:pPr>
        <w:pStyle w:val="BookText"/>
      </w:pPr>
      <w:r>
        <w:rPr>
          <w:rFonts w:ascii="IRNazanin" w:hAnsi="IRNazanin" w:eastAsia="IRNazanin" w:cs="IRNazanin"/>
          <w:lang w:bidi="fa-IR"/>
          <w:color w:val="111111"/>
          <w:sz w:val="28"/>
          <w:szCs w:val="28"/>
          <w:rtl/>
        </w:rPr>
        <w:t xml:space="preserve">و أمّا الثانیة،فإن لم یتصادق اعتقادهما بالصحّة فی فعل-کأن</w:t>
      </w:r>
    </w:p>
    <w:p>
      <w:pPr>
        <w:pStyle w:val="BookText"/>
      </w:pPr>
      <w:r>
        <w:rPr>
          <w:rFonts w:ascii="IRNazanin" w:hAnsi="IRNazanin" w:eastAsia="IRNazanin" w:cs="IRNazanin"/>
          <w:lang w:bidi="fa-IR"/>
          <w:color w:val="111111"/>
          <w:sz w:val="28"/>
          <w:szCs w:val="28"/>
          <w:rtl/>
        </w:rPr>
        <w:t xml:space="preserve">[شماره صفحه واقعی : 355]
</w:t>
      </w:r>
    </w:p>
    <w:p>
      <w:pPr>
        <w:sectPr>
          <w:footerReference w:type="default" r:id="rId867"/>
          <w:footnotePr>
            <w:numStart w:val="1"/>
            <w:numRestart w:val="eachPage"/>
          </w:footnotePr>
          <w:pgSz w:orient="portrait" w:w="11905.511811023622" w:h="16837.79527559055"/>
          <w:pgMar w:top="1440" w:right="1440" w:bottom="1440" w:left="1440" w:header="720" w:footer="720" w:gutter="0"/>
          <w:cols w:num="1" w:space="720"/>
        </w:sectPr>
      </w:pPr>
    </w:p>
    <w:bookmarkStart w:id="553" w:name="pg14411_143249"/>
    <w:bookmarkEnd w:id="553"/>
    <w:p>
      <w:pPr>
        <w:pStyle w:val="BookText"/>
      </w:pPr>
      <w:r>
        <w:rPr>
          <w:rFonts w:ascii="IRNazanin" w:hAnsi="IRNazanin" w:eastAsia="IRNazanin" w:cs="IRNazanin"/>
          <w:lang w:bidi="fa-IR"/>
          <w:color w:val="111111"/>
          <w:sz w:val="28"/>
          <w:szCs w:val="28"/>
          <w:rtl/>
        </w:rPr>
        <w:t xml:space="preserve">اعتقد أحدهما وجوب الجهر بالقراءة یوم الجمعة،و الآخر وجوب الإخفات-فلا إشکال فی وجوب الحمل علی الصحیح باعتقاد الفاعل.</w:t>
      </w:r>
    </w:p>
    <w:p>
      <w:pPr>
        <w:pStyle w:val="BookText"/>
      </w:pPr>
      <w:r>
        <w:rPr>
          <w:rFonts w:ascii="IRNazanin" w:hAnsi="IRNazanin" w:eastAsia="IRNazanin" w:cs="IRNazanin"/>
          <w:lang w:bidi="fa-IR"/>
          <w:color w:val="111111"/>
          <w:sz w:val="28"/>
          <w:szCs w:val="28"/>
          <w:rtl/>
        </w:rPr>
        <w:t xml:space="preserve">و إن تصادق-کمثال العقد بالعربیّة و الفارسیّة-فإن قلنا:إنّ العقد بالفارسیّة منه سبب لترتّب الآثار علیه من کلّ أحد حتّی المعتقد بفساده،فلا ثمرة فی الحمل علی معتقد الحامل أو الفاعل،و إن قلنا بالعدم-کما هو الأقوی-ففیه الإشکال المتقدّم:من تعمیم الأصحاب فی فتاویهم و فی بعض معاقد إجماعاتهم علی تقدیم قول مدّعی الصحّة، و من اختصاص الأدلّة بغیر هذه الصورة.</w:t>
      </w:r>
    </w:p>
    <w:p>
      <w:pPr>
        <w:pStyle w:val="BookText"/>
      </w:pPr>
      <w:r>
        <w:rPr>
          <w:rFonts w:ascii="IRNazanin" w:hAnsi="IRNazanin" w:eastAsia="IRNazanin" w:cs="IRNazanin"/>
          <w:lang w:bidi="fa-IR"/>
          <w:color w:val="111111"/>
          <w:sz w:val="28"/>
          <w:szCs w:val="28"/>
          <w:rtl/>
        </w:rPr>
        <w:t xml:space="preserve">و إن جهل الحال،فالظاهر الحمل لجریان الأدلّة،بل یمکن جریان الحمل علی الصحّة فی اعتقاده،فیحمل علی کونه مطابقا لاعتقاد الحامل؛ لأنّه الصحیح،و سیجیء </w:t>
      </w:r>
      <w:r>
        <w:rPr>
          <w:rStyle w:val="FootnoteReference"/>
        </w:rPr>
        <w:footnoteReference w:id="2634"/>
      </w:r>
      <w:r>
        <w:rPr>
          <w:rFonts w:ascii="IRNazanin" w:hAnsi="IRNazanin" w:eastAsia="IRNazanin" w:cs="IRNazanin"/>
          <w:lang w:bidi="fa-IR"/>
          <w:color w:val="111111"/>
          <w:sz w:val="28"/>
          <w:szCs w:val="28"/>
          <w:rtl/>
        </w:rPr>
        <w:t xml:space="preserve">الکلام فیه </w:t>
      </w:r>
      <w:r>
        <w:rPr>
          <w:rStyle w:val="FootnoteReference"/>
        </w:rPr>
        <w:footnoteReference w:id="2635"/>
      </w:r>
      <w:r>
        <w:rPr>
          <w:rFonts w:ascii="Times New Roman" w:hAnsi="Times New Roman" w:eastAsia="Times New Roman" w:cs="Times New Roman"/>
          <w:lang w:val="en-US" w:bidi="en-US"/>
          <w:color w:val="111111"/>
          <w:sz w:val="28"/>
          <w:szCs w:val="28"/>
          <w:rtl/>
        </w:rPr>
        <w:t xml:space="preserve">.</w:t>
      </w:r>
    </w:p>
    <w:p>
      <w:pPr>
        <w:pStyle w:val="Heading6"/>
      </w:pPr>
      <w:bookmarkStart w:id="2119" w:name="_Toc1154"/>
      <w:r>
        <w:t>[2-أن یعلم کونه جاهلا:]</w:t>
      </w:r>
      <w:bookmarkEnd w:id="2119"/>
    </w:p>
    <w:p>
      <w:pPr>
        <w:pStyle w:val="BookText"/>
      </w:pPr>
      <w:r>
        <w:rPr>
          <w:rFonts w:ascii="IRNazanin" w:hAnsi="IRNazanin" w:eastAsia="IRNazanin" w:cs="IRNazanin"/>
          <w:lang w:bidi="fa-IR"/>
          <w:color w:val="111111"/>
          <w:sz w:val="28"/>
          <w:szCs w:val="28"/>
          <w:rtl/>
        </w:rPr>
        <w:t xml:space="preserve">و إن کان عالما بجهله بالحال و عدم علمه بالصحیح و الفاسد،ففیه أیضا الاشکال المتقدّم،خصوصا إذا کان جهله مجامعا لتکلیفه بالاجتناب،کما إذا علمنا أنّه أقدم علی بیع أحد المشتبهین بالنجس،إلاّ أنّه یحتمل أن یکون قد اتّفق المبیع غیر نجس.</w:t>
      </w:r>
    </w:p>
    <w:p>
      <w:pPr>
        <w:pStyle w:val="BookText"/>
      </w:pPr>
      <w:r>
        <w:rPr>
          <w:rFonts w:ascii="IRNazanin" w:hAnsi="IRNazanin" w:eastAsia="IRNazanin" w:cs="IRNazanin"/>
          <w:lang w:bidi="fa-IR"/>
          <w:color w:val="111111"/>
          <w:sz w:val="28"/>
          <w:szCs w:val="28"/>
          <w:rtl/>
        </w:rPr>
        <w:t xml:space="preserve">و کذا إن کان جاهلا بحاله.إلاّ أنّ الإشکال فی بعض هذه الصور أهون منه فی بعض،فلا بدّ من التتبّع و التأمّل.</w:t>
      </w:r>
    </w:p>
    <w:p>
      <w:pPr>
        <w:pStyle w:val="BookText"/>
      </w:pPr>
      <w:r>
        <w:rPr>
          <w:rFonts w:ascii="IRNazanin" w:hAnsi="IRNazanin" w:eastAsia="IRNazanin" w:cs="IRNazanin"/>
          <w:lang w:bidi="fa-IR"/>
          <w:color w:val="111111"/>
          <w:sz w:val="28"/>
          <w:szCs w:val="28"/>
          <w:rtl/>
        </w:rPr>
        <w:t xml:space="preserve">[شماره صفحه واقعی : 356]
</w:t>
      </w:r>
    </w:p>
    <w:p>
      <w:pPr>
        <w:sectPr>
          <w:footerReference w:type="default" r:id="rId868"/>
          <w:footnotePr>
            <w:numStart w:val="1"/>
            <w:numRestart w:val="eachPage"/>
          </w:footnotePr>
          <w:pgSz w:orient="portrait" w:w="11905.511811023622" w:h="16837.79527559055"/>
          <w:pgMar w:top="1440" w:right="1440" w:bottom="1440" w:left="1440" w:header="720" w:footer="720" w:gutter="0"/>
          <w:cols w:num="1" w:space="720"/>
        </w:sectPr>
      </w:pPr>
    </w:p>
    <w:bookmarkStart w:id="554" w:name="pg14411_143250"/>
    <w:bookmarkEnd w:id="554"/>
    <w:p>
      <w:pPr>
        <w:pStyle w:val="Heading6"/>
      </w:pPr>
      <w:bookmarkStart w:id="2120" w:name="_Toc1155"/>
      <w:r>
        <w:t>[الأمر ] الثانی [هل یعتبر فی جریان أصالة الصحّة فی العقود استکمال أرکان العقد؟]</w:t>
      </w:r>
      <w:bookmarkEnd w:id="2120"/>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أنّ الظاهر من المحقّق الثانی أنّ أصالة الصحّة إنّما تجری فی العقود بعد استکمال العقد للأرکان.</w:t>
      </w:r>
    </w:p>
    <w:p>
      <w:pPr>
        <w:pStyle w:val="Heading6"/>
      </w:pPr>
      <w:bookmarkStart w:id="2121" w:name="_Toc1156"/>
      <w:r>
        <w:t>[کلام المحقق الثانی فی باب الضمان:]</w:t>
      </w:r>
      <w:bookmarkEnd w:id="2121"/>
    </w:p>
    <w:p>
      <w:pPr>
        <w:pStyle w:val="BookText"/>
      </w:pPr>
      <w:r>
        <w:rPr>
          <w:rFonts w:ascii="IRNazanin" w:hAnsi="IRNazanin" w:eastAsia="IRNazanin" w:cs="IRNazanin"/>
          <w:lang w:bidi="fa-IR"/>
          <w:color w:val="111111"/>
          <w:sz w:val="28"/>
          <w:szCs w:val="28"/>
          <w:rtl/>
        </w:rPr>
        <w:t xml:space="preserve">قال فی جامع المقاصد،فیما لو اختلف الضامن و المضمون له،فقال الضامن:ضمنت و أنا صبیّ-بعد ما رجّح تقدیم قول الضامن-ما هذا لفظه:</w:t>
      </w:r>
    </w:p>
    <w:p>
      <w:pPr>
        <w:pStyle w:val="BookText"/>
      </w:pPr>
      <w:r>
        <w:rPr>
          <w:rFonts w:ascii="IRNazanin" w:hAnsi="IRNazanin" w:eastAsia="IRNazanin" w:cs="IRNazanin"/>
          <w:lang w:bidi="fa-IR"/>
          <w:color w:val="111111"/>
          <w:sz w:val="28"/>
          <w:szCs w:val="28"/>
          <w:rtl/>
        </w:rPr>
        <w:t xml:space="preserve">فإن قلت:للمضمون له أصالة الصحّة فی العقود،و ظاهر حال العاقد الآخر أنّه لا یتصرّف باطلا.</w:t>
      </w:r>
    </w:p>
    <w:p>
      <w:pPr>
        <w:pStyle w:val="BookText"/>
      </w:pPr>
      <w:r>
        <w:rPr>
          <w:rFonts w:ascii="IRNazanin" w:hAnsi="IRNazanin" w:eastAsia="IRNazanin" w:cs="IRNazanin"/>
          <w:lang w:bidi="fa-IR"/>
          <w:color w:val="111111"/>
          <w:sz w:val="28"/>
          <w:szCs w:val="28"/>
          <w:rtl/>
        </w:rPr>
        <w:t xml:space="preserve">قلنا:إنّ الأصل فی العقود الصحّة بعد استکمال أرکانها لیتحقّق وجود العقد،أمّا قبله فلا وجود له،فلو اختلفا فی کون المعقود علیه هو الحرّ أو العبد،حلف منکر وقوع العقد علی العبد،و کذا الظاهر إنّما یتمّ مع الاستکمال المذکور،لا مطلقا </w:t>
      </w:r>
      <w:r>
        <w:rPr>
          <w:rStyle w:val="FootnoteReference"/>
        </w:rPr>
        <w:footnoteReference w:id="2636"/>
      </w:r>
      <w:r>
        <w:rPr>
          <w:rFonts w:ascii="IRNazanin" w:hAnsi="IRNazanin" w:eastAsia="IRNazanin" w:cs="IRNazanin"/>
          <w:lang w:bidi="fa-IR"/>
          <w:color w:val="111111"/>
          <w:sz w:val="28"/>
          <w:szCs w:val="28"/>
          <w:rtl/>
        </w:rPr>
        <w:t xml:space="preserve">،انتهی.</w:t>
      </w:r>
    </w:p>
    <w:p>
      <w:pPr>
        <w:pStyle w:val="Heading6"/>
      </w:pPr>
      <w:bookmarkStart w:id="2122" w:name="_Toc1157"/>
      <w:r>
        <w:t>[کلامه فی باب الاجارة:]</w:t>
      </w:r>
      <w:bookmarkEnd w:id="2122"/>
    </w:p>
    <w:p>
      <w:pPr>
        <w:pStyle w:val="BookText"/>
      </w:pPr>
      <w:r>
        <w:rPr>
          <w:rFonts w:ascii="IRNazanin" w:hAnsi="IRNazanin" w:eastAsia="IRNazanin" w:cs="IRNazanin"/>
          <w:lang w:bidi="fa-IR"/>
          <w:color w:val="111111"/>
          <w:sz w:val="28"/>
          <w:szCs w:val="28"/>
          <w:rtl/>
        </w:rPr>
        <w:t xml:space="preserve">و قال فی باب الإجارة،ما هذا لفظه:</w:t>
      </w:r>
    </w:p>
    <w:p>
      <w:pPr>
        <w:pStyle w:val="BookText"/>
      </w:pPr>
      <w:r>
        <w:rPr>
          <w:rFonts w:ascii="IRNazanin" w:hAnsi="IRNazanin" w:eastAsia="IRNazanin" w:cs="IRNazanin"/>
          <w:lang w:bidi="fa-IR"/>
          <w:color w:val="111111"/>
          <w:sz w:val="28"/>
          <w:szCs w:val="28"/>
          <w:rtl/>
        </w:rPr>
        <w:t xml:space="preserve">لا شکّ فی أنّه إذا حصل الاتفاق علی حصول جمیع الامور</w:t>
      </w:r>
    </w:p>
    <w:p>
      <w:pPr>
        <w:pStyle w:val="BookText"/>
      </w:pPr>
      <w:r>
        <w:rPr>
          <w:rFonts w:ascii="IRNazanin" w:hAnsi="IRNazanin" w:eastAsia="IRNazanin" w:cs="IRNazanin"/>
          <w:lang w:bidi="fa-IR"/>
          <w:color w:val="111111"/>
          <w:sz w:val="28"/>
          <w:szCs w:val="28"/>
          <w:rtl/>
        </w:rPr>
        <w:t xml:space="preserve">[شماره صفحه واقعی : 357]
</w:t>
      </w:r>
    </w:p>
    <w:p>
      <w:pPr>
        <w:sectPr>
          <w:footerReference w:type="default" r:id="rId869"/>
          <w:footnotePr>
            <w:numStart w:val="1"/>
            <w:numRestart w:val="eachPage"/>
          </w:footnotePr>
          <w:pgSz w:orient="portrait" w:w="11905.511811023622" w:h="16837.79527559055"/>
          <w:pgMar w:top="1440" w:right="1440" w:bottom="1440" w:left="1440" w:header="720" w:footer="720" w:gutter="0"/>
          <w:cols w:num="1" w:space="720"/>
        </w:sectPr>
      </w:pPr>
    </w:p>
    <w:bookmarkStart w:id="555" w:name="pg14411_143251"/>
    <w:bookmarkEnd w:id="555"/>
    <w:p>
      <w:pPr>
        <w:pStyle w:val="BookText"/>
      </w:pPr>
      <w:r>
        <w:rPr>
          <w:rFonts w:ascii="IRNazanin" w:hAnsi="IRNazanin" w:eastAsia="IRNazanin" w:cs="IRNazanin"/>
          <w:lang w:bidi="fa-IR"/>
          <w:color w:val="111111"/>
          <w:sz w:val="28"/>
          <w:szCs w:val="28"/>
          <w:rtl/>
        </w:rPr>
        <w:t xml:space="preserve">المعتبرة فی العقد-من حصول الإیجاب و القبول من الکاملین،و جریانهما علی العوضین المعتبرین-و وقع الاختلاف فی شرط مفسد،فالقول قول مدّعی الصحّة بیمینه؛لأنّه الموافق للأصل؛لأنّ الأصل عدم ذلک المفسد،و الأصل فی فعل المسلم الصحّة.</w:t>
      </w:r>
    </w:p>
    <w:p>
      <w:pPr>
        <w:pStyle w:val="BookText"/>
      </w:pPr>
      <w:r>
        <w:rPr>
          <w:rFonts w:ascii="IRNazanin" w:hAnsi="IRNazanin" w:eastAsia="IRNazanin" w:cs="IRNazanin"/>
          <w:lang w:bidi="fa-IR"/>
          <w:color w:val="111111"/>
          <w:sz w:val="28"/>
          <w:szCs w:val="28"/>
          <w:rtl/>
        </w:rPr>
        <w:t xml:space="preserve">أمّا إذا حصل الشک </w:t>
      </w:r>
      <w:r>
        <w:rPr>
          <w:rStyle w:val="FootnoteReference"/>
        </w:rPr>
        <w:footnoteReference w:id="2637"/>
      </w:r>
      <w:r>
        <w:rPr>
          <w:rFonts w:ascii="IRNazanin" w:hAnsi="IRNazanin" w:eastAsia="IRNazanin" w:cs="IRNazanin"/>
          <w:lang w:bidi="fa-IR"/>
          <w:color w:val="111111"/>
          <w:sz w:val="28"/>
          <w:szCs w:val="28"/>
          <w:rtl/>
        </w:rPr>
        <w:t xml:space="preserve">فی الصحّة و الفساد فی بعض الامور المعتبرة و عدمه،فإنّ الأصل </w:t>
      </w:r>
      <w:r>
        <w:rPr>
          <w:rStyle w:val="FootnoteReference"/>
        </w:rPr>
        <w:footnoteReference w:id="2638"/>
      </w:r>
      <w:r>
        <w:rPr>
          <w:rFonts w:ascii="IRNazanin" w:hAnsi="IRNazanin" w:eastAsia="IRNazanin" w:cs="IRNazanin"/>
          <w:lang w:bidi="fa-IR"/>
          <w:color w:val="111111"/>
          <w:sz w:val="28"/>
          <w:szCs w:val="28"/>
          <w:rtl/>
        </w:rPr>
        <w:t xml:space="preserve">لا یثمر هنا؛فإنّ الأصل عدم السبب الناقل.</w:t>
      </w:r>
    </w:p>
    <w:p>
      <w:pPr>
        <w:pStyle w:val="BookText"/>
      </w:pPr>
      <w:r>
        <w:rPr>
          <w:rFonts w:ascii="IRNazanin" w:hAnsi="IRNazanin" w:eastAsia="IRNazanin" w:cs="IRNazanin"/>
          <w:lang w:bidi="fa-IR"/>
          <w:color w:val="111111"/>
          <w:sz w:val="28"/>
          <w:szCs w:val="28"/>
          <w:rtl/>
        </w:rPr>
        <w:t xml:space="preserve">و من ذلک ما لو ادّعی أنّی اشتریت العبد فقال بعتک الحرّ </w:t>
      </w:r>
      <w:r>
        <w:rPr>
          <w:rStyle w:val="FootnoteReference"/>
        </w:rPr>
        <w:footnoteReference w:id="2639"/>
      </w:r>
      <w:r>
        <w:rPr>
          <w:rFonts w:ascii="IRNazanin" w:hAnsi="IRNazanin" w:eastAsia="IRNazanin" w:cs="IRNazanin"/>
          <w:lang w:bidi="fa-IR"/>
          <w:color w:val="111111"/>
          <w:sz w:val="28"/>
          <w:szCs w:val="28"/>
          <w:rtl/>
        </w:rPr>
        <w:t xml:space="preserve">،انتهی.</w:t>
      </w:r>
    </w:p>
    <w:p>
      <w:pPr>
        <w:pStyle w:val="Heading6"/>
      </w:pPr>
      <w:bookmarkStart w:id="2123" w:name="_Toc1158"/>
      <w:r>
        <w:t>[کلام العلاّمة رحمه اللّه فی القواعد:]</w:t>
      </w:r>
      <w:bookmarkEnd w:id="2123"/>
    </w:p>
    <w:p>
      <w:pPr>
        <w:pStyle w:val="BookText"/>
      </w:pPr>
      <w:r>
        <w:rPr>
          <w:rFonts w:ascii="IRNazanin" w:hAnsi="IRNazanin" w:eastAsia="IRNazanin" w:cs="IRNazanin"/>
          <w:lang w:bidi="fa-IR"/>
          <w:color w:val="111111"/>
          <w:sz w:val="28"/>
          <w:szCs w:val="28"/>
          <w:rtl/>
        </w:rPr>
        <w:t xml:space="preserve">و یظهر هذا من بعض کلمات العلاّمة رحمه اللّه،قال فی القواعد:</w:t>
      </w:r>
    </w:p>
    <w:p>
      <w:pPr>
        <w:pStyle w:val="BookText"/>
      </w:pPr>
      <w:r>
        <w:rPr>
          <w:rFonts w:ascii="IRNazanin" w:hAnsi="IRNazanin" w:eastAsia="IRNazanin" w:cs="IRNazanin"/>
          <w:lang w:bidi="fa-IR"/>
          <w:color w:val="111111"/>
          <w:sz w:val="28"/>
          <w:szCs w:val="28"/>
          <w:rtl/>
        </w:rPr>
        <w:t xml:space="preserve">لا یصحّ ضمان الصبیّ و لو أذن له الولیّ،فإن اختلفا قدّم قول الضامن؛لأصالة براءة الذمّة و عدم البلوغ،و لیس لمدّعی الصحّة </w:t>
      </w:r>
      <w:r>
        <w:rPr>
          <w:rStyle w:val="FootnoteReference"/>
        </w:rPr>
        <w:footnoteReference w:id="2640"/>
      </w:r>
      <w:r>
        <w:rPr>
          <w:rFonts w:ascii="IRNazanin" w:hAnsi="IRNazanin" w:eastAsia="IRNazanin" w:cs="IRNazanin"/>
          <w:lang w:bidi="fa-IR"/>
          <w:color w:val="111111"/>
          <w:sz w:val="28"/>
          <w:szCs w:val="28"/>
          <w:rtl/>
        </w:rPr>
        <w:t xml:space="preserve">أصل یستند إلیه،و لا ظاهر یرجع إلیه.بخلاف ما لو ادّعی شرطا فاسدا؛ لأنّ الظاهر أنّهما لا یتصرّفان باطلا،و کذا البحث فی من عرف له حالة جنون </w:t>
      </w:r>
      <w:r>
        <w:rPr>
          <w:rStyle w:val="FootnoteReference"/>
        </w:rPr>
        <w:footnoteReference w:id="2641"/>
      </w:r>
      <w:r>
        <w:rPr>
          <w:rFonts w:ascii="IRNazanin" w:hAnsi="IRNazanin" w:eastAsia="IRNazanin" w:cs="IRNazanin"/>
          <w:lang w:bidi="fa-IR"/>
          <w:color w:val="111111"/>
          <w:sz w:val="28"/>
          <w:szCs w:val="28"/>
          <w:rtl/>
        </w:rPr>
        <w:t xml:space="preserve">،انتهی.</w:t>
      </w:r>
    </w:p>
    <w:p>
      <w:pPr>
        <w:pStyle w:val="Heading6"/>
      </w:pPr>
      <w:bookmarkStart w:id="2124" w:name="_Toc1159"/>
      <w:r>
        <w:t>[کلامه فی التذکرة:]</w:t>
      </w:r>
      <w:bookmarkEnd w:id="2124"/>
    </w:p>
    <w:p>
      <w:pPr>
        <w:pStyle w:val="BookText"/>
      </w:pPr>
      <w:r>
        <w:rPr>
          <w:rFonts w:ascii="IRNazanin" w:hAnsi="IRNazanin" w:eastAsia="IRNazanin" w:cs="IRNazanin"/>
          <w:lang w:bidi="fa-IR"/>
          <w:color w:val="111111"/>
          <w:sz w:val="28"/>
          <w:szCs w:val="28"/>
          <w:rtl/>
        </w:rPr>
        <w:t xml:space="preserve">و قال فی التذکرة:</w:t>
      </w:r>
    </w:p>
    <w:p>
      <w:pPr>
        <w:pStyle w:val="BookText"/>
      </w:pPr>
      <w:r>
        <w:rPr>
          <w:rFonts w:ascii="IRNazanin" w:hAnsi="IRNazanin" w:eastAsia="IRNazanin" w:cs="IRNazanin"/>
          <w:lang w:bidi="fa-IR"/>
          <w:color w:val="111111"/>
          <w:sz w:val="28"/>
          <w:szCs w:val="28"/>
          <w:rtl/>
        </w:rPr>
        <w:t xml:space="preserve">لو ادّعی المضمون له:أنّ الضامن ضمن بعد البلوغ،و قال الضامن:بل ضمنت لک قبله.فإن عیّنا له وقتا لا یحتمل بلوغه فیه</w:t>
      </w:r>
    </w:p>
    <w:p>
      <w:pPr>
        <w:pStyle w:val="BookText"/>
      </w:pPr>
      <w:r>
        <w:rPr>
          <w:rFonts w:ascii="IRNazanin" w:hAnsi="IRNazanin" w:eastAsia="IRNazanin" w:cs="IRNazanin"/>
          <w:lang w:bidi="fa-IR"/>
          <w:color w:val="111111"/>
          <w:sz w:val="28"/>
          <w:szCs w:val="28"/>
          <w:rtl/>
        </w:rPr>
        <w:t xml:space="preserve">[شماره صفحه واقعی : 358]
</w:t>
      </w:r>
    </w:p>
    <w:p>
      <w:pPr>
        <w:sectPr>
          <w:footerReference w:type="default" r:id="rId8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قدّم قول الصبیّ-إلی أن قال-:و إن لم یعیّنا وقتا،فالقول قول الضامن بیمینه،و به قال الشافعیّ؛لأصالة عدم البلوغ.و قال أحمد:</w:t>
      </w:r>
    </w:p>
    <w:p>
      <w:pPr>
        <w:pStyle w:val="BookText"/>
      </w:pPr>
      <w:r>
        <w:rPr>
          <w:rFonts w:ascii="Amiri" w:hAnsi="Amiri" w:eastAsia="Amiri" w:cs="Amiri"/>
          <w:lang w:bidi="ar-SA"/>
          <w:color w:val="111111"/>
          <w:sz w:val="28"/>
          <w:szCs w:val="28"/>
          <w:rtl/>
        </w:rPr>
        <w:t xml:space="preserve">القول قول المضمون له؛لأنّ الأصل صحّة الفعل </w:t>
      </w:r>
      <w:r>
        <w:rPr>
          <w:rStyle w:val="FootnoteReference"/>
        </w:rPr>
        <w:footnoteReference w:id="2642"/>
      </w:r>
      <w:r>
        <w:rPr>
          <w:rFonts w:ascii="IRNazanin" w:hAnsi="IRNazanin" w:eastAsia="IRNazanin" w:cs="IRNazanin"/>
          <w:lang w:bidi="fa-IR"/>
          <w:color w:val="111111"/>
          <w:sz w:val="28"/>
          <w:szCs w:val="28"/>
          <w:rtl/>
        </w:rPr>
        <w:t xml:space="preserve">و سلامته،کما لو اختلفا فی شرط مبطل.و الفرق:أنّ المختلفین فی الشرط المفسد یقدّم فیه قول مدّعی الصحّة؛لاتفاقهما علی أهلیّة التصرّف؛إذ </w:t>
      </w:r>
      <w:r>
        <w:rPr>
          <w:rStyle w:val="FootnoteReference"/>
        </w:rPr>
        <w:footnoteReference w:id="2643"/>
      </w:r>
      <w:r>
        <w:rPr>
          <w:rFonts w:ascii="IRNazanin" w:hAnsi="IRNazanin" w:eastAsia="IRNazanin" w:cs="IRNazanin"/>
          <w:lang w:bidi="fa-IR"/>
          <w:color w:val="111111"/>
          <w:sz w:val="28"/>
          <w:szCs w:val="28"/>
          <w:rtl/>
        </w:rPr>
        <w:t xml:space="preserve">من له أهلیّة التصرّف لا یتصرّف إلاّ تصرّفا صحیحا،فکان القول قول مدّعی الصحّة؛لأنّه مدّع للظاهر،و هنا اختلفا فی أهلیّة التصرّف،فلیس مع من یدّعی الأهلیّة ظاهر یستند إلیه و لا أصل یرجع إلیه.و کذا لو ادّعی أنّه ضمن بعد البلوغ و قبل الرشد </w:t>
      </w:r>
      <w:r>
        <w:rPr>
          <w:rStyle w:val="FootnoteReference"/>
        </w:rPr>
        <w:footnoteReference w:id="2644"/>
      </w:r>
      <w:r>
        <w:rPr>
          <w:rFonts w:ascii="IRNazanin" w:hAnsi="IRNazanin" w:eastAsia="IRNazanin" w:cs="IRNazanin"/>
          <w:lang w:bidi="fa-IR"/>
          <w:color w:val="111111"/>
          <w:sz w:val="28"/>
          <w:szCs w:val="28"/>
          <w:rtl/>
        </w:rPr>
        <w:t xml:space="preserve">،انتهی موضع الحاجة.</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لکن لم یعلم الفرق بین دعوی الضامن الصغر و بین دعوی البائع إیّاه،حیث صرّح العلاّمة و المحقّق الثانی بجریان أصالة الصحّة،و إن اختلفا بین من </w:t>
      </w:r>
      <w:r>
        <w:rPr>
          <w:rStyle w:val="FootnoteReference"/>
        </w:rPr>
        <w:footnoteReference w:id="2645"/>
      </w:r>
      <w:r>
        <w:rPr>
          <w:rFonts w:ascii="IRNazanin" w:hAnsi="IRNazanin" w:eastAsia="IRNazanin" w:cs="IRNazanin"/>
          <w:lang w:bidi="fa-IR"/>
          <w:color w:val="111111"/>
          <w:sz w:val="28"/>
          <w:szCs w:val="28"/>
          <w:rtl/>
        </w:rPr>
        <w:t xml:space="preserve">عارضها بأصالة عدم البلوغ،و بین من </w:t>
      </w:r>
      <w:r>
        <w:rPr>
          <w:rStyle w:val="FootnoteReference"/>
        </w:rPr>
        <w:footnoteReference w:id="2646"/>
      </w:r>
      <w:r>
        <w:rPr>
          <w:rFonts w:ascii="Amiri" w:hAnsi="Amiri" w:eastAsia="Amiri" w:cs="Amiri"/>
          <w:lang w:bidi="ar-SA"/>
          <w:color w:val="111111"/>
          <w:sz w:val="28"/>
          <w:szCs w:val="28"/>
          <w:rtl/>
        </w:rPr>
        <w:t xml:space="preserve">ضعّف هذه المعارضة.</w:t>
      </w:r>
    </w:p>
    <w:p>
      <w:pPr>
        <w:pStyle w:val="BookText"/>
      </w:pPr>
      <w:r>
        <w:rPr>
          <w:rFonts w:ascii="IRNazanin" w:hAnsi="IRNazanin" w:eastAsia="IRNazanin" w:cs="IRNazanin"/>
          <w:lang w:bidi="fa-IR"/>
          <w:color w:val="111111"/>
          <w:sz w:val="28"/>
          <w:szCs w:val="28"/>
          <w:rtl/>
        </w:rPr>
        <w:t xml:space="preserve">و قد حکی عن قطب الدین </w:t>
      </w:r>
      <w:r>
        <w:rPr>
          <w:rStyle w:val="FootnoteReference"/>
        </w:rPr>
        <w:footnoteReference w:id="2647"/>
      </w:r>
      <w:r>
        <w:rPr>
          <w:rFonts w:ascii="IRNazanin" w:hAnsi="IRNazanin" w:eastAsia="IRNazanin" w:cs="IRNazanin"/>
          <w:lang w:bidi="fa-IR"/>
          <w:color w:val="111111"/>
          <w:sz w:val="28"/>
          <w:szCs w:val="28"/>
          <w:rtl/>
        </w:rPr>
        <w:t xml:space="preserve">:أنّه اعترض علی شیخه العلاّمة فی</w:t>
      </w:r>
    </w:p>
    <w:p>
      <w:pPr>
        <w:pStyle w:val="BookText"/>
      </w:pPr>
      <w:r>
        <w:rPr>
          <w:rFonts w:ascii="IRNazanin" w:hAnsi="IRNazanin" w:eastAsia="IRNazanin" w:cs="IRNazanin"/>
          <w:lang w:bidi="fa-IR"/>
          <w:color w:val="111111"/>
          <w:sz w:val="28"/>
          <w:szCs w:val="28"/>
          <w:rtl/>
        </w:rPr>
        <w:t xml:space="preserve">[شماره صفحه واقعی : 359]
</w:t>
      </w:r>
    </w:p>
    <w:p>
      <w:pPr>
        <w:sectPr>
          <w:footerReference w:type="default" r:id="rId871"/>
          <w:footnotePr>
            <w:numStart w:val="1"/>
            <w:numRestart w:val="eachPage"/>
          </w:footnotePr>
          <w:pgSz w:orient="portrait" w:w="11905.511811023622" w:h="16837.79527559055"/>
          <w:pgMar w:top="1440" w:right="1440" w:bottom="1440" w:left="1440" w:header="720" w:footer="720" w:gutter="0"/>
          <w:cols w:num="1" w:space="720"/>
        </w:sectPr>
      </w:pPr>
    </w:p>
    <w:bookmarkStart w:id="556" w:name="pg14411_143253"/>
    <w:bookmarkEnd w:id="556"/>
    <w:p>
      <w:pPr>
        <w:pStyle w:val="BookText"/>
      </w:pPr>
      <w:r>
        <w:rPr>
          <w:rFonts w:ascii="IRNazanin" w:hAnsi="IRNazanin" w:eastAsia="IRNazanin" w:cs="IRNazanin"/>
          <w:lang w:bidi="fa-IR"/>
          <w:color w:val="111111"/>
          <w:sz w:val="28"/>
          <w:szCs w:val="28"/>
          <w:rtl/>
        </w:rPr>
        <w:t xml:space="preserve">مسألة الضمان بأصالة الصحّة،فعارضها بأصالة عدم البلوغ،و بقی </w:t>
      </w:r>
      <w:r>
        <w:rPr>
          <w:rStyle w:val="FootnoteReference"/>
        </w:rPr>
        <w:footnoteReference w:id="2648"/>
      </w:r>
      <w:r>
        <w:rPr>
          <w:rFonts w:ascii="IRNazanin" w:hAnsi="IRNazanin" w:eastAsia="IRNazanin" w:cs="IRNazanin"/>
          <w:lang w:bidi="fa-IR"/>
          <w:color w:val="111111"/>
          <w:sz w:val="28"/>
          <w:szCs w:val="28"/>
          <w:rtl/>
        </w:rPr>
        <w:t xml:space="preserve">أصالة البراءة سلیمة عن المعارض.</w:t>
      </w:r>
    </w:p>
    <w:p>
      <w:pPr>
        <w:pStyle w:val="Heading6"/>
      </w:pPr>
      <w:bookmarkStart w:id="2125" w:name="_Toc1160"/>
      <w:r>
        <w:t>[الأقوی التعمیم و عدم اعتبار استکمال الأرکان:]</w:t>
      </w:r>
      <w:bookmarkEnd w:id="2125"/>
    </w:p>
    <w:p>
      <w:pPr>
        <w:pStyle w:val="BookText"/>
      </w:pPr>
      <w:r>
        <w:rPr>
          <w:rFonts w:ascii="IRNazanin" w:hAnsi="IRNazanin" w:eastAsia="IRNazanin" w:cs="IRNazanin"/>
          <w:lang w:bidi="fa-IR"/>
          <w:color w:val="111111"/>
          <w:sz w:val="28"/>
          <w:szCs w:val="28"/>
          <w:rtl/>
        </w:rPr>
        <w:t xml:space="preserve">أقول:و الأقوی بالنظر إلی الأدلّة السابقة-من السیرة و لزوم الاختلال-:هو التعمیم.و لذا لو شکّ المکلّف أنّ هذا الذی اشتراه هل اشتراه فی حال صغره؟بنی علی الصحّة.و لو قیل:إنّ ذلک من حیث الشکّ فی تملیک البائع البالغ،و أنّه کان فی محلّه أم کان فاسدا،جری مثل ذلک فی مسألة التداعی أیضا.</w:t>
      </w:r>
    </w:p>
    <w:p>
      <w:pPr>
        <w:pStyle w:val="Heading6"/>
      </w:pPr>
      <w:bookmarkStart w:id="2126" w:name="_Toc1161"/>
      <w:r>
        <w:t>[المناقشة فیما ذکره المحقق الثانی:]</w:t>
      </w:r>
      <w:bookmarkEnd w:id="2126"/>
    </w:p>
    <w:p>
      <w:pPr>
        <w:pStyle w:val="BookText"/>
      </w:pPr>
      <w:r>
        <w:rPr>
          <w:rFonts w:ascii="Amiri" w:hAnsi="Amiri" w:eastAsia="Amiri" w:cs="Amiri"/>
          <w:lang w:bidi="ar-SA"/>
          <w:color w:val="111111"/>
          <w:sz w:val="28"/>
          <w:szCs w:val="28"/>
          <w:rtl/>
        </w:rPr>
        <w:t xml:space="preserve">ثمّ </w:t>
      </w:r>
      <w:r>
        <w:rPr>
          <w:rStyle w:val="FootnoteReference"/>
        </w:rPr>
        <w:footnoteReference w:id="2649"/>
      </w:r>
      <w:r>
        <w:rPr>
          <w:rFonts w:ascii="IRNazanin" w:hAnsi="IRNazanin" w:eastAsia="IRNazanin" w:cs="IRNazanin"/>
          <w:lang w:bidi="fa-IR"/>
          <w:color w:val="111111"/>
          <w:sz w:val="28"/>
          <w:szCs w:val="28"/>
          <w:rtl/>
        </w:rPr>
        <w:t xml:space="preserve">إنّ ما ذکره جامع المقاصد:من أنّه لا وجود للعقد قبل استکمال أرکانه،إن أراد الوجود الشرعیّ فهو عین الصحّة، و إن أراد الوجود العرفیّ فهو متحقّق مع الشکّ،بل مع القطع بالعدم.</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 أمّا ما ذکره:من الاختلاف فی کون المعقود علیه هو الحرّ أو العبد </w:t>
      </w:r>
      <w:r>
        <w:rPr>
          <w:rStyle w:val="FootnoteReference"/>
        </w:rPr>
        <w:footnoteReference w:id="2650"/>
      </w:r>
      <w:r>
        <w:rPr>
          <w:rFonts w:ascii="IRNazanin" w:hAnsi="IRNazanin" w:eastAsia="IRNazanin" w:cs="IRNazanin"/>
          <w:lang w:bidi="fa-IR"/>
          <w:color w:val="111111"/>
          <w:sz w:val="28"/>
          <w:szCs w:val="28"/>
          <w:rtl/>
        </w:rPr>
        <w:t xml:space="preserve">،فهو داخل فی المسألة المعنونة فی کلام القدماء و المتأخّرین،و هی</w:t>
      </w:r>
    </w:p>
    <w:p>
      <w:pPr>
        <w:pStyle w:val="BookText"/>
      </w:pPr>
      <w:r>
        <w:rPr>
          <w:rFonts w:ascii="IRNazanin" w:hAnsi="IRNazanin" w:eastAsia="IRNazanin" w:cs="IRNazanin"/>
          <w:lang w:bidi="fa-IR"/>
          <w:color w:val="111111"/>
          <w:sz w:val="28"/>
          <w:szCs w:val="28"/>
          <w:rtl/>
        </w:rPr>
        <w:t xml:space="preserve">[شماره صفحه واقعی : 360]
</w:t>
      </w:r>
    </w:p>
    <w:p>
      <w:pPr>
        <w:sectPr>
          <w:footerReference w:type="default" r:id="rId8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لو قال:بعتک بعبد،فقال:بل بحرّ،فراجع کتب الفاضلین </w:t>
      </w:r>
      <w:r>
        <w:rPr>
          <w:rStyle w:val="FootnoteReference"/>
        </w:rPr>
        <w:footnoteReference w:id="2651"/>
      </w:r>
      <w:r>
        <w:rPr>
          <w:rFonts w:ascii="IRNazanin" w:hAnsi="IRNazanin" w:eastAsia="IRNazanin" w:cs="IRNazanin"/>
          <w:lang w:bidi="fa-IR"/>
          <w:color w:val="111111"/>
          <w:sz w:val="28"/>
          <w:szCs w:val="28"/>
          <w:rtl/>
        </w:rPr>
        <w:t xml:space="preserve">و الشهیدین </w:t>
      </w:r>
      <w:r>
        <w:rPr>
          <w:rStyle w:val="FootnoteReference"/>
        </w:rPr>
        <w:footnoteReference w:id="26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ما ذکره:من أنّ الظاهر إنّما یتمّ مع الاستکمال المذکور لا مطلقا،فهو إنّما یتمّ إذا کان الشکّ من جهة بلوغ الفاعل،و لم یکن هناک طرف آخر معلوم البلوغ یستلزم صحّة فعله صحّة فعل هذا الفاعل،کما لو شکّ فی أنّ الإبراء أو الوصیّة هل صدر منه حال البلوغ أم قبله؟أمّا إذا کان الشکّ فی رکن آخر من العقد،کأحد العوضین، أو فی أهلیّة أحد طرفی العقد،فیمکن أن یقال:إنّ الظاهر من الفاعل فی الأوّل،و من الطرف الآخر فی الثانی،أنّه لا یتصرّف فاسدا.</w:t>
      </w:r>
    </w:p>
    <w:p>
      <w:pPr>
        <w:pStyle w:val="BookText"/>
      </w:pPr>
      <w:r>
        <w:rPr>
          <w:rFonts w:ascii="IRNazanin" w:hAnsi="IRNazanin" w:eastAsia="IRNazanin" w:cs="IRNazanin"/>
          <w:lang w:bidi="fa-IR"/>
          <w:color w:val="111111"/>
          <w:sz w:val="28"/>
          <w:szCs w:val="28"/>
          <w:rtl/>
        </w:rPr>
        <w:t xml:space="preserve">نعم،مسألة الضمان یمکن أن یکون من الأوّل،إذا فرض وقوعه بغیر إذن من المدیون،و لا قبول من الغریم؛فإنّ الضمان حینئذ فعل واحد شکّ فی صدوره من بالغ أو غیره،و لیس له طرف آخر، فلا ظهور فی عدم کون تصرّفه فاسدا.</w:t>
      </w:r>
    </w:p>
    <w:p>
      <w:pPr>
        <w:pStyle w:val="BookText"/>
      </w:pPr>
      <w:r>
        <w:rPr>
          <w:rFonts w:ascii="IRNazanin" w:hAnsi="IRNazanin" w:eastAsia="IRNazanin" w:cs="IRNazanin"/>
          <w:lang w:bidi="fa-IR"/>
          <w:color w:val="111111"/>
          <w:sz w:val="28"/>
          <w:szCs w:val="28"/>
          <w:rtl/>
        </w:rPr>
        <w:t xml:space="preserve">لکنّ الظاهر:أنّ المحقّق لم یرد خصوص ما کان من هذا القبیل، بل یشمل کلامه الصورتین الأخیرتین،فراجع.نعم،یحتمل ذلک فی عبارة التذکرة.</w:t>
      </w:r>
    </w:p>
    <w:p>
      <w:pPr>
        <w:pStyle w:val="BookText"/>
      </w:pPr>
      <w:r>
        <w:rPr>
          <w:rFonts w:ascii="IRNazanin" w:hAnsi="IRNazanin" w:eastAsia="IRNazanin" w:cs="IRNazanin"/>
          <w:lang w:bidi="fa-IR"/>
          <w:color w:val="111111"/>
          <w:sz w:val="28"/>
          <w:szCs w:val="28"/>
          <w:rtl/>
        </w:rPr>
        <w:t xml:space="preserve">[شماره صفحه واقعی : 361]
</w:t>
      </w:r>
    </w:p>
    <w:p>
      <w:pPr>
        <w:sectPr>
          <w:footerReference w:type="default" r:id="rId8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إنّ تقدیم قول منکر الشرط المفسد لیس لتقدیم قول مدّعی الصحّة،بل لأنّ القول قول منکر الشرط،صحیحا کان أو فاسدا؛ لأصالة عدم الاشتراط،و لا دخل لهذا بحدیث أصالة الصحّة و إن کان مؤدّاه صحّة العقد فیما کان الشرط المدّعی مفسدا.هذا،و لا بدّ من التأمّل و التتبّع.</w:t>
      </w:r>
    </w:p>
    <w:p>
      <w:pPr>
        <w:pStyle w:val="BookText"/>
      </w:pPr>
      <w:r>
        <w:rPr>
          <w:rFonts w:ascii="IRNazanin" w:hAnsi="IRNazanin" w:eastAsia="IRNazanin" w:cs="IRNazanin"/>
          <w:lang w:bidi="fa-IR"/>
          <w:color w:val="111111"/>
          <w:sz w:val="28"/>
          <w:szCs w:val="28"/>
          <w:rtl/>
        </w:rPr>
        <w:t xml:space="preserve">[شماره صفحه واقعی : 362]
</w:t>
      </w:r>
    </w:p>
    <w:p>
      <w:pPr>
        <w:sectPr>
          <w:footerReference w:type="default" r:id="rId874"/>
          <w:footnotePr>
            <w:numStart w:val="1"/>
            <w:numRestart w:val="eachPage"/>
          </w:footnotePr>
          <w:pgSz w:orient="portrait" w:w="11905.511811023622" w:h="16837.79527559055"/>
          <w:pgMar w:top="1440" w:right="1440" w:bottom="1440" w:left="1440" w:header="720" w:footer="720" w:gutter="0"/>
          <w:cols w:num="1" w:space="720"/>
        </w:sectPr>
      </w:pPr>
    </w:p>
    <w:bookmarkStart w:id="557" w:name="pg14411_143256"/>
    <w:bookmarkEnd w:id="557"/>
    <w:p>
      <w:pPr>
        <w:pStyle w:val="Heading6"/>
      </w:pPr>
      <w:bookmarkStart w:id="2127" w:name="_Toc1162"/>
      <w:r>
        <w:t>الثالث [صحّة کلّ شیء بحسبه و باعتبار آثار نفسه]</w:t>
      </w:r>
      <w:bookmarkEnd w:id="2127"/>
    </w:p>
    <w:p>
      <w:pPr>
        <w:pStyle w:val="BookText"/>
      </w:pPr>
      <w:r>
        <w:rPr>
          <w:rFonts w:ascii="IRNazanin" w:hAnsi="IRNazanin" w:eastAsia="IRNazanin" w:cs="IRNazanin"/>
          <w:lang w:bidi="fa-IR"/>
          <w:color w:val="111111"/>
          <w:sz w:val="28"/>
          <w:szCs w:val="28"/>
          <w:rtl/>
        </w:rPr>
        <w:t xml:space="preserve">أنّ هذا الأصل إنّما یثبت صحّة الفعل إذا وقع الشکّ فی بعض الامور المعتبرة شرعا فی صحّته،بمعنی ترتّب الأثر المقصود منه علیه، فصحّة کلّ شیء بحسبه.</w:t>
      </w:r>
    </w:p>
    <w:p>
      <w:pPr>
        <w:pStyle w:val="BookText"/>
      </w:pPr>
      <w:r>
        <w:rPr>
          <w:rFonts w:ascii="IRNazanin" w:hAnsi="IRNazanin" w:eastAsia="IRNazanin" w:cs="IRNazanin"/>
          <w:lang w:bidi="fa-IR"/>
          <w:color w:val="111111"/>
          <w:sz w:val="28"/>
          <w:szCs w:val="28"/>
          <w:rtl/>
        </w:rPr>
        <w:t xml:space="preserve">مثلا:صحّة الإیجاب عبارة عن کونه بحیث لو تعقّبه قبول صحیح لحصل أثر العقد،فی مقابل فاسده الذی لا یکون کذلک،کالإیجاب بالفارسیّة بناء علی القول باعتبار العربیّة.فلو تجرّد الإیجاب عن القبول لم یوجب ذلک فساد الإیجاب.</w:t>
      </w:r>
    </w:p>
    <w:p>
      <w:pPr>
        <w:pStyle w:val="BookText"/>
      </w:pPr>
      <w:r>
        <w:rPr>
          <w:rFonts w:ascii="IRNazanin" w:hAnsi="IRNazanin" w:eastAsia="IRNazanin" w:cs="IRNazanin"/>
          <w:lang w:bidi="fa-IR"/>
          <w:color w:val="111111"/>
          <w:sz w:val="28"/>
          <w:szCs w:val="28"/>
          <w:rtl/>
        </w:rPr>
        <w:t xml:space="preserve">فإذا شکّ فی تحقّق القبول من المشتری بعد العلم بصدور الإیجاب من البائع،فلا یقضی </w:t>
      </w:r>
      <w:r>
        <w:rPr>
          <w:rStyle w:val="FootnoteReference"/>
        </w:rPr>
        <w:footnoteReference w:id="2653"/>
      </w:r>
      <w:r>
        <w:rPr>
          <w:rFonts w:ascii="IRNazanin" w:hAnsi="IRNazanin" w:eastAsia="IRNazanin" w:cs="IRNazanin"/>
          <w:lang w:bidi="fa-IR"/>
          <w:color w:val="111111"/>
          <w:sz w:val="28"/>
          <w:szCs w:val="28"/>
          <w:rtl/>
        </w:rPr>
        <w:t xml:space="preserve">أصالة الصحّة فی الإیجاب بوجود القبول؛</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لأنّ القبول معتبر فی العقد لا فی الإیجاب.</w:t>
      </w:r>
    </w:p>
    <w:p>
      <w:pPr>
        <w:pStyle w:val="BookText"/>
      </w:pPr>
      <w:r>
        <w:rPr>
          <w:rFonts w:ascii="IRNazanin" w:hAnsi="IRNazanin" w:eastAsia="IRNazanin" w:cs="IRNazanin"/>
          <w:lang w:bidi="fa-IR"/>
          <w:color w:val="111111"/>
          <w:sz w:val="28"/>
          <w:szCs w:val="28"/>
          <w:rtl/>
        </w:rPr>
        <w:t xml:space="preserve">و کذا لو شکّ فی تحقّق القبض فی الهبة أو فی الصرف أو السلم بعد العلم بتحقّق الإیجاب و القبول،لم یحکم بتحقّقه من حیث أصالة صحّة العقد.</w:t>
      </w:r>
    </w:p>
    <w:p>
      <w:pPr>
        <w:pStyle w:val="BookText"/>
      </w:pPr>
      <w:r>
        <w:rPr>
          <w:rFonts w:ascii="IRNazanin" w:hAnsi="IRNazanin" w:eastAsia="IRNazanin" w:cs="IRNazanin"/>
          <w:lang w:bidi="fa-IR"/>
          <w:color w:val="111111"/>
          <w:sz w:val="28"/>
          <w:szCs w:val="28"/>
          <w:rtl/>
        </w:rPr>
        <w:t xml:space="preserve">[شماره صفحه واقعی : 363]
</w:t>
      </w:r>
    </w:p>
    <w:p>
      <w:pPr>
        <w:sectPr>
          <w:footerReference w:type="default" r:id="rId875"/>
          <w:footnotePr>
            <w:numStart w:val="1"/>
            <w:numRestart w:val="eachPage"/>
          </w:footnotePr>
          <w:pgSz w:orient="portrait" w:w="11905.511811023622" w:h="16837.79527559055"/>
          <w:pgMar w:top="1440" w:right="1440" w:bottom="1440" w:left="1440" w:header="720" w:footer="720" w:gutter="0"/>
          <w:cols w:num="1" w:space="720"/>
        </w:sectPr>
      </w:pPr>
    </w:p>
    <w:bookmarkStart w:id="558" w:name="pg14411_143257"/>
    <w:bookmarkEnd w:id="558"/>
    <w:p>
      <w:pPr>
        <w:pStyle w:val="BookText"/>
      </w:pPr>
      <w:r>
        <w:rPr>
          <w:rFonts w:ascii="IRNazanin" w:hAnsi="IRNazanin" w:eastAsia="IRNazanin" w:cs="IRNazanin"/>
          <w:lang w:bidi="fa-IR"/>
          <w:color w:val="111111"/>
          <w:sz w:val="28"/>
          <w:szCs w:val="28"/>
          <w:rtl/>
        </w:rPr>
        <w:t xml:space="preserve">و کذا </w:t>
      </w:r>
      <w:r>
        <w:rPr>
          <w:rStyle w:val="FootnoteReference"/>
        </w:rPr>
        <w:footnoteReference w:id="2654"/>
      </w:r>
      <w:r>
        <w:rPr>
          <w:rFonts w:ascii="IRNazanin" w:hAnsi="IRNazanin" w:eastAsia="IRNazanin" w:cs="IRNazanin"/>
          <w:lang w:bidi="fa-IR"/>
          <w:color w:val="111111"/>
          <w:sz w:val="28"/>
          <w:szCs w:val="28"/>
          <w:rtl/>
        </w:rPr>
        <w:t xml:space="preserve">لو شکّ فی إجازة المالک لبیع الفضولیّ،لم یصحّ إحرازها بأصالة الصحّة.</w:t>
      </w:r>
    </w:p>
    <w:p>
      <w:pPr>
        <w:pStyle w:val="BookText"/>
      </w:pPr>
      <w:r>
        <w:rPr>
          <w:rFonts w:ascii="IRNazanin" w:hAnsi="IRNazanin" w:eastAsia="IRNazanin" w:cs="IRNazanin"/>
          <w:lang w:bidi="fa-IR"/>
          <w:color w:val="111111"/>
          <w:sz w:val="28"/>
          <w:szCs w:val="28"/>
          <w:rtl/>
        </w:rPr>
        <w:t xml:space="preserve">و أولی بعدم الجریان ما لو کان العقد فی نفسه لو خلّی و طبعه مبنیّا علی الفساد،بحیث یکون المصحّح طارئا علیه،کما لو ادّعی بائع الوقف وجود المصحّح له،و کذا الراهن أو المشتری من الفضولیّ إجازة المرتهن و المالک.</w:t>
      </w:r>
    </w:p>
    <w:p>
      <w:pPr>
        <w:pStyle w:val="Heading6"/>
      </w:pPr>
      <w:bookmarkStart w:id="2128" w:name="_Toc1163"/>
      <w:r>
        <w:t>و ممّا یتفرّع علی ذلک أیضا:</w:t>
      </w:r>
      <w:bookmarkEnd w:id="2128"/>
    </w:p>
    <w:p>
      <w:pPr>
        <w:pStyle w:val="BookText"/>
      </w:pPr>
      <w:r>
        <w:rPr>
          <w:rFonts w:ascii="IRNazanin" w:hAnsi="IRNazanin" w:eastAsia="IRNazanin" w:cs="IRNazanin"/>
          <w:lang w:bidi="fa-IR"/>
          <w:color w:val="111111"/>
          <w:sz w:val="28"/>
          <w:szCs w:val="28"/>
          <w:rtl/>
        </w:rPr>
        <w:t xml:space="preserve">أنّه لو اختلف المرتهن الآذن فی بیع الرهن و الراهن البائع له-بعد اتّفاقهما علی رجوع المرتهن عن إذنه-فی تقدّم الرجوع علی البیع فیفسد،أو تأخّره فیصحّ،فلا یمکن أن یقال -کما قیل </w:t>
      </w:r>
      <w:r>
        <w:rPr>
          <w:rStyle w:val="FootnoteReference"/>
        </w:rPr>
        <w:footnoteReference w:id="2655"/>
      </w:r>
      <w:r>
        <w:rPr>
          <w:rFonts w:ascii="IRNazanin" w:hAnsi="IRNazanin" w:eastAsia="IRNazanin" w:cs="IRNazanin"/>
          <w:lang w:bidi="fa-IR"/>
          <w:color w:val="111111"/>
          <w:sz w:val="28"/>
          <w:szCs w:val="28"/>
          <w:rtl/>
        </w:rPr>
        <w:t xml:space="preserve">-:من أنّ أصالة صحّة الإذن تقضی بوقوع البیع صحیحا، و لا أنّ أصالة صحّة الرجوع تقضی بکون البیع فاسدا؛لأنّ الإذن و الرجوع کلیهما قد فرض وقوعهما علی الوجه الصحیح،و هو صدوره عمّن له أهلیّة ذلک و التسلّط علیه.فمعنی ترتّب الأثر علیهما أنّه لو وقع فعل المأذون عقیب الإذن و قبل الرجوع ترتّب علیه الأثر،و لو وقع فعله بعد الرجوع کان فاسدا،أمّا لو لم یقع عقیب الإذن </w:t>
      </w:r>
      <w:r>
        <w:rPr>
          <w:rStyle w:val="FootnoteReference"/>
        </w:rPr>
        <w:footnoteReference w:id="2656"/>
      </w:r>
      <w:r>
        <w:rPr>
          <w:rFonts w:ascii="IRNazanin" w:hAnsi="IRNazanin" w:eastAsia="IRNazanin" w:cs="IRNazanin"/>
          <w:lang w:bidi="fa-IR"/>
          <w:color w:val="111111"/>
          <w:sz w:val="28"/>
          <w:szCs w:val="28"/>
          <w:rtl/>
        </w:rPr>
        <w:t xml:space="preserve">فعل،بل وقع فی زمان ارتفاعه،ففساد هذا الواقع لا یخلّ بصحّة الإذن.و کذا لو فرض عدم وقوع الفعل عقیب الرجوع فانعقد صحیحا،فلیس هذا من جهة فساد الرجوع،کما لا یخفی.</w:t>
      </w:r>
    </w:p>
    <w:p>
      <w:pPr>
        <w:pStyle w:val="BookText"/>
      </w:pPr>
      <w:r>
        <w:rPr>
          <w:rFonts w:ascii="IRNazanin" w:hAnsi="IRNazanin" w:eastAsia="IRNazanin" w:cs="IRNazanin"/>
          <w:lang w:bidi="fa-IR"/>
          <w:color w:val="111111"/>
          <w:sz w:val="28"/>
          <w:szCs w:val="28"/>
          <w:rtl/>
        </w:rPr>
        <w:t xml:space="preserve">[شماره صفحه واقعی : 364]
</w:t>
      </w:r>
    </w:p>
    <w:p>
      <w:pPr>
        <w:sectPr>
          <w:footerReference w:type="default" r:id="rId8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Amiri" w:hAnsi="Amiri" w:eastAsia="Amiri" w:cs="Amiri"/>
          <w:lang w:bidi="ar-SA"/>
          <w:color w:val="111111"/>
          <w:sz w:val="28"/>
          <w:szCs w:val="28"/>
          <w:rtl/>
        </w:rPr>
        <w:t xml:space="preserve">نعم،أصالة </w:t>
      </w:r>
      <w:r>
        <w:rPr>
          <w:rStyle w:val="FootnoteReference"/>
        </w:rPr>
        <w:footnoteReference w:id="2657"/>
      </w:r>
      <w:r>
        <w:rPr>
          <w:rFonts w:ascii="IRNazanin" w:hAnsi="IRNazanin" w:eastAsia="IRNazanin" w:cs="IRNazanin"/>
          <w:lang w:bidi="fa-IR"/>
          <w:color w:val="111111"/>
          <w:sz w:val="28"/>
          <w:szCs w:val="28"/>
          <w:rtl/>
        </w:rPr>
        <w:t xml:space="preserve">بقاء الإذن إلی أن یقع البیع قد یقضی بصحّته،و کذا أصالة عدم البیع قبل الرجوع ربما یقال:إنّها تقضی بفساده،لکنّهما لو تمّا لم یکونا من أصالة صحّة الإذن-بناء علی أنّ عدم وقوع البیع بعده یوجب لغویّته-و لا من أصالة صحّة </w:t>
      </w:r>
      <w:r>
        <w:rPr>
          <w:rStyle w:val="FootnoteReference"/>
        </w:rPr>
        <w:footnoteReference w:id="2658"/>
      </w:r>
      <w:r>
        <w:rPr>
          <w:rFonts w:ascii="IRNazanin" w:hAnsi="IRNazanin" w:eastAsia="IRNazanin" w:cs="IRNazanin"/>
          <w:lang w:bidi="fa-IR"/>
          <w:color w:val="111111"/>
          <w:sz w:val="28"/>
          <w:szCs w:val="28"/>
          <w:rtl/>
        </w:rPr>
        <w:t xml:space="preserve">الرجوع التی تمسّک بها </w:t>
      </w:r>
      <w:r>
        <w:rPr>
          <w:rStyle w:val="FootnoteReference"/>
        </w:rPr>
        <w:footnoteReference w:id="2659"/>
      </w:r>
      <w:r>
        <w:rPr>
          <w:rFonts w:ascii="IRNazanin" w:hAnsi="IRNazanin" w:eastAsia="IRNazanin" w:cs="IRNazanin"/>
          <w:lang w:bidi="fa-IR"/>
          <w:color w:val="111111"/>
          <w:sz w:val="28"/>
          <w:szCs w:val="28"/>
          <w:rtl/>
        </w:rPr>
        <w:t xml:space="preserve">بعض المعاصرین </w:t>
      </w:r>
      <w:r>
        <w:rPr>
          <w:rStyle w:val="FootnoteReference"/>
        </w:rPr>
        <w:footnoteReference w:id="26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الحقّ فی المسألة ما هو المشهور </w:t>
      </w:r>
      <w:r>
        <w:rPr>
          <w:rStyle w:val="FootnoteReference"/>
        </w:rPr>
        <w:footnoteReference w:id="2661"/>
      </w:r>
      <w:r>
        <w:rPr>
          <w:rFonts w:ascii="IRNazanin" w:hAnsi="IRNazanin" w:eastAsia="IRNazanin" w:cs="IRNazanin"/>
          <w:lang w:bidi="fa-IR"/>
          <w:color w:val="111111"/>
          <w:sz w:val="28"/>
          <w:szCs w:val="28"/>
          <w:rtl/>
        </w:rPr>
        <w:t xml:space="preserve">:من الحکم بفساد البیع،و عدم جریان أصالة الصحّة فی المقام،لا فی البیع-کما استظهره الکرکی </w:t>
      </w:r>
      <w:r>
        <w:rPr>
          <w:rStyle w:val="FootnoteReference"/>
        </w:rPr>
        <w:footnoteReference w:id="2662"/>
      </w:r>
      <w:r>
        <w:rPr>
          <w:rFonts w:ascii="IRNazanin" w:hAnsi="IRNazanin" w:eastAsia="IRNazanin" w:cs="IRNazanin"/>
          <w:lang w:bidi="fa-IR"/>
          <w:color w:val="111111"/>
          <w:sz w:val="28"/>
          <w:szCs w:val="28"/>
          <w:rtl/>
        </w:rPr>
        <w:t xml:space="preserve">- و لا فی الإذن،و لا فی الرجوع.</w:t>
      </w:r>
    </w:p>
    <w:p>
      <w:pPr>
        <w:pStyle w:val="BookText"/>
      </w:pPr>
      <w:r>
        <w:rPr>
          <w:rFonts w:ascii="IRNazanin" w:hAnsi="IRNazanin" w:eastAsia="IRNazanin" w:cs="IRNazanin"/>
          <w:lang w:bidi="fa-IR"/>
          <w:color w:val="111111"/>
          <w:sz w:val="28"/>
          <w:szCs w:val="28"/>
          <w:rtl/>
        </w:rPr>
        <w:t xml:space="preserve">أمّا فی البیع،فلأنّ الشکّ إنّما وقع فی رضا من له الحقّ و هو المرتهن،و قد تقدّم </w:t>
      </w:r>
      <w:r>
        <w:rPr>
          <w:rStyle w:val="FootnoteReference"/>
        </w:rPr>
        <w:footnoteReference w:id="2663"/>
      </w:r>
      <w:r>
        <w:rPr>
          <w:rFonts w:ascii="IRNazanin" w:hAnsi="IRNazanin" w:eastAsia="IRNazanin" w:cs="IRNazanin"/>
          <w:lang w:bidi="fa-IR"/>
          <w:color w:val="111111"/>
          <w:sz w:val="28"/>
          <w:szCs w:val="28"/>
          <w:rtl/>
        </w:rPr>
        <w:t xml:space="preserve">أنّ صحّة الإیجاب و القبول لا یقضی بتحقّق الرضا ممّن یعتبر رضاه،سواء کان مالکا-کما فی بیع الفضولی-أم کان له</w:t>
      </w:r>
    </w:p>
    <w:p>
      <w:pPr>
        <w:pStyle w:val="BookText"/>
      </w:pPr>
      <w:r>
        <w:rPr>
          <w:rFonts w:ascii="IRNazanin" w:hAnsi="IRNazanin" w:eastAsia="IRNazanin" w:cs="IRNazanin"/>
          <w:lang w:bidi="fa-IR"/>
          <w:color w:val="111111"/>
          <w:sz w:val="28"/>
          <w:szCs w:val="28"/>
          <w:rtl/>
        </w:rPr>
        <w:t xml:space="preserve">[شماره صفحه واقعی : 365]
</w:t>
      </w:r>
    </w:p>
    <w:p>
      <w:pPr>
        <w:sectPr>
          <w:footerReference w:type="default" r:id="rId8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 فی المبیع،کالمرتهن.</w:t>
      </w:r>
    </w:p>
    <w:p>
      <w:pPr>
        <w:pStyle w:val="BookText"/>
      </w:pPr>
      <w:r>
        <w:rPr>
          <w:rFonts w:ascii="IRNazanin" w:hAnsi="IRNazanin" w:eastAsia="IRNazanin" w:cs="IRNazanin"/>
          <w:lang w:bidi="fa-IR"/>
          <w:color w:val="111111"/>
          <w:sz w:val="28"/>
          <w:szCs w:val="28"/>
          <w:rtl/>
        </w:rPr>
        <w:t xml:space="preserve">و أمّا فی الإذن،فلما عرفت:من أنّ صحّته تقضی بصحّة البیع إذا فرض وقوعه عقیبه لا بوقوعه عقیبه،کما أنّ صحّة الرجوع تقضی بفساد ما یفرض وقوعه بعده،لا أنّ البیع وقع بعده.</w:t>
      </w:r>
    </w:p>
    <w:p>
      <w:pPr>
        <w:pStyle w:val="BookText"/>
      </w:pPr>
      <w:r>
        <w:rPr>
          <w:rFonts w:ascii="IRNazanin" w:hAnsi="IRNazanin" w:eastAsia="IRNazanin" w:cs="IRNazanin"/>
          <w:lang w:bidi="fa-IR"/>
          <w:color w:val="111111"/>
          <w:sz w:val="28"/>
          <w:szCs w:val="28"/>
          <w:rtl/>
        </w:rPr>
        <w:t xml:space="preserve">و المسألة بعد محتاجة إلی التأمّل بعد التتبّع فی کلمات الأصحاب.</w:t>
      </w:r>
    </w:p>
    <w:p>
      <w:pPr>
        <w:pStyle w:val="BookText"/>
      </w:pPr>
      <w:r>
        <w:rPr>
          <w:rFonts w:ascii="IRNazanin" w:hAnsi="IRNazanin" w:eastAsia="IRNazanin" w:cs="IRNazanin"/>
          <w:lang w:bidi="fa-IR"/>
          <w:color w:val="111111"/>
          <w:sz w:val="28"/>
          <w:szCs w:val="28"/>
          <w:rtl/>
        </w:rPr>
        <w:t xml:space="preserve">[شماره صفحه واقعی : 366]
</w:t>
      </w:r>
    </w:p>
    <w:p>
      <w:pPr>
        <w:sectPr>
          <w:footerReference w:type="default" r:id="rId878"/>
          <w:footnotePr>
            <w:numStart w:val="1"/>
            <w:numRestart w:val="eachPage"/>
          </w:footnotePr>
          <w:pgSz w:orient="portrait" w:w="11905.511811023622" w:h="16837.79527559055"/>
          <w:pgMar w:top="1440" w:right="1440" w:bottom="1440" w:left="1440" w:header="720" w:footer="720" w:gutter="0"/>
          <w:cols w:num="1" w:space="720"/>
        </w:sectPr>
      </w:pPr>
    </w:p>
    <w:bookmarkStart w:id="559" w:name="pg14411_143260"/>
    <w:bookmarkEnd w:id="559"/>
    <w:p>
      <w:pPr>
        <w:pStyle w:val="Heading6"/>
      </w:pPr>
      <w:bookmarkStart w:id="2129" w:name="_Toc1164"/>
      <w:r>
        <w:t>الرابع [اعتبار إحراز أصل العمل فی أصالة الصحّة]</w:t>
      </w:r>
      <w:bookmarkEnd w:id="2129"/>
    </w:p>
    <w:p>
      <w:pPr>
        <w:pStyle w:val="BookText"/>
      </w:pPr>
      <w:r>
        <w:rPr>
          <w:rFonts w:ascii="IRNazanin" w:hAnsi="IRNazanin" w:eastAsia="IRNazanin" w:cs="IRNazanin"/>
          <w:lang w:bidi="fa-IR"/>
          <w:color w:val="111111"/>
          <w:sz w:val="28"/>
          <w:szCs w:val="28"/>
          <w:rtl/>
        </w:rPr>
        <w:t xml:space="preserve">أنّ مقتضی الأصل ترتیب الشاکّ جمیع ما هو من آثار الفعل الصحیح عنده.فلو صلّی شخص علی میّت سقط عنه،و لو غسل ثوبا بعنوان التطهیر حکم بطهارته و إن شکّ فی شروط الغسل-من إطلاق الماء،و وروده علی النجاسة-لا إن علم بمجرّد غسله؛فإنّ الغسل من حیث هو لیس فیه صحیح و فاسد؛و لذا لو شوهد من یأتی بصورة عمل من صلاة أو طهارة أو نسک حجّ،و لم یعلم قصده تحقّق </w:t>
      </w:r>
      <w:r>
        <w:rPr>
          <w:rStyle w:val="FootnoteReference"/>
        </w:rPr>
        <w:footnoteReference w:id="2664"/>
      </w:r>
      <w:r>
        <w:rPr>
          <w:rFonts w:ascii="IRNazanin" w:hAnsi="IRNazanin" w:eastAsia="IRNazanin" w:cs="IRNazanin"/>
          <w:lang w:bidi="fa-IR"/>
          <w:color w:val="111111"/>
          <w:sz w:val="28"/>
          <w:szCs w:val="28"/>
          <w:rtl/>
        </w:rPr>
        <w:t xml:space="preserve">هذه العبادات،لم یحمل علی ذلک.نعم،لو أخبر بأنّه کان بعنوان تحقّقه </w:t>
      </w:r>
      <w:r>
        <w:rPr>
          <w:rStyle w:val="FootnoteReference"/>
        </w:rPr>
        <w:footnoteReference w:id="2665"/>
      </w:r>
      <w:r>
        <w:rPr>
          <w:rFonts w:ascii="IRNazanin" w:hAnsi="IRNazanin" w:eastAsia="IRNazanin" w:cs="IRNazanin"/>
          <w:lang w:bidi="fa-IR"/>
          <w:color w:val="111111"/>
          <w:sz w:val="28"/>
          <w:szCs w:val="28"/>
          <w:rtl/>
        </w:rPr>
        <w:t xml:space="preserve">أمکن قبول قوله،من حیث إنّه مخبر عادل،أو من حیثیّة اخری.</w:t>
      </w:r>
    </w:p>
    <w:p>
      <w:pPr>
        <w:pStyle w:val="Heading6"/>
      </w:pPr>
      <w:bookmarkStart w:id="2130" w:name="_Toc1165"/>
      <w:r>
        <w:t>[الإشکال فی الفرق بین صلاة الغیر علی المیّت و بین الصلاة عن المیت تبرّعا أو بالإجارة:]</w:t>
      </w:r>
      <w:bookmarkEnd w:id="2130"/>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 قد یشکل الفرق بین ما ذکر من الاکتفاء بصلاة الغیر علی المیّت بحمله علی الصحیح،و بین الصلاة عن المیّت تبرّعا أو بالإجارة،فإنّ المشهور عدم الاکتفاء بها إلاّ أن یکون عادلا.</w:t>
      </w:r>
    </w:p>
    <w:p>
      <w:pPr>
        <w:pStyle w:val="BookText"/>
      </w:pPr>
      <w:r>
        <w:rPr>
          <w:rFonts w:ascii="IRNazanin" w:hAnsi="IRNazanin" w:eastAsia="IRNazanin" w:cs="IRNazanin"/>
          <w:lang w:bidi="fa-IR"/>
          <w:color w:val="111111"/>
          <w:sz w:val="28"/>
          <w:szCs w:val="28"/>
          <w:rtl/>
        </w:rPr>
        <w:t xml:space="preserve">و لو فرّق بینهما بأنّا لا نعلم وقوع الصلاة من النائب فی مقام</w:t>
      </w:r>
    </w:p>
    <w:p>
      <w:pPr>
        <w:pStyle w:val="BookText"/>
      </w:pPr>
      <w:r>
        <w:rPr>
          <w:rFonts w:ascii="IRNazanin" w:hAnsi="IRNazanin" w:eastAsia="IRNazanin" w:cs="IRNazanin"/>
          <w:lang w:bidi="fa-IR"/>
          <w:color w:val="111111"/>
          <w:sz w:val="28"/>
          <w:szCs w:val="28"/>
          <w:rtl/>
        </w:rPr>
        <w:t xml:space="preserve">[شماره صفحه واقعی : 367]
</w:t>
      </w:r>
    </w:p>
    <w:p>
      <w:pPr>
        <w:sectPr>
          <w:footerReference w:type="default" r:id="rId879"/>
          <w:footnotePr>
            <w:numStart w:val="1"/>
            <w:numRestart w:val="eachPage"/>
          </w:footnotePr>
          <w:pgSz w:orient="portrait" w:w="11905.511811023622" w:h="16837.79527559055"/>
          <w:pgMar w:top="1440" w:right="1440" w:bottom="1440" w:left="1440" w:header="720" w:footer="720" w:gutter="0"/>
          <w:cols w:num="1" w:space="720"/>
        </w:sectPr>
      </w:pPr>
    </w:p>
    <w:bookmarkStart w:id="560" w:name="pg14411_143261"/>
    <w:bookmarkEnd w:id="560"/>
    <w:p>
      <w:pPr>
        <w:pStyle w:val="BookText"/>
      </w:pPr>
      <w:r>
        <w:rPr>
          <w:rFonts w:ascii="IRNazanin" w:hAnsi="IRNazanin" w:eastAsia="IRNazanin" w:cs="IRNazanin"/>
          <w:lang w:bidi="fa-IR"/>
          <w:color w:val="111111"/>
          <w:sz w:val="28"/>
          <w:szCs w:val="28"/>
          <w:rtl/>
        </w:rPr>
        <w:t xml:space="preserve">إبراء الذمّة و إتیان الصلاة علی أنّها صلاة؛لاحتمال ترکه لها بالمرّة،أو إتیانه بمجرّد الصورة لا بعنوان أنّها صلاة عنه،اختصّ الإشکال بما إذا علم من حاله کونه فی مقام الصلاة و إبراء ذمّة المیّت،إلاّ أنّه یحتمل عدم مبالاته بما یخلّ بالصلاة،کما یحتمل ذلک فی الصلاة علی المیّت،إلاّ أن یلتزم بالحمل علی الصحّة فی هذه الصورة.</w:t>
      </w:r>
    </w:p>
    <w:p>
      <w:pPr>
        <w:pStyle w:val="BookText"/>
      </w:pPr>
      <w:r>
        <w:rPr>
          <w:rFonts w:ascii="IRNazanin" w:hAnsi="IRNazanin" w:eastAsia="IRNazanin" w:cs="IRNazanin"/>
          <w:lang w:bidi="fa-IR"/>
          <w:color w:val="111111"/>
          <w:sz w:val="28"/>
          <w:szCs w:val="28"/>
          <w:rtl/>
        </w:rPr>
        <w:t xml:space="preserve">و </w:t>
      </w:r>
      <w:r>
        <w:rPr>
          <w:rStyle w:val="FootnoteReference"/>
        </w:rPr>
        <w:footnoteReference w:id="2666"/>
      </w:r>
      <w:r>
        <w:rPr>
          <w:rFonts w:ascii="IRNazanin" w:hAnsi="IRNazanin" w:eastAsia="IRNazanin" w:cs="IRNazanin"/>
          <w:lang w:bidi="fa-IR"/>
          <w:color w:val="111111"/>
          <w:sz w:val="28"/>
          <w:szCs w:val="28"/>
          <w:rtl/>
        </w:rPr>
        <w:t xml:space="preserve">قد حکم بعضهم </w:t>
      </w:r>
      <w:r>
        <w:rPr>
          <w:rStyle w:val="FootnoteReference"/>
        </w:rPr>
        <w:footnoteReference w:id="2667"/>
      </w:r>
      <w:r>
        <w:rPr>
          <w:rFonts w:ascii="IRNazanin" w:hAnsi="IRNazanin" w:eastAsia="IRNazanin" w:cs="IRNazanin"/>
          <w:lang w:bidi="fa-IR"/>
          <w:color w:val="111111"/>
          <w:sz w:val="28"/>
          <w:szCs w:val="28"/>
          <w:rtl/>
        </w:rPr>
        <w:t xml:space="preserve">باشتراط العدالة فیمن یوضّئ العاجز عن الوضوء إذا لم یعلم العاجز بصدور الفعل عن الموضّئ صحیحا؛و لعلّه لعدم إحراز کونه فی مقام إبراء ذمّة العاجز،لا لمجرّد احتمال عدم مبالاته فی الأجزاء و الشرائط،کما قد لا یبالی فی وضوء نفسه.</w:t>
      </w:r>
    </w:p>
    <w:p>
      <w:pPr>
        <w:pStyle w:val="Heading6"/>
      </w:pPr>
      <w:bookmarkStart w:id="2131" w:name="_Toc1166"/>
      <w:r>
        <w:t>[توجیه الفرق:]</w:t>
      </w:r>
      <w:bookmarkEnd w:id="2131"/>
    </w:p>
    <w:p>
      <w:pPr>
        <w:pStyle w:val="BookText"/>
      </w:pPr>
      <w:r>
        <w:rPr>
          <w:rFonts w:ascii="IRNazanin" w:hAnsi="IRNazanin" w:eastAsia="IRNazanin" w:cs="IRNazanin"/>
          <w:lang w:bidi="fa-IR"/>
          <w:color w:val="111111"/>
          <w:sz w:val="28"/>
          <w:szCs w:val="28"/>
          <w:rtl/>
        </w:rPr>
        <w:t xml:space="preserve">و یمکن أن یقال-فیما إذا کان الفعل الصادر عن المسلم علی وجه النیابة عن الغیر المکلّف بالعمل أوّلا و بالذات،کالعاجز عن الحجّ-:إنّ لفعل النائب عنوانین:</w:t>
      </w:r>
    </w:p>
    <w:p>
      <w:pPr>
        <w:pStyle w:val="BookText"/>
      </w:pPr>
      <w:r>
        <w:rPr>
          <w:rFonts w:ascii="IRNazanin" w:hAnsi="IRNazanin" w:eastAsia="IRNazanin" w:cs="IRNazanin"/>
          <w:lang w:bidi="fa-IR"/>
          <w:color w:val="111111"/>
          <w:sz w:val="28"/>
          <w:szCs w:val="28"/>
          <w:rtl/>
        </w:rPr>
        <w:t xml:space="preserve">أحدهما:من حیث إنّه فعل من أفعال النائب،و لذا یجب علیه مراعاة الأجزاء و الشروط المعتبرة فی المباشر </w:t>
      </w:r>
      <w:r>
        <w:rPr>
          <w:rStyle w:val="FootnoteReference"/>
        </w:rPr>
        <w:footnoteReference w:id="2668"/>
      </w:r>
      <w:r>
        <w:rPr>
          <w:rFonts w:ascii="IRNazanin" w:hAnsi="IRNazanin" w:eastAsia="IRNazanin" w:cs="IRNazanin"/>
          <w:lang w:bidi="fa-IR"/>
          <w:color w:val="111111"/>
          <w:sz w:val="28"/>
          <w:szCs w:val="28"/>
          <w:rtl/>
        </w:rPr>
        <w:t xml:space="preserve">،و بهذا الاعتبار یترتّب علیه جمیع آثار صدور الفعل الصحیح منه،مثل:استحقاق الاجرة، و جواز استیجاره ثانیا بناء علی اشتراط فراغ ذمّة الأجیر فی صحّة استیجاره ثانیا.</w:t>
      </w:r>
    </w:p>
    <w:p>
      <w:pPr>
        <w:pStyle w:val="BookText"/>
      </w:pPr>
      <w:r>
        <w:rPr>
          <w:rFonts w:ascii="IRNazanin" w:hAnsi="IRNazanin" w:eastAsia="IRNazanin" w:cs="IRNazanin"/>
          <w:lang w:bidi="fa-IR"/>
          <w:color w:val="111111"/>
          <w:sz w:val="28"/>
          <w:szCs w:val="28"/>
          <w:rtl/>
        </w:rPr>
        <w:t xml:space="preserve">[شماره صفحه واقعی : 368]
</w:t>
      </w:r>
    </w:p>
    <w:p>
      <w:pPr>
        <w:sectPr>
          <w:footerReference w:type="default" r:id="rId8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الثانی:من حیث إنّه فعل للمنوب عنه،حیث إنّه بمنزلة الفاعل بالتسبیب أو الآلة،و کان الفعل بعد قصد النیابة و البدلیّة قائما بالمنوب عنه،و بهذا الاعتبار یراعی فیه القصر و الإتمام فی الصلاة،و التمتّع و القران فی الحجّ،و الترتیب فی الفوائت.</w:t>
      </w:r>
    </w:p>
    <w:p>
      <w:pPr>
        <w:pStyle w:val="BookText"/>
      </w:pPr>
      <w:r>
        <w:rPr>
          <w:rFonts w:ascii="IRNazanin" w:hAnsi="IRNazanin" w:eastAsia="IRNazanin" w:cs="IRNazanin"/>
          <w:lang w:bidi="fa-IR"/>
          <w:color w:val="111111"/>
          <w:sz w:val="28"/>
          <w:szCs w:val="28"/>
          <w:rtl/>
        </w:rPr>
        <w:t xml:space="preserve">و الصحّة من الحیثیّة الاولی لا تثبت الصحّة من هذه الحیثیّة الثانیة،بل لا بدّ من إحراز صدور الفعل الصحیح عنه علی وجه التسبیب.</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 بعبارة اخری:إن کان فعل الغیر یسقط التکلیف عنه،من حیث إنّه فعل الغیر،کفت أصالة الصحّة فی السقوط،کما فی الصلاة علی المیّت </w:t>
      </w:r>
      <w:r>
        <w:rPr>
          <w:rStyle w:val="FootnoteReference"/>
        </w:rPr>
        <w:footnoteReference w:id="26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إن کان إنّما یسقط التکلیف عنه من حیث اعتبار کونه فعلا له و لو علی وجه التسبیب-کما إذا کلّف بتحصیل فعل بنفسه أو ببدن </w:t>
      </w:r>
      <w:r>
        <w:rPr>
          <w:rStyle w:val="FootnoteReference"/>
        </w:rPr>
        <w:footnoteReference w:id="2670"/>
      </w:r>
      <w:r>
        <w:rPr>
          <w:rFonts w:ascii="IRNazanin" w:hAnsi="IRNazanin" w:eastAsia="IRNazanin" w:cs="IRNazanin"/>
          <w:lang w:bidi="fa-IR"/>
          <w:color w:val="111111"/>
          <w:sz w:val="28"/>
          <w:szCs w:val="28"/>
          <w:rtl/>
        </w:rPr>
        <w:t xml:space="preserve">غیره،کما فی استنابة </w:t>
      </w:r>
      <w:r>
        <w:rPr>
          <w:rStyle w:val="FootnoteReference"/>
        </w:rPr>
        <w:footnoteReference w:id="2671"/>
      </w:r>
      <w:r>
        <w:rPr>
          <w:rFonts w:ascii="IRNazanin" w:hAnsi="IRNazanin" w:eastAsia="IRNazanin" w:cs="IRNazanin"/>
          <w:lang w:bidi="fa-IR"/>
          <w:color w:val="111111"/>
          <w:sz w:val="28"/>
          <w:szCs w:val="28"/>
          <w:rtl/>
        </w:rPr>
        <w:t xml:space="preserve">العاجز للحجّ </w:t>
      </w:r>
      <w:r>
        <w:rPr>
          <w:rStyle w:val="FootnoteReference"/>
        </w:rPr>
        <w:footnoteReference w:id="2672"/>
      </w:r>
      <w:r>
        <w:rPr>
          <w:rFonts w:ascii="IRNazanin" w:hAnsi="IRNazanin" w:eastAsia="IRNazanin" w:cs="IRNazanin"/>
          <w:lang w:bidi="fa-IR"/>
          <w:color w:val="111111"/>
          <w:sz w:val="28"/>
          <w:szCs w:val="28"/>
          <w:rtl/>
        </w:rPr>
        <w:t xml:space="preserve">-لم تنفع أصالة الصحّة فی سقوطه،بل یجب التفکیک بین أثری الفعل من الحیثیّتین،فیحکم باستحقاق النائب </w:t>
      </w:r>
      <w:r>
        <w:rPr>
          <w:rStyle w:val="FootnoteReference"/>
        </w:rPr>
        <w:footnoteReference w:id="2673"/>
      </w:r>
      <w:r>
        <w:rPr>
          <w:rFonts w:ascii="Amiri" w:hAnsi="Amiri" w:eastAsia="Amiri" w:cs="Amiri"/>
          <w:lang w:bidi="ar-SA"/>
          <w:color w:val="111111"/>
          <w:sz w:val="28"/>
          <w:szCs w:val="28"/>
          <w:rtl/>
        </w:rPr>
        <w:t xml:space="preserve">الاجرة،و عدم براءة ذمّة المنوب عنه من الفعل.</w:t>
      </w:r>
    </w:p>
    <w:p>
      <w:pPr>
        <w:pStyle w:val="BookText"/>
      </w:pPr>
      <w:r>
        <w:rPr>
          <w:rFonts w:ascii="IRNazanin" w:hAnsi="IRNazanin" w:eastAsia="IRNazanin" w:cs="IRNazanin"/>
          <w:lang w:bidi="fa-IR"/>
          <w:color w:val="111111"/>
          <w:sz w:val="28"/>
          <w:szCs w:val="28"/>
          <w:rtl/>
        </w:rPr>
        <w:t xml:space="preserve">[شماره صفحه واقعی : 369]
</w:t>
      </w:r>
    </w:p>
    <w:p>
      <w:pPr>
        <w:sectPr>
          <w:footerReference w:type="default" r:id="rId8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کما فی استیجار الولیّ للعمل عن المیّت </w:t>
      </w:r>
      <w:r>
        <w:rPr>
          <w:rStyle w:val="FootnoteReference"/>
        </w:rPr>
        <w:footnoteReference w:id="26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لکن یبقی الإشکال فی استیجار الولیّ للعمل عن المیّت؛إذ لا یعتبر فیه قصد النیابة عن الولیّ.و براءة ذمّة المیّت من آثار صحّة فعل الغیر من حیث هو فعله،لا من حیث اعتباره فعلا للولیّ،فلا بدّ أن یکتفی فیه بإحراز إتیان صورة الفعل بقصد إبراء ذمّة المیّت،و یحمل علی الصحیح من حیث الاحتمالات الأخر.</w:t>
      </w:r>
    </w:p>
    <w:p>
      <w:pPr>
        <w:pStyle w:val="BookText"/>
      </w:pPr>
      <w:r>
        <w:rPr>
          <w:rFonts w:ascii="IRNazanin" w:hAnsi="IRNazanin" w:eastAsia="IRNazanin" w:cs="IRNazanin"/>
          <w:lang w:bidi="fa-IR"/>
          <w:color w:val="111111"/>
          <w:sz w:val="28"/>
          <w:szCs w:val="28"/>
          <w:rtl/>
        </w:rPr>
        <w:t xml:space="preserve">و لا بدّ من التأمّل فی هذا المقام أیضا بعد التتبّع التامّ فی کلمات الأعلام.</w:t>
      </w:r>
    </w:p>
    <w:p>
      <w:pPr>
        <w:pStyle w:val="BookText"/>
      </w:pPr>
      <w:r>
        <w:rPr>
          <w:rFonts w:ascii="IRNazanin" w:hAnsi="IRNazanin" w:eastAsia="IRNazanin" w:cs="IRNazanin"/>
          <w:lang w:bidi="fa-IR"/>
          <w:color w:val="111111"/>
          <w:sz w:val="28"/>
          <w:szCs w:val="28"/>
          <w:rtl/>
        </w:rPr>
        <w:t xml:space="preserve">[شماره صفحه واقعی : 370]
</w:t>
      </w:r>
    </w:p>
    <w:p>
      <w:pPr>
        <w:sectPr>
          <w:footerReference w:type="default" r:id="rId882"/>
          <w:footnotePr>
            <w:numStart w:val="1"/>
            <w:numRestart w:val="eachPage"/>
          </w:footnotePr>
          <w:pgSz w:orient="portrait" w:w="11905.511811023622" w:h="16837.79527559055"/>
          <w:pgMar w:top="1440" w:right="1440" w:bottom="1440" w:left="1440" w:header="720" w:footer="720" w:gutter="0"/>
          <w:cols w:num="1" w:space="720"/>
        </w:sectPr>
      </w:pPr>
    </w:p>
    <w:bookmarkStart w:id="561" w:name="pg14411_143264"/>
    <w:bookmarkEnd w:id="561"/>
    <w:p>
      <w:pPr>
        <w:pStyle w:val="Heading6"/>
      </w:pPr>
      <w:bookmarkStart w:id="2132" w:name="_Toc1167"/>
      <w:r>
        <w:t>الخامس [عدم جواز الأخذ باللوازم فی أصالة الصحّة]</w:t>
      </w:r>
      <w:bookmarkEnd w:id="2132"/>
    </w:p>
    <w:p>
      <w:pPr>
        <w:pStyle w:val="BookText"/>
      </w:pPr>
      <w:r>
        <w:rPr>
          <w:rFonts w:ascii="IRNazanin" w:hAnsi="IRNazanin" w:eastAsia="IRNazanin" w:cs="IRNazanin"/>
          <w:lang w:bidi="fa-IR"/>
          <w:color w:val="111111"/>
          <w:sz w:val="28"/>
          <w:szCs w:val="28"/>
          <w:rtl/>
        </w:rPr>
        <w:t xml:space="preserve">أنّ الثابت من القاعدة المذکورة الحکم بوقوع الفعل بحیث یترتّب علیه الآثار الشرعیّة المترتّبة علی العمل الصحیح،أمّا ما یلازم الصحّة من الامور الخارجة عن حقیقة الصحیح فلا دلیل علی ترتّبها علیه.فلو شکّ فی أنّ الشراء الصادر من الغیر کان بما لا یملک-کالخمر و الخنزیر- أو بعین من أعیان ماله،فلا یحکم بخروج تلک العین من ترکته،بل یحکم بصحّة الشراء و عدم انتقال شیء من ترکته إلی البائع لأصالة عدمه.</w:t>
      </w:r>
    </w:p>
    <w:p>
      <w:pPr>
        <w:pStyle w:val="BookText"/>
      </w:pPr>
      <w:r>
        <w:rPr>
          <w:rFonts w:ascii="IRNazanin" w:hAnsi="IRNazanin" w:eastAsia="IRNazanin" w:cs="IRNazanin"/>
          <w:lang w:bidi="fa-IR"/>
          <w:color w:val="111111"/>
          <w:sz w:val="28"/>
          <w:szCs w:val="28"/>
          <w:rtl/>
        </w:rPr>
        <w:t xml:space="preserve">و هذا نظیر ما ذکرنا سابقا </w:t>
      </w:r>
      <w:r>
        <w:rPr>
          <w:rStyle w:val="FootnoteReference"/>
        </w:rPr>
        <w:footnoteReference w:id="2675"/>
      </w:r>
      <w:r>
        <w:rPr>
          <w:rFonts w:ascii="IRNazanin" w:hAnsi="IRNazanin" w:eastAsia="IRNazanin" w:cs="IRNazanin"/>
          <w:lang w:bidi="fa-IR"/>
          <w:color w:val="111111"/>
          <w:sz w:val="28"/>
          <w:szCs w:val="28"/>
          <w:rtl/>
        </w:rPr>
        <w:t xml:space="preserve">:من أنّه لو شکّ فی صلاة العصر أنّه صلّی الظهر أم لا،یحکم بفعل الظهر من حیث کونه شرطا لصلاة العصر،لا فعل الظهر من حیث هو حتّی لا یجب إتیانه ثانیا </w:t>
      </w:r>
      <w:r>
        <w:rPr>
          <w:rStyle w:val="FootnoteReference"/>
        </w:rPr>
        <w:footnoteReference w:id="26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قال العلاّمة فی القواعد،فی آخر کتاب الإجارة:</w:t>
      </w:r>
    </w:p>
    <w:p>
      <w:pPr>
        <w:pStyle w:val="BookText"/>
      </w:pPr>
      <w:r>
        <w:rPr>
          <w:rFonts w:ascii="IRNazanin" w:hAnsi="IRNazanin" w:eastAsia="IRNazanin" w:cs="IRNazanin"/>
          <w:lang w:bidi="fa-IR"/>
          <w:color w:val="111111"/>
          <w:sz w:val="28"/>
          <w:szCs w:val="28"/>
          <w:rtl/>
        </w:rPr>
        <w:t xml:space="preserve">[شماره صفحه واقعی : 371]
</w:t>
      </w:r>
    </w:p>
    <w:p>
      <w:pPr>
        <w:sectPr>
          <w:footerReference w:type="default" r:id="rId8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لو قال:آجرتک کلّ شهر بدرهم من غیر تعیین،فقال:بل سنة بدینار،ففی تقدیم قول المستأجر نظر،فإن قدّمنا قول المالک فالأقوی صحّة العقد فی الشهر الأوّل.و کذا الإشکال فی تقدیم قول المستأجر لو ادّعی اجرة مدّة معلومة أو عوضا معیّنا،و أنکر المالک التعیین فیهما.</w:t>
      </w:r>
    </w:p>
    <w:p>
      <w:pPr>
        <w:pStyle w:val="BookText"/>
      </w:pPr>
      <w:r>
        <w:rPr>
          <w:rFonts w:ascii="IRNazanin" w:hAnsi="IRNazanin" w:eastAsia="IRNazanin" w:cs="IRNazanin"/>
          <w:lang w:bidi="fa-IR"/>
          <w:color w:val="111111"/>
          <w:sz w:val="28"/>
          <w:szCs w:val="28"/>
          <w:rtl/>
        </w:rPr>
        <w:t xml:space="preserve">و الأقوی التقدیم فیما لم یتضمّن دعوی </w:t>
      </w:r>
      <w:r>
        <w:rPr>
          <w:rStyle w:val="FootnoteReference"/>
        </w:rPr>
        <w:footnoteReference w:id="2677"/>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[شماره صفحه واقعی : 372]
</w:t>
      </w:r>
    </w:p>
    <w:p>
      <w:pPr>
        <w:sectPr>
          <w:footerReference w:type="default" r:id="rId884"/>
          <w:footnotePr>
            <w:numStart w:val="1"/>
            <w:numRestart w:val="eachPage"/>
          </w:footnotePr>
          <w:pgSz w:orient="portrait" w:w="11905.511811023622" w:h="16837.79527559055"/>
          <w:pgMar w:top="1440" w:right="1440" w:bottom="1440" w:left="1440" w:header="720" w:footer="720" w:gutter="0"/>
          <w:cols w:num="1" w:space="720"/>
        </w:sectPr>
      </w:pPr>
    </w:p>
    <w:bookmarkStart w:id="562" w:name="pg14411_143266"/>
    <w:bookmarkEnd w:id="562"/>
    <w:p>
      <w:pPr>
        <w:pStyle w:val="Heading6"/>
      </w:pPr>
      <w:bookmarkStart w:id="2133" w:name="_Toc1168"/>
      <w:r>
        <w:t>السادس [وجه تقدیم أصالة الصحّة علی استصحاب الفساد]</w:t>
      </w:r>
      <w:bookmarkEnd w:id="2133"/>
    </w:p>
    <w:p>
      <w:pPr>
        <w:pStyle w:val="BookText"/>
      </w:pPr>
      <w:r>
        <w:rPr>
          <w:rFonts w:ascii="IRNazanin" w:hAnsi="IRNazanin" w:eastAsia="IRNazanin" w:cs="IRNazanin"/>
          <w:lang w:bidi="fa-IR"/>
          <w:color w:val="111111"/>
          <w:sz w:val="28"/>
          <w:szCs w:val="28"/>
          <w:rtl/>
        </w:rPr>
        <w:t xml:space="preserve">فی بیان ورود هذا الأصل علی الاستصحاب،فنقول:</w:t>
      </w:r>
    </w:p>
    <w:p>
      <w:pPr>
        <w:pStyle w:val="BookText"/>
      </w:pPr>
      <w:r>
        <w:rPr>
          <w:rFonts w:ascii="IRNazanin" w:hAnsi="IRNazanin" w:eastAsia="IRNazanin" w:cs="IRNazanin"/>
          <w:lang w:bidi="fa-IR"/>
          <w:color w:val="111111"/>
          <w:sz w:val="28"/>
          <w:szCs w:val="28"/>
          <w:rtl/>
        </w:rPr>
        <w:t xml:space="preserve">أمّا تقدیمه علی استصحاب الفساد و ما فی معناه </w:t>
      </w:r>
      <w:r>
        <w:rPr>
          <w:rStyle w:val="FootnoteReference"/>
        </w:rPr>
        <w:footnoteReference w:id="2678"/>
      </w:r>
      <w:r>
        <w:rPr>
          <w:rFonts w:ascii="IRNazanin" w:hAnsi="IRNazanin" w:eastAsia="IRNazanin" w:cs="IRNazanin"/>
          <w:lang w:bidi="fa-IR"/>
          <w:color w:val="111111"/>
          <w:sz w:val="28"/>
          <w:szCs w:val="28"/>
          <w:rtl/>
        </w:rPr>
        <w:t xml:space="preserve">فواضح؛لأنّ الشکّ فی بقاء الحالة السابقة علی الفعل المشکوک أو ارتفاعها،ناش عن الشکّ فی سببیّة هذا الفعل و تأثیره،فإذا حکم بتأثیره فلا حکم لذلک الشکّ،خصوصا إذا جعلنا هذا الأصل من الظواهر المعتبرة،فیکون نظیر حکم الشارع بکون الخارج قبل الاستبراء بولا،الحاکم علی أصالة بقاء الطهارة </w:t>
      </w:r>
      <w:r>
        <w:rPr>
          <w:rStyle w:val="FootnoteReference"/>
        </w:rPr>
        <w:footnoteReference w:id="2679"/>
      </w:r>
      <w:r>
        <w:rPr>
          <w:rFonts w:ascii="Times New Roman" w:hAnsi="Times New Roman" w:eastAsia="Times New Roman" w:cs="Times New Roman"/>
          <w:lang w:val="en-US" w:bidi="en-US"/>
          <w:color w:val="111111"/>
          <w:sz w:val="28"/>
          <w:szCs w:val="28"/>
          <w:rtl/>
        </w:rPr>
        <w:t xml:space="preserve">.</w:t>
      </w:r>
    </w:p>
    <w:p>
      <w:pPr>
        <w:pStyle w:val="Heading6"/>
      </w:pPr>
      <w:bookmarkStart w:id="2134" w:name="_Toc1169"/>
      <w:r>
        <w:t>[اضطراب کلمات الأصحاب فی تقدیم أصالة الصحّة علی الاستصحابات الموضوعیّة:]</w:t>
      </w:r>
      <w:bookmarkEnd w:id="2134"/>
    </w:p>
    <w:p>
      <w:pPr>
        <w:pStyle w:val="BookText"/>
      </w:pPr>
      <w:r>
        <w:rPr>
          <w:rFonts w:ascii="IRNazanin" w:hAnsi="IRNazanin" w:eastAsia="IRNazanin" w:cs="IRNazanin"/>
          <w:lang w:bidi="fa-IR"/>
          <w:color w:val="111111"/>
          <w:sz w:val="28"/>
          <w:szCs w:val="28"/>
          <w:rtl/>
        </w:rPr>
        <w:t xml:space="preserve">و أمّا تقدیمه علی الاستصحابات الموضوعیّة المترتّب علیها الفساد</w:t>
      </w:r>
    </w:p>
    <w:p>
      <w:pPr>
        <w:pStyle w:val="BookText"/>
      </w:pPr>
      <w:r>
        <w:rPr>
          <w:rFonts w:ascii="IRNazanin" w:hAnsi="IRNazanin" w:eastAsia="IRNazanin" w:cs="IRNazanin"/>
          <w:lang w:bidi="fa-IR"/>
          <w:color w:val="111111"/>
          <w:sz w:val="28"/>
          <w:szCs w:val="28"/>
          <w:rtl/>
        </w:rPr>
        <w:t xml:space="preserve">[شماره صفحه واقعی : 373]
</w:t>
      </w:r>
    </w:p>
    <w:p>
      <w:pPr>
        <w:sectPr>
          <w:footerReference w:type="default" r:id="rId885"/>
          <w:footnotePr>
            <w:numStart w:val="1"/>
            <w:numRestart w:val="eachPage"/>
          </w:footnotePr>
          <w:pgSz w:orient="portrait" w:w="11905.511811023622" w:h="16837.79527559055"/>
          <w:pgMar w:top="1440" w:right="1440" w:bottom="1440" w:left="1440" w:header="720" w:footer="720" w:gutter="0"/>
          <w:cols w:num="1" w:space="720"/>
        </w:sectPr>
      </w:pPr>
    </w:p>
    <w:bookmarkStart w:id="563" w:name="pg14411_143267"/>
    <w:bookmarkEnd w:id="563"/>
    <w:p>
      <w:pPr>
        <w:pStyle w:val="BookText"/>
      </w:pPr>
      <w:r>
        <w:rPr>
          <w:rFonts w:ascii="IRNazanin" w:hAnsi="IRNazanin" w:eastAsia="IRNazanin" w:cs="IRNazanin"/>
          <w:lang w:bidi="fa-IR"/>
          <w:color w:val="111111"/>
          <w:sz w:val="28"/>
          <w:szCs w:val="28"/>
          <w:rtl/>
        </w:rPr>
        <w:t xml:space="preserve">-کأصالة عدم البلوغ،و عدم اختبار المبیع بالرؤیة أو الکیل أو الوزن- فقد اضطربت فیه کلمات الأصحاب،خصوصا العلاّمة </w:t>
      </w:r>
      <w:r>
        <w:rPr>
          <w:rStyle w:val="FootnoteReference"/>
        </w:rPr>
        <w:footnoteReference w:id="2680"/>
      </w:r>
      <w:r>
        <w:rPr>
          <w:rFonts w:ascii="IRNazanin" w:hAnsi="IRNazanin" w:eastAsia="IRNazanin" w:cs="IRNazanin"/>
          <w:lang w:bidi="fa-IR"/>
          <w:color w:val="111111"/>
          <w:sz w:val="28"/>
          <w:szCs w:val="28"/>
          <w:rtl/>
        </w:rPr>
        <w:t xml:space="preserve">و بعض من تأخّر عنه </w:t>
      </w:r>
      <w:r>
        <w:rPr>
          <w:rStyle w:val="FootnoteReference"/>
        </w:rPr>
        <w:footnoteReference w:id="2681"/>
      </w:r>
      <w:r>
        <w:rPr>
          <w:rFonts w:ascii="Times New Roman" w:hAnsi="Times New Roman" w:eastAsia="Times New Roman" w:cs="Times New Roman"/>
          <w:lang w:val="en-US" w:bidi="en-US"/>
          <w:color w:val="111111"/>
          <w:sz w:val="28"/>
          <w:szCs w:val="28"/>
          <w:rtl/>
        </w:rPr>
        <w:t xml:space="preserve">.</w:t>
      </w:r>
    </w:p>
    <w:p>
      <w:pPr>
        <w:pStyle w:val="Heading6"/>
      </w:pPr>
      <w:bookmarkStart w:id="2135" w:name="_Toc1170"/>
      <w:r>
        <w:t>[التحقیق فی المسألة:]</w:t>
      </w:r>
      <w:bookmarkEnd w:id="2135"/>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 التحقیق:أنّه إن جعلنا هذا الأصل من الظواهر-کما هو ظاهر کلمات جماعة بل الأکثر </w:t>
      </w:r>
      <w:r>
        <w:rPr>
          <w:rStyle w:val="FootnoteReference"/>
        </w:rPr>
        <w:footnoteReference w:id="2682"/>
      </w:r>
      <w:r>
        <w:rPr>
          <w:rFonts w:ascii="IRNazanin" w:hAnsi="IRNazanin" w:eastAsia="IRNazanin" w:cs="IRNazanin"/>
          <w:lang w:bidi="fa-IR"/>
          <w:color w:val="111111"/>
          <w:sz w:val="28"/>
          <w:szCs w:val="28"/>
          <w:rtl/>
        </w:rPr>
        <w:t xml:space="preserve">-فلا إشکال فی تقدیمه علی تلک الاستصحابات.</w:t>
      </w:r>
    </w:p>
    <w:p>
      <w:pPr>
        <w:pStyle w:val="BookText"/>
      </w:pPr>
      <w:r>
        <w:rPr>
          <w:rFonts w:ascii="IRNazanin" w:hAnsi="IRNazanin" w:eastAsia="IRNazanin" w:cs="IRNazanin"/>
          <w:lang w:bidi="fa-IR"/>
          <w:color w:val="111111"/>
          <w:sz w:val="28"/>
          <w:szCs w:val="28"/>
          <w:rtl/>
        </w:rPr>
        <w:t xml:space="preserve">و إن جعلناه من الاصول:</w:t>
      </w:r>
    </w:p>
    <w:p>
      <w:pPr>
        <w:pStyle w:val="BookText"/>
      </w:pPr>
      <w:r>
        <w:rPr>
          <w:rFonts w:ascii="IRNazanin" w:hAnsi="IRNazanin" w:eastAsia="IRNazanin" w:cs="IRNazanin"/>
          <w:lang w:bidi="fa-IR"/>
          <w:color w:val="111111"/>
          <w:sz w:val="28"/>
          <w:szCs w:val="28"/>
          <w:rtl/>
        </w:rPr>
        <w:t xml:space="preserve">فإن ارید بالصحّة فی قولهم:«إنّ الأصل الصحّة»نفس ترتّب الأثر،فلا إشکال فی تقدیم الاستصحاب الموضوعیّ علیها؛لأنّه مزیل بالنسبة إلیها.</w:t>
      </w:r>
    </w:p>
    <w:p>
      <w:pPr>
        <w:pStyle w:val="BookText"/>
      </w:pPr>
      <w:r>
        <w:rPr>
          <w:rFonts w:ascii="IRNazanin" w:hAnsi="IRNazanin" w:eastAsia="IRNazanin" w:cs="IRNazanin"/>
          <w:lang w:bidi="fa-IR"/>
          <w:color w:val="111111"/>
          <w:sz w:val="28"/>
          <w:szCs w:val="28"/>
          <w:rtl/>
        </w:rPr>
        <w:t xml:space="preserve">[شماره صفحه واقعی : 374]
</w:t>
      </w:r>
    </w:p>
    <w:p>
      <w:pPr>
        <w:sectPr>
          <w:footerReference w:type="default" r:id="rId8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 ارید بها کون الفعل بحیث </w:t>
      </w:r>
      <w:r>
        <w:rPr>
          <w:rStyle w:val="FootnoteReference"/>
        </w:rPr>
        <w:footnoteReference w:id="2683"/>
      </w:r>
      <w:r>
        <w:rPr>
          <w:rFonts w:ascii="IRNazanin" w:hAnsi="IRNazanin" w:eastAsia="IRNazanin" w:cs="IRNazanin"/>
          <w:lang w:bidi="fa-IR"/>
          <w:color w:val="111111"/>
          <w:sz w:val="28"/>
          <w:szCs w:val="28"/>
          <w:rtl/>
        </w:rPr>
        <w:t xml:space="preserve">یترتّب علیه الأثر-بأن یکون الأصل مشخّصا للموضوع من حیث ثبوت الصحّة له،لا مطلقا-ففی تقدیمه علی الاستصحاب الموضوعیّ نظر </w:t>
      </w:r>
      <w:r>
        <w:rPr>
          <w:rStyle w:val="FootnoteReference"/>
        </w:rPr>
        <w:footnoteReference w:id="26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أنّ أصالة عدم بلوغ البائع تثبت کون الواقع فی الخارج بیعا صادرا عن غیر بالغ،فیترتّب علیه الفساد،کما فی نظائره من القیود العدمیّة المأخوذة فی الموضوعات الوجودیّة.</w:t>
      </w:r>
    </w:p>
    <w:p>
      <w:pPr>
        <w:pStyle w:val="BookText"/>
      </w:pPr>
      <w:r>
        <w:rPr>
          <w:rFonts w:ascii="IRNazanin" w:hAnsi="IRNazanin" w:eastAsia="IRNazanin" w:cs="IRNazanin"/>
          <w:lang w:bidi="fa-IR"/>
          <w:color w:val="111111"/>
          <w:sz w:val="28"/>
          <w:szCs w:val="28"/>
          <w:rtl/>
        </w:rPr>
        <w:t xml:space="preserve">و أصالة الحمل علی الصحیح تثبت کون الواقع بیعا صادرا عن بالغ،فیترتّب علیه الصحّة،فتتعارضان.</w:t>
      </w:r>
    </w:p>
    <w:p>
      <w:pPr>
        <w:pStyle w:val="BookText"/>
      </w:pPr>
      <w:r>
        <w:rPr>
          <w:rFonts w:ascii="IRNazanin" w:hAnsi="IRNazanin" w:eastAsia="IRNazanin" w:cs="IRNazanin"/>
          <w:lang w:bidi="fa-IR"/>
          <w:color w:val="111111"/>
          <w:sz w:val="28"/>
          <w:szCs w:val="28"/>
          <w:rtl/>
        </w:rPr>
        <w:t xml:space="preserve">لکن التحقیق:أنّ </w:t>
      </w:r>
      <w:r>
        <w:rPr>
          <w:rStyle w:val="FootnoteReference"/>
        </w:rPr>
        <w:footnoteReference w:id="2685"/>
      </w:r>
      <w:r>
        <w:rPr>
          <w:rFonts w:ascii="IRNazanin" w:hAnsi="IRNazanin" w:eastAsia="IRNazanin" w:cs="IRNazanin"/>
          <w:lang w:bidi="fa-IR"/>
          <w:color w:val="111111"/>
          <w:sz w:val="28"/>
          <w:szCs w:val="28"/>
          <w:rtl/>
        </w:rPr>
        <w:t xml:space="preserve">الحمل علی الصحیح یقتضی کون الواقع البیع الصادر عن بالغ،و هو سبب شرعی فی ارتفاع الحالة السابقة علی العقد، و أصالة عدم البلوغ لا توجب بقاء الحالة السابقة علی العقد من حیث إحراز البیع الصادر عن غیر بالغ بحکم الاستصحاب؛لأنّه لا یوجب الرجوع إلی الحالة السابقة علی هذا العقد؛فإنّه لیس ممّا یترتّب علیه و إن فرضنا أنّه یترتّب علیه آثار أخر؛لأنّ عدم المسبّب من آثار عدم</w:t>
      </w:r>
    </w:p>
    <w:p>
      <w:pPr>
        <w:pStyle w:val="BookText"/>
      </w:pPr>
      <w:r>
        <w:rPr>
          <w:rFonts w:ascii="IRNazanin" w:hAnsi="IRNazanin" w:eastAsia="IRNazanin" w:cs="IRNazanin"/>
          <w:lang w:bidi="fa-IR"/>
          <w:color w:val="111111"/>
          <w:sz w:val="28"/>
          <w:szCs w:val="28"/>
          <w:rtl/>
        </w:rPr>
        <w:t xml:space="preserve">[شماره صفحه واقعی : 375]
</w:t>
      </w:r>
    </w:p>
    <w:p>
      <w:pPr>
        <w:sectPr>
          <w:footerReference w:type="default" r:id="rId8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السبب لا من آثار ضدّه،فنقول حینئذ:الأصل عدم وجود السبب ما لم یدلّ دلیل شرعی علی وجوده.</w:t>
      </w:r>
    </w:p>
    <w:p>
      <w:pPr>
        <w:pStyle w:val="BookText"/>
      </w:pPr>
      <w:r>
        <w:rPr>
          <w:rFonts w:ascii="IRNazanin" w:hAnsi="IRNazanin" w:eastAsia="IRNazanin" w:cs="IRNazanin"/>
          <w:lang w:bidi="fa-IR"/>
          <w:color w:val="111111"/>
          <w:sz w:val="28"/>
          <w:szCs w:val="28"/>
          <w:rtl/>
        </w:rPr>
        <w:t xml:space="preserve">و بالجملة:البقاء علی الحالة السابقة علی هذا البیع مستند إلی عدم السبب الشرعی،فإذا شکّ فیه بنی علی البقاء و عدم وجود المسبّب،ما لم یدلّ دلیل علی کون الموجود المردّد بین السبب و غیره هو السبب،</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فإذن لا منافاة بین الحکم بترتّب الآثار المترتّبة علی البیع الصادر عن غیر بالغ،و ترتّب الآثار المترتّبة علی البیع الصادر عن بالغ؛لأنّ الثانی یقتضی انتقال المال عن البائع،و الأوّل لا یقتضیه،لا أنّه یقتضی عدمه </w:t>
      </w:r>
      <w:r>
        <w:rPr>
          <w:rStyle w:val="FootnoteReference"/>
        </w:rPr>
        <w:footnoteReference w:id="26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376]
</w:t>
      </w:r>
    </w:p>
    <w:p>
      <w:pPr>
        <w:sectPr>
          <w:footerReference w:type="default" r:id="rId8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تحقق سبب الصحّة-حاکمة مزیلة،کما إذا شککنا فی کون العقد الواقع عربیا أو فارسیا أو بصیغة الماضی أو العقد الواقع علی النقدین من دون تقابض بیعا حتّی یفسد أو صلحا حتّی یصح؛فإنّ المقتضی للحکم بعدم تحقق الأثر و هو أصالة عدم تحقق سبب الصحّة و هو العقد العربی بصیغة الماضی أو الصلح،و الشک فی ذلک کلّه مسبّب عن الشک فی کون السبب الواقع سببا أو لا؟،فإذا حکم الشارع بکونه سببا فقد ارتفع الشک فی تحقّق الأثر و تحقّق سببه،و أصالة عدم تحقّق سببه و أصالة عدم تحقّق السبب لا یقتضی عدم کون هذا العقد سببا و لا کونه واقعا علی وجه الفساد. و أمّا إذا کان الشک فی شرط من شروط صحة العمل کبلوغ العاقد و رؤیة المبیع و نحو ذلک،فقد یتوهم:حکومة أصالة عدم الشرط علی أصالة الحمل علی الصحیح؛لأنّ الشک فی کون الواقع هو الفرد الصحیح مسبّب عن الشک فی تحقق الشرط،فإذا احرز عدمه بالأصل ترتب علیه کون الفعل فاسدا. و یندفع:بأنّ أصالة عدم البلوغ لا یثبت کون الواقع هو الفرد الفاسد،حتّی یتبیّن مجری أصالة الصحة أعنی الشک فی کون الواقع هو الفرد الصحیح أو الفاسد،و إنّما یثبت کون الواقع فاسدا،و هذا لیس مجری أصالة الصحة،و إنّما هو الأثر المترتب علی حکم الشارع فی مجراها،لوجوب حمل الفعل المشکوک علی فرده الصحیح،فکلّ منهما أصل موضوعی مجراه الموضوع الخارجی،و هو بلوغ العاقد أو عدمه،و المترتّب علی الأوّل کون العقد فاسدا،و المترتب علی الثانی کون العقد صحیحا،فیتعارضان.و الموضوع الخارجی الثانی و إن کان الشک فیه مسبّبا عن الشک فی الموضوع الأوّل،إلاّ أنّ خلافه لیس ممّا یترتّب بنفسه علی إجراء الأصل فی الأوّل نظیر نجاسة الثوب المغسول بالماء المستصحب الطهارة المترتب خلافها علی استصحاب طهارة الماء،إلاّ أنّ إجراء الأصل فی السبب</w:t>
      </w:r>
    </w:p>
    <w:p>
      <w:pPr>
        <w:pStyle w:val="BookText"/>
      </w:pPr>
      <w:r>
        <w:rPr>
          <w:rFonts w:ascii="IRNazanin" w:hAnsi="IRNazanin" w:eastAsia="IRNazanin" w:cs="IRNazanin"/>
          <w:lang w:bidi="fa-IR"/>
          <w:color w:val="111111"/>
          <w:sz w:val="28"/>
          <w:szCs w:val="28"/>
          <w:rtl/>
        </w:rPr>
        <w:t xml:space="preserve">[شماره صفحه واقعی : 377]
</w:t>
      </w:r>
    </w:p>
    <w:p>
      <w:pPr>
        <w:sectPr>
          <w:footerReference w:type="default" r:id="rId8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لا یبیّن مجری الأصل الثانی؛لأنّه من الموضوعات الخارجیة الغیر المترتبة بأنفسها علی استصحاب أسبابها.و الأصل فی السبب إنّما یقدّم علی الأصل الخارجی فی المسبب إذا کان المسبّب بنفسه من مجعولات الشارع،کنجاسة الثوب المغسول بالماء المستصحب الطهارة؛فإنّ استعمال طهارة الماء مبیّن لعدم نجاسة الثوب المستصحبة فی نفسها. نعم،لو قلنا بالأصل المثبت کانت أصالة عدم البلوغ مبیّنة لکون العقد هو الفرد الفاسد. و بالجملة:ففی المقام أصلان موضوعان رتّب الشارع علیهما أثرین متنافیین و هما کون العقد الواقع صحیحا فاسدا،و ستعرف أنّ مقتضی القاعدة فی تعارض الأصلین التعبّدیین التساقط،فاللازم فی المقام الرجوع إلی أصالة عدم ترتب الأثر،فحینئذ یختص أصالة الصحة بما إذا کان الشک فی تحقق أصل السبب من جهة دوران الفعل الواقع بین السبب و غیره،کما تقدم إلاّ أن یثبت إجماع مرکب بین الشک فی نفس السبب و الشک فی الشرط،أو یقال تخصیص القاعدة بما عدا الشک فی الشروط یوجب قلّة فائدتها،أو یقال إنّ المثبت مقدم علی الثانی. و کیف کان،فدفع التنافی بین الاصلین و إثبات حکومة أحدهما علی الآخر فی غایة الإشکال.و اللّه العالم». -و قد وردت فی(ت)زیادة کتب علیها:«خ ل زائد»،و هی ما یلی: «لأنّه إذا شکّ فی بلوغ البائع فالشکّ فی کون الواقع البیع الصحیح بمعنی کونه بحیث یترتّب علیه الأثر شک فی کون البیع صادرا من بالغ أو غیره،هذا مرجعه إلی الشک فی بلوغ البائع.فالشک فی کون البیع الصادر من شخص صادرا من بالغ الذی هو مجری أصالة الصحة،و الشک فی بلوغ الشخص الصادر منه العقد الذی هو مجری الاستصحاب،مرجعهما إلی أمر واحد،و لیس الأوّل</w:t>
      </w:r>
    </w:p>
    <w:p>
      <w:pPr>
        <w:pStyle w:val="BookText"/>
      </w:pPr>
      <w:r>
        <w:rPr>
          <w:rFonts w:ascii="IRNazanin" w:hAnsi="IRNazanin" w:eastAsia="IRNazanin" w:cs="IRNazanin"/>
          <w:lang w:bidi="fa-IR"/>
          <w:color w:val="111111"/>
          <w:sz w:val="28"/>
          <w:szCs w:val="28"/>
          <w:rtl/>
        </w:rPr>
        <w:t xml:space="preserve">[شماره صفحه واقعی : 378]
</w:t>
      </w:r>
    </w:p>
    <w:p>
      <w:pPr>
        <w:sectPr>
          <w:footerReference w:type="default" r:id="rId8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مسبّبا عن الثانی؛فإنّ الشک فی المقیّد باعتبار القید شک فی القید.فمقتضی الاستصحاب ترتّب أحکام العقد الصادر من غیر بالغ،و مقتضی هذا الأصل ترتّب حکم الصادر من بالغ،فکما أنّ الأصل معیّن ظاهری للموضوع و طریق جعلی إلیه،فکذلک استصحاب عدم البلوغ طریق ظاهری للموضوع؛فإنّ أحکام العقد الصادر من غیر البالغ لا یترتّب عند الشک فی البلوغ إلاّ بواسطة ثبوت موضوعها بحکم الاستصحاب. نعم،لو قیل بتقدیم المثبت علی النافی عند تعارض الأصلین تعیّن ترجیح أصالة الصحة لکنّه محلّ تأمّل. و یمکن أن یقال هنا:إنّ أصالة عدم البلوغ توجب الفساد لا من حیث الحکم شرعا بصدور العقد من غیر بالغ،بل من حیث الحکم بعدم صدور عقد من بالغ؛فإنّ بقاء الآثار السابقة مستند إلی عدم السبب الشرعی لا إلی عدم السببیة شرعا فیما وقع. نعم،لمّا کان المفروض انحصار الواقع فیما حکم شرعا بعدم سببیّة تحقق البقاء،فعدم سببیّة هذا العقد للأثر الذی هو مقتضی الاستصحاب لا یترتب علیه عدم الأثر،و إنّما یترتب علی عدم وقوع السبب المقارن لهذا العقد،فلا أثر لأصالة عدم البلوغ المقتضیة لعدم سببیة العقد المذکور حتی یعارض أصالة الصحّة المقتضیة لسببیّته،و أصالة الصحة تثبت تحقق العقد الصادر من بالغ،و لا معارضة فی الظاهر بین عدم سببیة هذا العقد الذی هو مقتضی الاستصحاب، و بین وقوع العقد الصادر عن بالغ الذی یقتضیه أصالة الصحة؛لأنّ وجود السبب ظاهرا لا یعارضه عدم سببیة شیء و إن امتنع اجتماعهما فی الواقع من حیث إنّ الصادر شیء واحد. لکن یدفع هذا:أن مقتضی أصالة الصحّة لیس وقوع فعل صحیح فی</w:t>
      </w:r>
    </w:p>
    <w:p>
      <w:pPr>
        <w:pStyle w:val="BookText"/>
      </w:pPr>
      <w:r>
        <w:rPr>
          <w:rFonts w:ascii="IRNazanin" w:hAnsi="IRNazanin" w:eastAsia="IRNazanin" w:cs="IRNazanin"/>
          <w:lang w:bidi="fa-IR"/>
          <w:color w:val="111111"/>
          <w:sz w:val="28"/>
          <w:szCs w:val="28"/>
          <w:rtl/>
        </w:rPr>
        <w:t xml:space="preserve">[شماره صفحه واقعی : 379]
</w:t>
      </w:r>
    </w:p>
    <w:p>
      <w:pPr>
        <w:sectPr>
          <w:footerReference w:type="default" r:id="rId8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الواقع،بل یقتضی کون الواقع هو الفرد الصحیح.فإذا فرض نفی السببیة عن هذا الواقع بحکم الاستصحاب حصل التنافی. و إن قیل:إنّ الاستصحاب لا یقتضی نفی السببیة؛لأنّ السببیة لیست من المجعولات بل یثبت بقاء الآثار السابقة. قلنا:کذلک أصالة الصحة لا تثبت وقوع السبب و إنّما تثبت حدوث آثار السبب. و کیف کان،فدفع التنافی بین الأصلین و إثبات حکومة أحدهما علی الآخر فی غایة الإشکال».</w:t>
      </w:r>
    </w:p>
    <w:p>
      <w:pPr>
        <w:pStyle w:val="BookText"/>
      </w:pPr>
      <w:r>
        <w:rPr>
          <w:rFonts w:ascii="IRNazanin" w:hAnsi="IRNazanin" w:eastAsia="IRNazanin" w:cs="IRNazanin"/>
          <w:lang w:bidi="fa-IR"/>
          <w:color w:val="111111"/>
          <w:sz w:val="28"/>
          <w:szCs w:val="28"/>
          <w:rtl/>
        </w:rPr>
        <w:t xml:space="preserve">[شماره صفحه واقعی : 380]
</w:t>
      </w:r>
    </w:p>
    <w:p>
      <w:pPr>
        <w:sectPr>
          <w:footerReference w:type="default" r:id="rId892"/>
          <w:footnotePr>
            <w:numStart w:val="1"/>
            <w:numRestart w:val="eachPage"/>
          </w:footnotePr>
          <w:pgSz w:orient="portrait" w:w="11905.511811023622" w:h="16837.79527559055"/>
          <w:pgMar w:top="1440" w:right="1440" w:bottom="1440" w:left="1440" w:header="720" w:footer="720" w:gutter="0"/>
          <w:cols w:num="1" w:space="720"/>
        </w:sectPr>
      </w:pPr>
    </w:p>
    <w:bookmarkStart w:id="564" w:name="pg14411_143274"/>
    <w:bookmarkEnd w:id="564"/>
    <w:p>
      <w:pPr>
        <w:pStyle w:val="Heading6"/>
      </w:pPr>
      <w:bookmarkStart w:id="2136" w:name="_Toc1171"/>
      <w:r>
        <w:t>بقی الکلام فی أصالة الصحّة فی الأقوال و الاعتقادات</w:t>
      </w:r>
      <w:bookmarkEnd w:id="2136"/>
    </w:p>
    <w:p>
      <w:pPr>
        <w:pStyle w:val="Heading6"/>
      </w:pPr>
      <w:bookmarkStart w:id="2137" w:name="_Toc1172"/>
      <w:r>
        <w:t>[أصالة الصحّة فی الأقوال:]</w:t>
      </w:r>
      <w:bookmarkEnd w:id="2137"/>
    </w:p>
    <w:p>
      <w:pPr>
        <w:pStyle w:val="BookText"/>
      </w:pPr>
      <w:r>
        <w:rPr>
          <w:rFonts w:ascii="IRNazanin" w:hAnsi="IRNazanin" w:eastAsia="IRNazanin" w:cs="IRNazanin"/>
          <w:lang w:bidi="fa-IR"/>
          <w:color w:val="111111"/>
          <w:sz w:val="28"/>
          <w:szCs w:val="28"/>
          <w:rtl/>
        </w:rPr>
        <w:t xml:space="preserve">أمّا الأقوال،فالصحّة فیها تکون من وجهین:</w:t>
      </w:r>
    </w:p>
    <w:p>
      <w:pPr>
        <w:pStyle w:val="BookText"/>
      </w:pPr>
      <w:r>
        <w:rPr>
          <w:rFonts w:ascii="IRNazanin" w:hAnsi="IRNazanin" w:eastAsia="IRNazanin" w:cs="IRNazanin"/>
          <w:lang w:bidi="fa-IR"/>
          <w:color w:val="111111"/>
          <w:sz w:val="28"/>
          <w:szCs w:val="28"/>
          <w:rtl/>
        </w:rPr>
        <w:t xml:space="preserve">الأوّل:من حیث کونه حرکة من حرکات المکلّف،فیکون الشکّ من حیث کونه مباحا أو محرّما.و لا إشکال فی الحمل علی الصحّة من هذه الحیثیّة.</w:t>
      </w:r>
    </w:p>
    <w:p>
      <w:pPr>
        <w:pStyle w:val="BookText"/>
      </w:pPr>
      <w:r>
        <w:rPr>
          <w:rFonts w:ascii="IRNazanin" w:hAnsi="IRNazanin" w:eastAsia="IRNazanin" w:cs="IRNazanin"/>
          <w:lang w:bidi="fa-IR"/>
          <w:color w:val="111111"/>
          <w:sz w:val="28"/>
          <w:szCs w:val="28"/>
          <w:rtl/>
        </w:rPr>
        <w:t xml:space="preserve">الثانی:من حیث کونه کاشفا عن مقصود المتکلّم.</w:t>
      </w:r>
    </w:p>
    <w:p>
      <w:pPr>
        <w:pStyle w:val="BookText"/>
      </w:pPr>
      <w:r>
        <w:rPr>
          <w:rFonts w:ascii="IRNazanin" w:hAnsi="IRNazanin" w:eastAsia="IRNazanin" w:cs="IRNazanin"/>
          <w:lang w:bidi="fa-IR"/>
          <w:color w:val="111111"/>
          <w:sz w:val="28"/>
          <w:szCs w:val="28"/>
          <w:rtl/>
        </w:rPr>
        <w:t xml:space="preserve">و الشکّ من هذه الحیثیّة یکون من وجوده:</w:t>
      </w:r>
    </w:p>
    <w:p>
      <w:pPr>
        <w:pStyle w:val="BookText"/>
      </w:pPr>
      <w:r>
        <w:rPr>
          <w:rFonts w:ascii="IRNazanin" w:hAnsi="IRNazanin" w:eastAsia="IRNazanin" w:cs="IRNazanin"/>
          <w:lang w:bidi="fa-IR"/>
          <w:color w:val="111111"/>
          <w:sz w:val="28"/>
          <w:szCs w:val="28"/>
          <w:rtl/>
        </w:rPr>
        <w:t xml:space="preserve">أحدها:من جهة أنّ المتکلّم بذلک القول قصد الکشف بذلک عن معنی،أم لم یقصد،بل تکلّم به من غیر قصد لمعنی؟و لا إشکال فی أصالة الصحّة من هذه الحیثیّة بحیث لو ادّعی کون التکلّم لغوا أو غلطا لم یسمع منه.</w:t>
      </w:r>
    </w:p>
    <w:p>
      <w:pPr>
        <w:pStyle w:val="BookText"/>
      </w:pPr>
      <w:r>
        <w:rPr>
          <w:rFonts w:ascii="IRNazanin" w:hAnsi="IRNazanin" w:eastAsia="IRNazanin" w:cs="IRNazanin"/>
          <w:lang w:bidi="fa-IR"/>
          <w:color w:val="111111"/>
          <w:sz w:val="28"/>
          <w:szCs w:val="28"/>
          <w:rtl/>
        </w:rPr>
        <w:t xml:space="preserve">الثانی:من جهة أنّ المتکلّم صادق فی اعتقاده و معتقد بمؤدّی ما یقوله،أم هو کاذب فی هذا التکلّم فی اعتقاده؟و لا إشکال فی أصالة الصحّة هنا أیضا.فإذا أخبر بشیء جاز نسبة اعتقاد مضمون الخبر إلیه،و لا یسمع دعوی أنّه غیر معتقد لما یقوله.و کذا إذا قال:افعل کذا،جاز أن یسند إلیه أنّه طالبه فی الواقع،لا أنّه مظهر للطلب صورة لمصلحة کالتوطین،أو لمفسدة </w:t>
      </w:r>
      <w:r>
        <w:rPr>
          <w:rStyle w:val="FootnoteReference"/>
        </w:rPr>
        <w:footnoteReference w:id="2687"/>
      </w:r>
      <w:r>
        <w:rPr>
          <w:rFonts w:ascii="IRNazanin" w:hAnsi="IRNazanin" w:eastAsia="IRNazanin" w:cs="IRNazanin"/>
          <w:lang w:bidi="fa-IR"/>
          <w:color w:val="111111"/>
          <w:sz w:val="28"/>
          <w:szCs w:val="28"/>
          <w:rtl/>
        </w:rPr>
        <w:t xml:space="preserve">.و هذان الأصلان ممّا قامت علیهما السیرة القطعیّة،مع إمکان إجراء ما سلف:من أدلّة تنزیه فعل</w:t>
      </w:r>
    </w:p>
    <w:p>
      <w:pPr>
        <w:pStyle w:val="BookText"/>
      </w:pPr>
      <w:r>
        <w:rPr>
          <w:rFonts w:ascii="IRNazanin" w:hAnsi="IRNazanin" w:eastAsia="IRNazanin" w:cs="IRNazanin"/>
          <w:lang w:bidi="fa-IR"/>
          <w:color w:val="111111"/>
          <w:sz w:val="28"/>
          <w:szCs w:val="28"/>
          <w:rtl/>
        </w:rPr>
        <w:t xml:space="preserve">[شماره صفحه واقعی : 381]
</w:t>
      </w:r>
    </w:p>
    <w:p>
      <w:pPr>
        <w:sectPr>
          <w:footerReference w:type="default" r:id="rId8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المسلم عن القبیح فی المقام.لکنّ المستند فیه لیس تلک الأدلّة.</w:t>
      </w:r>
    </w:p>
    <w:p>
      <w:pPr>
        <w:pStyle w:val="BookText"/>
      </w:pPr>
      <w:r>
        <w:rPr>
          <w:rFonts w:ascii="IRNazanin" w:hAnsi="IRNazanin" w:eastAsia="IRNazanin" w:cs="IRNazanin"/>
          <w:lang w:bidi="fa-IR"/>
          <w:color w:val="111111"/>
          <w:sz w:val="28"/>
          <w:szCs w:val="28"/>
          <w:rtl/>
        </w:rPr>
        <w:t xml:space="preserve">الثالث:من جهة کونه صادقا فی الواقع أو کاذبا.و هذا معنی حجّیّة خبر المسلم لغیره،فمعنی حجّیّة خبره صدقه.و الظاهر عدم الدلیل علی وجوب الحمل علی الصحیح بهذا المعنی،و الظاهر عدم الخلاف فی ذلک؛إذ لم یقل أحد بحجّیّة کلّ خبر صدر من مسلم، و لا دلیل یفی بعمومه علیه،حتّی نرتکب دعوی خروج ما خرج بالدلیل </w:t>
      </w:r>
      <w:r>
        <w:rPr>
          <w:rStyle w:val="FootnoteReference"/>
        </w:rPr>
        <w:footnoteReference w:id="26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 ربما یتوهّم:وجود الدلیل العامّ،من مثل الأخبار المتقدّمة </w:t>
      </w:r>
      <w:r>
        <w:rPr>
          <w:rStyle w:val="FootnoteReference"/>
        </w:rPr>
        <w:footnoteReference w:id="2689"/>
      </w:r>
      <w:r>
        <w:rPr>
          <w:rFonts w:ascii="IRNazanin" w:hAnsi="IRNazanin" w:eastAsia="IRNazanin" w:cs="IRNazanin"/>
          <w:lang w:bidi="fa-IR"/>
          <w:color w:val="111111"/>
          <w:sz w:val="28"/>
          <w:szCs w:val="28"/>
          <w:rtl/>
        </w:rPr>
        <w:t xml:space="preserve">الآمرة بوجوب حمل أمر المسلم علی أحسنه،و ما دلّ علی وجوب تصدیق المؤمن و عدم اتّهامه عموما،و خصوص قوله علیه السّلام:«إذا شهد عندک المسلمون فصدّقهم»،و غیر ذلک ممّا ذکرنا فی بحث حجّیّة خبر الواحد،و ذکرنا عدم دلالتها </w:t>
      </w:r>
      <w:r>
        <w:rPr>
          <w:rStyle w:val="FootnoteReference"/>
        </w:rPr>
        <w:footnoteReference w:id="26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 أنّه لو فرض دلیل عامّ علی حجّیّة خبر کلّ مسلم،کان الخارج منه أکثر من الداخل؛لقیام الإجماع علی عدم اعتباره فی الشهادات و لا فی الروایات إلاّ مع شروط خاصّة،و لا فی الحدسیّات و النظریّات إلاّ فی موارد خاصّة،مثل الفتوی و شبهها.</w:t>
      </w:r>
    </w:p>
    <w:p>
      <w:pPr>
        <w:pStyle w:val="BookText"/>
      </w:pPr>
      <w:r>
        <w:rPr>
          <w:rFonts w:ascii="IRNazanin" w:hAnsi="IRNazanin" w:eastAsia="IRNazanin" w:cs="IRNazanin"/>
          <w:lang w:bidi="fa-IR"/>
          <w:color w:val="111111"/>
          <w:sz w:val="28"/>
          <w:szCs w:val="28"/>
          <w:rtl/>
        </w:rPr>
        <w:t xml:space="preserve">نعم یمکن أن یدّعی:أنّ الأصل فی خبر العدل الحجّیّة؛لجملة</w:t>
      </w:r>
    </w:p>
    <w:p>
      <w:pPr>
        <w:pStyle w:val="BookText"/>
      </w:pPr>
      <w:r>
        <w:rPr>
          <w:rFonts w:ascii="IRNazanin" w:hAnsi="IRNazanin" w:eastAsia="IRNazanin" w:cs="IRNazanin"/>
          <w:lang w:bidi="fa-IR"/>
          <w:color w:val="111111"/>
          <w:sz w:val="28"/>
          <w:szCs w:val="28"/>
          <w:rtl/>
        </w:rPr>
        <w:t xml:space="preserve">[شماره صفحه واقعی : 382]
</w:t>
      </w:r>
    </w:p>
    <w:p>
      <w:pPr>
        <w:sectPr>
          <w:footerReference w:type="default" r:id="rId894"/>
          <w:footnotePr>
            <w:numStart w:val="1"/>
            <w:numRestart w:val="eachPage"/>
          </w:footnotePr>
          <w:pgSz w:orient="portrait" w:w="11905.511811023622" w:h="16837.79527559055"/>
          <w:pgMar w:top="1440" w:right="1440" w:bottom="1440" w:left="1440" w:header="720" w:footer="720" w:gutter="0"/>
          <w:cols w:num="1" w:space="720"/>
        </w:sectPr>
      </w:pPr>
    </w:p>
    <w:bookmarkStart w:id="565" w:name="pg14411_143276"/>
    <w:bookmarkEnd w:id="565"/>
    <w:p>
      <w:pPr>
        <w:pStyle w:val="BookText"/>
      </w:pPr>
      <w:r>
        <w:rPr>
          <w:rFonts w:ascii="Amiri" w:hAnsi="Amiri" w:eastAsia="Amiri" w:cs="Amiri"/>
          <w:lang w:bidi="ar-SA"/>
          <w:color w:val="111111"/>
          <w:sz w:val="28"/>
          <w:szCs w:val="28"/>
          <w:rtl/>
        </w:rPr>
        <w:t xml:space="preserve">ممّا </w:t>
      </w:r>
      <w:r>
        <w:rPr>
          <w:rStyle w:val="FootnoteReference"/>
        </w:rPr>
        <w:footnoteReference w:id="2691"/>
      </w:r>
      <w:r>
        <w:rPr>
          <w:rFonts w:ascii="IRNazanin" w:hAnsi="IRNazanin" w:eastAsia="IRNazanin" w:cs="IRNazanin"/>
          <w:lang w:bidi="fa-IR"/>
          <w:color w:val="111111"/>
          <w:sz w:val="28"/>
          <w:szCs w:val="28"/>
          <w:rtl/>
        </w:rPr>
        <w:t xml:space="preserve">ذکرناه فی أخبار الآحاد،و ذکرنا ما یوجب تضعیف ذلک، فراجع </w:t>
      </w:r>
      <w:r>
        <w:rPr>
          <w:rStyle w:val="FootnoteReference"/>
        </w:rPr>
        <w:footnoteReference w:id="2692"/>
      </w:r>
      <w:r>
        <w:rPr>
          <w:rFonts w:ascii="Times New Roman" w:hAnsi="Times New Roman" w:eastAsia="Times New Roman" w:cs="Times New Roman"/>
          <w:lang w:val="en-US" w:bidi="en-US"/>
          <w:color w:val="111111"/>
          <w:sz w:val="28"/>
          <w:szCs w:val="28"/>
          <w:rtl/>
        </w:rPr>
        <w:t xml:space="preserve">.</w:t>
      </w:r>
    </w:p>
    <w:p>
      <w:pPr>
        <w:pStyle w:val="Heading6"/>
      </w:pPr>
      <w:bookmarkStart w:id="2138" w:name="_Toc1173"/>
      <w:r>
        <w:t>[أصالة الصحّة فی الاعتقادات:]</w:t>
      </w:r>
      <w:bookmarkEnd w:id="2138"/>
    </w:p>
    <w:p>
      <w:pPr>
        <w:pStyle w:val="BookText"/>
      </w:pPr>
      <w:r>
        <w:rPr>
          <w:rFonts w:ascii="IRNazanin" w:hAnsi="IRNazanin" w:eastAsia="IRNazanin" w:cs="IRNazanin"/>
          <w:lang w:bidi="fa-IR"/>
          <w:color w:val="111111"/>
          <w:sz w:val="28"/>
          <w:szCs w:val="28"/>
          <w:rtl/>
        </w:rPr>
        <w:t xml:space="preserve">و أمّا الاعتقادات،فنقول:</w:t>
      </w:r>
    </w:p>
    <w:p>
      <w:pPr>
        <w:pStyle w:val="BookText"/>
      </w:pPr>
      <w:r>
        <w:rPr>
          <w:rFonts w:ascii="IRNazanin" w:hAnsi="IRNazanin" w:eastAsia="IRNazanin" w:cs="IRNazanin"/>
          <w:lang w:bidi="fa-IR"/>
          <w:color w:val="111111"/>
          <w:sz w:val="28"/>
          <w:szCs w:val="28"/>
          <w:rtl/>
        </w:rPr>
        <w:t xml:space="preserve">إذا کان الشکّ فی أنّ اعتقاده ناش عن مدرک صحیح من دون تقصیر عنه فی مقدّماته،أو من مدرک فاسد لتقصیر منه فی مقدّماته، فالظاهر وجوب الحمل علی الصحیح؛لظاهر بعض ما مرّ:من وجوب حمل امور المسلمین علی الحسن دون القبیح.</w:t>
      </w:r>
    </w:p>
    <w:p>
      <w:pPr>
        <w:pStyle w:val="BookText"/>
      </w:pPr>
      <w:r>
        <w:rPr>
          <w:rFonts w:ascii="IRNazanin" w:hAnsi="IRNazanin" w:eastAsia="IRNazanin" w:cs="IRNazanin"/>
          <w:lang w:bidi="fa-IR"/>
          <w:color w:val="111111"/>
          <w:sz w:val="28"/>
          <w:szCs w:val="28"/>
          <w:rtl/>
        </w:rPr>
        <w:t xml:space="preserve">و أمّا إذا شکّ فی صحّته بمعنی المطابقة للواقع،فلا دلیل علی وجوب الحمل علی ذلک،و لو ثبت ذلک أوجب حجّیّة کلّ خبر أخبر به المسلم؛لما عرفت </w:t>
      </w:r>
      <w:r>
        <w:rPr>
          <w:rStyle w:val="FootnoteReference"/>
        </w:rPr>
        <w:footnoteReference w:id="2693"/>
      </w:r>
      <w:r>
        <w:rPr>
          <w:rFonts w:ascii="IRNazanin" w:hAnsi="IRNazanin" w:eastAsia="IRNazanin" w:cs="IRNazanin"/>
          <w:lang w:bidi="fa-IR"/>
          <w:color w:val="111111"/>
          <w:sz w:val="28"/>
          <w:szCs w:val="28"/>
          <w:rtl/>
        </w:rPr>
        <w:t xml:space="preserve">:من أنّ الأصل فی الخبر کونه کاشفا عن اعتقاد المخبر.</w:t>
      </w:r>
    </w:p>
    <w:p>
      <w:pPr>
        <w:pStyle w:val="BookText"/>
      </w:pPr>
      <w:r>
        <w:rPr>
          <w:rFonts w:ascii="Amiri" w:hAnsi="Amiri" w:eastAsia="Amiri" w:cs="Amiri"/>
          <w:lang w:bidi="ar-SA"/>
          <w:color w:val="111111"/>
          <w:sz w:val="28"/>
          <w:szCs w:val="28"/>
          <w:rtl/>
        </w:rPr>
        <w:t xml:space="preserve">أمّا لو ثبت حجّیّة خبره:</w:t>
      </w:r>
    </w:p>
    <w:p>
      <w:pPr>
        <w:pStyle w:val="BookText"/>
      </w:pPr>
      <w:r>
        <w:rPr>
          <w:rFonts w:ascii="IRNazanin" w:hAnsi="IRNazanin" w:eastAsia="IRNazanin" w:cs="IRNazanin"/>
          <w:lang w:bidi="fa-IR"/>
          <w:color w:val="111111"/>
          <w:sz w:val="28"/>
          <w:szCs w:val="28"/>
          <w:rtl/>
        </w:rPr>
        <w:t xml:space="preserve">فقد یعلم أنّ العبرة باعتقاده بالمخبر به،کما فی المفتی و غیره ممّن یعتبر نظره فی المطلب،فیکون خبره کاشفا عن الحجّة لا نفسها.</w:t>
      </w:r>
    </w:p>
    <w:p>
      <w:pPr>
        <w:pStyle w:val="BookText"/>
      </w:pPr>
      <w:r>
        <w:rPr>
          <w:rFonts w:ascii="IRNazanin" w:hAnsi="IRNazanin" w:eastAsia="IRNazanin" w:cs="IRNazanin"/>
          <w:lang w:bidi="fa-IR"/>
          <w:color w:val="111111"/>
          <w:sz w:val="28"/>
          <w:szCs w:val="28"/>
          <w:rtl/>
        </w:rPr>
        <w:t xml:space="preserve">و قد یعلم من الدلیل حجّیّة خصوص إخباره بالواقع،حتّی لا یقبل منه قوله:اعتقد بکذا.</w:t>
      </w:r>
    </w:p>
    <w:p>
      <w:pPr>
        <w:pStyle w:val="BookText"/>
      </w:pPr>
      <w:r>
        <w:rPr>
          <w:rFonts w:ascii="IRNazanin" w:hAnsi="IRNazanin" w:eastAsia="IRNazanin" w:cs="IRNazanin"/>
          <w:lang w:bidi="fa-IR"/>
          <w:color w:val="111111"/>
          <w:sz w:val="28"/>
          <w:szCs w:val="28"/>
          <w:rtl/>
        </w:rPr>
        <w:t xml:space="preserve">و قد یدلّ الدلیل علی حجّیّة خصوص شهادته المتحقّقة تارة بالإخبار عن الواقع،و اخری بالإخبار بعلمه.</w:t>
      </w:r>
    </w:p>
    <w:p>
      <w:pPr>
        <w:pStyle w:val="BookText"/>
      </w:pPr>
      <w:r>
        <w:rPr>
          <w:rFonts w:ascii="IRNazanin" w:hAnsi="IRNazanin" w:eastAsia="IRNazanin" w:cs="IRNazanin"/>
          <w:lang w:bidi="fa-IR"/>
          <w:color w:val="111111"/>
          <w:sz w:val="28"/>
          <w:szCs w:val="28"/>
          <w:rtl/>
        </w:rPr>
        <w:t xml:space="preserve">[شماره صفحه واقعی : 383]
</w:t>
      </w:r>
    </w:p>
    <w:p>
      <w:pPr>
        <w:sectPr>
          <w:footerReference w:type="default" r:id="rId8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المتّبع فی کلّ مورد ما دلّ علیه الدلیل،و قد یشتبه مقدار دلالة الدلیل.</w:t>
      </w:r>
    </w:p>
    <w:p>
      <w:pPr>
        <w:pStyle w:val="BookText"/>
      </w:pPr>
      <w:r>
        <w:rPr>
          <w:rFonts w:ascii="IRNazanin" w:hAnsi="IRNazanin" w:eastAsia="IRNazanin" w:cs="IRNazanin"/>
          <w:lang w:bidi="fa-IR"/>
          <w:color w:val="111111"/>
          <w:sz w:val="28"/>
          <w:szCs w:val="28"/>
          <w:rtl/>
        </w:rPr>
        <w:t xml:space="preserve">و یترتّب علی ما ذکرنا قبول تعدیلات أهل الرجال المکتوبة فی کتبهم،و صحّة التعویل فی العدالة علی اقتداء العدلین.</w:t>
      </w:r>
    </w:p>
    <w:p>
      <w:pPr>
        <w:pStyle w:val="BookText"/>
      </w:pPr>
      <w:r>
        <w:rPr>
          <w:rFonts w:ascii="IRNazanin" w:hAnsi="IRNazanin" w:eastAsia="IRNazanin" w:cs="IRNazanin"/>
          <w:lang w:bidi="fa-IR"/>
          <w:color w:val="111111"/>
          <w:sz w:val="28"/>
          <w:szCs w:val="28"/>
          <w:rtl/>
        </w:rPr>
        <w:t xml:space="preserve">[شماره صفحه واقعی : 384]
</w:t>
      </w:r>
    </w:p>
    <w:p>
      <w:pPr>
        <w:sectPr>
          <w:footerReference w:type="default" r:id="rId896"/>
          <w:footnotePr>
            <w:numStart w:val="1"/>
            <w:numRestart w:val="eachPage"/>
          </w:footnotePr>
          <w:pgSz w:orient="portrait" w:w="11905.511811023622" w:h="16837.79527559055"/>
          <w:pgMar w:top="1440" w:right="1440" w:bottom="1440" w:left="1440" w:header="720" w:footer="720" w:gutter="0"/>
          <w:cols w:num="1" w:space="720"/>
        </w:sectPr>
      </w:pPr>
    </w:p>
    <w:bookmarkStart w:id="566" w:name="pg14411_143278"/>
    <w:bookmarkEnd w:id="566"/>
    <w:p>
      <w:pPr>
        <w:pStyle w:val="Heading6"/>
      </w:pPr>
      <w:bookmarkStart w:id="2139" w:name="_Toc1174"/>
      <w:r>
        <w:t>المقام الثانی فی بیان تعارض الاستصحاب مع القرعة</w:t>
      </w:r>
      <w:bookmarkEnd w:id="2139"/>
    </w:p>
    <w:p>
      <w:pPr>
        <w:pStyle w:val="Heading6"/>
      </w:pPr>
      <w:bookmarkStart w:id="2140" w:name="_Toc1175"/>
      <w:r>
        <w:t>[تقدم الاستصحاب علی القرعة:]</w:t>
      </w:r>
      <w:bookmarkEnd w:id="2140"/>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 تفصیل القول فیها یحتاج إلی بسط لا یسعه الوقت،و مجمل القول فیها:</w:t>
      </w:r>
    </w:p>
    <w:p>
      <w:pPr>
        <w:pStyle w:val="BookText"/>
      </w:pPr>
      <w:r>
        <w:rPr>
          <w:rFonts w:ascii="IRNazanin" w:hAnsi="IRNazanin" w:eastAsia="IRNazanin" w:cs="IRNazanin"/>
          <w:lang w:bidi="fa-IR"/>
          <w:color w:val="111111"/>
          <w:sz w:val="28"/>
          <w:szCs w:val="28"/>
          <w:rtl/>
        </w:rPr>
        <w:t xml:space="preserve">أنّ ظاهر أخبارها أعمّ من جمیع أدلّة الاستصحاب؛فلا بدّ من تخصیصها بها،فیختصّ القرعة بموارد لا یجری فیها الاستصحاب </w:t>
      </w:r>
      <w:r>
        <w:rPr>
          <w:rStyle w:val="FootnoteReference"/>
        </w:rPr>
        <w:footnoteReference w:id="2694"/>
      </w:r>
      <w:r>
        <w:rPr>
          <w:rFonts w:ascii="Times New Roman" w:hAnsi="Times New Roman" w:eastAsia="Times New Roman" w:cs="Times New Roman"/>
          <w:lang w:val="en-US" w:bidi="en-US"/>
          <w:color w:val="111111"/>
          <w:sz w:val="28"/>
          <w:szCs w:val="28"/>
          <w:rtl/>
        </w:rPr>
        <w:t xml:space="preserve">.</w:t>
      </w:r>
    </w:p>
    <w:p>
      <w:pPr>
        <w:pStyle w:val="Heading6"/>
      </w:pPr>
      <w:bookmarkStart w:id="2141" w:name="_Toc1176"/>
      <w:r>
        <w:t>[تعارض القرعة مع سائر الأصول:]</w:t>
      </w:r>
      <w:bookmarkEnd w:id="2141"/>
    </w:p>
    <w:p>
      <w:pPr>
        <w:pStyle w:val="BookText"/>
      </w:pPr>
      <w:r>
        <w:rPr>
          <w:rFonts w:ascii="IRNazanin" w:hAnsi="IRNazanin" w:eastAsia="IRNazanin" w:cs="IRNazanin"/>
          <w:lang w:bidi="fa-IR"/>
          <w:color w:val="111111"/>
          <w:sz w:val="28"/>
          <w:szCs w:val="28"/>
          <w:rtl/>
        </w:rPr>
        <w:t xml:space="preserve">نعم،القرعة واردة علی أصالة التخییر،و أصالتی الإباحة و الاحتیاط إذا کان مدرکهما العقل،و إن کان مدرکهما تعبّد الشارع بهما فی مواردهما فدلیل القرعة حاکم علیهما،کما لا یخفی.</w:t>
      </w:r>
    </w:p>
    <w:p>
      <w:pPr>
        <w:pStyle w:val="BookText"/>
      </w:pPr>
      <w:r>
        <w:rPr>
          <w:rFonts w:ascii="IRNazanin" w:hAnsi="IRNazanin" w:eastAsia="IRNazanin" w:cs="IRNazanin"/>
          <w:lang w:bidi="fa-IR"/>
          <w:color w:val="111111"/>
          <w:sz w:val="28"/>
          <w:szCs w:val="28"/>
          <w:rtl/>
        </w:rPr>
        <w:t xml:space="preserve">[شماره صفحه واقعی : 385]
</w:t>
      </w:r>
    </w:p>
    <w:p>
      <w:pPr>
        <w:sectPr>
          <w:footerReference w:type="default" r:id="rId8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لکن ذکر فی محلّه(1):أنّ أدلّة القرعة لا یعمل بها بدون جبر عمومها بعمل الأصحاب أو جماعة منهم،و اللّه العالم.</w:t>
      </w:r>
    </w:p>
    <w:p>
      <w:pPr>
        <w:pStyle w:val="BookText"/>
      </w:pPr>
      <w:r>
        <w:rPr>
          <w:rFonts w:ascii="IRNazanin" w:hAnsi="IRNazanin" w:eastAsia="IRNazanin" w:cs="IRNazanin"/>
          <w:lang w:bidi="fa-IR"/>
          <w:color w:val="111111"/>
          <w:sz w:val="28"/>
          <w:szCs w:val="28"/>
          <w:rtl/>
        </w:rPr>
        <w:t xml:space="preserve">[شماره صفحه واقعی : 386]
</w:t>
      </w:r>
    </w:p>
    <w:p>
      <w:pPr>
        <w:sectPr>
          <w:footerReference w:type="default" r:id="rId898"/>
          <w:footnotePr>
            <w:numStart w:val="1"/>
            <w:numRestart w:val="eachPage"/>
          </w:footnotePr>
          <w:pgSz w:orient="portrait" w:w="11905.511811023622" w:h="16837.79527559055"/>
          <w:pgMar w:top="1440" w:right="1440" w:bottom="1440" w:left="1440" w:header="720" w:footer="720" w:gutter="0"/>
          <w:cols w:num="1" w:space="720"/>
        </w:sectPr>
      </w:pPr>
    </w:p>
    <w:bookmarkStart w:id="567" w:name="pg14411_143280"/>
    <w:bookmarkEnd w:id="567"/>
    <w:p>
      <w:pPr>
        <w:pStyle w:val="Heading6"/>
      </w:pPr>
      <w:bookmarkStart w:id="2142" w:name="_Toc1177"/>
      <w:r>
        <w:t>المقام الثالث فی تعارض الاستصحاب مع ما عداه من الاصول العملیّة</w:t>
      </w:r>
      <w:bookmarkEnd w:id="2142"/>
    </w:p>
    <w:p>
      <w:pPr>
        <w:pStyle w:val="Heading6"/>
      </w:pPr>
      <w:bookmarkStart w:id="2143" w:name="_Toc1178"/>
      <w:r>
        <w:t>اشارة</w:t>
      </w:r>
      <w:bookmarkEnd w:id="2143"/>
    </w:p>
    <w:p>
      <w:pPr>
        <w:pStyle w:val="BookText"/>
      </w:pPr>
      <w:r>
        <w:rPr>
          <w:rFonts w:ascii="IRNazanin" w:hAnsi="IRNazanin" w:eastAsia="IRNazanin" w:cs="IRNazanin"/>
          <w:lang w:bidi="fa-IR"/>
          <w:color w:val="111111"/>
          <w:sz w:val="28"/>
          <w:szCs w:val="28"/>
          <w:rtl/>
        </w:rPr>
        <w:t xml:space="preserve">أعنی:أصالة البراءة و أصالة الاشتغال و أصالة التخییر</w:t>
      </w:r>
    </w:p>
    <w:p>
      <w:pPr>
        <w:pStyle w:val="Heading6"/>
      </w:pPr>
      <w:bookmarkStart w:id="2144" w:name="_Toc1179"/>
      <w:r>
        <w:t>[الأوّل:تعارض البراءة مع الاستصحاب]</w:t>
      </w:r>
      <w:bookmarkEnd w:id="2144"/>
    </w:p>
    <w:p>
      <w:pPr>
        <w:pStyle w:val="BookText"/>
      </w:pPr>
      <w:r>
        <w:rPr>
          <w:rFonts w:ascii="Amiri" w:hAnsi="Amiri" w:eastAsia="Amiri" w:cs="Amiri"/>
          <w:lang w:bidi="ar-SA"/>
          <w:color w:val="111111"/>
          <w:sz w:val="28"/>
          <w:szCs w:val="28"/>
          <w:rtl/>
        </w:rPr>
        <w:t xml:space="preserve">[الأوّل:تعارض البراءة مع الاستصحاب] </w:t>
      </w:r>
      <w:r>
        <w:rPr>
          <w:rStyle w:val="FootnoteReference"/>
        </w:rPr>
        <w:footnoteReference w:id="2695"/>
      </w:r>
    </w:p>
    <w:p>
      <w:pPr>
        <w:pStyle w:val="Heading6"/>
      </w:pPr>
      <w:bookmarkStart w:id="2145" w:name="_Toc1180"/>
      <w:r>
        <w:t>[تقدّم الاستصحاب و غیره من الأدلّة و الاصول علی أصالة البراءة:]</w:t>
      </w:r>
      <w:bookmarkEnd w:id="2145"/>
    </w:p>
    <w:p>
      <w:pPr>
        <w:pStyle w:val="BookText"/>
      </w:pPr>
      <w:r>
        <w:rPr>
          <w:rFonts w:ascii="IRNazanin" w:hAnsi="IRNazanin" w:eastAsia="IRNazanin" w:cs="IRNazanin"/>
          <w:lang w:bidi="fa-IR"/>
          <w:color w:val="111111"/>
          <w:sz w:val="28"/>
          <w:szCs w:val="28"/>
          <w:rtl/>
        </w:rPr>
        <w:t xml:space="preserve">أمّا أصالة البراءة،فلا تعارض الاستصحاب و لا غیره من الاصول و الأدلّة،سواء کان مدرکها العقل أو النقل.</w:t>
      </w:r>
    </w:p>
    <w:p>
      <w:pPr>
        <w:pStyle w:val="BookText"/>
      </w:pPr>
      <w:r>
        <w:rPr>
          <w:rFonts w:ascii="IRNazanin" w:hAnsi="IRNazanin" w:eastAsia="IRNazanin" w:cs="IRNazanin"/>
          <w:lang w:bidi="fa-IR"/>
          <w:color w:val="111111"/>
          <w:sz w:val="28"/>
          <w:szCs w:val="28"/>
          <w:rtl/>
        </w:rPr>
        <w:t xml:space="preserve">أمّا العقل،فواضح؛لأنّ العقل لا یحکم بقبح العقاب إلاّ مع عدم الدلیل علی التکلیف واقعا أو ظاهرا.</w:t>
      </w:r>
    </w:p>
    <w:p>
      <w:pPr>
        <w:pStyle w:val="BookText"/>
      </w:pPr>
      <w:r>
        <w:rPr>
          <w:rFonts w:ascii="IRNazanin" w:hAnsi="IRNazanin" w:eastAsia="IRNazanin" w:cs="IRNazanin"/>
          <w:lang w:bidi="fa-IR"/>
          <w:color w:val="111111"/>
          <w:sz w:val="28"/>
          <w:szCs w:val="28"/>
          <w:rtl/>
        </w:rPr>
        <w:t xml:space="preserve">و أمّا النقل،فما کان منه مساوقا لحکم العقل فقد اتّضح أمره، و الاستصحاب وارد علیه </w:t>
      </w:r>
      <w:r>
        <w:rPr>
          <w:rStyle w:val="FootnoteReference"/>
        </w:rPr>
        <w:footnoteReference w:id="26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مثل قوله علیه السّلام:«کلّ شیء مطلق حتّی یرد فیه نهی» </w:t>
      </w:r>
      <w:r>
        <w:rPr>
          <w:rStyle w:val="FootnoteReference"/>
        </w:rPr>
        <w:footnoteReference w:id="2697"/>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387]
</w:t>
      </w:r>
    </w:p>
    <w:p>
      <w:pPr>
        <w:sectPr>
          <w:footerReference w:type="default" r:id="rId8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فقد یقال:إنّ مورد الاستصحاب خارج منه؛لورود النهی فی المستصحب و لو بالنسبة إلی الزمان السابق.</w:t>
      </w:r>
    </w:p>
    <w:p>
      <w:pPr>
        <w:pStyle w:val="BookText"/>
      </w:pPr>
      <w:r>
        <w:rPr>
          <w:rFonts w:ascii="IRNazanin" w:hAnsi="IRNazanin" w:eastAsia="IRNazanin" w:cs="IRNazanin"/>
          <w:lang w:bidi="fa-IR"/>
          <w:color w:val="111111"/>
          <w:sz w:val="28"/>
          <w:szCs w:val="28"/>
          <w:rtl/>
        </w:rPr>
        <w:t xml:space="preserve">و فیه:أنّ الشیء المشکوک فی بقاء حرمته لم یرد نهی عن ارتکابه فی هذا الزمان،فلا بدّ من أن یکون مرخّصا فیه.فعصیر العنب بعد ذهاب ثلثیه بالهواء لم یرد فیه نهی،و ورود النهی عن شربه قبل ذهاب الثلثین لا یوجب المنع عنه بعده،</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کما أنّ وروده فی مطلق العصیر باعتبار وروده فی بعض أفراده لو کفی فی الدخول فی ما بعد الغایة،لدلّ علی المنع عن کلّ کلیّ ورد المنع عن بعض أفراده.</w:t>
      </w:r>
    </w:p>
    <w:p>
      <w:pPr>
        <w:pStyle w:val="BookText"/>
      </w:pPr>
      <w:r>
        <w:rPr>
          <w:rFonts w:ascii="IRNazanin" w:hAnsi="IRNazanin" w:eastAsia="IRNazanin" w:cs="IRNazanin"/>
          <w:lang w:bidi="fa-IR"/>
          <w:color w:val="111111"/>
          <w:sz w:val="28"/>
          <w:szCs w:val="28"/>
          <w:rtl/>
        </w:rPr>
        <w:t xml:space="preserve">و الفرق فی الأفراد بین ما کان تغایرها </w:t>
      </w:r>
      <w:r>
        <w:rPr>
          <w:rStyle w:val="FootnoteReference"/>
        </w:rPr>
        <w:footnoteReference w:id="2698"/>
      </w:r>
      <w:r>
        <w:rPr>
          <w:rFonts w:ascii="IRNazanin" w:hAnsi="IRNazanin" w:eastAsia="IRNazanin" w:cs="IRNazanin"/>
          <w:lang w:bidi="fa-IR"/>
          <w:color w:val="111111"/>
          <w:sz w:val="28"/>
          <w:szCs w:val="28"/>
          <w:rtl/>
        </w:rPr>
        <w:t xml:space="preserve">بتبدّل الأحوال و الزمان دون غیرها،شطط من الکلام.و لهذا لا إشکال فی الرجوع إلی البراءة مع عدم القول باعتبار الاستصحاب.</w:t>
      </w:r>
    </w:p>
    <w:p>
      <w:pPr>
        <w:pStyle w:val="BookText"/>
      </w:pPr>
      <w:r>
        <w:rPr>
          <w:rFonts w:ascii="IRNazanin" w:hAnsi="IRNazanin" w:eastAsia="IRNazanin" w:cs="IRNazanin"/>
          <w:lang w:bidi="fa-IR"/>
          <w:color w:val="111111"/>
          <w:sz w:val="28"/>
          <w:szCs w:val="28"/>
          <w:rtl/>
        </w:rPr>
        <w:t xml:space="preserve">و یتلوه فی الضعف ما یقال:من أنّ النهی الثابت بالاستصحاب عن نقض الیقین،نهی وارد فی رفع </w:t>
      </w:r>
      <w:r>
        <w:rPr>
          <w:rStyle w:val="FootnoteReference"/>
        </w:rPr>
        <w:footnoteReference w:id="2699"/>
      </w:r>
      <w:r>
        <w:rPr>
          <w:rFonts w:ascii="Amiri" w:hAnsi="Amiri" w:eastAsia="Amiri" w:cs="Amiri"/>
          <w:lang w:bidi="ar-SA"/>
          <w:color w:val="111111"/>
          <w:sz w:val="28"/>
          <w:szCs w:val="28"/>
          <w:rtl/>
        </w:rPr>
        <w:t xml:space="preserve">الرخصة.</w:t>
      </w:r>
    </w:p>
    <w:p>
      <w:pPr>
        <w:pStyle w:val="BookText"/>
      </w:pPr>
      <w:r>
        <w:rPr>
          <w:rFonts w:ascii="IRNazanin" w:hAnsi="IRNazanin" w:eastAsia="IRNazanin" w:cs="IRNazanin"/>
          <w:lang w:bidi="fa-IR"/>
          <w:color w:val="111111"/>
          <w:sz w:val="28"/>
          <w:szCs w:val="28"/>
          <w:rtl/>
        </w:rPr>
        <w:t xml:space="preserve">وجه الضعف:أنّ الظاهر من الروایة بیان الرخصة فی الشیء الذی لم یرد فیه نهی من حیث عنوانه الخاصّ،لا من حیث إنّه مشکوک الحکم،و إلاّ فیمکن العکس بأن یقال:إنّ النهی عن النقض فی مورد عدم ثبوت الرخصة بأصالة الإباحة،فیختصّ الاستصحاب بما لا یجری فیه أصالة البراءة،فتأمّل </w:t>
      </w:r>
      <w:r>
        <w:rPr>
          <w:rStyle w:val="FootnoteReference"/>
        </w:rPr>
        <w:footnoteReference w:id="27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388]
</w:t>
      </w:r>
    </w:p>
    <w:p>
      <w:pPr>
        <w:sectPr>
          <w:footerReference w:type="default" r:id="rId900"/>
          <w:footnotePr>
            <w:numStart w:val="1"/>
            <w:numRestart w:val="eachPage"/>
          </w:footnotePr>
          <w:pgSz w:orient="portrait" w:w="11905.511811023622" w:h="16837.79527559055"/>
          <w:pgMar w:top="1440" w:right="1440" w:bottom="1440" w:left="1440" w:header="720" w:footer="720" w:gutter="0"/>
          <w:cols w:num="1" w:space="720"/>
        </w:sectPr>
      </w:pPr>
    </w:p>
    <w:bookmarkStart w:id="568" w:name="pg14411_143282"/>
    <w:bookmarkEnd w:id="568"/>
    <w:p>
      <w:pPr>
        <w:pStyle w:val="Heading6"/>
      </w:pPr>
      <w:bookmarkStart w:id="2146" w:name="_Toc1181"/>
      <w:r>
        <w:t>[حکومة دلیل الاستصحاب علی قوله علیه السّلام:«کلّ شیء مطلق حتی یرد فیه نهی»:]</w:t>
      </w:r>
      <w:bookmarkEnd w:id="2146"/>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فالأولی فی الجواب أن یقال:إنّ دلیل الاستصحاب بمنزلة معمّم للنهی السابق بالنسبة إلی الزمان اللاحق،فقوله:«لا تنقض الیقین بالشکّ»یدلّ علی أنّ النهی الوارد لا بدّ من إبقائه و فرض عمومه للزمان اللاحق و فرض الشیء فی الزمان اللاحق ممّا ورد فیه النهی أیضا.فمجموع الروایة المذکورة و دلیل الاستصحاب بمنزلة أن یقول:کلّ شیء مطلق حتّی یرد فیه نهی،و کلّ نهی ورد فی شیء فلا بدّ من تعمیمه لجمیع أزمنة احتماله،فیکون الرخصة فی الشیء و إطلاقه.مغیّا بورود النهی،المحکوم علیه بالدوام و عموم الأزمان،فکان مفاد الاستصحاب نفی ما یقتضیه الأصل الآخر فی مورد الشکّ لو لا النهی، و هذا معنی الحکومة،کما سیجیء فی باب التعارض </w:t>
      </w:r>
      <w:r>
        <w:rPr>
          <w:rStyle w:val="FootnoteReference"/>
        </w:rPr>
        <w:footnoteReference w:id="27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فرق فیما ذکرنا بین الشبهة الحکمیّة و الموضوعیّة،بل الأمر فی الشبهة الموضوعیّة أوضح؛لأنّ الاستصحاب الجاری فیها جار فی الموضوع،فیدخل فی الموضوع المعلوم الحرمة.</w:t>
      </w:r>
    </w:p>
    <w:p>
      <w:pPr>
        <w:pStyle w:val="BookText"/>
      </w:pPr>
      <w:r>
        <w:rPr>
          <w:rFonts w:ascii="IRNazanin" w:hAnsi="IRNazanin" w:eastAsia="IRNazanin" w:cs="IRNazanin"/>
          <w:lang w:bidi="fa-IR"/>
          <w:color w:val="111111"/>
          <w:sz w:val="28"/>
          <w:szCs w:val="28"/>
          <w:rtl/>
        </w:rPr>
        <w:t xml:space="preserve">مثلا:استصحاب عدم ذهاب ثلثی العصیر عند الشکّ فی بقاء حرمته لأجل الشکّ فی الذهاب،یدخله فی العصیر قبل ذهاب ثلثیه المعلوم حرمته بالأدلّة،فیخرج عن قوله:«کلّ شیء حلال حتّی تعلم أنّه حرام».</w:t>
      </w:r>
    </w:p>
    <w:p>
      <w:pPr>
        <w:pStyle w:val="Heading6"/>
      </w:pPr>
      <w:bookmarkStart w:id="2147" w:name="_Toc1182"/>
      <w:r>
        <w:t>[الإشکال فی بعض أخبار أصالة البراءة فی الشبهة الموضوعیّة:]</w:t>
      </w:r>
      <w:bookmarkEnd w:id="2147"/>
    </w:p>
    <w:p>
      <w:pPr>
        <w:pStyle w:val="BookText"/>
      </w:pPr>
      <w:r>
        <w:rPr>
          <w:rFonts w:ascii="IRNazanin" w:hAnsi="IRNazanin" w:eastAsia="IRNazanin" w:cs="IRNazanin"/>
          <w:lang w:bidi="fa-IR"/>
          <w:color w:val="111111"/>
          <w:sz w:val="28"/>
          <w:szCs w:val="28"/>
          <w:rtl/>
        </w:rPr>
        <w:t xml:space="preserve">نعم،هنا إشکال فی بعض أخبار أصالة البراءة فی الشبهة الموضوعیّة،و هو قوله علیه السّلام فی الموثّقة:«کلّ شیء لک حلال حتّی تعلم أنّه حرام بعینه فتدعه من قبل نفسک،و ذلک مثل الثوب علیک </w:t>
      </w:r>
      <w:r>
        <w:rPr>
          <w:rStyle w:val="FootnoteReference"/>
        </w:rPr>
        <w:footnoteReference w:id="2702"/>
      </w:r>
      <w:r>
        <w:rPr>
          <w:rFonts w:ascii="Amiri" w:hAnsi="Amiri" w:eastAsia="Amiri" w:cs="Amiri"/>
          <w:lang w:bidi="ar-SA"/>
          <w:color w:val="111111"/>
          <w:sz w:val="28"/>
          <w:szCs w:val="28"/>
          <w:rtl/>
        </w:rPr>
        <w:t xml:space="preserve">و لعلّه</w:t>
      </w:r>
    </w:p>
    <w:p>
      <w:pPr>
        <w:pStyle w:val="BookText"/>
      </w:pPr>
      <w:r>
        <w:rPr>
          <w:rFonts w:ascii="IRNazanin" w:hAnsi="IRNazanin" w:eastAsia="IRNazanin" w:cs="IRNazanin"/>
          <w:lang w:bidi="fa-IR"/>
          <w:color w:val="111111"/>
          <w:sz w:val="28"/>
          <w:szCs w:val="28"/>
          <w:rtl/>
        </w:rPr>
        <w:t xml:space="preserve">[شماره صفحه واقعی : 389]
</w:t>
      </w:r>
    </w:p>
    <w:p>
      <w:pPr>
        <w:sectPr>
          <w:footerReference w:type="default" r:id="rId9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سرقة،و المملوک عندک و لعلّه حرّ قد باع نفسه أو قهر </w:t>
      </w:r>
      <w:r>
        <w:rPr>
          <w:rStyle w:val="FootnoteReference"/>
        </w:rPr>
        <w:footnoteReference w:id="2703"/>
      </w:r>
      <w:r>
        <w:rPr>
          <w:rFonts w:ascii="IRNazanin" w:hAnsi="IRNazanin" w:eastAsia="IRNazanin" w:cs="IRNazanin"/>
          <w:lang w:bidi="fa-IR"/>
          <w:color w:val="111111"/>
          <w:sz w:val="28"/>
          <w:szCs w:val="28"/>
          <w:rtl/>
        </w:rPr>
        <w:t xml:space="preserve">فبیع،أو امرأة تحتک و هی اختک أو رضیعتک.و الأشیاء کلّها علی هذا حتّی یستبین لک غیره،أو تقوم به البیّنة» </w:t>
      </w:r>
      <w:r>
        <w:rPr>
          <w:rStyle w:val="FootnoteReference"/>
        </w:rPr>
        <w:footnoteReference w:id="27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فإنّه قد استدلّ بها جماعة،کالعلاّمة-فی التذکرة </w:t>
      </w:r>
      <w:r>
        <w:rPr>
          <w:rStyle w:val="FootnoteReference"/>
        </w:rPr>
        <w:footnoteReference w:id="2705"/>
      </w:r>
      <w:r>
        <w:rPr>
          <w:rFonts w:ascii="IRNazanin" w:hAnsi="IRNazanin" w:eastAsia="IRNazanin" w:cs="IRNazanin"/>
          <w:lang w:bidi="fa-IR"/>
          <w:color w:val="111111"/>
          <w:sz w:val="28"/>
          <w:szCs w:val="28"/>
          <w:rtl/>
        </w:rPr>
        <w:t xml:space="preserve">-و غیره </w:t>
      </w:r>
      <w:r>
        <w:rPr>
          <w:rStyle w:val="FootnoteReference"/>
        </w:rPr>
        <w:footnoteReference w:id="2706"/>
      </w:r>
      <w:r>
        <w:rPr>
          <w:rFonts w:ascii="IRNazanin" w:hAnsi="IRNazanin" w:eastAsia="IRNazanin" w:cs="IRNazanin"/>
          <w:lang w:bidi="fa-IR"/>
          <w:color w:val="111111"/>
          <w:sz w:val="28"/>
          <w:szCs w:val="28"/>
          <w:rtl/>
        </w:rPr>
        <w:t xml:space="preserve">علی أصالة الإباحة،مع أنّ أصالة الإباحة هنا معارضة باستصحاب حرمة التصرّف فی هذه الأشیاء المذکورة فی الروایة،کأصالة عدم التملّک فی الثوب،و الحریّة فی المملوک،و عدم تأثیر العقد فی الامرأة.و لو ارید من الحلّیّة فی الروایة ما یترتّب علی أصالة الصحّة فی شراء الثوب و المملوک،و أصالة عدم تحقّق النسب </w:t>
      </w:r>
      <w:r>
        <w:rPr>
          <w:rStyle w:val="FootnoteReference"/>
        </w:rPr>
        <w:footnoteReference w:id="2707"/>
      </w:r>
      <w:r>
        <w:rPr>
          <w:rFonts w:ascii="IRNazanin" w:hAnsi="IRNazanin" w:eastAsia="IRNazanin" w:cs="IRNazanin"/>
          <w:lang w:bidi="fa-IR"/>
          <w:color w:val="111111"/>
          <w:sz w:val="28"/>
          <w:szCs w:val="28"/>
          <w:rtl/>
        </w:rPr>
        <w:t xml:space="preserve">و الرضاع فی المرأة،کان خروجا عن الإباحة الثابتة بأصالة الإباحة،کما هو ظاهر الروایة </w:t>
      </w:r>
      <w:r>
        <w:rPr>
          <w:rStyle w:val="FootnoteReference"/>
        </w:rPr>
        <w:footnoteReference w:id="2708"/>
      </w:r>
      <w:r>
        <w:rPr>
          <w:rFonts w:ascii="IRNazanin" w:hAnsi="IRNazanin" w:eastAsia="IRNazanin" w:cs="IRNazanin"/>
          <w:lang w:bidi="fa-IR"/>
          <w:color w:val="111111"/>
          <w:sz w:val="28"/>
          <w:szCs w:val="28"/>
          <w:rtl/>
        </w:rPr>
        <w:t xml:space="preserve">.و قد ذکرنا</w:t>
      </w:r>
    </w:p>
    <w:p>
      <w:pPr>
        <w:pStyle w:val="BookText"/>
      </w:pPr>
      <w:r>
        <w:rPr>
          <w:rFonts w:ascii="IRNazanin" w:hAnsi="IRNazanin" w:eastAsia="IRNazanin" w:cs="IRNazanin"/>
          <w:lang w:bidi="fa-IR"/>
          <w:color w:val="111111"/>
          <w:sz w:val="28"/>
          <w:szCs w:val="28"/>
          <w:rtl/>
        </w:rPr>
        <w:t xml:space="preserve">[شماره صفحه واقعی : 390]
</w:t>
      </w:r>
    </w:p>
    <w:p>
      <w:pPr>
        <w:sectPr>
          <w:footerReference w:type="default" r:id="rId902"/>
          <w:footnotePr>
            <w:numStart w:val="1"/>
            <w:numRestart w:val="eachPage"/>
          </w:footnotePr>
          <w:pgSz w:orient="portrait" w:w="11905.511811023622" w:h="16837.79527559055"/>
          <w:pgMar w:top="1440" w:right="1440" w:bottom="1440" w:left="1440" w:header="720" w:footer="720" w:gutter="0"/>
          <w:cols w:num="1" w:space="720"/>
        </w:sectPr>
      </w:pPr>
    </w:p>
    <w:bookmarkStart w:id="569" w:name="pg14411_143284"/>
    <w:bookmarkEnd w:id="569"/>
    <w:p>
      <w:pPr>
        <w:pStyle w:val="BookText"/>
      </w:pPr>
      <w:r>
        <w:rPr>
          <w:rFonts w:ascii="IRNazanin" w:hAnsi="IRNazanin" w:eastAsia="IRNazanin" w:cs="IRNazanin"/>
          <w:lang w:bidi="fa-IR"/>
          <w:color w:val="111111"/>
          <w:sz w:val="28"/>
          <w:szCs w:val="28"/>
          <w:rtl/>
        </w:rPr>
        <w:t xml:space="preserve">فی مسألة أصالة البراءة بعض الکلام فی هذه الروایة،فراجع </w:t>
      </w:r>
      <w:r>
        <w:rPr>
          <w:rStyle w:val="FootnoteReference"/>
        </w:rPr>
        <w:footnoteReference w:id="2709"/>
      </w:r>
      <w:r>
        <w:rPr>
          <w:rFonts w:ascii="IRNazanin" w:hAnsi="IRNazanin" w:eastAsia="IRNazanin" w:cs="IRNazanin"/>
          <w:lang w:bidi="fa-IR"/>
          <w:color w:val="111111"/>
          <w:sz w:val="28"/>
          <w:szCs w:val="28"/>
          <w:rtl/>
        </w:rPr>
        <w:t xml:space="preserve">،و اللّه الهادی.</w:t>
      </w:r>
    </w:p>
    <w:p>
      <w:pPr>
        <w:pStyle w:val="BookText"/>
      </w:pPr>
      <w:r>
        <w:rPr>
          <w:rFonts w:ascii="IRNazanin" w:hAnsi="IRNazanin" w:eastAsia="IRNazanin" w:cs="IRNazanin"/>
          <w:lang w:bidi="fa-IR"/>
          <w:color w:val="111111"/>
          <w:sz w:val="28"/>
          <w:szCs w:val="28"/>
          <w:rtl/>
        </w:rPr>
        <w:t xml:space="preserve">هذا کلّه حال قاعدة البراءة.</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 أمّا استصحابها،فهو لا یجامع استصحاب التکلیف؛لأنّ الحالة السابقة إمّا وجود التکلیف أو عدمه،إلاّ علی ما عرفت سابقا </w:t>
      </w:r>
      <w:r>
        <w:rPr>
          <w:rStyle w:val="FootnoteReference"/>
        </w:rPr>
        <w:footnoteReference w:id="2710"/>
      </w:r>
      <w:r>
        <w:rPr>
          <w:rFonts w:ascii="IRNazanin" w:hAnsi="IRNazanin" w:eastAsia="IRNazanin" w:cs="IRNazanin"/>
          <w:lang w:bidi="fa-IR"/>
          <w:color w:val="111111"/>
          <w:sz w:val="28"/>
          <w:szCs w:val="28"/>
          <w:rtl/>
        </w:rPr>
        <w:t xml:space="preserve">:من ذهاب بعض المعاصرین إلی إمکان تعارض استصحابی الوجود و العدم فی موضوع </w:t>
      </w:r>
      <w:r>
        <w:rPr>
          <w:rStyle w:val="FootnoteReference"/>
        </w:rPr>
        <w:footnoteReference w:id="2711"/>
      </w:r>
      <w:r>
        <w:rPr>
          <w:rFonts w:ascii="IRNazanin" w:hAnsi="IRNazanin" w:eastAsia="IRNazanin" w:cs="IRNazanin"/>
          <w:lang w:bidi="fa-IR"/>
          <w:color w:val="111111"/>
          <w:sz w:val="28"/>
          <w:szCs w:val="28"/>
          <w:rtl/>
        </w:rPr>
        <w:t xml:space="preserve">واحد،و تمثیله لذلک بمثل:صم یوم الخمیس.</w:t>
      </w:r>
    </w:p>
    <w:p>
      <w:pPr>
        <w:pStyle w:val="Heading6"/>
      </w:pPr>
      <w:bookmarkStart w:id="2148" w:name="_Toc1183"/>
      <w:r>
        <w:t>الثانی:تعارض قاعدة الاشتغال مع الاستصحاب</w:t>
      </w:r>
      <w:bookmarkEnd w:id="2148"/>
    </w:p>
    <w:p>
      <w:pPr>
        <w:pStyle w:val="Heading6"/>
      </w:pPr>
      <w:bookmarkStart w:id="2149" w:name="_Toc1184"/>
      <w:r>
        <w:t>[ورود الاستصحاب علی قاعدة الاشتغال:]</w:t>
      </w:r>
      <w:bookmarkEnd w:id="2149"/>
    </w:p>
    <w:p>
      <w:pPr>
        <w:pStyle w:val="BookText"/>
      </w:pPr>
      <w:r>
        <w:rPr>
          <w:rFonts w:ascii="IRNazanin" w:hAnsi="IRNazanin" w:eastAsia="IRNazanin" w:cs="IRNazanin"/>
          <w:lang w:bidi="fa-IR"/>
          <w:color w:val="111111"/>
          <w:sz w:val="28"/>
          <w:szCs w:val="28"/>
          <w:rtl/>
        </w:rPr>
        <w:t xml:space="preserve">و لا إشکال-بعد التأمّل-فی ورود الاستصحاب علیها؛لأنّ المأخوذ فی موردها بحکم العقل الشکّ فی براءة الذمّة بدون الاحتیاط، فإذا قطع بها بحکم الاستصحاب فلا مورد للقاعدة.کما لو أجرینا استصحاب وجوب التمام أو القصر فی بعض الموارد التی یقتضی الاحتیاط الجمع فیها بین القصر و التمام،فإنّ استصحاب وجوب أحدهما و عدم وجوب الآخر مبرئ قطعیّ لذمّة المکلّف عند الاقتصار علی مستصحب الوجوب.</w:t>
      </w:r>
    </w:p>
    <w:p>
      <w:pPr>
        <w:pStyle w:val="BookText"/>
      </w:pPr>
      <w:r>
        <w:rPr>
          <w:rFonts w:ascii="IRNazanin" w:hAnsi="IRNazanin" w:eastAsia="IRNazanin" w:cs="IRNazanin"/>
          <w:lang w:bidi="fa-IR"/>
          <w:color w:val="111111"/>
          <w:sz w:val="28"/>
          <w:szCs w:val="28"/>
          <w:rtl/>
        </w:rPr>
        <w:t xml:space="preserve">هذا حال القاعدة،و أمّا استصحاب الاشتغال فی مورد القاعدة</w:t>
      </w:r>
    </w:p>
    <w:p>
      <w:pPr>
        <w:pStyle w:val="BookText"/>
      </w:pPr>
      <w:r>
        <w:rPr>
          <w:rFonts w:ascii="IRNazanin" w:hAnsi="IRNazanin" w:eastAsia="IRNazanin" w:cs="IRNazanin"/>
          <w:lang w:bidi="fa-IR"/>
          <w:color w:val="111111"/>
          <w:sz w:val="28"/>
          <w:szCs w:val="28"/>
          <w:rtl/>
        </w:rPr>
        <w:t xml:space="preserve">[شماره صفحه واقعی : 391]
</w:t>
      </w:r>
    </w:p>
    <w:p>
      <w:pPr>
        <w:sectPr>
          <w:footerReference w:type="default" r:id="rId903"/>
          <w:footnotePr>
            <w:numStart w:val="1"/>
            <w:numRestart w:val="eachPage"/>
          </w:footnotePr>
          <w:pgSz w:orient="portrait" w:w="11905.511811023622" w:h="16837.79527559055"/>
          <w:pgMar w:top="1440" w:right="1440" w:bottom="1440" w:left="1440" w:header="720" w:footer="720" w:gutter="0"/>
          <w:cols w:num="1" w:space="720"/>
        </w:sectPr>
      </w:pPr>
    </w:p>
    <w:bookmarkStart w:id="570" w:name="pg14411_143285"/>
    <w:bookmarkEnd w:id="570"/>
    <w:p>
      <w:pPr>
        <w:pStyle w:val="BookText"/>
      </w:pPr>
      <w:r>
        <w:rPr>
          <w:rFonts w:ascii="IRNazanin" w:hAnsi="IRNazanin" w:eastAsia="IRNazanin" w:cs="IRNazanin"/>
          <w:lang w:bidi="fa-IR"/>
          <w:color w:val="111111"/>
          <w:sz w:val="28"/>
          <w:szCs w:val="28"/>
          <w:rtl/>
        </w:rPr>
        <w:t xml:space="preserve">-علی تقدیر الإغماض عمّا ذکرنا سابقا </w:t>
      </w:r>
      <w:r>
        <w:rPr>
          <w:rStyle w:val="FootnoteReference"/>
        </w:rPr>
        <w:footnoteReference w:id="2712"/>
      </w:r>
      <w:r>
        <w:rPr>
          <w:rFonts w:ascii="IRNazanin" w:hAnsi="IRNazanin" w:eastAsia="IRNazanin" w:cs="IRNazanin"/>
          <w:lang w:bidi="fa-IR"/>
          <w:color w:val="111111"/>
          <w:sz w:val="28"/>
          <w:szCs w:val="28"/>
          <w:rtl/>
        </w:rPr>
        <w:t xml:space="preserve">،من أنّه غیر مجد فی مورد القاعدة لإثبات ما یثبته القاعدة-فسیأتی حکمها فی تعارض الاستصحابین.</w:t>
      </w:r>
    </w:p>
    <w:p>
      <w:pPr>
        <w:pStyle w:val="BookText"/>
      </w:pPr>
      <w:r>
        <w:rPr>
          <w:rFonts w:ascii="IRNazanin" w:hAnsi="IRNazanin" w:eastAsia="IRNazanin" w:cs="IRNazanin"/>
          <w:lang w:bidi="fa-IR"/>
          <w:color w:val="111111"/>
          <w:sz w:val="28"/>
          <w:szCs w:val="28"/>
          <w:rtl/>
        </w:rPr>
        <w:t xml:space="preserve">و حاصله:أنّ الاستصحاب الوارد علی قاعدة الاشتغال حاکم علی استصحابه.</w:t>
      </w:r>
    </w:p>
    <w:p>
      <w:pPr>
        <w:pStyle w:val="Heading6"/>
      </w:pPr>
      <w:bookmarkStart w:id="2150" w:name="_Toc1185"/>
      <w:r>
        <w:t>الثالث:[تعارض قاعدة]</w:t>
      </w:r>
      <w:bookmarkEnd w:id="2150"/>
    </w:p>
    <w:p>
      <w:pPr>
        <w:pStyle w:val="BookText"/>
      </w:pPr>
      <w:r>
        <w:rPr>
          <w:rFonts w:ascii="Amiri" w:hAnsi="Amiri" w:eastAsia="Amiri" w:cs="Amiri"/>
          <w:lang w:bidi="ar-SA"/>
          <w:color w:val="111111"/>
          <w:sz w:val="28"/>
          <w:szCs w:val="28"/>
          <w:rtl/>
        </w:rPr>
        <w:t xml:space="preserve">الثالث:[تعارض قاعدة] </w:t>
      </w:r>
      <w:r>
        <w:rPr>
          <w:rStyle w:val="FootnoteReference"/>
        </w:rPr>
        <w:footnoteReference w:id="2713"/>
      </w:r>
      <w:r>
        <w:rPr>
          <w:rFonts w:ascii="IRNazanin" w:hAnsi="IRNazanin" w:eastAsia="IRNazanin" w:cs="IRNazanin"/>
          <w:lang w:bidi="fa-IR"/>
          <w:color w:val="111111"/>
          <w:sz w:val="28"/>
          <w:szCs w:val="28"/>
          <w:rtl/>
        </w:rPr>
        <w:t xml:space="preserve">التخییر[مع الاستصحاب] </w:t>
      </w:r>
      <w:r>
        <w:rPr>
          <w:rStyle w:val="FootnoteReference"/>
        </w:rPr>
        <w:footnoteReference w:id="2714"/>
      </w:r>
    </w:p>
    <w:p>
      <w:pPr>
        <w:pStyle w:val="Heading6"/>
      </w:pPr>
      <w:bookmarkStart w:id="2151" w:name="_Toc1186"/>
      <w:r>
        <w:t>[ورود الاستصحاب علی قاعدة التخییر:]</w:t>
      </w:r>
      <w:bookmarkEnd w:id="2151"/>
    </w:p>
    <w:p>
      <w:pPr>
        <w:pStyle w:val="BookText"/>
      </w:pPr>
      <w:r>
        <w:rPr>
          <w:rFonts w:ascii="IRNazanin" w:hAnsi="IRNazanin" w:eastAsia="IRNazanin" w:cs="IRNazanin"/>
          <w:lang w:bidi="fa-IR"/>
          <w:color w:val="111111"/>
          <w:sz w:val="28"/>
          <w:szCs w:val="28"/>
          <w:rtl/>
        </w:rPr>
        <w:t xml:space="preserve">و لا یخفی ورود الاستصحاب علیه؛إذ لا یبقی معه التحیّر الموجب للتخییر.فلا یحکم بالتخییر بین الصوم و الإفطار فی الیوم المحتمل کونه من شوّال مع استصحاب عدم الهلال،و لذا فرّع الإمام علیه السّلام قوله:</w:t>
      </w:r>
    </w:p>
    <w:p>
      <w:pPr>
        <w:pStyle w:val="BookText"/>
      </w:pPr>
      <w:r>
        <w:rPr>
          <w:rFonts w:ascii="IRNazanin" w:hAnsi="IRNazanin" w:eastAsia="IRNazanin" w:cs="IRNazanin"/>
          <w:lang w:bidi="fa-IR"/>
          <w:color w:val="111111"/>
          <w:sz w:val="28"/>
          <w:szCs w:val="28"/>
          <w:rtl/>
        </w:rPr>
        <w:t xml:space="preserve">«صم للرؤیة و أفطر للرؤیة»علی قوله:«الیقین لا یدخله الشکّ» </w:t>
      </w:r>
      <w:r>
        <w:rPr>
          <w:rFonts w:ascii="Times New Roman" w:hAnsi="Times New Roman" w:eastAsia="Times New Roman" w:cs="Times New Roman"/>
          <w:lang w:val="en-US" w:bidi="en-US"/>
          <w:color w:val="111111"/>
          <w:sz w:val="28"/>
          <w:szCs w:val="28"/>
          <w:vertAlign w:val="superscript"/>
          <w:rtl/>
        </w:rPr>
        <w:t xml:space="preserve">(4)</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392]
</w:t>
      </w:r>
    </w:p>
    <w:p>
      <w:pPr>
        <w:sectPr>
          <w:footerReference w:type="default" r:id="rId904"/>
          <w:footnotePr>
            <w:numStart w:val="1"/>
            <w:numRestart w:val="eachPage"/>
          </w:footnotePr>
          <w:pgSz w:orient="portrait" w:w="11905.511811023622" w:h="16837.79527559055"/>
          <w:pgMar w:top="1440" w:right="1440" w:bottom="1440" w:left="1440" w:header="720" w:footer="720" w:gutter="0"/>
          <w:cols w:num="1" w:space="720"/>
        </w:sectPr>
      </w:pPr>
    </w:p>
    <w:bookmarkStart w:id="571" w:name="pg14411_143286"/>
    <w:bookmarkEnd w:id="571"/>
    <w:p>
      <w:pPr>
        <w:pStyle w:val="Heading6"/>
      </w:pPr>
      <w:bookmarkStart w:id="2152" w:name="_Toc1187"/>
      <w:r>
        <w:t>[تعارض الاستصحابین]</w:t>
      </w:r>
      <w:bookmarkEnd w:id="2152"/>
    </w:p>
    <w:p>
      <w:pPr>
        <w:pStyle w:val="Heading6"/>
      </w:pPr>
      <w:bookmarkStart w:id="2153" w:name="_Toc1188"/>
      <w:r>
        <w:t>اشارة</w:t>
      </w:r>
      <w:bookmarkEnd w:id="2153"/>
    </w:p>
    <w:p>
      <w:pPr>
        <w:pStyle w:val="BookText"/>
      </w:pPr>
      <w:r>
        <w:rPr>
          <w:rFonts w:ascii="IRNazanin" w:hAnsi="IRNazanin" w:eastAsia="IRNazanin" w:cs="IRNazanin"/>
          <w:lang w:bidi="fa-IR"/>
          <w:color w:val="111111"/>
          <w:sz w:val="28"/>
          <w:szCs w:val="28"/>
          <w:rtl/>
        </w:rPr>
        <w:t xml:space="preserve">[تعارض الاستصحابین] </w:t>
      </w:r>
      <w:r>
        <w:rPr>
          <w:rStyle w:val="FootnoteReference"/>
        </w:rPr>
        <w:footnoteReference w:id="2715"/>
      </w:r>
    </w:p>
    <w:p>
      <w:pPr>
        <w:pStyle w:val="BookText"/>
      </w:pPr>
      <w:r>
        <w:rPr>
          <w:rFonts w:ascii="IRNazanin" w:hAnsi="IRNazanin" w:eastAsia="IRNazanin" w:cs="IRNazanin"/>
          <w:lang w:bidi="fa-IR"/>
          <w:color w:val="111111"/>
          <w:sz w:val="28"/>
          <w:szCs w:val="28"/>
          <w:rtl/>
        </w:rPr>
        <w:t xml:space="preserve">و أمّا الکلام فی تعارض الاستصحابین،و هی المسألة المهمّة فی باب تعارض الاصول التی اختلف فیها کلمات العلماء فی الاصول و الفروع </w:t>
      </w:r>
      <w:r>
        <w:rPr>
          <w:rStyle w:val="FootnoteReference"/>
        </w:rPr>
        <w:footnoteReference w:id="2716"/>
      </w:r>
      <w:r>
        <w:rPr>
          <w:rFonts w:ascii="IRNazanin" w:hAnsi="IRNazanin" w:eastAsia="IRNazanin" w:cs="IRNazanin"/>
          <w:lang w:bidi="fa-IR"/>
          <w:color w:val="111111"/>
          <w:sz w:val="28"/>
          <w:szCs w:val="28"/>
          <w:rtl/>
        </w:rPr>
        <w:t xml:space="preserve">، کما یظهر بالتتبّع.</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فاعلم:أنّ الاستصحابین المتعارضین ینقسمان إلی أقسام کثیرة من حیث کونهما موضوعیّین أو حکمیّین أو مختلفین،وجودیّین أو عدمیّین أو مختلفین،و کونهما فی موضوع واحد أو موضوعین،و کون تعارضهما بأنفسهما أو بواسطة أمر خارج،إلی غیر ذلک.</w:t>
      </w:r>
    </w:p>
    <w:p>
      <w:pPr>
        <w:pStyle w:val="Heading6"/>
      </w:pPr>
      <w:bookmarkStart w:id="2154" w:name="_Toc1189"/>
      <w:r>
        <w:t>[أقسام الاستصحابین المتعارضین:]</w:t>
      </w:r>
      <w:bookmarkEnd w:id="2154"/>
    </w:p>
    <w:p>
      <w:pPr>
        <w:pStyle w:val="Heading6"/>
      </w:pPr>
      <w:bookmarkStart w:id="2155" w:name="_Toc1190"/>
      <w:r>
        <w:t>اشارة</w:t>
      </w:r>
      <w:bookmarkEnd w:id="2155"/>
    </w:p>
    <w:p>
      <w:pPr>
        <w:pStyle w:val="BookText"/>
      </w:pPr>
      <w:r>
        <w:rPr>
          <w:rFonts w:ascii="IRNazanin" w:hAnsi="IRNazanin" w:eastAsia="IRNazanin" w:cs="IRNazanin"/>
          <w:lang w:bidi="fa-IR"/>
          <w:color w:val="111111"/>
          <w:sz w:val="28"/>
          <w:szCs w:val="28"/>
          <w:rtl/>
        </w:rPr>
        <w:t xml:space="preserve">إلاّ أنّ الظاهر أنّ اختلاف هذه الأقسام لا یؤثّر فی حکم المتعارضین إلاّ من جهة واحدة،و هی:أنّ الشکّ فی أحد الاستصحابین إمّا أن یکون مسبّبا عن الشکّ فی الآخر من غیر عکس،و إمّا أن یکون الشکّ فیهما مسبّبا عن ثالث.و أمّا کون الشکّ فی کلّ منهما مسبّبا عن الشکّ فی الآخر فغیر معقول.</w:t>
      </w:r>
    </w:p>
    <w:p>
      <w:pPr>
        <w:pStyle w:val="BookText"/>
      </w:pPr>
      <w:r>
        <w:rPr>
          <w:rFonts w:ascii="IRNazanin" w:hAnsi="IRNazanin" w:eastAsia="IRNazanin" w:cs="IRNazanin"/>
          <w:lang w:bidi="fa-IR"/>
          <w:color w:val="111111"/>
          <w:sz w:val="28"/>
          <w:szCs w:val="28"/>
          <w:rtl/>
        </w:rPr>
        <w:t xml:space="preserve">[شماره صفحه واقعی : 393]
</w:t>
      </w:r>
    </w:p>
    <w:p>
      <w:pPr>
        <w:sectPr>
          <w:footerReference w:type="default" r:id="rId905"/>
          <w:footnotePr>
            <w:numStart w:val="1"/>
            <w:numRestart w:val="eachPage"/>
          </w:footnotePr>
          <w:pgSz w:orient="portrait" w:w="11905.511811023622" w:h="16837.79527559055"/>
          <w:pgMar w:top="1440" w:right="1440" w:bottom="1440" w:left="1440" w:header="720" w:footer="720" w:gutter="0"/>
          <w:cols w:num="1" w:space="720"/>
        </w:sectPr>
      </w:pPr>
    </w:p>
    <w:bookmarkStart w:id="572" w:name="pg14411_143287"/>
    <w:bookmarkEnd w:id="572"/>
    <w:p>
      <w:pPr>
        <w:pStyle w:val="BookText"/>
      </w:pPr>
      <w:r>
        <w:rPr>
          <w:rFonts w:ascii="Amiri" w:hAnsi="Amiri" w:eastAsia="Amiri" w:cs="Amiri"/>
          <w:lang w:bidi="ar-SA"/>
          <w:color w:val="111111"/>
          <w:sz w:val="28"/>
          <w:szCs w:val="28"/>
          <w:rtl/>
        </w:rPr>
        <w:t xml:space="preserve">و ما توهّم له </w:t>
      </w:r>
      <w:r>
        <w:rPr>
          <w:rStyle w:val="FootnoteReference"/>
        </w:rPr>
        <w:footnoteReference w:id="2717"/>
      </w:r>
      <w:r>
        <w:rPr>
          <w:rFonts w:ascii="IRNazanin" w:hAnsi="IRNazanin" w:eastAsia="IRNazanin" w:cs="IRNazanin"/>
          <w:lang w:bidi="fa-IR"/>
          <w:color w:val="111111"/>
          <w:sz w:val="28"/>
          <w:szCs w:val="28"/>
          <w:rtl/>
        </w:rPr>
        <w:t xml:space="preserve">:من التمثیل بالعامّین من وجه،و أنّ الشکّ فی أصالة العموم فی کلّ منهما مسبّب عن الشکّ فی أصالة العموم فی الآخر.</w:t>
      </w:r>
    </w:p>
    <w:p>
      <w:pPr>
        <w:pStyle w:val="BookText"/>
      </w:pPr>
      <w:r>
        <w:rPr>
          <w:rFonts w:ascii="IRNazanin" w:hAnsi="IRNazanin" w:eastAsia="IRNazanin" w:cs="IRNazanin"/>
          <w:lang w:bidi="fa-IR"/>
          <w:color w:val="111111"/>
          <w:sz w:val="28"/>
          <w:szCs w:val="28"/>
          <w:rtl/>
        </w:rPr>
        <w:t xml:space="preserve">مندفع:بأنّ الشکّ فی الأصلین مسبّب عن العلم الإجمالیّ بتخصیص أحدهما.</w:t>
      </w:r>
    </w:p>
    <w:p>
      <w:pPr>
        <w:pStyle w:val="BookText"/>
      </w:pPr>
      <w:r>
        <w:rPr>
          <w:rFonts w:ascii="IRNazanin" w:hAnsi="IRNazanin" w:eastAsia="IRNazanin" w:cs="IRNazanin"/>
          <w:lang w:bidi="fa-IR"/>
          <w:color w:val="111111"/>
          <w:sz w:val="28"/>
          <w:szCs w:val="28"/>
          <w:rtl/>
        </w:rPr>
        <w:t xml:space="preserve">و کیف کان،فالاستصحابان المتعارضان علی قسمین:</w:t>
      </w:r>
    </w:p>
    <w:p>
      <w:pPr>
        <w:pStyle w:val="Heading6"/>
      </w:pPr>
      <w:bookmarkStart w:id="2156" w:name="_Toc1191"/>
      <w:r>
        <w:t>القسم الأوّل: [إذا کان الشکّ فی أحدهما مسبّبا عن الشکّ فی الآخر]</w:t>
      </w:r>
      <w:bookmarkEnd w:id="2156"/>
    </w:p>
    <w:p>
      <w:pPr>
        <w:pStyle w:val="BookText"/>
      </w:pPr>
      <w:r>
        <w:rPr>
          <w:rFonts w:ascii="IRNazanin" w:hAnsi="IRNazanin" w:eastAsia="IRNazanin" w:cs="IRNazanin"/>
          <w:lang w:bidi="fa-IR"/>
          <w:color w:val="111111"/>
          <w:sz w:val="28"/>
          <w:szCs w:val="28"/>
          <w:rtl/>
        </w:rPr>
        <w:t xml:space="preserve">ما إذا کان الشکّ فی أحدهما مسبّبا عن الشکّ فی الآخر،و اللازم تقدیم الشکّ السببیّ و إجراء الاستصحاب فیه،و رفع الید عن الحالة السابقة للمستصحب الآخر.</w:t>
      </w:r>
    </w:p>
    <w:p>
      <w:pPr>
        <w:pStyle w:val="Heading6"/>
      </w:pPr>
      <w:bookmarkStart w:id="2157" w:name="_Toc1192"/>
      <w:r>
        <w:t>[تقدّم الاستصحاب السببی علی المسبّبی و الاستدلال علیه:]</w:t>
      </w:r>
      <w:bookmarkEnd w:id="2157"/>
    </w:p>
    <w:p>
      <w:pPr>
        <w:pStyle w:val="BookText"/>
      </w:pPr>
      <w:r>
        <w:rPr>
          <w:rFonts w:ascii="IRNazanin" w:hAnsi="IRNazanin" w:eastAsia="IRNazanin" w:cs="IRNazanin"/>
          <w:lang w:bidi="fa-IR"/>
          <w:color w:val="111111"/>
          <w:sz w:val="28"/>
          <w:szCs w:val="28"/>
          <w:rtl/>
        </w:rPr>
        <w:t xml:space="preserve">مثاله:استصحاب طهارة الماء المغسول به ثوب نجس،فإنّ الشکّ فی بقاء نجاسة الثوب و ارتفاعها مسبّب عن الشکّ فی بقاء طهارة الماء و ارتفاعها،فیستصحب طهارته،و یحکم بارتفاع نجاسة الثوب.</w:t>
      </w:r>
    </w:p>
    <w:p>
      <w:pPr>
        <w:pStyle w:val="BookText"/>
      </w:pPr>
      <w:r>
        <w:rPr>
          <w:rFonts w:ascii="Amiri" w:hAnsi="Amiri" w:eastAsia="Amiri" w:cs="Amiri"/>
          <w:lang w:bidi="ar-SA"/>
          <w:color w:val="111111"/>
          <w:sz w:val="28"/>
          <w:szCs w:val="28"/>
          <w:rtl/>
        </w:rPr>
        <w:t xml:space="preserve">خلافا لجماعة </w:t>
      </w:r>
      <w:r>
        <w:rPr>
          <w:rStyle w:val="FootnoteReference"/>
        </w:rPr>
        <w:footnoteReference w:id="2718"/>
      </w:r>
      <w:r>
        <w:rPr>
          <w:rFonts w:ascii="IRNazanin" w:hAnsi="IRNazanin" w:eastAsia="IRNazanin" w:cs="IRNazanin"/>
          <w:lang w:bidi="fa-IR"/>
          <w:color w:val="111111"/>
          <w:sz w:val="28"/>
          <w:szCs w:val="28"/>
          <w:rtl/>
        </w:rPr>
        <w:t xml:space="preserve">لوجوه:</w:t>
      </w:r>
    </w:p>
    <w:p>
      <w:pPr>
        <w:pStyle w:val="Heading6"/>
      </w:pPr>
      <w:bookmarkStart w:id="2158" w:name="_Toc1193"/>
      <w:r>
        <w:t>[الدلیل ] الأوّل:الإجماع</w:t>
      </w:r>
      <w:bookmarkEnd w:id="2158"/>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علی ذلک فی موارد لا تحصی،فإنّه لا یحتمل الخلاف فی تقدیم الاستصحاب فی الملزومات الشرعیّة-کالطهارة من الحدث و الخبث،و کرّیّة الماء و إطلاقه،و حیاة المفقود،و براءة الذمّة من الحقوق المزاحمة للحجّ،و نحو ذلک-علی استصحاب عدم لوازمها</w:t>
      </w:r>
    </w:p>
    <w:p>
      <w:pPr>
        <w:pStyle w:val="BookText"/>
      </w:pPr>
      <w:r>
        <w:rPr>
          <w:rFonts w:ascii="IRNazanin" w:hAnsi="IRNazanin" w:eastAsia="IRNazanin" w:cs="IRNazanin"/>
          <w:lang w:bidi="fa-IR"/>
          <w:color w:val="111111"/>
          <w:sz w:val="28"/>
          <w:szCs w:val="28"/>
          <w:rtl/>
        </w:rPr>
        <w:t xml:space="preserve">[شماره صفحه واقعی : 394]
</w:t>
      </w:r>
    </w:p>
    <w:p>
      <w:pPr>
        <w:sectPr>
          <w:footerReference w:type="default" r:id="rId906"/>
          <w:footnotePr>
            <w:numStart w:val="1"/>
            <w:numRestart w:val="eachPage"/>
          </w:footnotePr>
          <w:pgSz w:orient="portrait" w:w="11905.511811023622" w:h="16837.79527559055"/>
          <w:pgMar w:top="1440" w:right="1440" w:bottom="1440" w:left="1440" w:header="720" w:footer="720" w:gutter="0"/>
          <w:cols w:num="1" w:space="720"/>
        </w:sectPr>
      </w:pPr>
    </w:p>
    <w:bookmarkStart w:id="573" w:name="pg14411_143288"/>
    <w:bookmarkEnd w:id="573"/>
    <w:p>
      <w:pPr>
        <w:pStyle w:val="BookText"/>
      </w:pPr>
      <w:r>
        <w:rPr>
          <w:rFonts w:ascii="IRNazanin" w:hAnsi="IRNazanin" w:eastAsia="IRNazanin" w:cs="IRNazanin"/>
          <w:lang w:bidi="fa-IR"/>
          <w:color w:val="111111"/>
          <w:sz w:val="28"/>
          <w:szCs w:val="28"/>
          <w:rtl/>
        </w:rPr>
        <w:t xml:space="preserve">الشرعیّة،کما لا یخفی علی الفطن المتتبّع.</w:t>
      </w:r>
    </w:p>
    <w:p>
      <w:pPr>
        <w:pStyle w:val="BookText"/>
      </w:pPr>
      <w:r>
        <w:rPr>
          <w:rFonts w:ascii="IRNazanin" w:hAnsi="IRNazanin" w:eastAsia="IRNazanin" w:cs="IRNazanin"/>
          <w:lang w:bidi="fa-IR"/>
          <w:color w:val="111111"/>
          <w:sz w:val="28"/>
          <w:szCs w:val="28"/>
          <w:rtl/>
        </w:rPr>
        <w:t xml:space="preserve">نعم،بعض العلماء فی بعض المقامات یعارض أحدهما بالآخر،کما سیجیء </w:t>
      </w:r>
      <w:r>
        <w:rPr>
          <w:rStyle w:val="FootnoteReference"/>
        </w:rPr>
        <w:footnoteReference w:id="2719"/>
      </w:r>
      <w:r>
        <w:rPr>
          <w:rFonts w:ascii="IRNazanin" w:hAnsi="IRNazanin" w:eastAsia="IRNazanin" w:cs="IRNazanin"/>
          <w:lang w:bidi="fa-IR"/>
          <w:color w:val="111111"/>
          <w:sz w:val="28"/>
          <w:szCs w:val="28"/>
          <w:rtl/>
        </w:rPr>
        <w:t xml:space="preserve">.و یؤیّده السیرة المستمرّة بین الناس علی ذلک بعد الاطّلاع علی حجّیة الاستصحاب،کما هو کذلک فی الاستصحابات العرفیّة </w:t>
      </w:r>
      <w:r>
        <w:rPr>
          <w:rStyle w:val="FootnoteReference"/>
        </w:rPr>
        <w:footnoteReference w:id="2720"/>
      </w:r>
      <w:r>
        <w:rPr>
          <w:rFonts w:ascii="Times New Roman" w:hAnsi="Times New Roman" w:eastAsia="Times New Roman" w:cs="Times New Roman"/>
          <w:lang w:val="en-US" w:bidi="en-US"/>
          <w:color w:val="111111"/>
          <w:sz w:val="28"/>
          <w:szCs w:val="28"/>
          <w:rtl/>
        </w:rPr>
        <w:t xml:space="preserve">.</w:t>
      </w:r>
    </w:p>
    <w:p>
      <w:pPr>
        <w:pStyle w:val="Heading6"/>
      </w:pPr>
      <w:bookmarkStart w:id="2159" w:name="_Toc1194"/>
      <w:r>
        <w:t>[الدلیل ] الثانی:أنّ قوله علیه السّلام:«لا تنقض الیقین بالشکّ»</w:t>
      </w:r>
      <w:bookmarkEnd w:id="2159"/>
    </w:p>
    <w:p>
      <w:pPr>
        <w:pStyle w:val="BookText"/>
      </w:pPr>
      <w:r>
        <w:rPr>
          <w:rFonts w:ascii="IRNazanin" w:hAnsi="IRNazanin" w:eastAsia="IRNazanin" w:cs="IRNazanin"/>
          <w:lang w:bidi="fa-IR"/>
          <w:color w:val="111111"/>
          <w:sz w:val="28"/>
          <w:szCs w:val="28"/>
          <w:rtl/>
        </w:rPr>
        <w:t xml:space="preserve">باعتبار دلالته علی جریان الاستصحاب فی الشکّ السببیّ،مانع </w:t>
      </w:r>
      <w:r>
        <w:rPr>
          <w:rStyle w:val="FootnoteReference"/>
        </w:rPr>
        <w:footnoteReference w:id="2721"/>
      </w:r>
      <w:r>
        <w:rPr>
          <w:rStyle w:val="FootnoteReference"/>
        </w:rPr>
        <w:footnoteReference w:id="2722"/>
      </w:r>
      <w:r>
        <w:rPr>
          <w:rFonts w:ascii="IRNazanin" w:hAnsi="IRNazanin" w:eastAsia="IRNazanin" w:cs="IRNazanin"/>
          <w:lang w:bidi="fa-IR"/>
          <w:color w:val="111111"/>
          <w:sz w:val="28"/>
          <w:szCs w:val="28"/>
          <w:rtl/>
        </w:rPr>
        <w:t xml:space="preserve">عن قابلیّة شموله لجریان الاستصحاب فی الشکّ المسبّبی،یعنی:أنّ نقض الیقین به </w:t>
      </w:r>
      <w:r>
        <w:rPr>
          <w:rStyle w:val="FootnoteReference"/>
        </w:rPr>
        <w:footnoteReference w:id="2723"/>
      </w:r>
      <w:r>
        <w:rPr>
          <w:rFonts w:ascii="IRNazanin" w:hAnsi="IRNazanin" w:eastAsia="IRNazanin" w:cs="IRNazanin"/>
          <w:lang w:bidi="fa-IR"/>
          <w:color w:val="111111"/>
          <w:sz w:val="28"/>
          <w:szCs w:val="28"/>
          <w:rtl/>
        </w:rPr>
        <w:t xml:space="preserve">یصیر نقضا بالدلیل لا </w:t>
      </w:r>
      <w:r>
        <w:rPr>
          <w:rStyle w:val="FootnoteReference"/>
        </w:rPr>
        <w:footnoteReference w:id="2724"/>
      </w:r>
      <w:r>
        <w:rPr>
          <w:rFonts w:ascii="IRNazanin" w:hAnsi="IRNazanin" w:eastAsia="IRNazanin" w:cs="IRNazanin"/>
          <w:lang w:bidi="fa-IR"/>
          <w:color w:val="111111"/>
          <w:sz w:val="28"/>
          <w:szCs w:val="28"/>
          <w:rtl/>
        </w:rPr>
        <w:t xml:space="preserve">بالشکّ،فلا یشمله النهی فی«لا تنقض».</w:t>
      </w:r>
    </w:p>
    <w:p>
      <w:pPr>
        <w:pStyle w:val="BookText"/>
      </w:pPr>
      <w:r>
        <w:rPr>
          <w:rFonts w:ascii="IRNazanin" w:hAnsi="IRNazanin" w:eastAsia="IRNazanin" w:cs="IRNazanin"/>
          <w:lang w:bidi="fa-IR"/>
          <w:color w:val="111111"/>
          <w:sz w:val="28"/>
          <w:szCs w:val="28"/>
          <w:rtl/>
        </w:rPr>
        <w:t xml:space="preserve">و اللازم من شمول«لا تنقض»للشکّ المسبّبی نقض الیقین فی مورد الشکّ السببیّ لا لدلیل شرعیّ یدلّ علی ارتفاع الحالة السابقة فیه، فیلزم من إهمال الاستصحاب فی الشکّ السببیّ طرح عموم«لا تنقض» من غیر مخصّص،و هو باطل.و اللازم من إهماله فی الشکّ المسبّبی عدم قابلیّة العموم لشمول المورد،و هو غیر منکر.</w:t>
      </w:r>
    </w:p>
    <w:p>
      <w:pPr>
        <w:pStyle w:val="BookText"/>
      </w:pPr>
      <w:r>
        <w:rPr>
          <w:rFonts w:ascii="IRNazanin" w:hAnsi="IRNazanin" w:eastAsia="IRNazanin" w:cs="IRNazanin"/>
          <w:lang w:bidi="fa-IR"/>
          <w:color w:val="111111"/>
          <w:sz w:val="28"/>
          <w:szCs w:val="28"/>
          <w:rtl/>
        </w:rPr>
        <w:t xml:space="preserve">[شماره صفحه واقعی : 395]
</w:t>
      </w:r>
    </w:p>
    <w:p>
      <w:pPr>
        <w:sectPr>
          <w:footerReference w:type="default" r:id="rId9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بیان ذلک:أنّ مقتضی </w:t>
      </w:r>
      <w:r>
        <w:rPr>
          <w:rStyle w:val="FootnoteReference"/>
        </w:rPr>
        <w:footnoteReference w:id="2725"/>
      </w:r>
      <w:r>
        <w:rPr>
          <w:rFonts w:ascii="IRNazanin" w:hAnsi="IRNazanin" w:eastAsia="IRNazanin" w:cs="IRNazanin"/>
          <w:lang w:bidi="fa-IR"/>
          <w:color w:val="111111"/>
          <w:sz w:val="28"/>
          <w:szCs w:val="28"/>
          <w:rtl/>
        </w:rPr>
        <w:t xml:space="preserve">عدم نقض الیقین رفع الید عن الامور السابقة المضادّة لآثار ذلک المتیقّن.فعدم نقض طهارة الماء لا معنی له إلاّ رفع الید عن النجاسة السابقة المعلومة فی الثوب؛إذ الحکم بنجاسته نقض للیقین بالطهارة المذکورة بلا حکم من الشارع بطروء النجاسة،و هو طرح لعموم«لا تنقض»من غیر مخصّص،أمّا الحکم بزوال النجاسة فلیس نقضا للیقین بالنجاسة إلاّ بحکم الشارع بطروء الطهارة علی الثوب.</w:t>
      </w:r>
    </w:p>
    <w:p>
      <w:pPr>
        <w:pStyle w:val="BookText"/>
      </w:pPr>
      <w:r>
        <w:rPr>
          <w:rFonts w:ascii="IRNazanin" w:hAnsi="IRNazanin" w:eastAsia="IRNazanin" w:cs="IRNazanin"/>
          <w:lang w:bidi="fa-IR"/>
          <w:color w:val="111111"/>
          <w:sz w:val="28"/>
          <w:szCs w:val="28"/>
          <w:rtl/>
        </w:rPr>
        <w:t xml:space="preserve">و الحاصل:أنّ مقتضی عموم«لا تنقض»للشکّ السببیّ نقض الحالة السابقة لمورد الشکّ المسبّبیّ.</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 دعوی:أنّ الیقین بالنجاسة أیضا من أفراد العامّ،فلا وجه لطرحه و إدخال الیقین بطهارة الماء.</w:t>
      </w:r>
    </w:p>
    <w:p>
      <w:pPr>
        <w:pStyle w:val="BookText"/>
      </w:pPr>
      <w:r>
        <w:rPr>
          <w:rFonts w:ascii="IRNazanin" w:hAnsi="IRNazanin" w:eastAsia="IRNazanin" w:cs="IRNazanin"/>
          <w:lang w:bidi="fa-IR"/>
          <w:color w:val="111111"/>
          <w:sz w:val="28"/>
          <w:szCs w:val="28"/>
          <w:rtl/>
        </w:rPr>
        <w:t xml:space="preserve">مدفوعة:أوّلا:بأنّ معنی عدم نقض یقین النجاسة أیضا رفع الید عن الامور السابقة المضادّة لآثار المستصحب،کالطهارة السابقة الحاصلة لملاقیه و غیرها،فیعود المحذور.إلاّ أن نلتزم هنا أیضا ببقاء طهارة الملاقی،و سیجیء فساده </w:t>
      </w:r>
      <w:r>
        <w:rPr>
          <w:rStyle w:val="FootnoteReference"/>
        </w:rPr>
        <w:footnoteReference w:id="27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ثانیا:أنّ نقض یقین النجاسة بالدلیل الدالّ علی أنّ کلّ نجس غسل بماء طاهر فقد طهر،و فائدة استصحاب الطهارة إثبات کون الماء طاهرا به </w:t>
      </w:r>
      <w:r>
        <w:rPr>
          <w:rStyle w:val="FootnoteReference"/>
        </w:rPr>
        <w:footnoteReference w:id="2727"/>
      </w:r>
      <w:r>
        <w:rPr>
          <w:rFonts w:ascii="IRNazanin" w:hAnsi="IRNazanin" w:eastAsia="IRNazanin" w:cs="IRNazanin"/>
          <w:lang w:bidi="fa-IR"/>
          <w:color w:val="111111"/>
          <w:sz w:val="28"/>
          <w:szCs w:val="28"/>
          <w:rtl/>
        </w:rPr>
        <w:t xml:space="preserve">،بخلاف نقض یقین الطهارة بحکم الشارع بعدم نقض یقین النجاسة </w:t>
      </w:r>
      <w:r>
        <w:rPr>
          <w:rStyle w:val="FootnoteReference"/>
        </w:rPr>
        <w:footnoteReference w:id="27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396]
</w:t>
      </w:r>
    </w:p>
    <w:p>
      <w:pPr>
        <w:sectPr>
          <w:footerReference w:type="default" r:id="rId9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ذلک:أنّه لو عملنا باستصحاب النجاسة کنّا قد طرحنا الیقین بطهارة الماء من غیر ورود دلیل شرعیّ علی نجاسته؛لأنّ بقاء النجاسة فی الثوب لا یوجب زوال الطهارة عن الماء،بخلاف ما لو عملنا باستصحاب طهارة الماء؛فإنّه یوجب زوال نجاسة الثوب بالدلیل الشرعیّ،و هو ما دلّ علی أنّ الثوب المغسول بالماء الطاهر یطهر، فطرح الیقین بنجاسة الثوب </w:t>
      </w:r>
      <w:r>
        <w:rPr>
          <w:rStyle w:val="FootnoteReference"/>
        </w:rPr>
        <w:footnoteReference w:id="2729"/>
      </w:r>
      <w:r>
        <w:rPr>
          <w:rFonts w:ascii="IRNazanin" w:hAnsi="IRNazanin" w:eastAsia="IRNazanin" w:cs="IRNazanin"/>
          <w:lang w:bidi="fa-IR"/>
          <w:color w:val="111111"/>
          <w:sz w:val="28"/>
          <w:szCs w:val="28"/>
          <w:rtl/>
        </w:rPr>
        <w:t xml:space="preserve">لقیام الدلیل علی طهارته.</w:t>
      </w:r>
    </w:p>
    <w:p>
      <w:pPr>
        <w:pStyle w:val="BookText"/>
      </w:pPr>
      <w:r>
        <w:rPr>
          <w:rFonts w:ascii="IRNazanin" w:hAnsi="IRNazanin" w:eastAsia="IRNazanin" w:cs="IRNazanin"/>
          <w:lang w:bidi="fa-IR"/>
          <w:color w:val="111111"/>
          <w:sz w:val="28"/>
          <w:szCs w:val="28"/>
          <w:rtl/>
        </w:rPr>
        <w:t xml:space="preserve">هذا،و قد یشکل </w:t>
      </w:r>
      <w:r>
        <w:rPr>
          <w:rStyle w:val="FootnoteReference"/>
        </w:rPr>
        <w:footnoteReference w:id="2730"/>
      </w:r>
      <w:r>
        <w:rPr>
          <w:rFonts w:ascii="IRNazanin" w:hAnsi="IRNazanin" w:eastAsia="IRNazanin" w:cs="IRNazanin"/>
          <w:lang w:bidi="fa-IR"/>
          <w:color w:val="111111"/>
          <w:sz w:val="28"/>
          <w:szCs w:val="28"/>
          <w:rtl/>
        </w:rPr>
        <w:t xml:space="preserve">:بأنّ الیقین بطهارة الماء و الیقین بنجاسة الثوب المغسول به،کلّ منهما یقین سابق شکّ فی بقائه و ارتفاعه،و حکم الشارع بعدم النقض نسبته إلیهما علی حدّ سواء؛لأنّ نسبة حکم العامّ إلی أفراده علی حدّ سواء،فکیف یلاحظ ثبوت هذا الحکم للیقین بالطهارة أوّلا حتّی یجب نقض الیقین بالنجاسة،لأنّه مدلوله و مقتضاه؟!</w:t>
      </w:r>
    </w:p>
    <w:p>
      <w:pPr>
        <w:pStyle w:val="BookText"/>
      </w:pPr>
      <w:r>
        <w:rPr>
          <w:rFonts w:ascii="IRNazanin" w:hAnsi="IRNazanin" w:eastAsia="IRNazanin" w:cs="IRNazanin"/>
          <w:lang w:bidi="fa-IR"/>
          <w:color w:val="111111"/>
          <w:sz w:val="28"/>
          <w:szCs w:val="28"/>
          <w:rtl/>
        </w:rPr>
        <w:t xml:space="preserve">و الحاصل:أنّ جعل شمول حکم العامّ لبعض الأفراد سببا لخروج بعض الأفراد عن الحکم أو عن الموضوع-کما فی ما نحن فیه-فاسد، بعد فرض تساوی الفردین فی الفردیّة مع قطع النظر عن ثبوت الحکم.</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 یدفع:بأنّ فردیّة أحد الشیئین إذا توقّف علی خروج الآخر المفروض الفردیّة عن العموم،وجب الحکم بعدم فردیّته،و لم یجز رفع الید عن العموم؛لأنّ رفع الید حینئذ عنه یتوقّف علی شمول العامّ لذلک الشیء المفروض توقّف فردیّته علی رفع الید عن العموم،و هو دور محال.</w:t>
      </w:r>
    </w:p>
    <w:p>
      <w:pPr>
        <w:pStyle w:val="BookText"/>
      </w:pPr>
      <w:r>
        <w:rPr>
          <w:rFonts w:ascii="IRNazanin" w:hAnsi="IRNazanin" w:eastAsia="IRNazanin" w:cs="IRNazanin"/>
          <w:lang w:bidi="fa-IR"/>
          <w:color w:val="111111"/>
          <w:sz w:val="28"/>
          <w:szCs w:val="28"/>
          <w:rtl/>
        </w:rPr>
        <w:t xml:space="preserve">[شماره صفحه واقعی : 397]
</w:t>
      </w:r>
    </w:p>
    <w:p>
      <w:pPr>
        <w:sectPr>
          <w:footerReference w:type="default" r:id="rId909"/>
          <w:footnotePr>
            <w:numStart w:val="1"/>
            <w:numRestart w:val="eachPage"/>
          </w:footnotePr>
          <w:pgSz w:orient="portrait" w:w="11905.511811023622" w:h="16837.79527559055"/>
          <w:pgMar w:top="1440" w:right="1440" w:bottom="1440" w:left="1440" w:header="720" w:footer="720" w:gutter="0"/>
          <w:cols w:num="1" w:space="720"/>
        </w:sectPr>
      </w:pPr>
    </w:p>
    <w:bookmarkStart w:id="574" w:name="pg14411_143291"/>
    <w:bookmarkEnd w:id="574"/>
    <w:p>
      <w:pPr>
        <w:pStyle w:val="BookText"/>
      </w:pPr>
      <w:r>
        <w:rPr>
          <w:rFonts w:ascii="IRNazanin" w:hAnsi="IRNazanin" w:eastAsia="IRNazanin" w:cs="IRNazanin"/>
          <w:lang w:bidi="fa-IR"/>
          <w:color w:val="111111"/>
          <w:sz w:val="28"/>
          <w:szCs w:val="28"/>
          <w:rtl/>
        </w:rPr>
        <w:t xml:space="preserve">و إن شئت قلت:إنّ حکم العامّ من قبیل لازم الوجود للشکّ السببیّ،کما هو شأن الحکم الشرعیّ و موضوعه،فلا یوجد فی الخارج إلاّ محکوما،و المفروض أنّ الشکّ المسبّبیّ أیضا من لوازم وجود ذلک الشکّ،فیکون حکم العامّ و هذا الشکّ لازمین لملزوم ثالث فی مرتبة واحدة،فلا یجوز أن یکون أحدهما موضوعا للآخر؛لتقدّم الموضوع طبعا </w:t>
      </w:r>
      <w:r>
        <w:rPr>
          <w:rStyle w:val="FootnoteReference"/>
        </w:rPr>
        <w:footnoteReference w:id="2731"/>
      </w:r>
      <w:r>
        <w:rPr>
          <w:rFonts w:ascii="Times New Roman" w:hAnsi="Times New Roman" w:eastAsia="Times New Roman" w:cs="Times New Roman"/>
          <w:lang w:val="en-US" w:bidi="en-US"/>
          <w:color w:val="111111"/>
          <w:sz w:val="28"/>
          <w:szCs w:val="28"/>
          <w:rtl/>
        </w:rPr>
        <w:t xml:space="preserve">.</w:t>
      </w:r>
    </w:p>
    <w:p>
      <w:pPr>
        <w:pStyle w:val="Heading6"/>
      </w:pPr>
      <w:bookmarkStart w:id="2160" w:name="_Toc1195"/>
      <w:r>
        <w:t>[الدلیل ] الثالث:أنّه لو لم یبن علی تقدیم الاستصحاب فی الشکّ السببیّ</w:t>
      </w:r>
      <w:bookmarkEnd w:id="2160"/>
    </w:p>
    <w:p>
      <w:pPr>
        <w:pStyle w:val="BookText"/>
      </w:pPr>
      <w:r>
        <w:rPr>
          <w:rFonts w:ascii="IRNazanin" w:hAnsi="IRNazanin" w:eastAsia="IRNazanin" w:cs="IRNazanin"/>
          <w:lang w:bidi="fa-IR"/>
          <w:color w:val="111111"/>
          <w:sz w:val="28"/>
          <w:szCs w:val="28"/>
          <w:rtl/>
        </w:rPr>
        <w:t xml:space="preserve">کان الاستصحاب قلیل الفائدة جدّا؛لأنّ المقصود من الاستصحاب غالبا ترتیب الآثار الثابتة للمستصحب،و تلک الآثار إن کانت موجودة سابقا أغنی استصحابها عن استصحاب ملزومها،فتنحصر الفائدة فی الآثار التی کانت معدومة،فإذا فرض معارضة الاستصحاب فی الملزوم</w:t>
      </w:r>
    </w:p>
    <w:p>
      <w:pPr>
        <w:pStyle w:val="BookText"/>
      </w:pPr>
      <w:r>
        <w:rPr>
          <w:rFonts w:ascii="IRNazanin" w:hAnsi="IRNazanin" w:eastAsia="IRNazanin" w:cs="IRNazanin"/>
          <w:lang w:bidi="fa-IR"/>
          <w:color w:val="111111"/>
          <w:sz w:val="28"/>
          <w:szCs w:val="28"/>
          <w:rtl/>
        </w:rPr>
        <w:t xml:space="preserve">[شماره صفحه واقعی : 398]
</w:t>
      </w:r>
    </w:p>
    <w:p>
      <w:pPr>
        <w:sectPr>
          <w:footerReference w:type="default" r:id="rId910"/>
          <w:footnotePr>
            <w:numStart w:val="1"/>
            <w:numRestart w:val="eachPage"/>
          </w:footnotePr>
          <w:pgSz w:orient="portrait" w:w="11905.511811023622" w:h="16837.79527559055"/>
          <w:pgMar w:top="1440" w:right="1440" w:bottom="1440" w:left="1440" w:header="720" w:footer="720" w:gutter="0"/>
          <w:cols w:num="1" w:space="720"/>
        </w:sectPr>
      </w:pPr>
    </w:p>
    <w:bookmarkStart w:id="575" w:name="pg14411_143292"/>
    <w:bookmarkEnd w:id="575"/>
    <w:p>
      <w:pPr>
        <w:pStyle w:val="BookText"/>
      </w:pPr>
      <w:r>
        <w:rPr>
          <w:rFonts w:ascii="IRNazanin" w:hAnsi="IRNazanin" w:eastAsia="IRNazanin" w:cs="IRNazanin"/>
          <w:lang w:bidi="fa-IR"/>
          <w:color w:val="111111"/>
          <w:sz w:val="28"/>
          <w:szCs w:val="28"/>
          <w:rtl/>
        </w:rPr>
        <w:t xml:space="preserve">باستصحاب عدم تلک اللوازم و المعاملة معها علی ما یأتی فی الاستصحابین المتعارضین </w:t>
      </w:r>
      <w:r>
        <w:rPr>
          <w:rStyle w:val="FootnoteReference"/>
        </w:rPr>
        <w:footnoteReference w:id="2732"/>
      </w:r>
      <w:r>
        <w:rPr>
          <w:rFonts w:ascii="IRNazanin" w:hAnsi="IRNazanin" w:eastAsia="IRNazanin" w:cs="IRNazanin"/>
          <w:lang w:bidi="fa-IR"/>
          <w:color w:val="111111"/>
          <w:sz w:val="28"/>
          <w:szCs w:val="28"/>
          <w:rtl/>
        </w:rPr>
        <w:t xml:space="preserve">،لغی الاستصحاب فی الملزوم و انحصرت الفائدة فی استصحاب الأحکام التکلیفیّة التی یراد بالاستصحاب إبقاء أنفسها فی الزمان اللاحق.</w:t>
      </w:r>
    </w:p>
    <w:p>
      <w:pPr>
        <w:pStyle w:val="Heading6"/>
      </w:pPr>
      <w:bookmarkStart w:id="2161" w:name="_Toc1196"/>
      <w:r>
        <w:t>[عدم تمامیة الدلیل الثالث:]</w:t>
      </w:r>
      <w:bookmarkEnd w:id="2161"/>
    </w:p>
    <w:p>
      <w:pPr>
        <w:pStyle w:val="BookText"/>
      </w:pPr>
      <w:r>
        <w:rPr>
          <w:rFonts w:ascii="IRNazanin" w:hAnsi="IRNazanin" w:eastAsia="IRNazanin" w:cs="IRNazanin"/>
          <w:lang w:bidi="fa-IR"/>
          <w:color w:val="111111"/>
          <w:sz w:val="28"/>
          <w:szCs w:val="28"/>
          <w:rtl/>
        </w:rPr>
        <w:t xml:space="preserve">و یرد علیه:منع عدم الحاجة إلی الاستصحاب فی الآثار السابقة؛ بناء علی أنّ إجراء الاستصحاب فی نفس تلک الآثار موقوف علی إحراز الموضوع لها و هو مشکوک فیه،فلا بدّ </w:t>
      </w:r>
      <w:r>
        <w:rPr>
          <w:rStyle w:val="FootnoteReference"/>
        </w:rPr>
        <w:footnoteReference w:id="2733"/>
      </w:r>
      <w:r>
        <w:rPr>
          <w:rFonts w:ascii="IRNazanin" w:hAnsi="IRNazanin" w:eastAsia="IRNazanin" w:cs="IRNazanin"/>
          <w:lang w:bidi="fa-IR"/>
          <w:color w:val="111111"/>
          <w:sz w:val="28"/>
          <w:szCs w:val="28"/>
          <w:rtl/>
        </w:rPr>
        <w:t xml:space="preserve">من استصحاب الموضوع،إمّا لیترتّب علیه تلک الآثار،فلا یحتاج إلی استصحاب أنفسها المتوقّفة علی بقاء الموضوع یقینا،کما حقّقنا سابقا فی مسألة اشتراط بقاء الموضوع </w:t>
      </w:r>
      <w:r>
        <w:rPr>
          <w:rStyle w:val="FootnoteReference"/>
        </w:rPr>
        <w:footnoteReference w:id="2734"/>
      </w:r>
      <w:r>
        <w:rPr>
          <w:rFonts w:ascii="IRNazanin" w:hAnsi="IRNazanin" w:eastAsia="IRNazanin" w:cs="IRNazanin"/>
          <w:lang w:bidi="fa-IR"/>
          <w:color w:val="111111"/>
          <w:sz w:val="28"/>
          <w:szCs w:val="28"/>
          <w:rtl/>
        </w:rPr>
        <w:t xml:space="preserve">،و إمّا لتحصیل شرط الاستصحاب فی نفس تلک الآثار،کما توهّمه بعض فیما قدّمناه سابقا </w:t>
      </w:r>
      <w:r>
        <w:rPr>
          <w:rStyle w:val="FootnoteReference"/>
        </w:rPr>
        <w:footnoteReference w:id="2735"/>
      </w:r>
      <w:r>
        <w:rPr>
          <w:rFonts w:ascii="IRNazanin" w:hAnsi="IRNazanin" w:eastAsia="IRNazanin" w:cs="IRNazanin"/>
          <w:lang w:bidi="fa-IR"/>
          <w:color w:val="111111"/>
          <w:sz w:val="28"/>
          <w:szCs w:val="28"/>
          <w:rtl/>
        </w:rPr>
        <w:t xml:space="preserve">:من أنّ بعضهم تخیّل أنّ موضوع المستصحب یحرز بالاستصحاب فیستصحب.</w:t>
      </w:r>
    </w:p>
    <w:p>
      <w:pPr>
        <w:pStyle w:val="BookText"/>
      </w:pPr>
      <w:r>
        <w:rPr>
          <w:rFonts w:ascii="IRNazanin" w:hAnsi="IRNazanin" w:eastAsia="IRNazanin" w:cs="IRNazanin"/>
          <w:lang w:bidi="fa-IR"/>
          <w:color w:val="111111"/>
          <w:sz w:val="28"/>
          <w:szCs w:val="28"/>
          <w:rtl/>
        </w:rPr>
        <w:t xml:space="preserve">و الحاصل:أنّ الاستصحاب فی الملزومات محتاج إلیه علی کلّ تقدیر.</w:t>
      </w:r>
    </w:p>
    <w:p>
      <w:pPr>
        <w:pStyle w:val="Heading6"/>
      </w:pPr>
      <w:bookmarkStart w:id="2162" w:name="_Toc1197"/>
      <w:r>
        <w:t>[الدلیل ] الرابع:أنّ المستفاد من الأخبار عدم الاعتبار بالیقین السابق فی مورد الشکّ المسبّب.</w:t>
      </w:r>
      <w:bookmarkEnd w:id="2162"/>
    </w:p>
    <w:p>
      <w:pPr>
        <w:pStyle w:val="BookText"/>
      </w:pPr>
      <w:r>
        <w:rPr>
          <w:rFonts w:ascii="IRNazanin" w:hAnsi="IRNazanin" w:eastAsia="IRNazanin" w:cs="IRNazanin"/>
          <w:lang w:bidi="fa-IR"/>
          <w:color w:val="111111"/>
          <w:sz w:val="28"/>
          <w:szCs w:val="28"/>
          <w:rtl/>
        </w:rPr>
        <w:t xml:space="preserve">بیان ذلک:أنّ الإمام علیه السّلام علّل وجوب البناء علی الوضوء</w:t>
      </w:r>
    </w:p>
    <w:p>
      <w:pPr>
        <w:pStyle w:val="BookText"/>
      </w:pPr>
      <w:r>
        <w:rPr>
          <w:rFonts w:ascii="IRNazanin" w:hAnsi="IRNazanin" w:eastAsia="IRNazanin" w:cs="IRNazanin"/>
          <w:lang w:bidi="fa-IR"/>
          <w:color w:val="111111"/>
          <w:sz w:val="28"/>
          <w:szCs w:val="28"/>
          <w:rtl/>
        </w:rPr>
        <w:t xml:space="preserve">[شماره صفحه واقعی : 399]
</w:t>
      </w:r>
    </w:p>
    <w:p>
      <w:pPr>
        <w:sectPr>
          <w:footerReference w:type="default" r:id="rId911"/>
          <w:footnotePr>
            <w:numStart w:val="1"/>
            <w:numRestart w:val="eachPage"/>
          </w:footnotePr>
          <w:pgSz w:orient="portrait" w:w="11905.511811023622" w:h="16837.79527559055"/>
          <w:pgMar w:top="1440" w:right="1440" w:bottom="1440" w:left="1440" w:header="720" w:footer="720" w:gutter="0"/>
          <w:cols w:num="1" w:space="720"/>
        </w:sectPr>
      </w:pPr>
    </w:p>
    <w:bookmarkStart w:id="576" w:name="pg14411_143293"/>
    <w:bookmarkEnd w:id="576"/>
    <w:p>
      <w:pPr>
        <w:pStyle w:val="BookText"/>
      </w:pPr>
      <w:r>
        <w:rPr>
          <w:rFonts w:ascii="IRNazanin" w:hAnsi="IRNazanin" w:eastAsia="IRNazanin" w:cs="IRNazanin"/>
          <w:lang w:bidi="fa-IR"/>
          <w:color w:val="111111"/>
          <w:sz w:val="28"/>
          <w:szCs w:val="28"/>
          <w:rtl/>
        </w:rPr>
        <w:t xml:space="preserve">السابق فی صحیحة زرارة،بمجرّد کونه متیقّنا سابقا غیر متیقّن الارتفاع فی اللاحق.و بعبارة اخری:علّل بقاء الطهارة المستلزم لجواز الدخول فی الصلاة بمجرّد الاستصحاب.و من المعلوم أنّ مقتضی استصحاب الاشتغال بالصلاة عدم براءة الذمّة بهذه الصلاة،حتّی أنّ بعضهم </w:t>
      </w:r>
      <w:r>
        <w:rPr>
          <w:rStyle w:val="FootnoteReference"/>
        </w:rPr>
        <w:footnoteReference w:id="2736"/>
      </w:r>
      <w:r>
        <w:rPr>
          <w:rFonts w:ascii="IRNazanin" w:hAnsi="IRNazanin" w:eastAsia="IRNazanin" w:cs="IRNazanin"/>
          <w:lang w:bidi="fa-IR"/>
          <w:color w:val="111111"/>
          <w:sz w:val="28"/>
          <w:szCs w:val="28"/>
          <w:rtl/>
        </w:rPr>
        <w:t xml:space="preserve">جعل استصحاب الطهارة و هذا الاستصحاب من الاستصحابین المتعارضین، فلو لا عدم جریان هذا الاستصحاب،و انحصار الاستصحاب فی المقام باستصحاب الطهارة لم یصحّ تعلیل المضیّ علی الطهارة بنفس الاستصحاب؛ لأنّ تعلیل تقدیم أحد الشیئین علی الآخر بأمر مشترک بینهما قبیح،بل أقبح من الترجیح بلا مرجّح.</w:t>
      </w:r>
    </w:p>
    <w:p>
      <w:pPr>
        <w:pStyle w:val="Heading6"/>
      </w:pPr>
      <w:bookmarkStart w:id="2163" w:name="_Toc1198"/>
      <w:r>
        <w:t>[لا تأمل فی ترجیح الاستصحاب السببی:]</w:t>
      </w:r>
      <w:bookmarkEnd w:id="2163"/>
    </w:p>
    <w:p>
      <w:pPr>
        <w:pStyle w:val="BookText"/>
      </w:pPr>
      <w:r>
        <w:rPr>
          <w:rFonts w:ascii="IRNazanin" w:hAnsi="IRNazanin" w:eastAsia="IRNazanin" w:cs="IRNazanin"/>
          <w:lang w:bidi="fa-IR"/>
          <w:color w:val="111111"/>
          <w:sz w:val="28"/>
          <w:szCs w:val="28"/>
          <w:rtl/>
        </w:rPr>
        <w:t xml:space="preserve">و بالجملة:فأری المسألة غیر محتاجة إلی إتعاب النظر؛و لذا لا یتأمّل العامّی بعد إفتائه باستصحاب الطهارة فی الماء المشکوک،فی رفع الحدث و الخبث به و بیعه و شرائه و ترتیب الآثار المسبوقة بالعدم علیه.</w:t>
      </w:r>
    </w:p>
    <w:p>
      <w:pPr>
        <w:pStyle w:val="BookText"/>
      </w:pPr>
      <w:r>
        <w:rPr>
          <w:rFonts w:ascii="IRNazanin" w:hAnsi="IRNazanin" w:eastAsia="IRNazanin" w:cs="IRNazanin"/>
          <w:lang w:bidi="fa-IR"/>
          <w:color w:val="111111"/>
          <w:sz w:val="28"/>
          <w:szCs w:val="28"/>
          <w:rtl/>
        </w:rPr>
        <w:t xml:space="preserve">هذا کلّه إذا عملنا بالاستصحاب </w:t>
      </w:r>
      <w:r>
        <w:rPr>
          <w:rStyle w:val="FootnoteReference"/>
        </w:rPr>
        <w:footnoteReference w:id="2737"/>
      </w:r>
      <w:r>
        <w:rPr>
          <w:rFonts w:ascii="IRNazanin" w:hAnsi="IRNazanin" w:eastAsia="IRNazanin" w:cs="IRNazanin"/>
          <w:lang w:bidi="fa-IR"/>
          <w:color w:val="111111"/>
          <w:sz w:val="28"/>
          <w:szCs w:val="28"/>
          <w:rtl/>
        </w:rPr>
        <w:t xml:space="preserve">من باب الأخبار.</w:t>
      </w:r>
    </w:p>
    <w:p>
      <w:pPr>
        <w:pStyle w:val="Heading6"/>
      </w:pPr>
      <w:bookmarkStart w:id="2164" w:name="_Toc1199"/>
      <w:r>
        <w:t>[لو عملنا بالاستصحاب من باب الظنّ فالحکم أوضح:]</w:t>
      </w:r>
      <w:bookmarkEnd w:id="2164"/>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 أمّا لو عملنا به من باب الظنّ،فلا ینبغی الارتیاب فیما ذکرنا؛ لأنّ الظنّ بعدم اللازم مع فرض الظنّ بالملزوم محال عقلا.فإذا فرض حصول الظنّ بطهارة الماء عند الشکّ،فیلزمه عقلا الظنّ بزوال النجاسة عن الثوب.و الشکّ فی طهارة الماء و نجاسة الثوب و إن کانا فی زمان واحد،إلاّ أنّ الأوّل لمّا کان سببا للثانی،کان حال الذهن فی الثانی تابعا لحاله بالنسبة إلی الأوّل،فلا بدّ من حصول الظنّ بعدم النجاسة فی</w:t>
      </w:r>
    </w:p>
    <w:p>
      <w:pPr>
        <w:pStyle w:val="BookText"/>
      </w:pPr>
      <w:r>
        <w:rPr>
          <w:rFonts w:ascii="IRNazanin" w:hAnsi="IRNazanin" w:eastAsia="IRNazanin" w:cs="IRNazanin"/>
          <w:lang w:bidi="fa-IR"/>
          <w:color w:val="111111"/>
          <w:sz w:val="28"/>
          <w:szCs w:val="28"/>
          <w:rtl/>
        </w:rPr>
        <w:t xml:space="preserve">[شماره صفحه واقعی : 400]
</w:t>
      </w:r>
    </w:p>
    <w:p>
      <w:pPr>
        <w:sectPr>
          <w:footerReference w:type="default" r:id="rId912"/>
          <w:footnotePr>
            <w:numStart w:val="1"/>
            <w:numRestart w:val="eachPage"/>
          </w:footnotePr>
          <w:pgSz w:orient="portrait" w:w="11905.511811023622" w:h="16837.79527559055"/>
          <w:pgMar w:top="1440" w:right="1440" w:bottom="1440" w:left="1440" w:header="720" w:footer="720" w:gutter="0"/>
          <w:cols w:num="1" w:space="720"/>
        </w:sectPr>
      </w:pPr>
    </w:p>
    <w:bookmarkStart w:id="577" w:name="pg14411_143294"/>
    <w:bookmarkEnd w:id="577"/>
    <w:p>
      <w:pPr>
        <w:pStyle w:val="BookText"/>
      </w:pPr>
      <w:r>
        <w:rPr>
          <w:rFonts w:ascii="IRNazanin" w:hAnsi="IRNazanin" w:eastAsia="IRNazanin" w:cs="IRNazanin"/>
          <w:lang w:bidi="fa-IR"/>
          <w:color w:val="111111"/>
          <w:sz w:val="28"/>
          <w:szCs w:val="28"/>
          <w:rtl/>
        </w:rPr>
        <w:t xml:space="preserve">المثال،فاختصّ الاستصحاب المفید للظنّ بما کان الشکّ فیه غیر تابع لشکّ آخر یوجب الظنّ،فافهم؛فإنّه لا یخلو عن دقّة.</w:t>
      </w:r>
    </w:p>
    <w:p>
      <w:pPr>
        <w:pStyle w:val="BookText"/>
      </w:pPr>
      <w:r>
        <w:rPr>
          <w:rFonts w:ascii="IRNazanin" w:hAnsi="IRNazanin" w:eastAsia="IRNazanin" w:cs="IRNazanin"/>
          <w:lang w:bidi="fa-IR"/>
          <w:color w:val="111111"/>
          <w:sz w:val="28"/>
          <w:szCs w:val="28"/>
          <w:rtl/>
        </w:rPr>
        <w:t xml:space="preserve">و یشهد لما ذکرنا:أنّ العقلاء البانین علی الاستصحاب فی امور معاشهم،بل معادهم لا یلتفتون فی تلک المقامات إلی هذا الاستصحاب أبدا،و لو نبّههم أحد لم یعتنوا،فیعزلون حصّة الغائب من المیراث، و یصحّحون معاملة وکلائه،و یؤدّون عنه فطرته إذا کان عیالهم،إلی غیر ذلک من موارد ترتیب الآثار الحادثة علی المستصحب.</w:t>
      </w:r>
    </w:p>
    <w:p>
      <w:pPr>
        <w:pStyle w:val="Heading6"/>
      </w:pPr>
      <w:bookmarkStart w:id="2165" w:name="_Toc1200"/>
      <w:r>
        <w:t>[ظهور الخلاف فی المسألة عن جماعة:]</w:t>
      </w:r>
      <w:bookmarkEnd w:id="2165"/>
    </w:p>
    <w:p>
      <w:pPr>
        <w:pStyle w:val="BookText"/>
      </w:pPr>
      <w:r>
        <w:rPr>
          <w:rFonts w:ascii="IRNazanin" w:hAnsi="IRNazanin" w:eastAsia="IRNazanin" w:cs="IRNazanin"/>
          <w:lang w:bidi="fa-IR"/>
          <w:color w:val="111111"/>
          <w:sz w:val="28"/>
          <w:szCs w:val="28"/>
          <w:rtl/>
        </w:rPr>
        <w:t xml:space="preserve">ثمّ إنّه یظهر الخلاف فی المسألة من جماعة،منهم:الشیخ،و المحقّق، و العلاّمة فی بعض أقواله،و جماعة من متأخّری المتأخّرین </w:t>
      </w:r>
      <w:r>
        <w:rPr>
          <w:rStyle w:val="FootnoteReference"/>
        </w:rPr>
        <w:footnoteReference w:id="27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فقد ذهب الشیخ فی المبسوط إلی عدم وجوب فطرة العبد إذا لم یعلم خبره </w:t>
      </w:r>
      <w:r>
        <w:rPr>
          <w:rStyle w:val="FootnoteReference"/>
        </w:rPr>
        <w:footnoteReference w:id="27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استحسنه المحقّق فی المعتبر </w:t>
      </w:r>
      <w:r>
        <w:rPr>
          <w:rStyle w:val="FootnoteReference"/>
        </w:rPr>
        <w:footnoteReference w:id="2740"/>
      </w:r>
      <w:r>
        <w:rPr>
          <w:rFonts w:ascii="IRNazanin" w:hAnsi="IRNazanin" w:eastAsia="IRNazanin" w:cs="IRNazanin"/>
          <w:lang w:bidi="fa-IR"/>
          <w:color w:val="111111"/>
          <w:sz w:val="28"/>
          <w:szCs w:val="28"/>
          <w:rtl/>
        </w:rPr>
        <w:t xml:space="preserve">،مجیبا عن الاستدلال للوجوب بأصالة البقاء،بأنّها معارضة بأصالة عدم الوجوب،و عن تنظیر وجوب الفطرة عنه بجواز عتقه فی الکفّارة،بالمنع عن الأصل تارة،و الفرق بینهما اخری.</w:t>
      </w:r>
    </w:p>
    <w:p>
      <w:pPr>
        <w:pStyle w:val="BookText"/>
      </w:pPr>
      <w:r>
        <w:rPr>
          <w:rFonts w:ascii="IRNazanin" w:hAnsi="IRNazanin" w:eastAsia="IRNazanin" w:cs="IRNazanin"/>
          <w:lang w:bidi="fa-IR"/>
          <w:color w:val="111111"/>
          <w:sz w:val="28"/>
          <w:szCs w:val="28"/>
          <w:rtl/>
        </w:rPr>
        <w:t xml:space="preserve">و قد صرّح فی اصول المعتبر </w:t>
      </w:r>
      <w:r>
        <w:rPr>
          <w:rStyle w:val="FootnoteReference"/>
        </w:rPr>
        <w:footnoteReference w:id="2741"/>
      </w:r>
      <w:r>
        <w:rPr>
          <w:rFonts w:ascii="IRNazanin" w:hAnsi="IRNazanin" w:eastAsia="IRNazanin" w:cs="IRNazanin"/>
          <w:lang w:bidi="fa-IR"/>
          <w:color w:val="111111"/>
          <w:sz w:val="28"/>
          <w:szCs w:val="28"/>
          <w:rtl/>
        </w:rPr>
        <w:t xml:space="preserve">بأنّ استصحاب الطهارة عند الشکّ فی الحدث معارض باستصحاب عدم براءة الذمّة بالصلاة بالطهارة</w:t>
      </w:r>
    </w:p>
    <w:p>
      <w:pPr>
        <w:pStyle w:val="BookText"/>
      </w:pPr>
      <w:r>
        <w:rPr>
          <w:rFonts w:ascii="IRNazanin" w:hAnsi="IRNazanin" w:eastAsia="IRNazanin" w:cs="IRNazanin"/>
          <w:lang w:bidi="fa-IR"/>
          <w:color w:val="111111"/>
          <w:sz w:val="28"/>
          <w:szCs w:val="28"/>
          <w:rtl/>
        </w:rPr>
        <w:t xml:space="preserve">[شماره صفحه واقعی : 401]
</w:t>
      </w:r>
    </w:p>
    <w:p>
      <w:pPr>
        <w:sectPr>
          <w:footerReference w:type="default" r:id="rId9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المستصحبة.و قد عرفت </w:t>
      </w:r>
      <w:r>
        <w:rPr>
          <w:rStyle w:val="FootnoteReference"/>
        </w:rPr>
        <w:footnoteReference w:id="2742"/>
      </w:r>
      <w:r>
        <w:rPr>
          <w:rFonts w:ascii="IRNazanin" w:hAnsi="IRNazanin" w:eastAsia="IRNazanin" w:cs="IRNazanin"/>
          <w:lang w:bidi="fa-IR"/>
          <w:color w:val="111111"/>
          <w:sz w:val="28"/>
          <w:szCs w:val="28"/>
          <w:rtl/>
        </w:rPr>
        <w:t xml:space="preserve">أنّ المنصوص فی صحیحة زرارة العمل باستصحاب الطهارة علی وجه یظهر منه خلوّه عن المعارض،و عدم جریان استصحاب الاشتغال.</w:t>
      </w:r>
    </w:p>
    <w:p>
      <w:pPr>
        <w:pStyle w:val="BookText"/>
      </w:pPr>
      <w:r>
        <w:rPr>
          <w:rFonts w:ascii="IRNazanin" w:hAnsi="IRNazanin" w:eastAsia="IRNazanin" w:cs="IRNazanin"/>
          <w:lang w:bidi="fa-IR"/>
          <w:color w:val="111111"/>
          <w:sz w:val="28"/>
          <w:szCs w:val="28"/>
          <w:rtl/>
        </w:rPr>
        <w:t xml:space="preserve">و حکی عن العلاّمة-فی بعض کتبه </w:t>
      </w:r>
      <w:r>
        <w:rPr>
          <w:rStyle w:val="FootnoteReference"/>
        </w:rPr>
        <w:footnoteReference w:id="2743"/>
      </w:r>
      <w:r>
        <w:rPr>
          <w:rFonts w:ascii="IRNazanin" w:hAnsi="IRNazanin" w:eastAsia="IRNazanin" w:cs="IRNazanin"/>
          <w:lang w:bidi="fa-IR"/>
          <w:color w:val="111111"/>
          <w:sz w:val="28"/>
          <w:szCs w:val="28"/>
          <w:rtl/>
        </w:rPr>
        <w:t xml:space="preserve">-الحکم بطهارة الماء القلیل الواقع فیه صید مرمیّ لم یعلم استناد موته إلی الرمی،لکنّه اختار فی غیر واحد من کتبه </w:t>
      </w:r>
      <w:r>
        <w:rPr>
          <w:rStyle w:val="FootnoteReference"/>
        </w:rPr>
        <w:footnoteReference w:id="2744"/>
      </w:r>
      <w:r>
        <w:rPr>
          <w:rFonts w:ascii="IRNazanin" w:hAnsi="IRNazanin" w:eastAsia="IRNazanin" w:cs="IRNazanin"/>
          <w:lang w:bidi="fa-IR"/>
          <w:color w:val="111111"/>
          <w:sz w:val="28"/>
          <w:szCs w:val="28"/>
          <w:rtl/>
        </w:rPr>
        <w:t xml:space="preserve">الحکم بنجاسة الماء،و تبعه علیه الشهیدان </w:t>
      </w:r>
      <w:r>
        <w:rPr>
          <w:rStyle w:val="FootnoteReference"/>
        </w:rPr>
        <w:footnoteReference w:id="2745"/>
      </w:r>
      <w:r>
        <w:rPr>
          <w:rFonts w:ascii="IRNazanin" w:hAnsi="IRNazanin" w:eastAsia="IRNazanin" w:cs="IRNazanin"/>
          <w:lang w:bidi="fa-IR"/>
          <w:color w:val="111111"/>
          <w:sz w:val="28"/>
          <w:szCs w:val="28"/>
          <w:rtl/>
        </w:rPr>
        <w:t xml:space="preserve">و غیرهما </w:t>
      </w:r>
      <w:r>
        <w:rPr>
          <w:rStyle w:val="FootnoteReference"/>
        </w:rPr>
        <w:footnoteReference w:id="2746"/>
      </w:r>
      <w:r>
        <w:rPr>
          <w:rFonts w:ascii="IRNazanin" w:hAnsi="IRNazanin" w:eastAsia="IRNazanin" w:cs="IRNazanin"/>
          <w:lang w:bidi="fa-IR"/>
          <w:color w:val="111111"/>
          <w:sz w:val="28"/>
          <w:szCs w:val="28"/>
          <w:rtl/>
        </w:rPr>
        <w:t xml:space="preserve">.و هو المختار؛بناء علی ما عرفت تحقیقه </w:t>
      </w:r>
      <w:r>
        <w:rPr>
          <w:rStyle w:val="FootnoteReference"/>
        </w:rPr>
        <w:footnoteReference w:id="2747"/>
      </w:r>
      <w:r>
        <w:rPr>
          <w:rFonts w:ascii="IRNazanin" w:hAnsi="IRNazanin" w:eastAsia="IRNazanin" w:cs="IRNazanin"/>
          <w:lang w:bidi="fa-IR"/>
          <w:color w:val="111111"/>
          <w:sz w:val="28"/>
          <w:szCs w:val="28"/>
          <w:rtl/>
        </w:rPr>
        <w:t xml:space="preserve">،و أنّه إذا ثبت بأصالة عدم التذکیة موت الصید جری علیه جمیع أحکام المیتة التی منها انفعال الماء الملاقی له.</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نعم ربما قیل </w:t>
      </w:r>
      <w:r>
        <w:rPr>
          <w:rStyle w:val="FootnoteReference"/>
        </w:rPr>
        <w:footnoteReference w:id="2748"/>
      </w:r>
      <w:r>
        <w:rPr>
          <w:rFonts w:ascii="IRNazanin" w:hAnsi="IRNazanin" w:eastAsia="IRNazanin" w:cs="IRNazanin"/>
          <w:lang w:bidi="fa-IR"/>
          <w:color w:val="111111"/>
          <w:sz w:val="28"/>
          <w:szCs w:val="28"/>
          <w:rtl/>
        </w:rPr>
        <w:t xml:space="preserve">:إنّ تحریم الصید إن کان لعدم العلم بالتذکیة فلا یوجب تنجیس الملاقی،و إن کان للحکم علیه شرعا بعدمها اتّجه الحکم بالتنجیس.</w:t>
      </w:r>
    </w:p>
    <w:p>
      <w:pPr>
        <w:pStyle w:val="BookText"/>
      </w:pPr>
      <w:r>
        <w:rPr>
          <w:rFonts w:ascii="IRNazanin" w:hAnsi="IRNazanin" w:eastAsia="IRNazanin" w:cs="IRNazanin"/>
          <w:lang w:bidi="fa-IR"/>
          <w:color w:val="111111"/>
          <w:sz w:val="28"/>
          <w:szCs w:val="28"/>
          <w:rtl/>
        </w:rPr>
        <w:t xml:space="preserve">و مرجع الأوّل إلی کون حرمة الصید مع الشکّ فی التذکیة للتعبّد؛</w:t>
      </w:r>
    </w:p>
    <w:p>
      <w:pPr>
        <w:pStyle w:val="BookText"/>
      </w:pPr>
      <w:r>
        <w:rPr>
          <w:rFonts w:ascii="IRNazanin" w:hAnsi="IRNazanin" w:eastAsia="IRNazanin" w:cs="IRNazanin"/>
          <w:lang w:bidi="fa-IR"/>
          <w:color w:val="111111"/>
          <w:sz w:val="28"/>
          <w:szCs w:val="28"/>
          <w:rtl/>
        </w:rPr>
        <w:t xml:space="preserve">[شماره صفحه واقعی : 402]
</w:t>
      </w:r>
    </w:p>
    <w:p>
      <w:pPr>
        <w:sectPr>
          <w:footerReference w:type="default" r:id="rId914"/>
          <w:footnotePr>
            <w:numStart w:val="1"/>
            <w:numRestart w:val="eachPage"/>
          </w:footnotePr>
          <w:pgSz w:orient="portrait" w:w="11905.511811023622" w:h="16837.79527559055"/>
          <w:pgMar w:top="1440" w:right="1440" w:bottom="1440" w:left="1440" w:header="720" w:footer="720" w:gutter="0"/>
          <w:cols w:num="1" w:space="720"/>
        </w:sectPr>
      </w:pPr>
    </w:p>
    <w:bookmarkStart w:id="578" w:name="pg14411_143296"/>
    <w:bookmarkEnd w:id="578"/>
    <w:p>
      <w:pPr>
        <w:pStyle w:val="BookText"/>
      </w:pPr>
      <w:r>
        <w:rPr>
          <w:rFonts w:ascii="Amiri" w:hAnsi="Amiri" w:eastAsia="Amiri" w:cs="Amiri"/>
          <w:lang w:bidi="ar-SA"/>
          <w:color w:val="111111"/>
          <w:sz w:val="28"/>
          <w:szCs w:val="28"/>
          <w:rtl/>
        </w:rPr>
        <w:t xml:space="preserve">من جهة الأخبار المعلّلة </w:t>
      </w:r>
      <w:r>
        <w:rPr>
          <w:rStyle w:val="FootnoteReference"/>
        </w:rPr>
        <w:footnoteReference w:id="2749"/>
      </w:r>
      <w:r>
        <w:rPr>
          <w:rFonts w:ascii="IRNazanin" w:hAnsi="IRNazanin" w:eastAsia="IRNazanin" w:cs="IRNazanin"/>
          <w:lang w:bidi="fa-IR"/>
          <w:color w:val="111111"/>
          <w:sz w:val="28"/>
          <w:szCs w:val="28"/>
          <w:rtl/>
        </w:rPr>
        <w:t xml:space="preserve">لحرمة أکل المیتة بعدم العلم بالتذکیة </w:t>
      </w:r>
      <w:r>
        <w:rPr>
          <w:rStyle w:val="FootnoteReference"/>
        </w:rPr>
        <w:footnoteReference w:id="2750"/>
      </w:r>
      <w:r>
        <w:rPr>
          <w:rFonts w:ascii="IRNazanin" w:hAnsi="IRNazanin" w:eastAsia="IRNazanin" w:cs="IRNazanin"/>
          <w:lang w:bidi="fa-IR"/>
          <w:color w:val="111111"/>
          <w:sz w:val="28"/>
          <w:szCs w:val="28"/>
          <w:rtl/>
        </w:rPr>
        <w:t xml:space="preserve">.و هو حسن لو لم یترتّب علیه من أحکام المیتة إلاّ حرمة الأکل،و لا أظنّ أحدا یلتزمه،مع أنّ المستفاد من حرمة الأکل کونها میتة،لا التحریم تعبّدا؛و لذا استفید بعض ما یعتبر فی التذکیة من النهی عن الأکل بدونه </w:t>
      </w:r>
      <w:r>
        <w:rPr>
          <w:rStyle w:val="FootnoteReference"/>
        </w:rPr>
        <w:footnoteReference w:id="2751"/>
      </w:r>
      <w:r>
        <w:rPr>
          <w:rFonts w:ascii="Times New Roman" w:hAnsi="Times New Roman" w:eastAsia="Times New Roman" w:cs="Times New Roman"/>
          <w:lang w:val="en-US" w:bidi="en-US"/>
          <w:color w:val="111111"/>
          <w:sz w:val="28"/>
          <w:szCs w:val="28"/>
          <w:rtl/>
        </w:rPr>
        <w:t xml:space="preserve">.</w:t>
      </w:r>
    </w:p>
    <w:p>
      <w:pPr>
        <w:pStyle w:val="Heading6"/>
      </w:pPr>
      <w:bookmarkStart w:id="2166" w:name="_Toc1201"/>
      <w:r>
        <w:t>[تصریح بعضهم بالجمع بین الاستصحابین«السببی و المسبّبی»:]</w:t>
      </w:r>
      <w:bookmarkEnd w:id="2166"/>
    </w:p>
    <w:p>
      <w:pPr>
        <w:pStyle w:val="BookText"/>
      </w:pPr>
      <w:r>
        <w:rPr>
          <w:rFonts w:ascii="IRNazanin" w:hAnsi="IRNazanin" w:eastAsia="IRNazanin" w:cs="IRNazanin"/>
          <w:lang w:bidi="fa-IR"/>
          <w:color w:val="111111"/>
          <w:sz w:val="28"/>
          <w:szCs w:val="28"/>
          <w:rtl/>
        </w:rPr>
        <w:t xml:space="preserve">ثمّ إنّ بعض من یری التعارض بین الاستصحابین فی المقام </w:t>
      </w:r>
      <w:r>
        <w:rPr>
          <w:rStyle w:val="FootnoteReference"/>
        </w:rPr>
        <w:footnoteReference w:id="2752"/>
      </w:r>
      <w:r>
        <w:rPr>
          <w:rFonts w:ascii="IRNazanin" w:hAnsi="IRNazanin" w:eastAsia="IRNazanin" w:cs="IRNazanin"/>
          <w:lang w:bidi="fa-IR"/>
          <w:color w:val="111111"/>
          <w:sz w:val="28"/>
          <w:szCs w:val="28"/>
          <w:rtl/>
        </w:rPr>
        <w:t xml:space="preserve">صرّح بالجمع بینهما،فحکم فی مسألة الصید بکونه میتة و الماء طاهرا.</w:t>
      </w:r>
    </w:p>
    <w:p>
      <w:pPr>
        <w:pStyle w:val="Heading6"/>
      </w:pPr>
      <w:bookmarkStart w:id="2167" w:name="_Toc1202"/>
      <w:r>
        <w:t>[عدم صحّة الجمع:]</w:t>
      </w:r>
      <w:bookmarkEnd w:id="2167"/>
    </w:p>
    <w:p>
      <w:pPr>
        <w:pStyle w:val="BookText"/>
      </w:pPr>
      <w:r>
        <w:rPr>
          <w:rFonts w:ascii="IRNazanin" w:hAnsi="IRNazanin" w:eastAsia="IRNazanin" w:cs="IRNazanin"/>
          <w:lang w:bidi="fa-IR"/>
          <w:color w:val="111111"/>
          <w:sz w:val="28"/>
          <w:szCs w:val="28"/>
          <w:rtl/>
        </w:rPr>
        <w:t xml:space="preserve">و یرد علیه:أنّه لا وجه </w:t>
      </w:r>
      <w:r>
        <w:rPr>
          <w:rStyle w:val="FootnoteReference"/>
        </w:rPr>
        <w:footnoteReference w:id="2753"/>
      </w:r>
      <w:r>
        <w:rPr>
          <w:rFonts w:ascii="IRNazanin" w:hAnsi="IRNazanin" w:eastAsia="IRNazanin" w:cs="IRNazanin"/>
          <w:lang w:bidi="fa-IR"/>
          <w:color w:val="111111"/>
          <w:sz w:val="28"/>
          <w:szCs w:val="28"/>
          <w:rtl/>
        </w:rPr>
        <w:t xml:space="preserve">للجمع فی مثل هذین الاستصحابین؛ فإنّ الحکم بطهارة الماء إن کان بمعنی ترتیب آثار الطهارة من رفع الحدث و الخبث به،فلا ریب أنّ نسبة استصحاب بقاء الحدث و الخبث إلی استصحاب طهارة الماء،بعینها نسبة استصحاب طهارة الماء إلی استصحاب عدم التذکیة.و کذا الحکم بموت الصید،فإنّه إن کان بمعنی انفعال الملاقی له بعد ذلک و المنع عن استصحابه فی الصلاة،فلا ریب أنّ استصحاب طهارة الملاقی و استصحاب جواز الصلاة معه قبل زهاق</w:t>
      </w:r>
    </w:p>
    <w:p>
      <w:pPr>
        <w:pStyle w:val="BookText"/>
      </w:pPr>
      <w:r>
        <w:rPr>
          <w:rFonts w:ascii="IRNazanin" w:hAnsi="IRNazanin" w:eastAsia="IRNazanin" w:cs="IRNazanin"/>
          <w:lang w:bidi="fa-IR"/>
          <w:color w:val="111111"/>
          <w:sz w:val="28"/>
          <w:szCs w:val="28"/>
          <w:rtl/>
        </w:rPr>
        <w:t xml:space="preserve">[شماره صفحه واقعی : 403]
</w:t>
      </w:r>
    </w:p>
    <w:p>
      <w:pPr>
        <w:sectPr>
          <w:footerReference w:type="default" r:id="rId9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روحه،نسبتهما إلیه کنسبة استصحاب طهارة الماء إلیه.</w:t>
      </w:r>
    </w:p>
    <w:p>
      <w:pPr>
        <w:pStyle w:val="BookText"/>
      </w:pPr>
      <w:r>
        <w:rPr>
          <w:rFonts w:ascii="IRNazanin" w:hAnsi="IRNazanin" w:eastAsia="IRNazanin" w:cs="IRNazanin"/>
          <w:lang w:bidi="fa-IR"/>
          <w:color w:val="111111"/>
          <w:sz w:val="28"/>
          <w:szCs w:val="28"/>
          <w:rtl/>
        </w:rPr>
        <w:t xml:space="preserve">و ممّا ذکرنا یظهر النظر فیما ذکره فی الإیضاح-تقریبا للجمع بین الأصلین-فی الصید الواقع فی الماء القلیل،من أنّ لأصالة الطهارة حکمین:طهارة الماء،و حلّ الصید،و لأصالة الموت حکمان:لحوق أحکام المیتة للصید،و نجاسة الماء،فیعمل بکلّ من الأصلین فی نفسه لأصالته </w:t>
      </w:r>
      <w:r>
        <w:rPr>
          <w:rStyle w:val="FootnoteReference"/>
        </w:rPr>
        <w:footnoteReference w:id="2754"/>
      </w:r>
      <w:r>
        <w:rPr>
          <w:rFonts w:ascii="IRNazanin" w:hAnsi="IRNazanin" w:eastAsia="IRNazanin" w:cs="IRNazanin"/>
          <w:lang w:bidi="fa-IR"/>
          <w:color w:val="111111"/>
          <w:sz w:val="28"/>
          <w:szCs w:val="28"/>
          <w:rtl/>
        </w:rPr>
        <w:t xml:space="preserve">،دون الآخر لفرعیّته فیه </w:t>
      </w:r>
      <w:r>
        <w:rPr>
          <w:rStyle w:val="FootnoteReference"/>
        </w:rPr>
        <w:footnoteReference w:id="2755"/>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لیت شعری!هل نجاسة الماء إلاّ من أحکام المیتة؟فأین الأصالة و الفرعیّة؟</w:t>
      </w:r>
    </w:p>
    <w:p>
      <w:pPr>
        <w:pStyle w:val="BookText"/>
      </w:pPr>
      <w:r>
        <w:rPr>
          <w:rFonts w:ascii="IRNazanin" w:hAnsi="IRNazanin" w:eastAsia="IRNazanin" w:cs="IRNazanin"/>
          <w:lang w:bidi="fa-IR"/>
          <w:color w:val="111111"/>
          <w:sz w:val="28"/>
          <w:szCs w:val="28"/>
          <w:rtl/>
        </w:rPr>
        <w:t xml:space="preserve">و تبعه فی ذلک بعض من عاصرناه </w:t>
      </w:r>
      <w:r>
        <w:rPr>
          <w:rStyle w:val="FootnoteReference"/>
        </w:rPr>
        <w:footnoteReference w:id="2756"/>
      </w:r>
      <w:r>
        <w:rPr>
          <w:rFonts w:ascii="IRNazanin" w:hAnsi="IRNazanin" w:eastAsia="IRNazanin" w:cs="IRNazanin"/>
          <w:lang w:bidi="fa-IR"/>
          <w:color w:val="111111"/>
          <w:sz w:val="28"/>
          <w:szCs w:val="28"/>
          <w:rtl/>
        </w:rPr>
        <w:t xml:space="preserve">،فحکم فی الجلد المطروح بأصالة الطهارة و حرمة الصلاة فیه.و یظهر ضعف ذلک ممّا تقدّم </w:t>
      </w:r>
      <w:r>
        <w:rPr>
          <w:rStyle w:val="FootnoteReference"/>
        </w:rPr>
        <w:footnoteReference w:id="27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أضعف من ذلک حکمه فی الثوب الرطب المستصحب النجاسة المنشور علی الأرض،بطهارة الأرض؛إذ لا دلیل علی أنّ النجس بالاستصحاب منجّس </w:t>
      </w:r>
      <w:r>
        <w:rPr>
          <w:rStyle w:val="FootnoteReference"/>
        </w:rPr>
        <w:footnoteReference w:id="27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لیت شعری!إذا لم یکن النجس بالاستصحاب منجّسا، و لا الطاهر به مطهّرا،فکان کلّ ما ثبت بالاستصحاب لا دلیل علی ترتیب آثار الشیء الواقعیّ علیه؛لأنّ الأصل عدم تلک الآثار،فأیّ فائدة فی الاستصحاب؟!</w:t>
      </w:r>
    </w:p>
    <w:p>
      <w:pPr>
        <w:pStyle w:val="BookText"/>
      </w:pPr>
      <w:r>
        <w:rPr>
          <w:rFonts w:ascii="IRNazanin" w:hAnsi="IRNazanin" w:eastAsia="IRNazanin" w:cs="IRNazanin"/>
          <w:lang w:bidi="fa-IR"/>
          <w:color w:val="111111"/>
          <w:sz w:val="28"/>
          <w:szCs w:val="28"/>
          <w:rtl/>
        </w:rPr>
        <w:t xml:space="preserve">[شماره صفحه واقعی : 404]
</w:t>
      </w:r>
    </w:p>
    <w:p>
      <w:pPr>
        <w:sectPr>
          <w:footerReference w:type="default" r:id="rId916"/>
          <w:footnotePr>
            <w:numStart w:val="1"/>
            <w:numRestart w:val="eachPage"/>
          </w:footnotePr>
          <w:pgSz w:orient="portrait" w:w="11905.511811023622" w:h="16837.79527559055"/>
          <w:pgMar w:top="1440" w:right="1440" w:bottom="1440" w:left="1440" w:header="720" w:footer="720" w:gutter="0"/>
          <w:cols w:num="1" w:space="720"/>
        </w:sectPr>
      </w:pPr>
    </w:p>
    <w:bookmarkStart w:id="579" w:name="pg14411_143298"/>
    <w:bookmarkEnd w:id="579"/>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قال فی الوافیة فی شرائط الاستصحاب:</w:t>
      </w:r>
    </w:p>
    <w:p>
      <w:pPr>
        <w:pStyle w:val="BookText"/>
      </w:pPr>
      <w:r>
        <w:rPr>
          <w:rFonts w:ascii="IRNazanin" w:hAnsi="IRNazanin" w:eastAsia="IRNazanin" w:cs="IRNazanin"/>
          <w:lang w:bidi="fa-IR"/>
          <w:color w:val="111111"/>
          <w:sz w:val="28"/>
          <w:szCs w:val="28"/>
          <w:rtl/>
        </w:rPr>
        <w:t xml:space="preserve">الخامس:أن لا یکون هناک استصحاب آخر فی أمر ملزوم لعدم ذلک المستصحب.مثلا:إذا ثبت فی الشرع أنّ الحکم بکون الحیوان میتة یستلزم الحکم بنجاسة الماء القلیل الواقع ذلک الحیوان فیه،فلا یجوز الحکم باستصحاب طهارة الماء و لا نجاسة الحیوان،فی مسألة:«من رمی صیدا فغاب،ثمّ وجده فی ماء قلیل،یمکن استناد موته إلی الرمی و إلی الماء».و أنکر بعض الأصحاب </w:t>
      </w:r>
      <w:r>
        <w:rPr>
          <w:rStyle w:val="FootnoteReference"/>
        </w:rPr>
        <w:footnoteReference w:id="2759"/>
      </w:r>
      <w:r>
        <w:rPr>
          <w:rFonts w:ascii="IRNazanin" w:hAnsi="IRNazanin" w:eastAsia="IRNazanin" w:cs="IRNazanin"/>
          <w:lang w:bidi="fa-IR"/>
          <w:color w:val="111111"/>
          <w:sz w:val="28"/>
          <w:szCs w:val="28"/>
          <w:rtl/>
        </w:rPr>
        <w:t xml:space="preserve">ثبوت هذا التلازم و حکم بکلا الأصلین:بنجاسة الصید،و طهارة الماء </w:t>
      </w:r>
      <w:r>
        <w:rPr>
          <w:rStyle w:val="FootnoteReference"/>
        </w:rPr>
        <w:footnoteReference w:id="2760"/>
      </w:r>
      <w:r>
        <w:rPr>
          <w:rFonts w:ascii="IRNazanin" w:hAnsi="IRNazanin" w:eastAsia="IRNazanin" w:cs="IRNazanin"/>
          <w:lang w:bidi="fa-IR"/>
          <w:color w:val="111111"/>
          <w:sz w:val="28"/>
          <w:szCs w:val="28"/>
          <w:rtl/>
        </w:rPr>
        <w:t xml:space="preserve">،انتهی.</w:t>
      </w:r>
    </w:p>
    <w:p>
      <w:pPr>
        <w:pStyle w:val="Heading6"/>
      </w:pPr>
      <w:bookmarkStart w:id="2168" w:name="_Toc1203"/>
      <w:r>
        <w:t>[دعوی الإجماع علی تقدیم الاستصحاب الموضوعیّ علی الحکمیّ.]</w:t>
      </w:r>
      <w:bookmarkEnd w:id="2168"/>
    </w:p>
    <w:p>
      <w:pPr>
        <w:pStyle w:val="BookText"/>
      </w:pPr>
      <w:r>
        <w:rPr>
          <w:rFonts w:ascii="IRNazanin" w:hAnsi="IRNazanin" w:eastAsia="IRNazanin" w:cs="IRNazanin"/>
          <w:lang w:bidi="fa-IR"/>
          <w:color w:val="111111"/>
          <w:sz w:val="28"/>
          <w:szCs w:val="28"/>
          <w:rtl/>
        </w:rPr>
        <w:t xml:space="preserve">ثمّ اعلم:أنّه قد حکی بعض مشایخنا المعاصرین </w:t>
      </w:r>
      <w:r>
        <w:rPr>
          <w:rStyle w:val="FootnoteReference"/>
        </w:rPr>
        <w:footnoteReference w:id="2761"/>
      </w:r>
      <w:r>
        <w:rPr>
          <w:rFonts w:ascii="IRNazanin" w:hAnsi="IRNazanin" w:eastAsia="IRNazanin" w:cs="IRNazanin"/>
          <w:lang w:bidi="fa-IR"/>
          <w:color w:val="111111"/>
          <w:sz w:val="28"/>
          <w:szCs w:val="28"/>
          <w:rtl/>
        </w:rPr>
        <w:t xml:space="preserve">عن الشیخ علی فی حاشیة الروضة:دعوی الإجماع علی تقدیم الاستصحاب الموضوعیّ علی الحکمیّ.</w:t>
      </w:r>
    </w:p>
    <w:p>
      <w:pPr>
        <w:pStyle w:val="BookText"/>
      </w:pPr>
      <w:r>
        <w:rPr>
          <w:rFonts w:ascii="IRNazanin" w:hAnsi="IRNazanin" w:eastAsia="IRNazanin" w:cs="IRNazanin"/>
          <w:lang w:bidi="fa-IR"/>
          <w:color w:val="111111"/>
          <w:sz w:val="28"/>
          <w:szCs w:val="28"/>
          <w:rtl/>
        </w:rPr>
        <w:t xml:space="preserve">و لعلّها مستنبطة حدسا من بناء العلماء و استمرار السیرة علی ذلک، فلا یعارض أحد استصحاب کرّیة الماء باستصحاب بقاء النجاسة فیما یغسل به،و لا استصحاب القلّة باستصحاب طهارة الماء الملاقی للنجس، و لا استصحاب حیاة الموکّل باستصحاب فساد تصرّفات وکیله.</w:t>
      </w:r>
    </w:p>
    <w:p>
      <w:pPr>
        <w:pStyle w:val="BookText"/>
      </w:pPr>
      <w:r>
        <w:rPr>
          <w:rFonts w:ascii="Amiri" w:hAnsi="Amiri" w:eastAsia="Amiri" w:cs="Amiri"/>
          <w:lang w:bidi="ar-SA"/>
          <w:color w:val="111111"/>
          <w:sz w:val="28"/>
          <w:szCs w:val="28"/>
          <w:rtl/>
        </w:rPr>
        <w:t xml:space="preserve">لکنّک قد عرفت فیما تقدّم </w:t>
      </w:r>
      <w:r>
        <w:rPr>
          <w:rStyle w:val="FootnoteReference"/>
        </w:rPr>
        <w:footnoteReference w:id="2762"/>
      </w:r>
      <w:r>
        <w:rPr>
          <w:rFonts w:ascii="IRNazanin" w:hAnsi="IRNazanin" w:eastAsia="IRNazanin" w:cs="IRNazanin"/>
          <w:lang w:bidi="fa-IR"/>
          <w:color w:val="111111"/>
          <w:sz w:val="28"/>
          <w:szCs w:val="28"/>
          <w:rtl/>
        </w:rPr>
        <w:t xml:space="preserve">من الشیخ و المحقّق خلاف ذلک.</w:t>
      </w:r>
    </w:p>
    <w:p>
      <w:pPr>
        <w:pStyle w:val="BookText"/>
      </w:pPr>
      <w:r>
        <w:rPr>
          <w:rFonts w:ascii="IRNazanin" w:hAnsi="IRNazanin" w:eastAsia="IRNazanin" w:cs="IRNazanin"/>
          <w:lang w:bidi="fa-IR"/>
          <w:color w:val="111111"/>
          <w:sz w:val="28"/>
          <w:szCs w:val="28"/>
          <w:rtl/>
        </w:rPr>
        <w:t xml:space="preserve">هذا،مع أنّ الاستصحاب فی الشکّ السببیّ دائما من قبیل</w:t>
      </w:r>
    </w:p>
    <w:p>
      <w:pPr>
        <w:pStyle w:val="BookText"/>
      </w:pPr>
      <w:r>
        <w:rPr>
          <w:rFonts w:ascii="IRNazanin" w:hAnsi="IRNazanin" w:eastAsia="IRNazanin" w:cs="IRNazanin"/>
          <w:lang w:bidi="fa-IR"/>
          <w:color w:val="111111"/>
          <w:sz w:val="28"/>
          <w:szCs w:val="28"/>
          <w:rtl/>
        </w:rPr>
        <w:t xml:space="preserve">[شماره صفحه واقعی : 405]
</w:t>
      </w:r>
    </w:p>
    <w:p>
      <w:pPr>
        <w:sectPr>
          <w:footerReference w:type="default" r:id="rId917"/>
          <w:footnotePr>
            <w:numStart w:val="1"/>
            <w:numRestart w:val="eachPage"/>
          </w:footnotePr>
          <w:pgSz w:orient="portrait" w:w="11905.511811023622" w:h="16837.79527559055"/>
          <w:pgMar w:top="1440" w:right="1440" w:bottom="1440" w:left="1440" w:header="720" w:footer="720" w:gutter="0"/>
          <w:cols w:num="1" w:space="720"/>
        </w:sectPr>
      </w:pPr>
    </w:p>
    <w:bookmarkStart w:id="580" w:name="pg14411_143299"/>
    <w:bookmarkEnd w:id="580"/>
    <w:p>
      <w:pPr>
        <w:pStyle w:val="BookText"/>
      </w:pPr>
      <w:r>
        <w:rPr>
          <w:rFonts w:ascii="IRNazanin" w:hAnsi="IRNazanin" w:eastAsia="IRNazanin" w:cs="IRNazanin"/>
          <w:lang w:bidi="fa-IR"/>
          <w:color w:val="111111"/>
          <w:sz w:val="28"/>
          <w:szCs w:val="28"/>
          <w:rtl/>
        </w:rPr>
        <w:t xml:space="preserve">الموضوعیّ بالنسبة إلی الآخر؛لأنّ زوال المستصحب </w:t>
      </w:r>
      <w:r>
        <w:rPr>
          <w:rStyle w:val="FootnoteReference"/>
        </w:rPr>
        <w:footnoteReference w:id="2763"/>
      </w:r>
      <w:r>
        <w:rPr>
          <w:rFonts w:ascii="IRNazanin" w:hAnsi="IRNazanin" w:eastAsia="IRNazanin" w:cs="IRNazanin"/>
          <w:lang w:bidi="fa-IR"/>
          <w:color w:val="111111"/>
          <w:sz w:val="28"/>
          <w:szCs w:val="28"/>
          <w:rtl/>
        </w:rPr>
        <w:t xml:space="preserve">الآخر من أحکام بقاء المستصحب بالاستصحاب السببیّ،فهو له من قبیل الموضوع للحکم،فإنّ طهارة الماء من أحکام الموضوع الذی حمل علیه زوال النجاسة عن المغسول به،و أیّ فرق بین استصحاب طهارة الماء و استصحاب کرّیّته؟</w:t>
      </w:r>
    </w:p>
    <w:p>
      <w:pPr>
        <w:pStyle w:val="BookText"/>
      </w:pPr>
      <w:r>
        <w:rPr>
          <w:rFonts w:ascii="IRNazanin" w:hAnsi="IRNazanin" w:eastAsia="IRNazanin" w:cs="IRNazanin"/>
          <w:lang w:bidi="fa-IR"/>
          <w:color w:val="111111"/>
          <w:sz w:val="28"/>
          <w:szCs w:val="28"/>
          <w:rtl/>
        </w:rPr>
        <w:t xml:space="preserve">هذا کلّه فیما إذا کان الشکّ فی أحدهما مسبّبا عن الشکّ فی الآخر.</w:t>
      </w:r>
    </w:p>
    <w:p>
      <w:pPr>
        <w:pStyle w:val="Heading6"/>
      </w:pPr>
      <w:bookmarkStart w:id="2169" w:name="_Toc1204"/>
      <w:r>
        <w:t>و أمّا القسم الثانی:إذا کان الشکّ فی کلیهما مسبّبا عن أمر ثالث</w:t>
      </w:r>
      <w:bookmarkEnd w:id="2169"/>
    </w:p>
    <w:p>
      <w:pPr>
        <w:pStyle w:val="BookText"/>
      </w:pPr>
      <w:r>
        <w:rPr>
          <w:rFonts w:ascii="IRNazanin" w:hAnsi="IRNazanin" w:eastAsia="IRNazanin" w:cs="IRNazanin"/>
          <w:lang w:bidi="fa-IR"/>
          <w:color w:val="111111"/>
          <w:sz w:val="28"/>
          <w:szCs w:val="28"/>
          <w:rtl/>
        </w:rPr>
        <w:t xml:space="preserve">و هو ما إذا کان الشکّ فی کلیهما مسبّبا عن أمر ثالث،فمورده ما إذا علم ارتفاع أحد الحادثین لا بعینه و شکّ فی تعیینه:</w:t>
      </w:r>
    </w:p>
    <w:p>
      <w:pPr>
        <w:pStyle w:val="Heading6"/>
      </w:pPr>
      <w:bookmarkStart w:id="2170" w:name="_Toc1205"/>
      <w:r>
        <w:t>[صور المسألة:]</w:t>
      </w:r>
      <w:bookmarkEnd w:id="2170"/>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فإمّا أن یکون العمل بالاستصحابین مستلزما لمخالفة قطعیّة عملیّة لذلک العلم الإجمالیّ-کما لو علم إجمالا بنجاسة أحد الطاهرین-و إمّا أن لا یکون.</w:t>
      </w:r>
    </w:p>
    <w:p>
      <w:pPr>
        <w:pStyle w:val="BookText"/>
      </w:pPr>
      <w:r>
        <w:rPr>
          <w:rFonts w:ascii="IRNazanin" w:hAnsi="IRNazanin" w:eastAsia="IRNazanin" w:cs="IRNazanin"/>
          <w:lang w:bidi="fa-IR"/>
          <w:color w:val="111111"/>
          <w:sz w:val="28"/>
          <w:szCs w:val="28"/>
          <w:rtl/>
        </w:rPr>
        <w:t xml:space="preserve">و علی الثانی:فإمّا أن یقوم دلیل من الخارج </w:t>
      </w:r>
      <w:r>
        <w:rPr>
          <w:rStyle w:val="FootnoteReference"/>
        </w:rPr>
        <w:footnoteReference w:id="2764"/>
      </w:r>
      <w:r>
        <w:rPr>
          <w:rFonts w:ascii="IRNazanin" w:hAnsi="IRNazanin" w:eastAsia="IRNazanin" w:cs="IRNazanin"/>
          <w:lang w:bidi="fa-IR"/>
          <w:color w:val="111111"/>
          <w:sz w:val="28"/>
          <w:szCs w:val="28"/>
          <w:rtl/>
        </w:rPr>
        <w:t xml:space="preserve">علی عدم الجمع -کما فی الماء النجس المتمّم کرّا بماء طاهر؛حیث قام الإجماع علی اتّحاد حکم الماءین-أو لا.</w:t>
      </w:r>
    </w:p>
    <w:p>
      <w:pPr>
        <w:pStyle w:val="BookText"/>
      </w:pPr>
      <w:r>
        <w:rPr>
          <w:rFonts w:ascii="IRNazanin" w:hAnsi="IRNazanin" w:eastAsia="IRNazanin" w:cs="IRNazanin"/>
          <w:lang w:bidi="fa-IR"/>
          <w:color w:val="111111"/>
          <w:sz w:val="28"/>
          <w:szCs w:val="28"/>
          <w:rtl/>
        </w:rPr>
        <w:t xml:space="preserve">و علی الثانی:إمّا أن یترتّب أثر شرعیّ علی کلّ من المستصحبین فی الزمان اللاحق-کما فی استصحاب بقاء الحدث و طهارة البدن فی من</w:t>
      </w:r>
    </w:p>
    <w:p>
      <w:pPr>
        <w:pStyle w:val="BookText"/>
      </w:pPr>
      <w:r>
        <w:rPr>
          <w:rFonts w:ascii="IRNazanin" w:hAnsi="IRNazanin" w:eastAsia="IRNazanin" w:cs="IRNazanin"/>
          <w:lang w:bidi="fa-IR"/>
          <w:color w:val="111111"/>
          <w:sz w:val="28"/>
          <w:szCs w:val="28"/>
          <w:rtl/>
        </w:rPr>
        <w:t xml:space="preserve">[شماره صفحه واقعی : 406]
</w:t>
      </w:r>
    </w:p>
    <w:p>
      <w:pPr>
        <w:sectPr>
          <w:footerReference w:type="default" r:id="rId918"/>
          <w:footnotePr>
            <w:numStart w:val="1"/>
            <w:numRestart w:val="eachPage"/>
          </w:footnotePr>
          <w:pgSz w:orient="portrait" w:w="11905.511811023622" w:h="16837.79527559055"/>
          <w:pgMar w:top="1440" w:right="1440" w:bottom="1440" w:left="1440" w:header="720" w:footer="720" w:gutter="0"/>
          <w:cols w:num="1" w:space="720"/>
        </w:sectPr>
      </w:pPr>
    </w:p>
    <w:bookmarkStart w:id="581" w:name="pg14411_143300"/>
    <w:bookmarkEnd w:id="581"/>
    <w:p>
      <w:pPr>
        <w:pStyle w:val="BookText"/>
      </w:pPr>
      <w:r>
        <w:rPr>
          <w:rFonts w:ascii="IRNazanin" w:hAnsi="IRNazanin" w:eastAsia="IRNazanin" w:cs="IRNazanin"/>
          <w:lang w:bidi="fa-IR"/>
          <w:color w:val="111111"/>
          <w:sz w:val="28"/>
          <w:szCs w:val="28"/>
          <w:rtl/>
        </w:rPr>
        <w:t xml:space="preserve">توضّأ غافلا بمائع مردّد بین الماء و البول،و مثله استصحاب طهارة کلّ </w:t>
      </w:r>
      <w:r>
        <w:rPr>
          <w:rStyle w:val="FootnoteReference"/>
        </w:rPr>
        <w:footnoteReference w:id="2765"/>
      </w:r>
      <w:r>
        <w:rPr>
          <w:rFonts w:ascii="IRNazanin" w:hAnsi="IRNazanin" w:eastAsia="IRNazanin" w:cs="IRNazanin"/>
          <w:lang w:bidi="fa-IR"/>
          <w:color w:val="111111"/>
          <w:sz w:val="28"/>
          <w:szCs w:val="28"/>
          <w:rtl/>
        </w:rPr>
        <w:t xml:space="preserve">من واجدی المنیّ فی الثوب المشترک-و إمّا أن یترتّب الأثر علی أحدهما دون الآخر،کما فی دعوی الموکّل التوکیل فی شراء العبد و دعوی الوکیل التوکیل فی شراء الجاریة.</w:t>
      </w:r>
    </w:p>
    <w:p>
      <w:pPr>
        <w:pStyle w:val="BookText"/>
      </w:pPr>
      <w:r>
        <w:rPr>
          <w:rFonts w:ascii="IRNazanin" w:hAnsi="IRNazanin" w:eastAsia="IRNazanin" w:cs="IRNazanin"/>
          <w:lang w:bidi="fa-IR"/>
          <w:color w:val="111111"/>
          <w:sz w:val="28"/>
          <w:szCs w:val="28"/>
          <w:rtl/>
        </w:rPr>
        <w:t xml:space="preserve">فهناک صور أربع:</w:t>
      </w:r>
    </w:p>
    <w:p>
      <w:pPr>
        <w:pStyle w:val="Heading6"/>
      </w:pPr>
      <w:bookmarkStart w:id="2171" w:name="_Toc1206"/>
      <w:r>
        <w:t>أمّا الأولیان، [لو کان العمل بالاستصحابین مستلزما لمخالفة قطعیّة عملیّة أو قام الدلیل علی عدم الجمع بینهما]</w:t>
      </w:r>
      <w:bookmarkEnd w:id="2171"/>
    </w:p>
    <w:p>
      <w:pPr>
        <w:pStyle w:val="BookText"/>
      </w:pPr>
      <w:r>
        <w:rPr>
          <w:rFonts w:ascii="IRNazanin" w:hAnsi="IRNazanin" w:eastAsia="IRNazanin" w:cs="IRNazanin"/>
          <w:lang w:bidi="fa-IR"/>
          <w:color w:val="111111"/>
          <w:sz w:val="28"/>
          <w:szCs w:val="28"/>
          <w:rtl/>
        </w:rPr>
        <w:t xml:space="preserve">فیحکم فیهما بالتساقط،دون الترجیح و التخییر </w:t>
      </w:r>
      <w:r>
        <w:rPr>
          <w:rStyle w:val="FootnoteReference"/>
        </w:rPr>
        <w:footnoteReference w:id="2766"/>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407]
</w:t>
      </w:r>
    </w:p>
    <w:p>
      <w:pPr>
        <w:sectPr>
          <w:footerReference w:type="default" r:id="rId919"/>
          <w:footnotePr>
            <w:numStart w:val="1"/>
            <w:numRestart w:val="eachPage"/>
          </w:footnotePr>
          <w:pgSz w:orient="portrait" w:w="11905.511811023622" w:h="16837.79527559055"/>
          <w:pgMar w:top="1440" w:right="1440" w:bottom="1440" w:left="1440" w:header="720" w:footer="720" w:gutter="0"/>
          <w:cols w:num="1" w:space="720"/>
        </w:sectPr>
      </w:pPr>
    </w:p>
    <w:bookmarkStart w:id="582" w:name="pg14411_143301"/>
    <w:bookmarkEnd w:id="582"/>
    <w:p>
      <w:pPr>
        <w:pStyle w:val="Heading6"/>
      </w:pPr>
      <w:bookmarkStart w:id="2172" w:name="_Toc1207"/>
      <w:r>
        <w:t>فهنا دعویان:</w:t>
      </w:r>
      <w:bookmarkEnd w:id="2172"/>
    </w:p>
    <w:p>
      <w:pPr>
        <w:pStyle w:val="Heading6"/>
      </w:pPr>
      <w:bookmarkStart w:id="2173" w:name="_Toc1208"/>
      <w:r>
        <w:t>الاولی:عدم الترجیح</w:t>
      </w:r>
      <w:bookmarkEnd w:id="2173"/>
    </w:p>
    <w:p>
      <w:pPr>
        <w:pStyle w:val="BookText"/>
      </w:pPr>
      <w:r>
        <w:rPr>
          <w:rFonts w:ascii="IRNazanin" w:hAnsi="IRNazanin" w:eastAsia="IRNazanin" w:cs="IRNazanin"/>
          <w:lang w:bidi="fa-IR"/>
          <w:color w:val="111111"/>
          <w:sz w:val="28"/>
          <w:szCs w:val="28"/>
          <w:rtl/>
        </w:rPr>
        <w:t xml:space="preserve">بما یوجد مع أحدهما من المرجّحات خلافا لجماعة </w:t>
      </w:r>
      <w:r>
        <w:rPr>
          <w:rStyle w:val="FootnoteReference"/>
        </w:rPr>
        <w:footnoteReference w:id="2767"/>
      </w:r>
      <w:r>
        <w:rPr>
          <w:rFonts w:ascii="IRNazanin" w:hAnsi="IRNazanin" w:eastAsia="IRNazanin" w:cs="IRNazanin"/>
          <w:lang w:bidi="fa-IR"/>
          <w:color w:val="111111"/>
          <w:sz w:val="28"/>
          <w:szCs w:val="28"/>
          <w:rtl/>
        </w:rPr>
        <w:t xml:space="preserve">.قال فی محکیّ تمهید القواعد:</w:t>
      </w:r>
    </w:p>
    <w:p>
      <w:pPr>
        <w:pStyle w:val="BookText"/>
      </w:pPr>
      <w:r>
        <w:rPr>
          <w:rFonts w:ascii="IRNazanin" w:hAnsi="IRNazanin" w:eastAsia="IRNazanin" w:cs="IRNazanin"/>
          <w:lang w:bidi="fa-IR"/>
          <w:color w:val="111111"/>
          <w:sz w:val="28"/>
          <w:szCs w:val="28"/>
          <w:rtl/>
        </w:rPr>
        <w:t xml:space="preserve">إذا تعارض أصلان عمل بالأرجح منهما؛لاعتضاده بما یرجّحه، فإن تساویا خرج فی المسألة وجهان غالبا.ثمّ مثّل له بأمثلة،منها:</w:t>
      </w:r>
    </w:p>
    <w:p>
      <w:pPr>
        <w:pStyle w:val="BookText"/>
      </w:pPr>
      <w:r>
        <w:rPr>
          <w:rFonts w:ascii="IRNazanin" w:hAnsi="IRNazanin" w:eastAsia="IRNazanin" w:cs="IRNazanin"/>
          <w:lang w:bidi="fa-IR"/>
          <w:color w:val="111111"/>
          <w:sz w:val="28"/>
          <w:szCs w:val="28"/>
          <w:rtl/>
        </w:rPr>
        <w:t xml:space="preserve">مسألة الصید الواقع فی الماء </w:t>
      </w:r>
      <w:r>
        <w:rPr>
          <w:rStyle w:val="FootnoteReference"/>
        </w:rPr>
        <w:footnoteReference w:id="2768"/>
      </w:r>
      <w:r>
        <w:rPr>
          <w:rFonts w:ascii="IRNazanin" w:hAnsi="IRNazanin" w:eastAsia="IRNazanin" w:cs="IRNazanin"/>
          <w:lang w:bidi="fa-IR"/>
          <w:color w:val="111111"/>
          <w:sz w:val="28"/>
          <w:szCs w:val="28"/>
          <w:rtl/>
        </w:rPr>
        <w:t xml:space="preserve">...إلی آخر ما ذکره.</w:t>
      </w:r>
    </w:p>
    <w:p>
      <w:pPr>
        <w:pStyle w:val="BookText"/>
      </w:pPr>
      <w:r>
        <w:rPr>
          <w:rFonts w:ascii="IRNazanin" w:hAnsi="IRNazanin" w:eastAsia="IRNazanin" w:cs="IRNazanin"/>
          <w:lang w:bidi="fa-IR"/>
          <w:color w:val="111111"/>
          <w:sz w:val="28"/>
          <w:szCs w:val="28"/>
          <w:rtl/>
        </w:rPr>
        <w:t xml:space="preserve">و صرّح بذلک جماعة من متأخّری المتأخّرین </w:t>
      </w:r>
      <w:r>
        <w:rPr>
          <w:rStyle w:val="FootnoteReference"/>
        </w:rPr>
        <w:footnoteReference w:id="2769"/>
      </w:r>
      <w:r>
        <w:rPr>
          <w:rFonts w:ascii="Times New Roman" w:hAnsi="Times New Roman" w:eastAsia="Times New Roman" w:cs="Times New Roman"/>
          <w:lang w:val="en-US" w:bidi="en-US"/>
          <w:color w:val="111111"/>
          <w:sz w:val="28"/>
          <w:szCs w:val="28"/>
          <w:rtl/>
        </w:rPr>
        <w:t xml:space="preserve">.</w:t>
      </w:r>
    </w:p>
    <w:p>
      <w:pPr>
        <w:pStyle w:val="Heading6"/>
      </w:pPr>
      <w:bookmarkStart w:id="2174" w:name="_Toc1209"/>
      <w:r>
        <w:t>[الدلیل علی عدم الترجیح:]</w:t>
      </w:r>
      <w:bookmarkEnd w:id="2174"/>
    </w:p>
    <w:p>
      <w:pPr>
        <w:pStyle w:val="BookText"/>
      </w:pPr>
      <w:r>
        <w:rPr>
          <w:rFonts w:ascii="IRNazanin" w:hAnsi="IRNazanin" w:eastAsia="IRNazanin" w:cs="IRNazanin"/>
          <w:lang w:bidi="fa-IR"/>
          <w:color w:val="111111"/>
          <w:sz w:val="28"/>
          <w:szCs w:val="28"/>
          <w:rtl/>
        </w:rPr>
        <w:t xml:space="preserve">و الحقّ علی المختار-من اعتبار الاستصحاب من باب التعبّد-:هو عدم الترجیح بالمرجّحات الاجتهادیّة؛لأنّ مؤدّی الاستصحاب هو الحکم الظاهریّ،فالمرجّح الکاشف عن الحکم الواقعیّ لا یجدی فی تقویة الدلیل الدالّ علی الحکم الظاهریّ؛لعدم موافقة المرجّح لمدلوله حتّی یوجب اعتضاده.</w:t>
      </w:r>
    </w:p>
    <w:p>
      <w:pPr>
        <w:pStyle w:val="BookText"/>
      </w:pPr>
      <w:r>
        <w:rPr>
          <w:rFonts w:ascii="IRNazanin" w:hAnsi="IRNazanin" w:eastAsia="IRNazanin" w:cs="IRNazanin"/>
          <w:lang w:bidi="fa-IR"/>
          <w:color w:val="111111"/>
          <w:sz w:val="28"/>
          <w:szCs w:val="28"/>
          <w:rtl/>
        </w:rPr>
        <w:t xml:space="preserve">و بالجملة:فالمرجّحات الاجتهادیّة غیر موافقة فی المضمون للاصول حتّی تعاضدها.و کذا الحال بالنسبة إلی الأدلّة الاجتهادیّة، فلا یرجّح بعضها علی بعض لموافقة الاصول التعبّدیّة.</w:t>
      </w:r>
    </w:p>
    <w:p>
      <w:pPr>
        <w:pStyle w:val="BookText"/>
      </w:pPr>
      <w:r>
        <w:rPr>
          <w:rFonts w:ascii="IRNazanin" w:hAnsi="IRNazanin" w:eastAsia="IRNazanin" w:cs="IRNazanin"/>
          <w:lang w:bidi="fa-IR"/>
          <w:color w:val="111111"/>
          <w:sz w:val="28"/>
          <w:szCs w:val="28"/>
          <w:rtl/>
        </w:rPr>
        <w:t xml:space="preserve">نعم،لو کان اعتبار الاستصحاب من باب الظنّ النوعیّ أمکن الترجیح بالمرجّحات الاجتهادیّة؛بناء علی ما یظهر من عدم الخلاف فی</w:t>
      </w:r>
    </w:p>
    <w:p>
      <w:pPr>
        <w:pStyle w:val="BookText"/>
      </w:pPr>
      <w:r>
        <w:rPr>
          <w:rFonts w:ascii="IRNazanin" w:hAnsi="IRNazanin" w:eastAsia="IRNazanin" w:cs="IRNazanin"/>
          <w:lang w:bidi="fa-IR"/>
          <w:color w:val="111111"/>
          <w:sz w:val="28"/>
          <w:szCs w:val="28"/>
          <w:rtl/>
        </w:rPr>
        <w:t xml:space="preserve">[شماره صفحه واقعی : 408]
</w:t>
      </w:r>
    </w:p>
    <w:p>
      <w:pPr>
        <w:sectPr>
          <w:footerReference w:type="default" r:id="rId920"/>
          <w:footnotePr>
            <w:numStart w:val="1"/>
            <w:numRestart w:val="eachPage"/>
          </w:footnotePr>
          <w:pgSz w:orient="portrait" w:w="11905.511811023622" w:h="16837.79527559055"/>
          <w:pgMar w:top="1440" w:right="1440" w:bottom="1440" w:left="1440" w:header="720" w:footer="720" w:gutter="0"/>
          <w:cols w:num="1" w:space="720"/>
        </w:sectPr>
      </w:pPr>
    </w:p>
    <w:bookmarkStart w:id="583" w:name="pg14411_143302"/>
    <w:bookmarkEnd w:id="583"/>
    <w:p>
      <w:pPr>
        <w:pStyle w:val="BookText"/>
      </w:pPr>
      <w:r>
        <w:rPr>
          <w:rFonts w:ascii="IRNazanin" w:hAnsi="IRNazanin" w:eastAsia="IRNazanin" w:cs="IRNazanin"/>
          <w:lang w:bidi="fa-IR"/>
          <w:color w:val="111111"/>
          <w:sz w:val="28"/>
          <w:szCs w:val="28"/>
          <w:rtl/>
        </w:rPr>
        <w:t xml:space="preserve">إعمال التراجیح بین الأدلّة الاجتهادیّة،کما ادّعاه صریحا بعضهم </w:t>
      </w:r>
      <w:r>
        <w:rPr>
          <w:rStyle w:val="FootnoteReference"/>
        </w:rPr>
        <w:footnoteReference w:id="27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لکنّک عرفت-فیما مضی-عدم الدلیل علی الاستصحاب من غیر جهة الأخبار الدالّة علی کونه حکما ظاهریّا،فلا ینفع و لا یقدح فیه موافقة الأمارات الواقعیّة و مخالفتها.</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هذا کلّه مع الإغماض عمّا سیجیء </w:t>
      </w:r>
      <w:r>
        <w:rPr>
          <w:rStyle w:val="FootnoteReference"/>
        </w:rPr>
        <w:footnoteReference w:id="2771"/>
      </w:r>
      <w:r>
        <w:rPr>
          <w:rFonts w:ascii="IRNazanin" w:hAnsi="IRNazanin" w:eastAsia="IRNazanin" w:cs="IRNazanin"/>
          <w:lang w:bidi="fa-IR"/>
          <w:color w:val="111111"/>
          <w:sz w:val="28"/>
          <w:szCs w:val="28"/>
          <w:rtl/>
        </w:rPr>
        <w:t xml:space="preserve">:من عدم شمول«لا تنقض» للمتعارضین،و فرض شمولها </w:t>
      </w:r>
      <w:r>
        <w:rPr>
          <w:rStyle w:val="FootnoteReference"/>
        </w:rPr>
        <w:footnoteReference w:id="2772"/>
      </w:r>
      <w:r>
        <w:rPr>
          <w:rFonts w:ascii="IRNazanin" w:hAnsi="IRNazanin" w:eastAsia="IRNazanin" w:cs="IRNazanin"/>
          <w:lang w:bidi="fa-IR"/>
          <w:color w:val="111111"/>
          <w:sz w:val="28"/>
          <w:szCs w:val="28"/>
          <w:rtl/>
        </w:rPr>
        <w:t xml:space="preserve">لهما من حیث الذات،نظیر شمول آیة النبأ من حیث الذات للخبرین المتعارضین و إن لم یجب العمل بهما فعلا؛ لامتناع ذلک بناء علی المختار فی إثبات الدعوی الثانیة،فلا وجه لاعتبار المرجّح أصلا؛لأنّه إنّما یکون مع التعارض و قابلیّة المتعارضین فی أنفسهما للعمل.</w:t>
      </w:r>
    </w:p>
    <w:p>
      <w:pPr>
        <w:pStyle w:val="Heading6"/>
      </w:pPr>
      <w:bookmarkStart w:id="2175" w:name="_Toc1210"/>
      <w:r>
        <w:t>الثانیة: [أنّ الحکم هو التساقط دون التخییر و الدلیل علیه]</w:t>
      </w:r>
      <w:bookmarkEnd w:id="2175"/>
    </w:p>
    <w:p>
      <w:pPr>
        <w:pStyle w:val="BookText"/>
      </w:pPr>
      <w:r>
        <w:rPr>
          <w:rFonts w:ascii="IRNazanin" w:hAnsi="IRNazanin" w:eastAsia="IRNazanin" w:cs="IRNazanin"/>
          <w:lang w:bidi="fa-IR"/>
          <w:color w:val="111111"/>
          <w:sz w:val="28"/>
          <w:szCs w:val="28"/>
          <w:rtl/>
        </w:rPr>
        <w:t xml:space="preserve">أنّه إذا لم یکن مرجّح فالحقّ التساقط دون التخییر، لا لما ذکره بعض المعاصرین </w:t>
      </w:r>
      <w:r>
        <w:rPr>
          <w:rStyle w:val="FootnoteReference"/>
        </w:rPr>
        <w:footnoteReference w:id="2773"/>
      </w:r>
      <w:r>
        <w:rPr>
          <w:rFonts w:ascii="IRNazanin" w:hAnsi="IRNazanin" w:eastAsia="IRNazanin" w:cs="IRNazanin"/>
          <w:lang w:bidi="fa-IR"/>
          <w:color w:val="111111"/>
          <w:sz w:val="28"/>
          <w:szCs w:val="28"/>
          <w:rtl/>
        </w:rPr>
        <w:t xml:space="preserve">:من أنّ الأصل فی تعارض الدلیلین التساقط؛لعدم تناول دلیل حجّیّتهما لصورة التعارض-لما تقرّر فی باب التعارض </w:t>
      </w:r>
      <w:r>
        <w:rPr>
          <w:rStyle w:val="FootnoteReference"/>
        </w:rPr>
        <w:footnoteReference w:id="2774"/>
      </w:r>
      <w:r>
        <w:rPr>
          <w:rFonts w:ascii="IRNazanin" w:hAnsi="IRNazanin" w:eastAsia="IRNazanin" w:cs="IRNazanin"/>
          <w:lang w:bidi="fa-IR"/>
          <w:color w:val="111111"/>
          <w:sz w:val="28"/>
          <w:szCs w:val="28"/>
          <w:rtl/>
        </w:rPr>
        <w:t xml:space="preserve">،من أنّ الأصل فی المتعارضین التخییر إذا کان اعتبارهما</w:t>
      </w:r>
    </w:p>
    <w:p>
      <w:pPr>
        <w:pStyle w:val="BookText"/>
      </w:pPr>
      <w:r>
        <w:rPr>
          <w:rFonts w:ascii="IRNazanin" w:hAnsi="IRNazanin" w:eastAsia="IRNazanin" w:cs="IRNazanin"/>
          <w:lang w:bidi="fa-IR"/>
          <w:color w:val="111111"/>
          <w:sz w:val="28"/>
          <w:szCs w:val="28"/>
          <w:rtl/>
        </w:rPr>
        <w:t xml:space="preserve">[شماره صفحه واقعی : 409]
</w:t>
      </w:r>
    </w:p>
    <w:p>
      <w:pPr>
        <w:sectPr>
          <w:footerReference w:type="default" r:id="rId9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باب التعبّد لا من باب الطریقیّة </w:t>
      </w:r>
      <w:r>
        <w:rPr>
          <w:rStyle w:val="FootnoteReference"/>
        </w:rPr>
        <w:footnoteReference w:id="2775"/>
      </w:r>
      <w:r>
        <w:rPr>
          <w:rFonts w:ascii="IRNazanin" w:hAnsi="IRNazanin" w:eastAsia="IRNazanin" w:cs="IRNazanin"/>
          <w:lang w:bidi="fa-IR"/>
          <w:color w:val="111111"/>
          <w:sz w:val="28"/>
          <w:szCs w:val="28"/>
          <w:rtl/>
        </w:rPr>
        <w:t xml:space="preserve">-بل لأنّ العلم الإجمالیّ هنا بانتقاض أحد الیقینین </w:t>
      </w:r>
      <w:r>
        <w:rPr>
          <w:rStyle w:val="FootnoteReference"/>
        </w:rPr>
        <w:footnoteReference w:id="2776"/>
      </w:r>
      <w:r>
        <w:rPr>
          <w:rFonts w:ascii="IRNazanin" w:hAnsi="IRNazanin" w:eastAsia="IRNazanin" w:cs="IRNazanin"/>
          <w:lang w:bidi="fa-IR"/>
          <w:color w:val="111111"/>
          <w:sz w:val="28"/>
          <w:szCs w:val="28"/>
          <w:rtl/>
        </w:rPr>
        <w:t xml:space="preserve">یوجب خروجهما عن مدلول«لا تنقض»؛لأنّ قوله:«لا تنقض الیقین بالشکّ و لکن تنقضه بیقین مثله»یدلّ علی حرمة النقض بالشکّ و وجوب النقض بالیقین،فإذا فرض الیقین بارتفاع الحالة السابقة فی أحد المستصحبین،فلا یجوز إبقاء کلّ منهما تحت عموم حرمة النقض بالشکّ؛لأنّه مستلزم لطرح الحکم بنقض الیقین بمثله، و لا إبقاء أحدهما المعیّن؛لاشتراک الآخر معه فی مناط الدخول من غیر مرجّح،و أمّا أحدهما المخیّر فلیس من أفراد العامّ؛إذ لیس فردا ثالثا غیر الفردین المتشخّصین فی الخارج،فإذا خرجا لم یبق شیء.و قد تقدّم نظیر ذلک فی الشبهة المحصورة </w:t>
      </w:r>
      <w:r>
        <w:rPr>
          <w:rStyle w:val="FootnoteReference"/>
        </w:rPr>
        <w:footnoteReference w:id="2777"/>
      </w:r>
      <w:r>
        <w:rPr>
          <w:rFonts w:ascii="IRNazanin" w:hAnsi="IRNazanin" w:eastAsia="IRNazanin" w:cs="IRNazanin"/>
          <w:lang w:bidi="fa-IR"/>
          <w:color w:val="111111"/>
          <w:sz w:val="28"/>
          <w:szCs w:val="28"/>
          <w:rtl/>
        </w:rPr>
        <w:t xml:space="preserve">،و أنّ قوله علیه السّلام:«کلّ شیء حلال حتّی تعرف أنّه حرام»لا یشمل شیئا من المشتبهین.</w:t>
      </w:r>
    </w:p>
    <w:p>
      <w:pPr>
        <w:pStyle w:val="BookText"/>
      </w:pPr>
      <w:r>
        <w:rPr>
          <w:rFonts w:ascii="IRNazanin" w:hAnsi="IRNazanin" w:eastAsia="IRNazanin" w:cs="IRNazanin"/>
          <w:lang w:bidi="fa-IR"/>
          <w:color w:val="111111"/>
          <w:sz w:val="28"/>
          <w:szCs w:val="28"/>
          <w:rtl/>
        </w:rPr>
        <w:t xml:space="preserve">و ربما یتوهّم:أنّ عموم دلیل الاستصحاب نظیر قوله:«أکرم العلماء»،و«أنقذ کلّ غریق»،و«اعمل بکلّ خیر»،فی أنّه إذا تعذّر العمل بالعامّ فی فردین متنافیین لم یجز طرح کلیهما،بل لا بدّ من العمل بالممکن-و هو أحدهما تخییرا-و طرح الآخر؛لأنّ هذا غایة المقدور، و لذا ذکرنا فی باب التعارض </w:t>
      </w:r>
      <w:r>
        <w:rPr>
          <w:rStyle w:val="FootnoteReference"/>
        </w:rPr>
        <w:footnoteReference w:id="2778"/>
      </w:r>
      <w:r>
        <w:rPr>
          <w:rFonts w:ascii="IRNazanin" w:hAnsi="IRNazanin" w:eastAsia="IRNazanin" w:cs="IRNazanin"/>
          <w:lang w:bidi="fa-IR"/>
          <w:color w:val="111111"/>
          <w:sz w:val="28"/>
          <w:szCs w:val="28"/>
          <w:rtl/>
        </w:rPr>
        <w:t xml:space="preserve">:أنّ الأصل فی الدلیلین المتعارضین مع فقد الترجیح التخییر بالشرط المتقدّم لا التساقط.و الاستصحاب أیضا</w:t>
      </w:r>
    </w:p>
    <w:p>
      <w:pPr>
        <w:pStyle w:val="BookText"/>
      </w:pPr>
      <w:r>
        <w:rPr>
          <w:rFonts w:ascii="IRNazanin" w:hAnsi="IRNazanin" w:eastAsia="IRNazanin" w:cs="IRNazanin"/>
          <w:lang w:bidi="fa-IR"/>
          <w:color w:val="111111"/>
          <w:sz w:val="28"/>
          <w:szCs w:val="28"/>
          <w:rtl/>
        </w:rPr>
        <w:t xml:space="preserve">[شماره صفحه واقعی : 410]
</w:t>
      </w:r>
    </w:p>
    <w:p>
      <w:pPr>
        <w:sectPr>
          <w:footerReference w:type="default" r:id="rId9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أحد الأدلّة،فالواجب العمل بالیقین السابق بقدر الإمکان،فإذا تعذّر العمل بالیقینین من جهة تنافیهما وجب العمل بأحدهما،و لا یجوز طرحهما.</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و یندفع هذا التوهّم:بأنّ عدم التمکّن من العمل بکلا الفردین إن کان لعدم القدرة علی ذلک مع قیام المقتضی للعمل فیهما فالخارج هو غیر المقدور،و هو العمل بکلّ منهما مجامعا مع العمل بالآخر،و أمّا فعل أحدهما المنفرد عن الآخر فهو مقدور فلا یجوز ترکه.و فی ما نحن فیه لیس کذلک؛إذ بعد العلم الإجمالیّ لا یکون المقتضی لحرمة نقض کلا الیقینین موجودا منع عنها </w:t>
      </w:r>
      <w:r>
        <w:rPr>
          <w:rStyle w:val="FootnoteReference"/>
        </w:rPr>
        <w:footnoteReference w:id="2779"/>
      </w:r>
      <w:r>
        <w:rPr>
          <w:rFonts w:ascii="Amiri" w:hAnsi="Amiri" w:eastAsia="Amiri" w:cs="Amiri"/>
          <w:lang w:bidi="ar-SA"/>
          <w:color w:val="111111"/>
          <w:sz w:val="28"/>
          <w:szCs w:val="28"/>
          <w:rtl/>
        </w:rPr>
        <w:t xml:space="preserve">عدم القدرة.</w:t>
      </w:r>
    </w:p>
    <w:p>
      <w:pPr>
        <w:pStyle w:val="BookText"/>
      </w:pPr>
      <w:r>
        <w:rPr>
          <w:rFonts w:ascii="IRNazanin" w:hAnsi="IRNazanin" w:eastAsia="IRNazanin" w:cs="IRNazanin"/>
          <w:lang w:bidi="fa-IR"/>
          <w:color w:val="111111"/>
          <w:sz w:val="28"/>
          <w:szCs w:val="28"/>
          <w:rtl/>
        </w:rPr>
        <w:t xml:space="preserve">نعم مثال هذا فی الاستصحاب أن یکون هناک استصحابان بشکّین مستقلّین امتنع شرعا أو عقلا العمل بکلیهما </w:t>
      </w:r>
      <w:r>
        <w:rPr>
          <w:rStyle w:val="FootnoteReference"/>
        </w:rPr>
        <w:footnoteReference w:id="2780"/>
      </w:r>
      <w:r>
        <w:rPr>
          <w:rFonts w:ascii="IRNazanin" w:hAnsi="IRNazanin" w:eastAsia="IRNazanin" w:cs="IRNazanin"/>
          <w:lang w:bidi="fa-IR"/>
          <w:color w:val="111111"/>
          <w:sz w:val="28"/>
          <w:szCs w:val="28"/>
          <w:rtl/>
        </w:rPr>
        <w:t xml:space="preserve">من دون علم إجمالیّ بانتقاض أحد المستصحبین بیقین الارتفاع،فإنّه یجب حینئذ العمل بأحدهما المخیّر و طرح الآخر،فیکون الحکم الظاهریّ مؤدّی أحدهما.</w:t>
      </w:r>
    </w:p>
    <w:p>
      <w:pPr>
        <w:pStyle w:val="BookText"/>
      </w:pPr>
      <w:r>
        <w:rPr>
          <w:rFonts w:ascii="IRNazanin" w:hAnsi="IRNazanin" w:eastAsia="IRNazanin" w:cs="IRNazanin"/>
          <w:lang w:bidi="fa-IR"/>
          <w:color w:val="111111"/>
          <w:sz w:val="28"/>
          <w:szCs w:val="28"/>
          <w:rtl/>
        </w:rPr>
        <w:t xml:space="preserve">و إنّما لم نذکر هذا القسم فی أقسام تعارض الاستصحابین؛لعدم العثور علی مصداق له؛فإنّ الاستصحابات المتعارضة یکون التنافی بینها من جهة الیقین بارتفاع أحد المستصحبین،و قد عرفت </w:t>
      </w:r>
      <w:r>
        <w:rPr>
          <w:rStyle w:val="FootnoteReference"/>
        </w:rPr>
        <w:footnoteReference w:id="2781"/>
      </w:r>
      <w:r>
        <w:rPr>
          <w:rFonts w:ascii="IRNazanin" w:hAnsi="IRNazanin" w:eastAsia="IRNazanin" w:cs="IRNazanin"/>
          <w:lang w:bidi="fa-IR"/>
          <w:color w:val="111111"/>
          <w:sz w:val="28"/>
          <w:szCs w:val="28"/>
          <w:rtl/>
        </w:rPr>
        <w:t xml:space="preserve">أنّ عدم العمل بکلا الاستصحابین لیس مخالفة لدلیل الاستصحاب سوّغها العجز؛لأنّه نقض الیقین بالیقین،فلم یخرج عن عموم«لا تنقض»عنوان ینطبق</w:t>
      </w:r>
    </w:p>
    <w:p>
      <w:pPr>
        <w:pStyle w:val="BookText"/>
      </w:pPr>
      <w:r>
        <w:rPr>
          <w:rFonts w:ascii="IRNazanin" w:hAnsi="IRNazanin" w:eastAsia="IRNazanin" w:cs="IRNazanin"/>
          <w:lang w:bidi="fa-IR"/>
          <w:color w:val="111111"/>
          <w:sz w:val="28"/>
          <w:szCs w:val="28"/>
          <w:rtl/>
        </w:rPr>
        <w:t xml:space="preserve">[شماره صفحه واقعی : 411]
</w:t>
      </w:r>
    </w:p>
    <w:p>
      <w:pPr>
        <w:sectPr>
          <w:footerReference w:type="default" r:id="rId9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الواحد التخییری.</w:t>
      </w:r>
    </w:p>
    <w:p>
      <w:pPr>
        <w:pStyle w:val="BookText"/>
      </w:pPr>
      <w:r>
        <w:rPr>
          <w:rFonts w:ascii="IRNazanin" w:hAnsi="IRNazanin" w:eastAsia="IRNazanin" w:cs="IRNazanin"/>
          <w:lang w:bidi="fa-IR"/>
          <w:color w:val="111111"/>
          <w:sz w:val="28"/>
          <w:szCs w:val="28"/>
          <w:rtl/>
        </w:rPr>
        <w:t xml:space="preserve">و أیضا:فلیس المقام من قبیل ما کان الخارج من العامّ فردا معیّنا فی الواقع غیر معیّن عندنا لیکون الفرد الآخر الغیر المعیّن باقیا تحت العامّ،کما إذا قال:أکرم العلماء،و خرج فرد واحد غیر معیّن عندنا،فیمکن هنا أیضا الحکم بالتخییر العقلیّ فی الأفراد؛إذ لا استصحاب فی الواقع حتّی یعلم بخروج فرد منه و بقاء فرد آخر؛لأنّ الواقع بقاء إحدی الحالتین و ارتفاع الاخری.</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نعم،نظیره فی الاستصحاب ما لو علمنا بوجوب العمل بأحد الاستصحابین المذکورین و وجوب طرح الآخر،بأن حرم نقض أحد الیقینین بالشکّ و وجب نقض الآخر به.و معلوم أنّ ما نحن فیه لیس کذلک؛لأنّ المعلوم إجمالا فی ما نحن فیه بقاء أحد المستصحبین-لا بوصف زائد-و ارتفاع الآخر،لا اعتبار الشارع لأحد الاستصحابین </w:t>
      </w:r>
      <w:r>
        <w:rPr>
          <w:rStyle w:val="FootnoteReference"/>
        </w:rPr>
        <w:footnoteReference w:id="2782"/>
      </w:r>
      <w:r>
        <w:rPr>
          <w:rFonts w:ascii="IRNazanin" w:hAnsi="IRNazanin" w:eastAsia="IRNazanin" w:cs="IRNazanin"/>
          <w:lang w:bidi="fa-IR"/>
          <w:color w:val="111111"/>
          <w:sz w:val="28"/>
          <w:szCs w:val="28"/>
          <w:rtl/>
        </w:rPr>
        <w:t xml:space="preserve">و إلغاء الآخر.</w:t>
      </w:r>
    </w:p>
    <w:p>
      <w:pPr>
        <w:pStyle w:val="BookText"/>
      </w:pPr>
      <w:r>
        <w:rPr>
          <w:rFonts w:ascii="IRNazanin" w:hAnsi="IRNazanin" w:eastAsia="IRNazanin" w:cs="IRNazanin"/>
          <w:lang w:bidi="fa-IR"/>
          <w:color w:val="111111"/>
          <w:sz w:val="28"/>
          <w:szCs w:val="28"/>
          <w:rtl/>
        </w:rPr>
        <w:t xml:space="preserve">فتبیّن أنّ الخارج من عموم«لا تنقض»لیس واحدا من المتعارضین-لا معیّنا و لا مخیّرا-بل لمّا وجب نقض الیقین بالیقین وجب ترتیب آثار الارتفاع علی المرتفع الواقعیّ،و ترتیب آثار البقاء علی الباقی الواقعیّ،من دون ملاحظة الحالة السابقة فیهما،فیرجع إلی قواعد أخر غیر الاستصحاب،کما لو لم یکونا مسبوقین بحالة سابقة.</w:t>
      </w:r>
    </w:p>
    <w:p>
      <w:pPr>
        <w:pStyle w:val="BookText"/>
      </w:pPr>
      <w:r>
        <w:rPr>
          <w:rFonts w:ascii="IRNazanin" w:hAnsi="IRNazanin" w:eastAsia="IRNazanin" w:cs="IRNazanin"/>
          <w:lang w:bidi="fa-IR"/>
          <w:color w:val="111111"/>
          <w:sz w:val="28"/>
          <w:szCs w:val="28"/>
          <w:rtl/>
        </w:rPr>
        <w:t xml:space="preserve">و لذا لا نفرّق فی حکم الشبهة المحصورة بین کون الحالة السابقة فی المشتبهین هی الطهارة أو النجاسة،و بین عدم حالة سابقة معلومة،فإنّ</w:t>
      </w:r>
    </w:p>
    <w:p>
      <w:pPr>
        <w:pStyle w:val="BookText"/>
      </w:pPr>
      <w:r>
        <w:rPr>
          <w:rFonts w:ascii="IRNazanin" w:hAnsi="IRNazanin" w:eastAsia="IRNazanin" w:cs="IRNazanin"/>
          <w:lang w:bidi="fa-IR"/>
          <w:color w:val="111111"/>
          <w:sz w:val="28"/>
          <w:szCs w:val="28"/>
          <w:rtl/>
        </w:rPr>
        <w:t xml:space="preserve">[شماره صفحه واقعی : 412]
</w:t>
      </w:r>
    </w:p>
    <w:p>
      <w:pPr>
        <w:sectPr>
          <w:footerReference w:type="default" r:id="rId924"/>
          <w:footnotePr>
            <w:numStart w:val="1"/>
            <w:numRestart w:val="eachPage"/>
          </w:footnotePr>
          <w:pgSz w:orient="portrait" w:w="11905.511811023622" w:h="16837.79527559055"/>
          <w:pgMar w:top="1440" w:right="1440" w:bottom="1440" w:left="1440" w:header="720" w:footer="720" w:gutter="0"/>
          <w:cols w:num="1" w:space="720"/>
        </w:sectPr>
      </w:pPr>
    </w:p>
    <w:bookmarkStart w:id="584" w:name="pg14411_143306"/>
    <w:bookmarkEnd w:id="584"/>
    <w:p>
      <w:pPr>
        <w:pStyle w:val="BookText"/>
      </w:pPr>
      <w:r>
        <w:rPr>
          <w:rFonts w:ascii="IRNazanin" w:hAnsi="IRNazanin" w:eastAsia="IRNazanin" w:cs="IRNazanin"/>
          <w:lang w:bidi="fa-IR"/>
          <w:color w:val="111111"/>
          <w:sz w:val="28"/>
          <w:szCs w:val="28"/>
          <w:rtl/>
        </w:rPr>
        <w:t xml:space="preserve">مقتضی القاعدة الرجوع إلی الاحتیاط فیهما،و فیما تقدّم من مسألة الماء النجس المتمّم کرّا الرجوع إلی قاعدة الطهارة،و هکذا.</w:t>
      </w:r>
    </w:p>
    <w:p>
      <w:pPr>
        <w:pStyle w:val="BookText"/>
      </w:pPr>
      <w:r>
        <w:rPr>
          <w:rFonts w:ascii="IRNazanin" w:hAnsi="IRNazanin" w:eastAsia="IRNazanin" w:cs="IRNazanin"/>
          <w:lang w:bidi="fa-IR"/>
          <w:color w:val="111111"/>
          <w:sz w:val="28"/>
          <w:szCs w:val="28"/>
          <w:rtl/>
        </w:rPr>
        <w:t xml:space="preserve">و ممّا ذکرنا یظهر:أنّه لا فرق فی التساقط بین أن یکون فی کلّ من الطرفین أصل واحد،و بین أن یکون فی أحدهما أزید من أصل واحد.فالترجیح بکثرة الاصول بناء علی اعتبارها من باب التعبّد لا وجه له؛لأنّ المفروض أنّ العلم الإجمالیّ یوجب خروج جمیع مجاری الاصول عن مدلول«لا تنقض»علی ما عرفت </w:t>
      </w:r>
      <w:r>
        <w:rPr>
          <w:rStyle w:val="FootnoteReference"/>
        </w:rPr>
        <w:footnoteReference w:id="2783"/>
      </w:r>
      <w:r>
        <w:rPr>
          <w:rFonts w:ascii="IRNazanin" w:hAnsi="IRNazanin" w:eastAsia="IRNazanin" w:cs="IRNazanin"/>
          <w:lang w:bidi="fa-IR"/>
          <w:color w:val="111111"/>
          <w:sz w:val="28"/>
          <w:szCs w:val="28"/>
          <w:rtl/>
        </w:rPr>
        <w:t xml:space="preserve">.نعم یتّجه الترجیح بناء علی اعتبار الاصول من باب الظنّ النوعیّ.</w:t>
      </w:r>
    </w:p>
    <w:p>
      <w:pPr>
        <w:pStyle w:val="Heading6"/>
      </w:pPr>
      <w:bookmarkStart w:id="2176" w:name="_Toc1211"/>
      <w:r>
        <w:t>و أمّا الصورة الثالثة،و هی ما یعمل فیه بالاستصحابین.</w:t>
      </w:r>
      <w:bookmarkEnd w:id="2176"/>
    </w:p>
    <w:p>
      <w:pPr>
        <w:pStyle w:val="BookText"/>
      </w:pPr>
      <w:r>
        <w:rPr>
          <w:rFonts w:ascii="IRNazanin" w:hAnsi="IRNazanin" w:eastAsia="IRNazanin" w:cs="IRNazanin"/>
          <w:lang w:bidi="fa-IR"/>
          <w:color w:val="111111"/>
          <w:sz w:val="28"/>
          <w:szCs w:val="28"/>
          <w:rtl/>
        </w:rPr>
        <w:t xml:space="preserve">فهو ما کان العلم الإجمالیّ بارتفاع أحد المستصحبین فیه غیر مؤثّر شیئا،فمخالفته لا توجب مخالفة عملیّة لحکم شرعیّ،کما لو توضّأ اشتباها بمائع مردّد بین البول و الماء،فإنّه یحکم ببقاء الحدث و طهارة الأعضاء استصحابا لهما.و لیس العلم الإجمالیّ بزوال أحدهما مانعا من ذلک؛إذ الواحد المردّد بین الحدث و طهارة الید </w:t>
      </w:r>
      <w:r>
        <w:rPr>
          <w:rStyle w:val="FootnoteReference"/>
        </w:rPr>
        <w:footnoteReference w:id="2784"/>
      </w:r>
      <w:r>
        <w:rPr>
          <w:rFonts w:ascii="IRNazanin" w:hAnsi="IRNazanin" w:eastAsia="IRNazanin" w:cs="IRNazanin"/>
          <w:lang w:bidi="fa-IR"/>
          <w:color w:val="111111"/>
          <w:sz w:val="28"/>
          <w:szCs w:val="28"/>
          <w:rtl/>
        </w:rPr>
        <w:t xml:space="preserve">لا یترتّب علیه حکم شرعیّ حتّی یکون ترتیبه مانعا عن العمل بالاستصحابین،و لا یلزم من الحکم بوجوب الوضوء و عدم غسل الأعضاء مخالفة عملیّة لحکم شرعیّ أیضا.نعم،ربما یشکل ذلک فی الشبهة الحکمیّة.و قد ذکرنا ما عندنا فی المسألة فی مقدّمات حجّیّة الظنّ،عند التکلّم فی حجّیة العلم </w:t>
      </w:r>
      <w:r>
        <w:rPr>
          <w:rStyle w:val="FootnoteReference"/>
        </w:rPr>
        <w:footnoteReference w:id="27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413]
</w:t>
      </w:r>
    </w:p>
    <w:p>
      <w:pPr>
        <w:sectPr>
          <w:footerReference w:type="default" r:id="rId925"/>
          <w:footnotePr>
            <w:numStart w:val="1"/>
            <w:numRestart w:val="eachPage"/>
          </w:footnotePr>
          <w:pgSz w:orient="portrait" w:w="11905.511811023622" w:h="16837.79527559055"/>
          <w:pgMar w:top="1440" w:right="1440" w:bottom="1440" w:left="1440" w:header="720" w:footer="720" w:gutter="0"/>
          <w:cols w:num="1" w:space="720"/>
        </w:sectPr>
      </w:pPr>
    </w:p>
    <w:bookmarkStart w:id="585" w:name="pg14411_143307"/>
    <w:bookmarkEnd w:id="585"/>
    <w:p>
      <w:pPr>
        <w:pStyle w:val="Heading6"/>
      </w:pPr>
      <w:bookmarkStart w:id="2177" w:name="_Toc1212"/>
      <w:r>
        <w:t>و أمّا الصورة الرابعة،و هی ما یعمل فیه بأحد الاستصحابین.</w:t>
      </w:r>
      <w:bookmarkEnd w:id="2177"/>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[*حیدری فسایی]</w:t>
      </w:r>
    </w:p>
    <w:p>
      <w:pPr>
        <w:pStyle w:val="BookText"/>
      </w:pPr>
      <w:r>
        <w:rPr>
          <w:rFonts w:ascii="IRNazanin" w:hAnsi="IRNazanin" w:eastAsia="IRNazanin" w:cs="IRNazanin"/>
          <w:lang w:bidi="fa-IR"/>
          <w:color w:val="111111"/>
          <w:sz w:val="28"/>
          <w:szCs w:val="28"/>
          <w:rtl/>
        </w:rPr>
        <w:t xml:space="preserve">فهو ما کان أحد المستصحبین المعلوم ارتفاع أحدهما ممّا یکون موردا لابتلاء المکلّف دون الآخر،بحیث لا یتوجّه علی المکلّف تکلیف منجّز یترتّب أثر شرعیّ علیه.و فی الحقیقة هذا خارج عن تعارض الاستصحابین؛إذ قوله:«لا تنقض الیقین»لا یشمل الیقین الذی لا یترتّب علیه فی حقّ المکلّف أثر شرعیّ بحیث لا تعلّق له به أصلا، کما إذا علم إجمالا بطروء الجنابة علیه أو علی غیره،و قد تقدّم أمثلة ذلک </w:t>
      </w:r>
      <w:r>
        <w:rPr>
          <w:rStyle w:val="FootnoteReference"/>
        </w:rPr>
        <w:footnoteReference w:id="27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نظیر هذا کثیر،مثل:أنّه علم إجمالا بحصول التوکیل من الموکّل،إلاّ أنّ الوکیل یدّعی وکالته فی شیء،و الموکّل ینکر توکیله فی ذلک الشیء،فإنّه لا خلاف فی تقدیم قول الموکّل؛لأصالة عدم توکیله فیما یدّعیه الوکیل،و لم یعارضه أحد بأنّ الأصل عدم توکیله فیما یدّعیه الموکّل أیضا.</w:t>
      </w:r>
    </w:p>
    <w:p>
      <w:pPr>
        <w:pStyle w:val="BookText"/>
      </w:pPr>
      <w:r>
        <w:rPr>
          <w:rFonts w:ascii="IRNazanin" w:hAnsi="IRNazanin" w:eastAsia="IRNazanin" w:cs="IRNazanin"/>
          <w:lang w:bidi="fa-IR"/>
          <w:color w:val="111111"/>
          <w:sz w:val="28"/>
          <w:szCs w:val="28"/>
          <w:rtl/>
        </w:rPr>
        <w:t xml:space="preserve">و کذا لو تداعیا فی کون النکاح دائما أو منقطعا،فإنّ الأصل عدم النکاح الدائم من حیث إنّه سبب للإرث و وجوب النفقة و القسم.</w:t>
      </w:r>
    </w:p>
    <w:p>
      <w:pPr>
        <w:pStyle w:val="BookText"/>
      </w:pPr>
      <w:r>
        <w:rPr>
          <w:rFonts w:ascii="IRNazanin" w:hAnsi="IRNazanin" w:eastAsia="IRNazanin" w:cs="IRNazanin"/>
          <w:lang w:bidi="fa-IR"/>
          <w:color w:val="111111"/>
          <w:sz w:val="28"/>
          <w:szCs w:val="28"/>
          <w:rtl/>
        </w:rPr>
        <w:t xml:space="preserve">و یتّضح ذلک بتتبّع کثیر من فروع التنازع فی أبواب الفقه.</w:t>
      </w:r>
    </w:p>
    <w:p>
      <w:pPr>
        <w:pStyle w:val="BookText"/>
      </w:pPr>
      <w:r>
        <w:rPr>
          <w:rFonts w:ascii="IRNazanin" w:hAnsi="IRNazanin" w:eastAsia="IRNazanin" w:cs="IRNazanin"/>
          <w:lang w:bidi="fa-IR"/>
          <w:color w:val="111111"/>
          <w:sz w:val="28"/>
          <w:szCs w:val="28"/>
          <w:rtl/>
        </w:rPr>
        <w:t xml:space="preserve">و لک أن تقول بتساقط الأصلین فی هذه المقامات و الرجوع إلی الاصول الأخر الجاریة فی لوازم المشتبهین،إلاّ أنّ ذلک إنّما یتمشّی فی استصحاب الامور الخارجیّة،أمّا مثل أصالة الطهارة فی کلّ من واجدی المنیّ فإنّه لا وجه للتساقط هنا.</w:t>
      </w:r>
    </w:p>
    <w:p>
      <w:pPr>
        <w:pStyle w:val="BookText"/>
      </w:pPr>
      <w:r>
        <w:rPr>
          <w:rFonts w:ascii="IRNazanin" w:hAnsi="IRNazanin" w:eastAsia="IRNazanin" w:cs="IRNazanin"/>
          <w:lang w:bidi="fa-IR"/>
          <w:color w:val="111111"/>
          <w:sz w:val="28"/>
          <w:szCs w:val="28"/>
          <w:rtl/>
        </w:rPr>
        <w:t xml:space="preserve">[شماره صفحه واقعی : 414]
</w:t>
      </w:r>
    </w:p>
    <w:p>
      <w:pPr>
        <w:sectPr>
          <w:footerReference w:type="default" r:id="rId9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لو فرض فی هذه الأمثلة أثر لذلک الاستصحاب الآخر،دخل فی القسم الأوّل </w:t>
      </w:r>
      <w:r>
        <w:rPr>
          <w:rStyle w:val="FootnoteReference"/>
        </w:rPr>
        <w:footnoteReference w:id="2787"/>
      </w:r>
      <w:r>
        <w:rPr>
          <w:rFonts w:ascii="IRNazanin" w:hAnsi="IRNazanin" w:eastAsia="IRNazanin" w:cs="IRNazanin"/>
          <w:lang w:bidi="fa-IR"/>
          <w:color w:val="111111"/>
          <w:sz w:val="28"/>
          <w:szCs w:val="28"/>
          <w:rtl/>
        </w:rPr>
        <w:t xml:space="preserve">إن کان الجمع بینه و بین الاستصحاب مستلزما لطرح علم إجمالیّ معتبر فی العمل،و لا عبرة بغیر المعتبر،کما فی الشبهة الغیر المحصورة.و فی القسم الثانی </w:t>
      </w:r>
      <w:r>
        <w:rPr>
          <w:rStyle w:val="FootnoteReference"/>
        </w:rPr>
        <w:footnoteReference w:id="2788"/>
      </w:r>
      <w:r>
        <w:rPr>
          <w:rFonts w:ascii="IRNazanin" w:hAnsi="IRNazanin" w:eastAsia="IRNazanin" w:cs="IRNazanin"/>
          <w:lang w:bidi="fa-IR"/>
          <w:color w:val="111111"/>
          <w:sz w:val="28"/>
          <w:szCs w:val="28"/>
          <w:rtl/>
        </w:rPr>
        <w:t xml:space="preserve">إن لم یکن هناک مخالفة عملیّة لعلم إجمالیّ معتبر.</w:t>
      </w:r>
    </w:p>
    <w:p>
      <w:pPr>
        <w:pStyle w:val="BookText"/>
      </w:pPr>
      <w:r>
        <w:rPr>
          <w:rFonts w:ascii="IRNazanin" w:hAnsi="IRNazanin" w:eastAsia="IRNazanin" w:cs="IRNazanin"/>
          <w:lang w:bidi="fa-IR"/>
          <w:color w:val="111111"/>
          <w:sz w:val="28"/>
          <w:szCs w:val="28"/>
          <w:rtl/>
        </w:rPr>
        <w:t xml:space="preserve">فعلیک بالتأمّل فی موارد اجتماع یقینین سابقین مع العلم الإجمالیّ -من عقل أو شرع أو غیرهما-بارتفاع أحدهما و بقاء الآخر.</w:t>
      </w:r>
    </w:p>
    <w:p>
      <w:pPr>
        <w:pStyle w:val="BookText"/>
      </w:pPr>
      <w:r>
        <w:rPr>
          <w:rFonts w:ascii="IRNazanin" w:hAnsi="IRNazanin" w:eastAsia="IRNazanin" w:cs="IRNazanin"/>
          <w:lang w:bidi="fa-IR"/>
          <w:color w:val="111111"/>
          <w:sz w:val="28"/>
          <w:szCs w:val="28"/>
          <w:rtl/>
        </w:rPr>
        <w:t xml:space="preserve">و العلماء و إن کان ظاهرهم الاتفاق علی عدم وجوب الفحص فی إجراء الاصول فی الشبهات الموضوعیّة،و لازمه جواز إجراء المقلّد لها بعد أخذ فتوی جواز الأخذ بها من المجتهد،إلاّ أنّ تشخیص سلامتها عن الاصول الحاکمة علیها لیس وظیفة کلّ أحد،فلا بدّ إمّا من قدرة المقلّد علی تشخیص الحاکم من الاصول علی غیره منها،و إمّا من أخذ خصوصیّات الاصول السلیمة عن الحاکم من المجتهد،و إلاّ فربما یلتفت إلی الاستصحاب المحکوم من دون التفات إلی الاستصحاب الحاکم.</w:t>
      </w:r>
    </w:p>
    <w:p>
      <w:pPr>
        <w:pStyle w:val="BookText"/>
      </w:pPr>
      <w:r>
        <w:rPr>
          <w:rFonts w:ascii="IRNazanin" w:hAnsi="IRNazanin" w:eastAsia="IRNazanin" w:cs="IRNazanin"/>
          <w:lang w:bidi="fa-IR"/>
          <w:color w:val="111111"/>
          <w:sz w:val="28"/>
          <w:szCs w:val="28"/>
          <w:rtl/>
        </w:rPr>
        <w:t xml:space="preserve">و هذا یرجع فی الحقیقة إلی تشخیص الحکم الشرعیّ،نظیر تشخیص حجّیّة أصل الاستصحاب و عدمها.عصمنا اللّه و إخواننا من الزلل،فی القول و العمل،بجاه محمّد و آله المعصومین،صلوات اللّه علیهم أجمعین.</w:t>
      </w:r>
    </w:p>
    <w:p>
      <w:pPr>
        <w:pStyle w:val="BookText"/>
      </w:pPr>
      <w:r>
        <w:rPr>
          <w:rFonts w:ascii="IRNazanin" w:hAnsi="IRNazanin" w:eastAsia="IRNazanin" w:cs="IRNazanin"/>
          <w:lang w:bidi="fa-IR"/>
          <w:color w:val="111111"/>
          <w:sz w:val="28"/>
          <w:szCs w:val="28"/>
          <w:rtl/>
        </w:rPr>
        <w:t xml:space="preserve">[شماره صفحه واقعی : 415]
</w:t>
      </w:r>
    </w:p>
    <w:p>
      <w:pPr>
        <w:sectPr>
          <w:footerReference w:type="default" r:id="rId9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416]
</w:t>
      </w:r>
    </w:p>
    <w:p>
      <w:pPr>
        <w:sectPr>
          <w:footerReference w:type="default" r:id="rId9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تمّ الجزء الثالث و یلیه الجزء الرابع فی التعادل و التراجیح</w:t>
      </w:r>
    </w:p>
    <w:p>
      <w:pPr>
        <w:pStyle w:val="BookText"/>
      </w:pPr>
      <w:r>
        <w:rPr>
          <w:rFonts w:ascii="IRNazanin" w:hAnsi="IRNazanin" w:eastAsia="IRNazanin" w:cs="IRNazanin"/>
          <w:lang w:bidi="fa-IR"/>
          <w:color w:val="111111"/>
          <w:sz w:val="28"/>
          <w:szCs w:val="28"/>
          <w:rtl/>
        </w:rPr>
        <w:t xml:space="preserve">[شماره صفحه واقعی : 417]
</w:t>
      </w:r>
    </w:p>
    <w:p>
      <w:pPr>
        <w:sectPr>
          <w:footerReference w:type="default" r:id="rId9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418]
</w:t>
      </w:r>
    </w:p>
    <w:p>
      <w:pPr>
        <w:sectPr>
          <w:footerReference w:type="default" r:id="rId930"/>
          <w:footnotePr>
            <w:numStart w:val="1"/>
            <w:numRestart w:val="eachPage"/>
          </w:footnotePr>
          <w:pgSz w:orient="portrait" w:w="11905.511811023622" w:h="16837.79527559055"/>
          <w:pgMar w:top="1440" w:right="1440" w:bottom="1440" w:left="1440" w:header="720" w:footer="720" w:gutter="0"/>
          <w:cols w:num="1" w:space="720"/>
        </w:sectPr>
      </w:pPr>
    </w:p>
    <w:bookmarkStart w:id="586" w:name="pg14411_143312"/>
    <w:bookmarkEnd w:id="586"/>
    <w:p>
      <w:pPr>
        <w:pStyle w:val="Heading4"/>
      </w:pPr>
      <w:bookmarkStart w:id="2178" w:name="_Toc1213"/>
      <w:r>
        <w:t>العناوین العامّة</w:t>
      </w:r>
      <w:bookmarkEnd w:id="2178"/>
    </w:p>
    <w:p>
      <w:pPr>
        <w:pStyle w:val="Heading5"/>
      </w:pPr>
      <w:bookmarkStart w:id="2179" w:name="_Toc1214"/>
      <w:r>
        <w:t>اشارة</w:t>
      </w:r>
      <w:bookmarkEnd w:id="2179"/>
    </w:p>
    <w:p>
      <w:pPr>
        <w:pStyle w:val="BookText"/>
      </w:pPr>
      <w:r>
        <w:rPr>
          <w:rFonts w:ascii="IRNazanin" w:hAnsi="IRNazanin" w:eastAsia="IRNazanin" w:cs="IRNazanin"/>
          <w:lang w:bidi="fa-IR"/>
          <w:color w:val="111111"/>
          <w:sz w:val="28"/>
          <w:szCs w:val="28"/>
          <w:rtl/>
        </w:rPr>
        <w:t xml:space="preserve">الکلام فی امور 13</w:t>
      </w:r>
    </w:p>
    <w:p>
      <w:pPr>
        <w:pStyle w:val="BookText"/>
      </w:pPr>
      <w:r>
        <w:rPr>
          <w:rFonts w:ascii="IRNazanin" w:hAnsi="IRNazanin" w:eastAsia="IRNazanin" w:cs="IRNazanin"/>
          <w:lang w:bidi="fa-IR"/>
          <w:color w:val="111111"/>
          <w:sz w:val="28"/>
          <w:szCs w:val="28"/>
          <w:rtl/>
        </w:rPr>
        <w:t xml:space="preserve">أخبار الاستصحاب 55</w:t>
      </w:r>
    </w:p>
    <w:p>
      <w:pPr>
        <w:pStyle w:val="BookText"/>
      </w:pPr>
      <w:r>
        <w:rPr>
          <w:rFonts w:ascii="IRNazanin" w:hAnsi="IRNazanin" w:eastAsia="IRNazanin" w:cs="IRNazanin"/>
          <w:lang w:bidi="fa-IR"/>
          <w:color w:val="111111"/>
          <w:sz w:val="28"/>
          <w:szCs w:val="28"/>
          <w:rtl/>
        </w:rPr>
        <w:t xml:space="preserve">الأقوال فی حجّیة الاستصحاب 83</w:t>
      </w:r>
    </w:p>
    <w:p>
      <w:pPr>
        <w:pStyle w:val="BookText"/>
      </w:pPr>
      <w:r>
        <w:rPr>
          <w:rFonts w:ascii="IRNazanin" w:hAnsi="IRNazanin" w:eastAsia="IRNazanin" w:cs="IRNazanin"/>
          <w:lang w:bidi="fa-IR"/>
          <w:color w:val="111111"/>
          <w:sz w:val="28"/>
          <w:szCs w:val="28"/>
          <w:rtl/>
        </w:rPr>
        <w:t xml:space="preserve">تنبیهات الاستصحاب 191</w:t>
      </w:r>
    </w:p>
    <w:p>
      <w:pPr>
        <w:pStyle w:val="BookText"/>
      </w:pPr>
      <w:r>
        <w:rPr>
          <w:rFonts w:ascii="IRNazanin" w:hAnsi="IRNazanin" w:eastAsia="IRNazanin" w:cs="IRNazanin"/>
          <w:lang w:bidi="fa-IR"/>
          <w:color w:val="111111"/>
          <w:sz w:val="28"/>
          <w:szCs w:val="28"/>
          <w:rtl/>
        </w:rPr>
        <w:t xml:space="preserve">شرائط العمل بالاستصحاب 289</w:t>
      </w:r>
    </w:p>
    <w:p>
      <w:pPr>
        <w:pStyle w:val="BookText"/>
      </w:pPr>
      <w:r>
        <w:rPr>
          <w:rFonts w:ascii="IRNazanin" w:hAnsi="IRNazanin" w:eastAsia="IRNazanin" w:cs="IRNazanin"/>
          <w:lang w:bidi="fa-IR"/>
          <w:color w:val="111111"/>
          <w:sz w:val="28"/>
          <w:szCs w:val="28"/>
          <w:rtl/>
        </w:rPr>
        <w:t xml:space="preserve">تعارض الاستصحاب مع سائر الأمارات و الاصول 320</w:t>
      </w:r>
    </w:p>
    <w:p>
      <w:pPr>
        <w:pStyle w:val="BookText"/>
      </w:pPr>
      <w:r>
        <w:rPr>
          <w:rFonts w:ascii="Amiri" w:hAnsi="Amiri" w:eastAsia="Amiri" w:cs="Amiri"/>
          <w:lang w:bidi="ar-SA"/>
          <w:color w:val="111111"/>
          <w:sz w:val="28"/>
          <w:szCs w:val="28"/>
          <w:rtl/>
        </w:rPr>
        <w:t xml:space="preserve">قاعدة الفراغ و التجاوز 325</w:t>
      </w:r>
    </w:p>
    <w:p>
      <w:pPr>
        <w:pStyle w:val="BookText"/>
      </w:pPr>
      <w:r>
        <w:rPr>
          <w:rFonts w:ascii="IRNazanin" w:hAnsi="IRNazanin" w:eastAsia="IRNazanin" w:cs="IRNazanin"/>
          <w:lang w:bidi="fa-IR"/>
          <w:color w:val="111111"/>
          <w:sz w:val="28"/>
          <w:szCs w:val="28"/>
          <w:rtl/>
        </w:rPr>
        <w:t xml:space="preserve">أصالة الصحّة فی فعل الغیر 345</w:t>
      </w:r>
    </w:p>
    <w:p>
      <w:pPr>
        <w:pStyle w:val="BookText"/>
      </w:pPr>
      <w:r>
        <w:rPr>
          <w:rFonts w:ascii="IRNazanin" w:hAnsi="IRNazanin" w:eastAsia="IRNazanin" w:cs="IRNazanin"/>
          <w:lang w:bidi="fa-IR"/>
          <w:color w:val="111111"/>
          <w:sz w:val="28"/>
          <w:szCs w:val="28"/>
          <w:rtl/>
        </w:rPr>
        <w:t xml:space="preserve">تعارض الاستصحابین 393</w:t>
      </w:r>
    </w:p>
    <w:p>
      <w:pPr>
        <w:pStyle w:val="BookText"/>
      </w:pPr>
      <w:r>
        <w:rPr>
          <w:rFonts w:ascii="IRNazanin" w:hAnsi="IRNazanin" w:eastAsia="IRNazanin" w:cs="IRNazanin"/>
          <w:lang w:bidi="fa-IR"/>
          <w:color w:val="111111"/>
          <w:sz w:val="28"/>
          <w:szCs w:val="28"/>
          <w:rtl/>
        </w:rPr>
        <w:t xml:space="preserve">[شماره صفحه واقعی : 419]
</w:t>
      </w:r>
    </w:p>
    <w:p>
      <w:pPr>
        <w:sectPr>
          <w:footerReference w:type="default" r:id="rId9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420]
</w:t>
      </w:r>
    </w:p>
    <w:p>
      <w:pPr>
        <w:sectPr>
          <w:footerReference w:type="default" r:id="rId932"/>
          <w:footnotePr>
            <w:numStart w:val="1"/>
            <w:numRestart w:val="eachPage"/>
          </w:footnotePr>
          <w:pgSz w:orient="portrait" w:w="11905.511811023622" w:h="16837.79527559055"/>
          <w:pgMar w:top="1440" w:right="1440" w:bottom="1440" w:left="1440" w:header="720" w:footer="720" w:gutter="0"/>
          <w:cols w:num="1" w:space="720"/>
        </w:sectPr>
      </w:pPr>
    </w:p>
    <w:bookmarkStart w:id="587" w:name="pg14411_143314"/>
    <w:bookmarkEnd w:id="587"/>
    <w:p>
      <w:pPr>
        <w:pStyle w:val="Heading5"/>
      </w:pPr>
      <w:bookmarkStart w:id="2180" w:name="_Toc1215"/>
      <w:r>
        <w:t>فهرس المحتوی</w:t>
      </w:r>
      <w:bookmarkEnd w:id="2180"/>
    </w:p>
    <w:p>
      <w:pPr>
        <w:pStyle w:val="BookText"/>
      </w:pPr>
      <w:r>
        <w:rPr>
          <w:rFonts w:ascii="IRNazanin" w:hAnsi="IRNazanin" w:eastAsia="IRNazanin" w:cs="IRNazanin"/>
          <w:lang w:bidi="fa-IR"/>
          <w:color w:val="111111"/>
          <w:sz w:val="28"/>
          <w:szCs w:val="28"/>
          <w:rtl/>
        </w:rPr>
        <w:t xml:space="preserve">المقام الثانی فی الاستصحاب الاستصحاب لغة و اصطلاحا 9</w:t>
      </w:r>
    </w:p>
    <w:p>
      <w:pPr>
        <w:pStyle w:val="BookText"/>
      </w:pPr>
      <w:r>
        <w:rPr>
          <w:rFonts w:ascii="IRNazanin" w:hAnsi="IRNazanin" w:eastAsia="IRNazanin" w:cs="IRNazanin"/>
          <w:lang w:bidi="fa-IR"/>
          <w:color w:val="111111"/>
          <w:sz w:val="28"/>
          <w:szCs w:val="28"/>
          <w:rtl/>
        </w:rPr>
        <w:t xml:space="preserve">الکلام فی امور:</w:t>
      </w:r>
    </w:p>
    <w:p>
      <w:pPr>
        <w:pStyle w:val="BookText"/>
      </w:pPr>
      <w:r>
        <w:rPr>
          <w:rFonts w:ascii="IRNazanin" w:hAnsi="IRNazanin" w:eastAsia="IRNazanin" w:cs="IRNazanin"/>
          <w:lang w:bidi="fa-IR"/>
          <w:color w:val="111111"/>
          <w:sz w:val="28"/>
          <w:szCs w:val="28"/>
          <w:rtl/>
        </w:rPr>
        <w:t xml:space="preserve">الأوّل:هل الاستصحاب أصل عملیّ أو أمارة ظنّیة؟13</w:t>
      </w:r>
    </w:p>
    <w:p>
      <w:pPr>
        <w:pStyle w:val="BookText"/>
      </w:pPr>
      <w:r>
        <w:rPr>
          <w:rFonts w:ascii="IRNazanin" w:hAnsi="IRNazanin" w:eastAsia="IRNazanin" w:cs="IRNazanin"/>
          <w:lang w:bidi="fa-IR"/>
          <w:color w:val="111111"/>
          <w:sz w:val="28"/>
          <w:szCs w:val="28"/>
          <w:rtl/>
        </w:rPr>
        <w:t xml:space="preserve">المختار کونه من الاصول العملیّة 13</w:t>
      </w:r>
    </w:p>
    <w:p>
      <w:pPr>
        <w:pStyle w:val="BookText"/>
      </w:pPr>
      <w:r>
        <w:rPr>
          <w:rFonts w:ascii="IRNazanin" w:hAnsi="IRNazanin" w:eastAsia="IRNazanin" w:cs="IRNazanin"/>
          <w:lang w:bidi="fa-IR"/>
          <w:color w:val="111111"/>
          <w:sz w:val="28"/>
          <w:szCs w:val="28"/>
          <w:rtl/>
        </w:rPr>
        <w:t xml:space="preserve">الثانی:الوجه فی عدّ الاستصحاب من الأدلّة العقلیّة 16</w:t>
      </w:r>
    </w:p>
    <w:p>
      <w:pPr>
        <w:pStyle w:val="BookText"/>
      </w:pPr>
      <w:r>
        <w:rPr>
          <w:rFonts w:ascii="IRNazanin" w:hAnsi="IRNazanin" w:eastAsia="IRNazanin" w:cs="IRNazanin"/>
          <w:lang w:bidi="fa-IR"/>
          <w:color w:val="111111"/>
          <w:sz w:val="28"/>
          <w:szCs w:val="28"/>
          <w:rtl/>
        </w:rPr>
        <w:t xml:space="preserve">الثالث:هل الاستصحاب مسألة اصولیّة أو فقهیّة؟17</w:t>
      </w:r>
    </w:p>
    <w:p>
      <w:pPr>
        <w:pStyle w:val="BookText"/>
      </w:pPr>
      <w:r>
        <w:rPr>
          <w:rFonts w:ascii="IRNazanin" w:hAnsi="IRNazanin" w:eastAsia="IRNazanin" w:cs="IRNazanin"/>
          <w:lang w:bidi="fa-IR"/>
          <w:color w:val="111111"/>
          <w:sz w:val="28"/>
          <w:szCs w:val="28"/>
          <w:rtl/>
        </w:rPr>
        <w:t xml:space="preserve">بناء علی کونه حکما عقلیا فهو مسألة اصولیّة 17</w:t>
      </w:r>
    </w:p>
    <w:p>
      <w:pPr>
        <w:pStyle w:val="BookText"/>
      </w:pPr>
      <w:r>
        <w:rPr>
          <w:rFonts w:ascii="IRNazanin" w:hAnsi="IRNazanin" w:eastAsia="IRNazanin" w:cs="IRNazanin"/>
          <w:lang w:bidi="fa-IR"/>
          <w:color w:val="111111"/>
          <w:sz w:val="28"/>
          <w:szCs w:val="28"/>
          <w:rtl/>
        </w:rPr>
        <w:t xml:space="preserve">بناء علی کونه من الاصول العملیّة ففی کونه من المسائل الاصولیّة غموض 18</w:t>
      </w:r>
    </w:p>
    <w:p>
      <w:pPr>
        <w:pStyle w:val="BookText"/>
      </w:pPr>
      <w:r>
        <w:rPr>
          <w:rFonts w:ascii="IRNazanin" w:hAnsi="IRNazanin" w:eastAsia="IRNazanin" w:cs="IRNazanin"/>
          <w:lang w:bidi="fa-IR"/>
          <w:color w:val="111111"/>
          <w:sz w:val="28"/>
          <w:szCs w:val="28"/>
          <w:rtl/>
        </w:rPr>
        <w:t xml:space="preserve">الإشکال فی کون الاستصحاب من المسائل الفرعیة 18</w:t>
      </w:r>
    </w:p>
    <w:p>
      <w:pPr>
        <w:pStyle w:val="BookText"/>
      </w:pPr>
      <w:r>
        <w:rPr>
          <w:rFonts w:ascii="IRNazanin" w:hAnsi="IRNazanin" w:eastAsia="IRNazanin" w:cs="IRNazanin"/>
          <w:lang w:bidi="fa-IR"/>
          <w:color w:val="111111"/>
          <w:sz w:val="28"/>
          <w:szCs w:val="28"/>
          <w:rtl/>
        </w:rPr>
        <w:t xml:space="preserve">الاستصحاب الجاری فی الشبهة الموضوعیّة 20</w:t>
      </w:r>
    </w:p>
    <w:p>
      <w:pPr>
        <w:pStyle w:val="BookText"/>
      </w:pPr>
      <w:r>
        <w:rPr>
          <w:rFonts w:ascii="IRNazanin" w:hAnsi="IRNazanin" w:eastAsia="IRNazanin" w:cs="IRNazanin"/>
          <w:lang w:bidi="fa-IR"/>
          <w:color w:val="111111"/>
          <w:sz w:val="28"/>
          <w:szCs w:val="28"/>
          <w:rtl/>
        </w:rPr>
        <w:t xml:space="preserve">[شماره صفحه واقعی : 421]
</w:t>
      </w:r>
    </w:p>
    <w:p>
      <w:pPr>
        <w:sectPr>
          <w:footerReference w:type="default" r:id="rId9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الرابع:مناط الاستصحاب بناء علی کونه من باب التعبّد 21</w:t>
      </w:r>
    </w:p>
    <w:p>
      <w:pPr>
        <w:pStyle w:val="BookText"/>
      </w:pPr>
      <w:r>
        <w:rPr>
          <w:rFonts w:ascii="IRNazanin" w:hAnsi="IRNazanin" w:eastAsia="IRNazanin" w:cs="IRNazanin"/>
          <w:lang w:bidi="fa-IR"/>
          <w:color w:val="111111"/>
          <w:sz w:val="28"/>
          <w:szCs w:val="28"/>
          <w:rtl/>
        </w:rPr>
        <w:t xml:space="preserve">لیس المناط الظنّ الشخصی بناء علی کونه من باب الظنّ 21</w:t>
      </w:r>
    </w:p>
    <w:p>
      <w:pPr>
        <w:pStyle w:val="BookText"/>
      </w:pPr>
      <w:r>
        <w:rPr>
          <w:rFonts w:ascii="IRNazanin" w:hAnsi="IRNazanin" w:eastAsia="IRNazanin" w:cs="IRNazanin"/>
          <w:lang w:bidi="fa-IR"/>
          <w:color w:val="111111"/>
          <w:sz w:val="28"/>
          <w:szCs w:val="28"/>
          <w:rtl/>
        </w:rPr>
        <w:t xml:space="preserve">الخامس:تقوّم الاستصحاب بأمرین:الیقین بالحدوث،و الشکّ فی البقاء 24</w:t>
      </w:r>
    </w:p>
    <w:p>
      <w:pPr>
        <w:pStyle w:val="BookText"/>
      </w:pPr>
      <w:r>
        <w:rPr>
          <w:rFonts w:ascii="IRNazanin" w:hAnsi="IRNazanin" w:eastAsia="IRNazanin" w:cs="IRNazanin"/>
          <w:lang w:bidi="fa-IR"/>
          <w:color w:val="111111"/>
          <w:sz w:val="28"/>
          <w:szCs w:val="28"/>
          <w:rtl/>
        </w:rPr>
        <w:t xml:space="preserve">الاستصحاب القهقری 24</w:t>
      </w:r>
    </w:p>
    <w:p>
      <w:pPr>
        <w:pStyle w:val="BookText"/>
      </w:pPr>
      <w:r>
        <w:rPr>
          <w:rFonts w:ascii="IRNazanin" w:hAnsi="IRNazanin" w:eastAsia="IRNazanin" w:cs="IRNazanin"/>
          <w:lang w:bidi="fa-IR"/>
          <w:color w:val="111111"/>
          <w:sz w:val="28"/>
          <w:szCs w:val="28"/>
          <w:rtl/>
        </w:rPr>
        <w:t xml:space="preserve">المعتبر هو الشکّ الفعلی 25</w:t>
      </w:r>
    </w:p>
    <w:p>
      <w:pPr>
        <w:pStyle w:val="BookText"/>
      </w:pPr>
      <w:r>
        <w:rPr>
          <w:rFonts w:ascii="IRNazanin" w:hAnsi="IRNazanin" w:eastAsia="IRNazanin" w:cs="IRNazanin"/>
          <w:lang w:bidi="fa-IR"/>
          <w:color w:val="111111"/>
          <w:sz w:val="28"/>
          <w:szCs w:val="28"/>
          <w:rtl/>
        </w:rPr>
        <w:t xml:space="preserve">السادس:تقسیم الاستصحاب من وجوه:26</w:t>
      </w:r>
    </w:p>
    <w:p>
      <w:pPr>
        <w:pStyle w:val="BookText"/>
      </w:pPr>
      <w:r>
        <w:rPr>
          <w:rFonts w:ascii="IRNazanin" w:hAnsi="IRNazanin" w:eastAsia="IRNazanin" w:cs="IRNazanin"/>
          <w:lang w:bidi="fa-IR"/>
          <w:color w:val="111111"/>
          <w:sz w:val="28"/>
          <w:szCs w:val="28"/>
          <w:rtl/>
        </w:rPr>
        <w:t xml:space="preserve">1-تقسیمه باعتبار المستصحب 26</w:t>
      </w:r>
    </w:p>
    <w:p>
      <w:pPr>
        <w:pStyle w:val="BookText"/>
      </w:pPr>
      <w:r>
        <w:rPr>
          <w:rFonts w:ascii="Amiri" w:hAnsi="Amiri" w:eastAsia="Amiri" w:cs="Amiri"/>
          <w:lang w:bidi="ar-SA"/>
          <w:color w:val="111111"/>
          <w:sz w:val="28"/>
          <w:szCs w:val="28"/>
          <w:rtl/>
        </w:rPr>
        <w:t xml:space="preserve">المستصحب إمّا وجودیّ و إمّا عدمیّ 26</w:t>
      </w:r>
    </w:p>
    <w:p>
      <w:pPr>
        <w:pStyle w:val="BookText"/>
      </w:pPr>
      <w:r>
        <w:rPr>
          <w:rFonts w:ascii="IRNazanin" w:hAnsi="IRNazanin" w:eastAsia="IRNazanin" w:cs="IRNazanin"/>
          <w:lang w:bidi="fa-IR"/>
          <w:color w:val="111111"/>
          <w:sz w:val="28"/>
          <w:szCs w:val="28"/>
          <w:rtl/>
        </w:rPr>
        <w:t xml:space="preserve">کلام شریف العلماء فی خروج العدمیّات عن محلّ النزاع 27</w:t>
      </w:r>
    </w:p>
    <w:p>
      <w:pPr>
        <w:pStyle w:val="BookText"/>
      </w:pPr>
      <w:r>
        <w:rPr>
          <w:rFonts w:ascii="IRNazanin" w:hAnsi="IRNazanin" w:eastAsia="IRNazanin" w:cs="IRNazanin"/>
          <w:lang w:bidi="fa-IR"/>
          <w:color w:val="111111"/>
          <w:sz w:val="28"/>
          <w:szCs w:val="28"/>
          <w:rtl/>
        </w:rPr>
        <w:t xml:space="preserve">المناقشة فیما أفاده شریف العلماء 28</w:t>
      </w:r>
    </w:p>
    <w:p>
      <w:pPr>
        <w:pStyle w:val="BookText"/>
      </w:pPr>
      <w:r>
        <w:rPr>
          <w:rFonts w:ascii="IRNazanin" w:hAnsi="IRNazanin" w:eastAsia="IRNazanin" w:cs="IRNazanin"/>
          <w:lang w:bidi="fa-IR"/>
          <w:color w:val="111111"/>
          <w:sz w:val="28"/>
          <w:szCs w:val="28"/>
          <w:rtl/>
        </w:rPr>
        <w:t xml:space="preserve">قیام السیرة علی التمسّک بالاصول الوجودیّة و العدمیّة فی باب الألفاظ 28</w:t>
      </w:r>
    </w:p>
    <w:p>
      <w:pPr>
        <w:pStyle w:val="BookText"/>
      </w:pPr>
      <w:r>
        <w:rPr>
          <w:rFonts w:ascii="IRNazanin" w:hAnsi="IRNazanin" w:eastAsia="IRNazanin" w:cs="IRNazanin"/>
          <w:lang w:bidi="fa-IR"/>
          <w:color w:val="111111"/>
          <w:sz w:val="28"/>
          <w:szCs w:val="28"/>
          <w:rtl/>
        </w:rPr>
        <w:t xml:space="preserve">ما یظهر منه الاختصاص بالوجودیّات و مناقشته 29</w:t>
      </w:r>
    </w:p>
    <w:p>
      <w:pPr>
        <w:pStyle w:val="BookText"/>
      </w:pPr>
      <w:r>
        <w:rPr>
          <w:rFonts w:ascii="IRNazanin" w:hAnsi="IRNazanin" w:eastAsia="IRNazanin" w:cs="IRNazanin"/>
          <w:lang w:bidi="fa-IR"/>
          <w:color w:val="111111"/>
          <w:sz w:val="28"/>
          <w:szCs w:val="28"/>
          <w:rtl/>
        </w:rPr>
        <w:t xml:space="preserve">التتبّع یشهد بعدم خروج العدمیّات عن محلّ النزاع 30</w:t>
      </w:r>
    </w:p>
    <w:p>
      <w:pPr>
        <w:pStyle w:val="BookText"/>
      </w:pPr>
      <w:r>
        <w:rPr>
          <w:rFonts w:ascii="IRNazanin" w:hAnsi="IRNazanin" w:eastAsia="IRNazanin" w:cs="IRNazanin"/>
          <w:lang w:bidi="fa-IR"/>
          <w:color w:val="111111"/>
          <w:sz w:val="28"/>
          <w:szCs w:val="28"/>
          <w:rtl/>
        </w:rPr>
        <w:t xml:space="preserve">ظاهر جماعة خروج بعض العدمیّات عن محلّ النزاع 31</w:t>
      </w:r>
    </w:p>
    <w:p>
      <w:pPr>
        <w:pStyle w:val="BookText"/>
      </w:pPr>
      <w:r>
        <w:rPr>
          <w:rFonts w:ascii="IRNazanin" w:hAnsi="IRNazanin" w:eastAsia="IRNazanin" w:cs="IRNazanin"/>
          <w:lang w:bidi="fa-IR"/>
          <w:color w:val="111111"/>
          <w:sz w:val="28"/>
          <w:szCs w:val="28"/>
          <w:rtl/>
        </w:rPr>
        <w:t xml:space="preserve">المستصحب إمّا حکم شرعیّ و إمّا من الامور الخارجیّة 32</w:t>
      </w:r>
    </w:p>
    <w:p>
      <w:pPr>
        <w:pStyle w:val="BookText"/>
      </w:pPr>
      <w:r>
        <w:rPr>
          <w:rFonts w:ascii="IRNazanin" w:hAnsi="IRNazanin" w:eastAsia="IRNazanin" w:cs="IRNazanin"/>
          <w:lang w:bidi="fa-IR"/>
          <w:color w:val="111111"/>
          <w:sz w:val="28"/>
          <w:szCs w:val="28"/>
          <w:rtl/>
        </w:rPr>
        <w:t xml:space="preserve">وقوع الخلاف فی کلیهما 32</w:t>
      </w:r>
    </w:p>
    <w:p>
      <w:pPr>
        <w:pStyle w:val="BookText"/>
      </w:pPr>
      <w:r>
        <w:rPr>
          <w:rFonts w:ascii="IRNazanin" w:hAnsi="IRNazanin" w:eastAsia="IRNazanin" w:cs="IRNazanin"/>
          <w:lang w:bidi="fa-IR"/>
          <w:color w:val="111111"/>
          <w:sz w:val="28"/>
          <w:szCs w:val="28"/>
          <w:rtl/>
        </w:rPr>
        <w:t xml:space="preserve">للحکم الشرعی إطلاقان:33</w:t>
      </w:r>
    </w:p>
    <w:p>
      <w:pPr>
        <w:pStyle w:val="BookText"/>
      </w:pPr>
      <w:r>
        <w:rPr>
          <w:rFonts w:ascii="IRNazanin" w:hAnsi="IRNazanin" w:eastAsia="IRNazanin" w:cs="IRNazanin"/>
          <w:lang w:bidi="fa-IR"/>
          <w:color w:val="111111"/>
          <w:sz w:val="28"/>
          <w:szCs w:val="28"/>
          <w:rtl/>
        </w:rPr>
        <w:t xml:space="preserve">1-الحکم الکلّی 33</w:t>
      </w:r>
    </w:p>
    <w:p>
      <w:pPr>
        <w:pStyle w:val="BookText"/>
      </w:pPr>
      <w:r>
        <w:rPr>
          <w:rFonts w:ascii="IRNazanin" w:hAnsi="IRNazanin" w:eastAsia="IRNazanin" w:cs="IRNazanin"/>
          <w:lang w:bidi="fa-IR"/>
          <w:color w:val="111111"/>
          <w:sz w:val="28"/>
          <w:szCs w:val="28"/>
          <w:rtl/>
        </w:rPr>
        <w:t xml:space="preserve">2-ما یعمّ الحکم الجزئی 33</w:t>
      </w:r>
    </w:p>
    <w:p>
      <w:pPr>
        <w:pStyle w:val="BookText"/>
      </w:pPr>
      <w:r>
        <w:rPr>
          <w:rFonts w:ascii="IRNazanin" w:hAnsi="IRNazanin" w:eastAsia="IRNazanin" w:cs="IRNazanin"/>
          <w:lang w:bidi="fa-IR"/>
          <w:color w:val="111111"/>
          <w:sz w:val="28"/>
          <w:szCs w:val="28"/>
          <w:rtl/>
        </w:rPr>
        <w:t xml:space="preserve">إنکار الأخباریین جریان الاستصحاب فی الحکم بالإطلاق الأوّل 33</w:t>
      </w:r>
    </w:p>
    <w:p>
      <w:pPr>
        <w:pStyle w:val="BookText"/>
      </w:pPr>
      <w:r>
        <w:rPr>
          <w:rFonts w:ascii="IRNazanin" w:hAnsi="IRNazanin" w:eastAsia="IRNazanin" w:cs="IRNazanin"/>
          <w:lang w:bidi="fa-IR"/>
          <w:color w:val="111111"/>
          <w:sz w:val="28"/>
          <w:szCs w:val="28"/>
          <w:rtl/>
        </w:rPr>
        <w:t xml:space="preserve">[شماره صفحه واقعی : 422]
</w:t>
      </w:r>
    </w:p>
    <w:p>
      <w:pPr>
        <w:sectPr>
          <w:footerReference w:type="default" r:id="rId9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الأقوی فی حجّیة الاستصحاب من حیث هذا التقسیم 35</w:t>
      </w:r>
    </w:p>
    <w:p>
      <w:pPr>
        <w:pStyle w:val="BookText"/>
      </w:pPr>
      <w:r>
        <w:rPr>
          <w:rFonts w:ascii="IRNazanin" w:hAnsi="IRNazanin" w:eastAsia="IRNazanin" w:cs="IRNazanin"/>
          <w:lang w:bidi="fa-IR"/>
          <w:color w:val="111111"/>
          <w:sz w:val="28"/>
          <w:szCs w:val="28"/>
          <w:rtl/>
        </w:rPr>
        <w:t xml:space="preserve">المستصحب إمّا حکم تکلیفی و إمّا حکم وضعی 35</w:t>
      </w:r>
    </w:p>
    <w:p>
      <w:pPr>
        <w:pStyle w:val="BookText"/>
      </w:pPr>
      <w:r>
        <w:rPr>
          <w:rFonts w:ascii="IRNazanin" w:hAnsi="IRNazanin" w:eastAsia="IRNazanin" w:cs="IRNazanin"/>
          <w:lang w:bidi="fa-IR"/>
          <w:color w:val="111111"/>
          <w:sz w:val="28"/>
          <w:szCs w:val="28"/>
          <w:rtl/>
        </w:rPr>
        <w:t xml:space="preserve">القول بالتفصیل بین التکلیفی و غیره 36</w:t>
      </w:r>
    </w:p>
    <w:p>
      <w:pPr>
        <w:pStyle w:val="BookText"/>
      </w:pPr>
      <w:r>
        <w:rPr>
          <w:rFonts w:ascii="IRNazanin" w:hAnsi="IRNazanin" w:eastAsia="IRNazanin" w:cs="IRNazanin"/>
          <w:lang w:bidi="fa-IR"/>
          <w:color w:val="111111"/>
          <w:sz w:val="28"/>
          <w:szCs w:val="28"/>
          <w:rtl/>
        </w:rPr>
        <w:t xml:space="preserve">2-تقسیم الاستصحاب باعتبار دلیل المستصحب 37</w:t>
      </w:r>
    </w:p>
    <w:p>
      <w:pPr>
        <w:pStyle w:val="BookText"/>
      </w:pPr>
      <w:r>
        <w:rPr>
          <w:rFonts w:ascii="IRNazanin" w:hAnsi="IRNazanin" w:eastAsia="IRNazanin" w:cs="IRNazanin"/>
          <w:lang w:bidi="fa-IR"/>
          <w:color w:val="111111"/>
          <w:sz w:val="28"/>
          <w:szCs w:val="28"/>
          <w:rtl/>
        </w:rPr>
        <w:t xml:space="preserve">دلیل المستصحب إمّا الإجماع و إمّا غیره 37</w:t>
      </w:r>
    </w:p>
    <w:p>
      <w:pPr>
        <w:pStyle w:val="BookText"/>
      </w:pPr>
      <w:r>
        <w:rPr>
          <w:rFonts w:ascii="IRNazanin" w:hAnsi="IRNazanin" w:eastAsia="IRNazanin" w:cs="IRNazanin"/>
          <w:lang w:bidi="fa-IR"/>
          <w:color w:val="111111"/>
          <w:sz w:val="28"/>
          <w:szCs w:val="28"/>
          <w:rtl/>
        </w:rPr>
        <w:t xml:space="preserve">المستصحب إمّا یثبت بالدلیل العقلی و إمّا بالدلیل الشرعی 37</w:t>
      </w:r>
    </w:p>
    <w:p>
      <w:pPr>
        <w:pStyle w:val="BookText"/>
      </w:pPr>
      <w:r>
        <w:rPr>
          <w:rFonts w:ascii="IRNazanin" w:hAnsi="IRNazanin" w:eastAsia="IRNazanin" w:cs="IRNazanin"/>
          <w:lang w:bidi="fa-IR"/>
          <w:color w:val="111111"/>
          <w:sz w:val="28"/>
          <w:szCs w:val="28"/>
          <w:rtl/>
        </w:rPr>
        <w:t xml:space="preserve">الإشکال فی الاستصحاب مع ثبوت الحکم بالدلیل العقلی 38</w:t>
      </w:r>
    </w:p>
    <w:p>
      <w:pPr>
        <w:pStyle w:val="BookText"/>
      </w:pPr>
      <w:r>
        <w:rPr>
          <w:rFonts w:ascii="IRNazanin" w:hAnsi="IRNazanin" w:eastAsia="IRNazanin" w:cs="IRNazanin"/>
          <w:lang w:bidi="fa-IR"/>
          <w:color w:val="111111"/>
          <w:sz w:val="28"/>
          <w:szCs w:val="28"/>
          <w:rtl/>
        </w:rPr>
        <w:t xml:space="preserve">عدم جریان الاستصحاب فی الأحکام العقلیّة و لا فی الأحکام الشرعیّة المستندة إلیها 39</w:t>
      </w:r>
    </w:p>
    <w:p>
      <w:pPr>
        <w:pStyle w:val="BookText"/>
      </w:pPr>
      <w:r>
        <w:rPr>
          <w:rFonts w:ascii="IRNazanin" w:hAnsi="IRNazanin" w:eastAsia="IRNazanin" w:cs="IRNazanin"/>
          <w:lang w:bidi="fa-IR"/>
          <w:color w:val="111111"/>
          <w:sz w:val="28"/>
          <w:szCs w:val="28"/>
          <w:rtl/>
        </w:rPr>
        <w:t xml:space="preserve">استصحاب حال العقل لا یستند إلی القضیّة العقلیّة 40</w:t>
      </w:r>
    </w:p>
    <w:p>
      <w:pPr>
        <w:pStyle w:val="BookText"/>
      </w:pPr>
      <w:r>
        <w:rPr>
          <w:rFonts w:ascii="IRNazanin" w:hAnsi="IRNazanin" w:eastAsia="IRNazanin" w:cs="IRNazanin"/>
          <w:lang w:bidi="fa-IR"/>
          <w:color w:val="111111"/>
          <w:sz w:val="28"/>
          <w:szCs w:val="28"/>
          <w:rtl/>
        </w:rPr>
        <w:t xml:space="preserve">دلیل المستصحب قد یدلّ علی الاستمرار و قد لا یدلّ 41</w:t>
      </w:r>
    </w:p>
    <w:p>
      <w:pPr>
        <w:pStyle w:val="BookText"/>
      </w:pPr>
      <w:r>
        <w:rPr>
          <w:rFonts w:ascii="IRNazanin" w:hAnsi="IRNazanin" w:eastAsia="IRNazanin" w:cs="IRNazanin"/>
          <w:lang w:bidi="fa-IR"/>
          <w:color w:val="111111"/>
          <w:sz w:val="28"/>
          <w:szCs w:val="28"/>
          <w:rtl/>
        </w:rPr>
        <w:t xml:space="preserve">3-تقسیم الاستصحاب باعتبار الشکّ فی البقاء 43</w:t>
      </w:r>
    </w:p>
    <w:p>
      <w:pPr>
        <w:pStyle w:val="BookText"/>
      </w:pPr>
      <w:r>
        <w:rPr>
          <w:rFonts w:ascii="IRNazanin" w:hAnsi="IRNazanin" w:eastAsia="IRNazanin" w:cs="IRNazanin"/>
          <w:lang w:bidi="fa-IR"/>
          <w:color w:val="111111"/>
          <w:sz w:val="28"/>
          <w:szCs w:val="28"/>
          <w:rtl/>
        </w:rPr>
        <w:t xml:space="preserve">منشأ الشکّ إمّا اشتباه الأمر الخارجی و إمّا اشتباه الحکم الشرعی 43</w:t>
      </w:r>
    </w:p>
    <w:p>
      <w:pPr>
        <w:pStyle w:val="BookText"/>
      </w:pPr>
      <w:r>
        <w:rPr>
          <w:rFonts w:ascii="IRNazanin" w:hAnsi="IRNazanin" w:eastAsia="IRNazanin" w:cs="IRNazanin"/>
          <w:lang w:bidi="fa-IR"/>
          <w:color w:val="111111"/>
          <w:sz w:val="28"/>
          <w:szCs w:val="28"/>
          <w:rtl/>
        </w:rPr>
        <w:t xml:space="preserve">دخول القسمین فی محلّ النزاع 43</w:t>
      </w:r>
    </w:p>
    <w:p>
      <w:pPr>
        <w:pStyle w:val="BookText"/>
      </w:pPr>
      <w:r>
        <w:rPr>
          <w:rFonts w:ascii="IRNazanin" w:hAnsi="IRNazanin" w:eastAsia="IRNazanin" w:cs="IRNazanin"/>
          <w:lang w:bidi="fa-IR"/>
          <w:color w:val="111111"/>
          <w:sz w:val="28"/>
          <w:szCs w:val="28"/>
          <w:rtl/>
        </w:rPr>
        <w:t xml:space="preserve">المحکی عن الأخباریین اختصاص النزاع بالشبهة الحکمیّة 43</w:t>
      </w:r>
    </w:p>
    <w:p>
      <w:pPr>
        <w:pStyle w:val="BookText"/>
      </w:pPr>
      <w:r>
        <w:rPr>
          <w:rFonts w:ascii="IRNazanin" w:hAnsi="IRNazanin" w:eastAsia="IRNazanin" w:cs="IRNazanin"/>
          <w:lang w:bidi="fa-IR"/>
          <w:color w:val="111111"/>
          <w:sz w:val="28"/>
          <w:szCs w:val="28"/>
          <w:rtl/>
        </w:rPr>
        <w:t xml:space="preserve">الشکّ فی البقاء قد یکون مع تساوی الطرفین و قد یکون مع رجحان البقاء أو الارتفاع 45</w:t>
      </w:r>
    </w:p>
    <w:p>
      <w:pPr>
        <w:pStyle w:val="BookText"/>
      </w:pPr>
      <w:r>
        <w:rPr>
          <w:rFonts w:ascii="IRNazanin" w:hAnsi="IRNazanin" w:eastAsia="IRNazanin" w:cs="IRNazanin"/>
          <w:lang w:bidi="fa-IR"/>
          <w:color w:val="111111"/>
          <w:sz w:val="28"/>
          <w:szCs w:val="28"/>
          <w:rtl/>
        </w:rPr>
        <w:t xml:space="preserve">محلّ الخلاف فی هذه الصور 46</w:t>
      </w:r>
    </w:p>
    <w:p>
      <w:pPr>
        <w:pStyle w:val="BookText"/>
      </w:pPr>
      <w:r>
        <w:rPr>
          <w:rFonts w:ascii="IRNazanin" w:hAnsi="IRNazanin" w:eastAsia="IRNazanin" w:cs="IRNazanin"/>
          <w:lang w:bidi="fa-IR"/>
          <w:color w:val="111111"/>
          <w:sz w:val="28"/>
          <w:szCs w:val="28"/>
          <w:rtl/>
        </w:rPr>
        <w:t xml:space="preserve">الشکّ إمّا فی المقتضی و إمّا فی الرافع 46</w:t>
      </w:r>
    </w:p>
    <w:p>
      <w:pPr>
        <w:pStyle w:val="BookText"/>
      </w:pPr>
      <w:r>
        <w:rPr>
          <w:rFonts w:ascii="IRNazanin" w:hAnsi="IRNazanin" w:eastAsia="IRNazanin" w:cs="IRNazanin"/>
          <w:lang w:bidi="fa-IR"/>
          <w:color w:val="111111"/>
          <w:sz w:val="28"/>
          <w:szCs w:val="28"/>
          <w:rtl/>
        </w:rPr>
        <w:t xml:space="preserve">أقسام الشکّ من جهة الرافع 47</w:t>
      </w:r>
    </w:p>
    <w:p>
      <w:pPr>
        <w:pStyle w:val="BookText"/>
      </w:pPr>
      <w:r>
        <w:rPr>
          <w:rFonts w:ascii="IRNazanin" w:hAnsi="IRNazanin" w:eastAsia="IRNazanin" w:cs="IRNazanin"/>
          <w:lang w:bidi="fa-IR"/>
          <w:color w:val="111111"/>
          <w:sz w:val="28"/>
          <w:szCs w:val="28"/>
          <w:rtl/>
        </w:rPr>
        <w:t xml:space="preserve">محل الخلاف من هذه الأقسام 47</w:t>
      </w:r>
    </w:p>
    <w:p>
      <w:pPr>
        <w:pStyle w:val="BookText"/>
      </w:pPr>
      <w:r>
        <w:rPr>
          <w:rFonts w:ascii="IRNazanin" w:hAnsi="IRNazanin" w:eastAsia="IRNazanin" w:cs="IRNazanin"/>
          <w:lang w:bidi="fa-IR"/>
          <w:color w:val="111111"/>
          <w:sz w:val="28"/>
          <w:szCs w:val="28"/>
          <w:rtl/>
        </w:rPr>
        <w:t xml:space="preserve">[شماره صفحه واقعی : 423]
</w:t>
      </w:r>
    </w:p>
    <w:p>
      <w:pPr>
        <w:sectPr>
          <w:footerReference w:type="default" r:id="rId9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الأقوال فی حجّیة الاستصحاب</w:t>
      </w:r>
    </w:p>
    <w:p>
      <w:pPr>
        <w:pStyle w:val="BookText"/>
      </w:pPr>
      <w:r>
        <w:rPr>
          <w:rFonts w:ascii="IRNazanin" w:hAnsi="IRNazanin" w:eastAsia="IRNazanin" w:cs="IRNazanin"/>
          <w:lang w:bidi="fa-IR"/>
          <w:color w:val="111111"/>
          <w:sz w:val="28"/>
          <w:szCs w:val="28"/>
          <w:rtl/>
        </w:rPr>
        <w:t xml:space="preserve">أقوی الأقوال 51</w:t>
      </w:r>
    </w:p>
    <w:p>
      <w:pPr>
        <w:pStyle w:val="BookText"/>
      </w:pPr>
      <w:r>
        <w:rPr>
          <w:rFonts w:ascii="IRNazanin" w:hAnsi="IRNazanin" w:eastAsia="IRNazanin" w:cs="IRNazanin"/>
          <w:lang w:bidi="fa-IR"/>
          <w:color w:val="111111"/>
          <w:sz w:val="28"/>
          <w:szCs w:val="28"/>
          <w:rtl/>
        </w:rPr>
        <w:t xml:space="preserve">الاستدلال علی المختار بوجوه:53</w:t>
      </w:r>
    </w:p>
    <w:p>
      <w:pPr>
        <w:pStyle w:val="BookText"/>
      </w:pPr>
      <w:r>
        <w:rPr>
          <w:rFonts w:ascii="IRNazanin" w:hAnsi="IRNazanin" w:eastAsia="IRNazanin" w:cs="IRNazanin"/>
          <w:lang w:bidi="fa-IR"/>
          <w:color w:val="111111"/>
          <w:sz w:val="28"/>
          <w:szCs w:val="28"/>
          <w:rtl/>
        </w:rPr>
        <w:t xml:space="preserve">1-ظهور کلام جماعة فی الاتّفاق علیه 53</w:t>
      </w:r>
    </w:p>
    <w:p>
      <w:pPr>
        <w:pStyle w:val="BookText"/>
      </w:pPr>
      <w:r>
        <w:rPr>
          <w:rFonts w:ascii="IRNazanin" w:hAnsi="IRNazanin" w:eastAsia="IRNazanin" w:cs="IRNazanin"/>
          <w:lang w:bidi="fa-IR"/>
          <w:color w:val="111111"/>
          <w:sz w:val="28"/>
          <w:szCs w:val="28"/>
          <w:rtl/>
        </w:rPr>
        <w:t xml:space="preserve">2-الاستقراء 54</w:t>
      </w:r>
    </w:p>
    <w:p>
      <w:pPr>
        <w:pStyle w:val="BookText"/>
      </w:pPr>
      <w:r>
        <w:rPr>
          <w:rFonts w:ascii="Amiri" w:hAnsi="Amiri" w:eastAsia="Amiri" w:cs="Amiri"/>
          <w:lang w:bidi="ar-SA"/>
          <w:color w:val="111111"/>
          <w:sz w:val="28"/>
          <w:szCs w:val="28"/>
          <w:rtl/>
        </w:rPr>
        <w:t xml:space="preserve">3-السنّة:55</w:t>
      </w:r>
    </w:p>
    <w:p>
      <w:pPr>
        <w:pStyle w:val="BookText"/>
      </w:pPr>
      <w:r>
        <w:rPr>
          <w:rFonts w:ascii="IRNazanin" w:hAnsi="IRNazanin" w:eastAsia="IRNazanin" w:cs="IRNazanin"/>
          <w:lang w:bidi="fa-IR"/>
          <w:color w:val="111111"/>
          <w:sz w:val="28"/>
          <w:szCs w:val="28"/>
          <w:rtl/>
        </w:rPr>
        <w:t xml:space="preserve">1-صحیحة زرارة الاولی 55</w:t>
      </w:r>
    </w:p>
    <w:p>
      <w:pPr>
        <w:pStyle w:val="BookText"/>
      </w:pPr>
      <w:r>
        <w:rPr>
          <w:rFonts w:ascii="IRNazanin" w:hAnsi="IRNazanin" w:eastAsia="IRNazanin" w:cs="IRNazanin"/>
          <w:lang w:bidi="fa-IR"/>
          <w:color w:val="111111"/>
          <w:sz w:val="28"/>
          <w:szCs w:val="28"/>
          <w:rtl/>
        </w:rPr>
        <w:t xml:space="preserve">تقریر الاستدلال 56</w:t>
      </w:r>
    </w:p>
    <w:p>
      <w:pPr>
        <w:pStyle w:val="BookText"/>
      </w:pPr>
      <w:r>
        <w:rPr>
          <w:rFonts w:ascii="IRNazanin" w:hAnsi="IRNazanin" w:eastAsia="IRNazanin" w:cs="IRNazanin"/>
          <w:lang w:bidi="fa-IR"/>
          <w:color w:val="111111"/>
          <w:sz w:val="28"/>
          <w:szCs w:val="28"/>
          <w:rtl/>
        </w:rPr>
        <w:t xml:space="preserve">معنی الروایة 56</w:t>
      </w:r>
    </w:p>
    <w:p>
      <w:pPr>
        <w:pStyle w:val="BookText"/>
      </w:pPr>
      <w:r>
        <w:rPr>
          <w:rFonts w:ascii="IRNazanin" w:hAnsi="IRNazanin" w:eastAsia="IRNazanin" w:cs="IRNazanin"/>
          <w:lang w:bidi="fa-IR"/>
          <w:color w:val="111111"/>
          <w:sz w:val="28"/>
          <w:szCs w:val="28"/>
          <w:rtl/>
        </w:rPr>
        <w:t xml:space="preserve">کون اللام فی«الیقین»للجنس 56</w:t>
      </w:r>
    </w:p>
    <w:p>
      <w:pPr>
        <w:pStyle w:val="BookText"/>
      </w:pPr>
      <w:r>
        <w:rPr>
          <w:rFonts w:ascii="IRNazanin" w:hAnsi="IRNazanin" w:eastAsia="IRNazanin" w:cs="IRNazanin"/>
          <w:lang w:bidi="fa-IR"/>
          <w:color w:val="111111"/>
          <w:sz w:val="28"/>
          <w:szCs w:val="28"/>
          <w:rtl/>
        </w:rPr>
        <w:t xml:space="preserve">2-صحیحة زرارة الثانیة 58</w:t>
      </w:r>
    </w:p>
    <w:p>
      <w:pPr>
        <w:pStyle w:val="BookText"/>
      </w:pPr>
      <w:r>
        <w:rPr>
          <w:rFonts w:ascii="IRNazanin" w:hAnsi="IRNazanin" w:eastAsia="IRNazanin" w:cs="IRNazanin"/>
          <w:lang w:bidi="fa-IR"/>
          <w:color w:val="111111"/>
          <w:sz w:val="28"/>
          <w:szCs w:val="28"/>
          <w:rtl/>
        </w:rPr>
        <w:t xml:space="preserve">فقه الحدیث و مورد الاستدلال 59</w:t>
      </w:r>
    </w:p>
    <w:p>
      <w:pPr>
        <w:pStyle w:val="BookText"/>
      </w:pPr>
      <w:r>
        <w:rPr>
          <w:rFonts w:ascii="IRNazanin" w:hAnsi="IRNazanin" w:eastAsia="IRNazanin" w:cs="IRNazanin"/>
          <w:lang w:bidi="fa-IR"/>
          <w:color w:val="111111"/>
          <w:sz w:val="28"/>
          <w:szCs w:val="28"/>
          <w:rtl/>
        </w:rPr>
        <w:t xml:space="preserve">3-صحیحة زرارة الثالثة 62</w:t>
      </w:r>
    </w:p>
    <w:p>
      <w:pPr>
        <w:pStyle w:val="BookText"/>
      </w:pPr>
      <w:r>
        <w:rPr>
          <w:rFonts w:ascii="IRNazanin" w:hAnsi="IRNazanin" w:eastAsia="IRNazanin" w:cs="IRNazanin"/>
          <w:lang w:bidi="fa-IR"/>
          <w:color w:val="111111"/>
          <w:sz w:val="28"/>
          <w:szCs w:val="28"/>
          <w:rtl/>
        </w:rPr>
        <w:t xml:space="preserve">التأمّل فی الاستدلال بهذه الصحیحة 62</w:t>
      </w:r>
    </w:p>
    <w:p>
      <w:pPr>
        <w:pStyle w:val="BookText"/>
      </w:pPr>
      <w:r>
        <w:rPr>
          <w:rFonts w:ascii="IRNazanin" w:hAnsi="IRNazanin" w:eastAsia="IRNazanin" w:cs="IRNazanin"/>
          <w:lang w:bidi="fa-IR"/>
          <w:color w:val="111111"/>
          <w:sz w:val="28"/>
          <w:szCs w:val="28"/>
          <w:rtl/>
        </w:rPr>
        <w:t xml:space="preserve">المراد من«الیقین»فی هذه الصحیحة 63</w:t>
      </w:r>
    </w:p>
    <w:p>
      <w:pPr>
        <w:pStyle w:val="BookText"/>
      </w:pPr>
      <w:r>
        <w:rPr>
          <w:rFonts w:ascii="IRNazanin" w:hAnsi="IRNazanin" w:eastAsia="IRNazanin" w:cs="IRNazanin"/>
          <w:lang w:bidi="fa-IR"/>
          <w:color w:val="111111"/>
          <w:sz w:val="28"/>
          <w:szCs w:val="28"/>
          <w:rtl/>
        </w:rPr>
        <w:t xml:space="preserve">المراد من«البناء علی الیقین»فی الأخبار 63</w:t>
      </w:r>
    </w:p>
    <w:p>
      <w:pPr>
        <w:pStyle w:val="BookText"/>
      </w:pPr>
      <w:r>
        <w:rPr>
          <w:rFonts w:ascii="IRNazanin" w:hAnsi="IRNazanin" w:eastAsia="IRNazanin" w:cs="IRNazanin"/>
          <w:lang w:bidi="fa-IR"/>
          <w:color w:val="111111"/>
          <w:sz w:val="28"/>
          <w:szCs w:val="28"/>
          <w:rtl/>
        </w:rPr>
        <w:t xml:space="preserve">4-الاستدلال بموثّقة إسحاق بن عمّار و الإشکال فیه 66</w:t>
      </w:r>
    </w:p>
    <w:p>
      <w:pPr>
        <w:pStyle w:val="BookText"/>
      </w:pPr>
      <w:r>
        <w:rPr>
          <w:rFonts w:ascii="IRNazanin" w:hAnsi="IRNazanin" w:eastAsia="IRNazanin" w:cs="IRNazanin"/>
          <w:lang w:bidi="fa-IR"/>
          <w:color w:val="111111"/>
          <w:sz w:val="28"/>
          <w:szCs w:val="28"/>
          <w:rtl/>
        </w:rPr>
        <w:t xml:space="preserve">5-الاستدلال بروایة الخصال و روایة اخری 68</w:t>
      </w:r>
    </w:p>
    <w:p>
      <w:pPr>
        <w:pStyle w:val="BookText"/>
      </w:pPr>
      <w:r>
        <w:rPr>
          <w:rFonts w:ascii="IRNazanin" w:hAnsi="IRNazanin" w:eastAsia="IRNazanin" w:cs="IRNazanin"/>
          <w:lang w:bidi="fa-IR"/>
          <w:color w:val="111111"/>
          <w:sz w:val="28"/>
          <w:szCs w:val="28"/>
          <w:rtl/>
        </w:rPr>
        <w:t xml:space="preserve">المناقشة فی الاستدلال بهاتین الروایتین 68</w:t>
      </w:r>
    </w:p>
    <w:p>
      <w:pPr>
        <w:pStyle w:val="BookText"/>
      </w:pPr>
      <w:r>
        <w:rPr>
          <w:rFonts w:ascii="IRNazanin" w:hAnsi="IRNazanin" w:eastAsia="IRNazanin" w:cs="IRNazanin"/>
          <w:lang w:bidi="fa-IR"/>
          <w:color w:val="111111"/>
          <w:sz w:val="28"/>
          <w:szCs w:val="28"/>
          <w:rtl/>
        </w:rPr>
        <w:t xml:space="preserve">إمکان دفع المناقشة المذکورة 70</w:t>
      </w:r>
    </w:p>
    <w:p>
      <w:pPr>
        <w:pStyle w:val="BookText"/>
      </w:pPr>
      <w:r>
        <w:rPr>
          <w:rFonts w:ascii="IRNazanin" w:hAnsi="IRNazanin" w:eastAsia="IRNazanin" w:cs="IRNazanin"/>
          <w:lang w:bidi="fa-IR"/>
          <w:color w:val="111111"/>
          <w:sz w:val="28"/>
          <w:szCs w:val="28"/>
          <w:rtl/>
        </w:rPr>
        <w:t xml:space="preserve">6-مکاتبة علی بن محمّد القاسانی 71</w:t>
      </w:r>
    </w:p>
    <w:p>
      <w:pPr>
        <w:pStyle w:val="BookText"/>
      </w:pPr>
      <w:r>
        <w:rPr>
          <w:rFonts w:ascii="IRNazanin" w:hAnsi="IRNazanin" w:eastAsia="IRNazanin" w:cs="IRNazanin"/>
          <w:lang w:bidi="fa-IR"/>
          <w:color w:val="111111"/>
          <w:sz w:val="28"/>
          <w:szCs w:val="28"/>
          <w:rtl/>
        </w:rPr>
        <w:t xml:space="preserve">[شماره صفحه واقعی : 424]
</w:t>
      </w:r>
    </w:p>
    <w:p>
      <w:pPr>
        <w:sectPr>
          <w:footerReference w:type="default" r:id="rId9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تقریب الاستدلال 71</w:t>
      </w:r>
    </w:p>
    <w:p>
      <w:pPr>
        <w:pStyle w:val="BookText"/>
      </w:pPr>
      <w:r>
        <w:rPr>
          <w:rFonts w:ascii="IRNazanin" w:hAnsi="IRNazanin" w:eastAsia="IRNazanin" w:cs="IRNazanin"/>
          <w:lang w:bidi="fa-IR"/>
          <w:color w:val="111111"/>
          <w:sz w:val="28"/>
          <w:szCs w:val="28"/>
          <w:rtl/>
        </w:rPr>
        <w:t xml:space="preserve">تأیید المختار بالأخبار الخاصّة:72</w:t>
      </w:r>
    </w:p>
    <w:p>
      <w:pPr>
        <w:pStyle w:val="BookText"/>
      </w:pPr>
      <w:r>
        <w:rPr>
          <w:rFonts w:ascii="IRNazanin" w:hAnsi="IRNazanin" w:eastAsia="IRNazanin" w:cs="IRNazanin"/>
          <w:lang w:bidi="fa-IR"/>
          <w:color w:val="111111"/>
          <w:sz w:val="28"/>
          <w:szCs w:val="28"/>
          <w:rtl/>
        </w:rPr>
        <w:t xml:space="preserve">1-روایة عبد اللّه بن سنان 72</w:t>
      </w:r>
    </w:p>
    <w:p>
      <w:pPr>
        <w:pStyle w:val="BookText"/>
      </w:pPr>
      <w:r>
        <w:rPr>
          <w:rFonts w:ascii="IRNazanin" w:hAnsi="IRNazanin" w:eastAsia="IRNazanin" w:cs="IRNazanin"/>
          <w:lang w:bidi="fa-IR"/>
          <w:color w:val="111111"/>
          <w:sz w:val="28"/>
          <w:szCs w:val="28"/>
          <w:rtl/>
        </w:rPr>
        <w:t xml:space="preserve">تقریب الاستدلال 72</w:t>
      </w:r>
    </w:p>
    <w:p>
      <w:pPr>
        <w:pStyle w:val="BookText"/>
      </w:pPr>
      <w:r>
        <w:rPr>
          <w:rFonts w:ascii="Amiri" w:hAnsi="Amiri" w:eastAsia="Amiri" w:cs="Amiri"/>
          <w:lang w:bidi="ar-SA"/>
          <w:color w:val="111111"/>
          <w:sz w:val="28"/>
          <w:szCs w:val="28"/>
          <w:rtl/>
        </w:rPr>
        <w:t xml:space="preserve">2-موثّقة عمّار 72</w:t>
      </w:r>
    </w:p>
    <w:p>
      <w:pPr>
        <w:pStyle w:val="BookText"/>
      </w:pPr>
      <w:r>
        <w:rPr>
          <w:rFonts w:ascii="IRNazanin" w:hAnsi="IRNazanin" w:eastAsia="IRNazanin" w:cs="IRNazanin"/>
          <w:lang w:bidi="fa-IR"/>
          <w:color w:val="111111"/>
          <w:sz w:val="28"/>
          <w:szCs w:val="28"/>
          <w:rtl/>
        </w:rPr>
        <w:t xml:space="preserve">معنی الموثّقة إمّا الاستصحاب أو قاعدة الطهارة 73</w:t>
      </w:r>
    </w:p>
    <w:p>
      <w:pPr>
        <w:pStyle w:val="BookText"/>
      </w:pPr>
      <w:r>
        <w:rPr>
          <w:rFonts w:ascii="IRNazanin" w:hAnsi="IRNazanin" w:eastAsia="IRNazanin" w:cs="IRNazanin"/>
          <w:lang w:bidi="fa-IR"/>
          <w:color w:val="111111"/>
          <w:sz w:val="28"/>
          <w:szCs w:val="28"/>
          <w:rtl/>
        </w:rPr>
        <w:t xml:space="preserve">عدم إمکان إرادة القاعدة و الاستصحاب معا من الموثّقة 74</w:t>
      </w:r>
    </w:p>
    <w:p>
      <w:pPr>
        <w:pStyle w:val="BookText"/>
      </w:pPr>
      <w:r>
        <w:rPr>
          <w:rFonts w:ascii="IRNazanin" w:hAnsi="IRNazanin" w:eastAsia="IRNazanin" w:cs="IRNazanin"/>
          <w:lang w:bidi="fa-IR"/>
          <w:color w:val="111111"/>
          <w:sz w:val="28"/>
          <w:szCs w:val="28"/>
          <w:rtl/>
        </w:rPr>
        <w:t xml:space="preserve">کلام صاحب الفصول فی جواز إرادة کلیهما منها 75</w:t>
      </w:r>
    </w:p>
    <w:p>
      <w:pPr>
        <w:pStyle w:val="BookText"/>
      </w:pPr>
      <w:r>
        <w:rPr>
          <w:rFonts w:ascii="IRNazanin" w:hAnsi="IRNazanin" w:eastAsia="IRNazanin" w:cs="IRNazanin"/>
          <w:lang w:bidi="fa-IR"/>
          <w:color w:val="111111"/>
          <w:sz w:val="28"/>
          <w:szCs w:val="28"/>
          <w:rtl/>
        </w:rPr>
        <w:t xml:space="preserve">المناقشة فیما أفاده صاحب الفصول 75</w:t>
      </w:r>
    </w:p>
    <w:p>
      <w:pPr>
        <w:pStyle w:val="BookText"/>
      </w:pPr>
      <w:r>
        <w:rPr>
          <w:rFonts w:ascii="Amiri" w:hAnsi="Amiri" w:eastAsia="Amiri" w:cs="Amiri"/>
          <w:lang w:bidi="ar-SA"/>
          <w:color w:val="111111"/>
          <w:sz w:val="28"/>
          <w:szCs w:val="28"/>
          <w:rtl/>
        </w:rPr>
        <w:t xml:space="preserve">الظاهر إرادة القاعدة 76</w:t>
      </w:r>
    </w:p>
    <w:p>
      <w:pPr>
        <w:pStyle w:val="BookText"/>
      </w:pPr>
      <w:r>
        <w:rPr>
          <w:rFonts w:ascii="IRNazanin" w:hAnsi="IRNazanin" w:eastAsia="IRNazanin" w:cs="IRNazanin"/>
          <w:lang w:bidi="fa-IR"/>
          <w:color w:val="111111"/>
          <w:sz w:val="28"/>
          <w:szCs w:val="28"/>
          <w:rtl/>
        </w:rPr>
        <w:t xml:space="preserve">3-الروایة الثالثة 77</w:t>
      </w:r>
    </w:p>
    <w:p>
      <w:pPr>
        <w:pStyle w:val="BookText"/>
      </w:pPr>
      <w:r>
        <w:rPr>
          <w:rFonts w:ascii="IRNazanin" w:hAnsi="IRNazanin" w:eastAsia="IRNazanin" w:cs="IRNazanin"/>
          <w:lang w:bidi="fa-IR"/>
          <w:color w:val="111111"/>
          <w:sz w:val="28"/>
          <w:szCs w:val="28"/>
          <w:rtl/>
        </w:rPr>
        <w:t xml:space="preserve">4-الروایة الرابعة 77</w:t>
      </w:r>
    </w:p>
    <w:p>
      <w:pPr>
        <w:pStyle w:val="BookText"/>
      </w:pPr>
      <w:r>
        <w:rPr>
          <w:rFonts w:ascii="IRNazanin" w:hAnsi="IRNazanin" w:eastAsia="IRNazanin" w:cs="IRNazanin"/>
          <w:lang w:bidi="fa-IR"/>
          <w:color w:val="111111"/>
          <w:sz w:val="28"/>
          <w:szCs w:val="28"/>
          <w:rtl/>
        </w:rPr>
        <w:t xml:space="preserve">اختصاص الأخبار بالشکّ فی الرافع 78</w:t>
      </w:r>
    </w:p>
    <w:p>
      <w:pPr>
        <w:pStyle w:val="BookText"/>
      </w:pPr>
      <w:r>
        <w:rPr>
          <w:rFonts w:ascii="IRNazanin" w:hAnsi="IRNazanin" w:eastAsia="IRNazanin" w:cs="IRNazanin"/>
          <w:lang w:bidi="fa-IR"/>
          <w:color w:val="111111"/>
          <w:sz w:val="28"/>
          <w:szCs w:val="28"/>
          <w:rtl/>
        </w:rPr>
        <w:t xml:space="preserve">تأمّل المحقّق الخوانساری فی الاستدلال بالأخبار علی الحجّیة مطلقا 78</w:t>
      </w:r>
    </w:p>
    <w:p>
      <w:pPr>
        <w:pStyle w:val="BookText"/>
      </w:pPr>
      <w:r>
        <w:rPr>
          <w:rFonts w:ascii="IRNazanin" w:hAnsi="IRNazanin" w:eastAsia="IRNazanin" w:cs="IRNazanin"/>
          <w:lang w:bidi="fa-IR"/>
          <w:color w:val="111111"/>
          <w:sz w:val="28"/>
          <w:szCs w:val="28"/>
          <w:rtl/>
        </w:rPr>
        <w:t xml:space="preserve">المراد من«نقض الیقین»79</w:t>
      </w:r>
    </w:p>
    <w:p>
      <w:pPr>
        <w:pStyle w:val="BookText"/>
      </w:pPr>
      <w:r>
        <w:rPr>
          <w:rFonts w:ascii="Amiri" w:hAnsi="Amiri" w:eastAsia="Amiri" w:cs="Amiri"/>
          <w:lang w:bidi="ar-SA"/>
          <w:color w:val="111111"/>
          <w:sz w:val="28"/>
          <w:szCs w:val="28"/>
          <w:rtl/>
        </w:rPr>
        <w:t xml:space="preserve">حجّة القول الأوّل:83</w:t>
      </w:r>
    </w:p>
    <w:p>
      <w:pPr>
        <w:pStyle w:val="BookText"/>
      </w:pPr>
      <w:r>
        <w:rPr>
          <w:rFonts w:ascii="IRNazanin" w:hAnsi="IRNazanin" w:eastAsia="IRNazanin" w:cs="IRNazanin"/>
          <w:lang w:bidi="fa-IR"/>
          <w:color w:val="111111"/>
          <w:sz w:val="28"/>
          <w:szCs w:val="28"/>
          <w:rtl/>
        </w:rPr>
        <w:t xml:space="preserve">الوجه الأوّل و المناقشة فیه 83</w:t>
      </w:r>
    </w:p>
    <w:p>
      <w:pPr>
        <w:pStyle w:val="BookText"/>
      </w:pPr>
      <w:r>
        <w:rPr>
          <w:rFonts w:ascii="IRNazanin" w:hAnsi="IRNazanin" w:eastAsia="IRNazanin" w:cs="IRNazanin"/>
          <w:lang w:bidi="fa-IR"/>
          <w:color w:val="111111"/>
          <w:sz w:val="28"/>
          <w:szCs w:val="28"/>
          <w:rtl/>
        </w:rPr>
        <w:t xml:space="preserve">الوجه الثانی 83</w:t>
      </w:r>
    </w:p>
    <w:p>
      <w:pPr>
        <w:pStyle w:val="BookText"/>
      </w:pPr>
      <w:r>
        <w:rPr>
          <w:rFonts w:ascii="IRNazanin" w:hAnsi="IRNazanin" w:eastAsia="IRNazanin" w:cs="IRNazanin"/>
          <w:lang w:bidi="fa-IR"/>
          <w:color w:val="111111"/>
          <w:sz w:val="28"/>
          <w:szCs w:val="28"/>
          <w:rtl/>
        </w:rPr>
        <w:t xml:space="preserve">المناقشة فی الوجه الثانی 84</w:t>
      </w:r>
    </w:p>
    <w:p>
      <w:pPr>
        <w:pStyle w:val="BookText"/>
      </w:pPr>
      <w:r>
        <w:rPr>
          <w:rFonts w:ascii="IRNazanin" w:hAnsi="IRNazanin" w:eastAsia="IRNazanin" w:cs="IRNazanin"/>
          <w:lang w:bidi="fa-IR"/>
          <w:color w:val="111111"/>
          <w:sz w:val="28"/>
          <w:szCs w:val="28"/>
          <w:rtl/>
        </w:rPr>
        <w:t xml:space="preserve">الوجه الثالث 86</w:t>
      </w:r>
    </w:p>
    <w:p>
      <w:pPr>
        <w:pStyle w:val="BookText"/>
      </w:pPr>
      <w:r>
        <w:rPr>
          <w:rFonts w:ascii="IRNazanin" w:hAnsi="IRNazanin" w:eastAsia="IRNazanin" w:cs="IRNazanin"/>
          <w:lang w:bidi="fa-IR"/>
          <w:color w:val="111111"/>
          <w:sz w:val="28"/>
          <w:szCs w:val="28"/>
          <w:rtl/>
        </w:rPr>
        <w:t xml:space="preserve">المناقشة فی الوجه الثالث 87</w:t>
      </w:r>
    </w:p>
    <w:p>
      <w:pPr>
        <w:pStyle w:val="BookText"/>
      </w:pPr>
      <w:r>
        <w:rPr>
          <w:rFonts w:ascii="IRNazanin" w:hAnsi="IRNazanin" w:eastAsia="IRNazanin" w:cs="IRNazanin"/>
          <w:lang w:bidi="fa-IR"/>
          <w:color w:val="111111"/>
          <w:sz w:val="28"/>
          <w:szCs w:val="28"/>
          <w:rtl/>
        </w:rPr>
        <w:t xml:space="preserve">[شماره صفحه واقعی : 425]
</w:t>
      </w:r>
    </w:p>
    <w:p>
      <w:pPr>
        <w:sectPr>
          <w:footerReference w:type="default" r:id="rId9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دعوی أنّ وجود الشیء سابقا یقتضی الظنّ ببقائه و الجواب عنها 87</w:t>
      </w:r>
    </w:p>
    <w:p>
      <w:pPr>
        <w:pStyle w:val="BookText"/>
      </w:pPr>
      <w:r>
        <w:rPr>
          <w:rFonts w:ascii="IRNazanin" w:hAnsi="IRNazanin" w:eastAsia="IRNazanin" w:cs="IRNazanin"/>
          <w:lang w:bidi="fa-IR"/>
          <w:color w:val="111111"/>
          <w:sz w:val="28"/>
          <w:szCs w:val="28"/>
          <w:rtl/>
        </w:rPr>
        <w:t xml:space="preserve">الوجه الرابع:بناء العقلاء 94</w:t>
      </w:r>
    </w:p>
    <w:p>
      <w:pPr>
        <w:pStyle w:val="BookText"/>
      </w:pPr>
      <w:r>
        <w:rPr>
          <w:rFonts w:ascii="IRNazanin" w:hAnsi="IRNazanin" w:eastAsia="IRNazanin" w:cs="IRNazanin"/>
          <w:lang w:bidi="fa-IR"/>
          <w:color w:val="111111"/>
          <w:sz w:val="28"/>
          <w:szCs w:val="28"/>
          <w:rtl/>
        </w:rPr>
        <w:t xml:space="preserve">المناقشة فی الوجه الرابع 95</w:t>
      </w:r>
    </w:p>
    <w:p>
      <w:pPr>
        <w:pStyle w:val="BookText"/>
      </w:pPr>
      <w:r>
        <w:rPr>
          <w:rFonts w:ascii="IRNazanin" w:hAnsi="IRNazanin" w:eastAsia="IRNazanin" w:cs="IRNazanin"/>
          <w:lang w:bidi="fa-IR"/>
          <w:color w:val="111111"/>
          <w:sz w:val="28"/>
          <w:szCs w:val="28"/>
          <w:rtl/>
        </w:rPr>
        <w:t xml:space="preserve">حجّة القول الثانی:97</w:t>
      </w:r>
    </w:p>
    <w:p>
      <w:pPr>
        <w:pStyle w:val="BookText"/>
      </w:pPr>
      <w:r>
        <w:rPr>
          <w:rFonts w:ascii="IRNazanin" w:hAnsi="IRNazanin" w:eastAsia="IRNazanin" w:cs="IRNazanin"/>
          <w:lang w:bidi="fa-IR"/>
          <w:color w:val="111111"/>
          <w:sz w:val="28"/>
          <w:szCs w:val="28"/>
          <w:rtl/>
        </w:rPr>
        <w:t xml:space="preserve">1-دعوی أنّ الاستصحاب إثبات للحکم من غیر دلیل 97</w:t>
      </w:r>
    </w:p>
    <w:p>
      <w:pPr>
        <w:pStyle w:val="BookText"/>
      </w:pPr>
      <w:r>
        <w:rPr>
          <w:rFonts w:ascii="IRNazanin" w:hAnsi="IRNazanin" w:eastAsia="IRNazanin" w:cs="IRNazanin"/>
          <w:lang w:bidi="fa-IR"/>
          <w:color w:val="111111"/>
          <w:sz w:val="28"/>
          <w:szCs w:val="28"/>
          <w:rtl/>
        </w:rPr>
        <w:t xml:space="preserve">المناقشة فی ذلک 97</w:t>
      </w:r>
    </w:p>
    <w:p>
      <w:pPr>
        <w:pStyle w:val="BookText"/>
      </w:pPr>
      <w:r>
        <w:rPr>
          <w:rFonts w:ascii="IRNazanin" w:hAnsi="IRNazanin" w:eastAsia="IRNazanin" w:cs="IRNazanin"/>
          <w:lang w:bidi="fa-IR"/>
          <w:color w:val="111111"/>
          <w:sz w:val="28"/>
          <w:szCs w:val="28"/>
          <w:rtl/>
        </w:rPr>
        <w:t xml:space="preserve">2-لزوم القطع بالبقاء بناء علی حجّیة الاستصحاب 99</w:t>
      </w:r>
    </w:p>
    <w:p>
      <w:pPr>
        <w:pStyle w:val="BookText"/>
      </w:pPr>
      <w:r>
        <w:rPr>
          <w:rFonts w:ascii="IRNazanin" w:hAnsi="IRNazanin" w:eastAsia="IRNazanin" w:cs="IRNazanin"/>
          <w:lang w:bidi="fa-IR"/>
          <w:color w:val="111111"/>
          <w:sz w:val="28"/>
          <w:szCs w:val="28"/>
          <w:rtl/>
        </w:rPr>
        <w:t xml:space="preserve">المناقشة فیه 100</w:t>
      </w:r>
    </w:p>
    <w:p>
      <w:pPr>
        <w:pStyle w:val="BookText"/>
      </w:pPr>
      <w:r>
        <w:rPr>
          <w:rFonts w:ascii="IRNazanin" w:hAnsi="IRNazanin" w:eastAsia="IRNazanin" w:cs="IRNazanin"/>
          <w:lang w:bidi="fa-IR"/>
          <w:color w:val="111111"/>
          <w:sz w:val="28"/>
          <w:szCs w:val="28"/>
          <w:rtl/>
        </w:rPr>
        <w:t xml:space="preserve">3-لزوم التناقض بناء علی الحجّیة و المناقشة فیه 100</w:t>
      </w:r>
    </w:p>
    <w:p>
      <w:pPr>
        <w:pStyle w:val="BookText"/>
      </w:pPr>
      <w:r>
        <w:rPr>
          <w:rFonts w:ascii="IRNazanin" w:hAnsi="IRNazanin" w:eastAsia="IRNazanin" w:cs="IRNazanin"/>
          <w:lang w:bidi="fa-IR"/>
          <w:color w:val="111111"/>
          <w:sz w:val="28"/>
          <w:szCs w:val="28"/>
          <w:rtl/>
        </w:rPr>
        <w:t xml:space="preserve">4-استلزام القول بالحجّیة ترجیح بیّنة النافی 101</w:t>
      </w:r>
    </w:p>
    <w:p>
      <w:pPr>
        <w:pStyle w:val="BookText"/>
      </w:pPr>
      <w:r>
        <w:rPr>
          <w:rFonts w:ascii="IRNazanin" w:hAnsi="IRNazanin" w:eastAsia="IRNazanin" w:cs="IRNazanin"/>
          <w:lang w:bidi="fa-IR"/>
          <w:color w:val="111111"/>
          <w:sz w:val="28"/>
          <w:szCs w:val="28"/>
          <w:rtl/>
        </w:rPr>
        <w:t xml:space="preserve">المناقشة فی ذلک 101</w:t>
      </w:r>
    </w:p>
    <w:p>
      <w:pPr>
        <w:pStyle w:val="BookText"/>
      </w:pPr>
      <w:r>
        <w:rPr>
          <w:rFonts w:ascii="Amiri" w:hAnsi="Amiri" w:eastAsia="Amiri" w:cs="Amiri"/>
          <w:lang w:bidi="ar-SA"/>
          <w:color w:val="111111"/>
          <w:sz w:val="28"/>
          <w:szCs w:val="28"/>
          <w:rtl/>
        </w:rPr>
        <w:t xml:space="preserve">حجّة القول الثالث 103</w:t>
      </w:r>
    </w:p>
    <w:p>
      <w:pPr>
        <w:pStyle w:val="BookText"/>
      </w:pPr>
      <w:r>
        <w:rPr>
          <w:rFonts w:ascii="IRNazanin" w:hAnsi="IRNazanin" w:eastAsia="IRNazanin" w:cs="IRNazanin"/>
          <w:lang w:bidi="fa-IR"/>
          <w:color w:val="111111"/>
          <w:sz w:val="28"/>
          <w:szCs w:val="28"/>
          <w:rtl/>
        </w:rPr>
        <w:t xml:space="preserve">عدم استقامة هذا القول بناء علی اعتبار الاستصحاب من باب الظنّ 104</w:t>
      </w:r>
    </w:p>
    <w:p>
      <w:pPr>
        <w:pStyle w:val="BookText"/>
      </w:pPr>
      <w:r>
        <w:rPr>
          <w:rFonts w:ascii="IRNazanin" w:hAnsi="IRNazanin" w:eastAsia="IRNazanin" w:cs="IRNazanin"/>
          <w:lang w:bidi="fa-IR"/>
          <w:color w:val="111111"/>
          <w:sz w:val="28"/>
          <w:szCs w:val="28"/>
          <w:rtl/>
        </w:rPr>
        <w:t xml:space="preserve">معنی عدم اعتبار الاستصحاب فی الوجودی 106</w:t>
      </w:r>
    </w:p>
    <w:p>
      <w:pPr>
        <w:pStyle w:val="BookText"/>
      </w:pPr>
      <w:r>
        <w:rPr>
          <w:rFonts w:ascii="IRNazanin" w:hAnsi="IRNazanin" w:eastAsia="IRNazanin" w:cs="IRNazanin"/>
          <w:lang w:bidi="fa-IR"/>
          <w:color w:val="111111"/>
          <w:sz w:val="28"/>
          <w:szCs w:val="28"/>
          <w:rtl/>
        </w:rPr>
        <w:t xml:space="preserve">ما یمکن أن یحتجّ به لهذا القول 108</w:t>
      </w:r>
    </w:p>
    <w:p>
      <w:pPr>
        <w:pStyle w:val="BookText"/>
      </w:pPr>
      <w:r>
        <w:rPr>
          <w:rFonts w:ascii="IRNazanin" w:hAnsi="IRNazanin" w:eastAsia="IRNazanin" w:cs="IRNazanin"/>
          <w:lang w:bidi="fa-IR"/>
          <w:color w:val="111111"/>
          <w:sz w:val="28"/>
          <w:szCs w:val="28"/>
          <w:rtl/>
        </w:rPr>
        <w:t xml:space="preserve">المناقشة فی الاحتجاج المذکور 109</w:t>
      </w:r>
    </w:p>
    <w:p>
      <w:pPr>
        <w:pStyle w:val="BookText"/>
      </w:pPr>
      <w:r>
        <w:rPr>
          <w:rFonts w:ascii="Amiri" w:hAnsi="Amiri" w:eastAsia="Amiri" w:cs="Amiri"/>
          <w:lang w:bidi="ar-SA"/>
          <w:color w:val="111111"/>
          <w:sz w:val="28"/>
          <w:szCs w:val="28"/>
          <w:rtl/>
        </w:rPr>
        <w:t xml:space="preserve">حجّة القول الرابع 111</w:t>
      </w:r>
    </w:p>
    <w:p>
      <w:pPr>
        <w:pStyle w:val="BookText"/>
      </w:pPr>
      <w:r>
        <w:rPr>
          <w:rFonts w:ascii="IRNazanin" w:hAnsi="IRNazanin" w:eastAsia="IRNazanin" w:cs="IRNazanin"/>
          <w:lang w:bidi="fa-IR"/>
          <w:color w:val="111111"/>
          <w:sz w:val="28"/>
          <w:szCs w:val="28"/>
          <w:rtl/>
        </w:rPr>
        <w:t xml:space="preserve">المناقشة فی الحجّة المذکورة 111</w:t>
      </w:r>
    </w:p>
    <w:p>
      <w:pPr>
        <w:pStyle w:val="BookText"/>
      </w:pPr>
      <w:r>
        <w:rPr>
          <w:rFonts w:ascii="Amiri" w:hAnsi="Amiri" w:eastAsia="Amiri" w:cs="Amiri"/>
          <w:lang w:bidi="ar-SA"/>
          <w:color w:val="111111"/>
          <w:sz w:val="28"/>
          <w:szCs w:val="28"/>
          <w:rtl/>
        </w:rPr>
        <w:t xml:space="preserve">حجّة القول الخامس 116</w:t>
      </w:r>
    </w:p>
    <w:p>
      <w:pPr>
        <w:pStyle w:val="BookText"/>
      </w:pPr>
      <w:r>
        <w:rPr>
          <w:rFonts w:ascii="IRNazanin" w:hAnsi="IRNazanin" w:eastAsia="IRNazanin" w:cs="IRNazanin"/>
          <w:lang w:bidi="fa-IR"/>
          <w:color w:val="111111"/>
          <w:sz w:val="28"/>
          <w:szCs w:val="28"/>
          <w:rtl/>
        </w:rPr>
        <w:t xml:space="preserve">کلام المحدّث الأسترابادی فی الاستدلال علی هذا القول 116</w:t>
      </w:r>
    </w:p>
    <w:p>
      <w:pPr>
        <w:pStyle w:val="BookText"/>
      </w:pPr>
      <w:r>
        <w:rPr>
          <w:rFonts w:ascii="IRNazanin" w:hAnsi="IRNazanin" w:eastAsia="IRNazanin" w:cs="IRNazanin"/>
          <w:lang w:bidi="fa-IR"/>
          <w:color w:val="111111"/>
          <w:sz w:val="28"/>
          <w:szCs w:val="28"/>
          <w:rtl/>
        </w:rPr>
        <w:t xml:space="preserve">[شماره صفحه واقعی : 426]
</w:t>
      </w:r>
    </w:p>
    <w:p>
      <w:pPr>
        <w:sectPr>
          <w:footerReference w:type="default" r:id="rId9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المناقشة فیما أفاده المحدّث الأسترابادی 117</w:t>
      </w:r>
    </w:p>
    <w:p>
      <w:pPr>
        <w:pStyle w:val="BookText"/>
      </w:pPr>
      <w:r>
        <w:rPr>
          <w:rFonts w:ascii="IRNazanin" w:hAnsi="IRNazanin" w:eastAsia="IRNazanin" w:cs="IRNazanin"/>
          <w:lang w:bidi="fa-IR"/>
          <w:color w:val="111111"/>
          <w:sz w:val="28"/>
          <w:szCs w:val="28"/>
          <w:rtl/>
        </w:rPr>
        <w:t xml:space="preserve">حجّة القول السادس و المناقشة فیها 121</w:t>
      </w:r>
    </w:p>
    <w:p>
      <w:pPr>
        <w:pStyle w:val="BookText"/>
      </w:pPr>
      <w:r>
        <w:rPr>
          <w:rFonts w:ascii="Amiri" w:hAnsi="Amiri" w:eastAsia="Amiri" w:cs="Amiri"/>
          <w:lang w:bidi="ar-SA"/>
          <w:color w:val="111111"/>
          <w:sz w:val="28"/>
          <w:szCs w:val="28"/>
          <w:rtl/>
        </w:rPr>
        <w:t xml:space="preserve">حجّة القول السابع 121</w:t>
      </w:r>
    </w:p>
    <w:p>
      <w:pPr>
        <w:pStyle w:val="BookText"/>
      </w:pPr>
      <w:r>
        <w:rPr>
          <w:rFonts w:ascii="IRNazanin" w:hAnsi="IRNazanin" w:eastAsia="IRNazanin" w:cs="IRNazanin"/>
          <w:lang w:bidi="fa-IR"/>
          <w:color w:val="111111"/>
          <w:sz w:val="28"/>
          <w:szCs w:val="28"/>
          <w:rtl/>
        </w:rPr>
        <w:t xml:space="preserve">کلام الفاضل التونی قدّس سرّه 122</w:t>
      </w:r>
    </w:p>
    <w:p>
      <w:pPr>
        <w:pStyle w:val="BookText"/>
      </w:pPr>
      <w:r>
        <w:rPr>
          <w:rFonts w:ascii="IRNazanin" w:hAnsi="IRNazanin" w:eastAsia="IRNazanin" w:cs="IRNazanin"/>
          <w:lang w:bidi="fa-IR"/>
          <w:color w:val="111111"/>
          <w:sz w:val="28"/>
          <w:szCs w:val="28"/>
          <w:rtl/>
        </w:rPr>
        <w:t xml:space="preserve">المناقشة فی ما أفاده الفاضل التونی 124</w:t>
      </w:r>
    </w:p>
    <w:p>
      <w:pPr>
        <w:pStyle w:val="BookText"/>
      </w:pPr>
      <w:r>
        <w:rPr>
          <w:rFonts w:ascii="IRNazanin" w:hAnsi="IRNazanin" w:eastAsia="IRNazanin" w:cs="IRNazanin"/>
          <w:lang w:bidi="fa-IR"/>
          <w:color w:val="111111"/>
          <w:sz w:val="28"/>
          <w:szCs w:val="28"/>
          <w:rtl/>
        </w:rPr>
        <w:t xml:space="preserve">الأحکام الوضعیّة 125</w:t>
      </w:r>
    </w:p>
    <w:p>
      <w:pPr>
        <w:pStyle w:val="BookText"/>
      </w:pPr>
      <w:r>
        <w:rPr>
          <w:rFonts w:ascii="IRNazanin" w:hAnsi="IRNazanin" w:eastAsia="IRNazanin" w:cs="IRNazanin"/>
          <w:lang w:bidi="fa-IR"/>
          <w:color w:val="111111"/>
          <w:sz w:val="28"/>
          <w:szCs w:val="28"/>
          <w:rtl/>
        </w:rPr>
        <w:t xml:space="preserve">هل الحکم الوضعی حکم مستقل مجعول،أو لا؟125</w:t>
      </w:r>
    </w:p>
    <w:p>
      <w:pPr>
        <w:pStyle w:val="BookText"/>
      </w:pPr>
      <w:r>
        <w:rPr>
          <w:rFonts w:ascii="IRNazanin" w:hAnsi="IRNazanin" w:eastAsia="IRNazanin" w:cs="IRNazanin"/>
          <w:lang w:bidi="fa-IR"/>
          <w:color w:val="111111"/>
          <w:sz w:val="28"/>
          <w:szCs w:val="28"/>
          <w:rtl/>
        </w:rPr>
        <w:t xml:space="preserve">الکلام فی الصحّة و الفساد 129</w:t>
      </w:r>
    </w:p>
    <w:p>
      <w:pPr>
        <w:pStyle w:val="BookText"/>
      </w:pPr>
      <w:r>
        <w:rPr>
          <w:rFonts w:ascii="IRNazanin" w:hAnsi="IRNazanin" w:eastAsia="IRNazanin" w:cs="IRNazanin"/>
          <w:lang w:bidi="fa-IR"/>
          <w:color w:val="111111"/>
          <w:sz w:val="28"/>
          <w:szCs w:val="28"/>
          <w:rtl/>
        </w:rPr>
        <w:t xml:space="preserve">رجوع إلی کلام الفاضل التونی 130</w:t>
      </w:r>
    </w:p>
    <w:p>
      <w:pPr>
        <w:pStyle w:val="BookText"/>
      </w:pPr>
      <w:r>
        <w:rPr>
          <w:rFonts w:ascii="IRNazanin" w:hAnsi="IRNazanin" w:eastAsia="IRNazanin" w:cs="IRNazanin"/>
          <w:lang w:bidi="fa-IR"/>
          <w:color w:val="111111"/>
          <w:sz w:val="28"/>
          <w:szCs w:val="28"/>
          <w:rtl/>
        </w:rPr>
        <w:t xml:space="preserve">ما أورد علیه 131</w:t>
      </w:r>
    </w:p>
    <w:p>
      <w:pPr>
        <w:pStyle w:val="BookText"/>
      </w:pPr>
      <w:r>
        <w:rPr>
          <w:rFonts w:ascii="IRNazanin" w:hAnsi="IRNazanin" w:eastAsia="IRNazanin" w:cs="IRNazanin"/>
          <w:lang w:bidi="fa-IR"/>
          <w:color w:val="111111"/>
          <w:sz w:val="28"/>
          <w:szCs w:val="28"/>
          <w:rtl/>
        </w:rPr>
        <w:t xml:space="preserve">عدم ورود شیء ممّا اورد علیه 131</w:t>
      </w:r>
    </w:p>
    <w:p>
      <w:pPr>
        <w:pStyle w:val="BookText"/>
      </w:pPr>
      <w:r>
        <w:rPr>
          <w:rFonts w:ascii="IRNazanin" w:hAnsi="IRNazanin" w:eastAsia="IRNazanin" w:cs="IRNazanin"/>
          <w:lang w:bidi="fa-IR"/>
          <w:color w:val="111111"/>
          <w:sz w:val="28"/>
          <w:szCs w:val="28"/>
          <w:rtl/>
        </w:rPr>
        <w:t xml:space="preserve">شبهة اخری فی منع جریان الاستصحاب فی الأحکام التکلیفیّة 145</w:t>
      </w:r>
    </w:p>
    <w:p>
      <w:pPr>
        <w:pStyle w:val="BookText"/>
      </w:pPr>
      <w:r>
        <w:rPr>
          <w:rFonts w:ascii="Amiri" w:hAnsi="Amiri" w:eastAsia="Amiri" w:cs="Amiri"/>
          <w:lang w:bidi="ar-SA"/>
          <w:color w:val="111111"/>
          <w:sz w:val="28"/>
          <w:szCs w:val="28"/>
          <w:rtl/>
        </w:rPr>
        <w:t xml:space="preserve">الجواب عن هذه الشبهة 146</w:t>
      </w:r>
    </w:p>
    <w:p>
      <w:pPr>
        <w:pStyle w:val="BookText"/>
      </w:pPr>
      <w:r>
        <w:rPr>
          <w:rFonts w:ascii="Amiri" w:hAnsi="Amiri" w:eastAsia="Amiri" w:cs="Amiri"/>
          <w:lang w:bidi="ar-SA"/>
          <w:color w:val="111111"/>
          <w:sz w:val="28"/>
          <w:szCs w:val="28"/>
          <w:rtl/>
        </w:rPr>
        <w:t xml:space="preserve">حجّة القول الثامن 149</w:t>
      </w:r>
    </w:p>
    <w:p>
      <w:pPr>
        <w:pStyle w:val="BookText"/>
      </w:pPr>
      <w:r>
        <w:rPr>
          <w:rFonts w:ascii="IRNazanin" w:hAnsi="IRNazanin" w:eastAsia="IRNazanin" w:cs="IRNazanin"/>
          <w:lang w:bidi="fa-IR"/>
          <w:color w:val="111111"/>
          <w:sz w:val="28"/>
          <w:szCs w:val="28"/>
          <w:rtl/>
        </w:rPr>
        <w:t xml:space="preserve">ظاهر کلام الغزالی إنکار الاستصحاب مطلقا 149</w:t>
      </w:r>
    </w:p>
    <w:p>
      <w:pPr>
        <w:pStyle w:val="BookText"/>
      </w:pPr>
      <w:r>
        <w:rPr>
          <w:rFonts w:ascii="IRNazanin" w:hAnsi="IRNazanin" w:eastAsia="IRNazanin" w:cs="IRNazanin"/>
          <w:lang w:bidi="fa-IR"/>
          <w:color w:val="111111"/>
          <w:sz w:val="28"/>
          <w:szCs w:val="28"/>
          <w:rtl/>
        </w:rPr>
        <w:t xml:space="preserve">منشأ نسبة هذا التفصیل إلی الغزالی 150</w:t>
      </w:r>
    </w:p>
    <w:p>
      <w:pPr>
        <w:pStyle w:val="BookText"/>
      </w:pPr>
      <w:r>
        <w:rPr>
          <w:rFonts w:ascii="IRNazanin" w:hAnsi="IRNazanin" w:eastAsia="IRNazanin" w:cs="IRNazanin"/>
          <w:lang w:bidi="fa-IR"/>
          <w:color w:val="111111"/>
          <w:sz w:val="28"/>
          <w:szCs w:val="28"/>
          <w:rtl/>
        </w:rPr>
        <w:t xml:space="preserve">نسبة شارح المختصر القول بحجّیة الاستصحاب مطلقا إلی الغزالی 154</w:t>
      </w:r>
    </w:p>
    <w:p>
      <w:pPr>
        <w:pStyle w:val="BookText"/>
      </w:pPr>
      <w:r>
        <w:rPr>
          <w:rFonts w:ascii="IRNazanin" w:hAnsi="IRNazanin" w:eastAsia="IRNazanin" w:cs="IRNazanin"/>
          <w:lang w:bidi="fa-IR"/>
          <w:color w:val="111111"/>
          <w:sz w:val="28"/>
          <w:szCs w:val="28"/>
          <w:rtl/>
        </w:rPr>
        <w:t xml:space="preserve">کلام السیّد الصدر فی الجمع بین قولی الغزالی 154</w:t>
      </w:r>
    </w:p>
    <w:p>
      <w:pPr>
        <w:pStyle w:val="BookText"/>
      </w:pPr>
      <w:r>
        <w:rPr>
          <w:rFonts w:ascii="IRNazanin" w:hAnsi="IRNazanin" w:eastAsia="IRNazanin" w:cs="IRNazanin"/>
          <w:lang w:bidi="fa-IR"/>
          <w:color w:val="111111"/>
          <w:sz w:val="28"/>
          <w:szCs w:val="28"/>
          <w:rtl/>
        </w:rPr>
        <w:t xml:space="preserve">المناقشة فی ما أفاده السیّد الصدر 155</w:t>
      </w:r>
    </w:p>
    <w:p>
      <w:pPr>
        <w:pStyle w:val="BookText"/>
      </w:pPr>
      <w:r>
        <w:rPr>
          <w:rFonts w:ascii="Amiri" w:hAnsi="Amiri" w:eastAsia="Amiri" w:cs="Amiri"/>
          <w:lang w:bidi="ar-SA"/>
          <w:color w:val="111111"/>
          <w:sz w:val="28"/>
          <w:szCs w:val="28"/>
          <w:rtl/>
        </w:rPr>
        <w:t xml:space="preserve">حجّة القول التاسع 159</w:t>
      </w:r>
    </w:p>
    <w:p>
      <w:pPr>
        <w:pStyle w:val="BookText"/>
      </w:pPr>
      <w:r>
        <w:rPr>
          <w:rFonts w:ascii="IRNazanin" w:hAnsi="IRNazanin" w:eastAsia="IRNazanin" w:cs="IRNazanin"/>
          <w:lang w:bidi="fa-IR"/>
          <w:color w:val="111111"/>
          <w:sz w:val="28"/>
          <w:szCs w:val="28"/>
          <w:rtl/>
        </w:rPr>
        <w:t xml:space="preserve">[شماره صفحه واقعی : 427]
</w:t>
      </w:r>
    </w:p>
    <w:p>
      <w:pPr>
        <w:sectPr>
          <w:footerReference w:type="default" r:id="rId9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استدلّ به فی المعارج علی هذا القول 159</w:t>
      </w:r>
    </w:p>
    <w:p>
      <w:pPr>
        <w:pStyle w:val="BookText"/>
      </w:pPr>
      <w:r>
        <w:rPr>
          <w:rFonts w:ascii="IRNazanin" w:hAnsi="IRNazanin" w:eastAsia="IRNazanin" w:cs="IRNazanin"/>
          <w:lang w:bidi="fa-IR"/>
          <w:color w:val="111111"/>
          <w:sz w:val="28"/>
          <w:szCs w:val="28"/>
          <w:rtl/>
        </w:rPr>
        <w:t xml:space="preserve">المناقشة فی الدلیل المذکور 160</w:t>
      </w:r>
    </w:p>
    <w:p>
      <w:pPr>
        <w:pStyle w:val="BookText"/>
      </w:pPr>
      <w:r>
        <w:rPr>
          <w:rFonts w:ascii="IRNazanin" w:hAnsi="IRNazanin" w:eastAsia="IRNazanin" w:cs="IRNazanin"/>
          <w:lang w:bidi="fa-IR"/>
          <w:color w:val="111111"/>
          <w:sz w:val="28"/>
          <w:szCs w:val="28"/>
          <w:rtl/>
        </w:rPr>
        <w:t xml:space="preserve">الأولی فی الاستدلال علی هذا القول 160</w:t>
      </w:r>
    </w:p>
    <w:p>
      <w:pPr>
        <w:pStyle w:val="BookText"/>
      </w:pPr>
      <w:r>
        <w:rPr>
          <w:rFonts w:ascii="IRNazanin" w:hAnsi="IRNazanin" w:eastAsia="IRNazanin" w:cs="IRNazanin"/>
          <w:lang w:bidi="fa-IR"/>
          <w:color w:val="111111"/>
          <w:sz w:val="28"/>
          <w:szCs w:val="28"/>
          <w:rtl/>
        </w:rPr>
        <w:t xml:space="preserve">مبنی نسبة هذا القول إلی المحقّق 161</w:t>
      </w:r>
    </w:p>
    <w:p>
      <w:pPr>
        <w:pStyle w:val="BookText"/>
      </w:pPr>
      <w:r>
        <w:rPr>
          <w:rFonts w:ascii="IRNazanin" w:hAnsi="IRNazanin" w:eastAsia="IRNazanin" w:cs="IRNazanin"/>
          <w:lang w:bidi="fa-IR"/>
          <w:color w:val="111111"/>
          <w:sz w:val="28"/>
          <w:szCs w:val="28"/>
          <w:rtl/>
        </w:rPr>
        <w:t xml:space="preserve">المناقشة فی المبنی المذکور 161</w:t>
      </w:r>
    </w:p>
    <w:p>
      <w:pPr>
        <w:pStyle w:val="BookText"/>
      </w:pPr>
      <w:r>
        <w:rPr>
          <w:rFonts w:ascii="IRNazanin" w:hAnsi="IRNazanin" w:eastAsia="IRNazanin" w:cs="IRNazanin"/>
          <w:lang w:bidi="fa-IR"/>
          <w:color w:val="111111"/>
          <w:sz w:val="28"/>
          <w:szCs w:val="28"/>
          <w:rtl/>
        </w:rPr>
        <w:t xml:space="preserve">توجیه نسبة هذا القول إلی المحقّق 162</w:t>
      </w:r>
    </w:p>
    <w:p>
      <w:pPr>
        <w:pStyle w:val="BookText"/>
      </w:pPr>
      <w:r>
        <w:rPr>
          <w:rFonts w:ascii="Amiri" w:hAnsi="Amiri" w:eastAsia="Amiri" w:cs="Amiri"/>
          <w:lang w:bidi="ar-SA"/>
          <w:color w:val="111111"/>
          <w:sz w:val="28"/>
          <w:szCs w:val="28"/>
          <w:rtl/>
        </w:rPr>
        <w:t xml:space="preserve">حجّة القول العاشر 165</w:t>
      </w:r>
    </w:p>
    <w:p>
      <w:pPr>
        <w:pStyle w:val="BookText"/>
      </w:pPr>
      <w:r>
        <w:rPr>
          <w:rFonts w:ascii="IRNazanin" w:hAnsi="IRNazanin" w:eastAsia="IRNazanin" w:cs="IRNazanin"/>
          <w:lang w:bidi="fa-IR"/>
          <w:color w:val="111111"/>
          <w:sz w:val="28"/>
          <w:szCs w:val="28"/>
          <w:rtl/>
        </w:rPr>
        <w:t xml:space="preserve">ما استدلّ به المحقّق السبزواری علی هذا القول 165</w:t>
      </w:r>
    </w:p>
    <w:p>
      <w:pPr>
        <w:pStyle w:val="BookText"/>
      </w:pPr>
      <w:r>
        <w:rPr>
          <w:rFonts w:ascii="IRNazanin" w:hAnsi="IRNazanin" w:eastAsia="IRNazanin" w:cs="IRNazanin"/>
          <w:lang w:bidi="fa-IR"/>
          <w:color w:val="111111"/>
          <w:sz w:val="28"/>
          <w:szCs w:val="28"/>
          <w:rtl/>
        </w:rPr>
        <w:t xml:space="preserve">المناقشة فیما أفاده المحقّق السبزواری 166</w:t>
      </w:r>
    </w:p>
    <w:p>
      <w:pPr>
        <w:pStyle w:val="BookText"/>
      </w:pPr>
      <w:r>
        <w:rPr>
          <w:rFonts w:ascii="IRNazanin" w:hAnsi="IRNazanin" w:eastAsia="IRNazanin" w:cs="IRNazanin"/>
          <w:lang w:bidi="fa-IR"/>
          <w:color w:val="111111"/>
          <w:sz w:val="28"/>
          <w:szCs w:val="28"/>
          <w:rtl/>
        </w:rPr>
        <w:t xml:space="preserve">حجّة القول الحادی عشر 169</w:t>
      </w:r>
    </w:p>
    <w:p>
      <w:pPr>
        <w:pStyle w:val="BookText"/>
      </w:pPr>
      <w:r>
        <w:rPr>
          <w:rFonts w:ascii="IRNazanin" w:hAnsi="IRNazanin" w:eastAsia="IRNazanin" w:cs="IRNazanin"/>
          <w:lang w:bidi="fa-IR"/>
          <w:color w:val="111111"/>
          <w:sz w:val="28"/>
          <w:szCs w:val="28"/>
          <w:rtl/>
        </w:rPr>
        <w:t xml:space="preserve">استدلال المحقّق الخوانساری علی هذا القول 169</w:t>
      </w:r>
    </w:p>
    <w:p>
      <w:pPr>
        <w:pStyle w:val="BookText"/>
      </w:pPr>
      <w:r>
        <w:rPr>
          <w:rFonts w:ascii="IRNazanin" w:hAnsi="IRNazanin" w:eastAsia="IRNazanin" w:cs="IRNazanin"/>
          <w:lang w:bidi="fa-IR"/>
          <w:color w:val="111111"/>
          <w:sz w:val="28"/>
          <w:szCs w:val="28"/>
          <w:rtl/>
        </w:rPr>
        <w:t xml:space="preserve">المناقشة فیما أفاده المحقّق الخوانساری 177</w:t>
      </w:r>
    </w:p>
    <w:p>
      <w:pPr>
        <w:pStyle w:val="BookText"/>
      </w:pPr>
      <w:r>
        <w:rPr>
          <w:rFonts w:ascii="IRNazanin" w:hAnsi="IRNazanin" w:eastAsia="IRNazanin" w:cs="IRNazanin"/>
          <w:lang w:bidi="fa-IR"/>
          <w:color w:val="111111"/>
          <w:sz w:val="28"/>
          <w:szCs w:val="28"/>
          <w:rtl/>
        </w:rPr>
        <w:t xml:space="preserve">أقوی الأقوال القول التاسع،و بعده المشهور 190</w:t>
      </w:r>
    </w:p>
    <w:p>
      <w:pPr>
        <w:pStyle w:val="BookText"/>
      </w:pPr>
      <w:r>
        <w:rPr>
          <w:rFonts w:ascii="IRNazanin" w:hAnsi="IRNazanin" w:eastAsia="IRNazanin" w:cs="IRNazanin"/>
          <w:lang w:bidi="fa-IR"/>
          <w:color w:val="111111"/>
          <w:sz w:val="28"/>
          <w:szCs w:val="28"/>
          <w:rtl/>
        </w:rPr>
        <w:t xml:space="preserve">ینبغی التنبیه علی امور:</w:t>
      </w:r>
    </w:p>
    <w:p>
      <w:pPr>
        <w:pStyle w:val="BookText"/>
      </w:pPr>
      <w:r>
        <w:rPr>
          <w:rFonts w:ascii="IRNazanin" w:hAnsi="IRNazanin" w:eastAsia="IRNazanin" w:cs="IRNazanin"/>
          <w:lang w:bidi="fa-IR"/>
          <w:color w:val="111111"/>
          <w:sz w:val="28"/>
          <w:szCs w:val="28"/>
          <w:rtl/>
        </w:rPr>
        <w:t xml:space="preserve">الأمر الأوّل:أقسام استصحاب الکلّی 191</w:t>
      </w:r>
    </w:p>
    <w:p>
      <w:pPr>
        <w:pStyle w:val="BookText"/>
      </w:pPr>
      <w:r>
        <w:rPr>
          <w:rFonts w:ascii="IRNazanin" w:hAnsi="IRNazanin" w:eastAsia="IRNazanin" w:cs="IRNazanin"/>
          <w:lang w:bidi="fa-IR"/>
          <w:color w:val="111111"/>
          <w:sz w:val="28"/>
          <w:szCs w:val="28"/>
          <w:rtl/>
        </w:rPr>
        <w:t xml:space="preserve">جواز استصحاب الکلّی و الفرد فی القسم الأوّل 191</w:t>
      </w:r>
    </w:p>
    <w:p>
      <w:pPr>
        <w:pStyle w:val="BookText"/>
      </w:pPr>
      <w:r>
        <w:rPr>
          <w:rFonts w:ascii="IRNazanin" w:hAnsi="IRNazanin" w:eastAsia="IRNazanin" w:cs="IRNazanin"/>
          <w:lang w:bidi="fa-IR"/>
          <w:color w:val="111111"/>
          <w:sz w:val="28"/>
          <w:szCs w:val="28"/>
          <w:rtl/>
        </w:rPr>
        <w:t xml:space="preserve">جواز استصحاب الکلّی فی القسم الثانی دون الفرد 191</w:t>
      </w:r>
    </w:p>
    <w:p>
      <w:pPr>
        <w:pStyle w:val="BookText"/>
      </w:pPr>
      <w:r>
        <w:rPr>
          <w:rFonts w:ascii="IRNazanin" w:hAnsi="IRNazanin" w:eastAsia="IRNazanin" w:cs="IRNazanin"/>
          <w:lang w:bidi="fa-IR"/>
          <w:color w:val="111111"/>
          <w:sz w:val="28"/>
          <w:szCs w:val="28"/>
          <w:rtl/>
        </w:rPr>
        <w:t xml:space="preserve">توهّم عدم جریان استصحاب الکلّی فی هذا القسم و دفعه 192</w:t>
      </w:r>
    </w:p>
    <w:p>
      <w:pPr>
        <w:pStyle w:val="BookText"/>
      </w:pPr>
      <w:r>
        <w:rPr>
          <w:rFonts w:ascii="IRNazanin" w:hAnsi="IRNazanin" w:eastAsia="IRNazanin" w:cs="IRNazanin"/>
          <w:lang w:bidi="fa-IR"/>
          <w:color w:val="111111"/>
          <w:sz w:val="28"/>
          <w:szCs w:val="28"/>
          <w:rtl/>
        </w:rPr>
        <w:t xml:space="preserve">توهّم آخر و دفعه 192</w:t>
      </w:r>
    </w:p>
    <w:p>
      <w:pPr>
        <w:pStyle w:val="BookText"/>
      </w:pPr>
      <w:r>
        <w:rPr>
          <w:rFonts w:ascii="IRNazanin" w:hAnsi="IRNazanin" w:eastAsia="IRNazanin" w:cs="IRNazanin"/>
          <w:lang w:bidi="fa-IR"/>
          <w:color w:val="111111"/>
          <w:sz w:val="28"/>
          <w:szCs w:val="28"/>
          <w:rtl/>
        </w:rPr>
        <w:t xml:space="preserve">القسم الثالث من استصحاب الکلّی و فیه قسمان 195</w:t>
      </w:r>
    </w:p>
    <w:p>
      <w:pPr>
        <w:pStyle w:val="BookText"/>
      </w:pPr>
      <w:r>
        <w:rPr>
          <w:rFonts w:ascii="IRNazanin" w:hAnsi="IRNazanin" w:eastAsia="IRNazanin" w:cs="IRNazanin"/>
          <w:lang w:bidi="fa-IR"/>
          <w:color w:val="111111"/>
          <w:sz w:val="28"/>
          <w:szCs w:val="28"/>
          <w:rtl/>
        </w:rPr>
        <w:t xml:space="preserve">هل یجری الاستصحاب فی القسمین أو لا یجری فی کلیهما أو فیه تفصیل؟195</w:t>
      </w:r>
    </w:p>
    <w:p>
      <w:pPr>
        <w:pStyle w:val="BookText"/>
      </w:pPr>
      <w:r>
        <w:rPr>
          <w:rFonts w:ascii="IRNazanin" w:hAnsi="IRNazanin" w:eastAsia="IRNazanin" w:cs="IRNazanin"/>
          <w:lang w:bidi="fa-IR"/>
          <w:color w:val="111111"/>
          <w:sz w:val="28"/>
          <w:szCs w:val="28"/>
          <w:rtl/>
        </w:rPr>
        <w:t xml:space="preserve">[شماره صفحه واقعی : 428]
</w:t>
      </w:r>
    </w:p>
    <w:p>
      <w:pPr>
        <w:sectPr>
          <w:footerReference w:type="default" r:id="rId9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مختار المصنّف هو التفصیل 196</w:t>
      </w:r>
    </w:p>
    <w:p>
      <w:pPr>
        <w:pStyle w:val="BookText"/>
      </w:pPr>
      <w:r>
        <w:rPr>
          <w:rFonts w:ascii="IRNazanin" w:hAnsi="IRNazanin" w:eastAsia="IRNazanin" w:cs="IRNazanin"/>
          <w:lang w:bidi="fa-IR"/>
          <w:color w:val="111111"/>
          <w:sz w:val="28"/>
          <w:szCs w:val="28"/>
          <w:rtl/>
        </w:rPr>
        <w:t xml:space="preserve">استثناء مورد واحد من القسم الثانی 196</w:t>
      </w:r>
    </w:p>
    <w:p>
      <w:pPr>
        <w:pStyle w:val="BookText"/>
      </w:pPr>
      <w:r>
        <w:rPr>
          <w:rFonts w:ascii="IRNazanin" w:hAnsi="IRNazanin" w:eastAsia="IRNazanin" w:cs="IRNazanin"/>
          <w:lang w:bidi="fa-IR"/>
          <w:color w:val="111111"/>
          <w:sz w:val="28"/>
          <w:szCs w:val="28"/>
          <w:rtl/>
        </w:rPr>
        <w:t xml:space="preserve">العبرة فی جریان الاستصحاب 196</w:t>
      </w:r>
    </w:p>
    <w:p>
      <w:pPr>
        <w:pStyle w:val="BookText"/>
      </w:pPr>
      <w:r>
        <w:rPr>
          <w:rFonts w:ascii="IRNazanin" w:hAnsi="IRNazanin" w:eastAsia="IRNazanin" w:cs="IRNazanin"/>
          <w:lang w:bidi="fa-IR"/>
          <w:color w:val="111111"/>
          <w:sz w:val="28"/>
          <w:szCs w:val="28"/>
          <w:rtl/>
        </w:rPr>
        <w:t xml:space="preserve">کلام الفاضل التونی تأییدا لبعض ما ذکرنا 197</w:t>
      </w:r>
    </w:p>
    <w:p>
      <w:pPr>
        <w:pStyle w:val="BookText"/>
      </w:pPr>
      <w:r>
        <w:rPr>
          <w:rFonts w:ascii="IRNazanin" w:hAnsi="IRNazanin" w:eastAsia="IRNazanin" w:cs="IRNazanin"/>
          <w:lang w:bidi="fa-IR"/>
          <w:color w:val="111111"/>
          <w:sz w:val="28"/>
          <w:szCs w:val="28"/>
          <w:rtl/>
        </w:rPr>
        <w:t xml:space="preserve">بعض المناقشات فی ما أفاده الفاضل التونی 197</w:t>
      </w:r>
    </w:p>
    <w:p>
      <w:pPr>
        <w:pStyle w:val="BookText"/>
      </w:pPr>
      <w:r>
        <w:rPr>
          <w:rFonts w:ascii="IRNazanin" w:hAnsi="IRNazanin" w:eastAsia="IRNazanin" w:cs="IRNazanin"/>
          <w:lang w:bidi="fa-IR"/>
          <w:color w:val="111111"/>
          <w:sz w:val="28"/>
          <w:szCs w:val="28"/>
          <w:rtl/>
        </w:rPr>
        <w:t xml:space="preserve">الأمر الثانی:هل یجری الاستصحاب فی الزمان و الزمانیّات؟203</w:t>
      </w:r>
    </w:p>
    <w:p>
      <w:pPr>
        <w:pStyle w:val="BookText"/>
      </w:pPr>
      <w:r>
        <w:rPr>
          <w:rFonts w:ascii="Amiri" w:hAnsi="Amiri" w:eastAsia="Amiri" w:cs="Amiri"/>
          <w:lang w:bidi="ar-SA"/>
          <w:color w:val="111111"/>
          <w:sz w:val="28"/>
          <w:szCs w:val="28"/>
          <w:rtl/>
        </w:rPr>
        <w:t xml:space="preserve">الأقسام ثلاثة:203</w:t>
      </w:r>
    </w:p>
    <w:p>
      <w:pPr>
        <w:pStyle w:val="BookText"/>
      </w:pPr>
      <w:r>
        <w:rPr>
          <w:rFonts w:ascii="IRNazanin" w:hAnsi="IRNazanin" w:eastAsia="IRNazanin" w:cs="IRNazanin"/>
          <w:lang w:bidi="fa-IR"/>
          <w:color w:val="111111"/>
          <w:sz w:val="28"/>
          <w:szCs w:val="28"/>
          <w:rtl/>
        </w:rPr>
        <w:t xml:space="preserve">1-استصحاب نفس الزمان 203</w:t>
      </w:r>
    </w:p>
    <w:p>
      <w:pPr>
        <w:pStyle w:val="BookText"/>
      </w:pPr>
      <w:r>
        <w:rPr>
          <w:rFonts w:ascii="IRNazanin" w:hAnsi="IRNazanin" w:eastAsia="IRNazanin" w:cs="IRNazanin"/>
          <w:lang w:bidi="fa-IR"/>
          <w:color w:val="111111"/>
          <w:sz w:val="28"/>
          <w:szCs w:val="28"/>
          <w:rtl/>
        </w:rPr>
        <w:t xml:space="preserve">2-استصحاب الامور التدریجیّة غیر القارّة 205</w:t>
      </w:r>
    </w:p>
    <w:p>
      <w:pPr>
        <w:pStyle w:val="BookText"/>
      </w:pPr>
      <w:r>
        <w:rPr>
          <w:rFonts w:ascii="IRNazanin" w:hAnsi="IRNazanin" w:eastAsia="IRNazanin" w:cs="IRNazanin"/>
          <w:lang w:bidi="fa-IR"/>
          <w:color w:val="111111"/>
          <w:sz w:val="28"/>
          <w:szCs w:val="28"/>
          <w:rtl/>
        </w:rPr>
        <w:t xml:space="preserve">3-استصحاب الامور المقیّدة بالزمان 208</w:t>
      </w:r>
    </w:p>
    <w:p>
      <w:pPr>
        <w:pStyle w:val="BookText"/>
      </w:pPr>
      <w:r>
        <w:rPr>
          <w:rFonts w:ascii="IRNazanin" w:hAnsi="IRNazanin" w:eastAsia="IRNazanin" w:cs="IRNazanin"/>
          <w:lang w:bidi="fa-IR"/>
          <w:color w:val="111111"/>
          <w:sz w:val="28"/>
          <w:szCs w:val="28"/>
          <w:rtl/>
        </w:rPr>
        <w:t xml:space="preserve">ما ذکره الفاضل النراقی:من معارضة استصحاب عدم الأمر الوجودی المتیقّن سابقا مع استصحاب وجوده 208</w:t>
      </w:r>
    </w:p>
    <w:p>
      <w:pPr>
        <w:pStyle w:val="BookText"/>
      </w:pPr>
      <w:r>
        <w:rPr>
          <w:rFonts w:ascii="IRNazanin" w:hAnsi="IRNazanin" w:eastAsia="IRNazanin" w:cs="IRNazanin"/>
          <w:lang w:bidi="fa-IR"/>
          <w:color w:val="111111"/>
          <w:sz w:val="28"/>
          <w:szCs w:val="28"/>
          <w:rtl/>
        </w:rPr>
        <w:t xml:space="preserve">المناقشة فی ما أفاده الفاضل النراقی 210</w:t>
      </w:r>
    </w:p>
    <w:p>
      <w:pPr>
        <w:pStyle w:val="BookText"/>
      </w:pPr>
      <w:r>
        <w:rPr>
          <w:rFonts w:ascii="IRNazanin" w:hAnsi="IRNazanin" w:eastAsia="IRNazanin" w:cs="IRNazanin"/>
          <w:lang w:bidi="fa-IR"/>
          <w:color w:val="111111"/>
          <w:sz w:val="28"/>
          <w:szCs w:val="28"/>
          <w:rtl/>
        </w:rPr>
        <w:t xml:space="preserve">الزمان قد یؤخذ قیدا و قد یؤخذ ظرفا 210</w:t>
      </w:r>
    </w:p>
    <w:p>
      <w:pPr>
        <w:pStyle w:val="BookText"/>
      </w:pPr>
      <w:r>
        <w:rPr>
          <w:rFonts w:ascii="IRNazanin" w:hAnsi="IRNazanin" w:eastAsia="IRNazanin" w:cs="IRNazanin"/>
          <w:lang w:bidi="fa-IR"/>
          <w:color w:val="111111"/>
          <w:sz w:val="28"/>
          <w:szCs w:val="28"/>
          <w:rtl/>
        </w:rPr>
        <w:t xml:space="preserve">الأمر الثالث:عدم جریان الاستصحاب فی الأحکام العقلیّة 215</w:t>
      </w:r>
    </w:p>
    <w:p>
      <w:pPr>
        <w:pStyle w:val="BookText"/>
      </w:pPr>
      <w:r>
        <w:rPr>
          <w:rFonts w:ascii="IRNazanin" w:hAnsi="IRNazanin" w:eastAsia="IRNazanin" w:cs="IRNazanin"/>
          <w:lang w:bidi="fa-IR"/>
          <w:color w:val="111111"/>
          <w:sz w:val="28"/>
          <w:szCs w:val="28"/>
          <w:rtl/>
        </w:rPr>
        <w:t xml:space="preserve">عدم جریان الاستصحاب فی الحکم الشرعی المستند إلی الحکم العقلی أیضا 216</w:t>
      </w:r>
    </w:p>
    <w:p>
      <w:pPr>
        <w:pStyle w:val="BookText"/>
      </w:pPr>
      <w:r>
        <w:rPr>
          <w:rFonts w:ascii="IRNazanin" w:hAnsi="IRNazanin" w:eastAsia="IRNazanin" w:cs="IRNazanin"/>
          <w:lang w:bidi="fa-IR"/>
          <w:color w:val="111111"/>
          <w:sz w:val="28"/>
          <w:szCs w:val="28"/>
          <w:rtl/>
        </w:rPr>
        <w:t xml:space="preserve">هل یجری الاستصحاب فی موضوع الحکم العقلی؟217</w:t>
      </w:r>
    </w:p>
    <w:p>
      <w:pPr>
        <w:pStyle w:val="BookText"/>
      </w:pPr>
      <w:r>
        <w:rPr>
          <w:rFonts w:ascii="IRNazanin" w:hAnsi="IRNazanin" w:eastAsia="IRNazanin" w:cs="IRNazanin"/>
          <w:lang w:bidi="fa-IR"/>
          <w:color w:val="111111"/>
          <w:sz w:val="28"/>
          <w:szCs w:val="28"/>
          <w:rtl/>
        </w:rPr>
        <w:t xml:space="preserve">الأمر الرابع:هل یجری الاستصحاب التعلیقی؟221</w:t>
      </w:r>
    </w:p>
    <w:p>
      <w:pPr>
        <w:pStyle w:val="BookText"/>
      </w:pPr>
      <w:r>
        <w:rPr>
          <w:rFonts w:ascii="IRNazanin" w:hAnsi="IRNazanin" w:eastAsia="IRNazanin" w:cs="IRNazanin"/>
          <w:lang w:bidi="fa-IR"/>
          <w:color w:val="111111"/>
          <w:sz w:val="28"/>
          <w:szCs w:val="28"/>
          <w:rtl/>
        </w:rPr>
        <w:t xml:space="preserve">توضیح هذا الاستصحاب 221</w:t>
      </w:r>
    </w:p>
    <w:p>
      <w:pPr>
        <w:pStyle w:val="BookText"/>
      </w:pPr>
      <w:r>
        <w:rPr>
          <w:rFonts w:ascii="IRNazanin" w:hAnsi="IRNazanin" w:eastAsia="IRNazanin" w:cs="IRNazanin"/>
          <w:lang w:bidi="fa-IR"/>
          <w:color w:val="111111"/>
          <w:sz w:val="28"/>
          <w:szCs w:val="28"/>
          <w:rtl/>
        </w:rPr>
        <w:t xml:space="preserve">کلام صاحب المناهل فی عدم جریان الاستصحاب التعلیقی 222</w:t>
      </w:r>
    </w:p>
    <w:p>
      <w:pPr>
        <w:pStyle w:val="BookText"/>
      </w:pPr>
      <w:r>
        <w:rPr>
          <w:rFonts w:ascii="IRNazanin" w:hAnsi="IRNazanin" w:eastAsia="IRNazanin" w:cs="IRNazanin"/>
          <w:lang w:bidi="fa-IR"/>
          <w:color w:val="111111"/>
          <w:sz w:val="28"/>
          <w:szCs w:val="28"/>
          <w:rtl/>
        </w:rPr>
        <w:t xml:space="preserve">المناقشة فی ما أفاده صاحب المناهل 222</w:t>
      </w:r>
    </w:p>
    <w:p>
      <w:pPr>
        <w:pStyle w:val="BookText"/>
      </w:pPr>
      <w:r>
        <w:rPr>
          <w:rFonts w:ascii="IRNazanin" w:hAnsi="IRNazanin" w:eastAsia="IRNazanin" w:cs="IRNazanin"/>
          <w:lang w:bidi="fa-IR"/>
          <w:color w:val="111111"/>
          <w:sz w:val="28"/>
          <w:szCs w:val="28"/>
          <w:rtl/>
        </w:rPr>
        <w:t xml:space="preserve">[شماره صفحه واقعی : 429]
</w:t>
      </w:r>
    </w:p>
    <w:p>
      <w:pPr>
        <w:sectPr>
          <w:footerReference w:type="default" r:id="rId9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بعض المناقشات فی الاستصحاب التعلیقی و دفعها 223</w:t>
      </w:r>
    </w:p>
    <w:p>
      <w:pPr>
        <w:pStyle w:val="BookText"/>
      </w:pPr>
      <w:r>
        <w:rPr>
          <w:rFonts w:ascii="IRNazanin" w:hAnsi="IRNazanin" w:eastAsia="IRNazanin" w:cs="IRNazanin"/>
          <w:lang w:bidi="fa-IR"/>
          <w:color w:val="111111"/>
          <w:sz w:val="28"/>
          <w:szCs w:val="28"/>
          <w:rtl/>
        </w:rPr>
        <w:t xml:space="preserve">مختار المصنّف فی المسألة 223</w:t>
      </w:r>
    </w:p>
    <w:p>
      <w:pPr>
        <w:pStyle w:val="BookText"/>
      </w:pPr>
      <w:r>
        <w:rPr>
          <w:rFonts w:ascii="IRNazanin" w:hAnsi="IRNazanin" w:eastAsia="IRNazanin" w:cs="IRNazanin"/>
          <w:lang w:bidi="fa-IR"/>
          <w:color w:val="111111"/>
          <w:sz w:val="28"/>
          <w:szCs w:val="28"/>
          <w:rtl/>
        </w:rPr>
        <w:t xml:space="preserve">الأمر الخامس:استصحاب أحکام الشرائع السابقة 225</w:t>
      </w:r>
    </w:p>
    <w:p>
      <w:pPr>
        <w:pStyle w:val="BookText"/>
      </w:pPr>
      <w:r>
        <w:rPr>
          <w:rFonts w:ascii="IRNazanin" w:hAnsi="IRNazanin" w:eastAsia="IRNazanin" w:cs="IRNazanin"/>
          <w:lang w:bidi="fa-IR"/>
          <w:color w:val="111111"/>
          <w:sz w:val="28"/>
          <w:szCs w:val="28"/>
          <w:rtl/>
        </w:rPr>
        <w:t xml:space="preserve">ما ذکره صاحب الفصول فی وجه المنع عن هذا الاستصحاب 225</w:t>
      </w:r>
    </w:p>
    <w:p>
      <w:pPr>
        <w:pStyle w:val="BookText"/>
      </w:pPr>
      <w:r>
        <w:rPr>
          <w:rFonts w:ascii="IRNazanin" w:hAnsi="IRNazanin" w:eastAsia="IRNazanin" w:cs="IRNazanin"/>
          <w:lang w:bidi="fa-IR"/>
          <w:color w:val="111111"/>
          <w:sz w:val="28"/>
          <w:szCs w:val="28"/>
          <w:rtl/>
        </w:rPr>
        <w:t xml:space="preserve">المناقشة فی ما أفاده صاحب الفصول 225</w:t>
      </w:r>
    </w:p>
    <w:p>
      <w:pPr>
        <w:pStyle w:val="BookText"/>
      </w:pPr>
      <w:r>
        <w:rPr>
          <w:rFonts w:ascii="IRNazanin" w:hAnsi="IRNazanin" w:eastAsia="IRNazanin" w:cs="IRNazanin"/>
          <w:lang w:bidi="fa-IR"/>
          <w:color w:val="111111"/>
          <w:sz w:val="28"/>
          <w:szCs w:val="28"/>
          <w:rtl/>
        </w:rPr>
        <w:t xml:space="preserve">وجه آخر للمنع و دفعه 227</w:t>
      </w:r>
    </w:p>
    <w:p>
      <w:pPr>
        <w:pStyle w:val="BookText"/>
      </w:pPr>
      <w:r>
        <w:rPr>
          <w:rFonts w:ascii="IRNazanin" w:hAnsi="IRNazanin" w:eastAsia="IRNazanin" w:cs="IRNazanin"/>
          <w:lang w:bidi="fa-IR"/>
          <w:color w:val="111111"/>
          <w:sz w:val="28"/>
          <w:szCs w:val="28"/>
          <w:rtl/>
        </w:rPr>
        <w:t xml:space="preserve">ما ذکره المحقّق القمّی فی وجه المنع 228</w:t>
      </w:r>
    </w:p>
    <w:p>
      <w:pPr>
        <w:pStyle w:val="BookText"/>
      </w:pPr>
      <w:r>
        <w:rPr>
          <w:rFonts w:ascii="Amiri" w:hAnsi="Amiri" w:eastAsia="Amiri" w:cs="Amiri"/>
          <w:lang w:bidi="ar-SA"/>
          <w:color w:val="111111"/>
          <w:sz w:val="28"/>
          <w:szCs w:val="28"/>
          <w:rtl/>
        </w:rPr>
        <w:t xml:space="preserve">الجواب عمّا ذکره المحقّق القمّی 228</w:t>
      </w:r>
    </w:p>
    <w:p>
      <w:pPr>
        <w:pStyle w:val="BookText"/>
      </w:pPr>
      <w:r>
        <w:rPr>
          <w:rFonts w:ascii="IRNazanin" w:hAnsi="IRNazanin" w:eastAsia="IRNazanin" w:cs="IRNazanin"/>
          <w:lang w:bidi="fa-IR"/>
          <w:color w:val="111111"/>
          <w:sz w:val="28"/>
          <w:szCs w:val="28"/>
          <w:rtl/>
        </w:rPr>
        <w:t xml:space="preserve">الثمرات المذکورة لهذه المسألة و مناقشتها 229</w:t>
      </w:r>
    </w:p>
    <w:p>
      <w:pPr>
        <w:pStyle w:val="BookText"/>
      </w:pPr>
      <w:r>
        <w:rPr>
          <w:rFonts w:ascii="IRNazanin" w:hAnsi="IRNazanin" w:eastAsia="IRNazanin" w:cs="IRNazanin"/>
          <w:lang w:bidi="fa-IR"/>
          <w:color w:val="111111"/>
          <w:sz w:val="28"/>
          <w:szCs w:val="28"/>
          <w:rtl/>
        </w:rPr>
        <w:t xml:space="preserve">الأمر السادس:عدم ترتّب الآثار غیر الشرعیّة علی الاستصحاب و الدلیل علیه 233</w:t>
      </w:r>
    </w:p>
    <w:p>
      <w:pPr>
        <w:pStyle w:val="BookText"/>
      </w:pPr>
      <w:r>
        <w:rPr>
          <w:rFonts w:ascii="IRNazanin" w:hAnsi="IRNazanin" w:eastAsia="IRNazanin" w:cs="IRNazanin"/>
          <w:lang w:bidi="fa-IR"/>
          <w:color w:val="111111"/>
          <w:sz w:val="28"/>
          <w:szCs w:val="28"/>
          <w:rtl/>
        </w:rPr>
        <w:t xml:space="preserve">المراد من نفی الاصول المثبتة 234</w:t>
      </w:r>
    </w:p>
    <w:p>
      <w:pPr>
        <w:pStyle w:val="BookText"/>
      </w:pPr>
      <w:r>
        <w:rPr>
          <w:rFonts w:ascii="IRNazanin" w:hAnsi="IRNazanin" w:eastAsia="IRNazanin" w:cs="IRNazanin"/>
          <w:lang w:bidi="fa-IR"/>
          <w:color w:val="111111"/>
          <w:sz w:val="28"/>
          <w:szCs w:val="28"/>
          <w:rtl/>
        </w:rPr>
        <w:t xml:space="preserve">عدم ترتّب الآثار و اللوازم غیر الشرعیّة مطلقا 235</w:t>
      </w:r>
    </w:p>
    <w:p>
      <w:pPr>
        <w:pStyle w:val="BookText"/>
      </w:pPr>
      <w:r>
        <w:rPr>
          <w:rFonts w:ascii="IRNazanin" w:hAnsi="IRNazanin" w:eastAsia="IRNazanin" w:cs="IRNazanin"/>
          <w:lang w:bidi="fa-IR"/>
          <w:color w:val="111111"/>
          <w:sz w:val="28"/>
          <w:szCs w:val="28"/>
          <w:rtl/>
        </w:rPr>
        <w:t xml:space="preserve">ما استدلّ به صاحب الفصول علی عدم حجّیة الأصل المثبت 236</w:t>
      </w:r>
    </w:p>
    <w:p>
      <w:pPr>
        <w:pStyle w:val="BookText"/>
      </w:pPr>
      <w:r>
        <w:rPr>
          <w:rFonts w:ascii="IRNazanin" w:hAnsi="IRNazanin" w:eastAsia="IRNazanin" w:cs="IRNazanin"/>
          <w:lang w:bidi="fa-IR"/>
          <w:color w:val="111111"/>
          <w:sz w:val="28"/>
          <w:szCs w:val="28"/>
          <w:rtl/>
        </w:rPr>
        <w:t xml:space="preserve">المناقشة فی ما أفاده صاحب الفصول 237</w:t>
      </w:r>
    </w:p>
    <w:p>
      <w:pPr>
        <w:pStyle w:val="BookText"/>
      </w:pPr>
      <w:r>
        <w:rPr>
          <w:rFonts w:ascii="IRNazanin" w:hAnsi="IRNazanin" w:eastAsia="IRNazanin" w:cs="IRNazanin"/>
          <w:lang w:bidi="fa-IR"/>
          <w:color w:val="111111"/>
          <w:sz w:val="28"/>
          <w:szCs w:val="28"/>
          <w:rtl/>
        </w:rPr>
        <w:t xml:space="preserve">وجوب الالتزام بالاصول المثبتة بناء علی اعتبار الاستصحاب من باب الظنّ 238</w:t>
      </w:r>
    </w:p>
    <w:p>
      <w:pPr>
        <w:pStyle w:val="BookText"/>
      </w:pPr>
      <w:r>
        <w:rPr>
          <w:rFonts w:ascii="IRNazanin" w:hAnsi="IRNazanin" w:eastAsia="IRNazanin" w:cs="IRNazanin"/>
          <w:lang w:bidi="fa-IR"/>
          <w:color w:val="111111"/>
          <w:sz w:val="28"/>
          <w:szCs w:val="28"/>
          <w:rtl/>
        </w:rPr>
        <w:t xml:space="preserve">فروع تمسّکوا فیها بالاصول المثبتة 238</w:t>
      </w:r>
    </w:p>
    <w:p>
      <w:pPr>
        <w:pStyle w:val="BookText"/>
      </w:pPr>
      <w:r>
        <w:rPr>
          <w:rFonts w:ascii="IRNazanin" w:hAnsi="IRNazanin" w:eastAsia="IRNazanin" w:cs="IRNazanin"/>
          <w:lang w:bidi="fa-IR"/>
          <w:color w:val="111111"/>
          <w:sz w:val="28"/>
          <w:szCs w:val="28"/>
          <w:rtl/>
        </w:rPr>
        <w:t xml:space="preserve">عدم عمل الأصحاب بکلّ أصل مثبت 242</w:t>
      </w:r>
    </w:p>
    <w:p>
      <w:pPr>
        <w:pStyle w:val="BookText"/>
      </w:pPr>
      <w:r>
        <w:rPr>
          <w:rFonts w:ascii="IRNazanin" w:hAnsi="IRNazanin" w:eastAsia="IRNazanin" w:cs="IRNazanin"/>
          <w:lang w:bidi="fa-IR"/>
          <w:color w:val="111111"/>
          <w:sz w:val="28"/>
          <w:szCs w:val="28"/>
          <w:rtl/>
        </w:rPr>
        <w:t xml:space="preserve">حجّیة الأصل المثبت مع خفاء الواسطة 244</w:t>
      </w:r>
    </w:p>
    <w:p>
      <w:pPr>
        <w:pStyle w:val="BookText"/>
      </w:pPr>
      <w:r>
        <w:rPr>
          <w:rFonts w:ascii="Amiri" w:hAnsi="Amiri" w:eastAsia="Amiri" w:cs="Amiri"/>
          <w:lang w:bidi="ar-SA"/>
          <w:color w:val="111111"/>
          <w:sz w:val="28"/>
          <w:szCs w:val="28"/>
          <w:rtl/>
        </w:rPr>
        <w:t xml:space="preserve">نماذج من خفاء الواسطة 244</w:t>
      </w:r>
    </w:p>
    <w:p>
      <w:pPr>
        <w:pStyle w:val="BookText"/>
      </w:pPr>
      <w:r>
        <w:rPr>
          <w:rFonts w:ascii="IRNazanin" w:hAnsi="IRNazanin" w:eastAsia="IRNazanin" w:cs="IRNazanin"/>
          <w:lang w:bidi="fa-IR"/>
          <w:color w:val="111111"/>
          <w:sz w:val="28"/>
          <w:szCs w:val="28"/>
          <w:rtl/>
        </w:rPr>
        <w:t xml:space="preserve">الأمر السابع:هل تجری أصالة تأخّر الحادث؟247</w:t>
      </w:r>
    </w:p>
    <w:p>
      <w:pPr>
        <w:pStyle w:val="BookText"/>
      </w:pPr>
      <w:r>
        <w:rPr>
          <w:rFonts w:ascii="IRNazanin" w:hAnsi="IRNazanin" w:eastAsia="IRNazanin" w:cs="IRNazanin"/>
          <w:lang w:bidi="fa-IR"/>
          <w:color w:val="111111"/>
          <w:sz w:val="28"/>
          <w:szCs w:val="28"/>
          <w:rtl/>
        </w:rPr>
        <w:t xml:space="preserve">[شماره صفحه واقعی : 430]
</w:t>
      </w:r>
    </w:p>
    <w:p>
      <w:pPr>
        <w:sectPr>
          <w:footerReference w:type="default" r:id="rId9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صور تأخّر الحادث:248</w:t>
      </w:r>
    </w:p>
    <w:p>
      <w:pPr>
        <w:pStyle w:val="BookText"/>
      </w:pPr>
      <w:r>
        <w:rPr>
          <w:rFonts w:ascii="IRNazanin" w:hAnsi="IRNazanin" w:eastAsia="IRNazanin" w:cs="IRNazanin"/>
          <w:lang w:bidi="fa-IR"/>
          <w:color w:val="111111"/>
          <w:sz w:val="28"/>
          <w:szCs w:val="28"/>
          <w:rtl/>
        </w:rPr>
        <w:t xml:space="preserve">1-إذا لوحظ تأخّر الحادث بالقیاس إلی ما قبله من أجزاء الزمان 248</w:t>
      </w:r>
    </w:p>
    <w:p>
      <w:pPr>
        <w:pStyle w:val="BookText"/>
      </w:pPr>
      <w:r>
        <w:rPr>
          <w:rFonts w:ascii="IRNazanin" w:hAnsi="IRNazanin" w:eastAsia="IRNazanin" w:cs="IRNazanin"/>
          <w:lang w:bidi="fa-IR"/>
          <w:color w:val="111111"/>
          <w:sz w:val="28"/>
          <w:szCs w:val="28"/>
          <w:rtl/>
        </w:rPr>
        <w:t xml:space="preserve">2-إذا لوحظ بالقیاس إلی حادث آخر و جهل تأریخهما 249</w:t>
      </w:r>
    </w:p>
    <w:p>
      <w:pPr>
        <w:pStyle w:val="BookText"/>
      </w:pPr>
      <w:r>
        <w:rPr>
          <w:rFonts w:ascii="IRNazanin" w:hAnsi="IRNazanin" w:eastAsia="IRNazanin" w:cs="IRNazanin"/>
          <w:lang w:bidi="fa-IR"/>
          <w:color w:val="111111"/>
          <w:sz w:val="28"/>
          <w:szCs w:val="28"/>
          <w:rtl/>
        </w:rPr>
        <w:t xml:space="preserve">لو کان أحدهما معلوم التأریخ 249</w:t>
      </w:r>
    </w:p>
    <w:p>
      <w:pPr>
        <w:pStyle w:val="BookText"/>
      </w:pPr>
      <w:r>
        <w:rPr>
          <w:rFonts w:ascii="IRNazanin" w:hAnsi="IRNazanin" w:eastAsia="IRNazanin" w:cs="IRNazanin"/>
          <w:lang w:bidi="fa-IR"/>
          <w:color w:val="111111"/>
          <w:sz w:val="28"/>
          <w:szCs w:val="28"/>
          <w:rtl/>
        </w:rPr>
        <w:t xml:space="preserve">قولان آخران فی هذه الصورة 250</w:t>
      </w:r>
    </w:p>
    <w:p>
      <w:pPr>
        <w:pStyle w:val="BookText"/>
      </w:pPr>
      <w:r>
        <w:rPr>
          <w:rFonts w:ascii="IRNazanin" w:hAnsi="IRNazanin" w:eastAsia="IRNazanin" w:cs="IRNazanin"/>
          <w:lang w:bidi="fa-IR"/>
          <w:color w:val="111111"/>
          <w:sz w:val="28"/>
          <w:szCs w:val="28"/>
          <w:rtl/>
        </w:rPr>
        <w:t xml:space="preserve">صحّة الاستصحاب القهقری بناء علی الأصل المثبت 254</w:t>
      </w:r>
    </w:p>
    <w:p>
      <w:pPr>
        <w:pStyle w:val="BookText"/>
      </w:pPr>
      <w:r>
        <w:rPr>
          <w:rFonts w:ascii="IRNazanin" w:hAnsi="IRNazanin" w:eastAsia="IRNazanin" w:cs="IRNazanin"/>
          <w:lang w:bidi="fa-IR"/>
          <w:color w:val="111111"/>
          <w:sz w:val="28"/>
          <w:szCs w:val="28"/>
          <w:rtl/>
        </w:rPr>
        <w:t xml:space="preserve">الاتفاق علی هذا الاستصحاب فی الاصول اللفظیّة 254</w:t>
      </w:r>
    </w:p>
    <w:p>
      <w:pPr>
        <w:pStyle w:val="BookText"/>
      </w:pPr>
      <w:r>
        <w:rPr>
          <w:rFonts w:ascii="IRNazanin" w:hAnsi="IRNazanin" w:eastAsia="IRNazanin" w:cs="IRNazanin"/>
          <w:lang w:bidi="fa-IR"/>
          <w:color w:val="111111"/>
          <w:sz w:val="28"/>
          <w:szCs w:val="28"/>
          <w:rtl/>
        </w:rPr>
        <w:t xml:space="preserve">الأمر الثامن:هل یجری استصحاب صحّة العبادة عند الشکّ فی طروء مفسد؟255</w:t>
      </w:r>
    </w:p>
    <w:p>
      <w:pPr>
        <w:pStyle w:val="BookText"/>
      </w:pPr>
      <w:r>
        <w:rPr>
          <w:rFonts w:ascii="IRNazanin" w:hAnsi="IRNazanin" w:eastAsia="IRNazanin" w:cs="IRNazanin"/>
          <w:lang w:bidi="fa-IR"/>
          <w:color w:val="111111"/>
          <w:sz w:val="28"/>
          <w:szCs w:val="28"/>
          <w:rtl/>
        </w:rPr>
        <w:t xml:space="preserve">مختار المصنّف التفصیل 256</w:t>
      </w:r>
    </w:p>
    <w:p>
      <w:pPr>
        <w:pStyle w:val="BookText"/>
      </w:pPr>
      <w:r>
        <w:rPr>
          <w:rFonts w:ascii="IRNazanin" w:hAnsi="IRNazanin" w:eastAsia="IRNazanin" w:cs="IRNazanin"/>
          <w:lang w:bidi="fa-IR"/>
          <w:color w:val="111111"/>
          <w:sz w:val="28"/>
          <w:szCs w:val="28"/>
          <w:rtl/>
        </w:rPr>
        <w:t xml:space="preserve">التمسّک فی مطلق الشکّ فی الفساد باستصحاب حرمة القطع و غیر ذلک و مناقشتها 257</w:t>
      </w:r>
    </w:p>
    <w:p>
      <w:pPr>
        <w:pStyle w:val="BookText"/>
      </w:pPr>
      <w:r>
        <w:rPr>
          <w:rFonts w:ascii="IRNazanin" w:hAnsi="IRNazanin" w:eastAsia="IRNazanin" w:cs="IRNazanin"/>
          <w:lang w:bidi="fa-IR"/>
          <w:color w:val="111111"/>
          <w:sz w:val="28"/>
          <w:szCs w:val="28"/>
          <w:rtl/>
        </w:rPr>
        <w:t xml:space="preserve">الأمر التاسع:عدم جریان الاستصحاب فی الامور الاعتقادیّة 259</w:t>
      </w:r>
    </w:p>
    <w:p>
      <w:pPr>
        <w:pStyle w:val="BookText"/>
      </w:pPr>
      <w:r>
        <w:rPr>
          <w:rFonts w:ascii="IRNazanin" w:hAnsi="IRNazanin" w:eastAsia="IRNazanin" w:cs="IRNazanin"/>
          <w:lang w:bidi="fa-IR"/>
          <w:color w:val="111111"/>
          <w:sz w:val="28"/>
          <w:szCs w:val="28"/>
          <w:rtl/>
        </w:rPr>
        <w:t xml:space="preserve">لو شکّ فی نسخ أصل الشریعة؟260</w:t>
      </w:r>
    </w:p>
    <w:p>
      <w:pPr>
        <w:pStyle w:val="BookText"/>
      </w:pPr>
      <w:r>
        <w:rPr>
          <w:rFonts w:ascii="IRNazanin" w:hAnsi="IRNazanin" w:eastAsia="IRNazanin" w:cs="IRNazanin"/>
          <w:lang w:bidi="fa-IR"/>
          <w:color w:val="111111"/>
          <w:sz w:val="28"/>
          <w:szCs w:val="28"/>
          <w:rtl/>
        </w:rPr>
        <w:t xml:space="preserve">تمسّک بعض أهل الکتاب باستصحاب شرعه 260</w:t>
      </w:r>
    </w:p>
    <w:p>
      <w:pPr>
        <w:pStyle w:val="BookText"/>
      </w:pPr>
      <w:r>
        <w:rPr>
          <w:rFonts w:ascii="IRNazanin" w:hAnsi="IRNazanin" w:eastAsia="IRNazanin" w:cs="IRNazanin"/>
          <w:lang w:bidi="fa-IR"/>
          <w:color w:val="111111"/>
          <w:sz w:val="28"/>
          <w:szCs w:val="28"/>
          <w:rtl/>
        </w:rPr>
        <w:t xml:space="preserve">بعض الأجوبة عن استصحاب الکتابی و مناقشتها:261</w:t>
      </w:r>
    </w:p>
    <w:p>
      <w:pPr>
        <w:pStyle w:val="BookText"/>
      </w:pPr>
      <w:r>
        <w:rPr>
          <w:rFonts w:ascii="IRNazanin" w:hAnsi="IRNazanin" w:eastAsia="IRNazanin" w:cs="IRNazanin"/>
          <w:lang w:bidi="fa-IR"/>
          <w:color w:val="111111"/>
          <w:sz w:val="28"/>
          <w:szCs w:val="28"/>
          <w:rtl/>
        </w:rPr>
        <w:t xml:space="preserve">1-ما ذکره بعض الفضلاء 261</w:t>
      </w:r>
    </w:p>
    <w:p>
      <w:pPr>
        <w:pStyle w:val="BookText"/>
      </w:pPr>
      <w:r>
        <w:rPr>
          <w:rFonts w:ascii="IRNazanin" w:hAnsi="IRNazanin" w:eastAsia="IRNazanin" w:cs="IRNazanin"/>
          <w:lang w:bidi="fa-IR"/>
          <w:color w:val="111111"/>
          <w:sz w:val="28"/>
          <w:szCs w:val="28"/>
          <w:rtl/>
        </w:rPr>
        <w:t xml:space="preserve">2-ما ذکره الفاضل النراقی 261</w:t>
      </w:r>
    </w:p>
    <w:p>
      <w:pPr>
        <w:pStyle w:val="BookText"/>
      </w:pPr>
      <w:r>
        <w:rPr>
          <w:rFonts w:ascii="Amiri" w:hAnsi="Amiri" w:eastAsia="Amiri" w:cs="Amiri"/>
          <w:lang w:bidi="ar-SA"/>
          <w:color w:val="111111"/>
          <w:sz w:val="28"/>
          <w:szCs w:val="28"/>
          <w:rtl/>
        </w:rPr>
        <w:t xml:space="preserve">3-ما ذکره المحقّق القمّی 262</w:t>
      </w:r>
    </w:p>
    <w:p>
      <w:pPr>
        <w:pStyle w:val="BookText"/>
      </w:pPr>
      <w:r>
        <w:rPr>
          <w:rFonts w:ascii="IRNazanin" w:hAnsi="IRNazanin" w:eastAsia="IRNazanin" w:cs="IRNazanin"/>
          <w:lang w:bidi="fa-IR"/>
          <w:color w:val="111111"/>
          <w:sz w:val="28"/>
          <w:szCs w:val="28"/>
          <w:rtl/>
        </w:rPr>
        <w:t xml:space="preserve">المناقشة فی ما أفاده المحقّق القمّی 263</w:t>
      </w:r>
    </w:p>
    <w:p>
      <w:pPr>
        <w:pStyle w:val="BookText"/>
      </w:pPr>
      <w:r>
        <w:rPr>
          <w:rFonts w:ascii="IRNazanin" w:hAnsi="IRNazanin" w:eastAsia="IRNazanin" w:cs="IRNazanin"/>
          <w:lang w:bidi="fa-IR"/>
          <w:color w:val="111111"/>
          <w:sz w:val="28"/>
          <w:szCs w:val="28"/>
          <w:rtl/>
        </w:rPr>
        <w:t xml:space="preserve">الجواب عن استصحاب الکتابی بوجوه أخر 266</w:t>
      </w:r>
    </w:p>
    <w:p>
      <w:pPr>
        <w:pStyle w:val="BookText"/>
      </w:pPr>
      <w:r>
        <w:rPr>
          <w:rFonts w:ascii="IRNazanin" w:hAnsi="IRNazanin" w:eastAsia="IRNazanin" w:cs="IRNazanin"/>
          <w:lang w:bidi="fa-IR"/>
          <w:color w:val="111111"/>
          <w:sz w:val="28"/>
          <w:szCs w:val="28"/>
          <w:rtl/>
        </w:rPr>
        <w:t xml:space="preserve">[شماره صفحه واقعی : 431]
</w:t>
      </w:r>
    </w:p>
    <w:p>
      <w:pPr>
        <w:sectPr>
          <w:footerReference w:type="default" r:id="rId9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کلام الإمام الرضا علیه السّلام فی جواب الجاثلیق 271</w:t>
      </w:r>
    </w:p>
    <w:p>
      <w:pPr>
        <w:pStyle w:val="BookText"/>
      </w:pPr>
      <w:r>
        <w:rPr>
          <w:rFonts w:ascii="IRNazanin" w:hAnsi="IRNazanin" w:eastAsia="IRNazanin" w:cs="IRNazanin"/>
          <w:lang w:bidi="fa-IR"/>
          <w:color w:val="111111"/>
          <w:sz w:val="28"/>
          <w:szCs w:val="28"/>
          <w:rtl/>
        </w:rPr>
        <w:t xml:space="preserve">الأمر العاشر:دوران الأمر بین التمسّک بالعامّ أو استصحاب حکم المخصّص 273</w:t>
      </w:r>
    </w:p>
    <w:p>
      <w:pPr>
        <w:pStyle w:val="BookText"/>
      </w:pPr>
      <w:r>
        <w:rPr>
          <w:rFonts w:ascii="IRNazanin" w:hAnsi="IRNazanin" w:eastAsia="IRNazanin" w:cs="IRNazanin"/>
          <w:lang w:bidi="fa-IR"/>
          <w:color w:val="111111"/>
          <w:sz w:val="28"/>
          <w:szCs w:val="28"/>
          <w:rtl/>
        </w:rPr>
        <w:t xml:space="preserve">الدلیل الدالّ علی الحکم فی الزمان السابق علی ثلاثة أنحاء 273</w:t>
      </w:r>
    </w:p>
    <w:p>
      <w:pPr>
        <w:pStyle w:val="BookText"/>
      </w:pPr>
      <w:r>
        <w:rPr>
          <w:rFonts w:ascii="IRNazanin" w:hAnsi="IRNazanin" w:eastAsia="IRNazanin" w:cs="IRNazanin"/>
          <w:lang w:bidi="fa-IR"/>
          <w:color w:val="111111"/>
          <w:sz w:val="28"/>
          <w:szCs w:val="28"/>
          <w:rtl/>
        </w:rPr>
        <w:t xml:space="preserve">هل یجری استصحاب حکم المخصّص مع العموم الأزمانی أم لا؟274</w:t>
      </w:r>
    </w:p>
    <w:p>
      <w:pPr>
        <w:pStyle w:val="BookText"/>
      </w:pPr>
      <w:r>
        <w:rPr>
          <w:rFonts w:ascii="IRNazanin" w:hAnsi="IRNazanin" w:eastAsia="IRNazanin" w:cs="IRNazanin"/>
          <w:lang w:bidi="fa-IR"/>
          <w:color w:val="111111"/>
          <w:sz w:val="28"/>
          <w:szCs w:val="28"/>
          <w:rtl/>
        </w:rPr>
        <w:t xml:space="preserve">إذا کان العموم الأزمانی أفرادیّا 274</w:t>
      </w:r>
    </w:p>
    <w:p>
      <w:pPr>
        <w:pStyle w:val="BookText"/>
      </w:pPr>
      <w:r>
        <w:rPr>
          <w:rFonts w:ascii="IRNazanin" w:hAnsi="IRNazanin" w:eastAsia="IRNazanin" w:cs="IRNazanin"/>
          <w:lang w:bidi="fa-IR"/>
          <w:color w:val="111111"/>
          <w:sz w:val="28"/>
          <w:szCs w:val="28"/>
          <w:rtl/>
        </w:rPr>
        <w:t xml:space="preserve">إذا کان العموم الأزمانی استمراریّا 274</w:t>
      </w:r>
    </w:p>
    <w:p>
      <w:pPr>
        <w:pStyle w:val="BookText"/>
      </w:pPr>
      <w:r>
        <w:rPr>
          <w:rFonts w:ascii="IRNazanin" w:hAnsi="IRNazanin" w:eastAsia="IRNazanin" w:cs="IRNazanin"/>
          <w:lang w:bidi="fa-IR"/>
          <w:color w:val="111111"/>
          <w:sz w:val="28"/>
          <w:szCs w:val="28"/>
          <w:rtl/>
        </w:rPr>
        <w:t xml:space="preserve">المخالفة لما ذکرنا فی موضعین:275</w:t>
      </w:r>
    </w:p>
    <w:p>
      <w:pPr>
        <w:pStyle w:val="BookText"/>
      </w:pPr>
      <w:r>
        <w:rPr>
          <w:rFonts w:ascii="IRNazanin" w:hAnsi="IRNazanin" w:eastAsia="IRNazanin" w:cs="IRNazanin"/>
          <w:lang w:bidi="fa-IR"/>
          <w:color w:val="111111"/>
          <w:sz w:val="28"/>
          <w:szCs w:val="28"/>
          <w:rtl/>
        </w:rPr>
        <w:t xml:space="preserve">1-ما ذکره المحقّق الثانی فی مسألة خیار الغبن و ما یرد علیه 275</w:t>
      </w:r>
    </w:p>
    <w:p>
      <w:pPr>
        <w:pStyle w:val="BookText"/>
      </w:pPr>
      <w:r>
        <w:rPr>
          <w:rFonts w:ascii="Amiri" w:hAnsi="Amiri" w:eastAsia="Amiri" w:cs="Amiri"/>
          <w:lang w:bidi="ar-SA"/>
          <w:color w:val="111111"/>
          <w:sz w:val="28"/>
          <w:szCs w:val="28"/>
          <w:rtl/>
        </w:rPr>
        <w:t xml:space="preserve">2-ما ذکره السیّد بحر العلوم قدّس سرّه 276</w:t>
      </w:r>
    </w:p>
    <w:p>
      <w:pPr>
        <w:pStyle w:val="BookText"/>
      </w:pPr>
      <w:r>
        <w:rPr>
          <w:rFonts w:ascii="IRNazanin" w:hAnsi="IRNazanin" w:eastAsia="IRNazanin" w:cs="IRNazanin"/>
          <w:lang w:bidi="fa-IR"/>
          <w:color w:val="111111"/>
          <w:sz w:val="28"/>
          <w:szCs w:val="28"/>
          <w:rtl/>
        </w:rPr>
        <w:t xml:space="preserve">المناقشة فی ما أفاده بحر العلوم 277</w:t>
      </w:r>
    </w:p>
    <w:p>
      <w:pPr>
        <w:pStyle w:val="BookText"/>
      </w:pPr>
      <w:r>
        <w:rPr>
          <w:rFonts w:ascii="IRNazanin" w:hAnsi="IRNazanin" w:eastAsia="IRNazanin" w:cs="IRNazanin"/>
          <w:lang w:bidi="fa-IR"/>
          <w:color w:val="111111"/>
          <w:sz w:val="28"/>
          <w:szCs w:val="28"/>
          <w:rtl/>
        </w:rPr>
        <w:t xml:space="preserve">توجیه کلام بحر العلوم 278</w:t>
      </w:r>
    </w:p>
    <w:p>
      <w:pPr>
        <w:pStyle w:val="BookText"/>
      </w:pPr>
      <w:r>
        <w:rPr>
          <w:rFonts w:ascii="IRNazanin" w:hAnsi="IRNazanin" w:eastAsia="IRNazanin" w:cs="IRNazanin"/>
          <w:lang w:bidi="fa-IR"/>
          <w:color w:val="111111"/>
          <w:sz w:val="28"/>
          <w:szCs w:val="28"/>
          <w:rtl/>
        </w:rPr>
        <w:t xml:space="preserve">الأمر الحادی عشر:لو تعذّر بعض المأمور به فهل یستصحب وجوب الباقی؟279</w:t>
      </w:r>
    </w:p>
    <w:p>
      <w:pPr>
        <w:pStyle w:val="BookText"/>
      </w:pPr>
      <w:r>
        <w:rPr>
          <w:rFonts w:ascii="IRNazanin" w:hAnsi="IRNazanin" w:eastAsia="IRNazanin" w:cs="IRNazanin"/>
          <w:lang w:bidi="fa-IR"/>
          <w:color w:val="111111"/>
          <w:sz w:val="28"/>
          <w:szCs w:val="28"/>
          <w:rtl/>
        </w:rPr>
        <w:t xml:space="preserve">الإشکال فی هذا الاستصحاب 279</w:t>
      </w:r>
    </w:p>
    <w:p>
      <w:pPr>
        <w:pStyle w:val="BookText"/>
      </w:pPr>
      <w:r>
        <w:rPr>
          <w:rFonts w:ascii="IRNazanin" w:hAnsi="IRNazanin" w:eastAsia="IRNazanin" w:cs="IRNazanin"/>
          <w:lang w:bidi="fa-IR"/>
          <w:color w:val="111111"/>
          <w:sz w:val="28"/>
          <w:szCs w:val="28"/>
          <w:rtl/>
        </w:rPr>
        <w:t xml:space="preserve">توجیه الاستصحاب بوجوه ثلاثة 279</w:t>
      </w:r>
    </w:p>
    <w:p>
      <w:pPr>
        <w:pStyle w:val="BookText"/>
      </w:pPr>
      <w:r>
        <w:rPr>
          <w:rFonts w:ascii="IRNazanin" w:hAnsi="IRNazanin" w:eastAsia="IRNazanin" w:cs="IRNazanin"/>
          <w:lang w:bidi="fa-IR"/>
          <w:color w:val="111111"/>
          <w:sz w:val="28"/>
          <w:szCs w:val="28"/>
          <w:rtl/>
        </w:rPr>
        <w:t xml:space="preserve">ثمرة هذه التوجیهات 281</w:t>
      </w:r>
    </w:p>
    <w:p>
      <w:pPr>
        <w:pStyle w:val="BookText"/>
      </w:pPr>
      <w:r>
        <w:rPr>
          <w:rFonts w:ascii="IRNazanin" w:hAnsi="IRNazanin" w:eastAsia="IRNazanin" w:cs="IRNazanin"/>
          <w:lang w:bidi="fa-IR"/>
          <w:color w:val="111111"/>
          <w:sz w:val="28"/>
          <w:szCs w:val="28"/>
          <w:rtl/>
        </w:rPr>
        <w:t xml:space="preserve">الصحیح من هذه التوجیهات 281</w:t>
      </w:r>
    </w:p>
    <w:p>
      <w:pPr>
        <w:pStyle w:val="BookText"/>
      </w:pPr>
      <w:r>
        <w:rPr>
          <w:rFonts w:ascii="IRNazanin" w:hAnsi="IRNazanin" w:eastAsia="IRNazanin" w:cs="IRNazanin"/>
          <w:lang w:bidi="fa-IR"/>
          <w:color w:val="111111"/>
          <w:sz w:val="28"/>
          <w:szCs w:val="28"/>
          <w:rtl/>
        </w:rPr>
        <w:t xml:space="preserve">عدم الفرق بناء علی جریان الاستصحاب بین تعذّر الجزء بعد تنجّز التکلیف أو قبله 282</w:t>
      </w:r>
    </w:p>
    <w:p>
      <w:pPr>
        <w:pStyle w:val="BookText"/>
      </w:pPr>
      <w:r>
        <w:rPr>
          <w:rFonts w:ascii="IRNazanin" w:hAnsi="IRNazanin" w:eastAsia="IRNazanin" w:cs="IRNazanin"/>
          <w:lang w:bidi="fa-IR"/>
          <w:color w:val="111111"/>
          <w:sz w:val="28"/>
          <w:szCs w:val="28"/>
          <w:rtl/>
        </w:rPr>
        <w:t xml:space="preserve">نسبة التمسّک بالاستصحاب فی هذه المسألة إلی الفاضلین 283</w:t>
      </w:r>
    </w:p>
    <w:p>
      <w:pPr>
        <w:pStyle w:val="BookText"/>
      </w:pPr>
      <w:r>
        <w:rPr>
          <w:rFonts w:ascii="IRNazanin" w:hAnsi="IRNazanin" w:eastAsia="IRNazanin" w:cs="IRNazanin"/>
          <w:lang w:bidi="fa-IR"/>
          <w:color w:val="111111"/>
          <w:sz w:val="28"/>
          <w:szCs w:val="28"/>
          <w:rtl/>
        </w:rPr>
        <w:t xml:space="preserve">[شماره صفحه واقعی : 432]
</w:t>
      </w:r>
    </w:p>
    <w:p>
      <w:pPr>
        <w:sectPr>
          <w:footerReference w:type="default" r:id="rId9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المناقشة فی هذه النسبة 283</w:t>
      </w:r>
    </w:p>
    <w:p>
      <w:pPr>
        <w:pStyle w:val="BookText"/>
      </w:pPr>
      <w:r>
        <w:rPr>
          <w:rFonts w:ascii="IRNazanin" w:hAnsi="IRNazanin" w:eastAsia="IRNazanin" w:cs="IRNazanin"/>
          <w:lang w:bidi="fa-IR"/>
          <w:color w:val="111111"/>
          <w:sz w:val="28"/>
          <w:szCs w:val="28"/>
          <w:rtl/>
        </w:rPr>
        <w:t xml:space="preserve">الأمر الثانی عشر:جریان الاستصحاب حتّی مع الظنّ بالخلاف و الدلیل علیه من وجوه 285</w:t>
      </w:r>
    </w:p>
    <w:p>
      <w:pPr>
        <w:pStyle w:val="BookText"/>
      </w:pPr>
      <w:r>
        <w:rPr>
          <w:rFonts w:ascii="IRNazanin" w:hAnsi="IRNazanin" w:eastAsia="IRNazanin" w:cs="IRNazanin"/>
          <w:lang w:bidi="fa-IR"/>
          <w:color w:val="111111"/>
          <w:sz w:val="28"/>
          <w:szCs w:val="28"/>
          <w:rtl/>
        </w:rPr>
        <w:t xml:space="preserve">المراد من قولهم:«الیقین لا یرفعه الشکّ»288</w:t>
      </w:r>
    </w:p>
    <w:p>
      <w:pPr>
        <w:pStyle w:val="BookText"/>
      </w:pPr>
      <w:r>
        <w:rPr>
          <w:rFonts w:ascii="IRNazanin" w:hAnsi="IRNazanin" w:eastAsia="IRNazanin" w:cs="IRNazanin"/>
          <w:lang w:bidi="fa-IR"/>
          <w:color w:val="111111"/>
          <w:sz w:val="28"/>
          <w:szCs w:val="28"/>
          <w:rtl/>
        </w:rPr>
        <w:t xml:space="preserve">شرائط العمل بالاستصحاب:</w:t>
      </w:r>
    </w:p>
    <w:p>
      <w:pPr>
        <w:pStyle w:val="BookText"/>
      </w:pPr>
      <w:r>
        <w:rPr>
          <w:rFonts w:ascii="IRNazanin" w:hAnsi="IRNazanin" w:eastAsia="IRNazanin" w:cs="IRNazanin"/>
          <w:lang w:bidi="fa-IR"/>
          <w:color w:val="111111"/>
          <w:sz w:val="28"/>
          <w:szCs w:val="28"/>
          <w:rtl/>
        </w:rPr>
        <w:t xml:space="preserve">الأوّل:اشتراط بقاء الموضوع 289</w:t>
      </w:r>
    </w:p>
    <w:p>
      <w:pPr>
        <w:pStyle w:val="BookText"/>
      </w:pPr>
      <w:r>
        <w:rPr>
          <w:rFonts w:ascii="IRNazanin" w:hAnsi="IRNazanin" w:eastAsia="IRNazanin" w:cs="IRNazanin"/>
          <w:lang w:bidi="fa-IR"/>
          <w:color w:val="111111"/>
          <w:sz w:val="28"/>
          <w:szCs w:val="28"/>
          <w:rtl/>
        </w:rPr>
        <w:t xml:space="preserve">الدلیل علی هذا الشرط 290</w:t>
      </w:r>
    </w:p>
    <w:p>
      <w:pPr>
        <w:pStyle w:val="BookText"/>
      </w:pPr>
      <w:r>
        <w:rPr>
          <w:rFonts w:ascii="IRNazanin" w:hAnsi="IRNazanin" w:eastAsia="IRNazanin" w:cs="IRNazanin"/>
          <w:lang w:bidi="fa-IR"/>
          <w:color w:val="111111"/>
          <w:sz w:val="28"/>
          <w:szCs w:val="28"/>
          <w:rtl/>
        </w:rPr>
        <w:t xml:space="preserve">المعتبر هو العلم ببقاء الموضوع 291</w:t>
      </w:r>
    </w:p>
    <w:p>
      <w:pPr>
        <w:pStyle w:val="BookText"/>
      </w:pPr>
      <w:r>
        <w:rPr>
          <w:rFonts w:ascii="IRNazanin" w:hAnsi="IRNazanin" w:eastAsia="IRNazanin" w:cs="IRNazanin"/>
          <w:lang w:bidi="fa-IR"/>
          <w:color w:val="111111"/>
          <w:sz w:val="28"/>
          <w:szCs w:val="28"/>
          <w:rtl/>
        </w:rPr>
        <w:t xml:space="preserve">هل یجوز إحراز الموضوع فی الزمان اللاحق بالاستصحاب؟291</w:t>
      </w:r>
    </w:p>
    <w:p>
      <w:pPr>
        <w:pStyle w:val="BookText"/>
      </w:pPr>
      <w:r>
        <w:rPr>
          <w:rFonts w:ascii="IRNazanin" w:hAnsi="IRNazanin" w:eastAsia="IRNazanin" w:cs="IRNazanin"/>
          <w:lang w:bidi="fa-IR"/>
          <w:color w:val="111111"/>
          <w:sz w:val="28"/>
          <w:szCs w:val="28"/>
          <w:rtl/>
        </w:rPr>
        <w:t xml:space="preserve">الشکّ فی الحکم من جهة الشکّ فی القیود المأخوذة فی الموضوع 294</w:t>
      </w:r>
    </w:p>
    <w:p>
      <w:pPr>
        <w:pStyle w:val="BookText"/>
      </w:pPr>
      <w:r>
        <w:rPr>
          <w:rFonts w:ascii="IRNazanin" w:hAnsi="IRNazanin" w:eastAsia="IRNazanin" w:cs="IRNazanin"/>
          <w:lang w:bidi="fa-IR"/>
          <w:color w:val="111111"/>
          <w:sz w:val="28"/>
          <w:szCs w:val="28"/>
          <w:rtl/>
        </w:rPr>
        <w:t xml:space="preserve">ما یمیّز به القیود المأخوذة فی الموضوع أحد امور:294</w:t>
      </w:r>
    </w:p>
    <w:p>
      <w:pPr>
        <w:pStyle w:val="BookText"/>
      </w:pPr>
      <w:r>
        <w:rPr>
          <w:rFonts w:ascii="IRNazanin" w:hAnsi="IRNazanin" w:eastAsia="IRNazanin" w:cs="IRNazanin"/>
          <w:lang w:bidi="fa-IR"/>
          <w:color w:val="111111"/>
          <w:sz w:val="28"/>
          <w:szCs w:val="28"/>
          <w:rtl/>
        </w:rPr>
        <w:t xml:space="preserve">1-العقل 294</w:t>
      </w:r>
    </w:p>
    <w:p>
      <w:pPr>
        <w:pStyle w:val="BookText"/>
      </w:pPr>
      <w:r>
        <w:rPr>
          <w:rFonts w:ascii="IRNazanin" w:hAnsi="IRNazanin" w:eastAsia="IRNazanin" w:cs="IRNazanin"/>
          <w:lang w:bidi="fa-IR"/>
          <w:color w:val="111111"/>
          <w:sz w:val="28"/>
          <w:szCs w:val="28"/>
          <w:rtl/>
        </w:rPr>
        <w:t xml:space="preserve">2-لسان الدلیل 295</w:t>
      </w:r>
    </w:p>
    <w:p>
      <w:pPr>
        <w:pStyle w:val="BookText"/>
      </w:pPr>
      <w:r>
        <w:rPr>
          <w:rFonts w:ascii="IRNazanin" w:hAnsi="IRNazanin" w:eastAsia="IRNazanin" w:cs="IRNazanin"/>
          <w:lang w:bidi="fa-IR"/>
          <w:color w:val="111111"/>
          <w:sz w:val="28"/>
          <w:szCs w:val="28"/>
          <w:rtl/>
        </w:rPr>
        <w:t xml:space="preserve">3-العرف 295</w:t>
      </w:r>
    </w:p>
    <w:p>
      <w:pPr>
        <w:pStyle w:val="BookText"/>
      </w:pPr>
      <w:r>
        <w:rPr>
          <w:rFonts w:ascii="IRNazanin" w:hAnsi="IRNazanin" w:eastAsia="IRNazanin" w:cs="IRNazanin"/>
          <w:lang w:bidi="fa-IR"/>
          <w:color w:val="111111"/>
          <w:sz w:val="28"/>
          <w:szCs w:val="28"/>
          <w:rtl/>
        </w:rPr>
        <w:t xml:space="preserve">الفرق بین نجس العین و المتنجّس عند الاستحالة 297</w:t>
      </w:r>
    </w:p>
    <w:p>
      <w:pPr>
        <w:pStyle w:val="BookText"/>
      </w:pPr>
      <w:r>
        <w:rPr>
          <w:rFonts w:ascii="IRNazanin" w:hAnsi="IRNazanin" w:eastAsia="IRNazanin" w:cs="IRNazanin"/>
          <w:lang w:bidi="fa-IR"/>
          <w:color w:val="111111"/>
          <w:sz w:val="28"/>
          <w:szCs w:val="28"/>
          <w:rtl/>
        </w:rPr>
        <w:t xml:space="preserve">الإشکال فی هذا الفرق 297</w:t>
      </w:r>
    </w:p>
    <w:p>
      <w:pPr>
        <w:pStyle w:val="BookText"/>
      </w:pPr>
      <w:r>
        <w:rPr>
          <w:rFonts w:ascii="IRNazanin" w:hAnsi="IRNazanin" w:eastAsia="IRNazanin" w:cs="IRNazanin"/>
          <w:lang w:bidi="fa-IR"/>
          <w:color w:val="111111"/>
          <w:sz w:val="28"/>
          <w:szCs w:val="28"/>
          <w:rtl/>
        </w:rPr>
        <w:t xml:space="preserve">عدم الفرق بناء علی کون المحکّم نظر العرف 299</w:t>
      </w:r>
    </w:p>
    <w:p>
      <w:pPr>
        <w:pStyle w:val="BookText"/>
      </w:pPr>
      <w:r>
        <w:rPr>
          <w:rFonts w:ascii="IRNazanin" w:hAnsi="IRNazanin" w:eastAsia="IRNazanin" w:cs="IRNazanin"/>
          <w:lang w:bidi="fa-IR"/>
          <w:color w:val="111111"/>
          <w:sz w:val="28"/>
          <w:szCs w:val="28"/>
          <w:rtl/>
        </w:rPr>
        <w:t xml:space="preserve">مراتب التغیّر و الأحکام مختلفة 300</w:t>
      </w:r>
    </w:p>
    <w:p>
      <w:pPr>
        <w:pStyle w:val="BookText"/>
      </w:pPr>
      <w:r>
        <w:rPr>
          <w:rFonts w:ascii="IRNazanin" w:hAnsi="IRNazanin" w:eastAsia="IRNazanin" w:cs="IRNazanin"/>
          <w:lang w:bidi="fa-IR"/>
          <w:color w:val="111111"/>
          <w:sz w:val="28"/>
          <w:szCs w:val="28"/>
          <w:rtl/>
        </w:rPr>
        <w:t xml:space="preserve">معنی قولهم:«الأحکام تدور مدار الأسماء»301</w:t>
      </w:r>
    </w:p>
    <w:p>
      <w:pPr>
        <w:pStyle w:val="BookText"/>
      </w:pPr>
      <w:r>
        <w:rPr>
          <w:rFonts w:ascii="IRNazanin" w:hAnsi="IRNazanin" w:eastAsia="IRNazanin" w:cs="IRNazanin"/>
          <w:lang w:bidi="fa-IR"/>
          <w:color w:val="111111"/>
          <w:sz w:val="28"/>
          <w:szCs w:val="28"/>
          <w:rtl/>
        </w:rPr>
        <w:t xml:space="preserve">الثانی:اشتراط الشکّ فی البقاء 302</w:t>
      </w:r>
    </w:p>
    <w:p>
      <w:pPr>
        <w:pStyle w:val="BookText"/>
      </w:pPr>
      <w:r>
        <w:rPr>
          <w:rFonts w:ascii="IRNazanin" w:hAnsi="IRNazanin" w:eastAsia="IRNazanin" w:cs="IRNazanin"/>
          <w:lang w:bidi="fa-IR"/>
          <w:color w:val="111111"/>
          <w:sz w:val="28"/>
          <w:szCs w:val="28"/>
          <w:rtl/>
        </w:rPr>
        <w:t xml:space="preserve">الدلیل علی اعتبار هذا الشرط 303</w:t>
      </w:r>
    </w:p>
    <w:p>
      <w:pPr>
        <w:pStyle w:val="BookText"/>
      </w:pPr>
      <w:r>
        <w:rPr>
          <w:rFonts w:ascii="IRNazanin" w:hAnsi="IRNazanin" w:eastAsia="IRNazanin" w:cs="IRNazanin"/>
          <w:lang w:bidi="fa-IR"/>
          <w:color w:val="111111"/>
          <w:sz w:val="28"/>
          <w:szCs w:val="28"/>
          <w:rtl/>
        </w:rPr>
        <w:t xml:space="preserve">[شماره صفحه واقعی : 433]
</w:t>
      </w:r>
    </w:p>
    <w:p>
      <w:pPr>
        <w:sectPr>
          <w:footerReference w:type="default" r:id="rId9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قاعدة الیقین و الشکّ الساری 303</w:t>
      </w:r>
    </w:p>
    <w:p>
      <w:pPr>
        <w:pStyle w:val="BookText"/>
      </w:pPr>
      <w:r>
        <w:rPr>
          <w:rFonts w:ascii="IRNazanin" w:hAnsi="IRNazanin" w:eastAsia="IRNazanin" w:cs="IRNazanin"/>
          <w:lang w:bidi="fa-IR"/>
          <w:color w:val="111111"/>
          <w:sz w:val="28"/>
          <w:szCs w:val="28"/>
          <w:rtl/>
        </w:rPr>
        <w:t xml:space="preserve">تصریح الفاضل السبزواری بأنّ أدلّة الاستصحاب تشمل قاعدة «الیقین»303</w:t>
      </w:r>
    </w:p>
    <w:p>
      <w:pPr>
        <w:pStyle w:val="BookText"/>
      </w:pPr>
      <w:r>
        <w:rPr>
          <w:rFonts w:ascii="IRNazanin" w:hAnsi="IRNazanin" w:eastAsia="IRNazanin" w:cs="IRNazanin"/>
          <w:lang w:bidi="fa-IR"/>
          <w:color w:val="111111"/>
          <w:sz w:val="28"/>
          <w:szCs w:val="28"/>
          <w:rtl/>
        </w:rPr>
        <w:t xml:space="preserve">دفع التوهّم المذکور و توضیح مناط قاعدة الاستصحاب و قاعدة الیقین 304</w:t>
      </w:r>
    </w:p>
    <w:p>
      <w:pPr>
        <w:pStyle w:val="BookText"/>
      </w:pPr>
      <w:r>
        <w:rPr>
          <w:rFonts w:ascii="IRNazanin" w:hAnsi="IRNazanin" w:eastAsia="IRNazanin" w:cs="IRNazanin"/>
          <w:lang w:bidi="fa-IR"/>
          <w:color w:val="111111"/>
          <w:sz w:val="28"/>
          <w:szCs w:val="28"/>
          <w:rtl/>
        </w:rPr>
        <w:t xml:space="preserve">عدم إرادة القاعدتین من قوله علیه السّلام:«فلیمض علی یقینه»305</w:t>
      </w:r>
    </w:p>
    <w:p>
      <w:pPr>
        <w:pStyle w:val="BookText"/>
      </w:pPr>
      <w:r>
        <w:rPr>
          <w:rFonts w:ascii="IRNazanin" w:hAnsi="IRNazanin" w:eastAsia="IRNazanin" w:cs="IRNazanin"/>
          <w:lang w:bidi="fa-IR"/>
          <w:color w:val="111111"/>
          <w:sz w:val="28"/>
          <w:szCs w:val="28"/>
          <w:rtl/>
        </w:rPr>
        <w:t xml:space="preserve">عدم إرادة القاعدتین من سائر الأخبار أیضا 307</w:t>
      </w:r>
    </w:p>
    <w:p>
      <w:pPr>
        <w:pStyle w:val="BookText"/>
      </w:pPr>
      <w:r>
        <w:rPr>
          <w:rFonts w:ascii="Amiri" w:hAnsi="Amiri" w:eastAsia="Amiri" w:cs="Amiri"/>
          <w:lang w:bidi="ar-SA"/>
          <w:color w:val="111111"/>
          <w:sz w:val="28"/>
          <w:szCs w:val="28"/>
          <w:rtl/>
        </w:rPr>
        <w:t xml:space="preserve">اختصاص مدلول الأخبار بقاعدة الاستصحاب 308</w:t>
      </w:r>
    </w:p>
    <w:p>
      <w:pPr>
        <w:pStyle w:val="BookText"/>
      </w:pPr>
      <w:r>
        <w:rPr>
          <w:rFonts w:ascii="IRNazanin" w:hAnsi="IRNazanin" w:eastAsia="IRNazanin" w:cs="IRNazanin"/>
          <w:lang w:bidi="fa-IR"/>
          <w:color w:val="111111"/>
          <w:sz w:val="28"/>
          <w:szCs w:val="28"/>
          <w:rtl/>
        </w:rPr>
        <w:t xml:space="preserve">هل یوجد مدرک لقاعدة«الیقین»غیر هذه الأخبار؟310</w:t>
      </w:r>
    </w:p>
    <w:p>
      <w:pPr>
        <w:pStyle w:val="BookText"/>
      </w:pPr>
      <w:r>
        <w:rPr>
          <w:rFonts w:ascii="IRNazanin" w:hAnsi="IRNazanin" w:eastAsia="IRNazanin" w:cs="IRNazanin"/>
          <w:lang w:bidi="fa-IR"/>
          <w:color w:val="111111"/>
          <w:sz w:val="28"/>
          <w:szCs w:val="28"/>
          <w:rtl/>
        </w:rPr>
        <w:t xml:space="preserve">لو ارید من القاعدة إثبات الحدوث و البقاء معا 311</w:t>
      </w:r>
    </w:p>
    <w:p>
      <w:pPr>
        <w:pStyle w:val="BookText"/>
      </w:pPr>
      <w:r>
        <w:rPr>
          <w:rFonts w:ascii="IRNazanin" w:hAnsi="IRNazanin" w:eastAsia="IRNazanin" w:cs="IRNazanin"/>
          <w:lang w:bidi="fa-IR"/>
          <w:color w:val="111111"/>
          <w:sz w:val="28"/>
          <w:szCs w:val="28"/>
          <w:rtl/>
        </w:rPr>
        <w:t xml:space="preserve">عدم صحّة الاستدلال بأدلّة عدم الاعتناء بالشکّ بعد تجاوز المحلّ 311</w:t>
      </w:r>
    </w:p>
    <w:p>
      <w:pPr>
        <w:pStyle w:val="BookText"/>
      </w:pPr>
      <w:r>
        <w:rPr>
          <w:rFonts w:ascii="IRNazanin" w:hAnsi="IRNazanin" w:eastAsia="IRNazanin" w:cs="IRNazanin"/>
          <w:lang w:bidi="fa-IR"/>
          <w:color w:val="111111"/>
          <w:sz w:val="28"/>
          <w:szCs w:val="28"/>
          <w:rtl/>
        </w:rPr>
        <w:t xml:space="preserve">ضعف الاستدلال بأصالة الصحّة فی الاعتقاد 311</w:t>
      </w:r>
    </w:p>
    <w:p>
      <w:pPr>
        <w:pStyle w:val="BookText"/>
      </w:pPr>
      <w:r>
        <w:rPr>
          <w:rFonts w:ascii="IRNazanin" w:hAnsi="IRNazanin" w:eastAsia="IRNazanin" w:cs="IRNazanin"/>
          <w:lang w:bidi="fa-IR"/>
          <w:color w:val="111111"/>
          <w:sz w:val="28"/>
          <w:szCs w:val="28"/>
          <w:rtl/>
        </w:rPr>
        <w:t xml:space="preserve">تفصیل کاشف الغطاء 312</w:t>
      </w:r>
    </w:p>
    <w:p>
      <w:pPr>
        <w:pStyle w:val="BookText"/>
      </w:pPr>
      <w:r>
        <w:rPr>
          <w:rFonts w:ascii="IRNazanin" w:hAnsi="IRNazanin" w:eastAsia="IRNazanin" w:cs="IRNazanin"/>
          <w:lang w:bidi="fa-IR"/>
          <w:color w:val="111111"/>
          <w:sz w:val="28"/>
          <w:szCs w:val="28"/>
          <w:rtl/>
        </w:rPr>
        <w:t xml:space="preserve">لو ارید من القاعدة إثبات مجرّد الحدوث 312</w:t>
      </w:r>
    </w:p>
    <w:p>
      <w:pPr>
        <w:pStyle w:val="BookText"/>
      </w:pPr>
      <w:r>
        <w:rPr>
          <w:rFonts w:ascii="IRNazanin" w:hAnsi="IRNazanin" w:eastAsia="IRNazanin" w:cs="IRNazanin"/>
          <w:lang w:bidi="fa-IR"/>
          <w:color w:val="111111"/>
          <w:sz w:val="28"/>
          <w:szCs w:val="28"/>
          <w:rtl/>
        </w:rPr>
        <w:t xml:space="preserve">لو ارید منها مجرّد إمضاء الآثار المترتّبة سابقا 312</w:t>
      </w:r>
    </w:p>
    <w:p>
      <w:pPr>
        <w:pStyle w:val="BookText"/>
      </w:pPr>
      <w:r>
        <w:rPr>
          <w:rFonts w:ascii="IRNazanin" w:hAnsi="IRNazanin" w:eastAsia="IRNazanin" w:cs="IRNazanin"/>
          <w:lang w:bidi="fa-IR"/>
          <w:color w:val="111111"/>
          <w:sz w:val="28"/>
          <w:szCs w:val="28"/>
          <w:rtl/>
        </w:rPr>
        <w:t xml:space="preserve">حاصل الکلام فی المسألة 313</w:t>
      </w:r>
    </w:p>
    <w:p>
      <w:pPr>
        <w:pStyle w:val="BookText"/>
      </w:pPr>
      <w:r>
        <w:rPr>
          <w:rFonts w:ascii="IRNazanin" w:hAnsi="IRNazanin" w:eastAsia="IRNazanin" w:cs="IRNazanin"/>
          <w:lang w:bidi="fa-IR"/>
          <w:color w:val="111111"/>
          <w:sz w:val="28"/>
          <w:szCs w:val="28"/>
          <w:rtl/>
        </w:rPr>
        <w:t xml:space="preserve">الثالث:اشتراط عدم العلم بالبقاء أو الارتفاع 313</w:t>
      </w:r>
    </w:p>
    <w:p>
      <w:pPr>
        <w:pStyle w:val="BookText"/>
      </w:pPr>
      <w:r>
        <w:rPr>
          <w:rFonts w:ascii="IRNazanin" w:hAnsi="IRNazanin" w:eastAsia="IRNazanin" w:cs="IRNazanin"/>
          <w:lang w:bidi="fa-IR"/>
          <w:color w:val="111111"/>
          <w:sz w:val="28"/>
          <w:szCs w:val="28"/>
          <w:rtl/>
        </w:rPr>
        <w:t xml:space="preserve">حکومة الأدلّة الاجتهادیّة علی أدلّة الاستصحاب 314</w:t>
      </w:r>
    </w:p>
    <w:p>
      <w:pPr>
        <w:pStyle w:val="BookText"/>
      </w:pPr>
      <w:r>
        <w:rPr>
          <w:rFonts w:ascii="IRNazanin" w:hAnsi="IRNazanin" w:eastAsia="IRNazanin" w:cs="IRNazanin"/>
          <w:lang w:bidi="fa-IR"/>
          <w:color w:val="111111"/>
          <w:sz w:val="28"/>
          <w:szCs w:val="28"/>
          <w:rtl/>
        </w:rPr>
        <w:t xml:space="preserve">معنی الحکومة 314</w:t>
      </w:r>
    </w:p>
    <w:p>
      <w:pPr>
        <w:pStyle w:val="BookText"/>
      </w:pPr>
      <w:r>
        <w:rPr>
          <w:rFonts w:ascii="IRNazanin" w:hAnsi="IRNazanin" w:eastAsia="IRNazanin" w:cs="IRNazanin"/>
          <w:lang w:bidi="fa-IR"/>
          <w:color w:val="111111"/>
          <w:sz w:val="28"/>
          <w:szCs w:val="28"/>
          <w:rtl/>
        </w:rPr>
        <w:t xml:space="preserve">احتمال أن یکون العمل بالأدلّة فی مقابل الاستصحاب من باب التخصّص 315</w:t>
      </w:r>
    </w:p>
    <w:p>
      <w:pPr>
        <w:pStyle w:val="BookText"/>
      </w:pPr>
      <w:r>
        <w:rPr>
          <w:rFonts w:ascii="IRNazanin" w:hAnsi="IRNazanin" w:eastAsia="IRNazanin" w:cs="IRNazanin"/>
          <w:lang w:bidi="fa-IR"/>
          <w:color w:val="111111"/>
          <w:sz w:val="28"/>
          <w:szCs w:val="28"/>
          <w:rtl/>
        </w:rPr>
        <w:t xml:space="preserve">ضعف هذا الاحتمال 315</w:t>
      </w:r>
    </w:p>
    <w:p>
      <w:pPr>
        <w:pStyle w:val="BookText"/>
      </w:pPr>
      <w:r>
        <w:rPr>
          <w:rFonts w:ascii="IRNazanin" w:hAnsi="IRNazanin" w:eastAsia="IRNazanin" w:cs="IRNazanin"/>
          <w:lang w:bidi="fa-IR"/>
          <w:color w:val="111111"/>
          <w:sz w:val="28"/>
          <w:szCs w:val="28"/>
          <w:rtl/>
        </w:rPr>
        <w:t xml:space="preserve">[شماره صفحه واقعی : 434]
</w:t>
      </w:r>
    </w:p>
    <w:p>
      <w:pPr>
        <w:sectPr>
          <w:footerReference w:type="default" r:id="rId9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المسامحة فیما جعله الفاضل التونی من شرائط الاستصحاب 316</w:t>
      </w:r>
    </w:p>
    <w:p>
      <w:pPr>
        <w:pStyle w:val="BookText"/>
      </w:pPr>
      <w:r>
        <w:rPr>
          <w:rFonts w:ascii="IRNazanin" w:hAnsi="IRNazanin" w:eastAsia="IRNazanin" w:cs="IRNazanin"/>
          <w:lang w:bidi="fa-IR"/>
          <w:color w:val="111111"/>
          <w:sz w:val="28"/>
          <w:szCs w:val="28"/>
          <w:rtl/>
        </w:rPr>
        <w:t xml:space="preserve">ما أورده المحقّق القمّی علی الفاضل التونی و المناقشة فیه 316</w:t>
      </w:r>
    </w:p>
    <w:p>
      <w:pPr>
        <w:pStyle w:val="BookText"/>
      </w:pPr>
      <w:r>
        <w:rPr>
          <w:rFonts w:ascii="IRNazanin" w:hAnsi="IRNazanin" w:eastAsia="IRNazanin" w:cs="IRNazanin"/>
          <w:lang w:bidi="fa-IR"/>
          <w:color w:val="111111"/>
          <w:sz w:val="28"/>
          <w:szCs w:val="28"/>
          <w:rtl/>
        </w:rPr>
        <w:t xml:space="preserve">المراد من«الأدلّة الاجتهادیّة»و«الاصول»318</w:t>
      </w:r>
    </w:p>
    <w:p>
      <w:pPr>
        <w:pStyle w:val="BookText"/>
      </w:pPr>
      <w:r>
        <w:rPr>
          <w:rFonts w:ascii="IRNazanin" w:hAnsi="IRNazanin" w:eastAsia="IRNazanin" w:cs="IRNazanin"/>
          <w:lang w:bidi="fa-IR"/>
          <w:color w:val="111111"/>
          <w:sz w:val="28"/>
          <w:szCs w:val="28"/>
          <w:rtl/>
        </w:rPr>
        <w:t xml:space="preserve">تردّد الشیء بین کونه دلیلا أو أصلا 319</w:t>
      </w:r>
    </w:p>
    <w:p>
      <w:pPr>
        <w:pStyle w:val="BookText"/>
      </w:pPr>
      <w:r>
        <w:rPr>
          <w:rFonts w:ascii="IRNazanin" w:hAnsi="IRNazanin" w:eastAsia="IRNazanin" w:cs="IRNazanin"/>
          <w:lang w:bidi="fa-IR"/>
          <w:color w:val="111111"/>
          <w:sz w:val="28"/>
          <w:szCs w:val="28"/>
          <w:rtl/>
        </w:rPr>
        <w:t xml:space="preserve">تعارض الاستصحاب مع غیره،و فیه مقامات:</w:t>
      </w:r>
    </w:p>
    <w:p>
      <w:pPr>
        <w:pStyle w:val="BookText"/>
      </w:pPr>
      <w:r>
        <w:rPr>
          <w:rFonts w:ascii="IRNazanin" w:hAnsi="IRNazanin" w:eastAsia="IRNazanin" w:cs="IRNazanin"/>
          <w:lang w:bidi="fa-IR"/>
          <w:color w:val="111111"/>
          <w:sz w:val="28"/>
          <w:szCs w:val="28"/>
          <w:rtl/>
        </w:rPr>
        <w:t xml:space="preserve">المقام الأوّل:عدم معارضة الاستصحاب لبعض الأمارات، و فیه مسائل:320</w:t>
      </w:r>
    </w:p>
    <w:p>
      <w:pPr>
        <w:pStyle w:val="BookText"/>
      </w:pPr>
      <w:r>
        <w:rPr>
          <w:rFonts w:ascii="IRNazanin" w:hAnsi="IRNazanin" w:eastAsia="IRNazanin" w:cs="IRNazanin"/>
          <w:lang w:bidi="fa-IR"/>
          <w:color w:val="111111"/>
          <w:sz w:val="28"/>
          <w:szCs w:val="28"/>
          <w:rtl/>
        </w:rPr>
        <w:t xml:space="preserve">المسألة الاولی:تقدّم«الید»علی الاستصحاب و الاستدلال علیه 321</w:t>
      </w:r>
    </w:p>
    <w:p>
      <w:pPr>
        <w:pStyle w:val="BookText"/>
      </w:pPr>
      <w:r>
        <w:rPr>
          <w:rFonts w:ascii="IRNazanin" w:hAnsi="IRNazanin" w:eastAsia="IRNazanin" w:cs="IRNazanin"/>
          <w:lang w:bidi="fa-IR"/>
          <w:color w:val="111111"/>
          <w:sz w:val="28"/>
          <w:szCs w:val="28"/>
          <w:rtl/>
        </w:rPr>
        <w:t xml:space="preserve">الوجه فی الرجوع إلی الاستصحاب لو تقارنت«الید»بالإقرار 322</w:t>
      </w:r>
    </w:p>
    <w:p>
      <w:pPr>
        <w:pStyle w:val="BookText"/>
      </w:pPr>
      <w:r>
        <w:rPr>
          <w:rFonts w:ascii="IRNazanin" w:hAnsi="IRNazanin" w:eastAsia="IRNazanin" w:cs="IRNazanin"/>
          <w:lang w:bidi="fa-IR"/>
          <w:color w:val="111111"/>
          <w:sz w:val="28"/>
          <w:szCs w:val="28"/>
          <w:rtl/>
        </w:rPr>
        <w:t xml:space="preserve">«الید»علی تقدیر کونها من الاصول مقدّمة علی الاستصحاب و إن جعلناه من الأمارات 323</w:t>
      </w:r>
    </w:p>
    <w:p>
      <w:pPr>
        <w:pStyle w:val="BookText"/>
      </w:pPr>
      <w:r>
        <w:rPr>
          <w:rFonts w:ascii="IRNazanin" w:hAnsi="IRNazanin" w:eastAsia="IRNazanin" w:cs="IRNazanin"/>
          <w:lang w:bidi="fa-IR"/>
          <w:color w:val="111111"/>
          <w:sz w:val="28"/>
          <w:szCs w:val="28"/>
          <w:rtl/>
        </w:rPr>
        <w:t xml:space="preserve">تقدّم البیّنة علی«الید»و الوجه فی ذلک 323</w:t>
      </w:r>
    </w:p>
    <w:p>
      <w:pPr>
        <w:pStyle w:val="BookText"/>
      </w:pPr>
      <w:r>
        <w:rPr>
          <w:rFonts w:ascii="IRNazanin" w:hAnsi="IRNazanin" w:eastAsia="IRNazanin" w:cs="IRNazanin"/>
          <w:lang w:bidi="fa-IR"/>
          <w:color w:val="111111"/>
          <w:sz w:val="28"/>
          <w:szCs w:val="28"/>
          <w:rtl/>
        </w:rPr>
        <w:t xml:space="preserve">المسألة الثانیة:فی قاعدة«الفراغ و التجاوز»</w:t>
      </w:r>
    </w:p>
    <w:p>
      <w:pPr>
        <w:pStyle w:val="BookText"/>
      </w:pPr>
      <w:r>
        <w:rPr>
          <w:rFonts w:ascii="IRNazanin" w:hAnsi="IRNazanin" w:eastAsia="IRNazanin" w:cs="IRNazanin"/>
          <w:lang w:bidi="fa-IR"/>
          <w:color w:val="111111"/>
          <w:sz w:val="28"/>
          <w:szCs w:val="28"/>
          <w:rtl/>
        </w:rPr>
        <w:t xml:space="preserve">تقدّم قاعدة«الفراغ و التجاوز»علی الاستصحاب و الاستدلال علیه 325</w:t>
      </w:r>
    </w:p>
    <w:p>
      <w:pPr>
        <w:pStyle w:val="BookText"/>
      </w:pPr>
      <w:r>
        <w:rPr>
          <w:rFonts w:ascii="Amiri" w:hAnsi="Amiri" w:eastAsia="Amiri" w:cs="Amiri"/>
          <w:lang w:bidi="ar-SA"/>
          <w:color w:val="111111"/>
          <w:sz w:val="28"/>
          <w:szCs w:val="28"/>
          <w:rtl/>
        </w:rPr>
        <w:t xml:space="preserve">أخبار القاعدة:326</w:t>
      </w:r>
    </w:p>
    <w:p>
      <w:pPr>
        <w:pStyle w:val="BookText"/>
      </w:pPr>
      <w:r>
        <w:rPr>
          <w:rFonts w:ascii="Amiri" w:hAnsi="Amiri" w:eastAsia="Amiri" w:cs="Amiri"/>
          <w:lang w:bidi="ar-SA"/>
          <w:color w:val="111111"/>
          <w:sz w:val="28"/>
          <w:szCs w:val="28"/>
          <w:rtl/>
        </w:rPr>
        <w:t xml:space="preserve">1-الأخبار العامّة 326</w:t>
      </w:r>
    </w:p>
    <w:p>
      <w:pPr>
        <w:pStyle w:val="BookText"/>
      </w:pPr>
      <w:r>
        <w:rPr>
          <w:rFonts w:ascii="Amiri" w:hAnsi="Amiri" w:eastAsia="Amiri" w:cs="Amiri"/>
          <w:lang w:bidi="ar-SA"/>
          <w:color w:val="111111"/>
          <w:sz w:val="28"/>
          <w:szCs w:val="28"/>
          <w:rtl/>
        </w:rPr>
        <w:t xml:space="preserve">2-الأخبار الخاصّة 327</w:t>
      </w:r>
    </w:p>
    <w:p>
      <w:pPr>
        <w:pStyle w:val="BookText"/>
      </w:pPr>
      <w:r>
        <w:rPr>
          <w:rFonts w:ascii="IRNazanin" w:hAnsi="IRNazanin" w:eastAsia="IRNazanin" w:cs="IRNazanin"/>
          <w:lang w:bidi="fa-IR"/>
          <w:color w:val="111111"/>
          <w:sz w:val="28"/>
          <w:szCs w:val="28"/>
          <w:rtl/>
        </w:rPr>
        <w:t xml:space="preserve">تنقیح مضامین الأخبار 328</w:t>
      </w:r>
    </w:p>
    <w:p>
      <w:pPr>
        <w:pStyle w:val="BookText"/>
      </w:pPr>
      <w:r>
        <w:rPr>
          <w:rFonts w:ascii="IRNazanin" w:hAnsi="IRNazanin" w:eastAsia="IRNazanin" w:cs="IRNazanin"/>
          <w:lang w:bidi="fa-IR"/>
          <w:color w:val="111111"/>
          <w:sz w:val="28"/>
          <w:szCs w:val="28"/>
          <w:rtl/>
        </w:rPr>
        <w:t xml:space="preserve">ما هو المراد من«الشکّ فی الشیء»؟329</w:t>
      </w:r>
    </w:p>
    <w:p>
      <w:pPr>
        <w:pStyle w:val="BookText"/>
      </w:pPr>
      <w:r>
        <w:rPr>
          <w:rFonts w:ascii="IRNazanin" w:hAnsi="IRNazanin" w:eastAsia="IRNazanin" w:cs="IRNazanin"/>
          <w:lang w:bidi="fa-IR"/>
          <w:color w:val="111111"/>
          <w:sz w:val="28"/>
          <w:szCs w:val="28"/>
          <w:rtl/>
        </w:rPr>
        <w:t xml:space="preserve">ما هو المراد من«محلّ الشیء المشکوک فیه»؟330</w:t>
      </w:r>
    </w:p>
    <w:p>
      <w:pPr>
        <w:pStyle w:val="BookText"/>
      </w:pPr>
      <w:r>
        <w:rPr>
          <w:rFonts w:ascii="IRNazanin" w:hAnsi="IRNazanin" w:eastAsia="IRNazanin" w:cs="IRNazanin"/>
          <w:lang w:bidi="fa-IR"/>
          <w:color w:val="111111"/>
          <w:sz w:val="28"/>
          <w:szCs w:val="28"/>
          <w:rtl/>
        </w:rPr>
        <w:t xml:space="preserve">[شماره صفحه واقعی : 435]
</w:t>
      </w:r>
    </w:p>
    <w:p>
      <w:pPr>
        <w:sectPr>
          <w:footerReference w:type="default" r:id="rId9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هل یعتبر فی التجاوز و الفراغ الدخول فی الغیر،أم لا؟332</w:t>
      </w:r>
    </w:p>
    <w:p>
      <w:pPr>
        <w:pStyle w:val="BookText"/>
      </w:pPr>
      <w:r>
        <w:rPr>
          <w:rFonts w:ascii="IRNazanin" w:hAnsi="IRNazanin" w:eastAsia="IRNazanin" w:cs="IRNazanin"/>
          <w:lang w:bidi="fa-IR"/>
          <w:color w:val="111111"/>
          <w:sz w:val="28"/>
          <w:szCs w:val="28"/>
          <w:rtl/>
        </w:rPr>
        <w:t xml:space="preserve">ما هو المراد من«الغیر»؟332</w:t>
      </w:r>
    </w:p>
    <w:p>
      <w:pPr>
        <w:pStyle w:val="BookText"/>
      </w:pPr>
      <w:r>
        <w:rPr>
          <w:rFonts w:ascii="IRNazanin" w:hAnsi="IRNazanin" w:eastAsia="IRNazanin" w:cs="IRNazanin"/>
          <w:lang w:bidi="fa-IR"/>
          <w:color w:val="111111"/>
          <w:sz w:val="28"/>
          <w:szCs w:val="28"/>
          <w:rtl/>
        </w:rPr>
        <w:t xml:space="preserve">عدم کفایة الدخول فی مقدّمات الغیر 333</w:t>
      </w:r>
    </w:p>
    <w:p>
      <w:pPr>
        <w:pStyle w:val="BookText"/>
      </w:pPr>
      <w:r>
        <w:rPr>
          <w:rFonts w:ascii="IRNazanin" w:hAnsi="IRNazanin" w:eastAsia="IRNazanin" w:cs="IRNazanin"/>
          <w:lang w:bidi="fa-IR"/>
          <w:color w:val="111111"/>
          <w:sz w:val="28"/>
          <w:szCs w:val="28"/>
          <w:rtl/>
        </w:rPr>
        <w:t xml:space="preserve">الأقوی اعتبار الدخول فی الغیر و عدم کفایة مجرّد الفراغ 334</w:t>
      </w:r>
    </w:p>
    <w:p>
      <w:pPr>
        <w:pStyle w:val="BookText"/>
      </w:pPr>
      <w:r>
        <w:rPr>
          <w:rFonts w:ascii="IRNazanin" w:hAnsi="IRNazanin" w:eastAsia="IRNazanin" w:cs="IRNazanin"/>
          <w:lang w:bidi="fa-IR"/>
          <w:color w:val="111111"/>
          <w:sz w:val="28"/>
          <w:szCs w:val="28"/>
          <w:rtl/>
        </w:rPr>
        <w:t xml:space="preserve">عدم صحّة التفصیل بین الصلاة و الوضوء 334</w:t>
      </w:r>
    </w:p>
    <w:p>
      <w:pPr>
        <w:pStyle w:val="BookText"/>
      </w:pPr>
      <w:r>
        <w:rPr>
          <w:rFonts w:ascii="IRNazanin" w:hAnsi="IRNazanin" w:eastAsia="IRNazanin" w:cs="IRNazanin"/>
          <w:lang w:bidi="fa-IR"/>
          <w:color w:val="111111"/>
          <w:sz w:val="28"/>
          <w:szCs w:val="28"/>
          <w:rtl/>
        </w:rPr>
        <w:t xml:space="preserve">عدم جریان القاعدة فی أفعال الطهارات الثلاث 336</w:t>
      </w:r>
    </w:p>
    <w:p>
      <w:pPr>
        <w:pStyle w:val="BookText"/>
      </w:pPr>
      <w:r>
        <w:rPr>
          <w:rFonts w:ascii="IRNazanin" w:hAnsi="IRNazanin" w:eastAsia="IRNazanin" w:cs="IRNazanin"/>
          <w:lang w:bidi="fa-IR"/>
          <w:color w:val="111111"/>
          <w:sz w:val="28"/>
          <w:szCs w:val="28"/>
          <w:rtl/>
        </w:rPr>
        <w:t xml:space="preserve">مستند الخروج 336</w:t>
      </w:r>
    </w:p>
    <w:p>
      <w:pPr>
        <w:pStyle w:val="BookText"/>
      </w:pPr>
      <w:r>
        <w:rPr>
          <w:rFonts w:ascii="IRNazanin" w:hAnsi="IRNazanin" w:eastAsia="IRNazanin" w:cs="IRNazanin"/>
          <w:lang w:bidi="fa-IR"/>
          <w:color w:val="111111"/>
          <w:sz w:val="28"/>
          <w:szCs w:val="28"/>
          <w:rtl/>
        </w:rPr>
        <w:t xml:space="preserve">ظاهر روایة ابن أبی یعفور أنّ حکم الوضوء من باب القاعدة 337</w:t>
      </w:r>
    </w:p>
    <w:p>
      <w:pPr>
        <w:pStyle w:val="BookText"/>
      </w:pPr>
      <w:r>
        <w:rPr>
          <w:rFonts w:ascii="IRNazanin" w:hAnsi="IRNazanin" w:eastAsia="IRNazanin" w:cs="IRNazanin"/>
          <w:lang w:bidi="fa-IR"/>
          <w:color w:val="111111"/>
          <w:sz w:val="28"/>
          <w:szCs w:val="28"/>
          <w:rtl/>
        </w:rPr>
        <w:t xml:space="preserve">الإشکال فی ظاهر ذیل الروایة 337</w:t>
      </w:r>
    </w:p>
    <w:p>
      <w:pPr>
        <w:pStyle w:val="BookText"/>
      </w:pPr>
      <w:r>
        <w:rPr>
          <w:rFonts w:ascii="IRNazanin" w:hAnsi="IRNazanin" w:eastAsia="IRNazanin" w:cs="IRNazanin"/>
          <w:lang w:bidi="fa-IR"/>
          <w:color w:val="111111"/>
          <w:sz w:val="28"/>
          <w:szCs w:val="28"/>
          <w:rtl/>
        </w:rPr>
        <w:t xml:space="preserve">دفع الإشکال عن الروایة 337</w:t>
      </w:r>
    </w:p>
    <w:p>
      <w:pPr>
        <w:pStyle w:val="BookText"/>
      </w:pPr>
      <w:r>
        <w:rPr>
          <w:rFonts w:ascii="Amiri" w:hAnsi="Amiri" w:eastAsia="Amiri" w:cs="Amiri"/>
          <w:lang w:bidi="ar-SA"/>
          <w:color w:val="111111"/>
          <w:sz w:val="28"/>
          <w:szCs w:val="28"/>
          <w:rtl/>
        </w:rPr>
        <w:t xml:space="preserve">عدم غرابة فرض الوضوء فعلا واحدا 338</w:t>
      </w:r>
    </w:p>
    <w:p>
      <w:pPr>
        <w:pStyle w:val="BookText"/>
      </w:pPr>
      <w:r>
        <w:rPr>
          <w:rFonts w:ascii="IRNazanin" w:hAnsi="IRNazanin" w:eastAsia="IRNazanin" w:cs="IRNazanin"/>
          <w:lang w:bidi="fa-IR"/>
          <w:color w:val="111111"/>
          <w:sz w:val="28"/>
          <w:szCs w:val="28"/>
          <w:rtl/>
        </w:rPr>
        <w:t xml:space="preserve">هل تجری القاعدة فی الشروط کما تجری فی الأجزاء؟339</w:t>
      </w:r>
    </w:p>
    <w:p>
      <w:pPr>
        <w:pStyle w:val="BookText"/>
      </w:pPr>
      <w:r>
        <w:rPr>
          <w:rFonts w:ascii="IRNazanin" w:hAnsi="IRNazanin" w:eastAsia="IRNazanin" w:cs="IRNazanin"/>
          <w:lang w:bidi="fa-IR"/>
          <w:color w:val="111111"/>
          <w:sz w:val="28"/>
          <w:szCs w:val="28"/>
          <w:rtl/>
        </w:rPr>
        <w:t xml:space="preserve">الأقوی التفصیل 339</w:t>
      </w:r>
    </w:p>
    <w:p>
      <w:pPr>
        <w:pStyle w:val="BookText"/>
      </w:pPr>
      <w:r>
        <w:rPr>
          <w:rFonts w:ascii="IRNazanin" w:hAnsi="IRNazanin" w:eastAsia="IRNazanin" w:cs="IRNazanin"/>
          <w:lang w:bidi="fa-IR"/>
          <w:color w:val="111111"/>
          <w:sz w:val="28"/>
          <w:szCs w:val="28"/>
          <w:rtl/>
        </w:rPr>
        <w:t xml:space="preserve">معنی عدم العبرة بالشکّ بعد تجاوز المحلّ 340</w:t>
      </w:r>
    </w:p>
    <w:p>
      <w:pPr>
        <w:pStyle w:val="BookText"/>
      </w:pPr>
      <w:r>
        <w:rPr>
          <w:rFonts w:ascii="IRNazanin" w:hAnsi="IRNazanin" w:eastAsia="IRNazanin" w:cs="IRNazanin"/>
          <w:lang w:bidi="fa-IR"/>
          <w:color w:val="111111"/>
          <w:sz w:val="28"/>
          <w:szCs w:val="28"/>
          <w:rtl/>
        </w:rPr>
        <w:t xml:space="preserve">التفصیل بین الوضوء و نحوه و بین غیره 341</w:t>
      </w:r>
    </w:p>
    <w:p>
      <w:pPr>
        <w:pStyle w:val="BookText"/>
      </w:pPr>
      <w:r>
        <w:rPr>
          <w:rFonts w:ascii="IRNazanin" w:hAnsi="IRNazanin" w:eastAsia="IRNazanin" w:cs="IRNazanin"/>
          <w:lang w:bidi="fa-IR"/>
          <w:color w:val="111111"/>
          <w:sz w:val="28"/>
          <w:szCs w:val="28"/>
          <w:rtl/>
        </w:rPr>
        <w:t xml:space="preserve">هل یلحق الشکّ فی الصحّة بالشکّ فی الإتیان؟342</w:t>
      </w:r>
    </w:p>
    <w:p>
      <w:pPr>
        <w:pStyle w:val="BookText"/>
      </w:pPr>
      <w:r>
        <w:rPr>
          <w:rFonts w:ascii="IRNazanin" w:hAnsi="IRNazanin" w:eastAsia="IRNazanin" w:cs="IRNazanin"/>
          <w:lang w:bidi="fa-IR"/>
          <w:color w:val="111111"/>
          <w:sz w:val="28"/>
          <w:szCs w:val="28"/>
          <w:rtl/>
        </w:rPr>
        <w:t xml:space="preserve">المراد من الشکّ فی موضوع هذه القاعدة 344</w:t>
      </w:r>
    </w:p>
    <w:p>
      <w:pPr>
        <w:pStyle w:val="BookText"/>
      </w:pPr>
      <w:r>
        <w:rPr>
          <w:rFonts w:ascii="IRNazanin" w:hAnsi="IRNazanin" w:eastAsia="IRNazanin" w:cs="IRNazanin"/>
          <w:lang w:bidi="fa-IR"/>
          <w:color w:val="111111"/>
          <w:sz w:val="28"/>
          <w:szCs w:val="28"/>
          <w:rtl/>
        </w:rPr>
        <w:t xml:space="preserve">عدم الفرق بین أن یکون المحتمل الترک نسیانا أو تعمّدا 344</w:t>
      </w:r>
    </w:p>
    <w:p>
      <w:pPr>
        <w:pStyle w:val="BookText"/>
      </w:pPr>
      <w:r>
        <w:rPr>
          <w:rFonts w:ascii="IRNazanin" w:hAnsi="IRNazanin" w:eastAsia="IRNazanin" w:cs="IRNazanin"/>
          <w:lang w:bidi="fa-IR"/>
          <w:color w:val="111111"/>
          <w:sz w:val="28"/>
          <w:szCs w:val="28"/>
          <w:rtl/>
        </w:rPr>
        <w:t xml:space="preserve">المسألة الثالثة:فی أصالة الصحّة فی فعل الغیر</w:t>
      </w:r>
    </w:p>
    <w:p>
      <w:pPr>
        <w:pStyle w:val="BookText"/>
      </w:pPr>
      <w:r>
        <w:rPr>
          <w:rFonts w:ascii="IRNazanin" w:hAnsi="IRNazanin" w:eastAsia="IRNazanin" w:cs="IRNazanin"/>
          <w:lang w:bidi="fa-IR"/>
          <w:color w:val="111111"/>
          <w:sz w:val="28"/>
          <w:szCs w:val="28"/>
          <w:rtl/>
        </w:rPr>
        <w:t xml:space="preserve">أصالة الصحّة من الاصول المجمع علیها بین المسلمین 345</w:t>
      </w:r>
    </w:p>
    <w:p>
      <w:pPr>
        <w:pStyle w:val="BookText"/>
      </w:pPr>
      <w:r>
        <w:rPr>
          <w:rFonts w:ascii="IRNazanin" w:hAnsi="IRNazanin" w:eastAsia="IRNazanin" w:cs="IRNazanin"/>
          <w:lang w:bidi="fa-IR"/>
          <w:color w:val="111111"/>
          <w:sz w:val="28"/>
          <w:szCs w:val="28"/>
          <w:rtl/>
        </w:rPr>
        <w:t xml:space="preserve">مدرک أصالة الصحّة 345</w:t>
      </w:r>
    </w:p>
    <w:p>
      <w:pPr>
        <w:pStyle w:val="BookText"/>
      </w:pPr>
      <w:r>
        <w:rPr>
          <w:rFonts w:ascii="IRNazanin" w:hAnsi="IRNazanin" w:eastAsia="IRNazanin" w:cs="IRNazanin"/>
          <w:lang w:bidi="fa-IR"/>
          <w:color w:val="111111"/>
          <w:sz w:val="28"/>
          <w:szCs w:val="28"/>
          <w:rtl/>
        </w:rPr>
        <w:t xml:space="preserve">الاستدلال بالآیات و المناقشة فیه 345</w:t>
      </w:r>
    </w:p>
    <w:p>
      <w:pPr>
        <w:pStyle w:val="BookText"/>
      </w:pPr>
      <w:r>
        <w:rPr>
          <w:rFonts w:ascii="IRNazanin" w:hAnsi="IRNazanin" w:eastAsia="IRNazanin" w:cs="IRNazanin"/>
          <w:lang w:bidi="fa-IR"/>
          <w:color w:val="111111"/>
          <w:sz w:val="28"/>
          <w:szCs w:val="28"/>
          <w:rtl/>
        </w:rPr>
        <w:t xml:space="preserve">[شماره صفحه واقعی : 436]
</w:t>
      </w:r>
    </w:p>
    <w:p>
      <w:pPr>
        <w:sectPr>
          <w:footerReference w:type="default" r:id="rId9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الاستدلال بالأخبار 346</w:t>
      </w:r>
    </w:p>
    <w:p>
      <w:pPr>
        <w:pStyle w:val="BookText"/>
      </w:pPr>
      <w:r>
        <w:rPr>
          <w:rFonts w:ascii="IRNazanin" w:hAnsi="IRNazanin" w:eastAsia="IRNazanin" w:cs="IRNazanin"/>
          <w:lang w:bidi="fa-IR"/>
          <w:color w:val="111111"/>
          <w:sz w:val="28"/>
          <w:szCs w:val="28"/>
          <w:rtl/>
        </w:rPr>
        <w:t xml:space="preserve">المناقشة فی دلالة الأخبار 347</w:t>
      </w:r>
    </w:p>
    <w:p>
      <w:pPr>
        <w:pStyle w:val="BookText"/>
      </w:pPr>
      <w:r>
        <w:rPr>
          <w:rFonts w:ascii="IRNazanin" w:hAnsi="IRNazanin" w:eastAsia="IRNazanin" w:cs="IRNazanin"/>
          <w:lang w:bidi="fa-IR"/>
          <w:color w:val="111111"/>
          <w:sz w:val="28"/>
          <w:szCs w:val="28"/>
          <w:rtl/>
        </w:rPr>
        <w:t xml:space="preserve">الاستدلال بالإجماع القولی 350</w:t>
      </w:r>
    </w:p>
    <w:p>
      <w:pPr>
        <w:pStyle w:val="BookText"/>
      </w:pPr>
      <w:r>
        <w:rPr>
          <w:rFonts w:ascii="IRNazanin" w:hAnsi="IRNazanin" w:eastAsia="IRNazanin" w:cs="IRNazanin"/>
          <w:lang w:bidi="fa-IR"/>
          <w:color w:val="111111"/>
          <w:sz w:val="28"/>
          <w:szCs w:val="28"/>
          <w:rtl/>
        </w:rPr>
        <w:t xml:space="preserve">الاستدلال بالإجماع العملی 350</w:t>
      </w:r>
    </w:p>
    <w:p>
      <w:pPr>
        <w:pStyle w:val="BookText"/>
      </w:pPr>
      <w:r>
        <w:rPr>
          <w:rFonts w:ascii="IRNazanin" w:hAnsi="IRNazanin" w:eastAsia="IRNazanin" w:cs="IRNazanin"/>
          <w:lang w:bidi="fa-IR"/>
          <w:color w:val="111111"/>
          <w:sz w:val="28"/>
          <w:szCs w:val="28"/>
          <w:rtl/>
        </w:rPr>
        <w:t xml:space="preserve">الاستدلال بالعقل 350</w:t>
      </w:r>
    </w:p>
    <w:p>
      <w:pPr>
        <w:pStyle w:val="BookText"/>
      </w:pPr>
      <w:r>
        <w:rPr>
          <w:rFonts w:ascii="IRNazanin" w:hAnsi="IRNazanin" w:eastAsia="IRNazanin" w:cs="IRNazanin"/>
          <w:lang w:bidi="fa-IR"/>
          <w:color w:val="111111"/>
          <w:sz w:val="28"/>
          <w:szCs w:val="28"/>
          <w:rtl/>
        </w:rPr>
        <w:t xml:space="preserve">هل یحمل فعل المسلم علی الصحّة الواقعیّة أو الصحّة عند الفاعل؟353</w:t>
      </w:r>
    </w:p>
    <w:p>
      <w:pPr>
        <w:pStyle w:val="BookText"/>
      </w:pPr>
      <w:r>
        <w:rPr>
          <w:rFonts w:ascii="IRNazanin" w:hAnsi="IRNazanin" w:eastAsia="IRNazanin" w:cs="IRNazanin"/>
          <w:lang w:bidi="fa-IR"/>
          <w:color w:val="111111"/>
          <w:sz w:val="28"/>
          <w:szCs w:val="28"/>
          <w:rtl/>
        </w:rPr>
        <w:t xml:space="preserve">ظاهر المشهور الحمل علی الصحّة الواقعیّة 354</w:t>
      </w:r>
    </w:p>
    <w:p>
      <w:pPr>
        <w:pStyle w:val="BookText"/>
      </w:pPr>
      <w:r>
        <w:rPr>
          <w:rFonts w:ascii="IRNazanin" w:hAnsi="IRNazanin" w:eastAsia="IRNazanin" w:cs="IRNazanin"/>
          <w:lang w:bidi="fa-IR"/>
          <w:color w:val="111111"/>
          <w:sz w:val="28"/>
          <w:szCs w:val="28"/>
          <w:rtl/>
        </w:rPr>
        <w:t xml:space="preserve">ظاهر بعض المتأخّرین الحمل علی الصحّة باعتقاد الفاعل 354</w:t>
      </w:r>
    </w:p>
    <w:p>
      <w:pPr>
        <w:pStyle w:val="BookText"/>
      </w:pPr>
      <w:r>
        <w:rPr>
          <w:rFonts w:ascii="IRNazanin" w:hAnsi="IRNazanin" w:eastAsia="IRNazanin" w:cs="IRNazanin"/>
          <w:lang w:bidi="fa-IR"/>
          <w:color w:val="111111"/>
          <w:sz w:val="28"/>
          <w:szCs w:val="28"/>
          <w:rtl/>
        </w:rPr>
        <w:t xml:space="preserve">المسألة محلّ إشکال 355</w:t>
      </w:r>
    </w:p>
    <w:p>
      <w:pPr>
        <w:pStyle w:val="BookText"/>
      </w:pPr>
      <w:r>
        <w:rPr>
          <w:rFonts w:ascii="Amiri" w:hAnsi="Amiri" w:eastAsia="Amiri" w:cs="Amiri"/>
          <w:lang w:bidi="ar-SA"/>
          <w:color w:val="111111"/>
          <w:sz w:val="28"/>
          <w:szCs w:val="28"/>
          <w:rtl/>
        </w:rPr>
        <w:t xml:space="preserve">صور المسألة 355</w:t>
      </w:r>
    </w:p>
    <w:p>
      <w:pPr>
        <w:pStyle w:val="BookText"/>
      </w:pPr>
      <w:r>
        <w:rPr>
          <w:rFonts w:ascii="IRNazanin" w:hAnsi="IRNazanin" w:eastAsia="IRNazanin" w:cs="IRNazanin"/>
          <w:lang w:bidi="fa-IR"/>
          <w:color w:val="111111"/>
          <w:sz w:val="28"/>
          <w:szCs w:val="28"/>
          <w:rtl/>
        </w:rPr>
        <w:t xml:space="preserve">1-أن یعلم کون الفاعل عالما بالصحّة و الفساد 355</w:t>
      </w:r>
    </w:p>
    <w:p>
      <w:pPr>
        <w:pStyle w:val="BookText"/>
      </w:pPr>
      <w:r>
        <w:rPr>
          <w:rFonts w:ascii="IRNazanin" w:hAnsi="IRNazanin" w:eastAsia="IRNazanin" w:cs="IRNazanin"/>
          <w:lang w:bidi="fa-IR"/>
          <w:color w:val="111111"/>
          <w:sz w:val="28"/>
          <w:szCs w:val="28"/>
          <w:rtl/>
        </w:rPr>
        <w:t xml:space="preserve">2-أن یعلم کونه جاهلا 356</w:t>
      </w:r>
    </w:p>
    <w:p>
      <w:pPr>
        <w:pStyle w:val="BookText"/>
      </w:pPr>
      <w:r>
        <w:rPr>
          <w:rFonts w:ascii="IRNazanin" w:hAnsi="IRNazanin" w:eastAsia="IRNazanin" w:cs="IRNazanin"/>
          <w:lang w:bidi="fa-IR"/>
          <w:color w:val="111111"/>
          <w:sz w:val="28"/>
          <w:szCs w:val="28"/>
          <w:rtl/>
        </w:rPr>
        <w:t xml:space="preserve">3-أن یجهل حاله 356</w:t>
      </w:r>
    </w:p>
    <w:p>
      <w:pPr>
        <w:pStyle w:val="BookText"/>
      </w:pPr>
      <w:r>
        <w:rPr>
          <w:rFonts w:ascii="IRNazanin" w:hAnsi="IRNazanin" w:eastAsia="IRNazanin" w:cs="IRNazanin"/>
          <w:lang w:bidi="fa-IR"/>
          <w:color w:val="111111"/>
          <w:sz w:val="28"/>
          <w:szCs w:val="28"/>
          <w:rtl/>
        </w:rPr>
        <w:t xml:space="preserve">هل یعتبر فی جریان أصالة الصحّة فی العقود استکمال أرکان العقد؟357</w:t>
      </w:r>
    </w:p>
    <w:p>
      <w:pPr>
        <w:pStyle w:val="BookText"/>
      </w:pPr>
      <w:r>
        <w:rPr>
          <w:rFonts w:ascii="IRNazanin" w:hAnsi="IRNazanin" w:eastAsia="IRNazanin" w:cs="IRNazanin"/>
          <w:lang w:bidi="fa-IR"/>
          <w:color w:val="111111"/>
          <w:sz w:val="28"/>
          <w:szCs w:val="28"/>
          <w:rtl/>
        </w:rPr>
        <w:t xml:space="preserve">الأقوی التعمیم و عدم اعتبار استکمال الأرکان 360</w:t>
      </w:r>
    </w:p>
    <w:p>
      <w:pPr>
        <w:pStyle w:val="BookText"/>
      </w:pPr>
      <w:r>
        <w:rPr>
          <w:rFonts w:ascii="IRNazanin" w:hAnsi="IRNazanin" w:eastAsia="IRNazanin" w:cs="IRNazanin"/>
          <w:lang w:bidi="fa-IR"/>
          <w:color w:val="111111"/>
          <w:sz w:val="28"/>
          <w:szCs w:val="28"/>
          <w:rtl/>
        </w:rPr>
        <w:t xml:space="preserve">صحّة کلّ شیء بحسبه و باعتبار آثار نفسه 363</w:t>
      </w:r>
    </w:p>
    <w:p>
      <w:pPr>
        <w:pStyle w:val="BookText"/>
      </w:pPr>
      <w:r>
        <w:rPr>
          <w:rFonts w:ascii="Amiri" w:hAnsi="Amiri" w:eastAsia="Amiri" w:cs="Amiri"/>
          <w:lang w:bidi="ar-SA"/>
          <w:color w:val="111111"/>
          <w:sz w:val="28"/>
          <w:szCs w:val="28"/>
          <w:rtl/>
        </w:rPr>
        <w:t xml:space="preserve">ممّا یتفرّع علی ما ذکرنا 364</w:t>
      </w:r>
    </w:p>
    <w:p>
      <w:pPr>
        <w:pStyle w:val="BookText"/>
      </w:pPr>
      <w:r>
        <w:rPr>
          <w:rFonts w:ascii="IRNazanin" w:hAnsi="IRNazanin" w:eastAsia="IRNazanin" w:cs="IRNazanin"/>
          <w:lang w:bidi="fa-IR"/>
          <w:color w:val="111111"/>
          <w:sz w:val="28"/>
          <w:szCs w:val="28"/>
          <w:rtl/>
        </w:rPr>
        <w:t xml:space="preserve">اعتبار إحراز أصل العمل فی أصالة الصحّة 367</w:t>
      </w:r>
    </w:p>
    <w:p>
      <w:pPr>
        <w:pStyle w:val="BookText"/>
      </w:pPr>
      <w:r>
        <w:rPr>
          <w:rFonts w:ascii="IRNazanin" w:hAnsi="IRNazanin" w:eastAsia="IRNazanin" w:cs="IRNazanin"/>
          <w:lang w:bidi="fa-IR"/>
          <w:color w:val="111111"/>
          <w:sz w:val="28"/>
          <w:szCs w:val="28"/>
          <w:rtl/>
        </w:rPr>
        <w:t xml:space="preserve">الإشکال فی الفرق بین صلاة الغیر علی المیّت و بین الصلاة عن المیت تبرّعا أو بالإجارة 367</w:t>
      </w:r>
    </w:p>
    <w:p>
      <w:pPr>
        <w:pStyle w:val="BookText"/>
      </w:pPr>
      <w:r>
        <w:rPr>
          <w:rFonts w:ascii="IRNazanin" w:hAnsi="IRNazanin" w:eastAsia="IRNazanin" w:cs="IRNazanin"/>
          <w:lang w:bidi="fa-IR"/>
          <w:color w:val="111111"/>
          <w:sz w:val="28"/>
          <w:szCs w:val="28"/>
          <w:rtl/>
        </w:rPr>
        <w:t xml:space="preserve">[شماره صفحه واقعی : 437]
</w:t>
      </w:r>
    </w:p>
    <w:p>
      <w:pPr>
        <w:sectPr>
          <w:footerReference w:type="default" r:id="rId9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توجیه الفرق 368</w:t>
      </w:r>
    </w:p>
    <w:p>
      <w:pPr>
        <w:pStyle w:val="BookText"/>
      </w:pPr>
      <w:r>
        <w:rPr>
          <w:rFonts w:ascii="IRNazanin" w:hAnsi="IRNazanin" w:eastAsia="IRNazanin" w:cs="IRNazanin"/>
          <w:lang w:bidi="fa-IR"/>
          <w:color w:val="111111"/>
          <w:sz w:val="28"/>
          <w:szCs w:val="28"/>
          <w:rtl/>
        </w:rPr>
        <w:t xml:space="preserve">عدم جواز الأخذ باللوازم فی أصالة الصحّة 371</w:t>
      </w:r>
    </w:p>
    <w:p>
      <w:pPr>
        <w:pStyle w:val="BookText"/>
      </w:pPr>
      <w:r>
        <w:rPr>
          <w:rFonts w:ascii="IRNazanin" w:hAnsi="IRNazanin" w:eastAsia="IRNazanin" w:cs="IRNazanin"/>
          <w:lang w:bidi="fa-IR"/>
          <w:color w:val="111111"/>
          <w:sz w:val="28"/>
          <w:szCs w:val="28"/>
          <w:rtl/>
        </w:rPr>
        <w:t xml:space="preserve">وجه تقدیم أصالة الصحّة علی استصحاب الفساد 373</w:t>
      </w:r>
    </w:p>
    <w:p>
      <w:pPr>
        <w:pStyle w:val="BookText"/>
      </w:pPr>
      <w:r>
        <w:rPr>
          <w:rFonts w:ascii="IRNazanin" w:hAnsi="IRNazanin" w:eastAsia="IRNazanin" w:cs="IRNazanin"/>
          <w:lang w:bidi="fa-IR"/>
          <w:color w:val="111111"/>
          <w:sz w:val="28"/>
          <w:szCs w:val="28"/>
          <w:rtl/>
        </w:rPr>
        <w:t xml:space="preserve">اضطراب کلمات الأصحاب فی تقدیم أصالة الصحّة علی الاستصحابات الموضوعیّة 374</w:t>
      </w:r>
    </w:p>
    <w:p>
      <w:pPr>
        <w:pStyle w:val="BookText"/>
      </w:pPr>
      <w:r>
        <w:rPr>
          <w:rFonts w:ascii="IRNazanin" w:hAnsi="IRNazanin" w:eastAsia="IRNazanin" w:cs="IRNazanin"/>
          <w:lang w:bidi="fa-IR"/>
          <w:color w:val="111111"/>
          <w:sz w:val="28"/>
          <w:szCs w:val="28"/>
          <w:rtl/>
        </w:rPr>
        <w:t xml:space="preserve">التحقیق فی المسألة 374</w:t>
      </w:r>
    </w:p>
    <w:p>
      <w:pPr>
        <w:pStyle w:val="BookText"/>
      </w:pPr>
      <w:r>
        <w:rPr>
          <w:rFonts w:ascii="IRNazanin" w:hAnsi="IRNazanin" w:eastAsia="IRNazanin" w:cs="IRNazanin"/>
          <w:lang w:bidi="fa-IR"/>
          <w:color w:val="111111"/>
          <w:sz w:val="28"/>
          <w:szCs w:val="28"/>
          <w:rtl/>
        </w:rPr>
        <w:t xml:space="preserve">أصالة الصحّة فی الأقوال 381</w:t>
      </w:r>
    </w:p>
    <w:p>
      <w:pPr>
        <w:pStyle w:val="BookText"/>
      </w:pPr>
      <w:r>
        <w:rPr>
          <w:rFonts w:ascii="IRNazanin" w:hAnsi="IRNazanin" w:eastAsia="IRNazanin" w:cs="IRNazanin"/>
          <w:lang w:bidi="fa-IR"/>
          <w:color w:val="111111"/>
          <w:sz w:val="28"/>
          <w:szCs w:val="28"/>
          <w:rtl/>
        </w:rPr>
        <w:t xml:space="preserve">أصالة الصحّة فی الاعتقادات 383</w:t>
      </w:r>
    </w:p>
    <w:p>
      <w:pPr>
        <w:pStyle w:val="BookText"/>
      </w:pPr>
      <w:r>
        <w:rPr>
          <w:rFonts w:ascii="IRNazanin" w:hAnsi="IRNazanin" w:eastAsia="IRNazanin" w:cs="IRNazanin"/>
          <w:lang w:bidi="fa-IR"/>
          <w:color w:val="111111"/>
          <w:sz w:val="28"/>
          <w:szCs w:val="28"/>
          <w:rtl/>
        </w:rPr>
        <w:t xml:space="preserve">المقام الثانی:تعارض الاستصحاب مع القرعة 385</w:t>
      </w:r>
    </w:p>
    <w:p>
      <w:pPr>
        <w:pStyle w:val="BookText"/>
      </w:pPr>
      <w:r>
        <w:rPr>
          <w:rFonts w:ascii="IRNazanin" w:hAnsi="IRNazanin" w:eastAsia="IRNazanin" w:cs="IRNazanin"/>
          <w:lang w:bidi="fa-IR"/>
          <w:color w:val="111111"/>
          <w:sz w:val="28"/>
          <w:szCs w:val="28"/>
          <w:rtl/>
        </w:rPr>
        <w:t xml:space="preserve">المقام الثالث:تعارض الاستصحاب مع ما عداه من الاصول العملیّة 385</w:t>
      </w:r>
    </w:p>
    <w:p>
      <w:pPr>
        <w:pStyle w:val="BookText"/>
      </w:pPr>
      <w:r>
        <w:rPr>
          <w:rFonts w:ascii="IRNazanin" w:hAnsi="IRNazanin" w:eastAsia="IRNazanin" w:cs="IRNazanin"/>
          <w:lang w:bidi="fa-IR"/>
          <w:color w:val="111111"/>
          <w:sz w:val="28"/>
          <w:szCs w:val="28"/>
          <w:rtl/>
        </w:rPr>
        <w:t xml:space="preserve">تقدّم الاستصحاب و غیره من الأدلّة و الاصول علی أصالة البراءة 387</w:t>
      </w:r>
    </w:p>
    <w:p>
      <w:pPr>
        <w:pStyle w:val="BookText"/>
      </w:pPr>
      <w:r>
        <w:rPr>
          <w:rFonts w:ascii="IRNazanin" w:hAnsi="IRNazanin" w:eastAsia="IRNazanin" w:cs="IRNazanin"/>
          <w:lang w:bidi="fa-IR"/>
          <w:color w:val="111111"/>
          <w:sz w:val="28"/>
          <w:szCs w:val="28"/>
          <w:rtl/>
        </w:rPr>
        <w:t xml:space="preserve">حکومة دلیل الاستصحاب علی قوله علیه السّلام:«کلّ شیء مطلق...»389</w:t>
      </w:r>
    </w:p>
    <w:p>
      <w:pPr>
        <w:pStyle w:val="BookText"/>
      </w:pPr>
      <w:r>
        <w:rPr>
          <w:rFonts w:ascii="IRNazanin" w:hAnsi="IRNazanin" w:eastAsia="IRNazanin" w:cs="IRNazanin"/>
          <w:lang w:bidi="fa-IR"/>
          <w:color w:val="111111"/>
          <w:sz w:val="28"/>
          <w:szCs w:val="28"/>
          <w:rtl/>
        </w:rPr>
        <w:t xml:space="preserve">الإشکال فی بعض أخبار أصالة البراءة فی الشبهة الموضوعیّة 389</w:t>
      </w:r>
    </w:p>
    <w:p>
      <w:pPr>
        <w:pStyle w:val="BookText"/>
      </w:pPr>
      <w:r>
        <w:rPr>
          <w:rFonts w:ascii="IRNazanin" w:hAnsi="IRNazanin" w:eastAsia="IRNazanin" w:cs="IRNazanin"/>
          <w:lang w:bidi="fa-IR"/>
          <w:color w:val="111111"/>
          <w:sz w:val="28"/>
          <w:szCs w:val="28"/>
          <w:rtl/>
        </w:rPr>
        <w:t xml:space="preserve">ورود الاستصحاب علی قاعدة الاشتغال 391</w:t>
      </w:r>
    </w:p>
    <w:p>
      <w:pPr>
        <w:pStyle w:val="BookText"/>
      </w:pPr>
      <w:r>
        <w:rPr>
          <w:rFonts w:ascii="IRNazanin" w:hAnsi="IRNazanin" w:eastAsia="IRNazanin" w:cs="IRNazanin"/>
          <w:lang w:bidi="fa-IR"/>
          <w:color w:val="111111"/>
          <w:sz w:val="28"/>
          <w:szCs w:val="28"/>
          <w:rtl/>
        </w:rPr>
        <w:t xml:space="preserve">ورود الاستصحاب علی قاعدة التخییر 392</w:t>
      </w:r>
    </w:p>
    <w:p>
      <w:pPr>
        <w:pStyle w:val="BookText"/>
      </w:pPr>
      <w:r>
        <w:rPr>
          <w:rFonts w:ascii="IRNazanin" w:hAnsi="IRNazanin" w:eastAsia="IRNazanin" w:cs="IRNazanin"/>
          <w:lang w:bidi="fa-IR"/>
          <w:color w:val="111111"/>
          <w:sz w:val="28"/>
          <w:szCs w:val="28"/>
          <w:rtl/>
        </w:rPr>
        <w:t xml:space="preserve">تعارض الاستصحابین</w:t>
      </w:r>
    </w:p>
    <w:p>
      <w:pPr>
        <w:pStyle w:val="BookText"/>
      </w:pPr>
      <w:r>
        <w:rPr>
          <w:rFonts w:ascii="IRNazanin" w:hAnsi="IRNazanin" w:eastAsia="IRNazanin" w:cs="IRNazanin"/>
          <w:lang w:bidi="fa-IR"/>
          <w:color w:val="111111"/>
          <w:sz w:val="28"/>
          <w:szCs w:val="28"/>
          <w:rtl/>
        </w:rPr>
        <w:t xml:space="preserve">أقسام الاستصحابین المتعارضین:393</w:t>
      </w:r>
    </w:p>
    <w:p>
      <w:pPr>
        <w:pStyle w:val="BookText"/>
      </w:pPr>
      <w:r>
        <w:rPr>
          <w:rFonts w:ascii="IRNazanin" w:hAnsi="IRNazanin" w:eastAsia="IRNazanin" w:cs="IRNazanin"/>
          <w:lang w:bidi="fa-IR"/>
          <w:color w:val="111111"/>
          <w:sz w:val="28"/>
          <w:szCs w:val="28"/>
          <w:rtl/>
        </w:rPr>
        <w:t xml:space="preserve">القسم الأوّل:إذا کان الشکّ فی أحدهما مسبّبا عن الشکّ فی الآخر 394</w:t>
      </w:r>
    </w:p>
    <w:p>
      <w:pPr>
        <w:pStyle w:val="BookText"/>
      </w:pPr>
      <w:r>
        <w:rPr>
          <w:rFonts w:ascii="IRNazanin" w:hAnsi="IRNazanin" w:eastAsia="IRNazanin" w:cs="IRNazanin"/>
          <w:lang w:bidi="fa-IR"/>
          <w:color w:val="111111"/>
          <w:sz w:val="28"/>
          <w:szCs w:val="28"/>
          <w:rtl/>
        </w:rPr>
        <w:t xml:space="preserve">تقدّم الاستصحاب السببی علی المسبّبی و الاستدلال علیه 394</w:t>
      </w:r>
    </w:p>
    <w:p>
      <w:pPr>
        <w:pStyle w:val="BookText"/>
      </w:pPr>
      <w:r>
        <w:rPr>
          <w:rFonts w:ascii="IRNazanin" w:hAnsi="IRNazanin" w:eastAsia="IRNazanin" w:cs="IRNazanin"/>
          <w:lang w:bidi="fa-IR"/>
          <w:color w:val="111111"/>
          <w:sz w:val="28"/>
          <w:szCs w:val="28"/>
          <w:rtl/>
        </w:rPr>
        <w:t xml:space="preserve">لو عملنا بالاستصحاب من باب الظنّ فالحکم أوضح 400</w:t>
      </w:r>
    </w:p>
    <w:p>
      <w:pPr>
        <w:pStyle w:val="BookText"/>
      </w:pPr>
      <w:r>
        <w:rPr>
          <w:rFonts w:ascii="IRNazanin" w:hAnsi="IRNazanin" w:eastAsia="IRNazanin" w:cs="IRNazanin"/>
          <w:lang w:bidi="fa-IR"/>
          <w:color w:val="111111"/>
          <w:sz w:val="28"/>
          <w:szCs w:val="28"/>
          <w:rtl/>
        </w:rPr>
        <w:t xml:space="preserve">[شماره صفحه واقعی : 438]
</w:t>
      </w:r>
    </w:p>
    <w:p>
      <w:pPr>
        <w:sectPr>
          <w:footerReference w:type="default" r:id="rId9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ظهور الخلاف فی المسألة عن جماعة 401</w:t>
      </w:r>
    </w:p>
    <w:p>
      <w:pPr>
        <w:pStyle w:val="BookText"/>
      </w:pPr>
      <w:r>
        <w:rPr>
          <w:rFonts w:ascii="IRNazanin" w:hAnsi="IRNazanin" w:eastAsia="IRNazanin" w:cs="IRNazanin"/>
          <w:lang w:bidi="fa-IR"/>
          <w:color w:val="111111"/>
          <w:sz w:val="28"/>
          <w:szCs w:val="28"/>
          <w:rtl/>
        </w:rPr>
        <w:t xml:space="preserve">تصریح بعضهم بالجمع بین الاستصحابین«السببی و المسبّبی»403</w:t>
      </w:r>
    </w:p>
    <w:p>
      <w:pPr>
        <w:pStyle w:val="BookText"/>
      </w:pPr>
      <w:r>
        <w:rPr>
          <w:rFonts w:ascii="Amiri" w:hAnsi="Amiri" w:eastAsia="Amiri" w:cs="Amiri"/>
          <w:lang w:bidi="ar-SA"/>
          <w:color w:val="111111"/>
          <w:sz w:val="28"/>
          <w:szCs w:val="28"/>
          <w:rtl/>
        </w:rPr>
        <w:t xml:space="preserve">عدم صحّة الجمع 403</w:t>
      </w:r>
    </w:p>
    <w:p>
      <w:pPr>
        <w:pStyle w:val="BookText"/>
      </w:pPr>
      <w:r>
        <w:rPr>
          <w:rFonts w:ascii="IRNazanin" w:hAnsi="IRNazanin" w:eastAsia="IRNazanin" w:cs="IRNazanin"/>
          <w:lang w:bidi="fa-IR"/>
          <w:color w:val="111111"/>
          <w:sz w:val="28"/>
          <w:szCs w:val="28"/>
          <w:rtl/>
        </w:rPr>
        <w:t xml:space="preserve">دعوی الإجماع علی تقدیم الاستصحاب الموضوعی علی الحکمی 405</w:t>
      </w:r>
    </w:p>
    <w:p>
      <w:pPr>
        <w:pStyle w:val="BookText"/>
      </w:pPr>
      <w:r>
        <w:rPr>
          <w:rFonts w:ascii="IRNazanin" w:hAnsi="IRNazanin" w:eastAsia="IRNazanin" w:cs="IRNazanin"/>
          <w:lang w:bidi="fa-IR"/>
          <w:color w:val="111111"/>
          <w:sz w:val="28"/>
          <w:szCs w:val="28"/>
          <w:rtl/>
        </w:rPr>
        <w:t xml:space="preserve">المناقشة فی دعوی الإجماع 405</w:t>
      </w:r>
    </w:p>
    <w:p>
      <w:pPr>
        <w:pStyle w:val="BookText"/>
      </w:pPr>
      <w:r>
        <w:rPr>
          <w:rFonts w:ascii="IRNazanin" w:hAnsi="IRNazanin" w:eastAsia="IRNazanin" w:cs="IRNazanin"/>
          <w:lang w:bidi="fa-IR"/>
          <w:color w:val="111111"/>
          <w:sz w:val="28"/>
          <w:szCs w:val="28"/>
          <w:rtl/>
        </w:rPr>
        <w:t xml:space="preserve">القسم الثانی:إذا کان الشکّ فی کلیهما مسبّبا عن أمر ثالث 406</w:t>
      </w:r>
    </w:p>
    <w:p>
      <w:pPr>
        <w:pStyle w:val="BookText"/>
      </w:pPr>
      <w:r>
        <w:rPr>
          <w:rFonts w:ascii="Amiri" w:hAnsi="Amiri" w:eastAsia="Amiri" w:cs="Amiri"/>
          <w:lang w:bidi="ar-SA"/>
          <w:color w:val="111111"/>
          <w:sz w:val="28"/>
          <w:szCs w:val="28"/>
          <w:rtl/>
        </w:rPr>
        <w:t xml:space="preserve">صور المسألة:406</w:t>
      </w:r>
    </w:p>
    <w:p>
      <w:pPr>
        <w:pStyle w:val="BookText"/>
      </w:pPr>
      <w:r>
        <w:rPr>
          <w:rFonts w:ascii="IRNazanin" w:hAnsi="IRNazanin" w:eastAsia="IRNazanin" w:cs="IRNazanin"/>
          <w:lang w:bidi="fa-IR"/>
          <w:color w:val="111111"/>
          <w:sz w:val="28"/>
          <w:szCs w:val="28"/>
          <w:rtl/>
        </w:rPr>
        <w:t xml:space="preserve">الاولیان:لو کان العمل بالاستصحابین مستلزما لمخالفة قطعیّة عملیّة أو قام الدلیل علی عدم الجمع بینهما 407</w:t>
      </w:r>
    </w:p>
    <w:p>
      <w:pPr>
        <w:pStyle w:val="BookText"/>
      </w:pPr>
      <w:r>
        <w:rPr>
          <w:rFonts w:ascii="IRNazanin" w:hAnsi="IRNazanin" w:eastAsia="IRNazanin" w:cs="IRNazanin"/>
          <w:lang w:bidi="fa-IR"/>
          <w:color w:val="111111"/>
          <w:sz w:val="28"/>
          <w:szCs w:val="28"/>
          <w:rtl/>
        </w:rPr>
        <w:t xml:space="preserve">هنا دعویان:408</w:t>
      </w:r>
    </w:p>
    <w:p>
      <w:pPr>
        <w:pStyle w:val="BookText"/>
      </w:pPr>
      <w:r>
        <w:rPr>
          <w:rFonts w:ascii="IRNazanin" w:hAnsi="IRNazanin" w:eastAsia="IRNazanin" w:cs="IRNazanin"/>
          <w:lang w:bidi="fa-IR"/>
          <w:color w:val="111111"/>
          <w:sz w:val="28"/>
          <w:szCs w:val="28"/>
          <w:rtl/>
        </w:rPr>
        <w:t xml:space="preserve">الاولی:عدم الترجیح 408</w:t>
      </w:r>
    </w:p>
    <w:p>
      <w:pPr>
        <w:pStyle w:val="BookText"/>
      </w:pPr>
      <w:r>
        <w:rPr>
          <w:rFonts w:ascii="IRNazanin" w:hAnsi="IRNazanin" w:eastAsia="IRNazanin" w:cs="IRNazanin"/>
          <w:lang w:bidi="fa-IR"/>
          <w:color w:val="111111"/>
          <w:sz w:val="28"/>
          <w:szCs w:val="28"/>
          <w:rtl/>
        </w:rPr>
        <w:t xml:space="preserve">الدلیل علی عدم الترجیح 408</w:t>
      </w:r>
    </w:p>
    <w:p>
      <w:pPr>
        <w:pStyle w:val="BookText"/>
      </w:pPr>
      <w:r>
        <w:rPr>
          <w:rFonts w:ascii="IRNazanin" w:hAnsi="IRNazanin" w:eastAsia="IRNazanin" w:cs="IRNazanin"/>
          <w:lang w:bidi="fa-IR"/>
          <w:color w:val="111111"/>
          <w:sz w:val="28"/>
          <w:szCs w:val="28"/>
          <w:rtl/>
        </w:rPr>
        <w:t xml:space="preserve">الثانیة:أنّ الحکم هو التساقط دون التخییر و الدلیل علیه 409</w:t>
      </w:r>
    </w:p>
    <w:p>
      <w:pPr>
        <w:pStyle w:val="BookText"/>
      </w:pPr>
      <w:r>
        <w:rPr>
          <w:rFonts w:ascii="IRNazanin" w:hAnsi="IRNazanin" w:eastAsia="IRNazanin" w:cs="IRNazanin"/>
          <w:lang w:bidi="fa-IR"/>
          <w:color w:val="111111"/>
          <w:sz w:val="28"/>
          <w:szCs w:val="28"/>
          <w:rtl/>
        </w:rPr>
        <w:t xml:space="preserve">الصورة الثالثة:لو ترتّب أثر شرعی علی کلا المستصحبین 413</w:t>
      </w:r>
    </w:p>
    <w:p>
      <w:pPr>
        <w:pStyle w:val="BookText"/>
      </w:pPr>
      <w:r>
        <w:rPr>
          <w:rFonts w:ascii="IRNazanin" w:hAnsi="IRNazanin" w:eastAsia="IRNazanin" w:cs="IRNazanin"/>
          <w:lang w:bidi="fa-IR"/>
          <w:color w:val="111111"/>
          <w:sz w:val="28"/>
          <w:szCs w:val="28"/>
          <w:rtl/>
        </w:rPr>
        <w:t xml:space="preserve">الصورة الرابعة:لو ترتّب الأثر علی أحدهما دون الآخر 414</w:t>
      </w:r>
    </w:p>
    <w:p>
      <w:pPr>
        <w:pStyle w:val="BookText"/>
      </w:pPr>
      <w:r>
        <w:rPr>
          <w:rFonts w:ascii="IRNazanin" w:hAnsi="IRNazanin" w:eastAsia="IRNazanin" w:cs="IRNazanin"/>
          <w:lang w:bidi="fa-IR"/>
          <w:color w:val="111111"/>
          <w:sz w:val="28"/>
          <w:szCs w:val="28"/>
          <w:rtl/>
        </w:rPr>
        <w:t xml:space="preserve">العناوین العامّة 419</w:t>
      </w:r>
    </w:p>
    <w:p>
      <w:pPr>
        <w:pStyle w:val="BookText"/>
      </w:pPr>
      <w:r>
        <w:rPr>
          <w:rFonts w:ascii="IRNazanin" w:hAnsi="IRNazanin" w:eastAsia="IRNazanin" w:cs="IRNazanin"/>
          <w:lang w:bidi="fa-IR"/>
          <w:color w:val="111111"/>
          <w:sz w:val="28"/>
          <w:szCs w:val="28"/>
          <w:rtl/>
        </w:rPr>
        <w:t xml:space="preserve">فهرس المحتوی 421</w:t>
      </w:r>
    </w:p>
    <w:p>
      <w:pPr>
        <w:pStyle w:val="BookText"/>
      </w:pPr>
      <w:r>
        <w:rPr>
          <w:rFonts w:ascii="IRNazanin" w:hAnsi="IRNazanin" w:eastAsia="IRNazanin" w:cs="IRNazanin"/>
          <w:lang w:bidi="fa-IR"/>
          <w:color w:val="111111"/>
          <w:sz w:val="28"/>
          <w:szCs w:val="28"/>
          <w:rtl/>
        </w:rPr>
        <w:t xml:space="preserve">[شماره صفحه واقعی : 439]
</w:t>
      </w:r>
    </w:p>
    <w:p>
      <w:pPr>
        <w:sectPr>
          <w:footerReference w:type="default" r:id="rId951"/>
          <w:footnotePr>
            <w:numStart w:val="1"/>
            <w:numRestart w:val="eachPage"/>
          </w:footnotePr>
          <w:pgSz w:orient="portrait" w:w="11905.511811023622" w:h="16837.79527559055"/>
          <w:pgMar w:top="1440" w:right="1440" w:bottom="1440" w:left="1440" w:header="720" w:footer="720" w:gutter="0"/>
          <w:cols w:num="1" w:space="720"/>
        </w:sectPr>
      </w:pPr>
    </w:p>
    <w:bookmarkStart w:id="588" w:name="pg14411_143333"/>
    <w:bookmarkEnd w:id="588"/>
    <w:p>
      <w:pPr>
        <w:pStyle w:val="Heading2"/>
      </w:pPr>
      <w:bookmarkStart w:id="2181" w:name="_Toc1216"/>
      <w:r>
        <w:t>فقه</w:t>
      </w:r>
      <w:bookmarkEnd w:id="2181"/>
    </w:p>
    <w:p>
      <w:pPr>
        <w:pStyle w:val="Heading3"/>
      </w:pPr>
      <w:bookmarkStart w:id="2182" w:name="_Toc1217"/>
      <w:r>
        <w:t>فقه 3 (المکاسب : از «کتاب البیع» تا پایان «القول فی الإجازة و الرّد»)</w:t>
      </w:r>
      <w:bookmarkEnd w:id="2182"/>
    </w:p>
    <w:p>
      <w:pPr>
        <w:pStyle w:val="Heading4"/>
      </w:pPr>
      <w:bookmarkStart w:id="2183" w:name="_Toc1218"/>
      <w:r>
        <w:t>المجلد 3</w:t>
      </w:r>
      <w:bookmarkEnd w:id="2183"/>
    </w:p>
    <w:p>
      <w:pPr>
        <w:pStyle w:val="Heading5"/>
      </w:pPr>
      <w:bookmarkStart w:id="2184" w:name="_Toc1219"/>
      <w:r>
        <w:t>[کتاب البیع]</w:t>
      </w:r>
      <w:bookmarkEnd w:id="2184"/>
    </w:p>
    <w:p>
      <w:pPr>
        <w:pStyle w:val="Heading6"/>
      </w:pPr>
      <w:bookmarkStart w:id="2185" w:name="_Toc1220"/>
      <w:r>
        <w:t>الکلام فی شروط المتعاقدین</w:t>
      </w:r>
      <w:bookmarkEnd w:id="2185"/>
    </w:p>
    <w:p>
      <w:pPr>
        <w:pStyle w:val="Heading6"/>
      </w:pPr>
      <w:bookmarkStart w:id="2186" w:name="_Toc1221"/>
      <w:r>
        <w:t>اشارة</w:t>
      </w:r>
      <w:bookmarkEnd w:id="2186"/>
    </w:p>
    <w:p>
      <w:pPr>
        <w:pStyle w:val="BookText"/>
      </w:pPr>
      <w:r>
        <w:rPr>
          <w:rFonts w:ascii="IRNazanin" w:hAnsi="IRNazanin" w:eastAsia="IRNazanin" w:cs="IRNazanin"/>
          <w:lang w:bidi="fa-IR"/>
          <w:color w:val="111111"/>
          <w:sz w:val="28"/>
          <w:szCs w:val="28"/>
          <w:rtl/>
        </w:rPr>
        <w:t xml:space="preserve">[شماره صفحه واقعی : 273]
</w:t>
      </w:r>
    </w:p>
    <w:p>
      <w:pPr>
        <w:sectPr>
          <w:footerReference w:type="default" r:id="rId9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274]
</w:t>
      </w:r>
    </w:p>
    <w:p>
      <w:pPr>
        <w:sectPr>
          <w:footerReference w:type="default" r:id="rId953"/>
          <w:footnotePr>
            <w:numStart w:val="1"/>
            <w:numRestart w:val="eachPage"/>
          </w:footnotePr>
          <w:pgSz w:orient="portrait" w:w="11905.511811023622" w:h="16837.79527559055"/>
          <w:pgMar w:top="1440" w:right="1440" w:bottom="1440" w:left="1440" w:header="720" w:footer="720" w:gutter="0"/>
          <w:cols w:num="1" w:space="720"/>
        </w:sectPr>
      </w:pPr>
    </w:p>
    <w:bookmarkStart w:id="589" w:name="pg14411_143335"/>
    <w:bookmarkEnd w:id="589"/>
    <w:p>
      <w:pPr>
        <w:pStyle w:val="Heading6"/>
      </w:pPr>
      <w:bookmarkStart w:id="2187" w:name="_Toc1222"/>
      <w:r>
        <w:t>مسألة [من شروط المتعاقدین البلوغ]</w:t>
      </w:r>
      <w:bookmarkEnd w:id="2187"/>
    </w:p>
    <w:p>
      <w:pPr>
        <w:pStyle w:val="Heading6"/>
      </w:pPr>
      <w:bookmarkStart w:id="2188" w:name="_Toc1223"/>
      <w:r>
        <w:t>[فی عقد الصبی]</w:t>
      </w:r>
      <w:bookmarkEnd w:id="2188"/>
    </w:p>
    <w:p>
      <w:pPr>
        <w:pStyle w:val="Heading6"/>
      </w:pPr>
      <w:bookmarkStart w:id="2189" w:name="_Toc1224"/>
      <w:r>
        <w:t>[المشهور بطلان عقد الصبی]</w:t>
      </w:r>
      <w:bookmarkEnd w:id="2189"/>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[*ستوده]</w:t>
      </w:r>
    </w:p>
    <w:p>
      <w:pPr>
        <w:pStyle w:val="BookText"/>
      </w:pPr>
      <w:r>
        <w:rPr>
          <w:rFonts w:ascii="IRNazanin" w:hAnsi="IRNazanin" w:eastAsia="IRNazanin" w:cs="IRNazanin"/>
          <w:lang w:bidi="fa-IR"/>
          <w:color w:val="111111"/>
          <w:sz w:val="28"/>
          <w:szCs w:val="28"/>
          <w:rtl/>
        </w:rPr>
        <w:t xml:space="preserve">المشهور-کما عن الدروس </w:t>
      </w:r>
      <w:r>
        <w:rPr>
          <w:rStyle w:val="FootnoteReference"/>
        </w:rPr>
        <w:footnoteReference w:id="2789"/>
      </w:r>
      <w:r>
        <w:rPr>
          <w:rFonts w:ascii="IRNazanin" w:hAnsi="IRNazanin" w:eastAsia="IRNazanin" w:cs="IRNazanin"/>
          <w:lang w:bidi="fa-IR"/>
          <w:color w:val="111111"/>
          <w:sz w:val="28"/>
          <w:szCs w:val="28"/>
          <w:rtl/>
        </w:rPr>
        <w:t xml:space="preserve">و الکفایة </w:t>
      </w:r>
      <w:r>
        <w:rPr>
          <w:rStyle w:val="FootnoteReference"/>
        </w:rPr>
        <w:footnoteReference w:id="2790"/>
      </w:r>
      <w:r>
        <w:rPr>
          <w:rFonts w:ascii="IRNazanin" w:hAnsi="IRNazanin" w:eastAsia="IRNazanin" w:cs="IRNazanin"/>
          <w:lang w:bidi="fa-IR"/>
          <w:color w:val="111111"/>
          <w:sz w:val="28"/>
          <w:szCs w:val="28"/>
          <w:rtl/>
        </w:rPr>
        <w:t xml:space="preserve">-:بطلان عقد الصبی،بل عن الغنیة:الإجماع علیه و إن أجاز الولی </w:t>
      </w:r>
      <w:r>
        <w:rPr>
          <w:rStyle w:val="FootnoteReference"/>
        </w:rPr>
        <w:footnoteReference w:id="27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کنز العرفان:نسبة عدم صحّة عقد الصبی إلی أصحابنا </w:t>
      </w:r>
      <w:r>
        <w:rPr>
          <w:rStyle w:val="FootnoteReference"/>
        </w:rPr>
        <w:footnoteReference w:id="2792"/>
      </w:r>
      <w:r>
        <w:rPr>
          <w:rFonts w:ascii="IRNazanin" w:hAnsi="IRNazanin" w:eastAsia="IRNazanin" w:cs="IRNazanin"/>
          <w:lang w:bidi="fa-IR"/>
          <w:color w:val="111111"/>
          <w:sz w:val="28"/>
          <w:szCs w:val="28"/>
          <w:rtl/>
        </w:rPr>
        <w:t xml:space="preserve">، و ظاهره إرادة التعمیم لصورة إذن الولی.</w:t>
      </w:r>
    </w:p>
    <w:p>
      <w:pPr>
        <w:pStyle w:val="BookText"/>
      </w:pPr>
      <w:r>
        <w:rPr>
          <w:rFonts w:ascii="IRNazanin" w:hAnsi="IRNazanin" w:eastAsia="IRNazanin" w:cs="IRNazanin"/>
          <w:lang w:bidi="fa-IR"/>
          <w:color w:val="111111"/>
          <w:sz w:val="28"/>
          <w:szCs w:val="28"/>
          <w:rtl/>
        </w:rPr>
        <w:t xml:space="preserve">و عن التذکرة:أنّ الصغیر محجور علیه بالنصّ و الإجماع-سواء کان ممیّزاً أو لا-فی جمیع التصرّفات إلّا ما استثنی،کعباداته و إسلامه و إحرامه و تدبیره و وصیّته و إیصال الهدیّة و إذنه فی الدخول،علی خلافٍ فی ذلک </w:t>
      </w:r>
      <w:r>
        <w:rPr>
          <w:rStyle w:val="FootnoteReference"/>
        </w:rPr>
        <w:footnoteReference w:id="2793"/>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استثناء إیصال الهدیّة و إذنه فی دخول الدار،یکشف بفحواه عن</w:t>
      </w:r>
    </w:p>
    <w:p>
      <w:pPr>
        <w:pStyle w:val="BookText"/>
      </w:pPr>
      <w:r>
        <w:rPr>
          <w:rFonts w:ascii="IRNazanin" w:hAnsi="IRNazanin" w:eastAsia="IRNazanin" w:cs="IRNazanin"/>
          <w:lang w:bidi="fa-IR"/>
          <w:color w:val="111111"/>
          <w:sz w:val="28"/>
          <w:szCs w:val="28"/>
          <w:rtl/>
        </w:rPr>
        <w:t xml:space="preserve">[شماره صفحه واقعی : 275]
</w:t>
      </w:r>
    </w:p>
    <w:p>
      <w:pPr>
        <w:sectPr>
          <w:footerReference w:type="default" r:id="rId954"/>
          <w:footnotePr>
            <w:numStart w:val="1"/>
            <w:numRestart w:val="eachPage"/>
          </w:footnotePr>
          <w:pgSz w:orient="portrait" w:w="11905.511811023622" w:h="16837.79527559055"/>
          <w:pgMar w:top="1440" w:right="1440" w:bottom="1440" w:left="1440" w:header="720" w:footer="720" w:gutter="0"/>
          <w:cols w:num="1" w:space="720"/>
        </w:sectPr>
      </w:pPr>
    </w:p>
    <w:bookmarkStart w:id="590" w:name="pg14411_143336"/>
    <w:bookmarkEnd w:id="590"/>
    <w:p>
      <w:pPr>
        <w:pStyle w:val="BookText"/>
      </w:pPr>
      <w:r>
        <w:rPr>
          <w:rFonts w:ascii="IRNazanin" w:hAnsi="IRNazanin" w:eastAsia="IRNazanin" w:cs="IRNazanin"/>
          <w:lang w:bidi="fa-IR"/>
          <w:color w:val="111111"/>
          <w:sz w:val="28"/>
          <w:szCs w:val="28"/>
          <w:rtl/>
        </w:rPr>
        <w:t xml:space="preserve">شمول المستثنی منه لمطلق أفعاله؛لأنّ الإیصال و الإذن لیسا من التصرّفات القولیّة و الفعلیّة،و إنّما الأوّل آلة فی إیصال الملک کما لو حملها علی حیوان و أرسلها،و الثانی کاشف عن موضوعٍ تعلّق علیه إباحة الدخول،و هو رضا المالک.</w:t>
      </w:r>
    </w:p>
    <w:p>
      <w:pPr>
        <w:pStyle w:val="Heading6"/>
      </w:pPr>
      <w:bookmarkStart w:id="2190" w:name="_Toc1225"/>
      <w:r>
        <w:t>[الاستدلال علی البطلان بحدیث رفع القلم]</w:t>
      </w:r>
      <w:bookmarkEnd w:id="2190"/>
    </w:p>
    <w:p>
      <w:pPr>
        <w:pStyle w:val="BookText"/>
      </w:pPr>
      <w:r>
        <w:rPr>
          <w:rFonts w:ascii="IRNazanin" w:hAnsi="IRNazanin" w:eastAsia="IRNazanin" w:cs="IRNazanin"/>
          <w:lang w:bidi="fa-IR"/>
          <w:color w:val="111111"/>
          <w:sz w:val="28"/>
          <w:szCs w:val="28"/>
          <w:rtl/>
        </w:rPr>
        <w:t xml:space="preserve">و احتجّ علی الحکم فی الغنیة </w:t>
      </w:r>
      <w:r>
        <w:rPr>
          <w:rStyle w:val="FootnoteReference"/>
        </w:rPr>
        <w:footnoteReference w:id="2794"/>
      </w:r>
      <w:r>
        <w:rPr>
          <w:rFonts w:ascii="IRNazanin" w:hAnsi="IRNazanin" w:eastAsia="IRNazanin" w:cs="IRNazanin"/>
          <w:lang w:bidi="fa-IR"/>
          <w:color w:val="111111"/>
          <w:sz w:val="28"/>
          <w:szCs w:val="28"/>
          <w:rtl/>
        </w:rPr>
        <w:t xml:space="preserve">بقوله صلّی اللّه علیه و آله و سلم:«رفع القلم عن ثلاثة:عن الصبیّ حتّی یحتلم،و عن المجنون حتّی یفیق،و عن النائم حتّی یستیقظ» </w:t>
      </w:r>
      <w:r>
        <w:rPr>
          <w:rStyle w:val="FootnoteReference"/>
        </w:rPr>
        <w:footnoteReference w:id="2795"/>
      </w:r>
      <w:r>
        <w:rPr>
          <w:rFonts w:ascii="IRNazanin" w:hAnsi="IRNazanin" w:eastAsia="IRNazanin" w:cs="IRNazanin"/>
          <w:lang w:bidi="fa-IR"/>
          <w:color w:val="111111"/>
          <w:sz w:val="28"/>
          <w:szCs w:val="28"/>
          <w:rtl/>
        </w:rPr>
        <w:t xml:space="preserve">،و قد سبقه فی ذلک الشیخ-فی المبسوط فی مسألة الإقرار-و قال:إنّ مقتضی رفع القلم أن لا یکون لکلامه حکم </w:t>
      </w:r>
      <w:r>
        <w:rPr>
          <w:rStyle w:val="FootnoteReference"/>
        </w:rPr>
        <w:footnoteReference w:id="27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نحوه الحلّی فی السرائر فی مسألة عدم جواز وصیّة البالغ عشراً </w:t>
      </w:r>
      <w:r>
        <w:rPr>
          <w:rStyle w:val="FootnoteReference"/>
        </w:rPr>
        <w:footnoteReference w:id="2797"/>
      </w:r>
      <w:r>
        <w:rPr>
          <w:rFonts w:ascii="IRNazanin" w:hAnsi="IRNazanin" w:eastAsia="IRNazanin" w:cs="IRNazanin"/>
          <w:lang w:bidi="fa-IR"/>
          <w:color w:val="111111"/>
          <w:sz w:val="28"/>
          <w:szCs w:val="28"/>
          <w:rtl/>
        </w:rPr>
        <w:t xml:space="preserve">، و تبعهم فی الاستدلال به جماعة،کالعلّامة </w:t>
      </w:r>
      <w:r>
        <w:rPr>
          <w:rStyle w:val="FootnoteReference"/>
        </w:rPr>
        <w:footnoteReference w:id="2798"/>
      </w:r>
      <w:r>
        <w:rPr>
          <w:rFonts w:ascii="IRNazanin" w:hAnsi="IRNazanin" w:eastAsia="IRNazanin" w:cs="IRNazanin"/>
          <w:lang w:bidi="fa-IR"/>
          <w:color w:val="111111"/>
          <w:sz w:val="28"/>
          <w:szCs w:val="28"/>
          <w:rtl/>
        </w:rPr>
        <w:t xml:space="preserve">و غیره </w:t>
      </w:r>
      <w:r>
        <w:rPr>
          <w:rStyle w:val="FootnoteReference"/>
        </w:rPr>
        <w:footnoteReference w:id="2799"/>
      </w:r>
      <w:r>
        <w:rPr>
          <w:rFonts w:ascii="Times New Roman" w:hAnsi="Times New Roman" w:eastAsia="Times New Roman" w:cs="Times New Roman"/>
          <w:lang w:val="en-US" w:bidi="en-US"/>
          <w:color w:val="111111"/>
          <w:sz w:val="28"/>
          <w:szCs w:val="28"/>
          <w:rtl/>
        </w:rPr>
        <w:t xml:space="preserve">.</w:t>
      </w:r>
    </w:p>
    <w:p>
      <w:pPr>
        <w:pStyle w:val="Heading6"/>
      </w:pPr>
      <w:bookmarkStart w:id="2191" w:name="_Toc1226"/>
      <w:r>
        <w:t>[الاستدلال بروایات عدم جواز أمر الصبی]</w:t>
      </w:r>
      <w:bookmarkEnd w:id="2191"/>
    </w:p>
    <w:p>
      <w:pPr>
        <w:pStyle w:val="BookText"/>
      </w:pPr>
      <w:r>
        <w:rPr>
          <w:rFonts w:ascii="Amiri" w:hAnsi="Amiri" w:eastAsia="Amiri" w:cs="Amiri"/>
          <w:lang w:bidi="ar-SA"/>
          <w:color w:val="111111"/>
          <w:sz w:val="28"/>
          <w:szCs w:val="28"/>
          <w:rtl/>
        </w:rPr>
        <w:t xml:space="preserve">و استدلّوا </w:t>
      </w:r>
      <w:r>
        <w:rPr>
          <w:rStyle w:val="FootnoteReference"/>
        </w:rPr>
        <w:footnoteReference w:id="2800"/>
      </w:r>
      <w:r>
        <w:rPr>
          <w:rFonts w:ascii="IRNazanin" w:hAnsi="IRNazanin" w:eastAsia="IRNazanin" w:cs="IRNazanin"/>
          <w:lang w:bidi="fa-IR"/>
          <w:color w:val="111111"/>
          <w:sz w:val="28"/>
          <w:szCs w:val="28"/>
          <w:rtl/>
        </w:rPr>
        <w:t xml:space="preserve">أیضاً بخبر حمزة بن حمران عن مولانا الباقر علیه السلام:</w:t>
      </w:r>
    </w:p>
    <w:p>
      <w:pPr>
        <w:pStyle w:val="BookText"/>
      </w:pPr>
      <w:r>
        <w:rPr>
          <w:rFonts w:ascii="IRNazanin" w:hAnsi="IRNazanin" w:eastAsia="IRNazanin" w:cs="IRNazanin"/>
          <w:lang w:bidi="fa-IR"/>
          <w:color w:val="111111"/>
          <w:sz w:val="28"/>
          <w:szCs w:val="28"/>
          <w:rtl/>
        </w:rPr>
        <w:t xml:space="preserve">«إنّ الجاریة إذا زوّجت و دخل بها و لها تسع سنین ذهب عنها الیتم،</w:t>
      </w:r>
    </w:p>
    <w:p>
      <w:pPr>
        <w:pStyle w:val="BookText"/>
      </w:pPr>
      <w:r>
        <w:rPr>
          <w:rFonts w:ascii="IRNazanin" w:hAnsi="IRNazanin" w:eastAsia="IRNazanin" w:cs="IRNazanin"/>
          <w:lang w:bidi="fa-IR"/>
          <w:color w:val="111111"/>
          <w:sz w:val="28"/>
          <w:szCs w:val="28"/>
          <w:rtl/>
        </w:rPr>
        <w:t xml:space="preserve">[شماره صفحه واقعی : 276]
</w:t>
      </w:r>
    </w:p>
    <w:p>
      <w:pPr>
        <w:sectPr>
          <w:footerReference w:type="default" r:id="rId955"/>
          <w:footnotePr>
            <w:numStart w:val="1"/>
            <w:numRestart w:val="eachPage"/>
          </w:footnotePr>
          <w:pgSz w:orient="portrait" w:w="11905.511811023622" w:h="16837.79527559055"/>
          <w:pgMar w:top="1440" w:right="1440" w:bottom="1440" w:left="1440" w:header="720" w:footer="720" w:gutter="0"/>
          <w:cols w:num="1" w:space="720"/>
        </w:sectPr>
      </w:pPr>
    </w:p>
    <w:bookmarkStart w:id="591" w:name="pg14411_143337"/>
    <w:bookmarkEnd w:id="591"/>
    <w:p>
      <w:pPr>
        <w:pStyle w:val="BookText"/>
      </w:pPr>
      <w:r>
        <w:rPr>
          <w:rFonts w:ascii="IRNazanin" w:hAnsi="IRNazanin" w:eastAsia="IRNazanin" w:cs="IRNazanin"/>
          <w:lang w:bidi="fa-IR"/>
          <w:color w:val="111111"/>
          <w:sz w:val="28"/>
          <w:szCs w:val="28"/>
          <w:rtl/>
        </w:rPr>
        <w:t xml:space="preserve">و دفع إلیها مالها،و جاز أمرها فی الشراء </w:t>
      </w:r>
      <w:r>
        <w:rPr>
          <w:rStyle w:val="FootnoteReference"/>
        </w:rPr>
        <w:footnoteReference w:id="2801"/>
      </w:r>
      <w:r>
        <w:rPr>
          <w:rFonts w:ascii="IRNazanin" w:hAnsi="IRNazanin" w:eastAsia="IRNazanin" w:cs="IRNazanin"/>
          <w:lang w:bidi="fa-IR"/>
          <w:color w:val="111111"/>
          <w:sz w:val="28"/>
          <w:szCs w:val="28"/>
          <w:rtl/>
        </w:rPr>
        <w:t xml:space="preserve">،و الغلام لا یجوز أمره فی البیع و الشراء و لا یخرج عن الیتم حتّی یبلغ خمس عشرة سنة...الحدیث» </w:t>
      </w:r>
      <w:r>
        <w:rPr>
          <w:rStyle w:val="FootnoteReference"/>
        </w:rPr>
        <w:footnoteReference w:id="28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روایة ابن سنان:«متی یجوز أمر الیتیم؟قال:حتّی یبلغ أشدّه.قال:ما أشدّه؟قال:احتلامه» </w:t>
      </w:r>
      <w:r>
        <w:rPr>
          <w:rStyle w:val="FootnoteReference"/>
        </w:rPr>
        <w:footnoteReference w:id="2803"/>
      </w:r>
      <w:r>
        <w:rPr>
          <w:rFonts w:ascii="IRNazanin" w:hAnsi="IRNazanin" w:eastAsia="IRNazanin" w:cs="IRNazanin"/>
          <w:lang w:bidi="fa-IR"/>
          <w:color w:val="111111"/>
          <w:sz w:val="28"/>
          <w:szCs w:val="28"/>
          <w:rtl/>
        </w:rPr>
        <w:t xml:space="preserve">،و فی معناها روایات أُخر </w:t>
      </w:r>
      <w:r>
        <w:rPr>
          <w:rStyle w:val="FootnoteReference"/>
        </w:rPr>
        <w:footnoteReference w:id="2804"/>
      </w:r>
      <w:r>
        <w:rPr>
          <w:rFonts w:ascii="Times New Roman" w:hAnsi="Times New Roman" w:eastAsia="Times New Roman" w:cs="Times New Roman"/>
          <w:lang w:val="en-US" w:bidi="en-US"/>
          <w:color w:val="111111"/>
          <w:sz w:val="28"/>
          <w:szCs w:val="28"/>
          <w:rtl/>
        </w:rPr>
        <w:t xml:space="preserve">.</w:t>
      </w:r>
    </w:p>
    <w:p>
      <w:pPr>
        <w:pStyle w:val="Heading6"/>
      </w:pPr>
      <w:bookmarkStart w:id="2192" w:name="_Toc1227"/>
      <w:r>
        <w:t>[المناقشة فی دلالة هذه الروایات]</w:t>
      </w:r>
      <w:bookmarkEnd w:id="2192"/>
    </w:p>
    <w:p>
      <w:pPr>
        <w:pStyle w:val="BookText"/>
      </w:pPr>
      <w:r>
        <w:rPr>
          <w:rFonts w:ascii="IRNazanin" w:hAnsi="IRNazanin" w:eastAsia="IRNazanin" w:cs="IRNazanin"/>
          <w:lang w:bidi="fa-IR"/>
          <w:color w:val="111111"/>
          <w:sz w:val="28"/>
          <w:szCs w:val="28"/>
          <w:rtl/>
        </w:rPr>
        <w:t xml:space="preserve">لکنّ الإنصاف:أنّ جواز الأمر فی هذه الروایات ظاهر فی استقلاله فی التصرّف؛لأنّ الجواز مرادفٌ للمضیّ،فلا ینافی عدمه ثبوت الوقوف علی الإجازة،کما یقال:بیع الفضولی غیر ماضٍ،بل موقوف.</w:t>
      </w:r>
    </w:p>
    <w:p>
      <w:pPr>
        <w:pStyle w:val="BookText"/>
      </w:pPr>
      <w:r>
        <w:rPr>
          <w:rFonts w:ascii="IRNazanin" w:hAnsi="IRNazanin" w:eastAsia="IRNazanin" w:cs="IRNazanin"/>
          <w:lang w:bidi="fa-IR"/>
          <w:color w:val="111111"/>
          <w:sz w:val="28"/>
          <w:szCs w:val="28"/>
          <w:rtl/>
        </w:rPr>
        <w:t xml:space="preserve">و یشهد له الاستثناء فی بعض تلک الأخبار بقوله:«إلّا أن یکون سفیهاً» </w:t>
      </w:r>
      <w:r>
        <w:rPr>
          <w:rStyle w:val="FootnoteReference"/>
        </w:rPr>
        <w:footnoteReference w:id="2805"/>
      </w:r>
      <w:r>
        <w:rPr>
          <w:rFonts w:ascii="IRNazanin" w:hAnsi="IRNazanin" w:eastAsia="IRNazanin" w:cs="IRNazanin"/>
          <w:lang w:bidi="fa-IR"/>
          <w:color w:val="111111"/>
          <w:sz w:val="28"/>
          <w:szCs w:val="28"/>
          <w:rtl/>
        </w:rPr>
        <w:t xml:space="preserve">،فلا دلالة لها حینئذٍ علی سلب عبارته،و أنّه إذا ساوم ولیّه متاعاً </w:t>
      </w:r>
      <w:r>
        <w:rPr>
          <w:rStyle w:val="FootnoteReference"/>
        </w:rPr>
        <w:footnoteReference w:id="2806"/>
      </w:r>
      <w:r>
        <w:rPr>
          <w:rFonts w:ascii="IRNazanin" w:hAnsi="IRNazanin" w:eastAsia="IRNazanin" w:cs="IRNazanin"/>
          <w:lang w:bidi="fa-IR"/>
          <w:color w:val="111111"/>
          <w:sz w:val="28"/>
          <w:szCs w:val="28"/>
          <w:rtl/>
        </w:rPr>
        <w:t xml:space="preserve">و عیّن له قیمته </w:t>
      </w:r>
      <w:r>
        <w:rPr>
          <w:rStyle w:val="FootnoteReference"/>
        </w:rPr>
        <w:footnoteReference w:id="2807"/>
      </w:r>
      <w:r>
        <w:rPr>
          <w:rFonts w:ascii="IRNazanin" w:hAnsi="IRNazanin" w:eastAsia="IRNazanin" w:cs="IRNazanin"/>
          <w:lang w:bidi="fa-IR"/>
          <w:color w:val="111111"/>
          <w:sz w:val="28"/>
          <w:szCs w:val="28"/>
          <w:rtl/>
        </w:rPr>
        <w:t xml:space="preserve">و أمر الصبیّ بمجرّد إیقاع العقد مع الطرف</w:t>
      </w:r>
    </w:p>
    <w:p>
      <w:pPr>
        <w:pStyle w:val="BookText"/>
      </w:pPr>
      <w:r>
        <w:rPr>
          <w:rFonts w:ascii="IRNazanin" w:hAnsi="IRNazanin" w:eastAsia="IRNazanin" w:cs="IRNazanin"/>
          <w:lang w:bidi="fa-IR"/>
          <w:color w:val="111111"/>
          <w:sz w:val="28"/>
          <w:szCs w:val="28"/>
          <w:rtl/>
        </w:rPr>
        <w:t xml:space="preserve">[شماره صفحه واقعی : 277]
</w:t>
      </w:r>
    </w:p>
    <w:p>
      <w:pPr>
        <w:sectPr>
          <w:footerReference w:type="default" r:id="rId9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الآخر کان باطلاً،و کذا لو أوقع إیجاب النکاح أو قبوله لغیره بإذن ولیّه.</w:t>
      </w:r>
    </w:p>
    <w:p>
      <w:pPr>
        <w:pStyle w:val="BookText"/>
      </w:pPr>
      <w:r>
        <w:rPr>
          <w:rFonts w:ascii="IRNazanin" w:hAnsi="IRNazanin" w:eastAsia="IRNazanin" w:cs="IRNazanin"/>
          <w:lang w:bidi="fa-IR"/>
          <w:color w:val="111111"/>
          <w:sz w:val="28"/>
          <w:szCs w:val="28"/>
          <w:rtl/>
        </w:rPr>
        <w:t xml:space="preserve">و أمّا حدیث رفع القلم،ففیه:</w:t>
      </w:r>
    </w:p>
    <w:p>
      <w:pPr>
        <w:pStyle w:val="BookText"/>
      </w:pPr>
      <w:r>
        <w:rPr>
          <w:rFonts w:ascii="IRNazanin" w:hAnsi="IRNazanin" w:eastAsia="IRNazanin" w:cs="IRNazanin"/>
          <w:lang w:bidi="fa-IR"/>
          <w:color w:val="111111"/>
          <w:sz w:val="28"/>
          <w:szCs w:val="28"/>
          <w:rtl/>
        </w:rPr>
        <w:t xml:space="preserve">أوّلاً: أنّ الظاهر منه قلم المؤاخذة،لا قلم جعل الأحکام؛و لذا بنینا-کالمشهور-علی شرعیّة عبادات الصبیّ.</w:t>
      </w:r>
    </w:p>
    <w:p>
      <w:pPr>
        <w:pStyle w:val="BookText"/>
      </w:pPr>
      <w:r>
        <w:rPr>
          <w:rFonts w:ascii="IRNazanin" w:hAnsi="IRNazanin" w:eastAsia="IRNazanin" w:cs="IRNazanin"/>
          <w:lang w:bidi="fa-IR"/>
          <w:color w:val="111111"/>
          <w:sz w:val="28"/>
          <w:szCs w:val="28"/>
          <w:rtl/>
        </w:rPr>
        <w:t xml:space="preserve">[*ستوده]</w:t>
      </w:r>
    </w:p>
    <w:p>
      <w:pPr>
        <w:pStyle w:val="BookText"/>
      </w:pPr>
      <w:r>
        <w:rPr>
          <w:rFonts w:ascii="IRNazanin" w:hAnsi="IRNazanin" w:eastAsia="IRNazanin" w:cs="IRNazanin"/>
          <w:lang w:bidi="fa-IR"/>
          <w:color w:val="111111"/>
          <w:sz w:val="28"/>
          <w:szCs w:val="28"/>
          <w:rtl/>
        </w:rPr>
        <w:t xml:space="preserve">و ثانیاً: أنّ المشهور علی الألسنة أنّ الأحکام الوضعیّة لیست مختصّة بالبالغین،فلا مانع من أن یکون عقده سبباً لوجوب الوفاء بعد البلوغ،أو علی الولیّ إذا وقع بإذنه أو إجازته،کما یکون جنابته سبباً لوجوب غسله بعد البلوغ و حرمة تمکینه من مسّ المصحف.</w:t>
      </w:r>
    </w:p>
    <w:p>
      <w:pPr>
        <w:pStyle w:val="BookText"/>
      </w:pPr>
      <w:r>
        <w:rPr>
          <w:rFonts w:ascii="IRNazanin" w:hAnsi="IRNazanin" w:eastAsia="IRNazanin" w:cs="IRNazanin"/>
          <w:lang w:bidi="fa-IR"/>
          <w:color w:val="111111"/>
          <w:sz w:val="28"/>
          <w:szCs w:val="28"/>
          <w:rtl/>
        </w:rPr>
        <w:t xml:space="preserve">و ثالثاً: لو سلّمنا اختصاص الأحکام حتّی الوضعیة بالبالغین،لکن لا مانع من کون فعل غیر البالغ موضوعاً للأحکام المجعولة فی حقّ البالغین،فیکون الفاعل-کسائر غیر البالغین-خارجاً عن ذلک الحکم إلی وقت البلوغ.</w:t>
      </w:r>
    </w:p>
    <w:p>
      <w:pPr>
        <w:pStyle w:val="BookText"/>
      </w:pPr>
      <w:r>
        <w:rPr>
          <w:rFonts w:ascii="IRNazanin" w:hAnsi="IRNazanin" w:eastAsia="IRNazanin" w:cs="IRNazanin"/>
          <w:lang w:bidi="fa-IR"/>
          <w:color w:val="111111"/>
          <w:sz w:val="28"/>
          <w:szCs w:val="28"/>
          <w:rtl/>
        </w:rPr>
        <w:t xml:space="preserve">و بالجملة،فالتمسّک بالروایة ینافی ما اشتهر بینهم من شرعیّة عبادة الصبیّ،و ما اشتهر بینهم من عدم اختصاص الأحکام الوضعیّة بالبالغین.</w:t>
      </w:r>
    </w:p>
    <w:p>
      <w:pPr>
        <w:pStyle w:val="BookText"/>
      </w:pPr>
      <w:r>
        <w:rPr>
          <w:rFonts w:ascii="IRNazanin" w:hAnsi="IRNazanin" w:eastAsia="IRNazanin" w:cs="IRNazanin"/>
          <w:lang w:bidi="fa-IR"/>
          <w:color w:val="111111"/>
          <w:sz w:val="28"/>
          <w:szCs w:val="28"/>
          <w:rtl/>
        </w:rPr>
        <w:t xml:space="preserve">فالعمدة فی سلب عبارة الصبی هو الإجماع المحکی </w:t>
      </w:r>
      <w:r>
        <w:rPr>
          <w:rStyle w:val="FootnoteReference"/>
        </w:rPr>
        <w:footnoteReference w:id="2808"/>
      </w:r>
      <w:r>
        <w:rPr>
          <w:rFonts w:ascii="IRNazanin" w:hAnsi="IRNazanin" w:eastAsia="IRNazanin" w:cs="IRNazanin"/>
          <w:lang w:bidi="fa-IR"/>
          <w:color w:val="111111"/>
          <w:sz w:val="28"/>
          <w:szCs w:val="28"/>
          <w:rtl/>
        </w:rPr>
        <w:t xml:space="preserve">،المعتضد بالشهرة العظیمة،و إلّا فالمسألة محلّ إشکال؛و لذا تردّد المحقّق فی الشرائع فی إجارة الممیّز بإذن الولیّ </w:t>
      </w:r>
      <w:r>
        <w:rPr>
          <w:rStyle w:val="FootnoteReference"/>
        </w:rPr>
        <w:footnoteReference w:id="2809"/>
      </w:r>
      <w:r>
        <w:rPr>
          <w:rFonts w:ascii="IRNazanin" w:hAnsi="IRNazanin" w:eastAsia="IRNazanin" w:cs="IRNazanin"/>
          <w:lang w:bidi="fa-IR"/>
          <w:color w:val="111111"/>
          <w:sz w:val="28"/>
          <w:szCs w:val="28"/>
          <w:rtl/>
        </w:rPr>
        <w:t xml:space="preserve">بعد ما جزم بالصحّة فی العاریة </w:t>
      </w:r>
      <w:r>
        <w:rPr>
          <w:rStyle w:val="FootnoteReference"/>
        </w:rPr>
        <w:footnoteReference w:id="2810"/>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278]
</w:t>
      </w:r>
    </w:p>
    <w:p>
      <w:pPr>
        <w:sectPr>
          <w:footerReference w:type="default" r:id="rId9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استشکل فیها فی القواعد </w:t>
      </w:r>
      <w:r>
        <w:rPr>
          <w:rStyle w:val="FootnoteReference"/>
        </w:rPr>
        <w:footnoteReference w:id="2811"/>
      </w:r>
      <w:r>
        <w:rPr>
          <w:rFonts w:ascii="IRNazanin" w:hAnsi="IRNazanin" w:eastAsia="IRNazanin" w:cs="IRNazanin"/>
          <w:lang w:bidi="fa-IR"/>
          <w:color w:val="111111"/>
          <w:sz w:val="28"/>
          <w:szCs w:val="28"/>
          <w:rtl/>
        </w:rPr>
        <w:t xml:space="preserve">و التحریر </w:t>
      </w:r>
      <w:r>
        <w:rPr>
          <w:rStyle w:val="FootnoteReference"/>
        </w:rPr>
        <w:footnoteReference w:id="28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فی القواعد:و فی صحّة بیع الممیّز بإذن الولیّ نظر </w:t>
      </w:r>
      <w:r>
        <w:rPr>
          <w:rStyle w:val="FootnoteReference"/>
        </w:rPr>
        <w:footnoteReference w:id="2813"/>
      </w:r>
      <w:r>
        <w:rPr>
          <w:rFonts w:ascii="IRNazanin" w:hAnsi="IRNazanin" w:eastAsia="IRNazanin" w:cs="IRNazanin"/>
          <w:lang w:bidi="fa-IR"/>
          <w:color w:val="111111"/>
          <w:sz w:val="28"/>
          <w:szCs w:val="28"/>
          <w:rtl/>
        </w:rPr>
        <w:t xml:space="preserve">،بل عن الفخر فی شرحه:أنّ الأقوی الصحّة؛مستدلا بأنّ العقد إذا وقع بإذن الولی کان کما لو صدر عنه </w:t>
      </w:r>
      <w:r>
        <w:rPr>
          <w:rStyle w:val="FootnoteReference"/>
        </w:rPr>
        <w:footnoteReference w:id="2814"/>
      </w:r>
      <w:r>
        <w:rPr>
          <w:rFonts w:ascii="IRNazanin" w:hAnsi="IRNazanin" w:eastAsia="IRNazanin" w:cs="IRNazanin"/>
          <w:lang w:bidi="fa-IR"/>
          <w:color w:val="111111"/>
          <w:sz w:val="28"/>
          <w:szCs w:val="28"/>
          <w:rtl/>
        </w:rPr>
        <w:t xml:space="preserve">-و لکن لم أجده فیه-و قوّاه المحقّق الأردبیلی علی ما حکی عنه </w:t>
      </w:r>
      <w:r>
        <w:rPr>
          <w:rStyle w:val="FootnoteReference"/>
        </w:rPr>
        <w:footnoteReference w:id="28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یظهر من التذکرة عدم ثبوت الإجماع عنده،حیث قال:و هل یصحّ بیع الممیّز و شراؤه؟الوجه عندی:أنّه لا یصحّ </w:t>
      </w:r>
      <w:r>
        <w:rPr>
          <w:rStyle w:val="FootnoteReference"/>
        </w:rPr>
        <w:footnoteReference w:id="28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اختار فی التحریر:صحّة بیع الصبی فی مقام اختبار رشده </w:t>
      </w:r>
      <w:r>
        <w:rPr>
          <w:rStyle w:val="FootnoteReference"/>
        </w:rPr>
        <w:footnoteReference w:id="28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ذکر المحقّق الثانی:أنّه لا یبعد بناء المسألة علی أنّ أفعال الصبیّ و أقواله شرعیّة أم لا،ثمّ حکم بأنّها غیر شرعیّة،و أنّ الأصحّ بطلان العقد </w:t>
      </w:r>
      <w:r>
        <w:rPr>
          <w:rStyle w:val="FootnoteReference"/>
        </w:rPr>
        <w:footnoteReference w:id="28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279]
</w:t>
      </w:r>
    </w:p>
    <w:p>
      <w:pPr>
        <w:sectPr>
          <w:footerReference w:type="default" r:id="rId958"/>
          <w:footnotePr>
            <w:numStart w:val="1"/>
            <w:numRestart w:val="eachPage"/>
          </w:footnotePr>
          <w:pgSz w:orient="portrait" w:w="11905.511811023622" w:h="16837.79527559055"/>
          <w:pgMar w:top="1440" w:right="1440" w:bottom="1440" w:left="1440" w:header="720" w:footer="720" w:gutter="0"/>
          <w:cols w:num="1" w:space="720"/>
        </w:sectPr>
      </w:pPr>
    </w:p>
    <w:bookmarkStart w:id="592" w:name="pg14411_143340"/>
    <w:bookmarkEnd w:id="592"/>
    <w:p>
      <w:pPr>
        <w:pStyle w:val="BookText"/>
      </w:pPr>
      <w:r>
        <w:rPr>
          <w:rFonts w:ascii="IRNazanin" w:hAnsi="IRNazanin" w:eastAsia="IRNazanin" w:cs="IRNazanin"/>
          <w:lang w:bidi="fa-IR"/>
          <w:color w:val="111111"/>
          <w:sz w:val="28"/>
          <w:szCs w:val="28"/>
          <w:rtl/>
        </w:rPr>
        <w:t xml:space="preserve">و عن المختلف أنّه حکی-فی باب المزارعة-عن القاضی کلاماً یدلّ علی صحّة بیع الصبی </w:t>
      </w:r>
      <w:r>
        <w:rPr>
          <w:rStyle w:val="FootnoteReference"/>
        </w:rPr>
        <w:footnoteReference w:id="28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بالجملة،فالمسألة لا تخلو عن إشکال،و إن أطنب بعض المعاصرین </w:t>
      </w:r>
      <w:r>
        <w:rPr>
          <w:rStyle w:val="FootnoteReference"/>
        </w:rPr>
        <w:footnoteReference w:id="2820"/>
      </w:r>
      <w:r>
        <w:rPr>
          <w:rFonts w:ascii="IRNazanin" w:hAnsi="IRNazanin" w:eastAsia="IRNazanin" w:cs="IRNazanin"/>
          <w:lang w:bidi="fa-IR"/>
          <w:color w:val="111111"/>
          <w:sz w:val="28"/>
          <w:szCs w:val="28"/>
          <w:rtl/>
        </w:rPr>
        <w:t xml:space="preserve">فی توضیحه حتّی ألحقه بالبدیهیات فی ظاهر کلامه.</w:t>
      </w:r>
    </w:p>
    <w:p>
      <w:pPr>
        <w:pStyle w:val="Heading6"/>
      </w:pPr>
      <w:bookmarkStart w:id="2193" w:name="_Toc1228"/>
      <w:r>
        <w:t>[الحجة فی المسألة هی الشهرة و الإجماع المحکی]</w:t>
      </w:r>
      <w:bookmarkEnd w:id="2193"/>
    </w:p>
    <w:p>
      <w:pPr>
        <w:pStyle w:val="BookText"/>
      </w:pPr>
      <w:r>
        <w:rPr>
          <w:rFonts w:ascii="IRNazanin" w:hAnsi="IRNazanin" w:eastAsia="IRNazanin" w:cs="IRNazanin"/>
          <w:lang w:bidi="fa-IR"/>
          <w:color w:val="111111"/>
          <w:sz w:val="28"/>
          <w:szCs w:val="28"/>
          <w:rtl/>
        </w:rPr>
        <w:t xml:space="preserve">فالإنصاف:أنّ الحجّة فی المسألة هی الشهرة المحقّقة و الإجماع المحکیّ عن التذکرة </w:t>
      </w:r>
      <w:r>
        <w:rPr>
          <w:rStyle w:val="FootnoteReference"/>
        </w:rPr>
        <w:footnoteReference w:id="2821"/>
      </w:r>
      <w:r>
        <w:rPr>
          <w:rFonts w:ascii="IRNazanin" w:hAnsi="IRNazanin" w:eastAsia="IRNazanin" w:cs="IRNazanin"/>
          <w:lang w:bidi="fa-IR"/>
          <w:color w:val="111111"/>
          <w:sz w:val="28"/>
          <w:szCs w:val="28"/>
          <w:rtl/>
        </w:rPr>
        <w:t xml:space="preserve">بناءً علی أنّ استثناء الإحرام-الذی لا یجوز إلّا بإذن الولیّ-شاهد علی أنّ مراده بالحَجر ما یشمل سلب العبارة، لا نفی الاستقلال فی التصرّف؛و کذا إجماع الغنیة </w:t>
      </w:r>
      <w:r>
        <w:rPr>
          <w:rStyle w:val="FootnoteReference"/>
        </w:rPr>
        <w:footnoteReference w:id="2822"/>
      </w:r>
      <w:r>
        <w:rPr>
          <w:rFonts w:ascii="IRNazanin" w:hAnsi="IRNazanin" w:eastAsia="IRNazanin" w:cs="IRNazanin"/>
          <w:lang w:bidi="fa-IR"/>
          <w:color w:val="111111"/>
          <w:sz w:val="28"/>
          <w:szCs w:val="28"/>
          <w:rtl/>
        </w:rPr>
        <w:t xml:space="preserve">بناءً علی أنّ استدلاله بعد الإجماع بحدیث«رفع القلم»دلیل علی شمول معقده للبیع بإذن الولیّ.</w:t>
      </w:r>
    </w:p>
    <w:p>
      <w:pPr>
        <w:pStyle w:val="BookText"/>
      </w:pPr>
      <w:r>
        <w:rPr>
          <w:rFonts w:ascii="IRNazanin" w:hAnsi="IRNazanin" w:eastAsia="IRNazanin" w:cs="IRNazanin"/>
          <w:lang w:bidi="fa-IR"/>
          <w:color w:val="111111"/>
          <w:sz w:val="28"/>
          <w:szCs w:val="28"/>
          <w:rtl/>
        </w:rPr>
        <w:t xml:space="preserve">و لیس المراد نفی صحّة البیع المتعقّب بالإجازة،حتّی یقال:إنّ الإجازة عند السیّد </w:t>
      </w:r>
      <w:r>
        <w:rPr>
          <w:rStyle w:val="FootnoteReference"/>
        </w:rPr>
        <w:footnoteReference w:id="2823"/>
      </w:r>
      <w:r>
        <w:rPr>
          <w:rFonts w:ascii="IRNazanin" w:hAnsi="IRNazanin" w:eastAsia="IRNazanin" w:cs="IRNazanin"/>
          <w:lang w:bidi="fa-IR"/>
          <w:color w:val="111111"/>
          <w:sz w:val="28"/>
          <w:szCs w:val="28"/>
          <w:rtl/>
        </w:rPr>
        <w:t xml:space="preserve">غیر مجدیة فی تصحیح مطلق العقد الصادر من غیر المستقلّ و لو کان غیر مسلوب العبارة،کالبائع الفضولی.</w:t>
      </w:r>
    </w:p>
    <w:p>
      <w:pPr>
        <w:pStyle w:val="BookText"/>
      </w:pPr>
      <w:r>
        <w:rPr>
          <w:rFonts w:ascii="IRNazanin" w:hAnsi="IRNazanin" w:eastAsia="IRNazanin" w:cs="IRNazanin"/>
          <w:lang w:bidi="fa-IR"/>
          <w:color w:val="111111"/>
          <w:sz w:val="28"/>
          <w:szCs w:val="28"/>
          <w:rtl/>
        </w:rPr>
        <w:t xml:space="preserve">و یؤیّد الإجماعین ما تقدّم عن کنز العرفان </w:t>
      </w:r>
      <w:r>
        <w:rPr>
          <w:rStyle w:val="FootnoteReference"/>
        </w:rPr>
        <w:footnoteReference w:id="2824"/>
      </w:r>
      <w:r>
        <w:rPr>
          <w:rFonts w:ascii="Times New Roman" w:hAnsi="Times New Roman" w:eastAsia="Times New Roman" w:cs="Times New Roman"/>
          <w:lang w:val="en-US" w:bidi="en-US"/>
          <w:color w:val="111111"/>
          <w:sz w:val="28"/>
          <w:szCs w:val="28"/>
          <w:rtl/>
        </w:rPr>
        <w:t xml:space="preserve">.</w:t>
      </w:r>
    </w:p>
    <w:p>
      <w:pPr>
        <w:pStyle w:val="Heading6"/>
      </w:pPr>
      <w:bookmarkStart w:id="2194" w:name="_Toc1229"/>
      <w:r>
        <w:t>[المناقشة فی تحقق الإجماع]</w:t>
      </w:r>
      <w:bookmarkEnd w:id="2194"/>
    </w:p>
    <w:p>
      <w:pPr>
        <w:pStyle w:val="BookText"/>
      </w:pPr>
      <w:r>
        <w:rPr>
          <w:rFonts w:ascii="IRNazanin" w:hAnsi="IRNazanin" w:eastAsia="IRNazanin" w:cs="IRNazanin"/>
          <w:lang w:bidi="fa-IR"/>
          <w:color w:val="111111"/>
          <w:sz w:val="28"/>
          <w:szCs w:val="28"/>
          <w:rtl/>
        </w:rPr>
        <w:t xml:space="preserve">نعم لقائلٍ أن یقول:إنّ ما عرفت من المحقّق و العلّامة و ولده</w:t>
      </w:r>
    </w:p>
    <w:p>
      <w:pPr>
        <w:pStyle w:val="BookText"/>
      </w:pPr>
      <w:r>
        <w:rPr>
          <w:rFonts w:ascii="IRNazanin" w:hAnsi="IRNazanin" w:eastAsia="IRNazanin" w:cs="IRNazanin"/>
          <w:lang w:bidi="fa-IR"/>
          <w:color w:val="111111"/>
          <w:sz w:val="28"/>
          <w:szCs w:val="28"/>
          <w:rtl/>
        </w:rPr>
        <w:t xml:space="preserve">[شماره صفحه واقعی : 280]
</w:t>
      </w:r>
    </w:p>
    <w:p>
      <w:pPr>
        <w:sectPr>
          <w:footerReference w:type="default" r:id="rId959"/>
          <w:footnotePr>
            <w:numStart w:val="1"/>
            <w:numRestart w:val="eachPage"/>
          </w:footnotePr>
          <w:pgSz w:orient="portrait" w:w="11905.511811023622" w:h="16837.79527559055"/>
          <w:pgMar w:top="1440" w:right="1440" w:bottom="1440" w:left="1440" w:header="720" w:footer="720" w:gutter="0"/>
          <w:cols w:num="1" w:space="720"/>
        </w:sectPr>
      </w:pPr>
    </w:p>
    <w:bookmarkStart w:id="593" w:name="pg14411_143341"/>
    <w:bookmarkEnd w:id="593"/>
    <w:p>
      <w:pPr>
        <w:pStyle w:val="BookText"/>
      </w:pPr>
      <w:r>
        <w:rPr>
          <w:rFonts w:ascii="IRNazanin" w:hAnsi="IRNazanin" w:eastAsia="IRNazanin" w:cs="IRNazanin"/>
          <w:lang w:bidi="fa-IR"/>
          <w:color w:val="111111"/>
          <w:sz w:val="28"/>
          <w:szCs w:val="28"/>
          <w:rtl/>
        </w:rPr>
        <w:t xml:space="preserve">و القاضی و غیرهم خصوصاً </w:t>
      </w:r>
      <w:r>
        <w:rPr>
          <w:rStyle w:val="FootnoteReference"/>
        </w:rPr>
        <w:footnoteReference w:id="2825"/>
      </w:r>
      <w:r>
        <w:rPr>
          <w:rFonts w:ascii="IRNazanin" w:hAnsi="IRNazanin" w:eastAsia="IRNazanin" w:cs="IRNazanin"/>
          <w:lang w:bidi="fa-IR"/>
          <w:color w:val="111111"/>
          <w:sz w:val="28"/>
          <w:szCs w:val="28"/>
          <w:rtl/>
        </w:rPr>
        <w:t xml:space="preserve">المحقّق الثانی </w:t>
      </w:r>
      <w:r>
        <w:rPr>
          <w:rStyle w:val="FootnoteReference"/>
        </w:rPr>
        <w:footnoteReference w:id="2826"/>
      </w:r>
      <w:r>
        <w:rPr>
          <w:rFonts w:ascii="IRNazanin" w:hAnsi="IRNazanin" w:eastAsia="IRNazanin" w:cs="IRNazanin"/>
          <w:lang w:bidi="fa-IR"/>
          <w:color w:val="111111"/>
          <w:sz w:val="28"/>
          <w:szCs w:val="28"/>
          <w:rtl/>
        </w:rPr>
        <w:t xml:space="preserve">-الذی بنی المسألة علی شرعیة أفعال الصبیّ-یدلّ علی عدم تحقّق الإجماع.</w:t>
      </w:r>
    </w:p>
    <w:p>
      <w:pPr>
        <w:pStyle w:val="BookText"/>
      </w:pPr>
      <w:r>
        <w:rPr>
          <w:rFonts w:ascii="IRNazanin" w:hAnsi="IRNazanin" w:eastAsia="IRNazanin" w:cs="IRNazanin"/>
          <w:lang w:bidi="fa-IR"/>
          <w:color w:val="111111"/>
          <w:sz w:val="28"/>
          <w:szCs w:val="28"/>
          <w:rtl/>
        </w:rPr>
        <w:t xml:space="preserve">و کیف کان،فالعمل علی المشهور </w:t>
      </w:r>
      <w:r>
        <w:rPr>
          <w:rStyle w:val="FootnoteReference"/>
        </w:rPr>
        <w:footnoteReference w:id="2827"/>
      </w:r>
      <w:r>
        <w:rPr>
          <w:rFonts w:ascii="Times New Roman" w:hAnsi="Times New Roman" w:eastAsia="Times New Roman" w:cs="Times New Roman"/>
          <w:lang w:val="en-US" w:bidi="en-US"/>
          <w:color w:val="111111"/>
          <w:sz w:val="28"/>
          <w:szCs w:val="28"/>
          <w:rtl/>
        </w:rPr>
        <w:t xml:space="preserve">.</w:t>
      </w:r>
    </w:p>
    <w:p>
      <w:pPr>
        <w:pStyle w:val="Heading6"/>
      </w:pPr>
      <w:bookmarkStart w:id="2195" w:name="_Toc1230"/>
      <w:r>
        <w:t>[ما یستأنس به للبطلان]</w:t>
      </w:r>
      <w:bookmarkEnd w:id="2195"/>
    </w:p>
    <w:p>
      <w:pPr>
        <w:pStyle w:val="BookText"/>
      </w:pPr>
      <w:r>
        <w:rPr>
          <w:rFonts w:ascii="IRNazanin" w:hAnsi="IRNazanin" w:eastAsia="IRNazanin" w:cs="IRNazanin"/>
          <w:lang w:bidi="fa-IR"/>
          <w:color w:val="111111"/>
          <w:sz w:val="28"/>
          <w:szCs w:val="28"/>
          <w:rtl/>
        </w:rPr>
        <w:t xml:space="preserve">و یمکن </w:t>
      </w:r>
      <w:r>
        <w:rPr>
          <w:rStyle w:val="FootnoteReference"/>
        </w:rPr>
        <w:footnoteReference w:id="2828"/>
      </w:r>
      <w:r>
        <w:rPr>
          <w:rFonts w:ascii="IRNazanin" w:hAnsi="IRNazanin" w:eastAsia="IRNazanin" w:cs="IRNazanin"/>
          <w:lang w:bidi="fa-IR"/>
          <w:color w:val="111111"/>
          <w:sz w:val="28"/>
          <w:szCs w:val="28"/>
          <w:rtl/>
        </w:rPr>
        <w:t xml:space="preserve">أن یستأنس له أیضاً بما ورد فی الأخبار المستفیضة من أنّ«عمد الصبی و خطأه واحد»کما فی صحیحة ابن مسلم </w:t>
      </w:r>
      <w:r>
        <w:rPr>
          <w:rStyle w:val="FootnoteReference"/>
        </w:rPr>
        <w:footnoteReference w:id="2829"/>
      </w:r>
      <w:r>
        <w:rPr>
          <w:rFonts w:ascii="IRNazanin" w:hAnsi="IRNazanin" w:eastAsia="IRNazanin" w:cs="IRNazanin"/>
          <w:lang w:bidi="fa-IR"/>
          <w:color w:val="111111"/>
          <w:sz w:val="28"/>
          <w:szCs w:val="28"/>
          <w:rtl/>
        </w:rPr>
        <w:t xml:space="preserve">و غیرها </w:t>
      </w:r>
      <w:r>
        <w:rPr>
          <w:rStyle w:val="FootnoteReference"/>
        </w:rPr>
        <w:footnoteReference w:id="2830"/>
      </w:r>
      <w:r>
        <w:rPr>
          <w:rFonts w:ascii="IRNazanin" w:hAnsi="IRNazanin" w:eastAsia="IRNazanin" w:cs="IRNazanin"/>
          <w:lang w:bidi="fa-IR"/>
          <w:color w:val="111111"/>
          <w:sz w:val="28"/>
          <w:szCs w:val="28"/>
          <w:rtl/>
        </w:rPr>
        <w:t xml:space="preserve">، و الأصحاب و إن ذکروها فی باب الجنایات،إلّا أنّه لا إشعار فی نفس الصحیحة-بل و غیرها-بالاختصاص بالجنایات؛و لذا تمسّک بها الشیخ فی المبسوط </w:t>
      </w:r>
      <w:r>
        <w:rPr>
          <w:rStyle w:val="FootnoteReference"/>
        </w:rPr>
        <w:footnoteReference w:id="2831"/>
      </w:r>
      <w:r>
        <w:rPr>
          <w:rFonts w:ascii="IRNazanin" w:hAnsi="IRNazanin" w:eastAsia="IRNazanin" w:cs="IRNazanin"/>
          <w:lang w:bidi="fa-IR"/>
          <w:color w:val="111111"/>
          <w:sz w:val="28"/>
          <w:szCs w:val="28"/>
          <w:rtl/>
        </w:rPr>
        <w:t xml:space="preserve">و الحلّی فی السرائر </w:t>
      </w:r>
      <w:r>
        <w:rPr>
          <w:rStyle w:val="FootnoteReference"/>
        </w:rPr>
        <w:footnoteReference w:id="2832"/>
      </w:r>
      <w:r>
        <w:rPr>
          <w:rFonts w:ascii="IRNazanin" w:hAnsi="IRNazanin" w:eastAsia="IRNazanin" w:cs="IRNazanin"/>
          <w:lang w:bidi="fa-IR"/>
          <w:color w:val="111111"/>
          <w:sz w:val="28"/>
          <w:szCs w:val="28"/>
          <w:rtl/>
        </w:rPr>
        <w:t xml:space="preserve">،علی أنّ إخلال الصبیّ المُحرِم بمحظورات الإحرام-التی تختصّ الکفارة فیها </w:t>
      </w:r>
      <w:r>
        <w:rPr>
          <w:rStyle w:val="FootnoteReference"/>
        </w:rPr>
        <w:footnoteReference w:id="2833"/>
      </w:r>
      <w:r>
        <w:rPr>
          <w:rFonts w:ascii="IRNazanin" w:hAnsi="IRNazanin" w:eastAsia="IRNazanin" w:cs="IRNazanin"/>
          <w:lang w:bidi="fa-IR"/>
          <w:color w:val="111111"/>
          <w:sz w:val="28"/>
          <w:szCs w:val="28"/>
          <w:rtl/>
        </w:rPr>
        <w:t xml:space="preserve">بحال التعمّد-لا یوجب کفارةً علی الصبیّ،و لا علی الولیّ؛لأنّ عمده خطأ.</w:t>
      </w:r>
    </w:p>
    <w:p>
      <w:pPr>
        <w:pStyle w:val="BookText"/>
      </w:pPr>
      <w:r>
        <w:rPr>
          <w:rFonts w:ascii="IRNazanin" w:hAnsi="IRNazanin" w:eastAsia="IRNazanin" w:cs="IRNazanin"/>
          <w:lang w:bidi="fa-IR"/>
          <w:color w:val="111111"/>
          <w:sz w:val="28"/>
          <w:szCs w:val="28"/>
          <w:rtl/>
        </w:rPr>
        <w:t xml:space="preserve">[شماره صفحه واقعی : 281]
</w:t>
      </w:r>
    </w:p>
    <w:p>
      <w:pPr>
        <w:sectPr>
          <w:footerReference w:type="default" r:id="rId960"/>
          <w:footnotePr>
            <w:numStart w:val="1"/>
            <w:numRestart w:val="eachPage"/>
          </w:footnotePr>
          <w:pgSz w:orient="portrait" w:w="11905.511811023622" w:h="16837.79527559055"/>
          <w:pgMar w:top="1440" w:right="1440" w:bottom="1440" w:left="1440" w:header="720" w:footer="720" w:gutter="0"/>
          <w:cols w:num="1" w:space="720"/>
        </w:sectPr>
      </w:pPr>
    </w:p>
    <w:bookmarkStart w:id="594" w:name="pg14411_143342"/>
    <w:bookmarkEnd w:id="594"/>
    <w:p>
      <w:pPr>
        <w:pStyle w:val="BookText"/>
      </w:pPr>
      <w:r>
        <w:rPr>
          <w:rFonts w:ascii="IRNazanin" w:hAnsi="IRNazanin" w:eastAsia="IRNazanin" w:cs="IRNazanin"/>
          <w:lang w:bidi="fa-IR"/>
          <w:color w:val="111111"/>
          <w:sz w:val="28"/>
          <w:szCs w:val="28"/>
          <w:rtl/>
        </w:rPr>
        <w:t xml:space="preserve">و حینئذٍ فکلّ حکمٍ شرعیٍّ تعلّق بالأفعال التی یعتبر فی ترتّب الحکم الشرعی علیها القصد-بحیث لا عبرة بها إذا وقعت بغیر القصد- فما یصدر منها عن الصبیّ قصداً بمنزلة الصادر عن غیره بلا قصد،فعقد الصبی و إیقاعه مع القصد کعقد الهازل و الغالط و الخاطئ و إیقاعاتهم.</w:t>
      </w:r>
    </w:p>
    <w:p>
      <w:pPr>
        <w:pStyle w:val="Heading6"/>
      </w:pPr>
      <w:bookmarkStart w:id="2196" w:name="_Toc1231"/>
      <w:r>
        <w:t>[استظهار البطلان من حدیث رفع القلم]</w:t>
      </w:r>
      <w:bookmarkEnd w:id="2196"/>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[*ستوده]</w:t>
      </w:r>
    </w:p>
    <w:p>
      <w:pPr>
        <w:pStyle w:val="BookText"/>
      </w:pPr>
      <w:r>
        <w:rPr>
          <w:rFonts w:ascii="IRNazanin" w:hAnsi="IRNazanin" w:eastAsia="IRNazanin" w:cs="IRNazanin"/>
          <w:lang w:bidi="fa-IR"/>
          <w:color w:val="111111"/>
          <w:sz w:val="28"/>
          <w:szCs w:val="28"/>
          <w:rtl/>
        </w:rPr>
        <w:t xml:space="preserve">بل یمکن بملاحظة بعض ما ورد من هذه الأخبار فی قتل المجنون و الصبی استظهار المطلب من حدیث«رفع القلم»و هو ما عن قرب الإسناد بسنده عن أبی البختری،عن جعفر،عن أبیه،عن علی علیه السلام، أنّه کان یقول[فی </w:t>
      </w:r>
      <w:r>
        <w:rPr>
          <w:rStyle w:val="FootnoteReference"/>
        </w:rPr>
        <w:footnoteReference w:id="2834"/>
      </w:r>
      <w:r>
        <w:rPr>
          <w:rFonts w:ascii="IRNazanin" w:hAnsi="IRNazanin" w:eastAsia="IRNazanin" w:cs="IRNazanin"/>
          <w:lang w:bidi="fa-IR"/>
          <w:color w:val="111111"/>
          <w:sz w:val="28"/>
          <w:szCs w:val="28"/>
          <w:rtl/>
        </w:rPr>
        <w:t xml:space="preserve">]المجنون و المعتوه الذی لا یفیق،و الصبی الذی لم یبلغ:«عمدهما خطأ تحمله العاقلة و قد رفع عنهما القلم </w:t>
      </w:r>
      <w:r>
        <w:rPr>
          <w:rStyle w:val="FootnoteReference"/>
        </w:rPr>
        <w:footnoteReference w:id="2835"/>
      </w:r>
      <w:r>
        <w:rPr>
          <w:rFonts w:ascii="Times New Roman" w:hAnsi="Times New Roman" w:eastAsia="Times New Roman" w:cs="Times New Roman"/>
          <w:lang w:val="en-US" w:bidi="en-US"/>
          <w:color w:val="111111"/>
          <w:sz w:val="28"/>
          <w:szCs w:val="28"/>
          <w:rtl/>
        </w:rPr>
        <w:t xml:space="preserve">» </w:t>
      </w:r>
      <w:r>
        <w:rPr>
          <w:rStyle w:val="FootnoteReference"/>
        </w:rPr>
        <w:footnoteReference w:id="2836"/>
      </w:r>
      <w:r>
        <w:rPr>
          <w:rFonts w:ascii="IRNazanin" w:hAnsi="IRNazanin" w:eastAsia="IRNazanin" w:cs="IRNazanin"/>
          <w:lang w:bidi="fa-IR"/>
          <w:color w:val="111111"/>
          <w:sz w:val="28"/>
          <w:szCs w:val="28"/>
          <w:rtl/>
        </w:rPr>
        <w:t xml:space="preserve">فإنّ ذکر«رفع القلم»فی الذیل لیس له وجه ارتباط إلّا بأن تکون علّة لأصل الحکم،و هو ثبوت الدیة علی العاقلة،أو بأن تکون معلولة </w:t>
      </w:r>
      <w:r>
        <w:rPr>
          <w:rStyle w:val="FootnoteReference"/>
        </w:rPr>
        <w:footnoteReference w:id="2837"/>
      </w:r>
      <w:r>
        <w:rPr>
          <w:rFonts w:ascii="IRNazanin" w:hAnsi="IRNazanin" w:eastAsia="IRNazanin" w:cs="IRNazanin"/>
          <w:lang w:bidi="fa-IR"/>
          <w:color w:val="111111"/>
          <w:sz w:val="28"/>
          <w:szCs w:val="28"/>
          <w:rtl/>
        </w:rPr>
        <w:t xml:space="preserve">لقوله:«عمدهما خطأ»،یعنی أنّه لمّا کان قصدهما بمنزلة العدم فی نظر الشارع و فی الواقع رفع القلم عنهما.</w:t>
      </w:r>
    </w:p>
    <w:p>
      <w:pPr>
        <w:pStyle w:val="BookText"/>
      </w:pPr>
      <w:r>
        <w:rPr>
          <w:rFonts w:ascii="IRNazanin" w:hAnsi="IRNazanin" w:eastAsia="IRNazanin" w:cs="IRNazanin"/>
          <w:lang w:bidi="fa-IR"/>
          <w:color w:val="111111"/>
          <w:sz w:val="28"/>
          <w:szCs w:val="28"/>
          <w:rtl/>
        </w:rPr>
        <w:t xml:space="preserve">و لا یخفی أنّ ارتباطها </w:t>
      </w:r>
      <w:r>
        <w:rPr>
          <w:rStyle w:val="FootnoteReference"/>
        </w:rPr>
        <w:footnoteReference w:id="2838"/>
      </w:r>
      <w:r>
        <w:rPr>
          <w:rFonts w:ascii="IRNazanin" w:hAnsi="IRNazanin" w:eastAsia="IRNazanin" w:cs="IRNazanin"/>
          <w:lang w:bidi="fa-IR"/>
          <w:color w:val="111111"/>
          <w:sz w:val="28"/>
          <w:szCs w:val="28"/>
          <w:rtl/>
        </w:rPr>
        <w:t xml:space="preserve">بالکلام علی وجه العلّیة أو المعلولیّة </w:t>
      </w:r>
      <w:r>
        <w:rPr>
          <w:rStyle w:val="FootnoteReference"/>
        </w:rPr>
        <w:footnoteReference w:id="2839"/>
      </w:r>
    </w:p>
    <w:p>
      <w:pPr>
        <w:pStyle w:val="BookText"/>
      </w:pPr>
      <w:r>
        <w:rPr>
          <w:rFonts w:ascii="IRNazanin" w:hAnsi="IRNazanin" w:eastAsia="IRNazanin" w:cs="IRNazanin"/>
          <w:lang w:bidi="fa-IR"/>
          <w:color w:val="111111"/>
          <w:sz w:val="28"/>
          <w:szCs w:val="28"/>
          <w:rtl/>
        </w:rPr>
        <w:t xml:space="preserve">[شماره صفحه واقعی : 282]
</w:t>
      </w:r>
    </w:p>
    <w:p>
      <w:pPr>
        <w:sectPr>
          <w:footerReference w:type="default" r:id="rId9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للحکم المذکور فی الروایة-أعنی عدم مؤاخذة الصبی و المجنون-بمقتضی جنایة العمد و هو القصاص،و لا بمقتضی شبه العمد-و هو الدیة فی مالهما-لا یستقیم إلّا بأن یراد من«رفع القلم»ارتفاع المؤاخذة عنهما شرعاً من حیث العقوبة الأُخرویة و الدنیویة المتعلّقة بالنفس -کالقصاص-،أو المال-کغرامة الدیة-و عدم ترتّب ذلک علی أفعالهما المقصودة المتعمّد إلیها ممّا </w:t>
      </w:r>
      <w:r>
        <w:rPr>
          <w:rStyle w:val="FootnoteReference"/>
        </w:rPr>
        <w:footnoteReference w:id="2840"/>
      </w:r>
      <w:r>
        <w:rPr>
          <w:rFonts w:ascii="IRNazanin" w:hAnsi="IRNazanin" w:eastAsia="IRNazanin" w:cs="IRNazanin"/>
          <w:lang w:bidi="fa-IR"/>
          <w:color w:val="111111"/>
          <w:sz w:val="28"/>
          <w:szCs w:val="28"/>
          <w:rtl/>
        </w:rPr>
        <w:t xml:space="preserve">لو وقع من غیرهما مع القصد و التعمّد لترتّبت علیه غرامة أُخرویة أو دنیویة.</w:t>
      </w:r>
    </w:p>
    <w:p>
      <w:pPr>
        <w:pStyle w:val="BookText"/>
      </w:pPr>
      <w:r>
        <w:rPr>
          <w:rFonts w:ascii="IRNazanin" w:hAnsi="IRNazanin" w:eastAsia="IRNazanin" w:cs="IRNazanin"/>
          <w:lang w:bidi="fa-IR"/>
          <w:color w:val="111111"/>
          <w:sz w:val="28"/>
          <w:szCs w:val="28"/>
          <w:rtl/>
        </w:rPr>
        <w:t xml:space="preserve">و علی هذا،فإذا التزم علی نفسه مالاً بإقرارٍ أو معاوضةٍ و لو بإذن الولیّ،فلا أثر له </w:t>
      </w:r>
      <w:r>
        <w:rPr>
          <w:rStyle w:val="FootnoteReference"/>
        </w:rPr>
        <w:footnoteReference w:id="2841"/>
      </w:r>
      <w:r>
        <w:rPr>
          <w:rFonts w:ascii="IRNazanin" w:hAnsi="IRNazanin" w:eastAsia="IRNazanin" w:cs="IRNazanin"/>
          <w:lang w:bidi="fa-IR"/>
          <w:color w:val="111111"/>
          <w:sz w:val="28"/>
          <w:szCs w:val="28"/>
          <w:rtl/>
        </w:rPr>
        <w:t xml:space="preserve">فی إلزامه بالمال و مؤاخذته به و لو بعد البلوغ </w:t>
      </w:r>
      <w:r>
        <w:rPr>
          <w:rStyle w:val="FootnoteReference"/>
        </w:rPr>
        <w:footnoteReference w:id="2842"/>
      </w:r>
      <w:r>
        <w:rPr>
          <w:rFonts w:ascii="IRNazanin" w:hAnsi="IRNazanin" w:eastAsia="IRNazanin" w:cs="IRNazanin"/>
          <w:lang w:bidi="fa-IR"/>
          <w:color w:val="111111"/>
          <w:sz w:val="28"/>
          <w:szCs w:val="28"/>
          <w:rtl/>
        </w:rPr>
        <w:t xml:space="preserve">.فإذا لم یلزمه شیء بالتزاماته و لو کانت بإذن الولی، فلیس ذلک إلّا لسلب قصده و عدم العبرة بإنشائه؛إذ لو کان ذلک لأجل عدم </w:t>
      </w:r>
      <w:r>
        <w:rPr>
          <w:rStyle w:val="FootnoteReference"/>
        </w:rPr>
        <w:footnoteReference w:id="2843"/>
      </w:r>
      <w:r>
        <w:rPr>
          <w:rFonts w:ascii="IRNazanin" w:hAnsi="IRNazanin" w:eastAsia="IRNazanin" w:cs="IRNazanin"/>
          <w:lang w:bidi="fa-IR"/>
          <w:color w:val="111111"/>
          <w:sz w:val="28"/>
          <w:szCs w:val="28"/>
          <w:rtl/>
        </w:rPr>
        <w:t xml:space="preserve">استقلاله و حجره عن الالتزامات علی نفسه،لم یکن عدم المؤاخذة شاملاً لصورة إذن الولیّ،و قد فرضنا الحکم مطلقاً، فیدلّ بالالتزام علی کون قصده فی إنشاءاته و إخباراته مسلوب الأثر.</w:t>
      </w:r>
    </w:p>
    <w:p>
      <w:pPr>
        <w:pStyle w:val="BookText"/>
      </w:pPr>
      <w:r>
        <w:rPr>
          <w:rFonts w:ascii="IRNazanin" w:hAnsi="IRNazanin" w:eastAsia="IRNazanin" w:cs="IRNazanin"/>
          <w:lang w:bidi="fa-IR"/>
          <w:color w:val="111111"/>
          <w:sz w:val="28"/>
          <w:szCs w:val="28"/>
          <w:rtl/>
        </w:rPr>
        <w:t xml:space="preserve">ثمّ إنّ مقتضی عموم هذه الفقرة-بناءً علی کونها علّة للحکم-:</w:t>
      </w:r>
    </w:p>
    <w:p>
      <w:pPr>
        <w:pStyle w:val="BookText"/>
      </w:pPr>
      <w:r>
        <w:rPr>
          <w:rFonts w:ascii="IRNazanin" w:hAnsi="IRNazanin" w:eastAsia="IRNazanin" w:cs="IRNazanin"/>
          <w:lang w:bidi="fa-IR"/>
          <w:color w:val="111111"/>
          <w:sz w:val="28"/>
          <w:szCs w:val="28"/>
          <w:rtl/>
        </w:rPr>
        <w:t xml:space="preserve">عدم مؤاخذتهما بالإتلاف الحاصل منهما،کما هو ظاهر المحکی عن بعض</w:t>
      </w:r>
    </w:p>
    <w:p>
      <w:pPr>
        <w:pStyle w:val="BookText"/>
      </w:pPr>
      <w:r>
        <w:rPr>
          <w:rFonts w:ascii="IRNazanin" w:hAnsi="IRNazanin" w:eastAsia="IRNazanin" w:cs="IRNazanin"/>
          <w:lang w:bidi="fa-IR"/>
          <w:color w:val="111111"/>
          <w:sz w:val="28"/>
          <w:szCs w:val="28"/>
          <w:rtl/>
        </w:rPr>
        <w:t xml:space="preserve">[شماره صفحه واقعی : 283]
</w:t>
      </w:r>
    </w:p>
    <w:p>
      <w:pPr>
        <w:sectPr>
          <w:footerReference w:type="default" r:id="rId962"/>
          <w:footnotePr>
            <w:numStart w:val="1"/>
            <w:numRestart w:val="eachPage"/>
          </w:footnotePr>
          <w:pgSz w:orient="portrait" w:w="11905.511811023622" w:h="16837.79527559055"/>
          <w:pgMar w:top="1440" w:right="1440" w:bottom="1440" w:left="1440" w:header="720" w:footer="720" w:gutter="0"/>
          <w:cols w:num="1" w:space="720"/>
        </w:sectPr>
      </w:pPr>
    </w:p>
    <w:bookmarkStart w:id="595" w:name="pg14411_143344"/>
    <w:bookmarkEnd w:id="595"/>
    <w:p>
      <w:pPr>
        <w:pStyle w:val="BookText"/>
      </w:pPr>
      <w:r>
        <w:rPr>
          <w:rFonts w:ascii="IRNazanin" w:hAnsi="IRNazanin" w:eastAsia="IRNazanin" w:cs="IRNazanin"/>
          <w:lang w:bidi="fa-IR"/>
          <w:color w:val="111111"/>
          <w:sz w:val="28"/>
          <w:szCs w:val="28"/>
          <w:rtl/>
        </w:rPr>
        <w:t xml:space="preserve">إلّا أن یلتزم بخروج ذلک من </w:t>
      </w:r>
      <w:r>
        <w:rPr>
          <w:rStyle w:val="FootnoteReference"/>
        </w:rPr>
        <w:footnoteReference w:id="2844"/>
      </w:r>
      <w:r>
        <w:rPr>
          <w:rFonts w:ascii="IRNazanin" w:hAnsi="IRNazanin" w:eastAsia="IRNazanin" w:cs="IRNazanin"/>
          <w:lang w:bidi="fa-IR"/>
          <w:color w:val="111111"/>
          <w:sz w:val="28"/>
          <w:szCs w:val="28"/>
          <w:rtl/>
        </w:rPr>
        <w:t xml:space="preserve">عموم رفع القلم،و لا یخلو عن </w:t>
      </w:r>
      <w:r>
        <w:rPr>
          <w:rStyle w:val="FootnoteReference"/>
        </w:rPr>
        <w:footnoteReference w:id="2845"/>
      </w:r>
      <w:r>
        <w:rPr>
          <w:rFonts w:ascii="Amiri" w:hAnsi="Amiri" w:eastAsia="Amiri" w:cs="Amiri"/>
          <w:lang w:bidi="ar-SA"/>
          <w:color w:val="111111"/>
          <w:sz w:val="28"/>
          <w:szCs w:val="28"/>
          <w:rtl/>
        </w:rPr>
        <w:t xml:space="preserve">بُعد.</w:t>
      </w:r>
    </w:p>
    <w:p>
      <w:pPr>
        <w:pStyle w:val="BookText"/>
      </w:pPr>
      <w:r>
        <w:rPr>
          <w:rFonts w:ascii="IRNazanin" w:hAnsi="IRNazanin" w:eastAsia="IRNazanin" w:cs="IRNazanin"/>
          <w:lang w:bidi="fa-IR"/>
          <w:color w:val="111111"/>
          <w:sz w:val="28"/>
          <w:szCs w:val="28"/>
          <w:rtl/>
        </w:rPr>
        <w:t xml:space="preserve">لکن </w:t>
      </w:r>
      <w:r>
        <w:rPr>
          <w:rStyle w:val="FootnoteReference"/>
        </w:rPr>
        <w:footnoteReference w:id="2846"/>
      </w:r>
      <w:r>
        <w:rPr>
          <w:rFonts w:ascii="IRNazanin" w:hAnsi="IRNazanin" w:eastAsia="IRNazanin" w:cs="IRNazanin"/>
          <w:lang w:bidi="fa-IR"/>
          <w:color w:val="111111"/>
          <w:sz w:val="28"/>
          <w:szCs w:val="28"/>
          <w:rtl/>
        </w:rPr>
        <w:t xml:space="preserve">هذا غیر واردٍ علی الاستدلال؛لأنّه لیس مبنیّاً علی کون «رفع القلم»علّة للحکم؛لما عرفت </w:t>
      </w:r>
      <w:r>
        <w:rPr>
          <w:rStyle w:val="FootnoteReference"/>
        </w:rPr>
        <w:footnoteReference w:id="2847"/>
      </w:r>
      <w:r>
        <w:rPr>
          <w:rFonts w:ascii="IRNazanin" w:hAnsi="IRNazanin" w:eastAsia="IRNazanin" w:cs="IRNazanin"/>
          <w:lang w:bidi="fa-IR"/>
          <w:color w:val="111111"/>
          <w:sz w:val="28"/>
          <w:szCs w:val="28"/>
          <w:rtl/>
        </w:rPr>
        <w:t xml:space="preserve">من احتمال کونه معلولاً لسلب اعتبار قصد الصبیّ و المجنون،فیختصّ رفع قلم المؤاخذة بالأفعال التی یعتبر فی المؤاخذة علیها قصد الفاعل فیخرج مثل الإتلاف،فافهم و اغتنم.</w:t>
      </w:r>
    </w:p>
    <w:p>
      <w:pPr>
        <w:pStyle w:val="BookText"/>
      </w:pPr>
      <w:r>
        <w:rPr>
          <w:rFonts w:ascii="IRNazanin" w:hAnsi="IRNazanin" w:eastAsia="IRNazanin" w:cs="IRNazanin"/>
          <w:lang w:bidi="fa-IR"/>
          <w:color w:val="111111"/>
          <w:sz w:val="28"/>
          <w:szCs w:val="28"/>
          <w:rtl/>
        </w:rPr>
        <w:t xml:space="preserve">ثمّ إنّ القلم المرفوع هو قلم المؤاخذة الموضوع علی البالغین، فلا ینافی ثبوت بعض العقوبات للصبی،کالتعزیر.</w:t>
      </w:r>
    </w:p>
    <w:p>
      <w:pPr>
        <w:pStyle w:val="Heading6"/>
      </w:pPr>
      <w:bookmarkStart w:id="2197" w:name="_Toc1232"/>
      <w:r>
        <w:t>[رأی المؤلف فی المسألة و دلیله]</w:t>
      </w:r>
      <w:bookmarkEnd w:id="2197"/>
    </w:p>
    <w:p>
      <w:pPr>
        <w:pStyle w:val="BookText"/>
      </w:pPr>
      <w:r>
        <w:rPr>
          <w:rFonts w:ascii="IRNazanin" w:hAnsi="IRNazanin" w:eastAsia="IRNazanin" w:cs="IRNazanin"/>
          <w:lang w:bidi="fa-IR"/>
          <w:color w:val="111111"/>
          <w:sz w:val="28"/>
          <w:szCs w:val="28"/>
          <w:rtl/>
        </w:rPr>
        <w:t xml:space="preserve">و الحاصل:أنّ مقتضی ما تقدّم </w:t>
      </w:r>
      <w:r>
        <w:rPr>
          <w:rStyle w:val="FootnoteReference"/>
        </w:rPr>
        <w:footnoteReference w:id="2848"/>
      </w:r>
      <w:r>
        <w:rPr>
          <w:rFonts w:ascii="IRNazanin" w:hAnsi="IRNazanin" w:eastAsia="IRNazanin" w:cs="IRNazanin"/>
          <w:lang w:bidi="fa-IR"/>
          <w:color w:val="111111"/>
          <w:sz w:val="28"/>
          <w:szCs w:val="28"/>
          <w:rtl/>
        </w:rPr>
        <w:t xml:space="preserve">من الإجماع المحکی فی البیع و غیره من العقود،و الأخبار المتقدّمة </w:t>
      </w:r>
      <w:r>
        <w:rPr>
          <w:rStyle w:val="FootnoteReference"/>
        </w:rPr>
        <w:footnoteReference w:id="2849"/>
      </w:r>
      <w:r>
        <w:rPr>
          <w:rFonts w:ascii="IRNazanin" w:hAnsi="IRNazanin" w:eastAsia="IRNazanin" w:cs="IRNazanin"/>
          <w:lang w:bidi="fa-IR"/>
          <w:color w:val="111111"/>
          <w:sz w:val="28"/>
          <w:szCs w:val="28"/>
          <w:rtl/>
        </w:rPr>
        <w:t xml:space="preserve">-بعد انضمام بعضها إلی بعض-:</w:t>
      </w:r>
    </w:p>
    <w:p>
      <w:pPr>
        <w:pStyle w:val="BookText"/>
      </w:pPr>
      <w:r>
        <w:rPr>
          <w:rFonts w:ascii="IRNazanin" w:hAnsi="IRNazanin" w:eastAsia="IRNazanin" w:cs="IRNazanin"/>
          <w:lang w:bidi="fa-IR"/>
          <w:color w:val="111111"/>
          <w:sz w:val="28"/>
          <w:szCs w:val="28"/>
          <w:rtl/>
        </w:rPr>
        <w:t xml:space="preserve">عدم الاعتبار بما یصدر من الصبیّ من الأفعال المعتبر فیها القصد إلی مقتضاها،کإنشاء العقود أصالةً و وکالةً،و القبض و الإقباض،و کلّ التزام علی نفسه من ضمانٍ أو إقرارٍ أو نذرٍ أو إیجار.</w:t>
      </w:r>
    </w:p>
    <w:p>
      <w:pPr>
        <w:pStyle w:val="BookText"/>
      </w:pPr>
      <w:r>
        <w:rPr>
          <w:rFonts w:ascii="IRNazanin" w:hAnsi="IRNazanin" w:eastAsia="IRNazanin" w:cs="IRNazanin"/>
          <w:lang w:bidi="fa-IR"/>
          <w:color w:val="111111"/>
          <w:sz w:val="28"/>
          <w:szCs w:val="28"/>
          <w:rtl/>
        </w:rPr>
        <w:t xml:space="preserve">[شماره صفحه واقعی : 284]
</w:t>
      </w:r>
    </w:p>
    <w:p>
      <w:pPr>
        <w:sectPr>
          <w:footerReference w:type="default" r:id="rId963"/>
          <w:footnotePr>
            <w:numStart w:val="1"/>
            <w:numRestart w:val="eachPage"/>
          </w:footnotePr>
          <w:pgSz w:orient="portrait" w:w="11905.511811023622" w:h="16837.79527559055"/>
          <w:pgMar w:top="1440" w:right="1440" w:bottom="1440" w:left="1440" w:header="720" w:footer="720" w:gutter="0"/>
          <w:cols w:num="1" w:space="720"/>
        </w:sectPr>
      </w:pPr>
    </w:p>
    <w:bookmarkStart w:id="596" w:name="pg14411_143345"/>
    <w:bookmarkEnd w:id="596"/>
    <w:p>
      <w:pPr>
        <w:pStyle w:val="Heading6"/>
      </w:pPr>
      <w:bookmarkStart w:id="2198" w:name="_Toc1233"/>
      <w:r>
        <w:t>[کلام العلامة فی عدم صحة تصرفات الصبی]</w:t>
      </w:r>
      <w:bookmarkEnd w:id="2198"/>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[*ستوده]</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2850"/>
      </w:r>
      <w:r>
        <w:rPr>
          <w:rFonts w:ascii="IRNazanin" w:hAnsi="IRNazanin" w:eastAsia="IRNazanin" w:cs="IRNazanin"/>
          <w:lang w:bidi="fa-IR"/>
          <w:color w:val="111111"/>
          <w:sz w:val="28"/>
          <w:szCs w:val="28"/>
          <w:rtl/>
        </w:rPr>
        <w:t xml:space="preserve">فی التذکرة </w:t>
      </w:r>
      <w:r>
        <w:rPr>
          <w:rStyle w:val="FootnoteReference"/>
        </w:rPr>
        <w:footnoteReference w:id="2851"/>
      </w:r>
      <w:r>
        <w:rPr>
          <w:rFonts w:ascii="IRNazanin" w:hAnsi="IRNazanin" w:eastAsia="IRNazanin" w:cs="IRNazanin"/>
          <w:lang w:bidi="fa-IR"/>
          <w:color w:val="111111"/>
          <w:sz w:val="28"/>
          <w:szCs w:val="28"/>
          <w:rtl/>
        </w:rPr>
        <w:t xml:space="preserve">:و کما لا یصحّ تصرّفاته اللفظیة،کذا لا یصحّ قبضه،و لا یفید حصول الملک فی الهبة و إن اتهب له الولی،و لا لغیره و إن أذن الموهوب له بالقبض،و لو قال مستحقّ الدین للمدیون:سلّم حقّی إلی هذا </w:t>
      </w:r>
      <w:r>
        <w:rPr>
          <w:rStyle w:val="FootnoteReference"/>
        </w:rPr>
        <w:footnoteReference w:id="2852"/>
      </w:r>
      <w:r>
        <w:rPr>
          <w:rFonts w:ascii="Amiri" w:hAnsi="Amiri" w:eastAsia="Amiri" w:cs="Amiri"/>
          <w:lang w:bidi="ar-SA"/>
          <w:color w:val="111111"/>
          <w:sz w:val="28"/>
          <w:szCs w:val="28"/>
          <w:rtl/>
        </w:rPr>
        <w:t xml:space="preserve">الصبیّ،فسلّم مقدار </w:t>
      </w:r>
      <w:r>
        <w:rPr>
          <w:rStyle w:val="FootnoteReference"/>
        </w:rPr>
        <w:footnoteReference w:id="2853"/>
      </w:r>
      <w:r>
        <w:rPr>
          <w:rFonts w:ascii="IRNazanin" w:hAnsi="IRNazanin" w:eastAsia="IRNazanin" w:cs="IRNazanin"/>
          <w:lang w:bidi="fa-IR"/>
          <w:color w:val="111111"/>
          <w:sz w:val="28"/>
          <w:szCs w:val="28"/>
          <w:rtl/>
        </w:rPr>
        <w:t xml:space="preserve">حقّه إلیه،لم یبرأ عن الدین و بقی المقبوض علی ملکه،و لا ضمان علی الصبیّ؛لأنّ المالک ضیّعه حیث دفعه إلیه،و بقی الدین لأنّه فی الذمّة و لا یتعیّن إلّا بقبض صحیح،کما لو قال:ارمِ حقّی فی البحر،فرمی مقدار حقّه،بخلاف ما لو قال للمستودع:سلّم مالی إلی الصبیّ أو ألقِه فی البحر؛لأنّه امتثل أمره فی حقّه المعیّن،و لو کانت الودیعة للصبی فسلّمها إلیه ضمن و إن کان بإذن الولی؛إذ لیس له تضییعها بإذن الولی.</w:t>
      </w:r>
    </w:p>
    <w:p>
      <w:pPr>
        <w:pStyle w:val="BookText"/>
      </w:pPr>
      <w:r>
        <w:rPr>
          <w:rFonts w:ascii="IRNazanin" w:hAnsi="IRNazanin" w:eastAsia="IRNazanin" w:cs="IRNazanin"/>
          <w:lang w:bidi="fa-IR"/>
          <w:color w:val="111111"/>
          <w:sz w:val="28"/>
          <w:szCs w:val="28"/>
          <w:rtl/>
        </w:rPr>
        <w:t xml:space="preserve">و قال أیضاً:لو عرض الصبی دیناراً علی الناقد لینقده أو متاعاً إلی مقوّم لیقوّمه فأخذه،لم یجز له ردّه إلی </w:t>
      </w:r>
      <w:r>
        <w:rPr>
          <w:rStyle w:val="FootnoteReference"/>
        </w:rPr>
        <w:footnoteReference w:id="2854"/>
      </w:r>
      <w:r>
        <w:rPr>
          <w:rFonts w:ascii="IRNazanin" w:hAnsi="IRNazanin" w:eastAsia="IRNazanin" w:cs="IRNazanin"/>
          <w:lang w:bidi="fa-IR"/>
          <w:color w:val="111111"/>
          <w:sz w:val="28"/>
          <w:szCs w:val="28"/>
          <w:rtl/>
        </w:rPr>
        <w:t xml:space="preserve">الصبی،بل علی </w:t>
      </w:r>
      <w:r>
        <w:rPr>
          <w:rStyle w:val="FootnoteReference"/>
        </w:rPr>
        <w:footnoteReference w:id="2855"/>
      </w:r>
      <w:r>
        <w:rPr>
          <w:rFonts w:ascii="IRNazanin" w:hAnsi="IRNazanin" w:eastAsia="IRNazanin" w:cs="IRNazanin"/>
          <w:lang w:bidi="fa-IR"/>
          <w:color w:val="111111"/>
          <w:sz w:val="28"/>
          <w:szCs w:val="28"/>
          <w:rtl/>
        </w:rPr>
        <w:t xml:space="preserve">ولیّه إن کان.فلو أمره الولیّ بالدفع إلیه فدفعه إلیه،برئ من ضمانه إن کان المال للولی </w:t>
      </w:r>
      <w:r>
        <w:rPr>
          <w:rStyle w:val="FootnoteReference"/>
        </w:rPr>
        <w:footnoteReference w:id="2856"/>
      </w:r>
      <w:r>
        <w:rPr>
          <w:rFonts w:ascii="IRNazanin" w:hAnsi="IRNazanin" w:eastAsia="IRNazanin" w:cs="IRNazanin"/>
          <w:lang w:bidi="fa-IR"/>
          <w:color w:val="111111"/>
          <w:sz w:val="28"/>
          <w:szCs w:val="28"/>
          <w:rtl/>
        </w:rPr>
        <w:t xml:space="preserve">،و إن کان للصبی فلا،کما لو أمره بإلقاء مال الصبی فی</w:t>
      </w:r>
    </w:p>
    <w:p>
      <w:pPr>
        <w:pStyle w:val="BookText"/>
      </w:pPr>
      <w:r>
        <w:rPr>
          <w:rFonts w:ascii="IRNazanin" w:hAnsi="IRNazanin" w:eastAsia="IRNazanin" w:cs="IRNazanin"/>
          <w:lang w:bidi="fa-IR"/>
          <w:color w:val="111111"/>
          <w:sz w:val="28"/>
          <w:szCs w:val="28"/>
          <w:rtl/>
        </w:rPr>
        <w:t xml:space="preserve">[شماره صفحه واقعی : 285]
</w:t>
      </w:r>
    </w:p>
    <w:p>
      <w:pPr>
        <w:sectPr>
          <w:footerReference w:type="default" r:id="rId964"/>
          <w:footnotePr>
            <w:numStart w:val="1"/>
            <w:numRestart w:val="eachPage"/>
          </w:footnotePr>
          <w:pgSz w:orient="portrait" w:w="11905.511811023622" w:h="16837.79527559055"/>
          <w:pgMar w:top="1440" w:right="1440" w:bottom="1440" w:left="1440" w:header="720" w:footer="720" w:gutter="0"/>
          <w:cols w:num="1" w:space="720"/>
        </w:sectPr>
      </w:pPr>
    </w:p>
    <w:bookmarkStart w:id="597" w:name="pg14411_143346"/>
    <w:bookmarkEnd w:id="597"/>
    <w:p>
      <w:pPr>
        <w:pStyle w:val="BookText"/>
      </w:pPr>
      <w:r>
        <w:rPr>
          <w:rFonts w:ascii="IRNazanin" w:hAnsi="IRNazanin" w:eastAsia="IRNazanin" w:cs="IRNazanin"/>
          <w:lang w:bidi="fa-IR"/>
          <w:color w:val="111111"/>
          <w:sz w:val="28"/>
          <w:szCs w:val="28"/>
          <w:rtl/>
        </w:rPr>
        <w:t xml:space="preserve">البحر،فإنّه یلزمه ضمانه.و إذا تبایع الصبیّان و تقابضا و أتلف کلّ واحدٍ منهما ما قبضه،فإن جری بإذن الولیّین فالضمان علیهما،و إلّا فلا ضمان علیهما،بل علی الصبیّین.و یأتی فی باب الحجر تمام الکلام </w:t>
      </w:r>
      <w:r>
        <w:rPr>
          <w:rStyle w:val="FootnoteReference"/>
        </w:rPr>
        <w:footnoteReference w:id="28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لو فتح </w:t>
      </w:r>
      <w:r>
        <w:rPr>
          <w:rStyle w:val="FootnoteReference"/>
        </w:rPr>
        <w:footnoteReference w:id="2858"/>
      </w:r>
      <w:r>
        <w:rPr>
          <w:rFonts w:ascii="IRNazanin" w:hAnsi="IRNazanin" w:eastAsia="IRNazanin" w:cs="IRNazanin"/>
          <w:lang w:bidi="fa-IR"/>
          <w:color w:val="111111"/>
          <w:sz w:val="28"/>
          <w:szCs w:val="28"/>
          <w:rtl/>
        </w:rPr>
        <w:t xml:space="preserve">الصبی الباب و أذن فی الدخول علی أهل الدار،أو أدخل </w:t>
      </w:r>
      <w:r>
        <w:rPr>
          <w:rStyle w:val="FootnoteReference"/>
        </w:rPr>
        <w:footnoteReference w:id="2859"/>
      </w:r>
      <w:r>
        <w:rPr>
          <w:rFonts w:ascii="IRNazanin" w:hAnsi="IRNazanin" w:eastAsia="IRNazanin" w:cs="IRNazanin"/>
          <w:lang w:bidi="fa-IR"/>
          <w:color w:val="111111"/>
          <w:sz w:val="28"/>
          <w:szCs w:val="28"/>
          <w:rtl/>
        </w:rPr>
        <w:t xml:space="preserve">الهدیة إلی إنسان عن </w:t>
      </w:r>
      <w:r>
        <w:rPr>
          <w:rStyle w:val="FootnoteReference"/>
        </w:rPr>
        <w:footnoteReference w:id="2860"/>
      </w:r>
      <w:r>
        <w:rPr>
          <w:rFonts w:ascii="IRNazanin" w:hAnsi="IRNazanin" w:eastAsia="IRNazanin" w:cs="IRNazanin"/>
          <w:lang w:bidi="fa-IR"/>
          <w:color w:val="111111"/>
          <w:sz w:val="28"/>
          <w:szCs w:val="28"/>
          <w:rtl/>
        </w:rPr>
        <w:t xml:space="preserve">إذن المهدی،فالأقرب الاعتماد؛لتسامح السلف فیه </w:t>
      </w:r>
      <w:r>
        <w:rPr>
          <w:rStyle w:val="FootnoteReference"/>
        </w:rPr>
        <w:footnoteReference w:id="2861"/>
      </w:r>
      <w:r>
        <w:rPr>
          <w:rFonts w:ascii="IRNazanin" w:hAnsi="IRNazanin" w:eastAsia="IRNazanin" w:cs="IRNazanin"/>
          <w:lang w:bidi="fa-IR"/>
          <w:color w:val="111111"/>
          <w:sz w:val="28"/>
          <w:szCs w:val="28"/>
          <w:rtl/>
        </w:rPr>
        <w:t xml:space="preserve">،انتهی کلامه رفع مقامه.</w:t>
      </w:r>
    </w:p>
    <w:p>
      <w:pPr>
        <w:pStyle w:val="Heading6"/>
      </w:pPr>
      <w:bookmarkStart w:id="2199" w:name="_Toc1234"/>
      <w:r>
        <w:t>[لا فرق فی معاملة الصبی بین الأشیاء الیسیرة و الخطیرة]</w:t>
      </w:r>
      <w:bookmarkEnd w:id="2199"/>
    </w:p>
    <w:p>
      <w:pPr>
        <w:pStyle w:val="BookText"/>
      </w:pPr>
      <w:r>
        <w:rPr>
          <w:rFonts w:ascii="IRNazanin" w:hAnsi="IRNazanin" w:eastAsia="IRNazanin" w:cs="IRNazanin"/>
          <w:lang w:bidi="fa-IR"/>
          <w:color w:val="111111"/>
          <w:sz w:val="28"/>
          <w:szCs w:val="28"/>
          <w:rtl/>
        </w:rPr>
        <w:t xml:space="preserve">ثمّ إنّه ظهر ممّا ذکرنا:أنّه لا فرق فی معاملة الصبی بین أن تکون فی الأشیاء الیسیرة أو الخطیرة؛لما عرفت من عموم النصّ و الفتوی حتّی أنّ العلّامة فی التذکرة لمّا ذکر حکایة«أنّ أبا الدرداء اشتری عصفوراً من صبیّ فأرسله»،ردّها بعدم الثبوت و عدم الحجّیة، و توجیهه بما یخرجه عن محلّ الکلام </w:t>
      </w:r>
      <w:r>
        <w:rPr>
          <w:rStyle w:val="FootnoteReference"/>
        </w:rPr>
        <w:footnoteReference w:id="28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به یظهر ضعف ما عن المحدّث الکاشانی:من أنّ الأظهر جواز بیعه و شرائه فیما </w:t>
      </w:r>
      <w:r>
        <w:rPr>
          <w:rStyle w:val="FootnoteReference"/>
        </w:rPr>
        <w:footnoteReference w:id="2863"/>
      </w:r>
      <w:r>
        <w:rPr>
          <w:rFonts w:ascii="IRNazanin" w:hAnsi="IRNazanin" w:eastAsia="IRNazanin" w:cs="IRNazanin"/>
          <w:lang w:bidi="fa-IR"/>
          <w:color w:val="111111"/>
          <w:sz w:val="28"/>
          <w:szCs w:val="28"/>
          <w:rtl/>
        </w:rPr>
        <w:t xml:space="preserve">جرت العادة به من الأشیاء الیسیرة؛دفعاً للحرج </w:t>
      </w:r>
      <w:r>
        <w:rPr>
          <w:rStyle w:val="FootnoteReference"/>
        </w:rPr>
        <w:footnoteReference w:id="2864"/>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[شماره صفحه واقعی : 286]
</w:t>
      </w:r>
    </w:p>
    <w:p>
      <w:pPr>
        <w:sectPr>
          <w:footerReference w:type="default" r:id="rId965"/>
          <w:footnotePr>
            <w:numStart w:val="1"/>
            <w:numRestart w:val="eachPage"/>
          </w:footnotePr>
          <w:pgSz w:orient="portrait" w:w="11905.511811023622" w:h="16837.79527559055"/>
          <w:pgMar w:top="1440" w:right="1440" w:bottom="1440" w:left="1440" w:header="720" w:footer="720" w:gutter="0"/>
          <w:cols w:num="1" w:space="720"/>
        </w:sectPr>
      </w:pPr>
    </w:p>
    <w:bookmarkStart w:id="598" w:name="pg14411_143347"/>
    <w:bookmarkEnd w:id="598"/>
    <w:p>
      <w:pPr>
        <w:pStyle w:val="BookText"/>
      </w:pPr>
      <w:r>
        <w:rPr>
          <w:rFonts w:ascii="IRNazanin" w:hAnsi="IRNazanin" w:eastAsia="IRNazanin" w:cs="IRNazanin"/>
          <w:lang w:bidi="fa-IR"/>
          <w:color w:val="111111"/>
          <w:sz w:val="28"/>
          <w:szCs w:val="28"/>
          <w:rtl/>
        </w:rPr>
        <w:t xml:space="preserve">فإنّ الحرج ممنوع،سواء أراد أنّ الحرج یلزم من منعهم عن المعاملة فی المحقّرات و التزام مباشرة البالغین لشرائها،أم أراد أنّه یلزم من التجنّب عن معاملتهم بعد بناء الناس علی نصب الصبیان للبیع و الشراء فی الأشیاء الحقیرة.</w:t>
      </w:r>
    </w:p>
    <w:p>
      <w:pPr>
        <w:pStyle w:val="BookText"/>
      </w:pPr>
      <w:r>
        <w:rPr>
          <w:rFonts w:ascii="Amiri" w:hAnsi="Amiri" w:eastAsia="Amiri" w:cs="Amiri"/>
          <w:lang w:bidi="ar-SA"/>
          <w:color w:val="111111"/>
          <w:sz w:val="28"/>
          <w:szCs w:val="28"/>
          <w:rtl/>
        </w:rPr>
        <w:t xml:space="preserve">ثمّ لو </w:t>
      </w:r>
      <w:r>
        <w:rPr>
          <w:rStyle w:val="FootnoteReference"/>
        </w:rPr>
        <w:footnoteReference w:id="2865"/>
      </w:r>
      <w:r>
        <w:rPr>
          <w:rFonts w:ascii="IRNazanin" w:hAnsi="IRNazanin" w:eastAsia="IRNazanin" w:cs="IRNazanin"/>
          <w:lang w:bidi="fa-IR"/>
          <w:color w:val="111111"/>
          <w:sz w:val="28"/>
          <w:szCs w:val="28"/>
          <w:rtl/>
        </w:rPr>
        <w:t xml:space="preserve">أراد استقلاله فی البیع و الشراء لنفسه بماله من دون إذن الولیّ لیکون حاصله أنّه غیر محجورٍ علیه فی الأشیاء الیسیرة،فالظاهر کونه مخالفاً للإجماع.</w:t>
      </w:r>
    </w:p>
    <w:p>
      <w:pPr>
        <w:pStyle w:val="BookText"/>
      </w:pPr>
      <w:r>
        <w:rPr>
          <w:rFonts w:ascii="IRNazanin" w:hAnsi="IRNazanin" w:eastAsia="IRNazanin" w:cs="IRNazanin"/>
          <w:lang w:bidi="fa-IR"/>
          <w:color w:val="111111"/>
          <w:sz w:val="28"/>
          <w:szCs w:val="28"/>
          <w:rtl/>
        </w:rPr>
        <w:t xml:space="preserve">و أمّا ما ورد فی روایة السکونی عن أبی عبد اللّه علیه السلام:«قال:</w:t>
      </w:r>
    </w:p>
    <w:p>
      <w:pPr>
        <w:pStyle w:val="BookText"/>
      </w:pPr>
      <w:r>
        <w:rPr>
          <w:rFonts w:ascii="IRNazanin" w:hAnsi="IRNazanin" w:eastAsia="IRNazanin" w:cs="IRNazanin"/>
          <w:lang w:bidi="fa-IR"/>
          <w:color w:val="111111"/>
          <w:sz w:val="28"/>
          <w:szCs w:val="28"/>
          <w:rtl/>
        </w:rPr>
        <w:t xml:space="preserve">و نهی النبی صلّی اللّه علیه و آله و سلم عن کسب الغلام الصغیر الذی لا یحسن صناعةً بیده»؛معلّلاً بأنّه«إن لم یجد سرق» </w:t>
      </w:r>
      <w:r>
        <w:rPr>
          <w:rStyle w:val="FootnoteReference"/>
        </w:rPr>
        <w:footnoteReference w:id="2866"/>
      </w:r>
      <w:r>
        <w:rPr>
          <w:rFonts w:ascii="IRNazanin" w:hAnsi="IRNazanin" w:eastAsia="IRNazanin" w:cs="IRNazanin"/>
          <w:lang w:bidi="fa-IR"/>
          <w:color w:val="111111"/>
          <w:sz w:val="28"/>
          <w:szCs w:val="28"/>
          <w:rtl/>
        </w:rPr>
        <w:t xml:space="preserve">،فمحمولٌ علی عوض کسبه من التقاطٍ،أو اجرةٍ عن </w:t>
      </w:r>
      <w:r>
        <w:rPr>
          <w:rStyle w:val="FootnoteReference"/>
        </w:rPr>
        <w:footnoteReference w:id="2867"/>
      </w:r>
      <w:r>
        <w:rPr>
          <w:rFonts w:ascii="IRNazanin" w:hAnsi="IRNazanin" w:eastAsia="IRNazanin" w:cs="IRNazanin"/>
          <w:lang w:bidi="fa-IR"/>
          <w:color w:val="111111"/>
          <w:sz w:val="28"/>
          <w:szCs w:val="28"/>
          <w:rtl/>
        </w:rPr>
        <w:t xml:space="preserve">إجارةٍ أوقعها الولی أو الصبی بغیر إذن الولی،أو عن عمل أمر به من دون إجارة فأعطاه المستأجر أو الآمر اجرة المثل،فإنّ هذه کلّها ممّا یملکه الصبی،لکن یستحبّ للولی و غیره اجتنابها إذا لم یعلم صدق دعوی الصبیّ فیها؛لاحتمال کونها من الوجوه المحرَّمة،نظیر رجحان الاجتناب عن أموال غیره ممّن لا یبالی بالمحرَّمات.</w:t>
      </w:r>
    </w:p>
    <w:p>
      <w:pPr>
        <w:pStyle w:val="BookText"/>
      </w:pPr>
      <w:r>
        <w:rPr>
          <w:rFonts w:ascii="IRNazanin" w:hAnsi="IRNazanin" w:eastAsia="IRNazanin" w:cs="IRNazanin"/>
          <w:lang w:bidi="fa-IR"/>
          <w:color w:val="111111"/>
          <w:sz w:val="28"/>
          <w:szCs w:val="28"/>
          <w:rtl/>
        </w:rPr>
        <w:t xml:space="preserve">و کیف کان،فالقول المذکور فی غایة الضعف.</w:t>
      </w:r>
    </w:p>
    <w:p>
      <w:pPr>
        <w:pStyle w:val="Heading6"/>
      </w:pPr>
      <w:bookmarkStart w:id="2200" w:name="_Toc1235"/>
      <w:r>
        <w:t>[تصحیح المعاملة لو کان الصبی بمنزلة الآلة]</w:t>
      </w:r>
      <w:bookmarkEnd w:id="2200"/>
    </w:p>
    <w:p>
      <w:pPr>
        <w:pStyle w:val="BookText"/>
      </w:pPr>
      <w:r>
        <w:rPr>
          <w:rFonts w:ascii="IRNazanin" w:hAnsi="IRNazanin" w:eastAsia="IRNazanin" w:cs="IRNazanin"/>
          <w:lang w:bidi="fa-IR"/>
          <w:color w:val="111111"/>
          <w:sz w:val="28"/>
          <w:szCs w:val="28"/>
          <w:rtl/>
        </w:rPr>
        <w:t xml:space="preserve">نعم،ربما صحّح سیّد مشایخنا-فی الریاض-هذه المعاملات إذا</w:t>
      </w:r>
    </w:p>
    <w:p>
      <w:pPr>
        <w:pStyle w:val="BookText"/>
      </w:pPr>
      <w:r>
        <w:rPr>
          <w:rFonts w:ascii="IRNazanin" w:hAnsi="IRNazanin" w:eastAsia="IRNazanin" w:cs="IRNazanin"/>
          <w:lang w:bidi="fa-IR"/>
          <w:color w:val="111111"/>
          <w:sz w:val="28"/>
          <w:szCs w:val="28"/>
          <w:rtl/>
        </w:rPr>
        <w:t xml:space="preserve">[شماره صفحه واقعی : 287]
</w:t>
      </w:r>
    </w:p>
    <w:p>
      <w:pPr>
        <w:sectPr>
          <w:footerReference w:type="default" r:id="rId9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 الصبی بمنزلة الآلة لمن له أهلیّة التصرّف؛من جهة استقرار السیرة و استمرارها علی ذلک </w:t>
      </w:r>
      <w:r>
        <w:rPr>
          <w:rStyle w:val="FootnoteReference"/>
        </w:rPr>
        <w:footnoteReference w:id="28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فیه إشکال،من جهة قوّة احتمال کون السیرة ناشئة من </w:t>
      </w:r>
      <w:r>
        <w:rPr>
          <w:rStyle w:val="FootnoteReference"/>
        </w:rPr>
        <w:footnoteReference w:id="2869"/>
      </w:r>
      <w:r>
        <w:rPr>
          <w:rFonts w:ascii="IRNazanin" w:hAnsi="IRNazanin" w:eastAsia="IRNazanin" w:cs="IRNazanin"/>
          <w:lang w:bidi="fa-IR"/>
          <w:color w:val="111111"/>
          <w:sz w:val="28"/>
          <w:szCs w:val="28"/>
          <w:rtl/>
        </w:rPr>
        <w:t xml:space="preserve">عدم المبالاة فی الدین،کما فی کثیرٍ من </w:t>
      </w:r>
      <w:r>
        <w:rPr>
          <w:rStyle w:val="FootnoteReference"/>
        </w:rPr>
        <w:footnoteReference w:id="2870"/>
      </w:r>
      <w:r>
        <w:rPr>
          <w:rFonts w:ascii="IRNazanin" w:hAnsi="IRNazanin" w:eastAsia="IRNazanin" w:cs="IRNazanin"/>
          <w:lang w:bidi="fa-IR"/>
          <w:color w:val="111111"/>
          <w:sz w:val="28"/>
          <w:szCs w:val="28"/>
          <w:rtl/>
        </w:rPr>
        <w:t xml:space="preserve">سیرهم الفاسدة.</w:t>
      </w:r>
    </w:p>
    <w:p>
      <w:pPr>
        <w:pStyle w:val="BookText"/>
      </w:pPr>
      <w:r>
        <w:rPr>
          <w:rFonts w:ascii="IRNazanin" w:hAnsi="IRNazanin" w:eastAsia="IRNazanin" w:cs="IRNazanin"/>
          <w:lang w:bidi="fa-IR"/>
          <w:color w:val="111111"/>
          <w:sz w:val="28"/>
          <w:szCs w:val="28"/>
          <w:rtl/>
        </w:rPr>
        <w:t xml:space="preserve">و یؤیّد ذلک:ما یری من استمرار سیرتهم علی عدم الفرق بین الممیّزین و غیرهم،و لا بینهم و بین المجانین،و لا بین معاملتهم لأنفسهم بالاستقلال بحیث لا یعلم الولیّ أصلاً،و معاملتهم لأولیائهم علی سبیل الآلیة،مع أنّ هذه </w:t>
      </w:r>
      <w:r>
        <w:rPr>
          <w:rStyle w:val="FootnoteReference"/>
        </w:rPr>
        <w:footnoteReference w:id="2871"/>
      </w:r>
      <w:r>
        <w:rPr>
          <w:rFonts w:ascii="Amiri" w:hAnsi="Amiri" w:eastAsia="Amiri" w:cs="Amiri"/>
          <w:lang w:bidi="ar-SA"/>
          <w:color w:val="111111"/>
          <w:sz w:val="28"/>
          <w:szCs w:val="28"/>
          <w:rtl/>
        </w:rPr>
        <w:t xml:space="preserve">ممّا </w:t>
      </w:r>
      <w:r>
        <w:rPr>
          <w:rStyle w:val="FootnoteReference"/>
        </w:rPr>
        <w:footnoteReference w:id="2872"/>
      </w:r>
      <w:r>
        <w:rPr>
          <w:rFonts w:ascii="IRNazanin" w:hAnsi="IRNazanin" w:eastAsia="IRNazanin" w:cs="IRNazanin"/>
          <w:lang w:bidi="fa-IR"/>
          <w:color w:val="111111"/>
          <w:sz w:val="28"/>
          <w:szCs w:val="28"/>
          <w:rtl/>
        </w:rPr>
        <w:t xml:space="preserve">لا ینبغی الشکّ فی فسادها </w:t>
      </w:r>
      <w:r>
        <w:rPr>
          <w:rStyle w:val="FootnoteReference"/>
        </w:rPr>
        <w:footnoteReference w:id="2873"/>
      </w:r>
      <w:r>
        <w:rPr>
          <w:rFonts w:ascii="IRNazanin" w:hAnsi="IRNazanin" w:eastAsia="IRNazanin" w:cs="IRNazanin"/>
          <w:lang w:bidi="fa-IR"/>
          <w:color w:val="111111"/>
          <w:sz w:val="28"/>
          <w:szCs w:val="28"/>
          <w:rtl/>
        </w:rPr>
        <w:t xml:space="preserve">،خصوصاً الأخیر.</w:t>
      </w:r>
    </w:p>
    <w:p>
      <w:pPr>
        <w:pStyle w:val="BookText"/>
      </w:pPr>
      <w:r>
        <w:rPr>
          <w:rFonts w:ascii="IRNazanin" w:hAnsi="IRNazanin" w:eastAsia="IRNazanin" w:cs="IRNazanin"/>
          <w:lang w:bidi="fa-IR"/>
          <w:color w:val="111111"/>
          <w:sz w:val="28"/>
          <w:szCs w:val="28"/>
          <w:rtl/>
        </w:rPr>
        <w:t xml:space="preserve">مع أنّ الإحالة علی ما جرت العادة به کالإحالة علی المجهول؛ فإنّ الذی جرت علیه السیرة هو الوکول إلی کلِّ صبیٍّ ما هو </w:t>
      </w:r>
      <w:r>
        <w:rPr>
          <w:rStyle w:val="FootnoteReference"/>
        </w:rPr>
        <w:footnoteReference w:id="2874"/>
      </w:r>
      <w:r>
        <w:rPr>
          <w:rFonts w:ascii="IRNazanin" w:hAnsi="IRNazanin" w:eastAsia="IRNazanin" w:cs="IRNazanin"/>
          <w:lang w:bidi="fa-IR"/>
          <w:color w:val="111111"/>
          <w:sz w:val="28"/>
          <w:szCs w:val="28"/>
          <w:rtl/>
        </w:rPr>
        <w:t xml:space="preserve">فطنٌ فیه،بحیث لا یغلب فی المساومة علیه،فیَکِلون إلی من بلغ ستّ سنین </w:t>
      </w:r>
      <w:r>
        <w:rPr>
          <w:rStyle w:val="FootnoteReference"/>
        </w:rPr>
        <w:footnoteReference w:id="2875"/>
      </w:r>
      <w:r>
        <w:rPr>
          <w:rFonts w:ascii="Amiri" w:hAnsi="Amiri" w:eastAsia="Amiri" w:cs="Amiri"/>
          <w:lang w:bidi="ar-SA"/>
          <w:color w:val="111111"/>
          <w:sz w:val="28"/>
          <w:szCs w:val="28"/>
          <w:rtl/>
        </w:rPr>
        <w:t xml:space="preserve">شراءَ باقة بقلٍ،أو بیعَ بیضة دجاجٍ بفَلْسٍ،و إلی من بلغ</w:t>
      </w:r>
    </w:p>
    <w:p>
      <w:pPr>
        <w:pStyle w:val="BookText"/>
      </w:pPr>
      <w:r>
        <w:rPr>
          <w:rFonts w:ascii="IRNazanin" w:hAnsi="IRNazanin" w:eastAsia="IRNazanin" w:cs="IRNazanin"/>
          <w:lang w:bidi="fa-IR"/>
          <w:color w:val="111111"/>
          <w:sz w:val="28"/>
          <w:szCs w:val="28"/>
          <w:rtl/>
        </w:rPr>
        <w:t xml:space="preserve">[شماره صفحه واقعی : 288]
</w:t>
      </w:r>
    </w:p>
    <w:p>
      <w:pPr>
        <w:sectPr>
          <w:footerReference w:type="default" r:id="rId967"/>
          <w:footnotePr>
            <w:numStart w:val="1"/>
            <w:numRestart w:val="eachPage"/>
          </w:footnotePr>
          <w:pgSz w:orient="portrait" w:w="11905.511811023622" w:h="16837.79527559055"/>
          <w:pgMar w:top="1440" w:right="1440" w:bottom="1440" w:left="1440" w:header="720" w:footer="720" w:gutter="0"/>
          <w:cols w:num="1" w:space="720"/>
        </w:sectPr>
      </w:pPr>
    </w:p>
    <w:bookmarkStart w:id="599" w:name="pg14411_143349"/>
    <w:bookmarkEnd w:id="599"/>
    <w:p>
      <w:pPr>
        <w:pStyle w:val="BookText"/>
      </w:pPr>
      <w:r>
        <w:rPr>
          <w:rFonts w:ascii="IRNazanin" w:hAnsi="IRNazanin" w:eastAsia="IRNazanin" w:cs="IRNazanin"/>
          <w:lang w:bidi="fa-IR"/>
          <w:color w:val="111111"/>
          <w:sz w:val="28"/>
          <w:szCs w:val="28"/>
          <w:rtl/>
        </w:rPr>
        <w:t xml:space="preserve">ثمانیة </w:t>
      </w:r>
      <w:r>
        <w:rPr>
          <w:rStyle w:val="FootnoteReference"/>
        </w:rPr>
        <w:footnoteReference w:id="2876"/>
      </w:r>
      <w:r>
        <w:rPr>
          <w:rFonts w:ascii="IRNazanin" w:hAnsi="IRNazanin" w:eastAsia="IRNazanin" w:cs="IRNazanin"/>
          <w:lang w:bidi="fa-IR"/>
          <w:color w:val="111111"/>
          <w:sz w:val="28"/>
          <w:szCs w:val="28"/>
          <w:rtl/>
        </w:rPr>
        <w:t xml:space="preserve">سنین اشتراء اللحم و الخبز و نحوهما،و إلی من بلغ أربع عشرة سنة شراء الثیاب،بل الحیوان،بل یکلون إلیه أُمور التجارة فی الأسواق و البلدان،و لا یفرّقون بینه و بین مَن أکمل خمس عشرة سنة، و لا یکِلون إلیه شراء مثل القری و البساتین و بیعها إلّا بعد أن یحصل له التجارب،و لا أظنّ أنّ القائل بالصحّة یلتزم العمل بالسیرة علی هذا التفصیل.</w:t>
      </w:r>
    </w:p>
    <w:p>
      <w:pPr>
        <w:pStyle w:val="BookText"/>
      </w:pPr>
      <w:r>
        <w:rPr>
          <w:rFonts w:ascii="IRNazanin" w:hAnsi="IRNazanin" w:eastAsia="IRNazanin" w:cs="IRNazanin"/>
          <w:lang w:bidi="fa-IR"/>
          <w:color w:val="111111"/>
          <w:sz w:val="28"/>
          <w:szCs w:val="28"/>
          <w:rtl/>
        </w:rPr>
        <w:t xml:space="preserve">و کیف کان،فالظاهر أنّ هذا القول أیضاً مخالف لما یظهر منهم.</w:t>
      </w:r>
    </w:p>
    <w:p>
      <w:pPr>
        <w:pStyle w:val="BookText"/>
      </w:pPr>
      <w:r>
        <w:rPr>
          <w:rFonts w:ascii="IRNazanin" w:hAnsi="IRNazanin" w:eastAsia="IRNazanin" w:cs="IRNazanin"/>
          <w:lang w:bidi="fa-IR"/>
          <w:color w:val="111111"/>
          <w:sz w:val="28"/>
          <w:szCs w:val="28"/>
          <w:rtl/>
        </w:rPr>
        <w:t xml:space="preserve">و قد عرفت حکم العلّامة فی التذکرة بعدم جواز ردّ المال إلی الصبیّ إذا دفعه إلی الناقد لینقده،أو المتاع الذی دفعه إلی المقوّم لیقوّمه </w:t>
      </w:r>
      <w:r>
        <w:rPr>
          <w:rStyle w:val="FootnoteReference"/>
        </w:rPr>
        <w:footnoteReference w:id="2877"/>
      </w:r>
      <w:r>
        <w:rPr>
          <w:rFonts w:ascii="IRNazanin" w:hAnsi="IRNazanin" w:eastAsia="IRNazanin" w:cs="IRNazanin"/>
          <w:lang w:bidi="fa-IR"/>
          <w:color w:val="111111"/>
          <w:sz w:val="28"/>
          <w:szCs w:val="28"/>
          <w:rtl/>
        </w:rPr>
        <w:t xml:space="preserve">، مع کونه غالباً فی هذه المقامات بمنزلة الآلة للولیّ،و کذا حکمه بالمنع من ردّ مال الطفل إلیه بإذن الولیّ،مع أنّه بمنزلة الآلة فی ذلک غالباً.</w:t>
      </w:r>
    </w:p>
    <w:p>
      <w:pPr>
        <w:pStyle w:val="Heading6"/>
      </w:pPr>
      <w:bookmarkStart w:id="2201" w:name="_Toc1236"/>
      <w:r>
        <w:t>[دعوی کاشف الغطاء إفادة معاملة الصبی الإباحة لو کان مأذونا و المناقشات فیه]</w:t>
      </w:r>
      <w:bookmarkEnd w:id="2201"/>
    </w:p>
    <w:p>
      <w:pPr>
        <w:pStyle w:val="BookText"/>
      </w:pPr>
      <w:r>
        <w:rPr>
          <w:rFonts w:ascii="IRNazanin" w:hAnsi="IRNazanin" w:eastAsia="IRNazanin" w:cs="IRNazanin"/>
          <w:lang w:bidi="fa-IR"/>
          <w:color w:val="111111"/>
          <w:sz w:val="28"/>
          <w:szCs w:val="28"/>
          <w:rtl/>
        </w:rPr>
        <w:t xml:space="preserve">و قال کاشف الغطاء رحمه اللّه-بعد المنع عن </w:t>
      </w:r>
      <w:r>
        <w:rPr>
          <w:rStyle w:val="FootnoteReference"/>
        </w:rPr>
        <w:footnoteReference w:id="2878"/>
      </w:r>
      <w:r>
        <w:rPr>
          <w:rFonts w:ascii="IRNazanin" w:hAnsi="IRNazanin" w:eastAsia="IRNazanin" w:cs="IRNazanin"/>
          <w:lang w:bidi="fa-IR"/>
          <w:color w:val="111111"/>
          <w:sz w:val="28"/>
          <w:szCs w:val="28"/>
          <w:rtl/>
        </w:rPr>
        <w:t xml:space="preserve">صحّة عقد الصبی أصالة و وکالة-ما لفظه:نعم،ثبت الإباحة فی معاملة الممیّزین </w:t>
      </w:r>
      <w:r>
        <w:rPr>
          <w:rStyle w:val="FootnoteReference"/>
        </w:rPr>
        <w:footnoteReference w:id="2879"/>
      </w:r>
      <w:r>
        <w:rPr>
          <w:rFonts w:ascii="IRNazanin" w:hAnsi="IRNazanin" w:eastAsia="IRNazanin" w:cs="IRNazanin"/>
          <w:lang w:bidi="fa-IR"/>
          <w:color w:val="111111"/>
          <w:sz w:val="28"/>
          <w:szCs w:val="28"/>
          <w:rtl/>
        </w:rPr>
        <w:t xml:space="preserve">إذا جلسوا مقام أولیائهم،أو تظاهروا علی رؤوس الأشهاد حتّی یظنّ أنّ ذلک من إذن الأولیاء خصوصاً فی المحقّرات.ثمّ قال:و لو قیل بتملّک الآخذ منهم لدلالة مأذونیّته فی جمیع التصرّفات فیکون موجباً قابلاً، لم یکن بعیداً </w:t>
      </w:r>
      <w:r>
        <w:rPr>
          <w:rStyle w:val="FootnoteReference"/>
        </w:rPr>
        <w:footnoteReference w:id="2880"/>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[شماره صفحه واقعی : 289]
</w:t>
      </w:r>
    </w:p>
    <w:p>
      <w:pPr>
        <w:sectPr>
          <w:footerReference w:type="default" r:id="rId9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w:t>
      </w:r>
      <w:r>
        <w:rPr>
          <w:rStyle w:val="FootnoteReference"/>
        </w:rPr>
        <w:footnoteReference w:id="2881"/>
      </w:r>
      <w:r>
        <w:rPr>
          <w:rFonts w:ascii="IRNazanin" w:hAnsi="IRNazanin" w:eastAsia="IRNazanin" w:cs="IRNazanin"/>
          <w:lang w:bidi="fa-IR"/>
          <w:color w:val="111111"/>
          <w:sz w:val="28"/>
          <w:szCs w:val="28"/>
          <w:rtl/>
        </w:rPr>
        <w:t xml:space="preserve">:أمّا التصرّف و المعاملة بإذن الأولیاء-سواء کان علی وجه البیع أو المعاطاة </w:t>
      </w:r>
      <w:r>
        <w:rPr>
          <w:rStyle w:val="FootnoteReference"/>
        </w:rPr>
        <w:footnoteReference w:id="2882"/>
      </w:r>
      <w:r>
        <w:rPr>
          <w:rFonts w:ascii="IRNazanin" w:hAnsi="IRNazanin" w:eastAsia="IRNazanin" w:cs="IRNazanin"/>
          <w:lang w:bidi="fa-IR"/>
          <w:color w:val="111111"/>
          <w:sz w:val="28"/>
          <w:szCs w:val="28"/>
          <w:rtl/>
        </w:rPr>
        <w:t xml:space="preserve">-فهو الذی قد عرفت </w:t>
      </w:r>
      <w:r>
        <w:rPr>
          <w:rStyle w:val="FootnoteReference"/>
        </w:rPr>
        <w:footnoteReference w:id="2883"/>
      </w:r>
      <w:r>
        <w:rPr>
          <w:rFonts w:ascii="IRNazanin" w:hAnsi="IRNazanin" w:eastAsia="IRNazanin" w:cs="IRNazanin"/>
          <w:lang w:bidi="fa-IR"/>
          <w:color w:val="111111"/>
          <w:sz w:val="28"/>
          <w:szCs w:val="28"/>
          <w:rtl/>
        </w:rPr>
        <w:t xml:space="preserve">أنّه خلاف المشهور و المعروف حتّی لو قلنا بعدم اشتراط شروط البیع فی المعاطاة؛لأنّها تصرّف لا محالة و إن لم تکن بیعاً،بل و لا معاوضة.</w:t>
      </w:r>
    </w:p>
    <w:p>
      <w:pPr>
        <w:pStyle w:val="BookText"/>
      </w:pPr>
      <w:r>
        <w:rPr>
          <w:rFonts w:ascii="IRNazanin" w:hAnsi="IRNazanin" w:eastAsia="IRNazanin" w:cs="IRNazanin"/>
          <w:lang w:bidi="fa-IR"/>
          <w:color w:val="111111"/>
          <w:sz w:val="28"/>
          <w:szCs w:val="28"/>
          <w:rtl/>
        </w:rPr>
        <w:t xml:space="preserve">و إن أراد بذلک أنّ إذن الولی و رضاه المنکشف بمعاملة الصبیّ هو المفید للإباحة،لا نفس المعاملة-کما ذکره بعضهم فی إذن الولی فی إعارة الصبی </w:t>
      </w:r>
      <w:r>
        <w:rPr>
          <w:rStyle w:val="FootnoteReference"/>
        </w:rPr>
        <w:footnoteReference w:id="2884"/>
      </w:r>
      <w:r>
        <w:rPr>
          <w:rFonts w:ascii="IRNazanin" w:hAnsi="IRNazanin" w:eastAsia="IRNazanin" w:cs="IRNazanin"/>
          <w:lang w:bidi="fa-IR"/>
          <w:color w:val="111111"/>
          <w:sz w:val="28"/>
          <w:szCs w:val="28"/>
          <w:rtl/>
        </w:rPr>
        <w:t xml:space="preserve">-فتوضیحه ما ذکره بعض المحقّقین من تلامذته </w:t>
      </w:r>
      <w:r>
        <w:rPr>
          <w:rStyle w:val="FootnoteReference"/>
        </w:rPr>
        <w:footnoteReference w:id="2885"/>
      </w:r>
      <w:r>
        <w:rPr>
          <w:rFonts w:ascii="IRNazanin" w:hAnsi="IRNazanin" w:eastAsia="IRNazanin" w:cs="IRNazanin"/>
          <w:lang w:bidi="fa-IR"/>
          <w:color w:val="111111"/>
          <w:sz w:val="28"/>
          <w:szCs w:val="28"/>
          <w:rtl/>
        </w:rPr>
        <w:t xml:space="preserve">،و هو:</w:t>
      </w:r>
    </w:p>
    <w:p>
      <w:pPr>
        <w:pStyle w:val="BookText"/>
      </w:pPr>
      <w:r>
        <w:rPr>
          <w:rFonts w:ascii="IRNazanin" w:hAnsi="IRNazanin" w:eastAsia="IRNazanin" w:cs="IRNazanin"/>
          <w:lang w:bidi="fa-IR"/>
          <w:color w:val="111111"/>
          <w:sz w:val="28"/>
          <w:szCs w:val="28"/>
          <w:rtl/>
        </w:rPr>
        <w:t xml:space="preserve">أنّه لمّا کان بناء المعاطاة علی حصول المراضاة کیف اتّفق،و کانت مفیدةً لإباحة التصرّف خاصّة-کما هو المشهور-و جرت عادة الناس بالتسامح فی الأشیاء الیسیرة و الرضا باعتماد غیرهم فی التصرّف فیها علی الأمارات المفیدة للظنّ بالرضا فی المعاوضات،و کان الغالب فی الأشیاء التی یعتمد فیها علی قول الصبیّ تعیین </w:t>
      </w:r>
      <w:r>
        <w:rPr>
          <w:rStyle w:val="FootnoteReference"/>
        </w:rPr>
        <w:footnoteReference w:id="2886"/>
      </w:r>
      <w:r>
        <w:rPr>
          <w:rFonts w:ascii="IRNazanin" w:hAnsi="IRNazanin" w:eastAsia="IRNazanin" w:cs="IRNazanin"/>
          <w:lang w:bidi="fa-IR"/>
          <w:color w:val="111111"/>
          <w:sz w:val="28"/>
          <w:szCs w:val="28"/>
          <w:rtl/>
        </w:rPr>
        <w:t xml:space="preserve">القیمة،أو الاختلاف الذی یتسامح به فی العادة،فلأجل ذلک صحّ القول بالاعتماد علی ما یصدر من الصبی من صورة البیع و الشراء مع الشروط المذکورة،کما یعتمد علیه فی الإذن فی دخول الدار و فی إیصال الهدیّة إذا ظهرت أمارات</w:t>
      </w:r>
    </w:p>
    <w:p>
      <w:pPr>
        <w:pStyle w:val="BookText"/>
      </w:pPr>
      <w:r>
        <w:rPr>
          <w:rFonts w:ascii="IRNazanin" w:hAnsi="IRNazanin" w:eastAsia="IRNazanin" w:cs="IRNazanin"/>
          <w:lang w:bidi="fa-IR"/>
          <w:color w:val="111111"/>
          <w:sz w:val="28"/>
          <w:szCs w:val="28"/>
          <w:rtl/>
        </w:rPr>
        <w:t xml:space="preserve">[شماره صفحه واقعی : 290]
</w:t>
      </w:r>
    </w:p>
    <w:p>
      <w:pPr>
        <w:sectPr>
          <w:footerReference w:type="default" r:id="rId9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الصدق،بل ما ذکرنا أولی بالجواز من الهدیّة من وجوه،و قد استند فیه فی التذکرة إلی تسامح السلف </w:t>
      </w:r>
      <w:r>
        <w:rPr>
          <w:rStyle w:val="FootnoteReference"/>
        </w:rPr>
        <w:footnoteReference w:id="28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بالجملة،فالاعتماد فی الحقیقة علی الإذن المستفاد من حال المالک فی الأخذ و الإعطاء،مع البناء علی ما هو الغالب من کونه صحیح التصرّف،لا علی قول الصبی و معاملته من حیث إنّه کذلک،و کثیراً ما یعتمد الناس علی الإذن المستفاد،من غیر وجود ذی یدٍ أصلاً،مع شهادة الحال بذلک،کما فی دخول الحمّام و وضع الأُجرة و </w:t>
      </w:r>
      <w:r>
        <w:rPr>
          <w:rStyle w:val="FootnoteReference"/>
        </w:rPr>
        <w:footnoteReference w:id="2888"/>
      </w:r>
      <w:r>
        <w:rPr>
          <w:rFonts w:ascii="IRNazanin" w:hAnsi="IRNazanin" w:eastAsia="IRNazanin" w:cs="IRNazanin"/>
          <w:lang w:bidi="fa-IR"/>
          <w:color w:val="111111"/>
          <w:sz w:val="28"/>
          <w:szCs w:val="28"/>
          <w:rtl/>
        </w:rPr>
        <w:t xml:space="preserve">عوض الماء التالف فی الصندوق،و کما </w:t>
      </w:r>
      <w:r>
        <w:rPr>
          <w:rStyle w:val="FootnoteReference"/>
        </w:rPr>
        <w:footnoteReference w:id="2889"/>
      </w:r>
      <w:r>
        <w:rPr>
          <w:rFonts w:ascii="IRNazanin" w:hAnsi="IRNazanin" w:eastAsia="IRNazanin" w:cs="IRNazanin"/>
          <w:lang w:bidi="fa-IR"/>
          <w:color w:val="111111"/>
          <w:sz w:val="28"/>
          <w:szCs w:val="28"/>
          <w:rtl/>
        </w:rPr>
        <w:t xml:space="preserve">فی أخذ الخُضَر الموضوعة للبیع،و شرب ماء السقّائین و وضع القیمة المتعارفة فی الموضع المعدّ لها </w:t>
      </w:r>
      <w:r>
        <w:rPr>
          <w:rStyle w:val="FootnoteReference"/>
        </w:rPr>
        <w:footnoteReference w:id="2890"/>
      </w:r>
      <w:r>
        <w:rPr>
          <w:rFonts w:ascii="IRNazanin" w:hAnsi="IRNazanin" w:eastAsia="IRNazanin" w:cs="IRNazanin"/>
          <w:lang w:bidi="fa-IR"/>
          <w:color w:val="111111"/>
          <w:sz w:val="28"/>
          <w:szCs w:val="28"/>
          <w:rtl/>
        </w:rPr>
        <w:t xml:space="preserve">،و غیر ذلک من الأُمور التی جرت العادة بها،کما یعتمد علی مثل ذلک فی غیر المعاوضات من أنواع التصرّفات.</w:t>
      </w:r>
    </w:p>
    <w:p>
      <w:pPr>
        <w:pStyle w:val="BookText"/>
      </w:pPr>
      <w:r>
        <w:rPr>
          <w:rFonts w:ascii="IRNazanin" w:hAnsi="IRNazanin" w:eastAsia="IRNazanin" w:cs="IRNazanin"/>
          <w:lang w:bidi="fa-IR"/>
          <w:color w:val="111111"/>
          <w:sz w:val="28"/>
          <w:szCs w:val="28"/>
          <w:rtl/>
        </w:rPr>
        <w:t xml:space="preserve">فالتحقیق:أنّ هذا لیس مستثنی من کلام الأصحاب و لا منافیاً له،و لا یعتمد علی ذلک أیضاً فی مقام الدعوی و لا فیما إذا طالب المالک بحقّه و أظهر عدم الرضا </w:t>
      </w:r>
      <w:r>
        <w:rPr>
          <w:rStyle w:val="FootnoteReference"/>
        </w:rPr>
        <w:footnoteReference w:id="2891"/>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[*ستوده]</w:t>
      </w:r>
    </w:p>
    <w:p>
      <w:pPr>
        <w:pStyle w:val="BookText"/>
      </w:pPr>
      <w:r>
        <w:rPr>
          <w:rFonts w:ascii="IRNazanin" w:hAnsi="IRNazanin" w:eastAsia="IRNazanin" w:cs="IRNazanin"/>
          <w:lang w:bidi="fa-IR"/>
          <w:color w:val="111111"/>
          <w:sz w:val="28"/>
          <w:szCs w:val="28"/>
          <w:rtl/>
        </w:rPr>
        <w:t xml:space="preserve">و حاصله:أنّ مناط الإباحة و مدارها فی المعاطاة لیس علی وجود تعاطٍ قائمٍ بشخصین،أو بشخصٍ منزَّلٍ منزلة شخصین،بل علی تحقّق</w:t>
      </w:r>
    </w:p>
    <w:p>
      <w:pPr>
        <w:pStyle w:val="BookText"/>
      </w:pPr>
      <w:r>
        <w:rPr>
          <w:rFonts w:ascii="IRNazanin" w:hAnsi="IRNazanin" w:eastAsia="IRNazanin" w:cs="IRNazanin"/>
          <w:lang w:bidi="fa-IR"/>
          <w:color w:val="111111"/>
          <w:sz w:val="28"/>
          <w:szCs w:val="28"/>
          <w:rtl/>
        </w:rPr>
        <w:t xml:space="preserve">[شماره صفحه واقعی : 291]
</w:t>
      </w:r>
    </w:p>
    <w:p>
      <w:pPr>
        <w:sectPr>
          <w:footerReference w:type="default" r:id="rId9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الرضا من کلٍّ منهما بتصرّف صاحبه فی ماله،حتّی لو فرضنا أنّه حصل مال کلٍّ منهما عند صاحبه باتّفاقٍ-کإطارة الریح و نحوها-فتراضیا علی التصرّف بإخبار صبیٍّ أو بغیره من الأمارات-کالکتابة و نحوها-کان هذه </w:t>
      </w:r>
      <w:r>
        <w:rPr>
          <w:rStyle w:val="FootnoteReference"/>
        </w:rPr>
        <w:footnoteReference w:id="2892"/>
      </w:r>
      <w:r>
        <w:rPr>
          <w:rFonts w:ascii="IRNazanin" w:hAnsi="IRNazanin" w:eastAsia="IRNazanin" w:cs="IRNazanin"/>
          <w:lang w:bidi="fa-IR"/>
          <w:color w:val="111111"/>
          <w:sz w:val="28"/>
          <w:szCs w:val="28"/>
          <w:rtl/>
        </w:rPr>
        <w:t xml:space="preserve">معاطاة أیضاً؛و لذا یکون </w:t>
      </w:r>
      <w:r>
        <w:rPr>
          <w:rStyle w:val="FootnoteReference"/>
        </w:rPr>
        <w:footnoteReference w:id="2893"/>
      </w:r>
      <w:r>
        <w:rPr>
          <w:rFonts w:ascii="IRNazanin" w:hAnsi="IRNazanin" w:eastAsia="IRNazanin" w:cs="IRNazanin"/>
          <w:lang w:bidi="fa-IR"/>
          <w:color w:val="111111"/>
          <w:sz w:val="28"/>
          <w:szCs w:val="28"/>
          <w:rtl/>
        </w:rPr>
        <w:t xml:space="preserve">وصول الهدیة إلی المُهدیٰ إلیه علی ید الطفل-الکاشف إیصاله عن رضا المهدیّ بالتصرف بل التملّک-کافیاً فی إباحة الهدیّة،بل فی تملّکها.</w:t>
      </w:r>
    </w:p>
    <w:p>
      <w:pPr>
        <w:pStyle w:val="BookText"/>
      </w:pPr>
      <w:r>
        <w:rPr>
          <w:rFonts w:ascii="IRNazanin" w:hAnsi="IRNazanin" w:eastAsia="IRNazanin" w:cs="IRNazanin"/>
          <w:lang w:bidi="fa-IR"/>
          <w:color w:val="111111"/>
          <w:sz w:val="28"/>
          <w:szCs w:val="28"/>
          <w:rtl/>
        </w:rPr>
        <w:t xml:space="preserve">و فیه </w:t>
      </w:r>
      <w:r>
        <w:rPr>
          <w:rStyle w:val="FootnoteReference"/>
        </w:rPr>
        <w:footnoteReference w:id="2894"/>
      </w:r>
      <w:r>
        <w:rPr>
          <w:rFonts w:ascii="IRNazanin" w:hAnsi="IRNazanin" w:eastAsia="IRNazanin" w:cs="IRNazanin"/>
          <w:lang w:bidi="fa-IR"/>
          <w:color w:val="111111"/>
          <w:sz w:val="28"/>
          <w:szCs w:val="28"/>
          <w:rtl/>
        </w:rPr>
        <w:t xml:space="preserve">:أنّ ذلک حسن،إلّا أنّه موقوف أوّلاً علی ثبوت حکم المعاطاة من دون إنشاء إباحةٍ و تملیک،و الاکتفاء </w:t>
      </w:r>
      <w:r>
        <w:rPr>
          <w:rStyle w:val="FootnoteReference"/>
        </w:rPr>
        <w:footnoteReference w:id="2895"/>
      </w:r>
      <w:r>
        <w:rPr>
          <w:rFonts w:ascii="IRNazanin" w:hAnsi="IRNazanin" w:eastAsia="IRNazanin" w:cs="IRNazanin"/>
          <w:lang w:bidi="fa-IR"/>
          <w:color w:val="111111"/>
          <w:sz w:val="28"/>
          <w:szCs w:val="28"/>
          <w:rtl/>
        </w:rPr>
        <w:t xml:space="preserve">فیها بمجرّد الرضا.</w:t>
      </w:r>
    </w:p>
    <w:p>
      <w:pPr>
        <w:pStyle w:val="BookText"/>
      </w:pPr>
      <w:r>
        <w:rPr>
          <w:rFonts w:ascii="IRNazanin" w:hAnsi="IRNazanin" w:eastAsia="IRNazanin" w:cs="IRNazanin"/>
          <w:lang w:bidi="fa-IR"/>
          <w:color w:val="111111"/>
          <w:sz w:val="28"/>
          <w:szCs w:val="28"/>
          <w:rtl/>
        </w:rPr>
        <w:t xml:space="preserve">و دعوی حصول الإنشاء بدفع الولیّ المال إلی الصبی،مدفوعة:</w:t>
      </w:r>
    </w:p>
    <w:p>
      <w:pPr>
        <w:pStyle w:val="BookText"/>
      </w:pPr>
      <w:r>
        <w:rPr>
          <w:rFonts w:ascii="IRNazanin" w:hAnsi="IRNazanin" w:eastAsia="IRNazanin" w:cs="IRNazanin"/>
          <w:lang w:bidi="fa-IR"/>
          <w:color w:val="111111"/>
          <w:sz w:val="28"/>
          <w:szCs w:val="28"/>
          <w:rtl/>
        </w:rPr>
        <w:t xml:space="preserve">بأنّه إنشاء إباحةٍ لشخصٍ غیر معلوم،و مثله غیر معلوم الدخول فی حکم المعاطاة،مع العلم بخروجه عن موضوعها.</w:t>
      </w:r>
    </w:p>
    <w:p>
      <w:pPr>
        <w:pStyle w:val="BookText"/>
      </w:pPr>
      <w:r>
        <w:rPr>
          <w:rFonts w:ascii="IRNazanin" w:hAnsi="IRNazanin" w:eastAsia="IRNazanin" w:cs="IRNazanin"/>
          <w:lang w:bidi="fa-IR"/>
          <w:color w:val="111111"/>
          <w:sz w:val="28"/>
          <w:szCs w:val="28"/>
          <w:rtl/>
        </w:rPr>
        <w:t xml:space="preserve">و به یفرق بین ما نحن فیه و مسألة إیصال الهدیّة بید الطفل؛فإنّه یمکن فیه دعوی کون دفعها </w:t>
      </w:r>
      <w:r>
        <w:rPr>
          <w:rStyle w:val="FootnoteReference"/>
        </w:rPr>
        <w:footnoteReference w:id="2896"/>
      </w:r>
      <w:r>
        <w:rPr>
          <w:rFonts w:ascii="IRNazanin" w:hAnsi="IRNazanin" w:eastAsia="IRNazanin" w:cs="IRNazanin"/>
          <w:lang w:bidi="fa-IR"/>
          <w:color w:val="111111"/>
          <w:sz w:val="28"/>
          <w:szCs w:val="28"/>
          <w:rtl/>
        </w:rPr>
        <w:t xml:space="preserve">إلیه للإیصال إباحة أو تملیکاً </w:t>
      </w:r>
      <w:r>
        <w:rPr>
          <w:rStyle w:val="FootnoteReference"/>
        </w:rPr>
        <w:footnoteReference w:id="2897"/>
      </w:r>
      <w:r>
        <w:rPr>
          <w:rFonts w:ascii="IRNazanin" w:hAnsi="IRNazanin" w:eastAsia="IRNazanin" w:cs="IRNazanin"/>
          <w:lang w:bidi="fa-IR"/>
          <w:color w:val="111111"/>
          <w:sz w:val="28"/>
          <w:szCs w:val="28"/>
          <w:rtl/>
        </w:rPr>
        <w:t xml:space="preserve">،کما ذکر أنّ إذن الولیّ للصبیّ فی الإعارة إذن فی انتفاع المستعیر،و أمّا دخول</w:t>
      </w:r>
    </w:p>
    <w:p>
      <w:pPr>
        <w:pStyle w:val="BookText"/>
      </w:pPr>
      <w:r>
        <w:rPr>
          <w:rFonts w:ascii="IRNazanin" w:hAnsi="IRNazanin" w:eastAsia="IRNazanin" w:cs="IRNazanin"/>
          <w:lang w:bidi="fa-IR"/>
          <w:color w:val="111111"/>
          <w:sz w:val="28"/>
          <w:szCs w:val="28"/>
          <w:rtl/>
        </w:rPr>
        <w:t xml:space="preserve">[شماره صفحه واقعی : 292]
</w:t>
      </w:r>
    </w:p>
    <w:p>
      <w:pPr>
        <w:sectPr>
          <w:footerReference w:type="default" r:id="rId9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الحمّام و شرب الماء و وضع الأُجرة و القیمة،فلو حکم بصحّتهما </w:t>
      </w:r>
      <w:r>
        <w:rPr>
          <w:rStyle w:val="FootnoteReference"/>
        </w:rPr>
        <w:footnoteReference w:id="2898"/>
      </w:r>
      <w:r>
        <w:rPr>
          <w:rFonts w:ascii="IRNazanin" w:hAnsi="IRNazanin" w:eastAsia="IRNazanin" w:cs="IRNazanin"/>
          <w:lang w:bidi="fa-IR"/>
          <w:color w:val="111111"/>
          <w:sz w:val="28"/>
          <w:szCs w:val="28"/>
          <w:rtl/>
        </w:rPr>
        <w:t xml:space="preserve">-بناءً علی ما ذکرنا من حصول المعاطاة بمجرّد المراضاة الخالیة عن الإنشاء- انحصرت صحّة وساطة الصبیّ فیما یکتفی </w:t>
      </w:r>
      <w:r>
        <w:rPr>
          <w:rStyle w:val="FootnoteReference"/>
        </w:rPr>
        <w:footnoteReference w:id="2899"/>
      </w:r>
      <w:r>
        <w:rPr>
          <w:rFonts w:ascii="Amiri" w:hAnsi="Amiri" w:eastAsia="Amiri" w:cs="Amiri"/>
          <w:lang w:bidi="ar-SA"/>
          <w:color w:val="111111"/>
          <w:sz w:val="28"/>
          <w:szCs w:val="28"/>
          <w:rtl/>
        </w:rPr>
        <w:t xml:space="preserve">فیه بمجرّد </w:t>
      </w:r>
      <w:r>
        <w:rPr>
          <w:rStyle w:val="FootnoteReference"/>
        </w:rPr>
        <w:footnoteReference w:id="2900"/>
      </w:r>
      <w:r>
        <w:rPr>
          <w:rFonts w:ascii="IRNazanin" w:hAnsi="IRNazanin" w:eastAsia="IRNazanin" w:cs="IRNazanin"/>
          <w:lang w:bidi="fa-IR"/>
          <w:color w:val="111111"/>
          <w:sz w:val="28"/>
          <w:szCs w:val="28"/>
          <w:rtl/>
        </w:rPr>
        <w:t xml:space="preserve">وصول العوضین، دون ما لا یکتفی </w:t>
      </w:r>
      <w:r>
        <w:rPr>
          <w:rStyle w:val="FootnoteReference"/>
        </w:rPr>
        <w:footnoteReference w:id="2901"/>
      </w:r>
      <w:r>
        <w:rPr>
          <w:rFonts w:ascii="IRNazanin" w:hAnsi="IRNazanin" w:eastAsia="IRNazanin" w:cs="IRNazanin"/>
          <w:lang w:bidi="fa-IR"/>
          <w:color w:val="111111"/>
          <w:sz w:val="28"/>
          <w:szCs w:val="28"/>
          <w:rtl/>
        </w:rPr>
        <w:t xml:space="preserve">فیه.</w:t>
      </w:r>
    </w:p>
    <w:p>
      <w:pPr>
        <w:pStyle w:val="BookText"/>
      </w:pPr>
      <w:r>
        <w:rPr>
          <w:rFonts w:ascii="IRNazanin" w:hAnsi="IRNazanin" w:eastAsia="IRNazanin" w:cs="IRNazanin"/>
          <w:lang w:bidi="fa-IR"/>
          <w:color w:val="111111"/>
          <w:sz w:val="28"/>
          <w:szCs w:val="28"/>
          <w:rtl/>
        </w:rPr>
        <w:t xml:space="preserve">و الحاصل:أنّ دفع الصبی و قبضه بحکم العدم،فکلّ ما یکتفی فیه بوصول کلٍّ من العوضین إلی صاحب الآخر بأیّ وجهٍ اتّفق فلا یضرّ مباشرة الصبی لمقدّمات الوصول.</w:t>
      </w:r>
    </w:p>
    <w:p>
      <w:pPr>
        <w:pStyle w:val="BookText"/>
      </w:pPr>
      <w:r>
        <w:rPr>
          <w:rFonts w:ascii="Amiri" w:hAnsi="Amiri" w:eastAsia="Amiri" w:cs="Amiri"/>
          <w:lang w:bidi="ar-SA"/>
          <w:color w:val="111111"/>
          <w:sz w:val="28"/>
          <w:szCs w:val="28"/>
          <w:rtl/>
        </w:rPr>
        <w:t xml:space="preserve">ثمّ إنّ ما ذکر </w:t>
      </w:r>
      <w:r>
        <w:rPr>
          <w:rStyle w:val="FootnoteReference"/>
        </w:rPr>
        <w:footnoteReference w:id="2902"/>
      </w:r>
      <w:r>
        <w:rPr>
          <w:rFonts w:ascii="Amiri" w:hAnsi="Amiri" w:eastAsia="Amiri" w:cs="Amiri"/>
          <w:lang w:bidi="ar-SA"/>
          <w:color w:val="111111"/>
          <w:sz w:val="28"/>
          <w:szCs w:val="28"/>
          <w:rtl/>
        </w:rPr>
        <w:t xml:space="preserve">مختصٌّ بما إذا علم إذن شخص بالغ عاقل للصبیّ ولیّاً کان أم غیره.</w:t>
      </w:r>
    </w:p>
    <w:p>
      <w:pPr>
        <w:pStyle w:val="BookText"/>
      </w:pPr>
      <w:r>
        <w:rPr>
          <w:rFonts w:ascii="IRNazanin" w:hAnsi="IRNazanin" w:eastAsia="IRNazanin" w:cs="IRNazanin"/>
          <w:lang w:bidi="fa-IR"/>
          <w:color w:val="111111"/>
          <w:sz w:val="28"/>
          <w:szCs w:val="28"/>
          <w:rtl/>
        </w:rPr>
        <w:t xml:space="preserve">و أمّا ما ذکره کاشف الغطاء أخیراً </w:t>
      </w:r>
      <w:r>
        <w:rPr>
          <w:rStyle w:val="FootnoteReference"/>
        </w:rPr>
        <w:footnoteReference w:id="2903"/>
      </w:r>
      <w:r>
        <w:rPr>
          <w:rFonts w:ascii="IRNazanin" w:hAnsi="IRNazanin" w:eastAsia="IRNazanin" w:cs="IRNazanin"/>
          <w:lang w:bidi="fa-IR"/>
          <w:color w:val="111111"/>
          <w:sz w:val="28"/>
          <w:szCs w:val="28"/>
          <w:rtl/>
        </w:rPr>
        <w:t xml:space="preserve">:من صیرورة الشخص </w:t>
      </w:r>
      <w:r>
        <w:rPr>
          <w:rStyle w:val="FootnoteReference"/>
        </w:rPr>
        <w:footnoteReference w:id="2904"/>
      </w:r>
      <w:r>
        <w:rPr>
          <w:rFonts w:ascii="Amiri" w:hAnsi="Amiri" w:eastAsia="Amiri" w:cs="Amiri"/>
          <w:lang w:bidi="ar-SA"/>
          <w:color w:val="111111"/>
          <w:sz w:val="28"/>
          <w:szCs w:val="28"/>
          <w:rtl/>
        </w:rPr>
        <w:t xml:space="preserve">موجباً قابلاً </w:t>
      </w:r>
      <w:r>
        <w:rPr>
          <w:rStyle w:val="FootnoteReference"/>
        </w:rPr>
        <w:footnoteReference w:id="2905"/>
      </w:r>
      <w:r>
        <w:rPr>
          <w:rFonts w:ascii="IRNazanin" w:hAnsi="IRNazanin" w:eastAsia="IRNazanin" w:cs="IRNazanin"/>
          <w:lang w:bidi="fa-IR"/>
          <w:color w:val="111111"/>
          <w:sz w:val="28"/>
          <w:szCs w:val="28"/>
          <w:rtl/>
        </w:rPr>
        <w:t xml:space="preserve">،ففیه:</w:t>
      </w:r>
    </w:p>
    <w:p>
      <w:pPr>
        <w:pStyle w:val="BookText"/>
      </w:pPr>
      <w:r>
        <w:rPr>
          <w:rFonts w:ascii="IRNazanin" w:hAnsi="IRNazanin" w:eastAsia="IRNazanin" w:cs="IRNazanin"/>
          <w:lang w:bidi="fa-IR"/>
          <w:color w:val="111111"/>
          <w:sz w:val="28"/>
          <w:szCs w:val="28"/>
          <w:rtl/>
        </w:rPr>
        <w:t xml:space="preserve">أوّلاً: أنّ تولّی وظیفة الغائب-و هو من أذن للصغیر-إن کان</w:t>
      </w:r>
    </w:p>
    <w:p>
      <w:pPr>
        <w:pStyle w:val="BookText"/>
      </w:pPr>
      <w:r>
        <w:rPr>
          <w:rFonts w:ascii="IRNazanin" w:hAnsi="IRNazanin" w:eastAsia="IRNazanin" w:cs="IRNazanin"/>
          <w:lang w:bidi="fa-IR"/>
          <w:color w:val="111111"/>
          <w:sz w:val="28"/>
          <w:szCs w:val="28"/>
          <w:rtl/>
        </w:rPr>
        <w:t xml:space="preserve">[شماره صفحه واقعی : 293]
</w:t>
      </w:r>
    </w:p>
    <w:p>
      <w:pPr>
        <w:sectPr>
          <w:footerReference w:type="default" r:id="rId9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بإذنٍ منه،فالمفروض انتفاؤه،و إن کان بمجرّد </w:t>
      </w:r>
      <w:r>
        <w:rPr>
          <w:rStyle w:val="FootnoteReference"/>
        </w:rPr>
        <w:footnoteReference w:id="2906"/>
      </w:r>
      <w:r>
        <w:rPr>
          <w:rFonts w:ascii="IRNazanin" w:hAnsi="IRNazanin" w:eastAsia="IRNazanin" w:cs="IRNazanin"/>
          <w:lang w:bidi="fa-IR"/>
          <w:color w:val="111111"/>
          <w:sz w:val="28"/>
          <w:szCs w:val="28"/>
          <w:rtl/>
        </w:rPr>
        <w:t xml:space="preserve">العلم برضاه،فالاکتفاء به فی الخروج عن موضوع الفضولی مشکل،بل ممنوع.</w:t>
      </w:r>
    </w:p>
    <w:p>
      <w:pPr>
        <w:pStyle w:val="BookText"/>
      </w:pPr>
      <w:r>
        <w:rPr>
          <w:rFonts w:ascii="IRNazanin" w:hAnsi="IRNazanin" w:eastAsia="IRNazanin" w:cs="IRNazanin"/>
          <w:lang w:bidi="fa-IR"/>
          <w:color w:val="111111"/>
          <w:sz w:val="28"/>
          <w:szCs w:val="28"/>
          <w:rtl/>
        </w:rPr>
        <w:t xml:space="preserve">و ثانیاً: أنّ المحسوس بالوجدان عدم قصد من یعامل مع الأطفال النیابة عمّن أذن للصبی.</w:t>
      </w:r>
    </w:p>
    <w:p>
      <w:pPr>
        <w:pStyle w:val="BookText"/>
      </w:pPr>
      <w:r>
        <w:rPr>
          <w:rFonts w:ascii="IRNazanin" w:hAnsi="IRNazanin" w:eastAsia="IRNazanin" w:cs="IRNazanin"/>
          <w:lang w:bidi="fa-IR"/>
          <w:color w:val="111111"/>
          <w:sz w:val="28"/>
          <w:szCs w:val="28"/>
          <w:rtl/>
        </w:rPr>
        <w:t xml:space="preserve">ثمّ إنّه لا وجه لاختصاص ما ذکروه من الآلیّة بالصبی، و لا بالأشیاء الحقیرة،بل هو جارٍ فی المجنون و السکران بل البهائم، و </w:t>
      </w:r>
      <w:r>
        <w:rPr>
          <w:rStyle w:val="FootnoteReference"/>
        </w:rPr>
        <w:footnoteReference w:id="2907"/>
      </w:r>
      <w:r>
        <w:rPr>
          <w:rFonts w:ascii="IRNazanin" w:hAnsi="IRNazanin" w:eastAsia="IRNazanin" w:cs="IRNazanin"/>
          <w:lang w:bidi="fa-IR"/>
          <w:color w:val="111111"/>
          <w:sz w:val="28"/>
          <w:szCs w:val="28"/>
          <w:rtl/>
        </w:rPr>
        <w:t xml:space="preserve">فی الأُمور الخطیرة؛إذ المعاملة إذا کانت فی الحقیقة بین الکبار و کان الصغیر آلة،فلا فرق فی الآلیّة بینه و بین غیره.</w:t>
      </w:r>
    </w:p>
    <w:p>
      <w:pPr>
        <w:pStyle w:val="BookText"/>
      </w:pPr>
      <w:r>
        <w:rPr>
          <w:rFonts w:ascii="IRNazanin" w:hAnsi="IRNazanin" w:eastAsia="IRNazanin" w:cs="IRNazanin"/>
          <w:lang w:bidi="fa-IR"/>
          <w:color w:val="111111"/>
          <w:sz w:val="28"/>
          <w:szCs w:val="28"/>
          <w:rtl/>
        </w:rPr>
        <w:t xml:space="preserve">نعم،من تمسّک فی ذلک بالسیرة من غیر أن یتجشّم لإدخال ذلک تحت القاعدة،فله تخصیص ذلک بالصبی؛لأنّه المتیقّن من موردها، کما أنّ ذلک مختصّ بالمحقّرات.</w:t>
      </w:r>
    </w:p>
    <w:p>
      <w:pPr>
        <w:pStyle w:val="BookText"/>
      </w:pPr>
      <w:r>
        <w:rPr>
          <w:rFonts w:ascii="IRNazanin" w:hAnsi="IRNazanin" w:eastAsia="IRNazanin" w:cs="IRNazanin"/>
          <w:lang w:bidi="fa-IR"/>
          <w:color w:val="111111"/>
          <w:sz w:val="28"/>
          <w:szCs w:val="28"/>
          <w:rtl/>
        </w:rPr>
        <w:t xml:space="preserve">[شماره صفحه واقعی : 294]
</w:t>
      </w:r>
    </w:p>
    <w:p>
      <w:pPr>
        <w:sectPr>
          <w:footerReference w:type="default" r:id="rId973"/>
          <w:footnotePr>
            <w:numStart w:val="1"/>
            <w:numRestart w:val="eachPage"/>
          </w:footnotePr>
          <w:pgSz w:orient="portrait" w:w="11905.511811023622" w:h="16837.79527559055"/>
          <w:pgMar w:top="1440" w:right="1440" w:bottom="1440" w:left="1440" w:header="720" w:footer="720" w:gutter="0"/>
          <w:cols w:num="1" w:space="720"/>
        </w:sectPr>
      </w:pPr>
    </w:p>
    <w:bookmarkStart w:id="600" w:name="pg14411_143355"/>
    <w:bookmarkEnd w:id="600"/>
    <w:p>
      <w:pPr>
        <w:pStyle w:val="Heading6"/>
      </w:pPr>
      <w:bookmarkStart w:id="2202" w:name="_Toc1237"/>
      <w:r>
        <w:t>مسألة و من جملة شرائط المتعاقدین:قصدهما لمدلول العقد الذی یتلفّظان به.</w:t>
      </w:r>
      <w:bookmarkEnd w:id="2202"/>
    </w:p>
    <w:p>
      <w:pPr>
        <w:pStyle w:val="Heading6"/>
      </w:pPr>
      <w:bookmarkStart w:id="2203" w:name="_Toc1238"/>
      <w:r>
        <w:t>اشارة</w:t>
      </w:r>
      <w:bookmarkEnd w:id="2203"/>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[*ستوده]</w:t>
      </w:r>
    </w:p>
    <w:p>
      <w:pPr>
        <w:pStyle w:val="BookText"/>
      </w:pPr>
      <w:r>
        <w:rPr>
          <w:rFonts w:ascii="IRNazanin" w:hAnsi="IRNazanin" w:eastAsia="IRNazanin" w:cs="IRNazanin"/>
          <w:lang w:bidi="fa-IR"/>
          <w:color w:val="111111"/>
          <w:sz w:val="28"/>
          <w:szCs w:val="28"/>
          <w:rtl/>
        </w:rPr>
        <w:t xml:space="preserve">و اشتراط القصد بهذا المعنی فی صحّة العقد بل فی تحقّق مفهومه ممّا لا خلاف فیه و لا إشکال،فلا یقع من دون قصدٍ إلی اللفظ کما فی الغالط.أو إلی المعنی-لا بمعنی عدم استعمال اللفظ فیه،بل بمعنی عدم تعلّق إرادته </w:t>
      </w:r>
      <w:r>
        <w:rPr>
          <w:rStyle w:val="FootnoteReference"/>
        </w:rPr>
        <w:footnoteReference w:id="2908"/>
      </w:r>
      <w:r>
        <w:rPr>
          <w:rFonts w:ascii="IRNazanin" w:hAnsi="IRNazanin" w:eastAsia="IRNazanin" w:cs="IRNazanin"/>
          <w:lang w:bidi="fa-IR"/>
          <w:color w:val="111111"/>
          <w:sz w:val="28"/>
          <w:szCs w:val="28"/>
          <w:rtl/>
        </w:rPr>
        <w:t xml:space="preserve">و إن </w:t>
      </w:r>
      <w:r>
        <w:rPr>
          <w:rStyle w:val="FootnoteReference"/>
        </w:rPr>
        <w:footnoteReference w:id="2909"/>
      </w:r>
      <w:r>
        <w:rPr>
          <w:rFonts w:ascii="IRNazanin" w:hAnsi="IRNazanin" w:eastAsia="IRNazanin" w:cs="IRNazanin"/>
          <w:lang w:bidi="fa-IR"/>
          <w:color w:val="111111"/>
          <w:sz w:val="28"/>
          <w:szCs w:val="28"/>
          <w:rtl/>
        </w:rPr>
        <w:t xml:space="preserve">أوجد مدلوله بالإنشاء،کما فی الأمر الصوری فهو </w:t>
      </w:r>
      <w:r>
        <w:rPr>
          <w:rStyle w:val="FootnoteReference"/>
        </w:rPr>
        <w:footnoteReference w:id="2910"/>
      </w:r>
      <w:r>
        <w:rPr>
          <w:rFonts w:ascii="IRNazanin" w:hAnsi="IRNazanin" w:eastAsia="IRNazanin" w:cs="IRNazanin"/>
          <w:lang w:bidi="fa-IR"/>
          <w:color w:val="111111"/>
          <w:sz w:val="28"/>
          <w:szCs w:val="28"/>
          <w:rtl/>
        </w:rPr>
        <w:t xml:space="preserve">شبیه الکذب فی الإخبار-کما فی الهازل.أو قصد معنی یغایر مدلول العقد،بأن قصد الإخبار أو الاستفهام.أو أنشأ معنیً غیر البیع مجازاً أو غلطاً،فلا یقع البیع لعدم القصد إلیه،و لا المقصود إذا اشترط فیه عبارة خاصّة.</w:t>
      </w:r>
    </w:p>
    <w:p>
      <w:pPr>
        <w:pStyle w:val="BookText"/>
      </w:pPr>
      <w:r>
        <w:rPr>
          <w:rFonts w:ascii="IRNazanin" w:hAnsi="IRNazanin" w:eastAsia="IRNazanin" w:cs="IRNazanin"/>
          <w:lang w:bidi="fa-IR"/>
          <w:color w:val="111111"/>
          <w:sz w:val="28"/>
          <w:szCs w:val="28"/>
          <w:rtl/>
        </w:rPr>
        <w:t xml:space="preserve">ثمّ إنّه ربما یقال بعدم تحقّق القصد فی عقد الفضولی و المکره کما صرّح به فی المسالک،حیث قال:إنّهما قاصدان إلی اللفظ دون مدلوله </w:t>
      </w:r>
      <w:r>
        <w:rPr>
          <w:rStyle w:val="FootnoteReference"/>
        </w:rPr>
        <w:footnoteReference w:id="29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295]
</w:t>
      </w:r>
    </w:p>
    <w:p>
      <w:pPr>
        <w:sectPr>
          <w:footerReference w:type="default" r:id="rId974"/>
          <w:footnotePr>
            <w:numStart w:val="1"/>
            <w:numRestart w:val="eachPage"/>
          </w:footnotePr>
          <w:pgSz w:orient="portrait" w:w="11905.511811023622" w:h="16837.79527559055"/>
          <w:pgMar w:top="1440" w:right="1440" w:bottom="1440" w:left="1440" w:header="720" w:footer="720" w:gutter="0"/>
          <w:cols w:num="1" w:space="720"/>
        </w:sectPr>
      </w:pPr>
    </w:p>
    <w:bookmarkStart w:id="601" w:name="pg14411_143356"/>
    <w:bookmarkEnd w:id="601"/>
    <w:p>
      <w:pPr>
        <w:pStyle w:val="BookText"/>
      </w:pPr>
      <w:r>
        <w:rPr>
          <w:rFonts w:ascii="IRNazanin" w:hAnsi="IRNazanin" w:eastAsia="IRNazanin" w:cs="IRNazanin"/>
          <w:lang w:bidi="fa-IR"/>
          <w:color w:val="111111"/>
          <w:sz w:val="28"/>
          <w:szCs w:val="28"/>
          <w:rtl/>
        </w:rPr>
        <w:t xml:space="preserve">و فیه:أنّه لا دلیل علی اشتراط أزید من القصد المتحقّق فی صدق مفهوم العقد؛مضافاً إلی ما سیجیء فی أدلّة الفضولی </w:t>
      </w:r>
      <w:r>
        <w:rPr>
          <w:rStyle w:val="FootnoteReference"/>
        </w:rPr>
        <w:footnoteReference w:id="2912"/>
      </w:r>
      <w:r>
        <w:rPr>
          <w:rFonts w:ascii="IRNazanin" w:hAnsi="IRNazanin" w:eastAsia="IRNazanin" w:cs="IRNazanin"/>
          <w:lang w:bidi="fa-IR"/>
          <w:color w:val="111111"/>
          <w:sz w:val="28"/>
          <w:szCs w:val="28"/>
          <w:rtl/>
        </w:rPr>
        <w:t xml:space="preserve">،و أمّا معنی ما فی المسالک فسیأتی فی اشتراط الاختیار </w:t>
      </w:r>
      <w:r>
        <w:rPr>
          <w:rStyle w:val="FootnoteReference"/>
        </w:rPr>
        <w:footnoteReference w:id="2913"/>
      </w:r>
      <w:r>
        <w:rPr>
          <w:rFonts w:ascii="Times New Roman" w:hAnsi="Times New Roman" w:eastAsia="Times New Roman" w:cs="Times New Roman"/>
          <w:lang w:val="en-US" w:bidi="en-US"/>
          <w:color w:val="111111"/>
          <w:sz w:val="28"/>
          <w:szCs w:val="28"/>
          <w:rtl/>
        </w:rPr>
        <w:t xml:space="preserve">.</w:t>
      </w:r>
    </w:p>
    <w:p>
      <w:pPr>
        <w:pStyle w:val="Heading6"/>
      </w:pPr>
      <w:bookmarkStart w:id="2204" w:name="_Toc1239"/>
      <w:r>
        <w:t>[کلام صاحب المقابس فی اعتبار تعیین المالکین و المناقشات فیه]</w:t>
      </w:r>
      <w:bookmarkEnd w:id="2204"/>
    </w:p>
    <w:p>
      <w:pPr>
        <w:pStyle w:val="BookText"/>
      </w:pPr>
      <w:r>
        <w:rPr>
          <w:rFonts w:ascii="IRNazanin" w:hAnsi="IRNazanin" w:eastAsia="IRNazanin" w:cs="IRNazanin"/>
          <w:lang w:bidi="fa-IR"/>
          <w:color w:val="111111"/>
          <w:sz w:val="28"/>
          <w:szCs w:val="28"/>
          <w:rtl/>
        </w:rPr>
        <w:t xml:space="preserve">و اعلم أنّه ذکر بعض المحقّقین ممّن عاصرناه </w:t>
      </w:r>
      <w:r>
        <w:rPr>
          <w:rStyle w:val="FootnoteReference"/>
        </w:rPr>
        <w:footnoteReference w:id="2914"/>
      </w:r>
      <w:r>
        <w:rPr>
          <w:rFonts w:ascii="IRNazanin" w:hAnsi="IRNazanin" w:eastAsia="IRNazanin" w:cs="IRNazanin"/>
          <w:lang w:bidi="fa-IR"/>
          <w:color w:val="111111"/>
          <w:sz w:val="28"/>
          <w:szCs w:val="28"/>
          <w:rtl/>
        </w:rPr>
        <w:t xml:space="preserve">کلاماً فی هذا المقام، فی أنّه هل یعتبر تعیین المالکین اللذین یتحقّق النقل و الانتقال </w:t>
      </w:r>
      <w:r>
        <w:rPr>
          <w:rStyle w:val="FootnoteReference"/>
        </w:rPr>
        <w:footnoteReference w:id="2915"/>
      </w:r>
      <w:r>
        <w:rPr>
          <w:rFonts w:ascii="IRNazanin" w:hAnsi="IRNazanin" w:eastAsia="IRNazanin" w:cs="IRNazanin"/>
          <w:lang w:bidi="fa-IR"/>
          <w:color w:val="111111"/>
          <w:sz w:val="28"/>
          <w:szCs w:val="28"/>
          <w:rtl/>
        </w:rPr>
        <w:t xml:space="preserve">بالنسبة إلیهما،أم لا؟و ذکر،أنّ فی المسألة أوجهاً و أقوالاً،و أنّ المسألة فی غایة الإشکال،و أنّه قد اضطربت فیها کلمات الأصحاب قدّس اللّه أرواحهم فی تضاعیف أبواب الفقه.ثمّ قال:</w:t>
      </w:r>
    </w:p>
    <w:p>
      <w:pPr>
        <w:pStyle w:val="BookText"/>
      </w:pPr>
      <w:r>
        <w:rPr>
          <w:rFonts w:ascii="IRNazanin" w:hAnsi="IRNazanin" w:eastAsia="IRNazanin" w:cs="IRNazanin"/>
          <w:lang w:bidi="fa-IR"/>
          <w:color w:val="111111"/>
          <w:sz w:val="28"/>
          <w:szCs w:val="28"/>
          <w:rtl/>
        </w:rPr>
        <w:t xml:space="preserve">و تحقیق المسألة:أنّه إن توقّف تعیّن المالک علی التعیین حال العقد؛لتعدّد وجه وقوعه الممکن شرعاً،اعتبر تعیینه فی النیّة،أو مع اللفظ </w:t>
      </w:r>
      <w:r>
        <w:rPr>
          <w:rStyle w:val="FootnoteReference"/>
        </w:rPr>
        <w:footnoteReference w:id="2916"/>
      </w:r>
      <w:r>
        <w:rPr>
          <w:rFonts w:ascii="IRNazanin" w:hAnsi="IRNazanin" w:eastAsia="IRNazanin" w:cs="IRNazanin"/>
          <w:lang w:bidi="fa-IR"/>
          <w:color w:val="111111"/>
          <w:sz w:val="28"/>
          <w:szCs w:val="28"/>
          <w:rtl/>
        </w:rPr>
        <w:t xml:space="preserve">به أیضاً کبیع الوکیل و الولی العاقد عن اثنین فی بیعٍ واحد، و الوکیل عنهما </w:t>
      </w:r>
      <w:r>
        <w:rPr>
          <w:rStyle w:val="FootnoteReference"/>
        </w:rPr>
        <w:footnoteReference w:id="2917"/>
      </w:r>
      <w:r>
        <w:rPr>
          <w:rFonts w:ascii="IRNazanin" w:hAnsi="IRNazanin" w:eastAsia="IRNazanin" w:cs="IRNazanin"/>
          <w:lang w:bidi="fa-IR"/>
          <w:color w:val="111111"/>
          <w:sz w:val="28"/>
          <w:szCs w:val="28"/>
          <w:rtl/>
        </w:rPr>
        <w:t xml:space="preserve">و الولیّ علیهما فی البیوع المتعدّدة،فیجب أن یعیّن من یقع له البیع أو الشراء،من نفسه أو غیره،و أن یمیّز البائع من المشتری إذا أمکن الوصفان فی کلٍّ منهما.</w:t>
      </w:r>
    </w:p>
    <w:p>
      <w:pPr>
        <w:pStyle w:val="BookText"/>
      </w:pPr>
      <w:r>
        <w:rPr>
          <w:rFonts w:ascii="IRNazanin" w:hAnsi="IRNazanin" w:eastAsia="IRNazanin" w:cs="IRNazanin"/>
          <w:lang w:bidi="fa-IR"/>
          <w:color w:val="111111"/>
          <w:sz w:val="28"/>
          <w:szCs w:val="28"/>
          <w:rtl/>
        </w:rPr>
        <w:t xml:space="preserve">[شماره صفحه واقعی : 296]
</w:t>
      </w:r>
    </w:p>
    <w:p>
      <w:pPr>
        <w:sectPr>
          <w:footerReference w:type="default" r:id="rId9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فإذا عیّن جهة خاصّة تعیّنت،و إن أطلق:فإن کان هناک جهة یصرف إلیها الإطلاق کان کالتعیین-کما لو دار الأمر بین نفسه و غیره إذا لم یقصد الإبهام و التعیین بعد العقد-و إلّا وقع لاغیاً،و هذا جارٍ فی سائر العقود من النکاح و غیره.</w:t>
      </w:r>
    </w:p>
    <w:p>
      <w:pPr>
        <w:pStyle w:val="BookText"/>
      </w:pPr>
      <w:r>
        <w:rPr>
          <w:rFonts w:ascii="IRNazanin" w:hAnsi="IRNazanin" w:eastAsia="IRNazanin" w:cs="IRNazanin"/>
          <w:lang w:bidi="fa-IR"/>
          <w:color w:val="111111"/>
          <w:sz w:val="28"/>
          <w:szCs w:val="28"/>
          <w:rtl/>
        </w:rPr>
        <w:t xml:space="preserve">و الدلیل علی اشتراط التعیین و لزوم متابعته فی هذا القسم:أنّه لو لا ذلک لزم بقاء الملک بلا مالکٍ معیّنٍ </w:t>
      </w:r>
      <w:r>
        <w:rPr>
          <w:rStyle w:val="FootnoteReference"/>
        </w:rPr>
        <w:footnoteReference w:id="2918"/>
      </w:r>
      <w:r>
        <w:rPr>
          <w:rFonts w:ascii="IRNazanin" w:hAnsi="IRNazanin" w:eastAsia="IRNazanin" w:cs="IRNazanin"/>
          <w:lang w:bidi="fa-IR"/>
          <w:color w:val="111111"/>
          <w:sz w:val="28"/>
          <w:szCs w:val="28"/>
          <w:rtl/>
        </w:rPr>
        <w:t xml:space="preserve">فی نفس الأمر،و أن لا یحصل الجزم بشیءٍ من العقود التی لم یتعیّن فیها </w:t>
      </w:r>
      <w:r>
        <w:rPr>
          <w:rStyle w:val="FootnoteReference"/>
        </w:rPr>
        <w:footnoteReference w:id="2919"/>
      </w:r>
      <w:r>
        <w:rPr>
          <w:rFonts w:ascii="IRNazanin" w:hAnsi="IRNazanin" w:eastAsia="IRNazanin" w:cs="IRNazanin"/>
          <w:lang w:bidi="fa-IR"/>
          <w:color w:val="111111"/>
          <w:sz w:val="28"/>
          <w:szCs w:val="28"/>
          <w:rtl/>
        </w:rPr>
        <w:t xml:space="preserve">العوضان، و لا بشیءٍ من الأحکام و الآثار المترتّبة علی ذلک،و فساد ذلک ظاهر.</w:t>
      </w:r>
    </w:p>
    <w:p>
      <w:pPr>
        <w:pStyle w:val="BookText"/>
      </w:pPr>
      <w:r>
        <w:rPr>
          <w:rFonts w:ascii="IRNazanin" w:hAnsi="IRNazanin" w:eastAsia="IRNazanin" w:cs="IRNazanin"/>
          <w:lang w:bidi="fa-IR"/>
          <w:color w:val="111111"/>
          <w:sz w:val="28"/>
          <w:szCs w:val="28"/>
          <w:rtl/>
        </w:rPr>
        <w:t xml:space="preserve">و لا دلیل علی تأثیر التعیین المتعقّب،و لا علی صحّة العقد المبهم؛ لانصراف الأدلّة إلی الشائع المعهود </w:t>
      </w:r>
      <w:r>
        <w:rPr>
          <w:rStyle w:val="FootnoteReference"/>
        </w:rPr>
        <w:footnoteReference w:id="2920"/>
      </w:r>
      <w:r>
        <w:rPr>
          <w:rFonts w:ascii="IRNazanin" w:hAnsi="IRNazanin" w:eastAsia="IRNazanin" w:cs="IRNazanin"/>
          <w:lang w:bidi="fa-IR"/>
          <w:color w:val="111111"/>
          <w:sz w:val="28"/>
          <w:szCs w:val="28"/>
          <w:rtl/>
        </w:rPr>
        <w:t xml:space="preserve">من الشریعة و العادة،فوجب الحکم بعدمه </w:t>
      </w:r>
      <w:r>
        <w:rPr>
          <w:rStyle w:val="FootnoteReference"/>
        </w:rPr>
        <w:footnoteReference w:id="29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علی هذا،فلو شری </w:t>
      </w:r>
      <w:r>
        <w:rPr>
          <w:rStyle w:val="FootnoteReference"/>
        </w:rPr>
        <w:footnoteReference w:id="2922"/>
      </w:r>
      <w:r>
        <w:rPr>
          <w:rFonts w:ascii="IRNazanin" w:hAnsi="IRNazanin" w:eastAsia="IRNazanin" w:cs="IRNazanin"/>
          <w:lang w:bidi="fa-IR"/>
          <w:color w:val="111111"/>
          <w:sz w:val="28"/>
          <w:szCs w:val="28"/>
          <w:rtl/>
        </w:rPr>
        <w:t xml:space="preserve">الفضولی لغیره فی الذمّة،فإن عیّن ذلک الغیر تعیّن و وقف علی إجازته،سواء تلفّظ بذلک أم نواه،و إن أبهم مع قصد الغیر بطل،و لا یوقف إلی أن یوجد له مجیز-إلی أن قال-:و إن لم یتوقّف تعیّن </w:t>
      </w:r>
      <w:r>
        <w:rPr>
          <w:rStyle w:val="FootnoteReference"/>
        </w:rPr>
        <w:footnoteReference w:id="2923"/>
      </w:r>
      <w:r>
        <w:rPr>
          <w:rFonts w:ascii="IRNazanin" w:hAnsi="IRNazanin" w:eastAsia="IRNazanin" w:cs="IRNazanin"/>
          <w:lang w:bidi="fa-IR"/>
          <w:color w:val="111111"/>
          <w:sz w:val="28"/>
          <w:szCs w:val="28"/>
          <w:rtl/>
        </w:rPr>
        <w:t xml:space="preserve">المالک علی التعیین حال العقد بأن یکون العوضان</w:t>
      </w:r>
    </w:p>
    <w:p>
      <w:pPr>
        <w:pStyle w:val="BookText"/>
      </w:pPr>
      <w:r>
        <w:rPr>
          <w:rFonts w:ascii="IRNazanin" w:hAnsi="IRNazanin" w:eastAsia="IRNazanin" w:cs="IRNazanin"/>
          <w:lang w:bidi="fa-IR"/>
          <w:color w:val="111111"/>
          <w:sz w:val="28"/>
          <w:szCs w:val="28"/>
          <w:rtl/>
        </w:rPr>
        <w:t xml:space="preserve">[شماره صفحه واقعی : 297]
</w:t>
      </w:r>
    </w:p>
    <w:p>
      <w:pPr>
        <w:sectPr>
          <w:footerReference w:type="default" r:id="rId9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معیّنین،و لا یقع العقد فیهما علی وجهٍ یصحّ إلّا لمالکهما،ففی وجوب التعیین أو الإطلاق المنصرف إلیه،أو عدمه مطلقاً،أو التفصیل بین التصریح بالخلاف فیبطل،و عدمه فیصحّ،أوجه،أقواها </w:t>
      </w:r>
      <w:r>
        <w:rPr>
          <w:rStyle w:val="FootnoteReference"/>
        </w:rPr>
        <w:footnoteReference w:id="2924"/>
      </w:r>
      <w:r>
        <w:rPr>
          <w:rFonts w:ascii="IRNazanin" w:hAnsi="IRNazanin" w:eastAsia="IRNazanin" w:cs="IRNazanin"/>
          <w:lang w:bidi="fa-IR"/>
          <w:color w:val="111111"/>
          <w:sz w:val="28"/>
          <w:szCs w:val="28"/>
          <w:rtl/>
        </w:rPr>
        <w:t xml:space="preserve">الأخیر، و أوسطها الوسط،و أشبهها للأُصول الأوّل.</w:t>
      </w:r>
    </w:p>
    <w:p>
      <w:pPr>
        <w:pStyle w:val="BookText"/>
      </w:pPr>
      <w:r>
        <w:rPr>
          <w:rFonts w:ascii="IRNazanin" w:hAnsi="IRNazanin" w:eastAsia="IRNazanin" w:cs="IRNazanin"/>
          <w:lang w:bidi="fa-IR"/>
          <w:color w:val="111111"/>
          <w:sz w:val="28"/>
          <w:szCs w:val="28"/>
          <w:rtl/>
        </w:rPr>
        <w:t xml:space="preserve">و فی حکم التعیین ما إذا </w:t>
      </w:r>
      <w:r>
        <w:rPr>
          <w:rStyle w:val="FootnoteReference"/>
        </w:rPr>
        <w:footnoteReference w:id="2925"/>
      </w:r>
      <w:r>
        <w:rPr>
          <w:rFonts w:ascii="Amiri" w:hAnsi="Amiri" w:eastAsia="Amiri" w:cs="Amiri"/>
          <w:lang w:bidi="ar-SA"/>
          <w:color w:val="111111"/>
          <w:sz w:val="28"/>
          <w:szCs w:val="28"/>
          <w:rtl/>
        </w:rPr>
        <w:t xml:space="preserve">عیّن المال بکونه فی ذمّة زیدٍ مثلاً.</w:t>
      </w:r>
    </w:p>
    <w:p>
      <w:pPr>
        <w:pStyle w:val="BookText"/>
      </w:pPr>
      <w:r>
        <w:rPr>
          <w:rFonts w:ascii="IRNazanin" w:hAnsi="IRNazanin" w:eastAsia="IRNazanin" w:cs="IRNazanin"/>
          <w:lang w:bidi="fa-IR"/>
          <w:color w:val="111111"/>
          <w:sz w:val="28"/>
          <w:szCs w:val="28"/>
          <w:rtl/>
        </w:rPr>
        <w:t xml:space="preserve">[*ستوده]</w:t>
      </w:r>
    </w:p>
    <w:p>
      <w:pPr>
        <w:pStyle w:val="BookText"/>
      </w:pPr>
      <w:r>
        <w:rPr>
          <w:rFonts w:ascii="IRNazanin" w:hAnsi="IRNazanin" w:eastAsia="IRNazanin" w:cs="IRNazanin"/>
          <w:lang w:bidi="fa-IR"/>
          <w:color w:val="111111"/>
          <w:sz w:val="28"/>
          <w:szCs w:val="28"/>
          <w:rtl/>
        </w:rPr>
        <w:t xml:space="preserve">و علی الأوسط:</w:t>
      </w:r>
    </w:p>
    <w:p>
      <w:pPr>
        <w:pStyle w:val="BookText"/>
      </w:pPr>
      <w:r>
        <w:rPr>
          <w:rFonts w:ascii="IRNazanin" w:hAnsi="IRNazanin" w:eastAsia="IRNazanin" w:cs="IRNazanin"/>
          <w:lang w:bidi="fa-IR"/>
          <w:color w:val="111111"/>
          <w:sz w:val="28"/>
          <w:szCs w:val="28"/>
          <w:rtl/>
        </w:rPr>
        <w:t xml:space="preserve">لو باع مال نفسه عن الغیر،وقع عنه و لغی قصد کونه عن الغیر.</w:t>
      </w:r>
    </w:p>
    <w:p>
      <w:pPr>
        <w:pStyle w:val="BookText"/>
      </w:pPr>
      <w:r>
        <w:rPr>
          <w:rFonts w:ascii="IRNazanin" w:hAnsi="IRNazanin" w:eastAsia="IRNazanin" w:cs="IRNazanin"/>
          <w:lang w:bidi="fa-IR"/>
          <w:color w:val="111111"/>
          <w:sz w:val="28"/>
          <w:szCs w:val="28"/>
          <w:rtl/>
        </w:rPr>
        <w:t xml:space="preserve">و لو باع مال زید عن عمرو،فإن کان وکیلاً عن زید صحّ عنه، و إلّا وقف علی إجازته.</w:t>
      </w:r>
    </w:p>
    <w:p>
      <w:pPr>
        <w:pStyle w:val="BookText"/>
      </w:pPr>
      <w:r>
        <w:rPr>
          <w:rFonts w:ascii="IRNazanin" w:hAnsi="IRNazanin" w:eastAsia="IRNazanin" w:cs="IRNazanin"/>
          <w:lang w:bidi="fa-IR"/>
          <w:color w:val="111111"/>
          <w:sz w:val="28"/>
          <w:szCs w:val="28"/>
          <w:rtl/>
        </w:rPr>
        <w:t xml:space="preserve">و لو اشتری لنفسه بمالٍ فی ذمّة زید،فإن لم یکن وکیلاً عن زید وقع عنه و تعلّق المال بذمّته،لا عن زید؛لیقف علی إجازته،و إن کان وکیلاً فالمقتضی لکلٍّ من العقدین منفرداً موجود،و الجمع بینهما یقتضی إلغاء أحدهما،و لمّا لم یتعیّن احتمل البطلان؛للتدافع،و صحّته عن نفسه؛ لعدم تعلّق الوکالة بمثل هذا الشراء و ترجیح جانب الأصالة،و عن الموکل؛لتعیّن العوض فی ذمّة الموکل،فقصد کون الشراء لنفسه لغو کما فی المعیّن.</w:t>
      </w:r>
    </w:p>
    <w:p>
      <w:pPr>
        <w:pStyle w:val="BookText"/>
      </w:pPr>
      <w:r>
        <w:rPr>
          <w:rFonts w:ascii="IRNazanin" w:hAnsi="IRNazanin" w:eastAsia="IRNazanin" w:cs="IRNazanin"/>
          <w:lang w:bidi="fa-IR"/>
          <w:color w:val="111111"/>
          <w:sz w:val="28"/>
          <w:szCs w:val="28"/>
          <w:rtl/>
        </w:rPr>
        <w:t xml:space="preserve">و لو اشتری عن زید بشیءٍ فی ذمّته فضولاً و لم یجز،فأجاز عمرو،لم یصحّ عن أحدهما.</w:t>
      </w:r>
    </w:p>
    <w:p>
      <w:pPr>
        <w:pStyle w:val="BookText"/>
      </w:pPr>
      <w:r>
        <w:rPr>
          <w:rFonts w:ascii="IRNazanin" w:hAnsi="IRNazanin" w:eastAsia="IRNazanin" w:cs="IRNazanin"/>
          <w:lang w:bidi="fa-IR"/>
          <w:color w:val="111111"/>
          <w:sz w:val="28"/>
          <w:szCs w:val="28"/>
          <w:rtl/>
        </w:rPr>
        <w:t xml:space="preserve">[شماره صفحه واقعی : 298]
</w:t>
      </w:r>
    </w:p>
    <w:p>
      <w:pPr>
        <w:sectPr>
          <w:footerReference w:type="default" r:id="rId9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قس علی ما ذکر حال ما یرد من هذا الباب،و لا فرق علی الأوسط-فی الأحکام المذکورة-بین النیّة المخالفة و التسمیة،و یفرّق بینهما علی الأخیر،و یبطل الجمیع علی الأوّل </w:t>
      </w:r>
      <w:r>
        <w:rPr>
          <w:rStyle w:val="FootnoteReference"/>
        </w:rPr>
        <w:footnoteReference w:id="2926"/>
      </w:r>
      <w:r>
        <w:rPr>
          <w:rFonts w:ascii="IRNazanin" w:hAnsi="IRNazanin" w:eastAsia="IRNazanin" w:cs="IRNazanin"/>
          <w:lang w:bidi="fa-IR"/>
          <w:color w:val="111111"/>
          <w:sz w:val="28"/>
          <w:szCs w:val="28"/>
          <w:rtl/>
        </w:rPr>
        <w:t xml:space="preserve">،انتهی کلامه رحمه اللّه </w:t>
      </w:r>
      <w:r>
        <w:rPr>
          <w:rStyle w:val="FootnoteReference"/>
        </w:rPr>
        <w:footnoteReference w:id="29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أقول:مقتضی المعاوضة و المبادلة دخول کلٍّ من العوضین فی ملک مالک الآخر،و إلّا لم یکن کلٌّ منهما عوضاً و بدلاً.</w:t>
      </w:r>
    </w:p>
    <w:p>
      <w:pPr>
        <w:pStyle w:val="BookText"/>
      </w:pPr>
      <w:r>
        <w:rPr>
          <w:rFonts w:ascii="IRNazanin" w:hAnsi="IRNazanin" w:eastAsia="IRNazanin" w:cs="IRNazanin"/>
          <w:lang w:bidi="fa-IR"/>
          <w:color w:val="111111"/>
          <w:sz w:val="28"/>
          <w:szCs w:val="28"/>
          <w:rtl/>
        </w:rPr>
        <w:t xml:space="preserve">و علی هذا،فالقصد إلی العوض و تعیینه یغنی عن تعیین المالک،إلّا أنّ ملکیّة العوض و ترتّب آثار الملک علیه قد یتوقّف علی تعیین المالک؛ فإنّ من الأعواض ما یکون متشخّصاً بنفسه فی الخارج کالأعیان.</w:t>
      </w:r>
    </w:p>
    <w:p>
      <w:pPr>
        <w:pStyle w:val="BookText"/>
      </w:pPr>
      <w:r>
        <w:rPr>
          <w:rFonts w:ascii="IRNazanin" w:hAnsi="IRNazanin" w:eastAsia="IRNazanin" w:cs="IRNazanin"/>
          <w:lang w:bidi="fa-IR"/>
          <w:color w:val="111111"/>
          <w:sz w:val="28"/>
          <w:szCs w:val="28"/>
          <w:rtl/>
        </w:rPr>
        <w:t xml:space="preserve">و منها ما لا یتشخّص إلّا بإضافته إلی مالک ک«ما فی الذمم»؛لأنّ </w:t>
      </w:r>
      <w:r>
        <w:rPr>
          <w:rStyle w:val="FootnoteReference"/>
        </w:rPr>
        <w:footnoteReference w:id="2928"/>
      </w:r>
      <w:r>
        <w:rPr>
          <w:rFonts w:ascii="Amiri" w:hAnsi="Amiri" w:eastAsia="Amiri" w:cs="Amiri"/>
          <w:lang w:bidi="ar-SA"/>
          <w:color w:val="111111"/>
          <w:sz w:val="28"/>
          <w:szCs w:val="28"/>
          <w:rtl/>
        </w:rPr>
        <w:t xml:space="preserve">ملکیّة الکلّی لا یکون </w:t>
      </w:r>
      <w:r>
        <w:rPr>
          <w:rStyle w:val="FootnoteReference"/>
        </w:rPr>
        <w:footnoteReference w:id="2929"/>
      </w:r>
      <w:r>
        <w:rPr>
          <w:rFonts w:ascii="IRNazanin" w:hAnsi="IRNazanin" w:eastAsia="IRNazanin" w:cs="IRNazanin"/>
          <w:lang w:bidi="fa-IR"/>
          <w:color w:val="111111"/>
          <w:sz w:val="28"/>
          <w:szCs w:val="28"/>
          <w:rtl/>
        </w:rPr>
        <w:t xml:space="preserve">إلّا مضافاً إلی ذمّة،و إجراء أحکام الملک علی ما فی ذمّة الواحد المردّد بین شخصین فصاعداً غیر معهود.</w:t>
      </w:r>
    </w:p>
    <w:p>
      <w:pPr>
        <w:pStyle w:val="BookText"/>
      </w:pPr>
      <w:r>
        <w:rPr>
          <w:rFonts w:ascii="IRNazanin" w:hAnsi="IRNazanin" w:eastAsia="IRNazanin" w:cs="IRNazanin"/>
          <w:lang w:bidi="fa-IR"/>
          <w:color w:val="111111"/>
          <w:sz w:val="28"/>
          <w:szCs w:val="28"/>
          <w:rtl/>
        </w:rPr>
        <w:t xml:space="preserve">فتعیین </w:t>
      </w:r>
      <w:r>
        <w:rPr>
          <w:rStyle w:val="FootnoteReference"/>
        </w:rPr>
        <w:footnoteReference w:id="2930"/>
      </w:r>
      <w:r>
        <w:rPr>
          <w:rFonts w:ascii="IRNazanin" w:hAnsi="IRNazanin" w:eastAsia="IRNazanin" w:cs="IRNazanin"/>
          <w:lang w:bidi="fa-IR"/>
          <w:color w:val="111111"/>
          <w:sz w:val="28"/>
          <w:szCs w:val="28"/>
          <w:rtl/>
        </w:rPr>
        <w:t xml:space="preserve">الشخص فی الکلّی إنّما یحتاج إلیه لتوقّف اعتبار ملکیّة ما فی الذمم علی تعیین </w:t>
      </w:r>
      <w:r>
        <w:rPr>
          <w:rStyle w:val="FootnoteReference"/>
        </w:rPr>
        <w:footnoteReference w:id="2931"/>
      </w:r>
      <w:r>
        <w:rPr>
          <w:rFonts w:ascii="Amiri" w:hAnsi="Amiri" w:eastAsia="Amiri" w:cs="Amiri"/>
          <w:lang w:bidi="ar-SA"/>
          <w:color w:val="111111"/>
          <w:sz w:val="28"/>
          <w:szCs w:val="28"/>
          <w:rtl/>
        </w:rPr>
        <w:t xml:space="preserve">صاحب الذمّة.</w:t>
      </w:r>
    </w:p>
    <w:p>
      <w:pPr>
        <w:pStyle w:val="BookText"/>
      </w:pPr>
      <w:r>
        <w:rPr>
          <w:rFonts w:ascii="IRNazanin" w:hAnsi="IRNazanin" w:eastAsia="IRNazanin" w:cs="IRNazanin"/>
          <w:lang w:bidi="fa-IR"/>
          <w:color w:val="111111"/>
          <w:sz w:val="28"/>
          <w:szCs w:val="28"/>
          <w:rtl/>
        </w:rPr>
        <w:t xml:space="preserve">فصحّ علی ما ذکرنا أنّ تعیین المالک مطلقاً غیر معتبرٍ سواء فی</w:t>
      </w:r>
    </w:p>
    <w:p>
      <w:pPr>
        <w:pStyle w:val="BookText"/>
      </w:pPr>
      <w:r>
        <w:rPr>
          <w:rFonts w:ascii="IRNazanin" w:hAnsi="IRNazanin" w:eastAsia="IRNazanin" w:cs="IRNazanin"/>
          <w:lang w:bidi="fa-IR"/>
          <w:color w:val="111111"/>
          <w:sz w:val="28"/>
          <w:szCs w:val="28"/>
          <w:rtl/>
        </w:rPr>
        <w:t xml:space="preserve">[شماره صفحه واقعی : 299]
</w:t>
      </w:r>
    </w:p>
    <w:p>
      <w:pPr>
        <w:sectPr>
          <w:footerReference w:type="default" r:id="rId9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العوض المعیّن أو فی </w:t>
      </w:r>
      <w:r>
        <w:rPr>
          <w:rStyle w:val="FootnoteReference"/>
        </w:rPr>
        <w:footnoteReference w:id="2932"/>
      </w:r>
      <w:r>
        <w:rPr>
          <w:rFonts w:ascii="IRNazanin" w:hAnsi="IRNazanin" w:eastAsia="IRNazanin" w:cs="IRNazanin"/>
          <w:lang w:bidi="fa-IR"/>
          <w:color w:val="111111"/>
          <w:sz w:val="28"/>
          <w:szCs w:val="28"/>
          <w:rtl/>
        </w:rPr>
        <w:t xml:space="preserve">الکلّی،و أنّ اعتبار التعیین فیما ذکره من الأمثلة فی الشقّ الأوّل من تفصیله </w:t>
      </w:r>
      <w:r>
        <w:rPr>
          <w:rStyle w:val="FootnoteReference"/>
        </w:rPr>
        <w:footnoteReference w:id="2933"/>
      </w:r>
      <w:r>
        <w:rPr>
          <w:rFonts w:ascii="IRNazanin" w:hAnsi="IRNazanin" w:eastAsia="IRNazanin" w:cs="IRNazanin"/>
          <w:lang w:bidi="fa-IR"/>
          <w:color w:val="111111"/>
          <w:sz w:val="28"/>
          <w:szCs w:val="28"/>
          <w:rtl/>
        </w:rPr>
        <w:t xml:space="preserve">إنّما هو لتصحیح ملکیّة العوض بتعیین من یضاف الملک إلیه،لا لتوقّف المعاملة علی تعیین ذلک الشخص بعد فرض کونه مالکاً،فإنّ من اشتری لغیره فی الذمّة إذا لم یعیّن الغیر لم یکن الثمن مِلکاً؛لأنّ ما فی الذمّة ما لم یضف إلی شخصٍ معیّن لم یترتّب علیه أحکام المال:من جعله ثمناً أو مثمناً،و کذا الوکیل أو الولی العاقد عن اثنین؛فإنّه إذا جعل العوضین فی الذمّة بأن قال:</w:t>
      </w:r>
    </w:p>
    <w:p>
      <w:pPr>
        <w:pStyle w:val="BookText"/>
      </w:pPr>
      <w:r>
        <w:rPr>
          <w:rFonts w:ascii="IRNazanin" w:hAnsi="IRNazanin" w:eastAsia="IRNazanin" w:cs="IRNazanin"/>
          <w:lang w:bidi="fa-IR"/>
          <w:color w:val="111111"/>
          <w:sz w:val="28"/>
          <w:szCs w:val="28"/>
          <w:rtl/>
        </w:rPr>
        <w:t xml:space="preserve">«بعت عبداً بألف»،ثمّ قال:«قبلت»فلا یصیر العبد قابلاً للبیع، و لا الألف قابلاً للاشتراء به حتّی یُسنِد کلاّ منهما إلی معیّن،أو إلی نفسه من حیث إنّه نائب عن ذلک المعیّن،فیقول:«بعت عبداً من مال فلان بألف من مال فلان»فیمتاز البائع عن المشتری.</w:t>
      </w:r>
    </w:p>
    <w:p>
      <w:pPr>
        <w:pStyle w:val="BookText"/>
      </w:pPr>
      <w:r>
        <w:rPr>
          <w:rFonts w:ascii="IRNazanin" w:hAnsi="IRNazanin" w:eastAsia="IRNazanin" w:cs="IRNazanin"/>
          <w:lang w:bidi="fa-IR"/>
          <w:color w:val="111111"/>
          <w:sz w:val="28"/>
          <w:szCs w:val="28"/>
          <w:rtl/>
        </w:rPr>
        <w:t xml:space="preserve">و أمّا ما ذکره من الوجوه الثلاثة </w:t>
      </w:r>
      <w:r>
        <w:rPr>
          <w:rStyle w:val="FootnoteReference"/>
        </w:rPr>
        <w:footnoteReference w:id="2934"/>
      </w:r>
      <w:r>
        <w:rPr>
          <w:rFonts w:ascii="IRNazanin" w:hAnsi="IRNazanin" w:eastAsia="IRNazanin" w:cs="IRNazanin"/>
          <w:lang w:bidi="fa-IR"/>
          <w:color w:val="111111"/>
          <w:sz w:val="28"/>
          <w:szCs w:val="28"/>
          <w:rtl/>
        </w:rPr>
        <w:t xml:space="preserve">فیما إذا کان العوضان معیّنین، فالمقصود إذا کان هی المعاوضة الحقیقیّة التی قد عرفت أنّ من لوازمها العقلیّة دخول العوض فی ملک مالک المعوّض تحقیقاً لمفهوم العوضیّة و البدلیّة،فلا حاجة إلی تعیین من یُنقل عنهما و إلیهما العوضان،و إذا</w:t>
      </w:r>
    </w:p>
    <w:p>
      <w:pPr>
        <w:pStyle w:val="BookText"/>
      </w:pPr>
      <w:r>
        <w:rPr>
          <w:rFonts w:ascii="IRNazanin" w:hAnsi="IRNazanin" w:eastAsia="IRNazanin" w:cs="IRNazanin"/>
          <w:lang w:bidi="fa-IR"/>
          <w:color w:val="111111"/>
          <w:sz w:val="28"/>
          <w:szCs w:val="28"/>
          <w:rtl/>
        </w:rPr>
        <w:t xml:space="preserve">[شماره صفحه واقعی : 300]
</w:t>
      </w:r>
    </w:p>
    <w:p>
      <w:pPr>
        <w:sectPr>
          <w:footerReference w:type="default" r:id="rId9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 یقصد المعاوضة الحقیقیة فالبیع غیر منعقد؛فإن جعل العوض من عین مال غیر المخاطب الذی ملّکه المعوّض </w:t>
      </w:r>
      <w:r>
        <w:rPr>
          <w:rStyle w:val="FootnoteReference"/>
        </w:rPr>
        <w:footnoteReference w:id="2935"/>
      </w:r>
      <w:r>
        <w:rPr>
          <w:rFonts w:ascii="IRNazanin" w:hAnsi="IRNazanin" w:eastAsia="IRNazanin" w:cs="IRNazanin"/>
          <w:lang w:bidi="fa-IR"/>
          <w:color w:val="111111"/>
          <w:sz w:val="28"/>
          <w:szCs w:val="28"/>
          <w:rtl/>
        </w:rPr>
        <w:t xml:space="preserve">فقال:«ملّکتک فرسی هذا بحمار عمرو»،فقال المخاطب:«قبلت»،لم یقع البیع لخصوص المخاطب؛ لعدم مفهوم المعاوضة معه،و فی وقوعه اشتراءً فضولیّاً لعمرو کلامٌ یأتی.</w:t>
      </w:r>
    </w:p>
    <w:p>
      <w:pPr>
        <w:pStyle w:val="BookText"/>
      </w:pPr>
      <w:r>
        <w:rPr>
          <w:rFonts w:ascii="IRNazanin" w:hAnsi="IRNazanin" w:eastAsia="IRNazanin" w:cs="IRNazanin"/>
          <w:lang w:bidi="fa-IR"/>
          <w:color w:val="111111"/>
          <w:sz w:val="28"/>
          <w:szCs w:val="28"/>
          <w:rtl/>
        </w:rPr>
        <w:t xml:space="preserve">و أمّا ما ذکره من مثال«مَن باع مال نفسه عن غیره» </w:t>
      </w:r>
      <w:r>
        <w:rPr>
          <w:rStyle w:val="FootnoteReference"/>
        </w:rPr>
        <w:footnoteReference w:id="2936"/>
      </w:r>
      <w:r>
        <w:rPr>
          <w:rFonts w:ascii="IRNazanin" w:hAnsi="IRNazanin" w:eastAsia="IRNazanin" w:cs="IRNazanin"/>
          <w:lang w:bidi="fa-IR"/>
          <w:color w:val="111111"/>
          <w:sz w:val="28"/>
          <w:szCs w:val="28"/>
          <w:rtl/>
        </w:rPr>
        <w:t xml:space="preserve">فلا إشکال فی عدم وقوعه عن غیره،و الظاهر وقوعه عن البائع و لغویة قصده عن الغیر؛لأنّه أمر غیر معقول لا یتحقّق القصد إلیه حقیقة، و هو معنی لغویّته؛و لذا لو باع مال غیره عن نفسه وقع للغیر مع إجازته-کما سیجیء-و لا یقع عن نفسه أبداً.</w:t>
      </w:r>
    </w:p>
    <w:p>
      <w:pPr>
        <w:pStyle w:val="BookText"/>
      </w:pPr>
      <w:r>
        <w:rPr>
          <w:rFonts w:ascii="IRNazanin" w:hAnsi="IRNazanin" w:eastAsia="IRNazanin" w:cs="IRNazanin"/>
          <w:lang w:bidi="fa-IR"/>
          <w:color w:val="111111"/>
          <w:sz w:val="28"/>
          <w:szCs w:val="28"/>
          <w:rtl/>
        </w:rPr>
        <w:t xml:space="preserve">[*ستوده]</w:t>
      </w:r>
    </w:p>
    <w:p>
      <w:pPr>
        <w:pStyle w:val="BookText"/>
      </w:pPr>
      <w:r>
        <w:rPr>
          <w:rFonts w:ascii="IRNazanin" w:hAnsi="IRNazanin" w:eastAsia="IRNazanin" w:cs="IRNazanin"/>
          <w:lang w:bidi="fa-IR"/>
          <w:color w:val="111111"/>
          <w:sz w:val="28"/>
          <w:szCs w:val="28"/>
          <w:rtl/>
        </w:rPr>
        <w:t xml:space="preserve">نعم،لو ملکه فأجاز،قیل بوقوعه له </w:t>
      </w:r>
      <w:r>
        <w:rPr>
          <w:rStyle w:val="FootnoteReference"/>
        </w:rPr>
        <w:footnoteReference w:id="2937"/>
      </w:r>
      <w:r>
        <w:rPr>
          <w:rFonts w:ascii="IRNazanin" w:hAnsi="IRNazanin" w:eastAsia="IRNazanin" w:cs="IRNazanin"/>
          <w:lang w:bidi="fa-IR"/>
          <w:color w:val="111111"/>
          <w:sz w:val="28"/>
          <w:szCs w:val="28"/>
          <w:rtl/>
        </w:rPr>
        <w:t xml:space="preserve">،لکن لا من حیث إیقاعه أوّلاً لنفسه؛فإنّ القائل به لا یفرّق حینئذٍ بین بیعه عن نفسه أو عن مالکه،فقصد وقوعه عن نفسه لغو دائماً و وجوده کعدمه.</w:t>
      </w:r>
    </w:p>
    <w:p>
      <w:pPr>
        <w:pStyle w:val="BookText"/>
      </w:pPr>
      <w:r>
        <w:rPr>
          <w:rFonts w:ascii="IRNazanin" w:hAnsi="IRNazanin" w:eastAsia="IRNazanin" w:cs="IRNazanin"/>
          <w:lang w:bidi="fa-IR"/>
          <w:color w:val="111111"/>
          <w:sz w:val="28"/>
          <w:szCs w:val="28"/>
          <w:rtl/>
        </w:rPr>
        <w:t xml:space="preserve">إلّا أن یقال:إنّ وقوع بیع مال نفسه لغیره </w:t>
      </w:r>
      <w:r>
        <w:rPr>
          <w:rStyle w:val="FootnoteReference"/>
        </w:rPr>
        <w:footnoteReference w:id="2938"/>
      </w:r>
      <w:r>
        <w:rPr>
          <w:rFonts w:ascii="IRNazanin" w:hAnsi="IRNazanin" w:eastAsia="IRNazanin" w:cs="IRNazanin"/>
          <w:lang w:bidi="fa-IR"/>
          <w:color w:val="111111"/>
          <w:sz w:val="28"/>
          <w:szCs w:val="28"/>
          <w:rtl/>
        </w:rPr>
        <w:t xml:space="preserve">إنّما لا یعقل إذا فرض قصده للمعاوضة الحقیقیة،لِمَ لا یجعل هذا قرینة علی عدم إرادته</w:t>
      </w:r>
    </w:p>
    <w:p>
      <w:pPr>
        <w:pStyle w:val="BookText"/>
      </w:pPr>
      <w:r>
        <w:rPr>
          <w:rFonts w:ascii="IRNazanin" w:hAnsi="IRNazanin" w:eastAsia="IRNazanin" w:cs="IRNazanin"/>
          <w:lang w:bidi="fa-IR"/>
          <w:color w:val="111111"/>
          <w:sz w:val="28"/>
          <w:szCs w:val="28"/>
          <w:rtl/>
        </w:rPr>
        <w:t xml:space="preserve">[شماره صفحه واقعی : 301]
</w:t>
      </w:r>
    </w:p>
    <w:p>
      <w:pPr>
        <w:sectPr>
          <w:footerReference w:type="default" r:id="rId9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البیع المبادلة الحقیقیة،أو علی تنزیل الغیر منزلة نفسه فی مالکیّة المبیع-کما سیأتی أنّ المعاوضة الحقیقیّة </w:t>
      </w:r>
      <w:r>
        <w:rPr>
          <w:rStyle w:val="FootnoteReference"/>
        </w:rPr>
        <w:footnoteReference w:id="2939"/>
      </w:r>
      <w:r>
        <w:rPr>
          <w:rFonts w:ascii="IRNazanin" w:hAnsi="IRNazanin" w:eastAsia="IRNazanin" w:cs="IRNazanin"/>
          <w:lang w:bidi="fa-IR"/>
          <w:color w:val="111111"/>
          <w:sz w:val="28"/>
          <w:szCs w:val="28"/>
          <w:rtl/>
        </w:rPr>
        <w:t xml:space="preserve">فی بیع </w:t>
      </w:r>
      <w:r>
        <w:rPr>
          <w:rStyle w:val="FootnoteReference"/>
        </w:rPr>
        <w:footnoteReference w:id="2940"/>
      </w:r>
      <w:r>
        <w:rPr>
          <w:rFonts w:ascii="IRNazanin" w:hAnsi="IRNazanin" w:eastAsia="IRNazanin" w:cs="IRNazanin"/>
          <w:lang w:bidi="fa-IR"/>
          <w:color w:val="111111"/>
          <w:sz w:val="28"/>
          <w:szCs w:val="28"/>
          <w:rtl/>
        </w:rPr>
        <w:t xml:space="preserve">الغاصب لنفسه لا یتصوّر إلّا علی هذا الوجه-؟و حینئذٍ فیحکم ببطلان المعاملة؛لعدم قصد المعاوضة الحقیقیّة مع المالک الحقیقی.</w:t>
      </w:r>
    </w:p>
    <w:p>
      <w:pPr>
        <w:pStyle w:val="BookText"/>
      </w:pPr>
      <w:r>
        <w:rPr>
          <w:rFonts w:ascii="IRNazanin" w:hAnsi="IRNazanin" w:eastAsia="IRNazanin" w:cs="IRNazanin"/>
          <w:lang w:bidi="fa-IR"/>
          <w:color w:val="111111"/>
          <w:sz w:val="28"/>
          <w:szCs w:val="28"/>
          <w:rtl/>
        </w:rPr>
        <w:t xml:space="preserve">و من هنا ذکر العلّامة </w:t>
      </w:r>
      <w:r>
        <w:rPr>
          <w:rStyle w:val="FootnoteReference"/>
        </w:rPr>
        <w:footnoteReference w:id="2941"/>
      </w:r>
      <w:r>
        <w:rPr>
          <w:rFonts w:ascii="IRNazanin" w:hAnsi="IRNazanin" w:eastAsia="IRNazanin" w:cs="IRNazanin"/>
          <w:lang w:bidi="fa-IR"/>
          <w:color w:val="111111"/>
          <w:sz w:val="28"/>
          <w:szCs w:val="28"/>
          <w:rtl/>
        </w:rPr>
        <w:t xml:space="preserve">و غیره </w:t>
      </w:r>
      <w:r>
        <w:rPr>
          <w:rStyle w:val="FootnoteReference"/>
        </w:rPr>
        <w:footnoteReference w:id="2942"/>
      </w:r>
      <w:r>
        <w:rPr>
          <w:rFonts w:ascii="IRNazanin" w:hAnsi="IRNazanin" w:eastAsia="IRNazanin" w:cs="IRNazanin"/>
          <w:lang w:bidi="fa-IR"/>
          <w:color w:val="111111"/>
          <w:sz w:val="28"/>
          <w:szCs w:val="28"/>
          <w:rtl/>
        </w:rPr>
        <w:t xml:space="preserve">فی عکس المثال المذکور:أنّه لو قال المالک للمرتهن:«بعه لنفسک»بطل،و کذا لو دفع مالاً إلی من یطلبه الطعام و قال:اشترِ به لنفسک طعاماً.</w:t>
      </w:r>
    </w:p>
    <w:p>
      <w:pPr>
        <w:pStyle w:val="BookText"/>
      </w:pPr>
      <w:r>
        <w:rPr>
          <w:rFonts w:ascii="IRNazanin" w:hAnsi="IRNazanin" w:eastAsia="IRNazanin" w:cs="IRNazanin"/>
          <w:lang w:bidi="fa-IR"/>
          <w:color w:val="111111"/>
          <w:sz w:val="28"/>
          <w:szCs w:val="28"/>
          <w:rtl/>
        </w:rPr>
        <w:t xml:space="preserve">هذا،و لکنّ الأقوی صحّة المعاملة المذکورة و لغویة القصد المذکور؛ لأنّه راجعٌ إلی إرادة إرجاع فائدة البیع إلی الغیر،لا جعله أحد رکنَی المعاوضة.</w:t>
      </w:r>
    </w:p>
    <w:p>
      <w:pPr>
        <w:pStyle w:val="BookText"/>
      </w:pPr>
      <w:r>
        <w:rPr>
          <w:rFonts w:ascii="IRNazanin" w:hAnsi="IRNazanin" w:eastAsia="IRNazanin" w:cs="IRNazanin"/>
          <w:lang w:bidi="fa-IR"/>
          <w:color w:val="111111"/>
          <w:sz w:val="28"/>
          <w:szCs w:val="28"/>
          <w:rtl/>
        </w:rPr>
        <w:t xml:space="preserve">و أمّا حکمهم ببطلان البیع فی مثال الرهن و اشتراء الطعام،فمرادهم عدم وقوعه للمخاطب،لا أنّ المخاطب إذا قال:«بعته لنفسی»،أو «اشتریته لنفسی»لم یقع لمالکه إذا أجازه.</w:t>
      </w:r>
    </w:p>
    <w:p>
      <w:pPr>
        <w:pStyle w:val="BookText"/>
      </w:pPr>
      <w:r>
        <w:rPr>
          <w:rFonts w:ascii="IRNazanin" w:hAnsi="IRNazanin" w:eastAsia="IRNazanin" w:cs="IRNazanin"/>
          <w:lang w:bidi="fa-IR"/>
          <w:color w:val="111111"/>
          <w:sz w:val="28"/>
          <w:szCs w:val="28"/>
          <w:rtl/>
        </w:rPr>
        <w:t xml:space="preserve">و بالجملة،فحکمهم بصحّة بیع الفضولی و شرائه لنفسه،و وقوعه للمالک،یدلّ علی عدم تأثیر قصد وقوع البیع لغیر المالک.</w:t>
      </w:r>
    </w:p>
    <w:p>
      <w:pPr>
        <w:pStyle w:val="BookText"/>
      </w:pPr>
      <w:r>
        <w:rPr>
          <w:rFonts w:ascii="IRNazanin" w:hAnsi="IRNazanin" w:eastAsia="IRNazanin" w:cs="IRNazanin"/>
          <w:lang w:bidi="fa-IR"/>
          <w:color w:val="111111"/>
          <w:sz w:val="28"/>
          <w:szCs w:val="28"/>
          <w:rtl/>
        </w:rPr>
        <w:t xml:space="preserve">ثمّ إنّ ما ذکرنا کلّه حکم وجوب تعیین کلٍّ من البائع و المشتری من یبیع له و یشتری له.</w:t>
      </w:r>
    </w:p>
    <w:p>
      <w:pPr>
        <w:pStyle w:val="BookText"/>
      </w:pPr>
      <w:r>
        <w:rPr>
          <w:rFonts w:ascii="IRNazanin" w:hAnsi="IRNazanin" w:eastAsia="IRNazanin" w:cs="IRNazanin"/>
          <w:lang w:bidi="fa-IR"/>
          <w:color w:val="111111"/>
          <w:sz w:val="28"/>
          <w:szCs w:val="28"/>
          <w:rtl/>
        </w:rPr>
        <w:t xml:space="preserve">[شماره صفحه واقعی : 302]
</w:t>
      </w:r>
    </w:p>
    <w:p>
      <w:pPr>
        <w:sectPr>
          <w:footerReference w:type="default" r:id="rId981"/>
          <w:footnotePr>
            <w:numStart w:val="1"/>
            <w:numRestart w:val="eachPage"/>
          </w:footnotePr>
          <w:pgSz w:orient="portrait" w:w="11905.511811023622" w:h="16837.79527559055"/>
          <w:pgMar w:top="1440" w:right="1440" w:bottom="1440" w:left="1440" w:header="720" w:footer="720" w:gutter="0"/>
          <w:cols w:num="1" w:space="720"/>
        </w:sectPr>
      </w:pPr>
    </w:p>
    <w:bookmarkStart w:id="602" w:name="pg14411_143363"/>
    <w:bookmarkEnd w:id="602"/>
    <w:p>
      <w:pPr>
        <w:pStyle w:val="Heading6"/>
      </w:pPr>
      <w:bookmarkStart w:id="2205" w:name="_Toc1240"/>
      <w:r>
        <w:t>[هل یعتبر تعیین الموجب للمشتری و القابل للبائع؟]</w:t>
      </w:r>
      <w:bookmarkEnd w:id="2205"/>
    </w:p>
    <w:p>
      <w:pPr>
        <w:pStyle w:val="Heading6"/>
      </w:pPr>
      <w:bookmarkStart w:id="2206" w:name="_Toc1241"/>
      <w:r>
        <w:t>اشارة</w:t>
      </w:r>
      <w:bookmarkEnd w:id="2206"/>
    </w:p>
    <w:p>
      <w:pPr>
        <w:pStyle w:val="BookText"/>
      </w:pPr>
      <w:r>
        <w:rPr>
          <w:rFonts w:ascii="IRNazanin" w:hAnsi="IRNazanin" w:eastAsia="IRNazanin" w:cs="IRNazanin"/>
          <w:lang w:bidi="fa-IR"/>
          <w:color w:val="111111"/>
          <w:sz w:val="28"/>
          <w:szCs w:val="28"/>
          <w:rtl/>
        </w:rPr>
        <w:t xml:space="preserve">و أمّا تعیین الموجب لخصوص المشتری المخاطب </w:t>
      </w:r>
      <w:r>
        <w:rPr>
          <w:rStyle w:val="FootnoteReference"/>
        </w:rPr>
        <w:footnoteReference w:id="2943"/>
      </w:r>
      <w:r>
        <w:rPr>
          <w:rFonts w:ascii="IRNazanin" w:hAnsi="IRNazanin" w:eastAsia="IRNazanin" w:cs="IRNazanin"/>
          <w:lang w:bidi="fa-IR"/>
          <w:color w:val="111111"/>
          <w:sz w:val="28"/>
          <w:szCs w:val="28"/>
          <w:rtl/>
        </w:rPr>
        <w:t xml:space="preserve">،و القابل لخصوص البائع،فیحتمل اعتباره،إلّا فیما علم من الخارج عدم إرادة خصوص المخاطب لکلٍّ من المتخاطبین-کما فی غالب البیوع و الإجارات-فحینئذٍ یراد من ضمیر المخاطب </w:t>
      </w:r>
      <w:r>
        <w:rPr>
          <w:rStyle w:val="FootnoteReference"/>
        </w:rPr>
        <w:footnoteReference w:id="2944"/>
      </w:r>
      <w:r>
        <w:rPr>
          <w:rFonts w:ascii="IRNazanin" w:hAnsi="IRNazanin" w:eastAsia="IRNazanin" w:cs="IRNazanin"/>
          <w:lang w:bidi="fa-IR"/>
          <w:color w:val="111111"/>
          <w:sz w:val="28"/>
          <w:szCs w:val="28"/>
          <w:rtl/>
        </w:rPr>
        <w:t xml:space="preserve">فی قوله:«ملّکتک کذا -أو منفعة </w:t>
      </w:r>
      <w:r>
        <w:rPr>
          <w:rStyle w:val="FootnoteReference"/>
        </w:rPr>
        <w:footnoteReference w:id="2945"/>
      </w:r>
      <w:r>
        <w:rPr>
          <w:rFonts w:ascii="IRNazanin" w:hAnsi="IRNazanin" w:eastAsia="IRNazanin" w:cs="IRNazanin"/>
          <w:lang w:bidi="fa-IR"/>
          <w:color w:val="111111"/>
          <w:sz w:val="28"/>
          <w:szCs w:val="28"/>
          <w:rtl/>
        </w:rPr>
        <w:t xml:space="preserve">کذا بکذا»هو المخاطب بالاعتبار الأعمّ من کونه مالکاً حقیقیّا أو جعلیّاً-کالمشتری الغاصب-أو من هو بمنزلة المالک بإذن أو ولایة.</w:t>
      </w:r>
    </w:p>
    <w:p>
      <w:pPr>
        <w:pStyle w:val="BookText"/>
      </w:pPr>
      <w:r>
        <w:rPr>
          <w:rFonts w:ascii="IRNazanin" w:hAnsi="IRNazanin" w:eastAsia="IRNazanin" w:cs="IRNazanin"/>
          <w:lang w:bidi="fa-IR"/>
          <w:color w:val="111111"/>
          <w:sz w:val="28"/>
          <w:szCs w:val="28"/>
          <w:rtl/>
        </w:rPr>
        <w:t xml:space="preserve">و یحتمل عدم اعتباره </w:t>
      </w:r>
      <w:r>
        <w:rPr>
          <w:rStyle w:val="FootnoteReference"/>
        </w:rPr>
        <w:footnoteReference w:id="2946"/>
      </w:r>
      <w:r>
        <w:rPr>
          <w:rFonts w:ascii="Amiri" w:hAnsi="Amiri" w:eastAsia="Amiri" w:cs="Amiri"/>
          <w:lang w:bidi="ar-SA"/>
          <w:color w:val="111111"/>
          <w:sz w:val="28"/>
          <w:szCs w:val="28"/>
          <w:rtl/>
        </w:rPr>
        <w:t xml:space="preserve">إلّا فیما </w:t>
      </w:r>
      <w:r>
        <w:rPr>
          <w:rStyle w:val="FootnoteReference"/>
        </w:rPr>
        <w:footnoteReference w:id="2947"/>
      </w:r>
      <w:r>
        <w:rPr>
          <w:rFonts w:ascii="IRNazanin" w:hAnsi="IRNazanin" w:eastAsia="IRNazanin" w:cs="IRNazanin"/>
          <w:lang w:bidi="fa-IR"/>
          <w:color w:val="111111"/>
          <w:sz w:val="28"/>
          <w:szCs w:val="28"/>
          <w:rtl/>
        </w:rPr>
        <w:t xml:space="preserve">علم من الخارج إرادة خصوص الطرفین،کما فی النکاح،و الوقف الخاصّ،و الهبة،و الوکالة،و الوصیّة.</w:t>
      </w:r>
    </w:p>
    <w:p>
      <w:pPr>
        <w:pStyle w:val="Heading6"/>
      </w:pPr>
      <w:bookmarkStart w:id="2207" w:name="_Toc1242"/>
      <w:r>
        <w:t>[مختار المؤلف و دلیله]</w:t>
      </w:r>
      <w:bookmarkEnd w:id="2207"/>
    </w:p>
    <w:p>
      <w:pPr>
        <w:pStyle w:val="BookText"/>
      </w:pPr>
      <w:r>
        <w:rPr>
          <w:rFonts w:ascii="IRNazanin" w:hAnsi="IRNazanin" w:eastAsia="IRNazanin" w:cs="IRNazanin"/>
          <w:lang w:bidi="fa-IR"/>
          <w:color w:val="111111"/>
          <w:sz w:val="28"/>
          <w:szCs w:val="28"/>
          <w:rtl/>
        </w:rPr>
        <w:t xml:space="preserve">و الأقوی </w:t>
      </w:r>
      <w:r>
        <w:rPr>
          <w:rStyle w:val="FootnoteReference"/>
        </w:rPr>
        <w:footnoteReference w:id="2948"/>
      </w:r>
      <w:r>
        <w:rPr>
          <w:rFonts w:ascii="IRNazanin" w:hAnsi="IRNazanin" w:eastAsia="IRNazanin" w:cs="IRNazanin"/>
          <w:lang w:bidi="fa-IR"/>
          <w:color w:val="111111"/>
          <w:sz w:val="28"/>
          <w:szCs w:val="28"/>
          <w:rtl/>
        </w:rPr>
        <w:t xml:space="preserve">هو الأوّل؛عملاً بظاهر الکلام الدالّ علی قصد الخصوصیّة،و تبعیّة العقود للقصود.</w:t>
      </w:r>
    </w:p>
    <w:p>
      <w:pPr>
        <w:pStyle w:val="BookText"/>
      </w:pPr>
      <w:r>
        <w:rPr>
          <w:rFonts w:ascii="IRNazanin" w:hAnsi="IRNazanin" w:eastAsia="IRNazanin" w:cs="IRNazanin"/>
          <w:lang w:bidi="fa-IR"/>
          <w:color w:val="111111"/>
          <w:sz w:val="28"/>
          <w:szCs w:val="28"/>
          <w:rtl/>
        </w:rPr>
        <w:t xml:space="preserve">و علی فرض القول بالثانی </w:t>
      </w:r>
      <w:r>
        <w:rPr>
          <w:rStyle w:val="FootnoteReference"/>
        </w:rPr>
        <w:footnoteReference w:id="2949"/>
      </w:r>
      <w:r>
        <w:rPr>
          <w:rFonts w:ascii="IRNazanin" w:hAnsi="IRNazanin" w:eastAsia="IRNazanin" w:cs="IRNazanin"/>
          <w:lang w:bidi="fa-IR"/>
          <w:color w:val="111111"/>
          <w:sz w:val="28"/>
          <w:szCs w:val="28"/>
          <w:rtl/>
        </w:rPr>
        <w:t xml:space="preserve">،فلو صرّح بإرادة خصوص المخاطب اتّبع قصده،فلا یجوز للقابل أن یقبل عن غیره.</w:t>
      </w:r>
    </w:p>
    <w:p>
      <w:pPr>
        <w:pStyle w:val="BookText"/>
      </w:pPr>
      <w:r>
        <w:rPr>
          <w:rFonts w:ascii="IRNazanin" w:hAnsi="IRNazanin" w:eastAsia="IRNazanin" w:cs="IRNazanin"/>
          <w:lang w:bidi="fa-IR"/>
          <w:color w:val="111111"/>
          <w:sz w:val="28"/>
          <w:szCs w:val="28"/>
          <w:rtl/>
        </w:rPr>
        <w:t xml:space="preserve">[شماره صفحه واقعی : 303]
</w:t>
      </w:r>
    </w:p>
    <w:p>
      <w:pPr>
        <w:sectPr>
          <w:footerReference w:type="default" r:id="rId982"/>
          <w:footnotePr>
            <w:numStart w:val="1"/>
            <w:numRestart w:val="eachPage"/>
          </w:footnotePr>
          <w:pgSz w:orient="portrait" w:w="11905.511811023622" w:h="16837.79527559055"/>
          <w:pgMar w:top="1440" w:right="1440" w:bottom="1440" w:left="1440" w:header="720" w:footer="720" w:gutter="0"/>
          <w:cols w:num="1" w:space="720"/>
        </w:sectPr>
      </w:pPr>
    </w:p>
    <w:bookmarkStart w:id="603" w:name="pg14411_143364"/>
    <w:bookmarkEnd w:id="603"/>
    <w:p>
      <w:pPr>
        <w:pStyle w:val="BookText"/>
      </w:pPr>
      <w:r>
        <w:rPr>
          <w:rFonts w:ascii="IRNazanin" w:hAnsi="IRNazanin" w:eastAsia="IRNazanin" w:cs="IRNazanin"/>
          <w:lang w:bidi="fa-IR"/>
          <w:color w:val="111111"/>
          <w:sz w:val="28"/>
          <w:szCs w:val="28"/>
          <w:rtl/>
        </w:rPr>
        <w:t xml:space="preserve">قال فی التذکرة:لو باع الفضولی أو اشتری مع جهل الآخر، فإشکالٌ،ینشأ من أنّ الآخر إنّما قصد تملیک العاقد </w:t>
      </w:r>
      <w:r>
        <w:rPr>
          <w:rStyle w:val="FootnoteReference"/>
        </w:rPr>
        <w:footnoteReference w:id="29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الإشکال و إن کان ضعیفاً مخالفاً للإجماع و السیرة إلّا أنّه مبنیّ </w:t>
      </w:r>
      <w:r>
        <w:rPr>
          <w:rStyle w:val="FootnoteReference"/>
        </w:rPr>
        <w:footnoteReference w:id="2951"/>
      </w:r>
      <w:r>
        <w:rPr>
          <w:rFonts w:ascii="IRNazanin" w:hAnsi="IRNazanin" w:eastAsia="IRNazanin" w:cs="IRNazanin"/>
          <w:lang w:bidi="fa-IR"/>
          <w:color w:val="111111"/>
          <w:sz w:val="28"/>
          <w:szCs w:val="28"/>
          <w:rtl/>
        </w:rPr>
        <w:t xml:space="preserve">علی ما ذکرنا من مراعاة ظاهر الکلام.</w:t>
      </w:r>
    </w:p>
    <w:p>
      <w:pPr>
        <w:pStyle w:val="Heading6"/>
      </w:pPr>
      <w:bookmarkStart w:id="2208" w:name="_Toc1243"/>
      <w:r>
        <w:t>[کلام العلامة فی الفرق بین البیع و شبهه و بین النکاح و المناقشة فیه]</w:t>
      </w:r>
      <w:bookmarkEnd w:id="2208"/>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[*ستوده]</w:t>
      </w:r>
    </w:p>
    <w:p>
      <w:pPr>
        <w:pStyle w:val="BookText"/>
      </w:pPr>
      <w:r>
        <w:rPr>
          <w:rFonts w:ascii="IRNazanin" w:hAnsi="IRNazanin" w:eastAsia="IRNazanin" w:cs="IRNazanin"/>
          <w:lang w:bidi="fa-IR"/>
          <w:color w:val="111111"/>
          <w:sz w:val="28"/>
          <w:szCs w:val="28"/>
          <w:rtl/>
        </w:rPr>
        <w:t xml:space="preserve">و قد یقال فی الفرق بین البیع و شبهه و بین النکاح:إنّ الزوجین فی النکاح کالعوضین فی سائر العقود،و یختلف الأغراض باختلافهما </w:t>
      </w:r>
      <w:r>
        <w:rPr>
          <w:rStyle w:val="FootnoteReference"/>
        </w:rPr>
        <w:footnoteReference w:id="2952"/>
      </w:r>
      <w:r>
        <w:rPr>
          <w:rFonts w:ascii="IRNazanin" w:hAnsi="IRNazanin" w:eastAsia="IRNazanin" w:cs="IRNazanin"/>
          <w:lang w:bidi="fa-IR"/>
          <w:color w:val="111111"/>
          <w:sz w:val="28"/>
          <w:szCs w:val="28"/>
          <w:rtl/>
        </w:rPr>
        <w:t xml:space="preserve">، فلا بدّ من التعیین و توارد الإیجاب و القبول علی أمرٍ واحد،و لأنّ </w:t>
      </w:r>
      <w:r>
        <w:rPr>
          <w:rStyle w:val="FootnoteReference"/>
        </w:rPr>
        <w:footnoteReference w:id="2953"/>
      </w:r>
      <w:r>
        <w:rPr>
          <w:rFonts w:ascii="IRNazanin" w:hAnsi="IRNazanin" w:eastAsia="IRNazanin" w:cs="IRNazanin"/>
          <w:lang w:bidi="fa-IR"/>
          <w:color w:val="111111"/>
          <w:sz w:val="28"/>
          <w:szCs w:val="28"/>
          <w:rtl/>
        </w:rPr>
        <w:t xml:space="preserve">معنی قوله:«بعتک کذا بکذا»رضاه بکونه مشتریاً للمال المبیع، و المشتری یطلق علی المالک و وکیله،و معنی قولها:«زوّجتک نفسی» رضاها بکونه زوجاً،و الزوج لا یطلق علی الوکیل </w:t>
      </w:r>
      <w:r>
        <w:rPr>
          <w:rStyle w:val="FootnoteReference"/>
        </w:rPr>
        <w:footnoteReference w:id="2954"/>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یرد علی الوجه الأوّل من وجهی الفرق:أنّ کون الزوجین کالعوضین إنّما یصحّ </w:t>
      </w:r>
      <w:r>
        <w:rPr>
          <w:rStyle w:val="FootnoteReference"/>
        </w:rPr>
        <w:footnoteReference w:id="2955"/>
      </w:r>
      <w:r>
        <w:rPr>
          <w:rFonts w:ascii="Amiri" w:hAnsi="Amiri" w:eastAsia="Amiri" w:cs="Amiri"/>
          <w:lang w:bidi="ar-SA"/>
          <w:color w:val="111111"/>
          <w:sz w:val="28"/>
          <w:szCs w:val="28"/>
          <w:rtl/>
        </w:rPr>
        <w:t xml:space="preserve">وجهاً </w:t>
      </w:r>
      <w:r>
        <w:rPr>
          <w:rStyle w:val="FootnoteReference"/>
        </w:rPr>
        <w:footnoteReference w:id="2956"/>
      </w:r>
      <w:r>
        <w:rPr>
          <w:rFonts w:ascii="IRNazanin" w:hAnsi="IRNazanin" w:eastAsia="IRNazanin" w:cs="IRNazanin"/>
          <w:lang w:bidi="fa-IR"/>
          <w:color w:val="111111"/>
          <w:sz w:val="28"/>
          <w:szCs w:val="28"/>
          <w:rtl/>
        </w:rPr>
        <w:t xml:space="preserve">لوجوب التعیین فی النکاح،لا لعدم وجوبه فی البیع؛مع أنّ الظاهر أنّ ما ذکرنا من الوقف و إخوته </w:t>
      </w:r>
      <w:r>
        <w:rPr>
          <w:rStyle w:val="FootnoteReference"/>
        </w:rPr>
        <w:footnoteReference w:id="2957"/>
      </w:r>
    </w:p>
    <w:p>
      <w:pPr>
        <w:pStyle w:val="BookText"/>
      </w:pPr>
      <w:r>
        <w:rPr>
          <w:rFonts w:ascii="IRNazanin" w:hAnsi="IRNazanin" w:eastAsia="IRNazanin" w:cs="IRNazanin"/>
          <w:lang w:bidi="fa-IR"/>
          <w:color w:val="111111"/>
          <w:sz w:val="28"/>
          <w:szCs w:val="28"/>
          <w:rtl/>
        </w:rPr>
        <w:t xml:space="preserve">[شماره صفحه واقعی : 304]
</w:t>
      </w:r>
    </w:p>
    <w:p>
      <w:pPr>
        <w:sectPr>
          <w:footerReference w:type="default" r:id="rId983"/>
          <w:footnotePr>
            <w:numStart w:val="1"/>
            <w:numRestart w:val="eachPage"/>
          </w:footnotePr>
          <w:pgSz w:orient="portrait" w:w="11905.511811023622" w:h="16837.79527559055"/>
          <w:pgMar w:top="1440" w:right="1440" w:bottom="1440" w:left="1440" w:header="720" w:footer="720" w:gutter="0"/>
          <w:cols w:num="1" w:space="720"/>
        </w:sectPr>
      </w:pPr>
    </w:p>
    <w:bookmarkStart w:id="604" w:name="pg14411_143365"/>
    <w:bookmarkEnd w:id="604"/>
    <w:p>
      <w:pPr>
        <w:pStyle w:val="BookText"/>
      </w:pPr>
      <w:r>
        <w:rPr>
          <w:rFonts w:ascii="IRNazanin" w:hAnsi="IRNazanin" w:eastAsia="IRNazanin" w:cs="IRNazanin"/>
          <w:lang w:bidi="fa-IR"/>
          <w:color w:val="111111"/>
          <w:sz w:val="28"/>
          <w:szCs w:val="28"/>
          <w:rtl/>
        </w:rPr>
        <w:t xml:space="preserve">کالنکاح فی عدم جواز قصد القابل القبول فیها علی وجه النیابة أو الفضولی،فلا بدّ من وجهٍ مطّردٍ فی الکلّ.</w:t>
      </w:r>
    </w:p>
    <w:p>
      <w:pPr>
        <w:pStyle w:val="BookText"/>
      </w:pPr>
      <w:r>
        <w:rPr>
          <w:rFonts w:ascii="IRNazanin" w:hAnsi="IRNazanin" w:eastAsia="IRNazanin" w:cs="IRNazanin"/>
          <w:lang w:bidi="fa-IR"/>
          <w:color w:val="111111"/>
          <w:sz w:val="28"/>
          <w:szCs w:val="28"/>
          <w:rtl/>
        </w:rPr>
        <w:t xml:space="preserve">و علی الوجه الثانی:أنّ معنی«بعتک»فی لغة العرب-کما نصّ علیه فخر المحقّقین و غیره-هو ملّکتک بعوض </w:t>
      </w:r>
      <w:r>
        <w:rPr>
          <w:rStyle w:val="FootnoteReference"/>
        </w:rPr>
        <w:footnoteReference w:id="2958"/>
      </w:r>
      <w:r>
        <w:rPr>
          <w:rFonts w:ascii="IRNazanin" w:hAnsi="IRNazanin" w:eastAsia="IRNazanin" w:cs="IRNazanin"/>
          <w:lang w:bidi="fa-IR"/>
          <w:color w:val="111111"/>
          <w:sz w:val="28"/>
          <w:szCs w:val="28"/>
          <w:rtl/>
        </w:rPr>
        <w:t xml:space="preserve">،و معناه جعل المخاطب مالکاً،و من المعلوم أنّ المالک لا یصدق علی الولیّ و الوکیل و الفضولی.</w:t>
      </w:r>
    </w:p>
    <w:p>
      <w:pPr>
        <w:pStyle w:val="Heading6"/>
      </w:pPr>
      <w:bookmarkStart w:id="2209" w:name="_Toc1244"/>
      <w:r>
        <w:t>[الأولی فی الفرق بین النکاح و البیع]</w:t>
      </w:r>
      <w:bookmarkEnd w:id="2209"/>
    </w:p>
    <w:p>
      <w:pPr>
        <w:pStyle w:val="BookText"/>
      </w:pPr>
      <w:r>
        <w:rPr>
          <w:rFonts w:ascii="IRNazanin" w:hAnsi="IRNazanin" w:eastAsia="IRNazanin" w:cs="IRNazanin"/>
          <w:lang w:bidi="fa-IR"/>
          <w:color w:val="111111"/>
          <w:sz w:val="28"/>
          <w:szCs w:val="28"/>
          <w:rtl/>
        </w:rPr>
        <w:t xml:space="preserve">فالأولی فی الفرق ما ذکرنا من أنّ الغالب فی البیع و الإجارة هو قصد المخاطب لا من حیث هو،بل بالاعتبار الأعمّ من کونه أصالة أو عن الغیر،و لا ینافی ذلک عدم سماع قول المشتری فی دعوی کونه غیر أصیل-فتأمّل-بخلاف النکاح و ما أشبهه؛فإنّ الغالب قصد المتکلّم للمخاطب من حیث إنّه رکن للعقد،بل ربما یستشکل فی صحّة أن یراد من </w:t>
      </w:r>
      <w:r>
        <w:rPr>
          <w:rStyle w:val="FootnoteReference"/>
        </w:rPr>
        <w:footnoteReference w:id="2959"/>
      </w:r>
      <w:r>
        <w:rPr>
          <w:rFonts w:ascii="IRNazanin" w:hAnsi="IRNazanin" w:eastAsia="IRNazanin" w:cs="IRNazanin"/>
          <w:lang w:bidi="fa-IR"/>
          <w:color w:val="111111"/>
          <w:sz w:val="28"/>
          <w:szCs w:val="28"/>
          <w:rtl/>
        </w:rPr>
        <w:t xml:space="preserve">القرینة المخاطب من حیث قیامه مقام الأصیل </w:t>
      </w:r>
      <w:r>
        <w:rPr>
          <w:rStyle w:val="FootnoteReference"/>
        </w:rPr>
        <w:footnoteReference w:id="2960"/>
      </w:r>
      <w:r>
        <w:rPr>
          <w:rFonts w:ascii="IRNazanin" w:hAnsi="IRNazanin" w:eastAsia="IRNazanin" w:cs="IRNazanin"/>
          <w:lang w:bidi="fa-IR"/>
          <w:color w:val="111111"/>
          <w:sz w:val="28"/>
          <w:szCs w:val="28"/>
          <w:rtl/>
        </w:rPr>
        <w:t xml:space="preserve">،کما لو قال:</w:t>
      </w:r>
    </w:p>
    <w:p>
      <w:pPr>
        <w:pStyle w:val="BookText"/>
      </w:pPr>
      <w:r>
        <w:rPr>
          <w:rFonts w:ascii="Amiri" w:hAnsi="Amiri" w:eastAsia="Amiri" w:cs="Amiri"/>
          <w:lang w:bidi="ar-SA"/>
          <w:color w:val="111111"/>
          <w:sz w:val="28"/>
          <w:szCs w:val="28"/>
          <w:rtl/>
        </w:rPr>
        <w:t xml:space="preserve">«زوّجتک»مریداً له </w:t>
      </w:r>
      <w:r>
        <w:rPr>
          <w:rStyle w:val="FootnoteReference"/>
        </w:rPr>
        <w:footnoteReference w:id="2961"/>
      </w:r>
      <w:r>
        <w:rPr>
          <w:rFonts w:ascii="IRNazanin" w:hAnsi="IRNazanin" w:eastAsia="IRNazanin" w:cs="IRNazanin"/>
          <w:lang w:bidi="fa-IR"/>
          <w:color w:val="111111"/>
          <w:sz w:val="28"/>
          <w:szCs w:val="28"/>
          <w:rtl/>
        </w:rPr>
        <w:t xml:space="preserve">باعتبار کونه وکیلاً عن الزوج،و کذا قوله:</w:t>
      </w:r>
    </w:p>
    <w:p>
      <w:pPr>
        <w:pStyle w:val="BookText"/>
      </w:pPr>
      <w:r>
        <w:rPr>
          <w:rFonts w:ascii="IRNazanin" w:hAnsi="IRNazanin" w:eastAsia="IRNazanin" w:cs="IRNazanin"/>
          <w:lang w:bidi="fa-IR"/>
          <w:color w:val="111111"/>
          <w:sz w:val="28"/>
          <w:szCs w:val="28"/>
          <w:rtl/>
        </w:rPr>
        <w:t xml:space="preserve">«وقفت علیک»و«أوصیت لک»و«وکّلتک»،و لعلّ الوجه عدم تعارف صدق هذه العنوانات علی الوکیل فیها،فلا یقال للوکیل:الزوج،</w:t>
      </w:r>
    </w:p>
    <w:p>
      <w:pPr>
        <w:pStyle w:val="BookText"/>
      </w:pPr>
      <w:r>
        <w:rPr>
          <w:rFonts w:ascii="IRNazanin" w:hAnsi="IRNazanin" w:eastAsia="IRNazanin" w:cs="IRNazanin"/>
          <w:lang w:bidi="fa-IR"/>
          <w:color w:val="111111"/>
          <w:sz w:val="28"/>
          <w:szCs w:val="28"/>
          <w:rtl/>
        </w:rPr>
        <w:t xml:space="preserve">[شماره صفحه واقعی : 305]
</w:t>
      </w:r>
    </w:p>
    <w:p>
      <w:pPr>
        <w:sectPr>
          <w:footerReference w:type="default" r:id="rId9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الموقوف علیه،و لا الموصی له،و لا الوکیل </w:t>
      </w:r>
      <w:r>
        <w:rPr>
          <w:rStyle w:val="FootnoteReference"/>
        </w:rPr>
        <w:footnoteReference w:id="2962"/>
      </w:r>
      <w:r>
        <w:rPr>
          <w:rFonts w:ascii="IRNazanin" w:hAnsi="IRNazanin" w:eastAsia="IRNazanin" w:cs="IRNazanin"/>
          <w:lang w:bidi="fa-IR"/>
          <w:color w:val="111111"/>
          <w:sz w:val="28"/>
          <w:szCs w:val="28"/>
          <w:rtl/>
        </w:rPr>
        <w:t xml:space="preserve">،بخلاف البائع و المستأجر،فتأمّل؛حتّی لا یتوهّم رجوعه </w:t>
      </w:r>
      <w:r>
        <w:rPr>
          <w:rStyle w:val="FootnoteReference"/>
        </w:rPr>
        <w:footnoteReference w:id="2963"/>
      </w:r>
      <w:r>
        <w:rPr>
          <w:rFonts w:ascii="IRNazanin" w:hAnsi="IRNazanin" w:eastAsia="IRNazanin" w:cs="IRNazanin"/>
          <w:lang w:bidi="fa-IR"/>
          <w:color w:val="111111"/>
          <w:sz w:val="28"/>
          <w:szCs w:val="28"/>
          <w:rtl/>
        </w:rPr>
        <w:t xml:space="preserve">إلی ما ذکرنا سابقاً </w:t>
      </w:r>
      <w:r>
        <w:rPr>
          <w:rStyle w:val="FootnoteReference"/>
        </w:rPr>
        <w:footnoteReference w:id="2964"/>
      </w:r>
      <w:r>
        <w:rPr>
          <w:rFonts w:ascii="IRNazanin" w:hAnsi="IRNazanin" w:eastAsia="IRNazanin" w:cs="IRNazanin"/>
          <w:lang w:bidi="fa-IR"/>
          <w:color w:val="111111"/>
          <w:sz w:val="28"/>
          <w:szCs w:val="28"/>
          <w:rtl/>
        </w:rPr>
        <w:t xml:space="preserve">و اعترضنا علیه </w:t>
      </w:r>
      <w:r>
        <w:rPr>
          <w:rStyle w:val="FootnoteReference"/>
        </w:rPr>
        <w:footnoteReference w:id="29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306]
</w:t>
      </w:r>
    </w:p>
    <w:p>
      <w:pPr>
        <w:sectPr>
          <w:footerReference w:type="default" r:id="rId985"/>
          <w:footnotePr>
            <w:numStart w:val="1"/>
            <w:numRestart w:val="eachPage"/>
          </w:footnotePr>
          <w:pgSz w:orient="portrait" w:w="11905.511811023622" w:h="16837.79527559055"/>
          <w:pgMar w:top="1440" w:right="1440" w:bottom="1440" w:left="1440" w:header="720" w:footer="720" w:gutter="0"/>
          <w:cols w:num="1" w:space="720"/>
        </w:sectPr>
      </w:pPr>
    </w:p>
    <w:bookmarkStart w:id="605" w:name="pg14411_143367"/>
    <w:bookmarkEnd w:id="605"/>
    <w:p>
      <w:pPr>
        <w:pStyle w:val="Heading6"/>
      </w:pPr>
      <w:bookmarkStart w:id="2210" w:name="_Toc1245"/>
      <w:r>
        <w:t>مسألة و من شرائط المتعاقدین:الاختیار</w:t>
      </w:r>
      <w:bookmarkEnd w:id="2210"/>
    </w:p>
    <w:p>
      <w:pPr>
        <w:pStyle w:val="Heading6"/>
      </w:pPr>
      <w:bookmarkStart w:id="2211" w:name="_Toc1246"/>
      <w:r>
        <w:t>اشارة</w:t>
      </w:r>
      <w:bookmarkEnd w:id="2211"/>
    </w:p>
    <w:p>
      <w:pPr>
        <w:pStyle w:val="BookText"/>
      </w:pPr>
      <w:r>
        <w:rPr>
          <w:rFonts w:ascii="IRNazanin" w:hAnsi="IRNazanin" w:eastAsia="IRNazanin" w:cs="IRNazanin"/>
          <w:lang w:bidi="fa-IR"/>
          <w:color w:val="111111"/>
          <w:sz w:val="28"/>
          <w:szCs w:val="28"/>
          <w:rtl/>
        </w:rPr>
        <w:t xml:space="preserve">و المراد به القصد إلی وقوع مضمون العقد عن طیب نفسٍ،فی مقابل الکراهة و عدم طیب النفس، لا الاختیار فی مقابل الجبر.</w:t>
      </w:r>
    </w:p>
    <w:p>
      <w:pPr>
        <w:pStyle w:val="Heading6"/>
      </w:pPr>
      <w:bookmarkStart w:id="2212" w:name="_Toc1247"/>
      <w:r>
        <w:t>[ما یدل علی اشتراط الاختیار]</w:t>
      </w:r>
      <w:bookmarkEnd w:id="2212"/>
    </w:p>
    <w:p>
      <w:pPr>
        <w:pStyle w:val="BookText"/>
      </w:pPr>
      <w:r>
        <w:rPr>
          <w:rFonts w:ascii="Amiri" w:hAnsi="Amiri" w:eastAsia="Amiri" w:cs="Amiri"/>
          <w:lang w:bidi="ar-SA"/>
          <w:color w:val="111111"/>
          <w:sz w:val="28"/>
          <w:szCs w:val="28"/>
          <w:rtl/>
        </w:rPr>
        <w:t xml:space="preserve">و یدلّ علیه قبل الإجماع قوله تعالی: إِلاّٰ أَنْ تَکُونَ تِجٰارَةً عَنْ تَرٰاضٍ </w:t>
      </w:r>
      <w:r>
        <w:rPr>
          <w:rStyle w:val="FootnoteReference"/>
        </w:rPr>
        <w:footnoteReference w:id="29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قوله علیه السلام:«لا یحلّ مال امرئٍ مسلمٍ إلّا عن طیب نفسه» </w:t>
      </w:r>
      <w:r>
        <w:rPr>
          <w:rStyle w:val="FootnoteReference"/>
        </w:rPr>
        <w:footnoteReference w:id="29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قوله صلّی اللّه علیه و آله و سلم فی الخبر المتّفق علیه بین المسلمین:«رُفع -أو وُضع-عن أُمّتی تسعة أشیاء-أو ستّة-...و منها:ما اکرهوا علیه» </w:t>
      </w:r>
      <w:r>
        <w:rPr>
          <w:rStyle w:val="FootnoteReference"/>
        </w:rPr>
        <w:footnoteReference w:id="29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307]
</w:t>
      </w:r>
    </w:p>
    <w:p>
      <w:pPr>
        <w:sectPr>
          <w:footerReference w:type="default" r:id="rId986"/>
          <w:footnotePr>
            <w:numStart w:val="1"/>
            <w:numRestart w:val="eachPage"/>
          </w:footnotePr>
          <w:pgSz w:orient="portrait" w:w="11905.511811023622" w:h="16837.79527559055"/>
          <w:pgMar w:top="1440" w:right="1440" w:bottom="1440" w:left="1440" w:header="720" w:footer="720" w:gutter="0"/>
          <w:cols w:num="1" w:space="720"/>
        </w:sectPr>
      </w:pPr>
    </w:p>
    <w:bookmarkStart w:id="606" w:name="pg14411_143368"/>
    <w:bookmarkEnd w:id="606"/>
    <w:p>
      <w:pPr>
        <w:pStyle w:val="BookText"/>
      </w:pPr>
      <w:r>
        <w:rPr>
          <w:rFonts w:ascii="IRNazanin" w:hAnsi="IRNazanin" w:eastAsia="IRNazanin" w:cs="IRNazanin"/>
          <w:lang w:bidi="fa-IR"/>
          <w:color w:val="111111"/>
          <w:sz w:val="28"/>
          <w:szCs w:val="28"/>
          <w:rtl/>
        </w:rPr>
        <w:t xml:space="preserve">و ظاهره و إن کان رفع المؤاخذة،إلّا أنّ استشهاد الإمام علیه السلام به فی رفع بعض الأحکام الوضعیّة یشهد لعموم </w:t>
      </w:r>
      <w:r>
        <w:rPr>
          <w:rStyle w:val="FootnoteReference"/>
        </w:rPr>
        <w:footnoteReference w:id="2969"/>
      </w:r>
      <w:r>
        <w:rPr>
          <w:rFonts w:ascii="IRNazanin" w:hAnsi="IRNazanin" w:eastAsia="IRNazanin" w:cs="IRNazanin"/>
          <w:lang w:bidi="fa-IR"/>
          <w:color w:val="111111"/>
          <w:sz w:val="28"/>
          <w:szCs w:val="28"/>
          <w:rtl/>
        </w:rPr>
        <w:t xml:space="preserve">المؤاخذة فیه لمطلق الإلزام علیه بشیءٍ.</w:t>
      </w:r>
    </w:p>
    <w:p>
      <w:pPr>
        <w:pStyle w:val="BookText"/>
      </w:pPr>
      <w:r>
        <w:rPr>
          <w:rFonts w:ascii="IRNazanin" w:hAnsi="IRNazanin" w:eastAsia="IRNazanin" w:cs="IRNazanin"/>
          <w:lang w:bidi="fa-IR"/>
          <w:color w:val="111111"/>
          <w:sz w:val="28"/>
          <w:szCs w:val="28"/>
          <w:rtl/>
        </w:rPr>
        <w:t xml:space="preserve">[*ستوده]</w:t>
      </w:r>
    </w:p>
    <w:p>
      <w:pPr>
        <w:pStyle w:val="BookText"/>
      </w:pPr>
      <w:r>
        <w:rPr>
          <w:rFonts w:ascii="IRNazanin" w:hAnsi="IRNazanin" w:eastAsia="IRNazanin" w:cs="IRNazanin"/>
          <w:lang w:bidi="fa-IR"/>
          <w:color w:val="111111"/>
          <w:sz w:val="28"/>
          <w:szCs w:val="28"/>
          <w:rtl/>
        </w:rPr>
        <w:t xml:space="preserve">ففی صحیحة البزنطی،عن أبی الحسن علیه السلام:«فی الرجل یستکره علی الیمین»فیحلف بالطلاق و العتاق و صدقة ما یملک،أ یلزمه ذلک؟فقال علیه السلام:لا،قال رسول اللّه صلّی اللّه علیه و آله و سلم:وضع عن أُمّتی ما اکرهوا علیه،و ما لم یطیقوا،و ما أخطأوا» </w:t>
      </w:r>
      <w:r>
        <w:rPr>
          <w:rStyle w:val="FootnoteReference"/>
        </w:rPr>
        <w:footnoteReference w:id="29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الحلف بالطلاق و العتاق و إن لم یکن صحیحاً عندنا من دون الإکراه أیضاً،إلّا أنّ مجرّد استشهاد الإمام علیه السلام فی عدم وقوع آثار ما حلف به بوضع ما اکرهوا علیه،یدلّ علی أنّ المراد بالنبوی </w:t>
      </w:r>
      <w:r>
        <w:rPr>
          <w:rStyle w:val="FootnoteReference"/>
        </w:rPr>
        <w:footnoteReference w:id="2971"/>
      </w:r>
      <w:r>
        <w:rPr>
          <w:rFonts w:ascii="IRNazanin" w:hAnsi="IRNazanin" w:eastAsia="IRNazanin" w:cs="IRNazanin"/>
          <w:lang w:bidi="fa-IR"/>
          <w:color w:val="111111"/>
          <w:sz w:val="28"/>
          <w:szCs w:val="28"/>
          <w:rtl/>
        </w:rPr>
        <w:t xml:space="preserve">لیس رفع </w:t>
      </w:r>
      <w:r>
        <w:rPr>
          <w:rStyle w:val="FootnoteReference"/>
        </w:rPr>
        <w:footnoteReference w:id="2972"/>
      </w:r>
      <w:r>
        <w:rPr>
          <w:rFonts w:ascii="IRNazanin" w:hAnsi="IRNazanin" w:eastAsia="IRNazanin" w:cs="IRNazanin"/>
          <w:lang w:bidi="fa-IR"/>
          <w:color w:val="111111"/>
          <w:sz w:val="28"/>
          <w:szCs w:val="28"/>
          <w:rtl/>
        </w:rPr>
        <w:t xml:space="preserve">خصوص المؤاخذة و العقاب الأُخروی.</w:t>
      </w:r>
    </w:p>
    <w:p>
      <w:pPr>
        <w:pStyle w:val="BookText"/>
      </w:pPr>
      <w:r>
        <w:rPr>
          <w:rFonts w:ascii="IRNazanin" w:hAnsi="IRNazanin" w:eastAsia="IRNazanin" w:cs="IRNazanin"/>
          <w:lang w:bidi="fa-IR"/>
          <w:color w:val="111111"/>
          <w:sz w:val="28"/>
          <w:szCs w:val="28"/>
          <w:rtl/>
        </w:rPr>
        <w:t xml:space="preserve">هذا کلّه،مضافاً إلی الأخبار الواردة فی طلاق المکره </w:t>
      </w:r>
      <w:r>
        <w:rPr>
          <w:rStyle w:val="FootnoteReference"/>
        </w:rPr>
        <w:footnoteReference w:id="2973"/>
      </w:r>
      <w:r>
        <w:rPr>
          <w:rFonts w:ascii="IRNazanin" w:hAnsi="IRNazanin" w:eastAsia="IRNazanin" w:cs="IRNazanin"/>
          <w:lang w:bidi="fa-IR"/>
          <w:color w:val="111111"/>
          <w:sz w:val="28"/>
          <w:szCs w:val="28"/>
          <w:rtl/>
        </w:rPr>
        <w:t xml:space="preserve">بضمیمة عدم الفرق.</w:t>
      </w:r>
    </w:p>
    <w:p>
      <w:pPr>
        <w:pStyle w:val="Heading6"/>
      </w:pPr>
      <w:bookmarkStart w:id="2213" w:name="_Toc1248"/>
      <w:r>
        <w:t>[المراد من قولهم المکره قاصد إلی اللفظ غیر قاصد إلی مدلوله]</w:t>
      </w:r>
      <w:bookmarkEnd w:id="2213"/>
    </w:p>
    <w:p>
      <w:pPr>
        <w:pStyle w:val="BookText"/>
      </w:pPr>
      <w:r>
        <w:rPr>
          <w:rFonts w:ascii="IRNazanin" w:hAnsi="IRNazanin" w:eastAsia="IRNazanin" w:cs="IRNazanin"/>
          <w:lang w:bidi="fa-IR"/>
          <w:color w:val="111111"/>
          <w:sz w:val="28"/>
          <w:szCs w:val="28"/>
          <w:rtl/>
        </w:rPr>
        <w:t xml:space="preserve">ثمّ إنّه یظهر من جماعة-منهم الشهیدان </w:t>
      </w:r>
      <w:r>
        <w:rPr>
          <w:rStyle w:val="FootnoteReference"/>
        </w:rPr>
        <w:footnoteReference w:id="2974"/>
      </w:r>
      <w:r>
        <w:rPr>
          <w:rFonts w:ascii="IRNazanin" w:hAnsi="IRNazanin" w:eastAsia="IRNazanin" w:cs="IRNazanin"/>
          <w:lang w:bidi="fa-IR"/>
          <w:color w:val="111111"/>
          <w:sz w:val="28"/>
          <w:szCs w:val="28"/>
          <w:rtl/>
        </w:rPr>
        <w:t xml:space="preserve">-:أنّ المکره قاصد</w:t>
      </w:r>
    </w:p>
    <w:p>
      <w:pPr>
        <w:pStyle w:val="BookText"/>
      </w:pPr>
      <w:r>
        <w:rPr>
          <w:rFonts w:ascii="IRNazanin" w:hAnsi="IRNazanin" w:eastAsia="IRNazanin" w:cs="IRNazanin"/>
          <w:lang w:bidi="fa-IR"/>
          <w:color w:val="111111"/>
          <w:sz w:val="28"/>
          <w:szCs w:val="28"/>
          <w:rtl/>
        </w:rPr>
        <w:t xml:space="preserve">[شماره صفحه واقعی : 308]
</w:t>
      </w:r>
    </w:p>
    <w:p>
      <w:pPr>
        <w:sectPr>
          <w:footerReference w:type="default" r:id="rId9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اللفظ غیر قاصد إلی مدلوله،بل یظهر ذلک من بعض کلمات العلّامة.</w:t>
      </w:r>
    </w:p>
    <w:p>
      <w:pPr>
        <w:pStyle w:val="BookText"/>
      </w:pPr>
      <w:r>
        <w:rPr>
          <w:rFonts w:ascii="IRNazanin" w:hAnsi="IRNazanin" w:eastAsia="IRNazanin" w:cs="IRNazanin"/>
          <w:lang w:bidi="fa-IR"/>
          <w:color w:val="111111"/>
          <w:sz w:val="28"/>
          <w:szCs w:val="28"/>
          <w:rtl/>
        </w:rPr>
        <w:t xml:space="preserve">و لیس مرادهم أنّه لا قصد له إلّا إلی مجرّد التکلّم،کیف! و الهازل-الذی هو دونه فی القصد-قاصد للمعنی قصداً صوریاً، و الخالی عن القصد إلی غیر التکلّم هو من یتکلّم تقلیداً أو تلقیناً، کالطفل الجاهل بالمعانی.</w:t>
      </w:r>
    </w:p>
    <w:p>
      <w:pPr>
        <w:pStyle w:val="BookText"/>
      </w:pPr>
      <w:r>
        <w:rPr>
          <w:rFonts w:ascii="IRNazanin" w:hAnsi="IRNazanin" w:eastAsia="IRNazanin" w:cs="IRNazanin"/>
          <w:lang w:bidi="fa-IR"/>
          <w:color w:val="111111"/>
          <w:sz w:val="28"/>
          <w:szCs w:val="28"/>
          <w:rtl/>
        </w:rPr>
        <w:t xml:space="preserve">فالمراد بعدم قصد المکره:عدم القصد إلی وقوع مضمون العقد فی الخارج،و أنّ الداعی له إلی الإنشاء لیس قصد وقوع مضمونه فی الخارج </w:t>
      </w:r>
      <w:r>
        <w:rPr>
          <w:rStyle w:val="FootnoteReference"/>
        </w:rPr>
        <w:footnoteReference w:id="2975"/>
      </w:r>
      <w:r>
        <w:rPr>
          <w:rFonts w:ascii="IRNazanin" w:hAnsi="IRNazanin" w:eastAsia="IRNazanin" w:cs="IRNazanin"/>
          <w:lang w:bidi="fa-IR"/>
          <w:color w:val="111111"/>
          <w:sz w:val="28"/>
          <w:szCs w:val="28"/>
          <w:rtl/>
        </w:rPr>
        <w:t xml:space="preserve">،لا أنّ کلامه الإنشائی مجرّد عن المدلول،کیف!و هو معلولٌ للکلام </w:t>
      </w:r>
      <w:r>
        <w:rPr>
          <w:rStyle w:val="FootnoteReference"/>
        </w:rPr>
        <w:footnoteReference w:id="2976"/>
      </w:r>
      <w:r>
        <w:rPr>
          <w:rFonts w:ascii="IRNazanin" w:hAnsi="IRNazanin" w:eastAsia="IRNazanin" w:cs="IRNazanin"/>
          <w:lang w:bidi="fa-IR"/>
          <w:color w:val="111111"/>
          <w:sz w:val="28"/>
          <w:szCs w:val="28"/>
          <w:rtl/>
        </w:rPr>
        <w:t xml:space="preserve">الإنشائی إذا کان مستعملاً غیر مهمل.</w:t>
      </w:r>
    </w:p>
    <w:p>
      <w:pPr>
        <w:pStyle w:val="BookText"/>
      </w:pPr>
      <w:r>
        <w:rPr>
          <w:rFonts w:ascii="IRNazanin" w:hAnsi="IRNazanin" w:eastAsia="IRNazanin" w:cs="IRNazanin"/>
          <w:lang w:bidi="fa-IR"/>
          <w:color w:val="111111"/>
          <w:sz w:val="28"/>
          <w:szCs w:val="28"/>
          <w:rtl/>
        </w:rPr>
        <w:t xml:space="preserve">و هذا الذی ذکرنا لا یکاد یخفی علی من له أدنی تأمّلٍ فی معنی الإکراه لغةً و عرفاً و أدنی تتبّع فیما ذکره الأصحاب فی فروع الإکراه -التی لا تستقیم </w:t>
      </w:r>
      <w:r>
        <w:rPr>
          <w:rStyle w:val="FootnoteReference"/>
        </w:rPr>
        <w:footnoteReference w:id="2977"/>
      </w:r>
      <w:r>
        <w:rPr>
          <w:rFonts w:ascii="IRNazanin" w:hAnsi="IRNazanin" w:eastAsia="IRNazanin" w:cs="IRNazanin"/>
          <w:lang w:bidi="fa-IR"/>
          <w:color w:val="111111"/>
          <w:sz w:val="28"/>
          <w:szCs w:val="28"/>
          <w:rtl/>
        </w:rPr>
        <w:t xml:space="preserve">مع ما توهمه </w:t>
      </w:r>
      <w:r>
        <w:rPr>
          <w:rStyle w:val="FootnoteReference"/>
        </w:rPr>
        <w:footnoteReference w:id="2978"/>
      </w:r>
      <w:r>
        <w:rPr>
          <w:rFonts w:ascii="IRNazanin" w:hAnsi="IRNazanin" w:eastAsia="IRNazanin" w:cs="IRNazanin"/>
          <w:lang w:bidi="fa-IR"/>
          <w:color w:val="111111"/>
          <w:sz w:val="28"/>
          <w:szCs w:val="28"/>
          <w:rtl/>
        </w:rPr>
        <w:t xml:space="preserve">،من خلوّ المکرَه عن قصد مفهوم اللفظ </w:t>
      </w:r>
      <w:r>
        <w:rPr>
          <w:rStyle w:val="FootnoteReference"/>
        </w:rPr>
        <w:footnoteReference w:id="2979"/>
      </w:r>
      <w:r>
        <w:rPr>
          <w:rFonts w:ascii="IRNazanin" w:hAnsi="IRNazanin" w:eastAsia="IRNazanin" w:cs="IRNazanin"/>
          <w:lang w:bidi="fa-IR"/>
          <w:color w:val="111111"/>
          <w:sz w:val="28"/>
          <w:szCs w:val="28"/>
          <w:rtl/>
        </w:rPr>
        <w:t xml:space="preserve">-و جعله مقابلاً للقصد،و حکمهم بعدم وجوب التوریة فی التفصّی</w:t>
      </w:r>
    </w:p>
    <w:p>
      <w:pPr>
        <w:pStyle w:val="BookText"/>
      </w:pPr>
      <w:r>
        <w:rPr>
          <w:rFonts w:ascii="IRNazanin" w:hAnsi="IRNazanin" w:eastAsia="IRNazanin" w:cs="IRNazanin"/>
          <w:lang w:bidi="fa-IR"/>
          <w:color w:val="111111"/>
          <w:sz w:val="28"/>
          <w:szCs w:val="28"/>
          <w:rtl/>
        </w:rPr>
        <w:t xml:space="preserve">[شماره صفحه واقعی : 309]
</w:t>
      </w:r>
    </w:p>
    <w:p>
      <w:pPr>
        <w:sectPr>
          <w:footerReference w:type="default" r:id="rId9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الإکراه </w:t>
      </w:r>
      <w:r>
        <w:rPr>
          <w:rStyle w:val="FootnoteReference"/>
        </w:rPr>
        <w:footnoteReference w:id="2980"/>
      </w:r>
      <w:r>
        <w:rPr>
          <w:rFonts w:ascii="Amiri" w:hAnsi="Amiri" w:eastAsia="Amiri" w:cs="Amiri"/>
          <w:lang w:bidi="ar-SA"/>
          <w:color w:val="111111"/>
          <w:sz w:val="28"/>
          <w:szCs w:val="28"/>
          <w:rtl/>
        </w:rPr>
        <w:t xml:space="preserve">و صحّة بیعه </w:t>
      </w:r>
      <w:r>
        <w:rPr>
          <w:rStyle w:val="FootnoteReference"/>
        </w:rPr>
        <w:footnoteReference w:id="2981"/>
      </w:r>
      <w:r>
        <w:rPr>
          <w:rFonts w:ascii="IRNazanin" w:hAnsi="IRNazanin" w:eastAsia="IRNazanin" w:cs="IRNazanin"/>
          <w:lang w:bidi="fa-IR"/>
          <w:color w:val="111111"/>
          <w:sz w:val="28"/>
          <w:szCs w:val="28"/>
          <w:rtl/>
        </w:rPr>
        <w:t xml:space="preserve">بعد الرضا </w:t>
      </w:r>
      <w:r>
        <w:rPr>
          <w:rStyle w:val="FootnoteReference"/>
        </w:rPr>
        <w:footnoteReference w:id="2982"/>
      </w:r>
      <w:r>
        <w:rPr>
          <w:rFonts w:ascii="IRNazanin" w:hAnsi="IRNazanin" w:eastAsia="IRNazanin" w:cs="IRNazanin"/>
          <w:lang w:bidi="fa-IR"/>
          <w:color w:val="111111"/>
          <w:sz w:val="28"/>
          <w:szCs w:val="28"/>
          <w:rtl/>
        </w:rPr>
        <w:t xml:space="preserve">،و استدلالهم </w:t>
      </w:r>
      <w:r>
        <w:rPr>
          <w:rStyle w:val="FootnoteReference"/>
        </w:rPr>
        <w:footnoteReference w:id="2983"/>
      </w:r>
      <w:r>
        <w:rPr>
          <w:rFonts w:ascii="IRNazanin" w:hAnsi="IRNazanin" w:eastAsia="IRNazanin" w:cs="IRNazanin"/>
          <w:lang w:bidi="fa-IR"/>
          <w:color w:val="111111"/>
          <w:sz w:val="28"/>
          <w:szCs w:val="28"/>
          <w:rtl/>
        </w:rPr>
        <w:t xml:space="preserve">له بالأخبار الواردة فی طلاق المکره و أنّه لا طلاق إلّا مع إرادة الطلاق </w:t>
      </w:r>
      <w:r>
        <w:rPr>
          <w:rStyle w:val="FootnoteReference"/>
        </w:rPr>
        <w:footnoteReference w:id="2984"/>
      </w:r>
      <w:r>
        <w:rPr>
          <w:rFonts w:ascii="Amiri" w:hAnsi="Amiri" w:eastAsia="Amiri" w:cs="Amiri"/>
          <w:lang w:bidi="ar-SA"/>
          <w:color w:val="111111"/>
          <w:sz w:val="28"/>
          <w:szCs w:val="28"/>
          <w:rtl/>
        </w:rPr>
        <w:t xml:space="preserve">،حیث إنّ المنفیّ صحّة الطلاق،لا تحقّق مفهومه لغةً و عرفاً،و فی ما ورد فیمن طلّق مداراةً بأهله </w:t>
      </w:r>
      <w:r>
        <w:rPr>
          <w:rStyle w:val="FootnoteReference"/>
        </w:rPr>
        <w:footnoteReference w:id="2985"/>
      </w:r>
      <w:r>
        <w:rPr>
          <w:rFonts w:ascii="IRNazanin" w:hAnsi="IRNazanin" w:eastAsia="IRNazanin" w:cs="IRNazanin"/>
          <w:lang w:bidi="fa-IR"/>
          <w:color w:val="111111"/>
          <w:sz w:val="28"/>
          <w:szCs w:val="28"/>
          <w:rtl/>
        </w:rPr>
        <w:t xml:space="preserve">،إلی غیر ذلک،و فی أنّ مخالفة بعض العامّة فی وقوع الطلاق إکراهاً </w:t>
      </w:r>
      <w:r>
        <w:rPr>
          <w:rStyle w:val="FootnoteReference"/>
        </w:rPr>
        <w:footnoteReference w:id="2986"/>
      </w:r>
      <w:r>
        <w:rPr>
          <w:rFonts w:ascii="IRNazanin" w:hAnsi="IRNazanin" w:eastAsia="IRNazanin" w:cs="IRNazanin"/>
          <w:lang w:bidi="fa-IR"/>
          <w:color w:val="111111"/>
          <w:sz w:val="28"/>
          <w:szCs w:val="28"/>
          <w:rtl/>
        </w:rPr>
        <w:t xml:space="preserve">،لا ینبغی أن تحمل علی الکلام المجرّد عن قصد المفهوم، الذی لا یسمّی خبراً و لا إنشاءً و غیر ذلک،ممّا یوجب القطع بأنّ المراد بالقصد المفقود فی المکره هو:القصد إلی وقوع أثر العقد و مضمونه فی الواقع و عدم طیب النفس به،لا عدم إرادة المعنی من الکلام.</w:t>
      </w:r>
    </w:p>
    <w:p>
      <w:pPr>
        <w:pStyle w:val="BookText"/>
      </w:pPr>
      <w:r>
        <w:rPr>
          <w:rFonts w:ascii="IRNazanin" w:hAnsi="IRNazanin" w:eastAsia="IRNazanin" w:cs="IRNazanin"/>
          <w:lang w:bidi="fa-IR"/>
          <w:color w:val="111111"/>
          <w:sz w:val="28"/>
          <w:szCs w:val="28"/>
          <w:rtl/>
        </w:rPr>
        <w:t xml:space="preserve">و یکفی فی ذلک ما ذکره الشهید الثانی:من أنّ المکره و الفضولی قاصدان إلی اللفظ دون مدلوله </w:t>
      </w:r>
      <w:r>
        <w:rPr>
          <w:rStyle w:val="FootnoteReference"/>
        </w:rPr>
        <w:footnoteReference w:id="2987"/>
      </w:r>
      <w:r>
        <w:rPr>
          <w:rFonts w:ascii="IRNazanin" w:hAnsi="IRNazanin" w:eastAsia="IRNazanin" w:cs="IRNazanin"/>
          <w:lang w:bidi="fa-IR"/>
          <w:color w:val="111111"/>
          <w:sz w:val="28"/>
          <w:szCs w:val="28"/>
          <w:rtl/>
        </w:rPr>
        <w:t xml:space="preserve">،نعم ذکر فی التحریر و المسالک فی</w:t>
      </w:r>
    </w:p>
    <w:p>
      <w:pPr>
        <w:pStyle w:val="BookText"/>
      </w:pPr>
      <w:r>
        <w:rPr>
          <w:rFonts w:ascii="IRNazanin" w:hAnsi="IRNazanin" w:eastAsia="IRNazanin" w:cs="IRNazanin"/>
          <w:lang w:bidi="fa-IR"/>
          <w:color w:val="111111"/>
          <w:sz w:val="28"/>
          <w:szCs w:val="28"/>
          <w:rtl/>
        </w:rPr>
        <w:t xml:space="preserve">[شماره صفحه واقعی : 310]
</w:t>
      </w:r>
    </w:p>
    <w:p>
      <w:pPr>
        <w:sectPr>
          <w:footerReference w:type="default" r:id="rId989"/>
          <w:footnotePr>
            <w:numStart w:val="1"/>
            <w:numRestart w:val="eachPage"/>
          </w:footnotePr>
          <w:pgSz w:orient="portrait" w:w="11905.511811023622" w:h="16837.79527559055"/>
          <w:pgMar w:top="1440" w:right="1440" w:bottom="1440" w:left="1440" w:header="720" w:footer="720" w:gutter="0"/>
          <w:cols w:num="1" w:space="720"/>
        </w:sectPr>
      </w:pPr>
    </w:p>
    <w:bookmarkStart w:id="607" w:name="pg14411_143371"/>
    <w:bookmarkEnd w:id="607"/>
    <w:p>
      <w:pPr>
        <w:pStyle w:val="BookText"/>
      </w:pPr>
      <w:r>
        <w:rPr>
          <w:rFonts w:ascii="IRNazanin" w:hAnsi="IRNazanin" w:eastAsia="IRNazanin" w:cs="IRNazanin"/>
          <w:lang w:bidi="fa-IR"/>
          <w:color w:val="111111"/>
          <w:sz w:val="28"/>
          <w:szCs w:val="28"/>
          <w:rtl/>
        </w:rPr>
        <w:t xml:space="preserve">فروع المسألة ما یوهم ذلک </w:t>
      </w:r>
      <w:r>
        <w:rPr>
          <w:rStyle w:val="FootnoteReference"/>
        </w:rPr>
        <w:footnoteReference w:id="2988"/>
      </w:r>
      <w:r>
        <w:rPr>
          <w:rFonts w:ascii="IRNazanin" w:hAnsi="IRNazanin" w:eastAsia="IRNazanin" w:cs="IRNazanin"/>
          <w:lang w:bidi="fa-IR"/>
          <w:color w:val="111111"/>
          <w:sz w:val="28"/>
          <w:szCs w:val="28"/>
          <w:rtl/>
        </w:rPr>
        <w:t xml:space="preserve">،قال فی التحریر:لو اکره علی الطلاق فطلّق ناویاً،فالأقرب وقوع الطلاق،إذ لا إکراه علی القصد </w:t>
      </w:r>
      <w:r>
        <w:rPr>
          <w:rStyle w:val="FootnoteReference"/>
        </w:rPr>
        <w:footnoteReference w:id="2989"/>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بعض المعاصرین </w:t>
      </w:r>
      <w:r>
        <w:rPr>
          <w:rStyle w:val="FootnoteReference"/>
        </w:rPr>
        <w:footnoteReference w:id="2990"/>
      </w:r>
      <w:r>
        <w:rPr>
          <w:rFonts w:ascii="IRNazanin" w:hAnsi="IRNazanin" w:eastAsia="IRNazanin" w:cs="IRNazanin"/>
          <w:lang w:bidi="fa-IR"/>
          <w:color w:val="111111"/>
          <w:sz w:val="28"/>
          <w:szCs w:val="28"/>
          <w:rtl/>
        </w:rPr>
        <w:t xml:space="preserve">بنی هذا الفرع علی تفسیر القصد بما ذکرنا من متوهَّم کلامهم،فردّ علیهم بفساد المبنیٰ،و عدم وقوع الطلاق فی الفرض المزبور،لکنّ المتأمّل یقطع بعدم إرادتهم لذلک،و سیأتی ما یمکن توجیه الفرع المزبور به </w:t>
      </w:r>
      <w:r>
        <w:rPr>
          <w:rStyle w:val="FootnoteReference"/>
        </w:rPr>
        <w:footnoteReference w:id="2991"/>
      </w:r>
      <w:r>
        <w:rPr>
          <w:rFonts w:ascii="Times New Roman" w:hAnsi="Times New Roman" w:eastAsia="Times New Roman" w:cs="Times New Roman"/>
          <w:lang w:val="en-US" w:bidi="en-US"/>
          <w:color w:val="111111"/>
          <w:sz w:val="28"/>
          <w:szCs w:val="28"/>
          <w:rtl/>
        </w:rPr>
        <w:t xml:space="preserve">.</w:t>
      </w:r>
    </w:p>
    <w:p>
      <w:pPr>
        <w:pStyle w:val="Heading6"/>
      </w:pPr>
      <w:bookmarkStart w:id="2214" w:name="_Toc1249"/>
      <w:r>
        <w:t>[حقیقة الإکراه]</w:t>
      </w:r>
      <w:bookmarkEnd w:id="2214"/>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[*ستوده]</w:t>
      </w:r>
    </w:p>
    <w:p>
      <w:pPr>
        <w:pStyle w:val="BookText"/>
      </w:pPr>
      <w:r>
        <w:rPr>
          <w:rFonts w:ascii="IRNazanin" w:hAnsi="IRNazanin" w:eastAsia="IRNazanin" w:cs="IRNazanin"/>
          <w:lang w:bidi="fa-IR"/>
          <w:color w:val="111111"/>
          <w:sz w:val="28"/>
          <w:szCs w:val="28"/>
          <w:rtl/>
        </w:rPr>
        <w:t xml:space="preserve">ثمّ إنّ حقیقة الإکراه لغةً و عرفاً:حمل الغیر علی ما یکرهه، و یعتبر فی وقوع الفعل عن </w:t>
      </w:r>
      <w:r>
        <w:rPr>
          <w:rStyle w:val="FootnoteReference"/>
        </w:rPr>
        <w:footnoteReference w:id="2992"/>
      </w:r>
      <w:r>
        <w:rPr>
          <w:rFonts w:ascii="IRNazanin" w:hAnsi="IRNazanin" w:eastAsia="IRNazanin" w:cs="IRNazanin"/>
          <w:lang w:bidi="fa-IR"/>
          <w:color w:val="111111"/>
          <w:sz w:val="28"/>
          <w:szCs w:val="28"/>
          <w:rtl/>
        </w:rPr>
        <w:t xml:space="preserve">ذلک الحمل:اقترانه بوعید منه </w:t>
      </w:r>
      <w:r>
        <w:rPr>
          <w:rStyle w:val="FootnoteReference"/>
        </w:rPr>
        <w:footnoteReference w:id="2993"/>
      </w:r>
      <w:r>
        <w:rPr>
          <w:rFonts w:ascii="IRNazanin" w:hAnsi="IRNazanin" w:eastAsia="IRNazanin" w:cs="IRNazanin"/>
          <w:lang w:bidi="fa-IR"/>
          <w:color w:val="111111"/>
          <w:sz w:val="28"/>
          <w:szCs w:val="28"/>
          <w:rtl/>
        </w:rPr>
        <w:t xml:space="preserve">مظنون الترتّب علی ترک </w:t>
      </w:r>
      <w:r>
        <w:rPr>
          <w:rStyle w:val="FootnoteReference"/>
        </w:rPr>
        <w:footnoteReference w:id="2994"/>
      </w:r>
      <w:r>
        <w:rPr>
          <w:rFonts w:ascii="Amiri" w:hAnsi="Amiri" w:eastAsia="Amiri" w:cs="Amiri"/>
          <w:lang w:bidi="ar-SA"/>
          <w:color w:val="111111"/>
          <w:sz w:val="28"/>
          <w:szCs w:val="28"/>
          <w:rtl/>
        </w:rPr>
        <w:t xml:space="preserve">ذلک الفعل،مضرٍّ بحال الفاعل أو متعلّقه نفساً أو عِرضاً أو مالاً.</w:t>
      </w:r>
    </w:p>
    <w:p>
      <w:pPr>
        <w:pStyle w:val="BookText"/>
      </w:pPr>
      <w:r>
        <w:rPr>
          <w:rFonts w:ascii="IRNazanin" w:hAnsi="IRNazanin" w:eastAsia="IRNazanin" w:cs="IRNazanin"/>
          <w:lang w:bidi="fa-IR"/>
          <w:color w:val="111111"/>
          <w:sz w:val="28"/>
          <w:szCs w:val="28"/>
          <w:rtl/>
        </w:rPr>
        <w:t xml:space="preserve">فظهر من ذلک:أنّ مجرّد الفعل لدفع الضرر المترتّب علی ترکه لا یُدخِله فی«المکره علیه»،کیف!و الأفعال الصادرة من العقلاء کلّها أو جلّها ناشئة عن دفع الضرر،و لیس دفع مطلق الضرر الحاصل من</w:t>
      </w:r>
    </w:p>
    <w:p>
      <w:pPr>
        <w:pStyle w:val="BookText"/>
      </w:pPr>
      <w:r>
        <w:rPr>
          <w:rFonts w:ascii="IRNazanin" w:hAnsi="IRNazanin" w:eastAsia="IRNazanin" w:cs="IRNazanin"/>
          <w:lang w:bidi="fa-IR"/>
          <w:color w:val="111111"/>
          <w:sz w:val="28"/>
          <w:szCs w:val="28"/>
          <w:rtl/>
        </w:rPr>
        <w:t xml:space="preserve">[شماره صفحه واقعی : 311]
</w:t>
      </w:r>
    </w:p>
    <w:p>
      <w:pPr>
        <w:sectPr>
          <w:footerReference w:type="default" r:id="rId990"/>
          <w:footnotePr>
            <w:numStart w:val="1"/>
            <w:numRestart w:val="eachPage"/>
          </w:footnotePr>
          <w:pgSz w:orient="portrait" w:w="11905.511811023622" w:h="16837.79527559055"/>
          <w:pgMar w:top="1440" w:right="1440" w:bottom="1440" w:left="1440" w:header="720" w:footer="720" w:gutter="0"/>
          <w:cols w:num="1" w:space="720"/>
        </w:sectPr>
      </w:pPr>
    </w:p>
    <w:bookmarkStart w:id="608" w:name="pg14411_143372"/>
    <w:bookmarkEnd w:id="608"/>
    <w:p>
      <w:pPr>
        <w:pStyle w:val="BookText"/>
      </w:pPr>
      <w:r>
        <w:rPr>
          <w:rFonts w:ascii="IRNazanin" w:hAnsi="IRNazanin" w:eastAsia="IRNazanin" w:cs="IRNazanin"/>
          <w:lang w:bidi="fa-IR"/>
          <w:color w:val="111111"/>
          <w:sz w:val="28"/>
          <w:szCs w:val="28"/>
          <w:rtl/>
        </w:rPr>
        <w:t xml:space="preserve">إیعاد شخص یوجب صدق«المکره»علیه،فإنّ من اکره علی دفع مالٍ و توقّف علی بیع بعض أمواله،فالبیع الواقع منه لبعض أمواله و إن کان لدفع الضرر المتوعّد به علی عدم دفع ذلک المال-و لذا یرتفع التحریم عنه لو فرض حرمته علیه لحلف أو شبهه-،إلّا أنّه لیس مُکرَهاً علیه </w:t>
      </w:r>
      <w:r>
        <w:rPr>
          <w:rStyle w:val="FootnoteReference"/>
        </w:rPr>
        <w:footnoteReference w:id="29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فالمعیار فی وقوع الفعل مُکرَهاً علیه:سقوط الفاعل-من أجل الإکراه المقترن بإیعاد الضرر-عن الاستقلال فی التصرّف؛بحیث لا تطیب نفسه بما یصدر منه و لا یتعمّد </w:t>
      </w:r>
      <w:r>
        <w:rPr>
          <w:rStyle w:val="FootnoteReference"/>
        </w:rPr>
        <w:footnoteReference w:id="2996"/>
      </w:r>
      <w:r>
        <w:rPr>
          <w:rFonts w:ascii="IRNazanin" w:hAnsi="IRNazanin" w:eastAsia="IRNazanin" w:cs="IRNazanin"/>
          <w:lang w:bidi="fa-IR"/>
          <w:color w:val="111111"/>
          <w:sz w:val="28"/>
          <w:szCs w:val="28"/>
          <w:rtl/>
        </w:rPr>
        <w:t xml:space="preserve">إلیه عن رضا و إن کان یختاره لاستقلال العقل بوجوب اختیاره؛دفعاً للضرر أو ترجیحاً لأقلّ الضررین،إلّا أنّ هذا المقدار لا یوجب طیب نفسه به؛فإنّ النفس مجبولة علی کراهة ما یحمله غیره علیه مع الإیعاد علیه بما یشقّ </w:t>
      </w:r>
      <w:r>
        <w:rPr>
          <w:rStyle w:val="FootnoteReference"/>
        </w:rPr>
        <w:footnoteReference w:id="2997"/>
      </w:r>
      <w:r>
        <w:rPr>
          <w:rFonts w:ascii="Amiri" w:hAnsi="Amiri" w:eastAsia="Amiri" w:cs="Amiri"/>
          <w:lang w:bidi="ar-SA"/>
          <w:color w:val="111111"/>
          <w:sz w:val="28"/>
          <w:szCs w:val="28"/>
          <w:rtl/>
        </w:rPr>
        <w:t xml:space="preserve">تحمّله.</w:t>
      </w:r>
    </w:p>
    <w:p>
      <w:pPr>
        <w:pStyle w:val="BookText"/>
      </w:pPr>
      <w:r>
        <w:rPr>
          <w:rFonts w:ascii="IRNazanin" w:hAnsi="IRNazanin" w:eastAsia="IRNazanin" w:cs="IRNazanin"/>
          <w:lang w:bidi="fa-IR"/>
          <w:color w:val="111111"/>
          <w:sz w:val="28"/>
          <w:szCs w:val="28"/>
          <w:rtl/>
        </w:rPr>
        <w:t xml:space="preserve">و الحاصل:أنّ الفاعل قد یفعل لدفع الضرر،لکنّه مستقلّ فی فعله و مخلّی و طبعه فیه بحیث یطیب نفسه بفعله و إن کان من باب علاج الضرر،و قد یفعل لدفع ضرر إیعاد الغیر علی ترکه،و هذا ممّا لا یطیب النفس به،و ذلک معلوم بالوجدان.</w:t>
      </w:r>
    </w:p>
    <w:p>
      <w:pPr>
        <w:pStyle w:val="Heading6"/>
      </w:pPr>
      <w:bookmarkStart w:id="2215" w:name="_Toc1250"/>
      <w:r>
        <w:t>[هل یعتبر عدم إمکان التفصی عن الضرر بما لا ضرر فیه]</w:t>
      </w:r>
      <w:bookmarkEnd w:id="2215"/>
    </w:p>
    <w:p>
      <w:pPr>
        <w:pStyle w:val="Heading6"/>
      </w:pPr>
      <w:bookmarkStart w:id="2216" w:name="_Toc1251"/>
      <w:r>
        <w:t>اشارة</w:t>
      </w:r>
      <w:bookmarkEnd w:id="2216"/>
    </w:p>
    <w:p>
      <w:pPr>
        <w:pStyle w:val="BookText"/>
      </w:pPr>
      <w:r>
        <w:rPr>
          <w:rFonts w:ascii="IRNazanin" w:hAnsi="IRNazanin" w:eastAsia="IRNazanin" w:cs="IRNazanin"/>
          <w:lang w:bidi="fa-IR"/>
          <w:color w:val="111111"/>
          <w:sz w:val="28"/>
          <w:szCs w:val="28"/>
          <w:rtl/>
        </w:rPr>
        <w:t xml:space="preserve">ثمّ إنّه هل یعتبر فی موضوع الإکراه أو حکمه عدم إمکان التفصّی</w:t>
      </w:r>
    </w:p>
    <w:p>
      <w:pPr>
        <w:pStyle w:val="BookText"/>
      </w:pPr>
      <w:r>
        <w:rPr>
          <w:rFonts w:ascii="IRNazanin" w:hAnsi="IRNazanin" w:eastAsia="IRNazanin" w:cs="IRNazanin"/>
          <w:lang w:bidi="fa-IR"/>
          <w:color w:val="111111"/>
          <w:sz w:val="28"/>
          <w:szCs w:val="28"/>
          <w:rtl/>
        </w:rPr>
        <w:t xml:space="preserve">[شماره صفحه واقعی : 312]
</w:t>
      </w:r>
    </w:p>
    <w:p>
      <w:pPr>
        <w:sectPr>
          <w:footerReference w:type="default" r:id="rId991"/>
          <w:footnotePr>
            <w:numStart w:val="1"/>
            <w:numRestart w:val="eachPage"/>
          </w:footnotePr>
          <w:pgSz w:orient="portrait" w:w="11905.511811023622" w:h="16837.79527559055"/>
          <w:pgMar w:top="1440" w:right="1440" w:bottom="1440" w:left="1440" w:header="720" w:footer="720" w:gutter="0"/>
          <w:cols w:num="1" w:space="720"/>
        </w:sectPr>
      </w:pPr>
    </w:p>
    <w:bookmarkStart w:id="609" w:name="pg14411_143373"/>
    <w:bookmarkEnd w:id="609"/>
    <w:p>
      <w:pPr>
        <w:pStyle w:val="BookText"/>
      </w:pPr>
      <w:r>
        <w:rPr>
          <w:rFonts w:ascii="IRNazanin" w:hAnsi="IRNazanin" w:eastAsia="IRNazanin" w:cs="IRNazanin"/>
          <w:lang w:bidi="fa-IR"/>
          <w:color w:val="111111"/>
          <w:sz w:val="28"/>
          <w:szCs w:val="28"/>
          <w:rtl/>
        </w:rPr>
        <w:t xml:space="preserve">عن الضرر المتوعّد به بما لا یوجب </w:t>
      </w:r>
      <w:r>
        <w:rPr>
          <w:rStyle w:val="FootnoteReference"/>
        </w:rPr>
        <w:footnoteReference w:id="2998"/>
      </w:r>
      <w:r>
        <w:rPr>
          <w:rFonts w:ascii="IRNazanin" w:hAnsi="IRNazanin" w:eastAsia="IRNazanin" w:cs="IRNazanin"/>
          <w:lang w:bidi="fa-IR"/>
          <w:color w:val="111111"/>
          <w:sz w:val="28"/>
          <w:szCs w:val="28"/>
          <w:rtl/>
        </w:rPr>
        <w:t xml:space="preserve">ضرراً آخر-کما حکی عن جماعة </w:t>
      </w:r>
      <w:r>
        <w:rPr>
          <w:rStyle w:val="FootnoteReference"/>
        </w:rPr>
        <w:footnoteReference w:id="2999"/>
      </w:r>
      <w:r>
        <w:rPr>
          <w:rFonts w:ascii="IRNazanin" w:hAnsi="IRNazanin" w:eastAsia="IRNazanin" w:cs="IRNazanin"/>
          <w:lang w:bidi="fa-IR"/>
          <w:color w:val="111111"/>
          <w:sz w:val="28"/>
          <w:szCs w:val="28"/>
          <w:rtl/>
        </w:rPr>
        <w:t xml:space="preserve">-أم لا؟</w:t>
      </w:r>
    </w:p>
    <w:p>
      <w:pPr>
        <w:pStyle w:val="Heading6"/>
      </w:pPr>
      <w:bookmarkStart w:id="2217" w:name="_Toc1252"/>
      <w:r>
        <w:t>[عدم اعتبار العجز عن التوریة]</w:t>
      </w:r>
      <w:bookmarkEnd w:id="2217"/>
    </w:p>
    <w:p>
      <w:pPr>
        <w:pStyle w:val="BookText"/>
      </w:pPr>
      <w:r>
        <w:rPr>
          <w:rFonts w:ascii="IRNazanin" w:hAnsi="IRNazanin" w:eastAsia="IRNazanin" w:cs="IRNazanin"/>
          <w:lang w:bidi="fa-IR"/>
          <w:color w:val="111111"/>
          <w:sz w:val="28"/>
          <w:szCs w:val="28"/>
          <w:rtl/>
        </w:rPr>
        <w:t xml:space="preserve">الذی یظهر من النصوص </w:t>
      </w:r>
      <w:r>
        <w:rPr>
          <w:rStyle w:val="FootnoteReference"/>
        </w:rPr>
        <w:footnoteReference w:id="3000"/>
      </w:r>
      <w:r>
        <w:rPr>
          <w:rFonts w:ascii="IRNazanin" w:hAnsi="IRNazanin" w:eastAsia="IRNazanin" w:cs="IRNazanin"/>
          <w:lang w:bidi="fa-IR"/>
          <w:color w:val="111111"/>
          <w:sz w:val="28"/>
          <w:szCs w:val="28"/>
          <w:rtl/>
        </w:rPr>
        <w:t xml:space="preserve">و الفتاوی عدم اعتبار العجز عن التوریة؛لأنّ حمل عموم رفع الإکراه و خصوص النصوص الواردة فی طلاق المکره و عتقه </w:t>
      </w:r>
      <w:r>
        <w:rPr>
          <w:rStyle w:val="FootnoteReference"/>
        </w:rPr>
        <w:footnoteReference w:id="3001"/>
      </w:r>
      <w:r>
        <w:rPr>
          <w:rFonts w:ascii="IRNazanin" w:hAnsi="IRNazanin" w:eastAsia="IRNazanin" w:cs="IRNazanin"/>
          <w:lang w:bidi="fa-IR"/>
          <w:color w:val="111111"/>
          <w:sz w:val="28"/>
          <w:szCs w:val="28"/>
          <w:rtl/>
        </w:rPr>
        <w:t xml:space="preserve">و معاقد الإجماعات و الشهرات المدّعاة فی حکم المکرَه علی صورة العجز عن التوریة لجهل أو دهشة،بعید جدّاً،بل غیر صحیح فی بعضها من جهة المورد،کما لا یخفی علی من راجعها، مع أنّ القدرة علی التوریة لا یخرج الکلام عن حیّز الإکراه عرفاً.</w:t>
      </w:r>
    </w:p>
    <w:p>
      <w:pPr>
        <w:pStyle w:val="Heading6"/>
      </w:pPr>
      <w:bookmarkStart w:id="2218" w:name="_Toc1253"/>
      <w:r>
        <w:t>[هل یعتبر العجز عن التخلص بغیر التوریة]</w:t>
      </w:r>
      <w:bookmarkEnd w:id="2218"/>
    </w:p>
    <w:p>
      <w:pPr>
        <w:pStyle w:val="BookText"/>
      </w:pPr>
      <w:r>
        <w:rPr>
          <w:rFonts w:ascii="IRNazanin" w:hAnsi="IRNazanin" w:eastAsia="IRNazanin" w:cs="IRNazanin"/>
          <w:lang w:bidi="fa-IR"/>
          <w:color w:val="111111"/>
          <w:sz w:val="28"/>
          <w:szCs w:val="28"/>
          <w:rtl/>
        </w:rPr>
        <w:t xml:space="preserve">هذا،و ربما یستظهر من بعض الأخبار عدم اعتبار العجز عن التفصّی بوجهٍ آخر غیر التوریة أیضاً فی صدق الإکراه،مثل روایة ابن سنان عن أبی عبد اللّه علیه السلام قال:«لا یمین </w:t>
      </w:r>
      <w:r>
        <w:rPr>
          <w:rStyle w:val="FootnoteReference"/>
        </w:rPr>
        <w:footnoteReference w:id="3002"/>
      </w:r>
      <w:r>
        <w:rPr>
          <w:rFonts w:ascii="IRNazanin" w:hAnsi="IRNazanin" w:eastAsia="IRNazanin" w:cs="IRNazanin"/>
          <w:lang w:bidi="fa-IR"/>
          <w:color w:val="111111"/>
          <w:sz w:val="28"/>
          <w:szCs w:val="28"/>
          <w:rtl/>
        </w:rPr>
        <w:t xml:space="preserve">فی قطیعة رحم،و لا فی جبر،و لا فی إکراه،قلت:أصلحک اللّه!و ما الفرق بین الجبر و الإکراه؟قال:الجبر من السلطان،و یکون الإکراه من الزوجة و الأُمّ</w:t>
      </w:r>
    </w:p>
    <w:p>
      <w:pPr>
        <w:pStyle w:val="BookText"/>
      </w:pPr>
      <w:r>
        <w:rPr>
          <w:rFonts w:ascii="IRNazanin" w:hAnsi="IRNazanin" w:eastAsia="IRNazanin" w:cs="IRNazanin"/>
          <w:lang w:bidi="fa-IR"/>
          <w:color w:val="111111"/>
          <w:sz w:val="28"/>
          <w:szCs w:val="28"/>
          <w:rtl/>
        </w:rPr>
        <w:t xml:space="preserve">[شماره صفحه واقعی : 313]
</w:t>
      </w:r>
    </w:p>
    <w:p>
      <w:pPr>
        <w:sectPr>
          <w:footerReference w:type="default" r:id="rId992"/>
          <w:footnotePr>
            <w:numStart w:val="1"/>
            <w:numRestart w:val="eachPage"/>
          </w:footnotePr>
          <w:pgSz w:orient="portrait" w:w="11905.511811023622" w:h="16837.79527559055"/>
          <w:pgMar w:top="1440" w:right="1440" w:bottom="1440" w:left="1440" w:header="720" w:footer="720" w:gutter="0"/>
          <w:cols w:num="1" w:space="720"/>
        </w:sectPr>
      </w:pPr>
    </w:p>
    <w:bookmarkStart w:id="610" w:name="pg14411_143374"/>
    <w:bookmarkEnd w:id="610"/>
    <w:p>
      <w:pPr>
        <w:pStyle w:val="BookText"/>
      </w:pPr>
      <w:r>
        <w:rPr>
          <w:rFonts w:ascii="IRNazanin" w:hAnsi="IRNazanin" w:eastAsia="IRNazanin" w:cs="IRNazanin"/>
          <w:lang w:bidi="fa-IR"/>
          <w:color w:val="111111"/>
          <w:sz w:val="28"/>
          <w:szCs w:val="28"/>
          <w:rtl/>
        </w:rPr>
        <w:t xml:space="preserve">و الأب،و لیس ذلک بشیء </w:t>
      </w:r>
      <w:r>
        <w:rPr>
          <w:rStyle w:val="FootnoteReference"/>
        </w:rPr>
        <w:footnoteReference w:id="3003"/>
      </w:r>
      <w:r>
        <w:rPr>
          <w:rFonts w:ascii="Times New Roman" w:hAnsi="Times New Roman" w:eastAsia="Times New Roman" w:cs="Times New Roman"/>
          <w:lang w:val="en-US" w:bidi="en-US"/>
          <w:color w:val="111111"/>
          <w:sz w:val="28"/>
          <w:szCs w:val="28"/>
          <w:rtl/>
        </w:rPr>
        <w:t xml:space="preserve">» </w:t>
      </w:r>
      <w:r>
        <w:rPr>
          <w:rStyle w:val="FootnoteReference"/>
        </w:rPr>
        <w:footnoteReference w:id="30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یؤیّده:أنّه لو خرج عن الإکراه عرفاً بالقدرة علی التفصّی بغیر التوریة خرج عنه بالقدرة علیها؛لأنّ المناط حینئذٍ انحصار التخلّص عن الضرر المتوعّد به </w:t>
      </w:r>
      <w:r>
        <w:rPr>
          <w:rStyle w:val="FootnoteReference"/>
        </w:rPr>
        <w:footnoteReference w:id="3005"/>
      </w:r>
      <w:r>
        <w:rPr>
          <w:rFonts w:ascii="IRNazanin" w:hAnsi="IRNazanin" w:eastAsia="IRNazanin" w:cs="IRNazanin"/>
          <w:lang w:bidi="fa-IR"/>
          <w:color w:val="111111"/>
          <w:sz w:val="28"/>
          <w:szCs w:val="28"/>
          <w:rtl/>
        </w:rPr>
        <w:t xml:space="preserve">فی فعل المکره علیه،فلا فرق بین أن یتخلّص عنه </w:t>
      </w:r>
      <w:r>
        <w:rPr>
          <w:rStyle w:val="FootnoteReference"/>
        </w:rPr>
        <w:footnoteReference w:id="3006"/>
      </w:r>
      <w:r>
        <w:rPr>
          <w:rFonts w:ascii="IRNazanin" w:hAnsi="IRNazanin" w:eastAsia="IRNazanin" w:cs="IRNazanin"/>
          <w:lang w:bidi="fa-IR"/>
          <w:color w:val="111111"/>
          <w:sz w:val="28"/>
          <w:szCs w:val="28"/>
          <w:rtl/>
        </w:rPr>
        <w:t xml:space="preserve">بکلامٍ آخر أو فعلٍ آخر،أو </w:t>
      </w:r>
      <w:r>
        <w:rPr>
          <w:rStyle w:val="FootnoteReference"/>
        </w:rPr>
        <w:footnoteReference w:id="3007"/>
      </w:r>
      <w:r>
        <w:rPr>
          <w:rFonts w:ascii="IRNazanin" w:hAnsi="IRNazanin" w:eastAsia="IRNazanin" w:cs="IRNazanin"/>
          <w:lang w:bidi="fa-IR"/>
          <w:color w:val="111111"/>
          <w:sz w:val="28"/>
          <w:szCs w:val="28"/>
          <w:rtl/>
        </w:rPr>
        <w:t xml:space="preserve">بهذا الکلام مع قصد معنیً آخر.</w:t>
      </w:r>
    </w:p>
    <w:p>
      <w:pPr>
        <w:pStyle w:val="BookText"/>
      </w:pPr>
      <w:r>
        <w:rPr>
          <w:rFonts w:ascii="IRNazanin" w:hAnsi="IRNazanin" w:eastAsia="IRNazanin" w:cs="IRNazanin"/>
          <w:lang w:bidi="fa-IR"/>
          <w:color w:val="111111"/>
          <w:sz w:val="28"/>
          <w:szCs w:val="28"/>
          <w:rtl/>
        </w:rPr>
        <w:t xml:space="preserve">و دعوی:أنّ جریان حکم الإکراه مع القدرة علی التوریة تعبّدیّ لا من جهة صدق حقیقة الإکراه،کما تری.</w:t>
      </w:r>
    </w:p>
    <w:p>
      <w:pPr>
        <w:pStyle w:val="Heading6"/>
      </w:pPr>
      <w:bookmarkStart w:id="2219" w:name="_Toc1254"/>
      <w:r>
        <w:t>[اعتبار العجز عن التخلص بغیر التوریة]</w:t>
      </w:r>
      <w:bookmarkEnd w:id="2219"/>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[*ستوده]</w:t>
      </w:r>
    </w:p>
    <w:p>
      <w:pPr>
        <w:pStyle w:val="BookText"/>
      </w:pPr>
      <w:r>
        <w:rPr>
          <w:rFonts w:ascii="IRNazanin" w:hAnsi="IRNazanin" w:eastAsia="IRNazanin" w:cs="IRNazanin"/>
          <w:lang w:bidi="fa-IR"/>
          <w:color w:val="111111"/>
          <w:sz w:val="28"/>
          <w:szCs w:val="28"/>
          <w:rtl/>
        </w:rPr>
        <w:t xml:space="preserve">لکنّ الإنصاف:أنّ وقوع الفعل عن </w:t>
      </w:r>
      <w:r>
        <w:rPr>
          <w:rStyle w:val="FootnoteReference"/>
        </w:rPr>
        <w:footnoteReference w:id="3008"/>
      </w:r>
      <w:r>
        <w:rPr>
          <w:rFonts w:ascii="IRNazanin" w:hAnsi="IRNazanin" w:eastAsia="IRNazanin" w:cs="IRNazanin"/>
          <w:lang w:bidi="fa-IR"/>
          <w:color w:val="111111"/>
          <w:sz w:val="28"/>
          <w:szCs w:val="28"/>
          <w:rtl/>
        </w:rPr>
        <w:t xml:space="preserve">الإکراه لا یتحقّق إلّا مع العجز عن التفصّی بغیر التوریة؛لأنّه یعتبر فیه أن یکون الداعی علیه هو خوف ترتّب الضرر المتوعّد به علی الترک،و مع القدرة علی التفصّی لا یکون الضرر مترتّباً علی ترک المکره علیه،بل علی ترکه و ترک التفصّی معاً،فدفع الضرر یحصل بأحد الأمرین:من فعل المُکرَه علیه، و التفصّی،فهو مختار فی کلٍّ منهما،و لا یصدر کلٌّ منهما إلّا باختیاره، فلا إکراه.</w:t>
      </w:r>
    </w:p>
    <w:p>
      <w:pPr>
        <w:pStyle w:val="BookText"/>
      </w:pPr>
      <w:r>
        <w:rPr>
          <w:rFonts w:ascii="IRNazanin" w:hAnsi="IRNazanin" w:eastAsia="IRNazanin" w:cs="IRNazanin"/>
          <w:lang w:bidi="fa-IR"/>
          <w:color w:val="111111"/>
          <w:sz w:val="28"/>
          <w:szCs w:val="28"/>
          <w:rtl/>
        </w:rPr>
        <w:t xml:space="preserve">[شماره صفحه واقعی : 314]
</w:t>
      </w:r>
    </w:p>
    <w:p>
      <w:pPr>
        <w:sectPr>
          <w:footerReference w:type="default" r:id="rId9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لیس التفصّی من الضرر أحد فردَی المکره علیه،حتّی لا یوجب تخییر الفاعل فیهما سلب الإکراه عنهما،کما لو أکرهه علی أحد الأمرین </w:t>
      </w:r>
      <w:r>
        <w:rPr>
          <w:rStyle w:val="FootnoteReference"/>
        </w:rPr>
        <w:footnoteReference w:id="3009"/>
      </w:r>
      <w:r>
        <w:rPr>
          <w:rFonts w:ascii="Amiri" w:hAnsi="Amiri" w:eastAsia="Amiri" w:cs="Amiri"/>
          <w:lang w:bidi="ar-SA"/>
          <w:color w:val="111111"/>
          <w:sz w:val="28"/>
          <w:szCs w:val="28"/>
          <w:rtl/>
        </w:rPr>
        <w:t xml:space="preserve">،حیث یقع کلٌّ منهما حینئذٍ مکرَهاً </w:t>
      </w:r>
      <w:r>
        <w:rPr>
          <w:rStyle w:val="FootnoteReference"/>
        </w:rPr>
        <w:footnoteReference w:id="3010"/>
      </w:r>
      <w:r>
        <w:rPr>
          <w:rFonts w:ascii="IRNazanin" w:hAnsi="IRNazanin" w:eastAsia="IRNazanin" w:cs="IRNazanin"/>
          <w:lang w:bidi="fa-IR"/>
          <w:color w:val="111111"/>
          <w:sz w:val="28"/>
          <w:szCs w:val="28"/>
          <w:rtl/>
        </w:rPr>
        <w:t xml:space="preserve">لأنّ الفعل المتفصّی به مسقِط عن المُکرَه علیه،لا بدلٌ له؛و لذا لا یجری أحکام المکره علیه إجماعاً،فلا یفسد إذا کان عقداً.</w:t>
      </w:r>
    </w:p>
    <w:p>
      <w:pPr>
        <w:pStyle w:val="BookText"/>
      </w:pPr>
      <w:r>
        <w:rPr>
          <w:rFonts w:ascii="IRNazanin" w:hAnsi="IRNazanin" w:eastAsia="IRNazanin" w:cs="IRNazanin"/>
          <w:lang w:bidi="fa-IR"/>
          <w:color w:val="111111"/>
          <w:sz w:val="28"/>
          <w:szCs w:val="28"/>
          <w:rtl/>
        </w:rPr>
        <w:t xml:space="preserve">و ما ذکرناه و إن کان جاریاً فی التوریة،إلّا أنّ الشارع رخّص فی ترک التوریة بعد عدم إمکان التفصّی بوجهٍ آخر؛لما ذکرنا من ظهور النصوص و الفتاوی،و بُعدِ حملها علی صورة العجز عن التوریة،مع أنّ العجز عنها لو کان معتبراً لأُشیر إلیها فی تلک الأخبار الکثیرة المجوّزة للحلف کاذباً عند الخوف و الإکراه </w:t>
      </w:r>
      <w:r>
        <w:rPr>
          <w:rStyle w:val="FootnoteReference"/>
        </w:rPr>
        <w:footnoteReference w:id="3011"/>
      </w:r>
      <w:r>
        <w:rPr>
          <w:rFonts w:ascii="Amiri" w:hAnsi="Amiri" w:eastAsia="Amiri" w:cs="Amiri"/>
          <w:lang w:bidi="ar-SA"/>
          <w:color w:val="111111"/>
          <w:sz w:val="28"/>
          <w:szCs w:val="28"/>
          <w:rtl/>
        </w:rPr>
        <w:t xml:space="preserve">،خصوصاً فی قضیّة عمّار و أبویه، حیث اکرهوا علی الکفر،فأبی أبواه فقُتلا،و أظهر لهم عمّار ما أرادوا، فجاء باکیاً إلی رسول اللّه صلّی اللّه علیه و آله و سلم فنزلت الآیة: مَنْ کَفَرَ بِاللّٰهِ مِنْ بَعْدِ إِیمٰانِهِ إِلاّٰ مَنْ أُکْرِهَ وَ قَلْبُهُ مُطْمَئِنٌّ بِالْإِیمٰانِ </w:t>
      </w:r>
      <w:r>
        <w:rPr>
          <w:rStyle w:val="FootnoteReference"/>
        </w:rPr>
        <w:footnoteReference w:id="3012"/>
      </w:r>
      <w:r>
        <w:rPr>
          <w:rFonts w:ascii="IRNazanin" w:hAnsi="IRNazanin" w:eastAsia="IRNazanin" w:cs="IRNazanin"/>
          <w:lang w:bidi="fa-IR"/>
          <w:color w:val="111111"/>
          <w:sz w:val="28"/>
          <w:szCs w:val="28"/>
          <w:rtl/>
        </w:rPr>
        <w:t xml:space="preserve">فقال له رسول اللّه صلّی اللّه علیه و آله و سلم:«إن عادوا علیک فعد» </w:t>
      </w:r>
      <w:r>
        <w:rPr>
          <w:rStyle w:val="FootnoteReference"/>
        </w:rPr>
        <w:footnoteReference w:id="3013"/>
      </w:r>
      <w:r>
        <w:rPr>
          <w:rFonts w:ascii="IRNazanin" w:hAnsi="IRNazanin" w:eastAsia="IRNazanin" w:cs="IRNazanin"/>
          <w:lang w:bidi="fa-IR"/>
          <w:color w:val="111111"/>
          <w:sz w:val="28"/>
          <w:szCs w:val="28"/>
          <w:rtl/>
        </w:rPr>
        <w:t xml:space="preserve">.و لم ینبّهه علی التوریة، فإنّ التنبیه فی المقام و إن لم یکن واجباً،إلّا أنّه لا شکّ فی رجحانه،</w:t>
      </w:r>
    </w:p>
    <w:p>
      <w:pPr>
        <w:pStyle w:val="BookText"/>
      </w:pPr>
      <w:r>
        <w:rPr>
          <w:rFonts w:ascii="IRNazanin" w:hAnsi="IRNazanin" w:eastAsia="IRNazanin" w:cs="IRNazanin"/>
          <w:lang w:bidi="fa-IR"/>
          <w:color w:val="111111"/>
          <w:sz w:val="28"/>
          <w:szCs w:val="28"/>
          <w:rtl/>
        </w:rPr>
        <w:t xml:space="preserve">[شماره صفحه واقعی : 315]
</w:t>
      </w:r>
    </w:p>
    <w:p>
      <w:pPr>
        <w:sectPr>
          <w:footerReference w:type="default" r:id="rId994"/>
          <w:footnotePr>
            <w:numStart w:val="1"/>
            <w:numRestart w:val="eachPage"/>
          </w:footnotePr>
          <w:pgSz w:orient="portrait" w:w="11905.511811023622" w:h="16837.79527559055"/>
          <w:pgMar w:top="1440" w:right="1440" w:bottom="1440" w:left="1440" w:header="720" w:footer="720" w:gutter="0"/>
          <w:cols w:num="1" w:space="720"/>
        </w:sectPr>
      </w:pPr>
    </w:p>
    <w:bookmarkStart w:id="611" w:name="pg14411_143376"/>
    <w:bookmarkEnd w:id="611"/>
    <w:p>
      <w:pPr>
        <w:pStyle w:val="BookText"/>
      </w:pPr>
      <w:r>
        <w:rPr>
          <w:rFonts w:ascii="IRNazanin" w:hAnsi="IRNazanin" w:eastAsia="IRNazanin" w:cs="IRNazanin"/>
          <w:lang w:bidi="fa-IR"/>
          <w:color w:val="111111"/>
          <w:sz w:val="28"/>
          <w:szCs w:val="28"/>
          <w:rtl/>
        </w:rPr>
        <w:t xml:space="preserve">خصوصاً من النبیّ صلّی اللّه علیه و آله و سلم باعتبار شفقته علی عمّار،و علمه بکراهة تکلّم عمّار بألفاظ الکفر من دون توریة،کما لا یخفی.</w:t>
      </w:r>
    </w:p>
    <w:p>
      <w:pPr>
        <w:pStyle w:val="Heading6"/>
      </w:pPr>
      <w:bookmarkStart w:id="2220" w:name="_Toc1255"/>
      <w:r>
        <w:t>[الفرق بین إمکان التفصی بالتوریة و إمکانه بغیرها]</w:t>
      </w:r>
      <w:bookmarkEnd w:id="2220"/>
    </w:p>
    <w:p>
      <w:pPr>
        <w:pStyle w:val="BookText"/>
      </w:pPr>
      <w:r>
        <w:rPr>
          <w:rFonts w:ascii="IRNazanin" w:hAnsi="IRNazanin" w:eastAsia="IRNazanin" w:cs="IRNazanin"/>
          <w:lang w:bidi="fa-IR"/>
          <w:color w:val="111111"/>
          <w:sz w:val="28"/>
          <w:szCs w:val="28"/>
          <w:rtl/>
        </w:rPr>
        <w:t xml:space="preserve">هذا </w:t>
      </w:r>
      <w:r>
        <w:rPr>
          <w:rStyle w:val="FootnoteReference"/>
        </w:rPr>
        <w:footnoteReference w:id="3014"/>
      </w:r>
      <w:r>
        <w:rPr>
          <w:rFonts w:ascii="IRNazanin" w:hAnsi="IRNazanin" w:eastAsia="IRNazanin" w:cs="IRNazanin"/>
          <w:lang w:bidi="fa-IR"/>
          <w:color w:val="111111"/>
          <w:sz w:val="28"/>
          <w:szCs w:val="28"/>
          <w:rtl/>
        </w:rPr>
        <w:t xml:space="preserve">،و لکنّ الأولی:أن یفرّق بین إمکان التفصّی بالتوریة و إمکانه بغیرها،بتحقّق الموضوع فی الأوّل دون الثانی؛لأنّ الأصحاب </w:t>
      </w:r>
      <w:r>
        <w:rPr>
          <w:rStyle w:val="FootnoteReference"/>
        </w:rPr>
        <w:footnoteReference w:id="3015"/>
      </w:r>
      <w:r>
        <w:rPr>
          <w:rFonts w:ascii="IRNazanin" w:hAnsi="IRNazanin" w:eastAsia="IRNazanin" w:cs="IRNazanin"/>
          <w:lang w:bidi="fa-IR"/>
          <w:color w:val="111111"/>
          <w:sz w:val="28"/>
          <w:szCs w:val="28"/>
          <w:rtl/>
        </w:rPr>
        <w:t xml:space="preserve">-وفاقاً للشیخ فی المبسوط </w:t>
      </w:r>
      <w:r>
        <w:rPr>
          <w:rStyle w:val="FootnoteReference"/>
        </w:rPr>
        <w:footnoteReference w:id="3016"/>
      </w:r>
      <w:r>
        <w:rPr>
          <w:rFonts w:ascii="IRNazanin" w:hAnsi="IRNazanin" w:eastAsia="IRNazanin" w:cs="IRNazanin"/>
          <w:lang w:bidi="fa-IR"/>
          <w:color w:val="111111"/>
          <w:sz w:val="28"/>
          <w:szCs w:val="28"/>
          <w:rtl/>
        </w:rPr>
        <w:t xml:space="preserve">-ذکروا من شروط تحقّق الإکراه:أن یعلم أو یظنّ المکرَه-بالفتح-أنّه لو امتنع ممّا </w:t>
      </w:r>
      <w:r>
        <w:rPr>
          <w:rStyle w:val="FootnoteReference"/>
        </w:rPr>
        <w:footnoteReference w:id="3017"/>
      </w:r>
      <w:r>
        <w:rPr>
          <w:rFonts w:ascii="IRNazanin" w:hAnsi="IRNazanin" w:eastAsia="IRNazanin" w:cs="IRNazanin"/>
          <w:lang w:bidi="fa-IR"/>
          <w:color w:val="111111"/>
          <w:sz w:val="28"/>
          <w:szCs w:val="28"/>
          <w:rtl/>
        </w:rPr>
        <w:t xml:space="preserve">اکره علیه وقع فیما توعّد علیه،و معلوم أنّ المراد لیس امتناعه عنه فی الواقع و لو مع اعتقاد المکرِه-بالکسر-عدم الامتناع،بل المعیار فی وقوع الضرر:اعتقاد المکرِه لامتناع المکرَه،و هذا المعنی یصدق مع إمکان التوریة، و لا یصدق مع التمکّن من التفصّی بغیرها؛لأنّ المفروض تمکّنه من الامتناع مع اطّلاع المُکرَه علیه و عدم وقوع الضرر علیه.</w:t>
      </w:r>
    </w:p>
    <w:p>
      <w:pPr>
        <w:pStyle w:val="BookText"/>
      </w:pPr>
      <w:r>
        <w:rPr>
          <w:rFonts w:ascii="IRNazanin" w:hAnsi="IRNazanin" w:eastAsia="IRNazanin" w:cs="IRNazanin"/>
          <w:lang w:bidi="fa-IR"/>
          <w:color w:val="111111"/>
          <w:sz w:val="28"/>
          <w:szCs w:val="28"/>
          <w:rtl/>
        </w:rPr>
        <w:t xml:space="preserve">و الحاصل:أنّ التلازم بین امتناعه و وقوع الضرر الذی هو المعتبر فی صدق الإکراه موجود مع التمکّن بالتوریة،لا مع التمکّن بغیرها، فافهم </w:t>
      </w:r>
      <w:r>
        <w:rPr>
          <w:rStyle w:val="FootnoteReference"/>
        </w:rPr>
        <w:footnoteReference w:id="30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316]
</w:t>
      </w:r>
    </w:p>
    <w:p>
      <w:pPr>
        <w:sectPr>
          <w:footerReference w:type="default" r:id="rId995"/>
          <w:footnotePr>
            <w:numStart w:val="1"/>
            <w:numRestart w:val="eachPage"/>
          </w:footnotePr>
          <w:pgSz w:orient="portrait" w:w="11905.511811023622" w:h="16837.79527559055"/>
          <w:pgMar w:top="1440" w:right="1440" w:bottom="1440" w:left="1440" w:header="720" w:footer="720" w:gutter="0"/>
          <w:cols w:num="1" w:space="720"/>
        </w:sectPr>
      </w:pPr>
    </w:p>
    <w:bookmarkStart w:id="612" w:name="pg14411_143377"/>
    <w:bookmarkEnd w:id="612"/>
    <w:p>
      <w:pPr>
        <w:pStyle w:val="Heading6"/>
      </w:pPr>
      <w:bookmarkStart w:id="2221" w:name="_Toc1256"/>
      <w:r>
        <w:t>[عدم اعتبار العجز فی الإکراه الرافع لأثر المعاملات]</w:t>
      </w:r>
      <w:bookmarkEnd w:id="2221"/>
    </w:p>
    <w:p>
      <w:pPr>
        <w:pStyle w:val="Heading6"/>
      </w:pPr>
      <w:bookmarkStart w:id="2222" w:name="_Toc1257"/>
      <w:r>
        <w:t>اشارة</w:t>
      </w:r>
      <w:bookmarkEnd w:id="2222"/>
    </w:p>
    <w:p>
      <w:pPr>
        <w:pStyle w:val="BookText"/>
      </w:pPr>
      <w:r>
        <w:rPr>
          <w:rFonts w:ascii="IRNazanin" w:hAnsi="IRNazanin" w:eastAsia="IRNazanin" w:cs="IRNazanin"/>
          <w:lang w:bidi="fa-IR"/>
          <w:color w:val="111111"/>
          <w:sz w:val="28"/>
          <w:szCs w:val="28"/>
          <w:rtl/>
        </w:rPr>
        <w:t xml:space="preserve">ثمّ إنّ ما ذکرنا من اعتبار العجز عن التفصّی إنّما هو فی الإکراه المسوِّغ للمحرمات،و مناطه توقّف دفع ضرر المکرِه علی ارتکاب المکرَه علیه،و أمّا الإکراه الرافع لأثر المعاملات،فالظاهر أنّ المناط فیه عدم طیب النفس بالمعاملة،و قد یتحقّق مع إمکان التفصّی،مثلاً من کان قاعداً فی مکان خاصّ خالٍ عن الغیر متفرّغاً لعبادة أو مطالعة،فجاءه من أکرهه علی بیع شیءٍ ممّا عنده و هو فی هذه الحال غیر قادرٍ علی دفع ضرره و هو کارهٌ للخروج عن ذلک المکان لکن لو خرج کان له فی الخارج خَدَمٌ یکفونه شرّ المکرِه،فالظاهر صدق الإکراه حینئذٍ،بمعنی عدم طیب النفس لو باع ذلک الشیء،بخلاف من کان خَدَمه حاضرین عنده،و توقّف دفع ضرر إکراه الشخص علی أمر خَدَمه بدفعه و طرده؛ فإنّ هذا لا یتحقّق فی حقّه الإکراه،و یکذّب لو ادّعاه،بخلاف الأوّل إذا اعتذر بکراهة الخروج عن ذلک المنزل.</w:t>
      </w:r>
    </w:p>
    <w:p>
      <w:pPr>
        <w:pStyle w:val="BookText"/>
      </w:pPr>
      <w:r>
        <w:rPr>
          <w:rFonts w:ascii="IRNazanin" w:hAnsi="IRNazanin" w:eastAsia="IRNazanin" w:cs="IRNazanin"/>
          <w:lang w:bidi="fa-IR"/>
          <w:color w:val="111111"/>
          <w:sz w:val="28"/>
          <w:szCs w:val="28"/>
          <w:rtl/>
        </w:rPr>
        <w:t xml:space="preserve">[*ستوده]</w:t>
      </w:r>
    </w:p>
    <w:p>
      <w:pPr>
        <w:pStyle w:val="BookText"/>
      </w:pPr>
      <w:r>
        <w:rPr>
          <w:rFonts w:ascii="IRNazanin" w:hAnsi="IRNazanin" w:eastAsia="IRNazanin" w:cs="IRNazanin"/>
          <w:lang w:bidi="fa-IR"/>
          <w:color w:val="111111"/>
          <w:sz w:val="28"/>
          <w:szCs w:val="28"/>
          <w:rtl/>
        </w:rPr>
        <w:t xml:space="preserve">و لو فرض فی ذلک المثال إکراهه علی محرّمٍ لم یعذر فیه بمجرّد کراهة الخروج عن ذلک المنزل،و قد </w:t>
      </w:r>
      <w:r>
        <w:rPr>
          <w:rStyle w:val="FootnoteReference"/>
        </w:rPr>
        <w:footnoteReference w:id="3019"/>
      </w:r>
      <w:r>
        <w:rPr>
          <w:rFonts w:ascii="IRNazanin" w:hAnsi="IRNazanin" w:eastAsia="IRNazanin" w:cs="IRNazanin"/>
          <w:lang w:bidi="fa-IR"/>
          <w:color w:val="111111"/>
          <w:sz w:val="28"/>
          <w:szCs w:val="28"/>
          <w:rtl/>
        </w:rPr>
        <w:t xml:space="preserve">تقدّم الفرق بین الجبر و الإکراه فی روایة ابن سنان </w:t>
      </w:r>
      <w:r>
        <w:rPr>
          <w:rStyle w:val="FootnoteReference"/>
        </w:rPr>
        <w:footnoteReference w:id="3020"/>
      </w:r>
      <w:r>
        <w:rPr>
          <w:rFonts w:ascii="Times New Roman" w:hAnsi="Times New Roman" w:eastAsia="Times New Roman" w:cs="Times New Roman"/>
          <w:lang w:val="en-US" w:bidi="en-US"/>
          <w:color w:val="111111"/>
          <w:sz w:val="28"/>
          <w:szCs w:val="28"/>
          <w:rtl/>
        </w:rPr>
        <w:t xml:space="preserve">.</w:t>
      </w:r>
    </w:p>
    <w:p>
      <w:pPr>
        <w:pStyle w:val="Heading6"/>
      </w:pPr>
      <w:bookmarkStart w:id="2223" w:name="_Toc1258"/>
      <w:r>
        <w:t>[المراد من الإکراه الرافع لأثر المعاملات]</w:t>
      </w:r>
      <w:bookmarkEnd w:id="2223"/>
    </w:p>
    <w:p>
      <w:pPr>
        <w:pStyle w:val="BookText"/>
      </w:pPr>
      <w:r>
        <w:rPr>
          <w:rFonts w:ascii="IRNazanin" w:hAnsi="IRNazanin" w:eastAsia="IRNazanin" w:cs="IRNazanin"/>
          <w:lang w:bidi="fa-IR"/>
          <w:color w:val="111111"/>
          <w:sz w:val="28"/>
          <w:szCs w:val="28"/>
          <w:rtl/>
        </w:rPr>
        <w:t xml:space="preserve">فالإکراه المعتبر فی تسویغ المحظورات،هو:الإکراه بمعنی الجبر المذکور فی الروایة </w:t>
      </w:r>
      <w:r>
        <w:rPr>
          <w:rStyle w:val="FootnoteReference"/>
        </w:rPr>
        <w:footnoteReference w:id="3021"/>
      </w:r>
      <w:r>
        <w:rPr>
          <w:rFonts w:ascii="IRNazanin" w:hAnsi="IRNazanin" w:eastAsia="IRNazanin" w:cs="IRNazanin"/>
          <w:lang w:bidi="fa-IR"/>
          <w:color w:val="111111"/>
          <w:sz w:val="28"/>
          <w:szCs w:val="28"/>
          <w:rtl/>
        </w:rPr>
        <w:t xml:space="preserve">،و الرافع لأثر المعاملات هو </w:t>
      </w:r>
      <w:r>
        <w:rPr>
          <w:rStyle w:val="FootnoteReference"/>
        </w:rPr>
        <w:footnoteReference w:id="3022"/>
      </w:r>
      <w:r>
        <w:rPr>
          <w:rFonts w:ascii="IRNazanin" w:hAnsi="IRNazanin" w:eastAsia="IRNazanin" w:cs="IRNazanin"/>
          <w:lang w:bidi="fa-IR"/>
          <w:color w:val="111111"/>
          <w:sz w:val="28"/>
          <w:szCs w:val="28"/>
          <w:rtl/>
        </w:rPr>
        <w:t xml:space="preserve">:الإکراه الذی ذکر</w:t>
      </w:r>
    </w:p>
    <w:p>
      <w:pPr>
        <w:pStyle w:val="BookText"/>
      </w:pPr>
      <w:r>
        <w:rPr>
          <w:rFonts w:ascii="IRNazanin" w:hAnsi="IRNazanin" w:eastAsia="IRNazanin" w:cs="IRNazanin"/>
          <w:lang w:bidi="fa-IR"/>
          <w:color w:val="111111"/>
          <w:sz w:val="28"/>
          <w:szCs w:val="28"/>
          <w:rtl/>
        </w:rPr>
        <w:t xml:space="preserve">[شماره صفحه واقعی : 317]
</w:t>
      </w:r>
    </w:p>
    <w:p>
      <w:pPr>
        <w:sectPr>
          <w:footerReference w:type="default" r:id="rId9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فیها </w:t>
      </w:r>
      <w:r>
        <w:rPr>
          <w:rStyle w:val="FootnoteReference"/>
        </w:rPr>
        <w:footnoteReference w:id="3023"/>
      </w:r>
      <w:r>
        <w:rPr>
          <w:rFonts w:ascii="IRNazanin" w:hAnsi="IRNazanin" w:eastAsia="IRNazanin" w:cs="IRNazanin"/>
          <w:lang w:bidi="fa-IR"/>
          <w:color w:val="111111"/>
          <w:sz w:val="28"/>
          <w:szCs w:val="28"/>
          <w:rtl/>
        </w:rPr>
        <w:t xml:space="preserve">أنّه قد یکون من الأب و الولد و المرأة،و المعیار فیه:عدم طیب النفس فیها </w:t>
      </w:r>
      <w:r>
        <w:rPr>
          <w:rStyle w:val="FootnoteReference"/>
        </w:rPr>
        <w:footnoteReference w:id="3024"/>
      </w:r>
      <w:r>
        <w:rPr>
          <w:rFonts w:ascii="IRNazanin" w:hAnsi="IRNazanin" w:eastAsia="IRNazanin" w:cs="IRNazanin"/>
          <w:lang w:bidi="fa-IR"/>
          <w:color w:val="111111"/>
          <w:sz w:val="28"/>
          <w:szCs w:val="28"/>
          <w:rtl/>
        </w:rPr>
        <w:t xml:space="preserve">،لا الضرورة و الإلجاء و إن کان هو المتبادر من لفظ الإکراه؛و لذا یحمل </w:t>
      </w:r>
      <w:r>
        <w:rPr>
          <w:rStyle w:val="FootnoteReference"/>
        </w:rPr>
        <w:footnoteReference w:id="3025"/>
      </w:r>
      <w:r>
        <w:rPr>
          <w:rFonts w:ascii="IRNazanin" w:hAnsi="IRNazanin" w:eastAsia="IRNazanin" w:cs="IRNazanin"/>
          <w:lang w:bidi="fa-IR"/>
          <w:color w:val="111111"/>
          <w:sz w:val="28"/>
          <w:szCs w:val="28"/>
          <w:rtl/>
        </w:rPr>
        <w:t xml:space="preserve">الإکراه فی حدیث الرفع </w:t>
      </w:r>
      <w:r>
        <w:rPr>
          <w:rStyle w:val="FootnoteReference"/>
        </w:rPr>
        <w:footnoteReference w:id="3026"/>
      </w:r>
      <w:r>
        <w:rPr>
          <w:rFonts w:ascii="IRNazanin" w:hAnsi="IRNazanin" w:eastAsia="IRNazanin" w:cs="IRNazanin"/>
          <w:lang w:bidi="fa-IR"/>
          <w:color w:val="111111"/>
          <w:sz w:val="28"/>
          <w:szCs w:val="28"/>
          <w:rtl/>
        </w:rPr>
        <w:t xml:space="preserve">علیه،فیکون الفرق بینه و بین الاضطرار-المعطوف علیه فی ذلک الحدیث-اختصاص الاضطرار بالحاصل لا من فعل الغیر کالجوع و العطش و المرض،لکنّ الداعی علی اعتبار ما ذکرنا فی المعاملات هو أنّ العبرة فیها بالقصد الحاصل عن طیب النفس؛حیث استدلّوا </w:t>
      </w:r>
      <w:r>
        <w:rPr>
          <w:rStyle w:val="FootnoteReference"/>
        </w:rPr>
        <w:footnoteReference w:id="3027"/>
      </w:r>
      <w:r>
        <w:rPr>
          <w:rFonts w:ascii="Amiri" w:hAnsi="Amiri" w:eastAsia="Amiri" w:cs="Amiri"/>
          <w:lang w:bidi="ar-SA"/>
          <w:color w:val="111111"/>
          <w:sz w:val="28"/>
          <w:szCs w:val="28"/>
          <w:rtl/>
        </w:rPr>
        <w:t xml:space="preserve">علی ذلک بقوله تعالی: تِجٰارَةً عَنْ تَرٰاضٍ </w:t>
      </w:r>
      <w:r>
        <w:rPr>
          <w:rStyle w:val="FootnoteReference"/>
        </w:rPr>
        <w:footnoteReference w:id="3028"/>
      </w:r>
      <w:r>
        <w:rPr>
          <w:rFonts w:ascii="Amiri" w:hAnsi="Amiri" w:eastAsia="Amiri" w:cs="Amiri"/>
          <w:lang w:bidi="ar-SA"/>
          <w:color w:val="111111"/>
          <w:sz w:val="28"/>
          <w:szCs w:val="28"/>
          <w:rtl/>
        </w:rPr>
        <w:t xml:space="preserve">،و«لا یحلّ مال امرئٍ مسلم </w:t>
      </w:r>
      <w:r>
        <w:rPr>
          <w:rStyle w:val="FootnoteReference"/>
        </w:rPr>
        <w:footnoteReference w:id="3029"/>
      </w:r>
      <w:r>
        <w:rPr>
          <w:rFonts w:ascii="IRNazanin" w:hAnsi="IRNazanin" w:eastAsia="IRNazanin" w:cs="IRNazanin"/>
          <w:lang w:bidi="fa-IR"/>
          <w:color w:val="111111"/>
          <w:sz w:val="28"/>
          <w:szCs w:val="28"/>
          <w:rtl/>
        </w:rPr>
        <w:t xml:space="preserve">إلّا عن طیب نفسه» </w:t>
      </w:r>
      <w:r>
        <w:rPr>
          <w:rStyle w:val="FootnoteReference"/>
        </w:rPr>
        <w:footnoteReference w:id="3030"/>
      </w:r>
      <w:r>
        <w:rPr>
          <w:rFonts w:ascii="IRNazanin" w:hAnsi="IRNazanin" w:eastAsia="IRNazanin" w:cs="IRNazanin"/>
          <w:lang w:bidi="fa-IR"/>
          <w:color w:val="111111"/>
          <w:sz w:val="28"/>
          <w:szCs w:val="28"/>
          <w:rtl/>
        </w:rPr>
        <w:t xml:space="preserve">، و عموم اعتبار الإرادة فی صحّة الطلاق </w:t>
      </w:r>
      <w:r>
        <w:rPr>
          <w:rStyle w:val="FootnoteReference"/>
        </w:rPr>
        <w:footnoteReference w:id="3031"/>
      </w:r>
      <w:r>
        <w:rPr>
          <w:rFonts w:ascii="IRNazanin" w:hAnsi="IRNazanin" w:eastAsia="IRNazanin" w:cs="IRNazanin"/>
          <w:lang w:bidi="fa-IR"/>
          <w:color w:val="111111"/>
          <w:sz w:val="28"/>
          <w:szCs w:val="28"/>
          <w:rtl/>
        </w:rPr>
        <w:t xml:space="preserve">،و خصوص ما ورد فی فساد </w:t>
      </w:r>
      <w:r>
        <w:rPr>
          <w:rStyle w:val="FootnoteReference"/>
        </w:rPr>
        <w:footnoteReference w:id="3032"/>
      </w:r>
      <w:r>
        <w:rPr>
          <w:rFonts w:ascii="IRNazanin" w:hAnsi="IRNazanin" w:eastAsia="IRNazanin" w:cs="IRNazanin"/>
          <w:lang w:bidi="fa-IR"/>
          <w:color w:val="111111"/>
          <w:sz w:val="28"/>
          <w:szCs w:val="28"/>
          <w:rtl/>
        </w:rPr>
        <w:t xml:space="preserve">طلاق من طلّق للمداراة مع عیاله </w:t>
      </w:r>
      <w:r>
        <w:rPr>
          <w:rStyle w:val="FootnoteReference"/>
        </w:rPr>
        <w:footnoteReference w:id="30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318]
</w:t>
      </w:r>
    </w:p>
    <w:p>
      <w:pPr>
        <w:sectPr>
          <w:footerReference w:type="default" r:id="rId997"/>
          <w:footnotePr>
            <w:numStart w:val="1"/>
            <w:numRestart w:val="eachPage"/>
          </w:footnotePr>
          <w:pgSz w:orient="portrait" w:w="11905.511811023622" w:h="16837.79527559055"/>
          <w:pgMar w:top="1440" w:right="1440" w:bottom="1440" w:left="1440" w:header="720" w:footer="720" w:gutter="0"/>
          <w:cols w:num="1" w:space="720"/>
        </w:sectPr>
      </w:pPr>
    </w:p>
    <w:bookmarkStart w:id="613" w:name="pg14411_143379"/>
    <w:bookmarkEnd w:id="613"/>
    <w:p>
      <w:pPr>
        <w:pStyle w:val="BookText"/>
      </w:pPr>
      <w:r>
        <w:rPr>
          <w:rFonts w:ascii="IRNazanin" w:hAnsi="IRNazanin" w:eastAsia="IRNazanin" w:cs="IRNazanin"/>
          <w:lang w:bidi="fa-IR"/>
          <w:color w:val="111111"/>
          <w:sz w:val="28"/>
          <w:szCs w:val="28"/>
          <w:rtl/>
        </w:rPr>
        <w:t xml:space="preserve">فقد تلخّص ممّا ذکرنا:أنّ الإکراه الرافع لأثر الحکم التکلیفی أخصّ من الرافع لأثر الحکم الوضعی.</w:t>
      </w:r>
    </w:p>
    <w:p>
      <w:pPr>
        <w:pStyle w:val="Heading6"/>
      </w:pPr>
      <w:bookmarkStart w:id="2224" w:name="_Toc1259"/>
      <w:r>
        <w:t>[الفرق بین الأحکام التکلیفیة و الأحکام الوضعیة]</w:t>
      </w:r>
      <w:bookmarkEnd w:id="2224"/>
    </w:p>
    <w:p>
      <w:pPr>
        <w:pStyle w:val="BookText"/>
      </w:pPr>
      <w:r>
        <w:rPr>
          <w:rFonts w:ascii="IRNazanin" w:hAnsi="IRNazanin" w:eastAsia="IRNazanin" w:cs="IRNazanin"/>
          <w:lang w:bidi="fa-IR"/>
          <w:color w:val="111111"/>
          <w:sz w:val="28"/>
          <w:szCs w:val="28"/>
          <w:rtl/>
        </w:rPr>
        <w:t xml:space="preserve">و لو لوحظ ما هو المناط فی رفع کلٍّ منهما،من دون ملاحظة عنوان الإکراه کانت النسبة بینهما </w:t>
      </w:r>
      <w:r>
        <w:rPr>
          <w:rStyle w:val="FootnoteReference"/>
        </w:rPr>
        <w:footnoteReference w:id="3034"/>
      </w:r>
      <w:r>
        <w:rPr>
          <w:rFonts w:ascii="IRNazanin" w:hAnsi="IRNazanin" w:eastAsia="IRNazanin" w:cs="IRNazanin"/>
          <w:lang w:bidi="fa-IR"/>
          <w:color w:val="111111"/>
          <w:sz w:val="28"/>
          <w:szCs w:val="28"/>
          <w:rtl/>
        </w:rPr>
        <w:t xml:space="preserve">العموم من وجه؛لأنّ المناط فی رفع الحکم التکلیفی هو دفع </w:t>
      </w:r>
      <w:r>
        <w:rPr>
          <w:rStyle w:val="FootnoteReference"/>
        </w:rPr>
        <w:footnoteReference w:id="3035"/>
      </w:r>
      <w:r>
        <w:rPr>
          <w:rFonts w:ascii="IRNazanin" w:hAnsi="IRNazanin" w:eastAsia="IRNazanin" w:cs="IRNazanin"/>
          <w:lang w:bidi="fa-IR"/>
          <w:color w:val="111111"/>
          <w:sz w:val="28"/>
          <w:szCs w:val="28"/>
          <w:rtl/>
        </w:rPr>
        <w:t xml:space="preserve">الضرر،و فی رفع الحکم الوضعی هو عدم الإرادة و طیب النفس،و من هنا لم یتأمّل أحدٌ فی أنّه إذا أُکره الشخص</w:t>
      </w:r>
    </w:p>
    <w:p>
      <w:pPr>
        <w:pStyle w:val="Heading6"/>
      </w:pPr>
      <w:bookmarkStart w:id="2225" w:name="_Toc1260"/>
      <w:r>
        <w:t>[لو أکره الشخص علی أحد الأمرین]</w:t>
      </w:r>
      <w:bookmarkEnd w:id="2225"/>
    </w:p>
    <w:p>
      <w:pPr>
        <w:pStyle w:val="BookText"/>
      </w:pPr>
      <w:r>
        <w:rPr>
          <w:rFonts w:ascii="IRNazanin" w:hAnsi="IRNazanin" w:eastAsia="IRNazanin" w:cs="IRNazanin"/>
          <w:lang w:bidi="fa-IR"/>
          <w:color w:val="111111"/>
          <w:sz w:val="28"/>
          <w:szCs w:val="28"/>
          <w:rtl/>
        </w:rPr>
        <w:t xml:space="preserve">علی أحد الأمرین المحرّمین لا بعینه،فکلٌّ منهما وقع فی الخارج لا یتّصف بالتحریم؛لأنّ المعیار فی رفع </w:t>
      </w:r>
      <w:r>
        <w:rPr>
          <w:rStyle w:val="FootnoteReference"/>
        </w:rPr>
        <w:footnoteReference w:id="3036"/>
      </w:r>
      <w:r>
        <w:rPr>
          <w:rFonts w:ascii="Amiri" w:hAnsi="Amiri" w:eastAsia="Amiri" w:cs="Amiri"/>
          <w:lang w:bidi="ar-SA"/>
          <w:color w:val="111111"/>
          <w:sz w:val="28"/>
          <w:szCs w:val="28"/>
          <w:rtl/>
        </w:rPr>
        <w:t xml:space="preserve">الحرمة دفع </w:t>
      </w:r>
      <w:r>
        <w:rPr>
          <w:rStyle w:val="FootnoteReference"/>
        </w:rPr>
        <w:footnoteReference w:id="3037"/>
      </w:r>
      <w:r>
        <w:rPr>
          <w:rFonts w:ascii="IRNazanin" w:hAnsi="IRNazanin" w:eastAsia="IRNazanin" w:cs="IRNazanin"/>
          <w:lang w:bidi="fa-IR"/>
          <w:color w:val="111111"/>
          <w:sz w:val="28"/>
          <w:szCs w:val="28"/>
          <w:rtl/>
        </w:rPr>
        <w:t xml:space="preserve">الضرر المتوقّف علی فعل أحدهما،أمّا لو کانا عقدین أو إیقاعین کما لو اکره علی طلاق إحدی زوجتیه،فقد استشکل غیر واحد </w:t>
      </w:r>
      <w:r>
        <w:rPr>
          <w:rStyle w:val="FootnoteReference"/>
        </w:rPr>
        <w:footnoteReference w:id="3038"/>
      </w:r>
      <w:r>
        <w:rPr>
          <w:rFonts w:ascii="IRNazanin" w:hAnsi="IRNazanin" w:eastAsia="IRNazanin" w:cs="IRNazanin"/>
          <w:lang w:bidi="fa-IR"/>
          <w:color w:val="111111"/>
          <w:sz w:val="28"/>
          <w:szCs w:val="28"/>
          <w:rtl/>
        </w:rPr>
        <w:t xml:space="preserve">فی أنّ ما یختاره من الخصوصیّتین </w:t>
      </w:r>
      <w:r>
        <w:rPr>
          <w:rStyle w:val="FootnoteReference"/>
        </w:rPr>
        <w:footnoteReference w:id="3039"/>
      </w:r>
      <w:r>
        <w:rPr>
          <w:rFonts w:ascii="IRNazanin" w:hAnsi="IRNazanin" w:eastAsia="IRNazanin" w:cs="IRNazanin"/>
          <w:lang w:bidi="fa-IR"/>
          <w:color w:val="111111"/>
          <w:sz w:val="28"/>
          <w:szCs w:val="28"/>
          <w:rtl/>
        </w:rPr>
        <w:t xml:space="preserve">بطیب نفسه و یرجّحه علی الآخر </w:t>
      </w:r>
      <w:r>
        <w:rPr>
          <w:rStyle w:val="FootnoteReference"/>
        </w:rPr>
        <w:footnoteReference w:id="3040"/>
      </w:r>
      <w:r>
        <w:rPr>
          <w:rFonts w:ascii="IRNazanin" w:hAnsi="IRNazanin" w:eastAsia="IRNazanin" w:cs="IRNazanin"/>
          <w:lang w:bidi="fa-IR"/>
          <w:color w:val="111111"/>
          <w:sz w:val="28"/>
          <w:szCs w:val="28"/>
          <w:rtl/>
        </w:rPr>
        <w:t xml:space="preserve">بدواعیه النفسانیة الخارجة عن الإکراه </w:t>
      </w:r>
      <w:r>
        <w:rPr>
          <w:rStyle w:val="FootnoteReference"/>
        </w:rPr>
        <w:footnoteReference w:id="3041"/>
      </w:r>
      <w:r>
        <w:rPr>
          <w:rFonts w:ascii="IRNazanin" w:hAnsi="IRNazanin" w:eastAsia="IRNazanin" w:cs="IRNazanin"/>
          <w:lang w:bidi="fa-IR"/>
          <w:color w:val="111111"/>
          <w:sz w:val="28"/>
          <w:szCs w:val="28"/>
          <w:rtl/>
        </w:rPr>
        <w:t xml:space="preserve">،مکره علیه باعتبار جنسه،أم لا؟بل</w:t>
      </w:r>
    </w:p>
    <w:p>
      <w:pPr>
        <w:pStyle w:val="BookText"/>
      </w:pPr>
      <w:r>
        <w:rPr>
          <w:rFonts w:ascii="IRNazanin" w:hAnsi="IRNazanin" w:eastAsia="IRNazanin" w:cs="IRNazanin"/>
          <w:lang w:bidi="fa-IR"/>
          <w:color w:val="111111"/>
          <w:sz w:val="28"/>
          <w:szCs w:val="28"/>
          <w:rtl/>
        </w:rPr>
        <w:t xml:space="preserve">[شماره صفحه واقعی : 319]
</w:t>
      </w:r>
    </w:p>
    <w:p>
      <w:pPr>
        <w:sectPr>
          <w:footerReference w:type="default" r:id="rId9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أفتی فی القواعد بوقوع الطلاق و عدم الإکراه </w:t>
      </w:r>
      <w:r>
        <w:rPr>
          <w:rStyle w:val="FootnoteReference"/>
        </w:rPr>
        <w:footnoteReference w:id="3042"/>
      </w:r>
      <w:r>
        <w:rPr>
          <w:rFonts w:ascii="IRNazanin" w:hAnsi="IRNazanin" w:eastAsia="IRNazanin" w:cs="IRNazanin"/>
          <w:lang w:bidi="fa-IR"/>
          <w:color w:val="111111"/>
          <w:sz w:val="28"/>
          <w:szCs w:val="28"/>
          <w:rtl/>
        </w:rPr>
        <w:t xml:space="preserve">و إن حمله بعضهم </w:t>
      </w:r>
      <w:r>
        <w:rPr>
          <w:rStyle w:val="FootnoteReference"/>
        </w:rPr>
        <w:footnoteReference w:id="3043"/>
      </w:r>
      <w:r>
        <w:rPr>
          <w:rFonts w:ascii="IRNazanin" w:hAnsi="IRNazanin" w:eastAsia="IRNazanin" w:cs="IRNazanin"/>
          <w:lang w:bidi="fa-IR"/>
          <w:color w:val="111111"/>
          <w:sz w:val="28"/>
          <w:szCs w:val="28"/>
          <w:rtl/>
        </w:rPr>
        <w:t xml:space="preserve">علی ما إذا قنع المکره بطلاق إحداهما مبهمة.</w:t>
      </w:r>
    </w:p>
    <w:p>
      <w:pPr>
        <w:pStyle w:val="BookText"/>
      </w:pPr>
      <w:r>
        <w:rPr>
          <w:rFonts w:ascii="IRNazanin" w:hAnsi="IRNazanin" w:eastAsia="IRNazanin" w:cs="IRNazanin"/>
          <w:lang w:bidi="fa-IR"/>
          <w:color w:val="111111"/>
          <w:sz w:val="28"/>
          <w:szCs w:val="28"/>
          <w:rtl/>
        </w:rPr>
        <w:t xml:space="preserve">لکنّ المسألة عندهم غیر صافیة عن الإشکال؛من جهة مدخلیّة طیب النفس فی اختیار الخصوصیّة و إن کان الأقوی-وفاقاً لکلّ من تعرّض للمسألة </w:t>
      </w:r>
      <w:r>
        <w:rPr>
          <w:rStyle w:val="FootnoteReference"/>
        </w:rPr>
        <w:footnoteReference w:id="3044"/>
      </w:r>
      <w:r>
        <w:rPr>
          <w:rFonts w:ascii="IRNazanin" w:hAnsi="IRNazanin" w:eastAsia="IRNazanin" w:cs="IRNazanin"/>
          <w:lang w:bidi="fa-IR"/>
          <w:color w:val="111111"/>
          <w:sz w:val="28"/>
          <w:szCs w:val="28"/>
          <w:rtl/>
        </w:rPr>
        <w:t xml:space="preserve">-تحقّق الإکراه لغةً و عرفاً،مع أنّه لو لم یکن هذا مکرهاً علیه لم یتحقّق الإکراه أصلاً؛إذ الموجود فی الخارج دائماً إحدی خصوصیّات المکره علیه؛إذ لا یکاد یتّفق الإکراه بجزئیّ حقیقیّ من جمیع الجهات.</w:t>
      </w:r>
    </w:p>
    <w:p>
      <w:pPr>
        <w:pStyle w:val="BookText"/>
      </w:pPr>
      <w:r>
        <w:rPr>
          <w:rFonts w:ascii="IRNazanin" w:hAnsi="IRNazanin" w:eastAsia="IRNazanin" w:cs="IRNazanin"/>
          <w:lang w:bidi="fa-IR"/>
          <w:color w:val="111111"/>
          <w:sz w:val="28"/>
          <w:szCs w:val="28"/>
          <w:rtl/>
        </w:rPr>
        <w:t xml:space="preserve">نعم،هذا الفرد مختار فیه من حیث الخصوصیّة،و إن کان مکرهاً علیه من حیث القدر المشترک،بمعنی أنّ وجوده الخارجیّ ناشٍ عن إکراهٍ و اختیار؛و لذا لا یستحقّ المدح أو الذمّ باعتبار أصل الفعل، و یستحقّه باعتبار الخصوصیّة.</w:t>
      </w:r>
    </w:p>
    <w:p>
      <w:pPr>
        <w:pStyle w:val="BookText"/>
      </w:pPr>
      <w:r>
        <w:rPr>
          <w:rFonts w:ascii="IRNazanin" w:hAnsi="IRNazanin" w:eastAsia="IRNazanin" w:cs="IRNazanin"/>
          <w:lang w:bidi="fa-IR"/>
          <w:color w:val="111111"/>
          <w:sz w:val="28"/>
          <w:szCs w:val="28"/>
          <w:rtl/>
        </w:rPr>
        <w:t xml:space="preserve">و تظهر الثمرة فیما لو ترتّب أثر علی خصوصیّة المعاملة الموجودة؛ فإنّه لا یرتفع بالإکراه علی القدر المشترک،مثلاً لو أکرهه علی شرب الماء أو شرب الخمر،لم یرتفع تحریم الخمر؛لأنّه مختار فیه،و إن کان مکرهاً فی أصل الشرب </w:t>
      </w:r>
      <w:r>
        <w:rPr>
          <w:rStyle w:val="FootnoteReference"/>
        </w:rPr>
        <w:footnoteReference w:id="3045"/>
      </w:r>
      <w:r>
        <w:rPr>
          <w:rFonts w:ascii="IRNazanin" w:hAnsi="IRNazanin" w:eastAsia="IRNazanin" w:cs="IRNazanin"/>
          <w:lang w:bidi="fa-IR"/>
          <w:color w:val="111111"/>
          <w:sz w:val="28"/>
          <w:szCs w:val="28"/>
          <w:rtl/>
        </w:rPr>
        <w:t xml:space="preserve">،و کذا لو أکرهه علی بیع صحیح أو فاسد،</w:t>
      </w:r>
    </w:p>
    <w:p>
      <w:pPr>
        <w:pStyle w:val="BookText"/>
      </w:pPr>
      <w:r>
        <w:rPr>
          <w:rFonts w:ascii="IRNazanin" w:hAnsi="IRNazanin" w:eastAsia="IRNazanin" w:cs="IRNazanin"/>
          <w:lang w:bidi="fa-IR"/>
          <w:color w:val="111111"/>
          <w:sz w:val="28"/>
          <w:szCs w:val="28"/>
          <w:rtl/>
        </w:rPr>
        <w:t xml:space="preserve">[شماره صفحه واقعی : 320]
</w:t>
      </w:r>
    </w:p>
    <w:p>
      <w:pPr>
        <w:sectPr>
          <w:footerReference w:type="default" r:id="rId999"/>
          <w:footnotePr>
            <w:numStart w:val="1"/>
            <w:numRestart w:val="eachPage"/>
          </w:footnotePr>
          <w:pgSz w:orient="portrait" w:w="11905.511811023622" w:h="16837.79527559055"/>
          <w:pgMar w:top="1440" w:right="1440" w:bottom="1440" w:left="1440" w:header="720" w:footer="720" w:gutter="0"/>
          <w:cols w:num="1" w:space="720"/>
        </w:sectPr>
      </w:pPr>
    </w:p>
    <w:bookmarkStart w:id="614" w:name="pg14411_143381"/>
    <w:bookmarkEnd w:id="614"/>
    <w:p>
      <w:pPr>
        <w:pStyle w:val="BookText"/>
      </w:pPr>
      <w:r>
        <w:rPr>
          <w:rFonts w:ascii="IRNazanin" w:hAnsi="IRNazanin" w:eastAsia="IRNazanin" w:cs="IRNazanin"/>
          <w:lang w:bidi="fa-IR"/>
          <w:color w:val="111111"/>
          <w:sz w:val="28"/>
          <w:szCs w:val="28"/>
          <w:rtl/>
        </w:rPr>
        <w:t xml:space="preserve">فإنّه لا یرتفع أثر الصحیح؛لأنّه مختار فیه و إن کان مکرهاً فی جنس البیع </w:t>
      </w:r>
      <w:r>
        <w:rPr>
          <w:rStyle w:val="FootnoteReference"/>
        </w:rPr>
        <w:footnoteReference w:id="3046"/>
      </w:r>
      <w:r>
        <w:rPr>
          <w:rFonts w:ascii="Amiri" w:hAnsi="Amiri" w:eastAsia="Amiri" w:cs="Amiri"/>
          <w:lang w:bidi="ar-SA"/>
          <w:color w:val="111111"/>
          <w:sz w:val="28"/>
          <w:szCs w:val="28"/>
          <w:rtl/>
        </w:rPr>
        <w:t xml:space="preserve">،لکنّه </w:t>
      </w:r>
      <w:r>
        <w:rPr>
          <w:rStyle w:val="FootnoteReference"/>
        </w:rPr>
        <w:footnoteReference w:id="3047"/>
      </w:r>
      <w:r>
        <w:rPr>
          <w:rFonts w:ascii="IRNazanin" w:hAnsi="IRNazanin" w:eastAsia="IRNazanin" w:cs="IRNazanin"/>
          <w:lang w:bidi="fa-IR"/>
          <w:color w:val="111111"/>
          <w:sz w:val="28"/>
          <w:szCs w:val="28"/>
          <w:rtl/>
        </w:rPr>
        <w:t xml:space="preserve">لا یترتّب علی الجنس أثرٌ یرتفع بالإکراه.</w:t>
      </w:r>
    </w:p>
    <w:p>
      <w:pPr>
        <w:pStyle w:val="BookText"/>
      </w:pPr>
      <w:r>
        <w:rPr>
          <w:rFonts w:ascii="IRNazanin" w:hAnsi="IRNazanin" w:eastAsia="IRNazanin" w:cs="IRNazanin"/>
          <w:lang w:bidi="fa-IR"/>
          <w:color w:val="111111"/>
          <w:sz w:val="28"/>
          <w:szCs w:val="28"/>
          <w:rtl/>
        </w:rPr>
        <w:t xml:space="preserve">[*ستوده]</w:t>
      </w:r>
    </w:p>
    <w:p>
      <w:pPr>
        <w:pStyle w:val="BookText"/>
      </w:pPr>
      <w:r>
        <w:rPr>
          <w:rFonts w:ascii="IRNazanin" w:hAnsi="IRNazanin" w:eastAsia="IRNazanin" w:cs="IRNazanin"/>
          <w:lang w:bidi="fa-IR"/>
          <w:color w:val="111111"/>
          <w:sz w:val="28"/>
          <w:szCs w:val="28"/>
          <w:rtl/>
        </w:rPr>
        <w:t xml:space="preserve">و من هنا یعلم أنّه لو اکره علی بیع مالٍ أو إیفاء مالٍ مستحقّ لم یکن إکراهاً؛لأنّ القدر المشترک بین الحقّ و غیره إذا أُکره علیه لم یقع باطلاً،و إلّا لوقع الإیفاء أیضاً باطلاً،فإذا اختار البیع صحّ؛لأنّ الخصوصیة غیر مکره علیها،و المکره علیه-و </w:t>
      </w:r>
      <w:r>
        <w:rPr>
          <w:rStyle w:val="FootnoteReference"/>
        </w:rPr>
        <w:footnoteReference w:id="3048"/>
      </w:r>
      <w:r>
        <w:rPr>
          <w:rFonts w:ascii="IRNazanin" w:hAnsi="IRNazanin" w:eastAsia="IRNazanin" w:cs="IRNazanin"/>
          <w:lang w:bidi="fa-IR"/>
          <w:color w:val="111111"/>
          <w:sz w:val="28"/>
          <w:szCs w:val="28"/>
          <w:rtl/>
        </w:rPr>
        <w:t xml:space="preserve">هو القدر المشترک-غیر مرتفع الأثر.</w:t>
      </w:r>
    </w:p>
    <w:p>
      <w:pPr>
        <w:pStyle w:val="BookText"/>
      </w:pPr>
      <w:r>
        <w:rPr>
          <w:rFonts w:ascii="IRNazanin" w:hAnsi="IRNazanin" w:eastAsia="IRNazanin" w:cs="IRNazanin"/>
          <w:lang w:bidi="fa-IR"/>
          <w:color w:val="111111"/>
          <w:sz w:val="28"/>
          <w:szCs w:val="28"/>
          <w:rtl/>
        </w:rPr>
        <w:t xml:space="preserve">و لو أکرهه علی بیع مالٍ أو أداء مالٍ غیر مستحقّ،کان إکراهاً؛ لأنّه لا یفعل البیع إلّا فراراً من بدله أو وعیده المضرَّین،کما لو أکرهه علی بیع داره أو شرب الخمر؛فإنّ ارتکاب البیع للفرار عن الضرر الأُخروی ببدله أو التضرّر الدنیوی بوعیده.</w:t>
      </w:r>
    </w:p>
    <w:p>
      <w:pPr>
        <w:pStyle w:val="Heading6"/>
      </w:pPr>
      <w:bookmarkStart w:id="2226" w:name="_Toc1261"/>
      <w:r>
        <w:t>[لو أکره أحد الشخصین علی فعل واحد]</w:t>
      </w:r>
      <w:bookmarkEnd w:id="2226"/>
    </w:p>
    <w:p>
      <w:pPr>
        <w:pStyle w:val="BookText"/>
      </w:pPr>
      <w:r>
        <w:rPr>
          <w:rFonts w:ascii="IRNazanin" w:hAnsi="IRNazanin" w:eastAsia="IRNazanin" w:cs="IRNazanin"/>
          <w:lang w:bidi="fa-IR"/>
          <w:color w:val="111111"/>
          <w:sz w:val="28"/>
          <w:szCs w:val="28"/>
          <w:rtl/>
        </w:rPr>
        <w:t xml:space="preserve">ثمّ إنّ إکراه أحد الشخصین علی فعلٍ واحد-بمعنی إلزامه علیهما کفایةً و إیعادهما علی ترکه-کإکراه شخصٍ واحدٍ علی أحد الفعلین،فی کون کلٍّ منهما مُکرَهاً.</w:t>
      </w:r>
    </w:p>
    <w:p>
      <w:pPr>
        <w:pStyle w:val="Heading6"/>
      </w:pPr>
      <w:bookmarkStart w:id="2227" w:name="_Toc1262"/>
      <w:r>
        <w:t>[صور تعلق الإکراه]</w:t>
      </w:r>
      <w:bookmarkEnd w:id="2227"/>
    </w:p>
    <w:p>
      <w:pPr>
        <w:pStyle w:val="BookText"/>
      </w:pPr>
      <w:r>
        <w:rPr>
          <w:rFonts w:ascii="IRNazanin" w:hAnsi="IRNazanin" w:eastAsia="IRNazanin" w:cs="IRNazanin"/>
          <w:lang w:bidi="fa-IR"/>
          <w:color w:val="111111"/>
          <w:sz w:val="28"/>
          <w:szCs w:val="28"/>
          <w:rtl/>
        </w:rPr>
        <w:t xml:space="preserve">و اعلم أنّ الإکراه:قد یتعلّق بالمالک و العاقد،کما تقدّم،و قد یتعلّق بالمالک دون العاقد،کما لو اکره علی التوکیل فی بیع ماله؛فإنّ العاقد قاصد مختار،و المالک مجبور،و هو داخل فی عقد </w:t>
      </w:r>
      <w:r>
        <w:rPr>
          <w:rStyle w:val="FootnoteReference"/>
        </w:rPr>
        <w:footnoteReference w:id="3049"/>
      </w:r>
      <w:r>
        <w:rPr>
          <w:rFonts w:ascii="IRNazanin" w:hAnsi="IRNazanin" w:eastAsia="IRNazanin" w:cs="IRNazanin"/>
          <w:lang w:bidi="fa-IR"/>
          <w:color w:val="111111"/>
          <w:sz w:val="28"/>
          <w:szCs w:val="28"/>
          <w:rtl/>
        </w:rPr>
        <w:t xml:space="preserve">الفضولی بعد</w:t>
      </w:r>
    </w:p>
    <w:p>
      <w:pPr>
        <w:pStyle w:val="BookText"/>
      </w:pPr>
      <w:r>
        <w:rPr>
          <w:rFonts w:ascii="IRNazanin" w:hAnsi="IRNazanin" w:eastAsia="IRNazanin" w:cs="IRNazanin"/>
          <w:lang w:bidi="fa-IR"/>
          <w:color w:val="111111"/>
          <w:sz w:val="28"/>
          <w:szCs w:val="28"/>
          <w:rtl/>
        </w:rPr>
        <w:t xml:space="preserve">[شماره صفحه واقعی : 321]
</w:t>
      </w:r>
    </w:p>
    <w:p>
      <w:pPr>
        <w:sectPr>
          <w:footerReference w:type="default" r:id="rId10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ملاحظة عدم تحقّق الوکالة مع الإکراه،و قد ینعکس،کما لو قال:«بِع مالی-أو طلّق زوجتی-و إلّا قتلتک»،و الأقوی هنا الصحّة؛لأنّ العقد هنا </w:t>
      </w:r>
      <w:r>
        <w:rPr>
          <w:rStyle w:val="FootnoteReference"/>
        </w:rPr>
        <w:footnoteReference w:id="3050"/>
      </w:r>
      <w:r>
        <w:rPr>
          <w:rFonts w:ascii="IRNazanin" w:hAnsi="IRNazanin" w:eastAsia="IRNazanin" w:cs="IRNazanin"/>
          <w:lang w:bidi="fa-IR"/>
          <w:color w:val="111111"/>
          <w:sz w:val="28"/>
          <w:szCs w:val="28"/>
          <w:rtl/>
        </w:rPr>
        <w:t xml:space="preserve">من حیث إنّه عقد لا یعتبر فیه سوی القصد الموجود فی </w:t>
      </w:r>
      <w:r>
        <w:rPr>
          <w:rStyle w:val="FootnoteReference"/>
        </w:rPr>
        <w:footnoteReference w:id="3051"/>
      </w:r>
      <w:r>
        <w:rPr>
          <w:rFonts w:ascii="IRNazanin" w:hAnsi="IRNazanin" w:eastAsia="IRNazanin" w:cs="IRNazanin"/>
          <w:lang w:bidi="fa-IR"/>
          <w:color w:val="111111"/>
          <w:sz w:val="28"/>
          <w:szCs w:val="28"/>
          <w:rtl/>
        </w:rPr>
        <w:t xml:space="preserve">المکره إذا کان عاقداً،و الرضا المعتبر من المالک موجود بالفرض،فهذا أولی من المالک المکره علی العقد إذا رضی لاحقاً.</w:t>
      </w:r>
    </w:p>
    <w:p>
      <w:pPr>
        <w:pStyle w:val="BookText"/>
      </w:pPr>
      <w:r>
        <w:rPr>
          <w:rFonts w:ascii="IRNazanin" w:hAnsi="IRNazanin" w:eastAsia="IRNazanin" w:cs="IRNazanin"/>
          <w:lang w:bidi="fa-IR"/>
          <w:color w:val="111111"/>
          <w:sz w:val="28"/>
          <w:szCs w:val="28"/>
          <w:rtl/>
        </w:rPr>
        <w:t xml:space="preserve">و احتمل فی المسالک عدم الصحّة؛نظراً إلی أنّ الإکراه یُسقِط حکم اللفظ،کما لو أمر المجنونَ بالطلاق فطلّقها،ثمّ قال:و الفرق بینهما أنّ عبارة المجنون مسلوبة،بخلاف المکرَه فإنّ عبارته مسلوبة لعارضِ تخلّفِ القصد،فإذا کان الآمر قاصداً لم یقدح إکراه المأمور </w:t>
      </w:r>
      <w:r>
        <w:rPr>
          <w:rStyle w:val="FootnoteReference"/>
        </w:rPr>
        <w:footnoteReference w:id="3052"/>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هو حسن.</w:t>
      </w:r>
    </w:p>
    <w:p>
      <w:pPr>
        <w:pStyle w:val="BookText"/>
      </w:pPr>
      <w:r>
        <w:rPr>
          <w:rFonts w:ascii="IRNazanin" w:hAnsi="IRNazanin" w:eastAsia="IRNazanin" w:cs="IRNazanin"/>
          <w:lang w:bidi="fa-IR"/>
          <w:color w:val="111111"/>
          <w:sz w:val="28"/>
          <w:szCs w:val="28"/>
          <w:rtl/>
        </w:rPr>
        <w:t xml:space="preserve">و قال </w:t>
      </w:r>
      <w:r>
        <w:rPr>
          <w:rStyle w:val="FootnoteReference"/>
        </w:rPr>
        <w:footnoteReference w:id="3053"/>
      </w:r>
      <w:r>
        <w:rPr>
          <w:rFonts w:ascii="IRNazanin" w:hAnsi="IRNazanin" w:eastAsia="IRNazanin" w:cs="IRNazanin"/>
          <w:lang w:bidi="fa-IR"/>
          <w:color w:val="111111"/>
          <w:sz w:val="28"/>
          <w:szCs w:val="28"/>
          <w:rtl/>
        </w:rPr>
        <w:t xml:space="preserve">أیضاً:لو اکره الوکیل علی الطلاق،دون الموکّل،ففی صحّته وجهان أیضاً </w:t>
      </w:r>
      <w:r>
        <w:rPr>
          <w:rStyle w:val="FootnoteReference"/>
        </w:rPr>
        <w:footnoteReference w:id="3054"/>
      </w:r>
      <w:r>
        <w:rPr>
          <w:rFonts w:ascii="IRNazanin" w:hAnsi="IRNazanin" w:eastAsia="IRNazanin" w:cs="IRNazanin"/>
          <w:lang w:bidi="fa-IR"/>
          <w:color w:val="111111"/>
          <w:sz w:val="28"/>
          <w:szCs w:val="28"/>
          <w:rtl/>
        </w:rPr>
        <w:t xml:space="preserve">:من تحقّق الاختیار فی الموکّل المالک،و من سلب عبارة المباشر </w:t>
      </w:r>
      <w:r>
        <w:rPr>
          <w:rStyle w:val="FootnoteReference"/>
        </w:rPr>
        <w:footnoteReference w:id="3055"/>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ربما یستدلّ علی فساد العقد فی هذین الفرعین بما دلّ علی رفع حکم الإکراه.</w:t>
      </w:r>
    </w:p>
    <w:p>
      <w:pPr>
        <w:pStyle w:val="BookText"/>
      </w:pPr>
      <w:r>
        <w:rPr>
          <w:rFonts w:ascii="IRNazanin" w:hAnsi="IRNazanin" w:eastAsia="IRNazanin" w:cs="IRNazanin"/>
          <w:lang w:bidi="fa-IR"/>
          <w:color w:val="111111"/>
          <w:sz w:val="28"/>
          <w:szCs w:val="28"/>
          <w:rtl/>
        </w:rPr>
        <w:t xml:space="preserve">[شماره صفحه واقعی : 322]
</w:t>
      </w:r>
    </w:p>
    <w:p>
      <w:pPr>
        <w:sectPr>
          <w:footerReference w:type="default" r:id="rId10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فیه:ما سیجیء </w:t>
      </w:r>
      <w:r>
        <w:rPr>
          <w:rStyle w:val="FootnoteReference"/>
        </w:rPr>
        <w:footnoteReference w:id="3056"/>
      </w:r>
      <w:r>
        <w:rPr>
          <w:rFonts w:ascii="IRNazanin" w:hAnsi="IRNazanin" w:eastAsia="IRNazanin" w:cs="IRNazanin"/>
          <w:lang w:bidi="fa-IR"/>
          <w:color w:val="111111"/>
          <w:sz w:val="28"/>
          <w:szCs w:val="28"/>
          <w:rtl/>
        </w:rPr>
        <w:t xml:space="preserve">من أنّه إنّما یرفع حکماً ثابتاً علی المکره لو لا الإکراه،و لا أثر للعقد هنا بالنسبة إلی المتکلّم به لو لا الإکراه.</w:t>
      </w:r>
    </w:p>
    <w:p>
      <w:pPr>
        <w:pStyle w:val="BookText"/>
      </w:pPr>
      <w:r>
        <w:rPr>
          <w:rFonts w:ascii="IRNazanin" w:hAnsi="IRNazanin" w:eastAsia="IRNazanin" w:cs="IRNazanin"/>
          <w:lang w:bidi="fa-IR"/>
          <w:color w:val="111111"/>
          <w:sz w:val="28"/>
          <w:szCs w:val="28"/>
          <w:rtl/>
        </w:rPr>
        <w:t xml:space="preserve">و ممّا یؤیّد ما ذکرنا:حکم المشهور بصحّة بیع المکره بعد لحوق الرضا،و من المعلوم أنّه إنّما یتعلّق بحاصل العقد الذی هو أمر مستمرّ، و هو النقل و الانتقال </w:t>
      </w:r>
      <w:r>
        <w:rPr>
          <w:rStyle w:val="FootnoteReference"/>
        </w:rPr>
        <w:footnoteReference w:id="3057"/>
      </w:r>
      <w:r>
        <w:rPr>
          <w:rFonts w:ascii="IRNazanin" w:hAnsi="IRNazanin" w:eastAsia="IRNazanin" w:cs="IRNazanin"/>
          <w:lang w:bidi="fa-IR"/>
          <w:color w:val="111111"/>
          <w:sz w:val="28"/>
          <w:szCs w:val="28"/>
          <w:rtl/>
        </w:rPr>
        <w:t xml:space="preserve">،و أمّا التلفّظ بالکلام الذی صدر مکرهاً فلا معنی للحوق الرضا به؛لأنّ ما مضی و انقطع لا یتغیّر عمّا وقع علیه و لا ینقلب.</w:t>
      </w:r>
    </w:p>
    <w:p>
      <w:pPr>
        <w:pStyle w:val="BookText"/>
      </w:pPr>
      <w:r>
        <w:rPr>
          <w:rFonts w:ascii="IRNazanin" w:hAnsi="IRNazanin" w:eastAsia="IRNazanin" w:cs="IRNazanin"/>
          <w:lang w:bidi="fa-IR"/>
          <w:color w:val="111111"/>
          <w:sz w:val="28"/>
          <w:szCs w:val="28"/>
          <w:rtl/>
        </w:rPr>
        <w:t xml:space="preserve">نعم </w:t>
      </w:r>
      <w:r>
        <w:rPr>
          <w:rStyle w:val="FootnoteReference"/>
        </w:rPr>
        <w:footnoteReference w:id="3058"/>
      </w:r>
      <w:r>
        <w:rPr>
          <w:rFonts w:ascii="IRNazanin" w:hAnsi="IRNazanin" w:eastAsia="IRNazanin" w:cs="IRNazanin"/>
          <w:lang w:bidi="fa-IR"/>
          <w:color w:val="111111"/>
          <w:sz w:val="28"/>
          <w:szCs w:val="28"/>
          <w:rtl/>
        </w:rPr>
        <w:t xml:space="preserve">،ربما یستشکل هنا فی الحکم المذکور:بأنّ القصد إلی المعنی -و لو علی وجه الإکراه-شرط فی الاعتناء بعبارة العقد،و لا یعرف إلّا من قبل العاقد،فإذا کان مختاراً أمکن إحرازه بأصالة القصد فی أفعال العقلاء الاختیاریة،دون المکره علیها.</w:t>
      </w:r>
    </w:p>
    <w:p>
      <w:pPr>
        <w:pStyle w:val="BookText"/>
      </w:pPr>
      <w:r>
        <w:rPr>
          <w:rFonts w:ascii="Amiri" w:hAnsi="Amiri" w:eastAsia="Amiri" w:cs="Amiri"/>
          <w:lang w:bidi="ar-SA"/>
          <w:color w:val="111111"/>
          <w:sz w:val="28"/>
          <w:szCs w:val="28"/>
          <w:rtl/>
        </w:rPr>
        <w:t xml:space="preserve">اللّهم إلّا أن یقال:إنّ الکلام بعد إحراز القصد و عدم تکلّم العاقد لاغیاً أو مُوَرّیاً </w:t>
      </w:r>
      <w:r>
        <w:rPr>
          <w:rStyle w:val="FootnoteReference"/>
        </w:rPr>
        <w:footnoteReference w:id="3059"/>
      </w:r>
      <w:r>
        <w:rPr>
          <w:rFonts w:ascii="Amiri" w:hAnsi="Amiri" w:eastAsia="Amiri" w:cs="Amiri"/>
          <w:lang w:bidi="ar-SA"/>
          <w:color w:val="111111"/>
          <w:sz w:val="28"/>
          <w:szCs w:val="28"/>
          <w:rtl/>
        </w:rPr>
        <w:t xml:space="preserve">و لو کان مُکرَهاً،مع أنّه یمکن إجراء أصالة القصد هنا أیضاً،فتأمّل.</w:t>
      </w:r>
    </w:p>
    <w:p>
      <w:pPr>
        <w:pStyle w:val="BookText"/>
      </w:pPr>
      <w:r>
        <w:rPr>
          <w:rFonts w:ascii="IRNazanin" w:hAnsi="IRNazanin" w:eastAsia="IRNazanin" w:cs="IRNazanin"/>
          <w:lang w:bidi="fa-IR"/>
          <w:color w:val="111111"/>
          <w:sz w:val="28"/>
          <w:szCs w:val="28"/>
          <w:rtl/>
        </w:rPr>
        <w:t xml:space="preserve">[شماره صفحه واقعی : 323]
</w:t>
      </w:r>
    </w:p>
    <w:p>
      <w:pPr>
        <w:sectPr>
          <w:footerReference w:type="default" r:id="rId1002"/>
          <w:footnotePr>
            <w:numStart w:val="1"/>
            <w:numRestart w:val="eachPage"/>
          </w:footnotePr>
          <w:pgSz w:orient="portrait" w:w="11905.511811023622" w:h="16837.79527559055"/>
          <w:pgMar w:top="1440" w:right="1440" w:bottom="1440" w:left="1440" w:header="720" w:footer="720" w:gutter="0"/>
          <w:cols w:num="1" w:space="720"/>
        </w:sectPr>
      </w:pPr>
    </w:p>
    <w:bookmarkStart w:id="615" w:name="pg14411_143384"/>
    <w:bookmarkEnd w:id="615"/>
    <w:p>
      <w:pPr>
        <w:pStyle w:val="Heading6"/>
      </w:pPr>
      <w:bookmarkStart w:id="2228" w:name="_Toc1263"/>
      <w:r>
        <w:t>«فروع»</w:t>
      </w:r>
      <w:bookmarkEnd w:id="2228"/>
    </w:p>
    <w:p>
      <w:pPr>
        <w:pStyle w:val="Heading6"/>
      </w:pPr>
      <w:bookmarkStart w:id="2229" w:name="_Toc1264"/>
      <w:r>
        <w:t>اشارة</w:t>
      </w:r>
      <w:bookmarkEnd w:id="2229"/>
    </w:p>
    <w:p>
      <w:pPr>
        <w:pStyle w:val="BookText"/>
      </w:pPr>
      <w:r>
        <w:rPr>
          <w:rStyle w:val="FootnoteReference"/>
        </w:rPr>
        <w:footnoteReference w:id="3060"/>
      </w:r>
    </w:p>
    <w:p>
      <w:pPr>
        <w:pStyle w:val="Heading6"/>
      </w:pPr>
      <w:bookmarkStart w:id="2230" w:name="_Toc1265"/>
      <w:r>
        <w:t>[الإکراه علی بیع عبد من عبدین]</w:t>
      </w:r>
      <w:bookmarkEnd w:id="2230"/>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[*ستوده]</w:t>
      </w:r>
    </w:p>
    <w:p>
      <w:pPr>
        <w:pStyle w:val="BookText"/>
      </w:pPr>
      <w:r>
        <w:rPr>
          <w:rFonts w:ascii="IRNazanin" w:hAnsi="IRNazanin" w:eastAsia="IRNazanin" w:cs="IRNazanin"/>
          <w:lang w:bidi="fa-IR"/>
          <w:color w:val="111111"/>
          <w:sz w:val="28"/>
          <w:szCs w:val="28"/>
          <w:rtl/>
        </w:rPr>
        <w:t xml:space="preserve">لو </w:t>
      </w:r>
      <w:r>
        <w:rPr>
          <w:rStyle w:val="FootnoteReference"/>
        </w:rPr>
        <w:footnoteReference w:id="3061"/>
      </w:r>
      <w:r>
        <w:rPr>
          <w:rFonts w:ascii="IRNazanin" w:hAnsi="IRNazanin" w:eastAsia="IRNazanin" w:cs="IRNazanin"/>
          <w:lang w:bidi="fa-IR"/>
          <w:color w:val="111111"/>
          <w:sz w:val="28"/>
          <w:szCs w:val="28"/>
          <w:rtl/>
        </w:rPr>
        <w:t xml:space="preserve">أکرهه علی بیع واحدٍ غیر معیّن من عبدین فباعهما أو باع نصف أحدهما،ففی التذکرة </w:t>
      </w:r>
      <w:r>
        <w:rPr>
          <w:rStyle w:val="FootnoteReference"/>
        </w:rPr>
        <w:footnoteReference w:id="3062"/>
      </w:r>
      <w:r>
        <w:rPr>
          <w:rFonts w:ascii="IRNazanin" w:hAnsi="IRNazanin" w:eastAsia="IRNazanin" w:cs="IRNazanin"/>
          <w:lang w:bidi="fa-IR"/>
          <w:color w:val="111111"/>
          <w:sz w:val="28"/>
          <w:szCs w:val="28"/>
          <w:rtl/>
        </w:rPr>
        <w:t xml:space="preserve">إشکال.</w:t>
      </w:r>
    </w:p>
    <w:p>
      <w:pPr>
        <w:pStyle w:val="BookText"/>
      </w:pPr>
      <w:r>
        <w:rPr>
          <w:rFonts w:ascii="IRNazanin" w:hAnsi="IRNazanin" w:eastAsia="IRNazanin" w:cs="IRNazanin"/>
          <w:lang w:bidi="fa-IR"/>
          <w:color w:val="111111"/>
          <w:sz w:val="28"/>
          <w:szCs w:val="28"/>
          <w:rtl/>
        </w:rPr>
        <w:t xml:space="preserve">أقول:أمّا بیع العبدین،فإن کان تدریجاً،فالظاهر وقوع الأوّل مکرهاً دون الثانی،مع احتمال الرجوع إلیه فی التعیین،سواءً ادّعی العکس،أم لا.</w:t>
      </w:r>
    </w:p>
    <w:p>
      <w:pPr>
        <w:pStyle w:val="BookText"/>
      </w:pPr>
      <w:r>
        <w:rPr>
          <w:rFonts w:ascii="IRNazanin" w:hAnsi="IRNazanin" w:eastAsia="IRNazanin" w:cs="IRNazanin"/>
          <w:lang w:bidi="fa-IR"/>
          <w:color w:val="111111"/>
          <w:sz w:val="28"/>
          <w:szCs w:val="28"/>
          <w:rtl/>
        </w:rPr>
        <w:t xml:space="preserve">و لو باعهما دفعة،احتمل صحّة الجمیع؛لأنّه خلاف المکرَه علیه، و الظاهر أنّه لم یقع شیء منهما عن إکراه،و بطلان الجمیع؛لوقوع أحدهما مکرَهاً علیه و لا ترجیح،و الأوّل أقوی.</w:t>
      </w:r>
    </w:p>
    <w:p>
      <w:pPr>
        <w:pStyle w:val="Heading6"/>
      </w:pPr>
      <w:bookmarkStart w:id="2231" w:name="_Toc1266"/>
      <w:r>
        <w:t>[الإکراه علی معین فضم غیره إلیه]</w:t>
      </w:r>
      <w:bookmarkEnd w:id="2231"/>
    </w:p>
    <w:p>
      <w:pPr>
        <w:pStyle w:val="BookText"/>
      </w:pPr>
      <w:r>
        <w:rPr>
          <w:rFonts w:ascii="IRNazanin" w:hAnsi="IRNazanin" w:eastAsia="IRNazanin" w:cs="IRNazanin"/>
          <w:lang w:bidi="fa-IR"/>
          <w:color w:val="111111"/>
          <w:sz w:val="28"/>
          <w:szCs w:val="28"/>
          <w:rtl/>
        </w:rPr>
        <w:t xml:space="preserve">و لو اکره علی بیع معیّنٍ فضمّ إلیه غیره و باعهما </w:t>
      </w:r>
      <w:r>
        <w:rPr>
          <w:rStyle w:val="FootnoteReference"/>
        </w:rPr>
        <w:footnoteReference w:id="3063"/>
      </w:r>
      <w:r>
        <w:rPr>
          <w:rFonts w:ascii="IRNazanin" w:hAnsi="IRNazanin" w:eastAsia="IRNazanin" w:cs="IRNazanin"/>
          <w:lang w:bidi="fa-IR"/>
          <w:color w:val="111111"/>
          <w:sz w:val="28"/>
          <w:szCs w:val="28"/>
          <w:rtl/>
        </w:rPr>
        <w:t xml:space="preserve">دفعة،فالأقوی الصحّة فی غیر ما اکره علیه.</w:t>
      </w:r>
    </w:p>
    <w:p>
      <w:pPr>
        <w:pStyle w:val="BookText"/>
      </w:pPr>
      <w:r>
        <w:rPr>
          <w:rFonts w:ascii="Amiri" w:hAnsi="Amiri" w:eastAsia="Amiri" w:cs="Amiri"/>
          <w:lang w:bidi="ar-SA"/>
          <w:color w:val="111111"/>
          <w:sz w:val="28"/>
          <w:szCs w:val="28"/>
          <w:rtl/>
        </w:rPr>
        <w:t xml:space="preserve">و أمّا مسألة النصف،فإن باع النصف </w:t>
      </w:r>
      <w:r>
        <w:rPr>
          <w:rStyle w:val="FootnoteReference"/>
        </w:rPr>
        <w:footnoteReference w:id="3064"/>
      </w:r>
      <w:r>
        <w:rPr>
          <w:rFonts w:ascii="IRNazanin" w:hAnsi="IRNazanin" w:eastAsia="IRNazanin" w:cs="IRNazanin"/>
          <w:lang w:bidi="fa-IR"/>
          <w:color w:val="111111"/>
          <w:sz w:val="28"/>
          <w:szCs w:val="28"/>
          <w:rtl/>
        </w:rPr>
        <w:t xml:space="preserve">بقصد بیع </w:t>
      </w:r>
      <w:r>
        <w:rPr>
          <w:rStyle w:val="FootnoteReference"/>
        </w:rPr>
        <w:footnoteReference w:id="3065"/>
      </w:r>
      <w:r>
        <w:rPr>
          <w:rFonts w:ascii="IRNazanin" w:hAnsi="IRNazanin" w:eastAsia="IRNazanin" w:cs="IRNazanin"/>
          <w:lang w:bidi="fa-IR"/>
          <w:color w:val="111111"/>
          <w:sz w:val="28"/>
          <w:szCs w:val="28"/>
          <w:rtl/>
        </w:rPr>
        <w:t xml:space="preserve">النصف الآخر</w:t>
      </w:r>
    </w:p>
    <w:p>
      <w:pPr>
        <w:pStyle w:val="BookText"/>
      </w:pPr>
      <w:r>
        <w:rPr>
          <w:rFonts w:ascii="IRNazanin" w:hAnsi="IRNazanin" w:eastAsia="IRNazanin" w:cs="IRNazanin"/>
          <w:lang w:bidi="fa-IR"/>
          <w:color w:val="111111"/>
          <w:sz w:val="28"/>
          <w:szCs w:val="28"/>
          <w:rtl/>
        </w:rPr>
        <w:t xml:space="preserve">[شماره صفحه واقعی : 324]
</w:t>
      </w:r>
    </w:p>
    <w:p>
      <w:pPr>
        <w:sectPr>
          <w:footerReference w:type="default" r:id="rId1003"/>
          <w:footnotePr>
            <w:numStart w:val="1"/>
            <w:numRestart w:val="eachPage"/>
          </w:footnotePr>
          <w:pgSz w:orient="portrait" w:w="11905.511811023622" w:h="16837.79527559055"/>
          <w:pgMar w:top="1440" w:right="1440" w:bottom="1440" w:left="1440" w:header="720" w:footer="720" w:gutter="0"/>
          <w:cols w:num="1" w:space="720"/>
        </w:sectPr>
      </w:pPr>
    </w:p>
    <w:bookmarkStart w:id="616" w:name="pg14411_143385"/>
    <w:bookmarkEnd w:id="616"/>
    <w:p>
      <w:pPr>
        <w:pStyle w:val="BookText"/>
      </w:pPr>
      <w:r>
        <w:rPr>
          <w:rFonts w:ascii="IRNazanin" w:hAnsi="IRNazanin" w:eastAsia="IRNazanin" w:cs="IRNazanin"/>
          <w:lang w:bidi="fa-IR"/>
          <w:color w:val="111111"/>
          <w:sz w:val="28"/>
          <w:szCs w:val="28"/>
          <w:rtl/>
        </w:rPr>
        <w:t xml:space="preserve">امتثالاً للمُکرِه بناءً علی شمول الإکراه لبیع المجموع دفعتین فلا إشکال فی وقوعه مکرَهاً علیه،و إن کان لرجاء أن یقنع المکرِه بالنصف کان أیضاً إکراهاً،لکن فی سماع دعوی البائع ذلک مع عدم الأمارات نظر.</w:t>
      </w:r>
    </w:p>
    <w:p>
      <w:pPr>
        <w:pStyle w:val="Heading6"/>
      </w:pPr>
      <w:bookmarkStart w:id="2232" w:name="_Toc1267"/>
      <w:r>
        <w:t>[الإکراه علی الطلاق]</w:t>
      </w:r>
      <w:bookmarkEnd w:id="2232"/>
    </w:p>
    <w:p>
      <w:pPr>
        <w:pStyle w:val="BookText"/>
      </w:pPr>
      <w:r>
        <w:rPr>
          <w:rFonts w:ascii="IRNazanin" w:hAnsi="IRNazanin" w:eastAsia="IRNazanin" w:cs="IRNazanin"/>
          <w:lang w:bidi="fa-IR"/>
          <w:color w:val="111111"/>
          <w:sz w:val="28"/>
          <w:szCs w:val="28"/>
          <w:rtl/>
        </w:rPr>
        <w:t xml:space="preserve">بقی الکلام فیما وعدنا ذکره </w:t>
      </w:r>
      <w:r>
        <w:rPr>
          <w:rStyle w:val="FootnoteReference"/>
        </w:rPr>
        <w:footnoteReference w:id="3066"/>
      </w:r>
      <w:r>
        <w:rPr>
          <w:rFonts w:ascii="IRNazanin" w:hAnsi="IRNazanin" w:eastAsia="IRNazanin" w:cs="IRNazanin"/>
          <w:lang w:bidi="fa-IR"/>
          <w:color w:val="111111"/>
          <w:sz w:val="28"/>
          <w:szCs w:val="28"/>
          <w:rtl/>
        </w:rPr>
        <w:t xml:space="preserve">من الفرع المذکور فی التحریر،قال فی التحریر:لو اکره علی الطلاق فطلّق ناویاً،فالأقرب وقوع الطلاق </w:t>
      </w:r>
      <w:r>
        <w:rPr>
          <w:rStyle w:val="FootnoteReference"/>
        </w:rPr>
        <w:footnoteReference w:id="3067"/>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نحوه فی المسالک بزیادة احتمال عدم الوقوع؛لأنّ الإکراه أسقط أثر اللفظ،و مجرّد النیّة لا حکم لها </w:t>
      </w:r>
      <w:r>
        <w:rPr>
          <w:rStyle w:val="FootnoteReference"/>
        </w:rPr>
        <w:footnoteReference w:id="30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حکی عن سبطه فی نهایة المرام:أنّه نقله قولاً،و استدلّ علیه بعموم ما دلّ من النصّ و الإجماع علی بطلان عقد المکرَه-و الإکراه یتحقّق </w:t>
      </w:r>
      <w:r>
        <w:rPr>
          <w:rStyle w:val="FootnoteReference"/>
        </w:rPr>
        <w:footnoteReference w:id="3069"/>
      </w:r>
      <w:r>
        <w:rPr>
          <w:rFonts w:ascii="IRNazanin" w:hAnsi="IRNazanin" w:eastAsia="IRNazanin" w:cs="IRNazanin"/>
          <w:lang w:bidi="fa-IR"/>
          <w:color w:val="111111"/>
          <w:sz w:val="28"/>
          <w:szCs w:val="28"/>
          <w:rtl/>
        </w:rPr>
        <w:t xml:space="preserve">هنا؛إذ المفروض أنّه لولاه لما فعله-ثمّ قال:و المسألة محلّ إشکال </w:t>
      </w:r>
      <w:r>
        <w:rPr>
          <w:rStyle w:val="FootnoteReference"/>
        </w:rPr>
        <w:footnoteReference w:id="3070"/>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عن بعض الأجلّة:أنّه لو علم أنّه لا یلزمه إلّا اللفظ و له تجریده عن القصد،فلا شبهة فی عدم الإکراه </w:t>
      </w:r>
      <w:r>
        <w:rPr>
          <w:rStyle w:val="FootnoteReference"/>
        </w:rPr>
        <w:footnoteReference w:id="3071"/>
      </w:r>
      <w:r>
        <w:rPr>
          <w:rFonts w:ascii="IRNazanin" w:hAnsi="IRNazanin" w:eastAsia="IRNazanin" w:cs="IRNazanin"/>
          <w:lang w:bidi="fa-IR"/>
          <w:color w:val="111111"/>
          <w:sz w:val="28"/>
          <w:szCs w:val="28"/>
          <w:rtl/>
        </w:rPr>
        <w:t xml:space="preserve">و إنّما یحتمل </w:t>
      </w:r>
      <w:r>
        <w:rPr>
          <w:rStyle w:val="FootnoteReference"/>
        </w:rPr>
        <w:footnoteReference w:id="3072"/>
      </w:r>
      <w:r>
        <w:rPr>
          <w:rFonts w:ascii="IRNazanin" w:hAnsi="IRNazanin" w:eastAsia="IRNazanin" w:cs="IRNazanin"/>
          <w:lang w:bidi="fa-IR"/>
          <w:color w:val="111111"/>
          <w:sz w:val="28"/>
          <w:szCs w:val="28"/>
          <w:rtl/>
        </w:rPr>
        <w:t xml:space="preserve">الإکراه مع</w:t>
      </w:r>
    </w:p>
    <w:p>
      <w:pPr>
        <w:pStyle w:val="BookText"/>
      </w:pPr>
      <w:r>
        <w:rPr>
          <w:rFonts w:ascii="IRNazanin" w:hAnsi="IRNazanin" w:eastAsia="IRNazanin" w:cs="IRNazanin"/>
          <w:lang w:bidi="fa-IR"/>
          <w:color w:val="111111"/>
          <w:sz w:val="28"/>
          <w:szCs w:val="28"/>
          <w:rtl/>
        </w:rPr>
        <w:t xml:space="preserve">[شماره صفحه واقعی : 325]
</w:t>
      </w:r>
    </w:p>
    <w:p>
      <w:pPr>
        <w:sectPr>
          <w:footerReference w:type="default" r:id="rId10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عدم العلم بذلک،سواء ظنّ لزوم القصد و إن لم یرده المکره،أم لا </w:t>
      </w:r>
      <w:r>
        <w:rPr>
          <w:rStyle w:val="FootnoteReference"/>
        </w:rPr>
        <w:footnoteReference w:id="3073"/>
      </w:r>
      <w:r>
        <w:rPr>
          <w:rFonts w:ascii="IRNazanin" w:hAnsi="IRNazanin" w:eastAsia="IRNazanin" w:cs="IRNazanin"/>
          <w:lang w:bidi="fa-IR"/>
          <w:color w:val="111111"/>
          <w:sz w:val="28"/>
          <w:szCs w:val="28"/>
          <w:rtl/>
        </w:rPr>
        <w:t xml:space="preserve">،انتهی.</w:t>
      </w:r>
    </w:p>
    <w:p>
      <w:pPr>
        <w:pStyle w:val="BookText"/>
      </w:pPr>
      <w:r>
        <w:rPr>
          <w:rFonts w:ascii="Amiri" w:hAnsi="Amiri" w:eastAsia="Amiri" w:cs="Amiri"/>
          <w:lang w:bidi="ar-SA"/>
          <w:color w:val="111111"/>
          <w:sz w:val="28"/>
          <w:szCs w:val="28"/>
          <w:rtl/>
        </w:rPr>
        <w:t xml:space="preserve">ثمّ إنّ بعض المعاصرین </w:t>
      </w:r>
      <w:r>
        <w:rPr>
          <w:rStyle w:val="FootnoteReference"/>
        </w:rPr>
        <w:footnoteReference w:id="3074"/>
      </w:r>
      <w:r>
        <w:rPr>
          <w:rFonts w:ascii="IRNazanin" w:hAnsi="IRNazanin" w:eastAsia="IRNazanin" w:cs="IRNazanin"/>
          <w:lang w:bidi="fa-IR"/>
          <w:color w:val="111111"/>
          <w:sz w:val="28"/>
          <w:szCs w:val="28"/>
          <w:rtl/>
        </w:rPr>
        <w:t xml:space="preserve">ذکر الفرع عن المسالک </w:t>
      </w:r>
      <w:r>
        <w:rPr>
          <w:rStyle w:val="FootnoteReference"/>
        </w:rPr>
        <w:footnoteReference w:id="3075"/>
      </w:r>
      <w:r>
        <w:rPr>
          <w:rFonts w:ascii="IRNazanin" w:hAnsi="IRNazanin" w:eastAsia="IRNazanin" w:cs="IRNazanin"/>
          <w:lang w:bidi="fa-IR"/>
          <w:color w:val="111111"/>
          <w:sz w:val="28"/>
          <w:szCs w:val="28"/>
          <w:rtl/>
        </w:rPr>
        <w:t xml:space="preserve">،و بناه علی أنّ المکرَه لا قصد له أصلاً،فردّه بثبوت القصد للمکرَه،و جزم بوقوع الطلاق المذکور مکرَهاً علیه.</w:t>
      </w:r>
    </w:p>
    <w:p>
      <w:pPr>
        <w:pStyle w:val="BookText"/>
      </w:pPr>
      <w:r>
        <w:rPr>
          <w:rFonts w:ascii="IRNazanin" w:hAnsi="IRNazanin" w:eastAsia="IRNazanin" w:cs="IRNazanin"/>
          <w:lang w:bidi="fa-IR"/>
          <w:color w:val="111111"/>
          <w:sz w:val="28"/>
          <w:szCs w:val="28"/>
          <w:rtl/>
        </w:rPr>
        <w:t xml:space="preserve">و فیه:ما عرفت سابقاً:من أنّه لم یقل أحدٌ بخلوّ المُکرَه عن قصد معنی اللفظ،و لیس هذا مراداً من قولهم:إنّ المکره غیر قاصدٍ إلی مدلول اللفظ؛و لذا شرّک الشهید الثانی بین المُکرَه و الفضولی فی ذلک -کما عرفت سابقاً </w:t>
      </w:r>
      <w:r>
        <w:rPr>
          <w:rStyle w:val="FootnoteReference"/>
        </w:rPr>
        <w:footnoteReference w:id="3076"/>
      </w:r>
      <w:r>
        <w:rPr>
          <w:rFonts w:ascii="IRNazanin" w:hAnsi="IRNazanin" w:eastAsia="IRNazanin" w:cs="IRNazanin"/>
          <w:lang w:bidi="fa-IR"/>
          <w:color w:val="111111"/>
          <w:sz w:val="28"/>
          <w:szCs w:val="28"/>
          <w:rtl/>
        </w:rPr>
        <w:t xml:space="preserve">-،فبناء هذا الحکم فی هذا الفرع علی ما ذکر ضعیف جدّاً.</w:t>
      </w:r>
    </w:p>
    <w:p>
      <w:pPr>
        <w:pStyle w:val="BookText"/>
      </w:pPr>
      <w:r>
        <w:rPr>
          <w:rFonts w:ascii="IRNazanin" w:hAnsi="IRNazanin" w:eastAsia="IRNazanin" w:cs="IRNazanin"/>
          <w:lang w:bidi="fa-IR"/>
          <w:color w:val="111111"/>
          <w:sz w:val="28"/>
          <w:szCs w:val="28"/>
          <w:rtl/>
        </w:rPr>
        <w:t xml:space="preserve">و کذا ما تقدّم عن بعض الأجلّة:من أنّه إن علم بکفایة مجرّد </w:t>
      </w:r>
      <w:r>
        <w:rPr>
          <w:rStyle w:val="FootnoteReference"/>
        </w:rPr>
        <w:footnoteReference w:id="3077"/>
      </w:r>
      <w:r>
        <w:rPr>
          <w:rFonts w:ascii="IRNazanin" w:hAnsi="IRNazanin" w:eastAsia="IRNazanin" w:cs="IRNazanin"/>
          <w:lang w:bidi="fa-IR"/>
          <w:color w:val="111111"/>
          <w:sz w:val="28"/>
          <w:szCs w:val="28"/>
          <w:rtl/>
        </w:rPr>
        <w:t xml:space="preserve">اللفظ المجرّد عن النیّة فنوی اختیاراً صحّ؛لأنّ مرجع ذلک إلی وجوب التوریة علی العارف بها المتفطّن لها؛إذ لا فرق بین التخلّص بالتوریة و بین تجرید اللفظ عن قصد المعنی بحیث یتکلّم به لاغیاً،و قد عرفت أنّ ظاهر الأدلّة و الأخبار الواردة فی طلاق المکره و عتقه:عدم اعتبار العجز عن التوریة </w:t>
      </w:r>
      <w:r>
        <w:rPr>
          <w:rStyle w:val="FootnoteReference"/>
        </w:rPr>
        <w:footnoteReference w:id="30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326]
</w:t>
      </w:r>
    </w:p>
    <w:p>
      <w:pPr>
        <w:sectPr>
          <w:footerReference w:type="default" r:id="rId1005"/>
          <w:footnotePr>
            <w:numStart w:val="1"/>
            <w:numRestart w:val="eachPage"/>
          </w:footnotePr>
          <w:pgSz w:orient="portrait" w:w="11905.511811023622" w:h="16837.79527559055"/>
          <w:pgMar w:top="1440" w:right="1440" w:bottom="1440" w:left="1440" w:header="720" w:footer="720" w:gutter="0"/>
          <w:cols w:num="1" w:space="720"/>
        </w:sectPr>
      </w:pPr>
    </w:p>
    <w:bookmarkStart w:id="617" w:name="pg14411_143387"/>
    <w:bookmarkEnd w:id="617"/>
    <w:p>
      <w:pPr>
        <w:pStyle w:val="Heading6"/>
      </w:pPr>
      <w:bookmarkStart w:id="2233" w:name="_Toc1268"/>
      <w:r>
        <w:t>[أقسام الإکراه علی الطلاق،و أحکامها]</w:t>
      </w:r>
      <w:bookmarkEnd w:id="2233"/>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[*ستوده]</w:t>
      </w:r>
    </w:p>
    <w:p>
      <w:pPr>
        <w:pStyle w:val="BookText"/>
      </w:pPr>
      <w:r>
        <w:rPr>
          <w:rFonts w:ascii="IRNazanin" w:hAnsi="IRNazanin" w:eastAsia="IRNazanin" w:cs="IRNazanin"/>
          <w:lang w:bidi="fa-IR"/>
          <w:color w:val="111111"/>
          <w:sz w:val="28"/>
          <w:szCs w:val="28"/>
          <w:rtl/>
        </w:rPr>
        <w:t xml:space="preserve">و توضیح الأقسام المتصوّرة فی الفرع المذکور:</w:t>
      </w:r>
    </w:p>
    <w:p>
      <w:pPr>
        <w:pStyle w:val="BookText"/>
      </w:pPr>
      <w:r>
        <w:rPr>
          <w:rFonts w:ascii="IRNazanin" w:hAnsi="IRNazanin" w:eastAsia="IRNazanin" w:cs="IRNazanin"/>
          <w:lang w:bidi="fa-IR"/>
          <w:color w:val="111111"/>
          <w:sz w:val="28"/>
          <w:szCs w:val="28"/>
          <w:rtl/>
        </w:rPr>
        <w:t xml:space="preserve">أنّ الإکراه الملحوق بوقوع الطلاق قصداً إلیه راضیاً به،إمّا أن لا یکون له دخل فی الفعل أصلاً،بأن یوقع الطلاق قصداً إلیه عن طیب النفس،بحیث لا یکون الداعی إلیه هو الإکراه؛لبنائه علی تحمّل الضرر المتوعّد به،و لا یخفی بداهة وقوع الطلاق هنا،و عدم جواز حمل الفرع المذکور </w:t>
      </w:r>
      <w:r>
        <w:rPr>
          <w:rStyle w:val="FootnoteReference"/>
        </w:rPr>
        <w:footnoteReference w:id="3079"/>
      </w:r>
      <w:r>
        <w:rPr>
          <w:rFonts w:ascii="IRNazanin" w:hAnsi="IRNazanin" w:eastAsia="IRNazanin" w:cs="IRNazanin"/>
          <w:lang w:bidi="fa-IR"/>
          <w:color w:val="111111"/>
          <w:sz w:val="28"/>
          <w:szCs w:val="28"/>
          <w:rtl/>
        </w:rPr>
        <w:t xml:space="preserve">علیه،فلا معنی لجعله فی التحریر أقرب،و ذکر احتمال عدم الوقوع فی المسالک،و جعله قولاً فی نهایة المرام و استشکاله فیه؛ لعموم النصّ و الإجماع.</w:t>
      </w:r>
    </w:p>
    <w:p>
      <w:pPr>
        <w:pStyle w:val="BookText"/>
      </w:pPr>
      <w:r>
        <w:rPr>
          <w:rFonts w:ascii="IRNazanin" w:hAnsi="IRNazanin" w:eastAsia="IRNazanin" w:cs="IRNazanin"/>
          <w:lang w:bidi="fa-IR"/>
          <w:color w:val="111111"/>
          <w:sz w:val="28"/>
          <w:szCs w:val="28"/>
          <w:rtl/>
        </w:rPr>
        <w:t xml:space="preserve">و کذا لا ینبغی التأمّل فی وقوع الطلاق لو لم یکن الإکراه مستقلا فی داعی الوقوع،بل هو بضمیمة شیءٍ اختیاریّ للفاعل.</w:t>
      </w:r>
    </w:p>
    <w:p>
      <w:pPr>
        <w:pStyle w:val="BookText"/>
      </w:pPr>
      <w:r>
        <w:rPr>
          <w:rFonts w:ascii="IRNazanin" w:hAnsi="IRNazanin" w:eastAsia="IRNazanin" w:cs="IRNazanin"/>
          <w:lang w:bidi="fa-IR"/>
          <w:color w:val="111111"/>
          <w:sz w:val="28"/>
          <w:szCs w:val="28"/>
          <w:rtl/>
        </w:rPr>
        <w:t xml:space="preserve">و إن کان الداعی هو الإکراه،فإمّا أن یکون الفعل لا من جهة التخلّص عن الضرر المتوعّد به،بل من جهة دفع الضرر اللاحق للمکرِه-بالکسر-کمن قال له ولده:«طلّق زوجتک و إلّا قتلتک أو قتلت نفسی»فطلّق الوالد خوفاً من قتل الولد نفسه،أو قتلِ الغیر له إذا تعرّض لقتل والده،أو کان الداعی علی الفعل شفقةً دینیّة علی المکرِه-بالکسر-أو علی المطلّقة،أو علی غیرهما ممّن یرید نکاح الزوجة لئلّا یقع الناس فی محرّم.</w:t>
      </w:r>
    </w:p>
    <w:p>
      <w:pPr>
        <w:pStyle w:val="BookText"/>
      </w:pPr>
      <w:r>
        <w:rPr>
          <w:rFonts w:ascii="IRNazanin" w:hAnsi="IRNazanin" w:eastAsia="IRNazanin" w:cs="IRNazanin"/>
          <w:lang w:bidi="fa-IR"/>
          <w:color w:val="111111"/>
          <w:sz w:val="28"/>
          <w:szCs w:val="28"/>
          <w:rtl/>
        </w:rPr>
        <w:t xml:space="preserve">و الحکم فی الصورتین لا یخلو عن إشکال.</w:t>
      </w:r>
    </w:p>
    <w:p>
      <w:pPr>
        <w:pStyle w:val="BookText"/>
      </w:pPr>
      <w:r>
        <w:rPr>
          <w:rFonts w:ascii="IRNazanin" w:hAnsi="IRNazanin" w:eastAsia="IRNazanin" w:cs="IRNazanin"/>
          <w:lang w:bidi="fa-IR"/>
          <w:color w:val="111111"/>
          <w:sz w:val="28"/>
          <w:szCs w:val="28"/>
          <w:rtl/>
        </w:rPr>
        <w:t xml:space="preserve">و إن کان الفعل لداعی التخلّص من الضرر،فقد یکون قصد الفعل لأجل اعتقاد المکرَه أنّ الحذر لا یتحقّق إلّا بإیقاع الطلاق حقیقةً؛ لغفلته عن أنّ التخلّص غیر متوقّف علی القصد إلی وقوع أثر الطلاق</w:t>
      </w:r>
    </w:p>
    <w:p>
      <w:pPr>
        <w:pStyle w:val="BookText"/>
      </w:pPr>
      <w:r>
        <w:rPr>
          <w:rFonts w:ascii="IRNazanin" w:hAnsi="IRNazanin" w:eastAsia="IRNazanin" w:cs="IRNazanin"/>
          <w:lang w:bidi="fa-IR"/>
          <w:color w:val="111111"/>
          <w:sz w:val="28"/>
          <w:szCs w:val="28"/>
          <w:rtl/>
        </w:rPr>
        <w:t xml:space="preserve">[شماره صفحه واقعی : 327]
</w:t>
      </w:r>
    </w:p>
    <w:p>
      <w:pPr>
        <w:sectPr>
          <w:footerReference w:type="default" r:id="rId1006"/>
          <w:footnotePr>
            <w:numStart w:val="1"/>
            <w:numRestart w:val="eachPage"/>
          </w:footnotePr>
          <w:pgSz w:orient="portrait" w:w="11905.511811023622" w:h="16837.79527559055"/>
          <w:pgMar w:top="1440" w:right="1440" w:bottom="1440" w:left="1440" w:header="720" w:footer="720" w:gutter="0"/>
          <w:cols w:num="1" w:space="720"/>
        </w:sectPr>
      </w:pPr>
    </w:p>
    <w:bookmarkStart w:id="618" w:name="pg14411_143388"/>
    <w:bookmarkEnd w:id="618"/>
    <w:p>
      <w:pPr>
        <w:pStyle w:val="BookText"/>
      </w:pPr>
      <w:r>
        <w:rPr>
          <w:rFonts w:ascii="IRNazanin" w:hAnsi="IRNazanin" w:eastAsia="IRNazanin" w:cs="IRNazanin"/>
          <w:lang w:bidi="fa-IR"/>
          <w:color w:val="111111"/>
          <w:sz w:val="28"/>
          <w:szCs w:val="28"/>
          <w:rtl/>
        </w:rPr>
        <w:t xml:space="preserve">و حصول البینونة،فیوطّن نفسه علی رفع الید عن الزوجة و الإعراض عنها،فیوقع الطلاق قاصداً،و هذا کثیراً ما یتّفق للعوامّ.</w:t>
      </w:r>
    </w:p>
    <w:p>
      <w:pPr>
        <w:pStyle w:val="BookText"/>
      </w:pPr>
      <w:r>
        <w:rPr>
          <w:rFonts w:ascii="IRNazanin" w:hAnsi="IRNazanin" w:eastAsia="IRNazanin" w:cs="IRNazanin"/>
          <w:lang w:bidi="fa-IR"/>
          <w:color w:val="111111"/>
          <w:sz w:val="28"/>
          <w:szCs w:val="28"/>
          <w:rtl/>
        </w:rPr>
        <w:t xml:space="preserve">و قد یکون هذا التوطین و الإعراض من جهة جهله بالحکم الشرعیّ أو کونه رأی </w:t>
      </w:r>
      <w:r>
        <w:rPr>
          <w:rStyle w:val="FootnoteReference"/>
        </w:rPr>
        <w:footnoteReference w:id="3080"/>
      </w:r>
      <w:r>
        <w:rPr>
          <w:rFonts w:ascii="Amiri" w:hAnsi="Amiri" w:eastAsia="Amiri" w:cs="Amiri"/>
          <w:lang w:bidi="ar-SA"/>
          <w:color w:val="111111"/>
          <w:sz w:val="28"/>
          <w:szCs w:val="28"/>
          <w:rtl/>
        </w:rPr>
        <w:t xml:space="preserve">مذهب بعض العامة </w:t>
      </w:r>
      <w:r>
        <w:rPr>
          <w:rStyle w:val="FootnoteReference"/>
        </w:rPr>
        <w:footnoteReference w:id="3081"/>
      </w:r>
      <w:r>
        <w:rPr>
          <w:rFonts w:ascii="IRNazanin" w:hAnsi="IRNazanin" w:eastAsia="IRNazanin" w:cs="IRNazanin"/>
          <w:lang w:bidi="fa-IR"/>
          <w:color w:val="111111"/>
          <w:sz w:val="28"/>
          <w:szCs w:val="28"/>
          <w:rtl/>
        </w:rPr>
        <w:t xml:space="preserve">فزعم أنّ الطلاق یقع مع </w:t>
      </w:r>
      <w:r>
        <w:rPr>
          <w:rStyle w:val="FootnoteReference"/>
        </w:rPr>
        <w:footnoteReference w:id="3082"/>
      </w:r>
      <w:r>
        <w:rPr>
          <w:rFonts w:ascii="IRNazanin" w:hAnsi="IRNazanin" w:eastAsia="IRNazanin" w:cs="IRNazanin"/>
          <w:lang w:bidi="fa-IR"/>
          <w:color w:val="111111"/>
          <w:sz w:val="28"/>
          <w:szCs w:val="28"/>
          <w:rtl/>
        </w:rPr>
        <w:t xml:space="preserve">الإکراه،فإذا أُکره علی الطلاق طلّق قاصداً لوقوعه؛لأنّ القصد إلی اللفظ المکرَه علیه بعد اعتقاد کونه سبباً مستقلا فی وقوع البینونة یستلزم القصد إلی وقوعها،فیرضی نفسه </w:t>
      </w:r>
      <w:r>
        <w:rPr>
          <w:rStyle w:val="FootnoteReference"/>
        </w:rPr>
        <w:footnoteReference w:id="3083"/>
      </w:r>
      <w:r>
        <w:rPr>
          <w:rFonts w:ascii="IRNazanin" w:hAnsi="IRNazanin" w:eastAsia="IRNazanin" w:cs="IRNazanin"/>
          <w:lang w:bidi="fa-IR"/>
          <w:color w:val="111111"/>
          <w:sz w:val="28"/>
          <w:szCs w:val="28"/>
          <w:rtl/>
        </w:rPr>
        <w:t xml:space="preserve">بذلک و یوطّنها علیه،و هذا أیضاً کثیراً ما یتّفق للعوام.</w:t>
      </w:r>
    </w:p>
    <w:p>
      <w:pPr>
        <w:pStyle w:val="BookText"/>
      </w:pPr>
      <w:r>
        <w:rPr>
          <w:rFonts w:ascii="IRNazanin" w:hAnsi="IRNazanin" w:eastAsia="IRNazanin" w:cs="IRNazanin"/>
          <w:lang w:bidi="fa-IR"/>
          <w:color w:val="111111"/>
          <w:sz w:val="28"/>
          <w:szCs w:val="28"/>
          <w:rtl/>
        </w:rPr>
        <w:t xml:space="preserve">و الحکم فی هاتین الصورتین لا یخلو عن إشکال،إلّا أنّ تحقّق الإکراه أقرب.</w:t>
      </w:r>
    </w:p>
    <w:p>
      <w:pPr>
        <w:pStyle w:val="Heading6"/>
      </w:pPr>
      <w:bookmarkStart w:id="2234" w:name="_Toc1269"/>
      <w:r>
        <w:t>[عقد المکره لو تعقبه الرضا]</w:t>
      </w:r>
      <w:bookmarkEnd w:id="2234"/>
    </w:p>
    <w:p>
      <w:pPr>
        <w:pStyle w:val="BookText"/>
      </w:pPr>
      <w:r>
        <w:rPr>
          <w:rFonts w:ascii="Amiri" w:hAnsi="Amiri" w:eastAsia="Amiri" w:cs="Amiri"/>
          <w:lang w:bidi="ar-SA"/>
          <w:color w:val="111111"/>
          <w:sz w:val="28"/>
          <w:szCs w:val="28"/>
          <w:rtl/>
        </w:rPr>
        <w:t xml:space="preserve">ثمّ </w:t>
      </w:r>
      <w:r>
        <w:rPr>
          <w:rStyle w:val="FootnoteReference"/>
        </w:rPr>
        <w:footnoteReference w:id="3084"/>
      </w:r>
      <w:r>
        <w:rPr>
          <w:rFonts w:ascii="IRNazanin" w:hAnsi="IRNazanin" w:eastAsia="IRNazanin" w:cs="IRNazanin"/>
          <w:lang w:bidi="fa-IR"/>
          <w:color w:val="111111"/>
          <w:sz w:val="28"/>
          <w:szCs w:val="28"/>
          <w:rtl/>
        </w:rPr>
        <w:t xml:space="preserve">المشهور بین المتأخّرین </w:t>
      </w:r>
      <w:r>
        <w:rPr>
          <w:rStyle w:val="FootnoteReference"/>
        </w:rPr>
        <w:footnoteReference w:id="3085"/>
      </w:r>
      <w:r>
        <w:rPr>
          <w:rFonts w:ascii="IRNazanin" w:hAnsi="IRNazanin" w:eastAsia="IRNazanin" w:cs="IRNazanin"/>
          <w:lang w:bidi="fa-IR"/>
          <w:color w:val="111111"/>
          <w:sz w:val="28"/>
          <w:szCs w:val="28"/>
          <w:rtl/>
        </w:rPr>
        <w:t xml:space="preserve">:أنّه لو رضی المُکرَه بما فعله صحّ العقد،بل عن الریاض </w:t>
      </w:r>
      <w:r>
        <w:rPr>
          <w:rStyle w:val="FootnoteReference"/>
        </w:rPr>
        <w:footnoteReference w:id="3086"/>
      </w:r>
      <w:r>
        <w:rPr>
          <w:rFonts w:ascii="IRNazanin" w:hAnsi="IRNazanin" w:eastAsia="IRNazanin" w:cs="IRNazanin"/>
          <w:lang w:bidi="fa-IR"/>
          <w:color w:val="111111"/>
          <w:sz w:val="28"/>
          <w:szCs w:val="28"/>
          <w:rtl/>
        </w:rPr>
        <w:t xml:space="preserve">تبعاً للحدائق </w:t>
      </w:r>
      <w:r>
        <w:rPr>
          <w:rStyle w:val="FootnoteReference"/>
        </w:rPr>
        <w:footnoteReference w:id="3087"/>
      </w:r>
      <w:r>
        <w:rPr>
          <w:rFonts w:ascii="Amiri" w:hAnsi="Amiri" w:eastAsia="Amiri" w:cs="Amiri"/>
          <w:lang w:bidi="ar-SA"/>
          <w:color w:val="111111"/>
          <w:sz w:val="28"/>
          <w:szCs w:val="28"/>
          <w:rtl/>
        </w:rPr>
        <w:t xml:space="preserve">أنّ علیه اتّفاقهم؛لأنّه عقد</w:t>
      </w:r>
    </w:p>
    <w:p>
      <w:pPr>
        <w:pStyle w:val="BookText"/>
      </w:pPr>
      <w:r>
        <w:rPr>
          <w:rFonts w:ascii="IRNazanin" w:hAnsi="IRNazanin" w:eastAsia="IRNazanin" w:cs="IRNazanin"/>
          <w:lang w:bidi="fa-IR"/>
          <w:color w:val="111111"/>
          <w:sz w:val="28"/>
          <w:szCs w:val="28"/>
          <w:rtl/>
        </w:rPr>
        <w:t xml:space="preserve">[شماره صفحه واقعی : 328]
</w:t>
      </w:r>
    </w:p>
    <w:p>
      <w:pPr>
        <w:sectPr>
          <w:footerReference w:type="default" r:id="rId10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حقیقی،فیؤثّر أثره مع اجتماع باقی شرائط البیع،و هو طیب النفس.</w:t>
      </w:r>
    </w:p>
    <w:p>
      <w:pPr>
        <w:pStyle w:val="BookText"/>
      </w:pPr>
      <w:r>
        <w:rPr>
          <w:rFonts w:ascii="IRNazanin" w:hAnsi="IRNazanin" w:eastAsia="IRNazanin" w:cs="IRNazanin"/>
          <w:lang w:bidi="fa-IR"/>
          <w:color w:val="111111"/>
          <w:sz w:val="28"/>
          <w:szCs w:val="28"/>
          <w:rtl/>
        </w:rPr>
        <w:t xml:space="preserve">و دعوی </w:t>
      </w:r>
      <w:r>
        <w:rPr>
          <w:rStyle w:val="FootnoteReference"/>
        </w:rPr>
        <w:footnoteReference w:id="3088"/>
      </w:r>
      <w:r>
        <w:rPr>
          <w:rFonts w:ascii="IRNazanin" w:hAnsi="IRNazanin" w:eastAsia="IRNazanin" w:cs="IRNazanin"/>
          <w:lang w:bidi="fa-IR"/>
          <w:color w:val="111111"/>
          <w:sz w:val="28"/>
          <w:szCs w:val="28"/>
          <w:rtl/>
        </w:rPr>
        <w:t xml:space="preserve">اعتبار مقارنة طیب النفس للعقد،خالیةٌ عن الشاهد، مدفوعةٌ بالإطلاقات.</w:t>
      </w:r>
    </w:p>
    <w:p>
      <w:pPr>
        <w:pStyle w:val="BookText"/>
      </w:pPr>
      <w:r>
        <w:rPr>
          <w:rFonts w:ascii="IRNazanin" w:hAnsi="IRNazanin" w:eastAsia="IRNazanin" w:cs="IRNazanin"/>
          <w:lang w:bidi="fa-IR"/>
          <w:color w:val="111111"/>
          <w:sz w:val="28"/>
          <w:szCs w:val="28"/>
          <w:rtl/>
        </w:rPr>
        <w:t xml:space="preserve">و أضعف منها:دعوی اعتبارها فی مفهوم العقد،اللازم منه عدم کون عقد </w:t>
      </w:r>
      <w:r>
        <w:rPr>
          <w:rStyle w:val="FootnoteReference"/>
        </w:rPr>
        <w:footnoteReference w:id="3089"/>
      </w:r>
      <w:r>
        <w:rPr>
          <w:rFonts w:ascii="IRNazanin" w:hAnsi="IRNazanin" w:eastAsia="IRNazanin" w:cs="IRNazanin"/>
          <w:lang w:bidi="fa-IR"/>
          <w:color w:val="111111"/>
          <w:sz w:val="28"/>
          <w:szCs w:val="28"/>
          <w:rtl/>
        </w:rPr>
        <w:t xml:space="preserve">الفضولی عقداً حقیقة.</w:t>
      </w:r>
    </w:p>
    <w:p>
      <w:pPr>
        <w:pStyle w:val="BookText"/>
      </w:pPr>
      <w:r>
        <w:rPr>
          <w:rFonts w:ascii="IRNazanin" w:hAnsi="IRNazanin" w:eastAsia="IRNazanin" w:cs="IRNazanin"/>
          <w:lang w:bidi="fa-IR"/>
          <w:color w:val="111111"/>
          <w:sz w:val="28"/>
          <w:szCs w:val="28"/>
          <w:rtl/>
        </w:rPr>
        <w:t xml:space="preserve">و أضعف من الکلّ:دعوی اعتبار طیب نفس العاقد فی تأثیر عقده،اللازم منه عدم صحّة بیع المُکرَه بحقّ،و کون إکراهه علی العقد تعبّدیاً لا لتأثیر فیه </w:t>
      </w:r>
      <w:r>
        <w:rPr>
          <w:rStyle w:val="FootnoteReference"/>
        </w:rPr>
        <w:footnoteReference w:id="30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یؤیّده:فحوی صحّة عقد الفضولی؛حیث إنّ المالک طیّب النفس بوقوع أثر العقد و غیر منشئ للنقل بکلامه،و إمضاء إنشاء الغیر لیس إلّا طیب النفس بمضمونه،و لیس إنشاءً مستأنفاً،مع أنّه لو کان فهو موجود هنا،فلم یصدر من المالک هنالک إلّا طیب النفس بانتقاله متأخّراً عن إنشاء العقد،و هذا موجود فیما نحن فیه مع زائد،و هو إنشاؤه للنقل المدلول علیه بلفظ العقد؛لما عرفت </w:t>
      </w:r>
      <w:r>
        <w:rPr>
          <w:rStyle w:val="FootnoteReference"/>
        </w:rPr>
        <w:footnoteReference w:id="3091"/>
      </w:r>
      <w:r>
        <w:rPr>
          <w:rFonts w:ascii="Amiri" w:hAnsi="Amiri" w:eastAsia="Amiri" w:cs="Amiri"/>
          <w:lang w:bidi="ar-SA"/>
          <w:color w:val="111111"/>
          <w:sz w:val="28"/>
          <w:szCs w:val="28"/>
          <w:rtl/>
        </w:rPr>
        <w:t xml:space="preserve">من أنّ عقده إنشاء حقیقیّ.</w:t>
      </w:r>
    </w:p>
    <w:p>
      <w:pPr>
        <w:pStyle w:val="BookText"/>
      </w:pPr>
      <w:r>
        <w:rPr>
          <w:rFonts w:ascii="IRNazanin" w:hAnsi="IRNazanin" w:eastAsia="IRNazanin" w:cs="IRNazanin"/>
          <w:lang w:bidi="fa-IR"/>
          <w:color w:val="111111"/>
          <w:sz w:val="28"/>
          <w:szCs w:val="28"/>
          <w:rtl/>
        </w:rPr>
        <w:t xml:space="preserve">[*ستوده]</w:t>
      </w:r>
    </w:p>
    <w:p>
      <w:pPr>
        <w:pStyle w:val="BookText"/>
      </w:pPr>
      <w:r>
        <w:rPr>
          <w:rFonts w:ascii="IRNazanin" w:hAnsi="IRNazanin" w:eastAsia="IRNazanin" w:cs="IRNazanin"/>
          <w:lang w:bidi="fa-IR"/>
          <w:color w:val="111111"/>
          <w:sz w:val="28"/>
          <w:szCs w:val="28"/>
          <w:rtl/>
        </w:rPr>
        <w:t xml:space="preserve">و توهّم:أنّ عقد الفضولی واجد لما هو </w:t>
      </w:r>
      <w:r>
        <w:rPr>
          <w:rStyle w:val="FootnoteReference"/>
        </w:rPr>
        <w:footnoteReference w:id="3092"/>
      </w:r>
      <w:r>
        <w:rPr>
          <w:rFonts w:ascii="IRNazanin" w:hAnsi="IRNazanin" w:eastAsia="IRNazanin" w:cs="IRNazanin"/>
          <w:lang w:bidi="fa-IR"/>
          <w:color w:val="111111"/>
          <w:sz w:val="28"/>
          <w:szCs w:val="28"/>
          <w:rtl/>
        </w:rPr>
        <w:t xml:space="preserve">مفقود هنا-و هو طیب نفس العاقد بما ینشئه-،مدفوع:بالقطع بأنّ طیب النفس لا اثر له،</w:t>
      </w:r>
    </w:p>
    <w:p>
      <w:pPr>
        <w:pStyle w:val="BookText"/>
      </w:pPr>
      <w:r>
        <w:rPr>
          <w:rFonts w:ascii="IRNazanin" w:hAnsi="IRNazanin" w:eastAsia="IRNazanin" w:cs="IRNazanin"/>
          <w:lang w:bidi="fa-IR"/>
          <w:color w:val="111111"/>
          <w:sz w:val="28"/>
          <w:szCs w:val="28"/>
          <w:rtl/>
        </w:rPr>
        <w:t xml:space="preserve">[شماره صفحه واقعی : 329]
</w:t>
      </w:r>
    </w:p>
    <w:p>
      <w:pPr>
        <w:sectPr>
          <w:footerReference w:type="default" r:id="rId10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w:t>
      </w:r>
      <w:r>
        <w:rPr>
          <w:rStyle w:val="FootnoteReference"/>
        </w:rPr>
        <w:footnoteReference w:id="3093"/>
      </w:r>
      <w:r>
        <w:rPr>
          <w:rFonts w:ascii="IRNazanin" w:hAnsi="IRNazanin" w:eastAsia="IRNazanin" w:cs="IRNazanin"/>
          <w:lang w:bidi="fa-IR"/>
          <w:color w:val="111111"/>
          <w:sz w:val="28"/>
          <w:szCs w:val="28"/>
          <w:rtl/>
        </w:rPr>
        <w:t xml:space="preserve">فی صدق العقدیة؛إذ یکفی فیه مجرّد قصد الإنشاء المدلول علیه باللفظ المستعمل فیه،و لا فی النقل و الانتقال؛لعدم مدخلیّة غیر المالک فیه.</w:t>
      </w:r>
    </w:p>
    <w:p>
      <w:pPr>
        <w:pStyle w:val="BookText"/>
      </w:pPr>
      <w:r>
        <w:rPr>
          <w:rFonts w:ascii="Amiri" w:hAnsi="Amiri" w:eastAsia="Amiri" w:cs="Amiri"/>
          <w:lang w:bidi="ar-SA"/>
          <w:color w:val="111111"/>
          <w:sz w:val="28"/>
          <w:szCs w:val="28"/>
          <w:rtl/>
        </w:rPr>
        <w:t xml:space="preserve">نعم،لو صحّ ما ذکر سابقاً </w:t>
      </w:r>
      <w:r>
        <w:rPr>
          <w:rStyle w:val="FootnoteReference"/>
        </w:rPr>
        <w:footnoteReference w:id="3094"/>
      </w:r>
      <w:r>
        <w:rPr>
          <w:rFonts w:ascii="IRNazanin" w:hAnsi="IRNazanin" w:eastAsia="IRNazanin" w:cs="IRNazanin"/>
          <w:lang w:bidi="fa-IR"/>
          <w:color w:val="111111"/>
          <w:sz w:val="28"/>
          <w:szCs w:val="28"/>
          <w:rtl/>
        </w:rPr>
        <w:t xml:space="preserve">:من توهّم أنّ المکره لا قصد له إلی مدلول اللفظ أصلاً،و أنّه قاصد نفس اللفظ الذی هو بمعنی الصوت-کما صرّح به بعض </w:t>
      </w:r>
      <w:r>
        <w:rPr>
          <w:rStyle w:val="FootnoteReference"/>
        </w:rPr>
        <w:footnoteReference w:id="3095"/>
      </w:r>
      <w:r>
        <w:rPr>
          <w:rFonts w:ascii="IRNazanin" w:hAnsi="IRNazanin" w:eastAsia="IRNazanin" w:cs="IRNazanin"/>
          <w:lang w:bidi="fa-IR"/>
          <w:color w:val="111111"/>
          <w:sz w:val="28"/>
          <w:szCs w:val="28"/>
          <w:rtl/>
        </w:rPr>
        <w:t xml:space="preserve">-صحّ أنّه لا یجدی تعقّب الرضا،إذ لا عقد حینئذٍ، لکن عرفت سابقاً أنّه خلاف المقطوع من النصوص و الفتاوی،فراجع </w:t>
      </w:r>
      <w:r>
        <w:rPr>
          <w:rStyle w:val="FootnoteReference"/>
        </w:rPr>
        <w:footnoteReference w:id="30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فظهر ممّا ذکرنا ضعف وجه التأمّل فی المسألة-کما عن الکفایة </w:t>
      </w:r>
      <w:r>
        <w:rPr>
          <w:rStyle w:val="FootnoteReference"/>
        </w:rPr>
        <w:footnoteReference w:id="3097"/>
      </w:r>
      <w:r>
        <w:rPr>
          <w:rFonts w:ascii="Amiri" w:hAnsi="Amiri" w:eastAsia="Amiri" w:cs="Amiri"/>
          <w:lang w:bidi="ar-SA"/>
          <w:color w:val="111111"/>
          <w:sz w:val="28"/>
          <w:szCs w:val="28"/>
          <w:rtl/>
        </w:rPr>
        <w:t xml:space="preserve">و مجمع الفائدة </w:t>
      </w:r>
      <w:r>
        <w:rPr>
          <w:rStyle w:val="FootnoteReference"/>
        </w:rPr>
        <w:footnoteReference w:id="3098"/>
      </w:r>
      <w:r>
        <w:rPr>
          <w:rFonts w:ascii="IRNazanin" w:hAnsi="IRNazanin" w:eastAsia="IRNazanin" w:cs="IRNazanin"/>
          <w:lang w:bidi="fa-IR"/>
          <w:color w:val="111111"/>
          <w:sz w:val="28"/>
          <w:szCs w:val="28"/>
          <w:rtl/>
        </w:rPr>
        <w:t xml:space="preserve">تبعاً للمحقّق الثانی فی جامع المقاصد </w:t>
      </w:r>
      <w:r>
        <w:rPr>
          <w:rStyle w:val="FootnoteReference"/>
        </w:rPr>
        <w:footnoteReference w:id="3099"/>
      </w:r>
      <w:r>
        <w:rPr>
          <w:rFonts w:ascii="IRNazanin" w:hAnsi="IRNazanin" w:eastAsia="IRNazanin" w:cs="IRNazanin"/>
          <w:lang w:bidi="fa-IR"/>
          <w:color w:val="111111"/>
          <w:sz w:val="28"/>
          <w:szCs w:val="28"/>
          <w:rtl/>
        </w:rPr>
        <w:t xml:space="preserve">-.و إن انتصر لهم بعض مَن تأخّر عنهم </w:t>
      </w:r>
      <w:r>
        <w:rPr>
          <w:rStyle w:val="FootnoteReference"/>
        </w:rPr>
        <w:footnoteReference w:id="3100"/>
      </w:r>
      <w:r>
        <w:rPr>
          <w:rFonts w:ascii="Amiri" w:hAnsi="Amiri" w:eastAsia="Amiri" w:cs="Amiri"/>
          <w:lang w:bidi="ar-SA"/>
          <w:color w:val="111111"/>
          <w:sz w:val="28"/>
          <w:szCs w:val="28"/>
          <w:rtl/>
        </w:rPr>
        <w:t xml:space="preserve">بقوله تعالی: إِلاّٰ أَنْ تَکُونَ تِجٰارَةً عَنْ تَرٰاضٍ </w:t>
      </w:r>
      <w:r>
        <w:rPr>
          <w:rStyle w:val="FootnoteReference"/>
        </w:rPr>
        <w:footnoteReference w:id="3101"/>
      </w:r>
      <w:r>
        <w:rPr>
          <w:rFonts w:ascii="IRNazanin" w:hAnsi="IRNazanin" w:eastAsia="IRNazanin" w:cs="IRNazanin"/>
          <w:lang w:bidi="fa-IR"/>
          <w:color w:val="111111"/>
          <w:sz w:val="28"/>
          <w:szCs w:val="28"/>
          <w:rtl/>
        </w:rPr>
        <w:t xml:space="preserve">الدالّ علی اعتبار کون العقد عن التراضی مضافاً إلی النبویّ</w:t>
      </w:r>
    </w:p>
    <w:p>
      <w:pPr>
        <w:pStyle w:val="BookText"/>
      </w:pPr>
      <w:r>
        <w:rPr>
          <w:rFonts w:ascii="IRNazanin" w:hAnsi="IRNazanin" w:eastAsia="IRNazanin" w:cs="IRNazanin"/>
          <w:lang w:bidi="fa-IR"/>
          <w:color w:val="111111"/>
          <w:sz w:val="28"/>
          <w:szCs w:val="28"/>
          <w:rtl/>
        </w:rPr>
        <w:t xml:space="preserve">[شماره صفحه واقعی : 330]
</w:t>
      </w:r>
    </w:p>
    <w:p>
      <w:pPr>
        <w:sectPr>
          <w:footerReference w:type="default" r:id="rId10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المشهور الدالّ علی رفع حکم الإکراه </w:t>
      </w:r>
      <w:r>
        <w:rPr>
          <w:rStyle w:val="FootnoteReference"/>
        </w:rPr>
        <w:footnoteReference w:id="3102"/>
      </w:r>
      <w:r>
        <w:rPr>
          <w:rFonts w:ascii="IRNazanin" w:hAnsi="IRNazanin" w:eastAsia="IRNazanin" w:cs="IRNazanin"/>
          <w:lang w:bidi="fa-IR"/>
          <w:color w:val="111111"/>
          <w:sz w:val="28"/>
          <w:szCs w:val="28"/>
          <w:rtl/>
        </w:rPr>
        <w:t xml:space="preserve">،مؤیّداً بالنقض بالهازل،مع أنّهم لم یقولوا بصحّته بعد لحوق الرضا.</w:t>
      </w:r>
    </w:p>
    <w:p>
      <w:pPr>
        <w:pStyle w:val="BookText"/>
      </w:pPr>
      <w:r>
        <w:rPr>
          <w:rFonts w:ascii="Amiri" w:hAnsi="Amiri" w:eastAsia="Amiri" w:cs="Amiri"/>
          <w:lang w:bidi="ar-SA"/>
          <w:color w:val="111111"/>
          <w:sz w:val="28"/>
          <w:szCs w:val="28"/>
          <w:rtl/>
        </w:rPr>
        <w:t xml:space="preserve">و الکلّ کما تری؛لأنّ دلالة الآیة علی اعتبار وقوع العقد عن التراضی إمّا بمفهوم الحصر و إمّا بمفهوم الوصف،و لا حصر کما لا یخفی؛ لأنّ الاستثناء منقطع غیر مفرّغ،و مفهوم الوصف-علی القول به-مقیّد بعدم ورود الوصف مورد الغالب کما فی رَبٰائِبُکُمُ اللاّٰتِی فِی حُجُورِکُمْ </w:t>
      </w:r>
      <w:r>
        <w:rPr>
          <w:rStyle w:val="FootnoteReference"/>
        </w:rPr>
        <w:footnoteReference w:id="3103"/>
      </w:r>
      <w:r>
        <w:rPr>
          <w:rFonts w:ascii="IRNazanin" w:hAnsi="IRNazanin" w:eastAsia="IRNazanin" w:cs="IRNazanin"/>
          <w:lang w:bidi="fa-IR"/>
          <w:color w:val="111111"/>
          <w:sz w:val="28"/>
          <w:szCs w:val="28"/>
          <w:rtl/>
        </w:rPr>
        <w:t xml:space="preserve">،و دعوی وقوعه هنا مقام الاحتراز ممنوعة،و سیجیء زیادة توضیح لعدم دلالة الآیة علی اعتبار سبق التراضی فی بیع الفضولی </w:t>
      </w:r>
      <w:r>
        <w:rPr>
          <w:rStyle w:val="FootnoteReference"/>
        </w:rPr>
        <w:footnoteReference w:id="31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حدیث الرفع،ففیه:</w:t>
      </w:r>
    </w:p>
    <w:p>
      <w:pPr>
        <w:pStyle w:val="BookText"/>
      </w:pPr>
      <w:r>
        <w:rPr>
          <w:rFonts w:ascii="IRNazanin" w:hAnsi="IRNazanin" w:eastAsia="IRNazanin" w:cs="IRNazanin"/>
          <w:lang w:bidi="fa-IR"/>
          <w:color w:val="111111"/>
          <w:sz w:val="28"/>
          <w:szCs w:val="28"/>
          <w:rtl/>
        </w:rPr>
        <w:t xml:space="preserve">أوّلاً: أنّ المرفوع فیه هی المؤاخذة و الأحکام المتضمّنة لمؤاخذة المکره و إلزامه بشیء،و الحکم بوقوف عقده علی رضاه راجع إلی أنّ له أن یرضی بذلک،و هذا حقّ له لا علیه.</w:t>
      </w:r>
    </w:p>
    <w:p>
      <w:pPr>
        <w:pStyle w:val="BookText"/>
      </w:pPr>
      <w:r>
        <w:rPr>
          <w:rFonts w:ascii="IRNazanin" w:hAnsi="IRNazanin" w:eastAsia="IRNazanin" w:cs="IRNazanin"/>
          <w:lang w:bidi="fa-IR"/>
          <w:color w:val="111111"/>
          <w:sz w:val="28"/>
          <w:szCs w:val="28"/>
          <w:rtl/>
        </w:rPr>
        <w:t xml:space="preserve">نعم،قد یلزم الطرف الآخر بعدم الفسخ حتّی یرضی المکرَه أو یفسخ،و هذا إلزامٌ لغیره،و الحدیث لا یرفع المؤاخذة و الإلزام عن غیر المکرَه کما تقدّم </w:t>
      </w:r>
      <w:r>
        <w:rPr>
          <w:rStyle w:val="FootnoteReference"/>
        </w:rPr>
        <w:footnoteReference w:id="3105"/>
      </w:r>
      <w:r>
        <w:rPr>
          <w:rFonts w:ascii="IRNazanin" w:hAnsi="IRNazanin" w:eastAsia="IRNazanin" w:cs="IRNazanin"/>
          <w:lang w:bidi="fa-IR"/>
          <w:color w:val="111111"/>
          <w:sz w:val="28"/>
          <w:szCs w:val="28"/>
          <w:rtl/>
        </w:rPr>
        <w:t xml:space="preserve">،و أمّا إلزامه بعد طول المدّة باختیار البیع أو فسخه، فهو من توابع الحقّ الثابت له بالإکراه،لا من أحکام الفعل المتحقّق</w:t>
      </w:r>
    </w:p>
    <w:p>
      <w:pPr>
        <w:pStyle w:val="BookText"/>
      </w:pPr>
      <w:r>
        <w:rPr>
          <w:rFonts w:ascii="IRNazanin" w:hAnsi="IRNazanin" w:eastAsia="IRNazanin" w:cs="IRNazanin"/>
          <w:lang w:bidi="fa-IR"/>
          <w:color w:val="111111"/>
          <w:sz w:val="28"/>
          <w:szCs w:val="28"/>
          <w:rtl/>
        </w:rPr>
        <w:t xml:space="preserve">[شماره صفحه واقعی : 331]
</w:t>
      </w:r>
    </w:p>
    <w:p>
      <w:pPr>
        <w:sectPr>
          <w:footerReference w:type="default" r:id="rId10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وجه الإکراه.</w:t>
      </w:r>
    </w:p>
    <w:p>
      <w:pPr>
        <w:pStyle w:val="BookText"/>
      </w:pPr>
      <w:r>
        <w:rPr>
          <w:rFonts w:ascii="IRNazanin" w:hAnsi="IRNazanin" w:eastAsia="IRNazanin" w:cs="IRNazanin"/>
          <w:lang w:bidi="fa-IR"/>
          <w:color w:val="111111"/>
          <w:sz w:val="28"/>
          <w:szCs w:val="28"/>
          <w:rtl/>
        </w:rPr>
        <w:t xml:space="preserve">ثمّ إنّ ما ذکرنا واضح علی القول بکون الرضا ناقلاً،و کذلک علی القول بالکشف بعد التأمّل.</w:t>
      </w:r>
    </w:p>
    <w:p>
      <w:pPr>
        <w:pStyle w:val="BookText"/>
      </w:pPr>
      <w:r>
        <w:rPr>
          <w:rFonts w:ascii="IRNazanin" w:hAnsi="IRNazanin" w:eastAsia="IRNazanin" w:cs="IRNazanin"/>
          <w:lang w:bidi="fa-IR"/>
          <w:color w:val="111111"/>
          <w:sz w:val="28"/>
          <w:szCs w:val="28"/>
          <w:rtl/>
        </w:rPr>
        <w:t xml:space="preserve">[*ستوده]</w:t>
      </w:r>
    </w:p>
    <w:p>
      <w:pPr>
        <w:pStyle w:val="BookText"/>
      </w:pPr>
      <w:r>
        <w:rPr>
          <w:rFonts w:ascii="IRNazanin" w:hAnsi="IRNazanin" w:eastAsia="IRNazanin" w:cs="IRNazanin"/>
          <w:lang w:bidi="fa-IR"/>
          <w:color w:val="111111"/>
          <w:sz w:val="28"/>
          <w:szCs w:val="28"/>
          <w:rtl/>
        </w:rPr>
        <w:t xml:space="preserve">و ثانیاً: أنّه یدلّ علی أنّ الحکم الثابت للفعل المُکرَه علیه لو لا الإکراه یرتفع عنه إذا وقع مکرهاً علیه-کما هو معنی رفع الخطأ و النسیان أیضاً-و هذا المعنی موجود فیما نحن فیه؛لأنّ أثر </w:t>
      </w:r>
      <w:r>
        <w:rPr>
          <w:rStyle w:val="FootnoteReference"/>
        </w:rPr>
        <w:footnoteReference w:id="3106"/>
      </w:r>
      <w:r>
        <w:rPr>
          <w:rFonts w:ascii="IRNazanin" w:hAnsi="IRNazanin" w:eastAsia="IRNazanin" w:cs="IRNazanin"/>
          <w:lang w:bidi="fa-IR"/>
          <w:color w:val="111111"/>
          <w:sz w:val="28"/>
          <w:szCs w:val="28"/>
          <w:rtl/>
        </w:rPr>
        <w:t xml:space="preserve">العقد الصادر من المالک مع قطع النظر عن اعتبار عدم </w:t>
      </w:r>
      <w:r>
        <w:rPr>
          <w:rStyle w:val="FootnoteReference"/>
        </w:rPr>
        <w:footnoteReference w:id="3107"/>
      </w:r>
      <w:r>
        <w:rPr>
          <w:rFonts w:ascii="IRNazanin" w:hAnsi="IRNazanin" w:eastAsia="IRNazanin" w:cs="IRNazanin"/>
          <w:lang w:bidi="fa-IR"/>
          <w:color w:val="111111"/>
          <w:sz w:val="28"/>
          <w:szCs w:val="28"/>
          <w:rtl/>
        </w:rPr>
        <w:t xml:space="preserve">الإکراه،السببیّة المستقلّة </w:t>
      </w:r>
      <w:r>
        <w:rPr>
          <w:rStyle w:val="FootnoteReference"/>
        </w:rPr>
        <w:footnoteReference w:id="3108"/>
      </w:r>
      <w:r>
        <w:rPr>
          <w:rFonts w:ascii="IRNazanin" w:hAnsi="IRNazanin" w:eastAsia="IRNazanin" w:cs="IRNazanin"/>
          <w:lang w:bidi="fa-IR"/>
          <w:color w:val="111111"/>
          <w:sz w:val="28"/>
          <w:szCs w:val="28"/>
          <w:rtl/>
        </w:rPr>
        <w:t xml:space="preserve">لنقل المال،و من المعلوم انتفاء هذا الأثر بسبب الإکراه،و هذا الأثر الناقص المترتّب علیه مع الإکراه حیث إنّه جزء العلّة التامّة للملکیّة،لم یکن ثابتاً للفعل مع قطع النظر عن الإکراه لیرتفع به؛إذ المفروض أنّ الجزئیة ثابتة له بوصف الإکراه،فکیف یعقل ارتفاعه بالإکراه </w:t>
      </w:r>
      <w:r>
        <w:rPr>
          <w:rStyle w:val="FootnoteReference"/>
        </w:rPr>
        <w:footnoteReference w:id="3109"/>
      </w:r>
      <w:r>
        <w:rPr>
          <w:rFonts w:ascii="IRNazanin" w:hAnsi="IRNazanin" w:eastAsia="IRNazanin" w:cs="IRNazanin"/>
          <w:lang w:bidi="fa-IR"/>
          <w:color w:val="111111"/>
          <w:sz w:val="28"/>
          <w:szCs w:val="28"/>
          <w:rtl/>
        </w:rPr>
        <w:t xml:space="preserve">؟ و بعبارةٍ اخری:اللزوم الثابت للعقد مع قطع النظر عن اعتبار </w:t>
      </w:r>
      <w:r>
        <w:rPr>
          <w:rStyle w:val="FootnoteReference"/>
        </w:rPr>
        <w:footnoteReference w:id="3110"/>
      </w:r>
      <w:r>
        <w:rPr>
          <w:rFonts w:ascii="IRNazanin" w:hAnsi="IRNazanin" w:eastAsia="IRNazanin" w:cs="IRNazanin"/>
          <w:lang w:bidi="fa-IR"/>
          <w:color w:val="111111"/>
          <w:sz w:val="28"/>
          <w:szCs w:val="28"/>
          <w:rtl/>
        </w:rPr>
        <w:t xml:space="preserve">عدم </w:t>
      </w:r>
      <w:r>
        <w:rPr>
          <w:rStyle w:val="FootnoteReference"/>
        </w:rPr>
        <w:footnoteReference w:id="3111"/>
      </w:r>
      <w:r>
        <w:rPr>
          <w:rFonts w:ascii="IRNazanin" w:hAnsi="IRNazanin" w:eastAsia="IRNazanin" w:cs="IRNazanin"/>
          <w:lang w:bidi="fa-IR"/>
          <w:color w:val="111111"/>
          <w:sz w:val="28"/>
          <w:szCs w:val="28"/>
          <w:rtl/>
        </w:rPr>
        <w:t xml:space="preserve">الإکراه هو اللزوم المنفیّ بهذا الحدیث،و المدّعی ثبوته للعقد بوصف الإکراه هو وقوفه علی رضا المالک،و هذا غیر مرتفع</w:t>
      </w:r>
    </w:p>
    <w:p>
      <w:pPr>
        <w:pStyle w:val="BookText"/>
      </w:pPr>
      <w:r>
        <w:rPr>
          <w:rFonts w:ascii="IRNazanin" w:hAnsi="IRNazanin" w:eastAsia="IRNazanin" w:cs="IRNazanin"/>
          <w:lang w:bidi="fa-IR"/>
          <w:color w:val="111111"/>
          <w:sz w:val="28"/>
          <w:szCs w:val="28"/>
          <w:rtl/>
        </w:rPr>
        <w:t xml:space="preserve">[شماره صفحه واقعی : 332]
</w:t>
      </w:r>
    </w:p>
    <w:p>
      <w:pPr>
        <w:sectPr>
          <w:footerReference w:type="default" r:id="rId10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بالإکراه </w:t>
      </w:r>
      <w:r>
        <w:rPr>
          <w:rStyle w:val="FootnoteReference"/>
        </w:rPr>
        <w:footnoteReference w:id="31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لکن یرد علی هذا:أنّ مقتضی حکومة الحدیث علی الإطلاقات هو تقیّدها بالمسبوقیة بطیب النفس،فلا یجوز الاستناد إلیها لصحّة بیع المکرَه و وقوفه علی الرضا اللاحق،فلا یبقی دلیل علی صحّة بیع المُکرَه، فیرجع إلی أصالة الفساد.</w:t>
      </w:r>
    </w:p>
    <w:p>
      <w:pPr>
        <w:pStyle w:val="BookText"/>
      </w:pPr>
      <w:r>
        <w:rPr>
          <w:rFonts w:ascii="Amiri" w:hAnsi="Amiri" w:eastAsia="Amiri" w:cs="Amiri"/>
          <w:lang w:bidi="ar-SA"/>
          <w:color w:val="111111"/>
          <w:sz w:val="28"/>
          <w:szCs w:val="28"/>
          <w:rtl/>
        </w:rPr>
        <w:t xml:space="preserve">و بعبارةٍ اخری:أدلّة صحّة البیع تدلّ </w:t>
      </w:r>
      <w:r>
        <w:rPr>
          <w:rStyle w:val="FootnoteReference"/>
        </w:rPr>
        <w:footnoteReference w:id="3113"/>
      </w:r>
      <w:r>
        <w:rPr>
          <w:rFonts w:ascii="Amiri" w:hAnsi="Amiri" w:eastAsia="Amiri" w:cs="Amiri"/>
          <w:lang w:bidi="ar-SA"/>
          <w:color w:val="111111"/>
          <w:sz w:val="28"/>
          <w:szCs w:val="28"/>
          <w:rtl/>
        </w:rPr>
        <w:t xml:space="preserve">علی سببیّة مستقلّة </w:t>
      </w:r>
      <w:r>
        <w:rPr>
          <w:rStyle w:val="FootnoteReference"/>
        </w:rPr>
        <w:footnoteReference w:id="3114"/>
      </w:r>
      <w:r>
        <w:rPr>
          <w:rFonts w:ascii="IRNazanin" w:hAnsi="IRNazanin" w:eastAsia="IRNazanin" w:cs="IRNazanin"/>
          <w:lang w:bidi="fa-IR"/>
          <w:color w:val="111111"/>
          <w:sz w:val="28"/>
          <w:szCs w:val="28"/>
          <w:rtl/>
        </w:rPr>
        <w:t xml:space="preserve">،فإذا قیّدت بغیر المُکرَه لم یبقَ لها دلالة علی حکم المُکرَه،بل لو کان هنا ما یدلّ علی صحّة البیع بالمعنی الأعمّ من السببیة المستقلّة کان دلیل الإکراه حاکماً علیه مقیِّداً له فلا ینفع </w:t>
      </w:r>
      <w:r>
        <w:rPr>
          <w:rStyle w:val="FootnoteReference"/>
        </w:rPr>
        <w:footnoteReference w:id="31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اللّهم إلّا أن یقال:إنّ الإطلاقات المفیدة </w:t>
      </w:r>
      <w:r>
        <w:rPr>
          <w:rStyle w:val="FootnoteReference"/>
        </w:rPr>
        <w:footnoteReference w:id="3116"/>
      </w:r>
      <w:r>
        <w:rPr>
          <w:rFonts w:ascii="Amiri" w:hAnsi="Amiri" w:eastAsia="Amiri" w:cs="Amiri"/>
          <w:lang w:bidi="ar-SA"/>
          <w:color w:val="111111"/>
          <w:sz w:val="28"/>
          <w:szCs w:val="28"/>
          <w:rtl/>
        </w:rPr>
        <w:t xml:space="preserve">للسببیّة المستقلّة </w:t>
      </w:r>
      <w:r>
        <w:rPr>
          <w:rStyle w:val="FootnoteReference"/>
        </w:rPr>
        <w:footnoteReference w:id="3117"/>
      </w:r>
      <w:r>
        <w:rPr>
          <w:rFonts w:ascii="IRNazanin" w:hAnsi="IRNazanin" w:eastAsia="IRNazanin" w:cs="IRNazanin"/>
          <w:lang w:bidi="fa-IR"/>
          <w:color w:val="111111"/>
          <w:sz w:val="28"/>
          <w:szCs w:val="28"/>
          <w:rtl/>
        </w:rPr>
        <w:t xml:space="preserve">مقیّدةٌ بحکم الأدلّة الأربعة-المقتضیة لحرمة أکل المال بالباطل و مع عدم طیب النفس-بالبیع المرضیّ به،سَبَقه الرضا أو لحقَه،و مع ذلک فلا حکومة للحدیث علیها؛إذ البیع المرضیّ به سابقاً لا یعقل عروض الإکراه له.</w:t>
      </w:r>
    </w:p>
    <w:p>
      <w:pPr>
        <w:pStyle w:val="BookText"/>
      </w:pPr>
      <w:r>
        <w:rPr>
          <w:rFonts w:ascii="IRNazanin" w:hAnsi="IRNazanin" w:eastAsia="IRNazanin" w:cs="IRNazanin"/>
          <w:lang w:bidi="fa-IR"/>
          <w:color w:val="111111"/>
          <w:sz w:val="28"/>
          <w:szCs w:val="28"/>
          <w:rtl/>
        </w:rPr>
        <w:t xml:space="preserve">[شماره صفحه واقعی : 333]
</w:t>
      </w:r>
    </w:p>
    <w:p>
      <w:pPr>
        <w:sectPr>
          <w:footerReference w:type="default" r:id="rId10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المرضیّ به بالرضا اللاحق،فإنّما یعرضه الإکراه من حیث ذات الموصوف،و هو أصل البیع </w:t>
      </w:r>
      <w:r>
        <w:rPr>
          <w:rStyle w:val="FootnoteReference"/>
        </w:rPr>
        <w:footnoteReference w:id="3118"/>
      </w:r>
      <w:r>
        <w:rPr>
          <w:rFonts w:ascii="IRNazanin" w:hAnsi="IRNazanin" w:eastAsia="IRNazanin" w:cs="IRNazanin"/>
          <w:lang w:bidi="fa-IR"/>
          <w:color w:val="111111"/>
          <w:sz w:val="28"/>
          <w:szCs w:val="28"/>
          <w:rtl/>
        </w:rPr>
        <w:t xml:space="preserve">،و لا نقول بتأثیره،بل مقتضی الأدلّة الأربعة مدخلیّة الرضا </w:t>
      </w:r>
      <w:r>
        <w:rPr>
          <w:rStyle w:val="FootnoteReference"/>
        </w:rPr>
        <w:footnoteReference w:id="3119"/>
      </w:r>
      <w:r>
        <w:rPr>
          <w:rFonts w:ascii="IRNazanin" w:hAnsi="IRNazanin" w:eastAsia="IRNazanin" w:cs="IRNazanin"/>
          <w:lang w:bidi="fa-IR"/>
          <w:color w:val="111111"/>
          <w:sz w:val="28"/>
          <w:szCs w:val="28"/>
          <w:rtl/>
        </w:rPr>
        <w:t xml:space="preserve">فی تأثیره و وجوب الوفاء به.</w:t>
      </w:r>
    </w:p>
    <w:p>
      <w:pPr>
        <w:pStyle w:val="BookText"/>
      </w:pPr>
      <w:r>
        <w:rPr>
          <w:rFonts w:ascii="IRNazanin" w:hAnsi="IRNazanin" w:eastAsia="IRNazanin" w:cs="IRNazanin"/>
          <w:lang w:bidi="fa-IR"/>
          <w:color w:val="111111"/>
          <w:sz w:val="28"/>
          <w:szCs w:val="28"/>
          <w:rtl/>
        </w:rPr>
        <w:t xml:space="preserve">فالإطلاقات بعد التقیید تثبت التأثیر التامّ لمجموع العقد المکره علیه و الرضا به لاحقاً،و لازمه بحکم العقل کون العقد المُکرَه علیه </w:t>
      </w:r>
      <w:r>
        <w:rPr>
          <w:rStyle w:val="FootnoteReference"/>
        </w:rPr>
        <w:footnoteReference w:id="3120"/>
      </w:r>
      <w:r>
        <w:rPr>
          <w:rFonts w:ascii="IRNazanin" w:hAnsi="IRNazanin" w:eastAsia="IRNazanin" w:cs="IRNazanin"/>
          <w:lang w:bidi="fa-IR"/>
          <w:color w:val="111111"/>
          <w:sz w:val="28"/>
          <w:szCs w:val="28"/>
          <w:rtl/>
        </w:rPr>
        <w:t xml:space="preserve">بعض المؤثّر التام،و هذا أمر عقلی غیر مجعول </w:t>
      </w:r>
      <w:r>
        <w:rPr>
          <w:rStyle w:val="FootnoteReference"/>
        </w:rPr>
        <w:footnoteReference w:id="3121"/>
      </w:r>
      <w:r>
        <w:rPr>
          <w:rFonts w:ascii="IRNazanin" w:hAnsi="IRNazanin" w:eastAsia="IRNazanin" w:cs="IRNazanin"/>
          <w:lang w:bidi="fa-IR"/>
          <w:color w:val="111111"/>
          <w:sz w:val="28"/>
          <w:szCs w:val="28"/>
          <w:rtl/>
        </w:rPr>
        <w:t xml:space="preserve">لا یرتفع بالإکراه؛لأنّ الإکراه مأخوذ فیه بالفرض،إلّا أن یقال:إنّ أدلّة الإکراه کما ترفع السببیّة المستقلّة التی أفادتها الإطلاقات قبل التقیید،ترفع مطلق الأثر عن العقد المُکرَه علیه؛لأنّ التأثیر الناقص أیضاً استفید من الإطلاقات بعد تقییدها بالرضا الأعمّ من اللاحق </w:t>
      </w:r>
      <w:r>
        <w:rPr>
          <w:rStyle w:val="FootnoteReference"/>
        </w:rPr>
        <w:footnoteReference w:id="3122"/>
      </w:r>
      <w:r>
        <w:rPr>
          <w:rFonts w:ascii="IRNazanin" w:hAnsi="IRNazanin" w:eastAsia="IRNazanin" w:cs="IRNazanin"/>
          <w:lang w:bidi="fa-IR"/>
          <w:color w:val="111111"/>
          <w:sz w:val="28"/>
          <w:szCs w:val="28"/>
          <w:rtl/>
        </w:rPr>
        <w:t xml:space="preserve">،و هذا لا یفرق فیه أیضاً بین جعل الرضا ناقلاً أو کاشفاً؛إذ علی الأوّل یکون تمام المؤثّر نفسه، و علی الثانی یکون الأمر المنتزع منه العارض للعقد و هو تعقّبه للرضا.</w:t>
      </w:r>
    </w:p>
    <w:p>
      <w:pPr>
        <w:pStyle w:val="BookText"/>
      </w:pPr>
      <w:r>
        <w:rPr>
          <w:rFonts w:ascii="IRNazanin" w:hAnsi="IRNazanin" w:eastAsia="IRNazanin" w:cs="IRNazanin"/>
          <w:lang w:bidi="fa-IR"/>
          <w:color w:val="111111"/>
          <w:sz w:val="28"/>
          <w:szCs w:val="28"/>
          <w:rtl/>
        </w:rPr>
        <w:t xml:space="preserve">[شماره صفحه واقعی : 334]
</w:t>
      </w:r>
    </w:p>
    <w:p>
      <w:pPr>
        <w:sectPr>
          <w:footerReference w:type="default" r:id="rId1013"/>
          <w:footnotePr>
            <w:numStart w:val="1"/>
            <w:numRestart w:val="eachPage"/>
          </w:footnotePr>
          <w:pgSz w:orient="portrait" w:w="11905.511811023622" w:h="16837.79527559055"/>
          <w:pgMar w:top="1440" w:right="1440" w:bottom="1440" w:left="1440" w:header="720" w:footer="720" w:gutter="0"/>
          <w:cols w:num="1" w:space="720"/>
        </w:sectPr>
      </w:pPr>
    </w:p>
    <w:bookmarkStart w:id="619" w:name="pg14411_143395"/>
    <w:bookmarkEnd w:id="619"/>
    <w:p>
      <w:pPr>
        <w:pStyle w:val="BookText"/>
      </w:pPr>
      <w:r>
        <w:rPr>
          <w:rFonts w:ascii="IRNazanin" w:hAnsi="IRNazanin" w:eastAsia="IRNazanin" w:cs="IRNazanin"/>
          <w:lang w:bidi="fa-IR"/>
          <w:color w:val="111111"/>
          <w:sz w:val="28"/>
          <w:szCs w:val="28"/>
          <w:rtl/>
        </w:rPr>
        <w:t xml:space="preserve">و کیف کان،فذات العقد المکره علیه مع قطع النظر عن الرضا أو تعقّبه له لا یترتّب علیه إلّا کونه جزء المؤثّر التامّ،و هذا أمرٌ عقلیّ قهری یحصل له بعد حکم الشارع بکون المؤثّر التام هو المجموع منه و من الرضا أو وصف تعقّبه له،فتأمّل.</w:t>
      </w:r>
    </w:p>
    <w:p>
      <w:pPr>
        <w:pStyle w:val="Heading6"/>
      </w:pPr>
      <w:bookmarkStart w:id="2235" w:name="_Toc1270"/>
      <w:r>
        <w:t>بقی الکلام فی أنّ الرضا المتأخّر ناقلٌ أو کاشف؟</w:t>
      </w:r>
      <w:bookmarkEnd w:id="2235"/>
    </w:p>
    <w:p>
      <w:pPr>
        <w:pStyle w:val="BookText"/>
      </w:pPr>
      <w:r>
        <w:rPr>
          <w:rFonts w:ascii="IRNazanin" w:hAnsi="IRNazanin" w:eastAsia="IRNazanin" w:cs="IRNazanin"/>
          <w:lang w:bidi="fa-IR"/>
          <w:color w:val="111111"/>
          <w:sz w:val="28"/>
          <w:szCs w:val="28"/>
          <w:rtl/>
        </w:rPr>
        <w:t xml:space="preserve">مقتضی الأصل و عدم حدوث حِلّ مال الغیر إلّا عن طیب نفسه هو الأوّل،إلّا أنّ الأقوی بحسب الأدلّة النقلیّة هو الثانی،کما سیجیء فی مسألة الفضولی </w:t>
      </w:r>
      <w:r>
        <w:rPr>
          <w:rStyle w:val="FootnoteReference"/>
        </w:rPr>
        <w:footnoteReference w:id="31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ربما یدّعی </w:t>
      </w:r>
      <w:r>
        <w:rPr>
          <w:rStyle w:val="FootnoteReference"/>
        </w:rPr>
        <w:footnoteReference w:id="3124"/>
      </w:r>
      <w:r>
        <w:rPr>
          <w:rFonts w:ascii="IRNazanin" w:hAnsi="IRNazanin" w:eastAsia="IRNazanin" w:cs="IRNazanin"/>
          <w:lang w:bidi="fa-IR"/>
          <w:color w:val="111111"/>
          <w:sz w:val="28"/>
          <w:szCs w:val="28"/>
          <w:rtl/>
        </w:rPr>
        <w:t xml:space="preserve">:أنّ مقتضی الأصل هنا و فی الفضولی هو </w:t>
      </w:r>
      <w:r>
        <w:rPr>
          <w:rStyle w:val="FootnoteReference"/>
        </w:rPr>
        <w:footnoteReference w:id="3125"/>
      </w:r>
      <w:r>
        <w:rPr>
          <w:rFonts w:ascii="IRNazanin" w:hAnsi="IRNazanin" w:eastAsia="IRNazanin" w:cs="IRNazanin"/>
          <w:lang w:bidi="fa-IR"/>
          <w:color w:val="111111"/>
          <w:sz w:val="28"/>
          <w:szCs w:val="28"/>
          <w:rtl/>
        </w:rPr>
        <w:t xml:space="preserve">الکشف؛ لأنّ مقتضی الرضا بالعقد السابق هو الرضا بما أفاده من نقل الملک حین صدوره،فإمضاء الشارع للرضا بهذا المعنی-و هو النقل من حین العقد-و ترتّب الآثار علیه لا یکون إلّا بالحکم بحصول الملک فی زمان النقل.</w:t>
      </w:r>
    </w:p>
    <w:p>
      <w:pPr>
        <w:pStyle w:val="BookText"/>
      </w:pPr>
      <w:r>
        <w:rPr>
          <w:rFonts w:ascii="IRNazanin" w:hAnsi="IRNazanin" w:eastAsia="IRNazanin" w:cs="IRNazanin"/>
          <w:lang w:bidi="fa-IR"/>
          <w:color w:val="111111"/>
          <w:sz w:val="28"/>
          <w:szCs w:val="28"/>
          <w:rtl/>
        </w:rPr>
        <w:t xml:space="preserve">[*ستوده]</w:t>
      </w:r>
    </w:p>
    <w:p>
      <w:pPr>
        <w:pStyle w:val="BookText"/>
      </w:pPr>
      <w:r>
        <w:rPr>
          <w:rFonts w:ascii="IRNazanin" w:hAnsi="IRNazanin" w:eastAsia="IRNazanin" w:cs="IRNazanin"/>
          <w:lang w:bidi="fa-IR"/>
          <w:color w:val="111111"/>
          <w:sz w:val="28"/>
          <w:szCs w:val="28"/>
          <w:rtl/>
        </w:rPr>
        <w:t xml:space="preserve">و فیه:أنّ مفاد العقد السابق لیس النقل من حینه،بل نفس النقل،إلّا أنّ إنشاءَه لما کان فی زمان التکلّم،فإن کان ذلک الإنشاء مؤثّراً فی نظر الشارع فی زمان التکلّم حدث الأثر فیه،و إن کان مؤثّراً بعد حصول أمرٍ حدث الأثر بعده.</w:t>
      </w:r>
    </w:p>
    <w:p>
      <w:pPr>
        <w:pStyle w:val="BookText"/>
      </w:pPr>
      <w:r>
        <w:rPr>
          <w:rFonts w:ascii="IRNazanin" w:hAnsi="IRNazanin" w:eastAsia="IRNazanin" w:cs="IRNazanin"/>
          <w:lang w:bidi="fa-IR"/>
          <w:color w:val="111111"/>
          <w:sz w:val="28"/>
          <w:szCs w:val="28"/>
          <w:rtl/>
        </w:rPr>
        <w:t xml:space="preserve">[شماره صفحه واقعی : 335]
</w:t>
      </w:r>
    </w:p>
    <w:p>
      <w:pPr>
        <w:sectPr>
          <w:footerReference w:type="default" r:id="rId10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فحصول النقل فی نظر الشارع یتبع زمان حکمه الناشئ من اجتماع ما یعتبر فی الحکم؛و لذلک کان الحکم بتحقّق الملک بعد القبول أو بعد القبض فی الصرف و السلم و الهبة،أو بعد انقضاء زمان الخیار -علی مذهب الشیخ </w:t>
      </w:r>
      <w:r>
        <w:rPr>
          <w:rStyle w:val="FootnoteReference"/>
        </w:rPr>
        <w:footnoteReference w:id="3126"/>
      </w:r>
      <w:r>
        <w:rPr>
          <w:rFonts w:ascii="IRNazanin" w:hAnsi="IRNazanin" w:eastAsia="IRNazanin" w:cs="IRNazanin"/>
          <w:lang w:bidi="fa-IR"/>
          <w:color w:val="111111"/>
          <w:sz w:val="28"/>
          <w:szCs w:val="28"/>
          <w:rtl/>
        </w:rPr>
        <w:t xml:space="preserve">-غیر منافٍ لمقتضی الإیجاب،و لم یکن تبعیضاً فی مقتضاه بالنسبة إلی الأزمنة.</w:t>
      </w:r>
    </w:p>
    <w:p>
      <w:pPr>
        <w:pStyle w:val="BookText"/>
      </w:pPr>
      <w:r>
        <w:rPr>
          <w:rFonts w:ascii="IRNazanin" w:hAnsi="IRNazanin" w:eastAsia="IRNazanin" w:cs="IRNazanin"/>
          <w:lang w:bidi="fa-IR"/>
          <w:color w:val="111111"/>
          <w:sz w:val="28"/>
          <w:szCs w:val="28"/>
          <w:rtl/>
        </w:rPr>
        <w:t xml:space="preserve">فإن قلت:حکم الشارع بثبوت الملک و إن کان بعد الرضا، إلّا أنّ حکمه بذلک لمّا کان من جهة إمضائه للرضا بما وقع فکأنّه </w:t>
      </w:r>
      <w:r>
        <w:rPr>
          <w:rStyle w:val="FootnoteReference"/>
        </w:rPr>
        <w:footnoteReference w:id="3127"/>
      </w:r>
      <w:r>
        <w:rPr>
          <w:rFonts w:ascii="IRNazanin" w:hAnsi="IRNazanin" w:eastAsia="IRNazanin" w:cs="IRNazanin"/>
          <w:lang w:bidi="fa-IR"/>
          <w:color w:val="111111"/>
          <w:sz w:val="28"/>
          <w:szCs w:val="28"/>
          <w:rtl/>
        </w:rPr>
        <w:t xml:space="preserve">حکم بعد الرضا بثبوت الملک قبله.</w:t>
      </w:r>
    </w:p>
    <w:p>
      <w:pPr>
        <w:pStyle w:val="BookText"/>
      </w:pPr>
      <w:r>
        <w:rPr>
          <w:rFonts w:ascii="IRNazanin" w:hAnsi="IRNazanin" w:eastAsia="IRNazanin" w:cs="IRNazanin"/>
          <w:lang w:bidi="fa-IR"/>
          <w:color w:val="111111"/>
          <w:sz w:val="28"/>
          <w:szCs w:val="28"/>
          <w:rtl/>
        </w:rPr>
        <w:t xml:space="preserve">قلت:المراد هو الملک شرعاً،و لا معنی لتخلّف زمانه عن زمان الحکم الشرعی بالملک،و سیأتی توضیح ذلک فی بیع الفضولی إن شاء اللّه </w:t>
      </w:r>
      <w:r>
        <w:rPr>
          <w:rStyle w:val="FootnoteReference"/>
        </w:rPr>
        <w:footnoteReference w:id="31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إن شئت توضیح ما ذکرنا فلاحظ مقتضی فسخ العقد؛فإنّه و إن کان حَلاّ للعقد السابق و جعلَه کأن لم یکن،إلّا أنّه لا یرتفع به الملکیّة السابقة علی الفسخ؛لأنّ العبرة بزمان حدوثه لا بزمان متعلّقه.</w:t>
      </w:r>
    </w:p>
    <w:p>
      <w:pPr>
        <w:pStyle w:val="BookText"/>
      </w:pPr>
      <w:r>
        <w:rPr>
          <w:rFonts w:ascii="IRNazanin" w:hAnsi="IRNazanin" w:eastAsia="IRNazanin" w:cs="IRNazanin"/>
          <w:lang w:bidi="fa-IR"/>
          <w:color w:val="111111"/>
          <w:sz w:val="28"/>
          <w:szCs w:val="28"/>
          <w:rtl/>
        </w:rPr>
        <w:t xml:space="preserve">ثمّ علی القول بالکشف،هل للطرف الغیر المُکرَه أن یفسخ قبل رضا المُکرَه،أم لا؟یأتی بیانه فی الفضولی إن شاء اللّه </w:t>
      </w:r>
      <w:r>
        <w:rPr>
          <w:rStyle w:val="FootnoteReference"/>
        </w:rPr>
        <w:footnoteReference w:id="31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336]
</w:t>
      </w:r>
    </w:p>
    <w:p>
      <w:pPr>
        <w:sectPr>
          <w:footerReference w:type="default" r:id="rId1015"/>
          <w:footnotePr>
            <w:numStart w:val="1"/>
            <w:numRestart w:val="eachPage"/>
          </w:footnotePr>
          <w:pgSz w:orient="portrait" w:w="11905.511811023622" w:h="16837.79527559055"/>
          <w:pgMar w:top="1440" w:right="1440" w:bottom="1440" w:left="1440" w:header="720" w:footer="720" w:gutter="0"/>
          <w:cols w:num="1" w:space="720"/>
        </w:sectPr>
      </w:pPr>
    </w:p>
    <w:bookmarkStart w:id="620" w:name="pg14411_143397"/>
    <w:bookmarkEnd w:id="620"/>
    <w:p>
      <w:pPr>
        <w:pStyle w:val="Heading6"/>
      </w:pPr>
      <w:bookmarkStart w:id="2236" w:name="_Toc1271"/>
      <w:r>
        <w:t>مسألة و من شروط المتعاقدین:إذن السیّد لو کان العاقد عبداً،</w:t>
      </w:r>
      <w:bookmarkEnd w:id="2236"/>
    </w:p>
    <w:p>
      <w:pPr>
        <w:pStyle w:val="Heading6"/>
      </w:pPr>
      <w:bookmarkStart w:id="2237" w:name="_Toc1272"/>
      <w:r>
        <w:t>اشارة</w:t>
      </w:r>
      <w:bookmarkEnd w:id="2237"/>
    </w:p>
    <w:p>
      <w:pPr>
        <w:pStyle w:val="BookText"/>
      </w:pPr>
      <w:r>
        <w:rPr>
          <w:rFonts w:ascii="Amiri" w:hAnsi="Amiri" w:eastAsia="Amiri" w:cs="Amiri"/>
          <w:lang w:bidi="ar-SA"/>
          <w:color w:val="111111"/>
          <w:sz w:val="28"/>
          <w:szCs w:val="28"/>
          <w:rtl/>
        </w:rPr>
        <w:t xml:space="preserve">فلا یجوز للمملوک أن یوقع عقداً إلّا بإذن سیّده،سواء کان لنفسه فی ذمّته أو بما فی یده،أم لغیره؛لعموم أدلّة عدم استقلاله فی أُموره،قال اللّه تعالی: ضَرَبَ اللّٰهُ مَثَلاً عَبْداً مَمْلُوکاً لاٰ یَقْدِرُ عَلیٰ شَیْءٍ </w:t>
      </w:r>
      <w:r>
        <w:rPr>
          <w:rStyle w:val="FootnoteReference"/>
        </w:rPr>
        <w:footnoteReference w:id="31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الفقیه بسنده إلی زرارة عن أبی جعفر و أبی عبد اللّه علیهما السلام، قالا:«المملوک لا یجوز نکاحه و لا طلاقه إلّا بإذن سیّده.قلت:فإن کان السیّد زوَّجه،بید مَن الطلاق؟قال:بید السیّد ضَرَبَ اللّٰهُ مَثَلاً عَبْداً مَمْلُوکاً لاٰ یَقْدِرُ عَلیٰ شَیْءٍ ،أ فشیء </w:t>
      </w:r>
      <w:r>
        <w:rPr>
          <w:rStyle w:val="FootnoteReference"/>
        </w:rPr>
        <w:footnoteReference w:id="3131"/>
      </w:r>
      <w:r>
        <w:rPr>
          <w:rFonts w:ascii="IRNazanin" w:hAnsi="IRNazanin" w:eastAsia="IRNazanin" w:cs="IRNazanin"/>
          <w:lang w:bidi="fa-IR"/>
          <w:color w:val="111111"/>
          <w:sz w:val="28"/>
          <w:szCs w:val="28"/>
          <w:rtl/>
        </w:rPr>
        <w:t xml:space="preserve">الطلاق؟» </w:t>
      </w:r>
      <w:r>
        <w:rPr>
          <w:rStyle w:val="FootnoteReference"/>
        </w:rPr>
        <w:footnoteReference w:id="31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الظاهر من القدرة-خصوصاً بقرینة الروایة-هو الاستقلال؛إذ</w:t>
      </w:r>
    </w:p>
    <w:p>
      <w:pPr>
        <w:pStyle w:val="BookText"/>
      </w:pPr>
      <w:r>
        <w:rPr>
          <w:rFonts w:ascii="IRNazanin" w:hAnsi="IRNazanin" w:eastAsia="IRNazanin" w:cs="IRNazanin"/>
          <w:lang w:bidi="fa-IR"/>
          <w:color w:val="111111"/>
          <w:sz w:val="28"/>
          <w:szCs w:val="28"/>
          <w:rtl/>
        </w:rPr>
        <w:t xml:space="preserve">[شماره صفحه واقعی : 337]
</w:t>
      </w:r>
    </w:p>
    <w:p>
      <w:pPr>
        <w:sectPr>
          <w:footerReference w:type="default" r:id="rId1016"/>
          <w:footnotePr>
            <w:numStart w:val="1"/>
            <w:numRestart w:val="eachPage"/>
          </w:footnotePr>
          <w:pgSz w:orient="portrait" w:w="11905.511811023622" w:h="16837.79527559055"/>
          <w:pgMar w:top="1440" w:right="1440" w:bottom="1440" w:left="1440" w:header="720" w:footer="720" w:gutter="0"/>
          <w:cols w:num="1" w:space="720"/>
        </w:sectPr>
      </w:pPr>
    </w:p>
    <w:bookmarkStart w:id="621" w:name="pg14411_143398"/>
    <w:bookmarkEnd w:id="621"/>
    <w:p>
      <w:pPr>
        <w:pStyle w:val="BookText"/>
      </w:pPr>
      <w:r>
        <w:rPr>
          <w:rFonts w:ascii="IRNazanin" w:hAnsi="IRNazanin" w:eastAsia="IRNazanin" w:cs="IRNazanin"/>
          <w:lang w:bidi="fa-IR"/>
          <w:color w:val="111111"/>
          <w:sz w:val="28"/>
          <w:szCs w:val="28"/>
          <w:rtl/>
        </w:rPr>
        <w:t xml:space="preserve">المحتاج إلی غیره فی فعلٍ غیر قادر علیه،فیعلم عدم استقلاله فیما یصدق علیه أنّه شیء،فکلّ ما صدر عنه من دون مدخلیّة المولی فهو شرعاً </w:t>
      </w:r>
      <w:r>
        <w:rPr>
          <w:rStyle w:val="FootnoteReference"/>
        </w:rPr>
        <w:footnoteReference w:id="3133"/>
      </w:r>
      <w:r>
        <w:rPr>
          <w:rFonts w:ascii="IRNazanin" w:hAnsi="IRNazanin" w:eastAsia="IRNazanin" w:cs="IRNazanin"/>
          <w:lang w:bidi="fa-IR"/>
          <w:color w:val="111111"/>
          <w:sz w:val="28"/>
          <w:szCs w:val="28"/>
          <w:rtl/>
        </w:rPr>
        <w:t xml:space="preserve">بمنزلة العدم،لا یترتّب علیه الأثر المقصود منه،لا أنّه لا یترتّب علیه حکم شرعی أصلاً،کیف؟!و أفعال العبید موضوعات لأحکام کثیرة کالأحرار.</w:t>
      </w:r>
    </w:p>
    <w:p>
      <w:pPr>
        <w:pStyle w:val="Heading6"/>
      </w:pPr>
      <w:bookmarkStart w:id="2238" w:name="_Toc1273"/>
      <w:r>
        <w:t>[هل ینفذ إنشاء العبد إذا لحقته إجازة السید؟]</w:t>
      </w:r>
      <w:bookmarkEnd w:id="2238"/>
    </w:p>
    <w:p>
      <w:pPr>
        <w:pStyle w:val="BookText"/>
      </w:pPr>
      <w:r>
        <w:rPr>
          <w:rFonts w:ascii="IRNazanin" w:hAnsi="IRNazanin" w:eastAsia="IRNazanin" w:cs="IRNazanin"/>
          <w:lang w:bidi="fa-IR"/>
          <w:color w:val="111111"/>
          <w:sz w:val="28"/>
          <w:szCs w:val="28"/>
          <w:rtl/>
        </w:rPr>
        <w:t xml:space="preserve">و کیف کان،فإنشاءات العبد لا یترتّب علیها آثارها من دون إذن المولی،أمّا مع الإذن السابق فلا إشکال،و أمّا مع الإجازة اللاحقة فیحتمل عدم الوقوع؛لأنّ المنع فیه لیس من جهة العوضین اللَّذَین یتعلّق بهما حقّ المجیز،فله أن یرضی بما وقع علی ماله </w:t>
      </w:r>
      <w:r>
        <w:rPr>
          <w:rStyle w:val="FootnoteReference"/>
        </w:rPr>
        <w:footnoteReference w:id="3134"/>
      </w:r>
      <w:r>
        <w:rPr>
          <w:rFonts w:ascii="IRNazanin" w:hAnsi="IRNazanin" w:eastAsia="IRNazanin" w:cs="IRNazanin"/>
          <w:lang w:bidi="fa-IR"/>
          <w:color w:val="111111"/>
          <w:sz w:val="28"/>
          <w:szCs w:val="28"/>
          <w:rtl/>
        </w:rPr>
        <w:t xml:space="preserve">من التصرّف فی السابق و أن لا یرضی،بل المنع من جهةٍ راجعةٍ إلی نفس الإنشاء الصادر،و ما صدر علی وجهٍ لا یتغیّر منه بعده.</w:t>
      </w:r>
    </w:p>
    <w:p>
      <w:pPr>
        <w:pStyle w:val="BookText"/>
      </w:pPr>
      <w:r>
        <w:rPr>
          <w:rFonts w:ascii="IRNazanin" w:hAnsi="IRNazanin" w:eastAsia="IRNazanin" w:cs="IRNazanin"/>
          <w:lang w:bidi="fa-IR"/>
          <w:color w:val="111111"/>
          <w:sz w:val="28"/>
          <w:szCs w:val="28"/>
          <w:rtl/>
        </w:rPr>
        <w:t xml:space="preserve">و بتقریرٍ آخر:إنّ الإجازة إنّما تتعلّق بمضمون العقد و حاصِلِه -أعنی:انتقال المال بعوض-و هذا فیما نحن فیه لیس منوطاً برضا المولی قطعاً؛إذ المفروض أنّه أجنبیّ عن العوضین،و إنّما له حقّ فی کون إنشاء هذا المضمون قائماً بعبده،فإذا وقع علی وجهٍ یستقلّ به العبد فلحوق الإجازة لا یخرجه عن الاستقلال الواقع علیه قطعاً.</w:t>
      </w:r>
    </w:p>
    <w:p>
      <w:pPr>
        <w:pStyle w:val="BookText"/>
      </w:pPr>
      <w:r>
        <w:rPr>
          <w:rFonts w:ascii="IRNazanin" w:hAnsi="IRNazanin" w:eastAsia="IRNazanin" w:cs="IRNazanin"/>
          <w:lang w:bidi="fa-IR"/>
          <w:color w:val="111111"/>
          <w:sz w:val="28"/>
          <w:szCs w:val="28"/>
          <w:rtl/>
        </w:rPr>
        <w:t xml:space="preserve">[*ستوده]</w:t>
      </w:r>
    </w:p>
    <w:p>
      <w:pPr>
        <w:pStyle w:val="BookText"/>
      </w:pPr>
      <w:r>
        <w:rPr>
          <w:rFonts w:ascii="IRNazanin" w:hAnsi="IRNazanin" w:eastAsia="IRNazanin" w:cs="IRNazanin"/>
          <w:lang w:bidi="fa-IR"/>
          <w:color w:val="111111"/>
          <w:sz w:val="28"/>
          <w:szCs w:val="28"/>
          <w:rtl/>
        </w:rPr>
        <w:t xml:space="preserve">إلّا أنّ الأقوی هو لحوق إجازة المولی؛لعموم أدلّة الوفاء بالعقود </w:t>
      </w:r>
      <w:r>
        <w:rPr>
          <w:rStyle w:val="FootnoteReference"/>
        </w:rPr>
        <w:footnoteReference w:id="3135"/>
      </w:r>
      <w:r>
        <w:rPr>
          <w:rFonts w:ascii="IRNazanin" w:hAnsi="IRNazanin" w:eastAsia="IRNazanin" w:cs="IRNazanin"/>
          <w:lang w:bidi="fa-IR"/>
          <w:color w:val="111111"/>
          <w:sz w:val="28"/>
          <w:szCs w:val="28"/>
          <w:rtl/>
        </w:rPr>
        <w:t xml:space="preserve">،و المخصّص إنّما دلّ علی عدم ترتّب الأثر علی عقد العبد من</w:t>
      </w:r>
    </w:p>
    <w:p>
      <w:pPr>
        <w:pStyle w:val="BookText"/>
      </w:pPr>
      <w:r>
        <w:rPr>
          <w:rFonts w:ascii="IRNazanin" w:hAnsi="IRNazanin" w:eastAsia="IRNazanin" w:cs="IRNazanin"/>
          <w:lang w:bidi="fa-IR"/>
          <w:color w:val="111111"/>
          <w:sz w:val="28"/>
          <w:szCs w:val="28"/>
          <w:rtl/>
        </w:rPr>
        <w:t xml:space="preserve">[شماره صفحه واقعی : 338]
</w:t>
      </w:r>
    </w:p>
    <w:p>
      <w:pPr>
        <w:sectPr>
          <w:footerReference w:type="default" r:id="rId10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دون مدخلیّة المولی أصلاً-سابقاً و لاحقاً-لا مدخلیة إذنه السابق،و لو شکّ أیضاً وجب الأخذ بالعموم فی مورد الشکّ.</w:t>
      </w:r>
    </w:p>
    <w:p>
      <w:pPr>
        <w:pStyle w:val="BookText"/>
      </w:pPr>
      <w:r>
        <w:rPr>
          <w:rFonts w:ascii="IRNazanin" w:hAnsi="IRNazanin" w:eastAsia="IRNazanin" w:cs="IRNazanin"/>
          <w:lang w:bidi="fa-IR"/>
          <w:color w:val="111111"/>
          <w:sz w:val="28"/>
          <w:szCs w:val="28"/>
          <w:rtl/>
        </w:rPr>
        <w:t xml:space="preserve">و یؤیّد إرادة الأعمّ من الإجازة:الصحیحة السابقة؛فإنّ جواز النکاح یکفیه لحوق الإجازة،فالمراد بالإذن هو الأعمّ،إلّا أنّه خرج الطلاق بالدلیل،و لا یلزم تأخیر البیان؛لأنّ الکلام المذکور مسوق لبیان نفی استقلال العبد فی الطلاق بحیث لا یحتاج إلی رضا المولی أصلاً،بل و مع کراهة المولی کما یرشد إلیه </w:t>
      </w:r>
      <w:r>
        <w:rPr>
          <w:rStyle w:val="FootnoteReference"/>
        </w:rPr>
        <w:footnoteReference w:id="3136"/>
      </w:r>
      <w:r>
        <w:rPr>
          <w:rFonts w:ascii="IRNazanin" w:hAnsi="IRNazanin" w:eastAsia="IRNazanin" w:cs="IRNazanin"/>
          <w:lang w:bidi="fa-IR"/>
          <w:color w:val="111111"/>
          <w:sz w:val="28"/>
          <w:szCs w:val="28"/>
          <w:rtl/>
        </w:rPr>
        <w:t xml:space="preserve">التعبیر عن السؤال بقوله:</w:t>
      </w:r>
    </w:p>
    <w:p>
      <w:pPr>
        <w:pStyle w:val="BookText"/>
      </w:pPr>
      <w:r>
        <w:rPr>
          <w:rFonts w:ascii="IRNazanin" w:hAnsi="IRNazanin" w:eastAsia="IRNazanin" w:cs="IRNazanin"/>
          <w:lang w:bidi="fa-IR"/>
          <w:color w:val="111111"/>
          <w:sz w:val="28"/>
          <w:szCs w:val="28"/>
          <w:rtl/>
        </w:rPr>
        <w:t xml:space="preserve">«بید من الطلاق؟» </w:t>
      </w:r>
      <w:r>
        <w:rPr>
          <w:rStyle w:val="FootnoteReference"/>
        </w:rPr>
        <w:footnoteReference w:id="31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یؤیّد المختار-بل یدلّ علیه-:ما ورد فی صحّة نکاح العبد الواقع بغیر إذن المولی إذا أجازه،معلّلاً ب:«أنّه لم یعصِ اللّه تعالی و إنّما عصی سیّده،فإذا أجاز جاز» </w:t>
      </w:r>
      <w:r>
        <w:rPr>
          <w:rStyle w:val="FootnoteReference"/>
        </w:rPr>
        <w:footnoteReference w:id="3138"/>
      </w:r>
      <w:r>
        <w:rPr>
          <w:rFonts w:ascii="IRNazanin" w:hAnsi="IRNazanin" w:eastAsia="IRNazanin" w:cs="IRNazanin"/>
          <w:lang w:bidi="fa-IR"/>
          <w:color w:val="111111"/>
          <w:sz w:val="28"/>
          <w:szCs w:val="28"/>
          <w:rtl/>
        </w:rPr>
        <w:t xml:space="preserve">،بتقریب:أنّ الروایة تشمل </w:t>
      </w:r>
      <w:r>
        <w:rPr>
          <w:rStyle w:val="FootnoteReference"/>
        </w:rPr>
        <w:footnoteReference w:id="3139"/>
      </w:r>
      <w:r>
        <w:rPr>
          <w:rFonts w:ascii="IRNazanin" w:hAnsi="IRNazanin" w:eastAsia="IRNazanin" w:cs="IRNazanin"/>
          <w:lang w:bidi="fa-IR"/>
          <w:color w:val="111111"/>
          <w:sz w:val="28"/>
          <w:szCs w:val="28"/>
          <w:rtl/>
        </w:rPr>
        <w:t xml:space="preserve">ما لو کان العبد هو العاقد علی نفسه،و حمله علی ما إذا عقد الغیر له منافٍ لترک الاستفصال،مع أنّ تعلیل الصحّة بأنّه:لم یعصِ اللّه تعالی...إلخ،فی قوّة أن یقال:«إنّه إذا عصی اللّه بعقدٍ کالعقد علی ما حرّم اللّه تعالی-علی ما مثّل به الإمام علیه السلام فی روایاتٍ أُخر</w:t>
      </w:r>
    </w:p>
    <w:p>
      <w:pPr>
        <w:pStyle w:val="BookText"/>
      </w:pPr>
      <w:r>
        <w:rPr>
          <w:rFonts w:ascii="IRNazanin" w:hAnsi="IRNazanin" w:eastAsia="IRNazanin" w:cs="IRNazanin"/>
          <w:lang w:bidi="fa-IR"/>
          <w:color w:val="111111"/>
          <w:sz w:val="28"/>
          <w:szCs w:val="28"/>
          <w:rtl/>
        </w:rPr>
        <w:t xml:space="preserve">[شماره صفحه واقعی : 339]
</w:t>
      </w:r>
    </w:p>
    <w:p>
      <w:pPr>
        <w:sectPr>
          <w:footerReference w:type="default" r:id="rId10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واردة فی هذه المسألة </w:t>
      </w:r>
      <w:r>
        <w:rPr>
          <w:rStyle w:val="FootnoteReference"/>
        </w:rPr>
        <w:footnoteReference w:id="3140"/>
      </w:r>
      <w:r>
        <w:rPr>
          <w:rFonts w:ascii="IRNazanin" w:hAnsi="IRNazanin" w:eastAsia="IRNazanin" w:cs="IRNazanin"/>
          <w:lang w:bidi="fa-IR"/>
          <w:color w:val="111111"/>
          <w:sz w:val="28"/>
          <w:szCs w:val="28"/>
          <w:rtl/>
        </w:rPr>
        <w:t xml:space="preserve">-کان العقد باطلاً»؛لعدم تصوّر رضا اللّه تعالی بما سبق من معصیته،أمّا إذا لم یعصِ اللّه و عصی سیّده أمکن رضا سیّدهِ فیما بعد بما لم یرضَ به سابقاً،فإذا رضی به و أجاز صحّ.</w:t>
      </w:r>
    </w:p>
    <w:p>
      <w:pPr>
        <w:pStyle w:val="BookText"/>
      </w:pPr>
      <w:r>
        <w:rPr>
          <w:rFonts w:ascii="IRNazanin" w:hAnsi="IRNazanin" w:eastAsia="IRNazanin" w:cs="IRNazanin"/>
          <w:lang w:bidi="fa-IR"/>
          <w:color w:val="111111"/>
          <w:sz w:val="28"/>
          <w:szCs w:val="28"/>
          <w:rtl/>
        </w:rPr>
        <w:t xml:space="preserve">فیکون الحاصل:أنّ معیار الصحّة فی معاملة العبد-بعد کون المعاملة فی نفسها ممّا لم ینهَ عنه الشارع-هو رضا سیّده بوقوعه،سابقاً أو لاحقاً،و أنّه إذا عصی سیّده بمعاملة ثمّ رضی السیّد بها صحّ،و أنّ ما قاله المخالف:من أنّ معصیة السیّد لا یزول حکمها برضاه بعده،و أنّه لا ینفع الرضا اللاحق-کما نقله السائل عن طائفة من العامّة </w:t>
      </w:r>
      <w:r>
        <w:rPr>
          <w:rStyle w:val="FootnoteReference"/>
        </w:rPr>
        <w:footnoteReference w:id="3141"/>
      </w:r>
      <w:r>
        <w:rPr>
          <w:rFonts w:ascii="IRNazanin" w:hAnsi="IRNazanin" w:eastAsia="IRNazanin" w:cs="IRNazanin"/>
          <w:lang w:bidi="fa-IR"/>
          <w:color w:val="111111"/>
          <w:sz w:val="28"/>
          <w:szCs w:val="28"/>
          <w:rtl/>
        </w:rPr>
        <w:t xml:space="preserve">-غیر صحیح،فافهم و اغتنم.</w:t>
      </w:r>
    </w:p>
    <w:p>
      <w:pPr>
        <w:pStyle w:val="BookText"/>
      </w:pPr>
      <w:r>
        <w:rPr>
          <w:rFonts w:ascii="IRNazanin" w:hAnsi="IRNazanin" w:eastAsia="IRNazanin" w:cs="IRNazanin"/>
          <w:lang w:bidi="fa-IR"/>
          <w:color w:val="111111"/>
          <w:sz w:val="28"/>
          <w:szCs w:val="28"/>
          <w:rtl/>
        </w:rPr>
        <w:t xml:space="preserve">و من ذلک یعرف:أنّ استشهاد بعضٍ </w:t>
      </w:r>
      <w:r>
        <w:rPr>
          <w:rStyle w:val="FootnoteReference"/>
        </w:rPr>
        <w:footnoteReference w:id="3142"/>
      </w:r>
      <w:r>
        <w:rPr>
          <w:rFonts w:ascii="IRNazanin" w:hAnsi="IRNazanin" w:eastAsia="IRNazanin" w:cs="IRNazanin"/>
          <w:lang w:bidi="fa-IR"/>
          <w:color w:val="111111"/>
          <w:sz w:val="28"/>
          <w:szCs w:val="28"/>
          <w:rtl/>
        </w:rPr>
        <w:t xml:space="preserve">بهذه الروایات علی صحّة عقد العبد و إن لم یسبقه إذن و لم یلحقه إجازة،بل و مع سبق النهی أیضاً-لأنّ غایة الأمر هو عصیان العبد و إثمه فی إیقاع العقد و التصرّف فی لسانه الذی هو ملک للمولی،لکنّ النهی مطلقاً لا یوجب الفساد خصوصاً النهی الناشئ عن معصیة السیّد کما یومئ إلیه هذه الأخبار الدالّة علی أنّ معصیة السیّد لا یقدح بصحّة العقد-فی غیر محلّه، بل الروایات ناطقة-کما عرفت-بأنّ الصحّة من جهة ارتفاع کراهة</w:t>
      </w:r>
    </w:p>
    <w:p>
      <w:pPr>
        <w:pStyle w:val="BookText"/>
      </w:pPr>
      <w:r>
        <w:rPr>
          <w:rFonts w:ascii="IRNazanin" w:hAnsi="IRNazanin" w:eastAsia="IRNazanin" w:cs="IRNazanin"/>
          <w:lang w:bidi="fa-IR"/>
          <w:color w:val="111111"/>
          <w:sz w:val="28"/>
          <w:szCs w:val="28"/>
          <w:rtl/>
        </w:rPr>
        <w:t xml:space="preserve">[شماره صفحه واقعی : 340]
</w:t>
      </w:r>
    </w:p>
    <w:p>
      <w:pPr>
        <w:sectPr>
          <w:footerReference w:type="default" r:id="rId10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المولی و تبدّله بالرضا بما فعله العبد،و لیس ککراهة اللّه عزّ و جلّ بحیث یستحیل رضاه بعد ذلک بوقوعه السابق،فکأنه قال:«لم یعصِ اللّه حتّی یستحیل تعقّبه للإجازة و الرضا و إنّما عصی سیّده،فإذا أجاز جاز»فقد علّق الجواز صریحاً علی الإجازة.</w:t>
      </w:r>
    </w:p>
    <w:p>
      <w:pPr>
        <w:pStyle w:val="BookText"/>
      </w:pPr>
      <w:r>
        <w:rPr>
          <w:rFonts w:ascii="IRNazanin" w:hAnsi="IRNazanin" w:eastAsia="IRNazanin" w:cs="IRNazanin"/>
          <w:lang w:bidi="fa-IR"/>
          <w:color w:val="111111"/>
          <w:sz w:val="28"/>
          <w:szCs w:val="28"/>
          <w:rtl/>
        </w:rPr>
        <w:t xml:space="preserve">و دعوی:أنّ تعلیق الصحّة علی الإجازة من جهة مضمون العقد و هو التزویج المحتاج إلی إجازة السیّد إجماعاً،لا نفس إنشاء العقد حتّی لو فرضناه للغیر یکون محتاجاً إلی إجازة مولی العاقد،مدفوعة:بأنّ المنساق من الروایة إعطاء قاعدة کلّیة:بأنّ </w:t>
      </w:r>
      <w:r>
        <w:rPr>
          <w:rStyle w:val="FootnoteReference"/>
        </w:rPr>
        <w:footnoteReference w:id="3143"/>
      </w:r>
      <w:r>
        <w:rPr>
          <w:rFonts w:ascii="IRNazanin" w:hAnsi="IRNazanin" w:eastAsia="IRNazanin" w:cs="IRNazanin"/>
          <w:lang w:bidi="fa-IR"/>
          <w:color w:val="111111"/>
          <w:sz w:val="28"/>
          <w:szCs w:val="28"/>
          <w:rtl/>
        </w:rPr>
        <w:t xml:space="preserve">رضا المولی بفعل العبد بعد وقوعه یکفی فی کلّ ما یتوقّف علی مراجعة السیّد و کان فعله من دون مراجعةٍ </w:t>
      </w:r>
      <w:r>
        <w:rPr>
          <w:rStyle w:val="FootnoteReference"/>
        </w:rPr>
        <w:footnoteReference w:id="3144"/>
      </w:r>
      <w:r>
        <w:rPr>
          <w:rFonts w:ascii="IRNazanin" w:hAnsi="IRNazanin" w:eastAsia="IRNazanin" w:cs="IRNazanin"/>
          <w:lang w:bidi="fa-IR"/>
          <w:color w:val="111111"/>
          <w:sz w:val="28"/>
          <w:szCs w:val="28"/>
          <w:rtl/>
        </w:rPr>
        <w:t xml:space="preserve">أو مع النهی عنه معصیةً له،و المفروض أنّ نفس العقد من هذا القبیل.</w:t>
      </w:r>
    </w:p>
    <w:p>
      <w:pPr>
        <w:pStyle w:val="BookText"/>
      </w:pPr>
      <w:r>
        <w:rPr>
          <w:rFonts w:ascii="IRNazanin" w:hAnsi="IRNazanin" w:eastAsia="IRNazanin" w:cs="IRNazanin"/>
          <w:lang w:bidi="fa-IR"/>
          <w:color w:val="111111"/>
          <w:sz w:val="28"/>
          <w:szCs w:val="28"/>
          <w:rtl/>
        </w:rPr>
        <w:t xml:space="preserve">[*ستوده]</w:t>
      </w:r>
    </w:p>
    <w:p>
      <w:pPr>
        <w:pStyle w:val="BookText"/>
      </w:pPr>
      <w:r>
        <w:rPr>
          <w:rFonts w:ascii="Amiri" w:hAnsi="Amiri" w:eastAsia="Amiri" w:cs="Amiri"/>
          <w:lang w:bidi="ar-SA"/>
          <w:color w:val="111111"/>
          <w:sz w:val="28"/>
          <w:szCs w:val="28"/>
          <w:rtl/>
        </w:rPr>
        <w:t xml:space="preserve">ثمّ إنّ ما ذکره </w:t>
      </w:r>
      <w:r>
        <w:rPr>
          <w:rStyle w:val="FootnoteReference"/>
        </w:rPr>
        <w:footnoteReference w:id="3145"/>
      </w:r>
      <w:r>
        <w:rPr>
          <w:rFonts w:ascii="IRNazanin" w:hAnsi="IRNazanin" w:eastAsia="IRNazanin" w:cs="IRNazanin"/>
          <w:lang w:bidi="fa-IR"/>
          <w:color w:val="111111"/>
          <w:sz w:val="28"/>
          <w:szCs w:val="28"/>
          <w:rtl/>
        </w:rPr>
        <w:t xml:space="preserve">من عصیان العبد بتصرّفه فی لسانه و أنّه لا یقتضی الفساد،یشعر بزعم أنّ المستند فی بطلان عقد العبد لغیره هو حرمة تلفّظه بألفاظ العقد من دون رضا المولی.</w:t>
      </w:r>
    </w:p>
    <w:p>
      <w:pPr>
        <w:pStyle w:val="BookText"/>
      </w:pPr>
      <w:r>
        <w:rPr>
          <w:rFonts w:ascii="IRNazanin" w:hAnsi="IRNazanin" w:eastAsia="IRNazanin" w:cs="IRNazanin"/>
          <w:lang w:bidi="fa-IR"/>
          <w:color w:val="111111"/>
          <w:sz w:val="28"/>
          <w:szCs w:val="28"/>
          <w:rtl/>
        </w:rPr>
        <w:t xml:space="preserve">و فیه:</w:t>
      </w:r>
    </w:p>
    <w:p>
      <w:pPr>
        <w:pStyle w:val="BookText"/>
      </w:pPr>
      <w:r>
        <w:rPr>
          <w:rFonts w:ascii="IRNazanin" w:hAnsi="IRNazanin" w:eastAsia="IRNazanin" w:cs="IRNazanin"/>
          <w:lang w:bidi="fa-IR"/>
          <w:color w:val="111111"/>
          <w:sz w:val="28"/>
          <w:szCs w:val="28"/>
          <w:rtl/>
        </w:rPr>
        <w:t xml:space="preserve">أوّلاً: منع حرمة هذه التصرّفات الجزئیّة؛للسیرة المستمرّة علی مکالمة العبید </w:t>
      </w:r>
      <w:r>
        <w:rPr>
          <w:rStyle w:val="FootnoteReference"/>
        </w:rPr>
        <w:footnoteReference w:id="3146"/>
      </w:r>
      <w:r>
        <w:rPr>
          <w:rFonts w:ascii="IRNazanin" w:hAnsi="IRNazanin" w:eastAsia="IRNazanin" w:cs="IRNazanin"/>
          <w:lang w:bidi="fa-IR"/>
          <w:color w:val="111111"/>
          <w:sz w:val="28"/>
          <w:szCs w:val="28"/>
          <w:rtl/>
        </w:rPr>
        <w:t xml:space="preserve">،و نحو ذلک من المشاغل الجزئیّة.</w:t>
      </w:r>
    </w:p>
    <w:p>
      <w:pPr>
        <w:pStyle w:val="BookText"/>
      </w:pPr>
      <w:r>
        <w:rPr>
          <w:rFonts w:ascii="IRNazanin" w:hAnsi="IRNazanin" w:eastAsia="IRNazanin" w:cs="IRNazanin"/>
          <w:lang w:bidi="fa-IR"/>
          <w:color w:val="111111"/>
          <w:sz w:val="28"/>
          <w:szCs w:val="28"/>
          <w:rtl/>
        </w:rPr>
        <w:t xml:space="preserve">[شماره صفحه واقعی : 341]
</w:t>
      </w:r>
    </w:p>
    <w:p>
      <w:pPr>
        <w:sectPr>
          <w:footerReference w:type="default" r:id="rId1020"/>
          <w:footnotePr>
            <w:numStart w:val="1"/>
            <w:numRestart w:val="eachPage"/>
          </w:footnotePr>
          <w:pgSz w:orient="portrait" w:w="11905.511811023622" w:h="16837.79527559055"/>
          <w:pgMar w:top="1440" w:right="1440" w:bottom="1440" w:left="1440" w:header="720" w:footer="720" w:gutter="0"/>
          <w:cols w:num="1" w:space="720"/>
        </w:sectPr>
      </w:pPr>
    </w:p>
    <w:bookmarkStart w:id="622" w:name="pg14411_143402"/>
    <w:bookmarkEnd w:id="622"/>
    <w:p>
      <w:pPr>
        <w:pStyle w:val="BookText"/>
      </w:pPr>
      <w:r>
        <w:rPr>
          <w:rFonts w:ascii="IRNazanin" w:hAnsi="IRNazanin" w:eastAsia="IRNazanin" w:cs="IRNazanin"/>
          <w:lang w:bidi="fa-IR"/>
          <w:color w:val="111111"/>
          <w:sz w:val="28"/>
          <w:szCs w:val="28"/>
          <w:rtl/>
        </w:rPr>
        <w:t xml:space="preserve">و ثانیاً: بداهة أنّ الحرمة فی مثل هذه لا توجب الفساد،فلا یظنّ استناد العلماء فی الفساد إلی الحرمة.</w:t>
      </w:r>
    </w:p>
    <w:p>
      <w:pPr>
        <w:pStyle w:val="BookText"/>
      </w:pPr>
      <w:r>
        <w:rPr>
          <w:rFonts w:ascii="IRNazanin" w:hAnsi="IRNazanin" w:eastAsia="IRNazanin" w:cs="IRNazanin"/>
          <w:lang w:bidi="fa-IR"/>
          <w:color w:val="111111"/>
          <w:sz w:val="28"/>
          <w:szCs w:val="28"/>
          <w:rtl/>
        </w:rPr>
        <w:t xml:space="preserve">و ثالثاً: أنّ الاستشهاد بالروایة لعدم کون معصیة السیّد بالتکلّم بألفاظ العقد و التصرّف فی لسانه قادحاً </w:t>
      </w:r>
      <w:r>
        <w:rPr>
          <w:rStyle w:val="FootnoteReference"/>
        </w:rPr>
        <w:footnoteReference w:id="3147"/>
      </w:r>
      <w:r>
        <w:rPr>
          <w:rFonts w:ascii="IRNazanin" w:hAnsi="IRNazanin" w:eastAsia="IRNazanin" w:cs="IRNazanin"/>
          <w:lang w:bidi="fa-IR"/>
          <w:color w:val="111111"/>
          <w:sz w:val="28"/>
          <w:szCs w:val="28"/>
          <w:rtl/>
        </w:rPr>
        <w:t xml:space="preserve">فی صحّة العقد،غیر صحیح؛ لأنّ مقتضاه أنّ التکلّم إن کان معصیةً للّه تعالی یکون مفسداً،مع أنّه لا یقول به أحد؛فإنّ حرمة العقد من حیث إنّه تحریک اللسان -کما فی الصلاة و القراءة المضیّقة و نحوهما-لا یوجب فساد العقد إجماعاً.</w:t>
      </w:r>
    </w:p>
    <w:p>
      <w:pPr>
        <w:pStyle w:val="BookText"/>
      </w:pPr>
      <w:r>
        <w:rPr>
          <w:rFonts w:ascii="IRNazanin" w:hAnsi="IRNazanin" w:eastAsia="IRNazanin" w:cs="IRNazanin"/>
          <w:lang w:bidi="fa-IR"/>
          <w:color w:val="111111"/>
          <w:sz w:val="28"/>
          <w:szCs w:val="28"/>
          <w:rtl/>
        </w:rPr>
        <w:t xml:space="preserve">فالتحقیق:أنّ المستند فی الفساد هو الآیة المتقدّمة </w:t>
      </w:r>
      <w:r>
        <w:rPr>
          <w:rStyle w:val="FootnoteReference"/>
        </w:rPr>
        <w:footnoteReference w:id="3148"/>
      </w:r>
      <w:r>
        <w:rPr>
          <w:rFonts w:ascii="IRNazanin" w:hAnsi="IRNazanin" w:eastAsia="IRNazanin" w:cs="IRNazanin"/>
          <w:lang w:bidi="fa-IR"/>
          <w:color w:val="111111"/>
          <w:sz w:val="28"/>
          <w:szCs w:val="28"/>
          <w:rtl/>
        </w:rPr>
        <w:t xml:space="preserve">،و الروایات الواردة فی عدم جواز أمر العبد و مضیّه مستقلا،و أنّه لیس له من الأمر شیء </w:t>
      </w:r>
      <w:r>
        <w:rPr>
          <w:rStyle w:val="FootnoteReference"/>
        </w:rPr>
        <w:footnoteReference w:id="3149"/>
      </w:r>
      <w:r>
        <w:rPr>
          <w:rFonts w:ascii="Times New Roman" w:hAnsi="Times New Roman" w:eastAsia="Times New Roman" w:cs="Times New Roman"/>
          <w:lang w:val="en-US" w:bidi="en-US"/>
          <w:color w:val="111111"/>
          <w:sz w:val="28"/>
          <w:szCs w:val="28"/>
          <w:rtl/>
        </w:rPr>
        <w:t xml:space="preserve">.</w:t>
      </w:r>
    </w:p>
    <w:p>
      <w:pPr>
        <w:pStyle w:val="Heading6"/>
      </w:pPr>
      <w:bookmarkStart w:id="2239" w:name="_Toc1274"/>
      <w:r>
        <w:t>«فرع» : لو أمر العبدَ آمرٌ أن یشتری نفسه من مولاه فباعه مولاه صحّ و لزم</w:t>
      </w:r>
      <w:bookmarkEnd w:id="2239"/>
    </w:p>
    <w:p>
      <w:pPr>
        <w:pStyle w:val="BookText"/>
      </w:pPr>
      <w:r>
        <w:rPr>
          <w:rFonts w:ascii="IRNazanin" w:hAnsi="IRNazanin" w:eastAsia="IRNazanin" w:cs="IRNazanin"/>
          <w:lang w:bidi="fa-IR"/>
          <w:color w:val="111111"/>
          <w:sz w:val="28"/>
          <w:szCs w:val="28"/>
          <w:rtl/>
        </w:rPr>
        <w:t xml:space="preserve">بناءً علی کفایة رضا المولی-الحاصل من تعریضه للبیع-من إذنه الصریح،بل یمکن جعل نفس الإیجاب موجباً للإذن الضمنی.</w:t>
      </w:r>
    </w:p>
    <w:p>
      <w:pPr>
        <w:pStyle w:val="BookText"/>
      </w:pPr>
      <w:r>
        <w:rPr>
          <w:rFonts w:ascii="IRNazanin" w:hAnsi="IRNazanin" w:eastAsia="IRNazanin" w:cs="IRNazanin"/>
          <w:lang w:bidi="fa-IR"/>
          <w:color w:val="111111"/>
          <w:sz w:val="28"/>
          <w:szCs w:val="28"/>
          <w:rtl/>
        </w:rPr>
        <w:t xml:space="preserve">[شماره صفحه واقعی : 342]
</w:t>
      </w:r>
    </w:p>
    <w:p>
      <w:pPr>
        <w:sectPr>
          <w:footerReference w:type="default" r:id="rId10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یقدح عدم قابلیّة المشتری للقبول فی زمان الإیجاب؛لأنّ هذا الشرط لیس علی حدّ غیره من الشروط المعتبرة فی کلٍّ من المتعاقدین من أوّل الإیجاب إلی آخر القبول،بل هو نظیر إذن مالک الثمن فی الاشتراء،حیث یکفی تحقّقه بعد الإیجاب و قبل القبول الذی بنی المشتری علی إنشائه فضولاً.</w:t>
      </w:r>
    </w:p>
    <w:p>
      <w:pPr>
        <w:pStyle w:val="BookText"/>
      </w:pPr>
      <w:r>
        <w:rPr>
          <w:rFonts w:ascii="IRNazanin" w:hAnsi="IRNazanin" w:eastAsia="IRNazanin" w:cs="IRNazanin"/>
          <w:lang w:bidi="fa-IR"/>
          <w:color w:val="111111"/>
          <w:sz w:val="28"/>
          <w:szCs w:val="28"/>
          <w:rtl/>
        </w:rPr>
        <w:t xml:space="preserve">و عن القاضی:البطلان فی المسألة؛مستدلا علیه باتّحاد عبارته مع عبارة السیّد فیتّحد الموجب و القابل </w:t>
      </w:r>
      <w:r>
        <w:rPr>
          <w:rStyle w:val="FootnoteReference"/>
        </w:rPr>
        <w:footnoteReference w:id="31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فیه-مع اقتضائه المنع لو أذن له السیّد سابقاً-:منع الاتّحاد أوّلاً،و منع قدحه ثانیاً.</w:t>
      </w:r>
    </w:p>
    <w:p>
      <w:pPr>
        <w:pStyle w:val="BookText"/>
      </w:pPr>
      <w:r>
        <w:rPr>
          <w:rFonts w:ascii="IRNazanin" w:hAnsi="IRNazanin" w:eastAsia="IRNazanin" w:cs="IRNazanin"/>
          <w:lang w:bidi="fa-IR"/>
          <w:color w:val="111111"/>
          <w:sz w:val="28"/>
          <w:szCs w:val="28"/>
          <w:rtl/>
        </w:rPr>
        <w:t xml:space="preserve">هذا إذا أمره </w:t>
      </w:r>
      <w:r>
        <w:rPr>
          <w:rStyle w:val="FootnoteReference"/>
        </w:rPr>
        <w:footnoteReference w:id="3151"/>
      </w:r>
      <w:r>
        <w:rPr>
          <w:rFonts w:ascii="IRNazanin" w:hAnsi="IRNazanin" w:eastAsia="IRNazanin" w:cs="IRNazanin"/>
          <w:lang w:bidi="fa-IR"/>
          <w:color w:val="111111"/>
          <w:sz w:val="28"/>
          <w:szCs w:val="28"/>
          <w:rtl/>
        </w:rPr>
        <w:t xml:space="preserve">الآمر بالاشتراء من مولاه،فإن أمره بالاشتراء من وکیل المولی،فعن جماعة-منهم المحقّق و الشهید الثانیان </w:t>
      </w:r>
      <w:r>
        <w:rPr>
          <w:rStyle w:val="FootnoteReference"/>
        </w:rPr>
        <w:footnoteReference w:id="3152"/>
      </w:r>
      <w:r>
        <w:rPr>
          <w:rFonts w:ascii="IRNazanin" w:hAnsi="IRNazanin" w:eastAsia="IRNazanin" w:cs="IRNazanin"/>
          <w:lang w:bidi="fa-IR"/>
          <w:color w:val="111111"/>
          <w:sz w:val="28"/>
          <w:szCs w:val="28"/>
          <w:rtl/>
        </w:rPr>
        <w:t xml:space="preserve">-:أنّه لا یصحّ؛لعدم الإذن من المولی.</w:t>
      </w:r>
    </w:p>
    <w:p>
      <w:pPr>
        <w:pStyle w:val="BookText"/>
      </w:pPr>
      <w:r>
        <w:rPr>
          <w:rFonts w:ascii="IRNazanin" w:hAnsi="IRNazanin" w:eastAsia="IRNazanin" w:cs="IRNazanin"/>
          <w:lang w:bidi="fa-IR"/>
          <w:color w:val="111111"/>
          <w:sz w:val="28"/>
          <w:szCs w:val="28"/>
          <w:rtl/>
        </w:rPr>
        <w:t xml:space="preserve">و ربما قیل بالجواز </w:t>
      </w:r>
      <w:r>
        <w:rPr>
          <w:rStyle w:val="FootnoteReference"/>
        </w:rPr>
        <w:footnoteReference w:id="3153"/>
      </w:r>
      <w:r>
        <w:rPr>
          <w:rFonts w:ascii="IRNazanin" w:hAnsi="IRNazanin" w:eastAsia="IRNazanin" w:cs="IRNazanin"/>
          <w:lang w:bidi="fa-IR"/>
          <w:color w:val="111111"/>
          <w:sz w:val="28"/>
          <w:szCs w:val="28"/>
          <w:rtl/>
        </w:rPr>
        <w:t xml:space="preserve">حینئذٍ أیضاً؛بناءً علی ما سبق منه من أنّ المنع لأجل النهی و هو لا یستلزم الفساد.</w:t>
      </w:r>
    </w:p>
    <w:p>
      <w:pPr>
        <w:pStyle w:val="BookText"/>
      </w:pPr>
      <w:r>
        <w:rPr>
          <w:rFonts w:ascii="IRNazanin" w:hAnsi="IRNazanin" w:eastAsia="IRNazanin" w:cs="IRNazanin"/>
          <w:lang w:bidi="fa-IR"/>
          <w:color w:val="111111"/>
          <w:sz w:val="28"/>
          <w:szCs w:val="28"/>
          <w:rtl/>
        </w:rPr>
        <w:t xml:space="preserve">[شماره صفحه واقعی : 343]
</w:t>
      </w:r>
    </w:p>
    <w:p>
      <w:pPr>
        <w:sectPr>
          <w:footerReference w:type="default" r:id="rId10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فیه:ما عرفت من أنّ وجه المنع أدلّة عدم استقلال العبد فی شیء،لا منعه عن التصرّف فی لسانه،فراجع ما تقدّم </w:t>
      </w:r>
      <w:r>
        <w:rPr>
          <w:rStyle w:val="FootnoteReference"/>
        </w:rPr>
        <w:footnoteReference w:id="3154"/>
      </w:r>
      <w:r>
        <w:rPr>
          <w:rFonts w:ascii="IRNazanin" w:hAnsi="IRNazanin" w:eastAsia="IRNazanin" w:cs="IRNazanin"/>
          <w:lang w:bidi="fa-IR"/>
          <w:color w:val="111111"/>
          <w:sz w:val="28"/>
          <w:szCs w:val="28"/>
          <w:rtl/>
        </w:rPr>
        <w:t xml:space="preserve">،و اللّه أعلم.</w:t>
      </w:r>
    </w:p>
    <w:p>
      <w:pPr>
        <w:pStyle w:val="BookText"/>
      </w:pPr>
      <w:r>
        <w:rPr>
          <w:rFonts w:ascii="IRNazanin" w:hAnsi="IRNazanin" w:eastAsia="IRNazanin" w:cs="IRNazanin"/>
          <w:lang w:bidi="fa-IR"/>
          <w:color w:val="111111"/>
          <w:sz w:val="28"/>
          <w:szCs w:val="28"/>
          <w:rtl/>
        </w:rPr>
        <w:t xml:space="preserve">[شماره صفحه واقعی : 344]
</w:t>
      </w:r>
    </w:p>
    <w:p>
      <w:pPr>
        <w:sectPr>
          <w:footerReference w:type="default" r:id="rId1023"/>
          <w:footnotePr>
            <w:numStart w:val="1"/>
            <w:numRestart w:val="eachPage"/>
          </w:footnotePr>
          <w:pgSz w:orient="portrait" w:w="11905.511811023622" w:h="16837.79527559055"/>
          <w:pgMar w:top="1440" w:right="1440" w:bottom="1440" w:left="1440" w:header="720" w:footer="720" w:gutter="0"/>
          <w:cols w:num="1" w:space="720"/>
        </w:sectPr>
      </w:pPr>
    </w:p>
    <w:bookmarkStart w:id="623" w:name="pg14411_143405"/>
    <w:bookmarkEnd w:id="623"/>
    <w:p>
      <w:pPr>
        <w:pStyle w:val="Heading6"/>
      </w:pPr>
      <w:bookmarkStart w:id="2240" w:name="_Toc1275"/>
      <w:r>
        <w:t>مسألة و من شروط المتعاقدین:أن یکونا مالِکَین أو مأذونَین من المالک أو الشارع</w:t>
      </w:r>
      <w:bookmarkEnd w:id="2240"/>
    </w:p>
    <w:p>
      <w:pPr>
        <w:pStyle w:val="Heading6"/>
      </w:pPr>
      <w:bookmarkStart w:id="2241" w:name="_Toc1276"/>
      <w:r>
        <w:t>اشارة</w:t>
      </w:r>
      <w:bookmarkEnd w:id="2241"/>
    </w:p>
    <w:p>
      <w:pPr>
        <w:pStyle w:val="BookText"/>
      </w:pPr>
      <w:r>
        <w:rPr>
          <w:rFonts w:ascii="IRNazanin" w:hAnsi="IRNazanin" w:eastAsia="IRNazanin" w:cs="IRNazanin"/>
          <w:lang w:bidi="fa-IR"/>
          <w:color w:val="111111"/>
          <w:sz w:val="28"/>
          <w:szCs w:val="28"/>
          <w:rtl/>
        </w:rPr>
        <w:t xml:space="preserve">فعقد الفضولی لا یصحّ،أی لا یترتّب علیه ما یترتّب علی عقد غیره من اللزوم.</w:t>
      </w:r>
    </w:p>
    <w:p>
      <w:pPr>
        <w:pStyle w:val="BookText"/>
      </w:pPr>
      <w:r>
        <w:rPr>
          <w:rFonts w:ascii="IRNazanin" w:hAnsi="IRNazanin" w:eastAsia="IRNazanin" w:cs="IRNazanin"/>
          <w:lang w:bidi="fa-IR"/>
          <w:color w:val="111111"/>
          <w:sz w:val="28"/>
          <w:szCs w:val="28"/>
          <w:rtl/>
        </w:rPr>
        <w:t xml:space="preserve">و هذا مراد من جعل الملک و ما فی حکمه شرطاً،ثمّ فرّع علیه أنّ </w:t>
      </w:r>
      <w:r>
        <w:rPr>
          <w:rStyle w:val="FootnoteReference"/>
        </w:rPr>
        <w:footnoteReference w:id="3155"/>
      </w:r>
      <w:r>
        <w:rPr>
          <w:rFonts w:ascii="IRNazanin" w:hAnsi="IRNazanin" w:eastAsia="IRNazanin" w:cs="IRNazanin"/>
          <w:lang w:bidi="fa-IR"/>
          <w:color w:val="111111"/>
          <w:sz w:val="28"/>
          <w:szCs w:val="28"/>
          <w:rtl/>
        </w:rPr>
        <w:t xml:space="preserve">بیع الفضولی موقوف علی الإجازة کما فی القواعد </w:t>
      </w:r>
      <w:r>
        <w:rPr>
          <w:rStyle w:val="FootnoteReference"/>
        </w:rPr>
        <w:footnoteReference w:id="3156"/>
      </w:r>
      <w:r>
        <w:rPr>
          <w:rFonts w:ascii="IRNazanin" w:hAnsi="IRNazanin" w:eastAsia="IRNazanin" w:cs="IRNazanin"/>
          <w:lang w:bidi="fa-IR"/>
          <w:color w:val="111111"/>
          <w:sz w:val="28"/>
          <w:szCs w:val="28"/>
          <w:rtl/>
        </w:rPr>
        <w:t xml:space="preserve">،فاعتراض جامع المقاصد:علیه بأنّ التفریع فی غیر محلّه </w:t>
      </w:r>
      <w:r>
        <w:rPr>
          <w:rStyle w:val="FootnoteReference"/>
        </w:rPr>
        <w:footnoteReference w:id="3157"/>
      </w:r>
      <w:r>
        <w:rPr>
          <w:rFonts w:ascii="Amiri" w:hAnsi="Amiri" w:eastAsia="Amiri" w:cs="Amiri"/>
          <w:lang w:bidi="ar-SA"/>
          <w:color w:val="111111"/>
          <w:sz w:val="28"/>
          <w:szCs w:val="28"/>
          <w:rtl/>
        </w:rPr>
        <w:t xml:space="preserve">،لعلّه فی غیر محلّه.</w:t>
      </w:r>
    </w:p>
    <w:p>
      <w:pPr>
        <w:pStyle w:val="Heading6"/>
      </w:pPr>
      <w:bookmarkStart w:id="2242" w:name="_Toc1277"/>
      <w:r>
        <w:t>[الکلام فی عقد الفضولی]</w:t>
      </w:r>
      <w:bookmarkEnd w:id="2242"/>
    </w:p>
    <w:p>
      <w:pPr>
        <w:pStyle w:val="Heading6"/>
      </w:pPr>
      <w:bookmarkStart w:id="2243" w:name="_Toc1278"/>
      <w:r>
        <w:t>اشارة</w:t>
      </w:r>
      <w:bookmarkEnd w:id="2243"/>
    </w:p>
    <w:p>
      <w:pPr>
        <w:pStyle w:val="BookText"/>
      </w:pPr>
      <w:r>
        <w:rPr>
          <w:rFonts w:ascii="IRNazanin" w:hAnsi="IRNazanin" w:eastAsia="IRNazanin" w:cs="IRNazanin"/>
          <w:lang w:bidi="fa-IR"/>
          <w:color w:val="111111"/>
          <w:sz w:val="28"/>
          <w:szCs w:val="28"/>
          <w:rtl/>
        </w:rPr>
        <w:t xml:space="preserve">و کیف کان،فالمهمّ التعرّض لمسألة عقد الفضولی التی هی من أهمّ المسائل،فنقول:</w:t>
      </w:r>
    </w:p>
    <w:p>
      <w:pPr>
        <w:pStyle w:val="Heading6"/>
      </w:pPr>
      <w:bookmarkStart w:id="2244" w:name="_Toc1279"/>
      <w:r>
        <w:t>اختلف الأصحاب و غیرهم فی بیع الفضولی</w:t>
      </w:r>
      <w:bookmarkEnd w:id="2244"/>
    </w:p>
    <w:p>
      <w:pPr>
        <w:pStyle w:val="BookText"/>
      </w:pPr>
      <w:r>
        <w:rPr>
          <w:rFonts w:ascii="IRNazanin" w:hAnsi="IRNazanin" w:eastAsia="IRNazanin" w:cs="IRNazanin"/>
          <w:lang w:bidi="fa-IR"/>
          <w:color w:val="111111"/>
          <w:sz w:val="28"/>
          <w:szCs w:val="28"/>
          <w:rtl/>
        </w:rPr>
        <w:t xml:space="preserve">،بل مطلق عقده-بعد</w:t>
      </w:r>
    </w:p>
    <w:p>
      <w:pPr>
        <w:pStyle w:val="BookText"/>
      </w:pPr>
      <w:r>
        <w:rPr>
          <w:rFonts w:ascii="IRNazanin" w:hAnsi="IRNazanin" w:eastAsia="IRNazanin" w:cs="IRNazanin"/>
          <w:lang w:bidi="fa-IR"/>
          <w:color w:val="111111"/>
          <w:sz w:val="28"/>
          <w:szCs w:val="28"/>
          <w:rtl/>
        </w:rPr>
        <w:t xml:space="preserve">[شماره صفحه واقعی : 345]
</w:t>
      </w:r>
    </w:p>
    <w:p>
      <w:pPr>
        <w:sectPr>
          <w:footerReference w:type="default" r:id="rId10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اتّفاقهم علی بطلان إیقاعه کما فی غایة المراد </w:t>
      </w:r>
      <w:r>
        <w:rPr>
          <w:rStyle w:val="FootnoteReference"/>
        </w:rPr>
        <w:footnoteReference w:id="3158"/>
      </w:r>
      <w:r>
        <w:rPr>
          <w:rFonts w:ascii="IRNazanin" w:hAnsi="IRNazanin" w:eastAsia="IRNazanin" w:cs="IRNazanin"/>
          <w:lang w:bidi="fa-IR"/>
          <w:color w:val="111111"/>
          <w:sz w:val="28"/>
          <w:szCs w:val="28"/>
          <w:rtl/>
        </w:rPr>
        <w:t xml:space="preserve">-علی أقوال.</w:t>
      </w:r>
    </w:p>
    <w:p>
      <w:pPr>
        <w:pStyle w:val="BookText"/>
      </w:pPr>
      <w:r>
        <w:rPr>
          <w:rFonts w:ascii="IRNazanin" w:hAnsi="IRNazanin" w:eastAsia="IRNazanin" w:cs="IRNazanin"/>
          <w:lang w:bidi="fa-IR"/>
          <w:color w:val="111111"/>
          <w:sz w:val="28"/>
          <w:szCs w:val="28"/>
          <w:rtl/>
        </w:rPr>
        <w:t xml:space="preserve">و المراد بالفضولی-کما ذکره الشهید قدّس سرّه </w:t>
      </w:r>
      <w:r>
        <w:rPr>
          <w:rStyle w:val="FootnoteReference"/>
        </w:rPr>
        <w:footnoteReference w:id="3159"/>
      </w:r>
      <w:r>
        <w:rPr>
          <w:rFonts w:ascii="IRNazanin" w:hAnsi="IRNazanin" w:eastAsia="IRNazanin" w:cs="IRNazanin"/>
          <w:lang w:bidi="fa-IR"/>
          <w:color w:val="111111"/>
          <w:sz w:val="28"/>
          <w:szCs w:val="28"/>
          <w:rtl/>
        </w:rPr>
        <w:t xml:space="preserve">-:هو الکامل الغیر المالک للتصرّف و لو کان غاصباً.و فی کلام بعض العامّة:أنّه العاقد بلا إذن مَن یحتاج إلی إذنه </w:t>
      </w:r>
      <w:r>
        <w:rPr>
          <w:rStyle w:val="FootnoteReference"/>
        </w:rPr>
        <w:footnoteReference w:id="3160"/>
      </w:r>
      <w:r>
        <w:rPr>
          <w:rFonts w:ascii="IRNazanin" w:hAnsi="IRNazanin" w:eastAsia="IRNazanin" w:cs="IRNazanin"/>
          <w:lang w:bidi="fa-IR"/>
          <w:color w:val="111111"/>
          <w:sz w:val="28"/>
          <w:szCs w:val="28"/>
          <w:rtl/>
        </w:rPr>
        <w:t xml:space="preserve">.و قد یوصف به نفس العقد </w:t>
      </w:r>
      <w:r>
        <w:rPr>
          <w:rStyle w:val="FootnoteReference"/>
        </w:rPr>
        <w:footnoteReference w:id="3161"/>
      </w:r>
      <w:r>
        <w:rPr>
          <w:rFonts w:ascii="IRNazanin" w:hAnsi="IRNazanin" w:eastAsia="IRNazanin" w:cs="IRNazanin"/>
          <w:lang w:bidi="fa-IR"/>
          <w:color w:val="111111"/>
          <w:sz w:val="28"/>
          <w:szCs w:val="28"/>
          <w:rtl/>
        </w:rPr>
        <w:t xml:space="preserve">،و لعلّه تسامح.</w:t>
      </w:r>
    </w:p>
    <w:p>
      <w:pPr>
        <w:pStyle w:val="BookText"/>
      </w:pPr>
      <w:r>
        <w:rPr>
          <w:rFonts w:ascii="IRNazanin" w:hAnsi="IRNazanin" w:eastAsia="IRNazanin" w:cs="IRNazanin"/>
          <w:lang w:bidi="fa-IR"/>
          <w:color w:val="111111"/>
          <w:sz w:val="28"/>
          <w:szCs w:val="28"/>
          <w:rtl/>
        </w:rPr>
        <w:t xml:space="preserve">و کیف کان،فیشمل العقد الصادر من الباکرة </w:t>
      </w:r>
      <w:r>
        <w:rPr>
          <w:rStyle w:val="FootnoteReference"/>
        </w:rPr>
        <w:footnoteReference w:id="3162"/>
      </w:r>
      <w:r>
        <w:rPr>
          <w:rFonts w:ascii="IRNazanin" w:hAnsi="IRNazanin" w:eastAsia="IRNazanin" w:cs="IRNazanin"/>
          <w:lang w:bidi="fa-IR"/>
          <w:color w:val="111111"/>
          <w:sz w:val="28"/>
          <w:szCs w:val="28"/>
          <w:rtl/>
        </w:rPr>
        <w:t xml:space="preserve">الرشیدة بدون إذن الولی،و من المالک إذا لم یملک التصرّف؛لتعلّق حقّ الغیر بالمال،کما یومئ إلیه استدلالهم لفساد </w:t>
      </w:r>
      <w:r>
        <w:rPr>
          <w:rStyle w:val="FootnoteReference"/>
        </w:rPr>
        <w:footnoteReference w:id="3163"/>
      </w:r>
      <w:r>
        <w:rPr>
          <w:rFonts w:ascii="IRNazanin" w:hAnsi="IRNazanin" w:eastAsia="IRNazanin" w:cs="IRNazanin"/>
          <w:lang w:bidi="fa-IR"/>
          <w:color w:val="111111"/>
          <w:sz w:val="28"/>
          <w:szCs w:val="28"/>
          <w:rtl/>
        </w:rPr>
        <w:t xml:space="preserve">الفضولی بما دلّ علی المنع من نکاح الباکرة بغیر إذن ولیّها </w:t>
      </w:r>
      <w:r>
        <w:rPr>
          <w:rStyle w:val="FootnoteReference"/>
        </w:rPr>
        <w:footnoteReference w:id="3164"/>
      </w:r>
      <w:r>
        <w:rPr>
          <w:rFonts w:ascii="IRNazanin" w:hAnsi="IRNazanin" w:eastAsia="IRNazanin" w:cs="IRNazanin"/>
          <w:lang w:bidi="fa-IR"/>
          <w:color w:val="111111"/>
          <w:sz w:val="28"/>
          <w:szCs w:val="28"/>
          <w:rtl/>
        </w:rPr>
        <w:t xml:space="preserve">،و حینئذٍ فیشمل بیع الراهن و السفیه و نحوهما، و بیع العبد بدون إذن السیّد.</w:t>
      </w:r>
    </w:p>
    <w:p>
      <w:pPr>
        <w:pStyle w:val="BookText"/>
      </w:pPr>
      <w:r>
        <w:rPr>
          <w:rFonts w:ascii="IRNazanin" w:hAnsi="IRNazanin" w:eastAsia="IRNazanin" w:cs="IRNazanin"/>
          <w:lang w:bidi="fa-IR"/>
          <w:color w:val="111111"/>
          <w:sz w:val="28"/>
          <w:szCs w:val="28"/>
          <w:rtl/>
        </w:rPr>
        <w:t xml:space="preserve">[*ستوده]</w:t>
      </w:r>
    </w:p>
    <w:p>
      <w:pPr>
        <w:pStyle w:val="BookText"/>
      </w:pPr>
      <w:r>
        <w:rPr>
          <w:rFonts w:ascii="IRNazanin" w:hAnsi="IRNazanin" w:eastAsia="IRNazanin" w:cs="IRNazanin"/>
          <w:lang w:bidi="fa-IR"/>
          <w:color w:val="111111"/>
          <w:sz w:val="28"/>
          <w:szCs w:val="28"/>
          <w:rtl/>
        </w:rPr>
        <w:t xml:space="preserve">و کیف کان،فالظاهر شموله لما إذا تحقّق رضا المالک للتصرّف باطناً،و طیب نفسه بالعقد من دون حصول إذن منه صریحاً أو فحوًی؛</w:t>
      </w:r>
    </w:p>
    <w:p>
      <w:pPr>
        <w:pStyle w:val="BookText"/>
      </w:pPr>
      <w:r>
        <w:rPr>
          <w:rFonts w:ascii="IRNazanin" w:hAnsi="IRNazanin" w:eastAsia="IRNazanin" w:cs="IRNazanin"/>
          <w:lang w:bidi="fa-IR"/>
          <w:color w:val="111111"/>
          <w:sz w:val="28"/>
          <w:szCs w:val="28"/>
          <w:rtl/>
        </w:rPr>
        <w:t xml:space="preserve">[شماره صفحه واقعی : 346]
</w:t>
      </w:r>
    </w:p>
    <w:p>
      <w:pPr>
        <w:sectPr>
          <w:footerReference w:type="default" r:id="rId10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لأنّ العاقد لا یصیر مالکاً للتصرّف و مسلّطاً علیه بمجرّد علمه برضا المالک.</w:t>
      </w:r>
    </w:p>
    <w:p>
      <w:pPr>
        <w:pStyle w:val="BookText"/>
      </w:pPr>
      <w:r>
        <w:rPr>
          <w:rFonts w:ascii="IRNazanin" w:hAnsi="IRNazanin" w:eastAsia="IRNazanin" w:cs="IRNazanin"/>
          <w:lang w:bidi="fa-IR"/>
          <w:color w:val="111111"/>
          <w:sz w:val="28"/>
          <w:szCs w:val="28"/>
          <w:rtl/>
        </w:rPr>
        <w:t xml:space="preserve">و یؤیّده:اشتراطهم فی لزوم العقد کون العاقد مالکاً أو مأذوناً أو ولیّاً،و فرّعوا علیه بیع الفضولی.</w:t>
      </w:r>
    </w:p>
    <w:p>
      <w:pPr>
        <w:pStyle w:val="BookText"/>
      </w:pPr>
      <w:r>
        <w:rPr>
          <w:rFonts w:ascii="IRNazanin" w:hAnsi="IRNazanin" w:eastAsia="IRNazanin" w:cs="IRNazanin"/>
          <w:lang w:bidi="fa-IR"/>
          <w:color w:val="111111"/>
          <w:sz w:val="28"/>
          <w:szCs w:val="28"/>
          <w:rtl/>
        </w:rPr>
        <w:t xml:space="preserve">و یؤیّده-أیضاً-:استدلالهم علی صحّة الفضولی بحدیث عروة البارقی </w:t>
      </w:r>
      <w:r>
        <w:rPr>
          <w:rStyle w:val="FootnoteReference"/>
        </w:rPr>
        <w:footnoteReference w:id="3165"/>
      </w:r>
      <w:r>
        <w:rPr>
          <w:rFonts w:ascii="IRNazanin" w:hAnsi="IRNazanin" w:eastAsia="IRNazanin" w:cs="IRNazanin"/>
          <w:lang w:bidi="fa-IR"/>
          <w:color w:val="111111"/>
          <w:sz w:val="28"/>
          <w:szCs w:val="28"/>
          <w:rtl/>
        </w:rPr>
        <w:t xml:space="preserve">مع أنّ الظاهر علمه برضا النبیّ صلّی اللّه علیه و آله و سلم بما یفعله.و إن کان الذی یقوی فی النفس-لو لا خروجه عن ظاهر الأصحاب-عدم توقّفه علی الإجازة اللاحقة،بل یکفی فیه رضا المالک المقرون بالعقد، سواء علم به العاقد،أو انکشف بعد العقد حصوله حینه،أو لم ینکشف أصلاً؛فیجب علی المالک فیما بینه و بین اللّه تعالی إمضاء ما رضی به و ترتیب </w:t>
      </w:r>
      <w:r>
        <w:rPr>
          <w:rStyle w:val="FootnoteReference"/>
        </w:rPr>
        <w:footnoteReference w:id="3166"/>
      </w:r>
      <w:r>
        <w:rPr>
          <w:rFonts w:ascii="IRNazanin" w:hAnsi="IRNazanin" w:eastAsia="IRNazanin" w:cs="IRNazanin"/>
          <w:lang w:bidi="fa-IR"/>
          <w:color w:val="111111"/>
          <w:sz w:val="28"/>
          <w:szCs w:val="28"/>
          <w:rtl/>
        </w:rPr>
        <w:t xml:space="preserve">الآثار علیه؛لعموم وجوب الوفاء بالعقود </w:t>
      </w:r>
      <w:r>
        <w:rPr>
          <w:rStyle w:val="FootnoteReference"/>
        </w:rPr>
        <w:footnoteReference w:id="3167"/>
      </w:r>
      <w:r>
        <w:rPr>
          <w:rFonts w:ascii="IRNazanin" w:hAnsi="IRNazanin" w:eastAsia="IRNazanin" w:cs="IRNazanin"/>
          <w:lang w:bidi="fa-IR"/>
          <w:color w:val="111111"/>
          <w:sz w:val="28"/>
          <w:szCs w:val="28"/>
          <w:rtl/>
        </w:rPr>
        <w:t xml:space="preserve">،و قوله تعالی:</w:t>
      </w:r>
    </w:p>
    <w:p>
      <w:pPr>
        <w:pStyle w:val="BookText"/>
      </w:pPr>
      <w:r>
        <w:rPr>
          <w:rFonts w:ascii="Amiri" w:hAnsi="Amiri" w:eastAsia="Amiri" w:cs="Amiri"/>
          <w:lang w:bidi="ar-SA"/>
          <w:color w:val="111111"/>
          <w:sz w:val="28"/>
          <w:szCs w:val="28"/>
          <w:rtl/>
        </w:rPr>
        <w:t xml:space="preserve">إِلاّٰ أَنْ تَکُونَ تِجٰارَةً عَنْ تَرٰاضٍ</w:t>
      </w:r>
    </w:p>
    <w:p>
      <w:pPr>
        <w:pStyle w:val="BookText"/>
      </w:pPr>
      <w:r>
        <w:rPr>
          <w:rStyle w:val="FootnoteReference"/>
        </w:rPr>
        <w:footnoteReference w:id="3168"/>
      </w:r>
      <w:r>
        <w:rPr>
          <w:rFonts w:ascii="Amiri" w:hAnsi="Amiri" w:eastAsia="Amiri" w:cs="Amiri"/>
          <w:lang w:bidi="ar-SA"/>
          <w:color w:val="111111"/>
          <w:sz w:val="28"/>
          <w:szCs w:val="28"/>
          <w:rtl/>
        </w:rPr>
        <w:t xml:space="preserve">
،و«لا یحلّ مال امرئٍ مسلمٍ إلّا عن طیب نفسه» </w:t>
      </w:r>
      <w:r>
        <w:rPr>
          <w:rStyle w:val="FootnoteReference"/>
        </w:rPr>
        <w:footnoteReference w:id="3169"/>
      </w:r>
      <w:r>
        <w:rPr>
          <w:rFonts w:ascii="IRNazanin" w:hAnsi="IRNazanin" w:eastAsia="IRNazanin" w:cs="IRNazanin"/>
          <w:lang w:bidi="fa-IR"/>
          <w:color w:val="111111"/>
          <w:sz w:val="28"/>
          <w:szCs w:val="28"/>
          <w:rtl/>
        </w:rPr>
        <w:t xml:space="preserve">،و ما دلّ علی أنّ علم المولی بنکاح العبد و سکوته إقرار منه </w:t>
      </w:r>
      <w:r>
        <w:rPr>
          <w:rStyle w:val="FootnoteReference"/>
        </w:rPr>
        <w:footnoteReference w:id="3170"/>
      </w:r>
      <w:r>
        <w:rPr>
          <w:rFonts w:ascii="IRNazanin" w:hAnsi="IRNazanin" w:eastAsia="IRNazanin" w:cs="IRNazanin"/>
          <w:lang w:bidi="fa-IR"/>
          <w:color w:val="111111"/>
          <w:sz w:val="28"/>
          <w:szCs w:val="28"/>
          <w:rtl/>
        </w:rPr>
        <w:t xml:space="preserve">،و روایة عروة البارقی الآتیة </w:t>
      </w:r>
      <w:r>
        <w:rPr>
          <w:rStyle w:val="FootnoteReference"/>
        </w:rPr>
        <w:footnoteReference w:id="3171"/>
      </w:r>
      <w:r>
        <w:rPr>
          <w:rFonts w:ascii="IRNazanin" w:hAnsi="IRNazanin" w:eastAsia="IRNazanin" w:cs="IRNazanin"/>
          <w:lang w:bidi="fa-IR"/>
          <w:color w:val="111111"/>
          <w:sz w:val="28"/>
          <w:szCs w:val="28"/>
          <w:rtl/>
        </w:rPr>
        <w:t xml:space="preserve">،حیث أقبض المبیع و قبض</w:t>
      </w:r>
    </w:p>
    <w:p>
      <w:pPr>
        <w:pStyle w:val="BookText"/>
      </w:pPr>
      <w:r>
        <w:rPr>
          <w:rFonts w:ascii="IRNazanin" w:hAnsi="IRNazanin" w:eastAsia="IRNazanin" w:cs="IRNazanin"/>
          <w:lang w:bidi="fa-IR"/>
          <w:color w:val="111111"/>
          <w:sz w:val="28"/>
          <w:szCs w:val="28"/>
          <w:rtl/>
        </w:rPr>
        <w:t xml:space="preserve">[شماره صفحه واقعی : 347]
</w:t>
      </w:r>
    </w:p>
    <w:p>
      <w:pPr>
        <w:sectPr>
          <w:footerReference w:type="default" r:id="rId1026"/>
          <w:footnotePr>
            <w:numStart w:val="1"/>
            <w:numRestart w:val="eachPage"/>
          </w:footnotePr>
          <w:pgSz w:orient="portrait" w:w="11905.511811023622" w:h="16837.79527559055"/>
          <w:pgMar w:top="1440" w:right="1440" w:bottom="1440" w:left="1440" w:header="720" w:footer="720" w:gutter="0"/>
          <w:cols w:num="1" w:space="720"/>
        </w:sectPr>
      </w:pPr>
    </w:p>
    <w:bookmarkStart w:id="624" w:name="pg14411_143408"/>
    <w:bookmarkEnd w:id="624"/>
    <w:p>
      <w:pPr>
        <w:pStyle w:val="BookText"/>
      </w:pPr>
      <w:r>
        <w:rPr>
          <w:rFonts w:ascii="IRNazanin" w:hAnsi="IRNazanin" w:eastAsia="IRNazanin" w:cs="IRNazanin"/>
          <w:lang w:bidi="fa-IR"/>
          <w:color w:val="111111"/>
          <w:sz w:val="28"/>
          <w:szCs w:val="28"/>
          <w:rtl/>
        </w:rPr>
        <w:t xml:space="preserve">الدینار؛لعلمه برضا النبی صلّی اللّه علیه و آله و سلم،و لو کان فضولیاً موقوفاً علی الإجازة لم یجز التصرّف فی المعوّض و العوض بالقبض و الإقباض، و تقریرُ النبیّ صلّی اللّه علیه و آله و سلم له علی ما فعل دلیلٌ علی جوازه.</w:t>
      </w:r>
    </w:p>
    <w:p>
      <w:pPr>
        <w:pStyle w:val="BookText"/>
      </w:pPr>
      <w:r>
        <w:rPr>
          <w:rFonts w:ascii="IRNazanin" w:hAnsi="IRNazanin" w:eastAsia="IRNazanin" w:cs="IRNazanin"/>
          <w:lang w:bidi="fa-IR"/>
          <w:color w:val="111111"/>
          <w:sz w:val="28"/>
          <w:szCs w:val="28"/>
          <w:rtl/>
        </w:rPr>
        <w:t xml:space="preserve">هذا،مع أنّ کلمات الأصحاب فی بعض المقامات یظهر منها </w:t>
      </w:r>
      <w:r>
        <w:rPr>
          <w:rStyle w:val="FootnoteReference"/>
        </w:rPr>
        <w:footnoteReference w:id="3172"/>
      </w:r>
      <w:r>
        <w:rPr>
          <w:rFonts w:ascii="IRNazanin" w:hAnsi="IRNazanin" w:eastAsia="IRNazanin" w:cs="IRNazanin"/>
          <w:lang w:bidi="fa-IR"/>
          <w:color w:val="111111"/>
          <w:sz w:val="28"/>
          <w:szCs w:val="28"/>
          <w:rtl/>
        </w:rPr>
        <w:t xml:space="preserve">خروج هذا الفرض عن الفضولی و عدم وقوفه علی الإجازة،مثل قولهم فی الاستدلال علی الصحّة:إنّ الشرائط کلّها حاصلة إلّا رضا المالک، و قولهم:إنّ الإجازة لا یکفی فیها السکوت؛لأنّه أعمّ من الرضا،و نحو ذلک.</w:t>
      </w:r>
    </w:p>
    <w:p>
      <w:pPr>
        <w:pStyle w:val="BookText"/>
      </w:pPr>
      <w:r>
        <w:rPr>
          <w:rFonts w:ascii="Amiri" w:hAnsi="Amiri" w:eastAsia="Amiri" w:cs="Amiri"/>
          <w:lang w:bidi="ar-SA"/>
          <w:color w:val="111111"/>
          <w:sz w:val="28"/>
          <w:szCs w:val="28"/>
          <w:rtl/>
        </w:rPr>
        <w:t xml:space="preserve">ثمّ لو سلّم کونه فضولیاً،لکن لیس کلّ فضولیّ یتوقّف لزومه علی الإجازة؛لأنّه </w:t>
      </w:r>
      <w:r>
        <w:rPr>
          <w:rStyle w:val="FootnoteReference"/>
        </w:rPr>
        <w:footnoteReference w:id="3173"/>
      </w:r>
      <w:r>
        <w:rPr>
          <w:rFonts w:ascii="IRNazanin" w:hAnsi="IRNazanin" w:eastAsia="IRNazanin" w:cs="IRNazanin"/>
          <w:lang w:bidi="fa-IR"/>
          <w:color w:val="111111"/>
          <w:sz w:val="28"/>
          <w:szCs w:val="28"/>
          <w:rtl/>
        </w:rPr>
        <w:t xml:space="preserve">لا دلیل علی توقّفه مطلقاً علی الإجازة اللاحقة، کما هو أحد الاحتمالات فی مَن باع ملک غیره ثمّ ملکه.</w:t>
      </w:r>
    </w:p>
    <w:p>
      <w:pPr>
        <w:pStyle w:val="BookText"/>
      </w:pPr>
      <w:r>
        <w:rPr>
          <w:rFonts w:ascii="IRNazanin" w:hAnsi="IRNazanin" w:eastAsia="IRNazanin" w:cs="IRNazanin"/>
          <w:lang w:bidi="fa-IR"/>
          <w:color w:val="111111"/>
          <w:sz w:val="28"/>
          <w:szCs w:val="28"/>
          <w:rtl/>
        </w:rPr>
        <w:t xml:space="preserve">مع أنّه یمکن الاکتفاء فی الإجازة بالرضا الحاصل بعد البیع المذکور آناً ما؛إذ وقوعه برضاه لا ینفکّ عن ذلک مع الالتفات.</w:t>
      </w:r>
    </w:p>
    <w:p>
      <w:pPr>
        <w:pStyle w:val="BookText"/>
      </w:pPr>
      <w:r>
        <w:rPr>
          <w:rFonts w:ascii="IRNazanin" w:hAnsi="IRNazanin" w:eastAsia="IRNazanin" w:cs="IRNazanin"/>
          <w:lang w:bidi="fa-IR"/>
          <w:color w:val="111111"/>
          <w:sz w:val="28"/>
          <w:szCs w:val="28"/>
          <w:rtl/>
        </w:rPr>
        <w:t xml:space="preserve">ثمّ إنّه لو أشکل فی عقود غیر المالک،فلا ینبغی الإشکال فی عقد العبد-نکاحاً أو بیعاً-مع العلم برضا السیّد و لو لم یأذن له؛لعدم تحقّق المعصیة التی هی مناط المنع فی الأخبار،و عدم منافاته لعدم استقلال العبد فی التصرّف.</w:t>
      </w:r>
    </w:p>
    <w:p>
      <w:pPr>
        <w:pStyle w:val="Heading6"/>
      </w:pPr>
      <w:bookmarkStart w:id="2245" w:name="_Toc1280"/>
      <w:r>
        <w:t>[صور بیع الفضولی]</w:t>
      </w:r>
      <w:bookmarkEnd w:id="2245"/>
    </w:p>
    <w:p>
      <w:pPr>
        <w:pStyle w:val="Heading6"/>
      </w:pPr>
      <w:bookmarkStart w:id="2246" w:name="_Toc1281"/>
      <w:r>
        <w:t>اشارة</w:t>
      </w:r>
      <w:bookmarkEnd w:id="2246"/>
    </w:p>
    <w:p>
      <w:pPr>
        <w:pStyle w:val="BookText"/>
      </w:pPr>
      <w:r>
        <w:rPr>
          <w:rFonts w:ascii="IRNazanin" w:hAnsi="IRNazanin" w:eastAsia="IRNazanin" w:cs="IRNazanin"/>
          <w:lang w:bidi="fa-IR"/>
          <w:color w:val="111111"/>
          <w:sz w:val="28"/>
          <w:szCs w:val="28"/>
          <w:rtl/>
        </w:rPr>
        <w:t xml:space="preserve">ثمّ اعلم:أنّ الفضولی قد یبیع للمالک،و قد یبیع لنفسه،و علی الأوّل فقد لا یسبقه منع من المالک،و قد یسبقه المنع؛فهنا مسائل ثلاث:</w:t>
      </w:r>
    </w:p>
    <w:p>
      <w:pPr>
        <w:pStyle w:val="BookText"/>
      </w:pPr>
      <w:r>
        <w:rPr>
          <w:rFonts w:ascii="IRNazanin" w:hAnsi="IRNazanin" w:eastAsia="IRNazanin" w:cs="IRNazanin"/>
          <w:lang w:bidi="fa-IR"/>
          <w:color w:val="111111"/>
          <w:sz w:val="28"/>
          <w:szCs w:val="28"/>
          <w:rtl/>
        </w:rPr>
        <w:t xml:space="preserve">[شماره صفحه واقعی : 348]
</w:t>
      </w:r>
    </w:p>
    <w:p>
      <w:pPr>
        <w:sectPr>
          <w:footerReference w:type="default" r:id="rId1027"/>
          <w:footnotePr>
            <w:numStart w:val="1"/>
            <w:numRestart w:val="eachPage"/>
          </w:footnotePr>
          <w:pgSz w:orient="portrait" w:w="11905.511811023622" w:h="16837.79527559055"/>
          <w:pgMar w:top="1440" w:right="1440" w:bottom="1440" w:left="1440" w:header="720" w:footer="720" w:gutter="0"/>
          <w:cols w:num="1" w:space="720"/>
        </w:sectPr>
      </w:pPr>
    </w:p>
    <w:bookmarkStart w:id="625" w:name="pg14411_143409"/>
    <w:bookmarkEnd w:id="625"/>
    <w:p>
      <w:pPr>
        <w:pStyle w:val="Heading6"/>
      </w:pPr>
      <w:bookmarkStart w:id="2247" w:name="_Toc1282"/>
      <w:r>
        <w:t>الاُولی : أن یبیع للمالک مع عدم سبق منعٍ من المالک</w:t>
      </w:r>
      <w:bookmarkEnd w:id="2247"/>
    </w:p>
    <w:p>
      <w:pPr>
        <w:pStyle w:val="Heading6"/>
      </w:pPr>
      <w:bookmarkStart w:id="2248" w:name="_Toc1283"/>
      <w:r>
        <w:t>اشارة</w:t>
      </w:r>
      <w:bookmarkEnd w:id="2248"/>
    </w:p>
    <w:p>
      <w:pPr>
        <w:pStyle w:val="BookText"/>
      </w:pPr>
      <w:r>
        <w:rPr>
          <w:rFonts w:ascii="IRNazanin" w:hAnsi="IRNazanin" w:eastAsia="IRNazanin" w:cs="IRNazanin"/>
          <w:lang w:bidi="fa-IR"/>
          <w:color w:val="111111"/>
          <w:sz w:val="28"/>
          <w:szCs w:val="28"/>
          <w:rtl/>
        </w:rPr>
        <w:t xml:space="preserve">و هذا هو المتیقّن من عقد الفضولی.</w:t>
      </w:r>
    </w:p>
    <w:p>
      <w:pPr>
        <w:pStyle w:val="BookText"/>
      </w:pPr>
      <w:r>
        <w:rPr>
          <w:rFonts w:ascii="IRNazanin" w:hAnsi="IRNazanin" w:eastAsia="IRNazanin" w:cs="IRNazanin"/>
          <w:lang w:bidi="fa-IR"/>
          <w:color w:val="111111"/>
          <w:sz w:val="28"/>
          <w:szCs w:val="28"/>
          <w:rtl/>
        </w:rPr>
        <w:t xml:space="preserve">و المشهور:الصحّة،بل فی التذکرة نسبه إلی علمائنا،تارة صریحاً، و أُخری ظاهراً بقوله:«عندنا»،إلّا أنّه ذکر عقیب ذلک:أنّ لنا فیه قولاً بالبطلان </w:t>
      </w:r>
      <w:r>
        <w:rPr>
          <w:rStyle w:val="FootnoteReference"/>
        </w:rPr>
        <w:footnoteReference w:id="31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غایة المراد </w:t>
      </w:r>
      <w:r>
        <w:rPr>
          <w:rStyle w:val="FootnoteReference"/>
        </w:rPr>
        <w:footnoteReference w:id="3175"/>
      </w:r>
      <w:r>
        <w:rPr>
          <w:rFonts w:ascii="IRNazanin" w:hAnsi="IRNazanin" w:eastAsia="IRNazanin" w:cs="IRNazanin"/>
          <w:lang w:bidi="fa-IR"/>
          <w:color w:val="111111"/>
          <w:sz w:val="28"/>
          <w:szCs w:val="28"/>
          <w:rtl/>
        </w:rPr>
        <w:t xml:space="preserve">:حکی الصحّة عن العمانی و المفید </w:t>
      </w:r>
      <w:r>
        <w:rPr>
          <w:rStyle w:val="FootnoteReference"/>
        </w:rPr>
        <w:footnoteReference w:id="3176"/>
      </w:r>
      <w:r>
        <w:rPr>
          <w:rFonts w:ascii="IRNazanin" w:hAnsi="IRNazanin" w:eastAsia="IRNazanin" w:cs="IRNazanin"/>
          <w:lang w:bidi="fa-IR"/>
          <w:color w:val="111111"/>
          <w:sz w:val="28"/>
          <w:szCs w:val="28"/>
          <w:rtl/>
        </w:rPr>
        <w:t xml:space="preserve">و المرتضی </w:t>
      </w:r>
      <w:r>
        <w:rPr>
          <w:rStyle w:val="FootnoteReference"/>
        </w:rPr>
        <w:footnoteReference w:id="3177"/>
      </w:r>
      <w:r>
        <w:rPr>
          <w:rFonts w:ascii="IRNazanin" w:hAnsi="IRNazanin" w:eastAsia="IRNazanin" w:cs="IRNazanin"/>
          <w:lang w:bidi="fa-IR"/>
          <w:color w:val="111111"/>
          <w:sz w:val="28"/>
          <w:szCs w:val="28"/>
          <w:rtl/>
        </w:rPr>
        <w:t xml:space="preserve">و الشیخ-فی النهایة </w:t>
      </w:r>
      <w:r>
        <w:rPr>
          <w:rStyle w:val="FootnoteReference"/>
        </w:rPr>
        <w:footnoteReference w:id="3178"/>
      </w:r>
      <w:r>
        <w:rPr>
          <w:rFonts w:ascii="Amiri" w:hAnsi="Amiri" w:eastAsia="Amiri" w:cs="Amiri"/>
          <w:lang w:bidi="ar-SA"/>
          <w:color w:val="111111"/>
          <w:sz w:val="28"/>
          <w:szCs w:val="28"/>
          <w:rtl/>
        </w:rPr>
        <w:t xml:space="preserve">-و سلّار </w:t>
      </w:r>
      <w:r>
        <w:rPr>
          <w:rStyle w:val="FootnoteReference"/>
        </w:rPr>
        <w:footnoteReference w:id="3179"/>
      </w:r>
      <w:r>
        <w:rPr>
          <w:rFonts w:ascii="IRNazanin" w:hAnsi="IRNazanin" w:eastAsia="IRNazanin" w:cs="IRNazanin"/>
          <w:lang w:bidi="fa-IR"/>
          <w:color w:val="111111"/>
          <w:sz w:val="28"/>
          <w:szCs w:val="28"/>
          <w:rtl/>
        </w:rPr>
        <w:t xml:space="preserve">و الحلبی </w:t>
      </w:r>
      <w:r>
        <w:rPr>
          <w:rStyle w:val="FootnoteReference"/>
        </w:rPr>
        <w:footnoteReference w:id="3180"/>
      </w:r>
      <w:r>
        <w:rPr>
          <w:rFonts w:ascii="IRNazanin" w:hAnsi="IRNazanin" w:eastAsia="IRNazanin" w:cs="IRNazanin"/>
          <w:lang w:bidi="fa-IR"/>
          <w:color w:val="111111"/>
          <w:sz w:val="28"/>
          <w:szCs w:val="28"/>
          <w:rtl/>
        </w:rPr>
        <w:t xml:space="preserve">و القاضی </w:t>
      </w:r>
      <w:r>
        <w:rPr>
          <w:rStyle w:val="FootnoteReference"/>
        </w:rPr>
        <w:footnoteReference w:id="3181"/>
      </w:r>
      <w:r>
        <w:rPr>
          <w:rFonts w:ascii="Amiri" w:hAnsi="Amiri" w:eastAsia="Amiri" w:cs="Amiri"/>
          <w:lang w:bidi="ar-SA"/>
          <w:color w:val="111111"/>
          <w:sz w:val="28"/>
          <w:szCs w:val="28"/>
          <w:rtl/>
        </w:rPr>
        <w:t xml:space="preserve">و ابن حمزة </w:t>
      </w:r>
      <w:r>
        <w:rPr>
          <w:rStyle w:val="FootnoteReference"/>
        </w:rPr>
        <w:footnoteReference w:id="3182"/>
      </w:r>
      <w:r>
        <w:rPr>
          <w:rFonts w:ascii="IRNazanin" w:hAnsi="IRNazanin" w:eastAsia="IRNazanin" w:cs="IRNazanin"/>
          <w:lang w:bidi="fa-IR"/>
          <w:color w:val="111111"/>
          <w:sz w:val="28"/>
          <w:szCs w:val="28"/>
          <w:rtl/>
        </w:rPr>
        <w:t xml:space="preserve">.و حکی عن الإسکافی </w:t>
      </w:r>
      <w:r>
        <w:rPr>
          <w:rStyle w:val="FootnoteReference"/>
        </w:rPr>
        <w:footnoteReference w:id="3183"/>
      </w:r>
      <w:r>
        <w:rPr>
          <w:rFonts w:ascii="Amiri" w:hAnsi="Amiri" w:eastAsia="Amiri" w:cs="Amiri"/>
          <w:lang w:bidi="ar-SA"/>
          <w:color w:val="111111"/>
          <w:sz w:val="28"/>
          <w:szCs w:val="28"/>
          <w:rtl/>
        </w:rPr>
        <w:t xml:space="preserve">،و استقرّ علیه رأی مَن</w:t>
      </w:r>
    </w:p>
    <w:p>
      <w:pPr>
        <w:pStyle w:val="BookText"/>
      </w:pPr>
      <w:r>
        <w:rPr>
          <w:rFonts w:ascii="IRNazanin" w:hAnsi="IRNazanin" w:eastAsia="IRNazanin" w:cs="IRNazanin"/>
          <w:lang w:bidi="fa-IR"/>
          <w:color w:val="111111"/>
          <w:sz w:val="28"/>
          <w:szCs w:val="28"/>
          <w:rtl/>
        </w:rPr>
        <w:t xml:space="preserve">[شماره صفحه واقعی : 349]
</w:t>
      </w:r>
    </w:p>
    <w:p>
      <w:pPr>
        <w:sectPr>
          <w:footerReference w:type="default" r:id="rId10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تأخّر </w:t>
      </w:r>
      <w:r>
        <w:rPr>
          <w:rStyle w:val="FootnoteReference"/>
        </w:rPr>
        <w:footnoteReference w:id="3184"/>
      </w:r>
      <w:r>
        <w:rPr>
          <w:rFonts w:ascii="IRNazanin" w:hAnsi="IRNazanin" w:eastAsia="IRNazanin" w:cs="IRNazanin"/>
          <w:lang w:bidi="fa-IR"/>
          <w:color w:val="111111"/>
          <w:sz w:val="28"/>
          <w:szCs w:val="28"/>
          <w:rtl/>
        </w:rPr>
        <w:t xml:space="preserve">عدا فخر الدین </w:t>
      </w:r>
      <w:r>
        <w:rPr>
          <w:rStyle w:val="FootnoteReference"/>
        </w:rPr>
        <w:footnoteReference w:id="3185"/>
      </w:r>
      <w:r>
        <w:rPr>
          <w:rFonts w:ascii="IRNazanin" w:hAnsi="IRNazanin" w:eastAsia="IRNazanin" w:cs="IRNazanin"/>
          <w:lang w:bidi="fa-IR"/>
          <w:color w:val="111111"/>
          <w:sz w:val="28"/>
          <w:szCs w:val="28"/>
          <w:rtl/>
        </w:rPr>
        <w:t xml:space="preserve">و بعض متأخّری المتأخّرین،کالأردبیلی </w:t>
      </w:r>
      <w:r>
        <w:rPr>
          <w:rStyle w:val="FootnoteReference"/>
        </w:rPr>
        <w:footnoteReference w:id="3186"/>
      </w:r>
      <w:r>
        <w:rPr>
          <w:rFonts w:ascii="IRNazanin" w:hAnsi="IRNazanin" w:eastAsia="IRNazanin" w:cs="IRNazanin"/>
          <w:lang w:bidi="fa-IR"/>
          <w:color w:val="111111"/>
          <w:sz w:val="28"/>
          <w:szCs w:val="28"/>
          <w:rtl/>
        </w:rPr>
        <w:t xml:space="preserve">و السیّد الداماد </w:t>
      </w:r>
      <w:r>
        <w:rPr>
          <w:rStyle w:val="FootnoteReference"/>
        </w:rPr>
        <w:footnoteReference w:id="3187"/>
      </w:r>
      <w:r>
        <w:rPr>
          <w:rFonts w:ascii="Amiri" w:hAnsi="Amiri" w:eastAsia="Amiri" w:cs="Amiri"/>
          <w:lang w:bidi="ar-SA"/>
          <w:color w:val="111111"/>
          <w:sz w:val="28"/>
          <w:szCs w:val="28"/>
          <w:rtl/>
        </w:rPr>
        <w:t xml:space="preserve">و بعض متأخّری المحدّثین </w:t>
      </w:r>
      <w:r>
        <w:rPr>
          <w:rStyle w:val="FootnoteReference"/>
        </w:rPr>
        <w:footnoteReference w:id="3188"/>
      </w:r>
      <w:r>
        <w:rPr>
          <w:rFonts w:ascii="IRNazanin" w:hAnsi="IRNazanin" w:eastAsia="IRNazanin" w:cs="IRNazanin"/>
          <w:lang w:bidi="fa-IR"/>
          <w:color w:val="111111"/>
          <w:sz w:val="28"/>
          <w:szCs w:val="28"/>
          <w:rtl/>
        </w:rPr>
        <w:t xml:space="preserve">لعموم أدلّة البیع و العقود؛ لأنّ خلوّه عن إذن المالک لا یوجب سلب اسم العقد و البیع عنه، و اشتراط ترتّب الأثر بالرضا و توقّفه علیه أیضاً لا مجال لإنکاره،فلم یبقَ الکلام إلّا فی اشتراط سبق الإذن،و حیث لا دلیل علیه فمقتضی الإطلاقات عدمه،و مرجع ذلک کلّه إلی عموم«حِلّ البیع»و«وجوب الوفاء بالعقد»،خرج منه العاری عن الإذن و الإجازة معاً،و لم یعلم خروج ما فقد الإذن و لحقه الإجارة.</w:t>
      </w:r>
    </w:p>
    <w:p>
      <w:pPr>
        <w:pStyle w:val="BookText"/>
      </w:pPr>
      <w:r>
        <w:rPr>
          <w:rFonts w:ascii="IRNazanin" w:hAnsi="IRNazanin" w:eastAsia="IRNazanin" w:cs="IRNazanin"/>
          <w:lang w:bidi="fa-IR"/>
          <w:color w:val="111111"/>
          <w:sz w:val="28"/>
          <w:szCs w:val="28"/>
          <w:rtl/>
        </w:rPr>
        <w:t xml:space="preserve">[*ستوده]</w:t>
      </w:r>
    </w:p>
    <w:p>
      <w:pPr>
        <w:pStyle w:val="BookText"/>
      </w:pPr>
      <w:r>
        <w:rPr>
          <w:rFonts w:ascii="IRNazanin" w:hAnsi="IRNazanin" w:eastAsia="IRNazanin" w:cs="IRNazanin"/>
          <w:lang w:bidi="fa-IR"/>
          <w:color w:val="111111"/>
          <w:sz w:val="28"/>
          <w:szCs w:val="28"/>
          <w:rtl/>
        </w:rPr>
        <w:t xml:space="preserve">و إلی ما ذکرنا یرجع استدلالهم:بأنّه عقد صدر عن أهله فی محلّه </w:t>
      </w:r>
      <w:r>
        <w:rPr>
          <w:rStyle w:val="FootnoteReference"/>
        </w:rPr>
        <w:footnoteReference w:id="31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فما ذکره فی غایة المراد:من أنّه من باب المصادرات </w:t>
      </w:r>
      <w:r>
        <w:rPr>
          <w:rStyle w:val="FootnoteReference"/>
        </w:rPr>
        <w:footnoteReference w:id="3190"/>
      </w:r>
      <w:r>
        <w:rPr>
          <w:rFonts w:ascii="IRNazanin" w:hAnsi="IRNazanin" w:eastAsia="IRNazanin" w:cs="IRNazanin"/>
          <w:lang w:bidi="fa-IR"/>
          <w:color w:val="111111"/>
          <w:sz w:val="28"/>
          <w:szCs w:val="28"/>
          <w:rtl/>
        </w:rPr>
        <w:t xml:space="preserve">،لم أتحقّق وجهه؛لأنّ کون العاقد أهلاً للعقد من حیث إنّه بالغ عاقل لا کلام</w:t>
      </w:r>
    </w:p>
    <w:p>
      <w:pPr>
        <w:pStyle w:val="BookText"/>
      </w:pPr>
      <w:r>
        <w:rPr>
          <w:rFonts w:ascii="IRNazanin" w:hAnsi="IRNazanin" w:eastAsia="IRNazanin" w:cs="IRNazanin"/>
          <w:lang w:bidi="fa-IR"/>
          <w:color w:val="111111"/>
          <w:sz w:val="28"/>
          <w:szCs w:val="28"/>
          <w:rtl/>
        </w:rPr>
        <w:t xml:space="preserve">[شماره صفحه واقعی : 350]
</w:t>
      </w:r>
    </w:p>
    <w:p>
      <w:pPr>
        <w:sectPr>
          <w:footerReference w:type="default" r:id="rId1029"/>
          <w:footnotePr>
            <w:numStart w:val="1"/>
            <w:numRestart w:val="eachPage"/>
          </w:footnotePr>
          <w:pgSz w:orient="portrait" w:w="11905.511811023622" w:h="16837.79527559055"/>
          <w:pgMar w:top="1440" w:right="1440" w:bottom="1440" w:left="1440" w:header="720" w:footer="720" w:gutter="0"/>
          <w:cols w:num="1" w:space="720"/>
        </w:sectPr>
      </w:pPr>
    </w:p>
    <w:bookmarkStart w:id="626" w:name="pg14411_143411"/>
    <w:bookmarkEnd w:id="626"/>
    <w:p>
      <w:pPr>
        <w:pStyle w:val="BookText"/>
      </w:pPr>
      <w:r>
        <w:rPr>
          <w:rFonts w:ascii="IRNazanin" w:hAnsi="IRNazanin" w:eastAsia="IRNazanin" w:cs="IRNazanin"/>
          <w:lang w:bidi="fa-IR"/>
          <w:color w:val="111111"/>
          <w:sz w:val="28"/>
          <w:szCs w:val="28"/>
          <w:rtl/>
        </w:rPr>
        <w:t xml:space="preserve">فیه،و کذا کون المبیع قابلاً للبیع،فلیس محلّ الکلام إلّا خلوّ العقد عن مقارنة إذن المالک،و هو مدفوع بالأصل،و لعلّ مراد الشهید:أنّ الکلام فی أهلیّة العاقد،و یکفی </w:t>
      </w:r>
      <w:r>
        <w:rPr>
          <w:rStyle w:val="FootnoteReference"/>
        </w:rPr>
        <w:footnoteReference w:id="3191"/>
      </w:r>
      <w:r>
        <w:rPr>
          <w:rFonts w:ascii="IRNazanin" w:hAnsi="IRNazanin" w:eastAsia="IRNazanin" w:cs="IRNazanin"/>
          <w:lang w:bidi="fa-IR"/>
          <w:color w:val="111111"/>
          <w:sz w:val="28"/>
          <w:szCs w:val="28"/>
          <w:rtl/>
        </w:rPr>
        <w:t xml:space="preserve">فی إثباتها العموم المتقدّم.</w:t>
      </w:r>
    </w:p>
    <w:p>
      <w:pPr>
        <w:pStyle w:val="BookText"/>
      </w:pPr>
      <w:r>
        <w:rPr>
          <w:rFonts w:ascii="IRNazanin" w:hAnsi="IRNazanin" w:eastAsia="IRNazanin" w:cs="IRNazanin"/>
          <w:lang w:bidi="fa-IR"/>
          <w:color w:val="111111"/>
          <w:sz w:val="28"/>
          <w:szCs w:val="28"/>
          <w:rtl/>
        </w:rPr>
        <w:t xml:space="preserve">و قد اشتهر الاستدلال علیه بقضیّة عروة البارقی،حیث دفع إلیه النبیّ صلّی اللّه علیه و آله و سلم دیناراً،و قال له:«اشترِ لنا به شاة للأُضحیة» فاشتری به شاتین،ثمّ باع أحدهما فی الطریق بدینار،فأتی النبیّ صلّی اللّه علیه و آله و سلم بالشاة و الدینار،فقال له رسول اللّٰه صلّی اللّه علیه و آله و سلم:</w:t>
      </w:r>
    </w:p>
    <w:p>
      <w:pPr>
        <w:pStyle w:val="BookText"/>
      </w:pPr>
      <w:r>
        <w:rPr>
          <w:rFonts w:ascii="IRNazanin" w:hAnsi="IRNazanin" w:eastAsia="IRNazanin" w:cs="IRNazanin"/>
          <w:lang w:bidi="fa-IR"/>
          <w:color w:val="111111"/>
          <w:sz w:val="28"/>
          <w:szCs w:val="28"/>
          <w:rtl/>
        </w:rPr>
        <w:t xml:space="preserve">«بارک اللّه لک فی صفقة یمینک» </w:t>
      </w:r>
      <w:r>
        <w:rPr>
          <w:rStyle w:val="FootnoteReference"/>
        </w:rPr>
        <w:footnoteReference w:id="3192"/>
      </w:r>
      <w:r>
        <w:rPr>
          <w:rFonts w:ascii="IRNazanin" w:hAnsi="IRNazanin" w:eastAsia="IRNazanin" w:cs="IRNazanin"/>
          <w:lang w:bidi="fa-IR"/>
          <w:color w:val="111111"/>
          <w:sz w:val="28"/>
          <w:szCs w:val="28"/>
          <w:rtl/>
        </w:rPr>
        <w:t xml:space="preserve">،فإنّ بیعه وقع فضولاً و إن وجّهنا شراءه علی وجه یخرج عن الفضولی.</w:t>
      </w:r>
    </w:p>
    <w:p>
      <w:pPr>
        <w:pStyle w:val="Heading6"/>
      </w:pPr>
      <w:bookmarkStart w:id="2249" w:name="_Toc1284"/>
      <w:r>
        <w:t>[المناقشة فی الاستدلال بقضیة عروة البارقی]</w:t>
      </w:r>
      <w:bookmarkEnd w:id="2249"/>
    </w:p>
    <w:p>
      <w:pPr>
        <w:pStyle w:val="BookText"/>
      </w:pPr>
      <w:r>
        <w:rPr>
          <w:rFonts w:ascii="IRNazanin" w:hAnsi="IRNazanin" w:eastAsia="IRNazanin" w:cs="IRNazanin"/>
          <w:lang w:bidi="fa-IR"/>
          <w:color w:val="111111"/>
          <w:sz w:val="28"/>
          <w:szCs w:val="28"/>
          <w:rtl/>
        </w:rPr>
        <w:t xml:space="preserve">هذا،و لکن لا یخفی </w:t>
      </w:r>
      <w:r>
        <w:rPr>
          <w:rStyle w:val="FootnoteReference"/>
        </w:rPr>
        <w:footnoteReference w:id="3193"/>
      </w:r>
      <w:r>
        <w:rPr>
          <w:rFonts w:ascii="IRNazanin" w:hAnsi="IRNazanin" w:eastAsia="IRNazanin" w:cs="IRNazanin"/>
          <w:lang w:bidi="fa-IR"/>
          <w:color w:val="111111"/>
          <w:sz w:val="28"/>
          <w:szCs w:val="28"/>
          <w:rtl/>
        </w:rPr>
        <w:t xml:space="preserve">أنّ الاستدلال بها یتوقّف علی دخول المعاملة المقرونة برضا المالک فی بیع الفضولی.</w:t>
      </w:r>
    </w:p>
    <w:p>
      <w:pPr>
        <w:pStyle w:val="BookText"/>
      </w:pPr>
      <w:r>
        <w:rPr>
          <w:rFonts w:ascii="IRNazanin" w:hAnsi="IRNazanin" w:eastAsia="IRNazanin" w:cs="IRNazanin"/>
          <w:lang w:bidi="fa-IR"/>
          <w:color w:val="111111"/>
          <w:sz w:val="28"/>
          <w:szCs w:val="28"/>
          <w:rtl/>
        </w:rPr>
        <w:t xml:space="preserve">توضیح ذلک:أنّ الظاهر </w:t>
      </w:r>
      <w:r>
        <w:rPr>
          <w:rStyle w:val="FootnoteReference"/>
        </w:rPr>
        <w:footnoteReference w:id="3194"/>
      </w:r>
      <w:r>
        <w:rPr>
          <w:rFonts w:ascii="IRNazanin" w:hAnsi="IRNazanin" w:eastAsia="IRNazanin" w:cs="IRNazanin"/>
          <w:lang w:bidi="fa-IR"/>
          <w:color w:val="111111"/>
          <w:sz w:val="28"/>
          <w:szCs w:val="28"/>
          <w:rtl/>
        </w:rPr>
        <w:t xml:space="preserve">عِلم عُروة برضا النبیّ صلّی اللّه علیه و آله و سلم بما یفعل،و قد أقبض المبیع و قبض الثمن،و لا ریب أنّ الإقباض و القبض فی بیع الفضولی حرام؛لکونه تصرّفاً فی مال الغیر،فلا بدّ:</w:t>
      </w:r>
    </w:p>
    <w:p>
      <w:pPr>
        <w:pStyle w:val="BookText"/>
      </w:pPr>
      <w:r>
        <w:rPr>
          <w:rFonts w:ascii="IRNazanin" w:hAnsi="IRNazanin" w:eastAsia="IRNazanin" w:cs="IRNazanin"/>
          <w:lang w:bidi="fa-IR"/>
          <w:color w:val="111111"/>
          <w:sz w:val="28"/>
          <w:szCs w:val="28"/>
          <w:rtl/>
        </w:rPr>
        <w:t xml:space="preserve">إمّا من التزام أنّ عروة فعل الحرام فی القبض و الإقباض،و هو</w:t>
      </w:r>
    </w:p>
    <w:p>
      <w:pPr>
        <w:pStyle w:val="BookText"/>
      </w:pPr>
      <w:r>
        <w:rPr>
          <w:rFonts w:ascii="IRNazanin" w:hAnsi="IRNazanin" w:eastAsia="IRNazanin" w:cs="IRNazanin"/>
          <w:lang w:bidi="fa-IR"/>
          <w:color w:val="111111"/>
          <w:sz w:val="28"/>
          <w:szCs w:val="28"/>
          <w:rtl/>
        </w:rPr>
        <w:t xml:space="preserve">[شماره صفحه واقعی : 351]
</w:t>
      </w:r>
    </w:p>
    <w:p>
      <w:pPr>
        <w:sectPr>
          <w:footerReference w:type="default" r:id="rId10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منافٍ لتقریر النبیّ صلّی اللّه علیه و آله و سلم.</w:t>
      </w:r>
    </w:p>
    <w:p>
      <w:pPr>
        <w:pStyle w:val="BookText"/>
      </w:pPr>
      <w:r>
        <w:rPr>
          <w:rFonts w:ascii="IRNazanin" w:hAnsi="IRNazanin" w:eastAsia="IRNazanin" w:cs="IRNazanin"/>
          <w:lang w:bidi="fa-IR"/>
          <w:color w:val="111111"/>
          <w:sz w:val="28"/>
          <w:szCs w:val="28"/>
          <w:rtl/>
        </w:rPr>
        <w:t xml:space="preserve">و إمّا من القول بأنّ البیع الذی یعلم بتعقّبه للإجازة یجوز التصرّف فیه قبل الإجازة؛بناءً علی کون الإجازة کاشفة،و سیجیء ضعفه.</w:t>
      </w:r>
    </w:p>
    <w:p>
      <w:pPr>
        <w:pStyle w:val="BookText"/>
      </w:pPr>
      <w:r>
        <w:rPr>
          <w:rFonts w:ascii="IRNazanin" w:hAnsi="IRNazanin" w:eastAsia="IRNazanin" w:cs="IRNazanin"/>
          <w:lang w:bidi="fa-IR"/>
          <w:color w:val="111111"/>
          <w:sz w:val="28"/>
          <w:szCs w:val="28"/>
          <w:rtl/>
        </w:rPr>
        <w:t xml:space="preserve">فیدور الأمر بین ثالثٍ،و هو جعل هذا الفرد </w:t>
      </w:r>
      <w:r>
        <w:rPr>
          <w:rStyle w:val="FootnoteReference"/>
        </w:rPr>
        <w:footnoteReference w:id="3195"/>
      </w:r>
      <w:r>
        <w:rPr>
          <w:rFonts w:ascii="IRNazanin" w:hAnsi="IRNazanin" w:eastAsia="IRNazanin" w:cs="IRNazanin"/>
          <w:lang w:bidi="fa-IR"/>
          <w:color w:val="111111"/>
          <w:sz w:val="28"/>
          <w:szCs w:val="28"/>
          <w:rtl/>
        </w:rPr>
        <w:t xml:space="preserve">من البیع-و هو المقرون برضا المالک-خارجاً عن الفضولی،کما قلناه </w:t>
      </w:r>
      <w:r>
        <w:rPr>
          <w:rStyle w:val="FootnoteReference"/>
        </w:rPr>
        <w:footnoteReference w:id="31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رابعٍ،و هو عِلم عُروة برضا النبیّ صلّی اللّه علیه و آله و سلم بإقباض ماله للمشتری حتّی یستأذن،و عِلم المشتری بکون البیع فضولیّاً حتّی یکون دفعه للثمن بید البائع علی وجه الأمانة،و إلّا فالفضولی لیس مالکاً و لا وکیلاً،فلا یستحقّ قبض المال،فلو کان المشتری عالماً فله أن یستأمنه علی الثمن حتّی ینکشف الحال،بخلاف ما لو کان جاهلاً.</w:t>
      </w:r>
    </w:p>
    <w:p>
      <w:pPr>
        <w:pStyle w:val="BookText"/>
      </w:pPr>
      <w:r>
        <w:rPr>
          <w:rFonts w:ascii="IRNazanin" w:hAnsi="IRNazanin" w:eastAsia="IRNazanin" w:cs="IRNazanin"/>
          <w:lang w:bidi="fa-IR"/>
          <w:color w:val="111111"/>
          <w:sz w:val="28"/>
          <w:szCs w:val="28"/>
          <w:rtl/>
        </w:rPr>
        <w:t xml:space="preserve">و لکنّ الظاهر هو أوّل الوجهین،کما لا یخفی،خصوصاً بملاحظة أنّ الظاهر وقوع تلک المعاملة علی جهة المعاطاة،و قد تقدّم أنّ المناط فیها مجرّد المراضاة و وصول کلٍّ من العوضین إلی صاحب الآخر و حصوله عنده بإقباض المالک أو غیره و لو کان صبیاً أو حیواناً </w:t>
      </w:r>
      <w:r>
        <w:rPr>
          <w:rStyle w:val="FootnoteReference"/>
        </w:rPr>
        <w:footnoteReference w:id="3197"/>
      </w:r>
      <w:r>
        <w:rPr>
          <w:rFonts w:ascii="IRNazanin" w:hAnsi="IRNazanin" w:eastAsia="IRNazanin" w:cs="IRNazanin"/>
          <w:lang w:bidi="fa-IR"/>
          <w:color w:val="111111"/>
          <w:sz w:val="28"/>
          <w:szCs w:val="28"/>
          <w:rtl/>
        </w:rPr>
        <w:t xml:space="preserve">،فإذا حصل التقابض بین فضولیّین </w:t>
      </w:r>
      <w:r>
        <w:rPr>
          <w:rStyle w:val="FootnoteReference"/>
        </w:rPr>
        <w:footnoteReference w:id="3198"/>
      </w:r>
      <w:r>
        <w:rPr>
          <w:rFonts w:ascii="IRNazanin" w:hAnsi="IRNazanin" w:eastAsia="IRNazanin" w:cs="IRNazanin"/>
          <w:lang w:bidi="fa-IR"/>
          <w:color w:val="111111"/>
          <w:sz w:val="28"/>
          <w:szCs w:val="28"/>
          <w:rtl/>
        </w:rPr>
        <w:t xml:space="preserve">أو فضولی و غیره مقروناً برضا المالکین،</w:t>
      </w:r>
    </w:p>
    <w:p>
      <w:pPr>
        <w:pStyle w:val="BookText"/>
      </w:pPr>
      <w:r>
        <w:rPr>
          <w:rFonts w:ascii="IRNazanin" w:hAnsi="IRNazanin" w:eastAsia="IRNazanin" w:cs="IRNazanin"/>
          <w:lang w:bidi="fa-IR"/>
          <w:color w:val="111111"/>
          <w:sz w:val="28"/>
          <w:szCs w:val="28"/>
          <w:rtl/>
        </w:rPr>
        <w:t xml:space="preserve">[شماره صفحه واقعی : 352]
</w:t>
      </w:r>
    </w:p>
    <w:p>
      <w:pPr>
        <w:sectPr>
          <w:footerReference w:type="default" r:id="rId1031"/>
          <w:footnotePr>
            <w:numStart w:val="1"/>
            <w:numRestart w:val="eachPage"/>
          </w:footnotePr>
          <w:pgSz w:orient="portrait" w:w="11905.511811023622" w:h="16837.79527559055"/>
          <w:pgMar w:top="1440" w:right="1440" w:bottom="1440" w:left="1440" w:header="720" w:footer="720" w:gutter="0"/>
          <w:cols w:num="1" w:space="720"/>
        </w:sectPr>
      </w:pPr>
    </w:p>
    <w:bookmarkStart w:id="627" w:name="pg14411_143413"/>
    <w:bookmarkEnd w:id="627"/>
    <w:p>
      <w:pPr>
        <w:pStyle w:val="BookText"/>
      </w:pPr>
      <w:r>
        <w:rPr>
          <w:rFonts w:ascii="Amiri" w:hAnsi="Amiri" w:eastAsia="Amiri" w:cs="Amiri"/>
          <w:lang w:bidi="ar-SA"/>
          <w:color w:val="111111"/>
          <w:sz w:val="28"/>
          <w:szCs w:val="28"/>
          <w:rtl/>
        </w:rPr>
        <w:t xml:space="preserve">ثمّ وصل </w:t>
      </w:r>
      <w:r>
        <w:rPr>
          <w:rStyle w:val="FootnoteReference"/>
        </w:rPr>
        <w:footnoteReference w:id="3199"/>
      </w:r>
      <w:r>
        <w:rPr>
          <w:rFonts w:ascii="IRNazanin" w:hAnsi="IRNazanin" w:eastAsia="IRNazanin" w:cs="IRNazanin"/>
          <w:lang w:bidi="fa-IR"/>
          <w:color w:val="111111"/>
          <w:sz w:val="28"/>
          <w:szCs w:val="28"/>
          <w:rtl/>
        </w:rPr>
        <w:t xml:space="preserve">کلّ من العوضین إلی صاحب الآخر و علم برضا صاحبه، کفی فی صحّة التصرّف.</w:t>
      </w:r>
    </w:p>
    <w:p>
      <w:pPr>
        <w:pStyle w:val="BookText"/>
      </w:pPr>
      <w:r>
        <w:rPr>
          <w:rFonts w:ascii="IRNazanin" w:hAnsi="IRNazanin" w:eastAsia="IRNazanin" w:cs="IRNazanin"/>
          <w:lang w:bidi="fa-IR"/>
          <w:color w:val="111111"/>
          <w:sz w:val="28"/>
          <w:szCs w:val="28"/>
          <w:rtl/>
        </w:rPr>
        <w:t xml:space="preserve">و لیس هذا من معاملة الفضولی؛لأنّ الفضولی صار آلة فی الإیصال،و العبرة برضا المالک المقرون به.</w:t>
      </w:r>
    </w:p>
    <w:p>
      <w:pPr>
        <w:pStyle w:val="Heading6"/>
      </w:pPr>
      <w:bookmarkStart w:id="2250" w:name="_Toc1285"/>
      <w:r>
        <w:t>[الاستدلال للصحة بصحیحة محمد بن قیس]</w:t>
      </w:r>
      <w:bookmarkEnd w:id="2250"/>
    </w:p>
    <w:p>
      <w:pPr>
        <w:pStyle w:val="BookText"/>
      </w:pPr>
      <w:r>
        <w:rPr>
          <w:rFonts w:ascii="Amiri" w:hAnsi="Amiri" w:eastAsia="Amiri" w:cs="Amiri"/>
          <w:lang w:bidi="ar-SA"/>
          <w:color w:val="111111"/>
          <w:sz w:val="28"/>
          <w:szCs w:val="28"/>
          <w:rtl/>
        </w:rPr>
        <w:t xml:space="preserve">و استدلّ له </w:t>
      </w:r>
      <w:r>
        <w:rPr>
          <w:rStyle w:val="FootnoteReference"/>
        </w:rPr>
        <w:footnoteReference w:id="3200"/>
      </w:r>
      <w:r>
        <w:rPr>
          <w:rFonts w:ascii="IRNazanin" w:hAnsi="IRNazanin" w:eastAsia="IRNazanin" w:cs="IRNazanin"/>
          <w:lang w:bidi="fa-IR"/>
          <w:color w:val="111111"/>
          <w:sz w:val="28"/>
          <w:szCs w:val="28"/>
          <w:rtl/>
        </w:rPr>
        <w:t xml:space="preserve">أیضاً-تبعاً للشهید فی الدروس-بصحیحة محمّد ابن قیس عن أبی جعفر الباقر علیه السلام،قال:«قضی أمیر المؤمنین علیه السلام فی ولیدة باعها ابن سیّدها و أبوه غائب،فاستولدها الذی اشتراها فولدت منه،فجاء سیّدها فخاصم سیّدها الآخر،فقال:ولیدتی باعها ابنی بغیر إذنی.فقال علیه السلام:الحکم أن یأخذ ولیدته و ابنها.فناشده الذی اشتراها،فقال له:خذ ابنه الذی باعک الولیدة حتّی ینفذ البیع لک.فلمّا رآه أبوه قال له:أرسل ابنی.قال:لا و اللّه!لا أُرسل ابنک حتّی ترسل ابنی؛فلمّا رأی ذلک سیّد الولیدة أجاز بیع ابنه...</w:t>
      </w:r>
    </w:p>
    <w:p>
      <w:pPr>
        <w:pStyle w:val="BookText"/>
      </w:pPr>
      <w:r>
        <w:rPr>
          <w:rFonts w:ascii="IRNazanin" w:hAnsi="IRNazanin" w:eastAsia="IRNazanin" w:cs="IRNazanin"/>
          <w:lang w:bidi="fa-IR"/>
          <w:color w:val="111111"/>
          <w:sz w:val="28"/>
          <w:szCs w:val="28"/>
          <w:rtl/>
        </w:rPr>
        <w:t xml:space="preserve">الحدیث» </w:t>
      </w:r>
      <w:r>
        <w:rPr>
          <w:rStyle w:val="FootnoteReference"/>
        </w:rPr>
        <w:footnoteReference w:id="32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فی الدروس:و فیها دلالة علی صحّة الفضولی و أنّ الإجازة کاشفة </w:t>
      </w:r>
      <w:r>
        <w:rPr>
          <w:rStyle w:val="FootnoteReference"/>
        </w:rPr>
        <w:footnoteReference w:id="32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353]
</w:t>
      </w:r>
    </w:p>
    <w:p>
      <w:pPr>
        <w:sectPr>
          <w:footerReference w:type="default" r:id="rId1032"/>
          <w:footnotePr>
            <w:numStart w:val="1"/>
            <w:numRestart w:val="eachPage"/>
          </w:footnotePr>
          <w:pgSz w:orient="portrait" w:w="11905.511811023622" w:h="16837.79527559055"/>
          <w:pgMar w:top="1440" w:right="1440" w:bottom="1440" w:left="1440" w:header="720" w:footer="720" w:gutter="0"/>
          <w:cols w:num="1" w:space="720"/>
        </w:sectPr>
      </w:pPr>
    </w:p>
    <w:bookmarkStart w:id="628" w:name="pg14411_143414"/>
    <w:bookmarkEnd w:id="628"/>
    <w:p>
      <w:pPr>
        <w:pStyle w:val="Heading6"/>
      </w:pPr>
      <w:bookmarkStart w:id="2251" w:name="_Toc1286"/>
      <w:r>
        <w:t>[المناقشة فی الاستدلال بصحیحة محمد بن قیس]</w:t>
      </w:r>
      <w:bookmarkEnd w:id="2251"/>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[*ستوده]</w:t>
      </w:r>
    </w:p>
    <w:p>
      <w:pPr>
        <w:pStyle w:val="BookText"/>
      </w:pPr>
      <w:r>
        <w:rPr>
          <w:rFonts w:ascii="IRNazanin" w:hAnsi="IRNazanin" w:eastAsia="IRNazanin" w:cs="IRNazanin"/>
          <w:lang w:bidi="fa-IR"/>
          <w:color w:val="111111"/>
          <w:sz w:val="28"/>
          <w:szCs w:val="28"/>
          <w:rtl/>
        </w:rPr>
        <w:t xml:space="preserve">و لا یرد علیها شیءٌ ممّا یوهِن الاستدلال بها،فضلاً عن أن یسقطه.و جمیع ما ذکر فیها من الموهنات </w:t>
      </w:r>
      <w:r>
        <w:rPr>
          <w:rStyle w:val="FootnoteReference"/>
        </w:rPr>
        <w:footnoteReference w:id="3203"/>
      </w:r>
      <w:r>
        <w:rPr>
          <w:rFonts w:ascii="IRNazanin" w:hAnsi="IRNazanin" w:eastAsia="IRNazanin" w:cs="IRNazanin"/>
          <w:lang w:bidi="fa-IR"/>
          <w:color w:val="111111"/>
          <w:sz w:val="28"/>
          <w:szCs w:val="28"/>
          <w:rtl/>
        </w:rPr>
        <w:t xml:space="preserve">موهونة،إلّا ظهور الروایة فی تأثیر الإجازة المسبوقة بالردّ،من جهة ظهور المخاصمة فی ذلک، و إطلاق حکم الإمام علیه السلام بتعیین </w:t>
      </w:r>
      <w:r>
        <w:rPr>
          <w:rStyle w:val="FootnoteReference"/>
        </w:rPr>
        <w:footnoteReference w:id="3204"/>
      </w:r>
      <w:r>
        <w:rPr>
          <w:rFonts w:ascii="IRNazanin" w:hAnsi="IRNazanin" w:eastAsia="IRNazanin" w:cs="IRNazanin"/>
          <w:lang w:bidi="fa-IR"/>
          <w:color w:val="111111"/>
          <w:sz w:val="28"/>
          <w:szCs w:val="28"/>
          <w:rtl/>
        </w:rPr>
        <w:t xml:space="preserve">أخذ الجاریة و أنّها </w:t>
      </w:r>
      <w:r>
        <w:rPr>
          <w:rStyle w:val="FootnoteReference"/>
        </w:rPr>
        <w:footnoteReference w:id="3205"/>
      </w:r>
      <w:r>
        <w:rPr>
          <w:rFonts w:ascii="IRNazanin" w:hAnsi="IRNazanin" w:eastAsia="IRNazanin" w:cs="IRNazanin"/>
          <w:lang w:bidi="fa-IR"/>
          <w:color w:val="111111"/>
          <w:sz w:val="28"/>
          <w:szCs w:val="28"/>
          <w:rtl/>
        </w:rPr>
        <w:t xml:space="preserve">من المالک -بناء علی أنّه لو لم یردّ البیع وجب تقیید الأخذ بصورة اختیار الردّ- و مناشدة المشتری للإمام علیه السلام و إلحاحه علیه فی علاج فکاک ولده، و قوله:«حتّی ترسل ابنی»الظاهر فی أنّه حبس الولد و لو علی قیمته یوم الولادة.</w:t>
      </w:r>
    </w:p>
    <w:p>
      <w:pPr>
        <w:pStyle w:val="BookText"/>
      </w:pPr>
      <w:r>
        <w:rPr>
          <w:rFonts w:ascii="IRNazanin" w:hAnsi="IRNazanin" w:eastAsia="IRNazanin" w:cs="IRNazanin"/>
          <w:lang w:bidi="fa-IR"/>
          <w:color w:val="111111"/>
          <w:sz w:val="28"/>
          <w:szCs w:val="28"/>
          <w:rtl/>
        </w:rPr>
        <w:t xml:space="preserve">و حمل إمساکه الولیدة علی حبسها لأجل ثمنها-کحبس ولدها علی القیمة-ینافیه قوله علیه السلام:«فلمّا رأی ذلک سیّد الولیدة أجاز بیع الولد </w:t>
      </w:r>
      <w:r>
        <w:rPr>
          <w:rStyle w:val="FootnoteReference"/>
        </w:rPr>
        <w:footnoteReference w:id="32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الحاصل:أنّ ظهور الروایة فی ردّ البیع أوّلاً ممّا لا ینکره المنصف،إلّا أنّ الإنصاف أنّ ظهور الروایة فی أنّ أصل الإجازة مجدیة فی الفضولی-مع قطع النظر عن الإجازة الشخصیة فی مورد الروایة- غیر قابل للإنکار،فلا بدّ من تأویل ذلک الظاهر؛لقیام القرینة-و هی الإجماع-علی اشتراط الإجازة بعدم سبق الردّ.</w:t>
      </w:r>
    </w:p>
    <w:p>
      <w:pPr>
        <w:pStyle w:val="BookText"/>
      </w:pPr>
      <w:r>
        <w:rPr>
          <w:rFonts w:ascii="IRNazanin" w:hAnsi="IRNazanin" w:eastAsia="IRNazanin" w:cs="IRNazanin"/>
          <w:lang w:bidi="fa-IR"/>
          <w:color w:val="111111"/>
          <w:sz w:val="28"/>
          <w:szCs w:val="28"/>
          <w:rtl/>
        </w:rPr>
        <w:t xml:space="preserve">[شماره صفحه واقعی : 354]
</w:t>
      </w:r>
    </w:p>
    <w:p>
      <w:pPr>
        <w:sectPr>
          <w:footerReference w:type="default" r:id="rId1033"/>
          <w:footnotePr>
            <w:numStart w:val="1"/>
            <w:numRestart w:val="eachPage"/>
          </w:footnotePr>
          <w:pgSz w:orient="portrait" w:w="11905.511811023622" w:h="16837.79527559055"/>
          <w:pgMar w:top="1440" w:right="1440" w:bottom="1440" w:left="1440" w:header="720" w:footer="720" w:gutter="0"/>
          <w:cols w:num="1" w:space="720"/>
        </w:sectPr>
      </w:pPr>
    </w:p>
    <w:bookmarkStart w:id="629" w:name="pg14411_143415"/>
    <w:bookmarkEnd w:id="629"/>
    <w:p>
      <w:pPr>
        <w:pStyle w:val="BookText"/>
      </w:pPr>
      <w:r>
        <w:rPr>
          <w:rFonts w:ascii="IRNazanin" w:hAnsi="IRNazanin" w:eastAsia="IRNazanin" w:cs="IRNazanin"/>
          <w:lang w:bidi="fa-IR"/>
          <w:color w:val="111111"/>
          <w:sz w:val="28"/>
          <w:szCs w:val="28"/>
          <w:rtl/>
        </w:rPr>
        <w:t xml:space="preserve">و الحاصل:أنّ مناط الاستدلال لو کان نفس القضیّة الشخصیّة من جهة اشتمالها علی تصحیح بیع الفضولی بالإجازة-بناءً علی قاعدة اشتراک جمیع القضایا المتّحدة نوعاً فی الحکم الشرعی-کان ظهورها فی کون الإجازة الشخصیّة فی تلک القضیّة مسبوقة بالردّ مانعاً عن الاستدلال بها،موجباً للاقتصار علی موردها؛لوجهٍ عَلِمه الإمام علیه السلام، مثل:کون مالک الولیدة کاذباً فی دعوی عدم الإذن للولد،فاحتال علیه السلام حیلة یصل بها الحقّ إلی صاحبه.</w:t>
      </w:r>
    </w:p>
    <w:p>
      <w:pPr>
        <w:pStyle w:val="Heading6"/>
      </w:pPr>
      <w:bookmarkStart w:id="2252" w:name="_Toc1287"/>
      <w:r>
        <w:t>[توجیه الاستدلال بصحیحة محمد بن قیس]</w:t>
      </w:r>
      <w:bookmarkEnd w:id="2252"/>
    </w:p>
    <w:p>
      <w:pPr>
        <w:pStyle w:val="BookText"/>
      </w:pPr>
      <w:r>
        <w:rPr>
          <w:rFonts w:ascii="IRNazanin" w:hAnsi="IRNazanin" w:eastAsia="IRNazanin" w:cs="IRNazanin"/>
          <w:lang w:bidi="fa-IR"/>
          <w:color w:val="111111"/>
          <w:sz w:val="28"/>
          <w:szCs w:val="28"/>
          <w:rtl/>
        </w:rPr>
        <w:t xml:space="preserve">أمّا لو کان مناط الاستدلال ظهور سیاق کلام الأمیر علیه السلام فی قوله:«خذ ابنه حتّی ینفذ لک البیع»،و قول الباقر علیه السلام فی مقام الحکایة:«فلمّا رأی ذلک سیّد الولیدة أجاز بیع ابنه»فی أنّ للمالک أن یجیز العقد الواقع علی ملکه و ینفذه،لم یقدح فی ذلک ظهور الإجازة الشخصیّة فی وقوعها بعد الردّ،فیؤوّل ما یظهر منه الردّ بإرادة عدم الجزم بالإجازة و الردّ،أو کون حبس الولیدة علی الثمن،أو نحو ذلک.</w:t>
      </w:r>
    </w:p>
    <w:p>
      <w:pPr>
        <w:pStyle w:val="BookText"/>
      </w:pPr>
      <w:r>
        <w:rPr>
          <w:rFonts w:ascii="IRNazanin" w:hAnsi="IRNazanin" w:eastAsia="IRNazanin" w:cs="IRNazanin"/>
          <w:lang w:bidi="fa-IR"/>
          <w:color w:val="111111"/>
          <w:sz w:val="28"/>
          <w:szCs w:val="28"/>
          <w:rtl/>
        </w:rPr>
        <w:t xml:space="preserve">و کأنّه قد اشتبه مناط الاستدلال علی مَن لم یستدلّ بها فی مسألة الفضولی،أو یکون الوجه فی الإغماض عنها ضعف الدلالة المذکورة، فإنّها لا تزید علی الإشعار؛و لذا لم یذکرها فی الدروس فی مسألة الفضولی،بل ذکرها فی موضع آخر </w:t>
      </w:r>
      <w:r>
        <w:rPr>
          <w:rStyle w:val="FootnoteReference"/>
        </w:rPr>
        <w:footnoteReference w:id="3207"/>
      </w:r>
      <w:r>
        <w:rPr>
          <w:rFonts w:ascii="IRNazanin" w:hAnsi="IRNazanin" w:eastAsia="IRNazanin" w:cs="IRNazanin"/>
          <w:lang w:bidi="fa-IR"/>
          <w:color w:val="111111"/>
          <w:sz w:val="28"/>
          <w:szCs w:val="28"/>
          <w:rtl/>
        </w:rPr>
        <w:t xml:space="preserve">،لکنّ الفقیه فی غنی عنه </w:t>
      </w:r>
      <w:r>
        <w:rPr>
          <w:rStyle w:val="FootnoteReference"/>
        </w:rPr>
        <w:footnoteReference w:id="3208"/>
      </w:r>
      <w:r>
        <w:rPr>
          <w:rFonts w:ascii="Amiri" w:hAnsi="Amiri" w:eastAsia="Amiri" w:cs="Amiri"/>
          <w:lang w:bidi="ar-SA"/>
          <w:color w:val="111111"/>
          <w:sz w:val="28"/>
          <w:szCs w:val="28"/>
          <w:rtl/>
        </w:rPr>
        <w:t xml:space="preserve">بعد العمومات المتقدّمة.</w:t>
      </w:r>
    </w:p>
    <w:p>
      <w:pPr>
        <w:pStyle w:val="BookText"/>
      </w:pPr>
      <w:r>
        <w:rPr>
          <w:rFonts w:ascii="IRNazanin" w:hAnsi="IRNazanin" w:eastAsia="IRNazanin" w:cs="IRNazanin"/>
          <w:lang w:bidi="fa-IR"/>
          <w:color w:val="111111"/>
          <w:sz w:val="28"/>
          <w:szCs w:val="28"/>
          <w:rtl/>
        </w:rPr>
        <w:t xml:space="preserve">[شماره صفحه واقعی : 355]
</w:t>
      </w:r>
    </w:p>
    <w:p>
      <w:pPr>
        <w:sectPr>
          <w:footerReference w:type="default" r:id="rId1034"/>
          <w:footnotePr>
            <w:numStart w:val="1"/>
            <w:numRestart w:val="eachPage"/>
          </w:footnotePr>
          <w:pgSz w:orient="portrait" w:w="11905.511811023622" w:h="16837.79527559055"/>
          <w:pgMar w:top="1440" w:right="1440" w:bottom="1440" w:left="1440" w:header="720" w:footer="720" w:gutter="0"/>
          <w:cols w:num="1" w:space="720"/>
        </w:sectPr>
      </w:pPr>
    </w:p>
    <w:bookmarkStart w:id="630" w:name="pg14411_143416"/>
    <w:bookmarkEnd w:id="630"/>
    <w:p>
      <w:pPr>
        <w:pStyle w:val="Heading6"/>
      </w:pPr>
      <w:bookmarkStart w:id="2253" w:name="_Toc1288"/>
      <w:r>
        <w:t>[الاستدلال لصحة بیع الفضولی بفحوی صحة نکاحه]</w:t>
      </w:r>
      <w:bookmarkEnd w:id="2253"/>
    </w:p>
    <w:p>
      <w:pPr>
        <w:pStyle w:val="BookText"/>
      </w:pPr>
      <w:r>
        <w:rPr>
          <w:rFonts w:ascii="Amiri" w:hAnsi="Amiri" w:eastAsia="Amiri" w:cs="Amiri"/>
          <w:lang w:bidi="ar-SA"/>
          <w:color w:val="111111"/>
          <w:sz w:val="28"/>
          <w:szCs w:val="28"/>
          <w:rtl/>
        </w:rPr>
        <w:t xml:space="preserve">و ربما یستدلّ أیضاً </w:t>
      </w:r>
      <w:r>
        <w:rPr>
          <w:rStyle w:val="FootnoteReference"/>
        </w:rPr>
        <w:footnoteReference w:id="3209"/>
      </w:r>
      <w:r>
        <w:rPr>
          <w:rFonts w:ascii="IRNazanin" w:hAnsi="IRNazanin" w:eastAsia="IRNazanin" w:cs="IRNazanin"/>
          <w:lang w:bidi="fa-IR"/>
          <w:color w:val="111111"/>
          <w:sz w:val="28"/>
          <w:szCs w:val="28"/>
          <w:rtl/>
        </w:rPr>
        <w:t xml:space="preserve">:بفحوی صحّة عقد النکاح من الفضولی فی الحرّ و العبد،الثابتة بالنصّ </w:t>
      </w:r>
      <w:r>
        <w:rPr>
          <w:rStyle w:val="FootnoteReference"/>
        </w:rPr>
        <w:footnoteReference w:id="3210"/>
      </w:r>
      <w:r>
        <w:rPr>
          <w:rFonts w:ascii="IRNazanin" w:hAnsi="IRNazanin" w:eastAsia="IRNazanin" w:cs="IRNazanin"/>
          <w:lang w:bidi="fa-IR"/>
          <w:color w:val="111111"/>
          <w:sz w:val="28"/>
          <w:szCs w:val="28"/>
          <w:rtl/>
        </w:rPr>
        <w:t xml:space="preserve">و الإجماعات المحکیة </w:t>
      </w:r>
      <w:r>
        <w:rPr>
          <w:rStyle w:val="FootnoteReference"/>
        </w:rPr>
        <w:footnoteReference w:id="3211"/>
      </w:r>
      <w:r>
        <w:rPr>
          <w:rFonts w:ascii="IRNazanin" w:hAnsi="IRNazanin" w:eastAsia="IRNazanin" w:cs="IRNazanin"/>
          <w:lang w:bidi="fa-IR"/>
          <w:color w:val="111111"/>
          <w:sz w:val="28"/>
          <w:szCs w:val="28"/>
          <w:rtl/>
        </w:rPr>
        <w:t xml:space="preserve">فإنّ تملیک بضع الغیر إذا لزم بالإجازة کان تملیک ماله أولی بذلک،مضافاً إلی ما علم من شدّة الاهتمام فی عقد النکاح؛لأنّه یکون منه الولد،کما فی بعض الأخبار </w:t>
      </w:r>
      <w:r>
        <w:rPr>
          <w:rStyle w:val="FootnoteReference"/>
        </w:rPr>
        <w:footnoteReference w:id="3212"/>
      </w:r>
      <w:r>
        <w:rPr>
          <w:rFonts w:ascii="Times New Roman" w:hAnsi="Times New Roman" w:eastAsia="Times New Roman" w:cs="Times New Roman"/>
          <w:lang w:val="en-US" w:bidi="en-US"/>
          <w:color w:val="111111"/>
          <w:sz w:val="28"/>
          <w:szCs w:val="28"/>
          <w:rtl/>
        </w:rPr>
        <w:t xml:space="preserve">.</w:t>
      </w:r>
    </w:p>
    <w:p>
      <w:pPr>
        <w:pStyle w:val="Heading6"/>
      </w:pPr>
      <w:bookmarkStart w:id="2254" w:name="_Toc1289"/>
      <w:r>
        <w:t>[المناقشة فی الاستدلال المذکور]</w:t>
      </w:r>
      <w:bookmarkEnd w:id="2254"/>
    </w:p>
    <w:p>
      <w:pPr>
        <w:pStyle w:val="BookText"/>
      </w:pPr>
      <w:r>
        <w:rPr>
          <w:rFonts w:ascii="IRNazanin" w:hAnsi="IRNazanin" w:eastAsia="IRNazanin" w:cs="IRNazanin"/>
          <w:lang w:bidi="fa-IR"/>
          <w:color w:val="111111"/>
          <w:sz w:val="28"/>
          <w:szCs w:val="28"/>
          <w:rtl/>
        </w:rPr>
        <w:t xml:space="preserve">و قد أشار إلی هذه الفحوی فی غایة المراد </w:t>
      </w:r>
      <w:r>
        <w:rPr>
          <w:rStyle w:val="FootnoteReference"/>
        </w:rPr>
        <w:footnoteReference w:id="3213"/>
      </w:r>
      <w:r>
        <w:rPr>
          <w:rFonts w:ascii="IRNazanin" w:hAnsi="IRNazanin" w:eastAsia="IRNazanin" w:cs="IRNazanin"/>
          <w:lang w:bidi="fa-IR"/>
          <w:color w:val="111111"/>
          <w:sz w:val="28"/>
          <w:szCs w:val="28"/>
          <w:rtl/>
        </w:rPr>
        <w:t xml:space="preserve">،و استدلّ بها فی الریاض،بل قال:إنّه لولاها أشکل الحکم من جهة الإجماعات المحکیّة علی المنع </w:t>
      </w:r>
      <w:r>
        <w:rPr>
          <w:rStyle w:val="FootnoteReference"/>
        </w:rPr>
        <w:footnoteReference w:id="3214"/>
      </w:r>
      <w:r>
        <w:rPr>
          <w:rFonts w:ascii="IRNazanin" w:hAnsi="IRNazanin" w:eastAsia="IRNazanin" w:cs="IRNazanin"/>
          <w:lang w:bidi="fa-IR"/>
          <w:color w:val="111111"/>
          <w:sz w:val="28"/>
          <w:szCs w:val="28"/>
          <w:rtl/>
        </w:rPr>
        <w:t xml:space="preserve">.و هو حسن،</w:t>
      </w:r>
    </w:p>
    <w:p>
      <w:pPr>
        <w:pStyle w:val="BookText"/>
      </w:pPr>
      <w:r>
        <w:rPr>
          <w:rFonts w:ascii="IRNazanin" w:hAnsi="IRNazanin" w:eastAsia="IRNazanin" w:cs="IRNazanin"/>
          <w:lang w:bidi="fa-IR"/>
          <w:color w:val="111111"/>
          <w:sz w:val="28"/>
          <w:szCs w:val="28"/>
          <w:rtl/>
        </w:rPr>
        <w:t xml:space="preserve">[*ستوده]</w:t>
      </w:r>
    </w:p>
    <w:p>
      <w:pPr>
        <w:pStyle w:val="BookText"/>
      </w:pPr>
      <w:r>
        <w:rPr>
          <w:rFonts w:ascii="IRNazanin" w:hAnsi="IRNazanin" w:eastAsia="IRNazanin" w:cs="IRNazanin"/>
          <w:lang w:bidi="fa-IR"/>
          <w:color w:val="111111"/>
          <w:sz w:val="28"/>
          <w:szCs w:val="28"/>
          <w:rtl/>
        </w:rPr>
        <w:t xml:space="preserve">إلّا أنّها ربما توهن بالنصّ الوارد فی الردّ علی العامّة الفارقین بین تزویج الوکیل المعزول مع جهله بالعزل و بین بیعه، بالصحّة فی الثانی؛لأنّ المال له </w:t>
      </w:r>
      <w:r>
        <w:rPr>
          <w:rStyle w:val="FootnoteReference"/>
        </w:rPr>
        <w:footnoteReference w:id="3215"/>
      </w:r>
      <w:r>
        <w:rPr>
          <w:rFonts w:ascii="IRNazanin" w:hAnsi="IRNazanin" w:eastAsia="IRNazanin" w:cs="IRNazanin"/>
          <w:lang w:bidi="fa-IR"/>
          <w:color w:val="111111"/>
          <w:sz w:val="28"/>
          <w:szCs w:val="28"/>
          <w:rtl/>
        </w:rPr>
        <w:t xml:space="preserve">عوض،و البطلان فی الأوّل؛لأنّ البضع لیس له عوض،حیث قال الإمام علیه السلام-فی مقام ردِّهم</w:t>
      </w:r>
    </w:p>
    <w:p>
      <w:pPr>
        <w:pStyle w:val="BookText"/>
      </w:pPr>
      <w:r>
        <w:rPr>
          <w:rFonts w:ascii="IRNazanin" w:hAnsi="IRNazanin" w:eastAsia="IRNazanin" w:cs="IRNazanin"/>
          <w:lang w:bidi="fa-IR"/>
          <w:color w:val="111111"/>
          <w:sz w:val="28"/>
          <w:szCs w:val="28"/>
          <w:rtl/>
        </w:rPr>
        <w:t xml:space="preserve">[شماره صفحه واقعی : 356]
</w:t>
      </w:r>
    </w:p>
    <w:p>
      <w:pPr>
        <w:sectPr>
          <w:footerReference w:type="default" r:id="rId10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اشتباههم فی وجه الفرق-«سبحان اللّه!ما أجور هذا الحکم و أفسده؛ فإنّ النکاح أولی و أجدر أن یحتاط فیه؛لأنّه الفرج،و منه یکون الولد...الخبر» </w:t>
      </w:r>
      <w:r>
        <w:rPr>
          <w:rStyle w:val="FootnoteReference"/>
        </w:rPr>
        <w:footnoteReference w:id="32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حاصله:أنّ مقتضی الاحتیاط کون النکاح الواقع أولی بالصحّة من البیع؛من حیث الاحتیاط المتأکّد فی النکاح دون غیره،فدلّ علی أنّ صحّة البیع تستلزم صحّة النکاح بطریق أولی،خلافاً للعامّة حیث عکسوا و حکموا بصحّة البیع دون النکاح،فمقتضی حکم الإمام علیه السلام:</w:t>
      </w:r>
    </w:p>
    <w:p>
      <w:pPr>
        <w:pStyle w:val="BookText"/>
      </w:pPr>
      <w:r>
        <w:rPr>
          <w:rFonts w:ascii="IRNazanin" w:hAnsi="IRNazanin" w:eastAsia="IRNazanin" w:cs="IRNazanin"/>
          <w:lang w:bidi="fa-IR"/>
          <w:color w:val="111111"/>
          <w:sz w:val="28"/>
          <w:szCs w:val="28"/>
          <w:rtl/>
        </w:rPr>
        <w:t xml:space="preserve">أنّ صحّة المعاملة المالیة الواقعة فی کلّ مقام؛تستلزم صحّة النکاح الواقع بطریق أولی،و حینئذٍ فلا یجوز التعدّی من صحّة النکاح فی مسألة الفضولی إلی صحّة البیع؛لأنّ الحکم فی الفرع لا یستلزم الحکم فی الأصل فی </w:t>
      </w:r>
      <w:r>
        <w:rPr>
          <w:rStyle w:val="FootnoteReference"/>
        </w:rPr>
        <w:footnoteReference w:id="3217"/>
      </w:r>
      <w:r>
        <w:rPr>
          <w:rFonts w:ascii="IRNazanin" w:hAnsi="IRNazanin" w:eastAsia="IRNazanin" w:cs="IRNazanin"/>
          <w:lang w:bidi="fa-IR"/>
          <w:color w:val="111111"/>
          <w:sz w:val="28"/>
          <w:szCs w:val="28"/>
          <w:rtl/>
        </w:rPr>
        <w:t xml:space="preserve">باب الأولویة،و إلّا لم یتحقّق الأولویة،کما لا یخفی.</w:t>
      </w:r>
    </w:p>
    <w:p>
      <w:pPr>
        <w:pStyle w:val="BookText"/>
      </w:pPr>
      <w:r>
        <w:rPr>
          <w:rFonts w:ascii="IRNazanin" w:hAnsi="IRNazanin" w:eastAsia="IRNazanin" w:cs="IRNazanin"/>
          <w:lang w:bidi="fa-IR"/>
          <w:color w:val="111111"/>
          <w:sz w:val="28"/>
          <w:szCs w:val="28"/>
          <w:rtl/>
        </w:rPr>
        <w:t xml:space="preserve">فالاستدلال بصحّة النکاح علی صحّة البیع مطابق لحکم العامّة من کون النکاح أولی بالبطلان؛من جهة أنّ البضع غیر قابل للتدارک بالعوض.</w:t>
      </w:r>
    </w:p>
    <w:p>
      <w:pPr>
        <w:pStyle w:val="BookText"/>
      </w:pPr>
      <w:r>
        <w:rPr>
          <w:rFonts w:ascii="IRNazanin" w:hAnsi="IRNazanin" w:eastAsia="IRNazanin" w:cs="IRNazanin"/>
          <w:lang w:bidi="fa-IR"/>
          <w:color w:val="111111"/>
          <w:sz w:val="28"/>
          <w:szCs w:val="28"/>
          <w:rtl/>
        </w:rPr>
        <w:t xml:space="preserve">بقی الکلام فی وجه جعل الإمام علیه السلام الاحتیاط فی النکاح هو إبقاؤه دون إبطاله؛مستدلا بأنّه یکون منه الولد،مع أنّ الأمر فی الفروج کالأموال دائر بین محذورین،و لا احتیاط فی البین.</w:t>
      </w:r>
    </w:p>
    <w:p>
      <w:pPr>
        <w:pStyle w:val="BookText"/>
      </w:pPr>
      <w:r>
        <w:rPr>
          <w:rFonts w:ascii="IRNazanin" w:hAnsi="IRNazanin" w:eastAsia="IRNazanin" w:cs="IRNazanin"/>
          <w:lang w:bidi="fa-IR"/>
          <w:color w:val="111111"/>
          <w:sz w:val="28"/>
          <w:szCs w:val="28"/>
          <w:rtl/>
        </w:rPr>
        <w:t xml:space="preserve">[شماره صفحه واقعی : 357]
</w:t>
      </w:r>
    </w:p>
    <w:p>
      <w:pPr>
        <w:sectPr>
          <w:footerReference w:type="default" r:id="rId1036"/>
          <w:footnotePr>
            <w:numStart w:val="1"/>
            <w:numRestart w:val="eachPage"/>
          </w:footnotePr>
          <w:pgSz w:orient="portrait" w:w="11905.511811023622" w:h="16837.79527559055"/>
          <w:pgMar w:top="1440" w:right="1440" w:bottom="1440" w:left="1440" w:header="720" w:footer="720" w:gutter="0"/>
          <w:cols w:num="1" w:space="720"/>
        </w:sectPr>
      </w:pPr>
    </w:p>
    <w:bookmarkStart w:id="631" w:name="pg14411_143418"/>
    <w:bookmarkEnd w:id="631"/>
    <w:p>
      <w:pPr>
        <w:pStyle w:val="BookText"/>
      </w:pPr>
      <w:r>
        <w:rPr>
          <w:rFonts w:ascii="IRNazanin" w:hAnsi="IRNazanin" w:eastAsia="IRNazanin" w:cs="IRNazanin"/>
          <w:lang w:bidi="fa-IR"/>
          <w:color w:val="111111"/>
          <w:sz w:val="28"/>
          <w:szCs w:val="28"/>
          <w:rtl/>
        </w:rPr>
        <w:t xml:space="preserve">و یمکن أن یکون الوجه فی ذلک:أنّ إبطال النکاح فی مقام الإشکال و الاشتباه یستلزم التفریق بین الزوجین علی تقدیر الصحّة واقعاً،فتتزوّج المرأة و یحصل الزنا بذات البعل،بخلاف إبقائه؛فإنّه علی تقدیر بطلان النکاح لا یلزم منه إلّا وطء المرأة الخالیة عن المانع، و هذا أهون من وطء ذات البعل.</w:t>
      </w:r>
    </w:p>
    <w:p>
      <w:pPr>
        <w:pStyle w:val="BookText"/>
      </w:pPr>
      <w:r>
        <w:rPr>
          <w:rFonts w:ascii="IRNazanin" w:hAnsi="IRNazanin" w:eastAsia="IRNazanin" w:cs="IRNazanin"/>
          <w:lang w:bidi="fa-IR"/>
          <w:color w:val="111111"/>
          <w:sz w:val="28"/>
          <w:szCs w:val="28"/>
          <w:rtl/>
        </w:rPr>
        <w:t xml:space="preserve">فالمراد بالأحوط هو الأشدّ احتیاطاً.</w:t>
      </w:r>
    </w:p>
    <w:p>
      <w:pPr>
        <w:pStyle w:val="BookText"/>
      </w:pPr>
      <w:r>
        <w:rPr>
          <w:rFonts w:ascii="IRNazanin" w:hAnsi="IRNazanin" w:eastAsia="IRNazanin" w:cs="IRNazanin"/>
          <w:lang w:bidi="fa-IR"/>
          <w:color w:val="111111"/>
          <w:sz w:val="28"/>
          <w:szCs w:val="28"/>
          <w:rtl/>
        </w:rPr>
        <w:t xml:space="preserve">و کیف کان،فمقتضی هذه الصحیحة:أنّه إذا حکم بصحّة النکاح الواقع من الفضولی،لم یوجب </w:t>
      </w:r>
      <w:r>
        <w:rPr>
          <w:rStyle w:val="FootnoteReference"/>
        </w:rPr>
        <w:footnoteReference w:id="3218"/>
      </w:r>
      <w:r>
        <w:rPr>
          <w:rFonts w:ascii="IRNazanin" w:hAnsi="IRNazanin" w:eastAsia="IRNazanin" w:cs="IRNazanin"/>
          <w:lang w:bidi="fa-IR"/>
          <w:color w:val="111111"/>
          <w:sz w:val="28"/>
          <w:szCs w:val="28"/>
          <w:rtl/>
        </w:rPr>
        <w:t xml:space="preserve">ذلک التعدّی إلی الحکم بصحّة بیع الفضولی.نعم،لو ورد الحکم بصحّة البیع أمکن الحکم بصحّة النکاح؛ لأنّ النکاح أولی بعدم الإبطال،کما هو نصّ الروایة.</w:t>
      </w:r>
    </w:p>
    <w:p>
      <w:pPr>
        <w:pStyle w:val="BookText"/>
      </w:pPr>
      <w:r>
        <w:rPr>
          <w:rFonts w:ascii="IRNazanin" w:hAnsi="IRNazanin" w:eastAsia="IRNazanin" w:cs="IRNazanin"/>
          <w:lang w:bidi="fa-IR"/>
          <w:color w:val="111111"/>
          <w:sz w:val="28"/>
          <w:szCs w:val="28"/>
          <w:rtl/>
        </w:rPr>
        <w:t xml:space="preserve">ثمّ إنّ الروایة و إن لم یکن لها دخل بمسألة الفضولی،إلّا أنّ المستفاد منها قاعدة کلیّة،هی:أنّ إمضاء العقود المالیّة یستلزم إمضاء النکاح،من دون العکس الذی هو مبنی الاستدلال فی مسألة الفضولی.</w:t>
      </w:r>
    </w:p>
    <w:p>
      <w:pPr>
        <w:pStyle w:val="Heading6"/>
      </w:pPr>
      <w:bookmarkStart w:id="2255" w:name="_Toc1290"/>
      <w:r>
        <w:t>[ما یؤید لصحة بیع الفضولی]</w:t>
      </w:r>
      <w:bookmarkEnd w:id="2255"/>
    </w:p>
    <w:p>
      <w:pPr>
        <w:pStyle w:val="Heading6"/>
      </w:pPr>
      <w:bookmarkStart w:id="2256" w:name="_Toc1291"/>
      <w:r>
        <w:t>[ما ورد فی المضاربة]</w:t>
      </w:r>
      <w:bookmarkEnd w:id="2256"/>
    </w:p>
    <w:p>
      <w:pPr>
        <w:pStyle w:val="BookText"/>
      </w:pPr>
      <w:r>
        <w:rPr>
          <w:rFonts w:ascii="IRNazanin" w:hAnsi="IRNazanin" w:eastAsia="IRNazanin" w:cs="IRNazanin"/>
          <w:lang w:bidi="fa-IR"/>
          <w:color w:val="111111"/>
          <w:sz w:val="28"/>
          <w:szCs w:val="28"/>
          <w:rtl/>
        </w:rPr>
        <w:t xml:space="preserve">هذا،ثمّ إنّه ربما یؤیّد صحّة الفضولی،بل یستدلّ علیها:بروایات کثیرةٍ وردت فی مقامات خاصّة،مثل موثّقة جمیل عن أبی عبد اللّه علیه السلام:</w:t>
      </w:r>
    </w:p>
    <w:p>
      <w:pPr>
        <w:pStyle w:val="BookText"/>
      </w:pPr>
      <w:r>
        <w:rPr>
          <w:rFonts w:ascii="IRNazanin" w:hAnsi="IRNazanin" w:eastAsia="IRNazanin" w:cs="IRNazanin"/>
          <w:lang w:bidi="fa-IR"/>
          <w:color w:val="111111"/>
          <w:sz w:val="28"/>
          <w:szCs w:val="28"/>
          <w:rtl/>
        </w:rPr>
        <w:t xml:space="preserve">«فی رجل دفع إلی رجلٍ مالاً لیشتری به ضرباً من المتاع مضاربة، فاشتری غیر الذی أمره،قال:هو ضامن،و الربح بینهما علی ما شرطه» </w:t>
      </w:r>
      <w:r>
        <w:rPr>
          <w:rStyle w:val="FootnoteReference"/>
        </w:rPr>
        <w:footnoteReference w:id="32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نحوها غیرها الواردة فی هذا الباب.</w:t>
      </w:r>
    </w:p>
    <w:p>
      <w:pPr>
        <w:pStyle w:val="BookText"/>
      </w:pPr>
      <w:r>
        <w:rPr>
          <w:rFonts w:ascii="IRNazanin" w:hAnsi="IRNazanin" w:eastAsia="IRNazanin" w:cs="IRNazanin"/>
          <w:lang w:bidi="fa-IR"/>
          <w:color w:val="111111"/>
          <w:sz w:val="28"/>
          <w:szCs w:val="28"/>
          <w:rtl/>
        </w:rPr>
        <w:t xml:space="preserve">[شماره صفحه واقعی : 358]
</w:t>
      </w:r>
    </w:p>
    <w:p>
      <w:pPr>
        <w:sectPr>
          <w:footerReference w:type="default" r:id="rId10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فإنّها إن أُبقیت علی ظاهرها من عدم توقّف ملک </w:t>
      </w:r>
      <w:r>
        <w:rPr>
          <w:rStyle w:val="FootnoteReference"/>
        </w:rPr>
        <w:footnoteReference w:id="3220"/>
      </w:r>
      <w:r>
        <w:rPr>
          <w:rFonts w:ascii="IRNazanin" w:hAnsi="IRNazanin" w:eastAsia="IRNazanin" w:cs="IRNazanin"/>
          <w:lang w:bidi="fa-IR"/>
          <w:color w:val="111111"/>
          <w:sz w:val="28"/>
          <w:szCs w:val="28"/>
          <w:rtl/>
        </w:rPr>
        <w:t xml:space="preserve">الربح علی الإجازة-کما نسب إلی ظاهر الأصحاب </w:t>
      </w:r>
      <w:r>
        <w:rPr>
          <w:rStyle w:val="FootnoteReference"/>
        </w:rPr>
        <w:footnoteReference w:id="3221"/>
      </w:r>
      <w:r>
        <w:rPr>
          <w:rFonts w:ascii="IRNazanin" w:hAnsi="IRNazanin" w:eastAsia="IRNazanin" w:cs="IRNazanin"/>
          <w:lang w:bidi="fa-IR"/>
          <w:color w:val="111111"/>
          <w:sz w:val="28"/>
          <w:szCs w:val="28"/>
          <w:rtl/>
        </w:rPr>
        <w:t xml:space="preserve">،و عدّ هذا خارجاً عن بیع الفضولی بالنصّ،کما فی المسالک </w:t>
      </w:r>
      <w:r>
        <w:rPr>
          <w:rStyle w:val="FootnoteReference"/>
        </w:rPr>
        <w:footnoteReference w:id="3222"/>
      </w:r>
      <w:r>
        <w:rPr>
          <w:rFonts w:ascii="IRNazanin" w:hAnsi="IRNazanin" w:eastAsia="IRNazanin" w:cs="IRNazanin"/>
          <w:lang w:bidi="fa-IR"/>
          <w:color w:val="111111"/>
          <w:sz w:val="28"/>
          <w:szCs w:val="28"/>
          <w:rtl/>
        </w:rPr>
        <w:t xml:space="preserve">و غیره </w:t>
      </w:r>
      <w:r>
        <w:rPr>
          <w:rStyle w:val="FootnoteReference"/>
        </w:rPr>
        <w:footnoteReference w:id="3223"/>
      </w:r>
      <w:r>
        <w:rPr>
          <w:rFonts w:ascii="IRNazanin" w:hAnsi="IRNazanin" w:eastAsia="IRNazanin" w:cs="IRNazanin"/>
          <w:lang w:bidi="fa-IR"/>
          <w:color w:val="111111"/>
          <w:sz w:val="28"/>
          <w:szCs w:val="28"/>
          <w:rtl/>
        </w:rPr>
        <w:t xml:space="preserve">-کان فیها استئناس لحکم المسألة؛من حیث عدم اعتبار إذن المالک سابقاً فی نقل مال المالک إلی غیره.</w:t>
      </w:r>
    </w:p>
    <w:p>
      <w:pPr>
        <w:pStyle w:val="BookText"/>
      </w:pPr>
      <w:r>
        <w:rPr>
          <w:rFonts w:ascii="IRNazanin" w:hAnsi="IRNazanin" w:eastAsia="IRNazanin" w:cs="IRNazanin"/>
          <w:lang w:bidi="fa-IR"/>
          <w:color w:val="111111"/>
          <w:sz w:val="28"/>
          <w:szCs w:val="28"/>
          <w:rtl/>
        </w:rPr>
        <w:t xml:space="preserve">و إن حملناها علی صورة رضا المالک بالمعاملة بعد ظهور الربح -کما هو الغالب،و مقتضی </w:t>
      </w:r>
      <w:r>
        <w:rPr>
          <w:rStyle w:val="FootnoteReference"/>
        </w:rPr>
        <w:footnoteReference w:id="3224"/>
      </w:r>
      <w:r>
        <w:rPr>
          <w:rFonts w:ascii="IRNazanin" w:hAnsi="IRNazanin" w:eastAsia="IRNazanin" w:cs="IRNazanin"/>
          <w:lang w:bidi="fa-IR"/>
          <w:color w:val="111111"/>
          <w:sz w:val="28"/>
          <w:szCs w:val="28"/>
          <w:rtl/>
        </w:rPr>
        <w:t xml:space="preserve">الجمع بین هذه الأخبار،و بین ما دلّ علی اعتبار رضا المالک فی نقل ماله </w:t>
      </w:r>
      <w:r>
        <w:rPr>
          <w:rStyle w:val="FootnoteReference"/>
        </w:rPr>
        <w:footnoteReference w:id="3225"/>
      </w:r>
      <w:r>
        <w:rPr>
          <w:rFonts w:ascii="IRNazanin" w:hAnsi="IRNazanin" w:eastAsia="IRNazanin" w:cs="IRNazanin"/>
          <w:lang w:bidi="fa-IR"/>
          <w:color w:val="111111"/>
          <w:sz w:val="28"/>
          <w:szCs w:val="28"/>
          <w:rtl/>
        </w:rPr>
        <w:t xml:space="preserve">و النهی عن أکل المال بالباطل </w:t>
      </w:r>
      <w:r>
        <w:rPr>
          <w:rStyle w:val="FootnoteReference"/>
        </w:rPr>
        <w:footnoteReference w:id="3226"/>
      </w:r>
      <w:r>
        <w:rPr>
          <w:rFonts w:ascii="IRNazanin" w:hAnsi="IRNazanin" w:eastAsia="IRNazanin" w:cs="IRNazanin"/>
          <w:lang w:bidi="fa-IR"/>
          <w:color w:val="111111"/>
          <w:sz w:val="28"/>
          <w:szCs w:val="28"/>
          <w:rtl/>
        </w:rPr>
        <w:t xml:space="preserve">-اندرجت المعاملة فی الفضولی.و صحّتها فی خصوص</w:t>
      </w:r>
    </w:p>
    <w:p>
      <w:pPr>
        <w:pStyle w:val="BookText"/>
      </w:pPr>
      <w:r>
        <w:rPr>
          <w:rFonts w:ascii="IRNazanin" w:hAnsi="IRNazanin" w:eastAsia="IRNazanin" w:cs="IRNazanin"/>
          <w:lang w:bidi="fa-IR"/>
          <w:color w:val="111111"/>
          <w:sz w:val="28"/>
          <w:szCs w:val="28"/>
          <w:rtl/>
        </w:rPr>
        <w:t xml:space="preserve">[شماره صفحه واقعی : 359]
</w:t>
      </w:r>
    </w:p>
    <w:p>
      <w:pPr>
        <w:sectPr>
          <w:footerReference w:type="default" r:id="rId1038"/>
          <w:footnotePr>
            <w:numStart w:val="1"/>
            <w:numRestart w:val="eachPage"/>
          </w:footnotePr>
          <w:pgSz w:orient="portrait" w:w="11905.511811023622" w:h="16837.79527559055"/>
          <w:pgMar w:top="1440" w:right="1440" w:bottom="1440" w:left="1440" w:header="720" w:footer="720" w:gutter="0"/>
          <w:cols w:num="1" w:space="720"/>
        </w:sectPr>
      </w:pPr>
    </w:p>
    <w:bookmarkStart w:id="632" w:name="pg14411_143420"/>
    <w:bookmarkEnd w:id="632"/>
    <w:p>
      <w:pPr>
        <w:pStyle w:val="BookText"/>
      </w:pPr>
      <w:r>
        <w:rPr>
          <w:rFonts w:ascii="IRNazanin" w:hAnsi="IRNazanin" w:eastAsia="IRNazanin" w:cs="IRNazanin"/>
          <w:lang w:bidi="fa-IR"/>
          <w:color w:val="111111"/>
          <w:sz w:val="28"/>
          <w:szCs w:val="28"/>
          <w:rtl/>
        </w:rPr>
        <w:t xml:space="preserve">المورد و إن احتمل کونها للنصّ الخاصّ،إلّا أنّها لا تخلو عن تأییدٍ للمطلب.</w:t>
      </w:r>
    </w:p>
    <w:p>
      <w:pPr>
        <w:pStyle w:val="Heading6"/>
      </w:pPr>
      <w:bookmarkStart w:id="2257" w:name="_Toc1292"/>
      <w:r>
        <w:t>[ما ورد فی اتجار غیر الولی فی مال الیتیم]</w:t>
      </w:r>
      <w:bookmarkEnd w:id="2257"/>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[*ستوده]</w:t>
      </w:r>
    </w:p>
    <w:p>
      <w:pPr>
        <w:pStyle w:val="BookText"/>
      </w:pPr>
      <w:r>
        <w:rPr>
          <w:rFonts w:ascii="IRNazanin" w:hAnsi="IRNazanin" w:eastAsia="IRNazanin" w:cs="IRNazanin"/>
          <w:lang w:bidi="fa-IR"/>
          <w:color w:val="111111"/>
          <w:sz w:val="28"/>
          <w:szCs w:val="28"/>
          <w:rtl/>
        </w:rPr>
        <w:t xml:space="preserve">و من هذا القبیل:الأخبار الواردة فی اتّجار غیر الولیّ فی مال الیتیم،و أنّ الربح للیتیم </w:t>
      </w:r>
      <w:r>
        <w:rPr>
          <w:rStyle w:val="FootnoteReference"/>
        </w:rPr>
        <w:footnoteReference w:id="3227"/>
      </w:r>
      <w:r>
        <w:rPr>
          <w:rFonts w:ascii="IRNazanin" w:hAnsi="IRNazanin" w:eastAsia="IRNazanin" w:cs="IRNazanin"/>
          <w:lang w:bidi="fa-IR"/>
          <w:color w:val="111111"/>
          <w:sz w:val="28"/>
          <w:szCs w:val="28"/>
          <w:rtl/>
        </w:rPr>
        <w:t xml:space="preserve">،فإنّها إن حملت علی صورة إجازة الولیّ-کما هو صریح جماعة </w:t>
      </w:r>
      <w:r>
        <w:rPr>
          <w:rStyle w:val="FootnoteReference"/>
        </w:rPr>
        <w:footnoteReference w:id="3228"/>
      </w:r>
      <w:r>
        <w:rPr>
          <w:rFonts w:ascii="IRNazanin" w:hAnsi="IRNazanin" w:eastAsia="IRNazanin" w:cs="IRNazanin"/>
          <w:lang w:bidi="fa-IR"/>
          <w:color w:val="111111"/>
          <w:sz w:val="28"/>
          <w:szCs w:val="28"/>
          <w:rtl/>
        </w:rPr>
        <w:t xml:space="preserve">تبعاً للشهید </w:t>
      </w:r>
      <w:r>
        <w:rPr>
          <w:rStyle w:val="FootnoteReference"/>
        </w:rPr>
        <w:footnoteReference w:id="3229"/>
      </w:r>
      <w:r>
        <w:rPr>
          <w:rFonts w:ascii="IRNazanin" w:hAnsi="IRNazanin" w:eastAsia="IRNazanin" w:cs="IRNazanin"/>
          <w:lang w:bidi="fa-IR"/>
          <w:color w:val="111111"/>
          <w:sz w:val="28"/>
          <w:szCs w:val="28"/>
          <w:rtl/>
        </w:rPr>
        <w:t xml:space="preserve">-کان من أفراد المسألة،و إن عمل بإطلاقها-کما عن جماعة </w:t>
      </w:r>
      <w:r>
        <w:rPr>
          <w:rStyle w:val="FootnoteReference"/>
        </w:rPr>
        <w:footnoteReference w:id="3230"/>
      </w:r>
      <w:r>
        <w:rPr>
          <w:rFonts w:ascii="IRNazanin" w:hAnsi="IRNazanin" w:eastAsia="IRNazanin" w:cs="IRNazanin"/>
          <w:lang w:bidi="fa-IR"/>
          <w:color w:val="111111"/>
          <w:sz w:val="28"/>
          <w:szCs w:val="28"/>
          <w:rtl/>
        </w:rPr>
        <w:t xml:space="preserve">ممّن تقدّمهم-خرجت عن مسألة الفضولی، لکن یستأنس بها لها </w:t>
      </w:r>
      <w:r>
        <w:rPr>
          <w:rStyle w:val="FootnoteReference"/>
        </w:rPr>
        <w:footnoteReference w:id="3231"/>
      </w:r>
      <w:r>
        <w:rPr>
          <w:rFonts w:ascii="IRNazanin" w:hAnsi="IRNazanin" w:eastAsia="IRNazanin" w:cs="IRNazanin"/>
          <w:lang w:bidi="fa-IR"/>
          <w:color w:val="111111"/>
          <w:sz w:val="28"/>
          <w:szCs w:val="28"/>
          <w:rtl/>
        </w:rPr>
        <w:t xml:space="preserve">بالتقریب المتقدّم.و ربما احتمل دخولها فی المسألة من حیث إنّ الحکم بالمضیّ إجازة إلٰهیة لاحقة للمعاملة، فتأمّل.</w:t>
      </w:r>
    </w:p>
    <w:p>
      <w:pPr>
        <w:pStyle w:val="BookText"/>
      </w:pPr>
      <w:r>
        <w:rPr>
          <w:rFonts w:ascii="IRNazanin" w:hAnsi="IRNazanin" w:eastAsia="IRNazanin" w:cs="IRNazanin"/>
          <w:lang w:bidi="fa-IR"/>
          <w:color w:val="111111"/>
          <w:sz w:val="28"/>
          <w:szCs w:val="28"/>
          <w:rtl/>
        </w:rPr>
        <w:t xml:space="preserve">[شماره صفحه واقعی : 360]
</w:t>
      </w:r>
    </w:p>
    <w:p>
      <w:pPr>
        <w:sectPr>
          <w:footerReference w:type="default" r:id="rId1039"/>
          <w:footnotePr>
            <w:numStart w:val="1"/>
            <w:numRestart w:val="eachPage"/>
          </w:footnotePr>
          <w:pgSz w:orient="portrait" w:w="11905.511811023622" w:h="16837.79527559055"/>
          <w:pgMar w:top="1440" w:right="1440" w:bottom="1440" w:left="1440" w:header="720" w:footer="720" w:gutter="0"/>
          <w:cols w:num="1" w:space="720"/>
        </w:sectPr>
      </w:pPr>
    </w:p>
    <w:bookmarkStart w:id="633" w:name="pg14411_143421"/>
    <w:bookmarkEnd w:id="633"/>
    <w:p>
      <w:pPr>
        <w:pStyle w:val="Heading6"/>
      </w:pPr>
      <w:bookmarkStart w:id="2258" w:name="_Toc1293"/>
      <w:r>
        <w:t>[روایة ابن أشیم]</w:t>
      </w:r>
      <w:bookmarkEnd w:id="2258"/>
    </w:p>
    <w:p>
      <w:pPr>
        <w:pStyle w:val="BookText"/>
      </w:pPr>
      <w:r>
        <w:rPr>
          <w:rFonts w:ascii="IRNazanin" w:hAnsi="IRNazanin" w:eastAsia="IRNazanin" w:cs="IRNazanin"/>
          <w:lang w:bidi="fa-IR"/>
          <w:color w:val="111111"/>
          <w:sz w:val="28"/>
          <w:szCs w:val="28"/>
          <w:rtl/>
        </w:rPr>
        <w:t xml:space="preserve">و ربما یؤیّد المطلب-أیضاً-:بروایة ابن أشیم الواردة فی العبد المأذون الذی دفع إلیه مال لیشتری به نسمة و یعتقها،و یُحِجَّه عن أبیه </w:t>
      </w:r>
      <w:r>
        <w:rPr>
          <w:rStyle w:val="FootnoteReference"/>
        </w:rPr>
        <w:footnoteReference w:id="3232"/>
      </w:r>
      <w:r>
        <w:rPr>
          <w:rFonts w:ascii="IRNazanin" w:hAnsi="IRNazanin" w:eastAsia="IRNazanin" w:cs="IRNazanin"/>
          <w:lang w:bidi="fa-IR"/>
          <w:color w:val="111111"/>
          <w:sz w:val="28"/>
          <w:szCs w:val="28"/>
          <w:rtl/>
        </w:rPr>
        <w:t xml:space="preserve">،فاشتری أباه و أعتقه،ثمّ تنازع مولی المأذون و مولی الأب و ورثة الدافع،و ادّعی کلّ منهم أنّه اشتراه بماله،فقال أبو جعفر علیه السلام:</w:t>
      </w:r>
    </w:p>
    <w:p>
      <w:pPr>
        <w:pStyle w:val="BookText"/>
      </w:pPr>
      <w:r>
        <w:rPr>
          <w:rFonts w:ascii="Amiri" w:hAnsi="Amiri" w:eastAsia="Amiri" w:cs="Amiri"/>
          <w:lang w:bidi="ar-SA"/>
          <w:color w:val="111111"/>
          <w:sz w:val="28"/>
          <w:szCs w:val="28"/>
          <w:rtl/>
        </w:rPr>
        <w:t xml:space="preserve">«یُردّ المملوک رِقّاً لمولاه،و أیّ الفریقین أقاموا البیّنة بعد ذلک علی أنّه اشتراه بماله کان رقّاً له...الخبر» </w:t>
      </w:r>
      <w:r>
        <w:rPr>
          <w:rStyle w:val="FootnoteReference"/>
        </w:rPr>
        <w:footnoteReference w:id="3233"/>
      </w:r>
      <w:r>
        <w:rPr>
          <w:rFonts w:ascii="IRNazanin" w:hAnsi="IRNazanin" w:eastAsia="IRNazanin" w:cs="IRNazanin"/>
          <w:lang w:bidi="fa-IR"/>
          <w:color w:val="111111"/>
          <w:sz w:val="28"/>
          <w:szCs w:val="28"/>
          <w:rtl/>
        </w:rPr>
        <w:t xml:space="preserve">بناءً علی أنّه لولا کفایة الاشتراء بعین المال فی تملّک المبیع بعد مطالبته المتضمّنة لإجازة البیع، لم یکن مجرّد دعوی الشراء بالمال و لا إقامة البیّنة علیها کافیة فی تملّک المبیع.</w:t>
      </w:r>
    </w:p>
    <w:p>
      <w:pPr>
        <w:pStyle w:val="Heading6"/>
      </w:pPr>
      <w:bookmarkStart w:id="2259" w:name="_Toc1294"/>
      <w:r>
        <w:t>[صحیحة الحلبی]</w:t>
      </w:r>
      <w:bookmarkEnd w:id="2259"/>
    </w:p>
    <w:p>
      <w:pPr>
        <w:pStyle w:val="BookText"/>
      </w:pPr>
      <w:r>
        <w:rPr>
          <w:rFonts w:ascii="IRNazanin" w:hAnsi="IRNazanin" w:eastAsia="IRNazanin" w:cs="IRNazanin"/>
          <w:lang w:bidi="fa-IR"/>
          <w:color w:val="111111"/>
          <w:sz w:val="28"/>
          <w:szCs w:val="28"/>
          <w:rtl/>
        </w:rPr>
        <w:t xml:space="preserve">و ممّا یؤیّد المطلب أیضاً:صحیحة الحلبی عن الرجل یشتری ثوباً و لم یشترط علی صاحبه شیئاً،فکرهه ثمّ ردّه علی صاحبه،فأبی أن یقبله إلّا بوضیعة،قال:لا یصلح له أن یأخذ بوضیعة،فإن جهل فأخذه فباعه بأکثر من ثمنه،ردّ </w:t>
      </w:r>
      <w:r>
        <w:rPr>
          <w:rStyle w:val="FootnoteReference"/>
        </w:rPr>
        <w:footnoteReference w:id="3234"/>
      </w:r>
      <w:r>
        <w:rPr>
          <w:rFonts w:ascii="IRNazanin" w:hAnsi="IRNazanin" w:eastAsia="IRNazanin" w:cs="IRNazanin"/>
          <w:lang w:bidi="fa-IR"/>
          <w:color w:val="111111"/>
          <w:sz w:val="28"/>
          <w:szCs w:val="28"/>
          <w:rtl/>
        </w:rPr>
        <w:t xml:space="preserve">علی صاحبه الأوّل ما زاد» </w:t>
      </w:r>
      <w:r>
        <w:rPr>
          <w:rStyle w:val="FootnoteReference"/>
        </w:rPr>
        <w:footnoteReference w:id="3235"/>
      </w:r>
    </w:p>
    <w:p>
      <w:pPr>
        <w:pStyle w:val="BookText"/>
      </w:pPr>
      <w:r>
        <w:rPr>
          <w:rFonts w:ascii="IRNazanin" w:hAnsi="IRNazanin" w:eastAsia="IRNazanin" w:cs="IRNazanin"/>
          <w:lang w:bidi="fa-IR"/>
          <w:color w:val="111111"/>
          <w:sz w:val="28"/>
          <w:szCs w:val="28"/>
          <w:rtl/>
        </w:rPr>
        <w:t xml:space="preserve">[شماره صفحه واقعی : 361]
</w:t>
      </w:r>
    </w:p>
    <w:p>
      <w:pPr>
        <w:sectPr>
          <w:footerReference w:type="default" r:id="rId1040"/>
          <w:footnotePr>
            <w:numStart w:val="1"/>
            <w:numRestart w:val="eachPage"/>
          </w:footnotePr>
          <w:pgSz w:orient="portrait" w:w="11905.511811023622" w:h="16837.79527559055"/>
          <w:pgMar w:top="1440" w:right="1440" w:bottom="1440" w:left="1440" w:header="720" w:footer="720" w:gutter="0"/>
          <w:cols w:num="1" w:space="720"/>
        </w:sectPr>
      </w:pPr>
    </w:p>
    <w:bookmarkStart w:id="634" w:name="pg14411_143422"/>
    <w:bookmarkEnd w:id="634"/>
    <w:p>
      <w:pPr>
        <w:pStyle w:val="BookText"/>
      </w:pPr>
      <w:r>
        <w:rPr>
          <w:rFonts w:ascii="IRNazanin" w:hAnsi="IRNazanin" w:eastAsia="IRNazanin" w:cs="IRNazanin"/>
          <w:lang w:bidi="fa-IR"/>
          <w:color w:val="111111"/>
          <w:sz w:val="28"/>
          <w:szCs w:val="28"/>
          <w:rtl/>
        </w:rPr>
        <w:t xml:space="preserve">فإنّ الحکم بردّ ما زاد لا ینطبق بظاهره إلّا علی صحّة بیع الفضولی لنفسه.</w:t>
      </w:r>
    </w:p>
    <w:p>
      <w:pPr>
        <w:pStyle w:val="Heading6"/>
      </w:pPr>
      <w:bookmarkStart w:id="2260" w:name="_Toc1295"/>
      <w:r>
        <w:t>[موثقة عبد الله]</w:t>
      </w:r>
      <w:bookmarkEnd w:id="2260"/>
    </w:p>
    <w:p>
      <w:pPr>
        <w:pStyle w:val="BookText"/>
      </w:pPr>
      <w:r>
        <w:rPr>
          <w:rFonts w:ascii="IRNazanin" w:hAnsi="IRNazanin" w:eastAsia="IRNazanin" w:cs="IRNazanin"/>
          <w:lang w:bidi="fa-IR"/>
          <w:color w:val="111111"/>
          <w:sz w:val="28"/>
          <w:szCs w:val="28"/>
          <w:rtl/>
        </w:rPr>
        <w:t xml:space="preserve">و یمکن التأیید له-أیضاً-:بموثّقة عبد اللّه </w:t>
      </w:r>
      <w:r>
        <w:rPr>
          <w:rStyle w:val="FootnoteReference"/>
        </w:rPr>
        <w:footnoteReference w:id="3236"/>
      </w:r>
      <w:r>
        <w:rPr>
          <w:rFonts w:ascii="IRNazanin" w:hAnsi="IRNazanin" w:eastAsia="IRNazanin" w:cs="IRNazanin"/>
          <w:lang w:bidi="fa-IR"/>
          <w:color w:val="111111"/>
          <w:sz w:val="28"/>
          <w:szCs w:val="28"/>
          <w:rtl/>
        </w:rPr>
        <w:t xml:space="preserve">عن أبی عبد اللّه علیه السلام:</w:t>
      </w:r>
    </w:p>
    <w:p>
      <w:pPr>
        <w:pStyle w:val="BookText"/>
      </w:pPr>
      <w:r>
        <w:rPr>
          <w:rFonts w:ascii="IRNazanin" w:hAnsi="IRNazanin" w:eastAsia="IRNazanin" w:cs="IRNazanin"/>
          <w:lang w:bidi="fa-IR"/>
          <w:color w:val="111111"/>
          <w:sz w:val="28"/>
          <w:szCs w:val="28"/>
          <w:rtl/>
        </w:rPr>
        <w:t xml:space="preserve">«عن السمسار یشتری بالأجر فیدفع إلیه الوَرِق،فیشترط علیه أنّک تأتی بما تشتری فما شئت أخذته و ما شئت ترکته،فیذهب فیشتری ثمّ یأتی بالمتاع </w:t>
      </w:r>
      <w:r>
        <w:rPr>
          <w:rStyle w:val="FootnoteReference"/>
        </w:rPr>
        <w:footnoteReference w:id="3237"/>
      </w:r>
      <w:r>
        <w:rPr>
          <w:rFonts w:ascii="IRNazanin" w:hAnsi="IRNazanin" w:eastAsia="IRNazanin" w:cs="IRNazanin"/>
          <w:lang w:bidi="fa-IR"/>
          <w:color w:val="111111"/>
          <w:sz w:val="28"/>
          <w:szCs w:val="28"/>
          <w:rtl/>
        </w:rPr>
        <w:t xml:space="preserve">،فیقول:خذ ما رضیت و دع ما کرهت.قال:لا بأس...</w:t>
      </w:r>
    </w:p>
    <w:p>
      <w:pPr>
        <w:pStyle w:val="BookText"/>
      </w:pPr>
      <w:r>
        <w:rPr>
          <w:rFonts w:ascii="IRNazanin" w:hAnsi="IRNazanin" w:eastAsia="IRNazanin" w:cs="IRNazanin"/>
          <w:lang w:bidi="fa-IR"/>
          <w:color w:val="111111"/>
          <w:sz w:val="28"/>
          <w:szCs w:val="28"/>
          <w:rtl/>
        </w:rPr>
        <w:t xml:space="preserve">الخبر» </w:t>
      </w:r>
      <w:r>
        <w:rPr>
          <w:rStyle w:val="FootnoteReference"/>
        </w:rPr>
        <w:footnoteReference w:id="32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بناء علی أنّ الاشتراء من السمسار </w:t>
      </w:r>
      <w:r>
        <w:rPr>
          <w:rStyle w:val="FootnoteReference"/>
        </w:rPr>
        <w:footnoteReference w:id="3239"/>
      </w:r>
      <w:r>
        <w:rPr>
          <w:rFonts w:ascii="IRNazanin" w:hAnsi="IRNazanin" w:eastAsia="IRNazanin" w:cs="IRNazanin"/>
          <w:lang w:bidi="fa-IR"/>
          <w:color w:val="111111"/>
          <w:sz w:val="28"/>
          <w:szCs w:val="28"/>
          <w:rtl/>
        </w:rPr>
        <w:t xml:space="preserve">یحتمل أن یکون لنفسه، لیکون الوَرِق علیه قرضاً فیبیع علی صاحب الوَرِق ما رضیه من الأمتعة،و یوفّیه </w:t>
      </w:r>
      <w:r>
        <w:rPr>
          <w:rStyle w:val="FootnoteReference"/>
        </w:rPr>
        <w:footnoteReference w:id="3240"/>
      </w:r>
      <w:r>
        <w:rPr>
          <w:rFonts w:ascii="IRNazanin" w:hAnsi="IRNazanin" w:eastAsia="IRNazanin" w:cs="IRNazanin"/>
          <w:lang w:bidi="fa-IR"/>
          <w:color w:val="111111"/>
          <w:sz w:val="28"/>
          <w:szCs w:val="28"/>
          <w:rtl/>
        </w:rPr>
        <w:t xml:space="preserve">دینه.</w:t>
      </w:r>
    </w:p>
    <w:p>
      <w:pPr>
        <w:pStyle w:val="BookText"/>
      </w:pPr>
      <w:r>
        <w:rPr>
          <w:rFonts w:ascii="IRNazanin" w:hAnsi="IRNazanin" w:eastAsia="IRNazanin" w:cs="IRNazanin"/>
          <w:lang w:bidi="fa-IR"/>
          <w:color w:val="111111"/>
          <w:sz w:val="28"/>
          <w:szCs w:val="28"/>
          <w:rtl/>
        </w:rPr>
        <w:t xml:space="preserve">و لا ینافی هذا الاحتمال فرض السمسار فی الروایة ممّن یشتری بالأجر؛لأنّ توصیفه بذلک باعتبار أصل حرفته و شغله،لا بملاحظة هذه القضیّة الشخصیّة.</w:t>
      </w:r>
    </w:p>
    <w:p>
      <w:pPr>
        <w:pStyle w:val="BookText"/>
      </w:pPr>
      <w:r>
        <w:rPr>
          <w:rFonts w:ascii="IRNazanin" w:hAnsi="IRNazanin" w:eastAsia="IRNazanin" w:cs="IRNazanin"/>
          <w:lang w:bidi="fa-IR"/>
          <w:color w:val="111111"/>
          <w:sz w:val="28"/>
          <w:szCs w:val="28"/>
          <w:rtl/>
        </w:rPr>
        <w:t xml:space="preserve">[شماره صفحه واقعی : 362]
</w:t>
      </w:r>
    </w:p>
    <w:p>
      <w:pPr>
        <w:sectPr>
          <w:footerReference w:type="default" r:id="rId1041"/>
          <w:footnotePr>
            <w:numStart w:val="1"/>
            <w:numRestart w:val="eachPage"/>
          </w:footnotePr>
          <w:pgSz w:orient="portrait" w:w="11905.511811023622" w:h="16837.79527559055"/>
          <w:pgMar w:top="1440" w:right="1440" w:bottom="1440" w:left="1440" w:header="720" w:footer="720" w:gutter="0"/>
          <w:cols w:num="1" w:space="720"/>
        </w:sectPr>
      </w:pPr>
    </w:p>
    <w:bookmarkStart w:id="635" w:name="pg14411_143423"/>
    <w:bookmarkEnd w:id="635"/>
    <w:p>
      <w:pPr>
        <w:pStyle w:val="BookText"/>
      </w:pPr>
      <w:r>
        <w:rPr>
          <w:rFonts w:ascii="IRNazanin" w:hAnsi="IRNazanin" w:eastAsia="IRNazanin" w:cs="IRNazanin"/>
          <w:lang w:bidi="fa-IR"/>
          <w:color w:val="111111"/>
          <w:sz w:val="28"/>
          <w:szCs w:val="28"/>
          <w:rtl/>
        </w:rPr>
        <w:t xml:space="preserve">و یحتمل أن یکون لصاحب الوَرِق بإذنه مع جعل خیار له علی بائع الأمتعة،فیلتزم بالبیع فیما رضی و یفسخه فیما کره.</w:t>
      </w:r>
    </w:p>
    <w:p>
      <w:pPr>
        <w:pStyle w:val="BookText"/>
      </w:pPr>
      <w:r>
        <w:rPr>
          <w:rFonts w:ascii="Amiri" w:hAnsi="Amiri" w:eastAsia="Amiri" w:cs="Amiri"/>
          <w:lang w:bidi="ar-SA"/>
          <w:color w:val="111111"/>
          <w:sz w:val="28"/>
          <w:szCs w:val="28"/>
          <w:rtl/>
        </w:rPr>
        <w:t xml:space="preserve">و یحتمل أن یکون فضولیّاً عن صاحب الوَرِق،فیتخیّر ما یرید و یردّ ما یکره.</w:t>
      </w:r>
    </w:p>
    <w:p>
      <w:pPr>
        <w:pStyle w:val="BookText"/>
      </w:pPr>
      <w:r>
        <w:rPr>
          <w:rFonts w:ascii="IRNazanin" w:hAnsi="IRNazanin" w:eastAsia="IRNazanin" w:cs="IRNazanin"/>
          <w:lang w:bidi="fa-IR"/>
          <w:color w:val="111111"/>
          <w:sz w:val="28"/>
          <w:szCs w:val="28"/>
          <w:rtl/>
        </w:rPr>
        <w:t xml:space="preserve">و لیس فی مورد الروایة ظهور فی إذن صاحب الوَرِق للسمسار علی وجه ینافی کونه فضولیّاً،کما لا یخفی،فإذا احتمل مورد السؤال لهذه الوجوه،و حکم الإمام علیه السلام بعدم البأس-من دون استفصال عن المحتملات-أفاد ثبوت الحکم علی جمیع الاحتمالات.</w:t>
      </w:r>
    </w:p>
    <w:p>
      <w:pPr>
        <w:pStyle w:val="Heading6"/>
      </w:pPr>
      <w:bookmarkStart w:id="2261" w:name="_Toc1296"/>
      <w:r>
        <w:t>[أخبار نکاح العبد بدون إذن مولاه]</w:t>
      </w:r>
      <w:bookmarkEnd w:id="2261"/>
    </w:p>
    <w:p>
      <w:pPr>
        <w:pStyle w:val="BookText"/>
      </w:pPr>
      <w:r>
        <w:rPr>
          <w:rFonts w:ascii="IRNazanin" w:hAnsi="IRNazanin" w:eastAsia="IRNazanin" w:cs="IRNazanin"/>
          <w:lang w:bidi="fa-IR"/>
          <w:color w:val="111111"/>
          <w:sz w:val="28"/>
          <w:szCs w:val="28"/>
          <w:rtl/>
        </w:rPr>
        <w:t xml:space="preserve">و ربما یؤیَّد المطلب بالأخبار الدالّة علی عدم فساد نکاح العبد بدون إذن مولاه،معلّلاً بأنّه لم یعصِ اللّه و إنّما عصی سیّده </w:t>
      </w:r>
      <w:r>
        <w:rPr>
          <w:rStyle w:val="FootnoteReference"/>
        </w:rPr>
        <w:footnoteReference w:id="32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حاصله:أنّ المانع من صحّة العقد إذا کان لا یرجی زواله </w:t>
      </w:r>
      <w:r>
        <w:rPr>
          <w:rStyle w:val="FootnoteReference"/>
        </w:rPr>
        <w:footnoteReference w:id="3242"/>
      </w:r>
      <w:r>
        <w:rPr>
          <w:rFonts w:ascii="IRNazanin" w:hAnsi="IRNazanin" w:eastAsia="IRNazanin" w:cs="IRNazanin"/>
          <w:lang w:bidi="fa-IR"/>
          <w:color w:val="111111"/>
          <w:sz w:val="28"/>
          <w:szCs w:val="28"/>
          <w:rtl/>
        </w:rPr>
        <w:t xml:space="preserve">فهو الموجب لوقوع العقد باطلاً،و هو عصیان اللّه تعالی،و أمّا المانع الذی یرجی زواله-کعصیان السیّد-فبزواله یصحّ العقد،و رضا المالک من هذا القبیل،فإنّه لا یرضی أوّلاً و یرضی ثانیاً،بخلاف سخط اللّه عزّ و جلّ بفعلٍ؛فإنّه یستحیل رضاه.</w:t>
      </w:r>
    </w:p>
    <w:p>
      <w:pPr>
        <w:pStyle w:val="Heading6"/>
      </w:pPr>
      <w:bookmarkStart w:id="2262" w:name="_Toc1297"/>
      <w:r>
        <w:t>[مختار المؤلف الصحة]</w:t>
      </w:r>
      <w:bookmarkEnd w:id="2262"/>
    </w:p>
    <w:p>
      <w:pPr>
        <w:pStyle w:val="BookText"/>
      </w:pPr>
      <w:r>
        <w:rPr>
          <w:rFonts w:ascii="IRNazanin" w:hAnsi="IRNazanin" w:eastAsia="IRNazanin" w:cs="IRNazanin"/>
          <w:lang w:bidi="fa-IR"/>
          <w:color w:val="111111"/>
          <w:sz w:val="28"/>
          <w:szCs w:val="28"/>
          <w:rtl/>
        </w:rPr>
        <w:t xml:space="preserve">هذا غایة ما یمکن أن یحتجّ و یستشهد به للقول بالصحّة، و بعضها و إن کان ممّا یمکن الخدشة فیه،إلّا أنّ فی بعضها الآخر غنی و کفایة.</w:t>
      </w:r>
    </w:p>
    <w:p>
      <w:pPr>
        <w:pStyle w:val="BookText"/>
      </w:pPr>
      <w:r>
        <w:rPr>
          <w:rFonts w:ascii="IRNazanin" w:hAnsi="IRNazanin" w:eastAsia="IRNazanin" w:cs="IRNazanin"/>
          <w:lang w:bidi="fa-IR"/>
          <w:color w:val="111111"/>
          <w:sz w:val="28"/>
          <w:szCs w:val="28"/>
          <w:rtl/>
        </w:rPr>
        <w:t xml:space="preserve">[شماره صفحه واقعی : 363]
</w:t>
      </w:r>
    </w:p>
    <w:p>
      <w:pPr>
        <w:sectPr>
          <w:footerReference w:type="default" r:id="rId1042"/>
          <w:footnotePr>
            <w:numStart w:val="1"/>
            <w:numRestart w:val="eachPage"/>
          </w:footnotePr>
          <w:pgSz w:orient="portrait" w:w="11905.511811023622" w:h="16837.79527559055"/>
          <w:pgMar w:top="1440" w:right="1440" w:bottom="1440" w:left="1440" w:header="720" w:footer="720" w:gutter="0"/>
          <w:cols w:num="1" w:space="720"/>
        </w:sectPr>
      </w:pPr>
    </w:p>
    <w:bookmarkStart w:id="636" w:name="pg14411_143424"/>
    <w:bookmarkEnd w:id="636"/>
    <w:p>
      <w:pPr>
        <w:pStyle w:val="Heading6"/>
      </w:pPr>
      <w:bookmarkStart w:id="2263" w:name="_Toc1298"/>
      <w:r>
        <w:t>و احتجّ للبطلان بالأدلّة الأربعة</w:t>
      </w:r>
      <w:bookmarkEnd w:id="2263"/>
    </w:p>
    <w:p>
      <w:pPr>
        <w:pStyle w:val="Heading6"/>
      </w:pPr>
      <w:bookmarkStart w:id="2264" w:name="_Toc1299"/>
      <w:r>
        <w:t>أمّا الکتاب : [الاستدلال بآیة التجارة عن تراض]</w:t>
      </w:r>
      <w:bookmarkEnd w:id="2264"/>
    </w:p>
    <w:p>
      <w:pPr>
        <w:pStyle w:val="BookText"/>
      </w:pPr>
      <w:r>
        <w:rPr>
          <w:rFonts w:ascii="IRNazanin" w:hAnsi="IRNazanin" w:eastAsia="IRNazanin" w:cs="IRNazanin"/>
          <w:lang w:bidi="fa-IR"/>
          <w:color w:val="111111"/>
          <w:sz w:val="28"/>
          <w:szCs w:val="28"/>
          <w:rtl/>
        </w:rPr>
        <w:t xml:space="preserve">فقوله تعالی:</w:t>
      </w:r>
    </w:p>
    <w:p>
      <w:pPr>
        <w:pStyle w:val="BookText"/>
      </w:pPr>
      <w:r>
        <w:rPr>
          <w:rFonts w:ascii="Amiri" w:hAnsi="Amiri" w:eastAsia="Amiri" w:cs="Amiri"/>
          <w:lang w:bidi="ar-SA"/>
          <w:color w:val="111111"/>
          <w:sz w:val="28"/>
          <w:szCs w:val="28"/>
          <w:rtl/>
        </w:rPr>
        <w:t xml:space="preserve">لاٰ تَأْکُلُوا أَمْوٰالَکُمْ بَیْنَکُمْ بِالْبٰاطِلِ إِلاّٰ أَنْ تَکُونَ تِجٰارَةً عَنْ تَرٰاضٍ</w:t>
      </w:r>
    </w:p>
    <w:p>
      <w:pPr>
        <w:pStyle w:val="BookText"/>
      </w:pPr>
      <w:r>
        <w:rPr>
          <w:rStyle w:val="FootnoteReference"/>
        </w:rPr>
        <w:footnoteReference w:id="3243"/>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دلّ بمفهوم الحصر </w:t>
      </w:r>
      <w:r>
        <w:rPr>
          <w:rStyle w:val="FootnoteReference"/>
        </w:rPr>
        <w:footnoteReference w:id="3244"/>
      </w:r>
      <w:r>
        <w:rPr>
          <w:rFonts w:ascii="IRNazanin" w:hAnsi="IRNazanin" w:eastAsia="IRNazanin" w:cs="IRNazanin"/>
          <w:lang w:bidi="fa-IR"/>
          <w:color w:val="111111"/>
          <w:sz w:val="28"/>
          <w:szCs w:val="28"/>
          <w:rtl/>
        </w:rPr>
        <w:t xml:space="preserve">أو سیاق التحدید علی أنّ غیر التجارة عن تراضٍ أو التجارة لا عن تراضٍ غیر مبیح لأکل مال الغیر و إن لحقها الرضا،و من المعلوم أنّ الفضولی غیر داخل فی المستثنی.</w:t>
      </w:r>
    </w:p>
    <w:p>
      <w:pPr>
        <w:pStyle w:val="BookText"/>
      </w:pPr>
      <w:r>
        <w:rPr>
          <w:rFonts w:ascii="IRNazanin" w:hAnsi="IRNazanin" w:eastAsia="IRNazanin" w:cs="IRNazanin"/>
          <w:lang w:bidi="fa-IR"/>
          <w:color w:val="111111"/>
          <w:sz w:val="28"/>
          <w:szCs w:val="28"/>
          <w:rtl/>
        </w:rPr>
        <w:t xml:space="preserve">و فیه: أنّ دلالته علی الحصر ممنوعة؛لانقطاع الاستثناء-کما هو ظاهر اللفظ و صریح المحکی عن جماعة من المفسّرین </w:t>
      </w:r>
      <w:r>
        <w:rPr>
          <w:rStyle w:val="FootnoteReference"/>
        </w:rPr>
        <w:footnoteReference w:id="3245"/>
      </w:r>
      <w:r>
        <w:rPr>
          <w:rFonts w:ascii="IRNazanin" w:hAnsi="IRNazanin" w:eastAsia="IRNazanin" w:cs="IRNazanin"/>
          <w:lang w:bidi="fa-IR"/>
          <w:color w:val="111111"/>
          <w:sz w:val="28"/>
          <w:szCs w:val="28"/>
          <w:rtl/>
        </w:rPr>
        <w:t xml:space="preserve">-ضرورة عدم کون التجارة عن تراضٍ فرداً من الباطل خارجاً عن حکمه.</w:t>
      </w:r>
    </w:p>
    <w:p>
      <w:pPr>
        <w:pStyle w:val="BookText"/>
      </w:pPr>
      <w:r>
        <w:rPr>
          <w:rFonts w:ascii="IRNazanin" w:hAnsi="IRNazanin" w:eastAsia="IRNazanin" w:cs="IRNazanin"/>
          <w:lang w:bidi="fa-IR"/>
          <w:color w:val="111111"/>
          <w:sz w:val="28"/>
          <w:szCs w:val="28"/>
          <w:rtl/>
        </w:rPr>
        <w:t xml:space="preserve">و أمّا سیاق التحدید الموجب لثبوت مفهوم القید،فهو-مع تسلیمه-مخصوص بما إذا لم یکن للقید فائدة أُخری،ککونه </w:t>
      </w:r>
      <w:r>
        <w:rPr>
          <w:rStyle w:val="FootnoteReference"/>
        </w:rPr>
        <w:footnoteReference w:id="3246"/>
      </w:r>
      <w:r>
        <w:rPr>
          <w:rFonts w:ascii="Amiri" w:hAnsi="Amiri" w:eastAsia="Amiri" w:cs="Amiri"/>
          <w:lang w:bidi="ar-SA"/>
          <w:color w:val="111111"/>
          <w:sz w:val="28"/>
          <w:szCs w:val="28"/>
          <w:rtl/>
        </w:rPr>
        <w:t xml:space="preserve">وارداً مورد الغالب،کما فیما نحن فیه و فی قوله تعالی: وَ رَبٰائِبُکُمُ اللاّٰتِی فِی حُجُورِکُمْ </w:t>
      </w:r>
      <w:r>
        <w:rPr>
          <w:rStyle w:val="FootnoteReference"/>
        </w:rPr>
        <w:footnoteReference w:id="3247"/>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[*ستوده]</w:t>
      </w:r>
    </w:p>
    <w:p>
      <w:pPr>
        <w:pStyle w:val="BookText"/>
      </w:pPr>
      <w:r>
        <w:rPr>
          <w:rFonts w:ascii="IRNazanin" w:hAnsi="IRNazanin" w:eastAsia="IRNazanin" w:cs="IRNazanin"/>
          <w:lang w:bidi="fa-IR"/>
          <w:color w:val="111111"/>
          <w:sz w:val="28"/>
          <w:szCs w:val="28"/>
          <w:rtl/>
        </w:rPr>
        <w:t xml:space="preserve">مع احتمال أن یکون«عن تراضٍ»خبراً بعد خبر ل«تکون» </w:t>
      </w:r>
      <w:r>
        <w:rPr>
          <w:rStyle w:val="FootnoteReference"/>
        </w:rPr>
        <w:footnoteReference w:id="3248"/>
      </w:r>
      <w:r>
        <w:rPr>
          <w:rFonts w:ascii="IRNazanin" w:hAnsi="IRNazanin" w:eastAsia="IRNazanin" w:cs="IRNazanin"/>
          <w:lang w:bidi="fa-IR"/>
          <w:color w:val="111111"/>
          <w:sz w:val="28"/>
          <w:szCs w:val="28"/>
          <w:rtl/>
        </w:rPr>
        <w:t xml:space="preserve">علی قراءة نصب«التجارة»لا قیداً لها-و إن کان غلبة توصیف النکرة تؤیّد التقیید-فیکون المعنی:إلّا أن یکون سبب الأکل</w:t>
      </w:r>
    </w:p>
    <w:p>
      <w:pPr>
        <w:pStyle w:val="BookText"/>
      </w:pPr>
      <w:r>
        <w:rPr>
          <w:rFonts w:ascii="IRNazanin" w:hAnsi="IRNazanin" w:eastAsia="IRNazanin" w:cs="IRNazanin"/>
          <w:lang w:bidi="fa-IR"/>
          <w:color w:val="111111"/>
          <w:sz w:val="28"/>
          <w:szCs w:val="28"/>
          <w:rtl/>
        </w:rPr>
        <w:t xml:space="preserve">[شماره صفحه واقعی : 364]
</w:t>
      </w:r>
    </w:p>
    <w:p>
      <w:pPr>
        <w:sectPr>
          <w:footerReference w:type="default" r:id="rId1043"/>
          <w:footnotePr>
            <w:numStart w:val="1"/>
            <w:numRestart w:val="eachPage"/>
          </w:footnotePr>
          <w:pgSz w:orient="portrait" w:w="11905.511811023622" w:h="16837.79527559055"/>
          <w:pgMar w:top="1440" w:right="1440" w:bottom="1440" w:left="1440" w:header="720" w:footer="720" w:gutter="0"/>
          <w:cols w:num="1" w:space="720"/>
        </w:sectPr>
      </w:pPr>
    </w:p>
    <w:bookmarkStart w:id="637" w:name="pg14411_143425"/>
    <w:bookmarkEnd w:id="637"/>
    <w:p>
      <w:pPr>
        <w:pStyle w:val="BookText"/>
      </w:pPr>
      <w:r>
        <w:rPr>
          <w:rFonts w:ascii="IRNazanin" w:hAnsi="IRNazanin" w:eastAsia="IRNazanin" w:cs="IRNazanin"/>
          <w:lang w:bidi="fa-IR"/>
          <w:color w:val="111111"/>
          <w:sz w:val="28"/>
          <w:szCs w:val="28"/>
          <w:rtl/>
        </w:rPr>
        <w:t xml:space="preserve">«تجارة»،و تکون </w:t>
      </w:r>
      <w:r>
        <w:rPr>
          <w:rStyle w:val="FootnoteReference"/>
        </w:rPr>
        <w:footnoteReference w:id="3249"/>
      </w:r>
      <w:r>
        <w:rPr>
          <w:rFonts w:ascii="Amiri" w:hAnsi="Amiri" w:eastAsia="Amiri" w:cs="Amiri"/>
          <w:lang w:bidi="ar-SA"/>
          <w:color w:val="111111"/>
          <w:sz w:val="28"/>
          <w:szCs w:val="28"/>
          <w:rtl/>
        </w:rPr>
        <w:t xml:space="preserve">«عن تراضٍ».</w:t>
      </w:r>
    </w:p>
    <w:p>
      <w:pPr>
        <w:pStyle w:val="BookText"/>
      </w:pPr>
      <w:r>
        <w:rPr>
          <w:rFonts w:ascii="IRNazanin" w:hAnsi="IRNazanin" w:eastAsia="IRNazanin" w:cs="IRNazanin"/>
          <w:lang w:bidi="fa-IR"/>
          <w:color w:val="111111"/>
          <w:sz w:val="28"/>
          <w:szCs w:val="28"/>
          <w:rtl/>
        </w:rPr>
        <w:t xml:space="preserve">و من المعلوم:أنّ السبب الموجب لحِلِّ الأکل فی الفضولی إنّما نشأ عن التراضی،مع أنّ الخطاب لمُلّاک الأموال،و التجارة فی الفضولی إنّما تصیر </w:t>
      </w:r>
      <w:r>
        <w:rPr>
          <w:rStyle w:val="FootnoteReference"/>
        </w:rPr>
        <w:footnoteReference w:id="3250"/>
      </w:r>
      <w:r>
        <w:rPr>
          <w:rFonts w:ascii="IRNazanin" w:hAnsi="IRNazanin" w:eastAsia="IRNazanin" w:cs="IRNazanin"/>
          <w:lang w:bidi="fa-IR"/>
          <w:color w:val="111111"/>
          <w:sz w:val="28"/>
          <w:szCs w:val="28"/>
          <w:rtl/>
        </w:rPr>
        <w:t xml:space="preserve">تجارة المالک بعد الإجازة،فتجارته عن تراضٍ.</w:t>
      </w:r>
    </w:p>
    <w:p>
      <w:pPr>
        <w:pStyle w:val="BookText"/>
      </w:pPr>
      <w:r>
        <w:rPr>
          <w:rFonts w:ascii="IRNazanin" w:hAnsi="IRNazanin" w:eastAsia="IRNazanin" w:cs="IRNazanin"/>
          <w:lang w:bidi="fa-IR"/>
          <w:color w:val="111111"/>
          <w:sz w:val="28"/>
          <w:szCs w:val="28"/>
          <w:rtl/>
        </w:rPr>
        <w:t xml:space="preserve">و قد حکی عن المجمع:أنّ مذهب الإمامیّة و الشافعیّة و غیرهم أنّ معنی التراضی بالتجارة إمضاء البیع بالتفرّق </w:t>
      </w:r>
      <w:r>
        <w:rPr>
          <w:rStyle w:val="FootnoteReference"/>
        </w:rPr>
        <w:footnoteReference w:id="3251"/>
      </w:r>
      <w:r>
        <w:rPr>
          <w:rFonts w:ascii="IRNazanin" w:hAnsi="IRNazanin" w:eastAsia="IRNazanin" w:cs="IRNazanin"/>
          <w:lang w:bidi="fa-IR"/>
          <w:color w:val="111111"/>
          <w:sz w:val="28"/>
          <w:szCs w:val="28"/>
          <w:rtl/>
        </w:rPr>
        <w:t xml:space="preserve">أو التخایر بعد العقد </w:t>
      </w:r>
      <w:r>
        <w:rPr>
          <w:rStyle w:val="FootnoteReference"/>
        </w:rPr>
        <w:footnoteReference w:id="32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لعلّه یناسب ما ذکرنا من کون الظرف خبراً بعد خبر.</w:t>
      </w:r>
    </w:p>
    <w:p>
      <w:pPr>
        <w:pStyle w:val="Heading6"/>
      </w:pPr>
      <w:bookmarkStart w:id="2265" w:name="_Toc1300"/>
      <w:r>
        <w:t>و أمّا السنّة : فهی أخبار</w:t>
      </w:r>
      <w:bookmarkEnd w:id="2265"/>
    </w:p>
    <w:p>
      <w:pPr>
        <w:pStyle w:val="Heading6"/>
      </w:pPr>
      <w:bookmarkStart w:id="2266" w:name="_Toc1301"/>
      <w:r>
        <w:t>اشارة</w:t>
      </w:r>
      <w:bookmarkEnd w:id="2266"/>
    </w:p>
    <w:p>
      <w:pPr>
        <w:pStyle w:val="BookText"/>
      </w:pPr>
      <w:r>
        <w:rPr>
          <w:rFonts w:ascii="IRNazanin" w:hAnsi="IRNazanin" w:eastAsia="IRNazanin" w:cs="IRNazanin"/>
          <w:lang w:bidi="fa-IR"/>
          <w:color w:val="111111"/>
          <w:sz w:val="28"/>
          <w:szCs w:val="28"/>
          <w:rtl/>
        </w:rPr>
        <w:t xml:space="preserve">منها:النبوی المستفیض،و هو قوله صلّی اللّه علیه و آله و سلم لحکیم بن حزام:</w:t>
      </w:r>
    </w:p>
    <w:p>
      <w:pPr>
        <w:pStyle w:val="BookText"/>
      </w:pPr>
      <w:r>
        <w:rPr>
          <w:rFonts w:ascii="IRNazanin" w:hAnsi="IRNazanin" w:eastAsia="IRNazanin" w:cs="IRNazanin"/>
          <w:lang w:bidi="fa-IR"/>
          <w:color w:val="111111"/>
          <w:sz w:val="28"/>
          <w:szCs w:val="28"/>
          <w:rtl/>
        </w:rPr>
        <w:t xml:space="preserve">«لا تبع ما لیس عندک» </w:t>
      </w:r>
      <w:r>
        <w:rPr>
          <w:rStyle w:val="FootnoteReference"/>
        </w:rPr>
        <w:footnoteReference w:id="3253"/>
      </w:r>
      <w:r>
        <w:rPr>
          <w:rFonts w:ascii="IRNazanin" w:hAnsi="IRNazanin" w:eastAsia="IRNazanin" w:cs="IRNazanin"/>
          <w:lang w:bidi="fa-IR"/>
          <w:color w:val="111111"/>
          <w:sz w:val="28"/>
          <w:szCs w:val="28"/>
          <w:rtl/>
        </w:rPr>
        <w:t xml:space="preserve">فإنّ عدم حضوره عنده کنایة عن عدم تسلّطه علی تسلیمه؛لعدم تملّکه،فیکون مساوقاً للنبویّ الآخر:«لا بیع إلّا فی ما یملک»بعد قوله صلّی اللّه علیه و آله و سلم:«لا طلاق إلّا فی ما یملک، و لا عتق إلّا فی ما یملک» </w:t>
      </w:r>
      <w:r>
        <w:rPr>
          <w:rStyle w:val="FootnoteReference"/>
        </w:rPr>
        <w:footnoteReference w:id="3254"/>
      </w:r>
      <w:r>
        <w:rPr>
          <w:rFonts w:ascii="IRNazanin" w:hAnsi="IRNazanin" w:eastAsia="IRNazanin" w:cs="IRNazanin"/>
          <w:lang w:bidi="fa-IR"/>
          <w:color w:val="111111"/>
          <w:sz w:val="28"/>
          <w:szCs w:val="28"/>
          <w:rtl/>
        </w:rPr>
        <w:t xml:space="preserve">،و لِما ورد فی توقیع العسکری صلوات اللّه علیه إلی الصفّار:«لا یجوز بیع ما لیس یملک» </w:t>
      </w:r>
      <w:r>
        <w:rPr>
          <w:rStyle w:val="FootnoteReference"/>
        </w:rPr>
        <w:footnoteReference w:id="32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365]
</w:t>
      </w:r>
    </w:p>
    <w:p>
      <w:pPr>
        <w:sectPr>
          <w:footerReference w:type="default" r:id="rId10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ما عن الحمیری أنّ مولانا عجّل اللّه فرجه کتب فی جواب بعض مسائله:</w:t>
      </w:r>
    </w:p>
    <w:p>
      <w:pPr>
        <w:pStyle w:val="BookText"/>
      </w:pPr>
      <w:r>
        <w:rPr>
          <w:rFonts w:ascii="IRNazanin" w:hAnsi="IRNazanin" w:eastAsia="IRNazanin" w:cs="IRNazanin"/>
          <w:lang w:bidi="fa-IR"/>
          <w:color w:val="111111"/>
          <w:sz w:val="28"/>
          <w:szCs w:val="28"/>
          <w:rtl/>
        </w:rPr>
        <w:t xml:space="preserve">«أنّ الضیعة لا یجوز ابتیاعها إلّا عن مالکها أو بأمره أو رضاً منه» </w:t>
      </w:r>
      <w:r>
        <w:rPr>
          <w:rStyle w:val="FootnoteReference"/>
        </w:rPr>
        <w:footnoteReference w:id="32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ما فی الصحیح عن محمّد بن مسلم الوارد فی أرضٍ بفم النیل </w:t>
      </w:r>
      <w:r>
        <w:rPr>
          <w:rStyle w:val="FootnoteReference"/>
        </w:rPr>
        <w:footnoteReference w:id="3257"/>
      </w:r>
      <w:r>
        <w:rPr>
          <w:rFonts w:ascii="IRNazanin" w:hAnsi="IRNazanin" w:eastAsia="IRNazanin" w:cs="IRNazanin"/>
          <w:lang w:bidi="fa-IR"/>
          <w:color w:val="111111"/>
          <w:sz w:val="28"/>
          <w:szCs w:val="28"/>
          <w:rtl/>
        </w:rPr>
        <w:t xml:space="preserve">اشتراها رجل،و أهل الأرض یقولون:هی أرضنا </w:t>
      </w:r>
      <w:r>
        <w:rPr>
          <w:rStyle w:val="FootnoteReference"/>
        </w:rPr>
        <w:footnoteReference w:id="3258"/>
      </w:r>
      <w:r>
        <w:rPr>
          <w:rFonts w:ascii="IRNazanin" w:hAnsi="IRNazanin" w:eastAsia="IRNazanin" w:cs="IRNazanin"/>
          <w:lang w:bidi="fa-IR"/>
          <w:color w:val="111111"/>
          <w:sz w:val="28"/>
          <w:szCs w:val="28"/>
          <w:rtl/>
        </w:rPr>
        <w:t xml:space="preserve">،و أهل[الأسیاف] </w:t>
      </w:r>
      <w:r>
        <w:rPr>
          <w:rStyle w:val="FootnoteReference"/>
        </w:rPr>
        <w:footnoteReference w:id="3259"/>
      </w:r>
      <w:r>
        <w:rPr>
          <w:rFonts w:ascii="IRNazanin" w:hAnsi="IRNazanin" w:eastAsia="IRNazanin" w:cs="IRNazanin"/>
          <w:lang w:bidi="fa-IR"/>
          <w:color w:val="111111"/>
          <w:sz w:val="28"/>
          <w:szCs w:val="28"/>
          <w:rtl/>
        </w:rPr>
        <w:t xml:space="preserve">یقولون:هی من أرضنا.فقال:«لا تشترها إلّا برضا أهلها» </w:t>
      </w:r>
      <w:r>
        <w:rPr>
          <w:rStyle w:val="FootnoteReference"/>
        </w:rPr>
        <w:footnoteReference w:id="32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ما فی الصحیح عن محمّد بن القاسم بن الفضل </w:t>
      </w:r>
      <w:r>
        <w:rPr>
          <w:rStyle w:val="FootnoteReference"/>
        </w:rPr>
        <w:footnoteReference w:id="3261"/>
      </w:r>
      <w:r>
        <w:rPr>
          <w:rFonts w:ascii="IRNazanin" w:hAnsi="IRNazanin" w:eastAsia="IRNazanin" w:cs="IRNazanin"/>
          <w:lang w:bidi="fa-IR"/>
          <w:color w:val="111111"/>
          <w:sz w:val="28"/>
          <w:szCs w:val="28"/>
          <w:rtl/>
        </w:rPr>
        <w:t xml:space="preserve">فی رجل اشتری من امرأة من آل فلان بعض قطائعهم،فکتب علیها </w:t>
      </w:r>
      <w:r>
        <w:rPr>
          <w:rStyle w:val="FootnoteReference"/>
        </w:rPr>
        <w:footnoteReference w:id="3262"/>
      </w:r>
      <w:r>
        <w:rPr>
          <w:rFonts w:ascii="Amiri" w:hAnsi="Amiri" w:eastAsia="Amiri" w:cs="Amiri"/>
          <w:lang w:bidi="ar-SA"/>
          <w:color w:val="111111"/>
          <w:sz w:val="28"/>
          <w:szCs w:val="28"/>
          <w:rtl/>
        </w:rPr>
        <w:t xml:space="preserve">کتاباً</w:t>
      </w:r>
    </w:p>
    <w:p>
      <w:pPr>
        <w:pStyle w:val="BookText"/>
      </w:pPr>
      <w:r>
        <w:rPr>
          <w:rFonts w:ascii="IRNazanin" w:hAnsi="IRNazanin" w:eastAsia="IRNazanin" w:cs="IRNazanin"/>
          <w:lang w:bidi="fa-IR"/>
          <w:color w:val="111111"/>
          <w:sz w:val="28"/>
          <w:szCs w:val="28"/>
          <w:rtl/>
        </w:rPr>
        <w:t xml:space="preserve">[شماره صفحه واقعی : 366]
</w:t>
      </w:r>
    </w:p>
    <w:p>
      <w:pPr>
        <w:sectPr>
          <w:footerReference w:type="default" r:id="rId1045"/>
          <w:footnotePr>
            <w:numStart w:val="1"/>
            <w:numRestart w:val="eachPage"/>
          </w:footnotePr>
          <w:pgSz w:orient="portrait" w:w="11905.511811023622" w:h="16837.79527559055"/>
          <w:pgMar w:top="1440" w:right="1440" w:bottom="1440" w:left="1440" w:header="720" w:footer="720" w:gutter="0"/>
          <w:cols w:num="1" w:space="720"/>
        </w:sectPr>
      </w:pPr>
    </w:p>
    <w:bookmarkStart w:id="638" w:name="pg14411_143427"/>
    <w:bookmarkEnd w:id="638"/>
    <w:p>
      <w:pPr>
        <w:pStyle w:val="BookText"/>
      </w:pPr>
      <w:r>
        <w:rPr>
          <w:rFonts w:ascii="Amiri" w:hAnsi="Amiri" w:eastAsia="Amiri" w:cs="Amiri"/>
          <w:lang w:bidi="ar-SA"/>
          <w:color w:val="111111"/>
          <w:sz w:val="28"/>
          <w:szCs w:val="28"/>
          <w:rtl/>
        </w:rPr>
        <w:t xml:space="preserve">أنّها </w:t>
      </w:r>
      <w:r>
        <w:rPr>
          <w:rStyle w:val="FootnoteReference"/>
        </w:rPr>
        <w:footnoteReference w:id="3263"/>
      </w:r>
      <w:r>
        <w:rPr>
          <w:rFonts w:ascii="IRNazanin" w:hAnsi="IRNazanin" w:eastAsia="IRNazanin" w:cs="IRNazanin"/>
          <w:lang w:bidi="fa-IR"/>
          <w:color w:val="111111"/>
          <w:sz w:val="28"/>
          <w:szCs w:val="28"/>
          <w:rtl/>
        </w:rPr>
        <w:t xml:space="preserve">قد قبضت المال و لم تقبضه </w:t>
      </w:r>
      <w:r>
        <w:rPr>
          <w:rStyle w:val="FootnoteReference"/>
        </w:rPr>
        <w:footnoteReference w:id="3264"/>
      </w:r>
      <w:r>
        <w:rPr>
          <w:rFonts w:ascii="IRNazanin" w:hAnsi="IRNazanin" w:eastAsia="IRNazanin" w:cs="IRNazanin"/>
          <w:lang w:bidi="fa-IR"/>
          <w:color w:val="111111"/>
          <w:sz w:val="28"/>
          <w:szCs w:val="28"/>
          <w:rtl/>
        </w:rPr>
        <w:t xml:space="preserve">،فیعطیها المال أم یمنعها؟قال:</w:t>
      </w:r>
    </w:p>
    <w:p>
      <w:pPr>
        <w:pStyle w:val="BookText"/>
      </w:pPr>
      <w:r>
        <w:rPr>
          <w:rFonts w:ascii="IRNazanin" w:hAnsi="IRNazanin" w:eastAsia="IRNazanin" w:cs="IRNazanin"/>
          <w:lang w:bidi="fa-IR"/>
          <w:color w:val="111111"/>
          <w:sz w:val="28"/>
          <w:szCs w:val="28"/>
          <w:rtl/>
        </w:rPr>
        <w:t xml:space="preserve">قل له </w:t>
      </w:r>
      <w:r>
        <w:rPr>
          <w:rStyle w:val="FootnoteReference"/>
        </w:rPr>
        <w:footnoteReference w:id="3265"/>
      </w:r>
      <w:r>
        <w:rPr>
          <w:rFonts w:ascii="IRNazanin" w:hAnsi="IRNazanin" w:eastAsia="IRNazanin" w:cs="IRNazanin"/>
          <w:lang w:bidi="fa-IR"/>
          <w:color w:val="111111"/>
          <w:sz w:val="28"/>
          <w:szCs w:val="28"/>
          <w:rtl/>
        </w:rPr>
        <w:t xml:space="preserve">:یمنعها أشدّ المنع،فإنّها باعت ما لم تملکه» </w:t>
      </w:r>
      <w:r>
        <w:rPr>
          <w:rStyle w:val="FootnoteReference"/>
        </w:rPr>
        <w:footnoteReference w:id="3266"/>
      </w:r>
      <w:r>
        <w:rPr>
          <w:rFonts w:ascii="Times New Roman" w:hAnsi="Times New Roman" w:eastAsia="Times New Roman" w:cs="Times New Roman"/>
          <w:lang w:val="en-US" w:bidi="en-US"/>
          <w:color w:val="111111"/>
          <w:sz w:val="28"/>
          <w:szCs w:val="28"/>
          <w:rtl/>
        </w:rPr>
        <w:t xml:space="preserve">.</w:t>
      </w:r>
    </w:p>
    <w:p>
      <w:pPr>
        <w:pStyle w:val="Heading6"/>
      </w:pPr>
      <w:bookmarkStart w:id="2267" w:name="_Toc1302"/>
      <w:r>
        <w:t>[المناقشة فی الاستدلال بالروایات]</w:t>
      </w:r>
      <w:bookmarkEnd w:id="2267"/>
    </w:p>
    <w:p>
      <w:pPr>
        <w:pStyle w:val="BookText"/>
      </w:pPr>
      <w:r>
        <w:rPr>
          <w:rFonts w:ascii="IRNazanin" w:hAnsi="IRNazanin" w:eastAsia="IRNazanin" w:cs="IRNazanin"/>
          <w:lang w:bidi="fa-IR"/>
          <w:color w:val="111111"/>
          <w:sz w:val="28"/>
          <w:szCs w:val="28"/>
          <w:rtl/>
        </w:rPr>
        <w:t xml:space="preserve">و الجواب عن النبوی:</w:t>
      </w:r>
    </w:p>
    <w:p>
      <w:pPr>
        <w:pStyle w:val="BookText"/>
      </w:pPr>
      <w:r>
        <w:rPr>
          <w:rFonts w:ascii="IRNazanin" w:hAnsi="IRNazanin" w:eastAsia="IRNazanin" w:cs="IRNazanin"/>
          <w:lang w:bidi="fa-IR"/>
          <w:color w:val="111111"/>
          <w:sz w:val="28"/>
          <w:szCs w:val="28"/>
          <w:rtl/>
        </w:rPr>
        <w:t xml:space="preserve">أوّلاً:أنّ الظاهر من الموصول هی العین الشخصیّة؛للإجماع و النصّ علی جواز بیع الکلیّ </w:t>
      </w:r>
      <w:r>
        <w:rPr>
          <w:rStyle w:val="FootnoteReference"/>
        </w:rPr>
        <w:footnoteReference w:id="3267"/>
      </w:r>
      <w:r>
        <w:rPr>
          <w:rFonts w:ascii="IRNazanin" w:hAnsi="IRNazanin" w:eastAsia="IRNazanin" w:cs="IRNazanin"/>
          <w:lang w:bidi="fa-IR"/>
          <w:color w:val="111111"/>
          <w:sz w:val="28"/>
          <w:szCs w:val="28"/>
          <w:rtl/>
        </w:rPr>
        <w:t xml:space="preserve">،و من البیع البیع لنفسه،لا عن مالک العین، و حینئذٍ فإمّا أن یراد بالبیع مجرّد الإنشاء،فیکون دلیلاً علی عدم جواز بیع الفضولی لنفسه،فلا یقع له و لا للمالک بعد إجازته.و إمّا أن یراد ما عن التذکرة من أن یبیع عن نفسه ثمّ یمضی لیشتریه من مالکه،قال:</w:t>
      </w:r>
    </w:p>
    <w:p>
      <w:pPr>
        <w:pStyle w:val="BookText"/>
      </w:pPr>
      <w:r>
        <w:rPr>
          <w:rFonts w:ascii="IRNazanin" w:hAnsi="IRNazanin" w:eastAsia="IRNazanin" w:cs="IRNazanin"/>
          <w:lang w:bidi="fa-IR"/>
          <w:color w:val="111111"/>
          <w:sz w:val="28"/>
          <w:szCs w:val="28"/>
          <w:rtl/>
        </w:rPr>
        <w:t xml:space="preserve">لأنّه صلّی اللّه علیه و آله و سلم ذکره جواباً لحکیم بن حزام،حیث سأله عن أن یبیع الشیء فیمضی و یشتریه و یسلّمه،فإنّ هذا البیع غیر جائز،و لا نعلم فیه خلافاً؛للنهی المذکور و للغرر؛لأنّ صاحبها قد لا یبیعها </w:t>
      </w:r>
      <w:r>
        <w:rPr>
          <w:rStyle w:val="FootnoteReference"/>
        </w:rPr>
        <w:footnoteReference w:id="3268"/>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هذا المعنی یرجع إلی المراد من روایتی خالد و یحیی الآتیتین فی بیع الفضولی لنفسه </w:t>
      </w:r>
      <w:r>
        <w:rPr>
          <w:rStyle w:val="FootnoteReference"/>
        </w:rPr>
        <w:footnoteReference w:id="3269"/>
      </w:r>
      <w:r>
        <w:rPr>
          <w:rFonts w:ascii="IRNazanin" w:hAnsi="IRNazanin" w:eastAsia="IRNazanin" w:cs="IRNazanin"/>
          <w:lang w:bidi="fa-IR"/>
          <w:color w:val="111111"/>
          <w:sz w:val="28"/>
          <w:szCs w:val="28"/>
          <w:rtl/>
        </w:rPr>
        <w:t xml:space="preserve">،و یکون بطلان البیع بمعنی عدم وقوع البیع للبائع بمجرّد انتقاله إلیه بالشراء،فلا ینافی أهلیّته لتعقّب الإجازة من المالک.</w:t>
      </w:r>
    </w:p>
    <w:p>
      <w:pPr>
        <w:pStyle w:val="BookText"/>
      </w:pPr>
      <w:r>
        <w:rPr>
          <w:rFonts w:ascii="IRNazanin" w:hAnsi="IRNazanin" w:eastAsia="IRNazanin" w:cs="IRNazanin"/>
          <w:lang w:bidi="fa-IR"/>
          <w:color w:val="111111"/>
          <w:sz w:val="28"/>
          <w:szCs w:val="28"/>
          <w:rtl/>
        </w:rPr>
        <w:t xml:space="preserve">[شماره صفحه واقعی : 367]
</w:t>
      </w:r>
    </w:p>
    <w:p>
      <w:pPr>
        <w:sectPr>
          <w:footerReference w:type="default" r:id="rId10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بعبارة اخری:نهی المخاطب عن البیع دلیل علی عدم وقوعه مؤثّراً فی حقّه،فلا یدلّ علی الغایة بالنسبة إلی المالک حتّی لا تنفعه إجازة </w:t>
      </w:r>
      <w:r>
        <w:rPr>
          <w:rStyle w:val="FootnoteReference"/>
        </w:rPr>
        <w:footnoteReference w:id="3270"/>
      </w:r>
      <w:r>
        <w:rPr>
          <w:rFonts w:ascii="IRNazanin" w:hAnsi="IRNazanin" w:eastAsia="IRNazanin" w:cs="IRNazanin"/>
          <w:lang w:bidi="fa-IR"/>
          <w:color w:val="111111"/>
          <w:sz w:val="28"/>
          <w:szCs w:val="28"/>
          <w:rtl/>
        </w:rPr>
        <w:t xml:space="preserve">المالک فی وقوعه له،و هذا المعنی أظهر من الأوّل و نحن نقول به،کما سیجیء </w:t>
      </w:r>
      <w:r>
        <w:rPr>
          <w:rStyle w:val="FootnoteReference"/>
        </w:rPr>
        <w:footnoteReference w:id="32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ثانیاً:سلّمنا دلالة النبوی علی المنع،لکنّها بالعموم،فیجب تخصیصه بما تقدّم </w:t>
      </w:r>
      <w:r>
        <w:rPr>
          <w:rStyle w:val="FootnoteReference"/>
        </w:rPr>
        <w:footnoteReference w:id="3272"/>
      </w:r>
      <w:r>
        <w:rPr>
          <w:rFonts w:ascii="IRNazanin" w:hAnsi="IRNazanin" w:eastAsia="IRNazanin" w:cs="IRNazanin"/>
          <w:lang w:bidi="fa-IR"/>
          <w:color w:val="111111"/>
          <w:sz w:val="28"/>
          <w:szCs w:val="28"/>
          <w:rtl/>
        </w:rPr>
        <w:t xml:space="preserve">من الأدلّة الدالّة علی تصحیح بیع ما لیس عند العاقد لمالکه إذا أجاز.</w:t>
      </w:r>
    </w:p>
    <w:p>
      <w:pPr>
        <w:pStyle w:val="BookText"/>
      </w:pPr>
      <w:r>
        <w:rPr>
          <w:rFonts w:ascii="IRNazanin" w:hAnsi="IRNazanin" w:eastAsia="IRNazanin" w:cs="IRNazanin"/>
          <w:lang w:bidi="fa-IR"/>
          <w:color w:val="111111"/>
          <w:sz w:val="28"/>
          <w:szCs w:val="28"/>
          <w:rtl/>
        </w:rPr>
        <w:t xml:space="preserve">و بما ذکرناه من الجوابین یظهر الجواب عن دلالة قوله:«لا بیع إلّا فی ملک»؛فإنّ الظاهر منه کون المنفی هو البیع لنفسه،و أنّ النفی راجع إلی نفی الصحّة فی حقّه لا فی حقّ المالک،مع أنّ العموم-لو سلّم-وجب تخصیصه بما دلّ علی وقوع البیع للمالک إذا أجاز.</w:t>
      </w:r>
    </w:p>
    <w:p>
      <w:pPr>
        <w:pStyle w:val="BookText"/>
      </w:pPr>
      <w:r>
        <w:rPr>
          <w:rFonts w:ascii="IRNazanin" w:hAnsi="IRNazanin" w:eastAsia="IRNazanin" w:cs="IRNazanin"/>
          <w:lang w:bidi="fa-IR"/>
          <w:color w:val="111111"/>
          <w:sz w:val="28"/>
          <w:szCs w:val="28"/>
          <w:rtl/>
        </w:rPr>
        <w:t xml:space="preserve">و أمّا الروایتان </w:t>
      </w:r>
      <w:r>
        <w:rPr>
          <w:rStyle w:val="FootnoteReference"/>
        </w:rPr>
        <w:footnoteReference w:id="3273"/>
      </w:r>
      <w:r>
        <w:rPr>
          <w:rFonts w:ascii="IRNazanin" w:hAnsi="IRNazanin" w:eastAsia="IRNazanin" w:cs="IRNazanin"/>
          <w:lang w:bidi="fa-IR"/>
          <w:color w:val="111111"/>
          <w:sz w:val="28"/>
          <w:szCs w:val="28"/>
          <w:rtl/>
        </w:rPr>
        <w:t xml:space="preserve">،فدلالتهما علی ما حملنا علیه السابقین </w:t>
      </w:r>
      <w:r>
        <w:rPr>
          <w:rStyle w:val="FootnoteReference"/>
        </w:rPr>
        <w:footnoteReference w:id="3274"/>
      </w:r>
      <w:r>
        <w:rPr>
          <w:rFonts w:ascii="IRNazanin" w:hAnsi="IRNazanin" w:eastAsia="IRNazanin" w:cs="IRNazanin"/>
          <w:lang w:bidi="fa-IR"/>
          <w:color w:val="111111"/>
          <w:sz w:val="28"/>
          <w:szCs w:val="28"/>
          <w:rtl/>
        </w:rPr>
        <w:t xml:space="preserve">أوضح،</w:t>
      </w:r>
    </w:p>
    <w:p>
      <w:pPr>
        <w:pStyle w:val="BookText"/>
      </w:pPr>
      <w:r>
        <w:rPr>
          <w:rFonts w:ascii="IRNazanin" w:hAnsi="IRNazanin" w:eastAsia="IRNazanin" w:cs="IRNazanin"/>
          <w:lang w:bidi="fa-IR"/>
          <w:color w:val="111111"/>
          <w:sz w:val="28"/>
          <w:szCs w:val="28"/>
          <w:rtl/>
        </w:rPr>
        <w:t xml:space="preserve">[شماره صفحه واقعی : 368]
</w:t>
      </w:r>
    </w:p>
    <w:p>
      <w:pPr>
        <w:sectPr>
          <w:footerReference w:type="default" r:id="rId10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لیس فیهما ما یدلّ-و لو بالعموم-علی عدم وقوع البیع الواقع من غیر المالک له إذا أجاز.</w:t>
      </w:r>
    </w:p>
    <w:p>
      <w:pPr>
        <w:pStyle w:val="BookText"/>
      </w:pPr>
      <w:r>
        <w:rPr>
          <w:rFonts w:ascii="IRNazanin" w:hAnsi="IRNazanin" w:eastAsia="IRNazanin" w:cs="IRNazanin"/>
          <w:lang w:bidi="fa-IR"/>
          <w:color w:val="111111"/>
          <w:sz w:val="28"/>
          <w:szCs w:val="28"/>
          <w:rtl/>
        </w:rPr>
        <w:t xml:space="preserve">[*ستوده]</w:t>
      </w:r>
    </w:p>
    <w:p>
      <w:pPr>
        <w:pStyle w:val="BookText"/>
      </w:pPr>
      <w:r>
        <w:rPr>
          <w:rFonts w:ascii="IRNazanin" w:hAnsi="IRNazanin" w:eastAsia="IRNazanin" w:cs="IRNazanin"/>
          <w:lang w:bidi="fa-IR"/>
          <w:color w:val="111111"/>
          <w:sz w:val="28"/>
          <w:szCs w:val="28"/>
          <w:rtl/>
        </w:rPr>
        <w:t xml:space="preserve">و أمّا الحصر فی صحیحة ابن مسلم و التوقیع،فإنّما هو فی مقابلة عدم رضا أهل الأرض و الضیعة رأساً،علی ما یقتضیه السؤال فیهما.</w:t>
      </w:r>
    </w:p>
    <w:p>
      <w:pPr>
        <w:pStyle w:val="BookText"/>
      </w:pPr>
      <w:r>
        <w:rPr>
          <w:rFonts w:ascii="IRNazanin" w:hAnsi="IRNazanin" w:eastAsia="IRNazanin" w:cs="IRNazanin"/>
          <w:lang w:bidi="fa-IR"/>
          <w:color w:val="111111"/>
          <w:sz w:val="28"/>
          <w:szCs w:val="28"/>
          <w:rtl/>
        </w:rPr>
        <w:t xml:space="preserve">و توضیحه:أنّ النهی فی مثل المقام و إن کان یقتضی الفساد،إلّا أنّه بمعنی عدم ترتّب الأثر المقصود من المعاملة علیه.</w:t>
      </w:r>
    </w:p>
    <w:p>
      <w:pPr>
        <w:pStyle w:val="BookText"/>
      </w:pPr>
      <w:r>
        <w:rPr>
          <w:rFonts w:ascii="IRNazanin" w:hAnsi="IRNazanin" w:eastAsia="IRNazanin" w:cs="IRNazanin"/>
          <w:lang w:bidi="fa-IR"/>
          <w:color w:val="111111"/>
          <w:sz w:val="28"/>
          <w:szCs w:val="28"/>
          <w:rtl/>
        </w:rPr>
        <w:t xml:space="preserve">و من المعلوم:أنّ عقد الفضولی لا یترتّب علیه بنفسه </w:t>
      </w:r>
      <w:r>
        <w:rPr>
          <w:rStyle w:val="FootnoteReference"/>
        </w:rPr>
        <w:footnoteReference w:id="3275"/>
      </w:r>
      <w:r>
        <w:rPr>
          <w:rFonts w:ascii="IRNazanin" w:hAnsi="IRNazanin" w:eastAsia="IRNazanin" w:cs="IRNazanin"/>
          <w:lang w:bidi="fa-IR"/>
          <w:color w:val="111111"/>
          <w:sz w:val="28"/>
          <w:szCs w:val="28"/>
          <w:rtl/>
        </w:rPr>
        <w:t xml:space="preserve">الملک المقصود منه؛و لذا یطلق علیه الباطل فی عباراتهم کثیراً،و لذا عدّ فی الشرائع </w:t>
      </w:r>
      <w:r>
        <w:rPr>
          <w:rStyle w:val="FootnoteReference"/>
        </w:rPr>
        <w:footnoteReference w:id="3276"/>
      </w:r>
      <w:r>
        <w:rPr>
          <w:rFonts w:ascii="IRNazanin" w:hAnsi="IRNazanin" w:eastAsia="IRNazanin" w:cs="IRNazanin"/>
          <w:lang w:bidi="fa-IR"/>
          <w:color w:val="111111"/>
          <w:sz w:val="28"/>
          <w:szCs w:val="28"/>
          <w:rtl/>
        </w:rPr>
        <w:t xml:space="preserve">و القواعد </w:t>
      </w:r>
      <w:r>
        <w:rPr>
          <w:rStyle w:val="FootnoteReference"/>
        </w:rPr>
        <w:footnoteReference w:id="3277"/>
      </w:r>
      <w:r>
        <w:rPr>
          <w:rFonts w:ascii="IRNazanin" w:hAnsi="IRNazanin" w:eastAsia="IRNazanin" w:cs="IRNazanin"/>
          <w:lang w:bidi="fa-IR"/>
          <w:color w:val="111111"/>
          <w:sz w:val="28"/>
          <w:szCs w:val="28"/>
          <w:rtl/>
        </w:rPr>
        <w:t xml:space="preserve">من شروط المتعاقدین-أعنی شروط الصحّة-:</w:t>
      </w:r>
    </w:p>
    <w:p>
      <w:pPr>
        <w:pStyle w:val="BookText"/>
      </w:pPr>
      <w:r>
        <w:rPr>
          <w:rFonts w:ascii="IRNazanin" w:hAnsi="IRNazanin" w:eastAsia="IRNazanin" w:cs="IRNazanin"/>
          <w:lang w:bidi="fa-IR"/>
          <w:color w:val="111111"/>
          <w:sz w:val="28"/>
          <w:szCs w:val="28"/>
          <w:rtl/>
        </w:rPr>
        <w:t xml:space="preserve">کون العاقد مالکاً أو قائماً مقامه،و إن أبیت إلّا عن ظهور الروایتین فی لغویّة عقد الفضولی رأساً،وجب تخصیصهما </w:t>
      </w:r>
      <w:r>
        <w:rPr>
          <w:rStyle w:val="FootnoteReference"/>
        </w:rPr>
        <w:footnoteReference w:id="3278"/>
      </w:r>
      <w:r>
        <w:rPr>
          <w:rFonts w:ascii="Amiri" w:hAnsi="Amiri" w:eastAsia="Amiri" w:cs="Amiri"/>
          <w:lang w:bidi="ar-SA"/>
          <w:color w:val="111111"/>
          <w:sz w:val="28"/>
          <w:szCs w:val="28"/>
          <w:rtl/>
        </w:rPr>
        <w:t xml:space="preserve">بما تقدّم من أدلّة الصحّة.</w:t>
      </w:r>
    </w:p>
    <w:p>
      <w:pPr>
        <w:pStyle w:val="BookText"/>
      </w:pPr>
      <w:r>
        <w:rPr>
          <w:rFonts w:ascii="IRNazanin" w:hAnsi="IRNazanin" w:eastAsia="IRNazanin" w:cs="IRNazanin"/>
          <w:lang w:bidi="fa-IR"/>
          <w:color w:val="111111"/>
          <w:sz w:val="28"/>
          <w:szCs w:val="28"/>
          <w:rtl/>
        </w:rPr>
        <w:t xml:space="preserve">و أمّا روایة القاسم بن فضل </w:t>
      </w:r>
      <w:r>
        <w:rPr>
          <w:rStyle w:val="FootnoteReference"/>
        </w:rPr>
        <w:footnoteReference w:id="3279"/>
      </w:r>
      <w:r>
        <w:rPr>
          <w:rFonts w:ascii="IRNazanin" w:hAnsi="IRNazanin" w:eastAsia="IRNazanin" w:cs="IRNazanin"/>
          <w:lang w:bidi="fa-IR"/>
          <w:color w:val="111111"/>
          <w:sz w:val="28"/>
          <w:szCs w:val="28"/>
          <w:rtl/>
        </w:rPr>
        <w:t xml:space="preserve">،فلا دلالة فیها إلّا علی عدم جواز إعطاء الثمن للفضولی؛لأنّه باع ما لا یملک،و هذا حقّ لا ینافی صحّة الفضولی.</w:t>
      </w:r>
    </w:p>
    <w:p>
      <w:pPr>
        <w:pStyle w:val="BookText"/>
      </w:pPr>
      <w:r>
        <w:rPr>
          <w:rFonts w:ascii="IRNazanin" w:hAnsi="IRNazanin" w:eastAsia="IRNazanin" w:cs="IRNazanin"/>
          <w:lang w:bidi="fa-IR"/>
          <w:color w:val="111111"/>
          <w:sz w:val="28"/>
          <w:szCs w:val="28"/>
          <w:rtl/>
        </w:rPr>
        <w:t xml:space="preserve">و أمّا توقیع الصفّار،فالظاهر منه نفی جواز البیع فی ما لا یملک بمعنی وقوعه للبائع علی جهة الوجوب و اللزوم،و یؤیّده </w:t>
      </w:r>
      <w:r>
        <w:rPr>
          <w:rStyle w:val="FootnoteReference"/>
        </w:rPr>
        <w:footnoteReference w:id="3280"/>
      </w:r>
      <w:r>
        <w:rPr>
          <w:rFonts w:ascii="IRNazanin" w:hAnsi="IRNazanin" w:eastAsia="IRNazanin" w:cs="IRNazanin"/>
          <w:lang w:bidi="fa-IR"/>
          <w:color w:val="111111"/>
          <w:sz w:val="28"/>
          <w:szCs w:val="28"/>
          <w:rtl/>
        </w:rPr>
        <w:t xml:space="preserve">تصریحه علیه السلام</w:t>
      </w:r>
    </w:p>
    <w:p>
      <w:pPr>
        <w:pStyle w:val="BookText"/>
      </w:pPr>
      <w:r>
        <w:rPr>
          <w:rFonts w:ascii="IRNazanin" w:hAnsi="IRNazanin" w:eastAsia="IRNazanin" w:cs="IRNazanin"/>
          <w:lang w:bidi="fa-IR"/>
          <w:color w:val="111111"/>
          <w:sz w:val="28"/>
          <w:szCs w:val="28"/>
          <w:rtl/>
        </w:rPr>
        <w:t xml:space="preserve">[شماره صفحه واقعی : 369]
</w:t>
      </w:r>
    </w:p>
    <w:p>
      <w:pPr>
        <w:sectPr>
          <w:footerReference w:type="default" r:id="rId1048"/>
          <w:footnotePr>
            <w:numStart w:val="1"/>
            <w:numRestart w:val="eachPage"/>
          </w:footnotePr>
          <w:pgSz w:orient="portrait" w:w="11905.511811023622" w:h="16837.79527559055"/>
          <w:pgMar w:top="1440" w:right="1440" w:bottom="1440" w:left="1440" w:header="720" w:footer="720" w:gutter="0"/>
          <w:cols w:num="1" w:space="720"/>
        </w:sectPr>
      </w:pPr>
    </w:p>
    <w:bookmarkStart w:id="639" w:name="pg14411_143430"/>
    <w:bookmarkEnd w:id="639"/>
    <w:p>
      <w:pPr>
        <w:pStyle w:val="BookText"/>
      </w:pPr>
      <w:r>
        <w:rPr>
          <w:rFonts w:ascii="IRNazanin" w:hAnsi="IRNazanin" w:eastAsia="IRNazanin" w:cs="IRNazanin"/>
          <w:lang w:bidi="fa-IR"/>
          <w:color w:val="111111"/>
          <w:sz w:val="28"/>
          <w:szCs w:val="28"/>
          <w:rtl/>
        </w:rPr>
        <w:t xml:space="preserve">بعد تلک الفقرة بوجوب البیع فیما یملک </w:t>
      </w:r>
      <w:r>
        <w:rPr>
          <w:rStyle w:val="FootnoteReference"/>
        </w:rPr>
        <w:footnoteReference w:id="3281"/>
      </w:r>
      <w:r>
        <w:rPr>
          <w:rFonts w:ascii="IRNazanin" w:hAnsi="IRNazanin" w:eastAsia="IRNazanin" w:cs="IRNazanin"/>
          <w:lang w:bidi="fa-IR"/>
          <w:color w:val="111111"/>
          <w:sz w:val="28"/>
          <w:szCs w:val="28"/>
          <w:rtl/>
        </w:rPr>
        <w:t xml:space="preserve">،فلا دلالة علی عدم وقوعه لمالکه إذا أجاز.</w:t>
      </w:r>
    </w:p>
    <w:p>
      <w:pPr>
        <w:pStyle w:val="BookText"/>
      </w:pPr>
      <w:r>
        <w:rPr>
          <w:rFonts w:ascii="IRNazanin" w:hAnsi="IRNazanin" w:eastAsia="IRNazanin" w:cs="IRNazanin"/>
          <w:lang w:bidi="fa-IR"/>
          <w:color w:val="111111"/>
          <w:sz w:val="28"/>
          <w:szCs w:val="28"/>
          <w:rtl/>
        </w:rPr>
        <w:t xml:space="preserve">و بالجملة،فالإنصاف أنّه لا دلالة فی تلک الأخبار بأسرها علی عدم وقوع بیع غیر المالک للمالک إذا أجاز،و لا تعرّض فیها إلّا لنفی وقوعه للعاقد.</w:t>
      </w:r>
    </w:p>
    <w:p>
      <w:pPr>
        <w:pStyle w:val="Heading6"/>
      </w:pPr>
      <w:bookmarkStart w:id="2268" w:name="_Toc1303"/>
      <w:r>
        <w:t>الثالث : الإجماع علی البطلان</w:t>
      </w:r>
      <w:bookmarkEnd w:id="2268"/>
    </w:p>
    <w:p>
      <w:pPr>
        <w:pStyle w:val="BookText"/>
      </w:pPr>
      <w:r>
        <w:rPr>
          <w:rFonts w:ascii="IRNazanin" w:hAnsi="IRNazanin" w:eastAsia="IRNazanin" w:cs="IRNazanin"/>
          <w:lang w:bidi="fa-IR"/>
          <w:color w:val="111111"/>
          <w:sz w:val="28"/>
          <w:szCs w:val="28"/>
          <w:rtl/>
        </w:rPr>
        <w:t xml:space="preserve">ادّعاه الشیخ فی الخلاف معترفاً بأنّ الصحّة مذهب قوم من أصحابنا،معتذراً عن ذلک بعدم الاعتداد بخلافهم </w:t>
      </w:r>
      <w:r>
        <w:rPr>
          <w:rStyle w:val="FootnoteReference"/>
        </w:rPr>
        <w:footnoteReference w:id="3282"/>
      </w:r>
      <w:r>
        <w:rPr>
          <w:rFonts w:ascii="IRNazanin" w:hAnsi="IRNazanin" w:eastAsia="IRNazanin" w:cs="IRNazanin"/>
          <w:lang w:bidi="fa-IR"/>
          <w:color w:val="111111"/>
          <w:sz w:val="28"/>
          <w:szCs w:val="28"/>
          <w:rtl/>
        </w:rPr>
        <w:t xml:space="preserve">،و ادّعاه ابن زهرة أیضاً فی الغنیة </w:t>
      </w:r>
      <w:r>
        <w:rPr>
          <w:rStyle w:val="FootnoteReference"/>
        </w:rPr>
        <w:footnoteReference w:id="3283"/>
      </w:r>
      <w:r>
        <w:rPr>
          <w:rFonts w:ascii="IRNazanin" w:hAnsi="IRNazanin" w:eastAsia="IRNazanin" w:cs="IRNazanin"/>
          <w:lang w:bidi="fa-IR"/>
          <w:color w:val="111111"/>
          <w:sz w:val="28"/>
          <w:szCs w:val="28"/>
          <w:rtl/>
        </w:rPr>
        <w:t xml:space="preserve">،و ادّعی الحلّی فی باب المضاربة عدم الخلاف فی بطلان شراء الغاصب إذا اشتری بعین المغصوب </w:t>
      </w:r>
      <w:r>
        <w:rPr>
          <w:rStyle w:val="FootnoteReference"/>
        </w:rPr>
        <w:footnoteReference w:id="32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الجواب:عدم الظنّ بالإجماع،بل الظنّ بعدمه،بعد ذهاب معظم القدماء-کالقدیمین و المفید و المرتضی و الشیخ بنفسه فی النهایة التی هی آخر مصنّفاته علی ما قیل و أتباعهم-علی الصحّة،و إطباق </w:t>
      </w:r>
      <w:r>
        <w:rPr>
          <w:rStyle w:val="FootnoteReference"/>
        </w:rPr>
        <w:footnoteReference w:id="3285"/>
      </w:r>
      <w:r>
        <w:rPr>
          <w:rFonts w:ascii="IRNazanin" w:hAnsi="IRNazanin" w:eastAsia="IRNazanin" w:cs="IRNazanin"/>
          <w:lang w:bidi="fa-IR"/>
          <w:color w:val="111111"/>
          <w:sz w:val="28"/>
          <w:szCs w:val="28"/>
          <w:rtl/>
        </w:rPr>
        <w:t xml:space="preserve">المتأخّرین علیه،عدا فخر الدین و بعض متأخّری المتأخّرین </w:t>
      </w:r>
      <w:r>
        <w:rPr>
          <w:rStyle w:val="FootnoteReference"/>
        </w:rPr>
        <w:footnoteReference w:id="32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370]
</w:t>
      </w:r>
    </w:p>
    <w:p>
      <w:pPr>
        <w:sectPr>
          <w:footerReference w:type="default" r:id="rId1049"/>
          <w:footnotePr>
            <w:numStart w:val="1"/>
            <w:numRestart w:val="eachPage"/>
          </w:footnotePr>
          <w:pgSz w:orient="portrait" w:w="11905.511811023622" w:h="16837.79527559055"/>
          <w:pgMar w:top="1440" w:right="1440" w:bottom="1440" w:left="1440" w:header="720" w:footer="720" w:gutter="0"/>
          <w:cols w:num="1" w:space="720"/>
        </w:sectPr>
      </w:pPr>
    </w:p>
    <w:bookmarkStart w:id="640" w:name="pg14411_143431"/>
    <w:bookmarkEnd w:id="640"/>
    <w:p>
      <w:pPr>
        <w:pStyle w:val="Heading6"/>
      </w:pPr>
      <w:bookmarkStart w:id="2269" w:name="_Toc1304"/>
      <w:r>
        <w:t>الرابع : ما دلّ من العقل و النقل</w:t>
      </w:r>
      <w:bookmarkEnd w:id="2269"/>
    </w:p>
    <w:p>
      <w:pPr>
        <w:pStyle w:val="BookText"/>
      </w:pPr>
      <w:r>
        <w:rPr>
          <w:rFonts w:ascii="IRNazanin" w:hAnsi="IRNazanin" w:eastAsia="IRNazanin" w:cs="IRNazanin"/>
          <w:lang w:bidi="fa-IR"/>
          <w:color w:val="111111"/>
          <w:sz w:val="28"/>
          <w:szCs w:val="28"/>
          <w:rtl/>
        </w:rPr>
        <w:t xml:space="preserve">علی عدم جواز التصرّف فی مال الغیر إلّا بإذنه،فإنّ الرضا اللاحق لا ینفع فی رفع القبح الثابت حال التصرّف،ففی التوقیع المرویّ فی الاحتجاج:«لا یجوز لأحد أن یتصرّف فی مال غیره إلّا بإذنه» </w:t>
      </w:r>
      <w:r>
        <w:rPr>
          <w:rStyle w:val="FootnoteReference"/>
        </w:rPr>
        <w:footnoteReference w:id="3287"/>
      </w:r>
      <w:r>
        <w:rPr>
          <w:rFonts w:ascii="IRNazanin" w:hAnsi="IRNazanin" w:eastAsia="IRNazanin" w:cs="IRNazanin"/>
          <w:lang w:bidi="fa-IR"/>
          <w:color w:val="111111"/>
          <w:sz w:val="28"/>
          <w:szCs w:val="28"/>
          <w:rtl/>
        </w:rPr>
        <w:t xml:space="preserve">،و لا ریب أنّ بیع مال الغیر تصرّف فیه عرفاً.</w:t>
      </w:r>
    </w:p>
    <w:p>
      <w:pPr>
        <w:pStyle w:val="BookText"/>
      </w:pPr>
      <w:r>
        <w:rPr>
          <w:rFonts w:ascii="IRNazanin" w:hAnsi="IRNazanin" w:eastAsia="IRNazanin" w:cs="IRNazanin"/>
          <w:lang w:bidi="fa-IR"/>
          <w:color w:val="111111"/>
          <w:sz w:val="28"/>
          <w:szCs w:val="28"/>
          <w:rtl/>
        </w:rPr>
        <w:t xml:space="preserve">و الجواب:أنّ العقد علی مال الغیر متوقّعاً لإجازته غیر قاصد لترتیب الآثار علیها لیس تصرّفاً فیه.</w:t>
      </w:r>
    </w:p>
    <w:p>
      <w:pPr>
        <w:pStyle w:val="BookText"/>
      </w:pPr>
      <w:r>
        <w:rPr>
          <w:rFonts w:ascii="IRNazanin" w:hAnsi="IRNazanin" w:eastAsia="IRNazanin" w:cs="IRNazanin"/>
          <w:lang w:bidi="fa-IR"/>
          <w:color w:val="111111"/>
          <w:sz w:val="28"/>
          <w:szCs w:val="28"/>
          <w:rtl/>
        </w:rPr>
        <w:t xml:space="preserve">نعم،لو فرض کون العقد علّة تامّة و لو عرفاً لحصول الآثار کما فی بیع المالک أو الغاصب المستقلّ کان حکم العقد جوازاً و منعاً حکم معلوله المترتّب علیه.</w:t>
      </w:r>
    </w:p>
    <w:p>
      <w:pPr>
        <w:pStyle w:val="BookText"/>
      </w:pPr>
      <w:r>
        <w:rPr>
          <w:rFonts w:ascii="IRNazanin" w:hAnsi="IRNazanin" w:eastAsia="IRNazanin" w:cs="IRNazanin"/>
          <w:lang w:bidi="fa-IR"/>
          <w:color w:val="111111"/>
          <w:sz w:val="28"/>
          <w:szCs w:val="28"/>
          <w:rtl/>
        </w:rPr>
        <w:t xml:space="preserve">ثمّ لو فرض کونه تصرّفاً،فممّا استقلّ العقل بجوازه مثل الاستضاءة و الاصطلاء بنور الغیر و ناره،مع أنّه قد یفرض الکلام فیما إذا علم الإذن فی هذا من المقال أو الحال؛بناءً علی أنّ ذلک لا یخرجه عن الفضولی،مع أنّ تحریمه لا یدلّ علی الفساد،مع أنّه لو دلّ لدلّ علی بطلان البیع بمعنی عدم ترتّب الأثر علیه و عدم استقلاله فی ذلک،و لا ینکره القائل بالصحّة،خصوصاً إذا کانت الإجازة ناقلة.</w:t>
      </w:r>
    </w:p>
    <w:p>
      <w:pPr>
        <w:pStyle w:val="BookText"/>
      </w:pPr>
      <w:r>
        <w:rPr>
          <w:rFonts w:ascii="IRNazanin" w:hAnsi="IRNazanin" w:eastAsia="IRNazanin" w:cs="IRNazanin"/>
          <w:lang w:bidi="fa-IR"/>
          <w:color w:val="111111"/>
          <w:sz w:val="28"/>
          <w:szCs w:val="28"/>
          <w:rtl/>
        </w:rPr>
        <w:t xml:space="preserve">و ممّا ذکرنا ظهر الجواب عمّا لو وقع العقد من الفضولی قاصداً لترتیب الأثر من دون مراجعة المشتری؛بناءً علی أنّ العقد المقرون بهذا القصد قبیح محرّم،لا نفس القصد المقرون بهذا العقد.</w:t>
      </w:r>
    </w:p>
    <w:p>
      <w:pPr>
        <w:pStyle w:val="BookText"/>
      </w:pPr>
      <w:r>
        <w:rPr>
          <w:rFonts w:ascii="IRNazanin" w:hAnsi="IRNazanin" w:eastAsia="IRNazanin" w:cs="IRNazanin"/>
          <w:lang w:bidi="fa-IR"/>
          <w:color w:val="111111"/>
          <w:sz w:val="28"/>
          <w:szCs w:val="28"/>
          <w:rtl/>
        </w:rPr>
        <w:t xml:space="preserve">[شماره صفحه واقعی : 371]
</w:t>
      </w:r>
    </w:p>
    <w:p>
      <w:pPr>
        <w:sectPr>
          <w:footerReference w:type="default" r:id="rId1050"/>
          <w:footnotePr>
            <w:numStart w:val="1"/>
            <w:numRestart w:val="eachPage"/>
          </w:footnotePr>
          <w:pgSz w:orient="portrait" w:w="11905.511811023622" w:h="16837.79527559055"/>
          <w:pgMar w:top="1440" w:right="1440" w:bottom="1440" w:left="1440" w:header="720" w:footer="720" w:gutter="0"/>
          <w:cols w:num="1" w:space="720"/>
        </w:sectPr>
      </w:pPr>
    </w:p>
    <w:bookmarkStart w:id="641" w:name="pg14411_143432"/>
    <w:bookmarkEnd w:id="641"/>
    <w:p>
      <w:pPr>
        <w:pStyle w:val="Heading6"/>
      </w:pPr>
      <w:bookmarkStart w:id="2270" w:name="_Toc1305"/>
      <w:r>
        <w:t>و قد یستدلّ للمنع بوجوه أُخر ضعیفة</w:t>
      </w:r>
      <w:bookmarkEnd w:id="2270"/>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[*ستوده]</w:t>
      </w:r>
    </w:p>
    <w:p>
      <w:pPr>
        <w:pStyle w:val="BookText"/>
      </w:pPr>
      <w:r>
        <w:rPr>
          <w:rFonts w:ascii="IRNazanin" w:hAnsi="IRNazanin" w:eastAsia="IRNazanin" w:cs="IRNazanin"/>
          <w:lang w:bidi="fa-IR"/>
          <w:color w:val="111111"/>
          <w:sz w:val="28"/>
          <w:szCs w:val="28"/>
          <w:rtl/>
        </w:rPr>
        <w:t xml:space="preserve">أقواها:أنّ القدرة علی التسلیم معتبرة فی صحّة البیع،و الفضولی غیر قادر </w:t>
      </w:r>
      <w:r>
        <w:rPr>
          <w:rStyle w:val="FootnoteReference"/>
        </w:rPr>
        <w:footnoteReference w:id="3288"/>
      </w:r>
      <w:r>
        <w:rPr>
          <w:rFonts w:ascii="IRNazanin" w:hAnsi="IRNazanin" w:eastAsia="IRNazanin" w:cs="IRNazanin"/>
          <w:lang w:bidi="fa-IR"/>
          <w:color w:val="111111"/>
          <w:sz w:val="28"/>
          <w:szCs w:val="28"/>
          <w:rtl/>
        </w:rPr>
        <w:t xml:space="preserve">،و أنّ الفضولی غیر قاصد حقیقةً إلی مدلول اللفظ کالمکره،کما صرّح فی المسالک </w:t>
      </w:r>
      <w:r>
        <w:rPr>
          <w:rStyle w:val="FootnoteReference"/>
        </w:rPr>
        <w:footnoteReference w:id="32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یضعّف الأوّل-مضافاً إلی أنّ الفضولی قد یکون قادراً علی إرضاء المالک </w:t>
      </w:r>
      <w:r>
        <w:rPr>
          <w:rStyle w:val="FootnoteReference"/>
        </w:rPr>
        <w:footnoteReference w:id="3290"/>
      </w:r>
      <w:r>
        <w:rPr>
          <w:rFonts w:ascii="Amiri" w:hAnsi="Amiri" w:eastAsia="Amiri" w:cs="Amiri"/>
          <w:lang w:bidi="ar-SA"/>
          <w:color w:val="111111"/>
          <w:sz w:val="28"/>
          <w:szCs w:val="28"/>
          <w:rtl/>
        </w:rPr>
        <w:t xml:space="preserve">-بأنّ </w:t>
      </w:r>
      <w:r>
        <w:rPr>
          <w:rStyle w:val="FootnoteReference"/>
        </w:rPr>
        <w:footnoteReference w:id="3291"/>
      </w:r>
      <w:r>
        <w:rPr>
          <w:rFonts w:ascii="IRNazanin" w:hAnsi="IRNazanin" w:eastAsia="IRNazanin" w:cs="IRNazanin"/>
          <w:lang w:bidi="fa-IR"/>
          <w:color w:val="111111"/>
          <w:sz w:val="28"/>
          <w:szCs w:val="28"/>
          <w:rtl/>
        </w:rPr>
        <w:t xml:space="preserve">هذا الشرط غیر معتبر فی العاقد قطعاً،بل یکفی تحقّقه فی المالک،فحینئذٍ یشترط فی صحّة العقد مع الإجازة قدرة المجیز علی تسلیمه أو </w:t>
      </w:r>
      <w:r>
        <w:rPr>
          <w:rStyle w:val="FootnoteReference"/>
        </w:rPr>
        <w:footnoteReference w:id="3292"/>
      </w:r>
      <w:r>
        <w:rPr>
          <w:rFonts w:ascii="IRNazanin" w:hAnsi="IRNazanin" w:eastAsia="IRNazanin" w:cs="IRNazanin"/>
          <w:lang w:bidi="fa-IR"/>
          <w:color w:val="111111"/>
          <w:sz w:val="28"/>
          <w:szCs w:val="28"/>
          <w:rtl/>
        </w:rPr>
        <w:t xml:space="preserve">قدرة المشتری علی تسلّمه علی ما سیجیء </w:t>
      </w:r>
      <w:r>
        <w:rPr>
          <w:rStyle w:val="FootnoteReference"/>
        </w:rPr>
        <w:footnoteReference w:id="32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یضعّف الثانی بأنّ </w:t>
      </w:r>
      <w:r>
        <w:rPr>
          <w:rStyle w:val="FootnoteReference"/>
        </w:rPr>
        <w:footnoteReference w:id="3294"/>
      </w:r>
      <w:r>
        <w:rPr>
          <w:rFonts w:ascii="IRNazanin" w:hAnsi="IRNazanin" w:eastAsia="IRNazanin" w:cs="IRNazanin"/>
          <w:lang w:bidi="fa-IR"/>
          <w:color w:val="111111"/>
          <w:sz w:val="28"/>
          <w:szCs w:val="28"/>
          <w:rtl/>
        </w:rPr>
        <w:t xml:space="preserve">المعتبر فی العقد هو هذا القدر من القصد الموجود فی الفضولی و المکره،لا أزید منه،بدلیل الإجماع علی صحّة نکاح الفضولی و بیع المکره بحقّ؛فإنّ دعوی عدم اعتبار القصد فی ذلک للإجماع،کما تری!</w:t>
      </w:r>
    </w:p>
    <w:p>
      <w:pPr>
        <w:pStyle w:val="BookText"/>
      </w:pPr>
      <w:r>
        <w:rPr>
          <w:rFonts w:ascii="IRNazanin" w:hAnsi="IRNazanin" w:eastAsia="IRNazanin" w:cs="IRNazanin"/>
          <w:lang w:bidi="fa-IR"/>
          <w:color w:val="111111"/>
          <w:sz w:val="28"/>
          <w:szCs w:val="28"/>
          <w:rtl/>
        </w:rPr>
        <w:t xml:space="preserve">[شماره صفحه واقعی : 372]
</w:t>
      </w:r>
    </w:p>
    <w:p>
      <w:pPr>
        <w:sectPr>
          <w:footerReference w:type="default" r:id="rId1051"/>
          <w:footnotePr>
            <w:numStart w:val="1"/>
            <w:numRestart w:val="eachPage"/>
          </w:footnotePr>
          <w:pgSz w:orient="portrait" w:w="11905.511811023622" w:h="16837.79527559055"/>
          <w:pgMar w:top="1440" w:right="1440" w:bottom="1440" w:left="1440" w:header="720" w:footer="720" w:gutter="0"/>
          <w:cols w:num="1" w:space="720"/>
        </w:sectPr>
      </w:pPr>
    </w:p>
    <w:bookmarkStart w:id="642" w:name="pg14411_143433"/>
    <w:bookmarkEnd w:id="642"/>
    <w:p>
      <w:pPr>
        <w:pStyle w:val="Heading6"/>
      </w:pPr>
      <w:bookmarkStart w:id="2271" w:name="_Toc1306"/>
      <w:r>
        <w:t>المسألة الثانیة : أن یسبقه منع المالک</w:t>
      </w:r>
      <w:bookmarkEnd w:id="2271"/>
    </w:p>
    <w:p>
      <w:pPr>
        <w:pStyle w:val="BookText"/>
      </w:pPr>
      <w:r>
        <w:rPr>
          <w:rFonts w:ascii="IRNazanin" w:hAnsi="IRNazanin" w:eastAsia="IRNazanin" w:cs="IRNazanin"/>
          <w:lang w:bidi="fa-IR"/>
          <w:color w:val="111111"/>
          <w:sz w:val="28"/>
          <w:szCs w:val="28"/>
          <w:rtl/>
        </w:rPr>
        <w:t xml:space="preserve">و المشهور أیضاً صحّته،و حکی عن فخر الدین:أنّ بعض المجوّزین للفضولی اعتبر عدم سبق نهی المالک </w:t>
      </w:r>
      <w:r>
        <w:rPr>
          <w:rStyle w:val="FootnoteReference"/>
        </w:rPr>
        <w:footnoteReference w:id="32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یلوح إلیه ما عن التذکرة فی باب النکاح-من حمل النبویّ:«أیّما عبدٍ تزوّج بغیر إذن مولاه فهو عاهر» </w:t>
      </w:r>
      <w:r>
        <w:rPr>
          <w:rStyle w:val="FootnoteReference"/>
        </w:rPr>
        <w:footnoteReference w:id="3296"/>
      </w:r>
      <w:r>
        <w:rPr>
          <w:rFonts w:ascii="IRNazanin" w:hAnsi="IRNazanin" w:eastAsia="IRNazanin" w:cs="IRNazanin"/>
          <w:lang w:bidi="fa-IR"/>
          <w:color w:val="111111"/>
          <w:sz w:val="28"/>
          <w:szCs w:val="28"/>
          <w:rtl/>
        </w:rPr>
        <w:t xml:space="preserve">-بعد تضعیف السند-علی أنّه </w:t>
      </w:r>
      <w:r>
        <w:rPr>
          <w:rStyle w:val="FootnoteReference"/>
        </w:rPr>
        <w:footnoteReference w:id="3297"/>
      </w:r>
      <w:r>
        <w:rPr>
          <w:rFonts w:ascii="IRNazanin" w:hAnsi="IRNazanin" w:eastAsia="IRNazanin" w:cs="IRNazanin"/>
          <w:lang w:bidi="fa-IR"/>
          <w:color w:val="111111"/>
          <w:sz w:val="28"/>
          <w:szCs w:val="28"/>
          <w:rtl/>
        </w:rPr>
        <w:t xml:space="preserve">نکح بعد منع مولاه و کراهته؛فإنّه یقع باطلاً </w:t>
      </w:r>
      <w:r>
        <w:rPr>
          <w:rStyle w:val="FootnoteReference"/>
        </w:rPr>
        <w:footnoteReference w:id="3298"/>
      </w:r>
      <w:r>
        <w:rPr>
          <w:rFonts w:ascii="IRNazanin" w:hAnsi="IRNazanin" w:eastAsia="IRNazanin" w:cs="IRNazanin"/>
          <w:lang w:bidi="fa-IR"/>
          <w:color w:val="111111"/>
          <w:sz w:val="28"/>
          <w:szCs w:val="28"/>
          <w:rtl/>
        </w:rPr>
        <w:t xml:space="preserve">.و الظاهر أنّه لا یفرق بین النکاح و غیره </w:t>
      </w:r>
      <w:r>
        <w:rPr>
          <w:rStyle w:val="FootnoteReference"/>
        </w:rPr>
        <w:footnoteReference w:id="3299"/>
      </w:r>
      <w:r>
        <w:rPr>
          <w:rFonts w:ascii="IRNazanin" w:hAnsi="IRNazanin" w:eastAsia="IRNazanin" w:cs="IRNazanin"/>
          <w:lang w:bidi="fa-IR"/>
          <w:color w:val="111111"/>
          <w:sz w:val="28"/>
          <w:szCs w:val="28"/>
          <w:rtl/>
        </w:rPr>
        <w:t xml:space="preserve">،و یظهر من المحقّق الثانی،حیث احتمل </w:t>
      </w:r>
      <w:r>
        <w:rPr>
          <w:rStyle w:val="FootnoteReference"/>
        </w:rPr>
        <w:footnoteReference w:id="3300"/>
      </w:r>
      <w:r>
        <w:rPr>
          <w:rFonts w:ascii="IRNazanin" w:hAnsi="IRNazanin" w:eastAsia="IRNazanin" w:cs="IRNazanin"/>
          <w:lang w:bidi="fa-IR"/>
          <w:color w:val="111111"/>
          <w:sz w:val="28"/>
          <w:szCs w:val="28"/>
          <w:rtl/>
        </w:rPr>
        <w:t xml:space="preserve">فساد بیع الغاصب؛نظراً إلی القرینة الدالّة </w:t>
      </w:r>
      <w:r>
        <w:rPr>
          <w:rStyle w:val="FootnoteReference"/>
        </w:rPr>
        <w:footnoteReference w:id="3301"/>
      </w:r>
      <w:r>
        <w:rPr>
          <w:rFonts w:ascii="IRNazanin" w:hAnsi="IRNazanin" w:eastAsia="IRNazanin" w:cs="IRNazanin"/>
          <w:lang w:bidi="fa-IR"/>
          <w:color w:val="111111"/>
          <w:sz w:val="28"/>
          <w:szCs w:val="28"/>
          <w:rtl/>
        </w:rPr>
        <w:t xml:space="preserve">علی عدم الرضا و هی الغصب </w:t>
      </w:r>
      <w:r>
        <w:rPr>
          <w:rStyle w:val="FootnoteReference"/>
        </w:rPr>
        <w:footnoteReference w:id="33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کیف کان،فهذا القول لا وجه له ظاهراً،عدا تخیّل:أنّ المستند فی عقد الفضولی هی روایة عروة </w:t>
      </w:r>
      <w:r>
        <w:rPr>
          <w:rStyle w:val="FootnoteReference"/>
        </w:rPr>
        <w:footnoteReference w:id="3303"/>
      </w:r>
      <w:r>
        <w:rPr>
          <w:rFonts w:ascii="IRNazanin" w:hAnsi="IRNazanin" w:eastAsia="IRNazanin" w:cs="IRNazanin"/>
          <w:lang w:bidi="fa-IR"/>
          <w:color w:val="111111"/>
          <w:sz w:val="28"/>
          <w:szCs w:val="28"/>
          <w:rtl/>
        </w:rPr>
        <w:t xml:space="preserve">المختصّة بغیر المقام،و أنّ العقد إذا</w:t>
      </w:r>
    </w:p>
    <w:p>
      <w:pPr>
        <w:pStyle w:val="BookText"/>
      </w:pPr>
      <w:r>
        <w:rPr>
          <w:rFonts w:ascii="IRNazanin" w:hAnsi="IRNazanin" w:eastAsia="IRNazanin" w:cs="IRNazanin"/>
          <w:lang w:bidi="fa-IR"/>
          <w:color w:val="111111"/>
          <w:sz w:val="28"/>
          <w:szCs w:val="28"/>
          <w:rtl/>
        </w:rPr>
        <w:t xml:space="preserve">[شماره صفحه واقعی : 373]
</w:t>
      </w:r>
    </w:p>
    <w:p>
      <w:pPr>
        <w:sectPr>
          <w:footerReference w:type="default" r:id="rId10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وقع منهیّاً عنه فالمنع الموجود بعد العقد-و لو آناً ما-کافٍ فی الردّ، فلا ینفع الإجازة اللاحقة؛بناءً علی أنّه لا یعتبر فی الردّ سوی عدم الرضا الباطنی بالعقد علی ما یقتضیه حکم بعضهم </w:t>
      </w:r>
      <w:r>
        <w:rPr>
          <w:rStyle w:val="FootnoteReference"/>
        </w:rPr>
        <w:footnoteReference w:id="3304"/>
      </w:r>
      <w:r>
        <w:rPr>
          <w:rFonts w:ascii="IRNazanin" w:hAnsi="IRNazanin" w:eastAsia="IRNazanin" w:cs="IRNazanin"/>
          <w:lang w:bidi="fa-IR"/>
          <w:color w:val="111111"/>
          <w:sz w:val="28"/>
          <w:szCs w:val="28"/>
          <w:rtl/>
        </w:rPr>
        <w:t xml:space="preserve">بأنّه إذا حلف الموکّل علی نفی الإذن فی اشتراء الوکیل انفسخ العقد؛لأنّ الحلف علیه أمارة عدم الرضا.</w:t>
      </w:r>
    </w:p>
    <w:p>
      <w:pPr>
        <w:pStyle w:val="BookText"/>
      </w:pPr>
      <w:r>
        <w:rPr>
          <w:rFonts w:ascii="IRNazanin" w:hAnsi="IRNazanin" w:eastAsia="IRNazanin" w:cs="IRNazanin"/>
          <w:lang w:bidi="fa-IR"/>
          <w:color w:val="111111"/>
          <w:sz w:val="28"/>
          <w:szCs w:val="28"/>
          <w:rtl/>
        </w:rPr>
        <w:t xml:space="preserve">هذا،و لکنّ الأقوی عدم الفرق؛لعدم انحصار المستند حینئذٍ </w:t>
      </w:r>
      <w:r>
        <w:rPr>
          <w:rStyle w:val="FootnoteReference"/>
        </w:rPr>
        <w:footnoteReference w:id="3305"/>
      </w:r>
      <w:r>
        <w:rPr>
          <w:rFonts w:ascii="IRNazanin" w:hAnsi="IRNazanin" w:eastAsia="IRNazanin" w:cs="IRNazanin"/>
          <w:lang w:bidi="fa-IR"/>
          <w:color w:val="111111"/>
          <w:sz w:val="28"/>
          <w:szCs w:val="28"/>
          <w:rtl/>
        </w:rPr>
        <w:t xml:space="preserve">فی روایة عروة،و کفایة العمومات،مضافاً إلی ترک الاستفصال فی صحیحة محمد بن قیس </w:t>
      </w:r>
      <w:r>
        <w:rPr>
          <w:rStyle w:val="FootnoteReference"/>
        </w:rPr>
        <w:footnoteReference w:id="3306"/>
      </w:r>
      <w:r>
        <w:rPr>
          <w:rFonts w:ascii="IRNazanin" w:hAnsi="IRNazanin" w:eastAsia="IRNazanin" w:cs="IRNazanin"/>
          <w:lang w:bidi="fa-IR"/>
          <w:color w:val="111111"/>
          <w:sz w:val="28"/>
          <w:szCs w:val="28"/>
          <w:rtl/>
        </w:rPr>
        <w:t xml:space="preserve">،و جریان فحوی أدلّة نکاح العبد بدون إذن مولاه </w:t>
      </w:r>
      <w:r>
        <w:rPr>
          <w:rStyle w:val="FootnoteReference"/>
        </w:rPr>
        <w:footnoteReference w:id="3307"/>
      </w:r>
      <w:r>
        <w:rPr>
          <w:rFonts w:ascii="IRNazanin" w:hAnsi="IRNazanin" w:eastAsia="IRNazanin" w:cs="IRNazanin"/>
          <w:lang w:bidi="fa-IR"/>
          <w:color w:val="111111"/>
          <w:sz w:val="28"/>
          <w:szCs w:val="28"/>
          <w:rtl/>
        </w:rPr>
        <w:t xml:space="preserve">، مع ظهور المنع فیها و لو بشاهد الحال بین الموالی و العبید،مع أنّ روایة إجازته صریحة فی عدم قدح معصیة السیّد </w:t>
      </w:r>
      <w:r>
        <w:rPr>
          <w:rStyle w:val="FootnoteReference"/>
        </w:rPr>
        <w:footnoteReference w:id="3308"/>
      </w:r>
      <w:r>
        <w:rPr>
          <w:rFonts w:ascii="IRNazanin" w:hAnsi="IRNazanin" w:eastAsia="IRNazanin" w:cs="IRNazanin"/>
          <w:lang w:bidi="fa-IR"/>
          <w:color w:val="111111"/>
          <w:sz w:val="28"/>
          <w:szCs w:val="28"/>
          <w:rtl/>
        </w:rPr>
        <w:t xml:space="preserve">،مع جریان المؤیّدات المتقدّمة له:من بیع مال الیتیم </w:t>
      </w:r>
      <w:r>
        <w:rPr>
          <w:rStyle w:val="FootnoteReference"/>
        </w:rPr>
        <w:footnoteReference w:id="3309"/>
      </w:r>
      <w:r>
        <w:rPr>
          <w:rFonts w:ascii="IRNazanin" w:hAnsi="IRNazanin" w:eastAsia="IRNazanin" w:cs="IRNazanin"/>
          <w:lang w:bidi="fa-IR"/>
          <w:color w:val="111111"/>
          <w:sz w:val="28"/>
          <w:szCs w:val="28"/>
          <w:rtl/>
        </w:rPr>
        <w:t xml:space="preserve">و المغصوب </w:t>
      </w:r>
      <w:r>
        <w:rPr>
          <w:rStyle w:val="FootnoteReference"/>
        </w:rPr>
        <w:footnoteReference w:id="3310"/>
      </w:r>
      <w:r>
        <w:rPr>
          <w:rFonts w:ascii="IRNazanin" w:hAnsi="IRNazanin" w:eastAsia="IRNazanin" w:cs="IRNazanin"/>
          <w:lang w:bidi="fa-IR"/>
          <w:color w:val="111111"/>
          <w:sz w:val="28"/>
          <w:szCs w:val="28"/>
          <w:rtl/>
        </w:rPr>
        <w:t xml:space="preserve">،و مخالفة العامل لما اشترط علیه ربّ المال </w:t>
      </w:r>
      <w:r>
        <w:rPr>
          <w:rStyle w:val="FootnoteReference"/>
        </w:rPr>
        <w:footnoteReference w:id="3311"/>
      </w:r>
      <w:r>
        <w:rPr>
          <w:rFonts w:ascii="IRNazanin" w:hAnsi="IRNazanin" w:eastAsia="IRNazanin" w:cs="IRNazanin"/>
          <w:lang w:bidi="fa-IR"/>
          <w:color w:val="111111"/>
          <w:sz w:val="28"/>
          <w:szCs w:val="28"/>
          <w:rtl/>
        </w:rPr>
        <w:t xml:space="preserve">،الصریح فی منعه عمّا عداه.</w:t>
      </w:r>
    </w:p>
    <w:p>
      <w:pPr>
        <w:pStyle w:val="BookText"/>
      </w:pPr>
      <w:r>
        <w:rPr>
          <w:rFonts w:ascii="IRNazanin" w:hAnsi="IRNazanin" w:eastAsia="IRNazanin" w:cs="IRNazanin"/>
          <w:lang w:bidi="fa-IR"/>
          <w:color w:val="111111"/>
          <w:sz w:val="28"/>
          <w:szCs w:val="28"/>
          <w:rtl/>
        </w:rPr>
        <w:t xml:space="preserve">[شماره صفحه واقعی : 374]
</w:t>
      </w:r>
    </w:p>
    <w:p>
      <w:pPr>
        <w:sectPr>
          <w:footerReference w:type="default" r:id="rId10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ما ذکر </w:t>
      </w:r>
      <w:r>
        <w:rPr>
          <w:rStyle w:val="FootnoteReference"/>
        </w:rPr>
        <w:footnoteReference w:id="3312"/>
      </w:r>
      <w:r>
        <w:rPr>
          <w:rFonts w:ascii="IRNazanin" w:hAnsi="IRNazanin" w:eastAsia="IRNazanin" w:cs="IRNazanin"/>
          <w:lang w:bidi="fa-IR"/>
          <w:color w:val="111111"/>
          <w:sz w:val="28"/>
          <w:szCs w:val="28"/>
          <w:rtl/>
        </w:rPr>
        <w:t xml:space="preserve">من المنع الباقی بعد العقد و لو آناً ما،فلم یدلّ دلیل علی کونه فسخاً لا ینفع بعده الإجازة.</w:t>
      </w:r>
    </w:p>
    <w:p>
      <w:pPr>
        <w:pStyle w:val="BookText"/>
      </w:pPr>
      <w:r>
        <w:rPr>
          <w:rFonts w:ascii="IRNazanin" w:hAnsi="IRNazanin" w:eastAsia="IRNazanin" w:cs="IRNazanin"/>
          <w:lang w:bidi="fa-IR"/>
          <w:color w:val="111111"/>
          <w:sz w:val="28"/>
          <w:szCs w:val="28"/>
          <w:rtl/>
        </w:rPr>
        <w:t xml:space="preserve">و ما ذکره فی حلف الموکّل غیر مسلّم،و لو سُلّم فمن جهة ظهور الإقدام علی الحلف علی ما أنکره فی ردّ البیع و عدم تسلیمه له.</w:t>
      </w:r>
    </w:p>
    <w:p>
      <w:pPr>
        <w:pStyle w:val="BookText"/>
      </w:pPr>
      <w:r>
        <w:rPr>
          <w:rFonts w:ascii="IRNazanin" w:hAnsi="IRNazanin" w:eastAsia="IRNazanin" w:cs="IRNazanin"/>
          <w:lang w:bidi="fa-IR"/>
          <w:color w:val="111111"/>
          <w:sz w:val="28"/>
          <w:szCs w:val="28"/>
          <w:rtl/>
        </w:rPr>
        <w:t xml:space="preserve">و ممّا ذکرنا یظهر وجه صحّة عقد المکره بعد الرضا،و أنّ کراهة المالک حال العقد و بعد العقد لا تقدح فی صحّته إذا لحقه الإجازة.</w:t>
      </w:r>
    </w:p>
    <w:p>
      <w:pPr>
        <w:pStyle w:val="BookText"/>
      </w:pPr>
      <w:r>
        <w:rPr>
          <w:rFonts w:ascii="IRNazanin" w:hAnsi="IRNazanin" w:eastAsia="IRNazanin" w:cs="IRNazanin"/>
          <w:lang w:bidi="fa-IR"/>
          <w:color w:val="111111"/>
          <w:sz w:val="28"/>
          <w:szCs w:val="28"/>
          <w:rtl/>
        </w:rPr>
        <w:t xml:space="preserve">[شماره صفحه واقعی : 375]
</w:t>
      </w:r>
    </w:p>
    <w:p>
      <w:pPr>
        <w:sectPr>
          <w:footerReference w:type="default" r:id="rId1054"/>
          <w:footnotePr>
            <w:numStart w:val="1"/>
            <w:numRestart w:val="eachPage"/>
          </w:footnotePr>
          <w:pgSz w:orient="portrait" w:w="11905.511811023622" w:h="16837.79527559055"/>
          <w:pgMar w:top="1440" w:right="1440" w:bottom="1440" w:left="1440" w:header="720" w:footer="720" w:gutter="0"/>
          <w:cols w:num="1" w:space="720"/>
        </w:sectPr>
      </w:pPr>
    </w:p>
    <w:bookmarkStart w:id="643" w:name="pg14411_143436"/>
    <w:bookmarkEnd w:id="643"/>
    <w:p>
      <w:pPr>
        <w:pStyle w:val="Heading6"/>
      </w:pPr>
      <w:bookmarkStart w:id="2272" w:name="_Toc1307"/>
      <w:r>
        <w:t>المسألة الثالثة : أن یبیع الفضولی لنفسه</w:t>
      </w:r>
      <w:bookmarkEnd w:id="2272"/>
    </w:p>
    <w:p>
      <w:pPr>
        <w:pStyle w:val="Heading6"/>
      </w:pPr>
      <w:bookmarkStart w:id="2273" w:name="_Toc1308"/>
      <w:r>
        <w:t>اشارة</w:t>
      </w:r>
      <w:bookmarkEnd w:id="2273"/>
    </w:p>
    <w:p>
      <w:pPr>
        <w:pStyle w:val="BookText"/>
      </w:pPr>
      <w:r>
        <w:rPr>
          <w:rFonts w:ascii="IRNazanin" w:hAnsi="IRNazanin" w:eastAsia="IRNazanin" w:cs="IRNazanin"/>
          <w:lang w:bidi="fa-IR"/>
          <w:color w:val="111111"/>
          <w:sz w:val="28"/>
          <w:szCs w:val="28"/>
          <w:rtl/>
        </w:rPr>
        <w:t xml:space="preserve">و هذا غالباً یکون فی بیع الغاصب،و قد یتّفق من غیره بزعم ملکیّة المبیع،کما فی مورد صحیحة الحلبی المتقدّمة فی الإقالة بوضیعة </w:t>
      </w:r>
      <w:r>
        <w:rPr>
          <w:rStyle w:val="FootnoteReference"/>
        </w:rPr>
        <w:footnoteReference w:id="3313"/>
      </w:r>
      <w:r>
        <w:rPr>
          <w:rFonts w:ascii="Times New Roman" w:hAnsi="Times New Roman" w:eastAsia="Times New Roman" w:cs="Times New Roman"/>
          <w:lang w:val="en-US" w:bidi="en-US"/>
          <w:color w:val="111111"/>
          <w:sz w:val="28"/>
          <w:szCs w:val="28"/>
          <w:rtl/>
        </w:rPr>
        <w:t xml:space="preserve">.</w:t>
      </w:r>
    </w:p>
    <w:p>
      <w:pPr>
        <w:pStyle w:val="Heading6"/>
      </w:pPr>
      <w:bookmarkStart w:id="2274" w:name="_Toc1309"/>
      <w:r>
        <w:t>[الأقوی الصحة و الدلیل علیه]</w:t>
      </w:r>
      <w:bookmarkEnd w:id="2274"/>
    </w:p>
    <w:p>
      <w:pPr>
        <w:pStyle w:val="BookText"/>
      </w:pPr>
      <w:r>
        <w:rPr>
          <w:rFonts w:ascii="IRNazanin" w:hAnsi="IRNazanin" w:eastAsia="IRNazanin" w:cs="IRNazanin"/>
          <w:lang w:bidi="fa-IR"/>
          <w:color w:val="111111"/>
          <w:sz w:val="28"/>
          <w:szCs w:val="28"/>
          <w:rtl/>
        </w:rPr>
        <w:t xml:space="preserve">و الأقوی فیه:الصحّة وفاقاً للمشهور؛للعمومات المتقدّمة </w:t>
      </w:r>
      <w:r>
        <w:rPr>
          <w:rStyle w:val="FootnoteReference"/>
        </w:rPr>
        <w:footnoteReference w:id="3314"/>
      </w:r>
      <w:r>
        <w:rPr>
          <w:rFonts w:ascii="IRNazanin" w:hAnsi="IRNazanin" w:eastAsia="IRNazanin" w:cs="IRNazanin"/>
          <w:lang w:bidi="fa-IR"/>
          <w:color w:val="111111"/>
          <w:sz w:val="28"/>
          <w:szCs w:val="28"/>
          <w:rtl/>
        </w:rPr>
        <w:t xml:space="preserve">بالتقریب المتقدّم،و فحوی الصحّة فی النکاح </w:t>
      </w:r>
      <w:r>
        <w:rPr>
          <w:rStyle w:val="FootnoteReference"/>
        </w:rPr>
        <w:footnoteReference w:id="3315"/>
      </w:r>
      <w:r>
        <w:rPr>
          <w:rFonts w:ascii="IRNazanin" w:hAnsi="IRNazanin" w:eastAsia="IRNazanin" w:cs="IRNazanin"/>
          <w:lang w:bidi="fa-IR"/>
          <w:color w:val="111111"/>
          <w:sz w:val="28"/>
          <w:szCs w:val="28"/>
          <w:rtl/>
        </w:rPr>
        <w:t xml:space="preserve">،و أکثر ما تقدّم من المؤیّدات </w:t>
      </w:r>
      <w:r>
        <w:rPr>
          <w:rStyle w:val="FootnoteReference"/>
        </w:rPr>
        <w:footnoteReference w:id="3316"/>
      </w:r>
      <w:r>
        <w:rPr>
          <w:rFonts w:ascii="IRNazanin" w:hAnsi="IRNazanin" w:eastAsia="IRNazanin" w:cs="IRNazanin"/>
          <w:lang w:bidi="fa-IR"/>
          <w:color w:val="111111"/>
          <w:sz w:val="28"/>
          <w:szCs w:val="28"/>
          <w:rtl/>
        </w:rPr>
        <w:t xml:space="preserve">،مع ظهور صحیحة ابن قیس المتقدّمة </w:t>
      </w:r>
      <w:r>
        <w:rPr>
          <w:rStyle w:val="FootnoteReference"/>
        </w:rPr>
        <w:footnoteReference w:id="3317"/>
      </w:r>
      <w:r>
        <w:rPr>
          <w:rFonts w:ascii="Times New Roman" w:hAnsi="Times New Roman" w:eastAsia="Times New Roman" w:cs="Times New Roman"/>
          <w:lang w:val="en-US" w:bidi="en-US"/>
          <w:color w:val="111111"/>
          <w:sz w:val="28"/>
          <w:szCs w:val="28"/>
          <w:rtl/>
        </w:rPr>
        <w:t xml:space="preserve">.</w:t>
      </w:r>
    </w:p>
    <w:p>
      <w:pPr>
        <w:pStyle w:val="Heading6"/>
      </w:pPr>
      <w:bookmarkStart w:id="2275" w:name="_Toc1310"/>
      <w:r>
        <w:t>[الإشکال علی صحة هذا البیع من وجوه]</w:t>
      </w:r>
      <w:bookmarkEnd w:id="2275"/>
    </w:p>
    <w:p>
      <w:pPr>
        <w:pStyle w:val="Heading6"/>
      </w:pPr>
      <w:bookmarkStart w:id="2276" w:name="_Toc1311"/>
      <w:r>
        <w:t>اشارة</w:t>
      </w:r>
      <w:bookmarkEnd w:id="2276"/>
    </w:p>
    <w:p>
      <w:pPr>
        <w:pStyle w:val="BookText"/>
      </w:pPr>
      <w:r>
        <w:rPr>
          <w:rFonts w:ascii="IRNazanin" w:hAnsi="IRNazanin" w:eastAsia="IRNazanin" w:cs="IRNazanin"/>
          <w:lang w:bidi="fa-IR"/>
          <w:color w:val="111111"/>
          <w:sz w:val="28"/>
          <w:szCs w:val="28"/>
          <w:rtl/>
        </w:rPr>
        <w:t xml:space="preserve">و لا وجه للفرق بینه و بین ما تقدّم من بیع الفضولی للمالک إلّا وجوه تظهر من کلمات جماعة،بعضها مختصّ ببیع </w:t>
      </w:r>
      <w:r>
        <w:rPr>
          <w:rStyle w:val="FootnoteReference"/>
        </w:rPr>
        <w:footnoteReference w:id="3318"/>
      </w:r>
      <w:r>
        <w:rPr>
          <w:rFonts w:ascii="IRNazanin" w:hAnsi="IRNazanin" w:eastAsia="IRNazanin" w:cs="IRNazanin"/>
          <w:lang w:bidi="fa-IR"/>
          <w:color w:val="111111"/>
          <w:sz w:val="28"/>
          <w:szCs w:val="28"/>
          <w:rtl/>
        </w:rPr>
        <w:t xml:space="preserve">الغاصب،و بعضها مشترک بین جمیع صور المسألة:</w:t>
      </w:r>
    </w:p>
    <w:p>
      <w:pPr>
        <w:pStyle w:val="Heading6"/>
      </w:pPr>
      <w:bookmarkStart w:id="2277" w:name="_Toc1312"/>
      <w:r>
        <w:t>[الوجه الأول و جوابه]</w:t>
      </w:r>
      <w:bookmarkEnd w:id="2277"/>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[*ستوده]</w:t>
      </w:r>
    </w:p>
    <w:p>
      <w:pPr>
        <w:pStyle w:val="BookText"/>
      </w:pPr>
      <w:r>
        <w:rPr>
          <w:rFonts w:ascii="IRNazanin" w:hAnsi="IRNazanin" w:eastAsia="IRNazanin" w:cs="IRNazanin"/>
          <w:lang w:bidi="fa-IR"/>
          <w:color w:val="111111"/>
          <w:sz w:val="28"/>
          <w:szCs w:val="28"/>
          <w:rtl/>
        </w:rPr>
        <w:t xml:space="preserve">منها:إطلاق ما تقدّم من النبویین </w:t>
      </w:r>
      <w:r>
        <w:rPr>
          <w:rStyle w:val="FootnoteReference"/>
        </w:rPr>
        <w:footnoteReference w:id="3319"/>
      </w:r>
      <w:r>
        <w:rPr>
          <w:rFonts w:ascii="IRNazanin" w:hAnsi="IRNazanin" w:eastAsia="IRNazanin" w:cs="IRNazanin"/>
          <w:lang w:bidi="fa-IR"/>
          <w:color w:val="111111"/>
          <w:sz w:val="28"/>
          <w:szCs w:val="28"/>
          <w:rtl/>
        </w:rPr>
        <w:t xml:space="preserve">:«لا تبع ما لیس عندک» و«لا بیع إلّا فی ملک»[و غیرهما </w:t>
      </w:r>
      <w:r>
        <w:rPr>
          <w:rStyle w:val="FootnoteReference"/>
        </w:rPr>
        <w:footnoteReference w:id="3320"/>
      </w:r>
      <w:r>
        <w:rPr>
          <w:rFonts w:ascii="IRNazanin" w:hAnsi="IRNazanin" w:eastAsia="IRNazanin" w:cs="IRNazanin"/>
          <w:lang w:bidi="fa-IR"/>
          <w:color w:val="111111"/>
          <w:sz w:val="28"/>
          <w:szCs w:val="28"/>
          <w:rtl/>
        </w:rPr>
        <w:t xml:space="preserve">]؛بناءً علی اختصاص مورد الجمیع</w:t>
      </w:r>
    </w:p>
    <w:p>
      <w:pPr>
        <w:pStyle w:val="BookText"/>
      </w:pPr>
      <w:r>
        <w:rPr>
          <w:rFonts w:ascii="IRNazanin" w:hAnsi="IRNazanin" w:eastAsia="IRNazanin" w:cs="IRNazanin"/>
          <w:lang w:bidi="fa-IR"/>
          <w:color w:val="111111"/>
          <w:sz w:val="28"/>
          <w:szCs w:val="28"/>
          <w:rtl/>
        </w:rPr>
        <w:t xml:space="preserve">[شماره صفحه واقعی : 376]
</w:t>
      </w:r>
    </w:p>
    <w:p>
      <w:pPr>
        <w:sectPr>
          <w:footerReference w:type="default" r:id="rId1055"/>
          <w:footnotePr>
            <w:numStart w:val="1"/>
            <w:numRestart w:val="eachPage"/>
          </w:footnotePr>
          <w:pgSz w:orient="portrait" w:w="11905.511811023622" w:h="16837.79527559055"/>
          <w:pgMar w:top="1440" w:right="1440" w:bottom="1440" w:left="1440" w:header="720" w:footer="720" w:gutter="0"/>
          <w:cols w:num="1" w:space="720"/>
        </w:sectPr>
      </w:pPr>
    </w:p>
    <w:bookmarkStart w:id="644" w:name="pg14411_143437"/>
    <w:bookmarkEnd w:id="644"/>
    <w:p>
      <w:pPr>
        <w:pStyle w:val="BookText"/>
      </w:pPr>
      <w:r>
        <w:rPr>
          <w:rFonts w:ascii="IRNazanin" w:hAnsi="IRNazanin" w:eastAsia="IRNazanin" w:cs="IRNazanin"/>
          <w:lang w:bidi="fa-IR"/>
          <w:color w:val="111111"/>
          <w:sz w:val="28"/>
          <w:szCs w:val="28"/>
          <w:rtl/>
        </w:rPr>
        <w:t xml:space="preserve">ببیع الفضولی لنفسه.</w:t>
      </w:r>
    </w:p>
    <w:p>
      <w:pPr>
        <w:pStyle w:val="BookText"/>
      </w:pPr>
      <w:r>
        <w:rPr>
          <w:rFonts w:ascii="IRNazanin" w:hAnsi="IRNazanin" w:eastAsia="IRNazanin" w:cs="IRNazanin"/>
          <w:lang w:bidi="fa-IR"/>
          <w:color w:val="111111"/>
          <w:sz w:val="28"/>
          <w:szCs w:val="28"/>
          <w:rtl/>
        </w:rPr>
        <w:t xml:space="preserve">و الجواب عنها یعرف ممّا تقدّم،من أنّ مضمونها عدم وقوع بیع غیر المالک لبائعه الغیر المالک،بلا تعرّضٍ فیها لوقوعه و عدمه بالنسبة إلی المالک إذا أجاز.</w:t>
      </w:r>
    </w:p>
    <w:p>
      <w:pPr>
        <w:pStyle w:val="Heading6"/>
      </w:pPr>
      <w:bookmarkStart w:id="2278" w:name="_Toc1313"/>
      <w:r>
        <w:t>[الوجه الثانی و جوابه]</w:t>
      </w:r>
      <w:bookmarkEnd w:id="2278"/>
    </w:p>
    <w:p>
      <w:pPr>
        <w:pStyle w:val="BookText"/>
      </w:pPr>
      <w:r>
        <w:rPr>
          <w:rFonts w:ascii="IRNazanin" w:hAnsi="IRNazanin" w:eastAsia="IRNazanin" w:cs="IRNazanin"/>
          <w:lang w:bidi="fa-IR"/>
          <w:color w:val="111111"/>
          <w:sz w:val="28"/>
          <w:szCs w:val="28"/>
          <w:rtl/>
        </w:rPr>
        <w:t xml:space="preserve">و منها:بناء المسألة علی ما سبق من اعتبار عدم سبق منع المالک، و هذا غالباً مفقود فی المغصوب،و قد تقدّم عن المحقّق الکرکی أنّ الغصب قرینة عدم الرضا </w:t>
      </w:r>
      <w:r>
        <w:rPr>
          <w:rStyle w:val="FootnoteReference"/>
        </w:rPr>
        <w:footnoteReference w:id="33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فیه:</w:t>
      </w:r>
    </w:p>
    <w:p>
      <w:pPr>
        <w:pStyle w:val="BookText"/>
      </w:pPr>
      <w:r>
        <w:rPr>
          <w:rFonts w:ascii="Amiri" w:hAnsi="Amiri" w:eastAsia="Amiri" w:cs="Amiri"/>
          <w:lang w:bidi="ar-SA"/>
          <w:color w:val="111111"/>
          <w:sz w:val="28"/>
          <w:szCs w:val="28"/>
          <w:rtl/>
        </w:rPr>
        <w:t xml:space="preserve">أوّلاً:أنّ الکلام فی الأعمّ من بیع الغاصب.</w:t>
      </w:r>
    </w:p>
    <w:p>
      <w:pPr>
        <w:pStyle w:val="BookText"/>
      </w:pPr>
      <w:r>
        <w:rPr>
          <w:rFonts w:ascii="IRNazanin" w:hAnsi="IRNazanin" w:eastAsia="IRNazanin" w:cs="IRNazanin"/>
          <w:lang w:bidi="fa-IR"/>
          <w:color w:val="111111"/>
          <w:sz w:val="28"/>
          <w:szCs w:val="28"/>
          <w:rtl/>
        </w:rPr>
        <w:t xml:space="preserve">و ثانیاً:أنّ الغصب أمارة عدم الرضا بالبیع للغاصب لا مطلقاً، فقد یرضی المالک ببیع الغاصب لتوقع الإجازة و تملّک الثمن،فلیس فی الغصب دلالة علی عدم الرضا بأصل البیع،بل الغاصب و غیره من هذه الجهة سواء.</w:t>
      </w:r>
    </w:p>
    <w:p>
      <w:pPr>
        <w:pStyle w:val="BookText"/>
      </w:pPr>
      <w:r>
        <w:rPr>
          <w:rFonts w:ascii="IRNazanin" w:hAnsi="IRNazanin" w:eastAsia="IRNazanin" w:cs="IRNazanin"/>
          <w:lang w:bidi="fa-IR"/>
          <w:color w:val="111111"/>
          <w:sz w:val="28"/>
          <w:szCs w:val="28"/>
          <w:rtl/>
        </w:rPr>
        <w:t xml:space="preserve">و ثالثاً:قد عرفت أنّ سبق منع المالک غیر مؤثّر.</w:t>
      </w:r>
    </w:p>
    <w:p>
      <w:pPr>
        <w:pStyle w:val="Heading6"/>
      </w:pPr>
      <w:bookmarkStart w:id="2279" w:name="_Toc1314"/>
      <w:r>
        <w:t>[الوجه الثالث و جوابه]</w:t>
      </w:r>
      <w:bookmarkEnd w:id="2279"/>
    </w:p>
    <w:p>
      <w:pPr>
        <w:pStyle w:val="BookText"/>
      </w:pPr>
      <w:r>
        <w:rPr>
          <w:rFonts w:ascii="IRNazanin" w:hAnsi="IRNazanin" w:eastAsia="IRNazanin" w:cs="IRNazanin"/>
          <w:lang w:bidi="fa-IR"/>
          <w:color w:val="111111"/>
          <w:sz w:val="28"/>
          <w:szCs w:val="28"/>
          <w:rtl/>
        </w:rPr>
        <w:t xml:space="preserve">و منها:أنّ الفضولی إذا قصد إلی بیع مال الغیر لنفسه،لم </w:t>
      </w:r>
      <w:r>
        <w:rPr>
          <w:rStyle w:val="FootnoteReference"/>
        </w:rPr>
        <w:footnoteReference w:id="3322"/>
      </w:r>
      <w:r>
        <w:rPr>
          <w:rFonts w:ascii="IRNazanin" w:hAnsi="IRNazanin" w:eastAsia="IRNazanin" w:cs="IRNazanin"/>
          <w:lang w:bidi="fa-IR"/>
          <w:color w:val="111111"/>
          <w:sz w:val="28"/>
          <w:szCs w:val="28"/>
          <w:rtl/>
        </w:rPr>
        <w:t xml:space="preserve">یقصد حقیقة المعاوضة؛إذ لا یعقل دخول أحد العوضین فی ملک من لم یخرج عن ملکه الآخر،فالمعاوضة الحقیقیّة غیر متصوّرة،فحقیقته یرجع إلی إعطاء المبیع و أخذ الثمن لنفسه،و هذا لیس بیعاً.</w:t>
      </w:r>
    </w:p>
    <w:p>
      <w:pPr>
        <w:pStyle w:val="BookText"/>
      </w:pPr>
      <w:r>
        <w:rPr>
          <w:rFonts w:ascii="IRNazanin" w:hAnsi="IRNazanin" w:eastAsia="IRNazanin" w:cs="IRNazanin"/>
          <w:lang w:bidi="fa-IR"/>
          <w:color w:val="111111"/>
          <w:sz w:val="28"/>
          <w:szCs w:val="28"/>
          <w:rtl/>
        </w:rPr>
        <w:t xml:space="preserve">و الجواب من ذلک-مع اختصاصه ببیع الغاصب-:أنّ قصد</w:t>
      </w:r>
    </w:p>
    <w:p>
      <w:pPr>
        <w:pStyle w:val="BookText"/>
      </w:pPr>
      <w:r>
        <w:rPr>
          <w:rFonts w:ascii="IRNazanin" w:hAnsi="IRNazanin" w:eastAsia="IRNazanin" w:cs="IRNazanin"/>
          <w:lang w:bidi="fa-IR"/>
          <w:color w:val="111111"/>
          <w:sz w:val="28"/>
          <w:szCs w:val="28"/>
          <w:rtl/>
        </w:rPr>
        <w:t xml:space="preserve">[شماره صفحه واقعی : 377]
</w:t>
      </w:r>
    </w:p>
    <w:p>
      <w:pPr>
        <w:sectPr>
          <w:footerReference w:type="default" r:id="rId1056"/>
          <w:footnotePr>
            <w:numStart w:val="1"/>
            <w:numRestart w:val="eachPage"/>
          </w:footnotePr>
          <w:pgSz w:orient="portrait" w:w="11905.511811023622" w:h="16837.79527559055"/>
          <w:pgMar w:top="1440" w:right="1440" w:bottom="1440" w:left="1440" w:header="720" w:footer="720" w:gutter="0"/>
          <w:cols w:num="1" w:space="720"/>
        </w:sectPr>
      </w:pPr>
    </w:p>
    <w:bookmarkStart w:id="645" w:name="pg14411_143438"/>
    <w:bookmarkEnd w:id="645"/>
    <w:p>
      <w:pPr>
        <w:pStyle w:val="BookText"/>
      </w:pPr>
      <w:r>
        <w:rPr>
          <w:rFonts w:ascii="IRNazanin" w:hAnsi="IRNazanin" w:eastAsia="IRNazanin" w:cs="IRNazanin"/>
          <w:lang w:bidi="fa-IR"/>
          <w:color w:val="111111"/>
          <w:sz w:val="28"/>
          <w:szCs w:val="28"/>
          <w:rtl/>
        </w:rPr>
        <w:t xml:space="preserve">المعاوضة الحقیقیّة مبنیّ علی جعل الغاصب نفسه مالکاً حقیقیّا و إن کان هذا الجعل لا حقیقة له،لکنّ المعاوضة المبنیّة علی هذا الأمر الغیر الحقیقی حقیقیّة،نظیر المجاز الادّعائی فی الأُصول.</w:t>
      </w:r>
    </w:p>
    <w:p>
      <w:pPr>
        <w:pStyle w:val="BookText"/>
      </w:pPr>
      <w:r>
        <w:rPr>
          <w:rFonts w:ascii="IRNazanin" w:hAnsi="IRNazanin" w:eastAsia="IRNazanin" w:cs="IRNazanin"/>
          <w:lang w:bidi="fa-IR"/>
          <w:color w:val="111111"/>
          <w:sz w:val="28"/>
          <w:szCs w:val="28"/>
          <w:rtl/>
        </w:rPr>
        <w:t xml:space="preserve">نعم،لو باع لنفسه من دون بناء علی ملکیّة المثمن و لا اعتقاد له،کانت المعاملة باطلة غیر واقعة له و لا للمالک؛لعدم تحقّق معنی المعاوضة؛و لذا ذکروا أنّه لو اشتری بماله لغیره شیئاً بطل،و لم یقع له و لا لغیره،و المراد ما لو قصد تملّک الغیر للمبیع بإزاء مال نفسه.</w:t>
      </w:r>
    </w:p>
    <w:p>
      <w:pPr>
        <w:pStyle w:val="BookText"/>
      </w:pPr>
      <w:r>
        <w:rPr>
          <w:rFonts w:ascii="Amiri" w:hAnsi="Amiri" w:eastAsia="Amiri" w:cs="Amiri"/>
          <w:lang w:bidi="ar-SA"/>
          <w:color w:val="111111"/>
          <w:sz w:val="28"/>
          <w:szCs w:val="28"/>
          <w:rtl/>
        </w:rPr>
        <w:t xml:space="preserve">و قد تخیّل بعض المحقّقین </w:t>
      </w:r>
      <w:r>
        <w:rPr>
          <w:rStyle w:val="FootnoteReference"/>
        </w:rPr>
        <w:footnoteReference w:id="3323"/>
      </w:r>
      <w:r>
        <w:rPr>
          <w:rFonts w:ascii="IRNazanin" w:hAnsi="IRNazanin" w:eastAsia="IRNazanin" w:cs="IRNazanin"/>
          <w:lang w:bidi="fa-IR"/>
          <w:color w:val="111111"/>
          <w:sz w:val="28"/>
          <w:szCs w:val="28"/>
          <w:rtl/>
        </w:rPr>
        <w:t xml:space="preserve">:أنّ البطلان هنا یستلزم البطلان للمقام،و هو ما لو باع مال غیره لنفسه؛لأنّه عکسه،و قد عرفت أنّ عکسه هو ما إذا قصد تملّک الثمن من دون بناءٍ و لا اعتقادٍ لتملّک المثمن؛لأنّ المفروض الکلام فی وقوع المعاملة للمالک إذا أجاز.</w:t>
      </w:r>
    </w:p>
    <w:p>
      <w:pPr>
        <w:pStyle w:val="Heading6"/>
      </w:pPr>
      <w:bookmarkStart w:id="2280" w:name="_Toc1315"/>
      <w:r>
        <w:t>[الوجه الرابع و المناقشات فیه و الجواب عنها]</w:t>
      </w:r>
      <w:bookmarkEnd w:id="2280"/>
    </w:p>
    <w:p>
      <w:pPr>
        <w:pStyle w:val="BookText"/>
      </w:pPr>
      <w:r>
        <w:rPr>
          <w:rFonts w:ascii="IRNazanin" w:hAnsi="IRNazanin" w:eastAsia="IRNazanin" w:cs="IRNazanin"/>
          <w:lang w:bidi="fa-IR"/>
          <w:color w:val="111111"/>
          <w:sz w:val="28"/>
          <w:szCs w:val="28"/>
          <w:rtl/>
        </w:rPr>
        <w:t xml:space="preserve">و منها:أنّ الفضولی إذا قصد البیع لنفسه،فإن تعلّقت إجازة المالک بهذا الذی قصده البائع کان منافیاً لصحّة العقد؛لأنّ معناها هو صیرورة الثمن لمالک المثمن بإجازته،و إن تعلّقت بغیر المقصود کانت بعقد مستأنف،لا إمضاءً لنقل الفضولی،فیکون النقل من المنشئ غیر مجاز،و المجاز غیر مُنشَأ.</w:t>
      </w:r>
    </w:p>
    <w:p>
      <w:pPr>
        <w:pStyle w:val="BookText"/>
      </w:pPr>
      <w:r>
        <w:rPr>
          <w:rFonts w:ascii="IRNazanin" w:hAnsi="IRNazanin" w:eastAsia="IRNazanin" w:cs="IRNazanin"/>
          <w:lang w:bidi="fa-IR"/>
          <w:color w:val="111111"/>
          <w:sz w:val="28"/>
          <w:szCs w:val="28"/>
          <w:rtl/>
        </w:rPr>
        <w:t xml:space="preserve">و قد أجاب المحقّق القمّی رحمه اللّه عن هذا </w:t>
      </w:r>
      <w:r>
        <w:rPr>
          <w:rStyle w:val="FootnoteReference"/>
        </w:rPr>
        <w:footnoteReference w:id="3324"/>
      </w:r>
      <w:r>
        <w:rPr>
          <w:rFonts w:ascii="IRNazanin" w:hAnsi="IRNazanin" w:eastAsia="IRNazanin" w:cs="IRNazanin"/>
          <w:lang w:bidi="fa-IR"/>
          <w:color w:val="111111"/>
          <w:sz w:val="28"/>
          <w:szCs w:val="28"/>
          <w:rtl/>
        </w:rPr>
        <w:t xml:space="preserve">-فی بعض أجوبة مسائله-بأنّ الإجازة فی هذه الصورة مصحّحة للبیع،لا بمعنی لحوق الإجازة لنفس العقد-کما فی الفضولی المعهود-بل بمعنی تبدیل رضا</w:t>
      </w:r>
    </w:p>
    <w:p>
      <w:pPr>
        <w:pStyle w:val="BookText"/>
      </w:pPr>
      <w:r>
        <w:rPr>
          <w:rFonts w:ascii="IRNazanin" w:hAnsi="IRNazanin" w:eastAsia="IRNazanin" w:cs="IRNazanin"/>
          <w:lang w:bidi="fa-IR"/>
          <w:color w:val="111111"/>
          <w:sz w:val="28"/>
          <w:szCs w:val="28"/>
          <w:rtl/>
        </w:rPr>
        <w:t xml:space="preserve">[شماره صفحه واقعی : 378]
</w:t>
      </w:r>
    </w:p>
    <w:p>
      <w:pPr>
        <w:sectPr>
          <w:footerReference w:type="default" r:id="rId10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الغاصب و بیعه لنفسه برضا المالک و وقوع البیع عنه </w:t>
      </w:r>
      <w:r>
        <w:rPr>
          <w:rStyle w:val="FootnoteReference"/>
        </w:rPr>
        <w:footnoteReference w:id="3325"/>
      </w:r>
      <w:r>
        <w:rPr>
          <w:rFonts w:ascii="IRNazanin" w:hAnsi="IRNazanin" w:eastAsia="IRNazanin" w:cs="IRNazanin"/>
          <w:lang w:bidi="fa-IR"/>
          <w:color w:val="111111"/>
          <w:sz w:val="28"/>
          <w:szCs w:val="28"/>
          <w:rtl/>
        </w:rPr>
        <w:t xml:space="preserve">،و قال نظیر ذلک فیما لو باع شیئاً ثمّ ملکه </w:t>
      </w:r>
      <w:r>
        <w:rPr>
          <w:rStyle w:val="FootnoteReference"/>
        </w:rPr>
        <w:footnoteReference w:id="33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صرّح فی موضع آخر:بأنّ حاصل الإجازة یرجع إلی أنّ العقد الذی قُصد إلی کونه واقعاً علی المال المعیّن لنفس البائع الغاصب و المشتری العالم قد بدّلتُه علی کونه </w:t>
      </w:r>
      <w:r>
        <w:rPr>
          <w:rStyle w:val="FootnoteReference"/>
        </w:rPr>
        <w:footnoteReference w:id="3327"/>
      </w:r>
      <w:r>
        <w:rPr>
          <w:rFonts w:ascii="IRNazanin" w:hAnsi="IRNazanin" w:eastAsia="IRNazanin" w:cs="IRNazanin"/>
          <w:lang w:bidi="fa-IR"/>
          <w:color w:val="111111"/>
          <w:sz w:val="28"/>
          <w:szCs w:val="28"/>
          <w:rtl/>
        </w:rPr>
        <w:t xml:space="preserve">علی هذا الملک بعینه لنفسی، فیکون عقداً جدیداً،کما هو أحد الأقوال فی الإجازة </w:t>
      </w:r>
      <w:r>
        <w:rPr>
          <w:rStyle w:val="FootnoteReference"/>
        </w:rPr>
        <w:footnoteReference w:id="33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[*ستوده]</w:t>
      </w:r>
    </w:p>
    <w:p>
      <w:pPr>
        <w:pStyle w:val="BookText"/>
      </w:pPr>
      <w:r>
        <w:rPr>
          <w:rFonts w:ascii="IRNazanin" w:hAnsi="IRNazanin" w:eastAsia="IRNazanin" w:cs="IRNazanin"/>
          <w:lang w:bidi="fa-IR"/>
          <w:color w:val="111111"/>
          <w:sz w:val="28"/>
          <w:szCs w:val="28"/>
          <w:rtl/>
        </w:rPr>
        <w:t xml:space="preserve">و فیه:أنّ الإجازة علی هذا تصیر-کما اعترف-معاوضة جدیدة من طرف المجیز و المشتری؛لأنّ المفروض عدم رضا المشتری ثانیاً بالتبدیل المذکور؛لأنّ قصد البائع البیع لنفسه إذا فرض تأثیره فی مغایرة العقد الواقع للعقد المجاز،فالمشتری إنّما رضی </w:t>
      </w:r>
      <w:r>
        <w:rPr>
          <w:rStyle w:val="FootnoteReference"/>
        </w:rPr>
        <w:footnoteReference w:id="3329"/>
      </w:r>
      <w:r>
        <w:rPr>
          <w:rFonts w:ascii="IRNazanin" w:hAnsi="IRNazanin" w:eastAsia="IRNazanin" w:cs="IRNazanin"/>
          <w:lang w:bidi="fa-IR"/>
          <w:color w:val="111111"/>
          <w:sz w:val="28"/>
          <w:szCs w:val="28"/>
          <w:rtl/>
        </w:rPr>
        <w:t xml:space="preserve">بذلک الإیجاب المغایر لمؤدّی الإجازة،فإذا التزم بکون مرجع الإجازة إلی تبدیل عقد بعقد،و بعدم الحاجة إلی قبول </w:t>
      </w:r>
      <w:r>
        <w:rPr>
          <w:rStyle w:val="FootnoteReference"/>
        </w:rPr>
        <w:footnoteReference w:id="3330"/>
      </w:r>
      <w:r>
        <w:rPr>
          <w:rFonts w:ascii="IRNazanin" w:hAnsi="IRNazanin" w:eastAsia="IRNazanin" w:cs="IRNazanin"/>
          <w:lang w:bidi="fa-IR"/>
          <w:color w:val="111111"/>
          <w:sz w:val="28"/>
          <w:szCs w:val="28"/>
          <w:rtl/>
        </w:rPr>
        <w:t xml:space="preserve">المشتری ثانیاً،فقد قامت الإجازة من المالک مقام إیجابه و قبول المشتری،و هذا خلاف الإجماع و العقل.</w:t>
      </w:r>
    </w:p>
    <w:p>
      <w:pPr>
        <w:pStyle w:val="BookText"/>
      </w:pPr>
      <w:r>
        <w:rPr>
          <w:rFonts w:ascii="IRNazanin" w:hAnsi="IRNazanin" w:eastAsia="IRNazanin" w:cs="IRNazanin"/>
          <w:lang w:bidi="fa-IR"/>
          <w:color w:val="111111"/>
          <w:sz w:val="28"/>
          <w:szCs w:val="28"/>
          <w:rtl/>
        </w:rPr>
        <w:t xml:space="preserve">[شماره صفحه واقعی : 379]
</w:t>
      </w:r>
    </w:p>
    <w:p>
      <w:pPr>
        <w:sectPr>
          <w:footerReference w:type="default" r:id="rId10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القول بکون الإجازة عقداً مستأنفاً،فلم یعهد من أحد من العلماء و غیرهم،و إنّما حکی کاشف الرموز عن شیخه </w:t>
      </w:r>
      <w:r>
        <w:rPr>
          <w:rStyle w:val="FootnoteReference"/>
        </w:rPr>
        <w:footnoteReference w:id="3331"/>
      </w:r>
      <w:r>
        <w:rPr>
          <w:rFonts w:ascii="IRNazanin" w:hAnsi="IRNazanin" w:eastAsia="IRNazanin" w:cs="IRNazanin"/>
          <w:lang w:bidi="fa-IR"/>
          <w:color w:val="111111"/>
          <w:sz w:val="28"/>
          <w:szCs w:val="28"/>
          <w:rtl/>
        </w:rPr>
        <w:t xml:space="preserve">:أنّ الإجازة من مالک المبیع بیع مستقلّ فهو بیع بغیر لفظ البیع قائم </w:t>
      </w:r>
      <w:r>
        <w:rPr>
          <w:rStyle w:val="FootnoteReference"/>
        </w:rPr>
        <w:footnoteReference w:id="3332"/>
      </w:r>
      <w:r>
        <w:rPr>
          <w:rFonts w:ascii="IRNazanin" w:hAnsi="IRNazanin" w:eastAsia="IRNazanin" w:cs="IRNazanin"/>
          <w:lang w:bidi="fa-IR"/>
          <w:color w:val="111111"/>
          <w:sz w:val="28"/>
          <w:szCs w:val="28"/>
          <w:rtl/>
        </w:rPr>
        <w:t xml:space="preserve">مقام إیجاب البائع،و ینضمّ إلیه القبول المتقدّم </w:t>
      </w:r>
      <w:r>
        <w:rPr>
          <w:rStyle w:val="FootnoteReference"/>
        </w:rPr>
        <w:footnoteReference w:id="3333"/>
      </w:r>
      <w:r>
        <w:rPr>
          <w:rFonts w:ascii="IRNazanin" w:hAnsi="IRNazanin" w:eastAsia="IRNazanin" w:cs="IRNazanin"/>
          <w:lang w:bidi="fa-IR"/>
          <w:color w:val="111111"/>
          <w:sz w:val="28"/>
          <w:szCs w:val="28"/>
          <w:rtl/>
        </w:rPr>
        <w:t xml:space="preserve">من المشتری </w:t>
      </w:r>
      <w:r>
        <w:rPr>
          <w:rStyle w:val="FootnoteReference"/>
        </w:rPr>
        <w:footnoteReference w:id="33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لا یجری فیما نحن فیه؛لأنّه إذا قصد البائع البیع لنفسه فقد قصد المشتری تملیک الثمن للبائع و تملّک المبیع منه،فإذا بنی علی کون وقوع البیع للمالک مغایراً لما وقع،فلا بدّ له </w:t>
      </w:r>
      <w:r>
        <w:rPr>
          <w:rStyle w:val="FootnoteReference"/>
        </w:rPr>
        <w:footnoteReference w:id="3335"/>
      </w:r>
      <w:r>
        <w:rPr>
          <w:rFonts w:ascii="IRNazanin" w:hAnsi="IRNazanin" w:eastAsia="IRNazanin" w:cs="IRNazanin"/>
          <w:lang w:bidi="fa-IR"/>
          <w:color w:val="111111"/>
          <w:sz w:val="28"/>
          <w:szCs w:val="28"/>
          <w:rtl/>
        </w:rPr>
        <w:t xml:space="preserve">من قبول آخر،فالاکتفاء عنه بمجرّد إجازة البائع الراجعة إلی تبدیل البیع للغاصب بالبیع لنفسه، التزام بکفایة رضا البائع و إنشائه عن رضا المشتری و إنشائه،و هذا ما ذکرنا أنّه خلاف الإجماع و العقل.</w:t>
      </w:r>
    </w:p>
    <w:p>
      <w:pPr>
        <w:pStyle w:val="BookText"/>
      </w:pPr>
      <w:r>
        <w:rPr>
          <w:rFonts w:ascii="IRNazanin" w:hAnsi="IRNazanin" w:eastAsia="IRNazanin" w:cs="IRNazanin"/>
          <w:lang w:bidi="fa-IR"/>
          <w:color w:val="111111"/>
          <w:sz w:val="28"/>
          <w:szCs w:val="28"/>
          <w:rtl/>
        </w:rPr>
        <w:t xml:space="preserve">فالأولی فی الجواب:منع مغایرة ما وقع لما أُجیز،و توضیحه:</w:t>
      </w:r>
    </w:p>
    <w:p>
      <w:pPr>
        <w:pStyle w:val="BookText"/>
      </w:pPr>
      <w:r>
        <w:rPr>
          <w:rFonts w:ascii="IRNazanin" w:hAnsi="IRNazanin" w:eastAsia="IRNazanin" w:cs="IRNazanin"/>
          <w:lang w:bidi="fa-IR"/>
          <w:color w:val="111111"/>
          <w:sz w:val="28"/>
          <w:szCs w:val="28"/>
          <w:rtl/>
        </w:rPr>
        <w:t xml:space="preserve">أنّ البائع الفضولی إنّما قصد تملیک المثمن للمشتری بإزاء الثمن، و أمّا کون الثمن مالاً له أو لغیره،فإیجاب البیع ساکت عنه،فیرجع فیه</w:t>
      </w:r>
    </w:p>
    <w:p>
      <w:pPr>
        <w:pStyle w:val="BookText"/>
      </w:pPr>
      <w:r>
        <w:rPr>
          <w:rFonts w:ascii="IRNazanin" w:hAnsi="IRNazanin" w:eastAsia="IRNazanin" w:cs="IRNazanin"/>
          <w:lang w:bidi="fa-IR"/>
          <w:color w:val="111111"/>
          <w:sz w:val="28"/>
          <w:szCs w:val="28"/>
          <w:rtl/>
        </w:rPr>
        <w:t xml:space="preserve">[شماره صفحه واقعی : 380]
</w:t>
      </w:r>
    </w:p>
    <w:p>
      <w:pPr>
        <w:sectPr>
          <w:footerReference w:type="default" r:id="rId10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ما یقتضیه مفهوم المعاوضة من دخول العوض فی ملک مالک المعوّض؛تحقیقاً لمعنی المعاوضة و المبادلة،و حیث إنّ البائع یملِّک المثمن بانیاً علی تملّکه له و تسلطه علیه عدواناً أو اعتقاداً،لزم من ذلک بناؤه علی تملّک الثمن و التسلّط علیه،و هذا معنی قصد بیعه لنفسه،و حیث إنّ المثمن ملک لمالکه واقعاً فإذا أجاز المعاوضة انتقل عوضه إلیه،فعلم من ذلک أنّ قصد البائع البیع لنفسه غیر مأخوذ فی مفهوم الإیجاب حتّی یتردّد </w:t>
      </w:r>
      <w:r>
        <w:rPr>
          <w:rStyle w:val="FootnoteReference"/>
        </w:rPr>
        <w:footnoteReference w:id="3336"/>
      </w:r>
      <w:r>
        <w:rPr>
          <w:rFonts w:ascii="IRNazanin" w:hAnsi="IRNazanin" w:eastAsia="IRNazanin" w:cs="IRNazanin"/>
          <w:lang w:bidi="fa-IR"/>
          <w:color w:val="111111"/>
          <w:sz w:val="28"/>
          <w:szCs w:val="28"/>
          <w:rtl/>
        </w:rPr>
        <w:t xml:space="preserve">الأمر فی هذا المقام بین المحذورین المذکورین،بل مفهوم الإیجاب هو تملیک المثمن بعوض من دون تعرّضٍ فیه لمن یرجع إلیه العوض،إلّا باقتضاء المعاوضة لذلک.</w:t>
      </w:r>
    </w:p>
    <w:p>
      <w:pPr>
        <w:pStyle w:val="BookText"/>
      </w:pPr>
      <w:r>
        <w:rPr>
          <w:rFonts w:ascii="IRNazanin" w:hAnsi="IRNazanin" w:eastAsia="IRNazanin" w:cs="IRNazanin"/>
          <w:lang w:bidi="fa-IR"/>
          <w:color w:val="111111"/>
          <w:sz w:val="28"/>
          <w:szCs w:val="28"/>
          <w:rtl/>
        </w:rPr>
        <w:t xml:space="preserve">و لکن یشکل فیما إذا فرضنا الفضولی مشتریاً لنفسه بمال الغیر فقال للبائع الأصیل:تملّکت منک-أو مَلَکْتُ-هذا الثوب بهذه الدراهم؛فإنّ مفهوم هذا الإنشاء هو تملّک </w:t>
      </w:r>
      <w:r>
        <w:rPr>
          <w:rStyle w:val="FootnoteReference"/>
        </w:rPr>
        <w:footnoteReference w:id="3337"/>
      </w:r>
      <w:r>
        <w:rPr>
          <w:rFonts w:ascii="IRNazanin" w:hAnsi="IRNazanin" w:eastAsia="IRNazanin" w:cs="IRNazanin"/>
          <w:lang w:bidi="fa-IR"/>
          <w:color w:val="111111"/>
          <w:sz w:val="28"/>
          <w:szCs w:val="28"/>
          <w:rtl/>
        </w:rPr>
        <w:t xml:space="preserve">الفضولی للثوب،فلا مورد لإجازة مالک الدراهم علی وجه ینتقل الثوب إلیه،فلا بدّ من التزام کون الإجازة نقلاً مستأنفاً غیر ما أنشأه الفضولی الغاصب.</w:t>
      </w:r>
    </w:p>
    <w:p>
      <w:pPr>
        <w:pStyle w:val="BookText"/>
      </w:pPr>
      <w:r>
        <w:rPr>
          <w:rFonts w:ascii="Amiri" w:hAnsi="Amiri" w:eastAsia="Amiri" w:cs="Amiri"/>
          <w:lang w:bidi="ar-SA"/>
          <w:color w:val="111111"/>
          <w:sz w:val="28"/>
          <w:szCs w:val="28"/>
          <w:rtl/>
        </w:rPr>
        <w:t xml:space="preserve">و بالجملة،فنسبة </w:t>
      </w:r>
      <w:r>
        <w:rPr>
          <w:rStyle w:val="FootnoteReference"/>
        </w:rPr>
        <w:footnoteReference w:id="3338"/>
      </w:r>
      <w:r>
        <w:rPr>
          <w:rFonts w:ascii="IRNazanin" w:hAnsi="IRNazanin" w:eastAsia="IRNazanin" w:cs="IRNazanin"/>
          <w:lang w:bidi="fa-IR"/>
          <w:color w:val="111111"/>
          <w:sz w:val="28"/>
          <w:szCs w:val="28"/>
          <w:rtl/>
        </w:rPr>
        <w:t xml:space="preserve">المتکلّم الفضولی ملک </w:t>
      </w:r>
      <w:r>
        <w:rPr>
          <w:rStyle w:val="FootnoteReference"/>
        </w:rPr>
        <w:footnoteReference w:id="3339"/>
      </w:r>
      <w:r>
        <w:rPr>
          <w:rFonts w:ascii="IRNazanin" w:hAnsi="IRNazanin" w:eastAsia="IRNazanin" w:cs="IRNazanin"/>
          <w:lang w:bidi="fa-IR"/>
          <w:color w:val="111111"/>
          <w:sz w:val="28"/>
          <w:szCs w:val="28"/>
          <w:rtl/>
        </w:rPr>
        <w:t xml:space="preserve">المثمن إلی نفسه بقوله:</w:t>
      </w:r>
    </w:p>
    <w:p>
      <w:pPr>
        <w:pStyle w:val="BookText"/>
      </w:pPr>
      <w:r>
        <w:rPr>
          <w:rFonts w:ascii="IRNazanin" w:hAnsi="IRNazanin" w:eastAsia="IRNazanin" w:cs="IRNazanin"/>
          <w:lang w:bidi="fa-IR"/>
          <w:color w:val="111111"/>
          <w:sz w:val="28"/>
          <w:szCs w:val="28"/>
          <w:rtl/>
        </w:rPr>
        <w:t xml:space="preserve">ملکت أو تملّکت،کإیقاع المتکلّم الأصلی التملیک علی المخاطب الفضولی</w:t>
      </w:r>
    </w:p>
    <w:p>
      <w:pPr>
        <w:pStyle w:val="BookText"/>
      </w:pPr>
      <w:r>
        <w:rPr>
          <w:rFonts w:ascii="IRNazanin" w:hAnsi="IRNazanin" w:eastAsia="IRNazanin" w:cs="IRNazanin"/>
          <w:lang w:bidi="fa-IR"/>
          <w:color w:val="111111"/>
          <w:sz w:val="28"/>
          <w:szCs w:val="28"/>
          <w:rtl/>
        </w:rPr>
        <w:t xml:space="preserve">[شماره صفحه واقعی : 381]
</w:t>
      </w:r>
    </w:p>
    <w:p>
      <w:pPr>
        <w:sectPr>
          <w:footerReference w:type="default" r:id="rId10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بقوله:ملّکتک هذا الثوب بهذه الدراهم مع علمه بکون الدراهم لغیره أو جهله بذلک.</w:t>
      </w:r>
    </w:p>
    <w:p>
      <w:pPr>
        <w:pStyle w:val="BookText"/>
      </w:pPr>
      <w:r>
        <w:rPr>
          <w:rFonts w:ascii="IRNazanin" w:hAnsi="IRNazanin" w:eastAsia="IRNazanin" w:cs="IRNazanin"/>
          <w:lang w:bidi="fa-IR"/>
          <w:color w:val="111111"/>
          <w:sz w:val="28"/>
          <w:szCs w:val="28"/>
          <w:rtl/>
        </w:rPr>
        <w:t xml:space="preserve">و بهذا استشکل العلّامة رحمه اللّه فی التذکرة،حیث قال:لو باع الفضولی مع جهل الآخر فإشکال،من أنّ الآخر إنّما قصد تملیک العاقد </w:t>
      </w:r>
      <w:r>
        <w:rPr>
          <w:rStyle w:val="FootnoteReference"/>
        </w:rPr>
        <w:footnoteReference w:id="3340"/>
      </w:r>
      <w:r>
        <w:rPr>
          <w:rFonts w:ascii="IRNazanin" w:hAnsi="IRNazanin" w:eastAsia="IRNazanin" w:cs="IRNazanin"/>
          <w:lang w:bidi="fa-IR"/>
          <w:color w:val="111111"/>
          <w:sz w:val="28"/>
          <w:szCs w:val="28"/>
          <w:rtl/>
        </w:rPr>
        <w:t xml:space="preserve">،و لا ینتقض بما لو جهل الآخر وکالة العاقد أو ولایته؛لأنّه حینئذٍ إنّما یقصد به المخاطب بعنوانه الأعمّ من کونه أصلیّاً أو نائباً،و لذا یجوز مخاطبته و إسناد الملک </w:t>
      </w:r>
      <w:r>
        <w:rPr>
          <w:rStyle w:val="FootnoteReference"/>
        </w:rPr>
        <w:footnoteReference w:id="3341"/>
      </w:r>
      <w:r>
        <w:rPr>
          <w:rFonts w:ascii="IRNazanin" w:hAnsi="IRNazanin" w:eastAsia="IRNazanin" w:cs="IRNazanin"/>
          <w:lang w:bidi="fa-IR"/>
          <w:color w:val="111111"/>
          <w:sz w:val="28"/>
          <w:szCs w:val="28"/>
          <w:rtl/>
        </w:rPr>
        <w:t xml:space="preserve">إلیه مع علمه بکونه نائباً،و لیس إلّا بملاحظة المخاطب باعتبار کونه نائباً،فإذا صحّ اعتباره نائباً صحّ اعتباره علی الوجه الأعمّ من کونه نائباً أو أصلیاً،أمّا الفضولی فهو أجنبی عن المالک لا یمکن فیه ذلک الاعتبار.</w:t>
      </w:r>
    </w:p>
    <w:p>
      <w:pPr>
        <w:pStyle w:val="BookText"/>
      </w:pPr>
      <w:r>
        <w:rPr>
          <w:rFonts w:ascii="IRNazanin" w:hAnsi="IRNazanin" w:eastAsia="IRNazanin" w:cs="IRNazanin"/>
          <w:lang w:bidi="fa-IR"/>
          <w:color w:val="111111"/>
          <w:sz w:val="28"/>
          <w:szCs w:val="28"/>
          <w:rtl/>
        </w:rPr>
        <w:t xml:space="preserve">[*ستوده]</w:t>
      </w:r>
    </w:p>
    <w:p>
      <w:pPr>
        <w:pStyle w:val="BookText"/>
      </w:pPr>
      <w:r>
        <w:rPr>
          <w:rFonts w:ascii="IRNazanin" w:hAnsi="IRNazanin" w:eastAsia="IRNazanin" w:cs="IRNazanin"/>
          <w:lang w:bidi="fa-IR"/>
          <w:color w:val="111111"/>
          <w:sz w:val="28"/>
          <w:szCs w:val="28"/>
          <w:rtl/>
        </w:rPr>
        <w:t xml:space="preserve">و قد تفطّن بعض المعاصرین </w:t>
      </w:r>
      <w:r>
        <w:rPr>
          <w:rStyle w:val="FootnoteReference"/>
        </w:rPr>
        <w:footnoteReference w:id="3342"/>
      </w:r>
      <w:r>
        <w:rPr>
          <w:rFonts w:ascii="IRNazanin" w:hAnsi="IRNazanin" w:eastAsia="IRNazanin" w:cs="IRNazanin"/>
          <w:lang w:bidi="fa-IR"/>
          <w:color w:val="111111"/>
          <w:sz w:val="28"/>
          <w:szCs w:val="28"/>
          <w:rtl/>
        </w:rPr>
        <w:t xml:space="preserve">لهذا الإشکال فی بعض کلماته، فالتزم تارة ببطلان شراء الغاصب لنفسه،مع أنّه لا یخفی مخالفته للفتاوی و أکثر النصوص المتقدّمة فی المسألة کما اعترف به أخیراً، و أُخری بأنّ الإجازة إنّما تتعلّق بنفس مبادلة العوضین و إن کانت خصوصیّة ملک المشتری الغاصب للمثمن مأخوذة فیها.</w:t>
      </w:r>
    </w:p>
    <w:p>
      <w:pPr>
        <w:pStyle w:val="BookText"/>
      </w:pPr>
      <w:r>
        <w:rPr>
          <w:rFonts w:ascii="IRNazanin" w:hAnsi="IRNazanin" w:eastAsia="IRNazanin" w:cs="IRNazanin"/>
          <w:lang w:bidi="fa-IR"/>
          <w:color w:val="111111"/>
          <w:sz w:val="28"/>
          <w:szCs w:val="28"/>
          <w:rtl/>
        </w:rPr>
        <w:t xml:space="preserve">و فیه:أنّ حقیقة العقد فی العبارة التی ذکرناها فی الإشکال-أعنی قول المشتری الغاصب:تملّکت أو ملکت هذا منک بهذه الدراهم-لیس إلّا إنشاء تملّکه للمبیع،فإجازة هذا الإنشاء لا یحصل بها تملّک المالک</w:t>
      </w:r>
    </w:p>
    <w:p>
      <w:pPr>
        <w:pStyle w:val="BookText"/>
      </w:pPr>
      <w:r>
        <w:rPr>
          <w:rFonts w:ascii="IRNazanin" w:hAnsi="IRNazanin" w:eastAsia="IRNazanin" w:cs="IRNazanin"/>
          <w:lang w:bidi="fa-IR"/>
          <w:color w:val="111111"/>
          <w:sz w:val="28"/>
          <w:szCs w:val="28"/>
          <w:rtl/>
        </w:rPr>
        <w:t xml:space="preserve">[شماره صفحه واقعی : 382]
</w:t>
      </w:r>
    </w:p>
    <w:p>
      <w:pPr>
        <w:sectPr>
          <w:footerReference w:type="default" r:id="rId10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الأصلی له،بل یتوقّف </w:t>
      </w:r>
      <w:r>
        <w:rPr>
          <w:rStyle w:val="FootnoteReference"/>
        </w:rPr>
        <w:footnoteReference w:id="3343"/>
      </w:r>
      <w:r>
        <w:rPr>
          <w:rFonts w:ascii="IRNazanin" w:hAnsi="IRNazanin" w:eastAsia="IRNazanin" w:cs="IRNazanin"/>
          <w:lang w:bidi="fa-IR"/>
          <w:color w:val="111111"/>
          <w:sz w:val="28"/>
          <w:szCs w:val="28"/>
          <w:rtl/>
        </w:rPr>
        <w:t xml:space="preserve">علی نقل مستأنف.</w:t>
      </w:r>
    </w:p>
    <w:p>
      <w:pPr>
        <w:pStyle w:val="BookText"/>
      </w:pPr>
      <w:r>
        <w:rPr>
          <w:rFonts w:ascii="IRNazanin" w:hAnsi="IRNazanin" w:eastAsia="IRNazanin" w:cs="IRNazanin"/>
          <w:lang w:bidi="fa-IR"/>
          <w:color w:val="111111"/>
          <w:sz w:val="28"/>
          <w:szCs w:val="28"/>
          <w:rtl/>
        </w:rPr>
        <w:t xml:space="preserve">فالأنسب فی التفصّی أن یقال:إنّ نسبة الملک </w:t>
      </w:r>
      <w:r>
        <w:rPr>
          <w:rStyle w:val="FootnoteReference"/>
        </w:rPr>
        <w:footnoteReference w:id="3344"/>
      </w:r>
      <w:r>
        <w:rPr>
          <w:rFonts w:ascii="IRNazanin" w:hAnsi="IRNazanin" w:eastAsia="IRNazanin" w:cs="IRNazanin"/>
          <w:lang w:bidi="fa-IR"/>
          <w:color w:val="111111"/>
          <w:sz w:val="28"/>
          <w:szCs w:val="28"/>
          <w:rtl/>
        </w:rPr>
        <w:t xml:space="preserve">إلی الفضولی العاقد لنفسه فی قوله:«تملّکت منک»،أو قول غیره له:«ملّکتک» لیس من حیث هو،بل من حیث جعل نفسه مالکاً للثمن اعتقاداً أو عدواناً؛و لذا لو عقد لنفسه من دون البناء علی مالکیّته للثمن </w:t>
      </w:r>
      <w:r>
        <w:rPr>
          <w:rStyle w:val="FootnoteReference"/>
        </w:rPr>
        <w:footnoteReference w:id="3345"/>
      </w:r>
      <w:r>
        <w:rPr>
          <w:rFonts w:ascii="IRNazanin" w:hAnsi="IRNazanin" w:eastAsia="IRNazanin" w:cs="IRNazanin"/>
          <w:lang w:bidi="fa-IR"/>
          <w:color w:val="111111"/>
          <w:sz w:val="28"/>
          <w:szCs w:val="28"/>
          <w:rtl/>
        </w:rPr>
        <w:t xml:space="preserve">التزمنا بلغویّته؛ضرورة عدم تحقّق مفهوم المبادلة بتملّک شخص المال بإزاء مال غیره،فالمبادلة الحقیقیة من العاقد لنفسه لا یکون إلّا إذا کان مالکاً حقیقیاً أو ادّعائیاً،فلو لم یکن أحدهما و عقد لنفسه لم یتحقّق المعاوضة و المبادلة حقیقة،فإذا قال الفضولی الغاصب المشتری لنفسه:</w:t>
      </w:r>
    </w:p>
    <w:p>
      <w:pPr>
        <w:pStyle w:val="BookText"/>
      </w:pPr>
      <w:r>
        <w:rPr>
          <w:rFonts w:ascii="IRNazanin" w:hAnsi="IRNazanin" w:eastAsia="IRNazanin" w:cs="IRNazanin"/>
          <w:lang w:bidi="fa-IR"/>
          <w:color w:val="111111"/>
          <w:sz w:val="28"/>
          <w:szCs w:val="28"/>
          <w:rtl/>
        </w:rPr>
        <w:t xml:space="preserve">«تملّکت منک کذا بکذا»فالمنسوب إلیه التملّک إنّما هو المتکلّم لا من حیث هو،بل من حیث عدّ نفسه مالکاً اعتقاداً أو عدواناً،و حیث إنّ الثابت للشیء من حیثیة تقییدیة ثابت لنفس تلک الحیثیة،فالمسند إلیه التملّک حقیقة هو المالک للثمن </w:t>
      </w:r>
      <w:r>
        <w:rPr>
          <w:rStyle w:val="FootnoteReference"/>
        </w:rPr>
        <w:footnoteReference w:id="3346"/>
      </w:r>
      <w:r>
        <w:rPr>
          <w:rFonts w:ascii="Amiri" w:hAnsi="Amiri" w:eastAsia="Amiri" w:cs="Amiri"/>
          <w:lang w:bidi="ar-SA"/>
          <w:color w:val="111111"/>
          <w:sz w:val="28"/>
          <w:szCs w:val="28"/>
          <w:rtl/>
        </w:rPr>
        <w:t xml:space="preserve">،إلّا أنّ الفضولی لمّا بنی علی أنّه </w:t>
      </w:r>
      <w:r>
        <w:rPr>
          <w:rStyle w:val="FootnoteReference"/>
        </w:rPr>
        <w:footnoteReference w:id="3347"/>
      </w:r>
      <w:r>
        <w:rPr>
          <w:rFonts w:ascii="IRNazanin" w:hAnsi="IRNazanin" w:eastAsia="IRNazanin" w:cs="IRNazanin"/>
          <w:lang w:bidi="fa-IR"/>
          <w:color w:val="111111"/>
          <w:sz w:val="28"/>
          <w:szCs w:val="28"/>
          <w:rtl/>
        </w:rPr>
        <w:t xml:space="preserve">المالک المسلّط علی الثمن </w:t>
      </w:r>
      <w:r>
        <w:rPr>
          <w:rStyle w:val="FootnoteReference"/>
        </w:rPr>
        <w:footnoteReference w:id="3348"/>
      </w:r>
      <w:r>
        <w:rPr>
          <w:rFonts w:ascii="IRNazanin" w:hAnsi="IRNazanin" w:eastAsia="IRNazanin" w:cs="IRNazanin"/>
          <w:lang w:bidi="fa-IR"/>
          <w:color w:val="111111"/>
          <w:sz w:val="28"/>
          <w:szCs w:val="28"/>
          <w:rtl/>
        </w:rPr>
        <w:t xml:space="preserve">أسند ملک المثمن الذی هو بدل الثمن إلی</w:t>
      </w:r>
    </w:p>
    <w:p>
      <w:pPr>
        <w:pStyle w:val="BookText"/>
      </w:pPr>
      <w:r>
        <w:rPr>
          <w:rFonts w:ascii="IRNazanin" w:hAnsi="IRNazanin" w:eastAsia="IRNazanin" w:cs="IRNazanin"/>
          <w:lang w:bidi="fa-IR"/>
          <w:color w:val="111111"/>
          <w:sz w:val="28"/>
          <w:szCs w:val="28"/>
          <w:rtl/>
        </w:rPr>
        <w:t xml:space="preserve">[شماره صفحه واقعی : 383]
</w:t>
      </w:r>
    </w:p>
    <w:p>
      <w:pPr>
        <w:sectPr>
          <w:footerReference w:type="default" r:id="rId10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نفسه،فالإجازة الحاصلة من المالک متعلّقة بإنشاء الفضولی و هو التملّک المسند إلی مالک الثمن </w:t>
      </w:r>
      <w:r>
        <w:rPr>
          <w:rStyle w:val="FootnoteReference"/>
        </w:rPr>
        <w:footnoteReference w:id="3349"/>
      </w:r>
      <w:r>
        <w:rPr>
          <w:rFonts w:ascii="IRNazanin" w:hAnsi="IRNazanin" w:eastAsia="IRNazanin" w:cs="IRNazanin"/>
          <w:lang w:bidi="fa-IR"/>
          <w:color w:val="111111"/>
          <w:sz w:val="28"/>
          <w:szCs w:val="28"/>
          <w:rtl/>
        </w:rPr>
        <w:t xml:space="preserve">،و هو حقیقة نفس المجیز،فیلزم من ذلک انتقال المثمن </w:t>
      </w:r>
      <w:r>
        <w:rPr>
          <w:rStyle w:val="FootnoteReference"/>
        </w:rPr>
        <w:footnoteReference w:id="3350"/>
      </w:r>
      <w:r>
        <w:rPr>
          <w:rFonts w:ascii="IRNazanin" w:hAnsi="IRNazanin" w:eastAsia="IRNazanin" w:cs="IRNazanin"/>
          <w:lang w:bidi="fa-IR"/>
          <w:color w:val="111111"/>
          <w:sz w:val="28"/>
          <w:szCs w:val="28"/>
          <w:rtl/>
        </w:rPr>
        <w:t xml:space="preserve">إلیه.</w:t>
      </w:r>
    </w:p>
    <w:p>
      <w:pPr>
        <w:pStyle w:val="BookText"/>
      </w:pPr>
      <w:r>
        <w:rPr>
          <w:rFonts w:ascii="IRNazanin" w:hAnsi="IRNazanin" w:eastAsia="IRNazanin" w:cs="IRNazanin"/>
          <w:lang w:bidi="fa-IR"/>
          <w:color w:val="111111"/>
          <w:sz w:val="28"/>
          <w:szCs w:val="28"/>
          <w:rtl/>
        </w:rPr>
        <w:t xml:space="preserve">هذا،مع أنّه ربما یلتزم صحّة أن یکون الإجازة لعقد الفضولی موجبة لصیرورة العوض ملکاً للفضولی،ذکره شیخ مشایخنا فی شرحه علی القواعد </w:t>
      </w:r>
      <w:r>
        <w:rPr>
          <w:rStyle w:val="FootnoteReference"/>
        </w:rPr>
        <w:footnoteReference w:id="3351"/>
      </w:r>
      <w:r>
        <w:rPr>
          <w:rFonts w:ascii="IRNazanin" w:hAnsi="IRNazanin" w:eastAsia="IRNazanin" w:cs="IRNazanin"/>
          <w:lang w:bidi="fa-IR"/>
          <w:color w:val="111111"/>
          <w:sz w:val="28"/>
          <w:szCs w:val="28"/>
          <w:rtl/>
        </w:rPr>
        <w:t xml:space="preserve">،و تبعه غیر واحد من أجلّاء تلامذته </w:t>
      </w:r>
      <w:r>
        <w:rPr>
          <w:rStyle w:val="FootnoteReference"/>
        </w:rPr>
        <w:footnoteReference w:id="33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ذکر بعضهم </w:t>
      </w:r>
      <w:r>
        <w:rPr>
          <w:rStyle w:val="FootnoteReference"/>
        </w:rPr>
        <w:footnoteReference w:id="3353"/>
      </w:r>
      <w:r>
        <w:rPr>
          <w:rFonts w:ascii="IRNazanin" w:hAnsi="IRNazanin" w:eastAsia="IRNazanin" w:cs="IRNazanin"/>
          <w:lang w:bidi="fa-IR"/>
          <w:color w:val="111111"/>
          <w:sz w:val="28"/>
          <w:szCs w:val="28"/>
          <w:rtl/>
        </w:rPr>
        <w:t xml:space="preserve">فی ذلک وجهین:</w:t>
      </w:r>
    </w:p>
    <w:p>
      <w:pPr>
        <w:pStyle w:val="BookText"/>
      </w:pPr>
      <w:r>
        <w:rPr>
          <w:rFonts w:ascii="IRNazanin" w:hAnsi="IRNazanin" w:eastAsia="IRNazanin" w:cs="IRNazanin"/>
          <w:lang w:bidi="fa-IR"/>
          <w:color w:val="111111"/>
          <w:sz w:val="28"/>
          <w:szCs w:val="28"/>
          <w:rtl/>
        </w:rPr>
        <w:t xml:space="preserve">أحدهما: أنّ قضیّة بیع مال الغیر عن نفسه و الشراء بمال الغیر لنفسه،جعل ذلک المال له ضمناً،حتّی أنّه علی فرض صحّة ذلک البیع أو </w:t>
      </w:r>
      <w:r>
        <w:rPr>
          <w:rStyle w:val="FootnoteReference"/>
        </w:rPr>
        <w:footnoteReference w:id="3354"/>
      </w:r>
      <w:r>
        <w:rPr>
          <w:rFonts w:ascii="IRNazanin" w:hAnsi="IRNazanin" w:eastAsia="IRNazanin" w:cs="IRNazanin"/>
          <w:lang w:bidi="fa-IR"/>
          <w:color w:val="111111"/>
          <w:sz w:val="28"/>
          <w:szCs w:val="28"/>
          <w:rtl/>
        </w:rPr>
        <w:t xml:space="preserve">الشراء تملّکه </w:t>
      </w:r>
      <w:r>
        <w:rPr>
          <w:rStyle w:val="FootnoteReference"/>
        </w:rPr>
        <w:footnoteReference w:id="3355"/>
      </w:r>
      <w:r>
        <w:rPr>
          <w:rFonts w:ascii="IRNazanin" w:hAnsi="IRNazanin" w:eastAsia="IRNazanin" w:cs="IRNazanin"/>
          <w:lang w:bidi="fa-IR"/>
          <w:color w:val="111111"/>
          <w:sz w:val="28"/>
          <w:szCs w:val="28"/>
          <w:rtl/>
        </w:rPr>
        <w:t xml:space="preserve">قبل آن </w:t>
      </w:r>
      <w:r>
        <w:rPr>
          <w:rStyle w:val="FootnoteReference"/>
        </w:rPr>
        <w:footnoteReference w:id="3356"/>
      </w:r>
      <w:r>
        <w:rPr>
          <w:rFonts w:ascii="IRNazanin" w:hAnsi="IRNazanin" w:eastAsia="IRNazanin" w:cs="IRNazanin"/>
          <w:lang w:bidi="fa-IR"/>
          <w:color w:val="111111"/>
          <w:sz w:val="28"/>
          <w:szCs w:val="28"/>
          <w:rtl/>
        </w:rPr>
        <w:t xml:space="preserve">انتقاله إلی غیره،لیکون انتقاله إلیه عن ملکه،نظیر ما إذا قال:«أعتق عبدک عنّی»أو قال:«بع مالی عنک» أو«اشترِ لک بمالی کذا»فهو تملیک ضمنیّ حاصل ببیعه أو الشراء.</w:t>
      </w:r>
    </w:p>
    <w:p>
      <w:pPr>
        <w:pStyle w:val="BookText"/>
      </w:pPr>
      <w:r>
        <w:rPr>
          <w:rFonts w:ascii="IRNazanin" w:hAnsi="IRNazanin" w:eastAsia="IRNazanin" w:cs="IRNazanin"/>
          <w:lang w:bidi="fa-IR"/>
          <w:color w:val="111111"/>
          <w:sz w:val="28"/>
          <w:szCs w:val="28"/>
          <w:rtl/>
        </w:rPr>
        <w:t xml:space="preserve">و نقول فی المقام أیضاً:إذا أجاز المالک صحّ البیع أو </w:t>
      </w:r>
      <w:r>
        <w:rPr>
          <w:rStyle w:val="FootnoteReference"/>
        </w:rPr>
        <w:footnoteReference w:id="3357"/>
      </w:r>
      <w:r>
        <w:rPr>
          <w:rFonts w:ascii="IRNazanin" w:hAnsi="IRNazanin" w:eastAsia="IRNazanin" w:cs="IRNazanin"/>
          <w:lang w:bidi="fa-IR"/>
          <w:color w:val="111111"/>
          <w:sz w:val="28"/>
          <w:szCs w:val="28"/>
          <w:rtl/>
        </w:rPr>
        <w:t xml:space="preserve">الشراء، و صحّته تتضمّن انتقاله إلیه حین البیع أو الشراء،فکما أنّ الإجازة</w:t>
      </w:r>
    </w:p>
    <w:p>
      <w:pPr>
        <w:pStyle w:val="BookText"/>
      </w:pPr>
      <w:r>
        <w:rPr>
          <w:rFonts w:ascii="IRNazanin" w:hAnsi="IRNazanin" w:eastAsia="IRNazanin" w:cs="IRNazanin"/>
          <w:lang w:bidi="fa-IR"/>
          <w:color w:val="111111"/>
          <w:sz w:val="28"/>
          <w:szCs w:val="28"/>
          <w:rtl/>
        </w:rPr>
        <w:t xml:space="preserve">[شماره صفحه واقعی : 384]
</w:t>
      </w:r>
    </w:p>
    <w:p>
      <w:pPr>
        <w:sectPr>
          <w:footerReference w:type="default" r:id="rId10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المذکورة تصحّح البیع أو الشراء،کذلک تقضی بحصول الانتقال الذی یتضمّنه البیع الصحیح،فتلک الإجازة اللاحقة قائمة مقام الإذن السابق، قاضیة بتملیکه </w:t>
      </w:r>
      <w:r>
        <w:rPr>
          <w:rStyle w:val="FootnoteReference"/>
        </w:rPr>
        <w:footnoteReference w:id="3358"/>
      </w:r>
      <w:r>
        <w:rPr>
          <w:rFonts w:ascii="IRNazanin" w:hAnsi="IRNazanin" w:eastAsia="IRNazanin" w:cs="IRNazanin"/>
          <w:lang w:bidi="fa-IR"/>
          <w:color w:val="111111"/>
          <w:sz w:val="28"/>
          <w:szCs w:val="28"/>
          <w:rtl/>
        </w:rPr>
        <w:t xml:space="preserve">المبیع؛لیقع البیع فی ملکه،و لا مانع منه.</w:t>
      </w:r>
    </w:p>
    <w:p>
      <w:pPr>
        <w:pStyle w:val="BookText"/>
      </w:pPr>
      <w:r>
        <w:rPr>
          <w:rFonts w:ascii="IRNazanin" w:hAnsi="IRNazanin" w:eastAsia="IRNazanin" w:cs="IRNazanin"/>
          <w:lang w:bidi="fa-IR"/>
          <w:color w:val="111111"/>
          <w:sz w:val="28"/>
          <w:szCs w:val="28"/>
          <w:rtl/>
        </w:rPr>
        <w:t xml:space="preserve">[*ستوده]</w:t>
      </w:r>
    </w:p>
    <w:p>
      <w:pPr>
        <w:pStyle w:val="BookText"/>
      </w:pPr>
      <w:r>
        <w:rPr>
          <w:rFonts w:ascii="IRNazanin" w:hAnsi="IRNazanin" w:eastAsia="IRNazanin" w:cs="IRNazanin"/>
          <w:lang w:bidi="fa-IR"/>
          <w:color w:val="111111"/>
          <w:sz w:val="28"/>
          <w:szCs w:val="28"/>
          <w:rtl/>
        </w:rPr>
        <w:t xml:space="preserve">الثانی: أنّه لا دلیل علی اشتراط کون أحد العوضین ملکاً للعاقد فی انتقال بدله إلیه،بل یکفی أن یکون مأذوناً فی بیعه لنفسه أو الشراء به،فلو قال:«بِع هذا لنفسک»أو«اشتر لک بهذا»ملک الثمن فی الصورة الأُولی بانتقال المبیع عن مالکه إلی المشتری،و کذا ملک المثمن </w:t>
      </w:r>
      <w:r>
        <w:rPr>
          <w:rStyle w:val="FootnoteReference"/>
        </w:rPr>
        <w:footnoteReference w:id="3359"/>
      </w:r>
      <w:r>
        <w:rPr>
          <w:rFonts w:ascii="IRNazanin" w:hAnsi="IRNazanin" w:eastAsia="IRNazanin" w:cs="IRNazanin"/>
          <w:lang w:bidi="fa-IR"/>
          <w:color w:val="111111"/>
          <w:sz w:val="28"/>
          <w:szCs w:val="28"/>
          <w:rtl/>
        </w:rPr>
        <w:t xml:space="preserve">فی الصورة الثانیة،و یتفرّع علیه:أنّه لو اتّفق بعد ذلک فسخ المعاوضة رجع الملک إلی مالکه،دون العاقد.</w:t>
      </w:r>
    </w:p>
    <w:p>
      <w:pPr>
        <w:pStyle w:val="BookText"/>
      </w:pPr>
      <w:r>
        <w:rPr>
          <w:rFonts w:ascii="IRNazanin" w:hAnsi="IRNazanin" w:eastAsia="IRNazanin" w:cs="IRNazanin"/>
          <w:lang w:bidi="fa-IR"/>
          <w:color w:val="111111"/>
          <w:sz w:val="28"/>
          <w:szCs w:val="28"/>
          <w:rtl/>
        </w:rPr>
        <w:t xml:space="preserve">أقول:و فی کلا الوجهین نظر:</w:t>
      </w:r>
    </w:p>
    <w:p>
      <w:pPr>
        <w:pStyle w:val="BookText"/>
      </w:pPr>
      <w:r>
        <w:rPr>
          <w:rFonts w:ascii="Amiri" w:hAnsi="Amiri" w:eastAsia="Amiri" w:cs="Amiri"/>
          <w:lang w:bidi="ar-SA"/>
          <w:color w:val="111111"/>
          <w:sz w:val="28"/>
          <w:szCs w:val="28"/>
          <w:rtl/>
        </w:rPr>
        <w:t xml:space="preserve">أمّا </w:t>
      </w:r>
      <w:r>
        <w:rPr>
          <w:rStyle w:val="FootnoteReference"/>
        </w:rPr>
        <w:footnoteReference w:id="3360"/>
      </w:r>
      <w:r>
        <w:rPr>
          <w:rFonts w:ascii="IRNazanin" w:hAnsi="IRNazanin" w:eastAsia="IRNazanin" w:cs="IRNazanin"/>
          <w:lang w:bidi="fa-IR"/>
          <w:color w:val="111111"/>
          <w:sz w:val="28"/>
          <w:szCs w:val="28"/>
          <w:rtl/>
        </w:rPr>
        <w:t xml:space="preserve">الأوّل،فلأنّ صحّة الإذن فی بیع المال لنفسه أو الشراء لنفسه ممنوعة،کما تقدّم فی بعض فروع المعاطاة </w:t>
      </w:r>
      <w:r>
        <w:rPr>
          <w:rStyle w:val="FootnoteReference"/>
        </w:rPr>
        <w:footnoteReference w:id="3361"/>
      </w:r>
      <w:r>
        <w:rPr>
          <w:rFonts w:ascii="IRNazanin" w:hAnsi="IRNazanin" w:eastAsia="IRNazanin" w:cs="IRNazanin"/>
          <w:lang w:bidi="fa-IR"/>
          <w:color w:val="111111"/>
          <w:sz w:val="28"/>
          <w:szCs w:val="28"/>
          <w:rtl/>
        </w:rPr>
        <w:t xml:space="preserve">،مع أنّ قیاس الإجازة علی الإذن قیاس مع الفارق؛لأنّ الإذن فی البیع یحتمل فیه أن یوجب-من باب الاقتضاء-تقدیر الملک آناً ما قبل البیع،بخلاف الإجازة؛فإنّها لا تتعلّق إلّا بما وقع </w:t>
      </w:r>
      <w:r>
        <w:rPr>
          <w:rStyle w:val="FootnoteReference"/>
        </w:rPr>
        <w:footnoteReference w:id="3362"/>
      </w:r>
      <w:r>
        <w:rPr>
          <w:rFonts w:ascii="IRNazanin" w:hAnsi="IRNazanin" w:eastAsia="IRNazanin" w:cs="IRNazanin"/>
          <w:lang w:bidi="fa-IR"/>
          <w:color w:val="111111"/>
          <w:sz w:val="28"/>
          <w:szCs w:val="28"/>
          <w:rtl/>
        </w:rPr>
        <w:t xml:space="preserve">سابقاً،و المفروض أنّه لم یقع إلّا مبادلة مال الغیر بمال آخر.</w:t>
      </w:r>
    </w:p>
    <w:p>
      <w:pPr>
        <w:pStyle w:val="BookText"/>
      </w:pPr>
      <w:r>
        <w:rPr>
          <w:rFonts w:ascii="IRNazanin" w:hAnsi="IRNazanin" w:eastAsia="IRNazanin" w:cs="IRNazanin"/>
          <w:lang w:bidi="fa-IR"/>
          <w:color w:val="111111"/>
          <w:sz w:val="28"/>
          <w:szCs w:val="28"/>
          <w:rtl/>
        </w:rPr>
        <w:t xml:space="preserve">[شماره صفحه واقعی : 385]
</w:t>
      </w:r>
    </w:p>
    <w:p>
      <w:pPr>
        <w:sectPr>
          <w:footerReference w:type="default" r:id="rId10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نعم،لمّا بنی هو علی ملکیة ذلک المال عدواناً أو اعتقاداً قصد </w:t>
      </w:r>
      <w:r>
        <w:rPr>
          <w:rStyle w:val="FootnoteReference"/>
        </w:rPr>
        <w:footnoteReference w:id="3363"/>
      </w:r>
      <w:r>
        <w:rPr>
          <w:rFonts w:ascii="Amiri" w:hAnsi="Amiri" w:eastAsia="Amiri" w:cs="Amiri"/>
          <w:lang w:bidi="ar-SA"/>
          <w:color w:val="111111"/>
          <w:sz w:val="28"/>
          <w:szCs w:val="28"/>
          <w:rtl/>
        </w:rPr>
        <w:t xml:space="preserve">بالمعاوضة </w:t>
      </w:r>
      <w:r>
        <w:rPr>
          <w:rStyle w:val="FootnoteReference"/>
        </w:rPr>
        <w:footnoteReference w:id="3364"/>
      </w:r>
      <w:r>
        <w:rPr>
          <w:rFonts w:ascii="IRNazanin" w:hAnsi="IRNazanin" w:eastAsia="IRNazanin" w:cs="IRNazanin"/>
          <w:lang w:bidi="fa-IR"/>
          <w:color w:val="111111"/>
          <w:sz w:val="28"/>
          <w:szCs w:val="28"/>
          <w:rtl/>
        </w:rPr>
        <w:t xml:space="preserve">رجوع البدل </w:t>
      </w:r>
      <w:r>
        <w:rPr>
          <w:rStyle w:val="FootnoteReference"/>
        </w:rPr>
        <w:footnoteReference w:id="3365"/>
      </w:r>
      <w:r>
        <w:rPr>
          <w:rFonts w:ascii="IRNazanin" w:hAnsi="IRNazanin" w:eastAsia="IRNazanin" w:cs="IRNazanin"/>
          <w:lang w:bidi="fa-IR"/>
          <w:color w:val="111111"/>
          <w:sz w:val="28"/>
          <w:szCs w:val="28"/>
          <w:rtl/>
        </w:rPr>
        <w:t xml:space="preserve">إلیه،فالإجازة من المالک إن رجعت إلی نفس المبادلة أفادت دخول البدل فی ملک المجیز،و إن رجعت إلی المبادلة منضمّة إلی بناء العاقد علی تملّک المال،فهی و إن أفادت دخول البدل فی ملک العاقد،إلّا أنّ مرجع هذا إلی إجازة ما بنی علیه العاقد من التملّک و إمضائه له؛إذ بعد إمضائه یقع البیع فی ملک العاقد فیملک البدل،إلّا أنّ من المعلوم عدم الدلیل علی تأثیر الإجازة فی تأثیر </w:t>
      </w:r>
      <w:r>
        <w:rPr>
          <w:rStyle w:val="FootnoteReference"/>
        </w:rPr>
        <w:footnoteReference w:id="3366"/>
      </w:r>
      <w:r>
        <w:rPr>
          <w:rFonts w:ascii="IRNazanin" w:hAnsi="IRNazanin" w:eastAsia="IRNazanin" w:cs="IRNazanin"/>
          <w:lang w:bidi="fa-IR"/>
          <w:color w:val="111111"/>
          <w:sz w:val="28"/>
          <w:szCs w:val="28"/>
          <w:rtl/>
        </w:rPr>
        <w:t xml:space="preserve">ذلک البناء فی تحقّق متعلّقه شرعاً،بل الدلیل علی عدمه؛لأنّ هذا ممّا لا یؤثّر فیه الإذن؛لأنّ الإذن فی التملّک لا یؤثر التملّک،فکیف إجازته؟ و أمّا الثانی،فلما عرفت من منافاته لحقیقة البیع التی هی المبادلة؛ و لذا صرّح العلّامة رحمه اللّه-فی غیر موضعٍ من کتبه </w:t>
      </w:r>
      <w:r>
        <w:rPr>
          <w:rStyle w:val="FootnoteReference"/>
        </w:rPr>
        <w:footnoteReference w:id="3367"/>
      </w:r>
      <w:r>
        <w:rPr>
          <w:rFonts w:ascii="IRNazanin" w:hAnsi="IRNazanin" w:eastAsia="IRNazanin" w:cs="IRNazanin"/>
          <w:lang w:bidi="fa-IR"/>
          <w:color w:val="111111"/>
          <w:sz w:val="28"/>
          <w:szCs w:val="28"/>
          <w:rtl/>
        </w:rPr>
        <w:t xml:space="preserve">-تارةً بأنّه لا یتصوّر، و أُخری بأنّه لا یعقل أن یشتری الإنسان لنفسه بمال غیره شیئاً،بل ادّعی بعضهم </w:t>
      </w:r>
      <w:r>
        <w:rPr>
          <w:rStyle w:val="FootnoteReference"/>
        </w:rPr>
        <w:footnoteReference w:id="3368"/>
      </w:r>
      <w:r>
        <w:rPr>
          <w:rFonts w:ascii="IRNazanin" w:hAnsi="IRNazanin" w:eastAsia="IRNazanin" w:cs="IRNazanin"/>
          <w:lang w:bidi="fa-IR"/>
          <w:color w:val="111111"/>
          <w:sz w:val="28"/>
          <w:szCs w:val="28"/>
          <w:rtl/>
        </w:rPr>
        <w:t xml:space="preserve">فی مسألة قبض المبیع:عدم </w:t>
      </w:r>
      <w:r>
        <w:rPr>
          <w:rStyle w:val="FootnoteReference"/>
        </w:rPr>
        <w:footnoteReference w:id="3369"/>
      </w:r>
      <w:r>
        <w:rPr>
          <w:rFonts w:ascii="IRNazanin" w:hAnsi="IRNazanin" w:eastAsia="IRNazanin" w:cs="IRNazanin"/>
          <w:lang w:bidi="fa-IR"/>
          <w:color w:val="111111"/>
          <w:sz w:val="28"/>
          <w:szCs w:val="28"/>
          <w:rtl/>
        </w:rPr>
        <w:t xml:space="preserve">الخلاف فی بطلان قول مالک الثمن:</w:t>
      </w:r>
    </w:p>
    <w:p>
      <w:pPr>
        <w:pStyle w:val="BookText"/>
      </w:pPr>
      <w:r>
        <w:rPr>
          <w:rFonts w:ascii="IRNazanin" w:hAnsi="IRNazanin" w:eastAsia="IRNazanin" w:cs="IRNazanin"/>
          <w:lang w:bidi="fa-IR"/>
          <w:color w:val="111111"/>
          <w:sz w:val="28"/>
          <w:szCs w:val="28"/>
          <w:rtl/>
        </w:rPr>
        <w:t xml:space="preserve">[شماره صفحه واقعی : 386]
</w:t>
      </w:r>
    </w:p>
    <w:p>
      <w:pPr>
        <w:sectPr>
          <w:footerReference w:type="default" r:id="rId10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«اشترِ لنفسک به طعاماً»و قد صرّح به الشیخ </w:t>
      </w:r>
      <w:r>
        <w:rPr>
          <w:rStyle w:val="FootnoteReference"/>
        </w:rPr>
        <w:footnoteReference w:id="3370"/>
      </w:r>
      <w:r>
        <w:rPr>
          <w:rFonts w:ascii="Amiri" w:hAnsi="Amiri" w:eastAsia="Amiri" w:cs="Amiri"/>
          <w:lang w:bidi="ar-SA"/>
          <w:color w:val="111111"/>
          <w:sz w:val="28"/>
          <w:szCs w:val="28"/>
          <w:rtl/>
        </w:rPr>
        <w:t xml:space="preserve">و المحقّق </w:t>
      </w:r>
      <w:r>
        <w:rPr>
          <w:rStyle w:val="FootnoteReference"/>
        </w:rPr>
        <w:footnoteReference w:id="3371"/>
      </w:r>
      <w:r>
        <w:rPr>
          <w:rFonts w:ascii="IRNazanin" w:hAnsi="IRNazanin" w:eastAsia="IRNazanin" w:cs="IRNazanin"/>
          <w:lang w:bidi="fa-IR"/>
          <w:color w:val="111111"/>
          <w:sz w:val="28"/>
          <w:szCs w:val="28"/>
          <w:rtl/>
        </w:rPr>
        <w:t xml:space="preserve">و غیرهما </w:t>
      </w:r>
      <w:r>
        <w:rPr>
          <w:rStyle w:val="FootnoteReference"/>
        </w:rPr>
        <w:footnoteReference w:id="33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نعم،سیأتی فی مسألة جواز تتبّع العقود للمالک مع علم المشتری بالغصب </w:t>
      </w:r>
      <w:r>
        <w:rPr>
          <w:rStyle w:val="FootnoteReference"/>
        </w:rPr>
        <w:footnoteReference w:id="3373"/>
      </w:r>
      <w:r>
        <w:rPr>
          <w:rFonts w:ascii="IRNazanin" w:hAnsi="IRNazanin" w:eastAsia="IRNazanin" w:cs="IRNazanin"/>
          <w:lang w:bidi="fa-IR"/>
          <w:color w:val="111111"/>
          <w:sz w:val="28"/>
          <w:szCs w:val="28"/>
          <w:rtl/>
        </w:rPr>
        <w:t xml:space="preserve">،أنّ ظاهر جماعة-کقطب الدین و الشهید و غیرهما-:أنّ الغاصب مسلّط علی الثمن و إن لم یملکه،فإذا اشتری به شیئاً ملکه، و ظاهر هذا إمکان أن لا یملک الثمن و یملک المثمن المشتری،إلّا أن یحمل </w:t>
      </w:r>
      <w:r>
        <w:rPr>
          <w:rStyle w:val="FootnoteReference"/>
        </w:rPr>
        <w:footnoteReference w:id="3374"/>
      </w:r>
      <w:r>
        <w:rPr>
          <w:rFonts w:ascii="IRNazanin" w:hAnsi="IRNazanin" w:eastAsia="IRNazanin" w:cs="IRNazanin"/>
          <w:lang w:bidi="fa-IR"/>
          <w:color w:val="111111"/>
          <w:sz w:val="28"/>
          <w:szCs w:val="28"/>
          <w:rtl/>
        </w:rPr>
        <w:t xml:space="preserve">ذلک منهم علی التزام تملّک </w:t>
      </w:r>
      <w:r>
        <w:rPr>
          <w:rStyle w:val="FootnoteReference"/>
        </w:rPr>
        <w:footnoteReference w:id="3375"/>
      </w:r>
      <w:r>
        <w:rPr>
          <w:rFonts w:ascii="IRNazanin" w:hAnsi="IRNazanin" w:eastAsia="IRNazanin" w:cs="IRNazanin"/>
          <w:lang w:bidi="fa-IR"/>
          <w:color w:val="111111"/>
          <w:sz w:val="28"/>
          <w:szCs w:val="28"/>
          <w:rtl/>
        </w:rPr>
        <w:t xml:space="preserve">البائع الغاصب للثمن </w:t>
      </w:r>
      <w:r>
        <w:rPr>
          <w:rStyle w:val="FootnoteReference"/>
        </w:rPr>
        <w:footnoteReference w:id="3376"/>
      </w:r>
      <w:r>
        <w:rPr>
          <w:rFonts w:ascii="IRNazanin" w:hAnsi="IRNazanin" w:eastAsia="IRNazanin" w:cs="IRNazanin"/>
          <w:lang w:bidi="fa-IR"/>
          <w:color w:val="111111"/>
          <w:sz w:val="28"/>
          <w:szCs w:val="28"/>
          <w:rtl/>
        </w:rPr>
        <w:t xml:space="preserve">مطلقاً کما نسبه الفخر رحمه اللّه إلی الأصحاب </w:t>
      </w:r>
      <w:r>
        <w:rPr>
          <w:rStyle w:val="FootnoteReference"/>
        </w:rPr>
        <w:footnoteReference w:id="3377"/>
      </w:r>
      <w:r>
        <w:rPr>
          <w:rFonts w:ascii="IRNazanin" w:hAnsi="IRNazanin" w:eastAsia="IRNazanin" w:cs="IRNazanin"/>
          <w:lang w:bidi="fa-IR"/>
          <w:color w:val="111111"/>
          <w:sz w:val="28"/>
          <w:szCs w:val="28"/>
          <w:rtl/>
        </w:rPr>
        <w:t xml:space="preserve">،أو آناً ما قبل أن یشتری به شیئاً؛ تصحیحاً للشراء.</w:t>
      </w:r>
    </w:p>
    <w:p>
      <w:pPr>
        <w:pStyle w:val="BookText"/>
      </w:pPr>
      <w:r>
        <w:rPr>
          <w:rFonts w:ascii="IRNazanin" w:hAnsi="IRNazanin" w:eastAsia="IRNazanin" w:cs="IRNazanin"/>
          <w:lang w:bidi="fa-IR"/>
          <w:color w:val="111111"/>
          <w:sz w:val="28"/>
          <w:szCs w:val="28"/>
          <w:rtl/>
        </w:rPr>
        <w:t xml:space="preserve">و کیف کان،فالأولی فی التفصّی عن الإشکال المذکور فی البیع لنفسه ما ذکرنا </w:t>
      </w:r>
      <w:r>
        <w:rPr>
          <w:rStyle w:val="FootnoteReference"/>
        </w:rPr>
        <w:footnoteReference w:id="33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387]
</w:t>
      </w:r>
    </w:p>
    <w:p>
      <w:pPr>
        <w:sectPr>
          <w:footerReference w:type="default" r:id="rId1066"/>
          <w:footnotePr>
            <w:numStart w:val="1"/>
            <w:numRestart w:val="eachPage"/>
          </w:footnotePr>
          <w:pgSz w:orient="portrait" w:w="11905.511811023622" w:h="16837.79527559055"/>
          <w:pgMar w:top="1440" w:right="1440" w:bottom="1440" w:left="1440" w:header="720" w:footer="720" w:gutter="0"/>
          <w:cols w:num="1" w:space="720"/>
        </w:sectPr>
      </w:pPr>
    </w:p>
    <w:bookmarkStart w:id="646" w:name="pg14411_143448"/>
    <w:bookmarkEnd w:id="646"/>
    <w:p>
      <w:pPr>
        <w:pStyle w:val="Heading6"/>
      </w:pPr>
      <w:bookmarkStart w:id="2281" w:name="_Toc1316"/>
      <w:r>
        <w:t>[الوجه الخامس و جوابه]</w:t>
      </w:r>
      <w:bookmarkEnd w:id="2281"/>
    </w:p>
    <w:p>
      <w:pPr>
        <w:pStyle w:val="BookText"/>
      </w:pPr>
      <w:r>
        <w:rPr>
          <w:rFonts w:ascii="IRNazanin" w:hAnsi="IRNazanin" w:eastAsia="IRNazanin" w:cs="IRNazanin"/>
          <w:lang w:bidi="fa-IR"/>
          <w:color w:val="111111"/>
          <w:sz w:val="28"/>
          <w:szCs w:val="28"/>
          <w:rtl/>
        </w:rPr>
        <w:t xml:space="preserve">ثمّ إنّ ممّا ذکرنا-من أنّ نسبة ملک العوض حقیقة إنّما هو إلی مالک المعوّض،لکنّه بحسب بناء الطرفین علی مالکیة الغاصب للعوض منسوب إلیه-یظهر اندفاع إشکال آخر فی صحّة البیع لنفسه،مختصٍّ بصورة علم المشتری،و هو:أنّ المشتری الأصیل إذا کان عالماً بکون البائع لنفسه غاصباً فقد حکم الأصحاب-علی ما حکی عنهم </w:t>
      </w:r>
      <w:r>
        <w:rPr>
          <w:rStyle w:val="FootnoteReference"/>
        </w:rPr>
        <w:footnoteReference w:id="3379"/>
      </w:r>
      <w:r>
        <w:rPr>
          <w:rFonts w:ascii="IRNazanin" w:hAnsi="IRNazanin" w:eastAsia="IRNazanin" w:cs="IRNazanin"/>
          <w:lang w:bidi="fa-IR"/>
          <w:color w:val="111111"/>
          <w:sz w:val="28"/>
          <w:szCs w:val="28"/>
          <w:rtl/>
        </w:rPr>
        <w:t xml:space="preserve">-بأنّ المالک لو ردّ فلیس للمشتری الرجوع علی البائع بالثمن،و هذا کاشف عن عدم تحقّق المعاوضة الحقیقیة،و إلّا لکان ردّها موجباً لرجوع کلِّ عوضٍ إلی مالکه،و حینئذٍ فإذا أجاز المالک لم یملک الثمن؛لسبق اختصاص الغاصب به،فیکون البیع بلا ثمن </w:t>
      </w:r>
      <w:r>
        <w:rPr>
          <w:rStyle w:val="FootnoteReference"/>
        </w:rPr>
        <w:footnoteReference w:id="33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لعلّ هذا هو الوجه فی إشکال العلّامة فی التذکرة،حیث قال -بعد الإشکال فی صحّة بیع الفضولی مع جهل المشتری-:إنّ الحکم فی الغاصب مع علم المشتری أشکل </w:t>
      </w:r>
      <w:r>
        <w:rPr>
          <w:rStyle w:val="FootnoteReference"/>
        </w:rPr>
        <w:footnoteReference w:id="3381"/>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[*ستوده]</w:t>
      </w:r>
    </w:p>
    <w:p>
      <w:pPr>
        <w:pStyle w:val="BookText"/>
      </w:pPr>
      <w:r>
        <w:rPr>
          <w:rFonts w:ascii="IRNazanin" w:hAnsi="IRNazanin" w:eastAsia="IRNazanin" w:cs="IRNazanin"/>
          <w:lang w:bidi="fa-IR"/>
          <w:color w:val="111111"/>
          <w:sz w:val="28"/>
          <w:szCs w:val="28"/>
          <w:rtl/>
        </w:rPr>
        <w:t xml:space="preserve">أقول:هذا الإشکال-بناءً علی تسلیم ما نقل عن الأصحاب من أنّه لیس للمشتری استرداد الثمن مع ردّ المالک و بقائه </w:t>
      </w:r>
      <w:r>
        <w:rPr>
          <w:rStyle w:val="FootnoteReference"/>
        </w:rPr>
        <w:footnoteReference w:id="3382"/>
      </w:r>
      <w:r>
        <w:rPr>
          <w:rFonts w:ascii="IRNazanin" w:hAnsi="IRNazanin" w:eastAsia="IRNazanin" w:cs="IRNazanin"/>
          <w:lang w:bidi="fa-IR"/>
          <w:color w:val="111111"/>
          <w:sz w:val="28"/>
          <w:szCs w:val="28"/>
          <w:rtl/>
        </w:rPr>
        <w:t xml:space="preserve">،و بعد تسلیم أنّ الوجه فی حکمهم ذلک هو مطلق التسلیط علی تقدیری الردّ و الإجازة، لا </w:t>
      </w:r>
      <w:r>
        <w:rPr>
          <w:rStyle w:val="FootnoteReference"/>
        </w:rPr>
        <w:footnoteReference w:id="3383"/>
      </w:r>
      <w:r>
        <w:rPr>
          <w:rFonts w:ascii="IRNazanin" w:hAnsi="IRNazanin" w:eastAsia="IRNazanin" w:cs="IRNazanin"/>
          <w:lang w:bidi="fa-IR"/>
          <w:color w:val="111111"/>
          <w:sz w:val="28"/>
          <w:szCs w:val="28"/>
          <w:rtl/>
        </w:rPr>
        <w:t xml:space="preserve">التسلیط المراعی بعدم إجازة البیع-إنّما یتوجّه علی القول بالنقل،</w:t>
      </w:r>
    </w:p>
    <w:p>
      <w:pPr>
        <w:pStyle w:val="BookText"/>
      </w:pPr>
      <w:r>
        <w:rPr>
          <w:rFonts w:ascii="IRNazanin" w:hAnsi="IRNazanin" w:eastAsia="IRNazanin" w:cs="IRNazanin"/>
          <w:lang w:bidi="fa-IR"/>
          <w:color w:val="111111"/>
          <w:sz w:val="28"/>
          <w:szCs w:val="28"/>
          <w:rtl/>
        </w:rPr>
        <w:t xml:space="preserve">[شماره صفحه واقعی : 388]
</w:t>
      </w:r>
    </w:p>
    <w:p>
      <w:pPr>
        <w:sectPr>
          <w:footerReference w:type="default" r:id="rId10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حیث إنّ تسلیط المشتری للبائع علی الثمن قبل انتقاله إلی مالک المبیع بالإجازة،فلا یبقی مورد للإجازة.</w:t>
      </w:r>
    </w:p>
    <w:p>
      <w:pPr>
        <w:pStyle w:val="BookText"/>
      </w:pPr>
      <w:r>
        <w:rPr>
          <w:rFonts w:ascii="IRNazanin" w:hAnsi="IRNazanin" w:eastAsia="IRNazanin" w:cs="IRNazanin"/>
          <w:lang w:bidi="fa-IR"/>
          <w:color w:val="111111"/>
          <w:sz w:val="28"/>
          <w:szCs w:val="28"/>
          <w:rtl/>
        </w:rPr>
        <w:t xml:space="preserve">و أمّا علی القول بالکشف،فلا یتوجّه إشکال أصلاً؛لأنّ الردّ کاشف عن کون تسلیط المشتری تسلیطاً له علی مال نفسه،و الإجازة کاشفة عن کونه تسلیطاً له علی ما یملکه غیره بالعقد السابق علی التسلیط الحاصل بالإقباض؛و لذا لو لم یقبضه الثمن حتّی أجاز المالک أو ردّ،لم یکن للغاصب انتزاعه من ید المشتری أو المالک،و سیأتی فی مسألة جواز تتبّع العقود للمالک </w:t>
      </w:r>
      <w:r>
        <w:rPr>
          <w:rStyle w:val="FootnoteReference"/>
        </w:rPr>
        <w:footnoteReference w:id="3384"/>
      </w:r>
      <w:r>
        <w:rPr>
          <w:rFonts w:ascii="IRNazanin" w:hAnsi="IRNazanin" w:eastAsia="IRNazanin" w:cs="IRNazanin"/>
          <w:lang w:bidi="fa-IR"/>
          <w:color w:val="111111"/>
          <w:sz w:val="28"/>
          <w:szCs w:val="28"/>
          <w:rtl/>
        </w:rPr>
        <w:t xml:space="preserve">تتمّة لذلک،فانتظر.</w:t>
      </w:r>
    </w:p>
    <w:p>
      <w:pPr>
        <w:pStyle w:val="BookText"/>
      </w:pPr>
      <w:r>
        <w:rPr>
          <w:rFonts w:ascii="IRNazanin" w:hAnsi="IRNazanin" w:eastAsia="IRNazanin" w:cs="IRNazanin"/>
          <w:lang w:bidi="fa-IR"/>
          <w:color w:val="111111"/>
          <w:sz w:val="28"/>
          <w:szCs w:val="28"/>
          <w:rtl/>
        </w:rPr>
        <w:t xml:space="preserve">ثمّ اعلم:أنّ الکلام فی صحّة بیع الفضولی لنفسه-غاصباً کان أو غیره-إنّما هو فی وقوعه للمالک إذا أجاز،و هو الذی لم یفرّق المشهور بینه و بین الفضولی البائع للمالک،لا لنفسه.</w:t>
      </w:r>
    </w:p>
    <w:p>
      <w:pPr>
        <w:pStyle w:val="BookText"/>
      </w:pPr>
      <w:r>
        <w:rPr>
          <w:rFonts w:ascii="IRNazanin" w:hAnsi="IRNazanin" w:eastAsia="IRNazanin" w:cs="IRNazanin"/>
          <w:lang w:bidi="fa-IR"/>
          <w:color w:val="111111"/>
          <w:sz w:val="28"/>
          <w:szCs w:val="28"/>
          <w:rtl/>
        </w:rPr>
        <w:t xml:space="preserve">و أمّا الکلام فی صحّة بیع الفضولی و وقوعه لنفسه إذا صار مالکاً للمبیع و أجاز-سواء باع لنفسه أو المالک </w:t>
      </w:r>
      <w:r>
        <w:rPr>
          <w:rStyle w:val="FootnoteReference"/>
        </w:rPr>
        <w:footnoteReference w:id="3385"/>
      </w:r>
      <w:r>
        <w:rPr>
          <w:rFonts w:ascii="IRNazanin" w:hAnsi="IRNazanin" w:eastAsia="IRNazanin" w:cs="IRNazanin"/>
          <w:lang w:bidi="fa-IR"/>
          <w:color w:val="111111"/>
          <w:sz w:val="28"/>
          <w:szCs w:val="28"/>
          <w:rtl/>
        </w:rPr>
        <w:t xml:space="preserve">-فلا دخل له بما نحن فیه؛ لأنّ الکلام هنا فی وقوع البیع للمالک،و هناک فی وقوعه للعاقد إذا ملک.</w:t>
      </w:r>
    </w:p>
    <w:p>
      <w:pPr>
        <w:pStyle w:val="BookText"/>
      </w:pPr>
      <w:r>
        <w:rPr>
          <w:rFonts w:ascii="IRNazanin" w:hAnsi="IRNazanin" w:eastAsia="IRNazanin" w:cs="IRNazanin"/>
          <w:lang w:bidi="fa-IR"/>
          <w:color w:val="111111"/>
          <w:sz w:val="28"/>
          <w:szCs w:val="28"/>
          <w:rtl/>
        </w:rPr>
        <w:t xml:space="preserve">و من هنا یعلم:أنّ ما ذکره فی الریاض من أنّ بیع الفضولی لنفسه باطل </w:t>
      </w:r>
      <w:r>
        <w:rPr>
          <w:rStyle w:val="FootnoteReference"/>
        </w:rPr>
        <w:footnoteReference w:id="3386"/>
      </w:r>
      <w:r>
        <w:rPr>
          <w:rFonts w:ascii="IRNazanin" w:hAnsi="IRNazanin" w:eastAsia="IRNazanin" w:cs="IRNazanin"/>
          <w:lang w:bidi="fa-IR"/>
          <w:color w:val="111111"/>
          <w:sz w:val="28"/>
          <w:szCs w:val="28"/>
          <w:rtl/>
        </w:rPr>
        <w:t xml:space="preserve">و نسب إلی التذکرة نفی الخلاف فیه </w:t>
      </w:r>
      <w:r>
        <w:rPr>
          <w:rStyle w:val="FootnoteReference"/>
        </w:rPr>
        <w:footnoteReference w:id="3387"/>
      </w:r>
      <w:r>
        <w:rPr>
          <w:rFonts w:ascii="IRNazanin" w:hAnsi="IRNazanin" w:eastAsia="IRNazanin" w:cs="IRNazanin"/>
          <w:lang w:bidi="fa-IR"/>
          <w:color w:val="111111"/>
          <w:sz w:val="28"/>
          <w:szCs w:val="28"/>
          <w:rtl/>
        </w:rPr>
        <w:t xml:space="preserve">فی غیر محلّه،إلّا أن یرید ما ذکرناه،و هو خلاف ظاهر کلامه.</w:t>
      </w:r>
    </w:p>
    <w:p>
      <w:pPr>
        <w:pStyle w:val="BookText"/>
      </w:pPr>
      <w:r>
        <w:rPr>
          <w:rFonts w:ascii="IRNazanin" w:hAnsi="IRNazanin" w:eastAsia="IRNazanin" w:cs="IRNazanin"/>
          <w:lang w:bidi="fa-IR"/>
          <w:color w:val="111111"/>
          <w:sz w:val="28"/>
          <w:szCs w:val="28"/>
          <w:rtl/>
        </w:rPr>
        <w:t xml:space="preserve">[شماره صفحه واقعی : 389]
</w:t>
      </w:r>
    </w:p>
    <w:p>
      <w:pPr>
        <w:sectPr>
          <w:footerReference w:type="default" r:id="rId1068"/>
          <w:footnotePr>
            <w:numStart w:val="1"/>
            <w:numRestart w:val="eachPage"/>
          </w:footnotePr>
          <w:pgSz w:orient="portrait" w:w="11905.511811023622" w:h="16837.79527559055"/>
          <w:pgMar w:top="1440" w:right="1440" w:bottom="1440" w:left="1440" w:header="720" w:footer="720" w:gutter="0"/>
          <w:cols w:num="1" w:space="720"/>
        </w:sectPr>
      </w:pPr>
    </w:p>
    <w:bookmarkStart w:id="647" w:name="pg14411_143450"/>
    <w:bookmarkEnd w:id="647"/>
    <w:p>
      <w:pPr>
        <w:pStyle w:val="Heading6"/>
      </w:pPr>
      <w:bookmarkStart w:id="2282" w:name="_Toc1317"/>
      <w:r>
        <w:t>بقی هنا أمران</w:t>
      </w:r>
      <w:bookmarkEnd w:id="2282"/>
    </w:p>
    <w:p>
      <w:pPr>
        <w:pStyle w:val="Heading6"/>
      </w:pPr>
      <w:bookmarkStart w:id="2283" w:name="_Toc1318"/>
      <w:r>
        <w:t>الأوّل : أنّه لا فرق علی القول بصحّة بیع الفضولی بین کون مال الغیر عیناً أو دیناً</w:t>
      </w:r>
      <w:bookmarkEnd w:id="2283"/>
    </w:p>
    <w:p>
      <w:pPr>
        <w:pStyle w:val="BookText"/>
      </w:pPr>
      <w:r>
        <w:rPr>
          <w:rFonts w:ascii="IRNazanin" w:hAnsi="IRNazanin" w:eastAsia="IRNazanin" w:cs="IRNazanin"/>
          <w:lang w:bidi="fa-IR"/>
          <w:color w:val="111111"/>
          <w:sz w:val="28"/>
          <w:szCs w:val="28"/>
          <w:rtl/>
        </w:rPr>
        <w:t xml:space="preserve">الأوّل: أنّه لا فرق علی القول بصحّة بیع الفضولی بین کون مال الغیر عیناً أو دیناً </w:t>
      </w:r>
      <w:r>
        <w:rPr>
          <w:rStyle w:val="FootnoteReference"/>
        </w:rPr>
        <w:footnoteReference w:id="3388"/>
      </w:r>
      <w:r>
        <w:rPr>
          <w:rFonts w:ascii="IRNazanin" w:hAnsi="IRNazanin" w:eastAsia="IRNazanin" w:cs="IRNazanin"/>
          <w:lang w:bidi="fa-IR"/>
          <w:color w:val="111111"/>
          <w:sz w:val="28"/>
          <w:szCs w:val="28"/>
          <w:rtl/>
        </w:rPr>
        <w:t xml:space="preserve">فی ذمّة الغیر،</w:t>
      </w:r>
    </w:p>
    <w:p>
      <w:pPr>
        <w:pStyle w:val="BookText"/>
      </w:pPr>
      <w:r>
        <w:rPr>
          <w:rFonts w:ascii="IRNazanin" w:hAnsi="IRNazanin" w:eastAsia="IRNazanin" w:cs="IRNazanin"/>
          <w:lang w:bidi="fa-IR"/>
          <w:color w:val="111111"/>
          <w:sz w:val="28"/>
          <w:szCs w:val="28"/>
          <w:rtl/>
        </w:rPr>
        <w:t xml:space="preserve">و منه جعل العوض ثمناً أو مثمناً فی ذمّة الغیر.</w:t>
      </w:r>
    </w:p>
    <w:p>
      <w:pPr>
        <w:pStyle w:val="BookText"/>
      </w:pPr>
      <w:r>
        <w:rPr>
          <w:rFonts w:ascii="Amiri" w:hAnsi="Amiri" w:eastAsia="Amiri" w:cs="Amiri"/>
          <w:lang w:bidi="ar-SA"/>
          <w:color w:val="111111"/>
          <w:sz w:val="28"/>
          <w:szCs w:val="28"/>
          <w:rtl/>
        </w:rPr>
        <w:t xml:space="preserve">ثمّ إنّ تشخیص </w:t>
      </w:r>
      <w:r>
        <w:rPr>
          <w:rStyle w:val="FootnoteReference"/>
        </w:rPr>
        <w:footnoteReference w:id="3389"/>
      </w:r>
      <w:r>
        <w:rPr>
          <w:rFonts w:ascii="IRNazanin" w:hAnsi="IRNazanin" w:eastAsia="IRNazanin" w:cs="IRNazanin"/>
          <w:lang w:bidi="fa-IR"/>
          <w:color w:val="111111"/>
          <w:sz w:val="28"/>
          <w:szCs w:val="28"/>
          <w:rtl/>
        </w:rPr>
        <w:t xml:space="preserve">ما فی الذمّة-الذی یعقد علیه الفضولی-إمّا بإضافة الذمّة إلی الغیر،بأن یقول:«بعت کرّاً من طعام فی ذمّة فلان بکذا»أو«بعت هذا بکذا فی ذمّة فلان»و حکمه:أنّه لو أجاز فلان یقع العقد له،و إن ردّ بطل رأساً.</w:t>
      </w:r>
    </w:p>
    <w:p>
      <w:pPr>
        <w:pStyle w:val="BookText"/>
      </w:pPr>
      <w:r>
        <w:rPr>
          <w:rFonts w:ascii="IRNazanin" w:hAnsi="IRNazanin" w:eastAsia="IRNazanin" w:cs="IRNazanin"/>
          <w:lang w:bidi="fa-IR"/>
          <w:color w:val="111111"/>
          <w:sz w:val="28"/>
          <w:szCs w:val="28"/>
          <w:rtl/>
        </w:rPr>
        <w:t xml:space="preserve">و إمّا بقصده العقد له؛فإنّه إذا قصده فی العقد تعیّن کونه صاحب الذمّة؛لما عرفت من استحالة دخول أحد العوضین فی ملک غیر مَن خرج عنه الآخر،إلّا علی احتمال ضعیف تقدّم عن بعض </w:t>
      </w:r>
      <w:r>
        <w:rPr>
          <w:rStyle w:val="FootnoteReference"/>
        </w:rPr>
        <w:footnoteReference w:id="33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فکما أنّ تعیین العوض فی الخارج یغنی عن قصد من وقع له العقد،فکذا قصد من وقع له العقد یغنی عن تعیین الثمن الکلّی بإضافته إلی ذمّة شخص خاصّ،و حینئذٍ فإن أجاز من قصد مالکیّته </w:t>
      </w:r>
      <w:r>
        <w:rPr>
          <w:rStyle w:val="FootnoteReference"/>
        </w:rPr>
        <w:footnoteReference w:id="3391"/>
      </w:r>
      <w:r>
        <w:rPr>
          <w:rFonts w:ascii="IRNazanin" w:hAnsi="IRNazanin" w:eastAsia="IRNazanin" w:cs="IRNazanin"/>
          <w:lang w:bidi="fa-IR"/>
          <w:color w:val="111111"/>
          <w:sz w:val="28"/>
          <w:szCs w:val="28"/>
          <w:rtl/>
        </w:rPr>
        <w:t xml:space="preserve">وقع العقد </w:t>
      </w:r>
      <w:r>
        <w:rPr>
          <w:rStyle w:val="FootnoteReference"/>
        </w:rPr>
        <w:footnoteReference w:id="3392"/>
      </w:r>
      <w:r>
        <w:rPr>
          <w:rFonts w:ascii="IRNazanin" w:hAnsi="IRNazanin" w:eastAsia="IRNazanin" w:cs="IRNazanin"/>
          <w:lang w:bidi="fa-IR"/>
          <w:color w:val="111111"/>
          <w:sz w:val="28"/>
          <w:szCs w:val="28"/>
          <w:rtl/>
        </w:rPr>
        <w:t xml:space="preserve">،و إن ردّ فمقتضی القاعدة بطلان العقد واقعاً؛لأنّ مقتضی ردّ العقد بقاء کلّ عوض علی ملک صاحبه،إذ المال مردّد فی باب الفضولی</w:t>
      </w:r>
    </w:p>
    <w:p>
      <w:pPr>
        <w:pStyle w:val="BookText"/>
      </w:pPr>
      <w:r>
        <w:rPr>
          <w:rFonts w:ascii="IRNazanin" w:hAnsi="IRNazanin" w:eastAsia="IRNazanin" w:cs="IRNazanin"/>
          <w:lang w:bidi="fa-IR"/>
          <w:color w:val="111111"/>
          <w:sz w:val="28"/>
          <w:szCs w:val="28"/>
          <w:rtl/>
        </w:rPr>
        <w:t xml:space="preserve">[شماره صفحه واقعی : 390]
</w:t>
      </w:r>
    </w:p>
    <w:p>
      <w:pPr>
        <w:sectPr>
          <w:footerReference w:type="default" r:id="rId10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بین مالکه الأصلی و من وقع له العقد،فلا معنی لخروجه عن ملک مالکه و تردّده بین الفضولی و من وقع له العقد؛إذ لو صحّ وقوعه للفضولی لم یحتج إلی إجازة و وقع له،إلّا أنّ الطرف الآخر لو لم یصدّقه علی هذا القصد </w:t>
      </w:r>
      <w:r>
        <w:rPr>
          <w:rStyle w:val="FootnoteReference"/>
        </w:rPr>
        <w:footnoteReference w:id="3393"/>
      </w:r>
      <w:r>
        <w:rPr>
          <w:rFonts w:ascii="IRNazanin" w:hAnsi="IRNazanin" w:eastAsia="IRNazanin" w:cs="IRNazanin"/>
          <w:lang w:bidi="fa-IR"/>
          <w:color w:val="111111"/>
          <w:sz w:val="28"/>
          <w:szCs w:val="28"/>
          <w:rtl/>
        </w:rPr>
        <w:t xml:space="preserve">و حلف علی نفی العلم حکم له علی الفضولی؛لوقوع </w:t>
      </w:r>
      <w:r>
        <w:rPr>
          <w:rStyle w:val="FootnoteReference"/>
        </w:rPr>
        <w:footnoteReference w:id="3394"/>
      </w:r>
      <w:r>
        <w:rPr>
          <w:rFonts w:ascii="IRNazanin" w:hAnsi="IRNazanin" w:eastAsia="IRNazanin" w:cs="IRNazanin"/>
          <w:lang w:bidi="fa-IR"/>
          <w:color w:val="111111"/>
          <w:sz w:val="28"/>
          <w:szCs w:val="28"/>
          <w:rtl/>
        </w:rPr>
        <w:t xml:space="preserve">العقد له ظاهراً،کما عن المحقّق </w:t>
      </w:r>
      <w:r>
        <w:rPr>
          <w:rStyle w:val="FootnoteReference"/>
        </w:rPr>
        <w:footnoteReference w:id="3395"/>
      </w:r>
      <w:r>
        <w:rPr>
          <w:rFonts w:ascii="IRNazanin" w:hAnsi="IRNazanin" w:eastAsia="IRNazanin" w:cs="IRNazanin"/>
          <w:lang w:bidi="fa-IR"/>
          <w:color w:val="111111"/>
          <w:sz w:val="28"/>
          <w:szCs w:val="28"/>
          <w:rtl/>
        </w:rPr>
        <w:t xml:space="preserve">و فخر الإسلام </w:t>
      </w:r>
      <w:r>
        <w:rPr>
          <w:rStyle w:val="FootnoteReference"/>
        </w:rPr>
        <w:footnoteReference w:id="3396"/>
      </w:r>
      <w:r>
        <w:rPr>
          <w:rFonts w:ascii="IRNazanin" w:hAnsi="IRNazanin" w:eastAsia="IRNazanin" w:cs="IRNazanin"/>
          <w:lang w:bidi="fa-IR"/>
          <w:color w:val="111111"/>
          <w:sz w:val="28"/>
          <w:szCs w:val="28"/>
          <w:rtl/>
        </w:rPr>
        <w:t xml:space="preserve">و المحقّق الکرکی </w:t>
      </w:r>
      <w:r>
        <w:rPr>
          <w:rStyle w:val="FootnoteReference"/>
        </w:rPr>
        <w:footnoteReference w:id="3397"/>
      </w:r>
      <w:r>
        <w:rPr>
          <w:rFonts w:ascii="IRNazanin" w:hAnsi="IRNazanin" w:eastAsia="IRNazanin" w:cs="IRNazanin"/>
          <w:lang w:bidi="fa-IR"/>
          <w:color w:val="111111"/>
          <w:sz w:val="28"/>
          <w:szCs w:val="28"/>
          <w:rtl/>
        </w:rPr>
        <w:t xml:space="preserve">و السیوری </w:t>
      </w:r>
      <w:r>
        <w:rPr>
          <w:rStyle w:val="FootnoteReference"/>
        </w:rPr>
        <w:footnoteReference w:id="3398"/>
      </w:r>
      <w:r>
        <w:rPr>
          <w:rFonts w:ascii="IRNazanin" w:hAnsi="IRNazanin" w:eastAsia="IRNazanin" w:cs="IRNazanin"/>
          <w:lang w:bidi="fa-IR"/>
          <w:color w:val="111111"/>
          <w:sz w:val="28"/>
          <w:szCs w:val="28"/>
          <w:rtl/>
        </w:rPr>
        <w:t xml:space="preserve">و الشهید الثانی </w:t>
      </w:r>
      <w:r>
        <w:rPr>
          <w:rStyle w:val="FootnoteReference"/>
        </w:rPr>
        <w:footnoteReference w:id="33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یظهر من إطلاق بعض الکلمات-کالقواعد </w:t>
      </w:r>
      <w:r>
        <w:rPr>
          <w:rStyle w:val="FootnoteReference"/>
        </w:rPr>
        <w:footnoteReference w:id="3400"/>
      </w:r>
      <w:r>
        <w:rPr>
          <w:rFonts w:ascii="IRNazanin" w:hAnsi="IRNazanin" w:eastAsia="IRNazanin" w:cs="IRNazanin"/>
          <w:lang w:bidi="fa-IR"/>
          <w:color w:val="111111"/>
          <w:sz w:val="28"/>
          <w:szCs w:val="28"/>
          <w:rtl/>
        </w:rPr>
        <w:t xml:space="preserve">و المبسوط </w:t>
      </w:r>
      <w:r>
        <w:rPr>
          <w:rStyle w:val="FootnoteReference"/>
        </w:rPr>
        <w:footnoteReference w:id="3401"/>
      </w:r>
      <w:r>
        <w:rPr>
          <w:rFonts w:ascii="IRNazanin" w:hAnsi="IRNazanin" w:eastAsia="IRNazanin" w:cs="IRNazanin"/>
          <w:lang w:bidi="fa-IR"/>
          <w:color w:val="111111"/>
          <w:sz w:val="28"/>
          <w:szCs w:val="28"/>
          <w:rtl/>
        </w:rPr>
        <w:t xml:space="preserve">- وقوع العقد له واقعاً،و قد نسب ذلک إلی جماعة </w:t>
      </w:r>
      <w:r>
        <w:rPr>
          <w:rStyle w:val="FootnoteReference"/>
        </w:rPr>
        <w:footnoteReference w:id="3402"/>
      </w:r>
      <w:r>
        <w:rPr>
          <w:rFonts w:ascii="IRNazanin" w:hAnsi="IRNazanin" w:eastAsia="IRNazanin" w:cs="IRNazanin"/>
          <w:lang w:bidi="fa-IR"/>
          <w:color w:val="111111"/>
          <w:sz w:val="28"/>
          <w:szCs w:val="28"/>
          <w:rtl/>
        </w:rPr>
        <w:t xml:space="preserve">فی بعض فروع المضاربة.</w:t>
      </w:r>
    </w:p>
    <w:p>
      <w:pPr>
        <w:pStyle w:val="BookText"/>
      </w:pPr>
      <w:r>
        <w:rPr>
          <w:rFonts w:ascii="IRNazanin" w:hAnsi="IRNazanin" w:eastAsia="IRNazanin" w:cs="IRNazanin"/>
          <w:lang w:bidi="fa-IR"/>
          <w:color w:val="111111"/>
          <w:sz w:val="28"/>
          <w:szCs w:val="28"/>
          <w:rtl/>
        </w:rPr>
        <w:t xml:space="preserve">[*ستوده]</w:t>
      </w:r>
    </w:p>
    <w:p>
      <w:pPr>
        <w:pStyle w:val="BookText"/>
      </w:pPr>
      <w:r>
        <w:rPr>
          <w:rFonts w:ascii="IRNazanin" w:hAnsi="IRNazanin" w:eastAsia="IRNazanin" w:cs="IRNazanin"/>
          <w:lang w:bidi="fa-IR"/>
          <w:color w:val="111111"/>
          <w:sz w:val="28"/>
          <w:szCs w:val="28"/>
          <w:rtl/>
        </w:rPr>
        <w:t xml:space="preserve">و حیث عرفت أنّ </w:t>
      </w:r>
      <w:r>
        <w:rPr>
          <w:rStyle w:val="FootnoteReference"/>
        </w:rPr>
        <w:footnoteReference w:id="3403"/>
      </w:r>
      <w:r>
        <w:rPr>
          <w:rFonts w:ascii="IRNazanin" w:hAnsi="IRNazanin" w:eastAsia="IRNazanin" w:cs="IRNazanin"/>
          <w:lang w:bidi="fa-IR"/>
          <w:color w:val="111111"/>
          <w:sz w:val="28"/>
          <w:szCs w:val="28"/>
          <w:rtl/>
        </w:rPr>
        <w:t xml:space="preserve">قصد البیع للغیر أو إضافته إلیه فی اللفظ</w:t>
      </w:r>
    </w:p>
    <w:p>
      <w:pPr>
        <w:pStyle w:val="BookText"/>
      </w:pPr>
      <w:r>
        <w:rPr>
          <w:rFonts w:ascii="IRNazanin" w:hAnsi="IRNazanin" w:eastAsia="IRNazanin" w:cs="IRNazanin"/>
          <w:lang w:bidi="fa-IR"/>
          <w:color w:val="111111"/>
          <w:sz w:val="28"/>
          <w:szCs w:val="28"/>
          <w:rtl/>
        </w:rPr>
        <w:t xml:space="preserve">[شماره صفحه واقعی : 391]
</w:t>
      </w:r>
    </w:p>
    <w:p>
      <w:pPr>
        <w:sectPr>
          <w:footerReference w:type="default" r:id="rId10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یوجب صرف الکلیّ إلی ذمّة ذلک الغیر،کما أنّ إضافة الکلّی إلیه یوجب صرف البیع أو الشراء إلیه و إن لم یقصده أو لم یضفه إلیه، ظهر من ذلک التنافی بین إضافة البیع إلی غیره و إضافة الکلّی إلی نفسه أو قصده من غیر إضافة،و کذا بین إضافة البیع إلی نفسه و إضافة الکلّی إلی غیره.</w:t>
      </w:r>
    </w:p>
    <w:p>
      <w:pPr>
        <w:pStyle w:val="BookText"/>
      </w:pPr>
      <w:r>
        <w:rPr>
          <w:rFonts w:ascii="IRNazanin" w:hAnsi="IRNazanin" w:eastAsia="IRNazanin" w:cs="IRNazanin"/>
          <w:lang w:bidi="fa-IR"/>
          <w:color w:val="111111"/>
          <w:sz w:val="28"/>
          <w:szCs w:val="28"/>
          <w:rtl/>
        </w:rPr>
        <w:t xml:space="preserve">فلو جمع بین المتنافیین،بأن قال:«اشتریت هذا لفلان بدرهم فی ذمّتی»أو«اشتریت هذا لنفسی بدرهم فی ذمّة فلان»ففی الأوّل یحتمل البطلان؛لأنّه فی حکم شراء شیء للغیر بعین ماله،و یحتمل إلغاء أحد القیدین و تصحیح المعاملة لنفسه أو للغیر </w:t>
      </w:r>
      <w:r>
        <w:rPr>
          <w:rStyle w:val="FootnoteReference"/>
        </w:rPr>
        <w:footnoteReference w:id="3404"/>
      </w:r>
      <w:r>
        <w:rPr>
          <w:rFonts w:ascii="IRNazanin" w:hAnsi="IRNazanin" w:eastAsia="IRNazanin" w:cs="IRNazanin"/>
          <w:lang w:bidi="fa-IR"/>
          <w:color w:val="111111"/>
          <w:sz w:val="28"/>
          <w:szCs w:val="28"/>
          <w:rtl/>
        </w:rPr>
        <w:t xml:space="preserve">،و فی الثانی یحتمل کونه من قبیل شرائه لنفسه بعین مال الغیر،فیقع للغیر بعد إجازته،لکن بعد تصحیح المعاوضة بالبناء علی التملّک فی ذمّة الغیر اعتقاداً،و یحتمل الصحّة بإلغاء قید«ذمّة الغیر»؛لأنّ تقیید الشراء أوّلاً بکونه لنفسه یوجب إلغاء ما ینافیه من إضافة الذمّة إلی الغیر،و المسألة تحتاج إلی تأمّل.</w:t>
      </w:r>
    </w:p>
    <w:p>
      <w:pPr>
        <w:pStyle w:val="BookText"/>
      </w:pPr>
      <w:r>
        <w:rPr>
          <w:rFonts w:ascii="IRNazanin" w:hAnsi="IRNazanin" w:eastAsia="IRNazanin" w:cs="IRNazanin"/>
          <w:lang w:bidi="fa-IR"/>
          <w:color w:val="111111"/>
          <w:sz w:val="28"/>
          <w:szCs w:val="28"/>
          <w:rtl/>
        </w:rPr>
        <w:t xml:space="preserve">ثمّ إنّه قال فی التذکرة:لو اشتری فضولیاً،فإن کان بعین مال الغیر،فالخلاف فی البطلان و الوقف علی الإجازة،إلّا أنّ أبا حنیفة قال:یقع </w:t>
      </w:r>
      <w:r>
        <w:rPr>
          <w:rStyle w:val="FootnoteReference"/>
        </w:rPr>
        <w:footnoteReference w:id="3405"/>
      </w:r>
      <w:r>
        <w:rPr>
          <w:rFonts w:ascii="IRNazanin" w:hAnsi="IRNazanin" w:eastAsia="IRNazanin" w:cs="IRNazanin"/>
          <w:lang w:bidi="fa-IR"/>
          <w:color w:val="111111"/>
          <w:sz w:val="28"/>
          <w:szCs w:val="28"/>
          <w:rtl/>
        </w:rPr>
        <w:t xml:space="preserve">للمشتری بکلّ </w:t>
      </w:r>
      <w:r>
        <w:rPr>
          <w:rStyle w:val="FootnoteReference"/>
        </w:rPr>
        <w:footnoteReference w:id="3406"/>
      </w:r>
      <w:r>
        <w:rPr>
          <w:rFonts w:ascii="IRNazanin" w:hAnsi="IRNazanin" w:eastAsia="IRNazanin" w:cs="IRNazanin"/>
          <w:lang w:bidi="fa-IR"/>
          <w:color w:val="111111"/>
          <w:sz w:val="28"/>
          <w:szCs w:val="28"/>
          <w:rtl/>
        </w:rPr>
        <w:t xml:space="preserve">حال </w:t>
      </w:r>
      <w:r>
        <w:rPr>
          <w:rStyle w:val="FootnoteReference"/>
        </w:rPr>
        <w:footnoteReference w:id="3407"/>
      </w:r>
      <w:r>
        <w:rPr>
          <w:rFonts w:ascii="IRNazanin" w:hAnsi="IRNazanin" w:eastAsia="IRNazanin" w:cs="IRNazanin"/>
          <w:lang w:bidi="fa-IR"/>
          <w:color w:val="111111"/>
          <w:sz w:val="28"/>
          <w:szCs w:val="28"/>
          <w:rtl/>
        </w:rPr>
        <w:t xml:space="preserve">.و إن کان فی الذمّة لغیره و أطلق</w:t>
      </w:r>
    </w:p>
    <w:p>
      <w:pPr>
        <w:pStyle w:val="BookText"/>
      </w:pPr>
      <w:r>
        <w:rPr>
          <w:rFonts w:ascii="IRNazanin" w:hAnsi="IRNazanin" w:eastAsia="IRNazanin" w:cs="IRNazanin"/>
          <w:lang w:bidi="fa-IR"/>
          <w:color w:val="111111"/>
          <w:sz w:val="28"/>
          <w:szCs w:val="28"/>
          <w:rtl/>
        </w:rPr>
        <w:t xml:space="preserve">[شماره صفحه واقعی : 392]
</w:t>
      </w:r>
    </w:p>
    <w:p>
      <w:pPr>
        <w:sectPr>
          <w:footerReference w:type="default" r:id="rId10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اللفظ،قال علماؤنا:یقف علی الإجازة،فإن أجاز صحّ و لزمه أداء الثمن،و إن ردّ نفذ عن المباشر،و به قال الشافعی فی القدیم </w:t>
      </w:r>
      <w:r>
        <w:rPr>
          <w:rStyle w:val="FootnoteReference"/>
        </w:rPr>
        <w:footnoteReference w:id="3408"/>
      </w:r>
      <w:r>
        <w:rPr>
          <w:rFonts w:ascii="IRNazanin" w:hAnsi="IRNazanin" w:eastAsia="IRNazanin" w:cs="IRNazanin"/>
          <w:lang w:bidi="fa-IR"/>
          <w:color w:val="111111"/>
          <w:sz w:val="28"/>
          <w:szCs w:val="28"/>
          <w:rtl/>
        </w:rPr>
        <w:t xml:space="preserve">و أحمد </w:t>
      </w:r>
      <w:r>
        <w:rPr>
          <w:rStyle w:val="FootnoteReference"/>
        </w:rPr>
        <w:footnoteReference w:id="34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إنّما یصحّ الشراء؛لأنّه تصرّف فی ذمّته لا فی مال غیره،و إنّما وقف علی الإجازة لأنّه عقد الشراء له،فإن أجازه لزمه،و إن ردّه لزم من اشتراه،و لا فرق بین أن ینقد </w:t>
      </w:r>
      <w:r>
        <w:rPr>
          <w:rStyle w:val="FootnoteReference"/>
        </w:rPr>
        <w:footnoteReference w:id="3410"/>
      </w:r>
      <w:r>
        <w:rPr>
          <w:rFonts w:ascii="IRNazanin" w:hAnsi="IRNazanin" w:eastAsia="IRNazanin" w:cs="IRNazanin"/>
          <w:lang w:bidi="fa-IR"/>
          <w:color w:val="111111"/>
          <w:sz w:val="28"/>
          <w:szCs w:val="28"/>
          <w:rtl/>
        </w:rPr>
        <w:t xml:space="preserve">من مال الغیر أو لا.</w:t>
      </w:r>
    </w:p>
    <w:p>
      <w:pPr>
        <w:pStyle w:val="BookText"/>
      </w:pPr>
      <w:r>
        <w:rPr>
          <w:rFonts w:ascii="IRNazanin" w:hAnsi="IRNazanin" w:eastAsia="IRNazanin" w:cs="IRNazanin"/>
          <w:lang w:bidi="fa-IR"/>
          <w:color w:val="111111"/>
          <w:sz w:val="28"/>
          <w:szCs w:val="28"/>
          <w:rtl/>
        </w:rPr>
        <w:t xml:space="preserve">و قال أبو حنیفة:یقع عن المباشر،و هو جدید للشافعی </w:t>
      </w:r>
      <w:r>
        <w:rPr>
          <w:rStyle w:val="FootnoteReference"/>
        </w:rPr>
        <w:footnoteReference w:id="3411"/>
      </w:r>
      <w:r>
        <w:rPr>
          <w:rFonts w:ascii="IRNazanin" w:hAnsi="IRNazanin" w:eastAsia="IRNazanin" w:cs="IRNazanin"/>
          <w:lang w:bidi="fa-IR"/>
          <w:color w:val="111111"/>
          <w:sz w:val="28"/>
          <w:szCs w:val="28"/>
          <w:rtl/>
        </w:rPr>
        <w:t xml:space="preserve">، انتهی.</w:t>
      </w:r>
    </w:p>
    <w:p>
      <w:pPr>
        <w:pStyle w:val="BookText"/>
      </w:pPr>
      <w:r>
        <w:rPr>
          <w:rFonts w:ascii="IRNazanin" w:hAnsi="IRNazanin" w:eastAsia="IRNazanin" w:cs="IRNazanin"/>
          <w:lang w:bidi="fa-IR"/>
          <w:color w:val="111111"/>
          <w:sz w:val="28"/>
          <w:szCs w:val="28"/>
          <w:rtl/>
        </w:rPr>
        <w:t xml:space="preserve">و ظاهره الاتّفاق علی وقوع الشراء مع الردّ للمشتری واقعاً،کما یشعر به تعلیله بقوله:«لأنّه تصرّف فی ذمّته لا فی مال الغیر»،لکن أشرنا سابقاً </w:t>
      </w:r>
      <w:r>
        <w:rPr>
          <w:rStyle w:val="FootnoteReference"/>
        </w:rPr>
        <w:footnoteReference w:id="3412"/>
      </w:r>
      <w:r>
        <w:rPr>
          <w:rFonts w:ascii="IRNazanin" w:hAnsi="IRNazanin" w:eastAsia="IRNazanin" w:cs="IRNazanin"/>
          <w:lang w:bidi="fa-IR"/>
          <w:color w:val="111111"/>
          <w:sz w:val="28"/>
          <w:szCs w:val="28"/>
          <w:rtl/>
        </w:rPr>
        <w:t xml:space="preserve">إجمالاً إلی أنّ تطبیق هذا علی القواعد مشکل؛لأنّه إن جعل المال فی ذمّته بالأصالة،فیکون ما فی ذمّته کعین </w:t>
      </w:r>
      <w:r>
        <w:rPr>
          <w:rStyle w:val="FootnoteReference"/>
        </w:rPr>
        <w:footnoteReference w:id="3413"/>
      </w:r>
      <w:r>
        <w:rPr>
          <w:rFonts w:ascii="IRNazanin" w:hAnsi="IRNazanin" w:eastAsia="IRNazanin" w:cs="IRNazanin"/>
          <w:lang w:bidi="fa-IR"/>
          <w:color w:val="111111"/>
          <w:sz w:val="28"/>
          <w:szCs w:val="28"/>
          <w:rtl/>
        </w:rPr>
        <w:t xml:space="preserve">ماله،فیکون کما لو باع عین ماله لغیره.و الأوفق بالقواعد فی مثل هذا:إمّا البطلان لو عمل بالنیّة؛بناءً علی أنّه لا یعقل فی المعاوضة دخول عوض مال</w:t>
      </w:r>
    </w:p>
    <w:p>
      <w:pPr>
        <w:pStyle w:val="BookText"/>
      </w:pPr>
      <w:r>
        <w:rPr>
          <w:rFonts w:ascii="IRNazanin" w:hAnsi="IRNazanin" w:eastAsia="IRNazanin" w:cs="IRNazanin"/>
          <w:lang w:bidi="fa-IR"/>
          <w:color w:val="111111"/>
          <w:sz w:val="28"/>
          <w:szCs w:val="28"/>
          <w:rtl/>
        </w:rPr>
        <w:t xml:space="preserve">[شماره صفحه واقعی : 393]
</w:t>
      </w:r>
    </w:p>
    <w:p>
      <w:pPr>
        <w:sectPr>
          <w:footerReference w:type="default" r:id="rId1072"/>
          <w:footnotePr>
            <w:numStart w:val="1"/>
            <w:numRestart w:val="eachPage"/>
          </w:footnotePr>
          <w:pgSz w:orient="portrait" w:w="11905.511811023622" w:h="16837.79527559055"/>
          <w:pgMar w:top="1440" w:right="1440" w:bottom="1440" w:left="1440" w:header="720" w:footer="720" w:gutter="0"/>
          <w:cols w:num="1" w:space="720"/>
        </w:sectPr>
      </w:pPr>
    </w:p>
    <w:bookmarkStart w:id="648" w:name="pg14411_143454"/>
    <w:bookmarkEnd w:id="648"/>
    <w:p>
      <w:pPr>
        <w:pStyle w:val="BookText"/>
      </w:pPr>
      <w:r>
        <w:rPr>
          <w:rFonts w:ascii="IRNazanin" w:hAnsi="IRNazanin" w:eastAsia="IRNazanin" w:cs="IRNazanin"/>
          <w:lang w:bidi="fa-IR"/>
          <w:color w:val="111111"/>
          <w:sz w:val="28"/>
          <w:szCs w:val="28"/>
          <w:rtl/>
        </w:rPr>
        <w:t xml:space="preserve">الغیر فی ملک غیره قهراً،و إمّا صحّته و وقوعه لنفسه لو ألغی النیّة؛بناءً علی انصراف المعاملة إلی مالک العین قهراً </w:t>
      </w:r>
      <w:r>
        <w:rPr>
          <w:rStyle w:val="FootnoteReference"/>
        </w:rPr>
        <w:footnoteReference w:id="3414"/>
      </w:r>
      <w:r>
        <w:rPr>
          <w:rFonts w:ascii="IRNazanin" w:hAnsi="IRNazanin" w:eastAsia="IRNazanin" w:cs="IRNazanin"/>
          <w:lang w:bidi="fa-IR"/>
          <w:color w:val="111111"/>
          <w:sz w:val="28"/>
          <w:szCs w:val="28"/>
          <w:rtl/>
        </w:rPr>
        <w:t xml:space="preserve">و إن نوی خلافه.</w:t>
      </w:r>
    </w:p>
    <w:p>
      <w:pPr>
        <w:pStyle w:val="BookText"/>
      </w:pPr>
      <w:r>
        <w:rPr>
          <w:rFonts w:ascii="IRNazanin" w:hAnsi="IRNazanin" w:eastAsia="IRNazanin" w:cs="IRNazanin"/>
          <w:lang w:bidi="fa-IR"/>
          <w:color w:val="111111"/>
          <w:sz w:val="28"/>
          <w:szCs w:val="28"/>
          <w:rtl/>
        </w:rPr>
        <w:t xml:space="preserve">و إن جعل المال فی ذمّته،لا من حیث الأصالة،بل من حیث جعل نفسه نائباً عن الغیر فضولاً،ففیه-مع </w:t>
      </w:r>
      <w:r>
        <w:rPr>
          <w:rStyle w:val="FootnoteReference"/>
        </w:rPr>
        <w:footnoteReference w:id="3415"/>
      </w:r>
      <w:r>
        <w:rPr>
          <w:rFonts w:ascii="IRNazanin" w:hAnsi="IRNazanin" w:eastAsia="IRNazanin" w:cs="IRNazanin"/>
          <w:lang w:bidi="fa-IR"/>
          <w:color w:val="111111"/>
          <w:sz w:val="28"/>
          <w:szCs w:val="28"/>
          <w:rtl/>
        </w:rPr>
        <w:t xml:space="preserve">الإشکال فی صحّة هذا لو لم یرجع إلی الشراء فی ذمّة الغیر-:أنّ اللازم من هذا أنّ الغیر إذا ردّ هذه المعاملة و هذه النیابة تقع فاسدة من أصلها،لا أنّها تقع للمباشر.</w:t>
      </w:r>
    </w:p>
    <w:p>
      <w:pPr>
        <w:pStyle w:val="BookText"/>
      </w:pPr>
      <w:r>
        <w:rPr>
          <w:rFonts w:ascii="IRNazanin" w:hAnsi="IRNazanin" w:eastAsia="IRNazanin" w:cs="IRNazanin"/>
          <w:lang w:bidi="fa-IR"/>
          <w:color w:val="111111"/>
          <w:sz w:val="28"/>
          <w:szCs w:val="28"/>
          <w:rtl/>
        </w:rPr>
        <w:t xml:space="preserve">نعم،إذا عجز المباشر من إثبات ذلک علی البائع لزمه ذلک فی ظاهر الشریعة،کما ذکرنا سابقاً </w:t>
      </w:r>
      <w:r>
        <w:rPr>
          <w:rStyle w:val="FootnoteReference"/>
        </w:rPr>
        <w:footnoteReference w:id="3416"/>
      </w:r>
      <w:r>
        <w:rPr>
          <w:rFonts w:ascii="IRNazanin" w:hAnsi="IRNazanin" w:eastAsia="IRNazanin" w:cs="IRNazanin"/>
          <w:lang w:bidi="fa-IR"/>
          <w:color w:val="111111"/>
          <w:sz w:val="28"/>
          <w:szCs w:val="28"/>
          <w:rtl/>
        </w:rPr>
        <w:t xml:space="preserve">و نصّ علیه جماعة فی باب التوکیل </w:t>
      </w:r>
      <w:r>
        <w:rPr>
          <w:rStyle w:val="FootnoteReference"/>
        </w:rPr>
        <w:footnoteReference w:id="34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کیف کان،فوقوع المعاملة فی الواقع مردّدةً بین المباشر و المنویّ، دون التزامه خرط القتاد!و یمکن تنزیل العبارة </w:t>
      </w:r>
      <w:r>
        <w:rPr>
          <w:rStyle w:val="FootnoteReference"/>
        </w:rPr>
        <w:footnoteReference w:id="3418"/>
      </w:r>
      <w:r>
        <w:rPr>
          <w:rFonts w:ascii="IRNazanin" w:hAnsi="IRNazanin" w:eastAsia="IRNazanin" w:cs="IRNazanin"/>
          <w:lang w:bidi="fa-IR"/>
          <w:color w:val="111111"/>
          <w:sz w:val="28"/>
          <w:szCs w:val="28"/>
          <w:rtl/>
        </w:rPr>
        <w:t xml:space="preserve">علی الوقوع للمباشر ظاهراً،لکنّه بعید.</w:t>
      </w:r>
    </w:p>
    <w:p>
      <w:pPr>
        <w:pStyle w:val="Heading6"/>
      </w:pPr>
      <w:bookmarkStart w:id="2284" w:name="_Toc1319"/>
      <w:r>
        <w:t>الثانی : الظاهر أنّه لا فرق فیما ذکرنا من أقسام بیع الفضولی بین البیع العقدی و المعاطاة</w:t>
      </w:r>
      <w:bookmarkEnd w:id="2284"/>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[*ستوده]</w:t>
      </w:r>
    </w:p>
    <w:p>
      <w:pPr>
        <w:pStyle w:val="BookText"/>
      </w:pPr>
      <w:r>
        <w:rPr>
          <w:rFonts w:ascii="IRNazanin" w:hAnsi="IRNazanin" w:eastAsia="IRNazanin" w:cs="IRNazanin"/>
          <w:lang w:bidi="fa-IR"/>
          <w:color w:val="111111"/>
          <w:sz w:val="28"/>
          <w:szCs w:val="28"/>
          <w:rtl/>
        </w:rPr>
        <w:t xml:space="preserve">بناءً علی إفادتها للملک؛إذ لا فارق بینها و بین العقد؛فإنّ التقابض بین الفضولیّین أو فضولیّ و أصیل إذا وقع بنیّة التملیک و التملّک فأجازه المالک،فلا مانع من وقوع المجاز من حینه أو من حین الإجازة،فعموم مثل قوله تعالی: أَحَلَّ اللّٰهُ الْبَیْعَ </w:t>
      </w:r>
      <w:r>
        <w:rPr>
          <w:rStyle w:val="FootnoteReference"/>
        </w:rPr>
        <w:footnoteReference w:id="3419"/>
      </w:r>
      <w:r>
        <w:rPr>
          <w:rFonts w:ascii="IRNazanin" w:hAnsi="IRNazanin" w:eastAsia="IRNazanin" w:cs="IRNazanin"/>
          <w:lang w:bidi="fa-IR"/>
          <w:color w:val="111111"/>
          <w:sz w:val="28"/>
          <w:szCs w:val="28"/>
          <w:rtl/>
        </w:rPr>
        <w:t xml:space="preserve">شامل له.</w:t>
      </w:r>
    </w:p>
    <w:p>
      <w:pPr>
        <w:pStyle w:val="BookText"/>
      </w:pPr>
      <w:r>
        <w:rPr>
          <w:rFonts w:ascii="IRNazanin" w:hAnsi="IRNazanin" w:eastAsia="IRNazanin" w:cs="IRNazanin"/>
          <w:lang w:bidi="fa-IR"/>
          <w:color w:val="111111"/>
          <w:sz w:val="28"/>
          <w:szCs w:val="28"/>
          <w:rtl/>
        </w:rPr>
        <w:t xml:space="preserve">[شماره صفحه واقعی : 394]
</w:t>
      </w:r>
    </w:p>
    <w:p>
      <w:pPr>
        <w:sectPr>
          <w:footerReference w:type="default" r:id="rId10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یؤیده:روایة عروة البارقی </w:t>
      </w:r>
      <w:r>
        <w:rPr>
          <w:rStyle w:val="FootnoteReference"/>
        </w:rPr>
        <w:footnoteReference w:id="3420"/>
      </w:r>
      <w:r>
        <w:rPr>
          <w:rFonts w:ascii="IRNazanin" w:hAnsi="IRNazanin" w:eastAsia="IRNazanin" w:cs="IRNazanin"/>
          <w:lang w:bidi="fa-IR"/>
          <w:color w:val="111111"/>
          <w:sz w:val="28"/>
          <w:szCs w:val="28"/>
          <w:rtl/>
        </w:rPr>
        <w:t xml:space="preserve">حیث إنّ الظاهر وقوع المعاملة بالمعاطاة.</w:t>
      </w:r>
    </w:p>
    <w:p>
      <w:pPr>
        <w:pStyle w:val="BookText"/>
      </w:pPr>
      <w:r>
        <w:rPr>
          <w:rFonts w:ascii="IRNazanin" w:hAnsi="IRNazanin" w:eastAsia="IRNazanin" w:cs="IRNazanin"/>
          <w:lang w:bidi="fa-IR"/>
          <w:color w:val="111111"/>
          <w:sz w:val="28"/>
          <w:szCs w:val="28"/>
          <w:rtl/>
        </w:rPr>
        <w:t xml:space="preserve">و توهّم الإشکال فیه:من حیث إنّ الإقباض الذی یحصل به التملیک محرّم؛لکونه تصرّفاً فی مال الغیر فلا یترتّب علیه أثر،فی غیر محلّه؛إذ قد لا یحتاج إلی إقباض مال الغیر،کما لو اشتری الفضولی لغیره فی الذمّة.</w:t>
      </w:r>
    </w:p>
    <w:p>
      <w:pPr>
        <w:pStyle w:val="BookText"/>
      </w:pPr>
      <w:r>
        <w:rPr>
          <w:rFonts w:ascii="IRNazanin" w:hAnsi="IRNazanin" w:eastAsia="IRNazanin" w:cs="IRNazanin"/>
          <w:lang w:bidi="fa-IR"/>
          <w:color w:val="111111"/>
          <w:sz w:val="28"/>
          <w:szCs w:val="28"/>
          <w:rtl/>
        </w:rPr>
        <w:t xml:space="preserve">مع أنّه قد یقع الإقباض مقروناً برضا المالک؛بناءً علی ظاهر کلامهم من أنّ العلم بالرضا لا یخرج المعاملة عن معاملة الفضولی.</w:t>
      </w:r>
    </w:p>
    <w:p>
      <w:pPr>
        <w:pStyle w:val="BookText"/>
      </w:pPr>
      <w:r>
        <w:rPr>
          <w:rFonts w:ascii="IRNazanin" w:hAnsi="IRNazanin" w:eastAsia="IRNazanin" w:cs="IRNazanin"/>
          <w:lang w:bidi="fa-IR"/>
          <w:color w:val="111111"/>
          <w:sz w:val="28"/>
          <w:szCs w:val="28"/>
          <w:rtl/>
        </w:rPr>
        <w:t xml:space="preserve">مع أنّ النهی لا یدلّ علی الفساد،مع أنّه لو دلّ لدلّ علی عدم ترتّب الأثر المقصود و هو استقلال الإقباض فی السببیة،فلا ینافی کونه جزءَ سبب.</w:t>
      </w:r>
    </w:p>
    <w:p>
      <w:pPr>
        <w:pStyle w:val="BookText"/>
      </w:pPr>
      <w:r>
        <w:rPr>
          <w:rFonts w:ascii="IRNazanin" w:hAnsi="IRNazanin" w:eastAsia="IRNazanin" w:cs="IRNazanin"/>
          <w:lang w:bidi="fa-IR"/>
          <w:color w:val="111111"/>
          <w:sz w:val="28"/>
          <w:szCs w:val="28"/>
          <w:rtl/>
        </w:rPr>
        <w:t xml:space="preserve">و ربما یستدلّ علی ذلک </w:t>
      </w:r>
      <w:r>
        <w:rPr>
          <w:rStyle w:val="FootnoteReference"/>
        </w:rPr>
        <w:footnoteReference w:id="3421"/>
      </w:r>
      <w:r>
        <w:rPr>
          <w:rFonts w:ascii="IRNazanin" w:hAnsi="IRNazanin" w:eastAsia="IRNazanin" w:cs="IRNazanin"/>
          <w:lang w:bidi="fa-IR"/>
          <w:color w:val="111111"/>
          <w:sz w:val="28"/>
          <w:szCs w:val="28"/>
          <w:rtl/>
        </w:rPr>
        <w:t xml:space="preserve">بأنّ المعاطاة منوطة بالتراضی و قصد الإباحة أو التملیک،و هما من وظائف المالک،و لا یتصوّر صدورهما من غیره-و لذا ذکر الشهید الثانی:أنّ المکره و الفضولی قاصدان للّفظ دون المدلول،و ذکر:أنّ قصد المدلول لا یتحقّق من غیر المالک </w:t>
      </w:r>
      <w:r>
        <w:rPr>
          <w:rStyle w:val="FootnoteReference"/>
        </w:rPr>
        <w:footnoteReference w:id="3422"/>
      </w:r>
      <w:r>
        <w:rPr>
          <w:rFonts w:ascii="IRNazanin" w:hAnsi="IRNazanin" w:eastAsia="IRNazanin" w:cs="IRNazanin"/>
          <w:lang w:bidi="fa-IR"/>
          <w:color w:val="111111"/>
          <w:sz w:val="28"/>
          <w:szCs w:val="28"/>
          <w:rtl/>
        </w:rPr>
        <w:t xml:space="preserve">- و مشروطة أیضاً بالقبض و الإقباض من الطرفین أو من أحدهما مقارناً للأمرین،و لا أثر له إلّا إذا صدر من المالک أو بإذنه.</w:t>
      </w:r>
    </w:p>
    <w:p>
      <w:pPr>
        <w:pStyle w:val="BookText"/>
      </w:pPr>
      <w:r>
        <w:rPr>
          <w:rFonts w:ascii="IRNazanin" w:hAnsi="IRNazanin" w:eastAsia="IRNazanin" w:cs="IRNazanin"/>
          <w:lang w:bidi="fa-IR"/>
          <w:color w:val="111111"/>
          <w:sz w:val="28"/>
          <w:szCs w:val="28"/>
          <w:rtl/>
        </w:rPr>
        <w:t xml:space="preserve">و فیه:أنّ اعتبار الإقباض و القبض فی المعاطاة عند مَن اعتبره</w:t>
      </w:r>
    </w:p>
    <w:p>
      <w:pPr>
        <w:pStyle w:val="BookText"/>
      </w:pPr>
      <w:r>
        <w:rPr>
          <w:rFonts w:ascii="IRNazanin" w:hAnsi="IRNazanin" w:eastAsia="IRNazanin" w:cs="IRNazanin"/>
          <w:lang w:bidi="fa-IR"/>
          <w:color w:val="111111"/>
          <w:sz w:val="28"/>
          <w:szCs w:val="28"/>
          <w:rtl/>
        </w:rPr>
        <w:t xml:space="preserve">[شماره صفحه واقعی : 395]
</w:t>
      </w:r>
    </w:p>
    <w:p>
      <w:pPr>
        <w:sectPr>
          <w:footerReference w:type="default" r:id="rId10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فیها إنّما هو لحصول إنشاء التملیک أو الإباحة،فهو عندهم من الأسباب الفعلیة-کما صرّح الشهید فی قواعده </w:t>
      </w:r>
      <w:r>
        <w:rPr>
          <w:rStyle w:val="FootnoteReference"/>
        </w:rPr>
        <w:footnoteReference w:id="3423"/>
      </w:r>
      <w:r>
        <w:rPr>
          <w:rFonts w:ascii="IRNazanin" w:hAnsi="IRNazanin" w:eastAsia="IRNazanin" w:cs="IRNazanin"/>
          <w:lang w:bidi="fa-IR"/>
          <w:color w:val="111111"/>
          <w:sz w:val="28"/>
          <w:szCs w:val="28"/>
          <w:rtl/>
        </w:rPr>
        <w:t xml:space="preserve">-و المعاطاة عندهم عقد فعلی، و لذا ذکر بعض الحنفیة القائلین بلزومها:أنّ البیع ینعقد بالإیجاب و القبول و بالتعاطی </w:t>
      </w:r>
      <w:r>
        <w:rPr>
          <w:rStyle w:val="FootnoteReference"/>
        </w:rPr>
        <w:footnoteReference w:id="3424"/>
      </w:r>
      <w:r>
        <w:rPr>
          <w:rFonts w:ascii="IRNazanin" w:hAnsi="IRNazanin" w:eastAsia="IRNazanin" w:cs="IRNazanin"/>
          <w:lang w:bidi="fa-IR"/>
          <w:color w:val="111111"/>
          <w:sz w:val="28"/>
          <w:szCs w:val="28"/>
          <w:rtl/>
        </w:rPr>
        <w:t xml:space="preserve">،و حینئذٍ فلا مانع من أن یقصد الفضولی بإقباضه:</w:t>
      </w:r>
    </w:p>
    <w:p>
      <w:pPr>
        <w:pStyle w:val="BookText"/>
      </w:pPr>
      <w:r>
        <w:rPr>
          <w:rFonts w:ascii="IRNazanin" w:hAnsi="IRNazanin" w:eastAsia="IRNazanin" w:cs="IRNazanin"/>
          <w:lang w:bidi="fa-IR"/>
          <w:color w:val="111111"/>
          <w:sz w:val="28"/>
          <w:szCs w:val="28"/>
          <w:rtl/>
        </w:rPr>
        <w:t xml:space="preserve">المعنی القائم بنفسه،المقصود من قوله:«ملّکتک».</w:t>
      </w:r>
    </w:p>
    <w:p>
      <w:pPr>
        <w:pStyle w:val="BookText"/>
      </w:pPr>
      <w:r>
        <w:rPr>
          <w:rFonts w:ascii="IRNazanin" w:hAnsi="IRNazanin" w:eastAsia="IRNazanin" w:cs="IRNazanin"/>
          <w:lang w:bidi="fa-IR"/>
          <w:color w:val="111111"/>
          <w:sz w:val="28"/>
          <w:szCs w:val="28"/>
          <w:rtl/>
        </w:rPr>
        <w:t xml:space="preserve">و اعتبار مقارنة الرضا من المالک للإنشاء الفعلی دون القولی مع اتّحاد أدلّة اعتبار الرضا و طیب النفس فی حلّ مال الغیر-لا یخلو عن تحکّم.</w:t>
      </w:r>
    </w:p>
    <w:p>
      <w:pPr>
        <w:pStyle w:val="BookText"/>
      </w:pPr>
      <w:r>
        <w:rPr>
          <w:rFonts w:ascii="IRNazanin" w:hAnsi="IRNazanin" w:eastAsia="IRNazanin" w:cs="IRNazanin"/>
          <w:lang w:bidi="fa-IR"/>
          <w:color w:val="111111"/>
          <w:sz w:val="28"/>
          <w:szCs w:val="28"/>
          <w:rtl/>
        </w:rPr>
        <w:t xml:space="preserve">و ما ذکره من </w:t>
      </w:r>
      <w:r>
        <w:rPr>
          <w:rStyle w:val="FootnoteReference"/>
        </w:rPr>
        <w:footnoteReference w:id="3425"/>
      </w:r>
      <w:r>
        <w:rPr>
          <w:rFonts w:ascii="IRNazanin" w:hAnsi="IRNazanin" w:eastAsia="IRNazanin" w:cs="IRNazanin"/>
          <w:lang w:bidi="fa-IR"/>
          <w:color w:val="111111"/>
          <w:sz w:val="28"/>
          <w:szCs w:val="28"/>
          <w:rtl/>
        </w:rPr>
        <w:t xml:space="preserve">الشهید الثانی لا یجدی فیما نحن فیه؛لأنّا لا نعتبر فی فعل الفضولی أزید من القصد الموجود فی قوله؛لعدم الدلیل،و لو ثبت لثبت منه اعتبار المقارنة فی العقد القولی أیضاً،إلّا أن یقال:إنّ مقتضی الدلیل ذلک،خرج عنه بالدلیل معاملة الفضولی إذا وقعت بالقول،لکنّک قد عرفت أنّ عقد </w:t>
      </w:r>
      <w:r>
        <w:rPr>
          <w:rStyle w:val="FootnoteReference"/>
        </w:rPr>
        <w:footnoteReference w:id="3426"/>
      </w:r>
      <w:r>
        <w:rPr>
          <w:rFonts w:ascii="IRNazanin" w:hAnsi="IRNazanin" w:eastAsia="IRNazanin" w:cs="IRNazanin"/>
          <w:lang w:bidi="fa-IR"/>
          <w:color w:val="111111"/>
          <w:sz w:val="28"/>
          <w:szCs w:val="28"/>
          <w:rtl/>
        </w:rPr>
        <w:t xml:space="preserve">الفضولی لیس علی خلاف القاعدة </w:t>
      </w:r>
      <w:r>
        <w:rPr>
          <w:rStyle w:val="FootnoteReference"/>
        </w:rPr>
        <w:footnoteReference w:id="34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نعم،لو قلنا:إنّ المعاطاة لا یعتبر فیها قبض و لو اتّفق معها،بل السبب المستقلّ هو تراضی المالکین بملکیّة </w:t>
      </w:r>
      <w:r>
        <w:rPr>
          <w:rStyle w:val="FootnoteReference"/>
        </w:rPr>
        <w:footnoteReference w:id="3428"/>
      </w:r>
      <w:r>
        <w:rPr>
          <w:rFonts w:ascii="Amiri" w:hAnsi="Amiri" w:eastAsia="Amiri" w:cs="Amiri"/>
          <w:lang w:bidi="ar-SA"/>
          <w:color w:val="111111"/>
          <w:sz w:val="28"/>
          <w:szCs w:val="28"/>
          <w:rtl/>
        </w:rPr>
        <w:t xml:space="preserve">کلٍّ منهما لمال صاحبه مطلقاً</w:t>
      </w:r>
    </w:p>
    <w:p>
      <w:pPr>
        <w:pStyle w:val="BookText"/>
      </w:pPr>
      <w:r>
        <w:rPr>
          <w:rFonts w:ascii="IRNazanin" w:hAnsi="IRNazanin" w:eastAsia="IRNazanin" w:cs="IRNazanin"/>
          <w:lang w:bidi="fa-IR"/>
          <w:color w:val="111111"/>
          <w:sz w:val="28"/>
          <w:szCs w:val="28"/>
          <w:rtl/>
        </w:rPr>
        <w:t xml:space="preserve">[شماره صفحه واقعی : 396]
</w:t>
      </w:r>
    </w:p>
    <w:p>
      <w:pPr>
        <w:sectPr>
          <w:footerReference w:type="default" r:id="rId10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مع وصولهما </w:t>
      </w:r>
      <w:r>
        <w:rPr>
          <w:rStyle w:val="FootnoteReference"/>
        </w:rPr>
        <w:footnoteReference w:id="3429"/>
      </w:r>
      <w:r>
        <w:rPr>
          <w:rFonts w:ascii="IRNazanin" w:hAnsi="IRNazanin" w:eastAsia="IRNazanin" w:cs="IRNazanin"/>
          <w:lang w:bidi="fa-IR"/>
          <w:color w:val="111111"/>
          <w:sz w:val="28"/>
          <w:szCs w:val="28"/>
          <w:rtl/>
        </w:rPr>
        <w:t xml:space="preserve">أو وصول أحدهما،لم یعقل وقوعها من الفضولی.</w:t>
      </w:r>
    </w:p>
    <w:p>
      <w:pPr>
        <w:pStyle w:val="BookText"/>
      </w:pPr>
      <w:r>
        <w:rPr>
          <w:rFonts w:ascii="IRNazanin" w:hAnsi="IRNazanin" w:eastAsia="IRNazanin" w:cs="IRNazanin"/>
          <w:lang w:bidi="fa-IR"/>
          <w:color w:val="111111"/>
          <w:sz w:val="28"/>
          <w:szCs w:val="28"/>
          <w:rtl/>
        </w:rPr>
        <w:t xml:space="preserve">نعم،الواقع منه إیصال المال،و المفروض أنّه لا مدخل له فی المعاملة،فإذا رضی المالک بمالکیة من وصل إلیه المال تحقّقت المعاطاة من حین الرضا و لم یکن إجازة لمعاطاة سابقة،لکنّ الإنصاف أنّ هذا المعنی غیر مقصود للعلماء فی عنوان المعاطاة و إنّما قصدهم إلی العقد الفعلی.</w:t>
      </w:r>
    </w:p>
    <w:p>
      <w:pPr>
        <w:pStyle w:val="BookText"/>
      </w:pPr>
      <w:r>
        <w:rPr>
          <w:rFonts w:ascii="IRNazanin" w:hAnsi="IRNazanin" w:eastAsia="IRNazanin" w:cs="IRNazanin"/>
          <w:lang w:bidi="fa-IR"/>
          <w:color w:val="111111"/>
          <w:sz w:val="28"/>
          <w:szCs w:val="28"/>
          <w:rtl/>
        </w:rPr>
        <w:t xml:space="preserve">هذا کلّه علی القول بالملک،</w:t>
      </w:r>
    </w:p>
    <w:p>
      <w:pPr>
        <w:pStyle w:val="BookText"/>
      </w:pPr>
      <w:r>
        <w:rPr>
          <w:rFonts w:ascii="IRNazanin" w:hAnsi="IRNazanin" w:eastAsia="IRNazanin" w:cs="IRNazanin"/>
          <w:lang w:bidi="fa-IR"/>
          <w:color w:val="111111"/>
          <w:sz w:val="28"/>
          <w:szCs w:val="28"/>
          <w:rtl/>
        </w:rPr>
        <w:t xml:space="preserve">[*ستوده]</w:t>
      </w:r>
    </w:p>
    <w:p>
      <w:pPr>
        <w:pStyle w:val="BookText"/>
      </w:pPr>
      <w:r>
        <w:rPr>
          <w:rFonts w:ascii="IRNazanin" w:hAnsi="IRNazanin" w:eastAsia="IRNazanin" w:cs="IRNazanin"/>
          <w:lang w:bidi="fa-IR"/>
          <w:color w:val="111111"/>
          <w:sz w:val="28"/>
          <w:szCs w:val="28"/>
          <w:rtl/>
        </w:rPr>
        <w:t xml:space="preserve">و أمّا علی القول بالإباحة،فیمکن القول ببطلان الفضولی؛لأنّ إفادة المعاملة المقصود بها الملک للإباحة خلاف القاعدة،فیقتصر فیها علی صورة تعاطی المالکین،مع أنّ حصول الإباحة قبل الإجازة غیر ممکن،و الآثار الأُخر-مثل بیع المال علی القول بجواز مثل هذا التصرّف-إذا وقعت فی غیر زمان الإباحة الفعلیة،لم تؤثّر أثراً،فإذا أجاز حدث الإباحة من حین الإجازة،اللّهم إلّا أن یقال بکفایة وقوعها مع الإباحة الواقعیة إذا کشف </w:t>
      </w:r>
      <w:r>
        <w:rPr>
          <w:rStyle w:val="FootnoteReference"/>
        </w:rPr>
        <w:footnoteReference w:id="3430"/>
      </w:r>
      <w:r>
        <w:rPr>
          <w:rFonts w:ascii="Amiri" w:hAnsi="Amiri" w:eastAsia="Amiri" w:cs="Amiri"/>
          <w:lang w:bidi="ar-SA"/>
          <w:color w:val="111111"/>
          <w:sz w:val="28"/>
          <w:szCs w:val="28"/>
          <w:rtl/>
        </w:rPr>
        <w:t xml:space="preserve">عنها الإجازة،فافهم.</w:t>
      </w:r>
    </w:p>
    <w:p>
      <w:pPr>
        <w:pStyle w:val="BookText"/>
      </w:pPr>
      <w:r>
        <w:rPr>
          <w:rFonts w:ascii="IRNazanin" w:hAnsi="IRNazanin" w:eastAsia="IRNazanin" w:cs="IRNazanin"/>
          <w:lang w:bidi="fa-IR"/>
          <w:color w:val="111111"/>
          <w:sz w:val="28"/>
          <w:szCs w:val="28"/>
          <w:rtl/>
        </w:rPr>
        <w:t xml:space="preserve">[شماره صفحه واقعی : 397]
</w:t>
      </w:r>
    </w:p>
    <w:p>
      <w:pPr>
        <w:sectPr>
          <w:footerReference w:type="default" r:id="rId10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398]
</w:t>
      </w:r>
    </w:p>
    <w:p>
      <w:pPr>
        <w:sectPr>
          <w:footerReference w:type="default" r:id="rId1077"/>
          <w:footnotePr>
            <w:numStart w:val="1"/>
            <w:numRestart w:val="eachPage"/>
          </w:footnotePr>
          <w:pgSz w:orient="portrait" w:w="11905.511811023622" w:h="16837.79527559055"/>
          <w:pgMar w:top="1440" w:right="1440" w:bottom="1440" w:left="1440" w:header="720" w:footer="720" w:gutter="0"/>
          <w:cols w:num="1" w:space="720"/>
        </w:sectPr>
      </w:pPr>
    </w:p>
    <w:bookmarkStart w:id="649" w:name="pg14411_143459"/>
    <w:bookmarkEnd w:id="649"/>
    <w:p>
      <w:pPr>
        <w:pStyle w:val="Heading6"/>
      </w:pPr>
      <w:bookmarkStart w:id="2285" w:name="_Toc1320"/>
      <w:r>
        <w:t>القول فی الإجازة و الردّ</w:t>
      </w:r>
      <w:bookmarkEnd w:id="2285"/>
    </w:p>
    <w:p>
      <w:pPr>
        <w:pStyle w:val="Heading6"/>
      </w:pPr>
      <w:bookmarkStart w:id="2286" w:name="_Toc1321"/>
      <w:r>
        <w:t>أمّا الکلام فی الإجازة</w:t>
      </w:r>
      <w:bookmarkEnd w:id="2286"/>
    </w:p>
    <w:p>
      <w:pPr>
        <w:pStyle w:val="Heading6"/>
      </w:pPr>
      <w:bookmarkStart w:id="2287" w:name="_Toc1322"/>
      <w:r>
        <w:t>اشارة</w:t>
      </w:r>
      <w:bookmarkEnd w:id="2287"/>
    </w:p>
    <w:p>
      <w:pPr>
        <w:pStyle w:val="BookText"/>
      </w:pPr>
      <w:r>
        <w:rPr>
          <w:rFonts w:ascii="IRNazanin" w:hAnsi="IRNazanin" w:eastAsia="IRNazanin" w:cs="IRNazanin"/>
          <w:lang w:bidi="fa-IR"/>
          <w:color w:val="111111"/>
          <w:sz w:val="28"/>
          <w:szCs w:val="28"/>
          <w:rtl/>
        </w:rPr>
        <w:t xml:space="preserve">فیقع تارةً فی حکمها و شروطها،و أُخری فی المجیز،و ثالثة فی المجاز.</w:t>
      </w:r>
    </w:p>
    <w:p>
      <w:pPr>
        <w:pStyle w:val="Heading6"/>
      </w:pPr>
      <w:bookmarkStart w:id="2288" w:name="_Toc1323"/>
      <w:r>
        <w:t>[هل الإجازة کاشفة أم ناقلة]</w:t>
      </w:r>
      <w:bookmarkEnd w:id="2288"/>
    </w:p>
    <w:p>
      <w:pPr>
        <w:pStyle w:val="Heading6"/>
      </w:pPr>
      <w:bookmarkStart w:id="2289" w:name="_Toc1324"/>
      <w:r>
        <w:t>أمّا حکمها : فقد اختلف القائلون بصحّة الفضولی</w:t>
      </w:r>
      <w:bookmarkEnd w:id="2289"/>
    </w:p>
    <w:p>
      <w:pPr>
        <w:pStyle w:val="Heading6"/>
      </w:pPr>
      <w:bookmarkStart w:id="2290" w:name="_Toc1325"/>
      <w:r>
        <w:t>اشارة</w:t>
      </w:r>
      <w:bookmarkEnd w:id="2290"/>
    </w:p>
    <w:p>
      <w:pPr>
        <w:pStyle w:val="BookText"/>
      </w:pPr>
      <w:r>
        <w:rPr>
          <w:rFonts w:ascii="IRNazanin" w:hAnsi="IRNazanin" w:eastAsia="IRNazanin" w:cs="IRNazanin"/>
          <w:lang w:bidi="fa-IR"/>
          <w:color w:val="111111"/>
          <w:sz w:val="28"/>
          <w:szCs w:val="28"/>
          <w:rtl/>
        </w:rPr>
        <w:t xml:space="preserve">-بعد اتّفاقهم علی توقّفها علی الإجازة-فی کونها کاشفة بمعنی أنّه یحکم بعد الإجازة بحصول آثار العقد من حین وقوعه حتّی کأنّ الإجازة وقعت مقارنة للعقد،أو ناقلة بمعنی ترتّب آثار العقد من حینها حتّی کأنّ العقد وقع حال الإجازة،علی قولین:</w:t>
      </w:r>
    </w:p>
    <w:p>
      <w:pPr>
        <w:pStyle w:val="Heading6"/>
      </w:pPr>
      <w:bookmarkStart w:id="2291" w:name="_Toc1326"/>
      <w:r>
        <w:t>[الأکثر علی الکشف]</w:t>
      </w:r>
      <w:bookmarkEnd w:id="2291"/>
    </w:p>
    <w:p>
      <w:pPr>
        <w:pStyle w:val="Heading6"/>
      </w:pPr>
      <w:bookmarkStart w:id="2292" w:name="_Toc1327"/>
      <w:r>
        <w:t>[الکلام فی أدلة القائلین بالکشف و المناقشات فیها]</w:t>
      </w:r>
      <w:bookmarkEnd w:id="2292"/>
    </w:p>
    <w:p>
      <w:pPr>
        <w:pStyle w:val="BookText"/>
      </w:pPr>
      <w:r>
        <w:rPr>
          <w:rFonts w:ascii="IRNazanin" w:hAnsi="IRNazanin" w:eastAsia="IRNazanin" w:cs="IRNazanin"/>
          <w:lang w:bidi="fa-IR"/>
          <w:color w:val="111111"/>
          <w:sz w:val="28"/>
          <w:szCs w:val="28"/>
          <w:rtl/>
        </w:rPr>
        <w:t xml:space="preserve">فالأکثر علی الأوّل،و استدلّ علیه-کما عن جامع المقاصد </w:t>
      </w:r>
      <w:r>
        <w:rPr>
          <w:rStyle w:val="FootnoteReference"/>
        </w:rPr>
        <w:footnoteReference w:id="3431"/>
      </w:r>
      <w:r>
        <w:rPr>
          <w:rFonts w:ascii="Amiri" w:hAnsi="Amiri" w:eastAsia="Amiri" w:cs="Amiri"/>
          <w:lang w:bidi="ar-SA"/>
          <w:color w:val="111111"/>
          <w:sz w:val="28"/>
          <w:szCs w:val="28"/>
          <w:rtl/>
        </w:rPr>
        <w:t xml:space="preserve">و الروضة </w:t>
      </w:r>
      <w:r>
        <w:rPr>
          <w:rStyle w:val="FootnoteReference"/>
        </w:rPr>
        <w:footnoteReference w:id="3432"/>
      </w:r>
      <w:r>
        <w:rPr>
          <w:rFonts w:ascii="Amiri" w:hAnsi="Amiri" w:eastAsia="Amiri" w:cs="Amiri"/>
          <w:lang w:bidi="ar-SA"/>
          <w:color w:val="111111"/>
          <w:sz w:val="28"/>
          <w:szCs w:val="28"/>
          <w:rtl/>
        </w:rPr>
        <w:t xml:space="preserve">-بأنّ العقد سبب تامّ فی الملک؛لعموم قوله تعالی: أَوْفُوا بِالْعُقُودِ </w:t>
      </w:r>
      <w:r>
        <w:rPr>
          <w:rStyle w:val="FootnoteReference"/>
        </w:rPr>
        <w:footnoteReference w:id="3433"/>
      </w:r>
      <w:r>
        <w:rPr>
          <w:rFonts w:ascii="IRNazanin" w:hAnsi="IRNazanin" w:eastAsia="IRNazanin" w:cs="IRNazanin"/>
          <w:lang w:bidi="fa-IR"/>
          <w:color w:val="111111"/>
          <w:sz w:val="28"/>
          <w:szCs w:val="28"/>
          <w:rtl/>
        </w:rPr>
        <w:t xml:space="preserve">،و تمامه فی الفضولی إنّما یعلم بالإجازة،فإذا أجاز تبیّن کونه تامّاً یوجب </w:t>
      </w:r>
      <w:r>
        <w:rPr>
          <w:rStyle w:val="FootnoteReference"/>
        </w:rPr>
        <w:footnoteReference w:id="3434"/>
      </w:r>
      <w:r>
        <w:rPr>
          <w:rFonts w:ascii="IRNazanin" w:hAnsi="IRNazanin" w:eastAsia="IRNazanin" w:cs="IRNazanin"/>
          <w:lang w:bidi="fa-IR"/>
          <w:color w:val="111111"/>
          <w:sz w:val="28"/>
          <w:szCs w:val="28"/>
          <w:rtl/>
        </w:rPr>
        <w:t xml:space="preserve">ترتّب الملک علیه،و إلّا لزم أن لا یکون الوفاء بالعقد</w:t>
      </w:r>
    </w:p>
    <w:p>
      <w:pPr>
        <w:pStyle w:val="BookText"/>
      </w:pPr>
      <w:r>
        <w:rPr>
          <w:rFonts w:ascii="IRNazanin" w:hAnsi="IRNazanin" w:eastAsia="IRNazanin" w:cs="IRNazanin"/>
          <w:lang w:bidi="fa-IR"/>
          <w:color w:val="111111"/>
          <w:sz w:val="28"/>
          <w:szCs w:val="28"/>
          <w:rtl/>
        </w:rPr>
        <w:t xml:space="preserve">[شماره صفحه واقعی : 399]
</w:t>
      </w:r>
    </w:p>
    <w:p>
      <w:pPr>
        <w:sectPr>
          <w:footerReference w:type="default" r:id="rId10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خاصّة،بل به مع شیء آخر.</w:t>
      </w:r>
    </w:p>
    <w:p>
      <w:pPr>
        <w:pStyle w:val="BookText"/>
      </w:pPr>
      <w:r>
        <w:rPr>
          <w:rFonts w:ascii="IRNazanin" w:hAnsi="IRNazanin" w:eastAsia="IRNazanin" w:cs="IRNazanin"/>
          <w:lang w:bidi="fa-IR"/>
          <w:color w:val="111111"/>
          <w:sz w:val="28"/>
          <w:szCs w:val="28"/>
          <w:rtl/>
        </w:rPr>
        <w:t xml:space="preserve">و بأنّ الإجازة متعلّقة بالعقد،فهی </w:t>
      </w:r>
      <w:r>
        <w:rPr>
          <w:rStyle w:val="FootnoteReference"/>
        </w:rPr>
        <w:footnoteReference w:id="3435"/>
      </w:r>
      <w:r>
        <w:rPr>
          <w:rFonts w:ascii="IRNazanin" w:hAnsi="IRNazanin" w:eastAsia="IRNazanin" w:cs="IRNazanin"/>
          <w:lang w:bidi="fa-IR"/>
          <w:color w:val="111111"/>
          <w:sz w:val="28"/>
          <w:szCs w:val="28"/>
          <w:rtl/>
        </w:rPr>
        <w:t xml:space="preserve">رضا بمضمونه،و لیس إلّا نقل العوضین من حینه </w:t>
      </w:r>
      <w:r>
        <w:rPr>
          <w:rStyle w:val="FootnoteReference"/>
        </w:rPr>
        <w:footnoteReference w:id="34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فخر الدین فی الإیضاح:الاحتجاج لهم بأنّها لو لم تکن کاشفة لزم تأثیر المعدوم فی الموجود؛لأنّ العقد حالها عدم </w:t>
      </w:r>
      <w:r>
        <w:rPr>
          <w:rStyle w:val="FootnoteReference"/>
        </w:rPr>
        <w:footnoteReference w:id="3437"/>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یرد علی الوجه الأوّل:أنّه إن أُرید بکون العقد سبباً تاماً کونه </w:t>
      </w:r>
      <w:r>
        <w:rPr>
          <w:rStyle w:val="FootnoteReference"/>
        </w:rPr>
        <w:footnoteReference w:id="3438"/>
      </w:r>
      <w:r>
        <w:rPr>
          <w:rFonts w:ascii="IRNazanin" w:hAnsi="IRNazanin" w:eastAsia="IRNazanin" w:cs="IRNazanin"/>
          <w:lang w:bidi="fa-IR"/>
          <w:color w:val="111111"/>
          <w:sz w:val="28"/>
          <w:szCs w:val="28"/>
          <w:rtl/>
        </w:rPr>
        <w:t xml:space="preserve">علّة تامّة للنقل إذا صدر عن رضا المالک،فهو مسلّم،إلّا أنّ بالإجازة لا یعلم تمام ذلک السبب،و لا یتبیّن کونه تامّاً؛إذ الإجازة لا تکشف عن مقارنة الرضا،غایة الأمر:أنّ لازم صحّة عقد الفضولی کونها قائمة مقام الرضا المقارن،فیکون لها </w:t>
      </w:r>
      <w:r>
        <w:rPr>
          <w:rStyle w:val="FootnoteReference"/>
        </w:rPr>
        <w:footnoteReference w:id="3439"/>
      </w:r>
      <w:r>
        <w:rPr>
          <w:rFonts w:ascii="IRNazanin" w:hAnsi="IRNazanin" w:eastAsia="IRNazanin" w:cs="IRNazanin"/>
          <w:lang w:bidi="fa-IR"/>
          <w:color w:val="111111"/>
          <w:sz w:val="28"/>
          <w:szCs w:val="28"/>
          <w:rtl/>
        </w:rPr>
        <w:t xml:space="preserve">مدخل فی تمامیّة السبب کالرضا المقارن،فلا معنی لحصول الأثر قبلها </w:t>
      </w:r>
      <w:r>
        <w:rPr>
          <w:rStyle w:val="FootnoteReference"/>
        </w:rPr>
        <w:footnoteReference w:id="34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 یظهر فساد تقریر الدلیل </w:t>
      </w:r>
      <w:r>
        <w:rPr>
          <w:rStyle w:val="FootnoteReference"/>
        </w:rPr>
        <w:footnoteReference w:id="3441"/>
      </w:r>
      <w:r>
        <w:rPr>
          <w:rFonts w:ascii="IRNazanin" w:hAnsi="IRNazanin" w:eastAsia="IRNazanin" w:cs="IRNazanin"/>
          <w:lang w:bidi="fa-IR"/>
          <w:color w:val="111111"/>
          <w:sz w:val="28"/>
          <w:szCs w:val="28"/>
          <w:rtl/>
        </w:rPr>
        <w:t xml:space="preserve">بأنّ العقد الواقع جامع </w:t>
      </w:r>
      <w:r>
        <w:rPr>
          <w:rStyle w:val="FootnoteReference"/>
        </w:rPr>
        <w:footnoteReference w:id="3442"/>
      </w:r>
      <w:r>
        <w:rPr>
          <w:rFonts w:ascii="IRNazanin" w:hAnsi="IRNazanin" w:eastAsia="IRNazanin" w:cs="IRNazanin"/>
          <w:lang w:bidi="fa-IR"/>
          <w:color w:val="111111"/>
          <w:sz w:val="28"/>
          <w:szCs w:val="28"/>
          <w:rtl/>
        </w:rPr>
        <w:t xml:space="preserve">لجمیع</w:t>
      </w:r>
    </w:p>
    <w:p>
      <w:pPr>
        <w:pStyle w:val="BookText"/>
      </w:pPr>
      <w:r>
        <w:rPr>
          <w:rFonts w:ascii="IRNazanin" w:hAnsi="IRNazanin" w:eastAsia="IRNazanin" w:cs="IRNazanin"/>
          <w:lang w:bidi="fa-IR"/>
          <w:color w:val="111111"/>
          <w:sz w:val="28"/>
          <w:szCs w:val="28"/>
          <w:rtl/>
        </w:rPr>
        <w:t xml:space="preserve">[شماره صفحه واقعی : 400]
</w:t>
      </w:r>
    </w:p>
    <w:p>
      <w:pPr>
        <w:sectPr>
          <w:footerReference w:type="default" r:id="rId10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الشروط،و </w:t>
      </w:r>
      <w:r>
        <w:rPr>
          <w:rStyle w:val="FootnoteReference"/>
        </w:rPr>
        <w:footnoteReference w:id="3443"/>
      </w:r>
      <w:r>
        <w:rPr>
          <w:rFonts w:ascii="IRNazanin" w:hAnsi="IRNazanin" w:eastAsia="IRNazanin" w:cs="IRNazanin"/>
          <w:lang w:bidi="fa-IR"/>
          <w:color w:val="111111"/>
          <w:sz w:val="28"/>
          <w:szCs w:val="28"/>
          <w:rtl/>
        </w:rPr>
        <w:t xml:space="preserve">کلّها حاصلة إلّا رضا المالک،فإذا حصل بالإجازة عمل السبب عمله.</w:t>
      </w:r>
    </w:p>
    <w:p>
      <w:pPr>
        <w:pStyle w:val="BookText"/>
      </w:pPr>
      <w:r>
        <w:rPr>
          <w:rFonts w:ascii="IRNazanin" w:hAnsi="IRNazanin" w:eastAsia="IRNazanin" w:cs="IRNazanin"/>
          <w:lang w:bidi="fa-IR"/>
          <w:color w:val="111111"/>
          <w:sz w:val="28"/>
          <w:szCs w:val="28"/>
          <w:rtl/>
        </w:rPr>
        <w:t xml:space="preserve">فإنّه إذا اعترف أنّ رضا المالک من جملة الشروط،فکیف یکون کاشفاً عن وجود المشروط قبله؟ و دعوی:أنّ الشروط الشرعیة لیست کالعقلیة،بل هی بحسب ما یقتضیه جعل الشارع،فقد یجعل الشارع ما یشبه تقدیم المسبّب علی السبب-کغسل الجمعة یوم الخمیس و إعطاء الفطرة قبل وقته-فضلاً عن تقدّم المشروط علی الشرط-کغسل الفجر بعد الفجر للمستحاضة الصائمة،و کغسل العشاءَین لصوم الیوم الماضی علی القول به </w:t>
      </w:r>
      <w:r>
        <w:rPr>
          <w:rStyle w:val="FootnoteReference"/>
        </w:rPr>
        <w:footnoteReference w:id="3444"/>
      </w:r>
      <w:r>
        <w:rPr>
          <w:rFonts w:ascii="IRNazanin" w:hAnsi="IRNazanin" w:eastAsia="IRNazanin" w:cs="IRNazanin"/>
          <w:lang w:bidi="fa-IR"/>
          <w:color w:val="111111"/>
          <w:sz w:val="28"/>
          <w:szCs w:val="28"/>
          <w:rtl/>
        </w:rPr>
        <w:t xml:space="preserve">-، مدفوعة:بأنّه لا فرق فیما فرض شرطاً أو سبباً بین الشرعی و غیره، و تکثیر الأمثلة لا یوجب وقوع المحال العقلی،فهی کدعوی أنّ التناقض الشرعی بین الشیئین لا یمنع عن اجتماعهما؛لأنّ النقیض الشرعی غیر العقلی.</w:t>
      </w:r>
    </w:p>
    <w:p>
      <w:pPr>
        <w:pStyle w:val="BookText"/>
      </w:pPr>
      <w:r>
        <w:rPr>
          <w:rFonts w:ascii="IRNazanin" w:hAnsi="IRNazanin" w:eastAsia="IRNazanin" w:cs="IRNazanin"/>
          <w:lang w:bidi="fa-IR"/>
          <w:color w:val="111111"/>
          <w:sz w:val="28"/>
          <w:szCs w:val="28"/>
          <w:rtl/>
        </w:rPr>
        <w:t xml:space="preserve">[*ستوده]</w:t>
      </w:r>
    </w:p>
    <w:p>
      <w:pPr>
        <w:pStyle w:val="BookText"/>
      </w:pPr>
      <w:r>
        <w:rPr>
          <w:rFonts w:ascii="IRNazanin" w:hAnsi="IRNazanin" w:eastAsia="IRNazanin" w:cs="IRNazanin"/>
          <w:lang w:bidi="fa-IR"/>
          <w:color w:val="111111"/>
          <w:sz w:val="28"/>
          <w:szCs w:val="28"/>
          <w:rtl/>
        </w:rPr>
        <w:t xml:space="preserve">فجمیع ما ورد ممّا یوهم ذلک </w:t>
      </w:r>
      <w:r>
        <w:rPr>
          <w:rStyle w:val="FootnoteReference"/>
        </w:rPr>
        <w:footnoteReference w:id="3445"/>
      </w:r>
      <w:r>
        <w:rPr>
          <w:rFonts w:ascii="IRNazanin" w:hAnsi="IRNazanin" w:eastAsia="IRNazanin" w:cs="IRNazanin"/>
          <w:lang w:bidi="fa-IR"/>
          <w:color w:val="111111"/>
          <w:sz w:val="28"/>
          <w:szCs w:val="28"/>
          <w:rtl/>
        </w:rPr>
        <w:t xml:space="preserve">لا بدّ فیه من التزام أنّ المتأخّر لیس سبباً أو شرطاً،بل السبب و الشرط:الأمر المنتزع من ذلک،لکن ذلک لا یمکن فی ما نحن فیه،بأن یقال:إنّ الشرط تعقّب الإجازة و لحوقها بالعقد،و هذا أمر مقارن للعقد علی تقدیر الإجازة؛لمخالفته الأدلّة </w:t>
      </w:r>
      <w:r>
        <w:rPr>
          <w:rStyle w:val="FootnoteReference"/>
        </w:rPr>
        <w:footnoteReference w:id="3446"/>
      </w:r>
      <w:r>
        <w:rPr>
          <w:rFonts w:ascii="IRNazanin" w:hAnsi="IRNazanin" w:eastAsia="IRNazanin" w:cs="IRNazanin"/>
          <w:lang w:bidi="fa-IR"/>
          <w:color w:val="111111"/>
          <w:sz w:val="28"/>
          <w:szCs w:val="28"/>
          <w:rtl/>
        </w:rPr>
        <w:t xml:space="preserve">،اللّهم إلّا أن یکون مراده بالشرط ما یتوقّف تأثیر السبب</w:t>
      </w:r>
    </w:p>
    <w:p>
      <w:pPr>
        <w:pStyle w:val="BookText"/>
      </w:pPr>
      <w:r>
        <w:rPr>
          <w:rFonts w:ascii="IRNazanin" w:hAnsi="IRNazanin" w:eastAsia="IRNazanin" w:cs="IRNazanin"/>
          <w:lang w:bidi="fa-IR"/>
          <w:color w:val="111111"/>
          <w:sz w:val="28"/>
          <w:szCs w:val="28"/>
          <w:rtl/>
        </w:rPr>
        <w:t xml:space="preserve">[شماره صفحه واقعی : 401]
</w:t>
      </w:r>
    </w:p>
    <w:p>
      <w:pPr>
        <w:sectPr>
          <w:footerReference w:type="default" r:id="rId10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المتقدّم فی زمانه علی لحوقه،و هذا مع أنّه لا یستحقّ إطلاق الشرط علیه،غیر صادق علی الرضا؛لأنّ المستفاد من العقل و النقل اعتبار رضا المالک فی انتقال ماله،و أنّه </w:t>
      </w:r>
      <w:r>
        <w:rPr>
          <w:rStyle w:val="FootnoteReference"/>
        </w:rPr>
        <w:footnoteReference w:id="3447"/>
      </w:r>
      <w:r>
        <w:rPr>
          <w:rFonts w:ascii="IRNazanin" w:hAnsi="IRNazanin" w:eastAsia="IRNazanin" w:cs="IRNazanin"/>
          <w:lang w:bidi="fa-IR"/>
          <w:color w:val="111111"/>
          <w:sz w:val="28"/>
          <w:szCs w:val="28"/>
          <w:rtl/>
        </w:rPr>
        <w:t xml:space="preserve">لا یحلّ لغیره بدون طیب النفس </w:t>
      </w:r>
      <w:r>
        <w:rPr>
          <w:rStyle w:val="FootnoteReference"/>
        </w:rPr>
        <w:footnoteReference w:id="3448"/>
      </w:r>
      <w:r>
        <w:rPr>
          <w:rFonts w:ascii="IRNazanin" w:hAnsi="IRNazanin" w:eastAsia="IRNazanin" w:cs="IRNazanin"/>
          <w:lang w:bidi="fa-IR"/>
          <w:color w:val="111111"/>
          <w:sz w:val="28"/>
          <w:szCs w:val="28"/>
          <w:rtl/>
        </w:rPr>
        <w:t xml:space="preserve">، و أنّه لا ینفع لحوقه فی حلّ تصرّف الغیر و انقطاع سلطنة المالک.</w:t>
      </w:r>
    </w:p>
    <w:p>
      <w:pPr>
        <w:pStyle w:val="BookText"/>
      </w:pPr>
      <w:r>
        <w:rPr>
          <w:rFonts w:ascii="IRNazanin" w:hAnsi="IRNazanin" w:eastAsia="IRNazanin" w:cs="IRNazanin"/>
          <w:lang w:bidi="fa-IR"/>
          <w:color w:val="111111"/>
          <w:sz w:val="28"/>
          <w:szCs w:val="28"/>
          <w:rtl/>
        </w:rPr>
        <w:t xml:space="preserve">و ممّا ذکرنا یظهر ضعف ما احتمله فی المقام بعض الأعلام </w:t>
      </w:r>
      <w:r>
        <w:rPr>
          <w:rStyle w:val="FootnoteReference"/>
        </w:rPr>
        <w:footnoteReference w:id="3449"/>
      </w:r>
      <w:r>
        <w:rPr>
          <w:rFonts w:ascii="IRNazanin" w:hAnsi="IRNazanin" w:eastAsia="IRNazanin" w:cs="IRNazanin"/>
          <w:lang w:bidi="fa-IR"/>
          <w:color w:val="111111"/>
          <w:sz w:val="28"/>
          <w:szCs w:val="28"/>
          <w:rtl/>
        </w:rPr>
        <w:t xml:space="preserve">-بل التزم به غیر واحد من المعاصرین </w:t>
      </w:r>
      <w:r>
        <w:rPr>
          <w:rStyle w:val="FootnoteReference"/>
        </w:rPr>
        <w:footnoteReference w:id="3450"/>
      </w:r>
      <w:r>
        <w:rPr>
          <w:rFonts w:ascii="IRNazanin" w:hAnsi="IRNazanin" w:eastAsia="IRNazanin" w:cs="IRNazanin"/>
          <w:lang w:bidi="fa-IR"/>
          <w:color w:val="111111"/>
          <w:sz w:val="28"/>
          <w:szCs w:val="28"/>
          <w:rtl/>
        </w:rPr>
        <w:t xml:space="preserve">-من أنّ معنی شرطیة الإجازة مع کونها کاشفة:شرطیة الوصف المنتزع منها،و هو کونها لاحقة للعقد فی المستقبل،فالعلّة التامّة:العقد الملحوق بالإجازة،و هذه صفة مقارنة للعقد و إن کان نفس الإجازة متأخّرة عنه.</w:t>
      </w:r>
    </w:p>
    <w:p>
      <w:pPr>
        <w:pStyle w:val="BookText"/>
      </w:pPr>
      <w:r>
        <w:rPr>
          <w:rFonts w:ascii="IRNazanin" w:hAnsi="IRNazanin" w:eastAsia="IRNazanin" w:cs="IRNazanin"/>
          <w:lang w:bidi="fa-IR"/>
          <w:color w:val="111111"/>
          <w:sz w:val="28"/>
          <w:szCs w:val="28"/>
          <w:rtl/>
        </w:rPr>
        <w:t xml:space="preserve">و قد التزم بعضهم </w:t>
      </w:r>
      <w:r>
        <w:rPr>
          <w:rStyle w:val="FootnoteReference"/>
        </w:rPr>
        <w:footnoteReference w:id="3451"/>
      </w:r>
      <w:r>
        <w:rPr>
          <w:rFonts w:ascii="IRNazanin" w:hAnsi="IRNazanin" w:eastAsia="IRNazanin" w:cs="IRNazanin"/>
          <w:lang w:bidi="fa-IR"/>
          <w:color w:val="111111"/>
          <w:sz w:val="28"/>
          <w:szCs w:val="28"/>
          <w:rtl/>
        </w:rPr>
        <w:t xml:space="preserve">بما </w:t>
      </w:r>
      <w:r>
        <w:rPr>
          <w:rStyle w:val="FootnoteReference"/>
        </w:rPr>
        <w:footnoteReference w:id="3452"/>
      </w:r>
      <w:r>
        <w:rPr>
          <w:rFonts w:ascii="IRNazanin" w:hAnsi="IRNazanin" w:eastAsia="IRNazanin" w:cs="IRNazanin"/>
          <w:lang w:bidi="fa-IR"/>
          <w:color w:val="111111"/>
          <w:sz w:val="28"/>
          <w:szCs w:val="28"/>
          <w:rtl/>
        </w:rPr>
        <w:t xml:space="preserve">یتفرّع علی هذا،من أنّه إذا علم المشتری أنّ المالک للمبیع سیجیز العقد،حلّ له التصرّف فیه بمجرّد العقد،و فیه ما لا یخفی من المخالفة للأدلّة.</w:t>
      </w:r>
    </w:p>
    <w:p>
      <w:pPr>
        <w:pStyle w:val="BookText"/>
      </w:pPr>
      <w:r>
        <w:rPr>
          <w:rFonts w:ascii="IRNazanin" w:hAnsi="IRNazanin" w:eastAsia="IRNazanin" w:cs="IRNazanin"/>
          <w:lang w:bidi="fa-IR"/>
          <w:color w:val="111111"/>
          <w:sz w:val="28"/>
          <w:szCs w:val="28"/>
          <w:rtl/>
        </w:rPr>
        <w:t xml:space="preserve">[شماره صفحه واقعی : 402]
</w:t>
      </w:r>
    </w:p>
    <w:p>
      <w:pPr>
        <w:sectPr>
          <w:footerReference w:type="default" r:id="rId10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یرد علی الوجه الثانی </w:t>
      </w:r>
      <w:r>
        <w:rPr>
          <w:rStyle w:val="FootnoteReference"/>
        </w:rPr>
        <w:footnoteReference w:id="34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أوّلاً:أنّ الإجازة و إن کانت رضاً بمضمون العقد،إلّا أنّ مضمون العقد لیس هو النقل من حینه حتّی یتعلّق الإجازة و الرضا بذلک النقل المقیّد بکونه فی ذلک الحال،بل هو نفس النقل مجرّداً عن ملاحظة وقوعه فی زمان،و إنّما الزمان من ضروریات إنشائه؛فإنّ قول العاقد:</w:t>
      </w:r>
    </w:p>
    <w:p>
      <w:pPr>
        <w:pStyle w:val="BookText"/>
      </w:pPr>
      <w:r>
        <w:rPr>
          <w:rFonts w:ascii="IRNazanin" w:hAnsi="IRNazanin" w:eastAsia="IRNazanin" w:cs="IRNazanin"/>
          <w:lang w:bidi="fa-IR"/>
          <w:color w:val="111111"/>
          <w:sz w:val="28"/>
          <w:szCs w:val="28"/>
          <w:rtl/>
        </w:rPr>
        <w:t xml:space="preserve">«بعت»لیس«نقلت من هذا الحین»و إن کان النقل المنشأ به واقعاً فی ذلک الحین،فالزمان ظرف للنقل لا قید له،فکما أنّ إنشاء مجرّد النقل الذی هو مضمون العقد فی زمان یوجب وقوعه من المنشئ فی ذلک الزمان،فکذلک إجازة ذلک النقل فی زمان یوجب وقوعه من المجیز فی زمان الإجازة،و کما أنّ الشارع إذا أمضی نفس العقد وقع النقل من زمانه،فکذلک إذا أمضی إجازة المالک وقع النقل من زمان </w:t>
      </w:r>
      <w:r>
        <w:rPr>
          <w:rStyle w:val="FootnoteReference"/>
        </w:rPr>
        <w:footnoteReference w:id="3454"/>
      </w:r>
      <w:r>
        <w:rPr>
          <w:rFonts w:ascii="Amiri" w:hAnsi="Amiri" w:eastAsia="Amiri" w:cs="Amiri"/>
          <w:lang w:bidi="ar-SA"/>
          <w:color w:val="111111"/>
          <w:sz w:val="28"/>
          <w:szCs w:val="28"/>
          <w:rtl/>
        </w:rPr>
        <w:t xml:space="preserve">الإجازة.</w:t>
      </w:r>
    </w:p>
    <w:p>
      <w:pPr>
        <w:pStyle w:val="BookText"/>
      </w:pPr>
      <w:r>
        <w:rPr>
          <w:rFonts w:ascii="IRNazanin" w:hAnsi="IRNazanin" w:eastAsia="IRNazanin" w:cs="IRNazanin"/>
          <w:lang w:bidi="fa-IR"/>
          <w:color w:val="111111"/>
          <w:sz w:val="28"/>
          <w:szCs w:val="28"/>
          <w:rtl/>
        </w:rPr>
        <w:t xml:space="preserve">و لأجل ما ذکرنا لم یکن مقتضی القبول وقوع الملک من زمان الإیجاب،مع أنّه لیس إلّا رضاً بمضمون الإیجاب،فلو کان مضمون الإیجاب النقل من حینه و کان القبول رضا بذلک،کان معنی إمضاء الشارع للعقد الحکم بترتّب الأثر من حین الإیجاب؛لأنّ الموجب ینقل من حینه،و القابل یتقبّل ذلک و یرضی به.</w:t>
      </w:r>
    </w:p>
    <w:p>
      <w:pPr>
        <w:pStyle w:val="BookText"/>
      </w:pPr>
      <w:r>
        <w:rPr>
          <w:rFonts w:ascii="IRNazanin" w:hAnsi="IRNazanin" w:eastAsia="IRNazanin" w:cs="IRNazanin"/>
          <w:lang w:bidi="fa-IR"/>
          <w:color w:val="111111"/>
          <w:sz w:val="28"/>
          <w:szCs w:val="28"/>
          <w:rtl/>
        </w:rPr>
        <w:t xml:space="preserve">و دعوی:أنّ العقد سبب للملک فلا یتقدّم علیه،مدفوعة:بأنّ سببیّته للملک لیست إلّا بمعنی إمضاء الشارع لمقتضاه،فإذا فرض</w:t>
      </w:r>
    </w:p>
    <w:p>
      <w:pPr>
        <w:pStyle w:val="BookText"/>
      </w:pPr>
      <w:r>
        <w:rPr>
          <w:rFonts w:ascii="IRNazanin" w:hAnsi="IRNazanin" w:eastAsia="IRNazanin" w:cs="IRNazanin"/>
          <w:lang w:bidi="fa-IR"/>
          <w:color w:val="111111"/>
          <w:sz w:val="28"/>
          <w:szCs w:val="28"/>
          <w:rtl/>
        </w:rPr>
        <w:t xml:space="preserve">[شماره صفحه واقعی : 403]
</w:t>
      </w:r>
    </w:p>
    <w:p>
      <w:pPr>
        <w:sectPr>
          <w:footerReference w:type="default" r:id="rId10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مقتضاه مرکّباً من نقل فی زمانٍ و رضا بذلک النقل،کان مقتضی العقد الملک بعد الإیجاب.</w:t>
      </w:r>
    </w:p>
    <w:p>
      <w:pPr>
        <w:pStyle w:val="BookText"/>
      </w:pPr>
      <w:r>
        <w:rPr>
          <w:rFonts w:ascii="IRNazanin" w:hAnsi="IRNazanin" w:eastAsia="IRNazanin" w:cs="IRNazanin"/>
          <w:lang w:bidi="fa-IR"/>
          <w:color w:val="111111"/>
          <w:sz w:val="28"/>
          <w:szCs w:val="28"/>
          <w:rtl/>
        </w:rPr>
        <w:t xml:space="preserve">و لأجل ما ذکرنا-أیضاً-لا یکون فسخ العقد إلّا انحلاله من زمانه،لا من زمان العقد؛فإنّ الفسخ نظیر الإجازة و الردّ لا یتعلّق إلّا بمضمون العقد و هو النقل من حینه،فلو کان زمان وقوع النقل مأخوذاً فی العقد علی وجه القیدیّة لکان ردّه و حلّه موجباً للحکم بعدم الآثار من حین العقد.</w:t>
      </w:r>
    </w:p>
    <w:p>
      <w:pPr>
        <w:pStyle w:val="BookText"/>
      </w:pPr>
      <w:r>
        <w:rPr>
          <w:rFonts w:ascii="IRNazanin" w:hAnsi="IRNazanin" w:eastAsia="IRNazanin" w:cs="IRNazanin"/>
          <w:lang w:bidi="fa-IR"/>
          <w:color w:val="111111"/>
          <w:sz w:val="28"/>
          <w:szCs w:val="28"/>
          <w:rtl/>
        </w:rPr>
        <w:t xml:space="preserve">[*ستوده]</w:t>
      </w:r>
    </w:p>
    <w:p>
      <w:pPr>
        <w:pStyle w:val="BookText"/>
      </w:pPr>
      <w:r>
        <w:rPr>
          <w:rFonts w:ascii="IRNazanin" w:hAnsi="IRNazanin" w:eastAsia="IRNazanin" w:cs="IRNazanin"/>
          <w:lang w:bidi="fa-IR"/>
          <w:color w:val="111111"/>
          <w:sz w:val="28"/>
          <w:szCs w:val="28"/>
          <w:rtl/>
        </w:rPr>
        <w:t xml:space="preserve">و السرّ فی جمیع ذلک ما ذکرنا:من عدم کون زمان النقل إلّا ظرفاً،فجمیع ما یتعلّق بالعقد من الإمضاء و الردّ و الفسخ،إنّما یتعلّق بنفس المضمون،دون المقیّد بذلک الزمان.</w:t>
      </w:r>
    </w:p>
    <w:p>
      <w:pPr>
        <w:pStyle w:val="BookText"/>
      </w:pPr>
      <w:r>
        <w:rPr>
          <w:rFonts w:ascii="IRNazanin" w:hAnsi="IRNazanin" w:eastAsia="IRNazanin" w:cs="IRNazanin"/>
          <w:lang w:bidi="fa-IR"/>
          <w:color w:val="111111"/>
          <w:sz w:val="28"/>
          <w:szCs w:val="28"/>
          <w:rtl/>
        </w:rPr>
        <w:t xml:space="preserve">و الحاصل:أنّه لا إشکال فی حصول الإجازة بقول المالک:</w:t>
      </w:r>
    </w:p>
    <w:p>
      <w:pPr>
        <w:pStyle w:val="BookText"/>
      </w:pPr>
      <w:r>
        <w:rPr>
          <w:rFonts w:ascii="IRNazanin" w:hAnsi="IRNazanin" w:eastAsia="IRNazanin" w:cs="IRNazanin"/>
          <w:lang w:bidi="fa-IR"/>
          <w:color w:val="111111"/>
          <w:sz w:val="28"/>
          <w:szCs w:val="28"/>
          <w:rtl/>
        </w:rPr>
        <w:t xml:space="preserve">«رضیت بکون مالی لزید بإزاء ماله»أو«رضیت بانتقال مالی إلی زید»و غیر ذلک من الألفاظ التی لا تعرّض فیها لإنشاء الفضولی فضلاً عن زمانه.کیف!و قد جعلوا تمکین الزوجة بالدخول علیها إجازة منها، و نحو ذلک،و من المعلوم:أنّ الرضا یتعلّق بنفس نتیجة العقد،من غیر ملاحظة زمان نقل الفضولی.</w:t>
      </w:r>
    </w:p>
    <w:p>
      <w:pPr>
        <w:pStyle w:val="BookText"/>
      </w:pPr>
      <w:r>
        <w:rPr>
          <w:rFonts w:ascii="IRNazanin" w:hAnsi="IRNazanin" w:eastAsia="IRNazanin" w:cs="IRNazanin"/>
          <w:lang w:bidi="fa-IR"/>
          <w:color w:val="111111"/>
          <w:sz w:val="28"/>
          <w:szCs w:val="28"/>
          <w:rtl/>
        </w:rPr>
        <w:t xml:space="preserve">و بتقریر آخر:أنّ الإجازة من المالک قائمة مقام رضاه و إذنه المقرون بإنشاء الفضولی أو مقام نفس إنشائه،فلا یصیر المالک بمنزلة العاقد إلّا بعد الإجازة،فهی إمّا شرط أو جزء سبب للملک.</w:t>
      </w:r>
    </w:p>
    <w:p>
      <w:pPr>
        <w:pStyle w:val="BookText"/>
      </w:pPr>
      <w:r>
        <w:rPr>
          <w:rFonts w:ascii="IRNazanin" w:hAnsi="IRNazanin" w:eastAsia="IRNazanin" w:cs="IRNazanin"/>
          <w:lang w:bidi="fa-IR"/>
          <w:color w:val="111111"/>
          <w:sz w:val="28"/>
          <w:szCs w:val="28"/>
          <w:rtl/>
        </w:rPr>
        <w:t xml:space="preserve">و بعبارة أُخری:المؤثّر هو العقد المرضیّ به،و المقیّد من حیث إنّه مقیّد لا یوجد إلّا بعد القید،و لا یکفی فی التأثیر وجود ذات المقیّد</w:t>
      </w:r>
    </w:p>
    <w:p>
      <w:pPr>
        <w:pStyle w:val="BookText"/>
      </w:pPr>
      <w:r>
        <w:rPr>
          <w:rFonts w:ascii="IRNazanin" w:hAnsi="IRNazanin" w:eastAsia="IRNazanin" w:cs="IRNazanin"/>
          <w:lang w:bidi="fa-IR"/>
          <w:color w:val="111111"/>
          <w:sz w:val="28"/>
          <w:szCs w:val="28"/>
          <w:rtl/>
        </w:rPr>
        <w:t xml:space="preserve">[شماره صفحه واقعی : 404]
</w:t>
      </w:r>
    </w:p>
    <w:p>
      <w:pPr>
        <w:sectPr>
          <w:footerReference w:type="default" r:id="rId10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المجرّدة </w:t>
      </w:r>
      <w:r>
        <w:rPr>
          <w:rStyle w:val="FootnoteReference"/>
        </w:rPr>
        <w:footnoteReference w:id="3455"/>
      </w:r>
      <w:r>
        <w:rPr>
          <w:rFonts w:ascii="IRNazanin" w:hAnsi="IRNazanin" w:eastAsia="IRNazanin" w:cs="IRNazanin"/>
          <w:lang w:bidi="fa-IR"/>
          <w:color w:val="111111"/>
          <w:sz w:val="28"/>
          <w:szCs w:val="28"/>
          <w:rtl/>
        </w:rPr>
        <w:t xml:space="preserve">عن القید.</w:t>
      </w:r>
    </w:p>
    <w:p>
      <w:pPr>
        <w:pStyle w:val="BookText"/>
      </w:pPr>
      <w:r>
        <w:rPr>
          <w:rFonts w:ascii="Amiri" w:hAnsi="Amiri" w:eastAsia="Amiri" w:cs="Amiri"/>
          <w:lang w:bidi="ar-SA"/>
          <w:color w:val="111111"/>
          <w:sz w:val="28"/>
          <w:szCs w:val="28"/>
          <w:rtl/>
        </w:rPr>
        <w:t xml:space="preserve">و ثانیاً:أنّا </w:t>
      </w:r>
      <w:r>
        <w:rPr>
          <w:rStyle w:val="FootnoteReference"/>
        </w:rPr>
        <w:footnoteReference w:id="3456"/>
      </w:r>
      <w:r>
        <w:rPr>
          <w:rFonts w:ascii="IRNazanin" w:hAnsi="IRNazanin" w:eastAsia="IRNazanin" w:cs="IRNazanin"/>
          <w:lang w:bidi="fa-IR"/>
          <w:color w:val="111111"/>
          <w:sz w:val="28"/>
          <w:szCs w:val="28"/>
          <w:rtl/>
        </w:rPr>
        <w:t xml:space="preserve">لو سلّمنا عدم کون الإجازة شرطاً اصطلاحیّاً لیؤخذ فیه تقدّمه علی المشروط،و لا جزء سبب،و إنّما هی من المالک محدثةٌ للتأثیر فی العقد السابق و جاعلةٌ له </w:t>
      </w:r>
      <w:r>
        <w:rPr>
          <w:rStyle w:val="FootnoteReference"/>
        </w:rPr>
        <w:footnoteReference w:id="3457"/>
      </w:r>
      <w:r>
        <w:rPr>
          <w:rFonts w:ascii="IRNazanin" w:hAnsi="IRNazanin" w:eastAsia="IRNazanin" w:cs="IRNazanin"/>
          <w:lang w:bidi="fa-IR"/>
          <w:color w:val="111111"/>
          <w:sz w:val="28"/>
          <w:szCs w:val="28"/>
          <w:rtl/>
        </w:rPr>
        <w:t xml:space="preserve">سبباً تامّاً حتّی کأنه وقع مؤثّراً،فیتفرّع علیه أنّ مجرّد رضا المالک بنتیجة العقد-أعنی محض الملکیّة من غیر التفات إلی وقوع عقد سابق-لیس </w:t>
      </w:r>
      <w:r>
        <w:rPr>
          <w:rStyle w:val="FootnoteReference"/>
        </w:rPr>
        <w:footnoteReference w:id="3458"/>
      </w:r>
      <w:r>
        <w:rPr>
          <w:rFonts w:ascii="IRNazanin" w:hAnsi="IRNazanin" w:eastAsia="IRNazanin" w:cs="IRNazanin"/>
          <w:lang w:bidi="fa-IR"/>
          <w:color w:val="111111"/>
          <w:sz w:val="28"/>
          <w:szCs w:val="28"/>
          <w:rtl/>
        </w:rPr>
        <w:t xml:space="preserve">بإجازة؛لأنّ معنی«إجازة العقد»:جعله جائزاً نافذاً ماضیاً،لکن نقول:لم یدلّ دلیل علی إمضاء الشارع لإجازة المالک علی هذا الوجه؛لأنّ وجوب الوفاء بالعقد تکلیف یتوجّه إلی العاقدین-کوجوب الوفاء بالعهد و النذر-و من المعلوم:أنّ المالک لا یصیر عاقداً أو بمنزلته إلّا بعد الإجازة فلا یجب الوفاء إلّا بعدها،و من المعلوم:أنّ الملک الشرعی یتبع الحکم الشرعی،فما لم یجب الوفاء فلا ملک.</w:t>
      </w:r>
    </w:p>
    <w:p>
      <w:pPr>
        <w:pStyle w:val="BookText"/>
      </w:pPr>
      <w:r>
        <w:rPr>
          <w:rFonts w:ascii="IRNazanin" w:hAnsi="IRNazanin" w:eastAsia="IRNazanin" w:cs="IRNazanin"/>
          <w:lang w:bidi="fa-IR"/>
          <w:color w:val="111111"/>
          <w:sz w:val="28"/>
          <w:szCs w:val="28"/>
          <w:rtl/>
        </w:rPr>
        <w:t xml:space="preserve">و ممّا ذکرنا یعلم:عدم صحّة الاستدلال للکشف بدلیل وجوب الوفاء بالعقود،بدعوی:أنّ الوفاء بالعقد و العمل بمقتضاه هو الالتزام </w:t>
      </w:r>
      <w:r>
        <w:rPr>
          <w:rStyle w:val="FootnoteReference"/>
        </w:rPr>
        <w:footnoteReference w:id="3459"/>
      </w:r>
    </w:p>
    <w:p>
      <w:pPr>
        <w:pStyle w:val="BookText"/>
      </w:pPr>
      <w:r>
        <w:rPr>
          <w:rFonts w:ascii="IRNazanin" w:hAnsi="IRNazanin" w:eastAsia="IRNazanin" w:cs="IRNazanin"/>
          <w:lang w:bidi="fa-IR"/>
          <w:color w:val="111111"/>
          <w:sz w:val="28"/>
          <w:szCs w:val="28"/>
          <w:rtl/>
        </w:rPr>
        <w:t xml:space="preserve">[شماره صفحه واقعی : 405]
</w:t>
      </w:r>
    </w:p>
    <w:p>
      <w:pPr>
        <w:sectPr>
          <w:footerReference w:type="default" r:id="rId10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بالنقل من حین العقد،و قس علی ذلک ما لو کان دلیل الملک عموم أَحَلَّ اللّٰهُ الْبَیْعَ </w:t>
      </w:r>
      <w:r>
        <w:rPr>
          <w:rStyle w:val="FootnoteReference"/>
        </w:rPr>
        <w:footnoteReference w:id="3460"/>
      </w:r>
      <w:r>
        <w:rPr>
          <w:rFonts w:ascii="Amiri" w:hAnsi="Amiri" w:eastAsia="Amiri" w:cs="Amiri"/>
          <w:lang w:bidi="ar-SA"/>
          <w:color w:val="111111"/>
          <w:sz w:val="28"/>
          <w:szCs w:val="28"/>
          <w:rtl/>
        </w:rPr>
        <w:t xml:space="preserve">فإنّ الملک ملزوم لحلّیة التصرّف </w:t>
      </w:r>
      <w:r>
        <w:rPr>
          <w:rStyle w:val="FootnoteReference"/>
        </w:rPr>
        <w:footnoteReference w:id="3461"/>
      </w:r>
      <w:r>
        <w:rPr>
          <w:rFonts w:ascii="IRNazanin" w:hAnsi="IRNazanin" w:eastAsia="IRNazanin" w:cs="IRNazanin"/>
          <w:lang w:bidi="fa-IR"/>
          <w:color w:val="111111"/>
          <w:sz w:val="28"/>
          <w:szCs w:val="28"/>
          <w:rtl/>
        </w:rPr>
        <w:t xml:space="preserve">،و قبل </w:t>
      </w:r>
      <w:r>
        <w:rPr>
          <w:rStyle w:val="FootnoteReference"/>
        </w:rPr>
        <w:footnoteReference w:id="3462"/>
      </w:r>
      <w:r>
        <w:rPr>
          <w:rFonts w:ascii="IRNazanin" w:hAnsi="IRNazanin" w:eastAsia="IRNazanin" w:cs="IRNazanin"/>
          <w:lang w:bidi="fa-IR"/>
          <w:color w:val="111111"/>
          <w:sz w:val="28"/>
          <w:szCs w:val="28"/>
          <w:rtl/>
        </w:rPr>
        <w:t xml:space="preserve">الإجازة لا یحلّ التصرّف،خصوصاً إذا علم عدم رضا المالک باطناً أو تردّده فی الفسخ و الإمضاء.</w:t>
      </w:r>
    </w:p>
    <w:p>
      <w:pPr>
        <w:pStyle w:val="BookText"/>
      </w:pPr>
      <w:r>
        <w:rPr>
          <w:rFonts w:ascii="IRNazanin" w:hAnsi="IRNazanin" w:eastAsia="IRNazanin" w:cs="IRNazanin"/>
          <w:lang w:bidi="fa-IR"/>
          <w:color w:val="111111"/>
          <w:sz w:val="28"/>
          <w:szCs w:val="28"/>
          <w:rtl/>
        </w:rPr>
        <w:t xml:space="preserve">و ثالثاً:سلّمنا دلالة الدلیل علی إمضاء الشارع لإجازة المالک علی طبق مفهومها اللغوی و العرفی-أعنی جعل العقد السابق جائزاً ماضیاً- بتقریب أن یقال:إنّ معنی الوفاء بالعقد:العمل بمقتضاه و مؤدّاه العرفی، فإذا صار العقد بالإجازة </w:t>
      </w:r>
      <w:r>
        <w:rPr>
          <w:rStyle w:val="FootnoteReference"/>
        </w:rPr>
        <w:footnoteReference w:id="3463"/>
      </w:r>
      <w:r>
        <w:rPr>
          <w:rFonts w:ascii="IRNazanin" w:hAnsi="IRNazanin" w:eastAsia="IRNazanin" w:cs="IRNazanin"/>
          <w:lang w:bidi="fa-IR"/>
          <w:color w:val="111111"/>
          <w:sz w:val="28"/>
          <w:szCs w:val="28"/>
          <w:rtl/>
        </w:rPr>
        <w:t xml:space="preserve">کأنه </w:t>
      </w:r>
      <w:r>
        <w:rPr>
          <w:rStyle w:val="FootnoteReference"/>
        </w:rPr>
        <w:footnoteReference w:id="3464"/>
      </w:r>
      <w:r>
        <w:rPr>
          <w:rFonts w:ascii="Amiri" w:hAnsi="Amiri" w:eastAsia="Amiri" w:cs="Amiri"/>
          <w:lang w:bidi="ar-SA"/>
          <w:color w:val="111111"/>
          <w:sz w:val="28"/>
          <w:szCs w:val="28"/>
          <w:rtl/>
        </w:rPr>
        <w:t xml:space="preserve">وقع مؤثّراً ماضیاً </w:t>
      </w:r>
      <w:r>
        <w:rPr>
          <w:rStyle w:val="FootnoteReference"/>
        </w:rPr>
        <w:footnoteReference w:id="3465"/>
      </w:r>
      <w:r>
        <w:rPr>
          <w:rFonts w:ascii="IRNazanin" w:hAnsi="IRNazanin" w:eastAsia="IRNazanin" w:cs="IRNazanin"/>
          <w:lang w:bidi="fa-IR"/>
          <w:color w:val="111111"/>
          <w:sz w:val="28"/>
          <w:szCs w:val="28"/>
          <w:rtl/>
        </w:rPr>
        <w:t xml:space="preserve">،کان مقتضی العقد المُجاز عرفاً ترتّب الآثار من حینه،فیجب شرعاً العمل به علی هذا الوجه.</w:t>
      </w:r>
    </w:p>
    <w:p>
      <w:pPr>
        <w:pStyle w:val="BookText"/>
      </w:pPr>
      <w:r>
        <w:rPr>
          <w:rFonts w:ascii="IRNazanin" w:hAnsi="IRNazanin" w:eastAsia="IRNazanin" w:cs="IRNazanin"/>
          <w:lang w:bidi="fa-IR"/>
          <w:color w:val="111111"/>
          <w:sz w:val="28"/>
          <w:szCs w:val="28"/>
          <w:rtl/>
        </w:rPr>
        <w:t xml:space="preserve">لکن نقول بعد الإغماض عن أنّ مجرّد کون الإجازة بمعنی جعل العقد السابق جائزاً نافذاً،لا یوجب کون مقتضی العقد و مؤدّاه العرفی ترتّب الأثر من حین العقد،کما أنّ کون مفهوم القبول رضا بمفهوم الإیجاب و إمضاءً </w:t>
      </w:r>
      <w:r>
        <w:rPr>
          <w:rStyle w:val="FootnoteReference"/>
        </w:rPr>
        <w:footnoteReference w:id="3466"/>
      </w:r>
      <w:r>
        <w:rPr>
          <w:rFonts w:ascii="IRNazanin" w:hAnsi="IRNazanin" w:eastAsia="IRNazanin" w:cs="IRNazanin"/>
          <w:lang w:bidi="fa-IR"/>
          <w:color w:val="111111"/>
          <w:sz w:val="28"/>
          <w:szCs w:val="28"/>
          <w:rtl/>
        </w:rPr>
        <w:t xml:space="preserve">له لا یوجب ذلک،حتّی یکون مقتضی الوفاء بالعقد</w:t>
      </w:r>
    </w:p>
    <w:p>
      <w:pPr>
        <w:pStyle w:val="BookText"/>
      </w:pPr>
      <w:r>
        <w:rPr>
          <w:rFonts w:ascii="IRNazanin" w:hAnsi="IRNazanin" w:eastAsia="IRNazanin" w:cs="IRNazanin"/>
          <w:lang w:bidi="fa-IR"/>
          <w:color w:val="111111"/>
          <w:sz w:val="28"/>
          <w:szCs w:val="28"/>
          <w:rtl/>
        </w:rPr>
        <w:t xml:space="preserve">[شماره صفحه واقعی : 406]
</w:t>
      </w:r>
    </w:p>
    <w:p>
      <w:pPr>
        <w:sectPr>
          <w:footerReference w:type="default" r:id="rId10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ترتیب الآثار من حین الإیجاب،فتأمّل-:</w:t>
      </w:r>
    </w:p>
    <w:p>
      <w:pPr>
        <w:pStyle w:val="BookText"/>
      </w:pPr>
      <w:r>
        <w:rPr>
          <w:rFonts w:ascii="Amiri" w:hAnsi="Amiri" w:eastAsia="Amiri" w:cs="Amiri"/>
          <w:lang w:bidi="ar-SA"/>
          <w:color w:val="111111"/>
          <w:sz w:val="28"/>
          <w:szCs w:val="28"/>
          <w:rtl/>
        </w:rPr>
        <w:t xml:space="preserve">إنّ </w:t>
      </w:r>
      <w:r>
        <w:rPr>
          <w:rStyle w:val="FootnoteReference"/>
        </w:rPr>
        <w:footnoteReference w:id="3467"/>
      </w:r>
      <w:r>
        <w:rPr>
          <w:rFonts w:ascii="IRNazanin" w:hAnsi="IRNazanin" w:eastAsia="IRNazanin" w:cs="IRNazanin"/>
          <w:lang w:bidi="fa-IR"/>
          <w:color w:val="111111"/>
          <w:sz w:val="28"/>
          <w:szCs w:val="28"/>
          <w:rtl/>
        </w:rPr>
        <w:t xml:space="preserve">هذا المعنی علی حقیقته غیر معقول؛لأنّ العقد الموجود علی صفة عدم التأثیر یستحیل لحوق صفة التأثیر له؛لاستحالة خروج الشیء عمّا وقع علیه،فإذا دلّ الدلیل الشرعی علی إمضاء الإجازة علی هذا الوجه الغیر المعقول،فلا بدّ من صرفه بدلالة الاقتضاء إلی إرادة معاملة العقد بعد الإجازة معاملة العقد الواقع مؤثّراً من حیث ترتّب الآثار الممکنة،فإذا أجاز المالک حَکمنا بانتقال نماء المبیع بعد العقد إلی المشتری و إن کان أصل الملک قبل الإجازة للمالک و وقع النماء فی ملکه.</w:t>
      </w:r>
    </w:p>
    <w:p>
      <w:pPr>
        <w:pStyle w:val="BookText"/>
      </w:pPr>
      <w:r>
        <w:rPr>
          <w:rFonts w:ascii="IRNazanin" w:hAnsi="IRNazanin" w:eastAsia="IRNazanin" w:cs="IRNazanin"/>
          <w:lang w:bidi="fa-IR"/>
          <w:color w:val="111111"/>
          <w:sz w:val="28"/>
          <w:szCs w:val="28"/>
          <w:rtl/>
        </w:rPr>
        <w:t xml:space="preserve">[*ستوده]</w:t>
      </w:r>
    </w:p>
    <w:p>
      <w:pPr>
        <w:pStyle w:val="BookText"/>
      </w:pPr>
      <w:r>
        <w:rPr>
          <w:rFonts w:ascii="IRNazanin" w:hAnsi="IRNazanin" w:eastAsia="IRNazanin" w:cs="IRNazanin"/>
          <w:lang w:bidi="fa-IR"/>
          <w:color w:val="111111"/>
          <w:sz w:val="28"/>
          <w:szCs w:val="28"/>
          <w:rtl/>
        </w:rPr>
        <w:t xml:space="preserve">و الحاصل:أنّه یعامل بعد الإجازة معاملةَ العقد الواقع مؤثّراً من حینه بالنسبة إلی ما أمکن من الآثار،و هذا نقل حقیقیّ فی حکم الکشف من بعض الجهات،و سیأتی الثمرة بینه و بین الکشف الحقیقی </w:t>
      </w:r>
      <w:r>
        <w:rPr>
          <w:rStyle w:val="FootnoteReference"/>
        </w:rPr>
        <w:footnoteReference w:id="34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لم أعرف من قال بهذا الوجه من الکشف إلّا الأُستاذ شریف العلماء قدّس سرّه فیما عثرت علیه من بعض تحقیقاته،و إلّا فظاهر کلام القائلین بالکشف أنّ الانتقال فی زمان العقد؛و لذا عنون العلّامة رحمه اللّه فی القواعد مسألة الکشف و النقل بقوله:«و فی زمان الانتقال إشکال» </w:t>
      </w:r>
      <w:r>
        <w:rPr>
          <w:rStyle w:val="FootnoteReference"/>
        </w:rPr>
        <w:footnoteReference w:id="34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فجعل النزاع فی هذه المسألة نزاعاً فی زمان الانتقال.</w:t>
      </w:r>
    </w:p>
    <w:p>
      <w:pPr>
        <w:pStyle w:val="BookText"/>
      </w:pPr>
      <w:r>
        <w:rPr>
          <w:rFonts w:ascii="IRNazanin" w:hAnsi="IRNazanin" w:eastAsia="IRNazanin" w:cs="IRNazanin"/>
          <w:lang w:bidi="fa-IR"/>
          <w:color w:val="111111"/>
          <w:sz w:val="28"/>
          <w:szCs w:val="28"/>
          <w:rtl/>
        </w:rPr>
        <w:t xml:space="preserve">[شماره صفحه واقعی : 407]
</w:t>
      </w:r>
    </w:p>
    <w:p>
      <w:pPr>
        <w:sectPr>
          <w:footerReference w:type="default" r:id="rId1086"/>
          <w:footnotePr>
            <w:numStart w:val="1"/>
            <w:numRestart w:val="eachPage"/>
          </w:footnotePr>
          <w:pgSz w:orient="portrait" w:w="11905.511811023622" w:h="16837.79527559055"/>
          <w:pgMar w:top="1440" w:right="1440" w:bottom="1440" w:left="1440" w:header="720" w:footer="720" w:gutter="0"/>
          <w:cols w:num="1" w:space="720"/>
        </w:sectPr>
      </w:pPr>
    </w:p>
    <w:bookmarkStart w:id="650" w:name="pg14411_143468"/>
    <w:bookmarkEnd w:id="650"/>
    <w:p>
      <w:pPr>
        <w:pStyle w:val="Heading6"/>
      </w:pPr>
      <w:bookmarkStart w:id="2293" w:name="_Toc1328"/>
      <w:r>
        <w:t>[معانی الکشف]</w:t>
      </w:r>
      <w:bookmarkEnd w:id="2293"/>
    </w:p>
    <w:p>
      <w:pPr>
        <w:pStyle w:val="BookText"/>
      </w:pPr>
      <w:r>
        <w:rPr>
          <w:rFonts w:ascii="IRNazanin" w:hAnsi="IRNazanin" w:eastAsia="IRNazanin" w:cs="IRNazanin"/>
          <w:lang w:bidi="fa-IR"/>
          <w:color w:val="111111"/>
          <w:sz w:val="28"/>
          <w:szCs w:val="28"/>
          <w:rtl/>
        </w:rPr>
        <w:t xml:space="preserve">و قد تحصّل ممّا ذکرنا:أنّ کاشفیة الإجازة علی وجوه ثلاثة،قال بکلٍّ </w:t>
      </w:r>
      <w:r>
        <w:rPr>
          <w:rStyle w:val="FootnoteReference"/>
        </w:rPr>
        <w:footnoteReference w:id="3470"/>
      </w:r>
      <w:r>
        <w:rPr>
          <w:rFonts w:ascii="IRNazanin" w:hAnsi="IRNazanin" w:eastAsia="IRNazanin" w:cs="IRNazanin"/>
          <w:lang w:bidi="fa-IR"/>
          <w:color w:val="111111"/>
          <w:sz w:val="28"/>
          <w:szCs w:val="28"/>
          <w:rtl/>
        </w:rPr>
        <w:t xml:space="preserve">منها قائل:</w:t>
      </w:r>
    </w:p>
    <w:p>
      <w:pPr>
        <w:pStyle w:val="BookText"/>
      </w:pPr>
      <w:r>
        <w:rPr>
          <w:rFonts w:ascii="IRNazanin" w:hAnsi="IRNazanin" w:eastAsia="IRNazanin" w:cs="IRNazanin"/>
          <w:lang w:bidi="fa-IR"/>
          <w:color w:val="111111"/>
          <w:sz w:val="28"/>
          <w:szCs w:val="28"/>
          <w:rtl/>
        </w:rPr>
        <w:t xml:space="preserve">أحدها-و هو المشهور-:الکشف الحقیقی و التزام کون الإجازة فیها شرطاً متأخّراً؛و لذا اعترضهم </w:t>
      </w:r>
      <w:r>
        <w:rPr>
          <w:rStyle w:val="FootnoteReference"/>
        </w:rPr>
        <w:footnoteReference w:id="3471"/>
      </w:r>
      <w:r>
        <w:rPr>
          <w:rFonts w:ascii="IRNazanin" w:hAnsi="IRNazanin" w:eastAsia="IRNazanin" w:cs="IRNazanin"/>
          <w:lang w:bidi="fa-IR"/>
          <w:color w:val="111111"/>
          <w:sz w:val="28"/>
          <w:szCs w:val="28"/>
          <w:rtl/>
        </w:rPr>
        <w:t xml:space="preserve">جمال المحقّقین فی حاشیته علی الروضة </w:t>
      </w:r>
      <w:r>
        <w:rPr>
          <w:rStyle w:val="FootnoteReference"/>
        </w:rPr>
        <w:footnoteReference w:id="3472"/>
      </w:r>
      <w:r>
        <w:rPr>
          <w:rFonts w:ascii="Amiri" w:hAnsi="Amiri" w:eastAsia="Amiri" w:cs="Amiri"/>
          <w:lang w:bidi="ar-SA"/>
          <w:color w:val="111111"/>
          <w:sz w:val="28"/>
          <w:szCs w:val="28"/>
          <w:rtl/>
        </w:rPr>
        <w:t xml:space="preserve">بأنّ الشرط لا یتأخّر </w:t>
      </w:r>
      <w:r>
        <w:rPr>
          <w:rStyle w:val="FootnoteReference"/>
        </w:rPr>
        <w:footnoteReference w:id="34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الثانی:الکشف الحقیقی و التزام کون الشرط تعقّب العقد بالإجازة لا نفس الإجازة؛فراراً عن لزوم تأخّر الشرط عن المشروط،و التزم بعضهم بجواز التصرّف قبل الإجازة لو علم تحقّقها فیما بعد </w:t>
      </w:r>
      <w:r>
        <w:rPr>
          <w:rStyle w:val="FootnoteReference"/>
        </w:rPr>
        <w:footnoteReference w:id="34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الثالث:الکشف الحکمی،و هو إجراء أحکام الکشف بقدر الإمکان مع عدم تحقّق الملک فی الواقع إلّا بعد الإجازة.</w:t>
      </w:r>
    </w:p>
    <w:p>
      <w:pPr>
        <w:pStyle w:val="BookText"/>
      </w:pPr>
      <w:r>
        <w:rPr>
          <w:rFonts w:ascii="IRNazanin" w:hAnsi="IRNazanin" w:eastAsia="IRNazanin" w:cs="IRNazanin"/>
          <w:lang w:bidi="fa-IR"/>
          <w:color w:val="111111"/>
          <w:sz w:val="28"/>
          <w:szCs w:val="28"/>
          <w:rtl/>
        </w:rPr>
        <w:t xml:space="preserve">و قد تبیّن من تضاعیف کلماتنا:أنّ الأنسب بالقواعد و العمومات هو النقل،ثمّ بعده الکشف الحکمی،و أمّا الکشف الحقیقی مع کون نفس الإجازة من الشروط،فإتمامه بالقواعد فی غایة الإشکال؛و لذا استشکل فیه العلّامة فی القواعد </w:t>
      </w:r>
      <w:r>
        <w:rPr>
          <w:rStyle w:val="FootnoteReference"/>
        </w:rPr>
        <w:footnoteReference w:id="3475"/>
      </w:r>
      <w:r>
        <w:rPr>
          <w:rFonts w:ascii="IRNazanin" w:hAnsi="IRNazanin" w:eastAsia="IRNazanin" w:cs="IRNazanin"/>
          <w:lang w:bidi="fa-IR"/>
          <w:color w:val="111111"/>
          <w:sz w:val="28"/>
          <w:szCs w:val="28"/>
          <w:rtl/>
        </w:rPr>
        <w:t xml:space="preserve">و لم یرجّحه المحقّق الثانی فی حاشیة الإرشاد </w:t>
      </w:r>
      <w:r>
        <w:rPr>
          <w:rStyle w:val="FootnoteReference"/>
        </w:rPr>
        <w:footnoteReference w:id="3476"/>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408]
</w:t>
      </w:r>
    </w:p>
    <w:p>
      <w:pPr>
        <w:sectPr>
          <w:footerReference w:type="default" r:id="rId10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 عن الإیضاح اختیار خلافه </w:t>
      </w:r>
      <w:r>
        <w:rPr>
          <w:rStyle w:val="FootnoteReference"/>
        </w:rPr>
        <w:footnoteReference w:id="3477"/>
      </w:r>
      <w:r>
        <w:rPr>
          <w:rFonts w:ascii="IRNazanin" w:hAnsi="IRNazanin" w:eastAsia="IRNazanin" w:cs="IRNazanin"/>
          <w:lang w:bidi="fa-IR"/>
          <w:color w:val="111111"/>
          <w:sz w:val="28"/>
          <w:szCs w:val="28"/>
          <w:rtl/>
        </w:rPr>
        <w:t xml:space="preserve">،تبعاً للمحکی عن کاشف الرموز </w:t>
      </w:r>
      <w:r>
        <w:rPr>
          <w:rStyle w:val="FootnoteReference"/>
        </w:rPr>
        <w:footnoteReference w:id="3478"/>
      </w:r>
      <w:r>
        <w:rPr>
          <w:rFonts w:ascii="IRNazanin" w:hAnsi="IRNazanin" w:eastAsia="IRNazanin" w:cs="IRNazanin"/>
          <w:lang w:bidi="fa-IR"/>
          <w:color w:val="111111"/>
          <w:sz w:val="28"/>
          <w:szCs w:val="28"/>
          <w:rtl/>
        </w:rPr>
        <w:t xml:space="preserve">و قوّاه فی مجمع البرهان </w:t>
      </w:r>
      <w:r>
        <w:rPr>
          <w:rStyle w:val="FootnoteReference"/>
        </w:rPr>
        <w:footnoteReference w:id="3479"/>
      </w:r>
      <w:r>
        <w:rPr>
          <w:rFonts w:ascii="IRNazanin" w:hAnsi="IRNazanin" w:eastAsia="IRNazanin" w:cs="IRNazanin"/>
          <w:lang w:bidi="fa-IR"/>
          <w:color w:val="111111"/>
          <w:sz w:val="28"/>
          <w:szCs w:val="28"/>
          <w:rtl/>
        </w:rPr>
        <w:t xml:space="preserve">،و تبعهم کاشف اللثام فی النکاح </w:t>
      </w:r>
      <w:r>
        <w:rPr>
          <w:rStyle w:val="FootnoteReference"/>
        </w:rPr>
        <w:footnoteReference w:id="34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بحسب القواعد و العمومات،و أمّا الأخبار،فالظاهر من صحیحة محمد بن قیس </w:t>
      </w:r>
      <w:r>
        <w:rPr>
          <w:rStyle w:val="FootnoteReference"/>
        </w:rPr>
        <w:footnoteReference w:id="3481"/>
      </w:r>
      <w:r>
        <w:rPr>
          <w:rFonts w:ascii="IRNazanin" w:hAnsi="IRNazanin" w:eastAsia="IRNazanin" w:cs="IRNazanin"/>
          <w:lang w:bidi="fa-IR"/>
          <w:color w:val="111111"/>
          <w:sz w:val="28"/>
          <w:szCs w:val="28"/>
          <w:rtl/>
        </w:rPr>
        <w:t xml:space="preserve">:الکشف-کما صرّح به فی الدروس </w:t>
      </w:r>
      <w:r>
        <w:rPr>
          <w:rStyle w:val="FootnoteReference"/>
        </w:rPr>
        <w:footnoteReference w:id="3482"/>
      </w:r>
      <w:r>
        <w:rPr>
          <w:rFonts w:ascii="IRNazanin" w:hAnsi="IRNazanin" w:eastAsia="IRNazanin" w:cs="IRNazanin"/>
          <w:lang w:bidi="fa-IR"/>
          <w:color w:val="111111"/>
          <w:sz w:val="28"/>
          <w:szCs w:val="28"/>
          <w:rtl/>
        </w:rPr>
        <w:t xml:space="preserve">-و کذا الأخبار التی بعدها </w:t>
      </w:r>
      <w:r>
        <w:rPr>
          <w:rStyle w:val="FootnoteReference"/>
        </w:rPr>
        <w:footnoteReference w:id="3483"/>
      </w:r>
      <w:r>
        <w:rPr>
          <w:rFonts w:ascii="IRNazanin" w:hAnsi="IRNazanin" w:eastAsia="IRNazanin" w:cs="IRNazanin"/>
          <w:lang w:bidi="fa-IR"/>
          <w:color w:val="111111"/>
          <w:sz w:val="28"/>
          <w:szCs w:val="28"/>
          <w:rtl/>
        </w:rPr>
        <w:t xml:space="preserve">،لکن لا ظهور فیها للکشف بالمعنی المشهور،فتحتمل الکشف الحکمی.</w:t>
      </w:r>
    </w:p>
    <w:p>
      <w:pPr>
        <w:pStyle w:val="BookText"/>
      </w:pPr>
      <w:r>
        <w:rPr>
          <w:rFonts w:ascii="IRNazanin" w:hAnsi="IRNazanin" w:eastAsia="IRNazanin" w:cs="IRNazanin"/>
          <w:lang w:bidi="fa-IR"/>
          <w:color w:val="111111"/>
          <w:sz w:val="28"/>
          <w:szCs w:val="28"/>
          <w:rtl/>
        </w:rPr>
        <w:t xml:space="preserve">نعم،صحیحة أبی عبیدة-الواردة فی تزویج الصغیرین فضولاً، الآمرة بعزل المیراث من الزوج المدرک الذی أجاز فمات،للزوجة الغیر المدرکة حتّی تدرک و تحلف </w:t>
      </w:r>
      <w:r>
        <w:rPr>
          <w:rStyle w:val="FootnoteReference"/>
        </w:rPr>
        <w:footnoteReference w:id="3484"/>
      </w:r>
      <w:r>
        <w:rPr>
          <w:rFonts w:ascii="IRNazanin" w:hAnsi="IRNazanin" w:eastAsia="IRNazanin" w:cs="IRNazanin"/>
          <w:lang w:bidi="fa-IR"/>
          <w:color w:val="111111"/>
          <w:sz w:val="28"/>
          <w:szCs w:val="28"/>
          <w:rtl/>
        </w:rPr>
        <w:t xml:space="preserve">-ظاهرة فی قول الکشف؛إذ لو کان مال المیّت قبل إجازة الزوجة باقیة </w:t>
      </w:r>
      <w:r>
        <w:rPr>
          <w:rStyle w:val="FootnoteReference"/>
        </w:rPr>
        <w:footnoteReference w:id="3485"/>
      </w:r>
      <w:r>
        <w:rPr>
          <w:rFonts w:ascii="IRNazanin" w:hAnsi="IRNazanin" w:eastAsia="IRNazanin" w:cs="IRNazanin"/>
          <w:lang w:bidi="fa-IR"/>
          <w:color w:val="111111"/>
          <w:sz w:val="28"/>
          <w:szCs w:val="28"/>
          <w:rtl/>
        </w:rPr>
        <w:t xml:space="preserve">علی ملک سائر الورثة،کان العزل</w:t>
      </w:r>
    </w:p>
    <w:p>
      <w:pPr>
        <w:pStyle w:val="BookText"/>
      </w:pPr>
      <w:r>
        <w:rPr>
          <w:rFonts w:ascii="IRNazanin" w:hAnsi="IRNazanin" w:eastAsia="IRNazanin" w:cs="IRNazanin"/>
          <w:lang w:bidi="fa-IR"/>
          <w:color w:val="111111"/>
          <w:sz w:val="28"/>
          <w:szCs w:val="28"/>
          <w:rtl/>
        </w:rPr>
        <w:t xml:space="preserve">[شماره صفحه واقعی : 409]
</w:t>
      </w:r>
    </w:p>
    <w:p>
      <w:pPr>
        <w:sectPr>
          <w:footerReference w:type="default" r:id="rId10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مخالفاً لقاعدة«تسلّط الناس علی أموالهم»،فإطلاق الحکم بالعزل منضمّاً إلی عموم«الناس مسلّطون علی أموالهم» </w:t>
      </w:r>
      <w:r>
        <w:rPr>
          <w:rStyle w:val="FootnoteReference"/>
        </w:rPr>
        <w:footnoteReference w:id="3486"/>
      </w:r>
      <w:r>
        <w:rPr>
          <w:rFonts w:ascii="IRNazanin" w:hAnsi="IRNazanin" w:eastAsia="IRNazanin" w:cs="IRNazanin"/>
          <w:lang w:bidi="fa-IR"/>
          <w:color w:val="111111"/>
          <w:sz w:val="28"/>
          <w:szCs w:val="28"/>
          <w:rtl/>
        </w:rPr>
        <w:t xml:space="preserve">یفید أنّ العزل لاحتمال کون الزوجة الغیر المدرکة وارثةً فی الواقع،فکأنه احتیاط فی الأموال قد غلّبه الشارع علی أصالة عدم الإجازة،کعزل نصیب الحمل و جعله أکثر ما یُحتمل.</w:t>
      </w:r>
    </w:p>
    <w:p>
      <w:pPr>
        <w:pStyle w:val="BookText"/>
      </w:pPr>
      <w:r>
        <w:rPr>
          <w:rFonts w:ascii="IRNazanin" w:hAnsi="IRNazanin" w:eastAsia="IRNazanin" w:cs="IRNazanin"/>
          <w:lang w:bidi="fa-IR"/>
          <w:color w:val="111111"/>
          <w:sz w:val="28"/>
          <w:szCs w:val="28"/>
          <w:rtl/>
        </w:rPr>
        <w:t xml:space="preserve">بقی الکلام فی بیان الثمرة بین الکشف-باحتمالاته-و النقل.</w:t>
      </w:r>
    </w:p>
    <w:p>
      <w:pPr>
        <w:pStyle w:val="BookText"/>
      </w:pPr>
      <w:r>
        <w:rPr>
          <w:rFonts w:ascii="IRNazanin" w:hAnsi="IRNazanin" w:eastAsia="IRNazanin" w:cs="IRNazanin"/>
          <w:lang w:bidi="fa-IR"/>
          <w:color w:val="111111"/>
          <w:sz w:val="28"/>
          <w:szCs w:val="28"/>
          <w:rtl/>
        </w:rPr>
        <w:t xml:space="preserve">فنقول: أمّا الثمرة علی الکشف الحقیقی،بین کون نفس الإجازة شرطاً،و کون الشرط تعقّب العقد بها و لحوقها له،فقد یظهر فی جواز تصرّف کلٍّ منهما فیما انتقل إلیه بإنشاء الفضولی إذا علم إجازة المالک فیما بعد.</w:t>
      </w:r>
    </w:p>
    <w:p>
      <w:pPr>
        <w:pStyle w:val="BookText"/>
      </w:pPr>
      <w:r>
        <w:rPr>
          <w:rFonts w:ascii="IRNazanin" w:hAnsi="IRNazanin" w:eastAsia="IRNazanin" w:cs="IRNazanin"/>
          <w:lang w:bidi="fa-IR"/>
          <w:color w:val="111111"/>
          <w:sz w:val="28"/>
          <w:szCs w:val="28"/>
          <w:rtl/>
        </w:rPr>
        <w:t xml:space="preserve">و أمّا الثمرة بین الکشف الحقیقی و الحکمی مع کون نفس الإجازة شرطاً،یظهر </w:t>
      </w:r>
      <w:r>
        <w:rPr>
          <w:rStyle w:val="FootnoteReference"/>
        </w:rPr>
        <w:footnoteReference w:id="3487"/>
      </w:r>
      <w:r>
        <w:rPr>
          <w:rFonts w:ascii="IRNazanin" w:hAnsi="IRNazanin" w:eastAsia="IRNazanin" w:cs="IRNazanin"/>
          <w:lang w:bidi="fa-IR"/>
          <w:color w:val="111111"/>
          <w:sz w:val="28"/>
          <w:szCs w:val="28"/>
          <w:rtl/>
        </w:rPr>
        <w:t xml:space="preserve">فی مثل ما إذا وطئ المشتری الجاریة قبل إجازة مالکها فأجاز،فإنّ الوطء علی الکشف الحقیقی حرام ظاهراً؛لأصالة عدم الإجازة،حلال واقعاً؛لکشف الإجازة عن وقوعه فی ملکه.</w:t>
      </w:r>
    </w:p>
    <w:p>
      <w:pPr>
        <w:pStyle w:val="BookText"/>
      </w:pPr>
      <w:r>
        <w:rPr>
          <w:rFonts w:ascii="IRNazanin" w:hAnsi="IRNazanin" w:eastAsia="IRNazanin" w:cs="IRNazanin"/>
          <w:lang w:bidi="fa-IR"/>
          <w:color w:val="111111"/>
          <w:sz w:val="28"/>
          <w:szCs w:val="28"/>
          <w:rtl/>
        </w:rPr>
        <w:t xml:space="preserve">[*ستوده]</w:t>
      </w:r>
    </w:p>
    <w:p>
      <w:pPr>
        <w:pStyle w:val="BookText"/>
      </w:pPr>
      <w:r>
        <w:rPr>
          <w:rFonts w:ascii="IRNazanin" w:hAnsi="IRNazanin" w:eastAsia="IRNazanin" w:cs="IRNazanin"/>
          <w:lang w:bidi="fa-IR"/>
          <w:color w:val="111111"/>
          <w:sz w:val="28"/>
          <w:szCs w:val="28"/>
          <w:rtl/>
        </w:rPr>
        <w:t xml:space="preserve">و لو أولدها صارت أُمّ ولد علی الکشف الحقیقی و الحکمی؛لأنّ مقتضی جعل العقد الواقع ماضیاً:ترتّب حکم وقوع الوطء فی الملک، و یحتمل عدم تحقّق الاستیلاد علی الحکمی؛لعدم تحقّق حدوث الولد فی الملک و إن حکم بملکیّته للمشتری بعد ذلک.</w:t>
      </w:r>
    </w:p>
    <w:p>
      <w:pPr>
        <w:pStyle w:val="BookText"/>
      </w:pPr>
      <w:r>
        <w:rPr>
          <w:rFonts w:ascii="IRNazanin" w:hAnsi="IRNazanin" w:eastAsia="IRNazanin" w:cs="IRNazanin"/>
          <w:lang w:bidi="fa-IR"/>
          <w:color w:val="111111"/>
          <w:sz w:val="28"/>
          <w:szCs w:val="28"/>
          <w:rtl/>
        </w:rPr>
        <w:t xml:space="preserve">[شماره صفحه واقعی : 410]
</w:t>
      </w:r>
    </w:p>
    <w:p>
      <w:pPr>
        <w:sectPr>
          <w:footerReference w:type="default" r:id="rId1089"/>
          <w:footnotePr>
            <w:numStart w:val="1"/>
            <w:numRestart w:val="eachPage"/>
          </w:footnotePr>
          <w:pgSz w:orient="portrait" w:w="11905.511811023622" w:h="16837.79527559055"/>
          <w:pgMar w:top="1440" w:right="1440" w:bottom="1440" w:left="1440" w:header="720" w:footer="720" w:gutter="0"/>
          <w:cols w:num="1" w:space="720"/>
        </w:sectPr>
      </w:pPr>
    </w:p>
    <w:bookmarkStart w:id="651" w:name="pg14411_143471"/>
    <w:bookmarkEnd w:id="651"/>
    <w:p>
      <w:pPr>
        <w:pStyle w:val="BookText"/>
      </w:pPr>
      <w:r>
        <w:rPr>
          <w:rFonts w:ascii="Amiri" w:hAnsi="Amiri" w:eastAsia="Amiri" w:cs="Amiri"/>
          <w:lang w:bidi="ar-SA"/>
          <w:color w:val="111111"/>
          <w:sz w:val="28"/>
          <w:szCs w:val="28"/>
          <w:rtl/>
        </w:rPr>
        <w:t xml:space="preserve">و لو نقل المالک[أُمّ </w:t>
      </w:r>
      <w:r>
        <w:rPr>
          <w:rStyle w:val="FootnoteReference"/>
        </w:rPr>
        <w:footnoteReference w:id="3488"/>
      </w:r>
      <w:r>
        <w:rPr>
          <w:rFonts w:ascii="IRNazanin" w:hAnsi="IRNazanin" w:eastAsia="IRNazanin" w:cs="IRNazanin"/>
          <w:lang w:bidi="fa-IR"/>
          <w:color w:val="111111"/>
          <w:sz w:val="28"/>
          <w:szCs w:val="28"/>
          <w:rtl/>
        </w:rPr>
        <w:t xml:space="preserve">]الولد عن ملکه قبل الإجازة فأجاز،بطل النقل علی الکشف الحقیقی؛لانکشاف وقوعه فی ملک الغیر-مع احتمال کون النقل بمنزلة الردّ-و بقی صحیحاً علی الکشف الحکمی،و علی المجیز قیمتها </w:t>
      </w:r>
      <w:r>
        <w:rPr>
          <w:rStyle w:val="FootnoteReference"/>
        </w:rPr>
        <w:footnoteReference w:id="3489"/>
      </w:r>
      <w:r>
        <w:rPr>
          <w:rFonts w:ascii="IRNazanin" w:hAnsi="IRNazanin" w:eastAsia="IRNazanin" w:cs="IRNazanin"/>
          <w:lang w:bidi="fa-IR"/>
          <w:color w:val="111111"/>
          <w:sz w:val="28"/>
          <w:szCs w:val="28"/>
          <w:rtl/>
        </w:rPr>
        <w:t xml:space="preserve">لأنّه مقتضی الجمع بین جعل العقد ماضیاً من حین وقوعه و مقتضی صحّة النقل الواقع قبل حکم الشارع بهذا الجعل،کما فی الفسخ بالخیار مع انتقال متعلّقه بنقل لازم.</w:t>
      </w:r>
    </w:p>
    <w:p>
      <w:pPr>
        <w:pStyle w:val="BookText"/>
      </w:pPr>
      <w:r>
        <w:rPr>
          <w:rFonts w:ascii="IRNazanin" w:hAnsi="IRNazanin" w:eastAsia="IRNazanin" w:cs="IRNazanin"/>
          <w:lang w:bidi="fa-IR"/>
          <w:color w:val="111111"/>
          <w:sz w:val="28"/>
          <w:szCs w:val="28"/>
          <w:rtl/>
        </w:rPr>
        <w:t xml:space="preserve">و ضابط الکشف الحکمی:الحکم بعد الإجازة بترتّب آثار ملکیة المشتری من حین العقد،فإن ترتّب شیء من آثار ملکیة المالک قبل إجازته-کإتلاف النماء و نقله-و لم یناف الإجازة،جمع بینه و بین مقتضی الإجازة بالرجوع إلی البدل،و إن نافی الإجازة کإتلاف العین عقلاً أو شرعاً-کالعتق-فات محلّها،مع احتمال الرجوع إلی البدل، و سیجیء.</w:t>
      </w:r>
    </w:p>
    <w:p>
      <w:pPr>
        <w:pStyle w:val="Heading6"/>
      </w:pPr>
      <w:bookmarkStart w:id="2294" w:name="_Toc1329"/>
      <w:r>
        <w:t>ثمّ إنّهم ذکروا للثمرة بین الکشف و النقل مواضع</w:t>
      </w:r>
      <w:bookmarkEnd w:id="2294"/>
    </w:p>
    <w:p>
      <w:pPr>
        <w:pStyle w:val="Heading6"/>
      </w:pPr>
      <w:bookmarkStart w:id="2295" w:name="_Toc1330"/>
      <w:r>
        <w:t>منها : النماء</w:t>
      </w:r>
      <w:bookmarkEnd w:id="2295"/>
    </w:p>
    <w:p>
      <w:pPr>
        <w:pStyle w:val="BookText"/>
      </w:pPr>
      <w:r>
        <w:rPr>
          <w:rFonts w:ascii="IRNazanin" w:hAnsi="IRNazanin" w:eastAsia="IRNazanin" w:cs="IRNazanin"/>
          <w:lang w:bidi="fa-IR"/>
          <w:color w:val="111111"/>
          <w:sz w:val="28"/>
          <w:szCs w:val="28"/>
          <w:rtl/>
        </w:rPr>
        <w:t xml:space="preserve">فإنّه علی الکشف بقولٍ مطلق لمن انتقل إلیه العین، و علی النقل لمن انتقلت عنه،و للشهید الثانی فی الروضة عبارةٌ </w:t>
      </w:r>
      <w:r>
        <w:rPr>
          <w:rStyle w:val="FootnoteReference"/>
        </w:rPr>
        <w:footnoteReference w:id="3490"/>
      </w:r>
      <w:r>
        <w:rPr>
          <w:rFonts w:ascii="IRNazanin" w:hAnsi="IRNazanin" w:eastAsia="IRNazanin" w:cs="IRNazanin"/>
          <w:lang w:bidi="fa-IR"/>
          <w:color w:val="111111"/>
          <w:sz w:val="28"/>
          <w:szCs w:val="28"/>
          <w:rtl/>
        </w:rPr>
        <w:t xml:space="preserve">،توجیه</w:t>
      </w:r>
    </w:p>
    <w:p>
      <w:pPr>
        <w:pStyle w:val="BookText"/>
      </w:pPr>
      <w:r>
        <w:rPr>
          <w:rFonts w:ascii="IRNazanin" w:hAnsi="IRNazanin" w:eastAsia="IRNazanin" w:cs="IRNazanin"/>
          <w:lang w:bidi="fa-IR"/>
          <w:color w:val="111111"/>
          <w:sz w:val="28"/>
          <w:szCs w:val="28"/>
          <w:rtl/>
        </w:rPr>
        <w:t xml:space="preserve">[شماره صفحه واقعی : 411]
</w:t>
      </w:r>
    </w:p>
    <w:p>
      <w:pPr>
        <w:sectPr>
          <w:footerReference w:type="default" r:id="rId1090"/>
          <w:footnotePr>
            <w:numStart w:val="1"/>
            <w:numRestart w:val="eachPage"/>
          </w:footnotePr>
          <w:pgSz w:orient="portrait" w:w="11905.511811023622" w:h="16837.79527559055"/>
          <w:pgMar w:top="1440" w:right="1440" w:bottom="1440" w:left="1440" w:header="720" w:footer="720" w:gutter="0"/>
          <w:cols w:num="1" w:space="720"/>
        </w:sectPr>
      </w:pPr>
    </w:p>
    <w:bookmarkStart w:id="652" w:name="pg14411_143472"/>
    <w:bookmarkEnd w:id="652"/>
    <w:p>
      <w:pPr>
        <w:pStyle w:val="BookText"/>
      </w:pPr>
      <w:r>
        <w:rPr>
          <w:rFonts w:ascii="IRNazanin" w:hAnsi="IRNazanin" w:eastAsia="IRNazanin" w:cs="IRNazanin"/>
          <w:lang w:bidi="fa-IR"/>
          <w:color w:val="111111"/>
          <w:sz w:val="28"/>
          <w:szCs w:val="28"/>
          <w:rtl/>
        </w:rPr>
        <w:t xml:space="preserve">المراد منها کما-فعله بعض </w:t>
      </w:r>
      <w:r>
        <w:rPr>
          <w:rStyle w:val="FootnoteReference"/>
        </w:rPr>
        <w:footnoteReference w:id="3491"/>
      </w:r>
      <w:r>
        <w:rPr>
          <w:rFonts w:ascii="IRNazanin" w:hAnsi="IRNazanin" w:eastAsia="IRNazanin" w:cs="IRNazanin"/>
          <w:lang w:bidi="fa-IR"/>
          <w:color w:val="111111"/>
          <w:sz w:val="28"/>
          <w:szCs w:val="28"/>
          <w:rtl/>
        </w:rPr>
        <w:t xml:space="preserve">أولی من توجیه حکم ظاهرها،کما تکلّفه آخر </w:t>
      </w:r>
      <w:r>
        <w:rPr>
          <w:rStyle w:val="FootnoteReference"/>
        </w:rPr>
        <w:footnoteReference w:id="3492"/>
      </w:r>
      <w:r>
        <w:rPr>
          <w:rFonts w:ascii="Times New Roman" w:hAnsi="Times New Roman" w:eastAsia="Times New Roman" w:cs="Times New Roman"/>
          <w:lang w:val="en-US" w:bidi="en-US"/>
          <w:color w:val="111111"/>
          <w:sz w:val="28"/>
          <w:szCs w:val="28"/>
          <w:rtl/>
        </w:rPr>
        <w:t xml:space="preserve">.</w:t>
      </w:r>
    </w:p>
    <w:p>
      <w:pPr>
        <w:pStyle w:val="Heading6"/>
      </w:pPr>
      <w:bookmarkStart w:id="2296" w:name="_Toc1331"/>
      <w:r>
        <w:t>و منها : أنّ فسخ الأصیل لإنشائه قبل إجازة الآخر مبطل له علی القول بالنقل،دون الکشف</w:t>
      </w:r>
      <w:bookmarkEnd w:id="2296"/>
    </w:p>
    <w:p>
      <w:pPr>
        <w:pStyle w:val="BookText"/>
      </w:pPr>
      <w:r>
        <w:rPr>
          <w:rFonts w:ascii="IRNazanin" w:hAnsi="IRNazanin" w:eastAsia="IRNazanin" w:cs="IRNazanin"/>
          <w:lang w:bidi="fa-IR"/>
          <w:color w:val="111111"/>
          <w:sz w:val="28"/>
          <w:szCs w:val="28"/>
          <w:rtl/>
        </w:rPr>
        <w:t xml:space="preserve">بمعنی أنّه لو جعلناها ناقلة کان فسخ الأصیل کفسخ الموجب قبل قبول القابل </w:t>
      </w:r>
      <w:r>
        <w:rPr>
          <w:rStyle w:val="FootnoteReference"/>
        </w:rPr>
        <w:footnoteReference w:id="3493"/>
      </w:r>
      <w:r>
        <w:rPr>
          <w:rFonts w:ascii="IRNazanin" w:hAnsi="IRNazanin" w:eastAsia="IRNazanin" w:cs="IRNazanin"/>
          <w:lang w:bidi="fa-IR"/>
          <w:color w:val="111111"/>
          <w:sz w:val="28"/>
          <w:szCs w:val="28"/>
          <w:rtl/>
        </w:rPr>
        <w:t xml:space="preserve">فی کونه ملغیاً لإنشائه السابق،بخلاف ما لو جعلت کاشفة؛فإنّ العقد تامّ من طرف الأصیل، غایة الأمر تسلّط الآخر علی فسخه،و هذا مبنیّ علی ما تسالموا علیه من جواز إبطال أحد المتعاقدین لإنشائه قبل إنشاء صاحبه،بل قبل تحقّق شرط صحّة العقد-کالقبض فی الهبة و الوقف و الصدقة-فلا یرد ما اعترضه بعض:من منع جواز الإبطال علی القول بالنقل؛معلّلاً بأنّ ترتّب الأثر علی جزء السبب بعد انضمام الجزء الآخر من أحکام الوضع لا مدخل لاختیار المشتری فیه </w:t>
      </w:r>
      <w:r>
        <w:rPr>
          <w:rStyle w:val="FootnoteReference"/>
        </w:rPr>
        <w:footnoteReference w:id="34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فیه:أنّ الکلام فی أنّ عدم تخلّل الفسخ بین جزئی السبب</w:t>
      </w:r>
    </w:p>
    <w:p>
      <w:pPr>
        <w:pStyle w:val="BookText"/>
      </w:pPr>
      <w:r>
        <w:rPr>
          <w:rFonts w:ascii="IRNazanin" w:hAnsi="IRNazanin" w:eastAsia="IRNazanin" w:cs="IRNazanin"/>
          <w:lang w:bidi="fa-IR"/>
          <w:color w:val="111111"/>
          <w:sz w:val="28"/>
          <w:szCs w:val="28"/>
          <w:rtl/>
        </w:rPr>
        <w:t xml:space="preserve">[شماره صفحه واقعی : 412]
</w:t>
      </w:r>
    </w:p>
    <w:p>
      <w:pPr>
        <w:sectPr>
          <w:footerReference w:type="default" r:id="rId1091"/>
          <w:footnotePr>
            <w:numStart w:val="1"/>
            <w:numRestart w:val="eachPage"/>
          </w:footnotePr>
          <w:pgSz w:orient="portrait" w:w="11905.511811023622" w:h="16837.79527559055"/>
          <w:pgMar w:top="1440" w:right="1440" w:bottom="1440" w:left="1440" w:header="720" w:footer="720" w:gutter="0"/>
          <w:cols w:num="1" w:space="720"/>
        </w:sectPr>
      </w:pPr>
    </w:p>
    <w:bookmarkStart w:id="653" w:name="pg14411_143473"/>
    <w:bookmarkEnd w:id="653"/>
    <w:p>
      <w:pPr>
        <w:pStyle w:val="BookText"/>
      </w:pPr>
      <w:r>
        <w:rPr>
          <w:rFonts w:ascii="IRNazanin" w:hAnsi="IRNazanin" w:eastAsia="IRNazanin" w:cs="IRNazanin"/>
          <w:lang w:bidi="fa-IR"/>
          <w:color w:val="111111"/>
          <w:sz w:val="28"/>
          <w:szCs w:val="28"/>
          <w:rtl/>
        </w:rPr>
        <w:t xml:space="preserve">شرط،فانضمام الجزء الآخر من دون تحقّق الشرط غیر مجدٍ فی وجود المسبّب؛فالأولی فی سند المنع دفع احتمال اشتراط عدم تخلّل الفسخ بإطلاقات صحّة العقود و لزومها،و لا یخلو عن إشکال.</w:t>
      </w:r>
    </w:p>
    <w:p>
      <w:pPr>
        <w:pStyle w:val="Heading6"/>
      </w:pPr>
      <w:bookmarkStart w:id="2297" w:name="_Toc1332"/>
      <w:r>
        <w:t>و منها : جواز تصرّف الأصیل فیما انتقل عنه بناءً علی النقل</w:t>
      </w:r>
      <w:bookmarkEnd w:id="2297"/>
    </w:p>
    <w:p>
      <w:pPr>
        <w:pStyle w:val="BookText"/>
      </w:pPr>
      <w:r>
        <w:rPr>
          <w:rFonts w:ascii="IRNazanin" w:hAnsi="IRNazanin" w:eastAsia="IRNazanin" w:cs="IRNazanin"/>
          <w:lang w:bidi="fa-IR"/>
          <w:color w:val="111111"/>
          <w:sz w:val="28"/>
          <w:szCs w:val="28"/>
          <w:rtl/>
        </w:rPr>
        <w:t xml:space="preserve">و إن قلنا بأنّ فسخه غیر مبطل لإنشائه،فلو باع جاریة من فضولیٍّ جاز له وطؤها،و إن استولدها صارت أُمّ ولد؛لأنّها ملکه،و کذا لو زوّجت نفسها من فضولی جاز لها التزویج من الغیر،فلو حصل الإجازة فی المثالین لغت؛لعدم بقاء المحلّ قابلاً.</w:t>
      </w:r>
    </w:p>
    <w:p>
      <w:pPr>
        <w:pStyle w:val="BookText"/>
      </w:pPr>
      <w:r>
        <w:rPr>
          <w:rFonts w:ascii="IRNazanin" w:hAnsi="IRNazanin" w:eastAsia="IRNazanin" w:cs="IRNazanin"/>
          <w:lang w:bidi="fa-IR"/>
          <w:color w:val="111111"/>
          <w:sz w:val="28"/>
          <w:szCs w:val="28"/>
          <w:rtl/>
        </w:rPr>
        <w:t xml:space="preserve">و الحاصل:أنّ الفسخ القولی و إن قلنا:إنّه غیر مبطل لإنشاء الأصیل،إلّا أنّ له فعل ما ینافی انتقال المال عنه علی وجه یفوّت محلّ الإجازة،فینفسخ العقد بنفسه بذلک.</w:t>
      </w:r>
    </w:p>
    <w:p>
      <w:pPr>
        <w:pStyle w:val="BookText"/>
      </w:pPr>
      <w:r>
        <w:rPr>
          <w:rFonts w:ascii="IRNazanin" w:hAnsi="IRNazanin" w:eastAsia="IRNazanin" w:cs="IRNazanin"/>
          <w:lang w:bidi="fa-IR"/>
          <w:color w:val="111111"/>
          <w:sz w:val="28"/>
          <w:szCs w:val="28"/>
          <w:rtl/>
        </w:rPr>
        <w:t xml:space="preserve">و ربما احتُمل عدم جواز التصرّف علی هذا القول أیضاً؛و لعلّه لجریان عموم وجوب الوفاء بالعقد فی حقّ الأصیل و إن لم یجب فی الطرف الآخر،و هو الذی یظهر من المحقّق الثانی فی مسألة شراء الغاصب بعین المال المغصوب؛حیث قال:لا یجوز للبائع و لا للغاصب التصرّف فی العین لإمکان الإجازة،سیّما علی القول بالکشف </w:t>
      </w:r>
      <w:r>
        <w:rPr>
          <w:rStyle w:val="FootnoteReference"/>
        </w:rPr>
        <w:footnoteReference w:id="3495"/>
      </w:r>
      <w:r>
        <w:rPr>
          <w:rFonts w:ascii="IRNazanin" w:hAnsi="IRNazanin" w:eastAsia="IRNazanin" w:cs="IRNazanin"/>
          <w:lang w:bidi="fa-IR"/>
          <w:color w:val="111111"/>
          <w:sz w:val="28"/>
          <w:szCs w:val="28"/>
          <w:rtl/>
        </w:rPr>
        <w:t xml:space="preserve">، انتهی.</w:t>
      </w:r>
    </w:p>
    <w:p>
      <w:pPr>
        <w:pStyle w:val="BookText"/>
      </w:pPr>
      <w:r>
        <w:rPr>
          <w:rFonts w:ascii="IRNazanin" w:hAnsi="IRNazanin" w:eastAsia="IRNazanin" w:cs="IRNazanin"/>
          <w:lang w:bidi="fa-IR"/>
          <w:color w:val="111111"/>
          <w:sz w:val="28"/>
          <w:szCs w:val="28"/>
          <w:rtl/>
        </w:rPr>
        <w:t xml:space="preserve">و فیه:أنّ الإجازة علی القول بالنقل له مدخل فی العقد شرطاً أو شطراً،فما لم یتحقّق الشرط أو الجزء لم یجب الوفاء علی أحد من </w:t>
      </w:r>
      <w:r>
        <w:rPr>
          <w:rStyle w:val="FootnoteReference"/>
        </w:rPr>
        <w:footnoteReference w:id="3496"/>
      </w:r>
    </w:p>
    <w:p>
      <w:pPr>
        <w:pStyle w:val="BookText"/>
      </w:pPr>
      <w:r>
        <w:rPr>
          <w:rFonts w:ascii="IRNazanin" w:hAnsi="IRNazanin" w:eastAsia="IRNazanin" w:cs="IRNazanin"/>
          <w:lang w:bidi="fa-IR"/>
          <w:color w:val="111111"/>
          <w:sz w:val="28"/>
          <w:szCs w:val="28"/>
          <w:rtl/>
        </w:rPr>
        <w:t xml:space="preserve">[شماره صفحه واقعی : 413]
</w:t>
      </w:r>
    </w:p>
    <w:p>
      <w:pPr>
        <w:sectPr>
          <w:footerReference w:type="default" r:id="rId10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المتعاقدین؛لأنّ المأمور بالوفاء به </w:t>
      </w:r>
      <w:r>
        <w:rPr>
          <w:rStyle w:val="FootnoteReference"/>
        </w:rPr>
        <w:footnoteReference w:id="3497"/>
      </w:r>
      <w:r>
        <w:rPr>
          <w:rFonts w:ascii="IRNazanin" w:hAnsi="IRNazanin" w:eastAsia="IRNazanin" w:cs="IRNazanin"/>
          <w:lang w:bidi="fa-IR"/>
          <w:color w:val="111111"/>
          <w:sz w:val="28"/>
          <w:szCs w:val="28"/>
          <w:rtl/>
        </w:rPr>
        <w:t xml:space="preserve">هو العقد المقیّد الذی لا یوجد إلّا بعد القید.</w:t>
      </w:r>
    </w:p>
    <w:p>
      <w:pPr>
        <w:pStyle w:val="BookText"/>
      </w:pPr>
      <w:r>
        <w:rPr>
          <w:rFonts w:ascii="IRNazanin" w:hAnsi="IRNazanin" w:eastAsia="IRNazanin" w:cs="IRNazanin"/>
          <w:lang w:bidi="fa-IR"/>
          <w:color w:val="111111"/>
          <w:sz w:val="28"/>
          <w:szCs w:val="28"/>
          <w:rtl/>
        </w:rPr>
        <w:t xml:space="preserve">[*ستوده]</w:t>
      </w:r>
    </w:p>
    <w:p>
      <w:pPr>
        <w:pStyle w:val="BookText"/>
      </w:pPr>
      <w:r>
        <w:rPr>
          <w:rFonts w:ascii="IRNazanin" w:hAnsi="IRNazanin" w:eastAsia="IRNazanin" w:cs="IRNazanin"/>
          <w:lang w:bidi="fa-IR"/>
          <w:color w:val="111111"/>
          <w:sz w:val="28"/>
          <w:szCs w:val="28"/>
          <w:rtl/>
        </w:rPr>
        <w:t xml:space="preserve">هذا </w:t>
      </w:r>
      <w:r>
        <w:rPr>
          <w:rStyle w:val="FootnoteReference"/>
        </w:rPr>
        <w:footnoteReference w:id="3498"/>
      </w:r>
      <w:r>
        <w:rPr>
          <w:rFonts w:ascii="IRNazanin" w:hAnsi="IRNazanin" w:eastAsia="IRNazanin" w:cs="IRNazanin"/>
          <w:lang w:bidi="fa-IR"/>
          <w:color w:val="111111"/>
          <w:sz w:val="28"/>
          <w:szCs w:val="28"/>
          <w:rtl/>
        </w:rPr>
        <w:t xml:space="preserve">کلّه علی النقل،و أمّا علی القول بالکشف،فلا یجوز التصرّف فیه،علی ما یستفاد من کلمات جماعة،کالعلّامة و السیّد العمیدی </w:t>
      </w:r>
      <w:r>
        <w:rPr>
          <w:rStyle w:val="FootnoteReference"/>
        </w:rPr>
        <w:footnoteReference w:id="3499"/>
      </w:r>
      <w:r>
        <w:rPr>
          <w:rFonts w:ascii="IRNazanin" w:hAnsi="IRNazanin" w:eastAsia="IRNazanin" w:cs="IRNazanin"/>
          <w:lang w:bidi="fa-IR"/>
          <w:color w:val="111111"/>
          <w:sz w:val="28"/>
          <w:szCs w:val="28"/>
          <w:rtl/>
        </w:rPr>
        <w:t xml:space="preserve">و المحقّق الثانی </w:t>
      </w:r>
      <w:r>
        <w:rPr>
          <w:rStyle w:val="FootnoteReference"/>
        </w:rPr>
        <w:footnoteReference w:id="3500"/>
      </w:r>
      <w:r>
        <w:rPr>
          <w:rFonts w:ascii="IRNazanin" w:hAnsi="IRNazanin" w:eastAsia="IRNazanin" w:cs="IRNazanin"/>
          <w:lang w:bidi="fa-IR"/>
          <w:color w:val="111111"/>
          <w:sz w:val="28"/>
          <w:szCs w:val="28"/>
          <w:rtl/>
        </w:rPr>
        <w:t xml:space="preserve">و ظاهر غیرهم.</w:t>
      </w:r>
    </w:p>
    <w:p>
      <w:pPr>
        <w:pStyle w:val="BookText"/>
      </w:pPr>
      <w:r>
        <w:rPr>
          <w:rFonts w:ascii="IRNazanin" w:hAnsi="IRNazanin" w:eastAsia="IRNazanin" w:cs="IRNazanin"/>
          <w:lang w:bidi="fa-IR"/>
          <w:color w:val="111111"/>
          <w:sz w:val="28"/>
          <w:szCs w:val="28"/>
          <w:rtl/>
        </w:rPr>
        <w:t xml:space="preserve">و ربما اعترض علیه بعدم المانع له </w:t>
      </w:r>
      <w:r>
        <w:rPr>
          <w:rStyle w:val="FootnoteReference"/>
        </w:rPr>
        <w:footnoteReference w:id="3501"/>
      </w:r>
      <w:r>
        <w:rPr>
          <w:rFonts w:ascii="IRNazanin" w:hAnsi="IRNazanin" w:eastAsia="IRNazanin" w:cs="IRNazanin"/>
          <w:lang w:bidi="fa-IR"/>
          <w:color w:val="111111"/>
          <w:sz w:val="28"/>
          <w:szCs w:val="28"/>
          <w:rtl/>
        </w:rPr>
        <w:t xml:space="preserve">من التصرّف؛لأنّ مجرّد احتمال انتقال المال عنه فی الواقع،لا یقدح فی السلطنة الثابتة له؛و لذا صرّح بعض المعاصرین بجواز التصرّف مطلقاً.نعم،إذا حصلت </w:t>
      </w:r>
      <w:r>
        <w:rPr>
          <w:rStyle w:val="FootnoteReference"/>
        </w:rPr>
        <w:footnoteReference w:id="3502"/>
      </w:r>
      <w:r>
        <w:rPr>
          <w:rFonts w:ascii="IRNazanin" w:hAnsi="IRNazanin" w:eastAsia="IRNazanin" w:cs="IRNazanin"/>
          <w:lang w:bidi="fa-IR"/>
          <w:color w:val="111111"/>
          <w:sz w:val="28"/>
          <w:szCs w:val="28"/>
          <w:rtl/>
        </w:rPr>
        <w:t xml:space="preserve">الإجازة کشفت عن بطلان کلّ تصرّف منافٍ لانتقال المال إلی المجیز، فیأخذ المال مع بقائه و بدله مع تلفه.قال:نعم لو علم بإجازة المالک لم یجز له التصرّف </w:t>
      </w:r>
      <w:r>
        <w:rPr>
          <w:rStyle w:val="FootnoteReference"/>
        </w:rPr>
        <w:footnoteReference w:id="3503"/>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أقول:مقتضی عموم وجوب الوفاء:وجوبه علی الأصیل و لزوم العقد و حرمة نقضه من جانبه،و وجوب الوفاء علیه لیس مراعی بإجازة المالک،بل مقتضی العموم وجوبه حتّی مع العلم بعدم إجازة</w:t>
      </w:r>
    </w:p>
    <w:p>
      <w:pPr>
        <w:pStyle w:val="BookText"/>
      </w:pPr>
      <w:r>
        <w:rPr>
          <w:rFonts w:ascii="IRNazanin" w:hAnsi="IRNazanin" w:eastAsia="IRNazanin" w:cs="IRNazanin"/>
          <w:lang w:bidi="fa-IR"/>
          <w:color w:val="111111"/>
          <w:sz w:val="28"/>
          <w:szCs w:val="28"/>
          <w:rtl/>
        </w:rPr>
        <w:t xml:space="preserve">[شماره صفحه واقعی : 414]
</w:t>
      </w:r>
    </w:p>
    <w:p>
      <w:pPr>
        <w:sectPr>
          <w:footerReference w:type="default" r:id="rId10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المالک،و من هنا یظهر أنّه لا فائدة فی أصالة عدم الإجازة.</w:t>
      </w:r>
    </w:p>
    <w:p>
      <w:pPr>
        <w:pStyle w:val="BookText"/>
      </w:pPr>
      <w:r>
        <w:rPr>
          <w:rFonts w:ascii="IRNazanin" w:hAnsi="IRNazanin" w:eastAsia="IRNazanin" w:cs="IRNazanin"/>
          <w:lang w:bidi="fa-IR"/>
          <w:color w:val="111111"/>
          <w:sz w:val="28"/>
          <w:szCs w:val="28"/>
          <w:rtl/>
        </w:rPr>
        <w:t xml:space="preserve">لکن ما ذکره البعض </w:t>
      </w:r>
      <w:r>
        <w:rPr>
          <w:rStyle w:val="FootnoteReference"/>
        </w:rPr>
        <w:footnoteReference w:id="3504"/>
      </w:r>
      <w:r>
        <w:rPr>
          <w:rFonts w:ascii="IRNazanin" w:hAnsi="IRNazanin" w:eastAsia="IRNazanin" w:cs="IRNazanin"/>
          <w:lang w:bidi="fa-IR"/>
          <w:color w:val="111111"/>
          <w:sz w:val="28"/>
          <w:szCs w:val="28"/>
          <w:rtl/>
        </w:rPr>
        <w:t xml:space="preserve">المعاصر صحیح علی مذهبه فی الکشف:</w:t>
      </w:r>
    </w:p>
    <w:p>
      <w:pPr>
        <w:pStyle w:val="BookText"/>
      </w:pPr>
      <w:r>
        <w:rPr>
          <w:rFonts w:ascii="IRNazanin" w:hAnsi="IRNazanin" w:eastAsia="IRNazanin" w:cs="IRNazanin"/>
          <w:lang w:bidi="fa-IR"/>
          <w:color w:val="111111"/>
          <w:sz w:val="28"/>
          <w:szCs w:val="28"/>
          <w:rtl/>
        </w:rPr>
        <w:t xml:space="preserve">من کون العقد مشروطاً بتعقّبه بالإجازة؛لعدم إحراز الشرط مع الشکّ، فلا یجب الوفاء به علی أحد من المتعاقدین:و أمّا علی المشهور فی معنی الکشف:من کون نفس الإجازة المتأخّرة شرطاً لکون العقد السابق بنفسه مؤثّراً تامّاً،فالذی یجب الوفاء به هو نفس العقد من غیر تقیید، و قد تحقّق،فیجب علی الأصیل الالتزام به و عدم نقضه إلی أن ینقض؛ فإنّ ردّ المالک فسخٌ للعقد </w:t>
      </w:r>
      <w:r>
        <w:rPr>
          <w:rStyle w:val="FootnoteReference"/>
        </w:rPr>
        <w:footnoteReference w:id="3505"/>
      </w:r>
      <w:r>
        <w:rPr>
          <w:rFonts w:ascii="IRNazanin" w:hAnsi="IRNazanin" w:eastAsia="IRNazanin" w:cs="IRNazanin"/>
          <w:lang w:bidi="fa-IR"/>
          <w:color w:val="111111"/>
          <w:sz w:val="28"/>
          <w:szCs w:val="28"/>
          <w:rtl/>
        </w:rPr>
        <w:t xml:space="preserve">من طرف الأصیل،کما أنّ إجازته إمضاء له من طرف الفضولی.</w:t>
      </w:r>
    </w:p>
    <w:p>
      <w:pPr>
        <w:pStyle w:val="BookText"/>
      </w:pPr>
      <w:r>
        <w:rPr>
          <w:rFonts w:ascii="IRNazanin" w:hAnsi="IRNazanin" w:eastAsia="IRNazanin" w:cs="IRNazanin"/>
          <w:lang w:bidi="fa-IR"/>
          <w:color w:val="111111"/>
          <w:sz w:val="28"/>
          <w:szCs w:val="28"/>
          <w:rtl/>
        </w:rPr>
        <w:t xml:space="preserve">و الحاصل:أنّه إذا تحقّق العقد،فمقتضی العموم-علی القول بالکشف،المبنیّ علی کون ما یجب الوفاء به هو العقد من دون ضمیمة شیءٍ شرطاً أو شطراً-:حرمة نقضه علی الأصیل مطلقاً،فکلّ تصرّف یعدّ نقضاً لعقد المبادلة-بمعنی عدم اجتماعه مع صحّة العقد-فهو غیر جائز.</w:t>
      </w:r>
    </w:p>
    <w:p>
      <w:pPr>
        <w:pStyle w:val="BookText"/>
      </w:pPr>
      <w:r>
        <w:rPr>
          <w:rFonts w:ascii="IRNazanin" w:hAnsi="IRNazanin" w:eastAsia="IRNazanin" w:cs="IRNazanin"/>
          <w:lang w:bidi="fa-IR"/>
          <w:color w:val="111111"/>
          <w:sz w:val="28"/>
          <w:szCs w:val="28"/>
          <w:rtl/>
        </w:rPr>
        <w:t xml:space="preserve">و من هنا تبیّن فساد توهّم:أنّ العمل بمقتضی العقد کما یوجب حرمة تصرّف الأصیل فیما انتقل عنه،کذلک یوجب جواز تصرّفه فیما انتقل إلیه؛لأنّ مقتضی العقد مبادلة المالین،فحرمة التصرّف فی ماله مع حرمة التصرّف فی عوضه ینافی </w:t>
      </w:r>
      <w:r>
        <w:rPr>
          <w:rStyle w:val="FootnoteReference"/>
        </w:rPr>
        <w:footnoteReference w:id="3506"/>
      </w:r>
      <w:r>
        <w:rPr>
          <w:rFonts w:ascii="IRNazanin" w:hAnsi="IRNazanin" w:eastAsia="IRNazanin" w:cs="IRNazanin"/>
          <w:lang w:bidi="fa-IR"/>
          <w:color w:val="111111"/>
          <w:sz w:val="28"/>
          <w:szCs w:val="28"/>
          <w:rtl/>
        </w:rPr>
        <w:t xml:space="preserve">مقتضی العقد،أعنی المبادلة.</w:t>
      </w:r>
    </w:p>
    <w:p>
      <w:pPr>
        <w:pStyle w:val="BookText"/>
      </w:pPr>
      <w:r>
        <w:rPr>
          <w:rFonts w:ascii="IRNazanin" w:hAnsi="IRNazanin" w:eastAsia="IRNazanin" w:cs="IRNazanin"/>
          <w:lang w:bidi="fa-IR"/>
          <w:color w:val="111111"/>
          <w:sz w:val="28"/>
          <w:szCs w:val="28"/>
          <w:rtl/>
        </w:rPr>
        <w:t xml:space="preserve">[شماره صفحه واقعی : 415]
</w:t>
      </w:r>
    </w:p>
    <w:p>
      <w:pPr>
        <w:sectPr>
          <w:footerReference w:type="default" r:id="rId10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توضیح الفساد:أنّ الثابت من وجوب وفاء العاقد بما التزم علی نفسه من المبادلة:حرمة نقضه و التخطّی عنه،و هذا لا یدلّ إلّا علی حرمة التصرّف فی ماله؛حیث التزم بخروجه عن ملکه و لو بالبدل، و أمّا دخول البدل فی ملکه فلیس ممّا التزمه علی نفسه،بل ممّا جعله لنفسه،و مقتضی الوفاء بالعقد حرمة رفع الید عمّا التزم علی نفسه، و أمّا قید«کونه بإزاء مالٍ»فهو خارج عن الالتزام علی نفسه و إن کان داخلاً فی مفهوم المبادلة،فلو لم یتصرّف فی مال صاحبه لم یکن ذلک نقضاً للمبادلة،فالمرجع فی هذا التصرّف فعلاً و ترکاً </w:t>
      </w:r>
      <w:r>
        <w:rPr>
          <w:rStyle w:val="FootnoteReference"/>
        </w:rPr>
        <w:footnoteReference w:id="3507"/>
      </w:r>
      <w:r>
        <w:rPr>
          <w:rFonts w:ascii="IRNazanin" w:hAnsi="IRNazanin" w:eastAsia="IRNazanin" w:cs="IRNazanin"/>
          <w:lang w:bidi="fa-IR"/>
          <w:color w:val="111111"/>
          <w:sz w:val="28"/>
          <w:szCs w:val="28"/>
          <w:rtl/>
        </w:rPr>
        <w:t xml:space="preserve">إلی ما یقتضیه الأصل،و هی أصالة عدم الانتقال.</w:t>
      </w:r>
    </w:p>
    <w:p>
      <w:pPr>
        <w:pStyle w:val="BookText"/>
      </w:pPr>
      <w:r>
        <w:rPr>
          <w:rFonts w:ascii="IRNazanin" w:hAnsi="IRNazanin" w:eastAsia="IRNazanin" w:cs="IRNazanin"/>
          <w:lang w:bidi="fa-IR"/>
          <w:color w:val="111111"/>
          <w:sz w:val="28"/>
          <w:szCs w:val="28"/>
          <w:rtl/>
        </w:rPr>
        <w:t xml:space="preserve">و دعوی:أنّ الالتزام المذکور إنّما هو علی تقدیر الإجازة و دخول البدل فی ملکه،فالالتزام معلّق علی تقدیر لم یعلم تحقّقه،فهو کالنذر المعلّق علی شرط؛حیث حکم جماعة </w:t>
      </w:r>
      <w:r>
        <w:rPr>
          <w:rStyle w:val="FootnoteReference"/>
        </w:rPr>
        <w:footnoteReference w:id="3508"/>
      </w:r>
      <w:r>
        <w:rPr>
          <w:rFonts w:ascii="IRNazanin" w:hAnsi="IRNazanin" w:eastAsia="IRNazanin" w:cs="IRNazanin"/>
          <w:lang w:bidi="fa-IR"/>
          <w:color w:val="111111"/>
          <w:sz w:val="28"/>
          <w:szCs w:val="28"/>
          <w:rtl/>
        </w:rPr>
        <w:t xml:space="preserve">بجواز التصرّف فی المال المنذور قبل تحقّق الشرط إذا لم یعلم بتحقّقه،فکما أنّ التصرّف حینئذٍ لا یعدّ حنثاً،فکذا التصرّف فیما نحن فیه قبل العلم بتحقّق الإجازة لا یعدّ نقضاً لما التزمه؛إذ لم یلتزمه فی الحقیقة إلّا معلّقاً.</w:t>
      </w:r>
    </w:p>
    <w:p>
      <w:pPr>
        <w:pStyle w:val="BookText"/>
      </w:pPr>
      <w:r>
        <w:rPr>
          <w:rFonts w:ascii="IRNazanin" w:hAnsi="IRNazanin" w:eastAsia="IRNazanin" w:cs="IRNazanin"/>
          <w:lang w:bidi="fa-IR"/>
          <w:color w:val="111111"/>
          <w:sz w:val="28"/>
          <w:szCs w:val="28"/>
          <w:rtl/>
        </w:rPr>
        <w:t xml:space="preserve">[*ستوده]</w:t>
      </w:r>
    </w:p>
    <w:p>
      <w:pPr>
        <w:pStyle w:val="BookText"/>
      </w:pPr>
      <w:r>
        <w:rPr>
          <w:rFonts w:ascii="IRNazanin" w:hAnsi="IRNazanin" w:eastAsia="IRNazanin" w:cs="IRNazanin"/>
          <w:lang w:bidi="fa-IR"/>
          <w:color w:val="111111"/>
          <w:sz w:val="28"/>
          <w:szCs w:val="28"/>
          <w:rtl/>
        </w:rPr>
        <w:t xml:space="preserve">مدفوعة-بعد تسلیم جواز التصرّف فی مسألة النذر المشهورة بالإشکال-:بأنّ </w:t>
      </w:r>
      <w:r>
        <w:rPr>
          <w:rStyle w:val="FootnoteReference"/>
        </w:rPr>
        <w:footnoteReference w:id="3509"/>
      </w:r>
      <w:r>
        <w:rPr>
          <w:rFonts w:ascii="IRNazanin" w:hAnsi="IRNazanin" w:eastAsia="IRNazanin" w:cs="IRNazanin"/>
          <w:lang w:bidi="fa-IR"/>
          <w:color w:val="111111"/>
          <w:sz w:val="28"/>
          <w:szCs w:val="28"/>
          <w:rtl/>
        </w:rPr>
        <w:t xml:space="preserve">الفرق بینهما أنّ الالتزام هنا غیر معلّق علی الإجازة،</w:t>
      </w:r>
    </w:p>
    <w:p>
      <w:pPr>
        <w:pStyle w:val="BookText"/>
      </w:pPr>
      <w:r>
        <w:rPr>
          <w:rFonts w:ascii="IRNazanin" w:hAnsi="IRNazanin" w:eastAsia="IRNazanin" w:cs="IRNazanin"/>
          <w:lang w:bidi="fa-IR"/>
          <w:color w:val="111111"/>
          <w:sz w:val="28"/>
          <w:szCs w:val="28"/>
          <w:rtl/>
        </w:rPr>
        <w:t xml:space="preserve">[شماره صفحه واقعی : 416]
</w:t>
      </w:r>
    </w:p>
    <w:p>
      <w:pPr>
        <w:sectPr>
          <w:footerReference w:type="default" r:id="rId10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إنّما التزم بالمبادلة متوقّعاً للإجازة،فیجب علیه الوفاء به،و یحرم علیه نقضه إلی أن یحصل ما یتوقّعه من الإجازة،أو ینتقض التزامه بردّ المالک.</w:t>
      </w:r>
    </w:p>
    <w:p>
      <w:pPr>
        <w:pStyle w:val="BookText"/>
      </w:pPr>
      <w:r>
        <w:rPr>
          <w:rFonts w:ascii="IRNazanin" w:hAnsi="IRNazanin" w:eastAsia="IRNazanin" w:cs="IRNazanin"/>
          <w:lang w:bidi="fa-IR"/>
          <w:color w:val="111111"/>
          <w:sz w:val="28"/>
          <w:szCs w:val="28"/>
          <w:rtl/>
        </w:rPr>
        <w:t xml:space="preserve">و لأجل ما ذکرنا-من اختصاص حرمة النقض بما یعدّ من التصرّفات منافیاً لما التزمه الأصیل علی نفسه،دون غیرها-قال فی القواعد فی باب النکاح:و لو تولّی الفضولی أحد طرفی العقد ثبت فی حقّ المباشر تحریم المصاهرة،فإن کان زوجاً حرمت علیه الخامسة و الأُخت و الأُمّ و البنت،إلّا إذا فسخت،علی إشکال فی الأُمّ،و فی الطلاق نظر؛لترتّبه علی عقد لازم،فلا یبیح </w:t>
      </w:r>
      <w:r>
        <w:rPr>
          <w:rStyle w:val="FootnoteReference"/>
        </w:rPr>
        <w:footnoteReference w:id="3510"/>
      </w:r>
      <w:r>
        <w:rPr>
          <w:rFonts w:ascii="IRNazanin" w:hAnsi="IRNazanin" w:eastAsia="IRNazanin" w:cs="IRNazanin"/>
          <w:lang w:bidi="fa-IR"/>
          <w:color w:val="111111"/>
          <w:sz w:val="28"/>
          <w:szCs w:val="28"/>
          <w:rtl/>
        </w:rPr>
        <w:t xml:space="preserve">المصاهرة،و إن کانت زوجة لم یحلّ لها نکاح غیره إلّا إذا فسخ،و الطلاق هنا </w:t>
      </w:r>
      <w:r>
        <w:rPr>
          <w:rStyle w:val="FootnoteReference"/>
        </w:rPr>
        <w:footnoteReference w:id="3511"/>
      </w:r>
      <w:r>
        <w:rPr>
          <w:rFonts w:ascii="IRNazanin" w:hAnsi="IRNazanin" w:eastAsia="IRNazanin" w:cs="IRNazanin"/>
          <w:lang w:bidi="fa-IR"/>
          <w:color w:val="111111"/>
          <w:sz w:val="28"/>
          <w:szCs w:val="28"/>
          <w:rtl/>
        </w:rPr>
        <w:t xml:space="preserve">معتبر </w:t>
      </w:r>
      <w:r>
        <w:rPr>
          <w:rStyle w:val="FootnoteReference"/>
        </w:rPr>
        <w:footnoteReference w:id="3512"/>
      </w:r>
      <w:r>
        <w:rPr>
          <w:rFonts w:ascii="IRNazanin" w:hAnsi="IRNazanin" w:eastAsia="IRNazanin" w:cs="IRNazanin"/>
          <w:lang w:bidi="fa-IR"/>
          <w:color w:val="111111"/>
          <w:sz w:val="28"/>
          <w:szCs w:val="28"/>
          <w:rtl/>
        </w:rPr>
        <w:t xml:space="preserve">، انتهی.</w:t>
      </w:r>
    </w:p>
    <w:p>
      <w:pPr>
        <w:pStyle w:val="BookText"/>
      </w:pPr>
      <w:r>
        <w:rPr>
          <w:rFonts w:ascii="IRNazanin" w:hAnsi="IRNazanin" w:eastAsia="IRNazanin" w:cs="IRNazanin"/>
          <w:lang w:bidi="fa-IR"/>
          <w:color w:val="111111"/>
          <w:sz w:val="28"/>
          <w:szCs w:val="28"/>
          <w:rtl/>
        </w:rPr>
        <w:t xml:space="preserve">و عن کشف اللثام نفی الإشکال </w:t>
      </w:r>
      <w:r>
        <w:rPr>
          <w:rStyle w:val="FootnoteReference"/>
        </w:rPr>
        <w:footnoteReference w:id="3513"/>
      </w:r>
      <w:r>
        <w:rPr>
          <w:rFonts w:ascii="IRNazanin" w:hAnsi="IRNazanin" w:eastAsia="IRNazanin" w:cs="IRNazanin"/>
          <w:lang w:bidi="fa-IR"/>
          <w:color w:val="111111"/>
          <w:sz w:val="28"/>
          <w:szCs w:val="28"/>
          <w:rtl/>
        </w:rPr>
        <w:t xml:space="preserve">،و قد صرّح أیضاً جماعة بلزوم النکاح المذکور من طرف الأصیل،و فرّعوا علیه تحریم المصاهرة </w:t>
      </w:r>
      <w:r>
        <w:rPr>
          <w:rStyle w:val="FootnoteReference"/>
        </w:rPr>
        <w:footnoteReference w:id="35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مثل النظر إلی المزوّجة فضولاً و إلی أُمّها-مثلاً-و غیره ممّا لا یعدّ ترکه نقضاً لما التزم العاقد علی نفسه،فهو باقٍ تحت الأُصول؛</w:t>
      </w:r>
    </w:p>
    <w:p>
      <w:pPr>
        <w:pStyle w:val="BookText"/>
      </w:pPr>
      <w:r>
        <w:rPr>
          <w:rFonts w:ascii="IRNazanin" w:hAnsi="IRNazanin" w:eastAsia="IRNazanin" w:cs="IRNazanin"/>
          <w:lang w:bidi="fa-IR"/>
          <w:color w:val="111111"/>
          <w:sz w:val="28"/>
          <w:szCs w:val="28"/>
          <w:rtl/>
        </w:rPr>
        <w:t xml:space="preserve">[شماره صفحه واقعی : 417]
</w:t>
      </w:r>
    </w:p>
    <w:p>
      <w:pPr>
        <w:sectPr>
          <w:footerReference w:type="default" r:id="rId10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لأنّ ذلک من لوازم علاقة الزوجیة الغیر الثابتة،بل المنفیّة بالأصل، فحرمة نقض العاقد لما عقد علی نفسه لا یتوقّف علی ثبوت نتیجة العقد -أعنی علاقة الملک أو الزوجیة-بل ثبوت النتیجة تابع لثبوت حرمة النقض من الطرفین.</w:t>
      </w:r>
    </w:p>
    <w:p>
      <w:pPr>
        <w:pStyle w:val="BookText"/>
      </w:pPr>
      <w:r>
        <w:rPr>
          <w:rFonts w:ascii="Amiri" w:hAnsi="Amiri" w:eastAsia="Amiri" w:cs="Amiri"/>
          <w:lang w:bidi="ar-SA"/>
          <w:color w:val="111111"/>
          <w:sz w:val="28"/>
          <w:szCs w:val="28"/>
          <w:rtl/>
        </w:rPr>
        <w:t xml:space="preserve">ثمّ إنّ بعض متأخّری المتأخّرین ذکر ثمرات أُخر لا بأس بذکرها للتنبّه بها</w:t>
      </w:r>
      <w:r>
        <w:rPr>
          <w:rStyle w:val="FootnoteReference"/>
        </w:rPr>
        <w:footnoteReference w:id="3515"/>
      </w:r>
    </w:p>
    <w:p>
      <w:pPr>
        <w:pStyle w:val="BookText"/>
      </w:pPr>
      <w:r>
        <w:rPr>
          <w:rFonts w:ascii="IRNazanin" w:hAnsi="IRNazanin" w:eastAsia="IRNazanin" w:cs="IRNazanin"/>
          <w:lang w:bidi="fa-IR"/>
          <w:color w:val="111111"/>
          <w:sz w:val="28"/>
          <w:szCs w:val="28"/>
          <w:rtl/>
        </w:rPr>
        <w:t xml:space="preserve">و بما یمکن أن یقال علیها:</w:t>
      </w:r>
    </w:p>
    <w:p>
      <w:pPr>
        <w:pStyle w:val="BookText"/>
      </w:pPr>
      <w:r>
        <w:rPr>
          <w:rFonts w:ascii="IRNazanin" w:hAnsi="IRNazanin" w:eastAsia="IRNazanin" w:cs="IRNazanin"/>
          <w:lang w:bidi="fa-IR"/>
          <w:color w:val="111111"/>
          <w:sz w:val="28"/>
          <w:szCs w:val="28"/>
          <w:rtl/>
        </w:rPr>
        <w:t xml:space="preserve">منها:ما لو انسلخت قابلیّة الملک عن أحد المتبایعین بموته قبل إجازة الآخر أو بعروض کفر بارتداد فطریّ أو غیره مع کون المبیع عبداً مسلماً أو مُصحَفاً،فیصحّ حینئذٍ علی الکشف دون النقل.</w:t>
      </w:r>
    </w:p>
    <w:p>
      <w:pPr>
        <w:pStyle w:val="BookText"/>
      </w:pPr>
      <w:r>
        <w:rPr>
          <w:rFonts w:ascii="IRNazanin" w:hAnsi="IRNazanin" w:eastAsia="IRNazanin" w:cs="IRNazanin"/>
          <w:lang w:bidi="fa-IR"/>
          <w:color w:val="111111"/>
          <w:sz w:val="28"/>
          <w:szCs w:val="28"/>
          <w:rtl/>
        </w:rPr>
        <w:t xml:space="preserve">و کذا لو انسلخت قابلیّة المنقول بتلفٍ أو عروض نجاسة له مع میعانه...إلی غیر ذلک.</w:t>
      </w:r>
    </w:p>
    <w:p>
      <w:pPr>
        <w:pStyle w:val="BookText"/>
      </w:pPr>
      <w:r>
        <w:rPr>
          <w:rFonts w:ascii="IRNazanin" w:hAnsi="IRNazanin" w:eastAsia="IRNazanin" w:cs="IRNazanin"/>
          <w:lang w:bidi="fa-IR"/>
          <w:color w:val="111111"/>
          <w:sz w:val="28"/>
          <w:szCs w:val="28"/>
          <w:rtl/>
        </w:rPr>
        <w:t xml:space="preserve">و فی مقابله ما لو تجدّدت القابلیة قبل الإجازة بعد انعدامها حال العقد،کما لو تجدّدت الثمرة و بدا صلاحها بعد العقد قبل الإجازة،و فیما قارن العقد فقد الشروط </w:t>
      </w:r>
      <w:r>
        <w:rPr>
          <w:rStyle w:val="FootnoteReference"/>
        </w:rPr>
        <w:footnoteReference w:id="3516"/>
      </w:r>
      <w:r>
        <w:rPr>
          <w:rFonts w:ascii="Amiri" w:hAnsi="Amiri" w:eastAsia="Amiri" w:cs="Amiri"/>
          <w:lang w:bidi="ar-SA"/>
          <w:color w:val="111111"/>
          <w:sz w:val="28"/>
          <w:szCs w:val="28"/>
          <w:rtl/>
        </w:rPr>
        <w:t xml:space="preserve">ثمّ حصلت </w:t>
      </w:r>
      <w:r>
        <w:rPr>
          <w:rStyle w:val="FootnoteReference"/>
        </w:rPr>
        <w:footnoteReference w:id="3517"/>
      </w:r>
      <w:r>
        <w:rPr>
          <w:rFonts w:ascii="IRNazanin" w:hAnsi="IRNazanin" w:eastAsia="IRNazanin" w:cs="IRNazanin"/>
          <w:lang w:bidi="fa-IR"/>
          <w:color w:val="111111"/>
          <w:sz w:val="28"/>
          <w:szCs w:val="28"/>
          <w:rtl/>
        </w:rPr>
        <w:t xml:space="preserve">و بالعکس </w:t>
      </w:r>
      <w:r>
        <w:rPr>
          <w:rStyle w:val="FootnoteReference"/>
        </w:rPr>
        <w:footnoteReference w:id="35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ربما یعترض </w:t>
      </w:r>
      <w:r>
        <w:rPr>
          <w:rStyle w:val="FootnoteReference"/>
        </w:rPr>
        <w:footnoteReference w:id="3519"/>
      </w:r>
      <w:r>
        <w:rPr>
          <w:rFonts w:ascii="IRNazanin" w:hAnsi="IRNazanin" w:eastAsia="IRNazanin" w:cs="IRNazanin"/>
          <w:lang w:bidi="fa-IR"/>
          <w:color w:val="111111"/>
          <w:sz w:val="28"/>
          <w:szCs w:val="28"/>
          <w:rtl/>
        </w:rPr>
        <w:t xml:space="preserve">علی الأوّل:بإمکان دعوی ظهور الأدلّة فی</w:t>
      </w:r>
    </w:p>
    <w:p>
      <w:pPr>
        <w:pStyle w:val="BookText"/>
      </w:pPr>
      <w:r>
        <w:rPr>
          <w:rFonts w:ascii="IRNazanin" w:hAnsi="IRNazanin" w:eastAsia="IRNazanin" w:cs="IRNazanin"/>
          <w:lang w:bidi="fa-IR"/>
          <w:color w:val="111111"/>
          <w:sz w:val="28"/>
          <w:szCs w:val="28"/>
          <w:rtl/>
        </w:rPr>
        <w:t xml:space="preserve">[شماره صفحه واقعی : 418]
</w:t>
      </w:r>
    </w:p>
    <w:p>
      <w:pPr>
        <w:sectPr>
          <w:footerReference w:type="default" r:id="rId10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اعتبار استمرار القابلیة إلی حین الإجازة علی الکشف،فیکشف الإجازة عن حدوث الملک من حین العقد مستمرّاً إلی حین الإجازة.</w:t>
      </w:r>
    </w:p>
    <w:p>
      <w:pPr>
        <w:pStyle w:val="BookText"/>
      </w:pPr>
      <w:r>
        <w:rPr>
          <w:rFonts w:ascii="IRNazanin" w:hAnsi="IRNazanin" w:eastAsia="IRNazanin" w:cs="IRNazanin"/>
          <w:lang w:bidi="fa-IR"/>
          <w:color w:val="111111"/>
          <w:sz w:val="28"/>
          <w:szCs w:val="28"/>
          <w:rtl/>
        </w:rPr>
        <w:t xml:space="preserve">و فیه:أنّه لا وجه لاعتبار استمرار القابلیّة،و لا استمرار التملّک المکشوف عنه بالإجازة إلی حینها،کما لو وقعت بیوع متعدّدة علی ماله </w:t>
      </w:r>
      <w:r>
        <w:rPr>
          <w:rStyle w:val="FootnoteReference"/>
        </w:rPr>
        <w:footnoteReference w:id="3520"/>
      </w:r>
      <w:r>
        <w:rPr>
          <w:rFonts w:ascii="Amiri" w:hAnsi="Amiri" w:eastAsia="Amiri" w:cs="Amiri"/>
          <w:lang w:bidi="ar-SA"/>
          <w:color w:val="111111"/>
          <w:sz w:val="28"/>
          <w:szCs w:val="28"/>
          <w:rtl/>
        </w:rPr>
        <w:t xml:space="preserve">،فإنّهم صرّحوا بأنّ إجازة الأوّل توجب صحّة الجمیع </w:t>
      </w:r>
      <w:r>
        <w:rPr>
          <w:rStyle w:val="FootnoteReference"/>
        </w:rPr>
        <w:footnoteReference w:id="3521"/>
      </w:r>
      <w:r>
        <w:rPr>
          <w:rFonts w:ascii="IRNazanin" w:hAnsi="IRNazanin" w:eastAsia="IRNazanin" w:cs="IRNazanin"/>
          <w:lang w:bidi="fa-IR"/>
          <w:color w:val="111111"/>
          <w:sz w:val="28"/>
          <w:szCs w:val="28"/>
          <w:rtl/>
        </w:rPr>
        <w:t xml:space="preserve">،مع عدم بقاء مالکیة الأوّل مستمرّاً،و کما یشعر بعض أخبار المسألة المتقدّمة؛حیث إنّ ظاهر بعضها و صریح الآخر </w:t>
      </w:r>
      <w:r>
        <w:rPr>
          <w:rStyle w:val="FootnoteReference"/>
        </w:rPr>
        <w:footnoteReference w:id="3522"/>
      </w:r>
      <w:r>
        <w:rPr>
          <w:rFonts w:ascii="IRNazanin" w:hAnsi="IRNazanin" w:eastAsia="IRNazanin" w:cs="IRNazanin"/>
          <w:lang w:bidi="fa-IR"/>
          <w:color w:val="111111"/>
          <w:sz w:val="28"/>
          <w:szCs w:val="28"/>
          <w:rtl/>
        </w:rPr>
        <w:t xml:space="preserve">عدم اعتبار حیاة المتعاقدین حال الإجازة،مضافاً إلی فحوی خبر تزویج الصغیرین </w:t>
      </w:r>
      <w:r>
        <w:rPr>
          <w:rStyle w:val="FootnoteReference"/>
        </w:rPr>
        <w:footnoteReference w:id="3523"/>
      </w:r>
      <w:r>
        <w:rPr>
          <w:rFonts w:ascii="Amiri" w:hAnsi="Amiri" w:eastAsia="Amiri" w:cs="Amiri"/>
          <w:lang w:bidi="ar-SA"/>
          <w:color w:val="111111"/>
          <w:sz w:val="28"/>
          <w:szCs w:val="28"/>
          <w:rtl/>
        </w:rPr>
        <w:t xml:space="preserve">الذی یصلح ردّاً </w:t>
      </w:r>
      <w:r>
        <w:rPr>
          <w:rStyle w:val="FootnoteReference"/>
        </w:rPr>
        <w:footnoteReference w:id="3524"/>
      </w:r>
      <w:r>
        <w:rPr>
          <w:rFonts w:ascii="IRNazanin" w:hAnsi="IRNazanin" w:eastAsia="IRNazanin" w:cs="IRNazanin"/>
          <w:lang w:bidi="fa-IR"/>
          <w:color w:val="111111"/>
          <w:sz w:val="28"/>
          <w:szCs w:val="28"/>
          <w:rtl/>
        </w:rPr>
        <w:t xml:space="preserve">لما ذکر فی الثمرة الثانیة-أعنی:خروج المنقول عن قابلیة تعلّق إنشاء عقد أو إجازة به؛لتلف و شبهه-فإنّ موت أحد الزوجین کتلف أحد العوضین فی فوات أحد رکنی العقد،مضافاً إلی إطلاق روایة عروة </w:t>
      </w:r>
      <w:r>
        <w:rPr>
          <w:rStyle w:val="FootnoteReference"/>
        </w:rPr>
        <w:footnoteReference w:id="3525"/>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[*ستوده]</w:t>
      </w:r>
    </w:p>
    <w:p>
      <w:pPr>
        <w:pStyle w:val="BookText"/>
      </w:pPr>
      <w:r>
        <w:rPr>
          <w:rFonts w:ascii="IRNazanin" w:hAnsi="IRNazanin" w:eastAsia="IRNazanin" w:cs="IRNazanin"/>
          <w:lang w:bidi="fa-IR"/>
          <w:color w:val="111111"/>
          <w:sz w:val="28"/>
          <w:szCs w:val="28"/>
          <w:rtl/>
        </w:rPr>
        <w:t xml:space="preserve">حیث لم یستفصل النبیّ صلّی اللّه علیه و آله و سلم عن موت الشاة أو ذبحه و إتلافه </w:t>
      </w:r>
      <w:r>
        <w:rPr>
          <w:rStyle w:val="FootnoteReference"/>
        </w:rPr>
        <w:footnoteReference w:id="35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419]
</w:t>
      </w:r>
    </w:p>
    <w:p>
      <w:pPr>
        <w:sectPr>
          <w:footerReference w:type="default" r:id="rId10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نعم،ما ذکره أخیراً من تجدّد القابلیّة بعد العقد حال الإجازة لا یصلح ثمرة للمسألة؛لبطلان العقد ظاهراً علی القولین،و کذا فیما لو قارن العقد فقد الشرط.</w:t>
      </w:r>
    </w:p>
    <w:p>
      <w:pPr>
        <w:pStyle w:val="BookText"/>
      </w:pPr>
      <w:r>
        <w:rPr>
          <w:rFonts w:ascii="IRNazanin" w:hAnsi="IRNazanin" w:eastAsia="IRNazanin" w:cs="IRNazanin"/>
          <w:lang w:bidi="fa-IR"/>
          <w:color w:val="111111"/>
          <w:sz w:val="28"/>
          <w:szCs w:val="28"/>
          <w:rtl/>
        </w:rPr>
        <w:t xml:space="preserve">و بالجملة،فباب المناقشة و إن کان واسعاً،إلّا أنّ الأرجح فی النظر ما ذکرناه.</w:t>
      </w:r>
    </w:p>
    <w:p>
      <w:pPr>
        <w:pStyle w:val="BookText"/>
      </w:pPr>
      <w:r>
        <w:rPr>
          <w:rFonts w:ascii="IRNazanin" w:hAnsi="IRNazanin" w:eastAsia="IRNazanin" w:cs="IRNazanin"/>
          <w:lang w:bidi="fa-IR"/>
          <w:color w:val="111111"/>
          <w:sz w:val="28"/>
          <w:szCs w:val="28"/>
          <w:rtl/>
        </w:rPr>
        <w:t xml:space="preserve">و ربما یقال </w:t>
      </w:r>
      <w:r>
        <w:rPr>
          <w:rStyle w:val="FootnoteReference"/>
        </w:rPr>
        <w:footnoteReference w:id="3527"/>
      </w:r>
      <w:r>
        <w:rPr>
          <w:rFonts w:ascii="IRNazanin" w:hAnsi="IRNazanin" w:eastAsia="IRNazanin" w:cs="IRNazanin"/>
          <w:lang w:bidi="fa-IR"/>
          <w:color w:val="111111"/>
          <w:sz w:val="28"/>
          <w:szCs w:val="28"/>
          <w:rtl/>
        </w:rPr>
        <w:t xml:space="preserve">بظهور الثمرة فی تعلّق الخیارات و حقّ الشفعة و احتساب مبدأ الخیارات و معرفة مجلس الصرف و السلم و الایمان و النذور المتعلّقة بمال البائع أو المشتری،و تظهر الثمرة أیضاً فی العقود المترتّبة علی الثمن أو المثمن،و سیأتی إن شاء اللّه.</w:t>
      </w:r>
    </w:p>
    <w:p>
      <w:pPr>
        <w:pStyle w:val="BookText"/>
      </w:pPr>
      <w:r>
        <w:rPr>
          <w:rFonts w:ascii="IRNazanin" w:hAnsi="IRNazanin" w:eastAsia="IRNazanin" w:cs="IRNazanin"/>
          <w:lang w:bidi="fa-IR"/>
          <w:color w:val="111111"/>
          <w:sz w:val="28"/>
          <w:szCs w:val="28"/>
          <w:rtl/>
        </w:rPr>
        <w:t xml:space="preserve">[شماره صفحه واقعی : 420]
</w:t>
      </w:r>
    </w:p>
    <w:p>
      <w:pPr>
        <w:sectPr>
          <w:footerReference w:type="default" r:id="rId1099"/>
          <w:footnotePr>
            <w:numStart w:val="1"/>
            <w:numRestart w:val="eachPage"/>
          </w:footnotePr>
          <w:pgSz w:orient="portrait" w:w="11905.511811023622" w:h="16837.79527559055"/>
          <w:pgMar w:top="1440" w:right="1440" w:bottom="1440" w:left="1440" w:header="720" w:footer="720" w:gutter="0"/>
          <w:cols w:num="1" w:space="720"/>
        </w:sectPr>
      </w:pPr>
    </w:p>
    <w:bookmarkStart w:id="654" w:name="pg14411_143481"/>
    <w:bookmarkEnd w:id="654"/>
    <w:p>
      <w:pPr>
        <w:pStyle w:val="Heading6"/>
      </w:pPr>
      <w:bookmarkStart w:id="2298" w:name="_Toc1333"/>
      <w:r>
        <w:t>[أما شروطها]</w:t>
      </w:r>
      <w:bookmarkEnd w:id="2298"/>
    </w:p>
    <w:p>
      <w:pPr>
        <w:pStyle w:val="Heading6"/>
      </w:pPr>
      <w:bookmarkStart w:id="2299" w:name="_Toc1334"/>
      <w:r>
        <w:t>و ینبغی التنبیه علی أُمور</w:t>
      </w:r>
      <w:bookmarkEnd w:id="2299"/>
    </w:p>
    <w:p>
      <w:pPr>
        <w:pStyle w:val="Heading6"/>
      </w:pPr>
      <w:bookmarkStart w:id="2300" w:name="_Toc1335"/>
      <w:r>
        <w:t>الأوّل : أنّ الخلاف فی کون الإجازة کاشفة أو ناقلة لیس فی مفهومها اللغوی</w:t>
      </w:r>
      <w:bookmarkEnd w:id="2300"/>
    </w:p>
    <w:p>
      <w:pPr>
        <w:pStyle w:val="BookText"/>
      </w:pPr>
      <w:r>
        <w:rPr>
          <w:rFonts w:ascii="IRNazanin" w:hAnsi="IRNazanin" w:eastAsia="IRNazanin" w:cs="IRNazanin"/>
          <w:lang w:bidi="fa-IR"/>
          <w:color w:val="111111"/>
          <w:sz w:val="28"/>
          <w:szCs w:val="28"/>
          <w:rtl/>
        </w:rPr>
        <w:t xml:space="preserve">و معنی الإجازة وضعاً أو انصرافاً،بل فی حکمها الشرعی بحسب ملاحظة اعتبار رضا المالک و أدلّة وجوب الوفاء بالعقود و غیرهما من الأدلّة الخارجیة،فلو قصد المجیز الإمضاء من حین الإجازة علی القول بالکشف، أو </w:t>
      </w:r>
      <w:r>
        <w:rPr>
          <w:rStyle w:val="FootnoteReference"/>
        </w:rPr>
        <w:footnoteReference w:id="3528"/>
      </w:r>
      <w:r>
        <w:rPr>
          <w:rFonts w:ascii="IRNazanin" w:hAnsi="IRNazanin" w:eastAsia="IRNazanin" w:cs="IRNazanin"/>
          <w:lang w:bidi="fa-IR"/>
          <w:color w:val="111111"/>
          <w:sz w:val="28"/>
          <w:szCs w:val="28"/>
          <w:rtl/>
        </w:rPr>
        <w:t xml:space="preserve">الإمضاء من حین العقد علی القول بالنقل،ففی صحّتها وجهان.</w:t>
      </w:r>
    </w:p>
    <w:p>
      <w:pPr>
        <w:pStyle w:val="Heading6"/>
      </w:pPr>
      <w:bookmarkStart w:id="2301" w:name="_Toc1336"/>
      <w:r>
        <w:t>الثانی : أنّه یشترط فی الإجازة أن یکون باللفظ الدالّ علیه</w:t>
      </w:r>
      <w:bookmarkEnd w:id="2301"/>
    </w:p>
    <w:p>
      <w:pPr>
        <w:pStyle w:val="Heading6"/>
      </w:pPr>
      <w:bookmarkStart w:id="2302" w:name="_Toc1337"/>
      <w:r>
        <w:t>اشارة</w:t>
      </w:r>
      <w:bookmarkEnd w:id="2302"/>
    </w:p>
    <w:p>
      <w:pPr>
        <w:pStyle w:val="BookText"/>
      </w:pPr>
      <w:r>
        <w:rPr>
          <w:rFonts w:ascii="IRNazanin" w:hAnsi="IRNazanin" w:eastAsia="IRNazanin" w:cs="IRNazanin"/>
          <w:lang w:bidi="fa-IR"/>
          <w:color w:val="111111"/>
          <w:sz w:val="28"/>
          <w:szCs w:val="28"/>
          <w:rtl/>
        </w:rPr>
        <w:t xml:space="preserve">الثانی أنّه یشترط فی الإجازة أن یکون باللفظ الدالّ علیه </w:t>
      </w:r>
      <w:r>
        <w:rPr>
          <w:rStyle w:val="FootnoteReference"/>
        </w:rPr>
        <w:footnoteReference w:id="3529"/>
      </w:r>
      <w:r>
        <w:rPr>
          <w:rFonts w:ascii="IRNazanin" w:hAnsi="IRNazanin" w:eastAsia="IRNazanin" w:cs="IRNazanin"/>
          <w:lang w:bidi="fa-IR"/>
          <w:color w:val="111111"/>
          <w:sz w:val="28"/>
          <w:szCs w:val="28"/>
          <w:rtl/>
        </w:rPr>
        <w:t xml:space="preserve">علی وجه الصراحة العرفیة،</w:t>
      </w:r>
    </w:p>
    <w:p>
      <w:pPr>
        <w:pStyle w:val="BookText"/>
      </w:pPr>
      <w:r>
        <w:rPr>
          <w:rFonts w:ascii="IRNazanin" w:hAnsi="IRNazanin" w:eastAsia="IRNazanin" w:cs="IRNazanin"/>
          <w:lang w:bidi="fa-IR"/>
          <w:color w:val="111111"/>
          <w:sz w:val="28"/>
          <w:szCs w:val="28"/>
          <w:rtl/>
        </w:rPr>
        <w:t xml:space="preserve">کقوله:«أمضیت»و«أجزت»و«أنفذت»و«رضیت»، و شبه ذلک.</w:t>
      </w:r>
    </w:p>
    <w:p>
      <w:pPr>
        <w:pStyle w:val="BookText"/>
      </w:pPr>
      <w:r>
        <w:rPr>
          <w:rFonts w:ascii="IRNazanin" w:hAnsi="IRNazanin" w:eastAsia="IRNazanin" w:cs="IRNazanin"/>
          <w:lang w:bidi="fa-IR"/>
          <w:color w:val="111111"/>
          <w:sz w:val="28"/>
          <w:szCs w:val="28"/>
          <w:rtl/>
        </w:rPr>
        <w:t xml:space="preserve">و ظاهر روایة البارقی </w:t>
      </w:r>
      <w:r>
        <w:rPr>
          <w:rStyle w:val="FootnoteReference"/>
        </w:rPr>
        <w:footnoteReference w:id="3530"/>
      </w:r>
      <w:r>
        <w:rPr>
          <w:rFonts w:ascii="IRNazanin" w:hAnsi="IRNazanin" w:eastAsia="IRNazanin" w:cs="IRNazanin"/>
          <w:lang w:bidi="fa-IR"/>
          <w:color w:val="111111"/>
          <w:sz w:val="28"/>
          <w:szCs w:val="28"/>
          <w:rtl/>
        </w:rPr>
        <w:t xml:space="preserve">وقوعها بالکنایة،و لیس ببعید إذا اتّکل</w:t>
      </w:r>
    </w:p>
    <w:p>
      <w:pPr>
        <w:pStyle w:val="BookText"/>
      </w:pPr>
      <w:r>
        <w:rPr>
          <w:rFonts w:ascii="IRNazanin" w:hAnsi="IRNazanin" w:eastAsia="IRNazanin" w:cs="IRNazanin"/>
          <w:lang w:bidi="fa-IR"/>
          <w:color w:val="111111"/>
          <w:sz w:val="28"/>
          <w:szCs w:val="28"/>
          <w:rtl/>
        </w:rPr>
        <w:t xml:space="preserve">[شماره صفحه واقعی : 421]
</w:t>
      </w:r>
    </w:p>
    <w:p>
      <w:pPr>
        <w:sectPr>
          <w:footerReference w:type="default" r:id="rId1100"/>
          <w:footnotePr>
            <w:numStart w:val="1"/>
            <w:numRestart w:val="eachPage"/>
          </w:footnotePr>
          <w:pgSz w:orient="portrait" w:w="11905.511811023622" w:h="16837.79527559055"/>
          <w:pgMar w:top="1440" w:right="1440" w:bottom="1440" w:left="1440" w:header="720" w:footer="720" w:gutter="0"/>
          <w:cols w:num="1" w:space="720"/>
        </w:sectPr>
      </w:pPr>
    </w:p>
    <w:bookmarkStart w:id="655" w:name="pg14411_143482"/>
    <w:bookmarkEnd w:id="655"/>
    <w:p>
      <w:pPr>
        <w:pStyle w:val="BookText"/>
      </w:pPr>
      <w:r>
        <w:rPr>
          <w:rFonts w:ascii="IRNazanin" w:hAnsi="IRNazanin" w:eastAsia="IRNazanin" w:cs="IRNazanin"/>
          <w:lang w:bidi="fa-IR"/>
          <w:color w:val="111111"/>
          <w:sz w:val="28"/>
          <w:szCs w:val="28"/>
          <w:rtl/>
        </w:rPr>
        <w:t xml:space="preserve">علیه </w:t>
      </w:r>
      <w:r>
        <w:rPr>
          <w:rStyle w:val="FootnoteReference"/>
        </w:rPr>
        <w:footnoteReference w:id="3531"/>
      </w:r>
      <w:r>
        <w:rPr>
          <w:rFonts w:ascii="Amiri" w:hAnsi="Amiri" w:eastAsia="Amiri" w:cs="Amiri"/>
          <w:lang w:bidi="ar-SA"/>
          <w:color w:val="111111"/>
          <w:sz w:val="28"/>
          <w:szCs w:val="28"/>
          <w:rtl/>
        </w:rPr>
        <w:t xml:space="preserve">عرفاً.</w:t>
      </w:r>
    </w:p>
    <w:p>
      <w:pPr>
        <w:pStyle w:val="Heading6"/>
      </w:pPr>
      <w:bookmarkStart w:id="2303" w:name="_Toc1338"/>
      <w:r>
        <w:t>[کفایة الفعل الکاشف عن الرضا فی الإجازة]</w:t>
      </w:r>
      <w:bookmarkEnd w:id="2303"/>
    </w:p>
    <w:p>
      <w:pPr>
        <w:pStyle w:val="BookText"/>
      </w:pPr>
      <w:r>
        <w:rPr>
          <w:rFonts w:ascii="IRNazanin" w:hAnsi="IRNazanin" w:eastAsia="IRNazanin" w:cs="IRNazanin"/>
          <w:lang w:bidi="fa-IR"/>
          <w:color w:val="111111"/>
          <w:sz w:val="28"/>
          <w:szCs w:val="28"/>
          <w:rtl/>
        </w:rPr>
        <w:t xml:space="preserve">و الظاهر أنّ الفعل الکاشف عرفاً عن الرضا بالعقد کافٍ، کالتصرّف فی الثمن،و منه إجازة البیع الواقع علیه-کما سیجیء </w:t>
      </w:r>
      <w:r>
        <w:rPr>
          <w:rStyle w:val="FootnoteReference"/>
        </w:rPr>
        <w:footnoteReference w:id="3532"/>
      </w:r>
      <w:r>
        <w:rPr>
          <w:rFonts w:ascii="IRNazanin" w:hAnsi="IRNazanin" w:eastAsia="IRNazanin" w:cs="IRNazanin"/>
          <w:lang w:bidi="fa-IR"/>
          <w:color w:val="111111"/>
          <w:sz w:val="28"/>
          <w:szCs w:val="28"/>
          <w:rtl/>
        </w:rPr>
        <w:t xml:space="preserve">- و کتمکین الزوجة من الدخول بها إذا زوّجت فضولاً،کما صرّح به العلّامة قدّس سرّه </w:t>
      </w:r>
      <w:r>
        <w:rPr>
          <w:rStyle w:val="FootnoteReference"/>
        </w:rPr>
        <w:footnoteReference w:id="35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ربما یحکی عن بعضٍ اعتبار اللفظ </w:t>
      </w:r>
      <w:r>
        <w:rPr>
          <w:rStyle w:val="FootnoteReference"/>
        </w:rPr>
        <w:footnoteReference w:id="3534"/>
      </w:r>
      <w:r>
        <w:rPr>
          <w:rFonts w:ascii="IRNazanin" w:hAnsi="IRNazanin" w:eastAsia="IRNazanin" w:cs="IRNazanin"/>
          <w:lang w:bidi="fa-IR"/>
          <w:color w:val="111111"/>
          <w:sz w:val="28"/>
          <w:szCs w:val="28"/>
          <w:rtl/>
        </w:rPr>
        <w:t xml:space="preserve">،بل نسب إلی صریح جماعة و ظاهر آخرین </w:t>
      </w:r>
      <w:r>
        <w:rPr>
          <w:rStyle w:val="FootnoteReference"/>
        </w:rPr>
        <w:footnoteReference w:id="3535"/>
      </w:r>
      <w:r>
        <w:rPr>
          <w:rFonts w:ascii="IRNazanin" w:hAnsi="IRNazanin" w:eastAsia="IRNazanin" w:cs="IRNazanin"/>
          <w:lang w:bidi="fa-IR"/>
          <w:color w:val="111111"/>
          <w:sz w:val="28"/>
          <w:szCs w:val="28"/>
          <w:rtl/>
        </w:rPr>
        <w:t xml:space="preserve">،و فی النسبة نظر.</w:t>
      </w:r>
    </w:p>
    <w:p>
      <w:pPr>
        <w:pStyle w:val="BookText"/>
      </w:pPr>
      <w:r>
        <w:rPr>
          <w:rFonts w:ascii="IRNazanin" w:hAnsi="IRNazanin" w:eastAsia="IRNazanin" w:cs="IRNazanin"/>
          <w:lang w:bidi="fa-IR"/>
          <w:color w:val="111111"/>
          <w:sz w:val="28"/>
          <w:szCs w:val="28"/>
          <w:rtl/>
        </w:rPr>
        <w:t xml:space="preserve">و استدلّ علیه بعضهم </w:t>
      </w:r>
      <w:r>
        <w:rPr>
          <w:rStyle w:val="FootnoteReference"/>
        </w:rPr>
        <w:footnoteReference w:id="3536"/>
      </w:r>
      <w:r>
        <w:rPr>
          <w:rFonts w:ascii="Amiri" w:hAnsi="Amiri" w:eastAsia="Amiri" w:cs="Amiri"/>
          <w:lang w:bidi="ar-SA"/>
          <w:color w:val="111111"/>
          <w:sz w:val="28"/>
          <w:szCs w:val="28"/>
          <w:rtl/>
        </w:rPr>
        <w:t xml:space="preserve">:من أنّه </w:t>
      </w:r>
      <w:r>
        <w:rPr>
          <w:rStyle w:val="FootnoteReference"/>
        </w:rPr>
        <w:footnoteReference w:id="3537"/>
      </w:r>
      <w:r>
        <w:rPr>
          <w:rFonts w:ascii="IRNazanin" w:hAnsi="IRNazanin" w:eastAsia="IRNazanin" w:cs="IRNazanin"/>
          <w:lang w:bidi="fa-IR"/>
          <w:color w:val="111111"/>
          <w:sz w:val="28"/>
          <w:szCs w:val="28"/>
          <w:rtl/>
        </w:rPr>
        <w:t xml:space="preserve">کالبیع فی استقرار الملک،و هو یشبه المصادرة.</w:t>
      </w:r>
    </w:p>
    <w:p>
      <w:pPr>
        <w:pStyle w:val="BookText"/>
      </w:pPr>
      <w:r>
        <w:rPr>
          <w:rFonts w:ascii="IRNazanin" w:hAnsi="IRNazanin" w:eastAsia="IRNazanin" w:cs="IRNazanin"/>
          <w:lang w:bidi="fa-IR"/>
          <w:color w:val="111111"/>
          <w:sz w:val="28"/>
          <w:szCs w:val="28"/>
          <w:rtl/>
        </w:rPr>
        <w:t xml:space="preserve">و یمکن أن یوجّه:بأنّ الاستقراء فی النواقل الاختیاریة اللازمة -کالبیع و شبهه-یقتضی اعتبار اللفظ،و من المعلوم أنّ النقل الحقیقی العرفی من المالک یحصل بتأثیر الإجازة.</w:t>
      </w:r>
    </w:p>
    <w:p>
      <w:pPr>
        <w:pStyle w:val="BookText"/>
      </w:pPr>
      <w:r>
        <w:rPr>
          <w:rFonts w:ascii="IRNazanin" w:hAnsi="IRNazanin" w:eastAsia="IRNazanin" w:cs="IRNazanin"/>
          <w:lang w:bidi="fa-IR"/>
          <w:color w:val="111111"/>
          <w:sz w:val="28"/>
          <w:szCs w:val="28"/>
          <w:rtl/>
        </w:rPr>
        <w:t xml:space="preserve">و فیه نظر،بل لو لا شبهة الإجماع الحاصلة من عبارة جماعة من المعاصرین </w:t>
      </w:r>
      <w:r>
        <w:rPr>
          <w:rStyle w:val="FootnoteReference"/>
        </w:rPr>
        <w:footnoteReference w:id="3538"/>
      </w:r>
      <w:r>
        <w:rPr>
          <w:rFonts w:ascii="IRNazanin" w:hAnsi="IRNazanin" w:eastAsia="IRNazanin" w:cs="IRNazanin"/>
          <w:lang w:bidi="fa-IR"/>
          <w:color w:val="111111"/>
          <w:sz w:val="28"/>
          <w:szCs w:val="28"/>
          <w:rtl/>
        </w:rPr>
        <w:t xml:space="preserve">تعیّن القول بکفایة نفس الرضا إذا علم حصوله من أیّ</w:t>
      </w:r>
    </w:p>
    <w:p>
      <w:pPr>
        <w:pStyle w:val="BookText"/>
      </w:pPr>
      <w:r>
        <w:rPr>
          <w:rFonts w:ascii="IRNazanin" w:hAnsi="IRNazanin" w:eastAsia="IRNazanin" w:cs="IRNazanin"/>
          <w:lang w:bidi="fa-IR"/>
          <w:color w:val="111111"/>
          <w:sz w:val="28"/>
          <w:szCs w:val="28"/>
          <w:rtl/>
        </w:rPr>
        <w:t xml:space="preserve">[شماره صفحه واقعی : 422]
</w:t>
      </w:r>
    </w:p>
    <w:p>
      <w:pPr>
        <w:sectPr>
          <w:footerReference w:type="default" r:id="rId1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طریق،کما یستظهر من کثیر من الفتاوی </w:t>
      </w:r>
      <w:r>
        <w:rPr>
          <w:rStyle w:val="FootnoteReference"/>
        </w:rPr>
        <w:footnoteReference w:id="3539"/>
      </w:r>
      <w:r>
        <w:rPr>
          <w:rFonts w:ascii="IRNazanin" w:hAnsi="IRNazanin" w:eastAsia="IRNazanin" w:cs="IRNazanin"/>
          <w:lang w:bidi="fa-IR"/>
          <w:color w:val="111111"/>
          <w:sz w:val="28"/>
          <w:szCs w:val="28"/>
          <w:rtl/>
        </w:rPr>
        <w:t xml:space="preserve">و النصوص </w:t>
      </w:r>
      <w:r>
        <w:rPr>
          <w:rStyle w:val="FootnoteReference"/>
        </w:rPr>
        <w:footnoteReference w:id="35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فقد علّل جماعة </w:t>
      </w:r>
      <w:r>
        <w:rPr>
          <w:rStyle w:val="FootnoteReference"/>
        </w:rPr>
        <w:footnoteReference w:id="3541"/>
      </w:r>
      <w:r>
        <w:rPr>
          <w:rFonts w:ascii="IRNazanin" w:hAnsi="IRNazanin" w:eastAsia="IRNazanin" w:cs="IRNazanin"/>
          <w:lang w:bidi="fa-IR"/>
          <w:color w:val="111111"/>
          <w:sz w:val="28"/>
          <w:szCs w:val="28"/>
          <w:rtl/>
        </w:rPr>
        <w:t xml:space="preserve">عدم کفایة السکوت فی الإجازة بکونه أعمّ من الرضا فلا یدلّ علیه،فالعدول عن التعلیل بعدم اللفظ إلی عدم الدلالة کالصریح فیما ذکرنا.</w:t>
      </w:r>
    </w:p>
    <w:p>
      <w:pPr>
        <w:pStyle w:val="BookText"/>
      </w:pPr>
      <w:r>
        <w:rPr>
          <w:rFonts w:ascii="IRNazanin" w:hAnsi="IRNazanin" w:eastAsia="IRNazanin" w:cs="IRNazanin"/>
          <w:lang w:bidi="fa-IR"/>
          <w:color w:val="111111"/>
          <w:sz w:val="28"/>
          <w:szCs w:val="28"/>
          <w:rtl/>
        </w:rPr>
        <w:t xml:space="preserve">و حکی عن آخرین </w:t>
      </w:r>
      <w:r>
        <w:rPr>
          <w:rStyle w:val="FootnoteReference"/>
        </w:rPr>
        <w:footnoteReference w:id="3542"/>
      </w:r>
      <w:r>
        <w:rPr>
          <w:rFonts w:ascii="IRNazanin" w:hAnsi="IRNazanin" w:eastAsia="IRNazanin" w:cs="IRNazanin"/>
          <w:lang w:bidi="fa-IR"/>
          <w:color w:val="111111"/>
          <w:sz w:val="28"/>
          <w:szCs w:val="28"/>
          <w:rtl/>
        </w:rPr>
        <w:t xml:space="preserve">أنّه إذا أنکر الموکّل الإذن فیما أوقعه الوکیل من المعاملة فحلف انفسخت؛لأنّ الحلف یدلّ علی کراهتها.</w:t>
      </w:r>
    </w:p>
    <w:p>
      <w:pPr>
        <w:pStyle w:val="BookText"/>
      </w:pPr>
      <w:r>
        <w:rPr>
          <w:rFonts w:ascii="IRNazanin" w:hAnsi="IRNazanin" w:eastAsia="IRNazanin" w:cs="IRNazanin"/>
          <w:lang w:bidi="fa-IR"/>
          <w:color w:val="111111"/>
          <w:sz w:val="28"/>
          <w:szCs w:val="28"/>
          <w:rtl/>
        </w:rPr>
        <w:t xml:space="preserve">و ذکر بعض:أنّه یکفی فی إجازة البکر للعقد الواقع علیها فضولاً سکوتها </w:t>
      </w:r>
      <w:r>
        <w:rPr>
          <w:rStyle w:val="FootnoteReference"/>
        </w:rPr>
        <w:footnoteReference w:id="35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المعلوم:أن لیس المراد من ذلک أنّه لا یحتاج إلی إجازتها، بل المراد کفایة السکوت الظاهر فی الرضا و إن لم یفد القطع؛دفعاً</w:t>
      </w:r>
    </w:p>
    <w:p>
      <w:pPr>
        <w:pStyle w:val="BookText"/>
      </w:pPr>
      <w:r>
        <w:rPr>
          <w:rFonts w:ascii="IRNazanin" w:hAnsi="IRNazanin" w:eastAsia="IRNazanin" w:cs="IRNazanin"/>
          <w:lang w:bidi="fa-IR"/>
          <w:color w:val="111111"/>
          <w:sz w:val="28"/>
          <w:szCs w:val="28"/>
          <w:rtl/>
        </w:rPr>
        <w:t xml:space="preserve">[شماره صفحه واقعی : 423]
</w:t>
      </w:r>
    </w:p>
    <w:p>
      <w:pPr>
        <w:sectPr>
          <w:footerReference w:type="default" r:id="rId1102"/>
          <w:footnotePr>
            <w:numStart w:val="1"/>
            <w:numRestart w:val="eachPage"/>
          </w:footnotePr>
          <w:pgSz w:orient="portrait" w:w="11905.511811023622" w:h="16837.79527559055"/>
          <w:pgMar w:top="1440" w:right="1440" w:bottom="1440" w:left="1440" w:header="720" w:footer="720" w:gutter="0"/>
          <w:cols w:num="1" w:space="720"/>
        </w:sectPr>
      </w:pPr>
    </w:p>
    <w:bookmarkStart w:id="656" w:name="pg14411_143484"/>
    <w:bookmarkEnd w:id="656"/>
    <w:p>
      <w:pPr>
        <w:pStyle w:val="BookText"/>
      </w:pPr>
      <w:r>
        <w:rPr>
          <w:rFonts w:ascii="IRNazanin" w:hAnsi="IRNazanin" w:eastAsia="IRNazanin" w:cs="IRNazanin"/>
          <w:lang w:bidi="fa-IR"/>
          <w:color w:val="111111"/>
          <w:sz w:val="28"/>
          <w:szCs w:val="28"/>
          <w:rtl/>
        </w:rPr>
        <w:t xml:space="preserve">للحرج علیها و علینا.</w:t>
      </w:r>
    </w:p>
    <w:p>
      <w:pPr>
        <w:pStyle w:val="Heading6"/>
      </w:pPr>
      <w:bookmarkStart w:id="2304" w:name="_Toc1339"/>
      <w:r>
        <w:t>[کفایة الرضا الباطنی،و الاستدلال علیه]</w:t>
      </w:r>
      <w:bookmarkEnd w:id="2304"/>
    </w:p>
    <w:p>
      <w:pPr>
        <w:pStyle w:val="BookText"/>
      </w:pPr>
      <w:r>
        <w:rPr>
          <w:rFonts w:ascii="IRNazanin" w:hAnsi="IRNazanin" w:eastAsia="IRNazanin" w:cs="IRNazanin"/>
          <w:lang w:bidi="fa-IR"/>
          <w:color w:val="111111"/>
          <w:sz w:val="28"/>
          <w:szCs w:val="28"/>
          <w:rtl/>
        </w:rPr>
        <w:t xml:space="preserve">ثمّ إنّ الظاهر أنّ کلّ من قال بکفایة الفعل الکاشف عن الرضا -کأکل الثمن و تمکین الزوجة-اکتفی به من جهة الرضا المدلول علیه به، لا من جهة سببیّة الفعل تعبّداً.</w:t>
      </w:r>
    </w:p>
    <w:p>
      <w:pPr>
        <w:pStyle w:val="BookText"/>
      </w:pPr>
      <w:r>
        <w:rPr>
          <w:rFonts w:ascii="IRNazanin" w:hAnsi="IRNazanin" w:eastAsia="IRNazanin" w:cs="IRNazanin"/>
          <w:lang w:bidi="fa-IR"/>
          <w:color w:val="111111"/>
          <w:sz w:val="28"/>
          <w:szCs w:val="28"/>
          <w:rtl/>
        </w:rPr>
        <w:t xml:space="preserve">و قد صرّح غیر واحد </w:t>
      </w:r>
      <w:r>
        <w:rPr>
          <w:rStyle w:val="FootnoteReference"/>
        </w:rPr>
        <w:footnoteReference w:id="3544"/>
      </w:r>
      <w:r>
        <w:rPr>
          <w:rFonts w:ascii="IRNazanin" w:hAnsi="IRNazanin" w:eastAsia="IRNazanin" w:cs="IRNazanin"/>
          <w:lang w:bidi="fa-IR"/>
          <w:color w:val="111111"/>
          <w:sz w:val="28"/>
          <w:szCs w:val="28"/>
          <w:rtl/>
        </w:rPr>
        <w:t xml:space="preserve">بأنّه لو رضی المکره بما فعله صحّ،و لم یعبّروا بالإجازة.</w:t>
      </w:r>
    </w:p>
    <w:p>
      <w:pPr>
        <w:pStyle w:val="BookText"/>
      </w:pPr>
      <w:r>
        <w:rPr>
          <w:rFonts w:ascii="IRNazanin" w:hAnsi="IRNazanin" w:eastAsia="IRNazanin" w:cs="IRNazanin"/>
          <w:lang w:bidi="fa-IR"/>
          <w:color w:val="111111"/>
          <w:sz w:val="28"/>
          <w:szCs w:val="28"/>
          <w:rtl/>
        </w:rPr>
        <w:t xml:space="preserve">[*ستوده]</w:t>
      </w:r>
    </w:p>
    <w:p>
      <w:pPr>
        <w:pStyle w:val="BookText"/>
      </w:pPr>
      <w:r>
        <w:rPr>
          <w:rFonts w:ascii="IRNazanin" w:hAnsi="IRNazanin" w:eastAsia="IRNazanin" w:cs="IRNazanin"/>
          <w:lang w:bidi="fa-IR"/>
          <w:color w:val="111111"/>
          <w:sz w:val="28"/>
          <w:szCs w:val="28"/>
          <w:rtl/>
        </w:rPr>
        <w:t xml:space="preserve">و قد ورد فیمن زوّجت نفسها فی حال السکر:أنّها إذا أقامت معه بعد ما أفاقت فذلک رضاً منها </w:t>
      </w:r>
      <w:r>
        <w:rPr>
          <w:rStyle w:val="FootnoteReference"/>
        </w:rPr>
        <w:footnoteReference w:id="35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عرفت </w:t>
      </w:r>
      <w:r>
        <w:rPr>
          <w:rStyle w:val="FootnoteReference"/>
        </w:rPr>
        <w:footnoteReference w:id="3546"/>
      </w:r>
      <w:r>
        <w:rPr>
          <w:rFonts w:ascii="IRNazanin" w:hAnsi="IRNazanin" w:eastAsia="IRNazanin" w:cs="IRNazanin"/>
          <w:lang w:bidi="fa-IR"/>
          <w:color w:val="111111"/>
          <w:sz w:val="28"/>
          <w:szCs w:val="28"/>
          <w:rtl/>
        </w:rPr>
        <w:t xml:space="preserve">أیضاً استدلالهم علی کون الإجازة کاشفة بأنّ العقد مستجمع للشرائط عدا رضا المالک،فإذا حصل عمل السبب التامّ عمله.</w:t>
      </w:r>
    </w:p>
    <w:p>
      <w:pPr>
        <w:pStyle w:val="BookText"/>
      </w:pPr>
      <w:r>
        <w:rPr>
          <w:rFonts w:ascii="IRNazanin" w:hAnsi="IRNazanin" w:eastAsia="IRNazanin" w:cs="IRNazanin"/>
          <w:lang w:bidi="fa-IR"/>
          <w:color w:val="111111"/>
          <w:sz w:val="28"/>
          <w:szCs w:val="28"/>
          <w:rtl/>
        </w:rPr>
        <w:t xml:space="preserve">و بالجملة،فدعوی الإجماع فی المسألة دونها خرط القتاد!و حینئذٍ فالعمومات المتمسّک بها لصحّة الفضولی </w:t>
      </w:r>
      <w:r>
        <w:rPr>
          <w:rStyle w:val="FootnoteReference"/>
        </w:rPr>
        <w:footnoteReference w:id="3547"/>
      </w:r>
      <w:r>
        <w:rPr>
          <w:rFonts w:ascii="IRNazanin" w:hAnsi="IRNazanin" w:eastAsia="IRNazanin" w:cs="IRNazanin"/>
          <w:lang w:bidi="fa-IR"/>
          <w:color w:val="111111"/>
          <w:sz w:val="28"/>
          <w:szCs w:val="28"/>
          <w:rtl/>
        </w:rPr>
        <w:t xml:space="preserve">-السالمة عن ورود مخصّص علیها،عدا ما دلّ علی اعتبار رضا المالک فی حلّ ماله و انتقاله إلی الغیر و رفع سلطنته عنه </w:t>
      </w:r>
      <w:r>
        <w:rPr>
          <w:rStyle w:val="FootnoteReference"/>
        </w:rPr>
        <w:footnoteReference w:id="3548"/>
      </w:r>
      <w:r>
        <w:rPr>
          <w:rFonts w:ascii="IRNazanin" w:hAnsi="IRNazanin" w:eastAsia="IRNazanin" w:cs="IRNazanin"/>
          <w:lang w:bidi="fa-IR"/>
          <w:color w:val="111111"/>
          <w:sz w:val="28"/>
          <w:szCs w:val="28"/>
          <w:rtl/>
        </w:rPr>
        <w:t xml:space="preserve">-أقوی حجّة فی المقام.</w:t>
      </w:r>
    </w:p>
    <w:p>
      <w:pPr>
        <w:pStyle w:val="BookText"/>
      </w:pPr>
      <w:r>
        <w:rPr>
          <w:rFonts w:ascii="IRNazanin" w:hAnsi="IRNazanin" w:eastAsia="IRNazanin" w:cs="IRNazanin"/>
          <w:lang w:bidi="fa-IR"/>
          <w:color w:val="111111"/>
          <w:sz w:val="28"/>
          <w:szCs w:val="28"/>
          <w:rtl/>
        </w:rPr>
        <w:t xml:space="preserve">مضافاً إلی ما ورد فی عدّة أخبار من أنّ سکوت المولی بعد</w:t>
      </w:r>
    </w:p>
    <w:p>
      <w:pPr>
        <w:pStyle w:val="BookText"/>
      </w:pPr>
      <w:r>
        <w:rPr>
          <w:rFonts w:ascii="IRNazanin" w:hAnsi="IRNazanin" w:eastAsia="IRNazanin" w:cs="IRNazanin"/>
          <w:lang w:bidi="fa-IR"/>
          <w:color w:val="111111"/>
          <w:sz w:val="28"/>
          <w:szCs w:val="28"/>
          <w:rtl/>
        </w:rPr>
        <w:t xml:space="preserve">[شماره صفحه واقعی : 424]
</w:t>
      </w:r>
    </w:p>
    <w:p>
      <w:pPr>
        <w:sectPr>
          <w:footerReference w:type="default" r:id="rId1103"/>
          <w:footnotePr>
            <w:numStart w:val="1"/>
            <w:numRestart w:val="eachPage"/>
          </w:footnotePr>
          <w:pgSz w:orient="portrait" w:w="11905.511811023622" w:h="16837.79527559055"/>
          <w:pgMar w:top="1440" w:right="1440" w:bottom="1440" w:left="1440" w:header="720" w:footer="720" w:gutter="0"/>
          <w:cols w:num="1" w:space="720"/>
        </w:sectPr>
      </w:pPr>
    </w:p>
    <w:bookmarkStart w:id="657" w:name="pg14411_143485"/>
    <w:bookmarkEnd w:id="657"/>
    <w:p>
      <w:pPr>
        <w:pStyle w:val="BookText"/>
      </w:pPr>
      <w:r>
        <w:rPr>
          <w:rFonts w:ascii="IRNazanin" w:hAnsi="IRNazanin" w:eastAsia="IRNazanin" w:cs="IRNazanin"/>
          <w:lang w:bidi="fa-IR"/>
          <w:color w:val="111111"/>
          <w:sz w:val="28"/>
          <w:szCs w:val="28"/>
          <w:rtl/>
        </w:rPr>
        <w:t xml:space="preserve">علمه بتزویج عبده إقرار منه له علیه </w:t>
      </w:r>
      <w:r>
        <w:rPr>
          <w:rStyle w:val="FootnoteReference"/>
        </w:rPr>
        <w:footnoteReference w:id="3549"/>
      </w:r>
      <w:r>
        <w:rPr>
          <w:rFonts w:ascii="IRNazanin" w:hAnsi="IRNazanin" w:eastAsia="IRNazanin" w:cs="IRNazanin"/>
          <w:lang w:bidi="fa-IR"/>
          <w:color w:val="111111"/>
          <w:sz w:val="28"/>
          <w:szCs w:val="28"/>
          <w:rtl/>
        </w:rPr>
        <w:t xml:space="preserve">،و ما دلّ علی أنّ قول المولی -لعبده المتزوّج بغیر إذنه-:«طلّق»،یدلّ علی الرضا بالنکاح فیصیر إجازة </w:t>
      </w:r>
      <w:r>
        <w:rPr>
          <w:rStyle w:val="FootnoteReference"/>
        </w:rPr>
        <w:footnoteReference w:id="3550"/>
      </w:r>
      <w:r>
        <w:rPr>
          <w:rFonts w:ascii="IRNazanin" w:hAnsi="IRNazanin" w:eastAsia="IRNazanin" w:cs="IRNazanin"/>
          <w:lang w:bidi="fa-IR"/>
          <w:color w:val="111111"/>
          <w:sz w:val="28"/>
          <w:szCs w:val="28"/>
          <w:rtl/>
        </w:rPr>
        <w:t xml:space="preserve">،و علی أنّ المانع من لزوم نکاح العبد بدون إذن مولاه معصیة المولی التی ترتفع بالرضا </w:t>
      </w:r>
      <w:r>
        <w:rPr>
          <w:rStyle w:val="FootnoteReference"/>
        </w:rPr>
        <w:footnoteReference w:id="3551"/>
      </w:r>
      <w:r>
        <w:rPr>
          <w:rFonts w:ascii="Amiri" w:hAnsi="Amiri" w:eastAsia="Amiri" w:cs="Amiri"/>
          <w:lang w:bidi="ar-SA"/>
          <w:color w:val="111111"/>
          <w:sz w:val="28"/>
          <w:szCs w:val="28"/>
          <w:rtl/>
        </w:rPr>
        <w:t xml:space="preserve">،و ما دلّ علی أنّ التصرّف من ذی الخیار رضاً منه </w:t>
      </w:r>
      <w:r>
        <w:rPr>
          <w:rStyle w:val="FootnoteReference"/>
        </w:rPr>
        <w:footnoteReference w:id="3552"/>
      </w:r>
      <w:r>
        <w:rPr>
          <w:rFonts w:ascii="IRNazanin" w:hAnsi="IRNazanin" w:eastAsia="IRNazanin" w:cs="IRNazanin"/>
          <w:lang w:bidi="fa-IR"/>
          <w:color w:val="111111"/>
          <w:sz w:val="28"/>
          <w:szCs w:val="28"/>
          <w:rtl/>
        </w:rPr>
        <w:t xml:space="preserve">،و غیر ذلک.</w:t>
      </w:r>
    </w:p>
    <w:p>
      <w:pPr>
        <w:pStyle w:val="Heading6"/>
      </w:pPr>
      <w:bookmarkStart w:id="2305" w:name="_Toc1340"/>
      <w:r>
        <w:t>[هل یکفی الرضا مقارنا للعقد أو سابقا علیه؟]</w:t>
      </w:r>
      <w:bookmarkEnd w:id="2305"/>
    </w:p>
    <w:p>
      <w:pPr>
        <w:pStyle w:val="BookText"/>
      </w:pPr>
      <w:r>
        <w:rPr>
          <w:rFonts w:ascii="IRNazanin" w:hAnsi="IRNazanin" w:eastAsia="IRNazanin" w:cs="IRNazanin"/>
          <w:lang w:bidi="fa-IR"/>
          <w:color w:val="111111"/>
          <w:sz w:val="28"/>
          <w:szCs w:val="28"/>
          <w:rtl/>
        </w:rPr>
        <w:t xml:space="preserve">بقی فی المقام:أنّه إذا قلنا بعدم اعتبار إنشاء الإجازة باللفظ، و کفایة مطلق الرضا أو الفعل الدالّ علیه،فینبغی أن یقال بکفایة وقوع مثل ذلک مقارناً للعقد أو سابقاً،فإذا فرضنا أنّه علم رضا </w:t>
      </w:r>
      <w:r>
        <w:rPr>
          <w:rStyle w:val="FootnoteReference"/>
        </w:rPr>
        <w:footnoteReference w:id="3553"/>
      </w:r>
      <w:r>
        <w:rPr>
          <w:rFonts w:ascii="IRNazanin" w:hAnsi="IRNazanin" w:eastAsia="IRNazanin" w:cs="IRNazanin"/>
          <w:lang w:bidi="fa-IR"/>
          <w:color w:val="111111"/>
          <w:sz w:val="28"/>
          <w:szCs w:val="28"/>
          <w:rtl/>
        </w:rPr>
        <w:t xml:space="preserve">المالک بقول أو فعل یدلّ علی رضاه ببیع ماله کفی فی اللزوم؛لأنّ ما یؤثّر بلحوقه یؤثّر بمقارنته بطریق أولی.و الظاهر أنّ الأصحاب لا یلتزمون بذلک،فمقتضی ذلک:أن لا یصحّ الإجازة إلّا بما لو وقع قبل العقد کان إذناً مخرجاً للبیع عن بیع الفضولی.</w:t>
      </w:r>
    </w:p>
    <w:p>
      <w:pPr>
        <w:pStyle w:val="BookText"/>
      </w:pPr>
      <w:r>
        <w:rPr>
          <w:rFonts w:ascii="Amiri" w:hAnsi="Amiri" w:eastAsia="Amiri" w:cs="Amiri"/>
          <w:lang w:bidi="ar-SA"/>
          <w:color w:val="111111"/>
          <w:sz w:val="28"/>
          <w:szCs w:val="28"/>
          <w:rtl/>
        </w:rPr>
        <w:t xml:space="preserve">و یؤیّد ذلک:أنّه لو کان مجرّد الرضا ملزماً،کان مجرّد الکراهة فسخاً </w:t>
      </w:r>
      <w:r>
        <w:rPr>
          <w:rStyle w:val="FootnoteReference"/>
        </w:rPr>
        <w:footnoteReference w:id="3554"/>
      </w:r>
      <w:r>
        <w:rPr>
          <w:rFonts w:ascii="IRNazanin" w:hAnsi="IRNazanin" w:eastAsia="IRNazanin" w:cs="IRNazanin"/>
          <w:lang w:bidi="fa-IR"/>
          <w:color w:val="111111"/>
          <w:sz w:val="28"/>
          <w:szCs w:val="28"/>
          <w:rtl/>
        </w:rPr>
        <w:t xml:space="preserve">،فیلزم عدم وقوع بیع الفضولی مع نهی المالک؛لأنّ الکراهة</w:t>
      </w:r>
    </w:p>
    <w:p>
      <w:pPr>
        <w:pStyle w:val="BookText"/>
      </w:pPr>
      <w:r>
        <w:rPr>
          <w:rFonts w:ascii="IRNazanin" w:hAnsi="IRNazanin" w:eastAsia="IRNazanin" w:cs="IRNazanin"/>
          <w:lang w:bidi="fa-IR"/>
          <w:color w:val="111111"/>
          <w:sz w:val="28"/>
          <w:szCs w:val="28"/>
          <w:rtl/>
        </w:rPr>
        <w:t xml:space="preserve">[شماره صفحه واقعی : 425]
</w:t>
      </w:r>
    </w:p>
    <w:p>
      <w:pPr>
        <w:sectPr>
          <w:footerReference w:type="default" r:id="rId1104"/>
          <w:footnotePr>
            <w:numStart w:val="1"/>
            <w:numRestart w:val="eachPage"/>
          </w:footnotePr>
          <w:pgSz w:orient="portrait" w:w="11905.511811023622" w:h="16837.79527559055"/>
          <w:pgMar w:top="1440" w:right="1440" w:bottom="1440" w:left="1440" w:header="720" w:footer="720" w:gutter="0"/>
          <w:cols w:num="1" w:space="720"/>
        </w:sectPr>
      </w:pPr>
    </w:p>
    <w:bookmarkStart w:id="658" w:name="pg14411_143486"/>
    <w:bookmarkEnd w:id="658"/>
    <w:p>
      <w:pPr>
        <w:pStyle w:val="BookText"/>
      </w:pPr>
      <w:r>
        <w:rPr>
          <w:rFonts w:ascii="IRNazanin" w:hAnsi="IRNazanin" w:eastAsia="IRNazanin" w:cs="IRNazanin"/>
          <w:lang w:bidi="fa-IR"/>
          <w:color w:val="111111"/>
          <w:sz w:val="28"/>
          <w:szCs w:val="28"/>
          <w:rtl/>
        </w:rPr>
        <w:t xml:space="preserve">الحاصلة حینه و بعده و لو آناً ما تکفی فی الفسخ،بل یلزم عدم وقوع بیع المکره أصلاً،إلّا أن یلتزم بعدم کون مجرّد الکراهة فسخاً و إن کان مجرّد الرضا إجازة.</w:t>
      </w:r>
    </w:p>
    <w:p>
      <w:pPr>
        <w:pStyle w:val="Heading6"/>
      </w:pPr>
      <w:bookmarkStart w:id="2306" w:name="_Toc1341"/>
      <w:r>
        <w:t>الثالث من شروط الإجازة : أن لا یسبقها الردّ</w:t>
      </w:r>
      <w:bookmarkEnd w:id="2306"/>
    </w:p>
    <w:p>
      <w:pPr>
        <w:pStyle w:val="BookText"/>
      </w:pPr>
      <w:r>
        <w:rPr>
          <w:rFonts w:ascii="IRNazanin" w:hAnsi="IRNazanin" w:eastAsia="IRNazanin" w:cs="IRNazanin"/>
          <w:lang w:bidi="fa-IR"/>
          <w:color w:val="111111"/>
          <w:sz w:val="28"/>
          <w:szCs w:val="28"/>
          <w:rtl/>
        </w:rPr>
        <w:t xml:space="preserve">إذ مع الردّ ینفسخ العقد، فلا یبقی ما یلحقه الإجازة </w:t>
      </w:r>
      <w:r>
        <w:rPr>
          <w:rStyle w:val="FootnoteReference"/>
        </w:rPr>
        <w:footnoteReference w:id="35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الدلیل علیه-بعد ظهور الإجماع،بل التصریح به فی کلام بعض مشایخنا </w:t>
      </w:r>
      <w:r>
        <w:rPr>
          <w:rStyle w:val="FootnoteReference"/>
        </w:rPr>
        <w:footnoteReference w:id="3556"/>
      </w:r>
      <w:r>
        <w:rPr>
          <w:rFonts w:ascii="IRNazanin" w:hAnsi="IRNazanin" w:eastAsia="IRNazanin" w:cs="IRNazanin"/>
          <w:lang w:bidi="fa-IR"/>
          <w:color w:val="111111"/>
          <w:sz w:val="28"/>
          <w:szCs w:val="28"/>
          <w:rtl/>
        </w:rPr>
        <w:t xml:space="preserve">-:أنّ الإجازة إنّما تجعل المجیز أحد طرفی العقد،و إلّا لم یکن مکلّفاً بالوفاء بالعقد؛لما عرفت من أنّ وجوب الوفاء إنّما هو فی حقّ العاقدین أو من قام </w:t>
      </w:r>
      <w:r>
        <w:rPr>
          <w:rStyle w:val="FootnoteReference"/>
        </w:rPr>
        <w:footnoteReference w:id="3557"/>
      </w:r>
      <w:r>
        <w:rPr>
          <w:rFonts w:ascii="IRNazanin" w:hAnsi="IRNazanin" w:eastAsia="IRNazanin" w:cs="IRNazanin"/>
          <w:lang w:bidi="fa-IR"/>
          <w:color w:val="111111"/>
          <w:sz w:val="28"/>
          <w:szCs w:val="28"/>
          <w:rtl/>
        </w:rPr>
        <w:t xml:space="preserve">مقامهما،و قد تقرّر:أنّ من </w:t>
      </w:r>
      <w:r>
        <w:rPr>
          <w:rStyle w:val="FootnoteReference"/>
        </w:rPr>
        <w:footnoteReference w:id="3558"/>
      </w:r>
      <w:r>
        <w:rPr>
          <w:rFonts w:ascii="IRNazanin" w:hAnsi="IRNazanin" w:eastAsia="IRNazanin" w:cs="IRNazanin"/>
          <w:lang w:bidi="fa-IR"/>
          <w:color w:val="111111"/>
          <w:sz w:val="28"/>
          <w:szCs w:val="28"/>
          <w:rtl/>
        </w:rPr>
        <w:t xml:space="preserve">شروط الصیغة أن لا یحصل بین طرفی العقد ما یسقطهما عن صدق العقد الذی هو فی معنی المعاهدة.</w:t>
      </w:r>
    </w:p>
    <w:p>
      <w:pPr>
        <w:pStyle w:val="BookText"/>
      </w:pPr>
      <w:r>
        <w:rPr>
          <w:rFonts w:ascii="IRNazanin" w:hAnsi="IRNazanin" w:eastAsia="IRNazanin" w:cs="IRNazanin"/>
          <w:lang w:bidi="fa-IR"/>
          <w:color w:val="111111"/>
          <w:sz w:val="28"/>
          <w:szCs w:val="28"/>
          <w:rtl/>
        </w:rPr>
        <w:t xml:space="preserve">هذا،مع أنّ مقتضی سلطنة الناس علی أموالهم تأثیر الردّ فی قطع علاقة الطرف الآخر عن ملکه،فلا یبقی ما یلحقه الإجازة،فتأمّل.</w:t>
      </w:r>
    </w:p>
    <w:p>
      <w:pPr>
        <w:pStyle w:val="BookText"/>
      </w:pPr>
      <w:r>
        <w:rPr>
          <w:rFonts w:ascii="IRNazanin" w:hAnsi="IRNazanin" w:eastAsia="IRNazanin" w:cs="IRNazanin"/>
          <w:lang w:bidi="fa-IR"/>
          <w:color w:val="111111"/>
          <w:sz w:val="28"/>
          <w:szCs w:val="28"/>
          <w:rtl/>
        </w:rPr>
        <w:t xml:space="preserve">نعم،الصحیحة الواردة فی بیع الولیدة </w:t>
      </w:r>
      <w:r>
        <w:rPr>
          <w:rStyle w:val="FootnoteReference"/>
        </w:rPr>
        <w:footnoteReference w:id="3559"/>
      </w:r>
      <w:r>
        <w:rPr>
          <w:rFonts w:ascii="IRNazanin" w:hAnsi="IRNazanin" w:eastAsia="IRNazanin" w:cs="IRNazanin"/>
          <w:lang w:bidi="fa-IR"/>
          <w:color w:val="111111"/>
          <w:sz w:val="28"/>
          <w:szCs w:val="28"/>
          <w:rtl/>
        </w:rPr>
        <w:t xml:space="preserve">ظاهرة فی صحّة الإجازة</w:t>
      </w:r>
    </w:p>
    <w:p>
      <w:pPr>
        <w:pStyle w:val="BookText"/>
      </w:pPr>
      <w:r>
        <w:rPr>
          <w:rFonts w:ascii="IRNazanin" w:hAnsi="IRNazanin" w:eastAsia="IRNazanin" w:cs="IRNazanin"/>
          <w:lang w:bidi="fa-IR"/>
          <w:color w:val="111111"/>
          <w:sz w:val="28"/>
          <w:szCs w:val="28"/>
          <w:rtl/>
        </w:rPr>
        <w:t xml:space="preserve">[شماره صفحه واقعی : 426]
</w:t>
      </w:r>
    </w:p>
    <w:p>
      <w:pPr>
        <w:sectPr>
          <w:footerReference w:type="default" r:id="rId1105"/>
          <w:footnotePr>
            <w:numStart w:val="1"/>
            <w:numRestart w:val="eachPage"/>
          </w:footnotePr>
          <w:pgSz w:orient="portrait" w:w="11905.511811023622" w:h="16837.79527559055"/>
          <w:pgMar w:top="1440" w:right="1440" w:bottom="1440" w:left="1440" w:header="720" w:footer="720" w:gutter="0"/>
          <w:cols w:num="1" w:space="720"/>
        </w:sectPr>
      </w:pPr>
    </w:p>
    <w:bookmarkStart w:id="659" w:name="pg14411_143487"/>
    <w:bookmarkEnd w:id="659"/>
    <w:p>
      <w:pPr>
        <w:pStyle w:val="BookText"/>
      </w:pPr>
      <w:r>
        <w:rPr>
          <w:rFonts w:ascii="IRNazanin" w:hAnsi="IRNazanin" w:eastAsia="IRNazanin" w:cs="IRNazanin"/>
          <w:lang w:bidi="fa-IR"/>
          <w:color w:val="111111"/>
          <w:sz w:val="28"/>
          <w:szCs w:val="28"/>
          <w:rtl/>
        </w:rPr>
        <w:t xml:space="preserve">بعد الردّ،اللّهم إلّا أن یقال:إنّ الردّ الفعلی-کأخذ المبیع مثلاً-غیر کافٍ،بل لا بدّ من إنشاء الفسخ.</w:t>
      </w:r>
    </w:p>
    <w:p>
      <w:pPr>
        <w:pStyle w:val="BookText"/>
      </w:pPr>
      <w:r>
        <w:rPr>
          <w:rFonts w:ascii="IRNazanin" w:hAnsi="IRNazanin" w:eastAsia="IRNazanin" w:cs="IRNazanin"/>
          <w:lang w:bidi="fa-IR"/>
          <w:color w:val="111111"/>
          <w:sz w:val="28"/>
          <w:szCs w:val="28"/>
          <w:rtl/>
        </w:rPr>
        <w:t xml:space="preserve">و دعوی:أنّ الفسخ هنا لیس بأولی من الفسخ فی العقود اللازمة و قد صرّحوا بحصوله بالفعل.</w:t>
      </w:r>
    </w:p>
    <w:p>
      <w:pPr>
        <w:pStyle w:val="BookText"/>
      </w:pPr>
      <w:r>
        <w:rPr>
          <w:rFonts w:ascii="IRNazanin" w:hAnsi="IRNazanin" w:eastAsia="IRNazanin" w:cs="IRNazanin"/>
          <w:lang w:bidi="fa-IR"/>
          <w:color w:val="111111"/>
          <w:sz w:val="28"/>
          <w:szCs w:val="28"/>
          <w:rtl/>
        </w:rPr>
        <w:t xml:space="preserve">یدفعها:أنّ الفعل الذی یحصل به الفسخ هو فعل لوازم ملک المبیع کالوطء و العتق و نحوهما،لا مثل أخذ المبیع.</w:t>
      </w:r>
    </w:p>
    <w:p>
      <w:pPr>
        <w:pStyle w:val="BookText"/>
      </w:pPr>
      <w:r>
        <w:rPr>
          <w:rFonts w:ascii="Amiri" w:hAnsi="Amiri" w:eastAsia="Amiri" w:cs="Amiri"/>
          <w:lang w:bidi="ar-SA"/>
          <w:color w:val="111111"/>
          <w:sz w:val="28"/>
          <w:szCs w:val="28"/>
          <w:rtl/>
        </w:rPr>
        <w:t xml:space="preserve">و بالجملة،فالظاهر </w:t>
      </w:r>
      <w:r>
        <w:rPr>
          <w:rStyle w:val="FootnoteReference"/>
        </w:rPr>
        <w:footnoteReference w:id="3560"/>
      </w:r>
      <w:r>
        <w:rPr>
          <w:rFonts w:ascii="IRNazanin" w:hAnsi="IRNazanin" w:eastAsia="IRNazanin" w:cs="IRNazanin"/>
          <w:lang w:bidi="fa-IR"/>
          <w:color w:val="111111"/>
          <w:sz w:val="28"/>
          <w:szCs w:val="28"/>
          <w:rtl/>
        </w:rPr>
        <w:t xml:space="preserve">هنا و فی جمیع الالتزامات:عدم الاعتبار بالإجازة الواقعة عقیب الفسخ،فإن سلّم ظهور الروایة فی خلافه فلیطرح أو یؤوّل </w:t>
      </w:r>
      <w:r>
        <w:rPr>
          <w:rStyle w:val="FootnoteReference"/>
        </w:rPr>
        <w:footnoteReference w:id="3561"/>
      </w:r>
      <w:r>
        <w:rPr>
          <w:rFonts w:ascii="Times New Roman" w:hAnsi="Times New Roman" w:eastAsia="Times New Roman" w:cs="Times New Roman"/>
          <w:lang w:val="en-US" w:bidi="en-US"/>
          <w:color w:val="111111"/>
          <w:sz w:val="28"/>
          <w:szCs w:val="28"/>
          <w:rtl/>
        </w:rPr>
        <w:t xml:space="preserve">.</w:t>
      </w:r>
    </w:p>
    <w:p>
      <w:pPr>
        <w:pStyle w:val="Heading6"/>
      </w:pPr>
      <w:bookmarkStart w:id="2307" w:name="_Toc1342"/>
      <w:r>
        <w:t>الرابع : الإجازة أثر من آثار سلطنة المالک علی ماله</w:t>
      </w:r>
      <w:bookmarkEnd w:id="2307"/>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[*ستوده]</w:t>
      </w:r>
    </w:p>
    <w:p>
      <w:pPr>
        <w:pStyle w:val="BookText"/>
      </w:pPr>
      <w:r>
        <w:rPr>
          <w:rFonts w:ascii="IRNazanin" w:hAnsi="IRNazanin" w:eastAsia="IRNazanin" w:cs="IRNazanin"/>
          <w:lang w:bidi="fa-IR"/>
          <w:color w:val="111111"/>
          <w:sz w:val="28"/>
          <w:szCs w:val="28"/>
          <w:rtl/>
        </w:rPr>
        <w:t xml:space="preserve">فموضوعها المالک، فقولنا:«له أن یجیز»مثل قولنا:«له أن یبیع»،و الکلّ راجع إلی أنّ له أن یتصرّف.فلو مات المالک لم یورّث الإجازة،و إنّما یورّث المال الذی عقد علیه الفضولی،فله الإجازة؛بناءً علی ما سیجیء من جواز مغایرة المجیز و المالک حال العقد-فی من باع مال أبیه فبان میّتاً-، و الفرق بین إرث الإجازة و إرث المال یظهر بالتأمّل </w:t>
      </w:r>
      <w:r>
        <w:rPr>
          <w:rStyle w:val="FootnoteReference"/>
        </w:rPr>
        <w:footnoteReference w:id="35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427]
</w:t>
      </w:r>
    </w:p>
    <w:p>
      <w:pPr>
        <w:sectPr>
          <w:footerReference w:type="default" r:id="rId1106"/>
          <w:footnotePr>
            <w:numStart w:val="1"/>
            <w:numRestart w:val="eachPage"/>
          </w:footnotePr>
          <w:pgSz w:orient="portrait" w:w="11905.511811023622" w:h="16837.79527559055"/>
          <w:pgMar w:top="1440" w:right="1440" w:bottom="1440" w:left="1440" w:header="720" w:footer="720" w:gutter="0"/>
          <w:cols w:num="1" w:space="720"/>
        </w:sectPr>
      </w:pPr>
    </w:p>
    <w:bookmarkStart w:id="660" w:name="pg14411_143488"/>
    <w:bookmarkEnd w:id="660"/>
    <w:p>
      <w:pPr>
        <w:pStyle w:val="Heading6"/>
      </w:pPr>
      <w:bookmarkStart w:id="2308" w:name="_Toc1343"/>
      <w:r>
        <w:t>الخامس : إجازة البیع لیست إجازة لقبض الثمن،و لا لإقباض المبیع</w:t>
      </w:r>
      <w:bookmarkEnd w:id="2308"/>
    </w:p>
    <w:p>
      <w:pPr>
        <w:pStyle w:val="BookText"/>
      </w:pPr>
      <w:r>
        <w:rPr>
          <w:rFonts w:ascii="IRNazanin" w:hAnsi="IRNazanin" w:eastAsia="IRNazanin" w:cs="IRNazanin"/>
          <w:lang w:bidi="fa-IR"/>
          <w:color w:val="111111"/>
          <w:sz w:val="28"/>
          <w:szCs w:val="28"/>
          <w:rtl/>
        </w:rPr>
        <w:t xml:space="preserve">و لو أجازهما صریحاً أو فهم إجازتهما من إجازة البیع مضت الإجازة؛ لأنّ مرجع إجازة القبض إلی إسقاط ضمان الثمن عن عهدة المشتری، و مرجع إجازة الإقباض إلی حصول المبیع فی ید المشتری برضا البائع، فیترتّب علیه جمیع الآثار المترتّبة علی قبض المبیع.</w:t>
      </w:r>
    </w:p>
    <w:p>
      <w:pPr>
        <w:pStyle w:val="BookText"/>
      </w:pPr>
      <w:r>
        <w:rPr>
          <w:rFonts w:ascii="IRNazanin" w:hAnsi="IRNazanin" w:eastAsia="IRNazanin" w:cs="IRNazanin"/>
          <w:lang w:bidi="fa-IR"/>
          <w:color w:val="111111"/>
          <w:sz w:val="28"/>
          <w:szCs w:val="28"/>
          <w:rtl/>
        </w:rPr>
        <w:t xml:space="preserve">لکن ما ذکرنا إنّما یصحّ فی قبض الثمن المعیّن،و أمّا قبض الکلّی و تشخّصه به فوقوعه من الفضولی علی وجهٍ تصحّحه الإجازة یحتاج إلی دلیلٍ معمِّمٍ لحکم عقد الفضولی لمثل القبض و الإقباض،و إتمام الدلیل علی ذلک لا یخلو عن </w:t>
      </w:r>
      <w:r>
        <w:rPr>
          <w:rStyle w:val="FootnoteReference"/>
        </w:rPr>
        <w:footnoteReference w:id="3563"/>
      </w:r>
      <w:r>
        <w:rPr>
          <w:rFonts w:ascii="Amiri" w:hAnsi="Amiri" w:eastAsia="Amiri" w:cs="Amiri"/>
          <w:lang w:bidi="ar-SA"/>
          <w:color w:val="111111"/>
          <w:sz w:val="28"/>
          <w:szCs w:val="28"/>
          <w:rtl/>
        </w:rPr>
        <w:t xml:space="preserve">صعوبة.</w:t>
      </w:r>
    </w:p>
    <w:p>
      <w:pPr>
        <w:pStyle w:val="BookText"/>
      </w:pPr>
      <w:r>
        <w:rPr>
          <w:rFonts w:ascii="IRNazanin" w:hAnsi="IRNazanin" w:eastAsia="IRNazanin" w:cs="IRNazanin"/>
          <w:lang w:bidi="fa-IR"/>
          <w:color w:val="111111"/>
          <w:sz w:val="28"/>
          <w:szCs w:val="28"/>
          <w:rtl/>
        </w:rPr>
        <w:t xml:space="preserve">و عن المختلف:أنّه حکی عن الشیخ:أنّه لو أجاز المالک بیع الغاصب لم یطالب المشتری بالثمن،ثمّ ضعّفه بعدم استلزام إجازة العقد لإجازة القبض </w:t>
      </w:r>
      <w:r>
        <w:rPr>
          <w:rStyle w:val="FootnoteReference"/>
        </w:rPr>
        <w:footnoteReference w:id="35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علی أیّ حال،فلو کان إجازة العقد دون القبض لغواً-کما فی الصرف و السلم بعد قبض الفضولی و التفرّق-کان إجازة العقد إجازةً للقبض؛صوناً للإجازة عن اللغویة.</w:t>
      </w:r>
    </w:p>
    <w:p>
      <w:pPr>
        <w:pStyle w:val="BookText"/>
      </w:pPr>
      <w:r>
        <w:rPr>
          <w:rFonts w:ascii="IRNazanin" w:hAnsi="IRNazanin" w:eastAsia="IRNazanin" w:cs="IRNazanin"/>
          <w:lang w:bidi="fa-IR"/>
          <w:color w:val="111111"/>
          <w:sz w:val="28"/>
          <w:szCs w:val="28"/>
          <w:rtl/>
        </w:rPr>
        <w:t xml:space="preserve">[شماره صفحه واقعی : 428]
</w:t>
      </w:r>
    </w:p>
    <w:p>
      <w:pPr>
        <w:sectPr>
          <w:footerReference w:type="default" r:id="rId1107"/>
          <w:footnotePr>
            <w:numStart w:val="1"/>
            <w:numRestart w:val="eachPage"/>
          </w:footnotePr>
          <w:pgSz w:orient="portrait" w:w="11905.511811023622" w:h="16837.79527559055"/>
          <w:pgMar w:top="1440" w:right="1440" w:bottom="1440" w:left="1440" w:header="720" w:footer="720" w:gutter="0"/>
          <w:cols w:num="1" w:space="720"/>
        </w:sectPr>
      </w:pPr>
    </w:p>
    <w:bookmarkStart w:id="661" w:name="pg14411_143489"/>
    <w:bookmarkEnd w:id="661"/>
    <w:p>
      <w:pPr>
        <w:pStyle w:val="BookText"/>
      </w:pPr>
      <w:r>
        <w:rPr>
          <w:rFonts w:ascii="IRNazanin" w:hAnsi="IRNazanin" w:eastAsia="IRNazanin" w:cs="IRNazanin"/>
          <w:lang w:bidi="fa-IR"/>
          <w:color w:val="111111"/>
          <w:sz w:val="28"/>
          <w:szCs w:val="28"/>
          <w:rtl/>
        </w:rPr>
        <w:t xml:space="preserve">و لو قال:أجزت العقد دون القبض،ففی بطلان العقد أو بطلان ردّ القبض وجهان.</w:t>
      </w:r>
    </w:p>
    <w:p>
      <w:pPr>
        <w:pStyle w:val="Heading6"/>
      </w:pPr>
      <w:bookmarkStart w:id="2309" w:name="_Toc1344"/>
      <w:r>
        <w:t>السادس : الإجازة لیست علی الفور</w:t>
      </w:r>
      <w:bookmarkEnd w:id="2309"/>
    </w:p>
    <w:p>
      <w:pPr>
        <w:pStyle w:val="BookText"/>
      </w:pPr>
      <w:r>
        <w:rPr>
          <w:rFonts w:ascii="IRNazanin" w:hAnsi="IRNazanin" w:eastAsia="IRNazanin" w:cs="IRNazanin"/>
          <w:lang w:bidi="fa-IR"/>
          <w:color w:val="111111"/>
          <w:sz w:val="28"/>
          <w:szCs w:val="28"/>
          <w:rtl/>
        </w:rPr>
        <w:t xml:space="preserve">للعمومات و لصحیحة محمّد بن قیس </w:t>
      </w:r>
      <w:r>
        <w:rPr>
          <w:rStyle w:val="FootnoteReference"/>
        </w:rPr>
        <w:footnoteReference w:id="3565"/>
      </w:r>
      <w:r>
        <w:rPr>
          <w:rFonts w:ascii="IRNazanin" w:hAnsi="IRNazanin" w:eastAsia="IRNazanin" w:cs="IRNazanin"/>
          <w:lang w:bidi="fa-IR"/>
          <w:color w:val="111111"/>
          <w:sz w:val="28"/>
          <w:szCs w:val="28"/>
          <w:rtl/>
        </w:rPr>
        <w:t xml:space="preserve">و أکثر المؤیّدات المذکورة بعدها </w:t>
      </w:r>
      <w:r>
        <w:rPr>
          <w:rStyle w:val="FootnoteReference"/>
        </w:rPr>
        <w:footnoteReference w:id="3566"/>
      </w:r>
      <w:r>
        <w:rPr>
          <w:rFonts w:ascii="IRNazanin" w:hAnsi="IRNazanin" w:eastAsia="IRNazanin" w:cs="IRNazanin"/>
          <w:lang w:bidi="fa-IR"/>
          <w:color w:val="111111"/>
          <w:sz w:val="28"/>
          <w:szCs w:val="28"/>
          <w:rtl/>
        </w:rPr>
        <w:t xml:space="preserve">،و لو لم یجز المالک و لم یردّ حتّی لزم تضرّر الأصیل بعدم تصرّفه فیما انتقل عنه و إلیه-علی القول بالکشف- فالأقوی تدارکه بالخیار أو إجبار المالک علی أحد الأمرین </w:t>
      </w:r>
      <w:r>
        <w:rPr>
          <w:rStyle w:val="FootnoteReference"/>
        </w:rPr>
        <w:footnoteReference w:id="3567"/>
      </w:r>
      <w:r>
        <w:rPr>
          <w:rFonts w:ascii="Times New Roman" w:hAnsi="Times New Roman" w:eastAsia="Times New Roman" w:cs="Times New Roman"/>
          <w:lang w:val="en-US" w:bidi="en-US"/>
          <w:color w:val="111111"/>
          <w:sz w:val="28"/>
          <w:szCs w:val="28"/>
          <w:rtl/>
        </w:rPr>
        <w:t xml:space="preserve">.</w:t>
      </w:r>
    </w:p>
    <w:p>
      <w:pPr>
        <w:pStyle w:val="Heading6"/>
      </w:pPr>
      <w:bookmarkStart w:id="2310" w:name="_Toc1345"/>
      <w:r>
        <w:t>السابع : هل یعتبر فی صحّة الإجازة مطابقتها للعقد الواقع عموماً أو خصوصاً،أم لا؟</w:t>
      </w:r>
      <w:bookmarkEnd w:id="2310"/>
    </w:p>
    <w:p>
      <w:pPr>
        <w:pStyle w:val="BookText"/>
      </w:pPr>
      <w:r>
        <w:rPr>
          <w:rFonts w:ascii="IRNazanin" w:hAnsi="IRNazanin" w:eastAsia="IRNazanin" w:cs="IRNazanin"/>
          <w:lang w:bidi="fa-IR"/>
          <w:color w:val="111111"/>
          <w:sz w:val="28"/>
          <w:szCs w:val="28"/>
          <w:rtl/>
        </w:rPr>
        <w:t xml:space="preserve">السابع هل یعتبر فی صحّة الإجازة مطابقتها للعقد الواقع عموماً أو </w:t>
      </w:r>
      <w:r>
        <w:rPr>
          <w:rStyle w:val="FootnoteReference"/>
        </w:rPr>
        <w:footnoteReference w:id="3568"/>
      </w:r>
      <w:r>
        <w:rPr>
          <w:rFonts w:ascii="IRNazanin" w:hAnsi="IRNazanin" w:eastAsia="IRNazanin" w:cs="IRNazanin"/>
          <w:lang w:bidi="fa-IR"/>
          <w:color w:val="111111"/>
          <w:sz w:val="28"/>
          <w:szCs w:val="28"/>
          <w:rtl/>
        </w:rPr>
        <w:t xml:space="preserve">خصوصاً،أم لا؟</w:t>
      </w:r>
    </w:p>
    <w:p>
      <w:pPr>
        <w:pStyle w:val="BookText"/>
      </w:pPr>
      <w:r>
        <w:rPr>
          <w:rFonts w:ascii="IRNazanin" w:hAnsi="IRNazanin" w:eastAsia="IRNazanin" w:cs="IRNazanin"/>
          <w:lang w:bidi="fa-IR"/>
          <w:color w:val="111111"/>
          <w:sz w:val="28"/>
          <w:szCs w:val="28"/>
          <w:rtl/>
        </w:rPr>
        <w:t xml:space="preserve">وجهان:</w:t>
      </w:r>
    </w:p>
    <w:p>
      <w:pPr>
        <w:pStyle w:val="BookText"/>
      </w:pPr>
      <w:r>
        <w:rPr>
          <w:rFonts w:ascii="IRNazanin" w:hAnsi="IRNazanin" w:eastAsia="IRNazanin" w:cs="IRNazanin"/>
          <w:lang w:bidi="fa-IR"/>
          <w:color w:val="111111"/>
          <w:sz w:val="28"/>
          <w:szCs w:val="28"/>
          <w:rtl/>
        </w:rPr>
        <w:t xml:space="preserve">الأقوی:التفصیل،فلو أوقع العقد علی صفقة فأجاز المالک بیع بعضها،فالأقوی الجواز کما لو کانت الصفقة بین مالکین فأجاز أحدهما، و ضررُ التبعّض </w:t>
      </w:r>
      <w:r>
        <w:rPr>
          <w:rStyle w:val="FootnoteReference"/>
        </w:rPr>
        <w:footnoteReference w:id="3569"/>
      </w:r>
      <w:r>
        <w:rPr>
          <w:rFonts w:ascii="IRNazanin" w:hAnsi="IRNazanin" w:eastAsia="IRNazanin" w:cs="IRNazanin"/>
          <w:lang w:bidi="fa-IR"/>
          <w:color w:val="111111"/>
          <w:sz w:val="28"/>
          <w:szCs w:val="28"/>
          <w:rtl/>
        </w:rPr>
        <w:t xml:space="preserve">علی المشتری یجبر بالخیار.</w:t>
      </w:r>
    </w:p>
    <w:p>
      <w:pPr>
        <w:pStyle w:val="BookText"/>
      </w:pPr>
      <w:r>
        <w:rPr>
          <w:rFonts w:ascii="IRNazanin" w:hAnsi="IRNazanin" w:eastAsia="IRNazanin" w:cs="IRNazanin"/>
          <w:lang w:bidi="fa-IR"/>
          <w:color w:val="111111"/>
          <w:sz w:val="28"/>
          <w:szCs w:val="28"/>
          <w:rtl/>
        </w:rPr>
        <w:t xml:space="preserve">[شماره صفحه واقعی : 429]
</w:t>
      </w:r>
    </w:p>
    <w:p>
      <w:pPr>
        <w:sectPr>
          <w:footerReference w:type="default" r:id="rId1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أوقع العقد علی شرط فأجازه المالک مجرّداً عن الشرط، فالأقوی عدم الجواز؛بناءً علی عدم قابلیة العقد للتبعیض من حیث الشرط و إن کان قابلاً للتبعیض من حیث الجزء؛و لذا لا یؤثّر بطلان الجزء بخلاف بطلان الشرط.</w:t>
      </w:r>
    </w:p>
    <w:p>
      <w:pPr>
        <w:pStyle w:val="BookText"/>
      </w:pPr>
      <w:r>
        <w:rPr>
          <w:rFonts w:ascii="IRNazanin" w:hAnsi="IRNazanin" w:eastAsia="IRNazanin" w:cs="IRNazanin"/>
          <w:lang w:bidi="fa-IR"/>
          <w:color w:val="111111"/>
          <w:sz w:val="28"/>
          <w:szCs w:val="28"/>
          <w:rtl/>
        </w:rPr>
        <w:t xml:space="preserve">و لو انعکس الأمر،بأن عقد الفضولی مجرّداً عن الشرط </w:t>
      </w:r>
      <w:r>
        <w:rPr>
          <w:rStyle w:val="FootnoteReference"/>
        </w:rPr>
        <w:footnoteReference w:id="3570"/>
      </w:r>
      <w:r>
        <w:rPr>
          <w:rFonts w:ascii="IRNazanin" w:hAnsi="IRNazanin" w:eastAsia="IRNazanin" w:cs="IRNazanin"/>
          <w:lang w:bidi="fa-IR"/>
          <w:color w:val="111111"/>
          <w:sz w:val="28"/>
          <w:szCs w:val="28"/>
          <w:rtl/>
        </w:rPr>
        <w:t xml:space="preserve">و أجاز المالک مشروطاً،ففی صحّة الإجازة مع الشرط إذا رضی به الأصیل فیکون نظیر الشرط الواقع فی ضمن القبول إذا رضی به الموجب-أو بدون الشرط؛لعدم وجوب الوفاء بالشرط إلّا إذا وقع فی حیّز العقد، -فلا یجدی وقوعه فی حیّز القبول إلّا إذا تقدّم علی الإیجاب،لیرد الإیجاب علیه أیضاً-أو بطلانها؛لأنّه إذا لغی الشرط لغی المشروط؛ لکون المجموع التزاماً واحداً،وجوه،أقواها الأخیر.</w:t>
      </w:r>
    </w:p>
    <w:p>
      <w:pPr>
        <w:pStyle w:val="BookText"/>
      </w:pPr>
      <w:r>
        <w:rPr>
          <w:rFonts w:ascii="IRNazanin" w:hAnsi="IRNazanin" w:eastAsia="IRNazanin" w:cs="IRNazanin"/>
          <w:lang w:bidi="fa-IR"/>
          <w:color w:val="111111"/>
          <w:sz w:val="28"/>
          <w:szCs w:val="28"/>
          <w:rtl/>
        </w:rPr>
        <w:t xml:space="preserve">[شماره صفحه واقعی : 430]
</w:t>
      </w:r>
    </w:p>
    <w:p>
      <w:pPr>
        <w:sectPr>
          <w:footerReference w:type="default" r:id="rId1109"/>
          <w:footnotePr>
            <w:numStart w:val="1"/>
            <w:numRestart w:val="eachPage"/>
          </w:footnotePr>
          <w:pgSz w:orient="portrait" w:w="11905.511811023622" w:h="16837.79527559055"/>
          <w:pgMar w:top="1440" w:right="1440" w:bottom="1440" w:left="1440" w:header="720" w:footer="720" w:gutter="0"/>
          <w:cols w:num="1" w:space="720"/>
        </w:sectPr>
      </w:pPr>
    </w:p>
    <w:bookmarkStart w:id="662" w:name="pg14411_143491"/>
    <w:bookmarkEnd w:id="662"/>
    <w:p>
      <w:pPr>
        <w:pStyle w:val="Heading6"/>
      </w:pPr>
      <w:bookmarkStart w:id="2311" w:name="_Toc1346"/>
      <w:r>
        <w:t>و أمّا القول فی المجیز</w:t>
      </w:r>
      <w:bookmarkEnd w:id="2311"/>
    </w:p>
    <w:p>
      <w:pPr>
        <w:pStyle w:val="Heading6"/>
      </w:pPr>
      <w:bookmarkStart w:id="2312" w:name="_Toc1347"/>
      <w:r>
        <w:t>اشارة</w:t>
      </w:r>
      <w:bookmarkEnd w:id="2312"/>
    </w:p>
    <w:p>
      <w:pPr>
        <w:pStyle w:val="BookText"/>
      </w:pPr>
      <w:r>
        <w:rPr>
          <w:rFonts w:ascii="IRNazanin" w:hAnsi="IRNazanin" w:eastAsia="IRNazanin" w:cs="IRNazanin"/>
          <w:lang w:bidi="fa-IR"/>
          <w:color w:val="111111"/>
          <w:sz w:val="28"/>
          <w:szCs w:val="28"/>
          <w:rtl/>
        </w:rPr>
        <w:t xml:space="preserve">فاستقصاؤه یتمّ ببیان أُمور:</w:t>
      </w:r>
    </w:p>
    <w:p>
      <w:pPr>
        <w:pStyle w:val="Heading6"/>
      </w:pPr>
      <w:bookmarkStart w:id="2313" w:name="_Toc1348"/>
      <w:r>
        <w:t>الأوّل : یشترط فی المجیز أن یکون حین الإجازة جائز التصرّف بالبلوغ و العقل و الرشد</w:t>
      </w:r>
      <w:bookmarkEnd w:id="2313"/>
    </w:p>
    <w:p>
      <w:pPr>
        <w:pStyle w:val="BookText"/>
      </w:pPr>
      <w:r>
        <w:rPr>
          <w:rFonts w:ascii="IRNazanin" w:hAnsi="IRNazanin" w:eastAsia="IRNazanin" w:cs="IRNazanin"/>
          <w:lang w:bidi="fa-IR"/>
          <w:color w:val="111111"/>
          <w:sz w:val="28"/>
          <w:szCs w:val="28"/>
          <w:rtl/>
        </w:rPr>
        <w:t xml:space="preserve">و لو أجاز المریض بُنی نفوذها علی نفوذ منجّزات المریض،و لا فرق فیما ذکر بین القول بالکشف و النقل.</w:t>
      </w:r>
    </w:p>
    <w:p>
      <w:pPr>
        <w:pStyle w:val="Heading6"/>
      </w:pPr>
      <w:bookmarkStart w:id="2314" w:name="_Toc1349"/>
      <w:r>
        <w:t>الثانی : هل یشترط فی صحّة عقد الفضولی وجود مجیزٍ حین العقد</w:t>
      </w:r>
      <w:bookmarkEnd w:id="2314"/>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[*ستوده]</w:t>
      </w:r>
    </w:p>
    <w:p>
      <w:pPr>
        <w:pStyle w:val="BookText"/>
      </w:pPr>
      <w:r>
        <w:rPr>
          <w:rFonts w:ascii="IRNazanin" w:hAnsi="IRNazanin" w:eastAsia="IRNazanin" w:cs="IRNazanin"/>
          <w:lang w:bidi="fa-IR"/>
          <w:color w:val="111111"/>
          <w:sz w:val="28"/>
          <w:szCs w:val="28"/>
          <w:rtl/>
        </w:rPr>
        <w:t xml:space="preserve">فلا یجوز بیع مال الیتیم لغیر مصلحة و لا ینفعه إجازته إذا بلغ أو إجازة ولیّه إذا حدثت المصلحة بعد البیع،أم لا یشترط؟قولان:</w:t>
      </w:r>
    </w:p>
    <w:p>
      <w:pPr>
        <w:pStyle w:val="BookText"/>
      </w:pPr>
      <w:r>
        <w:rPr>
          <w:rFonts w:ascii="IRNazanin" w:hAnsi="IRNazanin" w:eastAsia="IRNazanin" w:cs="IRNazanin"/>
          <w:lang w:bidi="fa-IR"/>
          <w:color w:val="111111"/>
          <w:sz w:val="28"/>
          <w:szCs w:val="28"/>
          <w:rtl/>
        </w:rPr>
        <w:t xml:space="preserve">أوّلهما للعلّامة فی ظاهر القواعد </w:t>
      </w:r>
      <w:r>
        <w:rPr>
          <w:rStyle w:val="FootnoteReference"/>
        </w:rPr>
        <w:footnoteReference w:id="3571"/>
      </w:r>
      <w:r>
        <w:rPr>
          <w:rFonts w:ascii="Amiri" w:hAnsi="Amiri" w:eastAsia="Amiri" w:cs="Amiri"/>
          <w:lang w:bidi="ar-SA"/>
          <w:color w:val="111111"/>
          <w:sz w:val="28"/>
          <w:szCs w:val="28"/>
          <w:rtl/>
        </w:rPr>
        <w:t xml:space="preserve">،و استُدلّ </w:t>
      </w:r>
      <w:r>
        <w:rPr>
          <w:rStyle w:val="FootnoteReference"/>
        </w:rPr>
        <w:footnoteReference w:id="3572"/>
      </w:r>
      <w:r>
        <w:rPr>
          <w:rFonts w:ascii="IRNazanin" w:hAnsi="IRNazanin" w:eastAsia="IRNazanin" w:cs="IRNazanin"/>
          <w:lang w:bidi="fa-IR"/>
          <w:color w:val="111111"/>
          <w:sz w:val="28"/>
          <w:szCs w:val="28"/>
          <w:rtl/>
        </w:rPr>
        <w:t xml:space="preserve">له بأنّ صحّة العقد و الحال هذه ممتنعة،فإذا امتنع فی زمان امتنع دائماً،و بلزوم الضرر علی المشتری؛لامتناع تصرّفه فی العین-لإمکان عدم الإجازة،و لعدم تحقّق المقتضی-و لا فی الثمن؛لإمکان تحقّق الإجازة،فیکون قد خرج عن ملکه.</w:t>
      </w:r>
    </w:p>
    <w:p>
      <w:pPr>
        <w:pStyle w:val="BookText"/>
      </w:pPr>
      <w:r>
        <w:rPr>
          <w:rFonts w:ascii="IRNazanin" w:hAnsi="IRNazanin" w:eastAsia="IRNazanin" w:cs="IRNazanin"/>
          <w:lang w:bidi="fa-IR"/>
          <w:color w:val="111111"/>
          <w:sz w:val="28"/>
          <w:szCs w:val="28"/>
          <w:rtl/>
        </w:rPr>
        <w:t xml:space="preserve">و یضعّف الأوّل-مضافاً إلی ما قیل:من انتقاضه بما إذا کان المجیز بعیداً امتنع الوصول إلیه عادة-:منع ما ذکره </w:t>
      </w:r>
      <w:r>
        <w:rPr>
          <w:rStyle w:val="FootnoteReference"/>
        </w:rPr>
        <w:footnoteReference w:id="3573"/>
      </w:r>
      <w:r>
        <w:rPr>
          <w:rFonts w:ascii="IRNazanin" w:hAnsi="IRNazanin" w:eastAsia="IRNazanin" w:cs="IRNazanin"/>
          <w:lang w:bidi="fa-IR"/>
          <w:color w:val="111111"/>
          <w:sz w:val="28"/>
          <w:szCs w:val="28"/>
          <w:rtl/>
        </w:rPr>
        <w:t xml:space="preserve">من أنّ امتناع صحّة العقد فی زمانٍ یقتضی امتناعه دائماً،سواء قلنا بالنقل أم بالکشف،و أمّا الضرر فیتدارک </w:t>
      </w:r>
      <w:r>
        <w:rPr>
          <w:rStyle w:val="FootnoteReference"/>
        </w:rPr>
        <w:footnoteReference w:id="3574"/>
      </w:r>
      <w:r>
        <w:rPr>
          <w:rFonts w:ascii="IRNazanin" w:hAnsi="IRNazanin" w:eastAsia="IRNazanin" w:cs="IRNazanin"/>
          <w:lang w:bidi="fa-IR"/>
          <w:color w:val="111111"/>
          <w:sz w:val="28"/>
          <w:szCs w:val="28"/>
          <w:rtl/>
        </w:rPr>
        <w:t xml:space="preserve">بما یتدارک به صورة النقض المذکورة.</w:t>
      </w:r>
    </w:p>
    <w:p>
      <w:pPr>
        <w:pStyle w:val="BookText"/>
      </w:pPr>
      <w:r>
        <w:rPr>
          <w:rFonts w:ascii="IRNazanin" w:hAnsi="IRNazanin" w:eastAsia="IRNazanin" w:cs="IRNazanin"/>
          <w:lang w:bidi="fa-IR"/>
          <w:color w:val="111111"/>
          <w:sz w:val="28"/>
          <w:szCs w:val="28"/>
          <w:rtl/>
        </w:rPr>
        <w:t xml:space="preserve">[شماره صفحه واقعی : 431]
</w:t>
      </w:r>
    </w:p>
    <w:p>
      <w:pPr>
        <w:sectPr>
          <w:footerReference w:type="default" r:id="rId1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کلّه،مضافاً إلی الأخبار الواردة فی تزویج الصغار </w:t>
      </w:r>
      <w:r>
        <w:rPr>
          <w:rStyle w:val="FootnoteReference"/>
        </w:rPr>
        <w:footnoteReference w:id="3575"/>
      </w:r>
      <w:r>
        <w:rPr>
          <w:rFonts w:ascii="Amiri" w:hAnsi="Amiri" w:eastAsia="Amiri" w:cs="Amiri"/>
          <w:lang w:bidi="ar-SA"/>
          <w:color w:val="111111"/>
          <w:sz w:val="28"/>
          <w:szCs w:val="28"/>
          <w:rtl/>
        </w:rPr>
        <w:t xml:space="preserve">فضولاً </w:t>
      </w:r>
      <w:r>
        <w:rPr>
          <w:rStyle w:val="FootnoteReference"/>
        </w:rPr>
        <w:footnoteReference w:id="3576"/>
      </w:r>
      <w:r>
        <w:rPr>
          <w:rFonts w:ascii="IRNazanin" w:hAnsi="IRNazanin" w:eastAsia="IRNazanin" w:cs="IRNazanin"/>
          <w:lang w:bidi="fa-IR"/>
          <w:color w:val="111111"/>
          <w:sz w:val="28"/>
          <w:szCs w:val="28"/>
          <w:rtl/>
        </w:rPr>
        <w:t xml:space="preserve">الشاملة لصورة وجود ولیّ النکاح و إهماله الإجازة إلی بلوغهم،و صورة عدم وجود الولیّ؛بناءً علی عدم ولایة الحاکم علی الصغیر فی النکاح، و انحصار الولیّ فی الأب و الجدّ و الوصیّ،علی خلافٍ فیه.</w:t>
      </w:r>
    </w:p>
    <w:p>
      <w:pPr>
        <w:pStyle w:val="BookText"/>
      </w:pPr>
      <w:r>
        <w:rPr>
          <w:rFonts w:ascii="IRNazanin" w:hAnsi="IRNazanin" w:eastAsia="IRNazanin" w:cs="IRNazanin"/>
          <w:lang w:bidi="fa-IR"/>
          <w:color w:val="111111"/>
          <w:sz w:val="28"/>
          <w:szCs w:val="28"/>
          <w:rtl/>
        </w:rPr>
        <w:t xml:space="preserve">و کیف کان،فالأقوی عدم الاشتراط؛وفاقاً للمحکیّ عن ابن المتوّج البحرانی </w:t>
      </w:r>
      <w:r>
        <w:rPr>
          <w:rStyle w:val="FootnoteReference"/>
        </w:rPr>
        <w:footnoteReference w:id="3577"/>
      </w:r>
      <w:r>
        <w:rPr>
          <w:rFonts w:ascii="IRNazanin" w:hAnsi="IRNazanin" w:eastAsia="IRNazanin" w:cs="IRNazanin"/>
          <w:lang w:bidi="fa-IR"/>
          <w:color w:val="111111"/>
          <w:sz w:val="28"/>
          <w:szCs w:val="28"/>
          <w:rtl/>
        </w:rPr>
        <w:t xml:space="preserve">و الشهید </w:t>
      </w:r>
      <w:r>
        <w:rPr>
          <w:rStyle w:val="FootnoteReference"/>
        </w:rPr>
        <w:footnoteReference w:id="3578"/>
      </w:r>
      <w:r>
        <w:rPr>
          <w:rFonts w:ascii="IRNazanin" w:hAnsi="IRNazanin" w:eastAsia="IRNazanin" w:cs="IRNazanin"/>
          <w:lang w:bidi="fa-IR"/>
          <w:color w:val="111111"/>
          <w:sz w:val="28"/>
          <w:szCs w:val="28"/>
          <w:rtl/>
        </w:rPr>
        <w:t xml:space="preserve">و المحقّق الثانی </w:t>
      </w:r>
      <w:r>
        <w:rPr>
          <w:rStyle w:val="FootnoteReference"/>
        </w:rPr>
        <w:footnoteReference w:id="3579"/>
      </w:r>
      <w:r>
        <w:rPr>
          <w:rFonts w:ascii="IRNazanin" w:hAnsi="IRNazanin" w:eastAsia="IRNazanin" w:cs="IRNazanin"/>
          <w:lang w:bidi="fa-IR"/>
          <w:color w:val="111111"/>
          <w:sz w:val="28"/>
          <w:szCs w:val="28"/>
          <w:rtl/>
        </w:rPr>
        <w:t xml:space="preserve">و غیرهم </w:t>
      </w:r>
      <w:r>
        <w:rPr>
          <w:rStyle w:val="FootnoteReference"/>
        </w:rPr>
        <w:footnoteReference w:id="3580"/>
      </w:r>
      <w:r>
        <w:rPr>
          <w:rFonts w:ascii="IRNazanin" w:hAnsi="IRNazanin" w:eastAsia="IRNazanin" w:cs="IRNazanin"/>
          <w:lang w:bidi="fa-IR"/>
          <w:color w:val="111111"/>
          <w:sz w:val="28"/>
          <w:szCs w:val="28"/>
          <w:rtl/>
        </w:rPr>
        <w:t xml:space="preserve">،بل لم یرجّحه غیر العلّامة.</w:t>
      </w:r>
    </w:p>
    <w:p>
      <w:pPr>
        <w:pStyle w:val="BookText"/>
      </w:pPr>
      <w:r>
        <w:rPr>
          <w:rFonts w:ascii="IRNazanin" w:hAnsi="IRNazanin" w:eastAsia="IRNazanin" w:cs="IRNazanin"/>
          <w:lang w:bidi="fa-IR"/>
          <w:color w:val="111111"/>
          <w:sz w:val="28"/>
          <w:szCs w:val="28"/>
          <w:rtl/>
        </w:rPr>
        <w:t xml:space="preserve">ثمّ اعلم أنّ العلّامة فی القواعد مثّل لعدم وجود المجیز:ببیع مال الیتیم </w:t>
      </w:r>
      <w:r>
        <w:rPr>
          <w:rStyle w:val="FootnoteReference"/>
        </w:rPr>
        <w:footnoteReference w:id="35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حکی عن بعض العامّة-و هو البیضاوی علی ما قیل </w:t>
      </w:r>
      <w:r>
        <w:rPr>
          <w:rStyle w:val="FootnoteReference"/>
        </w:rPr>
        <w:footnoteReference w:id="3582"/>
      </w:r>
      <w:r>
        <w:rPr>
          <w:rFonts w:ascii="IRNazanin" w:hAnsi="IRNazanin" w:eastAsia="IRNazanin" w:cs="IRNazanin"/>
          <w:lang w:bidi="fa-IR"/>
          <w:color w:val="111111"/>
          <w:sz w:val="28"/>
          <w:szCs w:val="28"/>
          <w:rtl/>
        </w:rPr>
        <w:t xml:space="preserve">-الإیراد</w:t>
      </w:r>
    </w:p>
    <w:p>
      <w:pPr>
        <w:pStyle w:val="BookText"/>
      </w:pPr>
      <w:r>
        <w:rPr>
          <w:rFonts w:ascii="IRNazanin" w:hAnsi="IRNazanin" w:eastAsia="IRNazanin" w:cs="IRNazanin"/>
          <w:lang w:bidi="fa-IR"/>
          <w:color w:val="111111"/>
          <w:sz w:val="28"/>
          <w:szCs w:val="28"/>
          <w:rtl/>
        </w:rPr>
        <w:t xml:space="preserve">[شماره صفحه واقعی : 432]
</w:t>
      </w:r>
    </w:p>
    <w:p>
      <w:pPr>
        <w:sectPr>
          <w:footerReference w:type="default" r:id="rId1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علیه:بأنّه لا یتمّ علی مذهب الإمامیة من وجود الإمام علیه السلام فی کلّ عصر.</w:t>
      </w:r>
    </w:p>
    <w:p>
      <w:pPr>
        <w:pStyle w:val="BookText"/>
      </w:pPr>
      <w:r>
        <w:rPr>
          <w:rFonts w:ascii="Amiri" w:hAnsi="Amiri" w:eastAsia="Amiri" w:cs="Amiri"/>
          <w:lang w:bidi="ar-SA"/>
          <w:color w:val="111111"/>
          <w:sz w:val="28"/>
          <w:szCs w:val="28"/>
          <w:rtl/>
        </w:rPr>
        <w:t xml:space="preserve">و عن المصنّف قدّس سرّه:أنّه أجاب بأنّ الإمام غیر متمکّن من الوصول إلیه </w:t>
      </w:r>
      <w:r>
        <w:rPr>
          <w:rStyle w:val="FootnoteReference"/>
        </w:rPr>
        <w:footnoteReference w:id="35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انتصر للمورد بأنّ نائب الإمام علیه السلام-و هو المجتهد الجامع للشرائط-موجود،بل لو فرض عدم المجتهد فالعدل موجود،بل للفسّاق الولایة علی الطفل فی مصالحه مع عدم العدول </w:t>
      </w:r>
      <w:r>
        <w:rPr>
          <w:rStyle w:val="FootnoteReference"/>
        </w:rPr>
        <w:footnoteReference w:id="35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لکنّ الانتصار فی غیر محلّه؛إذ کما یمکن فرض عدم التمکّن من الإمام یمکن عدم اطلاع نائبه من المجتهد و العدول أیضاً،فإن أُرید وجود ذات المجیز،فالأولی منع تسلیم دفع الاعتراض بعدم </w:t>
      </w:r>
      <w:r>
        <w:rPr>
          <w:rStyle w:val="FootnoteReference"/>
        </w:rPr>
        <w:footnoteReference w:id="3585"/>
      </w:r>
      <w:r>
        <w:rPr>
          <w:rFonts w:ascii="IRNazanin" w:hAnsi="IRNazanin" w:eastAsia="IRNazanin" w:cs="IRNazanin"/>
          <w:lang w:bidi="fa-IR"/>
          <w:color w:val="111111"/>
          <w:sz w:val="28"/>
          <w:szCs w:val="28"/>
          <w:rtl/>
        </w:rPr>
        <w:t xml:space="preserve">التمکّن من الإمام علیه السلام،و إن أُرید وجوده مع تمکّنه من الإجازة،فیمکن فرض عدمه فی المجتهد و العدول إذا لم یطّلعوا علی العقد.</w:t>
      </w:r>
    </w:p>
    <w:p>
      <w:pPr>
        <w:pStyle w:val="BookText"/>
      </w:pPr>
      <w:r>
        <w:rPr>
          <w:rFonts w:ascii="IRNazanin" w:hAnsi="IRNazanin" w:eastAsia="IRNazanin" w:cs="IRNazanin"/>
          <w:lang w:bidi="fa-IR"/>
          <w:color w:val="111111"/>
          <w:sz w:val="28"/>
          <w:szCs w:val="28"/>
          <w:rtl/>
        </w:rPr>
        <w:t xml:space="preserve">فالأولی:ما فعله فخر الدین </w:t>
      </w:r>
      <w:r>
        <w:rPr>
          <w:rStyle w:val="FootnoteReference"/>
        </w:rPr>
        <w:footnoteReference w:id="3586"/>
      </w:r>
      <w:r>
        <w:rPr>
          <w:rFonts w:ascii="IRNazanin" w:hAnsi="IRNazanin" w:eastAsia="IRNazanin" w:cs="IRNazanin"/>
          <w:lang w:bidi="fa-IR"/>
          <w:color w:val="111111"/>
          <w:sz w:val="28"/>
          <w:szCs w:val="28"/>
          <w:rtl/>
        </w:rPr>
        <w:t xml:space="preserve">و المحقّق الثانی </w:t>
      </w:r>
      <w:r>
        <w:rPr>
          <w:rStyle w:val="FootnoteReference"/>
        </w:rPr>
        <w:footnoteReference w:id="3587"/>
      </w:r>
      <w:r>
        <w:rPr>
          <w:rFonts w:ascii="IRNazanin" w:hAnsi="IRNazanin" w:eastAsia="IRNazanin" w:cs="IRNazanin"/>
          <w:lang w:bidi="fa-IR"/>
          <w:color w:val="111111"/>
          <w:sz w:val="28"/>
          <w:szCs w:val="28"/>
          <w:rtl/>
        </w:rPr>
        <w:t xml:space="preserve">من تقیید بیع مال الیتیم بما إذا کان علی خلاف المصلحة،فیرجع الکلام أیضاً إلی اشتراط إمکان فعلیّة الإجازة من المجیز،لا وجود ذات مَن مِن شأنه </w:t>
      </w:r>
      <w:r>
        <w:rPr>
          <w:rStyle w:val="FootnoteReference"/>
        </w:rPr>
        <w:footnoteReference w:id="3588"/>
      </w:r>
    </w:p>
    <w:p>
      <w:pPr>
        <w:pStyle w:val="BookText"/>
      </w:pPr>
      <w:r>
        <w:rPr>
          <w:rFonts w:ascii="IRNazanin" w:hAnsi="IRNazanin" w:eastAsia="IRNazanin" w:cs="IRNazanin"/>
          <w:lang w:bidi="fa-IR"/>
          <w:color w:val="111111"/>
          <w:sz w:val="28"/>
          <w:szCs w:val="28"/>
          <w:rtl/>
        </w:rPr>
        <w:t xml:space="preserve">[شماره صفحه واقعی : 433]
</w:t>
      </w:r>
    </w:p>
    <w:p>
      <w:pPr>
        <w:sectPr>
          <w:footerReference w:type="default" r:id="rId1112"/>
          <w:footnotePr>
            <w:numStart w:val="1"/>
            <w:numRestart w:val="eachPage"/>
          </w:footnotePr>
          <w:pgSz w:orient="portrait" w:w="11905.511811023622" w:h="16837.79527559055"/>
          <w:pgMar w:top="1440" w:right="1440" w:bottom="1440" w:left="1440" w:header="720" w:footer="720" w:gutter="0"/>
          <w:cols w:num="1" w:space="720"/>
        </w:sectPr>
      </w:pPr>
    </w:p>
    <w:bookmarkStart w:id="663" w:name="pg14411_143494"/>
    <w:bookmarkEnd w:id="663"/>
    <w:p>
      <w:pPr>
        <w:pStyle w:val="BookText"/>
      </w:pPr>
      <w:r>
        <w:rPr>
          <w:rFonts w:ascii="IRNazanin" w:hAnsi="IRNazanin" w:eastAsia="IRNazanin" w:cs="IRNazanin"/>
          <w:lang w:bidi="fa-IR"/>
          <w:color w:val="111111"/>
          <w:sz w:val="28"/>
          <w:szCs w:val="28"/>
          <w:rtl/>
        </w:rPr>
        <w:t xml:space="preserve">الإجازة؛فإنّه فرض غیر واقع فی الأموال.</w:t>
      </w:r>
    </w:p>
    <w:p>
      <w:pPr>
        <w:pStyle w:val="Heading6"/>
      </w:pPr>
      <w:bookmarkStart w:id="2315" w:name="_Toc1350"/>
      <w:r>
        <w:t>الثالث : لا یشترط فی المجیز کونه جائز التصرّف حال العقد</w:t>
      </w:r>
      <w:bookmarkEnd w:id="2315"/>
    </w:p>
    <w:p>
      <w:pPr>
        <w:pStyle w:val="BookText"/>
      </w:pPr>
      <w:r>
        <w:rPr>
          <w:rFonts w:ascii="IRNazanin" w:hAnsi="IRNazanin" w:eastAsia="IRNazanin" w:cs="IRNazanin"/>
          <w:lang w:bidi="fa-IR"/>
          <w:color w:val="111111"/>
          <w:sz w:val="28"/>
          <w:szCs w:val="28"/>
          <w:rtl/>
        </w:rPr>
        <w:t xml:space="preserve">سواء کان عدم جواز </w:t>
      </w:r>
      <w:r>
        <w:rPr>
          <w:rStyle w:val="FootnoteReference"/>
        </w:rPr>
        <w:footnoteReference w:id="3589"/>
      </w:r>
      <w:r>
        <w:rPr>
          <w:rFonts w:ascii="IRNazanin" w:hAnsi="IRNazanin" w:eastAsia="IRNazanin" w:cs="IRNazanin"/>
          <w:lang w:bidi="fa-IR"/>
          <w:color w:val="111111"/>
          <w:sz w:val="28"/>
          <w:szCs w:val="28"/>
          <w:rtl/>
        </w:rPr>
        <w:t xml:space="preserve">التصرّف لأجل عدم المقتضی أو للمانع.و عدم المقتضی قد یکون لأجل عدم کونه مالکاً و لا مأذوناً حال العقد،و قد یکون لأجل کونه محجوراً علیه لِسَفهٍ أو جُنون أو غیرهما.و المانع کما لو باع الراهن بدون إذن المرتهن ثمّ فکّ الرهن.</w:t>
      </w:r>
    </w:p>
    <w:p>
      <w:pPr>
        <w:pStyle w:val="Heading6"/>
      </w:pPr>
      <w:bookmarkStart w:id="2316" w:name="_Toc1351"/>
      <w:r>
        <w:t>فالکلام یقع فی مسائل</w:t>
      </w:r>
      <w:bookmarkEnd w:id="2316"/>
    </w:p>
    <w:p>
      <w:pPr>
        <w:pStyle w:val="Heading6"/>
      </w:pPr>
      <w:bookmarkStart w:id="2317" w:name="_Toc1352"/>
      <w:r>
        <w:t>المسألة الاُولی : أن یکون المالک حال العقد هو المالک حال الإجازة</w:t>
      </w:r>
      <w:bookmarkEnd w:id="2317"/>
    </w:p>
    <w:p>
      <w:pPr>
        <w:pStyle w:val="BookText"/>
      </w:pPr>
      <w:r>
        <w:rPr>
          <w:rFonts w:ascii="IRNazanin" w:hAnsi="IRNazanin" w:eastAsia="IRNazanin" w:cs="IRNazanin"/>
          <w:lang w:bidi="fa-IR"/>
          <w:color w:val="111111"/>
          <w:sz w:val="28"/>
          <w:szCs w:val="28"/>
          <w:rtl/>
        </w:rPr>
        <w:t xml:space="preserve">لکن المجیز لم یکن حال العقد جائز التصرّف لحجر </w:t>
      </w:r>
      <w:r>
        <w:rPr>
          <w:rStyle w:val="FootnoteReference"/>
        </w:rPr>
        <w:footnoteReference w:id="35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الأقوی </w:t>
      </w:r>
      <w:r>
        <w:rPr>
          <w:rStyle w:val="FootnoteReference"/>
        </w:rPr>
        <w:footnoteReference w:id="3591"/>
      </w:r>
      <w:r>
        <w:rPr>
          <w:rFonts w:ascii="IRNazanin" w:hAnsi="IRNazanin" w:eastAsia="IRNazanin" w:cs="IRNazanin"/>
          <w:lang w:bidi="fa-IR"/>
          <w:color w:val="111111"/>
          <w:sz w:val="28"/>
          <w:szCs w:val="28"/>
          <w:rtl/>
        </w:rPr>
        <w:t xml:space="preserve">:صحّة الإجازة،بل عدم الحاجة إلیها إذا کان عدم جواز التصرّف لتعلّق حقّ الغیر،کما لو باع الراهن ففکّ الرهن قبل مراجعة المرتهن،فإنّه لا حاجة إلی الإجازة کما صرّح به فی التذکرة </w:t>
      </w:r>
      <w:r>
        <w:rPr>
          <w:rStyle w:val="FootnoteReference"/>
        </w:rPr>
        <w:footnoteReference w:id="35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434]
</w:t>
      </w:r>
    </w:p>
    <w:p>
      <w:pPr>
        <w:sectPr>
          <w:footerReference w:type="default" r:id="rId1113"/>
          <w:footnotePr>
            <w:numStart w:val="1"/>
            <w:numRestart w:val="eachPage"/>
          </w:footnotePr>
          <w:pgSz w:orient="portrait" w:w="11905.511811023622" w:h="16837.79527559055"/>
          <w:pgMar w:top="1440" w:right="1440" w:bottom="1440" w:left="1440" w:header="720" w:footer="720" w:gutter="0"/>
          <w:cols w:num="1" w:space="720"/>
        </w:sectPr>
      </w:pPr>
    </w:p>
    <w:bookmarkStart w:id="664" w:name="pg14411_143495"/>
    <w:bookmarkEnd w:id="664"/>
    <w:p>
      <w:pPr>
        <w:pStyle w:val="Heading6"/>
      </w:pPr>
      <w:bookmarkStart w:id="2318" w:name="_Toc1353"/>
      <w:r>
        <w:t>[المسألة] الثانیة : أن یتجدّد الملک بعد العقد فیجیز المالک الجدید سواء کان هو البائع أو غیره</w:t>
      </w:r>
      <w:bookmarkEnd w:id="2318"/>
    </w:p>
    <w:p>
      <w:pPr>
        <w:pStyle w:val="Heading6"/>
      </w:pPr>
      <w:bookmarkStart w:id="2319" w:name="_Toc1354"/>
      <w:r>
        <w:t>اشارة</w:t>
      </w:r>
      <w:bookmarkEnd w:id="2319"/>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[*ستوده]</w:t>
      </w:r>
    </w:p>
    <w:p>
      <w:pPr>
        <w:pStyle w:val="BookText"/>
      </w:pPr>
      <w:r>
        <w:rPr>
          <w:rFonts w:ascii="IRNazanin" w:hAnsi="IRNazanin" w:eastAsia="IRNazanin" w:cs="IRNazanin"/>
          <w:lang w:bidi="fa-IR"/>
          <w:color w:val="111111"/>
          <w:sz w:val="28"/>
          <w:szCs w:val="28"/>
          <w:rtl/>
        </w:rPr>
        <w:t xml:space="preserve">لکنّ عنوان المسألة فی کلمات </w:t>
      </w:r>
      <w:r>
        <w:rPr>
          <w:rStyle w:val="FootnoteReference"/>
        </w:rPr>
        <w:footnoteReference w:id="3593"/>
      </w:r>
      <w:r>
        <w:rPr>
          <w:rFonts w:ascii="IRNazanin" w:hAnsi="IRNazanin" w:eastAsia="IRNazanin" w:cs="IRNazanin"/>
          <w:lang w:bidi="fa-IR"/>
          <w:color w:val="111111"/>
          <w:sz w:val="28"/>
          <w:szCs w:val="28"/>
          <w:rtl/>
        </w:rPr>
        <w:t xml:space="preserve">القوم هو الأوّل،و هو ما لو باع شیئاً ثمّ ملکه </w:t>
      </w:r>
      <w:r>
        <w:rPr>
          <w:rStyle w:val="FootnoteReference"/>
        </w:rPr>
        <w:footnoteReference w:id="3594"/>
      </w:r>
      <w:r>
        <w:rPr>
          <w:rFonts w:ascii="IRNazanin" w:hAnsi="IRNazanin" w:eastAsia="IRNazanin" w:cs="IRNazanin"/>
          <w:lang w:bidi="fa-IR"/>
          <w:color w:val="111111"/>
          <w:sz w:val="28"/>
          <w:szCs w:val="28"/>
          <w:rtl/>
        </w:rPr>
        <w:t xml:space="preserve">،و هذه تتصوّر علی صور؛لأنّ غیر المالک إمّا أن یبیع لنفسه أو للمالک </w:t>
      </w:r>
      <w:r>
        <w:rPr>
          <w:rStyle w:val="FootnoteReference"/>
        </w:rPr>
        <w:footnoteReference w:id="3595"/>
      </w:r>
      <w:r>
        <w:rPr>
          <w:rFonts w:ascii="IRNazanin" w:hAnsi="IRNazanin" w:eastAsia="IRNazanin" w:cs="IRNazanin"/>
          <w:lang w:bidi="fa-IR"/>
          <w:color w:val="111111"/>
          <w:sz w:val="28"/>
          <w:szCs w:val="28"/>
          <w:rtl/>
        </w:rPr>
        <w:t xml:space="preserve">.و الملک إمّا أن ینتقل إلیه باختیاره کالشراء،أو بغیر اختیاره کالإرث.ثمّ البائع الذی یشتری الملک إمّا أن یجیز العقد الأوّل و إمّا أن لا یجیزه،فیقع الکلام فی وقوعه للمشتری الأوّل بمجرّد شراء البائع له.</w:t>
      </w:r>
    </w:p>
    <w:p>
      <w:pPr>
        <w:pStyle w:val="Heading6"/>
      </w:pPr>
      <w:bookmarkStart w:id="2320" w:name="_Toc1355"/>
      <w:r>
        <w:t>[لو باع لنفسه ثم اشتراه و أجاز]</w:t>
      </w:r>
      <w:bookmarkEnd w:id="2320"/>
    </w:p>
    <w:p>
      <w:pPr>
        <w:pStyle w:val="BookText"/>
      </w:pPr>
      <w:r>
        <w:rPr>
          <w:rFonts w:ascii="IRNazanin" w:hAnsi="IRNazanin" w:eastAsia="IRNazanin" w:cs="IRNazanin"/>
          <w:lang w:bidi="fa-IR"/>
          <w:color w:val="111111"/>
          <w:sz w:val="28"/>
          <w:szCs w:val="28"/>
          <w:rtl/>
        </w:rPr>
        <w:t xml:space="preserve">و المهمّ هنا التعرّض لبیان ما لو باع لنفسه ثمّ اشتراه من المالک و أجاز،و ما لو باع و اشتری و لم یجز؛إذ یعلم </w:t>
      </w:r>
      <w:r>
        <w:rPr>
          <w:rStyle w:val="FootnoteReference"/>
        </w:rPr>
        <w:footnoteReference w:id="3596"/>
      </w:r>
      <w:r>
        <w:rPr>
          <w:rFonts w:ascii="IRNazanin" w:hAnsi="IRNazanin" w:eastAsia="IRNazanin" w:cs="IRNazanin"/>
          <w:lang w:bidi="fa-IR"/>
          <w:color w:val="111111"/>
          <w:sz w:val="28"/>
          <w:szCs w:val="28"/>
          <w:rtl/>
        </w:rPr>
        <w:t xml:space="preserve">حکم غیرهما منهما.</w:t>
      </w:r>
    </w:p>
    <w:p>
      <w:pPr>
        <w:pStyle w:val="BookText"/>
      </w:pPr>
      <w:r>
        <w:rPr>
          <w:rFonts w:ascii="IRNazanin" w:hAnsi="IRNazanin" w:eastAsia="IRNazanin" w:cs="IRNazanin"/>
          <w:lang w:bidi="fa-IR"/>
          <w:color w:val="111111"/>
          <w:sz w:val="28"/>
          <w:szCs w:val="28"/>
          <w:rtl/>
        </w:rPr>
        <w:t xml:space="preserve">أمّا المسألة الأُولی:فقد اختلفوا فیها،فظاهر المحقّق فی باب الزکاة من المعتبر-فیما إذا باع المالک النصاب </w:t>
      </w:r>
      <w:r>
        <w:rPr>
          <w:rStyle w:val="FootnoteReference"/>
        </w:rPr>
        <w:footnoteReference w:id="3597"/>
      </w:r>
      <w:r>
        <w:rPr>
          <w:rFonts w:ascii="IRNazanin" w:hAnsi="IRNazanin" w:eastAsia="IRNazanin" w:cs="IRNazanin"/>
          <w:lang w:bidi="fa-IR"/>
          <w:color w:val="111111"/>
          <w:sz w:val="28"/>
          <w:szCs w:val="28"/>
          <w:rtl/>
        </w:rPr>
        <w:t xml:space="preserve">قبل إخراج الزکاة أو رهنه-:</w:t>
      </w:r>
    </w:p>
    <w:p>
      <w:pPr>
        <w:pStyle w:val="BookText"/>
      </w:pPr>
      <w:r>
        <w:rPr>
          <w:rFonts w:ascii="Amiri" w:hAnsi="Amiri" w:eastAsia="Amiri" w:cs="Amiri"/>
          <w:lang w:bidi="ar-SA"/>
          <w:color w:val="111111"/>
          <w:sz w:val="28"/>
          <w:szCs w:val="28"/>
          <w:rtl/>
        </w:rPr>
        <w:t xml:space="preserve">أنّه صحّ </w:t>
      </w:r>
      <w:r>
        <w:rPr>
          <w:rStyle w:val="FootnoteReference"/>
        </w:rPr>
        <w:footnoteReference w:id="3598"/>
      </w:r>
      <w:r>
        <w:rPr>
          <w:rFonts w:ascii="IRNazanin" w:hAnsi="IRNazanin" w:eastAsia="IRNazanin" w:cs="IRNazanin"/>
          <w:lang w:bidi="fa-IR"/>
          <w:color w:val="111111"/>
          <w:sz w:val="28"/>
          <w:szCs w:val="28"/>
          <w:rtl/>
        </w:rPr>
        <w:t xml:space="preserve">البیع و الرهن فیما عدا الزکاة،فإن اغترم حصّة الفقراء قال</w:t>
      </w:r>
    </w:p>
    <w:p>
      <w:pPr>
        <w:pStyle w:val="BookText"/>
      </w:pPr>
      <w:r>
        <w:rPr>
          <w:rFonts w:ascii="IRNazanin" w:hAnsi="IRNazanin" w:eastAsia="IRNazanin" w:cs="IRNazanin"/>
          <w:lang w:bidi="fa-IR"/>
          <w:color w:val="111111"/>
          <w:sz w:val="28"/>
          <w:szCs w:val="28"/>
          <w:rtl/>
        </w:rPr>
        <w:t xml:space="preserve">[شماره صفحه واقعی : 435]
</w:t>
      </w:r>
    </w:p>
    <w:p>
      <w:pPr>
        <w:sectPr>
          <w:footerReference w:type="default" r:id="rId1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الشیخ رحمه اللّه:صحّ البیع و الرهن </w:t>
      </w:r>
      <w:r>
        <w:rPr>
          <w:rStyle w:val="FootnoteReference"/>
        </w:rPr>
        <w:footnoteReference w:id="3599"/>
      </w:r>
      <w:r>
        <w:rPr>
          <w:rFonts w:ascii="IRNazanin" w:hAnsi="IRNazanin" w:eastAsia="IRNazanin" w:cs="IRNazanin"/>
          <w:lang w:bidi="fa-IR"/>
          <w:color w:val="111111"/>
          <w:sz w:val="28"/>
          <w:szCs w:val="28"/>
          <w:rtl/>
        </w:rPr>
        <w:t xml:space="preserve">.و فیه إشکال؛لأنّ العین مملوکة </w:t>
      </w:r>
      <w:r>
        <w:rPr>
          <w:rStyle w:val="FootnoteReference"/>
        </w:rPr>
        <w:footnoteReference w:id="3600"/>
      </w:r>
      <w:r>
        <w:rPr>
          <w:rFonts w:ascii="IRNazanin" w:hAnsi="IRNazanin" w:eastAsia="IRNazanin" w:cs="IRNazanin"/>
          <w:lang w:bidi="fa-IR"/>
          <w:color w:val="111111"/>
          <w:sz w:val="28"/>
          <w:szCs w:val="28"/>
          <w:rtl/>
        </w:rPr>
        <w:t xml:space="preserve">، و إذا أدّی العوض مَلکها ملکاً مستأنفاً،فافتقر بیعها إلی إجازة مستأنفة، کما لو باع مال غیره ثمّ اشتراه </w:t>
      </w:r>
      <w:r>
        <w:rPr>
          <w:rStyle w:val="FootnoteReference"/>
        </w:rPr>
        <w:footnoteReference w:id="3601"/>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بل یظهر ممّا حکاه عن الشیخ:عدم الحاجة إلی الإجازة،إلّا أن یقول الشیخ بتعلّق الزکاة بالعین کتعلّق </w:t>
      </w:r>
      <w:r>
        <w:rPr>
          <w:rStyle w:val="FootnoteReference"/>
        </w:rPr>
        <w:footnoteReference w:id="3602"/>
      </w:r>
      <w:r>
        <w:rPr>
          <w:rFonts w:ascii="IRNazanin" w:hAnsi="IRNazanin" w:eastAsia="IRNazanin" w:cs="IRNazanin"/>
          <w:lang w:bidi="fa-IR"/>
          <w:color w:val="111111"/>
          <w:sz w:val="28"/>
          <w:szCs w:val="28"/>
          <w:rtl/>
        </w:rPr>
        <w:t xml:space="preserve">الدین بالرهن،فإنّ الراهن إذا باع ففکّ الرهن قبل مراجعة المرتهن لزم و لم یحتج إلی إجازة مستأنفة.</w:t>
      </w:r>
    </w:p>
    <w:p>
      <w:pPr>
        <w:pStyle w:val="BookText"/>
      </w:pPr>
      <w:r>
        <w:rPr>
          <w:rFonts w:ascii="IRNazanin" w:hAnsi="IRNazanin" w:eastAsia="IRNazanin" w:cs="IRNazanin"/>
          <w:lang w:bidi="fa-IR"/>
          <w:color w:val="111111"/>
          <w:sz w:val="28"/>
          <w:szCs w:val="28"/>
          <w:rtl/>
        </w:rPr>
        <w:t xml:space="preserve">و بهذا القول صرّح الشهید رحمه اللّه فی الدروس </w:t>
      </w:r>
      <w:r>
        <w:rPr>
          <w:rStyle w:val="FootnoteReference"/>
        </w:rPr>
        <w:footnoteReference w:id="3603"/>
      </w:r>
      <w:r>
        <w:rPr>
          <w:rFonts w:ascii="IRNazanin" w:hAnsi="IRNazanin" w:eastAsia="IRNazanin" w:cs="IRNazanin"/>
          <w:lang w:bidi="fa-IR"/>
          <w:color w:val="111111"/>
          <w:sz w:val="28"/>
          <w:szCs w:val="28"/>
          <w:rtl/>
        </w:rPr>
        <w:t xml:space="preserve">،و هو ظاهر المحکیّ عن الصیمری </w:t>
      </w:r>
      <w:r>
        <w:rPr>
          <w:rStyle w:val="FootnoteReference"/>
        </w:rPr>
        <w:footnoteReference w:id="36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المحکیّ عن المحقّق الثانی فی تعلیق الإرشاد:هو البطلان </w:t>
      </w:r>
      <w:r>
        <w:rPr>
          <w:rStyle w:val="FootnoteReference"/>
        </w:rPr>
        <w:footnoteReference w:id="3605"/>
      </w:r>
      <w:r>
        <w:rPr>
          <w:rFonts w:ascii="IRNazanin" w:hAnsi="IRNazanin" w:eastAsia="IRNazanin" w:cs="IRNazanin"/>
          <w:lang w:bidi="fa-IR"/>
          <w:color w:val="111111"/>
          <w:sz w:val="28"/>
          <w:szCs w:val="28"/>
          <w:rtl/>
        </w:rPr>
        <w:t xml:space="preserve">،و مال إلیه بعض المعاصرین </w:t>
      </w:r>
      <w:r>
        <w:rPr>
          <w:rStyle w:val="FootnoteReference"/>
        </w:rPr>
        <w:footnoteReference w:id="3606"/>
      </w:r>
      <w:r>
        <w:rPr>
          <w:rFonts w:ascii="IRNazanin" w:hAnsi="IRNazanin" w:eastAsia="IRNazanin" w:cs="IRNazanin"/>
          <w:lang w:bidi="fa-IR"/>
          <w:color w:val="111111"/>
          <w:sz w:val="28"/>
          <w:szCs w:val="28"/>
          <w:rtl/>
        </w:rPr>
        <w:t xml:space="preserve">،تبعاً لبعض معاصریه </w:t>
      </w:r>
      <w:r>
        <w:rPr>
          <w:rStyle w:val="FootnoteReference"/>
        </w:rPr>
        <w:footnoteReference w:id="36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436]
</w:t>
      </w:r>
    </w:p>
    <w:p>
      <w:pPr>
        <w:sectPr>
          <w:footerReference w:type="default" r:id="rId1115"/>
          <w:footnotePr>
            <w:numStart w:val="1"/>
            <w:numRestart w:val="eachPage"/>
          </w:footnotePr>
          <w:pgSz w:orient="portrait" w:w="11905.511811023622" w:h="16837.79527559055"/>
          <w:pgMar w:top="1440" w:right="1440" w:bottom="1440" w:left="1440" w:header="720" w:footer="720" w:gutter="0"/>
          <w:cols w:num="1" w:space="720"/>
        </w:sectPr>
      </w:pPr>
    </w:p>
    <w:bookmarkStart w:id="665" w:name="pg14411_143497"/>
    <w:bookmarkEnd w:id="665"/>
    <w:p>
      <w:pPr>
        <w:pStyle w:val="Heading6"/>
      </w:pPr>
      <w:bookmarkStart w:id="2321" w:name="_Toc1356"/>
      <w:r>
        <w:t>[الأقوی الصحة]</w:t>
      </w:r>
      <w:bookmarkEnd w:id="2321"/>
    </w:p>
    <w:p>
      <w:pPr>
        <w:pStyle w:val="BookText"/>
      </w:pPr>
      <w:r>
        <w:rPr>
          <w:rFonts w:ascii="IRNazanin" w:hAnsi="IRNazanin" w:eastAsia="IRNazanin" w:cs="IRNazanin"/>
          <w:lang w:bidi="fa-IR"/>
          <w:color w:val="111111"/>
          <w:sz w:val="28"/>
          <w:szCs w:val="28"/>
          <w:rtl/>
        </w:rPr>
        <w:t xml:space="preserve">و الأقوی هو الأوّل؛للأصل و العمومات السلیمة عمّا یرد علیه </w:t>
      </w:r>
      <w:r>
        <w:rPr>
          <w:rStyle w:val="FootnoteReference"/>
        </w:rPr>
        <w:footnoteReference w:id="3608"/>
      </w:r>
      <w:r>
        <w:rPr>
          <w:rFonts w:ascii="IRNazanin" w:hAnsi="IRNazanin" w:eastAsia="IRNazanin" w:cs="IRNazanin"/>
          <w:lang w:bidi="fa-IR"/>
          <w:color w:val="111111"/>
          <w:sz w:val="28"/>
          <w:szCs w:val="28"/>
          <w:rtl/>
        </w:rPr>
        <w:t xml:space="preserve">،</w:t>
      </w:r>
    </w:p>
    <w:p>
      <w:pPr>
        <w:pStyle w:val="Heading6"/>
      </w:pPr>
      <w:bookmarkStart w:id="2322" w:name="_Toc1357"/>
      <w:r>
        <w:t>[ما أورده المحقق التستری علی الصحة و الجواب عنه]</w:t>
      </w:r>
      <w:bookmarkEnd w:id="2322"/>
    </w:p>
    <w:p>
      <w:pPr>
        <w:pStyle w:val="Heading6"/>
      </w:pPr>
      <w:bookmarkStart w:id="2323" w:name="_Toc1358"/>
      <w:r>
        <w:t>اشارة</w:t>
      </w:r>
      <w:bookmarkEnd w:id="2323"/>
    </w:p>
    <w:p>
      <w:pPr>
        <w:pStyle w:val="BookText"/>
      </w:pPr>
      <w:r>
        <w:rPr>
          <w:rFonts w:ascii="IRNazanin" w:hAnsi="IRNazanin" w:eastAsia="IRNazanin" w:cs="IRNazanin"/>
          <w:lang w:bidi="fa-IR"/>
          <w:color w:val="111111"/>
          <w:sz w:val="28"/>
          <w:szCs w:val="28"/>
          <w:rtl/>
        </w:rPr>
        <w:t xml:space="preserve">ما عدا أُمور لفّقها بعض من قارب عصرنا </w:t>
      </w:r>
      <w:r>
        <w:rPr>
          <w:rStyle w:val="FootnoteReference"/>
        </w:rPr>
        <w:footnoteReference w:id="3609"/>
      </w:r>
      <w:r>
        <w:rPr>
          <w:rFonts w:ascii="IRNazanin" w:hAnsi="IRNazanin" w:eastAsia="IRNazanin" w:cs="IRNazanin"/>
          <w:lang w:bidi="fa-IR"/>
          <w:color w:val="111111"/>
          <w:sz w:val="28"/>
          <w:szCs w:val="28"/>
          <w:rtl/>
        </w:rPr>
        <w:t xml:space="preserve">ممّا یرجع أکثرها إلی ما ذکر فی الإیضاح </w:t>
      </w:r>
      <w:r>
        <w:rPr>
          <w:rStyle w:val="FootnoteReference"/>
        </w:rPr>
        <w:footnoteReference w:id="3610"/>
      </w:r>
      <w:r>
        <w:rPr>
          <w:rFonts w:ascii="IRNazanin" w:hAnsi="IRNazanin" w:eastAsia="IRNazanin" w:cs="IRNazanin"/>
          <w:lang w:bidi="fa-IR"/>
          <w:color w:val="111111"/>
          <w:sz w:val="28"/>
          <w:szCs w:val="28"/>
          <w:rtl/>
        </w:rPr>
        <w:t xml:space="preserve">و جامع المقاصد </w:t>
      </w:r>
      <w:r>
        <w:rPr>
          <w:rStyle w:val="FootnoteReference"/>
        </w:rPr>
        <w:footnoteReference w:id="3611"/>
      </w:r>
      <w:r>
        <w:rPr>
          <w:rFonts w:ascii="Times New Roman" w:hAnsi="Times New Roman" w:eastAsia="Times New Roman" w:cs="Times New Roman"/>
          <w:lang w:val="en-US" w:bidi="en-US"/>
          <w:color w:val="111111"/>
          <w:sz w:val="28"/>
          <w:szCs w:val="28"/>
          <w:rtl/>
        </w:rPr>
        <w:t xml:space="preserve">:</w:t>
      </w:r>
    </w:p>
    <w:p>
      <w:pPr>
        <w:pStyle w:val="Heading6"/>
      </w:pPr>
      <w:bookmarkStart w:id="2324" w:name="_Toc1359"/>
      <w:r>
        <w:t>الأوّل : أنّه باع مال الغیر لنفسه</w:t>
      </w:r>
      <w:bookmarkEnd w:id="2324"/>
    </w:p>
    <w:p>
      <w:pPr>
        <w:pStyle w:val="BookText"/>
      </w:pPr>
      <w:r>
        <w:rPr>
          <w:rFonts w:ascii="Amiri" w:hAnsi="Amiri" w:eastAsia="Amiri" w:cs="Amiri"/>
          <w:lang w:bidi="ar-SA"/>
          <w:color w:val="111111"/>
          <w:sz w:val="28"/>
          <w:szCs w:val="28"/>
          <w:rtl/>
        </w:rPr>
        <w:t xml:space="preserve">الأوّل: أنّه </w:t>
      </w:r>
      <w:r>
        <w:rPr>
          <w:rStyle w:val="FootnoteReference"/>
        </w:rPr>
        <w:footnoteReference w:id="3612"/>
      </w:r>
      <w:r>
        <w:rPr>
          <w:rFonts w:ascii="IRNazanin" w:hAnsi="IRNazanin" w:eastAsia="IRNazanin" w:cs="IRNazanin"/>
          <w:lang w:bidi="fa-IR"/>
          <w:color w:val="111111"/>
          <w:sz w:val="28"/>
          <w:szCs w:val="28"/>
          <w:rtl/>
        </w:rPr>
        <w:t xml:space="preserve">باع مال الغیر لنفسه،</w:t>
      </w:r>
    </w:p>
    <w:p>
      <w:pPr>
        <w:pStyle w:val="BookText"/>
      </w:pPr>
      <w:r>
        <w:rPr>
          <w:rFonts w:ascii="IRNazanin" w:hAnsi="IRNazanin" w:eastAsia="IRNazanin" w:cs="IRNazanin"/>
          <w:lang w:bidi="fa-IR"/>
          <w:color w:val="111111"/>
          <w:sz w:val="28"/>
          <w:szCs w:val="28"/>
          <w:rtl/>
        </w:rPr>
        <w:t xml:space="preserve">و قد مرّ الإشکال فیه،و ربما لا یجری فیه بعض ما ذکر هناک.</w:t>
      </w:r>
    </w:p>
    <w:p>
      <w:pPr>
        <w:pStyle w:val="BookText"/>
      </w:pPr>
      <w:r>
        <w:rPr>
          <w:rFonts w:ascii="IRNazanin" w:hAnsi="IRNazanin" w:eastAsia="IRNazanin" w:cs="IRNazanin"/>
          <w:lang w:bidi="fa-IR"/>
          <w:color w:val="111111"/>
          <w:sz w:val="28"/>
          <w:szCs w:val="28"/>
          <w:rtl/>
        </w:rPr>
        <w:t xml:space="preserve">و فیه:أنّه قد سبق أنّ الأقوی صحّته،و ربما یسلم هنا عن بعض الإشکالات الجاریة هناک مثل مخالفة الإجازة لما قصده المتعاقدان.</w:t>
      </w:r>
    </w:p>
    <w:p>
      <w:pPr>
        <w:pStyle w:val="Heading6"/>
      </w:pPr>
      <w:bookmarkStart w:id="2325" w:name="_Toc1360"/>
      <w:r>
        <w:t>الثانی : إنّا حیث جوّزنا بیع غیر المملوک مع انتفاء الملک و رضا المالک و القدرة علی التسلیم اکتفینا بحصول ذلک للمالک المجیز</w:t>
      </w:r>
      <w:bookmarkEnd w:id="2325"/>
    </w:p>
    <w:p>
      <w:pPr>
        <w:pStyle w:val="BookText"/>
      </w:pPr>
      <w:r>
        <w:rPr>
          <w:rFonts w:ascii="IRNazanin" w:hAnsi="IRNazanin" w:eastAsia="IRNazanin" w:cs="IRNazanin"/>
          <w:lang w:bidi="fa-IR"/>
          <w:color w:val="111111"/>
          <w:sz w:val="28"/>
          <w:szCs w:val="28"/>
          <w:rtl/>
        </w:rPr>
        <w:t xml:space="preserve">لأنّه البائع حقیقة،و الفرض هنا عدم إجازته،و عدم وقوع البیع عنه.</w:t>
      </w:r>
    </w:p>
    <w:p>
      <w:pPr>
        <w:pStyle w:val="BookText"/>
      </w:pPr>
      <w:r>
        <w:rPr>
          <w:rFonts w:ascii="IRNazanin" w:hAnsi="IRNazanin" w:eastAsia="IRNazanin" w:cs="IRNazanin"/>
          <w:lang w:bidi="fa-IR"/>
          <w:color w:val="111111"/>
          <w:sz w:val="28"/>
          <w:szCs w:val="28"/>
          <w:rtl/>
        </w:rPr>
        <w:t xml:space="preserve">و فیه:أنّ الثابت هو اعتبار رضا من هو المالک حال الرضا، سواء ملک حال العقد أم لا؛لأنّ الداعی علی اعتبار الرضا سلطنة الناس علی أموالهم و عدم حلّها لغیر ملّاکها بغیر طیب أنفسهم و قبح التصرّف فیها بغیر رضاهم،و هذا المعنی لا یقتضی أزید ممّا ذکرنا.</w:t>
      </w:r>
    </w:p>
    <w:p>
      <w:pPr>
        <w:pStyle w:val="BookText"/>
      </w:pPr>
      <w:r>
        <w:rPr>
          <w:rFonts w:ascii="IRNazanin" w:hAnsi="IRNazanin" w:eastAsia="IRNazanin" w:cs="IRNazanin"/>
          <w:lang w:bidi="fa-IR"/>
          <w:color w:val="111111"/>
          <w:sz w:val="28"/>
          <w:szCs w:val="28"/>
          <w:rtl/>
        </w:rPr>
        <w:t xml:space="preserve">و أمّا القدرة علی التسلیم فلا نضایق من اعتبارها فی المالک حین العقد،</w:t>
      </w:r>
    </w:p>
    <w:p>
      <w:pPr>
        <w:pStyle w:val="BookText"/>
      </w:pPr>
      <w:r>
        <w:rPr>
          <w:rFonts w:ascii="IRNazanin" w:hAnsi="IRNazanin" w:eastAsia="IRNazanin" w:cs="IRNazanin"/>
          <w:lang w:bidi="fa-IR"/>
          <w:color w:val="111111"/>
          <w:sz w:val="28"/>
          <w:szCs w:val="28"/>
          <w:rtl/>
        </w:rPr>
        <w:t xml:space="preserve">[شماره صفحه واقعی : 437]
</w:t>
      </w:r>
    </w:p>
    <w:p>
      <w:pPr>
        <w:sectPr>
          <w:footerReference w:type="default" r:id="rId1116"/>
          <w:footnotePr>
            <w:numStart w:val="1"/>
            <w:numRestart w:val="eachPage"/>
          </w:footnotePr>
          <w:pgSz w:orient="portrait" w:w="11905.511811023622" w:h="16837.79527559055"/>
          <w:pgMar w:top="1440" w:right="1440" w:bottom="1440" w:left="1440" w:header="720" w:footer="720" w:gutter="0"/>
          <w:cols w:num="1" w:space="720"/>
        </w:sectPr>
      </w:pPr>
    </w:p>
    <w:bookmarkStart w:id="666" w:name="pg14411_143498"/>
    <w:bookmarkEnd w:id="666"/>
    <w:p>
      <w:pPr>
        <w:pStyle w:val="BookText"/>
      </w:pPr>
      <w:r>
        <w:rPr>
          <w:rFonts w:ascii="IRNazanin" w:hAnsi="IRNazanin" w:eastAsia="IRNazanin" w:cs="IRNazanin"/>
          <w:lang w:bidi="fa-IR"/>
          <w:color w:val="111111"/>
          <w:sz w:val="28"/>
          <w:szCs w:val="28"/>
          <w:rtl/>
        </w:rPr>
        <w:t xml:space="preserve">و لا یکتفیٰ بحصولها </w:t>
      </w:r>
      <w:r>
        <w:rPr>
          <w:rStyle w:val="FootnoteReference"/>
        </w:rPr>
        <w:footnoteReference w:id="3613"/>
      </w:r>
      <w:r>
        <w:rPr>
          <w:rFonts w:ascii="IRNazanin" w:hAnsi="IRNazanin" w:eastAsia="IRNazanin" w:cs="IRNazanin"/>
          <w:lang w:bidi="fa-IR"/>
          <w:color w:val="111111"/>
          <w:sz w:val="28"/>
          <w:szCs w:val="28"/>
          <w:rtl/>
        </w:rPr>
        <w:t xml:space="preserve">فیمن هو مالک حین الإجازة،و هذا کلام آخر لا یقدح التزامه فی صحّة البیع المذکور؛لأنّ الکلام بعد استجماعه للشروط المفروغ عنها.</w:t>
      </w:r>
    </w:p>
    <w:p>
      <w:pPr>
        <w:pStyle w:val="Heading6"/>
      </w:pPr>
      <w:bookmarkStart w:id="2326" w:name="_Toc1361"/>
      <w:r>
        <w:t>الثالث : أنّ الإجازة حیث صحّت کاشفة-علی الأصحّ-مطلقاً</w:t>
      </w:r>
      <w:bookmarkEnd w:id="2326"/>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[*ستوده]</w:t>
      </w:r>
    </w:p>
    <w:p>
      <w:pPr>
        <w:pStyle w:val="BookText"/>
      </w:pPr>
      <w:r>
        <w:rPr>
          <w:rFonts w:ascii="IRNazanin" w:hAnsi="IRNazanin" w:eastAsia="IRNazanin" w:cs="IRNazanin"/>
          <w:lang w:bidi="fa-IR"/>
          <w:color w:val="111111"/>
          <w:sz w:val="28"/>
          <w:szCs w:val="28"/>
          <w:rtl/>
        </w:rPr>
        <w:t xml:space="preserve">لعموم الدلیل الدالّ علیه،و یلزم حینئذٍ خروج المال عن ملک البائع قبل دخوله فیه </w:t>
      </w:r>
      <w:r>
        <w:rPr>
          <w:rStyle w:val="FootnoteReference"/>
        </w:rPr>
        <w:footnoteReference w:id="36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فیه:منع کون الإجازة کاشفة مطلقاً عن خروج الملک عن ملک المجیز من حین العقد حتّی فیما لو کان المجیز غیر مالک حین العقد،فإنّ مقدار کشف الإجازة تابع لصحّة البیع،فإذا ثبت بمقتضی العمومات أنّ العقد الذی أوقعه البائع لنفسه </w:t>
      </w:r>
      <w:r>
        <w:rPr>
          <w:rStyle w:val="FootnoteReference"/>
        </w:rPr>
        <w:footnoteReference w:id="3615"/>
      </w:r>
      <w:r>
        <w:rPr>
          <w:rFonts w:ascii="IRNazanin" w:hAnsi="IRNazanin" w:eastAsia="IRNazanin" w:cs="IRNazanin"/>
          <w:lang w:bidi="fa-IR"/>
          <w:color w:val="111111"/>
          <w:sz w:val="28"/>
          <w:szCs w:val="28"/>
          <w:rtl/>
        </w:rPr>
        <w:t xml:space="preserve">عقد صدر من أهل العقد فی المحلّ القابل للعقد علیه،و لا مانع من وقوعه إلّا عدم رضا مالکه،فکما أنّ مالکه الأوّل إذا رضی یقع البیع له،فکذلک مالکه الثانی إذا رضی یقع البیع له </w:t>
      </w:r>
      <w:r>
        <w:rPr>
          <w:rStyle w:val="FootnoteReference"/>
        </w:rPr>
        <w:footnoteReference w:id="3616"/>
      </w:r>
      <w:r>
        <w:rPr>
          <w:rFonts w:ascii="IRNazanin" w:hAnsi="IRNazanin" w:eastAsia="IRNazanin" w:cs="IRNazanin"/>
          <w:lang w:bidi="fa-IR"/>
          <w:color w:val="111111"/>
          <w:sz w:val="28"/>
          <w:szCs w:val="28"/>
          <w:rtl/>
        </w:rPr>
        <w:t xml:space="preserve">،و لا دلیل علی اعتبار کون الرضا المتأخّر ممّن هو مالک حال العقد،و حینئذٍ فإذا ثبت صحّته بالدلیل فلا محیص عن القول بأنّ الإجازة کاشفة عن خروج المال عن ملک المجیز فی أوّل أزمنة قابلیّته؛</w:t>
      </w:r>
    </w:p>
    <w:p>
      <w:pPr>
        <w:pStyle w:val="BookText"/>
      </w:pPr>
      <w:r>
        <w:rPr>
          <w:rFonts w:ascii="IRNazanin" w:hAnsi="IRNazanin" w:eastAsia="IRNazanin" w:cs="IRNazanin"/>
          <w:lang w:bidi="fa-IR"/>
          <w:color w:val="111111"/>
          <w:sz w:val="28"/>
          <w:szCs w:val="28"/>
          <w:rtl/>
        </w:rPr>
        <w:t xml:space="preserve">[شماره صفحه واقعی : 438]
</w:t>
      </w:r>
    </w:p>
    <w:p>
      <w:pPr>
        <w:sectPr>
          <w:footerReference w:type="default" r:id="rId1117"/>
          <w:footnotePr>
            <w:numStart w:val="1"/>
            <w:numRestart w:val="eachPage"/>
          </w:footnotePr>
          <w:pgSz w:orient="portrait" w:w="11905.511811023622" w:h="16837.79527559055"/>
          <w:pgMar w:top="1440" w:right="1440" w:bottom="1440" w:left="1440" w:header="720" w:footer="720" w:gutter="0"/>
          <w:cols w:num="1" w:space="720"/>
        </w:sectPr>
      </w:pPr>
    </w:p>
    <w:bookmarkStart w:id="667" w:name="pg14411_143499"/>
    <w:bookmarkEnd w:id="667"/>
    <w:p>
      <w:pPr>
        <w:pStyle w:val="BookText"/>
      </w:pPr>
      <w:r>
        <w:rPr>
          <w:rFonts w:ascii="IRNazanin" w:hAnsi="IRNazanin" w:eastAsia="IRNazanin" w:cs="IRNazanin"/>
          <w:lang w:bidi="fa-IR"/>
          <w:color w:val="111111"/>
          <w:sz w:val="28"/>
          <w:szCs w:val="28"/>
          <w:rtl/>
        </w:rPr>
        <w:t xml:space="preserve">إذ لا یمکن الکشف فیه علی وجه آخر،و لا </w:t>
      </w:r>
      <w:r>
        <w:rPr>
          <w:rStyle w:val="FootnoteReference"/>
        </w:rPr>
        <w:footnoteReference w:id="3617"/>
      </w:r>
      <w:r>
        <w:rPr>
          <w:rFonts w:ascii="IRNazanin" w:hAnsi="IRNazanin" w:eastAsia="IRNazanin" w:cs="IRNazanin"/>
          <w:lang w:bidi="fa-IR"/>
          <w:color w:val="111111"/>
          <w:sz w:val="28"/>
          <w:szCs w:val="28"/>
          <w:rtl/>
        </w:rPr>
        <w:t xml:space="preserve">یلزم من التزام هذا المعنی علی الکشف محال عقلی و لا شرعی حتّی یرفع الید من أجله عن العمومات المقتضیة للصحّة،فإن کان لا بدّ من الکلام فینبغی فی المقتضی للصحّة،أو فی القول بأنّ الواجب فی الکشف-عقلاً أو شرعاً- أن یکون عن خروج المال عن ملک المجیز وقت العقد.</w:t>
      </w:r>
    </w:p>
    <w:p>
      <w:pPr>
        <w:pStyle w:val="BookText"/>
      </w:pPr>
      <w:r>
        <w:rPr>
          <w:rFonts w:ascii="IRNazanin" w:hAnsi="IRNazanin" w:eastAsia="IRNazanin" w:cs="IRNazanin"/>
          <w:lang w:bidi="fa-IR"/>
          <w:color w:val="111111"/>
          <w:sz w:val="28"/>
          <w:szCs w:val="28"/>
          <w:rtl/>
        </w:rPr>
        <w:t xml:space="preserve">و قد عرفت أن لا کلام فی مقتضی الصحّة؛و لذا لم یصدر من المستدلّ علی البطلان،و أنّه لا مانع عقلاً و لا شرعاً من کون الإجازة کاشفة من زمان قابلیّة تأثیرها.</w:t>
      </w:r>
    </w:p>
    <w:p>
      <w:pPr>
        <w:pStyle w:val="BookText"/>
      </w:pPr>
      <w:r>
        <w:rPr>
          <w:rFonts w:ascii="IRNazanin" w:hAnsi="IRNazanin" w:eastAsia="IRNazanin" w:cs="IRNazanin"/>
          <w:lang w:bidi="fa-IR"/>
          <w:color w:val="111111"/>
          <w:sz w:val="28"/>
          <w:szCs w:val="28"/>
          <w:rtl/>
        </w:rPr>
        <w:t xml:space="preserve">و لا یتوهّم أنّ هذا نظیر ما لو خصّص المالک الإجازة بزمان متأخّر عن العقد؛إذ التخصیص إنّما یقدح مع القابلیة،کما أنّ تعمیم الإجازة لما قبل ملک المجیز-بناءً علی ما سبق فی دلیل الکشف من أنّ معنی الإجازة إمضاء العقد من حین الوقوع أو إمضاء العقد الذی مقتضاه النقل من حین الوقوع-غیر قادح مع عدم قابلیة تأثیرها إلّا من زمان ملک المجیز للمبیع.</w:t>
      </w:r>
    </w:p>
    <w:p>
      <w:pPr>
        <w:pStyle w:val="Heading6"/>
      </w:pPr>
      <w:bookmarkStart w:id="2327" w:name="_Toc1362"/>
      <w:r>
        <w:t>الرابع : أنّ العقد الأوّل إنّما صحّ و ترتّب علیه أثره بإجازة الفضولی</w:t>
      </w:r>
      <w:bookmarkEnd w:id="2327"/>
    </w:p>
    <w:p>
      <w:pPr>
        <w:pStyle w:val="BookText"/>
      </w:pPr>
      <w:r>
        <w:rPr>
          <w:rFonts w:ascii="IRNazanin" w:hAnsi="IRNazanin" w:eastAsia="IRNazanin" w:cs="IRNazanin"/>
          <w:lang w:bidi="fa-IR"/>
          <w:color w:val="111111"/>
          <w:sz w:val="28"/>
          <w:szCs w:val="28"/>
          <w:rtl/>
        </w:rPr>
        <w:t xml:space="preserve">و هی متوقّفة علی صحّة العقد الثانی المتوقّفة علی بقاء الملک علی ملک مالکه الأصلی،فیکون صحّة الأوّل مستلزماً </w:t>
      </w:r>
      <w:r>
        <w:rPr>
          <w:rStyle w:val="FootnoteReference"/>
        </w:rPr>
        <w:footnoteReference w:id="3618"/>
      </w:r>
      <w:r>
        <w:rPr>
          <w:rFonts w:ascii="IRNazanin" w:hAnsi="IRNazanin" w:eastAsia="IRNazanin" w:cs="IRNazanin"/>
          <w:lang w:bidi="fa-IR"/>
          <w:color w:val="111111"/>
          <w:sz w:val="28"/>
          <w:szCs w:val="28"/>
          <w:rtl/>
        </w:rPr>
        <w:t xml:space="preserve">لکون المال المعیّن ملکاً للمالک و </w:t>
      </w:r>
      <w:r>
        <w:rPr>
          <w:rStyle w:val="FootnoteReference"/>
        </w:rPr>
        <w:footnoteReference w:id="3619"/>
      </w:r>
      <w:r>
        <w:rPr>
          <w:rFonts w:ascii="IRNazanin" w:hAnsi="IRNazanin" w:eastAsia="IRNazanin" w:cs="IRNazanin"/>
          <w:lang w:bidi="fa-IR"/>
          <w:color w:val="111111"/>
          <w:sz w:val="28"/>
          <w:szCs w:val="28"/>
          <w:rtl/>
        </w:rPr>
        <w:t xml:space="preserve">المشتری معاً فی زمان واحد،و هو محال؛</w:t>
      </w:r>
    </w:p>
    <w:p>
      <w:pPr>
        <w:pStyle w:val="BookText"/>
      </w:pPr>
      <w:r>
        <w:rPr>
          <w:rFonts w:ascii="IRNazanin" w:hAnsi="IRNazanin" w:eastAsia="IRNazanin" w:cs="IRNazanin"/>
          <w:lang w:bidi="fa-IR"/>
          <w:color w:val="111111"/>
          <w:sz w:val="28"/>
          <w:szCs w:val="28"/>
          <w:rtl/>
        </w:rPr>
        <w:t xml:space="preserve">[شماره صفحه واقعی : 439]
</w:t>
      </w:r>
    </w:p>
    <w:p>
      <w:pPr>
        <w:sectPr>
          <w:footerReference w:type="default" r:id="rId1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لتضادّهما،فوجود الثانی یقتضی عدم الأوّل،و هو موجب لعدم الثانی أیضاً،فیلزم وجوده و عدمه فی آن واحد،و هو محال.</w:t>
      </w:r>
    </w:p>
    <w:p>
      <w:pPr>
        <w:pStyle w:val="BookText"/>
      </w:pPr>
      <w:r>
        <w:rPr>
          <w:rFonts w:ascii="IRNazanin" w:hAnsi="IRNazanin" w:eastAsia="IRNazanin" w:cs="IRNazanin"/>
          <w:lang w:bidi="fa-IR"/>
          <w:color w:val="111111"/>
          <w:sz w:val="28"/>
          <w:szCs w:val="28"/>
          <w:rtl/>
        </w:rPr>
        <w:t xml:space="preserve">فإن قلت </w:t>
      </w:r>
      <w:r>
        <w:rPr>
          <w:rStyle w:val="FootnoteReference"/>
        </w:rPr>
        <w:footnoteReference w:id="3620"/>
      </w:r>
      <w:r>
        <w:rPr>
          <w:rFonts w:ascii="IRNazanin" w:hAnsi="IRNazanin" w:eastAsia="IRNazanin" w:cs="IRNazanin"/>
          <w:lang w:bidi="fa-IR"/>
          <w:color w:val="111111"/>
          <w:sz w:val="28"/>
          <w:szCs w:val="28"/>
          <w:rtl/>
        </w:rPr>
        <w:t xml:space="preserve">:مثل هذا لازم فی کلّ عقدٍ فضولیّ،لأنّ صحّته موقوفة علی الإجازة المتأخّرة المتوقّفة علی بقاء ملک المالک و مستلزمة </w:t>
      </w:r>
      <w:r>
        <w:rPr>
          <w:rStyle w:val="FootnoteReference"/>
        </w:rPr>
        <w:footnoteReference w:id="3621"/>
      </w:r>
      <w:r>
        <w:rPr>
          <w:rFonts w:ascii="IRNazanin" w:hAnsi="IRNazanin" w:eastAsia="IRNazanin" w:cs="IRNazanin"/>
          <w:lang w:bidi="fa-IR"/>
          <w:color w:val="111111"/>
          <w:sz w:val="28"/>
          <w:szCs w:val="28"/>
          <w:rtl/>
        </w:rPr>
        <w:t xml:space="preserve">لملک المشتری کذلک،فیلزم کونه بعد العقد ملک المالک و المشتری معاً فی آن واحد،فیلزم إمّا بطلان عقد الفضولی مطلقاً أو بطلان القول بالکشف،فلا اختصاص لهذا الإیراد بما نحن فیه.</w:t>
      </w:r>
    </w:p>
    <w:p>
      <w:pPr>
        <w:pStyle w:val="BookText"/>
      </w:pPr>
      <w:r>
        <w:rPr>
          <w:rFonts w:ascii="IRNazanin" w:hAnsi="IRNazanin" w:eastAsia="IRNazanin" w:cs="IRNazanin"/>
          <w:lang w:bidi="fa-IR"/>
          <w:color w:val="111111"/>
          <w:sz w:val="28"/>
          <w:szCs w:val="28"/>
          <w:rtl/>
        </w:rPr>
        <w:t xml:space="preserve">قلنا:یکفی فی الإجازة ملک المالک ظاهراً،و هو الحاصل من استصحاب ملکه السابق؛لأنّها فی الحقیقة رفع الید </w:t>
      </w:r>
      <w:r>
        <w:rPr>
          <w:rStyle w:val="FootnoteReference"/>
        </w:rPr>
        <w:footnoteReference w:id="3622"/>
      </w:r>
      <w:r>
        <w:rPr>
          <w:rFonts w:ascii="IRNazanin" w:hAnsi="IRNazanin" w:eastAsia="IRNazanin" w:cs="IRNazanin"/>
          <w:lang w:bidi="fa-IR"/>
          <w:color w:val="111111"/>
          <w:sz w:val="28"/>
          <w:szCs w:val="28"/>
          <w:rtl/>
        </w:rPr>
        <w:t xml:space="preserve">و إسقاط للحقّ، و لا یکفی الملک الصوری فی العقد الثانی </w:t>
      </w:r>
      <w:r>
        <w:rPr>
          <w:rStyle w:val="FootnoteReference"/>
        </w:rPr>
        <w:footnoteReference w:id="36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[*ستوده]</w:t>
      </w:r>
    </w:p>
    <w:p>
      <w:pPr>
        <w:pStyle w:val="BookText"/>
      </w:pPr>
      <w:r>
        <w:rPr>
          <w:rFonts w:ascii="IRNazanin" w:hAnsi="IRNazanin" w:eastAsia="IRNazanin" w:cs="IRNazanin"/>
          <w:lang w:bidi="fa-IR"/>
          <w:color w:val="111111"/>
          <w:sz w:val="28"/>
          <w:szCs w:val="28"/>
          <w:rtl/>
        </w:rPr>
        <w:t xml:space="preserve">أقول:قد عرفت أنّ القائل بالصحّة ملتزم بکون الأثر المترتّب علی العقد الأوّل بعد إجازة العاقد له هو تملّک المشتری له من حین ملک العاقد،لا من حین العقد،و حینئذٍ فتوقّف إجازة العاقد </w:t>
      </w:r>
      <w:r>
        <w:rPr>
          <w:rStyle w:val="FootnoteReference"/>
        </w:rPr>
        <w:footnoteReference w:id="3624"/>
      </w:r>
      <w:r>
        <w:rPr>
          <w:rFonts w:ascii="IRNazanin" w:hAnsi="IRNazanin" w:eastAsia="IRNazanin" w:cs="IRNazanin"/>
          <w:lang w:bidi="fa-IR"/>
          <w:color w:val="111111"/>
          <w:sz w:val="28"/>
          <w:szCs w:val="28"/>
          <w:rtl/>
        </w:rPr>
        <w:t xml:space="preserve">الأوّل علی صحّة العقد الثانی مسلّم،و توقّف صحّة العقد الثانی علی بقاء الملک علی ملک مالکه الأصلی إلی زمان العقد مسلّم أیضاً،فقوله:«صحّة</w:t>
      </w:r>
    </w:p>
    <w:p>
      <w:pPr>
        <w:pStyle w:val="BookText"/>
      </w:pPr>
      <w:r>
        <w:rPr>
          <w:rFonts w:ascii="IRNazanin" w:hAnsi="IRNazanin" w:eastAsia="IRNazanin" w:cs="IRNazanin"/>
          <w:lang w:bidi="fa-IR"/>
          <w:color w:val="111111"/>
          <w:sz w:val="28"/>
          <w:szCs w:val="28"/>
          <w:rtl/>
        </w:rPr>
        <w:t xml:space="preserve">[شماره صفحه واقعی : 440]
</w:t>
      </w:r>
    </w:p>
    <w:p>
      <w:pPr>
        <w:sectPr>
          <w:footerReference w:type="default" r:id="rId1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الأوّل تستلزم کون المال ملکاً للمالک و المشتری فی زمان»ممنوع </w:t>
      </w:r>
      <w:r>
        <w:rPr>
          <w:rStyle w:val="FootnoteReference"/>
        </w:rPr>
        <w:footnoteReference w:id="3625"/>
      </w:r>
      <w:r>
        <w:rPr>
          <w:rFonts w:ascii="IRNazanin" w:hAnsi="IRNazanin" w:eastAsia="IRNazanin" w:cs="IRNazanin"/>
          <w:lang w:bidi="fa-IR"/>
          <w:color w:val="111111"/>
          <w:sz w:val="28"/>
          <w:szCs w:val="28"/>
          <w:rtl/>
        </w:rPr>
        <w:t xml:space="preserve">،بل صحّته تستلزم خروج العین عن ملکیة المالک الأصلی </w:t>
      </w:r>
      <w:r>
        <w:rPr>
          <w:rStyle w:val="FootnoteReference"/>
        </w:rPr>
        <w:footnoteReference w:id="36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نعم،إنّما یلزم ما ذکره من المحال إذا ادّعی وجوب کون الإجازة کاشفة عن الملک حین العقد،و لکن هذا أمر تقدّم دعواه فی الوجه الثالث و قد تقدّم منعه </w:t>
      </w:r>
      <w:r>
        <w:rPr>
          <w:rStyle w:val="FootnoteReference"/>
        </w:rPr>
        <w:footnoteReference w:id="3627"/>
      </w:r>
      <w:r>
        <w:rPr>
          <w:rFonts w:ascii="IRNazanin" w:hAnsi="IRNazanin" w:eastAsia="IRNazanin" w:cs="IRNazanin"/>
          <w:lang w:bidi="fa-IR"/>
          <w:color w:val="111111"/>
          <w:sz w:val="28"/>
          <w:szCs w:val="28"/>
          <w:rtl/>
        </w:rPr>
        <w:t xml:space="preserve">،فلا وجه لإعادته بتقریر آخر،کما لا یخفی.</w:t>
      </w:r>
    </w:p>
    <w:p>
      <w:pPr>
        <w:pStyle w:val="BookText"/>
      </w:pPr>
      <w:r>
        <w:rPr>
          <w:rFonts w:ascii="IRNazanin" w:hAnsi="IRNazanin" w:eastAsia="IRNazanin" w:cs="IRNazanin"/>
          <w:lang w:bidi="fa-IR"/>
          <w:color w:val="111111"/>
          <w:sz w:val="28"/>
          <w:szCs w:val="28"/>
          <w:rtl/>
        </w:rPr>
        <w:t xml:space="preserve">نعم،یبقی فی المقام الإشکال الوارد فی مطلق الفضولی علی القول بالکشف،و هو کون الملک حال الإجازة للمجیز و المشتری معاً،و هذا إشکال آخر تعرّض لاندفاعه </w:t>
      </w:r>
      <w:r>
        <w:rPr>
          <w:rStyle w:val="FootnoteReference"/>
        </w:rPr>
        <w:footnoteReference w:id="3628"/>
      </w:r>
      <w:r>
        <w:rPr>
          <w:rFonts w:ascii="IRNazanin" w:hAnsi="IRNazanin" w:eastAsia="IRNazanin" w:cs="IRNazanin"/>
          <w:lang w:bidi="fa-IR"/>
          <w:color w:val="111111"/>
          <w:sz w:val="28"/>
          <w:szCs w:val="28"/>
          <w:rtl/>
        </w:rPr>
        <w:t xml:space="preserve">أخیراً،غیر الإشکال الذی استنتجه من المقدّمات المذکورة،و هو لزوم کون الملک للمالک الأصلی و للمشتری </w:t>
      </w:r>
      <w:r>
        <w:rPr>
          <w:rStyle w:val="FootnoteReference"/>
        </w:rPr>
        <w:footnoteReference w:id="36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نعم،یلزم من ضمّ هذا الإشکال العامّ إلی ما یلزم فی المسألة علی القول بالکشف من حین العقد اجتماع ملّاک ثلاثة علی ملک واحد قبل العقد الثانی؛لوجوب التزام مالکیّة المالک الأصلی حتّی یصحّ العقد الثانی،و مالکیة </w:t>
      </w:r>
      <w:r>
        <w:rPr>
          <w:rStyle w:val="FootnoteReference"/>
        </w:rPr>
        <w:footnoteReference w:id="3630"/>
      </w:r>
      <w:r>
        <w:rPr>
          <w:rFonts w:ascii="IRNazanin" w:hAnsi="IRNazanin" w:eastAsia="IRNazanin" w:cs="IRNazanin"/>
          <w:lang w:bidi="fa-IR"/>
          <w:color w:val="111111"/>
          <w:sz w:val="28"/>
          <w:szCs w:val="28"/>
          <w:rtl/>
        </w:rPr>
        <w:t xml:space="preserve">المشتری له لأنّ الإجازة تکشف عن ذلک،و مالکیة </w:t>
      </w:r>
      <w:r>
        <w:rPr>
          <w:rStyle w:val="FootnoteReference"/>
        </w:rPr>
        <w:footnoteReference w:id="3631"/>
      </w:r>
      <w:r>
        <w:rPr>
          <w:rFonts w:ascii="IRNazanin" w:hAnsi="IRNazanin" w:eastAsia="IRNazanin" w:cs="IRNazanin"/>
          <w:lang w:bidi="fa-IR"/>
          <w:color w:val="111111"/>
          <w:sz w:val="28"/>
          <w:szCs w:val="28"/>
          <w:rtl/>
        </w:rPr>
        <w:t xml:space="preserve">العاقد له لأنّ ملک المشتری لا بدّ أن یکون عن ملکه،و إلّا لم ینفع</w:t>
      </w:r>
    </w:p>
    <w:p>
      <w:pPr>
        <w:pStyle w:val="BookText"/>
      </w:pPr>
      <w:r>
        <w:rPr>
          <w:rFonts w:ascii="IRNazanin" w:hAnsi="IRNazanin" w:eastAsia="IRNazanin" w:cs="IRNazanin"/>
          <w:lang w:bidi="fa-IR"/>
          <w:color w:val="111111"/>
          <w:sz w:val="28"/>
          <w:szCs w:val="28"/>
          <w:rtl/>
        </w:rPr>
        <w:t xml:space="preserve">[شماره صفحه واقعی : 441]
</w:t>
      </w:r>
    </w:p>
    <w:p>
      <w:pPr>
        <w:sectPr>
          <w:footerReference w:type="default" r:id="rId1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إجازته فی ملکه من حین العقد؛لأنّ إجازة غیر المالک لا یخرج ملک الغیر إلی غیره.</w:t>
      </w:r>
    </w:p>
    <w:p>
      <w:pPr>
        <w:pStyle w:val="BookText"/>
      </w:pPr>
      <w:r>
        <w:rPr>
          <w:rFonts w:ascii="IRNazanin" w:hAnsi="IRNazanin" w:eastAsia="IRNazanin" w:cs="IRNazanin"/>
          <w:lang w:bidi="fa-IR"/>
          <w:color w:val="111111"/>
          <w:sz w:val="28"/>
          <w:szCs w:val="28"/>
          <w:rtl/>
        </w:rPr>
        <w:t xml:space="preserve">ثمّ إنّ ما أجاب به عن الإشکال الوارد فی مطلق الفضولی لا یُسمن و لا یغنی؛لأنّ الإجازة إذا وقعت،فإن کشفت عن ملک </w:t>
      </w:r>
      <w:r>
        <w:rPr>
          <w:rStyle w:val="FootnoteReference"/>
        </w:rPr>
        <w:footnoteReference w:id="3632"/>
      </w:r>
      <w:r>
        <w:rPr>
          <w:rFonts w:ascii="IRNazanin" w:hAnsi="IRNazanin" w:eastAsia="IRNazanin" w:cs="IRNazanin"/>
          <w:lang w:bidi="fa-IR"/>
          <w:color w:val="111111"/>
          <w:sz w:val="28"/>
          <w:szCs w:val="28"/>
          <w:rtl/>
        </w:rPr>
        <w:t xml:space="preserve">المشتری قبلها کشفت عمّا یبطلها؛لأنّ الإجازة لا تکون إلّا من المالک الواقعی، و المالک الظاهری إنّما یجدی إجازته إذا لم ینکشف کون غیره مالکاً حین الإجازة؛و لذا لو تبیّن فی مقام آخر کون المجیز غیر المالک لم تنفع إجازته </w:t>
      </w:r>
      <w:r>
        <w:rPr>
          <w:rStyle w:val="FootnoteReference"/>
        </w:rPr>
        <w:footnoteReference w:id="3633"/>
      </w:r>
      <w:r>
        <w:rPr>
          <w:rFonts w:ascii="IRNazanin" w:hAnsi="IRNazanin" w:eastAsia="IRNazanin" w:cs="IRNazanin"/>
          <w:lang w:bidi="fa-IR"/>
          <w:color w:val="111111"/>
          <w:sz w:val="28"/>
          <w:szCs w:val="28"/>
          <w:rtl/>
        </w:rPr>
        <w:t xml:space="preserve">لأنّ المالکیة من الشرائط الواقعیّة دون العلمیّة.</w:t>
      </w:r>
    </w:p>
    <w:p>
      <w:pPr>
        <w:pStyle w:val="BookText"/>
      </w:pPr>
      <w:r>
        <w:rPr>
          <w:rFonts w:ascii="IRNazanin" w:hAnsi="IRNazanin" w:eastAsia="IRNazanin" w:cs="IRNazanin"/>
          <w:lang w:bidi="fa-IR"/>
          <w:color w:val="111111"/>
          <w:sz w:val="28"/>
          <w:szCs w:val="28"/>
          <w:rtl/>
        </w:rPr>
        <w:t xml:space="preserve">ثمّ إنّ ما ذکره فی الفرق بین الإجازة و العقد الثانی-من کفایة الملک الصوری </w:t>
      </w:r>
      <w:r>
        <w:rPr>
          <w:rStyle w:val="FootnoteReference"/>
        </w:rPr>
        <w:footnoteReference w:id="3634"/>
      </w:r>
      <w:r>
        <w:rPr>
          <w:rFonts w:ascii="IRNazanin" w:hAnsi="IRNazanin" w:eastAsia="IRNazanin" w:cs="IRNazanin"/>
          <w:lang w:bidi="fa-IR"/>
          <w:color w:val="111111"/>
          <w:sz w:val="28"/>
          <w:szCs w:val="28"/>
          <w:rtl/>
        </w:rPr>
        <w:t xml:space="preserve">فی الأوّل دون الثانی-تحکّمٌ صِرف،خصوصاً مع تعلیله بأنّ الإجازة رفع للید و إسقاط للحقّ،فلیت شعری!أنّ إسقاط الحقّ کیف </w:t>
      </w:r>
      <w:r>
        <w:rPr>
          <w:rStyle w:val="FootnoteReference"/>
        </w:rPr>
        <w:footnoteReference w:id="3635"/>
      </w:r>
      <w:r>
        <w:rPr>
          <w:rFonts w:ascii="IRNazanin" w:hAnsi="IRNazanin" w:eastAsia="IRNazanin" w:cs="IRNazanin"/>
          <w:lang w:bidi="fa-IR"/>
          <w:color w:val="111111"/>
          <w:sz w:val="28"/>
          <w:szCs w:val="28"/>
          <w:rtl/>
        </w:rPr>
        <w:t xml:space="preserve">یجدی و ینفع مع عدم الحقّ واقعاً؟!مع أنّ الإجازة رفع للید </w:t>
      </w:r>
      <w:r>
        <w:rPr>
          <w:rStyle w:val="FootnoteReference"/>
        </w:rPr>
        <w:footnoteReference w:id="3636"/>
      </w:r>
      <w:r>
        <w:rPr>
          <w:rFonts w:ascii="IRNazanin" w:hAnsi="IRNazanin" w:eastAsia="IRNazanin" w:cs="IRNazanin"/>
          <w:lang w:bidi="fa-IR"/>
          <w:color w:val="111111"/>
          <w:sz w:val="28"/>
          <w:szCs w:val="28"/>
          <w:rtl/>
        </w:rPr>
        <w:t xml:space="preserve">عن </w:t>
      </w:r>
      <w:r>
        <w:rPr>
          <w:rStyle w:val="FootnoteReference"/>
        </w:rPr>
        <w:footnoteReference w:id="3637"/>
      </w:r>
      <w:r>
        <w:rPr>
          <w:rFonts w:ascii="IRNazanin" w:hAnsi="IRNazanin" w:eastAsia="IRNazanin" w:cs="IRNazanin"/>
          <w:lang w:bidi="fa-IR"/>
          <w:color w:val="111111"/>
          <w:sz w:val="28"/>
          <w:szCs w:val="28"/>
          <w:rtl/>
        </w:rPr>
        <w:t xml:space="preserve">الملک أیضاً بالبدیهة.</w:t>
      </w:r>
    </w:p>
    <w:p>
      <w:pPr>
        <w:pStyle w:val="BookText"/>
      </w:pPr>
      <w:r>
        <w:rPr>
          <w:rFonts w:ascii="IRNazanin" w:hAnsi="IRNazanin" w:eastAsia="IRNazanin" w:cs="IRNazanin"/>
          <w:lang w:bidi="fa-IR"/>
          <w:color w:val="111111"/>
          <w:sz w:val="28"/>
          <w:szCs w:val="28"/>
          <w:rtl/>
        </w:rPr>
        <w:t xml:space="preserve">و التحقیق:أنّ الإشکال إنّما نشأ من الإشکال الذی ذکرناه سابقاً فی کاشفیة الإجازة علی الوجه المشهور </w:t>
      </w:r>
      <w:r>
        <w:rPr>
          <w:rStyle w:val="FootnoteReference"/>
        </w:rPr>
        <w:footnoteReference w:id="3638"/>
      </w:r>
      <w:r>
        <w:rPr>
          <w:rFonts w:ascii="Amiri" w:hAnsi="Amiri" w:eastAsia="Amiri" w:cs="Amiri"/>
          <w:lang w:bidi="ar-SA"/>
          <w:color w:val="111111"/>
          <w:sz w:val="28"/>
          <w:szCs w:val="28"/>
          <w:rtl/>
        </w:rPr>
        <w:t xml:space="preserve">من کونها شرطاً متأخّراً</w:t>
      </w:r>
    </w:p>
    <w:p>
      <w:pPr>
        <w:pStyle w:val="BookText"/>
      </w:pPr>
      <w:r>
        <w:rPr>
          <w:rFonts w:ascii="IRNazanin" w:hAnsi="IRNazanin" w:eastAsia="IRNazanin" w:cs="IRNazanin"/>
          <w:lang w:bidi="fa-IR"/>
          <w:color w:val="111111"/>
          <w:sz w:val="28"/>
          <w:szCs w:val="28"/>
          <w:rtl/>
        </w:rPr>
        <w:t xml:space="preserve">[شماره صفحه واقعی : 442]
</w:t>
      </w:r>
    </w:p>
    <w:p>
      <w:pPr>
        <w:sectPr>
          <w:footerReference w:type="default" r:id="rId1121"/>
          <w:footnotePr>
            <w:numStart w:val="1"/>
            <w:numRestart w:val="eachPage"/>
          </w:footnotePr>
          <w:pgSz w:orient="portrait" w:w="11905.511811023622" w:h="16837.79527559055"/>
          <w:pgMar w:top="1440" w:right="1440" w:bottom="1440" w:left="1440" w:header="720" w:footer="720" w:gutter="0"/>
          <w:cols w:num="1" w:space="720"/>
        </w:sectPr>
      </w:pPr>
    </w:p>
    <w:bookmarkStart w:id="668" w:name="pg14411_143503"/>
    <w:bookmarkEnd w:id="668"/>
    <w:p>
      <w:pPr>
        <w:pStyle w:val="BookText"/>
      </w:pPr>
      <w:r>
        <w:rPr>
          <w:rFonts w:ascii="IRNazanin" w:hAnsi="IRNazanin" w:eastAsia="IRNazanin" w:cs="IRNazanin"/>
          <w:lang w:bidi="fa-IR"/>
          <w:color w:val="111111"/>
          <w:sz w:val="28"/>
          <w:szCs w:val="28"/>
          <w:rtl/>
        </w:rPr>
        <w:t xml:space="preserve">یوجب حدوثه تأثیر السبب المتقدّم من زمانه.</w:t>
      </w:r>
    </w:p>
    <w:p>
      <w:pPr>
        <w:pStyle w:val="Heading6"/>
      </w:pPr>
      <w:bookmarkStart w:id="2328" w:name="_Toc1363"/>
      <w:r>
        <w:t>الخامس : أنّ الإجازة المتأخّرة لمّا کشفت عن صحّة العقد الأوّل و عن کون المال ملک المشتری الأوّل،فقد وقع العقد الثانی علی ماله</w:t>
      </w:r>
      <w:bookmarkEnd w:id="2328"/>
    </w:p>
    <w:p>
      <w:pPr>
        <w:pStyle w:val="BookText"/>
      </w:pPr>
      <w:r>
        <w:rPr>
          <w:rFonts w:ascii="IRNazanin" w:hAnsi="IRNazanin" w:eastAsia="IRNazanin" w:cs="IRNazanin"/>
          <w:lang w:bidi="fa-IR"/>
          <w:color w:val="111111"/>
          <w:sz w:val="28"/>
          <w:szCs w:val="28"/>
          <w:rtl/>
        </w:rPr>
        <w:t xml:space="preserve">الخامس </w:t>
      </w:r>
      <w:r>
        <w:rPr>
          <w:rStyle w:val="FootnoteReference"/>
        </w:rPr>
        <w:footnoteReference w:id="3639"/>
      </w:r>
      <w:r>
        <w:rPr>
          <w:rFonts w:ascii="IRNazanin" w:hAnsi="IRNazanin" w:eastAsia="IRNazanin" w:cs="IRNazanin"/>
          <w:lang w:bidi="fa-IR"/>
          <w:color w:val="111111"/>
          <w:sz w:val="28"/>
          <w:szCs w:val="28"/>
          <w:rtl/>
        </w:rPr>
        <w:t xml:space="preserve">:أنّ الإجازة المتأخّرة لمّا کشفت عن صحّة العقد الأوّل و عن کون المال ملک المشتری الأوّل،فقد وقع العقد الثانی علی ماله،</w:t>
      </w:r>
    </w:p>
    <w:p>
      <w:pPr>
        <w:pStyle w:val="BookText"/>
      </w:pPr>
      <w:r>
        <w:rPr>
          <w:rFonts w:ascii="IRNazanin" w:hAnsi="IRNazanin" w:eastAsia="IRNazanin" w:cs="IRNazanin"/>
          <w:lang w:bidi="fa-IR"/>
          <w:color w:val="111111"/>
          <w:sz w:val="28"/>
          <w:szCs w:val="28"/>
          <w:rtl/>
        </w:rPr>
        <w:t xml:space="preserve">فلا بدّ من إجازته له </w:t>
      </w:r>
      <w:r>
        <w:rPr>
          <w:rStyle w:val="FootnoteReference"/>
        </w:rPr>
        <w:footnoteReference w:id="3640"/>
      </w:r>
      <w:r>
        <w:rPr>
          <w:rFonts w:ascii="IRNazanin" w:hAnsi="IRNazanin" w:eastAsia="IRNazanin" w:cs="IRNazanin"/>
          <w:lang w:bidi="fa-IR"/>
          <w:color w:val="111111"/>
          <w:sz w:val="28"/>
          <w:szCs w:val="28"/>
          <w:rtl/>
        </w:rPr>
        <w:t xml:space="preserve">کما لو بیع المبیع من شخصٍ آخر فأجاز المالک البیعَ الأوّل،فلا بدّ من إجازة المشتری البیع الثانی حتّی یصحّ و یلزم،فعلی هذا یلزم توقّف إجازة کلٍّ من الشخصین علی إجازة الآخر،و توقّف صحّة کلٍّ من العقدین </w:t>
      </w:r>
      <w:r>
        <w:rPr>
          <w:rStyle w:val="FootnoteReference"/>
        </w:rPr>
        <w:footnoteReference w:id="3641"/>
      </w:r>
      <w:r>
        <w:rPr>
          <w:rFonts w:ascii="IRNazanin" w:hAnsi="IRNazanin" w:eastAsia="IRNazanin" w:cs="IRNazanin"/>
          <w:lang w:bidi="fa-IR"/>
          <w:color w:val="111111"/>
          <w:sz w:val="28"/>
          <w:szCs w:val="28"/>
          <w:rtl/>
        </w:rPr>
        <w:t xml:space="preserve">علی إجازة المشتری الغیر الفضولی،و هو من الأعاجیب!</w:t>
      </w:r>
    </w:p>
    <w:p>
      <w:pPr>
        <w:pStyle w:val="BookText"/>
      </w:pPr>
      <w:r>
        <w:rPr>
          <w:rFonts w:ascii="IRNazanin" w:hAnsi="IRNazanin" w:eastAsia="IRNazanin" w:cs="IRNazanin"/>
          <w:lang w:bidi="fa-IR"/>
          <w:color w:val="111111"/>
          <w:sz w:val="28"/>
          <w:szCs w:val="28"/>
          <w:rtl/>
        </w:rPr>
        <w:t xml:space="preserve">[*ستوده]</w:t>
      </w:r>
    </w:p>
    <w:p>
      <w:pPr>
        <w:pStyle w:val="BookText"/>
      </w:pPr>
      <w:r>
        <w:rPr>
          <w:rFonts w:ascii="IRNazanin" w:hAnsi="IRNazanin" w:eastAsia="IRNazanin" w:cs="IRNazanin"/>
          <w:lang w:bidi="fa-IR"/>
          <w:color w:val="111111"/>
          <w:sz w:val="28"/>
          <w:szCs w:val="28"/>
          <w:rtl/>
        </w:rPr>
        <w:t xml:space="preserve">بل من المستحیل؛لاستلزام ذلک عدم تملّک المالک الأصلی </w:t>
      </w:r>
      <w:r>
        <w:rPr>
          <w:rStyle w:val="FootnoteReference"/>
        </w:rPr>
        <w:footnoteReference w:id="3642"/>
      </w:r>
      <w:r>
        <w:rPr>
          <w:rFonts w:ascii="IRNazanin" w:hAnsi="IRNazanin" w:eastAsia="IRNazanin" w:cs="IRNazanin"/>
          <w:lang w:bidi="fa-IR"/>
          <w:color w:val="111111"/>
          <w:sz w:val="28"/>
          <w:szCs w:val="28"/>
          <w:rtl/>
        </w:rPr>
        <w:t xml:space="preserve">شیئاً من الثمن و المثمن،و تملّک المشتری الأوّل المبیع بلا عوض إن اتّحد الثمنان،و دون تمامه إن زاد الأوّل،و مع زیادة إن نقص </w:t>
      </w:r>
      <w:r>
        <w:rPr>
          <w:rStyle w:val="FootnoteReference"/>
        </w:rPr>
        <w:footnoteReference w:id="3643"/>
      </w:r>
      <w:r>
        <w:rPr>
          <w:rFonts w:ascii="IRNazanin" w:hAnsi="IRNazanin" w:eastAsia="IRNazanin" w:cs="IRNazanin"/>
          <w:lang w:bidi="fa-IR"/>
          <w:color w:val="111111"/>
          <w:sz w:val="28"/>
          <w:szCs w:val="28"/>
          <w:rtl/>
        </w:rPr>
        <w:t xml:space="preserve">لانکشاف وقوعه فی ملکه </w:t>
      </w:r>
      <w:r>
        <w:rPr>
          <w:rStyle w:val="FootnoteReference"/>
        </w:rPr>
        <w:footnoteReference w:id="3644"/>
      </w:r>
      <w:r>
        <w:rPr>
          <w:rFonts w:ascii="IRNazanin" w:hAnsi="IRNazanin" w:eastAsia="IRNazanin" w:cs="IRNazanin"/>
          <w:lang w:bidi="fa-IR"/>
          <w:color w:val="111111"/>
          <w:sz w:val="28"/>
          <w:szCs w:val="28"/>
          <w:rtl/>
        </w:rPr>
        <w:t xml:space="preserve">فالثمن له،و قد کان المبیع له أیضاً بما بذله من الثمن،و هو ظاهر.</w:t>
      </w:r>
    </w:p>
    <w:p>
      <w:pPr>
        <w:pStyle w:val="BookText"/>
      </w:pPr>
      <w:r>
        <w:rPr>
          <w:rFonts w:ascii="IRNazanin" w:hAnsi="IRNazanin" w:eastAsia="IRNazanin" w:cs="IRNazanin"/>
          <w:lang w:bidi="fa-IR"/>
          <w:color w:val="111111"/>
          <w:sz w:val="28"/>
          <w:szCs w:val="28"/>
          <w:rtl/>
        </w:rPr>
        <w:t xml:space="preserve">و الجواب عن ذلک:ما تقدّم فی سابقه من ابتنائه علی وجوب</w:t>
      </w:r>
    </w:p>
    <w:p>
      <w:pPr>
        <w:pStyle w:val="BookText"/>
      </w:pPr>
      <w:r>
        <w:rPr>
          <w:rFonts w:ascii="IRNazanin" w:hAnsi="IRNazanin" w:eastAsia="IRNazanin" w:cs="IRNazanin"/>
          <w:lang w:bidi="fa-IR"/>
          <w:color w:val="111111"/>
          <w:sz w:val="28"/>
          <w:szCs w:val="28"/>
          <w:rtl/>
        </w:rPr>
        <w:t xml:space="preserve">[شماره صفحه واقعی : 443]
</w:t>
      </w:r>
    </w:p>
    <w:p>
      <w:pPr>
        <w:sectPr>
          <w:footerReference w:type="default" r:id="rId1122"/>
          <w:footnotePr>
            <w:numStart w:val="1"/>
            <w:numRestart w:val="eachPage"/>
          </w:footnotePr>
          <w:pgSz w:orient="portrait" w:w="11905.511811023622" w:h="16837.79527559055"/>
          <w:pgMar w:top="1440" w:right="1440" w:bottom="1440" w:left="1440" w:header="720" w:footer="720" w:gutter="0"/>
          <w:cols w:num="1" w:space="720"/>
        </w:sectPr>
      </w:pPr>
    </w:p>
    <w:bookmarkStart w:id="669" w:name="pg14411_143504"/>
    <w:bookmarkEnd w:id="669"/>
    <w:p>
      <w:pPr>
        <w:pStyle w:val="BookText"/>
      </w:pPr>
      <w:r>
        <w:rPr>
          <w:rFonts w:ascii="IRNazanin" w:hAnsi="IRNazanin" w:eastAsia="IRNazanin" w:cs="IRNazanin"/>
          <w:lang w:bidi="fa-IR"/>
          <w:color w:val="111111"/>
          <w:sz w:val="28"/>
          <w:szCs w:val="28"/>
          <w:rtl/>
        </w:rPr>
        <w:t xml:space="preserve">کون الإجازة کاشفة عن الملک من حین العقد،و هو ممنوع.</w:t>
      </w:r>
    </w:p>
    <w:p>
      <w:pPr>
        <w:pStyle w:val="BookText"/>
      </w:pPr>
      <w:r>
        <w:rPr>
          <w:rFonts w:ascii="Amiri" w:hAnsi="Amiri" w:eastAsia="Amiri" w:cs="Amiri"/>
          <w:lang w:bidi="ar-SA"/>
          <w:color w:val="111111"/>
          <w:sz w:val="28"/>
          <w:szCs w:val="28"/>
          <w:rtl/>
        </w:rPr>
        <w:t xml:space="preserve">و الحاصل:أنّ منشأ الوجوه الثلاثة </w:t>
      </w:r>
      <w:r>
        <w:rPr>
          <w:rStyle w:val="FootnoteReference"/>
        </w:rPr>
        <w:footnoteReference w:id="3645"/>
      </w:r>
      <w:r>
        <w:rPr>
          <w:rFonts w:ascii="IRNazanin" w:hAnsi="IRNazanin" w:eastAsia="IRNazanin" w:cs="IRNazanin"/>
          <w:lang w:bidi="fa-IR"/>
          <w:color w:val="111111"/>
          <w:sz w:val="28"/>
          <w:szCs w:val="28"/>
          <w:rtl/>
        </w:rPr>
        <w:t xml:space="preserve">الأخیرة شیء واحد،و المحال علی تقدیره مسلّم بتقریرات مختلفة قد نبّه علیه فی الإیضاح </w:t>
      </w:r>
      <w:r>
        <w:rPr>
          <w:rStyle w:val="FootnoteReference"/>
        </w:rPr>
        <w:footnoteReference w:id="3646"/>
      </w:r>
      <w:r>
        <w:rPr>
          <w:rFonts w:ascii="IRNazanin" w:hAnsi="IRNazanin" w:eastAsia="IRNazanin" w:cs="IRNazanin"/>
          <w:lang w:bidi="fa-IR"/>
          <w:color w:val="111111"/>
          <w:sz w:val="28"/>
          <w:szCs w:val="28"/>
          <w:rtl/>
        </w:rPr>
        <w:t xml:space="preserve">و جامع المقاصد </w:t>
      </w:r>
      <w:r>
        <w:rPr>
          <w:rStyle w:val="FootnoteReference"/>
        </w:rPr>
        <w:footnoteReference w:id="3647"/>
      </w:r>
      <w:r>
        <w:rPr>
          <w:rFonts w:ascii="Times New Roman" w:hAnsi="Times New Roman" w:eastAsia="Times New Roman" w:cs="Times New Roman"/>
          <w:lang w:val="en-US" w:bidi="en-US"/>
          <w:color w:val="111111"/>
          <w:sz w:val="28"/>
          <w:szCs w:val="28"/>
          <w:rtl/>
        </w:rPr>
        <w:t xml:space="preserve">.</w:t>
      </w:r>
    </w:p>
    <w:p>
      <w:pPr>
        <w:pStyle w:val="Heading6"/>
      </w:pPr>
      <w:bookmarkStart w:id="2329" w:name="_Toc1364"/>
      <w:r>
        <w:t>السادس : أنّ من المعلوم أنّه یکفی فی إجازة المالک و فسخه فعل ما هو من لوازمهما</w:t>
      </w:r>
      <w:bookmarkEnd w:id="2329"/>
    </w:p>
    <w:p>
      <w:pPr>
        <w:pStyle w:val="BookText"/>
      </w:pPr>
      <w:r>
        <w:rPr>
          <w:rFonts w:ascii="IRNazanin" w:hAnsi="IRNazanin" w:eastAsia="IRNazanin" w:cs="IRNazanin"/>
          <w:lang w:bidi="fa-IR"/>
          <w:color w:val="111111"/>
          <w:sz w:val="28"/>
          <w:szCs w:val="28"/>
          <w:rtl/>
        </w:rPr>
        <w:t xml:space="preserve">السادس: أنّ من المعلوم أنّه یکفی فی إجازة المالک و فسخه فعل </w:t>
      </w:r>
      <w:r>
        <w:rPr>
          <w:rStyle w:val="FootnoteReference"/>
        </w:rPr>
        <w:footnoteReference w:id="3648"/>
      </w:r>
      <w:r>
        <w:rPr>
          <w:rFonts w:ascii="IRNazanin" w:hAnsi="IRNazanin" w:eastAsia="IRNazanin" w:cs="IRNazanin"/>
          <w:lang w:bidi="fa-IR"/>
          <w:color w:val="111111"/>
          <w:sz w:val="28"/>
          <w:szCs w:val="28"/>
          <w:rtl/>
        </w:rPr>
        <w:t xml:space="preserve">ما هو من لوازمهما</w:t>
      </w:r>
    </w:p>
    <w:p>
      <w:pPr>
        <w:pStyle w:val="BookText"/>
      </w:pPr>
      <w:r>
        <w:rPr>
          <w:rStyle w:val="FootnoteReference"/>
        </w:rPr>
        <w:footnoteReference w:id="3649"/>
      </w:r>
      <w:r>
        <w:rPr>
          <w:rFonts w:ascii="Amiri" w:hAnsi="Amiri" w:eastAsia="Amiri" w:cs="Amiri"/>
          <w:lang w:bidi="ar-SA"/>
          <w:color w:val="111111"/>
          <w:sz w:val="28"/>
          <w:szCs w:val="28"/>
          <w:rtl/>
        </w:rPr>
        <w:t xml:space="preserve">
،و لمّا </w:t>
      </w:r>
      <w:r>
        <w:rPr>
          <w:rStyle w:val="FootnoteReference"/>
        </w:rPr>
        <w:footnoteReference w:id="3650"/>
      </w:r>
      <w:r>
        <w:rPr>
          <w:rFonts w:ascii="IRNazanin" w:hAnsi="IRNazanin" w:eastAsia="IRNazanin" w:cs="IRNazanin"/>
          <w:lang w:bidi="fa-IR"/>
          <w:color w:val="111111"/>
          <w:sz w:val="28"/>
          <w:szCs w:val="28"/>
          <w:rtl/>
        </w:rPr>
        <w:t xml:space="preserve">باع المالک ماله من الفضولی بالعقد الثانی فقد نقل المال عن نفسه و تملّک الثمن،و هو لا یجامع صحّة العقد الأوّل،فإنّها تقتضی تملّک </w:t>
      </w:r>
      <w:r>
        <w:rPr>
          <w:rStyle w:val="FootnoteReference"/>
        </w:rPr>
        <w:footnoteReference w:id="3651"/>
      </w:r>
      <w:r>
        <w:rPr>
          <w:rFonts w:ascii="IRNazanin" w:hAnsi="IRNazanin" w:eastAsia="IRNazanin" w:cs="IRNazanin"/>
          <w:lang w:bidi="fa-IR"/>
          <w:color w:val="111111"/>
          <w:sz w:val="28"/>
          <w:szCs w:val="28"/>
          <w:rtl/>
        </w:rPr>
        <w:t xml:space="preserve">المالک للثمن الأوّل،و حیث وقع الثانی یکون فسخاً له و إن لم یعلم بوقوعه،فلا یجدی الإجازة المتأخّرة.</w:t>
      </w:r>
    </w:p>
    <w:p>
      <w:pPr>
        <w:pStyle w:val="BookText"/>
      </w:pPr>
      <w:r>
        <w:rPr>
          <w:rFonts w:ascii="IRNazanin" w:hAnsi="IRNazanin" w:eastAsia="IRNazanin" w:cs="IRNazanin"/>
          <w:lang w:bidi="fa-IR"/>
          <w:color w:val="111111"/>
          <w:sz w:val="28"/>
          <w:szCs w:val="28"/>
          <w:rtl/>
        </w:rPr>
        <w:t xml:space="preserve">و بالجملة،حکم عقد الفضولی قبل الإجازة کسائر العقود الجائزة بل أولی منها،فکما أنّ التصرّف المنافی مبطل لها فکذلک </w:t>
      </w:r>
      <w:r>
        <w:rPr>
          <w:rStyle w:val="FootnoteReference"/>
        </w:rPr>
        <w:footnoteReference w:id="3652"/>
      </w:r>
      <w:r>
        <w:rPr>
          <w:rFonts w:ascii="IRNazanin" w:hAnsi="IRNazanin" w:eastAsia="IRNazanin" w:cs="IRNazanin"/>
          <w:lang w:bidi="fa-IR"/>
          <w:color w:val="111111"/>
          <w:sz w:val="28"/>
          <w:szCs w:val="28"/>
          <w:rtl/>
        </w:rPr>
        <w:t xml:space="preserve">عقد الفضولی.</w:t>
      </w:r>
    </w:p>
    <w:p>
      <w:pPr>
        <w:pStyle w:val="BookText"/>
      </w:pPr>
      <w:r>
        <w:rPr>
          <w:rFonts w:ascii="IRNazanin" w:hAnsi="IRNazanin" w:eastAsia="IRNazanin" w:cs="IRNazanin"/>
          <w:lang w:bidi="fa-IR"/>
          <w:color w:val="111111"/>
          <w:sz w:val="28"/>
          <w:szCs w:val="28"/>
          <w:rtl/>
        </w:rPr>
        <w:t xml:space="preserve">و الجواب:أنّ فسخ عقد الفضولی هو إنشاء ردّه،و أمّا الفعل</w:t>
      </w:r>
    </w:p>
    <w:p>
      <w:pPr>
        <w:pStyle w:val="BookText"/>
      </w:pPr>
      <w:r>
        <w:rPr>
          <w:rFonts w:ascii="IRNazanin" w:hAnsi="IRNazanin" w:eastAsia="IRNazanin" w:cs="IRNazanin"/>
          <w:lang w:bidi="fa-IR"/>
          <w:color w:val="111111"/>
          <w:sz w:val="28"/>
          <w:szCs w:val="28"/>
          <w:rtl/>
        </w:rPr>
        <w:t xml:space="preserve">[شماره صفحه واقعی : 444]
</w:t>
      </w:r>
    </w:p>
    <w:p>
      <w:pPr>
        <w:sectPr>
          <w:footerReference w:type="default" r:id="rId1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المنافی لمضیّه-کتزویج المعقودة فضولاً نفسها من آخر و بیع المالک ماله </w:t>
      </w:r>
      <w:r>
        <w:rPr>
          <w:rStyle w:val="FootnoteReference"/>
        </w:rPr>
        <w:footnoteReference w:id="3653"/>
      </w:r>
      <w:r>
        <w:rPr>
          <w:rFonts w:ascii="IRNazanin" w:hAnsi="IRNazanin" w:eastAsia="IRNazanin" w:cs="IRNazanin"/>
          <w:lang w:bidi="fa-IR"/>
          <w:color w:val="111111"/>
          <w:sz w:val="28"/>
          <w:szCs w:val="28"/>
          <w:rtl/>
        </w:rPr>
        <w:t xml:space="preserve">المبیع فضولاً من آخر-فلیس فسخاً له،خصوصاً مع عدم التفاته إلی وقوع عقد الفضولی،غایة ما فی الباب أنّ الفعل المنافی لمضیّ العقد مفوِّت لمحلّ الإجازة،فإذا فرض وقوعه صحیحاً فات محلّ الإجازة و یخرج العقد عن قابلیّة الإجازة،إمّا مطلقاً کما فی مثال التزویج،أو بالنسبة إلی من فات محلّ الإجازة بالنسبة إلیه کما فی مثال البیع،فإنّ محلّ الإجازة إنّما فات بالنسبة إلی الأوّل،فللمالک الثانی أن یجیز.</w:t>
      </w:r>
    </w:p>
    <w:p>
      <w:pPr>
        <w:pStyle w:val="BookText"/>
      </w:pPr>
      <w:r>
        <w:rPr>
          <w:rFonts w:ascii="IRNazanin" w:hAnsi="IRNazanin" w:eastAsia="IRNazanin" w:cs="IRNazanin"/>
          <w:lang w:bidi="fa-IR"/>
          <w:color w:val="111111"/>
          <w:sz w:val="28"/>
          <w:szCs w:val="28"/>
          <w:rtl/>
        </w:rPr>
        <w:t xml:space="preserve">نعم،لو فسخ المالک الأوّل نفس العقد بإنشاء الفسخ بطل العقد من حینه إجماعاً،و لعموم تسلّط الناس علی أموالهم بقطع علاقة الغیر عنها.</w:t>
      </w:r>
    </w:p>
    <w:p>
      <w:pPr>
        <w:pStyle w:val="BookText"/>
      </w:pPr>
      <w:r>
        <w:rPr>
          <w:rFonts w:ascii="IRNazanin" w:hAnsi="IRNazanin" w:eastAsia="IRNazanin" w:cs="IRNazanin"/>
          <w:lang w:bidi="fa-IR"/>
          <w:color w:val="111111"/>
          <w:sz w:val="28"/>
          <w:szCs w:val="28"/>
          <w:rtl/>
        </w:rPr>
        <w:t xml:space="preserve">فالحاصل:أنّه إن أُرید من کون البیع الثانی فسخاً:أنّه إبطال لأثر العقد فی الجملة،فهو مسلّم،و لا یمنع ذلک من بقاء العقد متزلزلاً بالنسبة إلی المالک الثانی،فیکون له الإجازة،و إن أُرید أنّه إبطال للعقد رأساً،فهو ممنوع؛إذ لا دلیل علی کونه کذلک،و تسمیة مثل ذلک الفعل ردّاً فی بعض الأحیان؛من حیث إنّه مسقط للعقد عن التأثیر بالنسبة إلی فاعله بحیث یکون الإجازة منه بعده لغواً.</w:t>
      </w:r>
    </w:p>
    <w:p>
      <w:pPr>
        <w:pStyle w:val="BookText"/>
      </w:pPr>
      <w:r>
        <w:rPr>
          <w:rFonts w:ascii="IRNazanin" w:hAnsi="IRNazanin" w:eastAsia="IRNazanin" w:cs="IRNazanin"/>
          <w:lang w:bidi="fa-IR"/>
          <w:color w:val="111111"/>
          <w:sz w:val="28"/>
          <w:szCs w:val="28"/>
          <w:rtl/>
        </w:rPr>
        <w:t xml:space="preserve">نعم،لو فرضنا قصد المالک من ذلک الفعل </w:t>
      </w:r>
      <w:r>
        <w:rPr>
          <w:rStyle w:val="FootnoteReference"/>
        </w:rPr>
        <w:footnoteReference w:id="3654"/>
      </w:r>
      <w:r>
        <w:rPr>
          <w:rFonts w:ascii="IRNazanin" w:hAnsi="IRNazanin" w:eastAsia="IRNazanin" w:cs="IRNazanin"/>
          <w:lang w:bidi="fa-IR"/>
          <w:color w:val="111111"/>
          <w:sz w:val="28"/>
          <w:szCs w:val="28"/>
          <w:rtl/>
        </w:rPr>
        <w:t xml:space="preserve">فسخَ العقد بحیث یعدّ فسخاً فعلیّاً،لم یبعد کونه کالإنشاء بالقول،لکنّ الالتزام بذلک لا یقدح فی المطلب؛إذ المقصود أنّ مجرّد بیع المالک لا یوجب بطلان</w:t>
      </w:r>
    </w:p>
    <w:p>
      <w:pPr>
        <w:pStyle w:val="BookText"/>
      </w:pPr>
      <w:r>
        <w:rPr>
          <w:rFonts w:ascii="IRNazanin" w:hAnsi="IRNazanin" w:eastAsia="IRNazanin" w:cs="IRNazanin"/>
          <w:lang w:bidi="fa-IR"/>
          <w:color w:val="111111"/>
          <w:sz w:val="28"/>
          <w:szCs w:val="28"/>
          <w:rtl/>
        </w:rPr>
        <w:t xml:space="preserve">[شماره صفحه واقعی : 445]
</w:t>
      </w:r>
    </w:p>
    <w:p>
      <w:pPr>
        <w:sectPr>
          <w:footerReference w:type="default" r:id="rId1124"/>
          <w:footnotePr>
            <w:numStart w:val="1"/>
            <w:numRestart w:val="eachPage"/>
          </w:footnotePr>
          <w:pgSz w:orient="portrait" w:w="11905.511811023622" w:h="16837.79527559055"/>
          <w:pgMar w:top="1440" w:right="1440" w:bottom="1440" w:left="1440" w:header="720" w:footer="720" w:gutter="0"/>
          <w:cols w:num="1" w:space="720"/>
        </w:sectPr>
      </w:pPr>
    </w:p>
    <w:bookmarkStart w:id="670" w:name="pg14411_143506"/>
    <w:bookmarkEnd w:id="670"/>
    <w:p>
      <w:pPr>
        <w:pStyle w:val="BookText"/>
      </w:pPr>
      <w:r>
        <w:rPr>
          <w:rFonts w:ascii="IRNazanin" w:hAnsi="IRNazanin" w:eastAsia="IRNazanin" w:cs="IRNazanin"/>
          <w:lang w:bidi="fa-IR"/>
          <w:color w:val="111111"/>
          <w:sz w:val="28"/>
          <w:szCs w:val="28"/>
          <w:rtl/>
        </w:rPr>
        <w:t xml:space="preserve">العقد؛و لذا لو فرضنا انکشاف فساد هذا البیع بقی العقد علی حاله من قابلیّة لحوق الإجازة.</w:t>
      </w:r>
    </w:p>
    <w:p>
      <w:pPr>
        <w:pStyle w:val="BookText"/>
      </w:pPr>
      <w:r>
        <w:rPr>
          <w:rFonts w:ascii="IRNazanin" w:hAnsi="IRNazanin" w:eastAsia="IRNazanin" w:cs="IRNazanin"/>
          <w:lang w:bidi="fa-IR"/>
          <w:color w:val="111111"/>
          <w:sz w:val="28"/>
          <w:szCs w:val="28"/>
          <w:rtl/>
        </w:rPr>
        <w:t xml:space="preserve">و أمّا الالتزام فی مثل الهبة و البیع فی زمان الخیار بانفساخ العقد من ذی الخیار بمجرّد الفعل المنافی؛فلأنّ صحّة التصرّف المنافی یتوقّف علی فسخ العقد،و إلّا وقع فی ملک الغیر،بخلاف ما نحن فیه؛فإنّ تصرّف المالک فی ماله المبیع فضولاً صحیح فی نفسه لوقوعه فی ملکه، فلا یتوقّف علی فسخه،غایة الأمر أنّه إذا تصرّف فات محلّ الإجازة.</w:t>
      </w:r>
    </w:p>
    <w:p>
      <w:pPr>
        <w:pStyle w:val="BookText"/>
      </w:pPr>
      <w:r>
        <w:rPr>
          <w:rFonts w:ascii="IRNazanin" w:hAnsi="IRNazanin" w:eastAsia="IRNazanin" w:cs="IRNazanin"/>
          <w:lang w:bidi="fa-IR"/>
          <w:color w:val="111111"/>
          <w:sz w:val="28"/>
          <w:szCs w:val="28"/>
          <w:rtl/>
        </w:rPr>
        <w:t xml:space="preserve">و من ذلک یظهر ما فی قوله رحمه اللّه أخیراً:«و بالجملة حکم عقد الفضولی حکم سائر العقود الجائزة،بل أولی»؛فإنّ قیاس العقد المتزلزل من حیث الحدوث،علی المتزلزل من حیث البقاء قیاس مع الفارق،فضلاً عن دعوی الأولویّة،و سیجیء </w:t>
      </w:r>
      <w:r>
        <w:rPr>
          <w:rStyle w:val="FootnoteReference"/>
        </w:rPr>
        <w:footnoteReference w:id="3655"/>
      </w:r>
      <w:r>
        <w:rPr>
          <w:rFonts w:ascii="IRNazanin" w:hAnsi="IRNazanin" w:eastAsia="IRNazanin" w:cs="IRNazanin"/>
          <w:lang w:bidi="fa-IR"/>
          <w:color w:val="111111"/>
          <w:sz w:val="28"/>
          <w:szCs w:val="28"/>
          <w:rtl/>
        </w:rPr>
        <w:t xml:space="preserve">مزید بیان لذلک فی بیان ما یتحقّق به الردّ.</w:t>
      </w:r>
    </w:p>
    <w:p>
      <w:pPr>
        <w:pStyle w:val="Heading6"/>
      </w:pPr>
      <w:bookmarkStart w:id="2330" w:name="_Toc1365"/>
      <w:r>
        <w:t>السابع : الأخبار المستفیضة الحاکیة لنهی النبیّ صلّی اللّه علیه و آله عن بیع ما لیس عندک</w:t>
      </w:r>
      <w:bookmarkEnd w:id="2330"/>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[*ستوده]</w:t>
      </w:r>
    </w:p>
    <w:p>
      <w:pPr>
        <w:pStyle w:val="BookText"/>
      </w:pPr>
      <w:r>
        <w:rPr>
          <w:rFonts w:ascii="IRNazanin" w:hAnsi="IRNazanin" w:eastAsia="IRNazanin" w:cs="IRNazanin"/>
          <w:lang w:bidi="fa-IR"/>
          <w:color w:val="111111"/>
          <w:sz w:val="28"/>
          <w:szCs w:val="28"/>
          <w:rtl/>
        </w:rPr>
        <w:t xml:space="preserve">السابع </w:t>
      </w:r>
      <w:r>
        <w:rPr>
          <w:rStyle w:val="FootnoteReference"/>
        </w:rPr>
        <w:footnoteReference w:id="3656"/>
      </w:r>
      <w:r>
        <w:rPr>
          <w:rFonts w:ascii="IRNazanin" w:hAnsi="IRNazanin" w:eastAsia="IRNazanin" w:cs="IRNazanin"/>
          <w:lang w:bidi="fa-IR"/>
          <w:color w:val="111111"/>
          <w:sz w:val="28"/>
          <w:szCs w:val="28"/>
          <w:rtl/>
        </w:rPr>
        <w:t xml:space="preserve">:الأخبار المستفیضة الحاکیة لنهی النبیّ صلّی اللّه علیه و آله عن بیع ما لیس عندک</w:t>
      </w:r>
    </w:p>
    <w:p>
      <w:pPr>
        <w:pStyle w:val="BookText"/>
      </w:pPr>
      <w:r>
        <w:rPr>
          <w:rStyle w:val="FootnoteReference"/>
        </w:rPr>
        <w:footnoteReference w:id="3657"/>
      </w:r>
      <w:r>
        <w:rPr>
          <w:rFonts w:ascii="IRNazanin" w:hAnsi="IRNazanin" w:eastAsia="IRNazanin" w:cs="IRNazanin"/>
          <w:lang w:bidi="fa-IR"/>
          <w:color w:val="111111"/>
          <w:sz w:val="28"/>
          <w:szCs w:val="28"/>
          <w:rtl/>
        </w:rPr>
        <w:t xml:space="preserve">
،فإنّ النهی فیها إمّا لفساد البیع المذکور مطلقاً</w:t>
      </w:r>
    </w:p>
    <w:p>
      <w:pPr>
        <w:pStyle w:val="BookText"/>
      </w:pPr>
      <w:r>
        <w:rPr>
          <w:rFonts w:ascii="IRNazanin" w:hAnsi="IRNazanin" w:eastAsia="IRNazanin" w:cs="IRNazanin"/>
          <w:lang w:bidi="fa-IR"/>
          <w:color w:val="111111"/>
          <w:sz w:val="28"/>
          <w:szCs w:val="28"/>
          <w:rtl/>
        </w:rPr>
        <w:t xml:space="preserve">[شماره صفحه واقعی : 446]
</w:t>
      </w:r>
    </w:p>
    <w:p>
      <w:pPr>
        <w:sectPr>
          <w:footerReference w:type="default" r:id="rId1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بالنسبة إلی المخاطب و إلی المالک،فیکون دلیلاً علی فساد العقد الفضولی، و إمّا لبیان فساده بالنسبة إلی المخاطب خاصّة-کما استظهرناه سابقاً </w:t>
      </w:r>
      <w:r>
        <w:rPr>
          <w:rStyle w:val="FootnoteReference"/>
        </w:rPr>
        <w:footnoteReference w:id="3658"/>
      </w:r>
      <w:r>
        <w:rPr>
          <w:rFonts w:ascii="IRNazanin" w:hAnsi="IRNazanin" w:eastAsia="IRNazanin" w:cs="IRNazanin"/>
          <w:lang w:bidi="fa-IR"/>
          <w:color w:val="111111"/>
          <w:sz w:val="28"/>
          <w:szCs w:val="28"/>
          <w:rtl/>
        </w:rPr>
        <w:t xml:space="preserve">- فیکون دالاّ علی عدم وقوع بیع مال الغیر لبائعه مطلقاً و لو ملکه فأجاز،بل الظاهر إرادة حکم خصوص صورة تملّکه بعد البیع،و إلّا فعدم وقوعه له قبل تملّکه ممّا لا یحتاج إلی البیان.</w:t>
      </w:r>
    </w:p>
    <w:p>
      <w:pPr>
        <w:pStyle w:val="BookText"/>
      </w:pPr>
      <w:r>
        <w:rPr>
          <w:rFonts w:ascii="IRNazanin" w:hAnsi="IRNazanin" w:eastAsia="IRNazanin" w:cs="IRNazanin"/>
          <w:lang w:bidi="fa-IR"/>
          <w:color w:val="111111"/>
          <w:sz w:val="28"/>
          <w:szCs w:val="28"/>
          <w:rtl/>
        </w:rPr>
        <w:t xml:space="preserve">و خصوص روایة یحیی بن الحجّاج المصحّحة إلیه </w:t>
      </w:r>
      <w:r>
        <w:rPr>
          <w:rStyle w:val="FootnoteReference"/>
        </w:rPr>
        <w:footnoteReference w:id="3659"/>
      </w:r>
      <w:r>
        <w:rPr>
          <w:rFonts w:ascii="IRNazanin" w:hAnsi="IRNazanin" w:eastAsia="IRNazanin" w:cs="IRNazanin"/>
          <w:lang w:bidi="fa-IR"/>
          <w:color w:val="111111"/>
          <w:sz w:val="28"/>
          <w:szCs w:val="28"/>
          <w:rtl/>
        </w:rPr>
        <w:t xml:space="preserve">،قال:«سألت أبا عبد اللّه علیه السلام عن الرجل یقول لی:اشتر لی هذا الثوب و هذه الدابّة و بعنیها،أُربحک کذا و کذا.قال:لا بأس بذلک،اشترها و لا تواجبه البیع </w:t>
      </w:r>
      <w:r>
        <w:rPr>
          <w:rStyle w:val="FootnoteReference"/>
        </w:rPr>
        <w:footnoteReference w:id="3660"/>
      </w:r>
      <w:r>
        <w:rPr>
          <w:rFonts w:ascii="IRNazanin" w:hAnsi="IRNazanin" w:eastAsia="IRNazanin" w:cs="IRNazanin"/>
          <w:lang w:bidi="fa-IR"/>
          <w:color w:val="111111"/>
          <w:sz w:val="28"/>
          <w:szCs w:val="28"/>
          <w:rtl/>
        </w:rPr>
        <w:t xml:space="preserve">قبل أن تستوجبها أو تشتریها» </w:t>
      </w:r>
      <w:r>
        <w:rPr>
          <w:rStyle w:val="FootnoteReference"/>
        </w:rPr>
        <w:footnoteReference w:id="36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روایة خالد بن الحجّاج،قال:«قلت لأبی عبد اللّه علیه السلام:</w:t>
      </w:r>
    </w:p>
    <w:p>
      <w:pPr>
        <w:pStyle w:val="BookText"/>
      </w:pPr>
      <w:r>
        <w:rPr>
          <w:rFonts w:ascii="IRNazanin" w:hAnsi="IRNazanin" w:eastAsia="IRNazanin" w:cs="IRNazanin"/>
          <w:lang w:bidi="fa-IR"/>
          <w:color w:val="111111"/>
          <w:sz w:val="28"/>
          <w:szCs w:val="28"/>
          <w:rtl/>
        </w:rPr>
        <w:t xml:space="preserve">الرجل یجیئنی و یقول:اشتر هذا الثوب و أُربحک کذا و کذا.قال:أ لیس إن شاء أخذ و إن شاء ترک؟قلت:بلی.قال:لا بأس به،إنّما یحلّل</w:t>
      </w:r>
    </w:p>
    <w:p>
      <w:pPr>
        <w:pStyle w:val="BookText"/>
      </w:pPr>
      <w:r>
        <w:rPr>
          <w:rFonts w:ascii="IRNazanin" w:hAnsi="IRNazanin" w:eastAsia="IRNazanin" w:cs="IRNazanin"/>
          <w:lang w:bidi="fa-IR"/>
          <w:color w:val="111111"/>
          <w:sz w:val="28"/>
          <w:szCs w:val="28"/>
          <w:rtl/>
        </w:rPr>
        <w:t xml:space="preserve">[شماره صفحه واقعی : 447]
</w:t>
      </w:r>
    </w:p>
    <w:p>
      <w:pPr>
        <w:sectPr>
          <w:footerReference w:type="default" r:id="rId1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الکلام و یحرّم الکلام» </w:t>
      </w:r>
      <w:r>
        <w:rPr>
          <w:rStyle w:val="FootnoteReference"/>
        </w:rPr>
        <w:footnoteReference w:id="3662"/>
      </w:r>
      <w:r>
        <w:rPr>
          <w:rFonts w:ascii="IRNazanin" w:hAnsi="IRNazanin" w:eastAsia="IRNazanin" w:cs="IRNazanin"/>
          <w:lang w:bidi="fa-IR"/>
          <w:color w:val="111111"/>
          <w:sz w:val="28"/>
          <w:szCs w:val="28"/>
          <w:rtl/>
        </w:rPr>
        <w:t xml:space="preserve">بناءً علی أنّ المراد بالکلام عقد البیع،فیحلّل نفیاً و یحرّم إثباتاً،کما فهمه فی الوافی </w:t>
      </w:r>
      <w:r>
        <w:rPr>
          <w:rStyle w:val="FootnoteReference"/>
        </w:rPr>
        <w:footnoteReference w:id="3663"/>
      </w:r>
      <w:r>
        <w:rPr>
          <w:rFonts w:ascii="IRNazanin" w:hAnsi="IRNazanin" w:eastAsia="IRNazanin" w:cs="IRNazanin"/>
          <w:lang w:bidi="fa-IR"/>
          <w:color w:val="111111"/>
          <w:sz w:val="28"/>
          <w:szCs w:val="28"/>
          <w:rtl/>
        </w:rPr>
        <w:t xml:space="preserve">،أو یحلّل إذا وقع بعد الاشتراء و یحرّم إذا وقع قبله،أو أنّ الکلام الواقع قبل الاشتراء یحرّم إذا کان بعنوان العقد الملزم و یحلّل إذا کان علی وجه المساومة و المراضاة.</w:t>
      </w:r>
    </w:p>
    <w:p>
      <w:pPr>
        <w:pStyle w:val="BookText"/>
      </w:pPr>
      <w:r>
        <w:rPr>
          <w:rFonts w:ascii="IRNazanin" w:hAnsi="IRNazanin" w:eastAsia="IRNazanin" w:cs="IRNazanin"/>
          <w:lang w:bidi="fa-IR"/>
          <w:color w:val="111111"/>
          <w:sz w:val="28"/>
          <w:szCs w:val="28"/>
          <w:rtl/>
        </w:rPr>
        <w:t xml:space="preserve">و صحیحة ابن مسلم،قال:«سألته عن رجل أتاه رجل،فقال له:ابتع لی متاعاً لعلی أشتریه منک بنقد أو نسیئة،فابتاعه الرجل من أجله،قال:لیس به بأس إنّما یشتریه منه بعد ما یملکه» </w:t>
      </w:r>
      <w:r>
        <w:rPr>
          <w:rStyle w:val="FootnoteReference"/>
        </w:rPr>
        <w:footnoteReference w:id="36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صحیحة منصور بن حازم عن أبی عبد اللّه علیه السلام:«فی رجل أمر رجلاً لیشتری له متاعاً فیشتریه منه،قال:لا بأس بذلک إنّما البیع بعد ما یشتریه» </w:t>
      </w:r>
      <w:r>
        <w:rPr>
          <w:rStyle w:val="FootnoteReference"/>
        </w:rPr>
        <w:footnoteReference w:id="36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صحیحة معاویة بن عمّار،قال:«سألت أبا عبد اللّه علیه السلام:</w:t>
      </w:r>
    </w:p>
    <w:p>
      <w:pPr>
        <w:pStyle w:val="BookText"/>
      </w:pPr>
      <w:r>
        <w:rPr>
          <w:rFonts w:ascii="IRNazanin" w:hAnsi="IRNazanin" w:eastAsia="IRNazanin" w:cs="IRNazanin"/>
          <w:lang w:bidi="fa-IR"/>
          <w:color w:val="111111"/>
          <w:sz w:val="28"/>
          <w:szCs w:val="28"/>
          <w:rtl/>
        </w:rPr>
        <w:t xml:space="preserve">یجیئنی الرجل فیطلب </w:t>
      </w:r>
      <w:r>
        <w:rPr>
          <w:rStyle w:val="FootnoteReference"/>
        </w:rPr>
        <w:footnoteReference w:id="3666"/>
      </w:r>
      <w:r>
        <w:rPr>
          <w:rFonts w:ascii="IRNazanin" w:hAnsi="IRNazanin" w:eastAsia="IRNazanin" w:cs="IRNazanin"/>
          <w:lang w:bidi="fa-IR"/>
          <w:color w:val="111111"/>
          <w:sz w:val="28"/>
          <w:szCs w:val="28"/>
          <w:rtl/>
        </w:rPr>
        <w:t xml:space="preserve">بیع الحریر،و لیس عندی شیء فیقاولنی علیه و أُقاوله فی الربح و الأجل حتّی نجتمع </w:t>
      </w:r>
      <w:r>
        <w:rPr>
          <w:rStyle w:val="FootnoteReference"/>
        </w:rPr>
        <w:footnoteReference w:id="3667"/>
      </w:r>
      <w:r>
        <w:rPr>
          <w:rFonts w:ascii="IRNazanin" w:hAnsi="IRNazanin" w:eastAsia="IRNazanin" w:cs="IRNazanin"/>
          <w:lang w:bidi="fa-IR"/>
          <w:color w:val="111111"/>
          <w:sz w:val="28"/>
          <w:szCs w:val="28"/>
          <w:rtl/>
        </w:rPr>
        <w:t xml:space="preserve">علی شیء،ثمّ أذهب لأشتری الحریر فأدعوه إلیه،فقال:أ رأیت إن وجد مبیعاً هو </w:t>
      </w:r>
      <w:r>
        <w:rPr>
          <w:rStyle w:val="FootnoteReference"/>
        </w:rPr>
        <w:footnoteReference w:id="3668"/>
      </w:r>
      <w:r>
        <w:rPr>
          <w:rFonts w:ascii="Amiri" w:hAnsi="Amiri" w:eastAsia="Amiri" w:cs="Amiri"/>
          <w:lang w:bidi="ar-SA"/>
          <w:color w:val="111111"/>
          <w:sz w:val="28"/>
          <w:szCs w:val="28"/>
          <w:rtl/>
        </w:rPr>
        <w:t xml:space="preserve">أحبّ إلیه ممّا</w:t>
      </w:r>
    </w:p>
    <w:p>
      <w:pPr>
        <w:pStyle w:val="BookText"/>
      </w:pPr>
      <w:r>
        <w:rPr>
          <w:rFonts w:ascii="IRNazanin" w:hAnsi="IRNazanin" w:eastAsia="IRNazanin" w:cs="IRNazanin"/>
          <w:lang w:bidi="fa-IR"/>
          <w:color w:val="111111"/>
          <w:sz w:val="28"/>
          <w:szCs w:val="28"/>
          <w:rtl/>
        </w:rPr>
        <w:t xml:space="preserve">[شماره صفحه واقعی : 448]
</w:t>
      </w:r>
    </w:p>
    <w:p>
      <w:pPr>
        <w:sectPr>
          <w:footerReference w:type="default" r:id="rId1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عندک،أ یستطیع أن ینصرف إلیه و یدعک؟أو وجدت أنت ذلک أ تستطیع أن تنصرف عنه </w:t>
      </w:r>
      <w:r>
        <w:rPr>
          <w:rStyle w:val="FootnoteReference"/>
        </w:rPr>
        <w:footnoteReference w:id="3669"/>
      </w:r>
      <w:r>
        <w:rPr>
          <w:rFonts w:ascii="IRNazanin" w:hAnsi="IRNazanin" w:eastAsia="IRNazanin" w:cs="IRNazanin"/>
          <w:lang w:bidi="fa-IR"/>
          <w:color w:val="111111"/>
          <w:sz w:val="28"/>
          <w:szCs w:val="28"/>
          <w:rtl/>
        </w:rPr>
        <w:t xml:space="preserve">و تدعه؟قلت:نعم.قال:لا بأس» </w:t>
      </w:r>
      <w:r>
        <w:rPr>
          <w:rStyle w:val="FootnoteReference"/>
        </w:rPr>
        <w:footnoteReference w:id="3670"/>
      </w:r>
      <w:r>
        <w:rPr>
          <w:rFonts w:ascii="IRNazanin" w:hAnsi="IRNazanin" w:eastAsia="IRNazanin" w:cs="IRNazanin"/>
          <w:lang w:bidi="fa-IR"/>
          <w:color w:val="111111"/>
          <w:sz w:val="28"/>
          <w:szCs w:val="28"/>
          <w:rtl/>
        </w:rPr>
        <w:t xml:space="preserve">،و غیرها من الروایات.</w:t>
      </w:r>
    </w:p>
    <w:p>
      <w:pPr>
        <w:pStyle w:val="BookText"/>
      </w:pPr>
      <w:r>
        <w:rPr>
          <w:rFonts w:ascii="IRNazanin" w:hAnsi="IRNazanin" w:eastAsia="IRNazanin" w:cs="IRNazanin"/>
          <w:lang w:bidi="fa-IR"/>
          <w:color w:val="111111"/>
          <w:sz w:val="28"/>
          <w:szCs w:val="28"/>
          <w:rtl/>
        </w:rPr>
        <w:t xml:space="preserve">و لا یخفی ظهور هذه الأخبار-من حیث المورد فی بعضها و من حیث التعلیل فی بعضها الآخر-:فی عدم صحّة البیع قبل الاشتراء، و أنّه یشترط فی البیع الثانی تملّک البائع له و استقلاله فیه،و لا یکون قد سبق منه و من المشتری إلزام و التزام سابق بذلک المال.</w:t>
      </w:r>
    </w:p>
    <w:p>
      <w:pPr>
        <w:pStyle w:val="BookText"/>
      </w:pPr>
      <w:r>
        <w:rPr>
          <w:rFonts w:ascii="IRNazanin" w:hAnsi="IRNazanin" w:eastAsia="IRNazanin" w:cs="IRNazanin"/>
          <w:lang w:bidi="fa-IR"/>
          <w:color w:val="111111"/>
          <w:sz w:val="28"/>
          <w:szCs w:val="28"/>
          <w:rtl/>
        </w:rPr>
        <w:t xml:space="preserve">و الجواب عن العمومات </w:t>
      </w:r>
      <w:r>
        <w:rPr>
          <w:rStyle w:val="FootnoteReference"/>
        </w:rPr>
        <w:footnoteReference w:id="3671"/>
      </w:r>
      <w:r>
        <w:rPr>
          <w:rFonts w:ascii="IRNazanin" w:hAnsi="IRNazanin" w:eastAsia="IRNazanin" w:cs="IRNazanin"/>
          <w:lang w:bidi="fa-IR"/>
          <w:color w:val="111111"/>
          <w:sz w:val="28"/>
          <w:szCs w:val="28"/>
          <w:rtl/>
        </w:rPr>
        <w:t xml:space="preserve">:أنّها إنّما تدلّ علی عدم ترتّب الأثر المقصود من البیع،و هو النقل و الانتقال المنجّز علی بیع ما لیس عنده، فلا یجوز ترتّب الأثر علی هذا البیع،لا من طرف البائع بأن یتصرّف فی الثمن،و لا من طرف المشتری بأن یطالب البائع بتسلیم المبیع.</w:t>
      </w:r>
    </w:p>
    <w:p>
      <w:pPr>
        <w:pStyle w:val="BookText"/>
      </w:pPr>
      <w:r>
        <w:rPr>
          <w:rFonts w:ascii="IRNazanin" w:hAnsi="IRNazanin" w:eastAsia="IRNazanin" w:cs="IRNazanin"/>
          <w:lang w:bidi="fa-IR"/>
          <w:color w:val="111111"/>
          <w:sz w:val="28"/>
          <w:szCs w:val="28"/>
          <w:rtl/>
        </w:rPr>
        <w:t xml:space="preserve">و منه یظهر الجواب عن الأخبار؛فإنّها لا تدلّ-خصوصاً بملاحظة قوله علیه السلام:«و لا تواجبه البیع قبل أن تستوجبها» </w:t>
      </w:r>
      <w:r>
        <w:rPr>
          <w:rStyle w:val="FootnoteReference"/>
        </w:rPr>
        <w:footnoteReference w:id="3672"/>
      </w:r>
      <w:r>
        <w:rPr>
          <w:rFonts w:ascii="IRNazanin" w:hAnsi="IRNazanin" w:eastAsia="IRNazanin" w:cs="IRNazanin"/>
          <w:lang w:bidi="fa-IR"/>
          <w:color w:val="111111"/>
          <w:sz w:val="28"/>
          <w:szCs w:val="28"/>
          <w:rtl/>
        </w:rPr>
        <w:t xml:space="preserve">-إلّا علی أنّ الممنوع منه هو الإلزام و الالتزام من المتبایعین بآثار البیع المذکور قبل الاشتراء،فکذا بعده من دون حاجة إلی إجازة،و هی المسألة الآتیة، أعنی لزوم البیع بنفس الاشتراء من البائع من دون حاجة إلی الإجازة،</w:t>
      </w:r>
    </w:p>
    <w:p>
      <w:pPr>
        <w:pStyle w:val="BookText"/>
      </w:pPr>
      <w:r>
        <w:rPr>
          <w:rFonts w:ascii="IRNazanin" w:hAnsi="IRNazanin" w:eastAsia="IRNazanin" w:cs="IRNazanin"/>
          <w:lang w:bidi="fa-IR"/>
          <w:color w:val="111111"/>
          <w:sz w:val="28"/>
          <w:szCs w:val="28"/>
          <w:rtl/>
        </w:rPr>
        <w:t xml:space="preserve">[شماره صفحه واقعی : 449]
</w:t>
      </w:r>
    </w:p>
    <w:p>
      <w:pPr>
        <w:sectPr>
          <w:footerReference w:type="default" r:id="rId1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سیأتی أنّ الأقوی فیها البطلان </w:t>
      </w:r>
      <w:r>
        <w:rPr>
          <w:rStyle w:val="FootnoteReference"/>
        </w:rPr>
        <w:footnoteReference w:id="36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ما قیل:من أنّ تسلیم البائع للمبیع بعد اشترائه إلی المشتری الأوّل مفروض فی مورد الروایات </w:t>
      </w:r>
      <w:r>
        <w:rPr>
          <w:rStyle w:val="FootnoteReference"/>
        </w:rPr>
        <w:footnoteReference w:id="3674"/>
      </w:r>
      <w:r>
        <w:rPr>
          <w:rFonts w:ascii="IRNazanin" w:hAnsi="IRNazanin" w:eastAsia="IRNazanin" w:cs="IRNazanin"/>
          <w:lang w:bidi="fa-IR"/>
          <w:color w:val="111111"/>
          <w:sz w:val="28"/>
          <w:szCs w:val="28"/>
          <w:rtl/>
        </w:rPr>
        <w:t xml:space="preserve">و هی إجازة فعلیّة </w:t>
      </w:r>
      <w:r>
        <w:rPr>
          <w:rStyle w:val="FootnoteReference"/>
        </w:rPr>
        <w:footnoteReference w:id="3675"/>
      </w:r>
      <w:r>
        <w:rPr>
          <w:rFonts w:ascii="IRNazanin" w:hAnsi="IRNazanin" w:eastAsia="IRNazanin" w:cs="IRNazanin"/>
          <w:lang w:bidi="fa-IR"/>
          <w:color w:val="111111"/>
          <w:sz w:val="28"/>
          <w:szCs w:val="28"/>
          <w:rtl/>
        </w:rPr>
        <w:t xml:space="preserve">،مدفوع:بأنّ التسلیم إذا وقع باعتقاد لزوم البیع السابق و کونه من مقتضیات لزوم العقد و أنّه ممّا لا اختیار للبائع فیه بل یجبَر علیه إذا امتنع،فهذا لا یعدّ إجازة </w:t>
      </w:r>
      <w:r>
        <w:rPr>
          <w:rStyle w:val="FootnoteReference"/>
        </w:rPr>
        <w:footnoteReference w:id="3676"/>
      </w:r>
      <w:r>
        <w:rPr>
          <w:rFonts w:ascii="IRNazanin" w:hAnsi="IRNazanin" w:eastAsia="IRNazanin" w:cs="IRNazanin"/>
          <w:lang w:bidi="fa-IR"/>
          <w:color w:val="111111"/>
          <w:sz w:val="28"/>
          <w:szCs w:val="28"/>
          <w:rtl/>
        </w:rPr>
        <w:t xml:space="preserve">و لا یترتّب علیه أحکام الإجازة فی باب الفضولی؛لأنّ المعتبر فی الإجازة قولاً و فعلاً ما یکون عن سلطنة و استقلال؛لأنّ ما یدلّ علی اعتبار طیب النفس فی صیرورة مال الغیر حلالاً لغیره،یدلّ علی عدم کفایة ذلک.</w:t>
      </w:r>
    </w:p>
    <w:p>
      <w:pPr>
        <w:pStyle w:val="BookText"/>
      </w:pPr>
      <w:r>
        <w:rPr>
          <w:rFonts w:ascii="IRNazanin" w:hAnsi="IRNazanin" w:eastAsia="IRNazanin" w:cs="IRNazanin"/>
          <w:lang w:bidi="fa-IR"/>
          <w:color w:val="111111"/>
          <w:sz w:val="28"/>
          <w:szCs w:val="28"/>
          <w:rtl/>
        </w:rPr>
        <w:t xml:space="preserve">[*ستوده]</w:t>
      </w:r>
    </w:p>
    <w:p>
      <w:pPr>
        <w:pStyle w:val="BookText"/>
      </w:pPr>
      <w:r>
        <w:rPr>
          <w:rFonts w:ascii="IRNazanin" w:hAnsi="IRNazanin" w:eastAsia="IRNazanin" w:cs="IRNazanin"/>
          <w:lang w:bidi="fa-IR"/>
          <w:color w:val="111111"/>
          <w:sz w:val="28"/>
          <w:szCs w:val="28"/>
          <w:rtl/>
        </w:rPr>
        <w:t xml:space="preserve">نعم،یمکن أن یقال:إنّ مقتضی تعلیل نفی البأس فی روایة خالد المتقدّمة بأنّ المشتری إن شاء أخذ و إن شاء ترک </w:t>
      </w:r>
      <w:r>
        <w:rPr>
          <w:rStyle w:val="FootnoteReference"/>
        </w:rPr>
        <w:footnoteReference w:id="3677"/>
      </w:r>
      <w:r>
        <w:rPr>
          <w:rFonts w:ascii="IRNazanin" w:hAnsi="IRNazanin" w:eastAsia="IRNazanin" w:cs="IRNazanin"/>
          <w:lang w:bidi="fa-IR"/>
          <w:color w:val="111111"/>
          <w:sz w:val="28"/>
          <w:szCs w:val="28"/>
          <w:rtl/>
        </w:rPr>
        <w:t xml:space="preserve">:ثبوت البأس فی البیع السابق بمجرّد لزومه علی الأصیل،و هذا محقّق فیما نحن فیه؛بناءً علی ما تقدّم:من أنّه لیس للأصیل فی عقد الفضولی فسخ المعاملة قبل</w:t>
      </w:r>
    </w:p>
    <w:p>
      <w:pPr>
        <w:pStyle w:val="BookText"/>
      </w:pPr>
      <w:r>
        <w:rPr>
          <w:rFonts w:ascii="IRNazanin" w:hAnsi="IRNazanin" w:eastAsia="IRNazanin" w:cs="IRNazanin"/>
          <w:lang w:bidi="fa-IR"/>
          <w:color w:val="111111"/>
          <w:sz w:val="28"/>
          <w:szCs w:val="28"/>
          <w:rtl/>
        </w:rPr>
        <w:t xml:space="preserve">[شماره صفحه واقعی : 450]
</w:t>
      </w:r>
    </w:p>
    <w:p>
      <w:pPr>
        <w:sectPr>
          <w:footerReference w:type="default" r:id="rId1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إجازة المالک أو ردّه </w:t>
      </w:r>
      <w:r>
        <w:rPr>
          <w:rStyle w:val="FootnoteReference"/>
        </w:rPr>
        <w:footnoteReference w:id="3678"/>
      </w:r>
      <w:r>
        <w:rPr>
          <w:rFonts w:ascii="IRNazanin" w:hAnsi="IRNazanin" w:eastAsia="IRNazanin" w:cs="IRNazanin"/>
          <w:lang w:bidi="fa-IR"/>
          <w:color w:val="111111"/>
          <w:sz w:val="28"/>
          <w:szCs w:val="28"/>
          <w:rtl/>
        </w:rPr>
        <w:t xml:space="preserve">،لکنّ الظاهر-بقرینة النهی عن مواجبة البیع فی الخبر المتقدّم </w:t>
      </w:r>
      <w:r>
        <w:rPr>
          <w:rStyle w:val="FootnoteReference"/>
        </w:rPr>
        <w:footnoteReference w:id="3679"/>
      </w:r>
      <w:r>
        <w:rPr>
          <w:rFonts w:ascii="IRNazanin" w:hAnsi="IRNazanin" w:eastAsia="IRNazanin" w:cs="IRNazanin"/>
          <w:lang w:bidi="fa-IR"/>
          <w:color w:val="111111"/>
          <w:sz w:val="28"/>
          <w:szCs w:val="28"/>
          <w:rtl/>
        </w:rPr>
        <w:t xml:space="preserve">-إرادة اللزوم من الطرفین.</w:t>
      </w:r>
    </w:p>
    <w:p>
      <w:pPr>
        <w:pStyle w:val="BookText"/>
      </w:pPr>
      <w:r>
        <w:rPr>
          <w:rFonts w:ascii="IRNazanin" w:hAnsi="IRNazanin" w:eastAsia="IRNazanin" w:cs="IRNazanin"/>
          <w:lang w:bidi="fa-IR"/>
          <w:color w:val="111111"/>
          <w:sz w:val="28"/>
          <w:szCs w:val="28"/>
          <w:rtl/>
        </w:rPr>
        <w:t xml:space="preserve">و الحاصل:أنّ دلالة الروایات عموماً و خصوصاً علی النهی عن البیع قبل الملک ممّا لا مساغ لإنکاره،و دلالة النهی علی الفساد أیضاً ممّا لم یقع فیها المناقشة فی هذه المسألة،إلّا أنّا نقول:إنّ المراد بفساد البیع عدم ترتّب ما یقصد منه عرفاً من الآثار،فی مقابل الصحّة التی هی إمضاء الشارع لما یقصد عرفاً من إنشاء البیع،مثلاً لو فرض حکم الشارع بصحّة بیع الشیء قبل تملّکه علی الوجه الذی یقصده أهل المعاملة،کأن یترتّب علیه بعد البیع النقلُ و الانتقال،و جواز تصرّف البائع فی الثمن،و جواز مطالبة المشتری البائعَ بتحصیل المبیع من مالکه و تسلیمه،و عدم جواز امتناع البائع بعد تحصیله عن تسلیمه،ففساد البیع بمعنی عدم ترتّب جمیع ذلک علیه،و هو لا ینافی قابلیة العقد للحوق الإجازة من مالکه حین العقد أو ممّن یملکه بعد العقد.</w:t>
      </w:r>
    </w:p>
    <w:p>
      <w:pPr>
        <w:pStyle w:val="BookText"/>
      </w:pPr>
      <w:r>
        <w:rPr>
          <w:rFonts w:ascii="IRNazanin" w:hAnsi="IRNazanin" w:eastAsia="IRNazanin" w:cs="IRNazanin"/>
          <w:lang w:bidi="fa-IR"/>
          <w:color w:val="111111"/>
          <w:sz w:val="28"/>
          <w:szCs w:val="28"/>
          <w:rtl/>
        </w:rPr>
        <w:t xml:space="preserve">و لا یجب علی </w:t>
      </w:r>
      <w:r>
        <w:rPr>
          <w:rStyle w:val="FootnoteReference"/>
        </w:rPr>
        <w:footnoteReference w:id="3680"/>
      </w:r>
      <w:r>
        <w:rPr>
          <w:rFonts w:ascii="IRNazanin" w:hAnsi="IRNazanin" w:eastAsia="IRNazanin" w:cs="IRNazanin"/>
          <w:lang w:bidi="fa-IR"/>
          <w:color w:val="111111"/>
          <w:sz w:val="28"/>
          <w:szCs w:val="28"/>
          <w:rtl/>
        </w:rPr>
        <w:t xml:space="preserve">القول بدلالة النهی علی الفساد وقوع المنهی عنه لغواً غیر مؤثّر أصلاً،کما یستفاد من وجه دلالة النهی علی الفساد، فإنّ حاصله:دعوی دلالة النهی علی إرشاد المخاطب و بیان أنّ مقصوده من الفعل المنهیّ عنه-و هو الملک و السلطنة من الطرفین-لا یترتّب علیه، فهو غیر مؤثّر فی مقصود المتبایعین،لا أنّه لغوٌ من جمیع الجهات،فافهم.</w:t>
      </w:r>
    </w:p>
    <w:p>
      <w:pPr>
        <w:pStyle w:val="BookText"/>
      </w:pPr>
      <w:r>
        <w:rPr>
          <w:rFonts w:ascii="IRNazanin" w:hAnsi="IRNazanin" w:eastAsia="IRNazanin" w:cs="IRNazanin"/>
          <w:lang w:bidi="fa-IR"/>
          <w:color w:val="111111"/>
          <w:sz w:val="28"/>
          <w:szCs w:val="28"/>
          <w:rtl/>
        </w:rPr>
        <w:t xml:space="preserve">[شماره صفحه واقعی : 451]
</w:t>
      </w:r>
    </w:p>
    <w:p>
      <w:pPr>
        <w:sectPr>
          <w:footerReference w:type="default" r:id="rId1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اللّهم إلّا أن یقال:إنّ عدم ترتّب جمیع مقاصد المتعاقدین علی عقدٍ بمجرّد إنشائه مع وقوع </w:t>
      </w:r>
      <w:r>
        <w:rPr>
          <w:rStyle w:val="FootnoteReference"/>
        </w:rPr>
        <w:footnoteReference w:id="3681"/>
      </w:r>
      <w:r>
        <w:rPr>
          <w:rFonts w:ascii="IRNazanin" w:hAnsi="IRNazanin" w:eastAsia="IRNazanin" w:cs="IRNazanin"/>
          <w:lang w:bidi="fa-IR"/>
          <w:color w:val="111111"/>
          <w:sz w:val="28"/>
          <w:szCs w:val="28"/>
          <w:rtl/>
        </w:rPr>
        <w:t xml:space="preserve">مدلول ذلک العقد فی نظر الشارع مقیّداً بانضمام بعض الأُمور اللاحقة-کالقبض فی الهبة و نحوها و الإجازة فی الفضولی-لا یقتضی النهی عنها بقولٍ مطلق؛إذ معنی صحّة المعاملة شرعاً أن یترتّب علیها شرعاً المدلول المقصود من إنشائه و لو مع شرط لاحق،و عدم بناء المتعاملین علی مراعاة ذلک الشرط لا یوجب النهی عنه إلّا مقیّداً بتجرّده عن لحوق ذلک الشرط،فقصدهم ترتّب الملک المنجّز علی البیع قبل التملّک بحیث یسلّمون الثمن و یطالبون المبیع لا یوجب الحکم علیه بالفساد.</w:t>
      </w:r>
    </w:p>
    <w:p>
      <w:pPr>
        <w:pStyle w:val="BookText"/>
      </w:pPr>
      <w:r>
        <w:rPr>
          <w:rFonts w:ascii="IRNazanin" w:hAnsi="IRNazanin" w:eastAsia="IRNazanin" w:cs="IRNazanin"/>
          <w:lang w:bidi="fa-IR"/>
          <w:color w:val="111111"/>
          <w:sz w:val="28"/>
          <w:szCs w:val="28"/>
          <w:rtl/>
        </w:rPr>
        <w:t xml:space="preserve">فالإنصاف:أنّ ظاهر النهی فی تلک الروایات هو عدم وقوع البیع قبل التملّک للبائع و عدم ترتّب أثر الإنشاء المقصود منه علیه مطلقاً حتّی مع الإجازة،و أمّا صحّته بالنسبة إلی المالک إذا أجاز؛فلأنّ النهی راجع إلی وقوع البیع المذکور للبائع،فلا تعرّض فیه لحال المالک إذا أجاز،فیرجع فیه إلی مسألة الفضولی.</w:t>
      </w:r>
    </w:p>
    <w:p>
      <w:pPr>
        <w:pStyle w:val="BookText"/>
      </w:pPr>
      <w:r>
        <w:rPr>
          <w:rFonts w:ascii="IRNazanin" w:hAnsi="IRNazanin" w:eastAsia="IRNazanin" w:cs="IRNazanin"/>
          <w:lang w:bidi="fa-IR"/>
          <w:color w:val="111111"/>
          <w:sz w:val="28"/>
          <w:szCs w:val="28"/>
          <w:rtl/>
        </w:rPr>
        <w:t xml:space="preserve">نعم،قد یخدش </w:t>
      </w:r>
      <w:r>
        <w:rPr>
          <w:rStyle w:val="FootnoteReference"/>
        </w:rPr>
        <w:footnoteReference w:id="3682"/>
      </w:r>
      <w:r>
        <w:rPr>
          <w:rFonts w:ascii="IRNazanin" w:hAnsi="IRNazanin" w:eastAsia="IRNazanin" w:cs="IRNazanin"/>
          <w:lang w:bidi="fa-IR"/>
          <w:color w:val="111111"/>
          <w:sz w:val="28"/>
          <w:szCs w:val="28"/>
          <w:rtl/>
        </w:rPr>
        <w:t xml:space="preserve">فیها </w:t>
      </w:r>
      <w:r>
        <w:rPr>
          <w:rStyle w:val="FootnoteReference"/>
        </w:rPr>
        <w:footnoteReference w:id="3683"/>
      </w:r>
      <w:r>
        <w:rPr>
          <w:rFonts w:ascii="IRNazanin" w:hAnsi="IRNazanin" w:eastAsia="IRNazanin" w:cs="IRNazanin"/>
          <w:lang w:bidi="fa-IR"/>
          <w:color w:val="111111"/>
          <w:sz w:val="28"/>
          <w:szCs w:val="28"/>
          <w:rtl/>
        </w:rPr>
        <w:t xml:space="preserve">:أنّ ظاهر کثیر من الأخبار المتقدّمة </w:t>
      </w:r>
      <w:r>
        <w:rPr>
          <w:rStyle w:val="FootnoteReference"/>
        </w:rPr>
        <w:footnoteReference w:id="3684"/>
      </w:r>
      <w:r>
        <w:rPr>
          <w:rFonts w:ascii="IRNazanin" w:hAnsi="IRNazanin" w:eastAsia="IRNazanin" w:cs="IRNazanin"/>
          <w:lang w:bidi="fa-IR"/>
          <w:color w:val="111111"/>
          <w:sz w:val="28"/>
          <w:szCs w:val="28"/>
          <w:rtl/>
        </w:rPr>
        <w:t xml:space="preserve">، ورودها فی بیع الکلیّ،و أنّه لا یجوز بیع الکلیّ فی الذمّة ثمّ اشتراء</w:t>
      </w:r>
    </w:p>
    <w:p>
      <w:pPr>
        <w:pStyle w:val="BookText"/>
      </w:pPr>
      <w:r>
        <w:rPr>
          <w:rFonts w:ascii="IRNazanin" w:hAnsi="IRNazanin" w:eastAsia="IRNazanin" w:cs="IRNazanin"/>
          <w:lang w:bidi="fa-IR"/>
          <w:color w:val="111111"/>
          <w:sz w:val="28"/>
          <w:szCs w:val="28"/>
          <w:rtl/>
        </w:rPr>
        <w:t xml:space="preserve">[شماره صفحه واقعی : 452]
</w:t>
      </w:r>
    </w:p>
    <w:p>
      <w:pPr>
        <w:sectPr>
          <w:footerReference w:type="default" r:id="rId1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بعض أفراده و تسلیمه إلی المشتری الأوّل،و المذهب جواز ذلک و إن نسب الخلاف فیه إلی بعض العبائر </w:t>
      </w:r>
      <w:r>
        <w:rPr>
          <w:rStyle w:val="FootnoteReference"/>
        </w:rPr>
        <w:footnoteReference w:id="3685"/>
      </w:r>
      <w:r>
        <w:rPr>
          <w:rFonts w:ascii="IRNazanin" w:hAnsi="IRNazanin" w:eastAsia="IRNazanin" w:cs="IRNazanin"/>
          <w:lang w:bidi="fa-IR"/>
          <w:color w:val="111111"/>
          <w:sz w:val="28"/>
          <w:szCs w:val="28"/>
          <w:rtl/>
        </w:rPr>
        <w:t xml:space="preserve">،فیقوی فی النفس:أنّها و ما ورد فی سیاقها </w:t>
      </w:r>
      <w:r>
        <w:rPr>
          <w:rStyle w:val="FootnoteReference"/>
        </w:rPr>
        <w:footnoteReference w:id="3686"/>
      </w:r>
      <w:r>
        <w:rPr>
          <w:rFonts w:ascii="IRNazanin" w:hAnsi="IRNazanin" w:eastAsia="IRNazanin" w:cs="IRNazanin"/>
          <w:lang w:bidi="fa-IR"/>
          <w:color w:val="111111"/>
          <w:sz w:val="28"/>
          <w:szCs w:val="28"/>
          <w:rtl/>
        </w:rPr>
        <w:t xml:space="preserve">فی بیع الشخصی أیضاً-کروایتی یحیی و خالد المتقدّمتین </w:t>
      </w:r>
      <w:r>
        <w:rPr>
          <w:rStyle w:val="FootnoteReference"/>
        </w:rPr>
        <w:footnoteReference w:id="3687"/>
      </w:r>
      <w:r>
        <w:rPr>
          <w:rFonts w:ascii="IRNazanin" w:hAnsi="IRNazanin" w:eastAsia="IRNazanin" w:cs="IRNazanin"/>
          <w:lang w:bidi="fa-IR"/>
          <w:color w:val="111111"/>
          <w:sz w:val="28"/>
          <w:szCs w:val="28"/>
          <w:rtl/>
        </w:rPr>
        <w:t xml:space="preserve">- أُرید بها الکراهة،أو وردت فی مقام التقیّة؛لأنّ المنع عن بیع الکلّی حالاّ مع عدم وجوده عند البائع </w:t>
      </w:r>
      <w:r>
        <w:rPr>
          <w:rStyle w:val="FootnoteReference"/>
        </w:rPr>
        <w:footnoteReference w:id="3688"/>
      </w:r>
      <w:r>
        <w:rPr>
          <w:rFonts w:ascii="IRNazanin" w:hAnsi="IRNazanin" w:eastAsia="IRNazanin" w:cs="IRNazanin"/>
          <w:lang w:bidi="fa-IR"/>
          <w:color w:val="111111"/>
          <w:sz w:val="28"/>
          <w:szCs w:val="28"/>
          <w:rtl/>
        </w:rPr>
        <w:t xml:space="preserve">حال البیع مذهب جماعة من العامّة -کما صرّح به فی بعض الأخبار </w:t>
      </w:r>
      <w:r>
        <w:rPr>
          <w:rStyle w:val="FootnoteReference"/>
        </w:rPr>
        <w:footnoteReference w:id="3689"/>
      </w:r>
      <w:r>
        <w:rPr>
          <w:rFonts w:ascii="IRNazanin" w:hAnsi="IRNazanin" w:eastAsia="IRNazanin" w:cs="IRNazanin"/>
          <w:lang w:bidi="fa-IR"/>
          <w:color w:val="111111"/>
          <w:sz w:val="28"/>
          <w:szCs w:val="28"/>
          <w:rtl/>
        </w:rPr>
        <w:t xml:space="preserve">-مستندِین فی ذلک إلی النهی النبوی عن بیع ما لیس عندک،</w:t>
      </w:r>
    </w:p>
    <w:p>
      <w:pPr>
        <w:pStyle w:val="BookText"/>
      </w:pPr>
      <w:r>
        <w:rPr>
          <w:rFonts w:ascii="IRNazanin" w:hAnsi="IRNazanin" w:eastAsia="IRNazanin" w:cs="IRNazanin"/>
          <w:lang w:bidi="fa-IR"/>
          <w:color w:val="111111"/>
          <w:sz w:val="28"/>
          <w:szCs w:val="28"/>
          <w:rtl/>
        </w:rPr>
        <w:t xml:space="preserve">[*ستوده]</w:t>
      </w:r>
    </w:p>
    <w:p>
      <w:pPr>
        <w:pStyle w:val="BookText"/>
      </w:pPr>
      <w:r>
        <w:rPr>
          <w:rFonts w:ascii="IRNazanin" w:hAnsi="IRNazanin" w:eastAsia="IRNazanin" w:cs="IRNazanin"/>
          <w:lang w:bidi="fa-IR"/>
          <w:color w:val="111111"/>
          <w:sz w:val="28"/>
          <w:szCs w:val="28"/>
          <w:rtl/>
        </w:rPr>
        <w:t xml:space="preserve">لکنّ الاعتماد علی هذا التوهین فی رفع الید عن الروایتین المتقدّمتین الواردتین فی بیع الشخصی،و عموم مفهوم التعلیل فی الأخبار الواردة فی بیع الکلیّ </w:t>
      </w:r>
      <w:r>
        <w:rPr>
          <w:rStyle w:val="FootnoteReference"/>
        </w:rPr>
        <w:footnoteReference w:id="3690"/>
      </w:r>
      <w:r>
        <w:rPr>
          <w:rFonts w:ascii="IRNazanin" w:hAnsi="IRNazanin" w:eastAsia="IRNazanin" w:cs="IRNazanin"/>
          <w:lang w:bidi="fa-IR"/>
          <w:color w:val="111111"/>
          <w:sz w:val="28"/>
          <w:szCs w:val="28"/>
          <w:rtl/>
        </w:rPr>
        <w:t xml:space="preserve">،خلاف الإنصاف؛إذ غایة الأمر حمل الحکم فی مورد تلک الأخبار-و هو بیع الکلیّ قبل التملّک-علی التقیّة، و هو لا یوجب طرح مفهوم التعلیل رأساً،فتدبّر.</w:t>
      </w:r>
    </w:p>
    <w:p>
      <w:pPr>
        <w:pStyle w:val="BookText"/>
      </w:pPr>
      <w:r>
        <w:rPr>
          <w:rFonts w:ascii="IRNazanin" w:hAnsi="IRNazanin" w:eastAsia="IRNazanin" w:cs="IRNazanin"/>
          <w:lang w:bidi="fa-IR"/>
          <w:color w:val="111111"/>
          <w:sz w:val="28"/>
          <w:szCs w:val="28"/>
          <w:rtl/>
        </w:rPr>
        <w:t xml:space="preserve">فالأقوی:العمل بالروایات و الفتوی بالمنع عن البیع المذکور.</w:t>
      </w:r>
    </w:p>
    <w:p>
      <w:pPr>
        <w:pStyle w:val="BookText"/>
      </w:pPr>
      <w:r>
        <w:rPr>
          <w:rFonts w:ascii="IRNazanin" w:hAnsi="IRNazanin" w:eastAsia="IRNazanin" w:cs="IRNazanin"/>
          <w:lang w:bidi="fa-IR"/>
          <w:color w:val="111111"/>
          <w:sz w:val="28"/>
          <w:szCs w:val="28"/>
          <w:rtl/>
        </w:rPr>
        <w:t xml:space="preserve">و ممّا یؤیّد المنع-مضافاً إلی ما سیأتی عن التذکرة و المختلف</w:t>
      </w:r>
    </w:p>
    <w:p>
      <w:pPr>
        <w:pStyle w:val="BookText"/>
      </w:pPr>
      <w:r>
        <w:rPr>
          <w:rFonts w:ascii="IRNazanin" w:hAnsi="IRNazanin" w:eastAsia="IRNazanin" w:cs="IRNazanin"/>
          <w:lang w:bidi="fa-IR"/>
          <w:color w:val="111111"/>
          <w:sz w:val="28"/>
          <w:szCs w:val="28"/>
          <w:rtl/>
        </w:rPr>
        <w:t xml:space="preserve">[شماره صفحه واقعی : 453]
</w:t>
      </w:r>
    </w:p>
    <w:p>
      <w:pPr>
        <w:sectPr>
          <w:footerReference w:type="default" r:id="rId1132"/>
          <w:footnotePr>
            <w:numStart w:val="1"/>
            <w:numRestart w:val="eachPage"/>
          </w:footnotePr>
          <w:pgSz w:orient="portrait" w:w="11905.511811023622" w:h="16837.79527559055"/>
          <w:pgMar w:top="1440" w:right="1440" w:bottom="1440" w:left="1440" w:header="720" w:footer="720" w:gutter="0"/>
          <w:cols w:num="1" w:space="720"/>
        </w:sectPr>
      </w:pPr>
    </w:p>
    <w:bookmarkStart w:id="671" w:name="pg14411_143514"/>
    <w:bookmarkEnd w:id="671"/>
    <w:p>
      <w:pPr>
        <w:pStyle w:val="BookText"/>
      </w:pPr>
      <w:r>
        <w:rPr>
          <w:rFonts w:ascii="IRNazanin" w:hAnsi="IRNazanin" w:eastAsia="IRNazanin" w:cs="IRNazanin"/>
          <w:lang w:bidi="fa-IR"/>
          <w:color w:val="111111"/>
          <w:sz w:val="28"/>
          <w:szCs w:val="28"/>
          <w:rtl/>
        </w:rPr>
        <w:t xml:space="preserve">من دعوی الاتّفاق-:روایة الحسن بن زیاد الطائی الواردة فی نکاح العبد بغیر إذن مولاه،قال:«قلت لأبی عبد اللّه علیه السلام:إنّی کنت رجلاً مملوکاً فتزوّجت بغیر إذن مولای ثمّ أعتقنی </w:t>
      </w:r>
      <w:r>
        <w:rPr>
          <w:rStyle w:val="FootnoteReference"/>
        </w:rPr>
        <w:footnoteReference w:id="3691"/>
      </w:r>
      <w:r>
        <w:rPr>
          <w:rFonts w:ascii="IRNazanin" w:hAnsi="IRNazanin" w:eastAsia="IRNazanin" w:cs="IRNazanin"/>
          <w:lang w:bidi="fa-IR"/>
          <w:color w:val="111111"/>
          <w:sz w:val="28"/>
          <w:szCs w:val="28"/>
          <w:rtl/>
        </w:rPr>
        <w:t xml:space="preserve">بعد،فأُجدّد النکاح؟فقال:علموا أنّک تزوّجت؟قلت:نعم،قد علموا فسکتوا و لم یقولوا لی شیئاً.قال:ذلک إقرار منهم،أنت علی نکاحک...</w:t>
      </w:r>
    </w:p>
    <w:p>
      <w:pPr>
        <w:pStyle w:val="BookText"/>
      </w:pPr>
      <w:r>
        <w:rPr>
          <w:rFonts w:ascii="IRNazanin" w:hAnsi="IRNazanin" w:eastAsia="IRNazanin" w:cs="IRNazanin"/>
          <w:lang w:bidi="fa-IR"/>
          <w:color w:val="111111"/>
          <w:sz w:val="28"/>
          <w:szCs w:val="28"/>
          <w:rtl/>
        </w:rPr>
        <w:t xml:space="preserve">الخبر» </w:t>
      </w:r>
      <w:r>
        <w:rPr>
          <w:rStyle w:val="FootnoteReference"/>
        </w:rPr>
        <w:footnoteReference w:id="3692"/>
      </w:r>
      <w:r>
        <w:rPr>
          <w:rFonts w:ascii="IRNazanin" w:hAnsi="IRNazanin" w:eastAsia="IRNazanin" w:cs="IRNazanin"/>
          <w:lang w:bidi="fa-IR"/>
          <w:color w:val="111111"/>
          <w:sz w:val="28"/>
          <w:szCs w:val="28"/>
          <w:rtl/>
        </w:rPr>
        <w:t xml:space="preserve">فإنّها ظاهرة بل صریحة فی أنّ علّة البقاء بعد العتق علی ما فعله بغیر إذن مولاه هو إقراره المستفاد من سکوته،فلو کان صیرورته حرّا مالکاً لنفسه مسوّغةً للبقاء مع إجازته أو بدونها لم یحتج إلی الاستفصال عن أنّ المولی سکت أم لا؛للزوم العقد حینئذٍ </w:t>
      </w:r>
      <w:r>
        <w:rPr>
          <w:rStyle w:val="FootnoteReference"/>
        </w:rPr>
        <w:footnoteReference w:id="3693"/>
      </w:r>
      <w:r>
        <w:rPr>
          <w:rFonts w:ascii="IRNazanin" w:hAnsi="IRNazanin" w:eastAsia="IRNazanin" w:cs="IRNazanin"/>
          <w:lang w:bidi="fa-IR"/>
          <w:color w:val="111111"/>
          <w:sz w:val="28"/>
          <w:szCs w:val="28"/>
          <w:rtl/>
        </w:rPr>
        <w:t xml:space="preserve">علی کلّ تقدیر.</w:t>
      </w:r>
    </w:p>
    <w:p>
      <w:pPr>
        <w:pStyle w:val="Heading6"/>
      </w:pPr>
      <w:bookmarkStart w:id="2331" w:name="_Toc1366"/>
      <w:r>
        <w:t>[مورد الروایات ما لو باع لنفسه غیر مترقب للإجازة]</w:t>
      </w:r>
      <w:bookmarkEnd w:id="2331"/>
    </w:p>
    <w:p>
      <w:pPr>
        <w:pStyle w:val="BookText"/>
      </w:pPr>
      <w:r>
        <w:rPr>
          <w:rFonts w:ascii="IRNazanin" w:hAnsi="IRNazanin" w:eastAsia="IRNazanin" w:cs="IRNazanin"/>
          <w:lang w:bidi="fa-IR"/>
          <w:color w:val="111111"/>
          <w:sz w:val="28"/>
          <w:szCs w:val="28"/>
          <w:rtl/>
        </w:rPr>
        <w:t xml:space="preserve">ثمّ إنّ الواجب علی کلّ تقدیر هو الاقتصار علی مورد الروایات، و هو ما لو باع البائع لنفسه و اشتری المشتری غیر مترقّب لإجازة المالک و لا لإجازة البائع إذا صار مالکاً،و هذا هو الذی ذکره العلّامة رحمه اللّه فی التذکرة نافیاً للخلاف فی فساده،قال:لا یجوز أن یبیع عیناً لا یملکها و یمضی لیشتریها و یسلّمها،و به قال الشافعی و أحمد، و لا نعلم فیه خلافاً؛لقول النبیّ صلّی اللّه علیه و آله و سلم:«لا تبع ما لیس عندک» و لاشتمالها علی الغرر،فإنّ صاحبها قد لا یبیعها،و هو غیر مالک لها و لا قادر علی تسلیمها،أمّا لو اشتری موصوفاً فی الذمّة-سواء کان</w:t>
      </w:r>
    </w:p>
    <w:p>
      <w:pPr>
        <w:pStyle w:val="BookText"/>
      </w:pPr>
      <w:r>
        <w:rPr>
          <w:rFonts w:ascii="IRNazanin" w:hAnsi="IRNazanin" w:eastAsia="IRNazanin" w:cs="IRNazanin"/>
          <w:lang w:bidi="fa-IR"/>
          <w:color w:val="111111"/>
          <w:sz w:val="28"/>
          <w:szCs w:val="28"/>
          <w:rtl/>
        </w:rPr>
        <w:t xml:space="preserve">[شماره صفحه واقعی : 454]
</w:t>
      </w:r>
    </w:p>
    <w:p>
      <w:pPr>
        <w:sectPr>
          <w:footerReference w:type="default" r:id="rId1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حالاّ أو مؤجلاً-فإنّه جائز إجماعاً </w:t>
      </w:r>
      <w:r>
        <w:rPr>
          <w:rStyle w:val="FootnoteReference"/>
        </w:rPr>
        <w:footnoteReference w:id="3694"/>
      </w:r>
      <w:r>
        <w:rPr>
          <w:rFonts w:ascii="IRNazanin" w:hAnsi="IRNazanin" w:eastAsia="IRNazanin" w:cs="IRNazanin"/>
          <w:lang w:bidi="fa-IR"/>
          <w:color w:val="111111"/>
          <w:sz w:val="28"/>
          <w:szCs w:val="28"/>
          <w:rtl/>
        </w:rPr>
        <w:t xml:space="preserve">،انتهی،و حکی عن المختلف أیضاً الإجماع علی المنع </w:t>
      </w:r>
      <w:r>
        <w:rPr>
          <w:rStyle w:val="FootnoteReference"/>
        </w:rPr>
        <w:footnoteReference w:id="3695"/>
      </w:r>
      <w:r>
        <w:rPr>
          <w:rFonts w:ascii="Amiri" w:hAnsi="Amiri" w:eastAsia="Amiri" w:cs="Amiri"/>
          <w:lang w:bidi="ar-SA"/>
          <w:color w:val="111111"/>
          <w:sz w:val="28"/>
          <w:szCs w:val="28"/>
          <w:rtl/>
        </w:rPr>
        <w:t xml:space="preserve">أیضاً </w:t>
      </w:r>
      <w:r>
        <w:rPr>
          <w:rStyle w:val="FootnoteReference"/>
        </w:rPr>
        <w:footnoteReference w:id="3696"/>
      </w:r>
      <w:r>
        <w:rPr>
          <w:rFonts w:ascii="IRNazanin" w:hAnsi="IRNazanin" w:eastAsia="IRNazanin" w:cs="IRNazanin"/>
          <w:lang w:bidi="fa-IR"/>
          <w:color w:val="111111"/>
          <w:sz w:val="28"/>
          <w:szCs w:val="28"/>
          <w:rtl/>
        </w:rPr>
        <w:t xml:space="preserve">،و استدلاله بالغرر و عدم القدرة علی التسلیم ظاهر،بل صریح فی وقوع الاشتراء غیر مترقّب لإجازة مجیز،بل وقع علی وجهٍ یلزم علی البائع بعد البیع تحصیل المبیع و تسلیمه.</w:t>
      </w:r>
    </w:p>
    <w:p>
      <w:pPr>
        <w:pStyle w:val="BookText"/>
      </w:pPr>
      <w:r>
        <w:rPr>
          <w:rFonts w:ascii="IRNazanin" w:hAnsi="IRNazanin" w:eastAsia="IRNazanin" w:cs="IRNazanin"/>
          <w:lang w:bidi="fa-IR"/>
          <w:color w:val="111111"/>
          <w:sz w:val="28"/>
          <w:szCs w:val="28"/>
          <w:rtl/>
        </w:rPr>
        <w:t xml:space="preserve">فحینئذٍ لو تبایعا علی أن یکون العقد موقوفاً علی الإجازة، فاتّفقت الإجازة من المالک أو من البائع بعد تملّکه،لم یدخل فی مورد الأخبار و لا فی معقد الاتّفاق.</w:t>
      </w:r>
    </w:p>
    <w:p>
      <w:pPr>
        <w:pStyle w:val="BookText"/>
      </w:pPr>
      <w:r>
        <w:rPr>
          <w:rFonts w:ascii="IRNazanin" w:hAnsi="IRNazanin" w:eastAsia="IRNazanin" w:cs="IRNazanin"/>
          <w:lang w:bidi="fa-IR"/>
          <w:color w:val="111111"/>
          <w:sz w:val="28"/>
          <w:szCs w:val="28"/>
          <w:rtl/>
        </w:rPr>
        <w:t xml:space="preserve">و لو تبایعا علی أن یکون اللزوم موقوفاً علی تملّک البائع دون إجازته،فظاهر عبارة الدروس:أنّه من البیع المنهیّ عنه فی الأخبار المذکورة؛حیث قال:و کذا لو باع ملک غیره ثمّ انتقل إلیه فأجاز،و لو أراد </w:t>
      </w:r>
      <w:r>
        <w:rPr>
          <w:rStyle w:val="FootnoteReference"/>
        </w:rPr>
        <w:footnoteReference w:id="3697"/>
      </w:r>
      <w:r>
        <w:rPr>
          <w:rFonts w:ascii="IRNazanin" w:hAnsi="IRNazanin" w:eastAsia="IRNazanin" w:cs="IRNazanin"/>
          <w:lang w:bidi="fa-IR"/>
          <w:color w:val="111111"/>
          <w:sz w:val="28"/>
          <w:szCs w:val="28"/>
          <w:rtl/>
        </w:rPr>
        <w:t xml:space="preserve">لزوم البیع بالانتقال فهو بیع ما لیس عنده،و قد نهی عنه </w:t>
      </w:r>
      <w:r>
        <w:rPr>
          <w:rStyle w:val="FootnoteReference"/>
        </w:rPr>
        <w:footnoteReference w:id="3698"/>
      </w:r>
      <w:r>
        <w:rPr>
          <w:rFonts w:ascii="IRNazanin" w:hAnsi="IRNazanin" w:eastAsia="IRNazanin" w:cs="IRNazanin"/>
          <w:lang w:bidi="fa-IR"/>
          <w:color w:val="111111"/>
          <w:sz w:val="28"/>
          <w:szCs w:val="28"/>
          <w:rtl/>
        </w:rPr>
        <w:t xml:space="preserve">، انتهی.</w:t>
      </w:r>
    </w:p>
    <w:p>
      <w:pPr>
        <w:pStyle w:val="BookText"/>
      </w:pPr>
      <w:r>
        <w:rPr>
          <w:rFonts w:ascii="IRNazanin" w:hAnsi="IRNazanin" w:eastAsia="IRNazanin" w:cs="IRNazanin"/>
          <w:lang w:bidi="fa-IR"/>
          <w:color w:val="111111"/>
          <w:sz w:val="28"/>
          <w:szCs w:val="28"/>
          <w:rtl/>
        </w:rPr>
        <w:t xml:space="preserve">لکنّ الإنصاف:ظهورها فی الصورة الأُولی،و هی ما لو تبایعا</w:t>
      </w:r>
    </w:p>
    <w:p>
      <w:pPr>
        <w:pStyle w:val="BookText"/>
      </w:pPr>
      <w:r>
        <w:rPr>
          <w:rFonts w:ascii="IRNazanin" w:hAnsi="IRNazanin" w:eastAsia="IRNazanin" w:cs="IRNazanin"/>
          <w:lang w:bidi="fa-IR"/>
          <w:color w:val="111111"/>
          <w:sz w:val="28"/>
          <w:szCs w:val="28"/>
          <w:rtl/>
        </w:rPr>
        <w:t xml:space="preserve">[شماره صفحه واقعی : 455]
</w:t>
      </w:r>
    </w:p>
    <w:p>
      <w:pPr>
        <w:sectPr>
          <w:footerReference w:type="default" r:id="rId1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قاصدین لتنجّز النقل و الانتقال و عدم الوقوف علی شیء.</w:t>
      </w:r>
    </w:p>
    <w:p>
      <w:pPr>
        <w:pStyle w:val="BookText"/>
      </w:pPr>
      <w:r>
        <w:rPr>
          <w:rFonts w:ascii="IRNazanin" w:hAnsi="IRNazanin" w:eastAsia="IRNazanin" w:cs="IRNazanin"/>
          <w:lang w:bidi="fa-IR"/>
          <w:color w:val="111111"/>
          <w:sz w:val="28"/>
          <w:szCs w:val="28"/>
          <w:rtl/>
        </w:rPr>
        <w:t xml:space="preserve">و ما ذکره فی التذکرة کالصریح فی ذلک؛حیث علّل المنع بالغرر و عدم القدرة علی التسلیم.و أصرح منه کلامه المحکیّ عن المختلف فی فصل النقد و النسیة </w:t>
      </w:r>
      <w:r>
        <w:rPr>
          <w:rStyle w:val="FootnoteReference"/>
        </w:rPr>
        <w:footnoteReference w:id="36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لو باع عن </w:t>
      </w:r>
      <w:r>
        <w:rPr>
          <w:rStyle w:val="FootnoteReference"/>
        </w:rPr>
        <w:footnoteReference w:id="3700"/>
      </w:r>
      <w:r>
        <w:rPr>
          <w:rFonts w:ascii="IRNazanin" w:hAnsi="IRNazanin" w:eastAsia="IRNazanin" w:cs="IRNazanin"/>
          <w:lang w:bidi="fa-IR"/>
          <w:color w:val="111111"/>
          <w:sz w:val="28"/>
          <w:szCs w:val="28"/>
          <w:rtl/>
        </w:rPr>
        <w:t xml:space="preserve">المالک فاتّفق انتقاله إلی البائع فأجازه </w:t>
      </w:r>
      <w:r>
        <w:rPr>
          <w:rStyle w:val="FootnoteReference"/>
        </w:rPr>
        <w:footnoteReference w:id="3701"/>
      </w:r>
      <w:r>
        <w:rPr>
          <w:rFonts w:ascii="IRNazanin" w:hAnsi="IRNazanin" w:eastAsia="IRNazanin" w:cs="IRNazanin"/>
          <w:lang w:bidi="fa-IR"/>
          <w:color w:val="111111"/>
          <w:sz w:val="28"/>
          <w:szCs w:val="28"/>
          <w:rtl/>
        </w:rPr>
        <w:t xml:space="preserve">فالظاهر أیضاً الصحّة؛لخروجه عن مورد الأخبار.</w:t>
      </w:r>
    </w:p>
    <w:p>
      <w:pPr>
        <w:pStyle w:val="BookText"/>
      </w:pPr>
      <w:r>
        <w:rPr>
          <w:rFonts w:ascii="IRNazanin" w:hAnsi="IRNazanin" w:eastAsia="IRNazanin" w:cs="IRNazanin"/>
          <w:lang w:bidi="fa-IR"/>
          <w:color w:val="111111"/>
          <w:sz w:val="28"/>
          <w:szCs w:val="28"/>
          <w:rtl/>
        </w:rPr>
        <w:t xml:space="preserve">نعم،قد یشکل فیه من حیث إنّ الإجازة لا متعلّق لها </w:t>
      </w:r>
      <w:r>
        <w:rPr>
          <w:rStyle w:val="FootnoteReference"/>
        </w:rPr>
        <w:footnoteReference w:id="3702"/>
      </w:r>
      <w:r>
        <w:rPr>
          <w:rFonts w:ascii="IRNazanin" w:hAnsi="IRNazanin" w:eastAsia="IRNazanin" w:cs="IRNazanin"/>
          <w:lang w:bidi="fa-IR"/>
          <w:color w:val="111111"/>
          <w:sz w:val="28"/>
          <w:szCs w:val="28"/>
          <w:rtl/>
        </w:rPr>
        <w:t xml:space="preserve">لأنّ العقد السابق کان إنشاءً للبیع عن </w:t>
      </w:r>
      <w:r>
        <w:rPr>
          <w:rStyle w:val="FootnoteReference"/>
        </w:rPr>
        <w:footnoteReference w:id="3703"/>
      </w:r>
      <w:r>
        <w:rPr>
          <w:rFonts w:ascii="IRNazanin" w:hAnsi="IRNazanin" w:eastAsia="IRNazanin" w:cs="IRNazanin"/>
          <w:lang w:bidi="fa-IR"/>
          <w:color w:val="111111"/>
          <w:sz w:val="28"/>
          <w:szCs w:val="28"/>
          <w:rtl/>
        </w:rPr>
        <w:t xml:space="preserve">المالک الأصلی،و لا معنی لإجازة هذا بعد خروجه عن ملکه.</w:t>
      </w:r>
    </w:p>
    <w:p>
      <w:pPr>
        <w:pStyle w:val="BookText"/>
      </w:pPr>
      <w:r>
        <w:rPr>
          <w:rFonts w:ascii="IRNazanin" w:hAnsi="IRNazanin" w:eastAsia="IRNazanin" w:cs="IRNazanin"/>
          <w:lang w:bidi="fa-IR"/>
          <w:color w:val="111111"/>
          <w:sz w:val="28"/>
          <w:szCs w:val="28"/>
          <w:rtl/>
        </w:rPr>
        <w:t xml:space="preserve">و یمکن دفعه بما اندفع به سابقاً الإشکال فی عکس المسألة و هی ما لو باعه الفضولی لنفسه فأجازه المالک لنفسه </w:t>
      </w:r>
      <w:r>
        <w:rPr>
          <w:rStyle w:val="FootnoteReference"/>
        </w:rPr>
        <w:footnoteReference w:id="3704"/>
      </w:r>
      <w:r>
        <w:rPr>
          <w:rFonts w:ascii="Amiri" w:hAnsi="Amiri" w:eastAsia="Amiri" w:cs="Amiri"/>
          <w:lang w:bidi="ar-SA"/>
          <w:color w:val="111111"/>
          <w:sz w:val="28"/>
          <w:szCs w:val="28"/>
          <w:rtl/>
        </w:rPr>
        <w:t xml:space="preserve">،فتأمّل.</w:t>
      </w:r>
    </w:p>
    <w:p>
      <w:pPr>
        <w:pStyle w:val="BookText"/>
      </w:pPr>
      <w:r>
        <w:rPr>
          <w:rFonts w:ascii="IRNazanin" w:hAnsi="IRNazanin" w:eastAsia="IRNazanin" w:cs="IRNazanin"/>
          <w:lang w:bidi="fa-IR"/>
          <w:color w:val="111111"/>
          <w:sz w:val="28"/>
          <w:szCs w:val="28"/>
          <w:rtl/>
        </w:rPr>
        <w:t xml:space="preserve">و لو باع لثالثٍ معتقداً لتملّکه أو بانیاً علیه عدواناً،فإن أجاز المالک فلا کلام فی الصحّة؛بناءً علی المشهور من عدم اعتبار وقوع البیع عن المالک،و إن ملکه الثالث و أجازه،أو ملکه البائع فأجازه، فالظاهر أنّه داخل فی المسألة السابقة.</w:t>
      </w:r>
    </w:p>
    <w:p>
      <w:pPr>
        <w:pStyle w:val="BookText"/>
      </w:pPr>
      <w:r>
        <w:rPr>
          <w:rFonts w:ascii="IRNazanin" w:hAnsi="IRNazanin" w:eastAsia="IRNazanin" w:cs="IRNazanin"/>
          <w:lang w:bidi="fa-IR"/>
          <w:color w:val="111111"/>
          <w:sz w:val="28"/>
          <w:szCs w:val="28"/>
          <w:rtl/>
        </w:rPr>
        <w:t xml:space="preserve">[شماره صفحه واقعی : 456]
</w:t>
      </w:r>
    </w:p>
    <w:p>
      <w:pPr>
        <w:sectPr>
          <w:footerReference w:type="default" r:id="rId1135"/>
          <w:footnotePr>
            <w:numStart w:val="1"/>
            <w:numRestart w:val="eachPage"/>
          </w:footnotePr>
          <w:pgSz w:orient="portrait" w:w="11905.511811023622" w:h="16837.79527559055"/>
          <w:pgMar w:top="1440" w:right="1440" w:bottom="1440" w:left="1440" w:header="720" w:footer="720" w:gutter="0"/>
          <w:cols w:num="1" w:space="720"/>
        </w:sectPr>
      </w:pPr>
    </w:p>
    <w:bookmarkStart w:id="672" w:name="pg14411_143517"/>
    <w:bookmarkEnd w:id="672"/>
    <w:p>
      <w:pPr>
        <w:pStyle w:val="Heading6"/>
      </w:pPr>
      <w:bookmarkStart w:id="2332" w:name="_Toc1367"/>
      <w:r>
        <w:t>[لو باع لنفسه ثم تملکه و لم یجز]</w:t>
      </w:r>
      <w:bookmarkEnd w:id="2332"/>
    </w:p>
    <w:p>
      <w:pPr>
        <w:pStyle w:val="BookText"/>
      </w:pPr>
      <w:r>
        <w:rPr>
          <w:rFonts w:ascii="IRNazanin" w:hAnsi="IRNazanin" w:eastAsia="IRNazanin" w:cs="IRNazanin"/>
          <w:lang w:bidi="fa-IR"/>
          <w:color w:val="111111"/>
          <w:sz w:val="28"/>
          <w:szCs w:val="28"/>
          <w:rtl/>
        </w:rPr>
        <w:t xml:space="preserve">ثمّ إنّه قد ظهر ممّا ذکرنا فی المسألة المذکورة حال المسألة الأُخری،و هی:ما لو لم یجز البائع </w:t>
      </w:r>
      <w:r>
        <w:rPr>
          <w:rStyle w:val="FootnoteReference"/>
        </w:rPr>
        <w:footnoteReference w:id="3705"/>
      </w:r>
      <w:r>
        <w:rPr>
          <w:rFonts w:ascii="IRNazanin" w:hAnsi="IRNazanin" w:eastAsia="IRNazanin" w:cs="IRNazanin"/>
          <w:lang w:bidi="fa-IR"/>
          <w:color w:val="111111"/>
          <w:sz w:val="28"/>
          <w:szCs w:val="28"/>
          <w:rtl/>
        </w:rPr>
        <w:t xml:space="preserve">بعد تملّکه؛فإنّ الظاهر بطلان البیع الأوّل لدخوله تحت الأخبار المذکورة یقیناً،مضافاً إلی قاعدة تسلّط الناس علی أموالهم،و عدم صیرورتها حلالاً من دون طیب النفس؛فإنّ المفروض أنّ البائع بعد ما صار مالکاً لم تَطِب نفسه بکون ماله </w:t>
      </w:r>
      <w:r>
        <w:rPr>
          <w:rStyle w:val="FootnoteReference"/>
        </w:rPr>
        <w:footnoteReference w:id="3706"/>
      </w:r>
      <w:r>
        <w:rPr>
          <w:rFonts w:ascii="IRNazanin" w:hAnsi="IRNazanin" w:eastAsia="IRNazanin" w:cs="IRNazanin"/>
          <w:lang w:bidi="fa-IR"/>
          <w:color w:val="111111"/>
          <w:sz w:val="28"/>
          <w:szCs w:val="28"/>
          <w:rtl/>
        </w:rPr>
        <w:t xml:space="preserve">للمشتری الأوّل،و التزامه قبل تملّکه بکون هذا المال المعیّن للمشتری لیس التزاماً إلّا بکون مال غیره له.</w:t>
      </w:r>
    </w:p>
    <w:p>
      <w:pPr>
        <w:pStyle w:val="BookText"/>
      </w:pPr>
      <w:r>
        <w:rPr>
          <w:rFonts w:ascii="IRNazanin" w:hAnsi="IRNazanin" w:eastAsia="IRNazanin" w:cs="IRNazanin"/>
          <w:lang w:bidi="fa-IR"/>
          <w:color w:val="111111"/>
          <w:sz w:val="28"/>
          <w:szCs w:val="28"/>
          <w:rtl/>
        </w:rPr>
        <w:t xml:space="preserve">اللّهم إلّا أن یقال:إنّ مقتضی عموم وجوب الوفاء بالعقود و الشروط علی کلّ عاقد و شارط هو اللزوم علی البائع بمجرّد انتقال المال إلیه و إن کان قبل ذلک أجنبیّا لا حکم لوفائه و نقضه،و لعلّه لأجل ما ذکرنا رجّح فخر الدین فی الإیضاح-بناءً علی صحّة الفضولی-صحّة العقد المذکور بمجرّد الانتقال من دون توقّف علی الإجازة </w:t>
      </w:r>
      <w:r>
        <w:rPr>
          <w:rStyle w:val="FootnoteReference"/>
        </w:rPr>
        <w:footnoteReference w:id="37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قیل </w:t>
      </w:r>
      <w:r>
        <w:rPr>
          <w:rStyle w:val="FootnoteReference"/>
        </w:rPr>
        <w:footnoteReference w:id="3708"/>
      </w:r>
      <w:r>
        <w:rPr>
          <w:rFonts w:ascii="IRNazanin" w:hAnsi="IRNazanin" w:eastAsia="IRNazanin" w:cs="IRNazanin"/>
          <w:lang w:bidi="fa-IR"/>
          <w:color w:val="111111"/>
          <w:sz w:val="28"/>
          <w:szCs w:val="28"/>
          <w:rtl/>
        </w:rPr>
        <w:t xml:space="preserve">:و یلوح هذا من الشهید الثانی فی هبة المسالک </w:t>
      </w:r>
      <w:r>
        <w:rPr>
          <w:rStyle w:val="FootnoteReference"/>
        </w:rPr>
        <w:footnoteReference w:id="3709"/>
      </w:r>
      <w:r>
        <w:rPr>
          <w:rFonts w:ascii="IRNazanin" w:hAnsi="IRNazanin" w:eastAsia="IRNazanin" w:cs="IRNazanin"/>
          <w:lang w:bidi="fa-IR"/>
          <w:color w:val="111111"/>
          <w:sz w:val="28"/>
          <w:szCs w:val="28"/>
          <w:rtl/>
        </w:rPr>
        <w:t xml:space="preserve">،و قد سبق استظهاره من عبارة الشیخ المحکیّة فی المعتبر </w:t>
      </w:r>
      <w:r>
        <w:rPr>
          <w:rStyle w:val="FootnoteReference"/>
        </w:rPr>
        <w:footnoteReference w:id="37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457]
</w:t>
      </w:r>
    </w:p>
    <w:p>
      <w:pPr>
        <w:sectPr>
          <w:footerReference w:type="default" r:id="rId1136"/>
          <w:footnotePr>
            <w:numStart w:val="1"/>
            <w:numRestart w:val="eachPage"/>
          </w:footnotePr>
          <w:pgSz w:orient="portrait" w:w="11905.511811023622" w:h="16837.79527559055"/>
          <w:pgMar w:top="1440" w:right="1440" w:bottom="1440" w:left="1440" w:header="720" w:footer="720" w:gutter="0"/>
          <w:cols w:num="1" w:space="720"/>
        </w:sectPr>
      </w:pPr>
    </w:p>
    <w:bookmarkStart w:id="673" w:name="pg14411_143518"/>
    <w:bookmarkEnd w:id="673"/>
    <w:p>
      <w:pPr>
        <w:pStyle w:val="BookText"/>
      </w:pPr>
      <w:r>
        <w:rPr>
          <w:rFonts w:ascii="IRNazanin" w:hAnsi="IRNazanin" w:eastAsia="IRNazanin" w:cs="IRNazanin"/>
          <w:lang w:bidi="fa-IR"/>
          <w:color w:val="111111"/>
          <w:sz w:val="28"/>
          <w:szCs w:val="28"/>
          <w:rtl/>
        </w:rPr>
        <w:t xml:space="preserve">لکن یضعّفه:أنّ البائع غیر مأمور بالوفاء قبل الملک فیستصحب، و المقام مقام استصحاب حکم الخاصّ،لا مقام الرجوع إلی حکم العامّ، فتأمّل.مضافاً إلی معارضة العموم المذکور بعموم سلطنة الناس علی أموالهم و عدم حلّها لغیرهم إلّا عن طیب النفس،و فحوی الحکم المذکور فی روایة الحسن بن زیاد المتقدّمة </w:t>
      </w:r>
      <w:r>
        <w:rPr>
          <w:rStyle w:val="FootnoteReference"/>
        </w:rPr>
        <w:footnoteReference w:id="3711"/>
      </w:r>
      <w:r>
        <w:rPr>
          <w:rFonts w:ascii="IRNazanin" w:hAnsi="IRNazanin" w:eastAsia="IRNazanin" w:cs="IRNazanin"/>
          <w:lang w:bidi="fa-IR"/>
          <w:color w:val="111111"/>
          <w:sz w:val="28"/>
          <w:szCs w:val="28"/>
          <w:rtl/>
        </w:rPr>
        <w:t xml:space="preserve">فی نکاح العبد بدون إذن مولاه </w:t>
      </w:r>
      <w:r>
        <w:rPr>
          <w:rStyle w:val="FootnoteReference"/>
        </w:rPr>
        <w:footnoteReference w:id="3712"/>
      </w:r>
      <w:r>
        <w:rPr>
          <w:rFonts w:ascii="IRNazanin" w:hAnsi="IRNazanin" w:eastAsia="IRNazanin" w:cs="IRNazanin"/>
          <w:lang w:bidi="fa-IR"/>
          <w:color w:val="111111"/>
          <w:sz w:val="28"/>
          <w:szCs w:val="28"/>
          <w:rtl/>
        </w:rPr>
        <w:t xml:space="preserve">و أنّ عتقه لا یجدی فی لزوم النکاح لو لا سکوت المولی الذی هو بمنزلة الإجازة.</w:t>
      </w:r>
    </w:p>
    <w:p>
      <w:pPr>
        <w:pStyle w:val="BookText"/>
      </w:pPr>
      <w:r>
        <w:rPr>
          <w:rFonts w:ascii="IRNazanin" w:hAnsi="IRNazanin" w:eastAsia="IRNazanin" w:cs="IRNazanin"/>
          <w:lang w:bidi="fa-IR"/>
          <w:color w:val="111111"/>
          <w:sz w:val="28"/>
          <w:szCs w:val="28"/>
          <w:rtl/>
        </w:rPr>
        <w:t xml:space="preserve">ثمّ لو سُلّم عدم التوقّف علی الإجازة فإنّما هو فیما إذا باع الفضولی لنفسه،أمّا لو باع فضولاً للمالک أو لثالثٍ ثمّ ملک هو، فجریان عموم الوفاء بالعقود و الشروط بالنسبة إلی البائع أشکل.</w:t>
      </w:r>
    </w:p>
    <w:p>
      <w:pPr>
        <w:pStyle w:val="BookText"/>
      </w:pPr>
      <w:r>
        <w:rPr>
          <w:rFonts w:ascii="IRNazanin" w:hAnsi="IRNazanin" w:eastAsia="IRNazanin" w:cs="IRNazanin"/>
          <w:lang w:bidi="fa-IR"/>
          <w:color w:val="111111"/>
          <w:sz w:val="28"/>
          <w:szCs w:val="28"/>
          <w:rtl/>
        </w:rPr>
        <w:t xml:space="preserve">و لو باع وکالةً عن المالک </w:t>
      </w:r>
      <w:r>
        <w:rPr>
          <w:rStyle w:val="FootnoteReference"/>
        </w:rPr>
        <w:footnoteReference w:id="3713"/>
      </w:r>
      <w:r>
        <w:rPr>
          <w:rFonts w:ascii="IRNazanin" w:hAnsi="IRNazanin" w:eastAsia="IRNazanin" w:cs="IRNazanin"/>
          <w:lang w:bidi="fa-IR"/>
          <w:color w:val="111111"/>
          <w:sz w:val="28"/>
          <w:szCs w:val="28"/>
          <w:rtl/>
        </w:rPr>
        <w:t xml:space="preserve">فبان انعزاله بموت الموکِّل،فلا إشکال فی عدم وقوع البیع له بدون الإجازة و لا معها،نعم یقع للوارث مع إجازته.</w:t>
      </w:r>
    </w:p>
    <w:p>
      <w:pPr>
        <w:pStyle w:val="Heading6"/>
      </w:pPr>
      <w:bookmarkStart w:id="2333" w:name="_Toc1368"/>
      <w:r>
        <w:t>المسألة الثالثة : ما لو باع معتقداً لکونه غیر جائز التصرّف فبان کونه جائز التصرّف</w:t>
      </w:r>
      <w:bookmarkEnd w:id="2333"/>
    </w:p>
    <w:p>
      <w:pPr>
        <w:pStyle w:val="Heading6"/>
      </w:pPr>
      <w:bookmarkStart w:id="2334" w:name="_Toc1369"/>
      <w:r>
        <w:t>اشارة</w:t>
      </w:r>
      <w:bookmarkEnd w:id="2334"/>
    </w:p>
    <w:p>
      <w:pPr>
        <w:pStyle w:val="BookText"/>
      </w:pPr>
      <w:r>
        <w:rPr>
          <w:rFonts w:ascii="IRNazanin" w:hAnsi="IRNazanin" w:eastAsia="IRNazanin" w:cs="IRNazanin"/>
          <w:lang w:bidi="fa-IR"/>
          <w:color w:val="111111"/>
          <w:sz w:val="28"/>
          <w:szCs w:val="28"/>
          <w:rtl/>
        </w:rPr>
        <w:t xml:space="preserve">و عدم جواز التصرّف المُنکشَف خلافه،إمّا لعدم الولایة فانکشف</w:t>
      </w:r>
    </w:p>
    <w:p>
      <w:pPr>
        <w:pStyle w:val="BookText"/>
      </w:pPr>
      <w:r>
        <w:rPr>
          <w:rFonts w:ascii="IRNazanin" w:hAnsi="IRNazanin" w:eastAsia="IRNazanin" w:cs="IRNazanin"/>
          <w:lang w:bidi="fa-IR"/>
          <w:color w:val="111111"/>
          <w:sz w:val="28"/>
          <w:szCs w:val="28"/>
          <w:rtl/>
        </w:rPr>
        <w:t xml:space="preserve">[شماره صفحه واقعی : 458]
</w:t>
      </w:r>
    </w:p>
    <w:p>
      <w:pPr>
        <w:sectPr>
          <w:footerReference w:type="default" r:id="rId1137"/>
          <w:footnotePr>
            <w:numStart w:val="1"/>
            <w:numRestart w:val="eachPage"/>
          </w:footnotePr>
          <w:pgSz w:orient="portrait" w:w="11905.511811023622" w:h="16837.79527559055"/>
          <w:pgMar w:top="1440" w:right="1440" w:bottom="1440" w:left="1440" w:header="720" w:footer="720" w:gutter="0"/>
          <w:cols w:num="1" w:space="720"/>
        </w:sectPr>
      </w:pPr>
    </w:p>
    <w:bookmarkStart w:id="674" w:name="pg14411_143519"/>
    <w:bookmarkEnd w:id="674"/>
    <w:p>
      <w:pPr>
        <w:pStyle w:val="BookText"/>
      </w:pPr>
      <w:r>
        <w:rPr>
          <w:rFonts w:ascii="IRNazanin" w:hAnsi="IRNazanin" w:eastAsia="IRNazanin" w:cs="IRNazanin"/>
          <w:lang w:bidi="fa-IR"/>
          <w:color w:val="111111"/>
          <w:sz w:val="28"/>
          <w:szCs w:val="28"/>
          <w:rtl/>
        </w:rPr>
        <w:t xml:space="preserve">کونه ولیّاً،و إمّا لعدم الملک فانکشف کونه مالکاً.</w:t>
      </w:r>
    </w:p>
    <w:p>
      <w:pPr>
        <w:pStyle w:val="BookText"/>
      </w:pPr>
      <w:r>
        <w:rPr>
          <w:rFonts w:ascii="IRNazanin" w:hAnsi="IRNazanin" w:eastAsia="IRNazanin" w:cs="IRNazanin"/>
          <w:lang w:bidi="fa-IR"/>
          <w:color w:val="111111"/>
          <w:sz w:val="28"/>
          <w:szCs w:val="28"/>
          <w:rtl/>
        </w:rPr>
        <w:t xml:space="preserve">و علی کلّ منهما،فإمّا أن یبیع عن المالک،و إمّا أن یبیع لنفسه، فالصور أربع:</w:t>
      </w:r>
    </w:p>
    <w:p>
      <w:pPr>
        <w:pStyle w:val="Heading6"/>
      </w:pPr>
      <w:bookmarkStart w:id="2335" w:name="_Toc1370"/>
      <w:r>
        <w:t>الاُولی : أن یبیع عن المالک فانکشف</w:t>
      </w:r>
      <w:bookmarkEnd w:id="2335"/>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[*ستوده]</w:t>
      </w:r>
    </w:p>
    <w:p>
      <w:pPr>
        <w:pStyle w:val="BookText"/>
      </w:pPr>
      <w:r>
        <w:rPr>
          <w:rFonts w:ascii="IRNazanin" w:hAnsi="IRNazanin" w:eastAsia="IRNazanin" w:cs="IRNazanin"/>
          <w:lang w:bidi="fa-IR"/>
          <w:color w:val="111111"/>
          <w:sz w:val="28"/>
          <w:szCs w:val="28"/>
          <w:rtl/>
        </w:rPr>
        <w:t xml:space="preserve">الاُولی: أن یبیع عن المالک فانکشف </w:t>
      </w:r>
      <w:r>
        <w:rPr>
          <w:rStyle w:val="FootnoteReference"/>
        </w:rPr>
        <w:footnoteReference w:id="3714"/>
      </w:r>
      <w:r>
        <w:rPr>
          <w:rFonts w:ascii="Amiri" w:hAnsi="Amiri" w:eastAsia="Amiri" w:cs="Amiri"/>
          <w:lang w:bidi="ar-SA"/>
          <w:color w:val="111111"/>
          <w:sz w:val="28"/>
          <w:szCs w:val="28"/>
          <w:rtl/>
        </w:rPr>
        <w:t xml:space="preserve">کونه ولیّاً علی البیع.</w:t>
      </w:r>
    </w:p>
    <w:p>
      <w:pPr>
        <w:pStyle w:val="BookText"/>
      </w:pPr>
      <w:r>
        <w:rPr>
          <w:rFonts w:ascii="IRNazanin" w:hAnsi="IRNazanin" w:eastAsia="IRNazanin" w:cs="IRNazanin"/>
          <w:lang w:bidi="fa-IR"/>
          <w:color w:val="111111"/>
          <w:sz w:val="28"/>
          <w:szCs w:val="28"/>
          <w:rtl/>
        </w:rPr>
        <w:t xml:space="preserve">فلا ینبغی الإشکال فی اللّزوم حتّی علی القول ببطلان الفضولی.</w:t>
      </w:r>
    </w:p>
    <w:p>
      <w:pPr>
        <w:pStyle w:val="BookText"/>
      </w:pPr>
      <w:r>
        <w:rPr>
          <w:rFonts w:ascii="IRNazanin" w:hAnsi="IRNazanin" w:eastAsia="IRNazanin" w:cs="IRNazanin"/>
          <w:lang w:bidi="fa-IR"/>
          <w:color w:val="111111"/>
          <w:sz w:val="28"/>
          <w:szCs w:val="28"/>
          <w:rtl/>
        </w:rPr>
        <w:t xml:space="preserve">لکنّ الظاهر من المحکی عن القاضی:أنّه إذا أذن السیّد لعبده فی التجارة فباع و اشتری و هو لا یعلم بإذن سیّده و لا علم به أحد،لم یکن مأذوناً فی التجارة،و لا یجوز شیء ممّا فعله،فإن علم بعد ذلک و اشتری و باع جاز ما فعله بعد الإذن،و لم یجز ما فعله قبل ذلک،فإن أمر السیّد قوماً أن یبایعوا العبد و العبد لا یعلم بإذنه له کان بیعه و شراؤه منهم جائزاً،و جری ذلک مجری الإذن الظاهر،فإن اشتری العبد بعد ذلک من غیرهم و باع جاز </w:t>
      </w:r>
      <w:r>
        <w:rPr>
          <w:rStyle w:val="FootnoteReference"/>
        </w:rPr>
        <w:footnoteReference w:id="3715"/>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عن المختلف الإیراد علیه:بأنّه لو أذن المولی </w:t>
      </w:r>
      <w:r>
        <w:rPr>
          <w:rStyle w:val="FootnoteReference"/>
        </w:rPr>
        <w:footnoteReference w:id="3716"/>
      </w:r>
      <w:r>
        <w:rPr>
          <w:rFonts w:ascii="IRNazanin" w:hAnsi="IRNazanin" w:eastAsia="IRNazanin" w:cs="IRNazanin"/>
          <w:lang w:bidi="fa-IR"/>
          <w:color w:val="111111"/>
          <w:sz w:val="28"/>
          <w:szCs w:val="28"/>
          <w:rtl/>
        </w:rPr>
        <w:t xml:space="preserve">و لا یعلم العبد، ثمّ باع العبد صحّ؛لأنّه صادف الإذن،و لا یؤثّر فیه إعلام المولی بعض المعاملین </w:t>
      </w:r>
      <w:r>
        <w:rPr>
          <w:rStyle w:val="FootnoteReference"/>
        </w:rPr>
        <w:footnoteReference w:id="3717"/>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هو حسن.</w:t>
      </w:r>
    </w:p>
    <w:p>
      <w:pPr>
        <w:pStyle w:val="BookText"/>
      </w:pPr>
      <w:r>
        <w:rPr>
          <w:rFonts w:ascii="IRNazanin" w:hAnsi="IRNazanin" w:eastAsia="IRNazanin" w:cs="IRNazanin"/>
          <w:lang w:bidi="fa-IR"/>
          <w:color w:val="111111"/>
          <w:sz w:val="28"/>
          <w:szCs w:val="28"/>
          <w:rtl/>
        </w:rPr>
        <w:t xml:space="preserve">[شماره صفحه واقعی : 459]
</w:t>
      </w:r>
    </w:p>
    <w:p>
      <w:pPr>
        <w:sectPr>
          <w:footerReference w:type="default" r:id="rId1138"/>
          <w:footnotePr>
            <w:numStart w:val="1"/>
            <w:numRestart w:val="eachPage"/>
          </w:footnotePr>
          <w:pgSz w:orient="portrait" w:w="11905.511811023622" w:h="16837.79527559055"/>
          <w:pgMar w:top="1440" w:right="1440" w:bottom="1440" w:left="1440" w:header="720" w:footer="720" w:gutter="0"/>
          <w:cols w:num="1" w:space="720"/>
        </w:sectPr>
      </w:pPr>
    </w:p>
    <w:bookmarkStart w:id="675" w:name="pg14411_143520"/>
    <w:bookmarkEnd w:id="675"/>
    <w:p>
      <w:pPr>
        <w:pStyle w:val="Heading6"/>
      </w:pPr>
      <w:bookmarkStart w:id="2336" w:name="_Toc1371"/>
      <w:r>
        <w:t>الثانیة : أن یبیع لنفسه فانکشف کونه ولیّاً</w:t>
      </w:r>
      <w:bookmarkEnd w:id="2336"/>
    </w:p>
    <w:p>
      <w:pPr>
        <w:pStyle w:val="BookText"/>
      </w:pPr>
      <w:r>
        <w:rPr>
          <w:rFonts w:ascii="IRNazanin" w:hAnsi="IRNazanin" w:eastAsia="IRNazanin" w:cs="IRNazanin"/>
          <w:lang w:bidi="fa-IR"/>
          <w:color w:val="111111"/>
          <w:sz w:val="28"/>
          <w:szCs w:val="28"/>
          <w:rtl/>
        </w:rPr>
        <w:t xml:space="preserve">فالظاهر أیضاً صحّة العقد،لما عرفت من أنّ قصد بیع مال الغیر لنفسه لا ینفع و لا یقدح </w:t>
      </w:r>
      <w:r>
        <w:rPr>
          <w:rStyle w:val="FootnoteReference"/>
        </w:rPr>
        <w:footnoteReference w:id="3718"/>
      </w:r>
      <w:r>
        <w:rPr>
          <w:rFonts w:ascii="IRNazanin" w:hAnsi="IRNazanin" w:eastAsia="IRNazanin" w:cs="IRNazanin"/>
          <w:lang w:bidi="fa-IR"/>
          <w:color w:val="111111"/>
          <w:sz w:val="28"/>
          <w:szCs w:val="28"/>
          <w:rtl/>
        </w:rPr>
        <w:t xml:space="preserve">،و فی توقّفه علی إجازته للمولّی علیه وجه؛ لأنّ قصد کونه لنفسه یوجب عدم وقوع البیع علی الوجه المأذون،فتأمّل.</w:t>
      </w:r>
    </w:p>
    <w:p>
      <w:pPr>
        <w:pStyle w:val="Heading6"/>
      </w:pPr>
      <w:bookmarkStart w:id="2337" w:name="_Toc1372"/>
      <w:r>
        <w:t>الثالثة : أن یبیع عن المالک ثمّ ینکشف کونه مالکاً</w:t>
      </w:r>
      <w:bookmarkEnd w:id="2337"/>
    </w:p>
    <w:p>
      <w:pPr>
        <w:pStyle w:val="BookText"/>
      </w:pPr>
      <w:r>
        <w:rPr>
          <w:rFonts w:ascii="IRNazanin" w:hAnsi="IRNazanin" w:eastAsia="IRNazanin" w:cs="IRNazanin"/>
          <w:lang w:bidi="fa-IR"/>
          <w:color w:val="111111"/>
          <w:sz w:val="28"/>
          <w:szCs w:val="28"/>
          <w:rtl/>
        </w:rPr>
        <w:t xml:space="preserve">و قد مثّله الأکثر بما لو باع مال أبیه بظنّ حیاته فبان میّتاً، و المشهور الصحّة،بل ربما استفید من کلام العلّامة فی القواعد </w:t>
      </w:r>
      <w:r>
        <w:rPr>
          <w:rStyle w:val="FootnoteReference"/>
        </w:rPr>
        <w:footnoteReference w:id="3719"/>
      </w:r>
      <w:r>
        <w:rPr>
          <w:rFonts w:ascii="IRNazanin" w:hAnsi="IRNazanin" w:eastAsia="IRNazanin" w:cs="IRNazanin"/>
          <w:lang w:bidi="fa-IR"/>
          <w:color w:val="111111"/>
          <w:sz w:val="28"/>
          <w:szCs w:val="28"/>
          <w:rtl/>
        </w:rPr>
        <w:t xml:space="preserve">و الإرشاد </w:t>
      </w:r>
      <w:r>
        <w:rPr>
          <w:rStyle w:val="FootnoteReference"/>
        </w:rPr>
        <w:footnoteReference w:id="3720"/>
      </w:r>
      <w:r>
        <w:rPr>
          <w:rFonts w:ascii="IRNazanin" w:hAnsi="IRNazanin" w:eastAsia="IRNazanin" w:cs="IRNazanin"/>
          <w:lang w:bidi="fa-IR"/>
          <w:color w:val="111111"/>
          <w:sz w:val="28"/>
          <w:szCs w:val="28"/>
          <w:rtl/>
        </w:rPr>
        <w:t xml:space="preserve">فی باب الهبة الإجماع،و لم نعثر علی مخالف صریح،إلّا أنّ الشهید رحمه اللّه ذکر فی قواعده:أنّه لو قیل بالبطلان أمکن </w:t>
      </w:r>
      <w:r>
        <w:rPr>
          <w:rStyle w:val="FootnoteReference"/>
        </w:rPr>
        <w:footnoteReference w:id="3721"/>
      </w:r>
      <w:r>
        <w:rPr>
          <w:rFonts w:ascii="IRNazanin" w:hAnsi="IRNazanin" w:eastAsia="IRNazanin" w:cs="IRNazanin"/>
          <w:lang w:bidi="fa-IR"/>
          <w:color w:val="111111"/>
          <w:sz w:val="28"/>
          <w:szCs w:val="28"/>
          <w:rtl/>
        </w:rPr>
        <w:t xml:space="preserve">،و قد سبقه فی احتمال ذلک العلّامة و ولده فی النهایة </w:t>
      </w:r>
      <w:r>
        <w:rPr>
          <w:rStyle w:val="FootnoteReference"/>
        </w:rPr>
        <w:footnoteReference w:id="3722"/>
      </w:r>
      <w:r>
        <w:rPr>
          <w:rFonts w:ascii="IRNazanin" w:hAnsi="IRNazanin" w:eastAsia="IRNazanin" w:cs="IRNazanin"/>
          <w:lang w:bidi="fa-IR"/>
          <w:color w:val="111111"/>
          <w:sz w:val="28"/>
          <w:szCs w:val="28"/>
          <w:rtl/>
        </w:rPr>
        <w:t xml:space="preserve">و الإیضاح؛لأنّه إنّما قصد نقل المال عن الأب،لا عنه،و لأنه و إن کان منجّزاً فی الصورة إلّا أنّه معلّق،و التقدیر:إن مات مورّثی فقد بعتک،و لأنه کالعابث عند مباشرة العقد؛لاعتقاده أنّ المبیع لغیره </w:t>
      </w:r>
      <w:r>
        <w:rPr>
          <w:rStyle w:val="FootnoteReference"/>
        </w:rPr>
        <w:footnoteReference w:id="3723"/>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أقول:أمّا قصد نقل الملک عن الأب فلا یقدح فی وقوعه؛لأنّه إنّما قصد نقل الملک عن الأب من حیث إنّه مالک باعتقاده،ففی الحقیقة</w:t>
      </w:r>
    </w:p>
    <w:p>
      <w:pPr>
        <w:pStyle w:val="BookText"/>
      </w:pPr>
      <w:r>
        <w:rPr>
          <w:rFonts w:ascii="IRNazanin" w:hAnsi="IRNazanin" w:eastAsia="IRNazanin" w:cs="IRNazanin"/>
          <w:lang w:bidi="fa-IR"/>
          <w:color w:val="111111"/>
          <w:sz w:val="28"/>
          <w:szCs w:val="28"/>
          <w:rtl/>
        </w:rPr>
        <w:t xml:space="preserve">[شماره صفحه واقعی : 460]
</w:t>
      </w:r>
    </w:p>
    <w:p>
      <w:pPr>
        <w:sectPr>
          <w:footerReference w:type="default" r:id="rId1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إنّما قصد النقل عن المالک لکن أخطأ فی اعتقاده أنّ المالک أبوه،و قد تقدّم توضیح ذلک فی عکس المسألة،أی:ما لو باع ملک غیره باعتقاد أنّه ملکه </w:t>
      </w:r>
      <w:r>
        <w:rPr>
          <w:rStyle w:val="FootnoteReference"/>
        </w:rPr>
        <w:footnoteReference w:id="37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نعم،من أبطل عقد الفضولی لأجل اعتبار مقارنة طیب نفس المالک للعقد قوی البطلان عنده هنا؛لعدم طیب نفس المالک بخروج ماله عن ملکه؛و لذا نقول نحن-کما سیجیء </w:t>
      </w:r>
      <w:r>
        <w:rPr>
          <w:rStyle w:val="FootnoteReference"/>
        </w:rPr>
        <w:footnoteReference w:id="3725"/>
      </w:r>
      <w:r>
        <w:rPr>
          <w:rFonts w:ascii="IRNazanin" w:hAnsi="IRNazanin" w:eastAsia="IRNazanin" w:cs="IRNazanin"/>
          <w:lang w:bidi="fa-IR"/>
          <w:color w:val="111111"/>
          <w:sz w:val="28"/>
          <w:szCs w:val="28"/>
          <w:rtl/>
        </w:rPr>
        <w:t xml:space="preserve">-باشتراط الإجازة من المالک بعد العقد؛لعدم حصول طیب النفس حال العقد.</w:t>
      </w:r>
    </w:p>
    <w:p>
      <w:pPr>
        <w:pStyle w:val="BookText"/>
      </w:pPr>
      <w:r>
        <w:rPr>
          <w:rFonts w:ascii="IRNazanin" w:hAnsi="IRNazanin" w:eastAsia="IRNazanin" w:cs="IRNazanin"/>
          <w:lang w:bidi="fa-IR"/>
          <w:color w:val="111111"/>
          <w:sz w:val="28"/>
          <w:szCs w:val="28"/>
          <w:rtl/>
        </w:rPr>
        <w:t xml:space="preserve">و أمّا ما ذکر:من أنّه فی معنی التعلیق،ففیه-مع مخالفته لمقتضی الدلیل الأوّل،کما لا یخفی-:منع کونه فی معنی التعلیق؛لأنّه إذا فرض أنّه یبیع مال أبیه لنفسه،کما هو ظاهر هذا الدلیل،فهو إنّما یبیعه مع وصف کونه لأبیه فی علمه،فبیعه کبیع الغاصب مبنیّ علی دعوی السلطنة و الاستقلال علی المال،لا علی تعلیق للنقل </w:t>
      </w:r>
      <w:r>
        <w:rPr>
          <w:rStyle w:val="FootnoteReference"/>
        </w:rPr>
        <w:footnoteReference w:id="3726"/>
      </w:r>
      <w:r>
        <w:rPr>
          <w:rFonts w:ascii="IRNazanin" w:hAnsi="IRNazanin" w:eastAsia="IRNazanin" w:cs="IRNazanin"/>
          <w:lang w:bidi="fa-IR"/>
          <w:color w:val="111111"/>
          <w:sz w:val="28"/>
          <w:szCs w:val="28"/>
          <w:rtl/>
        </w:rPr>
        <w:t xml:space="preserve">بکونه منتقلاً إلیه بالإرث عن </w:t>
      </w:r>
      <w:r>
        <w:rPr>
          <w:rStyle w:val="FootnoteReference"/>
        </w:rPr>
        <w:footnoteReference w:id="3727"/>
      </w:r>
      <w:r>
        <w:rPr>
          <w:rFonts w:ascii="IRNazanin" w:hAnsi="IRNazanin" w:eastAsia="IRNazanin" w:cs="IRNazanin"/>
          <w:lang w:bidi="fa-IR"/>
          <w:color w:val="111111"/>
          <w:sz w:val="28"/>
          <w:szCs w:val="28"/>
          <w:rtl/>
        </w:rPr>
        <w:t xml:space="preserve">مورّثه؛لأنّ ذلک لا یجامع مع ظنّ الحیاة.</w:t>
      </w:r>
    </w:p>
    <w:p>
      <w:pPr>
        <w:pStyle w:val="BookText"/>
      </w:pPr>
      <w:r>
        <w:rPr>
          <w:rFonts w:ascii="IRNazanin" w:hAnsi="IRNazanin" w:eastAsia="IRNazanin" w:cs="IRNazanin"/>
          <w:lang w:bidi="fa-IR"/>
          <w:color w:val="111111"/>
          <w:sz w:val="28"/>
          <w:szCs w:val="28"/>
          <w:rtl/>
        </w:rPr>
        <w:t xml:space="preserve">اللّهم إلّا أن یراد أنّ القصد الحقیقی إلی النقل معلّق علی تملّک الناقل،و بدونه فالقصد صوری،علی ما تقدّم من المسالک من أنّ الفضولی و المکره قاصدان إلی اللفظ دون مدلوله </w:t>
      </w:r>
      <w:r>
        <w:rPr>
          <w:rStyle w:val="FootnoteReference"/>
        </w:rPr>
        <w:footnoteReference w:id="37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461]
</w:t>
      </w:r>
    </w:p>
    <w:p>
      <w:pPr>
        <w:sectPr>
          <w:footerReference w:type="default" r:id="rId1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لکن فیه حینئذٍ:أنّ هذا القصد الصوری کافٍ؛و لذا قلنا بصحّة عقد الفضولی.</w:t>
      </w:r>
    </w:p>
    <w:p>
      <w:pPr>
        <w:pStyle w:val="BookText"/>
      </w:pPr>
      <w:r>
        <w:rPr>
          <w:rFonts w:ascii="IRNazanin" w:hAnsi="IRNazanin" w:eastAsia="IRNazanin" w:cs="IRNazanin"/>
          <w:lang w:bidi="fa-IR"/>
          <w:color w:val="111111"/>
          <w:sz w:val="28"/>
          <w:szCs w:val="28"/>
          <w:rtl/>
        </w:rPr>
        <w:t xml:space="preserve">و من ذلک یظهر ضعف ما ذکره أخیراً من کونه کالعابث عند مباشرة العقد،معلّلاً بعلمه بکون المبیع لغیره.</w:t>
      </w:r>
    </w:p>
    <w:p>
      <w:pPr>
        <w:pStyle w:val="BookText"/>
      </w:pPr>
      <w:r>
        <w:rPr>
          <w:rFonts w:ascii="IRNazanin" w:hAnsi="IRNazanin" w:eastAsia="IRNazanin" w:cs="IRNazanin"/>
          <w:lang w:bidi="fa-IR"/>
          <w:color w:val="111111"/>
          <w:sz w:val="28"/>
          <w:szCs w:val="28"/>
          <w:rtl/>
        </w:rPr>
        <w:t xml:space="preserve">و کیف کان،فلا ینبغی الإشکال فی صحّة العقد،إلّا أنّ ظاهر المحکیّ من غیر واحد </w:t>
      </w:r>
      <w:r>
        <w:rPr>
          <w:rStyle w:val="FootnoteReference"/>
        </w:rPr>
        <w:footnoteReference w:id="3729"/>
      </w:r>
      <w:r>
        <w:rPr>
          <w:rFonts w:ascii="IRNazanin" w:hAnsi="IRNazanin" w:eastAsia="IRNazanin" w:cs="IRNazanin"/>
          <w:lang w:bidi="fa-IR"/>
          <w:color w:val="111111"/>
          <w:sz w:val="28"/>
          <w:szCs w:val="28"/>
          <w:rtl/>
        </w:rPr>
        <w:t xml:space="preserve">لزوم العقد و عدم الحاجة إلی إجازة مستأنفة؛ لأنّ المالک هو المباشر للعقد فلا وجه لإجازة فعل نفسه،و لأنّ قصده إلی نقل مال نفسه إن حصل هنا بمجرّد القصد إلی نقل المال المعین الذی هو فی الواقع ملک نفسه-و إن لم یشعر به-فهو أولی من الإذن فی ذلک فضلاً عن إجازته،و إلّا توجّه عدم وقوع العقد له.</w:t>
      </w:r>
    </w:p>
    <w:p>
      <w:pPr>
        <w:pStyle w:val="BookText"/>
      </w:pPr>
      <w:r>
        <w:rPr>
          <w:rFonts w:ascii="IRNazanin" w:hAnsi="IRNazanin" w:eastAsia="IRNazanin" w:cs="IRNazanin"/>
          <w:lang w:bidi="fa-IR"/>
          <w:color w:val="111111"/>
          <w:sz w:val="28"/>
          <w:szCs w:val="28"/>
          <w:rtl/>
        </w:rPr>
        <w:t xml:space="preserve">[*ستوده]</w:t>
      </w:r>
    </w:p>
    <w:p>
      <w:pPr>
        <w:pStyle w:val="BookText"/>
      </w:pPr>
      <w:r>
        <w:rPr>
          <w:rFonts w:ascii="IRNazanin" w:hAnsi="IRNazanin" w:eastAsia="IRNazanin" w:cs="IRNazanin"/>
          <w:lang w:bidi="fa-IR"/>
          <w:color w:val="111111"/>
          <w:sz w:val="28"/>
          <w:szCs w:val="28"/>
          <w:rtl/>
        </w:rPr>
        <w:t xml:space="preserve">لکنّ الأقوی-وفاقاً للمحقّق و الشهید الثانیین </w:t>
      </w:r>
      <w:r>
        <w:rPr>
          <w:rStyle w:val="FootnoteReference"/>
        </w:rPr>
        <w:footnoteReference w:id="3730"/>
      </w:r>
      <w:r>
        <w:rPr>
          <w:rFonts w:ascii="IRNazanin" w:hAnsi="IRNazanin" w:eastAsia="IRNazanin" w:cs="IRNazanin"/>
          <w:lang w:bidi="fa-IR"/>
          <w:color w:val="111111"/>
          <w:sz w:val="28"/>
          <w:szCs w:val="28"/>
          <w:rtl/>
        </w:rPr>
        <w:t xml:space="preserve">-:وقوفه علی الإجازة،لا لما ذکره فی جامع المقاصد من أنّه لم یقصد إلی البیع الناقل للملک الآن،بل مع إجازة المالک؛لاندفاعه بما ذکره بقوله:إلّا أن یقال:إنّ قصده إلی أصل البیع کافٍ </w:t>
      </w:r>
      <w:r>
        <w:rPr>
          <w:rStyle w:val="FootnoteReference"/>
        </w:rPr>
        <w:footnoteReference w:id="37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توضیحه:أنّ انتقال المبیع شرعاً بمجرّد العقد أو بعد إجازة المالک لیس من مدلول لفظ العقد حتّی یعتبر قصده أو یقدح قصد خلافه،و إنّما هو من الأحکام الشرعیّة العارضة للعقود بحسب اختلافها فی التوقّف علی الأُمور المتأخّرة و عدمه،مع أنّ عدم </w:t>
      </w:r>
      <w:r>
        <w:rPr>
          <w:rStyle w:val="FootnoteReference"/>
        </w:rPr>
        <w:footnoteReference w:id="3732"/>
      </w:r>
      <w:r>
        <w:rPr>
          <w:rFonts w:ascii="IRNazanin" w:hAnsi="IRNazanin" w:eastAsia="IRNazanin" w:cs="IRNazanin"/>
          <w:lang w:bidi="fa-IR"/>
          <w:color w:val="111111"/>
          <w:sz w:val="28"/>
          <w:szCs w:val="28"/>
          <w:rtl/>
        </w:rPr>
        <w:t xml:space="preserve">القصد المذکور</w:t>
      </w:r>
    </w:p>
    <w:p>
      <w:pPr>
        <w:pStyle w:val="BookText"/>
      </w:pPr>
      <w:r>
        <w:rPr>
          <w:rFonts w:ascii="IRNazanin" w:hAnsi="IRNazanin" w:eastAsia="IRNazanin" w:cs="IRNazanin"/>
          <w:lang w:bidi="fa-IR"/>
          <w:color w:val="111111"/>
          <w:sz w:val="28"/>
          <w:szCs w:val="28"/>
          <w:rtl/>
        </w:rPr>
        <w:t xml:space="preserve">[شماره صفحه واقعی : 462]
</w:t>
      </w:r>
    </w:p>
    <w:p>
      <w:pPr>
        <w:sectPr>
          <w:footerReference w:type="default" r:id="rId1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یقدح بناءً علی الکشف،بل قصد النقل بعد الإجازة ربما یحتمل قدحه،فالدلیل علی اشتراط تعقّب الإجازة فی اللزوم هو عموم تسلّط الناس علی أموالهم،و عدم حلّها لغیرهم إلّا بطیب أنفسهم،و حرمة أکل المال إلّا بالتجارة عن تراض.</w:t>
      </w:r>
    </w:p>
    <w:p>
      <w:pPr>
        <w:pStyle w:val="BookText"/>
      </w:pPr>
      <w:r>
        <w:rPr>
          <w:rFonts w:ascii="IRNazanin" w:hAnsi="IRNazanin" w:eastAsia="IRNazanin" w:cs="IRNazanin"/>
          <w:lang w:bidi="fa-IR"/>
          <w:color w:val="111111"/>
          <w:sz w:val="28"/>
          <w:szCs w:val="28"/>
          <w:rtl/>
        </w:rPr>
        <w:t xml:space="preserve">و بالجملة،فأکثر أدلّة اشتراط الإجازة فی الفضولی جاریة هنا.</w:t>
      </w:r>
    </w:p>
    <w:p>
      <w:pPr>
        <w:pStyle w:val="BookText"/>
      </w:pPr>
      <w:r>
        <w:rPr>
          <w:rFonts w:ascii="IRNazanin" w:hAnsi="IRNazanin" w:eastAsia="IRNazanin" w:cs="IRNazanin"/>
          <w:lang w:bidi="fa-IR"/>
          <w:color w:val="111111"/>
          <w:sz w:val="28"/>
          <w:szCs w:val="28"/>
          <w:rtl/>
        </w:rPr>
        <w:t xml:space="preserve">و أمّا ما ذکرناه من أنّ قصد نقل ملک نفسه إن حصل أغنی عن الإجازة،و إلّا فسد العقد.</w:t>
      </w:r>
    </w:p>
    <w:p>
      <w:pPr>
        <w:pStyle w:val="BookText"/>
      </w:pPr>
      <w:r>
        <w:rPr>
          <w:rFonts w:ascii="IRNazanin" w:hAnsi="IRNazanin" w:eastAsia="IRNazanin" w:cs="IRNazanin"/>
          <w:lang w:bidi="fa-IR"/>
          <w:color w:val="111111"/>
          <w:sz w:val="28"/>
          <w:szCs w:val="28"/>
          <w:rtl/>
        </w:rPr>
        <w:t xml:space="preserve">ففیه:أنّه یکفی فی تحقّق صورة العقد القابلة للحوق اللزوم </w:t>
      </w:r>
      <w:r>
        <w:rPr>
          <w:rStyle w:val="FootnoteReference"/>
        </w:rPr>
        <w:footnoteReference w:id="3733"/>
      </w:r>
      <w:r>
        <w:rPr>
          <w:rFonts w:ascii="IRNazanin" w:hAnsi="IRNazanin" w:eastAsia="IRNazanin" w:cs="IRNazanin"/>
          <w:lang w:bidi="fa-IR"/>
          <w:color w:val="111111"/>
          <w:sz w:val="28"/>
          <w:szCs w:val="28"/>
          <w:rtl/>
        </w:rPr>
        <w:t xml:space="preserve">القصد إلی نقل المال المعیّن.و قصد کونه ماله </w:t>
      </w:r>
      <w:r>
        <w:rPr>
          <w:rStyle w:val="FootnoteReference"/>
        </w:rPr>
        <w:footnoteReference w:id="3734"/>
      </w:r>
      <w:r>
        <w:rPr>
          <w:rFonts w:ascii="IRNazanin" w:hAnsi="IRNazanin" w:eastAsia="IRNazanin" w:cs="IRNazanin"/>
          <w:lang w:bidi="fa-IR"/>
          <w:color w:val="111111"/>
          <w:sz w:val="28"/>
          <w:szCs w:val="28"/>
          <w:rtl/>
        </w:rPr>
        <w:t xml:space="preserve">أو مال غیره مع خطائه </w:t>
      </w:r>
      <w:r>
        <w:rPr>
          <w:rStyle w:val="FootnoteReference"/>
        </w:rPr>
        <w:footnoteReference w:id="3735"/>
      </w:r>
      <w:r>
        <w:rPr>
          <w:rFonts w:ascii="IRNazanin" w:hAnsi="IRNazanin" w:eastAsia="IRNazanin" w:cs="IRNazanin"/>
          <w:lang w:bidi="fa-IR"/>
          <w:color w:val="111111"/>
          <w:sz w:val="28"/>
          <w:szCs w:val="28"/>
          <w:rtl/>
        </w:rPr>
        <w:t xml:space="preserve">فی قصده أو صوابه </w:t>
      </w:r>
      <w:r>
        <w:rPr>
          <w:rStyle w:val="FootnoteReference"/>
        </w:rPr>
        <w:footnoteReference w:id="3736"/>
      </w:r>
      <w:r>
        <w:rPr>
          <w:rFonts w:ascii="IRNazanin" w:hAnsi="IRNazanin" w:eastAsia="IRNazanin" w:cs="IRNazanin"/>
          <w:lang w:bidi="fa-IR"/>
          <w:color w:val="111111"/>
          <w:sz w:val="28"/>
          <w:szCs w:val="28"/>
          <w:rtl/>
        </w:rPr>
        <w:t xml:space="preserve">فی الواقع لا یقدح و لا ینفع؛و لذا بنینا علی صحّة العقد بقصد </w:t>
      </w:r>
      <w:r>
        <w:rPr>
          <w:rStyle w:val="FootnoteReference"/>
        </w:rPr>
        <w:footnoteReference w:id="3737"/>
      </w:r>
      <w:r>
        <w:rPr>
          <w:rFonts w:ascii="IRNazanin" w:hAnsi="IRNazanin" w:eastAsia="IRNazanin" w:cs="IRNazanin"/>
          <w:lang w:bidi="fa-IR"/>
          <w:color w:val="111111"/>
          <w:sz w:val="28"/>
          <w:szCs w:val="28"/>
          <w:rtl/>
        </w:rPr>
        <w:t xml:space="preserve">مال نفسه مع کونه مالاً لغیره.</w:t>
      </w:r>
    </w:p>
    <w:p>
      <w:pPr>
        <w:pStyle w:val="BookText"/>
      </w:pPr>
      <w:r>
        <w:rPr>
          <w:rFonts w:ascii="IRNazanin" w:hAnsi="IRNazanin" w:eastAsia="IRNazanin" w:cs="IRNazanin"/>
          <w:lang w:bidi="fa-IR"/>
          <w:color w:val="111111"/>
          <w:sz w:val="28"/>
          <w:szCs w:val="28"/>
          <w:rtl/>
        </w:rPr>
        <w:t xml:space="preserve">و أمّا أدلّة اعتبار التراضی و طیب النفس،فهی دالّة علی اعتبار رضا المالک بنقل خصوص ماله بعنوان أنّه ماله،لا بنقل مالٍ معیّنٍ یتّفق کونه ملکاً له فی الواقع،فإنّ حکم طیب النفس و الرضا لا یترتّب علی ذلک،فلو أذن فی التصرّف فی مالٍ معتقداً أنّه لغیره،و المأذون یعلم أنّه له،لم یجز له التصرّف بذلک الإذن.و لو فرضنا أنّه أعتق</w:t>
      </w:r>
    </w:p>
    <w:p>
      <w:pPr>
        <w:pStyle w:val="BookText"/>
      </w:pPr>
      <w:r>
        <w:rPr>
          <w:rFonts w:ascii="IRNazanin" w:hAnsi="IRNazanin" w:eastAsia="IRNazanin" w:cs="IRNazanin"/>
          <w:lang w:bidi="fa-IR"/>
          <w:color w:val="111111"/>
          <w:sz w:val="28"/>
          <w:szCs w:val="28"/>
          <w:rtl/>
        </w:rPr>
        <w:t xml:space="preserve">[شماره صفحه واقعی : 463]
</w:t>
      </w:r>
    </w:p>
    <w:p>
      <w:pPr>
        <w:sectPr>
          <w:footerReference w:type="default" r:id="rId1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عبداً عن غیره فبان أنّه له لم ینعتق،و کذا لو طلّق امرأةً وکالةً عن غیره فبانت زوجته؛لأنّ القصد المقارن إلی طلاق زوجته و عتق مملوکه معتبر فیهما،فلا تنفع الإجازة.</w:t>
      </w:r>
    </w:p>
    <w:p>
      <w:pPr>
        <w:pStyle w:val="BookText"/>
      </w:pPr>
      <w:r>
        <w:rPr>
          <w:rFonts w:ascii="IRNazanin" w:hAnsi="IRNazanin" w:eastAsia="IRNazanin" w:cs="IRNazanin"/>
          <w:lang w:bidi="fa-IR"/>
          <w:color w:val="111111"/>
          <w:sz w:val="28"/>
          <w:szCs w:val="28"/>
          <w:rtl/>
        </w:rPr>
        <w:t xml:space="preserve">و لو غرّه الغاصب فقال:«هذا عبدی أعتقه عنک»فأعتقه عن نفسه،فبان کونه له،فالأقوی أیضاً عدم النفوذ،وفاقاً للمحکیّ عن التحریر </w:t>
      </w:r>
      <w:r>
        <w:rPr>
          <w:rStyle w:val="FootnoteReference"/>
        </w:rPr>
        <w:footnoteReference w:id="3738"/>
      </w:r>
      <w:r>
        <w:rPr>
          <w:rFonts w:ascii="IRNazanin" w:hAnsi="IRNazanin" w:eastAsia="IRNazanin" w:cs="IRNazanin"/>
          <w:lang w:bidi="fa-IR"/>
          <w:color w:val="111111"/>
          <w:sz w:val="28"/>
          <w:szCs w:val="28"/>
          <w:rtl/>
        </w:rPr>
        <w:t xml:space="preserve">و حواشی الشهید </w:t>
      </w:r>
      <w:r>
        <w:rPr>
          <w:rStyle w:val="FootnoteReference"/>
        </w:rPr>
        <w:footnoteReference w:id="3739"/>
      </w:r>
      <w:r>
        <w:rPr>
          <w:rFonts w:ascii="IRNazanin" w:hAnsi="IRNazanin" w:eastAsia="IRNazanin" w:cs="IRNazanin"/>
          <w:lang w:bidi="fa-IR"/>
          <w:color w:val="111111"/>
          <w:sz w:val="28"/>
          <w:szCs w:val="28"/>
          <w:rtl/>
        </w:rPr>
        <w:t xml:space="preserve">و جامع المقاصد </w:t>
      </w:r>
      <w:r>
        <w:rPr>
          <w:rStyle w:val="FootnoteReference"/>
        </w:rPr>
        <w:footnoteReference w:id="3740"/>
      </w:r>
      <w:r>
        <w:rPr>
          <w:rFonts w:ascii="IRNazanin" w:hAnsi="IRNazanin" w:eastAsia="IRNazanin" w:cs="IRNazanin"/>
          <w:lang w:bidi="fa-IR"/>
          <w:color w:val="111111"/>
          <w:sz w:val="28"/>
          <w:szCs w:val="28"/>
          <w:rtl/>
        </w:rPr>
        <w:t xml:space="preserve">مع حکمه بصحّة البیع هنا و وقوفه علی الإجازة </w:t>
      </w:r>
      <w:r>
        <w:rPr>
          <w:rStyle w:val="FootnoteReference"/>
        </w:rPr>
        <w:footnoteReference w:id="3741"/>
      </w:r>
      <w:r>
        <w:rPr>
          <w:rFonts w:ascii="IRNazanin" w:hAnsi="IRNazanin" w:eastAsia="IRNazanin" w:cs="IRNazanin"/>
          <w:lang w:bidi="fa-IR"/>
          <w:color w:val="111111"/>
          <w:sz w:val="28"/>
          <w:szCs w:val="28"/>
          <w:rtl/>
        </w:rPr>
        <w:t xml:space="preserve">لأنّ العتق لا یقبل الوقوف،فإذا لم یحصل القصد إلی فکّ ماله مقارناً للصیغة وقعت باطلة،بخلاف البیع؛فلا تناقض بین حکمه ببطلان العتق و صحّة البیع مع الإجازة،کما یتوهّم.</w:t>
      </w:r>
    </w:p>
    <w:p>
      <w:pPr>
        <w:pStyle w:val="BookText"/>
      </w:pPr>
      <w:r>
        <w:rPr>
          <w:rFonts w:ascii="IRNazanin" w:hAnsi="IRNazanin" w:eastAsia="IRNazanin" w:cs="IRNazanin"/>
          <w:lang w:bidi="fa-IR"/>
          <w:color w:val="111111"/>
          <w:sz w:val="28"/>
          <w:szCs w:val="28"/>
          <w:rtl/>
        </w:rPr>
        <w:t xml:space="preserve">نعم،ینبغی إیراد التناقض علی من حکم هناک بعدم النفوذ، و حکم فی البیع باللزوم و عدم الحاجة إلی الإجازة؛فإنّ القصد إلی إنشاء یتعلّق بمعیّن هو مال المنشئ فی الواقع من غیر علمه به،إن کان یکفی فی طیب النفس و الرضا المعتبر فی جمیع إنشاءات الناس المتعلّقة بأموالهم وجب الحکم بوقوع العتق،و إن اعتبر فی طیب النفس المتعلّق بإخراج الأموال عن الملک،العلم بکونه مالاً له و لم یکف مجرّد مصادفة الواقع،وجب الحکم بعدم لزوم البیع.</w:t>
      </w:r>
    </w:p>
    <w:p>
      <w:pPr>
        <w:pStyle w:val="BookText"/>
      </w:pPr>
      <w:r>
        <w:rPr>
          <w:rFonts w:ascii="IRNazanin" w:hAnsi="IRNazanin" w:eastAsia="IRNazanin" w:cs="IRNazanin"/>
          <w:lang w:bidi="fa-IR"/>
          <w:color w:val="111111"/>
          <w:sz w:val="28"/>
          <w:szCs w:val="28"/>
          <w:rtl/>
        </w:rPr>
        <w:t xml:space="preserve">[شماره صفحه واقعی : 464]
</w:t>
      </w:r>
    </w:p>
    <w:p>
      <w:pPr>
        <w:sectPr>
          <w:footerReference w:type="default" r:id="rId1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فالحقّ:أنّ القصد إلی الإنشاء المتعلّق،بمال معیّن مصحّح للعقد، بمعنی قابلیته للتأثیر،و لا یحتاج إلی العلم بکونه مالاً له،لکن لا یکفی ذلک فی تحقّق الخروج عن ماله بمجرّد الإنشاء،ثمّ إن کان ذلک الإنشاء ممّا یقبل اللزوم بلحوق الرضا کفت الإجازة کما فی العقود،و إلّا وقع الإنشاء باطلاً کما فی الإیقاعات.</w:t>
      </w:r>
    </w:p>
    <w:p>
      <w:pPr>
        <w:pStyle w:val="BookText"/>
      </w:pPr>
      <w:r>
        <w:rPr>
          <w:rFonts w:ascii="IRNazanin" w:hAnsi="IRNazanin" w:eastAsia="IRNazanin" w:cs="IRNazanin"/>
          <w:lang w:bidi="fa-IR"/>
          <w:color w:val="111111"/>
          <w:sz w:val="28"/>
          <w:szCs w:val="28"/>
          <w:rtl/>
        </w:rPr>
        <w:t xml:space="preserve">[*ستوده]</w:t>
      </w:r>
    </w:p>
    <w:p>
      <w:pPr>
        <w:pStyle w:val="BookText"/>
      </w:pPr>
      <w:r>
        <w:rPr>
          <w:rFonts w:ascii="IRNazanin" w:hAnsi="IRNazanin" w:eastAsia="IRNazanin" w:cs="IRNazanin"/>
          <w:lang w:bidi="fa-IR"/>
          <w:color w:val="111111"/>
          <w:sz w:val="28"/>
          <w:szCs w:val="28"/>
          <w:rtl/>
        </w:rPr>
        <w:t xml:space="preserve">ثمّ إنّه ظهر ممّا ذکرنا فی وجه الوقوف علی الإجازة:أنّ هذا الحقّ للمالک من باب الإجازة لا من باب خیار الفسخ،فعقده متزلزل من حیث الحدوث،لا البقاء کما قوّاه بعض من قارب عصرنا </w:t>
      </w:r>
      <w:r>
        <w:rPr>
          <w:rStyle w:val="FootnoteReference"/>
        </w:rPr>
        <w:footnoteReference w:id="3742"/>
      </w:r>
      <w:r>
        <w:rPr>
          <w:rFonts w:ascii="IRNazanin" w:hAnsi="IRNazanin" w:eastAsia="IRNazanin" w:cs="IRNazanin"/>
          <w:lang w:bidi="fa-IR"/>
          <w:color w:val="111111"/>
          <w:sz w:val="28"/>
          <w:szCs w:val="28"/>
          <w:rtl/>
        </w:rPr>
        <w:t xml:space="preserve">،و تبعه بعض من عاصرناه </w:t>
      </w:r>
      <w:r>
        <w:rPr>
          <w:rStyle w:val="FootnoteReference"/>
        </w:rPr>
        <w:footnoteReference w:id="3743"/>
      </w:r>
      <w:r>
        <w:rPr>
          <w:rFonts w:ascii="IRNazanin" w:hAnsi="IRNazanin" w:eastAsia="IRNazanin" w:cs="IRNazanin"/>
          <w:lang w:bidi="fa-IR"/>
          <w:color w:val="111111"/>
          <w:sz w:val="28"/>
          <w:szCs w:val="28"/>
          <w:rtl/>
        </w:rPr>
        <w:t xml:space="preserve">معلّلاً بقاعدة نفی الضرر؛إذ فیه:أنّ الخیار فرع الانتقال،و قد تقدّم توقّفه علی طیب النفس.</w:t>
      </w:r>
    </w:p>
    <w:p>
      <w:pPr>
        <w:pStyle w:val="BookText"/>
      </w:pPr>
      <w:r>
        <w:rPr>
          <w:rFonts w:ascii="IRNazanin" w:hAnsi="IRNazanin" w:eastAsia="IRNazanin" w:cs="IRNazanin"/>
          <w:lang w:bidi="fa-IR"/>
          <w:color w:val="111111"/>
          <w:sz w:val="28"/>
          <w:szCs w:val="28"/>
          <w:rtl/>
        </w:rPr>
        <w:t xml:space="preserve">و ما ذکراه من الضرر المترتّب علی لزوم البیع،لیس لأمرٍ راجع إلی العوض و المعوّض،و إنّما هو لانتقال الملک عن مالکه من دون علمه و رضاه؛إذ لا فرق فی الجهل بانتقال ماله بین أن یجهل أصل الانتقال کما یتّفق فی الفضولی،أو یعلمه و یجهل تعلّقه بماله.</w:t>
      </w:r>
    </w:p>
    <w:p>
      <w:pPr>
        <w:pStyle w:val="BookText"/>
      </w:pPr>
      <w:r>
        <w:rPr>
          <w:rFonts w:ascii="IRNazanin" w:hAnsi="IRNazanin" w:eastAsia="IRNazanin" w:cs="IRNazanin"/>
          <w:lang w:bidi="fa-IR"/>
          <w:color w:val="111111"/>
          <w:sz w:val="28"/>
          <w:szCs w:val="28"/>
          <w:rtl/>
        </w:rPr>
        <w:t xml:space="preserve">و من المعلوم:أنّ هذا الضرر هو المثبت لتوقّف عقد الفضولی علی الإجازة؛إذ لا یلزم من لزومه بدونها سوی هذا الضرر.</w:t>
      </w:r>
    </w:p>
    <w:p>
      <w:pPr>
        <w:pStyle w:val="BookText"/>
      </w:pPr>
      <w:r>
        <w:rPr>
          <w:rFonts w:ascii="Amiri" w:hAnsi="Amiri" w:eastAsia="Amiri" w:cs="Amiri"/>
          <w:lang w:bidi="ar-SA"/>
          <w:color w:val="111111"/>
          <w:sz w:val="28"/>
          <w:szCs w:val="28"/>
          <w:rtl/>
        </w:rPr>
        <w:t xml:space="preserve">ثمّ،إنّ الحکم بالصحّة </w:t>
      </w:r>
      <w:r>
        <w:rPr>
          <w:rStyle w:val="FootnoteReference"/>
        </w:rPr>
        <w:footnoteReference w:id="3744"/>
      </w:r>
      <w:r>
        <w:rPr>
          <w:rFonts w:ascii="IRNazanin" w:hAnsi="IRNazanin" w:eastAsia="IRNazanin" w:cs="IRNazanin"/>
          <w:lang w:bidi="fa-IR"/>
          <w:color w:val="111111"/>
          <w:sz w:val="28"/>
          <w:szCs w:val="28"/>
          <w:rtl/>
        </w:rPr>
        <w:t xml:space="preserve">فی هذه الصورة غیر متوقّفة </w:t>
      </w:r>
      <w:r>
        <w:rPr>
          <w:rStyle w:val="FootnoteReference"/>
        </w:rPr>
        <w:footnoteReference w:id="3745"/>
      </w:r>
      <w:r>
        <w:rPr>
          <w:rFonts w:ascii="IRNazanin" w:hAnsi="IRNazanin" w:eastAsia="IRNazanin" w:cs="IRNazanin"/>
          <w:lang w:bidi="fa-IR"/>
          <w:color w:val="111111"/>
          <w:sz w:val="28"/>
          <w:szCs w:val="28"/>
          <w:rtl/>
        </w:rPr>
        <w:t xml:space="preserve">علی القول</w:t>
      </w:r>
    </w:p>
    <w:p>
      <w:pPr>
        <w:pStyle w:val="BookText"/>
      </w:pPr>
      <w:r>
        <w:rPr>
          <w:rFonts w:ascii="IRNazanin" w:hAnsi="IRNazanin" w:eastAsia="IRNazanin" w:cs="IRNazanin"/>
          <w:lang w:bidi="fa-IR"/>
          <w:color w:val="111111"/>
          <w:sz w:val="28"/>
          <w:szCs w:val="28"/>
          <w:rtl/>
        </w:rPr>
        <w:t xml:space="preserve">[شماره صفحه واقعی : 465]
</w:t>
      </w:r>
    </w:p>
    <w:p>
      <w:pPr>
        <w:sectPr>
          <w:footerReference w:type="default" r:id="rId1144"/>
          <w:footnotePr>
            <w:numStart w:val="1"/>
            <w:numRestart w:val="eachPage"/>
          </w:footnotePr>
          <w:pgSz w:orient="portrait" w:w="11905.511811023622" w:h="16837.79527559055"/>
          <w:pgMar w:top="1440" w:right="1440" w:bottom="1440" w:left="1440" w:header="720" w:footer="720" w:gutter="0"/>
          <w:cols w:num="1" w:space="720"/>
        </w:sectPr>
      </w:pPr>
    </w:p>
    <w:bookmarkStart w:id="676" w:name="pg14411_143526"/>
    <w:bookmarkEnd w:id="676"/>
    <w:p>
      <w:pPr>
        <w:pStyle w:val="BookText"/>
      </w:pPr>
      <w:r>
        <w:rPr>
          <w:rFonts w:ascii="IRNazanin" w:hAnsi="IRNazanin" w:eastAsia="IRNazanin" w:cs="IRNazanin"/>
          <w:lang w:bidi="fa-IR"/>
          <w:color w:val="111111"/>
          <w:sz w:val="28"/>
          <w:szCs w:val="28"/>
          <w:rtl/>
        </w:rPr>
        <w:t xml:space="preserve">بصحّة عقد الفضولی،بل یجیء علی القول بالبطلان،إلّا أن یستند فی بطلانه بما تقدّم من قبح التصرّف فی مال الغیر </w:t>
      </w:r>
      <w:r>
        <w:rPr>
          <w:rStyle w:val="FootnoteReference"/>
        </w:rPr>
        <w:footnoteReference w:id="3746"/>
      </w:r>
      <w:r>
        <w:rPr>
          <w:rFonts w:ascii="IRNazanin" w:hAnsi="IRNazanin" w:eastAsia="IRNazanin" w:cs="IRNazanin"/>
          <w:lang w:bidi="fa-IR"/>
          <w:color w:val="111111"/>
          <w:sz w:val="28"/>
          <w:szCs w:val="28"/>
          <w:rtl/>
        </w:rPr>
        <w:t xml:space="preserve">،فیتّجه عنده حینئذٍ البطلان،ثمّ یغرم المثمن و إن کان جاهلاً </w:t>
      </w:r>
      <w:r>
        <w:rPr>
          <w:rStyle w:val="FootnoteReference"/>
        </w:rPr>
        <w:footnoteReference w:id="3747"/>
      </w:r>
      <w:r>
        <w:rPr>
          <w:rFonts w:ascii="Times New Roman" w:hAnsi="Times New Roman" w:eastAsia="Times New Roman" w:cs="Times New Roman"/>
          <w:lang w:val="en-US" w:bidi="en-US"/>
          <w:color w:val="111111"/>
          <w:sz w:val="28"/>
          <w:szCs w:val="28"/>
          <w:rtl/>
        </w:rPr>
        <w:t xml:space="preserve">.</w:t>
      </w:r>
    </w:p>
    <w:p>
      <w:pPr>
        <w:pStyle w:val="Heading6"/>
      </w:pPr>
      <w:bookmarkStart w:id="2338" w:name="_Toc1373"/>
      <w:r>
        <w:t>الرابعة : أن یبیع لنفسه باعتقاد أنّه لغیره فانکشف أنّه له</w:t>
      </w:r>
      <w:bookmarkEnd w:id="2338"/>
    </w:p>
    <w:p>
      <w:pPr>
        <w:pStyle w:val="BookText"/>
      </w:pPr>
      <w:r>
        <w:rPr>
          <w:rFonts w:ascii="IRNazanin" w:hAnsi="IRNazanin" w:eastAsia="IRNazanin" w:cs="IRNazanin"/>
          <w:lang w:bidi="fa-IR"/>
          <w:color w:val="111111"/>
          <w:sz w:val="28"/>
          <w:szCs w:val="28"/>
          <w:rtl/>
        </w:rPr>
        <w:t xml:space="preserve">و الأقوی هنا أیضاً الصحّة و لو علی القول ببطلان الفضولی و الوقوف علی الإجازة؛بمثل ما مرّ فی الثالثة،و فی عدم الوقوف هنا وجه لا یجری فی الثالثة؛و لذا قوّی اللزوم هنا بعض من قال بالخیار فی الثالثة </w:t>
      </w:r>
      <w:r>
        <w:rPr>
          <w:rStyle w:val="FootnoteReference"/>
        </w:rPr>
        <w:footnoteReference w:id="37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466]
</w:t>
      </w:r>
    </w:p>
    <w:p>
      <w:pPr>
        <w:sectPr>
          <w:footerReference w:type="default" r:id="rId1145"/>
          <w:footnotePr>
            <w:numStart w:val="1"/>
            <w:numRestart w:val="eachPage"/>
          </w:footnotePr>
          <w:pgSz w:orient="portrait" w:w="11905.511811023622" w:h="16837.79527559055"/>
          <w:pgMar w:top="1440" w:right="1440" w:bottom="1440" w:left="1440" w:header="720" w:footer="720" w:gutter="0"/>
          <w:cols w:num="1" w:space="720"/>
        </w:sectPr>
      </w:pPr>
    </w:p>
    <w:bookmarkStart w:id="677" w:name="pg14411_143527"/>
    <w:bookmarkEnd w:id="677"/>
    <w:p>
      <w:pPr>
        <w:pStyle w:val="Heading6"/>
      </w:pPr>
      <w:bookmarkStart w:id="2339" w:name="_Toc1374"/>
      <w:r>
        <w:t>و أمّا القول فی المجاز</w:t>
      </w:r>
      <w:bookmarkEnd w:id="2339"/>
    </w:p>
    <w:p>
      <w:pPr>
        <w:pStyle w:val="Heading6"/>
      </w:pPr>
      <w:bookmarkStart w:id="2340" w:name="_Toc1375"/>
      <w:r>
        <w:t>اشارة</w:t>
      </w:r>
      <w:bookmarkEnd w:id="2340"/>
    </w:p>
    <w:p>
      <w:pPr>
        <w:pStyle w:val="BookText"/>
      </w:pPr>
      <w:r>
        <w:rPr>
          <w:rFonts w:ascii="IRNazanin" w:hAnsi="IRNazanin" w:eastAsia="IRNazanin" w:cs="IRNazanin"/>
          <w:lang w:bidi="fa-IR"/>
          <w:color w:val="111111"/>
          <w:sz w:val="28"/>
          <w:szCs w:val="28"/>
          <w:rtl/>
        </w:rPr>
        <w:t xml:space="preserve">فاستقصاؤه یکون ببیان أُمور:</w:t>
      </w:r>
    </w:p>
    <w:p>
      <w:pPr>
        <w:pStyle w:val="Heading6"/>
      </w:pPr>
      <w:bookmarkStart w:id="2341" w:name="_Toc1376"/>
      <w:r>
        <w:t>الأوّل : یشترط فیه کونه جامعاً لجمیع الشروط المعتبرة فی تأثیره عدا رضا المالک</w:t>
      </w:r>
      <w:bookmarkEnd w:id="2341"/>
    </w:p>
    <w:p>
      <w:pPr>
        <w:pStyle w:val="BookText"/>
      </w:pPr>
      <w:r>
        <w:rPr>
          <w:rFonts w:ascii="IRNazanin" w:hAnsi="IRNazanin" w:eastAsia="IRNazanin" w:cs="IRNazanin"/>
          <w:lang w:bidi="fa-IR"/>
          <w:color w:val="111111"/>
          <w:sz w:val="28"/>
          <w:szCs w:val="28"/>
          <w:rtl/>
        </w:rPr>
        <w:t xml:space="preserve">فلا یکفی اتّصاف المتعاقدین بصحّة الإنشاء،و لا إحراز سائر الشروط بالنسبة إلی الأصیل فقط علی الکشف؛للزومه علیه حینئذٍ </w:t>
      </w:r>
      <w:r>
        <w:rPr>
          <w:rStyle w:val="FootnoteReference"/>
        </w:rPr>
        <w:footnoteReference w:id="3749"/>
      </w:r>
      <w:r>
        <w:rPr>
          <w:rFonts w:ascii="IRNazanin" w:hAnsi="IRNazanin" w:eastAsia="IRNazanin" w:cs="IRNazanin"/>
          <w:lang w:bidi="fa-IR"/>
          <w:color w:val="111111"/>
          <w:sz w:val="28"/>
          <w:szCs w:val="28"/>
          <w:rtl/>
        </w:rPr>
        <w:t xml:space="preserve">،بل مطلقاً؛لتوقّف تأثیره الثابت-و لو علی القول بالنقل- علیها؛و ذلک لأنّ العقد إمّا تمام السبب أو جزؤه،و علی أیّ حال فیعتبر اجتماع الشروط عنده؛و لهذا لا یجوز الإیجاب فی حال جهل القابل بالعوضین،بل لو قلنا بجواز ذلک لم یلزم منه الجواز هنا؛لأنّ الإجازة علی القول بالنقل أشبه بالشرط،و لو سلّم کونها جزءاً فهو جزءٌ للمؤثِّر لا للعقد،فیکون جمیع ما دلّ من النصّ و الإجماع علی اعتبار الشروط فی البیع ظاهرة فی اعتبارها فی إنشاء النقل و الانتقال بالعقد.</w:t>
      </w:r>
    </w:p>
    <w:p>
      <w:pPr>
        <w:pStyle w:val="BookText"/>
      </w:pPr>
      <w:r>
        <w:rPr>
          <w:rFonts w:ascii="IRNazanin" w:hAnsi="IRNazanin" w:eastAsia="IRNazanin" w:cs="IRNazanin"/>
          <w:lang w:bidi="fa-IR"/>
          <w:color w:val="111111"/>
          <w:sz w:val="28"/>
          <w:szCs w:val="28"/>
          <w:rtl/>
        </w:rPr>
        <w:t xml:space="preserve">نعم،لو دلّ دلیل علی اعتبار شرطٍ فی ترتّب الأثر الشرعی علی العقد من غیر ظهور فی اعتباره فی أصل الإنشاء،أمکن القول بکفایة وجوده حین الإجازة،و لعلّ من هذا القبیل:القدرة علی التسلیم، و إسلام مشتری المُصحَفِ و العبدِ </w:t>
      </w:r>
      <w:r>
        <w:rPr>
          <w:rStyle w:val="FootnoteReference"/>
        </w:rPr>
        <w:footnoteReference w:id="3750"/>
      </w:r>
      <w:r>
        <w:rPr>
          <w:rFonts w:ascii="IRNazanin" w:hAnsi="IRNazanin" w:eastAsia="IRNazanin" w:cs="IRNazanin"/>
          <w:lang w:bidi="fa-IR"/>
          <w:color w:val="111111"/>
          <w:sz w:val="28"/>
          <w:szCs w:val="28"/>
          <w:rtl/>
        </w:rPr>
        <w:t xml:space="preserve">المسلم.</w:t>
      </w:r>
    </w:p>
    <w:p>
      <w:pPr>
        <w:pStyle w:val="BookText"/>
      </w:pPr>
      <w:r>
        <w:rPr>
          <w:rFonts w:ascii="IRNazanin" w:hAnsi="IRNazanin" w:eastAsia="IRNazanin" w:cs="IRNazanin"/>
          <w:lang w:bidi="fa-IR"/>
          <w:color w:val="111111"/>
          <w:sz w:val="28"/>
          <w:szCs w:val="28"/>
          <w:rtl/>
        </w:rPr>
        <w:t xml:space="preserve">ثمّ هل یشترط بقاء الشرائط المعتبرة حین العقد إلی زمان الإجازة،أم لا؟لا ینبغی الإشکال فی عدم اشتراط بقاء المتعاقدین</w:t>
      </w:r>
    </w:p>
    <w:p>
      <w:pPr>
        <w:pStyle w:val="BookText"/>
      </w:pPr>
      <w:r>
        <w:rPr>
          <w:rFonts w:ascii="IRNazanin" w:hAnsi="IRNazanin" w:eastAsia="IRNazanin" w:cs="IRNazanin"/>
          <w:lang w:bidi="fa-IR"/>
          <w:color w:val="111111"/>
          <w:sz w:val="28"/>
          <w:szCs w:val="28"/>
          <w:rtl/>
        </w:rPr>
        <w:t xml:space="preserve">[شماره صفحه واقعی : 467]
</w:t>
      </w:r>
    </w:p>
    <w:p>
      <w:pPr>
        <w:sectPr>
          <w:footerReference w:type="default" r:id="rId1146"/>
          <w:footnotePr>
            <w:numStart w:val="1"/>
            <w:numRestart w:val="eachPage"/>
          </w:footnotePr>
          <w:pgSz w:orient="portrait" w:w="11905.511811023622" w:h="16837.79527559055"/>
          <w:pgMar w:top="1440" w:right="1440" w:bottom="1440" w:left="1440" w:header="720" w:footer="720" w:gutter="0"/>
          <w:cols w:num="1" w:space="720"/>
        </w:sectPr>
      </w:pPr>
    </w:p>
    <w:bookmarkStart w:id="678" w:name="pg14411_143528"/>
    <w:bookmarkEnd w:id="678"/>
    <w:p>
      <w:pPr>
        <w:pStyle w:val="BookText"/>
      </w:pPr>
      <w:r>
        <w:rPr>
          <w:rFonts w:ascii="IRNazanin" w:hAnsi="IRNazanin" w:eastAsia="IRNazanin" w:cs="IRNazanin"/>
          <w:lang w:bidi="fa-IR"/>
          <w:color w:val="111111"/>
          <w:sz w:val="28"/>
          <w:szCs w:val="28"/>
          <w:rtl/>
        </w:rPr>
        <w:t xml:space="preserve">علی شروطهما </w:t>
      </w:r>
      <w:r>
        <w:rPr>
          <w:rStyle w:val="FootnoteReference"/>
        </w:rPr>
        <w:footnoteReference w:id="3751"/>
      </w:r>
      <w:r>
        <w:rPr>
          <w:rFonts w:ascii="IRNazanin" w:hAnsi="IRNazanin" w:eastAsia="IRNazanin" w:cs="IRNazanin"/>
          <w:lang w:bidi="fa-IR"/>
          <w:color w:val="111111"/>
          <w:sz w:val="28"/>
          <w:szCs w:val="28"/>
          <w:rtl/>
        </w:rPr>
        <w:t xml:space="preserve">حتّی علی القول بالنقل.نعم،علی القول بکونها بیعاً مستأنفاً یقوی الاشتراط.</w:t>
      </w:r>
    </w:p>
    <w:p>
      <w:pPr>
        <w:pStyle w:val="BookText"/>
      </w:pPr>
      <w:r>
        <w:rPr>
          <w:rFonts w:ascii="IRNazanin" w:hAnsi="IRNazanin" w:eastAsia="IRNazanin" w:cs="IRNazanin"/>
          <w:lang w:bidi="fa-IR"/>
          <w:color w:val="111111"/>
          <w:sz w:val="28"/>
          <w:szCs w:val="28"/>
          <w:rtl/>
        </w:rPr>
        <w:t xml:space="preserve">و أمّا شروط العوضین،فالظاهر اعتبارها بناءً علی النقل،و أمّا بناءً علی الکشف فوجهان،و اعتبارها علیه أیضاً غیر بعید.</w:t>
      </w:r>
    </w:p>
    <w:p>
      <w:pPr>
        <w:pStyle w:val="Heading6"/>
      </w:pPr>
      <w:bookmarkStart w:id="2342" w:name="_Toc1377"/>
      <w:r>
        <w:t>الثانی : هل یشترط فی المجاز کونه معلوماً للمجیز بالتفصیل</w:t>
      </w:r>
      <w:bookmarkEnd w:id="2342"/>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[*ستوده]</w:t>
      </w:r>
    </w:p>
    <w:p>
      <w:pPr>
        <w:pStyle w:val="BookText"/>
      </w:pPr>
      <w:r>
        <w:rPr>
          <w:rFonts w:ascii="IRNazanin" w:hAnsi="IRNazanin" w:eastAsia="IRNazanin" w:cs="IRNazanin"/>
          <w:lang w:bidi="fa-IR"/>
          <w:color w:val="111111"/>
          <w:sz w:val="28"/>
          <w:szCs w:val="28"/>
          <w:rtl/>
        </w:rPr>
        <w:t xml:space="preserve">-من تعیین العوضین،و تعیین نوع العقد من کونه بیعاً أو صلحاً،فضلاً عن جنسه من کونه نکاحاً لجاریته أو بیعاً لها-أم یکفی العلم الإجمالی بوقوع عقد قابل للإجازة؟وجهان:من کون الإجازة کالإذن السابق فیجوز تعلّقه بغیر المعیّن إلّا إذا بلغ حدّا لا یجوز معه التوکیل،و من أنّ الإجازة بحسب الحقیقة أحد رکنی العقد؛لأنّ المعاهدة الحقیقیة إنّما تحصل بین المالکین </w:t>
      </w:r>
      <w:r>
        <w:rPr>
          <w:rStyle w:val="FootnoteReference"/>
        </w:rPr>
        <w:footnoteReference w:id="3752"/>
      </w:r>
      <w:r>
        <w:rPr>
          <w:rFonts w:ascii="IRNazanin" w:hAnsi="IRNazanin" w:eastAsia="IRNazanin" w:cs="IRNazanin"/>
          <w:lang w:bidi="fa-IR"/>
          <w:color w:val="111111"/>
          <w:sz w:val="28"/>
          <w:szCs w:val="28"/>
          <w:rtl/>
        </w:rPr>
        <w:t xml:space="preserve">بعد الإجازة،فیشبه القبول مع عدم تعیین الإیجاب عند القابل.</w:t>
      </w:r>
    </w:p>
    <w:p>
      <w:pPr>
        <w:pStyle w:val="BookText"/>
      </w:pPr>
      <w:r>
        <w:rPr>
          <w:rFonts w:ascii="IRNazanin" w:hAnsi="IRNazanin" w:eastAsia="IRNazanin" w:cs="IRNazanin"/>
          <w:lang w:bidi="fa-IR"/>
          <w:color w:val="111111"/>
          <w:sz w:val="28"/>
          <w:szCs w:val="28"/>
          <w:rtl/>
        </w:rPr>
        <w:t xml:space="preserve">و من هنا یظهر قوّة احتمال اعتبار العلم بوقوع العقد،و لا یکفی مجرّد احتماله فیجیزه علی تقدیر وقوعه إذا انکشف وقوعه؛لأنّ الإجازة و إن لم تکن من العقود حتّی یشملها معاقد إجماعهم </w:t>
      </w:r>
      <w:r>
        <w:rPr>
          <w:rStyle w:val="FootnoteReference"/>
        </w:rPr>
        <w:footnoteReference w:id="3753"/>
      </w:r>
      <w:r>
        <w:rPr>
          <w:rFonts w:ascii="IRNazanin" w:hAnsi="IRNazanin" w:eastAsia="IRNazanin" w:cs="IRNazanin"/>
          <w:lang w:bidi="fa-IR"/>
          <w:color w:val="111111"/>
          <w:sz w:val="28"/>
          <w:szCs w:val="28"/>
          <w:rtl/>
        </w:rPr>
        <w:t xml:space="preserve">علی عدم جواز التعلیق فیها </w:t>
      </w:r>
      <w:r>
        <w:rPr>
          <w:rStyle w:val="FootnoteReference"/>
        </w:rPr>
        <w:footnoteReference w:id="3754"/>
      </w:r>
      <w:r>
        <w:rPr>
          <w:rFonts w:ascii="Amiri" w:hAnsi="Amiri" w:eastAsia="Amiri" w:cs="Amiri"/>
          <w:lang w:bidi="ar-SA"/>
          <w:color w:val="111111"/>
          <w:sz w:val="28"/>
          <w:szCs w:val="28"/>
          <w:rtl/>
        </w:rPr>
        <w:t xml:space="preserve">،إلّا أنّها فی معناها </w:t>
      </w:r>
      <w:r>
        <w:rPr>
          <w:rStyle w:val="FootnoteReference"/>
        </w:rPr>
        <w:footnoteReference w:id="3755"/>
      </w:r>
      <w:r>
        <w:rPr>
          <w:rFonts w:ascii="IRNazanin" w:hAnsi="IRNazanin" w:eastAsia="IRNazanin" w:cs="IRNazanin"/>
          <w:lang w:bidi="fa-IR"/>
          <w:color w:val="111111"/>
          <w:sz w:val="28"/>
          <w:szCs w:val="28"/>
          <w:rtl/>
        </w:rPr>
        <w:t xml:space="preserve">و لذا یخاطب المجیز بعدها بالوفاء</w:t>
      </w:r>
    </w:p>
    <w:p>
      <w:pPr>
        <w:pStyle w:val="BookText"/>
      </w:pPr>
      <w:r>
        <w:rPr>
          <w:rFonts w:ascii="IRNazanin" w:hAnsi="IRNazanin" w:eastAsia="IRNazanin" w:cs="IRNazanin"/>
          <w:lang w:bidi="fa-IR"/>
          <w:color w:val="111111"/>
          <w:sz w:val="28"/>
          <w:szCs w:val="28"/>
          <w:rtl/>
        </w:rPr>
        <w:t xml:space="preserve">[شماره صفحه واقعی : 468]
</w:t>
      </w:r>
    </w:p>
    <w:p>
      <w:pPr>
        <w:sectPr>
          <w:footerReference w:type="default" r:id="rId1147"/>
          <w:footnotePr>
            <w:numStart w:val="1"/>
            <w:numRestart w:val="eachPage"/>
          </w:footnotePr>
          <w:pgSz w:orient="portrait" w:w="11905.511811023622" w:h="16837.79527559055"/>
          <w:pgMar w:top="1440" w:right="1440" w:bottom="1440" w:left="1440" w:header="720" w:footer="720" w:gutter="0"/>
          <w:cols w:num="1" w:space="720"/>
        </w:sectPr>
      </w:pPr>
    </w:p>
    <w:bookmarkStart w:id="679" w:name="pg14411_143529"/>
    <w:bookmarkEnd w:id="679"/>
    <w:p>
      <w:pPr>
        <w:pStyle w:val="BookText"/>
      </w:pPr>
      <w:r>
        <w:rPr>
          <w:rFonts w:ascii="IRNazanin" w:hAnsi="IRNazanin" w:eastAsia="IRNazanin" w:cs="IRNazanin"/>
          <w:lang w:bidi="fa-IR"/>
          <w:color w:val="111111"/>
          <w:sz w:val="28"/>
          <w:szCs w:val="28"/>
          <w:rtl/>
        </w:rPr>
        <w:t xml:space="preserve">بالعقد السابق،مع أنّ الوفاء بالعقد السابق </w:t>
      </w:r>
      <w:r>
        <w:rPr>
          <w:rStyle w:val="FootnoteReference"/>
        </w:rPr>
        <w:footnoteReference w:id="3756"/>
      </w:r>
      <w:r>
        <w:rPr>
          <w:rFonts w:ascii="Amiri" w:hAnsi="Amiri" w:eastAsia="Amiri" w:cs="Amiri"/>
          <w:lang w:bidi="ar-SA"/>
          <w:color w:val="111111"/>
          <w:sz w:val="28"/>
          <w:szCs w:val="28"/>
          <w:rtl/>
        </w:rPr>
        <w:t xml:space="preserve">لا یکون إلّا فی حقّ العاقد،فتأمّل.</w:t>
      </w:r>
    </w:p>
    <w:p>
      <w:pPr>
        <w:pStyle w:val="Heading6"/>
      </w:pPr>
      <w:bookmarkStart w:id="2343" w:name="_Toc1378"/>
      <w:r>
        <w:t>الثالث : المجاز،إمّا العقد الواقع علی نفس مال الغیر،و إمّا العقد الواقع علی عوضه</w:t>
      </w:r>
      <w:bookmarkEnd w:id="2343"/>
    </w:p>
    <w:p>
      <w:pPr>
        <w:pStyle w:val="BookText"/>
      </w:pPr>
      <w:r>
        <w:rPr>
          <w:rFonts w:ascii="IRNazanin" w:hAnsi="IRNazanin" w:eastAsia="IRNazanin" w:cs="IRNazanin"/>
          <w:lang w:bidi="fa-IR"/>
          <w:color w:val="111111"/>
          <w:sz w:val="28"/>
          <w:szCs w:val="28"/>
          <w:rtl/>
        </w:rPr>
        <w:t xml:space="preserve">و علی کلّ منهما إمّا أن یکون المجاز أوّل عقد وقع علی المال أو عوضه،أو آخره،أو عقداً بین سابق و لاحق واقعین علی مورده،أو بدله،أو بالاختلاف.</w:t>
      </w:r>
    </w:p>
    <w:p>
      <w:pPr>
        <w:pStyle w:val="BookText"/>
      </w:pPr>
      <w:r>
        <w:rPr>
          <w:rFonts w:ascii="IRNazanin" w:hAnsi="IRNazanin" w:eastAsia="IRNazanin" w:cs="IRNazanin"/>
          <w:lang w:bidi="fa-IR"/>
          <w:color w:val="111111"/>
          <w:sz w:val="28"/>
          <w:szCs w:val="28"/>
          <w:rtl/>
        </w:rPr>
        <w:t xml:space="preserve">و یجمع </w:t>
      </w:r>
      <w:r>
        <w:rPr>
          <w:rStyle w:val="FootnoteReference"/>
        </w:rPr>
        <w:footnoteReference w:id="3757"/>
      </w:r>
      <w:r>
        <w:rPr>
          <w:rFonts w:ascii="IRNazanin" w:hAnsi="IRNazanin" w:eastAsia="IRNazanin" w:cs="IRNazanin"/>
          <w:lang w:bidi="fa-IR"/>
          <w:color w:val="111111"/>
          <w:sz w:val="28"/>
          <w:szCs w:val="28"/>
          <w:rtl/>
        </w:rPr>
        <w:t xml:space="preserve">الکلّ:فیما إذا باع عبداً لمالکٍ بفرس،ثمّ باعه المشتری بکتاب،ثمّ باعه الثالث بدینار،و باع البائع الفرس بدرهم،و باع الثالث الدینار بجاریة،و باع بائع الفرس الدرهم برغیف،ثمّ بیع الدرهم بحمار، و بیع الرغیف بعسل.</w:t>
      </w:r>
    </w:p>
    <w:p>
      <w:pPr>
        <w:pStyle w:val="BookText"/>
      </w:pPr>
      <w:r>
        <w:rPr>
          <w:rFonts w:ascii="IRNazanin" w:hAnsi="IRNazanin" w:eastAsia="IRNazanin" w:cs="IRNazanin"/>
          <w:lang w:bidi="fa-IR"/>
          <w:color w:val="111111"/>
          <w:sz w:val="28"/>
          <w:szCs w:val="28"/>
          <w:rtl/>
        </w:rPr>
        <w:t xml:space="preserve">أمّا إجازة العقد الواقع علی مال المالک-أعنی العبد بالکتاب- فهی ملزمة له و لما بعده ممّا وقع علی مورده-أعنی العبد بالدینار-بناءً علی الکشف،و أمّا بناءً علی النقل،فیبنی علی ما تقدّم من اعتبار ملک المجیز حین العقد و عدمه،و هی فسخ بالنسبة إلی ما قبله ممّا ورد علی مورده،أعنی بیع العبد بفرس بالنسبة إلی المجیز.</w:t>
      </w:r>
    </w:p>
    <w:p>
      <w:pPr>
        <w:pStyle w:val="BookText"/>
      </w:pPr>
      <w:r>
        <w:rPr>
          <w:rFonts w:ascii="IRNazanin" w:hAnsi="IRNazanin" w:eastAsia="IRNazanin" w:cs="IRNazanin"/>
          <w:lang w:bidi="fa-IR"/>
          <w:color w:val="111111"/>
          <w:sz w:val="28"/>
          <w:szCs w:val="28"/>
          <w:rtl/>
        </w:rPr>
        <w:t xml:space="preserve">أمّا بالنسبة إلی من ملک بالإجازة-و هو المشتری بالکتاب- فقابلیّته للإجازة مبنیّة علی مسألة اشتراط ملک المجیز حین العقد.</w:t>
      </w:r>
    </w:p>
    <w:p>
      <w:pPr>
        <w:pStyle w:val="BookText"/>
      </w:pPr>
      <w:r>
        <w:rPr>
          <w:rFonts w:ascii="IRNazanin" w:hAnsi="IRNazanin" w:eastAsia="IRNazanin" w:cs="IRNazanin"/>
          <w:lang w:bidi="fa-IR"/>
          <w:color w:val="111111"/>
          <w:sz w:val="28"/>
          <w:szCs w:val="28"/>
          <w:rtl/>
        </w:rPr>
        <w:t xml:space="preserve">هذا حال العقود السابقة و اللاحقة علی مورده،أعنی مال المجیز.</w:t>
      </w:r>
    </w:p>
    <w:p>
      <w:pPr>
        <w:pStyle w:val="BookText"/>
      </w:pPr>
      <w:r>
        <w:rPr>
          <w:rFonts w:ascii="IRNazanin" w:hAnsi="IRNazanin" w:eastAsia="IRNazanin" w:cs="IRNazanin"/>
          <w:lang w:bidi="fa-IR"/>
          <w:color w:val="111111"/>
          <w:sz w:val="28"/>
          <w:szCs w:val="28"/>
          <w:rtl/>
        </w:rPr>
        <w:t xml:space="preserve">[شماره صفحه واقعی : 469]
</w:t>
      </w:r>
    </w:p>
    <w:p>
      <w:pPr>
        <w:sectPr>
          <w:footerReference w:type="default" r:id="rId1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العقود الواقعة علی عوض مال المجیز:فالسابقة علی هذا العقد-و هو بیع الفرس بالدرهم-یتوقّف لزومها علی إجازة المالک الأصلی للعوض و هو الفرس </w:t>
      </w:r>
      <w:r>
        <w:rPr>
          <w:rStyle w:val="FootnoteReference"/>
        </w:rPr>
        <w:footnoteReference w:id="3758"/>
      </w:r>
      <w:r>
        <w:rPr>
          <w:rFonts w:ascii="IRNazanin" w:hAnsi="IRNazanin" w:eastAsia="IRNazanin" w:cs="IRNazanin"/>
          <w:lang w:bidi="fa-IR"/>
          <w:color w:val="111111"/>
          <w:sz w:val="28"/>
          <w:szCs w:val="28"/>
          <w:rtl/>
        </w:rPr>
        <w:t xml:space="preserve">،و اللاحقة له-أعنی بیع الدینار بجاریة- تلزم بلزوم هذا العقد.</w:t>
      </w:r>
    </w:p>
    <w:p>
      <w:pPr>
        <w:pStyle w:val="BookText"/>
      </w:pPr>
      <w:r>
        <w:rPr>
          <w:rFonts w:ascii="IRNazanin" w:hAnsi="IRNazanin" w:eastAsia="IRNazanin" w:cs="IRNazanin"/>
          <w:lang w:bidi="fa-IR"/>
          <w:color w:val="111111"/>
          <w:sz w:val="28"/>
          <w:szCs w:val="28"/>
          <w:rtl/>
        </w:rPr>
        <w:t xml:space="preserve">و أمّا إجازة العقد الواقع علی العوض </w:t>
      </w:r>
      <w:r>
        <w:rPr>
          <w:rStyle w:val="FootnoteReference"/>
        </w:rPr>
        <w:footnoteReference w:id="3759"/>
      </w:r>
      <w:r>
        <w:rPr>
          <w:rFonts w:ascii="IRNazanin" w:hAnsi="IRNazanin" w:eastAsia="IRNazanin" w:cs="IRNazanin"/>
          <w:lang w:bidi="fa-IR"/>
          <w:color w:val="111111"/>
          <w:sz w:val="28"/>
          <w:szCs w:val="28"/>
          <w:rtl/>
        </w:rPr>
        <w:t xml:space="preserve">-أعنی بیع الدرهم برغیف- فهی ملزمة للعقود السابقة علیه،سواء وقعت علی نفس مال المالک -أعنی بیع العبد بالفرس-أو علی </w:t>
      </w:r>
      <w:r>
        <w:rPr>
          <w:rStyle w:val="FootnoteReference"/>
        </w:rPr>
        <w:footnoteReference w:id="3760"/>
      </w:r>
      <w:r>
        <w:rPr>
          <w:rFonts w:ascii="IRNazanin" w:hAnsi="IRNazanin" w:eastAsia="IRNazanin" w:cs="IRNazanin"/>
          <w:lang w:bidi="fa-IR"/>
          <w:color w:val="111111"/>
          <w:sz w:val="28"/>
          <w:szCs w:val="28"/>
          <w:rtl/>
        </w:rPr>
        <w:t xml:space="preserve">عوضه و هو بیع الفرس بالدرهم، و للعقود اللاحقة له إذا وقعت علی المعوّض </w:t>
      </w:r>
      <w:r>
        <w:rPr>
          <w:rStyle w:val="FootnoteReference"/>
        </w:rPr>
        <w:footnoteReference w:id="3761"/>
      </w:r>
      <w:r>
        <w:rPr>
          <w:rFonts w:ascii="IRNazanin" w:hAnsi="IRNazanin" w:eastAsia="IRNazanin" w:cs="IRNazanin"/>
          <w:lang w:bidi="fa-IR"/>
          <w:color w:val="111111"/>
          <w:sz w:val="28"/>
          <w:szCs w:val="28"/>
          <w:rtl/>
        </w:rPr>
        <w:t xml:space="preserve">،و هو بیع الدرهم بالحمار.</w:t>
      </w:r>
    </w:p>
    <w:p>
      <w:pPr>
        <w:pStyle w:val="BookText"/>
      </w:pPr>
      <w:r>
        <w:rPr>
          <w:rFonts w:ascii="IRNazanin" w:hAnsi="IRNazanin" w:eastAsia="IRNazanin" w:cs="IRNazanin"/>
          <w:lang w:bidi="fa-IR"/>
          <w:color w:val="111111"/>
          <w:sz w:val="28"/>
          <w:szCs w:val="28"/>
          <w:rtl/>
        </w:rPr>
        <w:t xml:space="preserve">[*ستوده]</w:t>
      </w:r>
    </w:p>
    <w:p>
      <w:pPr>
        <w:pStyle w:val="BookText"/>
      </w:pPr>
      <w:r>
        <w:rPr>
          <w:rFonts w:ascii="IRNazanin" w:hAnsi="IRNazanin" w:eastAsia="IRNazanin" w:cs="IRNazanin"/>
          <w:lang w:bidi="fa-IR"/>
          <w:color w:val="111111"/>
          <w:sz w:val="28"/>
          <w:szCs w:val="28"/>
          <w:rtl/>
        </w:rPr>
        <w:t xml:space="preserve">أمّا الواقعة علی هذا البدل المجاز-أعنی بیع الرغیف بالعسل- فحکمها حکم العقود الواقعة علی المعوّض ابتداءً.</w:t>
      </w:r>
    </w:p>
    <w:p>
      <w:pPr>
        <w:pStyle w:val="BookText"/>
      </w:pPr>
      <w:r>
        <w:rPr>
          <w:rFonts w:ascii="Amiri" w:hAnsi="Amiri" w:eastAsia="Amiri" w:cs="Amiri"/>
          <w:lang w:bidi="ar-SA"/>
          <w:color w:val="111111"/>
          <w:sz w:val="28"/>
          <w:szCs w:val="28"/>
          <w:rtl/>
        </w:rPr>
        <w:t xml:space="preserve">و ملخّص ما ذکرنا:أنّه لو ترتّبت عقود متعدّدة </w:t>
      </w:r>
      <w:r>
        <w:rPr>
          <w:rStyle w:val="FootnoteReference"/>
        </w:rPr>
        <w:footnoteReference w:id="3762"/>
      </w:r>
      <w:r>
        <w:rPr>
          <w:rFonts w:ascii="Amiri" w:hAnsi="Amiri" w:eastAsia="Amiri" w:cs="Amiri"/>
          <w:lang w:bidi="ar-SA"/>
          <w:color w:val="111111"/>
          <w:sz w:val="28"/>
          <w:szCs w:val="28"/>
          <w:rtl/>
        </w:rPr>
        <w:t xml:space="preserve">مترتّبة </w:t>
      </w:r>
      <w:r>
        <w:rPr>
          <w:rStyle w:val="FootnoteReference"/>
        </w:rPr>
        <w:footnoteReference w:id="3763"/>
      </w:r>
      <w:r>
        <w:rPr>
          <w:rFonts w:ascii="IRNazanin" w:hAnsi="IRNazanin" w:eastAsia="IRNazanin" w:cs="IRNazanin"/>
          <w:lang w:bidi="fa-IR"/>
          <w:color w:val="111111"/>
          <w:sz w:val="28"/>
          <w:szCs w:val="28"/>
          <w:rtl/>
        </w:rPr>
        <w:t xml:space="preserve">علی مال المجیز،فإن وقعت من أشخاص متعدّدة کان إجازة وسط منها فسخاً لما قبله و إجازة لما بعده علی الکشف،و إن وقعت من شخص واحد انعکس الأمر.</w:t>
      </w:r>
    </w:p>
    <w:p>
      <w:pPr>
        <w:pStyle w:val="BookText"/>
      </w:pPr>
      <w:r>
        <w:rPr>
          <w:rFonts w:ascii="IRNazanin" w:hAnsi="IRNazanin" w:eastAsia="IRNazanin" w:cs="IRNazanin"/>
          <w:lang w:bidi="fa-IR"/>
          <w:color w:val="111111"/>
          <w:sz w:val="28"/>
          <w:szCs w:val="28"/>
          <w:rtl/>
        </w:rPr>
        <w:t xml:space="preserve">[شماره صفحه واقعی : 470]
</w:t>
      </w:r>
    </w:p>
    <w:p>
      <w:pPr>
        <w:sectPr>
          <w:footerReference w:type="default" r:id="rId1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لعلّ هذا هو المراد من المحکی عن الإیضاح </w:t>
      </w:r>
      <w:r>
        <w:rPr>
          <w:rStyle w:val="FootnoteReference"/>
        </w:rPr>
        <w:footnoteReference w:id="3764"/>
      </w:r>
      <w:r>
        <w:rPr>
          <w:rFonts w:ascii="IRNazanin" w:hAnsi="IRNazanin" w:eastAsia="IRNazanin" w:cs="IRNazanin"/>
          <w:lang w:bidi="fa-IR"/>
          <w:color w:val="111111"/>
          <w:sz w:val="28"/>
          <w:szCs w:val="28"/>
          <w:rtl/>
        </w:rPr>
        <w:t xml:space="preserve">و الدروس </w:t>
      </w:r>
      <w:r>
        <w:rPr>
          <w:rStyle w:val="FootnoteReference"/>
        </w:rPr>
        <w:footnoteReference w:id="3765"/>
      </w:r>
      <w:r>
        <w:rPr>
          <w:rFonts w:ascii="IRNazanin" w:hAnsi="IRNazanin" w:eastAsia="IRNazanin" w:cs="IRNazanin"/>
          <w:lang w:bidi="fa-IR"/>
          <w:color w:val="111111"/>
          <w:sz w:val="28"/>
          <w:szCs w:val="28"/>
          <w:rtl/>
        </w:rPr>
        <w:t xml:space="preserve">فی حکم ترتّب العقود:من أنّه إذا أجاز عقداً علی المبیع صحّ و ما بعده، و فی الثمن ینعکس؛فإنّ العقود المترتّبة علی المبیع لا یکون إلّا من أشخاص متعدّدة،و أمّا العقود المترتّبة علی الثمن،فلیس مرادهما أن یعقد علی الثمن الشخصی مراراً؛لأنّ حکم ذلک حکم العقود المترتّبة علی المبیع،علی ما سمعت سابقاً من </w:t>
      </w:r>
      <w:r>
        <w:rPr>
          <w:rStyle w:val="FootnoteReference"/>
        </w:rPr>
        <w:footnoteReference w:id="3766"/>
      </w:r>
      <w:r>
        <w:rPr>
          <w:rFonts w:ascii="IRNazanin" w:hAnsi="IRNazanin" w:eastAsia="IRNazanin" w:cs="IRNazanin"/>
          <w:lang w:bidi="fa-IR"/>
          <w:color w:val="111111"/>
          <w:sz w:val="28"/>
          <w:szCs w:val="28"/>
          <w:rtl/>
        </w:rPr>
        <w:t xml:space="preserve">قولنا:أمّا الواقعة علی هذا البدل المجاز...إلخ،بل مرادهما ترامی الأثمان فی العقود المتعدّدة،کما صرّح بذلک المحقّق و الشهید الثانیان </w:t>
      </w:r>
      <w:r>
        <w:rPr>
          <w:rStyle w:val="FootnoteReference"/>
        </w:rPr>
        <w:footnoteReference w:id="37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علم من ذلک أنّ مرادنا بما ذکرنا فی المقسم من العقد المجاز علی عوض مال الغیر،لیس العوض الشخصی الأوّل له،بل العوض و لو بواسطة.</w:t>
      </w:r>
    </w:p>
    <w:p>
      <w:pPr>
        <w:pStyle w:val="BookText"/>
      </w:pPr>
      <w:r>
        <w:rPr>
          <w:rFonts w:ascii="Amiri" w:hAnsi="Amiri" w:eastAsia="Amiri" w:cs="Amiri"/>
          <w:lang w:bidi="ar-SA"/>
          <w:color w:val="111111"/>
          <w:sz w:val="28"/>
          <w:szCs w:val="28"/>
          <w:rtl/>
        </w:rPr>
        <w:t xml:space="preserve">ثمّ إنّ هنا </w:t>
      </w:r>
      <w:r>
        <w:rPr>
          <w:rStyle w:val="FootnoteReference"/>
        </w:rPr>
        <w:footnoteReference w:id="3768"/>
      </w:r>
      <w:r>
        <w:rPr>
          <w:rFonts w:ascii="IRNazanin" w:hAnsi="IRNazanin" w:eastAsia="IRNazanin" w:cs="IRNazanin"/>
          <w:lang w:bidi="fa-IR"/>
          <w:color w:val="111111"/>
          <w:sz w:val="28"/>
          <w:szCs w:val="28"/>
          <w:rtl/>
        </w:rPr>
        <w:t xml:space="preserve">إشکالاً فی شمول الحکم بجواز تتبّع العقود لصورة علم المشتری بالغصب،أشار إلیه العلّامة رحمه اللّه فی القواعد </w:t>
      </w:r>
      <w:r>
        <w:rPr>
          <w:rStyle w:val="FootnoteReference"/>
        </w:rPr>
        <w:footnoteReference w:id="3769"/>
      </w:r>
      <w:r>
        <w:rPr>
          <w:rFonts w:ascii="IRNazanin" w:hAnsi="IRNazanin" w:eastAsia="IRNazanin" w:cs="IRNazanin"/>
          <w:lang w:bidi="fa-IR"/>
          <w:color w:val="111111"/>
          <w:sz w:val="28"/>
          <w:szCs w:val="28"/>
          <w:rtl/>
        </w:rPr>
        <w:t xml:space="preserve">،و أوضحه قطب الدین و الشهید فی الحواشی المنسوبة إلیه.</w:t>
      </w:r>
    </w:p>
    <w:p>
      <w:pPr>
        <w:pStyle w:val="BookText"/>
      </w:pPr>
      <w:r>
        <w:rPr>
          <w:rFonts w:ascii="IRNazanin" w:hAnsi="IRNazanin" w:eastAsia="IRNazanin" w:cs="IRNazanin"/>
          <w:lang w:bidi="fa-IR"/>
          <w:color w:val="111111"/>
          <w:sz w:val="28"/>
          <w:szCs w:val="28"/>
          <w:rtl/>
        </w:rPr>
        <w:t xml:space="preserve">[شماره صفحه واقعی : 471]
</w:t>
      </w:r>
    </w:p>
    <w:p>
      <w:pPr>
        <w:sectPr>
          <w:footerReference w:type="default" r:id="rId1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الأوّل فیما حکی عنه:إنّ وجه الإشکال أنّ المشتری مع العلم یکون مسلِّطاً للبائع الغاصب علی الثمن؛و لذا لو تلف لم یکن له الرجوع،و لو بقی ففیه الوجهان،فلا ینفذ فیه إجازة الغیر بعد تلفه بفعل المسلط بدفعه ثمناً عن مبیع اشتراه،و من أنّ الثمن عوض عن العین المملوکة و لم یمنع من نفوذ الملک فیه إلّا عدم صدوره عن المالک، فإذا أجاز جری مجری الصادر عنه </w:t>
      </w:r>
      <w:r>
        <w:rPr>
          <w:rStyle w:val="FootnoteReference"/>
        </w:rPr>
        <w:footnoteReference w:id="3770"/>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قال فی محکیّ الحواشی:إنّ المشتری مع علمه بالغصب یکون مسلِّطاً للبائع الغاصب علی الثمن،فلا یدخل فی ملک ربّ العین،فحینئذٍ إذا اشتری به البائع متاعاً فقد اشتراه لنفسه و أتلفه عند الدفع إلی البائع فیتحقّق ملکیّته للمبیع،فلا یتصوّر نفوذ الإجازة هنا </w:t>
      </w:r>
      <w:r>
        <w:rPr>
          <w:rStyle w:val="FootnoteReference"/>
        </w:rPr>
        <w:footnoteReference w:id="3771"/>
      </w:r>
      <w:r>
        <w:rPr>
          <w:rFonts w:ascii="IRNazanin" w:hAnsi="IRNazanin" w:eastAsia="IRNazanin" w:cs="IRNazanin"/>
          <w:lang w:bidi="fa-IR"/>
          <w:color w:val="111111"/>
          <w:sz w:val="28"/>
          <w:szCs w:val="28"/>
          <w:rtl/>
        </w:rPr>
        <w:t xml:space="preserve">لصیرورته ملکاً للبائع و إن أمکن إجازة البیع </w:t>
      </w:r>
      <w:r>
        <w:rPr>
          <w:rStyle w:val="FootnoteReference"/>
        </w:rPr>
        <w:footnoteReference w:id="3772"/>
      </w:r>
      <w:r>
        <w:rPr>
          <w:rFonts w:ascii="IRNazanin" w:hAnsi="IRNazanin" w:eastAsia="IRNazanin" w:cs="IRNazanin"/>
          <w:lang w:bidi="fa-IR"/>
          <w:color w:val="111111"/>
          <w:sz w:val="28"/>
          <w:szCs w:val="28"/>
          <w:rtl/>
        </w:rPr>
        <w:t xml:space="preserve">،مع احتمال عدم نفوذها أیضاً؛ لأنّ ما دفعه إلی الغاصب کالمأذون له فی إتلافه فلا یکون ثمناً، فلا تؤثّر الإجازة فی جعله ثمناً،فصار الإشکال فی صحّة البیع و فی التتبّع،ثمّ قال:إنّه یلزم من القول ببطلان التتبّع </w:t>
      </w:r>
      <w:r>
        <w:rPr>
          <w:rStyle w:val="FootnoteReference"/>
        </w:rPr>
        <w:footnoteReference w:id="3773"/>
      </w:r>
      <w:r>
        <w:rPr>
          <w:rFonts w:ascii="IRNazanin" w:hAnsi="IRNazanin" w:eastAsia="IRNazanin" w:cs="IRNazanin"/>
          <w:lang w:bidi="fa-IR"/>
          <w:color w:val="111111"/>
          <w:sz w:val="28"/>
          <w:szCs w:val="28"/>
          <w:rtl/>
        </w:rPr>
        <w:t xml:space="preserve">بطلان إجازة البیع فی المبیع؛لاستحالة کون المبیع بلا ثمن،فإذا قیل:إنّ الإشکال فی صحّة</w:t>
      </w:r>
    </w:p>
    <w:p>
      <w:pPr>
        <w:pStyle w:val="BookText"/>
      </w:pPr>
      <w:r>
        <w:rPr>
          <w:rFonts w:ascii="IRNazanin" w:hAnsi="IRNazanin" w:eastAsia="IRNazanin" w:cs="IRNazanin"/>
          <w:lang w:bidi="fa-IR"/>
          <w:color w:val="111111"/>
          <w:sz w:val="28"/>
          <w:szCs w:val="28"/>
          <w:rtl/>
        </w:rPr>
        <w:t xml:space="preserve">[شماره صفحه واقعی : 472]
</w:t>
      </w:r>
    </w:p>
    <w:p>
      <w:pPr>
        <w:sectPr>
          <w:footerReference w:type="default" r:id="rId1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العقد کان صحیحاً أیضاً </w:t>
      </w:r>
      <w:r>
        <w:rPr>
          <w:rStyle w:val="FootnoteReference"/>
        </w:rPr>
        <w:footnoteReference w:id="3774"/>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اقتصر فی جامع المقاصد </w:t>
      </w:r>
      <w:r>
        <w:rPr>
          <w:rStyle w:val="FootnoteReference"/>
        </w:rPr>
        <w:footnoteReference w:id="3775"/>
      </w:r>
      <w:r>
        <w:rPr>
          <w:rFonts w:ascii="IRNazanin" w:hAnsi="IRNazanin" w:eastAsia="IRNazanin" w:cs="IRNazanin"/>
          <w:lang w:bidi="fa-IR"/>
          <w:color w:val="111111"/>
          <w:sz w:val="28"/>
          <w:szCs w:val="28"/>
          <w:rtl/>
        </w:rPr>
        <w:t xml:space="preserve">علی ما ذکره الشهید أخیراً فی وجه سرایة هذا الإشکال إلی صحّة عقد الفضولی مع علم المشتری بالغصب.</w:t>
      </w:r>
    </w:p>
    <w:p>
      <w:pPr>
        <w:pStyle w:val="BookText"/>
      </w:pPr>
      <w:r>
        <w:rPr>
          <w:rFonts w:ascii="IRNazanin" w:hAnsi="IRNazanin" w:eastAsia="IRNazanin" w:cs="IRNazanin"/>
          <w:lang w:bidi="fa-IR"/>
          <w:color w:val="111111"/>
          <w:sz w:val="28"/>
          <w:szCs w:val="28"/>
          <w:rtl/>
        </w:rPr>
        <w:t xml:space="preserve">و المحکیّ عن الإیضاح:ابتناء وجه بطلان جواز تتبّع العقود للمالک مع علم المشتری علی کون الإجازة ناقلة،فیکون منشأ الإشکال فی الجواز و العدم:الإشکال فی الکشف و النقل.</w:t>
      </w:r>
    </w:p>
    <w:p>
      <w:pPr>
        <w:pStyle w:val="BookText"/>
      </w:pPr>
      <w:r>
        <w:rPr>
          <w:rFonts w:ascii="IRNazanin" w:hAnsi="IRNazanin" w:eastAsia="IRNazanin" w:cs="IRNazanin"/>
          <w:lang w:bidi="fa-IR"/>
          <w:color w:val="111111"/>
          <w:sz w:val="28"/>
          <w:szCs w:val="28"/>
          <w:rtl/>
        </w:rPr>
        <w:t xml:space="preserve">قال فی محکیّ الإیضاح:إذا کان المشتری جاهلاً فللمالک تتبّع العقود و رعایة مصلحته و الربح فی سلسلتی الثمن و المثمن،و أمّا إذا کان عالماً بالغصب فعلی قول الأصحاب من أنّ المشتری إذا رجع علیه بالسلعة لا یرجع علی الغاصب بالثمن مع وجود عینه،فیکون قد ملّک الغاصب مجّاناً؛لأنّه بالتسلیم إلی الغاصب لیس للمشتری استعادته من الغاصب بنصّ الأصحاب،و المالک قبل الإجازة لم یملک الثمن؛لأنّ الحقّ أنّ الإجازة شرط أو سبب،فلو لم یکن للغاصب فیکون </w:t>
      </w:r>
      <w:r>
        <w:rPr>
          <w:rStyle w:val="FootnoteReference"/>
        </w:rPr>
        <w:footnoteReference w:id="3776"/>
      </w:r>
      <w:r>
        <w:rPr>
          <w:rFonts w:ascii="IRNazanin" w:hAnsi="IRNazanin" w:eastAsia="IRNazanin" w:cs="IRNazanin"/>
          <w:lang w:bidi="fa-IR"/>
          <w:color w:val="111111"/>
          <w:sz w:val="28"/>
          <w:szCs w:val="28"/>
          <w:rtl/>
        </w:rPr>
        <w:t xml:space="preserve">الملک بغیر مالک،و هو محال،فیکون قد سبق ملک الغاصب للثمن علی سبب ملک المالک له-أی الإجازة-فإذا نقل الغاصب الثمن عن ملکه لم یکن للمالک إبطاله،و یکون ما یشتری الغاصب بالثمن و ربحه له،و لیس للمالک أخذه لأنّه ملک الغاصب.</w:t>
      </w:r>
    </w:p>
    <w:p>
      <w:pPr>
        <w:pStyle w:val="BookText"/>
      </w:pPr>
      <w:r>
        <w:rPr>
          <w:rFonts w:ascii="IRNazanin" w:hAnsi="IRNazanin" w:eastAsia="IRNazanin" w:cs="IRNazanin"/>
          <w:lang w:bidi="fa-IR"/>
          <w:color w:val="111111"/>
          <w:sz w:val="28"/>
          <w:szCs w:val="28"/>
          <w:rtl/>
        </w:rPr>
        <w:t xml:space="preserve">[*ستوده]</w:t>
      </w:r>
    </w:p>
    <w:p>
      <w:pPr>
        <w:pStyle w:val="BookText"/>
      </w:pPr>
      <w:r>
        <w:rPr>
          <w:rFonts w:ascii="IRNazanin" w:hAnsi="IRNazanin" w:eastAsia="IRNazanin" w:cs="IRNazanin"/>
          <w:lang w:bidi="fa-IR"/>
          <w:color w:val="111111"/>
          <w:sz w:val="28"/>
          <w:szCs w:val="28"/>
          <w:rtl/>
        </w:rPr>
        <w:t xml:space="preserve">و علی القول بأنّ إجازة المالک کاشفة،فإذا أجاز العقد کان له،و یحتمل أن یقال:لمالک العین حقٌّ تعلّق بالثمن،فإنّ</w:t>
      </w:r>
    </w:p>
    <w:p>
      <w:pPr>
        <w:pStyle w:val="BookText"/>
      </w:pPr>
      <w:r>
        <w:rPr>
          <w:rFonts w:ascii="IRNazanin" w:hAnsi="IRNazanin" w:eastAsia="IRNazanin" w:cs="IRNazanin"/>
          <w:lang w:bidi="fa-IR"/>
          <w:color w:val="111111"/>
          <w:sz w:val="28"/>
          <w:szCs w:val="28"/>
          <w:rtl/>
        </w:rPr>
        <w:t xml:space="preserve">[شماره صفحه واقعی : 473]
</w:t>
      </w:r>
    </w:p>
    <w:p>
      <w:pPr>
        <w:sectPr>
          <w:footerReference w:type="default" r:id="rId1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 إجازة البیع و أخذ الثمن،و حقّه مقدّم علی حقّ الغاصب،لأنّ الغاصب یؤخذ بأخسّ أحواله و أشقّها علیه </w:t>
      </w:r>
      <w:r>
        <w:rPr>
          <w:rStyle w:val="FootnoteReference"/>
        </w:rPr>
        <w:footnoteReference w:id="3777"/>
      </w:r>
      <w:r>
        <w:rPr>
          <w:rFonts w:ascii="IRNazanin" w:hAnsi="IRNazanin" w:eastAsia="IRNazanin" w:cs="IRNazanin"/>
          <w:lang w:bidi="fa-IR"/>
          <w:color w:val="111111"/>
          <w:sz w:val="28"/>
          <w:szCs w:val="28"/>
          <w:rtl/>
        </w:rPr>
        <w:t xml:space="preserve">،و المالک بأجود </w:t>
      </w:r>
      <w:r>
        <w:rPr>
          <w:rStyle w:val="FootnoteReference"/>
        </w:rPr>
        <w:footnoteReference w:id="3778"/>
      </w:r>
      <w:r>
        <w:rPr>
          <w:rFonts w:ascii="Amiri" w:hAnsi="Amiri" w:eastAsia="Amiri" w:cs="Amiri"/>
          <w:lang w:bidi="ar-SA"/>
          <w:color w:val="111111"/>
          <w:sz w:val="28"/>
          <w:szCs w:val="28"/>
          <w:rtl/>
        </w:rPr>
        <w:t xml:space="preserve">الأحوال، ثمّ قال:و الأصحّ عندی[أنّه </w:t>
      </w:r>
      <w:r>
        <w:rPr>
          <w:rStyle w:val="FootnoteReference"/>
        </w:rPr>
        <w:footnoteReference w:id="3779"/>
      </w:r>
      <w:r>
        <w:rPr>
          <w:rFonts w:ascii="IRNazanin" w:hAnsi="IRNazanin" w:eastAsia="IRNazanin" w:cs="IRNazanin"/>
          <w:lang w:bidi="fa-IR"/>
          <w:color w:val="111111"/>
          <w:sz w:val="28"/>
          <w:szCs w:val="28"/>
          <w:rtl/>
        </w:rPr>
        <w:t xml:space="preserve">]مع وجود عین الثمن،للمشتری العالم أخذه،و مع التلف لیس له الرجوع به </w:t>
      </w:r>
      <w:r>
        <w:rPr>
          <w:rStyle w:val="FootnoteReference"/>
        </w:rPr>
        <w:footnoteReference w:id="3780"/>
      </w:r>
      <w:r>
        <w:rPr>
          <w:rFonts w:ascii="IRNazanin" w:hAnsi="IRNazanin" w:eastAsia="IRNazanin" w:cs="IRNazanin"/>
          <w:lang w:bidi="fa-IR"/>
          <w:color w:val="111111"/>
          <w:sz w:val="28"/>
          <w:szCs w:val="28"/>
          <w:rtl/>
        </w:rPr>
        <w:t xml:space="preserve">.انتهی کلامه رحمه اللّه.</w:t>
      </w:r>
    </w:p>
    <w:p>
      <w:pPr>
        <w:pStyle w:val="BookText"/>
      </w:pPr>
      <w:r>
        <w:rPr>
          <w:rFonts w:ascii="IRNazanin" w:hAnsi="IRNazanin" w:eastAsia="IRNazanin" w:cs="IRNazanin"/>
          <w:lang w:bidi="fa-IR"/>
          <w:color w:val="111111"/>
          <w:sz w:val="28"/>
          <w:szCs w:val="28"/>
          <w:rtl/>
        </w:rPr>
        <w:t xml:space="preserve">و ظاهر کلامه رحمه اللّه:أنّه لا وقع للإشکال علی تقدیر الکشف، و هذا هو المتّجه؛إذ حینئذٍ یندفع ما استشکله القطب و الشهید رحمهما اللّه:</w:t>
      </w:r>
    </w:p>
    <w:p>
      <w:pPr>
        <w:pStyle w:val="BookText"/>
      </w:pPr>
      <w:r>
        <w:rPr>
          <w:rFonts w:ascii="IRNazanin" w:hAnsi="IRNazanin" w:eastAsia="IRNazanin" w:cs="IRNazanin"/>
          <w:lang w:bidi="fa-IR"/>
          <w:color w:val="111111"/>
          <w:sz w:val="28"/>
          <w:szCs w:val="28"/>
          <w:rtl/>
        </w:rPr>
        <w:t xml:space="preserve">بأنّ تسلیط المشتری للبائع علی الثمن علی تقدیر الکشف تسلیطٌ علی ما ملکه </w:t>
      </w:r>
      <w:r>
        <w:rPr>
          <w:rStyle w:val="FootnoteReference"/>
        </w:rPr>
        <w:footnoteReference w:id="3781"/>
      </w:r>
      <w:r>
        <w:rPr>
          <w:rFonts w:ascii="IRNazanin" w:hAnsi="IRNazanin" w:eastAsia="IRNazanin" w:cs="IRNazanin"/>
          <w:lang w:bidi="fa-IR"/>
          <w:color w:val="111111"/>
          <w:sz w:val="28"/>
          <w:szCs w:val="28"/>
          <w:rtl/>
        </w:rPr>
        <w:t xml:space="preserve">الغیر بالعقد السابق علی التسلیط الحاصل بالإقباض،فإذا انکشف ذلک بالإجازة عمل مقتضاه </w:t>
      </w:r>
      <w:r>
        <w:rPr>
          <w:rStyle w:val="FootnoteReference"/>
        </w:rPr>
        <w:footnoteReference w:id="3782"/>
      </w:r>
      <w:r>
        <w:rPr>
          <w:rFonts w:ascii="IRNazanin" w:hAnsi="IRNazanin" w:eastAsia="IRNazanin" w:cs="IRNazanin"/>
          <w:lang w:bidi="fa-IR"/>
          <w:color w:val="111111"/>
          <w:sz w:val="28"/>
          <w:szCs w:val="28"/>
          <w:rtl/>
        </w:rPr>
        <w:t xml:space="preserve">،و إذا تحقّق الردّ انکشف کون ذلک تسلیطاً من المشتری علی ماله،فلیس له أن یستردّه؛بناءً علی ما نقل من الأصحاب.</w:t>
      </w:r>
    </w:p>
    <w:p>
      <w:pPr>
        <w:pStyle w:val="BookText"/>
      </w:pPr>
      <w:r>
        <w:rPr>
          <w:rFonts w:ascii="IRNazanin" w:hAnsi="IRNazanin" w:eastAsia="IRNazanin" w:cs="IRNazanin"/>
          <w:lang w:bidi="fa-IR"/>
          <w:color w:val="111111"/>
          <w:sz w:val="28"/>
          <w:szCs w:val="28"/>
          <w:rtl/>
        </w:rPr>
        <w:t xml:space="preserve">نعم،علی القول بالنقل یقع الإشکال فی جواز إجازة العقد الواقع علی الثمن؛لأنّ إجازة مالک </w:t>
      </w:r>
      <w:r>
        <w:rPr>
          <w:rStyle w:val="FootnoteReference"/>
        </w:rPr>
        <w:footnoteReference w:id="3783"/>
      </w:r>
      <w:r>
        <w:rPr>
          <w:rFonts w:ascii="IRNazanin" w:hAnsi="IRNazanin" w:eastAsia="IRNazanin" w:cs="IRNazanin"/>
          <w:lang w:bidi="fa-IR"/>
          <w:color w:val="111111"/>
          <w:sz w:val="28"/>
          <w:szCs w:val="28"/>
          <w:rtl/>
        </w:rPr>
        <w:t xml:space="preserve">المبیع له موقوفة علی تملّکه للثمن؛لأنّه</w:t>
      </w:r>
    </w:p>
    <w:p>
      <w:pPr>
        <w:pStyle w:val="BookText"/>
      </w:pPr>
      <w:r>
        <w:rPr>
          <w:rFonts w:ascii="IRNazanin" w:hAnsi="IRNazanin" w:eastAsia="IRNazanin" w:cs="IRNazanin"/>
          <w:lang w:bidi="fa-IR"/>
          <w:color w:val="111111"/>
          <w:sz w:val="28"/>
          <w:szCs w:val="28"/>
          <w:rtl/>
        </w:rPr>
        <w:t xml:space="preserve">[شماره صفحه واقعی : 474]
</w:t>
      </w:r>
    </w:p>
    <w:p>
      <w:pPr>
        <w:sectPr>
          <w:footerReference w:type="default" r:id="rId1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قبلها أجنبیّ عنه،و المفروض أنّ تملّکه الثمن موقوف علی الإجازة علی القول بالنقل.و کذا الإشکال فی إجازة العقد الواقع علی المبیع بعد قبض البائع الثمن أو بعد إتلافه إیّاه علی الخلاف فی اختصاص عدم رجوع المشتری علی </w:t>
      </w:r>
      <w:r>
        <w:rPr>
          <w:rStyle w:val="FootnoteReference"/>
        </w:rPr>
        <w:footnoteReference w:id="3784"/>
      </w:r>
      <w:r>
        <w:rPr>
          <w:rFonts w:ascii="IRNazanin" w:hAnsi="IRNazanin" w:eastAsia="IRNazanin" w:cs="IRNazanin"/>
          <w:lang w:bidi="fa-IR"/>
          <w:color w:val="111111"/>
          <w:sz w:val="28"/>
          <w:szCs w:val="28"/>
          <w:rtl/>
        </w:rPr>
        <w:t xml:space="preserve">الثمن بصورة التلف و عدمه؛لأنّ تسلیط المشتری للبائع علی الثمن قبل انتقاله إلی </w:t>
      </w:r>
      <w:r>
        <w:rPr>
          <w:rStyle w:val="FootnoteReference"/>
        </w:rPr>
        <w:footnoteReference w:id="3785"/>
      </w:r>
      <w:r>
        <w:rPr>
          <w:rFonts w:ascii="IRNazanin" w:hAnsi="IRNazanin" w:eastAsia="IRNazanin" w:cs="IRNazanin"/>
          <w:lang w:bidi="fa-IR"/>
          <w:color w:val="111111"/>
          <w:sz w:val="28"/>
          <w:szCs w:val="28"/>
          <w:rtl/>
        </w:rPr>
        <w:t xml:space="preserve">مالک المبیع بالإجازة،فلا یبقی مورد للإجازة.</w:t>
      </w:r>
    </w:p>
    <w:p>
      <w:pPr>
        <w:pStyle w:val="BookText"/>
      </w:pPr>
      <w:r>
        <w:rPr>
          <w:rFonts w:ascii="IRNazanin" w:hAnsi="IRNazanin" w:eastAsia="IRNazanin" w:cs="IRNazanin"/>
          <w:lang w:bidi="fa-IR"/>
          <w:color w:val="111111"/>
          <w:sz w:val="28"/>
          <w:szCs w:val="28"/>
          <w:rtl/>
        </w:rPr>
        <w:t xml:space="preserve">و ما ذکره فی الإیضاح:من احتمال تقدیم حقّ المجیز لأنّه أسبق و أنّه أولی من الغاصب المأخوذ بأشقّ الأحوال </w:t>
      </w:r>
      <w:r>
        <w:rPr>
          <w:rStyle w:val="FootnoteReference"/>
        </w:rPr>
        <w:footnoteReference w:id="3786"/>
      </w:r>
      <w:r>
        <w:rPr>
          <w:rFonts w:ascii="IRNazanin" w:hAnsi="IRNazanin" w:eastAsia="IRNazanin" w:cs="IRNazanin"/>
          <w:lang w:bidi="fa-IR"/>
          <w:color w:val="111111"/>
          <w:sz w:val="28"/>
          <w:szCs w:val="28"/>
          <w:rtl/>
        </w:rPr>
        <w:t xml:space="preserve">،فلم یعلم له </w:t>
      </w:r>
      <w:r>
        <w:rPr>
          <w:rStyle w:val="FootnoteReference"/>
        </w:rPr>
        <w:footnoteReference w:id="3787"/>
      </w:r>
      <w:r>
        <w:rPr>
          <w:rFonts w:ascii="IRNazanin" w:hAnsi="IRNazanin" w:eastAsia="IRNazanin" w:cs="IRNazanin"/>
          <w:lang w:bidi="fa-IR"/>
          <w:color w:val="111111"/>
          <w:sz w:val="28"/>
          <w:szCs w:val="28"/>
          <w:rtl/>
        </w:rPr>
        <w:t xml:space="preserve">وجه بناءً علی النقل؛لأنّ العقد جزء سبب لتملّک المجیز،و التسلیط </w:t>
      </w:r>
      <w:r>
        <w:rPr>
          <w:rStyle w:val="FootnoteReference"/>
        </w:rPr>
        <w:footnoteReference w:id="3788"/>
      </w:r>
      <w:r>
        <w:rPr>
          <w:rFonts w:ascii="IRNazanin" w:hAnsi="IRNazanin" w:eastAsia="IRNazanin" w:cs="IRNazanin"/>
          <w:lang w:bidi="fa-IR"/>
          <w:color w:val="111111"/>
          <w:sz w:val="28"/>
          <w:szCs w:val="28"/>
          <w:rtl/>
        </w:rPr>
        <w:t xml:space="preserve">المتأخّر عنه علّة تامّة لتملّک الغاصب،فکیف یکون حقّ المجیز أسبق؟ نعم،یمکن أن یقال:إنّ حکم الأصحاب بعدم استرداد الثمن،لعلّه لأجل التسلیط </w:t>
      </w:r>
      <w:r>
        <w:rPr>
          <w:rStyle w:val="FootnoteReference"/>
        </w:rPr>
        <w:footnoteReference w:id="3789"/>
      </w:r>
      <w:r>
        <w:rPr>
          <w:rFonts w:ascii="IRNazanin" w:hAnsi="IRNazanin" w:eastAsia="IRNazanin" w:cs="IRNazanin"/>
          <w:lang w:bidi="fa-IR"/>
          <w:color w:val="111111"/>
          <w:sz w:val="28"/>
          <w:szCs w:val="28"/>
          <w:rtl/>
        </w:rPr>
        <w:t xml:space="preserve">المراعی بعدم إجازة مالک المبیع،لا لأنّ نفس التسلیط </w:t>
      </w:r>
      <w:r>
        <w:rPr>
          <w:rStyle w:val="FootnoteReference"/>
        </w:rPr>
        <w:footnoteReference w:id="3790"/>
      </w:r>
      <w:r>
        <w:rPr>
          <w:rFonts w:ascii="IRNazanin" w:hAnsi="IRNazanin" w:eastAsia="IRNazanin" w:cs="IRNazanin"/>
          <w:lang w:bidi="fa-IR"/>
          <w:color w:val="111111"/>
          <w:sz w:val="28"/>
          <w:szCs w:val="28"/>
          <w:rtl/>
        </w:rPr>
        <w:t xml:space="preserve">علّة تامّة لاستحقاق الغاصب علی تقدیری الردّ و الإجازة، و حیث إنّ حکمهم هذا مخالف للقواعد الدالّة علی عدم حصول الانتقال</w:t>
      </w:r>
    </w:p>
    <w:p>
      <w:pPr>
        <w:pStyle w:val="BookText"/>
      </w:pPr>
      <w:r>
        <w:rPr>
          <w:rFonts w:ascii="IRNazanin" w:hAnsi="IRNazanin" w:eastAsia="IRNazanin" w:cs="IRNazanin"/>
          <w:lang w:bidi="fa-IR"/>
          <w:color w:val="111111"/>
          <w:sz w:val="28"/>
          <w:szCs w:val="28"/>
          <w:rtl/>
        </w:rPr>
        <w:t xml:space="preserve">[شماره صفحه واقعی : 475]
</w:t>
      </w:r>
    </w:p>
    <w:p>
      <w:pPr>
        <w:sectPr>
          <w:footerReference w:type="default" r:id="rId1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بمجرّد التسلیط المتفرّع علی عقد فاسد،وجب الاقتصار فیه علی المتیقّن،و هو التسلیط علی تقدیر عدم الإجازة،فافهم.</w:t>
      </w:r>
    </w:p>
    <w:p>
      <w:pPr>
        <w:pStyle w:val="BookText"/>
      </w:pPr>
      <w:r>
        <w:rPr>
          <w:rFonts w:ascii="IRNazanin" w:hAnsi="IRNazanin" w:eastAsia="IRNazanin" w:cs="IRNazanin"/>
          <w:lang w:bidi="fa-IR"/>
          <w:color w:val="111111"/>
          <w:sz w:val="28"/>
          <w:szCs w:val="28"/>
          <w:rtl/>
        </w:rPr>
        <w:t xml:space="preserve">[شماره صفحه واقعی : 476]
</w:t>
      </w:r>
    </w:p>
    <w:p>
      <w:pPr>
        <w:sectPr>
          <w:footerReference w:type="default" r:id="rId1155"/>
          <w:footnotePr>
            <w:numStart w:val="1"/>
            <w:numRestart w:val="eachPage"/>
          </w:footnotePr>
          <w:pgSz w:orient="portrait" w:w="11905.511811023622" w:h="16837.79527559055"/>
          <w:pgMar w:top="1440" w:right="1440" w:bottom="1440" w:left="1440" w:header="720" w:footer="720" w:gutter="0"/>
          <w:cols w:num="1" w:space="720"/>
        </w:sectPr>
      </w:pPr>
    </w:p>
    <w:bookmarkStart w:id="680" w:name="pg14411_143537"/>
    <w:bookmarkEnd w:id="680"/>
    <w:p>
      <w:pPr>
        <w:pStyle w:val="Heading6"/>
      </w:pPr>
      <w:bookmarkStart w:id="2344" w:name="_Toc1379"/>
      <w:r>
        <w:t>مسألة فی أحکام الردّ</w:t>
      </w:r>
      <w:bookmarkEnd w:id="2344"/>
    </w:p>
    <w:p>
      <w:pPr>
        <w:pStyle w:val="Heading6"/>
      </w:pPr>
      <w:bookmarkStart w:id="2345" w:name="_Toc1380"/>
      <w:r>
        <w:t>[ما یتحقق به الرد]</w:t>
      </w:r>
      <w:bookmarkEnd w:id="2345"/>
    </w:p>
    <w:p>
      <w:pPr>
        <w:pStyle w:val="BookText"/>
      </w:pPr>
      <w:r>
        <w:rPr>
          <w:rFonts w:ascii="IRNazanin" w:hAnsi="IRNazanin" w:eastAsia="IRNazanin" w:cs="IRNazanin"/>
          <w:lang w:bidi="fa-IR"/>
          <w:color w:val="111111"/>
          <w:sz w:val="28"/>
          <w:szCs w:val="28"/>
          <w:rtl/>
        </w:rPr>
        <w:t xml:space="preserve">لا یتحقّق الردّ قولاً إلّا بقوله:«فسخت»و«رددت»و شبه ذلک ممّا هو صریح فی الردّ؛لأصالة بقاء اللزوم من طرف الأصیل و قابلیّته من طرف المجیز،و کذا یحصل بکلّ فعل مخرجٍ </w:t>
      </w:r>
      <w:r>
        <w:rPr>
          <w:rStyle w:val="FootnoteReference"/>
        </w:rPr>
        <w:footnoteReference w:id="3791"/>
      </w:r>
      <w:r>
        <w:rPr>
          <w:rFonts w:ascii="IRNazanin" w:hAnsi="IRNazanin" w:eastAsia="IRNazanin" w:cs="IRNazanin"/>
          <w:lang w:bidi="fa-IR"/>
          <w:color w:val="111111"/>
          <w:sz w:val="28"/>
          <w:szCs w:val="28"/>
          <w:rtl/>
        </w:rPr>
        <w:t xml:space="preserve">له عن ملکه بالنقل أو بالإتلاف و شبههما،کالعتق و البیع و الهبة و التزویج و نحو ذلک،و الوجه فی ذلک:أنّ تصرّفه بعد فرض صحّته مفوّت لمحلّ الإجازة؛لفرض خروجه عن ملکه.</w:t>
      </w:r>
    </w:p>
    <w:p>
      <w:pPr>
        <w:pStyle w:val="Heading6"/>
      </w:pPr>
      <w:bookmarkStart w:id="2346" w:name="_Toc1381"/>
      <w:r>
        <w:t>[هل یتحقق الرد بالتصرف غیر المخرج عن الملک؟]</w:t>
      </w:r>
      <w:bookmarkEnd w:id="2346"/>
    </w:p>
    <w:p>
      <w:pPr>
        <w:pStyle w:val="BookText"/>
      </w:pPr>
      <w:r>
        <w:rPr>
          <w:rFonts w:ascii="IRNazanin" w:hAnsi="IRNazanin" w:eastAsia="IRNazanin" w:cs="IRNazanin"/>
          <w:lang w:bidi="fa-IR"/>
          <w:color w:val="111111"/>
          <w:sz w:val="28"/>
          <w:szCs w:val="28"/>
          <w:rtl/>
        </w:rPr>
        <w:t xml:space="preserve">و أمّا التصرّف الغیر المخرج عن الملک-کاستیلاد الجاریة و إجارة الدار </w:t>
      </w:r>
      <w:r>
        <w:rPr>
          <w:rStyle w:val="FootnoteReference"/>
        </w:rPr>
        <w:footnoteReference w:id="3792"/>
      </w:r>
      <w:r>
        <w:rPr>
          <w:rFonts w:ascii="IRNazanin" w:hAnsi="IRNazanin" w:eastAsia="IRNazanin" w:cs="IRNazanin"/>
          <w:lang w:bidi="fa-IR"/>
          <w:color w:val="111111"/>
          <w:sz w:val="28"/>
          <w:szCs w:val="28"/>
          <w:rtl/>
        </w:rPr>
        <w:t xml:space="preserve">و تزویج الأمة-فهو و إن لم یخرج الملک عن قابلیّة وقوع الإجازة علیه،إلّا أنّه مخرج له عن قابلیّة وقوع الإجازة من زمان العقد؛لأنّ صحّة الإجازة علی هذا النحو توجب وقوعها باطلة،و إذا فرض وقوعها صحیحة منعت عن وقوع الإجازة.</w:t>
      </w:r>
    </w:p>
    <w:p>
      <w:pPr>
        <w:pStyle w:val="BookText"/>
      </w:pPr>
      <w:r>
        <w:rPr>
          <w:rFonts w:ascii="IRNazanin" w:hAnsi="IRNazanin" w:eastAsia="IRNazanin" w:cs="IRNazanin"/>
          <w:lang w:bidi="fa-IR"/>
          <w:color w:val="111111"/>
          <w:sz w:val="28"/>
          <w:szCs w:val="28"/>
          <w:rtl/>
        </w:rPr>
        <w:t xml:space="preserve">و الحاصل:أنّ وقوع هذه الأُمور صحیحة،مناقض </w:t>
      </w:r>
      <w:r>
        <w:rPr>
          <w:rStyle w:val="FootnoteReference"/>
        </w:rPr>
        <w:footnoteReference w:id="3793"/>
      </w:r>
      <w:r>
        <w:rPr>
          <w:rFonts w:ascii="IRNazanin" w:hAnsi="IRNazanin" w:eastAsia="IRNazanin" w:cs="IRNazanin"/>
          <w:lang w:bidi="fa-IR"/>
          <w:color w:val="111111"/>
          <w:sz w:val="28"/>
          <w:szCs w:val="28"/>
          <w:rtl/>
        </w:rPr>
        <w:t xml:space="preserve">لوقوع</w:t>
      </w:r>
    </w:p>
    <w:p>
      <w:pPr>
        <w:pStyle w:val="BookText"/>
      </w:pPr>
      <w:r>
        <w:rPr>
          <w:rFonts w:ascii="IRNazanin" w:hAnsi="IRNazanin" w:eastAsia="IRNazanin" w:cs="IRNazanin"/>
          <w:lang w:bidi="fa-IR"/>
          <w:color w:val="111111"/>
          <w:sz w:val="28"/>
          <w:szCs w:val="28"/>
          <w:rtl/>
        </w:rPr>
        <w:t xml:space="preserve">[شماره صفحه واقعی : 477]
</w:t>
      </w:r>
    </w:p>
    <w:p>
      <w:pPr>
        <w:sectPr>
          <w:footerReference w:type="default" r:id="rId1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الإجازة لأصل العقد،فإذا وقع أحد المتنافیین صحیحاً فلا بدّ من امتناع وقوع الآخر </w:t>
      </w:r>
      <w:r>
        <w:rPr>
          <w:rStyle w:val="FootnoteReference"/>
        </w:rPr>
        <w:footnoteReference w:id="3794"/>
      </w:r>
      <w:r>
        <w:rPr>
          <w:rFonts w:ascii="IRNazanin" w:hAnsi="IRNazanin" w:eastAsia="IRNazanin" w:cs="IRNazanin"/>
          <w:lang w:bidi="fa-IR"/>
          <w:color w:val="111111"/>
          <w:sz w:val="28"/>
          <w:szCs w:val="28"/>
          <w:rtl/>
        </w:rPr>
        <w:t xml:space="preserve">،أو إبطال صاحبه،أو إیقاعه علی غیر وجهه </w:t>
      </w:r>
      <w:r>
        <w:rPr>
          <w:rStyle w:val="FootnoteReference"/>
        </w:rPr>
        <w:footnoteReference w:id="3795"/>
      </w:r>
      <w:r>
        <w:rPr>
          <w:rFonts w:ascii="IRNazanin" w:hAnsi="IRNazanin" w:eastAsia="IRNazanin" w:cs="IRNazanin"/>
          <w:lang w:bidi="fa-IR"/>
          <w:color w:val="111111"/>
          <w:sz w:val="28"/>
          <w:szCs w:val="28"/>
          <w:rtl/>
        </w:rPr>
        <w:t xml:space="preserve">، و حیث لا سبیل إلی الأخیرین تعیّن الأوّل.</w:t>
      </w:r>
    </w:p>
    <w:p>
      <w:pPr>
        <w:pStyle w:val="BookText"/>
      </w:pPr>
      <w:r>
        <w:rPr>
          <w:rFonts w:ascii="IRNazanin" w:hAnsi="IRNazanin" w:eastAsia="IRNazanin" w:cs="IRNazanin"/>
          <w:lang w:bidi="fa-IR"/>
          <w:color w:val="111111"/>
          <w:sz w:val="28"/>
          <w:szCs w:val="28"/>
          <w:rtl/>
        </w:rPr>
        <w:t xml:space="preserve">[*ستوده]</w:t>
      </w:r>
    </w:p>
    <w:p>
      <w:pPr>
        <w:pStyle w:val="BookText"/>
      </w:pPr>
      <w:r>
        <w:rPr>
          <w:rFonts w:ascii="IRNazanin" w:hAnsi="IRNazanin" w:eastAsia="IRNazanin" w:cs="IRNazanin"/>
          <w:lang w:bidi="fa-IR"/>
          <w:color w:val="111111"/>
          <w:sz w:val="28"/>
          <w:szCs w:val="28"/>
          <w:rtl/>
        </w:rPr>
        <w:t xml:space="preserve">و بالجملة،کلّ ما یکون باطلاً علی تقدیر لحوق الإجازة المؤثّر </w:t>
      </w:r>
      <w:r>
        <w:rPr>
          <w:rStyle w:val="FootnoteReference"/>
        </w:rPr>
        <w:footnoteReference w:id="3796"/>
      </w:r>
      <w:r>
        <w:rPr>
          <w:rFonts w:ascii="IRNazanin" w:hAnsi="IRNazanin" w:eastAsia="IRNazanin" w:cs="IRNazanin"/>
          <w:lang w:bidi="fa-IR"/>
          <w:color w:val="111111"/>
          <w:sz w:val="28"/>
          <w:szCs w:val="28"/>
          <w:rtl/>
        </w:rPr>
        <w:t xml:space="preserve">من حین العقد،فوقوعه صحیحاً مانع من لحوق الإجازة؛لامتناع اجتماع المتنافیین.</w:t>
      </w:r>
    </w:p>
    <w:p>
      <w:pPr>
        <w:pStyle w:val="BookText"/>
      </w:pPr>
      <w:r>
        <w:rPr>
          <w:rFonts w:ascii="IRNazanin" w:hAnsi="IRNazanin" w:eastAsia="IRNazanin" w:cs="IRNazanin"/>
          <w:lang w:bidi="fa-IR"/>
          <w:color w:val="111111"/>
          <w:sz w:val="28"/>
          <w:szCs w:val="28"/>
          <w:rtl/>
        </w:rPr>
        <w:t xml:space="preserve">نعم،لو انتفع المالک بها قبل الإجازة بالسکنی و اللبس،کان علیه اجرة المثل إذا أجاز،فتأمّل.</w:t>
      </w:r>
    </w:p>
    <w:p>
      <w:pPr>
        <w:pStyle w:val="BookText"/>
      </w:pPr>
      <w:r>
        <w:rPr>
          <w:rFonts w:ascii="IRNazanin" w:hAnsi="IRNazanin" w:eastAsia="IRNazanin" w:cs="IRNazanin"/>
          <w:lang w:bidi="fa-IR"/>
          <w:color w:val="111111"/>
          <w:sz w:val="28"/>
          <w:szCs w:val="28"/>
          <w:rtl/>
        </w:rPr>
        <w:t xml:space="preserve">و منه یعلم:أنّه لا فرق بین وقوع هذه مع الاطّلاع علی وقوع العقد،و وقوعها </w:t>
      </w:r>
      <w:r>
        <w:rPr>
          <w:rStyle w:val="FootnoteReference"/>
        </w:rPr>
        <w:footnoteReference w:id="3797"/>
      </w:r>
      <w:r>
        <w:rPr>
          <w:rFonts w:ascii="IRNazanin" w:hAnsi="IRNazanin" w:eastAsia="IRNazanin" w:cs="IRNazanin"/>
          <w:lang w:bidi="fa-IR"/>
          <w:color w:val="111111"/>
          <w:sz w:val="28"/>
          <w:szCs w:val="28"/>
          <w:rtl/>
        </w:rPr>
        <w:t xml:space="preserve">بدونه؛لأنّ التنافی بینهما واقعی </w:t>
      </w:r>
      <w:r>
        <w:rPr>
          <w:rStyle w:val="FootnoteReference"/>
        </w:rPr>
        <w:footnoteReference w:id="37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دعوی:أنّه لا دلیل علی اشتراط قابلیّة التأثیر من حین العقد فی </w:t>
      </w:r>
      <w:r>
        <w:rPr>
          <w:rStyle w:val="FootnoteReference"/>
        </w:rPr>
        <w:footnoteReference w:id="3799"/>
      </w:r>
      <w:r>
        <w:rPr>
          <w:rFonts w:ascii="IRNazanin" w:hAnsi="IRNazanin" w:eastAsia="IRNazanin" w:cs="IRNazanin"/>
          <w:lang w:bidi="fa-IR"/>
          <w:color w:val="111111"/>
          <w:sz w:val="28"/>
          <w:szCs w:val="28"/>
          <w:rtl/>
        </w:rPr>
        <w:t xml:space="preserve">الإجازة؛و لذا صحّح جماعة کما تقدّم </w:t>
      </w:r>
      <w:r>
        <w:rPr>
          <w:rStyle w:val="FootnoteReference"/>
        </w:rPr>
        <w:footnoteReference w:id="3800"/>
      </w:r>
      <w:r>
        <w:rPr>
          <w:rFonts w:ascii="IRNazanin" w:hAnsi="IRNazanin" w:eastAsia="IRNazanin" w:cs="IRNazanin"/>
          <w:lang w:bidi="fa-IR"/>
          <w:color w:val="111111"/>
          <w:sz w:val="28"/>
          <w:szCs w:val="28"/>
          <w:rtl/>
        </w:rPr>
        <w:t xml:space="preserve">إجازة المالک الجدید فی من باع شیئاً ثمّ ملکه.</w:t>
      </w:r>
    </w:p>
    <w:p>
      <w:pPr>
        <w:pStyle w:val="BookText"/>
      </w:pPr>
      <w:r>
        <w:rPr>
          <w:rFonts w:ascii="IRNazanin" w:hAnsi="IRNazanin" w:eastAsia="IRNazanin" w:cs="IRNazanin"/>
          <w:lang w:bidi="fa-IR"/>
          <w:color w:val="111111"/>
          <w:sz w:val="28"/>
          <w:szCs w:val="28"/>
          <w:rtl/>
        </w:rPr>
        <w:t xml:space="preserve">مدفوعة:بإجماع أهل الکشف علی کون إجازة المالک حین العقد</w:t>
      </w:r>
    </w:p>
    <w:p>
      <w:pPr>
        <w:pStyle w:val="BookText"/>
      </w:pPr>
      <w:r>
        <w:rPr>
          <w:rFonts w:ascii="IRNazanin" w:hAnsi="IRNazanin" w:eastAsia="IRNazanin" w:cs="IRNazanin"/>
          <w:lang w:bidi="fa-IR"/>
          <w:color w:val="111111"/>
          <w:sz w:val="28"/>
          <w:szCs w:val="28"/>
          <w:rtl/>
        </w:rPr>
        <w:t xml:space="preserve">[شماره صفحه واقعی : 478]
</w:t>
      </w:r>
    </w:p>
    <w:p>
      <w:pPr>
        <w:sectPr>
          <w:footerReference w:type="default" r:id="rId1157"/>
          <w:footnotePr>
            <w:numStart w:val="1"/>
            <w:numRestart w:val="eachPage"/>
          </w:footnotePr>
          <w:pgSz w:orient="portrait" w:w="11905.511811023622" w:h="16837.79527559055"/>
          <w:pgMar w:top="1440" w:right="1440" w:bottom="1440" w:left="1440" w:header="720" w:footer="720" w:gutter="0"/>
          <w:cols w:num="1" w:space="720"/>
        </w:sectPr>
      </w:pPr>
    </w:p>
    <w:bookmarkStart w:id="681" w:name="pg14411_143539"/>
    <w:bookmarkEnd w:id="681"/>
    <w:p>
      <w:pPr>
        <w:pStyle w:val="BookText"/>
      </w:pPr>
      <w:r>
        <w:rPr>
          <w:rFonts w:ascii="IRNazanin" w:hAnsi="IRNazanin" w:eastAsia="IRNazanin" w:cs="IRNazanin"/>
          <w:lang w:bidi="fa-IR"/>
          <w:color w:val="111111"/>
          <w:sz w:val="28"/>
          <w:szCs w:val="28"/>
          <w:rtl/>
        </w:rPr>
        <w:t xml:space="preserve">مؤثّرة من حینه.</w:t>
      </w:r>
    </w:p>
    <w:p>
      <w:pPr>
        <w:pStyle w:val="BookText"/>
      </w:pPr>
      <w:r>
        <w:rPr>
          <w:rFonts w:ascii="IRNazanin" w:hAnsi="IRNazanin" w:eastAsia="IRNazanin" w:cs="IRNazanin"/>
          <w:lang w:bidi="fa-IR"/>
          <w:color w:val="111111"/>
          <w:sz w:val="28"/>
          <w:szCs w:val="28"/>
          <w:rtl/>
        </w:rPr>
        <w:t xml:space="preserve">نعم،لو قلنا بأنّ الإجازة کاشفة بالکشف الحقیقی-الراجع إلی کون المؤثّر التامّ هو العقد الملحوق بالإجازة-کانت التصرّفات مبنیّة علی الظاهر،و بالإجازة ینکشف عدم مصادفتها للملک،فتبطل هی و تصحّ الإجازة.</w:t>
      </w:r>
    </w:p>
    <w:p>
      <w:pPr>
        <w:pStyle w:val="Heading6"/>
      </w:pPr>
      <w:bookmarkStart w:id="2347" w:name="_Toc1382"/>
      <w:r>
        <w:t>[التصرفات الغیر المنافیة لملک المشتری]</w:t>
      </w:r>
      <w:bookmarkEnd w:id="2347"/>
    </w:p>
    <w:p>
      <w:pPr>
        <w:pStyle w:val="BookText"/>
      </w:pPr>
      <w:r>
        <w:rPr>
          <w:rFonts w:ascii="IRNazanin" w:hAnsi="IRNazanin" w:eastAsia="IRNazanin" w:cs="IRNazanin"/>
          <w:lang w:bidi="fa-IR"/>
          <w:color w:val="111111"/>
          <w:sz w:val="28"/>
          <w:szCs w:val="28"/>
          <w:rtl/>
        </w:rPr>
        <w:t xml:space="preserve">بقی الکلام فی التصرّفات الغیر المنافیة لملک المشتری من حین العقد،کتعریض المبیع للبیع،و البیع الفاسد </w:t>
      </w:r>
      <w:r>
        <w:rPr>
          <w:rStyle w:val="FootnoteReference"/>
        </w:rPr>
        <w:footnoteReference w:id="3801"/>
      </w:r>
      <w:r>
        <w:rPr>
          <w:rFonts w:ascii="IRNazanin" w:hAnsi="IRNazanin" w:eastAsia="IRNazanin" w:cs="IRNazanin"/>
          <w:lang w:bidi="fa-IR"/>
          <w:color w:val="111111"/>
          <w:sz w:val="28"/>
          <w:szCs w:val="28"/>
          <w:rtl/>
        </w:rPr>
        <w:t xml:space="preserve">،و هذا أیضاً علی قسمین:</w:t>
      </w:r>
    </w:p>
    <w:p>
      <w:pPr>
        <w:pStyle w:val="BookText"/>
      </w:pPr>
      <w:r>
        <w:rPr>
          <w:rFonts w:ascii="IRNazanin" w:hAnsi="IRNazanin" w:eastAsia="IRNazanin" w:cs="IRNazanin"/>
          <w:lang w:bidi="fa-IR"/>
          <w:color w:val="111111"/>
          <w:sz w:val="28"/>
          <w:szCs w:val="28"/>
          <w:rtl/>
        </w:rPr>
        <w:t xml:space="preserve">لأنّه إمّا أن یقع حال التفات المالک إلی وقوع العقد من الفضولی علی ماله </w:t>
      </w:r>
      <w:r>
        <w:rPr>
          <w:rStyle w:val="FootnoteReference"/>
        </w:rPr>
        <w:footnoteReference w:id="3802"/>
      </w:r>
      <w:r>
        <w:rPr>
          <w:rFonts w:ascii="IRNazanin" w:hAnsi="IRNazanin" w:eastAsia="IRNazanin" w:cs="IRNazanin"/>
          <w:lang w:bidi="fa-IR"/>
          <w:color w:val="111111"/>
          <w:sz w:val="28"/>
          <w:szCs w:val="28"/>
          <w:rtl/>
        </w:rPr>
        <w:t xml:space="preserve">،و إمّا أن یقع فی حال عدم الالتفات.</w:t>
      </w:r>
    </w:p>
    <w:p>
      <w:pPr>
        <w:pStyle w:val="BookText"/>
      </w:pPr>
      <w:r>
        <w:rPr>
          <w:rFonts w:ascii="IRNazanin" w:hAnsi="IRNazanin" w:eastAsia="IRNazanin" w:cs="IRNazanin"/>
          <w:lang w:bidi="fa-IR"/>
          <w:color w:val="111111"/>
          <w:sz w:val="28"/>
          <w:szCs w:val="28"/>
          <w:rtl/>
        </w:rPr>
        <w:t xml:space="preserve">أمّا الأوّل،فهو ردّ فعلی للعقد،و الدلیل علی إلحاقه بالردّ القولی مضافاً إلی صدق الردّ علیه،فیعمّه ما دلّ علی أنّ للمالک الردّ،مثل:</w:t>
      </w:r>
    </w:p>
    <w:p>
      <w:pPr>
        <w:pStyle w:val="BookText"/>
      </w:pPr>
      <w:r>
        <w:rPr>
          <w:rFonts w:ascii="IRNazanin" w:hAnsi="IRNazanin" w:eastAsia="IRNazanin" w:cs="IRNazanin"/>
          <w:lang w:bidi="fa-IR"/>
          <w:color w:val="111111"/>
          <w:sz w:val="28"/>
          <w:szCs w:val="28"/>
          <w:rtl/>
        </w:rPr>
        <w:t xml:space="preserve">ما وقع فی نکاح العبد و الأمة بغیر إذن مولاه </w:t>
      </w:r>
      <w:r>
        <w:rPr>
          <w:rStyle w:val="FootnoteReference"/>
        </w:rPr>
        <w:footnoteReference w:id="3803"/>
      </w:r>
      <w:r>
        <w:rPr>
          <w:rFonts w:ascii="IRNazanin" w:hAnsi="IRNazanin" w:eastAsia="IRNazanin" w:cs="IRNazanin"/>
          <w:lang w:bidi="fa-IR"/>
          <w:color w:val="111111"/>
          <w:sz w:val="28"/>
          <w:szCs w:val="28"/>
          <w:rtl/>
        </w:rPr>
        <w:t xml:space="preserve">،و ما ورد فی من زوَّجَته امّه و هو غائب،من قوله علیه السلام:«إن شاء قبل </w:t>
      </w:r>
      <w:r>
        <w:rPr>
          <w:rStyle w:val="FootnoteReference"/>
        </w:rPr>
        <w:footnoteReference w:id="3804"/>
      </w:r>
      <w:r>
        <w:rPr>
          <w:rFonts w:ascii="IRNazanin" w:hAnsi="IRNazanin" w:eastAsia="IRNazanin" w:cs="IRNazanin"/>
          <w:lang w:bidi="fa-IR"/>
          <w:color w:val="111111"/>
          <w:sz w:val="28"/>
          <w:szCs w:val="28"/>
          <w:rtl/>
        </w:rPr>
        <w:t xml:space="preserve">و إن شاء ترک» </w:t>
      </w:r>
      <w:r>
        <w:rPr>
          <w:rStyle w:val="FootnoteReference"/>
        </w:rPr>
        <w:footnoteReference w:id="3805"/>
      </w:r>
      <w:r>
        <w:rPr>
          <w:rFonts w:ascii="IRNazanin" w:hAnsi="IRNazanin" w:eastAsia="IRNazanin" w:cs="IRNazanin"/>
          <w:lang w:bidi="fa-IR"/>
          <w:color w:val="111111"/>
          <w:sz w:val="28"/>
          <w:szCs w:val="28"/>
          <w:rtl/>
        </w:rPr>
        <w:t xml:space="preserve">،إلّا أن یقال:إنّ الإطلاق مسوق لبیان أنّ له الترک،فلا</w:t>
      </w:r>
    </w:p>
    <w:p>
      <w:pPr>
        <w:pStyle w:val="BookText"/>
      </w:pPr>
      <w:r>
        <w:rPr>
          <w:rFonts w:ascii="IRNazanin" w:hAnsi="IRNazanin" w:eastAsia="IRNazanin" w:cs="IRNazanin"/>
          <w:lang w:bidi="fa-IR"/>
          <w:color w:val="111111"/>
          <w:sz w:val="28"/>
          <w:szCs w:val="28"/>
          <w:rtl/>
        </w:rPr>
        <w:t xml:space="preserve">[شماره صفحه واقعی : 479]
</w:t>
      </w:r>
    </w:p>
    <w:p>
      <w:pPr>
        <w:sectPr>
          <w:footerReference w:type="default" r:id="rId1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تعرّض فیه لکیفیّته </w:t>
      </w:r>
      <w:r>
        <w:rPr>
          <w:rStyle w:val="FootnoteReference"/>
        </w:rPr>
        <w:footnoteReference w:id="3806"/>
      </w:r>
      <w:r>
        <w:rPr>
          <w:rFonts w:ascii="IRNazanin" w:hAnsi="IRNazanin" w:eastAsia="IRNazanin" w:cs="IRNazanin"/>
          <w:lang w:bidi="fa-IR"/>
          <w:color w:val="111111"/>
          <w:sz w:val="28"/>
          <w:szCs w:val="28"/>
          <w:rtl/>
        </w:rPr>
        <w:t xml:space="preserve">-:أنّ المانع من صحّة الإجازة بعد الردّ القولی موجود فی الردّ الفعلی،و هو خروج المجیز بعد الردّ عن کونه بمنزلة أحد طرفی العقد،مضافاً إلی فحوی الإجماع المدّعی </w:t>
      </w:r>
      <w:r>
        <w:rPr>
          <w:rStyle w:val="FootnoteReference"/>
        </w:rPr>
        <w:footnoteReference w:id="3807"/>
      </w:r>
      <w:r>
        <w:rPr>
          <w:rFonts w:ascii="IRNazanin" w:hAnsi="IRNazanin" w:eastAsia="IRNazanin" w:cs="IRNazanin"/>
          <w:lang w:bidi="fa-IR"/>
          <w:color w:val="111111"/>
          <w:sz w:val="28"/>
          <w:szCs w:val="28"/>
          <w:rtl/>
        </w:rPr>
        <w:t xml:space="preserve">علی حصول فسخ ذی الخیار بالفعل،کالوطء و البیع و العتق؛فإنّ الوجه فی حصول الفسخ هی دلالتها علی قصد فسخ البیع،و إلّا فتوقّفها </w:t>
      </w:r>
      <w:r>
        <w:rPr>
          <w:rStyle w:val="FootnoteReference"/>
        </w:rPr>
        <w:footnoteReference w:id="3808"/>
      </w:r>
      <w:r>
        <w:rPr>
          <w:rFonts w:ascii="IRNazanin" w:hAnsi="IRNazanin" w:eastAsia="IRNazanin" w:cs="IRNazanin"/>
          <w:lang w:bidi="fa-IR"/>
          <w:color w:val="111111"/>
          <w:sz w:val="28"/>
          <w:szCs w:val="28"/>
          <w:rtl/>
        </w:rPr>
        <w:t xml:space="preserve">علی الملک لا یوجب حصول الفسخ بها،بل یوجب بطلانها؛لعدم حصول الملک المتوقّف علی الفسخ قبلها </w:t>
      </w:r>
      <w:r>
        <w:rPr>
          <w:rStyle w:val="FootnoteReference"/>
        </w:rPr>
        <w:footnoteReference w:id="3809"/>
      </w:r>
      <w:r>
        <w:rPr>
          <w:rFonts w:ascii="IRNazanin" w:hAnsi="IRNazanin" w:eastAsia="IRNazanin" w:cs="IRNazanin"/>
          <w:lang w:bidi="fa-IR"/>
          <w:color w:val="111111"/>
          <w:sz w:val="28"/>
          <w:szCs w:val="28"/>
          <w:rtl/>
        </w:rPr>
        <w:t xml:space="preserve">حتّی تصادف الملک.</w:t>
      </w:r>
    </w:p>
    <w:p>
      <w:pPr>
        <w:pStyle w:val="BookText"/>
      </w:pPr>
      <w:r>
        <w:rPr>
          <w:rFonts w:ascii="IRNazanin" w:hAnsi="IRNazanin" w:eastAsia="IRNazanin" w:cs="IRNazanin"/>
          <w:lang w:bidi="fa-IR"/>
          <w:color w:val="111111"/>
          <w:sz w:val="28"/>
          <w:szCs w:val="28"/>
          <w:rtl/>
        </w:rPr>
        <w:t xml:space="preserve">و کیف کان،فإذا صلح الفسخ الفعلی لرفع أثر العقد الثابت المؤثّر فعلاً،صلح لرفع أثر العقد المتزلزل من حیث الحدوث القابل للتأثیر، بطریق أولی.</w:t>
      </w:r>
    </w:p>
    <w:p>
      <w:pPr>
        <w:pStyle w:val="BookText"/>
      </w:pPr>
      <w:r>
        <w:rPr>
          <w:rFonts w:ascii="IRNazanin" w:hAnsi="IRNazanin" w:eastAsia="IRNazanin" w:cs="IRNazanin"/>
          <w:lang w:bidi="fa-IR"/>
          <w:color w:val="111111"/>
          <w:sz w:val="28"/>
          <w:szCs w:val="28"/>
          <w:rtl/>
        </w:rPr>
        <w:t xml:space="preserve">و أمّا الثانی-و هو ما یقع فی حال عدم الالتفات-فالظاهر عدم تحقّق الفسخ به؛لعدم دلالته علی إنشاء الردّ،و المفروض عدم منافاته أیضاً للإجازة اللاحقة،و لا یکفی مجرّد رفع الید عن الفعل </w:t>
      </w:r>
      <w:r>
        <w:rPr>
          <w:rStyle w:val="FootnoteReference"/>
        </w:rPr>
        <w:footnoteReference w:id="3810"/>
      </w:r>
      <w:r>
        <w:rPr>
          <w:rFonts w:ascii="IRNazanin" w:hAnsi="IRNazanin" w:eastAsia="IRNazanin" w:cs="IRNazanin"/>
          <w:lang w:bidi="fa-IR"/>
          <w:color w:val="111111"/>
          <w:sz w:val="28"/>
          <w:szCs w:val="28"/>
          <w:rtl/>
        </w:rPr>
        <w:t xml:space="preserve">بإنشاء ضدّه مع عدم صدق عنوان الردّ </w:t>
      </w:r>
      <w:r>
        <w:rPr>
          <w:rStyle w:val="FootnoteReference"/>
        </w:rPr>
        <w:footnoteReference w:id="3811"/>
      </w:r>
      <w:r>
        <w:rPr>
          <w:rFonts w:ascii="IRNazanin" w:hAnsi="IRNazanin" w:eastAsia="IRNazanin" w:cs="IRNazanin"/>
          <w:lang w:bidi="fa-IR"/>
          <w:color w:val="111111"/>
          <w:sz w:val="28"/>
          <w:szCs w:val="28"/>
          <w:rtl/>
        </w:rPr>
        <w:t xml:space="preserve">الموقوف علی القصد و الالتفات إلی</w:t>
      </w:r>
    </w:p>
    <w:p>
      <w:pPr>
        <w:pStyle w:val="BookText"/>
      </w:pPr>
      <w:r>
        <w:rPr>
          <w:rFonts w:ascii="IRNazanin" w:hAnsi="IRNazanin" w:eastAsia="IRNazanin" w:cs="IRNazanin"/>
          <w:lang w:bidi="fa-IR"/>
          <w:color w:val="111111"/>
          <w:sz w:val="28"/>
          <w:szCs w:val="28"/>
          <w:rtl/>
        </w:rPr>
        <w:t xml:space="preserve">[شماره صفحه واقعی : 480]
</w:t>
      </w:r>
    </w:p>
    <w:p>
      <w:pPr>
        <w:sectPr>
          <w:footerReference w:type="default" r:id="rId1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وقوع المردود،نظیر إنکار الطلاق </w:t>
      </w:r>
      <w:r>
        <w:rPr>
          <w:rStyle w:val="FootnoteReference"/>
        </w:rPr>
        <w:footnoteReference w:id="3812"/>
      </w:r>
      <w:r>
        <w:rPr>
          <w:rFonts w:ascii="IRNazanin" w:hAnsi="IRNazanin" w:eastAsia="IRNazanin" w:cs="IRNazanin"/>
          <w:lang w:bidi="fa-IR"/>
          <w:color w:val="111111"/>
          <w:sz w:val="28"/>
          <w:szCs w:val="28"/>
          <w:rtl/>
        </w:rPr>
        <w:t xml:space="preserve">الذی جعلوه رجوعاً و لو مع عدم الالتفات إلی وقوع الطلاق،علی ما یقتضیه إطلاق کلامهم.</w:t>
      </w:r>
    </w:p>
    <w:p>
      <w:pPr>
        <w:pStyle w:val="BookText"/>
      </w:pPr>
      <w:r>
        <w:rPr>
          <w:rFonts w:ascii="IRNazanin" w:hAnsi="IRNazanin" w:eastAsia="IRNazanin" w:cs="IRNazanin"/>
          <w:lang w:bidi="fa-IR"/>
          <w:color w:val="111111"/>
          <w:sz w:val="28"/>
          <w:szCs w:val="28"/>
          <w:rtl/>
        </w:rPr>
        <w:t xml:space="preserve">نعم،لو ثبت کفایة ذلک فی العقود الجائزة کفی هنا بطریق أولی، کما عرفت </w:t>
      </w:r>
      <w:r>
        <w:rPr>
          <w:rStyle w:val="FootnoteReference"/>
        </w:rPr>
        <w:footnoteReference w:id="3813"/>
      </w:r>
      <w:r>
        <w:rPr>
          <w:rFonts w:ascii="IRNazanin" w:hAnsi="IRNazanin" w:eastAsia="IRNazanin" w:cs="IRNazanin"/>
          <w:lang w:bidi="fa-IR"/>
          <w:color w:val="111111"/>
          <w:sz w:val="28"/>
          <w:szCs w:val="28"/>
          <w:rtl/>
        </w:rPr>
        <w:t xml:space="preserve">،لکن لم یثبت ذلک هناک </w:t>
      </w:r>
      <w:r>
        <w:rPr>
          <w:rStyle w:val="FootnoteReference"/>
        </w:rPr>
        <w:footnoteReference w:id="3814"/>
      </w:r>
      <w:r>
        <w:rPr>
          <w:rFonts w:ascii="IRNazanin" w:hAnsi="IRNazanin" w:eastAsia="IRNazanin" w:cs="IRNazanin"/>
          <w:lang w:bidi="fa-IR"/>
          <w:color w:val="111111"/>
          <w:sz w:val="28"/>
          <w:szCs w:val="28"/>
          <w:rtl/>
        </w:rPr>
        <w:t xml:space="preserve">،فالمسألة محلّ إشکال،بل الإشکال فی کفایة سابقه أیضاً؛فإنّ بعض المعاصرین یظهر منهم دعوی الاتّفاق علی اعتبار اللفظ فی الفسخ کالإجازة </w:t>
      </w:r>
      <w:r>
        <w:rPr>
          <w:rStyle w:val="FootnoteReference"/>
        </w:rPr>
        <w:footnoteReference w:id="3815"/>
      </w:r>
      <w:r>
        <w:rPr>
          <w:rFonts w:ascii="IRNazanin" w:hAnsi="IRNazanin" w:eastAsia="IRNazanin" w:cs="IRNazanin"/>
          <w:lang w:bidi="fa-IR"/>
          <w:color w:val="111111"/>
          <w:sz w:val="28"/>
          <w:szCs w:val="28"/>
          <w:rtl/>
        </w:rPr>
        <w:t xml:space="preserve">و لذا استشکل فی القواعد فی بطلان الوکالة بإیقاع العقد الفاسد علی متعلّقها جاهلاً بفساده </w:t>
      </w:r>
      <w:r>
        <w:rPr>
          <w:rStyle w:val="FootnoteReference"/>
        </w:rPr>
        <w:footnoteReference w:id="3816"/>
      </w:r>
      <w:r>
        <w:rPr>
          <w:rFonts w:ascii="IRNazanin" w:hAnsi="IRNazanin" w:eastAsia="IRNazanin" w:cs="IRNazanin"/>
          <w:lang w:bidi="fa-IR"/>
          <w:color w:val="111111"/>
          <w:sz w:val="28"/>
          <w:szCs w:val="28"/>
          <w:rtl/>
        </w:rPr>
        <w:t xml:space="preserve">،و قرّره فی الإیضاح </w:t>
      </w:r>
      <w:r>
        <w:rPr>
          <w:rStyle w:val="FootnoteReference"/>
        </w:rPr>
        <w:footnoteReference w:id="3817"/>
      </w:r>
      <w:r>
        <w:rPr>
          <w:rFonts w:ascii="IRNazanin" w:hAnsi="IRNazanin" w:eastAsia="IRNazanin" w:cs="IRNazanin"/>
          <w:lang w:bidi="fa-IR"/>
          <w:color w:val="111111"/>
          <w:sz w:val="28"/>
          <w:szCs w:val="28"/>
          <w:rtl/>
        </w:rPr>
        <w:t xml:space="preserve">و جامع المقاصد </w:t>
      </w:r>
      <w:r>
        <w:rPr>
          <w:rStyle w:val="FootnoteReference"/>
        </w:rPr>
        <w:footnoteReference w:id="3818"/>
      </w:r>
      <w:r>
        <w:rPr>
          <w:rFonts w:ascii="IRNazanin" w:hAnsi="IRNazanin" w:eastAsia="IRNazanin" w:cs="IRNazanin"/>
          <w:lang w:bidi="fa-IR"/>
          <w:color w:val="111111"/>
          <w:sz w:val="28"/>
          <w:szCs w:val="28"/>
          <w:rtl/>
        </w:rPr>
        <w:t xml:space="preserve">علی الإشکال.</w:t>
      </w:r>
    </w:p>
    <w:p>
      <w:pPr>
        <w:pStyle w:val="BookText"/>
      </w:pPr>
      <w:r>
        <w:rPr>
          <w:rFonts w:ascii="IRNazanin" w:hAnsi="IRNazanin" w:eastAsia="IRNazanin" w:cs="IRNazanin"/>
          <w:lang w:bidi="fa-IR"/>
          <w:color w:val="111111"/>
          <w:sz w:val="28"/>
          <w:szCs w:val="28"/>
          <w:rtl/>
        </w:rPr>
        <w:t xml:space="preserve">[*ستوده]</w:t>
      </w:r>
    </w:p>
    <w:p>
      <w:pPr>
        <w:pStyle w:val="BookText"/>
      </w:pPr>
      <w:r>
        <w:rPr>
          <w:rFonts w:ascii="IRNazanin" w:hAnsi="IRNazanin" w:eastAsia="IRNazanin" w:cs="IRNazanin"/>
          <w:lang w:bidi="fa-IR"/>
          <w:color w:val="111111"/>
          <w:sz w:val="28"/>
          <w:szCs w:val="28"/>
          <w:rtl/>
        </w:rPr>
        <w:t xml:space="preserve">و الحاصل:أنّ المتیقّن من الردّ هو الفسخ القولی،و فی حکمه تفویت محلّ الإجازة بحیث لا یصحّ وقوعها علی وجه یؤثّر من حین العقد.</w:t>
      </w:r>
    </w:p>
    <w:p>
      <w:pPr>
        <w:pStyle w:val="BookText"/>
      </w:pPr>
      <w:r>
        <w:rPr>
          <w:rFonts w:ascii="IRNazanin" w:hAnsi="IRNazanin" w:eastAsia="IRNazanin" w:cs="IRNazanin"/>
          <w:lang w:bidi="fa-IR"/>
          <w:color w:val="111111"/>
          <w:sz w:val="28"/>
          <w:szCs w:val="28"/>
          <w:rtl/>
        </w:rPr>
        <w:t xml:space="preserve">و أمّا الردّ الفعلی-و هو الفعل المنشأ به مفهوم </w:t>
      </w:r>
      <w:r>
        <w:rPr>
          <w:rStyle w:val="FootnoteReference"/>
        </w:rPr>
        <w:footnoteReference w:id="3819"/>
      </w:r>
      <w:r>
        <w:rPr>
          <w:rFonts w:ascii="IRNazanin" w:hAnsi="IRNazanin" w:eastAsia="IRNazanin" w:cs="IRNazanin"/>
          <w:lang w:bidi="fa-IR"/>
          <w:color w:val="111111"/>
          <w:sz w:val="28"/>
          <w:szCs w:val="28"/>
          <w:rtl/>
        </w:rPr>
        <w:t xml:space="preserve">الردّ-فقد عرفت نفی البعد عن حصول الفسخ به.</w:t>
      </w:r>
    </w:p>
    <w:p>
      <w:pPr>
        <w:pStyle w:val="BookText"/>
      </w:pPr>
      <w:r>
        <w:rPr>
          <w:rFonts w:ascii="IRNazanin" w:hAnsi="IRNazanin" w:eastAsia="IRNazanin" w:cs="IRNazanin"/>
          <w:lang w:bidi="fa-IR"/>
          <w:color w:val="111111"/>
          <w:sz w:val="28"/>
          <w:szCs w:val="28"/>
          <w:rtl/>
        </w:rPr>
        <w:t xml:space="preserve">[شماره صفحه واقعی : 481]
</w:t>
      </w:r>
    </w:p>
    <w:p>
      <w:pPr>
        <w:sectPr>
          <w:footerReference w:type="default" r:id="rId1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مجرّد إیقاع ما ینافی مفهومه قصدَ بقاء العقد من غیر تحقّق مفهوم الردّ-لعدم الالتفات إلی وقوع العقد-فالاکتفاء به مخالف للأصل.</w:t>
      </w:r>
    </w:p>
    <w:p>
      <w:pPr>
        <w:pStyle w:val="BookText"/>
      </w:pPr>
      <w:r>
        <w:rPr>
          <w:rFonts w:ascii="IRNazanin" w:hAnsi="IRNazanin" w:eastAsia="IRNazanin" w:cs="IRNazanin"/>
          <w:lang w:bidi="fa-IR"/>
          <w:color w:val="111111"/>
          <w:sz w:val="28"/>
          <w:szCs w:val="28"/>
          <w:rtl/>
        </w:rPr>
        <w:t xml:space="preserve">و فی حکم ما ذکرنا:الوکالة و الوصایة،و لکنّ الاکتفاء فیهما بالردّ الفعلی أوضح.</w:t>
      </w:r>
    </w:p>
    <w:p>
      <w:pPr>
        <w:pStyle w:val="BookText"/>
      </w:pPr>
      <w:r>
        <w:rPr>
          <w:rFonts w:ascii="IRNazanin" w:hAnsi="IRNazanin" w:eastAsia="IRNazanin" w:cs="IRNazanin"/>
          <w:lang w:bidi="fa-IR"/>
          <w:color w:val="111111"/>
          <w:sz w:val="28"/>
          <w:szCs w:val="28"/>
          <w:rtl/>
        </w:rPr>
        <w:t xml:space="preserve">و أمّا الفسخ فی العقود الجائزة بالذات أو الخیار،فهو منحصر باللفظ أو الردّ الفعلی.</w:t>
      </w:r>
    </w:p>
    <w:p>
      <w:pPr>
        <w:pStyle w:val="BookText"/>
      </w:pPr>
      <w:r>
        <w:rPr>
          <w:rFonts w:ascii="IRNazanin" w:hAnsi="IRNazanin" w:eastAsia="IRNazanin" w:cs="IRNazanin"/>
          <w:lang w:bidi="fa-IR"/>
          <w:color w:val="111111"/>
          <w:sz w:val="28"/>
          <w:szCs w:val="28"/>
          <w:rtl/>
        </w:rPr>
        <w:t xml:space="preserve">و أمّا فعل ما لا یجامع صحّة العقد-کالوطء و العتق و البیع </w:t>
      </w:r>
      <w:r>
        <w:rPr>
          <w:rStyle w:val="FootnoteReference"/>
        </w:rPr>
        <w:footnoteReference w:id="3820"/>
      </w:r>
      <w:r>
        <w:rPr>
          <w:rFonts w:ascii="IRNazanin" w:hAnsi="IRNazanin" w:eastAsia="IRNazanin" w:cs="IRNazanin"/>
          <w:lang w:bidi="fa-IR"/>
          <w:color w:val="111111"/>
          <w:sz w:val="28"/>
          <w:szCs w:val="28"/>
          <w:rtl/>
        </w:rPr>
        <w:t xml:space="preserve">- فالظاهر أنّ الفسخ بها من باب تحقّق القصد قبلها،لا لمنافاتها لبقاء العقد؛لأنّ مقتضی المنافاة بطلانها،لا انفساخ العقد،عکس ما نحن فیه،و تمام الکلام فی محلّه.</w:t>
      </w:r>
    </w:p>
    <w:p>
      <w:pPr>
        <w:pStyle w:val="BookText"/>
      </w:pPr>
      <w:r>
        <w:rPr>
          <w:rFonts w:ascii="IRNazanin" w:hAnsi="IRNazanin" w:eastAsia="IRNazanin" w:cs="IRNazanin"/>
          <w:lang w:bidi="fa-IR"/>
          <w:color w:val="111111"/>
          <w:sz w:val="28"/>
          <w:szCs w:val="28"/>
          <w:rtl/>
        </w:rPr>
        <w:t xml:space="preserve">ثمّ إنّ الردّ إنّما یثمر فی عدم صحّة الإجازة بعده،و أمّا انتزاع المال من المشتری لو أقبضه الفضولی فلا یتوقّف علی الردّ،بل یکفی فیه عدم الإجازة،و الظاهر أنّ الانتزاع بنفسه ردّ مع القرائن الدالّة علی إرادته منه،لا مطلق الأخذ؛لأنّه أعمّ،و لذا ذکروا أنّ الرجوع فی الهبة لا یتحقّق به.</w:t>
      </w:r>
    </w:p>
    <w:p>
      <w:pPr>
        <w:pStyle w:val="BookText"/>
      </w:pPr>
      <w:r>
        <w:rPr>
          <w:rFonts w:ascii="IRNazanin" w:hAnsi="IRNazanin" w:eastAsia="IRNazanin" w:cs="IRNazanin"/>
          <w:lang w:bidi="fa-IR"/>
          <w:color w:val="111111"/>
          <w:sz w:val="28"/>
          <w:szCs w:val="28"/>
          <w:rtl/>
        </w:rPr>
        <w:t xml:space="preserve">[شماره صفحه واقعی : 482]
</w:t>
      </w:r>
    </w:p>
    <w:p>
      <w:pPr>
        <w:sectPr>
          <w:footerReference w:type="default" r:id="rId1161"/>
          <w:footnotePr>
            <w:numStart w:val="1"/>
            <w:numRestart w:val="eachPage"/>
          </w:footnotePr>
          <w:pgSz w:orient="portrait" w:w="11905.511811023622" w:h="16837.79527559055"/>
          <w:pgMar w:top="1440" w:right="1440" w:bottom="1440" w:left="1440" w:header="720" w:footer="720" w:gutter="0"/>
          <w:cols w:num="1" w:space="720"/>
        </w:sectPr>
      </w:pPr>
    </w:p>
    <w:bookmarkStart w:id="682" w:name="pg14411_143543"/>
    <w:bookmarkEnd w:id="682"/>
    <w:p>
      <w:pPr>
        <w:pStyle w:val="Heading6"/>
      </w:pPr>
      <w:bookmarkStart w:id="2348" w:name="_Toc1383"/>
      <w:r>
        <w:t>[مسائل متفرقة]</w:t>
      </w:r>
      <w:bookmarkEnd w:id="2348"/>
    </w:p>
    <w:p>
      <w:pPr>
        <w:pStyle w:val="Heading6"/>
      </w:pPr>
      <w:bookmarkStart w:id="2349" w:name="_Toc1384"/>
      <w:r>
        <w:t>مسألة : لو لم یجز المالک،فإن کان المبیع فی یده فهو،و إلّا فله انتزاعه</w:t>
      </w:r>
      <w:bookmarkEnd w:id="2349"/>
    </w:p>
    <w:p>
      <w:pPr>
        <w:pStyle w:val="BookText"/>
      </w:pPr>
      <w:r>
        <w:rPr>
          <w:rFonts w:ascii="IRNazanin" w:hAnsi="IRNazanin" w:eastAsia="IRNazanin" w:cs="IRNazanin"/>
          <w:lang w:bidi="fa-IR"/>
          <w:color w:val="111111"/>
          <w:sz w:val="28"/>
          <w:szCs w:val="28"/>
          <w:rtl/>
        </w:rPr>
        <w:t xml:space="preserve">ممّن وجده فی یده مع بقائه،و یرجع بمنافعه المستوفاة و غیرها-علی الخلاف المتقدّم </w:t>
      </w:r>
      <w:r>
        <w:rPr>
          <w:rStyle w:val="FootnoteReference"/>
        </w:rPr>
        <w:footnoteReference w:id="3821"/>
      </w:r>
      <w:r>
        <w:rPr>
          <w:rFonts w:ascii="IRNazanin" w:hAnsi="IRNazanin" w:eastAsia="IRNazanin" w:cs="IRNazanin"/>
          <w:lang w:bidi="fa-IR"/>
          <w:color w:val="111111"/>
          <w:sz w:val="28"/>
          <w:szCs w:val="28"/>
          <w:rtl/>
        </w:rPr>
        <w:t xml:space="preserve">فی البیع الفاسد </w:t>
      </w:r>
      <w:r>
        <w:rPr>
          <w:rStyle w:val="FootnoteReference"/>
        </w:rPr>
        <w:footnoteReference w:id="3822"/>
      </w:r>
      <w:r>
        <w:rPr>
          <w:rFonts w:ascii="IRNazanin" w:hAnsi="IRNazanin" w:eastAsia="IRNazanin" w:cs="IRNazanin"/>
          <w:lang w:bidi="fa-IR"/>
          <w:color w:val="111111"/>
          <w:sz w:val="28"/>
          <w:szCs w:val="28"/>
          <w:rtl/>
        </w:rPr>
        <w:t xml:space="preserve">-و مع التلف یرجع إلی من تلف عنده بقیمته یوم التلف أو بأعلی القیم من زمانٍ وقع فی یده.</w:t>
      </w:r>
    </w:p>
    <w:p>
      <w:pPr>
        <w:pStyle w:val="BookText"/>
      </w:pPr>
      <w:r>
        <w:rPr>
          <w:rFonts w:ascii="IRNazanin" w:hAnsi="IRNazanin" w:eastAsia="IRNazanin" w:cs="IRNazanin"/>
          <w:lang w:bidi="fa-IR"/>
          <w:color w:val="111111"/>
          <w:sz w:val="28"/>
          <w:szCs w:val="28"/>
          <w:rtl/>
        </w:rPr>
        <w:t xml:space="preserve">و لو کان قبل ذلک فی ضمان آخر،و فُرض زیادة القیمة عنده،ثمّ نقصت عند الأخیر،اختصّ السابق بالرجوع بالزیادة علیه،کما صرّح به جماعة فی الأیدی المتعاقبة </w:t>
      </w:r>
      <w:r>
        <w:rPr>
          <w:rStyle w:val="FootnoteReference"/>
        </w:rPr>
        <w:footnoteReference w:id="38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کلّه حکم المالک مع المشتری،و أمّا حکم المشتری مع الفضولی،فیقع الکلام فیه </w:t>
      </w:r>
      <w:r>
        <w:rPr>
          <w:rStyle w:val="FootnoteReference"/>
        </w:rPr>
        <w:footnoteReference w:id="3824"/>
      </w:r>
      <w:r>
        <w:rPr>
          <w:rFonts w:ascii="IRNazanin" w:hAnsi="IRNazanin" w:eastAsia="IRNazanin" w:cs="IRNazanin"/>
          <w:lang w:bidi="fa-IR"/>
          <w:color w:val="111111"/>
          <w:sz w:val="28"/>
          <w:szCs w:val="28"/>
          <w:rtl/>
        </w:rPr>
        <w:t xml:space="preserve">تارة فی الثمن،و أُخری فی ما یغرمه للمالک</w:t>
      </w:r>
    </w:p>
    <w:p>
      <w:pPr>
        <w:pStyle w:val="BookText"/>
      </w:pPr>
      <w:r>
        <w:rPr>
          <w:rFonts w:ascii="IRNazanin" w:hAnsi="IRNazanin" w:eastAsia="IRNazanin" w:cs="IRNazanin"/>
          <w:lang w:bidi="fa-IR"/>
          <w:color w:val="111111"/>
          <w:sz w:val="28"/>
          <w:szCs w:val="28"/>
          <w:rtl/>
        </w:rPr>
        <w:t xml:space="preserve">[شماره صفحه واقعی : 483]
</w:t>
      </w:r>
    </w:p>
    <w:p>
      <w:pPr>
        <w:sectPr>
          <w:footerReference w:type="default" r:id="rId1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زائداً علی الثمن، فهنا مسألتان:</w:t>
      </w:r>
    </w:p>
    <w:p>
      <w:pPr>
        <w:pStyle w:val="BookText"/>
      </w:pPr>
      <w:r>
        <w:rPr>
          <w:rFonts w:ascii="IRNazanin" w:hAnsi="IRNazanin" w:eastAsia="IRNazanin" w:cs="IRNazanin"/>
          <w:lang w:bidi="fa-IR"/>
          <w:color w:val="111111"/>
          <w:sz w:val="28"/>
          <w:szCs w:val="28"/>
          <w:rtl/>
        </w:rPr>
        <w:t xml:space="preserve">الاُولی أنّه یرجع علیه بالثمن إن کان جاهلاً بکونه فضولیّاً،سواء کان باقیاً أو تالفاً،و لا یقدح فی ذلک اعترافه بکون البائع مالکاً؛لأنّ اعترافه مبنیّ علی ظاهر یده،نعم لو اعترف به علی وجهٍ یعلم عدم استناده إلی الید-کأن یکون اعترافه </w:t>
      </w:r>
      <w:r>
        <w:rPr>
          <w:rStyle w:val="FootnoteReference"/>
        </w:rPr>
        <w:footnoteReference w:id="3825"/>
      </w:r>
      <w:r>
        <w:rPr>
          <w:rFonts w:ascii="IRNazanin" w:hAnsi="IRNazanin" w:eastAsia="IRNazanin" w:cs="IRNazanin"/>
          <w:lang w:bidi="fa-IR"/>
          <w:color w:val="111111"/>
          <w:sz w:val="28"/>
          <w:szCs w:val="28"/>
          <w:rtl/>
        </w:rPr>
        <w:t xml:space="preserve">بذلک بعد قیام البیّنة-لم یرجع بشیء.و لو لم یعلم استناد الاعتراف إلی الید أو إلی غیره،ففی الأخذ بظاهر الحال من استناده إلی الید أو بظاهر لفظ«الإقرار»من دلالته علی الواقع وجهان.</w:t>
      </w:r>
    </w:p>
    <w:p>
      <w:pPr>
        <w:pStyle w:val="BookText"/>
      </w:pPr>
      <w:r>
        <w:rPr>
          <w:rFonts w:ascii="IRNazanin" w:hAnsi="IRNazanin" w:eastAsia="IRNazanin" w:cs="IRNazanin"/>
          <w:lang w:bidi="fa-IR"/>
          <w:color w:val="111111"/>
          <w:sz w:val="28"/>
          <w:szCs w:val="28"/>
          <w:rtl/>
        </w:rPr>
        <w:t xml:space="preserve">و إن کان عالماً بالفضولیّة،فإن کان الثمن باقیاً استردّه وفاقاً للعلّامة </w:t>
      </w:r>
      <w:r>
        <w:rPr>
          <w:rStyle w:val="FootnoteReference"/>
        </w:rPr>
        <w:footnoteReference w:id="3826"/>
      </w:r>
      <w:r>
        <w:rPr>
          <w:rFonts w:ascii="IRNazanin" w:hAnsi="IRNazanin" w:eastAsia="IRNazanin" w:cs="IRNazanin"/>
          <w:lang w:bidi="fa-IR"/>
          <w:color w:val="111111"/>
          <w:sz w:val="28"/>
          <w:szCs w:val="28"/>
          <w:rtl/>
        </w:rPr>
        <w:t xml:space="preserve">و ولده </w:t>
      </w:r>
      <w:r>
        <w:rPr>
          <w:rStyle w:val="FootnoteReference"/>
        </w:rPr>
        <w:footnoteReference w:id="3827"/>
      </w:r>
      <w:r>
        <w:rPr>
          <w:rFonts w:ascii="IRNazanin" w:hAnsi="IRNazanin" w:eastAsia="IRNazanin" w:cs="IRNazanin"/>
          <w:lang w:bidi="fa-IR"/>
          <w:color w:val="111111"/>
          <w:sz w:val="28"/>
          <w:szCs w:val="28"/>
          <w:rtl/>
        </w:rPr>
        <w:t xml:space="preserve">و الشهیدین </w:t>
      </w:r>
      <w:r>
        <w:rPr>
          <w:rStyle w:val="FootnoteReference"/>
        </w:rPr>
        <w:footnoteReference w:id="3828"/>
      </w:r>
      <w:r>
        <w:rPr>
          <w:rFonts w:ascii="IRNazanin" w:hAnsi="IRNazanin" w:eastAsia="IRNazanin" w:cs="IRNazanin"/>
          <w:lang w:bidi="fa-IR"/>
          <w:color w:val="111111"/>
          <w:sz w:val="28"/>
          <w:szCs w:val="28"/>
          <w:rtl/>
        </w:rPr>
        <w:t xml:space="preserve">و المحقّق الثانی </w:t>
      </w:r>
      <w:r>
        <w:rPr>
          <w:rStyle w:val="FootnoteReference"/>
        </w:rPr>
        <w:footnoteReference w:id="3829"/>
      </w:r>
      <w:r>
        <w:rPr>
          <w:rFonts w:ascii="IRNazanin" w:hAnsi="IRNazanin" w:eastAsia="IRNazanin" w:cs="IRNazanin"/>
          <w:lang w:bidi="fa-IR"/>
          <w:color w:val="111111"/>
          <w:sz w:val="28"/>
          <w:szCs w:val="28"/>
          <w:rtl/>
        </w:rPr>
        <w:t xml:space="preserve">رحمهم اللّه؛إذ لم یحصل منه ما یوجب انتقاله عنه شرعاً،و مجرّد تسلیطه علیه لو کان موجباً لانتقاله لزم الانتقال فی البیع الفاسد؛لتسلیط کلٍّ من المتبایعین صاحبَه علی ماله،و لأنّ الحکم بصحّة البیع لو أجاز المالک-کما هو المشهور-</w:t>
      </w:r>
    </w:p>
    <w:p>
      <w:pPr>
        <w:pStyle w:val="BookText"/>
      </w:pPr>
      <w:r>
        <w:rPr>
          <w:rFonts w:ascii="IRNazanin" w:hAnsi="IRNazanin" w:eastAsia="IRNazanin" w:cs="IRNazanin"/>
          <w:lang w:bidi="fa-IR"/>
          <w:color w:val="111111"/>
          <w:sz w:val="28"/>
          <w:szCs w:val="28"/>
          <w:rtl/>
        </w:rPr>
        <w:t xml:space="preserve">[شماره صفحه واقعی : 484]
</w:t>
      </w:r>
    </w:p>
    <w:p>
      <w:pPr>
        <w:sectPr>
          <w:footerReference w:type="default" r:id="rId1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یستلزم تملّک المالک للثمن،فإنّ تملّکه البائع قبله یلزم فوات محلّ الإجازة؛لأنّ الثمن إنّما ملکه الغیر،فیمتنع تحقّق الإجازة،فتأمّل.</w:t>
      </w:r>
    </w:p>
    <w:p>
      <w:pPr>
        <w:pStyle w:val="BookText"/>
      </w:pPr>
      <w:r>
        <w:rPr>
          <w:rFonts w:ascii="IRNazanin" w:hAnsi="IRNazanin" w:eastAsia="IRNazanin" w:cs="IRNazanin"/>
          <w:lang w:bidi="fa-IR"/>
          <w:color w:val="111111"/>
          <w:sz w:val="28"/>
          <w:szCs w:val="28"/>
          <w:rtl/>
        </w:rPr>
        <w:t xml:space="preserve">[*ستوده]</w:t>
      </w:r>
    </w:p>
    <w:p>
      <w:pPr>
        <w:pStyle w:val="BookText"/>
      </w:pPr>
      <w:r>
        <w:rPr>
          <w:rFonts w:ascii="IRNazanin" w:hAnsi="IRNazanin" w:eastAsia="IRNazanin" w:cs="IRNazanin"/>
          <w:lang w:bidi="fa-IR"/>
          <w:color w:val="111111"/>
          <w:sz w:val="28"/>
          <w:szCs w:val="28"/>
          <w:rtl/>
        </w:rPr>
        <w:t xml:space="preserve">و هل یجوز للبائع التصرّف فیه؟ وجهان،بل قولان،أقواهما العدم؛لأنّه أکل مالٍ بالباطل.</w:t>
      </w:r>
    </w:p>
    <w:p>
      <w:pPr>
        <w:pStyle w:val="BookText"/>
      </w:pPr>
      <w:r>
        <w:rPr>
          <w:rFonts w:ascii="IRNazanin" w:hAnsi="IRNazanin" w:eastAsia="IRNazanin" w:cs="IRNazanin"/>
          <w:lang w:bidi="fa-IR"/>
          <w:color w:val="111111"/>
          <w:sz w:val="28"/>
          <w:szCs w:val="28"/>
          <w:rtl/>
        </w:rPr>
        <w:t xml:space="preserve">هذا کلّه إذا کان باقیاً،و أمّا لو کان تالفاً،فالمعروف عدم رجوع المشتری،بل المحکی </w:t>
      </w:r>
      <w:r>
        <w:rPr>
          <w:rStyle w:val="FootnoteReference"/>
        </w:rPr>
        <w:footnoteReference w:id="3830"/>
      </w:r>
      <w:r>
        <w:rPr>
          <w:rFonts w:ascii="Amiri" w:hAnsi="Amiri" w:eastAsia="Amiri" w:cs="Amiri"/>
          <w:lang w:bidi="ar-SA"/>
          <w:color w:val="111111"/>
          <w:sz w:val="28"/>
          <w:szCs w:val="28"/>
          <w:rtl/>
        </w:rPr>
        <w:t xml:space="preserve">عن العلّامة </w:t>
      </w:r>
      <w:r>
        <w:rPr>
          <w:rStyle w:val="FootnoteReference"/>
        </w:rPr>
        <w:footnoteReference w:id="3831"/>
      </w:r>
      <w:r>
        <w:rPr>
          <w:rFonts w:ascii="IRNazanin" w:hAnsi="IRNazanin" w:eastAsia="IRNazanin" w:cs="IRNazanin"/>
          <w:lang w:bidi="fa-IR"/>
          <w:color w:val="111111"/>
          <w:sz w:val="28"/>
          <w:szCs w:val="28"/>
          <w:rtl/>
        </w:rPr>
        <w:t xml:space="preserve">و ولده </w:t>
      </w:r>
      <w:r>
        <w:rPr>
          <w:rStyle w:val="FootnoteReference"/>
        </w:rPr>
        <w:footnoteReference w:id="3832"/>
      </w:r>
      <w:r>
        <w:rPr>
          <w:rFonts w:ascii="Amiri" w:hAnsi="Amiri" w:eastAsia="Amiri" w:cs="Amiri"/>
          <w:lang w:bidi="ar-SA"/>
          <w:color w:val="111111"/>
          <w:sz w:val="28"/>
          <w:szCs w:val="28"/>
          <w:rtl/>
        </w:rPr>
        <w:t xml:space="preserve">و المحقّق </w:t>
      </w:r>
      <w:r>
        <w:rPr>
          <w:rStyle w:val="FootnoteReference"/>
        </w:rPr>
        <w:footnoteReference w:id="3833"/>
      </w:r>
      <w:r>
        <w:rPr>
          <w:rFonts w:ascii="IRNazanin" w:hAnsi="IRNazanin" w:eastAsia="IRNazanin" w:cs="IRNazanin"/>
          <w:lang w:bidi="fa-IR"/>
          <w:color w:val="111111"/>
          <w:sz w:val="28"/>
          <w:szCs w:val="28"/>
          <w:rtl/>
        </w:rPr>
        <w:t xml:space="preserve">و الشهید </w:t>
      </w:r>
      <w:r>
        <w:rPr>
          <w:rStyle w:val="FootnoteReference"/>
        </w:rPr>
        <w:footnoteReference w:id="3834"/>
      </w:r>
      <w:r>
        <w:rPr>
          <w:rFonts w:ascii="IRNazanin" w:hAnsi="IRNazanin" w:eastAsia="IRNazanin" w:cs="IRNazanin"/>
          <w:lang w:bidi="fa-IR"/>
          <w:color w:val="111111"/>
          <w:sz w:val="28"/>
          <w:szCs w:val="28"/>
          <w:rtl/>
        </w:rPr>
        <w:t xml:space="preserve">الثانیین و غیرهم </w:t>
      </w:r>
      <w:r>
        <w:rPr>
          <w:rStyle w:val="FootnoteReference"/>
        </w:rPr>
        <w:footnoteReference w:id="3835"/>
      </w:r>
      <w:r>
        <w:rPr>
          <w:rFonts w:ascii="IRNazanin" w:hAnsi="IRNazanin" w:eastAsia="IRNazanin" w:cs="IRNazanin"/>
          <w:lang w:bidi="fa-IR"/>
          <w:color w:val="111111"/>
          <w:sz w:val="28"/>
          <w:szCs w:val="28"/>
          <w:rtl/>
        </w:rPr>
        <w:t xml:space="preserve">الاتّفاق علیه،و وجهه-کما صرّح به بعضهم کالحلی </w:t>
      </w:r>
      <w:r>
        <w:rPr>
          <w:rStyle w:val="FootnoteReference"/>
        </w:rPr>
        <w:footnoteReference w:id="3836"/>
      </w:r>
      <w:r>
        <w:rPr>
          <w:rFonts w:ascii="Amiri" w:hAnsi="Amiri" w:eastAsia="Amiri" w:cs="Amiri"/>
          <w:lang w:bidi="ar-SA"/>
          <w:color w:val="111111"/>
          <w:sz w:val="28"/>
          <w:szCs w:val="28"/>
          <w:rtl/>
        </w:rPr>
        <w:t xml:space="preserve">و العلّامة </w:t>
      </w:r>
      <w:r>
        <w:rPr>
          <w:rStyle w:val="FootnoteReference"/>
        </w:rPr>
        <w:footnoteReference w:id="3837"/>
      </w:r>
      <w:r>
        <w:rPr>
          <w:rFonts w:ascii="IRNazanin" w:hAnsi="IRNazanin" w:eastAsia="IRNazanin" w:cs="IRNazanin"/>
          <w:lang w:bidi="fa-IR"/>
          <w:color w:val="111111"/>
          <w:sz w:val="28"/>
          <w:szCs w:val="28"/>
          <w:rtl/>
        </w:rPr>
        <w:t xml:space="preserve">و غیرهما </w:t>
      </w:r>
      <w:r>
        <w:rPr>
          <w:rStyle w:val="FootnoteReference"/>
        </w:rPr>
        <w:footnoteReference w:id="3838"/>
      </w:r>
      <w:r>
        <w:rPr>
          <w:rFonts w:ascii="IRNazanin" w:hAnsi="IRNazanin" w:eastAsia="IRNazanin" w:cs="IRNazanin"/>
          <w:lang w:bidi="fa-IR"/>
          <w:color w:val="111111"/>
          <w:sz w:val="28"/>
          <w:szCs w:val="28"/>
          <w:rtl/>
        </w:rPr>
        <w:t xml:space="preserve">و یظهر من آخرین </w:t>
      </w:r>
      <w:r>
        <w:rPr>
          <w:rStyle w:val="FootnoteReference"/>
        </w:rPr>
        <w:footnoteReference w:id="3839"/>
      </w:r>
      <w:r>
        <w:rPr>
          <w:rFonts w:ascii="Amiri" w:hAnsi="Amiri" w:eastAsia="Amiri" w:cs="Amiri"/>
          <w:lang w:bidi="ar-SA"/>
          <w:color w:val="111111"/>
          <w:sz w:val="28"/>
          <w:szCs w:val="28"/>
          <w:rtl/>
        </w:rPr>
        <w:t xml:space="preserve">أیضاً </w:t>
      </w:r>
      <w:r>
        <w:rPr>
          <w:rStyle w:val="FootnoteReference"/>
        </w:rPr>
        <w:footnoteReference w:id="3840"/>
      </w:r>
      <w:r>
        <w:rPr>
          <w:rFonts w:ascii="Amiri" w:hAnsi="Amiri" w:eastAsia="Amiri" w:cs="Amiri"/>
          <w:lang w:bidi="ar-SA"/>
          <w:color w:val="111111"/>
          <w:sz w:val="28"/>
          <w:szCs w:val="28"/>
          <w:rtl/>
        </w:rPr>
        <w:t xml:space="preserve">-:أنّه سلّطه علی ماله</w:t>
      </w:r>
    </w:p>
    <w:p>
      <w:pPr>
        <w:pStyle w:val="BookText"/>
      </w:pPr>
      <w:r>
        <w:rPr>
          <w:rFonts w:ascii="IRNazanin" w:hAnsi="IRNazanin" w:eastAsia="IRNazanin" w:cs="IRNazanin"/>
          <w:lang w:bidi="fa-IR"/>
          <w:color w:val="111111"/>
          <w:sz w:val="28"/>
          <w:szCs w:val="28"/>
          <w:rtl/>
        </w:rPr>
        <w:t xml:space="preserve">[شماره صفحه واقعی : 485]
</w:t>
      </w:r>
    </w:p>
    <w:p>
      <w:pPr>
        <w:sectPr>
          <w:footerReference w:type="default" r:id="rId1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بلا عوض.</w:t>
      </w:r>
    </w:p>
    <w:p>
      <w:pPr>
        <w:pStyle w:val="BookText"/>
      </w:pPr>
      <w:r>
        <w:rPr>
          <w:rFonts w:ascii="IRNazanin" w:hAnsi="IRNazanin" w:eastAsia="IRNazanin" w:cs="IRNazanin"/>
          <w:lang w:bidi="fa-IR"/>
          <w:color w:val="111111"/>
          <w:sz w:val="28"/>
          <w:szCs w:val="28"/>
          <w:rtl/>
        </w:rPr>
        <w:t xml:space="preserve">توضیح ذلک:أنّ الضمان إمّا لعموم«علی الید ما أخذت» </w:t>
      </w:r>
      <w:r>
        <w:rPr>
          <w:rStyle w:val="FootnoteReference"/>
        </w:rPr>
        <w:footnoteReference w:id="3841"/>
      </w:r>
      <w:r>
        <w:rPr>
          <w:rFonts w:ascii="IRNazanin" w:hAnsi="IRNazanin" w:eastAsia="IRNazanin" w:cs="IRNazanin"/>
          <w:lang w:bidi="fa-IR"/>
          <w:color w:val="111111"/>
          <w:sz w:val="28"/>
          <w:szCs w:val="28"/>
          <w:rtl/>
        </w:rPr>
        <w:t xml:space="preserve">، و إمّا لقاعدة الإقدام علی الضمان الذی استدلّ به الشیخ </w:t>
      </w:r>
      <w:r>
        <w:rPr>
          <w:rStyle w:val="FootnoteReference"/>
        </w:rPr>
        <w:footnoteReference w:id="3842"/>
      </w:r>
      <w:r>
        <w:rPr>
          <w:rFonts w:ascii="IRNazanin" w:hAnsi="IRNazanin" w:eastAsia="IRNazanin" w:cs="IRNazanin"/>
          <w:lang w:bidi="fa-IR"/>
          <w:color w:val="111111"/>
          <w:sz w:val="28"/>
          <w:szCs w:val="28"/>
          <w:rtl/>
        </w:rPr>
        <w:t xml:space="preserve">و غیره </w:t>
      </w:r>
      <w:r>
        <w:rPr>
          <w:rStyle w:val="FootnoteReference"/>
        </w:rPr>
        <w:footnoteReference w:id="3843"/>
      </w:r>
      <w:r>
        <w:rPr>
          <w:rFonts w:ascii="IRNazanin" w:hAnsi="IRNazanin" w:eastAsia="IRNazanin" w:cs="IRNazanin"/>
          <w:lang w:bidi="fa-IR"/>
          <w:color w:val="111111"/>
          <w:sz w:val="28"/>
          <w:szCs w:val="28"/>
          <w:rtl/>
        </w:rPr>
        <w:t xml:space="preserve">علی الضمان فی فاسد ما یضمن بصحیحه.</w:t>
      </w:r>
    </w:p>
    <w:p>
      <w:pPr>
        <w:pStyle w:val="BookText"/>
      </w:pPr>
      <w:r>
        <w:rPr>
          <w:rFonts w:ascii="IRNazanin" w:hAnsi="IRNazanin" w:eastAsia="IRNazanin" w:cs="IRNazanin"/>
          <w:lang w:bidi="fa-IR"/>
          <w:color w:val="111111"/>
          <w:sz w:val="28"/>
          <w:szCs w:val="28"/>
          <w:rtl/>
        </w:rPr>
        <w:t xml:space="preserve">و الأوّل مخصَّص بفحوی ما دلّ علی عدم ضمان من استأمنه المالک و دفعه إلیه لحفظه کما فی الودیعة </w:t>
      </w:r>
      <w:r>
        <w:rPr>
          <w:rStyle w:val="FootnoteReference"/>
        </w:rPr>
        <w:footnoteReference w:id="3844"/>
      </w:r>
      <w:r>
        <w:rPr>
          <w:rFonts w:ascii="IRNazanin" w:hAnsi="IRNazanin" w:eastAsia="IRNazanin" w:cs="IRNazanin"/>
          <w:lang w:bidi="fa-IR"/>
          <w:color w:val="111111"/>
          <w:sz w:val="28"/>
          <w:szCs w:val="28"/>
          <w:rtl/>
        </w:rPr>
        <w:t xml:space="preserve">،أو الانتفاع به کما فی العاریة </w:t>
      </w:r>
      <w:r>
        <w:rPr>
          <w:rStyle w:val="FootnoteReference"/>
        </w:rPr>
        <w:footnoteReference w:id="3845"/>
      </w:r>
      <w:r>
        <w:rPr>
          <w:rStyle w:val="FootnoteReference"/>
        </w:rPr>
        <w:footnoteReference w:id="3846"/>
      </w:r>
      <w:r>
        <w:rPr>
          <w:rFonts w:ascii="IRNazanin" w:hAnsi="IRNazanin" w:eastAsia="IRNazanin" w:cs="IRNazanin"/>
          <w:lang w:bidi="fa-IR"/>
          <w:color w:val="111111"/>
          <w:sz w:val="28"/>
          <w:szCs w:val="28"/>
          <w:rtl/>
        </w:rPr>
        <w:t xml:space="preserve">،أو استیفاء المنفعة منه کما فی العین المستأجرة </w:t>
      </w:r>
      <w:r>
        <w:rPr>
          <w:rStyle w:val="FootnoteReference"/>
        </w:rPr>
        <w:footnoteReference w:id="3847"/>
      </w:r>
      <w:r>
        <w:rPr>
          <w:rFonts w:ascii="IRNazanin" w:hAnsi="IRNazanin" w:eastAsia="IRNazanin" w:cs="IRNazanin"/>
          <w:lang w:bidi="fa-IR"/>
          <w:color w:val="111111"/>
          <w:sz w:val="28"/>
          <w:szCs w:val="28"/>
          <w:rtl/>
        </w:rPr>
        <w:t xml:space="preserve">،فإنّ الدفع علی هذا الوجه إذا لم یوجب الضمان،فالتسلیط علی التصرّف فیه و إتلافه له ممّا لا یوجب ذلک بطریق أولی.</w:t>
      </w:r>
    </w:p>
    <w:p>
      <w:pPr>
        <w:pStyle w:val="BookText"/>
      </w:pPr>
      <w:r>
        <w:rPr>
          <w:rFonts w:ascii="IRNazanin" w:hAnsi="IRNazanin" w:eastAsia="IRNazanin" w:cs="IRNazanin"/>
          <w:lang w:bidi="fa-IR"/>
          <w:color w:val="111111"/>
          <w:sz w:val="28"/>
          <w:szCs w:val="28"/>
          <w:rtl/>
        </w:rPr>
        <w:t xml:space="preserve">و دعوی:أنّه إنّما سلّطه فی مقابل العوض،لا مجّاناً حتّی یشبه الهبة الفاسدة التی تقدّم عدم الضمان فیها.</w:t>
      </w:r>
    </w:p>
    <w:p>
      <w:pPr>
        <w:pStyle w:val="BookText"/>
      </w:pPr>
      <w:r>
        <w:rPr>
          <w:rFonts w:ascii="IRNazanin" w:hAnsi="IRNazanin" w:eastAsia="IRNazanin" w:cs="IRNazanin"/>
          <w:lang w:bidi="fa-IR"/>
          <w:color w:val="111111"/>
          <w:sz w:val="28"/>
          <w:szCs w:val="28"/>
          <w:rtl/>
        </w:rPr>
        <w:t xml:space="preserve">مندفعة:بأنّه إنّما سلّطه فی مقابل ملک غیره،فلم یُضمّنه فی الحقیقة شیئاً من کیسه،فهو یشبه الهبة الفاسدة و البیع بلا ثمن</w:t>
      </w:r>
    </w:p>
    <w:p>
      <w:pPr>
        <w:pStyle w:val="BookText"/>
      </w:pPr>
      <w:r>
        <w:rPr>
          <w:rFonts w:ascii="IRNazanin" w:hAnsi="IRNazanin" w:eastAsia="IRNazanin" w:cs="IRNazanin"/>
          <w:lang w:bidi="fa-IR"/>
          <w:color w:val="111111"/>
          <w:sz w:val="28"/>
          <w:szCs w:val="28"/>
          <w:rtl/>
        </w:rPr>
        <w:t xml:space="preserve">[شماره صفحه واقعی : 486]
</w:t>
      </w:r>
    </w:p>
    <w:p>
      <w:pPr>
        <w:sectPr>
          <w:footerReference w:type="default" r:id="rId1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الإجارة بلا أُجرة،التی قد حکم الشهید و غیر واحد </w:t>
      </w:r>
      <w:r>
        <w:rPr>
          <w:rStyle w:val="FootnoteReference"/>
        </w:rPr>
        <w:footnoteReference w:id="3848"/>
      </w:r>
      <w:r>
        <w:rPr>
          <w:rFonts w:ascii="IRNazanin" w:hAnsi="IRNazanin" w:eastAsia="IRNazanin" w:cs="IRNazanin"/>
          <w:lang w:bidi="fa-IR"/>
          <w:color w:val="111111"/>
          <w:sz w:val="28"/>
          <w:szCs w:val="28"/>
          <w:rtl/>
        </w:rPr>
        <w:t xml:space="preserve">بعدم الضمان فیها.</w:t>
      </w:r>
    </w:p>
    <w:p>
      <w:pPr>
        <w:pStyle w:val="BookText"/>
      </w:pPr>
      <w:r>
        <w:rPr>
          <w:rFonts w:ascii="IRNazanin" w:hAnsi="IRNazanin" w:eastAsia="IRNazanin" w:cs="IRNazanin"/>
          <w:lang w:bidi="fa-IR"/>
          <w:color w:val="111111"/>
          <w:sz w:val="28"/>
          <w:szCs w:val="28"/>
          <w:rtl/>
        </w:rPr>
        <w:t xml:space="preserve">و من ذلک یعلم عدم جریان الوجه الثانی للضمان-و هو الإقدام علی الضمان-هنا؛لأنّ البائع لم یُقدم علی ضمان الثمن إلّا بما علم المشتری أنّه لیس ملکاً له.</w:t>
      </w:r>
    </w:p>
    <w:p>
      <w:pPr>
        <w:pStyle w:val="BookText"/>
      </w:pPr>
      <w:r>
        <w:rPr>
          <w:rFonts w:ascii="IRNazanin" w:hAnsi="IRNazanin" w:eastAsia="IRNazanin" w:cs="IRNazanin"/>
          <w:lang w:bidi="fa-IR"/>
          <w:color w:val="111111"/>
          <w:sz w:val="28"/>
          <w:szCs w:val="28"/>
          <w:rtl/>
        </w:rPr>
        <w:t xml:space="preserve">فإن قلت:تسلّطه </w:t>
      </w:r>
      <w:r>
        <w:rPr>
          <w:rStyle w:val="FootnoteReference"/>
        </w:rPr>
        <w:footnoteReference w:id="3849"/>
      </w:r>
      <w:r>
        <w:rPr>
          <w:rFonts w:ascii="IRNazanin" w:hAnsi="IRNazanin" w:eastAsia="IRNazanin" w:cs="IRNazanin"/>
          <w:lang w:bidi="fa-IR"/>
          <w:color w:val="111111"/>
          <w:sz w:val="28"/>
          <w:szCs w:val="28"/>
          <w:rtl/>
        </w:rPr>
        <w:t xml:space="preserve">علی الثمن بإزاء مال الغیر لبنائه و لو عدواناً علی کونه ملکاً له،و لو لا هذا البناء لم یتحقّق مفهوم المعاوضة </w:t>
      </w:r>
      <w:r>
        <w:rPr>
          <w:rStyle w:val="FootnoteReference"/>
        </w:rPr>
        <w:footnoteReference w:id="3850"/>
      </w:r>
      <w:r>
        <w:rPr>
          <w:rFonts w:ascii="IRNazanin" w:hAnsi="IRNazanin" w:eastAsia="IRNazanin" w:cs="IRNazanin"/>
          <w:lang w:bidi="fa-IR"/>
          <w:color w:val="111111"/>
          <w:sz w:val="28"/>
          <w:szCs w:val="28"/>
          <w:rtl/>
        </w:rPr>
        <w:t xml:space="preserve">-کما تقدّم فی تصحیح بیع الغاصب لنفسه </w:t>
      </w:r>
      <w:r>
        <w:rPr>
          <w:rStyle w:val="FootnoteReference"/>
        </w:rPr>
        <w:footnoteReference w:id="3851"/>
      </w:r>
      <w:r>
        <w:rPr>
          <w:rFonts w:ascii="IRNazanin" w:hAnsi="IRNazanin" w:eastAsia="IRNazanin" w:cs="IRNazanin"/>
          <w:lang w:bidi="fa-IR"/>
          <w:color w:val="111111"/>
          <w:sz w:val="28"/>
          <w:szCs w:val="28"/>
          <w:rtl/>
        </w:rPr>
        <w:t xml:space="preserve">-فهو إنّما سلّطه علی وجه یضمّنه بماله،إلّا أنّ کلاّ منهما لمّا قطع النظر عن حکم الشارع بعدم ملکیّة البائع للمثمن </w:t>
      </w:r>
      <w:r>
        <w:rPr>
          <w:rStyle w:val="FootnoteReference"/>
        </w:rPr>
        <w:footnoteReference w:id="3852"/>
      </w:r>
      <w:r>
        <w:rPr>
          <w:rFonts w:ascii="IRNazanin" w:hAnsi="IRNazanin" w:eastAsia="IRNazanin" w:cs="IRNazanin"/>
          <w:lang w:bidi="fa-IR"/>
          <w:color w:val="111111"/>
          <w:sz w:val="28"/>
          <w:szCs w:val="28"/>
          <w:rtl/>
        </w:rPr>
        <w:t xml:space="preserve">،و تعاقدا مُعرِضَین عن ذلک-کما هو الشأن فی المعاوضات الواردة علی أموال الناس بین السرّاق و الظلمة-بل بنی المشتری علی کون المثمن ملکاً للبائع،فالتسلیط لیس مجّاناً،و تضمینه البائع بمقابل الثمن من ماله حقیقیّ،إلّا أنّ کون المثمن مالاً له ادّعائیّ،</w:t>
      </w:r>
    </w:p>
    <w:p>
      <w:pPr>
        <w:pStyle w:val="BookText"/>
      </w:pPr>
      <w:r>
        <w:rPr>
          <w:rFonts w:ascii="IRNazanin" w:hAnsi="IRNazanin" w:eastAsia="IRNazanin" w:cs="IRNazanin"/>
          <w:lang w:bidi="fa-IR"/>
          <w:color w:val="111111"/>
          <w:sz w:val="28"/>
          <w:szCs w:val="28"/>
          <w:rtl/>
        </w:rPr>
        <w:t xml:space="preserve">[شماره صفحه واقعی : 487]
</w:t>
      </w:r>
    </w:p>
    <w:p>
      <w:pPr>
        <w:sectPr>
          <w:footerReference w:type="default" r:id="rId1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فهو کما لو ظهر المثمن المعیّن ملکاً للغیر،فإنّ المشتری یرجع إلی البائع بالثمن مع التلف اتّفاقاً،مع أنّه إنّما ضمّنه الثمن بإزاء هذا الشیء الذی هو مال الغیر،فکما أنّ التضمین هنا حقیقی،و کون المثمن مالاً له اعتقادیّ لا یقدح تخلّفه فی التضمین،فکذلک بناء المشتری فی ما نحن فیه علی ملک المثمن عدواناً لا یقدح فی التضمین الحقیقی بماله.</w:t>
      </w:r>
    </w:p>
    <w:p>
      <w:pPr>
        <w:pStyle w:val="BookText"/>
      </w:pPr>
      <w:r>
        <w:rPr>
          <w:rFonts w:ascii="IRNazanin" w:hAnsi="IRNazanin" w:eastAsia="IRNazanin" w:cs="IRNazanin"/>
          <w:lang w:bidi="fa-IR"/>
          <w:color w:val="111111"/>
          <w:sz w:val="28"/>
          <w:szCs w:val="28"/>
          <w:rtl/>
        </w:rPr>
        <w:t xml:space="preserve">قلت:الضمان کون الشیء فی عهدة الضامن و خسارته علیه،و إذا کان المضمون به ملکاً لغیر الضامن واقعاً فلا یتحقّق الضمان الحقیقی مع علمهما بذلک.</w:t>
      </w:r>
    </w:p>
    <w:p>
      <w:pPr>
        <w:pStyle w:val="BookText"/>
      </w:pPr>
      <w:r>
        <w:rPr>
          <w:rFonts w:ascii="IRNazanin" w:hAnsi="IRNazanin" w:eastAsia="IRNazanin" w:cs="IRNazanin"/>
          <w:lang w:bidi="fa-IR"/>
          <w:color w:val="111111"/>
          <w:sz w:val="28"/>
          <w:szCs w:val="28"/>
          <w:rtl/>
        </w:rPr>
        <w:t xml:space="preserve">و ما ذکر:من بناء المتعاقدین فی هذا العقد علی کون المثمن ملکاً للبائع الغاصب مع کونه مال الغیر،فهو إنّما یُصحّح وقوع عقد التملیک و التملّک منهما ادّعاءً مع عدم کون البائع أهلاً لذلک فی الواقع،و إلّا فأصل المعاوضة حقیقة بین المالکین و الضمان و التضمین الحقیقی بالنسبة إلیهما؛و لذا ینتقل الثمن إلی مالک المبیع و یدخل فی ضمانه بمجرّد الإجازة.</w:t>
      </w:r>
    </w:p>
    <w:p>
      <w:pPr>
        <w:pStyle w:val="BookText"/>
      </w:pPr>
      <w:r>
        <w:rPr>
          <w:rFonts w:ascii="IRNazanin" w:hAnsi="IRNazanin" w:eastAsia="IRNazanin" w:cs="IRNazanin"/>
          <w:lang w:bidi="fa-IR"/>
          <w:color w:val="111111"/>
          <w:sz w:val="28"/>
          <w:szCs w:val="28"/>
          <w:rtl/>
        </w:rPr>
        <w:t xml:space="preserve">و الحاصل:أنّه لا تضمین حقیقة فی تسلیط المشتری البائع علی الثمن،</w:t>
      </w:r>
    </w:p>
    <w:p>
      <w:pPr>
        <w:pStyle w:val="BookText"/>
      </w:pPr>
      <w:r>
        <w:rPr>
          <w:rFonts w:ascii="IRNazanin" w:hAnsi="IRNazanin" w:eastAsia="IRNazanin" w:cs="IRNazanin"/>
          <w:lang w:bidi="fa-IR"/>
          <w:color w:val="111111"/>
          <w:sz w:val="28"/>
          <w:szCs w:val="28"/>
          <w:rtl/>
        </w:rPr>
        <w:t xml:space="preserve">[*ستوده]</w:t>
      </w:r>
    </w:p>
    <w:p>
      <w:pPr>
        <w:pStyle w:val="BookText"/>
      </w:pPr>
      <w:r>
        <w:rPr>
          <w:rFonts w:ascii="IRNazanin" w:hAnsi="IRNazanin" w:eastAsia="IRNazanin" w:cs="IRNazanin"/>
          <w:lang w:bidi="fa-IR"/>
          <w:color w:val="111111"/>
          <w:sz w:val="28"/>
          <w:szCs w:val="28"/>
          <w:rtl/>
        </w:rPr>
        <w:t xml:space="preserve">و أمّا رجوع المشتری مع اعتقاد المتبایعین لمالکیّة </w:t>
      </w:r>
      <w:r>
        <w:rPr>
          <w:rStyle w:val="FootnoteReference"/>
        </w:rPr>
        <w:footnoteReference w:id="3853"/>
      </w:r>
      <w:r>
        <w:rPr>
          <w:rFonts w:ascii="IRNazanin" w:hAnsi="IRNazanin" w:eastAsia="IRNazanin" w:cs="IRNazanin"/>
          <w:lang w:bidi="fa-IR"/>
          <w:color w:val="111111"/>
          <w:sz w:val="28"/>
          <w:szCs w:val="28"/>
          <w:rtl/>
        </w:rPr>
        <w:t xml:space="preserve">البائع للمثمن عند انکشاف الخطأ-مع أنّه إنّما ضمّنه بمال الغیر-فلعدم طیب نفسه علی تصرّف البائع فیه من دون ضمان،و إن کان ما ضمنه به غیر ملک له و لا یتحقّق به التضمین؛لأنّه إنّما طاب نفسه بتصرّف البائع لاعتقاد کون المثمن ملکاً له و صیرورته مباحاً له بتسلیطه علیه،و هذا مفقود فیما</w:t>
      </w:r>
    </w:p>
    <w:p>
      <w:pPr>
        <w:pStyle w:val="BookText"/>
      </w:pPr>
      <w:r>
        <w:rPr>
          <w:rFonts w:ascii="IRNazanin" w:hAnsi="IRNazanin" w:eastAsia="IRNazanin" w:cs="IRNazanin"/>
          <w:lang w:bidi="fa-IR"/>
          <w:color w:val="111111"/>
          <w:sz w:val="28"/>
          <w:szCs w:val="28"/>
          <w:rtl/>
        </w:rPr>
        <w:t xml:space="preserve">[شماره صفحه واقعی : 488]
</w:t>
      </w:r>
    </w:p>
    <w:p>
      <w:pPr>
        <w:sectPr>
          <w:footerReference w:type="default" r:id="rId1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نحن فیه؛لأنّ طیب النفس بالتصرّف و الإتلاف من دون ضمان له بماله حاصل.</w:t>
      </w:r>
    </w:p>
    <w:p>
      <w:pPr>
        <w:pStyle w:val="BookText"/>
      </w:pPr>
      <w:r>
        <w:rPr>
          <w:rFonts w:ascii="IRNazanin" w:hAnsi="IRNazanin" w:eastAsia="IRNazanin" w:cs="IRNazanin"/>
          <w:lang w:bidi="fa-IR"/>
          <w:color w:val="111111"/>
          <w:sz w:val="28"/>
          <w:szCs w:val="28"/>
          <w:rtl/>
        </w:rPr>
        <w:t xml:space="preserve">و ممّا ذکرنا یظهر-أیضاً-فساد نقض ما ذکرنا بالبیع مع علم المشتری بالفساد،حیث إنّه ضمّن البائع بما یعلم أنّه لا یضمن الثمن به، و کذا البائع مع علمه بالفساد ضمّن المشتری بما یعلم أنّ </w:t>
      </w:r>
      <w:r>
        <w:rPr>
          <w:rStyle w:val="FootnoteReference"/>
        </w:rPr>
        <w:footnoteReference w:id="3854"/>
      </w:r>
      <w:r>
        <w:rPr>
          <w:rFonts w:ascii="IRNazanin" w:hAnsi="IRNazanin" w:eastAsia="IRNazanin" w:cs="IRNazanin"/>
          <w:lang w:bidi="fa-IR"/>
          <w:color w:val="111111"/>
          <w:sz w:val="28"/>
          <w:szCs w:val="28"/>
          <w:rtl/>
        </w:rPr>
        <w:t xml:space="preserve">المشتری لا یضمن به،فکأنه لم یضمّنه بشیء.</w:t>
      </w:r>
    </w:p>
    <w:p>
      <w:pPr>
        <w:pStyle w:val="BookText"/>
      </w:pPr>
      <w:r>
        <w:rPr>
          <w:rFonts w:ascii="IRNazanin" w:hAnsi="IRNazanin" w:eastAsia="IRNazanin" w:cs="IRNazanin"/>
          <w:lang w:bidi="fa-IR"/>
          <w:color w:val="111111"/>
          <w:sz w:val="28"/>
          <w:szCs w:val="28"/>
          <w:rtl/>
        </w:rPr>
        <w:t xml:space="preserve">وجه الفساد:أنّ التضمین الحقیقی حاصل هنا؛لأنّ المضمون به مال الضامن،غایة الأمر أنّ فساد العقد مانع عن مضیّ هذا الضمان و التضمین فی نظر الشارع؛لأنّ المفروض فساده،فإذا لم یمضِ الشارع الضمان الخاصّ صار أصل إقدام الشخص علی الضمان الحقیقی،أو قاعدة إثبات الید علی مال من دون تسلیط مجانی أو استئمان عن مالکه، موجباً لضمانه-علی الخلاف فی مدرک الضمان فی فاسد ما یضمن بصحیحه </w:t>
      </w:r>
      <w:r>
        <w:rPr>
          <w:rStyle w:val="FootnoteReference"/>
        </w:rPr>
        <w:footnoteReference w:id="3855"/>
      </w:r>
      <w:r>
        <w:rPr>
          <w:rFonts w:ascii="IRNazanin" w:hAnsi="IRNazanin" w:eastAsia="IRNazanin" w:cs="IRNazanin"/>
          <w:lang w:bidi="fa-IR"/>
          <w:color w:val="111111"/>
          <w:sz w:val="28"/>
          <w:szCs w:val="28"/>
          <w:rtl/>
        </w:rPr>
        <w:t xml:space="preserve">-و شیء منهما غیر موجود فیما نحن فیه،کما أوضحناه بما لا مزید علیه </w:t>
      </w:r>
      <w:r>
        <w:rPr>
          <w:rStyle w:val="FootnoteReference"/>
        </w:rPr>
        <w:footnoteReference w:id="3856"/>
      </w:r>
      <w:r>
        <w:rPr>
          <w:rFonts w:ascii="IRNazanin" w:hAnsi="IRNazanin" w:eastAsia="IRNazanin" w:cs="IRNazanin"/>
          <w:lang w:bidi="fa-IR"/>
          <w:color w:val="111111"/>
          <w:sz w:val="28"/>
          <w:szCs w:val="28"/>
          <w:rtl/>
        </w:rPr>
        <w:t xml:space="preserve">،و حاصله:أنّ دفع المال إلی الغاصب لیس إلّا کدفعه إلیٰ ثالث یعلم عدم کونه مالکاً للمبیع و تسلیطه علی إتلافه،فی أنّ ردّ المالک لا یوجب الرجوع إلی هذا الثالث </w:t>
      </w:r>
      <w:r>
        <w:rPr>
          <w:rStyle w:val="FootnoteReference"/>
        </w:rPr>
        <w:footnoteReference w:id="38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نعم،لو کان فساد العقد لعدم قبول العوض للملک-کالخمر</w:t>
      </w:r>
    </w:p>
    <w:p>
      <w:pPr>
        <w:pStyle w:val="BookText"/>
      </w:pPr>
      <w:r>
        <w:rPr>
          <w:rFonts w:ascii="IRNazanin" w:hAnsi="IRNazanin" w:eastAsia="IRNazanin" w:cs="IRNazanin"/>
          <w:lang w:bidi="fa-IR"/>
          <w:color w:val="111111"/>
          <w:sz w:val="28"/>
          <w:szCs w:val="28"/>
          <w:rtl/>
        </w:rPr>
        <w:t xml:space="preserve">[شماره صفحه واقعی : 489]
</w:t>
      </w:r>
    </w:p>
    <w:p>
      <w:pPr>
        <w:sectPr>
          <w:footerReference w:type="default" r:id="rId1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الخنزیر و الحرّ قوی اطّراد ما ذکرنا فیه:من عدم ضمان عوضها المملوک مع علم المالک بالحال،کما صرّح به شیخ مشایخنا فی شرحه علی القواعد </w:t>
      </w:r>
      <w:r>
        <w:rPr>
          <w:rStyle w:val="FootnoteReference"/>
        </w:rPr>
        <w:footnoteReference w:id="38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هذا،و لکن </w:t>
      </w:r>
      <w:r>
        <w:rPr>
          <w:rStyle w:val="FootnoteReference"/>
        </w:rPr>
        <w:footnoteReference w:id="3859"/>
      </w:r>
      <w:r>
        <w:rPr>
          <w:rFonts w:ascii="IRNazanin" w:hAnsi="IRNazanin" w:eastAsia="IRNazanin" w:cs="IRNazanin"/>
          <w:lang w:bidi="fa-IR"/>
          <w:color w:val="111111"/>
          <w:sz w:val="28"/>
          <w:szCs w:val="28"/>
          <w:rtl/>
        </w:rPr>
        <w:t xml:space="preserve">إطلاق قولهم:«إنّ کلّ عقد یضمن بصحیحه یضمن بفاسده»یقتضی الضمان فیما نحن فیه و شبهه؛نظراً إلی أنّ البیع الصحیح یقتضی الضمان ففاسده کذلک،إلّا أن یفسّر بما أبطلناه سابقاً:من أنّ کلّ عقد یضمن علی فرض صحّته یضمن علی فرض فساده </w:t>
      </w:r>
      <w:r>
        <w:rPr>
          <w:rStyle w:val="FootnoteReference"/>
        </w:rPr>
        <w:footnoteReference w:id="3860"/>
      </w:r>
      <w:r>
        <w:rPr>
          <w:rFonts w:ascii="IRNazanin" w:hAnsi="IRNazanin" w:eastAsia="IRNazanin" w:cs="IRNazanin"/>
          <w:lang w:bidi="fa-IR"/>
          <w:color w:val="111111"/>
          <w:sz w:val="28"/>
          <w:szCs w:val="28"/>
          <w:rtl/>
        </w:rPr>
        <w:t xml:space="preserve">، و لا ریب أنّ العقد فیما نحن فیه-و فی مثل المبیع </w:t>
      </w:r>
      <w:r>
        <w:rPr>
          <w:rStyle w:val="FootnoteReference"/>
        </w:rPr>
        <w:footnoteReference w:id="3861"/>
      </w:r>
      <w:r>
        <w:rPr>
          <w:rFonts w:ascii="IRNazanin" w:hAnsi="IRNazanin" w:eastAsia="IRNazanin" w:cs="IRNazanin"/>
          <w:lang w:bidi="fa-IR"/>
          <w:color w:val="111111"/>
          <w:sz w:val="28"/>
          <w:szCs w:val="28"/>
          <w:rtl/>
        </w:rPr>
        <w:t xml:space="preserve">بلا ثمن و الإجارة بلا اجرة-إذا فرض صحیحاً لا یکون فیه </w:t>
      </w:r>
      <w:r>
        <w:rPr>
          <w:rStyle w:val="FootnoteReference"/>
        </w:rPr>
        <w:footnoteReference w:id="3862"/>
      </w:r>
      <w:r>
        <w:rPr>
          <w:rFonts w:ascii="IRNazanin" w:hAnsi="IRNazanin" w:eastAsia="IRNazanin" w:cs="IRNazanin"/>
          <w:lang w:bidi="fa-IR"/>
          <w:color w:val="111111"/>
          <w:sz w:val="28"/>
          <w:szCs w:val="28"/>
          <w:rtl/>
        </w:rPr>
        <w:t xml:space="preserve">ضمان،فکذلک مع الحکم بالفساد،لکنّک عرفت ضعف هذا المعنی فیما ذکرناه سابقاً فی توضیح هذه القضیّة؛فإنّ معناه:أنّ کلّ عقد تحقّق الضمان فی الفرد الصحیح منه یثبت الضمان فی الفرد الفاسد منه،فیختصّ موردها بما إذا کان للعقد فردان فعلیّان،لا الفرد الواحد المفروض تارة صحیحاً و أُخری فاسداً.</w:t>
      </w:r>
    </w:p>
    <w:p>
      <w:pPr>
        <w:pStyle w:val="BookText"/>
      </w:pPr>
      <w:r>
        <w:rPr>
          <w:rFonts w:ascii="IRNazanin" w:hAnsi="IRNazanin" w:eastAsia="IRNazanin" w:cs="IRNazanin"/>
          <w:lang w:bidi="fa-IR"/>
          <w:color w:val="111111"/>
          <w:sz w:val="28"/>
          <w:szCs w:val="28"/>
          <w:rtl/>
        </w:rPr>
        <w:t xml:space="preserve">نعم،یمکن تطبیق المعنی المختار فیما نحن فیه و شبهه،بأن لا یکون المراد من العقد فی موضوع القضیّة خصوص النوع المتعارف من أنواع العقود-کالبیع و الصلح-بل یراد مطلق المعاملة المالیّة التی یوجد لها</w:t>
      </w:r>
    </w:p>
    <w:p>
      <w:pPr>
        <w:pStyle w:val="BookText"/>
      </w:pPr>
      <w:r>
        <w:rPr>
          <w:rFonts w:ascii="IRNazanin" w:hAnsi="IRNazanin" w:eastAsia="IRNazanin" w:cs="IRNazanin"/>
          <w:lang w:bidi="fa-IR"/>
          <w:color w:val="111111"/>
          <w:sz w:val="28"/>
          <w:szCs w:val="28"/>
          <w:rtl/>
        </w:rPr>
        <w:t xml:space="preserve">[شماره صفحه واقعی : 490]
</w:t>
      </w:r>
    </w:p>
    <w:p>
      <w:pPr>
        <w:sectPr>
          <w:footerReference w:type="default" r:id="rId1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فردان صحیح و فاسد،فیقال:إنّ ما نحن فیه و البیع بلا ثمن و الإجارة بلا اجرة،تملیک بلا عوض من مال الآخر،و الفرد الصحیح من هذه المعاملة-و هی الهبة الغیر المعوّضة-لا ضمان فیها،ففاسدها کذلک، فتأمّل.</w:t>
      </w:r>
    </w:p>
    <w:p>
      <w:pPr>
        <w:pStyle w:val="BookText"/>
      </w:pPr>
      <w:r>
        <w:rPr>
          <w:rFonts w:ascii="IRNazanin" w:hAnsi="IRNazanin" w:eastAsia="IRNazanin" w:cs="IRNazanin"/>
          <w:lang w:bidi="fa-IR"/>
          <w:color w:val="111111"/>
          <w:sz w:val="28"/>
          <w:szCs w:val="28"/>
          <w:rtl/>
        </w:rPr>
        <w:t xml:space="preserve">[*ستوده]</w:t>
      </w:r>
    </w:p>
    <w:p>
      <w:pPr>
        <w:pStyle w:val="BookText"/>
      </w:pPr>
      <w:r>
        <w:rPr>
          <w:rFonts w:ascii="IRNazanin" w:hAnsi="IRNazanin" w:eastAsia="IRNazanin" w:cs="IRNazanin"/>
          <w:lang w:bidi="fa-IR"/>
          <w:color w:val="111111"/>
          <w:sz w:val="28"/>
          <w:szCs w:val="28"/>
          <w:rtl/>
        </w:rPr>
        <w:t xml:space="preserve">و بالجملة،فمستند المشهور فی مسألتنا لا یخلو من غموض؛و لذا لم یصرّح أحد بعدم الضمان فی«بعتک بلا ثمن»مع اتّفاقهم علیه هنا </w:t>
      </w:r>
      <w:r>
        <w:rPr>
          <w:rStyle w:val="FootnoteReference"/>
        </w:rPr>
        <w:footnoteReference w:id="3863"/>
      </w:r>
      <w:r>
        <w:rPr>
          <w:rFonts w:ascii="IRNazanin" w:hAnsi="IRNazanin" w:eastAsia="IRNazanin" w:cs="IRNazanin"/>
          <w:lang w:bidi="fa-IR"/>
          <w:color w:val="111111"/>
          <w:sz w:val="28"/>
          <w:szCs w:val="28"/>
          <w:rtl/>
        </w:rPr>
        <w:t xml:space="preserve">، و صرّح بعضهم </w:t>
      </w:r>
      <w:r>
        <w:rPr>
          <w:rStyle w:val="FootnoteReference"/>
        </w:rPr>
        <w:footnoteReference w:id="3864"/>
      </w:r>
      <w:r>
        <w:rPr>
          <w:rFonts w:ascii="IRNazanin" w:hAnsi="IRNazanin" w:eastAsia="IRNazanin" w:cs="IRNazanin"/>
          <w:lang w:bidi="fa-IR"/>
          <w:color w:val="111111"/>
          <w:sz w:val="28"/>
          <w:szCs w:val="28"/>
          <w:rtl/>
        </w:rPr>
        <w:t xml:space="preserve">بضمان المرتشی مع تلف الرشوة التی هی من قبیل الثمن فیما نحن فیه.نعم،ذکر الشهید رحمه اللّه و غیره عدم الضمان فی الإجارة بلا اجرة </w:t>
      </w:r>
      <w:r>
        <w:rPr>
          <w:rStyle w:val="FootnoteReference"/>
        </w:rPr>
        <w:footnoteReference w:id="38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یؤیّد ما ذکرنا:ما دلّ من الأخبار علی کون ثمن الکلب أو الخمر سحتاً </w:t>
      </w:r>
      <w:r>
        <w:rPr>
          <w:rStyle w:val="FootnoteReference"/>
        </w:rPr>
        <w:footnoteReference w:id="3866"/>
      </w:r>
      <w:r>
        <w:rPr>
          <w:rFonts w:ascii="IRNazanin" w:hAnsi="IRNazanin" w:eastAsia="IRNazanin" w:cs="IRNazanin"/>
          <w:lang w:bidi="fa-IR"/>
          <w:color w:val="111111"/>
          <w:sz w:val="28"/>
          <w:szCs w:val="28"/>
          <w:rtl/>
        </w:rPr>
        <w:t xml:space="preserve">،و إن أمکن الذبّ عنه بأنّ المراد التشبیه فی التحریم، فلا ینافی عدم الضمان مع التلف کأصل السحت.</w:t>
      </w:r>
    </w:p>
    <w:p>
      <w:pPr>
        <w:pStyle w:val="BookText"/>
      </w:pPr>
      <w:r>
        <w:rPr>
          <w:rFonts w:ascii="IRNazanin" w:hAnsi="IRNazanin" w:eastAsia="IRNazanin" w:cs="IRNazanin"/>
          <w:lang w:bidi="fa-IR"/>
          <w:color w:val="111111"/>
          <w:sz w:val="28"/>
          <w:szCs w:val="28"/>
          <w:rtl/>
        </w:rPr>
        <w:t xml:space="preserve">ثمّ إنّ مقتضی ما ذکرناه فی وجه عدم الرجوع بالثمن:ثبوت</w:t>
      </w:r>
    </w:p>
    <w:p>
      <w:pPr>
        <w:pStyle w:val="BookText"/>
      </w:pPr>
      <w:r>
        <w:rPr>
          <w:rFonts w:ascii="IRNazanin" w:hAnsi="IRNazanin" w:eastAsia="IRNazanin" w:cs="IRNazanin"/>
          <w:lang w:bidi="fa-IR"/>
          <w:color w:val="111111"/>
          <w:sz w:val="28"/>
          <w:szCs w:val="28"/>
          <w:rtl/>
        </w:rPr>
        <w:t xml:space="preserve">[شماره صفحه واقعی : 491]
</w:t>
      </w:r>
    </w:p>
    <w:p>
      <w:pPr>
        <w:sectPr>
          <w:footerReference w:type="default" r:id="rId1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الرجوع إذا باع البائع الفضولی غیر بائعٍ لنفسه،بل باع عن المالک و دفع المشتری الثمن إلیه لکونه واسطة فی إیصاله إلی المالک فتلف فی یده؛إذ لم یسلّطه علیه و لا أذن له فی التصرّف فیه،فضلاً عن إتلافه، و لعلّ کلماتهم و معاقد اتّفاقهم تختصّ بالغاصب البائع لنفسه،و إن کان ظاهر بعضهم ثبوت الحکم فی مطلق الفضولی مع علم المشتری بالفضولیّة.</w:t>
      </w:r>
    </w:p>
    <w:p>
      <w:pPr>
        <w:pStyle w:val="BookText"/>
      </w:pPr>
      <w:r>
        <w:rPr>
          <w:rFonts w:ascii="IRNazanin" w:hAnsi="IRNazanin" w:eastAsia="IRNazanin" w:cs="IRNazanin"/>
          <w:lang w:bidi="fa-IR"/>
          <w:color w:val="111111"/>
          <w:sz w:val="28"/>
          <w:szCs w:val="28"/>
          <w:rtl/>
        </w:rPr>
        <w:t xml:space="preserve">و کذا یقوی الرجوع لو أخذ البائع الثمن من دون إذن المشتری، بل أخذه بناءً علی العقد الواقع بینهما؛فإنّه لم یحصل هنا من المشتری تسلیط </w:t>
      </w:r>
      <w:r>
        <w:rPr>
          <w:rStyle w:val="FootnoteReference"/>
        </w:rPr>
        <w:footnoteReference w:id="3867"/>
      </w:r>
      <w:r>
        <w:rPr>
          <w:rFonts w:ascii="IRNazanin" w:hAnsi="IRNazanin" w:eastAsia="IRNazanin" w:cs="IRNazanin"/>
          <w:lang w:bidi="fa-IR"/>
          <w:color w:val="111111"/>
          <w:sz w:val="28"/>
          <w:szCs w:val="28"/>
          <w:rtl/>
        </w:rPr>
        <w:t xml:space="preserve">إلّا بالعقد،و التسلیط العقدی مع فساده غیر مؤثّر فی دفع </w:t>
      </w:r>
      <w:r>
        <w:rPr>
          <w:rStyle w:val="FootnoteReference"/>
        </w:rPr>
        <w:footnoteReference w:id="3868"/>
      </w:r>
      <w:r>
        <w:rPr>
          <w:rFonts w:ascii="IRNazanin" w:hAnsi="IRNazanin" w:eastAsia="IRNazanin" w:cs="IRNazanin"/>
          <w:lang w:bidi="fa-IR"/>
          <w:color w:val="111111"/>
          <w:sz w:val="28"/>
          <w:szCs w:val="28"/>
          <w:rtl/>
        </w:rPr>
        <w:t xml:space="preserve">الضمان،و یکشف عن ذلک تصریح غیر واحد منهم </w:t>
      </w:r>
      <w:r>
        <w:rPr>
          <w:rStyle w:val="FootnoteReference"/>
        </w:rPr>
        <w:footnoteReference w:id="3869"/>
      </w:r>
      <w:r>
        <w:rPr>
          <w:rFonts w:ascii="Amiri" w:hAnsi="Amiri" w:eastAsia="Amiri" w:cs="Amiri"/>
          <w:lang w:bidi="ar-SA"/>
          <w:color w:val="111111"/>
          <w:sz w:val="28"/>
          <w:szCs w:val="28"/>
          <w:rtl/>
        </w:rPr>
        <w:t xml:space="preserve">بإباحة تصرّف البائع الغاصب </w:t>
      </w:r>
      <w:r>
        <w:rPr>
          <w:rStyle w:val="FootnoteReference"/>
        </w:rPr>
        <w:footnoteReference w:id="3870"/>
      </w:r>
      <w:r>
        <w:rPr>
          <w:rFonts w:ascii="IRNazanin" w:hAnsi="IRNazanin" w:eastAsia="IRNazanin" w:cs="IRNazanin"/>
          <w:lang w:bidi="fa-IR"/>
          <w:color w:val="111111"/>
          <w:sz w:val="28"/>
          <w:szCs w:val="28"/>
          <w:rtl/>
        </w:rPr>
        <w:t xml:space="preserve">فیه مع اتّفاقهم ظاهراً علی عدم تأثیر العقد الفاسد فی الإباحة.</w:t>
      </w:r>
    </w:p>
    <w:p>
      <w:pPr>
        <w:pStyle w:val="BookText"/>
      </w:pPr>
      <w:r>
        <w:rPr>
          <w:rFonts w:ascii="IRNazanin" w:hAnsi="IRNazanin" w:eastAsia="IRNazanin" w:cs="IRNazanin"/>
          <w:lang w:bidi="fa-IR"/>
          <w:color w:val="111111"/>
          <w:sz w:val="28"/>
          <w:szCs w:val="28"/>
          <w:rtl/>
        </w:rPr>
        <w:t xml:space="preserve">و کذا یقوی الضمان لو اشترط علی البائع الرجوع بالثمن لو أخذ العینَ صاحبها.</w:t>
      </w:r>
    </w:p>
    <w:p>
      <w:pPr>
        <w:pStyle w:val="BookText"/>
      </w:pPr>
      <w:r>
        <w:rPr>
          <w:rFonts w:ascii="IRNazanin" w:hAnsi="IRNazanin" w:eastAsia="IRNazanin" w:cs="IRNazanin"/>
          <w:lang w:bidi="fa-IR"/>
          <w:color w:val="111111"/>
          <w:sz w:val="28"/>
          <w:szCs w:val="28"/>
          <w:rtl/>
        </w:rPr>
        <w:t xml:space="preserve">و لو کان الثمن کلیّاً فدفع إلیه المشتری بعض أفراده،فالظاهر عدم الرجوع؛لأنّه کالثمن المعیّن فی تسلیطه علیه مجّاناً.</w:t>
      </w:r>
    </w:p>
    <w:p>
      <w:pPr>
        <w:pStyle w:val="BookText"/>
      </w:pPr>
      <w:r>
        <w:rPr>
          <w:rFonts w:ascii="IRNazanin" w:hAnsi="IRNazanin" w:eastAsia="IRNazanin" w:cs="IRNazanin"/>
          <w:lang w:bidi="fa-IR"/>
          <w:color w:val="111111"/>
          <w:sz w:val="28"/>
          <w:szCs w:val="28"/>
          <w:rtl/>
        </w:rPr>
        <w:t xml:space="preserve">[شماره صفحه واقعی : 492]
</w:t>
      </w:r>
    </w:p>
    <w:p>
      <w:pPr>
        <w:sectPr>
          <w:footerReference w:type="default" r:id="rId1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المسألة الثانیة أنّ المشتری إذا اغترم للمالک غیر الثمن: فإمّا أن یکون فی </w:t>
      </w:r>
      <w:r>
        <w:rPr>
          <w:rStyle w:val="FootnoteReference"/>
        </w:rPr>
        <w:footnoteReference w:id="3871"/>
      </w:r>
      <w:r>
        <w:rPr>
          <w:rFonts w:ascii="IRNazanin" w:hAnsi="IRNazanin" w:eastAsia="IRNazanin" w:cs="IRNazanin"/>
          <w:lang w:bidi="fa-IR"/>
          <w:color w:val="111111"/>
          <w:sz w:val="28"/>
          <w:szCs w:val="28"/>
          <w:rtl/>
        </w:rPr>
        <w:t xml:space="preserve">مقابل العین،کزیادة القیمة علی الثمن إذا رجع المالک بها علی المشتری،کأن کانت القیمة المأخوذة منه عشرین و الثمن عشرة.</w:t>
      </w:r>
    </w:p>
    <w:p>
      <w:pPr>
        <w:pStyle w:val="BookText"/>
      </w:pPr>
      <w:r>
        <w:rPr>
          <w:rFonts w:ascii="IRNazanin" w:hAnsi="IRNazanin" w:eastAsia="IRNazanin" w:cs="IRNazanin"/>
          <w:lang w:bidi="fa-IR"/>
          <w:color w:val="111111"/>
          <w:sz w:val="28"/>
          <w:szCs w:val="28"/>
          <w:rtl/>
        </w:rPr>
        <w:t xml:space="preserve">و إمّا أن یکون فی مقابل ما استوفاه المشتری،کسکنی الدار و وطء الجاریة و اللبن و الصوف و الثمرة.و إمّا أن یکون غرامة لم یحصل له فی مقابلها نفع،کالنفقة و ما صرفه فی العمارة،و ما تلف منه أو ضاع من الغرس و الحفر،أو إعطائه قیمةً للولد المنعقد حرّا و نحو ذلک،أو نَقَص من الصفات و الأجزاء.</w:t>
      </w:r>
    </w:p>
    <w:p>
      <w:pPr>
        <w:pStyle w:val="BookText"/>
      </w:pPr>
      <w:r>
        <w:rPr>
          <w:rFonts w:ascii="IRNazanin" w:hAnsi="IRNazanin" w:eastAsia="IRNazanin" w:cs="IRNazanin"/>
          <w:lang w:bidi="fa-IR"/>
          <w:color w:val="111111"/>
          <w:sz w:val="28"/>
          <w:szCs w:val="28"/>
          <w:rtl/>
        </w:rPr>
        <w:t xml:space="preserve">ثمّ المشتری،إن کان عالماً فلا رجوع فی شیءٍ من هذه الموارد؛ لعدم الدلیل علیه.</w:t>
      </w:r>
    </w:p>
    <w:p>
      <w:pPr>
        <w:pStyle w:val="BookText"/>
      </w:pPr>
      <w:r>
        <w:rPr>
          <w:rFonts w:ascii="IRNazanin" w:hAnsi="IRNazanin" w:eastAsia="IRNazanin" w:cs="IRNazanin"/>
          <w:lang w:bidi="fa-IR"/>
          <w:color w:val="111111"/>
          <w:sz w:val="28"/>
          <w:szCs w:val="28"/>
          <w:rtl/>
        </w:rPr>
        <w:t xml:space="preserve">و إن کان جاهلاً،فأمّا الثالث فالمعروف من مذهب الأصحاب -کما فی الریاض </w:t>
      </w:r>
      <w:r>
        <w:rPr>
          <w:rStyle w:val="FootnoteReference"/>
        </w:rPr>
        <w:footnoteReference w:id="3872"/>
      </w:r>
      <w:r>
        <w:rPr>
          <w:rFonts w:ascii="IRNazanin" w:hAnsi="IRNazanin" w:eastAsia="IRNazanin" w:cs="IRNazanin"/>
          <w:lang w:bidi="fa-IR"/>
          <w:color w:val="111111"/>
          <w:sz w:val="28"/>
          <w:szCs w:val="28"/>
          <w:rtl/>
        </w:rPr>
        <w:t xml:space="preserve">و عن الکفایة </w:t>
      </w:r>
      <w:r>
        <w:rPr>
          <w:rStyle w:val="FootnoteReference"/>
        </w:rPr>
        <w:footnoteReference w:id="3873"/>
      </w:r>
      <w:r>
        <w:rPr>
          <w:rFonts w:ascii="IRNazanin" w:hAnsi="IRNazanin" w:eastAsia="IRNazanin" w:cs="IRNazanin"/>
          <w:lang w:bidi="fa-IR"/>
          <w:color w:val="111111"/>
          <w:sz w:val="28"/>
          <w:szCs w:val="28"/>
          <w:rtl/>
        </w:rPr>
        <w:t xml:space="preserve">-:رجوع المشتری الجاهل بها علی البائع،بل فی کلام بعض </w:t>
      </w:r>
      <w:r>
        <w:rPr>
          <w:rStyle w:val="FootnoteReference"/>
        </w:rPr>
        <w:footnoteReference w:id="3874"/>
      </w:r>
      <w:r>
        <w:rPr>
          <w:rFonts w:ascii="IRNazanin" w:hAnsi="IRNazanin" w:eastAsia="IRNazanin" w:cs="IRNazanin"/>
          <w:lang w:bidi="fa-IR"/>
          <w:color w:val="111111"/>
          <w:sz w:val="28"/>
          <w:szCs w:val="28"/>
          <w:rtl/>
        </w:rPr>
        <w:t xml:space="preserve">-تبعاً للمحکی عن فخر الإسلام فی</w:t>
      </w:r>
    </w:p>
    <w:p>
      <w:pPr>
        <w:pStyle w:val="BookText"/>
      </w:pPr>
      <w:r>
        <w:rPr>
          <w:rFonts w:ascii="IRNazanin" w:hAnsi="IRNazanin" w:eastAsia="IRNazanin" w:cs="IRNazanin"/>
          <w:lang w:bidi="fa-IR"/>
          <w:color w:val="111111"/>
          <w:sz w:val="28"/>
          <w:szCs w:val="28"/>
          <w:rtl/>
        </w:rPr>
        <w:t xml:space="preserve">[شماره صفحه واقعی : 493]
</w:t>
      </w:r>
    </w:p>
    <w:p>
      <w:pPr>
        <w:sectPr>
          <w:footerReference w:type="default" r:id="rId1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شرح الإرشاد </w:t>
      </w:r>
      <w:r>
        <w:rPr>
          <w:rStyle w:val="FootnoteReference"/>
        </w:rPr>
        <w:footnoteReference w:id="3875"/>
      </w:r>
      <w:r>
        <w:rPr>
          <w:rFonts w:ascii="IRNazanin" w:hAnsi="IRNazanin" w:eastAsia="IRNazanin" w:cs="IRNazanin"/>
          <w:lang w:bidi="fa-IR"/>
          <w:color w:val="111111"/>
          <w:sz w:val="28"/>
          <w:szCs w:val="28"/>
          <w:rtl/>
        </w:rPr>
        <w:t xml:space="preserve">-دعوی الإجماع علی الرجوع بما </w:t>
      </w:r>
      <w:r>
        <w:rPr>
          <w:rStyle w:val="FootnoteReference"/>
        </w:rPr>
        <w:footnoteReference w:id="3876"/>
      </w:r>
      <w:r>
        <w:rPr>
          <w:rFonts w:ascii="IRNazanin" w:hAnsi="IRNazanin" w:eastAsia="IRNazanin" w:cs="IRNazanin"/>
          <w:lang w:bidi="fa-IR"/>
          <w:color w:val="111111"/>
          <w:sz w:val="28"/>
          <w:szCs w:val="28"/>
          <w:rtl/>
        </w:rPr>
        <w:t xml:space="preserve">لم یحصل فی مقابله نفع.</w:t>
      </w:r>
    </w:p>
    <w:p>
      <w:pPr>
        <w:pStyle w:val="BookText"/>
      </w:pPr>
      <w:r>
        <w:rPr>
          <w:rFonts w:ascii="IRNazanin" w:hAnsi="IRNazanin" w:eastAsia="IRNazanin" w:cs="IRNazanin"/>
          <w:lang w:bidi="fa-IR"/>
          <w:color w:val="111111"/>
          <w:sz w:val="28"/>
          <w:szCs w:val="28"/>
          <w:rtl/>
        </w:rPr>
        <w:t xml:space="preserve">و فی السرائر </w:t>
      </w:r>
      <w:r>
        <w:rPr>
          <w:rStyle w:val="FootnoteReference"/>
        </w:rPr>
        <w:footnoteReference w:id="3877"/>
      </w:r>
      <w:r>
        <w:rPr>
          <w:rFonts w:ascii="Amiri" w:hAnsi="Amiri" w:eastAsia="Amiri" w:cs="Amiri"/>
          <w:lang w:bidi="ar-SA"/>
          <w:color w:val="111111"/>
          <w:sz w:val="28"/>
          <w:szCs w:val="28"/>
          <w:rtl/>
        </w:rPr>
        <w:t xml:space="preserve">:أنّه یرجع قولاً واحداً </w:t>
      </w:r>
      <w:r>
        <w:rPr>
          <w:rStyle w:val="FootnoteReference"/>
        </w:rPr>
        <w:footnoteReference w:id="3878"/>
      </w:r>
      <w:r>
        <w:rPr>
          <w:rFonts w:ascii="IRNazanin" w:hAnsi="IRNazanin" w:eastAsia="IRNazanin" w:cs="IRNazanin"/>
          <w:lang w:bidi="fa-IR"/>
          <w:color w:val="111111"/>
          <w:sz w:val="28"/>
          <w:szCs w:val="28"/>
          <w:rtl/>
        </w:rPr>
        <w:t xml:space="preserve">،و </w:t>
      </w:r>
      <w:r>
        <w:rPr>
          <w:rStyle w:val="FootnoteReference"/>
        </w:rPr>
        <w:footnoteReference w:id="3879"/>
      </w:r>
      <w:r>
        <w:rPr>
          <w:rFonts w:ascii="IRNazanin" w:hAnsi="IRNazanin" w:eastAsia="IRNazanin" w:cs="IRNazanin"/>
          <w:lang w:bidi="fa-IR"/>
          <w:color w:val="111111"/>
          <w:sz w:val="28"/>
          <w:szCs w:val="28"/>
          <w:rtl/>
        </w:rPr>
        <w:t xml:space="preserve">فی کلام المحقّق </w:t>
      </w:r>
      <w:r>
        <w:rPr>
          <w:rStyle w:val="FootnoteReference"/>
        </w:rPr>
        <w:footnoteReference w:id="3880"/>
      </w:r>
      <w:r>
        <w:rPr>
          <w:rFonts w:ascii="IRNazanin" w:hAnsi="IRNazanin" w:eastAsia="IRNazanin" w:cs="IRNazanin"/>
          <w:lang w:bidi="fa-IR"/>
          <w:color w:val="111111"/>
          <w:sz w:val="28"/>
          <w:szCs w:val="28"/>
          <w:rtl/>
        </w:rPr>
        <w:t xml:space="preserve">و الشهید </w:t>
      </w:r>
      <w:r>
        <w:rPr>
          <w:rStyle w:val="FootnoteReference"/>
        </w:rPr>
        <w:footnoteReference w:id="3881"/>
      </w:r>
      <w:r>
        <w:rPr>
          <w:rFonts w:ascii="IRNazanin" w:hAnsi="IRNazanin" w:eastAsia="IRNazanin" w:cs="IRNazanin"/>
          <w:lang w:bidi="fa-IR"/>
          <w:color w:val="111111"/>
          <w:sz w:val="28"/>
          <w:szCs w:val="28"/>
          <w:rtl/>
        </w:rPr>
        <w:t xml:space="preserve">الثانیین-فی کتاب الضمان-:نفی الإشکال عن ضمان البائع لدرک ما یُحدثه المشتری إذا قلعه </w:t>
      </w:r>
      <w:r>
        <w:rPr>
          <w:rStyle w:val="FootnoteReference"/>
        </w:rPr>
        <w:footnoteReference w:id="3882"/>
      </w:r>
      <w:r>
        <w:rPr>
          <w:rFonts w:ascii="IRNazanin" w:hAnsi="IRNazanin" w:eastAsia="IRNazanin" w:cs="IRNazanin"/>
          <w:lang w:bidi="fa-IR"/>
          <w:color w:val="111111"/>
          <w:sz w:val="28"/>
          <w:szCs w:val="28"/>
          <w:rtl/>
        </w:rPr>
        <w:t xml:space="preserve">المالک.</w:t>
      </w:r>
    </w:p>
    <w:p>
      <w:pPr>
        <w:pStyle w:val="BookText"/>
      </w:pPr>
      <w:r>
        <w:rPr>
          <w:rFonts w:ascii="IRNazanin" w:hAnsi="IRNazanin" w:eastAsia="IRNazanin" w:cs="IRNazanin"/>
          <w:lang w:bidi="fa-IR"/>
          <w:color w:val="111111"/>
          <w:sz w:val="28"/>
          <w:szCs w:val="28"/>
          <w:rtl/>
        </w:rPr>
        <w:t xml:space="preserve">و بالجملة،فالظاهر عدم الخلاف فی المسألة؛للغرور-فإنّ البائع مغرِّر للمشتری و موقِع إیّاه فی خطرات الضمان و متلِف علیه ما یغرمه، فهو کشاهد الزور الذی یُرجع إلیه إذا رجع عن </w:t>
      </w:r>
      <w:r>
        <w:rPr>
          <w:rStyle w:val="FootnoteReference"/>
        </w:rPr>
        <w:footnoteReference w:id="3883"/>
      </w:r>
      <w:r>
        <w:rPr>
          <w:rFonts w:ascii="IRNazanin" w:hAnsi="IRNazanin" w:eastAsia="IRNazanin" w:cs="IRNazanin"/>
          <w:lang w:bidi="fa-IR"/>
          <w:color w:val="111111"/>
          <w:sz w:val="28"/>
          <w:szCs w:val="28"/>
          <w:rtl/>
        </w:rPr>
        <w:t xml:space="preserve">شهادته-و لقاعدة نفی الضرر،مضافاً إلی ظاهر روایة جمیل أو فحواها:«عن الرجل یشتری الجاریة من السوق فیولدها،ثمّ یجیء مستحقّ الجاریة،قال:</w:t>
      </w:r>
    </w:p>
    <w:p>
      <w:pPr>
        <w:pStyle w:val="BookText"/>
      </w:pPr>
      <w:r>
        <w:rPr>
          <w:rFonts w:ascii="IRNazanin" w:hAnsi="IRNazanin" w:eastAsia="IRNazanin" w:cs="IRNazanin"/>
          <w:lang w:bidi="fa-IR"/>
          <w:color w:val="111111"/>
          <w:sz w:val="28"/>
          <w:szCs w:val="28"/>
          <w:rtl/>
        </w:rPr>
        <w:t xml:space="preserve">یأخذ الجاریة المستحقّ،و یدفع إلیه المبتاع قیمة الولد و یرجع علی من باعه بثمن الجاریة و قیمة الولد التی أُخذت منه» </w:t>
      </w:r>
      <w:r>
        <w:rPr>
          <w:rStyle w:val="FootnoteReference"/>
        </w:rPr>
        <w:footnoteReference w:id="3884"/>
      </w:r>
      <w:r>
        <w:rPr>
          <w:rFonts w:ascii="Amiri" w:hAnsi="Amiri" w:eastAsia="Amiri" w:cs="Amiri"/>
          <w:lang w:bidi="ar-SA"/>
          <w:color w:val="111111"/>
          <w:sz w:val="28"/>
          <w:szCs w:val="28"/>
          <w:rtl/>
        </w:rPr>
        <w:t xml:space="preserve">فإنّ حریّة ولد</w:t>
      </w:r>
    </w:p>
    <w:p>
      <w:pPr>
        <w:pStyle w:val="BookText"/>
      </w:pPr>
      <w:r>
        <w:rPr>
          <w:rFonts w:ascii="IRNazanin" w:hAnsi="IRNazanin" w:eastAsia="IRNazanin" w:cs="IRNazanin"/>
          <w:lang w:bidi="fa-IR"/>
          <w:color w:val="111111"/>
          <w:sz w:val="28"/>
          <w:szCs w:val="28"/>
          <w:rtl/>
        </w:rPr>
        <w:t xml:space="preserve">[شماره صفحه واقعی : 494]
</w:t>
      </w:r>
    </w:p>
    <w:p>
      <w:pPr>
        <w:sectPr>
          <w:footerReference w:type="default" r:id="rId1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المشتری إمّا أن یعدّ نفعاً عائداً إلیه أو لا،و علی التقدیرین یثبت المطلوب،مع أنّ فی توصیف قیمة الولد بأنّها«أُخذت منه»نوع إشعار بعلیّة </w:t>
      </w:r>
      <w:r>
        <w:rPr>
          <w:rStyle w:val="FootnoteReference"/>
        </w:rPr>
        <w:footnoteReference w:id="3885"/>
      </w:r>
      <w:r>
        <w:rPr>
          <w:rFonts w:ascii="IRNazanin" w:hAnsi="IRNazanin" w:eastAsia="IRNazanin" w:cs="IRNazanin"/>
          <w:lang w:bidi="fa-IR"/>
          <w:color w:val="111111"/>
          <w:sz w:val="28"/>
          <w:szCs w:val="28"/>
          <w:rtl/>
        </w:rPr>
        <w:t xml:space="preserve">الحکم،فیطّرد فی سائر ما أُخذت </w:t>
      </w:r>
      <w:r>
        <w:rPr>
          <w:rStyle w:val="FootnoteReference"/>
        </w:rPr>
        <w:footnoteReference w:id="3886"/>
      </w:r>
      <w:r>
        <w:rPr>
          <w:rFonts w:ascii="IRNazanin" w:hAnsi="IRNazanin" w:eastAsia="IRNazanin" w:cs="IRNazanin"/>
          <w:lang w:bidi="fa-IR"/>
          <w:color w:val="111111"/>
          <w:sz w:val="28"/>
          <w:szCs w:val="28"/>
          <w:rtl/>
        </w:rPr>
        <w:t xml:space="preserve">منه.</w:t>
      </w:r>
    </w:p>
    <w:p>
      <w:pPr>
        <w:pStyle w:val="BookText"/>
      </w:pPr>
      <w:r>
        <w:rPr>
          <w:rFonts w:ascii="IRNazanin" w:hAnsi="IRNazanin" w:eastAsia="IRNazanin" w:cs="IRNazanin"/>
          <w:lang w:bidi="fa-IR"/>
          <w:color w:val="111111"/>
          <w:sz w:val="28"/>
          <w:szCs w:val="28"/>
          <w:rtl/>
        </w:rPr>
        <w:t xml:space="preserve">[*ستوده]</w:t>
      </w:r>
    </w:p>
    <w:p>
      <w:pPr>
        <w:pStyle w:val="BookText"/>
      </w:pPr>
      <w:r>
        <w:rPr>
          <w:rFonts w:ascii="IRNazanin" w:hAnsi="IRNazanin" w:eastAsia="IRNazanin" w:cs="IRNazanin"/>
          <w:lang w:bidi="fa-IR"/>
          <w:color w:val="111111"/>
          <w:sz w:val="28"/>
          <w:szCs w:val="28"/>
          <w:rtl/>
        </w:rPr>
        <w:t xml:space="preserve">و أمّا السکوت عن رجوع المشتری إلی البائع فی بعض الأخبار، فهو لعدم کونه مسوقاً لذلک.</w:t>
      </w:r>
    </w:p>
    <w:p>
      <w:pPr>
        <w:pStyle w:val="BookText"/>
      </w:pPr>
      <w:r>
        <w:rPr>
          <w:rFonts w:ascii="IRNazanin" w:hAnsi="IRNazanin" w:eastAsia="IRNazanin" w:cs="IRNazanin"/>
          <w:lang w:bidi="fa-IR"/>
          <w:color w:val="111111"/>
          <w:sz w:val="28"/>
          <w:szCs w:val="28"/>
          <w:rtl/>
        </w:rPr>
        <w:t xml:space="preserve">کروایة زرارة:«فی رجلٍ اشتری من سوق المسلمین جاریة فخرج بها إلی أرضه فولدت منه </w:t>
      </w:r>
      <w:r>
        <w:rPr>
          <w:rStyle w:val="FootnoteReference"/>
        </w:rPr>
        <w:footnoteReference w:id="3887"/>
      </w:r>
      <w:r>
        <w:rPr>
          <w:rFonts w:ascii="IRNazanin" w:hAnsi="IRNazanin" w:eastAsia="IRNazanin" w:cs="IRNazanin"/>
          <w:lang w:bidi="fa-IR"/>
          <w:color w:val="111111"/>
          <w:sz w:val="28"/>
          <w:szCs w:val="28"/>
          <w:rtl/>
        </w:rPr>
        <w:t xml:space="preserve">أولاداً،ثمّ أتاها من یزعم أنّها له و أقام علی ذلک البیّنة،قال:یقبض ولده و یدفع إلیه الجاریة،و یعوّضه من قیمة ما أصاب من لبنها و خدمتها» </w:t>
      </w:r>
      <w:r>
        <w:rPr>
          <w:rStyle w:val="FootnoteReference"/>
        </w:rPr>
        <w:footnoteReference w:id="38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روایة زریق،قال:«کنت عند أبی عبد اللّٰه علیه السلام یوماً إذ دخل علیه رجلان،فقال أحدهما:إنّه کان علیّ مالٌ لرجل من بنی عمّار،و له بذلک ذکر حقٍّ </w:t>
      </w:r>
      <w:r>
        <w:rPr>
          <w:rStyle w:val="FootnoteReference"/>
        </w:rPr>
        <w:footnoteReference w:id="3889"/>
      </w:r>
      <w:r>
        <w:rPr>
          <w:rFonts w:ascii="IRNazanin" w:hAnsi="IRNazanin" w:eastAsia="IRNazanin" w:cs="IRNazanin"/>
          <w:lang w:bidi="fa-IR"/>
          <w:color w:val="111111"/>
          <w:sz w:val="28"/>
          <w:szCs w:val="28"/>
          <w:rtl/>
        </w:rPr>
        <w:t xml:space="preserve">و شهود،فأخذ المال و لم أسترجع عنه </w:t>
      </w:r>
      <w:r>
        <w:rPr>
          <w:rStyle w:val="FootnoteReference"/>
        </w:rPr>
        <w:footnoteReference w:id="3890"/>
      </w:r>
      <w:r>
        <w:rPr>
          <w:rFonts w:ascii="IRNazanin" w:hAnsi="IRNazanin" w:eastAsia="IRNazanin" w:cs="IRNazanin"/>
          <w:lang w:bidi="fa-IR"/>
          <w:color w:val="111111"/>
          <w:sz w:val="28"/>
          <w:szCs w:val="28"/>
          <w:rtl/>
        </w:rPr>
        <w:t xml:space="preserve">الذکر بالحقّ،و لا کتبت علیه کتاباً،و لا أخذت منه براءة بذلک؛و ذلک لأنی وثقت به،و قلت له:مزّق الذکر بالحقّ الذی عندک،فمات و تهاون</w:t>
      </w:r>
    </w:p>
    <w:p>
      <w:pPr>
        <w:pStyle w:val="BookText"/>
      </w:pPr>
      <w:r>
        <w:rPr>
          <w:rFonts w:ascii="IRNazanin" w:hAnsi="IRNazanin" w:eastAsia="IRNazanin" w:cs="IRNazanin"/>
          <w:lang w:bidi="fa-IR"/>
          <w:color w:val="111111"/>
          <w:sz w:val="28"/>
          <w:szCs w:val="28"/>
          <w:rtl/>
        </w:rPr>
        <w:t xml:space="preserve">[شماره صفحه واقعی : 495]
</w:t>
      </w:r>
    </w:p>
    <w:p>
      <w:pPr>
        <w:sectPr>
          <w:footerReference w:type="default" r:id="rId1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بذلک و لم یمزّقه،و عقیب هذا طالبنی بالمال ورّاثُه و حاکمونی و أخرجوا بذلک ذکر الحقّ </w:t>
      </w:r>
      <w:r>
        <w:rPr>
          <w:rStyle w:val="FootnoteReference"/>
        </w:rPr>
        <w:footnoteReference w:id="3891"/>
      </w:r>
      <w:r>
        <w:rPr>
          <w:rFonts w:ascii="IRNazanin" w:hAnsi="IRNazanin" w:eastAsia="IRNazanin" w:cs="IRNazanin"/>
          <w:lang w:bidi="fa-IR"/>
          <w:color w:val="111111"/>
          <w:sz w:val="28"/>
          <w:szCs w:val="28"/>
          <w:rtl/>
        </w:rPr>
        <w:t xml:space="preserve">،و أقاموا العدول فشهدوا عند الحاکم،فأُخذت بالمال، و کان المال کثیراً،فتواریت عن الحاکم،فباع علیّ قاضی الکوفة معیشةً لی و قبض القوم المال،و هذا رجل من إخواننا ابتُلی بشراء معیشتی من القاضی.</w:t>
      </w:r>
    </w:p>
    <w:p>
      <w:pPr>
        <w:pStyle w:val="BookText"/>
      </w:pPr>
      <w:r>
        <w:rPr>
          <w:rFonts w:ascii="IRNazanin" w:hAnsi="IRNazanin" w:eastAsia="IRNazanin" w:cs="IRNazanin"/>
          <w:lang w:bidi="fa-IR"/>
          <w:color w:val="111111"/>
          <w:sz w:val="28"/>
          <w:szCs w:val="28"/>
          <w:rtl/>
        </w:rPr>
        <w:t xml:space="preserve">ثمّ إنّ ورثة المیّت أقرّوا أنّ أباهم قد قبض المال،و قد سألوه أن یردّ علیّ معیشتی و یعطونه الثمن فی أنجم معلومة،فقال:إنّی أُحبّ أن أسأل أبا عبد اللّه علیه السلام عن هذا.</w:t>
      </w:r>
    </w:p>
    <w:p>
      <w:pPr>
        <w:pStyle w:val="BookText"/>
      </w:pPr>
      <w:r>
        <w:rPr>
          <w:rFonts w:ascii="IRNazanin" w:hAnsi="IRNazanin" w:eastAsia="IRNazanin" w:cs="IRNazanin"/>
          <w:lang w:bidi="fa-IR"/>
          <w:color w:val="111111"/>
          <w:sz w:val="28"/>
          <w:szCs w:val="28"/>
          <w:rtl/>
        </w:rPr>
        <w:t xml:space="preserve">فقال الرجل-یعنی المشتری-:کیف أصنع جعلت فداک؟قال:</w:t>
      </w:r>
    </w:p>
    <w:p>
      <w:pPr>
        <w:pStyle w:val="BookText"/>
      </w:pPr>
      <w:r>
        <w:rPr>
          <w:rFonts w:ascii="IRNazanin" w:hAnsi="IRNazanin" w:eastAsia="IRNazanin" w:cs="IRNazanin"/>
          <w:lang w:bidi="fa-IR"/>
          <w:color w:val="111111"/>
          <w:sz w:val="28"/>
          <w:szCs w:val="28"/>
          <w:rtl/>
        </w:rPr>
        <w:t xml:space="preserve">تصنع أن ترجع بمالک علی الورثة،و تردّ المعیشة إلی صاحبها و تخرج یدک عنها.</w:t>
      </w:r>
    </w:p>
    <w:p>
      <w:pPr>
        <w:pStyle w:val="BookText"/>
      </w:pPr>
      <w:r>
        <w:rPr>
          <w:rFonts w:ascii="IRNazanin" w:hAnsi="IRNazanin" w:eastAsia="IRNazanin" w:cs="IRNazanin"/>
          <w:lang w:bidi="fa-IR"/>
          <w:color w:val="111111"/>
          <w:sz w:val="28"/>
          <w:szCs w:val="28"/>
          <w:rtl/>
        </w:rPr>
        <w:t xml:space="preserve">قال:فإذا فعلت ذلک،له أن یطالبنی بغیر هذا؟قال:نعم،له أن یأخذ منک ما أخذت من الغلّة من ثمن الثمار،و کلّ ما کان مرسوماً فی المعیشة یوم اشتریتها یجب أن تردّ ذلک،إلّا ما کان من زرعٍ زرعته أنت،فإنّ للزارع إمّا قیمة الزرع،و إمّا أن یصبر علیک إلی وقت حصاد الزرع،فإن لم یفعل ذلک </w:t>
      </w:r>
      <w:r>
        <w:rPr>
          <w:rStyle w:val="FootnoteReference"/>
        </w:rPr>
        <w:footnoteReference w:id="3892"/>
      </w:r>
      <w:r>
        <w:rPr>
          <w:rFonts w:ascii="IRNazanin" w:hAnsi="IRNazanin" w:eastAsia="IRNazanin" w:cs="IRNazanin"/>
          <w:lang w:bidi="fa-IR"/>
          <w:color w:val="111111"/>
          <w:sz w:val="28"/>
          <w:szCs w:val="28"/>
          <w:rtl/>
        </w:rPr>
        <w:t xml:space="preserve">کان ذلک له،و ردّ علیک القیمة و کان الزرع له.</w:t>
      </w:r>
    </w:p>
    <w:p>
      <w:pPr>
        <w:pStyle w:val="BookText"/>
      </w:pPr>
      <w:r>
        <w:rPr>
          <w:rFonts w:ascii="IRNazanin" w:hAnsi="IRNazanin" w:eastAsia="IRNazanin" w:cs="IRNazanin"/>
          <w:lang w:bidi="fa-IR"/>
          <w:color w:val="111111"/>
          <w:sz w:val="28"/>
          <w:szCs w:val="28"/>
          <w:rtl/>
        </w:rPr>
        <w:t xml:space="preserve">قلت:جعلت فداک!فإن کان هذا قد أحدث فیها بناءً أو غرساً </w:t>
      </w:r>
      <w:r>
        <w:rPr>
          <w:rStyle w:val="FootnoteReference"/>
        </w:rPr>
        <w:footnoteReference w:id="3893"/>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496]
</w:t>
      </w:r>
    </w:p>
    <w:p>
      <w:pPr>
        <w:sectPr>
          <w:footerReference w:type="default" r:id="rId1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قال:له قیمة ذلک،أو یکون ذلک المحدث بعینه </w:t>
      </w:r>
      <w:r>
        <w:rPr>
          <w:rStyle w:val="FootnoteReference"/>
        </w:rPr>
        <w:footnoteReference w:id="3894"/>
      </w:r>
      <w:r>
        <w:rPr>
          <w:rFonts w:ascii="IRNazanin" w:hAnsi="IRNazanin" w:eastAsia="IRNazanin" w:cs="IRNazanin"/>
          <w:lang w:bidi="fa-IR"/>
          <w:color w:val="111111"/>
          <w:sz w:val="28"/>
          <w:szCs w:val="28"/>
          <w:rtl/>
        </w:rPr>
        <w:t xml:space="preserve">یقلعه و یأخذه.</w:t>
      </w:r>
    </w:p>
    <w:p>
      <w:pPr>
        <w:pStyle w:val="BookText"/>
      </w:pPr>
      <w:r>
        <w:rPr>
          <w:rFonts w:ascii="IRNazanin" w:hAnsi="IRNazanin" w:eastAsia="IRNazanin" w:cs="IRNazanin"/>
          <w:lang w:bidi="fa-IR"/>
          <w:color w:val="111111"/>
          <w:sz w:val="28"/>
          <w:szCs w:val="28"/>
          <w:rtl/>
        </w:rPr>
        <w:t xml:space="preserve">قلت:أ رأیت إن کان فیها غرس أو بناء فقُلع الغرس و هُدم البناء؟فقال:یردّ </w:t>
      </w:r>
      <w:r>
        <w:rPr>
          <w:rStyle w:val="FootnoteReference"/>
        </w:rPr>
        <w:footnoteReference w:id="3895"/>
      </w:r>
      <w:r>
        <w:rPr>
          <w:rFonts w:ascii="IRNazanin" w:hAnsi="IRNazanin" w:eastAsia="IRNazanin" w:cs="IRNazanin"/>
          <w:lang w:bidi="fa-IR"/>
          <w:color w:val="111111"/>
          <w:sz w:val="28"/>
          <w:szCs w:val="28"/>
          <w:rtl/>
        </w:rPr>
        <w:t xml:space="preserve">ذلک إلی ما کان أو یغرم القیمة لصاحب الأرض، فإذا ردّ جمیع ما أخذ من غلّاتها علی </w:t>
      </w:r>
      <w:r>
        <w:rPr>
          <w:rStyle w:val="FootnoteReference"/>
        </w:rPr>
        <w:footnoteReference w:id="3896"/>
      </w:r>
      <w:r>
        <w:rPr>
          <w:rFonts w:ascii="IRNazanin" w:hAnsi="IRNazanin" w:eastAsia="IRNazanin" w:cs="IRNazanin"/>
          <w:lang w:bidi="fa-IR"/>
          <w:color w:val="111111"/>
          <w:sz w:val="28"/>
          <w:szCs w:val="28"/>
          <w:rtl/>
        </w:rPr>
        <w:t xml:space="preserve">صاحبها و ردّ البناء و الغرس و کلَّ محدث إلی ما کان،أو ردّ القیمة کذلک،یجب علی صاحب الأرض أن یردّ علیه </w:t>
      </w:r>
      <w:r>
        <w:rPr>
          <w:rStyle w:val="FootnoteReference"/>
        </w:rPr>
        <w:footnoteReference w:id="3897"/>
      </w:r>
      <w:r>
        <w:rPr>
          <w:rFonts w:ascii="IRNazanin" w:hAnsi="IRNazanin" w:eastAsia="IRNazanin" w:cs="IRNazanin"/>
          <w:lang w:bidi="fa-IR"/>
          <w:color w:val="111111"/>
          <w:sz w:val="28"/>
          <w:szCs w:val="28"/>
          <w:rtl/>
        </w:rPr>
        <w:t xml:space="preserve">کلّ ما خرج عنه </w:t>
      </w:r>
      <w:r>
        <w:rPr>
          <w:rStyle w:val="FootnoteReference"/>
        </w:rPr>
        <w:footnoteReference w:id="3898"/>
      </w:r>
      <w:r>
        <w:rPr>
          <w:rFonts w:ascii="IRNazanin" w:hAnsi="IRNazanin" w:eastAsia="IRNazanin" w:cs="IRNazanin"/>
          <w:lang w:bidi="fa-IR"/>
          <w:color w:val="111111"/>
          <w:sz w:val="28"/>
          <w:szCs w:val="28"/>
          <w:rtl/>
        </w:rPr>
        <w:t xml:space="preserve">فی إصلاح المعیشة،من قیمة غرسٍ أو بناءٍ أو نفقةٍ فی مصلحة المعیشة،و دفع النوائب عنها </w:t>
      </w:r>
      <w:r>
        <w:rPr>
          <w:rStyle w:val="FootnoteReference"/>
        </w:rPr>
        <w:footnoteReference w:id="3899"/>
      </w:r>
      <w:r>
        <w:rPr>
          <w:rFonts w:ascii="Amiri" w:hAnsi="Amiri" w:eastAsia="Amiri" w:cs="Amiri"/>
          <w:lang w:bidi="ar-SA"/>
          <w:color w:val="111111"/>
          <w:sz w:val="28"/>
          <w:szCs w:val="28"/>
          <w:rtl/>
        </w:rPr>
        <w:t xml:space="preserve">،کلّ ذلک فهو </w:t>
      </w:r>
      <w:r>
        <w:rPr>
          <w:rStyle w:val="FootnoteReference"/>
        </w:rPr>
        <w:footnoteReference w:id="3900"/>
      </w:r>
      <w:r>
        <w:rPr>
          <w:rFonts w:ascii="IRNazanin" w:hAnsi="IRNazanin" w:eastAsia="IRNazanin" w:cs="IRNazanin"/>
          <w:lang w:bidi="fa-IR"/>
          <w:color w:val="111111"/>
          <w:sz w:val="28"/>
          <w:szCs w:val="28"/>
          <w:rtl/>
        </w:rPr>
        <w:t xml:space="preserve">مردود إلیه» </w:t>
      </w:r>
      <w:r>
        <w:rPr>
          <w:rStyle w:val="FootnoteReference"/>
        </w:rPr>
        <w:footnoteReference w:id="39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فیه-مع أنّا نمنع ورودها </w:t>
      </w:r>
      <w:r>
        <w:rPr>
          <w:rStyle w:val="FootnoteReference"/>
        </w:rPr>
        <w:footnoteReference w:id="3902"/>
      </w:r>
      <w:r>
        <w:rPr>
          <w:rFonts w:ascii="IRNazanin" w:hAnsi="IRNazanin" w:eastAsia="IRNazanin" w:cs="IRNazanin"/>
          <w:lang w:bidi="fa-IR"/>
          <w:color w:val="111111"/>
          <w:sz w:val="28"/>
          <w:szCs w:val="28"/>
          <w:rtl/>
        </w:rPr>
        <w:t xml:space="preserve">إلّا فی مقام حکم المشتری مع المالک-:أنّ السکوت فی مقام البیان لا یعارض الدلیل،مع أنّ </w:t>
      </w:r>
      <w:r>
        <w:rPr>
          <w:rStyle w:val="FootnoteReference"/>
        </w:rPr>
        <w:footnoteReference w:id="3903"/>
      </w:r>
    </w:p>
    <w:p>
      <w:pPr>
        <w:pStyle w:val="BookText"/>
      </w:pPr>
      <w:r>
        <w:rPr>
          <w:rFonts w:ascii="IRNazanin" w:hAnsi="IRNazanin" w:eastAsia="IRNazanin" w:cs="IRNazanin"/>
          <w:lang w:bidi="fa-IR"/>
          <w:color w:val="111111"/>
          <w:sz w:val="28"/>
          <w:szCs w:val="28"/>
          <w:rtl/>
        </w:rPr>
        <w:t xml:space="preserve">[شماره صفحه واقعی : 497]
</w:t>
      </w:r>
    </w:p>
    <w:p>
      <w:pPr>
        <w:sectPr>
          <w:footerReference w:type="default" r:id="rId1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روایة زرارة ظاهرها عدم التمکّن من الرجوع إلی البائع،مع أنّ البائع فی قضیّة زریق هو القاضی،فإن کان قضاؤه صحیحاً لم یتوجّه إلیه غرم؛لأنّ الحاکم من قبل الشارع لیس غارّاً </w:t>
      </w:r>
      <w:r>
        <w:rPr>
          <w:rStyle w:val="FootnoteReference"/>
        </w:rPr>
        <w:footnoteReference w:id="3904"/>
      </w:r>
      <w:r>
        <w:rPr>
          <w:rFonts w:ascii="IRNazanin" w:hAnsi="IRNazanin" w:eastAsia="IRNazanin" w:cs="IRNazanin"/>
          <w:lang w:bidi="fa-IR"/>
          <w:color w:val="111111"/>
          <w:sz w:val="28"/>
          <w:szCs w:val="28"/>
          <w:rtl/>
        </w:rPr>
        <w:t xml:space="preserve">من جهة حکمه علی طبق البیّنة المأمور بالعمل بها،و إن کان قضاؤه باطلاً-کما هو الظاهر- فالظاهر علم المشتری ببطلان قضاء المخالف و تصرّفه فی أُمور المسلمین، فهو عالم بفساد البیع فلا رجوع له.</w:t>
      </w:r>
    </w:p>
    <w:p>
      <w:pPr>
        <w:pStyle w:val="BookText"/>
      </w:pPr>
      <w:r>
        <w:rPr>
          <w:rFonts w:ascii="IRNazanin" w:hAnsi="IRNazanin" w:eastAsia="IRNazanin" w:cs="IRNazanin"/>
          <w:lang w:bidi="fa-IR"/>
          <w:color w:val="111111"/>
          <w:sz w:val="28"/>
          <w:szCs w:val="28"/>
          <w:rtl/>
        </w:rPr>
        <w:t xml:space="preserve">و أمّا الثانی،و هو ما غرمه فی مقابل النفع الواصل إلیه من المنافع و النماء،ففی الرجوع بها خلاف،أقواها </w:t>
      </w:r>
      <w:r>
        <w:rPr>
          <w:rStyle w:val="FootnoteReference"/>
        </w:rPr>
        <w:footnoteReference w:id="3905"/>
      </w:r>
      <w:r>
        <w:rPr>
          <w:rFonts w:ascii="IRNazanin" w:hAnsi="IRNazanin" w:eastAsia="IRNazanin" w:cs="IRNazanin"/>
          <w:lang w:bidi="fa-IR"/>
          <w:color w:val="111111"/>
          <w:sz w:val="28"/>
          <w:szCs w:val="28"/>
          <w:rtl/>
        </w:rPr>
        <w:t xml:space="preserve">الرجوع؛وفاقاً للمحکیّ عن المبسوط </w:t>
      </w:r>
      <w:r>
        <w:rPr>
          <w:rStyle w:val="FootnoteReference"/>
        </w:rPr>
        <w:footnoteReference w:id="3906"/>
      </w:r>
      <w:r>
        <w:rPr>
          <w:rFonts w:ascii="Amiri" w:hAnsi="Amiri" w:eastAsia="Amiri" w:cs="Amiri"/>
          <w:lang w:bidi="ar-SA"/>
          <w:color w:val="111111"/>
          <w:sz w:val="28"/>
          <w:szCs w:val="28"/>
          <w:rtl/>
        </w:rPr>
        <w:t xml:space="preserve">و المحقّق </w:t>
      </w:r>
      <w:r>
        <w:rPr>
          <w:rStyle w:val="FootnoteReference"/>
        </w:rPr>
        <w:footnoteReference w:id="3907"/>
      </w:r>
      <w:r>
        <w:rPr>
          <w:rFonts w:ascii="IRNazanin" w:hAnsi="IRNazanin" w:eastAsia="IRNazanin" w:cs="IRNazanin"/>
          <w:lang w:bidi="fa-IR"/>
          <w:color w:val="111111"/>
          <w:sz w:val="28"/>
          <w:szCs w:val="28"/>
          <w:rtl/>
        </w:rPr>
        <w:t xml:space="preserve">و العلّامة فی التجارة </w:t>
      </w:r>
      <w:r>
        <w:rPr>
          <w:rStyle w:val="FootnoteReference"/>
        </w:rPr>
        <w:footnoteReference w:id="3908"/>
      </w:r>
      <w:r>
        <w:rPr>
          <w:rFonts w:ascii="IRNazanin" w:hAnsi="IRNazanin" w:eastAsia="IRNazanin" w:cs="IRNazanin"/>
          <w:lang w:bidi="fa-IR"/>
          <w:color w:val="111111"/>
          <w:sz w:val="28"/>
          <w:szCs w:val="28"/>
          <w:rtl/>
        </w:rPr>
        <w:t xml:space="preserve">و الشهیدین </w:t>
      </w:r>
      <w:r>
        <w:rPr>
          <w:rStyle w:val="FootnoteReference"/>
        </w:rPr>
        <w:footnoteReference w:id="3909"/>
      </w:r>
      <w:r>
        <w:rPr>
          <w:rFonts w:ascii="Amiri" w:hAnsi="Amiri" w:eastAsia="Amiri" w:cs="Amiri"/>
          <w:lang w:bidi="ar-SA"/>
          <w:color w:val="111111"/>
          <w:sz w:val="28"/>
          <w:szCs w:val="28"/>
          <w:rtl/>
        </w:rPr>
        <w:t xml:space="preserve">و المحقّق</w:t>
      </w:r>
    </w:p>
    <w:p>
      <w:pPr>
        <w:pStyle w:val="BookText"/>
      </w:pPr>
      <w:r>
        <w:rPr>
          <w:rFonts w:ascii="IRNazanin" w:hAnsi="IRNazanin" w:eastAsia="IRNazanin" w:cs="IRNazanin"/>
          <w:lang w:bidi="fa-IR"/>
          <w:color w:val="111111"/>
          <w:sz w:val="28"/>
          <w:szCs w:val="28"/>
          <w:rtl/>
        </w:rPr>
        <w:t xml:space="preserve">[شماره صفحه واقعی : 498]
</w:t>
      </w:r>
    </w:p>
    <w:p>
      <w:pPr>
        <w:sectPr>
          <w:footerReference w:type="default" r:id="rId1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 </w:t>
      </w:r>
      <w:r>
        <w:rPr>
          <w:rStyle w:val="FootnoteReference"/>
        </w:rPr>
        <w:footnoteReference w:id="3910"/>
      </w:r>
      <w:r>
        <w:rPr>
          <w:rFonts w:ascii="IRNazanin" w:hAnsi="IRNazanin" w:eastAsia="IRNazanin" w:cs="IRNazanin"/>
          <w:lang w:bidi="fa-IR"/>
          <w:color w:val="111111"/>
          <w:sz w:val="28"/>
          <w:szCs w:val="28"/>
          <w:rtl/>
        </w:rPr>
        <w:t xml:space="preserve">و غیرهم </w:t>
      </w:r>
      <w:r>
        <w:rPr>
          <w:rStyle w:val="FootnoteReference"/>
        </w:rPr>
        <w:footnoteReference w:id="3911"/>
      </w:r>
      <w:r>
        <w:rPr>
          <w:rFonts w:ascii="IRNazanin" w:hAnsi="IRNazanin" w:eastAsia="IRNazanin" w:cs="IRNazanin"/>
          <w:lang w:bidi="fa-IR"/>
          <w:color w:val="111111"/>
          <w:sz w:val="28"/>
          <w:szCs w:val="28"/>
          <w:rtl/>
        </w:rPr>
        <w:t xml:space="preserve">،و عن التنقیح:أنّ علیه الفتوی </w:t>
      </w:r>
      <w:r>
        <w:rPr>
          <w:rStyle w:val="FootnoteReference"/>
        </w:rPr>
        <w:footnoteReference w:id="3912"/>
      </w:r>
      <w:r>
        <w:rPr>
          <w:rFonts w:ascii="IRNazanin" w:hAnsi="IRNazanin" w:eastAsia="IRNazanin" w:cs="IRNazanin"/>
          <w:lang w:bidi="fa-IR"/>
          <w:color w:val="111111"/>
          <w:sz w:val="28"/>
          <w:szCs w:val="28"/>
          <w:rtl/>
        </w:rPr>
        <w:t xml:space="preserve">لقاعدة الغرور المتّفق علیها ظاهراً فی من قدّم مال الغیر إلی غیره الجاهل فأکله.</w:t>
      </w:r>
    </w:p>
    <w:p>
      <w:pPr>
        <w:pStyle w:val="BookText"/>
      </w:pPr>
      <w:r>
        <w:rPr>
          <w:rFonts w:ascii="IRNazanin" w:hAnsi="IRNazanin" w:eastAsia="IRNazanin" w:cs="IRNazanin"/>
          <w:lang w:bidi="fa-IR"/>
          <w:color w:val="111111"/>
          <w:sz w:val="28"/>
          <w:szCs w:val="28"/>
          <w:rtl/>
        </w:rPr>
        <w:t xml:space="preserve">و یؤیّده:قاعدة نفی الضرر؛فإنّ تغریم من أقدم علی إتلاف شیء من دون عوض مغروراً من آخر بأنّ له ذلک مجّاناً،من دون الحکم برجوعه إلی من غرّه،فی ذلک ضرر عظیم،و مجرّد رجوع عوضه إلیه لا یدفع الضرر.</w:t>
      </w:r>
    </w:p>
    <w:p>
      <w:pPr>
        <w:pStyle w:val="BookText"/>
      </w:pPr>
      <w:r>
        <w:rPr>
          <w:rFonts w:ascii="IRNazanin" w:hAnsi="IRNazanin" w:eastAsia="IRNazanin" w:cs="IRNazanin"/>
          <w:lang w:bidi="fa-IR"/>
          <w:color w:val="111111"/>
          <w:sz w:val="28"/>
          <w:szCs w:val="28"/>
          <w:rtl/>
        </w:rPr>
        <w:t xml:space="preserve">و کیف کان،فصدق الضرر و إضرار الغارّ به ممّا لا یخفی، خصوصاً فی بعض الموارد.</w:t>
      </w:r>
    </w:p>
    <w:p>
      <w:pPr>
        <w:pStyle w:val="BookText"/>
      </w:pPr>
      <w:r>
        <w:rPr>
          <w:rFonts w:ascii="IRNazanin" w:hAnsi="IRNazanin" w:eastAsia="IRNazanin" w:cs="IRNazanin"/>
          <w:lang w:bidi="fa-IR"/>
          <w:color w:val="111111"/>
          <w:sz w:val="28"/>
          <w:szCs w:val="28"/>
          <w:rtl/>
        </w:rPr>
        <w:t xml:space="preserve">[*ستوده]</w:t>
      </w:r>
    </w:p>
    <w:p>
      <w:pPr>
        <w:pStyle w:val="BookText"/>
      </w:pPr>
      <w:r>
        <w:rPr>
          <w:rFonts w:ascii="IRNazanin" w:hAnsi="IRNazanin" w:eastAsia="IRNazanin" w:cs="IRNazanin"/>
          <w:lang w:bidi="fa-IR"/>
          <w:color w:val="111111"/>
          <w:sz w:val="28"/>
          <w:szCs w:val="28"/>
          <w:rtl/>
        </w:rPr>
        <w:t xml:space="preserve">فما فی الریاض:من أنّه لا دلیل علی قاعدة الغرور إذا لم ینطبق مع قاعدة نفی الضرر المفقود فی المقام؛لوصول العوض إلی المشتری </w:t>
      </w:r>
      <w:r>
        <w:rPr>
          <w:rStyle w:val="FootnoteReference"/>
        </w:rPr>
        <w:footnoteReference w:id="3913"/>
      </w:r>
      <w:r>
        <w:rPr>
          <w:rFonts w:ascii="IRNazanin" w:hAnsi="IRNazanin" w:eastAsia="IRNazanin" w:cs="IRNazanin"/>
          <w:lang w:bidi="fa-IR"/>
          <w:color w:val="111111"/>
          <w:sz w:val="28"/>
          <w:szCs w:val="28"/>
          <w:rtl/>
        </w:rPr>
        <w:t xml:space="preserve">، لا یخلو عن شیء.</w:t>
      </w:r>
    </w:p>
    <w:p>
      <w:pPr>
        <w:pStyle w:val="BookText"/>
      </w:pPr>
      <w:r>
        <w:rPr>
          <w:rFonts w:ascii="IRNazanin" w:hAnsi="IRNazanin" w:eastAsia="IRNazanin" w:cs="IRNazanin"/>
          <w:lang w:bidi="fa-IR"/>
          <w:color w:val="111111"/>
          <w:sz w:val="28"/>
          <w:szCs w:val="28"/>
          <w:rtl/>
        </w:rPr>
        <w:t xml:space="preserve">مضافاً إلی ما قیل علیه:من منع مدخلیّة الضرر فی قاعدة الغرور،بل هی مبنیّة علی قوّة السبب علی المباشر </w:t>
      </w:r>
      <w:r>
        <w:rPr>
          <w:rStyle w:val="FootnoteReference"/>
        </w:rPr>
        <w:footnoteReference w:id="39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لکنّه لا یخلو من نظر؛لأنّه إنّما یدّعی اختصاص دلیل الغرور من النصوص الخاصّة و الإجماع بصورة الضرر.</w:t>
      </w:r>
    </w:p>
    <w:p>
      <w:pPr>
        <w:pStyle w:val="BookText"/>
      </w:pPr>
      <w:r>
        <w:rPr>
          <w:rFonts w:ascii="IRNazanin" w:hAnsi="IRNazanin" w:eastAsia="IRNazanin" w:cs="IRNazanin"/>
          <w:lang w:bidi="fa-IR"/>
          <w:color w:val="111111"/>
          <w:sz w:val="28"/>
          <w:szCs w:val="28"/>
          <w:rtl/>
        </w:rPr>
        <w:t xml:space="preserve">[شماره صفحه واقعی : 499]
</w:t>
      </w:r>
    </w:p>
    <w:p>
      <w:pPr>
        <w:sectPr>
          <w:footerReference w:type="default" r:id="rId1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قوّة السبب علی المباشر،فلیست بنفسها دلیلاً علی رجوع المغرور،إلّا إذا کان السبب بحیث استند التلف عرفاً إلیه،کما فی المُکْرَه و کما فی الریح العاصف الموجب للإحراق،و الشمس الموجبة لإذابة الدهن و إراقتها.</w:t>
      </w:r>
    </w:p>
    <w:p>
      <w:pPr>
        <w:pStyle w:val="BookText"/>
      </w:pPr>
      <w:r>
        <w:rPr>
          <w:rFonts w:ascii="IRNazanin" w:hAnsi="IRNazanin" w:eastAsia="IRNazanin" w:cs="IRNazanin"/>
          <w:lang w:bidi="fa-IR"/>
          <w:color w:val="111111"/>
          <w:sz w:val="28"/>
          <w:szCs w:val="28"/>
          <w:rtl/>
        </w:rPr>
        <w:t xml:space="preserve">و المتّجه فی مثل ذلک عدم الرجوع إلی المباشر أصلاً،کما نُسب إلی ظاهر الأصحاب فی المکره </w:t>
      </w:r>
      <w:r>
        <w:rPr>
          <w:rStyle w:val="FootnoteReference"/>
        </w:rPr>
        <w:footnoteReference w:id="3915"/>
      </w:r>
      <w:r>
        <w:rPr>
          <w:rFonts w:ascii="IRNazanin" w:hAnsi="IRNazanin" w:eastAsia="IRNazanin" w:cs="IRNazanin"/>
          <w:lang w:bidi="fa-IR"/>
          <w:color w:val="111111"/>
          <w:sz w:val="28"/>
          <w:szCs w:val="28"/>
          <w:rtl/>
        </w:rPr>
        <w:t xml:space="preserve">لکون المباشر بمنزلة الآلة،و أمّا فی غیر ذلک فالضمان أو قرار الضمان فیه یحتاج إلی دلیل مفقود،فلا بدّ من الرجوع بالأخرة إلی قاعدة الضرر،أو الإجماع المدّعی فی الإیضاح علی تقدیم السبب إذا کان أقوی </w:t>
      </w:r>
      <w:r>
        <w:rPr>
          <w:rStyle w:val="FootnoteReference"/>
        </w:rPr>
        <w:footnoteReference w:id="3916"/>
      </w:r>
      <w:r>
        <w:rPr>
          <w:rFonts w:ascii="IRNazanin" w:hAnsi="IRNazanin" w:eastAsia="IRNazanin" w:cs="IRNazanin"/>
          <w:lang w:bidi="fa-IR"/>
          <w:color w:val="111111"/>
          <w:sz w:val="28"/>
          <w:szCs w:val="28"/>
          <w:rtl/>
        </w:rPr>
        <w:t xml:space="preserve">،أو بالأخبار الواردة فی الموارد المتفرّقة </w:t>
      </w:r>
      <w:r>
        <w:rPr>
          <w:rStyle w:val="FootnoteReference"/>
        </w:rPr>
        <w:footnoteReference w:id="3917"/>
      </w:r>
      <w:r>
        <w:rPr>
          <w:rFonts w:ascii="IRNazanin" w:hAnsi="IRNazanin" w:eastAsia="IRNazanin" w:cs="IRNazanin"/>
          <w:lang w:bidi="fa-IR"/>
          <w:color w:val="111111"/>
          <w:sz w:val="28"/>
          <w:szCs w:val="28"/>
          <w:rtl/>
        </w:rPr>
        <w:t xml:space="preserve">،أو کون الغارّ سبباً فی تغریم المغرور،فکان کشاهد الزور فی ضمان ما یؤخذ بشهادته </w:t>
      </w:r>
      <w:r>
        <w:rPr>
          <w:rStyle w:val="FootnoteReference"/>
        </w:rPr>
        <w:footnoteReference w:id="39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ریب فی ثبوت هذه الوجوه فیما نحن فیه،أمّا الأخیر فواضح،و أمّا الأوّل فقد </w:t>
      </w:r>
      <w:r>
        <w:rPr>
          <w:rStyle w:val="FootnoteReference"/>
        </w:rPr>
        <w:footnoteReference w:id="3919"/>
      </w:r>
      <w:r>
        <w:rPr>
          <w:rFonts w:ascii="IRNazanin" w:hAnsi="IRNazanin" w:eastAsia="IRNazanin" w:cs="IRNazanin"/>
          <w:lang w:bidi="fa-IR"/>
          <w:color w:val="111111"/>
          <w:sz w:val="28"/>
          <w:szCs w:val="28"/>
          <w:rtl/>
        </w:rPr>
        <w:t xml:space="preserve">عرفته،و أمّا الإجماع و الأخبار فهما و إن لم یردا فی خصوص المسألة،إلّا أنّ تحقّقهما </w:t>
      </w:r>
      <w:r>
        <w:rPr>
          <w:rStyle w:val="FootnoteReference"/>
        </w:rPr>
        <w:footnoteReference w:id="3920"/>
      </w:r>
      <w:r>
        <w:rPr>
          <w:rFonts w:ascii="IRNazanin" w:hAnsi="IRNazanin" w:eastAsia="IRNazanin" w:cs="IRNazanin"/>
          <w:lang w:bidi="fa-IR"/>
          <w:color w:val="111111"/>
          <w:sz w:val="28"/>
          <w:szCs w:val="28"/>
          <w:rtl/>
        </w:rPr>
        <w:t xml:space="preserve">فی نظائر المسألة کافٍ،فإنّ</w:t>
      </w:r>
    </w:p>
    <w:p>
      <w:pPr>
        <w:pStyle w:val="BookText"/>
      </w:pPr>
      <w:r>
        <w:rPr>
          <w:rFonts w:ascii="IRNazanin" w:hAnsi="IRNazanin" w:eastAsia="IRNazanin" w:cs="IRNazanin"/>
          <w:lang w:bidi="fa-IR"/>
          <w:color w:val="111111"/>
          <w:sz w:val="28"/>
          <w:szCs w:val="28"/>
          <w:rtl/>
        </w:rPr>
        <w:t xml:space="preserve">[شماره صفحه واقعی : 500]
</w:t>
      </w:r>
    </w:p>
    <w:p>
      <w:pPr>
        <w:sectPr>
          <w:footerReference w:type="default" r:id="rId1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رجوع آکل طعام الغیر إلی من غرّه بدعوی تملّکه و إباحته له مورد الإجماع ظاهراً،و رجوع المحکوم علیه إلی شاهدی الزور مورد الأخبار، و لا یوجد فرق بینهما و بین ما نحن فیه أصلاً.</w:t>
      </w:r>
    </w:p>
    <w:p>
      <w:pPr>
        <w:pStyle w:val="BookText"/>
      </w:pPr>
      <w:r>
        <w:rPr>
          <w:rFonts w:ascii="IRNazanin" w:hAnsi="IRNazanin" w:eastAsia="IRNazanin" w:cs="IRNazanin"/>
          <w:lang w:bidi="fa-IR"/>
          <w:color w:val="111111"/>
          <w:sz w:val="28"/>
          <w:szCs w:val="28"/>
          <w:rtl/>
        </w:rPr>
        <w:t xml:space="preserve">و قد ظهر ممّا ذکرنا فساد منع الغرور فیما نحن فیه،کما فی کلام بعض </w:t>
      </w:r>
      <w:r>
        <w:rPr>
          <w:rStyle w:val="FootnoteReference"/>
        </w:rPr>
        <w:footnoteReference w:id="3921"/>
      </w:r>
      <w:r>
        <w:rPr>
          <w:rFonts w:ascii="IRNazanin" w:hAnsi="IRNazanin" w:eastAsia="IRNazanin" w:cs="IRNazanin"/>
          <w:lang w:bidi="fa-IR"/>
          <w:color w:val="111111"/>
          <w:sz w:val="28"/>
          <w:szCs w:val="28"/>
          <w:rtl/>
        </w:rPr>
        <w:t xml:space="preserve">،حیث عدل فی ردّ مستند المشهور عمّا فی الریاض </w:t>
      </w:r>
      <w:r>
        <w:rPr>
          <w:rStyle w:val="FootnoteReference"/>
        </w:rPr>
        <w:footnoteReference w:id="3922"/>
      </w:r>
      <w:r>
        <w:rPr>
          <w:rFonts w:ascii="IRNazanin" w:hAnsi="IRNazanin" w:eastAsia="IRNazanin" w:cs="IRNazanin"/>
          <w:lang w:bidi="fa-IR"/>
          <w:color w:val="111111"/>
          <w:sz w:val="28"/>
          <w:szCs w:val="28"/>
          <w:rtl/>
        </w:rPr>
        <w:t xml:space="preserve">من منع الکبری،إلی منع الصغری،فإنّ الإنصاف أنّ مفهوم الغرور الموجب للرجوع فی باب الإتلاف و إن کان غیر منقّح،إلّا أنّ المتیقّن منه ما کان إتلاف المغرور لمال الغیر و إثبات یده علیه لا بعنوان أنّه مال الغیر،بل قصده إلی إتلافه </w:t>
      </w:r>
      <w:r>
        <w:rPr>
          <w:rStyle w:val="FootnoteReference"/>
        </w:rPr>
        <w:footnoteReference w:id="3923"/>
      </w:r>
      <w:r>
        <w:rPr>
          <w:rFonts w:ascii="IRNazanin" w:hAnsi="IRNazanin" w:eastAsia="IRNazanin" w:cs="IRNazanin"/>
          <w:lang w:bidi="fa-IR"/>
          <w:color w:val="111111"/>
          <w:sz w:val="28"/>
          <w:szCs w:val="28"/>
          <w:rtl/>
        </w:rPr>
        <w:t xml:space="preserve">مال نفسه أو مال من أباح له الإتلاف،فیکون غیر قاصد لإتلاف مال الغیر،فیشبه المُکرَه فی عدم القصد.</w:t>
      </w:r>
    </w:p>
    <w:p>
      <w:pPr>
        <w:pStyle w:val="BookText"/>
      </w:pPr>
      <w:r>
        <w:rPr>
          <w:rFonts w:ascii="IRNazanin" w:hAnsi="IRNazanin" w:eastAsia="IRNazanin" w:cs="IRNazanin"/>
          <w:lang w:bidi="fa-IR"/>
          <w:color w:val="111111"/>
          <w:sz w:val="28"/>
          <w:szCs w:val="28"/>
          <w:rtl/>
        </w:rPr>
        <w:t xml:space="preserve">هذا کلّه،مضافاً إلی ما قد یقال:من دلالة روایة جمیل -المتقدّمة </w:t>
      </w:r>
      <w:r>
        <w:rPr>
          <w:rStyle w:val="FootnoteReference"/>
        </w:rPr>
        <w:footnoteReference w:id="3924"/>
      </w:r>
      <w:r>
        <w:rPr>
          <w:rFonts w:ascii="IRNazanin" w:hAnsi="IRNazanin" w:eastAsia="IRNazanin" w:cs="IRNazanin"/>
          <w:lang w:bidi="fa-IR"/>
          <w:color w:val="111111"/>
          <w:sz w:val="28"/>
          <w:szCs w:val="28"/>
          <w:rtl/>
        </w:rPr>
        <w:t xml:space="preserve">-بناءً علی أنّ حریّة الولد منفعة راجعة إلی المشتری،و هو الذی ذکره المحقّق احتمالاً فی الشرائع فی باب الغصب </w:t>
      </w:r>
      <w:r>
        <w:rPr>
          <w:rStyle w:val="FootnoteReference"/>
        </w:rPr>
        <w:footnoteReference w:id="3925"/>
      </w:r>
      <w:r>
        <w:rPr>
          <w:rFonts w:ascii="IRNazanin" w:hAnsi="IRNazanin" w:eastAsia="IRNazanin" w:cs="IRNazanin"/>
          <w:lang w:bidi="fa-IR"/>
          <w:color w:val="111111"/>
          <w:sz w:val="28"/>
          <w:szCs w:val="28"/>
          <w:rtl/>
        </w:rPr>
        <w:t xml:space="preserve">،بناءً علی تفسیر المسالک </w:t>
      </w:r>
      <w:r>
        <w:rPr>
          <w:rStyle w:val="FootnoteReference"/>
        </w:rPr>
        <w:footnoteReference w:id="3926"/>
      </w:r>
      <w:r>
        <w:rPr>
          <w:rFonts w:ascii="Amiri" w:hAnsi="Amiri" w:eastAsia="Amiri" w:cs="Amiri"/>
          <w:lang w:bidi="ar-SA"/>
          <w:color w:val="111111"/>
          <w:sz w:val="28"/>
          <w:szCs w:val="28"/>
          <w:rtl/>
        </w:rPr>
        <w:t xml:space="preserve">،و فیه تأمّل.</w:t>
      </w:r>
    </w:p>
    <w:p>
      <w:pPr>
        <w:pStyle w:val="BookText"/>
      </w:pPr>
      <w:r>
        <w:rPr>
          <w:rFonts w:ascii="IRNazanin" w:hAnsi="IRNazanin" w:eastAsia="IRNazanin" w:cs="IRNazanin"/>
          <w:lang w:bidi="fa-IR"/>
          <w:color w:val="111111"/>
          <w:sz w:val="28"/>
          <w:szCs w:val="28"/>
          <w:rtl/>
        </w:rPr>
        <w:t xml:space="preserve">[شماره صفحه واقعی : 501]
</w:t>
      </w:r>
    </w:p>
    <w:p>
      <w:pPr>
        <w:sectPr>
          <w:footerReference w:type="default" r:id="rId1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إنّ ممّا ذکرنا فی حکم هذا القسم یظهر حکم ما یغرمه فی مقابل العین من زیادة القیمة علی الثمن الحاصلة وقت العقد،کما لو باع ما یسوی </w:t>
      </w:r>
      <w:r>
        <w:rPr>
          <w:rStyle w:val="FootnoteReference"/>
        </w:rPr>
        <w:footnoteReference w:id="3927"/>
      </w:r>
      <w:r>
        <w:rPr>
          <w:rFonts w:ascii="IRNazanin" w:hAnsi="IRNazanin" w:eastAsia="IRNazanin" w:cs="IRNazanin"/>
          <w:lang w:bidi="fa-IR"/>
          <w:color w:val="111111"/>
          <w:sz w:val="28"/>
          <w:szCs w:val="28"/>
          <w:rtl/>
        </w:rPr>
        <w:t xml:space="preserve">عشرین بعشرة،فتلف فأخذ منه المالک عشرین </w:t>
      </w:r>
      <w:r>
        <w:rPr>
          <w:rStyle w:val="FootnoteReference"/>
        </w:rPr>
        <w:footnoteReference w:id="3928"/>
      </w:r>
      <w:r>
        <w:rPr>
          <w:rFonts w:ascii="IRNazanin" w:hAnsi="IRNazanin" w:eastAsia="IRNazanin" w:cs="IRNazanin"/>
          <w:lang w:bidi="fa-IR"/>
          <w:color w:val="111111"/>
          <w:sz w:val="28"/>
          <w:szCs w:val="28"/>
          <w:rtl/>
        </w:rPr>
        <w:t xml:space="preserve">،فإنّه لا یرجع بعشرة الثمن،و إلّا لزم تلفه من کیس البائع من دون أن یغرّه </w:t>
      </w:r>
      <w:r>
        <w:rPr>
          <w:rStyle w:val="FootnoteReference"/>
        </w:rPr>
        <w:footnoteReference w:id="3929"/>
      </w:r>
      <w:r>
        <w:rPr>
          <w:rFonts w:ascii="IRNazanin" w:hAnsi="IRNazanin" w:eastAsia="IRNazanin" w:cs="IRNazanin"/>
          <w:lang w:bidi="fa-IR"/>
          <w:color w:val="111111"/>
          <w:sz w:val="28"/>
          <w:szCs w:val="28"/>
          <w:rtl/>
        </w:rPr>
        <w:t xml:space="preserve">فی ذلک؛لأنّه لو فرض صدق البائع فی دعوی الملکیّة لم یزل غرامة المشتری </w:t>
      </w:r>
      <w:r>
        <w:rPr>
          <w:rStyle w:val="FootnoteReference"/>
        </w:rPr>
        <w:footnoteReference w:id="3930"/>
      </w:r>
      <w:r>
        <w:rPr>
          <w:rFonts w:ascii="IRNazanin" w:hAnsi="IRNazanin" w:eastAsia="IRNazanin" w:cs="IRNazanin"/>
          <w:lang w:bidi="fa-IR"/>
          <w:color w:val="111111"/>
          <w:sz w:val="28"/>
          <w:szCs w:val="28"/>
          <w:rtl/>
        </w:rPr>
        <w:t xml:space="preserve">للثمن بإزاء المبیع التالف،فهذه الغرامة للثمن </w:t>
      </w:r>
      <w:r>
        <w:rPr>
          <w:rStyle w:val="FootnoteReference"/>
        </w:rPr>
        <w:footnoteReference w:id="3931"/>
      </w:r>
      <w:r>
        <w:rPr>
          <w:rFonts w:ascii="IRNazanin" w:hAnsi="IRNazanin" w:eastAsia="IRNazanin" w:cs="IRNazanin"/>
          <w:lang w:bidi="fa-IR"/>
          <w:color w:val="111111"/>
          <w:sz w:val="28"/>
          <w:szCs w:val="28"/>
          <w:rtl/>
        </w:rPr>
        <w:t xml:space="preserve">لم تنشأ عن کذب البائع،و أمّا العشرة الزائدة فإنّما جاء غرامتها من کذب البائع فی دعواه،فحصل الغرور فوجب الرجوع.</w:t>
      </w:r>
    </w:p>
    <w:p>
      <w:pPr>
        <w:pStyle w:val="BookText"/>
      </w:pPr>
      <w:r>
        <w:rPr>
          <w:rFonts w:ascii="IRNazanin" w:hAnsi="IRNazanin" w:eastAsia="IRNazanin" w:cs="IRNazanin"/>
          <w:lang w:bidi="fa-IR"/>
          <w:color w:val="111111"/>
          <w:sz w:val="28"/>
          <w:szCs w:val="28"/>
          <w:rtl/>
        </w:rPr>
        <w:t xml:space="preserve">[*ستوده]</w:t>
      </w:r>
    </w:p>
    <w:p>
      <w:pPr>
        <w:pStyle w:val="BookText"/>
      </w:pPr>
      <w:r>
        <w:rPr>
          <w:rFonts w:ascii="IRNazanin" w:hAnsi="IRNazanin" w:eastAsia="IRNazanin" w:cs="IRNazanin"/>
          <w:lang w:bidi="fa-IR"/>
          <w:color w:val="111111"/>
          <w:sz w:val="28"/>
          <w:szCs w:val="28"/>
          <w:rtl/>
        </w:rPr>
        <w:t xml:space="preserve">و ممّا ذکرنا یظهر اندفاع ما ذکر </w:t>
      </w:r>
      <w:r>
        <w:rPr>
          <w:rStyle w:val="FootnoteReference"/>
        </w:rPr>
        <w:footnoteReference w:id="3932"/>
      </w:r>
      <w:r>
        <w:rPr>
          <w:rFonts w:ascii="IRNazanin" w:hAnsi="IRNazanin" w:eastAsia="IRNazanin" w:cs="IRNazanin"/>
          <w:lang w:bidi="fa-IR"/>
          <w:color w:val="111111"/>
          <w:sz w:val="28"/>
          <w:szCs w:val="28"/>
          <w:rtl/>
        </w:rPr>
        <w:t xml:space="preserve">فی وجه عدم الرجوع:من أنّ المشتری إنّما أقدم علی ضمان العین و کون تلفه منه،کما هو شأن فاسد کلّ عقد یُضمن بصحیحه،و مع الإقدام لا غرور؛و لذا لم یقل به فی العشرة المقابلة للثمن.</w:t>
      </w:r>
    </w:p>
    <w:p>
      <w:pPr>
        <w:pStyle w:val="BookText"/>
      </w:pPr>
      <w:r>
        <w:rPr>
          <w:rFonts w:ascii="IRNazanin" w:hAnsi="IRNazanin" w:eastAsia="IRNazanin" w:cs="IRNazanin"/>
          <w:lang w:bidi="fa-IR"/>
          <w:color w:val="111111"/>
          <w:sz w:val="28"/>
          <w:szCs w:val="28"/>
          <w:rtl/>
        </w:rPr>
        <w:t xml:space="preserve">توضیح </w:t>
      </w:r>
      <w:r>
        <w:rPr>
          <w:rStyle w:val="FootnoteReference"/>
        </w:rPr>
        <w:footnoteReference w:id="3933"/>
      </w:r>
      <w:r>
        <w:rPr>
          <w:rFonts w:ascii="IRNazanin" w:hAnsi="IRNazanin" w:eastAsia="IRNazanin" w:cs="IRNazanin"/>
          <w:lang w:bidi="fa-IR"/>
          <w:color w:val="111111"/>
          <w:sz w:val="28"/>
          <w:szCs w:val="28"/>
          <w:rtl/>
        </w:rPr>
        <w:t xml:space="preserve">الاندفاع:أنّ الإقدام إنّما کان علی ضمانه بالثمن،إلّا أنّ</w:t>
      </w:r>
    </w:p>
    <w:p>
      <w:pPr>
        <w:pStyle w:val="BookText"/>
      </w:pPr>
      <w:r>
        <w:rPr>
          <w:rFonts w:ascii="IRNazanin" w:hAnsi="IRNazanin" w:eastAsia="IRNazanin" w:cs="IRNazanin"/>
          <w:lang w:bidi="fa-IR"/>
          <w:color w:val="111111"/>
          <w:sz w:val="28"/>
          <w:szCs w:val="28"/>
          <w:rtl/>
        </w:rPr>
        <w:t xml:space="preserve">[شماره صفحه واقعی : 502]
</w:t>
      </w:r>
    </w:p>
    <w:p>
      <w:pPr>
        <w:sectPr>
          <w:footerReference w:type="default" r:id="rId1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الشارع جعل القبض علی هذا النحو من الإقدام-مع فساد العقد و عدم إمضاء الشارع له-سبباً لضمان المبیع بقیمته الواقعیّة،فالمانع من تحقّق الغرور-و هو الإقدام-لم یکن إلّا فی مقابل الثمن،و الضمان المسبّب عن هذا الإقدام لمّا کان لأجل فساد العقد المسبّب عن تغریر البائع کان المرتّب علیه من ضمان العشرة الزائدة مستقرّاً علی الغارّ، فغرامة العشرة الزائدة و إن کانت مسبّبة عن الإقدام،إلّا أنّها لیست مقدماً علیها.</w:t>
      </w:r>
    </w:p>
    <w:p>
      <w:pPr>
        <w:pStyle w:val="BookText"/>
      </w:pPr>
      <w:r>
        <w:rPr>
          <w:rFonts w:ascii="Amiri" w:hAnsi="Amiri" w:eastAsia="Amiri" w:cs="Amiri"/>
          <w:lang w:bidi="ar-SA"/>
          <w:color w:val="111111"/>
          <w:sz w:val="28"/>
          <w:szCs w:val="28"/>
          <w:rtl/>
        </w:rPr>
        <w:t xml:space="preserve">هذا کلّه،مع أنّ التحقیق-علی ما تقدّم سابقاً </w:t>
      </w:r>
      <w:r>
        <w:rPr>
          <w:rStyle w:val="FootnoteReference"/>
        </w:rPr>
        <w:footnoteReference w:id="3934"/>
      </w:r>
      <w:r>
        <w:rPr>
          <w:rFonts w:ascii="IRNazanin" w:hAnsi="IRNazanin" w:eastAsia="IRNazanin" w:cs="IRNazanin"/>
          <w:lang w:bidi="fa-IR"/>
          <w:color w:val="111111"/>
          <w:sz w:val="28"/>
          <w:szCs w:val="28"/>
          <w:rtl/>
        </w:rPr>
        <w:t xml:space="preserve">-:أنّ سبب الضمان فی العقد الفاسد هو القبض الواقع لا علی وجه الائتمان،و أن لیس الإقدام علی الضمان علّة له مع عدم إمضاء الشارع لذلک الضمان و إن استدلّ به الشیخ </w:t>
      </w:r>
      <w:r>
        <w:rPr>
          <w:rStyle w:val="FootnoteReference"/>
        </w:rPr>
        <w:footnoteReference w:id="3935"/>
      </w:r>
      <w:r>
        <w:rPr>
          <w:rFonts w:ascii="IRNazanin" w:hAnsi="IRNazanin" w:eastAsia="IRNazanin" w:cs="IRNazanin"/>
          <w:lang w:bidi="fa-IR"/>
          <w:color w:val="111111"/>
          <w:sz w:val="28"/>
          <w:szCs w:val="28"/>
          <w:rtl/>
        </w:rPr>
        <w:t xml:space="preserve">و أکثر من تأخّر عنه </w:t>
      </w:r>
      <w:r>
        <w:rPr>
          <w:rStyle w:val="FootnoteReference"/>
        </w:rPr>
        <w:footnoteReference w:id="3936"/>
      </w:r>
      <w:r>
        <w:rPr>
          <w:rFonts w:ascii="IRNazanin" w:hAnsi="IRNazanin" w:eastAsia="IRNazanin" w:cs="IRNazanin"/>
          <w:lang w:bidi="fa-IR"/>
          <w:color w:val="111111"/>
          <w:sz w:val="28"/>
          <w:szCs w:val="28"/>
          <w:rtl/>
        </w:rPr>
        <w:t xml:space="preserve">،و قد ذکرنا فی محلّه توجیه ذلک بما یرجع إلی الاستدلال بالید،فراجع </w:t>
      </w:r>
      <w:r>
        <w:rPr>
          <w:rStyle w:val="FootnoteReference"/>
        </w:rPr>
        <w:footnoteReference w:id="3937"/>
      </w:r>
      <w:r>
        <w:rPr>
          <w:rFonts w:ascii="IRNazanin" w:hAnsi="IRNazanin" w:eastAsia="IRNazanin" w:cs="IRNazanin"/>
          <w:lang w:bidi="fa-IR"/>
          <w:color w:val="111111"/>
          <w:sz w:val="28"/>
          <w:szCs w:val="28"/>
          <w:rtl/>
        </w:rPr>
        <w:t xml:space="preserve">.و کیف کان، فجریان قاعدة الغرور فیما نحن فیه أولی منه فیما حصل فی مقابلته نفع.</w:t>
      </w:r>
    </w:p>
    <w:p>
      <w:pPr>
        <w:pStyle w:val="BookText"/>
      </w:pPr>
      <w:r>
        <w:rPr>
          <w:rFonts w:ascii="IRNazanin" w:hAnsi="IRNazanin" w:eastAsia="IRNazanin" w:cs="IRNazanin"/>
          <w:lang w:bidi="fa-IR"/>
          <w:color w:val="111111"/>
          <w:sz w:val="28"/>
          <w:szCs w:val="28"/>
          <w:rtl/>
        </w:rPr>
        <w:t xml:space="preserve">هذا إذا کانت الزیادة موجودة وقت العقد،و لو تجدّدت بعده فالحکم بالرجوع فیه أولی.</w:t>
      </w:r>
    </w:p>
    <w:p>
      <w:pPr>
        <w:pStyle w:val="BookText"/>
      </w:pPr>
      <w:r>
        <w:rPr>
          <w:rFonts w:ascii="IRNazanin" w:hAnsi="IRNazanin" w:eastAsia="IRNazanin" w:cs="IRNazanin"/>
          <w:lang w:bidi="fa-IR"/>
          <w:color w:val="111111"/>
          <w:sz w:val="28"/>
          <w:szCs w:val="28"/>
          <w:rtl/>
        </w:rPr>
        <w:t xml:space="preserve">هذا کلّه فیما یغرمه المشتری بإزاء نفس العین التالفة،و أمّا ما یغرمه بإزاء أجزائه التالفة،فالظاهر أنّ حکمه حکم المجموع فی</w:t>
      </w:r>
    </w:p>
    <w:p>
      <w:pPr>
        <w:pStyle w:val="BookText"/>
      </w:pPr>
      <w:r>
        <w:rPr>
          <w:rFonts w:ascii="IRNazanin" w:hAnsi="IRNazanin" w:eastAsia="IRNazanin" w:cs="IRNazanin"/>
          <w:lang w:bidi="fa-IR"/>
          <w:color w:val="111111"/>
          <w:sz w:val="28"/>
          <w:szCs w:val="28"/>
          <w:rtl/>
        </w:rPr>
        <w:t xml:space="preserve">[شماره صفحه واقعی : 503]
</w:t>
      </w:r>
    </w:p>
    <w:p>
      <w:pPr>
        <w:sectPr>
          <w:footerReference w:type="default" r:id="rId1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أنّه یرجع فی الزائد علی ما یقابل ذلک الجزء لا فیما یقابله -علی ما اخترناه-و یجیء علی القول الآخر عدم الرجوع فی تمام ما یغرمه.</w:t>
      </w:r>
    </w:p>
    <w:p>
      <w:pPr>
        <w:pStyle w:val="BookText"/>
      </w:pPr>
      <w:r>
        <w:rPr>
          <w:rFonts w:ascii="IRNazanin" w:hAnsi="IRNazanin" w:eastAsia="IRNazanin" w:cs="IRNazanin"/>
          <w:lang w:bidi="fa-IR"/>
          <w:color w:val="111111"/>
          <w:sz w:val="28"/>
          <w:szCs w:val="28"/>
          <w:rtl/>
        </w:rPr>
        <w:t xml:space="preserve">و أمّا ما یغرمه بإزاء أوصافه،فإن کان ممّا لا یقسّط علیه الثمن -کماعدا وصف الصحّة من الأوصاف التی یتفاوت بها القیمة،کما لو کان عبداً کاتباً فنسی الکتابة عند المشتری فرجع المالک علیه بالتفاوت-فالظاهر رجوع المشتری علی البائع؛لأنّه لم یُقدم علی ضمان ذلک.</w:t>
      </w:r>
    </w:p>
    <w:p>
      <w:pPr>
        <w:pStyle w:val="BookText"/>
      </w:pPr>
      <w:r>
        <w:rPr>
          <w:rFonts w:ascii="IRNazanin" w:hAnsi="IRNazanin" w:eastAsia="IRNazanin" w:cs="IRNazanin"/>
          <w:lang w:bidi="fa-IR"/>
          <w:color w:val="111111"/>
          <w:sz w:val="28"/>
          <w:szCs w:val="28"/>
          <w:rtl/>
        </w:rPr>
        <w:t xml:space="preserve">ثمّ إنّ ما ذکرنا کلّه-من رجوع المشتری علی البائع بما یغرمه- إنّما هو إذا کان البیع المذکور صحیحاً من غیر جهة کون البائع غیر مالک،أمّا لو کان فاسداً من جهةٍ أُخری فلا رجوع علی البائع؛لأنّ الغرامة لم تجیء من تغریر البائع فی دعوی الملکیّة،و إنّما جاءت من جهة فساد البیع،فلو فرضنا البائع صادقاً فی دعواه لم تزل الغرامة، غایة الأمر کون المغروم له هو البائع علی تقدیر الصدق،و المالک علی تقدیر کذبه،فحکمه حکم نفس الثمن فی التزام المشتری به علی تقدیری صدق البائع و کذبه.</w:t>
      </w:r>
    </w:p>
    <w:p>
      <w:pPr>
        <w:pStyle w:val="BookText"/>
      </w:pPr>
      <w:r>
        <w:rPr>
          <w:rFonts w:ascii="Amiri" w:hAnsi="Amiri" w:eastAsia="Amiri" w:cs="Amiri"/>
          <w:lang w:bidi="ar-SA"/>
          <w:color w:val="111111"/>
          <w:sz w:val="28"/>
          <w:szCs w:val="28"/>
          <w:rtl/>
        </w:rPr>
        <w:t xml:space="preserve">ثمّ إنّه قد ظهر </w:t>
      </w:r>
      <w:r>
        <w:rPr>
          <w:rStyle w:val="FootnoteReference"/>
        </w:rPr>
        <w:footnoteReference w:id="3938"/>
      </w:r>
      <w:r>
        <w:rPr>
          <w:rFonts w:ascii="IRNazanin" w:hAnsi="IRNazanin" w:eastAsia="IRNazanin" w:cs="IRNazanin"/>
          <w:lang w:bidi="fa-IR"/>
          <w:color w:val="111111"/>
          <w:sz w:val="28"/>
          <w:szCs w:val="28"/>
          <w:rtl/>
        </w:rPr>
        <w:t xml:space="preserve">ممّا ذکرنا:أنّ کلّ ما یرجع المشتری به علی البائع إذا رُجع علیه </w:t>
      </w:r>
      <w:r>
        <w:rPr>
          <w:rStyle w:val="FootnoteReference"/>
        </w:rPr>
        <w:footnoteReference w:id="3939"/>
      </w:r>
      <w:r>
        <w:rPr>
          <w:rFonts w:ascii="IRNazanin" w:hAnsi="IRNazanin" w:eastAsia="IRNazanin" w:cs="IRNazanin"/>
          <w:lang w:bidi="fa-IR"/>
          <w:color w:val="111111"/>
          <w:sz w:val="28"/>
          <w:szCs w:val="28"/>
          <w:rtl/>
        </w:rPr>
        <w:t xml:space="preserve">،فلا یرجع البائع به علی المشتری إذا رُجع علیه؛لأنّ المفروض قرار الضمان علی البائع،و أمّا ما لا یرجع المشتری</w:t>
      </w:r>
    </w:p>
    <w:p>
      <w:pPr>
        <w:pStyle w:val="BookText"/>
      </w:pPr>
      <w:r>
        <w:rPr>
          <w:rFonts w:ascii="IRNazanin" w:hAnsi="IRNazanin" w:eastAsia="IRNazanin" w:cs="IRNazanin"/>
          <w:lang w:bidi="fa-IR"/>
          <w:color w:val="111111"/>
          <w:sz w:val="28"/>
          <w:szCs w:val="28"/>
          <w:rtl/>
        </w:rPr>
        <w:t xml:space="preserve">[شماره صفحه واقعی : 504]
</w:t>
      </w:r>
    </w:p>
    <w:p>
      <w:pPr>
        <w:sectPr>
          <w:footerReference w:type="default" r:id="rId1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علی البائع-کمساوی الثمن من القیمة-فیرجع البائع به علی المشتری إذا غرمه للمالک،و الوجه فی ذلک حصول التلف فی یده.</w:t>
      </w:r>
    </w:p>
    <w:p>
      <w:pPr>
        <w:pStyle w:val="BookText"/>
      </w:pPr>
      <w:r>
        <w:rPr>
          <w:rFonts w:ascii="IRNazanin" w:hAnsi="IRNazanin" w:eastAsia="IRNazanin" w:cs="IRNazanin"/>
          <w:lang w:bidi="fa-IR"/>
          <w:color w:val="111111"/>
          <w:sz w:val="28"/>
          <w:szCs w:val="28"/>
          <w:rtl/>
        </w:rPr>
        <w:t xml:space="preserve">فإن قلت:إنّ کلاّ من البائع و المشتری یتساویان فی حصول العین فی یدهما العادیة التی هی سبب للضمان </w:t>
      </w:r>
      <w:r>
        <w:rPr>
          <w:rStyle w:val="FootnoteReference"/>
        </w:rPr>
        <w:footnoteReference w:id="3940"/>
      </w:r>
      <w:r>
        <w:rPr>
          <w:rFonts w:ascii="IRNazanin" w:hAnsi="IRNazanin" w:eastAsia="IRNazanin" w:cs="IRNazanin"/>
          <w:lang w:bidi="fa-IR"/>
          <w:color w:val="111111"/>
          <w:sz w:val="28"/>
          <w:szCs w:val="28"/>
          <w:rtl/>
        </w:rPr>
        <w:t xml:space="preserve">،و حصول التلف فی ید المشتری </w:t>
      </w:r>
      <w:r>
        <w:rPr>
          <w:rStyle w:val="FootnoteReference"/>
        </w:rPr>
        <w:footnoteReference w:id="3941"/>
      </w:r>
      <w:r>
        <w:rPr>
          <w:rFonts w:ascii="IRNazanin" w:hAnsi="IRNazanin" w:eastAsia="IRNazanin" w:cs="IRNazanin"/>
          <w:lang w:bidi="fa-IR"/>
          <w:color w:val="111111"/>
          <w:sz w:val="28"/>
          <w:szCs w:val="28"/>
          <w:rtl/>
        </w:rPr>
        <w:t xml:space="preserve">لا دلیل علی کونه سبباً لرجوع البائع علیه.نعم،لو أتلف بفعله رجع؛لکونه سبباً لتنجّز الضمان علی السابق.</w:t>
      </w:r>
    </w:p>
    <w:p>
      <w:pPr>
        <w:pStyle w:val="BookText"/>
      </w:pPr>
      <w:r>
        <w:rPr>
          <w:rFonts w:ascii="IRNazanin" w:hAnsi="IRNazanin" w:eastAsia="IRNazanin" w:cs="IRNazanin"/>
          <w:lang w:bidi="fa-IR"/>
          <w:color w:val="111111"/>
          <w:sz w:val="28"/>
          <w:szCs w:val="28"/>
          <w:rtl/>
        </w:rPr>
        <w:t xml:space="preserve">[*ستوده]</w:t>
      </w:r>
    </w:p>
    <w:p>
      <w:pPr>
        <w:pStyle w:val="BookText"/>
      </w:pPr>
      <w:r>
        <w:rPr>
          <w:rFonts w:ascii="IRNazanin" w:hAnsi="IRNazanin" w:eastAsia="IRNazanin" w:cs="IRNazanin"/>
          <w:lang w:bidi="fa-IR"/>
          <w:color w:val="111111"/>
          <w:sz w:val="28"/>
          <w:szCs w:val="28"/>
          <w:rtl/>
        </w:rPr>
        <w:t xml:space="preserve">قلت:توضیح ذلک یحتاج إلی الکشف عن کیفیّة اشتغال ذمّة کلٍّ من الیدین ببدل التالف و صیرورته فی عهدة کلٍّ منهما،مع أنّ الشیء الواحد لا یقبل الاستقرار </w:t>
      </w:r>
      <w:r>
        <w:rPr>
          <w:rStyle w:val="FootnoteReference"/>
        </w:rPr>
        <w:footnoteReference w:id="3942"/>
      </w:r>
      <w:r>
        <w:rPr>
          <w:rFonts w:ascii="IRNazanin" w:hAnsi="IRNazanin" w:eastAsia="IRNazanin" w:cs="IRNazanin"/>
          <w:lang w:bidi="fa-IR"/>
          <w:color w:val="111111"/>
          <w:sz w:val="28"/>
          <w:szCs w:val="28"/>
          <w:rtl/>
        </w:rPr>
        <w:t xml:space="preserve">إلّا فی ذمّة واحدة،و أنّ الموصول فی قوله علیه السلام:«علی الید ما أخذت» </w:t>
      </w:r>
      <w:r>
        <w:rPr>
          <w:rStyle w:val="FootnoteReference"/>
        </w:rPr>
        <w:footnoteReference w:id="3943"/>
      </w:r>
      <w:r>
        <w:rPr>
          <w:rFonts w:ascii="IRNazanin" w:hAnsi="IRNazanin" w:eastAsia="IRNazanin" w:cs="IRNazanin"/>
          <w:lang w:bidi="fa-IR"/>
          <w:color w:val="111111"/>
          <w:sz w:val="28"/>
          <w:szCs w:val="28"/>
          <w:rtl/>
        </w:rPr>
        <w:t xml:space="preserve">شیء واحد،کیف یکون علی کلّ واحدة من الأیادی المتعدّدة؟ فنقول:معنی کون العین المأخوذة علی الید:کون عهدتها و درکها بعد التلف علیه،فإذا فرض أیدٍ متعدّدة یکون العین الواحدة فی عهدة کلٍّ من الأیادی،لکن ثبوت الشیء الواحد فی العهدات المتعدّدة معناه:</w:t>
      </w:r>
    </w:p>
    <w:p>
      <w:pPr>
        <w:pStyle w:val="BookText"/>
      </w:pPr>
      <w:r>
        <w:rPr>
          <w:rFonts w:ascii="IRNazanin" w:hAnsi="IRNazanin" w:eastAsia="IRNazanin" w:cs="IRNazanin"/>
          <w:lang w:bidi="fa-IR"/>
          <w:color w:val="111111"/>
          <w:sz w:val="28"/>
          <w:szCs w:val="28"/>
          <w:rtl/>
        </w:rPr>
        <w:t xml:space="preserve">لزوم خروج کلٍّ منها عن العهدة عند تلفه،و حیث إنّ الواجب هو</w:t>
      </w:r>
    </w:p>
    <w:p>
      <w:pPr>
        <w:pStyle w:val="BookText"/>
      </w:pPr>
      <w:r>
        <w:rPr>
          <w:rFonts w:ascii="IRNazanin" w:hAnsi="IRNazanin" w:eastAsia="IRNazanin" w:cs="IRNazanin"/>
          <w:lang w:bidi="fa-IR"/>
          <w:color w:val="111111"/>
          <w:sz w:val="28"/>
          <w:szCs w:val="28"/>
          <w:rtl/>
        </w:rPr>
        <w:t xml:space="preserve">[شماره صفحه واقعی : 505]
</w:t>
      </w:r>
    </w:p>
    <w:p>
      <w:pPr>
        <w:sectPr>
          <w:footerReference w:type="default" r:id="rId1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تدارک التالف الذی یحصل ببدل واحد لا أزید،کان معناه:تسلّط المالک علی مطالبة کلٍّ منهم بالخروج </w:t>
      </w:r>
      <w:r>
        <w:rPr>
          <w:rStyle w:val="FootnoteReference"/>
        </w:rPr>
        <w:footnoteReference w:id="3944"/>
      </w:r>
      <w:r>
        <w:rPr>
          <w:rFonts w:ascii="Amiri" w:hAnsi="Amiri" w:eastAsia="Amiri" w:cs="Amiri"/>
          <w:lang w:bidi="ar-SA"/>
          <w:color w:val="111111"/>
          <w:sz w:val="28"/>
          <w:szCs w:val="28"/>
          <w:rtl/>
        </w:rPr>
        <w:t xml:space="preserve">عن العهدة عند تلفه </w:t>
      </w:r>
      <w:r>
        <w:rPr>
          <w:rStyle w:val="FootnoteReference"/>
        </w:rPr>
        <w:footnoteReference w:id="3945"/>
      </w:r>
      <w:r>
        <w:rPr>
          <w:rFonts w:ascii="IRNazanin" w:hAnsi="IRNazanin" w:eastAsia="IRNazanin" w:cs="IRNazanin"/>
          <w:lang w:bidi="fa-IR"/>
          <w:color w:val="111111"/>
          <w:sz w:val="28"/>
          <w:szCs w:val="28"/>
          <w:rtl/>
        </w:rPr>
        <w:t xml:space="preserve">،فهو یملک ما فی ذمّة کلٍّ منهم علی البدل،بمعنی أنّه إذا استوفی أحدها </w:t>
      </w:r>
      <w:r>
        <w:rPr>
          <w:rStyle w:val="FootnoteReference"/>
        </w:rPr>
        <w:footnoteReference w:id="3946"/>
      </w:r>
      <w:r>
        <w:rPr>
          <w:rFonts w:ascii="IRNazanin" w:hAnsi="IRNazanin" w:eastAsia="IRNazanin" w:cs="IRNazanin"/>
          <w:lang w:bidi="fa-IR"/>
          <w:color w:val="111111"/>
          <w:sz w:val="28"/>
          <w:szCs w:val="28"/>
          <w:rtl/>
        </w:rPr>
        <w:t xml:space="preserve">سقط </w:t>
      </w:r>
      <w:r>
        <w:rPr>
          <w:rStyle w:val="FootnoteReference"/>
        </w:rPr>
        <w:footnoteReference w:id="3947"/>
      </w:r>
      <w:r>
        <w:rPr>
          <w:rFonts w:ascii="IRNazanin" w:hAnsi="IRNazanin" w:eastAsia="IRNazanin" w:cs="IRNazanin"/>
          <w:lang w:bidi="fa-IR"/>
          <w:color w:val="111111"/>
          <w:sz w:val="28"/>
          <w:szCs w:val="28"/>
          <w:rtl/>
        </w:rPr>
        <w:t xml:space="preserve">الباقی؛لخروج الباقی عن کونه </w:t>
      </w:r>
      <w:r>
        <w:rPr>
          <w:rStyle w:val="FootnoteReference"/>
        </w:rPr>
        <w:footnoteReference w:id="3948"/>
      </w:r>
      <w:r>
        <w:rPr>
          <w:rFonts w:ascii="IRNazanin" w:hAnsi="IRNazanin" w:eastAsia="IRNazanin" w:cs="IRNazanin"/>
          <w:lang w:bidi="fa-IR"/>
          <w:color w:val="111111"/>
          <w:sz w:val="28"/>
          <w:szCs w:val="28"/>
          <w:rtl/>
        </w:rPr>
        <w:t xml:space="preserve">تدارکاً،لأنّ المتدارک لا یتدارک.</w:t>
      </w:r>
    </w:p>
    <w:p>
      <w:pPr>
        <w:pStyle w:val="BookText"/>
      </w:pPr>
      <w:r>
        <w:rPr>
          <w:rFonts w:ascii="IRNazanin" w:hAnsi="IRNazanin" w:eastAsia="IRNazanin" w:cs="IRNazanin"/>
          <w:lang w:bidi="fa-IR"/>
          <w:color w:val="111111"/>
          <w:sz w:val="28"/>
          <w:szCs w:val="28"/>
          <w:rtl/>
        </w:rPr>
        <w:t xml:space="preserve">و الوجه فی سقوط حقّه بدفع بعضهم عن الباقی:أنّ مطالبته ما دام لم یصل إلیه المبدل و لا بدله،فأیّها </w:t>
      </w:r>
      <w:r>
        <w:rPr>
          <w:rStyle w:val="FootnoteReference"/>
        </w:rPr>
        <w:footnoteReference w:id="3949"/>
      </w:r>
      <w:r>
        <w:rPr>
          <w:rFonts w:ascii="IRNazanin" w:hAnsi="IRNazanin" w:eastAsia="IRNazanin" w:cs="IRNazanin"/>
          <w:lang w:bidi="fa-IR"/>
          <w:color w:val="111111"/>
          <w:sz w:val="28"/>
          <w:szCs w:val="28"/>
          <w:rtl/>
        </w:rPr>
        <w:t xml:space="preserve">حصل فی یده لم یبقَ له استحقاق بدله </w:t>
      </w:r>
      <w:r>
        <w:rPr>
          <w:rStyle w:val="FootnoteReference"/>
        </w:rPr>
        <w:footnoteReference w:id="3950"/>
      </w:r>
      <w:r>
        <w:rPr>
          <w:rFonts w:ascii="IRNazanin" w:hAnsi="IRNazanin" w:eastAsia="IRNazanin" w:cs="IRNazanin"/>
          <w:lang w:bidi="fa-IR"/>
          <w:color w:val="111111"/>
          <w:sz w:val="28"/>
          <w:szCs w:val="28"/>
          <w:rtl/>
        </w:rPr>
        <w:t xml:space="preserve">،فلو بقی شیء له فی ذمّة واحدة </w:t>
      </w:r>
      <w:r>
        <w:rPr>
          <w:rStyle w:val="FootnoteReference"/>
        </w:rPr>
        <w:footnoteReference w:id="3951"/>
      </w:r>
      <w:r>
        <w:rPr>
          <w:rFonts w:ascii="IRNazanin" w:hAnsi="IRNazanin" w:eastAsia="IRNazanin" w:cs="IRNazanin"/>
          <w:lang w:bidi="fa-IR"/>
          <w:color w:val="111111"/>
          <w:sz w:val="28"/>
          <w:szCs w:val="28"/>
          <w:rtl/>
        </w:rPr>
        <w:t xml:space="preserve">لم یکن بعنوان</w:t>
      </w:r>
    </w:p>
    <w:p>
      <w:pPr>
        <w:pStyle w:val="BookText"/>
      </w:pPr>
      <w:r>
        <w:rPr>
          <w:rFonts w:ascii="IRNazanin" w:hAnsi="IRNazanin" w:eastAsia="IRNazanin" w:cs="IRNazanin"/>
          <w:lang w:bidi="fa-IR"/>
          <w:color w:val="111111"/>
          <w:sz w:val="28"/>
          <w:szCs w:val="28"/>
          <w:rtl/>
        </w:rPr>
        <w:t xml:space="preserve">[شماره صفحه واقعی : 506]
</w:t>
      </w:r>
    </w:p>
    <w:p>
      <w:pPr>
        <w:sectPr>
          <w:footerReference w:type="default" r:id="rId1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البدلیّة،و المفروض عدم ثبوته بعنوان آخر.</w:t>
      </w:r>
    </w:p>
    <w:p>
      <w:pPr>
        <w:pStyle w:val="BookText"/>
      </w:pPr>
      <w:r>
        <w:rPr>
          <w:rFonts w:ascii="IRNazanin" w:hAnsi="IRNazanin" w:eastAsia="IRNazanin" w:cs="IRNazanin"/>
          <w:lang w:bidi="fa-IR"/>
          <w:color w:val="111111"/>
          <w:sz w:val="28"/>
          <w:szCs w:val="28"/>
          <w:rtl/>
        </w:rPr>
        <w:t xml:space="preserve">و یتحقّق ممّا ذکرنا:أنّ المالک إنّما یملک البدل علی سبیل البدلیة، و </w:t>
      </w:r>
      <w:r>
        <w:rPr>
          <w:rStyle w:val="FootnoteReference"/>
        </w:rPr>
        <w:footnoteReference w:id="3952"/>
      </w:r>
      <w:r>
        <w:rPr>
          <w:rFonts w:ascii="IRNazanin" w:hAnsi="IRNazanin" w:eastAsia="IRNazanin" w:cs="IRNazanin"/>
          <w:lang w:bidi="fa-IR"/>
          <w:color w:val="111111"/>
          <w:sz w:val="28"/>
          <w:szCs w:val="28"/>
          <w:rtl/>
        </w:rPr>
        <w:t xml:space="preserve">یستحیل اتّصاف شیء منها بالبدلیّة بعد صیرورة أحدها بدلاً عن التالف واصلاً إلی المالک.</w:t>
      </w:r>
    </w:p>
    <w:p>
      <w:pPr>
        <w:pStyle w:val="BookText"/>
      </w:pPr>
      <w:r>
        <w:rPr>
          <w:rFonts w:ascii="IRNazanin" w:hAnsi="IRNazanin" w:eastAsia="IRNazanin" w:cs="IRNazanin"/>
          <w:lang w:bidi="fa-IR"/>
          <w:color w:val="111111"/>
          <w:sz w:val="28"/>
          <w:szCs w:val="28"/>
          <w:rtl/>
        </w:rPr>
        <w:t xml:space="preserve">و یمکن أن یکون نظیر ذلک:ضمان المال علی طریقة الجمهور؛ حیث إنّه ضمّ ذمّة إلی ذمّة أُخری </w:t>
      </w:r>
      <w:r>
        <w:rPr>
          <w:rStyle w:val="FootnoteReference"/>
        </w:rPr>
        <w:footnoteReference w:id="3953"/>
      </w:r>
      <w:r>
        <w:rPr>
          <w:rFonts w:ascii="IRNazanin" w:hAnsi="IRNazanin" w:eastAsia="IRNazanin" w:cs="IRNazanin"/>
          <w:lang w:bidi="fa-IR"/>
          <w:color w:val="111111"/>
          <w:sz w:val="28"/>
          <w:szCs w:val="28"/>
          <w:rtl/>
        </w:rPr>
        <w:t xml:space="preserve">،و ضمان عهدة العوضین لکلٍّ من البائع و المشتری عندنا-کما فی الإیضاح </w:t>
      </w:r>
      <w:r>
        <w:rPr>
          <w:rStyle w:val="FootnoteReference"/>
        </w:rPr>
        <w:footnoteReference w:id="3954"/>
      </w:r>
      <w:r>
        <w:rPr>
          <w:rFonts w:ascii="IRNazanin" w:hAnsi="IRNazanin" w:eastAsia="IRNazanin" w:cs="IRNazanin"/>
          <w:lang w:bidi="fa-IR"/>
          <w:color w:val="111111"/>
          <w:sz w:val="28"/>
          <w:szCs w:val="28"/>
          <w:rtl/>
        </w:rPr>
        <w:t xml:space="preserve">-و ضمان الأعیان المضمونة علی ما استقربه فی التذکرة </w:t>
      </w:r>
      <w:r>
        <w:rPr>
          <w:rStyle w:val="FootnoteReference"/>
        </w:rPr>
        <w:footnoteReference w:id="3955"/>
      </w:r>
      <w:r>
        <w:rPr>
          <w:rFonts w:ascii="IRNazanin" w:hAnsi="IRNazanin" w:eastAsia="IRNazanin" w:cs="IRNazanin"/>
          <w:lang w:bidi="fa-IR"/>
          <w:color w:val="111111"/>
          <w:sz w:val="28"/>
          <w:szCs w:val="28"/>
          <w:rtl/>
        </w:rPr>
        <w:t xml:space="preserve">و قوّاه فی الإیضاح </w:t>
      </w:r>
      <w:r>
        <w:rPr>
          <w:rStyle w:val="FootnoteReference"/>
        </w:rPr>
        <w:footnoteReference w:id="3956"/>
      </w:r>
      <w:r>
        <w:rPr>
          <w:rFonts w:ascii="IRNazanin" w:hAnsi="IRNazanin" w:eastAsia="IRNazanin" w:cs="IRNazanin"/>
          <w:lang w:bidi="fa-IR"/>
          <w:color w:val="111111"/>
          <w:sz w:val="28"/>
          <w:szCs w:val="28"/>
          <w:rtl/>
        </w:rPr>
        <w:t xml:space="preserve">،و ضمان الاثنین لواحد کما اختاره ابن حمزة </w:t>
      </w:r>
      <w:r>
        <w:rPr>
          <w:rStyle w:val="FootnoteReference"/>
        </w:rPr>
        <w:footnoteReference w:id="39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حکی فخر الدین </w:t>
      </w:r>
      <w:r>
        <w:rPr>
          <w:rStyle w:val="FootnoteReference"/>
        </w:rPr>
        <w:footnoteReference w:id="3958"/>
      </w:r>
      <w:r>
        <w:rPr>
          <w:rFonts w:ascii="IRNazanin" w:hAnsi="IRNazanin" w:eastAsia="IRNazanin" w:cs="IRNazanin"/>
          <w:lang w:bidi="fa-IR"/>
          <w:color w:val="111111"/>
          <w:sz w:val="28"/>
          <w:szCs w:val="28"/>
          <w:rtl/>
        </w:rPr>
        <w:t xml:space="preserve">و الشهید </w:t>
      </w:r>
      <w:r>
        <w:rPr>
          <w:rStyle w:val="FootnoteReference"/>
        </w:rPr>
        <w:footnoteReference w:id="3959"/>
      </w:r>
      <w:r>
        <w:rPr>
          <w:rFonts w:ascii="IRNazanin" w:hAnsi="IRNazanin" w:eastAsia="IRNazanin" w:cs="IRNazanin"/>
          <w:lang w:bidi="fa-IR"/>
          <w:color w:val="111111"/>
          <w:sz w:val="28"/>
          <w:szCs w:val="28"/>
          <w:rtl/>
        </w:rPr>
        <w:t xml:space="preserve">عن العلّامة رحمه اللّه فی درسه </w:t>
      </w:r>
      <w:r>
        <w:rPr>
          <w:rStyle w:val="FootnoteReference"/>
        </w:rPr>
        <w:footnoteReference w:id="39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أنّه نفی المنع عن </w:t>
      </w:r>
      <w:r>
        <w:rPr>
          <w:rStyle w:val="FootnoteReference"/>
        </w:rPr>
        <w:footnoteReference w:id="3961"/>
      </w:r>
      <w:r>
        <w:rPr>
          <w:rFonts w:ascii="IRNazanin" w:hAnsi="IRNazanin" w:eastAsia="IRNazanin" w:cs="IRNazanin"/>
          <w:lang w:bidi="fa-IR"/>
          <w:color w:val="111111"/>
          <w:sz w:val="28"/>
          <w:szCs w:val="28"/>
          <w:rtl/>
        </w:rPr>
        <w:t xml:space="preserve">ضمان الاثنین علی وجه الاستقلال،قال:و نظیره فی</w:t>
      </w:r>
    </w:p>
    <w:p>
      <w:pPr>
        <w:pStyle w:val="BookText"/>
      </w:pPr>
      <w:r>
        <w:rPr>
          <w:rFonts w:ascii="IRNazanin" w:hAnsi="IRNazanin" w:eastAsia="IRNazanin" w:cs="IRNazanin"/>
          <w:lang w:bidi="fa-IR"/>
          <w:color w:val="111111"/>
          <w:sz w:val="28"/>
          <w:szCs w:val="28"/>
          <w:rtl/>
        </w:rPr>
        <w:t xml:space="preserve">[شماره صفحه واقعی : 507]
</w:t>
      </w:r>
    </w:p>
    <w:p>
      <w:pPr>
        <w:sectPr>
          <w:footerReference w:type="default" r:id="rId1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العبادات:الواجب الکفائی،و فی الأموال:الغاصب من الغاصب.</w:t>
      </w:r>
    </w:p>
    <w:p>
      <w:pPr>
        <w:pStyle w:val="BookText"/>
      </w:pPr>
      <w:r>
        <w:rPr>
          <w:rFonts w:ascii="IRNazanin" w:hAnsi="IRNazanin" w:eastAsia="IRNazanin" w:cs="IRNazanin"/>
          <w:lang w:bidi="fa-IR"/>
          <w:color w:val="111111"/>
          <w:sz w:val="28"/>
          <w:szCs w:val="28"/>
          <w:rtl/>
        </w:rPr>
        <w:t xml:space="preserve">هذا حال المالک بالنسبة إلی ذوی الأیدی.</w:t>
      </w:r>
    </w:p>
    <w:p>
      <w:pPr>
        <w:pStyle w:val="BookText"/>
      </w:pPr>
      <w:r>
        <w:rPr>
          <w:rFonts w:ascii="IRNazanin" w:hAnsi="IRNazanin" w:eastAsia="IRNazanin" w:cs="IRNazanin"/>
          <w:lang w:bidi="fa-IR"/>
          <w:color w:val="111111"/>
          <w:sz w:val="28"/>
          <w:szCs w:val="28"/>
          <w:rtl/>
        </w:rPr>
        <w:t xml:space="preserve">و أمّا حال بعضهم بالنسبة إلی بعض،فلا ریب فی أنّ اللاحق إذا رُجع علیه لا یرجع إلی السابق ما لم یکن السابق موجباً لإیقاعه فی خطر الضمان،کما لا ریب فی أنّ السابق إذا رُجع علیه و کان غارّاً للاحقه لم یرجع إلیه،إذ لا معنی لرجوعه علیه بما لو دفعه اللاحق ضمنه له؛فالمقصود بالکلام ما إذا لم یکن غارّاً له.</w:t>
      </w:r>
    </w:p>
    <w:p>
      <w:pPr>
        <w:pStyle w:val="BookText"/>
      </w:pPr>
      <w:r>
        <w:rPr>
          <w:rFonts w:ascii="IRNazanin" w:hAnsi="IRNazanin" w:eastAsia="IRNazanin" w:cs="IRNazanin"/>
          <w:lang w:bidi="fa-IR"/>
          <w:color w:val="111111"/>
          <w:sz w:val="28"/>
          <w:szCs w:val="28"/>
          <w:rtl/>
        </w:rPr>
        <w:t xml:space="preserve">فنقول:إنّ الوجه فی رجوعه هو أنّ السابق اشتغلت ذمّته </w:t>
      </w:r>
      <w:r>
        <w:rPr>
          <w:rStyle w:val="FootnoteReference"/>
        </w:rPr>
        <w:footnoteReference w:id="3962"/>
      </w:r>
      <w:r>
        <w:rPr>
          <w:rFonts w:ascii="IRNazanin" w:hAnsi="IRNazanin" w:eastAsia="IRNazanin" w:cs="IRNazanin"/>
          <w:lang w:bidi="fa-IR"/>
          <w:color w:val="111111"/>
          <w:sz w:val="28"/>
          <w:szCs w:val="28"/>
          <w:rtl/>
        </w:rPr>
        <w:t xml:space="preserve">بالبدل قبل اللاحق،فإذا حصل المال فی ید اللاحق فقد ضمن شیئاً له بدلٌ،فهذا الضمان یرجع إلی ضمان واحد من البدل و المبدل علی سبیل البدل؛إذ لا یُعقل ضمان المبدل معیّناً من دون البدل،و إلّا خرج بدله عن کونه بدلاً،فما یدفعه الثانی فإنّما هو تدارک لما استقرّ تدارکه فی ذمّة الأوّل،بخلاف ما یدفعه الأوّل؛فإنّه تدارک نفس العین معیّناً؛إذ </w:t>
      </w:r>
      <w:r>
        <w:rPr>
          <w:rStyle w:val="FootnoteReference"/>
        </w:rPr>
        <w:footnoteReference w:id="3963"/>
      </w:r>
      <w:r>
        <w:rPr>
          <w:rFonts w:ascii="IRNazanin" w:hAnsi="IRNazanin" w:eastAsia="IRNazanin" w:cs="IRNazanin"/>
          <w:lang w:bidi="fa-IR"/>
          <w:color w:val="111111"/>
          <w:sz w:val="28"/>
          <w:szCs w:val="28"/>
          <w:rtl/>
        </w:rPr>
        <w:t xml:space="preserve">لم یحدث له تدارک آخر بعدُ؛فإن أدّاه إلی المالک سقط تدارک الأوّل له.و لا یجوز دفعه إلی الأوّل قبل دفع الأوّل إلی المالک؛لأنّه من باب الغرامة و التدارک،فلا اشتغال للذمّة قبل حصول التدارک </w:t>
      </w:r>
      <w:r>
        <w:rPr>
          <w:rStyle w:val="FootnoteReference"/>
        </w:rPr>
        <w:footnoteReference w:id="3964"/>
      </w:r>
      <w:r>
        <w:rPr>
          <w:rFonts w:ascii="IRNazanin" w:hAnsi="IRNazanin" w:eastAsia="IRNazanin" w:cs="IRNazanin"/>
          <w:lang w:bidi="fa-IR"/>
          <w:color w:val="111111"/>
          <w:sz w:val="28"/>
          <w:szCs w:val="28"/>
          <w:rtl/>
        </w:rPr>
        <w:t xml:space="preserve">،و لیس من قبیل العوض لما فی ذمّة الأوّل.</w:t>
      </w:r>
    </w:p>
    <w:p>
      <w:pPr>
        <w:pStyle w:val="BookText"/>
      </w:pPr>
      <w:r>
        <w:rPr>
          <w:rFonts w:ascii="IRNazanin" w:hAnsi="IRNazanin" w:eastAsia="IRNazanin" w:cs="IRNazanin"/>
          <w:lang w:bidi="fa-IR"/>
          <w:color w:val="111111"/>
          <w:sz w:val="28"/>
          <w:szCs w:val="28"/>
          <w:rtl/>
        </w:rPr>
        <w:t xml:space="preserve">فحال الأوّل مع الثانی کحال الضامن مع المضمون عنه فی أنّه</w:t>
      </w:r>
    </w:p>
    <w:p>
      <w:pPr>
        <w:pStyle w:val="BookText"/>
      </w:pPr>
      <w:r>
        <w:rPr>
          <w:rFonts w:ascii="IRNazanin" w:hAnsi="IRNazanin" w:eastAsia="IRNazanin" w:cs="IRNazanin"/>
          <w:lang w:bidi="fa-IR"/>
          <w:color w:val="111111"/>
          <w:sz w:val="28"/>
          <w:szCs w:val="28"/>
          <w:rtl/>
        </w:rPr>
        <w:t xml:space="preserve">[شماره صفحه واقعی : 508]
</w:t>
      </w:r>
    </w:p>
    <w:p>
      <w:pPr>
        <w:sectPr>
          <w:footerReference w:type="default" r:id="rId1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یستحقّ الدفع إلیه إلّا بعد الأداء.</w:t>
      </w:r>
    </w:p>
    <w:p>
      <w:pPr>
        <w:pStyle w:val="BookText"/>
      </w:pPr>
      <w:r>
        <w:rPr>
          <w:rFonts w:ascii="IRNazanin" w:hAnsi="IRNazanin" w:eastAsia="IRNazanin" w:cs="IRNazanin"/>
          <w:lang w:bidi="fa-IR"/>
          <w:color w:val="111111"/>
          <w:sz w:val="28"/>
          <w:szCs w:val="28"/>
          <w:rtl/>
        </w:rPr>
        <w:t xml:space="preserve">[*ستوده]</w:t>
      </w:r>
    </w:p>
    <w:p>
      <w:pPr>
        <w:pStyle w:val="BookText"/>
      </w:pPr>
      <w:r>
        <w:rPr>
          <w:rFonts w:ascii="IRNazanin" w:hAnsi="IRNazanin" w:eastAsia="IRNazanin" w:cs="IRNazanin"/>
          <w:lang w:bidi="fa-IR"/>
          <w:color w:val="111111"/>
          <w:sz w:val="28"/>
          <w:szCs w:val="28"/>
          <w:rtl/>
        </w:rPr>
        <w:t xml:space="preserve">و الحاصل:أنّ من تلف المال فی یده ضامن لأحد الشخصین علی البدل من المالک و من سبقه فی الید،فیشتغل </w:t>
      </w:r>
      <w:r>
        <w:rPr>
          <w:rStyle w:val="FootnoteReference"/>
        </w:rPr>
        <w:footnoteReference w:id="3965"/>
      </w:r>
      <w:r>
        <w:rPr>
          <w:rFonts w:ascii="IRNazanin" w:hAnsi="IRNazanin" w:eastAsia="IRNazanin" w:cs="IRNazanin"/>
          <w:lang w:bidi="fa-IR"/>
          <w:color w:val="111111"/>
          <w:sz w:val="28"/>
          <w:szCs w:val="28"/>
          <w:rtl/>
        </w:rPr>
        <w:t xml:space="preserve">ذمّته إمّا بتدارک العین، و إمّا بتدارک ما تدارکها </w:t>
      </w:r>
      <w:r>
        <w:rPr>
          <w:rStyle w:val="FootnoteReference"/>
        </w:rPr>
        <w:footnoteReference w:id="3966"/>
      </w:r>
      <w:r>
        <w:rPr>
          <w:rFonts w:ascii="IRNazanin" w:hAnsi="IRNazanin" w:eastAsia="IRNazanin" w:cs="IRNazanin"/>
          <w:lang w:bidi="fa-IR"/>
          <w:color w:val="111111"/>
          <w:sz w:val="28"/>
          <w:szCs w:val="28"/>
          <w:rtl/>
        </w:rPr>
        <w:t xml:space="preserve">،و هذا اشتغال شخص واحد بشیئین لشخصین علی البدل،کما کان فی الأیدی المتعاقبة اشتغال ذمّة أشخاص علی البدل بشیء </w:t>
      </w:r>
      <w:r>
        <w:rPr>
          <w:rStyle w:val="FootnoteReference"/>
        </w:rPr>
        <w:footnoteReference w:id="3967"/>
      </w:r>
      <w:r>
        <w:rPr>
          <w:rFonts w:ascii="IRNazanin" w:hAnsi="IRNazanin" w:eastAsia="IRNazanin" w:cs="IRNazanin"/>
          <w:lang w:bidi="fa-IR"/>
          <w:color w:val="111111"/>
          <w:sz w:val="28"/>
          <w:szCs w:val="28"/>
          <w:rtl/>
        </w:rPr>
        <w:t xml:space="preserve">واحد لشخص واحد.</w:t>
      </w:r>
    </w:p>
    <w:p>
      <w:pPr>
        <w:pStyle w:val="BookText"/>
      </w:pPr>
      <w:r>
        <w:rPr>
          <w:rFonts w:ascii="IRNazanin" w:hAnsi="IRNazanin" w:eastAsia="IRNazanin" w:cs="IRNazanin"/>
          <w:lang w:bidi="fa-IR"/>
          <w:color w:val="111111"/>
          <w:sz w:val="28"/>
          <w:szCs w:val="28"/>
          <w:rtl/>
        </w:rPr>
        <w:t xml:space="preserve">و ربما یقال </w:t>
      </w:r>
      <w:r>
        <w:rPr>
          <w:rStyle w:val="FootnoteReference"/>
        </w:rPr>
        <w:footnoteReference w:id="3968"/>
      </w:r>
      <w:r>
        <w:rPr>
          <w:rFonts w:ascii="IRNazanin" w:hAnsi="IRNazanin" w:eastAsia="IRNazanin" w:cs="IRNazanin"/>
          <w:lang w:bidi="fa-IR"/>
          <w:color w:val="111111"/>
          <w:sz w:val="28"/>
          <w:szCs w:val="28"/>
          <w:rtl/>
        </w:rPr>
        <w:t xml:space="preserve">فی وجه رجوع غیر من تلف المال فی یده إلی من تلف فی یده </w:t>
      </w:r>
      <w:r>
        <w:rPr>
          <w:rStyle w:val="FootnoteReference"/>
        </w:rPr>
        <w:footnoteReference w:id="3969"/>
      </w:r>
      <w:r>
        <w:rPr>
          <w:rFonts w:ascii="IRNazanin" w:hAnsi="IRNazanin" w:eastAsia="IRNazanin" w:cs="IRNazanin"/>
          <w:lang w:bidi="fa-IR"/>
          <w:color w:val="111111"/>
          <w:sz w:val="28"/>
          <w:szCs w:val="28"/>
          <w:rtl/>
        </w:rPr>
        <w:t xml:space="preserve">لو رجع علیه:إنّ ذمّة من تلف بیده مشغولة للمالک بالبدل و إن جاز له إلزام غیره باعتبار الغصب بأداء ما اشتغل ذمّته به، فیملک حینئذٍ من أدّی بأدائه ما للمالک فی ذمّته بالمعاوضة الشرعیّة القهریّة،قال:و بذلک اتّضح الفرق بین من تلف المال فی یده،و بین غیره الذی خطابه بالأداء شرعیّ لا ذمّی؛إذ لا دلیل علی شغل ذِمم متعدّدة بمال واحد،فحینئذٍ یُرجع علیه و لا یَرجع هو </w:t>
      </w:r>
      <w:r>
        <w:rPr>
          <w:rStyle w:val="FootnoteReference"/>
        </w:rPr>
        <w:footnoteReference w:id="3970"/>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أنت خبیر بأنّه لا وجه للفرق بین خطاب من تلف بیده و خطاب غیره بأنّ خطابه ذمّی و خطاب غیره شرعی؛مع کون دلالة</w:t>
      </w:r>
    </w:p>
    <w:p>
      <w:pPr>
        <w:pStyle w:val="BookText"/>
      </w:pPr>
      <w:r>
        <w:rPr>
          <w:rFonts w:ascii="IRNazanin" w:hAnsi="IRNazanin" w:eastAsia="IRNazanin" w:cs="IRNazanin"/>
          <w:lang w:bidi="fa-IR"/>
          <w:color w:val="111111"/>
          <w:sz w:val="28"/>
          <w:szCs w:val="28"/>
          <w:rtl/>
        </w:rPr>
        <w:t xml:space="preserve">[شماره صفحه واقعی : 509]
</w:t>
      </w:r>
    </w:p>
    <w:p>
      <w:pPr>
        <w:sectPr>
          <w:footerReference w:type="default" r:id="rId1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الید ما أخذت»بالنسبة إلیهما علی السواء،و المفروض أنّه </w:t>
      </w:r>
      <w:r>
        <w:rPr>
          <w:rStyle w:val="FootnoteReference"/>
        </w:rPr>
        <w:footnoteReference w:id="3971"/>
      </w:r>
      <w:r>
        <w:rPr>
          <w:rFonts w:ascii="IRNazanin" w:hAnsi="IRNazanin" w:eastAsia="IRNazanin" w:cs="IRNazanin"/>
          <w:lang w:bidi="fa-IR"/>
          <w:color w:val="111111"/>
          <w:sz w:val="28"/>
          <w:szCs w:val="28"/>
          <w:rtl/>
        </w:rPr>
        <w:t xml:space="preserve">لا خطاب بالنسبة إلیهما غیره،مع أنّه لا یکاد یفهم الفرق بین ما ذکره من الخطاب بالأداء و الخطاب الذمّی.</w:t>
      </w:r>
    </w:p>
    <w:p>
      <w:pPr>
        <w:pStyle w:val="BookText"/>
      </w:pPr>
      <w:r>
        <w:rPr>
          <w:rFonts w:ascii="IRNazanin" w:hAnsi="IRNazanin" w:eastAsia="IRNazanin" w:cs="IRNazanin"/>
          <w:lang w:bidi="fa-IR"/>
          <w:color w:val="111111"/>
          <w:sz w:val="28"/>
          <w:szCs w:val="28"/>
          <w:rtl/>
        </w:rPr>
        <w:t xml:space="preserve">مع أنّه لا یکاد یعرف خلاف من أحد فی کون کلٍّ من ذوی الأیدی مشغول الذمّة بالمال فعلاً ما لم یسقط بأداء أحدهم أو إبراء المالک،نظیر الاشتغال بغیره من الدیون فی إجباره علی الدفع أو الدفع عنه من ماله،و تقدیمه علی الوصایا و الضرب فیه مع الغرماء،و مصالحة المالک عنه مع آخر،إلی غیر ذلک من أحکام ما فی الذمّة.</w:t>
      </w:r>
    </w:p>
    <w:p>
      <w:pPr>
        <w:pStyle w:val="BookText"/>
      </w:pPr>
      <w:r>
        <w:rPr>
          <w:rFonts w:ascii="IRNazanin" w:hAnsi="IRNazanin" w:eastAsia="IRNazanin" w:cs="IRNazanin"/>
          <w:lang w:bidi="fa-IR"/>
          <w:color w:val="111111"/>
          <w:sz w:val="28"/>
          <w:szCs w:val="28"/>
          <w:rtl/>
        </w:rPr>
        <w:t xml:space="preserve">مع أنّ تملّک غیر من تلف المال بیده لما فی ذمّة </w:t>
      </w:r>
      <w:r>
        <w:rPr>
          <w:rStyle w:val="FootnoteReference"/>
        </w:rPr>
        <w:footnoteReference w:id="3972"/>
      </w:r>
      <w:r>
        <w:rPr>
          <w:rFonts w:ascii="IRNazanin" w:hAnsi="IRNazanin" w:eastAsia="IRNazanin" w:cs="IRNazanin"/>
          <w:lang w:bidi="fa-IR"/>
          <w:color w:val="111111"/>
          <w:sz w:val="28"/>
          <w:szCs w:val="28"/>
          <w:rtl/>
        </w:rPr>
        <w:t xml:space="preserve">من تلف المال بیده بمجرّد دفع البدل،لا یعلم له سبب اختیاری و لا قهری،بل المتّجه علی ما ذکرنا سقوط حقّ المالک عمّن تلف فی یده بمجرّد أداء غیره؛ لعدم تحقّق موضوع التدارک بعد تحقّق التدارک.</w:t>
      </w:r>
    </w:p>
    <w:p>
      <w:pPr>
        <w:pStyle w:val="BookText"/>
      </w:pPr>
      <w:r>
        <w:rPr>
          <w:rFonts w:ascii="IRNazanin" w:hAnsi="IRNazanin" w:eastAsia="IRNazanin" w:cs="IRNazanin"/>
          <w:lang w:bidi="fa-IR"/>
          <w:color w:val="111111"/>
          <w:sz w:val="28"/>
          <w:szCs w:val="28"/>
          <w:rtl/>
        </w:rPr>
        <w:t xml:space="preserve">مع أنّ اللازم ممّا ذکره أن لا یرجع الغارم فیمن </w:t>
      </w:r>
      <w:r>
        <w:rPr>
          <w:rStyle w:val="FootnoteReference"/>
        </w:rPr>
        <w:footnoteReference w:id="3973"/>
      </w:r>
      <w:r>
        <w:rPr>
          <w:rFonts w:ascii="IRNazanin" w:hAnsi="IRNazanin" w:eastAsia="IRNazanin" w:cs="IRNazanin"/>
          <w:lang w:bidi="fa-IR"/>
          <w:color w:val="111111"/>
          <w:sz w:val="28"/>
          <w:szCs w:val="28"/>
          <w:rtl/>
        </w:rPr>
        <w:t xml:space="preserve">لحقه فی الید </w:t>
      </w:r>
      <w:r>
        <w:rPr>
          <w:rStyle w:val="FootnoteReference"/>
        </w:rPr>
        <w:footnoteReference w:id="3974"/>
      </w:r>
      <w:r>
        <w:rPr>
          <w:rFonts w:ascii="IRNazanin" w:hAnsi="IRNazanin" w:eastAsia="IRNazanin" w:cs="IRNazanin"/>
          <w:lang w:bidi="fa-IR"/>
          <w:color w:val="111111"/>
          <w:sz w:val="28"/>
          <w:szCs w:val="28"/>
          <w:rtl/>
        </w:rPr>
        <w:t xml:space="preserve">العادیة إلّا إلی </w:t>
      </w:r>
      <w:r>
        <w:rPr>
          <w:rStyle w:val="FootnoteReference"/>
        </w:rPr>
        <w:footnoteReference w:id="3975"/>
      </w:r>
      <w:r>
        <w:rPr>
          <w:rFonts w:ascii="IRNazanin" w:hAnsi="IRNazanin" w:eastAsia="IRNazanin" w:cs="IRNazanin"/>
          <w:lang w:bidi="fa-IR"/>
          <w:color w:val="111111"/>
          <w:sz w:val="28"/>
          <w:szCs w:val="28"/>
          <w:rtl/>
        </w:rPr>
        <w:t xml:space="preserve">من تلف فی یده،مع أنّ الظاهر خلافه؛فإنّه یجوز له أن یرجع إلی کلّ واحد ممّن بعده.</w:t>
      </w:r>
    </w:p>
    <w:p>
      <w:pPr>
        <w:pStyle w:val="BookText"/>
      </w:pPr>
      <w:r>
        <w:rPr>
          <w:rFonts w:ascii="IRNazanin" w:hAnsi="IRNazanin" w:eastAsia="IRNazanin" w:cs="IRNazanin"/>
          <w:lang w:bidi="fa-IR"/>
          <w:color w:val="111111"/>
          <w:sz w:val="28"/>
          <w:szCs w:val="28"/>
          <w:rtl/>
        </w:rPr>
        <w:t xml:space="preserve">نعم،لو کان غیر من تلف بیده فهو یرجع إلی أحد لواحقه إلی</w:t>
      </w:r>
    </w:p>
    <w:p>
      <w:pPr>
        <w:pStyle w:val="BookText"/>
      </w:pPr>
      <w:r>
        <w:rPr>
          <w:rFonts w:ascii="IRNazanin" w:hAnsi="IRNazanin" w:eastAsia="IRNazanin" w:cs="IRNazanin"/>
          <w:lang w:bidi="fa-IR"/>
          <w:color w:val="111111"/>
          <w:sz w:val="28"/>
          <w:szCs w:val="28"/>
          <w:rtl/>
        </w:rPr>
        <w:t xml:space="preserve">[شماره صفحه واقعی : 510]
</w:t>
      </w:r>
    </w:p>
    <w:p>
      <w:pPr>
        <w:sectPr>
          <w:footerReference w:type="default" r:id="rId1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یستقرّ علی من تلف فی یده.</w:t>
      </w:r>
    </w:p>
    <w:p>
      <w:pPr>
        <w:pStyle w:val="BookText"/>
      </w:pPr>
      <w:r>
        <w:rPr>
          <w:rFonts w:ascii="IRNazanin" w:hAnsi="IRNazanin" w:eastAsia="IRNazanin" w:cs="IRNazanin"/>
          <w:lang w:bidi="fa-IR"/>
          <w:color w:val="111111"/>
          <w:sz w:val="28"/>
          <w:szCs w:val="28"/>
          <w:rtl/>
        </w:rPr>
        <w:t xml:space="preserve">هذا کلّه إذا تلف المبیع فی ید المشتری.و قد عرفت الحکم أیضاً فی صورة بقاء العین </w:t>
      </w:r>
      <w:r>
        <w:rPr>
          <w:rStyle w:val="FootnoteReference"/>
        </w:rPr>
        <w:footnoteReference w:id="3976"/>
      </w:r>
      <w:r>
        <w:rPr>
          <w:rFonts w:ascii="IRNazanin" w:hAnsi="IRNazanin" w:eastAsia="IRNazanin" w:cs="IRNazanin"/>
          <w:lang w:bidi="fa-IR"/>
          <w:color w:val="111111"/>
          <w:sz w:val="28"/>
          <w:szCs w:val="28"/>
          <w:rtl/>
        </w:rPr>
        <w:t xml:space="preserve">و أنّه یرجع المالک بها علی من فی یده أو </w:t>
      </w:r>
      <w:r>
        <w:rPr>
          <w:rStyle w:val="FootnoteReference"/>
        </w:rPr>
        <w:footnoteReference w:id="3977"/>
      </w:r>
      <w:r>
        <w:rPr>
          <w:rFonts w:ascii="IRNazanin" w:hAnsi="IRNazanin" w:eastAsia="IRNazanin" w:cs="IRNazanin"/>
          <w:lang w:bidi="fa-IR"/>
          <w:color w:val="111111"/>
          <w:sz w:val="28"/>
          <w:szCs w:val="28"/>
          <w:rtl/>
        </w:rPr>
        <w:t xml:space="preserve">من جرت یده علیها،فإن لم یمکن انتزاعها ممّن هی فی یده غرم للمالک بدل الحیلولة،و للمالک استرداده </w:t>
      </w:r>
      <w:r>
        <w:rPr>
          <w:rStyle w:val="FootnoteReference"/>
        </w:rPr>
        <w:footnoteReference w:id="3978"/>
      </w:r>
      <w:r>
        <w:rPr>
          <w:rFonts w:ascii="IRNazanin" w:hAnsi="IRNazanin" w:eastAsia="IRNazanin" w:cs="IRNazanin"/>
          <w:lang w:bidi="fa-IR"/>
          <w:color w:val="111111"/>
          <w:sz w:val="28"/>
          <w:szCs w:val="28"/>
          <w:rtl/>
        </w:rPr>
        <w:t xml:space="preserve">فیردّ بدل الحیلولة.</w:t>
      </w:r>
    </w:p>
    <w:p>
      <w:pPr>
        <w:pStyle w:val="BookText"/>
      </w:pPr>
      <w:r>
        <w:rPr>
          <w:rFonts w:ascii="IRNazanin" w:hAnsi="IRNazanin" w:eastAsia="IRNazanin" w:cs="IRNazanin"/>
          <w:lang w:bidi="fa-IR"/>
          <w:color w:val="111111"/>
          <w:sz w:val="28"/>
          <w:szCs w:val="28"/>
          <w:rtl/>
        </w:rPr>
        <w:t xml:space="preserve">و لا یرتفع سلطنة المالک علی مطالبة الأوّل بمجرّد تمکّنه من الاسترداد من الثانی،لأنّ عهدتها </w:t>
      </w:r>
      <w:r>
        <w:rPr>
          <w:rStyle w:val="FootnoteReference"/>
        </w:rPr>
        <w:footnoteReference w:id="3979"/>
      </w:r>
      <w:r>
        <w:rPr>
          <w:rFonts w:ascii="IRNazanin" w:hAnsi="IRNazanin" w:eastAsia="IRNazanin" w:cs="IRNazanin"/>
          <w:lang w:bidi="fa-IR"/>
          <w:color w:val="111111"/>
          <w:sz w:val="28"/>
          <w:szCs w:val="28"/>
          <w:rtl/>
        </w:rPr>
        <w:t xml:space="preserve">علی الأوّل فیجب علیه </w:t>
      </w:r>
      <w:r>
        <w:rPr>
          <w:rStyle w:val="FootnoteReference"/>
        </w:rPr>
        <w:footnoteReference w:id="3980"/>
      </w:r>
      <w:r>
        <w:rPr>
          <w:rFonts w:ascii="IRNazanin" w:hAnsi="IRNazanin" w:eastAsia="IRNazanin" w:cs="IRNazanin"/>
          <w:lang w:bidi="fa-IR"/>
          <w:color w:val="111111"/>
          <w:sz w:val="28"/>
          <w:szCs w:val="28"/>
          <w:rtl/>
        </w:rPr>
        <w:t xml:space="preserve">تحصیلها و إن بذل ما بذل.نعم،لیس للمالک أخذ مئونة الاسترداد،لیباشر </w:t>
      </w:r>
      <w:r>
        <w:rPr>
          <w:rStyle w:val="FootnoteReference"/>
        </w:rPr>
        <w:footnoteReference w:id="3981"/>
      </w:r>
      <w:r>
        <w:rPr>
          <w:rFonts w:ascii="IRNazanin" w:hAnsi="IRNazanin" w:eastAsia="IRNazanin" w:cs="IRNazanin"/>
          <w:lang w:bidi="fa-IR"/>
          <w:color w:val="111111"/>
          <w:sz w:val="28"/>
          <w:szCs w:val="28"/>
          <w:rtl/>
        </w:rPr>
        <w:t xml:space="preserve">بنفسه.</w:t>
      </w:r>
    </w:p>
    <w:p>
      <w:pPr>
        <w:pStyle w:val="BookText"/>
      </w:pPr>
      <w:r>
        <w:rPr>
          <w:rFonts w:ascii="IRNazanin" w:hAnsi="IRNazanin" w:eastAsia="IRNazanin" w:cs="IRNazanin"/>
          <w:lang w:bidi="fa-IR"/>
          <w:color w:val="111111"/>
          <w:sz w:val="28"/>
          <w:szCs w:val="28"/>
          <w:rtl/>
        </w:rPr>
        <w:t xml:space="preserve">و لو لم یقدر علی استردادها إلّا المالک،و طلب من الأوّل عوضاً عن الاسترداد،فهل یجب علیه بذل العوض،أو ینزّل منزلة التعذّر فیغرم بدل الحیلولة،أو یفرّق بین الأُجرة المتعارفة للاسترداد و بین الزائد علیها ممّا یعدّ إجحافاً علی الغاصب الأوّل؟وجوه.</w:t>
      </w:r>
    </w:p>
    <w:p>
      <w:pPr>
        <w:pStyle w:val="BookText"/>
      </w:pPr>
      <w:r>
        <w:rPr>
          <w:rFonts w:ascii="IRNazanin" w:hAnsi="IRNazanin" w:eastAsia="IRNazanin" w:cs="IRNazanin"/>
          <w:lang w:bidi="fa-IR"/>
          <w:color w:val="111111"/>
          <w:sz w:val="28"/>
          <w:szCs w:val="28"/>
          <w:rtl/>
        </w:rPr>
        <w:t xml:space="preserve">هذا کلّه مع عدم تغیّر العین،</w:t>
      </w:r>
    </w:p>
    <w:p>
      <w:pPr>
        <w:pStyle w:val="BookText"/>
      </w:pPr>
      <w:r>
        <w:rPr>
          <w:rFonts w:ascii="IRNazanin" w:hAnsi="IRNazanin" w:eastAsia="IRNazanin" w:cs="IRNazanin"/>
          <w:lang w:bidi="fa-IR"/>
          <w:color w:val="111111"/>
          <w:sz w:val="28"/>
          <w:szCs w:val="28"/>
          <w:rtl/>
        </w:rPr>
        <w:t xml:space="preserve">[*ستوده]</w:t>
      </w:r>
    </w:p>
    <w:p>
      <w:pPr>
        <w:pStyle w:val="BookText"/>
      </w:pPr>
      <w:r>
        <w:rPr>
          <w:rFonts w:ascii="IRNazanin" w:hAnsi="IRNazanin" w:eastAsia="IRNazanin" w:cs="IRNazanin"/>
          <w:lang w:bidi="fa-IR"/>
          <w:color w:val="111111"/>
          <w:sz w:val="28"/>
          <w:szCs w:val="28"/>
          <w:rtl/>
        </w:rPr>
        <w:t xml:space="preserve">و أمّا إذا تغیّرت فیجیء صور کثیرة</w:t>
      </w:r>
    </w:p>
    <w:p>
      <w:pPr>
        <w:pStyle w:val="BookText"/>
      </w:pPr>
      <w:r>
        <w:rPr>
          <w:rFonts w:ascii="IRNazanin" w:hAnsi="IRNazanin" w:eastAsia="IRNazanin" w:cs="IRNazanin"/>
          <w:lang w:bidi="fa-IR"/>
          <w:color w:val="111111"/>
          <w:sz w:val="28"/>
          <w:szCs w:val="28"/>
          <w:rtl/>
        </w:rPr>
        <w:t xml:space="preserve">[شماره صفحه واقعی : 511]
</w:t>
      </w:r>
    </w:p>
    <w:p>
      <w:pPr>
        <w:sectPr>
          <w:footerReference w:type="default" r:id="rId1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یناسب المقام التعرّض لها و إن کان کثیر ممّا ذکرنا أیضاً ممّا لا یناسب ذکره إلّا فی باب الغصب،إلّا أنّ الاهتمام بها دعانی إلی ذکرها فی هذا المقام بأدنی مناسبة؛اغتناماً للفرصة.</w:t>
      </w:r>
    </w:p>
    <w:p>
      <w:pPr>
        <w:pStyle w:val="BookText"/>
      </w:pPr>
      <w:r>
        <w:rPr>
          <w:rFonts w:ascii="IRNazanin" w:hAnsi="IRNazanin" w:eastAsia="IRNazanin" w:cs="IRNazanin"/>
          <w:lang w:bidi="fa-IR"/>
          <w:color w:val="111111"/>
          <w:sz w:val="28"/>
          <w:szCs w:val="28"/>
          <w:rtl/>
        </w:rPr>
        <w:t xml:space="preserve">وفّقنا اللّه لما یرضیه عنّا من العلم و العمل،إنّه غفّار الزلل.</w:t>
      </w:r>
    </w:p>
    <w:p>
      <w:pPr>
        <w:pStyle w:val="BookText"/>
      </w:pPr>
      <w:r>
        <w:rPr>
          <w:rFonts w:ascii="IRNazanin" w:hAnsi="IRNazanin" w:eastAsia="IRNazanin" w:cs="IRNazanin"/>
          <w:lang w:bidi="fa-IR"/>
          <w:color w:val="111111"/>
          <w:sz w:val="28"/>
          <w:szCs w:val="28"/>
          <w:rtl/>
        </w:rPr>
        <w:t xml:space="preserve">[شماره صفحه واقعی : 512]
</w:t>
      </w:r>
    </w:p>
    <w:p>
      <w:pPr>
        <w:sectPr>
          <w:footerReference w:type="default" r:id="rId1191"/>
          <w:footnotePr>
            <w:numStart w:val="1"/>
            <w:numRestart w:val="eachPage"/>
          </w:footnotePr>
          <w:pgSz w:orient="portrait" w:w="11905.511811023622" w:h="16837.79527559055"/>
          <w:pgMar w:top="1440" w:right="1440" w:bottom="1440" w:left="1440" w:header="720" w:footer="720" w:gutter="0"/>
          <w:cols w:num="1" w:space="720"/>
        </w:sectPr>
      </w:pPr>
    </w:p>
    <w:bookmarkStart w:id="683" w:name="pg14411_143573"/>
    <w:bookmarkEnd w:id="683"/>
    <w:p>
      <w:pPr>
        <w:pStyle w:val="Heading6"/>
      </w:pPr>
      <w:bookmarkStart w:id="2350" w:name="_Toc1385"/>
      <w:r>
        <w:t>مسألة : لو باع الفضولی مال غیره مع مال نفسه</w:t>
      </w:r>
      <w:bookmarkEnd w:id="2350"/>
    </w:p>
    <w:p>
      <w:pPr>
        <w:pStyle w:val="BookText"/>
      </w:pPr>
      <w:r>
        <w:rPr>
          <w:rFonts w:ascii="IRNazanin" w:hAnsi="IRNazanin" w:eastAsia="IRNazanin" w:cs="IRNazanin"/>
          <w:lang w:bidi="fa-IR"/>
          <w:color w:val="111111"/>
          <w:sz w:val="28"/>
          <w:szCs w:val="28"/>
          <w:rtl/>
        </w:rPr>
        <w:t xml:space="preserve">فعلی القول ببطلان الفضولی فالظاهر أنّ حکمه حکم بیع </w:t>
      </w:r>
      <w:r>
        <w:rPr>
          <w:rStyle w:val="FootnoteReference"/>
        </w:rPr>
        <w:footnoteReference w:id="3982"/>
      </w:r>
      <w:r>
        <w:rPr>
          <w:rFonts w:ascii="IRNazanin" w:hAnsi="IRNazanin" w:eastAsia="IRNazanin" w:cs="IRNazanin"/>
          <w:lang w:bidi="fa-IR"/>
          <w:color w:val="111111"/>
          <w:sz w:val="28"/>
          <w:szCs w:val="28"/>
          <w:rtl/>
        </w:rPr>
        <w:t xml:space="preserve">ما یقبل الملک مع ما لا یقبله،و الحکم فیه:الصحّة؛لظهور الإجماع،بل دعواه عن غیر واحد </w:t>
      </w:r>
      <w:r>
        <w:rPr>
          <w:rStyle w:val="FootnoteReference"/>
        </w:rPr>
        <w:footnoteReference w:id="3983"/>
      </w:r>
      <w:r>
        <w:rPr>
          <w:rFonts w:ascii="IRNazanin" w:hAnsi="IRNazanin" w:eastAsia="IRNazanin" w:cs="IRNazanin"/>
          <w:lang w:bidi="fa-IR"/>
          <w:color w:val="111111"/>
          <w:sz w:val="28"/>
          <w:szCs w:val="28"/>
          <w:rtl/>
        </w:rPr>
        <w:t xml:space="preserve">،مضافاً إلی صحیحة الصفّار المتقدّمة فی أدلّة بطلان الفضولی من قوله علیه السلام:«لا یجوز بیع ما لا یملک،و قد وجب الشراء فی ما یملک» </w:t>
      </w:r>
      <w:r>
        <w:rPr>
          <w:rStyle w:val="FootnoteReference"/>
        </w:rPr>
        <w:footnoteReference w:id="39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لما ذکرنا قال به من قال ببطلان الفضولی کالشیخ </w:t>
      </w:r>
      <w:r>
        <w:rPr>
          <w:rStyle w:val="FootnoteReference"/>
        </w:rPr>
        <w:footnoteReference w:id="3985"/>
      </w:r>
      <w:r>
        <w:rPr>
          <w:rFonts w:ascii="IRNazanin" w:hAnsi="IRNazanin" w:eastAsia="IRNazanin" w:cs="IRNazanin"/>
          <w:lang w:bidi="fa-IR"/>
          <w:color w:val="111111"/>
          <w:sz w:val="28"/>
          <w:szCs w:val="28"/>
          <w:rtl/>
        </w:rPr>
        <w:t xml:space="preserve">و ابن</w:t>
      </w:r>
    </w:p>
    <w:p>
      <w:pPr>
        <w:pStyle w:val="BookText"/>
      </w:pPr>
      <w:r>
        <w:rPr>
          <w:rFonts w:ascii="IRNazanin" w:hAnsi="IRNazanin" w:eastAsia="IRNazanin" w:cs="IRNazanin"/>
          <w:lang w:bidi="fa-IR"/>
          <w:color w:val="111111"/>
          <w:sz w:val="28"/>
          <w:szCs w:val="28"/>
          <w:rtl/>
        </w:rPr>
        <w:t xml:space="preserve">[شماره صفحه واقعی : 513]
</w:t>
      </w:r>
    </w:p>
    <w:p>
      <w:pPr>
        <w:sectPr>
          <w:footerReference w:type="default" r:id="rId1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زهرة </w:t>
      </w:r>
      <w:r>
        <w:rPr>
          <w:rStyle w:val="FootnoteReference"/>
        </w:rPr>
        <w:footnoteReference w:id="3986"/>
      </w:r>
      <w:r>
        <w:rPr>
          <w:rFonts w:ascii="Amiri" w:hAnsi="Amiri" w:eastAsia="Amiri" w:cs="Amiri"/>
          <w:lang w:bidi="ar-SA"/>
          <w:color w:val="111111"/>
          <w:sz w:val="28"/>
          <w:szCs w:val="28"/>
          <w:rtl/>
        </w:rPr>
        <w:t xml:space="preserve">و الحلیّ </w:t>
      </w:r>
      <w:r>
        <w:rPr>
          <w:rStyle w:val="FootnoteReference"/>
        </w:rPr>
        <w:footnoteReference w:id="3987"/>
      </w:r>
      <w:r>
        <w:rPr>
          <w:rFonts w:ascii="IRNazanin" w:hAnsi="IRNazanin" w:eastAsia="IRNazanin" w:cs="IRNazanin"/>
          <w:lang w:bidi="fa-IR"/>
          <w:color w:val="111111"/>
          <w:sz w:val="28"/>
          <w:szCs w:val="28"/>
          <w:rtl/>
        </w:rPr>
        <w:t xml:space="preserve">و غیرهم </w:t>
      </w:r>
      <w:r>
        <w:rPr>
          <w:rStyle w:val="FootnoteReference"/>
        </w:rPr>
        <w:footnoteReference w:id="3988"/>
      </w:r>
      <w:r>
        <w:rPr>
          <w:rFonts w:ascii="IRNazanin" w:hAnsi="IRNazanin" w:eastAsia="IRNazanin" w:cs="IRNazanin"/>
          <w:lang w:bidi="fa-IR"/>
          <w:color w:val="111111"/>
          <w:sz w:val="28"/>
          <w:szCs w:val="28"/>
          <w:rtl/>
        </w:rPr>
        <w:t xml:space="preserve">.نعم،لولا النصّ و الإجماع أمکن الخدشة فیه بما سیجیء فی بیع ما یُملک و ما لا یملک </w:t>
      </w:r>
      <w:r>
        <w:rPr>
          <w:rStyle w:val="FootnoteReference"/>
        </w:rPr>
        <w:footnoteReference w:id="39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علی القول بصحّة الفضولی،فلا ینبغی الریب فی الصحّة مع الإجازة،بل و کذا مع الردّ؛فإنّه کما لو تبیّن بعض المبیع غیر مملوک، غایة الأمر ثبوت الخیار حینئذٍ للمشتری مع جهله بالحال عند علمائنا کما عن التذکرة </w:t>
      </w:r>
      <w:r>
        <w:rPr>
          <w:rStyle w:val="FootnoteReference"/>
        </w:rPr>
        <w:footnoteReference w:id="3990"/>
      </w:r>
      <w:r>
        <w:rPr>
          <w:rFonts w:ascii="IRNazanin" w:hAnsi="IRNazanin" w:eastAsia="IRNazanin" w:cs="IRNazanin"/>
          <w:lang w:bidi="fa-IR"/>
          <w:color w:val="111111"/>
          <w:sz w:val="28"/>
          <w:szCs w:val="28"/>
          <w:rtl/>
        </w:rPr>
        <w:t xml:space="preserve">،و سیجیء فی أقسام الخیار بل عن الشیخ فی الخلاف تقویة ثبوت الخیار للبائع </w:t>
      </w:r>
      <w:r>
        <w:rPr>
          <w:rStyle w:val="FootnoteReference"/>
        </w:rPr>
        <w:footnoteReference w:id="3991"/>
      </w:r>
      <w:r>
        <w:rPr>
          <w:rFonts w:ascii="IRNazanin" w:hAnsi="IRNazanin" w:eastAsia="IRNazanin" w:cs="IRNazanin"/>
          <w:lang w:bidi="fa-IR"/>
          <w:color w:val="111111"/>
          <w:sz w:val="28"/>
          <w:szCs w:val="28"/>
          <w:rtl/>
        </w:rPr>
        <w:t xml:space="preserve">،لکن عن الغنیة الجزم بعدمه </w:t>
      </w:r>
      <w:r>
        <w:rPr>
          <w:rStyle w:val="FootnoteReference"/>
        </w:rPr>
        <w:footnoteReference w:id="3992"/>
      </w:r>
      <w:r>
        <w:rPr>
          <w:rFonts w:ascii="Amiri" w:hAnsi="Amiri" w:eastAsia="Amiri" w:cs="Amiri"/>
          <w:lang w:bidi="ar-SA"/>
          <w:color w:val="111111"/>
          <w:sz w:val="28"/>
          <w:szCs w:val="28"/>
          <w:rtl/>
        </w:rPr>
        <w:t xml:space="preserve">، و یؤیّده صحیحة الصفّار </w:t>
      </w:r>
      <w:r>
        <w:rPr>
          <w:rStyle w:val="FootnoteReference"/>
        </w:rPr>
        <w:footnoteReference w:id="39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ربما حُمل کلام الشیخ علی ما إذا ادّعی البائع الجهل أو الإذن، و کلام الغنیة علی العالم </w:t>
      </w:r>
      <w:r>
        <w:rPr>
          <w:rStyle w:val="FootnoteReference"/>
        </w:rPr>
        <w:footnoteReference w:id="39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514]
</w:t>
      </w:r>
    </w:p>
    <w:p>
      <w:pPr>
        <w:sectPr>
          <w:footerReference w:type="default" r:id="rId1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إنّ صحّة البیع فیما یملکه مع الردّ مقیّدة فی بعض الکلمات بما إذا لم یتولّد من عدم الإجازة مانع شرعی،کلزوم ربا،و بیع آبقٍ من دون ضمیمة </w:t>
      </w:r>
      <w:r>
        <w:rPr>
          <w:rStyle w:val="FootnoteReference"/>
        </w:rPr>
        <w:footnoteReference w:id="3995"/>
      </w:r>
      <w:r>
        <w:rPr>
          <w:rFonts w:ascii="IRNazanin" w:hAnsi="IRNazanin" w:eastAsia="IRNazanin" w:cs="IRNazanin"/>
          <w:lang w:bidi="fa-IR"/>
          <w:color w:val="111111"/>
          <w:sz w:val="28"/>
          <w:szCs w:val="28"/>
          <w:rtl/>
        </w:rPr>
        <w:t xml:space="preserve">،و سیجیء الکلام فی محلّها </w:t>
      </w:r>
      <w:r>
        <w:rPr>
          <w:rStyle w:val="FootnoteReference"/>
        </w:rPr>
        <w:footnoteReference w:id="39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 البیع المذکور صحیح بالنسبة إلی المملوک بحصّته من الثمن، و موقوف فی غیره بحصّته.</w:t>
      </w:r>
    </w:p>
    <w:p>
      <w:pPr>
        <w:pStyle w:val="BookText"/>
      </w:pPr>
      <w:r>
        <w:rPr>
          <w:rFonts w:ascii="IRNazanin" w:hAnsi="IRNazanin" w:eastAsia="IRNazanin" w:cs="IRNazanin"/>
          <w:lang w:bidi="fa-IR"/>
          <w:color w:val="111111"/>
          <w:sz w:val="28"/>
          <w:szCs w:val="28"/>
          <w:rtl/>
        </w:rPr>
        <w:t xml:space="preserve">و طریق معرفة حصّة کلٍّ منهما من الثمن فی غیر المثلی:أن یقوّم کلٌّ منهما منفرداً،فیؤخذ لکلّ واحدٍ جزءٌ من الثمن نسبتُه إلیه کنسبة قیمته إلی مجموع القیمتین،مثاله-کما عن السرائر </w:t>
      </w:r>
      <w:r>
        <w:rPr>
          <w:rStyle w:val="FootnoteReference"/>
        </w:rPr>
        <w:footnoteReference w:id="3997"/>
      </w:r>
      <w:r>
        <w:rPr>
          <w:rFonts w:ascii="IRNazanin" w:hAnsi="IRNazanin" w:eastAsia="IRNazanin" w:cs="IRNazanin"/>
          <w:lang w:bidi="fa-IR"/>
          <w:color w:val="111111"/>
          <w:sz w:val="28"/>
          <w:szCs w:val="28"/>
          <w:rtl/>
        </w:rPr>
        <w:t xml:space="preserve">-:ما إذا کان ثمنهما </w:t>
      </w:r>
      <w:r>
        <w:rPr>
          <w:rStyle w:val="FootnoteReference"/>
        </w:rPr>
        <w:footnoteReference w:id="3998"/>
      </w:r>
      <w:r>
        <w:rPr>
          <w:rFonts w:ascii="Amiri" w:hAnsi="Amiri" w:eastAsia="Amiri" w:cs="Amiri"/>
          <w:lang w:bidi="ar-SA"/>
          <w:color w:val="111111"/>
          <w:sz w:val="28"/>
          <w:szCs w:val="28"/>
          <w:rtl/>
        </w:rPr>
        <w:t xml:space="preserve">ثلاثة </w:t>
      </w:r>
      <w:r>
        <w:rPr>
          <w:rStyle w:val="FootnoteReference"/>
        </w:rPr>
        <w:footnoteReference w:id="3999"/>
      </w:r>
      <w:r>
        <w:rPr>
          <w:rFonts w:ascii="IRNazanin" w:hAnsi="IRNazanin" w:eastAsia="IRNazanin" w:cs="IRNazanin"/>
          <w:lang w:bidi="fa-IR"/>
          <w:color w:val="111111"/>
          <w:sz w:val="28"/>
          <w:szCs w:val="28"/>
          <w:rtl/>
        </w:rPr>
        <w:t xml:space="preserve">دنانیر،و قیل:«إنّ قیمة المملوک قیراط و قیمة غیره قیراطان»فیرجع المشتری بثلثی الثمن.</w:t>
      </w:r>
    </w:p>
    <w:p>
      <w:pPr>
        <w:pStyle w:val="BookText"/>
      </w:pPr>
      <w:r>
        <w:rPr>
          <w:rFonts w:ascii="IRNazanin" w:hAnsi="IRNazanin" w:eastAsia="IRNazanin" w:cs="IRNazanin"/>
          <w:lang w:bidi="fa-IR"/>
          <w:color w:val="111111"/>
          <w:sz w:val="28"/>
          <w:szCs w:val="28"/>
          <w:rtl/>
        </w:rPr>
        <w:t xml:space="preserve">و ما ذکرنا من الطریق هو المصرّح به فی الإرشاد،حیث قال:</w:t>
      </w:r>
    </w:p>
    <w:p>
      <w:pPr>
        <w:pStyle w:val="BookText"/>
      </w:pPr>
      <w:r>
        <w:rPr>
          <w:rFonts w:ascii="Amiri" w:hAnsi="Amiri" w:eastAsia="Amiri" w:cs="Amiri"/>
          <w:lang w:bidi="ar-SA"/>
          <w:color w:val="111111"/>
          <w:sz w:val="28"/>
          <w:szCs w:val="28"/>
          <w:rtl/>
        </w:rPr>
        <w:t xml:space="preserve">و یقسّط المسمّی </w:t>
      </w:r>
      <w:r>
        <w:rPr>
          <w:rStyle w:val="FootnoteReference"/>
        </w:rPr>
        <w:footnoteReference w:id="4000"/>
      </w:r>
      <w:r>
        <w:rPr>
          <w:rFonts w:ascii="IRNazanin" w:hAnsi="IRNazanin" w:eastAsia="IRNazanin" w:cs="IRNazanin"/>
          <w:lang w:bidi="fa-IR"/>
          <w:color w:val="111111"/>
          <w:sz w:val="28"/>
          <w:szCs w:val="28"/>
          <w:rtl/>
        </w:rPr>
        <w:t xml:space="preserve">علی القیمتین </w:t>
      </w:r>
      <w:r>
        <w:rPr>
          <w:rStyle w:val="FootnoteReference"/>
        </w:rPr>
        <w:footnoteReference w:id="4001"/>
      </w:r>
      <w:r>
        <w:rPr>
          <w:rFonts w:ascii="Amiri" w:hAnsi="Amiri" w:eastAsia="Amiri" w:cs="Amiri"/>
          <w:lang w:bidi="ar-SA"/>
          <w:color w:val="111111"/>
          <w:sz w:val="28"/>
          <w:szCs w:val="28"/>
          <w:rtl/>
        </w:rPr>
        <w:t xml:space="preserve">.و لعلّه أیضاً مرجع </w:t>
      </w:r>
      <w:r>
        <w:rPr>
          <w:rStyle w:val="FootnoteReference"/>
        </w:rPr>
        <w:footnoteReference w:id="4002"/>
      </w:r>
      <w:r>
        <w:rPr>
          <w:rFonts w:ascii="IRNazanin" w:hAnsi="IRNazanin" w:eastAsia="IRNazanin" w:cs="IRNazanin"/>
          <w:lang w:bidi="fa-IR"/>
          <w:color w:val="111111"/>
          <w:sz w:val="28"/>
          <w:szCs w:val="28"/>
          <w:rtl/>
        </w:rPr>
        <w:t xml:space="preserve">ما فی الشرائع </w:t>
      </w:r>
      <w:r>
        <w:rPr>
          <w:rStyle w:val="FootnoteReference"/>
        </w:rPr>
        <w:footnoteReference w:id="4003"/>
      </w:r>
    </w:p>
    <w:p>
      <w:pPr>
        <w:pStyle w:val="BookText"/>
      </w:pPr>
      <w:r>
        <w:rPr>
          <w:rFonts w:ascii="IRNazanin" w:hAnsi="IRNazanin" w:eastAsia="IRNazanin" w:cs="IRNazanin"/>
          <w:lang w:bidi="fa-IR"/>
          <w:color w:val="111111"/>
          <w:sz w:val="28"/>
          <w:szCs w:val="28"/>
          <w:rtl/>
        </w:rPr>
        <w:t xml:space="preserve">[شماره صفحه واقعی : 515]
</w:t>
      </w:r>
    </w:p>
    <w:p>
      <w:pPr>
        <w:sectPr>
          <w:footerReference w:type="default" r:id="rId1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القواعد </w:t>
      </w:r>
      <w:r>
        <w:rPr>
          <w:rStyle w:val="FootnoteReference"/>
        </w:rPr>
        <w:footnoteReference w:id="4004"/>
      </w:r>
      <w:r>
        <w:rPr>
          <w:rFonts w:ascii="Amiri" w:hAnsi="Amiri" w:eastAsia="Amiri" w:cs="Amiri"/>
          <w:lang w:bidi="ar-SA"/>
          <w:color w:val="111111"/>
          <w:sz w:val="28"/>
          <w:szCs w:val="28"/>
          <w:rtl/>
        </w:rPr>
        <w:t xml:space="preserve">و اللمعة </w:t>
      </w:r>
      <w:r>
        <w:rPr>
          <w:rStyle w:val="FootnoteReference"/>
        </w:rPr>
        <w:footnoteReference w:id="4005"/>
      </w:r>
      <w:r>
        <w:rPr>
          <w:rFonts w:ascii="Amiri" w:hAnsi="Amiri" w:eastAsia="Amiri" w:cs="Amiri"/>
          <w:lang w:bidi="ar-SA"/>
          <w:color w:val="111111"/>
          <w:sz w:val="28"/>
          <w:szCs w:val="28"/>
          <w:rtl/>
        </w:rPr>
        <w:t xml:space="preserve">:من أنّهما یقوّمان جمیعاً ثمّ یقوّم أحدهما؛ و لهذا </w:t>
      </w:r>
      <w:r>
        <w:rPr>
          <w:rStyle w:val="FootnoteReference"/>
        </w:rPr>
        <w:footnoteReference w:id="4006"/>
      </w:r>
      <w:r>
        <w:rPr>
          <w:rFonts w:ascii="IRNazanin" w:hAnsi="IRNazanin" w:eastAsia="IRNazanin" w:cs="IRNazanin"/>
          <w:lang w:bidi="fa-IR"/>
          <w:color w:val="111111"/>
          <w:sz w:val="28"/>
          <w:szCs w:val="28"/>
          <w:rtl/>
        </w:rPr>
        <w:t xml:space="preserve">فسّر بهذه العبارة المحقّق الثانی عبارة الإرشاد،حیث قال:</w:t>
      </w:r>
    </w:p>
    <w:p>
      <w:pPr>
        <w:pStyle w:val="BookText"/>
      </w:pPr>
      <w:r>
        <w:rPr>
          <w:rFonts w:ascii="IRNazanin" w:hAnsi="IRNazanin" w:eastAsia="IRNazanin" w:cs="IRNazanin"/>
          <w:lang w:bidi="fa-IR"/>
          <w:color w:val="111111"/>
          <w:sz w:val="28"/>
          <w:szCs w:val="28"/>
          <w:rtl/>
        </w:rPr>
        <w:t xml:space="preserve">طریق تقسیط المسمّی </w:t>
      </w:r>
      <w:r>
        <w:rPr>
          <w:rStyle w:val="FootnoteReference"/>
        </w:rPr>
        <w:footnoteReference w:id="4007"/>
      </w:r>
      <w:r>
        <w:rPr>
          <w:rFonts w:ascii="IRNazanin" w:hAnsi="IRNazanin" w:eastAsia="IRNazanin" w:cs="IRNazanin"/>
          <w:lang w:bidi="fa-IR"/>
          <w:color w:val="111111"/>
          <w:sz w:val="28"/>
          <w:szCs w:val="28"/>
          <w:rtl/>
        </w:rPr>
        <w:t xml:space="preserve">علی القیمتین...إلخ </w:t>
      </w:r>
      <w:r>
        <w:rPr>
          <w:rStyle w:val="FootnoteReference"/>
        </w:rPr>
        <w:footnoteReference w:id="40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لکنّ الإنصاف:أنّ هذه العبارة الموجودة فی هذه الکتب لا تنطبق بظاهرها علی عبارة الإرشاد التی اخترناها فی طریق التقسیط و استظهرناه من السرائر؛إذ لو کان المراد من«تقویمهما معاً»:تقویم کلٍّ منهما-لا تقویم المجموع-لم یحتج إلی قولهم:«ثمّ یقوّم أحدهما،ثمّ تنسب قیمته»إذ لیس هنا إلّا أمران:تقویم کلٍّ منهما،و نسبة قیمته إلی مجموع القیمتین؛فالظاهر إرادة قیمتهما مجتمعین،ثمّ تقویم أحدهما بنفسه، ثمّ ملاحظة نسبة قیمة أحدهما إلی قیمة المجموع.</w:t>
      </w:r>
    </w:p>
    <w:p>
      <w:pPr>
        <w:pStyle w:val="BookText"/>
      </w:pPr>
      <w:r>
        <w:rPr>
          <w:rFonts w:ascii="IRNazanin" w:hAnsi="IRNazanin" w:eastAsia="IRNazanin" w:cs="IRNazanin"/>
          <w:lang w:bidi="fa-IR"/>
          <w:color w:val="111111"/>
          <w:sz w:val="28"/>
          <w:szCs w:val="28"/>
          <w:rtl/>
        </w:rPr>
        <w:t xml:space="preserve">و من هنا أنکر علیهم جماعة </w:t>
      </w:r>
      <w:r>
        <w:rPr>
          <w:rStyle w:val="FootnoteReference"/>
        </w:rPr>
        <w:footnoteReference w:id="4009"/>
      </w:r>
      <w:r>
        <w:rPr>
          <w:rFonts w:ascii="IRNazanin" w:hAnsi="IRNazanin" w:eastAsia="IRNazanin" w:cs="IRNazanin"/>
          <w:lang w:bidi="fa-IR"/>
          <w:color w:val="111111"/>
          <w:sz w:val="28"/>
          <w:szCs w:val="28"/>
          <w:rtl/>
        </w:rPr>
        <w:t xml:space="preserve">-تبعاً لجامع المقاصد </w:t>
      </w:r>
      <w:r>
        <w:rPr>
          <w:rStyle w:val="FootnoteReference"/>
        </w:rPr>
        <w:footnoteReference w:id="4010"/>
      </w:r>
      <w:r>
        <w:rPr>
          <w:rFonts w:ascii="IRNazanin" w:hAnsi="IRNazanin" w:eastAsia="IRNazanin" w:cs="IRNazanin"/>
          <w:lang w:bidi="fa-IR"/>
          <w:color w:val="111111"/>
          <w:sz w:val="28"/>
          <w:szCs w:val="28"/>
          <w:rtl/>
        </w:rPr>
        <w:t xml:space="preserve">-إطلاق القول بذلک؛إذ لا یستقیم ذلک فیما إذا کان لاجتماع الملکین دخل فی زیادة القیمة،کما فی مصراعی باب و زوج خفّ إذا فرض تقویم</w:t>
      </w:r>
    </w:p>
    <w:p>
      <w:pPr>
        <w:pStyle w:val="BookText"/>
      </w:pPr>
      <w:r>
        <w:rPr>
          <w:rFonts w:ascii="IRNazanin" w:hAnsi="IRNazanin" w:eastAsia="IRNazanin" w:cs="IRNazanin"/>
          <w:lang w:bidi="fa-IR"/>
          <w:color w:val="111111"/>
          <w:sz w:val="28"/>
          <w:szCs w:val="28"/>
          <w:rtl/>
        </w:rPr>
        <w:t xml:space="preserve">[شماره صفحه واقعی : 516]
</w:t>
      </w:r>
    </w:p>
    <w:p>
      <w:pPr>
        <w:sectPr>
          <w:footerReference w:type="default" r:id="rId1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المجموع بعشرة و تقویم أحدهما بدرهمین و کان الثمن خمسة،فإنّه إذا رجع المشتری بجزء من الثمن نسبته إلیه کنسبة الاثنین إلی العشرة استحقّ من البائع واحداً من الخمسة فیبقی للبائع أربعة فی مقابل المصراع الواحد، مع أنّه لم یستحقّ من الثمن إلّا مقداراً من الثمن مساویاً لما یقابل المصراع الآخر أعنی درهمین و نصفاً </w:t>
      </w:r>
      <w:r>
        <w:rPr>
          <w:rStyle w:val="FootnoteReference"/>
        </w:rPr>
        <w:footnoteReference w:id="40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[*ستوده]</w:t>
      </w:r>
    </w:p>
    <w:p>
      <w:pPr>
        <w:pStyle w:val="BookText"/>
      </w:pPr>
      <w:r>
        <w:rPr>
          <w:rFonts w:ascii="IRNazanin" w:hAnsi="IRNazanin" w:eastAsia="IRNazanin" w:cs="IRNazanin"/>
          <w:lang w:bidi="fa-IR"/>
          <w:color w:val="111111"/>
          <w:sz w:val="28"/>
          <w:szCs w:val="28"/>
          <w:rtl/>
        </w:rPr>
        <w:t xml:space="preserve">و الحاصل:أنّ البیع إنّما یبطل فی ملک الغیر بحصّةٍ من الثمن یستحقّها الغیر مع الإجازة،و یصحّ فی نصیب المالک بحصّة کان یأخذها مع إجازة مالک </w:t>
      </w:r>
      <w:r>
        <w:rPr>
          <w:rStyle w:val="FootnoteReference"/>
        </w:rPr>
        <w:footnoteReference w:id="4012"/>
      </w:r>
      <w:r>
        <w:rPr>
          <w:rFonts w:ascii="IRNazanin" w:hAnsi="IRNazanin" w:eastAsia="IRNazanin" w:cs="IRNazanin"/>
          <w:lang w:bidi="fa-IR"/>
          <w:color w:val="111111"/>
          <w:sz w:val="28"/>
          <w:szCs w:val="28"/>
          <w:rtl/>
        </w:rPr>
        <w:t xml:space="preserve">الجزء الآخر.</w:t>
      </w:r>
    </w:p>
    <w:p>
      <w:pPr>
        <w:pStyle w:val="BookText"/>
      </w:pPr>
      <w:r>
        <w:rPr>
          <w:rFonts w:ascii="IRNazanin" w:hAnsi="IRNazanin" w:eastAsia="IRNazanin" w:cs="IRNazanin"/>
          <w:lang w:bidi="fa-IR"/>
          <w:color w:val="111111"/>
          <w:sz w:val="28"/>
          <w:szCs w:val="28"/>
          <w:rtl/>
        </w:rPr>
        <w:t xml:space="preserve">هذا،و لکنّ الظاهر أنّ کلام الجماعة إمّا محمول علی الغالب:</w:t>
      </w:r>
    </w:p>
    <w:p>
      <w:pPr>
        <w:pStyle w:val="BookText"/>
      </w:pPr>
      <w:r>
        <w:rPr>
          <w:rFonts w:ascii="IRNazanin" w:hAnsi="IRNazanin" w:eastAsia="IRNazanin" w:cs="IRNazanin"/>
          <w:lang w:bidi="fa-IR"/>
          <w:color w:val="111111"/>
          <w:sz w:val="28"/>
          <w:szCs w:val="28"/>
          <w:rtl/>
        </w:rPr>
        <w:t xml:space="preserve">من عدم زیادة القیمة و لا نقصانها بالاجتماع،أو مرادهم من«تقویمهما» تقویم کلٍّ منهما منفرداً،و یراد </w:t>
      </w:r>
      <w:r>
        <w:rPr>
          <w:rStyle w:val="FootnoteReference"/>
        </w:rPr>
        <w:footnoteReference w:id="4013"/>
      </w:r>
      <w:r>
        <w:rPr>
          <w:rFonts w:ascii="IRNazanin" w:hAnsi="IRNazanin" w:eastAsia="IRNazanin" w:cs="IRNazanin"/>
          <w:lang w:bidi="fa-IR"/>
          <w:color w:val="111111"/>
          <w:sz w:val="28"/>
          <w:szCs w:val="28"/>
          <w:rtl/>
        </w:rPr>
        <w:t xml:space="preserve">من«تقویم أحدهما ثانیاً»ملاحظة قیمته مع مجموع القیمتین،و إلّا ففساد الضابط المذکور فی کلامهم لا یحتاج إلی النقض بصورة مدخلیة الاجتماع فی الزیادة التی یمکن القول فیها-و إن کان ضعیفاً-بأخذ النسبة للمشتری بین قیمة أحدهما المنفرد و بین قیمة المجموع،بل ینتقض بصورة مدخلیّة الاجتماع فی نقصان القیمة بحیث یکون قیمة أحدهما منفرداً مثل قیمة المجموع أو أزید، فإنّ هذا فرض ممکن کما صرّح به فی رهن جامع المقاصد </w:t>
      </w:r>
      <w:r>
        <w:rPr>
          <w:rStyle w:val="FootnoteReference"/>
        </w:rPr>
        <w:footnoteReference w:id="4014"/>
      </w:r>
    </w:p>
    <w:p>
      <w:pPr>
        <w:pStyle w:val="BookText"/>
      </w:pPr>
      <w:r>
        <w:rPr>
          <w:rFonts w:ascii="IRNazanin" w:hAnsi="IRNazanin" w:eastAsia="IRNazanin" w:cs="IRNazanin"/>
          <w:lang w:bidi="fa-IR"/>
          <w:color w:val="111111"/>
          <w:sz w:val="28"/>
          <w:szCs w:val="28"/>
          <w:rtl/>
        </w:rPr>
        <w:t xml:space="preserve">[شماره صفحه واقعی : 517]
</w:t>
      </w:r>
    </w:p>
    <w:p>
      <w:pPr>
        <w:sectPr>
          <w:footerReference w:type="default" r:id="rId1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غیره </w:t>
      </w:r>
      <w:r>
        <w:rPr>
          <w:rStyle w:val="FootnoteReference"/>
        </w:rPr>
        <w:footnoteReference w:id="4015"/>
      </w:r>
      <w:r>
        <w:rPr>
          <w:rFonts w:ascii="IRNazanin" w:hAnsi="IRNazanin" w:eastAsia="IRNazanin" w:cs="IRNazanin"/>
          <w:lang w:bidi="fa-IR"/>
          <w:color w:val="111111"/>
          <w:sz w:val="28"/>
          <w:szCs w:val="28"/>
          <w:rtl/>
        </w:rPr>
        <w:t xml:space="preserve">-فإنّ الالتزام هنا بالنسبة المذکورة یوجب الجمع بین الثمن و المثمن،کما لو باع جاریة مع أمّها قیمتهما مجتمعتین عشرة،و قیمة کلّ واحدة منهما منفردة عشرة،بثمانیة؛فإنّ نسبة قیمة إحداهما المنفردة إلی مجموع القیمتین </w:t>
      </w:r>
      <w:r>
        <w:rPr>
          <w:rStyle w:val="FootnoteReference"/>
        </w:rPr>
        <w:footnoteReference w:id="4016"/>
      </w:r>
      <w:r>
        <w:rPr>
          <w:rFonts w:ascii="IRNazanin" w:hAnsi="IRNazanin" w:eastAsia="IRNazanin" w:cs="IRNazanin"/>
          <w:lang w:bidi="fa-IR"/>
          <w:color w:val="111111"/>
          <w:sz w:val="28"/>
          <w:szCs w:val="28"/>
          <w:rtl/>
        </w:rPr>
        <w:t xml:space="preserve">نسبة الشیء إلی مماثله،فرجع </w:t>
      </w:r>
      <w:r>
        <w:rPr>
          <w:rStyle w:val="FootnoteReference"/>
        </w:rPr>
        <w:footnoteReference w:id="4017"/>
      </w:r>
      <w:r>
        <w:rPr>
          <w:rFonts w:ascii="IRNazanin" w:hAnsi="IRNazanin" w:eastAsia="IRNazanin" w:cs="IRNazanin"/>
          <w:lang w:bidi="fa-IR"/>
          <w:color w:val="111111"/>
          <w:sz w:val="28"/>
          <w:szCs w:val="28"/>
          <w:rtl/>
        </w:rPr>
        <w:t xml:space="preserve">بکلّ الثمانیة </w:t>
      </w:r>
      <w:r>
        <w:rPr>
          <w:rStyle w:val="FootnoteReference"/>
        </w:rPr>
        <w:footnoteReference w:id="4018"/>
      </w:r>
      <w:r>
        <w:rPr>
          <w:rFonts w:ascii="IRNazanin" w:hAnsi="IRNazanin" w:eastAsia="IRNazanin" w:cs="IRNazanin"/>
          <w:lang w:bidi="fa-IR"/>
          <w:color w:val="111111"/>
          <w:sz w:val="28"/>
          <w:szCs w:val="28"/>
          <w:rtl/>
        </w:rPr>
        <w:t xml:space="preserve">.و کأنّ من أورد علیهم ذلک غفل عن هذا،أو کان عنده غیر ممکن.</w:t>
      </w:r>
    </w:p>
    <w:p>
      <w:pPr>
        <w:pStyle w:val="BookText"/>
      </w:pPr>
      <w:r>
        <w:rPr>
          <w:rFonts w:ascii="IRNazanin" w:hAnsi="IRNazanin" w:eastAsia="IRNazanin" w:cs="IRNazanin"/>
          <w:lang w:bidi="fa-IR"/>
          <w:color w:val="111111"/>
          <w:sz w:val="28"/>
          <w:szCs w:val="28"/>
          <w:rtl/>
        </w:rPr>
        <w:t xml:space="preserve">فالتحقیق فی جمیع الموارد:ما ذکرنا،من ملاحظة قیمة کلٍّ منهما منفرداً،و نسبة قیمة أحدهما إلی مجموع القیمتین.</w:t>
      </w:r>
    </w:p>
    <w:p>
      <w:pPr>
        <w:pStyle w:val="BookText"/>
      </w:pPr>
      <w:r>
        <w:rPr>
          <w:rFonts w:ascii="IRNazanin" w:hAnsi="IRNazanin" w:eastAsia="IRNazanin" w:cs="IRNazanin"/>
          <w:lang w:bidi="fa-IR"/>
          <w:color w:val="111111"/>
          <w:sz w:val="28"/>
          <w:szCs w:val="28"/>
          <w:rtl/>
        </w:rPr>
        <w:t xml:space="preserve">فإن قلت:إنّ المشتری إنّما </w:t>
      </w:r>
      <w:r>
        <w:rPr>
          <w:rStyle w:val="FootnoteReference"/>
        </w:rPr>
        <w:footnoteReference w:id="4019"/>
      </w:r>
      <w:r>
        <w:rPr>
          <w:rFonts w:ascii="IRNazanin" w:hAnsi="IRNazanin" w:eastAsia="IRNazanin" w:cs="IRNazanin"/>
          <w:lang w:bidi="fa-IR"/>
          <w:color w:val="111111"/>
          <w:sz w:val="28"/>
          <w:szCs w:val="28"/>
          <w:rtl/>
        </w:rPr>
        <w:t xml:space="preserve">بذل الثمن فی مقابل کلٍّ منهما مقیّداً باجتماعه مع الآخر،و هذا الوصف لم یبقَ له مع ردّ مالک أحدهما، فالبائع إنّما یستحقّ من الثمن ما یوزّع علی ماله منفرداً،فله من الثمن جزءٌ نسبته إلیه کنسبة الدرهمین إلی العشرة،و هو درهم واحد، فالزیادة ظلم علی المشتری،و إن کان ما أوهمه عبارة الشرائع و شبهها </w:t>
      </w:r>
      <w:r>
        <w:rPr>
          <w:rStyle w:val="FootnoteReference"/>
        </w:rPr>
        <w:footnoteReference w:id="4020"/>
      </w:r>
      <w:r>
        <w:rPr>
          <w:rFonts w:ascii="IRNazanin" w:hAnsi="IRNazanin" w:eastAsia="IRNazanin" w:cs="IRNazanin"/>
          <w:lang w:bidi="fa-IR"/>
          <w:color w:val="111111"/>
          <w:sz w:val="28"/>
          <w:szCs w:val="28"/>
          <w:rtl/>
        </w:rPr>
        <w:t xml:space="preserve">-من أخذ البائع أربعة،و المشتری واحداً-أشدّ ظلماً،کما نبّه علیه فی</w:t>
      </w:r>
    </w:p>
    <w:p>
      <w:pPr>
        <w:pStyle w:val="BookText"/>
      </w:pPr>
      <w:r>
        <w:rPr>
          <w:rFonts w:ascii="IRNazanin" w:hAnsi="IRNazanin" w:eastAsia="IRNazanin" w:cs="IRNazanin"/>
          <w:lang w:bidi="fa-IR"/>
          <w:color w:val="111111"/>
          <w:sz w:val="28"/>
          <w:szCs w:val="28"/>
          <w:rtl/>
        </w:rPr>
        <w:t xml:space="preserve">[شماره صفحه واقعی : 518]
</w:t>
      </w:r>
    </w:p>
    <w:p>
      <w:pPr>
        <w:sectPr>
          <w:footerReference w:type="default" r:id="rId1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بعض حواشی الروضة </w:t>
      </w:r>
      <w:r>
        <w:rPr>
          <w:rStyle w:val="FootnoteReference"/>
        </w:rPr>
        <w:footnoteReference w:id="4021"/>
      </w:r>
      <w:r>
        <w:rPr>
          <w:rFonts w:ascii="IRNazanin" w:hAnsi="IRNazanin" w:eastAsia="IRNazanin" w:cs="IRNazanin"/>
          <w:lang w:bidi="fa-IR"/>
          <w:color w:val="111111"/>
          <w:sz w:val="28"/>
          <w:szCs w:val="28"/>
          <w:rtl/>
        </w:rPr>
        <w:t xml:space="preserve">،فاللازم أن یقسّط الثمن علی قیمة کلٍّ من المِلکین منفرداً و علی الهیئة </w:t>
      </w:r>
      <w:r>
        <w:rPr>
          <w:rStyle w:val="FootnoteReference"/>
        </w:rPr>
        <w:footnoteReference w:id="4022"/>
      </w:r>
      <w:r>
        <w:rPr>
          <w:rFonts w:ascii="IRNazanin" w:hAnsi="IRNazanin" w:eastAsia="IRNazanin" w:cs="IRNazanin"/>
          <w:lang w:bidi="fa-IR"/>
          <w:color w:val="111111"/>
          <w:sz w:val="28"/>
          <w:szCs w:val="28"/>
          <w:rtl/>
        </w:rPr>
        <w:t xml:space="preserve">الاجتماعیة،و یُعطی البائع من الثمن بنسبة قیمة ملکه منفرداً،و یبقی للمشتری بنسبة قیمة ملک </w:t>
      </w:r>
      <w:r>
        <w:rPr>
          <w:rStyle w:val="FootnoteReference"/>
        </w:rPr>
        <w:footnoteReference w:id="4023"/>
      </w:r>
      <w:r>
        <w:rPr>
          <w:rFonts w:ascii="IRNazanin" w:hAnsi="IRNazanin" w:eastAsia="IRNazanin" w:cs="IRNazanin"/>
          <w:lang w:bidi="fa-IR"/>
          <w:color w:val="111111"/>
          <w:sz w:val="28"/>
          <w:szCs w:val="28"/>
          <w:rtl/>
        </w:rPr>
        <w:t xml:space="preserve">الآخر منفرداً و قیمة هیئة الاجتماع </w:t>
      </w:r>
      <w:r>
        <w:rPr>
          <w:rStyle w:val="FootnoteReference"/>
        </w:rPr>
        <w:footnoteReference w:id="40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قلت:فوات وصف الانضمام-کسائر الأوصاف الموجبة لزیادة القیمة-لیس مضموناً فی باب المعاوضات و إن کان مضموناً فی باب العدوان،غایة الأمر ثبوت الخیار مع اشتراط تلک الصفة.</w:t>
      </w:r>
    </w:p>
    <w:p>
      <w:pPr>
        <w:pStyle w:val="BookText"/>
      </w:pPr>
      <w:r>
        <w:rPr>
          <w:rFonts w:ascii="IRNazanin" w:hAnsi="IRNazanin" w:eastAsia="IRNazanin" w:cs="IRNazanin"/>
          <w:lang w:bidi="fa-IR"/>
          <w:color w:val="111111"/>
          <w:sz w:val="28"/>
          <w:szCs w:val="28"/>
          <w:rtl/>
        </w:rPr>
        <w:t xml:space="preserve">و لا فرق فیما ذکرنا بین کون ملک البائع و ملک غیره متعدّدین </w:t>
      </w:r>
      <w:r>
        <w:rPr>
          <w:rStyle w:val="FootnoteReference"/>
        </w:rPr>
        <w:footnoteReference w:id="4025"/>
      </w:r>
      <w:r>
        <w:rPr>
          <w:rFonts w:ascii="IRNazanin" w:hAnsi="IRNazanin" w:eastAsia="IRNazanin" w:cs="IRNazanin"/>
          <w:lang w:bidi="fa-IR"/>
          <w:color w:val="111111"/>
          <w:sz w:val="28"/>
          <w:szCs w:val="28"/>
          <w:rtl/>
        </w:rPr>
        <w:t xml:space="preserve">فی الوجود کعبد و جاریة،أو متّحداً کعبد ثُلثه للبائع و ثلثاه لغیره،فإنّه لا یوزّع الثمن علی قیمة المجموع أثلاثاً؛لأنّ الثلث لا یباع بنصف ما یباع به الثلثان؛لکونه أقلّ رغبة منه،بل یلاحظ قیمة الثلث و قیمة الثلثین و یؤخذ النسبة منهما </w:t>
      </w:r>
      <w:r>
        <w:rPr>
          <w:rStyle w:val="FootnoteReference"/>
        </w:rPr>
        <w:footnoteReference w:id="4026"/>
      </w:r>
      <w:r>
        <w:rPr>
          <w:rFonts w:ascii="IRNazanin" w:hAnsi="IRNazanin" w:eastAsia="IRNazanin" w:cs="IRNazanin"/>
          <w:lang w:bidi="fa-IR"/>
          <w:color w:val="111111"/>
          <w:sz w:val="28"/>
          <w:szCs w:val="28"/>
          <w:rtl/>
        </w:rPr>
        <w:t xml:space="preserve">لیؤخذ </w:t>
      </w:r>
      <w:r>
        <w:rPr>
          <w:rStyle w:val="FootnoteReference"/>
        </w:rPr>
        <w:footnoteReference w:id="4027"/>
      </w:r>
      <w:r>
        <w:rPr>
          <w:rFonts w:ascii="IRNazanin" w:hAnsi="IRNazanin" w:eastAsia="IRNazanin" w:cs="IRNazanin"/>
          <w:lang w:bidi="fa-IR"/>
          <w:color w:val="111111"/>
          <w:sz w:val="28"/>
          <w:szCs w:val="28"/>
          <w:rtl/>
        </w:rPr>
        <w:t xml:space="preserve">من الثمن بتلک النسبة.</w:t>
      </w:r>
    </w:p>
    <w:p>
      <w:pPr>
        <w:pStyle w:val="BookText"/>
      </w:pPr>
      <w:r>
        <w:rPr>
          <w:rFonts w:ascii="IRNazanin" w:hAnsi="IRNazanin" w:eastAsia="IRNazanin" w:cs="IRNazanin"/>
          <w:lang w:bidi="fa-IR"/>
          <w:color w:val="111111"/>
          <w:sz w:val="28"/>
          <w:szCs w:val="28"/>
          <w:rtl/>
        </w:rPr>
        <w:t xml:space="preserve">[شماره صفحه واقعی : 519]
</w:t>
      </w:r>
    </w:p>
    <w:p>
      <w:pPr>
        <w:sectPr>
          <w:footerReference w:type="default" r:id="rId1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کلّه فی القیمی.أمّا المبیع المثلی:فإن کانت الحصّة مشاعة قُسّط الثمن علی نفس المبیع،فیقابل کلٌّ من حصّتی البائع و الأجنبیّ بما یخصّه،و إن کانت حصّة کلّ منهما معیّنة کان الحکم کما فی القیمی:من ملاحظة قیمتی الحصّتین و تقسیط الثمن علی المجموع،فافهم.</w:t>
      </w:r>
    </w:p>
    <w:p>
      <w:pPr>
        <w:pStyle w:val="BookText"/>
      </w:pPr>
      <w:r>
        <w:rPr>
          <w:rFonts w:ascii="IRNazanin" w:hAnsi="IRNazanin" w:eastAsia="IRNazanin" w:cs="IRNazanin"/>
          <w:lang w:bidi="fa-IR"/>
          <w:color w:val="111111"/>
          <w:sz w:val="28"/>
          <w:szCs w:val="28"/>
          <w:rtl/>
        </w:rPr>
        <w:t xml:space="preserve">[شماره صفحه واقعی : 520]
</w:t>
      </w:r>
    </w:p>
    <w:p>
      <w:pPr>
        <w:sectPr>
          <w:footerReference w:type="default" r:id="rId1199"/>
          <w:footnotePr>
            <w:numStart w:val="1"/>
            <w:numRestart w:val="eachPage"/>
          </w:footnotePr>
          <w:pgSz w:orient="portrait" w:w="11905.511811023622" w:h="16837.79527559055"/>
          <w:pgMar w:top="1440" w:right="1440" w:bottom="1440" w:left="1440" w:header="720" w:footer="720" w:gutter="0"/>
          <w:cols w:num="1" w:space="720"/>
        </w:sectPr>
      </w:pPr>
    </w:p>
    <w:bookmarkStart w:id="684" w:name="pg14411_143581"/>
    <w:bookmarkEnd w:id="684"/>
    <w:p>
      <w:pPr>
        <w:pStyle w:val="Heading6"/>
      </w:pPr>
      <w:bookmarkStart w:id="2351" w:name="_Toc1386"/>
      <w:r>
        <w:t>مسألة : لو باع من له نصف الدار نصف ملک</w:t>
      </w:r>
      <w:bookmarkEnd w:id="2351"/>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[*ستوده]</w:t>
      </w:r>
    </w:p>
    <w:p>
      <w:pPr>
        <w:pStyle w:val="BookText"/>
      </w:pPr>
      <w:r>
        <w:rPr>
          <w:rFonts w:ascii="IRNazanin" w:hAnsi="IRNazanin" w:eastAsia="IRNazanin" w:cs="IRNazanin"/>
          <w:lang w:bidi="fa-IR"/>
          <w:color w:val="111111"/>
          <w:sz w:val="28"/>
          <w:szCs w:val="28"/>
          <w:rtl/>
        </w:rPr>
        <w:t xml:space="preserve">مسألة لو باع من له نصف الدار نصف ملک </w:t>
      </w:r>
      <w:r>
        <w:rPr>
          <w:rStyle w:val="FootnoteReference"/>
        </w:rPr>
        <w:footnoteReference w:id="4028"/>
      </w:r>
      <w:r>
        <w:rPr>
          <w:rFonts w:ascii="IRNazanin" w:hAnsi="IRNazanin" w:eastAsia="IRNazanin" w:cs="IRNazanin"/>
          <w:lang w:bidi="fa-IR"/>
          <w:color w:val="111111"/>
          <w:sz w:val="28"/>
          <w:szCs w:val="28"/>
          <w:rtl/>
        </w:rPr>
        <w:t xml:space="preserve">الدار،</w:t>
      </w:r>
    </w:p>
    <w:p>
      <w:pPr>
        <w:pStyle w:val="BookText"/>
      </w:pPr>
      <w:r>
        <w:rPr>
          <w:rFonts w:ascii="IRNazanin" w:hAnsi="IRNazanin" w:eastAsia="IRNazanin" w:cs="IRNazanin"/>
          <w:lang w:bidi="fa-IR"/>
          <w:color w:val="111111"/>
          <w:sz w:val="28"/>
          <w:szCs w:val="28"/>
          <w:rtl/>
        </w:rPr>
        <w:t xml:space="preserve">فإن علم أنّه أراد نصفه أو نصف الغیر عمل به،و إلّا فإن علم أنّه لم یقصد بقوله:«بعتک نصف الدار»إلّا مفهوم هذا اللفظ،ففیه احتمالان:حمله علی نصفه المملوک له،و حمله علی النصف المشاع بینه و بین الأجنبیّ.</w:t>
      </w:r>
    </w:p>
    <w:p>
      <w:pPr>
        <w:pStyle w:val="BookText"/>
      </w:pPr>
      <w:r>
        <w:rPr>
          <w:rFonts w:ascii="IRNazanin" w:hAnsi="IRNazanin" w:eastAsia="IRNazanin" w:cs="IRNazanin"/>
          <w:lang w:bidi="fa-IR"/>
          <w:color w:val="111111"/>
          <w:sz w:val="28"/>
          <w:szCs w:val="28"/>
          <w:rtl/>
        </w:rPr>
        <w:t xml:space="preserve">و منشأ الاحتمالین:إمّا تعارض ظاهر النصف-أعنی الحصّة المشاعة فی مجموع النصفین-مع ظهور انصرافه فی مثل المقام من مقامات التصرّف إلی نصفه المختصّ و إن لم یکن له هذا الظهور فی غیر </w:t>
      </w:r>
      <w:r>
        <w:rPr>
          <w:rStyle w:val="FootnoteReference"/>
        </w:rPr>
        <w:footnoteReference w:id="4029"/>
      </w:r>
      <w:r>
        <w:rPr>
          <w:rFonts w:ascii="IRNazanin" w:hAnsi="IRNazanin" w:eastAsia="IRNazanin" w:cs="IRNazanin"/>
          <w:lang w:bidi="fa-IR"/>
          <w:color w:val="111111"/>
          <w:sz w:val="28"/>
          <w:szCs w:val="28"/>
          <w:rtl/>
        </w:rPr>
        <w:t xml:space="preserve">المقام،و لذا یحمل الإقرار علی الإشاعة-کما سیجیء </w:t>
      </w:r>
      <w:r>
        <w:rPr>
          <w:rStyle w:val="FootnoteReference"/>
        </w:rPr>
        <w:footnoteReference w:id="4030"/>
      </w:r>
      <w:r>
        <w:rPr>
          <w:rFonts w:ascii="IRNazanin" w:hAnsi="IRNazanin" w:eastAsia="IRNazanin" w:cs="IRNazanin"/>
          <w:lang w:bidi="fa-IR"/>
          <w:color w:val="111111"/>
          <w:sz w:val="28"/>
          <w:szCs w:val="28"/>
          <w:rtl/>
        </w:rPr>
        <w:t xml:space="preserve">-أو مع ظهور إنشاء البیع فی البیع لنفسه؛لأنّ بیع مال الغیر لا بدّ فیه:إمّا من نیّة الغیر،أو اعتقاد کون المال لنفسه،و إمّا من بنائه علی تملّکه للمال</w:t>
      </w:r>
    </w:p>
    <w:p>
      <w:pPr>
        <w:pStyle w:val="BookText"/>
      </w:pPr>
      <w:r>
        <w:rPr>
          <w:rFonts w:ascii="IRNazanin" w:hAnsi="IRNazanin" w:eastAsia="IRNazanin" w:cs="IRNazanin"/>
          <w:lang w:bidi="fa-IR"/>
          <w:color w:val="111111"/>
          <w:sz w:val="28"/>
          <w:szCs w:val="28"/>
          <w:rtl/>
        </w:rPr>
        <w:t xml:space="preserve">[شماره صفحه واقعی : 521]
</w:t>
      </w:r>
    </w:p>
    <w:p>
      <w:pPr>
        <w:sectPr>
          <w:footerReference w:type="default" r:id="rId1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عدواناً-کما فی بیع الغاصب-و الکلّ خلاف المفروض هنا.</w:t>
      </w:r>
    </w:p>
    <w:p>
      <w:pPr>
        <w:pStyle w:val="BookText"/>
      </w:pPr>
      <w:r>
        <w:rPr>
          <w:rFonts w:ascii="IRNazanin" w:hAnsi="IRNazanin" w:eastAsia="IRNazanin" w:cs="IRNazanin"/>
          <w:lang w:bidi="fa-IR"/>
          <w:color w:val="111111"/>
          <w:sz w:val="28"/>
          <w:szCs w:val="28"/>
          <w:rtl/>
        </w:rPr>
        <w:t xml:space="preserve">و ممّا ذکرنا یظهر الفرق بین ما نحن فیه،و بین قول البائع:</w:t>
      </w:r>
    </w:p>
    <w:p>
      <w:pPr>
        <w:pStyle w:val="BookText"/>
      </w:pPr>
      <w:r>
        <w:rPr>
          <w:rFonts w:ascii="IRNazanin" w:hAnsi="IRNazanin" w:eastAsia="IRNazanin" w:cs="IRNazanin"/>
          <w:lang w:bidi="fa-IR"/>
          <w:color w:val="111111"/>
          <w:sz w:val="28"/>
          <w:szCs w:val="28"/>
          <w:rtl/>
        </w:rPr>
        <w:t xml:space="preserve">«بعت غانماً»مع کون الاسم مشترکاً بین عبده و عبد غیره،حیث ادّعی فخر الدین قدّس سرّه الإجماع علی انصرافه إلی عبده،فقاس علیه ما نحن فیه </w:t>
      </w:r>
      <w:r>
        <w:rPr>
          <w:rStyle w:val="FootnoteReference"/>
        </w:rPr>
        <w:footnoteReference w:id="4031"/>
      </w:r>
      <w:r>
        <w:rPr>
          <w:rFonts w:ascii="IRNazanin" w:hAnsi="IRNazanin" w:eastAsia="IRNazanin" w:cs="IRNazanin"/>
          <w:lang w:bidi="fa-IR"/>
          <w:color w:val="111111"/>
          <w:sz w:val="28"/>
          <w:szCs w:val="28"/>
          <w:rtl/>
        </w:rPr>
        <w:t xml:space="preserve">إذ لیس للفظ المبیع هنا ظهور فی عبد الغیر فیبقی </w:t>
      </w:r>
      <w:r>
        <w:rPr>
          <w:rStyle w:val="FootnoteReference"/>
        </w:rPr>
        <w:footnoteReference w:id="4032"/>
      </w:r>
      <w:r>
        <w:rPr>
          <w:rFonts w:ascii="IRNazanin" w:hAnsi="IRNazanin" w:eastAsia="IRNazanin" w:cs="IRNazanin"/>
          <w:lang w:bidi="fa-IR"/>
          <w:color w:val="111111"/>
          <w:sz w:val="28"/>
          <w:szCs w:val="28"/>
          <w:rtl/>
        </w:rPr>
        <w:t xml:space="preserve">ظهور البیع فی وقوعه لنفس البائع،و انصراف لفظ المبیع فی مقام التصرّف إلی مال المتصرّف،سلیمین عن المعارض،فیفسّر بهما </w:t>
      </w:r>
      <w:r>
        <w:rPr>
          <w:rStyle w:val="FootnoteReference"/>
        </w:rPr>
        <w:footnoteReference w:id="4033"/>
      </w:r>
      <w:r>
        <w:rPr>
          <w:rFonts w:ascii="IRNazanin" w:hAnsi="IRNazanin" w:eastAsia="IRNazanin" w:cs="IRNazanin"/>
          <w:lang w:bidi="fa-IR"/>
          <w:color w:val="111111"/>
          <w:sz w:val="28"/>
          <w:szCs w:val="28"/>
          <w:rtl/>
        </w:rPr>
        <w:t xml:space="preserve">إجمال لفظ المبیع.</w:t>
      </w:r>
    </w:p>
    <w:p>
      <w:pPr>
        <w:pStyle w:val="BookText"/>
      </w:pPr>
      <w:r>
        <w:rPr>
          <w:rFonts w:ascii="IRNazanin" w:hAnsi="IRNazanin" w:eastAsia="IRNazanin" w:cs="IRNazanin"/>
          <w:lang w:bidi="fa-IR"/>
          <w:color w:val="111111"/>
          <w:sz w:val="28"/>
          <w:szCs w:val="28"/>
          <w:rtl/>
        </w:rPr>
        <w:t xml:space="preserve">ثمّ إنّه لو کان البائع وکیلاً فی بیع النصف أو ولیّاً عن مالکه،فهل هو کالأجنبی؟وجهان،مبنیّان علی أنّ المعارض لظهور النصف فی المشاع هو انصراف لفظ«المبیع»إلی مال البائع فی مقام التصرّف،أو ظهور التملیک فی الأصالة.الأقوی هو الأوّل؛لأنّ ظهور التملیک فی الأصالة من باب الإطلاق،و ظهور النصف فی المشاع و إن کان کذلک أیضاً،إلّا أنّ ظهور المقیِّد وارد علی ظهور المُطلَق.</w:t>
      </w:r>
    </w:p>
    <w:p>
      <w:pPr>
        <w:pStyle w:val="BookText"/>
      </w:pPr>
      <w:r>
        <w:rPr>
          <w:rFonts w:ascii="IRNazanin" w:hAnsi="IRNazanin" w:eastAsia="IRNazanin" w:cs="IRNazanin"/>
          <w:lang w:bidi="fa-IR"/>
          <w:color w:val="111111"/>
          <w:sz w:val="28"/>
          <w:szCs w:val="28"/>
          <w:rtl/>
        </w:rPr>
        <w:t xml:space="preserve">و ما ذکره الشهید الثانی:من عدم قصد الفضولی إلی مدلول اللفظ </w:t>
      </w:r>
      <w:r>
        <w:rPr>
          <w:rStyle w:val="FootnoteReference"/>
        </w:rPr>
        <w:footnoteReference w:id="4034"/>
      </w:r>
      <w:r>
        <w:rPr>
          <w:rFonts w:ascii="IRNazanin" w:hAnsi="IRNazanin" w:eastAsia="IRNazanin" w:cs="IRNazanin"/>
          <w:lang w:bidi="fa-IR"/>
          <w:color w:val="111111"/>
          <w:sz w:val="28"/>
          <w:szCs w:val="28"/>
          <w:rtl/>
        </w:rPr>
        <w:t xml:space="preserve">،و إن کان مرجعه إلی ظهورٍ واردٍ علی ظهور المقیّد،إلّا أنّه مختصّ بالفضولی؛لأنّ القصد الحقیقی موجود فی الوکیل و الولیّ،فالأقوی</w:t>
      </w:r>
    </w:p>
    <w:p>
      <w:pPr>
        <w:pStyle w:val="BookText"/>
      </w:pPr>
      <w:r>
        <w:rPr>
          <w:rFonts w:ascii="IRNazanin" w:hAnsi="IRNazanin" w:eastAsia="IRNazanin" w:cs="IRNazanin"/>
          <w:lang w:bidi="fa-IR"/>
          <w:color w:val="111111"/>
          <w:sz w:val="28"/>
          <w:szCs w:val="28"/>
          <w:rtl/>
        </w:rPr>
        <w:t xml:space="preserve">[شماره صفحه واقعی : 522]
</w:t>
      </w:r>
    </w:p>
    <w:p>
      <w:pPr>
        <w:sectPr>
          <w:footerReference w:type="default" r:id="rId1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فیهما </w:t>
      </w:r>
      <w:r>
        <w:rPr>
          <w:rStyle w:val="FootnoteReference"/>
        </w:rPr>
        <w:footnoteReference w:id="4035"/>
      </w:r>
      <w:r>
        <w:rPr>
          <w:rFonts w:ascii="IRNazanin" w:hAnsi="IRNazanin" w:eastAsia="IRNazanin" w:cs="IRNazanin"/>
          <w:lang w:bidi="fa-IR"/>
          <w:color w:val="111111"/>
          <w:sz w:val="28"/>
          <w:szCs w:val="28"/>
          <w:rtl/>
        </w:rPr>
        <w:t xml:space="preserve">الاشتراک فی البیع </w:t>
      </w:r>
      <w:r>
        <w:rPr>
          <w:rStyle w:val="FootnoteReference"/>
        </w:rPr>
        <w:footnoteReference w:id="4036"/>
      </w:r>
      <w:r>
        <w:rPr>
          <w:rFonts w:ascii="IRNazanin" w:hAnsi="IRNazanin" w:eastAsia="IRNazanin" w:cs="IRNazanin"/>
          <w:lang w:bidi="fa-IR"/>
          <w:color w:val="111111"/>
          <w:sz w:val="28"/>
          <w:szCs w:val="28"/>
          <w:rtl/>
        </w:rPr>
        <w:t xml:space="preserve">تحکیماً لظاهر النصف،إلّا أن یمنع ظهور «النصف»إلّا فی النصف المشاع فی المجموع،و أمّا ملاحظة حقّی المالکین و إرادة الإشاعة فی الکلّ من حیث إنّه مجموعهما فغیر معلومة،بل معلوم </w:t>
      </w:r>
      <w:r>
        <w:rPr>
          <w:rStyle w:val="FootnoteReference"/>
        </w:rPr>
        <w:footnoteReference w:id="4037"/>
      </w:r>
      <w:r>
        <w:rPr>
          <w:rFonts w:ascii="IRNazanin" w:hAnsi="IRNazanin" w:eastAsia="IRNazanin" w:cs="IRNazanin"/>
          <w:lang w:bidi="fa-IR"/>
          <w:color w:val="111111"/>
          <w:sz w:val="28"/>
          <w:szCs w:val="28"/>
          <w:rtl/>
        </w:rPr>
        <w:t xml:space="preserve">العدم بالفرض.</w:t>
      </w:r>
    </w:p>
    <w:p>
      <w:pPr>
        <w:pStyle w:val="BookText"/>
      </w:pPr>
      <w:r>
        <w:rPr>
          <w:rFonts w:ascii="IRNazanin" w:hAnsi="IRNazanin" w:eastAsia="IRNazanin" w:cs="IRNazanin"/>
          <w:lang w:bidi="fa-IR"/>
          <w:color w:val="111111"/>
          <w:sz w:val="28"/>
          <w:szCs w:val="28"/>
          <w:rtl/>
        </w:rPr>
        <w:t xml:space="preserve">و من المعلوم:أنّ النصف المشاع بالمعنی المذکور یصدق علی نصفه المختصّ،فقد ملّک کلیّاً یملک مصداقه،فهو کما لو باع کلّیاً سلفاً،مع کونه مأذوناً فی بیع ذلک من </w:t>
      </w:r>
      <w:r>
        <w:rPr>
          <w:rStyle w:val="FootnoteReference"/>
        </w:rPr>
        <w:footnoteReference w:id="4038"/>
      </w:r>
      <w:r>
        <w:rPr>
          <w:rFonts w:ascii="IRNazanin" w:hAnsi="IRNazanin" w:eastAsia="IRNazanin" w:cs="IRNazanin"/>
          <w:lang w:bidi="fa-IR"/>
          <w:color w:val="111111"/>
          <w:sz w:val="28"/>
          <w:szCs w:val="28"/>
          <w:rtl/>
        </w:rPr>
        <w:t xml:space="preserve">غیره أیضاً،لکنّه لم یقصد إلّا مدلول اللفظ من غیر ملاحظة وقوعه عنه أو عن غیره،فإنّ الظاهر وقوعه لنفسه؛لأنّه عقد علی ما یملکه،فصرفه إلی الغیر من دون صارف لا وجه له.</w:t>
      </w:r>
    </w:p>
    <w:p>
      <w:pPr>
        <w:pStyle w:val="BookText"/>
      </w:pPr>
      <w:r>
        <w:rPr>
          <w:rFonts w:ascii="IRNazanin" w:hAnsi="IRNazanin" w:eastAsia="IRNazanin" w:cs="IRNazanin"/>
          <w:lang w:bidi="fa-IR"/>
          <w:color w:val="111111"/>
          <w:sz w:val="28"/>
          <w:szCs w:val="28"/>
          <w:rtl/>
        </w:rPr>
        <w:t xml:space="preserve">[*ستوده]</w:t>
      </w:r>
    </w:p>
    <w:p>
      <w:pPr>
        <w:pStyle w:val="BookText"/>
      </w:pPr>
      <w:r>
        <w:rPr>
          <w:rFonts w:ascii="IRNazanin" w:hAnsi="IRNazanin" w:eastAsia="IRNazanin" w:cs="IRNazanin"/>
          <w:lang w:bidi="fa-IR"/>
          <w:color w:val="111111"/>
          <w:sz w:val="28"/>
          <w:szCs w:val="28"/>
          <w:rtl/>
        </w:rPr>
        <w:t xml:space="preserve">و لعلّه لما ذکرنا ذکر جماعة-کالفاضلین </w:t>
      </w:r>
      <w:r>
        <w:rPr>
          <w:rStyle w:val="FootnoteReference"/>
        </w:rPr>
        <w:footnoteReference w:id="4039"/>
      </w:r>
      <w:r>
        <w:rPr>
          <w:rFonts w:ascii="IRNazanin" w:hAnsi="IRNazanin" w:eastAsia="IRNazanin" w:cs="IRNazanin"/>
          <w:lang w:bidi="fa-IR"/>
          <w:color w:val="111111"/>
          <w:sz w:val="28"/>
          <w:szCs w:val="28"/>
          <w:rtl/>
        </w:rPr>
        <w:t xml:space="preserve">و الشهیدین </w:t>
      </w:r>
      <w:r>
        <w:rPr>
          <w:rStyle w:val="FootnoteReference"/>
        </w:rPr>
        <w:footnoteReference w:id="4040"/>
      </w:r>
      <w:r>
        <w:rPr>
          <w:rFonts w:ascii="IRNazanin" w:hAnsi="IRNazanin" w:eastAsia="IRNazanin" w:cs="IRNazanin"/>
          <w:lang w:bidi="fa-IR"/>
          <w:color w:val="111111"/>
          <w:sz w:val="28"/>
          <w:szCs w:val="28"/>
          <w:rtl/>
        </w:rPr>
        <w:t xml:space="preserve">و غیرهم </w:t>
      </w:r>
      <w:r>
        <w:rPr>
          <w:rStyle w:val="FootnoteReference"/>
        </w:rPr>
        <w:footnoteReference w:id="40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أنّه لو أصدق المرأة عیناً،فوهبت نصفها المشاع قبل الطلاق،استحقّ الزوج بالطلاق النصف الباقی،لا نصف الباقی و قیمة نصف الموهوب و إن</w:t>
      </w:r>
    </w:p>
    <w:p>
      <w:pPr>
        <w:pStyle w:val="BookText"/>
      </w:pPr>
      <w:r>
        <w:rPr>
          <w:rFonts w:ascii="IRNazanin" w:hAnsi="IRNazanin" w:eastAsia="IRNazanin" w:cs="IRNazanin"/>
          <w:lang w:bidi="fa-IR"/>
          <w:color w:val="111111"/>
          <w:sz w:val="28"/>
          <w:szCs w:val="28"/>
          <w:rtl/>
        </w:rPr>
        <w:t xml:space="preserve">[شماره صفحه واقعی : 523]
</w:t>
      </w:r>
    </w:p>
    <w:p>
      <w:pPr>
        <w:sectPr>
          <w:footerReference w:type="default" r:id="rId1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ذکروا ذلک احتمالاً </w:t>
      </w:r>
      <w:r>
        <w:rPr>
          <w:rStyle w:val="FootnoteReference"/>
        </w:rPr>
        <w:footnoteReference w:id="4042"/>
      </w:r>
      <w:r>
        <w:rPr>
          <w:rStyle w:val="FootnoteReference"/>
        </w:rPr>
        <w:footnoteReference w:id="4043"/>
      </w:r>
      <w:r>
        <w:rPr>
          <w:rFonts w:ascii="Amiri" w:hAnsi="Amiri" w:eastAsia="Amiri" w:cs="Amiri"/>
          <w:lang w:bidi="ar-SA"/>
          <w:color w:val="111111"/>
          <w:sz w:val="28"/>
          <w:szCs w:val="28"/>
          <w:rtl/>
        </w:rPr>
        <w:t xml:space="preserve">،و لیس إلّا من جهة صدق«النصف»علی الباقی، فیدخل فی قوله تعالی: فَنِصْفُ مٰا فَرَضْتُمْ </w:t>
      </w:r>
      <w:r>
        <w:rPr>
          <w:rStyle w:val="FootnoteReference"/>
        </w:rPr>
        <w:footnoteReference w:id="4044"/>
      </w:r>
      <w:r>
        <w:rPr>
          <w:rFonts w:ascii="IRNazanin" w:hAnsi="IRNazanin" w:eastAsia="IRNazanin" w:cs="IRNazanin"/>
          <w:lang w:bidi="fa-IR"/>
          <w:color w:val="111111"/>
          <w:sz w:val="28"/>
          <w:szCs w:val="28"/>
          <w:rtl/>
        </w:rPr>
        <w:t xml:space="preserve">و إن کان یمکن توجیه هذا الحکم منهم:بأنّه لمّا کان الربع الباقی للمرأة من الموجود مِثلاً للربع التالف من الزوج،و مساویاً </w:t>
      </w:r>
      <w:r>
        <w:rPr>
          <w:rStyle w:val="FootnoteReference"/>
        </w:rPr>
        <w:footnoteReference w:id="4045"/>
      </w:r>
      <w:r>
        <w:rPr>
          <w:rFonts w:ascii="IRNazanin" w:hAnsi="IRNazanin" w:eastAsia="IRNazanin" w:cs="IRNazanin"/>
          <w:lang w:bidi="fa-IR"/>
          <w:color w:val="111111"/>
          <w:sz w:val="28"/>
          <w:szCs w:val="28"/>
          <w:rtl/>
        </w:rPr>
        <w:t xml:space="preserve">له من جمیع الجهات،بل لا تغایر بینهما إلّا بالاعتبار،فلا وجه لاعتبار القیمة،نظیر ما لو دفع المقترض نفس العین المقترضة مع کونها قیمیّة.</w:t>
      </w:r>
    </w:p>
    <w:p>
      <w:pPr>
        <w:pStyle w:val="BookText"/>
      </w:pPr>
      <w:r>
        <w:rPr>
          <w:rFonts w:ascii="IRNazanin" w:hAnsi="IRNazanin" w:eastAsia="IRNazanin" w:cs="IRNazanin"/>
          <w:lang w:bidi="fa-IR"/>
          <w:color w:val="111111"/>
          <w:sz w:val="28"/>
          <w:szCs w:val="28"/>
          <w:rtl/>
        </w:rPr>
        <w:t xml:space="preserve">لکنّ الظاهر أنّهم لم یریدوا هذا الوجه،و إنّما </w:t>
      </w:r>
      <w:r>
        <w:rPr>
          <w:rStyle w:val="FootnoteReference"/>
        </w:rPr>
        <w:footnoteReference w:id="4046"/>
      </w:r>
      <w:r>
        <w:rPr>
          <w:rFonts w:ascii="IRNazanin" w:hAnsi="IRNazanin" w:eastAsia="IRNazanin" w:cs="IRNazanin"/>
          <w:lang w:bidi="fa-IR"/>
          <w:color w:val="111111"/>
          <w:sz w:val="28"/>
          <w:szCs w:val="28"/>
          <w:rtl/>
        </w:rPr>
        <w:t xml:space="preserve">علّلوا استحقاقه للنصف الباقی ببقاء مقدار حقّه،فلا یخلو عن منافاةٍ لهذا المقام.</w:t>
      </w:r>
    </w:p>
    <w:p>
      <w:pPr>
        <w:pStyle w:val="BookText"/>
      </w:pPr>
      <w:r>
        <w:rPr>
          <w:rFonts w:ascii="IRNazanin" w:hAnsi="IRNazanin" w:eastAsia="IRNazanin" w:cs="IRNazanin"/>
          <w:lang w:bidi="fa-IR"/>
          <w:color w:val="111111"/>
          <w:sz w:val="28"/>
          <w:szCs w:val="28"/>
          <w:rtl/>
        </w:rPr>
        <w:t xml:space="preserve">و نظیره فی ظهور المنافاة لما هنا:ما ذکروه </w:t>
      </w:r>
      <w:r>
        <w:rPr>
          <w:rStyle w:val="FootnoteReference"/>
        </w:rPr>
        <w:footnoteReference w:id="4047"/>
      </w:r>
      <w:r>
        <w:rPr>
          <w:rFonts w:ascii="IRNazanin" w:hAnsi="IRNazanin" w:eastAsia="IRNazanin" w:cs="IRNazanin"/>
          <w:lang w:bidi="fa-IR"/>
          <w:color w:val="111111"/>
          <w:sz w:val="28"/>
          <w:szCs w:val="28"/>
          <w:rtl/>
        </w:rPr>
        <w:t xml:space="preserve">فی باب الصلح:من أنّه إذا أقرّ من بیده المال لأحد المدّعیین للمال بسببٍ موجبٍ للشرکة -کالإرث-فصالحه المقرّ له علی ذلک النصف کان النصف مشاعاً فی نصیبهما،فإن أجاز شریکه نفذ فی المجموع و إلّا نفذ فی الربع؛فإنّ مقتضی ما ذکروه هنا اختصاص المصالح </w:t>
      </w:r>
      <w:r>
        <w:rPr>
          <w:rStyle w:val="FootnoteReference"/>
        </w:rPr>
        <w:footnoteReference w:id="4048"/>
      </w:r>
      <w:r>
        <w:rPr>
          <w:rFonts w:ascii="IRNazanin" w:hAnsi="IRNazanin" w:eastAsia="IRNazanin" w:cs="IRNazanin"/>
          <w:lang w:bidi="fa-IR"/>
          <w:color w:val="111111"/>
          <w:sz w:val="28"/>
          <w:szCs w:val="28"/>
          <w:rtl/>
        </w:rPr>
        <w:t xml:space="preserve">بنصف المقرّ له؛لأنّه إن أوقع</w:t>
      </w:r>
    </w:p>
    <w:p>
      <w:pPr>
        <w:pStyle w:val="BookText"/>
      </w:pPr>
      <w:r>
        <w:rPr>
          <w:rFonts w:ascii="IRNazanin" w:hAnsi="IRNazanin" w:eastAsia="IRNazanin" w:cs="IRNazanin"/>
          <w:lang w:bidi="fa-IR"/>
          <w:color w:val="111111"/>
          <w:sz w:val="28"/>
          <w:szCs w:val="28"/>
          <w:rtl/>
        </w:rPr>
        <w:t xml:space="preserve">[شماره صفحه واقعی : 524]
</w:t>
      </w:r>
    </w:p>
    <w:p>
      <w:pPr>
        <w:sectPr>
          <w:footerReference w:type="default" r:id="rId1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الصلح علی نصفه الذی أقرّ له به فهو کما لو صالح نصفه قبل الإقرار مع غیر المقرّ أو معه،و إن أوقعه علی مطلق النصف المشاع انصرف أیضاً إلی حصّته،فلا وجه لاشتراکه بینه و بین شریکه؛و لذا اختار سیّد مشایخنا قدّس اللّه أسرارهم اختصاصه بالمقرّ له </w:t>
      </w:r>
      <w:r>
        <w:rPr>
          <w:rStyle w:val="FootnoteReference"/>
        </w:rPr>
        <w:footnoteReference w:id="40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فصّل فی المسالک بین ما لو وقع الصلح علی نصفه أو مطلق النصف،و بین ما إذا وقع علی النصف الذی أقرّ به ذو الید،فاختار مذهب المشهور فی الثالث؛لأنّ الإقرار منزّل علی الإشاعة،و حکم بالاختصاص فی الأوّلین؛لاختصاص النصف وضعاً فی الأوّل و انصرافاً فی الثانی إلی النصف المختصّ </w:t>
      </w:r>
      <w:r>
        <w:rPr>
          <w:rStyle w:val="FootnoteReference"/>
        </w:rPr>
        <w:footnoteReference w:id="40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اعترضه فی مجمع الفائدة:بأنّ هذا لیس تفصیلاً،بل مورد کلام المشهور هو الثالث؛لفرضهم المصالحة علی ذلک النصف المقرّ به </w:t>
      </w:r>
      <w:r>
        <w:rPr>
          <w:rStyle w:val="FootnoteReference"/>
        </w:rPr>
        <w:footnoteReference w:id="4051"/>
      </w:r>
      <w:r>
        <w:rPr>
          <w:rFonts w:ascii="IRNazanin" w:hAnsi="IRNazanin" w:eastAsia="IRNazanin" w:cs="IRNazanin"/>
          <w:lang w:bidi="fa-IR"/>
          <w:color w:val="111111"/>
          <w:sz w:val="28"/>
          <w:szCs w:val="28"/>
          <w:rtl/>
        </w:rPr>
        <w:t xml:space="preserve">،و تمام الکلام فی محلّه.</w:t>
      </w:r>
    </w:p>
    <w:p>
      <w:pPr>
        <w:pStyle w:val="BookText"/>
      </w:pPr>
      <w:r>
        <w:rPr>
          <w:rFonts w:ascii="IRNazanin" w:hAnsi="IRNazanin" w:eastAsia="IRNazanin" w:cs="IRNazanin"/>
          <w:lang w:bidi="fa-IR"/>
          <w:color w:val="111111"/>
          <w:sz w:val="28"/>
          <w:szCs w:val="28"/>
          <w:rtl/>
        </w:rPr>
        <w:t xml:space="preserve">و علی کلّ حال،فلا إشکال فی أنّ لفظ«النصف»المقرّ به إذا وقع فی کلام المالک للنصف المشاع مجرّداً عن حالٍ أو مقالٍ یقتضی صَرفه إلی نصفه،یحمل علی المشاع فی نصیبه و نصیب شریکه؛</w:t>
      </w:r>
    </w:p>
    <w:p>
      <w:pPr>
        <w:pStyle w:val="BookText"/>
      </w:pPr>
      <w:r>
        <w:rPr>
          <w:rFonts w:ascii="IRNazanin" w:hAnsi="IRNazanin" w:eastAsia="IRNazanin" w:cs="IRNazanin"/>
          <w:lang w:bidi="fa-IR"/>
          <w:color w:val="111111"/>
          <w:sz w:val="28"/>
          <w:szCs w:val="28"/>
          <w:rtl/>
        </w:rPr>
        <w:t xml:space="preserve">[*ستوده]</w:t>
      </w:r>
    </w:p>
    <w:p>
      <w:pPr>
        <w:pStyle w:val="BookText"/>
      </w:pPr>
      <w:r>
        <w:rPr>
          <w:rFonts w:ascii="IRNazanin" w:hAnsi="IRNazanin" w:eastAsia="IRNazanin" w:cs="IRNazanin"/>
          <w:lang w:bidi="fa-IR"/>
          <w:color w:val="111111"/>
          <w:sz w:val="28"/>
          <w:szCs w:val="28"/>
          <w:rtl/>
        </w:rPr>
        <w:t xml:space="preserve">و لهذا أفتوا ظاهراً علی أنّه لو أقرّ أحد الرجلین الشریکین الثابت ید کلٍّ منهما علی نصف العین،بأنّ ثلث العین لفلان،حمل علی الثلث المشاع فی النصیبین، فلو کذّبه الشریک الآخر،دفع المقرّ إلی المقرّ له نصفَ ما فی یده؛لأنّ</w:t>
      </w:r>
    </w:p>
    <w:p>
      <w:pPr>
        <w:pStyle w:val="BookText"/>
      </w:pPr>
      <w:r>
        <w:rPr>
          <w:rFonts w:ascii="IRNazanin" w:hAnsi="IRNazanin" w:eastAsia="IRNazanin" w:cs="IRNazanin"/>
          <w:lang w:bidi="fa-IR"/>
          <w:color w:val="111111"/>
          <w:sz w:val="28"/>
          <w:szCs w:val="28"/>
          <w:rtl/>
        </w:rPr>
        <w:t xml:space="preserve">[شماره صفحه واقعی : 525]
</w:t>
      </w:r>
    </w:p>
    <w:p>
      <w:pPr>
        <w:sectPr>
          <w:footerReference w:type="default" r:id="rId1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المنکر بزعم المقرّ ظالم للسدس بتصرّفه فی النصف؛لأنّه باعتقاده إنّما یستحقّ الثلث،فالسدس الفاضل فی ید المنکر نسبته إلی المقرّ و المقرّ له علی حدّ سواء؛فإنّه قدر تالف من العین المشترکة،فیوزّع </w:t>
      </w:r>
      <w:r>
        <w:rPr>
          <w:rStyle w:val="FootnoteReference"/>
        </w:rPr>
        <w:footnoteReference w:id="4052"/>
      </w:r>
      <w:r>
        <w:rPr>
          <w:rFonts w:ascii="IRNazanin" w:hAnsi="IRNazanin" w:eastAsia="IRNazanin" w:cs="IRNazanin"/>
          <w:lang w:bidi="fa-IR"/>
          <w:color w:val="111111"/>
          <w:sz w:val="28"/>
          <w:szCs w:val="28"/>
          <w:rtl/>
        </w:rPr>
        <w:t xml:space="preserve">علی الاستحقاق.</w:t>
      </w:r>
    </w:p>
    <w:p>
      <w:pPr>
        <w:pStyle w:val="BookText"/>
      </w:pPr>
      <w:r>
        <w:rPr>
          <w:rFonts w:ascii="IRNazanin" w:hAnsi="IRNazanin" w:eastAsia="IRNazanin" w:cs="IRNazanin"/>
          <w:lang w:bidi="fa-IR"/>
          <w:color w:val="111111"/>
          <w:sz w:val="28"/>
          <w:szCs w:val="28"/>
          <w:rtl/>
        </w:rPr>
        <w:t xml:space="preserve">و دعوی:أنّ مقتضی الإشاعة تنزیل المقرّ به علی ما فی ید کلٍّ منهما،فیکون فی ید المقرّ سدس،و فی ید المنکر سدس،کما لو صرّح بذلک،و قال:«إنّ له فی ید کلٍّ منهما </w:t>
      </w:r>
      <w:r>
        <w:rPr>
          <w:rStyle w:val="FootnoteReference"/>
        </w:rPr>
        <w:footnoteReference w:id="4053"/>
      </w:r>
      <w:r>
        <w:rPr>
          <w:rFonts w:ascii="IRNazanin" w:hAnsi="IRNazanin" w:eastAsia="IRNazanin" w:cs="IRNazanin"/>
          <w:lang w:bidi="fa-IR"/>
          <w:color w:val="111111"/>
          <w:sz w:val="28"/>
          <w:szCs w:val="28"/>
          <w:rtl/>
        </w:rPr>
        <w:t xml:space="preserve">سدساً»،و إقراره بالنسبة إلی ما فی ید الغیر غیر مسموع،فلا یجب إلّا أن یدفع إلیه ثلث ما فی یده،و هو السدس المقرّ به،و قد تلف السدس الآخر بزعم المقرّ علی المقرّ له بتکذیب المنکر.</w:t>
      </w:r>
    </w:p>
    <w:p>
      <w:pPr>
        <w:pStyle w:val="BookText"/>
      </w:pPr>
      <w:r>
        <w:rPr>
          <w:rFonts w:ascii="IRNazanin" w:hAnsi="IRNazanin" w:eastAsia="IRNazanin" w:cs="IRNazanin"/>
          <w:lang w:bidi="fa-IR"/>
          <w:color w:val="111111"/>
          <w:sz w:val="28"/>
          <w:szCs w:val="28"/>
          <w:rtl/>
        </w:rPr>
        <w:t xml:space="preserve">مدفوعة:بأنّ ما فی ید الغیر لیس عین ماله،فیکون کما لو أقرّ شخص بنصف کلٍّ من داره و دار غیره،بل هو </w:t>
      </w:r>
      <w:r>
        <w:rPr>
          <w:rStyle w:val="FootnoteReference"/>
        </w:rPr>
        <w:footnoteReference w:id="4054"/>
      </w:r>
      <w:r>
        <w:rPr>
          <w:rFonts w:ascii="IRNazanin" w:hAnsi="IRNazanin" w:eastAsia="IRNazanin" w:cs="IRNazanin"/>
          <w:lang w:bidi="fa-IR"/>
          <w:color w:val="111111"/>
          <w:sz w:val="28"/>
          <w:szCs w:val="28"/>
          <w:rtl/>
        </w:rPr>
        <w:t xml:space="preserve">مقدار حصّته المشاعة،کحصّة المقرّ و حصّة المقرّ له بزعم المقرّ،إلّا أنّه لمّا لم یجبر المکذّب علی دفع شیء ممّا فی یده فقد تلف سدس مشاع یوزّع علی المقرّ و المقرّ له،فلا معنی لحسابه علی المقرّ له وحده،إلّا علی احتمالٍ ضعیف،و هو تعلّق الغصب بالمشاع و صحّة تقسیم الغاصب مع الشریک،فیتمحّض ما یأخذه الغاصب للمغصوب منه و ما یأخذه</w:t>
      </w:r>
    </w:p>
    <w:p>
      <w:pPr>
        <w:pStyle w:val="BookText"/>
      </w:pPr>
      <w:r>
        <w:rPr>
          <w:rFonts w:ascii="IRNazanin" w:hAnsi="IRNazanin" w:eastAsia="IRNazanin" w:cs="IRNazanin"/>
          <w:lang w:bidi="fa-IR"/>
          <w:color w:val="111111"/>
          <w:sz w:val="28"/>
          <w:szCs w:val="28"/>
          <w:rtl/>
        </w:rPr>
        <w:t xml:space="preserve">[شماره صفحه واقعی : 526]
</w:t>
      </w:r>
    </w:p>
    <w:p>
      <w:pPr>
        <w:sectPr>
          <w:footerReference w:type="default" r:id="rId1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الشریک لنفسه،لکنّه احتمال مضعّف فی محلّه و إن قال به أو مال إلیه بعض-علی ما حکی </w:t>
      </w:r>
      <w:r>
        <w:rPr>
          <w:rStyle w:val="FootnoteReference"/>
        </w:rPr>
        <w:footnoteReference w:id="4055"/>
      </w:r>
      <w:r>
        <w:rPr>
          <w:rFonts w:ascii="IRNazanin" w:hAnsi="IRNazanin" w:eastAsia="IRNazanin" w:cs="IRNazanin"/>
          <w:lang w:bidi="fa-IR"/>
          <w:color w:val="111111"/>
          <w:sz w:val="28"/>
          <w:szCs w:val="28"/>
          <w:rtl/>
        </w:rPr>
        <w:t xml:space="preserve">-للحرج أو السیرة.</w:t>
      </w:r>
    </w:p>
    <w:p>
      <w:pPr>
        <w:pStyle w:val="BookText"/>
      </w:pPr>
      <w:r>
        <w:rPr>
          <w:rFonts w:ascii="IRNazanin" w:hAnsi="IRNazanin" w:eastAsia="IRNazanin" w:cs="IRNazanin"/>
          <w:lang w:bidi="fa-IR"/>
          <w:color w:val="111111"/>
          <w:sz w:val="28"/>
          <w:szCs w:val="28"/>
          <w:rtl/>
        </w:rPr>
        <w:t xml:space="preserve">نعم،یمکن أن یقال </w:t>
      </w:r>
      <w:r>
        <w:rPr>
          <w:rStyle w:val="FootnoteReference"/>
        </w:rPr>
        <w:footnoteReference w:id="4056"/>
      </w:r>
      <w:r>
        <w:rPr>
          <w:rFonts w:ascii="IRNazanin" w:hAnsi="IRNazanin" w:eastAsia="IRNazanin" w:cs="IRNazanin"/>
          <w:lang w:bidi="fa-IR"/>
          <w:color w:val="111111"/>
          <w:sz w:val="28"/>
          <w:szCs w:val="28"/>
          <w:rtl/>
        </w:rPr>
        <w:t xml:space="preserve">:بأنّ التلف فی هذا المقام حاصل بإذن الشارع للمنکر الغاصب لحقّ المقرّ له باعتقاد المقرّ،و الشارع إنّما أذن له فی أخذ ما یأخذه علی أنّه من مال المقرّ له،فالشارع إنّما حسب السدس فی ید المنکر علی المقرّ له،فلا یحسب منه علی المقرّ شیء، و لیس هذا کأخذ الغاصب جزءاً معیّناً من المال عدواناً بدون إذن الشارع حتّی یحسب علی کلا الشریکین.</w:t>
      </w:r>
    </w:p>
    <w:p>
      <w:pPr>
        <w:pStyle w:val="BookText"/>
      </w:pPr>
      <w:r>
        <w:rPr>
          <w:rFonts w:ascii="IRNazanin" w:hAnsi="IRNazanin" w:eastAsia="IRNazanin" w:cs="IRNazanin"/>
          <w:lang w:bidi="fa-IR"/>
          <w:color w:val="111111"/>
          <w:sz w:val="28"/>
          <w:szCs w:val="28"/>
          <w:rtl/>
        </w:rPr>
        <w:t xml:space="preserve">و الحاصل:أنّ أخذ الجزء لمّا </w:t>
      </w:r>
      <w:r>
        <w:rPr>
          <w:rStyle w:val="FootnoteReference"/>
        </w:rPr>
        <w:footnoteReference w:id="4057"/>
      </w:r>
      <w:r>
        <w:rPr>
          <w:rFonts w:ascii="IRNazanin" w:hAnsi="IRNazanin" w:eastAsia="IRNazanin" w:cs="IRNazanin"/>
          <w:lang w:bidi="fa-IR"/>
          <w:color w:val="111111"/>
          <w:sz w:val="28"/>
          <w:szCs w:val="28"/>
          <w:rtl/>
        </w:rPr>
        <w:t xml:space="preserve">کان بإذن الشارع و إنّما </w:t>
      </w:r>
      <w:r>
        <w:rPr>
          <w:rStyle w:val="FootnoteReference"/>
        </w:rPr>
        <w:footnoteReference w:id="4058"/>
      </w:r>
      <w:r>
        <w:rPr>
          <w:rFonts w:ascii="IRNazanin" w:hAnsi="IRNazanin" w:eastAsia="IRNazanin" w:cs="IRNazanin"/>
          <w:lang w:bidi="fa-IR"/>
          <w:color w:val="111111"/>
          <w:sz w:val="28"/>
          <w:szCs w:val="28"/>
          <w:rtl/>
        </w:rPr>
        <w:t xml:space="preserve">أذن له علی أن یکون من مال المقرّ له؛و لعلّه لذا ذکر الأکثر بل نسبه فی الإیضاح إلی الأصحاب فی مسألة الإقرار بالنسب:أنّ أحد الأخوین إذا أقرّ بثالث،دفع إلیه الزائد عمّا یستحقّه باعتقاده،و هو الثلث، و لا یدفع إلیه نصف ما فی یده؛نظراً إلی أنّه أقرّ بتساویهما فی مال المورّث،فکلّ ما حصل کان لهما،و کلّ ما توی </w:t>
      </w:r>
      <w:r>
        <w:rPr>
          <w:rStyle w:val="FootnoteReference"/>
        </w:rPr>
        <w:footnoteReference w:id="4059"/>
      </w:r>
      <w:r>
        <w:rPr>
          <w:rFonts w:ascii="IRNazanin" w:hAnsi="IRNazanin" w:eastAsia="IRNazanin" w:cs="IRNazanin"/>
          <w:lang w:bidi="fa-IR"/>
          <w:color w:val="111111"/>
          <w:sz w:val="28"/>
          <w:szCs w:val="28"/>
          <w:rtl/>
        </w:rPr>
        <w:t xml:space="preserve">کان کذلک </w:t>
      </w:r>
      <w:r>
        <w:rPr>
          <w:rStyle w:val="FootnoteReference"/>
        </w:rPr>
        <w:footnoteReference w:id="40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527]
</w:t>
      </w:r>
    </w:p>
    <w:p>
      <w:pPr>
        <w:sectPr>
          <w:footerReference w:type="default" r:id="rId1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هذا،و لکن لا یخفی ضعف هذا الاحتمال؛من جهة أنّ الشارع ألزم-بمقتضی الإقرار-معاملة المقرّ مع المقرّ له بما یقتضیه الواقع الذی أقرّ به،و من المعلوم:أنّ مقتضی الواقع-لو فرض العلم بصدق المقرّ- هو کون ما فی یده علی حسب إقراره بالمناصفة،و أمّا المنکر </w:t>
      </w:r>
      <w:r>
        <w:rPr>
          <w:rStyle w:val="FootnoteReference"/>
        </w:rPr>
        <w:footnoteReference w:id="4061"/>
      </w:r>
      <w:r>
        <w:rPr>
          <w:rFonts w:ascii="Amiri" w:hAnsi="Amiri" w:eastAsia="Amiri" w:cs="Amiri"/>
          <w:lang w:bidi="ar-SA"/>
          <w:color w:val="111111"/>
          <w:sz w:val="28"/>
          <w:szCs w:val="28"/>
          <w:rtl/>
        </w:rPr>
        <w:t xml:space="preserve">عالماً، فیکون ما فی یده مالاً مشترکاً لا یحلّ له منه إلّا ما قابل حقّه </w:t>
      </w:r>
      <w:r>
        <w:rPr>
          <w:rStyle w:val="FootnoteReference"/>
        </w:rPr>
        <w:footnoteReference w:id="4062"/>
      </w:r>
      <w:r>
        <w:rPr>
          <w:rFonts w:ascii="Amiri" w:hAnsi="Amiri" w:eastAsia="Amiri" w:cs="Amiri"/>
          <w:lang w:bidi="ar-SA"/>
          <w:color w:val="111111"/>
          <w:sz w:val="28"/>
          <w:szCs w:val="28"/>
          <w:rtl/>
        </w:rPr>
        <w:t xml:space="preserve">ممّا </w:t>
      </w:r>
      <w:r>
        <w:rPr>
          <w:rStyle w:val="FootnoteReference"/>
        </w:rPr>
        <w:footnoteReference w:id="4063"/>
      </w:r>
      <w:r>
        <w:rPr>
          <w:rFonts w:ascii="IRNazanin" w:hAnsi="IRNazanin" w:eastAsia="IRNazanin" w:cs="IRNazanin"/>
          <w:lang w:bidi="fa-IR"/>
          <w:color w:val="111111"/>
          <w:sz w:val="28"/>
          <w:szCs w:val="28"/>
          <w:rtl/>
        </w:rPr>
        <w:t xml:space="preserve">فی یدهما،و الزائد حقّ لهما علیه.</w:t>
      </w:r>
    </w:p>
    <w:p>
      <w:pPr>
        <w:pStyle w:val="BookText"/>
      </w:pPr>
      <w:r>
        <w:rPr>
          <w:rFonts w:ascii="IRNazanin" w:hAnsi="IRNazanin" w:eastAsia="IRNazanin" w:cs="IRNazanin"/>
          <w:lang w:bidi="fa-IR"/>
          <w:color w:val="111111"/>
          <w:sz w:val="28"/>
          <w:szCs w:val="28"/>
          <w:rtl/>
        </w:rPr>
        <w:t xml:space="preserve">[*ستوده]</w:t>
      </w:r>
    </w:p>
    <w:p>
      <w:pPr>
        <w:pStyle w:val="BookText"/>
      </w:pPr>
      <w:r>
        <w:rPr>
          <w:rFonts w:ascii="IRNazanin" w:hAnsi="IRNazanin" w:eastAsia="IRNazanin" w:cs="IRNazanin"/>
          <w:lang w:bidi="fa-IR"/>
          <w:color w:val="111111"/>
          <w:sz w:val="28"/>
          <w:szCs w:val="28"/>
          <w:rtl/>
        </w:rPr>
        <w:t xml:space="preserve">و أمّا مسألة الإقرار بالنسب،فالمشهور و إن صاروا إلی ما ذکر، و حکاه الکلینی عن الفضل بن شاذان </w:t>
      </w:r>
      <w:r>
        <w:rPr>
          <w:rStyle w:val="FootnoteReference"/>
        </w:rPr>
        <w:footnoteReference w:id="4064"/>
      </w:r>
      <w:r>
        <w:rPr>
          <w:rFonts w:ascii="IRNazanin" w:hAnsi="IRNazanin" w:eastAsia="IRNazanin" w:cs="IRNazanin"/>
          <w:lang w:bidi="fa-IR"/>
          <w:color w:val="111111"/>
          <w:sz w:val="28"/>
          <w:szCs w:val="28"/>
          <w:rtl/>
        </w:rPr>
        <w:t xml:space="preserve">علی وجه الاعتماد،بل ظاهره جعل فتواه کروایته </w:t>
      </w:r>
      <w:r>
        <w:rPr>
          <w:rStyle w:val="FootnoteReference"/>
        </w:rPr>
        <w:footnoteReference w:id="4065"/>
      </w:r>
      <w:r>
        <w:rPr>
          <w:rFonts w:ascii="Amiri" w:hAnsi="Amiri" w:eastAsia="Amiri" w:cs="Amiri"/>
          <w:lang w:bidi="ar-SA"/>
          <w:color w:val="111111"/>
          <w:sz w:val="28"/>
          <w:szCs w:val="28"/>
          <w:rtl/>
        </w:rPr>
        <w:t xml:space="preserve">،إلّا أنّه صرّح جماعة ممّن تأخّر عنهم </w:t>
      </w:r>
      <w:r>
        <w:rPr>
          <w:rStyle w:val="FootnoteReference"/>
        </w:rPr>
        <w:footnoteReference w:id="4066"/>
      </w:r>
      <w:r>
        <w:rPr>
          <w:rFonts w:ascii="IRNazanin" w:hAnsi="IRNazanin" w:eastAsia="IRNazanin" w:cs="IRNazanin"/>
          <w:lang w:bidi="fa-IR"/>
          <w:color w:val="111111"/>
          <w:sz w:val="28"/>
          <w:szCs w:val="28"/>
          <w:rtl/>
        </w:rPr>
        <w:t xml:space="preserve">بمخالفته للقاعدة حتّی قوّی فی المسالک الحمل علی الإشاعة </w:t>
      </w:r>
      <w:r>
        <w:rPr>
          <w:rStyle w:val="FootnoteReference"/>
        </w:rPr>
        <w:footnoteReference w:id="4067"/>
      </w:r>
      <w:r>
        <w:rPr>
          <w:rFonts w:ascii="IRNazanin" w:hAnsi="IRNazanin" w:eastAsia="IRNazanin" w:cs="IRNazanin"/>
          <w:lang w:bidi="fa-IR"/>
          <w:color w:val="111111"/>
          <w:sz w:val="28"/>
          <w:szCs w:val="28"/>
          <w:rtl/>
        </w:rPr>
        <w:t xml:space="preserve">،و تبعه سبطه </w:t>
      </w:r>
      <w:r>
        <w:rPr>
          <w:rStyle w:val="FootnoteReference"/>
        </w:rPr>
        <w:footnoteReference w:id="4068"/>
      </w:r>
      <w:r>
        <w:rPr>
          <w:rFonts w:ascii="IRNazanin" w:hAnsi="IRNazanin" w:eastAsia="IRNazanin" w:cs="IRNazanin"/>
          <w:lang w:bidi="fa-IR"/>
          <w:color w:val="111111"/>
          <w:sz w:val="28"/>
          <w:szCs w:val="28"/>
          <w:rtl/>
        </w:rPr>
        <w:t xml:space="preserve">و سیّد الریاض </w:t>
      </w:r>
      <w:r>
        <w:rPr>
          <w:rStyle w:val="FootnoteReference"/>
        </w:rPr>
        <w:footnoteReference w:id="4069"/>
      </w:r>
      <w:r>
        <w:rPr>
          <w:rFonts w:ascii="IRNazanin" w:hAnsi="IRNazanin" w:eastAsia="IRNazanin" w:cs="IRNazanin"/>
          <w:lang w:bidi="fa-IR"/>
          <w:color w:val="111111"/>
          <w:sz w:val="28"/>
          <w:szCs w:val="28"/>
          <w:rtl/>
        </w:rPr>
        <w:t xml:space="preserve">فی شرحی </w:t>
      </w:r>
      <w:r>
        <w:rPr>
          <w:rStyle w:val="FootnoteReference"/>
        </w:rPr>
        <w:footnoteReference w:id="4070"/>
      </w:r>
      <w:r>
        <w:rPr>
          <w:rFonts w:ascii="IRNazanin" w:hAnsi="IRNazanin" w:eastAsia="IRNazanin" w:cs="IRNazanin"/>
          <w:lang w:bidi="fa-IR"/>
          <w:color w:val="111111"/>
          <w:sz w:val="28"/>
          <w:szCs w:val="28"/>
          <w:rtl/>
        </w:rPr>
        <w:t xml:space="preserve">النافع.</w:t>
      </w:r>
    </w:p>
    <w:p>
      <w:pPr>
        <w:pStyle w:val="BookText"/>
      </w:pPr>
      <w:r>
        <w:rPr>
          <w:rFonts w:ascii="IRNazanin" w:hAnsi="IRNazanin" w:eastAsia="IRNazanin" w:cs="IRNazanin"/>
          <w:lang w:bidi="fa-IR"/>
          <w:color w:val="111111"/>
          <w:sz w:val="28"/>
          <w:szCs w:val="28"/>
          <w:rtl/>
        </w:rPr>
        <w:t xml:space="preserve">[شماره صفحه واقعی : 528]
</w:t>
      </w:r>
    </w:p>
    <w:p>
      <w:pPr>
        <w:sectPr>
          <w:footerReference w:type="default" r:id="rId1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الظاهر:أنّ مستند المشهور بعض الروایات الضعیفة المنجبر بعمل أصحاب الحدیث،کالفضل و الکلینی،بل و غیرهما.</w:t>
      </w:r>
    </w:p>
    <w:p>
      <w:pPr>
        <w:pStyle w:val="BookText"/>
      </w:pPr>
      <w:r>
        <w:rPr>
          <w:rFonts w:ascii="IRNazanin" w:hAnsi="IRNazanin" w:eastAsia="IRNazanin" w:cs="IRNazanin"/>
          <w:lang w:bidi="fa-IR"/>
          <w:color w:val="111111"/>
          <w:sz w:val="28"/>
          <w:szCs w:val="28"/>
          <w:rtl/>
        </w:rPr>
        <w:t xml:space="preserve">فروی الصدوق مرسلاً و الشیخ مسنداً عن أبی البختری وهب ابن وهب </w:t>
      </w:r>
      <w:r>
        <w:rPr>
          <w:rStyle w:val="FootnoteReference"/>
        </w:rPr>
        <w:footnoteReference w:id="4071"/>
      </w:r>
      <w:r>
        <w:rPr>
          <w:rFonts w:ascii="IRNazanin" w:hAnsi="IRNazanin" w:eastAsia="IRNazanin" w:cs="IRNazanin"/>
          <w:lang w:bidi="fa-IR"/>
          <w:color w:val="111111"/>
          <w:sz w:val="28"/>
          <w:szCs w:val="28"/>
          <w:rtl/>
        </w:rPr>
        <w:t xml:space="preserve">،عن جعفر بن محمد عن أبیه علیهما السلام:«قال:قضی أمیر المؤمنین علیه السلام-فی رجل مات و ترک ورثة فأقرّ أحد الورثة بدین علی أبیه-:أنّه یلزم ذلک فی حصّته </w:t>
      </w:r>
      <w:r>
        <w:rPr>
          <w:rStyle w:val="FootnoteReference"/>
        </w:rPr>
        <w:footnoteReference w:id="4072"/>
      </w:r>
      <w:r>
        <w:rPr>
          <w:rFonts w:ascii="IRNazanin" w:hAnsi="IRNazanin" w:eastAsia="IRNazanin" w:cs="IRNazanin"/>
          <w:lang w:bidi="fa-IR"/>
          <w:color w:val="111111"/>
          <w:sz w:val="28"/>
          <w:szCs w:val="28"/>
          <w:rtl/>
        </w:rPr>
        <w:t xml:space="preserve">بقدر ما ورث،و لا یکون ذلک فی ماله کلّه،و </w:t>
      </w:r>
      <w:r>
        <w:rPr>
          <w:rStyle w:val="FootnoteReference"/>
        </w:rPr>
        <w:footnoteReference w:id="4073"/>
      </w:r>
      <w:r>
        <w:rPr>
          <w:rFonts w:ascii="IRNazanin" w:hAnsi="IRNazanin" w:eastAsia="IRNazanin" w:cs="IRNazanin"/>
          <w:lang w:bidi="fa-IR"/>
          <w:color w:val="111111"/>
          <w:sz w:val="28"/>
          <w:szCs w:val="28"/>
          <w:rtl/>
        </w:rPr>
        <w:t xml:space="preserve">إن أقرّ اثنان من الورثة و کانا عدلین أُجیز ذلک علی الورثة </w:t>
      </w:r>
      <w:r>
        <w:rPr>
          <w:rStyle w:val="FootnoteReference"/>
        </w:rPr>
        <w:footnoteReference w:id="4074"/>
      </w:r>
      <w:r>
        <w:rPr>
          <w:rFonts w:ascii="IRNazanin" w:hAnsi="IRNazanin" w:eastAsia="IRNazanin" w:cs="IRNazanin"/>
          <w:lang w:bidi="fa-IR"/>
          <w:color w:val="111111"/>
          <w:sz w:val="28"/>
          <w:szCs w:val="28"/>
          <w:rtl/>
        </w:rPr>
        <w:t xml:space="preserve">،و إن لم یکونا عدلین أُلزما فی حصّتهما </w:t>
      </w:r>
      <w:r>
        <w:rPr>
          <w:rStyle w:val="FootnoteReference"/>
        </w:rPr>
        <w:footnoteReference w:id="4075"/>
      </w:r>
      <w:r>
        <w:rPr>
          <w:rFonts w:ascii="IRNazanin" w:hAnsi="IRNazanin" w:eastAsia="IRNazanin" w:cs="IRNazanin"/>
          <w:lang w:bidi="fa-IR"/>
          <w:color w:val="111111"/>
          <w:sz w:val="28"/>
          <w:szCs w:val="28"/>
          <w:rtl/>
        </w:rPr>
        <w:t xml:space="preserve">بقدر ما ورثا </w:t>
      </w:r>
      <w:r>
        <w:rPr>
          <w:rStyle w:val="FootnoteReference"/>
        </w:rPr>
        <w:footnoteReference w:id="4076"/>
      </w:r>
      <w:r>
        <w:rPr>
          <w:rFonts w:ascii="Amiri" w:hAnsi="Amiri" w:eastAsia="Amiri" w:cs="Amiri"/>
          <w:lang w:bidi="ar-SA"/>
          <w:color w:val="111111"/>
          <w:sz w:val="28"/>
          <w:szCs w:val="28"/>
          <w:rtl/>
        </w:rPr>
        <w:t xml:space="preserve">، و کذلک إن أقرّ أحد الورثة بأخٍ أو أُخت فإنّما </w:t>
      </w:r>
      <w:r>
        <w:rPr>
          <w:rStyle w:val="FootnoteReference"/>
        </w:rPr>
        <w:footnoteReference w:id="4077"/>
      </w:r>
      <w:r>
        <w:rPr>
          <w:rFonts w:ascii="IRNazanin" w:hAnsi="IRNazanin" w:eastAsia="IRNazanin" w:cs="IRNazanin"/>
          <w:lang w:bidi="fa-IR"/>
          <w:color w:val="111111"/>
          <w:sz w:val="28"/>
          <w:szCs w:val="28"/>
          <w:rtl/>
        </w:rPr>
        <w:t xml:space="preserve">یلزمه ذلک فی حصّته.</w:t>
      </w:r>
    </w:p>
    <w:p>
      <w:pPr>
        <w:pStyle w:val="BookText"/>
      </w:pPr>
      <w:r>
        <w:rPr>
          <w:rFonts w:ascii="IRNazanin" w:hAnsi="IRNazanin" w:eastAsia="IRNazanin" w:cs="IRNazanin"/>
          <w:lang w:bidi="fa-IR"/>
          <w:color w:val="111111"/>
          <w:sz w:val="28"/>
          <w:szCs w:val="28"/>
          <w:rtl/>
        </w:rPr>
        <w:t xml:space="preserve">و بالإسناد،قال:«قال علی علیه السلام:من أقرّ لأخیه فهو شریک فی المال،و لا یثبت نسبه،فإن أقرّ اثنان فکذلک،إلّا أن یکونا عدلین، فیثبت نسبه و یضرب فی المیراث معهم» </w:t>
      </w:r>
      <w:r>
        <w:rPr>
          <w:rStyle w:val="FootnoteReference"/>
        </w:rPr>
        <w:footnoteReference w:id="40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529]
</w:t>
      </w:r>
    </w:p>
    <w:p>
      <w:pPr>
        <w:sectPr>
          <w:footerReference w:type="default" r:id="rId1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عن قرب الإسناد روایة الخبرین عن السندی بن محمّد </w:t>
      </w:r>
      <w:r>
        <w:rPr>
          <w:rStyle w:val="FootnoteReference"/>
        </w:rPr>
        <w:footnoteReference w:id="4079"/>
      </w:r>
      <w:r>
        <w:rPr>
          <w:rFonts w:ascii="IRNazanin" w:hAnsi="IRNazanin" w:eastAsia="IRNazanin" w:cs="IRNazanin"/>
          <w:lang w:bidi="fa-IR"/>
          <w:color w:val="111111"/>
          <w:sz w:val="28"/>
          <w:szCs w:val="28"/>
          <w:rtl/>
        </w:rPr>
        <w:t xml:space="preserve">،و تمام الکلام فی محلّه من کتاب الإقرار أو المیراث </w:t>
      </w:r>
      <w:r>
        <w:rPr>
          <w:rStyle w:val="FootnoteReference"/>
        </w:rPr>
        <w:footnoteReference w:id="4080"/>
      </w:r>
      <w:r>
        <w:rPr>
          <w:rFonts w:ascii="Amiri" w:hAnsi="Amiri" w:eastAsia="Amiri" w:cs="Amiri"/>
          <w:lang w:bidi="ar-SA"/>
          <w:color w:val="111111"/>
          <w:sz w:val="28"/>
          <w:szCs w:val="28"/>
          <w:rtl/>
        </w:rPr>
        <w:t xml:space="preserve">إن شاء اللّه.</w:t>
      </w:r>
    </w:p>
    <w:p>
      <w:pPr>
        <w:pStyle w:val="BookText"/>
      </w:pPr>
      <w:r>
        <w:rPr>
          <w:rFonts w:ascii="IRNazanin" w:hAnsi="IRNazanin" w:eastAsia="IRNazanin" w:cs="IRNazanin"/>
          <w:lang w:bidi="fa-IR"/>
          <w:color w:val="111111"/>
          <w:sz w:val="28"/>
          <w:szCs w:val="28"/>
          <w:rtl/>
        </w:rPr>
        <w:t xml:space="preserve">[شماره صفحه واقعی : 530]
</w:t>
      </w:r>
    </w:p>
    <w:p>
      <w:pPr>
        <w:sectPr>
          <w:footerReference w:type="default" r:id="rId1209"/>
          <w:footnotePr>
            <w:numStart w:val="1"/>
            <w:numRestart w:val="eachPage"/>
          </w:footnotePr>
          <w:pgSz w:orient="portrait" w:w="11905.511811023622" w:h="16837.79527559055"/>
          <w:pgMar w:top="1440" w:right="1440" w:bottom="1440" w:left="1440" w:header="720" w:footer="720" w:gutter="0"/>
          <w:cols w:num="1" w:space="720"/>
        </w:sectPr>
      </w:pPr>
    </w:p>
    <w:bookmarkStart w:id="685" w:name="pg14411_143591"/>
    <w:bookmarkEnd w:id="685"/>
    <w:p>
      <w:pPr>
        <w:pStyle w:val="Heading6"/>
      </w:pPr>
      <w:bookmarkStart w:id="2352" w:name="_Toc1387"/>
      <w:r>
        <w:t>مسألة : لو باع ما یقبل التملّک و ما لا یقبله</w:t>
      </w:r>
      <w:bookmarkEnd w:id="2352"/>
    </w:p>
    <w:p>
      <w:pPr>
        <w:pStyle w:val="BookText"/>
      </w:pPr>
      <w:r>
        <w:rPr>
          <w:rFonts w:ascii="IRNazanin" w:hAnsi="IRNazanin" w:eastAsia="IRNazanin" w:cs="IRNazanin"/>
          <w:lang w:bidi="fa-IR"/>
          <w:color w:val="111111"/>
          <w:sz w:val="28"/>
          <w:szCs w:val="28"/>
          <w:rtl/>
        </w:rPr>
        <w:t xml:space="preserve">کالخمر و الخنزیر-صفقةً بثمنٍ واحد،صحّ فی المملوک عندنا کما فی جامع المقاصد </w:t>
      </w:r>
      <w:r>
        <w:rPr>
          <w:rStyle w:val="FootnoteReference"/>
        </w:rPr>
        <w:footnoteReference w:id="4081"/>
      </w:r>
      <w:r>
        <w:rPr>
          <w:rFonts w:ascii="IRNazanin" w:hAnsi="IRNazanin" w:eastAsia="IRNazanin" w:cs="IRNazanin"/>
          <w:lang w:bidi="fa-IR"/>
          <w:color w:val="111111"/>
          <w:sz w:val="28"/>
          <w:szCs w:val="28"/>
          <w:rtl/>
        </w:rPr>
        <w:t xml:space="preserve">،و إجماعاً، کما عن الغنیة </w:t>
      </w:r>
      <w:r>
        <w:rPr>
          <w:rStyle w:val="FootnoteReference"/>
        </w:rPr>
        <w:footnoteReference w:id="4082"/>
      </w:r>
      <w:r>
        <w:rPr>
          <w:rFonts w:ascii="IRNazanin" w:hAnsi="IRNazanin" w:eastAsia="IRNazanin" w:cs="IRNazanin"/>
          <w:lang w:bidi="fa-IR"/>
          <w:color w:val="111111"/>
          <w:sz w:val="28"/>
          <w:szCs w:val="28"/>
          <w:rtl/>
        </w:rPr>
        <w:t xml:space="preserve">،و یدلّ علیه:إطلاق مکاتبة الصفّار المتقدّمة </w:t>
      </w:r>
      <w:r>
        <w:rPr>
          <w:rStyle w:val="FootnoteReference"/>
        </w:rPr>
        <w:footnoteReference w:id="40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دعوی:انصرافه إلی صورة کون بعض القریة المذکورة فیها مال الغیر،ممنوعة،بل لا مانع من جریان قاعدة الصحّة،بل اللزوم فی العقود،عدا ما یقال:من أنّ التراضی و التعاقد إنّما وقع علی المجموع الذی لم یمضه الشارع قطعاً،فالحکم بالإمضاء فی البعض مع عدم کونه مقصوداً إلّا فی ضمن المرکّب یحتاج إلی دلیلٍ آخر غیر ما دلّ علی حکم العقود و الشروط و التجارة عن تراضٍ؛و لذا حکموا بفساد العقد</w:t>
      </w:r>
    </w:p>
    <w:p>
      <w:pPr>
        <w:pStyle w:val="BookText"/>
      </w:pPr>
      <w:r>
        <w:rPr>
          <w:rFonts w:ascii="IRNazanin" w:hAnsi="IRNazanin" w:eastAsia="IRNazanin" w:cs="IRNazanin"/>
          <w:lang w:bidi="fa-IR"/>
          <w:color w:val="111111"/>
          <w:sz w:val="28"/>
          <w:szCs w:val="28"/>
          <w:rtl/>
        </w:rPr>
        <w:t xml:space="preserve">[شماره صفحه واقعی : 531]
</w:t>
      </w:r>
    </w:p>
    <w:p>
      <w:pPr>
        <w:sectPr>
          <w:footerReference w:type="default" r:id="rId1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بفساد شرطه،و قد نبّه علیه فی جامع المقاصد فی باب فساد الشرط، و ذکر:أنّ فی الفرق بین فساد الشرط و الجزء عسراً </w:t>
      </w:r>
      <w:r>
        <w:rPr>
          <w:rStyle w:val="FootnoteReference"/>
        </w:rPr>
        <w:footnoteReference w:id="4084"/>
      </w:r>
      <w:r>
        <w:rPr>
          <w:rFonts w:ascii="IRNazanin" w:hAnsi="IRNazanin" w:eastAsia="IRNazanin" w:cs="IRNazanin"/>
          <w:lang w:bidi="fa-IR"/>
          <w:color w:val="111111"/>
          <w:sz w:val="28"/>
          <w:szCs w:val="28"/>
          <w:rtl/>
        </w:rPr>
        <w:t xml:space="preserve">،و تمام الکلام فی باب الشروط،و یکفی هنا الفرق بالنصّ </w:t>
      </w:r>
      <w:r>
        <w:rPr>
          <w:rStyle w:val="FootnoteReference"/>
        </w:rPr>
        <w:footnoteReference w:id="4085"/>
      </w:r>
      <w:r>
        <w:rPr>
          <w:rFonts w:ascii="IRNazanin" w:hAnsi="IRNazanin" w:eastAsia="IRNazanin" w:cs="IRNazanin"/>
          <w:lang w:bidi="fa-IR"/>
          <w:color w:val="111111"/>
          <w:sz w:val="28"/>
          <w:szCs w:val="28"/>
          <w:rtl/>
        </w:rPr>
        <w:t xml:space="preserve">و الإجماع.</w:t>
      </w:r>
    </w:p>
    <w:p>
      <w:pPr>
        <w:pStyle w:val="BookText"/>
      </w:pPr>
      <w:r>
        <w:rPr>
          <w:rFonts w:ascii="IRNazanin" w:hAnsi="IRNazanin" w:eastAsia="IRNazanin" w:cs="IRNazanin"/>
          <w:lang w:bidi="fa-IR"/>
          <w:color w:val="111111"/>
          <w:sz w:val="28"/>
          <w:szCs w:val="28"/>
          <w:rtl/>
        </w:rPr>
        <w:t xml:space="preserve">نعم،ربما یقیّد الحکم بصورة جهل المشتری،لما ذکره فی المسالک -وفاقاً للمحکیّ فی التذکرة عن الشافعی-:من جهة إفضائه إلی الجهل بثمن المبیع </w:t>
      </w:r>
      <w:r>
        <w:rPr>
          <w:rStyle w:val="FootnoteReference"/>
        </w:rPr>
        <w:footnoteReference w:id="4086"/>
      </w:r>
      <w:r>
        <w:rPr>
          <w:rFonts w:ascii="IRNazanin" w:hAnsi="IRNazanin" w:eastAsia="IRNazanin" w:cs="IRNazanin"/>
          <w:lang w:bidi="fa-IR"/>
          <w:color w:val="111111"/>
          <w:sz w:val="28"/>
          <w:szCs w:val="28"/>
          <w:rtl/>
        </w:rPr>
        <w:t xml:space="preserve">،قال فی التذکرة بعد ذلک:و لیس عندی بعیداً من </w:t>
      </w:r>
      <w:r>
        <w:rPr>
          <w:rStyle w:val="FootnoteReference"/>
        </w:rPr>
        <w:footnoteReference w:id="4087"/>
      </w:r>
      <w:r>
        <w:rPr>
          <w:rFonts w:ascii="IRNazanin" w:hAnsi="IRNazanin" w:eastAsia="IRNazanin" w:cs="IRNazanin"/>
          <w:lang w:bidi="fa-IR"/>
          <w:color w:val="111111"/>
          <w:sz w:val="28"/>
          <w:szCs w:val="28"/>
          <w:rtl/>
        </w:rPr>
        <w:t xml:space="preserve">الصواب الحکم بالبطلان فیما إذا علم المشتری حریّة </w:t>
      </w:r>
      <w:r>
        <w:rPr>
          <w:rStyle w:val="FootnoteReference"/>
        </w:rPr>
        <w:footnoteReference w:id="4088"/>
      </w:r>
      <w:r>
        <w:rPr>
          <w:rFonts w:ascii="IRNazanin" w:hAnsi="IRNazanin" w:eastAsia="IRNazanin" w:cs="IRNazanin"/>
          <w:lang w:bidi="fa-IR"/>
          <w:color w:val="111111"/>
          <w:sz w:val="28"/>
          <w:szCs w:val="28"/>
          <w:rtl/>
        </w:rPr>
        <w:t xml:space="preserve">الآخر،أو کونه ممّا لا ینقل إلیه </w:t>
      </w:r>
      <w:r>
        <w:rPr>
          <w:rStyle w:val="FootnoteReference"/>
        </w:rPr>
        <w:footnoteReference w:id="4089"/>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یمکن دفعه بأنّ اللازم هو العلم بثمن المجموع الذی قصد إلی نقله عرفاً و إن علم الناقل بعدم إمضاء الشارع له،فإنّ هذا العلم غیر منافٍ لقصد النقل </w:t>
      </w:r>
      <w:r>
        <w:rPr>
          <w:rStyle w:val="FootnoteReference"/>
        </w:rPr>
        <w:footnoteReference w:id="4090"/>
      </w:r>
      <w:r>
        <w:rPr>
          <w:rFonts w:ascii="IRNazanin" w:hAnsi="IRNazanin" w:eastAsia="IRNazanin" w:cs="IRNazanin"/>
          <w:lang w:bidi="fa-IR"/>
          <w:color w:val="111111"/>
          <w:sz w:val="28"/>
          <w:szCs w:val="28"/>
          <w:rtl/>
        </w:rPr>
        <w:t xml:space="preserve">حقیقة،فبیع الغرر المتعلّق لنهی الشارع و حکمه علیه بالفساد،هو ما کان غرراً فی نفسه مع قطع النظر عمّا یحکم علیه من </w:t>
      </w:r>
      <w:r>
        <w:rPr>
          <w:rStyle w:val="FootnoteReference"/>
        </w:rPr>
        <w:footnoteReference w:id="4091"/>
      </w:r>
      <w:r>
        <w:rPr>
          <w:rFonts w:ascii="IRNazanin" w:hAnsi="IRNazanin" w:eastAsia="IRNazanin" w:cs="IRNazanin"/>
          <w:lang w:bidi="fa-IR"/>
          <w:color w:val="111111"/>
          <w:sz w:val="28"/>
          <w:szCs w:val="28"/>
          <w:rtl/>
        </w:rPr>
        <w:t xml:space="preserve">الشارع،مع أنّه لو تمّ ما ذکر لاقتضی صرف مجموع الثمن إلی</w:t>
      </w:r>
    </w:p>
    <w:p>
      <w:pPr>
        <w:pStyle w:val="BookText"/>
      </w:pPr>
      <w:r>
        <w:rPr>
          <w:rFonts w:ascii="IRNazanin" w:hAnsi="IRNazanin" w:eastAsia="IRNazanin" w:cs="IRNazanin"/>
          <w:lang w:bidi="fa-IR"/>
          <w:color w:val="111111"/>
          <w:sz w:val="28"/>
          <w:szCs w:val="28"/>
          <w:rtl/>
        </w:rPr>
        <w:t xml:space="preserve">[شماره صفحه واقعی : 532]
</w:t>
      </w:r>
    </w:p>
    <w:p>
      <w:pPr>
        <w:sectPr>
          <w:footerReference w:type="default" r:id="rId1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المملوک،لا البطلان؛لأنّ المشتری القادم علی ضمان المجموع بالثمن مع علمه بعدم سلامة البعض له قادم علی ضمان المملوک وحده بالثمن، کما صرّح به الشهید فی محکیّ الحواشی المنسوبة إلیه،حیث قال:إنّ هذا الحکم مقیّد بجهل المشتری بعین المبیع أو حکمه </w:t>
      </w:r>
      <w:r>
        <w:rPr>
          <w:rStyle w:val="FootnoteReference"/>
        </w:rPr>
        <w:footnoteReference w:id="4092"/>
      </w:r>
      <w:r>
        <w:rPr>
          <w:rFonts w:ascii="IRNazanin" w:hAnsi="IRNazanin" w:eastAsia="IRNazanin" w:cs="IRNazanin"/>
          <w:lang w:bidi="fa-IR"/>
          <w:color w:val="111111"/>
          <w:sz w:val="28"/>
          <w:szCs w:val="28"/>
          <w:rtl/>
        </w:rPr>
        <w:t xml:space="preserve">و إلّا لکان البذل بإزاء المملوک؛ضرورة أنّ القصد إلی الممتنع کلا قصد </w:t>
      </w:r>
      <w:r>
        <w:rPr>
          <w:rStyle w:val="FootnoteReference"/>
        </w:rPr>
        <w:footnoteReference w:id="4093"/>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[*ستوده]</w:t>
      </w:r>
    </w:p>
    <w:p>
      <w:pPr>
        <w:pStyle w:val="BookText"/>
      </w:pPr>
      <w:r>
        <w:rPr>
          <w:rFonts w:ascii="IRNazanin" w:hAnsi="IRNazanin" w:eastAsia="IRNazanin" w:cs="IRNazanin"/>
          <w:lang w:bidi="fa-IR"/>
          <w:color w:val="111111"/>
          <w:sz w:val="28"/>
          <w:szCs w:val="28"/>
          <w:rtl/>
        </w:rPr>
        <w:t xml:space="preserve">لکن ما ذکره قدّس سرّه مخالف لظاهر المشهور،حیث حکموا بالتقسیط و إن کان مناسباً لما ذکروه فی بیع مال الغیر من العالم:من عدم رجوعه بالثمن إلی البائع؛لأنّه سلّطه علیه مجّاناً،فإنّ مقتضی ذلک عدم رجوع المشتری بقسط غیر المملوک،إمّا لوقوع المجموع فی مقابل المملوک-کما عرفت من الحواشی-و إمّا لبقاء ذلک القسط له مجّاناً -کما قد یلوح من جامع المقاصد </w:t>
      </w:r>
      <w:r>
        <w:rPr>
          <w:rStyle w:val="FootnoteReference"/>
        </w:rPr>
        <w:footnoteReference w:id="4094"/>
      </w:r>
      <w:r>
        <w:rPr>
          <w:rFonts w:ascii="IRNazanin" w:hAnsi="IRNazanin" w:eastAsia="IRNazanin" w:cs="IRNazanin"/>
          <w:lang w:bidi="fa-IR"/>
          <w:color w:val="111111"/>
          <w:sz w:val="28"/>
          <w:szCs w:val="28"/>
          <w:rtl/>
        </w:rPr>
        <w:t xml:space="preserve">و المسالک </w:t>
      </w:r>
      <w:r>
        <w:rPr>
          <w:rStyle w:val="FootnoteReference"/>
        </w:rPr>
        <w:footnoteReference w:id="4095"/>
      </w:r>
      <w:r>
        <w:rPr>
          <w:rFonts w:ascii="Amiri" w:hAnsi="Amiri" w:eastAsia="Amiri" w:cs="Amiri"/>
          <w:lang w:bidi="ar-SA"/>
          <w:color w:val="111111"/>
          <w:sz w:val="28"/>
          <w:szCs w:val="28"/>
          <w:rtl/>
        </w:rPr>
        <w:t xml:space="preserve">-إلّا أنّک قد عرفت أنّ الحکم هناک </w:t>
      </w:r>
      <w:r>
        <w:rPr>
          <w:rStyle w:val="FootnoteReference"/>
        </w:rPr>
        <w:footnoteReference w:id="4096"/>
      </w:r>
      <w:r>
        <w:rPr>
          <w:rFonts w:ascii="IRNazanin" w:hAnsi="IRNazanin" w:eastAsia="IRNazanin" w:cs="IRNazanin"/>
          <w:lang w:bidi="fa-IR"/>
          <w:color w:val="111111"/>
          <w:sz w:val="28"/>
          <w:szCs w:val="28"/>
          <w:rtl/>
        </w:rPr>
        <w:t xml:space="preserve">لا یکاد ینطبق علی القواعد.</w:t>
      </w:r>
    </w:p>
    <w:p>
      <w:pPr>
        <w:pStyle w:val="BookText"/>
      </w:pPr>
      <w:r>
        <w:rPr>
          <w:rFonts w:ascii="IRNazanin" w:hAnsi="IRNazanin" w:eastAsia="IRNazanin" w:cs="IRNazanin"/>
          <w:lang w:bidi="fa-IR"/>
          <w:color w:val="111111"/>
          <w:sz w:val="28"/>
          <w:szCs w:val="28"/>
          <w:rtl/>
        </w:rPr>
        <w:t xml:space="preserve">ثمّ إنّ طریق تقسیط الثمن علی المملوک و غیره یعرف ممّا تقدّم فی بیع ماله مع </w:t>
      </w:r>
      <w:r>
        <w:rPr>
          <w:rStyle w:val="FootnoteReference"/>
        </w:rPr>
        <w:footnoteReference w:id="4097"/>
      </w:r>
      <w:r>
        <w:rPr>
          <w:rFonts w:ascii="IRNazanin" w:hAnsi="IRNazanin" w:eastAsia="IRNazanin" w:cs="IRNazanin"/>
          <w:lang w:bidi="fa-IR"/>
          <w:color w:val="111111"/>
          <w:sz w:val="28"/>
          <w:szCs w:val="28"/>
          <w:rtl/>
        </w:rPr>
        <w:t xml:space="preserve">مال الغیر </w:t>
      </w:r>
      <w:r>
        <w:rPr>
          <w:rStyle w:val="FootnoteReference"/>
        </w:rPr>
        <w:footnoteReference w:id="4098"/>
      </w:r>
      <w:r>
        <w:rPr>
          <w:rFonts w:ascii="IRNazanin" w:hAnsi="IRNazanin" w:eastAsia="IRNazanin" w:cs="IRNazanin"/>
          <w:lang w:bidi="fa-IR"/>
          <w:color w:val="111111"/>
          <w:sz w:val="28"/>
          <w:szCs w:val="28"/>
          <w:rtl/>
        </w:rPr>
        <w:t xml:space="preserve">:من أنّ العبرة بتقویم کلّ منهما منفرداً،</w:t>
      </w:r>
    </w:p>
    <w:p>
      <w:pPr>
        <w:pStyle w:val="BookText"/>
      </w:pPr>
      <w:r>
        <w:rPr>
          <w:rFonts w:ascii="IRNazanin" w:hAnsi="IRNazanin" w:eastAsia="IRNazanin" w:cs="IRNazanin"/>
          <w:lang w:bidi="fa-IR"/>
          <w:color w:val="111111"/>
          <w:sz w:val="28"/>
          <w:szCs w:val="28"/>
          <w:rtl/>
        </w:rPr>
        <w:t xml:space="preserve">[شماره صفحه واقعی : 533]
</w:t>
      </w:r>
    </w:p>
    <w:p>
      <w:pPr>
        <w:sectPr>
          <w:footerReference w:type="default" r:id="rId1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نسبة قیمة المملوک إلی مجموع القیمتین.</w:t>
      </w:r>
    </w:p>
    <w:p>
      <w:pPr>
        <w:pStyle w:val="BookText"/>
      </w:pPr>
      <w:r>
        <w:rPr>
          <w:rFonts w:ascii="IRNazanin" w:hAnsi="IRNazanin" w:eastAsia="IRNazanin" w:cs="IRNazanin"/>
          <w:lang w:bidi="fa-IR"/>
          <w:color w:val="111111"/>
          <w:sz w:val="28"/>
          <w:szCs w:val="28"/>
          <w:rtl/>
        </w:rPr>
        <w:t xml:space="preserve">لکنّ الکلام هنا فی طریق معرفة قیمة غیر المملوک،و قد ذکروا </w:t>
      </w:r>
      <w:r>
        <w:rPr>
          <w:rStyle w:val="FootnoteReference"/>
        </w:rPr>
        <w:footnoteReference w:id="4099"/>
      </w:r>
      <w:r>
        <w:rPr>
          <w:rFonts w:ascii="Amiri" w:hAnsi="Amiri" w:eastAsia="Amiri" w:cs="Amiri"/>
          <w:lang w:bidi="ar-SA"/>
          <w:color w:val="111111"/>
          <w:sz w:val="28"/>
          <w:szCs w:val="28"/>
          <w:rtl/>
        </w:rPr>
        <w:t xml:space="preserve">:أنّ الحرّ یُفرض عبداً بصفاته و یقوّم،و الخمر و الخنزیر </w:t>
      </w:r>
      <w:r>
        <w:rPr>
          <w:rStyle w:val="FootnoteReference"/>
        </w:rPr>
        <w:footnoteReference w:id="4100"/>
      </w:r>
      <w:r>
        <w:rPr>
          <w:rFonts w:ascii="IRNazanin" w:hAnsi="IRNazanin" w:eastAsia="IRNazanin" w:cs="IRNazanin"/>
          <w:lang w:bidi="fa-IR"/>
          <w:color w:val="111111"/>
          <w:sz w:val="28"/>
          <w:szCs w:val="28"/>
          <w:rtl/>
        </w:rPr>
        <w:t xml:space="preserve">یقوّمان بقیمتهما عند من یراهما مالاً،و یعرف تلک القیمة بشهادة عدلین مطّلعین علی ذلک؛لکونهما مسبوقین بالکفر أو مجاورین للکفّار.</w:t>
      </w:r>
    </w:p>
    <w:p>
      <w:pPr>
        <w:pStyle w:val="BookText"/>
      </w:pPr>
      <w:r>
        <w:rPr>
          <w:rFonts w:ascii="IRNazanin" w:hAnsi="IRNazanin" w:eastAsia="IRNazanin" w:cs="IRNazanin"/>
          <w:lang w:bidi="fa-IR"/>
          <w:color w:val="111111"/>
          <w:sz w:val="28"/>
          <w:szCs w:val="28"/>
          <w:rtl/>
        </w:rPr>
        <w:t xml:space="preserve">و یشکل تقویم الخمر و الخنزیر بقیمتهما إذا باع الخنزیر بعنوان أنّها </w:t>
      </w:r>
      <w:r>
        <w:rPr>
          <w:rStyle w:val="FootnoteReference"/>
        </w:rPr>
        <w:footnoteReference w:id="4101"/>
      </w:r>
      <w:r>
        <w:rPr>
          <w:rFonts w:ascii="IRNazanin" w:hAnsi="IRNazanin" w:eastAsia="IRNazanin" w:cs="IRNazanin"/>
          <w:lang w:bidi="fa-IR"/>
          <w:color w:val="111111"/>
          <w:sz w:val="28"/>
          <w:szCs w:val="28"/>
          <w:rtl/>
        </w:rPr>
        <w:t xml:space="preserve">شاة.و الخمر بعنوان أنّها خلّ فبان الخلاف،بل جزم بعضٌ هنا بوجوب تقویمهما قیمة الخلّ و الشاة،کالحرّ </w:t>
      </w:r>
      <w:r>
        <w:rPr>
          <w:rStyle w:val="FootnoteReference"/>
        </w:rPr>
        <w:footnoteReference w:id="41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534]
</w:t>
      </w:r>
    </w:p>
    <w:p>
      <w:pPr>
        <w:sectPr>
          <w:footerReference w:type="default" r:id="rId1213"/>
          <w:footnotePr>
            <w:numStart w:val="1"/>
            <w:numRestart w:val="eachPage"/>
          </w:footnotePr>
          <w:pgSz w:orient="portrait" w:w="11905.511811023622" w:h="16837.79527559055"/>
          <w:pgMar w:top="1440" w:right="1440" w:bottom="1440" w:left="1440" w:header="720" w:footer="720" w:gutter="0"/>
          <w:cols w:num="1" w:space="720"/>
        </w:sectPr>
      </w:pPr>
    </w:p>
    <w:bookmarkStart w:id="686" w:name="pg14411_143595"/>
    <w:bookmarkEnd w:id="686"/>
    <w:p>
      <w:pPr>
        <w:pStyle w:val="Heading6"/>
      </w:pPr>
      <w:bookmarkStart w:id="2353" w:name="_Toc1388"/>
      <w:r>
        <w:t>مسألة [فی ولایة الأب و الجدّ]</w:t>
      </w:r>
      <w:bookmarkEnd w:id="2353"/>
    </w:p>
    <w:p>
      <w:pPr>
        <w:pStyle w:val="BookText"/>
      </w:pPr>
      <w:r>
        <w:rPr>
          <w:rStyle w:val="FootnoteReference"/>
        </w:rPr>
        <w:footnoteReference w:id="4103"/>
      </w:r>
      <w:r>
        <w:rPr>
          <w:rFonts w:ascii="IRNazanin" w:hAnsi="IRNazanin" w:eastAsia="IRNazanin" w:cs="IRNazanin"/>
          <w:lang w:bidi="fa-IR"/>
          <w:color w:val="111111"/>
          <w:sz w:val="28"/>
          <w:szCs w:val="28"/>
          <w:rtl/>
        </w:rPr>
        <w:t xml:space="preserve">
یجوز للأب و الجدّ أن یتصرّفا فی مال الطفل بالبیع و الشراء.</w:t>
      </w:r>
    </w:p>
    <w:p>
      <w:pPr>
        <w:pStyle w:val="BookText"/>
      </w:pPr>
      <w:r>
        <w:rPr>
          <w:rFonts w:ascii="IRNazanin" w:hAnsi="IRNazanin" w:eastAsia="IRNazanin" w:cs="IRNazanin"/>
          <w:lang w:bidi="fa-IR"/>
          <w:color w:val="111111"/>
          <w:sz w:val="28"/>
          <w:szCs w:val="28"/>
          <w:rtl/>
        </w:rPr>
        <w:t xml:space="preserve">و یدلّ علیه-قبل الإجماع-:الأخبار المستفیضة المصرِّحة فی موارد کثیرة </w:t>
      </w:r>
      <w:r>
        <w:rPr>
          <w:rStyle w:val="FootnoteReference"/>
        </w:rPr>
        <w:footnoteReference w:id="4104"/>
      </w:r>
      <w:r>
        <w:rPr>
          <w:rFonts w:ascii="IRNazanin" w:hAnsi="IRNazanin" w:eastAsia="IRNazanin" w:cs="IRNazanin"/>
          <w:lang w:bidi="fa-IR"/>
          <w:color w:val="111111"/>
          <w:sz w:val="28"/>
          <w:szCs w:val="28"/>
          <w:rtl/>
        </w:rPr>
        <w:t xml:space="preserve">،و فحوی سلطنتهما علی بُضْع البنت فی باب النکاح </w:t>
      </w:r>
      <w:r>
        <w:rPr>
          <w:rStyle w:val="FootnoteReference"/>
        </w:rPr>
        <w:footnoteReference w:id="41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المشهور عدم اعتبار العدالة؛للأصل،و الإطلاقات،و فحوی الإجماع المحکی عن التذکرة علی ولایة الفاسق فی التزویج </w:t>
      </w:r>
      <w:r>
        <w:rPr>
          <w:rStyle w:val="FootnoteReference"/>
        </w:rPr>
        <w:footnoteReference w:id="41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خلافاً للمحکیّ عن الوسیلة </w:t>
      </w:r>
      <w:r>
        <w:rPr>
          <w:rStyle w:val="FootnoteReference"/>
        </w:rPr>
        <w:footnoteReference w:id="4107"/>
      </w:r>
      <w:r>
        <w:rPr>
          <w:rFonts w:ascii="IRNazanin" w:hAnsi="IRNazanin" w:eastAsia="IRNazanin" w:cs="IRNazanin"/>
          <w:lang w:bidi="fa-IR"/>
          <w:color w:val="111111"/>
          <w:sz w:val="28"/>
          <w:szCs w:val="28"/>
          <w:rtl/>
        </w:rPr>
        <w:t xml:space="preserve">و الإیضاح </w:t>
      </w:r>
      <w:r>
        <w:rPr>
          <w:rStyle w:val="FootnoteReference"/>
        </w:rPr>
        <w:footnoteReference w:id="4108"/>
      </w:r>
      <w:r>
        <w:rPr>
          <w:rFonts w:ascii="IRNazanin" w:hAnsi="IRNazanin" w:eastAsia="IRNazanin" w:cs="IRNazanin"/>
          <w:lang w:bidi="fa-IR"/>
          <w:color w:val="111111"/>
          <w:sz w:val="28"/>
          <w:szCs w:val="28"/>
          <w:rtl/>
        </w:rPr>
        <w:t xml:space="preserve">فاعتبراها فیهما؛</w:t>
      </w:r>
    </w:p>
    <w:p>
      <w:pPr>
        <w:pStyle w:val="BookText"/>
      </w:pPr>
      <w:r>
        <w:rPr>
          <w:rFonts w:ascii="IRNazanin" w:hAnsi="IRNazanin" w:eastAsia="IRNazanin" w:cs="IRNazanin"/>
          <w:lang w:bidi="fa-IR"/>
          <w:color w:val="111111"/>
          <w:sz w:val="28"/>
          <w:szCs w:val="28"/>
          <w:rtl/>
        </w:rPr>
        <w:t xml:space="preserve">[شماره صفحه واقعی : 535]
</w:t>
      </w:r>
    </w:p>
    <w:p>
      <w:pPr>
        <w:sectPr>
          <w:footerReference w:type="default" r:id="rId1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مستدلاً فی الأخیر:بأنّها ولایة علی من لا یدفع عن نفسه و لا یصرف عن ماله،و یستحیل من حکمة الصانع أن یجعل الفاسق أمیناً یقبل إقراراته </w:t>
      </w:r>
      <w:r>
        <w:rPr>
          <w:rStyle w:val="FootnoteReference"/>
        </w:rPr>
        <w:footnoteReference w:id="4109"/>
      </w:r>
      <w:r>
        <w:rPr>
          <w:rFonts w:ascii="IRNazanin" w:hAnsi="IRNazanin" w:eastAsia="IRNazanin" w:cs="IRNazanin"/>
          <w:lang w:bidi="fa-IR"/>
          <w:color w:val="111111"/>
          <w:sz w:val="28"/>
          <w:szCs w:val="28"/>
          <w:rtl/>
        </w:rPr>
        <w:t xml:space="preserve">و إخباراته عن </w:t>
      </w:r>
      <w:r>
        <w:rPr>
          <w:rStyle w:val="FootnoteReference"/>
        </w:rPr>
        <w:footnoteReference w:id="4110"/>
      </w:r>
      <w:r>
        <w:rPr>
          <w:rFonts w:ascii="IRNazanin" w:hAnsi="IRNazanin" w:eastAsia="IRNazanin" w:cs="IRNazanin"/>
          <w:lang w:bidi="fa-IR"/>
          <w:color w:val="111111"/>
          <w:sz w:val="28"/>
          <w:szCs w:val="28"/>
          <w:rtl/>
        </w:rPr>
        <w:t xml:space="preserve">غیره مع نصّ القرآن علی خلافه،انتهی </w:t>
      </w:r>
      <w:r>
        <w:rPr>
          <w:rStyle w:val="FootnoteReference"/>
        </w:rPr>
        <w:footnoteReference w:id="41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لعلّه أراد بنصّ القرآن آیة الرکون إلی الظالم </w:t>
      </w:r>
      <w:r>
        <w:rPr>
          <w:rStyle w:val="FootnoteReference"/>
        </w:rPr>
        <w:footnoteReference w:id="4112"/>
      </w:r>
      <w:r>
        <w:rPr>
          <w:rFonts w:ascii="IRNazanin" w:hAnsi="IRNazanin" w:eastAsia="IRNazanin" w:cs="IRNazanin"/>
          <w:lang w:bidi="fa-IR"/>
          <w:color w:val="111111"/>
          <w:sz w:val="28"/>
          <w:szCs w:val="28"/>
          <w:rtl/>
        </w:rPr>
        <w:t xml:space="preserve">التی أشار إلیها فی جامع المقاصد </w:t>
      </w:r>
      <w:r>
        <w:rPr>
          <w:rStyle w:val="FootnoteReference"/>
        </w:rPr>
        <w:footnoteReference w:id="4113"/>
      </w:r>
      <w:r>
        <w:rPr>
          <w:rFonts w:ascii="IRNazanin" w:hAnsi="IRNazanin" w:eastAsia="IRNazanin" w:cs="IRNazanin"/>
          <w:lang w:bidi="fa-IR"/>
          <w:color w:val="111111"/>
          <w:sz w:val="28"/>
          <w:szCs w:val="28"/>
          <w:rtl/>
        </w:rPr>
        <w:t xml:space="preserve">،و فی دلالة الآیة نظر.</w:t>
      </w:r>
    </w:p>
    <w:p>
      <w:pPr>
        <w:pStyle w:val="BookText"/>
      </w:pPr>
      <w:r>
        <w:rPr>
          <w:rFonts w:ascii="IRNazanin" w:hAnsi="IRNazanin" w:eastAsia="IRNazanin" w:cs="IRNazanin"/>
          <w:lang w:bidi="fa-IR"/>
          <w:color w:val="111111"/>
          <w:sz w:val="28"/>
          <w:szCs w:val="28"/>
          <w:rtl/>
        </w:rPr>
        <w:t xml:space="preserve">و أضعف منها ما ذکره فی الإیضاح من الاستحالة؛إذ المحذور یندفع-کما فی جامع المقاصد-:بأنّ الحاکم متی ظهر عنده بقرائن الأحوال اختلال </w:t>
      </w:r>
      <w:r>
        <w:rPr>
          <w:rStyle w:val="FootnoteReference"/>
        </w:rPr>
        <w:footnoteReference w:id="4114"/>
      </w:r>
      <w:r>
        <w:rPr>
          <w:rFonts w:ascii="IRNazanin" w:hAnsi="IRNazanin" w:eastAsia="IRNazanin" w:cs="IRNazanin"/>
          <w:lang w:bidi="fa-IR"/>
          <w:color w:val="111111"/>
          <w:sz w:val="28"/>
          <w:szCs w:val="28"/>
          <w:rtl/>
        </w:rPr>
        <w:t xml:space="preserve">حال </w:t>
      </w:r>
      <w:r>
        <w:rPr>
          <w:rStyle w:val="FootnoteReference"/>
        </w:rPr>
        <w:footnoteReference w:id="4115"/>
      </w:r>
      <w:r>
        <w:rPr>
          <w:rFonts w:ascii="IRNazanin" w:hAnsi="IRNazanin" w:eastAsia="IRNazanin" w:cs="IRNazanin"/>
          <w:lang w:bidi="fa-IR"/>
          <w:color w:val="111111"/>
          <w:sz w:val="28"/>
          <w:szCs w:val="28"/>
          <w:rtl/>
        </w:rPr>
        <w:t xml:space="preserve">الطفل عزله و منعه من التصرّف فی ماله و إثبات الید علیه،و إن لم یظهر خلافه فولایته ثابتة،و إن لم یعلم استعلم حاله بالاجتهاد و تتبّع سلوکه و شواهد أحواله </w:t>
      </w:r>
      <w:r>
        <w:rPr>
          <w:rStyle w:val="FootnoteReference"/>
        </w:rPr>
        <w:footnoteReference w:id="4116"/>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هل یشترط فی تصرّفه </w:t>
      </w:r>
      <w:r>
        <w:rPr>
          <w:rStyle w:val="FootnoteReference"/>
        </w:rPr>
        <w:footnoteReference w:id="4117"/>
      </w:r>
      <w:r>
        <w:rPr>
          <w:rFonts w:ascii="IRNazanin" w:hAnsi="IRNazanin" w:eastAsia="IRNazanin" w:cs="IRNazanin"/>
          <w:lang w:bidi="fa-IR"/>
          <w:color w:val="111111"/>
          <w:sz w:val="28"/>
          <w:szCs w:val="28"/>
          <w:rtl/>
        </w:rPr>
        <w:t xml:space="preserve">المصلحة،أو یکفی عدم المفسدة،</w:t>
      </w:r>
    </w:p>
    <w:p>
      <w:pPr>
        <w:pStyle w:val="BookText"/>
      </w:pPr>
      <w:r>
        <w:rPr>
          <w:rFonts w:ascii="IRNazanin" w:hAnsi="IRNazanin" w:eastAsia="IRNazanin" w:cs="IRNazanin"/>
          <w:lang w:bidi="fa-IR"/>
          <w:color w:val="111111"/>
          <w:sz w:val="28"/>
          <w:szCs w:val="28"/>
          <w:rtl/>
        </w:rPr>
        <w:t xml:space="preserve">[شماره صفحه واقعی : 536]
</w:t>
      </w:r>
    </w:p>
    <w:p>
      <w:pPr>
        <w:sectPr>
          <w:footerReference w:type="default" r:id="rId1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 لا یعتبر شیء؟وجوه،یشهد للأخیر:إطلاق ما دلّ علی أنّ مال الولد للوالد،کما فی روایة سعد بن یسار </w:t>
      </w:r>
      <w:r>
        <w:rPr>
          <w:rStyle w:val="FootnoteReference"/>
        </w:rPr>
        <w:footnoteReference w:id="4118"/>
      </w:r>
      <w:r>
        <w:rPr>
          <w:rFonts w:ascii="IRNazanin" w:hAnsi="IRNazanin" w:eastAsia="IRNazanin" w:cs="IRNazanin"/>
          <w:lang w:bidi="fa-IR"/>
          <w:color w:val="111111"/>
          <w:sz w:val="28"/>
          <w:szCs w:val="28"/>
          <w:rtl/>
        </w:rPr>
        <w:t xml:space="preserve">،و أنّه و ماله لأبیه،کما فی النبویّ المشهور </w:t>
      </w:r>
      <w:r>
        <w:rPr>
          <w:rStyle w:val="FootnoteReference"/>
        </w:rPr>
        <w:footnoteReference w:id="4119"/>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[*ستوده]</w:t>
      </w:r>
    </w:p>
    <w:p>
      <w:pPr>
        <w:pStyle w:val="BookText"/>
      </w:pPr>
      <w:r>
        <w:rPr>
          <w:rFonts w:ascii="IRNazanin" w:hAnsi="IRNazanin" w:eastAsia="IRNazanin" w:cs="IRNazanin"/>
          <w:lang w:bidi="fa-IR"/>
          <w:color w:val="111111"/>
          <w:sz w:val="28"/>
          <w:szCs w:val="28"/>
          <w:rtl/>
        </w:rPr>
        <w:t xml:space="preserve">و صحیحة ابن مسلم:«أنّ الوالد یأخذ من مال ولده ما شاء» </w:t>
      </w:r>
      <w:r>
        <w:rPr>
          <w:rStyle w:val="FootnoteReference"/>
        </w:rPr>
        <w:footnoteReference w:id="4120"/>
      </w:r>
      <w:r>
        <w:rPr>
          <w:rFonts w:ascii="IRNazanin" w:hAnsi="IRNazanin" w:eastAsia="IRNazanin" w:cs="IRNazanin"/>
          <w:lang w:bidi="fa-IR"/>
          <w:color w:val="111111"/>
          <w:sz w:val="28"/>
          <w:szCs w:val="28"/>
          <w:rtl/>
        </w:rPr>
        <w:t xml:space="preserve">،و ما فی العلل عن </w:t>
      </w:r>
      <w:r>
        <w:rPr>
          <w:rStyle w:val="FootnoteReference"/>
        </w:rPr>
        <w:footnoteReference w:id="4121"/>
      </w:r>
      <w:r>
        <w:rPr>
          <w:rFonts w:ascii="IRNazanin" w:hAnsi="IRNazanin" w:eastAsia="IRNazanin" w:cs="IRNazanin"/>
          <w:lang w:bidi="fa-IR"/>
          <w:color w:val="111111"/>
          <w:sz w:val="28"/>
          <w:szCs w:val="28"/>
          <w:rtl/>
        </w:rPr>
        <w:t xml:space="preserve">محمد بن سنان عن الرضا صلوات اللّٰه علیه:</w:t>
      </w:r>
    </w:p>
    <w:p>
      <w:pPr>
        <w:pStyle w:val="BookText"/>
      </w:pPr>
      <w:r>
        <w:rPr>
          <w:rFonts w:ascii="Amiri" w:hAnsi="Amiri" w:eastAsia="Amiri" w:cs="Amiri"/>
          <w:lang w:bidi="ar-SA"/>
          <w:color w:val="111111"/>
          <w:sz w:val="28"/>
          <w:szCs w:val="28"/>
          <w:rtl/>
        </w:rPr>
        <w:t xml:space="preserve">من أنّ علّة تحلیل مال الولد لوالده؛أنّ الولد موهوب للوالد فی قوله تعالی: یَهَبُ لِمَنْ یَشٰاءُ إِنٰاثاً وَ یَهَبُ لِمَنْ یَشٰاءُ الذُّکُورَ </w:t>
      </w:r>
      <w:r>
        <w:rPr>
          <w:rStyle w:val="FootnoteReference"/>
        </w:rPr>
        <w:footnoteReference w:id="4122"/>
      </w:r>
      <w:r>
        <w:rPr>
          <w:rFonts w:ascii="IRNazanin" w:hAnsi="IRNazanin" w:eastAsia="IRNazanin" w:cs="IRNazanin"/>
          <w:lang w:bidi="fa-IR"/>
          <w:color w:val="111111"/>
          <w:sz w:val="28"/>
          <w:szCs w:val="28"/>
          <w:rtl/>
        </w:rPr>
        <w:t xml:space="preserve">.و یؤیّده أخبار </w:t>
      </w:r>
      <w:r>
        <w:rPr>
          <w:rStyle w:val="FootnoteReference"/>
        </w:rPr>
        <w:footnoteReference w:id="4123"/>
      </w:r>
      <w:r>
        <w:rPr>
          <w:rFonts w:ascii="IRNazanin" w:hAnsi="IRNazanin" w:eastAsia="IRNazanin" w:cs="IRNazanin"/>
          <w:lang w:bidi="fa-IR"/>
          <w:color w:val="111111"/>
          <w:sz w:val="28"/>
          <w:szCs w:val="28"/>
          <w:rtl/>
        </w:rPr>
        <w:t xml:space="preserve">جواز تقویم جاریة الابن علی نفسه.</w:t>
      </w:r>
    </w:p>
    <w:p>
      <w:pPr>
        <w:pStyle w:val="BookText"/>
      </w:pPr>
      <w:r>
        <w:rPr>
          <w:rFonts w:ascii="IRNazanin" w:hAnsi="IRNazanin" w:eastAsia="IRNazanin" w:cs="IRNazanin"/>
          <w:lang w:bidi="fa-IR"/>
          <w:color w:val="111111"/>
          <w:sz w:val="28"/>
          <w:szCs w:val="28"/>
          <w:rtl/>
        </w:rPr>
        <w:t xml:space="preserve">لکن الظاهر منها تقییدها بصورة حاجة الأب،کما یشهد له قوله علیه السلام فی روایة الحسین بن أبی العلاء،قال:«قلت لأبی عبد اللّٰه علیه السلام:ما یحلّ للرجل من مال ولده؟قال:قوته بغیر سرف إذا اضطرّ إلیه.قال:فقلت له:فقول </w:t>
      </w:r>
      <w:r>
        <w:rPr>
          <w:rStyle w:val="FootnoteReference"/>
        </w:rPr>
        <w:footnoteReference w:id="4124"/>
      </w:r>
      <w:r>
        <w:rPr>
          <w:rFonts w:ascii="IRNazanin" w:hAnsi="IRNazanin" w:eastAsia="IRNazanin" w:cs="IRNazanin"/>
          <w:lang w:bidi="fa-IR"/>
          <w:color w:val="111111"/>
          <w:sz w:val="28"/>
          <w:szCs w:val="28"/>
          <w:rtl/>
        </w:rPr>
        <w:t xml:space="preserve">رسول اللّٰه صلّی اللّٰه علیه و آله للرجل الذی أتاه فقدّم أباه،فقال له:أنت و مالک لأبیک؟فقال:إنّما جاء بأبیه</w:t>
      </w:r>
    </w:p>
    <w:p>
      <w:pPr>
        <w:pStyle w:val="BookText"/>
      </w:pPr>
      <w:r>
        <w:rPr>
          <w:rFonts w:ascii="IRNazanin" w:hAnsi="IRNazanin" w:eastAsia="IRNazanin" w:cs="IRNazanin"/>
          <w:lang w:bidi="fa-IR"/>
          <w:color w:val="111111"/>
          <w:sz w:val="28"/>
          <w:szCs w:val="28"/>
          <w:rtl/>
        </w:rPr>
        <w:t xml:space="preserve">[شماره صفحه واقعی : 537]
</w:t>
      </w:r>
    </w:p>
    <w:p>
      <w:pPr>
        <w:sectPr>
          <w:footerReference w:type="default" r:id="rId1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إلی النبیّ صلّی اللّٰه علیه و آله،فقال:یا رسول اللّٰه هذا أبی و قد </w:t>
      </w:r>
      <w:r>
        <w:rPr>
          <w:rStyle w:val="FootnoteReference"/>
        </w:rPr>
        <w:footnoteReference w:id="4125"/>
      </w:r>
      <w:r>
        <w:rPr>
          <w:rFonts w:ascii="IRNazanin" w:hAnsi="IRNazanin" w:eastAsia="IRNazanin" w:cs="IRNazanin"/>
          <w:lang w:bidi="fa-IR"/>
          <w:color w:val="111111"/>
          <w:sz w:val="28"/>
          <w:szCs w:val="28"/>
          <w:rtl/>
        </w:rPr>
        <w:t xml:space="preserve">ظلمنی میراثی من أُمّی،فأخبره الأب أنّه قد أنفقه علیه و علی نفسه،فقال </w:t>
      </w:r>
      <w:r>
        <w:rPr>
          <w:rStyle w:val="FootnoteReference"/>
        </w:rPr>
        <w:footnoteReference w:id="4126"/>
      </w:r>
      <w:r>
        <w:rPr>
          <w:rFonts w:ascii="Amiri" w:hAnsi="Amiri" w:eastAsia="Amiri" w:cs="Amiri"/>
          <w:lang w:bidi="ar-SA"/>
          <w:color w:val="111111"/>
          <w:sz w:val="28"/>
          <w:szCs w:val="28"/>
          <w:rtl/>
        </w:rPr>
        <w:t xml:space="preserve">صلّی اللّٰه علیه و آله:</w:t>
      </w:r>
    </w:p>
    <w:p>
      <w:pPr>
        <w:pStyle w:val="BookText"/>
      </w:pPr>
      <w:r>
        <w:rPr>
          <w:rFonts w:ascii="IRNazanin" w:hAnsi="IRNazanin" w:eastAsia="IRNazanin" w:cs="IRNazanin"/>
          <w:lang w:bidi="fa-IR"/>
          <w:color w:val="111111"/>
          <w:sz w:val="28"/>
          <w:szCs w:val="28"/>
          <w:rtl/>
        </w:rPr>
        <w:t xml:space="preserve">أنت و مالک لأبیک.و لم یکن عند الرجل شیء،أ فکان </w:t>
      </w:r>
      <w:r>
        <w:rPr>
          <w:rStyle w:val="FootnoteReference"/>
        </w:rPr>
        <w:footnoteReference w:id="4127"/>
      </w:r>
      <w:r>
        <w:rPr>
          <w:rFonts w:ascii="Amiri" w:hAnsi="Amiri" w:eastAsia="Amiri" w:cs="Amiri"/>
          <w:lang w:bidi="ar-SA"/>
          <w:color w:val="111111"/>
          <w:sz w:val="28"/>
          <w:szCs w:val="28"/>
          <w:rtl/>
        </w:rPr>
        <w:t xml:space="preserve">رسول اللّٰه صلّی اللّٰه علیه و آله یحبس الأب للابن؟!» </w:t>
      </w:r>
      <w:r>
        <w:rPr>
          <w:rStyle w:val="FootnoteReference"/>
        </w:rPr>
        <w:footnoteReference w:id="41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نحوها صحیحة أبی حمزة الثمالی عن أبی جعفر علیه السلام:«قال:</w:t>
      </w:r>
    </w:p>
    <w:p>
      <w:pPr>
        <w:pStyle w:val="BookText"/>
      </w:pPr>
      <w:r>
        <w:rPr>
          <w:rFonts w:ascii="Amiri" w:hAnsi="Amiri" w:eastAsia="Amiri" w:cs="Amiri"/>
          <w:lang w:bidi="ar-SA"/>
          <w:color w:val="111111"/>
          <w:sz w:val="28"/>
          <w:szCs w:val="28"/>
          <w:rtl/>
        </w:rPr>
        <w:t xml:space="preserve">قال رسول اللّٰه صلّی اللّٰه علیه و آله لرجل </w:t>
      </w:r>
      <w:r>
        <w:rPr>
          <w:rStyle w:val="FootnoteReference"/>
        </w:rPr>
        <w:footnoteReference w:id="4129"/>
      </w:r>
      <w:r>
        <w:rPr>
          <w:rFonts w:ascii="IRNazanin" w:hAnsi="IRNazanin" w:eastAsia="IRNazanin" w:cs="IRNazanin"/>
          <w:lang w:bidi="fa-IR"/>
          <w:color w:val="111111"/>
          <w:sz w:val="28"/>
          <w:szCs w:val="28"/>
          <w:rtl/>
        </w:rPr>
        <w:t xml:space="preserve">:أنت و مالک لأبیک،ثمّ قال:</w:t>
      </w:r>
    </w:p>
    <w:p>
      <w:pPr>
        <w:pStyle w:val="BookText"/>
      </w:pPr>
      <w:r>
        <w:rPr>
          <w:rFonts w:ascii="Amiri" w:hAnsi="Amiri" w:eastAsia="Amiri" w:cs="Amiri"/>
          <w:lang w:bidi="ar-SA"/>
          <w:color w:val="111111"/>
          <w:sz w:val="28"/>
          <w:szCs w:val="28"/>
          <w:rtl/>
        </w:rPr>
        <w:t xml:space="preserve">لا نحبّ </w:t>
      </w:r>
      <w:r>
        <w:rPr>
          <w:rStyle w:val="FootnoteReference"/>
        </w:rPr>
        <w:footnoteReference w:id="4130"/>
      </w:r>
      <w:r>
        <w:rPr>
          <w:rFonts w:ascii="Amiri" w:hAnsi="Amiri" w:eastAsia="Amiri" w:cs="Amiri"/>
          <w:lang w:bidi="ar-SA"/>
          <w:color w:val="111111"/>
          <w:sz w:val="28"/>
          <w:szCs w:val="28"/>
          <w:rtl/>
        </w:rPr>
        <w:t xml:space="preserve">أن یأخذ من مال ابنه إلّا ما یحتاج إلیه ممّا لا بدّ منه؛ إنَّ اَللّٰهُ لاٰ یُحِبُّ الْفَسٰادَ » </w:t>
      </w:r>
      <w:r>
        <w:rPr>
          <w:rStyle w:val="FootnoteReference"/>
        </w:rPr>
        <w:footnoteReference w:id="41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الاستشهاد بالآیة یدلّ علی إرادة الحرمة من عدم الحبّ دون الکراهة،و أنّه لا یجوز له التصرّف بما فیه مفسدة للطفل.</w:t>
      </w:r>
    </w:p>
    <w:p>
      <w:pPr>
        <w:pStyle w:val="BookText"/>
      </w:pPr>
      <w:r>
        <w:rPr>
          <w:rFonts w:ascii="Amiri" w:hAnsi="Amiri" w:eastAsia="Amiri" w:cs="Amiri"/>
          <w:lang w:bidi="ar-SA"/>
          <w:color w:val="111111"/>
          <w:sz w:val="28"/>
          <w:szCs w:val="28"/>
          <w:rtl/>
        </w:rPr>
        <w:t xml:space="preserve">هذا کلّه،مضافاً إلی عموم قوله تعالی: وَ لاٰ تَقْرَبُوا مٰالَ الْیَتِیمِ إِلاّٰ بِالَّتِی هِیَ أَحْسَنُ </w:t>
      </w:r>
      <w:r>
        <w:rPr>
          <w:rStyle w:val="FootnoteReference"/>
        </w:rPr>
        <w:footnoteReference w:id="4132"/>
      </w:r>
      <w:r>
        <w:rPr>
          <w:rFonts w:ascii="IRNazanin" w:hAnsi="IRNazanin" w:eastAsia="IRNazanin" w:cs="IRNazanin"/>
          <w:lang w:bidi="fa-IR"/>
          <w:color w:val="111111"/>
          <w:sz w:val="28"/>
          <w:szCs w:val="28"/>
          <w:rtl/>
        </w:rPr>
        <w:t xml:space="preserve">فإنّ إطلاقه یشمل الجدّ،و یتمّ فی الأب </w:t>
      </w:r>
      <w:r>
        <w:rPr>
          <w:rStyle w:val="FootnoteReference"/>
        </w:rPr>
        <w:footnoteReference w:id="4133"/>
      </w:r>
      <w:r>
        <w:rPr>
          <w:rFonts w:ascii="IRNazanin" w:hAnsi="IRNazanin" w:eastAsia="IRNazanin" w:cs="IRNazanin"/>
          <w:lang w:bidi="fa-IR"/>
          <w:color w:val="111111"/>
          <w:sz w:val="28"/>
          <w:szCs w:val="28"/>
          <w:rtl/>
        </w:rPr>
        <w:t xml:space="preserve">بعدم الفصل.</w:t>
      </w:r>
    </w:p>
    <w:p>
      <w:pPr>
        <w:pStyle w:val="BookText"/>
      </w:pPr>
      <w:r>
        <w:rPr>
          <w:rFonts w:ascii="IRNazanin" w:hAnsi="IRNazanin" w:eastAsia="IRNazanin" w:cs="IRNazanin"/>
          <w:lang w:bidi="fa-IR"/>
          <w:color w:val="111111"/>
          <w:sz w:val="28"/>
          <w:szCs w:val="28"/>
          <w:rtl/>
        </w:rPr>
        <w:t xml:space="preserve">[شماره صفحه واقعی : 538]
</w:t>
      </w:r>
    </w:p>
    <w:p>
      <w:pPr>
        <w:sectPr>
          <w:footerReference w:type="default" r:id="rId1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مضافاً إلی ظهور الإجماع علی اعتبار عدم المفسدة،بل فی مفتاح الکرامة </w:t>
      </w:r>
      <w:r>
        <w:rPr>
          <w:rStyle w:val="FootnoteReference"/>
        </w:rPr>
        <w:footnoteReference w:id="4134"/>
      </w:r>
      <w:r>
        <w:rPr>
          <w:rFonts w:ascii="IRNazanin" w:hAnsi="IRNazanin" w:eastAsia="IRNazanin" w:cs="IRNazanin"/>
          <w:lang w:bidi="fa-IR"/>
          <w:color w:val="111111"/>
          <w:sz w:val="28"/>
          <w:szCs w:val="28"/>
          <w:rtl/>
        </w:rPr>
        <w:t xml:space="preserve">استظهر الإجماع-تبعاً لشیخه فی شرح القواعد </w:t>
      </w:r>
      <w:r>
        <w:rPr>
          <w:rStyle w:val="FootnoteReference"/>
        </w:rPr>
        <w:footnoteReference w:id="4135"/>
      </w:r>
      <w:r>
        <w:rPr>
          <w:rFonts w:ascii="IRNazanin" w:hAnsi="IRNazanin" w:eastAsia="IRNazanin" w:cs="IRNazanin"/>
          <w:lang w:bidi="fa-IR"/>
          <w:color w:val="111111"/>
          <w:sz w:val="28"/>
          <w:szCs w:val="28"/>
          <w:rtl/>
        </w:rPr>
        <w:t xml:space="preserve">-علی إناطة جواز تصرّف الولیّ بالمصلحة،و لیس ببعید؛فقد صرّح به فی محکیّ المبسوط،حیث قال:و من یلی أمر الصغیر و المجنون خمسة:</w:t>
      </w:r>
    </w:p>
    <w:p>
      <w:pPr>
        <w:pStyle w:val="BookText"/>
      </w:pPr>
      <w:r>
        <w:rPr>
          <w:rFonts w:ascii="IRNazanin" w:hAnsi="IRNazanin" w:eastAsia="IRNazanin" w:cs="IRNazanin"/>
          <w:lang w:bidi="fa-IR"/>
          <w:color w:val="111111"/>
          <w:sz w:val="28"/>
          <w:szCs w:val="28"/>
          <w:rtl/>
        </w:rPr>
        <w:t xml:space="preserve">الأب،و الجدّ </w:t>
      </w:r>
      <w:r>
        <w:rPr>
          <w:rStyle w:val="FootnoteReference"/>
        </w:rPr>
        <w:footnoteReference w:id="4136"/>
      </w:r>
      <w:r>
        <w:rPr>
          <w:rFonts w:ascii="IRNazanin" w:hAnsi="IRNazanin" w:eastAsia="IRNazanin" w:cs="IRNazanin"/>
          <w:lang w:bidi="fa-IR"/>
          <w:color w:val="111111"/>
          <w:sz w:val="28"/>
          <w:szCs w:val="28"/>
          <w:rtl/>
        </w:rPr>
        <w:t xml:space="preserve">،و وصیّ الأب و الجدّ،و الحاکم،و من یأمره،ثمّ قال:</w:t>
      </w:r>
    </w:p>
    <w:p>
      <w:pPr>
        <w:pStyle w:val="BookText"/>
      </w:pPr>
      <w:r>
        <w:rPr>
          <w:rFonts w:ascii="IRNazanin" w:hAnsi="IRNazanin" w:eastAsia="IRNazanin" w:cs="IRNazanin"/>
          <w:lang w:bidi="fa-IR"/>
          <w:color w:val="111111"/>
          <w:sz w:val="28"/>
          <w:szCs w:val="28"/>
          <w:rtl/>
        </w:rPr>
        <w:t xml:space="preserve">و کلّ هؤلاء الخمسة لا یصحّ تصرّفهم إلّا علی وجه الاحتیاط و الحظّ للصغیر؛لأنّهم إنّما نُصبوا لذلک،فإذا تصرّف فیه علی وجهٍ لا حظّ فیه کان باطلاً؛لأنّه خلاف ما نصب له </w:t>
      </w:r>
      <w:r>
        <w:rPr>
          <w:rStyle w:val="FootnoteReference"/>
        </w:rPr>
        <w:footnoteReference w:id="4137"/>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قال الحلیّ فی السرائر:لا یجوز للولیّ التصرّف فی مال الطفل إلّا بما یکون فیه صلاح المال و یعود نفعه إلی الطفل،دون المتصرّف فیه، و هذا الذی یقتضیه أُصول المذهب </w:t>
      </w:r>
      <w:r>
        <w:rPr>
          <w:rStyle w:val="FootnoteReference"/>
        </w:rPr>
        <w:footnoteReference w:id="4138"/>
      </w:r>
      <w:r>
        <w:rPr>
          <w:rFonts w:ascii="IRNazanin" w:hAnsi="IRNazanin" w:eastAsia="IRNazanin" w:cs="IRNazanin"/>
          <w:lang w:bidi="fa-IR"/>
          <w:color w:val="111111"/>
          <w:sz w:val="28"/>
          <w:szCs w:val="28"/>
          <w:rtl/>
        </w:rPr>
        <w:t xml:space="preserve">،انتهی.</w:t>
      </w:r>
    </w:p>
    <w:p>
      <w:pPr>
        <w:pStyle w:val="BookText"/>
      </w:pPr>
      <w:r>
        <w:rPr>
          <w:rFonts w:ascii="Amiri" w:hAnsi="Amiri" w:eastAsia="Amiri" w:cs="Amiri"/>
          <w:lang w:bidi="ar-SA"/>
          <w:color w:val="111111"/>
          <w:sz w:val="28"/>
          <w:szCs w:val="28"/>
          <w:rtl/>
        </w:rPr>
        <w:t xml:space="preserve">و قد صرّح بذلک أیضاً المحقّق </w:t>
      </w:r>
      <w:r>
        <w:rPr>
          <w:rStyle w:val="FootnoteReference"/>
        </w:rPr>
        <w:footnoteReference w:id="4139"/>
      </w:r>
      <w:r>
        <w:rPr>
          <w:rFonts w:ascii="Amiri" w:hAnsi="Amiri" w:eastAsia="Amiri" w:cs="Amiri"/>
          <w:lang w:bidi="ar-SA"/>
          <w:color w:val="111111"/>
          <w:sz w:val="28"/>
          <w:szCs w:val="28"/>
          <w:rtl/>
        </w:rPr>
        <w:t xml:space="preserve">و العلّامة </w:t>
      </w:r>
      <w:r>
        <w:rPr>
          <w:rStyle w:val="FootnoteReference"/>
        </w:rPr>
        <w:footnoteReference w:id="4140"/>
      </w:r>
      <w:r>
        <w:rPr>
          <w:rFonts w:ascii="IRNazanin" w:hAnsi="IRNazanin" w:eastAsia="IRNazanin" w:cs="IRNazanin"/>
          <w:lang w:bidi="fa-IR"/>
          <w:color w:val="111111"/>
          <w:sz w:val="28"/>
          <w:szCs w:val="28"/>
          <w:rtl/>
        </w:rPr>
        <w:t xml:space="preserve">و الشهیدان </w:t>
      </w:r>
      <w:r>
        <w:rPr>
          <w:rStyle w:val="FootnoteReference"/>
        </w:rPr>
        <w:footnoteReference w:id="4141"/>
      </w:r>
      <w:r>
        <w:rPr>
          <w:rFonts w:ascii="Amiri" w:hAnsi="Amiri" w:eastAsia="Amiri" w:cs="Amiri"/>
          <w:lang w:bidi="ar-SA"/>
          <w:color w:val="111111"/>
          <w:sz w:val="28"/>
          <w:szCs w:val="28"/>
          <w:rtl/>
        </w:rPr>
        <w:t xml:space="preserve">و المحقّق</w:t>
      </w:r>
    </w:p>
    <w:p>
      <w:pPr>
        <w:pStyle w:val="BookText"/>
      </w:pPr>
      <w:r>
        <w:rPr>
          <w:rFonts w:ascii="IRNazanin" w:hAnsi="IRNazanin" w:eastAsia="IRNazanin" w:cs="IRNazanin"/>
          <w:lang w:bidi="fa-IR"/>
          <w:color w:val="111111"/>
          <w:sz w:val="28"/>
          <w:szCs w:val="28"/>
          <w:rtl/>
        </w:rPr>
        <w:t xml:space="preserve">[شماره صفحه واقعی : 539]
</w:t>
      </w:r>
    </w:p>
    <w:p>
      <w:pPr>
        <w:sectPr>
          <w:footerReference w:type="default" r:id="rId1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 </w:t>
      </w:r>
      <w:r>
        <w:rPr>
          <w:rStyle w:val="FootnoteReference"/>
        </w:rPr>
        <w:footnoteReference w:id="4142"/>
      </w:r>
      <w:r>
        <w:rPr>
          <w:rFonts w:ascii="IRNazanin" w:hAnsi="IRNazanin" w:eastAsia="IRNazanin" w:cs="IRNazanin"/>
          <w:lang w:bidi="fa-IR"/>
          <w:color w:val="111111"/>
          <w:sz w:val="28"/>
          <w:szCs w:val="28"/>
          <w:rtl/>
        </w:rPr>
        <w:t xml:space="preserve">و غیرهم </w:t>
      </w:r>
      <w:r>
        <w:rPr>
          <w:rStyle w:val="FootnoteReference"/>
        </w:rPr>
        <w:footnoteReference w:id="4143"/>
      </w:r>
      <w:r>
        <w:rPr>
          <w:rFonts w:ascii="IRNazanin" w:hAnsi="IRNazanin" w:eastAsia="IRNazanin" w:cs="IRNazanin"/>
          <w:lang w:bidi="fa-IR"/>
          <w:color w:val="111111"/>
          <w:sz w:val="28"/>
          <w:szCs w:val="28"/>
          <w:rtl/>
        </w:rPr>
        <w:t xml:space="preserve">،بل فی شرح الروضة للفاضل الهندی:أنّ المتقدّمین عمّموا الحکم باعتبار المصلحة من غیر استثناء </w:t>
      </w:r>
      <w:r>
        <w:rPr>
          <w:rStyle w:val="FootnoteReference"/>
        </w:rPr>
        <w:footnoteReference w:id="4144"/>
      </w:r>
      <w:r>
        <w:rPr>
          <w:rFonts w:ascii="IRNazanin" w:hAnsi="IRNazanin" w:eastAsia="IRNazanin" w:cs="IRNazanin"/>
          <w:lang w:bidi="fa-IR"/>
          <w:color w:val="111111"/>
          <w:sz w:val="28"/>
          <w:szCs w:val="28"/>
          <w:rtl/>
        </w:rPr>
        <w:t xml:space="preserve">.و استظهر فی مفتاح الکرامة </w:t>
      </w:r>
      <w:r>
        <w:rPr>
          <w:rStyle w:val="FootnoteReference"/>
        </w:rPr>
        <w:footnoteReference w:id="4145"/>
      </w:r>
      <w:r>
        <w:rPr>
          <w:rFonts w:ascii="IRNazanin" w:hAnsi="IRNazanin" w:eastAsia="IRNazanin" w:cs="IRNazanin"/>
          <w:lang w:bidi="fa-IR"/>
          <w:color w:val="111111"/>
          <w:sz w:val="28"/>
          <w:szCs w:val="28"/>
          <w:rtl/>
        </w:rPr>
        <w:t xml:space="preserve">من عبارة التذکرة-فی باب الحجر-نفی الخلاف فی ذلک بین المسلمین </w:t>
      </w:r>
      <w:r>
        <w:rPr>
          <w:rStyle w:val="FootnoteReference"/>
        </w:rPr>
        <w:footnoteReference w:id="41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حکی عن الشهید فی حواشی القواعد:أنّ قطب الدین قدّس سرّه نقل عن العلّامة قدّس سرّه:أنّه لو باع الولیّ بدون ثمن المثل،لِمَ لا یُنزَّل منزلة الإتلاف بالاقتراض؟لأنّا قائلون بجواز اقتراض ماله و هو یستلزم جواز إتلافه،قال:و توقّف زاعماً أنّه لا یقدر علی مخالفة الأصحاب </w:t>
      </w:r>
      <w:r>
        <w:rPr>
          <w:rStyle w:val="FootnoteReference"/>
        </w:rPr>
        <w:footnoteReference w:id="41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هذا،و لکن الأقوی کفایة عدم المفسدة،وفاقاً لغیر واحد من الأساطین الذین عاصرناهم </w:t>
      </w:r>
      <w:r>
        <w:rPr>
          <w:rStyle w:val="FootnoteReference"/>
        </w:rPr>
        <w:footnoteReference w:id="4148"/>
      </w:r>
      <w:r>
        <w:rPr>
          <w:rFonts w:ascii="IRNazanin" w:hAnsi="IRNazanin" w:eastAsia="IRNazanin" w:cs="IRNazanin"/>
          <w:lang w:bidi="fa-IR"/>
          <w:color w:val="111111"/>
          <w:sz w:val="28"/>
          <w:szCs w:val="28"/>
          <w:rtl/>
        </w:rPr>
        <w:t xml:space="preserve">لمنع دلالة الروایات </w:t>
      </w:r>
      <w:r>
        <w:rPr>
          <w:rStyle w:val="FootnoteReference"/>
        </w:rPr>
        <w:footnoteReference w:id="4149"/>
      </w:r>
      <w:r>
        <w:rPr>
          <w:rFonts w:ascii="IRNazanin" w:hAnsi="IRNazanin" w:eastAsia="IRNazanin" w:cs="IRNazanin"/>
          <w:lang w:bidi="fa-IR"/>
          <w:color w:val="111111"/>
          <w:sz w:val="28"/>
          <w:szCs w:val="28"/>
          <w:rtl/>
        </w:rPr>
        <w:t xml:space="preserve">علی أکثر من</w:t>
      </w:r>
    </w:p>
    <w:p>
      <w:pPr>
        <w:pStyle w:val="BookText"/>
      </w:pPr>
      <w:r>
        <w:rPr>
          <w:rFonts w:ascii="IRNazanin" w:hAnsi="IRNazanin" w:eastAsia="IRNazanin" w:cs="IRNazanin"/>
          <w:lang w:bidi="fa-IR"/>
          <w:color w:val="111111"/>
          <w:sz w:val="28"/>
          <w:szCs w:val="28"/>
          <w:rtl/>
        </w:rPr>
        <w:t xml:space="preserve">[شماره صفحه واقعی : 540]
</w:t>
      </w:r>
    </w:p>
    <w:p>
      <w:pPr>
        <w:sectPr>
          <w:footerReference w:type="default" r:id="rId1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النهی عن الفساد،فلا تنهض لدفع دلالة المطلقات المتقدّمة </w:t>
      </w:r>
      <w:r>
        <w:rPr>
          <w:rStyle w:val="FootnoteReference"/>
        </w:rPr>
        <w:footnoteReference w:id="4150"/>
      </w:r>
      <w:r>
        <w:rPr>
          <w:rFonts w:ascii="IRNazanin" w:hAnsi="IRNazanin" w:eastAsia="IRNazanin" w:cs="IRNazanin"/>
          <w:lang w:bidi="fa-IR"/>
          <w:color w:val="111111"/>
          <w:sz w:val="28"/>
          <w:szCs w:val="28"/>
          <w:rtl/>
        </w:rPr>
        <w:t xml:space="preserve">الظاهرة فی سلطنة الوالد علی الولد و ماله.</w:t>
      </w:r>
    </w:p>
    <w:p>
      <w:pPr>
        <w:pStyle w:val="BookText"/>
      </w:pPr>
      <w:r>
        <w:rPr>
          <w:rFonts w:ascii="IRNazanin" w:hAnsi="IRNazanin" w:eastAsia="IRNazanin" w:cs="IRNazanin"/>
          <w:lang w:bidi="fa-IR"/>
          <w:color w:val="111111"/>
          <w:sz w:val="28"/>
          <w:szCs w:val="28"/>
          <w:rtl/>
        </w:rPr>
        <w:t xml:space="preserve">و أمّا الآیة الشریفة </w:t>
      </w:r>
      <w:r>
        <w:rPr>
          <w:rStyle w:val="FootnoteReference"/>
        </w:rPr>
        <w:footnoteReference w:id="4151"/>
      </w:r>
      <w:r>
        <w:rPr>
          <w:rFonts w:ascii="IRNazanin" w:hAnsi="IRNazanin" w:eastAsia="IRNazanin" w:cs="IRNazanin"/>
          <w:lang w:bidi="fa-IR"/>
          <w:color w:val="111111"/>
          <w:sz w:val="28"/>
          <w:szCs w:val="28"/>
          <w:rtl/>
        </w:rPr>
        <w:t xml:space="preserve">،فلو سلّم دلالتها،فهی مخصّصة بما دلّ علی ولایة الجدّ و سلطنته،الظاهرة فی أنّ له أن یتصرّف فی مال طفله </w:t>
      </w:r>
      <w:r>
        <w:rPr>
          <w:rStyle w:val="FootnoteReference"/>
        </w:rPr>
        <w:footnoteReference w:id="4152"/>
      </w:r>
      <w:r>
        <w:rPr>
          <w:rFonts w:ascii="IRNazanin" w:hAnsi="IRNazanin" w:eastAsia="IRNazanin" w:cs="IRNazanin"/>
          <w:lang w:bidi="fa-IR"/>
          <w:color w:val="111111"/>
          <w:sz w:val="28"/>
          <w:szCs w:val="28"/>
          <w:rtl/>
        </w:rPr>
        <w:t xml:space="preserve">بما لیس فیه </w:t>
      </w:r>
      <w:r>
        <w:rPr>
          <w:rStyle w:val="FootnoteReference"/>
        </w:rPr>
        <w:footnoteReference w:id="4153"/>
      </w:r>
      <w:r>
        <w:rPr>
          <w:rFonts w:ascii="Amiri" w:hAnsi="Amiri" w:eastAsia="Amiri" w:cs="Amiri"/>
          <w:lang w:bidi="ar-SA"/>
          <w:color w:val="111111"/>
          <w:sz w:val="28"/>
          <w:szCs w:val="28"/>
          <w:rtl/>
        </w:rPr>
        <w:t xml:space="preserve">مفسدة له؛فإنّ ما دلّ علی ولایة الجدّ فی النکاح معلّلاً بأنّ البنت و أباها للجدّ </w:t>
      </w:r>
      <w:r>
        <w:rPr>
          <w:rStyle w:val="FootnoteReference"/>
        </w:rPr>
        <w:footnoteReference w:id="4154"/>
      </w:r>
      <w:r>
        <w:rPr>
          <w:rFonts w:ascii="IRNazanin" w:hAnsi="IRNazanin" w:eastAsia="IRNazanin" w:cs="IRNazanin"/>
          <w:lang w:bidi="fa-IR"/>
          <w:color w:val="111111"/>
          <w:sz w:val="28"/>
          <w:szCs w:val="28"/>
          <w:rtl/>
        </w:rPr>
        <w:t xml:space="preserve">،و قوله صلّی اللّٰه علیه و آله:«أنت و مالک لأبیک» </w:t>
      </w:r>
      <w:r>
        <w:rPr>
          <w:rStyle w:val="FootnoteReference"/>
        </w:rPr>
        <w:footnoteReference w:id="4155"/>
      </w:r>
      <w:r>
        <w:rPr>
          <w:rFonts w:ascii="IRNazanin" w:hAnsi="IRNazanin" w:eastAsia="IRNazanin" w:cs="IRNazanin"/>
          <w:lang w:bidi="fa-IR"/>
          <w:color w:val="111111"/>
          <w:sz w:val="28"/>
          <w:szCs w:val="28"/>
          <w:rtl/>
        </w:rPr>
        <w:t xml:space="preserve">، خصوصاً مع استشهاد الإمام علیه السلام به فی مضیّ نکاح الجدّ بدون إذن الأب؛ردّاً علی من أنکر ذلک و حکم ببطلان ذلک من العامّة فی مجلس بعض الأُمراء </w:t>
      </w:r>
      <w:r>
        <w:rPr>
          <w:rStyle w:val="FootnoteReference"/>
        </w:rPr>
        <w:footnoteReference w:id="4156"/>
      </w:r>
      <w:r>
        <w:rPr>
          <w:rFonts w:ascii="IRNazanin" w:hAnsi="IRNazanin" w:eastAsia="IRNazanin" w:cs="IRNazanin"/>
          <w:lang w:bidi="fa-IR"/>
          <w:color w:val="111111"/>
          <w:sz w:val="28"/>
          <w:szCs w:val="28"/>
          <w:rtl/>
        </w:rPr>
        <w:t xml:space="preserve">-و غیر ذلک </w:t>
      </w:r>
      <w:r>
        <w:rPr>
          <w:rStyle w:val="FootnoteReference"/>
        </w:rPr>
        <w:footnoteReference w:id="4157"/>
      </w:r>
      <w:r>
        <w:rPr>
          <w:rFonts w:ascii="Amiri" w:hAnsi="Amiri" w:eastAsia="Amiri" w:cs="Amiri"/>
          <w:lang w:bidi="ar-SA"/>
          <w:color w:val="111111"/>
          <w:sz w:val="28"/>
          <w:szCs w:val="28"/>
          <w:rtl/>
        </w:rPr>
        <w:t xml:space="preserve">-یدلّ علی ذلک.</w:t>
      </w:r>
    </w:p>
    <w:p>
      <w:pPr>
        <w:pStyle w:val="BookText"/>
      </w:pPr>
      <w:r>
        <w:rPr>
          <w:rFonts w:ascii="IRNazanin" w:hAnsi="IRNazanin" w:eastAsia="IRNazanin" w:cs="IRNazanin"/>
          <w:lang w:bidi="fa-IR"/>
          <w:color w:val="111111"/>
          <w:sz w:val="28"/>
          <w:szCs w:val="28"/>
          <w:rtl/>
        </w:rPr>
        <w:t xml:space="preserve">مع أنّه لو سلّمنا عدم التخصیص،وجب الاقتصار علیه فی حکم الجدّ،دون الأب.</w:t>
      </w:r>
    </w:p>
    <w:p>
      <w:pPr>
        <w:pStyle w:val="BookText"/>
      </w:pPr>
      <w:r>
        <w:rPr>
          <w:rFonts w:ascii="IRNazanin" w:hAnsi="IRNazanin" w:eastAsia="IRNazanin" w:cs="IRNazanin"/>
          <w:lang w:bidi="fa-IR"/>
          <w:color w:val="111111"/>
          <w:sz w:val="28"/>
          <w:szCs w:val="28"/>
          <w:rtl/>
        </w:rPr>
        <w:t xml:space="preserve">[شماره صفحه واقعی : 541]
</w:t>
      </w:r>
    </w:p>
    <w:p>
      <w:pPr>
        <w:sectPr>
          <w:footerReference w:type="default" r:id="rId1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[*ستوده]</w:t>
      </w:r>
    </w:p>
    <w:p>
      <w:pPr>
        <w:pStyle w:val="BookText"/>
      </w:pPr>
      <w:r>
        <w:rPr>
          <w:rFonts w:ascii="IRNazanin" w:hAnsi="IRNazanin" w:eastAsia="IRNazanin" w:cs="IRNazanin"/>
          <w:lang w:bidi="fa-IR"/>
          <w:color w:val="111111"/>
          <w:sz w:val="28"/>
          <w:szCs w:val="28"/>
          <w:rtl/>
        </w:rPr>
        <w:t xml:space="preserve">و دعوی عدم القول بالفصل ممنوعة؛فقد حکی عن بعض متأخّری المتأخّرین القول بالفصل بینهما فی الاقتراض مع عدم الیسر </w:t>
      </w:r>
      <w:r>
        <w:rPr>
          <w:rStyle w:val="FootnoteReference"/>
        </w:rPr>
        <w:footnoteReference w:id="41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لا خلاف ظاهراً-کما ادّعی </w:t>
      </w:r>
      <w:r>
        <w:rPr>
          <w:rStyle w:val="FootnoteReference"/>
        </w:rPr>
        <w:footnoteReference w:id="4159"/>
      </w:r>
      <w:r>
        <w:rPr>
          <w:rFonts w:ascii="IRNazanin" w:hAnsi="IRNazanin" w:eastAsia="IRNazanin" w:cs="IRNazanin"/>
          <w:lang w:bidi="fa-IR"/>
          <w:color w:val="111111"/>
          <w:sz w:val="28"/>
          <w:szCs w:val="28"/>
          <w:rtl/>
        </w:rPr>
        <w:t xml:space="preserve">-فی أنّ الجدّ و إن علا یشارک الأب فی الحکم،و یدلّ علیه ما دلّ علی أنّ الشخص و ماله-الذی منه مال ابنه-لأبیه </w:t>
      </w:r>
      <w:r>
        <w:rPr>
          <w:rStyle w:val="FootnoteReference"/>
        </w:rPr>
        <w:footnoteReference w:id="4160"/>
      </w:r>
      <w:r>
        <w:rPr>
          <w:rFonts w:ascii="Amiri" w:hAnsi="Amiri" w:eastAsia="Amiri" w:cs="Amiri"/>
          <w:lang w:bidi="ar-SA"/>
          <w:color w:val="111111"/>
          <w:sz w:val="28"/>
          <w:szCs w:val="28"/>
          <w:rtl/>
        </w:rPr>
        <w:t xml:space="preserve">،و ما دلّ </w:t>
      </w:r>
      <w:r>
        <w:rPr>
          <w:rStyle w:val="FootnoteReference"/>
        </w:rPr>
        <w:footnoteReference w:id="4161"/>
      </w:r>
      <w:r>
        <w:rPr>
          <w:rFonts w:ascii="IRNazanin" w:hAnsi="IRNazanin" w:eastAsia="IRNazanin" w:cs="IRNazanin"/>
          <w:lang w:bidi="fa-IR"/>
          <w:color w:val="111111"/>
          <w:sz w:val="28"/>
          <w:szCs w:val="28"/>
          <w:rtl/>
        </w:rPr>
        <w:t xml:space="preserve">علی أنّ الولد و والده لجدّه </w:t>
      </w:r>
      <w:r>
        <w:rPr>
          <w:rStyle w:val="FootnoteReference"/>
        </w:rPr>
        <w:footnoteReference w:id="41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لو فُقد الأب و بقی الجدّ،فهل أبوه أو </w:t>
      </w:r>
      <w:r>
        <w:rPr>
          <w:rStyle w:val="FootnoteReference"/>
        </w:rPr>
        <w:footnoteReference w:id="4163"/>
      </w:r>
      <w:r>
        <w:rPr>
          <w:rFonts w:ascii="IRNazanin" w:hAnsi="IRNazanin" w:eastAsia="IRNazanin" w:cs="IRNazanin"/>
          <w:lang w:bidi="fa-IR"/>
          <w:color w:val="111111"/>
          <w:sz w:val="28"/>
          <w:szCs w:val="28"/>
          <w:rtl/>
        </w:rPr>
        <w:t xml:space="preserve">جدّه یقوم مقامه فی المشارکة أو یخصّ هو بالولایة؟قولان:من ظاهر أنّ الولد و والده لجدّه،و هو المحکی عن ظاهر جماعة </w:t>
      </w:r>
      <w:r>
        <w:rPr>
          <w:rStyle w:val="FootnoteReference"/>
        </w:rPr>
        <w:footnoteReference w:id="4164"/>
      </w:r>
      <w:r>
        <w:rPr>
          <w:rFonts w:ascii="IRNazanin" w:hAnsi="IRNazanin" w:eastAsia="IRNazanin" w:cs="IRNazanin"/>
          <w:lang w:bidi="fa-IR"/>
          <w:color w:val="111111"/>
          <w:sz w:val="28"/>
          <w:szCs w:val="28"/>
          <w:rtl/>
        </w:rPr>
        <w:t xml:space="preserve">،و من أنّ مقتضی قوله تعالی:</w:t>
      </w:r>
    </w:p>
    <w:p>
      <w:pPr>
        <w:pStyle w:val="BookText"/>
      </w:pPr>
      <w:r>
        <w:rPr>
          <w:rFonts w:ascii="Amiri" w:hAnsi="Amiri" w:eastAsia="Amiri" w:cs="Amiri"/>
          <w:lang w:bidi="ar-SA"/>
          <w:color w:val="111111"/>
          <w:sz w:val="28"/>
          <w:szCs w:val="28"/>
          <w:rtl/>
        </w:rPr>
        <w:t xml:space="preserve">وَ أُولُوا الْأَرْحٰامِ بَعْضُهُمْ أَوْلیٰ بِبَعْضٍ</w:t>
      </w:r>
    </w:p>
    <w:p>
      <w:pPr>
        <w:pStyle w:val="BookText"/>
      </w:pPr>
      <w:r>
        <w:rPr>
          <w:rStyle w:val="FootnoteReference"/>
        </w:rPr>
        <w:footnoteReference w:id="4165"/>
      </w:r>
      <w:r>
        <w:rPr>
          <w:rFonts w:ascii="IRNazanin" w:hAnsi="IRNazanin" w:eastAsia="IRNazanin" w:cs="IRNazanin"/>
          <w:lang w:bidi="fa-IR"/>
          <w:color w:val="111111"/>
          <w:sz w:val="28"/>
          <w:szCs w:val="28"/>
          <w:rtl/>
        </w:rPr>
        <w:t xml:space="preserve">
کون القریب أولی بقریبه من البعید،فنفی </w:t>
      </w:r>
      <w:r>
        <w:rPr>
          <w:rStyle w:val="FootnoteReference"/>
        </w:rPr>
        <w:footnoteReference w:id="4166"/>
      </w:r>
      <w:r>
        <w:rPr>
          <w:rFonts w:ascii="IRNazanin" w:hAnsi="IRNazanin" w:eastAsia="IRNazanin" w:cs="IRNazanin"/>
          <w:lang w:bidi="fa-IR"/>
          <w:color w:val="111111"/>
          <w:sz w:val="28"/>
          <w:szCs w:val="28"/>
          <w:rtl/>
        </w:rPr>
        <w:t xml:space="preserve">ولایة البعید خرج </w:t>
      </w:r>
      <w:r>
        <w:rPr>
          <w:rStyle w:val="FootnoteReference"/>
        </w:rPr>
        <w:footnoteReference w:id="4167"/>
      </w:r>
      <w:r>
        <w:rPr>
          <w:rFonts w:ascii="IRNazanin" w:hAnsi="IRNazanin" w:eastAsia="IRNazanin" w:cs="IRNazanin"/>
          <w:lang w:bidi="fa-IR"/>
          <w:color w:val="111111"/>
          <w:sz w:val="28"/>
          <w:szCs w:val="28"/>
          <w:rtl/>
        </w:rPr>
        <w:t xml:space="preserve">منه الجدّ مع الأب و بقی الباقی.</w:t>
      </w:r>
    </w:p>
    <w:p>
      <w:pPr>
        <w:pStyle w:val="BookText"/>
      </w:pPr>
      <w:r>
        <w:rPr>
          <w:rFonts w:ascii="IRNazanin" w:hAnsi="IRNazanin" w:eastAsia="IRNazanin" w:cs="IRNazanin"/>
          <w:lang w:bidi="fa-IR"/>
          <w:color w:val="111111"/>
          <w:sz w:val="28"/>
          <w:szCs w:val="28"/>
          <w:rtl/>
        </w:rPr>
        <w:t xml:space="preserve">و لیس المراد من لفظ«الأولی»التفضیل مع الاشتراک فی المبدأ،</w:t>
      </w:r>
    </w:p>
    <w:p>
      <w:pPr>
        <w:pStyle w:val="BookText"/>
      </w:pPr>
      <w:r>
        <w:rPr>
          <w:rFonts w:ascii="IRNazanin" w:hAnsi="IRNazanin" w:eastAsia="IRNazanin" w:cs="IRNazanin"/>
          <w:lang w:bidi="fa-IR"/>
          <w:color w:val="111111"/>
          <w:sz w:val="28"/>
          <w:szCs w:val="28"/>
          <w:rtl/>
        </w:rPr>
        <w:t xml:space="preserve">[شماره صفحه واقعی : 542]
</w:t>
      </w:r>
    </w:p>
    <w:p>
      <w:pPr>
        <w:sectPr>
          <w:footerReference w:type="default" r:id="rId1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 هو نظیر قولک:«هو أحقّ بالأمر </w:t>
      </w:r>
      <w:r>
        <w:rPr>
          <w:rStyle w:val="FootnoteReference"/>
        </w:rPr>
        <w:footnoteReference w:id="4168"/>
      </w:r>
      <w:r>
        <w:rPr>
          <w:rFonts w:ascii="IRNazanin" w:hAnsi="IRNazanin" w:eastAsia="IRNazanin" w:cs="IRNazanin"/>
          <w:lang w:bidi="fa-IR"/>
          <w:color w:val="111111"/>
          <w:sz w:val="28"/>
          <w:szCs w:val="28"/>
          <w:rtl/>
        </w:rPr>
        <w:t xml:space="preserve">من فلان»و نحوه،و هذا محکیّ </w:t>
      </w:r>
      <w:r>
        <w:rPr>
          <w:rStyle w:val="FootnoteReference"/>
        </w:rPr>
        <w:footnoteReference w:id="4169"/>
      </w:r>
      <w:r>
        <w:rPr>
          <w:rFonts w:ascii="IRNazanin" w:hAnsi="IRNazanin" w:eastAsia="IRNazanin" w:cs="IRNazanin"/>
          <w:lang w:bidi="fa-IR"/>
          <w:color w:val="111111"/>
          <w:sz w:val="28"/>
          <w:szCs w:val="28"/>
          <w:rtl/>
        </w:rPr>
        <w:t xml:space="preserve">عن جامع المقاصد </w:t>
      </w:r>
      <w:r>
        <w:rPr>
          <w:rStyle w:val="FootnoteReference"/>
        </w:rPr>
        <w:footnoteReference w:id="4170"/>
      </w:r>
      <w:r>
        <w:rPr>
          <w:rFonts w:ascii="IRNazanin" w:hAnsi="IRNazanin" w:eastAsia="IRNazanin" w:cs="IRNazanin"/>
          <w:lang w:bidi="fa-IR"/>
          <w:color w:val="111111"/>
          <w:sz w:val="28"/>
          <w:szCs w:val="28"/>
          <w:rtl/>
        </w:rPr>
        <w:t xml:space="preserve">و المسالک </w:t>
      </w:r>
      <w:r>
        <w:rPr>
          <w:rStyle w:val="FootnoteReference"/>
        </w:rPr>
        <w:footnoteReference w:id="4171"/>
      </w:r>
      <w:r>
        <w:rPr>
          <w:rFonts w:ascii="IRNazanin" w:hAnsi="IRNazanin" w:eastAsia="IRNazanin" w:cs="IRNazanin"/>
          <w:lang w:bidi="fa-IR"/>
          <w:color w:val="111111"/>
          <w:sz w:val="28"/>
          <w:szCs w:val="28"/>
          <w:rtl/>
        </w:rPr>
        <w:t xml:space="preserve">و الکفایة </w:t>
      </w:r>
      <w:r>
        <w:rPr>
          <w:rStyle w:val="FootnoteReference"/>
        </w:rPr>
        <w:footnoteReference w:id="4172"/>
      </w:r>
      <w:r>
        <w:rPr>
          <w:rFonts w:ascii="Amiri" w:hAnsi="Amiri" w:eastAsia="Amiri" w:cs="Amiri"/>
          <w:lang w:bidi="ar-SA"/>
          <w:color w:val="111111"/>
          <w:sz w:val="28"/>
          <w:szCs w:val="28"/>
          <w:rtl/>
        </w:rPr>
        <w:t xml:space="preserve">،و للمسألة مواضع أُخر </w:t>
      </w:r>
      <w:r>
        <w:rPr>
          <w:rStyle w:val="FootnoteReference"/>
        </w:rPr>
        <w:footnoteReference w:id="4173"/>
      </w:r>
      <w:r>
        <w:rPr>
          <w:rFonts w:ascii="Amiri" w:hAnsi="Amiri" w:eastAsia="Amiri" w:cs="Amiri"/>
          <w:lang w:bidi="ar-SA"/>
          <w:color w:val="111111"/>
          <w:sz w:val="28"/>
          <w:szCs w:val="28"/>
          <w:rtl/>
        </w:rPr>
        <w:t xml:space="preserve">تأتی إن شاء اللّٰه.</w:t>
      </w:r>
    </w:p>
    <w:p>
      <w:pPr>
        <w:pStyle w:val="BookText"/>
      </w:pPr>
      <w:r>
        <w:rPr>
          <w:rFonts w:ascii="IRNazanin" w:hAnsi="IRNazanin" w:eastAsia="IRNazanin" w:cs="IRNazanin"/>
          <w:lang w:bidi="fa-IR"/>
          <w:color w:val="111111"/>
          <w:sz w:val="28"/>
          <w:szCs w:val="28"/>
          <w:rtl/>
        </w:rPr>
        <w:t xml:space="preserve">[شماره صفحه واقعی : 543]
</w:t>
      </w:r>
    </w:p>
    <w:p>
      <w:pPr>
        <w:sectPr>
          <w:footerReference w:type="default" r:id="rId1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544]
</w:t>
      </w:r>
    </w:p>
    <w:p>
      <w:pPr>
        <w:sectPr>
          <w:footerReference w:type="default" r:id="rId1223"/>
          <w:footnotePr>
            <w:numStart w:val="1"/>
            <w:numRestart w:val="eachPage"/>
          </w:footnotePr>
          <w:pgSz w:orient="portrait" w:w="11905.511811023622" w:h="16837.79527559055"/>
          <w:pgMar w:top="1440" w:right="1440" w:bottom="1440" w:left="1440" w:header="720" w:footer="720" w:gutter="0"/>
          <w:cols w:num="1" w:space="720"/>
        </w:sectPr>
      </w:pPr>
    </w:p>
    <w:bookmarkStart w:id="687" w:name="pg14411_143605"/>
    <w:bookmarkEnd w:id="687"/>
    <w:p>
      <w:pPr>
        <w:pStyle w:val="Heading6"/>
      </w:pPr>
      <w:bookmarkStart w:id="2354" w:name="_Toc1389"/>
      <w:r>
        <w:t>مسألة [فی ولایة الفقیه]</w:t>
      </w:r>
      <w:bookmarkEnd w:id="2354"/>
    </w:p>
    <w:p>
      <w:pPr>
        <w:pStyle w:val="BookText"/>
      </w:pPr>
      <w:r>
        <w:rPr>
          <w:rStyle w:val="FootnoteReference"/>
        </w:rPr>
        <w:footnoteReference w:id="4174"/>
      </w:r>
      <w:r>
        <w:rPr>
          <w:rFonts w:ascii="IRNazanin" w:hAnsi="IRNazanin" w:eastAsia="IRNazanin" w:cs="IRNazanin"/>
          <w:lang w:bidi="fa-IR"/>
          <w:color w:val="111111"/>
          <w:sz w:val="28"/>
          <w:szCs w:val="28"/>
          <w:rtl/>
        </w:rPr>
        <w:t xml:space="preserve">
من جملة أولیاء التصرّف فی مال من لا یستقلّ بالتصرّف فی ماله:الحاکم،و المراد منه:الفقیه الجامع لشرائط الفتوی،و قد رأینا هنا </w:t>
      </w:r>
      <w:r>
        <w:rPr>
          <w:rStyle w:val="FootnoteReference"/>
        </w:rPr>
        <w:footnoteReference w:id="4175"/>
      </w:r>
      <w:r>
        <w:rPr>
          <w:rFonts w:ascii="IRNazanin" w:hAnsi="IRNazanin" w:eastAsia="IRNazanin" w:cs="IRNazanin"/>
          <w:lang w:bidi="fa-IR"/>
          <w:color w:val="111111"/>
          <w:sz w:val="28"/>
          <w:szCs w:val="28"/>
          <w:rtl/>
        </w:rPr>
        <w:t xml:space="preserve">ذکر مناصب الفقیه،امتثالاً لأمر أکثر حُضّار مجلس المذاکرة، فنقول مستعیناً باللّٰه</w:t>
      </w:r>
    </w:p>
    <w:p>
      <w:pPr>
        <w:pStyle w:val="Heading6"/>
      </w:pPr>
      <w:bookmarkStart w:id="2355" w:name="_Toc1390"/>
      <w:r>
        <w:t>للفقیه الجامع للشرائط مناصب ثلاثة</w:t>
      </w:r>
      <w:bookmarkEnd w:id="2355"/>
    </w:p>
    <w:p>
      <w:pPr>
        <w:pStyle w:val="Heading6"/>
      </w:pPr>
      <w:bookmarkStart w:id="2356" w:name="_Toc1391"/>
      <w:r>
        <w:t>أحدها : الإفتاء فیما یحتاج إلیها العامی فی عمله</w:t>
      </w:r>
      <w:bookmarkEnd w:id="2356"/>
    </w:p>
    <w:p>
      <w:pPr>
        <w:pStyle w:val="BookText"/>
      </w:pPr>
      <w:r>
        <w:rPr>
          <w:rFonts w:ascii="IRNazanin" w:hAnsi="IRNazanin" w:eastAsia="IRNazanin" w:cs="IRNazanin"/>
          <w:lang w:bidi="fa-IR"/>
          <w:color w:val="111111"/>
          <w:sz w:val="28"/>
          <w:szCs w:val="28"/>
          <w:rtl/>
        </w:rPr>
        <w:t xml:space="preserve">و مورده المسائل الفرعیة،و الموضوعات الاستنباطیة من حیث ترتّب حکمٍ فرعیٍّ علیها.</w:t>
      </w:r>
    </w:p>
    <w:p>
      <w:pPr>
        <w:pStyle w:val="BookText"/>
      </w:pPr>
      <w:r>
        <w:rPr>
          <w:rFonts w:ascii="IRNazanin" w:hAnsi="IRNazanin" w:eastAsia="IRNazanin" w:cs="IRNazanin"/>
          <w:lang w:bidi="fa-IR"/>
          <w:color w:val="111111"/>
          <w:sz w:val="28"/>
          <w:szCs w:val="28"/>
          <w:rtl/>
        </w:rPr>
        <w:t xml:space="preserve">و لا إشکال و لا خلاف فی ثبوت هذا المنصب للفقیه،إلّا ممّن لا یری جواز التقلید للعامی.</w:t>
      </w:r>
    </w:p>
    <w:p>
      <w:pPr>
        <w:pStyle w:val="BookText"/>
      </w:pPr>
      <w:r>
        <w:rPr>
          <w:rFonts w:ascii="IRNazanin" w:hAnsi="IRNazanin" w:eastAsia="IRNazanin" w:cs="IRNazanin"/>
          <w:lang w:bidi="fa-IR"/>
          <w:color w:val="111111"/>
          <w:sz w:val="28"/>
          <w:szCs w:val="28"/>
          <w:rtl/>
        </w:rPr>
        <w:t xml:space="preserve">و تفصیل الکلام فی هذا المقام موکول إلی مباحث الاجتهاد و التقلید.</w:t>
      </w:r>
    </w:p>
    <w:p>
      <w:pPr>
        <w:pStyle w:val="Heading6"/>
      </w:pPr>
      <w:bookmarkStart w:id="2357" w:name="_Toc1392"/>
      <w:r>
        <w:t>الثانی : الحکومة</w:t>
      </w:r>
      <w:bookmarkEnd w:id="2357"/>
    </w:p>
    <w:p>
      <w:pPr>
        <w:pStyle w:val="BookText"/>
      </w:pPr>
      <w:r>
        <w:rPr>
          <w:rFonts w:ascii="IRNazanin" w:hAnsi="IRNazanin" w:eastAsia="IRNazanin" w:cs="IRNazanin"/>
          <w:lang w:bidi="fa-IR"/>
          <w:color w:val="111111"/>
          <w:sz w:val="28"/>
          <w:szCs w:val="28"/>
          <w:rtl/>
        </w:rPr>
        <w:t xml:space="preserve">فله الحکم بما یراه حقّا فی المرافعات و غیرها فی الجملة.و هذا المنصب أیضاً ثابت له بلا خلاف فتوًی و نصّاً،و تفصیل الکلام فیه من حیث شرائط الحاکم و المحکوم به و المحکوم علیه موکول إلی کتاب القضاء.</w:t>
      </w:r>
    </w:p>
    <w:p>
      <w:pPr>
        <w:pStyle w:val="BookText"/>
      </w:pPr>
      <w:r>
        <w:rPr>
          <w:rFonts w:ascii="IRNazanin" w:hAnsi="IRNazanin" w:eastAsia="IRNazanin" w:cs="IRNazanin"/>
          <w:lang w:bidi="fa-IR"/>
          <w:color w:val="111111"/>
          <w:sz w:val="28"/>
          <w:szCs w:val="28"/>
          <w:rtl/>
        </w:rPr>
        <w:t xml:space="preserve">[شماره صفحه واقعی : 545]
</w:t>
      </w:r>
    </w:p>
    <w:p>
      <w:pPr>
        <w:sectPr>
          <w:footerReference w:type="default" r:id="rId1224"/>
          <w:footnotePr>
            <w:numStart w:val="1"/>
            <w:numRestart w:val="eachPage"/>
          </w:footnotePr>
          <w:pgSz w:orient="portrait" w:w="11905.511811023622" w:h="16837.79527559055"/>
          <w:pgMar w:top="1440" w:right="1440" w:bottom="1440" w:left="1440" w:header="720" w:footer="720" w:gutter="0"/>
          <w:cols w:num="1" w:space="720"/>
        </w:sectPr>
      </w:pPr>
    </w:p>
    <w:bookmarkStart w:id="688" w:name="pg14411_143606"/>
    <w:bookmarkEnd w:id="688"/>
    <w:p>
      <w:pPr>
        <w:pStyle w:val="Heading6"/>
      </w:pPr>
      <w:bookmarkStart w:id="2358" w:name="_Toc1393"/>
      <w:r>
        <w:t>الثالث : ولایة التصرّف فی الأموال و الأنفس</w:t>
      </w:r>
      <w:bookmarkEnd w:id="2358"/>
    </w:p>
    <w:p>
      <w:pPr>
        <w:pStyle w:val="Heading6"/>
      </w:pPr>
      <w:bookmarkStart w:id="2359" w:name="_Toc1394"/>
      <w:r>
        <w:t>اشارة</w:t>
      </w:r>
      <w:bookmarkEnd w:id="2359"/>
    </w:p>
    <w:p>
      <w:pPr>
        <w:pStyle w:val="BookText"/>
      </w:pPr>
      <w:r>
        <w:rPr>
          <w:rFonts w:ascii="IRNazanin" w:hAnsi="IRNazanin" w:eastAsia="IRNazanin" w:cs="IRNazanin"/>
          <w:lang w:bidi="fa-IR"/>
          <w:color w:val="111111"/>
          <w:sz w:val="28"/>
          <w:szCs w:val="28"/>
          <w:rtl/>
        </w:rPr>
        <w:t xml:space="preserve">و هو المقصود بالتفصیل هنا، فنقول:الولایة تتصوّر علی وجهین:</w:t>
      </w:r>
    </w:p>
    <w:p>
      <w:pPr>
        <w:pStyle w:val="Heading6"/>
      </w:pPr>
      <w:bookmarkStart w:id="2360" w:name="_Toc1395"/>
      <w:r>
        <w:t>الأوّل : استقلال الولی بالتصرّف</w:t>
      </w:r>
      <w:bookmarkEnd w:id="2360"/>
    </w:p>
    <w:p>
      <w:pPr>
        <w:pStyle w:val="BookText"/>
      </w:pPr>
      <w:r>
        <w:rPr>
          <w:rFonts w:ascii="IRNazanin" w:hAnsi="IRNazanin" w:eastAsia="IRNazanin" w:cs="IRNazanin"/>
          <w:lang w:bidi="fa-IR"/>
          <w:color w:val="111111"/>
          <w:sz w:val="28"/>
          <w:szCs w:val="28"/>
          <w:rtl/>
        </w:rPr>
        <w:t xml:space="preserve">مع قطع النظر عن کون تصرّف غیره منوطاً بإذنه أو غیر منوطٍ به،و مرجع هذا إلی کون نظره سبباً فی جواز تصرّفه.</w:t>
      </w:r>
    </w:p>
    <w:p>
      <w:pPr>
        <w:pStyle w:val="Heading6"/>
      </w:pPr>
      <w:bookmarkStart w:id="2361" w:name="_Toc1396"/>
      <w:r>
        <w:t>الثانی : عدم استقلال غیره بالتصرّف</w:t>
      </w:r>
      <w:bookmarkEnd w:id="2361"/>
    </w:p>
    <w:p>
      <w:pPr>
        <w:pStyle w:val="BookText"/>
      </w:pPr>
      <w:r>
        <w:rPr>
          <w:rFonts w:ascii="IRNazanin" w:hAnsi="IRNazanin" w:eastAsia="IRNazanin" w:cs="IRNazanin"/>
          <w:lang w:bidi="fa-IR"/>
          <w:color w:val="111111"/>
          <w:sz w:val="28"/>
          <w:szCs w:val="28"/>
          <w:rtl/>
        </w:rPr>
        <w:t xml:space="preserve">و کون تصرّف الغیر منوطاً بإذنه و إن لم یکن هو مستقلا بالتصرّف،و مرجع هذا إلی کون نظره شرطاً فی جواز تصرّف غیره.و بین موارد الوجهین عموم من وجه.</w:t>
      </w:r>
    </w:p>
    <w:p>
      <w:pPr>
        <w:pStyle w:val="BookText"/>
      </w:pPr>
      <w:r>
        <w:rPr>
          <w:rFonts w:ascii="IRNazanin" w:hAnsi="IRNazanin" w:eastAsia="IRNazanin" w:cs="IRNazanin"/>
          <w:lang w:bidi="fa-IR"/>
          <w:color w:val="111111"/>
          <w:sz w:val="28"/>
          <w:szCs w:val="28"/>
          <w:rtl/>
        </w:rPr>
        <w:t xml:space="preserve">ثمّ إذنه المعتبر فی تصرّف الغیر:</w:t>
      </w:r>
    </w:p>
    <w:p>
      <w:pPr>
        <w:pStyle w:val="BookText"/>
      </w:pPr>
      <w:r>
        <w:rPr>
          <w:rFonts w:ascii="IRNazanin" w:hAnsi="IRNazanin" w:eastAsia="IRNazanin" w:cs="IRNazanin"/>
          <w:lang w:bidi="fa-IR"/>
          <w:color w:val="111111"/>
          <w:sz w:val="28"/>
          <w:szCs w:val="28"/>
          <w:rtl/>
        </w:rPr>
        <w:t xml:space="preserve">إمّا أن یکون علی وجه الاستنابة،کوکیل الحاکم.</w:t>
      </w:r>
    </w:p>
    <w:p>
      <w:pPr>
        <w:pStyle w:val="BookText"/>
      </w:pPr>
      <w:r>
        <w:rPr>
          <w:rFonts w:ascii="IRNazanin" w:hAnsi="IRNazanin" w:eastAsia="IRNazanin" w:cs="IRNazanin"/>
          <w:lang w:bidi="fa-IR"/>
          <w:color w:val="111111"/>
          <w:sz w:val="28"/>
          <w:szCs w:val="28"/>
          <w:rtl/>
        </w:rPr>
        <w:t xml:space="preserve">و إمّا أن یکون علی وجه التفویض و التولیة،کمتولّی الأوقاف من قِبَل الحاکم.</w:t>
      </w:r>
    </w:p>
    <w:p>
      <w:pPr>
        <w:pStyle w:val="BookText"/>
      </w:pPr>
      <w:r>
        <w:rPr>
          <w:rFonts w:ascii="IRNazanin" w:hAnsi="IRNazanin" w:eastAsia="IRNazanin" w:cs="IRNazanin"/>
          <w:lang w:bidi="fa-IR"/>
          <w:color w:val="111111"/>
          <w:sz w:val="28"/>
          <w:szCs w:val="28"/>
          <w:rtl/>
        </w:rPr>
        <w:t xml:space="preserve">و إمّا أن یکون علی وجه الرضا کإذن الحاکم لغیره فی الصلاة علی میّتٍ لا ولیّ له.</w:t>
      </w:r>
    </w:p>
    <w:p>
      <w:pPr>
        <w:pStyle w:val="Heading6"/>
      </w:pPr>
      <w:bookmarkStart w:id="2362" w:name="_Toc1397"/>
      <w:r>
        <w:t>[ثبوت الولایة بالمعنی الأول للنبی و الأئمة علیهم السلام]</w:t>
      </w:r>
      <w:bookmarkEnd w:id="2362"/>
    </w:p>
    <w:p>
      <w:pPr>
        <w:pStyle w:val="Heading6"/>
      </w:pPr>
      <w:bookmarkStart w:id="2363" w:name="_Toc1398"/>
      <w:r>
        <w:t>اشارة</w:t>
      </w:r>
      <w:bookmarkEnd w:id="2363"/>
    </w:p>
    <w:p>
      <w:pPr>
        <w:pStyle w:val="BookText"/>
      </w:pPr>
      <w:r>
        <w:rPr>
          <w:rFonts w:ascii="IRNazanin" w:hAnsi="IRNazanin" w:eastAsia="IRNazanin" w:cs="IRNazanin"/>
          <w:lang w:bidi="fa-IR"/>
          <w:color w:val="111111"/>
          <w:sz w:val="28"/>
          <w:szCs w:val="28"/>
          <w:rtl/>
        </w:rPr>
        <w:t xml:space="preserve">إذا عرفت هذا،فنقول:مقتضی الأصل عدم ثبوت الولایة لأحد بشیء </w:t>
      </w:r>
      <w:r>
        <w:rPr>
          <w:rStyle w:val="FootnoteReference"/>
        </w:rPr>
        <w:footnoteReference w:id="4176"/>
      </w:r>
      <w:r>
        <w:rPr>
          <w:rFonts w:ascii="IRNazanin" w:hAnsi="IRNazanin" w:eastAsia="IRNazanin" w:cs="IRNazanin"/>
          <w:lang w:bidi="fa-IR"/>
          <w:color w:val="111111"/>
          <w:sz w:val="28"/>
          <w:szCs w:val="28"/>
          <w:rtl/>
        </w:rPr>
        <w:t xml:space="preserve">من الوجوه </w:t>
      </w:r>
      <w:r>
        <w:rPr>
          <w:rStyle w:val="FootnoteReference"/>
        </w:rPr>
        <w:footnoteReference w:id="4177"/>
      </w:r>
      <w:r>
        <w:rPr>
          <w:rFonts w:ascii="IRNazanin" w:hAnsi="IRNazanin" w:eastAsia="IRNazanin" w:cs="IRNazanin"/>
          <w:lang w:bidi="fa-IR"/>
          <w:color w:val="111111"/>
          <w:sz w:val="28"/>
          <w:szCs w:val="28"/>
          <w:rtl/>
        </w:rPr>
        <w:t xml:space="preserve">المذکورة،خرجنا عن هذا الأصل فی خصوص النبیّ و الأئمة صلوات اللّٰه علیهم أجمعین بالأدلّة الأربعة،قال اللّٰه تعالی:</w:t>
      </w:r>
    </w:p>
    <w:p>
      <w:pPr>
        <w:pStyle w:val="Heading6"/>
      </w:pPr>
      <w:bookmarkStart w:id="2364" w:name="_Toc1399"/>
      <w:r>
        <w:t>[الاستدلال بالکتاب]</w:t>
      </w:r>
      <w:bookmarkEnd w:id="2364"/>
    </w:p>
    <w:p>
      <w:pPr>
        <w:pStyle w:val="BookText"/>
      </w:pPr>
      <w:r>
        <w:rPr>
          <w:rFonts w:ascii="Amiri" w:hAnsi="Amiri" w:eastAsia="Amiri" w:cs="Amiri"/>
          <w:lang w:bidi="ar-SA"/>
          <w:color w:val="111111"/>
          <w:sz w:val="28"/>
          <w:szCs w:val="28"/>
          <w:rtl/>
        </w:rPr>
        <w:t xml:space="preserve">اَلنَّبِیُّ أَوْلیٰ بِالْمُؤْمِنِینَ</w:t>
      </w:r>
    </w:p>
    <w:p>
      <w:pPr>
        <w:pStyle w:val="BookText"/>
      </w:pPr>
      <w:r>
        <w:rPr>
          <w:rFonts w:ascii="IRNazanin" w:hAnsi="IRNazanin" w:eastAsia="IRNazanin" w:cs="IRNazanin"/>
          <w:lang w:bidi="fa-IR"/>
          <w:color w:val="111111"/>
          <w:sz w:val="28"/>
          <w:szCs w:val="28"/>
          <w:rtl/>
        </w:rPr>
        <w:t xml:space="preserve">[شماره صفحه واقعی : 546]
</w:t>
      </w:r>
    </w:p>
    <w:p>
      <w:pPr>
        <w:sectPr>
          <w:footerReference w:type="default" r:id="rId1225"/>
          <w:footnotePr>
            <w:numStart w:val="1"/>
            <w:numRestart w:val="eachPage"/>
          </w:footnotePr>
          <w:pgSz w:orient="portrait" w:w="11905.511811023622" w:h="16837.79527559055"/>
          <w:pgMar w:top="1440" w:right="1440" w:bottom="1440" w:left="1440" w:header="720" w:footer="720" w:gutter="0"/>
          <w:cols w:num="1" w:space="720"/>
        </w:sectPr>
      </w:pPr>
    </w:p>
    <w:bookmarkStart w:id="689" w:name="pg14411_143607"/>
    <w:bookmarkEnd w:id="689"/>
    <w:p>
      <w:pPr>
        <w:pStyle w:val="BookText"/>
      </w:pPr>
      <w:r>
        <w:rPr>
          <w:rFonts w:ascii="Amiri" w:hAnsi="Amiri" w:eastAsia="Amiri" w:cs="Amiri"/>
          <w:lang w:bidi="ar-SA"/>
          <w:color w:val="111111"/>
          <w:sz w:val="28"/>
          <w:szCs w:val="28"/>
          <w:rtl/>
        </w:rPr>
        <w:t xml:space="preserve">مِنْ أَنْفُسِهِمْ</w:t>
      </w:r>
    </w:p>
    <w:p>
      <w:pPr>
        <w:pStyle w:val="BookText"/>
      </w:pPr>
      <w:r>
        <w:rPr>
          <w:rStyle w:val="FootnoteReference"/>
        </w:rPr>
        <w:footnoteReference w:id="4178"/>
      </w:r>
      <w:r>
        <w:rPr>
          <w:rFonts w:ascii="Amiri" w:hAnsi="Amiri" w:eastAsia="Amiri" w:cs="Amiri"/>
          <w:lang w:bidi="ar-SA"/>
          <w:color w:val="111111"/>
          <w:sz w:val="28"/>
          <w:szCs w:val="28"/>
          <w:rtl/>
        </w:rPr>
        <w:t xml:space="preserve">
،و مٰا کٰانَ لِمُؤْمِنٍ وَ لاٰ مُؤْمِنَةٍ إِذٰا قَضَی اللّٰهُ وَ رَسُولُهُ أَمْراً أَنْ یَکُونَ لَهُمُ الْخِیَرَةُ مِنْ أَمْرِهِمْ </w:t>
      </w:r>
      <w:r>
        <w:rPr>
          <w:rStyle w:val="FootnoteReference"/>
        </w:rPr>
        <w:footnoteReference w:id="4179"/>
      </w:r>
      <w:r>
        <w:rPr>
          <w:rFonts w:ascii="Amiri" w:hAnsi="Amiri" w:eastAsia="Amiri" w:cs="Amiri"/>
          <w:lang w:bidi="ar-SA"/>
          <w:color w:val="111111"/>
          <w:sz w:val="28"/>
          <w:szCs w:val="28"/>
          <w:rtl/>
        </w:rPr>
        <w:t xml:space="preserve">، فَلْیَحْذَرِ الَّذِینَ یُخٰالِفُونَ عَنْ أَمْرِهِ أَنْ تُصِیبَهُمْ فِتْنَةٌ أَوْ یُصِیبَهُمْ عَذٰابٌ أَلِیمٌ </w:t>
      </w:r>
      <w:r>
        <w:rPr>
          <w:rStyle w:val="FootnoteReference"/>
        </w:rPr>
        <w:footnoteReference w:id="4180"/>
      </w:r>
      <w:r>
        <w:rPr>
          <w:rFonts w:ascii="Amiri" w:hAnsi="Amiri" w:eastAsia="Amiri" w:cs="Amiri"/>
          <w:lang w:bidi="ar-SA"/>
          <w:color w:val="111111"/>
          <w:sz w:val="28"/>
          <w:szCs w:val="28"/>
          <w:rtl/>
        </w:rPr>
        <w:t xml:space="preserve">،و أَطِیعُوا اللّٰهَ وَ أَطِیعُوا الرَّسُولَ وَ أُولِی الْأَمْرِ مِنْکُمْ </w:t>
      </w:r>
      <w:r>
        <w:rPr>
          <w:rStyle w:val="FootnoteReference"/>
        </w:rPr>
        <w:footnoteReference w:id="4181"/>
      </w:r>
      <w:r>
        <w:rPr>
          <w:rFonts w:ascii="Amiri" w:hAnsi="Amiri" w:eastAsia="Amiri" w:cs="Amiri"/>
          <w:lang w:bidi="ar-SA"/>
          <w:color w:val="111111"/>
          <w:sz w:val="28"/>
          <w:szCs w:val="28"/>
          <w:rtl/>
        </w:rPr>
        <w:t xml:space="preserve">،و إِنَّمٰا وَلِیُّکُمُ اللّٰهُ وَ رَسُولُهُ... الآیة </w:t>
      </w:r>
      <w:r>
        <w:rPr>
          <w:rStyle w:val="FootnoteReference"/>
        </w:rPr>
        <w:footnoteReference w:id="4182"/>
      </w:r>
      <w:r>
        <w:rPr>
          <w:rFonts w:ascii="IRNazanin" w:hAnsi="IRNazanin" w:eastAsia="IRNazanin" w:cs="IRNazanin"/>
          <w:lang w:bidi="fa-IR"/>
          <w:color w:val="111111"/>
          <w:sz w:val="28"/>
          <w:szCs w:val="28"/>
          <w:rtl/>
        </w:rPr>
        <w:t xml:space="preserve">،إلی غیر ذلک.</w:t>
      </w:r>
    </w:p>
    <w:p>
      <w:pPr>
        <w:pStyle w:val="Heading6"/>
      </w:pPr>
      <w:bookmarkStart w:id="2365" w:name="_Toc1400"/>
      <w:r>
        <w:t>[الاستدلال بالروایات]</w:t>
      </w:r>
      <w:bookmarkEnd w:id="2365"/>
    </w:p>
    <w:p>
      <w:pPr>
        <w:pStyle w:val="BookText"/>
      </w:pPr>
      <w:r>
        <w:rPr>
          <w:rFonts w:ascii="IRNazanin" w:hAnsi="IRNazanin" w:eastAsia="IRNazanin" w:cs="IRNazanin"/>
          <w:lang w:bidi="fa-IR"/>
          <w:color w:val="111111"/>
          <w:sz w:val="28"/>
          <w:szCs w:val="28"/>
          <w:rtl/>
        </w:rPr>
        <w:t xml:space="preserve">و قال النبیّ صلّی اللّٰه علیه و آله-کما فی روایة أیوب بن عطیة-:«أنا أولی بکلّ مؤمن من نفسه» </w:t>
      </w:r>
      <w:r>
        <w:rPr>
          <w:rStyle w:val="FootnoteReference"/>
        </w:rPr>
        <w:footnoteReference w:id="4183"/>
      </w:r>
      <w:r>
        <w:rPr>
          <w:rFonts w:ascii="IRNazanin" w:hAnsi="IRNazanin" w:eastAsia="IRNazanin" w:cs="IRNazanin"/>
          <w:lang w:bidi="fa-IR"/>
          <w:color w:val="111111"/>
          <w:sz w:val="28"/>
          <w:szCs w:val="28"/>
          <w:rtl/>
        </w:rPr>
        <w:t xml:space="preserve">،و قال فی یوم غدیر خم:«أ لست أولی بکم من أنفسکم؟قالوا:بلی.قال:من کنت مولاه فهذا علیّ مولاه» </w:t>
      </w:r>
      <w:r>
        <w:rPr>
          <w:rStyle w:val="FootnoteReference"/>
        </w:rPr>
        <w:footnoteReference w:id="41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[*ستوده]</w:t>
      </w:r>
    </w:p>
    <w:p>
      <w:pPr>
        <w:pStyle w:val="BookText"/>
      </w:pPr>
      <w:r>
        <w:rPr>
          <w:rFonts w:ascii="IRNazanin" w:hAnsi="IRNazanin" w:eastAsia="IRNazanin" w:cs="IRNazanin"/>
          <w:lang w:bidi="fa-IR"/>
          <w:color w:val="111111"/>
          <w:sz w:val="28"/>
          <w:szCs w:val="28"/>
          <w:rtl/>
        </w:rPr>
        <w:t xml:space="preserve">و الأخبار فی افتراض طاعتهم و کون معصیتهم کمعصیة اللّٰه کثیرة، یکفی فی ذلک منها مقبولة عمر بن حنظلة </w:t>
      </w:r>
      <w:r>
        <w:rPr>
          <w:rStyle w:val="FootnoteReference"/>
        </w:rPr>
        <w:footnoteReference w:id="4185"/>
      </w:r>
      <w:r>
        <w:rPr>
          <w:rFonts w:ascii="IRNazanin" w:hAnsi="IRNazanin" w:eastAsia="IRNazanin" w:cs="IRNazanin"/>
          <w:lang w:bidi="fa-IR"/>
          <w:color w:val="111111"/>
          <w:sz w:val="28"/>
          <w:szCs w:val="28"/>
          <w:rtl/>
        </w:rPr>
        <w:t xml:space="preserve">،و مشهورة أبی خدیجة </w:t>
      </w:r>
      <w:r>
        <w:rPr>
          <w:rStyle w:val="FootnoteReference"/>
        </w:rPr>
        <w:footnoteReference w:id="4186"/>
      </w:r>
      <w:r>
        <w:rPr>
          <w:rFonts w:ascii="IRNazanin" w:hAnsi="IRNazanin" w:eastAsia="IRNazanin" w:cs="IRNazanin"/>
          <w:lang w:bidi="fa-IR"/>
          <w:color w:val="111111"/>
          <w:sz w:val="28"/>
          <w:szCs w:val="28"/>
          <w:rtl/>
        </w:rPr>
        <w:t xml:space="preserve">، و التوقیع الآتی </w:t>
      </w:r>
      <w:r>
        <w:rPr>
          <w:rStyle w:val="FootnoteReference"/>
        </w:rPr>
        <w:footnoteReference w:id="4187"/>
      </w:r>
      <w:r>
        <w:rPr>
          <w:rFonts w:ascii="IRNazanin" w:hAnsi="IRNazanin" w:eastAsia="IRNazanin" w:cs="IRNazanin"/>
          <w:lang w:bidi="fa-IR"/>
          <w:color w:val="111111"/>
          <w:sz w:val="28"/>
          <w:szCs w:val="28"/>
          <w:rtl/>
        </w:rPr>
        <w:t xml:space="preserve">،حیث علّل فیها حکومة الفقیه و تسلّطه علی الناس:</w:t>
      </w:r>
    </w:p>
    <w:p>
      <w:pPr>
        <w:pStyle w:val="BookText"/>
      </w:pPr>
      <w:r>
        <w:rPr>
          <w:rFonts w:ascii="IRNazanin" w:hAnsi="IRNazanin" w:eastAsia="IRNazanin" w:cs="IRNazanin"/>
          <w:lang w:bidi="fa-IR"/>
          <w:color w:val="111111"/>
          <w:sz w:val="28"/>
          <w:szCs w:val="28"/>
          <w:rtl/>
        </w:rPr>
        <w:t xml:space="preserve">بأنی قد جعلته کذلک،و أنّه حجّتی علیکم.</w:t>
      </w:r>
    </w:p>
    <w:p>
      <w:pPr>
        <w:pStyle w:val="BookText"/>
      </w:pPr>
      <w:r>
        <w:rPr>
          <w:rFonts w:ascii="IRNazanin" w:hAnsi="IRNazanin" w:eastAsia="IRNazanin" w:cs="IRNazanin"/>
          <w:lang w:bidi="fa-IR"/>
          <w:color w:val="111111"/>
          <w:sz w:val="28"/>
          <w:szCs w:val="28"/>
          <w:rtl/>
        </w:rPr>
        <w:t xml:space="preserve">[شماره صفحه واقعی : 547]
</w:t>
      </w:r>
    </w:p>
    <w:p>
      <w:pPr>
        <w:sectPr>
          <w:footerReference w:type="default" r:id="rId1226"/>
          <w:footnotePr>
            <w:numStart w:val="1"/>
            <w:numRestart w:val="eachPage"/>
          </w:footnotePr>
          <w:pgSz w:orient="portrait" w:w="11905.511811023622" w:h="16837.79527559055"/>
          <w:pgMar w:top="1440" w:right="1440" w:bottom="1440" w:left="1440" w:header="720" w:footer="720" w:gutter="0"/>
          <w:cols w:num="1" w:space="720"/>
        </w:sectPr>
      </w:pPr>
    </w:p>
    <w:bookmarkStart w:id="690" w:name="pg14411_143608"/>
    <w:bookmarkEnd w:id="690"/>
    <w:p>
      <w:pPr>
        <w:pStyle w:val="Heading6"/>
      </w:pPr>
      <w:bookmarkStart w:id="2366" w:name="_Toc1401"/>
      <w:r>
        <w:t>[الاستدلال بالإجماع و العقل]</w:t>
      </w:r>
      <w:bookmarkEnd w:id="2366"/>
    </w:p>
    <w:p>
      <w:pPr>
        <w:pStyle w:val="BookText"/>
      </w:pPr>
      <w:r>
        <w:rPr>
          <w:rFonts w:ascii="Amiri" w:hAnsi="Amiri" w:eastAsia="Amiri" w:cs="Amiri"/>
          <w:lang w:bidi="ar-SA"/>
          <w:color w:val="111111"/>
          <w:sz w:val="28"/>
          <w:szCs w:val="28"/>
          <w:rtl/>
        </w:rPr>
        <w:t xml:space="preserve">و أمّا الإجماع فغیر خفیّ.</w:t>
      </w:r>
    </w:p>
    <w:p>
      <w:pPr>
        <w:pStyle w:val="BookText"/>
      </w:pPr>
      <w:r>
        <w:rPr>
          <w:rFonts w:ascii="IRNazanin" w:hAnsi="IRNazanin" w:eastAsia="IRNazanin" w:cs="IRNazanin"/>
          <w:lang w:bidi="fa-IR"/>
          <w:color w:val="111111"/>
          <w:sz w:val="28"/>
          <w:szCs w:val="28"/>
          <w:rtl/>
        </w:rPr>
        <w:t xml:space="preserve">و أمّا العقل القطعی،فالمستقلّ منه حکمه بوجوب شکر المنعم بعد معرفة أنّهم أولیاء النعم،و الغیر المستقلّ حکمه بأنّ الأُبوّة إذا اقتضت وجوب طاعة الأب علی الابن فی الجملة،کانت الإمامة مقتضیة لوجوب طاعة الإمام علی الرعیّة بطریق أولی؛لأنّ الحقّ هنا أعظم بمراتب،فتأمّل.</w:t>
      </w:r>
    </w:p>
    <w:p>
      <w:pPr>
        <w:pStyle w:val="BookText"/>
      </w:pPr>
      <w:r>
        <w:rPr>
          <w:rFonts w:ascii="IRNazanin" w:hAnsi="IRNazanin" w:eastAsia="IRNazanin" w:cs="IRNazanin"/>
          <w:lang w:bidi="fa-IR"/>
          <w:color w:val="111111"/>
          <w:sz w:val="28"/>
          <w:szCs w:val="28"/>
          <w:rtl/>
        </w:rPr>
        <w:t xml:space="preserve">و المقصود من جمیع ذلک:دفع ما یتوهّم من أنّ وجوب طاعة الإمام مختصّ بالأوامر الشرعیّة،و أنّه لا دلیل علی وجوب إطاعته </w:t>
      </w:r>
      <w:r>
        <w:rPr>
          <w:rStyle w:val="FootnoteReference"/>
        </w:rPr>
        <w:footnoteReference w:id="4188"/>
      </w:r>
      <w:r>
        <w:rPr>
          <w:rFonts w:ascii="IRNazanin" w:hAnsi="IRNazanin" w:eastAsia="IRNazanin" w:cs="IRNazanin"/>
          <w:lang w:bidi="fa-IR"/>
          <w:color w:val="111111"/>
          <w:sz w:val="28"/>
          <w:szCs w:val="28"/>
          <w:rtl/>
        </w:rPr>
        <w:t xml:space="preserve">فی أوامره العرفیّة أو سلطنته علی الأموال و الأنفس.</w:t>
      </w:r>
    </w:p>
    <w:p>
      <w:pPr>
        <w:pStyle w:val="BookText"/>
      </w:pPr>
      <w:r>
        <w:rPr>
          <w:rFonts w:ascii="IRNazanin" w:hAnsi="IRNazanin" w:eastAsia="IRNazanin" w:cs="IRNazanin"/>
          <w:lang w:bidi="fa-IR"/>
          <w:color w:val="111111"/>
          <w:sz w:val="28"/>
          <w:szCs w:val="28"/>
          <w:rtl/>
        </w:rPr>
        <w:t xml:space="preserve">و بالجملة،فالمستفاد من الأدلّة الأربعة بعد التتبّع و التأمّل:أنّ للإمام علیه السلام سلطنة مطلقة علی الرعیّة من قبل اللّٰه تعالی،و أنّ تصرّفهم نافذ علی الرعیّة ماضٍ مطلقاً.</w:t>
      </w:r>
    </w:p>
    <w:p>
      <w:pPr>
        <w:pStyle w:val="BookText"/>
      </w:pPr>
      <w:r>
        <w:rPr>
          <w:rFonts w:ascii="IRNazanin" w:hAnsi="IRNazanin" w:eastAsia="IRNazanin" w:cs="IRNazanin"/>
          <w:lang w:bidi="fa-IR"/>
          <w:color w:val="111111"/>
          <w:sz w:val="28"/>
          <w:szCs w:val="28"/>
          <w:rtl/>
        </w:rPr>
        <w:t xml:space="preserve">هذا کلّه فی ولایتهم بالمعنی الأوّل.</w:t>
      </w:r>
    </w:p>
    <w:p>
      <w:pPr>
        <w:pStyle w:val="Heading6"/>
      </w:pPr>
      <w:bookmarkStart w:id="2367" w:name="_Toc1402"/>
      <w:r>
        <w:t>[الاستدلال بالروایات بالمعنی الثانی و الاستدلال علیه]</w:t>
      </w:r>
      <w:bookmarkEnd w:id="2367"/>
    </w:p>
    <w:p>
      <w:pPr>
        <w:pStyle w:val="BookText"/>
      </w:pPr>
      <w:r>
        <w:rPr>
          <w:rFonts w:ascii="IRNazanin" w:hAnsi="IRNazanin" w:eastAsia="IRNazanin" w:cs="IRNazanin"/>
          <w:lang w:bidi="fa-IR"/>
          <w:color w:val="111111"/>
          <w:sz w:val="28"/>
          <w:szCs w:val="28"/>
          <w:rtl/>
        </w:rPr>
        <w:t xml:space="preserve">و أمّا بالمعنی الثانی-أعنی اشتراط تصرّف الغیر بإذنهم-فهو و إن کان مخالفاً للأصل،إلّا أنّه قد ورد أخبار خاصّة بوجوب الرجوع إلیهم </w:t>
      </w:r>
      <w:r>
        <w:rPr>
          <w:rStyle w:val="FootnoteReference"/>
        </w:rPr>
        <w:footnoteReference w:id="4189"/>
      </w:r>
      <w:r>
        <w:rPr>
          <w:rFonts w:ascii="IRNazanin" w:hAnsi="IRNazanin" w:eastAsia="IRNazanin" w:cs="IRNazanin"/>
          <w:lang w:bidi="fa-IR"/>
          <w:color w:val="111111"/>
          <w:sz w:val="28"/>
          <w:szCs w:val="28"/>
          <w:rtl/>
        </w:rPr>
        <w:t xml:space="preserve">، و عدم جواز الاستقلال لغیرهم بالنسبة إلی المصالح المطلوبة للشارع الغیر المأخوذة علی شخص معیّن من الرعیّة،کالحدود و التعزیرات،و التصرّف فی أموال القاصرین،و إلزام الناس بالخروج عن الحقوق،و نحو ذلک.</w:t>
      </w:r>
    </w:p>
    <w:p>
      <w:pPr>
        <w:pStyle w:val="BookText"/>
      </w:pPr>
      <w:r>
        <w:rPr>
          <w:rFonts w:ascii="IRNazanin" w:hAnsi="IRNazanin" w:eastAsia="IRNazanin" w:cs="IRNazanin"/>
          <w:lang w:bidi="fa-IR"/>
          <w:color w:val="111111"/>
          <w:sz w:val="28"/>
          <w:szCs w:val="28"/>
          <w:rtl/>
        </w:rPr>
        <w:t xml:space="preserve">[شماره صفحه واقعی : 548]
</w:t>
      </w:r>
    </w:p>
    <w:p>
      <w:pPr>
        <w:sectPr>
          <w:footerReference w:type="default" r:id="rId1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یکفی فی ذلک ما دلّ علی أنّهم أُولو الأمر و ولاته </w:t>
      </w:r>
      <w:r>
        <w:rPr>
          <w:rStyle w:val="FootnoteReference"/>
        </w:rPr>
        <w:footnoteReference w:id="4190"/>
      </w:r>
      <w:r>
        <w:rPr>
          <w:rFonts w:ascii="IRNazanin" w:hAnsi="IRNazanin" w:eastAsia="IRNazanin" w:cs="IRNazanin"/>
          <w:lang w:bidi="fa-IR"/>
          <w:color w:val="111111"/>
          <w:sz w:val="28"/>
          <w:szCs w:val="28"/>
          <w:rtl/>
        </w:rPr>
        <w:t xml:space="preserve">فإنّ الظاهر من هذا العنوان عرفاً:من یجب الرجوع إلیه فی الأُمور العامّة التی لم تحمل فی الشرع علی شخص خاصّ.</w:t>
      </w:r>
    </w:p>
    <w:p>
      <w:pPr>
        <w:pStyle w:val="BookText"/>
      </w:pPr>
      <w:r>
        <w:rPr>
          <w:rFonts w:ascii="IRNazanin" w:hAnsi="IRNazanin" w:eastAsia="IRNazanin" w:cs="IRNazanin"/>
          <w:lang w:bidi="fa-IR"/>
          <w:color w:val="111111"/>
          <w:sz w:val="28"/>
          <w:szCs w:val="28"/>
          <w:rtl/>
        </w:rPr>
        <w:t xml:space="preserve">و کذا ما دلّ علی وجوب الرجوع فی الوقائع الحادثة إلی رواة الحدیث معلّلاً ب«أنّهم حجّتی علیکم و أنا حجّة اللّٰه» </w:t>
      </w:r>
      <w:r>
        <w:rPr>
          <w:rStyle w:val="FootnoteReference"/>
        </w:rPr>
        <w:footnoteReference w:id="4191"/>
      </w:r>
      <w:r>
        <w:rPr>
          <w:rFonts w:ascii="IRNazanin" w:hAnsi="IRNazanin" w:eastAsia="IRNazanin" w:cs="IRNazanin"/>
          <w:lang w:bidi="fa-IR"/>
          <w:color w:val="111111"/>
          <w:sz w:val="28"/>
          <w:szCs w:val="28"/>
          <w:rtl/>
        </w:rPr>
        <w:t xml:space="preserve">فإنّه دلّ علی أنّ الإمام هو المرجع الأصلی.</w:t>
      </w:r>
    </w:p>
    <w:p>
      <w:pPr>
        <w:pStyle w:val="BookText"/>
      </w:pPr>
      <w:r>
        <w:rPr>
          <w:rFonts w:ascii="IRNazanin" w:hAnsi="IRNazanin" w:eastAsia="IRNazanin" w:cs="IRNazanin"/>
          <w:lang w:bidi="fa-IR"/>
          <w:color w:val="111111"/>
          <w:sz w:val="28"/>
          <w:szCs w:val="28"/>
          <w:rtl/>
        </w:rPr>
        <w:t xml:space="preserve">و ما عن العلل بسنده إلی الفضل بن شاذان عن مولانا أبی الحسن الرضا علیه السلام فی علل حاجة الناس إلی الإمام علیه السلام،حیث قال-بعد ذکر جملة من العلل-:«و منها:أنّا لا نجد فرقة من الفِرَق، و لا ملّة من الملل عاشوا و بقوا </w:t>
      </w:r>
      <w:r>
        <w:rPr>
          <w:rStyle w:val="FootnoteReference"/>
        </w:rPr>
        <w:footnoteReference w:id="4192"/>
      </w:r>
      <w:r>
        <w:rPr>
          <w:rFonts w:ascii="IRNazanin" w:hAnsi="IRNazanin" w:eastAsia="IRNazanin" w:cs="IRNazanin"/>
          <w:lang w:bidi="fa-IR"/>
          <w:color w:val="111111"/>
          <w:sz w:val="28"/>
          <w:szCs w:val="28"/>
          <w:rtl/>
        </w:rPr>
        <w:t xml:space="preserve">إلّا بقیّم و رئیس؛لما لا بدّ لهم منه فی </w:t>
      </w:r>
      <w:r>
        <w:rPr>
          <w:rStyle w:val="FootnoteReference"/>
        </w:rPr>
        <w:footnoteReference w:id="4193"/>
      </w:r>
      <w:r>
        <w:rPr>
          <w:rFonts w:ascii="IRNazanin" w:hAnsi="IRNazanin" w:eastAsia="IRNazanin" w:cs="IRNazanin"/>
          <w:lang w:bidi="fa-IR"/>
          <w:color w:val="111111"/>
          <w:sz w:val="28"/>
          <w:szCs w:val="28"/>
          <w:rtl/>
        </w:rPr>
        <w:t xml:space="preserve">أمر الدین و الدنیا،فلم یجز فی حکمة الحکیم أن یترک الخلق بما یعلم </w:t>
      </w:r>
      <w:r>
        <w:rPr>
          <w:rStyle w:val="FootnoteReference"/>
        </w:rPr>
        <w:footnoteReference w:id="4194"/>
      </w:r>
      <w:r>
        <w:rPr>
          <w:rFonts w:ascii="Amiri" w:hAnsi="Amiri" w:eastAsia="Amiri" w:cs="Amiri"/>
          <w:lang w:bidi="ar-SA"/>
          <w:color w:val="111111"/>
          <w:sz w:val="28"/>
          <w:szCs w:val="28"/>
          <w:rtl/>
        </w:rPr>
        <w:t xml:space="preserve">أنّه </w:t>
      </w:r>
      <w:r>
        <w:rPr>
          <w:rStyle w:val="FootnoteReference"/>
        </w:rPr>
        <w:footnoteReference w:id="4195"/>
      </w:r>
      <w:r>
        <w:rPr>
          <w:rFonts w:ascii="IRNazanin" w:hAnsi="IRNazanin" w:eastAsia="IRNazanin" w:cs="IRNazanin"/>
          <w:lang w:bidi="fa-IR"/>
          <w:color w:val="111111"/>
          <w:sz w:val="28"/>
          <w:szCs w:val="28"/>
          <w:rtl/>
        </w:rPr>
        <w:t xml:space="preserve">لا بدّ لهم منه </w:t>
      </w:r>
      <w:r>
        <w:rPr>
          <w:rStyle w:val="FootnoteReference"/>
        </w:rPr>
        <w:footnoteReference w:id="4196"/>
      </w:r>
      <w:r>
        <w:rPr>
          <w:rFonts w:ascii="IRNazanin" w:hAnsi="IRNazanin" w:eastAsia="IRNazanin" w:cs="IRNazanin"/>
          <w:lang w:bidi="fa-IR"/>
          <w:color w:val="111111"/>
          <w:sz w:val="28"/>
          <w:szCs w:val="28"/>
          <w:rtl/>
        </w:rPr>
        <w:t xml:space="preserve">و لا قوام لهم إلّا به» </w:t>
      </w:r>
      <w:r>
        <w:rPr>
          <w:rStyle w:val="FootnoteReference"/>
        </w:rPr>
        <w:footnoteReference w:id="41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549]
</w:t>
      </w:r>
    </w:p>
    <w:p>
      <w:pPr>
        <w:sectPr>
          <w:footerReference w:type="default" r:id="rId1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هذا،مضافاً إلی ما ورد فی خصوص الحدود و التعزیرات و الحکومات،و أنّها لإمام المسلمین </w:t>
      </w:r>
      <w:r>
        <w:rPr>
          <w:rStyle w:val="FootnoteReference"/>
        </w:rPr>
        <w:footnoteReference w:id="4198"/>
      </w:r>
      <w:r>
        <w:rPr>
          <w:rFonts w:ascii="IRNazanin" w:hAnsi="IRNazanin" w:eastAsia="IRNazanin" w:cs="IRNazanin"/>
          <w:lang w:bidi="fa-IR"/>
          <w:color w:val="111111"/>
          <w:sz w:val="28"/>
          <w:szCs w:val="28"/>
          <w:rtl/>
        </w:rPr>
        <w:t xml:space="preserve">،و فی الصلاة علی الجنائز من:أنّ سلطان اللّٰه أحقّ بها من کلّ أحد </w:t>
      </w:r>
      <w:r>
        <w:rPr>
          <w:rStyle w:val="FootnoteReference"/>
        </w:rPr>
        <w:footnoteReference w:id="4199"/>
      </w:r>
      <w:r>
        <w:rPr>
          <w:rFonts w:ascii="IRNazanin" w:hAnsi="IRNazanin" w:eastAsia="IRNazanin" w:cs="IRNazanin"/>
          <w:lang w:bidi="fa-IR"/>
          <w:color w:val="111111"/>
          <w:sz w:val="28"/>
          <w:szCs w:val="28"/>
          <w:rtl/>
        </w:rPr>
        <w:t xml:space="preserve">،و غیر ذلک ممّا یعثر علیه المتتبّع.</w:t>
      </w:r>
    </w:p>
    <w:p>
      <w:pPr>
        <w:pStyle w:val="BookText"/>
      </w:pPr>
      <w:r>
        <w:rPr>
          <w:rFonts w:ascii="IRNazanin" w:hAnsi="IRNazanin" w:eastAsia="IRNazanin" w:cs="IRNazanin"/>
          <w:lang w:bidi="fa-IR"/>
          <w:color w:val="111111"/>
          <w:sz w:val="28"/>
          <w:szCs w:val="28"/>
          <w:rtl/>
        </w:rPr>
        <w:t xml:space="preserve">و کیف کان،فلا إشکال فی عدم جواز التصرّف فی کثیرٍ من الأُمور العامّة بدون إذنهم و رضاهم،لکن لا عموم یقتضی أصالة توقّف کلّ تصرّفٍ علی الإذن.</w:t>
      </w:r>
    </w:p>
    <w:p>
      <w:pPr>
        <w:pStyle w:val="BookText"/>
      </w:pPr>
      <w:r>
        <w:rPr>
          <w:rFonts w:ascii="IRNazanin" w:hAnsi="IRNazanin" w:eastAsia="IRNazanin" w:cs="IRNazanin"/>
          <w:lang w:bidi="fa-IR"/>
          <w:color w:val="111111"/>
          <w:sz w:val="28"/>
          <w:szCs w:val="28"/>
          <w:rtl/>
        </w:rPr>
        <w:t xml:space="preserve">نعم،الأُمور التی یرجع فیها کلّ قومٍ إلی رئیسهم،لا یبعد الاطّراد فیها بمقتضی کونهم اولی الأمر و ولاته و المرجع الأصلی فی الحوادث الواقعة،و المرجع فی غیر ذلک من موارد الشکّ إلی إطلاقات أدلّة تلک التصرّفات إن وجدت علی الجواز أو المنع،و إلّا فإلی الأُصول العملیّة،لکن حیث کان الکلام فی اعتبار إذن الإمام علیه السلام أو نائبه الخاصّ مع التمکّن منه لم یجز إجراء الأُصول؛لأنّها لا تنفع مع التمکّن </w:t>
      </w:r>
      <w:r>
        <w:rPr>
          <w:rStyle w:val="FootnoteReference"/>
        </w:rPr>
        <w:footnoteReference w:id="4200"/>
      </w:r>
      <w:r>
        <w:rPr>
          <w:rFonts w:ascii="IRNazanin" w:hAnsi="IRNazanin" w:eastAsia="IRNazanin" w:cs="IRNazanin"/>
          <w:lang w:bidi="fa-IR"/>
          <w:color w:val="111111"/>
          <w:sz w:val="28"/>
          <w:szCs w:val="28"/>
          <w:rtl/>
        </w:rPr>
        <w:t xml:space="preserve">من الرجوع إلی الحجّة،و إنّما تنفع </w:t>
      </w:r>
      <w:r>
        <w:rPr>
          <w:rStyle w:val="FootnoteReference"/>
        </w:rPr>
        <w:footnoteReference w:id="4201"/>
      </w:r>
      <w:r>
        <w:rPr>
          <w:rFonts w:ascii="IRNazanin" w:hAnsi="IRNazanin" w:eastAsia="IRNazanin" w:cs="IRNazanin"/>
          <w:lang w:bidi="fa-IR"/>
          <w:color w:val="111111"/>
          <w:sz w:val="28"/>
          <w:szCs w:val="28"/>
          <w:rtl/>
        </w:rPr>
        <w:t xml:space="preserve">مع عدم التمکّن من الرجوع إلیها</w:t>
      </w:r>
    </w:p>
    <w:p>
      <w:pPr>
        <w:pStyle w:val="BookText"/>
      </w:pPr>
      <w:r>
        <w:rPr>
          <w:rFonts w:ascii="IRNazanin" w:hAnsi="IRNazanin" w:eastAsia="IRNazanin" w:cs="IRNazanin"/>
          <w:lang w:bidi="fa-IR"/>
          <w:color w:val="111111"/>
          <w:sz w:val="28"/>
          <w:szCs w:val="28"/>
          <w:rtl/>
        </w:rPr>
        <w:t xml:space="preserve">[شماره صفحه واقعی : 550]
</w:t>
      </w:r>
    </w:p>
    <w:p>
      <w:pPr>
        <w:sectPr>
          <w:footerReference w:type="default" r:id="rId1229"/>
          <w:footnotePr>
            <w:numStart w:val="1"/>
            <w:numRestart w:val="eachPage"/>
          </w:footnotePr>
          <w:pgSz w:orient="portrait" w:w="11905.511811023622" w:h="16837.79527559055"/>
          <w:pgMar w:top="1440" w:right="1440" w:bottom="1440" w:left="1440" w:header="720" w:footer="720" w:gutter="0"/>
          <w:cols w:num="1" w:space="720"/>
        </w:sectPr>
      </w:pPr>
    </w:p>
    <w:bookmarkStart w:id="691" w:name="pg14411_143611"/>
    <w:bookmarkEnd w:id="691"/>
    <w:p>
      <w:pPr>
        <w:pStyle w:val="BookText"/>
      </w:pPr>
      <w:r>
        <w:rPr>
          <w:rFonts w:ascii="IRNazanin" w:hAnsi="IRNazanin" w:eastAsia="IRNazanin" w:cs="IRNazanin"/>
          <w:lang w:bidi="fa-IR"/>
          <w:color w:val="111111"/>
          <w:sz w:val="28"/>
          <w:szCs w:val="28"/>
          <w:rtl/>
        </w:rPr>
        <w:t xml:space="preserve">لبعض العوارض </w:t>
      </w:r>
      <w:r>
        <w:rPr>
          <w:rStyle w:val="FootnoteReference"/>
        </w:rPr>
        <w:footnoteReference w:id="4202"/>
      </w:r>
      <w:r>
        <w:rPr>
          <w:rFonts w:ascii="Times New Roman" w:hAnsi="Times New Roman" w:eastAsia="Times New Roman" w:cs="Times New Roman"/>
          <w:lang w:val="en-US" w:bidi="en-US"/>
          <w:color w:val="111111"/>
          <w:sz w:val="28"/>
          <w:szCs w:val="28"/>
          <w:rtl/>
        </w:rPr>
        <w:t xml:space="preserve">.</w:t>
      </w:r>
    </w:p>
    <w:p>
      <w:pPr>
        <w:pStyle w:val="Heading6"/>
      </w:pPr>
      <w:bookmarkStart w:id="2368" w:name="_Toc1403"/>
      <w:r>
        <w:t>[الکلام فی ولایة الفقیه بالمعنی الأول]</w:t>
      </w:r>
      <w:bookmarkEnd w:id="2368"/>
    </w:p>
    <w:p>
      <w:pPr>
        <w:pStyle w:val="Heading6"/>
      </w:pPr>
      <w:bookmarkStart w:id="2369" w:name="_Toc1404"/>
      <w:r>
        <w:t>اشارة</w:t>
      </w:r>
      <w:bookmarkEnd w:id="2369"/>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[*ستوده]</w:t>
      </w:r>
    </w:p>
    <w:p>
      <w:pPr>
        <w:pStyle w:val="BookText"/>
      </w:pPr>
      <w:r>
        <w:rPr>
          <w:rFonts w:ascii="IRNazanin" w:hAnsi="IRNazanin" w:eastAsia="IRNazanin" w:cs="IRNazanin"/>
          <w:lang w:bidi="fa-IR"/>
          <w:color w:val="111111"/>
          <w:sz w:val="28"/>
          <w:szCs w:val="28"/>
          <w:rtl/>
        </w:rPr>
        <w:t xml:space="preserve">و بالجملة،فلا یهمّنا التعرّض لذلک،إنّما المهمّ التعرّض لحکم ولایة الفقیه بأحد الوجهین المتقدّمین،فنقول:</w:t>
      </w:r>
    </w:p>
    <w:p>
      <w:pPr>
        <w:pStyle w:val="Heading6"/>
      </w:pPr>
      <w:bookmarkStart w:id="2370" w:name="_Toc1405"/>
      <w:r>
        <w:t>[الاستدلال علیها بالروایات]</w:t>
      </w:r>
      <w:bookmarkEnd w:id="2370"/>
    </w:p>
    <w:p>
      <w:pPr>
        <w:pStyle w:val="BookText"/>
      </w:pPr>
      <w:r>
        <w:rPr>
          <w:rFonts w:ascii="IRNazanin" w:hAnsi="IRNazanin" w:eastAsia="IRNazanin" w:cs="IRNazanin"/>
          <w:lang w:bidi="fa-IR"/>
          <w:color w:val="111111"/>
          <w:sz w:val="28"/>
          <w:szCs w:val="28"/>
          <w:rtl/>
        </w:rPr>
        <w:t xml:space="preserve">أمّا الولایة علی الوجه الأوّل-أعنی استقلاله فی التصرّف-فلم یثبت بعمومٍ عدا ما ربما یتخیّل من أخبار واردة فی شأن العلماء مثل:</w:t>
      </w:r>
    </w:p>
    <w:p>
      <w:pPr>
        <w:pStyle w:val="BookText"/>
      </w:pPr>
      <w:r>
        <w:rPr>
          <w:rFonts w:ascii="IRNazanin" w:hAnsi="IRNazanin" w:eastAsia="IRNazanin" w:cs="IRNazanin"/>
          <w:lang w:bidi="fa-IR"/>
          <w:color w:val="111111"/>
          <w:sz w:val="28"/>
          <w:szCs w:val="28"/>
          <w:rtl/>
        </w:rPr>
        <w:t xml:space="preserve">«أنّ العلماء ورثة الأنبیاء،و[ذاک] </w:t>
      </w:r>
      <w:r>
        <w:rPr>
          <w:rStyle w:val="FootnoteReference"/>
        </w:rPr>
        <w:footnoteReference w:id="4203"/>
      </w:r>
      <w:r>
        <w:rPr>
          <w:rFonts w:ascii="IRNazanin" w:hAnsi="IRNazanin" w:eastAsia="IRNazanin" w:cs="IRNazanin"/>
          <w:lang w:bidi="fa-IR"/>
          <w:color w:val="111111"/>
          <w:sz w:val="28"/>
          <w:szCs w:val="28"/>
          <w:rtl/>
        </w:rPr>
        <w:t xml:space="preserve">أنّ الأنبیاء لم یورّثوا دیناراً و لا درهماً و لکن ورّثوا أحادیث من أحادیثهم،فمن أخذ بشیءٍ منها أخذ بحظٍّ وافر» </w:t>
      </w:r>
      <w:r>
        <w:rPr>
          <w:rStyle w:val="FootnoteReference"/>
        </w:rPr>
        <w:footnoteReference w:id="42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و«أنّ العلماء أُمناء الرسل» </w:t>
      </w:r>
      <w:r>
        <w:rPr>
          <w:rStyle w:val="FootnoteReference"/>
        </w:rPr>
        <w:footnoteReference w:id="42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قوله علیه السلام:«مجاری الأُمور بید العلماء باللّٰه،الاُمناء علی حلاله و حرامه» </w:t>
      </w:r>
      <w:r>
        <w:rPr>
          <w:rStyle w:val="FootnoteReference"/>
        </w:rPr>
        <w:footnoteReference w:id="42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قوله صلّی اللّٰه علیه و آله و سلم:«علماء أُمّتی کأنبیاء بنی إسرائیل» </w:t>
      </w:r>
      <w:r>
        <w:rPr>
          <w:rStyle w:val="FootnoteReference"/>
        </w:rPr>
        <w:footnoteReference w:id="42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551]
</w:t>
      </w:r>
    </w:p>
    <w:p>
      <w:pPr>
        <w:sectPr>
          <w:footerReference w:type="default" r:id="rId1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المرسلة </w:t>
      </w:r>
      <w:r>
        <w:rPr>
          <w:rStyle w:val="FootnoteReference"/>
        </w:rPr>
        <w:footnoteReference w:id="4208"/>
      </w:r>
      <w:r>
        <w:rPr>
          <w:rFonts w:ascii="IRNazanin" w:hAnsi="IRNazanin" w:eastAsia="IRNazanin" w:cs="IRNazanin"/>
          <w:lang w:bidi="fa-IR"/>
          <w:color w:val="111111"/>
          <w:sz w:val="28"/>
          <w:szCs w:val="28"/>
          <w:rtl/>
        </w:rPr>
        <w:t xml:space="preserve">المرویّة فی الفقه الرضوی:«إنّ منزلة الفقیه فی هذا الوقت کمنزلة الأنبیاء فی بنی إسرائیل» </w:t>
      </w:r>
      <w:r>
        <w:rPr>
          <w:rStyle w:val="FootnoteReference"/>
        </w:rPr>
        <w:footnoteReference w:id="42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قوله علیه السلام </w:t>
      </w:r>
      <w:r>
        <w:rPr>
          <w:rStyle w:val="FootnoteReference"/>
        </w:rPr>
        <w:footnoteReference w:id="4210"/>
      </w:r>
      <w:r>
        <w:rPr>
          <w:rFonts w:ascii="Amiri" w:hAnsi="Amiri" w:eastAsia="Amiri" w:cs="Amiri"/>
          <w:lang w:bidi="ar-SA"/>
          <w:color w:val="111111"/>
          <w:sz w:val="28"/>
          <w:szCs w:val="28"/>
          <w:rtl/>
        </w:rPr>
        <w:t xml:space="preserve">فی نهج البلاغة:«أولی الناس بالأنبیاء:أعلمهم بما جاؤوا به إِنَّ أَوْلَی النّٰاسِ بِإِبْرٰاهِیمَ لَلَّذِینَ اتَّبَعُوهُ الآیة» </w:t>
      </w:r>
      <w:r>
        <w:rPr>
          <w:rStyle w:val="FootnoteReference"/>
        </w:rPr>
        <w:footnoteReference w:id="42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قوله صلّی اللّٰه علیه و آله و سلم ثلاثاً:«اللّهم ارحم خلفائی.قیل:و من خلفاؤک یا رسول اللّٰه؟قال:الذین یأتون بعدی،و یروون حدیثی و سنّتی» </w:t>
      </w:r>
      <w:r>
        <w:rPr>
          <w:rStyle w:val="FootnoteReference"/>
        </w:rPr>
        <w:footnoteReference w:id="42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قوله علیه السلام فی مقبولة ابن حنظلة:«قد جعلته علیکم حاکماً» </w:t>
      </w:r>
      <w:r>
        <w:rPr>
          <w:rStyle w:val="FootnoteReference"/>
        </w:rPr>
        <w:footnoteReference w:id="42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مشهورة أبی خدیجة:«جعلته علیکم قاضیاً» </w:t>
      </w:r>
      <w:r>
        <w:rPr>
          <w:rStyle w:val="FootnoteReference"/>
        </w:rPr>
        <w:footnoteReference w:id="42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عجّل اللّٰه فرجه:«هم حجّتی علیکم و أنا حجّة اللّٰه» </w:t>
      </w:r>
      <w:r>
        <w:rPr>
          <w:rStyle w:val="FootnoteReference"/>
        </w:rPr>
        <w:footnoteReference w:id="42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552]
</w:t>
      </w:r>
    </w:p>
    <w:p>
      <w:pPr>
        <w:sectPr>
          <w:footerReference w:type="default" r:id="rId1231"/>
          <w:footnotePr>
            <w:numStart w:val="1"/>
            <w:numRestart w:val="eachPage"/>
          </w:footnotePr>
          <w:pgSz w:orient="portrait" w:w="11905.511811023622" w:h="16837.79527559055"/>
          <w:pgMar w:top="1440" w:right="1440" w:bottom="1440" w:left="1440" w:header="720" w:footer="720" w:gutter="0"/>
          <w:cols w:num="1" w:space="720"/>
        </w:sectPr>
      </w:pPr>
    </w:p>
    <w:bookmarkStart w:id="692" w:name="pg14411_143613"/>
    <w:bookmarkEnd w:id="692"/>
    <w:p>
      <w:pPr>
        <w:pStyle w:val="BookText"/>
      </w:pPr>
      <w:r>
        <w:rPr>
          <w:rFonts w:ascii="IRNazanin" w:hAnsi="IRNazanin" w:eastAsia="IRNazanin" w:cs="IRNazanin"/>
          <w:lang w:bidi="fa-IR"/>
          <w:color w:val="111111"/>
          <w:sz w:val="28"/>
          <w:szCs w:val="28"/>
          <w:rtl/>
        </w:rPr>
        <w:t xml:space="preserve">إلی غیر ذلک ممّا یظفر به المتتبّع.</w:t>
      </w:r>
    </w:p>
    <w:p>
      <w:pPr>
        <w:pStyle w:val="Heading6"/>
      </w:pPr>
      <w:bookmarkStart w:id="2371" w:name="_Toc1406"/>
      <w:r>
        <w:t>[المناقشة فی الاستدلال]</w:t>
      </w:r>
      <w:bookmarkEnd w:id="2371"/>
    </w:p>
    <w:p>
      <w:pPr>
        <w:pStyle w:val="BookText"/>
      </w:pPr>
      <w:r>
        <w:rPr>
          <w:rFonts w:ascii="IRNazanin" w:hAnsi="IRNazanin" w:eastAsia="IRNazanin" w:cs="IRNazanin"/>
          <w:lang w:bidi="fa-IR"/>
          <w:color w:val="111111"/>
          <w:sz w:val="28"/>
          <w:szCs w:val="28"/>
          <w:rtl/>
        </w:rPr>
        <w:t xml:space="preserve">لکنّ الإنصاف-بعد ملاحظة سیاقها أو صدرها أو ذیلها-یقتضی الجزم بأنّها فی مقام بیان وظیفتهم من حیث الأحکام الشرعیة، لا کونهم کالنبیّ و الأئمة صلوات اللّٰه علیهم فی کونهم أولی بالناس </w:t>
      </w:r>
      <w:r>
        <w:rPr>
          <w:rStyle w:val="FootnoteReference"/>
        </w:rPr>
        <w:footnoteReference w:id="4216"/>
      </w:r>
      <w:r>
        <w:rPr>
          <w:rFonts w:ascii="IRNazanin" w:hAnsi="IRNazanin" w:eastAsia="IRNazanin" w:cs="IRNazanin"/>
          <w:lang w:bidi="fa-IR"/>
          <w:color w:val="111111"/>
          <w:sz w:val="28"/>
          <w:szCs w:val="28"/>
          <w:rtl/>
        </w:rPr>
        <w:t xml:space="preserve">فی أموالهم، فلو طلب الفقیه الزکاة و الخمس من المکلّف فلا دلیل علی وجوب الدفع إلیه شرعاً.نعم،لو ثبت شرعاً اشتراط صحّة أدائهما بدفعه إلی الفقیه مطلقاً أو بعد المطالبة،و أفتی بذلک الفقیه،وجب اتّباعه إن کان ممّن یتعیّن تقلیده ابتداءً أو بعد الاختیار،فیخرج عن محلّ الکلام.</w:t>
      </w:r>
    </w:p>
    <w:p>
      <w:pPr>
        <w:pStyle w:val="BookText"/>
      </w:pPr>
      <w:r>
        <w:rPr>
          <w:rFonts w:ascii="IRNazanin" w:hAnsi="IRNazanin" w:eastAsia="IRNazanin" w:cs="IRNazanin"/>
          <w:lang w:bidi="fa-IR"/>
          <w:color w:val="111111"/>
          <w:sz w:val="28"/>
          <w:szCs w:val="28"/>
          <w:rtl/>
        </w:rPr>
        <w:t xml:space="preserve">هذا،مع أنّه لو فرض العموم فیما ذکر من الأخبار،وجب حملها علی إرادة الجهة </w:t>
      </w:r>
      <w:r>
        <w:rPr>
          <w:rStyle w:val="FootnoteReference"/>
        </w:rPr>
        <w:footnoteReference w:id="4217"/>
      </w:r>
      <w:r>
        <w:rPr>
          <w:rFonts w:ascii="IRNazanin" w:hAnsi="IRNazanin" w:eastAsia="IRNazanin" w:cs="IRNazanin"/>
          <w:lang w:bidi="fa-IR"/>
          <w:color w:val="111111"/>
          <w:sz w:val="28"/>
          <w:szCs w:val="28"/>
          <w:rtl/>
        </w:rPr>
        <w:t xml:space="preserve">المعهودة المتعارفة من وظیفته،من حیث کونه رسولاً مبلّغاً،و إلّا لزم تخصیص أکثر أفراد العامّ؛لعدم سلطنة الفقیه علی أموال الناس و أنفسهم إلّا فی موارد قلیلة بالنسبة إلی موارد عدم سلطنته.</w:t>
      </w:r>
    </w:p>
    <w:p>
      <w:pPr>
        <w:pStyle w:val="BookText"/>
      </w:pPr>
      <w:r>
        <w:rPr>
          <w:rFonts w:ascii="IRNazanin" w:hAnsi="IRNazanin" w:eastAsia="IRNazanin" w:cs="IRNazanin"/>
          <w:lang w:bidi="fa-IR"/>
          <w:color w:val="111111"/>
          <w:sz w:val="28"/>
          <w:szCs w:val="28"/>
          <w:rtl/>
        </w:rPr>
        <w:t xml:space="preserve">و بالجملة،فأقامه الدلیل علی وجوب طاعة الفقیه کالإمام علیه السلام -إلّا ما خرج بالدلیل-دونه خرط القتاد!</w:t>
      </w:r>
    </w:p>
    <w:p>
      <w:pPr>
        <w:pStyle w:val="Heading6"/>
      </w:pPr>
      <w:bookmarkStart w:id="2372" w:name="_Toc1407"/>
      <w:r>
        <w:t>بقی الکلام فی ولایته علی الوجه الثانی</w:t>
      </w:r>
      <w:bookmarkEnd w:id="2372"/>
    </w:p>
    <w:p>
      <w:pPr>
        <w:pStyle w:val="Heading6"/>
      </w:pPr>
      <w:bookmarkStart w:id="2373" w:name="_Toc1408"/>
      <w:r>
        <w:t>اشارة</w:t>
      </w:r>
      <w:bookmarkEnd w:id="2373"/>
    </w:p>
    <w:p>
      <w:pPr>
        <w:pStyle w:val="BookText"/>
      </w:pPr>
      <w:r>
        <w:rPr>
          <w:rFonts w:ascii="IRNazanin" w:hAnsi="IRNazanin" w:eastAsia="IRNazanin" w:cs="IRNazanin"/>
          <w:lang w:bidi="fa-IR"/>
          <w:color w:val="111111"/>
          <w:sz w:val="28"/>
          <w:szCs w:val="28"/>
          <w:rtl/>
        </w:rPr>
        <w:t xml:space="preserve">-أعنی توقّف تصرّف الغیر علی إذنه،فیما کان متوقّفاً علی إذن الإمام علیه السلام-و حیث إنّ موارد التوقّف علی إذن الإمام علیه السلام غیر مضبوطة فلا بدّ من ذکر ما یکون کالضابط لها،فنقول:</w:t>
      </w:r>
    </w:p>
    <w:p>
      <w:pPr>
        <w:pStyle w:val="Heading6"/>
      </w:pPr>
      <w:bookmarkStart w:id="2374" w:name="_Toc1409"/>
      <w:r>
        <w:t>[الضابطة لما یجب استئذان الفقیه فیه]</w:t>
      </w:r>
      <w:bookmarkEnd w:id="2374"/>
    </w:p>
    <w:p>
      <w:pPr>
        <w:pStyle w:val="BookText"/>
      </w:pPr>
      <w:r>
        <w:rPr>
          <w:rFonts w:ascii="IRNazanin" w:hAnsi="IRNazanin" w:eastAsia="IRNazanin" w:cs="IRNazanin"/>
          <w:lang w:bidi="fa-IR"/>
          <w:color w:val="111111"/>
          <w:sz w:val="28"/>
          <w:szCs w:val="28"/>
          <w:rtl/>
        </w:rPr>
        <w:t xml:space="preserve">کلّ معروف علم من الشارع إرادة وجوده فی الخارج،إن علم</w:t>
      </w:r>
    </w:p>
    <w:p>
      <w:pPr>
        <w:pStyle w:val="BookText"/>
      </w:pPr>
      <w:r>
        <w:rPr>
          <w:rFonts w:ascii="IRNazanin" w:hAnsi="IRNazanin" w:eastAsia="IRNazanin" w:cs="IRNazanin"/>
          <w:lang w:bidi="fa-IR"/>
          <w:color w:val="111111"/>
          <w:sz w:val="28"/>
          <w:szCs w:val="28"/>
          <w:rtl/>
        </w:rPr>
        <w:t xml:space="preserve">[شماره صفحه واقعی : 553]
</w:t>
      </w:r>
    </w:p>
    <w:p>
      <w:pPr>
        <w:sectPr>
          <w:footerReference w:type="default" r:id="rId1232"/>
          <w:footnotePr>
            <w:numStart w:val="1"/>
            <w:numRestart w:val="eachPage"/>
          </w:footnotePr>
          <w:pgSz w:orient="portrait" w:w="11905.511811023622" w:h="16837.79527559055"/>
          <w:pgMar w:top="1440" w:right="1440" w:bottom="1440" w:left="1440" w:header="720" w:footer="720" w:gutter="0"/>
          <w:cols w:num="1" w:space="720"/>
        </w:sectPr>
      </w:pPr>
    </w:p>
    <w:bookmarkStart w:id="693" w:name="pg14411_143614"/>
    <w:bookmarkEnd w:id="693"/>
    <w:p>
      <w:pPr>
        <w:pStyle w:val="BookText"/>
      </w:pPr>
      <w:r>
        <w:rPr>
          <w:rFonts w:ascii="IRNazanin" w:hAnsi="IRNazanin" w:eastAsia="IRNazanin" w:cs="IRNazanin"/>
          <w:lang w:bidi="fa-IR"/>
          <w:color w:val="111111"/>
          <w:sz w:val="28"/>
          <w:szCs w:val="28"/>
          <w:rtl/>
        </w:rPr>
        <w:t xml:space="preserve">کونه وظیفة شخص خاصّ،کنظر الأب فی مال ولده الصغیر،أو صنفٍ خاصّ،کالإفتاء و القضاء،أو کلّ من یقدر علی القیام به کالأمر بالمعروف،فلا إشکال فی شیءٍ من ذلک.و إن لم یُعلم ذلک و احتمل کونه مشروطاً فی وجوده أو وجوبه بنظر الفقیه،وجب الرجوع فیه إلیه.</w:t>
      </w:r>
    </w:p>
    <w:p>
      <w:pPr>
        <w:pStyle w:val="BookText"/>
      </w:pPr>
      <w:r>
        <w:rPr>
          <w:rFonts w:ascii="IRNazanin" w:hAnsi="IRNazanin" w:eastAsia="IRNazanin" w:cs="IRNazanin"/>
          <w:lang w:bidi="fa-IR"/>
          <w:color w:val="111111"/>
          <w:sz w:val="28"/>
          <w:szCs w:val="28"/>
          <w:rtl/>
        </w:rPr>
        <w:t xml:space="preserve">ثمّ إن علم الفقیه من الأدلّة جواز تولّیه </w:t>
      </w:r>
      <w:r>
        <w:rPr>
          <w:rStyle w:val="FootnoteReference"/>
        </w:rPr>
        <w:footnoteReference w:id="4218"/>
      </w:r>
      <w:r>
        <w:rPr>
          <w:rFonts w:ascii="IRNazanin" w:hAnsi="IRNazanin" w:eastAsia="IRNazanin" w:cs="IRNazanin"/>
          <w:lang w:bidi="fa-IR"/>
          <w:color w:val="111111"/>
          <w:sz w:val="28"/>
          <w:szCs w:val="28"/>
          <w:rtl/>
        </w:rPr>
        <w:t xml:space="preserve">لعدم إناطته بنظر خصوص الإمام أو نائبه الخاصّ،تولّاه مباشرةً أو استنابةً إن کان ممّن یری الاستنابة فیه،و إلّا عطّله؛فإنّ کونه معروفاً لا ینافی إناطته بنظر الإمام علیه السلام و الحرمان عنه عند فقده،کسائر البرکات التی حُرمناها بفقده عجّل اللّٰه فرجه.</w:t>
      </w:r>
    </w:p>
    <w:p>
      <w:pPr>
        <w:pStyle w:val="BookText"/>
      </w:pPr>
      <w:r>
        <w:rPr>
          <w:rFonts w:ascii="IRNazanin" w:hAnsi="IRNazanin" w:eastAsia="IRNazanin" w:cs="IRNazanin"/>
          <w:lang w:bidi="fa-IR"/>
          <w:color w:val="111111"/>
          <w:sz w:val="28"/>
          <w:szCs w:val="28"/>
          <w:rtl/>
        </w:rPr>
        <w:t xml:space="preserve">و مرجع هذا إلی الشکّ فی کون المطلوب مطلق وجوده،أو وجوده من موجد خاصّ.</w:t>
      </w:r>
    </w:p>
    <w:p>
      <w:pPr>
        <w:pStyle w:val="Heading6"/>
      </w:pPr>
      <w:bookmarkStart w:id="2375" w:name="_Toc1410"/>
      <w:r>
        <w:t>[ما یدل علی وجوب استئذان الفقیه فی الأمور المذکورة]</w:t>
      </w:r>
      <w:bookmarkEnd w:id="2375"/>
    </w:p>
    <w:p>
      <w:pPr>
        <w:pStyle w:val="BookText"/>
      </w:pPr>
      <w:r>
        <w:rPr>
          <w:rFonts w:ascii="IRNazanin" w:hAnsi="IRNazanin" w:eastAsia="IRNazanin" w:cs="IRNazanin"/>
          <w:lang w:bidi="fa-IR"/>
          <w:color w:val="111111"/>
          <w:sz w:val="28"/>
          <w:szCs w:val="28"/>
          <w:rtl/>
        </w:rPr>
        <w:t xml:space="preserve">أمّا وجوب الرجوع إلی الفقیه فی الأُمور المذکورة،فیدلّ علیه -مضافاً إلی ما یستفاد من جعله حاکماً،کما فی مقبولة ابن حنظلة، الظاهرة فی کونه کسائر الحکّام المنصوبة فی زمان النبیّ صلّی اللّٰه علیه و آله و سلم و الصحابة فی إلزام الناس بإرجاع الأُمور المذکورة إلیه،و الانتهاء فیها إلی نظره،بل المتبادر عرفاً من نصب السلطان حاکماً وجوب الرجوع فی الأُمور العامّة المطلوبة للسلطان إلیه،و إلی ما تقدّم من قوله علیه السلام:</w:t>
      </w:r>
    </w:p>
    <w:p>
      <w:pPr>
        <w:pStyle w:val="BookText"/>
      </w:pPr>
      <w:r>
        <w:rPr>
          <w:rFonts w:ascii="IRNazanin" w:hAnsi="IRNazanin" w:eastAsia="IRNazanin" w:cs="IRNazanin"/>
          <w:lang w:bidi="fa-IR"/>
          <w:color w:val="111111"/>
          <w:sz w:val="28"/>
          <w:szCs w:val="28"/>
          <w:rtl/>
        </w:rPr>
        <w:t xml:space="preserve">«مجاری الأُمور بید العلماء باللّٰه الاُمناء علی حلاله و حرامه» </w:t>
      </w:r>
      <w:r>
        <w:rPr>
          <w:rStyle w:val="FootnoteReference"/>
        </w:rPr>
        <w:footnoteReference w:id="42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554]
</w:t>
      </w:r>
    </w:p>
    <w:p>
      <w:pPr>
        <w:sectPr>
          <w:footerReference w:type="default" r:id="rId1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[*ستوده]</w:t>
      </w:r>
    </w:p>
    <w:p>
      <w:pPr>
        <w:pStyle w:val="BookText"/>
      </w:pPr>
      <w:r>
        <w:rPr>
          <w:rFonts w:ascii="IRNazanin" w:hAnsi="IRNazanin" w:eastAsia="IRNazanin" w:cs="IRNazanin"/>
          <w:lang w:bidi="fa-IR"/>
          <w:color w:val="111111"/>
          <w:sz w:val="28"/>
          <w:szCs w:val="28"/>
          <w:rtl/>
        </w:rPr>
        <w:t xml:space="preserve">التوقیع </w:t>
      </w:r>
      <w:r>
        <w:rPr>
          <w:rStyle w:val="FootnoteReference"/>
        </w:rPr>
        <w:footnoteReference w:id="4220"/>
      </w:r>
      <w:r>
        <w:rPr>
          <w:rFonts w:ascii="IRNazanin" w:hAnsi="IRNazanin" w:eastAsia="IRNazanin" w:cs="IRNazanin"/>
          <w:lang w:bidi="fa-IR"/>
          <w:color w:val="111111"/>
          <w:sz w:val="28"/>
          <w:szCs w:val="28"/>
          <w:rtl/>
        </w:rPr>
        <w:t xml:space="preserve">المروی فی إکمال الدین </w:t>
      </w:r>
      <w:r>
        <w:rPr>
          <w:rStyle w:val="FootnoteReference"/>
        </w:rPr>
        <w:footnoteReference w:id="4221"/>
      </w:r>
      <w:r>
        <w:rPr>
          <w:rFonts w:ascii="IRNazanin" w:hAnsi="IRNazanin" w:eastAsia="IRNazanin" w:cs="IRNazanin"/>
          <w:lang w:bidi="fa-IR"/>
          <w:color w:val="111111"/>
          <w:sz w:val="28"/>
          <w:szCs w:val="28"/>
          <w:rtl/>
        </w:rPr>
        <w:t xml:space="preserve">و کتاب الغیبة </w:t>
      </w:r>
      <w:r>
        <w:rPr>
          <w:rStyle w:val="FootnoteReference"/>
        </w:rPr>
        <w:footnoteReference w:id="4222"/>
      </w:r>
      <w:r>
        <w:rPr>
          <w:rFonts w:ascii="IRNazanin" w:hAnsi="IRNazanin" w:eastAsia="IRNazanin" w:cs="IRNazanin"/>
          <w:lang w:bidi="fa-IR"/>
          <w:color w:val="111111"/>
          <w:sz w:val="28"/>
          <w:szCs w:val="28"/>
          <w:rtl/>
        </w:rPr>
        <w:t xml:space="preserve">و احتجاج الطبرسی </w:t>
      </w:r>
      <w:r>
        <w:rPr>
          <w:rStyle w:val="FootnoteReference"/>
        </w:rPr>
        <w:footnoteReference w:id="4223"/>
      </w:r>
      <w:r>
        <w:rPr>
          <w:rFonts w:ascii="IRNazanin" w:hAnsi="IRNazanin" w:eastAsia="IRNazanin" w:cs="IRNazanin"/>
          <w:lang w:bidi="fa-IR"/>
          <w:color w:val="111111"/>
          <w:sz w:val="28"/>
          <w:szCs w:val="28"/>
          <w:rtl/>
        </w:rPr>
        <w:t xml:space="preserve">الوارد فی جواب مسائل إسحاق بن یعقوب،التی ذکر أنّی </w:t>
      </w:r>
      <w:r>
        <w:rPr>
          <w:rStyle w:val="FootnoteReference"/>
        </w:rPr>
        <w:footnoteReference w:id="4224"/>
      </w:r>
      <w:r>
        <w:rPr>
          <w:rFonts w:ascii="IRNazanin" w:hAnsi="IRNazanin" w:eastAsia="IRNazanin" w:cs="IRNazanin"/>
          <w:lang w:bidi="fa-IR"/>
          <w:color w:val="111111"/>
          <w:sz w:val="28"/>
          <w:szCs w:val="28"/>
          <w:rtl/>
        </w:rPr>
        <w:t xml:space="preserve">سألت العمری رضی اللّٰه عنه أن یوصل لی </w:t>
      </w:r>
      <w:r>
        <w:rPr>
          <w:rStyle w:val="FootnoteReference"/>
        </w:rPr>
        <w:footnoteReference w:id="4225"/>
      </w:r>
      <w:r>
        <w:rPr>
          <w:rFonts w:ascii="Amiri" w:hAnsi="Amiri" w:eastAsia="Amiri" w:cs="Amiri"/>
          <w:lang w:bidi="ar-SA"/>
          <w:color w:val="111111"/>
          <w:sz w:val="28"/>
          <w:szCs w:val="28"/>
          <w:rtl/>
        </w:rPr>
        <w:t xml:space="preserve">إلی الصاحب عجّل اللّٰه فرجه کتاباً </w:t>
      </w:r>
      <w:r>
        <w:rPr>
          <w:rStyle w:val="FootnoteReference"/>
        </w:rPr>
        <w:footnoteReference w:id="4226"/>
      </w:r>
      <w:r>
        <w:rPr>
          <w:rFonts w:ascii="IRNazanin" w:hAnsi="IRNazanin" w:eastAsia="IRNazanin" w:cs="IRNazanin"/>
          <w:lang w:bidi="fa-IR"/>
          <w:color w:val="111111"/>
          <w:sz w:val="28"/>
          <w:szCs w:val="28"/>
          <w:rtl/>
        </w:rPr>
        <w:t xml:space="preserve">فیه تلک المسائل التی قد أشکلت علیّ،فورد الجواب </w:t>
      </w:r>
      <w:r>
        <w:rPr>
          <w:rStyle w:val="FootnoteReference"/>
        </w:rPr>
        <w:footnoteReference w:id="4227"/>
      </w:r>
      <w:r>
        <w:rPr>
          <w:rFonts w:ascii="IRNazanin" w:hAnsi="IRNazanin" w:eastAsia="IRNazanin" w:cs="IRNazanin"/>
          <w:lang w:bidi="fa-IR"/>
          <w:color w:val="111111"/>
          <w:sz w:val="28"/>
          <w:szCs w:val="28"/>
          <w:rtl/>
        </w:rPr>
        <w:t xml:space="preserve">بخطّه علیه آلاف الصلاة و السلام فی أجوبتها،و فیها:«و أمّا الحوادث الواقعة فارجعوا فیها إلی رواة حدیثنا؛فإنّهم حجّتی علیکم و أنا حجّة اللّٰه».</w:t>
      </w:r>
    </w:p>
    <w:p>
      <w:pPr>
        <w:pStyle w:val="BookText"/>
      </w:pPr>
      <w:r>
        <w:rPr>
          <w:rFonts w:ascii="IRNazanin" w:hAnsi="IRNazanin" w:eastAsia="IRNazanin" w:cs="IRNazanin"/>
          <w:lang w:bidi="fa-IR"/>
          <w:color w:val="111111"/>
          <w:sz w:val="28"/>
          <w:szCs w:val="28"/>
          <w:rtl/>
        </w:rPr>
        <w:t xml:space="preserve">فإنّ المراد ب«الحوادث»ظاهراً:مطلق الأُمور التی لا بدّ من الرجوع فیها عرفاً أو عقلاً أو شرعاً إلی الرئیس،مثل النظر فی أموال القاصرین لغیبةٍ أو موتٍ أو صغرٍ أو سَفَهٍ.</w:t>
      </w:r>
    </w:p>
    <w:p>
      <w:pPr>
        <w:pStyle w:val="BookText"/>
      </w:pPr>
      <w:r>
        <w:rPr>
          <w:rFonts w:ascii="IRNazanin" w:hAnsi="IRNazanin" w:eastAsia="IRNazanin" w:cs="IRNazanin"/>
          <w:lang w:bidi="fa-IR"/>
          <w:color w:val="111111"/>
          <w:sz w:val="28"/>
          <w:szCs w:val="28"/>
          <w:rtl/>
        </w:rPr>
        <w:t xml:space="preserve">و أمّا تخصیصها بخصوص المسائل الشرعیّة،فبعید من وجوه:</w:t>
      </w:r>
    </w:p>
    <w:p>
      <w:pPr>
        <w:pStyle w:val="BookText"/>
      </w:pPr>
      <w:r>
        <w:rPr>
          <w:rFonts w:ascii="IRNazanin" w:hAnsi="IRNazanin" w:eastAsia="IRNazanin" w:cs="IRNazanin"/>
          <w:lang w:bidi="fa-IR"/>
          <w:color w:val="111111"/>
          <w:sz w:val="28"/>
          <w:szCs w:val="28"/>
          <w:rtl/>
        </w:rPr>
        <w:t xml:space="preserve">منها:أنّ الظاهر وکول نفس الحادثة إلیه لیباشر أمرها مباشرةً أو استنابةً،لا الرجوع فی حکمها إلیه.</w:t>
      </w:r>
    </w:p>
    <w:p>
      <w:pPr>
        <w:pStyle w:val="BookText"/>
      </w:pPr>
      <w:r>
        <w:rPr>
          <w:rFonts w:ascii="IRNazanin" w:hAnsi="IRNazanin" w:eastAsia="IRNazanin" w:cs="IRNazanin"/>
          <w:lang w:bidi="fa-IR"/>
          <w:color w:val="111111"/>
          <w:sz w:val="28"/>
          <w:szCs w:val="28"/>
          <w:rtl/>
        </w:rPr>
        <w:t xml:space="preserve">[شماره صفحه واقعی : 555]
</w:t>
      </w:r>
    </w:p>
    <w:p>
      <w:pPr>
        <w:sectPr>
          <w:footerReference w:type="default" r:id="rId1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منها:التعلیل بکونهم«حجّتی علیکم و أنا حجّة اللّٰه»؛فإنّه إنّما یناسب الأُمور التی یکون المرجع فیها هو الرأی و النظر،فکان هذا منصب ولاة الإمام علیه السلام من قِبَل نفسه،لا أنّه واجب من قِبَل اللّٰه سبحانه علی الفقیه بعد غیبة الإمام علیه السلام،و إلّا کان المناسب أن یقول:</w:t>
      </w:r>
    </w:p>
    <w:p>
      <w:pPr>
        <w:pStyle w:val="BookText"/>
      </w:pPr>
      <w:r>
        <w:rPr>
          <w:rFonts w:ascii="Amiri" w:hAnsi="Amiri" w:eastAsia="Amiri" w:cs="Amiri"/>
          <w:lang w:bidi="ar-SA"/>
          <w:color w:val="111111"/>
          <w:sz w:val="28"/>
          <w:szCs w:val="28"/>
          <w:rtl/>
        </w:rPr>
        <w:t xml:space="preserve">«إنّهم حُجج اللّٰه علیکم»کما وصفهم فی مقام آخر ب«أنّهم أُمناء اللّٰه علی الحلال و الحرام» </w:t>
      </w:r>
      <w:r>
        <w:rPr>
          <w:rStyle w:val="FootnoteReference"/>
        </w:rPr>
        <w:footnoteReference w:id="42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منها:أنّ وجوب الرجوع فی المسائل الشرعیة إلی العلماء-الذی هو من بدیهیّات الإسلام من السلف إلی الخلف-ممّا لم یکن یخفی علی مثل إسحاق بن یعقوب،حتّی یکتبه فی عداد مسائل أشکلت علیه، بخلاف وجوب الرجوع فی المصالح العامّة إلی رأی أحدٍ و نظره؛فإنّه یحتمل أن یکون الإمام علیه السلام قد وکّله فی غیبته إلی شخص أو أشخاص من ثقاته فی ذلک الزمان.</w:t>
      </w:r>
    </w:p>
    <w:p>
      <w:pPr>
        <w:pStyle w:val="BookText"/>
      </w:pPr>
      <w:r>
        <w:rPr>
          <w:rFonts w:ascii="IRNazanin" w:hAnsi="IRNazanin" w:eastAsia="IRNazanin" w:cs="IRNazanin"/>
          <w:lang w:bidi="fa-IR"/>
          <w:color w:val="111111"/>
          <w:sz w:val="28"/>
          <w:szCs w:val="28"/>
          <w:rtl/>
        </w:rPr>
        <w:t xml:space="preserve">و الحاصل:أنّ الظاهر أنّ لفظ«الحوادث»لیس مختصّاً بما اشتبه حکمه و لا بالمنازعات.</w:t>
      </w:r>
    </w:p>
    <w:p>
      <w:pPr>
        <w:pStyle w:val="BookText"/>
      </w:pPr>
      <w:r>
        <w:rPr>
          <w:rFonts w:ascii="IRNazanin" w:hAnsi="IRNazanin" w:eastAsia="IRNazanin" w:cs="IRNazanin"/>
          <w:lang w:bidi="fa-IR"/>
          <w:color w:val="111111"/>
          <w:sz w:val="28"/>
          <w:szCs w:val="28"/>
          <w:rtl/>
        </w:rPr>
        <w:t xml:space="preserve">ثمّ إنّ النسبة بین مثل هذا التوقیع و بین العمومات الظاهرة فی إذن الشارع فی کلّ معروف لکلّ أحد،مثل قوله علیه السلام:«کلّ معروف صدقة» </w:t>
      </w:r>
      <w:r>
        <w:rPr>
          <w:rStyle w:val="FootnoteReference"/>
        </w:rPr>
        <w:footnoteReference w:id="4229"/>
      </w:r>
      <w:r>
        <w:rPr>
          <w:rFonts w:ascii="IRNazanin" w:hAnsi="IRNazanin" w:eastAsia="IRNazanin" w:cs="IRNazanin"/>
          <w:lang w:bidi="fa-IR"/>
          <w:color w:val="111111"/>
          <w:sz w:val="28"/>
          <w:szCs w:val="28"/>
          <w:rtl/>
        </w:rPr>
        <w:t xml:space="preserve">،و قوله علیه السلام:«عون الضعیف من أفضل الصدقة» </w:t>
      </w:r>
      <w:r>
        <w:rPr>
          <w:rStyle w:val="FootnoteReference"/>
        </w:rPr>
        <w:footnoteReference w:id="4230"/>
      </w:r>
      <w:r>
        <w:rPr>
          <w:rFonts w:ascii="IRNazanin" w:hAnsi="IRNazanin" w:eastAsia="IRNazanin" w:cs="IRNazanin"/>
          <w:lang w:bidi="fa-IR"/>
          <w:color w:val="111111"/>
          <w:sz w:val="28"/>
          <w:szCs w:val="28"/>
          <w:rtl/>
        </w:rPr>
        <w:t xml:space="preserve">-و أمثال</w:t>
      </w:r>
    </w:p>
    <w:p>
      <w:pPr>
        <w:pStyle w:val="BookText"/>
      </w:pPr>
      <w:r>
        <w:rPr>
          <w:rFonts w:ascii="IRNazanin" w:hAnsi="IRNazanin" w:eastAsia="IRNazanin" w:cs="IRNazanin"/>
          <w:lang w:bidi="fa-IR"/>
          <w:color w:val="111111"/>
          <w:sz w:val="28"/>
          <w:szCs w:val="28"/>
          <w:rtl/>
        </w:rPr>
        <w:t xml:space="preserve">[شماره صفحه واقعی : 556]
</w:t>
      </w:r>
    </w:p>
    <w:p>
      <w:pPr>
        <w:sectPr>
          <w:footerReference w:type="default" r:id="rId1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ذلک-و إن کانت عموماً من وجه،إلّا أنّ الظاهر حکومة هذا التوقیع علیها و کونها بمنزلة المفسّر الدالّ علی وجوب الرجوع إلی الإمام علیه السلام أو نائبه فی الأُمور العامّة التی یفهم عرفاً دخولها تحت«الحوادث الواقعة»،و تحت عنوان«الأمر»فی قوله: أُولِی الْأَمْرِ </w:t>
      </w:r>
      <w:r>
        <w:rPr>
          <w:rStyle w:val="FootnoteReference"/>
        </w:rPr>
        <w:footnoteReference w:id="42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علی تسلیم التنزّل عن ذلک،فالمرجع بعد تعارض العمومین إلی أصالة عدم مشروعیّة ذلک المعروف مع عدم وقوعه عن رأی ولیّ الأمر </w:t>
      </w:r>
      <w:r>
        <w:rPr>
          <w:rStyle w:val="FootnoteReference"/>
        </w:rPr>
        <w:footnoteReference w:id="42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هذا،لکن المسألة لا تخلو عن إشکال،و إن کان الحکم به مشهوریاً.</w:t>
      </w:r>
    </w:p>
    <w:p>
      <w:pPr>
        <w:pStyle w:val="BookText"/>
      </w:pPr>
      <w:r>
        <w:rPr>
          <w:rFonts w:ascii="IRNazanin" w:hAnsi="IRNazanin" w:eastAsia="IRNazanin" w:cs="IRNazanin"/>
          <w:lang w:bidi="fa-IR"/>
          <w:color w:val="111111"/>
          <w:sz w:val="28"/>
          <w:szCs w:val="28"/>
          <w:rtl/>
        </w:rPr>
        <w:t xml:space="preserve">و علی أیّ تقدیر،فقد ظهر ممّا ذکرنا:أنّ ما دلّ علیه هذه الأدلّة هو ثبوت الولایة للفقیه فی الأُمور التی یکون مشروعیّة إیجادها فی الخارج مفروغاً عنها،بحیث لو فرض عدم الفقیه کان علی الناس القیام بها کفایة.و أمّا ما یُشکّ فی مشروعیّته کالحدود لغیر الإمام، و تزویج الصغیرة لغیر الأب و الجدّ،و ولایة المعاملة علی مال الغائب بالعقد علیه و فسخ العقد الخیاری عنه،و غیر ذلک،فلا یثبت من تلک الأدلّة مشروعیّتها للفقیه،بل لا بدّ للفقیه من استنباط مشروعیّتها من دلیلٍ آخر.</w:t>
      </w:r>
    </w:p>
    <w:p>
      <w:pPr>
        <w:pStyle w:val="BookText"/>
      </w:pPr>
      <w:r>
        <w:rPr>
          <w:rFonts w:ascii="Amiri" w:hAnsi="Amiri" w:eastAsia="Amiri" w:cs="Amiri"/>
          <w:lang w:bidi="ar-SA"/>
          <w:color w:val="111111"/>
          <w:sz w:val="28"/>
          <w:szCs w:val="28"/>
          <w:rtl/>
        </w:rPr>
        <w:t xml:space="preserve">نعم،الولایة علی هذه و غیرها ثابتة للإمام علیه السلام بالأدلّة المتقدّمة المختصّة به،مثل آیة أوْلیٰ بِالْمُؤْمِنِینَ مِنْ أَنْفُسِهِمْ </w:t>
      </w:r>
      <w:r>
        <w:rPr>
          <w:rStyle w:val="FootnoteReference"/>
        </w:rPr>
        <w:footnoteReference w:id="42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557]
</w:t>
      </w:r>
    </w:p>
    <w:p>
      <w:pPr>
        <w:sectPr>
          <w:footerReference w:type="default" r:id="rId1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 تقدّم </w:t>
      </w:r>
      <w:r>
        <w:rPr>
          <w:rStyle w:val="FootnoteReference"/>
        </w:rPr>
        <w:footnoteReference w:id="4234"/>
      </w:r>
      <w:r>
        <w:rPr>
          <w:rFonts w:ascii="IRNazanin" w:hAnsi="IRNazanin" w:eastAsia="IRNazanin" w:cs="IRNazanin"/>
          <w:lang w:bidi="fa-IR"/>
          <w:color w:val="111111"/>
          <w:sz w:val="28"/>
          <w:szCs w:val="28"/>
          <w:rtl/>
        </w:rPr>
        <w:t xml:space="preserve">:أنّ إثبات عموم نیابة الفقیه </w:t>
      </w:r>
      <w:r>
        <w:rPr>
          <w:rStyle w:val="FootnoteReference"/>
        </w:rPr>
        <w:footnoteReference w:id="4235"/>
      </w:r>
      <w:r>
        <w:rPr>
          <w:rFonts w:ascii="IRNazanin" w:hAnsi="IRNazanin" w:eastAsia="IRNazanin" w:cs="IRNazanin"/>
          <w:lang w:bidi="fa-IR"/>
          <w:color w:val="111111"/>
          <w:sz w:val="28"/>
          <w:szCs w:val="28"/>
          <w:rtl/>
        </w:rPr>
        <w:t xml:space="preserve">عنه علیه السلام فی هذا النحو من الولایة علی الناس-لیقتصر فی الخروج عنه علی ما خرج بالدلیل-دونه خرط القتاد.</w:t>
      </w:r>
    </w:p>
    <w:p>
      <w:pPr>
        <w:pStyle w:val="BookText"/>
      </w:pPr>
      <w:r>
        <w:rPr>
          <w:rFonts w:ascii="Amiri" w:hAnsi="Amiri" w:eastAsia="Amiri" w:cs="Amiri"/>
          <w:lang w:bidi="ar-SA"/>
          <w:color w:val="111111"/>
          <w:sz w:val="28"/>
          <w:szCs w:val="28"/>
          <w:rtl/>
        </w:rPr>
        <w:t xml:space="preserve">و بالجملة،فها هنا مقامان:</w:t>
      </w:r>
    </w:p>
    <w:p>
      <w:pPr>
        <w:pStyle w:val="BookText"/>
      </w:pPr>
      <w:r>
        <w:rPr>
          <w:rFonts w:ascii="IRNazanin" w:hAnsi="IRNazanin" w:eastAsia="IRNazanin" w:cs="IRNazanin"/>
          <w:lang w:bidi="fa-IR"/>
          <w:color w:val="111111"/>
          <w:sz w:val="28"/>
          <w:szCs w:val="28"/>
          <w:rtl/>
        </w:rPr>
        <w:t xml:space="preserve">أحدهما:وجوب إیکال المعروف المأذون فیه إلیه؛لیقع خصوصیاته عن نظره ورائه،کتجهیز المیّت الذی لا ولیّ له،فإنّه یجب أن یقع خصوصیاته-من تعیین الغاسل و المغسل و تعیین شیء من ترکته للکفن و تعیین المدفن-عن رأی الفقیه.</w:t>
      </w:r>
    </w:p>
    <w:p>
      <w:pPr>
        <w:pStyle w:val="BookText"/>
      </w:pPr>
      <w:r>
        <w:rPr>
          <w:rFonts w:ascii="Amiri" w:hAnsi="Amiri" w:eastAsia="Amiri" w:cs="Amiri"/>
          <w:lang w:bidi="ar-SA"/>
          <w:color w:val="111111"/>
          <w:sz w:val="28"/>
          <w:szCs w:val="28"/>
          <w:rtl/>
        </w:rPr>
        <w:t xml:space="preserve">الثانی:مشروعیّة تصرّفٍ خاصٍّ فی نفس أو مال أو عرض.</w:t>
      </w:r>
    </w:p>
    <w:p>
      <w:pPr>
        <w:pStyle w:val="BookText"/>
      </w:pPr>
      <w:r>
        <w:rPr>
          <w:rFonts w:ascii="IRNazanin" w:hAnsi="IRNazanin" w:eastAsia="IRNazanin" w:cs="IRNazanin"/>
          <w:lang w:bidi="fa-IR"/>
          <w:color w:val="111111"/>
          <w:sz w:val="28"/>
          <w:szCs w:val="28"/>
          <w:rtl/>
        </w:rPr>
        <w:t xml:space="preserve">و الثابت بالتوقیع و شبهه هو الأوّل دون الثانی،و إن کان الإفتاء فی المقام الثانی بالمشروعیّة و عدمها أیضاً من وظیفته،إلّا أنّ المقصود عدم دلالة الأدلّة السابقة علی المشروعیّة.</w:t>
      </w:r>
    </w:p>
    <w:p>
      <w:pPr>
        <w:pStyle w:val="BookText"/>
      </w:pPr>
      <w:r>
        <w:rPr>
          <w:rFonts w:ascii="IRNazanin" w:hAnsi="IRNazanin" w:eastAsia="IRNazanin" w:cs="IRNazanin"/>
          <w:lang w:bidi="fa-IR"/>
          <w:color w:val="111111"/>
          <w:sz w:val="28"/>
          <w:szCs w:val="28"/>
          <w:rtl/>
        </w:rPr>
        <w:t xml:space="preserve">نعم،لو ثبتت أدلّة النیابة عموماً تمّ ما ذکر.</w:t>
      </w:r>
    </w:p>
    <w:p>
      <w:pPr>
        <w:pStyle w:val="BookText"/>
      </w:pPr>
      <w:r>
        <w:rPr>
          <w:rFonts w:ascii="IRNazanin" w:hAnsi="IRNazanin" w:eastAsia="IRNazanin" w:cs="IRNazanin"/>
          <w:lang w:bidi="fa-IR"/>
          <w:color w:val="111111"/>
          <w:sz w:val="28"/>
          <w:szCs w:val="28"/>
          <w:rtl/>
        </w:rPr>
        <w:t xml:space="preserve">[*ستوده]</w:t>
      </w:r>
    </w:p>
    <w:p>
      <w:pPr>
        <w:pStyle w:val="BookText"/>
      </w:pPr>
      <w:r>
        <w:rPr>
          <w:rFonts w:ascii="IRNazanin" w:hAnsi="IRNazanin" w:eastAsia="IRNazanin" w:cs="IRNazanin"/>
          <w:lang w:bidi="fa-IR"/>
          <w:color w:val="111111"/>
          <w:sz w:val="28"/>
          <w:szCs w:val="28"/>
          <w:rtl/>
        </w:rPr>
        <w:t xml:space="preserve">ثمّ إنّه قد اشتهر فی الألسن و تداول فی بعض الکتب </w:t>
      </w:r>
      <w:r>
        <w:rPr>
          <w:rStyle w:val="FootnoteReference"/>
        </w:rPr>
        <w:footnoteReference w:id="4236"/>
      </w:r>
      <w:r>
        <w:rPr>
          <w:rFonts w:ascii="IRNazanin" w:hAnsi="IRNazanin" w:eastAsia="IRNazanin" w:cs="IRNazanin"/>
          <w:lang w:bidi="fa-IR"/>
          <w:color w:val="111111"/>
          <w:sz w:val="28"/>
          <w:szCs w:val="28"/>
          <w:rtl/>
        </w:rPr>
        <w:t xml:space="preserve">روایة </w:t>
      </w:r>
      <w:r>
        <w:rPr>
          <w:rStyle w:val="FootnoteReference"/>
        </w:rPr>
        <w:footnoteReference w:id="4237"/>
      </w:r>
      <w:r>
        <w:rPr>
          <w:rFonts w:ascii="IRNazanin" w:hAnsi="IRNazanin" w:eastAsia="IRNazanin" w:cs="IRNazanin"/>
          <w:lang w:bidi="fa-IR"/>
          <w:color w:val="111111"/>
          <w:sz w:val="28"/>
          <w:szCs w:val="28"/>
          <w:rtl/>
        </w:rPr>
        <w:t xml:space="preserve">أنّ «السلطان ولیّ من لا ولیّ له»و هذا أیضاً بعد الانجبار سنداً أو</w:t>
      </w:r>
    </w:p>
    <w:p>
      <w:pPr>
        <w:pStyle w:val="BookText"/>
      </w:pPr>
      <w:r>
        <w:rPr>
          <w:rFonts w:ascii="IRNazanin" w:hAnsi="IRNazanin" w:eastAsia="IRNazanin" w:cs="IRNazanin"/>
          <w:lang w:bidi="fa-IR"/>
          <w:color w:val="111111"/>
          <w:sz w:val="28"/>
          <w:szCs w:val="28"/>
          <w:rtl/>
        </w:rPr>
        <w:t xml:space="preserve">[شماره صفحه واقعی : 558]
</w:t>
      </w:r>
    </w:p>
    <w:p>
      <w:pPr>
        <w:sectPr>
          <w:footerReference w:type="default" r:id="rId1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مضموناً </w:t>
      </w:r>
      <w:r>
        <w:rPr>
          <w:rStyle w:val="FootnoteReference"/>
        </w:rPr>
        <w:footnoteReference w:id="4238"/>
      </w:r>
      <w:r>
        <w:rPr>
          <w:rFonts w:ascii="IRNazanin" w:hAnsi="IRNazanin" w:eastAsia="IRNazanin" w:cs="IRNazanin"/>
          <w:lang w:bidi="fa-IR"/>
          <w:color w:val="111111"/>
          <w:sz w:val="28"/>
          <w:szCs w:val="28"/>
          <w:rtl/>
        </w:rPr>
        <w:t xml:space="preserve">-یحتاج إلی أدلّة عموم النیابة،و قد عرفت ما یصلح أن یکون دلیلاً علیه </w:t>
      </w:r>
      <w:r>
        <w:rPr>
          <w:rStyle w:val="FootnoteReference"/>
        </w:rPr>
        <w:footnoteReference w:id="4239"/>
      </w:r>
      <w:r>
        <w:rPr>
          <w:rFonts w:ascii="IRNazanin" w:hAnsi="IRNazanin" w:eastAsia="IRNazanin" w:cs="IRNazanin"/>
          <w:lang w:bidi="fa-IR"/>
          <w:color w:val="111111"/>
          <w:sz w:val="28"/>
          <w:szCs w:val="28"/>
          <w:rtl/>
        </w:rPr>
        <w:t xml:space="preserve">،و أنّه لا یخلو عن وهن فی دلالته،مع قطع النظر عن السند،کما اعترف به جمال المحقّقین فی باب الخمس بعد الاعتراف بأنّ المعروف بین الأصحاب کون الفقهاء نوّاب الإمام علیه السلام </w:t>
      </w:r>
      <w:r>
        <w:rPr>
          <w:rStyle w:val="FootnoteReference"/>
        </w:rPr>
        <w:footnoteReference w:id="4240"/>
      </w:r>
      <w:r>
        <w:rPr>
          <w:rFonts w:ascii="IRNazanin" w:hAnsi="IRNazanin" w:eastAsia="IRNazanin" w:cs="IRNazanin"/>
          <w:lang w:bidi="fa-IR"/>
          <w:color w:val="111111"/>
          <w:sz w:val="28"/>
          <w:szCs w:val="28"/>
          <w:rtl/>
        </w:rPr>
        <w:t xml:space="preserve">،و یظهر من المحقّق الثانی أیضاً فی رسالته الموسومة ب«قاطع اللجاج» </w:t>
      </w:r>
      <w:r>
        <w:rPr>
          <w:rStyle w:val="FootnoteReference"/>
        </w:rPr>
        <w:footnoteReference w:id="4241"/>
      </w:r>
      <w:r>
        <w:rPr>
          <w:rFonts w:ascii="IRNazanin" w:hAnsi="IRNazanin" w:eastAsia="IRNazanin" w:cs="IRNazanin"/>
          <w:lang w:bidi="fa-IR"/>
          <w:color w:val="111111"/>
          <w:sz w:val="28"/>
          <w:szCs w:val="28"/>
          <w:rtl/>
        </w:rPr>
        <w:t xml:space="preserve">فی مسألة جواز أخذ الفقیه اجرة أراضی الأنفال من المخالفین کما یکون ذلک للإمام علیه السلام إذا ظهر-الشکّ </w:t>
      </w:r>
      <w:r>
        <w:rPr>
          <w:rStyle w:val="FootnoteReference"/>
        </w:rPr>
        <w:footnoteReference w:id="4242"/>
      </w:r>
      <w:r>
        <w:rPr>
          <w:rFonts w:ascii="IRNazanin" w:hAnsi="IRNazanin" w:eastAsia="IRNazanin" w:cs="IRNazanin"/>
          <w:lang w:bidi="fa-IR"/>
          <w:color w:val="111111"/>
          <w:sz w:val="28"/>
          <w:szCs w:val="28"/>
          <w:rtl/>
        </w:rPr>
        <w:t xml:space="preserve">فی عموم النیابة </w:t>
      </w:r>
      <w:r>
        <w:rPr>
          <w:rStyle w:val="FootnoteReference"/>
        </w:rPr>
        <w:footnoteReference w:id="4243"/>
      </w:r>
      <w:r>
        <w:rPr>
          <w:rFonts w:ascii="IRNazanin" w:hAnsi="IRNazanin" w:eastAsia="IRNazanin" w:cs="IRNazanin"/>
          <w:lang w:bidi="fa-IR"/>
          <w:color w:val="111111"/>
          <w:sz w:val="28"/>
          <w:szCs w:val="28"/>
          <w:rtl/>
        </w:rPr>
        <w:t xml:space="preserve">،و هو فی محلّه.</w:t>
      </w:r>
    </w:p>
    <w:p>
      <w:pPr>
        <w:pStyle w:val="BookText"/>
      </w:pPr>
      <w:r>
        <w:rPr>
          <w:rFonts w:ascii="Amiri" w:hAnsi="Amiri" w:eastAsia="Amiri" w:cs="Amiri"/>
          <w:lang w:bidi="ar-SA"/>
          <w:color w:val="111111"/>
          <w:sz w:val="28"/>
          <w:szCs w:val="28"/>
          <w:rtl/>
        </w:rPr>
        <w:t xml:space="preserve">ثمّ إنّ قوله </w:t>
      </w:r>
      <w:r>
        <w:rPr>
          <w:rStyle w:val="FootnoteReference"/>
        </w:rPr>
        <w:footnoteReference w:id="4244"/>
      </w:r>
      <w:r>
        <w:rPr>
          <w:rFonts w:ascii="IRNazanin" w:hAnsi="IRNazanin" w:eastAsia="IRNazanin" w:cs="IRNazanin"/>
          <w:lang w:bidi="fa-IR"/>
          <w:color w:val="111111"/>
          <w:sz w:val="28"/>
          <w:szCs w:val="28"/>
          <w:rtl/>
        </w:rPr>
        <w:t xml:space="preserve">:«من و لا ولیّ له»-فی المرسلة المذکورة-لیس مطلق من لا ولیّ له،بل المراد عدم الملکة،یعنی:أنّه ولیّ مَن مِن شأنه أن یکون له ولیّ بحسب شخصه أو صنفه أو نوعه أو جنسه، فیشمل الصغیر الذی مات أبوه،و المجنون بعد البلوغ،و الغائب،و الممتنع، و المریض،و المغمیٰ علیه،و المیّت الذی لا ولیّ له،و قاطبة المسلمین إذا کان لهم مِلک،کالمفتوح عنوة،و الموقوف علیهم فی الأوقاف العامّة، و نحو ذلک.</w:t>
      </w:r>
    </w:p>
    <w:p>
      <w:pPr>
        <w:pStyle w:val="BookText"/>
      </w:pPr>
      <w:r>
        <w:rPr>
          <w:rFonts w:ascii="IRNazanin" w:hAnsi="IRNazanin" w:eastAsia="IRNazanin" w:cs="IRNazanin"/>
          <w:lang w:bidi="fa-IR"/>
          <w:color w:val="111111"/>
          <w:sz w:val="28"/>
          <w:szCs w:val="28"/>
          <w:rtl/>
        </w:rPr>
        <w:t xml:space="preserve">[شماره صفحه واقعی : 559]
</w:t>
      </w:r>
    </w:p>
    <w:p>
      <w:pPr>
        <w:sectPr>
          <w:footerReference w:type="default" r:id="rId1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لکن یستفاد منه ما لم یمکن </w:t>
      </w:r>
      <w:r>
        <w:rPr>
          <w:rStyle w:val="FootnoteReference"/>
        </w:rPr>
        <w:footnoteReference w:id="4245"/>
      </w:r>
      <w:r>
        <w:rPr>
          <w:rFonts w:ascii="IRNazanin" w:hAnsi="IRNazanin" w:eastAsia="IRNazanin" w:cs="IRNazanin"/>
          <w:lang w:bidi="fa-IR"/>
          <w:color w:val="111111"/>
          <w:sz w:val="28"/>
          <w:szCs w:val="28"/>
          <w:rtl/>
        </w:rPr>
        <w:t xml:space="preserve">یستفاد من التوقیع المذکور،و هو الإذن فی فعل کلّ مصلحة لهم،فثبت </w:t>
      </w:r>
      <w:r>
        <w:rPr>
          <w:rStyle w:val="FootnoteReference"/>
        </w:rPr>
        <w:footnoteReference w:id="4246"/>
      </w:r>
      <w:r>
        <w:rPr>
          <w:rFonts w:ascii="IRNazanin" w:hAnsi="IRNazanin" w:eastAsia="IRNazanin" w:cs="IRNazanin"/>
          <w:lang w:bidi="fa-IR"/>
          <w:color w:val="111111"/>
          <w:sz w:val="28"/>
          <w:szCs w:val="28"/>
          <w:rtl/>
        </w:rPr>
        <w:t xml:space="preserve">به مشروعیّة ما لم یثبت مشروعیّته بالتوقیع المتقدّم،فیجوز له القیام بجمیع مصالح الطوائف المذکورین.</w:t>
      </w:r>
    </w:p>
    <w:p>
      <w:pPr>
        <w:pStyle w:val="BookText"/>
      </w:pPr>
      <w:r>
        <w:rPr>
          <w:rFonts w:ascii="IRNazanin" w:hAnsi="IRNazanin" w:eastAsia="IRNazanin" w:cs="IRNazanin"/>
          <w:lang w:bidi="fa-IR"/>
          <w:color w:val="111111"/>
          <w:sz w:val="28"/>
          <w:szCs w:val="28"/>
          <w:rtl/>
        </w:rPr>
        <w:t xml:space="preserve">نعم،لیس له فعل شیء لا یعود مصلحته إلیهم،و إن کان ظاهر «الولیّ»یوهم ذلک؛إذ بعد ما ذکرنا:من أنّ المراد ب«من لا ولیّ له» مَن مِن شأنه أن یکون له ولیّ،یراد به کونه ممّن ینبغی أن یکون له من یقوم بمصالحه،لا بمعنی:أنّه ینبغی أن یکون علیه ولیٌّ،له علیه </w:t>
      </w:r>
      <w:r>
        <w:rPr>
          <w:rStyle w:val="FootnoteReference"/>
        </w:rPr>
        <w:footnoteReference w:id="4247"/>
      </w:r>
      <w:r>
        <w:rPr>
          <w:rFonts w:ascii="IRNazanin" w:hAnsi="IRNazanin" w:eastAsia="IRNazanin" w:cs="IRNazanin"/>
          <w:lang w:bidi="fa-IR"/>
          <w:color w:val="111111"/>
          <w:sz w:val="28"/>
          <w:szCs w:val="28"/>
          <w:rtl/>
        </w:rPr>
        <w:t xml:space="preserve">ولایة الإجبار،بحیث یکون تصرّفه ماضیاً علیه.</w:t>
      </w:r>
    </w:p>
    <w:p>
      <w:pPr>
        <w:pStyle w:val="BookText"/>
      </w:pPr>
      <w:r>
        <w:rPr>
          <w:rFonts w:ascii="Amiri" w:hAnsi="Amiri" w:eastAsia="Amiri" w:cs="Amiri"/>
          <w:lang w:bidi="ar-SA"/>
          <w:color w:val="111111"/>
          <w:sz w:val="28"/>
          <w:szCs w:val="28"/>
          <w:rtl/>
        </w:rPr>
        <w:t xml:space="preserve">و الحاصل:أنّ الولیّ المنفیّ هو الولیّ للشخص لا علیه،فیکون المراد بالولیّ المثبت،ذلک أیضاً،فمحصّله:إنّ اللّٰه جعل الولیّ الذی </w:t>
      </w:r>
      <w:r>
        <w:rPr>
          <w:rStyle w:val="FootnoteReference"/>
        </w:rPr>
        <w:footnoteReference w:id="4248"/>
      </w:r>
      <w:r>
        <w:rPr>
          <w:rFonts w:ascii="IRNazanin" w:hAnsi="IRNazanin" w:eastAsia="IRNazanin" w:cs="IRNazanin"/>
          <w:lang w:bidi="fa-IR"/>
          <w:color w:val="111111"/>
          <w:sz w:val="28"/>
          <w:szCs w:val="28"/>
          <w:rtl/>
        </w:rPr>
        <w:t xml:space="preserve">یحتاج إلیه الشخص و ینبغی أن یکون له،هو </w:t>
      </w:r>
      <w:r>
        <w:rPr>
          <w:rStyle w:val="FootnoteReference"/>
        </w:rPr>
        <w:footnoteReference w:id="4249"/>
      </w:r>
      <w:r>
        <w:rPr>
          <w:rFonts w:ascii="IRNazanin" w:hAnsi="IRNazanin" w:eastAsia="IRNazanin" w:cs="IRNazanin"/>
          <w:lang w:bidi="fa-IR"/>
          <w:color w:val="111111"/>
          <w:sz w:val="28"/>
          <w:szCs w:val="28"/>
          <w:rtl/>
        </w:rPr>
        <w:t xml:space="preserve">السلطان،فافهم.</w:t>
      </w:r>
    </w:p>
    <w:p>
      <w:pPr>
        <w:pStyle w:val="BookText"/>
      </w:pPr>
      <w:r>
        <w:rPr>
          <w:rFonts w:ascii="IRNazanin" w:hAnsi="IRNazanin" w:eastAsia="IRNazanin" w:cs="IRNazanin"/>
          <w:lang w:bidi="fa-IR"/>
          <w:color w:val="111111"/>
          <w:sz w:val="28"/>
          <w:szCs w:val="28"/>
          <w:rtl/>
        </w:rPr>
        <w:t xml:space="preserve">[شماره صفحه واقعی : 560]
</w:t>
      </w:r>
    </w:p>
    <w:p>
      <w:pPr>
        <w:sectPr>
          <w:footerReference w:type="default" r:id="rId1239"/>
          <w:footnotePr>
            <w:numStart w:val="1"/>
            <w:numRestart w:val="eachPage"/>
          </w:footnotePr>
          <w:pgSz w:orient="portrait" w:w="11905.511811023622" w:h="16837.79527559055"/>
          <w:pgMar w:top="1440" w:right="1440" w:bottom="1440" w:left="1440" w:header="720" w:footer="720" w:gutter="0"/>
          <w:cols w:num="1" w:space="720"/>
        </w:sectPr>
      </w:pPr>
    </w:p>
    <w:bookmarkStart w:id="694" w:name="pg14411_143621"/>
    <w:bookmarkEnd w:id="694"/>
    <w:p>
      <w:pPr>
        <w:pStyle w:val="Heading6"/>
      </w:pPr>
      <w:bookmarkStart w:id="2376" w:name="_Toc1411"/>
      <w:r>
        <w:t>مسألة : فی ولایة عدول المؤمنین</w:t>
      </w:r>
      <w:bookmarkEnd w:id="2376"/>
    </w:p>
    <w:p>
      <w:pPr>
        <w:pStyle w:val="Heading6"/>
      </w:pPr>
      <w:bookmarkStart w:id="2377" w:name="_Toc1412"/>
      <w:r>
        <w:t>اشارة</w:t>
      </w:r>
      <w:bookmarkEnd w:id="2377"/>
    </w:p>
    <w:p>
      <w:pPr>
        <w:pStyle w:val="BookText"/>
      </w:pPr>
      <w:r>
        <w:rPr>
          <w:rFonts w:ascii="IRNazanin" w:hAnsi="IRNazanin" w:eastAsia="IRNazanin" w:cs="IRNazanin"/>
          <w:lang w:bidi="fa-IR"/>
          <w:color w:val="111111"/>
          <w:sz w:val="28"/>
          <w:szCs w:val="28"/>
          <w:rtl/>
        </w:rPr>
        <w:t xml:space="preserve">مسألة فی ولایة عدول </w:t>
      </w:r>
      <w:r>
        <w:rPr>
          <w:rStyle w:val="FootnoteReference"/>
        </w:rPr>
        <w:footnoteReference w:id="4250"/>
      </w:r>
      <w:r>
        <w:rPr>
          <w:rFonts w:ascii="IRNazanin" w:hAnsi="IRNazanin" w:eastAsia="IRNazanin" w:cs="IRNazanin"/>
          <w:lang w:bidi="fa-IR"/>
          <w:color w:val="111111"/>
          <w:sz w:val="28"/>
          <w:szCs w:val="28"/>
          <w:rtl/>
        </w:rPr>
        <w:t xml:space="preserve">المؤمنین</w:t>
      </w:r>
    </w:p>
    <w:p>
      <w:pPr>
        <w:pStyle w:val="Heading6"/>
      </w:pPr>
      <w:bookmarkStart w:id="2378" w:name="_Toc1413"/>
      <w:r>
        <w:t>[حدود ولایة المؤمنین]</w:t>
      </w:r>
      <w:bookmarkEnd w:id="2378"/>
    </w:p>
    <w:p>
      <w:pPr>
        <w:pStyle w:val="BookText"/>
      </w:pPr>
      <w:r>
        <w:rPr>
          <w:rFonts w:ascii="IRNazanin" w:hAnsi="IRNazanin" w:eastAsia="IRNazanin" w:cs="IRNazanin"/>
          <w:lang w:bidi="fa-IR"/>
          <w:color w:val="111111"/>
          <w:sz w:val="28"/>
          <w:szCs w:val="28"/>
          <w:rtl/>
        </w:rPr>
        <w:t xml:space="preserve">اعلم أنّ ما کان من قبیل ما ذکرنا فیه ولایة الفقیه-و هو ما کان تصرّفاً مطلوب الوجود للشارع-إذا کان الفقیه متعذّر الوصول، فالظاهر جواز تولّیه </w:t>
      </w:r>
      <w:r>
        <w:rPr>
          <w:rStyle w:val="FootnoteReference"/>
        </w:rPr>
        <w:footnoteReference w:id="4251"/>
      </w:r>
      <w:r>
        <w:rPr>
          <w:rFonts w:ascii="IRNazanin" w:hAnsi="IRNazanin" w:eastAsia="IRNazanin" w:cs="IRNazanin"/>
          <w:lang w:bidi="fa-IR"/>
          <w:color w:val="111111"/>
          <w:sz w:val="28"/>
          <w:szCs w:val="28"/>
          <w:rtl/>
        </w:rPr>
        <w:t xml:space="preserve">لآحاد المؤمنین؛لأنّ المفروض کونه مطلوباً للشارع غیر مضاف إلی شخص،و اعتبار نظارة الفقیه فیه ساقط </w:t>
      </w:r>
      <w:r>
        <w:rPr>
          <w:rStyle w:val="FootnoteReference"/>
        </w:rPr>
        <w:footnoteReference w:id="4252"/>
      </w:r>
      <w:r>
        <w:rPr>
          <w:rFonts w:ascii="IRNazanin" w:hAnsi="IRNazanin" w:eastAsia="IRNazanin" w:cs="IRNazanin"/>
          <w:lang w:bidi="fa-IR"/>
          <w:color w:val="111111"/>
          <w:sz w:val="28"/>
          <w:szCs w:val="28"/>
          <w:rtl/>
        </w:rPr>
        <w:t xml:space="preserve">بفرض التعذّر،و کونه شرطاً مطلقاً له لا شرطاً اختیاریاً مخالف لفرض العلم بکونه مطلوب الوجود مع تعذّر الشرط؛لکونه من المعروف الذی أُمر بإقامته فی الشریعة </w:t>
      </w:r>
      <w:r>
        <w:rPr>
          <w:rStyle w:val="FootnoteReference"/>
        </w:rPr>
        <w:footnoteReference w:id="42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نعم،لو احتمل کون مطلوبیّته مختصّة بالفقیه أو </w:t>
      </w:r>
      <w:r>
        <w:rPr>
          <w:rStyle w:val="FootnoteReference"/>
        </w:rPr>
        <w:footnoteReference w:id="4254"/>
      </w:r>
      <w:r>
        <w:rPr>
          <w:rFonts w:ascii="Amiri" w:hAnsi="Amiri" w:eastAsia="Amiri" w:cs="Amiri"/>
          <w:lang w:bidi="ar-SA"/>
          <w:color w:val="111111"/>
          <w:sz w:val="28"/>
          <w:szCs w:val="28"/>
          <w:rtl/>
        </w:rPr>
        <w:t xml:space="preserve">الإمام،صحّ</w:t>
      </w:r>
    </w:p>
    <w:p>
      <w:pPr>
        <w:pStyle w:val="BookText"/>
      </w:pPr>
      <w:r>
        <w:rPr>
          <w:rFonts w:ascii="IRNazanin" w:hAnsi="IRNazanin" w:eastAsia="IRNazanin" w:cs="IRNazanin"/>
          <w:lang w:bidi="fa-IR"/>
          <w:color w:val="111111"/>
          <w:sz w:val="28"/>
          <w:szCs w:val="28"/>
          <w:rtl/>
        </w:rPr>
        <w:t xml:space="preserve">[شماره صفحه واقعی : 561]
</w:t>
      </w:r>
    </w:p>
    <w:p>
      <w:pPr>
        <w:sectPr>
          <w:footerReference w:type="default" r:id="rId1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الرجوع إلی أصالة عدم المشروعیّة،کبعض مراتب النهی عن المنکر؛ حیث إنّ إطلاقاته لا تعمّ ما إذا بلغ حدّ الجرح </w:t>
      </w:r>
      <w:r>
        <w:rPr>
          <w:rStyle w:val="FootnoteReference"/>
        </w:rPr>
        <w:footnoteReference w:id="42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الشهید قدّس سرّه فی قواعده:یجوز للآحاد مع تعذّر الحکّام تولیة آحاد التصرّفات الحِکَمیّة علی الأصحّ،کدفع ضرورة الیتیم،لعموم:</w:t>
      </w:r>
    </w:p>
    <w:p>
      <w:pPr>
        <w:pStyle w:val="BookText"/>
      </w:pPr>
      <w:r>
        <w:rPr>
          <w:rFonts w:ascii="Amiri" w:hAnsi="Amiri" w:eastAsia="Amiri" w:cs="Amiri"/>
          <w:lang w:bidi="ar-SA"/>
          <w:color w:val="111111"/>
          <w:sz w:val="28"/>
          <w:szCs w:val="28"/>
          <w:rtl/>
        </w:rPr>
        <w:t xml:space="preserve">وَ تَعٰاوَنُوا عَلَی الْبِرِّ وَ التَّقْویٰ</w:t>
      </w:r>
    </w:p>
    <w:p>
      <w:pPr>
        <w:pStyle w:val="BookText"/>
      </w:pPr>
      <w:r>
        <w:rPr>
          <w:rStyle w:val="FootnoteReference"/>
        </w:rPr>
        <w:footnoteReference w:id="4256"/>
      </w:r>
      <w:r>
        <w:rPr>
          <w:rFonts w:ascii="IRNazanin" w:hAnsi="IRNazanin" w:eastAsia="IRNazanin" w:cs="IRNazanin"/>
          <w:lang w:bidi="fa-IR"/>
          <w:color w:val="111111"/>
          <w:sz w:val="28"/>
          <w:szCs w:val="28"/>
          <w:rtl/>
        </w:rPr>
        <w:t xml:space="preserve">
،و قوله علیه </w:t>
      </w:r>
      <w:r>
        <w:rPr>
          <w:rStyle w:val="FootnoteReference"/>
        </w:rPr>
        <w:footnoteReference w:id="4257"/>
      </w:r>
      <w:r>
        <w:rPr>
          <w:rFonts w:ascii="IRNazanin" w:hAnsi="IRNazanin" w:eastAsia="IRNazanin" w:cs="IRNazanin"/>
          <w:lang w:bidi="fa-IR"/>
          <w:color w:val="111111"/>
          <w:sz w:val="28"/>
          <w:szCs w:val="28"/>
          <w:rtl/>
        </w:rPr>
        <w:t xml:space="preserve">السلام:«و اللّٰه تعالی فی عون العبد ما کان العبد فی عون أخیه» </w:t>
      </w:r>
      <w:r>
        <w:rPr>
          <w:rStyle w:val="FootnoteReference"/>
        </w:rPr>
        <w:footnoteReference w:id="4258"/>
      </w:r>
      <w:r>
        <w:rPr>
          <w:rFonts w:ascii="Amiri" w:hAnsi="Amiri" w:eastAsia="Amiri" w:cs="Amiri"/>
          <w:lang w:bidi="ar-SA"/>
          <w:color w:val="111111"/>
          <w:sz w:val="28"/>
          <w:szCs w:val="28"/>
          <w:rtl/>
        </w:rPr>
        <w:t xml:space="preserve">،و قوله صلّی اللّٰه علیه و آله:«کلّ معروف صدقة» </w:t>
      </w:r>
      <w:r>
        <w:rPr>
          <w:rStyle w:val="FootnoteReference"/>
        </w:rPr>
        <w:footnoteReference w:id="4259"/>
      </w:r>
      <w:r>
        <w:rPr>
          <w:rFonts w:ascii="IRNazanin" w:hAnsi="IRNazanin" w:eastAsia="IRNazanin" w:cs="IRNazanin"/>
          <w:lang w:bidi="fa-IR"/>
          <w:color w:val="111111"/>
          <w:sz w:val="28"/>
          <w:szCs w:val="28"/>
          <w:rtl/>
        </w:rPr>
        <w:t xml:space="preserve">.و هل یجوز أخذ الزکوات و الأخماس من الممتنع و تفریقها فی أربابها،و کذا بقیّة وظائف الحکّام غیر ما یتعلّق بالدعاوی؟فیه وجهان:وجه الجواز ما ذکرنا،و لأنه لو مُنع من ذلک لفاتت مصالح صرف تلک الأموال،و هی مطلوبة للّٰه تعالی.</w:t>
      </w:r>
    </w:p>
    <w:p>
      <w:pPr>
        <w:pStyle w:val="BookText"/>
      </w:pPr>
      <w:r>
        <w:rPr>
          <w:rFonts w:ascii="IRNazanin" w:hAnsi="IRNazanin" w:eastAsia="IRNazanin" w:cs="IRNazanin"/>
          <w:lang w:bidi="fa-IR"/>
          <w:color w:val="111111"/>
          <w:sz w:val="28"/>
          <w:szCs w:val="28"/>
          <w:rtl/>
        </w:rPr>
        <w:t xml:space="preserve">و قال بعض متأخّری العامّة:لا شکّ أنّ القیام بهذه المصالح أهمّ من ترک تلک الأموال بأیدی الظلمة یأکلونها بغیر حقّها و یصرفونها إلی غیر مستحقّها.</w:t>
      </w:r>
    </w:p>
    <w:p>
      <w:pPr>
        <w:pStyle w:val="BookText"/>
      </w:pPr>
      <w:r>
        <w:rPr>
          <w:rFonts w:ascii="IRNazanin" w:hAnsi="IRNazanin" w:eastAsia="IRNazanin" w:cs="IRNazanin"/>
          <w:lang w:bidi="fa-IR"/>
          <w:color w:val="111111"/>
          <w:sz w:val="28"/>
          <w:szCs w:val="28"/>
          <w:rtl/>
        </w:rPr>
        <w:t xml:space="preserve">[*ستوده]</w:t>
      </w:r>
    </w:p>
    <w:p>
      <w:pPr>
        <w:pStyle w:val="BookText"/>
      </w:pPr>
      <w:r>
        <w:rPr>
          <w:rFonts w:ascii="IRNazanin" w:hAnsi="IRNazanin" w:eastAsia="IRNazanin" w:cs="IRNazanin"/>
          <w:lang w:bidi="fa-IR"/>
          <w:color w:val="111111"/>
          <w:sz w:val="28"/>
          <w:szCs w:val="28"/>
          <w:rtl/>
        </w:rPr>
        <w:t xml:space="preserve">فإن تُوقِّع إمامٌ یصرف ذلک فی وجهه،حفظ المتمکّن تلک الأموال إلی حین تمکّنه من صرفها إلیه،و إن یئس من ذلک-کما</w:t>
      </w:r>
    </w:p>
    <w:p>
      <w:pPr>
        <w:pStyle w:val="BookText"/>
      </w:pPr>
      <w:r>
        <w:rPr>
          <w:rFonts w:ascii="IRNazanin" w:hAnsi="IRNazanin" w:eastAsia="IRNazanin" w:cs="IRNazanin"/>
          <w:lang w:bidi="fa-IR"/>
          <w:color w:val="111111"/>
          <w:sz w:val="28"/>
          <w:szCs w:val="28"/>
          <w:rtl/>
        </w:rPr>
        <w:t xml:space="preserve">[شماره صفحه واقعی : 562]
</w:t>
      </w:r>
    </w:p>
    <w:p>
      <w:pPr>
        <w:sectPr>
          <w:footerReference w:type="default" r:id="rId1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هذا الزمان-تعیّن صرفه علی الفور فی مصارفه؛لما فی إبقائه من التغریر و حرمان مستحقّیه </w:t>
      </w:r>
      <w:r>
        <w:rPr>
          <w:rStyle w:val="FootnoteReference"/>
        </w:rPr>
        <w:footnoteReference w:id="4260"/>
      </w:r>
      <w:r>
        <w:rPr>
          <w:rFonts w:ascii="IRNazanin" w:hAnsi="IRNazanin" w:eastAsia="IRNazanin" w:cs="IRNazanin"/>
          <w:lang w:bidi="fa-IR"/>
          <w:color w:val="111111"/>
          <w:sz w:val="28"/>
          <w:szCs w:val="28"/>
          <w:rtl/>
        </w:rPr>
        <w:t xml:space="preserve">من تعجیل أخذه مع مسیس حاجتهم إلیه.</w:t>
      </w:r>
    </w:p>
    <w:p>
      <w:pPr>
        <w:pStyle w:val="BookText"/>
      </w:pPr>
      <w:r>
        <w:rPr>
          <w:rFonts w:ascii="IRNazanin" w:hAnsi="IRNazanin" w:eastAsia="IRNazanin" w:cs="IRNazanin"/>
          <w:lang w:bidi="fa-IR"/>
          <w:color w:val="111111"/>
          <w:sz w:val="28"/>
          <w:szCs w:val="28"/>
          <w:rtl/>
        </w:rPr>
        <w:t xml:space="preserve">و لو ظفر بأموال مغصوبة حفظها لأربابها حتّی یصل إلیهم،و مع الیأس یتصدّق بها عنهم </w:t>
      </w:r>
      <w:r>
        <w:rPr>
          <w:rStyle w:val="FootnoteReference"/>
        </w:rPr>
        <w:footnoteReference w:id="4261"/>
      </w:r>
      <w:r>
        <w:rPr>
          <w:rFonts w:ascii="IRNazanin" w:hAnsi="IRNazanin" w:eastAsia="IRNazanin" w:cs="IRNazanin"/>
          <w:lang w:bidi="fa-IR"/>
          <w:color w:val="111111"/>
          <w:sz w:val="28"/>
          <w:szCs w:val="28"/>
          <w:rtl/>
        </w:rPr>
        <w:t xml:space="preserve">،و عند العامّة تصرف فی المصارف </w:t>
      </w:r>
      <w:r>
        <w:rPr>
          <w:rStyle w:val="FootnoteReference"/>
        </w:rPr>
        <w:footnoteReference w:id="4262"/>
      </w:r>
      <w:r>
        <w:rPr>
          <w:rFonts w:ascii="Amiri" w:hAnsi="Amiri" w:eastAsia="Amiri" w:cs="Amiri"/>
          <w:lang w:bidi="ar-SA"/>
          <w:color w:val="111111"/>
          <w:sz w:val="28"/>
          <w:szCs w:val="28"/>
          <w:rtl/>
        </w:rPr>
        <w:t xml:space="preserve">العامّة </w:t>
      </w:r>
      <w:r>
        <w:rPr>
          <w:rStyle w:val="FootnoteReference"/>
        </w:rPr>
        <w:footnoteReference w:id="4263"/>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الظاهر أنّ قوله:«فإن توقّع...إلی آخره»من کلام الشهید قدّس سرّه، و لقد أجاد فیما أفاد إلّا أنّه قدّس سرّه لم یبیّن وجه عدم الجواز،و لعلّ وجهه:أنّ مجرّد کون هذه الأُمور من المعروف لا ینافی اشتراطها بوجود الإمام أو نائبه کما فی قطع الدعاوی و إقامة الحدود،و کما فی التجارة بمال الصغیر الذی له أب و جدّ؛فإنّ کونها من المعروف لا ینافی وکوله إلی شخص خاصّ.</w:t>
      </w:r>
    </w:p>
    <w:p>
      <w:pPr>
        <w:pStyle w:val="BookText"/>
      </w:pPr>
      <w:r>
        <w:rPr>
          <w:rFonts w:ascii="IRNazanin" w:hAnsi="IRNazanin" w:eastAsia="IRNazanin" w:cs="IRNazanin"/>
          <w:lang w:bidi="fa-IR"/>
          <w:color w:val="111111"/>
          <w:sz w:val="28"/>
          <w:szCs w:val="28"/>
          <w:rtl/>
        </w:rPr>
        <w:t xml:space="preserve">نعم،لو فُرض المعروف علی وجه یستقلّ العقل بحسنه مطلقاً -کحفظ الیتیم من الهلاک الذی یعلم رجحانه علی مفسدة التصرّف فی مال الغیر بغیر إذنه-صحّ المباشرة بمقدار یندفع به الضرورة،أو فرض علی وجه یفهم من دلیله جواز تصدّیه لکلّ أحدٍ إلّا أنّه خرج ما لو تُمُکِّن من الحاکم،حیث دلّت الأدلّة علی وجوب إرجاع الأُمور إلیه،و هذا کتجهیز المیّت،و إلّا فمجرّد کون التصرّف معروفاً لا ینهض فی تقیید ما دلّ علی عدم ولایة أحد علی مال أحد أو نفسه،</w:t>
      </w:r>
    </w:p>
    <w:p>
      <w:pPr>
        <w:pStyle w:val="BookText"/>
      </w:pPr>
      <w:r>
        <w:rPr>
          <w:rFonts w:ascii="IRNazanin" w:hAnsi="IRNazanin" w:eastAsia="IRNazanin" w:cs="IRNazanin"/>
          <w:lang w:bidi="fa-IR"/>
          <w:color w:val="111111"/>
          <w:sz w:val="28"/>
          <w:szCs w:val="28"/>
          <w:rtl/>
        </w:rPr>
        <w:t xml:space="preserve">[شماره صفحه واقعی : 563]
</w:t>
      </w:r>
    </w:p>
    <w:p>
      <w:pPr>
        <w:sectPr>
          <w:footerReference w:type="default" r:id="rId1242"/>
          <w:footnotePr>
            <w:numStart w:val="1"/>
            <w:numRestart w:val="eachPage"/>
          </w:footnotePr>
          <w:pgSz w:orient="portrait" w:w="11905.511811023622" w:h="16837.79527559055"/>
          <w:pgMar w:top="1440" w:right="1440" w:bottom="1440" w:left="1440" w:header="720" w:footer="720" w:gutter="0"/>
          <w:cols w:num="1" w:space="720"/>
        </w:sectPr>
      </w:pPr>
    </w:p>
    <w:bookmarkStart w:id="695" w:name="pg14411_143624"/>
    <w:bookmarkEnd w:id="695"/>
    <w:p>
      <w:pPr>
        <w:pStyle w:val="BookText"/>
      </w:pPr>
      <w:r>
        <w:rPr>
          <w:rFonts w:ascii="IRNazanin" w:hAnsi="IRNazanin" w:eastAsia="IRNazanin" w:cs="IRNazanin"/>
          <w:lang w:bidi="fa-IR"/>
          <w:color w:val="111111"/>
          <w:sz w:val="28"/>
          <w:szCs w:val="28"/>
          <w:rtl/>
        </w:rPr>
        <w:t xml:space="preserve">و لهذا لا یلزم عقد الفضولی علی المعقود له بمجرّد کونه معروفاً و مصلحة،و لا یفهم من أدلّة المعروف ولایة للفضولی علی المعقود علیه؛لأنّ المعروف هو التصرّف فی المال أو النفس علی الوجه المأذون فیه من المالک أو العقل أو الشارع من غیر جهة نفس أدلّة المعروف.</w:t>
      </w:r>
    </w:p>
    <w:p>
      <w:pPr>
        <w:pStyle w:val="BookText"/>
      </w:pPr>
      <w:r>
        <w:rPr>
          <w:rFonts w:ascii="IRNazanin" w:hAnsi="IRNazanin" w:eastAsia="IRNazanin" w:cs="IRNazanin"/>
          <w:lang w:bidi="fa-IR"/>
          <w:color w:val="111111"/>
          <w:sz w:val="28"/>
          <w:szCs w:val="28"/>
          <w:rtl/>
        </w:rPr>
        <w:t xml:space="preserve">و بالجملة،تصرّف غیر الحاکم یحتاج إلی نصٍّ عقلی،أو عموم شرعی،أو خصوصٍ فی مورد جزئی،فافهم.</w:t>
      </w:r>
    </w:p>
    <w:p>
      <w:pPr>
        <w:pStyle w:val="Heading6"/>
      </w:pPr>
      <w:bookmarkStart w:id="2379" w:name="_Toc1414"/>
      <w:r>
        <w:t>بقی الکلام فی اشتراط العدالة فی المؤمن الذی یتولّی المصلحة عند فقد الحاکم</w:t>
      </w:r>
      <w:bookmarkEnd w:id="2379"/>
    </w:p>
    <w:p>
      <w:pPr>
        <w:pStyle w:val="BookText"/>
      </w:pPr>
      <w:r>
        <w:rPr>
          <w:rFonts w:ascii="IRNazanin" w:hAnsi="IRNazanin" w:eastAsia="IRNazanin" w:cs="IRNazanin"/>
          <w:lang w:bidi="fa-IR"/>
          <w:color w:val="111111"/>
          <w:sz w:val="28"/>
          <w:szCs w:val="28"/>
          <w:rtl/>
        </w:rPr>
        <w:t xml:space="preserve">کما هو ظاهر أکثر الفتاوی؛حیث یعبّرون بعدول المؤمنین </w:t>
      </w:r>
      <w:r>
        <w:rPr>
          <w:rStyle w:val="FootnoteReference"/>
        </w:rPr>
        <w:footnoteReference w:id="4264"/>
      </w:r>
      <w:r>
        <w:rPr>
          <w:rFonts w:ascii="IRNazanin" w:hAnsi="IRNazanin" w:eastAsia="IRNazanin" w:cs="IRNazanin"/>
          <w:lang w:bidi="fa-IR"/>
          <w:color w:val="111111"/>
          <w:sz w:val="28"/>
          <w:szCs w:val="28"/>
          <w:rtl/>
        </w:rPr>
        <w:t xml:space="preserve">،و هو مقتضی الأصل،و یمکن أن یستدلّ علیه ببعض الأخبار أیضاً:</w:t>
      </w:r>
    </w:p>
    <w:p>
      <w:pPr>
        <w:pStyle w:val="BookText"/>
      </w:pPr>
      <w:r>
        <w:rPr>
          <w:rFonts w:ascii="IRNazanin" w:hAnsi="IRNazanin" w:eastAsia="IRNazanin" w:cs="IRNazanin"/>
          <w:lang w:bidi="fa-IR"/>
          <w:color w:val="111111"/>
          <w:sz w:val="28"/>
          <w:szCs w:val="28"/>
          <w:rtl/>
        </w:rPr>
        <w:t xml:space="preserve">ففی صحیحة محمد بن إسماعیل:«رجل مات من أصحابنا بغیر وصیّة،فرفع أمره إلی قاضی الکوفة،فصیّر عبد الحمید القیّم بماله، و کان الرجل خلّف ورثة صغاراً و متاعاً و جواری،فباع عبد الحمید المتاع،فلمّا أراد بیع الجواری ضعف قلبه عن بیعهنّ،إذ لم یکن المیّت صیّر إلیه وصیّة،و کان قیامه فیها </w:t>
      </w:r>
      <w:r>
        <w:rPr>
          <w:rStyle w:val="FootnoteReference"/>
        </w:rPr>
        <w:footnoteReference w:id="4265"/>
      </w:r>
      <w:r>
        <w:rPr>
          <w:rFonts w:ascii="IRNazanin" w:hAnsi="IRNazanin" w:eastAsia="IRNazanin" w:cs="IRNazanin"/>
          <w:lang w:bidi="fa-IR"/>
          <w:color w:val="111111"/>
          <w:sz w:val="28"/>
          <w:szCs w:val="28"/>
          <w:rtl/>
        </w:rPr>
        <w:t xml:space="preserve">بأمر القاضی؛لأنّهنّ فروج،قال:</w:t>
      </w:r>
    </w:p>
    <w:p>
      <w:pPr>
        <w:pStyle w:val="BookText"/>
      </w:pPr>
      <w:r>
        <w:rPr>
          <w:rFonts w:ascii="IRNazanin" w:hAnsi="IRNazanin" w:eastAsia="IRNazanin" w:cs="IRNazanin"/>
          <w:lang w:bidi="fa-IR"/>
          <w:color w:val="111111"/>
          <w:sz w:val="28"/>
          <w:szCs w:val="28"/>
          <w:rtl/>
        </w:rPr>
        <w:t xml:space="preserve">فذکرت ذلک لأبی جعفر علیه السلام،و قلت له:یموت الرجل من أصحابنا، و لا یوصی إلی أحد،و یخلّف جواری </w:t>
      </w:r>
      <w:r>
        <w:rPr>
          <w:rStyle w:val="FootnoteReference"/>
        </w:rPr>
        <w:footnoteReference w:id="4266"/>
      </w:r>
      <w:r>
        <w:rPr>
          <w:rFonts w:ascii="Amiri" w:hAnsi="Amiri" w:eastAsia="Amiri" w:cs="Amiri"/>
          <w:lang w:bidi="ar-SA"/>
          <w:color w:val="111111"/>
          <w:sz w:val="28"/>
          <w:szCs w:val="28"/>
          <w:rtl/>
        </w:rPr>
        <w:t xml:space="preserve">،فیقیم القاضی رجلاً منّا لبیعهنّ</w:t>
      </w:r>
    </w:p>
    <w:p>
      <w:pPr>
        <w:pStyle w:val="BookText"/>
      </w:pPr>
      <w:r>
        <w:rPr>
          <w:rFonts w:ascii="IRNazanin" w:hAnsi="IRNazanin" w:eastAsia="IRNazanin" w:cs="IRNazanin"/>
          <w:lang w:bidi="fa-IR"/>
          <w:color w:val="111111"/>
          <w:sz w:val="28"/>
          <w:szCs w:val="28"/>
          <w:rtl/>
        </w:rPr>
        <w:t xml:space="preserve">[شماره صفحه واقعی : 564]
</w:t>
      </w:r>
    </w:p>
    <w:p>
      <w:pPr>
        <w:sectPr>
          <w:footerReference w:type="default" r:id="rId1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قال:یقوم بذلک رجلٌ منّا-فیضعف قلبه؛لأنّهنّ فروج </w:t>
      </w:r>
      <w:r>
        <w:rPr>
          <w:rStyle w:val="FootnoteReference"/>
        </w:rPr>
        <w:footnoteReference w:id="4267"/>
      </w:r>
      <w:r>
        <w:rPr>
          <w:rFonts w:ascii="IRNazanin" w:hAnsi="IRNazanin" w:eastAsia="IRNazanin" w:cs="IRNazanin"/>
          <w:lang w:bidi="fa-IR"/>
          <w:color w:val="111111"/>
          <w:sz w:val="28"/>
          <w:szCs w:val="28"/>
          <w:rtl/>
        </w:rPr>
        <w:t xml:space="preserve">،فما تری فی ذلک؟قال:إذا کان القیّم </w:t>
      </w:r>
      <w:r>
        <w:rPr>
          <w:rStyle w:val="FootnoteReference"/>
        </w:rPr>
        <w:footnoteReference w:id="4268"/>
      </w:r>
      <w:r>
        <w:rPr>
          <w:rFonts w:ascii="IRNazanin" w:hAnsi="IRNazanin" w:eastAsia="IRNazanin" w:cs="IRNazanin"/>
          <w:lang w:bidi="fa-IR"/>
          <w:color w:val="111111"/>
          <w:sz w:val="28"/>
          <w:szCs w:val="28"/>
          <w:rtl/>
        </w:rPr>
        <w:t xml:space="preserve">مثلک و </w:t>
      </w:r>
      <w:r>
        <w:rPr>
          <w:rStyle w:val="FootnoteReference"/>
        </w:rPr>
        <w:footnoteReference w:id="4269"/>
      </w:r>
      <w:r>
        <w:rPr>
          <w:rFonts w:ascii="IRNazanin" w:hAnsi="IRNazanin" w:eastAsia="IRNazanin" w:cs="IRNazanin"/>
          <w:lang w:bidi="fa-IR"/>
          <w:color w:val="111111"/>
          <w:sz w:val="28"/>
          <w:szCs w:val="28"/>
          <w:rtl/>
        </w:rPr>
        <w:t xml:space="preserve">مثل عبد الحمید فلا بأس» </w:t>
      </w:r>
      <w:r>
        <w:rPr>
          <w:rStyle w:val="FootnoteReference"/>
        </w:rPr>
        <w:footnoteReference w:id="42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بناء علی أنّ المراد من المماثلة:أمّا المماثلة فی التشیّع،أو فی الوثاقة و ملاحظة مصلحة الیتیم و إن لم یکن شیعیّاً،أو فی الفقاهة-بأن یکون من نوّاب الإمام علیه السلام عموماً فی القضاء بین المسلمین-أو فی العدالة.</w:t>
      </w:r>
    </w:p>
    <w:p>
      <w:pPr>
        <w:pStyle w:val="BookText"/>
      </w:pPr>
      <w:r>
        <w:rPr>
          <w:rFonts w:ascii="IRNazanin" w:hAnsi="IRNazanin" w:eastAsia="IRNazanin" w:cs="IRNazanin"/>
          <w:lang w:bidi="fa-IR"/>
          <w:color w:val="111111"/>
          <w:sz w:val="28"/>
          <w:szCs w:val="28"/>
          <w:rtl/>
        </w:rPr>
        <w:t xml:space="preserve">و الاحتمال </w:t>
      </w:r>
      <w:r>
        <w:rPr>
          <w:rStyle w:val="FootnoteReference"/>
        </w:rPr>
        <w:footnoteReference w:id="4271"/>
      </w:r>
      <w:r>
        <w:rPr>
          <w:rFonts w:ascii="IRNazanin" w:hAnsi="IRNazanin" w:eastAsia="IRNazanin" w:cs="IRNazanin"/>
          <w:lang w:bidi="fa-IR"/>
          <w:color w:val="111111"/>
          <w:sz w:val="28"/>
          <w:szCs w:val="28"/>
          <w:rtl/>
        </w:rPr>
        <w:t xml:space="preserve">الثالث منافٍ لإطلاق المفهوم الدالّ علی ثبوت البأس مع عدم الفقیه و لو مع تعذّره.و هذا بخلاف الاحتمالات الأُخر؛فإنّ البأس ثابت للفاسق أو الخائن أو المخالف و إن تعذّر غیرهم،فتَعَیّن أحدها </w:t>
      </w:r>
      <w:r>
        <w:rPr>
          <w:rStyle w:val="FootnoteReference"/>
        </w:rPr>
        <w:footnoteReference w:id="4272"/>
      </w:r>
      <w:r>
        <w:rPr>
          <w:rFonts w:ascii="IRNazanin" w:hAnsi="IRNazanin" w:eastAsia="IRNazanin" w:cs="IRNazanin"/>
          <w:lang w:bidi="fa-IR"/>
          <w:color w:val="111111"/>
          <w:sz w:val="28"/>
          <w:szCs w:val="28"/>
          <w:rtl/>
        </w:rPr>
        <w:t xml:space="preserve">الدائر بینها،فیجب الأخذ فی مخالفة الأصل بالأخصّ منها، و هو العدل.</w:t>
      </w:r>
    </w:p>
    <w:p>
      <w:pPr>
        <w:pStyle w:val="BookText"/>
      </w:pPr>
      <w:r>
        <w:rPr>
          <w:rFonts w:ascii="IRNazanin" w:hAnsi="IRNazanin" w:eastAsia="IRNazanin" w:cs="IRNazanin"/>
          <w:lang w:bidi="fa-IR"/>
          <w:color w:val="111111"/>
          <w:sz w:val="28"/>
          <w:szCs w:val="28"/>
          <w:rtl/>
        </w:rPr>
        <w:t xml:space="preserve">[*ستوده]</w:t>
      </w:r>
    </w:p>
    <w:p>
      <w:pPr>
        <w:pStyle w:val="BookText"/>
      </w:pPr>
      <w:r>
        <w:rPr>
          <w:rFonts w:ascii="IRNazanin" w:hAnsi="IRNazanin" w:eastAsia="IRNazanin" w:cs="IRNazanin"/>
          <w:lang w:bidi="fa-IR"/>
          <w:color w:val="111111"/>
          <w:sz w:val="28"/>
          <w:szCs w:val="28"/>
          <w:rtl/>
        </w:rPr>
        <w:t xml:space="preserve">لکن الظاهر من بعض الروایات کفایة الأمانة و ملاحظة مصلحة الیتیم، فیکون مفسّراً للاحتمال الثانی فی وجه المماثلة المذکورة فی الصحیحة.</w:t>
      </w:r>
    </w:p>
    <w:p>
      <w:pPr>
        <w:pStyle w:val="BookText"/>
      </w:pPr>
      <w:r>
        <w:rPr>
          <w:rFonts w:ascii="IRNazanin" w:hAnsi="IRNazanin" w:eastAsia="IRNazanin" w:cs="IRNazanin"/>
          <w:lang w:bidi="fa-IR"/>
          <w:color w:val="111111"/>
          <w:sz w:val="28"/>
          <w:szCs w:val="28"/>
          <w:rtl/>
        </w:rPr>
        <w:t xml:space="preserve">[شماره صفحه واقعی : 565]
</w:t>
      </w:r>
    </w:p>
    <w:p>
      <w:pPr>
        <w:sectPr>
          <w:footerReference w:type="default" r:id="rId1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ففی صحیحة علی بن رئاب:«رجل مات و بینی و بینه قرابة و ترک أولاداً صغاراً و ممالیک-غلماناً </w:t>
      </w:r>
      <w:r>
        <w:rPr>
          <w:rStyle w:val="FootnoteReference"/>
        </w:rPr>
        <w:footnoteReference w:id="4273"/>
      </w:r>
      <w:r>
        <w:rPr>
          <w:rFonts w:ascii="IRNazanin" w:hAnsi="IRNazanin" w:eastAsia="IRNazanin" w:cs="IRNazanin"/>
          <w:lang w:bidi="fa-IR"/>
          <w:color w:val="111111"/>
          <w:sz w:val="28"/>
          <w:szCs w:val="28"/>
          <w:rtl/>
        </w:rPr>
        <w:t xml:space="preserve">و جواری-و لم یوصِ،فما تری فیمن یشتری منهم الجاریة فیتّخذها </w:t>
      </w:r>
      <w:r>
        <w:rPr>
          <w:rStyle w:val="FootnoteReference"/>
        </w:rPr>
        <w:footnoteReference w:id="4274"/>
      </w:r>
      <w:r>
        <w:rPr>
          <w:rFonts w:ascii="IRNazanin" w:hAnsi="IRNazanin" w:eastAsia="IRNazanin" w:cs="IRNazanin"/>
          <w:lang w:bidi="fa-IR"/>
          <w:color w:val="111111"/>
          <w:sz w:val="28"/>
          <w:szCs w:val="28"/>
          <w:rtl/>
        </w:rPr>
        <w:t xml:space="preserve">أُمّ ولد؟و ما تری فی بیعهم؟ قال </w:t>
      </w:r>
      <w:r>
        <w:rPr>
          <w:rStyle w:val="FootnoteReference"/>
        </w:rPr>
        <w:footnoteReference w:id="4275"/>
      </w:r>
      <w:r>
        <w:rPr>
          <w:rFonts w:ascii="IRNazanin" w:hAnsi="IRNazanin" w:eastAsia="IRNazanin" w:cs="IRNazanin"/>
          <w:lang w:bidi="fa-IR"/>
          <w:color w:val="111111"/>
          <w:sz w:val="28"/>
          <w:szCs w:val="28"/>
          <w:rtl/>
        </w:rPr>
        <w:t xml:space="preserve">:إن کان لهم ولیّ یقوم بأمرهم،باع علیهم و نظر لهم و </w:t>
      </w:r>
      <w:r>
        <w:rPr>
          <w:rStyle w:val="FootnoteReference"/>
        </w:rPr>
        <w:footnoteReference w:id="4276"/>
      </w:r>
      <w:r>
        <w:rPr>
          <w:rFonts w:ascii="IRNazanin" w:hAnsi="IRNazanin" w:eastAsia="IRNazanin" w:cs="IRNazanin"/>
          <w:lang w:bidi="fa-IR"/>
          <w:color w:val="111111"/>
          <w:sz w:val="28"/>
          <w:szCs w:val="28"/>
          <w:rtl/>
        </w:rPr>
        <w:t xml:space="preserve">کان مأجوراً فیهم </w:t>
      </w:r>
      <w:r>
        <w:rPr>
          <w:rStyle w:val="FootnoteReference"/>
        </w:rPr>
        <w:footnoteReference w:id="4277"/>
      </w:r>
      <w:r>
        <w:rPr>
          <w:rFonts w:ascii="IRNazanin" w:hAnsi="IRNazanin" w:eastAsia="IRNazanin" w:cs="IRNazanin"/>
          <w:lang w:bidi="fa-IR"/>
          <w:color w:val="111111"/>
          <w:sz w:val="28"/>
          <w:szCs w:val="28"/>
          <w:rtl/>
        </w:rPr>
        <w:t xml:space="preserve">.قلت:فما تری فیمن یشتری منهم الجاریة و یتّخذها </w:t>
      </w:r>
      <w:r>
        <w:rPr>
          <w:rStyle w:val="FootnoteReference"/>
        </w:rPr>
        <w:footnoteReference w:id="4278"/>
      </w:r>
      <w:r>
        <w:rPr>
          <w:rFonts w:ascii="IRNazanin" w:hAnsi="IRNazanin" w:eastAsia="IRNazanin" w:cs="IRNazanin"/>
          <w:lang w:bidi="fa-IR"/>
          <w:color w:val="111111"/>
          <w:sz w:val="28"/>
          <w:szCs w:val="28"/>
          <w:rtl/>
        </w:rPr>
        <w:t xml:space="preserve">أُمّ ولد؟فقال:لا بأس بذلک إذا باع علیهم القیّم بأمرهم الناظر فیما یصلحهم،و لیس لهم أن یرجعوا فیما فعله القیّم بأمرهم الناظر فیما یصلحهم» </w:t>
      </w:r>
      <w:r>
        <w:rPr>
          <w:rStyle w:val="FootnoteReference"/>
        </w:rPr>
        <w:footnoteReference w:id="42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موثّقة زرعة،عن سماعة:«فی رجل مات و له بنون و بنات صغار و کبار،من غیر وصیّة،و له خدم و ممالیک و عقد </w:t>
      </w:r>
      <w:r>
        <w:rPr>
          <w:rStyle w:val="FootnoteReference"/>
        </w:rPr>
        <w:footnoteReference w:id="4280"/>
      </w:r>
      <w:r>
        <w:rPr>
          <w:rFonts w:ascii="IRNazanin" w:hAnsi="IRNazanin" w:eastAsia="IRNazanin" w:cs="IRNazanin"/>
          <w:lang w:bidi="fa-IR"/>
          <w:color w:val="111111"/>
          <w:sz w:val="28"/>
          <w:szCs w:val="28"/>
          <w:rtl/>
        </w:rPr>
        <w:t xml:space="preserve">کیف یصنع</w:t>
      </w:r>
    </w:p>
    <w:p>
      <w:pPr>
        <w:pStyle w:val="BookText"/>
      </w:pPr>
      <w:r>
        <w:rPr>
          <w:rFonts w:ascii="IRNazanin" w:hAnsi="IRNazanin" w:eastAsia="IRNazanin" w:cs="IRNazanin"/>
          <w:lang w:bidi="fa-IR"/>
          <w:color w:val="111111"/>
          <w:sz w:val="28"/>
          <w:szCs w:val="28"/>
          <w:rtl/>
        </w:rPr>
        <w:t xml:space="preserve">[شماره صفحه واقعی : 566]
</w:t>
      </w:r>
    </w:p>
    <w:p>
      <w:pPr>
        <w:sectPr>
          <w:footerReference w:type="default" r:id="rId1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الورثة بقسمة ذلک </w:t>
      </w:r>
      <w:r>
        <w:rPr>
          <w:rStyle w:val="FootnoteReference"/>
        </w:rPr>
        <w:footnoteReference w:id="4281"/>
      </w:r>
      <w:r>
        <w:rPr>
          <w:rFonts w:ascii="IRNazanin" w:hAnsi="IRNazanin" w:eastAsia="IRNazanin" w:cs="IRNazanin"/>
          <w:lang w:bidi="fa-IR"/>
          <w:color w:val="111111"/>
          <w:sz w:val="28"/>
          <w:szCs w:val="28"/>
          <w:rtl/>
        </w:rPr>
        <w:t xml:space="preserve">؟قال:إن قام رجل ثقة قاسمهم ذلک کلّه فلا بأس </w:t>
      </w:r>
      <w:r>
        <w:rPr>
          <w:rStyle w:val="FootnoteReference"/>
        </w:rPr>
        <w:footnoteReference w:id="4282"/>
      </w:r>
      <w:r>
        <w:rPr>
          <w:rFonts w:ascii="IRNazanin" w:hAnsi="IRNazanin" w:eastAsia="IRNazanin" w:cs="IRNazanin"/>
          <w:lang w:bidi="fa-IR"/>
          <w:color w:val="111111"/>
          <w:sz w:val="28"/>
          <w:szCs w:val="28"/>
          <w:rtl/>
        </w:rPr>
        <w:t xml:space="preserve">بناءً علی أنّ المراد من یوثق به و یطمئنّ بفعله عرفاً و إن لم یکن فیه ملکة العدالة.</w:t>
      </w:r>
    </w:p>
    <w:p>
      <w:pPr>
        <w:pStyle w:val="BookText"/>
      </w:pPr>
      <w:r>
        <w:rPr>
          <w:rFonts w:ascii="IRNazanin" w:hAnsi="IRNazanin" w:eastAsia="IRNazanin" w:cs="IRNazanin"/>
          <w:lang w:bidi="fa-IR"/>
          <w:color w:val="111111"/>
          <w:sz w:val="28"/>
          <w:szCs w:val="28"/>
          <w:rtl/>
        </w:rPr>
        <w:t xml:space="preserve">لکن فی صحیحة إسماعیل بن سعد ما یدلّ علی اشتراط تحقّق عنوان العدالة:«قال:سألت الرضا علیه السلام عن رجل یموت بغیر وصیّة، و له ولد صغار و کبار،أ یحلّ شراء شیء من خدمه و متاعه </w:t>
      </w:r>
      <w:r>
        <w:rPr>
          <w:rStyle w:val="FootnoteReference"/>
        </w:rPr>
        <w:footnoteReference w:id="4283"/>
      </w:r>
      <w:r>
        <w:rPr>
          <w:rFonts w:ascii="IRNazanin" w:hAnsi="IRNazanin" w:eastAsia="IRNazanin" w:cs="IRNazanin"/>
          <w:lang w:bidi="fa-IR"/>
          <w:color w:val="111111"/>
          <w:sz w:val="28"/>
          <w:szCs w:val="28"/>
          <w:rtl/>
        </w:rPr>
        <w:t xml:space="preserve">من غیر أن یتولّی القاضی بیع ذلک؟فإن تولّاه قاضٍ قد تراضوا به و لم یستخلفه </w:t>
      </w:r>
      <w:r>
        <w:rPr>
          <w:rStyle w:val="FootnoteReference"/>
        </w:rPr>
        <w:footnoteReference w:id="4284"/>
      </w:r>
      <w:r>
        <w:rPr>
          <w:rFonts w:ascii="IRNazanin" w:hAnsi="IRNazanin" w:eastAsia="IRNazanin" w:cs="IRNazanin"/>
          <w:lang w:bidi="fa-IR"/>
          <w:color w:val="111111"/>
          <w:sz w:val="28"/>
          <w:szCs w:val="28"/>
          <w:rtl/>
        </w:rPr>
        <w:t xml:space="preserve">الخلیفة،أ یطیب الشراء منه أم لا؟قال علیه السلام:إذا کان الأکابر من ولده معه فی البیع فلا بأس إذا رضی الورثة بالبیع و قام عدل فی ذلک» </w:t>
      </w:r>
      <w:r>
        <w:rPr>
          <w:rStyle w:val="FootnoteReference"/>
        </w:rPr>
        <w:footnoteReference w:id="42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هذا،و الذی ینبغی أن یقال:إنّک قد عرفت أنّ ولایة غیر الحاکم لا تثبت إلّا فی مقام یکون عموم عقلی أو نقلی یدلّ علی رجحان التصدّی لذلک المعروف،أو یکون هناک دلیل خاصّ یدلّ علیه، فما ورد فیه نصّ خاصّ علی الولایة اتّبع ذلک النصّ عموماً أو </w:t>
      </w:r>
      <w:r>
        <w:rPr>
          <w:rStyle w:val="FootnoteReference"/>
        </w:rPr>
        <w:footnoteReference w:id="4286"/>
      </w:r>
      <w:r>
        <w:rPr>
          <w:rFonts w:ascii="IRNazanin" w:hAnsi="IRNazanin" w:eastAsia="IRNazanin" w:cs="IRNazanin"/>
          <w:lang w:bidi="fa-IR"/>
          <w:color w:val="111111"/>
          <w:sz w:val="28"/>
          <w:szCs w:val="28"/>
          <w:rtl/>
        </w:rPr>
        <w:t xml:space="preserve">خصوصاً فقد یشمل الفاسق و قد لا یشمل.</w:t>
      </w:r>
    </w:p>
    <w:p>
      <w:pPr>
        <w:pStyle w:val="BookText"/>
      </w:pPr>
      <w:r>
        <w:rPr>
          <w:rFonts w:ascii="IRNazanin" w:hAnsi="IRNazanin" w:eastAsia="IRNazanin" w:cs="IRNazanin"/>
          <w:lang w:bidi="fa-IR"/>
          <w:color w:val="111111"/>
          <w:sz w:val="28"/>
          <w:szCs w:val="28"/>
          <w:rtl/>
        </w:rPr>
        <w:t xml:space="preserve">[شماره صفحه واقعی : 567]
</w:t>
      </w:r>
    </w:p>
    <w:p>
      <w:pPr>
        <w:sectPr>
          <w:footerReference w:type="default" r:id="rId1246"/>
          <w:footnotePr>
            <w:numStart w:val="1"/>
            <w:numRestart w:val="eachPage"/>
          </w:footnotePr>
          <w:pgSz w:orient="portrait" w:w="11905.511811023622" w:h="16837.79527559055"/>
          <w:pgMar w:top="1440" w:right="1440" w:bottom="1440" w:left="1440" w:header="720" w:footer="720" w:gutter="0"/>
          <w:cols w:num="1" w:space="720"/>
        </w:sectPr>
      </w:pPr>
    </w:p>
    <w:bookmarkStart w:id="696" w:name="pg14411_143628"/>
    <w:bookmarkEnd w:id="696"/>
    <w:p>
      <w:pPr>
        <w:pStyle w:val="BookText"/>
      </w:pPr>
      <w:r>
        <w:rPr>
          <w:rFonts w:ascii="IRNazanin" w:hAnsi="IRNazanin" w:eastAsia="IRNazanin" w:cs="IRNazanin"/>
          <w:lang w:bidi="fa-IR"/>
          <w:color w:val="111111"/>
          <w:sz w:val="28"/>
          <w:szCs w:val="28"/>
          <w:rtl/>
        </w:rPr>
        <w:t xml:space="preserve">و أمّا ما ورد فیه العموم،فالکلام فیه قد یقع فی جواز مباشرة الفاسق و تکلیفه بالنسبة إلی نفسه،و أنّه هل یکون مأذوناً من الشرع فی المباشرة،أم لا؟و قد یکون بالنسبة إلی ما یتعلّق من فعله بفعل غیره إذا لم یعلم وقوعه علی وجه المصلحة،کالشراء منه مثلاً.</w:t>
      </w:r>
    </w:p>
    <w:p>
      <w:pPr>
        <w:pStyle w:val="Heading6"/>
      </w:pPr>
      <w:bookmarkStart w:id="2380" w:name="_Toc1415"/>
      <w:r>
        <w:t>[الظاهر عدم اعتبار العدالة فی المباشرة]</w:t>
      </w:r>
      <w:bookmarkEnd w:id="2380"/>
    </w:p>
    <w:p>
      <w:pPr>
        <w:pStyle w:val="BookText"/>
      </w:pPr>
      <w:r>
        <w:rPr>
          <w:rFonts w:ascii="IRNazanin" w:hAnsi="IRNazanin" w:eastAsia="IRNazanin" w:cs="IRNazanin"/>
          <w:lang w:bidi="fa-IR"/>
          <w:color w:val="111111"/>
          <w:sz w:val="28"/>
          <w:szCs w:val="28"/>
          <w:rtl/>
        </w:rPr>
        <w:t xml:space="preserve">أمّا الأوّل:فالظاهر جوازه،و أنّ العدالة لیست معتبرة فی منصب المباشرة؛لعموم أدلّة فعل ذلک المعروف،و لو مثل قوله علیه السلام:«عون الضعیف من أفضل الصدقة» </w:t>
      </w:r>
      <w:r>
        <w:rPr>
          <w:rStyle w:val="FootnoteReference"/>
        </w:rPr>
        <w:footnoteReference w:id="4287"/>
      </w:r>
      <w:r>
        <w:rPr>
          <w:rFonts w:ascii="Amiri" w:hAnsi="Amiri" w:eastAsia="Amiri" w:cs="Amiri"/>
          <w:lang w:bidi="ar-SA"/>
          <w:color w:val="111111"/>
          <w:sz w:val="28"/>
          <w:szCs w:val="28"/>
          <w:rtl/>
        </w:rPr>
        <w:t xml:space="preserve">،و عموم قوله تعالی: وَ لاٰ تَقْرَبُوا مٰالَ الْیَتِیمِ إِلاّٰ بِالَّتِی هِیَ أَحْسَنُ </w:t>
      </w:r>
      <w:r>
        <w:rPr>
          <w:rStyle w:val="FootnoteReference"/>
        </w:rPr>
        <w:footnoteReference w:id="4288"/>
      </w:r>
      <w:r>
        <w:rPr>
          <w:rFonts w:ascii="IRNazanin" w:hAnsi="IRNazanin" w:eastAsia="IRNazanin" w:cs="IRNazanin"/>
          <w:lang w:bidi="fa-IR"/>
          <w:color w:val="111111"/>
          <w:sz w:val="28"/>
          <w:szCs w:val="28"/>
          <w:rtl/>
        </w:rPr>
        <w:t xml:space="preserve">و نحو ذلک.</w:t>
      </w:r>
    </w:p>
    <w:p>
      <w:pPr>
        <w:pStyle w:val="BookText"/>
      </w:pPr>
      <w:r>
        <w:rPr>
          <w:rFonts w:ascii="IRNazanin" w:hAnsi="IRNazanin" w:eastAsia="IRNazanin" w:cs="IRNazanin"/>
          <w:lang w:bidi="fa-IR"/>
          <w:color w:val="111111"/>
          <w:sz w:val="28"/>
          <w:szCs w:val="28"/>
          <w:rtl/>
        </w:rPr>
        <w:t xml:space="preserve">و صحیحة محمد بن إسماعیل-السابقة-،قد عرفت أنّها محمولة علی صحیحة علی بن رئاب-المتقدّمة-،بل و موثّقة زرعة </w:t>
      </w:r>
      <w:r>
        <w:rPr>
          <w:rStyle w:val="FootnoteReference"/>
        </w:rPr>
        <w:footnoteReference w:id="4289"/>
      </w:r>
      <w:r>
        <w:rPr>
          <w:rFonts w:ascii="IRNazanin" w:hAnsi="IRNazanin" w:eastAsia="IRNazanin" w:cs="IRNazanin"/>
          <w:lang w:bidi="fa-IR"/>
          <w:color w:val="111111"/>
          <w:sz w:val="28"/>
          <w:szCs w:val="28"/>
          <w:rtl/>
        </w:rPr>
        <w:t xml:space="preserve">و غیر ذلک ممّا سیأتی.و لو ترتّب حکم الغیر علی الفعل الصحیح منه،کما إذا صلّی فاسق علی میّت لا ولیّ له،فالظاهر سقوطها عن غیره إذا علم صدور الفعل منه و شکّ فی صحّته،و لو شکّ فی حدوث الفعل منه و أخبر به، ففی قبوله إشکال.</w:t>
      </w:r>
    </w:p>
    <w:p>
      <w:pPr>
        <w:pStyle w:val="Heading6"/>
      </w:pPr>
      <w:bookmarkStart w:id="2381" w:name="_Toc1416"/>
      <w:r>
        <w:t>[الظاهر اشتراط العدالة فیما یتعلق بفعل الغیر]</w:t>
      </w:r>
      <w:bookmarkEnd w:id="2381"/>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[*ستوده]</w:t>
      </w:r>
    </w:p>
    <w:p>
      <w:pPr>
        <w:pStyle w:val="BookText"/>
      </w:pPr>
      <w:r>
        <w:rPr>
          <w:rFonts w:ascii="IRNazanin" w:hAnsi="IRNazanin" w:eastAsia="IRNazanin" w:cs="IRNazanin"/>
          <w:lang w:bidi="fa-IR"/>
          <w:color w:val="111111"/>
          <w:sz w:val="28"/>
          <w:szCs w:val="28"/>
          <w:rtl/>
        </w:rPr>
        <w:t xml:space="preserve">و أمّا الثانی:فالظاهر اشتراط العدالة فیه،فلا یجوز الشراء منه و إن ادّعی کون البیع مصلحة،بل یجب أخذ المال من یده.</w:t>
      </w:r>
    </w:p>
    <w:p>
      <w:pPr>
        <w:pStyle w:val="BookText"/>
      </w:pPr>
      <w:r>
        <w:rPr>
          <w:rFonts w:ascii="IRNazanin" w:hAnsi="IRNazanin" w:eastAsia="IRNazanin" w:cs="IRNazanin"/>
          <w:lang w:bidi="fa-IR"/>
          <w:color w:val="111111"/>
          <w:sz w:val="28"/>
          <w:szCs w:val="28"/>
          <w:rtl/>
        </w:rPr>
        <w:t xml:space="preserve">و یدلّ علیه-بعد صحیحة إسماعیل بن سعد المتقدّمة،بل و موثّقة زرعة،بناء علی إرادة العدالة من الوثاقة-:أنّ عموم أدلّة القیام بذلک</w:t>
      </w:r>
    </w:p>
    <w:p>
      <w:pPr>
        <w:pStyle w:val="BookText"/>
      </w:pPr>
      <w:r>
        <w:rPr>
          <w:rFonts w:ascii="IRNazanin" w:hAnsi="IRNazanin" w:eastAsia="IRNazanin" w:cs="IRNazanin"/>
          <w:lang w:bidi="fa-IR"/>
          <w:color w:val="111111"/>
          <w:sz w:val="28"/>
          <w:szCs w:val="28"/>
          <w:rtl/>
        </w:rPr>
        <w:t xml:space="preserve">[شماره صفحه واقعی : 568]
</w:t>
      </w:r>
    </w:p>
    <w:p>
      <w:pPr>
        <w:sectPr>
          <w:footerReference w:type="default" r:id="rId1247"/>
          <w:footnotePr>
            <w:numStart w:val="1"/>
            <w:numRestart w:val="eachPage"/>
          </w:footnotePr>
          <w:pgSz w:orient="portrait" w:w="11905.511811023622" w:h="16837.79527559055"/>
          <w:pgMar w:top="1440" w:right="1440" w:bottom="1440" w:left="1440" w:header="720" w:footer="720" w:gutter="0"/>
          <w:cols w:num="1" w:space="720"/>
        </w:sectPr>
      </w:pPr>
    </w:p>
    <w:bookmarkStart w:id="697" w:name="pg14411_143629"/>
    <w:bookmarkEnd w:id="697"/>
    <w:p>
      <w:pPr>
        <w:pStyle w:val="BookText"/>
      </w:pPr>
      <w:r>
        <w:rPr>
          <w:rFonts w:ascii="IRNazanin" w:hAnsi="IRNazanin" w:eastAsia="IRNazanin" w:cs="IRNazanin"/>
          <w:lang w:bidi="fa-IR"/>
          <w:color w:val="111111"/>
          <w:sz w:val="28"/>
          <w:szCs w:val="28"/>
          <w:rtl/>
        </w:rPr>
        <w:t xml:space="preserve">المعروف لا یرفع الید عنها بمجرّد تصرّف الفاسق؛فإنّ وجوب إصلاح مال الیتیم و مراعاة غبطته،لا یرتفع </w:t>
      </w:r>
      <w:r>
        <w:rPr>
          <w:rStyle w:val="FootnoteReference"/>
        </w:rPr>
        <w:footnoteReference w:id="4290"/>
      </w:r>
      <w:r>
        <w:rPr>
          <w:rFonts w:ascii="IRNazanin" w:hAnsi="IRNazanin" w:eastAsia="IRNazanin" w:cs="IRNazanin"/>
          <w:lang w:bidi="fa-IR"/>
          <w:color w:val="111111"/>
          <w:sz w:val="28"/>
          <w:szCs w:val="28"/>
          <w:rtl/>
        </w:rPr>
        <w:t xml:space="preserve">عن الغیر بمجرّد تصرّف الفاسق.</w:t>
      </w:r>
    </w:p>
    <w:p>
      <w:pPr>
        <w:pStyle w:val="BookText"/>
      </w:pPr>
      <w:r>
        <w:rPr>
          <w:rFonts w:ascii="IRNazanin" w:hAnsi="IRNazanin" w:eastAsia="IRNazanin" w:cs="IRNazanin"/>
          <w:lang w:bidi="fa-IR"/>
          <w:color w:val="111111"/>
          <w:sz w:val="28"/>
          <w:szCs w:val="28"/>
          <w:rtl/>
        </w:rPr>
        <w:t xml:space="preserve">و لا یجدی هنا حمل فعل المسلم علی الصحیح،کما فی مثال الصلاة المتقدّم؛لأنّ الواجب هناک هی صلاة صحیحة،و قد علم صدور أصل الصلاة من الفاسق،و إذا شکّ فی صحّتها أُحرزت بأصالة الصحّة.و أمّا الحکم فیما نحن فیه،فلم یحمل علی التصرّف الصحیح،و إنّما حُمل علی موضوعٍ هو«إصلاح المال و مراعاة الحال»و الشکّ فی أصل تحقّق ذلک، فهو کما لو أخبر فاسق بأصل الصلاة مع الشکّ فیها.</w:t>
      </w:r>
    </w:p>
    <w:p>
      <w:pPr>
        <w:pStyle w:val="BookText"/>
      </w:pPr>
      <w:r>
        <w:rPr>
          <w:rFonts w:ascii="IRNazanin" w:hAnsi="IRNazanin" w:eastAsia="IRNazanin" w:cs="IRNazanin"/>
          <w:lang w:bidi="fa-IR"/>
          <w:color w:val="111111"/>
          <w:sz w:val="28"/>
          <w:szCs w:val="28"/>
          <w:rtl/>
        </w:rPr>
        <w:t xml:space="preserve">و إن شئت قلت:إنّ شراء مال الیتیم لا بدّ أن یکون مصلحة له، و لا یحرز </w:t>
      </w:r>
      <w:r>
        <w:rPr>
          <w:rStyle w:val="FootnoteReference"/>
        </w:rPr>
        <w:footnoteReference w:id="4291"/>
      </w:r>
      <w:r>
        <w:rPr>
          <w:rFonts w:ascii="IRNazanin" w:hAnsi="IRNazanin" w:eastAsia="IRNazanin" w:cs="IRNazanin"/>
          <w:lang w:bidi="fa-IR"/>
          <w:color w:val="111111"/>
          <w:sz w:val="28"/>
          <w:szCs w:val="28"/>
          <w:rtl/>
        </w:rPr>
        <w:t xml:space="preserve">ذلک بأصالة صحّة البیع من البائع،کما لو شکّ المشتری فی بلوغ البائع،فتأمّل.</w:t>
      </w:r>
    </w:p>
    <w:p>
      <w:pPr>
        <w:pStyle w:val="BookText"/>
      </w:pPr>
      <w:r>
        <w:rPr>
          <w:rFonts w:ascii="IRNazanin" w:hAnsi="IRNazanin" w:eastAsia="IRNazanin" w:cs="IRNazanin"/>
          <w:lang w:bidi="fa-IR"/>
          <w:color w:val="111111"/>
          <w:sz w:val="28"/>
          <w:szCs w:val="28"/>
          <w:rtl/>
        </w:rPr>
        <w:t xml:space="preserve">نعم،لو وجد فی ید الفاسق ثمن من </w:t>
      </w:r>
      <w:r>
        <w:rPr>
          <w:rStyle w:val="FootnoteReference"/>
        </w:rPr>
        <w:footnoteReference w:id="4292"/>
      </w:r>
      <w:r>
        <w:rPr>
          <w:rFonts w:ascii="IRNazanin" w:hAnsi="IRNazanin" w:eastAsia="IRNazanin" w:cs="IRNazanin"/>
          <w:lang w:bidi="fa-IR"/>
          <w:color w:val="111111"/>
          <w:sz w:val="28"/>
          <w:szCs w:val="28"/>
          <w:rtl/>
        </w:rPr>
        <w:t xml:space="preserve">مال الصغیر لم یلزم الفسخ مع المشتری و أخذ الثمن من الفاسق؛لأنّ مال الیتیم الذی یجب إصلاحه و حفظه من التلف لا یعلم أنّه الثمن أو المثمن،و أصالة صحّة المعاملة من الطرفین یحکم بالأوّل،فتدبّر.</w:t>
      </w:r>
    </w:p>
    <w:p>
      <w:pPr>
        <w:pStyle w:val="Heading6"/>
      </w:pPr>
      <w:bookmarkStart w:id="2382" w:name="_Toc1417"/>
      <w:r>
        <w:t>[هل یجوز مزاحمة من تصدی من المؤمنین]</w:t>
      </w:r>
      <w:bookmarkEnd w:id="2382"/>
    </w:p>
    <w:p>
      <w:pPr>
        <w:pStyle w:val="BookText"/>
      </w:pPr>
      <w:r>
        <w:rPr>
          <w:rFonts w:ascii="IRNazanin" w:hAnsi="IRNazanin" w:eastAsia="IRNazanin" w:cs="IRNazanin"/>
          <w:lang w:bidi="fa-IR"/>
          <w:color w:val="111111"/>
          <w:sz w:val="28"/>
          <w:szCs w:val="28"/>
          <w:rtl/>
        </w:rPr>
        <w:t xml:space="preserve">ثمّ إنّه حیث ثبت جواز تصرّف المؤمنین،فالظاهر أنّه علی وجه التکلیف الوجوبی أو الندبی،لا علی وجه النیابة من حاکم الشرع، فضلاً عن کونه علی وجه النصب من الإمام علیه السلام،فمجرّد وضع العدل</w:t>
      </w:r>
    </w:p>
    <w:p>
      <w:pPr>
        <w:pStyle w:val="BookText"/>
      </w:pPr>
      <w:r>
        <w:rPr>
          <w:rFonts w:ascii="IRNazanin" w:hAnsi="IRNazanin" w:eastAsia="IRNazanin" w:cs="IRNazanin"/>
          <w:lang w:bidi="fa-IR"/>
          <w:color w:val="111111"/>
          <w:sz w:val="28"/>
          <w:szCs w:val="28"/>
          <w:rtl/>
        </w:rPr>
        <w:t xml:space="preserve">[شماره صفحه واقعی : 569]
</w:t>
      </w:r>
    </w:p>
    <w:p>
      <w:pPr>
        <w:sectPr>
          <w:footerReference w:type="default" r:id="rId1248"/>
          <w:footnotePr>
            <w:numStart w:val="1"/>
            <w:numRestart w:val="eachPage"/>
          </w:footnotePr>
          <w:pgSz w:orient="portrait" w:w="11905.511811023622" w:h="16837.79527559055"/>
          <w:pgMar w:top="1440" w:right="1440" w:bottom="1440" w:left="1440" w:header="720" w:footer="720" w:gutter="0"/>
          <w:cols w:num="1" w:space="720"/>
        </w:sectPr>
      </w:pPr>
    </w:p>
    <w:bookmarkStart w:id="698" w:name="pg14411_143630"/>
    <w:bookmarkEnd w:id="698"/>
    <w:p>
      <w:pPr>
        <w:pStyle w:val="BookText"/>
      </w:pPr>
      <w:r>
        <w:rPr>
          <w:rFonts w:ascii="IRNazanin" w:hAnsi="IRNazanin" w:eastAsia="IRNazanin" w:cs="IRNazanin"/>
          <w:lang w:bidi="fa-IR"/>
          <w:color w:val="111111"/>
          <w:sz w:val="28"/>
          <w:szCs w:val="28"/>
          <w:rtl/>
        </w:rPr>
        <w:t xml:space="preserve">یده علی مال یتیم لا یوجب منعَ الآخر و مزاحمته بالبیع و نحوه.</w:t>
      </w:r>
    </w:p>
    <w:p>
      <w:pPr>
        <w:pStyle w:val="BookText"/>
      </w:pPr>
      <w:r>
        <w:rPr>
          <w:rFonts w:ascii="IRNazanin" w:hAnsi="IRNazanin" w:eastAsia="IRNazanin" w:cs="IRNazanin"/>
          <w:lang w:bidi="fa-IR"/>
          <w:color w:val="111111"/>
          <w:sz w:val="28"/>
          <w:szCs w:val="28"/>
          <w:rtl/>
        </w:rPr>
        <w:t xml:space="preserve">و لو نقله بعقد جائز،فوجد الآخر المصلحة فی استرداده،جاز الفسخ إذا کان الخیار ثابتاً بأصل الشرع أو بجعلهما مع جعله للصغیر </w:t>
      </w:r>
      <w:r>
        <w:rPr>
          <w:rStyle w:val="FootnoteReference"/>
        </w:rPr>
        <w:footnoteReference w:id="4293"/>
      </w:r>
      <w:r>
        <w:rPr>
          <w:rFonts w:ascii="IRNazanin" w:hAnsi="IRNazanin" w:eastAsia="IRNazanin" w:cs="IRNazanin"/>
          <w:lang w:bidi="fa-IR"/>
          <w:color w:val="111111"/>
          <w:sz w:val="28"/>
          <w:szCs w:val="28"/>
          <w:rtl/>
        </w:rPr>
        <w:t xml:space="preserve">أو مطلق ولیّه من غیر تخصیص بالعاقد.و أمّا لو </w:t>
      </w:r>
      <w:r>
        <w:rPr>
          <w:rStyle w:val="FootnoteReference"/>
        </w:rPr>
        <w:footnoteReference w:id="4294"/>
      </w:r>
      <w:r>
        <w:rPr>
          <w:rFonts w:ascii="IRNazanin" w:hAnsi="IRNazanin" w:eastAsia="IRNazanin" w:cs="IRNazanin"/>
          <w:lang w:bidi="fa-IR"/>
          <w:color w:val="111111"/>
          <w:sz w:val="28"/>
          <w:szCs w:val="28"/>
          <w:rtl/>
        </w:rPr>
        <w:t xml:space="preserve">أراد بیعه من شخص </w:t>
      </w:r>
      <w:r>
        <w:rPr>
          <w:rStyle w:val="FootnoteReference"/>
        </w:rPr>
        <w:footnoteReference w:id="4295"/>
      </w:r>
      <w:r>
        <w:rPr>
          <w:rFonts w:ascii="IRNazanin" w:hAnsi="IRNazanin" w:eastAsia="IRNazanin" w:cs="IRNazanin"/>
          <w:lang w:bidi="fa-IR"/>
          <w:color w:val="111111"/>
          <w:sz w:val="28"/>
          <w:szCs w:val="28"/>
          <w:rtl/>
        </w:rPr>
        <w:t xml:space="preserve">و عرّضه لذلک جاز لغیره بیعه من آخر مع المصلحة و إن کان فی ید الأوّل.</w:t>
      </w:r>
    </w:p>
    <w:p>
      <w:pPr>
        <w:pStyle w:val="BookText"/>
      </w:pPr>
      <w:r>
        <w:rPr>
          <w:rFonts w:ascii="IRNazanin" w:hAnsi="IRNazanin" w:eastAsia="IRNazanin" w:cs="IRNazanin"/>
          <w:lang w:bidi="fa-IR"/>
          <w:color w:val="111111"/>
          <w:sz w:val="28"/>
          <w:szCs w:val="28"/>
          <w:rtl/>
        </w:rPr>
        <w:t xml:space="preserve">و بالجملة،فالظاهر أنّ حکم عدول </w:t>
      </w:r>
      <w:r>
        <w:rPr>
          <w:rStyle w:val="FootnoteReference"/>
        </w:rPr>
        <w:footnoteReference w:id="4296"/>
      </w:r>
      <w:r>
        <w:rPr>
          <w:rFonts w:ascii="IRNazanin" w:hAnsi="IRNazanin" w:eastAsia="IRNazanin" w:cs="IRNazanin"/>
          <w:lang w:bidi="fa-IR"/>
          <w:color w:val="111111"/>
          <w:sz w:val="28"/>
          <w:szCs w:val="28"/>
          <w:rtl/>
        </w:rPr>
        <w:t xml:space="preserve">المؤمنین لا یزید عن </w:t>
      </w:r>
      <w:r>
        <w:rPr>
          <w:rStyle w:val="FootnoteReference"/>
        </w:rPr>
        <w:footnoteReference w:id="4297"/>
      </w:r>
      <w:r>
        <w:rPr>
          <w:rFonts w:ascii="IRNazanin" w:hAnsi="IRNazanin" w:eastAsia="IRNazanin" w:cs="IRNazanin"/>
          <w:lang w:bidi="fa-IR"/>
          <w:color w:val="111111"/>
          <w:sz w:val="28"/>
          <w:szCs w:val="28"/>
          <w:rtl/>
        </w:rPr>
        <w:t xml:space="preserve">حکم الأب و الجدّ من حیث جواز التصرّف لکلٍّ منهما ما لم یتصرّف الآخر.</w:t>
      </w:r>
    </w:p>
    <w:p>
      <w:pPr>
        <w:pStyle w:val="Heading6"/>
      </w:pPr>
      <w:bookmarkStart w:id="2383" w:name="_Toc1418"/>
      <w:r>
        <w:t>[مزاحمة فقیه لفقیه آخر]</w:t>
      </w:r>
      <w:bookmarkEnd w:id="2383"/>
    </w:p>
    <w:p>
      <w:pPr>
        <w:pStyle w:val="BookText"/>
      </w:pPr>
      <w:r>
        <w:rPr>
          <w:rFonts w:ascii="IRNazanin" w:hAnsi="IRNazanin" w:eastAsia="IRNazanin" w:cs="IRNazanin"/>
          <w:lang w:bidi="fa-IR"/>
          <w:color w:val="111111"/>
          <w:sz w:val="28"/>
          <w:szCs w:val="28"/>
          <w:rtl/>
        </w:rPr>
        <w:t xml:space="preserve">و أمّا حکّام الشرع،فهل هم کذلک؟فلو عیّن فقیه من یصلّی علی المیّت الذی لا ولیّ له،أو من یلی أمواله،أو وضع الید علی مال یتیم،فهل یجوز للآخر مزاحمته،أم لا؟ الذی ینبغی أن یقال:إنّه إن استندنا فی ولایة الفقیه إلی مثل التوقیع المتقدّم </w:t>
      </w:r>
      <w:r>
        <w:rPr>
          <w:rStyle w:val="FootnoteReference"/>
        </w:rPr>
        <w:footnoteReference w:id="4298"/>
      </w:r>
      <w:r>
        <w:rPr>
          <w:rFonts w:ascii="IRNazanin" w:hAnsi="IRNazanin" w:eastAsia="IRNazanin" w:cs="IRNazanin"/>
          <w:lang w:bidi="fa-IR"/>
          <w:color w:val="111111"/>
          <w:sz w:val="28"/>
          <w:szCs w:val="28"/>
          <w:rtl/>
        </w:rPr>
        <w:t xml:space="preserve">،جاز المزاحمة قبل وقوع التصرّف اللازم؛لأنّ المخاطب بوجوب إرجاع الأُمور إلی الحکّام هم العوامّ،فالنهی عن المزاحمة</w:t>
      </w:r>
    </w:p>
    <w:p>
      <w:pPr>
        <w:pStyle w:val="BookText"/>
      </w:pPr>
      <w:r>
        <w:rPr>
          <w:rFonts w:ascii="IRNazanin" w:hAnsi="IRNazanin" w:eastAsia="IRNazanin" w:cs="IRNazanin"/>
          <w:lang w:bidi="fa-IR"/>
          <w:color w:val="111111"/>
          <w:sz w:val="28"/>
          <w:szCs w:val="28"/>
          <w:rtl/>
        </w:rPr>
        <w:t xml:space="preserve">[شماره صفحه واقعی : 570]
</w:t>
      </w:r>
    </w:p>
    <w:p>
      <w:pPr>
        <w:sectPr>
          <w:footerReference w:type="default" r:id="rId1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یختصّ بهم،و أمّا الحکّام فکلّ منهم حجّة من الإمام علیه السلام،فلا یجب علی واحد منهم إرجاع الأمر الحادث إلی الآخر،فیجوز له مباشرته و إن کان الآخر دخل فیه و وضع یده علیه،فحال کلّ منهم حال کلٍّ من الأب و الجدّ فی أنّ النافذ تصرّف السابق،و لا عبرة بدخول الآخر فی مقدّمات ذلک و بنائه علی ما یغایر تصرّف الآخر،کما یجوز لأحد الحاکمین تصدّی المرافعة قبل حکم الآخر و إن حضر المترافعان عنده و أحضر الشهود و بنی علی الحکم.</w:t>
      </w:r>
    </w:p>
    <w:p>
      <w:pPr>
        <w:pStyle w:val="BookText"/>
      </w:pPr>
      <w:r>
        <w:rPr>
          <w:rFonts w:ascii="IRNazanin" w:hAnsi="IRNazanin" w:eastAsia="IRNazanin" w:cs="IRNazanin"/>
          <w:lang w:bidi="fa-IR"/>
          <w:color w:val="111111"/>
          <w:sz w:val="28"/>
          <w:szCs w:val="28"/>
          <w:rtl/>
        </w:rPr>
        <w:t xml:space="preserve">[*ستوده]</w:t>
      </w:r>
    </w:p>
    <w:p>
      <w:pPr>
        <w:pStyle w:val="BookText"/>
      </w:pPr>
      <w:r>
        <w:rPr>
          <w:rFonts w:ascii="IRNazanin" w:hAnsi="IRNazanin" w:eastAsia="IRNazanin" w:cs="IRNazanin"/>
          <w:lang w:bidi="fa-IR"/>
          <w:color w:val="111111"/>
          <w:sz w:val="28"/>
          <w:szCs w:val="28"/>
          <w:rtl/>
        </w:rPr>
        <w:t xml:space="preserve">و أمّا لو استندنا فی ذلک إلی </w:t>
      </w:r>
      <w:r>
        <w:rPr>
          <w:rStyle w:val="FootnoteReference"/>
        </w:rPr>
        <w:footnoteReference w:id="4299"/>
      </w:r>
      <w:r>
        <w:rPr>
          <w:rFonts w:ascii="IRNazanin" w:hAnsi="IRNazanin" w:eastAsia="IRNazanin" w:cs="IRNazanin"/>
          <w:lang w:bidi="fa-IR"/>
          <w:color w:val="111111"/>
          <w:sz w:val="28"/>
          <w:szCs w:val="28"/>
          <w:rtl/>
        </w:rPr>
        <w:t xml:space="preserve">عمومات النیابة </w:t>
      </w:r>
      <w:r>
        <w:rPr>
          <w:rStyle w:val="FootnoteReference"/>
        </w:rPr>
        <w:footnoteReference w:id="4300"/>
      </w:r>
      <w:r>
        <w:rPr>
          <w:rFonts w:ascii="IRNazanin" w:hAnsi="IRNazanin" w:eastAsia="IRNazanin" w:cs="IRNazanin"/>
          <w:lang w:bidi="fa-IR"/>
          <w:color w:val="111111"/>
          <w:sz w:val="28"/>
          <w:szCs w:val="28"/>
          <w:rtl/>
        </w:rPr>
        <w:t xml:space="preserve">،و أنّ فعل الفقیه کفعل الإمام،و نظره کنظره الذی لا یجوز التعدّی عنه-لا من حیث ثبوت الولایة له علی الأنفس و الأموال حتّی یقال:إنّه قد تقدّم عدم ثبوت عموم یدلّ علی النیابة فی ذلک </w:t>
      </w:r>
      <w:r>
        <w:rPr>
          <w:rStyle w:val="FootnoteReference"/>
        </w:rPr>
        <w:footnoteReference w:id="4301"/>
      </w:r>
      <w:r>
        <w:rPr>
          <w:rFonts w:ascii="IRNazanin" w:hAnsi="IRNazanin" w:eastAsia="IRNazanin" w:cs="IRNazanin"/>
          <w:lang w:bidi="fa-IR"/>
          <w:color w:val="111111"/>
          <w:sz w:val="28"/>
          <w:szCs w:val="28"/>
          <w:rtl/>
        </w:rPr>
        <w:t xml:space="preserve">،بل من حیث وجوب إرجاع الأُمور الحادثة إلیه؛المستفاد من تعلیل الرجوع فیها إلی الفقیه بکونه حجّة منه علیه السلام علی الناس-فالظاهر عدم جواز مزاحمة الفقیه الذی دخل فی أمر و وضع یده علیه و بنی فیه بحسب نظره علی تصرّف و إن لم یفعل نفس ذلک التصرّف؛لأنّ دخوله فیه کدخول الإمام،فدخول الثانی فیه و بناؤه علی تصرّف آخر مزاحمة </w:t>
      </w:r>
      <w:r>
        <w:rPr>
          <w:rStyle w:val="FootnoteReference"/>
        </w:rPr>
        <w:footnoteReference w:id="4302"/>
      </w:r>
      <w:r>
        <w:rPr>
          <w:rFonts w:ascii="IRNazanin" w:hAnsi="IRNazanin" w:eastAsia="IRNazanin" w:cs="IRNazanin"/>
          <w:lang w:bidi="fa-IR"/>
          <w:color w:val="111111"/>
          <w:sz w:val="28"/>
          <w:szCs w:val="28"/>
          <w:rtl/>
        </w:rPr>
        <w:t xml:space="preserve">له،فهو </w:t>
      </w:r>
      <w:r>
        <w:rPr>
          <w:rStyle w:val="FootnoteReference"/>
        </w:rPr>
        <w:footnoteReference w:id="4303"/>
      </w:r>
      <w:r>
        <w:rPr>
          <w:rFonts w:ascii="IRNazanin" w:hAnsi="IRNazanin" w:eastAsia="IRNazanin" w:cs="IRNazanin"/>
          <w:lang w:bidi="fa-IR"/>
          <w:color w:val="111111"/>
          <w:sz w:val="28"/>
          <w:szCs w:val="28"/>
          <w:rtl/>
        </w:rPr>
        <w:t xml:space="preserve">کمزاحمة</w:t>
      </w:r>
    </w:p>
    <w:p>
      <w:pPr>
        <w:pStyle w:val="BookText"/>
      </w:pPr>
      <w:r>
        <w:rPr>
          <w:rFonts w:ascii="IRNazanin" w:hAnsi="IRNazanin" w:eastAsia="IRNazanin" w:cs="IRNazanin"/>
          <w:lang w:bidi="fa-IR"/>
          <w:color w:val="111111"/>
          <w:sz w:val="28"/>
          <w:szCs w:val="28"/>
          <w:rtl/>
        </w:rPr>
        <w:t xml:space="preserve">[شماره صفحه واقعی : 571]
</w:t>
      </w:r>
    </w:p>
    <w:p>
      <w:pPr>
        <w:sectPr>
          <w:footerReference w:type="default" r:id="rId1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الإمام علیه السلام،فأدلّة النیابة عن الإمام علیه السلام لا تشمل ما کان فیه مزاحمة الإمام </w:t>
      </w:r>
      <w:r>
        <w:rPr>
          <w:rStyle w:val="FootnoteReference"/>
        </w:rPr>
        <w:footnoteReference w:id="4304"/>
      </w:r>
      <w:r>
        <w:rPr>
          <w:rFonts w:ascii="IRNazanin" w:hAnsi="IRNazanin" w:eastAsia="IRNazanin" w:cs="IRNazanin"/>
          <w:lang w:bidi="fa-IR"/>
          <w:color w:val="111111"/>
          <w:sz w:val="28"/>
          <w:szCs w:val="28"/>
          <w:rtl/>
        </w:rPr>
        <w:t xml:space="preserve">علیه السلام.</w:t>
      </w:r>
    </w:p>
    <w:p>
      <w:pPr>
        <w:pStyle w:val="BookText"/>
      </w:pPr>
      <w:r>
        <w:rPr>
          <w:rFonts w:ascii="IRNazanin" w:hAnsi="IRNazanin" w:eastAsia="IRNazanin" w:cs="IRNazanin"/>
          <w:lang w:bidi="fa-IR"/>
          <w:color w:val="111111"/>
          <w:sz w:val="28"/>
          <w:szCs w:val="28"/>
          <w:rtl/>
        </w:rPr>
        <w:t xml:space="preserve">فقد ظهر ممّا ذکرنا:الفرق بین الحکّام،و بین الأب و الجدّ؛لأجل الفرق بین کون کلّ واحد منهم حجّة و بین کون کلّ واحد منهم نائباً.</w:t>
      </w:r>
    </w:p>
    <w:p>
      <w:pPr>
        <w:pStyle w:val="BookText"/>
      </w:pPr>
      <w:r>
        <w:rPr>
          <w:rFonts w:ascii="IRNazanin" w:hAnsi="IRNazanin" w:eastAsia="IRNazanin" w:cs="IRNazanin"/>
          <w:lang w:bidi="fa-IR"/>
          <w:color w:val="111111"/>
          <w:sz w:val="28"/>
          <w:szCs w:val="28"/>
          <w:rtl/>
        </w:rPr>
        <w:t xml:space="preserve">و ربما یتوهّم:کونهم حینئذٍ کالوکلاء المتعدّدین،فی أنّ بناء واحد منهم علی </w:t>
      </w:r>
      <w:r>
        <w:rPr>
          <w:rStyle w:val="FootnoteReference"/>
        </w:rPr>
        <w:footnoteReference w:id="4305"/>
      </w:r>
      <w:r>
        <w:rPr>
          <w:rFonts w:ascii="IRNazanin" w:hAnsi="IRNazanin" w:eastAsia="IRNazanin" w:cs="IRNazanin"/>
          <w:lang w:bidi="fa-IR"/>
          <w:color w:val="111111"/>
          <w:sz w:val="28"/>
          <w:szCs w:val="28"/>
          <w:rtl/>
        </w:rPr>
        <w:t xml:space="preserve">أمر مأذون فیه لا یمنع الآخر عن تصرّفٍ مغایرٍ لما بنی علیه الأوّل.</w:t>
      </w:r>
    </w:p>
    <w:p>
      <w:pPr>
        <w:pStyle w:val="BookText"/>
      </w:pPr>
      <w:r>
        <w:rPr>
          <w:rFonts w:ascii="IRNazanin" w:hAnsi="IRNazanin" w:eastAsia="IRNazanin" w:cs="IRNazanin"/>
          <w:lang w:bidi="fa-IR"/>
          <w:color w:val="111111"/>
          <w:sz w:val="28"/>
          <w:szCs w:val="28"/>
          <w:rtl/>
        </w:rPr>
        <w:t xml:space="preserve">و یندفع بأنّ الوکلاء إذا فرضوا وکلاء فی نفس التصرّف لا فی مقدّماته،فما لم یتحقّق التصرّف من أحدهم کان الآخر مأذوناً فی تصرّفٍ مغایرٍ و إن بنی علیه الأوّل و دخل فیه،أمّا إذا فرضوا وکلاء عن الشخص الواحد بحیث یکون إلزامهم کإلزامه و دخولهم فی الأمر کدخوله،و فرضنا أیضاً عدم دلالة دلیل وکالتهم علی الإذن فی مخالفة نفس الموکّل،و التعدّی عمّا بنی هو علیه مباشرةً أو استنابةً،کان حکمه حکم ما نحن فیه من غیر زیادة و لا نقیصة.</w:t>
      </w:r>
    </w:p>
    <w:p>
      <w:pPr>
        <w:pStyle w:val="BookText"/>
      </w:pPr>
      <w:r>
        <w:rPr>
          <w:rFonts w:ascii="IRNazanin" w:hAnsi="IRNazanin" w:eastAsia="IRNazanin" w:cs="IRNazanin"/>
          <w:lang w:bidi="fa-IR"/>
          <w:color w:val="111111"/>
          <w:sz w:val="28"/>
          <w:szCs w:val="28"/>
          <w:rtl/>
        </w:rPr>
        <w:t xml:space="preserve">و الوهم إنّما نشأ من ملاحظة التوکیلات المتعارفة للوکلاء المتعدّدین المتعلّقة بنفس ذی المقدّمة،فتأمّل.</w:t>
      </w:r>
    </w:p>
    <w:p>
      <w:pPr>
        <w:pStyle w:val="BookText"/>
      </w:pPr>
      <w:r>
        <w:rPr>
          <w:rFonts w:ascii="IRNazanin" w:hAnsi="IRNazanin" w:eastAsia="IRNazanin" w:cs="IRNazanin"/>
          <w:lang w:bidi="fa-IR"/>
          <w:color w:val="111111"/>
          <w:sz w:val="28"/>
          <w:szCs w:val="28"/>
          <w:rtl/>
        </w:rPr>
        <w:t xml:space="preserve">هذا کلّه مضافاً إلی لزوم اختلال نظام المصالح المنوطة إلی الحکّام سیّما فی مثل هذا الزمان </w:t>
      </w:r>
      <w:r>
        <w:rPr>
          <w:rStyle w:val="FootnoteReference"/>
        </w:rPr>
        <w:footnoteReference w:id="4306"/>
      </w:r>
      <w:r>
        <w:rPr>
          <w:rFonts w:ascii="IRNazanin" w:hAnsi="IRNazanin" w:eastAsia="IRNazanin" w:cs="IRNazanin"/>
          <w:lang w:bidi="fa-IR"/>
          <w:color w:val="111111"/>
          <w:sz w:val="28"/>
          <w:szCs w:val="28"/>
          <w:rtl/>
        </w:rPr>
        <w:t xml:space="preserve">الذی شاع فیه القیام بوظائف الحکّام ممّن</w:t>
      </w:r>
    </w:p>
    <w:p>
      <w:pPr>
        <w:pStyle w:val="BookText"/>
      </w:pPr>
      <w:r>
        <w:rPr>
          <w:rFonts w:ascii="IRNazanin" w:hAnsi="IRNazanin" w:eastAsia="IRNazanin" w:cs="IRNazanin"/>
          <w:lang w:bidi="fa-IR"/>
          <w:color w:val="111111"/>
          <w:sz w:val="28"/>
          <w:szCs w:val="28"/>
          <w:rtl/>
        </w:rPr>
        <w:t xml:space="preserve">[شماره صفحه واقعی : 572]
</w:t>
      </w:r>
    </w:p>
    <w:p>
      <w:pPr>
        <w:sectPr>
          <w:footerReference w:type="default" r:id="rId1251"/>
          <w:footnotePr>
            <w:numStart w:val="1"/>
            <w:numRestart w:val="eachPage"/>
          </w:footnotePr>
          <w:pgSz w:orient="portrait" w:w="11905.511811023622" w:h="16837.79527559055"/>
          <w:pgMar w:top="1440" w:right="1440" w:bottom="1440" w:left="1440" w:header="720" w:footer="720" w:gutter="0"/>
          <w:cols w:num="1" w:space="720"/>
        </w:sectPr>
      </w:pPr>
    </w:p>
    <w:bookmarkStart w:id="699" w:name="pg14411_143633"/>
    <w:bookmarkEnd w:id="699"/>
    <w:p>
      <w:pPr>
        <w:pStyle w:val="BookText"/>
      </w:pPr>
      <w:r>
        <w:rPr>
          <w:rFonts w:ascii="IRNazanin" w:hAnsi="IRNazanin" w:eastAsia="IRNazanin" w:cs="IRNazanin"/>
          <w:lang w:bidi="fa-IR"/>
          <w:color w:val="111111"/>
          <w:sz w:val="28"/>
          <w:szCs w:val="28"/>
          <w:rtl/>
        </w:rPr>
        <w:t xml:space="preserve">یدّعی الحکومة.</w:t>
      </w:r>
    </w:p>
    <w:p>
      <w:pPr>
        <w:pStyle w:val="BookText"/>
      </w:pPr>
      <w:r>
        <w:rPr>
          <w:rFonts w:ascii="IRNazanin" w:hAnsi="IRNazanin" w:eastAsia="IRNazanin" w:cs="IRNazanin"/>
          <w:lang w:bidi="fa-IR"/>
          <w:color w:val="111111"/>
          <w:sz w:val="28"/>
          <w:szCs w:val="28"/>
          <w:rtl/>
        </w:rPr>
        <w:t xml:space="preserve">و کیف کان،فقد تبیّن ممّا ذکرنا عدم جواز مزاحمة فقیهٍ لمثله فی کلّ إلزام قولیّ أو فعلیّ یجب الرجوع فیه إلی الحاکم،فإذا قبض </w:t>
      </w:r>
      <w:r>
        <w:rPr>
          <w:rStyle w:val="FootnoteReference"/>
        </w:rPr>
        <w:footnoteReference w:id="4307"/>
      </w:r>
      <w:r>
        <w:rPr>
          <w:rFonts w:ascii="IRNazanin" w:hAnsi="IRNazanin" w:eastAsia="IRNazanin" w:cs="IRNazanin"/>
          <w:lang w:bidi="fa-IR"/>
          <w:color w:val="111111"/>
          <w:sz w:val="28"/>
          <w:szCs w:val="28"/>
          <w:rtl/>
        </w:rPr>
        <w:t xml:space="preserve">مال الیتیم من شخص أو عیّن شخصاً لقبضه أو جعله ناظراً علیه،فلیس لغیره من الحکّام مخالفة نظره؛لأنّ نظره کنظر الإمام.</w:t>
      </w:r>
    </w:p>
    <w:p>
      <w:pPr>
        <w:pStyle w:val="BookText"/>
      </w:pPr>
      <w:r>
        <w:rPr>
          <w:rFonts w:ascii="Amiri" w:hAnsi="Amiri" w:eastAsia="Amiri" w:cs="Amiri"/>
          <w:lang w:bidi="ar-SA"/>
          <w:color w:val="111111"/>
          <w:sz w:val="28"/>
          <w:szCs w:val="28"/>
          <w:rtl/>
        </w:rPr>
        <w:t xml:space="preserve">و أمّا جواز </w:t>
      </w:r>
      <w:r>
        <w:rPr>
          <w:rStyle w:val="FootnoteReference"/>
        </w:rPr>
        <w:footnoteReference w:id="4308"/>
      </w:r>
      <w:r>
        <w:rPr>
          <w:rFonts w:ascii="IRNazanin" w:hAnsi="IRNazanin" w:eastAsia="IRNazanin" w:cs="IRNazanin"/>
          <w:lang w:bidi="fa-IR"/>
          <w:color w:val="111111"/>
          <w:sz w:val="28"/>
          <w:szCs w:val="28"/>
          <w:rtl/>
        </w:rPr>
        <w:t xml:space="preserve">تصدّی مجتهدٍ لمرافعةٍ تصدّاها مجتهد آخر قبل الحکم فیها إذا لم یعرض عنها بل بنی علی الحکم فیها؛فلأنّ وجوب الحکم فرع سؤال من له الحکم.</w:t>
      </w:r>
    </w:p>
    <w:p>
      <w:pPr>
        <w:pStyle w:val="Heading6"/>
      </w:pPr>
      <w:bookmarkStart w:id="2384" w:name="_Toc1419"/>
      <w:r>
        <w:t>[هل یشترط فی ولایة غیر الأب و الجد ملاحظة الغبطة للیتیم؟]</w:t>
      </w:r>
      <w:bookmarkEnd w:id="2384"/>
    </w:p>
    <w:p>
      <w:pPr>
        <w:pStyle w:val="BookText"/>
      </w:pPr>
      <w:r>
        <w:rPr>
          <w:rFonts w:ascii="IRNazanin" w:hAnsi="IRNazanin" w:eastAsia="IRNazanin" w:cs="IRNazanin"/>
          <w:lang w:bidi="fa-IR"/>
          <w:color w:val="111111"/>
          <w:sz w:val="28"/>
          <w:szCs w:val="28"/>
          <w:rtl/>
        </w:rPr>
        <w:t xml:space="preserve">ثمّ إنّه هل یشترط فی ولایة </w:t>
      </w:r>
      <w:r>
        <w:rPr>
          <w:rStyle w:val="FootnoteReference"/>
        </w:rPr>
        <w:footnoteReference w:id="4309"/>
      </w:r>
      <w:r>
        <w:rPr>
          <w:rFonts w:ascii="IRNazanin" w:hAnsi="IRNazanin" w:eastAsia="IRNazanin" w:cs="IRNazanin"/>
          <w:lang w:bidi="fa-IR"/>
          <w:color w:val="111111"/>
          <w:sz w:val="28"/>
          <w:szCs w:val="28"/>
          <w:rtl/>
        </w:rPr>
        <w:t xml:space="preserve">غیر الأب و الجدّ ملاحظة الغبطة للیتیم،أم لا؟.</w:t>
      </w:r>
    </w:p>
    <w:p>
      <w:pPr>
        <w:pStyle w:val="BookText"/>
      </w:pPr>
      <w:r>
        <w:rPr>
          <w:rFonts w:ascii="IRNazanin" w:hAnsi="IRNazanin" w:eastAsia="IRNazanin" w:cs="IRNazanin"/>
          <w:lang w:bidi="fa-IR"/>
          <w:color w:val="111111"/>
          <w:sz w:val="28"/>
          <w:szCs w:val="28"/>
          <w:rtl/>
        </w:rPr>
        <w:t xml:space="preserve">ذکر الشهید فی قواعده:أنّ فیه وجهین </w:t>
      </w:r>
      <w:r>
        <w:rPr>
          <w:rStyle w:val="FootnoteReference"/>
        </w:rPr>
        <w:footnoteReference w:id="4310"/>
      </w:r>
      <w:r>
        <w:rPr>
          <w:rFonts w:ascii="IRNazanin" w:hAnsi="IRNazanin" w:eastAsia="IRNazanin" w:cs="IRNazanin"/>
          <w:lang w:bidi="fa-IR"/>
          <w:color w:val="111111"/>
          <w:sz w:val="28"/>
          <w:szCs w:val="28"/>
          <w:rtl/>
        </w:rPr>
        <w:t xml:space="preserve">،و لکن ظاهر </w:t>
      </w:r>
      <w:r>
        <w:rPr>
          <w:rStyle w:val="FootnoteReference"/>
        </w:rPr>
        <w:footnoteReference w:id="4311"/>
      </w:r>
      <w:r>
        <w:rPr>
          <w:rFonts w:ascii="IRNazanin" w:hAnsi="IRNazanin" w:eastAsia="IRNazanin" w:cs="IRNazanin"/>
          <w:lang w:bidi="fa-IR"/>
          <w:color w:val="111111"/>
          <w:sz w:val="28"/>
          <w:szCs w:val="28"/>
          <w:rtl/>
        </w:rPr>
        <w:t xml:space="preserve">کثیر </w:t>
      </w:r>
      <w:r>
        <w:rPr>
          <w:rStyle w:val="FootnoteReference"/>
        </w:rPr>
        <w:footnoteReference w:id="4312"/>
      </w:r>
      <w:r>
        <w:rPr>
          <w:rFonts w:ascii="IRNazanin" w:hAnsi="IRNazanin" w:eastAsia="IRNazanin" w:cs="IRNazanin"/>
          <w:lang w:bidi="fa-IR"/>
          <w:color w:val="111111"/>
          <w:sz w:val="28"/>
          <w:szCs w:val="28"/>
          <w:rtl/>
        </w:rPr>
        <w:t xml:space="preserve">من کلماتهم:أنّه لا یصحّ إلّا مع المصلحة،بل فی مفتاح الکرامة:أنّه إجماعی </w:t>
      </w:r>
      <w:r>
        <w:rPr>
          <w:rStyle w:val="FootnoteReference"/>
        </w:rPr>
        <w:footnoteReference w:id="4313"/>
      </w:r>
      <w:r>
        <w:rPr>
          <w:rFonts w:ascii="IRNazanin" w:hAnsi="IRNazanin" w:eastAsia="IRNazanin" w:cs="IRNazanin"/>
          <w:lang w:bidi="fa-IR"/>
          <w:color w:val="111111"/>
          <w:sz w:val="28"/>
          <w:szCs w:val="28"/>
          <w:rtl/>
        </w:rPr>
        <w:t xml:space="preserve">،و أنّ الظاهر من التذکرة فی باب الحجر کونه اتّفاقیاً بین</w:t>
      </w:r>
    </w:p>
    <w:p>
      <w:pPr>
        <w:pStyle w:val="BookText"/>
      </w:pPr>
      <w:r>
        <w:rPr>
          <w:rFonts w:ascii="IRNazanin" w:hAnsi="IRNazanin" w:eastAsia="IRNazanin" w:cs="IRNazanin"/>
          <w:lang w:bidi="fa-IR"/>
          <w:color w:val="111111"/>
          <w:sz w:val="28"/>
          <w:szCs w:val="28"/>
          <w:rtl/>
        </w:rPr>
        <w:t xml:space="preserve">[شماره صفحه واقعی : 573]
</w:t>
      </w:r>
    </w:p>
    <w:p>
      <w:pPr>
        <w:sectPr>
          <w:footerReference w:type="default" r:id="rId1252"/>
          <w:footnotePr>
            <w:numStart w:val="1"/>
            <w:numRestart w:val="eachPage"/>
          </w:footnotePr>
          <w:pgSz w:orient="portrait" w:w="11905.511811023622" w:h="16837.79527559055"/>
          <w:pgMar w:top="1440" w:right="1440" w:bottom="1440" w:left="1440" w:header="720" w:footer="720" w:gutter="0"/>
          <w:cols w:num="1" w:space="720"/>
        </w:sectPr>
      </w:pPr>
    </w:p>
    <w:bookmarkStart w:id="700" w:name="pg14411_143634"/>
    <w:bookmarkEnd w:id="700"/>
    <w:p>
      <w:pPr>
        <w:pStyle w:val="BookText"/>
      </w:pPr>
      <w:r>
        <w:rPr>
          <w:rFonts w:ascii="IRNazanin" w:hAnsi="IRNazanin" w:eastAsia="IRNazanin" w:cs="IRNazanin"/>
          <w:lang w:bidi="fa-IR"/>
          <w:color w:val="111111"/>
          <w:sz w:val="28"/>
          <w:szCs w:val="28"/>
          <w:rtl/>
        </w:rPr>
        <w:t xml:space="preserve">المسلمین </w:t>
      </w:r>
      <w:r>
        <w:rPr>
          <w:rStyle w:val="FootnoteReference"/>
        </w:rPr>
        <w:footnoteReference w:id="4314"/>
      </w:r>
      <w:r>
        <w:rPr>
          <w:rFonts w:ascii="IRNazanin" w:hAnsi="IRNazanin" w:eastAsia="IRNazanin" w:cs="IRNazanin"/>
          <w:lang w:bidi="fa-IR"/>
          <w:color w:val="111111"/>
          <w:sz w:val="28"/>
          <w:szCs w:val="28"/>
          <w:rtl/>
        </w:rPr>
        <w:t xml:space="preserve">،و عن شیخه فی شرح القواعد:أنّه ظاهر الأصحاب </w:t>
      </w:r>
      <w:r>
        <w:rPr>
          <w:rStyle w:val="FootnoteReference"/>
        </w:rPr>
        <w:footnoteReference w:id="4315"/>
      </w:r>
      <w:r>
        <w:rPr>
          <w:rFonts w:ascii="IRNazanin" w:hAnsi="IRNazanin" w:eastAsia="IRNazanin" w:cs="IRNazanin"/>
          <w:lang w:bidi="fa-IR"/>
          <w:color w:val="111111"/>
          <w:sz w:val="28"/>
          <w:szCs w:val="28"/>
          <w:rtl/>
        </w:rPr>
        <w:t xml:space="preserve">،و قد عرفت تصریح الشیخ و الحلّی بذلک حتّی فی الأب و الجدّ </w:t>
      </w:r>
      <w:r>
        <w:rPr>
          <w:rStyle w:val="FootnoteReference"/>
        </w:rPr>
        <w:footnoteReference w:id="4316"/>
      </w:r>
      <w:r>
        <w:rPr>
          <w:rFonts w:ascii="Times New Roman" w:hAnsi="Times New Roman" w:eastAsia="Times New Roman" w:cs="Times New Roman"/>
          <w:lang w:val="en-US" w:bidi="en-US"/>
          <w:color w:val="111111"/>
          <w:sz w:val="28"/>
          <w:szCs w:val="28"/>
          <w:rtl/>
        </w:rPr>
        <w:t xml:space="preserve">.</w:t>
      </w:r>
    </w:p>
    <w:p>
      <w:pPr>
        <w:pStyle w:val="Heading6"/>
      </w:pPr>
      <w:bookmarkStart w:id="2385" w:name="_Toc1420"/>
      <w:r>
        <w:t>[الاستدلال بقوله تعالی: وَ لاٰ تَقْرَبُوا مٰالَ الْیَتِیمِ إِلاّٰ بِالَّتِی هِیَ أَحْسَنُ ]</w:t>
      </w:r>
      <w:bookmarkEnd w:id="2385"/>
    </w:p>
    <w:p>
      <w:pPr>
        <w:pStyle w:val="BookText"/>
      </w:pPr>
      <w:r>
        <w:rPr>
          <w:rFonts w:ascii="Amiri" w:hAnsi="Amiri" w:eastAsia="Amiri" w:cs="Amiri"/>
          <w:lang w:bidi="ar-SA"/>
          <w:color w:val="111111"/>
          <w:sz w:val="28"/>
          <w:szCs w:val="28"/>
          <w:rtl/>
        </w:rPr>
        <w:t xml:space="preserve">و یدلّ علیه-بعد ما عرفت من أصالة عدم الولایة لأحد علی أحد-:عموم قوله تعالی: وَ لاٰ تَقْرَبُوا مٰالَ الْیَتِیمِ إِلاّٰ بِالَّتِی هِیَ أَحْسَنُ </w:t>
      </w:r>
      <w:r>
        <w:rPr>
          <w:rStyle w:val="FootnoteReference"/>
        </w:rPr>
        <w:footnoteReference w:id="4317"/>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[*ستوده]</w:t>
      </w:r>
    </w:p>
    <w:p>
      <w:pPr>
        <w:pStyle w:val="BookText"/>
      </w:pPr>
      <w:r>
        <w:rPr>
          <w:rFonts w:ascii="IRNazanin" w:hAnsi="IRNazanin" w:eastAsia="IRNazanin" w:cs="IRNazanin"/>
          <w:lang w:bidi="fa-IR"/>
          <w:color w:val="111111"/>
          <w:sz w:val="28"/>
          <w:szCs w:val="28"/>
          <w:rtl/>
        </w:rPr>
        <w:t xml:space="preserve">و حیث إنّ توضیح معنی الآیة علی ما ینبغی لم أجده فی کلام أحد من المتعرّضین لبیان آیات الأحکام،فلا بأس بتوضیح ذلک فی هذا المقام، فنقول:إنّ«القرب»فی الآیة یحتمل معانی </w:t>
      </w:r>
      <w:r>
        <w:rPr>
          <w:rStyle w:val="FootnoteReference"/>
        </w:rPr>
        <w:footnoteReference w:id="4318"/>
      </w:r>
      <w:r>
        <w:rPr>
          <w:rFonts w:ascii="Amiri" w:hAnsi="Amiri" w:eastAsia="Amiri" w:cs="Amiri"/>
          <w:lang w:bidi="ar-SA"/>
          <w:color w:val="111111"/>
          <w:sz w:val="28"/>
          <w:szCs w:val="28"/>
          <w:rtl/>
        </w:rPr>
        <w:t xml:space="preserve">أربعة:</w:t>
      </w:r>
    </w:p>
    <w:p>
      <w:pPr>
        <w:pStyle w:val="BookText"/>
      </w:pPr>
      <w:r>
        <w:rPr>
          <w:rFonts w:ascii="IRNazanin" w:hAnsi="IRNazanin" w:eastAsia="IRNazanin" w:cs="IRNazanin"/>
          <w:lang w:bidi="fa-IR"/>
          <w:color w:val="111111"/>
          <w:sz w:val="28"/>
          <w:szCs w:val="28"/>
          <w:rtl/>
        </w:rPr>
        <w:t xml:space="preserve">الأوّل:مطلق التقلیب </w:t>
      </w:r>
      <w:r>
        <w:rPr>
          <w:rStyle w:val="FootnoteReference"/>
        </w:rPr>
        <w:footnoteReference w:id="4319"/>
      </w:r>
      <w:r>
        <w:rPr>
          <w:rFonts w:ascii="IRNazanin" w:hAnsi="IRNazanin" w:eastAsia="IRNazanin" w:cs="IRNazanin"/>
          <w:lang w:bidi="fa-IR"/>
          <w:color w:val="111111"/>
          <w:sz w:val="28"/>
          <w:szCs w:val="28"/>
          <w:rtl/>
        </w:rPr>
        <w:t xml:space="preserve">و التحریک حتّی من مکان إلی آخر، فلا یشمل مثل إبقائه </w:t>
      </w:r>
      <w:r>
        <w:rPr>
          <w:rStyle w:val="FootnoteReference"/>
        </w:rPr>
        <w:footnoteReference w:id="4320"/>
      </w:r>
      <w:r>
        <w:rPr>
          <w:rFonts w:ascii="IRNazanin" w:hAnsi="IRNazanin" w:eastAsia="IRNazanin" w:cs="IRNazanin"/>
          <w:lang w:bidi="fa-IR"/>
          <w:color w:val="111111"/>
          <w:sz w:val="28"/>
          <w:szCs w:val="28"/>
          <w:rtl/>
        </w:rPr>
        <w:t xml:space="preserve">علی حال أو عند </w:t>
      </w:r>
      <w:r>
        <w:rPr>
          <w:rStyle w:val="FootnoteReference"/>
        </w:rPr>
        <w:footnoteReference w:id="4321"/>
      </w:r>
      <w:r>
        <w:rPr>
          <w:rFonts w:ascii="IRNazanin" w:hAnsi="IRNazanin" w:eastAsia="IRNazanin" w:cs="IRNazanin"/>
          <w:lang w:bidi="fa-IR"/>
          <w:color w:val="111111"/>
          <w:sz w:val="28"/>
          <w:szCs w:val="28"/>
          <w:rtl/>
        </w:rPr>
        <w:t xml:space="preserve">أحد.</w:t>
      </w:r>
    </w:p>
    <w:p>
      <w:pPr>
        <w:pStyle w:val="BookText"/>
      </w:pPr>
      <w:r>
        <w:rPr>
          <w:rFonts w:ascii="IRNazanin" w:hAnsi="IRNazanin" w:eastAsia="IRNazanin" w:cs="IRNazanin"/>
          <w:lang w:bidi="fa-IR"/>
          <w:color w:val="111111"/>
          <w:sz w:val="28"/>
          <w:szCs w:val="28"/>
          <w:rtl/>
        </w:rPr>
        <w:t xml:space="preserve">الثانی:وضع الید علیه بعد أن کان بعیداً عنه و مجتنباً،فالمعنی:</w:t>
      </w:r>
    </w:p>
    <w:p>
      <w:pPr>
        <w:pStyle w:val="BookText"/>
      </w:pPr>
      <w:r>
        <w:rPr>
          <w:rFonts w:ascii="IRNazanin" w:hAnsi="IRNazanin" w:eastAsia="IRNazanin" w:cs="IRNazanin"/>
          <w:lang w:bidi="fa-IR"/>
          <w:color w:val="111111"/>
          <w:sz w:val="28"/>
          <w:szCs w:val="28"/>
          <w:rtl/>
        </w:rPr>
        <w:t xml:space="preserve">تجنّبوا عنه،و لا تقربوه إلّا إذا کان القرب أحسن،فلا یشمل حکم ما بعد الوضع </w:t>
      </w:r>
      <w:r>
        <w:rPr>
          <w:rStyle w:val="FootnoteReference"/>
        </w:rPr>
        <w:footnoteReference w:id="43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الثالث:ما یعدّ تصرّفاً عرفاً-کالاقتراض و البیع و الإجارة و ما أشبه</w:t>
      </w:r>
    </w:p>
    <w:p>
      <w:pPr>
        <w:pStyle w:val="BookText"/>
      </w:pPr>
      <w:r>
        <w:rPr>
          <w:rFonts w:ascii="IRNazanin" w:hAnsi="IRNazanin" w:eastAsia="IRNazanin" w:cs="IRNazanin"/>
          <w:lang w:bidi="fa-IR"/>
          <w:color w:val="111111"/>
          <w:sz w:val="28"/>
          <w:szCs w:val="28"/>
          <w:rtl/>
        </w:rPr>
        <w:t xml:space="preserve">[شماره صفحه واقعی : 574]
</w:t>
      </w:r>
    </w:p>
    <w:p>
      <w:pPr>
        <w:sectPr>
          <w:footerReference w:type="default" r:id="rId1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ذلک-فلا یدلّ علی تحریم إبقائه بحاله تحت یده إذا کان التصرّف فیه أحسن منه،إلّا بتنقیح المناط.</w:t>
      </w:r>
    </w:p>
    <w:p>
      <w:pPr>
        <w:pStyle w:val="BookText"/>
      </w:pPr>
      <w:r>
        <w:rPr>
          <w:rFonts w:ascii="IRNazanin" w:hAnsi="IRNazanin" w:eastAsia="IRNazanin" w:cs="IRNazanin"/>
          <w:lang w:bidi="fa-IR"/>
          <w:color w:val="111111"/>
          <w:sz w:val="28"/>
          <w:szCs w:val="28"/>
          <w:rtl/>
        </w:rPr>
        <w:t xml:space="preserve">الرابع:مطلق الأمر الاختیاری المتعلّق بمال الیتیم،أعمّ من الفعل و الترک،و المعنی:لا تختاروا فی مال الیتیم فعلاً أو ترکاً إلّا ما کان أحسن من غیره،فیدلّ علی حرمة الإبقاء فی الفرض المذکور؛لأنّ إبقاءه قربٌ له بما لیس أحسن.</w:t>
      </w:r>
    </w:p>
    <w:p>
      <w:pPr>
        <w:pStyle w:val="BookText"/>
      </w:pPr>
      <w:r>
        <w:rPr>
          <w:rFonts w:ascii="IRNazanin" w:hAnsi="IRNazanin" w:eastAsia="IRNazanin" w:cs="IRNazanin"/>
          <w:lang w:bidi="fa-IR"/>
          <w:color w:val="111111"/>
          <w:sz w:val="28"/>
          <w:szCs w:val="28"/>
          <w:rtl/>
        </w:rPr>
        <w:t xml:space="preserve">و أمّا لفظ«الأحسن»فی الآیة،فیحتمل أن یراد به ظاهره من التفضیل،و یحتمل أن یراد به الحسن.و علی الأوّل،فیحتمل التصرّف الأحسن من ترکه-کما یظهر من بعض-و یحتمل أن یراد به ظاهره و هو الأحسن مطلقاً من ترکه و من غیره من التصرّفات.و علی الثانی، فیحتمل أن یراد ما فیه مصلحة،و یحتمل أن یراد به ما لا مفسدة فیه، علی ما قیل:من أنّ أحد معانی الحسن ما لا حرج فی فعله </w:t>
      </w:r>
      <w:r>
        <w:rPr>
          <w:rStyle w:val="FootnoteReference"/>
        </w:rPr>
        <w:footnoteReference w:id="43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 الظاهر من احتمالات«القرب»هو الثالث،و من احتمالات «الأحسن»هو الاحتمال الثانی،أعنی التفضیل المطلق.</w:t>
      </w:r>
    </w:p>
    <w:p>
      <w:pPr>
        <w:pStyle w:val="BookText"/>
      </w:pPr>
      <w:r>
        <w:rPr>
          <w:rFonts w:ascii="IRNazanin" w:hAnsi="IRNazanin" w:eastAsia="IRNazanin" w:cs="IRNazanin"/>
          <w:lang w:bidi="fa-IR"/>
          <w:color w:val="111111"/>
          <w:sz w:val="28"/>
          <w:szCs w:val="28"/>
          <w:rtl/>
        </w:rPr>
        <w:t xml:space="preserve">و حینئذٍ فإذا فرضنا أنّ المصلحة اقتضت بیع مال الیتیم،فبعناه بعشرة دراهم،ثمّ </w:t>
      </w:r>
      <w:r>
        <w:rPr>
          <w:rStyle w:val="FootnoteReference"/>
        </w:rPr>
        <w:footnoteReference w:id="4324"/>
      </w:r>
      <w:r>
        <w:rPr>
          <w:rFonts w:ascii="IRNazanin" w:hAnsi="IRNazanin" w:eastAsia="IRNazanin" w:cs="IRNazanin"/>
          <w:lang w:bidi="fa-IR"/>
          <w:color w:val="111111"/>
          <w:sz w:val="28"/>
          <w:szCs w:val="28"/>
          <w:rtl/>
        </w:rPr>
        <w:t xml:space="preserve">فرضنا أنّه لا یتفاوت للیتیم إبقاء الدراهم أو جعلها دیناراً،فأراد الولیّ جعلها دیناراً،فلا یجوز؛لأنّ هذا التصرّف لیس أصلح من ترکه،و إن کان یجوز لنا من أوّل الأمر بیع المال بالدینار؛ لفرض عدم التفاوت بین الدراهم و الدینار بعد تعلّق المصلحة بجعل المال نقداً.</w:t>
      </w:r>
    </w:p>
    <w:p>
      <w:pPr>
        <w:pStyle w:val="BookText"/>
      </w:pPr>
      <w:r>
        <w:rPr>
          <w:rFonts w:ascii="IRNazanin" w:hAnsi="IRNazanin" w:eastAsia="IRNazanin" w:cs="IRNazanin"/>
          <w:lang w:bidi="fa-IR"/>
          <w:color w:val="111111"/>
          <w:sz w:val="28"/>
          <w:szCs w:val="28"/>
          <w:rtl/>
        </w:rPr>
        <w:t xml:space="preserve">[شماره صفحه واقعی : 575]
</w:t>
      </w:r>
    </w:p>
    <w:p>
      <w:pPr>
        <w:sectPr>
          <w:footerReference w:type="default" r:id="rId1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لو جعلنا«الحسن»بمعنی ما لا مفسدة فیه،فیجوز.</w:t>
      </w:r>
    </w:p>
    <w:p>
      <w:pPr>
        <w:pStyle w:val="BookText"/>
      </w:pPr>
      <w:r>
        <w:rPr>
          <w:rFonts w:ascii="IRNazanin" w:hAnsi="IRNazanin" w:eastAsia="IRNazanin" w:cs="IRNazanin"/>
          <w:lang w:bidi="fa-IR"/>
          <w:color w:val="111111"/>
          <w:sz w:val="28"/>
          <w:szCs w:val="28"/>
          <w:rtl/>
        </w:rPr>
        <w:t xml:space="preserve">و کذا لو جعلنا«القرب»بالمعنی الرابع؛لأنّا إذا فرضنا أنّ القرب یعمّ إبقاء مال الیتیم علی حاله-کما هو الاحتمال الرابع-فیجوز التصرّف المذکور؛إذ بعد کون الأحسن هو جعل مال الیتیم نقداً،فکما أنّه مخیّر فی الابتداء بین جعله دراهم أو دیناراً-لأنّ القدر المشترک أحسن من غیره،و أحد الفردین فیه لا مزیّة لأحدهما </w:t>
      </w:r>
      <w:r>
        <w:rPr>
          <w:rStyle w:val="FootnoteReference"/>
        </w:rPr>
        <w:footnoteReference w:id="4325"/>
      </w:r>
      <w:r>
        <w:rPr>
          <w:rFonts w:ascii="IRNazanin" w:hAnsi="IRNazanin" w:eastAsia="IRNazanin" w:cs="IRNazanin"/>
          <w:lang w:bidi="fa-IR"/>
          <w:color w:val="111111"/>
          <w:sz w:val="28"/>
          <w:szCs w:val="28"/>
          <w:rtl/>
        </w:rPr>
        <w:t xml:space="preserve">علی الآخر فیخیّر-فکذلک بعد جعله دراهم إذا کان کلٌّ من إبقاء الدراهم علی حالها و جعلها دیناراً قرباً،و القدر المشترک أحسن من غیره،و أحد </w:t>
      </w:r>
      <w:r>
        <w:rPr>
          <w:rStyle w:val="FootnoteReference"/>
        </w:rPr>
        <w:footnoteReference w:id="4326"/>
      </w:r>
      <w:r>
        <w:rPr>
          <w:rFonts w:ascii="IRNazanin" w:hAnsi="IRNazanin" w:eastAsia="IRNazanin" w:cs="IRNazanin"/>
          <w:lang w:bidi="fa-IR"/>
          <w:color w:val="111111"/>
          <w:sz w:val="28"/>
          <w:szCs w:val="28"/>
          <w:rtl/>
        </w:rPr>
        <w:t xml:space="preserve">الفردین لا مزیّة فیه علی الآخر فهو مخیّر بینهما.</w:t>
      </w:r>
    </w:p>
    <w:p>
      <w:pPr>
        <w:pStyle w:val="BookText"/>
      </w:pPr>
      <w:r>
        <w:rPr>
          <w:rFonts w:ascii="IRNazanin" w:hAnsi="IRNazanin" w:eastAsia="IRNazanin" w:cs="IRNazanin"/>
          <w:lang w:bidi="fa-IR"/>
          <w:color w:val="111111"/>
          <w:sz w:val="28"/>
          <w:szCs w:val="28"/>
          <w:rtl/>
        </w:rPr>
        <w:t xml:space="preserve">و الحاصل:أنّه کلما یفرض التخییر بین تصرّفین فی الابتداء -لکون القدر المشترک بینهما أحسن </w:t>
      </w:r>
      <w:r>
        <w:rPr>
          <w:rStyle w:val="FootnoteReference"/>
        </w:rPr>
        <w:footnoteReference w:id="4327"/>
      </w:r>
      <w:r>
        <w:rPr>
          <w:rFonts w:ascii="IRNazanin" w:hAnsi="IRNazanin" w:eastAsia="IRNazanin" w:cs="IRNazanin"/>
          <w:lang w:bidi="fa-IR"/>
          <w:color w:val="111111"/>
          <w:sz w:val="28"/>
          <w:szCs w:val="28"/>
          <w:rtl/>
        </w:rPr>
        <w:t xml:space="preserve">،و عدم مزیّة لأحد الفردین-تحقّق التخییر لأجل ذلک استدامة،فیجوز العدول من </w:t>
      </w:r>
      <w:r>
        <w:rPr>
          <w:rStyle w:val="FootnoteReference"/>
        </w:rPr>
        <w:footnoteReference w:id="4328"/>
      </w:r>
      <w:r>
        <w:rPr>
          <w:rFonts w:ascii="IRNazanin" w:hAnsi="IRNazanin" w:eastAsia="IRNazanin" w:cs="IRNazanin"/>
          <w:lang w:bidi="fa-IR"/>
          <w:color w:val="111111"/>
          <w:sz w:val="28"/>
          <w:szCs w:val="28"/>
          <w:rtl/>
        </w:rPr>
        <w:t xml:space="preserve">أحدهما بعد فعله إلی الآخر إذا کان العدول مساویاً للبقاء بالنسبة إلی حال الیتیم و إن کان فیه نفع یعود إلی المتصرّف.</w:t>
      </w:r>
    </w:p>
    <w:p>
      <w:pPr>
        <w:pStyle w:val="BookText"/>
      </w:pPr>
      <w:r>
        <w:rPr>
          <w:rFonts w:ascii="IRNazanin" w:hAnsi="IRNazanin" w:eastAsia="IRNazanin" w:cs="IRNazanin"/>
          <w:lang w:bidi="fa-IR"/>
          <w:color w:val="111111"/>
          <w:sz w:val="28"/>
          <w:szCs w:val="28"/>
          <w:rtl/>
        </w:rPr>
        <w:t xml:space="preserve">[*ستوده]</w:t>
      </w:r>
    </w:p>
    <w:p>
      <w:pPr>
        <w:pStyle w:val="BookText"/>
      </w:pPr>
      <w:r>
        <w:rPr>
          <w:rFonts w:ascii="IRNazanin" w:hAnsi="IRNazanin" w:eastAsia="IRNazanin" w:cs="IRNazanin"/>
          <w:lang w:bidi="fa-IR"/>
          <w:color w:val="111111"/>
          <w:sz w:val="28"/>
          <w:szCs w:val="28"/>
          <w:rtl/>
        </w:rPr>
        <w:t xml:space="preserve">لکن الإنصاف:أنّ المعنی الرابع ل«القرب»مرجوح فی نظر العرف بالنسبة إلی المعنی الثالث،و إن کان الذی یقتضیه التدبّر فی</w:t>
      </w:r>
    </w:p>
    <w:p>
      <w:pPr>
        <w:pStyle w:val="BookText"/>
      </w:pPr>
      <w:r>
        <w:rPr>
          <w:rFonts w:ascii="IRNazanin" w:hAnsi="IRNazanin" w:eastAsia="IRNazanin" w:cs="IRNazanin"/>
          <w:lang w:bidi="fa-IR"/>
          <w:color w:val="111111"/>
          <w:sz w:val="28"/>
          <w:szCs w:val="28"/>
          <w:rtl/>
        </w:rPr>
        <w:t xml:space="preserve">[شماره صفحه واقعی : 576]
</w:t>
      </w:r>
    </w:p>
    <w:p>
      <w:pPr>
        <w:sectPr>
          <w:footerReference w:type="default" r:id="rId1255"/>
          <w:footnotePr>
            <w:numStart w:val="1"/>
            <w:numRestart w:val="eachPage"/>
          </w:footnotePr>
          <w:pgSz w:orient="portrait" w:w="11905.511811023622" w:h="16837.79527559055"/>
          <w:pgMar w:top="1440" w:right="1440" w:bottom="1440" w:left="1440" w:header="720" w:footer="720" w:gutter="0"/>
          <w:cols w:num="1" w:space="720"/>
        </w:sectPr>
      </w:pPr>
    </w:p>
    <w:bookmarkStart w:id="701" w:name="pg14411_143637"/>
    <w:bookmarkEnd w:id="701"/>
    <w:p>
      <w:pPr>
        <w:pStyle w:val="BookText"/>
      </w:pPr>
      <w:r>
        <w:rPr>
          <w:rFonts w:ascii="IRNazanin" w:hAnsi="IRNazanin" w:eastAsia="IRNazanin" w:cs="IRNazanin"/>
          <w:lang w:bidi="fa-IR"/>
          <w:color w:val="111111"/>
          <w:sz w:val="28"/>
          <w:szCs w:val="28"/>
          <w:rtl/>
        </w:rPr>
        <w:t xml:space="preserve">غرض الشارع و مقصوده من مثل هذا الکلام:أن لا یختاروا فی أمر مال الیتیم إلّا ما کان أحسن من غیره.</w:t>
      </w:r>
    </w:p>
    <w:p>
      <w:pPr>
        <w:pStyle w:val="Heading6"/>
      </w:pPr>
      <w:bookmarkStart w:id="2386" w:name="_Toc1421"/>
      <w:r>
        <w:t>[ظاهر بعض الروایات کفایة عدم المفسدة]</w:t>
      </w:r>
      <w:bookmarkEnd w:id="2386"/>
    </w:p>
    <w:p>
      <w:pPr>
        <w:pStyle w:val="BookText"/>
      </w:pPr>
      <w:r>
        <w:rPr>
          <w:rFonts w:ascii="IRNazanin" w:hAnsi="IRNazanin" w:eastAsia="IRNazanin" w:cs="IRNazanin"/>
          <w:lang w:bidi="fa-IR"/>
          <w:color w:val="111111"/>
          <w:sz w:val="28"/>
          <w:szCs w:val="28"/>
          <w:rtl/>
        </w:rPr>
        <w:t xml:space="preserve">نعم،ربما یظهر من بعض الروایات أنّ مناط حرمة التصرّف هو الضرر،لا أنّ مناط الجواز هو النفع.</w:t>
      </w:r>
    </w:p>
    <w:p>
      <w:pPr>
        <w:pStyle w:val="BookText"/>
      </w:pPr>
      <w:r>
        <w:rPr>
          <w:rFonts w:ascii="IRNazanin" w:hAnsi="IRNazanin" w:eastAsia="IRNazanin" w:cs="IRNazanin"/>
          <w:lang w:bidi="fa-IR"/>
          <w:color w:val="111111"/>
          <w:sz w:val="28"/>
          <w:szCs w:val="28"/>
          <w:rtl/>
        </w:rPr>
        <w:t xml:space="preserve">ففی حسنة </w:t>
      </w:r>
      <w:r>
        <w:rPr>
          <w:rStyle w:val="FootnoteReference"/>
        </w:rPr>
        <w:footnoteReference w:id="4329"/>
      </w:r>
      <w:r>
        <w:rPr>
          <w:rFonts w:ascii="IRNazanin" w:hAnsi="IRNazanin" w:eastAsia="IRNazanin" w:cs="IRNazanin"/>
          <w:lang w:bidi="fa-IR"/>
          <w:color w:val="111111"/>
          <w:sz w:val="28"/>
          <w:szCs w:val="28"/>
          <w:rtl/>
        </w:rPr>
        <w:t xml:space="preserve">الکاهلی:«قیل </w:t>
      </w:r>
      <w:r>
        <w:rPr>
          <w:rStyle w:val="FootnoteReference"/>
        </w:rPr>
        <w:footnoteReference w:id="4330"/>
      </w:r>
      <w:r>
        <w:rPr>
          <w:rFonts w:ascii="IRNazanin" w:hAnsi="IRNazanin" w:eastAsia="IRNazanin" w:cs="IRNazanin"/>
          <w:lang w:bidi="fa-IR"/>
          <w:color w:val="111111"/>
          <w:sz w:val="28"/>
          <w:szCs w:val="28"/>
          <w:rtl/>
        </w:rPr>
        <w:t xml:space="preserve">لأبی عبد اللّٰه علیه السلام:إنّا ندخل </w:t>
      </w:r>
      <w:r>
        <w:rPr>
          <w:rStyle w:val="FootnoteReference"/>
        </w:rPr>
        <w:footnoteReference w:id="4331"/>
      </w:r>
      <w:r>
        <w:rPr>
          <w:rFonts w:ascii="IRNazanin" w:hAnsi="IRNazanin" w:eastAsia="IRNazanin" w:cs="IRNazanin"/>
          <w:lang w:bidi="fa-IR"/>
          <w:color w:val="111111"/>
          <w:sz w:val="28"/>
          <w:szCs w:val="28"/>
          <w:rtl/>
        </w:rPr>
        <w:t xml:space="preserve">علی أخٍ لنا فی بیت أیتام و معهم </w:t>
      </w:r>
      <w:r>
        <w:rPr>
          <w:rStyle w:val="FootnoteReference"/>
        </w:rPr>
        <w:footnoteReference w:id="4332"/>
      </w:r>
      <w:r>
        <w:rPr>
          <w:rFonts w:ascii="IRNazanin" w:hAnsi="IRNazanin" w:eastAsia="IRNazanin" w:cs="IRNazanin"/>
          <w:lang w:bidi="fa-IR"/>
          <w:color w:val="111111"/>
          <w:sz w:val="28"/>
          <w:szCs w:val="28"/>
          <w:rtl/>
        </w:rPr>
        <w:t xml:space="preserve">خادم لهم،فنقعد علی بساطهم و نشرب من مائهم،و یخدمنا خادمهم،و ربما طعمنا فیه الطعام من عند صاحبنا و فیه من طعامهم،فما تری فی ذلک؟قال:إن کان فی دخولکم علیهم منفعة لهم فلا بأس،و إن کان فیه ضرر فلا» </w:t>
      </w:r>
      <w:r>
        <w:rPr>
          <w:rStyle w:val="FootnoteReference"/>
        </w:rPr>
        <w:footnoteReference w:id="43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بناءً علی أنّ المراد من منفعة الدخول ما یوازی عوض ما یتصرّفون </w:t>
      </w:r>
      <w:r>
        <w:rPr>
          <w:rStyle w:val="FootnoteReference"/>
        </w:rPr>
        <w:footnoteReference w:id="4334"/>
      </w:r>
      <w:r>
        <w:rPr>
          <w:rFonts w:ascii="IRNazanin" w:hAnsi="IRNazanin" w:eastAsia="IRNazanin" w:cs="IRNazanin"/>
          <w:lang w:bidi="fa-IR"/>
          <w:color w:val="111111"/>
          <w:sz w:val="28"/>
          <w:szCs w:val="28"/>
          <w:rtl/>
        </w:rPr>
        <w:t xml:space="preserve">من مال الیتیم عند دخولهم،فیکون المراد بالضرر فی الذیل:أن لا یصل إلی الأیتام ما یوازی ذلک،فلا تنافی بین الصدر و الذیل علی ما زعمه بعض المعاصرین </w:t>
      </w:r>
      <w:r>
        <w:rPr>
          <w:rStyle w:val="FootnoteReference"/>
        </w:rPr>
        <w:footnoteReference w:id="4335"/>
      </w:r>
      <w:r>
        <w:rPr>
          <w:rFonts w:ascii="IRNazanin" w:hAnsi="IRNazanin" w:eastAsia="IRNazanin" w:cs="IRNazanin"/>
          <w:lang w:bidi="fa-IR"/>
          <w:color w:val="111111"/>
          <w:sz w:val="28"/>
          <w:szCs w:val="28"/>
          <w:rtl/>
        </w:rPr>
        <w:t xml:space="preserve">:من أنّ الصدر دالّ علی إناطة الجواز</w:t>
      </w:r>
    </w:p>
    <w:p>
      <w:pPr>
        <w:pStyle w:val="BookText"/>
      </w:pPr>
      <w:r>
        <w:rPr>
          <w:rFonts w:ascii="IRNazanin" w:hAnsi="IRNazanin" w:eastAsia="IRNazanin" w:cs="IRNazanin"/>
          <w:lang w:bidi="fa-IR"/>
          <w:color w:val="111111"/>
          <w:sz w:val="28"/>
          <w:szCs w:val="28"/>
          <w:rtl/>
        </w:rPr>
        <w:t xml:space="preserve">[شماره صفحه واقعی : 577]
</w:t>
      </w:r>
    </w:p>
    <w:p>
      <w:pPr>
        <w:sectPr>
          <w:footerReference w:type="default" r:id="rId1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بالنفع،و الذیل دالّ علی إناطة الحرمة بالضرر،فیتعارضان فی مورد یکون التصرّف غیر نافع و لا مضرّ.و هذا منه مبنیّ علی أنّ المراد بمنفعة الدخول النفع الملحوظ بعد وصول ما بإزاء مال الیتیم إلیه،بمعنی أن تکون المنفعة فی معاوضة ما یتصرّف </w:t>
      </w:r>
      <w:r>
        <w:rPr>
          <w:rStyle w:val="FootnoteReference"/>
        </w:rPr>
        <w:footnoteReference w:id="4336"/>
      </w:r>
      <w:r>
        <w:rPr>
          <w:rFonts w:ascii="IRNazanin" w:hAnsi="IRNazanin" w:eastAsia="IRNazanin" w:cs="IRNazanin"/>
          <w:lang w:bidi="fa-IR"/>
          <w:color w:val="111111"/>
          <w:sz w:val="28"/>
          <w:szCs w:val="28"/>
          <w:rtl/>
        </w:rPr>
        <w:t xml:space="preserve">من مال الیتیم بما یتوصّل </w:t>
      </w:r>
      <w:r>
        <w:rPr>
          <w:rStyle w:val="FootnoteReference"/>
        </w:rPr>
        <w:footnoteReference w:id="4337"/>
      </w:r>
      <w:r>
        <w:rPr>
          <w:rFonts w:ascii="IRNazanin" w:hAnsi="IRNazanin" w:eastAsia="IRNazanin" w:cs="IRNazanin"/>
          <w:lang w:bidi="fa-IR"/>
          <w:color w:val="111111"/>
          <w:sz w:val="28"/>
          <w:szCs w:val="28"/>
          <w:rtl/>
        </w:rPr>
        <w:t xml:space="preserve">إلیهم من ماله،کأن یشرب ماءً فیعطی </w:t>
      </w:r>
      <w:r>
        <w:rPr>
          <w:rStyle w:val="FootnoteReference"/>
        </w:rPr>
        <w:footnoteReference w:id="4338"/>
      </w:r>
      <w:r>
        <w:rPr>
          <w:rFonts w:ascii="IRNazanin" w:hAnsi="IRNazanin" w:eastAsia="IRNazanin" w:cs="IRNazanin"/>
          <w:lang w:bidi="fa-IR"/>
          <w:color w:val="111111"/>
          <w:sz w:val="28"/>
          <w:szCs w:val="28"/>
          <w:rtl/>
        </w:rPr>
        <w:t xml:space="preserve">فلساً بإزائه،و هکذا...و أنت خبیر بأنّه لا ظهور للروایة حتّی یحصل التنافی.</w:t>
      </w:r>
    </w:p>
    <w:p>
      <w:pPr>
        <w:pStyle w:val="BookText"/>
      </w:pPr>
      <w:r>
        <w:rPr>
          <w:rFonts w:ascii="IRNazanin" w:hAnsi="IRNazanin" w:eastAsia="IRNazanin" w:cs="IRNazanin"/>
          <w:lang w:bidi="fa-IR"/>
          <w:color w:val="111111"/>
          <w:sz w:val="28"/>
          <w:szCs w:val="28"/>
          <w:rtl/>
        </w:rPr>
        <w:t xml:space="preserve">و فی روایة ابن المغیرة:«قلت لأبی عبد اللّٰه علیه السلام:إنّ لی ابنة أخ یتیمة،فربما اهدی لها الشیء فآکل منه ثمّ أُطعمها بعد ذلک الشیء من مالی،فأقول:یا ربِّ هذا بهذا </w:t>
      </w:r>
      <w:r>
        <w:rPr>
          <w:rStyle w:val="FootnoteReference"/>
        </w:rPr>
        <w:footnoteReference w:id="4339"/>
      </w:r>
      <w:r>
        <w:rPr>
          <w:rFonts w:ascii="IRNazanin" w:hAnsi="IRNazanin" w:eastAsia="IRNazanin" w:cs="IRNazanin"/>
          <w:lang w:bidi="fa-IR"/>
          <w:color w:val="111111"/>
          <w:sz w:val="28"/>
          <w:szCs w:val="28"/>
          <w:rtl/>
        </w:rPr>
        <w:t xml:space="preserve">؟قال:لا بأس» </w:t>
      </w:r>
      <w:r>
        <w:rPr>
          <w:rStyle w:val="FootnoteReference"/>
        </w:rPr>
        <w:footnoteReference w:id="43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ترک الاستفصال عن </w:t>
      </w:r>
      <w:r>
        <w:rPr>
          <w:rStyle w:val="FootnoteReference"/>
        </w:rPr>
        <w:footnoteReference w:id="4341"/>
      </w:r>
      <w:r>
        <w:rPr>
          <w:rFonts w:ascii="IRNazanin" w:hAnsi="IRNazanin" w:eastAsia="IRNazanin" w:cs="IRNazanin"/>
          <w:lang w:bidi="fa-IR"/>
          <w:color w:val="111111"/>
          <w:sz w:val="28"/>
          <w:szCs w:val="28"/>
          <w:rtl/>
        </w:rPr>
        <w:t xml:space="preserve">مساواة العوض و زیادته یدلّ علی عدم اعتبار الزیادة،إلّا أن یحمل علی الغالب:من کون التصرّف فی الطعام المهدی إلیها </w:t>
      </w:r>
      <w:r>
        <w:rPr>
          <w:rStyle w:val="FootnoteReference"/>
        </w:rPr>
        <w:footnoteReference w:id="4342"/>
      </w:r>
      <w:r>
        <w:rPr>
          <w:rFonts w:ascii="IRNazanin" w:hAnsi="IRNazanin" w:eastAsia="IRNazanin" w:cs="IRNazanin"/>
          <w:lang w:bidi="fa-IR"/>
          <w:color w:val="111111"/>
          <w:sz w:val="28"/>
          <w:szCs w:val="28"/>
          <w:rtl/>
        </w:rPr>
        <w:t xml:space="preserve">و إعطاء العوض بعد ذلک أصلح؛إذ الظاهر من </w:t>
      </w:r>
      <w:r>
        <w:rPr>
          <w:rStyle w:val="FootnoteReference"/>
        </w:rPr>
        <w:footnoteReference w:id="4343"/>
      </w:r>
      <w:r>
        <w:rPr>
          <w:rFonts w:ascii="IRNazanin" w:hAnsi="IRNazanin" w:eastAsia="IRNazanin" w:cs="IRNazanin"/>
          <w:lang w:bidi="fa-IR"/>
          <w:color w:val="111111"/>
          <w:sz w:val="28"/>
          <w:szCs w:val="28"/>
          <w:rtl/>
        </w:rPr>
        <w:t xml:space="preserve">«الطعام المهدی إلیها» </w:t>
      </w:r>
      <w:r>
        <w:rPr>
          <w:rStyle w:val="FootnoteReference"/>
        </w:rPr>
        <w:footnoteReference w:id="4344"/>
      </w:r>
      <w:r>
        <w:rPr>
          <w:rFonts w:ascii="IRNazanin" w:hAnsi="IRNazanin" w:eastAsia="IRNazanin" w:cs="IRNazanin"/>
          <w:lang w:bidi="fa-IR"/>
          <w:color w:val="111111"/>
          <w:sz w:val="28"/>
          <w:szCs w:val="28"/>
          <w:rtl/>
        </w:rPr>
        <w:t xml:space="preserve">هو المطبوخ و شبهه.</w:t>
      </w:r>
    </w:p>
    <w:p>
      <w:pPr>
        <w:pStyle w:val="BookText"/>
      </w:pPr>
      <w:r>
        <w:rPr>
          <w:rFonts w:ascii="IRNazanin" w:hAnsi="IRNazanin" w:eastAsia="IRNazanin" w:cs="IRNazanin"/>
          <w:lang w:bidi="fa-IR"/>
          <w:color w:val="111111"/>
          <w:sz w:val="28"/>
          <w:szCs w:val="28"/>
          <w:rtl/>
        </w:rPr>
        <w:t xml:space="preserve">[شماره صفحه واقعی : 578]
</w:t>
      </w:r>
    </w:p>
    <w:p>
      <w:pPr>
        <w:sectPr>
          <w:footerReference w:type="default" r:id="rId1257"/>
          <w:footnotePr>
            <w:numStart w:val="1"/>
            <w:numRestart w:val="eachPage"/>
          </w:footnotePr>
          <w:pgSz w:orient="portrait" w:w="11905.511811023622" w:h="16837.79527559055"/>
          <w:pgMar w:top="1440" w:right="1440" w:bottom="1440" w:left="1440" w:header="720" w:footer="720" w:gutter="0"/>
          <w:cols w:num="1" w:space="720"/>
        </w:sectPr>
      </w:pPr>
    </w:p>
    <w:bookmarkStart w:id="702" w:name="pg14411_143639"/>
    <w:bookmarkEnd w:id="702"/>
    <w:p>
      <w:pPr>
        <w:pStyle w:val="Heading6"/>
      </w:pPr>
      <w:bookmarkStart w:id="2387" w:name="_Toc1422"/>
      <w:r>
        <w:t>و هل یجب مراعاة الأصلح أم لا؟</w:t>
      </w:r>
      <w:bookmarkEnd w:id="2387"/>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[*ستوده]</w:t>
      </w:r>
    </w:p>
    <w:p>
      <w:pPr>
        <w:pStyle w:val="BookText"/>
      </w:pPr>
      <w:r>
        <w:rPr>
          <w:rFonts w:ascii="IRNazanin" w:hAnsi="IRNazanin" w:eastAsia="IRNazanin" w:cs="IRNazanin"/>
          <w:lang w:bidi="fa-IR"/>
          <w:color w:val="111111"/>
          <w:sz w:val="28"/>
          <w:szCs w:val="28"/>
          <w:rtl/>
        </w:rPr>
        <w:t xml:space="preserve">وجهان </w:t>
      </w:r>
      <w:r>
        <w:rPr>
          <w:rStyle w:val="FootnoteReference"/>
        </w:rPr>
        <w:footnoteReference w:id="4345"/>
      </w:r>
      <w:r>
        <w:rPr>
          <w:rFonts w:ascii="IRNazanin" w:hAnsi="IRNazanin" w:eastAsia="IRNazanin" w:cs="IRNazanin"/>
          <w:lang w:bidi="fa-IR"/>
          <w:color w:val="111111"/>
          <w:sz w:val="28"/>
          <w:szCs w:val="28"/>
          <w:rtl/>
        </w:rPr>
        <w:t xml:space="preserve">.قال الشهید رحمه اللّٰه فی القواعد:هل یجب علی الولیّ مراعاة المصلحة فی مال المولّی علیه،أو یکفی نفی المفسدة؟یحتمل الأوّل؛لأنّه منصوب لها،و لأصالة بقاء الملک علی حاله،و لأنّ النقل و الانتقال لا بدّ لهما من غایة،و العدمیات لا تکاد تقع غایة.و علی هذا،هل یتحرّی الأصلح أم یکتفی بمطلق المصلحة؟فیه وجهان:نعم،لمثل ما قلنا،لا؛لأنّ ذلک لا یتناهی.</w:t>
      </w:r>
    </w:p>
    <w:p>
      <w:pPr>
        <w:pStyle w:val="BookText"/>
      </w:pPr>
      <w:r>
        <w:rPr>
          <w:rFonts w:ascii="IRNazanin" w:hAnsi="IRNazanin" w:eastAsia="IRNazanin" w:cs="IRNazanin"/>
          <w:lang w:bidi="fa-IR"/>
          <w:color w:val="111111"/>
          <w:sz w:val="28"/>
          <w:szCs w:val="28"/>
          <w:rtl/>
        </w:rPr>
        <w:t xml:space="preserve">و علی کلّ تقدیر:لو ظهر فی الحال الأصلح و المصلحة،لم یجز العدول عن الأصلح،و یترتّب علی ذلک:أخذ الولیّ بالشفعة للمولّی علیه حیث لا مصلحة و لا مفسدة،و تزویج المجنون حیث لا مفسدة؛ و غیر ذلک </w:t>
      </w:r>
      <w:r>
        <w:rPr>
          <w:rStyle w:val="FootnoteReference"/>
        </w:rPr>
        <w:footnoteReference w:id="4346"/>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الظاهر أنّ فعل الأصلح فی مقابل ترک التصرّف رأساً غیر لازم؛ لعدم الدلیل علیه،فلو کان مال الیتیم موضوعاً عنده و کان الاتّجار به أصلح منه،لم </w:t>
      </w:r>
      <w:r>
        <w:rPr>
          <w:rStyle w:val="FootnoteReference"/>
        </w:rPr>
        <w:footnoteReference w:id="4347"/>
      </w:r>
      <w:r>
        <w:rPr>
          <w:rFonts w:ascii="IRNazanin" w:hAnsi="IRNazanin" w:eastAsia="IRNazanin" w:cs="IRNazanin"/>
          <w:lang w:bidi="fa-IR"/>
          <w:color w:val="111111"/>
          <w:sz w:val="28"/>
          <w:szCs w:val="28"/>
          <w:rtl/>
        </w:rPr>
        <w:t xml:space="preserve">یجب إلّا إذا قلنا بالمعنی الرابع من معانی القرب فی الآیة،بأن یراد:لا تختاروا فی مال الیتیم أمراً من الأفعال أو التروک إلّا أن یکون أحسن من غیره،و قد عرفت الإشکال فی استفادة هذا المعنی،بل الظاهر التصرّفات الوجودیّة فهی المنهیّ عن جمیعها،إلّا </w:t>
      </w:r>
      <w:r>
        <w:rPr>
          <w:rStyle w:val="FootnoteReference"/>
        </w:rPr>
        <w:footnoteReference w:id="4348"/>
      </w:r>
    </w:p>
    <w:p>
      <w:pPr>
        <w:pStyle w:val="BookText"/>
      </w:pPr>
      <w:r>
        <w:rPr>
          <w:rFonts w:ascii="IRNazanin" w:hAnsi="IRNazanin" w:eastAsia="IRNazanin" w:cs="IRNazanin"/>
          <w:lang w:bidi="fa-IR"/>
          <w:color w:val="111111"/>
          <w:sz w:val="28"/>
          <w:szCs w:val="28"/>
          <w:rtl/>
        </w:rPr>
        <w:t xml:space="preserve">[شماره صفحه واقعی : 579]
</w:t>
      </w:r>
    </w:p>
    <w:p>
      <w:pPr>
        <w:sectPr>
          <w:footerReference w:type="default" r:id="rId1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کان أحسن من غیره و من الترک،فلا یشمل ما إذا کان </w:t>
      </w:r>
      <w:r>
        <w:rPr>
          <w:rStyle w:val="FootnoteReference"/>
        </w:rPr>
        <w:footnoteReference w:id="4349"/>
      </w:r>
      <w:r>
        <w:rPr>
          <w:rFonts w:ascii="IRNazanin" w:hAnsi="IRNazanin" w:eastAsia="IRNazanin" w:cs="IRNazanin"/>
          <w:lang w:bidi="fa-IR"/>
          <w:color w:val="111111"/>
          <w:sz w:val="28"/>
          <w:szCs w:val="28"/>
          <w:rtl/>
        </w:rPr>
        <w:t xml:space="preserve">فعلٌ أحسن من الترک.</w:t>
      </w:r>
    </w:p>
    <w:p>
      <w:pPr>
        <w:pStyle w:val="BookText"/>
      </w:pPr>
      <w:r>
        <w:rPr>
          <w:rFonts w:ascii="IRNazanin" w:hAnsi="IRNazanin" w:eastAsia="IRNazanin" w:cs="IRNazanin"/>
          <w:lang w:bidi="fa-IR"/>
          <w:color w:val="111111"/>
          <w:sz w:val="28"/>
          <w:szCs w:val="28"/>
          <w:rtl/>
        </w:rPr>
        <w:t xml:space="preserve">نعم،ثبت بدلیل خارج حرمة الترک إذا کان فیه مفسدة،و أمّا إذا کان فی الترک مفسدة و دار الأمر بین أفعالٍ بعضها أصلح من بعض، فظاهر الآیة عدم جواز العدول عنه،بل ربما یعدّ العدول فی بعض المقامات إفساداً،کما إذا اشتُری فی موضع بعشرة،و فی موضع آخر قریب منه بعشرین،فإنّه یعدّ بیعه فی الأوّل إفساداً للمال،لو </w:t>
      </w:r>
      <w:r>
        <w:rPr>
          <w:rStyle w:val="FootnoteReference"/>
        </w:rPr>
        <w:footnoteReference w:id="4350"/>
      </w:r>
      <w:r>
        <w:rPr>
          <w:rFonts w:ascii="IRNazanin" w:hAnsi="IRNazanin" w:eastAsia="IRNazanin" w:cs="IRNazanin"/>
          <w:lang w:bidi="fa-IR"/>
          <w:color w:val="111111"/>
          <w:sz w:val="28"/>
          <w:szCs w:val="28"/>
          <w:rtl/>
        </w:rPr>
        <w:t xml:space="preserve">ارتکبه عاقل عدّ سفیهاً لیس فیه ملکة إصلاح المال،و هذا هو الذی أراده الشهید بقوله:و لو ظهر فی الحال...إلخ </w:t>
      </w:r>
      <w:r>
        <w:rPr>
          <w:rStyle w:val="FootnoteReference"/>
        </w:rPr>
        <w:footnoteReference w:id="43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نعم،قد لا یعدّ العدول من السفاهة،کما لو کان بیعه مصلحة، و کان بیعه فی بلد آخر أصلح </w:t>
      </w:r>
      <w:r>
        <w:rPr>
          <w:rStyle w:val="FootnoteReference"/>
        </w:rPr>
        <w:footnoteReference w:id="4352"/>
      </w:r>
      <w:r>
        <w:rPr>
          <w:rFonts w:ascii="IRNazanin" w:hAnsi="IRNazanin" w:eastAsia="IRNazanin" w:cs="IRNazanin"/>
          <w:lang w:bidi="fa-IR"/>
          <w:color w:val="111111"/>
          <w:sz w:val="28"/>
          <w:szCs w:val="28"/>
          <w:rtl/>
        </w:rPr>
        <w:t xml:space="preserve">مع إعطاء الأُجرة منه أن ینقله إلیه و العلم بعدم الخسارة </w:t>
      </w:r>
      <w:r>
        <w:rPr>
          <w:rStyle w:val="FootnoteReference"/>
        </w:rPr>
        <w:footnoteReference w:id="4353"/>
      </w:r>
      <w:r>
        <w:rPr>
          <w:rFonts w:ascii="Amiri" w:hAnsi="Amiri" w:eastAsia="Amiri" w:cs="Amiri"/>
          <w:lang w:bidi="ar-SA"/>
          <w:color w:val="111111"/>
          <w:sz w:val="28"/>
          <w:szCs w:val="28"/>
          <w:rtl/>
        </w:rPr>
        <w:t xml:space="preserve">فإنّه قد </w:t>
      </w:r>
      <w:r>
        <w:rPr>
          <w:rStyle w:val="FootnoteReference"/>
        </w:rPr>
        <w:footnoteReference w:id="4354"/>
      </w:r>
      <w:r>
        <w:rPr>
          <w:rFonts w:ascii="IRNazanin" w:hAnsi="IRNazanin" w:eastAsia="IRNazanin" w:cs="IRNazanin"/>
          <w:lang w:bidi="fa-IR"/>
          <w:color w:val="111111"/>
          <w:sz w:val="28"/>
          <w:szCs w:val="28"/>
          <w:rtl/>
        </w:rPr>
        <w:t xml:space="preserve">لا یعدّ ذلک سفاهة،لکن ظاهر الآیة وجوبه.</w:t>
      </w:r>
    </w:p>
    <w:p>
      <w:pPr>
        <w:pStyle w:val="BookText"/>
      </w:pPr>
      <w:r>
        <w:rPr>
          <w:rFonts w:ascii="IRNazanin" w:hAnsi="IRNazanin" w:eastAsia="IRNazanin" w:cs="IRNazanin"/>
          <w:lang w:bidi="fa-IR"/>
          <w:color w:val="111111"/>
          <w:sz w:val="28"/>
          <w:szCs w:val="28"/>
          <w:rtl/>
        </w:rPr>
        <w:t xml:space="preserve">[شماره صفحه واقعی : 580]
</w:t>
      </w:r>
    </w:p>
    <w:p>
      <w:pPr>
        <w:sectPr>
          <w:footerReference w:type="default" r:id="rId1259"/>
          <w:footnotePr>
            <w:numStart w:val="1"/>
            <w:numRestart w:val="eachPage"/>
          </w:footnotePr>
          <w:pgSz w:orient="portrait" w:w="11905.511811023622" w:h="16837.79527559055"/>
          <w:pgMar w:top="1440" w:right="1440" w:bottom="1440" w:left="1440" w:header="720" w:footer="720" w:gutter="0"/>
          <w:cols w:num="1" w:space="720"/>
        </w:sectPr>
      </w:pPr>
    </w:p>
    <w:bookmarkStart w:id="703" w:name="pg14411_143641"/>
    <w:bookmarkEnd w:id="703"/>
    <w:p>
      <w:pPr>
        <w:pStyle w:val="Heading6"/>
      </w:pPr>
      <w:bookmarkStart w:id="2388" w:name="_Toc1423"/>
      <w:r>
        <w:t>مسألة : یشترط فی من ینتقل إلیه العبد المسلم-ثمناً أو مثمناً-أن یکون مسلماً</w:t>
      </w:r>
      <w:bookmarkEnd w:id="2388"/>
    </w:p>
    <w:p>
      <w:pPr>
        <w:pStyle w:val="Heading6"/>
      </w:pPr>
      <w:bookmarkStart w:id="2389" w:name="_Toc1424"/>
      <w:r>
        <w:t>اشارة</w:t>
      </w:r>
      <w:bookmarkEnd w:id="2389"/>
    </w:p>
    <w:p>
      <w:pPr>
        <w:pStyle w:val="BookText"/>
      </w:pPr>
      <w:r>
        <w:rPr>
          <w:rFonts w:ascii="IRNazanin" w:hAnsi="IRNazanin" w:eastAsia="IRNazanin" w:cs="IRNazanin"/>
          <w:lang w:bidi="fa-IR"/>
          <w:color w:val="111111"/>
          <w:sz w:val="28"/>
          <w:szCs w:val="28"/>
          <w:rtl/>
        </w:rPr>
        <w:t xml:space="preserve">فلا یصحّ نقله إلی الکافر عند أکثر علمائنا،کما فی التذکرة </w:t>
      </w:r>
      <w:r>
        <w:rPr>
          <w:rStyle w:val="FootnoteReference"/>
        </w:rPr>
        <w:footnoteReference w:id="4355"/>
      </w:r>
      <w:r>
        <w:rPr>
          <w:rFonts w:ascii="IRNazanin" w:hAnsi="IRNazanin" w:eastAsia="IRNazanin" w:cs="IRNazanin"/>
          <w:lang w:bidi="fa-IR"/>
          <w:color w:val="111111"/>
          <w:sz w:val="28"/>
          <w:szCs w:val="28"/>
          <w:rtl/>
        </w:rPr>
        <w:t xml:space="preserve">،بل</w:t>
      </w:r>
    </w:p>
    <w:p>
      <w:pPr>
        <w:pStyle w:val="Heading6"/>
      </w:pPr>
      <w:bookmarkStart w:id="2390" w:name="_Toc1425"/>
      <w:r>
        <w:t>[المشهور عدم صحة نقل العبد المسلم إلی الکافر]</w:t>
      </w:r>
      <w:bookmarkEnd w:id="2390"/>
    </w:p>
    <w:p>
      <w:pPr>
        <w:pStyle w:val="BookText"/>
      </w:pPr>
      <w:r>
        <w:rPr>
          <w:rFonts w:ascii="IRNazanin" w:hAnsi="IRNazanin" w:eastAsia="IRNazanin" w:cs="IRNazanin"/>
          <w:lang w:bidi="fa-IR"/>
          <w:color w:val="111111"/>
          <w:sz w:val="28"/>
          <w:szCs w:val="28"/>
          <w:rtl/>
        </w:rPr>
        <w:t xml:space="preserve">عن الغنیة:علیه الإجماع </w:t>
      </w:r>
      <w:r>
        <w:rPr>
          <w:rStyle w:val="FootnoteReference"/>
        </w:rPr>
        <w:footnoteReference w:id="4356"/>
      </w:r>
      <w:r>
        <w:rPr>
          <w:rFonts w:ascii="IRNazanin" w:hAnsi="IRNazanin" w:eastAsia="IRNazanin" w:cs="IRNazanin"/>
          <w:lang w:bidi="fa-IR"/>
          <w:color w:val="111111"/>
          <w:sz w:val="28"/>
          <w:szCs w:val="28"/>
          <w:rtl/>
        </w:rPr>
        <w:t xml:space="preserve">،خلافاً للمحکی فی التذکرة عن بعض علمائنا </w:t>
      </w:r>
      <w:r>
        <w:rPr>
          <w:rStyle w:val="FootnoteReference"/>
        </w:rPr>
        <w:footnoteReference w:id="4357"/>
      </w:r>
      <w:r>
        <w:rPr>
          <w:rFonts w:ascii="IRNazanin" w:hAnsi="IRNazanin" w:eastAsia="IRNazanin" w:cs="IRNazanin"/>
          <w:lang w:bidi="fa-IR"/>
          <w:color w:val="111111"/>
          <w:sz w:val="28"/>
          <w:szCs w:val="28"/>
          <w:rtl/>
        </w:rPr>
        <w:t xml:space="preserve">،و سیأتی عبارة الإسکافی فی المصحف </w:t>
      </w:r>
      <w:r>
        <w:rPr>
          <w:rStyle w:val="FootnoteReference"/>
        </w:rPr>
        <w:footnoteReference w:id="43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استدلّ </w:t>
      </w:r>
      <w:r>
        <w:rPr>
          <w:rStyle w:val="FootnoteReference"/>
        </w:rPr>
        <w:footnoteReference w:id="4359"/>
      </w:r>
      <w:r>
        <w:rPr>
          <w:rFonts w:ascii="IRNazanin" w:hAnsi="IRNazanin" w:eastAsia="IRNazanin" w:cs="IRNazanin"/>
          <w:lang w:bidi="fa-IR"/>
          <w:color w:val="111111"/>
          <w:sz w:val="28"/>
          <w:szCs w:val="28"/>
          <w:rtl/>
        </w:rPr>
        <w:t xml:space="preserve">للمشهور تارةً:بأنّ الکافر یمنع من استدامته؛لأنّه لو ملکه قهراً بإرث أو أسلم فی ملکه بیع علیه،فیمنع من ابتدائه کالنکاح.</w:t>
      </w:r>
    </w:p>
    <w:p>
      <w:pPr>
        <w:pStyle w:val="BookText"/>
      </w:pPr>
      <w:r>
        <w:rPr>
          <w:rFonts w:ascii="IRNazanin" w:hAnsi="IRNazanin" w:eastAsia="IRNazanin" w:cs="IRNazanin"/>
          <w:lang w:bidi="fa-IR"/>
          <w:color w:val="111111"/>
          <w:sz w:val="28"/>
          <w:szCs w:val="28"/>
          <w:rtl/>
        </w:rPr>
        <w:t xml:space="preserve">و أُخری:بأنّ الاسترقاق سبیل علی المؤمن،فینتفی بقوله </w:t>
      </w:r>
      <w:r>
        <w:rPr>
          <w:rStyle w:val="FootnoteReference"/>
        </w:rPr>
        <w:footnoteReference w:id="4360"/>
      </w:r>
      <w:r>
        <w:rPr>
          <w:rFonts w:ascii="IRNazanin" w:hAnsi="IRNazanin" w:eastAsia="IRNazanin" w:cs="IRNazanin"/>
          <w:lang w:bidi="fa-IR"/>
          <w:color w:val="111111"/>
          <w:sz w:val="28"/>
          <w:szCs w:val="28"/>
          <w:rtl/>
        </w:rPr>
        <w:t xml:space="preserve">تعالی:</w:t>
      </w:r>
    </w:p>
    <w:p>
      <w:pPr>
        <w:pStyle w:val="BookText"/>
      </w:pPr>
      <w:r>
        <w:rPr>
          <w:rFonts w:ascii="IRNazanin" w:hAnsi="IRNazanin" w:eastAsia="IRNazanin" w:cs="IRNazanin"/>
          <w:lang w:bidi="fa-IR"/>
          <w:color w:val="111111"/>
          <w:sz w:val="28"/>
          <w:szCs w:val="28"/>
          <w:rtl/>
        </w:rPr>
        <w:t xml:space="preserve">[شماره صفحه واقعی : 581]
</w:t>
      </w:r>
    </w:p>
    <w:p>
      <w:pPr>
        <w:sectPr>
          <w:footerReference w:type="default" r:id="rId1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لَنْ یَجْعَلَ اللّٰهُ لِلْکٰافِرِینَ عَلَی الْمُؤْمِنِینَ سَبِیلاً</w:t>
      </w:r>
    </w:p>
    <w:p>
      <w:pPr>
        <w:pStyle w:val="BookText"/>
      </w:pPr>
      <w:r>
        <w:rPr>
          <w:rStyle w:val="FootnoteReference"/>
        </w:rPr>
        <w:footnoteReference w:id="4361"/>
      </w:r>
      <w:r>
        <w:rPr>
          <w:rFonts w:ascii="IRNazanin" w:hAnsi="IRNazanin" w:eastAsia="IRNazanin" w:cs="IRNazanin"/>
          <w:lang w:bidi="fa-IR"/>
          <w:color w:val="111111"/>
          <w:sz w:val="28"/>
          <w:szCs w:val="28"/>
          <w:rtl/>
        </w:rPr>
        <w:t xml:space="preserve">
،و بالنبویّ المرسل فی کتب أصحابنا-المنجبر بعملهم و استدلالهم به </w:t>
      </w:r>
      <w:r>
        <w:rPr>
          <w:rStyle w:val="FootnoteReference"/>
        </w:rPr>
        <w:footnoteReference w:id="4362"/>
      </w:r>
      <w:r>
        <w:rPr>
          <w:rFonts w:ascii="IRNazanin" w:hAnsi="IRNazanin" w:eastAsia="IRNazanin" w:cs="IRNazanin"/>
          <w:lang w:bidi="fa-IR"/>
          <w:color w:val="111111"/>
          <w:sz w:val="28"/>
          <w:szCs w:val="28"/>
          <w:rtl/>
        </w:rPr>
        <w:t xml:space="preserve">فی موارد متعدّدة </w:t>
      </w:r>
      <w:r>
        <w:rPr>
          <w:rStyle w:val="FootnoteReference"/>
        </w:rPr>
        <w:footnoteReference w:id="4363"/>
      </w:r>
      <w:r>
        <w:rPr>
          <w:rFonts w:ascii="IRNazanin" w:hAnsi="IRNazanin" w:eastAsia="IRNazanin" w:cs="IRNazanin"/>
          <w:lang w:bidi="fa-IR"/>
          <w:color w:val="111111"/>
          <w:sz w:val="28"/>
          <w:szCs w:val="28"/>
          <w:rtl/>
        </w:rPr>
        <w:t xml:space="preserve">، حتّی فی عدم جواز علوّ بناء الکافر علی بناء المسلم،بل عدم جواز مساواته </w:t>
      </w:r>
      <w:r>
        <w:rPr>
          <w:rStyle w:val="FootnoteReference"/>
        </w:rPr>
        <w:footnoteReference w:id="4364"/>
      </w:r>
      <w:r>
        <w:rPr>
          <w:rFonts w:ascii="IRNazanin" w:hAnsi="IRNazanin" w:eastAsia="IRNazanin" w:cs="IRNazanin"/>
          <w:lang w:bidi="fa-IR"/>
          <w:color w:val="111111"/>
          <w:sz w:val="28"/>
          <w:szCs w:val="28"/>
          <w:rtl/>
        </w:rPr>
        <w:t xml:space="preserve">-و هو قوله صلّی اللّٰه علیه و آله:«الإسلام یعلو و لا یُعلی علیه» </w:t>
      </w:r>
      <w:r>
        <w:rPr>
          <w:rStyle w:val="FootnoteReference"/>
        </w:rPr>
        <w:footnoteReference w:id="4365"/>
      </w:r>
      <w:r>
        <w:rPr>
          <w:rFonts w:ascii="IRNazanin" w:hAnsi="IRNazanin" w:eastAsia="IRNazanin" w:cs="IRNazanin"/>
          <w:lang w:bidi="fa-IR"/>
          <w:color w:val="111111"/>
          <w:sz w:val="28"/>
          <w:szCs w:val="28"/>
          <w:rtl/>
        </w:rPr>
        <w:t xml:space="preserve">، و من المعلوم:أنّ ما نحن فیه أولی بالاستدلال علیه به.</w:t>
      </w:r>
    </w:p>
    <w:p>
      <w:pPr>
        <w:pStyle w:val="BookText"/>
      </w:pPr>
      <w:r>
        <w:rPr>
          <w:rFonts w:ascii="IRNazanin" w:hAnsi="IRNazanin" w:eastAsia="IRNazanin" w:cs="IRNazanin"/>
          <w:lang w:bidi="fa-IR"/>
          <w:color w:val="111111"/>
          <w:sz w:val="28"/>
          <w:szCs w:val="28"/>
          <w:rtl/>
        </w:rPr>
        <w:t xml:space="preserve">[*ستوده]</w:t>
      </w:r>
    </w:p>
    <w:p>
      <w:pPr>
        <w:pStyle w:val="BookText"/>
      </w:pPr>
      <w:r>
        <w:rPr>
          <w:rFonts w:ascii="IRNazanin" w:hAnsi="IRNazanin" w:eastAsia="IRNazanin" w:cs="IRNazanin"/>
          <w:lang w:bidi="fa-IR"/>
          <w:color w:val="111111"/>
          <w:sz w:val="28"/>
          <w:szCs w:val="28"/>
          <w:rtl/>
        </w:rPr>
        <w:t xml:space="preserve">لکن الإنصاف:أنّه لو أغمض النظر عن دعوی الإجماع </w:t>
      </w:r>
      <w:r>
        <w:rPr>
          <w:rStyle w:val="FootnoteReference"/>
        </w:rPr>
        <w:footnoteReference w:id="4366"/>
      </w:r>
      <w:r>
        <w:rPr>
          <w:rFonts w:ascii="IRNazanin" w:hAnsi="IRNazanin" w:eastAsia="IRNazanin" w:cs="IRNazanin"/>
          <w:lang w:bidi="fa-IR"/>
          <w:color w:val="111111"/>
          <w:sz w:val="28"/>
          <w:szCs w:val="28"/>
          <w:rtl/>
        </w:rPr>
        <w:t xml:space="preserve">المعتضد </w:t>
      </w:r>
      <w:r>
        <w:rPr>
          <w:rStyle w:val="FootnoteReference"/>
        </w:rPr>
        <w:footnoteReference w:id="4367"/>
      </w:r>
      <w:r>
        <w:rPr>
          <w:rFonts w:ascii="Amiri" w:hAnsi="Amiri" w:eastAsia="Amiri" w:cs="Amiri"/>
          <w:lang w:bidi="ar-SA"/>
          <w:color w:val="111111"/>
          <w:sz w:val="28"/>
          <w:szCs w:val="28"/>
          <w:rtl/>
        </w:rPr>
        <w:t xml:space="preserve">بالشهرة و </w:t>
      </w:r>
      <w:r>
        <w:rPr>
          <w:rStyle w:val="FootnoteReference"/>
        </w:rPr>
        <w:footnoteReference w:id="4368"/>
      </w:r>
      <w:r>
        <w:rPr>
          <w:rFonts w:ascii="IRNazanin" w:hAnsi="IRNazanin" w:eastAsia="IRNazanin" w:cs="IRNazanin"/>
          <w:lang w:bidi="fa-IR"/>
          <w:color w:val="111111"/>
          <w:sz w:val="28"/>
          <w:szCs w:val="28"/>
          <w:rtl/>
        </w:rPr>
        <w:t xml:space="preserve">اشتهار التمسّک بالآیة-حتّی أُسند فی کنز العرفان إلی الفقهاء </w:t>
      </w:r>
      <w:r>
        <w:rPr>
          <w:rStyle w:val="FootnoteReference"/>
        </w:rPr>
        <w:footnoteReference w:id="4369"/>
      </w:r>
      <w:r>
        <w:rPr>
          <w:rFonts w:ascii="IRNazanin" w:hAnsi="IRNazanin" w:eastAsia="IRNazanin" w:cs="IRNazanin"/>
          <w:lang w:bidi="fa-IR"/>
          <w:color w:val="111111"/>
          <w:sz w:val="28"/>
          <w:szCs w:val="28"/>
          <w:rtl/>
        </w:rPr>
        <w:t xml:space="preserve">،و فی غیره إلی أصحابنا </w:t>
      </w:r>
      <w:r>
        <w:rPr>
          <w:rStyle w:val="FootnoteReference"/>
        </w:rPr>
        <w:footnoteReference w:id="4370"/>
      </w:r>
      <w:r>
        <w:rPr>
          <w:rFonts w:ascii="IRNazanin" w:hAnsi="IRNazanin" w:eastAsia="IRNazanin" w:cs="IRNazanin"/>
          <w:lang w:bidi="fa-IR"/>
          <w:color w:val="111111"/>
          <w:sz w:val="28"/>
          <w:szCs w:val="28"/>
          <w:rtl/>
        </w:rPr>
        <w:t xml:space="preserve">-لم یکن ما ذکروه من الأدلّة خالیاً عن الإشکال فی الدلالة.</w:t>
      </w:r>
    </w:p>
    <w:p>
      <w:pPr>
        <w:pStyle w:val="BookText"/>
      </w:pPr>
      <w:r>
        <w:rPr>
          <w:rFonts w:ascii="IRNazanin" w:hAnsi="IRNazanin" w:eastAsia="IRNazanin" w:cs="IRNazanin"/>
          <w:lang w:bidi="fa-IR"/>
          <w:color w:val="111111"/>
          <w:sz w:val="28"/>
          <w:szCs w:val="28"/>
          <w:rtl/>
        </w:rPr>
        <w:t xml:space="preserve">أمّا حکایة قیاس الابتداء علی الاستدامة </w:t>
      </w:r>
      <w:r>
        <w:rPr>
          <w:rStyle w:val="FootnoteReference"/>
        </w:rPr>
        <w:footnoteReference w:id="4371"/>
      </w:r>
      <w:r>
        <w:rPr>
          <w:rFonts w:ascii="IRNazanin" w:hAnsi="IRNazanin" w:eastAsia="IRNazanin" w:cs="IRNazanin"/>
          <w:lang w:bidi="fa-IR"/>
          <w:color w:val="111111"/>
          <w:sz w:val="28"/>
          <w:szCs w:val="28"/>
          <w:rtl/>
        </w:rPr>
        <w:t xml:space="preserve">،فغایة توجیهه:أنّ</w:t>
      </w:r>
    </w:p>
    <w:p>
      <w:pPr>
        <w:pStyle w:val="BookText"/>
      </w:pPr>
      <w:r>
        <w:rPr>
          <w:rFonts w:ascii="IRNazanin" w:hAnsi="IRNazanin" w:eastAsia="IRNazanin" w:cs="IRNazanin"/>
          <w:lang w:bidi="fa-IR"/>
          <w:color w:val="111111"/>
          <w:sz w:val="28"/>
          <w:szCs w:val="28"/>
          <w:rtl/>
        </w:rPr>
        <w:t xml:space="preserve">[شماره صفحه واقعی : 582]
</w:t>
      </w:r>
    </w:p>
    <w:p>
      <w:pPr>
        <w:sectPr>
          <w:footerReference w:type="default" r:id="rId1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المستفاد من منع الشارع عن استدامته عدم رضاه بأصل وجوده حدوثاً و بقاءً،من غیر مدخلیّة لخصوص البقاء،کما لو أمر المولی بإخراج أحد من الدار أو بإزالة النجاسة عن المسجد؛فإنّه یفهم من ذلک عدم جواز الإدخال.</w:t>
      </w:r>
    </w:p>
    <w:p>
      <w:pPr>
        <w:pStyle w:val="BookText"/>
      </w:pPr>
      <w:r>
        <w:rPr>
          <w:rFonts w:ascii="IRNazanin" w:hAnsi="IRNazanin" w:eastAsia="IRNazanin" w:cs="IRNazanin"/>
          <w:lang w:bidi="fa-IR"/>
          <w:color w:val="111111"/>
          <w:sz w:val="28"/>
          <w:szCs w:val="28"/>
          <w:rtl/>
        </w:rPr>
        <w:t xml:space="preserve">لکن یرد علیه:أنّ هذا إنّما یقتضی کون عدم </w:t>
      </w:r>
      <w:r>
        <w:rPr>
          <w:rStyle w:val="FootnoteReference"/>
        </w:rPr>
        <w:footnoteReference w:id="4372"/>
      </w:r>
      <w:r>
        <w:rPr>
          <w:rFonts w:ascii="IRNazanin" w:hAnsi="IRNazanin" w:eastAsia="IRNazanin" w:cs="IRNazanin"/>
          <w:lang w:bidi="fa-IR"/>
          <w:color w:val="111111"/>
          <w:sz w:val="28"/>
          <w:szCs w:val="28"/>
          <w:rtl/>
        </w:rPr>
        <w:t xml:space="preserve">الرضا بالحدوث علی نهج عدم الرضا بالبقاء،و من المعلوم:أنّ عدم رضاه بالبقاء مجرّد تکلیفٍ بعدم إبقائه و بإخراجه عن ملکه،و لیس معناه:عدم إمضاء الشارع بقاءه،حتّی یکون العبد المسلم خارجاً بنفسه شرعاً عن ملک الکافر،فیکون عدم رضاه بالإدخال علی هذا الوجه،فلا یدلّ علی عدم إمضائه لدخوله فی ملکه لیثبت بذلک الفساد.</w:t>
      </w:r>
    </w:p>
    <w:p>
      <w:pPr>
        <w:pStyle w:val="BookText"/>
      </w:pPr>
      <w:r>
        <w:rPr>
          <w:rFonts w:ascii="IRNazanin" w:hAnsi="IRNazanin" w:eastAsia="IRNazanin" w:cs="IRNazanin"/>
          <w:lang w:bidi="fa-IR"/>
          <w:color w:val="111111"/>
          <w:sz w:val="28"/>
          <w:szCs w:val="28"/>
          <w:rtl/>
        </w:rPr>
        <w:t xml:space="preserve">و الحاصل:أنّ دلالة النهی عن الإدخال فی الملک،تابعة لدلالة النهی عن الإبقاء،فی الدلالة علی إمضاء الشارع لآثار المنهیّ عنه و عدمه،و المفروض انتفاء الدلالة فی المتبوع.</w:t>
      </w:r>
    </w:p>
    <w:p>
      <w:pPr>
        <w:pStyle w:val="BookText"/>
      </w:pPr>
      <w:r>
        <w:rPr>
          <w:rFonts w:ascii="IRNazanin" w:hAnsi="IRNazanin" w:eastAsia="IRNazanin" w:cs="IRNazanin"/>
          <w:lang w:bidi="fa-IR"/>
          <w:color w:val="111111"/>
          <w:sz w:val="28"/>
          <w:szCs w:val="28"/>
          <w:rtl/>
        </w:rPr>
        <w:t xml:space="preserve">و ممّا ذکرنا یندفع التمسّک للمطلب بالنصّ الوارد فی عبدٍ کافر أسلم،فقال أمیر المؤمنین علیه السلام:«اذهبوا فبیعوه من المسلمین و ادفعوا ثمنه إلی صاحبه و لا تقرّوه عنده» </w:t>
      </w:r>
      <w:r>
        <w:rPr>
          <w:rStyle w:val="FootnoteReference"/>
        </w:rPr>
        <w:footnoteReference w:id="4373"/>
      </w:r>
      <w:r>
        <w:rPr>
          <w:rFonts w:ascii="IRNazanin" w:hAnsi="IRNazanin" w:eastAsia="IRNazanin" w:cs="IRNazanin"/>
          <w:lang w:bidi="fa-IR"/>
          <w:color w:val="111111"/>
          <w:sz w:val="28"/>
          <w:szCs w:val="28"/>
          <w:rtl/>
        </w:rPr>
        <w:t xml:space="preserve">بناء علی أنّ تخصیص البیع بالمسلمین-فی مقام البیان و الاحتراز-یدلّ علی المنع من بیعه من الکافر،فیفسد.</w:t>
      </w:r>
    </w:p>
    <w:p>
      <w:pPr>
        <w:pStyle w:val="BookText"/>
      </w:pPr>
      <w:r>
        <w:rPr>
          <w:rFonts w:ascii="IRNazanin" w:hAnsi="IRNazanin" w:eastAsia="IRNazanin" w:cs="IRNazanin"/>
          <w:lang w:bidi="fa-IR"/>
          <w:color w:val="111111"/>
          <w:sz w:val="28"/>
          <w:szCs w:val="28"/>
          <w:rtl/>
        </w:rPr>
        <w:t xml:space="preserve">توضیح الاندفاع:أنّ التخصیص بالمسلمین إنّما هو من جهة أنّ</w:t>
      </w:r>
    </w:p>
    <w:p>
      <w:pPr>
        <w:pStyle w:val="BookText"/>
      </w:pPr>
      <w:r>
        <w:rPr>
          <w:rFonts w:ascii="IRNazanin" w:hAnsi="IRNazanin" w:eastAsia="IRNazanin" w:cs="IRNazanin"/>
          <w:lang w:bidi="fa-IR"/>
          <w:color w:val="111111"/>
          <w:sz w:val="28"/>
          <w:szCs w:val="28"/>
          <w:rtl/>
        </w:rPr>
        <w:t xml:space="preserve">[شماره صفحه واقعی : 583]
</w:t>
      </w:r>
    </w:p>
    <w:p>
      <w:pPr>
        <w:sectPr>
          <w:footerReference w:type="default" r:id="rId1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الداعی علی الأمر بالبیع هی إزالة ملک الکافر و النهی عن إبقائه عنده </w:t>
      </w:r>
      <w:r>
        <w:rPr>
          <w:rStyle w:val="FootnoteReference"/>
        </w:rPr>
        <w:footnoteReference w:id="4374"/>
      </w:r>
      <w:r>
        <w:rPr>
          <w:rFonts w:ascii="IRNazanin" w:hAnsi="IRNazanin" w:eastAsia="IRNazanin" w:cs="IRNazanin"/>
          <w:lang w:bidi="fa-IR"/>
          <w:color w:val="111111"/>
          <w:sz w:val="28"/>
          <w:szCs w:val="28"/>
          <w:rtl/>
        </w:rPr>
        <w:t xml:space="preserve">، و هی لا تحصل بنقله إلی کافر آخر،فلیس تخصیص المأمور به لاختصاص مورد الصحّة به،بل لأنّ الغرض من الأمر لا یحصل إلّا به،فافهم.</w:t>
      </w:r>
    </w:p>
    <w:p>
      <w:pPr>
        <w:pStyle w:val="BookText"/>
      </w:pPr>
      <w:r>
        <w:rPr>
          <w:rFonts w:ascii="IRNazanin" w:hAnsi="IRNazanin" w:eastAsia="IRNazanin" w:cs="IRNazanin"/>
          <w:lang w:bidi="fa-IR"/>
          <w:color w:val="111111"/>
          <w:sz w:val="28"/>
          <w:szCs w:val="28"/>
          <w:rtl/>
        </w:rPr>
        <w:t xml:space="preserve">و أمّا الآیة:فباب الخدشة فیها واسع:</w:t>
      </w:r>
    </w:p>
    <w:p>
      <w:pPr>
        <w:pStyle w:val="BookText"/>
      </w:pPr>
      <w:r>
        <w:rPr>
          <w:rFonts w:ascii="IRNazanin" w:hAnsi="IRNazanin" w:eastAsia="IRNazanin" w:cs="IRNazanin"/>
          <w:lang w:bidi="fa-IR"/>
          <w:color w:val="111111"/>
          <w:sz w:val="28"/>
          <w:szCs w:val="28"/>
          <w:rtl/>
        </w:rPr>
        <w:t xml:space="preserve">تارةً:من جهة دلالتها فی نفسها و لو بقرینة سیاقها الآبی عن التخصیص،فلا بدّ من حملها </w:t>
      </w:r>
      <w:r>
        <w:rPr>
          <w:rStyle w:val="FootnoteReference"/>
        </w:rPr>
        <w:footnoteReference w:id="4375"/>
      </w:r>
      <w:r>
        <w:rPr>
          <w:rFonts w:ascii="IRNazanin" w:hAnsi="IRNazanin" w:eastAsia="IRNazanin" w:cs="IRNazanin"/>
          <w:lang w:bidi="fa-IR"/>
          <w:color w:val="111111"/>
          <w:sz w:val="28"/>
          <w:szCs w:val="28"/>
          <w:rtl/>
        </w:rPr>
        <w:t xml:space="preserve">علی معنی لا یتحقّق فیه تخصیص،أو بقرینة ما قبلها </w:t>
      </w:r>
      <w:r>
        <w:rPr>
          <w:rStyle w:val="FootnoteReference"/>
        </w:rPr>
        <w:footnoteReference w:id="4376"/>
      </w:r>
      <w:r>
        <w:rPr>
          <w:rFonts w:ascii="Amiri" w:hAnsi="Amiri" w:eastAsia="Amiri" w:cs="Amiri"/>
          <w:lang w:bidi="ar-SA"/>
          <w:color w:val="111111"/>
          <w:sz w:val="28"/>
          <w:szCs w:val="28"/>
          <w:rtl/>
        </w:rPr>
        <w:t xml:space="preserve">الدالّة علی إرادة أنّ </w:t>
      </w:r>
      <w:r>
        <w:rPr>
          <w:rStyle w:val="FootnoteReference"/>
        </w:rPr>
        <w:footnoteReference w:id="4377"/>
      </w:r>
      <w:r>
        <w:rPr>
          <w:rFonts w:ascii="IRNazanin" w:hAnsi="IRNazanin" w:eastAsia="IRNazanin" w:cs="IRNazanin"/>
          <w:lang w:bidi="fa-IR"/>
          <w:color w:val="111111"/>
          <w:sz w:val="28"/>
          <w:szCs w:val="28"/>
          <w:rtl/>
        </w:rPr>
        <w:t xml:space="preserve">نفی الجعل فی الآخرة.</w:t>
      </w:r>
    </w:p>
    <w:p>
      <w:pPr>
        <w:pStyle w:val="BookText"/>
      </w:pPr>
      <w:r>
        <w:rPr>
          <w:rFonts w:ascii="IRNazanin" w:hAnsi="IRNazanin" w:eastAsia="IRNazanin" w:cs="IRNazanin"/>
          <w:lang w:bidi="fa-IR"/>
          <w:color w:val="111111"/>
          <w:sz w:val="28"/>
          <w:szCs w:val="28"/>
          <w:rtl/>
        </w:rPr>
        <w:t xml:space="preserve">و أُخری:من حیث تفسیرها فی بعض الأخبار بنفی الحجّة للکفّار علی المؤمنین،و هو ما روی فی العیون،عن أبی الحسن علیه السلام،ردّاً علی من زعم أنّ المراد بها نفی تقدیر اللّٰه سبحانه بمقتضی الأسباب العادیّة </w:t>
      </w:r>
      <w:r>
        <w:rPr>
          <w:rStyle w:val="FootnoteReference"/>
        </w:rPr>
        <w:footnoteReference w:id="4378"/>
      </w:r>
      <w:r>
        <w:rPr>
          <w:rFonts w:ascii="IRNazanin" w:hAnsi="IRNazanin" w:eastAsia="IRNazanin" w:cs="IRNazanin"/>
          <w:lang w:bidi="fa-IR"/>
          <w:color w:val="111111"/>
          <w:sz w:val="28"/>
          <w:szCs w:val="28"/>
          <w:rtl/>
        </w:rPr>
        <w:t xml:space="preserve">تسلّط الکفّار علی المؤمنین،حتّی أنکروا-لهذا المعنی الفاسد الذی لا یتوهّمه ذو مسکة-أنّ الحسین بن علی علیهما السلام </w:t>
      </w:r>
      <w:r>
        <w:rPr>
          <w:rStyle w:val="FootnoteReference"/>
        </w:rPr>
        <w:footnoteReference w:id="4379"/>
      </w:r>
      <w:r>
        <w:rPr>
          <w:rFonts w:ascii="IRNazanin" w:hAnsi="IRNazanin" w:eastAsia="IRNazanin" w:cs="IRNazanin"/>
          <w:lang w:bidi="fa-IR"/>
          <w:color w:val="111111"/>
          <w:sz w:val="28"/>
          <w:szCs w:val="28"/>
          <w:rtl/>
        </w:rPr>
        <w:t xml:space="preserve">لم یقتل،بل</w:t>
      </w:r>
    </w:p>
    <w:p>
      <w:pPr>
        <w:pStyle w:val="BookText"/>
      </w:pPr>
      <w:r>
        <w:rPr>
          <w:rFonts w:ascii="IRNazanin" w:hAnsi="IRNazanin" w:eastAsia="IRNazanin" w:cs="IRNazanin"/>
          <w:lang w:bidi="fa-IR"/>
          <w:color w:val="111111"/>
          <w:sz w:val="28"/>
          <w:szCs w:val="28"/>
          <w:rtl/>
        </w:rPr>
        <w:t xml:space="preserve">[شماره صفحه واقعی : 584]
</w:t>
      </w:r>
    </w:p>
    <w:p>
      <w:pPr>
        <w:sectPr>
          <w:footerReference w:type="default" r:id="rId1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شبّه لهم و رُفع کعیسی-علی نبیّنا و آله و علیه السلام-.</w:t>
      </w:r>
    </w:p>
    <w:p>
      <w:pPr>
        <w:pStyle w:val="BookText"/>
      </w:pPr>
      <w:r>
        <w:rPr>
          <w:rFonts w:ascii="IRNazanin" w:hAnsi="IRNazanin" w:eastAsia="IRNazanin" w:cs="IRNazanin"/>
          <w:lang w:bidi="fa-IR"/>
          <w:color w:val="111111"/>
          <w:sz w:val="28"/>
          <w:szCs w:val="28"/>
          <w:rtl/>
        </w:rPr>
        <w:t xml:space="preserve">[*ستوده]</w:t>
      </w:r>
    </w:p>
    <w:p>
      <w:pPr>
        <w:pStyle w:val="BookText"/>
      </w:pPr>
      <w:r>
        <w:rPr>
          <w:rFonts w:ascii="IRNazanin" w:hAnsi="IRNazanin" w:eastAsia="IRNazanin" w:cs="IRNazanin"/>
          <w:lang w:bidi="fa-IR"/>
          <w:color w:val="111111"/>
          <w:sz w:val="28"/>
          <w:szCs w:val="28"/>
          <w:rtl/>
        </w:rPr>
        <w:t xml:space="preserve">و تعمیم الحجّة علی معنی یشمل الملکیة،و </w:t>
      </w:r>
      <w:r>
        <w:rPr>
          <w:rStyle w:val="FootnoteReference"/>
        </w:rPr>
        <w:footnoteReference w:id="4380"/>
      </w:r>
      <w:r>
        <w:rPr>
          <w:rFonts w:ascii="IRNazanin" w:hAnsi="IRNazanin" w:eastAsia="IRNazanin" w:cs="IRNazanin"/>
          <w:lang w:bidi="fa-IR"/>
          <w:color w:val="111111"/>
          <w:sz w:val="28"/>
          <w:szCs w:val="28"/>
          <w:rtl/>
        </w:rPr>
        <w:t xml:space="preserve">تعمیم السبیل </w:t>
      </w:r>
      <w:r>
        <w:rPr>
          <w:rStyle w:val="FootnoteReference"/>
        </w:rPr>
        <w:footnoteReference w:id="4381"/>
      </w:r>
      <w:r>
        <w:rPr>
          <w:rFonts w:ascii="IRNazanin" w:hAnsi="IRNazanin" w:eastAsia="IRNazanin" w:cs="IRNazanin"/>
          <w:lang w:bidi="fa-IR"/>
          <w:color w:val="111111"/>
          <w:sz w:val="28"/>
          <w:szCs w:val="28"/>
          <w:rtl/>
        </w:rPr>
        <w:t xml:space="preserve">علی وجه یشمل الاحتجاج و الاستیلاء لا یخلو عن تکلّف.</w:t>
      </w:r>
    </w:p>
    <w:p>
      <w:pPr>
        <w:pStyle w:val="BookText"/>
      </w:pPr>
      <w:r>
        <w:rPr>
          <w:rFonts w:ascii="IRNazanin" w:hAnsi="IRNazanin" w:eastAsia="IRNazanin" w:cs="IRNazanin"/>
          <w:lang w:bidi="fa-IR"/>
          <w:color w:val="111111"/>
          <w:sz w:val="28"/>
          <w:szCs w:val="28"/>
          <w:rtl/>
        </w:rPr>
        <w:t xml:space="preserve">و ثالثةً:من حیث تعارض عموم الآیة مع عموم ما دلّ علی صحّة البیع </w:t>
      </w:r>
      <w:r>
        <w:rPr>
          <w:rStyle w:val="FootnoteReference"/>
        </w:rPr>
        <w:footnoteReference w:id="4382"/>
      </w:r>
      <w:r>
        <w:rPr>
          <w:rFonts w:ascii="IRNazanin" w:hAnsi="IRNazanin" w:eastAsia="IRNazanin" w:cs="IRNazanin"/>
          <w:lang w:bidi="fa-IR"/>
          <w:color w:val="111111"/>
          <w:sz w:val="28"/>
          <w:szCs w:val="28"/>
          <w:rtl/>
        </w:rPr>
        <w:t xml:space="preserve">،و وجوب الوفاء بالعقود </w:t>
      </w:r>
      <w:r>
        <w:rPr>
          <w:rStyle w:val="FootnoteReference"/>
        </w:rPr>
        <w:footnoteReference w:id="4383"/>
      </w:r>
      <w:r>
        <w:rPr>
          <w:rFonts w:ascii="IRNazanin" w:hAnsi="IRNazanin" w:eastAsia="IRNazanin" w:cs="IRNazanin"/>
          <w:lang w:bidi="fa-IR"/>
          <w:color w:val="111111"/>
          <w:sz w:val="28"/>
          <w:szCs w:val="28"/>
          <w:rtl/>
        </w:rPr>
        <w:t xml:space="preserve">،و حِلّ أکل المال بالتجارة </w:t>
      </w:r>
      <w:r>
        <w:rPr>
          <w:rStyle w:val="FootnoteReference"/>
        </w:rPr>
        <w:footnoteReference w:id="4384"/>
      </w:r>
      <w:r>
        <w:rPr>
          <w:rFonts w:ascii="IRNazanin" w:hAnsi="IRNazanin" w:eastAsia="IRNazanin" w:cs="IRNazanin"/>
          <w:lang w:bidi="fa-IR"/>
          <w:color w:val="111111"/>
          <w:sz w:val="28"/>
          <w:szCs w:val="28"/>
          <w:rtl/>
        </w:rPr>
        <w:t xml:space="preserve">، و تسلّط الناس علی أموالهم </w:t>
      </w:r>
      <w:r>
        <w:rPr>
          <w:rStyle w:val="FootnoteReference"/>
        </w:rPr>
        <w:footnoteReference w:id="4385"/>
      </w:r>
      <w:r>
        <w:rPr>
          <w:rFonts w:ascii="IRNazanin" w:hAnsi="IRNazanin" w:eastAsia="IRNazanin" w:cs="IRNazanin"/>
          <w:lang w:bidi="fa-IR"/>
          <w:color w:val="111111"/>
          <w:sz w:val="28"/>
          <w:szCs w:val="28"/>
          <w:rtl/>
        </w:rPr>
        <w:t xml:space="preserve">،و حکومة الآیة علیها غیر معلومة.</w:t>
      </w:r>
    </w:p>
    <w:p>
      <w:pPr>
        <w:pStyle w:val="BookText"/>
      </w:pPr>
      <w:r>
        <w:rPr>
          <w:rFonts w:ascii="IRNazanin" w:hAnsi="IRNazanin" w:eastAsia="IRNazanin" w:cs="IRNazanin"/>
          <w:lang w:bidi="fa-IR"/>
          <w:color w:val="111111"/>
          <w:sz w:val="28"/>
          <w:szCs w:val="28"/>
          <w:rtl/>
        </w:rPr>
        <w:t xml:space="preserve">و إباء سیاق الآیة عن التخصیص مع وجوب الالتزام به فی طرف الاستدامة،و فی کثیر من الفروع فی الابتداء </w:t>
      </w:r>
      <w:r>
        <w:rPr>
          <w:rStyle w:val="FootnoteReference"/>
        </w:rPr>
        <w:footnoteReference w:id="4386"/>
      </w:r>
      <w:r>
        <w:rPr>
          <w:rFonts w:ascii="IRNazanin" w:hAnsi="IRNazanin" w:eastAsia="IRNazanin" w:cs="IRNazanin"/>
          <w:lang w:bidi="fa-IR"/>
          <w:color w:val="111111"/>
          <w:sz w:val="28"/>
          <w:szCs w:val="28"/>
          <w:rtl/>
        </w:rPr>
        <w:t xml:space="preserve">،یقرّب تفسیر السبیل بما لا یشمل الملکیة،بأن یراد من السبیل السلطنة،فیحکم بتحقّق الملک و عدم تحقّق السلطنة،بل یکون محجوراً علیه مجبوراً علی بیعه.</w:t>
      </w:r>
    </w:p>
    <w:p>
      <w:pPr>
        <w:pStyle w:val="BookText"/>
      </w:pPr>
      <w:r>
        <w:rPr>
          <w:rFonts w:ascii="IRNazanin" w:hAnsi="IRNazanin" w:eastAsia="IRNazanin" w:cs="IRNazanin"/>
          <w:lang w:bidi="fa-IR"/>
          <w:color w:val="111111"/>
          <w:sz w:val="28"/>
          <w:szCs w:val="28"/>
          <w:rtl/>
        </w:rPr>
        <w:t xml:space="preserve">و هذا و إن اقتضی </w:t>
      </w:r>
      <w:r>
        <w:rPr>
          <w:rStyle w:val="FootnoteReference"/>
        </w:rPr>
        <w:footnoteReference w:id="4387"/>
      </w:r>
      <w:r>
        <w:rPr>
          <w:rFonts w:ascii="IRNazanin" w:hAnsi="IRNazanin" w:eastAsia="IRNazanin" w:cs="IRNazanin"/>
          <w:lang w:bidi="fa-IR"/>
          <w:color w:val="111111"/>
          <w:sz w:val="28"/>
          <w:szCs w:val="28"/>
          <w:rtl/>
        </w:rPr>
        <w:t xml:space="preserve">التقیید فی إطلاق ما دلّ علی استقلال الناس</w:t>
      </w:r>
    </w:p>
    <w:p>
      <w:pPr>
        <w:pStyle w:val="BookText"/>
      </w:pPr>
      <w:r>
        <w:rPr>
          <w:rFonts w:ascii="IRNazanin" w:hAnsi="IRNazanin" w:eastAsia="IRNazanin" w:cs="IRNazanin"/>
          <w:lang w:bidi="fa-IR"/>
          <w:color w:val="111111"/>
          <w:sz w:val="28"/>
          <w:szCs w:val="28"/>
          <w:rtl/>
        </w:rPr>
        <w:t xml:space="preserve">[شماره صفحه واقعی : 585]
</w:t>
      </w:r>
    </w:p>
    <w:p>
      <w:pPr>
        <w:sectPr>
          <w:footerReference w:type="default" r:id="rId1264"/>
          <w:footnotePr>
            <w:numStart w:val="1"/>
            <w:numRestart w:val="eachPage"/>
          </w:footnotePr>
          <w:pgSz w:orient="portrait" w:w="11905.511811023622" w:h="16837.79527559055"/>
          <w:pgMar w:top="1440" w:right="1440" w:bottom="1440" w:left="1440" w:header="720" w:footer="720" w:gutter="0"/>
          <w:cols w:num="1" w:space="720"/>
        </w:sectPr>
      </w:pPr>
    </w:p>
    <w:bookmarkStart w:id="704" w:name="pg14411_143646"/>
    <w:bookmarkEnd w:id="704"/>
    <w:p>
      <w:pPr>
        <w:pStyle w:val="BookText"/>
      </w:pPr>
      <w:r>
        <w:rPr>
          <w:rFonts w:ascii="IRNazanin" w:hAnsi="IRNazanin" w:eastAsia="IRNazanin" w:cs="IRNazanin"/>
          <w:lang w:bidi="fa-IR"/>
          <w:color w:val="111111"/>
          <w:sz w:val="28"/>
          <w:szCs w:val="28"/>
          <w:rtl/>
        </w:rPr>
        <w:t xml:space="preserve">فی أموالهم و عدم حجرهم بها،لکنّه مع ملاحظة وقوع مثله کثیراً فی موارد الحجر علی المالک أهون من ارتکاب التخصیص فی الآیة المسوقة لبیان أنّ الجعل شیءٌ لم یکن و لن یکون،و أنّ نفی الجعل ناشٍ عن احترام المؤمن الذی لا یقیّد بحال دون حال.</w:t>
      </w:r>
    </w:p>
    <w:p>
      <w:pPr>
        <w:pStyle w:val="BookText"/>
      </w:pPr>
      <w:r>
        <w:rPr>
          <w:rFonts w:ascii="IRNazanin" w:hAnsi="IRNazanin" w:eastAsia="IRNazanin" w:cs="IRNazanin"/>
          <w:lang w:bidi="fa-IR"/>
          <w:color w:val="111111"/>
          <w:sz w:val="28"/>
          <w:szCs w:val="28"/>
          <w:rtl/>
        </w:rPr>
        <w:t xml:space="preserve">هذا،مضافاً إلی أنّ استصحاب الصحّة فی بعض المقامات یقتضی الصحّة،کما إذا کان الکافر مسبوقاً بالإسلام-بناءً علی شمول الحکم لمن کفر عن الإسلام-أو کان العبد مسبوقاً بالکفر،فیثبت فی غیره بعدم الفصل،و لا یعارضه أصالة الفساد فی غیر هذه الموارد؛لأنّ استصحاب الصحّة مقدّم علیها،فتأمّل.</w:t>
      </w:r>
    </w:p>
    <w:p>
      <w:pPr>
        <w:pStyle w:val="BookText"/>
      </w:pPr>
      <w:r>
        <w:rPr>
          <w:rFonts w:ascii="IRNazanin" w:hAnsi="IRNazanin" w:eastAsia="IRNazanin" w:cs="IRNazanin"/>
          <w:lang w:bidi="fa-IR"/>
          <w:color w:val="111111"/>
          <w:sz w:val="28"/>
          <w:szCs w:val="28"/>
          <w:rtl/>
        </w:rPr>
        <w:t xml:space="preserve">ثمّ إنّ الظاهر أنّه لا فرق بین البیع و أنواع التملیکات کالهبة و الوصیّة.</w:t>
      </w:r>
    </w:p>
    <w:p>
      <w:pPr>
        <w:pStyle w:val="Heading6"/>
      </w:pPr>
      <w:bookmarkStart w:id="2391" w:name="_Toc1426"/>
      <w:r>
        <w:t>[تملیک منافع المسلم من الکافر]</w:t>
      </w:r>
      <w:bookmarkEnd w:id="2391"/>
    </w:p>
    <w:p>
      <w:pPr>
        <w:pStyle w:val="BookText"/>
      </w:pPr>
      <w:r>
        <w:rPr>
          <w:rFonts w:ascii="IRNazanin" w:hAnsi="IRNazanin" w:eastAsia="IRNazanin" w:cs="IRNazanin"/>
          <w:lang w:bidi="fa-IR"/>
          <w:color w:val="111111"/>
          <w:sz w:val="28"/>
          <w:szCs w:val="28"/>
          <w:rtl/>
        </w:rPr>
        <w:t xml:space="preserve">و أمّا تملیک المنافع،ففی الجواز مطلقاً کما یظهر من التذکرة </w:t>
      </w:r>
      <w:r>
        <w:rPr>
          <w:rStyle w:val="FootnoteReference"/>
        </w:rPr>
        <w:footnoteReference w:id="4388"/>
      </w:r>
      <w:r>
        <w:rPr>
          <w:rFonts w:ascii="IRNazanin" w:hAnsi="IRNazanin" w:eastAsia="IRNazanin" w:cs="IRNazanin"/>
          <w:lang w:bidi="fa-IR"/>
          <w:color w:val="111111"/>
          <w:sz w:val="28"/>
          <w:szCs w:val="28"/>
          <w:rtl/>
        </w:rPr>
        <w:t xml:space="preserve">، و مقرّب النهایة </w:t>
      </w:r>
      <w:r>
        <w:rPr>
          <w:rStyle w:val="FootnoteReference"/>
        </w:rPr>
        <w:footnoteReference w:id="4389"/>
      </w:r>
      <w:r>
        <w:rPr>
          <w:rFonts w:ascii="IRNazanin" w:hAnsi="IRNazanin" w:eastAsia="IRNazanin" w:cs="IRNazanin"/>
          <w:lang w:bidi="fa-IR"/>
          <w:color w:val="111111"/>
          <w:sz w:val="28"/>
          <w:szCs w:val="28"/>
          <w:rtl/>
        </w:rPr>
        <w:t xml:space="preserve">،بل ظاهر المحکی عن الخلاف </w:t>
      </w:r>
      <w:r>
        <w:rPr>
          <w:rStyle w:val="FootnoteReference"/>
        </w:rPr>
        <w:footnoteReference w:id="4390"/>
      </w:r>
      <w:r>
        <w:rPr>
          <w:rFonts w:ascii="IRNazanin" w:hAnsi="IRNazanin" w:eastAsia="IRNazanin" w:cs="IRNazanin"/>
          <w:lang w:bidi="fa-IR"/>
          <w:color w:val="111111"/>
          <w:sz w:val="28"/>
          <w:szCs w:val="28"/>
          <w:rtl/>
        </w:rPr>
        <w:t xml:space="preserve">،أو مع وقوع الإجارة علی الذمّة کما عن الحواشی </w:t>
      </w:r>
      <w:r>
        <w:rPr>
          <w:rStyle w:val="FootnoteReference"/>
        </w:rPr>
        <w:footnoteReference w:id="4391"/>
      </w:r>
      <w:r>
        <w:rPr>
          <w:rFonts w:ascii="IRNazanin" w:hAnsi="IRNazanin" w:eastAsia="IRNazanin" w:cs="IRNazanin"/>
          <w:lang w:bidi="fa-IR"/>
          <w:color w:val="111111"/>
          <w:sz w:val="28"/>
          <w:szCs w:val="28"/>
          <w:rtl/>
        </w:rPr>
        <w:t xml:space="preserve">و جامع المقاصد </w:t>
      </w:r>
      <w:r>
        <w:rPr>
          <w:rStyle w:val="FootnoteReference"/>
        </w:rPr>
        <w:footnoteReference w:id="4392"/>
      </w:r>
      <w:r>
        <w:rPr>
          <w:rFonts w:ascii="IRNazanin" w:hAnsi="IRNazanin" w:eastAsia="IRNazanin" w:cs="IRNazanin"/>
          <w:lang w:bidi="fa-IR"/>
          <w:color w:val="111111"/>
          <w:sz w:val="28"/>
          <w:szCs w:val="28"/>
          <w:rtl/>
        </w:rPr>
        <w:t xml:space="preserve">و المسالک </w:t>
      </w:r>
      <w:r>
        <w:rPr>
          <w:rStyle w:val="FootnoteReference"/>
        </w:rPr>
        <w:footnoteReference w:id="4393"/>
      </w:r>
      <w:r>
        <w:rPr>
          <w:rFonts w:ascii="IRNazanin" w:hAnsi="IRNazanin" w:eastAsia="IRNazanin" w:cs="IRNazanin"/>
          <w:lang w:bidi="fa-IR"/>
          <w:color w:val="111111"/>
          <w:sz w:val="28"/>
          <w:szCs w:val="28"/>
          <w:rtl/>
        </w:rPr>
        <w:t xml:space="preserve">،أو مع کون</w:t>
      </w:r>
    </w:p>
    <w:p>
      <w:pPr>
        <w:pStyle w:val="BookText"/>
      </w:pPr>
      <w:r>
        <w:rPr>
          <w:rFonts w:ascii="IRNazanin" w:hAnsi="IRNazanin" w:eastAsia="IRNazanin" w:cs="IRNazanin"/>
          <w:lang w:bidi="fa-IR"/>
          <w:color w:val="111111"/>
          <w:sz w:val="28"/>
          <w:szCs w:val="28"/>
          <w:rtl/>
        </w:rPr>
        <w:t xml:space="preserve">[شماره صفحه واقعی : 586]
</w:t>
      </w:r>
    </w:p>
    <w:p>
      <w:pPr>
        <w:sectPr>
          <w:footerReference w:type="default" r:id="rId1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المسلم الأجیر حرّا کما عن ظاهر الدروس </w:t>
      </w:r>
      <w:r>
        <w:rPr>
          <w:rStyle w:val="FootnoteReference"/>
        </w:rPr>
        <w:footnoteReference w:id="4394"/>
      </w:r>
      <w:r>
        <w:rPr>
          <w:rFonts w:ascii="IRNazanin" w:hAnsi="IRNazanin" w:eastAsia="IRNazanin" w:cs="IRNazanin"/>
          <w:lang w:bidi="fa-IR"/>
          <w:color w:val="111111"/>
          <w:sz w:val="28"/>
          <w:szCs w:val="28"/>
          <w:rtl/>
        </w:rPr>
        <w:t xml:space="preserve">،أو المنع مطلقاً کما هو ظاهر القواعد </w:t>
      </w:r>
      <w:r>
        <w:rPr>
          <w:rStyle w:val="FootnoteReference"/>
        </w:rPr>
        <w:footnoteReference w:id="4395"/>
      </w:r>
      <w:r>
        <w:rPr>
          <w:rFonts w:ascii="IRNazanin" w:hAnsi="IRNazanin" w:eastAsia="IRNazanin" w:cs="IRNazanin"/>
          <w:lang w:bidi="fa-IR"/>
          <w:color w:val="111111"/>
          <w:sz w:val="28"/>
          <w:szCs w:val="28"/>
          <w:rtl/>
        </w:rPr>
        <w:t xml:space="preserve">و محکیّ الإیضاح </w:t>
      </w:r>
      <w:r>
        <w:rPr>
          <w:rStyle w:val="FootnoteReference"/>
        </w:rPr>
        <w:footnoteReference w:id="4396"/>
      </w:r>
      <w:r>
        <w:rPr>
          <w:rFonts w:ascii="IRNazanin" w:hAnsi="IRNazanin" w:eastAsia="IRNazanin" w:cs="IRNazanin"/>
          <w:lang w:bidi="fa-IR"/>
          <w:color w:val="111111"/>
          <w:sz w:val="28"/>
          <w:szCs w:val="28"/>
          <w:rtl/>
        </w:rPr>
        <w:t xml:space="preserve">،أقوال:</w:t>
      </w:r>
    </w:p>
    <w:p>
      <w:pPr>
        <w:pStyle w:val="BookText"/>
      </w:pPr>
      <w:r>
        <w:rPr>
          <w:rFonts w:ascii="IRNazanin" w:hAnsi="IRNazanin" w:eastAsia="IRNazanin" w:cs="IRNazanin"/>
          <w:lang w:bidi="fa-IR"/>
          <w:color w:val="111111"/>
          <w:sz w:val="28"/>
          <w:szCs w:val="28"/>
          <w:rtl/>
        </w:rPr>
        <w:t xml:space="preserve">أظهرها الثانی،فإنّه کالدین لیس ذلک سبیلاً،فیجوز.</w:t>
      </w:r>
    </w:p>
    <w:p>
      <w:pPr>
        <w:pStyle w:val="BookText"/>
      </w:pPr>
      <w:r>
        <w:rPr>
          <w:rFonts w:ascii="IRNazanin" w:hAnsi="IRNazanin" w:eastAsia="IRNazanin" w:cs="IRNazanin"/>
          <w:lang w:bidi="fa-IR"/>
          <w:color w:val="111111"/>
          <w:sz w:val="28"/>
          <w:szCs w:val="28"/>
          <w:rtl/>
        </w:rPr>
        <w:t xml:space="preserve">و لا فرق بین الحرّ و العبد،کما هو ظاهر إطلاق کثیر:کالتذکرة </w:t>
      </w:r>
      <w:r>
        <w:rPr>
          <w:rStyle w:val="FootnoteReference"/>
        </w:rPr>
        <w:footnoteReference w:id="4397"/>
      </w:r>
      <w:r>
        <w:rPr>
          <w:rFonts w:ascii="IRNazanin" w:hAnsi="IRNazanin" w:eastAsia="IRNazanin" w:cs="IRNazanin"/>
          <w:lang w:bidi="fa-IR"/>
          <w:color w:val="111111"/>
          <w:sz w:val="28"/>
          <w:szCs w:val="28"/>
          <w:rtl/>
        </w:rPr>
        <w:t xml:space="preserve">و حواشی الشهید </w:t>
      </w:r>
      <w:r>
        <w:rPr>
          <w:rStyle w:val="FootnoteReference"/>
        </w:rPr>
        <w:footnoteReference w:id="4398"/>
      </w:r>
      <w:r>
        <w:rPr>
          <w:rFonts w:ascii="IRNazanin" w:hAnsi="IRNazanin" w:eastAsia="IRNazanin" w:cs="IRNazanin"/>
          <w:lang w:bidi="fa-IR"/>
          <w:color w:val="111111"/>
          <w:sz w:val="28"/>
          <w:szCs w:val="28"/>
          <w:rtl/>
        </w:rPr>
        <w:t xml:space="preserve">و جامع المقاصد </w:t>
      </w:r>
      <w:r>
        <w:rPr>
          <w:rStyle w:val="FootnoteReference"/>
        </w:rPr>
        <w:footnoteReference w:id="4399"/>
      </w:r>
      <w:r>
        <w:rPr>
          <w:rFonts w:ascii="IRNazanin" w:hAnsi="IRNazanin" w:eastAsia="IRNazanin" w:cs="IRNazanin"/>
          <w:lang w:bidi="fa-IR"/>
          <w:color w:val="111111"/>
          <w:sz w:val="28"/>
          <w:szCs w:val="28"/>
          <w:rtl/>
        </w:rPr>
        <w:t xml:space="preserve">،بل ظاهر المحکیّ عن الخلاف:نفی الخلاف فیه،حیث قال فیه:إذا استأجر کافر مسلماً لعمل فی الذمّة صحّ بلا خلاف،و إذا استأجره مدّة من الزمان شهراً أو سنة لیعمل عملاً صحّ أیضاً عندنا </w:t>
      </w:r>
      <w:r>
        <w:rPr>
          <w:rStyle w:val="FootnoteReference"/>
        </w:rPr>
        <w:footnoteReference w:id="4400"/>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ادّعی فی الإیضاح:أنّه لم ینقل من الأُمّة فرق بین الدین و بین الثابت فی الذمّة بالاستئجار </w:t>
      </w:r>
      <w:r>
        <w:rPr>
          <w:rStyle w:val="FootnoteReference"/>
        </w:rPr>
        <w:footnoteReference w:id="44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خلافاً للقواعد </w:t>
      </w:r>
      <w:r>
        <w:rPr>
          <w:rStyle w:val="FootnoteReference"/>
        </w:rPr>
        <w:footnoteReference w:id="4402"/>
      </w:r>
      <w:r>
        <w:rPr>
          <w:rFonts w:ascii="IRNazanin" w:hAnsi="IRNazanin" w:eastAsia="IRNazanin" w:cs="IRNazanin"/>
          <w:lang w:bidi="fa-IR"/>
          <w:color w:val="111111"/>
          <w:sz w:val="28"/>
          <w:szCs w:val="28"/>
          <w:rtl/>
        </w:rPr>
        <w:t xml:space="preserve">و ظاهر الإیضاح </w:t>
      </w:r>
      <w:r>
        <w:rPr>
          <w:rStyle w:val="FootnoteReference"/>
        </w:rPr>
        <w:footnoteReference w:id="4403"/>
      </w:r>
      <w:r>
        <w:rPr>
          <w:rFonts w:ascii="IRNazanin" w:hAnsi="IRNazanin" w:eastAsia="IRNazanin" w:cs="IRNazanin"/>
          <w:lang w:bidi="fa-IR"/>
          <w:color w:val="111111"/>
          <w:sz w:val="28"/>
          <w:szCs w:val="28"/>
          <w:rtl/>
        </w:rPr>
        <w:t xml:space="preserve">،فالمنع مطلقاً؛لکونه سبیلاً.</w:t>
      </w:r>
    </w:p>
    <w:p>
      <w:pPr>
        <w:pStyle w:val="BookText"/>
      </w:pPr>
      <w:r>
        <w:rPr>
          <w:rFonts w:ascii="IRNazanin" w:hAnsi="IRNazanin" w:eastAsia="IRNazanin" w:cs="IRNazanin"/>
          <w:lang w:bidi="fa-IR"/>
          <w:color w:val="111111"/>
          <w:sz w:val="28"/>
          <w:szCs w:val="28"/>
          <w:rtl/>
        </w:rPr>
        <w:t xml:space="preserve">[شماره صفحه واقعی : 587]
</w:t>
      </w:r>
    </w:p>
    <w:p>
      <w:pPr>
        <w:sectPr>
          <w:footerReference w:type="default" r:id="rId1266"/>
          <w:footnotePr>
            <w:numStart w:val="1"/>
            <w:numRestart w:val="eachPage"/>
          </w:footnotePr>
          <w:pgSz w:orient="portrait" w:w="11905.511811023622" w:h="16837.79527559055"/>
          <w:pgMar w:top="1440" w:right="1440" w:bottom="1440" w:left="1440" w:header="720" w:footer="720" w:gutter="0"/>
          <w:cols w:num="1" w:space="720"/>
        </w:sectPr>
      </w:pPr>
    </w:p>
    <w:bookmarkStart w:id="705" w:name="pg14411_143648"/>
    <w:bookmarkEnd w:id="705"/>
    <w:p>
      <w:pPr>
        <w:pStyle w:val="BookText"/>
      </w:pPr>
      <w:r>
        <w:rPr>
          <w:rFonts w:ascii="IRNazanin" w:hAnsi="IRNazanin" w:eastAsia="IRNazanin" w:cs="IRNazanin"/>
          <w:lang w:bidi="fa-IR"/>
          <w:color w:val="111111"/>
          <w:sz w:val="28"/>
          <w:szCs w:val="28"/>
          <w:rtl/>
        </w:rPr>
        <w:t xml:space="preserve">و ظاهر الدروس:التفصیل </w:t>
      </w:r>
      <w:r>
        <w:rPr>
          <w:rStyle w:val="FootnoteReference"/>
        </w:rPr>
        <w:footnoteReference w:id="4404"/>
      </w:r>
      <w:r>
        <w:rPr>
          <w:rFonts w:ascii="IRNazanin" w:hAnsi="IRNazanin" w:eastAsia="IRNazanin" w:cs="IRNazanin"/>
          <w:lang w:bidi="fa-IR"/>
          <w:color w:val="111111"/>
          <w:sz w:val="28"/>
          <w:szCs w:val="28"/>
          <w:rtl/>
        </w:rPr>
        <w:t xml:space="preserve">بین العبد و الحرّ،فیجوز فی الثانی دون الأوّل،حیث ذکر بعد أن منع إجارة العبد المسلم الکافر مطلقاً،قال:و جوّزها الفاضل،و الظاهر أنّه أراد إجارة الحرّ المسلم </w:t>
      </w:r>
      <w:r>
        <w:rPr>
          <w:rStyle w:val="FootnoteReference"/>
        </w:rPr>
        <w:footnoteReference w:id="4405"/>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 فیه نظر؛لأنّ ظاهر الفاضل فی التذکرة:جواز إجارة العبد المسلم مطلقاً و لو کانت علی العین.</w:t>
      </w:r>
    </w:p>
    <w:p>
      <w:pPr>
        <w:pStyle w:val="BookText"/>
      </w:pPr>
      <w:r>
        <w:rPr>
          <w:rFonts w:ascii="IRNazanin" w:hAnsi="IRNazanin" w:eastAsia="IRNazanin" w:cs="IRNazanin"/>
          <w:lang w:bidi="fa-IR"/>
          <w:color w:val="111111"/>
          <w:sz w:val="28"/>
          <w:szCs w:val="28"/>
          <w:rtl/>
        </w:rPr>
        <w:t xml:space="preserve">نعم،یمکن توجیه الفرق بأنّ ید المستأجر علی الملک الذی مَلِک منفعته،بخلاف الحرّ؛فإنّه لا یثبت للمستأجر ید علیه و لا علی منفعته، خصوصاً لو قلنا بأنّ إجارة الحرّ تملیک الانتفاع لا المنفعة،فتأمّل.</w:t>
      </w:r>
    </w:p>
    <w:p>
      <w:pPr>
        <w:pStyle w:val="Heading6"/>
      </w:pPr>
      <w:bookmarkStart w:id="2392" w:name="_Toc1427"/>
      <w:r>
        <w:t>[ارتهان العبد المسلم عند الکافر]</w:t>
      </w:r>
      <w:bookmarkEnd w:id="2392"/>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[*ستوده]</w:t>
      </w:r>
    </w:p>
    <w:p>
      <w:pPr>
        <w:pStyle w:val="BookText"/>
      </w:pPr>
      <w:r>
        <w:rPr>
          <w:rFonts w:ascii="IRNazanin" w:hAnsi="IRNazanin" w:eastAsia="IRNazanin" w:cs="IRNazanin"/>
          <w:lang w:bidi="fa-IR"/>
          <w:color w:val="111111"/>
          <w:sz w:val="28"/>
          <w:szCs w:val="28"/>
          <w:rtl/>
        </w:rPr>
        <w:t xml:space="preserve">و أمّا الارتهان عند الکافر،ففی جوازه مطلقاً،کما عن ظاهر نهایة الإحکام </w:t>
      </w:r>
      <w:r>
        <w:rPr>
          <w:rStyle w:val="FootnoteReference"/>
        </w:rPr>
        <w:footnoteReference w:id="4406"/>
      </w:r>
      <w:r>
        <w:rPr>
          <w:rFonts w:ascii="IRNazanin" w:hAnsi="IRNazanin" w:eastAsia="IRNazanin" w:cs="IRNazanin"/>
          <w:lang w:bidi="fa-IR"/>
          <w:color w:val="111111"/>
          <w:sz w:val="28"/>
          <w:szCs w:val="28"/>
          <w:rtl/>
        </w:rPr>
        <w:t xml:space="preserve">،أو المنع،کما فی القواعد </w:t>
      </w:r>
      <w:r>
        <w:rPr>
          <w:rStyle w:val="FootnoteReference"/>
        </w:rPr>
        <w:footnoteReference w:id="4407"/>
      </w:r>
      <w:r>
        <w:rPr>
          <w:rFonts w:ascii="IRNazanin" w:hAnsi="IRNazanin" w:eastAsia="IRNazanin" w:cs="IRNazanin"/>
          <w:lang w:bidi="fa-IR"/>
          <w:color w:val="111111"/>
          <w:sz w:val="28"/>
          <w:szCs w:val="28"/>
          <w:rtl/>
        </w:rPr>
        <w:t xml:space="preserve">و الإیضاح </w:t>
      </w:r>
      <w:r>
        <w:rPr>
          <w:rStyle w:val="FootnoteReference"/>
        </w:rPr>
        <w:footnoteReference w:id="4408"/>
      </w:r>
      <w:r>
        <w:rPr>
          <w:rFonts w:ascii="IRNazanin" w:hAnsi="IRNazanin" w:eastAsia="IRNazanin" w:cs="IRNazanin"/>
          <w:lang w:bidi="fa-IR"/>
          <w:color w:val="111111"/>
          <w:sz w:val="28"/>
          <w:szCs w:val="28"/>
          <w:rtl/>
        </w:rPr>
        <w:t xml:space="preserve">،أو التفصیل بین ما لم یکن تحت ید الکافر-کما إذا وضعاه عند مسلم-کما عن ظاهر المبسوط </w:t>
      </w:r>
      <w:r>
        <w:rPr>
          <w:rStyle w:val="FootnoteReference"/>
        </w:rPr>
        <w:footnoteReference w:id="4409"/>
      </w:r>
      <w:r>
        <w:rPr>
          <w:rFonts w:ascii="IRNazanin" w:hAnsi="IRNazanin" w:eastAsia="IRNazanin" w:cs="IRNazanin"/>
          <w:lang w:bidi="fa-IR"/>
          <w:color w:val="111111"/>
          <w:sz w:val="28"/>
          <w:szCs w:val="28"/>
          <w:rtl/>
        </w:rPr>
        <w:t xml:space="preserve">و القواعد </w:t>
      </w:r>
      <w:r>
        <w:rPr>
          <w:rStyle w:val="FootnoteReference"/>
        </w:rPr>
        <w:footnoteReference w:id="4410"/>
      </w:r>
      <w:r>
        <w:rPr>
          <w:rFonts w:ascii="IRNazanin" w:hAnsi="IRNazanin" w:eastAsia="IRNazanin" w:cs="IRNazanin"/>
          <w:lang w:bidi="fa-IR"/>
          <w:color w:val="111111"/>
          <w:sz w:val="28"/>
          <w:szCs w:val="28"/>
          <w:rtl/>
        </w:rPr>
        <w:t xml:space="preserve">و الإیضاح فی کتاب الرهن </w:t>
      </w:r>
      <w:r>
        <w:rPr>
          <w:rStyle w:val="FootnoteReference"/>
        </w:rPr>
        <w:footnoteReference w:id="4411"/>
      </w:r>
      <w:r>
        <w:rPr>
          <w:rFonts w:ascii="IRNazanin" w:hAnsi="IRNazanin" w:eastAsia="IRNazanin" w:cs="IRNazanin"/>
          <w:lang w:bidi="fa-IR"/>
          <w:color w:val="111111"/>
          <w:sz w:val="28"/>
          <w:szCs w:val="28"/>
          <w:rtl/>
        </w:rPr>
        <w:t xml:space="preserve">و الدروس </w:t>
      </w:r>
      <w:r>
        <w:rPr>
          <w:rStyle w:val="FootnoteReference"/>
        </w:rPr>
        <w:footnoteReference w:id="4412"/>
      </w:r>
      <w:r>
        <w:rPr>
          <w:rFonts w:ascii="IRNazanin" w:hAnsi="IRNazanin" w:eastAsia="IRNazanin" w:cs="IRNazanin"/>
          <w:lang w:bidi="fa-IR"/>
          <w:color w:val="111111"/>
          <w:sz w:val="28"/>
          <w:szCs w:val="28"/>
          <w:rtl/>
        </w:rPr>
        <w:t xml:space="preserve">و جامع</w:t>
      </w:r>
    </w:p>
    <w:p>
      <w:pPr>
        <w:pStyle w:val="BookText"/>
      </w:pPr>
      <w:r>
        <w:rPr>
          <w:rFonts w:ascii="IRNazanin" w:hAnsi="IRNazanin" w:eastAsia="IRNazanin" w:cs="IRNazanin"/>
          <w:lang w:bidi="fa-IR"/>
          <w:color w:val="111111"/>
          <w:sz w:val="28"/>
          <w:szCs w:val="28"/>
          <w:rtl/>
        </w:rPr>
        <w:t xml:space="preserve">[شماره صفحه واقعی : 588]
</w:t>
      </w:r>
    </w:p>
    <w:p>
      <w:pPr>
        <w:sectPr>
          <w:footerReference w:type="default" r:id="rId1267"/>
          <w:footnotePr>
            <w:numStart w:val="1"/>
            <w:numRestart w:val="eachPage"/>
          </w:footnotePr>
          <w:pgSz w:orient="portrait" w:w="11905.511811023622" w:h="16837.79527559055"/>
          <w:pgMar w:top="1440" w:right="1440" w:bottom="1440" w:left="1440" w:header="720" w:footer="720" w:gutter="0"/>
          <w:cols w:num="1" w:space="720"/>
        </w:sectPr>
      </w:pPr>
    </w:p>
    <w:bookmarkStart w:id="706" w:name="pg14411_143649"/>
    <w:bookmarkEnd w:id="706"/>
    <w:p>
      <w:pPr>
        <w:pStyle w:val="BookText"/>
      </w:pPr>
      <w:r>
        <w:rPr>
          <w:rFonts w:ascii="IRNazanin" w:hAnsi="IRNazanin" w:eastAsia="IRNazanin" w:cs="IRNazanin"/>
          <w:lang w:bidi="fa-IR"/>
          <w:color w:val="111111"/>
          <w:sz w:val="28"/>
          <w:szCs w:val="28"/>
          <w:rtl/>
        </w:rPr>
        <w:t xml:space="preserve">المقاصد </w:t>
      </w:r>
      <w:r>
        <w:rPr>
          <w:rStyle w:val="FootnoteReference"/>
        </w:rPr>
        <w:footnoteReference w:id="4413"/>
      </w:r>
      <w:r>
        <w:rPr>
          <w:rFonts w:ascii="IRNazanin" w:hAnsi="IRNazanin" w:eastAsia="IRNazanin" w:cs="IRNazanin"/>
          <w:lang w:bidi="fa-IR"/>
          <w:color w:val="111111"/>
          <w:sz w:val="28"/>
          <w:szCs w:val="28"/>
          <w:rtl/>
        </w:rPr>
        <w:t xml:space="preserve">و المسالک </w:t>
      </w:r>
      <w:r>
        <w:rPr>
          <w:rStyle w:val="FootnoteReference"/>
        </w:rPr>
        <w:footnoteReference w:id="4414"/>
      </w:r>
      <w:r>
        <w:rPr>
          <w:rFonts w:ascii="IRNazanin" w:hAnsi="IRNazanin" w:eastAsia="IRNazanin" w:cs="IRNazanin"/>
          <w:lang w:bidi="fa-IR"/>
          <w:color w:val="111111"/>
          <w:sz w:val="28"/>
          <w:szCs w:val="28"/>
          <w:rtl/>
        </w:rPr>
        <w:t xml:space="preserve">،أو التردّد کما عن </w:t>
      </w:r>
      <w:r>
        <w:rPr>
          <w:rStyle w:val="FootnoteReference"/>
        </w:rPr>
        <w:footnoteReference w:id="4415"/>
      </w:r>
      <w:r>
        <w:rPr>
          <w:rFonts w:ascii="IRNazanin" w:hAnsi="IRNazanin" w:eastAsia="IRNazanin" w:cs="IRNazanin"/>
          <w:lang w:bidi="fa-IR"/>
          <w:color w:val="111111"/>
          <w:sz w:val="28"/>
          <w:szCs w:val="28"/>
          <w:rtl/>
        </w:rPr>
        <w:t xml:space="preserve">التذکرة </w:t>
      </w:r>
      <w:r>
        <w:rPr>
          <w:rStyle w:val="FootnoteReference"/>
        </w:rPr>
        <w:footnoteReference w:id="4416"/>
      </w:r>
      <w:r>
        <w:rPr>
          <w:rFonts w:ascii="IRNazanin" w:hAnsi="IRNazanin" w:eastAsia="IRNazanin" w:cs="IRNazanin"/>
          <w:lang w:bidi="fa-IR"/>
          <w:color w:val="111111"/>
          <w:sz w:val="28"/>
          <w:szCs w:val="28"/>
          <w:rtl/>
        </w:rPr>
        <w:t xml:space="preserve">،وجوه:</w:t>
      </w:r>
    </w:p>
    <w:p>
      <w:pPr>
        <w:pStyle w:val="BookText"/>
      </w:pPr>
      <w:r>
        <w:rPr>
          <w:rFonts w:ascii="IRNazanin" w:hAnsi="IRNazanin" w:eastAsia="IRNazanin" w:cs="IRNazanin"/>
          <w:lang w:bidi="fa-IR"/>
          <w:color w:val="111111"/>
          <w:sz w:val="28"/>
          <w:szCs w:val="28"/>
          <w:rtl/>
        </w:rPr>
        <w:t xml:space="preserve">أقواها الثالث؛لأنّ استحقاق الکافر لکون المسلم فی یده سبیل، بخلاف استحقاقه لأخذ حقّه من ثمنه.</w:t>
      </w:r>
    </w:p>
    <w:p>
      <w:pPr>
        <w:pStyle w:val="Heading6"/>
      </w:pPr>
      <w:bookmarkStart w:id="2393" w:name="_Toc1428"/>
      <w:r>
        <w:t>[إعارة العبد المسلم و إیداعه من الکافر]</w:t>
      </w:r>
      <w:bookmarkEnd w:id="2393"/>
    </w:p>
    <w:p>
      <w:pPr>
        <w:pStyle w:val="BookText"/>
      </w:pPr>
      <w:r>
        <w:rPr>
          <w:rFonts w:ascii="IRNazanin" w:hAnsi="IRNazanin" w:eastAsia="IRNazanin" w:cs="IRNazanin"/>
          <w:lang w:bidi="fa-IR"/>
          <w:color w:val="111111"/>
          <w:sz w:val="28"/>
          <w:szCs w:val="28"/>
          <w:rtl/>
        </w:rPr>
        <w:t xml:space="preserve">و أمّا إعارته من کافر،فلا یبعد المنع،وفاقاً لعاریة القواعد </w:t>
      </w:r>
      <w:r>
        <w:rPr>
          <w:rStyle w:val="FootnoteReference"/>
        </w:rPr>
        <w:footnoteReference w:id="4417"/>
      </w:r>
      <w:r>
        <w:rPr>
          <w:rFonts w:ascii="IRNazanin" w:hAnsi="IRNazanin" w:eastAsia="IRNazanin" w:cs="IRNazanin"/>
          <w:lang w:bidi="fa-IR"/>
          <w:color w:val="111111"/>
          <w:sz w:val="28"/>
          <w:szCs w:val="28"/>
          <w:rtl/>
        </w:rPr>
        <w:t xml:space="preserve">و جامع المقاصد </w:t>
      </w:r>
      <w:r>
        <w:rPr>
          <w:rStyle w:val="FootnoteReference"/>
        </w:rPr>
        <w:footnoteReference w:id="4418"/>
      </w:r>
      <w:r>
        <w:rPr>
          <w:rFonts w:ascii="IRNazanin" w:hAnsi="IRNazanin" w:eastAsia="IRNazanin" w:cs="IRNazanin"/>
          <w:lang w:bidi="fa-IR"/>
          <w:color w:val="111111"/>
          <w:sz w:val="28"/>
          <w:szCs w:val="28"/>
          <w:rtl/>
        </w:rPr>
        <w:t xml:space="preserve">و المسالک </w:t>
      </w:r>
      <w:r>
        <w:rPr>
          <w:rStyle w:val="FootnoteReference"/>
        </w:rPr>
        <w:footnoteReference w:id="4419"/>
      </w:r>
      <w:r>
        <w:rPr>
          <w:rFonts w:ascii="IRNazanin" w:hAnsi="IRNazanin" w:eastAsia="IRNazanin" w:cs="IRNazanin"/>
          <w:lang w:bidi="fa-IR"/>
          <w:color w:val="111111"/>
          <w:sz w:val="28"/>
          <w:szCs w:val="28"/>
          <w:rtl/>
        </w:rPr>
        <w:t xml:space="preserve">،بل عن حواشی الشهید رحمه اللّٰه:أنّ الإعارة و الإیداع أقوی منعاً من الارتهان </w:t>
      </w:r>
      <w:r>
        <w:rPr>
          <w:rStyle w:val="FootnoteReference"/>
        </w:rPr>
        <w:footnoteReference w:id="44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هو حسن فی العاریة؛لأنّها تسلیط علی الانتفاع،فیکون سبیلاً و علوّاً،و محلّ نظر فی الودیعة؛لأنّ التسلیط علی الحفظ و جعل نظره إلیه مشترک بین الرهن و الودیعة،مع زیادة فی الرهن-التی قیل من أجلها بالمنع </w:t>
      </w:r>
      <w:r>
        <w:rPr>
          <w:rStyle w:val="FootnoteReference"/>
        </w:rPr>
        <w:footnoteReference w:id="4421"/>
      </w:r>
      <w:r>
        <w:rPr>
          <w:rFonts w:ascii="IRNazanin" w:hAnsi="IRNazanin" w:eastAsia="IRNazanin" w:cs="IRNazanin"/>
          <w:lang w:bidi="fa-IR"/>
          <w:color w:val="111111"/>
          <w:sz w:val="28"/>
          <w:szCs w:val="28"/>
          <w:rtl/>
        </w:rPr>
        <w:t xml:space="preserve">-و هی التسلّط علی منع المالک عن التصرّف فیه إلّا بإذنه و تسلّطه علی إلزام المالک ببیعه.</w:t>
      </w:r>
    </w:p>
    <w:p>
      <w:pPr>
        <w:pStyle w:val="BookText"/>
      </w:pPr>
      <w:r>
        <w:rPr>
          <w:rFonts w:ascii="IRNazanin" w:hAnsi="IRNazanin" w:eastAsia="IRNazanin" w:cs="IRNazanin"/>
          <w:lang w:bidi="fa-IR"/>
          <w:color w:val="111111"/>
          <w:sz w:val="28"/>
          <w:szCs w:val="28"/>
          <w:rtl/>
        </w:rPr>
        <w:t xml:space="preserve">[شماره صفحه واقعی : 589]
</w:t>
      </w:r>
    </w:p>
    <w:p>
      <w:pPr>
        <w:sectPr>
          <w:footerReference w:type="default" r:id="rId1268"/>
          <w:footnotePr>
            <w:numStart w:val="1"/>
            <w:numRestart w:val="eachPage"/>
          </w:footnotePr>
          <w:pgSz w:orient="portrait" w:w="11905.511811023622" w:h="16837.79527559055"/>
          <w:pgMar w:top="1440" w:right="1440" w:bottom="1440" w:left="1440" w:header="720" w:footer="720" w:gutter="0"/>
          <w:cols w:num="1" w:space="720"/>
        </w:sectPr>
      </w:pPr>
    </w:p>
    <w:bookmarkStart w:id="707" w:name="pg14411_143650"/>
    <w:bookmarkEnd w:id="707"/>
    <w:p>
      <w:pPr>
        <w:pStyle w:val="BookText"/>
      </w:pPr>
      <w:r>
        <w:rPr>
          <w:rFonts w:ascii="IRNazanin" w:hAnsi="IRNazanin" w:eastAsia="IRNazanin" w:cs="IRNazanin"/>
          <w:lang w:bidi="fa-IR"/>
          <w:color w:val="111111"/>
          <w:sz w:val="28"/>
          <w:szCs w:val="28"/>
          <w:rtl/>
        </w:rPr>
        <w:t xml:space="preserve">و قد صرّح فی التذکرة بالجواز فی کلیهما </w:t>
      </w:r>
      <w:r>
        <w:rPr>
          <w:rStyle w:val="FootnoteReference"/>
        </w:rPr>
        <w:footnoteReference w:id="44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ممّا ذکرنا یظهر عدم صحّة وقف الکافر عبدَه المسلم علی أهل ملّته.</w:t>
      </w:r>
    </w:p>
    <w:p>
      <w:pPr>
        <w:pStyle w:val="Heading6"/>
      </w:pPr>
      <w:bookmarkStart w:id="2394" w:name="_Toc1429"/>
      <w:r>
        <w:t>[الظاهر من الکافر]</w:t>
      </w:r>
      <w:bookmarkEnd w:id="2394"/>
    </w:p>
    <w:p>
      <w:pPr>
        <w:pStyle w:val="BookText"/>
      </w:pPr>
      <w:r>
        <w:rPr>
          <w:rFonts w:ascii="IRNazanin" w:hAnsi="IRNazanin" w:eastAsia="IRNazanin" w:cs="IRNazanin"/>
          <w:lang w:bidi="fa-IR"/>
          <w:color w:val="111111"/>
          <w:sz w:val="28"/>
          <w:szCs w:val="28"/>
          <w:rtl/>
        </w:rPr>
        <w:t xml:space="preserve">ثمّ إنّ الظاهر من الکافر:کلّ من حکم بنجاسته و لو انتحل الإسلام-کالنواصب و الغلاة و المرتدّ غایة الأمر عدم وجود هذه الأفراد فی زمان نزول الآیة؛و لذا استدلّ الحنفیّة </w:t>
      </w:r>
      <w:r>
        <w:rPr>
          <w:rStyle w:val="FootnoteReference"/>
        </w:rPr>
        <w:footnoteReference w:id="4423"/>
      </w:r>
      <w:r>
        <w:rPr>
          <w:rFonts w:ascii="IRNazanin" w:hAnsi="IRNazanin" w:eastAsia="IRNazanin" w:cs="IRNazanin"/>
          <w:lang w:bidi="fa-IR"/>
          <w:color w:val="111111"/>
          <w:sz w:val="28"/>
          <w:szCs w:val="28"/>
          <w:rtl/>
        </w:rPr>
        <w:t xml:space="preserve">-علی ما حکی عنهم </w:t>
      </w:r>
      <w:r>
        <w:rPr>
          <w:rStyle w:val="FootnoteReference"/>
        </w:rPr>
        <w:footnoteReference w:id="4424"/>
      </w:r>
      <w:r>
        <w:rPr>
          <w:rFonts w:ascii="IRNazanin" w:hAnsi="IRNazanin" w:eastAsia="IRNazanin" w:cs="IRNazanin"/>
          <w:lang w:bidi="fa-IR"/>
          <w:color w:val="111111"/>
          <w:sz w:val="28"/>
          <w:szCs w:val="28"/>
          <w:rtl/>
        </w:rPr>
        <w:t xml:space="preserve">-علی حصول </w:t>
      </w:r>
      <w:r>
        <w:rPr>
          <w:rStyle w:val="FootnoteReference"/>
        </w:rPr>
        <w:footnoteReference w:id="4425"/>
      </w:r>
      <w:r>
        <w:rPr>
          <w:rFonts w:ascii="IRNazanin" w:hAnsi="IRNazanin" w:eastAsia="IRNazanin" w:cs="IRNazanin"/>
          <w:lang w:bidi="fa-IR"/>
          <w:color w:val="111111"/>
          <w:sz w:val="28"/>
          <w:szCs w:val="28"/>
          <w:rtl/>
        </w:rPr>
        <w:t xml:space="preserve">البینونة بارتداد الزوج </w:t>
      </w:r>
      <w:r>
        <w:rPr>
          <w:rStyle w:val="FootnoteReference"/>
        </w:rPr>
        <w:footnoteReference w:id="44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هل یلحق بذلک أطفال الکفّار؟فیه إشکال،و یعمّ«المسلم» المخالف؛لأنّه مسلم فیعلو و لا یُعلی علیه.</w:t>
      </w:r>
    </w:p>
    <w:p>
      <w:pPr>
        <w:pStyle w:val="BookText"/>
      </w:pPr>
      <w:r>
        <w:rPr>
          <w:rFonts w:ascii="IRNazanin" w:hAnsi="IRNazanin" w:eastAsia="IRNazanin" w:cs="IRNazanin"/>
          <w:lang w:bidi="fa-IR"/>
          <w:color w:val="111111"/>
          <w:sz w:val="28"/>
          <w:szCs w:val="28"/>
          <w:rtl/>
        </w:rPr>
        <w:t xml:space="preserve">و المؤمن فی زمان نزول آیة«نفی السبیل»لم یُرَد به إلّا المقرّ بالشهادتین،و نفیه عن الأعراب الذین قالوا:«آمنّا»بقوله تعالی </w:t>
      </w:r>
      <w:r>
        <w:rPr>
          <w:rStyle w:val="FootnoteReference"/>
        </w:rPr>
        <w:footnoteReference w:id="44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لَمّٰا یَدْخُلِ الْإِیمٰانُ فِی قُلُوبِکُمْ</w:t>
      </w:r>
    </w:p>
    <w:p>
      <w:pPr>
        <w:pStyle w:val="BookText"/>
      </w:pPr>
      <w:r>
        <w:rPr>
          <w:rStyle w:val="FootnoteReference"/>
        </w:rPr>
        <w:footnoteReference w:id="4428"/>
      </w:r>
      <w:r>
        <w:rPr>
          <w:rFonts w:ascii="IRNazanin" w:hAnsi="IRNazanin" w:eastAsia="IRNazanin" w:cs="IRNazanin"/>
          <w:lang w:bidi="fa-IR"/>
          <w:color w:val="111111"/>
          <w:sz w:val="28"/>
          <w:szCs w:val="28"/>
          <w:rtl/>
        </w:rPr>
        <w:t xml:space="preserve">
إنّما کان لعدم اعتقادهم بما أقرّوا، فالمراد بالإسلام هنا:أن یُسلم نفسه للّٰه و رسوله فی الظاهر لا الباطن،</w:t>
      </w:r>
    </w:p>
    <w:p>
      <w:pPr>
        <w:pStyle w:val="BookText"/>
      </w:pPr>
      <w:r>
        <w:rPr>
          <w:rFonts w:ascii="IRNazanin" w:hAnsi="IRNazanin" w:eastAsia="IRNazanin" w:cs="IRNazanin"/>
          <w:lang w:bidi="fa-IR"/>
          <w:color w:val="111111"/>
          <w:sz w:val="28"/>
          <w:szCs w:val="28"/>
          <w:rtl/>
        </w:rPr>
        <w:t xml:space="preserve">[شماره صفحه واقعی : 590]
</w:t>
      </w:r>
    </w:p>
    <w:p>
      <w:pPr>
        <w:sectPr>
          <w:footerReference w:type="default" r:id="rId1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قوله تعالی: وَ لَمّٰا یَدْخُلِ الْإِیمٰانُ فِی قُلُوبِکُمْ دلّ علی أنّ ما جری علی ألسنتهم من الإقرار بالشهادتین کان إیماناً فی خارج القلب.</w:t>
      </w:r>
    </w:p>
    <w:p>
      <w:pPr>
        <w:pStyle w:val="BookText"/>
      </w:pPr>
      <w:r>
        <w:rPr>
          <w:rFonts w:ascii="IRNazanin" w:hAnsi="IRNazanin" w:eastAsia="IRNazanin" w:cs="IRNazanin"/>
          <w:lang w:bidi="fa-IR"/>
          <w:color w:val="111111"/>
          <w:sz w:val="28"/>
          <w:szCs w:val="28"/>
          <w:rtl/>
        </w:rPr>
        <w:t xml:space="preserve">و الحاصل:أنّ الإسلام و الإیمان فی زمان الآیة کانا بمعنی واحد، و أمّا ما دلّ علی کفر المخالف بواسطة إنکار الولایة </w:t>
      </w:r>
      <w:r>
        <w:rPr>
          <w:rStyle w:val="FootnoteReference"/>
        </w:rPr>
        <w:footnoteReference w:id="4429"/>
      </w:r>
      <w:r>
        <w:rPr>
          <w:rFonts w:ascii="IRNazanin" w:hAnsi="IRNazanin" w:eastAsia="IRNazanin" w:cs="IRNazanin"/>
          <w:lang w:bidi="fa-IR"/>
          <w:color w:val="111111"/>
          <w:sz w:val="28"/>
          <w:szCs w:val="28"/>
          <w:rtl/>
        </w:rPr>
        <w:t xml:space="preserve">،فهو لا یقاوم بظاهره،لما دلّ علی جریان جمیع أحکام الإسلام علیهم:من التناکح و التوارث،و حقن الدماء،و عصمة الأموال،و أنّ الإسلام ما علیه جمهور الناس </w:t>
      </w:r>
      <w:r>
        <w:rPr>
          <w:rStyle w:val="FootnoteReference"/>
        </w:rPr>
        <w:footnoteReference w:id="44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ففی روایة حمران بن أعین:سمعت أبا جعفر علیه السلام یقول:</w:t>
      </w:r>
    </w:p>
    <w:p>
      <w:pPr>
        <w:pStyle w:val="BookText"/>
      </w:pPr>
      <w:r>
        <w:rPr>
          <w:rFonts w:ascii="IRNazanin" w:hAnsi="IRNazanin" w:eastAsia="IRNazanin" w:cs="IRNazanin"/>
          <w:lang w:bidi="fa-IR"/>
          <w:color w:val="111111"/>
          <w:sz w:val="28"/>
          <w:szCs w:val="28"/>
          <w:rtl/>
        </w:rPr>
        <w:t xml:space="preserve">«الإیمان ما استقرّ فی القلب،و أفضی به إلی اللّٰه تعالی و صدّقه العمل بالطاعة للّٰه و التسلیم لأمر اللّٰه،و الإسلام ما ظهر من قول أو </w:t>
      </w:r>
      <w:r>
        <w:rPr>
          <w:rStyle w:val="FootnoteReference"/>
        </w:rPr>
        <w:footnoteReference w:id="4431"/>
      </w:r>
      <w:r>
        <w:rPr>
          <w:rFonts w:ascii="IRNazanin" w:hAnsi="IRNazanin" w:eastAsia="IRNazanin" w:cs="IRNazanin"/>
          <w:lang w:bidi="fa-IR"/>
          <w:color w:val="111111"/>
          <w:sz w:val="28"/>
          <w:szCs w:val="28"/>
          <w:rtl/>
        </w:rPr>
        <w:t xml:space="preserve">فعل، و هو الذی علیه جماعة الناس من الفرق کلّها،و به حقنت الدماء، و علیه جرت المواریث،و جاز </w:t>
      </w:r>
      <w:r>
        <w:rPr>
          <w:rStyle w:val="FootnoteReference"/>
        </w:rPr>
        <w:footnoteReference w:id="4432"/>
      </w:r>
      <w:r>
        <w:rPr>
          <w:rFonts w:ascii="IRNazanin" w:hAnsi="IRNazanin" w:eastAsia="IRNazanin" w:cs="IRNazanin"/>
          <w:lang w:bidi="fa-IR"/>
          <w:color w:val="111111"/>
          <w:sz w:val="28"/>
          <w:szCs w:val="28"/>
          <w:rtl/>
        </w:rPr>
        <w:t xml:space="preserve">النکاح،و اجتمعوا علی الصلاة و الزکاة و الصوم و الحجّ فخرجوا بذلک من الکفر و أُضیفوا إلی الإیمان...إلی أن</w:t>
      </w:r>
    </w:p>
    <w:p>
      <w:pPr>
        <w:pStyle w:val="BookText"/>
      </w:pPr>
      <w:r>
        <w:rPr>
          <w:rFonts w:ascii="IRNazanin" w:hAnsi="IRNazanin" w:eastAsia="IRNazanin" w:cs="IRNazanin"/>
          <w:lang w:bidi="fa-IR"/>
          <w:color w:val="111111"/>
          <w:sz w:val="28"/>
          <w:szCs w:val="28"/>
          <w:rtl/>
        </w:rPr>
        <w:t xml:space="preserve">[شماره صفحه واقعی : 591]
</w:t>
      </w:r>
    </w:p>
    <w:p>
      <w:pPr>
        <w:sectPr>
          <w:footerReference w:type="default" r:id="rId1270"/>
          <w:footnotePr>
            <w:numStart w:val="1"/>
            <w:numRestart w:val="eachPage"/>
          </w:footnotePr>
          <w:pgSz w:orient="portrait" w:w="11905.511811023622" w:h="16837.79527559055"/>
          <w:pgMar w:top="1440" w:right="1440" w:bottom="1440" w:left="1440" w:header="720" w:footer="720" w:gutter="0"/>
          <w:cols w:num="1" w:space="720"/>
        </w:sectPr>
      </w:pPr>
    </w:p>
    <w:bookmarkStart w:id="708" w:name="pg14411_143652"/>
    <w:bookmarkEnd w:id="708"/>
    <w:p>
      <w:pPr>
        <w:pStyle w:val="BookText"/>
      </w:pPr>
      <w:r>
        <w:rPr>
          <w:rFonts w:ascii="IRNazanin" w:hAnsi="IRNazanin" w:eastAsia="IRNazanin" w:cs="IRNazanin"/>
          <w:lang w:bidi="fa-IR"/>
          <w:color w:val="111111"/>
          <w:sz w:val="28"/>
          <w:szCs w:val="28"/>
          <w:rtl/>
        </w:rPr>
        <w:t xml:space="preserve">قال:فهل للمؤمن فضل علی المسلم فی شیء من الفضائل و الأحکام و الحدود و غیر ذلک؟قال:لا،إنّهما </w:t>
      </w:r>
      <w:r>
        <w:rPr>
          <w:rStyle w:val="FootnoteReference"/>
        </w:rPr>
        <w:footnoteReference w:id="4433"/>
      </w:r>
      <w:r>
        <w:rPr>
          <w:rFonts w:ascii="IRNazanin" w:hAnsi="IRNazanin" w:eastAsia="IRNazanin" w:cs="IRNazanin"/>
          <w:lang w:bidi="fa-IR"/>
          <w:color w:val="111111"/>
          <w:sz w:val="28"/>
          <w:szCs w:val="28"/>
          <w:rtl/>
        </w:rPr>
        <w:t xml:space="preserve">یجریان فی ذلک مجری واحد، و لکن للمؤمن فضل علی المسلم فی إعمالهما،و ما یتقرّبان به إلی اللّٰه تعالی» </w:t>
      </w:r>
      <w:r>
        <w:rPr>
          <w:rStyle w:val="FootnoteReference"/>
        </w:rPr>
        <w:footnoteReference w:id="4434"/>
      </w:r>
      <w:r>
        <w:rPr>
          <w:rFonts w:ascii="Times New Roman" w:hAnsi="Times New Roman" w:eastAsia="Times New Roman" w:cs="Times New Roman"/>
          <w:lang w:val="en-US" w:bidi="en-US"/>
          <w:color w:val="111111"/>
          <w:sz w:val="28"/>
          <w:szCs w:val="28"/>
          <w:rtl/>
        </w:rPr>
        <w:t xml:space="preserve">.</w:t>
      </w:r>
    </w:p>
    <w:p>
      <w:pPr>
        <w:pStyle w:val="Heading6"/>
      </w:pPr>
      <w:bookmarkStart w:id="2395" w:name="_Toc1430"/>
      <w:r>
        <w:t>[بیع العبد المؤمن من المخالف]</w:t>
      </w:r>
      <w:bookmarkEnd w:id="2395"/>
    </w:p>
    <w:p>
      <w:pPr>
        <w:pStyle w:val="BookText"/>
      </w:pPr>
      <w:r>
        <w:rPr>
          <w:rFonts w:ascii="IRNazanin" w:hAnsi="IRNazanin" w:eastAsia="IRNazanin" w:cs="IRNazanin"/>
          <w:lang w:bidi="fa-IR"/>
          <w:color w:val="111111"/>
          <w:sz w:val="28"/>
          <w:szCs w:val="28"/>
          <w:rtl/>
        </w:rPr>
        <w:t xml:space="preserve">و من جمیع ما ذکرنا ظهر:أنّه لا بأس ببیع المسلم من المخالف و لو کان جاریة،إلّا إذا قلنا بحرمة تزویج المؤمنة من المخالف؛لأخبار دلّت علی ذلک </w:t>
      </w:r>
      <w:r>
        <w:rPr>
          <w:rStyle w:val="FootnoteReference"/>
        </w:rPr>
        <w:footnoteReference w:id="4435"/>
      </w:r>
      <w:r>
        <w:rPr>
          <w:rFonts w:ascii="IRNazanin" w:hAnsi="IRNazanin" w:eastAsia="IRNazanin" w:cs="IRNazanin"/>
          <w:lang w:bidi="fa-IR"/>
          <w:color w:val="111111"/>
          <w:sz w:val="28"/>
          <w:szCs w:val="28"/>
          <w:rtl/>
        </w:rPr>
        <w:t xml:space="preserve">،فإنّ فحواها یدلّ علی المنع من بیع الجاریة المؤمنة،لکن الأقوی عدم التحریم.</w:t>
      </w:r>
    </w:p>
    <w:p>
      <w:pPr>
        <w:pStyle w:val="Heading6"/>
      </w:pPr>
      <w:bookmarkStart w:id="2396" w:name="_Toc1431"/>
      <w:r>
        <w:t>[موارد جواز تملک الکافر للعبد المسلم]</w:t>
      </w:r>
      <w:bookmarkEnd w:id="2396"/>
    </w:p>
    <w:p>
      <w:pPr>
        <w:pStyle w:val="Heading6"/>
      </w:pPr>
      <w:bookmarkStart w:id="2397" w:name="_Toc1432"/>
      <w:r>
        <w:t>اشارة</w:t>
      </w:r>
      <w:bookmarkEnd w:id="2397"/>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[*ستوده]</w:t>
      </w:r>
    </w:p>
    <w:p>
      <w:pPr>
        <w:pStyle w:val="BookText"/>
      </w:pPr>
      <w:r>
        <w:rPr>
          <w:rFonts w:ascii="IRNazanin" w:hAnsi="IRNazanin" w:eastAsia="IRNazanin" w:cs="IRNazanin"/>
          <w:lang w:bidi="fa-IR"/>
          <w:color w:val="111111"/>
          <w:sz w:val="28"/>
          <w:szCs w:val="28"/>
          <w:rtl/>
        </w:rPr>
        <w:t xml:space="preserve">ثمّ إنّه قد استثنی من عدم جواز تملّک الکافر للعبد المسلم مواضع:</w:t>
      </w:r>
    </w:p>
    <w:p>
      <w:pPr>
        <w:pStyle w:val="Heading6"/>
      </w:pPr>
      <w:bookmarkStart w:id="2398" w:name="_Toc1433"/>
      <w:r>
        <w:t>منها : ما إذا کان الشراء مستعقباً للانعتاق</w:t>
      </w:r>
      <w:bookmarkEnd w:id="2398"/>
    </w:p>
    <w:p>
      <w:pPr>
        <w:pStyle w:val="BookText"/>
      </w:pPr>
      <w:r>
        <w:rPr>
          <w:rFonts w:ascii="IRNazanin" w:hAnsi="IRNazanin" w:eastAsia="IRNazanin" w:cs="IRNazanin"/>
          <w:lang w:bidi="fa-IR"/>
          <w:color w:val="111111"/>
          <w:sz w:val="28"/>
          <w:szCs w:val="28"/>
          <w:rtl/>
        </w:rPr>
        <w:t xml:space="preserve">بأن یکون ممّن ینعتق علی الکافر قهراً واقعاً کالأقارب،أو ظاهراً کمن أقرّ بحرّیة مسلمٍ ثمّ اشتراه،أو بأن یقول الکافر للمسلم:أعتق عبدک عنّی بکذا،فأعتقه.</w:t>
      </w:r>
    </w:p>
    <w:p>
      <w:pPr>
        <w:pStyle w:val="BookText"/>
      </w:pPr>
      <w:r>
        <w:rPr>
          <w:rFonts w:ascii="IRNazanin" w:hAnsi="IRNazanin" w:eastAsia="IRNazanin" w:cs="IRNazanin"/>
          <w:lang w:bidi="fa-IR"/>
          <w:color w:val="111111"/>
          <w:sz w:val="28"/>
          <w:szCs w:val="28"/>
          <w:rtl/>
        </w:rPr>
        <w:t xml:space="preserve">ذکر ذلک العلّامة فی التذکرة </w:t>
      </w:r>
      <w:r>
        <w:rPr>
          <w:rStyle w:val="FootnoteReference"/>
        </w:rPr>
        <w:footnoteReference w:id="4436"/>
      </w:r>
      <w:r>
        <w:rPr>
          <w:rFonts w:ascii="IRNazanin" w:hAnsi="IRNazanin" w:eastAsia="IRNazanin" w:cs="IRNazanin"/>
          <w:lang w:bidi="fa-IR"/>
          <w:color w:val="111111"/>
          <w:sz w:val="28"/>
          <w:szCs w:val="28"/>
          <w:rtl/>
        </w:rPr>
        <w:t xml:space="preserve">،و تبعه </w:t>
      </w:r>
      <w:r>
        <w:rPr>
          <w:rStyle w:val="FootnoteReference"/>
        </w:rPr>
        <w:footnoteReference w:id="4437"/>
      </w:r>
      <w:r>
        <w:rPr>
          <w:rFonts w:ascii="IRNazanin" w:hAnsi="IRNazanin" w:eastAsia="IRNazanin" w:cs="IRNazanin"/>
          <w:lang w:bidi="fa-IR"/>
          <w:color w:val="111111"/>
          <w:sz w:val="28"/>
          <w:szCs w:val="28"/>
          <w:rtl/>
        </w:rPr>
        <w:t xml:space="preserve">جامع المقاصد </w:t>
      </w:r>
      <w:r>
        <w:rPr>
          <w:rStyle w:val="FootnoteReference"/>
        </w:rPr>
        <w:footnoteReference w:id="4438"/>
      </w:r>
      <w:r>
        <w:rPr>
          <w:rFonts w:ascii="IRNazanin" w:hAnsi="IRNazanin" w:eastAsia="IRNazanin" w:cs="IRNazanin"/>
          <w:lang w:bidi="fa-IR"/>
          <w:color w:val="111111"/>
          <w:sz w:val="28"/>
          <w:szCs w:val="28"/>
          <w:rtl/>
        </w:rPr>
        <w:t xml:space="preserve">و المسالک </w:t>
      </w:r>
      <w:r>
        <w:rPr>
          <w:rStyle w:val="FootnoteReference"/>
        </w:rPr>
        <w:footnoteReference w:id="44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592]
</w:t>
      </w:r>
    </w:p>
    <w:p>
      <w:pPr>
        <w:sectPr>
          <w:footerReference w:type="default" r:id="rId1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الوجه فی الأوّل واضح،وفاقاً للمحکیّ عن الفقیه </w:t>
      </w:r>
      <w:r>
        <w:rPr>
          <w:rStyle w:val="FootnoteReference"/>
        </w:rPr>
        <w:footnoteReference w:id="4440"/>
      </w:r>
      <w:r>
        <w:rPr>
          <w:rFonts w:ascii="IRNazanin" w:hAnsi="IRNazanin" w:eastAsia="IRNazanin" w:cs="IRNazanin"/>
          <w:lang w:bidi="fa-IR"/>
          <w:color w:val="111111"/>
          <w:sz w:val="28"/>
          <w:szCs w:val="28"/>
          <w:rtl/>
        </w:rPr>
        <w:t xml:space="preserve">و النهایة </w:t>
      </w:r>
      <w:r>
        <w:rPr>
          <w:rStyle w:val="FootnoteReference"/>
        </w:rPr>
        <w:footnoteReference w:id="4441"/>
      </w:r>
      <w:r>
        <w:rPr>
          <w:rFonts w:ascii="IRNazanin" w:hAnsi="IRNazanin" w:eastAsia="IRNazanin" w:cs="IRNazanin"/>
          <w:lang w:bidi="fa-IR"/>
          <w:color w:val="111111"/>
          <w:sz w:val="28"/>
          <w:szCs w:val="28"/>
          <w:rtl/>
        </w:rPr>
        <w:t xml:space="preserve">و السرائر-مدّعیاً علیه الإجماع </w:t>
      </w:r>
      <w:r>
        <w:rPr>
          <w:rStyle w:val="FootnoteReference"/>
        </w:rPr>
        <w:footnoteReference w:id="4442"/>
      </w:r>
      <w:r>
        <w:rPr>
          <w:rFonts w:ascii="Amiri" w:hAnsi="Amiri" w:eastAsia="Amiri" w:cs="Amiri"/>
          <w:lang w:bidi="ar-SA"/>
          <w:color w:val="111111"/>
          <w:sz w:val="28"/>
          <w:szCs w:val="28"/>
          <w:rtl/>
        </w:rPr>
        <w:t xml:space="preserve">-و المتأخّرین کافّة </w:t>
      </w:r>
      <w:r>
        <w:rPr>
          <w:rStyle w:val="FootnoteReference"/>
        </w:rPr>
        <w:footnoteReference w:id="4443"/>
      </w:r>
      <w:r>
        <w:rPr>
          <w:rFonts w:ascii="Amiri" w:hAnsi="Amiri" w:eastAsia="Amiri" w:cs="Amiri"/>
          <w:lang w:bidi="ar-SA"/>
          <w:color w:val="111111"/>
          <w:sz w:val="28"/>
          <w:szCs w:val="28"/>
          <w:rtl/>
        </w:rPr>
        <w:t xml:space="preserve">فإنّ مجرّد الملکیّة الغیر المستقرّة لا یعدّ سبیلاً،بل لم یعتبر الملکیّة إلّا مقدّمة للانعتاق.</w:t>
      </w:r>
    </w:p>
    <w:p>
      <w:pPr>
        <w:pStyle w:val="BookText"/>
      </w:pPr>
      <w:r>
        <w:rPr>
          <w:rFonts w:ascii="IRNazanin" w:hAnsi="IRNazanin" w:eastAsia="IRNazanin" w:cs="IRNazanin"/>
          <w:lang w:bidi="fa-IR"/>
          <w:color w:val="111111"/>
          <w:sz w:val="28"/>
          <w:szCs w:val="28"/>
          <w:rtl/>
        </w:rPr>
        <w:t xml:space="preserve">خلافاً للمحکی عن المبسوط </w:t>
      </w:r>
      <w:r>
        <w:rPr>
          <w:rStyle w:val="FootnoteReference"/>
        </w:rPr>
        <w:footnoteReference w:id="4444"/>
      </w:r>
      <w:r>
        <w:rPr>
          <w:rFonts w:ascii="IRNazanin" w:hAnsi="IRNazanin" w:eastAsia="IRNazanin" w:cs="IRNazanin"/>
          <w:lang w:bidi="fa-IR"/>
          <w:color w:val="111111"/>
          <w:sz w:val="28"/>
          <w:szCs w:val="28"/>
          <w:rtl/>
        </w:rPr>
        <w:t xml:space="preserve">و القاضی </w:t>
      </w:r>
      <w:r>
        <w:rPr>
          <w:rStyle w:val="FootnoteReference"/>
        </w:rPr>
        <w:footnoteReference w:id="4445"/>
      </w:r>
      <w:r>
        <w:rPr>
          <w:rFonts w:ascii="IRNazanin" w:hAnsi="IRNazanin" w:eastAsia="IRNazanin" w:cs="IRNazanin"/>
          <w:lang w:bidi="fa-IR"/>
          <w:color w:val="111111"/>
          <w:sz w:val="28"/>
          <w:szCs w:val="28"/>
          <w:rtl/>
        </w:rPr>
        <w:t xml:space="preserve">،فمنعاه؛لأنّ الکافر لا یملک حتّی ینعتق؛لأنّ التملّک بمجرّده سبیل،و السیادة علوّ.</w:t>
      </w:r>
    </w:p>
    <w:p>
      <w:pPr>
        <w:pStyle w:val="BookText"/>
      </w:pPr>
      <w:r>
        <w:rPr>
          <w:rFonts w:ascii="IRNazanin" w:hAnsi="IRNazanin" w:eastAsia="IRNazanin" w:cs="IRNazanin"/>
          <w:lang w:bidi="fa-IR"/>
          <w:color w:val="111111"/>
          <w:sz w:val="28"/>
          <w:szCs w:val="28"/>
          <w:rtl/>
        </w:rPr>
        <w:t xml:space="preserve">إلّا أنّ الإنصاف:أنّ السلطنة غیر متحقّقة فی الخارج،و مجرّد الإقدام علی شرائه لینعتق،منّةٌ من الکافر علی المسلم،لکنّها غیر منفیّة </w:t>
      </w:r>
      <w:r>
        <w:rPr>
          <w:rStyle w:val="FootnoteReference"/>
        </w:rPr>
        <w:footnoteReference w:id="44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الثانی،فیشکل بالعلم بفساد البیع علی تقدیری الصدق و الکذب؛لثبوت الخلل:إمّا فی المبیع لکونه حرّا،أو فی المشتری لکونه</w:t>
      </w:r>
    </w:p>
    <w:p>
      <w:pPr>
        <w:pStyle w:val="BookText"/>
      </w:pPr>
      <w:r>
        <w:rPr>
          <w:rFonts w:ascii="IRNazanin" w:hAnsi="IRNazanin" w:eastAsia="IRNazanin" w:cs="IRNazanin"/>
          <w:lang w:bidi="fa-IR"/>
          <w:color w:val="111111"/>
          <w:sz w:val="28"/>
          <w:szCs w:val="28"/>
          <w:rtl/>
        </w:rPr>
        <w:t xml:space="preserve">[شماره صفحه واقعی : 593]
</w:t>
      </w:r>
    </w:p>
    <w:p>
      <w:pPr>
        <w:sectPr>
          <w:footerReference w:type="default" r:id="rId1272"/>
          <w:footnotePr>
            <w:numStart w:val="1"/>
            <w:numRestart w:val="eachPage"/>
          </w:footnotePr>
          <w:pgSz w:orient="portrait" w:w="11905.511811023622" w:h="16837.79527559055"/>
          <w:pgMar w:top="1440" w:right="1440" w:bottom="1440" w:left="1440" w:header="720" w:footer="720" w:gutter="0"/>
          <w:cols w:num="1" w:space="720"/>
        </w:sectPr>
      </w:pPr>
    </w:p>
    <w:bookmarkStart w:id="709" w:name="pg14411_143654"/>
    <w:bookmarkEnd w:id="709"/>
    <w:p>
      <w:pPr>
        <w:pStyle w:val="BookText"/>
      </w:pPr>
      <w:r>
        <w:rPr>
          <w:rFonts w:ascii="IRNazanin" w:hAnsi="IRNazanin" w:eastAsia="IRNazanin" w:cs="IRNazanin"/>
          <w:lang w:bidi="fa-IR"/>
          <w:color w:val="111111"/>
          <w:sz w:val="28"/>
          <w:szCs w:val="28"/>
          <w:rtl/>
        </w:rPr>
        <w:t xml:space="preserve">کافراً،فلا یُتصوّر صورة صحیحة لشراء من أقرّ بانعتاقه،إلّا أن نمنع </w:t>
      </w:r>
      <w:r>
        <w:rPr>
          <w:rStyle w:val="FootnoteReference"/>
        </w:rPr>
        <w:footnoteReference w:id="4447"/>
      </w:r>
      <w:r>
        <w:rPr>
          <w:rFonts w:ascii="IRNazanin" w:hAnsi="IRNazanin" w:eastAsia="IRNazanin" w:cs="IRNazanin"/>
          <w:lang w:bidi="fa-IR"/>
          <w:color w:val="111111"/>
          <w:sz w:val="28"/>
          <w:szCs w:val="28"/>
          <w:rtl/>
        </w:rPr>
        <w:t xml:space="preserve">اعتبار مثل هذا العلم الإجمالی،فتأمّل.</w:t>
      </w:r>
    </w:p>
    <w:p>
      <w:pPr>
        <w:pStyle w:val="BookText"/>
      </w:pPr>
      <w:r>
        <w:rPr>
          <w:rFonts w:ascii="IRNazanin" w:hAnsi="IRNazanin" w:eastAsia="IRNazanin" w:cs="IRNazanin"/>
          <w:lang w:bidi="fa-IR"/>
          <w:color w:val="111111"/>
          <w:sz w:val="28"/>
          <w:szCs w:val="28"/>
          <w:rtl/>
        </w:rPr>
        <w:t xml:space="preserve">و أمّا الثالث،فالمحکیّ عن المبسوط و الخلاف التصریح بالمنع </w:t>
      </w:r>
      <w:r>
        <w:rPr>
          <w:rStyle w:val="FootnoteReference"/>
        </w:rPr>
        <w:footnoteReference w:id="4448"/>
      </w:r>
      <w:r>
        <w:rPr>
          <w:rFonts w:ascii="IRNazanin" w:hAnsi="IRNazanin" w:eastAsia="IRNazanin" w:cs="IRNazanin"/>
          <w:lang w:bidi="fa-IR"/>
          <w:color w:val="111111"/>
          <w:sz w:val="28"/>
          <w:szCs w:val="28"/>
          <w:rtl/>
        </w:rPr>
        <w:t xml:space="preserve">لما ذکر فی الأوّل.</w:t>
      </w:r>
    </w:p>
    <w:p>
      <w:pPr>
        <w:pStyle w:val="Heading6"/>
      </w:pPr>
      <w:bookmarkStart w:id="2399" w:name="_Toc1434"/>
      <w:r>
        <w:t>و منها : ما لو اشترط البائع عتقه</w:t>
      </w:r>
      <w:bookmarkEnd w:id="2399"/>
    </w:p>
    <w:p>
      <w:pPr>
        <w:pStyle w:val="BookText"/>
      </w:pPr>
      <w:r>
        <w:rPr>
          <w:rFonts w:ascii="IRNazanin" w:hAnsi="IRNazanin" w:eastAsia="IRNazanin" w:cs="IRNazanin"/>
          <w:lang w:bidi="fa-IR"/>
          <w:color w:val="111111"/>
          <w:sz w:val="28"/>
          <w:szCs w:val="28"/>
          <w:rtl/>
        </w:rPr>
        <w:t xml:space="preserve">فإنّ الجواز هنا محکیّ عن الدروس </w:t>
      </w:r>
      <w:r>
        <w:rPr>
          <w:rStyle w:val="FootnoteReference"/>
        </w:rPr>
        <w:footnoteReference w:id="4449"/>
      </w:r>
      <w:r>
        <w:rPr>
          <w:rFonts w:ascii="Amiri" w:hAnsi="Amiri" w:eastAsia="Amiri" w:cs="Amiri"/>
          <w:lang w:bidi="ar-SA"/>
          <w:color w:val="111111"/>
          <w:sz w:val="28"/>
          <w:szCs w:val="28"/>
          <w:rtl/>
        </w:rPr>
        <w:t xml:space="preserve">و الروضة </w:t>
      </w:r>
      <w:r>
        <w:rPr>
          <w:rStyle w:val="FootnoteReference"/>
        </w:rPr>
        <w:footnoteReference w:id="4450"/>
      </w:r>
      <w:r>
        <w:rPr>
          <w:rFonts w:ascii="IRNazanin" w:hAnsi="IRNazanin" w:eastAsia="IRNazanin" w:cs="IRNazanin"/>
          <w:lang w:bidi="fa-IR"/>
          <w:color w:val="111111"/>
          <w:sz w:val="28"/>
          <w:szCs w:val="28"/>
          <w:rtl/>
        </w:rPr>
        <w:t xml:space="preserve">،و فیه نظر؛فإنّ ملکیّته قبل الإعتاق سبیل و علوّ،بل التحقیق:أنّه لا فرق بین هذا،و بین إجباره علی بیعه،فی عدم انتفاء السبیل بمجرّد ذلک.</w:t>
      </w:r>
    </w:p>
    <w:p>
      <w:pPr>
        <w:pStyle w:val="BookText"/>
      </w:pPr>
      <w:r>
        <w:rPr>
          <w:rFonts w:ascii="IRNazanin" w:hAnsi="IRNazanin" w:eastAsia="IRNazanin" w:cs="IRNazanin"/>
          <w:lang w:bidi="fa-IR"/>
          <w:color w:val="111111"/>
          <w:sz w:val="28"/>
          <w:szCs w:val="28"/>
          <w:rtl/>
        </w:rPr>
        <w:t xml:space="preserve">و الحاصل:أنّ«السبیل»فیه ثلاثة احتمالات-کما عن حواشی الشهید </w:t>
      </w:r>
      <w:r>
        <w:rPr>
          <w:rStyle w:val="FootnoteReference"/>
        </w:rPr>
        <w:footnoteReference w:id="44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مجرّد الملک </w:t>
      </w:r>
      <w:r>
        <w:rPr>
          <w:rStyle w:val="FootnoteReference"/>
        </w:rPr>
        <w:footnoteReference w:id="4452"/>
      </w:r>
      <w:r>
        <w:rPr>
          <w:rFonts w:ascii="IRNazanin" w:hAnsi="IRNazanin" w:eastAsia="IRNazanin" w:cs="IRNazanin"/>
          <w:lang w:bidi="fa-IR"/>
          <w:color w:val="111111"/>
          <w:sz w:val="28"/>
          <w:szCs w:val="28"/>
          <w:rtl/>
        </w:rPr>
        <w:t xml:space="preserve">،و یترتّب علیه عدم استثناء ما عدا صورة الإقرار بالحریّة.</w:t>
      </w:r>
    </w:p>
    <w:p>
      <w:pPr>
        <w:pStyle w:val="BookText"/>
      </w:pPr>
      <w:r>
        <w:rPr>
          <w:rFonts w:ascii="IRNazanin" w:hAnsi="IRNazanin" w:eastAsia="IRNazanin" w:cs="IRNazanin"/>
          <w:lang w:bidi="fa-IR"/>
          <w:color w:val="111111"/>
          <w:sz w:val="28"/>
          <w:szCs w:val="28"/>
          <w:rtl/>
        </w:rPr>
        <w:t xml:space="preserve">و الملک المستقرّ و لو بالقابلیّة،کمشروط العتق،و یترتّب علیه استثناء ما عدا صورة اشتراط العتق.</w:t>
      </w:r>
    </w:p>
    <w:p>
      <w:pPr>
        <w:pStyle w:val="BookText"/>
      </w:pPr>
      <w:r>
        <w:rPr>
          <w:rFonts w:ascii="IRNazanin" w:hAnsi="IRNazanin" w:eastAsia="IRNazanin" w:cs="IRNazanin"/>
          <w:lang w:bidi="fa-IR"/>
          <w:color w:val="111111"/>
          <w:sz w:val="28"/>
          <w:szCs w:val="28"/>
          <w:rtl/>
        </w:rPr>
        <w:t xml:space="preserve">[شماره صفحه واقعی : 594]
</w:t>
      </w:r>
    </w:p>
    <w:p>
      <w:pPr>
        <w:sectPr>
          <w:footerReference w:type="default" r:id="rId1273"/>
          <w:footnotePr>
            <w:numStart w:val="1"/>
            <w:numRestart w:val="eachPage"/>
          </w:footnotePr>
          <w:pgSz w:orient="portrait" w:w="11905.511811023622" w:h="16837.79527559055"/>
          <w:pgMar w:top="1440" w:right="1440" w:bottom="1440" w:left="1440" w:header="720" w:footer="720" w:gutter="0"/>
          <w:cols w:num="1" w:space="720"/>
        </w:sectPr>
      </w:pPr>
    </w:p>
    <w:bookmarkStart w:id="710" w:name="pg14411_143655"/>
    <w:bookmarkEnd w:id="710"/>
    <w:p>
      <w:pPr>
        <w:pStyle w:val="BookText"/>
      </w:pPr>
      <w:r>
        <w:rPr>
          <w:rFonts w:ascii="IRNazanin" w:hAnsi="IRNazanin" w:eastAsia="IRNazanin" w:cs="IRNazanin"/>
          <w:lang w:bidi="fa-IR"/>
          <w:color w:val="111111"/>
          <w:sz w:val="28"/>
          <w:szCs w:val="28"/>
          <w:rtl/>
        </w:rPr>
        <w:t xml:space="preserve">و المستقرّ فعلاً،و یترتّب علیه استثناء الجمیع.</w:t>
      </w:r>
    </w:p>
    <w:p>
      <w:pPr>
        <w:pStyle w:val="BookText"/>
      </w:pPr>
      <w:r>
        <w:rPr>
          <w:rFonts w:ascii="IRNazanin" w:hAnsi="IRNazanin" w:eastAsia="IRNazanin" w:cs="IRNazanin"/>
          <w:lang w:bidi="fa-IR"/>
          <w:color w:val="111111"/>
          <w:sz w:val="28"/>
          <w:szCs w:val="28"/>
          <w:rtl/>
        </w:rPr>
        <w:t xml:space="preserve">و خیر الأُمور أوسطها.</w:t>
      </w:r>
    </w:p>
    <w:p>
      <w:pPr>
        <w:pStyle w:val="Heading6"/>
      </w:pPr>
      <w:bookmarkStart w:id="2400" w:name="_Toc1435"/>
      <w:r>
        <w:t>[حکم تملک الکافر للمسلم قهرا]</w:t>
      </w:r>
      <w:bookmarkEnd w:id="2400"/>
    </w:p>
    <w:p>
      <w:pPr>
        <w:pStyle w:val="BookText"/>
      </w:pPr>
      <w:r>
        <w:rPr>
          <w:rFonts w:ascii="IRNazanin" w:hAnsi="IRNazanin" w:eastAsia="IRNazanin" w:cs="IRNazanin"/>
          <w:lang w:bidi="fa-IR"/>
          <w:color w:val="111111"/>
          <w:sz w:val="28"/>
          <w:szCs w:val="28"/>
          <w:rtl/>
        </w:rPr>
        <w:t xml:space="preserve">ثمّ إنّ ما ذکرنا کلّه حکم ابتداء تملّک الکافر للمسلم </w:t>
      </w:r>
      <w:r>
        <w:rPr>
          <w:rStyle w:val="FootnoteReference"/>
        </w:rPr>
        <w:footnoteReference w:id="4453"/>
      </w:r>
      <w:r>
        <w:rPr>
          <w:rFonts w:ascii="IRNazanin" w:hAnsi="IRNazanin" w:eastAsia="IRNazanin" w:cs="IRNazanin"/>
          <w:lang w:bidi="fa-IR"/>
          <w:color w:val="111111"/>
          <w:sz w:val="28"/>
          <w:szCs w:val="28"/>
          <w:rtl/>
        </w:rPr>
        <w:t xml:space="preserve">اختیاراً، أمّا التملّک القهری فیجوز ابتداءً،کما لو ورثه الکافر </w:t>
      </w:r>
      <w:r>
        <w:rPr>
          <w:rStyle w:val="FootnoteReference"/>
        </w:rPr>
        <w:footnoteReference w:id="4454"/>
      </w:r>
      <w:r>
        <w:rPr>
          <w:rFonts w:ascii="IRNazanin" w:hAnsi="IRNazanin" w:eastAsia="IRNazanin" w:cs="IRNazanin"/>
          <w:lang w:bidi="fa-IR"/>
          <w:color w:val="111111"/>
          <w:sz w:val="28"/>
          <w:szCs w:val="28"/>
          <w:rtl/>
        </w:rPr>
        <w:t xml:space="preserve">من کافر اجبر علی البیع،فمات قبله،فإنّه لا ینعتق علیه و لا علی الکافر المیّت؛لأصالة بقاء رقّیته،بعد تعارض دلیل نفی السبیل و عموم أدلّة الإرث.</w:t>
      </w:r>
    </w:p>
    <w:p>
      <w:pPr>
        <w:pStyle w:val="BookText"/>
      </w:pPr>
      <w:r>
        <w:rPr>
          <w:rFonts w:ascii="IRNazanin" w:hAnsi="IRNazanin" w:eastAsia="IRNazanin" w:cs="IRNazanin"/>
          <w:lang w:bidi="fa-IR"/>
          <w:color w:val="111111"/>
          <w:sz w:val="28"/>
          <w:szCs w:val="28"/>
          <w:rtl/>
        </w:rPr>
        <w:t xml:space="preserve">لکن لا یثبت بهذا الأصل </w:t>
      </w:r>
      <w:r>
        <w:rPr>
          <w:rStyle w:val="FootnoteReference"/>
        </w:rPr>
        <w:footnoteReference w:id="4455"/>
      </w:r>
      <w:r>
        <w:rPr>
          <w:rFonts w:ascii="IRNazanin" w:hAnsi="IRNazanin" w:eastAsia="IRNazanin" w:cs="IRNazanin"/>
          <w:lang w:bidi="fa-IR"/>
          <w:color w:val="111111"/>
          <w:sz w:val="28"/>
          <w:szCs w:val="28"/>
          <w:rtl/>
        </w:rPr>
        <w:t xml:space="preserve">تملّک الکافر،فیحتمل أن ینتقل إلی الإمام علیه السلام،بل هو مقتضی الجمع بین الأدلّة؛ضرورة أنّه إذا نُفی إرث الکافر بآیة نفی السبیل،کان المیّت بالنسبة إلی هذا المال ممّن لا وارث له فیرثه الإمام علیه السلام.</w:t>
      </w:r>
    </w:p>
    <w:p>
      <w:pPr>
        <w:pStyle w:val="BookText"/>
      </w:pPr>
      <w:r>
        <w:rPr>
          <w:rFonts w:ascii="IRNazanin" w:hAnsi="IRNazanin" w:eastAsia="IRNazanin" w:cs="IRNazanin"/>
          <w:lang w:bidi="fa-IR"/>
          <w:color w:val="111111"/>
          <w:sz w:val="28"/>
          <w:szCs w:val="28"/>
          <w:rtl/>
        </w:rPr>
        <w:t xml:space="preserve">و بهذا التقریر یندفع ما یقال:إنّ إرث الإمام علیه السلام منافٍ لعموم أدلّة ترتیب طبقات الإرث.</w:t>
      </w:r>
    </w:p>
    <w:p>
      <w:pPr>
        <w:pStyle w:val="BookText"/>
      </w:pPr>
      <w:r>
        <w:rPr>
          <w:rFonts w:ascii="IRNazanin" w:hAnsi="IRNazanin" w:eastAsia="IRNazanin" w:cs="IRNazanin"/>
          <w:lang w:bidi="fa-IR"/>
          <w:color w:val="111111"/>
          <w:sz w:val="28"/>
          <w:szCs w:val="28"/>
          <w:rtl/>
        </w:rPr>
        <w:t xml:space="preserve">توضیح الاندفاع:أنّه إذا کان مقتضی نفی السبیل عدمَ إرث الکافر،یتحقّق نفی الوارث الذی هو مورد إرث الإمام علیه السلام،فإنّ الممنوع من الإرث کغیر الوارث.</w:t>
      </w:r>
    </w:p>
    <w:p>
      <w:pPr>
        <w:pStyle w:val="BookText"/>
      </w:pPr>
      <w:r>
        <w:rPr>
          <w:rFonts w:ascii="IRNazanin" w:hAnsi="IRNazanin" w:eastAsia="IRNazanin" w:cs="IRNazanin"/>
          <w:lang w:bidi="fa-IR"/>
          <w:color w:val="111111"/>
          <w:sz w:val="28"/>
          <w:szCs w:val="28"/>
          <w:rtl/>
        </w:rPr>
        <w:t xml:space="preserve">[شماره صفحه واقعی : 595]
</w:t>
      </w:r>
    </w:p>
    <w:p>
      <w:pPr>
        <w:sectPr>
          <w:footerReference w:type="default" r:id="rId1274"/>
          <w:footnotePr>
            <w:numStart w:val="1"/>
            <w:numRestart w:val="eachPage"/>
          </w:footnotePr>
          <w:pgSz w:orient="portrait" w:w="11905.511811023622" w:h="16837.79527559055"/>
          <w:pgMar w:top="1440" w:right="1440" w:bottom="1440" w:left="1440" w:header="720" w:footer="720" w:gutter="0"/>
          <w:cols w:num="1" w:space="720"/>
        </w:sectPr>
      </w:pPr>
    </w:p>
    <w:bookmarkStart w:id="711" w:name="pg14411_143656"/>
    <w:bookmarkEnd w:id="711"/>
    <w:p>
      <w:pPr>
        <w:pStyle w:val="BookText"/>
      </w:pPr>
      <w:r>
        <w:rPr>
          <w:rFonts w:ascii="IRNazanin" w:hAnsi="IRNazanin" w:eastAsia="IRNazanin" w:cs="IRNazanin"/>
          <w:lang w:bidi="fa-IR"/>
          <w:color w:val="111111"/>
          <w:sz w:val="28"/>
          <w:szCs w:val="28"/>
          <w:rtl/>
        </w:rPr>
        <w:t xml:space="preserve">فالعمدة فی المسألة:ظهور الاتّفاق المدّعی صریحاً فی جامع المقاصد </w:t>
      </w:r>
      <w:r>
        <w:rPr>
          <w:rStyle w:val="FootnoteReference"/>
        </w:rPr>
        <w:footnoteReference w:id="44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هل یلحق بالإرث کلّ مِلک قهریّ،أو لا یلحق،أو یفرّق بین ما کان سببه اختیاریاً و </w:t>
      </w:r>
      <w:r>
        <w:rPr>
          <w:rStyle w:val="FootnoteReference"/>
        </w:rPr>
        <w:footnoteReference w:id="4457"/>
      </w:r>
      <w:r>
        <w:rPr>
          <w:rFonts w:ascii="IRNazanin" w:hAnsi="IRNazanin" w:eastAsia="IRNazanin" w:cs="IRNazanin"/>
          <w:lang w:bidi="fa-IR"/>
          <w:color w:val="111111"/>
          <w:sz w:val="28"/>
          <w:szCs w:val="28"/>
          <w:rtl/>
        </w:rPr>
        <w:t xml:space="preserve">غیره؟وجوه،خیرها:أوسطها،ثمّ أخیرها.</w:t>
      </w:r>
    </w:p>
    <w:p>
      <w:pPr>
        <w:pStyle w:val="Heading6"/>
      </w:pPr>
      <w:bookmarkStart w:id="2401" w:name="_Toc1436"/>
      <w:r>
        <w:t>[عدم استقرار المسلم علی ملک الکافر و وجوب بیعه علیه]</w:t>
      </w:r>
      <w:bookmarkEnd w:id="2401"/>
    </w:p>
    <w:p>
      <w:pPr>
        <w:pStyle w:val="BookText"/>
      </w:pPr>
      <w:r>
        <w:rPr>
          <w:rFonts w:ascii="IRNazanin" w:hAnsi="IRNazanin" w:eastAsia="IRNazanin" w:cs="IRNazanin"/>
          <w:lang w:bidi="fa-IR"/>
          <w:color w:val="111111"/>
          <w:sz w:val="28"/>
          <w:szCs w:val="28"/>
          <w:rtl/>
        </w:rPr>
        <w:t xml:space="preserve">ثمّ إنّه لا إشکال و لا خلاف فی أنّه لا یقرّ المسلم علی ملک الکافر،بل یجب بیعه علیه؛لقوله علیه السلام فی عبدٍ کافرٍ أسلم:«اذهبوا فبیعوه من المسلمین و ادفعوا إلیه ثمنه و لا تقرّوه عنده» </w:t>
      </w:r>
      <w:r>
        <w:rPr>
          <w:rStyle w:val="FootnoteReference"/>
        </w:rPr>
        <w:footnoteReference w:id="44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 یعلم:أنّه لو لم یبعه باعه الحاکم،و یحتمل أن یکون ولایة البیع للحاکم مطلقاً؛لکون المالک غیر قابل للسلطنة علی هذا المال -غایة الأمر أنّه دلّ النصّ و الفتوی علی تملّکه له-و لذا ذکر فیها </w:t>
      </w:r>
      <w:r>
        <w:rPr>
          <w:rStyle w:val="FootnoteReference"/>
        </w:rPr>
        <w:footnoteReference w:id="44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أنّه یباع علیه </w:t>
      </w:r>
      <w:r>
        <w:rPr>
          <w:rStyle w:val="FootnoteReference"/>
        </w:rPr>
        <w:footnoteReference w:id="4460"/>
      </w:r>
      <w:r>
        <w:rPr>
          <w:rFonts w:ascii="IRNazanin" w:hAnsi="IRNazanin" w:eastAsia="IRNazanin" w:cs="IRNazanin"/>
          <w:lang w:bidi="fa-IR"/>
          <w:color w:val="111111"/>
          <w:sz w:val="28"/>
          <w:szCs w:val="28"/>
          <w:rtl/>
        </w:rPr>
        <w:t xml:space="preserve">،بل صرّح فخر الدین قدّس سرّه فی الإیضاح بزوال ملک السیّد عنه،و یبقی له حقّ استیفاء الثمن منه </w:t>
      </w:r>
      <w:r>
        <w:rPr>
          <w:rStyle w:val="FootnoteReference"/>
        </w:rPr>
        <w:footnoteReference w:id="4461"/>
      </w:r>
      <w:r>
        <w:rPr>
          <w:rFonts w:ascii="IRNazanin" w:hAnsi="IRNazanin" w:eastAsia="IRNazanin" w:cs="IRNazanin"/>
          <w:lang w:bidi="fa-IR"/>
          <w:color w:val="111111"/>
          <w:sz w:val="28"/>
          <w:szCs w:val="28"/>
          <w:rtl/>
        </w:rPr>
        <w:t xml:space="preserve">.و هو مخالف لظاهر النصّ و الفتوی،کما عرفت.</w:t>
      </w:r>
    </w:p>
    <w:p>
      <w:pPr>
        <w:pStyle w:val="BookText"/>
      </w:pPr>
      <w:r>
        <w:rPr>
          <w:rFonts w:ascii="IRNazanin" w:hAnsi="IRNazanin" w:eastAsia="IRNazanin" w:cs="IRNazanin"/>
          <w:lang w:bidi="fa-IR"/>
          <w:color w:val="111111"/>
          <w:sz w:val="28"/>
          <w:szCs w:val="28"/>
          <w:rtl/>
        </w:rPr>
        <w:t xml:space="preserve">[شماره صفحه واقعی : 596]
</w:t>
      </w:r>
    </w:p>
    <w:p>
      <w:pPr>
        <w:sectPr>
          <w:footerReference w:type="default" r:id="rId1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[*ستوده]</w:t>
      </w:r>
    </w:p>
    <w:p>
      <w:pPr>
        <w:pStyle w:val="BookText"/>
      </w:pPr>
      <w:r>
        <w:rPr>
          <w:rFonts w:ascii="IRNazanin" w:hAnsi="IRNazanin" w:eastAsia="IRNazanin" w:cs="IRNazanin"/>
          <w:lang w:bidi="fa-IR"/>
          <w:color w:val="111111"/>
          <w:sz w:val="28"/>
          <w:szCs w:val="28"/>
          <w:rtl/>
        </w:rPr>
        <w:t xml:space="preserve">و کیف کان،فإذا تولّاه المالک بنفسه </w:t>
      </w:r>
      <w:r>
        <w:rPr>
          <w:rStyle w:val="FootnoteReference"/>
        </w:rPr>
        <w:footnoteReference w:id="4462"/>
      </w:r>
      <w:r>
        <w:rPr>
          <w:rFonts w:ascii="IRNazanin" w:hAnsi="IRNazanin" w:eastAsia="IRNazanin" w:cs="IRNazanin"/>
          <w:lang w:bidi="fa-IR"/>
          <w:color w:val="111111"/>
          <w:sz w:val="28"/>
          <w:szCs w:val="28"/>
          <w:rtl/>
        </w:rPr>
        <w:t xml:space="preserve">،فالظاهر أنّه لا خیار له و لا علیه،وفاقاً للمحکیّ عن الحواشی فی خیار المجلس و الشرط </w:t>
      </w:r>
      <w:r>
        <w:rPr>
          <w:rStyle w:val="FootnoteReference"/>
        </w:rPr>
        <w:footnoteReference w:id="4463"/>
      </w:r>
      <w:r>
        <w:rPr>
          <w:rFonts w:ascii="IRNazanin" w:hAnsi="IRNazanin" w:eastAsia="IRNazanin" w:cs="IRNazanin"/>
          <w:lang w:bidi="fa-IR"/>
          <w:color w:val="111111"/>
          <w:sz w:val="28"/>
          <w:szCs w:val="28"/>
          <w:rtl/>
        </w:rPr>
        <w:t xml:space="preserve">لأنّه إحداث ملک فینتفی؛لعموم </w:t>
      </w:r>
      <w:r>
        <w:rPr>
          <w:rStyle w:val="FootnoteReference"/>
        </w:rPr>
        <w:footnoteReference w:id="4464"/>
      </w:r>
      <w:r>
        <w:rPr>
          <w:rFonts w:ascii="IRNazanin" w:hAnsi="IRNazanin" w:eastAsia="IRNazanin" w:cs="IRNazanin"/>
          <w:lang w:bidi="fa-IR"/>
          <w:color w:val="111111"/>
          <w:sz w:val="28"/>
          <w:szCs w:val="28"/>
          <w:rtl/>
        </w:rPr>
        <w:t xml:space="preserve">نفی السبیل؛لتقدیمه علی أدلّة الخیار کما یقدّم علی أدلّة البیع.</w:t>
      </w:r>
    </w:p>
    <w:p>
      <w:pPr>
        <w:pStyle w:val="BookText"/>
      </w:pPr>
      <w:r>
        <w:rPr>
          <w:rFonts w:ascii="IRNazanin" w:hAnsi="IRNazanin" w:eastAsia="IRNazanin" w:cs="IRNazanin"/>
          <w:lang w:bidi="fa-IR"/>
          <w:color w:val="111111"/>
          <w:sz w:val="28"/>
          <w:szCs w:val="28"/>
          <w:rtl/>
        </w:rPr>
        <w:t xml:space="preserve">و یمکن أن یبتنی علی أنّ الزائل العائد کالذی لم یزل،أو کالذی لم یعد؟فإن قلنا بالأوّل،ثبت الخیار؛لأنّ فسخ العقد یجعل الملکیّة السابقة کأن لم تزل،و قد أمضاها الشارع و أمر بإزالتها،بخلاف ما لو کان الملکیّة الحاصلة غیر </w:t>
      </w:r>
      <w:r>
        <w:rPr>
          <w:rStyle w:val="FootnoteReference"/>
        </w:rPr>
        <w:footnoteReference w:id="4465"/>
      </w:r>
      <w:r>
        <w:rPr>
          <w:rFonts w:ascii="IRNazanin" w:hAnsi="IRNazanin" w:eastAsia="IRNazanin" w:cs="IRNazanin"/>
          <w:lang w:bidi="fa-IR"/>
          <w:color w:val="111111"/>
          <w:sz w:val="28"/>
          <w:szCs w:val="28"/>
          <w:rtl/>
        </w:rPr>
        <w:t xml:space="preserve">السابقة،فإنّ الشارع لم یمضها.لکن هذا المبنی لیس بشیء؛لوجوب الاقتصار فی تخصیص نفی السبیل علی المتیقّن.</w:t>
      </w:r>
    </w:p>
    <w:p>
      <w:pPr>
        <w:pStyle w:val="BookText"/>
      </w:pPr>
      <w:r>
        <w:rPr>
          <w:rFonts w:ascii="IRNazanin" w:hAnsi="IRNazanin" w:eastAsia="IRNazanin" w:cs="IRNazanin"/>
          <w:lang w:bidi="fa-IR"/>
          <w:color w:val="111111"/>
          <w:sz w:val="28"/>
          <w:szCs w:val="28"/>
          <w:rtl/>
        </w:rPr>
        <w:t xml:space="preserve">نعم،یحکم بالأرش لو کان العبد أو ثمنه معیباً.</w:t>
      </w:r>
    </w:p>
    <w:p>
      <w:pPr>
        <w:pStyle w:val="BookText"/>
      </w:pPr>
      <w:r>
        <w:rPr>
          <w:rFonts w:ascii="IRNazanin" w:hAnsi="IRNazanin" w:eastAsia="IRNazanin" w:cs="IRNazanin"/>
          <w:lang w:bidi="fa-IR"/>
          <w:color w:val="111111"/>
          <w:sz w:val="28"/>
          <w:szCs w:val="28"/>
          <w:rtl/>
        </w:rPr>
        <w:t xml:space="preserve">و یشکل فی الخیارات الناشئة عن الضرر؛من جهة قوّة أدلّة نفی الضرر،فلا یبعد الحکم بثبوت الخیار للمسلم المتضرّر من لزوم البیع، بخلاف ما لو تضرّر الکافر،فإنّ هذا الضرر إنّما حصل من کفره الموجب لعدم قابلیّته تملّک المسلم إلّا فیما خرج بالنصّ.</w:t>
      </w:r>
    </w:p>
    <w:p>
      <w:pPr>
        <w:pStyle w:val="BookText"/>
      </w:pPr>
      <w:r>
        <w:rPr>
          <w:rFonts w:ascii="IRNazanin" w:hAnsi="IRNazanin" w:eastAsia="IRNazanin" w:cs="IRNazanin"/>
          <w:lang w:bidi="fa-IR"/>
          <w:color w:val="111111"/>
          <w:sz w:val="28"/>
          <w:szCs w:val="28"/>
          <w:rtl/>
        </w:rPr>
        <w:t xml:space="preserve">و یظهر ممّا ذکرنا،حکم الرجوع فی العقد الجائز،کالهبة.</w:t>
      </w:r>
    </w:p>
    <w:p>
      <w:pPr>
        <w:pStyle w:val="BookText"/>
      </w:pPr>
      <w:r>
        <w:rPr>
          <w:rFonts w:ascii="IRNazanin" w:hAnsi="IRNazanin" w:eastAsia="IRNazanin" w:cs="IRNazanin"/>
          <w:lang w:bidi="fa-IR"/>
          <w:color w:val="111111"/>
          <w:sz w:val="28"/>
          <w:szCs w:val="28"/>
          <w:rtl/>
        </w:rPr>
        <w:t xml:space="preserve">[شماره صفحه واقعی : 597]
</w:t>
      </w:r>
    </w:p>
    <w:p>
      <w:pPr>
        <w:sectPr>
          <w:footerReference w:type="default" r:id="rId1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خالف فی ذلک کلّه جامع المقاصد،فحکم بثبوت الخیار و الردّ بالعیب-تبعاً للدروس </w:t>
      </w:r>
      <w:r>
        <w:rPr>
          <w:rStyle w:val="FootnoteReference"/>
        </w:rPr>
        <w:footnoteReference w:id="4466"/>
      </w:r>
      <w:r>
        <w:rPr>
          <w:rFonts w:ascii="IRNazanin" w:hAnsi="IRNazanin" w:eastAsia="IRNazanin" w:cs="IRNazanin"/>
          <w:lang w:bidi="fa-IR"/>
          <w:color w:val="111111"/>
          <w:sz w:val="28"/>
          <w:szCs w:val="28"/>
          <w:rtl/>
        </w:rPr>
        <w:t xml:space="preserve">-قال:لأنّ العقد لا یخرج عن مقتضاه بکون المبیع عبداً مسلماً لکافر؛لانتفاء المقتضی؛لأنّ نفی السبیل لو اقتضی ذلک لاقتضی خروجه عن ملکه،فعلی هذا،لو کان البیع معاطاة فهی علی حکمها،و لو أخرجه عن ملکه بالهبة جرت فیه أحکامها.</w:t>
      </w:r>
    </w:p>
    <w:p>
      <w:pPr>
        <w:pStyle w:val="BookText"/>
      </w:pPr>
      <w:r>
        <w:rPr>
          <w:rFonts w:ascii="IRNazanin" w:hAnsi="IRNazanin" w:eastAsia="IRNazanin" w:cs="IRNazanin"/>
          <w:lang w:bidi="fa-IR"/>
          <w:color w:val="111111"/>
          <w:sz w:val="28"/>
          <w:szCs w:val="28"/>
          <w:rtl/>
        </w:rPr>
        <w:t xml:space="preserve">نعم لا یبعد أن یقال:للحاکم إلزامه بإسقاط نحو خیار المجلس أو مطالبته بسببٍ ناقلٍ یمنع الرجوع إذا </w:t>
      </w:r>
      <w:r>
        <w:rPr>
          <w:rStyle w:val="FootnoteReference"/>
        </w:rPr>
        <w:footnoteReference w:id="4467"/>
      </w:r>
      <w:r>
        <w:rPr>
          <w:rFonts w:ascii="IRNazanin" w:hAnsi="IRNazanin" w:eastAsia="IRNazanin" w:cs="IRNazanin"/>
          <w:lang w:bidi="fa-IR"/>
          <w:color w:val="111111"/>
          <w:sz w:val="28"/>
          <w:szCs w:val="28"/>
          <w:rtl/>
        </w:rPr>
        <w:t xml:space="preserve">لم یلزم منه تخسیر للمال </w:t>
      </w:r>
      <w:r>
        <w:rPr>
          <w:rStyle w:val="FootnoteReference"/>
        </w:rPr>
        <w:footnoteReference w:id="4468"/>
      </w:r>
      <w:r>
        <w:rPr>
          <w:rFonts w:ascii="IRNazanin" w:hAnsi="IRNazanin" w:eastAsia="IRNazanin" w:cs="IRNazanin"/>
          <w:lang w:bidi="fa-IR"/>
          <w:color w:val="111111"/>
          <w:sz w:val="28"/>
          <w:szCs w:val="28"/>
          <w:rtl/>
        </w:rPr>
        <w:t xml:space="preserve">، انتهی.</w:t>
      </w:r>
    </w:p>
    <w:p>
      <w:pPr>
        <w:pStyle w:val="BookText"/>
      </w:pPr>
      <w:r>
        <w:rPr>
          <w:rFonts w:ascii="IRNazanin" w:hAnsi="IRNazanin" w:eastAsia="IRNazanin" w:cs="IRNazanin"/>
          <w:lang w:bidi="fa-IR"/>
          <w:color w:val="111111"/>
          <w:sz w:val="28"/>
          <w:szCs w:val="28"/>
          <w:rtl/>
        </w:rPr>
        <w:t xml:space="preserve">و فیما ذکره </w:t>
      </w:r>
      <w:r>
        <w:rPr>
          <w:rStyle w:val="FootnoteReference"/>
        </w:rPr>
        <w:footnoteReference w:id="4469"/>
      </w:r>
      <w:r>
        <w:rPr>
          <w:rFonts w:ascii="IRNazanin" w:hAnsi="IRNazanin" w:eastAsia="IRNazanin" w:cs="IRNazanin"/>
          <w:lang w:bidi="fa-IR"/>
          <w:color w:val="111111"/>
          <w:sz w:val="28"/>
          <w:szCs w:val="28"/>
          <w:rtl/>
        </w:rPr>
        <w:t xml:space="preserve">نظر؛لأنّ نفی السبیل لا یخرج منه إلّا الملک الابتدائی،و خروجه لا یستلزم خروج عود الملک إلیه بالفسخ،و استلزام البیع للخیارات لیس عقلیاً،بل تابع لدلیله الذی هو أضعف من دلیل صحّة العقد الذی خصّ بنفی السبیل،فهذا </w:t>
      </w:r>
      <w:r>
        <w:rPr>
          <w:rStyle w:val="FootnoteReference"/>
        </w:rPr>
        <w:footnoteReference w:id="4470"/>
      </w:r>
      <w:r>
        <w:rPr>
          <w:rFonts w:ascii="IRNazanin" w:hAnsi="IRNazanin" w:eastAsia="IRNazanin" w:cs="IRNazanin"/>
          <w:lang w:bidi="fa-IR"/>
          <w:color w:val="111111"/>
          <w:sz w:val="28"/>
          <w:szCs w:val="28"/>
          <w:rtl/>
        </w:rPr>
        <w:t xml:space="preserve">أولی بالتخصیص به،مع أنّه علی تقدیر المقاومة یرجع إلی أصالة الملک و عدم زواله بالفسخ و الرجوع،فتأمّل.</w:t>
      </w:r>
    </w:p>
    <w:p>
      <w:pPr>
        <w:pStyle w:val="BookText"/>
      </w:pPr>
      <w:r>
        <w:rPr>
          <w:rFonts w:ascii="IRNazanin" w:hAnsi="IRNazanin" w:eastAsia="IRNazanin" w:cs="IRNazanin"/>
          <w:lang w:bidi="fa-IR"/>
          <w:color w:val="111111"/>
          <w:sz w:val="28"/>
          <w:szCs w:val="28"/>
          <w:rtl/>
        </w:rPr>
        <w:t xml:space="preserve">و أمّا ما ذکره أخیراً بقوله:«لا یبعد»ففیه:أنّ إلزامه بما ذکر لیس بأولی من الحکم بعدم جواز الرجوع،فیکون </w:t>
      </w:r>
      <w:r>
        <w:rPr>
          <w:rStyle w:val="FootnoteReference"/>
        </w:rPr>
        <w:footnoteReference w:id="4471"/>
      </w:r>
      <w:r>
        <w:rPr>
          <w:rFonts w:ascii="IRNazanin" w:hAnsi="IRNazanin" w:eastAsia="IRNazanin" w:cs="IRNazanin"/>
          <w:lang w:bidi="fa-IR"/>
          <w:color w:val="111111"/>
          <w:sz w:val="28"/>
          <w:szCs w:val="28"/>
          <w:rtl/>
        </w:rPr>
        <w:t xml:space="preserve">خروج المسلم من</w:t>
      </w:r>
    </w:p>
    <w:p>
      <w:pPr>
        <w:pStyle w:val="BookText"/>
      </w:pPr>
      <w:r>
        <w:rPr>
          <w:rFonts w:ascii="IRNazanin" w:hAnsi="IRNazanin" w:eastAsia="IRNazanin" w:cs="IRNazanin"/>
          <w:lang w:bidi="fa-IR"/>
          <w:color w:val="111111"/>
          <w:sz w:val="28"/>
          <w:szCs w:val="28"/>
          <w:rtl/>
        </w:rPr>
        <w:t xml:space="preserve">[شماره صفحه واقعی : 598]
</w:t>
      </w:r>
    </w:p>
    <w:p>
      <w:pPr>
        <w:sectPr>
          <w:footerReference w:type="default" r:id="rId1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ملک الکافر إلی ملک المسلم </w:t>
      </w:r>
      <w:r>
        <w:rPr>
          <w:rStyle w:val="FootnoteReference"/>
        </w:rPr>
        <w:footnoteReference w:id="4472"/>
      </w:r>
      <w:r>
        <w:rPr>
          <w:rFonts w:ascii="Amiri" w:hAnsi="Amiri" w:eastAsia="Amiri" w:cs="Amiri"/>
          <w:lang w:bidi="ar-SA"/>
          <w:color w:val="111111"/>
          <w:sz w:val="28"/>
          <w:szCs w:val="28"/>
          <w:rtl/>
        </w:rPr>
        <w:t xml:space="preserve">بمنزلة التصرّف </w:t>
      </w:r>
      <w:r>
        <w:rPr>
          <w:rStyle w:val="FootnoteReference"/>
        </w:rPr>
        <w:footnoteReference w:id="4473"/>
      </w:r>
      <w:r>
        <w:rPr>
          <w:rFonts w:ascii="IRNazanin" w:hAnsi="IRNazanin" w:eastAsia="IRNazanin" w:cs="IRNazanin"/>
          <w:lang w:bidi="fa-IR"/>
          <w:color w:val="111111"/>
          <w:sz w:val="28"/>
          <w:szCs w:val="28"/>
          <w:rtl/>
        </w:rPr>
        <w:t xml:space="preserve">المانع من الفسخ و الرجوع.</w:t>
      </w:r>
    </w:p>
    <w:p>
      <w:pPr>
        <w:pStyle w:val="BookText"/>
      </w:pPr>
      <w:r>
        <w:rPr>
          <w:rFonts w:ascii="IRNazanin" w:hAnsi="IRNazanin" w:eastAsia="IRNazanin" w:cs="IRNazanin"/>
          <w:lang w:bidi="fa-IR"/>
          <w:color w:val="111111"/>
          <w:sz w:val="28"/>
          <w:szCs w:val="28"/>
          <w:rtl/>
        </w:rPr>
        <w:t xml:space="preserve">و ممّا ذکرنا یظهر:أنّ ما ذکره فی القواعد-من قوله قدّس سرّه:و لو باعه من مسلم </w:t>
      </w:r>
      <w:r>
        <w:rPr>
          <w:rStyle w:val="FootnoteReference"/>
        </w:rPr>
        <w:footnoteReference w:id="4474"/>
      </w:r>
      <w:r>
        <w:rPr>
          <w:rFonts w:ascii="IRNazanin" w:hAnsi="IRNazanin" w:eastAsia="IRNazanin" w:cs="IRNazanin"/>
          <w:lang w:bidi="fa-IR"/>
          <w:color w:val="111111"/>
          <w:sz w:val="28"/>
          <w:szCs w:val="28"/>
          <w:rtl/>
        </w:rPr>
        <w:t xml:space="preserve">بثوب ثمّ وجد فی الثمن </w:t>
      </w:r>
      <w:r>
        <w:rPr>
          <w:rStyle w:val="FootnoteReference"/>
        </w:rPr>
        <w:footnoteReference w:id="4475"/>
      </w:r>
      <w:r>
        <w:rPr>
          <w:rFonts w:ascii="Amiri" w:hAnsi="Amiri" w:eastAsia="Amiri" w:cs="Amiri"/>
          <w:lang w:bidi="ar-SA"/>
          <w:color w:val="111111"/>
          <w:sz w:val="28"/>
          <w:szCs w:val="28"/>
          <w:rtl/>
        </w:rPr>
        <w:t xml:space="preserve">عیباً،جاز ردّ الثمن </w:t>
      </w:r>
      <w:r>
        <w:rPr>
          <w:rStyle w:val="FootnoteReference"/>
        </w:rPr>
        <w:footnoteReference w:id="4476"/>
      </w:r>
      <w:r>
        <w:rPr>
          <w:rFonts w:ascii="IRNazanin" w:hAnsi="IRNazanin" w:eastAsia="IRNazanin" w:cs="IRNazanin"/>
          <w:lang w:bidi="fa-IR"/>
          <w:color w:val="111111"/>
          <w:sz w:val="28"/>
          <w:szCs w:val="28"/>
          <w:rtl/>
        </w:rPr>
        <w:t xml:space="preserve">،و هل یستردّ العبد أو القیمة؟فیه نظر ینشأ من کون الاسترداد تملّکاً للمسلم اختیاراً،و </w:t>
      </w:r>
      <w:r>
        <w:rPr>
          <w:rStyle w:val="FootnoteReference"/>
        </w:rPr>
        <w:footnoteReference w:id="4477"/>
      </w:r>
      <w:r>
        <w:rPr>
          <w:rFonts w:ascii="IRNazanin" w:hAnsi="IRNazanin" w:eastAsia="IRNazanin" w:cs="IRNazanin"/>
          <w:lang w:bidi="fa-IR"/>
          <w:color w:val="111111"/>
          <w:sz w:val="28"/>
          <w:szCs w:val="28"/>
          <w:rtl/>
        </w:rPr>
        <w:t xml:space="preserve">من کون الردّ بالعیب موضوعاً علی القهر کالإرث </w:t>
      </w:r>
      <w:r>
        <w:rPr>
          <w:rStyle w:val="FootnoteReference"/>
        </w:rPr>
        <w:footnoteReference w:id="4478"/>
      </w:r>
      <w:r>
        <w:rPr>
          <w:rFonts w:ascii="IRNazanin" w:hAnsi="IRNazanin" w:eastAsia="IRNazanin" w:cs="IRNazanin"/>
          <w:lang w:bidi="fa-IR"/>
          <w:color w:val="111111"/>
          <w:sz w:val="28"/>
          <w:szCs w:val="28"/>
          <w:rtl/>
        </w:rPr>
        <w:t xml:space="preserve">، انتهی-محلّ تأمّل،إلّا أن یقال:إنّ مقتضی الجمع بین أدلّة الخیار،و نفی السبیل:ثبوت الخیار و الحکم بالقیمة،فیکون نفی السبیل مانعاً شرعیّاً من استرداد المثمن </w:t>
      </w:r>
      <w:r>
        <w:rPr>
          <w:rStyle w:val="FootnoteReference"/>
        </w:rPr>
        <w:footnoteReference w:id="4479"/>
      </w:r>
      <w:r>
        <w:rPr>
          <w:rFonts w:ascii="IRNazanin" w:hAnsi="IRNazanin" w:eastAsia="IRNazanin" w:cs="IRNazanin"/>
          <w:lang w:bidi="fa-IR"/>
          <w:color w:val="111111"/>
          <w:sz w:val="28"/>
          <w:szCs w:val="28"/>
          <w:rtl/>
        </w:rPr>
        <w:t xml:space="preserve">،کنقل المبیع فی زمن الخیار،و کالتلف الذی هو مانع عقلیّ.</w:t>
      </w:r>
    </w:p>
    <w:p>
      <w:pPr>
        <w:pStyle w:val="BookText"/>
      </w:pPr>
      <w:r>
        <w:rPr>
          <w:rFonts w:ascii="IRNazanin" w:hAnsi="IRNazanin" w:eastAsia="IRNazanin" w:cs="IRNazanin"/>
          <w:lang w:bidi="fa-IR"/>
          <w:color w:val="111111"/>
          <w:sz w:val="28"/>
          <w:szCs w:val="28"/>
          <w:rtl/>
        </w:rPr>
        <w:t xml:space="preserve">و هو حسن إن لم یحصل السبیل بمجرّد استحقاق الکافر للمسلم</w:t>
      </w:r>
    </w:p>
    <w:p>
      <w:pPr>
        <w:pStyle w:val="BookText"/>
      </w:pPr>
      <w:r>
        <w:rPr>
          <w:rFonts w:ascii="IRNazanin" w:hAnsi="IRNazanin" w:eastAsia="IRNazanin" w:cs="IRNazanin"/>
          <w:lang w:bidi="fa-IR"/>
          <w:color w:val="111111"/>
          <w:sz w:val="28"/>
          <w:szCs w:val="28"/>
          <w:rtl/>
        </w:rPr>
        <w:t xml:space="preserve">[شماره صفحه واقعی : 599]
</w:t>
      </w:r>
    </w:p>
    <w:p>
      <w:pPr>
        <w:sectPr>
          <w:footerReference w:type="default" r:id="rId1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المنکشف باستحقاق بدله؛و لذا حکموا بسقوط الخیار فی من ینعتق علی المشتری </w:t>
      </w:r>
      <w:r>
        <w:rPr>
          <w:rStyle w:val="FootnoteReference"/>
        </w:rPr>
        <w:footnoteReference w:id="4480"/>
      </w:r>
      <w:r>
        <w:rPr>
          <w:rFonts w:ascii="Amiri" w:hAnsi="Amiri" w:eastAsia="Amiri" w:cs="Amiri"/>
          <w:lang w:bidi="ar-SA"/>
          <w:color w:val="111111"/>
          <w:sz w:val="28"/>
          <w:szCs w:val="28"/>
          <w:rtl/>
        </w:rPr>
        <w:t xml:space="preserve">،فتأمّل.</w:t>
      </w:r>
    </w:p>
    <w:p>
      <w:pPr>
        <w:pStyle w:val="BookText"/>
      </w:pPr>
      <w:r>
        <w:rPr>
          <w:rFonts w:ascii="IRNazanin" w:hAnsi="IRNazanin" w:eastAsia="IRNazanin" w:cs="IRNazanin"/>
          <w:lang w:bidi="fa-IR"/>
          <w:color w:val="111111"/>
          <w:sz w:val="28"/>
          <w:szCs w:val="28"/>
          <w:rtl/>
        </w:rPr>
        <w:t xml:space="preserve">[شماره صفحه واقعی : 600]
</w:t>
      </w:r>
    </w:p>
    <w:p>
      <w:pPr>
        <w:sectPr>
          <w:footerReference w:type="default" r:id="rId1279"/>
          <w:footnotePr>
            <w:numStart w:val="1"/>
            <w:numRestart w:val="eachPage"/>
          </w:footnotePr>
          <w:pgSz w:orient="portrait" w:w="11905.511811023622" w:h="16837.79527559055"/>
          <w:pgMar w:top="1440" w:right="1440" w:bottom="1440" w:left="1440" w:header="720" w:footer="720" w:gutter="0"/>
          <w:cols w:num="1" w:space="720"/>
        </w:sectPr>
      </w:pPr>
    </w:p>
    <w:bookmarkStart w:id="712" w:name="pg14411_143661"/>
    <w:bookmarkEnd w:id="712"/>
    <w:p>
      <w:pPr>
        <w:pStyle w:val="Heading6"/>
      </w:pPr>
      <w:bookmarkStart w:id="2402" w:name="_Toc1437"/>
      <w:r>
        <w:t>مسألة : المشهور عدم جواز نقل المصحف إلی الکافر</w:t>
      </w:r>
      <w:bookmarkEnd w:id="2402"/>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[*ستوده]</w:t>
      </w:r>
    </w:p>
    <w:p>
      <w:pPr>
        <w:pStyle w:val="BookText"/>
      </w:pPr>
      <w:r>
        <w:rPr>
          <w:rFonts w:ascii="IRNazanin" w:hAnsi="IRNazanin" w:eastAsia="IRNazanin" w:cs="IRNazanin"/>
          <w:lang w:bidi="fa-IR"/>
          <w:color w:val="111111"/>
          <w:sz w:val="28"/>
          <w:szCs w:val="28"/>
          <w:rtl/>
        </w:rPr>
        <w:t xml:space="preserve">ذکره الشیخ </w:t>
      </w:r>
      <w:r>
        <w:rPr>
          <w:rStyle w:val="FootnoteReference"/>
        </w:rPr>
        <w:footnoteReference w:id="4481"/>
      </w:r>
      <w:r>
        <w:rPr>
          <w:rFonts w:ascii="Amiri" w:hAnsi="Amiri" w:eastAsia="Amiri" w:cs="Amiri"/>
          <w:lang w:bidi="ar-SA"/>
          <w:color w:val="111111"/>
          <w:sz w:val="28"/>
          <w:szCs w:val="28"/>
          <w:rtl/>
        </w:rPr>
        <w:t xml:space="preserve">و المحقّق </w:t>
      </w:r>
      <w:r>
        <w:rPr>
          <w:rStyle w:val="FootnoteReference"/>
        </w:rPr>
        <w:footnoteReference w:id="4482"/>
      </w:r>
      <w:r>
        <w:rPr>
          <w:rFonts w:ascii="IRNazanin" w:hAnsi="IRNazanin" w:eastAsia="IRNazanin" w:cs="IRNazanin"/>
          <w:lang w:bidi="fa-IR"/>
          <w:color w:val="111111"/>
          <w:sz w:val="28"/>
          <w:szCs w:val="28"/>
          <w:rtl/>
        </w:rPr>
        <w:t xml:space="preserve">فی الجهاد،و العلّامة فی کتبه </w:t>
      </w:r>
      <w:r>
        <w:rPr>
          <w:rStyle w:val="FootnoteReference"/>
        </w:rPr>
        <w:footnoteReference w:id="4483"/>
      </w:r>
      <w:r>
        <w:rPr>
          <w:rFonts w:ascii="IRNazanin" w:hAnsi="IRNazanin" w:eastAsia="IRNazanin" w:cs="IRNazanin"/>
          <w:lang w:bidi="fa-IR"/>
          <w:color w:val="111111"/>
          <w:sz w:val="28"/>
          <w:szCs w:val="28"/>
          <w:rtl/>
        </w:rPr>
        <w:t xml:space="preserve">و جمهور من تأخّر عنه </w:t>
      </w:r>
      <w:r>
        <w:rPr>
          <w:rStyle w:val="FootnoteReference"/>
        </w:rPr>
        <w:footnoteReference w:id="44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الإسکافی أنّه قال:و لا أختار أن یرهن الکافر مصحفاً، و ما یجب </w:t>
      </w:r>
      <w:r>
        <w:rPr>
          <w:rStyle w:val="FootnoteReference"/>
        </w:rPr>
        <w:footnoteReference w:id="4485"/>
      </w:r>
      <w:r>
        <w:rPr>
          <w:rFonts w:ascii="IRNazanin" w:hAnsi="IRNazanin" w:eastAsia="IRNazanin" w:cs="IRNazanin"/>
          <w:lang w:bidi="fa-IR"/>
          <w:color w:val="111111"/>
          <w:sz w:val="28"/>
          <w:szCs w:val="28"/>
          <w:rtl/>
        </w:rPr>
        <w:t xml:space="preserve">علی المسلم تعظیمه،و لا صغیراً من الأطفال </w:t>
      </w:r>
      <w:r>
        <w:rPr>
          <w:rStyle w:val="FootnoteReference"/>
        </w:rPr>
        <w:footnoteReference w:id="4486"/>
      </w:r>
      <w:r>
        <w:rPr>
          <w:rFonts w:ascii="IRNazanin" w:hAnsi="IRNazanin" w:eastAsia="IRNazanin" w:cs="IRNazanin"/>
          <w:lang w:bidi="fa-IR"/>
          <w:color w:val="111111"/>
          <w:sz w:val="28"/>
          <w:szCs w:val="28"/>
          <w:rtl/>
        </w:rPr>
        <w:t xml:space="preserve">،انتهی.</w:t>
      </w:r>
    </w:p>
    <w:p>
      <w:pPr>
        <w:pStyle w:val="BookText"/>
      </w:pPr>
      <w:r>
        <w:rPr>
          <w:rFonts w:ascii="Amiri" w:hAnsi="Amiri" w:eastAsia="Amiri" w:cs="Amiri"/>
          <w:lang w:bidi="ar-SA"/>
          <w:color w:val="111111"/>
          <w:sz w:val="28"/>
          <w:szCs w:val="28"/>
          <w:rtl/>
        </w:rPr>
        <w:t xml:space="preserve">و استدلّوا </w:t>
      </w:r>
      <w:r>
        <w:rPr>
          <w:rStyle w:val="FootnoteReference"/>
        </w:rPr>
        <w:footnoteReference w:id="4487"/>
      </w:r>
      <w:r>
        <w:rPr>
          <w:rFonts w:ascii="IRNazanin" w:hAnsi="IRNazanin" w:eastAsia="IRNazanin" w:cs="IRNazanin"/>
          <w:lang w:bidi="fa-IR"/>
          <w:color w:val="111111"/>
          <w:sz w:val="28"/>
          <w:szCs w:val="28"/>
          <w:rtl/>
        </w:rPr>
        <w:t xml:space="preserve">علیه بوجوب احترام المصحف،و فحوی المنع من بیع</w:t>
      </w:r>
    </w:p>
    <w:p>
      <w:pPr>
        <w:pStyle w:val="BookText"/>
      </w:pPr>
      <w:r>
        <w:rPr>
          <w:rFonts w:ascii="IRNazanin" w:hAnsi="IRNazanin" w:eastAsia="IRNazanin" w:cs="IRNazanin"/>
          <w:lang w:bidi="fa-IR"/>
          <w:color w:val="111111"/>
          <w:sz w:val="28"/>
          <w:szCs w:val="28"/>
          <w:rtl/>
        </w:rPr>
        <w:t xml:space="preserve">[شماره صفحه واقعی : 601]
</w:t>
      </w:r>
    </w:p>
    <w:p>
      <w:pPr>
        <w:sectPr>
          <w:footerReference w:type="default" r:id="rId1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العبد المسلم من الکافر.</w:t>
      </w:r>
    </w:p>
    <w:p>
      <w:pPr>
        <w:pStyle w:val="BookText"/>
      </w:pPr>
      <w:r>
        <w:rPr>
          <w:rFonts w:ascii="IRNazanin" w:hAnsi="IRNazanin" w:eastAsia="IRNazanin" w:cs="IRNazanin"/>
          <w:lang w:bidi="fa-IR"/>
          <w:color w:val="111111"/>
          <w:sz w:val="28"/>
          <w:szCs w:val="28"/>
          <w:rtl/>
        </w:rPr>
        <w:t xml:space="preserve">و ما ذکروه حسن و إن کان وجهه لا یخلو عن تأمّل أو منع.</w:t>
      </w:r>
    </w:p>
    <w:p>
      <w:pPr>
        <w:pStyle w:val="BookText"/>
      </w:pPr>
      <w:r>
        <w:rPr>
          <w:rFonts w:ascii="IRNazanin" w:hAnsi="IRNazanin" w:eastAsia="IRNazanin" w:cs="IRNazanin"/>
          <w:lang w:bidi="fa-IR"/>
          <w:color w:val="111111"/>
          <w:sz w:val="28"/>
          <w:szCs w:val="28"/>
          <w:rtl/>
        </w:rPr>
        <w:t xml:space="preserve">و فی إلحاق الأحادیث النبویّة بالمصحف-کما صرّح به فی المبسوط </w:t>
      </w:r>
      <w:r>
        <w:rPr>
          <w:rStyle w:val="FootnoteReference"/>
        </w:rPr>
        <w:footnoteReference w:id="4488"/>
      </w:r>
      <w:r>
        <w:rPr>
          <w:rFonts w:ascii="IRNazanin" w:hAnsi="IRNazanin" w:eastAsia="IRNazanin" w:cs="IRNazanin"/>
          <w:lang w:bidi="fa-IR"/>
          <w:color w:val="111111"/>
          <w:sz w:val="28"/>
          <w:szCs w:val="28"/>
          <w:rtl/>
        </w:rPr>
        <w:t xml:space="preserve">-و الکراهة کما هو صریح الشرائع </w:t>
      </w:r>
      <w:r>
        <w:rPr>
          <w:rStyle w:val="FootnoteReference"/>
        </w:rPr>
        <w:footnoteReference w:id="4489"/>
      </w:r>
      <w:r>
        <w:rPr>
          <w:rFonts w:ascii="IRNazanin" w:hAnsi="IRNazanin" w:eastAsia="IRNazanin" w:cs="IRNazanin"/>
          <w:lang w:bidi="fa-IR"/>
          <w:color w:val="111111"/>
          <w:sz w:val="28"/>
          <w:szCs w:val="28"/>
          <w:rtl/>
        </w:rPr>
        <w:t xml:space="preserve">،و نسبه الصیمری إلی المشهور </w:t>
      </w:r>
      <w:r>
        <w:rPr>
          <w:rStyle w:val="FootnoteReference"/>
        </w:rPr>
        <w:footnoteReference w:id="4490"/>
      </w:r>
      <w:r>
        <w:rPr>
          <w:rFonts w:ascii="IRNazanin" w:hAnsi="IRNazanin" w:eastAsia="IRNazanin" w:cs="IRNazanin"/>
          <w:lang w:bidi="fa-IR"/>
          <w:color w:val="111111"/>
          <w:sz w:val="28"/>
          <w:szCs w:val="28"/>
          <w:rtl/>
        </w:rPr>
        <w:t xml:space="preserve">،قولان،تردّد بینهما العلّامة فی التذکرة </w:t>
      </w:r>
      <w:r>
        <w:rPr>
          <w:rStyle w:val="FootnoteReference"/>
        </w:rPr>
        <w:footnoteReference w:id="44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یبعد أن یکون الأحادیث المنسوبة إلی النبیّ صلّی اللّٰه علیه و آله و سلم من طرق الآحاد،حکمها حکم ما علم صدوره منه صلّی اللّٰه علیه و آله و سلم،و إن کان ظاهر ما ألحقوه بالمصحف هو أقوال النبیّ صلّی اللّٰه علیه و آله و سلم المعلوم صدورها عنه صلّی اللّٰه علیه و آله و سلم.</w:t>
      </w:r>
    </w:p>
    <w:p>
      <w:pPr>
        <w:pStyle w:val="BookText"/>
      </w:pPr>
      <w:r>
        <w:rPr>
          <w:rFonts w:ascii="IRNazanin" w:hAnsi="IRNazanin" w:eastAsia="IRNazanin" w:cs="IRNazanin"/>
          <w:lang w:bidi="fa-IR"/>
          <w:color w:val="111111"/>
          <w:sz w:val="28"/>
          <w:szCs w:val="28"/>
          <w:rtl/>
        </w:rPr>
        <w:t xml:space="preserve">و کیف کان،فحکم أحادیث الأئمة صلوات اللّٰه علیهم حکم أحادیث النبیّ صلّی اللّٰه علیه و آله و سلم.</w:t>
      </w:r>
    </w:p>
    <w:p>
      <w:pPr>
        <w:pStyle w:val="BookText"/>
      </w:pPr>
      <w:r>
        <w:rPr>
          <w:rFonts w:ascii="IRNazanin" w:hAnsi="IRNazanin" w:eastAsia="IRNazanin" w:cs="IRNazanin"/>
          <w:lang w:bidi="fa-IR"/>
          <w:color w:val="111111"/>
          <w:sz w:val="28"/>
          <w:szCs w:val="28"/>
          <w:rtl/>
        </w:rPr>
        <w:t xml:space="preserve">[شماره صفحه واقعی : 602]
</w:t>
      </w:r>
    </w:p>
    <w:p>
      <w:pPr>
        <w:sectPr>
          <w:footerReference w:type="default" r:id="rId1281"/>
          <w:footnotePr>
            <w:numStart w:val="1"/>
            <w:numRestart w:val="eachPage"/>
          </w:footnotePr>
          <w:pgSz w:orient="portrait" w:w="11905.511811023622" w:h="16837.79527559055"/>
          <w:pgMar w:top="1440" w:right="1440" w:bottom="1440" w:left="1440" w:header="720" w:footer="720" w:gutter="0"/>
          <w:cols w:num="1" w:space="720"/>
        </w:sectPr>
      </w:pPr>
    </w:p>
    <w:bookmarkStart w:id="713" w:name="pg14411_143663"/>
    <w:bookmarkEnd w:id="713"/>
    <w:p>
      <w:pPr>
        <w:pStyle w:val="Heading2"/>
      </w:pPr>
      <w:bookmarkStart w:id="2403" w:name="_Toc1438"/>
      <w:r>
        <w:t>تفسیر</w:t>
      </w:r>
      <w:bookmarkEnd w:id="2403"/>
    </w:p>
    <w:p>
      <w:pPr>
        <w:pStyle w:val="Heading3"/>
      </w:pPr>
      <w:bookmarkStart w:id="2404" w:name="_Toc1439"/>
      <w:r>
        <w:t>ترجمه تفسیر جوامع الجامع (سوره یوسف علیه السلام و رعد)</w:t>
      </w:r>
      <w:bookmarkEnd w:id="2404"/>
    </w:p>
    <w:p>
      <w:pPr>
        <w:pStyle w:val="Heading4"/>
      </w:pPr>
      <w:bookmarkStart w:id="2405" w:name="_Toc1440"/>
      <w:r>
        <w:t>جلد 3</w:t>
      </w:r>
      <w:bookmarkEnd w:id="2405"/>
    </w:p>
    <w:p>
      <w:pPr>
        <w:pStyle w:val="Heading5"/>
      </w:pPr>
      <w:bookmarkStart w:id="2406" w:name="_Toc1441"/>
      <w:r>
        <w:t>مشخصات کتاب</w:t>
      </w:r>
      <w:bookmarkEnd w:id="2406"/>
    </w:p>
    <w:p>
      <w:pPr>
        <w:pStyle w:val="BookText"/>
      </w:pPr>
      <w:r>
        <w:rPr>
          <w:rFonts w:ascii="IRNazanin" w:hAnsi="IRNazanin" w:eastAsia="IRNazanin" w:cs="IRNazanin"/>
          <w:lang w:bidi="fa-IR"/>
          <w:color w:val="111111"/>
          <w:sz w:val="28"/>
          <w:szCs w:val="28"/>
          <w:rtl/>
        </w:rPr>
        <w:t xml:space="preserve">سرشناسه : طبرسی، فضل بن حسن ۴۶۸ - ۵۴۸ ق.</w:t>
      </w:r>
    </w:p>
    <w:p>
      <w:pPr>
        <w:pStyle w:val="BookText"/>
      </w:pPr>
      <w:r>
        <w:rPr>
          <w:rFonts w:ascii="IRNazanin" w:hAnsi="IRNazanin" w:eastAsia="IRNazanin" w:cs="IRNazanin"/>
          <w:lang w:bidi="fa-IR"/>
          <w:color w:val="111111"/>
          <w:sz w:val="28"/>
          <w:szCs w:val="28"/>
          <w:rtl/>
        </w:rPr>
        <w:t xml:space="preserve">عنوان قراردادی : جوامع الجامع .فارسی</w:t>
      </w:r>
    </w:p>
    <w:p>
      <w:pPr>
        <w:pStyle w:val="BookText"/>
      </w:pPr>
      <w:r>
        <w:rPr>
          <w:rFonts w:ascii="IRNazanin" w:hAnsi="IRNazanin" w:eastAsia="IRNazanin" w:cs="IRNazanin"/>
          <w:lang w:bidi="fa-IR"/>
          <w:color w:val="111111"/>
          <w:sz w:val="28"/>
          <w:szCs w:val="28"/>
          <w:rtl/>
        </w:rPr>
        <w:t xml:space="preserve">عنوان و نام پدیدآور : ترجمه تفسیر جوامع‌الجامع/ ابوعلی‌فضل‌بن‌حسن طبرسی؛ ترجمه احمد امیری‌شادمهری؛</w:t>
      </w:r>
    </w:p>
    <w:p>
      <w:pPr>
        <w:pStyle w:val="BookText"/>
      </w:pPr>
      <w:r>
        <w:rPr>
          <w:rFonts w:ascii="IRNazanin" w:hAnsi="IRNazanin" w:eastAsia="IRNazanin" w:cs="IRNazanin"/>
          <w:lang w:bidi="fa-IR"/>
          <w:color w:val="111111"/>
          <w:sz w:val="28"/>
          <w:szCs w:val="28"/>
          <w:rtl/>
        </w:rPr>
        <w:t xml:space="preserve">مشخصات نشر : مشهد : بنیاد پژوهشهای اسلامی، ۱۳۷۴ .</w:t>
      </w:r>
    </w:p>
    <w:p>
      <w:pPr>
        <w:pStyle w:val="BookText"/>
      </w:pPr>
      <w:r>
        <w:rPr>
          <w:rFonts w:ascii="IRNazanin" w:hAnsi="IRNazanin" w:eastAsia="IRNazanin" w:cs="IRNazanin"/>
          <w:lang w:bidi="fa-IR"/>
          <w:color w:val="111111"/>
          <w:sz w:val="28"/>
          <w:szCs w:val="28"/>
          <w:rtl/>
        </w:rPr>
        <w:t xml:space="preserve">مشخصات ظاهری : ۶ ج.</w:t>
      </w:r>
    </w:p>
    <w:p>
      <w:pPr>
        <w:pStyle w:val="BookText"/>
      </w:pPr>
      <w:r>
        <w:rPr>
          <w:rFonts w:ascii="IRNazanin" w:hAnsi="IRNazanin" w:eastAsia="IRNazanin" w:cs="IRNazanin"/>
          <w:lang w:bidi="fa-IR"/>
          <w:color w:val="111111"/>
          <w:sz w:val="28"/>
          <w:szCs w:val="28"/>
          <w:rtl/>
        </w:rPr>
        <w:t xml:space="preserve">موضوع : تفاسیر شیعه -- قرن ۶ق</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۹۴/۵/ط۲ج۹۰۴۱ ۱۳۷۴</w:t>
      </w:r>
    </w:p>
    <w:p>
      <w:pPr>
        <w:pStyle w:val="BookText"/>
      </w:pPr>
      <w:r>
        <w:rPr>
          <w:rFonts w:ascii="IRNazanin" w:hAnsi="IRNazanin" w:eastAsia="IRNazanin" w:cs="IRNazanin"/>
          <w:lang w:bidi="fa-IR"/>
          <w:color w:val="111111"/>
          <w:sz w:val="28"/>
          <w:szCs w:val="28"/>
          <w:rtl/>
        </w:rPr>
        <w:t xml:space="preserve">رده بندی دیویی : ۲۹۷/۱۷۲۶</w:t>
      </w:r>
    </w:p>
    <w:p>
      <w:pPr>
        <w:pStyle w:val="BookText"/>
      </w:pPr>
      <w:r>
        <w:rPr>
          <w:rFonts w:ascii="IRNazanin" w:hAnsi="IRNazanin" w:eastAsia="IRNazanin" w:cs="IRNazanin"/>
          <w:lang w:bidi="fa-IR"/>
          <w:color w:val="111111"/>
          <w:sz w:val="28"/>
          <w:szCs w:val="28"/>
          <w:rtl/>
        </w:rPr>
        <w:t xml:space="preserve">شماره کتابشناسی ملی : م‌۷۵-۳۲۳۶</w:t>
      </w:r>
    </w:p>
    <w:p>
      <w:pPr>
        <w:pStyle w:val="BookText"/>
      </w:pPr>
      <w:r>
        <w:rPr>
          <w:rFonts w:ascii="IRNazanin" w:hAnsi="IRNazanin" w:eastAsia="IRNazanin" w:cs="IRNazanin"/>
          <w:lang w:bidi="fa-IR"/>
          <w:color w:val="111111"/>
          <w:sz w:val="28"/>
          <w:szCs w:val="28"/>
          <w:rtl/>
        </w:rPr>
        <w:t xml:space="preserve">توضیح : تفسیر جوامع الجامع نوشته امین‌الاسلام، ابوعلی، فضل بن حسن طبرسی مفسر بزرگ شیعه است. این تفسیر، خلاصه دو تفسیر قبلی ایشان به نام مجمع البیان و الکافی الشافی است که به رشته تحریر درآمده و در عین ایجاز و اختصار، گویای مهمترین حقایق قرآنی و ارائه کننده جنبه‌های ادبی بدیع در قرآن است.این کتاب پس از مجمع البیان از معروف‌ترین آثار علامه طبرسی است که در مدّت یک سال (از ماه صفر ۵۴۲ تا محرم ۵۴۳ ق.) و پس از اتمام دو تفسیر مجمع البیان و الکافی الشافی تألیف شده است.</w:t>
      </w:r>
    </w:p>
    <w:p>
      <w:pPr>
        <w:pStyle w:val="BookText"/>
      </w:pPr>
      <w:r>
        <w:rPr>
          <w:rFonts w:ascii="IRNazanin" w:hAnsi="IRNazanin" w:eastAsia="IRNazanin" w:cs="IRNazanin"/>
          <w:lang w:bidi="fa-IR"/>
          <w:color w:val="111111"/>
          <w:sz w:val="28"/>
          <w:szCs w:val="28"/>
          <w:rtl/>
        </w:rPr>
        <w:t xml:space="preserve">ص: 1</w:t>
      </w:r>
    </w:p>
    <w:p>
      <w:pPr>
        <w:pStyle w:val="Heading5"/>
      </w:pPr>
      <w:bookmarkStart w:id="2407" w:name="_Toc1442"/>
      <w:r>
        <w:t>سوره یوسف علیه السّلام</w:t>
      </w:r>
      <w:bookmarkEnd w:id="2407"/>
    </w:p>
    <w:p>
      <w:pPr>
        <w:pStyle w:val="Heading6"/>
      </w:pPr>
      <w:bookmarkStart w:id="2408" w:name="_Toc1443"/>
      <w:r>
        <w:t>اشاره</w:t>
      </w:r>
      <w:bookmarkEnd w:id="2408"/>
    </w:p>
    <w:p>
      <w:pPr>
        <w:pStyle w:val="BookText"/>
      </w:pPr>
      <w:r>
        <w:rPr>
          <w:rFonts w:ascii="IRNazanin" w:hAnsi="IRNazanin" w:eastAsia="IRNazanin" w:cs="IRNazanin"/>
          <w:lang w:bidi="fa-IR"/>
          <w:color w:val="111111"/>
          <w:sz w:val="28"/>
          <w:szCs w:val="28"/>
          <w:rtl/>
        </w:rPr>
        <w:t xml:space="preserve">این سوره مکّی و تعداد آیاتش به اجماع یکصد و یازده آیه است.</w:t>
      </w:r>
    </w:p>
    <w:p>
      <w:pPr>
        <w:pStyle w:val="Heading6"/>
      </w:pPr>
      <w:bookmarkStart w:id="2409" w:name="_Toc1444"/>
      <w:r>
        <w:t>[فضیلت قرائت این سوره‏]:</w:t>
      </w:r>
      <w:bookmarkEnd w:id="2409"/>
    </w:p>
    <w:p>
      <w:pPr>
        <w:pStyle w:val="BookText"/>
      </w:pPr>
      <w:r>
        <w:rPr>
          <w:rFonts w:ascii="IRNazanin" w:hAnsi="IRNazanin" w:eastAsia="IRNazanin" w:cs="IRNazanin"/>
          <w:lang w:bidi="fa-IR"/>
          <w:color w:val="111111"/>
          <w:sz w:val="28"/>
          <w:szCs w:val="28"/>
          <w:rtl/>
        </w:rPr>
        <w:t xml:space="preserve">در فضیلت آن در حدیث نبوی از ابیّ نقل شده: به بردگانتان سوره یوسف علیه السّلام را بیاموزید زیرا هر مسلمانی که آن را بخواند و به خانواده و بردگانش یاد دهد، خداوند سختیهای مرگ را بر او آسان سازد، و به او نیرویی دهد که هیچ گونه حسدی نسبت به مسلمانی نداشته باشد. </w:t>
      </w:r>
      <w:r>
        <w:rPr>
          <w:rStyle w:val="FootnoteReference"/>
        </w:rPr>
        <w:footnoteReference w:id="4492"/>
      </w:r>
      <w:r>
        <w:rPr>
          <w:rFonts w:ascii="IRNazanin" w:hAnsi="IRNazanin" w:eastAsia="IRNazanin" w:cs="IRNazanin"/>
          <w:lang w:bidi="fa-IR"/>
          <w:color w:val="111111"/>
          <w:sz w:val="28"/>
          <w:szCs w:val="28"/>
          <w:rtl/>
        </w:rPr>
        <w:t xml:space="preserve">و از امام صادق علیه السّلام نقل شده است: هر کس این سوره را در هر شب بخواند خداوند در روز قیامت او را در حالی محشور کند که زیبایی چهره‏اش همانند زیبایی یوسف باشد و او را ترس و وحشتی نرسد، و از برگزیدگان بندگان صالح خدا باشد. </w:t>
      </w:r>
      <w:r>
        <w:rPr>
          <w:rStyle w:val="FootnoteReference"/>
        </w:rPr>
        <w:footnoteReference w:id="4493"/>
      </w:r>
    </w:p>
    <w:p>
      <w:pPr>
        <w:pStyle w:val="Heading6"/>
      </w:pPr>
      <w:bookmarkStart w:id="2410" w:name="_Toc1445"/>
      <w:r>
        <w:t>[سوره یوسف «12»: آیات 1 تا 5]</w:t>
      </w:r>
      <w:bookmarkEnd w:id="2410"/>
    </w:p>
    <w:p>
      <w:pPr>
        <w:pStyle w:val="Heading6"/>
      </w:pPr>
      <w:bookmarkStart w:id="2411" w:name="_Toc1446"/>
      <w:r>
        <w:t>اشاره</w:t>
      </w:r>
      <w:bookmarkEnd w:id="2411"/>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الر تِلْکَ آیاتُ الْکِتابِ الْمُبِینِ «1» إِنَّا أَنْزَلْناهُ قُرْآناً عَرَبِیًّا لَعَلَّکُمْ تَعْقِلُونَ «2» نَحْنُ نَقُصُّ عَلَیْکَ أَحْسَنَ الْقَصَصِ بِما أَوْحَیْنا إِلَیْکَ هذَا الْقُرْآنَ وَ إِنْ کُنْتَ مِنْ قَبْلِهِ لَمِنَ الْغافِلِینَ «3» إِذْ قالَ یُوسُفُ لِأَبِیهِ یا أَبَتِ إِنِّی رَأَیْتُ أَحَدَ عَشَرَ کَوْکَباً وَ الشَّمْسَ وَ الْقَمَرَ رَأَیْتُهُمْ لِی ساجِدِینَ «4»</w:t>
      </w:r>
    </w:p>
    <w:p>
      <w:pPr>
        <w:pStyle w:val="BookText"/>
      </w:pPr>
      <w:r>
        <w:rPr>
          <w:rFonts w:ascii="Amiri" w:hAnsi="Amiri" w:eastAsia="Amiri" w:cs="Amiri"/>
          <w:lang w:bidi="ar-SA"/>
          <w:color w:val="111111"/>
          <w:sz w:val="28"/>
          <w:szCs w:val="28"/>
          <w:rtl/>
        </w:rPr>
        <w:t xml:space="preserve">قالَ یا بُنَیَّ لا تَقْصُصْ رُؤْیاکَ عَلی‏ إِخْوَتِکَ فَیَکِیدُوا لَکَ کَیْداً إِنَّ الشَّیْطانَ لِلْإِنْسانِ عَدُوٌّ مُبِینٌ «5»</w:t>
      </w:r>
    </w:p>
    <w:p>
      <w:pPr>
        <w:pStyle w:val="BookText"/>
      </w:pPr>
      <w:r>
        <w:rPr>
          <w:rFonts w:ascii="IRNazanin" w:hAnsi="IRNazanin" w:eastAsia="IRNazanin" w:cs="IRNazanin"/>
          <w:lang w:bidi="fa-IR"/>
          <w:color w:val="111111"/>
          <w:sz w:val="28"/>
          <w:szCs w:val="28"/>
          <w:rtl/>
        </w:rPr>
        <w:t xml:space="preserve">[شماره صفحه واقعی : 183]
</w:t>
      </w:r>
    </w:p>
    <w:p>
      <w:pPr>
        <w:sectPr>
          <w:footerReference w:type="default" r:id="rId1282"/>
          <w:footnotePr>
            <w:numStart w:val="1"/>
            <w:numRestart w:val="eachPage"/>
          </w:footnotePr>
          <w:pgSz w:orient="portrait" w:w="11905.511811023622" w:h="16837.79527559055"/>
          <w:pgMar w:top="1440" w:right="1440" w:bottom="1440" w:left="1440" w:header="720" w:footer="720" w:gutter="0"/>
          <w:cols w:num="1" w:space="720"/>
        </w:sectPr>
      </w:pPr>
    </w:p>
    <w:bookmarkStart w:id="714" w:name="pg14411_143664"/>
    <w:bookmarkEnd w:id="714"/>
    <w:p>
      <w:pPr>
        <w:pStyle w:val="Heading6"/>
      </w:pPr>
      <w:bookmarkStart w:id="2412" w:name="_Toc1447"/>
      <w:r>
        <w:t>ترجمه:</w:t>
      </w:r>
      <w:bookmarkEnd w:id="2412"/>
    </w:p>
    <w:p>
      <w:pPr>
        <w:pStyle w:val="BookText"/>
      </w:pPr>
      <w:r>
        <w:rPr>
          <w:rFonts w:ascii="IRNazanin" w:hAnsi="IRNazanin" w:eastAsia="IRNazanin" w:cs="IRNazanin"/>
          <w:lang w:bidi="fa-IR"/>
          <w:color w:val="111111"/>
          <w:sz w:val="28"/>
          <w:szCs w:val="28"/>
          <w:rtl/>
        </w:rPr>
        <w:t xml:space="preserve">الف، لام، راء، اینها آیه‏های کتاب روشنگر است. «1»</w:t>
      </w:r>
    </w:p>
    <w:p>
      <w:pPr>
        <w:pStyle w:val="BookText"/>
      </w:pPr>
      <w:r>
        <w:rPr>
          <w:rFonts w:ascii="IRNazanin" w:hAnsi="IRNazanin" w:eastAsia="IRNazanin" w:cs="IRNazanin"/>
          <w:lang w:bidi="fa-IR"/>
          <w:color w:val="111111"/>
          <w:sz w:val="28"/>
          <w:szCs w:val="28"/>
          <w:rtl/>
        </w:rPr>
        <w:t xml:space="preserve">براستی که ما آن را قرآن عربی نازل کردیم به امید این که شما در آن بیندیشید. «2»</w:t>
      </w:r>
    </w:p>
    <w:p>
      <w:pPr>
        <w:pStyle w:val="BookText"/>
      </w:pPr>
      <w:r>
        <w:rPr>
          <w:rFonts w:ascii="IRNazanin" w:hAnsi="IRNazanin" w:eastAsia="IRNazanin" w:cs="IRNazanin"/>
          <w:lang w:bidi="fa-IR"/>
          <w:color w:val="111111"/>
          <w:sz w:val="28"/>
          <w:szCs w:val="28"/>
          <w:rtl/>
        </w:rPr>
        <w:t xml:space="preserve">ما از طریق وحی کردن این قرآن به تو، بهترین سرگذشتها را برایت بازگو می‏کنیم، هر چند، پیش از این از بی‏خبران بودی. «3»</w:t>
      </w:r>
    </w:p>
    <w:p>
      <w:pPr>
        <w:pStyle w:val="BookText"/>
      </w:pPr>
      <w:r>
        <w:rPr>
          <w:rFonts w:ascii="IRNazanin" w:hAnsi="IRNazanin" w:eastAsia="IRNazanin" w:cs="IRNazanin"/>
          <w:lang w:bidi="fa-IR"/>
          <w:color w:val="111111"/>
          <w:sz w:val="28"/>
          <w:szCs w:val="28"/>
          <w:rtl/>
        </w:rPr>
        <w:t xml:space="preserve">هنگامی که یوسف به پدرش گفت: من یازده ستاره و خورشید و ماه را در خواب دیدم که مرا سجده می‏کردند. «4»</w:t>
      </w:r>
    </w:p>
    <w:p>
      <w:pPr>
        <w:pStyle w:val="BookText"/>
      </w:pPr>
      <w:r>
        <w:rPr>
          <w:rFonts w:ascii="IRNazanin" w:hAnsi="IRNazanin" w:eastAsia="IRNazanin" w:cs="IRNazanin"/>
          <w:lang w:bidi="fa-IR"/>
          <w:color w:val="111111"/>
          <w:sz w:val="28"/>
          <w:szCs w:val="28"/>
          <w:rtl/>
        </w:rPr>
        <w:t xml:space="preserve">گفت:</w:t>
      </w:r>
    </w:p>
    <w:p>
      <w:pPr>
        <w:pStyle w:val="BookText"/>
      </w:pPr>
      <w:r>
        <w:rPr>
          <w:rFonts w:ascii="IRNazanin" w:hAnsi="IRNazanin" w:eastAsia="IRNazanin" w:cs="IRNazanin"/>
          <w:lang w:bidi="fa-IR"/>
          <w:color w:val="111111"/>
          <w:sz w:val="28"/>
          <w:szCs w:val="28"/>
          <w:rtl/>
        </w:rPr>
        <w:t xml:space="preserve">پسرجان! خواب خودت را برای برادرانت نقل مکن، که برایت نقشه‏ای خطرناک می‏کشند، براستی که شیطان برای انسان دشمن آشکاری است. «5»</w:t>
      </w:r>
    </w:p>
    <w:p>
      <w:pPr>
        <w:pStyle w:val="Heading6"/>
      </w:pPr>
      <w:bookmarkStart w:id="2413" w:name="_Toc1448"/>
      <w:r>
        <w:t>تفسیر:</w:t>
      </w:r>
      <w:bookmarkEnd w:id="2413"/>
    </w:p>
    <w:p>
      <w:pPr>
        <w:pStyle w:val="BookText"/>
      </w:pPr>
      <w:r>
        <w:rPr>
          <w:rFonts w:ascii="IRNazanin" w:hAnsi="IRNazanin" w:eastAsia="IRNazanin" w:cs="IRNazanin"/>
          <w:lang w:bidi="fa-IR"/>
          <w:color w:val="111111"/>
          <w:sz w:val="28"/>
          <w:szCs w:val="28"/>
          <w:rtl/>
        </w:rPr>
        <w:t xml:space="preserve">الْکِتابِ الْمُبِینِ کتابی که امرش در معجزه آوردن، روشن است، یا این که خود بیان می‏کند که از نزد خداست نه از نزد بشر، یا این که روشن و آشکار است و معانی آن، بر عرب زبانها پوشیده نیست، چرا که به زبان آنها نازل شده است. (در جای دیگر می‏فرماید):</w:t>
      </w:r>
    </w:p>
    <w:p>
      <w:pPr>
        <w:pStyle w:val="BookText"/>
      </w:pPr>
      <w:r>
        <w:rPr>
          <w:rFonts w:ascii="IRNazanin" w:hAnsi="IRNazanin" w:eastAsia="IRNazanin" w:cs="IRNazanin"/>
          <w:lang w:bidi="fa-IR"/>
          <w:color w:val="111111"/>
          <w:sz w:val="28"/>
          <w:szCs w:val="28"/>
          <w:rtl/>
        </w:rPr>
        <w:t xml:space="preserve">وَ لَوْ جَعَلْناهُ قُرْآناً أَعْجَمِیًّا «اگر این کتاب را قرآن نارسایی قرار می‏دادیم بر شما مشتبه و نامفهوم می‏شد». (فصّلت/ 44) «قصص» مصدر و به معنای (اسم مفعول)</w:t>
      </w:r>
    </w:p>
    <w:p>
      <w:pPr>
        <w:pStyle w:val="BookText"/>
      </w:pPr>
      <w:r>
        <w:rPr>
          <w:rFonts w:ascii="IRNazanin" w:hAnsi="IRNazanin" w:eastAsia="IRNazanin" w:cs="IRNazanin"/>
          <w:lang w:bidi="fa-IR"/>
          <w:color w:val="111111"/>
          <w:sz w:val="28"/>
          <w:szCs w:val="28"/>
          <w:rtl/>
        </w:rPr>
        <w:t xml:space="preserve">[شماره صفحه واقعی : 184]
</w:t>
      </w:r>
    </w:p>
    <w:p>
      <w:pPr>
        <w:sectPr>
          <w:footerReference w:type="default" r:id="rId1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مقصوص است، مثل «نقض» و «حسب» (که به معنای منقوض و محسوب، می‏باشد) حال اگر معنای مصدری اراده شود، مفهوم آیه این می‏شود: ما با این سوره که به سوی تو وحی می‏کنیم بهترین داستانسرایی را برایت بیان می‏کنیم، و در این صورت «احسن» مفعول مطلق و منصوب به مصدر است، چون اضافه به مصدر شده است. مراد از بهترین داستانسرایی این است که با بدیعترین اسلوب و نیکوترین روش و زیباترین نظم، داستانسرایی شده است. امّا اگر منظور از «قصص» مقصوص یعنی اسم مفعول باشد معنای عبارت این می‏شود: ما برای تو از سرگذشتها بهترین احادیث را که در باب خود بیان می‏شود می‏سراییم که مشتمل بر نکته‏ها و حکمتها و عبرتهایی است که در غیر اینها وجود ندارد.</w:t>
      </w:r>
    </w:p>
    <w:p>
      <w:pPr>
        <w:pStyle w:val="BookText"/>
      </w:pPr>
      <w:r>
        <w:rPr>
          <w:rFonts w:ascii="IRNazanin" w:hAnsi="IRNazanin" w:eastAsia="IRNazanin" w:cs="IRNazanin"/>
          <w:lang w:bidi="fa-IR"/>
          <w:color w:val="111111"/>
          <w:sz w:val="28"/>
          <w:szCs w:val="28"/>
          <w:rtl/>
        </w:rPr>
        <w:t xml:space="preserve">وَ إِنْ کُنْتَ مخفّفه از ثقیله است، و ضمیر در «قَبْلِهِ» بر می‏گردد، به «بِما أَوْحَیْنا» و معنای جمله این است: سخنی است که پیش از وحی کردن ما، تو از آن غافل بودی، و هیچ آگاهی نسبت بدان نداشتی. «إِذْ قالَ یُوسُفُ»: این عبارت بدل از «أَحْسَنَ الْقَصَصِ» و از نوع بدل اشتمال است چون زمان بیان کردن قصّه زمانی را که داستان در آن سروده می‏شود، در برمی‏گیرد.</w:t>
      </w:r>
    </w:p>
    <w:p>
      <w:pPr>
        <w:pStyle w:val="BookText"/>
      </w:pPr>
      <w:r>
        <w:rPr>
          <w:rFonts w:ascii="IRNazanin" w:hAnsi="IRNazanin" w:eastAsia="IRNazanin" w:cs="IRNazanin"/>
          <w:lang w:bidi="fa-IR"/>
          <w:color w:val="111111"/>
          <w:sz w:val="28"/>
          <w:szCs w:val="28"/>
          <w:rtl/>
        </w:rPr>
        <w:t xml:space="preserve">یا أَبَتِ به کسر و فتح «تاء» هر دو، خوانده شده، و این تاء علامت تأنیث است و عوض از «یاء» اضافه آمده زیرا تأنیث و اضافه، از این جهت که زایدند و به آخر اسم می‏چسبند، با هم تناسب دارند. فتح «تاء» به این سبب است که در اصل «یا ابتا» بوده، الف حذف شده و فتحه به عنوان دلیل بر آن باقی مانده است.</w:t>
      </w:r>
    </w:p>
    <w:p>
      <w:pPr>
        <w:pStyle w:val="BookText"/>
      </w:pPr>
      <w:r>
        <w:rPr>
          <w:rFonts w:ascii="IRNazanin" w:hAnsi="IRNazanin" w:eastAsia="IRNazanin" w:cs="IRNazanin"/>
          <w:lang w:bidi="fa-IR"/>
          <w:color w:val="111111"/>
          <w:sz w:val="28"/>
          <w:szCs w:val="28"/>
          <w:rtl/>
        </w:rPr>
        <w:t xml:space="preserve">إِنِّی رَأَیْتُ از «رؤیا» به معنای خواب دیدن است. از ابن عباس نقل شده است «که یوسف علیه السّلام شب قدر در خواب دید که یازده ستاره از آسمان فرود آمدند و برایش سجده کردند و نیز دید که خورشید و ماه از آسمان آمدند و بر او سجده کردند، خورشید و ماه کنایه از پدر و مادر او، و ستارگان اشاره به یازده برادرش بود».</w:t>
      </w:r>
    </w:p>
    <w:p>
      <w:pPr>
        <w:pStyle w:val="BookText"/>
      </w:pPr>
      <w:r>
        <w:rPr>
          <w:rFonts w:ascii="IRNazanin" w:hAnsi="IRNazanin" w:eastAsia="IRNazanin" w:cs="IRNazanin"/>
          <w:lang w:bidi="fa-IR"/>
          <w:color w:val="111111"/>
          <w:sz w:val="28"/>
          <w:szCs w:val="28"/>
          <w:rtl/>
        </w:rPr>
        <w:t xml:space="preserve">بعضی گفته‏اند مراد از خورشید پدرش و مراد از ماه، خاله‏اش بود، زیرا مادرش</w:t>
      </w:r>
    </w:p>
    <w:p>
      <w:pPr>
        <w:pStyle w:val="BookText"/>
      </w:pPr>
      <w:r>
        <w:rPr>
          <w:rFonts w:ascii="IRNazanin" w:hAnsi="IRNazanin" w:eastAsia="IRNazanin" w:cs="IRNazanin"/>
          <w:lang w:bidi="fa-IR"/>
          <w:color w:val="111111"/>
          <w:sz w:val="28"/>
          <w:szCs w:val="28"/>
          <w:rtl/>
        </w:rPr>
        <w:t xml:space="preserve">[شماره صفحه واقعی : 185]
</w:t>
      </w:r>
    </w:p>
    <w:p>
      <w:pPr>
        <w:sectPr>
          <w:footerReference w:type="default" r:id="rId1284"/>
          <w:footnotePr>
            <w:numStart w:val="1"/>
            <w:numRestart w:val="eachPage"/>
          </w:footnotePr>
          <w:pgSz w:orient="portrait" w:w="11905.511811023622" w:h="16837.79527559055"/>
          <w:pgMar w:top="1440" w:right="1440" w:bottom="1440" w:left="1440" w:header="720" w:footer="720" w:gutter="0"/>
          <w:cols w:num="1" w:space="720"/>
        </w:sectPr>
      </w:pPr>
    </w:p>
    <w:bookmarkStart w:id="715" w:name="pg14411_143666"/>
    <w:bookmarkEnd w:id="715"/>
    <w:p>
      <w:pPr>
        <w:pStyle w:val="BookText"/>
      </w:pPr>
      <w:r>
        <w:rPr>
          <w:rFonts w:ascii="IRNazanin" w:hAnsi="IRNazanin" w:eastAsia="IRNazanin" w:cs="IRNazanin"/>
          <w:lang w:bidi="fa-IR"/>
          <w:color w:val="111111"/>
          <w:sz w:val="28"/>
          <w:szCs w:val="28"/>
          <w:rtl/>
        </w:rPr>
        <w:t xml:space="preserve">راحیل از دنیا رفته بود و می‏توان گفت: «واو» به معنای «مع» است: ستارگان را با شمس و قمر در خواب دیدم.</w:t>
      </w:r>
    </w:p>
    <w:p>
      <w:pPr>
        <w:pStyle w:val="BookText"/>
      </w:pPr>
      <w:r>
        <w:rPr>
          <w:rFonts w:ascii="IRNazanin" w:hAnsi="IRNazanin" w:eastAsia="IRNazanin" w:cs="IRNazanin"/>
          <w:lang w:bidi="fa-IR"/>
          <w:color w:val="111111"/>
          <w:sz w:val="28"/>
          <w:szCs w:val="28"/>
          <w:rtl/>
        </w:rPr>
        <w:t xml:space="preserve">رَأَیْتُهُمْ این جمله آغاز سخن است، بنا بر این که سؤالی در تقدیر و این جمله جواب آن باشد، مثل این که یعقوب به یوسف گفت: چگونه آنها را دیدی؟ یوسف گفت: آنها را دیدم که برای من سجده کردند. «قال یعقوب»: یعقوب گفت: خوابت را برای برادرانت نقل مکن، حضرت یعقوب از این ترسید که برادرانش بر او حسد برند و ستم روا دارند زیرا متوجّه شد که خواب یوسف نشان دهنده آن است که خداوند برای او شرافت و بزرگواری دنیا و آخرت قرار داده است.</w:t>
      </w:r>
    </w:p>
    <w:p>
      <w:pPr>
        <w:pStyle w:val="BookText"/>
      </w:pPr>
      <w:r>
        <w:rPr>
          <w:rFonts w:ascii="IRNazanin" w:hAnsi="IRNazanin" w:eastAsia="IRNazanin" w:cs="IRNazanin"/>
          <w:lang w:bidi="fa-IR"/>
          <w:color w:val="111111"/>
          <w:sz w:val="28"/>
          <w:szCs w:val="28"/>
          <w:rtl/>
        </w:rPr>
        <w:t xml:space="preserve">فَیَکِیدُوا فعل مضارع منصوب به «أن» است، یعنی اگر داستانت را به برادرانت بگویی با تو مکر خواهند کرد. «یکیدوا»: معنای «یحتالوا» را در بردارد. از این رو متعدی به «لام» شده تا معنای هر دو فعل را بدهد، سپس آن را به وسیله مصدر مؤکّد ساخته و «کیدا» را ذکر کرده است. عدوّ مبین: دشمنی آشکار است.</w:t>
      </w:r>
    </w:p>
    <w:p>
      <w:pPr>
        <w:pStyle w:val="Heading6"/>
      </w:pPr>
      <w:bookmarkStart w:id="2414" w:name="_Toc1449"/>
      <w:r>
        <w:t>[سوره یوسف «12»: آیات 6 تا 9]</w:t>
      </w:r>
      <w:bookmarkEnd w:id="2414"/>
    </w:p>
    <w:p>
      <w:pPr>
        <w:pStyle w:val="Heading6"/>
      </w:pPr>
      <w:bookmarkStart w:id="2415" w:name="_Toc1450"/>
      <w:r>
        <w:t>اشاره</w:t>
      </w:r>
      <w:bookmarkEnd w:id="2415"/>
    </w:p>
    <w:p>
      <w:pPr>
        <w:pStyle w:val="BookText"/>
      </w:pPr>
      <w:r>
        <w:rPr>
          <w:rFonts w:ascii="Amiri" w:hAnsi="Amiri" w:eastAsia="Amiri" w:cs="Amiri"/>
          <w:lang w:bidi="ar-SA"/>
          <w:color w:val="111111"/>
          <w:sz w:val="28"/>
          <w:szCs w:val="28"/>
          <w:rtl/>
        </w:rPr>
        <w:t xml:space="preserve">وَ کَذلِکَ یَجْتَبِیکَ رَبُّکَ وَ یُعَلِّمُکَ مِنْ تَأْوِیلِ الْأَحادِیثِ وَ یُتِمُّ نِعْمَتَهُ عَلَیْکَ وَ عَلی‏ آلِ یَعْقُوبَ کَما أَتَمَّها عَلی‏ أَبَوَیْکَ مِنْ قَبْلُ إِبْراهِیمَ وَ إِسْحاقَ إِنَّ رَبَّکَ عَلِیمٌ حَکِیمٌ «6» لَقَدْ کانَ فِی یُوسُفَ وَ إِخْوَتِهِ آیاتٌ لِلسَّائِلِینَ «7» إِذْ قالُوا لَیُوسُفُ وَ أَخُوهُ أَحَبُّ إِلی‏ أَبِینا مِنَّا وَ نَحْنُ عُصْبَةٌ إِنَّ أَبانا لَفِی ضَلالٍ مُبِینٍ «8» اقْتُلُوا یُوسُفَ أَوِ اطْرَحُوهُ أَرْضاً یَخْلُ لَکُمْ وَجْهُ أَبِیکُمْ وَ تَکُونُوا مِنْ بَعْدِهِ قَوْماً صالِحِینَ «9»</w:t>
      </w:r>
    </w:p>
    <w:p>
      <w:pPr>
        <w:pStyle w:val="Heading6"/>
      </w:pPr>
      <w:bookmarkStart w:id="2416" w:name="_Toc1451"/>
      <w:r>
        <w:t>ترجمه:</w:t>
      </w:r>
      <w:bookmarkEnd w:id="2416"/>
    </w:p>
    <w:p>
      <w:pPr>
        <w:pStyle w:val="BookText"/>
      </w:pPr>
      <w:r>
        <w:rPr>
          <w:rFonts w:ascii="IRNazanin" w:hAnsi="IRNazanin" w:eastAsia="IRNazanin" w:cs="IRNazanin"/>
          <w:lang w:bidi="fa-IR"/>
          <w:color w:val="111111"/>
          <w:sz w:val="28"/>
          <w:szCs w:val="28"/>
          <w:rtl/>
        </w:rPr>
        <w:t xml:space="preserve">این چنین پروردگارت تو را برمی‏گزیند و از تعبیر خوابها آگاهت می‏سازد، و نعمتش را بر تو، و بر آل یعقوب تمام و کامل می‏کند همان گونه که پیش از این بر پدرانت: ابراهیم و اسحاق تمام کرد براستی که پروردگار تو بسیار دانا و حکیم است. «6»</w:t>
      </w:r>
    </w:p>
    <w:p>
      <w:pPr>
        <w:pStyle w:val="BookText"/>
      </w:pPr>
      <w:r>
        <w:rPr>
          <w:rFonts w:ascii="IRNazanin" w:hAnsi="IRNazanin" w:eastAsia="IRNazanin" w:cs="IRNazanin"/>
          <w:lang w:bidi="fa-IR"/>
          <w:color w:val="111111"/>
          <w:sz w:val="28"/>
          <w:szCs w:val="28"/>
          <w:rtl/>
        </w:rPr>
        <w:t xml:space="preserve">[شماره صفحه واقعی : 186]
</w:t>
      </w:r>
    </w:p>
    <w:p>
      <w:pPr>
        <w:sectPr>
          <w:footerReference w:type="default" r:id="rId1285"/>
          <w:footnotePr>
            <w:numStart w:val="1"/>
            <w:numRestart w:val="eachPage"/>
          </w:footnotePr>
          <w:pgSz w:orient="portrait" w:w="11905.511811023622" w:h="16837.79527559055"/>
          <w:pgMar w:top="1440" w:right="1440" w:bottom="1440" w:left="1440" w:header="720" w:footer="720" w:gutter="0"/>
          <w:cols w:num="1" w:space="720"/>
        </w:sectPr>
      </w:pPr>
    </w:p>
    <w:bookmarkStart w:id="716" w:name="pg14411_143667"/>
    <w:bookmarkEnd w:id="716"/>
    <w:p>
      <w:pPr>
        <w:pStyle w:val="BookText"/>
      </w:pPr>
      <w:r>
        <w:rPr>
          <w:rFonts w:ascii="IRNazanin" w:hAnsi="IRNazanin" w:eastAsia="IRNazanin" w:cs="IRNazanin"/>
          <w:lang w:bidi="fa-IR"/>
          <w:color w:val="111111"/>
          <w:sz w:val="28"/>
          <w:szCs w:val="28"/>
          <w:rtl/>
        </w:rPr>
        <w:t xml:space="preserve">به طور تحقیق در داستان یوسف و برادرانش نشانه‏هایی برای پرسش کننده بوده است. «7»</w:t>
      </w:r>
    </w:p>
    <w:p>
      <w:pPr>
        <w:pStyle w:val="BookText"/>
      </w:pPr>
      <w:r>
        <w:rPr>
          <w:rFonts w:ascii="IRNazanin" w:hAnsi="IRNazanin" w:eastAsia="IRNazanin" w:cs="IRNazanin"/>
          <w:lang w:bidi="fa-IR"/>
          <w:color w:val="111111"/>
          <w:sz w:val="28"/>
          <w:szCs w:val="28"/>
          <w:rtl/>
        </w:rPr>
        <w:t xml:space="preserve">موقعی که برادران گفتند: یوسف و برادرش نزد پدرمان از ما محبوبترند، با این که ما گروهی نیرومند هستیم، به طور مسلم پدر ما در گمراهی آشکاری است. «8»</w:t>
      </w:r>
    </w:p>
    <w:p>
      <w:pPr>
        <w:pStyle w:val="BookText"/>
      </w:pPr>
      <w:r>
        <w:rPr>
          <w:rFonts w:ascii="IRNazanin" w:hAnsi="IRNazanin" w:eastAsia="IRNazanin" w:cs="IRNazanin"/>
          <w:lang w:bidi="fa-IR"/>
          <w:color w:val="111111"/>
          <w:sz w:val="28"/>
          <w:szCs w:val="28"/>
          <w:rtl/>
        </w:rPr>
        <w:t xml:space="preserve">یوسف را بکشید یا او را به سرزمینی بیندازید تا توجه پدرتان، تنها مصروف شما باشد، و بعد از آن مردمی شایسته گردید. «9»</w:t>
      </w:r>
    </w:p>
    <w:p>
      <w:pPr>
        <w:pStyle w:val="Heading6"/>
      </w:pPr>
      <w:bookmarkStart w:id="2417" w:name="_Toc1452"/>
      <w:r>
        <w:t>تفسیر:</w:t>
      </w:r>
      <w:bookmarkEnd w:id="2417"/>
    </w:p>
    <w:p>
      <w:pPr>
        <w:pStyle w:val="BookText"/>
      </w:pPr>
      <w:r>
        <w:rPr>
          <w:rFonts w:ascii="IRNazanin" w:hAnsi="IRNazanin" w:eastAsia="IRNazanin" w:cs="IRNazanin"/>
          <w:lang w:bidi="fa-IR"/>
          <w:color w:val="111111"/>
          <w:sz w:val="28"/>
          <w:szCs w:val="28"/>
          <w:rtl/>
        </w:rPr>
        <w:t xml:space="preserve">یَجْتَبِیکَ اجتباء به معنای «اصطفاء» و برگزیدن است. احادیث به معنای «رؤی» است که جمع «رؤیا» می‏باشد: خواب و رؤیا، یا حدیث نفس است و یا سخن فرشته، و یا وسوسه شیطان. تأویل رؤیا: تفسیر آن و آنچه از آن فهمیده می‏شود، حضرت یوسف علیه السّلام در تعبیر خواب و بیان کردن آن از تمام مردم آگاهتر بود. بعضی گفته‏اند:</w:t>
      </w:r>
    </w:p>
    <w:p>
      <w:pPr>
        <w:pStyle w:val="BookText"/>
      </w:pPr>
      <w:r>
        <w:rPr>
          <w:rFonts w:ascii="IRNazanin" w:hAnsi="IRNazanin" w:eastAsia="IRNazanin" w:cs="IRNazanin"/>
          <w:lang w:bidi="fa-IR"/>
          <w:color w:val="111111"/>
          <w:sz w:val="28"/>
          <w:szCs w:val="28"/>
          <w:rtl/>
        </w:rPr>
        <w:t xml:space="preserve">«تأویل رؤیا» یعنی دانستن معانی کتابهای الهی و سنن پیامبران. وی آنچه از معانی آنها که بر مردم پوشیده بود برای مردم تفسیر می‏کرد و شرح می‏داد. «احادیث» اسم جمع است برای حدیث.</w:t>
      </w:r>
    </w:p>
    <w:p>
      <w:pPr>
        <w:pStyle w:val="BookText"/>
      </w:pPr>
      <w:r>
        <w:rPr>
          <w:rFonts w:ascii="IRNazanin" w:hAnsi="IRNazanin" w:eastAsia="IRNazanin" w:cs="IRNazanin"/>
          <w:lang w:bidi="fa-IR"/>
          <w:color w:val="111111"/>
          <w:sz w:val="28"/>
          <w:szCs w:val="28"/>
          <w:rtl/>
        </w:rPr>
        <w:t xml:space="preserve">معنای اتمام نعمت، این است که خداوند برای یوسف و پدرانش نعمت دنیا را به نعمت آخرت متّصل ساخت و آنها را پیامبران و پادشاهان قرار داد و بعد آنها را به سوی نعمتهای سرای دیگر و درجات بلند بهشت منتقل ساخت.</w:t>
      </w:r>
    </w:p>
    <w:p>
      <w:pPr>
        <w:pStyle w:val="BookText"/>
      </w:pPr>
      <w:r>
        <w:rPr>
          <w:rFonts w:ascii="IRNazanin" w:hAnsi="IRNazanin" w:eastAsia="IRNazanin" w:cs="IRNazanin"/>
          <w:lang w:bidi="fa-IR"/>
          <w:color w:val="111111"/>
          <w:sz w:val="28"/>
          <w:szCs w:val="28"/>
          <w:rtl/>
        </w:rPr>
        <w:t xml:space="preserve">آلِ یَعْقُوبَ خانواده و فرزندان اوست. در اصل «اهل» بوده چون تصغیر آن «اهیل» است، ولی فقط در موردی از خانواده به کار می‏رود که دارای عظمتی باشند.</w:t>
      </w:r>
    </w:p>
    <w:p>
      <w:pPr>
        <w:pStyle w:val="BookText"/>
      </w:pPr>
      <w:r>
        <w:rPr>
          <w:rFonts w:ascii="IRNazanin" w:hAnsi="IRNazanin" w:eastAsia="IRNazanin" w:cs="IRNazanin"/>
          <w:lang w:bidi="fa-IR"/>
          <w:color w:val="111111"/>
          <w:sz w:val="28"/>
          <w:szCs w:val="28"/>
          <w:rtl/>
        </w:rPr>
        <w:t xml:space="preserve">مثل «آل النّبی» و «آل الملک». «ابراهیم»: عطف بیان برای «ابویک» است.</w:t>
      </w:r>
    </w:p>
    <w:p>
      <w:pPr>
        <w:pStyle w:val="BookText"/>
      </w:pPr>
      <w:r>
        <w:rPr>
          <w:rFonts w:ascii="IRNazanin" w:hAnsi="IRNazanin" w:eastAsia="IRNazanin" w:cs="IRNazanin"/>
          <w:lang w:bidi="fa-IR"/>
          <w:color w:val="111111"/>
          <w:sz w:val="28"/>
          <w:szCs w:val="28"/>
          <w:rtl/>
        </w:rPr>
        <w:t xml:space="preserve">إِنَّ رَبَّکَ عَلِیمٌ پروردگارت می‏داند که چه کسانی را برگزیند، و حکیم است در</w:t>
      </w:r>
    </w:p>
    <w:p>
      <w:pPr>
        <w:pStyle w:val="BookText"/>
      </w:pPr>
      <w:r>
        <w:rPr>
          <w:rFonts w:ascii="IRNazanin" w:hAnsi="IRNazanin" w:eastAsia="IRNazanin" w:cs="IRNazanin"/>
          <w:lang w:bidi="fa-IR"/>
          <w:color w:val="111111"/>
          <w:sz w:val="28"/>
          <w:szCs w:val="28"/>
          <w:rtl/>
        </w:rPr>
        <w:t xml:space="preserve">[شماره صفحه واقعی : 187]
</w:t>
      </w:r>
    </w:p>
    <w:p>
      <w:pPr>
        <w:sectPr>
          <w:footerReference w:type="default" r:id="rId1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که نعمت را برای کسی که شایسته آن است به کمال برساند.</w:t>
      </w:r>
    </w:p>
    <w:p>
      <w:pPr>
        <w:pStyle w:val="BookText"/>
      </w:pPr>
      <w:r>
        <w:rPr>
          <w:rFonts w:ascii="IRNazanin" w:hAnsi="IRNazanin" w:eastAsia="IRNazanin" w:cs="IRNazanin"/>
          <w:lang w:bidi="fa-IR"/>
          <w:color w:val="111111"/>
          <w:sz w:val="28"/>
          <w:szCs w:val="28"/>
          <w:rtl/>
        </w:rPr>
        <w:t xml:space="preserve">فِی یُوسُفَ وَ إِخْوَتِهِ در داستان و سرگذشت آنان، «آیات» نشانه‏ها و دلیلهایی بر حکمت خداوند وجود دارد، یا عبرتها و امور شگفت آوری برای سؤال کنندگان از این سرگذشتها و یا نشانه‏هایی بر نبوّت حضرت محمّد صلی اللَّه علیه و آله وجود دارد.</w:t>
      </w:r>
    </w:p>
    <w:p>
      <w:pPr>
        <w:pStyle w:val="BookText"/>
      </w:pPr>
      <w:r>
        <w:rPr>
          <w:rFonts w:ascii="IRNazanin" w:hAnsi="IRNazanin" w:eastAsia="IRNazanin" w:cs="IRNazanin"/>
          <w:lang w:bidi="fa-IR"/>
          <w:color w:val="111111"/>
          <w:sz w:val="28"/>
          <w:szCs w:val="28"/>
          <w:rtl/>
        </w:rPr>
        <w:t xml:space="preserve">لِلسَّائِلِینَ مراد یهودیانی است که از پیامبر درباره گذشتگان سؤال می‏کردند و او بدون این که از کسی شنیده یا در کتابی خوانده باشد بدرستی آنها را پاسخ می‏داد.</w:t>
      </w:r>
    </w:p>
    <w:p>
      <w:pPr>
        <w:pStyle w:val="BookText"/>
      </w:pPr>
      <w:r>
        <w:rPr>
          <w:rFonts w:ascii="IRNazanin" w:hAnsi="IRNazanin" w:eastAsia="IRNazanin" w:cs="IRNazanin"/>
          <w:lang w:bidi="fa-IR"/>
          <w:color w:val="111111"/>
          <w:sz w:val="28"/>
          <w:szCs w:val="28"/>
          <w:rtl/>
        </w:rPr>
        <w:t xml:space="preserve">روایت شده است که یهودیان به بزرگان مشرکان گفتند: از محمّد صلی اللَّه علیه و آله بپرسید: چرا آل یعقوب از شام به مصر منتقل شدند و نیز از داستان یوسف. «آیة» به نصب و رفع هر دو خوانده شده است.</w:t>
      </w:r>
    </w:p>
    <w:p>
      <w:pPr>
        <w:pStyle w:val="BookText"/>
      </w:pPr>
      <w:r>
        <w:rPr>
          <w:rFonts w:ascii="IRNazanin" w:hAnsi="IRNazanin" w:eastAsia="IRNazanin" w:cs="IRNazanin"/>
          <w:lang w:bidi="fa-IR"/>
          <w:color w:val="111111"/>
          <w:sz w:val="28"/>
          <w:szCs w:val="28"/>
          <w:rtl/>
        </w:rPr>
        <w:t xml:space="preserve">لَیُوسُفُ «لام» ابتدا، برای تأکید و تحقیق مضمون جمله می‏آید. مقصود برادران یوسف این بود که زیادی محبت پدر نسبت به یوسف و برادرش: «بنیامین» امری است ثابت که هیچ شبهه‏ای در آن نیست. و این که تعبیر به «اخوه»: برادرش کردند به این دلیل بود که هر دو از یک مادر بودند.</w:t>
      </w:r>
    </w:p>
    <w:p>
      <w:pPr>
        <w:pStyle w:val="BookText"/>
      </w:pPr>
      <w:r>
        <w:rPr>
          <w:rFonts w:ascii="IRNazanin" w:hAnsi="IRNazanin" w:eastAsia="IRNazanin" w:cs="IRNazanin"/>
          <w:lang w:bidi="fa-IR"/>
          <w:color w:val="111111"/>
          <w:sz w:val="28"/>
          <w:szCs w:val="28"/>
          <w:rtl/>
        </w:rPr>
        <w:t xml:space="preserve">وَ نَحْنُ عُصْبَةٌ جمله حالیه است، و مراد این است که پدر این دو برادر را در دوستی بر ما برتری می‏دهد با این که این دو تا کوچکند و کاری از آنها نمی‏آید امّا، ما گروهی هستیم متشکل از ده نفر مرد که پشتیبان پدریم و او را حمایت می‏کنیم.</w:t>
      </w:r>
    </w:p>
    <w:p>
      <w:pPr>
        <w:pStyle w:val="BookText"/>
      </w:pPr>
      <w:r>
        <w:rPr>
          <w:rFonts w:ascii="IRNazanin" w:hAnsi="IRNazanin" w:eastAsia="IRNazanin" w:cs="IRNazanin"/>
          <w:lang w:bidi="fa-IR"/>
          <w:color w:val="111111"/>
          <w:sz w:val="28"/>
          <w:szCs w:val="28"/>
          <w:rtl/>
        </w:rPr>
        <w:t xml:space="preserve">إِنَّ أَبانا لَفِی قطعا پدرمان از راه درست و حق منحرف شده است.</w:t>
      </w:r>
    </w:p>
    <w:p>
      <w:pPr>
        <w:pStyle w:val="BookText"/>
      </w:pPr>
      <w:r>
        <w:rPr>
          <w:rFonts w:ascii="IRNazanin" w:hAnsi="IRNazanin" w:eastAsia="IRNazanin" w:cs="IRNazanin"/>
          <w:lang w:bidi="fa-IR"/>
          <w:color w:val="111111"/>
          <w:sz w:val="28"/>
          <w:szCs w:val="28"/>
          <w:rtl/>
        </w:rPr>
        <w:t xml:space="preserve">«العصبة و العصابة» ده نفر و بیشتر چنین گروهی را عصبه می‏گویند چون به وسیله آنها کارها حل و فصل می‏شود.</w:t>
      </w:r>
    </w:p>
    <w:p>
      <w:pPr>
        <w:pStyle w:val="BookText"/>
      </w:pPr>
      <w:r>
        <w:rPr>
          <w:rFonts w:ascii="IRNazanin" w:hAnsi="IRNazanin" w:eastAsia="IRNazanin" w:cs="IRNazanin"/>
          <w:lang w:bidi="fa-IR"/>
          <w:color w:val="111111"/>
          <w:sz w:val="28"/>
          <w:szCs w:val="28"/>
          <w:rtl/>
        </w:rPr>
        <w:t xml:space="preserve">اقْتُلُوا یُوسُفَ أَوِ اطْرَحُوهُ أَرْضاً یوسف را بکشید یا در یک زمین نامشخصی دور از آبادی او را بیندازید. معنای نکره آوردن «ارض» همین است که هیچ مشخصه‏ای نداشته و از نظرها دور باشد، و نصب آن نیز به دلیل همین ابهام است، مثل ظروف مبهم.</w:t>
      </w:r>
    </w:p>
    <w:p>
      <w:pPr>
        <w:pStyle w:val="BookText"/>
      </w:pPr>
      <w:r>
        <w:rPr>
          <w:rFonts w:ascii="IRNazanin" w:hAnsi="IRNazanin" w:eastAsia="IRNazanin" w:cs="IRNazanin"/>
          <w:lang w:bidi="fa-IR"/>
          <w:color w:val="111111"/>
          <w:sz w:val="28"/>
          <w:szCs w:val="28"/>
          <w:rtl/>
        </w:rPr>
        <w:t xml:space="preserve">[شماره صفحه واقعی : 188]
</w:t>
      </w:r>
    </w:p>
    <w:p>
      <w:pPr>
        <w:sectPr>
          <w:footerReference w:type="default" r:id="rId1287"/>
          <w:footnotePr>
            <w:numStart w:val="1"/>
            <w:numRestart w:val="eachPage"/>
          </w:footnotePr>
          <w:pgSz w:orient="portrait" w:w="11905.511811023622" w:h="16837.79527559055"/>
          <w:pgMar w:top="1440" w:right="1440" w:bottom="1440" w:left="1440" w:header="720" w:footer="720" w:gutter="0"/>
          <w:cols w:num="1" w:space="720"/>
        </w:sectPr>
      </w:pPr>
    </w:p>
    <w:bookmarkStart w:id="717" w:name="pg14411_143669"/>
    <w:bookmarkEnd w:id="717"/>
    <w:p>
      <w:pPr>
        <w:pStyle w:val="BookText"/>
      </w:pPr>
      <w:r>
        <w:rPr>
          <w:rFonts w:ascii="IRNazanin" w:hAnsi="IRNazanin" w:eastAsia="IRNazanin" w:cs="IRNazanin"/>
          <w:lang w:bidi="fa-IR"/>
          <w:color w:val="111111"/>
          <w:sz w:val="28"/>
          <w:szCs w:val="28"/>
          <w:rtl/>
        </w:rPr>
        <w:t xml:space="preserve">یَخْلُ لَکُمْ وَجْهُ أَبِیکُمْ تا پدرتان تنها به شما توجه کند: یکپارچه به شما بنگرد و دیگری را مورد توجّه قرار ندهد، بعضی گفته‏اند: از توجه به یوسف فراغت یافته، رو به شما آورد.</w:t>
      </w:r>
    </w:p>
    <w:p>
      <w:pPr>
        <w:pStyle w:val="BookText"/>
      </w:pPr>
      <w:r>
        <w:rPr>
          <w:rFonts w:ascii="IRNazanin" w:hAnsi="IRNazanin" w:eastAsia="IRNazanin" w:cs="IRNazanin"/>
          <w:lang w:bidi="fa-IR"/>
          <w:color w:val="111111"/>
          <w:sz w:val="28"/>
          <w:szCs w:val="28"/>
          <w:rtl/>
        </w:rPr>
        <w:t xml:space="preserve">وَ تَکُونُوا مِنْ بَعْدِهِ ... و بعد از کشتن یا دور کردن یوسف از ظلمی که نسبت به او مرتکب می‏شوید در پیشگاه خدا توبه خواهید کرد، یا این که دنیایتان خوب و کار و بارتان منظّم می‏شود.</w:t>
      </w:r>
    </w:p>
    <w:p>
      <w:pPr>
        <w:pStyle w:val="Heading6"/>
      </w:pPr>
      <w:bookmarkStart w:id="2418" w:name="_Toc1453"/>
      <w:r>
        <w:t>[سوره یوسف «12»: آیات 10 تا 14]</w:t>
      </w:r>
      <w:bookmarkEnd w:id="2418"/>
    </w:p>
    <w:p>
      <w:pPr>
        <w:pStyle w:val="Heading6"/>
      </w:pPr>
      <w:bookmarkStart w:id="2419" w:name="_Toc1454"/>
      <w:r>
        <w:t>اشاره</w:t>
      </w:r>
      <w:bookmarkEnd w:id="2419"/>
    </w:p>
    <w:p>
      <w:pPr>
        <w:pStyle w:val="BookText"/>
      </w:pPr>
      <w:r>
        <w:rPr>
          <w:rFonts w:ascii="Amiri" w:hAnsi="Amiri" w:eastAsia="Amiri" w:cs="Amiri"/>
          <w:lang w:bidi="ar-SA"/>
          <w:color w:val="111111"/>
          <w:sz w:val="28"/>
          <w:szCs w:val="28"/>
          <w:rtl/>
        </w:rPr>
        <w:t xml:space="preserve">قالَ قائِلٌ مِنْهُمْ لا تَقْتُلُوا یُوسُفَ وَ أَلْقُوهُ فِی غَیابَتِ الْجُبِّ یَلْتَقِطْهُ بَعْضُ السَّیَّارَةِ إِنْ کُنْتُمْ فاعِلِینَ «10» قالُوا یا أَبانا ما لَکَ لا تَأْمَنَّا عَلی‏ یُوسُفَ وَ إِنَّا لَهُ لَناصِحُونَ «11» أَرْسِلْهُ مَعَنا غَداً یَرْتَعْ وَ یَلْعَبْ وَ إِنَّا لَهُ لَحافِظُونَ «12» قالَ إِنِّی لَیَحْزُنُنِی أَنْ تَذْهَبُوا بِهِ وَ أَخافُ أَنْ یَأْکُلَهُ الذِّئْبُ وَ أَنْتُمْ عَنْهُ غافِلُونَ «13» قالُوا لَئِنْ أَکَلَهُ الذِّئْبُ وَ نَحْنُ عُصْبَةٌ إِنَّا إِذاً لَخاسِرُونَ «14»</w:t>
      </w:r>
    </w:p>
    <w:p>
      <w:pPr>
        <w:pStyle w:val="Heading6"/>
      </w:pPr>
      <w:bookmarkStart w:id="2420" w:name="_Toc1455"/>
      <w:r>
        <w:t>ترجمه:</w:t>
      </w:r>
      <w:bookmarkEnd w:id="2420"/>
    </w:p>
    <w:p>
      <w:pPr>
        <w:pStyle w:val="BookText"/>
      </w:pPr>
      <w:r>
        <w:rPr>
          <w:rFonts w:ascii="IRNazanin" w:hAnsi="IRNazanin" w:eastAsia="IRNazanin" w:cs="IRNazanin"/>
          <w:lang w:bidi="fa-IR"/>
          <w:color w:val="111111"/>
          <w:sz w:val="28"/>
          <w:szCs w:val="28"/>
          <w:rtl/>
        </w:rPr>
        <w:t xml:space="preserve">یکی از آنها گفت: یوسف را نکشید، و اگر می‏خواهید کاری کنید، او را در نهانگاه چاه بیفکنید، تا برخی قافله‏ها او را برگیرند. «10»</w:t>
      </w:r>
    </w:p>
    <w:p>
      <w:pPr>
        <w:pStyle w:val="BookText"/>
      </w:pPr>
      <w:r>
        <w:rPr>
          <w:rFonts w:ascii="IRNazanin" w:hAnsi="IRNazanin" w:eastAsia="IRNazanin" w:cs="IRNazanin"/>
          <w:lang w:bidi="fa-IR"/>
          <w:color w:val="111111"/>
          <w:sz w:val="28"/>
          <w:szCs w:val="28"/>
          <w:rtl/>
        </w:rPr>
        <w:t xml:space="preserve">برادران به یعقوب گفتند: پدرجان! چرا درباره یوسف به ما اعتماد نمی‏کنی، و حال آن که ما، خیرخواه او هستیم؟! «11»</w:t>
      </w:r>
    </w:p>
    <w:p>
      <w:pPr>
        <w:pStyle w:val="BookText"/>
      </w:pPr>
      <w:r>
        <w:rPr>
          <w:rFonts w:ascii="IRNazanin" w:hAnsi="IRNazanin" w:eastAsia="IRNazanin" w:cs="IRNazanin"/>
          <w:lang w:bidi="fa-IR"/>
          <w:color w:val="111111"/>
          <w:sz w:val="28"/>
          <w:szCs w:val="28"/>
          <w:rtl/>
        </w:rPr>
        <w:t xml:space="preserve">او را فردا با ما بفرست تا غذای کافی بخورد، بازی و تفریح کند، و ما از او نگهداری می‏کنیم. «12»</w:t>
      </w:r>
    </w:p>
    <w:p>
      <w:pPr>
        <w:pStyle w:val="BookText"/>
      </w:pPr>
      <w:r>
        <w:rPr>
          <w:rFonts w:ascii="IRNazanin" w:hAnsi="IRNazanin" w:eastAsia="IRNazanin" w:cs="IRNazanin"/>
          <w:lang w:bidi="fa-IR"/>
          <w:color w:val="111111"/>
          <w:sz w:val="28"/>
          <w:szCs w:val="28"/>
          <w:rtl/>
        </w:rPr>
        <w:t xml:space="preserve">یعقوب علیه السّلام گفت: دوری او مرا اندوهگین می‏سازد، و می‏ترسم شما از او غفلت کنید، و گرگ او را بخورد. «13»</w:t>
      </w:r>
    </w:p>
    <w:p>
      <w:pPr>
        <w:pStyle w:val="BookText"/>
      </w:pPr>
      <w:r>
        <w:rPr>
          <w:rFonts w:ascii="IRNazanin" w:hAnsi="IRNazanin" w:eastAsia="IRNazanin" w:cs="IRNazanin"/>
          <w:lang w:bidi="fa-IR"/>
          <w:color w:val="111111"/>
          <w:sz w:val="28"/>
          <w:szCs w:val="28"/>
          <w:rtl/>
        </w:rPr>
        <w:t xml:space="preserve">گفتند اگر او را گرگ بخورد- با این که ما گروه نیرومندی هستیم- در این صورت ما حتما زیانکار خواهیم بود (ضررش به خود ما متوجه است). «14»</w:t>
      </w:r>
    </w:p>
    <w:p>
      <w:pPr>
        <w:pStyle w:val="BookText"/>
      </w:pPr>
      <w:r>
        <w:rPr>
          <w:rFonts w:ascii="IRNazanin" w:hAnsi="IRNazanin" w:eastAsia="IRNazanin" w:cs="IRNazanin"/>
          <w:lang w:bidi="fa-IR"/>
          <w:color w:val="111111"/>
          <w:sz w:val="28"/>
          <w:szCs w:val="28"/>
          <w:rtl/>
        </w:rPr>
        <w:t xml:space="preserve">[شماره صفحه واقعی : 189]
</w:t>
      </w:r>
    </w:p>
    <w:p>
      <w:pPr>
        <w:sectPr>
          <w:footerReference w:type="default" r:id="rId1288"/>
          <w:footnotePr>
            <w:numStart w:val="1"/>
            <w:numRestart w:val="eachPage"/>
          </w:footnotePr>
          <w:pgSz w:orient="portrait" w:w="11905.511811023622" w:h="16837.79527559055"/>
          <w:pgMar w:top="1440" w:right="1440" w:bottom="1440" w:left="1440" w:header="720" w:footer="720" w:gutter="0"/>
          <w:cols w:num="1" w:space="720"/>
        </w:sectPr>
      </w:pPr>
    </w:p>
    <w:bookmarkStart w:id="718" w:name="pg14411_143670"/>
    <w:bookmarkEnd w:id="718"/>
    <w:p>
      <w:pPr>
        <w:pStyle w:val="Heading6"/>
      </w:pPr>
      <w:bookmarkStart w:id="2421" w:name="_Toc1456"/>
      <w:r>
        <w:t>تفسیر:</w:t>
      </w:r>
      <w:bookmarkEnd w:id="2421"/>
    </w:p>
    <w:p>
      <w:pPr>
        <w:pStyle w:val="BookText"/>
      </w:pPr>
      <w:r>
        <w:rPr>
          <w:rFonts w:ascii="IRNazanin" w:hAnsi="IRNazanin" w:eastAsia="IRNazanin" w:cs="IRNazanin"/>
          <w:lang w:bidi="fa-IR"/>
          <w:color w:val="111111"/>
          <w:sz w:val="28"/>
          <w:szCs w:val="28"/>
          <w:rtl/>
        </w:rPr>
        <w:t xml:space="preserve">گوینده این حرف «یهودا» بود که درباره یوسف از همه برادرانش رای بهتری داد و همو بود که (در مصر بعد از گیر افتادن بنیامین برادر اصلی یوسف) گفت: من از این جا نمی‏آیم مگر پدرم اجازه دهد. </w:t>
      </w:r>
      <w:r>
        <w:rPr>
          <w:rStyle w:val="FootnoteReference"/>
        </w:rPr>
        <w:footnoteReference w:id="4494"/>
      </w:r>
      <w:r>
        <w:rPr>
          <w:rFonts w:ascii="IRNazanin" w:hAnsi="IRNazanin" w:eastAsia="IRNazanin" w:cs="IRNazanin"/>
          <w:lang w:bidi="fa-IR"/>
          <w:color w:val="111111"/>
          <w:sz w:val="28"/>
          <w:szCs w:val="28"/>
          <w:rtl/>
        </w:rPr>
        <w:t xml:space="preserve">او به برادرانش گفت: قتل کار بزرگی است، انجام ندهید، او را در نهانگاه چاهی بیندازید. غیابة الجب: گودی چاه، جایی از آن، که از دید بیننده پنهان باشد، و تاریکتر از ته آن باشد. بعضی این کلمه را در هر دو مورد به صورت جمع: «غیابات» خوانده‏اند. «الجبّ» چاهی که سنگ چین نشده باشد. تا بعضی راهگذرها او را برگیرند.</w:t>
      </w:r>
    </w:p>
    <w:p>
      <w:pPr>
        <w:pStyle w:val="BookText"/>
      </w:pPr>
      <w:r>
        <w:rPr>
          <w:rFonts w:ascii="IRNazanin" w:hAnsi="IRNazanin" w:eastAsia="IRNazanin" w:cs="IRNazanin"/>
          <w:lang w:bidi="fa-IR"/>
          <w:color w:val="111111"/>
          <w:sz w:val="28"/>
          <w:szCs w:val="28"/>
          <w:rtl/>
        </w:rPr>
        <w:t xml:space="preserve">إِنْ کُنْتُمْ فاعِلِینَ اگر می‏خواهید کاری انجام دهید که به مقصودتان برسید، نظر من این است.</w:t>
      </w:r>
    </w:p>
    <w:p>
      <w:pPr>
        <w:pStyle w:val="BookText"/>
      </w:pPr>
      <w:r>
        <w:rPr>
          <w:rFonts w:ascii="Amiri" w:hAnsi="Amiri" w:eastAsia="Amiri" w:cs="Amiri"/>
          <w:lang w:bidi="ar-SA"/>
          <w:color w:val="111111"/>
          <w:sz w:val="28"/>
          <w:szCs w:val="28"/>
          <w:rtl/>
        </w:rPr>
        <w:t xml:space="preserve">ما لَکَ لا تَأْمَنَّا با دو، نون، و «لا تأمنّا» با ادغام به اشمام </w:t>
      </w:r>
      <w:r>
        <w:rPr>
          <w:rStyle w:val="FootnoteReference"/>
        </w:rPr>
        <w:footnoteReference w:id="4495"/>
      </w:r>
      <w:r>
        <w:rPr>
          <w:rFonts w:ascii="IRNazanin" w:hAnsi="IRNazanin" w:eastAsia="IRNazanin" w:cs="IRNazanin"/>
          <w:lang w:bidi="fa-IR"/>
          <w:color w:val="111111"/>
          <w:sz w:val="28"/>
          <w:szCs w:val="28"/>
          <w:rtl/>
        </w:rPr>
        <w:t xml:space="preserve">و غیر اشمام نیز خوانده شده، و معنایش این است: چرا از ما بر یوسف می‏ترسی، و حال آن که ما، خیر او را می‏خواهیم و او را دوست داریم، و درباره او، کاری را که دلالت کند بر خلاف خیر خواهی مان نسبت به او انجام نداده‏ایم.</w:t>
      </w:r>
    </w:p>
    <w:p>
      <w:pPr>
        <w:pStyle w:val="BookText"/>
      </w:pPr>
      <w:r>
        <w:rPr>
          <w:rFonts w:ascii="IRNazanin" w:hAnsi="IRNazanin" w:eastAsia="IRNazanin" w:cs="IRNazanin"/>
          <w:lang w:bidi="fa-IR"/>
          <w:color w:val="111111"/>
          <w:sz w:val="28"/>
          <w:szCs w:val="28"/>
          <w:rtl/>
        </w:rPr>
        <w:t xml:space="preserve">یَرْتَعْ وَ یَلْعَبْ در هر دو فعل، با نون، و با «ی» و با جزم، و نیز در اوّلی با نون، و در دوّمی با «ی» خوانده شده، و اصل «رتعه»، به معنای فراوانی و گستردگی است. مراد از عبارت این است: آنچه را نیاز داریم تناول کنیم و میوه‏ها و غیر آن را فراوان بخوریم.</w:t>
      </w:r>
    </w:p>
    <w:p>
      <w:pPr>
        <w:pStyle w:val="BookText"/>
      </w:pPr>
      <w:r>
        <w:rPr>
          <w:rFonts w:ascii="IRNazanin" w:hAnsi="IRNazanin" w:eastAsia="IRNazanin" w:cs="IRNazanin"/>
          <w:lang w:bidi="fa-IR"/>
          <w:color w:val="111111"/>
          <w:sz w:val="28"/>
          <w:szCs w:val="28"/>
          <w:rtl/>
        </w:rPr>
        <w:t xml:space="preserve">[شماره صفحه واقعی : 190]
</w:t>
      </w:r>
    </w:p>
    <w:p>
      <w:pPr>
        <w:sectPr>
          <w:footerReference w:type="default" r:id="rId1289"/>
          <w:footnotePr>
            <w:numStart w:val="1"/>
            <w:numRestart w:val="eachPage"/>
          </w:footnotePr>
          <w:pgSz w:orient="portrait" w:w="11905.511811023622" w:h="16837.79527559055"/>
          <w:pgMar w:top="1440" w:right="1440" w:bottom="1440" w:left="1440" w:header="720" w:footer="720" w:gutter="0"/>
          <w:cols w:num="1" w:space="720"/>
        </w:sectPr>
      </w:pPr>
    </w:p>
    <w:bookmarkStart w:id="719" w:name="pg14411_143671"/>
    <w:bookmarkEnd w:id="719"/>
    <w:p>
      <w:pPr>
        <w:pStyle w:val="BookText"/>
      </w:pPr>
      <w:r>
        <w:rPr>
          <w:rFonts w:ascii="IRNazanin" w:hAnsi="IRNazanin" w:eastAsia="IRNazanin" w:cs="IRNazanin"/>
          <w:lang w:bidi="fa-IR"/>
          <w:color w:val="111111"/>
          <w:sz w:val="28"/>
          <w:szCs w:val="28"/>
          <w:rtl/>
        </w:rPr>
        <w:t xml:space="preserve">قرائت دیگر: «یرتع» به کسر عین، و «یلعب» مجزوم، با «ی» و «نون»، در هر دو، ذکر شده است، از «ارتعی یرتعی». گفته می‏شود: «رعی» و «ارتعی» مثل «شوی و اشتوی»، و گاهی می‏گویند: «یرتع» مجزوم، و یا «نرتع» به کسر عین، در حالی که فقط شتر آنها می‏چرد. بنا بر این مضاف (ابل) حذف شده است.</w:t>
      </w:r>
    </w:p>
    <w:p>
      <w:pPr>
        <w:pStyle w:val="BookText"/>
      </w:pPr>
      <w:r>
        <w:rPr>
          <w:rFonts w:ascii="IRNazanin" w:hAnsi="IRNazanin" w:eastAsia="IRNazanin" w:cs="IRNazanin"/>
          <w:lang w:bidi="fa-IR"/>
          <w:color w:val="111111"/>
          <w:sz w:val="28"/>
          <w:szCs w:val="28"/>
          <w:rtl/>
        </w:rPr>
        <w:t xml:space="preserve">منظور فرزندان یعقوب، از بازی کردن، بازی مباح بوده مثل تیراندازی و مسابقه دویدن.</w:t>
      </w:r>
    </w:p>
    <w:p>
      <w:pPr>
        <w:pStyle w:val="BookText"/>
      </w:pPr>
      <w:r>
        <w:rPr>
          <w:rFonts w:ascii="IRNazanin" w:hAnsi="IRNazanin" w:eastAsia="IRNazanin" w:cs="IRNazanin"/>
          <w:lang w:bidi="fa-IR"/>
          <w:color w:val="111111"/>
          <w:sz w:val="28"/>
          <w:szCs w:val="28"/>
          <w:rtl/>
        </w:rPr>
        <w:t xml:space="preserve">لَیَحْزُنُنِی أَنْ تَذْهَبُوا بِهِ حضرت یعقوب پیش فرزندانش برای این که یوسف را با خود نبرند دو بهانه آورد: یکی این که دوری و جدایی او باعث غم و اندوهش می‏شود چون حتّی یک ساعت طاقت تحمّل دوری‏اش را نداشت، دوم این که می‏ترسید وقتی برادران به خوردن و بازی کردن مشغول و از یوسف غافل باشند، گرگ بر او حمله کند.</w:t>
      </w:r>
    </w:p>
    <w:p>
      <w:pPr>
        <w:pStyle w:val="BookText"/>
      </w:pPr>
      <w:r>
        <w:rPr>
          <w:rFonts w:ascii="IRNazanin" w:hAnsi="IRNazanin" w:eastAsia="IRNazanin" w:cs="IRNazanin"/>
          <w:lang w:bidi="fa-IR"/>
          <w:color w:val="111111"/>
          <w:sz w:val="28"/>
          <w:szCs w:val="28"/>
          <w:rtl/>
        </w:rPr>
        <w:t xml:space="preserve">لَئِنْ أَکَلَهُ الذِّئْبُ «لام» علامت قسم است، و إِنَّا إِذاً لَخاسِرُونَ جواب قسم، و نیز جانشین جواب شرط است، «واو» در «وَ نَحْنُ عُصْبَةٌ» حالیه است: فرزندان یعقوب برای پدر سوگند یاد کردند: اگر چنان باشد که او تصور می‏کند، و می‏ترسد که در میان مردانی چنین نیرومند برادرشان را گرگ مورد حمله قرار دهد، در این صورت آنها مردمی خواهند بود که از ضعف و ناتوانی در شرف هلاکت و نابودی هستند، یا مردمی خواهند بود که سزاوار هلاکتند زیرا امیدی به آنها نیست، و یا جا دارد برای آنها آرزوی بدبختی شود، که آنها حضور داشته باشند و زنده باشند، و گرگ یکی از آنها را بخورد.</w:t>
      </w:r>
    </w:p>
    <w:p>
      <w:pPr>
        <w:pStyle w:val="Heading6"/>
      </w:pPr>
      <w:bookmarkStart w:id="2422" w:name="_Toc1457"/>
      <w:r>
        <w:t>[سوره یوسف «12»: آیات 15 تا 18]</w:t>
      </w:r>
      <w:bookmarkEnd w:id="2422"/>
    </w:p>
    <w:p>
      <w:pPr>
        <w:pStyle w:val="Heading6"/>
      </w:pPr>
      <w:bookmarkStart w:id="2423" w:name="_Toc1458"/>
      <w:r>
        <w:t>اشاره</w:t>
      </w:r>
      <w:bookmarkEnd w:id="2423"/>
    </w:p>
    <w:p>
      <w:pPr>
        <w:pStyle w:val="BookText"/>
      </w:pPr>
      <w:r>
        <w:rPr>
          <w:rFonts w:ascii="Amiri" w:hAnsi="Amiri" w:eastAsia="Amiri" w:cs="Amiri"/>
          <w:lang w:bidi="ar-SA"/>
          <w:color w:val="111111"/>
          <w:sz w:val="28"/>
          <w:szCs w:val="28"/>
          <w:rtl/>
        </w:rPr>
        <w:t xml:space="preserve">فَلَمَّا ذَهَبُوا بِهِ وَ أَجْمَعُوا أَنْ یَجْعَلُوهُ فِی غَیابَتِ الْجُبِّ وَ أَوْحَیْنا إِلَیْهِ لَتُنَبِّئَنَّهُمْ بِأَمْرِهِمْ هذا وَ هُمْ لا یَشْعُرُونَ «15» وَ جاؤُ أَباهُمْ عِشاءً یَبْکُونَ «16» قالُوا یا أَبانا إِنَّا ذَهَبْنا نَسْتَبِقُ وَ تَرَکْنا یُوسُفَ عِنْدَ مَتاعِنا فَأَکَلَهُ الذِّئْبُ وَ ما أَنْتَ بِمُؤْمِنٍ لَنا وَ لَوْ کُنَّا صادِقِینَ «17» وَ جاؤُ عَلی‏ قَمِیصِهِ بِدَمٍ کَذِبٍ قالَ بَلْ سَوَّلَتْ لَکُمْ أَنْفُسُکُمْ أَمْراً فَصَبْرٌ جَمِیلٌ وَ اللَّهُ الْمُسْتَعانُ عَلی‏ ما تَصِفُونَ «18»</w:t>
      </w:r>
    </w:p>
    <w:p>
      <w:pPr>
        <w:pStyle w:val="BookText"/>
      </w:pPr>
      <w:r>
        <w:rPr>
          <w:rFonts w:ascii="IRNazanin" w:hAnsi="IRNazanin" w:eastAsia="IRNazanin" w:cs="IRNazanin"/>
          <w:lang w:bidi="fa-IR"/>
          <w:color w:val="111111"/>
          <w:sz w:val="28"/>
          <w:szCs w:val="28"/>
          <w:rtl/>
        </w:rPr>
        <w:t xml:space="preserve">[شماره صفحه واقعی : 191]
</w:t>
      </w:r>
    </w:p>
    <w:p>
      <w:pPr>
        <w:sectPr>
          <w:footerReference w:type="default" r:id="rId1290"/>
          <w:footnotePr>
            <w:numStart w:val="1"/>
            <w:numRestart w:val="eachPage"/>
          </w:footnotePr>
          <w:pgSz w:orient="portrait" w:w="11905.511811023622" w:h="16837.79527559055"/>
          <w:pgMar w:top="1440" w:right="1440" w:bottom="1440" w:left="1440" w:header="720" w:footer="720" w:gutter="0"/>
          <w:cols w:num="1" w:space="720"/>
        </w:sectPr>
      </w:pPr>
    </w:p>
    <w:bookmarkStart w:id="720" w:name="pg14411_143672"/>
    <w:bookmarkEnd w:id="720"/>
    <w:p>
      <w:pPr>
        <w:pStyle w:val="Heading6"/>
      </w:pPr>
      <w:bookmarkStart w:id="2424" w:name="_Toc1459"/>
      <w:r>
        <w:t>ترجمه:</w:t>
      </w:r>
      <w:bookmarkEnd w:id="2424"/>
    </w:p>
    <w:p>
      <w:pPr>
        <w:pStyle w:val="BookText"/>
      </w:pPr>
      <w:r>
        <w:rPr>
          <w:rFonts w:ascii="IRNazanin" w:hAnsi="IRNazanin" w:eastAsia="IRNazanin" w:cs="IRNazanin"/>
          <w:lang w:bidi="fa-IR"/>
          <w:color w:val="111111"/>
          <w:sz w:val="28"/>
          <w:szCs w:val="28"/>
          <w:rtl/>
        </w:rPr>
        <w:t xml:space="preserve">وقتی که او را با خود بردند و تصمیم گرفتند که او را در مخفیگاه چاه قرار دهند، ما به او وحی فرستادیم که در آینده آنها را از این کارشان با خبر خواهی ساخت در حالی که آنان نمی‏دانند. «15»</w:t>
      </w:r>
    </w:p>
    <w:p>
      <w:pPr>
        <w:pStyle w:val="BookText"/>
      </w:pPr>
      <w:r>
        <w:rPr>
          <w:rFonts w:ascii="IRNazanin" w:hAnsi="IRNazanin" w:eastAsia="IRNazanin" w:cs="IRNazanin"/>
          <w:lang w:bidi="fa-IR"/>
          <w:color w:val="111111"/>
          <w:sz w:val="28"/>
          <w:szCs w:val="28"/>
          <w:rtl/>
        </w:rPr>
        <w:t xml:space="preserve">شب هنگام در حالی که می‏گریستند پیش پدرشان آمدند. «16»</w:t>
      </w:r>
    </w:p>
    <w:p>
      <w:pPr>
        <w:pStyle w:val="BookText"/>
      </w:pPr>
      <w:r>
        <w:rPr>
          <w:rFonts w:ascii="IRNazanin" w:hAnsi="IRNazanin" w:eastAsia="IRNazanin" w:cs="IRNazanin"/>
          <w:lang w:bidi="fa-IR"/>
          <w:color w:val="111111"/>
          <w:sz w:val="28"/>
          <w:szCs w:val="28"/>
          <w:rtl/>
        </w:rPr>
        <w:t xml:space="preserve">گفتند:</w:t>
      </w:r>
    </w:p>
    <w:p>
      <w:pPr>
        <w:pStyle w:val="BookText"/>
      </w:pPr>
      <w:r>
        <w:rPr>
          <w:rFonts w:ascii="IRNazanin" w:hAnsi="IRNazanin" w:eastAsia="IRNazanin" w:cs="IRNazanin"/>
          <w:lang w:bidi="fa-IR"/>
          <w:color w:val="111111"/>
          <w:sz w:val="28"/>
          <w:szCs w:val="28"/>
          <w:rtl/>
        </w:rPr>
        <w:t xml:space="preserve">ای پدر، ما رفتیم به مسابقه و یوسف را نزد اثاثیّه خود گذاشتیم، گرگ او را خورد، ولی تو حرف ما را نمی‏پذیری هر چند راستگو باشیم. «17»</w:t>
      </w:r>
    </w:p>
    <w:p>
      <w:pPr>
        <w:pStyle w:val="BookText"/>
      </w:pPr>
      <w:r>
        <w:rPr>
          <w:rFonts w:ascii="IRNazanin" w:hAnsi="IRNazanin" w:eastAsia="IRNazanin" w:cs="IRNazanin"/>
          <w:lang w:bidi="fa-IR"/>
          <w:color w:val="111111"/>
          <w:sz w:val="28"/>
          <w:szCs w:val="28"/>
          <w:rtl/>
        </w:rPr>
        <w:t xml:space="preserve">و پیراهن وی را با خونی دروغین نزد پدر آوردند، گفت:</w:t>
      </w:r>
    </w:p>
    <w:p>
      <w:pPr>
        <w:pStyle w:val="BookText"/>
      </w:pPr>
      <w:r>
        <w:rPr>
          <w:rFonts w:ascii="IRNazanin" w:hAnsi="IRNazanin" w:eastAsia="IRNazanin" w:cs="IRNazanin"/>
          <w:lang w:bidi="fa-IR"/>
          <w:color w:val="111111"/>
          <w:sz w:val="28"/>
          <w:szCs w:val="28"/>
          <w:rtl/>
        </w:rPr>
        <w:t xml:space="preserve">هوسهای نفسانی شما این کار را برایتان آراسته است، من شکیبایی زیبا دارم و خداوند بر آنچه شما می‏گویید یار و یاور من است. «18»</w:t>
      </w:r>
    </w:p>
    <w:p>
      <w:pPr>
        <w:pStyle w:val="Heading6"/>
      </w:pPr>
      <w:bookmarkStart w:id="2425" w:name="_Toc1460"/>
      <w:r>
        <w:t>تفسیر:</w:t>
      </w:r>
      <w:bookmarkEnd w:id="2425"/>
    </w:p>
    <w:p>
      <w:pPr>
        <w:pStyle w:val="BookText"/>
      </w:pPr>
      <w:r>
        <w:rPr>
          <w:rFonts w:ascii="IRNazanin" w:hAnsi="IRNazanin" w:eastAsia="IRNazanin" w:cs="IRNazanin"/>
          <w:lang w:bidi="fa-IR"/>
          <w:color w:val="111111"/>
          <w:sz w:val="28"/>
          <w:szCs w:val="28"/>
          <w:rtl/>
        </w:rPr>
        <w:t xml:space="preserve">أَنْ یَجْعَلُوهُ مفعول «اجمعوا» می‏باشد، از باب «اجمع الامر و ازمعه» بر آن کار تصمیم گرفت. جواب «لمّا» محذوف و تقدیر این است: فعلوا به ما فعلوا من الأذی، روایت شده است که وقتی او را به بیابان بردند دشمنی خود را با وی آشکار ساختند، او را کتک زدند و آن گاه که خواستند در چاهش اندازند دستهایش را بستند و پیراهنش را از تنش کندند و او را به چاه فرستادند، و چون به نیمه راه رسیده بود، وی را انداختند، چاه آب داشت یوسف در میان آب افتاد پناه به سنگی برد و روی آن ایستاد.</w:t>
      </w:r>
    </w:p>
    <w:p>
      <w:pPr>
        <w:pStyle w:val="BookText"/>
      </w:pPr>
      <w:r>
        <w:rPr>
          <w:rFonts w:ascii="IRNazanin" w:hAnsi="IRNazanin" w:eastAsia="IRNazanin" w:cs="IRNazanin"/>
          <w:lang w:bidi="fa-IR"/>
          <w:color w:val="111111"/>
          <w:sz w:val="28"/>
          <w:szCs w:val="28"/>
          <w:rtl/>
        </w:rPr>
        <w:t xml:space="preserve">روزی که حضرت ابراهیم را برهنه و عریان در آتش افکندند جبرئیل پیراهنی از حریر بهشتی برایش آورد و بر او پوشانید، بعدها ابراهیم آن را به اسحاق داد و از</w:t>
      </w:r>
    </w:p>
    <w:p>
      <w:pPr>
        <w:pStyle w:val="BookText"/>
      </w:pPr>
      <w:r>
        <w:rPr>
          <w:rFonts w:ascii="IRNazanin" w:hAnsi="IRNazanin" w:eastAsia="IRNazanin" w:cs="IRNazanin"/>
          <w:lang w:bidi="fa-IR"/>
          <w:color w:val="111111"/>
          <w:sz w:val="28"/>
          <w:szCs w:val="28"/>
          <w:rtl/>
        </w:rPr>
        <w:t xml:space="preserve">[شماره صفحه واقعی : 192]
</w:t>
      </w:r>
    </w:p>
    <w:p>
      <w:pPr>
        <w:sectPr>
          <w:footerReference w:type="default" r:id="rId1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اسحاق به یعقوب رسید. و حضرت یعقوب آن را به صورت دعا و حرز در بسته‏ای قرار داده و بگردن یوسف آویزان کرده بود. این جا جبرئیل آمد آن را بیرون آورد و بر تن یوسف پوشانید، و این همان پیراهین است که یعقوب از آن بوی یوسف را شنید و بینا شد: هنگامی که کاروان از مصر آمد. </w:t>
      </w:r>
      <w:r>
        <w:rPr>
          <w:rStyle w:val="FootnoteReference"/>
        </w:rPr>
        <w:footnoteReference w:id="4496"/>
      </w:r>
    </w:p>
    <w:p>
      <w:pPr>
        <w:pStyle w:val="BookText"/>
      </w:pPr>
      <w:r>
        <w:rPr>
          <w:rFonts w:ascii="IRNazanin" w:hAnsi="IRNazanin" w:eastAsia="IRNazanin" w:cs="IRNazanin"/>
          <w:lang w:bidi="fa-IR"/>
          <w:color w:val="111111"/>
          <w:sz w:val="28"/>
          <w:szCs w:val="28"/>
          <w:rtl/>
        </w:rPr>
        <w:t xml:space="preserve">وَ أَوْحَیْنا إِلَیْهِ در این صغر سنّ خداوند به یوسف وحی کرد چنان که به یحیی و عیسی وحی کرد.</w:t>
      </w:r>
    </w:p>
    <w:p>
      <w:pPr>
        <w:pStyle w:val="BookText"/>
      </w:pPr>
      <w:r>
        <w:rPr>
          <w:rFonts w:ascii="IRNazanin" w:hAnsi="IRNazanin" w:eastAsia="IRNazanin" w:cs="IRNazanin"/>
          <w:lang w:bidi="fa-IR"/>
          <w:color w:val="111111"/>
          <w:sz w:val="28"/>
          <w:szCs w:val="28"/>
          <w:rtl/>
        </w:rPr>
        <w:t xml:space="preserve">لَتُنَبِّئَنَّهُمْ بِأَمْرِهِمْ هذا خدا به یوسف، وحی کرد تا به سرانجام کارش وی را مژده و بشارت دهد، و معنای جمله این است که حتما از این گرفتاری نجات می‏یابی و برای برادرانت از آنچه بر سرت آورده‏اند نقل خواهی کرد. وَ هُمْ لا یَشْعُرُونَ: در حالی که به علت بالا رفتن موقعیت و مقامت و این که مدّتها از آنها دور شده‏ای نتوانند تو را بشناسند که یوسف هستی، و بعضی گفته‏اند: معنای وَ هُمْ لا یَشْعُرُونَ این است که آنها از این خبر نداشتند که ما به یوسف وحی می‏کنیم و او را از وحشت و تنهایی بیرون می‏آوریم. آنها خیال می‏کردند که او را مونسی نیست.</w:t>
      </w:r>
    </w:p>
    <w:p>
      <w:pPr>
        <w:pStyle w:val="BookText"/>
      </w:pPr>
      <w:r>
        <w:rPr>
          <w:rFonts w:ascii="IRNazanin" w:hAnsi="IRNazanin" w:eastAsia="IRNazanin" w:cs="IRNazanin"/>
          <w:lang w:bidi="fa-IR"/>
          <w:color w:val="111111"/>
          <w:sz w:val="28"/>
          <w:szCs w:val="28"/>
          <w:rtl/>
        </w:rPr>
        <w:t xml:space="preserve">وَ جاؤُ أَباهُمْ عِشاءً برادران یوسف در آخر روز، نزدیکیهای شب پیش پدرشان آمدند و شروع به گریه کردند تا به او بفهمانند که راست می‏گویند:</w:t>
      </w:r>
    </w:p>
    <w:p>
      <w:pPr>
        <w:pStyle w:val="BookText"/>
      </w:pPr>
      <w:r>
        <w:rPr>
          <w:rFonts w:ascii="IRNazanin" w:hAnsi="IRNazanin" w:eastAsia="IRNazanin" w:cs="IRNazanin"/>
          <w:lang w:bidi="fa-IR"/>
          <w:color w:val="111111"/>
          <w:sz w:val="28"/>
          <w:szCs w:val="28"/>
          <w:rtl/>
        </w:rPr>
        <w:t xml:space="preserve">قالُوا یا أَبانا إِنَّا ذَهَبْنا نَسْتَبِقُ گفتند پدر! ما رفته بودیم برای مسابقه، مسابقه دو، یا تیراندازی، در تفسیر گفته شده: «ننتضل» مسابقه تیراندازی، «وَ ما أَنْتَ»: بمصدق «لَنا وَ لَوْ کُنَّا: تو اکنون به دلیل علاقه‏ای که به یوسف داری اگر چه ما نزد تو، راستگو باشیم حرف ما را نمی‏پذیری چه رسد به این که اکنون به ما بدگمانی و اعتمادی به گفته ما نداری.</w:t>
      </w:r>
    </w:p>
    <w:p>
      <w:pPr>
        <w:pStyle w:val="BookText"/>
      </w:pPr>
      <w:r>
        <w:rPr>
          <w:rFonts w:ascii="IRNazanin" w:hAnsi="IRNazanin" w:eastAsia="IRNazanin" w:cs="IRNazanin"/>
          <w:lang w:bidi="fa-IR"/>
          <w:color w:val="111111"/>
          <w:sz w:val="28"/>
          <w:szCs w:val="28"/>
          <w:rtl/>
        </w:rPr>
        <w:t xml:space="preserve">بِدَمٍ کَذِبٍ آلوده به خون دروغی، و می‏توان گفت موصوف به مصدر است برای</w:t>
      </w:r>
    </w:p>
    <w:p>
      <w:pPr>
        <w:pStyle w:val="BookText"/>
      </w:pPr>
      <w:r>
        <w:rPr>
          <w:rFonts w:ascii="IRNazanin" w:hAnsi="IRNazanin" w:eastAsia="IRNazanin" w:cs="IRNazanin"/>
          <w:lang w:bidi="fa-IR"/>
          <w:color w:val="111111"/>
          <w:sz w:val="28"/>
          <w:szCs w:val="28"/>
          <w:rtl/>
        </w:rPr>
        <w:t xml:space="preserve">[شماره صفحه واقعی : 193]
</w:t>
      </w:r>
    </w:p>
    <w:p>
      <w:pPr>
        <w:sectPr>
          <w:footerReference w:type="default" r:id="rId1292"/>
          <w:footnotePr>
            <w:numStart w:val="1"/>
            <w:numRestart w:val="eachPage"/>
          </w:footnotePr>
          <w:pgSz w:orient="portrait" w:w="11905.511811023622" w:h="16837.79527559055"/>
          <w:pgMar w:top="1440" w:right="1440" w:bottom="1440" w:left="1440" w:header="720" w:footer="720" w:gutter="0"/>
          <w:cols w:num="1" w:space="720"/>
        </w:sectPr>
      </w:pPr>
    </w:p>
    <w:bookmarkStart w:id="721" w:name="pg14411_143674"/>
    <w:bookmarkEnd w:id="721"/>
    <w:p>
      <w:pPr>
        <w:pStyle w:val="BookText"/>
      </w:pPr>
      <w:r>
        <w:rPr>
          <w:rFonts w:ascii="IRNazanin" w:hAnsi="IRNazanin" w:eastAsia="IRNazanin" w:cs="IRNazanin"/>
          <w:lang w:bidi="fa-IR"/>
          <w:color w:val="111111"/>
          <w:sz w:val="28"/>
          <w:szCs w:val="28"/>
          <w:rtl/>
        </w:rPr>
        <w:t xml:space="preserve">مبالغه مثل قول شاعر:</w:t>
      </w:r>
    </w:p>
    <w:p>
      <w:pPr>
        <w:pStyle w:val="BookText"/>
      </w:pPr>
      <w:r>
        <w:rPr>
          <w:rFonts w:ascii="IRNazanin" w:hAnsi="IRNazanin" w:eastAsia="IRNazanin" w:cs="IRNazanin"/>
          <w:lang w:bidi="fa-IR"/>
          <w:color w:val="111111"/>
          <w:sz w:val="28"/>
          <w:szCs w:val="28"/>
          <w:rtl/>
        </w:rPr>
        <w:t xml:space="preserve">فهن به جود و انتم به بخل‏</w:t>
      </w:r>
    </w:p>
    <w:p>
      <w:pPr>
        <w:pStyle w:val="BookText"/>
      </w:pPr>
      <w:r>
        <w:rPr>
          <w:rFonts w:ascii="Times New Roman" w:hAnsi="Times New Roman" w:eastAsia="Times New Roman" w:cs="Times New Roman"/>
          <w:lang w:val="en-US" w:bidi="en-US"/>
          <w:color w:val="111111"/>
          <w:sz w:val="28"/>
          <w:szCs w:val="28"/>
          <w:rtl/>
        </w:rPr>
        <w:t xml:space="preserve">: </w:t>
      </w:r>
      <w:r>
        <w:rPr>
          <w:rStyle w:val="FootnoteReference"/>
        </w:rPr>
        <w:footnoteReference w:id="4497"/>
      </w:r>
      <w:r>
        <w:rPr>
          <w:rFonts w:ascii="IRNazanin" w:hAnsi="IRNazanin" w:eastAsia="IRNazanin" w:cs="IRNazanin"/>
          <w:lang w:bidi="fa-IR"/>
          <w:color w:val="111111"/>
          <w:sz w:val="28"/>
          <w:szCs w:val="28"/>
          <w:rtl/>
        </w:rPr>
        <w:t xml:space="preserve">(جواد و بخیل نگفته، تا افاده مبالغه کند)، روایت شده است که یعقوب پیراهن را گرفت و بر روی صورتش انداخت و بقدری گریست که صورتش با خون پیراهن رنگین شد و گفت: به خدا سوگند تا امروز گرگی را از این، بردبارتر ندیدم که پسرم را خورده و پیراهنش را بر تنش ندریده است. </w:t>
      </w:r>
      <w:r>
        <w:rPr>
          <w:rStyle w:val="FootnoteReference"/>
        </w:rPr>
        <w:footnoteReference w:id="4498"/>
      </w:r>
    </w:p>
    <w:p>
      <w:pPr>
        <w:pStyle w:val="BookText"/>
      </w:pPr>
      <w:r>
        <w:rPr>
          <w:rFonts w:ascii="IRNazanin" w:hAnsi="IRNazanin" w:eastAsia="IRNazanin" w:cs="IRNazanin"/>
          <w:lang w:bidi="fa-IR"/>
          <w:color w:val="111111"/>
          <w:sz w:val="28"/>
          <w:szCs w:val="28"/>
          <w:rtl/>
        </w:rPr>
        <w:t xml:space="preserve">عَلی‏ قَمِیصِهِ در محل نصب است بنا بر ظرفیّت: جاءوا فوق قمیصه بدم کذب: و جایز نیست که حال مقدّم باشد، زیرا حال از مجرور بر آن مقدّم نمی‏شود.</w:t>
      </w:r>
    </w:p>
    <w:p>
      <w:pPr>
        <w:pStyle w:val="BookText"/>
      </w:pPr>
      <w:r>
        <w:rPr>
          <w:rFonts w:ascii="IRNazanin" w:hAnsi="IRNazanin" w:eastAsia="IRNazanin" w:cs="IRNazanin"/>
          <w:lang w:bidi="fa-IR"/>
          <w:color w:val="111111"/>
          <w:sz w:val="28"/>
          <w:szCs w:val="28"/>
          <w:rtl/>
        </w:rPr>
        <w:t xml:space="preserve">قالَ: بَلْ سَوَّلَتْ: گفت هواهای نفسانی‏تان امر عظیمی را برایتان آسان نمود و آزار یوسف را در چشم شما بی اهمیّت جلوه داد و این جنایت بزرگ را درباره او مرتکب شدید.</w:t>
      </w:r>
    </w:p>
    <w:p>
      <w:pPr>
        <w:pStyle w:val="BookText"/>
      </w:pPr>
      <w:r>
        <w:rPr>
          <w:rFonts w:ascii="IRNazanin" w:hAnsi="IRNazanin" w:eastAsia="IRNazanin" w:cs="IRNazanin"/>
          <w:lang w:bidi="fa-IR"/>
          <w:color w:val="111111"/>
          <w:sz w:val="28"/>
          <w:szCs w:val="28"/>
          <w:rtl/>
        </w:rPr>
        <w:t xml:space="preserve">«سول» استرخاء: سهل و آسان شمردن.</w:t>
      </w:r>
    </w:p>
    <w:p>
      <w:pPr>
        <w:pStyle w:val="BookText"/>
      </w:pPr>
      <w:r>
        <w:rPr>
          <w:rFonts w:ascii="IRNazanin" w:hAnsi="IRNazanin" w:eastAsia="IRNazanin" w:cs="IRNazanin"/>
          <w:lang w:bidi="fa-IR"/>
          <w:color w:val="111111"/>
          <w:sz w:val="28"/>
          <w:szCs w:val="28"/>
          <w:rtl/>
        </w:rPr>
        <w:t xml:space="preserve">فَصَبْرٌ جَمِیلٌ کار من صبر جمیل است، یا صبر جمیل بهتر است، «صبر جمیل»، شکیبایی است که در آن جز به خدا شکایتی نبرند چنان که فرمود: از پریشانی و اندوهم تنها به خدا شکوه می‏برم. </w:t>
      </w:r>
      <w:r>
        <w:rPr>
          <w:rStyle w:val="FootnoteReference"/>
        </w:rPr>
        <w:footnoteReference w:id="4499"/>
      </w:r>
    </w:p>
    <w:p>
      <w:pPr>
        <w:pStyle w:val="BookText"/>
      </w:pPr>
      <w:r>
        <w:rPr>
          <w:rFonts w:ascii="Amiri" w:hAnsi="Amiri" w:eastAsia="Amiri" w:cs="Amiri"/>
          <w:lang w:bidi="ar-SA"/>
          <w:color w:val="111111"/>
          <w:sz w:val="28"/>
          <w:szCs w:val="28"/>
          <w:rtl/>
        </w:rPr>
        <w:t xml:space="preserve">وَ اللَّهُ الْمُسْتَعانُ عَلی‏ و برای تحمّل دردی که شما بیان می‏کنید: یوسفم از بین رفته، فقط از خداوند کمک می‏خواهم.</w:t>
      </w:r>
    </w:p>
    <w:p>
      <w:pPr>
        <w:pStyle w:val="Heading6"/>
      </w:pPr>
      <w:bookmarkStart w:id="2426" w:name="_Toc1461"/>
      <w:r>
        <w:t>[سوره یوسف «12»: آیات 19 تا 20]</w:t>
      </w:r>
      <w:bookmarkEnd w:id="2426"/>
    </w:p>
    <w:p>
      <w:pPr>
        <w:pStyle w:val="Heading6"/>
      </w:pPr>
      <w:bookmarkStart w:id="2427" w:name="_Toc1462"/>
      <w:r>
        <w:t>اشاره</w:t>
      </w:r>
      <w:bookmarkEnd w:id="2427"/>
    </w:p>
    <w:p>
      <w:pPr>
        <w:pStyle w:val="BookText"/>
      </w:pPr>
      <w:r>
        <w:rPr>
          <w:rFonts w:ascii="Amiri" w:hAnsi="Amiri" w:eastAsia="Amiri" w:cs="Amiri"/>
          <w:lang w:bidi="ar-SA"/>
          <w:color w:val="111111"/>
          <w:sz w:val="28"/>
          <w:szCs w:val="28"/>
          <w:rtl/>
        </w:rPr>
        <w:t xml:space="preserve">وَ جاءَتْ سَیَّارَةٌ فَأَرْسَلُوا وارِدَهُمْ فَأَدْلی‏ دَلْوَهُ قالَ یا بُشْری‏ هذا غُلامٌ وَ أَسَرُّوهُ بِضاعَةً وَ اللَّهُ عَلِیمٌ بِما یَعْمَلُونَ «19» وَ شَرَوْهُ بِثَمَنٍ بَخْسٍ دَراهِمَ مَعْدُودَةٍ وَ کانُوا فِیهِ مِنَ الزَّاهِدِینَ «20»</w:t>
      </w:r>
    </w:p>
    <w:p>
      <w:pPr>
        <w:pStyle w:val="BookText"/>
      </w:pPr>
      <w:r>
        <w:rPr>
          <w:rFonts w:ascii="IRNazanin" w:hAnsi="IRNazanin" w:eastAsia="IRNazanin" w:cs="IRNazanin"/>
          <w:lang w:bidi="fa-IR"/>
          <w:color w:val="111111"/>
          <w:sz w:val="28"/>
          <w:szCs w:val="28"/>
          <w:rtl/>
        </w:rPr>
        <w:t xml:space="preserve">[شماره صفحه واقعی : 194]
</w:t>
      </w:r>
    </w:p>
    <w:p>
      <w:pPr>
        <w:sectPr>
          <w:footerReference w:type="default" r:id="rId1293"/>
          <w:footnotePr>
            <w:numStart w:val="1"/>
            <w:numRestart w:val="eachPage"/>
          </w:footnotePr>
          <w:pgSz w:orient="portrait" w:w="11905.511811023622" w:h="16837.79527559055"/>
          <w:pgMar w:top="1440" w:right="1440" w:bottom="1440" w:left="1440" w:header="720" w:footer="720" w:gutter="0"/>
          <w:cols w:num="1" w:space="720"/>
        </w:sectPr>
      </w:pPr>
    </w:p>
    <w:bookmarkStart w:id="722" w:name="pg14411_143675"/>
    <w:bookmarkEnd w:id="722"/>
    <w:p>
      <w:pPr>
        <w:pStyle w:val="Heading6"/>
      </w:pPr>
      <w:bookmarkStart w:id="2428" w:name="_Toc1463"/>
      <w:r>
        <w:t>ترجمه:</w:t>
      </w:r>
      <w:bookmarkEnd w:id="2428"/>
    </w:p>
    <w:p>
      <w:pPr>
        <w:pStyle w:val="BookText"/>
      </w:pPr>
      <w:r>
        <w:rPr>
          <w:rFonts w:ascii="IRNazanin" w:hAnsi="IRNazanin" w:eastAsia="IRNazanin" w:cs="IRNazanin"/>
          <w:lang w:bidi="fa-IR"/>
          <w:color w:val="111111"/>
          <w:sz w:val="28"/>
          <w:szCs w:val="28"/>
          <w:rtl/>
        </w:rPr>
        <w:t xml:space="preserve">و کاروانی فرا رسید و آب آور خود را فرستادند، او، دلو خود را در چاه افکند، و صدا زد: مژده باد، این کودکی است، این مطلب را کاروانیان، به عنوان یک سرمایه از دیگران پنهان داشتند، و خداوند به آنچه که آنها انجام می‏دادند آگاه است. «19»</w:t>
      </w:r>
    </w:p>
    <w:p>
      <w:pPr>
        <w:pStyle w:val="BookText"/>
      </w:pPr>
      <w:r>
        <w:rPr>
          <w:rFonts w:ascii="IRNazanin" w:hAnsi="IRNazanin" w:eastAsia="IRNazanin" w:cs="IRNazanin"/>
          <w:lang w:bidi="fa-IR"/>
          <w:color w:val="111111"/>
          <w:sz w:val="28"/>
          <w:szCs w:val="28"/>
          <w:rtl/>
        </w:rPr>
        <w:t xml:space="preserve">او را به بهای کمی: چند درهم، فروختند و نسبت به او بی‏اعتنا بودند. «20»</w:t>
      </w:r>
    </w:p>
    <w:p>
      <w:pPr>
        <w:pStyle w:val="Heading6"/>
      </w:pPr>
      <w:bookmarkStart w:id="2429" w:name="_Toc1464"/>
      <w:r>
        <w:t>تفسیر:</w:t>
      </w:r>
      <w:bookmarkEnd w:id="2429"/>
    </w:p>
    <w:p>
      <w:pPr>
        <w:pStyle w:val="BookText"/>
      </w:pPr>
      <w:r>
        <w:rPr>
          <w:rFonts w:ascii="IRNazanin" w:hAnsi="IRNazanin" w:eastAsia="IRNazanin" w:cs="IRNazanin"/>
          <w:lang w:bidi="fa-IR"/>
          <w:color w:val="111111"/>
          <w:sz w:val="28"/>
          <w:szCs w:val="28"/>
          <w:rtl/>
        </w:rPr>
        <w:t xml:space="preserve">«سَیَّارَةٌ» گروهی بودند رهگذر که از ناحیه مدین به طرف مصر می‏رفتند، و این امر سه روز بعد از آن بود که یوسف را در چاه انداخته بودند. اهل کاروان راه را گم کرده بودند و نزدیک این چاه فرود آمدند.</w:t>
      </w:r>
    </w:p>
    <w:p>
      <w:pPr>
        <w:pStyle w:val="BookText"/>
      </w:pPr>
      <w:r>
        <w:rPr>
          <w:rFonts w:ascii="IRNazanin" w:hAnsi="IRNazanin" w:eastAsia="IRNazanin" w:cs="IRNazanin"/>
          <w:lang w:bidi="fa-IR"/>
          <w:color w:val="111111"/>
          <w:sz w:val="28"/>
          <w:szCs w:val="28"/>
          <w:rtl/>
        </w:rPr>
        <w:t xml:space="preserve">فَأَرْسَلُوا وارِدَهُمْ وارد کسی است که بر سر آب می‏آید تا برای گروهی آب ببرد:</w:t>
      </w:r>
    </w:p>
    <w:p>
      <w:pPr>
        <w:pStyle w:val="BookText"/>
      </w:pPr>
      <w:r>
        <w:rPr>
          <w:rFonts w:ascii="IRNazanin" w:hAnsi="IRNazanin" w:eastAsia="IRNazanin" w:cs="IRNazanin"/>
          <w:lang w:bidi="fa-IR"/>
          <w:color w:val="111111"/>
          <w:sz w:val="28"/>
          <w:szCs w:val="28"/>
          <w:rtl/>
        </w:rPr>
        <w:t xml:space="preserve">آنها مردی را فرستادند تا برایشان آبی پیدا کند، نام او، مالک بن ذعر، بود.</w:t>
      </w:r>
    </w:p>
    <w:p>
      <w:pPr>
        <w:pStyle w:val="BookText"/>
      </w:pPr>
      <w:r>
        <w:rPr>
          <w:rFonts w:ascii="IRNazanin" w:hAnsi="IRNazanin" w:eastAsia="IRNazanin" w:cs="IRNazanin"/>
          <w:lang w:bidi="fa-IR"/>
          <w:color w:val="111111"/>
          <w:sz w:val="28"/>
          <w:szCs w:val="28"/>
          <w:rtl/>
        </w:rPr>
        <w:t xml:space="preserve">فَأَدْلی‏ دَلْوَهُ سطلش را در چاه افکند، یوسف به ریسمان چسبید، وقتی که آن مرد دلو را بالا کشید ناگهان غلامی بسیار زیبا مشاهده کرد. «قالَ: یا بُشْری‏»: به خودش گفت: مژده باد مرا، خوشا به حالم، (این معنا در صورتی است که «بشرای» با فتح «ی» خوانده شود که گویا مرحوم مصنّف همین قرائت را پذیرفته است) امّا اگر بر طبق معمول: «یا بُشْری‏» خوانده شود به این معناست: که آن شخص بشارت را مورد ندا قرار داد و گویا چنین گفت: ای بشارت ای خوشبختی بیا که به وقت آمدی.</w:t>
      </w:r>
    </w:p>
    <w:p>
      <w:pPr>
        <w:pStyle w:val="BookText"/>
      </w:pPr>
      <w:r>
        <w:rPr>
          <w:rFonts w:ascii="IRNazanin" w:hAnsi="IRNazanin" w:eastAsia="IRNazanin" w:cs="IRNazanin"/>
          <w:lang w:bidi="fa-IR"/>
          <w:color w:val="111111"/>
          <w:sz w:val="28"/>
          <w:szCs w:val="28"/>
          <w:rtl/>
        </w:rPr>
        <w:t xml:space="preserve">وَ أَسَرُّوهُ ضمیر جمع برای تمام اهل کاروان است: از کاروانهای دیگر این امر را مخفی داشتند.</w:t>
      </w:r>
    </w:p>
    <w:p>
      <w:pPr>
        <w:pStyle w:val="BookText"/>
      </w:pPr>
      <w:r>
        <w:rPr>
          <w:rFonts w:ascii="IRNazanin" w:hAnsi="IRNazanin" w:eastAsia="IRNazanin" w:cs="IRNazanin"/>
          <w:lang w:bidi="fa-IR"/>
          <w:color w:val="111111"/>
          <w:sz w:val="28"/>
          <w:szCs w:val="28"/>
          <w:rtl/>
        </w:rPr>
        <w:t xml:space="preserve">بعضی گفته‏اند: اهل کاروان امر یوسف و این که او را در چاه یافته‏اند از دیگران مخفی داشتند بلکه می‏گفتند صاحبان این آب این غلام را به ما سپرده‏اند که در مصر برایشان بفروشیم.</w:t>
      </w:r>
    </w:p>
    <w:p>
      <w:pPr>
        <w:pStyle w:val="BookText"/>
      </w:pPr>
      <w:r>
        <w:rPr>
          <w:rFonts w:ascii="IRNazanin" w:hAnsi="IRNazanin" w:eastAsia="IRNazanin" w:cs="IRNazanin"/>
          <w:lang w:bidi="fa-IR"/>
          <w:color w:val="111111"/>
          <w:sz w:val="28"/>
          <w:szCs w:val="28"/>
          <w:rtl/>
        </w:rPr>
        <w:t xml:space="preserve">[شماره صفحه واقعی : 195]
</w:t>
      </w:r>
    </w:p>
    <w:p>
      <w:pPr>
        <w:sectPr>
          <w:footerReference w:type="default" r:id="rId1294"/>
          <w:footnotePr>
            <w:numStart w:val="1"/>
            <w:numRestart w:val="eachPage"/>
          </w:footnotePr>
          <w:pgSz w:orient="portrait" w:w="11905.511811023622" w:h="16837.79527559055"/>
          <w:pgMar w:top="1440" w:right="1440" w:bottom="1440" w:left="1440" w:header="720" w:footer="720" w:gutter="0"/>
          <w:cols w:num="1" w:space="720"/>
        </w:sectPr>
      </w:pPr>
    </w:p>
    <w:bookmarkStart w:id="723" w:name="pg14411_143676"/>
    <w:bookmarkEnd w:id="723"/>
    <w:p>
      <w:pPr>
        <w:pStyle w:val="BookText"/>
      </w:pPr>
      <w:r>
        <w:rPr>
          <w:rFonts w:ascii="IRNazanin" w:hAnsi="IRNazanin" w:eastAsia="IRNazanin" w:cs="IRNazanin"/>
          <w:lang w:bidi="fa-IR"/>
          <w:color w:val="111111"/>
          <w:sz w:val="28"/>
          <w:szCs w:val="28"/>
          <w:rtl/>
        </w:rPr>
        <w:t xml:space="preserve">ابن عباس می‏گوید: ضمیر، به برادران یوسف برمی‏گردد یعنی آنها به دیگران گفتند: این غلام مال ماست و گریخته، پس از ما آن را بخرید، یوسف از ترس این که او را بکشند ساکت بود و هیچ نمی‏گفت.</w:t>
      </w:r>
    </w:p>
    <w:p>
      <w:pPr>
        <w:pStyle w:val="BookText"/>
      </w:pPr>
      <w:r>
        <w:rPr>
          <w:rFonts w:ascii="IRNazanin" w:hAnsi="IRNazanin" w:eastAsia="IRNazanin" w:cs="IRNazanin"/>
          <w:lang w:bidi="fa-IR"/>
          <w:color w:val="111111"/>
          <w:sz w:val="28"/>
          <w:szCs w:val="28"/>
          <w:rtl/>
        </w:rPr>
        <w:t xml:space="preserve">«بِضاعَةً» منصوب است بنا بر حالیت: او را همچون کالای تجارتی مخفی داشتند.</w:t>
      </w:r>
    </w:p>
    <w:p>
      <w:pPr>
        <w:pStyle w:val="BookText"/>
      </w:pPr>
      <w:r>
        <w:rPr>
          <w:rFonts w:ascii="IRNazanin" w:hAnsi="IRNazanin" w:eastAsia="IRNazanin" w:cs="IRNazanin"/>
          <w:lang w:bidi="fa-IR"/>
          <w:color w:val="111111"/>
          <w:sz w:val="28"/>
          <w:szCs w:val="28"/>
          <w:rtl/>
        </w:rPr>
        <w:t xml:space="preserve">بضاعت به مالی گفته می‏شود که به منظور تجارت جدا می‏شود. «وَ شَرَوْهُ»: او را فروختند، بِثَمَنٍ بَخْسٍ ای مبخوس، یعنی به قیمتی خیلی کمتر از معمول که این کمبود، ظاهر و آشکار بود «دَراهِمَ» درهمهای نقره بود نه دینارهای طلا، «مَعْدُودَةٍ»: خیلی کم بود که شمرده می‏شد و قابل وزن نبود. از ابن عباس نقل شده است که بیست درهم بود.</w:t>
      </w:r>
    </w:p>
    <w:p>
      <w:pPr>
        <w:pStyle w:val="BookText"/>
      </w:pPr>
      <w:r>
        <w:rPr>
          <w:rFonts w:ascii="IRNazanin" w:hAnsi="IRNazanin" w:eastAsia="IRNazanin" w:cs="IRNazanin"/>
          <w:lang w:bidi="fa-IR"/>
          <w:color w:val="111111"/>
          <w:sz w:val="28"/>
          <w:szCs w:val="28"/>
          <w:rtl/>
        </w:rPr>
        <w:t xml:space="preserve">وَ کانُوا فِیهِ مِنَ الزَّاهِدِینَ فروشندگان یوسف در این امر از زاهدان بودند، یعنی کسی که به آنچه در دست دارد تمایلی نشان نمی‏دهد و آن را به کمترین بها می‏فروشد. و دلیل عدم تمایل آنها این بود که او را پیدا کرده بودند و هر کس چیزی را پیدا کند به هر قیمت که آن را بفروشد باکی ندارد، و می‏توان گفت معنایش این است که کاروانیان او را از برادرانش خریدند و برادران درباره یوسف به قیمت او، از زاهدان بودند یعنی به یوسف دلبستگی نداشتند.</w:t>
      </w:r>
    </w:p>
    <w:p>
      <w:pPr>
        <w:pStyle w:val="Heading6"/>
      </w:pPr>
      <w:bookmarkStart w:id="2430" w:name="_Toc1465"/>
      <w:r>
        <w:t>[سوره یوسف «12»: آیات 21 تا 23]</w:t>
      </w:r>
      <w:bookmarkEnd w:id="2430"/>
    </w:p>
    <w:p>
      <w:pPr>
        <w:pStyle w:val="Heading6"/>
      </w:pPr>
      <w:bookmarkStart w:id="2431" w:name="_Toc1466"/>
      <w:r>
        <w:t>اشاره</w:t>
      </w:r>
      <w:bookmarkEnd w:id="2431"/>
    </w:p>
    <w:p>
      <w:pPr>
        <w:pStyle w:val="BookText"/>
      </w:pPr>
      <w:r>
        <w:rPr>
          <w:rFonts w:ascii="Amiri" w:hAnsi="Amiri" w:eastAsia="Amiri" w:cs="Amiri"/>
          <w:lang w:bidi="ar-SA"/>
          <w:color w:val="111111"/>
          <w:sz w:val="28"/>
          <w:szCs w:val="28"/>
          <w:rtl/>
        </w:rPr>
        <w:t xml:space="preserve">وَ قالَ الَّذِی اشْتَراهُ مِنْ مِصْرَ لامْرَأَتِهِ أَکْرِمِی مَثْواهُ عَسی‏ أَنْ یَنْفَعَنا أَوْ نَتَّخِذَهُ وَلَداً وَ کَذلِکَ مَکَّنَّا لِیُوسُفَ فِی الْأَرْضِ وَ لِنُعَلِّمَهُ مِنْ تَأْوِیلِ الْأَحادِیثِ وَ اللَّهُ غالِبٌ عَلی‏ أَمْرِهِ وَ لکِنَّ أَکْثَرَ النَّاسِ لا یَعْلَمُونَ «21» وَ لَمَّا بَلَغَ أَشُدَّهُ آتَیْناهُ حُکْماً وَ عِلْماً وَ کَذلِکَ نَجْزِی الْمُحْسِنِینَ «22» وَ راوَدَتْهُ الَّتِی هُوَ فِی بَیْتِها عَنْ نَفْسِهِ وَ غَلَّقَتِ الْأَبْوابَ وَ قالَتْ هَیْتَ لَکَ قالَ مَعاذَ اللَّهِ إِنَّهُ رَبِّی أَحْسَنَ مَثْوایَ إِنَّهُ لا یُفْلِحُ الظَّالِمُونَ «23»</w:t>
      </w:r>
    </w:p>
    <w:p>
      <w:pPr>
        <w:pStyle w:val="BookText"/>
      </w:pPr>
      <w:r>
        <w:rPr>
          <w:rFonts w:ascii="IRNazanin" w:hAnsi="IRNazanin" w:eastAsia="IRNazanin" w:cs="IRNazanin"/>
          <w:lang w:bidi="fa-IR"/>
          <w:color w:val="111111"/>
          <w:sz w:val="28"/>
          <w:szCs w:val="28"/>
          <w:rtl/>
        </w:rPr>
        <w:t xml:space="preserve">[شماره صفحه واقعی : 196]
</w:t>
      </w:r>
    </w:p>
    <w:p>
      <w:pPr>
        <w:sectPr>
          <w:footerReference w:type="default" r:id="rId1295"/>
          <w:footnotePr>
            <w:numStart w:val="1"/>
            <w:numRestart w:val="eachPage"/>
          </w:footnotePr>
          <w:pgSz w:orient="portrait" w:w="11905.511811023622" w:h="16837.79527559055"/>
          <w:pgMar w:top="1440" w:right="1440" w:bottom="1440" w:left="1440" w:header="720" w:footer="720" w:gutter="0"/>
          <w:cols w:num="1" w:space="720"/>
        </w:sectPr>
      </w:pPr>
    </w:p>
    <w:bookmarkStart w:id="724" w:name="pg14411_143677"/>
    <w:bookmarkEnd w:id="724"/>
    <w:p>
      <w:pPr>
        <w:pStyle w:val="Heading6"/>
      </w:pPr>
      <w:bookmarkStart w:id="2432" w:name="_Toc1467"/>
      <w:r>
        <w:t>ترجمه:</w:t>
      </w:r>
      <w:bookmarkEnd w:id="2432"/>
    </w:p>
    <w:p>
      <w:pPr>
        <w:pStyle w:val="BookText"/>
      </w:pPr>
      <w:r>
        <w:rPr>
          <w:rFonts w:ascii="IRNazanin" w:hAnsi="IRNazanin" w:eastAsia="IRNazanin" w:cs="IRNazanin"/>
          <w:lang w:bidi="fa-IR"/>
          <w:color w:val="111111"/>
          <w:sz w:val="28"/>
          <w:szCs w:val="28"/>
          <w:rtl/>
        </w:rPr>
        <w:t xml:space="preserve">کسی که او را در سرزمین مصر خرید، به همسر خود گفت:</w:t>
      </w:r>
    </w:p>
    <w:p>
      <w:pPr>
        <w:pStyle w:val="BookText"/>
      </w:pPr>
      <w:r>
        <w:rPr>
          <w:rFonts w:ascii="IRNazanin" w:hAnsi="IRNazanin" w:eastAsia="IRNazanin" w:cs="IRNazanin"/>
          <w:lang w:bidi="fa-IR"/>
          <w:color w:val="111111"/>
          <w:sz w:val="28"/>
          <w:szCs w:val="28"/>
          <w:rtl/>
        </w:rPr>
        <w:t xml:space="preserve">وی را گرامی دار که امید است برای ما مفید باشد و یا او را فرزند خود بگیریم، و این چنین یوسف را در آن سرزمین متمکّن ساختیم، و برای این که تعبیر خواب را یادش دهیم، و خداوند بر کار خود پیروز است امّا اکثر مردم نمی‏دانند. «21»</w:t>
      </w:r>
    </w:p>
    <w:p>
      <w:pPr>
        <w:pStyle w:val="BookText"/>
      </w:pPr>
      <w:r>
        <w:rPr>
          <w:rFonts w:ascii="IRNazanin" w:hAnsi="IRNazanin" w:eastAsia="IRNazanin" w:cs="IRNazanin"/>
          <w:lang w:bidi="fa-IR"/>
          <w:color w:val="111111"/>
          <w:sz w:val="28"/>
          <w:szCs w:val="28"/>
          <w:rtl/>
        </w:rPr>
        <w:t xml:space="preserve">و هنگامی که به مرحله بلوغ و قوّت رسید، به او، حکم، و علم دادیم، و این چنین نیکوکاران را پاداش می‏دهیم. «22»</w:t>
      </w:r>
    </w:p>
    <w:p>
      <w:pPr>
        <w:pStyle w:val="BookText"/>
      </w:pPr>
      <w:r>
        <w:rPr>
          <w:rFonts w:ascii="IRNazanin" w:hAnsi="IRNazanin" w:eastAsia="IRNazanin" w:cs="IRNazanin"/>
          <w:lang w:bidi="fa-IR"/>
          <w:color w:val="111111"/>
          <w:sz w:val="28"/>
          <w:szCs w:val="28"/>
          <w:rtl/>
        </w:rPr>
        <w:t xml:space="preserve">و آن زن که یوسف در خانه‏اش بود از او تمنّای کامجویی کرد و درها را بست و گفت بشتاب بسوی آنچه برایت مهیّاست، گفت پناه می‏برم به خدا او </w:t>
      </w:r>
      <w:r>
        <w:rPr>
          <w:rStyle w:val="FootnoteReference"/>
        </w:rPr>
        <w:footnoteReference w:id="4500"/>
      </w:r>
      <w:r>
        <w:rPr>
          <w:rFonts w:ascii="IRNazanin" w:hAnsi="IRNazanin" w:eastAsia="IRNazanin" w:cs="IRNazanin"/>
          <w:lang w:bidi="fa-IR"/>
          <w:color w:val="111111"/>
          <w:sz w:val="28"/>
          <w:szCs w:val="28"/>
          <w:rtl/>
        </w:rPr>
        <w:t xml:space="preserve">پروردگار من است مقام مرا گرامی داشته، مسلّما ستمکاران رستگار نمی‏شوند. «23»</w:t>
      </w:r>
    </w:p>
    <w:p>
      <w:pPr>
        <w:pStyle w:val="Heading6"/>
      </w:pPr>
      <w:bookmarkStart w:id="2433" w:name="_Toc1468"/>
      <w:r>
        <w:t>تفسیر:</w:t>
      </w:r>
      <w:bookmarkEnd w:id="2433"/>
    </w:p>
    <w:p>
      <w:pPr>
        <w:pStyle w:val="BookText"/>
      </w:pPr>
      <w:r>
        <w:rPr>
          <w:rFonts w:ascii="Amiri" w:hAnsi="Amiri" w:eastAsia="Amiri" w:cs="Amiri"/>
          <w:lang w:bidi="ar-SA"/>
          <w:color w:val="111111"/>
          <w:sz w:val="28"/>
          <w:szCs w:val="28"/>
          <w:rtl/>
        </w:rPr>
        <w:t xml:space="preserve">الَّذِی اشْتَراهُ مِنْ مِصْرَ عزیز مصر، متصدی خزاین و ارزاق عمومی آن کشور بود. </w:t>
      </w:r>
      <w:r>
        <w:rPr>
          <w:rStyle w:val="FootnoteReference"/>
        </w:rPr>
        <w:footnoteReference w:id="4501"/>
      </w:r>
      <w:r>
        <w:rPr>
          <w:rFonts w:ascii="IRNazanin" w:hAnsi="IRNazanin" w:eastAsia="IRNazanin" w:cs="IRNazanin"/>
          <w:lang w:bidi="fa-IR"/>
          <w:color w:val="111111"/>
          <w:sz w:val="28"/>
          <w:szCs w:val="28"/>
          <w:rtl/>
        </w:rPr>
        <w:t xml:space="preserve">وی «قطفیر» یا «اطفیر» نام داشت و نام پادشاه مصر یا فرعون آن زمان، «ریّان بن ولید» بود.</w:t>
      </w:r>
    </w:p>
    <w:p>
      <w:pPr>
        <w:pStyle w:val="BookText"/>
      </w:pPr>
      <w:r>
        <w:rPr>
          <w:rFonts w:ascii="IRNazanin" w:hAnsi="IRNazanin" w:eastAsia="IRNazanin" w:cs="IRNazanin"/>
          <w:lang w:bidi="fa-IR"/>
          <w:color w:val="111111"/>
          <w:sz w:val="28"/>
          <w:szCs w:val="28"/>
          <w:rtl/>
        </w:rPr>
        <w:t xml:space="preserve">ابن عباس می‏گوید: عزیز، پادشاه مصر بوده است. وقتی که عزیز مصر یوسف را</w:t>
      </w:r>
    </w:p>
    <w:p>
      <w:pPr>
        <w:pStyle w:val="BookText"/>
      </w:pPr>
      <w:r>
        <w:rPr>
          <w:rFonts w:ascii="IRNazanin" w:hAnsi="IRNazanin" w:eastAsia="IRNazanin" w:cs="IRNazanin"/>
          <w:lang w:bidi="fa-IR"/>
          <w:color w:val="111111"/>
          <w:sz w:val="28"/>
          <w:szCs w:val="28"/>
          <w:rtl/>
        </w:rPr>
        <w:t xml:space="preserve">[شماره صفحه واقعی : 197]
</w:t>
      </w:r>
    </w:p>
    <w:p>
      <w:pPr>
        <w:sectPr>
          <w:footerReference w:type="default" r:id="rId1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خرید، وی ده ساله بود و سیزده سال در خانه او اقامت داشت، و در سنّ سی سالگی ریّان بن ولید (عزیز مصر) او را به وزارت خود برگزید، و در سی و سه سالگی خداوند به او حکمت و علم آموخت و هنگامی که صد و بیست ساله بود از دنیا رحلت فرمود. گفته شده است: عزیز مصر او را به چهل دینار و یک جفت کفش و دو جامه سفید، خرید، و به همسرش گفت: «اکرمی مثویه» مقام و منزلتش را گرامی دار چنان که خود یوسف بعدها گفت: «انه ربی احسن مثوای». معنای قول عزیز، به همسرش این است که با یوسف رفتار نیکو داشته باش تا از مصاحبت با ما خوشحال باشد. «عسی ان ینفعنا»: شاید به سبب شایستگی و امانت داری‏اش سودی به ما برساند، و یا این که او را فرزند خود بگیریم و جای فرزند خود قرارش دهیم.</w:t>
      </w:r>
    </w:p>
    <w:p>
      <w:pPr>
        <w:pStyle w:val="BookText"/>
      </w:pPr>
      <w:r>
        <w:rPr>
          <w:rFonts w:ascii="IRNazanin" w:hAnsi="IRNazanin" w:eastAsia="IRNazanin" w:cs="IRNazanin"/>
          <w:lang w:bidi="fa-IR"/>
          <w:color w:val="111111"/>
          <w:sz w:val="28"/>
          <w:szCs w:val="28"/>
          <w:rtl/>
        </w:rPr>
        <w:t xml:space="preserve">عزیز این حرفها را به این دلیل گفت که در یوسف احساس رشادت و شایستگی می‏کرد.</w:t>
      </w:r>
    </w:p>
    <w:p>
      <w:pPr>
        <w:pStyle w:val="BookText"/>
      </w:pPr>
      <w:r>
        <w:rPr>
          <w:rFonts w:ascii="IRNazanin" w:hAnsi="IRNazanin" w:eastAsia="IRNazanin" w:cs="IRNazanin"/>
          <w:lang w:bidi="fa-IR"/>
          <w:color w:val="111111"/>
          <w:sz w:val="28"/>
          <w:szCs w:val="28"/>
          <w:rtl/>
        </w:rPr>
        <w:t xml:space="preserve">وَ کَذلِکَ: هم چنان که یوسف را نجات دادیم، و توجّه عزیز مصر را به او جلب کردیم، در سرزمین مصر به او قدرت بخشیدیم و او را پادشاه قرار دادیم تا در آن حکم براند.</w:t>
      </w:r>
    </w:p>
    <w:p>
      <w:pPr>
        <w:pStyle w:val="BookText"/>
      </w:pPr>
      <w:r>
        <w:rPr>
          <w:rFonts w:ascii="Amiri" w:hAnsi="Amiri" w:eastAsia="Amiri" w:cs="Amiri"/>
          <w:lang w:bidi="ar-SA"/>
          <w:color w:val="111111"/>
          <w:sz w:val="28"/>
          <w:szCs w:val="28"/>
          <w:rtl/>
        </w:rPr>
        <w:t xml:space="preserve">وَ لِنُعَلِّمَهُ مِنْ تَأْوِیلِ الْأَحادِیثِ این رهایی و دادن قدرت، بدین منظور بود که به او تأویل احادیث بیاموزیم.</w:t>
      </w:r>
    </w:p>
    <w:p>
      <w:pPr>
        <w:pStyle w:val="BookText"/>
      </w:pPr>
      <w:r>
        <w:rPr>
          <w:rFonts w:ascii="IRNazanin" w:hAnsi="IRNazanin" w:eastAsia="IRNazanin" w:cs="IRNazanin"/>
          <w:lang w:bidi="fa-IR"/>
          <w:color w:val="111111"/>
          <w:sz w:val="28"/>
          <w:szCs w:val="28"/>
          <w:rtl/>
        </w:rPr>
        <w:t xml:space="preserve">وَ اللَّهُ غالِبٌ عَلی‏ أَمْرِهِ خدا آنچه را بخواهد حکم کند کسی توان جلوگیری ندارد، یا این که خداوند که بر امور یوسف تسلّط دارد او را حفظ می‏کند و به دیگران واگذارش نمی‏کند.</w:t>
      </w:r>
    </w:p>
    <w:p>
      <w:pPr>
        <w:pStyle w:val="BookText"/>
      </w:pPr>
      <w:r>
        <w:rPr>
          <w:rFonts w:ascii="IRNazanin" w:hAnsi="IRNazanin" w:eastAsia="IRNazanin" w:cs="IRNazanin"/>
          <w:lang w:bidi="fa-IR"/>
          <w:color w:val="111111"/>
          <w:sz w:val="28"/>
          <w:szCs w:val="28"/>
          <w:rtl/>
        </w:rPr>
        <w:t xml:space="preserve">در مدت زمان «اشد» اقوالی گفته‏اند: سن دوازده، بیست، سی و سه، و چهل سالگی و بعضی گفته‏اند آخرین حدّش شصت و دو سال است.</w:t>
      </w:r>
    </w:p>
    <w:p>
      <w:pPr>
        <w:pStyle w:val="BookText"/>
      </w:pPr>
      <w:r>
        <w:rPr>
          <w:rFonts w:ascii="IRNazanin" w:hAnsi="IRNazanin" w:eastAsia="IRNazanin" w:cs="IRNazanin"/>
          <w:lang w:bidi="fa-IR"/>
          <w:color w:val="111111"/>
          <w:sz w:val="28"/>
          <w:szCs w:val="28"/>
          <w:rtl/>
        </w:rPr>
        <w:t xml:space="preserve">حُکْماً مراد حکمت یعنی نبوّت است، «وَ عِلْماً» آگاهی به شریعت و دیانت، و بعضی گفته‏اند منظور حکومت بر مردم و آگاهی نسبت به راههای صلاح و مصلحت است.</w:t>
      </w:r>
    </w:p>
    <w:p>
      <w:pPr>
        <w:pStyle w:val="BookText"/>
      </w:pPr>
      <w:r>
        <w:rPr>
          <w:rFonts w:ascii="IRNazanin" w:hAnsi="IRNazanin" w:eastAsia="IRNazanin" w:cs="IRNazanin"/>
          <w:lang w:bidi="fa-IR"/>
          <w:color w:val="111111"/>
          <w:sz w:val="28"/>
          <w:szCs w:val="28"/>
          <w:rtl/>
        </w:rPr>
        <w:t xml:space="preserve">[شماره صفحه واقعی : 198]
</w:t>
      </w:r>
    </w:p>
    <w:p>
      <w:pPr>
        <w:sectPr>
          <w:footerReference w:type="default" r:id="rId1297"/>
          <w:footnotePr>
            <w:numStart w:val="1"/>
            <w:numRestart w:val="eachPage"/>
          </w:footnotePr>
          <w:pgSz w:orient="portrait" w:w="11905.511811023622" w:h="16837.79527559055"/>
          <w:pgMar w:top="1440" w:right="1440" w:bottom="1440" w:left="1440" w:header="720" w:footer="720" w:gutter="0"/>
          <w:cols w:num="1" w:space="720"/>
        </w:sectPr>
      </w:pPr>
    </w:p>
    <w:bookmarkStart w:id="725" w:name="pg14411_143679"/>
    <w:bookmarkEnd w:id="725"/>
    <w:p>
      <w:pPr>
        <w:pStyle w:val="BookText"/>
      </w:pPr>
      <w:r>
        <w:rPr>
          <w:rFonts w:ascii="IRNazanin" w:hAnsi="IRNazanin" w:eastAsia="IRNazanin" w:cs="IRNazanin"/>
          <w:lang w:bidi="fa-IR"/>
          <w:color w:val="111111"/>
          <w:sz w:val="28"/>
          <w:szCs w:val="28"/>
          <w:rtl/>
        </w:rPr>
        <w:t xml:space="preserve">وَ کَذلِکَ نَجْزِی الْمُحْسِنِینَ مقصود توجّه دادن به این امر است که خداوند به حضرت یوسف به عنوان پاداش اعمال نیک و تقوا و پرهیزکاری‏اش علم و حکمت آموخت. از حسن نقل شده: من أحسن عبادة ربه فی شبیبته آتاه الحکمة فی اکتهاله:</w:t>
      </w:r>
    </w:p>
    <w:p>
      <w:pPr>
        <w:pStyle w:val="BookText"/>
      </w:pPr>
      <w:r>
        <w:rPr>
          <w:rFonts w:ascii="IRNazanin" w:hAnsi="IRNazanin" w:eastAsia="IRNazanin" w:cs="IRNazanin"/>
          <w:lang w:bidi="fa-IR"/>
          <w:color w:val="111111"/>
          <w:sz w:val="28"/>
          <w:szCs w:val="28"/>
          <w:rtl/>
        </w:rPr>
        <w:t xml:space="preserve">«کسی که در جوانی عبادت پروردگارش را نیکو انجام دهد، در پیری به او حکمت آموزد.»</w:t>
      </w:r>
    </w:p>
    <w:p>
      <w:pPr>
        <w:pStyle w:val="BookText"/>
      </w:pPr>
      <w:r>
        <w:rPr>
          <w:rFonts w:ascii="IRNazanin" w:hAnsi="IRNazanin" w:eastAsia="IRNazanin" w:cs="IRNazanin"/>
          <w:lang w:bidi="fa-IR"/>
          <w:color w:val="111111"/>
          <w:sz w:val="28"/>
          <w:szCs w:val="28"/>
          <w:rtl/>
        </w:rPr>
        <w:t xml:space="preserve">مراوده مفاعله از «راد یرود»: آمدن و رفتن، معنای عبارت این است که همسر عزیز مصر یوسف را با نیرنگ به خودش متوجه ساخت. یعنی کاری انجام داد که شخص فریبکار انجام می‏دهد تا طرف مقابلش را با کلک و نیرنگ گول بزند و چیزی را که او در اختیار دارد و نمی‏خواهد از دست بدهد، از وی برباید، و در این جا منظور نیرنگها و چاره اندیشیهایی است که زلیخا انجام داد تا یوسف را به کامجویی وادار سازد. «هَیْتَ لَکَ»: جلو بیا، روی بیاور: به وجوه مختلفی خوانده شده: «هیت لک»: بضمّ «تاء»، «هیت لک» به کسر «هاء» و فتح «تاء» و «هئت» با همزه، و ضمّ «تاء»: آماده شدم برای تو: از «هاء یهی‏ء» و «لام» از متعلّقات فعل، و در اصوات برای بیان است مثل این که گفته است: این را برای تو می‏گویم! مَعاذَ اللَّهِ پناه به خدا می‏برم پناه بردنی. «انّه» ضمیر، برای شأن و حدیث است.</w:t>
      </w:r>
    </w:p>
    <w:p>
      <w:pPr>
        <w:pStyle w:val="BookText"/>
      </w:pPr>
      <w:r>
        <w:rPr>
          <w:rFonts w:ascii="IRNazanin" w:hAnsi="IRNazanin" w:eastAsia="IRNazanin" w:cs="IRNazanin"/>
          <w:lang w:bidi="fa-IR"/>
          <w:color w:val="111111"/>
          <w:sz w:val="28"/>
          <w:szCs w:val="28"/>
          <w:rtl/>
        </w:rPr>
        <w:t xml:space="preserve">رَبِّی، أَحْسَنَ مَثْوایَ مبتدا و خبر، و منظور یوسف از این حرف، سخن عزیز مصر است که به همسرش گفت: «او را گرامی دار»، پاداش سفارشهای او این نیست که درباره همسر و خانواده‏اش بر وی خیانت کنم.</w:t>
      </w:r>
    </w:p>
    <w:p>
      <w:pPr>
        <w:pStyle w:val="Heading6"/>
      </w:pPr>
      <w:bookmarkStart w:id="2434" w:name="_Toc1469"/>
      <w:r>
        <w:t>[سوره یوسف «12»: آیات 24 تا 29]</w:t>
      </w:r>
      <w:bookmarkEnd w:id="2434"/>
    </w:p>
    <w:p>
      <w:pPr>
        <w:pStyle w:val="Heading6"/>
      </w:pPr>
      <w:bookmarkStart w:id="2435" w:name="_Toc1470"/>
      <w:r>
        <w:t>اشاره</w:t>
      </w:r>
      <w:bookmarkEnd w:id="2435"/>
    </w:p>
    <w:p>
      <w:pPr>
        <w:pStyle w:val="BookText"/>
      </w:pPr>
      <w:r>
        <w:rPr>
          <w:rFonts w:ascii="Amiri" w:hAnsi="Amiri" w:eastAsia="Amiri" w:cs="Amiri"/>
          <w:lang w:bidi="ar-SA"/>
          <w:color w:val="111111"/>
          <w:sz w:val="28"/>
          <w:szCs w:val="28"/>
          <w:rtl/>
        </w:rPr>
        <w:t xml:space="preserve">وَ لَقَدْ هَمَّتْ بِهِ وَ هَمَّ بِها لَوْ لا أَنْ رَأی‏ بُرْهانَ رَبِّهِ کَذلِکَ لِنَصْرِفَ عَنْهُ السُّوءَ وَ الْفَحْشاءَ إِنَّهُ مِنْ عِبادِنَا الْمُخْلَصِینَ «24» وَ اسْتَبَقَا الْبابَ وَ قَدَّتْ قَمِیصَهُ مِنْ دُبُرٍ وَ أَلْفَیا سَیِّدَها لَدَی الْبابِ قالَتْ ما جَزاءُ مَنْ أَرادَ بِأَهْلِکَ سُوءاً إِلاَّ أَنْ یُسْجَنَ أَوْ عَذابٌ أَلِیمٌ «25» قالَ هِیَ راوَدَتْنِی عَنْ نَفْسِی وَ شَهِدَ شاهِدٌ مِنْ أَهْلِها إِنْ کانَ قَمِیصُهُ قُدَّ مِنْ قُبُلٍ فَصَدَقَتْ وَ هُوَ مِنَ الْکاذِبِینَ «26» وَ إِنْ کانَ قَمِیصُهُ قُدَّ مِنْ دُبُرٍ فَکَذَبَتْ وَ هُوَ مِنَ الصَّادِقِینَ «27» فَلَمَّا رَأی‏ قَمِیصَهُ قُدَّ مِنْ دُبُرٍ قالَ إِنَّهُ مِنْ کَیْدِکُنَّ إِنَّ کَیْدَکُنَّ عَظِیمٌ «28»</w:t>
      </w:r>
    </w:p>
    <w:p>
      <w:pPr>
        <w:pStyle w:val="BookText"/>
      </w:pPr>
      <w:r>
        <w:rPr>
          <w:rFonts w:ascii="Amiri" w:hAnsi="Amiri" w:eastAsia="Amiri" w:cs="Amiri"/>
          <w:lang w:bidi="ar-SA"/>
          <w:color w:val="111111"/>
          <w:sz w:val="28"/>
          <w:szCs w:val="28"/>
          <w:rtl/>
        </w:rPr>
        <w:t xml:space="preserve">یُوسُفُ أَعْرِضْ عَنْ هذا وَ اسْتَغْفِرِی لِذَنْبِکِ إِنَّکِ کُنْتِ مِنَ الْخاطِئِینَ «29»</w:t>
      </w:r>
    </w:p>
    <w:p>
      <w:pPr>
        <w:pStyle w:val="BookText"/>
      </w:pPr>
      <w:r>
        <w:rPr>
          <w:rFonts w:ascii="IRNazanin" w:hAnsi="IRNazanin" w:eastAsia="IRNazanin" w:cs="IRNazanin"/>
          <w:lang w:bidi="fa-IR"/>
          <w:color w:val="111111"/>
          <w:sz w:val="28"/>
          <w:szCs w:val="28"/>
          <w:rtl/>
        </w:rPr>
        <w:t xml:space="preserve">[شماره صفحه واقعی : 199]
</w:t>
      </w:r>
    </w:p>
    <w:p>
      <w:pPr>
        <w:sectPr>
          <w:footerReference w:type="default" r:id="rId1298"/>
          <w:footnotePr>
            <w:numStart w:val="1"/>
            <w:numRestart w:val="eachPage"/>
          </w:footnotePr>
          <w:pgSz w:orient="portrait" w:w="11905.511811023622" w:h="16837.79527559055"/>
          <w:pgMar w:top="1440" w:right="1440" w:bottom="1440" w:left="1440" w:header="720" w:footer="720" w:gutter="0"/>
          <w:cols w:num="1" w:space="720"/>
        </w:sectPr>
      </w:pPr>
    </w:p>
    <w:bookmarkStart w:id="726" w:name="pg14411_143680"/>
    <w:bookmarkEnd w:id="726"/>
    <w:p>
      <w:pPr>
        <w:pStyle w:val="Heading6"/>
      </w:pPr>
      <w:bookmarkStart w:id="2436" w:name="_Toc1471"/>
      <w:r>
        <w:t>ترجمه:</w:t>
      </w:r>
      <w:bookmarkEnd w:id="2436"/>
    </w:p>
    <w:p>
      <w:pPr>
        <w:pStyle w:val="BookText"/>
      </w:pPr>
      <w:r>
        <w:rPr>
          <w:rFonts w:ascii="IRNazanin" w:hAnsi="IRNazanin" w:eastAsia="IRNazanin" w:cs="IRNazanin"/>
          <w:lang w:bidi="fa-IR"/>
          <w:color w:val="111111"/>
          <w:sz w:val="28"/>
          <w:szCs w:val="28"/>
          <w:rtl/>
        </w:rPr>
        <w:t xml:space="preserve">آن زن قصد یوسف را کرد، و او نیز اگر برهان پروردگارش را نمی‏دید، قصد وی می‏کرد، چنین کردیم، تا، بدی و فحشا را از او دور سازیم، چرا که او از بندگان با اخلاص ما بود. «24»</w:t>
      </w:r>
    </w:p>
    <w:p>
      <w:pPr>
        <w:pStyle w:val="BookText"/>
      </w:pPr>
      <w:r>
        <w:rPr>
          <w:rFonts w:ascii="IRNazanin" w:hAnsi="IRNazanin" w:eastAsia="IRNazanin" w:cs="IRNazanin"/>
          <w:lang w:bidi="fa-IR"/>
          <w:color w:val="111111"/>
          <w:sz w:val="28"/>
          <w:szCs w:val="28"/>
          <w:rtl/>
        </w:rPr>
        <w:t xml:space="preserve">و هر دو به طرف در دویدند و آن زن پیراهن او را از پشت پاره کرد، و در این موقع، آقای آن زن را دم در، یافتند، زن گفت: کیفر کسی که نسبت به اهل تو اراده خیانت کند جز زندان و یا عذاب دردناک نیست. «25»</w:t>
      </w:r>
    </w:p>
    <w:p>
      <w:pPr>
        <w:pStyle w:val="BookText"/>
      </w:pPr>
      <w:r>
        <w:rPr>
          <w:rFonts w:ascii="IRNazanin" w:hAnsi="IRNazanin" w:eastAsia="IRNazanin" w:cs="IRNazanin"/>
          <w:lang w:bidi="fa-IR"/>
          <w:color w:val="111111"/>
          <w:sz w:val="28"/>
          <w:szCs w:val="28"/>
          <w:rtl/>
        </w:rPr>
        <w:t xml:space="preserve">یوسف گفت: او مرا با اصرار به سوی خود دعوت کرد، و در این هنگام، شاهدی از خانواده زن گواهی داد که اگر پیراهن او از پیش رو پاره شده زن راست می‏گوید و یوسف از دروغگویان است. «26»</w:t>
      </w:r>
    </w:p>
    <w:p>
      <w:pPr>
        <w:pStyle w:val="BookText"/>
      </w:pPr>
      <w:r>
        <w:rPr>
          <w:rFonts w:ascii="IRNazanin" w:hAnsi="IRNazanin" w:eastAsia="IRNazanin" w:cs="IRNazanin"/>
          <w:lang w:bidi="fa-IR"/>
          <w:color w:val="111111"/>
          <w:sz w:val="28"/>
          <w:szCs w:val="28"/>
          <w:rtl/>
        </w:rPr>
        <w:t xml:space="preserve">و اگر پیراهنش از پشت سر پاره شده، زن دروغ می‏گوید و او از راستگویان است. «27»</w:t>
      </w:r>
    </w:p>
    <w:p>
      <w:pPr>
        <w:pStyle w:val="BookText"/>
      </w:pPr>
      <w:r>
        <w:rPr>
          <w:rFonts w:ascii="IRNazanin" w:hAnsi="IRNazanin" w:eastAsia="IRNazanin" w:cs="IRNazanin"/>
          <w:lang w:bidi="fa-IR"/>
          <w:color w:val="111111"/>
          <w:sz w:val="28"/>
          <w:szCs w:val="28"/>
          <w:rtl/>
        </w:rPr>
        <w:t xml:space="preserve">وقتی که عزیز مصر دید که پیراهن یوسف از پشت سرش پاره شده، گفت این از مکر و حیله شما زنان است آری نیرنگ شما بزرگ است. «28»</w:t>
      </w:r>
    </w:p>
    <w:p>
      <w:pPr>
        <w:pStyle w:val="BookText"/>
      </w:pPr>
      <w:r>
        <w:rPr>
          <w:rFonts w:ascii="IRNazanin" w:hAnsi="IRNazanin" w:eastAsia="IRNazanin" w:cs="IRNazanin"/>
          <w:lang w:bidi="fa-IR"/>
          <w:color w:val="111111"/>
          <w:sz w:val="28"/>
          <w:szCs w:val="28"/>
          <w:rtl/>
        </w:rPr>
        <w:t xml:space="preserve">ای یوسف از این موضوع صرف نظر کن، و تو ای زن نیز از گناهت استغفار کن که از خطاکاران بودی. «29»</w:t>
      </w:r>
    </w:p>
    <w:p>
      <w:pPr>
        <w:pStyle w:val="BookText"/>
      </w:pPr>
      <w:r>
        <w:rPr>
          <w:rFonts w:ascii="IRNazanin" w:hAnsi="IRNazanin" w:eastAsia="IRNazanin" w:cs="IRNazanin"/>
          <w:lang w:bidi="fa-IR"/>
          <w:color w:val="111111"/>
          <w:sz w:val="28"/>
          <w:szCs w:val="28"/>
          <w:rtl/>
        </w:rPr>
        <w:t xml:space="preserve">[شماره صفحه واقعی : 200]
</w:t>
      </w:r>
    </w:p>
    <w:p>
      <w:pPr>
        <w:sectPr>
          <w:footerReference w:type="default" r:id="rId1299"/>
          <w:footnotePr>
            <w:numStart w:val="1"/>
            <w:numRestart w:val="eachPage"/>
          </w:footnotePr>
          <w:pgSz w:orient="portrait" w:w="11905.511811023622" w:h="16837.79527559055"/>
          <w:pgMar w:top="1440" w:right="1440" w:bottom="1440" w:left="1440" w:header="720" w:footer="720" w:gutter="0"/>
          <w:cols w:num="1" w:space="720"/>
        </w:sectPr>
      </w:pPr>
    </w:p>
    <w:bookmarkStart w:id="727" w:name="pg14411_143681"/>
    <w:bookmarkEnd w:id="727"/>
    <w:p>
      <w:pPr>
        <w:pStyle w:val="Heading6"/>
      </w:pPr>
      <w:bookmarkStart w:id="2437" w:name="_Toc1472"/>
      <w:r>
        <w:t>تفسیر:</w:t>
      </w:r>
      <w:bookmarkEnd w:id="2437"/>
    </w:p>
    <w:p>
      <w:pPr>
        <w:pStyle w:val="BookText"/>
      </w:pPr>
      <w:r>
        <w:rPr>
          <w:rFonts w:ascii="IRNazanin" w:hAnsi="IRNazanin" w:eastAsia="IRNazanin" w:cs="IRNazanin"/>
          <w:lang w:bidi="fa-IR"/>
          <w:color w:val="111111"/>
          <w:sz w:val="28"/>
          <w:szCs w:val="28"/>
          <w:rtl/>
        </w:rPr>
        <w:t xml:space="preserve">هم بالامر آن کار را قصد کرد و تصمیم بر انجام آن گرفت، یعنی آن زن تصمیم گرفت که با یوسف در آمیزد. او نیز تصمیم گرفت که با وی در آمیزد. «لَوْ لا أَنْ رَأی‏ بُرْهانَ رَبِّهِ»: جواب شرط محذوف و تقدیر چنین است: لو لان ان رأی برهان ربه لخالطها: اگر یوسف برهان پروردگارش را نمی‏دید با او درمی‏آمیخت، جواب به قرینه: «وَ هَمَّ بِها» حذف شده است. مثل: هممت بقتله لولا انی خفت اللَّه که تقدیرش این است: لولا انّی خفت اللَّه لقتلته: اگر چنین نبود که از خدا می‏ترسم او را کشته بودم. مقصود از جمله «وَ هَمَّ بِها» این است که نفس یوسف میل به آمیزش کرد و به دلیل شهوت جوانی توجهی به زلیخا کرد مثل این که بخواهد قصد و تصمیمی بر آن بگیرد، و (اصولا) اگر چنین تمایلی که به سبب شدّتش تصمیم نامیده می‏شود در آدمی وجود نداشته باشد خودداری کننده از آن در نزد خدا ممدوح و مأجور نخواهد بود، و نیز اگر تصمیم یوسف مانند تصمیم زلیخا می‏بود باز خدا او را چنین نمی‏ستود: که «او از بندگان با اخلاص ما بود». و نیز می‏توان گفت معنای «وَ هَمَّ بِها» این است: نزدیک بود که یوسف قصد آن زن کند چنان که می‏گویند: قتلته لو لم اخف اللَّه: اگر خوف خدا نمی‏بود او را کشته بودم.</w:t>
      </w:r>
    </w:p>
    <w:p>
      <w:pPr>
        <w:pStyle w:val="BookText"/>
      </w:pPr>
      <w:r>
        <w:rPr>
          <w:rFonts w:ascii="IRNazanin" w:hAnsi="IRNazanin" w:eastAsia="IRNazanin" w:cs="IRNazanin"/>
          <w:lang w:bidi="fa-IR"/>
          <w:color w:val="111111"/>
          <w:sz w:val="28"/>
          <w:szCs w:val="28"/>
          <w:rtl/>
        </w:rPr>
        <w:t xml:space="preserve">سزاوار است که قاری در جمله «وَ لَقَدْ هَمَّتْ بِهِ» وقف کند، و سپس قرائت جمله «وَ هَمَّ بِها لَوْ لا أَنْ رَأی‏ بُرْهانَ رَبِّهِ» را آغاز نماید.</w:t>
      </w:r>
    </w:p>
    <w:p>
      <w:pPr>
        <w:pStyle w:val="BookText"/>
      </w:pPr>
      <w:r>
        <w:rPr>
          <w:rFonts w:ascii="IRNazanin" w:hAnsi="IRNazanin" w:eastAsia="IRNazanin" w:cs="IRNazanin"/>
          <w:lang w:bidi="fa-IR"/>
          <w:color w:val="111111"/>
          <w:sz w:val="28"/>
          <w:szCs w:val="28"/>
          <w:rtl/>
        </w:rPr>
        <w:t xml:space="preserve">کَذلِکَ «کاف» در محل نصب و به معنای: مثل ذلک التثبیت ثبتناه و یا در محل رفع است (خبر برای مبتدای محذوف) و به معنای: الامر مثل ذلک است.</w:t>
      </w:r>
    </w:p>
    <w:p>
      <w:pPr>
        <w:pStyle w:val="BookText"/>
      </w:pPr>
      <w:r>
        <w:rPr>
          <w:rFonts w:ascii="IRNazanin" w:hAnsi="IRNazanin" w:eastAsia="IRNazanin" w:cs="IRNazanin"/>
          <w:lang w:bidi="fa-IR"/>
          <w:color w:val="111111"/>
          <w:sz w:val="28"/>
          <w:szCs w:val="28"/>
          <w:rtl/>
        </w:rPr>
        <w:t xml:space="preserve">لِنَصْرِفَ عَنْهُ السُّوءَ تا این که از او بدی را که خیانت به آقایش بود، و همچنین «فحشا» را که عبارت از زناست دور سازیم. «إِنَّهُ مِنْ عِبادِنَا الْمُخْلَصِینَ» (با کسره لام): کسانی که برای خدا دینشان را خالص ساخته‏اند، و با فتحه، منظور کسانی است که خداوند با توفیق دادنشان آنها را بر اطاعت خودش خالص ساخته است.</w:t>
      </w:r>
    </w:p>
    <w:p>
      <w:pPr>
        <w:pStyle w:val="BookText"/>
      </w:pPr>
      <w:r>
        <w:rPr>
          <w:rFonts w:ascii="IRNazanin" w:hAnsi="IRNazanin" w:eastAsia="IRNazanin" w:cs="IRNazanin"/>
          <w:lang w:bidi="fa-IR"/>
          <w:color w:val="111111"/>
          <w:sz w:val="28"/>
          <w:szCs w:val="28"/>
          <w:rtl/>
        </w:rPr>
        <w:t xml:space="preserve">[شماره صفحه واقعی : 201]
</w:t>
      </w:r>
    </w:p>
    <w:p>
      <w:pPr>
        <w:sectPr>
          <w:footerReference w:type="default" r:id="rId1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اسْتَبَقَا الْبابَ آن دو به طرف در دویدند: یوسف به منظور فرار از دست آن زن، شتابان به سوی در بیرونی رفت تا خارج گردد و آن زن هم به دنبالش می‏شتافت تا مانع بیرون رفتنش شود.</w:t>
      </w:r>
    </w:p>
    <w:p>
      <w:pPr>
        <w:pStyle w:val="BookText"/>
      </w:pPr>
      <w:r>
        <w:rPr>
          <w:rFonts w:ascii="IRNazanin" w:hAnsi="IRNazanin" w:eastAsia="IRNazanin" w:cs="IRNazanin"/>
          <w:lang w:bidi="fa-IR"/>
          <w:color w:val="111111"/>
          <w:sz w:val="28"/>
          <w:szCs w:val="28"/>
          <w:rtl/>
        </w:rPr>
        <w:t xml:space="preserve">وَ قَدَّتْ قَمِیصَهُ مِنْ دُبُرٍ پیراهن یوسف را از پشت گرفت و کشید تا پاره شد، وَ أَلْفَیا سَیِّدَها دم در به شوهر آن زن، قطفیر، برخوردند.</w:t>
      </w:r>
    </w:p>
    <w:p>
      <w:pPr>
        <w:pStyle w:val="BookText"/>
      </w:pPr>
      <w:r>
        <w:rPr>
          <w:rFonts w:ascii="IRNazanin" w:hAnsi="IRNazanin" w:eastAsia="IRNazanin" w:cs="IRNazanin"/>
          <w:lang w:bidi="fa-IR"/>
          <w:color w:val="111111"/>
          <w:sz w:val="28"/>
          <w:szCs w:val="28"/>
          <w:rtl/>
        </w:rPr>
        <w:t xml:space="preserve">«ما» ممکن است نافیه باشد: کیفر کسی که به همسرت خیانت کند جز زندانی شدن نیست، و می‏تواند، سؤالی باشد: کیفر او چیست جز زندان؟ مثل: من فی الدّار الا زید: چه کسی غیر از زید در خانه است؟</w:t>
      </w:r>
    </w:p>
    <w:p>
      <w:pPr>
        <w:pStyle w:val="BookText"/>
      </w:pPr>
      <w:r>
        <w:rPr>
          <w:rFonts w:ascii="IRNazanin" w:hAnsi="IRNazanin" w:eastAsia="IRNazanin" w:cs="IRNazanin"/>
          <w:lang w:bidi="fa-IR"/>
          <w:color w:val="111111"/>
          <w:sz w:val="28"/>
          <w:szCs w:val="28"/>
          <w:rtl/>
        </w:rPr>
        <w:t xml:space="preserve">عَذابٌ أَلِیمٌ بعضی گفته‏اند ضربات تازیانه است.</w:t>
      </w:r>
    </w:p>
    <w:p>
      <w:pPr>
        <w:pStyle w:val="BookText"/>
      </w:pPr>
      <w:r>
        <w:rPr>
          <w:rFonts w:ascii="IRNazanin" w:hAnsi="IRNazanin" w:eastAsia="IRNazanin" w:cs="IRNazanin"/>
          <w:lang w:bidi="fa-IR"/>
          <w:color w:val="111111"/>
          <w:sz w:val="28"/>
          <w:szCs w:val="28"/>
          <w:rtl/>
        </w:rPr>
        <w:t xml:space="preserve">وقتی که یوسف دید در معرض زندان و عذاب دردناک قرار گرفته و زن، واقعه را معکوس کرد لازم دانست که از خودش رفع تهمت کند، این بود که گفت: «هِیَ راوَدَتْنِی عَنْ نَفْسِی»: او بود که پیوسته از من این تقاضا را می‏کرد، و اگر برای رفع تهمت نبود، این حرف را نمی‏گفت.</w:t>
      </w:r>
    </w:p>
    <w:p>
      <w:pPr>
        <w:pStyle w:val="BookText"/>
      </w:pPr>
      <w:r>
        <w:rPr>
          <w:rFonts w:ascii="IRNazanin" w:hAnsi="IRNazanin" w:eastAsia="IRNazanin" w:cs="IRNazanin"/>
          <w:lang w:bidi="fa-IR"/>
          <w:color w:val="111111"/>
          <w:sz w:val="28"/>
          <w:szCs w:val="28"/>
          <w:rtl/>
        </w:rPr>
        <w:t xml:space="preserve">وَ شَهِدَ شاهِدٌ مِنْ أَهْلِها بعضی گفته‏اند: شاهدی از نزدیکان آن زن که بر ضدّ او گواهی داد پسر عمویش بود و با شوهر او دم در نشسته بود. دیگری گفته است این شاهد پسر خاله‏اش بود که کودکی در گهواره بود. و گفته او را بدان سبب، شهادت نامیده‏اند که باعث ثبوت قول یوسف و بطلان ادّعای آن زن شد.</w:t>
      </w:r>
    </w:p>
    <w:p>
      <w:pPr>
        <w:pStyle w:val="BookText"/>
      </w:pPr>
      <w:r>
        <w:rPr>
          <w:rFonts w:ascii="IRNazanin" w:hAnsi="IRNazanin" w:eastAsia="IRNazanin" w:cs="IRNazanin"/>
          <w:lang w:bidi="fa-IR"/>
          <w:color w:val="111111"/>
          <w:sz w:val="28"/>
          <w:szCs w:val="28"/>
          <w:rtl/>
        </w:rPr>
        <w:t xml:space="preserve">فَلَمَّا رَأی‏ وقتی که عزیز مصر (قطفیر) واقعه را دید، و فهمید که زنش دروغ و یوسف راست می‏گوید رو، به همسرش کرد و گفت: این سخنت از مکر و فریبهای شما زنان است، و خداوند کید زنان را عظیم شمرده است، زیرا آنها از مردها در فریبکاری دقیقتر و در نیرنگبازی مؤثّرترند.</w:t>
      </w:r>
    </w:p>
    <w:p>
      <w:pPr>
        <w:pStyle w:val="BookText"/>
      </w:pPr>
      <w:r>
        <w:rPr>
          <w:rFonts w:ascii="IRNazanin" w:hAnsi="IRNazanin" w:eastAsia="IRNazanin" w:cs="IRNazanin"/>
          <w:lang w:bidi="fa-IR"/>
          <w:color w:val="111111"/>
          <w:sz w:val="28"/>
          <w:szCs w:val="28"/>
          <w:rtl/>
        </w:rPr>
        <w:t xml:space="preserve">یُوسُفُ منادا و حرف ندا محذوف است، زیرا منادای قریب است: «اعرض عن هذا»: از این امر دوری کن و آن را پنهان دار و به هیچ کس مگو.</w:t>
      </w:r>
    </w:p>
    <w:p>
      <w:pPr>
        <w:pStyle w:val="BookText"/>
      </w:pPr>
      <w:r>
        <w:rPr>
          <w:rFonts w:ascii="IRNazanin" w:hAnsi="IRNazanin" w:eastAsia="IRNazanin" w:cs="IRNazanin"/>
          <w:lang w:bidi="fa-IR"/>
          <w:color w:val="111111"/>
          <w:sz w:val="28"/>
          <w:szCs w:val="28"/>
          <w:rtl/>
        </w:rPr>
        <w:t xml:space="preserve">[شماره صفحه واقعی : 202]
</w:t>
      </w:r>
    </w:p>
    <w:p>
      <w:pPr>
        <w:sectPr>
          <w:footerReference w:type="default" r:id="rId1301"/>
          <w:footnotePr>
            <w:numStart w:val="1"/>
            <w:numRestart w:val="eachPage"/>
          </w:footnotePr>
          <w:pgSz w:orient="portrait" w:w="11905.511811023622" w:h="16837.79527559055"/>
          <w:pgMar w:top="1440" w:right="1440" w:bottom="1440" w:left="1440" w:header="720" w:footer="720" w:gutter="0"/>
          <w:cols w:num="1" w:space="720"/>
        </w:sectPr>
      </w:pPr>
    </w:p>
    <w:bookmarkStart w:id="728" w:name="pg14411_143683"/>
    <w:bookmarkEnd w:id="728"/>
    <w:p>
      <w:pPr>
        <w:pStyle w:val="BookText"/>
      </w:pPr>
      <w:r>
        <w:rPr>
          <w:rFonts w:ascii="IRNazanin" w:hAnsi="IRNazanin" w:eastAsia="IRNazanin" w:cs="IRNazanin"/>
          <w:lang w:bidi="fa-IR"/>
          <w:color w:val="111111"/>
          <w:sz w:val="28"/>
          <w:szCs w:val="28"/>
          <w:rtl/>
        </w:rPr>
        <w:t xml:space="preserve">وَ اسْتَغْفِرِی خطاب به زلیخاست که از این گناهت طلب آمرزش کن که در این امر از گناهکارانی هستی که عمدا گناه می‏کنند. «خطأ»: عمدا گناه انجام داد.</w:t>
      </w:r>
    </w:p>
    <w:p>
      <w:pPr>
        <w:pStyle w:val="Heading6"/>
      </w:pPr>
      <w:bookmarkStart w:id="2438" w:name="_Toc1473"/>
      <w:r>
        <w:t>[سوره یوسف «12»: آیات 30 تا 35]</w:t>
      </w:r>
      <w:bookmarkEnd w:id="2438"/>
    </w:p>
    <w:p>
      <w:pPr>
        <w:pStyle w:val="Heading6"/>
      </w:pPr>
      <w:bookmarkStart w:id="2439" w:name="_Toc1474"/>
      <w:r>
        <w:t>اشاره</w:t>
      </w:r>
      <w:bookmarkEnd w:id="2439"/>
    </w:p>
    <w:p>
      <w:pPr>
        <w:pStyle w:val="BookText"/>
      </w:pPr>
      <w:r>
        <w:rPr>
          <w:rFonts w:ascii="Amiri" w:hAnsi="Amiri" w:eastAsia="Amiri" w:cs="Amiri"/>
          <w:lang w:bidi="ar-SA"/>
          <w:color w:val="111111"/>
          <w:sz w:val="28"/>
          <w:szCs w:val="28"/>
          <w:rtl/>
        </w:rPr>
        <w:t xml:space="preserve">وَ قالَ نِسْوَةٌ فِی الْمَدِینَةِ امْرَأَتُ الْعَزِیزِ تُراوِدُ فَتاها عَنْ نَفْسِهِ قَدْ شَغَفَها حُبًّا إِنَّا لَنَراها فِی ضَلالٍ مُبِینٍ «30» فَلَمَّا سَمِعَتْ بِمَکْرِهِنَّ أَرْسَلَتْ إِلَیْهِنَّ وَ أَعْتَدَتْ لَهُنَّ مُتَّکَأً وَ آتَتْ کُلَّ واحِدَةٍ مِنْهُنَّ سِکِّیناً وَ قالَتِ اخْرُجْ عَلَیْهِنَّ فَلَمَّا رَأَیْنَهُ أَکْبَرْنَهُ وَ قَطَّعْنَ أَیْدِیَهُنَّ وَ قُلْنَ حاشَ لِلَّهِ ما هذا بَشَراً إِنْ هذا إِلاَّ مَلَکٌ کَرِیمٌ «31» قالَتْ فَذلِکُنَّ الَّذِی لُمْتُنَّنِی فِیهِ وَ لَقَدْ راوَدْتُهُ عَنْ نَفْسِهِ فَاسْتَعْصَمَ وَ لَئِنْ لَمْ یَفْعَلْ ما آمُرُهُ لَیُسْجَنَنَّ وَ لَیَکُوناً مِنَ الصَّاغِرِینَ «32» قالَ رَبِّ السِّجْنُ أَحَبُّ إِلَیَّ مِمَّا یَدْعُونَنِی إِلَیْهِ وَ إِلاَّ تَصْرِفْ عَنِّی کَیْدَهُنَّ أَصْبُ إِلَیْهِنَّ وَ أَکُنْ مِنَ الْجاهِلِینَ «33» فَاسْتَجابَ لَهُ رَبُّهُ فَصَرَفَ عَنْهُ کَیْدَهُنَّ إِنَّهُ هُوَ السَّمِیعُ الْعَلِیمُ «34»</w:t>
      </w:r>
    </w:p>
    <w:p>
      <w:pPr>
        <w:pStyle w:val="BookText"/>
      </w:pPr>
      <w:r>
        <w:rPr>
          <w:rFonts w:ascii="Amiri" w:hAnsi="Amiri" w:eastAsia="Amiri" w:cs="Amiri"/>
          <w:lang w:bidi="ar-SA"/>
          <w:color w:val="111111"/>
          <w:sz w:val="28"/>
          <w:szCs w:val="28"/>
          <w:rtl/>
        </w:rPr>
        <w:t xml:space="preserve">ثُمَّ بَدا لَهُمْ مِنْ بَعْدِ ما رَأَوُا الْآیاتِ لَیَسْجُنُنَّهُ حَتَّی حِینٍ «35»</w:t>
      </w:r>
    </w:p>
    <w:p>
      <w:pPr>
        <w:pStyle w:val="Heading6"/>
      </w:pPr>
      <w:bookmarkStart w:id="2440" w:name="_Toc1475"/>
      <w:r>
        <w:t>ترجمه:</w:t>
      </w:r>
      <w:bookmarkEnd w:id="2440"/>
    </w:p>
    <w:p>
      <w:pPr>
        <w:pStyle w:val="BookText"/>
      </w:pPr>
      <w:r>
        <w:rPr>
          <w:rFonts w:ascii="IRNazanin" w:hAnsi="IRNazanin" w:eastAsia="IRNazanin" w:cs="IRNazanin"/>
          <w:lang w:bidi="fa-IR"/>
          <w:color w:val="111111"/>
          <w:sz w:val="28"/>
          <w:szCs w:val="28"/>
          <w:rtl/>
        </w:rPr>
        <w:t xml:space="preserve">گروهی از زنان شهر (مصر) گفتند: زن عزیز غلام خود را به کام گرفتن خویش می‏خواند و در دوستی او فریفته شده، براستی که ما او را در ضلالتی آشکار می‏بینیم. «30»</w:t>
      </w:r>
    </w:p>
    <w:p>
      <w:pPr>
        <w:pStyle w:val="BookText"/>
      </w:pPr>
      <w:r>
        <w:rPr>
          <w:rFonts w:ascii="IRNazanin" w:hAnsi="IRNazanin" w:eastAsia="IRNazanin" w:cs="IRNazanin"/>
          <w:lang w:bidi="fa-IR"/>
          <w:color w:val="111111"/>
          <w:sz w:val="28"/>
          <w:szCs w:val="28"/>
          <w:rtl/>
        </w:rPr>
        <w:t xml:space="preserve">پس چون همسر عزیز از نیرنگ آنها با خبر شد به سراغ آنان فرستاد و برایشان جایگاهی مخصوص آراست و به دست هر کدام کاردی (برای میوه خوردن) داد، و آن گاه به یوسف گفت: به مجلس آنها درآی، همین که او را</w:t>
      </w:r>
    </w:p>
    <w:p>
      <w:pPr>
        <w:pStyle w:val="BookText"/>
      </w:pPr>
      <w:r>
        <w:rPr>
          <w:rFonts w:ascii="IRNazanin" w:hAnsi="IRNazanin" w:eastAsia="IRNazanin" w:cs="IRNazanin"/>
          <w:lang w:bidi="fa-IR"/>
          <w:color w:val="111111"/>
          <w:sz w:val="28"/>
          <w:szCs w:val="28"/>
          <w:rtl/>
        </w:rPr>
        <w:t xml:space="preserve">[شماره صفحه واقعی : 203]
</w:t>
      </w:r>
    </w:p>
    <w:p>
      <w:pPr>
        <w:sectPr>
          <w:footerReference w:type="default" r:id="rId1302"/>
          <w:footnotePr>
            <w:numStart w:val="1"/>
            <w:numRestart w:val="eachPage"/>
          </w:footnotePr>
          <w:pgSz w:orient="portrait" w:w="11905.511811023622" w:h="16837.79527559055"/>
          <w:pgMar w:top="1440" w:right="1440" w:bottom="1440" w:left="1440" w:header="720" w:footer="720" w:gutter="0"/>
          <w:cols w:num="1" w:space="720"/>
        </w:sectPr>
      </w:pPr>
    </w:p>
    <w:bookmarkStart w:id="729" w:name="pg14411_143684"/>
    <w:bookmarkEnd w:id="729"/>
    <w:p>
      <w:pPr>
        <w:pStyle w:val="BookText"/>
      </w:pPr>
      <w:r>
        <w:rPr>
          <w:rFonts w:ascii="IRNazanin" w:hAnsi="IRNazanin" w:eastAsia="IRNazanin" w:cs="IRNazanin"/>
          <w:lang w:bidi="fa-IR"/>
          <w:color w:val="111111"/>
          <w:sz w:val="28"/>
          <w:szCs w:val="28"/>
          <w:rtl/>
        </w:rPr>
        <w:t xml:space="preserve">دیدند از عظمت او حیران شدند و دستهای خودشان را بریدند و گفتند، پاک و منزّه است خدا! این بشر نیست، بلکه این یک فرشته‏ای بزرگوار است. «31»</w:t>
      </w:r>
    </w:p>
    <w:p>
      <w:pPr>
        <w:pStyle w:val="BookText"/>
      </w:pPr>
      <w:r>
        <w:rPr>
          <w:rFonts w:ascii="IRNazanin" w:hAnsi="IRNazanin" w:eastAsia="IRNazanin" w:cs="IRNazanin"/>
          <w:lang w:bidi="fa-IR"/>
          <w:color w:val="111111"/>
          <w:sz w:val="28"/>
          <w:szCs w:val="28"/>
          <w:rtl/>
        </w:rPr>
        <w:t xml:space="preserve">زن عزیز مصر گفت: این همان کسی است که شما مرا درباره او، سرزنش کردید و من او را به کامجوئیش دعوت کردم، امّا او خودداری کرد، و اگر آنچه او را دستور می‏دهم انجام ندهد به زندان خواهد افتاد و به طور حتم خوار و ذلیل خواهد شد. «32»</w:t>
      </w:r>
    </w:p>
    <w:p>
      <w:pPr>
        <w:pStyle w:val="BookText"/>
      </w:pPr>
      <w:r>
        <w:rPr>
          <w:rFonts w:ascii="IRNazanin" w:hAnsi="IRNazanin" w:eastAsia="IRNazanin" w:cs="IRNazanin"/>
          <w:lang w:bidi="fa-IR"/>
          <w:color w:val="111111"/>
          <w:sz w:val="28"/>
          <w:szCs w:val="28"/>
          <w:rtl/>
        </w:rPr>
        <w:t xml:space="preserve">یوسف گفت: پروردگارا زندان نزد من محبوبتر از آن است که مرا به آن می‏خوانند و اگر نیرنگ آنها را از من بازنگردانی قلب من به آنها مایل می‏شود و از جاهلان خواهم بود. «33»</w:t>
      </w:r>
    </w:p>
    <w:p>
      <w:pPr>
        <w:pStyle w:val="BookText"/>
      </w:pPr>
      <w:r>
        <w:rPr>
          <w:rFonts w:ascii="IRNazanin" w:hAnsi="IRNazanin" w:eastAsia="IRNazanin" w:cs="IRNazanin"/>
          <w:lang w:bidi="fa-IR"/>
          <w:color w:val="111111"/>
          <w:sz w:val="28"/>
          <w:szCs w:val="28"/>
          <w:rtl/>
        </w:rPr>
        <w:t xml:space="preserve">پروردگارش دعای وی را مستجاب کرد، و مکر آنها را از او بگردانید، چرا که او شنوا و داناست. «34»</w:t>
      </w:r>
    </w:p>
    <w:p>
      <w:pPr>
        <w:pStyle w:val="BookText"/>
      </w:pPr>
      <w:r>
        <w:rPr>
          <w:rFonts w:ascii="IRNazanin" w:hAnsi="IRNazanin" w:eastAsia="IRNazanin" w:cs="IRNazanin"/>
          <w:lang w:bidi="fa-IR"/>
          <w:color w:val="111111"/>
          <w:sz w:val="28"/>
          <w:szCs w:val="28"/>
          <w:rtl/>
        </w:rPr>
        <w:t xml:space="preserve">بعد از آن که این نشانه‏های پاکی را از او دیدند در عین حال تصمیم گرفتند که وی را تا مدّتی زندانی کنند. «35»</w:t>
      </w:r>
    </w:p>
    <w:p>
      <w:pPr>
        <w:pStyle w:val="Heading6"/>
      </w:pPr>
      <w:bookmarkStart w:id="2441" w:name="_Toc1476"/>
      <w:r>
        <w:t>تفسیر:</w:t>
      </w:r>
      <w:bookmarkEnd w:id="2441"/>
    </w:p>
    <w:p>
      <w:pPr>
        <w:pStyle w:val="BookText"/>
      </w:pPr>
      <w:r>
        <w:rPr>
          <w:rFonts w:ascii="IRNazanin" w:hAnsi="IRNazanin" w:eastAsia="IRNazanin" w:cs="IRNazanin"/>
          <w:lang w:bidi="fa-IR"/>
          <w:color w:val="111111"/>
          <w:sz w:val="28"/>
          <w:szCs w:val="28"/>
          <w:rtl/>
        </w:rPr>
        <w:t xml:space="preserve">وَ قالَ جمعی از زنان گفتند: «نسوة» مفرد، اسم جمع و به معنای گروه زنان است و تأنیث آن همانند تأنیث لمّه </w:t>
      </w:r>
      <w:r>
        <w:rPr>
          <w:rStyle w:val="FootnoteReference"/>
        </w:rPr>
        <w:footnoteReference w:id="4502"/>
      </w:r>
      <w:r>
        <w:rPr>
          <w:rFonts w:ascii="IRNazanin" w:hAnsi="IRNazanin" w:eastAsia="IRNazanin" w:cs="IRNazanin"/>
          <w:lang w:bidi="fa-IR"/>
          <w:color w:val="111111"/>
          <w:sz w:val="28"/>
          <w:szCs w:val="28"/>
          <w:rtl/>
        </w:rPr>
        <w:t xml:space="preserve">غیر حقیقی است. </w:t>
      </w:r>
      <w:r>
        <w:rPr>
          <w:rStyle w:val="FootnoteReference"/>
        </w:rPr>
        <w:footnoteReference w:id="4503"/>
      </w:r>
    </w:p>
    <w:p>
      <w:pPr>
        <w:pStyle w:val="BookText"/>
      </w:pPr>
      <w:r>
        <w:rPr>
          <w:rFonts w:ascii="IRNazanin" w:hAnsi="IRNazanin" w:eastAsia="IRNazanin" w:cs="IRNazanin"/>
          <w:lang w:bidi="fa-IR"/>
          <w:color w:val="111111"/>
          <w:sz w:val="28"/>
          <w:szCs w:val="28"/>
          <w:rtl/>
        </w:rPr>
        <w:t xml:space="preserve">در حرف اول کلمه «نسوة» دو وجه است: کسر نون، و ضم آن. «فِی الْمَدِینَةِ» مراد «مصر» است.</w:t>
      </w:r>
    </w:p>
    <w:p>
      <w:pPr>
        <w:pStyle w:val="BookText"/>
      </w:pPr>
      <w:r>
        <w:rPr>
          <w:rFonts w:ascii="IRNazanin" w:hAnsi="IRNazanin" w:eastAsia="IRNazanin" w:cs="IRNazanin"/>
          <w:lang w:bidi="fa-IR"/>
          <w:color w:val="111111"/>
          <w:sz w:val="28"/>
          <w:szCs w:val="28"/>
          <w:rtl/>
        </w:rPr>
        <w:t xml:space="preserve">امْرَأَتُ الْعَزِیزِ زن قطفیر. عزیز در زبان عرب به پادشاه اطلاق می‏شود، «فتیها»:</w:t>
      </w:r>
    </w:p>
    <w:p>
      <w:pPr>
        <w:pStyle w:val="BookText"/>
      </w:pPr>
      <w:r>
        <w:rPr>
          <w:rFonts w:ascii="IRNazanin" w:hAnsi="IRNazanin" w:eastAsia="IRNazanin" w:cs="IRNazanin"/>
          <w:lang w:bidi="fa-IR"/>
          <w:color w:val="111111"/>
          <w:sz w:val="28"/>
          <w:szCs w:val="28"/>
          <w:rtl/>
        </w:rPr>
        <w:t xml:space="preserve">غلامش.</w:t>
      </w:r>
    </w:p>
    <w:p>
      <w:pPr>
        <w:pStyle w:val="BookText"/>
      </w:pPr>
      <w:r>
        <w:rPr>
          <w:rFonts w:ascii="IRNazanin" w:hAnsi="IRNazanin" w:eastAsia="IRNazanin" w:cs="IRNazanin"/>
          <w:lang w:bidi="fa-IR"/>
          <w:color w:val="111111"/>
          <w:sz w:val="28"/>
          <w:szCs w:val="28"/>
          <w:rtl/>
        </w:rPr>
        <w:t xml:space="preserve">[شماره صفحه واقعی : 204]
</w:t>
      </w:r>
    </w:p>
    <w:p>
      <w:pPr>
        <w:sectPr>
          <w:footerReference w:type="default" r:id="rId1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شَغَفَها دوستی غلام پرده دل او را پاره کرده و تا سویدای قلبش نفوذ کرده.</w:t>
      </w:r>
    </w:p>
    <w:p>
      <w:pPr>
        <w:pStyle w:val="BookText"/>
      </w:pPr>
      <w:r>
        <w:rPr>
          <w:rFonts w:ascii="IRNazanin" w:hAnsi="IRNazanin" w:eastAsia="IRNazanin" w:cs="IRNazanin"/>
          <w:lang w:bidi="fa-IR"/>
          <w:color w:val="111111"/>
          <w:sz w:val="28"/>
          <w:szCs w:val="28"/>
          <w:rtl/>
        </w:rPr>
        <w:t xml:space="preserve">«شغاب»: حجاب قلب را گویند، و امّا از اهل بیت علیهم السّلام قرائت: «شعفها» با «عین» نقل شده، از فعل: «شعف البعیر»: بدن شتر را به وسیله مالیدن به صمغ مخصوص به سوزش و احتراق در آورد. و امرءو القیس چنین سروده است:</w:t>
      </w:r>
    </w:p>
    <w:p>
      <w:pPr>
        <w:pStyle w:val="BookText"/>
      </w:pPr>
      <w:r>
        <w:rPr>
          <w:rFonts w:ascii="IRNazanin" w:hAnsi="IRNazanin" w:eastAsia="IRNazanin" w:cs="IRNazanin"/>
          <w:lang w:bidi="fa-IR"/>
          <w:color w:val="111111"/>
          <w:sz w:val="28"/>
          <w:szCs w:val="28"/>
          <w:rtl/>
        </w:rPr>
        <w:t xml:space="preserve">کما شعف المهنوءة الرجل الطالی </w:t>
      </w:r>
      <w:r>
        <w:rPr>
          <w:rStyle w:val="FootnoteReference"/>
        </w:rPr>
        <w:footnoteReference w:id="4504"/>
      </w:r>
    </w:p>
    <w:p>
      <w:pPr>
        <w:pStyle w:val="BookText"/>
      </w:pPr>
      <w:r>
        <w:rPr>
          <w:rFonts w:ascii="IRNazanin" w:hAnsi="IRNazanin" w:eastAsia="IRNazanin" w:cs="IRNazanin"/>
          <w:lang w:bidi="fa-IR"/>
          <w:color w:val="111111"/>
          <w:sz w:val="28"/>
          <w:szCs w:val="28"/>
          <w:rtl/>
        </w:rPr>
        <w:t xml:space="preserve">أ یقتلنی انّی شعفت فؤادها کما ...</w:t>
      </w:r>
    </w:p>
    <w:p>
      <w:pPr>
        <w:pStyle w:val="BookText"/>
      </w:pPr>
      <w:r>
        <w:rPr>
          <w:rFonts w:ascii="IRNazanin" w:hAnsi="IRNazanin" w:eastAsia="IRNazanin" w:cs="IRNazanin"/>
          <w:lang w:bidi="fa-IR"/>
          <w:color w:val="111111"/>
          <w:sz w:val="28"/>
          <w:szCs w:val="28"/>
          <w:rtl/>
        </w:rPr>
        <w:t xml:space="preserve">و مضمونش این است عوض این که او مرا بکشد، من به عشق و محبت خودم دل او را سوزاندم چنان که مرد صاحب شتر با مالیدن روغن مخصوص بر پشت شترش، آن را به سوزش در می‏آورد. در این شعر پریدن دل آن زن از لذّت عشق، به سوزش توأم با لذّتی که شتر از مالش قطران احساس می‏کند تشبیه شده است. مأخذ پانوشت استاد گرجی.</w:t>
      </w:r>
    </w:p>
    <w:p>
      <w:pPr>
        <w:pStyle w:val="BookText"/>
      </w:pPr>
      <w:r>
        <w:rPr>
          <w:rFonts w:ascii="Amiri" w:hAnsi="Amiri" w:eastAsia="Amiri" w:cs="Amiri"/>
          <w:lang w:bidi="ar-SA"/>
          <w:color w:val="111111"/>
          <w:sz w:val="28"/>
          <w:szCs w:val="28"/>
          <w:rtl/>
        </w:rPr>
        <w:t xml:space="preserve">(با عین بی نقطه است) «حبّا» منصوب، تمییز است. «إِنَّا لَنَراها فِی ضَلالٍ مُبِینٍ»: ما او را در اشتباه و دور از صواب می‏بینیم.</w:t>
      </w:r>
    </w:p>
    <w:p>
      <w:pPr>
        <w:pStyle w:val="BookText"/>
      </w:pPr>
      <w:r>
        <w:rPr>
          <w:rFonts w:ascii="IRNazanin" w:hAnsi="IRNazanin" w:eastAsia="IRNazanin" w:cs="IRNazanin"/>
          <w:lang w:bidi="fa-IR"/>
          <w:color w:val="111111"/>
          <w:sz w:val="28"/>
          <w:szCs w:val="28"/>
          <w:rtl/>
        </w:rPr>
        <w:t xml:space="preserve">فَلَمَّا سَمِعَتْ بِمَکْرِهِنَّ وقتی از بدگویی و غیبت آنها و تعبیرات نادرست و این حرفهایشان با خبر شد که می‏گفتند: زن پادشاه فریفته برده کنعانی‏اش شده. «أَرْسَلَتْ إِلَیْهِنَّ»: آنها را به مهمانی دعوت کرد.</w:t>
      </w:r>
    </w:p>
    <w:p>
      <w:pPr>
        <w:pStyle w:val="BookText"/>
      </w:pPr>
      <w:r>
        <w:rPr>
          <w:rFonts w:ascii="IRNazanin" w:hAnsi="IRNazanin" w:eastAsia="IRNazanin" w:cs="IRNazanin"/>
          <w:lang w:bidi="fa-IR"/>
          <w:color w:val="111111"/>
          <w:sz w:val="28"/>
          <w:szCs w:val="28"/>
          <w:rtl/>
        </w:rPr>
        <w:t xml:space="preserve">وَ أَعْتَدَتْ لَهُنَّ مُتَّکَأً «متکأ» یا متکا، چیزی است که بر آن تکیه می‏کنند مثل پشتی و بالش و غیر آن. هدف زن عزیز مصر، از این هیئت لمیده بر بالشهای قیمتی و کارد به دست، آن بود که وقتی او را ببینند مبهوت شوند و از خود فراموش کنند و دستهای خود را ببرند. بعضی گفته‏اند: منظور از «متکأ» مجلس طعام است، زیرا آنها همان طور که عادت مترفین و مردم خوش گذران است لم داده بودند، غذا و شراب می‏خوردند و با هم به حرف و سخن مشغول بودند. دیگری گفته است: منظور از «متکا» طعامی است که قطعه قطعه می‏شود زیرا معمولا کسی که چیزی را قطع می‏کند، به وسیله کارد بر آن چیز تکیه می‏کند.</w:t>
      </w:r>
    </w:p>
    <w:p>
      <w:pPr>
        <w:pStyle w:val="BookText"/>
      </w:pPr>
      <w:r>
        <w:rPr>
          <w:rFonts w:ascii="IRNazanin" w:hAnsi="IRNazanin" w:eastAsia="IRNazanin" w:cs="IRNazanin"/>
          <w:lang w:bidi="fa-IR"/>
          <w:color w:val="111111"/>
          <w:sz w:val="28"/>
          <w:szCs w:val="28"/>
          <w:rtl/>
        </w:rPr>
        <w:t xml:space="preserve">أَکْبَرْنَهُ این زیبایی جامع و جمال درخشان را بزرگ دانستند و مبهوت شدند گفته‏اند: حضرت یوسف وقتی که در میان کوچه‏های مصر راه می‏رفت، نور چهره او</w:t>
      </w:r>
    </w:p>
    <w:p>
      <w:pPr>
        <w:pStyle w:val="BookText"/>
      </w:pPr>
      <w:r>
        <w:rPr>
          <w:rFonts w:ascii="IRNazanin" w:hAnsi="IRNazanin" w:eastAsia="IRNazanin" w:cs="IRNazanin"/>
          <w:lang w:bidi="fa-IR"/>
          <w:color w:val="111111"/>
          <w:sz w:val="28"/>
          <w:szCs w:val="28"/>
          <w:rtl/>
        </w:rPr>
        <w:t xml:space="preserve">[شماره صفحه واقعی : 205]
</w:t>
      </w:r>
    </w:p>
    <w:p>
      <w:pPr>
        <w:sectPr>
          <w:footerReference w:type="default" r:id="rId1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بر دیوارها منعکس و دیده می‏شد چنان که نور منعکس شده خورشید در میان آب دیده می‏شود، بعضی گفته‏اند: یوسف، زیبایی را از جدّه‏اش ساره به ارث برده بود.</w:t>
      </w:r>
    </w:p>
    <w:p>
      <w:pPr>
        <w:pStyle w:val="BookText"/>
      </w:pPr>
      <w:r>
        <w:rPr>
          <w:rFonts w:ascii="Amiri" w:hAnsi="Amiri" w:eastAsia="Amiri" w:cs="Amiri"/>
          <w:lang w:bidi="ar-SA"/>
          <w:color w:val="111111"/>
          <w:sz w:val="28"/>
          <w:szCs w:val="28"/>
          <w:rtl/>
        </w:rPr>
        <w:t xml:space="preserve">وَ قَطَّعْنَ أَیْدِیَهُنَّ دستهای خود را مجروح ساختند.</w:t>
      </w:r>
    </w:p>
    <w:p>
      <w:pPr>
        <w:pStyle w:val="BookText"/>
      </w:pPr>
      <w:r>
        <w:rPr>
          <w:rFonts w:ascii="IRNazanin" w:hAnsi="IRNazanin" w:eastAsia="IRNazanin" w:cs="IRNazanin"/>
          <w:lang w:bidi="fa-IR"/>
          <w:color w:val="111111"/>
          <w:sz w:val="28"/>
          <w:szCs w:val="28"/>
          <w:rtl/>
        </w:rPr>
        <w:t xml:space="preserve">«حاشا» کلمه‏ای که در باب استثناء مفید معنای تنزیه می‏باشد: اساء القوم حاشا زید، پس معنای «حاشا للَّه» برائت خداوند و تنزیه او از صفات عجز و ناتوانی، و نیز شگفتی از قدرت او بر آفرینش انسانی زیبا مانند یوسف است. و امّا این قول خداوند: «حاشَ لِلَّهِ ما عَلِمْنا عَلَیْهِ مِنْ سُوءٍ» به معنای تعجّب از قدرت خداوند بر آفرینش شخصی پاک دامن مثل اوست.</w:t>
      </w:r>
    </w:p>
    <w:p>
      <w:pPr>
        <w:pStyle w:val="BookText"/>
      </w:pPr>
      <w:r>
        <w:rPr>
          <w:rFonts w:ascii="IRNazanin" w:hAnsi="IRNazanin" w:eastAsia="IRNazanin" w:cs="IRNazanin"/>
          <w:lang w:bidi="fa-IR"/>
          <w:color w:val="111111"/>
          <w:sz w:val="28"/>
          <w:szCs w:val="28"/>
          <w:rtl/>
        </w:rPr>
        <w:t xml:space="preserve">ما هذا بَشَراً از کثرت زیبایی، از او بشریت را نفی کردند و به علت آنچه در اذهان مرکوز است که از فرشته زیباتر وجود ندارد، او را از فرشتگان ذکر کردند.</w:t>
      </w:r>
    </w:p>
    <w:p>
      <w:pPr>
        <w:pStyle w:val="BookText"/>
      </w:pPr>
      <w:r>
        <w:rPr>
          <w:rFonts w:ascii="IRNazanin" w:hAnsi="IRNazanin" w:eastAsia="IRNazanin" w:cs="IRNazanin"/>
          <w:lang w:bidi="fa-IR"/>
          <w:color w:val="111111"/>
          <w:sz w:val="28"/>
          <w:szCs w:val="28"/>
          <w:rtl/>
        </w:rPr>
        <w:t xml:space="preserve">قالَتْ فَذلِکُنَّ الَّذِی لُمْتُنَّنِی فِیهِ گفت: این همان کسی است که مرا درباره‏اش ملامت می‏کردید. علت این که برای اشاره به یوسف با این که حاضر است، با کلمه «فذلک» اسم اشاره به دور آورده و از «هذا» که اشاره به نزدیک است، دوری کرده، یکی آن است که رفعت مقام او را در نیکی و زیبایی بیان کند و بفهماند که چنین کسی سزاوار است که دوست داشته و به او عشق ورزیده شود وجه دیگر این که مقصود همان اشاره بدور است به این طریق: آن غلام کنعانی همان است که شما در ذهن خود تصوّر کردید و مرا به آن ملامت کردید و اگر چنان که اکنون می‏بینید وی را تصوّر می‏کردید مرا در این فریفتگی معذور می‏داشتید و سرزنش نمی‏کردید.</w:t>
      </w:r>
    </w:p>
    <w:p>
      <w:pPr>
        <w:pStyle w:val="BookText"/>
      </w:pPr>
      <w:r>
        <w:rPr>
          <w:rFonts w:ascii="IRNazanin" w:hAnsi="IRNazanin" w:eastAsia="IRNazanin" w:cs="IRNazanin"/>
          <w:lang w:bidi="fa-IR"/>
          <w:color w:val="111111"/>
          <w:sz w:val="28"/>
          <w:szCs w:val="28"/>
          <w:rtl/>
        </w:rPr>
        <w:t xml:space="preserve">فَاسْتَعْصَمَ یوسف با شدّت از این امر خودداری کرد چنان که گویا در اصل تحت حفاظت خدا بود و کوشش کرد که این عصمت و حفاظت را افزایش دهد، و از همین قبیل است معنای «استمسک». با بیاناتی که در اعمال یوسف گذشت معلوم</w:t>
      </w:r>
    </w:p>
    <w:p>
      <w:pPr>
        <w:pStyle w:val="BookText"/>
      </w:pPr>
      <w:r>
        <w:rPr>
          <w:rFonts w:ascii="IRNazanin" w:hAnsi="IRNazanin" w:eastAsia="IRNazanin" w:cs="IRNazanin"/>
          <w:lang w:bidi="fa-IR"/>
          <w:color w:val="111111"/>
          <w:sz w:val="28"/>
          <w:szCs w:val="28"/>
          <w:rtl/>
        </w:rPr>
        <w:t xml:space="preserve">[شماره صفحه واقعی : 206]
</w:t>
      </w:r>
    </w:p>
    <w:p>
      <w:pPr>
        <w:sectPr>
          <w:footerReference w:type="default" r:id="rId1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می‏شود که وی از آنچه فرقه حشویه </w:t>
      </w:r>
      <w:r>
        <w:rPr>
          <w:rStyle w:val="FootnoteReference"/>
        </w:rPr>
        <w:footnoteReference w:id="4505"/>
      </w:r>
      <w:r>
        <w:rPr>
          <w:rFonts w:ascii="IRNazanin" w:hAnsi="IRNazanin" w:eastAsia="IRNazanin" w:cs="IRNazanin"/>
          <w:lang w:bidi="fa-IR"/>
          <w:color w:val="111111"/>
          <w:sz w:val="28"/>
          <w:szCs w:val="28"/>
          <w:rtl/>
        </w:rPr>
        <w:t xml:space="preserve">به او نسبت داده و گفته‏اند تصمیم به انجام دادن گناه گرفته بود، پاک و منزّه است.</w:t>
      </w:r>
    </w:p>
    <w:p>
      <w:pPr>
        <w:pStyle w:val="BookText"/>
      </w:pPr>
      <w:r>
        <w:rPr>
          <w:rFonts w:ascii="IRNazanin" w:hAnsi="IRNazanin" w:eastAsia="IRNazanin" w:cs="IRNazanin"/>
          <w:lang w:bidi="fa-IR"/>
          <w:color w:val="111111"/>
          <w:sz w:val="28"/>
          <w:szCs w:val="28"/>
          <w:rtl/>
        </w:rPr>
        <w:t xml:space="preserve">وَ لَئِنْ لَمْ یَفْعَلْ ما آمُرُهُ در اصل، «ما آمر به» بوده: آنچه به او دستور می‏دهم، و حرف جرّ (ب) حذف شده، مثل: امرتک الخیر </w:t>
      </w:r>
      <w:r>
        <w:rPr>
          <w:rStyle w:val="FootnoteReference"/>
        </w:rPr>
        <w:footnoteReference w:id="4506"/>
      </w:r>
      <w:r>
        <w:rPr>
          <w:rFonts w:ascii="IRNazanin" w:hAnsi="IRNazanin" w:eastAsia="IRNazanin" w:cs="IRNazanin"/>
          <w:lang w:bidi="fa-IR"/>
          <w:color w:val="111111"/>
          <w:sz w:val="28"/>
          <w:szCs w:val="28"/>
          <w:rtl/>
        </w:rPr>
        <w:t xml:space="preserve">تو را به کار خیر امر کردم.</w:t>
      </w:r>
    </w:p>
    <w:p>
      <w:pPr>
        <w:pStyle w:val="BookText"/>
      </w:pPr>
      <w:r>
        <w:rPr>
          <w:rFonts w:ascii="Amiri" w:hAnsi="Amiri" w:eastAsia="Amiri" w:cs="Amiri"/>
          <w:lang w:bidi="ar-SA"/>
          <w:color w:val="111111"/>
          <w:sz w:val="28"/>
          <w:szCs w:val="28"/>
          <w:rtl/>
        </w:rPr>
        <w:t xml:space="preserve">«لَیُسْجَنَنَّ» حتما در زندان حبس می‏شود. وَ لَیَکُوناً: مؤکّد به نون خفیفه است که حذف و از همین جهت با الف نوشته شده است.</w:t>
      </w:r>
    </w:p>
    <w:p>
      <w:pPr>
        <w:pStyle w:val="BookText"/>
      </w:pPr>
      <w:r>
        <w:rPr>
          <w:rFonts w:ascii="IRNazanin" w:hAnsi="IRNazanin" w:eastAsia="IRNazanin" w:cs="IRNazanin"/>
          <w:lang w:bidi="fa-IR"/>
          <w:color w:val="111111"/>
          <w:sz w:val="28"/>
          <w:szCs w:val="28"/>
          <w:rtl/>
        </w:rPr>
        <w:t xml:space="preserve">قالَ: رَبِّ السِّجْنُ أَحَبُّ إِلَیَّ زندان بر من آسانتر است مِمَّا یَدْعُونَنِی إِلَیْهِ: از آنچه اینها مرا به آن دعوت می‏کنند: عمل زنا. به عبارت دیگر: زندان رفتن برای من از انجام دادن معصیت دوست داشتنی‏تر است. روایت شده است که وقتی زنان مصر از نزد زن عزیز بیرون رفتند، هر کدام از آنها بطور رمزی از یوسف تقاضای دیدار مجدّد کرد </w:t>
      </w:r>
      <w:r>
        <w:rPr>
          <w:rStyle w:val="FootnoteReference"/>
        </w:rPr>
        <w:footnoteReference w:id="4507"/>
      </w:r>
      <w:r>
        <w:rPr>
          <w:rFonts w:ascii="IRNazanin" w:hAnsi="IRNazanin" w:eastAsia="IRNazanin" w:cs="IRNazanin"/>
          <w:lang w:bidi="fa-IR"/>
          <w:color w:val="111111"/>
          <w:sz w:val="28"/>
          <w:szCs w:val="28"/>
          <w:rtl/>
        </w:rPr>
        <w:t xml:space="preserve">بعضی می‏گویند: به یوسف گفتند از خانمت اطاعت کن که مظلوم واقع شده این قدر به او ستم مکن. بعضی «سجن» به فتح گفته‏اند، بنا بر مصدریت.</w:t>
      </w:r>
    </w:p>
    <w:p>
      <w:pPr>
        <w:pStyle w:val="BookText"/>
      </w:pPr>
      <w:r>
        <w:rPr>
          <w:rFonts w:ascii="IRNazanin" w:hAnsi="IRNazanin" w:eastAsia="IRNazanin" w:cs="IRNazanin"/>
          <w:lang w:bidi="fa-IR"/>
          <w:color w:val="111111"/>
          <w:sz w:val="28"/>
          <w:szCs w:val="28"/>
          <w:rtl/>
        </w:rPr>
        <w:t xml:space="preserve">وَ إِلَّا تَصْرِفْ عَنِّی کَیْدَهُنَّ با این بیان یوسف، چنان که دأب انبیاء و اولیاء الهی است، به الطاف خداوندی پناه می‏برد تا بتواند [در این باره‏] صبر کند.</w:t>
      </w:r>
    </w:p>
    <w:p>
      <w:pPr>
        <w:pStyle w:val="BookText"/>
      </w:pPr>
      <w:r>
        <w:rPr>
          <w:rFonts w:ascii="Amiri" w:hAnsi="Amiri" w:eastAsia="Amiri" w:cs="Amiri"/>
          <w:lang w:bidi="ar-SA"/>
          <w:color w:val="111111"/>
          <w:sz w:val="28"/>
          <w:szCs w:val="28"/>
          <w:rtl/>
        </w:rPr>
        <w:t xml:space="preserve">أَصْبُ إِلَیْهِنَّ به سوی آنها میل می‏کنم. «وَ أَکُنْ مِنَ الْجاهِلِینَ»: و از جاهلان</w:t>
      </w:r>
    </w:p>
    <w:p>
      <w:pPr>
        <w:pStyle w:val="BookText"/>
      </w:pPr>
      <w:r>
        <w:rPr>
          <w:rFonts w:ascii="IRNazanin" w:hAnsi="IRNazanin" w:eastAsia="IRNazanin" w:cs="IRNazanin"/>
          <w:lang w:bidi="fa-IR"/>
          <w:color w:val="111111"/>
          <w:sz w:val="28"/>
          <w:szCs w:val="28"/>
          <w:rtl/>
        </w:rPr>
        <w:t xml:space="preserve">[شماره صفحه واقعی : 207]
</w:t>
      </w:r>
    </w:p>
    <w:p>
      <w:pPr>
        <w:sectPr>
          <w:footerReference w:type="default" r:id="rId1306"/>
          <w:footnotePr>
            <w:numStart w:val="1"/>
            <w:numRestart w:val="eachPage"/>
          </w:footnotePr>
          <w:pgSz w:orient="portrait" w:w="11905.511811023622" w:h="16837.79527559055"/>
          <w:pgMar w:top="1440" w:right="1440" w:bottom="1440" w:left="1440" w:header="720" w:footer="720" w:gutter="0"/>
          <w:cols w:num="1" w:space="720"/>
        </w:sectPr>
      </w:pPr>
    </w:p>
    <w:bookmarkStart w:id="730" w:name="pg14411_143688"/>
    <w:bookmarkEnd w:id="730"/>
    <w:p>
      <w:pPr>
        <w:pStyle w:val="BookText"/>
      </w:pPr>
      <w:r>
        <w:rPr>
          <w:rFonts w:ascii="IRNazanin" w:hAnsi="IRNazanin" w:eastAsia="IRNazanin" w:cs="IRNazanin"/>
          <w:lang w:bidi="fa-IR"/>
          <w:color w:val="111111"/>
          <w:sz w:val="28"/>
          <w:szCs w:val="28"/>
          <w:rtl/>
        </w:rPr>
        <w:t xml:space="preserve">خواهم بود: آنهایی که به علم خود عمل نمی‏کنند و یا از سفیهان و ابلهان، زیرا عاقل و خردمند، کار زشت انجام نمی‏دهد.</w:t>
      </w:r>
    </w:p>
    <w:p>
      <w:pPr>
        <w:pStyle w:val="BookText"/>
      </w:pPr>
      <w:r>
        <w:rPr>
          <w:rFonts w:ascii="IRNazanin" w:hAnsi="IRNazanin" w:eastAsia="IRNazanin" w:cs="IRNazanin"/>
          <w:lang w:bidi="fa-IR"/>
          <w:color w:val="111111"/>
          <w:sz w:val="28"/>
          <w:szCs w:val="28"/>
          <w:rtl/>
        </w:rPr>
        <w:t xml:space="preserve">ثُمَّ بَدا لَهُمْ فاعل «بدا» ضمیری است که مفسر آن «لیسجننّه» می‏باشد: برای آنها اندیشه‏ای ظاهر شد که حتما او زندانی می‏شود. مِنْ بَعْدِ ما رَأَوُا الْآیاتِ: و این اندیشه پس از آن بود که نشانه‏هایی بر پاکدامنی و برائت یوسف از گناه دیدند. «حتّی حین» تا زمانی نامعیّن، و ضمیر در «لهم» برای عزیز مصر، و خانواده اوست.</w:t>
      </w:r>
    </w:p>
    <w:p>
      <w:pPr>
        <w:pStyle w:val="Heading6"/>
      </w:pPr>
      <w:bookmarkStart w:id="2442" w:name="_Toc1477"/>
      <w:r>
        <w:t>[سوره یوسف «12»: آیات 36 تا 40]</w:t>
      </w:r>
      <w:bookmarkEnd w:id="2442"/>
    </w:p>
    <w:p>
      <w:pPr>
        <w:pStyle w:val="Heading6"/>
      </w:pPr>
      <w:bookmarkStart w:id="2443" w:name="_Toc1478"/>
      <w:r>
        <w:t>اشاره</w:t>
      </w:r>
      <w:bookmarkEnd w:id="2443"/>
    </w:p>
    <w:p>
      <w:pPr>
        <w:pStyle w:val="BookText"/>
      </w:pPr>
      <w:r>
        <w:rPr>
          <w:rFonts w:ascii="Amiri" w:hAnsi="Amiri" w:eastAsia="Amiri" w:cs="Amiri"/>
          <w:lang w:bidi="ar-SA"/>
          <w:color w:val="111111"/>
          <w:sz w:val="28"/>
          <w:szCs w:val="28"/>
          <w:rtl/>
        </w:rPr>
        <w:t xml:space="preserve">وَ دَخَلَ مَعَهُ السِّجْنَ فَتَیانِ قالَ أَحَدُهُما إِنِّی أَرانِی أَعْصِرُ خَمْراً وَ قالَ الْآخَرُ إِنِّی أَرانِی أَحْمِلُ فَوْقَ رَأْسِی خُبْزاً تَأْکُلُ الطَّیْرُ مِنْهُ نَبِّئْنا بِتَأْوِیلِهِ إِنَّا نَراکَ مِنَ الْمُحْسِنِینَ «36» قالَ لا یَأْتِیکُما طَعامٌ تُرْزَقانِهِ إِلاَّ نَبَّأْتُکُما بِتَأْوِیلِهِ قَبْلَ أَنْ یَأْتِیَکُما ذلِکُما مِمَّا عَلَّمَنِی رَبِّی إِنِّی تَرَکْتُ مِلَّةَ قَوْمٍ لا یُؤْمِنُونَ بِاللَّهِ وَ هُمْ بِالْآخِرَةِ هُمْ کافِرُونَ «37» وَ اتَّبَعْتُ مِلَّةَ آبائِی إِبْراهِیمَ وَ إِسْحاقَ وَ یَعْقُوبَ ما کانَ لَنا أَنْ نُشْرِکَ بِاللَّهِ مِنْ شَیْ‏ءٍ ذلِکَ مِنْ فَضْلِ اللَّهِ عَلَیْنا وَ عَلَی النَّاسِ وَ لکِنَّ أَکْثَرَ النَّاسِ لا یَشْکُرُونَ «38» یا صاحِبَیِ السِّجْنِ أَ أَرْبابٌ مُتَفَرِّقُونَ خَیْرٌ أَمِ اللَّهُ الْواحِدُ الْقَهَّارُ «39» ما تَعْبُدُونَ مِنْ دُونِهِ إِلاَّ أَسْماءً سَمَّیْتُمُوها أَنْتُمْ وَ آباؤُکُمْ ما أَنْزَلَ اللَّهُ بِها مِنْ سُلْطانٍ إِنِ الْحُکْمُ إِلاَّ لِلَّهِ أَمَرَ أَلاَّ تَعْبُدُوا إِلاَّ إِیَّاهُ ذلِکَ الدِّینُ الْقَیِّمُ وَ لکِنَّ أَکْثَرَ النَّاسِ لا یَعْلَمُونَ «40»</w:t>
      </w:r>
    </w:p>
    <w:p>
      <w:pPr>
        <w:pStyle w:val="BookText"/>
      </w:pPr>
      <w:r>
        <w:rPr>
          <w:rFonts w:ascii="IRNazanin" w:hAnsi="IRNazanin" w:eastAsia="IRNazanin" w:cs="IRNazanin"/>
          <w:lang w:bidi="fa-IR"/>
          <w:color w:val="111111"/>
          <w:sz w:val="28"/>
          <w:szCs w:val="28"/>
          <w:rtl/>
        </w:rPr>
        <w:t xml:space="preserve">[شماره صفحه واقعی : 208]
</w:t>
      </w:r>
    </w:p>
    <w:p>
      <w:pPr>
        <w:sectPr>
          <w:footerReference w:type="default" r:id="rId1307"/>
          <w:footnotePr>
            <w:numStart w:val="1"/>
            <w:numRestart w:val="eachPage"/>
          </w:footnotePr>
          <w:pgSz w:orient="portrait" w:w="11905.511811023622" w:h="16837.79527559055"/>
          <w:pgMar w:top="1440" w:right="1440" w:bottom="1440" w:left="1440" w:header="720" w:footer="720" w:gutter="0"/>
          <w:cols w:num="1" w:space="720"/>
        </w:sectPr>
      </w:pPr>
    </w:p>
    <w:bookmarkStart w:id="731" w:name="pg14411_143689"/>
    <w:bookmarkEnd w:id="731"/>
    <w:p>
      <w:pPr>
        <w:pStyle w:val="Heading6"/>
      </w:pPr>
      <w:bookmarkStart w:id="2444" w:name="_Toc1479"/>
      <w:r>
        <w:t>ترجمه:</w:t>
      </w:r>
      <w:bookmarkEnd w:id="2444"/>
    </w:p>
    <w:p>
      <w:pPr>
        <w:pStyle w:val="BookText"/>
      </w:pPr>
      <w:r>
        <w:rPr>
          <w:rFonts w:ascii="IRNazanin" w:hAnsi="IRNazanin" w:eastAsia="IRNazanin" w:cs="IRNazanin"/>
          <w:lang w:bidi="fa-IR"/>
          <w:color w:val="111111"/>
          <w:sz w:val="28"/>
          <w:szCs w:val="28"/>
          <w:rtl/>
        </w:rPr>
        <w:t xml:space="preserve">با یوسف دو جوان دیگر هم داخل زندان شدند، و یکی از آن دو، به او گفت: من در خواب دیدم که از انگور خمر می‏گیرم، و دیگری گفت در خواب دیدم که روی سرم نان می‏برم و مرغان از آن می‏خورند، تعبیر آن را به ما بگو، چرا که ما تو را از نیکوکاران می‏بینیم. «36»</w:t>
      </w:r>
    </w:p>
    <w:p>
      <w:pPr>
        <w:pStyle w:val="BookText"/>
      </w:pPr>
      <w:r>
        <w:rPr>
          <w:rFonts w:ascii="IRNazanin" w:hAnsi="IRNazanin" w:eastAsia="IRNazanin" w:cs="IRNazanin"/>
          <w:lang w:bidi="fa-IR"/>
          <w:color w:val="111111"/>
          <w:sz w:val="28"/>
          <w:szCs w:val="28"/>
          <w:rtl/>
        </w:rPr>
        <w:t xml:space="preserve">یوسف گفت: پیش از آن که سهمیّه غذایتان بیاید تعبیر آن را برایتان خواهم گفت، این، علمی است که پروردگارم به من آموخته است. من آئین گروهی را که به خدا ایمان نمی‏آورند و نسبت به سرای دیگر کافرند، ترک کرده‏ام. «37»</w:t>
      </w:r>
    </w:p>
    <w:p>
      <w:pPr>
        <w:pStyle w:val="BookText"/>
      </w:pPr>
      <w:r>
        <w:rPr>
          <w:rFonts w:ascii="IRNazanin" w:hAnsi="IRNazanin" w:eastAsia="IRNazanin" w:cs="IRNazanin"/>
          <w:lang w:bidi="fa-IR"/>
          <w:color w:val="111111"/>
          <w:sz w:val="28"/>
          <w:szCs w:val="28"/>
          <w:rtl/>
        </w:rPr>
        <w:t xml:space="preserve">و آئین پدرانم: ابراهیم، و اسحاق و یعقوب را پیروی کرده‏ام، ما را نسزد که چیزی را شریک خدا بدانیم، این از فضل و رحمت خدا است بر ما و بر مردم، امّا بیشتر مردم سپاسگزار نیستند. «38»</w:t>
      </w:r>
    </w:p>
    <w:p>
      <w:pPr>
        <w:pStyle w:val="BookText"/>
      </w:pPr>
      <w:r>
        <w:rPr>
          <w:rFonts w:ascii="IRNazanin" w:hAnsi="IRNazanin" w:eastAsia="IRNazanin" w:cs="IRNazanin"/>
          <w:lang w:bidi="fa-IR"/>
          <w:color w:val="111111"/>
          <w:sz w:val="28"/>
          <w:szCs w:val="28"/>
          <w:rtl/>
        </w:rPr>
        <w:t xml:space="preserve">ای دو رفیق زندانی آیا خدایان پراکنده بهترند یا خدای یکتای مقتدر؟ «39»</w:t>
      </w:r>
    </w:p>
    <w:p>
      <w:pPr>
        <w:pStyle w:val="BookText"/>
      </w:pPr>
      <w:r>
        <w:rPr>
          <w:rFonts w:ascii="IRNazanin" w:hAnsi="IRNazanin" w:eastAsia="IRNazanin" w:cs="IRNazanin"/>
          <w:lang w:bidi="fa-IR"/>
          <w:color w:val="111111"/>
          <w:sz w:val="28"/>
          <w:szCs w:val="28"/>
          <w:rtl/>
        </w:rPr>
        <w:t xml:space="preserve">آنچه شما غیر از خدا می‏پرستید، جز نامهایی نیست که شما خود و پدرانتان نام گذاری کرده‏اید، و خداوند دلیلی بر آن نفرستاده است. و فرمان جز برای خدا نیست که دستور داده: جز او را پرستش نکنید، آئین پایدار این است، امّا بیشتر مردم نمی‏دانند. «40»</w:t>
      </w:r>
    </w:p>
    <w:p>
      <w:pPr>
        <w:pStyle w:val="Heading6"/>
      </w:pPr>
      <w:bookmarkStart w:id="2445" w:name="_Toc1480"/>
      <w:r>
        <w:t>تفسیر:</w:t>
      </w:r>
      <w:bookmarkEnd w:id="2445"/>
    </w:p>
    <w:p>
      <w:pPr>
        <w:pStyle w:val="BookText"/>
      </w:pPr>
      <w:r>
        <w:rPr>
          <w:rFonts w:ascii="IRNazanin" w:hAnsi="IRNazanin" w:eastAsia="IRNazanin" w:cs="IRNazanin"/>
          <w:lang w:bidi="fa-IR"/>
          <w:color w:val="111111"/>
          <w:sz w:val="28"/>
          <w:szCs w:val="28"/>
          <w:rtl/>
        </w:rPr>
        <w:t xml:space="preserve">وَ دَخَلَ مَعَهُ السِّجْنَ فَتَیانِ این دو جوان از غلامان پادشاه یعنی عزیز مصر بودند «مع» دلالت بر مصاحبت می‏کند یعنی همراه یوسف داخل زندان شدند، این دو جوان یکی نان پز عزیز بود و دیگری شراب ساز او، که با یوسف در یک ساعت زندانی شدند، و علت زندانی شدن آنها این بود که بعضی خبر داده بودند که این دو نفر تصمیم دارند عزیز را مسموم سازند.</w:t>
      </w:r>
    </w:p>
    <w:p>
      <w:pPr>
        <w:pStyle w:val="BookText"/>
      </w:pPr>
      <w:r>
        <w:rPr>
          <w:rFonts w:ascii="IRNazanin" w:hAnsi="IRNazanin" w:eastAsia="IRNazanin" w:cs="IRNazanin"/>
          <w:lang w:bidi="fa-IR"/>
          <w:color w:val="111111"/>
          <w:sz w:val="28"/>
          <w:szCs w:val="28"/>
          <w:rtl/>
        </w:rPr>
        <w:t xml:space="preserve">إِنِّی أَرانِی در خواب می‏بینم، حکایت حال گذشته است. «أَعْصِرُ خَمْراً»: انگور می‏فشارم، از انگور تعبیر به «خمر» کرده به اعتبار این که سرانجامش شراب می‏شود.</w:t>
      </w:r>
    </w:p>
    <w:p>
      <w:pPr>
        <w:pStyle w:val="BookText"/>
      </w:pPr>
      <w:r>
        <w:rPr>
          <w:rFonts w:ascii="Amiri" w:hAnsi="Amiri" w:eastAsia="Amiri" w:cs="Amiri"/>
          <w:lang w:bidi="ar-SA"/>
          <w:color w:val="111111"/>
          <w:sz w:val="28"/>
          <w:szCs w:val="28"/>
          <w:rtl/>
        </w:rPr>
        <w:t xml:space="preserve">مِنَ الْمُحْسِنِینَ تو از کسانی هستی که خواب را خوب تعبیر می‏کنند، یا به اهل</w:t>
      </w:r>
    </w:p>
    <w:p>
      <w:pPr>
        <w:pStyle w:val="BookText"/>
      </w:pPr>
      <w:r>
        <w:rPr>
          <w:rFonts w:ascii="IRNazanin" w:hAnsi="IRNazanin" w:eastAsia="IRNazanin" w:cs="IRNazanin"/>
          <w:lang w:bidi="fa-IR"/>
          <w:color w:val="111111"/>
          <w:sz w:val="28"/>
          <w:szCs w:val="28"/>
          <w:rtl/>
        </w:rPr>
        <w:t xml:space="preserve">[شماره صفحه واقعی : 209]
</w:t>
      </w:r>
    </w:p>
    <w:p>
      <w:pPr>
        <w:sectPr>
          <w:footerReference w:type="default" r:id="rId1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زندان نیکی می‏کنند، پس به ما نیکی کن یعنی اگر دستی در تعبیر خواب داری با بیان آن اندوه را از دل ما بردار. روایت شده است که هر وقت یکی از اهل زندان بیمار می‏شد یوسف به حالش رسیدگی می‏کرد و هر گاه یکی، جایش تنگ بود جایی برایش باز می‏کرد و اگر نیازمند بود حاجتش را بر می‏آورد.</w:t>
      </w:r>
    </w:p>
    <w:p>
      <w:pPr>
        <w:pStyle w:val="BookText"/>
      </w:pPr>
      <w:r>
        <w:rPr>
          <w:rFonts w:ascii="IRNazanin" w:hAnsi="IRNazanin" w:eastAsia="IRNazanin" w:cs="IRNazanin"/>
          <w:lang w:bidi="fa-IR"/>
          <w:color w:val="111111"/>
          <w:sz w:val="28"/>
          <w:szCs w:val="28"/>
          <w:rtl/>
        </w:rPr>
        <w:t xml:space="preserve">از شعبی روایت شده است که این دو جوان یوسف را آزمودند: شرابی گفت: من خواب دیدم در تاکستانی قرار دارم تاک انگوری را گرفتم سه خوشه انگور داشت آنها را کندم در جام شراب شاه فشردم و به او نوشاندم. نان پز شاه گفت: در خواب دیدم که بالای سرم سه سبد حمل کرده‏ام و در میان آن انواع گوناگون غذا وجود دارد و در این حال دیدم پرندگان لاش‏خوار از آن می‏خورند. «نبئنا بتأویل ذلک»: ما را از تعبیر آن آگاه کن.</w:t>
      </w:r>
    </w:p>
    <w:p>
      <w:pPr>
        <w:pStyle w:val="BookText"/>
      </w:pPr>
      <w:r>
        <w:rPr>
          <w:rFonts w:ascii="IRNazanin" w:hAnsi="IRNazanin" w:eastAsia="IRNazanin" w:cs="IRNazanin"/>
          <w:lang w:bidi="fa-IR"/>
          <w:color w:val="111111"/>
          <w:sz w:val="28"/>
          <w:szCs w:val="28"/>
          <w:rtl/>
        </w:rPr>
        <w:t xml:space="preserve">وقتی که این دو جوان از یوسف تعبیر خواب خواستند و او را به نیکی توصیف کردند، شروع به سخن کرد: در آغاز خود را به داشتن دانشی توصیف کرد که فوق علم تمام دانشمندان است، یعنی خبر دادن از غیب، و به آنها قول داد که وقتی بنا شد غذای آنها حاضر شود پیش از حاضر شدن، آنها را از تعبیر خوابشان خبر دهد، بعد گفت: امروز برای شما غذایی چنین و چنان می‏آید، مشخصات طعام آن روز را بیان کرد، وقتی که غذا آمد دیدند چنان است که او گفته (به او اطمینان بیشتری پیدا کردند) یوسف در این جا فرصت یافت که آنها را به یاد خدای یکتا اندازد و ایمان را بر آنها عرضه بدارد و از شرک به خدا بازشان دارد.</w:t>
      </w:r>
    </w:p>
    <w:p>
      <w:pPr>
        <w:pStyle w:val="BookText"/>
      </w:pPr>
      <w:r>
        <w:rPr>
          <w:rFonts w:ascii="IRNazanin" w:hAnsi="IRNazanin" w:eastAsia="IRNazanin" w:cs="IRNazanin"/>
          <w:lang w:bidi="fa-IR"/>
          <w:color w:val="111111"/>
          <w:sz w:val="28"/>
          <w:szCs w:val="28"/>
          <w:rtl/>
        </w:rPr>
        <w:t xml:space="preserve">ذلِکُما اشاره است به تعبیر خواب: این تعبیر که گفتم و خبری که از آینده بیان کردم «مِمَّا عَلَّمَنِی رَبِّی»: از علومی است که پروردگارم به من آموخته و به سوی من وحی کرده و آن را از راه کهانت و علم ستاره شناسی نگفته‏ام.</w:t>
      </w:r>
    </w:p>
    <w:p>
      <w:pPr>
        <w:pStyle w:val="BookText"/>
      </w:pPr>
      <w:r>
        <w:rPr>
          <w:rFonts w:ascii="IRNazanin" w:hAnsi="IRNazanin" w:eastAsia="IRNazanin" w:cs="IRNazanin"/>
          <w:lang w:bidi="fa-IR"/>
          <w:color w:val="111111"/>
          <w:sz w:val="28"/>
          <w:szCs w:val="28"/>
          <w:rtl/>
        </w:rPr>
        <w:t xml:space="preserve">إِنِّی تَرَکْتُ این کلام را می‏توانیم آغاز سخن و استیناف بدانیم، و می‏توانیم بگوییم علت برای ما قبلش هست: پروردگارم این علوم را به من آموخت، زیرا من از</w:t>
      </w:r>
    </w:p>
    <w:p>
      <w:pPr>
        <w:pStyle w:val="BookText"/>
      </w:pPr>
      <w:r>
        <w:rPr>
          <w:rFonts w:ascii="IRNazanin" w:hAnsi="IRNazanin" w:eastAsia="IRNazanin" w:cs="IRNazanin"/>
          <w:lang w:bidi="fa-IR"/>
          <w:color w:val="111111"/>
          <w:sz w:val="28"/>
          <w:szCs w:val="28"/>
          <w:rtl/>
        </w:rPr>
        <w:t xml:space="preserve">[شماره صفحه واقعی : 210]
</w:t>
      </w:r>
    </w:p>
    <w:p>
      <w:pPr>
        <w:sectPr>
          <w:footerReference w:type="default" r:id="rId1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آیین شرک دوری کرده‏ام «اتَّبَعْتُ مِلَّةَ آبائِی»: و از آیین پدرانم پیروی کردم که دین حنیف است، نام آباء خود را ذکر کرد تا به آن دو جوان بفهماند که او از خانواده نبوّت و معدن وحی است. یوسف، به آنها معرفی کرد که او پیامبری است که به سوی او وحی می‏شود، تا آنها را بیشتر در گوش دادن به سخنانش راغب کند.</w:t>
      </w:r>
    </w:p>
    <w:p>
      <w:pPr>
        <w:pStyle w:val="BookText"/>
      </w:pPr>
      <w:r>
        <w:rPr>
          <w:rFonts w:ascii="IRNazanin" w:hAnsi="IRNazanin" w:eastAsia="IRNazanin" w:cs="IRNazanin"/>
          <w:lang w:bidi="fa-IR"/>
          <w:color w:val="111111"/>
          <w:sz w:val="28"/>
          <w:szCs w:val="28"/>
          <w:rtl/>
        </w:rPr>
        <w:t xml:space="preserve">ما کانَ لَنا برای ما گروه انبیا، درست نیست که به خداوند شرک بیاوریم.</w:t>
      </w:r>
    </w:p>
    <w:p>
      <w:pPr>
        <w:pStyle w:val="BookText"/>
      </w:pPr>
      <w:r>
        <w:rPr>
          <w:rFonts w:ascii="IRNazanin" w:hAnsi="IRNazanin" w:eastAsia="IRNazanin" w:cs="IRNazanin"/>
          <w:lang w:bidi="fa-IR"/>
          <w:color w:val="111111"/>
          <w:sz w:val="28"/>
          <w:szCs w:val="28"/>
          <w:rtl/>
        </w:rPr>
        <w:t xml:space="preserve">«ذلک» این چنگ زدن به توحید و یکتاپرستی، مِنْ فَضْلِ اللَّهِ عَلَیْنا وَ عَلَی النَّاسِ:</w:t>
      </w:r>
    </w:p>
    <w:p>
      <w:pPr>
        <w:pStyle w:val="BookText"/>
      </w:pPr>
      <w:r>
        <w:rPr>
          <w:rFonts w:ascii="IRNazanin" w:hAnsi="IRNazanin" w:eastAsia="IRNazanin" w:cs="IRNazanin"/>
          <w:lang w:bidi="fa-IR"/>
          <w:color w:val="111111"/>
          <w:sz w:val="28"/>
          <w:szCs w:val="28"/>
          <w:rtl/>
        </w:rPr>
        <w:t xml:space="preserve">از فضل خداست بر ما پیامبران و پیروان آنها وَ لکِنَّ أَکْثَرَ: امّا بیشتر مردم فضل خدا را سپاس نمی‏گذارند و به او شرک می‏ورزند.</w:t>
      </w:r>
    </w:p>
    <w:p>
      <w:pPr>
        <w:pStyle w:val="BookText"/>
      </w:pPr>
      <w:r>
        <w:rPr>
          <w:rFonts w:ascii="IRNazanin" w:hAnsi="IRNazanin" w:eastAsia="IRNazanin" w:cs="IRNazanin"/>
          <w:lang w:bidi="fa-IR"/>
          <w:color w:val="111111"/>
          <w:sz w:val="28"/>
          <w:szCs w:val="28"/>
          <w:rtl/>
        </w:rPr>
        <w:t xml:space="preserve">یا صاحِبَیِ السِّجْنِ منظور دو نفری است که در زندان همراه او بودند، «صاحبی» اضافه به «سجن» شده مثل:</w:t>
      </w:r>
    </w:p>
    <w:p>
      <w:pPr>
        <w:pStyle w:val="BookText"/>
      </w:pPr>
      <w:r>
        <w:rPr>
          <w:rFonts w:ascii="IRNazanin" w:hAnsi="IRNazanin" w:eastAsia="IRNazanin" w:cs="IRNazanin"/>
          <w:lang w:bidi="fa-IR"/>
          <w:color w:val="111111"/>
          <w:sz w:val="28"/>
          <w:szCs w:val="28"/>
          <w:rtl/>
        </w:rPr>
        <w:t xml:space="preserve">یا سارق اللیلة اهل الدار</w:t>
      </w:r>
    </w:p>
    <w:p>
      <w:pPr>
        <w:pStyle w:val="BookText"/>
      </w:pPr>
      <w:r>
        <w:rPr>
          <w:rFonts w:ascii="IRNazanin" w:hAnsi="IRNazanin" w:eastAsia="IRNazanin" w:cs="IRNazanin"/>
          <w:lang w:bidi="fa-IR"/>
          <w:color w:val="111111"/>
          <w:sz w:val="28"/>
          <w:szCs w:val="28"/>
          <w:rtl/>
        </w:rPr>
        <w:t xml:space="preserve">، </w:t>
      </w:r>
      <w:r>
        <w:rPr>
          <w:rStyle w:val="FootnoteReference"/>
        </w:rPr>
        <w:footnoteReference w:id="4508"/>
      </w:r>
    </w:p>
    <w:p>
      <w:pPr>
        <w:pStyle w:val="BookText"/>
      </w:pPr>
      <w:r>
        <w:rPr>
          <w:rFonts w:ascii="IRNazanin" w:hAnsi="IRNazanin" w:eastAsia="IRNazanin" w:cs="IRNazanin"/>
          <w:lang w:bidi="fa-IR"/>
          <w:color w:val="111111"/>
          <w:sz w:val="28"/>
          <w:szCs w:val="28"/>
          <w:rtl/>
        </w:rPr>
        <w:t xml:space="preserve">ای دزد شبانه و ای کسی که مال من و همسایه مرا می‏بری از اهل خانه بترس. تصحیح استاد گرجی.</w:t>
      </w:r>
    </w:p>
    <w:p>
      <w:pPr>
        <w:pStyle w:val="BookText"/>
      </w:pPr>
      <w:r>
        <w:rPr>
          <w:rFonts w:ascii="IRNazanin" w:hAnsi="IRNazanin" w:eastAsia="IRNazanin" w:cs="IRNazanin"/>
          <w:lang w:bidi="fa-IR"/>
          <w:color w:val="111111"/>
          <w:sz w:val="28"/>
          <w:szCs w:val="28"/>
          <w:rtl/>
        </w:rPr>
        <w:t xml:space="preserve">همان طور که در این شعر «لیل» مسروق فیه است در آیه قرآن نیز «سجن» مصحوب فیه است، نه مصحوب چون مصحوب یوسف است نه خود زندان، و ممکن است مراد از صاحب، ساکن باشد: ای ساکنان زندان، مثل: اصحاب النّار و اصحاب الجنّة یعنی ساکنان آتش و ساکنان بهشت.</w:t>
      </w:r>
    </w:p>
    <w:p>
      <w:pPr>
        <w:pStyle w:val="BookText"/>
      </w:pPr>
      <w:r>
        <w:rPr>
          <w:rFonts w:ascii="IRNazanin" w:hAnsi="IRNazanin" w:eastAsia="IRNazanin" w:cs="IRNazanin"/>
          <w:lang w:bidi="fa-IR"/>
          <w:color w:val="111111"/>
          <w:sz w:val="28"/>
          <w:szCs w:val="28"/>
          <w:rtl/>
        </w:rPr>
        <w:t xml:space="preserve">أَ أَرْبابٌ مُتَفَرِّقُونَ مراد تشتّت در عدد است: آیا این که برای شما خدایان متعدّدی باشد که هر کدام جداگانه شما را به پرستش خود دعوت کند، بهتر است یا این که پروردگاری یکتا و غالب که شریکی در ربوبیّت نداشته باشد؟ این ضرب المثلی است که یوسف برای عبادت خدای یکتا و عبادت بتها آورده است.</w:t>
      </w:r>
    </w:p>
    <w:p>
      <w:pPr>
        <w:pStyle w:val="BookText"/>
      </w:pPr>
      <w:r>
        <w:rPr>
          <w:rFonts w:ascii="IRNazanin" w:hAnsi="IRNazanin" w:eastAsia="IRNazanin" w:cs="IRNazanin"/>
          <w:lang w:bidi="fa-IR"/>
          <w:color w:val="111111"/>
          <w:sz w:val="28"/>
          <w:szCs w:val="28"/>
          <w:rtl/>
        </w:rPr>
        <w:t xml:space="preserve">ما تَعْبُدُونَ مِنْ دُونِهِ إِلَّا أَسْماءً اینها که غیر از خدای یکتا عبادت می‏کنید، چیزی نیست، مگر نامهایی خالی که آنها را نام گذاری کرده‏اید، سمیته بزید و سمیته زیدا: هر دو درست است.</w:t>
      </w:r>
    </w:p>
    <w:p>
      <w:pPr>
        <w:pStyle w:val="BookText"/>
      </w:pPr>
      <w:r>
        <w:rPr>
          <w:rFonts w:ascii="IRNazanin" w:hAnsi="IRNazanin" w:eastAsia="IRNazanin" w:cs="IRNazanin"/>
          <w:lang w:bidi="fa-IR"/>
          <w:color w:val="111111"/>
          <w:sz w:val="28"/>
          <w:szCs w:val="28"/>
          <w:rtl/>
        </w:rPr>
        <w:t xml:space="preserve">ما أَنْزَلَ اللَّهُ خداوند برای نام گذاری بتها دلیل و برهانی نازل نفرموده است.</w:t>
      </w:r>
    </w:p>
    <w:p>
      <w:pPr>
        <w:pStyle w:val="BookText"/>
      </w:pPr>
      <w:r>
        <w:rPr>
          <w:rFonts w:ascii="IRNazanin" w:hAnsi="IRNazanin" w:eastAsia="IRNazanin" w:cs="IRNazanin"/>
          <w:lang w:bidi="fa-IR"/>
          <w:color w:val="111111"/>
          <w:sz w:val="28"/>
          <w:szCs w:val="28"/>
          <w:rtl/>
        </w:rPr>
        <w:t xml:space="preserve">إِنِ الْحُکْمُ در امر دین و عبادت هیچ فرمانی جز از خدا پذیرفته نیست، در آخر،</w:t>
      </w:r>
    </w:p>
    <w:p>
      <w:pPr>
        <w:pStyle w:val="BookText"/>
      </w:pPr>
      <w:r>
        <w:rPr>
          <w:rFonts w:ascii="IRNazanin" w:hAnsi="IRNazanin" w:eastAsia="IRNazanin" w:cs="IRNazanin"/>
          <w:lang w:bidi="fa-IR"/>
          <w:color w:val="111111"/>
          <w:sz w:val="28"/>
          <w:szCs w:val="28"/>
          <w:rtl/>
        </w:rPr>
        <w:t xml:space="preserve">[شماره صفحه واقعی : 211]
</w:t>
      </w:r>
    </w:p>
    <w:p>
      <w:pPr>
        <w:sectPr>
          <w:footerReference w:type="default" r:id="rId1310"/>
          <w:footnotePr>
            <w:numStart w:val="1"/>
            <w:numRestart w:val="eachPage"/>
          </w:footnotePr>
          <w:pgSz w:orient="portrait" w:w="11905.511811023622" w:h="16837.79527559055"/>
          <w:pgMar w:top="1440" w:right="1440" w:bottom="1440" w:left="1440" w:header="720" w:footer="720" w:gutter="0"/>
          <w:cols w:num="1" w:space="720"/>
        </w:sectPr>
      </w:pPr>
    </w:p>
    <w:bookmarkStart w:id="732" w:name="pg14411_143692"/>
    <w:bookmarkEnd w:id="732"/>
    <w:p>
      <w:pPr>
        <w:pStyle w:val="BookText"/>
      </w:pPr>
      <w:r>
        <w:rPr>
          <w:rFonts w:ascii="IRNazanin" w:hAnsi="IRNazanin" w:eastAsia="IRNazanin" w:cs="IRNazanin"/>
          <w:lang w:bidi="fa-IR"/>
          <w:color w:val="111111"/>
          <w:sz w:val="28"/>
          <w:szCs w:val="28"/>
          <w:rtl/>
        </w:rPr>
        <w:t xml:space="preserve">حکم خدا را بیان کرده است: أَمَرَ أَلَّا تَعْبُدُوا إِلَّا إِیَّاهُ، ذلِکَ الدِّینُ الْقَیِّمُ خداوند امر کرده است که جز او را نپرستید، و این است دینی که با دلیل و برهان ثابت شده است.</w:t>
      </w:r>
    </w:p>
    <w:p>
      <w:pPr>
        <w:pStyle w:val="Heading6"/>
      </w:pPr>
      <w:bookmarkStart w:id="2446" w:name="_Toc1481"/>
      <w:r>
        <w:t>[سوره یوسف «12»: آیات 41 تا 42]</w:t>
      </w:r>
      <w:bookmarkEnd w:id="2446"/>
    </w:p>
    <w:p>
      <w:pPr>
        <w:pStyle w:val="Heading6"/>
      </w:pPr>
      <w:bookmarkStart w:id="2447" w:name="_Toc1482"/>
      <w:r>
        <w:t>اشاره</w:t>
      </w:r>
      <w:bookmarkEnd w:id="2447"/>
    </w:p>
    <w:p>
      <w:pPr>
        <w:pStyle w:val="BookText"/>
      </w:pPr>
      <w:r>
        <w:rPr>
          <w:rFonts w:ascii="Amiri" w:hAnsi="Amiri" w:eastAsia="Amiri" w:cs="Amiri"/>
          <w:lang w:bidi="ar-SA"/>
          <w:color w:val="111111"/>
          <w:sz w:val="28"/>
          <w:szCs w:val="28"/>
          <w:rtl/>
        </w:rPr>
        <w:t xml:space="preserve">یا صاحِبَیِ السِّجْنِ أَمَّا أَحَدُکُما فَیَسْقِی رَبَّهُ خَمْراً وَ أَمَّا الْآخَرُ فَیُصْلَبُ فَتَأْکُلُ الطَّیْرُ مِنْ رَأْسِهِ قُضِیَ الْأَمْرُ الَّذِی فِیهِ تَسْتَفْتِیانِ «41» وَ قالَ لِلَّذِی ظَنَّ أَنَّهُ ناجٍ مِنْهُمَا اذْکُرْنِی عِنْدَ رَبِّکَ فَأَنْساهُ الشَّیْطانُ ذِکْرَ رَبِّهِ فَلَبِثَ فِی السِّجْنِ بِضْعَ سِنِینَ «42»</w:t>
      </w:r>
    </w:p>
    <w:p>
      <w:pPr>
        <w:pStyle w:val="Heading6"/>
      </w:pPr>
      <w:bookmarkStart w:id="2448" w:name="_Toc1483"/>
      <w:r>
        <w:t>ترجمه:</w:t>
      </w:r>
      <w:bookmarkEnd w:id="2448"/>
    </w:p>
    <w:p>
      <w:pPr>
        <w:pStyle w:val="BookText"/>
      </w:pPr>
      <w:r>
        <w:rPr>
          <w:rFonts w:ascii="IRNazanin" w:hAnsi="IRNazanin" w:eastAsia="IRNazanin" w:cs="IRNazanin"/>
          <w:lang w:bidi="fa-IR"/>
          <w:color w:val="111111"/>
          <w:sz w:val="28"/>
          <w:szCs w:val="28"/>
          <w:rtl/>
        </w:rPr>
        <w:t xml:space="preserve">ای دو رفیق زندانی من یکی از شما ساقی شراب برای صاحب خود خواهد بود، و امّا دیگری به دار آویخته می‏شود و پرندگان از سر او می‏خورند، و این امری که درباره آن از من نظر می‏خواهید، قطعی و حتمی است. «41»</w:t>
      </w:r>
    </w:p>
    <w:p>
      <w:pPr>
        <w:pStyle w:val="BookText"/>
      </w:pPr>
      <w:r>
        <w:rPr>
          <w:rFonts w:ascii="IRNazanin" w:hAnsi="IRNazanin" w:eastAsia="IRNazanin" w:cs="IRNazanin"/>
          <w:lang w:bidi="fa-IR"/>
          <w:color w:val="111111"/>
          <w:sz w:val="28"/>
          <w:szCs w:val="28"/>
          <w:rtl/>
        </w:rPr>
        <w:t xml:space="preserve">و به یکی از آن دو نفر که می‏دانست رهایی می‏یابد گفت: مرا نزد صاحبت یادآوری کن ولی شیطان یاد نزد صاحبش را از خاطر وی برد و در نتیجه یوسف چند سال در زندان باقی ماند. «42»</w:t>
      </w:r>
    </w:p>
    <w:p>
      <w:pPr>
        <w:pStyle w:val="Heading6"/>
      </w:pPr>
      <w:bookmarkStart w:id="2449" w:name="_Toc1484"/>
      <w:r>
        <w:t>تفسیر:</w:t>
      </w:r>
      <w:bookmarkEnd w:id="2449"/>
    </w:p>
    <w:p>
      <w:pPr>
        <w:pStyle w:val="BookText"/>
      </w:pPr>
      <w:r>
        <w:rPr>
          <w:rFonts w:ascii="Amiri" w:hAnsi="Amiri" w:eastAsia="Amiri" w:cs="Amiri"/>
          <w:lang w:bidi="ar-SA"/>
          <w:color w:val="111111"/>
          <w:sz w:val="28"/>
          <w:szCs w:val="28"/>
          <w:rtl/>
        </w:rPr>
        <w:t xml:space="preserve">أَمَّا أَحَدُکُما مراد شخص شرابی است، «فَیَسْقِی رَبَّهُ خَمْراً»: به آقای خود خمر می‏نوشاند.</w:t>
      </w:r>
    </w:p>
    <w:p>
      <w:pPr>
        <w:pStyle w:val="BookText"/>
      </w:pPr>
      <w:r>
        <w:rPr>
          <w:rFonts w:ascii="IRNazanin" w:hAnsi="IRNazanin" w:eastAsia="IRNazanin" w:cs="IRNazanin"/>
          <w:lang w:bidi="fa-IR"/>
          <w:color w:val="111111"/>
          <w:sz w:val="28"/>
          <w:szCs w:val="28"/>
          <w:rtl/>
        </w:rPr>
        <w:t xml:space="preserve">قُضِیَ الْأَمْرُ امری قطعی و یقینی است، نقل شده که آنها بعد از بیان یوسف، پشیمان شده و گفتند: هیچ در خواب ندیده‏ایم، امّا یوسف گفت این امر واقع شدنی است خواه قبول کنید یا نکنید.</w:t>
      </w:r>
    </w:p>
    <w:p>
      <w:pPr>
        <w:pStyle w:val="BookText"/>
      </w:pPr>
      <w:r>
        <w:rPr>
          <w:rFonts w:ascii="IRNazanin" w:hAnsi="IRNazanin" w:eastAsia="IRNazanin" w:cs="IRNazanin"/>
          <w:lang w:bidi="fa-IR"/>
          <w:color w:val="111111"/>
          <w:sz w:val="28"/>
          <w:szCs w:val="28"/>
          <w:rtl/>
        </w:rPr>
        <w:t xml:space="preserve">[شماره صفحه واقعی : 212]
</w:t>
      </w:r>
    </w:p>
    <w:p>
      <w:pPr>
        <w:sectPr>
          <w:footerReference w:type="default" r:id="rId1311"/>
          <w:footnotePr>
            <w:numStart w:val="1"/>
            <w:numRestart w:val="eachPage"/>
          </w:footnotePr>
          <w:pgSz w:orient="portrait" w:w="11905.511811023622" w:h="16837.79527559055"/>
          <w:pgMar w:top="1440" w:right="1440" w:bottom="1440" w:left="1440" w:header="720" w:footer="720" w:gutter="0"/>
          <w:cols w:num="1" w:space="720"/>
        </w:sectPr>
      </w:pPr>
    </w:p>
    <w:bookmarkStart w:id="733" w:name="pg14411_143693"/>
    <w:bookmarkEnd w:id="733"/>
    <w:p>
      <w:pPr>
        <w:pStyle w:val="BookText"/>
      </w:pPr>
      <w:r>
        <w:rPr>
          <w:rFonts w:ascii="Amiri" w:hAnsi="Amiri" w:eastAsia="Amiri" w:cs="Amiri"/>
          <w:lang w:bidi="ar-SA"/>
          <w:color w:val="111111"/>
          <w:sz w:val="28"/>
          <w:szCs w:val="28"/>
          <w:rtl/>
        </w:rPr>
        <w:t xml:space="preserve">وَ قالَ لِلَّذِی ظَنَّ أَنَّهُ ناجٍ مِنْهُمَا «ظنّ» اینجا به معنای «علم» است. مثل: إِنِّی ظَنَنْتُ أَنِّی مُلاقٍ حِسابِیَهْ: </w:t>
      </w:r>
      <w:r>
        <w:rPr>
          <w:rStyle w:val="FootnoteReference"/>
        </w:rPr>
        <w:footnoteReference w:id="4509"/>
      </w:r>
      <w:r>
        <w:rPr>
          <w:rFonts w:ascii="IRNazanin" w:hAnsi="IRNazanin" w:eastAsia="IRNazanin" w:cs="IRNazanin"/>
          <w:lang w:bidi="fa-IR"/>
          <w:color w:val="111111"/>
          <w:sz w:val="28"/>
          <w:szCs w:val="28"/>
          <w:rtl/>
        </w:rPr>
        <w:t xml:space="preserve">به آن یکی از دو همراهش که می‏دانست از زندان آزاد می‏شوند گفت:</w:t>
      </w:r>
    </w:p>
    <w:p>
      <w:pPr>
        <w:pStyle w:val="BookText"/>
      </w:pPr>
      <w:r>
        <w:rPr>
          <w:rFonts w:ascii="IRNazanin" w:hAnsi="IRNazanin" w:eastAsia="IRNazanin" w:cs="IRNazanin"/>
          <w:lang w:bidi="fa-IR"/>
          <w:color w:val="111111"/>
          <w:sz w:val="28"/>
          <w:szCs w:val="28"/>
          <w:rtl/>
        </w:rPr>
        <w:t xml:space="preserve">اذْکُرْنِی عِنْدَ رَبِّکَ پیش عزیز مصر ویژگیهای مرا بیان کن و او را از حال من با خبر ساز که: من بناحق زندانی شده‏ام. «فَأَنْساهُ الشَّیْطانُ ذِکْرَ رَبِّهِ» شیطان یاد یوسف را نزد عزیز از خاطر شرابی برد، بعضی گفته‏اند: شیطان ذکر خدا را در این هنگام از یاد یوسف برد، که کارش را به غیر خدا واگذار ساخت و به مخلوقی پناهنده شد.</w:t>
      </w:r>
    </w:p>
    <w:p>
      <w:pPr>
        <w:pStyle w:val="BookText"/>
      </w:pPr>
      <w:r>
        <w:rPr>
          <w:rFonts w:ascii="IRNazanin" w:hAnsi="IRNazanin" w:eastAsia="IRNazanin" w:cs="IRNazanin"/>
          <w:lang w:bidi="fa-IR"/>
          <w:color w:val="111111"/>
          <w:sz w:val="28"/>
          <w:szCs w:val="28"/>
          <w:rtl/>
        </w:rPr>
        <w:t xml:space="preserve">بِضْعَ از سه تا نه و درست‏ترین اقوال این است که هفت سال در زندان باقی ماند.</w:t>
      </w:r>
    </w:p>
    <w:p>
      <w:pPr>
        <w:pStyle w:val="Heading6"/>
      </w:pPr>
      <w:bookmarkStart w:id="2450" w:name="_Toc1485"/>
      <w:r>
        <w:t>[سوره یوسف «12»: آیات 43 تا 49]</w:t>
      </w:r>
      <w:bookmarkEnd w:id="2450"/>
    </w:p>
    <w:p>
      <w:pPr>
        <w:pStyle w:val="Heading6"/>
      </w:pPr>
      <w:bookmarkStart w:id="2451" w:name="_Toc1486"/>
      <w:r>
        <w:t>اشاره</w:t>
      </w:r>
      <w:bookmarkEnd w:id="2451"/>
    </w:p>
    <w:p>
      <w:pPr>
        <w:pStyle w:val="BookText"/>
      </w:pPr>
      <w:r>
        <w:rPr>
          <w:rFonts w:ascii="Amiri" w:hAnsi="Amiri" w:eastAsia="Amiri" w:cs="Amiri"/>
          <w:lang w:bidi="ar-SA"/>
          <w:color w:val="111111"/>
          <w:sz w:val="28"/>
          <w:szCs w:val="28"/>
          <w:rtl/>
        </w:rPr>
        <w:t xml:space="preserve">وَ قالَ الْمَلِکُ إِنِّی أَری‏ سَبْعَ بَقَراتٍ سِمانٍ یَأْکُلُهُنَّ سَبْعٌ عِجافٌ وَ سَبْعَ سُنْبُلاتٍ خُضْرٍ وَ أُخَرَ یابِساتٍ یا أَیُّهَا الْمَلَأُ أَفْتُونِی فِی رُءْیایَ إِنْ کُنْتُمْ لِلرُّءْیا تَعْبُرُونَ «43» قالُوا أَضْغاثُ أَحْلامٍ وَ ما نَحْنُ بِتَأْوِیلِ الْأَحْلامِ بِعالِمِینَ «44» وَ قالَ الَّذِی نَجا مِنْهُما وَ ادَّکَرَ بَعْدَ أُمَّةٍ أَنَا أُنَبِّئُکُمْ بِتَأْوِیلِهِ فَأَرْسِلُونِ «45» یُوسُفُ أَیُّهَا الصِّدِّیقُ أَفْتِنا فِی سَبْعِ بَقَراتٍ سِمانٍ یَأْکُلُهُنَّ سَبْعٌ عِجافٌ وَ سَبْعِ سُنْبُلاتٍ خُضْرٍ وَ أُخَرَ یابِساتٍ لَعَلِّی أَرْجِعُ إِلَی النَّاسِ لَعَلَّهُمْ یَعْلَمُونَ «46» قالَ تَزْرَعُونَ سَبْعَ سِنِینَ دَأَباً فَما حَصَدْتُمْ فَذَرُوهُ فِی سُنْبُلِهِ إِلاَّ قَلِیلاً مِمَّا تَأْکُلُونَ «47»</w:t>
      </w:r>
    </w:p>
    <w:p>
      <w:pPr>
        <w:pStyle w:val="BookText"/>
      </w:pPr>
      <w:r>
        <w:rPr>
          <w:rFonts w:ascii="Amiri" w:hAnsi="Amiri" w:eastAsia="Amiri" w:cs="Amiri"/>
          <w:lang w:bidi="ar-SA"/>
          <w:color w:val="111111"/>
          <w:sz w:val="28"/>
          <w:szCs w:val="28"/>
          <w:rtl/>
        </w:rPr>
        <w:t xml:space="preserve">ثُمَّ یَأْتِی مِنْ بَعْدِ ذلِکَ سَبْعٌ شِدادٌ یَأْکُلْنَ ما قَدَّمْتُمْ لَهُنَّ إِلاَّ قَلِیلاً مِمَّا تُحْصِنُونَ «48» ثُمَّ یَأْتِی مِنْ بَعْدِ ذلِکَ عامٌ فِیهِ یُغاثُ النَّاسُ وَ فِیهِ یَعْصِرُونَ «49»</w:t>
      </w:r>
    </w:p>
    <w:p>
      <w:pPr>
        <w:pStyle w:val="BookText"/>
      </w:pPr>
      <w:r>
        <w:rPr>
          <w:rFonts w:ascii="IRNazanin" w:hAnsi="IRNazanin" w:eastAsia="IRNazanin" w:cs="IRNazanin"/>
          <w:lang w:bidi="fa-IR"/>
          <w:color w:val="111111"/>
          <w:sz w:val="28"/>
          <w:szCs w:val="28"/>
          <w:rtl/>
        </w:rPr>
        <w:t xml:space="preserve">[شماره صفحه واقعی : 213]
</w:t>
      </w:r>
    </w:p>
    <w:p>
      <w:pPr>
        <w:sectPr>
          <w:footerReference w:type="default" r:id="rId1312"/>
          <w:footnotePr>
            <w:numStart w:val="1"/>
            <w:numRestart w:val="eachPage"/>
          </w:footnotePr>
          <w:pgSz w:orient="portrait" w:w="11905.511811023622" w:h="16837.79527559055"/>
          <w:pgMar w:top="1440" w:right="1440" w:bottom="1440" w:left="1440" w:header="720" w:footer="720" w:gutter="0"/>
          <w:cols w:num="1" w:space="720"/>
        </w:sectPr>
      </w:pPr>
    </w:p>
    <w:bookmarkStart w:id="734" w:name="pg14411_143694"/>
    <w:bookmarkEnd w:id="734"/>
    <w:p>
      <w:pPr>
        <w:pStyle w:val="Heading6"/>
      </w:pPr>
      <w:bookmarkStart w:id="2452" w:name="_Toc1487"/>
      <w:r>
        <w:t>ترجمه:</w:t>
      </w:r>
      <w:bookmarkEnd w:id="2452"/>
    </w:p>
    <w:p>
      <w:pPr>
        <w:pStyle w:val="BookText"/>
      </w:pPr>
      <w:r>
        <w:rPr>
          <w:rFonts w:ascii="IRNazanin" w:hAnsi="IRNazanin" w:eastAsia="IRNazanin" w:cs="IRNazanin"/>
          <w:lang w:bidi="fa-IR"/>
          <w:color w:val="111111"/>
          <w:sz w:val="28"/>
          <w:szCs w:val="28"/>
          <w:rtl/>
        </w:rPr>
        <w:t xml:space="preserve">عزیز مصر گفت: من در خواب دیدم هفت گاو چاق را که هفت گاو لاغر را می‏خورند. و هفت خوشه سبز و هفت خوشه دیگر، خشک را (که خشکیده‏ها را بر سبزها پیچیدند و خشکشان کردند)، ای بزرگان اگر تعبیر خواب می‏دانید درباره خواب من نظر دهید. «43»</w:t>
      </w:r>
    </w:p>
    <w:p>
      <w:pPr>
        <w:pStyle w:val="BookText"/>
      </w:pPr>
      <w:r>
        <w:rPr>
          <w:rFonts w:ascii="IRNazanin" w:hAnsi="IRNazanin" w:eastAsia="IRNazanin" w:cs="IRNazanin"/>
          <w:lang w:bidi="fa-IR"/>
          <w:color w:val="111111"/>
          <w:sz w:val="28"/>
          <w:szCs w:val="28"/>
          <w:rtl/>
        </w:rPr>
        <w:t xml:space="preserve">گفتند اینها خوابهای آشفته است و ما از تعبیر این خوابها آگاه نیستیم. «44»</w:t>
      </w:r>
    </w:p>
    <w:p>
      <w:pPr>
        <w:pStyle w:val="BookText"/>
      </w:pPr>
      <w:r>
        <w:rPr>
          <w:rFonts w:ascii="IRNazanin" w:hAnsi="IRNazanin" w:eastAsia="IRNazanin" w:cs="IRNazanin"/>
          <w:lang w:bidi="fa-IR"/>
          <w:color w:val="111111"/>
          <w:sz w:val="28"/>
          <w:szCs w:val="28"/>
          <w:rtl/>
        </w:rPr>
        <w:t xml:space="preserve">و آن یکی از آن دو نفر که نجات یافته بود- و پس از مدتی متذکر شد- گفت: من درباره تعبیر این خواب شما را خبر می‏کنم، مرا به سوی این امر بفرستید. «45»</w:t>
      </w:r>
    </w:p>
    <w:p>
      <w:pPr>
        <w:pStyle w:val="BookText"/>
      </w:pPr>
      <w:r>
        <w:rPr>
          <w:rFonts w:ascii="IRNazanin" w:hAnsi="IRNazanin" w:eastAsia="IRNazanin" w:cs="IRNazanin"/>
          <w:lang w:bidi="fa-IR"/>
          <w:color w:val="111111"/>
          <w:sz w:val="28"/>
          <w:szCs w:val="28"/>
          <w:rtl/>
        </w:rPr>
        <w:t xml:space="preserve">ای یوسف: ای مرد بسیار راستگو! برای ما درباره این خواب که: هفت گاو فربه را هفت گاو لاغر می‏خوردند، و نیز هفت خوشه سبز و هفت خوشه خشک، نظر بده، تا بسوی مردم بازگردم و آنها را آگاه سازم. «46»</w:t>
      </w:r>
    </w:p>
    <w:p>
      <w:pPr>
        <w:pStyle w:val="BookText"/>
      </w:pPr>
      <w:r>
        <w:rPr>
          <w:rFonts w:ascii="IRNazanin" w:hAnsi="IRNazanin" w:eastAsia="IRNazanin" w:cs="IRNazanin"/>
          <w:lang w:bidi="fa-IR"/>
          <w:color w:val="111111"/>
          <w:sz w:val="28"/>
          <w:szCs w:val="28"/>
          <w:rtl/>
        </w:rPr>
        <w:t xml:space="preserve">یوسف گفت: هفت سال پیوسته کشت می‏کنید و هر چه که از آنها می‏چینید بجز اندکی که می‏خورید، بقیّه را در خوشه‏اش بگذارید. «47»</w:t>
      </w:r>
    </w:p>
    <w:p>
      <w:pPr>
        <w:pStyle w:val="BookText"/>
      </w:pPr>
      <w:r>
        <w:rPr>
          <w:rFonts w:ascii="IRNazanin" w:hAnsi="IRNazanin" w:eastAsia="IRNazanin" w:cs="IRNazanin"/>
          <w:lang w:bidi="fa-IR"/>
          <w:color w:val="111111"/>
          <w:sz w:val="28"/>
          <w:szCs w:val="28"/>
          <w:rtl/>
        </w:rPr>
        <w:t xml:space="preserve">آن گاه از پی آن سالها، هفت سال سخت بیاید که هر چه را ذخیره کرده‏اید می‏خورند به جز اندکی را از آنچه که نگهداری می‏کنید. «48»</w:t>
      </w:r>
    </w:p>
    <w:p>
      <w:pPr>
        <w:pStyle w:val="BookText"/>
      </w:pPr>
      <w:r>
        <w:rPr>
          <w:rFonts w:ascii="IRNazanin" w:hAnsi="IRNazanin" w:eastAsia="IRNazanin" w:cs="IRNazanin"/>
          <w:lang w:bidi="fa-IR"/>
          <w:color w:val="111111"/>
          <w:sz w:val="28"/>
          <w:szCs w:val="28"/>
          <w:rtl/>
        </w:rPr>
        <w:t xml:space="preserve">سپس سالی فرا می‏رسد که باران فراوان نصیب مردم می‏شود و نجات می‏یابند. «49»</w:t>
      </w:r>
    </w:p>
    <w:p>
      <w:pPr>
        <w:pStyle w:val="Heading6"/>
      </w:pPr>
      <w:bookmarkStart w:id="2453" w:name="_Toc1488"/>
      <w:r>
        <w:t>تفسیر:</w:t>
      </w:r>
      <w:bookmarkEnd w:id="2453"/>
    </w:p>
    <w:p>
      <w:pPr>
        <w:pStyle w:val="BookText"/>
      </w:pPr>
      <w:r>
        <w:rPr>
          <w:rFonts w:ascii="IRNazanin" w:hAnsi="IRNazanin" w:eastAsia="IRNazanin" w:cs="IRNazanin"/>
          <w:lang w:bidi="fa-IR"/>
          <w:color w:val="111111"/>
          <w:sz w:val="28"/>
          <w:szCs w:val="28"/>
          <w:rtl/>
        </w:rPr>
        <w:t xml:space="preserve">امام صادق علیه السّلام چنین قرائت فرموده‏اند:</w:t>
      </w:r>
    </w:p>
    <w:p>
      <w:pPr>
        <w:pStyle w:val="BookText"/>
      </w:pPr>
      <w:r>
        <w:rPr>
          <w:rFonts w:ascii="IRNazanin" w:hAnsi="IRNazanin" w:eastAsia="IRNazanin" w:cs="IRNazanin"/>
          <w:lang w:bidi="fa-IR"/>
          <w:color w:val="111111"/>
          <w:sz w:val="28"/>
          <w:szCs w:val="28"/>
          <w:rtl/>
        </w:rPr>
        <w:t xml:space="preserve">و سبع سنابل .... یأکلن ما قربتم لهن:</w:t>
      </w:r>
    </w:p>
    <w:p>
      <w:pPr>
        <w:pStyle w:val="BookText"/>
      </w:pPr>
      <w:r>
        <w:rPr>
          <w:rFonts w:ascii="IRNazanin" w:hAnsi="IRNazanin" w:eastAsia="IRNazanin" w:cs="IRNazanin"/>
          <w:lang w:bidi="fa-IR"/>
          <w:color w:val="111111"/>
          <w:sz w:val="28"/>
          <w:szCs w:val="28"/>
          <w:rtl/>
        </w:rPr>
        <w:t xml:space="preserve">و هفت خوشه چنین و چنان که می‏خورند آنچه برایشان حاضر کردید: وقتی که نجات یوسف از زندان نزدیک شد، عزیز مصر که به نام ریّان بن ولید بود، خواب وحشتناکی دید: هفت گاو چاق از میان نهری خشک بیرون آمدند و هفت گاو لاغر را دید که گاوهای چاق را خوردند، و نیز در خواب دید هفت خوشه سبز را که دانه‏هایشان بسته شده و هفت خوشه دیگر خشک را دید که هنگام درویدنش</w:t>
      </w:r>
    </w:p>
    <w:p>
      <w:pPr>
        <w:pStyle w:val="BookText"/>
      </w:pPr>
      <w:r>
        <w:rPr>
          <w:rFonts w:ascii="IRNazanin" w:hAnsi="IRNazanin" w:eastAsia="IRNazanin" w:cs="IRNazanin"/>
          <w:lang w:bidi="fa-IR"/>
          <w:color w:val="111111"/>
          <w:sz w:val="28"/>
          <w:szCs w:val="28"/>
          <w:rtl/>
        </w:rPr>
        <w:t xml:space="preserve">[شماره صفحه واقعی : 214]
</w:t>
      </w:r>
    </w:p>
    <w:p>
      <w:pPr>
        <w:sectPr>
          <w:footerReference w:type="default" r:id="rId1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رسیده، و این خوشه‏های خشک بر خوشه‏های سبز پیچید، تا آنها را نیز خشک کرد.</w:t>
      </w:r>
    </w:p>
    <w:p>
      <w:pPr>
        <w:pStyle w:val="BookText"/>
      </w:pPr>
      <w:r>
        <w:rPr>
          <w:rFonts w:ascii="IRNazanin" w:hAnsi="IRNazanin" w:eastAsia="IRNazanin" w:cs="IRNazanin"/>
          <w:lang w:bidi="fa-IR"/>
          <w:color w:val="111111"/>
          <w:sz w:val="28"/>
          <w:szCs w:val="28"/>
          <w:rtl/>
        </w:rPr>
        <w:t xml:space="preserve">عزیز مصر، بزرگان و کاهنان را جمع کرد و داستان را برایشان نقل نمود، و بعد گفت:</w:t>
      </w:r>
    </w:p>
    <w:p>
      <w:pPr>
        <w:pStyle w:val="BookText"/>
      </w:pPr>
      <w:r>
        <w:rPr>
          <w:rFonts w:ascii="IRNazanin" w:hAnsi="IRNazanin" w:eastAsia="IRNazanin" w:cs="IRNazanin"/>
          <w:lang w:bidi="fa-IR"/>
          <w:color w:val="111111"/>
          <w:sz w:val="28"/>
          <w:szCs w:val="28"/>
          <w:rtl/>
        </w:rPr>
        <w:t xml:space="preserve">آنچه در خواب دیدم برایم تعبیر کنید إِنْ کُنْتُمْ لِلرُّءْیا تَعْبُرُونَ اگر تعبیر خواب را می‏دانید. «عبرت الرؤیا» آخر و عاقبت آن را بیان کردم. «عبرت النهر» نهر را قطع کردم: از آن گذشتم تا به آخرش رسیدم، و «لام» در «للرؤیا» یا برای بیان است مثل: وَ کانُوا فِیهِ مِنَ الزَّاهِدِینَ </w:t>
      </w:r>
      <w:r>
        <w:rPr>
          <w:rStyle w:val="FootnoteReference"/>
        </w:rPr>
        <w:footnoteReference w:id="4510"/>
      </w:r>
      <w:r>
        <w:rPr>
          <w:rFonts w:ascii="IRNazanin" w:hAnsi="IRNazanin" w:eastAsia="IRNazanin" w:cs="IRNazanin"/>
          <w:lang w:bidi="fa-IR"/>
          <w:color w:val="111111"/>
          <w:sz w:val="28"/>
          <w:szCs w:val="28"/>
          <w:rtl/>
        </w:rPr>
        <w:t xml:space="preserve">و یا برای این است که هر گاه معمول بر عاملش مقدم و این عامل در عمل کردنش دچار ضعف شود، لام، برای تقویت آن آورده می‏شود، چنان که در اسم فاعل به دلیل انحطاط درجه‏اش از فعل، «لام» داخل می‏شود: هو عابر للرؤیا و می‏توان گفت: «للرؤیا» در جمله بالا، خبر کان است، مثل: کان فلان لهذا الامر» فلانی در این کار، ورزیده است، و «تعبرون» خبر بعد از خبر، یا حال.</w:t>
      </w:r>
    </w:p>
    <w:p>
      <w:pPr>
        <w:pStyle w:val="BookText"/>
      </w:pPr>
      <w:r>
        <w:rPr>
          <w:rFonts w:ascii="IRNazanin" w:hAnsi="IRNazanin" w:eastAsia="IRNazanin" w:cs="IRNazanin"/>
          <w:lang w:bidi="fa-IR"/>
          <w:color w:val="111111"/>
          <w:sz w:val="28"/>
          <w:szCs w:val="28"/>
          <w:rtl/>
        </w:rPr>
        <w:t xml:space="preserve">«عجاف» جمع «عجفا» است، و علت این امر، با این که وزنهای افعل و فعلاء، بر فعال جمع بسته نمی‏شود، آن است که حمل بر «سمان» شده که نقیض آن است و دأب علمای ادب آن است که نظیر را بر نظیر و نقیض را بر نقیض حمل می‏کنند.</w:t>
      </w:r>
    </w:p>
    <w:p>
      <w:pPr>
        <w:pStyle w:val="BookText"/>
      </w:pPr>
      <w:r>
        <w:rPr>
          <w:rFonts w:ascii="IRNazanin" w:hAnsi="IRNazanin" w:eastAsia="IRNazanin" w:cs="IRNazanin"/>
          <w:lang w:bidi="fa-IR"/>
          <w:color w:val="111111"/>
          <w:sz w:val="28"/>
          <w:szCs w:val="28"/>
          <w:rtl/>
        </w:rPr>
        <w:t xml:space="preserve">وَ أُخَرَ یابِساتٍ و هفتای دیگر خشک بود.</w:t>
      </w:r>
    </w:p>
    <w:p>
      <w:pPr>
        <w:pStyle w:val="BookText"/>
      </w:pPr>
      <w:r>
        <w:rPr>
          <w:rFonts w:ascii="IRNazanin" w:hAnsi="IRNazanin" w:eastAsia="IRNazanin" w:cs="IRNazanin"/>
          <w:lang w:bidi="fa-IR"/>
          <w:color w:val="111111"/>
          <w:sz w:val="28"/>
          <w:szCs w:val="28"/>
          <w:rtl/>
        </w:rPr>
        <w:t xml:space="preserve">أَضْغاثُ أَحْلامٍ خوابهای آشفته و بیهوده، و چیزهایی نظیر وسوسه‏های نفسانی و حدیث نفس، و اصل «اضغاث» عبارت است از آنچه انباشته شود از آشغالهای گیاهان، و مفردش «ضغث» و اضافه به معنای «من» است: مجموعه‏هایی از خوابهای آشفته، معنای آیه: اینها مجموعه‏هایی از خوابهای آشفته است.</w:t>
      </w:r>
    </w:p>
    <w:p>
      <w:pPr>
        <w:pStyle w:val="BookText"/>
      </w:pPr>
      <w:r>
        <w:rPr>
          <w:rFonts w:ascii="IRNazanin" w:hAnsi="IRNazanin" w:eastAsia="IRNazanin" w:cs="IRNazanin"/>
          <w:lang w:bidi="fa-IR"/>
          <w:color w:val="111111"/>
          <w:sz w:val="28"/>
          <w:szCs w:val="28"/>
          <w:rtl/>
        </w:rPr>
        <w:t xml:space="preserve">وَ ادَّکَرَ بَعْدَ أُمَّةٍ پس از مدتی دراز بیادش افتاد. «أَنَا أُنَبِّئُکُمْ»: من برای تعبیر این</w:t>
      </w:r>
    </w:p>
    <w:p>
      <w:pPr>
        <w:pStyle w:val="BookText"/>
      </w:pPr>
      <w:r>
        <w:rPr>
          <w:rFonts w:ascii="IRNazanin" w:hAnsi="IRNazanin" w:eastAsia="IRNazanin" w:cs="IRNazanin"/>
          <w:lang w:bidi="fa-IR"/>
          <w:color w:val="111111"/>
          <w:sz w:val="28"/>
          <w:szCs w:val="28"/>
          <w:rtl/>
        </w:rPr>
        <w:t xml:space="preserve">[شماره صفحه واقعی : 215]
</w:t>
      </w:r>
    </w:p>
    <w:p>
      <w:pPr>
        <w:sectPr>
          <w:footerReference w:type="default" r:id="rId1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خواب از کسی شما را آگاه می‏کنم که علمش نزد اوست.</w:t>
      </w:r>
    </w:p>
    <w:p>
      <w:pPr>
        <w:pStyle w:val="BookText"/>
      </w:pPr>
      <w:r>
        <w:rPr>
          <w:rFonts w:ascii="IRNazanin" w:hAnsi="IRNazanin" w:eastAsia="IRNazanin" w:cs="IRNazanin"/>
          <w:lang w:bidi="fa-IR"/>
          <w:color w:val="111111"/>
          <w:sz w:val="28"/>
          <w:szCs w:val="28"/>
          <w:rtl/>
        </w:rPr>
        <w:t xml:space="preserve">فَأَرْسِلُونِ مرا بسوی او بفرستید تا از او بپرسم و دستور دهید، تا از او تعبیر خواب طلب کنم، او را به جانب یوسف فرستادند، آمد و گفت: «یُوسُفُ أَیُّهَا الصِّدِّیقُ»: یوسف ای بسیار راستگو. فرستاده به این دلیل به یوسف به این عنوان خطاب کرد، که صداقت و راستگویی او را در تعبیر خواب خود و رفیقش دیده بود، و نیز به همین جهت با احتیاط او را مورد خطاب قرار داد و گفت: لَعَلِّی أَرْجِعُ إِلَی النَّاسِ لَعَلَّهُمْ یَعْلَمُونَ چون قطع نداشت که پیش مردم برگردد، و ممکن بود بین راه بمیرد، و نیز یقین نداشت که آنها علم پیدا کنند. «لَعَلَّهُمْ یَعْلَمُونَ»: به امید این که به فضل و موقعیت علمی تو آگاهی یابند، و به جستجوی تو در آیند و تو را از زندان رهایی دهند، از ابن عباس نقل شده است که زندان در شهر نبود. «تَزْرَعُونَ» خبر است در معنای امر، مثل: تُؤْمِنُونَ بِاللَّهِ وَ رَسُولِهِ وَ تُجاهِدُونَ: «به خدا ایمان بیاورید و جهاد کنید» (صف/ 11) شاهد بر این معنا، این جمله از آیه است: فَذَرُوهُ فِی سُنْبُلِهِ: (آن را در همان خوشه‏اش بگذارید).</w:t>
      </w:r>
    </w:p>
    <w:p>
      <w:pPr>
        <w:pStyle w:val="BookText"/>
      </w:pPr>
      <w:r>
        <w:rPr>
          <w:rFonts w:ascii="IRNazanin" w:hAnsi="IRNazanin" w:eastAsia="IRNazanin" w:cs="IRNazanin"/>
          <w:lang w:bidi="fa-IR"/>
          <w:color w:val="111111"/>
          <w:sz w:val="28"/>
          <w:szCs w:val="28"/>
          <w:rtl/>
        </w:rPr>
        <w:t xml:space="preserve">دَأَباً با سکون و حرکت همزه، هر دو قرائت شده، و هر دو مصدر «داب فی العمل» </w:t>
      </w:r>
      <w:r>
        <w:rPr>
          <w:rStyle w:val="FootnoteReference"/>
        </w:rPr>
        <w:footnoteReference w:id="4511"/>
      </w:r>
      <w:r>
        <w:rPr>
          <w:rFonts w:ascii="IRNazanin" w:hAnsi="IRNazanin" w:eastAsia="IRNazanin" w:cs="IRNazanin"/>
          <w:lang w:bidi="fa-IR"/>
          <w:color w:val="111111"/>
          <w:sz w:val="28"/>
          <w:szCs w:val="28"/>
          <w:rtl/>
        </w:rPr>
        <w:t xml:space="preserve">و حال برای مأمورین و به معنای «دائبین» است و تقدیر آن، یا «تدأبون دأبا» </w:t>
      </w:r>
      <w:r>
        <w:rPr>
          <w:rStyle w:val="FootnoteReference"/>
        </w:rPr>
        <w:footnoteReference w:id="4512"/>
      </w:r>
      <w:r>
        <w:rPr>
          <w:rFonts w:ascii="IRNazanin" w:hAnsi="IRNazanin" w:eastAsia="IRNazanin" w:cs="IRNazanin"/>
          <w:lang w:bidi="fa-IR"/>
          <w:color w:val="111111"/>
          <w:sz w:val="28"/>
          <w:szCs w:val="28"/>
          <w:rtl/>
        </w:rPr>
        <w:t xml:space="preserve">یا به معنای: «ذوی دأب» </w:t>
      </w:r>
      <w:r>
        <w:rPr>
          <w:rStyle w:val="FootnoteReference"/>
        </w:rPr>
        <w:footnoteReference w:id="4513"/>
      </w:r>
      <w:r>
        <w:rPr>
          <w:rFonts w:ascii="IRNazanin" w:hAnsi="IRNazanin" w:eastAsia="IRNazanin" w:cs="IRNazanin"/>
          <w:lang w:bidi="fa-IR"/>
          <w:color w:val="111111"/>
          <w:sz w:val="28"/>
          <w:szCs w:val="28"/>
          <w:rtl/>
        </w:rPr>
        <w:t xml:space="preserve">می‏باشد.</w:t>
      </w:r>
    </w:p>
    <w:p>
      <w:pPr>
        <w:pStyle w:val="BookText"/>
      </w:pPr>
      <w:r>
        <w:rPr>
          <w:rFonts w:ascii="IRNazanin" w:hAnsi="IRNazanin" w:eastAsia="IRNazanin" w:cs="IRNazanin"/>
          <w:lang w:bidi="fa-IR"/>
          <w:color w:val="111111"/>
          <w:sz w:val="28"/>
          <w:szCs w:val="28"/>
          <w:rtl/>
        </w:rPr>
        <w:t xml:space="preserve">فَذَرُوهُ فِی سُنْبُلِهِ در همان خوشه باقی بگذارید تا کرم زده نشود.</w:t>
      </w:r>
    </w:p>
    <w:p>
      <w:pPr>
        <w:pStyle w:val="BookText"/>
      </w:pPr>
      <w:r>
        <w:rPr>
          <w:rFonts w:ascii="IRNazanin" w:hAnsi="IRNazanin" w:eastAsia="IRNazanin" w:cs="IRNazanin"/>
          <w:lang w:bidi="fa-IR"/>
          <w:color w:val="111111"/>
          <w:sz w:val="28"/>
          <w:szCs w:val="28"/>
          <w:rtl/>
        </w:rPr>
        <w:t xml:space="preserve">یَأْکُلْنَ اسناد مجازی است: در حقیقت مردم آنچه را اندوخته‏اند می‏خورند ولی اینجا خوردن به سالهای هفتگانه قحطی نسبت داده شد. «تحصنون» در حفظ و حصار قرار می‏دهید.</w:t>
      </w:r>
    </w:p>
    <w:p>
      <w:pPr>
        <w:pStyle w:val="BookText"/>
      </w:pPr>
      <w:r>
        <w:rPr>
          <w:rFonts w:ascii="IRNazanin" w:hAnsi="IRNazanin" w:eastAsia="IRNazanin" w:cs="IRNazanin"/>
          <w:lang w:bidi="fa-IR"/>
          <w:color w:val="111111"/>
          <w:sz w:val="28"/>
          <w:szCs w:val="28"/>
          <w:rtl/>
        </w:rPr>
        <w:t xml:space="preserve">[شماره صفحه واقعی : 216]
</w:t>
      </w:r>
    </w:p>
    <w:p>
      <w:pPr>
        <w:sectPr>
          <w:footerReference w:type="default" r:id="rId1315"/>
          <w:footnotePr>
            <w:numStart w:val="1"/>
            <w:numRestart w:val="eachPage"/>
          </w:footnotePr>
          <w:pgSz w:orient="portrait" w:w="11905.511811023622" w:h="16837.79527559055"/>
          <w:pgMar w:top="1440" w:right="1440" w:bottom="1440" w:left="1440" w:header="720" w:footer="720" w:gutter="0"/>
          <w:cols w:num="1" w:space="720"/>
        </w:sectPr>
      </w:pPr>
    </w:p>
    <w:bookmarkStart w:id="735" w:name="pg14411_143697"/>
    <w:bookmarkEnd w:id="735"/>
    <w:p>
      <w:pPr>
        <w:pStyle w:val="BookText"/>
      </w:pPr>
      <w:r>
        <w:rPr>
          <w:rFonts w:ascii="IRNazanin" w:hAnsi="IRNazanin" w:eastAsia="IRNazanin" w:cs="IRNazanin"/>
          <w:lang w:bidi="fa-IR"/>
          <w:color w:val="111111"/>
          <w:sz w:val="28"/>
          <w:szCs w:val="28"/>
          <w:rtl/>
        </w:rPr>
        <w:t xml:space="preserve">یُغاثُ النَّاسُ از غوث یا از غیث، در مجهول گفته می‏شود: «غیثت البلاد» موقعی که سرزمینها را باران فرا بگیرد، از همین قبیل است گفتار زن اعرابی: غثنا ما شئنا.</w:t>
      </w:r>
    </w:p>
    <w:p>
      <w:pPr>
        <w:pStyle w:val="BookText"/>
      </w:pPr>
      <w:r>
        <w:rPr>
          <w:rFonts w:ascii="IRNazanin" w:hAnsi="IRNazanin" w:eastAsia="IRNazanin" w:cs="IRNazanin"/>
          <w:lang w:bidi="fa-IR"/>
          <w:color w:val="111111"/>
          <w:sz w:val="28"/>
          <w:szCs w:val="28"/>
          <w:rtl/>
        </w:rPr>
        <w:t xml:space="preserve">یَعْصِرُونَ انگور و کشمش را می‏فشارند و از آن شراب می‏سازند. «یعصرون»:</w:t>
      </w:r>
    </w:p>
    <w:p>
      <w:pPr>
        <w:pStyle w:val="BookText"/>
      </w:pPr>
      <w:r>
        <w:rPr>
          <w:rFonts w:ascii="IRNazanin" w:hAnsi="IRNazanin" w:eastAsia="IRNazanin" w:cs="IRNazanin"/>
          <w:lang w:bidi="fa-IR"/>
          <w:color w:val="111111"/>
          <w:sz w:val="28"/>
          <w:szCs w:val="28"/>
          <w:rtl/>
        </w:rPr>
        <w:t xml:space="preserve">مجهول نیز خوانده شده، از عصره: (متعدّی): آن را نجات داد، بعضی گفته‏اند:</w:t>
      </w:r>
    </w:p>
    <w:p>
      <w:pPr>
        <w:pStyle w:val="BookText"/>
      </w:pPr>
      <w:r>
        <w:rPr>
          <w:rFonts w:ascii="IRNazanin" w:hAnsi="IRNazanin" w:eastAsia="IRNazanin" w:cs="IRNazanin"/>
          <w:lang w:bidi="fa-IR"/>
          <w:color w:val="111111"/>
          <w:sz w:val="28"/>
          <w:szCs w:val="28"/>
          <w:rtl/>
        </w:rPr>
        <w:t xml:space="preserve">معنایش «یمطرون» است: بر آنها باران می‏بارد.</w:t>
      </w:r>
    </w:p>
    <w:p>
      <w:pPr>
        <w:pStyle w:val="BookText"/>
      </w:pPr>
      <w:r>
        <w:rPr>
          <w:rFonts w:ascii="IRNazanin" w:hAnsi="IRNazanin" w:eastAsia="IRNazanin" w:cs="IRNazanin"/>
          <w:lang w:bidi="fa-IR"/>
          <w:color w:val="111111"/>
          <w:sz w:val="28"/>
          <w:szCs w:val="28"/>
          <w:rtl/>
        </w:rPr>
        <w:t xml:space="preserve">حضرت یوسف در تعبیر خود از خوابهای عزیز مصر، ماده گاوهای چاق و خوشه‏های سبز را، به سالهای فراوانی، و گاوهای لاغر و خوشه‏های خشک را به سالهای قحطی تعبیر کرد، و پس از تعبیر خواب به آنها بشارت داد که سال هشتم با برکت و فراوانی و بسیاری نعمت، فرا می‏رسد، و آنچه یوسف بیان داشت علمی بود که از ناحیه خداوند به او وحی شده بود.</w:t>
      </w:r>
    </w:p>
    <w:p>
      <w:pPr>
        <w:pStyle w:val="Heading6"/>
      </w:pPr>
      <w:bookmarkStart w:id="2454" w:name="_Toc1489"/>
      <w:r>
        <w:t>[سوره یوسف «12»: آیات 50 تا 52]</w:t>
      </w:r>
      <w:bookmarkEnd w:id="2454"/>
    </w:p>
    <w:p>
      <w:pPr>
        <w:pStyle w:val="Heading6"/>
      </w:pPr>
      <w:bookmarkStart w:id="2455" w:name="_Toc1490"/>
      <w:r>
        <w:t>اشاره</w:t>
      </w:r>
      <w:bookmarkEnd w:id="2455"/>
    </w:p>
    <w:p>
      <w:pPr>
        <w:pStyle w:val="BookText"/>
      </w:pPr>
      <w:r>
        <w:rPr>
          <w:rFonts w:ascii="Amiri" w:hAnsi="Amiri" w:eastAsia="Amiri" w:cs="Amiri"/>
          <w:lang w:bidi="ar-SA"/>
          <w:color w:val="111111"/>
          <w:sz w:val="28"/>
          <w:szCs w:val="28"/>
          <w:rtl/>
        </w:rPr>
        <w:t xml:space="preserve">وَ قالَ الْمَلِکُ ائْتُونِی بِهِ فَلَمَّا جاءَهُ الرَّسُولُ قالَ ارْجِعْ إِلی‏ رَبِّکَ فَسْئَلْهُ ما بالُ النِّسْوَةِ اللاَّتِی قَطَّعْنَ أَیْدِیَهُنَّ إِنَّ رَبِّی بِکَیْدِهِنَّ عَلِیمٌ «50» قالَ ما خَطْبُکُنَّ إِذْ راوَدْتُنَّ یُوسُفَ عَنْ نَفْسِهِ قُلْنَ حاشَ لِلَّهِ ما عَلِمْنا عَلَیْهِ مِنْ سُوءٍ قالَتِ امْرَأَةُ الْعَزِیزِ الْآنَ حَصْحَصَ الْحَقُّ أَنَا راوَدْتُهُ عَنْ نَفْسِهِ وَ إِنَّهُ لَمِنَ الصَّادِقِینَ «51» ذلِکَ لِیَعْلَمَ أَنِّی لَمْ أَخُنْهُ بِالْغَیْبِ وَ أَنَّ اللَّهَ لا یَهْدِی کَیْدَ الْخائِنِینَ «52»</w:t>
      </w:r>
    </w:p>
    <w:p>
      <w:pPr>
        <w:pStyle w:val="Heading6"/>
      </w:pPr>
      <w:bookmarkStart w:id="2456" w:name="_Toc1491"/>
      <w:r>
        <w:t>ترجمه:</w:t>
      </w:r>
      <w:bookmarkEnd w:id="2456"/>
    </w:p>
    <w:p>
      <w:pPr>
        <w:pStyle w:val="BookText"/>
      </w:pPr>
      <w:r>
        <w:rPr>
          <w:rFonts w:ascii="IRNazanin" w:hAnsi="IRNazanin" w:eastAsia="IRNazanin" w:cs="IRNazanin"/>
          <w:lang w:bidi="fa-IR"/>
          <w:color w:val="111111"/>
          <w:sz w:val="28"/>
          <w:szCs w:val="28"/>
          <w:rtl/>
        </w:rPr>
        <w:t xml:space="preserve">عزیز مصر گفت: او را نزد من بیاورید، اما وقتی که فرستاده او پیش یوسف آمد، گفت: بسوی اربابت برگرد و از او بپرس: ماجرای زنانی که دستهای خود را بریدند چه بود، زیرا پروردگار من به نیرنگ آنها آگاه است. «50»</w:t>
      </w:r>
    </w:p>
    <w:p>
      <w:pPr>
        <w:pStyle w:val="BookText"/>
      </w:pPr>
      <w:r>
        <w:rPr>
          <w:rFonts w:ascii="IRNazanin" w:hAnsi="IRNazanin" w:eastAsia="IRNazanin" w:cs="IRNazanin"/>
          <w:lang w:bidi="fa-IR"/>
          <w:color w:val="111111"/>
          <w:sz w:val="28"/>
          <w:szCs w:val="28"/>
          <w:rtl/>
        </w:rPr>
        <w:t xml:space="preserve">عزیز به زنها گفت: جریان کار شما وقتی که یوسف را به خویش دعوت کردید، چه بود؟ گفتند: منزّه است خدا، هیچ عیبی در او نیافتیم، همسر عزیز گفت: هم اکنون حقیقت آشکار شد: من بودم که او را بسوی خود خواندم، و او از راستگویان است. «51»</w:t>
      </w:r>
    </w:p>
    <w:p>
      <w:pPr>
        <w:pStyle w:val="BookText"/>
      </w:pPr>
      <w:r>
        <w:rPr>
          <w:rFonts w:ascii="IRNazanin" w:hAnsi="IRNazanin" w:eastAsia="IRNazanin" w:cs="IRNazanin"/>
          <w:lang w:bidi="fa-IR"/>
          <w:color w:val="111111"/>
          <w:sz w:val="28"/>
          <w:szCs w:val="28"/>
          <w:rtl/>
        </w:rPr>
        <w:t xml:space="preserve">[شماره صفحه واقعی : 217]
</w:t>
      </w:r>
    </w:p>
    <w:p>
      <w:pPr>
        <w:sectPr>
          <w:footerReference w:type="default" r:id="rId1316"/>
          <w:footnotePr>
            <w:numStart w:val="1"/>
            <w:numRestart w:val="eachPage"/>
          </w:footnotePr>
          <w:pgSz w:orient="portrait" w:w="11905.511811023622" w:h="16837.79527559055"/>
          <w:pgMar w:top="1440" w:right="1440" w:bottom="1440" w:left="1440" w:header="720" w:footer="720" w:gutter="0"/>
          <w:cols w:num="1" w:space="720"/>
        </w:sectPr>
      </w:pPr>
    </w:p>
    <w:bookmarkStart w:id="736" w:name="pg14411_143698"/>
    <w:bookmarkEnd w:id="736"/>
    <w:p>
      <w:pPr>
        <w:pStyle w:val="BookText"/>
      </w:pPr>
      <w:r>
        <w:rPr>
          <w:rFonts w:ascii="IRNazanin" w:hAnsi="IRNazanin" w:eastAsia="IRNazanin" w:cs="IRNazanin"/>
          <w:lang w:bidi="fa-IR"/>
          <w:color w:val="111111"/>
          <w:sz w:val="28"/>
          <w:szCs w:val="28"/>
          <w:rtl/>
        </w:rPr>
        <w:t xml:space="preserve">این سخن را بخاطر آن گفتم که بداند من در نهان به او خیانت نکردم، و خداوند نیرنگ خائنان را هدایت نمی‏کند.</w:t>
      </w:r>
    </w:p>
    <w:p>
      <w:pPr>
        <w:pStyle w:val="BookText"/>
      </w:pPr>
      <w:r>
        <w:rPr>
          <w:rFonts w:ascii="Times New Roman" w:hAnsi="Times New Roman" w:eastAsia="Times New Roman" w:cs="Times New Roman"/>
          <w:lang w:val="en-US" w:bidi="en-US"/>
          <w:color w:val="111111"/>
          <w:sz w:val="28"/>
          <w:szCs w:val="28"/>
          <w:rtl/>
        </w:rPr>
        <w:t xml:space="preserve">«52»</w:t>
      </w:r>
    </w:p>
    <w:p>
      <w:pPr>
        <w:pStyle w:val="Heading6"/>
      </w:pPr>
      <w:bookmarkStart w:id="2457" w:name="_Toc1492"/>
      <w:r>
        <w:t>تفسیر:</w:t>
      </w:r>
      <w:bookmarkEnd w:id="2457"/>
    </w:p>
    <w:p>
      <w:pPr>
        <w:pStyle w:val="BookText"/>
      </w:pPr>
      <w:r>
        <w:rPr>
          <w:rFonts w:ascii="IRNazanin" w:hAnsi="IRNazanin" w:eastAsia="IRNazanin" w:cs="IRNazanin"/>
          <w:lang w:bidi="fa-IR"/>
          <w:color w:val="111111"/>
          <w:sz w:val="28"/>
          <w:szCs w:val="28"/>
          <w:rtl/>
        </w:rPr>
        <w:t xml:space="preserve">یوسف علیه السّلام در پاسخ پرسش عزیز، حوصله به خرج داد، و قبل از همه، خود سؤالی در مورد آن زنان مطرح کرد تا ثابت کند تهمتی که به او زده و به سبب آن زندانی‏اش کرده‏اند، بناحق و نارواست، و از بزرگواری و ادب نیکوی وی بود که در خصوص زن عزیز که او را به مجازات و زندان گرفتار ساخته بود چیزی نگفت، بلکه به ذکر «زنانی که دستهایشان را بریده بودند» قناعت کرد.</w:t>
      </w:r>
    </w:p>
    <w:p>
      <w:pPr>
        <w:pStyle w:val="BookText"/>
      </w:pPr>
      <w:r>
        <w:rPr>
          <w:rFonts w:ascii="IRNazanin" w:hAnsi="IRNazanin" w:eastAsia="IRNazanin" w:cs="IRNazanin"/>
          <w:lang w:bidi="fa-IR"/>
          <w:color w:val="111111"/>
          <w:sz w:val="28"/>
          <w:szCs w:val="28"/>
          <w:rtl/>
        </w:rPr>
        <w:t xml:space="preserve">ما خَطْبُکُنَّ چه شده بود شما را که یوسف را به خود دعوت کردید، آیا تصور کردید که او به شما علاقه دارد؟ «قُلْنَ: حاشَ لِلَّهِ»: زنان این عبارت را به منظور تعجّب از پاکدامنی یوسف و دوری او از هر گونه شایبه ناپاکی اظهار کردند.</w:t>
      </w:r>
    </w:p>
    <w:p>
      <w:pPr>
        <w:pStyle w:val="BookText"/>
      </w:pPr>
      <w:r>
        <w:rPr>
          <w:rFonts w:ascii="Amiri" w:hAnsi="Amiri" w:eastAsia="Amiri" w:cs="Amiri"/>
          <w:lang w:bidi="ar-SA"/>
          <w:color w:val="111111"/>
          <w:sz w:val="28"/>
          <w:szCs w:val="28"/>
          <w:rtl/>
        </w:rPr>
        <w:t xml:space="preserve">الْآنَ حَصْحَصَ الْحَقُّ اکنون حق ثابت شد و استقرار یافت حصحص البعیر: شتر محلّ ثفنه‏ها را بر زمین نهاد و مرتّب نشست.</w:t>
      </w:r>
    </w:p>
    <w:p>
      <w:pPr>
        <w:pStyle w:val="BookText"/>
      </w:pPr>
      <w:r>
        <w:rPr>
          <w:rFonts w:ascii="IRNazanin" w:hAnsi="IRNazanin" w:eastAsia="IRNazanin" w:cs="IRNazanin"/>
          <w:lang w:bidi="fa-IR"/>
          <w:color w:val="111111"/>
          <w:sz w:val="28"/>
          <w:szCs w:val="28"/>
          <w:rtl/>
        </w:rPr>
        <w:t xml:space="preserve">در مقام اثبات پاکدامنی یوسف همین کافی است که زنان به پاکدامنی او، و علیه خودشان گواهی دهند و اعتراف کنند که او هیچ کدام از خلافهایی را که به او نسبت داده‏اند انجام نداده، زیرا آنها خصم او بودند و معمولا همین که خصم اعتراف کند که طرف مقابلش بر حق و خود بر باطل است، جای سخن برای کسی نمی‏ماند.</w:t>
      </w:r>
    </w:p>
    <w:p>
      <w:pPr>
        <w:pStyle w:val="BookText"/>
      </w:pPr>
      <w:r>
        <w:rPr>
          <w:rFonts w:ascii="IRNazanin" w:hAnsi="IRNazanin" w:eastAsia="IRNazanin" w:cs="IRNazanin"/>
          <w:lang w:bidi="fa-IR"/>
          <w:color w:val="111111"/>
          <w:sz w:val="28"/>
          <w:szCs w:val="28"/>
          <w:rtl/>
        </w:rPr>
        <w:t xml:space="preserve">ذلِکَ این اقرار بدان سبب بود که عزیز بداند من در نهان به حرم او خیانتی نکرده‏ام.</w:t>
      </w:r>
    </w:p>
    <w:p>
      <w:pPr>
        <w:pStyle w:val="BookText"/>
      </w:pPr>
      <w:r>
        <w:rPr>
          <w:rFonts w:ascii="IRNazanin" w:hAnsi="IRNazanin" w:eastAsia="IRNazanin" w:cs="IRNazanin"/>
          <w:lang w:bidi="fa-IR"/>
          <w:color w:val="111111"/>
          <w:sz w:val="28"/>
          <w:szCs w:val="28"/>
          <w:rtl/>
        </w:rPr>
        <w:t xml:space="preserve">[شماره صفحه واقعی : 218]
</w:t>
      </w:r>
    </w:p>
    <w:p>
      <w:pPr>
        <w:sectPr>
          <w:footerReference w:type="default" r:id="rId1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بِالْغَیْبِ در محل نصب و حال است از فاعل یا از مفعول: در حالی که من از او غایب باشم، یا او از من غایب باشد، و نیز به این جهت بود که بداند «خداوند، کید و مکر خیانتکاران را به هدف نمی‏رساند».</w:t>
      </w:r>
    </w:p>
    <w:p>
      <w:pPr>
        <w:pStyle w:val="BookText"/>
      </w:pPr>
      <w:r>
        <w:rPr>
          <w:rFonts w:ascii="IRNazanin" w:hAnsi="IRNazanin" w:eastAsia="IRNazanin" w:cs="IRNazanin"/>
          <w:lang w:bidi="fa-IR"/>
          <w:color w:val="111111"/>
          <w:sz w:val="28"/>
          <w:szCs w:val="28"/>
          <w:rtl/>
        </w:rPr>
        <w:t xml:space="preserve">[شماره صفحه واقعی : 219]
</w:t>
      </w:r>
    </w:p>
    <w:p>
      <w:pPr>
        <w:sectPr>
          <w:footerReference w:type="default" r:id="rId1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220]
</w:t>
      </w:r>
    </w:p>
    <w:p>
      <w:pPr>
        <w:sectPr>
          <w:footerReference w:type="default" r:id="rId1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جزء سیزدهم از سوره یوسف آیه 53 تا سوره ابراهیم آیه 52</w:t>
      </w:r>
    </w:p>
    <w:p>
      <w:pPr>
        <w:pStyle w:val="BookText"/>
      </w:pPr>
      <w:r>
        <w:rPr>
          <w:rFonts w:ascii="IRNazanin" w:hAnsi="IRNazanin" w:eastAsia="IRNazanin" w:cs="IRNazanin"/>
          <w:lang w:bidi="fa-IR"/>
          <w:color w:val="111111"/>
          <w:sz w:val="28"/>
          <w:szCs w:val="28"/>
          <w:rtl/>
        </w:rPr>
        <w:t xml:space="preserve">[شماره صفحه واقعی : 221]
</w:t>
      </w:r>
    </w:p>
    <w:p>
      <w:pPr>
        <w:sectPr>
          <w:footerReference w:type="default" r:id="rId1320"/>
          <w:footnotePr>
            <w:numStart w:val="1"/>
            <w:numRestart w:val="eachPage"/>
          </w:footnotePr>
          <w:pgSz w:orient="portrait" w:w="11905.511811023622" w:h="16837.79527559055"/>
          <w:pgMar w:top="1440" w:right="1440" w:bottom="1440" w:left="1440" w:header="720" w:footer="720" w:gutter="0"/>
          <w:cols w:num="1" w:space="720"/>
        </w:sectPr>
      </w:pPr>
    </w:p>
    <w:bookmarkStart w:id="737" w:name="pg14411_143702"/>
    <w:bookmarkEnd w:id="737"/>
    <w:p>
      <w:pPr>
        <w:pStyle w:val="Heading6"/>
      </w:pPr>
      <w:bookmarkStart w:id="2458" w:name="_Toc1493"/>
      <w:r>
        <w:t>[سوره یوسف «12»: آیات 53 تا 57]</w:t>
      </w:r>
      <w:bookmarkEnd w:id="2458"/>
    </w:p>
    <w:p>
      <w:pPr>
        <w:pStyle w:val="Heading6"/>
      </w:pPr>
      <w:bookmarkStart w:id="2459" w:name="_Toc1494"/>
      <w:r>
        <w:t>اشاره</w:t>
      </w:r>
      <w:bookmarkEnd w:id="2459"/>
    </w:p>
    <w:p>
      <w:pPr>
        <w:pStyle w:val="BookText"/>
      </w:pPr>
      <w:r>
        <w:rPr>
          <w:rFonts w:ascii="Amiri" w:hAnsi="Amiri" w:eastAsia="Amiri" w:cs="Amiri"/>
          <w:lang w:bidi="ar-SA"/>
          <w:color w:val="111111"/>
          <w:sz w:val="28"/>
          <w:szCs w:val="28"/>
          <w:rtl/>
        </w:rPr>
        <w:t xml:space="preserve">وَ ما أُبَرِّئُ نَفْسِی إِنَّ النَّفْسَ لَأَمَّارَةٌ بِالسُّوءِ إِلاَّ ما رَحِمَ رَبِّی إِنَّ رَبِّی غَفُورٌ رَحِیمٌ «53» وَ قالَ الْمَلِکُ ائْتُونِی بِهِ أَسْتَخْلِصْهُ لِنَفْسِی فَلَمَّا کَلَّمَهُ قالَ إِنَّکَ الْیَوْمَ لَدَیْنا مَکِینٌ أَمِینٌ «54» قالَ اجْعَلْنِی عَلی‏ خَزائِنِ الْأَرْضِ إِنِّی حَفِیظٌ عَلِیمٌ «55» وَ کَذلِکَ مَکَّنَّا لِیُوسُفَ فِی الْأَرْضِ یَتَبَوَّأُ مِنْها حَیْثُ یَشاءُ نُصِیبُ بِرَحْمَتِنا مَنْ نَشاءُ وَ لا نُضِیعُ أَجْرَ الْمُحْسِنِینَ «56» وَ لَأَجْرُ الْآخِرَةِ خَیْرٌ لِلَّذِینَ آمَنُوا وَ کانُوا یَتَّقُونَ «57»</w:t>
      </w:r>
    </w:p>
    <w:p>
      <w:pPr>
        <w:pStyle w:val="Heading6"/>
      </w:pPr>
      <w:bookmarkStart w:id="2460" w:name="_Toc1495"/>
      <w:r>
        <w:t>ترجمه:</w:t>
      </w:r>
      <w:bookmarkEnd w:id="2460"/>
    </w:p>
    <w:p>
      <w:pPr>
        <w:pStyle w:val="BookText"/>
      </w:pPr>
      <w:r>
        <w:rPr>
          <w:rFonts w:ascii="IRNazanin" w:hAnsi="IRNazanin" w:eastAsia="IRNazanin" w:cs="IRNazanin"/>
          <w:lang w:bidi="fa-IR"/>
          <w:color w:val="111111"/>
          <w:sz w:val="28"/>
          <w:szCs w:val="28"/>
          <w:rtl/>
        </w:rPr>
        <w:t xml:space="preserve">من هرگز نفس خود را تبرئه نمی‏کنم که قوّه نفسانی، بسیار دستور به بدیها می‏دهد، مگر آنچه را که پروردگارم رحم کند، چرا که پروردگارم بسیار بخشنده و مهربان است. «53»</w:t>
      </w:r>
    </w:p>
    <w:p>
      <w:pPr>
        <w:pStyle w:val="BookText"/>
      </w:pPr>
      <w:r>
        <w:rPr>
          <w:rFonts w:ascii="IRNazanin" w:hAnsi="IRNazanin" w:eastAsia="IRNazanin" w:cs="IRNazanin"/>
          <w:lang w:bidi="fa-IR"/>
          <w:color w:val="111111"/>
          <w:sz w:val="28"/>
          <w:szCs w:val="28"/>
          <w:rtl/>
        </w:rPr>
        <w:t xml:space="preserve">عزیز گفت: او را نزد من آورید تا وی را برای خود برگزینم، و چون با او تکلم کرد گفت امروز تو در پیش ما دارای منزلت و امین هستی. «54»</w:t>
      </w:r>
    </w:p>
    <w:p>
      <w:pPr>
        <w:pStyle w:val="BookText"/>
      </w:pPr>
      <w:r>
        <w:rPr>
          <w:rFonts w:ascii="IRNazanin" w:hAnsi="IRNazanin" w:eastAsia="IRNazanin" w:cs="IRNazanin"/>
          <w:lang w:bidi="fa-IR"/>
          <w:color w:val="111111"/>
          <w:sz w:val="28"/>
          <w:szCs w:val="28"/>
          <w:rtl/>
        </w:rPr>
        <w:t xml:space="preserve">یوسف گفت مرا به خزینه‏های این سرزمین منصوب کن که من نگهبان و دانایم. «55»</w:t>
      </w:r>
    </w:p>
    <w:p>
      <w:pPr>
        <w:pStyle w:val="BookText"/>
      </w:pPr>
      <w:r>
        <w:rPr>
          <w:rFonts w:ascii="IRNazanin" w:hAnsi="IRNazanin" w:eastAsia="IRNazanin" w:cs="IRNazanin"/>
          <w:lang w:bidi="fa-IR"/>
          <w:color w:val="111111"/>
          <w:sz w:val="28"/>
          <w:szCs w:val="28"/>
          <w:rtl/>
        </w:rPr>
        <w:t xml:space="preserve">و این چنین ما یوسف را در آن سرزمین قدرت دادیم تا به هر گونه خواهد در کارها تصرف کند، و ما هر که را بخواهیم به رحمت خویش مخصوص داریم و پاداش نیکوکاران را تباه نکنیم. «56»</w:t>
      </w:r>
    </w:p>
    <w:p>
      <w:pPr>
        <w:pStyle w:val="BookText"/>
      </w:pPr>
      <w:r>
        <w:rPr>
          <w:rFonts w:ascii="IRNazanin" w:hAnsi="IRNazanin" w:eastAsia="IRNazanin" w:cs="IRNazanin"/>
          <w:lang w:bidi="fa-IR"/>
          <w:color w:val="111111"/>
          <w:sz w:val="28"/>
          <w:szCs w:val="28"/>
          <w:rtl/>
        </w:rPr>
        <w:t xml:space="preserve">[شماره صفحه واقعی : 222]
</w:t>
      </w:r>
    </w:p>
    <w:p>
      <w:pPr>
        <w:sectPr>
          <w:footerReference w:type="default" r:id="rId1321"/>
          <w:footnotePr>
            <w:numStart w:val="1"/>
            <w:numRestart w:val="eachPage"/>
          </w:footnotePr>
          <w:pgSz w:orient="portrait" w:w="11905.511811023622" w:h="16837.79527559055"/>
          <w:pgMar w:top="1440" w:right="1440" w:bottom="1440" w:left="1440" w:header="720" w:footer="720" w:gutter="0"/>
          <w:cols w:num="1" w:space="720"/>
        </w:sectPr>
      </w:pPr>
    </w:p>
    <w:bookmarkStart w:id="738" w:name="pg14411_143703"/>
    <w:bookmarkEnd w:id="738"/>
    <w:p>
      <w:pPr>
        <w:pStyle w:val="BookText"/>
      </w:pPr>
      <w:r>
        <w:rPr>
          <w:rFonts w:ascii="IRNazanin" w:hAnsi="IRNazanin" w:eastAsia="IRNazanin" w:cs="IRNazanin"/>
          <w:lang w:bidi="fa-IR"/>
          <w:color w:val="111111"/>
          <w:sz w:val="28"/>
          <w:szCs w:val="28"/>
          <w:rtl/>
        </w:rPr>
        <w:t xml:space="preserve">و همانا که پاداش آخرت بهتر است برای آنها که ایمان آوردند و تقوی پیشه می‏کنند. «57»</w:t>
      </w:r>
    </w:p>
    <w:p>
      <w:pPr>
        <w:pStyle w:val="Heading6"/>
      </w:pPr>
      <w:bookmarkStart w:id="2461" w:name="_Toc1496"/>
      <w:r>
        <w:t>تفسیر:</w:t>
      </w:r>
      <w:bookmarkEnd w:id="2461"/>
    </w:p>
    <w:p>
      <w:pPr>
        <w:pStyle w:val="BookText"/>
      </w:pPr>
      <w:r>
        <w:rPr>
          <w:rFonts w:ascii="IRNazanin" w:hAnsi="IRNazanin" w:eastAsia="IRNazanin" w:cs="IRNazanin"/>
          <w:lang w:bidi="fa-IR"/>
          <w:color w:val="111111"/>
          <w:sz w:val="28"/>
          <w:szCs w:val="28"/>
          <w:rtl/>
        </w:rPr>
        <w:t xml:space="preserve">وَ ما أُبَرِّئُ نَفْسِی سرانجام یوسف فروتنی خود را در پیشگاه خدا اظهار می‏دارد و بیان می‏کند که آنچه از امانت داری در وجود اوست از توفیق و کمک خداوندی می‏باشد: من نفس خویش را از لغزش و خطا تبرئه نمی‏کنم زیرا اصولا نفس بسیار به بدی امر می‏کند، مگر بعضی از نفوس را که خداوند به خاطر عصمتی که به او بخشیده او را مورد رحمت خود قرار می‏دهد. بنا بر این مراد از «نفس» جنس و مراد از «ما» بعض می‏باشد. می‏توان گفت: مراد از «ما» زمان است: مگر در موقع رحمت پروردگارم، بعضی گفته‏اند این سخن نیز از همسر عزیز است: آنچه گفتم برای این بود که یوسف بداند که من در پنهانی به او دروغ نگفتم و درباره آنچه از او سؤال شدم راست گفتم، امّا در عین حال خودم را از خیانت به او تبرئه نمی‏کنم زیرا هنگامی که به او نسبت زنا دادم و زندانی‏اش کردم به او خیانت کردم، و منظورش معذرت خواهی از کارهایی است که انجام داده بود.</w:t>
      </w:r>
    </w:p>
    <w:p>
      <w:pPr>
        <w:pStyle w:val="BookText"/>
      </w:pPr>
      <w:r>
        <w:rPr>
          <w:rFonts w:ascii="IRNazanin" w:hAnsi="IRNazanin" w:eastAsia="IRNazanin" w:cs="IRNazanin"/>
          <w:lang w:bidi="fa-IR"/>
          <w:color w:val="111111"/>
          <w:sz w:val="28"/>
          <w:szCs w:val="28"/>
          <w:rtl/>
        </w:rPr>
        <w:t xml:space="preserve">استخلصه و استخصه به یک معناست: این که او را مخصوص خود قرار دهد و در تدبیر امور خود به او مراجعه کند.</w:t>
      </w:r>
    </w:p>
    <w:p>
      <w:pPr>
        <w:pStyle w:val="BookText"/>
      </w:pPr>
      <w:r>
        <w:rPr>
          <w:rFonts w:ascii="IRNazanin" w:hAnsi="IRNazanin" w:eastAsia="IRNazanin" w:cs="IRNazanin"/>
          <w:lang w:bidi="fa-IR"/>
          <w:color w:val="111111"/>
          <w:sz w:val="28"/>
          <w:szCs w:val="28"/>
          <w:rtl/>
        </w:rPr>
        <w:t xml:space="preserve">فَلَمَّا کَلَّمَهُ وقتی با او سخن گفت و به فضائل و امانت‏داری او پی برد، زیرا از سخنان او به دانایی‏اش و از پاکدامنی او به امانت‏داری‏اش پی برد. قالَ إِنَّکَ الْیَوْمَ گفت: تو ای کسی که بسیار راستگویی هم اکنون در نزد ما، صاحب قدرت و مقامی و تو را در تمام امور، امین می‏دانیم، و سپس گفت من دوست دارم که خوابم را از زبان تو بشنوم. یوسف گفت: بسیار خوب. تو در خواب هفت گاو ماده را با این اوصاف دیدی و اوصاف آنها و خوشه‏هایی را که دیده بود هم چنان بیان کرد، و سپس گفت: با این خوابی که دیده‏ای باید غلّات فراوان جمع کنی و در این سالهای</w:t>
      </w:r>
    </w:p>
    <w:p>
      <w:pPr>
        <w:pStyle w:val="BookText"/>
      </w:pPr>
      <w:r>
        <w:rPr>
          <w:rFonts w:ascii="IRNazanin" w:hAnsi="IRNazanin" w:eastAsia="IRNazanin" w:cs="IRNazanin"/>
          <w:lang w:bidi="fa-IR"/>
          <w:color w:val="111111"/>
          <w:sz w:val="28"/>
          <w:szCs w:val="28"/>
          <w:rtl/>
        </w:rPr>
        <w:t xml:space="preserve">[شماره صفحه واقعی : 223]
</w:t>
      </w:r>
    </w:p>
    <w:p>
      <w:pPr>
        <w:sectPr>
          <w:footerReference w:type="default" r:id="rId1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فراوانی کشت و زرع را گسترش دهی و انبارها بسازی تا مردم از اطراف به سوی تو آیند و از تو قوت و غذایشان را بگیرند، و از راه خریدن آذوقه، در نزد تو ثروتهایی گرد خواهد آمد که تا کنون برای هیچ پادشاهی جمع نشده است، عزیز گفت در این کار چه کسی به من کمک می‏کند؟ یوسف گفت: «اجْعَلْنِی» ...،: انبارها و تمام مخازن که در روی زمین داری به من واگذار کن، «إِنِّی حَفِیظٌ» زیرا هر چه را در اختیار من می‏گذاری- از دستبرد خیانت محافظت می‏کنم، و به جهات نگهداری آن کمال آگاهی را دارم. یوسف با بیانات خود، برای عزیز، خود را به دو صفت: امانت و کفایت که هر پادشاهی از والیان خود آنها را می‏خواهد، توصیف کرد.</w:t>
      </w:r>
    </w:p>
    <w:p>
      <w:pPr>
        <w:pStyle w:val="BookText"/>
      </w:pPr>
      <w:r>
        <w:rPr>
          <w:rFonts w:ascii="IRNazanin" w:hAnsi="IRNazanin" w:eastAsia="IRNazanin" w:cs="IRNazanin"/>
          <w:lang w:bidi="fa-IR"/>
          <w:color w:val="111111"/>
          <w:sz w:val="28"/>
          <w:szCs w:val="28"/>
          <w:rtl/>
        </w:rPr>
        <w:t xml:space="preserve">یوسف از عزیز خواست که او را صاحب اختیار در این امور قرار دهد، تا از این طریق بتواند به اجرای احکام الهی و گسترش عدل دست یابد و حقوق را به اهلش برساند و دستوراتی را که خداوند به عنوان پیامبر و پیشوا به او محوّل فرموده به مرحله اجرا در آورد، و نیز می‏دانست که غیر او نمی‏تواند در این امر جای او را بگیرد.</w:t>
      </w:r>
    </w:p>
    <w:p>
      <w:pPr>
        <w:pStyle w:val="BookText"/>
      </w:pPr>
      <w:r>
        <w:rPr>
          <w:rFonts w:ascii="IRNazanin" w:hAnsi="IRNazanin" w:eastAsia="IRNazanin" w:cs="IRNazanin"/>
          <w:lang w:bidi="fa-IR"/>
          <w:color w:val="111111"/>
          <w:sz w:val="28"/>
          <w:szCs w:val="28"/>
          <w:rtl/>
        </w:rPr>
        <w:t xml:space="preserve">این که یوسف پیامبر، مقام وزارت عزیز مصر را می‏پذیرد، نشان دهنده آن است که هر گاه انسان بداند که می‏تواند احکام دین را اجرا کند و حق را برقرار سازد، بدست گرفتن منصب قضاوت از سوی سلطان ستمگر جایز است، بعضی گفته‏اند:</w:t>
      </w:r>
    </w:p>
    <w:p>
      <w:pPr>
        <w:pStyle w:val="BookText"/>
      </w:pPr>
      <w:r>
        <w:rPr>
          <w:rFonts w:ascii="IRNazanin" w:hAnsi="IRNazanin" w:eastAsia="IRNazanin" w:cs="IRNazanin"/>
          <w:lang w:bidi="fa-IR"/>
          <w:color w:val="111111"/>
          <w:sz w:val="28"/>
          <w:szCs w:val="28"/>
          <w:rtl/>
        </w:rPr>
        <w:t xml:space="preserve">پادشاه مصر در تمام احکام و فرمانهایش از یوسف تبعیت می‏کرد و هر گونه رأیی که وی می‏داد، هیچ اعتراضی بر او نمی‏کرد.</w:t>
      </w:r>
    </w:p>
    <w:p>
      <w:pPr>
        <w:pStyle w:val="BookText"/>
      </w:pPr>
      <w:r>
        <w:rPr>
          <w:rFonts w:ascii="IRNazanin" w:hAnsi="IRNazanin" w:eastAsia="IRNazanin" w:cs="IRNazanin"/>
          <w:lang w:bidi="fa-IR"/>
          <w:color w:val="111111"/>
          <w:sz w:val="28"/>
          <w:szCs w:val="28"/>
          <w:rtl/>
        </w:rPr>
        <w:t xml:space="preserve">«وَ کَذلِکَ» این چنین به یوسف در سرزمین مصر قدرت دادیم تا این که «یَتَبَوَّأُ مِنْها حَیْثُ یَشاءُ» هر جایی را که می‏خواست منزل و مأوا بگیرد مانعی وجود نداشت زیرا بر تمام جهات تسلّط و دسترسی داشت. «یشاء» نشاء با نون، نیز خوانده شده است.</w:t>
      </w:r>
    </w:p>
    <w:p>
      <w:pPr>
        <w:pStyle w:val="BookText"/>
      </w:pPr>
      <w:r>
        <w:rPr>
          <w:rFonts w:ascii="IRNazanin" w:hAnsi="IRNazanin" w:eastAsia="IRNazanin" w:cs="IRNazanin"/>
          <w:lang w:bidi="fa-IR"/>
          <w:color w:val="111111"/>
          <w:sz w:val="28"/>
          <w:szCs w:val="28"/>
          <w:rtl/>
        </w:rPr>
        <w:t xml:space="preserve">نُصِیبُ بِرَحْمَتِنا ما هر که را بخواهیم با بخششهای دینی و دنیایی مورد ترحمقرار می‏دهیم و پاداش نیکوکاران را در دنیا ضایع نمی‏کنیم، همانا پاداش سرای دیگر برای آنها نیکوتر است.</w:t>
      </w:r>
    </w:p>
    <w:p>
      <w:pPr>
        <w:pStyle w:val="BookText"/>
      </w:pPr>
      <w:r>
        <w:rPr>
          <w:rFonts w:ascii="IRNazanin" w:hAnsi="IRNazanin" w:eastAsia="IRNazanin" w:cs="IRNazanin"/>
          <w:lang w:bidi="fa-IR"/>
          <w:color w:val="111111"/>
          <w:sz w:val="28"/>
          <w:szCs w:val="28"/>
          <w:rtl/>
        </w:rPr>
        <w:t xml:space="preserve">[شماره صفحه واقعی : 224]
</w:t>
      </w:r>
    </w:p>
    <w:p>
      <w:pPr>
        <w:sectPr>
          <w:footerReference w:type="default" r:id="rId1323"/>
          <w:footnotePr>
            <w:numStart w:val="1"/>
            <w:numRestart w:val="eachPage"/>
          </w:footnotePr>
          <w:pgSz w:orient="portrait" w:w="11905.511811023622" w:h="16837.79527559055"/>
          <w:pgMar w:top="1440" w:right="1440" w:bottom="1440" w:left="1440" w:header="720" w:footer="720" w:gutter="0"/>
          <w:cols w:num="1" w:space="720"/>
        </w:sectPr>
      </w:pPr>
    </w:p>
    <w:bookmarkStart w:id="739" w:name="pg14411_143705"/>
    <w:bookmarkEnd w:id="739"/>
    <w:p>
      <w:pPr>
        <w:pStyle w:val="Heading6"/>
      </w:pPr>
      <w:bookmarkStart w:id="2462" w:name="_Toc1497"/>
      <w:r>
        <w:t>[سوره یوسف «12»: آیات 58 تا 62]</w:t>
      </w:r>
      <w:bookmarkEnd w:id="2462"/>
    </w:p>
    <w:p>
      <w:pPr>
        <w:pStyle w:val="Heading6"/>
      </w:pPr>
      <w:bookmarkStart w:id="2463" w:name="_Toc1498"/>
      <w:r>
        <w:t>اشاره</w:t>
      </w:r>
      <w:bookmarkEnd w:id="2463"/>
    </w:p>
    <w:p>
      <w:pPr>
        <w:pStyle w:val="BookText"/>
      </w:pPr>
      <w:r>
        <w:rPr>
          <w:rFonts w:ascii="Amiri" w:hAnsi="Amiri" w:eastAsia="Amiri" w:cs="Amiri"/>
          <w:lang w:bidi="ar-SA"/>
          <w:color w:val="111111"/>
          <w:sz w:val="28"/>
          <w:szCs w:val="28"/>
          <w:rtl/>
        </w:rPr>
        <w:t xml:space="preserve">وَ جاءَ إِخْوَةُ یُوسُفَ فَدَخَلُوا عَلَیْهِ فَعَرَفَهُمْ وَ هُمْ لَهُ مُنْکِرُونَ «58» وَ لَمَّا جَهَّزَهُمْ بِجَهازِهِمْ قالَ ائْتُونِی بِأَخٍ لَکُمْ مِنْ أَبِیکُمْ أَ لا تَرَوْنَ أَنِّی أُوفِی الْکَیْلَ وَ أَنَا خَیْرُ الْمُنْزِلِینَ «59» فَإِنْ لَمْ تَأْتُونِی بِهِ فَلا کَیْلَ لَکُمْ عِنْدِی وَ لا تَقْرَبُونِ «60» قالُوا سَنُراوِدُ عَنْهُ أَباهُ وَ إِنَّا لَفاعِلُونَ «61» وَ قالَ لِفِتْیانِهِ اجْعَلُوا بِضاعَتَهُمْ فِی رِحالِهِمْ لَعَلَّهُمْ یَعْرِفُونَها إِذَا انْقَلَبُوا إِلی‏ أَهْلِهِمْ لَعَلَّهُمْ یَرْجِعُونَ «62»</w:t>
      </w:r>
    </w:p>
    <w:p>
      <w:pPr>
        <w:pStyle w:val="Heading6"/>
      </w:pPr>
      <w:bookmarkStart w:id="2464" w:name="_Toc1499"/>
      <w:r>
        <w:t>ترجمه:</w:t>
      </w:r>
      <w:bookmarkEnd w:id="2464"/>
    </w:p>
    <w:p>
      <w:pPr>
        <w:pStyle w:val="BookText"/>
      </w:pPr>
      <w:r>
        <w:rPr>
          <w:rFonts w:ascii="IRNazanin" w:hAnsi="IRNazanin" w:eastAsia="IRNazanin" w:cs="IRNazanin"/>
          <w:lang w:bidi="fa-IR"/>
          <w:color w:val="111111"/>
          <w:sz w:val="28"/>
          <w:szCs w:val="28"/>
          <w:rtl/>
        </w:rPr>
        <w:t xml:space="preserve">برادران یوسف آمدند، و بر او وارد شدند، یوسف آنها را شناخت ولی آنان وی را نشناختند. «58»</w:t>
      </w:r>
    </w:p>
    <w:p>
      <w:pPr>
        <w:pStyle w:val="BookText"/>
      </w:pPr>
      <w:r>
        <w:rPr>
          <w:rFonts w:ascii="IRNazanin" w:hAnsi="IRNazanin" w:eastAsia="IRNazanin" w:cs="IRNazanin"/>
          <w:lang w:bidi="fa-IR"/>
          <w:color w:val="111111"/>
          <w:sz w:val="28"/>
          <w:szCs w:val="28"/>
          <w:rtl/>
        </w:rPr>
        <w:t xml:space="preserve">موقعی که بار آنها را آماده ساخت به آنها گفت (بار دیگر که آمدید) برادر دیگرتان را که از پدر دارید، پیش من بیاورید، آیا نمی‏بینید که من حقّ پیمانه را ادا می‏کنم و من بهترین میزبانانم. «59»</w:t>
      </w:r>
    </w:p>
    <w:p>
      <w:pPr>
        <w:pStyle w:val="BookText"/>
      </w:pPr>
      <w:r>
        <w:rPr>
          <w:rFonts w:ascii="IRNazanin" w:hAnsi="IRNazanin" w:eastAsia="IRNazanin" w:cs="IRNazanin"/>
          <w:lang w:bidi="fa-IR"/>
          <w:color w:val="111111"/>
          <w:sz w:val="28"/>
          <w:szCs w:val="28"/>
          <w:rtl/>
        </w:rPr>
        <w:t xml:space="preserve">و اگر او را نزد من نیاوردید، نه پیمانه‏ای (از غلّه) پیش من دارید و نه به من نزدیک خواهید شد. «60»</w:t>
      </w:r>
    </w:p>
    <w:p>
      <w:pPr>
        <w:pStyle w:val="BookText"/>
      </w:pPr>
      <w:r>
        <w:rPr>
          <w:rFonts w:ascii="IRNazanin" w:hAnsi="IRNazanin" w:eastAsia="IRNazanin" w:cs="IRNazanin"/>
          <w:lang w:bidi="fa-IR"/>
          <w:color w:val="111111"/>
          <w:sz w:val="28"/>
          <w:szCs w:val="28"/>
          <w:rtl/>
        </w:rPr>
        <w:t xml:space="preserve">آنها گفتند با پدرش در این باره گفتگو خواهیم کرد، حتما این کار را انجام می‏دهیم. «61»</w:t>
      </w:r>
    </w:p>
    <w:p>
      <w:pPr>
        <w:pStyle w:val="BookText"/>
      </w:pPr>
      <w:r>
        <w:rPr>
          <w:rFonts w:ascii="IRNazanin" w:hAnsi="IRNazanin" w:eastAsia="IRNazanin" w:cs="IRNazanin"/>
          <w:lang w:bidi="fa-IR"/>
          <w:color w:val="111111"/>
          <w:sz w:val="28"/>
          <w:szCs w:val="28"/>
          <w:rtl/>
        </w:rPr>
        <w:t xml:space="preserve">یوسف به کارگزاران خود گفت: آنچه را به عنوان بها پرداخته‏اند در میان بارهایشان بگذارید شاید وقتی که به خانه خویش برگشتند آن را بشناسند، و شاید باز آیند. «62»</w:t>
      </w:r>
    </w:p>
    <w:p>
      <w:pPr>
        <w:pStyle w:val="Heading6"/>
      </w:pPr>
      <w:bookmarkStart w:id="2465" w:name="_Toc1500"/>
      <w:r>
        <w:t>تفسیر:</w:t>
      </w:r>
      <w:bookmarkEnd w:id="2465"/>
    </w:p>
    <w:p>
      <w:pPr>
        <w:pStyle w:val="BookText"/>
      </w:pPr>
      <w:r>
        <w:rPr>
          <w:rFonts w:ascii="IRNazanin" w:hAnsi="IRNazanin" w:eastAsia="IRNazanin" w:cs="IRNazanin"/>
          <w:lang w:bidi="fa-IR"/>
          <w:color w:val="111111"/>
          <w:sz w:val="28"/>
          <w:szCs w:val="28"/>
          <w:rtl/>
        </w:rPr>
        <w:t xml:space="preserve">وقتی یوسف در مصر به قدرت رسید و مردم دچار قحطی شدند، جناب یعقوب فرزندان خود را جمع کرد و به آنها گفت: به من خبر رسیده است که در مصر، غلّه</w:t>
      </w:r>
    </w:p>
    <w:p>
      <w:pPr>
        <w:pStyle w:val="BookText"/>
      </w:pPr>
      <w:r>
        <w:rPr>
          <w:rFonts w:ascii="IRNazanin" w:hAnsi="IRNazanin" w:eastAsia="IRNazanin" w:cs="IRNazanin"/>
          <w:lang w:bidi="fa-IR"/>
          <w:color w:val="111111"/>
          <w:sz w:val="28"/>
          <w:szCs w:val="28"/>
          <w:rtl/>
        </w:rPr>
        <w:t xml:space="preserve">[شماره صفحه واقعی : 225]
</w:t>
      </w:r>
    </w:p>
    <w:p>
      <w:pPr>
        <w:sectPr>
          <w:footerReference w:type="default" r:id="rId1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فروش می‏شود و کسی که به این کار دست می‏زند، مرد نیکوکاری است، شما آنجا بروید، آذوقه بخرید و بیاورید. فرزندان یعقوب زاد و توشه فراهم کردند و به آن سوی روان شدند، تا به مصر رسیدند هنگامی که به نزد یوسف آمدند، وی آنها را شناخت، زیرا تمام توجّهش به آنها و شناختن آنها بود، اما ایشان او را نشناختند، چون مدتها او را ندیده و معتقد بودند که از دنیا رفته است.</w:t>
      </w:r>
    </w:p>
    <w:p>
      <w:pPr>
        <w:pStyle w:val="BookText"/>
      </w:pPr>
      <w:r>
        <w:rPr>
          <w:rFonts w:ascii="IRNazanin" w:hAnsi="IRNazanin" w:eastAsia="IRNazanin" w:cs="IRNazanin"/>
          <w:lang w:bidi="fa-IR"/>
          <w:color w:val="111111"/>
          <w:sz w:val="28"/>
          <w:szCs w:val="28"/>
          <w:rtl/>
        </w:rPr>
        <w:t xml:space="preserve">وَ لَمَّا جَهَّزَهُمْ بِجَهازِهِمْ وقتی آنها را آماده ساخت و مرکبهایشان را از آذوقه‏ها به اندازه‏ای که درخواست کرده بودند بار کرد گفت: برادر دیگرتان را که از پدر دارید باید پیش من آورید. اینک قضیه‏ای را که پیش از این موضوع اتفاق افتاد نقل می‏کنیم: روایت شده که وقتی یوسف برادران خود را دید گفت: شما، که هستید؟</w:t>
      </w:r>
    </w:p>
    <w:p>
      <w:pPr>
        <w:pStyle w:val="BookText"/>
      </w:pPr>
      <w:r>
        <w:rPr>
          <w:rFonts w:ascii="IRNazanin" w:hAnsi="IRNazanin" w:eastAsia="IRNazanin" w:cs="IRNazanin"/>
          <w:lang w:bidi="fa-IR"/>
          <w:color w:val="111111"/>
          <w:sz w:val="28"/>
          <w:szCs w:val="28"/>
          <w:rtl/>
        </w:rPr>
        <w:t xml:space="preserve">گفتند: ما، ده نفر برادریم و پدرمان یکی از پیامبران الهی، یعقوب است، ما در اوّل دوازده برادر بودیم یکی از ما از دنیا رفت، یوسف گفت پس یازدهمین کجاست؟</w:t>
      </w:r>
    </w:p>
    <w:p>
      <w:pPr>
        <w:pStyle w:val="BookText"/>
      </w:pPr>
      <w:r>
        <w:rPr>
          <w:rFonts w:ascii="IRNazanin" w:hAnsi="IRNazanin" w:eastAsia="IRNazanin" w:cs="IRNazanin"/>
          <w:lang w:bidi="fa-IR"/>
          <w:color w:val="111111"/>
          <w:sz w:val="28"/>
          <w:szCs w:val="28"/>
          <w:rtl/>
        </w:rPr>
        <w:t xml:space="preserve">گفتند نزد پدرمان برای دلجویی او از غم فرزند از دنیا رفته‏اش مانده است. این بود که هنگام رفتن آنها یوسف درخواست کرد: حال که من به شما این همه کمک می‏کنم وقتی رفتید و خواستید دو مرتبه بیایید برادر دیگرتان را هم بیاورید «که من در کیل و پیمانه رعایت تمام و کمال می‏کنم» و به هیچ کس در هیچ مقداری زیان نمی‏رسانم. «و من از بهترین مهمانداران هستم». و اگر او را نیاورید، نه در نزد من استحقاق آذوقه خواهید داشت و نه نزدیک من قربی دارید.</w:t>
      </w:r>
    </w:p>
    <w:p>
      <w:pPr>
        <w:pStyle w:val="BookText"/>
      </w:pPr>
      <w:r>
        <w:rPr>
          <w:rFonts w:ascii="IRNazanin" w:hAnsi="IRNazanin" w:eastAsia="IRNazanin" w:cs="IRNazanin"/>
          <w:lang w:bidi="fa-IR"/>
          <w:color w:val="111111"/>
          <w:sz w:val="28"/>
          <w:szCs w:val="28"/>
          <w:rtl/>
        </w:rPr>
        <w:t xml:space="preserve">مجزوم بودن فعل «لا تَقْرَبُونِ» یا به این دلیل است که عطف بر محلّ: «فَلا کَیْلَ لَکُمْ» باشد که جواب شرط است، یعنی فان لم تأتونی به، تحرموا و لا تقربوا اگر او را نیاورید محروم می‏شوید و نزدیک من نخواهید شد، و می‏تواند در معنای فعل نهی باشد.</w:t>
      </w:r>
    </w:p>
    <w:p>
      <w:pPr>
        <w:pStyle w:val="BookText"/>
      </w:pPr>
      <w:r>
        <w:rPr>
          <w:rFonts w:ascii="IRNazanin" w:hAnsi="IRNazanin" w:eastAsia="IRNazanin" w:cs="IRNazanin"/>
          <w:lang w:bidi="fa-IR"/>
          <w:color w:val="111111"/>
          <w:sz w:val="28"/>
          <w:szCs w:val="28"/>
          <w:rtl/>
        </w:rPr>
        <w:t xml:space="preserve">قالُوا سَنُراوِدُ عَنْهُ أَباهُ با حیله، نیرنگ و فریب فرزندش را از پدر جدا می‏کنیم، و ما به این امر توانایی داریم.</w:t>
      </w:r>
    </w:p>
    <w:p>
      <w:pPr>
        <w:pStyle w:val="BookText"/>
      </w:pPr>
      <w:r>
        <w:rPr>
          <w:rFonts w:ascii="IRNazanin" w:hAnsi="IRNazanin" w:eastAsia="IRNazanin" w:cs="IRNazanin"/>
          <w:lang w:bidi="fa-IR"/>
          <w:color w:val="111111"/>
          <w:sz w:val="28"/>
          <w:szCs w:val="28"/>
          <w:rtl/>
        </w:rPr>
        <w:t xml:space="preserve">[شماره صفحه واقعی : 226]
</w:t>
      </w:r>
    </w:p>
    <w:p>
      <w:pPr>
        <w:sectPr>
          <w:footerReference w:type="default" r:id="rId1325"/>
          <w:footnotePr>
            <w:numStart w:val="1"/>
            <w:numRestart w:val="eachPage"/>
          </w:footnotePr>
          <w:pgSz w:orient="portrait" w:w="11905.511811023622" w:h="16837.79527559055"/>
          <w:pgMar w:top="1440" w:right="1440" w:bottom="1440" w:left="1440" w:header="720" w:footer="720" w:gutter="0"/>
          <w:cols w:num="1" w:space="720"/>
        </w:sectPr>
      </w:pPr>
    </w:p>
    <w:bookmarkStart w:id="740" w:name="pg14411_143707"/>
    <w:bookmarkEnd w:id="740"/>
    <w:p>
      <w:pPr>
        <w:pStyle w:val="BookText"/>
      </w:pPr>
      <w:r>
        <w:rPr>
          <w:rFonts w:ascii="IRNazanin" w:hAnsi="IRNazanin" w:eastAsia="IRNazanin" w:cs="IRNazanin"/>
          <w:lang w:bidi="fa-IR"/>
          <w:color w:val="111111"/>
          <w:sz w:val="28"/>
          <w:szCs w:val="28"/>
          <w:rtl/>
        </w:rPr>
        <w:t xml:space="preserve">وَ قالَ لِفِتْیانِهِ «لفتیانه» نیز خوانده شده، و هر دو، جمع «فتی» می‏باشد مثل «اخوه و إخوان» که هر دو جمع: «اخ» هستند، چیزی که هست، «فعله» جمع قلّت، و «فعلان» جمع کثرت است، یعنی لغلمانه الکیّالین: به پیمانه گران و ترازو دارانش گفت:</w:t>
      </w:r>
    </w:p>
    <w:p>
      <w:pPr>
        <w:pStyle w:val="BookText"/>
      </w:pPr>
      <w:r>
        <w:rPr>
          <w:rFonts w:ascii="IRNazanin" w:hAnsi="IRNazanin" w:eastAsia="IRNazanin" w:cs="IRNazanin"/>
          <w:lang w:bidi="fa-IR"/>
          <w:color w:val="111111"/>
          <w:sz w:val="28"/>
          <w:szCs w:val="28"/>
          <w:rtl/>
        </w:rPr>
        <w:t xml:space="preserve">اجْعَلُوا بِضاعَتَهُمْ فِی رِحالِهِمْ آنچه به عنوان قیمت کالا و بهای خرید غلات آورده‏اند، در میان ظرفهایشان بگذارید، منظور از «رحال» ظرفهاست از قبیل جعبه و کیسه و جز، اینها، به ظرف، و نیز جای چیزی، «رحل» گفته می‏شود، و در اصل به معنای چیزی است که آماده جابجا شدن است.</w:t>
      </w:r>
    </w:p>
    <w:p>
      <w:pPr>
        <w:pStyle w:val="BookText"/>
      </w:pPr>
      <w:r>
        <w:rPr>
          <w:rFonts w:ascii="IRNazanin" w:hAnsi="IRNazanin" w:eastAsia="IRNazanin" w:cs="IRNazanin"/>
          <w:lang w:bidi="fa-IR"/>
          <w:color w:val="111111"/>
          <w:sz w:val="28"/>
          <w:szCs w:val="28"/>
          <w:rtl/>
        </w:rPr>
        <w:t xml:space="preserve">لَعَلَّهُمْ یَعْرِفُونَها شاید بفهمند و پی به بزرگواری ما ببرند که هم به آنها کالا داده‏ایم و هم پولشان را به ایشان برگرداندیم. «إِذَا انْقَلَبُوا إِلی‏ أَهْلِهِمْ»: این را وقتی متوجّه خواهند شد که به شهر و دیار خود برسند و ظرفهایشان را خالی کنند.</w:t>
      </w:r>
    </w:p>
    <w:p>
      <w:pPr>
        <w:pStyle w:val="BookText"/>
      </w:pPr>
      <w:r>
        <w:rPr>
          <w:rFonts w:ascii="IRNazanin" w:hAnsi="IRNazanin" w:eastAsia="IRNazanin" w:cs="IRNazanin"/>
          <w:lang w:bidi="fa-IR"/>
          <w:color w:val="111111"/>
          <w:sz w:val="28"/>
          <w:szCs w:val="28"/>
          <w:rtl/>
        </w:rPr>
        <w:t xml:space="preserve">لَعَلَّهُمْ یَرْجِعُونَ به امید این که وقتی قدر این بخشندگی را شناختند، حق شناسی وادارشان کند که باز بسوی ما برگردند، بعضی گفته‏اند: یوسف از بزرگواری، صلاح نمی‏دانست که از پدر و برادرانش قیمت و بهای کالا و طعام بگیرد.</w:t>
      </w:r>
    </w:p>
    <w:p>
      <w:pPr>
        <w:pStyle w:val="Heading6"/>
      </w:pPr>
      <w:bookmarkStart w:id="2466" w:name="_Toc1501"/>
      <w:r>
        <w:t>[سوره یوسف «12»: آیات 63 تا 66]</w:t>
      </w:r>
      <w:bookmarkEnd w:id="2466"/>
    </w:p>
    <w:p>
      <w:pPr>
        <w:pStyle w:val="Heading6"/>
      </w:pPr>
      <w:bookmarkStart w:id="2467" w:name="_Toc1502"/>
      <w:r>
        <w:t>اشاره</w:t>
      </w:r>
      <w:bookmarkEnd w:id="2467"/>
    </w:p>
    <w:p>
      <w:pPr>
        <w:pStyle w:val="BookText"/>
      </w:pPr>
      <w:r>
        <w:rPr>
          <w:rFonts w:ascii="Amiri" w:hAnsi="Amiri" w:eastAsia="Amiri" w:cs="Amiri"/>
          <w:lang w:bidi="ar-SA"/>
          <w:color w:val="111111"/>
          <w:sz w:val="28"/>
          <w:szCs w:val="28"/>
          <w:rtl/>
        </w:rPr>
        <w:t xml:space="preserve">فَلَمَّا رَجَعُوا إِلی‏ أَبِیهِمْ قالُوا یا أَبانا مُنِعَ مِنَّا الْکَیْلُ فَأَرْسِلْ مَعَنا أَخانا نَکْتَلْ وَ إِنَّا لَهُ لَحافِظُونَ «63» قالَ هَلْ آمَنُکُمْ عَلَیْهِ إِلاَّ کَما أَمِنْتُکُمْ عَلی‏ أَخِیهِ مِنْ قَبْلُ فَاللَّهُ خَیْرٌ حافِظاً وَ هُوَ أَرْحَمُ الرَّاحِمِینَ «64» وَ لَمَّا فَتَحُوا مَتاعَهُمْ وَجَدُوا بِضاعَتَهُمْ رُدَّتْ إِلَیْهِمْ قالُوا یا أَبانا ما نَبْغِی هذِهِ بِضاعَتُنا رُدَّتْ إِلَیْنا وَ نَمِیرُ أَهْلَنا وَ نَحْفَظُ أَخانا وَ نَزْدادُ کَیْلَ بَعِیرٍ ذلِکَ کَیْلٌ یَسِیرٌ «65» قالَ لَنْ أُرْسِلَهُ مَعَکُمْ حَتَّی تُؤْتُونِ مَوْثِقاً مِنَ اللَّهِ لَتَأْتُنَّنِی بِهِ إِلاَّ أَنْ یُحاطَ بِکُمْ فَلَمَّا آتَوْهُ مَوْثِقَهُمْ قالَ اللَّهُ عَلی‏ ما نَقُولُ وَکِیلٌ «66»</w:t>
      </w:r>
    </w:p>
    <w:p>
      <w:pPr>
        <w:pStyle w:val="BookText"/>
      </w:pPr>
      <w:r>
        <w:rPr>
          <w:rFonts w:ascii="IRNazanin" w:hAnsi="IRNazanin" w:eastAsia="IRNazanin" w:cs="IRNazanin"/>
          <w:lang w:bidi="fa-IR"/>
          <w:color w:val="111111"/>
          <w:sz w:val="28"/>
          <w:szCs w:val="28"/>
          <w:rtl/>
        </w:rPr>
        <w:t xml:space="preserve">[شماره صفحه واقعی : 227]
</w:t>
      </w:r>
    </w:p>
    <w:p>
      <w:pPr>
        <w:sectPr>
          <w:footerReference w:type="default" r:id="rId1326"/>
          <w:footnotePr>
            <w:numStart w:val="1"/>
            <w:numRestart w:val="eachPage"/>
          </w:footnotePr>
          <w:pgSz w:orient="portrait" w:w="11905.511811023622" w:h="16837.79527559055"/>
          <w:pgMar w:top="1440" w:right="1440" w:bottom="1440" w:left="1440" w:header="720" w:footer="720" w:gutter="0"/>
          <w:cols w:num="1" w:space="720"/>
        </w:sectPr>
      </w:pPr>
    </w:p>
    <w:bookmarkStart w:id="741" w:name="pg14411_143708"/>
    <w:bookmarkEnd w:id="741"/>
    <w:p>
      <w:pPr>
        <w:pStyle w:val="Heading6"/>
      </w:pPr>
      <w:bookmarkStart w:id="2468" w:name="_Toc1503"/>
      <w:r>
        <w:t>ترجمه:</w:t>
      </w:r>
      <w:bookmarkEnd w:id="2468"/>
    </w:p>
    <w:p>
      <w:pPr>
        <w:pStyle w:val="BookText"/>
      </w:pPr>
      <w:r>
        <w:rPr>
          <w:rFonts w:ascii="IRNazanin" w:hAnsi="IRNazanin" w:eastAsia="IRNazanin" w:cs="IRNazanin"/>
          <w:lang w:bidi="fa-IR"/>
          <w:color w:val="111111"/>
          <w:sz w:val="28"/>
          <w:szCs w:val="28"/>
          <w:rtl/>
        </w:rPr>
        <w:t xml:space="preserve">وقتی که به سوی پدرشان برگشتند، گفتند: ای پدر به ما آذوقه ندادند، برادرمان را با ما بفرست تا پیمانه (غلّه) دریافت کنیم، و ما او را نگهداری می‏کنیم. «63»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گفت آیا امین قرار دادن من شما را بر «بنیامین» جز به همان مقدار است که قبلا شما را بر برادرش امین قرار دادم؟ امّا خداوند بهترین نگهدار، و او، رحم کننده‏ترین رحم کنندگان است. «64»</w:t>
      </w:r>
    </w:p>
    <w:p>
      <w:pPr>
        <w:pStyle w:val="BookText"/>
      </w:pPr>
      <w:r>
        <w:rPr>
          <w:rFonts w:ascii="IRNazanin" w:hAnsi="IRNazanin" w:eastAsia="IRNazanin" w:cs="IRNazanin"/>
          <w:lang w:bidi="fa-IR"/>
          <w:color w:val="111111"/>
          <w:sz w:val="28"/>
          <w:szCs w:val="28"/>
          <w:rtl/>
        </w:rPr>
        <w:t xml:space="preserve">موقعی که بارهای خود را گشودند دیدند سرمایه‏هاشان به خودشان بازگردانده شده، گفتند: پدر! ما دیگر، چه می‏خواهیم؟ این سرمایه ماست که به ما بازگردانده شده (و بار دیگر که آنجا برویم) برای خانواده خویش موادّ غذایی می‏آوریم و برادرمان را حفظ می‏کنیم و پیمانه بزرگتری (بار شتر دیگری) دریافت خواهیم کرد، و این پیمانه اندکی است. «65»</w:t>
      </w:r>
    </w:p>
    <w:p>
      <w:pPr>
        <w:pStyle w:val="BookText"/>
      </w:pPr>
      <w:r>
        <w:rPr>
          <w:rFonts w:ascii="IRNazanin" w:hAnsi="IRNazanin" w:eastAsia="IRNazanin" w:cs="IRNazanin"/>
          <w:lang w:bidi="fa-IR"/>
          <w:color w:val="111111"/>
          <w:sz w:val="28"/>
          <w:szCs w:val="28"/>
          <w:rtl/>
        </w:rPr>
        <w:t xml:space="preserve">پدر گفت: هرگز او را با شما نمی‏فرستم، تا این که پیمان مؤکّد الهی بدهید که به طور حتم او را پیش من بیاورید، مگر آن که قدرت از شما سلب گردد، هنگامی که پیمان موثّق خود را در اختیار او گذاردند، گفت: خداوند بر آنچه ما می‏گوییم وکیل است. «66»</w:t>
      </w:r>
    </w:p>
    <w:p>
      <w:pPr>
        <w:pStyle w:val="Heading6"/>
      </w:pPr>
      <w:bookmarkStart w:id="2469" w:name="_Toc1504"/>
      <w:r>
        <w:t>تفسیر:</w:t>
      </w:r>
      <w:bookmarkEnd w:id="2469"/>
    </w:p>
    <w:p>
      <w:pPr>
        <w:pStyle w:val="BookText"/>
      </w:pPr>
      <w:r>
        <w:rPr>
          <w:rFonts w:ascii="IRNazanin" w:hAnsi="IRNazanin" w:eastAsia="IRNazanin" w:cs="IRNazanin"/>
          <w:lang w:bidi="fa-IR"/>
          <w:color w:val="111111"/>
          <w:sz w:val="28"/>
          <w:szCs w:val="28"/>
          <w:rtl/>
        </w:rPr>
        <w:t xml:space="preserve">مُنِعَ مِنَّا الْکَیْلُ منظور از این که از پیمانه ممنوع شدیم، قول یوسف است که گفته بود: اگر برادرتان را نیاوردید، نزد من پیمانه‏ای ندارید، چون وقتی که منع کیل را به آنها خبر داد خود به خود آنها را از آن منع کرده است.</w:t>
      </w:r>
    </w:p>
    <w:p>
      <w:pPr>
        <w:pStyle w:val="BookText"/>
      </w:pPr>
      <w:r>
        <w:rPr>
          <w:rFonts w:ascii="IRNazanin" w:hAnsi="IRNazanin" w:eastAsia="IRNazanin" w:cs="IRNazanin"/>
          <w:lang w:bidi="fa-IR"/>
          <w:color w:val="111111"/>
          <w:sz w:val="28"/>
          <w:szCs w:val="28"/>
          <w:rtl/>
        </w:rPr>
        <w:t xml:space="preserve">فَأَرْسِلْ مَعَنا پس برادرمان «بنیامین» را با ما بفرست تا با رفع مانع، پیمانه طعامی که نیاز داریم بدست آوریم: «نکتل» به «یا» نیز قرائت شده: «یکتل»: تا این که بنیامین</w:t>
      </w:r>
    </w:p>
    <w:p>
      <w:pPr>
        <w:pStyle w:val="BookText"/>
      </w:pPr>
      <w:r>
        <w:rPr>
          <w:rFonts w:ascii="IRNazanin" w:hAnsi="IRNazanin" w:eastAsia="IRNazanin" w:cs="IRNazanin"/>
          <w:lang w:bidi="fa-IR"/>
          <w:color w:val="111111"/>
          <w:sz w:val="28"/>
          <w:szCs w:val="28"/>
          <w:rtl/>
        </w:rPr>
        <w:t xml:space="preserve">[شماره صفحه واقعی : 228]
</w:t>
      </w:r>
    </w:p>
    <w:p>
      <w:pPr>
        <w:sectPr>
          <w:footerReference w:type="default" r:id="rId1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نیز پیمانه‏ای بگیرد و آن را با پیمانه‏های خودمان ضمیمه نماییم، یا این که او سبب پیمانه گرفتن مجدّد ما باشد.</w:t>
      </w:r>
    </w:p>
    <w:p>
      <w:pPr>
        <w:pStyle w:val="BookText"/>
      </w:pPr>
      <w:r>
        <w:rPr>
          <w:rFonts w:ascii="IRNazanin" w:hAnsi="IRNazanin" w:eastAsia="IRNazanin" w:cs="IRNazanin"/>
          <w:lang w:bidi="fa-IR"/>
          <w:color w:val="111111"/>
          <w:sz w:val="28"/>
          <w:szCs w:val="28"/>
          <w:rtl/>
        </w:rPr>
        <w:t xml:space="preserve">قالَ هَلْ آمَنُکُمْ شما را در بردن بنیامین، بر او امین نمی‏دانم، مگر چنان که شما را بر برادرش یوسف امین قرار دادم، یعنی همان طور که این جا، می‏گویید: ما او را نگهداریم آنجا هم همین حرف را گفتید و بعد به قول خود وفا نکردید.</w:t>
      </w:r>
    </w:p>
    <w:p>
      <w:pPr>
        <w:pStyle w:val="BookText"/>
      </w:pPr>
      <w:r>
        <w:rPr>
          <w:rFonts w:ascii="IRNazanin" w:hAnsi="IRNazanin" w:eastAsia="IRNazanin" w:cs="IRNazanin"/>
          <w:lang w:bidi="fa-IR"/>
          <w:color w:val="111111"/>
          <w:sz w:val="28"/>
          <w:szCs w:val="28"/>
          <w:rtl/>
        </w:rPr>
        <w:t xml:space="preserve">فَاللَّهُ خَیْرٌ حافِظاً توکل به خدا کرد و بنیامین را به آنها داد. «حافظا» تمییز و منصوب است مثل «للَّه دره فارسا» و می‏تواند حال باشد، و «حفظا» نیز خوانده شده است. </w:t>
      </w:r>
      <w:r>
        <w:rPr>
          <w:rStyle w:val="FootnoteReference"/>
        </w:rPr>
        <w:footnoteReference w:id="4514"/>
      </w:r>
    </w:p>
    <w:p>
      <w:pPr>
        <w:pStyle w:val="BookText"/>
      </w:pPr>
      <w:r>
        <w:rPr>
          <w:rFonts w:ascii="IRNazanin" w:hAnsi="IRNazanin" w:eastAsia="IRNazanin" w:cs="IRNazanin"/>
          <w:lang w:bidi="fa-IR"/>
          <w:color w:val="111111"/>
          <w:sz w:val="28"/>
          <w:szCs w:val="28"/>
          <w:rtl/>
        </w:rPr>
        <w:t xml:space="preserve">وَ هُوَ أَرْحَمُ الرَّاحِمِینَ خداوند ارحم الرّاحمین است به ناتوانی و پیری من ترحم می‏کند، و فرزندم را حفظ و به سوی من بر می‏گرداند، و مرا یک جا به دو مصیبت </w:t>
      </w:r>
      <w:r>
        <w:rPr>
          <w:rStyle w:val="FootnoteReference"/>
        </w:rPr>
        <w:footnoteReference w:id="4515"/>
      </w:r>
      <w:r>
        <w:rPr>
          <w:rFonts w:ascii="IRNazanin" w:hAnsi="IRNazanin" w:eastAsia="IRNazanin" w:cs="IRNazanin"/>
          <w:lang w:bidi="fa-IR"/>
          <w:color w:val="111111"/>
          <w:sz w:val="28"/>
          <w:szCs w:val="28"/>
          <w:rtl/>
        </w:rPr>
        <w:t xml:space="preserve">مبتلا نمی‏سازد.</w:t>
      </w:r>
    </w:p>
    <w:p>
      <w:pPr>
        <w:pStyle w:val="BookText"/>
      </w:pPr>
      <w:r>
        <w:rPr>
          <w:rFonts w:ascii="Amiri" w:hAnsi="Amiri" w:eastAsia="Amiri" w:cs="Amiri"/>
          <w:lang w:bidi="ar-SA"/>
          <w:color w:val="111111"/>
          <w:sz w:val="28"/>
          <w:szCs w:val="28"/>
          <w:rtl/>
        </w:rPr>
        <w:t xml:space="preserve">وَ لَمَّا فَتَحُوا مَتاعَهُمْ مراد از «متاع» ظرفهایی است که برای آذوقه برده بودند.</w:t>
      </w:r>
    </w:p>
    <w:p>
      <w:pPr>
        <w:pStyle w:val="BookText"/>
      </w:pPr>
      <w:r>
        <w:rPr>
          <w:rFonts w:ascii="IRNazanin" w:hAnsi="IRNazanin" w:eastAsia="IRNazanin" w:cs="IRNazanin"/>
          <w:lang w:bidi="fa-IR"/>
          <w:color w:val="111111"/>
          <w:sz w:val="28"/>
          <w:szCs w:val="28"/>
          <w:rtl/>
        </w:rPr>
        <w:t xml:space="preserve">وَجَدُوا بِضاعَتَهُمْ رُدَّتْ إِلَیْهِمْ یحیی بن وثّاب «ردت» به کسر (راء) خوانده بنا بر این که کسره دال ادغام شده و به «راء» نقل یافته (زیرا در اصل «رددت» بوده است). «ما نَبْغِی»: «ما» برای نفی است: در گفتارمان ستم نمی‏کنیم، یا چیزی جز این همه احسان و اکرام که نسبت به ما شده نمی‏خواهیم، بعضی گفته‏اند معنایش این است: ما جز بنیامین سرمایه دیگری از تو نمی‏خواهیم.</w:t>
      </w:r>
    </w:p>
    <w:p>
      <w:pPr>
        <w:pStyle w:val="BookText"/>
      </w:pPr>
      <w:r>
        <w:rPr>
          <w:rFonts w:ascii="IRNazanin" w:hAnsi="IRNazanin" w:eastAsia="IRNazanin" w:cs="IRNazanin"/>
          <w:lang w:bidi="fa-IR"/>
          <w:color w:val="111111"/>
          <w:sz w:val="28"/>
          <w:szCs w:val="28"/>
          <w:rtl/>
        </w:rPr>
        <w:t xml:space="preserve">هذِهِ بِضاعَتُنا رُدَّتْ إِلَیْنا جمله مستأنفه توضیح دهنده فعل: «ما نبغی» است، و جمله‏های بعد، عطف بر آن است: سرمایه ما به ما پس داده شده و به وسیله آن قدرت به دست می‏آوریم، و هنگامی که پیش عزیز مصر رفتیم برای خانواده‏مان</w:t>
      </w:r>
    </w:p>
    <w:p>
      <w:pPr>
        <w:pStyle w:val="BookText"/>
      </w:pPr>
      <w:r>
        <w:rPr>
          <w:rFonts w:ascii="IRNazanin" w:hAnsi="IRNazanin" w:eastAsia="IRNazanin" w:cs="IRNazanin"/>
          <w:lang w:bidi="fa-IR"/>
          <w:color w:val="111111"/>
          <w:sz w:val="28"/>
          <w:szCs w:val="28"/>
          <w:rtl/>
        </w:rPr>
        <w:t xml:space="preserve">[شماره صفحه واقعی : 229]
</w:t>
      </w:r>
    </w:p>
    <w:p>
      <w:pPr>
        <w:sectPr>
          <w:footerReference w:type="default" r:id="rId1328"/>
          <w:footnotePr>
            <w:numStart w:val="1"/>
            <w:numRestart w:val="eachPage"/>
          </w:footnotePr>
          <w:pgSz w:orient="portrait" w:w="11905.511811023622" w:h="16837.79527559055"/>
          <w:pgMar w:top="1440" w:right="1440" w:bottom="1440" w:left="1440" w:header="720" w:footer="720" w:gutter="0"/>
          <w:cols w:num="1" w:space="720"/>
        </w:sectPr>
      </w:pPr>
    </w:p>
    <w:bookmarkStart w:id="742" w:name="pg14411_143710"/>
    <w:bookmarkEnd w:id="742"/>
    <w:p>
      <w:pPr>
        <w:pStyle w:val="BookText"/>
      </w:pPr>
      <w:r>
        <w:rPr>
          <w:rFonts w:ascii="IRNazanin" w:hAnsi="IRNazanin" w:eastAsia="IRNazanin" w:cs="IRNazanin"/>
          <w:lang w:bidi="fa-IR"/>
          <w:color w:val="111111"/>
          <w:sz w:val="28"/>
          <w:szCs w:val="28"/>
          <w:rtl/>
        </w:rPr>
        <w:t xml:space="preserve">قوت و غذا تهیه می‏کنیم و برادرمان را از هر بلایی که تو تصوّر می‏کنی محافظت و با حاضر ساختن او در پیش عزیز، یک بار شتر </w:t>
      </w:r>
      <w:r>
        <w:rPr>
          <w:rStyle w:val="FootnoteReference"/>
        </w:rPr>
        <w:footnoteReference w:id="4516"/>
      </w:r>
      <w:r>
        <w:rPr>
          <w:rFonts w:ascii="IRNazanin" w:hAnsi="IRNazanin" w:eastAsia="IRNazanin" w:cs="IRNazanin"/>
          <w:lang w:bidi="fa-IR"/>
          <w:color w:val="111111"/>
          <w:sz w:val="28"/>
          <w:szCs w:val="28"/>
          <w:rtl/>
        </w:rPr>
        <w:t xml:space="preserve">اضافه بر بارهای خودمان دریافت می‏نماییم. دیگر پس از این همه دستاوردها که می‏توانیم تمام کارهایمان را اصلاح کنیم، چه می‏خواهیم؟</w:t>
      </w:r>
    </w:p>
    <w:p>
      <w:pPr>
        <w:pStyle w:val="BookText"/>
      </w:pPr>
      <w:r>
        <w:rPr>
          <w:rFonts w:ascii="IRNazanin" w:hAnsi="IRNazanin" w:eastAsia="IRNazanin" w:cs="IRNazanin"/>
          <w:lang w:bidi="fa-IR"/>
          <w:color w:val="111111"/>
          <w:sz w:val="28"/>
          <w:szCs w:val="28"/>
          <w:rtl/>
        </w:rPr>
        <w:t xml:space="preserve">ذلِکَ کَیْلٌ یَسِیرٌ این که اکنون به ما داده شده چیز اندکی است ما را کفایت نمی‏کند. منظورشان این بود که به واسطه برادرشان هم چیزی بگیرند. یا این که «ذلک»، اشاره به کیل بعیر است </w:t>
      </w:r>
      <w:r>
        <w:rPr>
          <w:rStyle w:val="FootnoteReference"/>
        </w:rPr>
        <w:footnoteReference w:id="4517"/>
      </w:r>
      <w:r>
        <w:rPr>
          <w:rFonts w:ascii="IRNazanin" w:hAnsi="IRNazanin" w:eastAsia="IRNazanin" w:cs="IRNazanin"/>
          <w:lang w:bidi="fa-IR"/>
          <w:color w:val="111111"/>
          <w:sz w:val="28"/>
          <w:szCs w:val="28"/>
          <w:rtl/>
        </w:rPr>
        <w:t xml:space="preserve">یعنی آن بار اضافی هم، برای پادشاه مصر چیز مهمّی نیست، بر او آسان است و از ما مضایقه نخواهد کرد.</w:t>
      </w:r>
    </w:p>
    <w:p>
      <w:pPr>
        <w:pStyle w:val="BookText"/>
      </w:pPr>
      <w:r>
        <w:rPr>
          <w:rFonts w:ascii="IRNazanin" w:hAnsi="IRNazanin" w:eastAsia="IRNazanin" w:cs="IRNazanin"/>
          <w:lang w:bidi="fa-IR"/>
          <w:color w:val="111111"/>
          <w:sz w:val="28"/>
          <w:szCs w:val="28"/>
          <w:rtl/>
        </w:rPr>
        <w:t xml:space="preserve">حَتَّی تُؤْتُونِ تا این که چیزی از سوی خدا به من بدهید که به آن اطمینان کنم:</w:t>
      </w:r>
    </w:p>
    <w:p>
      <w:pPr>
        <w:pStyle w:val="BookText"/>
      </w:pPr>
      <w:r>
        <w:rPr>
          <w:rFonts w:ascii="IRNazanin" w:hAnsi="IRNazanin" w:eastAsia="IRNazanin" w:cs="IRNazanin"/>
          <w:lang w:bidi="fa-IR"/>
          <w:color w:val="111111"/>
          <w:sz w:val="28"/>
          <w:szCs w:val="28"/>
          <w:rtl/>
        </w:rPr>
        <w:t xml:space="preserve">عهد شرعی کنید یا سوگند بخورید.</w:t>
      </w:r>
    </w:p>
    <w:p>
      <w:pPr>
        <w:pStyle w:val="BookText"/>
      </w:pPr>
      <w:r>
        <w:rPr>
          <w:rFonts w:ascii="IRNazanin" w:hAnsi="IRNazanin" w:eastAsia="IRNazanin" w:cs="IRNazanin"/>
          <w:lang w:bidi="fa-IR"/>
          <w:color w:val="111111"/>
          <w:sz w:val="28"/>
          <w:szCs w:val="28"/>
          <w:rtl/>
        </w:rPr>
        <w:t xml:space="preserve">لَتَأْتُنَّنِی بِهِ جواب قسم است: تا سوگند به خدا یاد کنید که حتما او را به من باز گردانید.</w:t>
      </w:r>
    </w:p>
    <w:p>
      <w:pPr>
        <w:pStyle w:val="BookText"/>
      </w:pPr>
      <w:r>
        <w:rPr>
          <w:rFonts w:ascii="IRNazanin" w:hAnsi="IRNazanin" w:eastAsia="IRNazanin" w:cs="IRNazanin"/>
          <w:lang w:bidi="fa-IR"/>
          <w:color w:val="111111"/>
          <w:sz w:val="28"/>
          <w:szCs w:val="28"/>
          <w:rtl/>
        </w:rPr>
        <w:t xml:space="preserve">إِلَّا أَنْ یُحاطَ بِکُمْ مگر این که گرفتار شوید و توان آوردن او را نداشته باشید و یا این که مرگ شما فرا رسد.</w:t>
      </w:r>
    </w:p>
    <w:p>
      <w:pPr>
        <w:pStyle w:val="BookText"/>
      </w:pPr>
      <w:r>
        <w:rPr>
          <w:rFonts w:ascii="IRNazanin" w:hAnsi="IRNazanin" w:eastAsia="IRNazanin" w:cs="IRNazanin"/>
          <w:lang w:bidi="fa-IR"/>
          <w:color w:val="111111"/>
          <w:sz w:val="28"/>
          <w:szCs w:val="28"/>
          <w:rtl/>
        </w:rPr>
        <w:t xml:space="preserve">فَلَمَّا آتَوْهُ مَوْثِقَهُمْ وقتی که با او پیمانهای مورد اطمینان بستند و سوگندها یاد کردند، یعقوب گفت خداوند بر آنچه می‏گوییم ناظر و آگاه است: اگر بر خلاف پیمانتان رفتار کردید حق مرا از شما خواهد گرفت.</w:t>
      </w:r>
    </w:p>
    <w:p>
      <w:pPr>
        <w:pStyle w:val="Heading6"/>
      </w:pPr>
      <w:bookmarkStart w:id="2470" w:name="_Toc1505"/>
      <w:r>
        <w:t>[سوره یوسف «12»: آیات 67 تا 68]</w:t>
      </w:r>
      <w:bookmarkEnd w:id="2470"/>
    </w:p>
    <w:p>
      <w:pPr>
        <w:pStyle w:val="Heading6"/>
      </w:pPr>
      <w:bookmarkStart w:id="2471" w:name="_Toc1506"/>
      <w:r>
        <w:t>اشاره</w:t>
      </w:r>
      <w:bookmarkEnd w:id="2471"/>
    </w:p>
    <w:p>
      <w:pPr>
        <w:pStyle w:val="BookText"/>
      </w:pPr>
      <w:r>
        <w:rPr>
          <w:rFonts w:ascii="Amiri" w:hAnsi="Amiri" w:eastAsia="Amiri" w:cs="Amiri"/>
          <w:lang w:bidi="ar-SA"/>
          <w:color w:val="111111"/>
          <w:sz w:val="28"/>
          <w:szCs w:val="28"/>
          <w:rtl/>
        </w:rPr>
        <w:t xml:space="preserve">وَ قالَ یا بَنِیَّ لا تَدْخُلُوا مِنْ بابٍ واحِدٍ وَ ادْخُلُوا مِنْ أَبْوابٍ مُتَفَرِّقَةٍ وَ ما أُغْنِی عَنْکُمْ مِنَ اللَّهِ مِنْ شَیْ‏ءٍ إِنِ الْحُکْمُ إِلاَّ لِلَّهِ عَلَیْهِ تَوَکَّلْتُ وَ عَلَیْهِ فَلْیَتَوَکَّلِ الْمُتَوَکِّلُونَ «67» وَ لَمَّا دَخَلُوا مِنْ حَیْثُ أَمَرَهُمْ أَبُوهُمْ ما کانَ یُغْنِی عَنْهُمْ مِنَ اللَّهِ مِنْ شَیْ‏ءٍ إِلاَّ حاجَةً فِی نَفْسِ یَعْقُوبَ قَضاها وَ إِنَّهُ لَذُو عِلْمٍ لِما عَلَّمْناهُ وَ لکِنَّ أَکْثَرَ النَّاسِ لا یَعْلَمُونَ «68»</w:t>
      </w:r>
    </w:p>
    <w:p>
      <w:pPr>
        <w:pStyle w:val="BookText"/>
      </w:pPr>
      <w:r>
        <w:rPr>
          <w:rFonts w:ascii="IRNazanin" w:hAnsi="IRNazanin" w:eastAsia="IRNazanin" w:cs="IRNazanin"/>
          <w:lang w:bidi="fa-IR"/>
          <w:color w:val="111111"/>
          <w:sz w:val="28"/>
          <w:szCs w:val="28"/>
          <w:rtl/>
        </w:rPr>
        <w:t xml:space="preserve">[شماره صفحه واقعی : 230]
</w:t>
      </w:r>
    </w:p>
    <w:p>
      <w:pPr>
        <w:sectPr>
          <w:footerReference w:type="default" r:id="rId1329"/>
          <w:footnotePr>
            <w:numStart w:val="1"/>
            <w:numRestart w:val="eachPage"/>
          </w:footnotePr>
          <w:pgSz w:orient="portrait" w:w="11905.511811023622" w:h="16837.79527559055"/>
          <w:pgMar w:top="1440" w:right="1440" w:bottom="1440" w:left="1440" w:header="720" w:footer="720" w:gutter="0"/>
          <w:cols w:num="1" w:space="720"/>
        </w:sectPr>
      </w:pPr>
    </w:p>
    <w:bookmarkStart w:id="743" w:name="pg14411_143711"/>
    <w:bookmarkEnd w:id="743"/>
    <w:p>
      <w:pPr>
        <w:pStyle w:val="Heading6"/>
      </w:pPr>
      <w:bookmarkStart w:id="2472" w:name="_Toc1507"/>
      <w:r>
        <w:t>ترجمه:</w:t>
      </w:r>
      <w:bookmarkEnd w:id="2472"/>
    </w:p>
    <w:p>
      <w:pPr>
        <w:pStyle w:val="BookText"/>
      </w:pPr>
      <w:r>
        <w:rPr>
          <w:rFonts w:ascii="IRNazanin" w:hAnsi="IRNazanin" w:eastAsia="IRNazanin" w:cs="IRNazanin"/>
          <w:lang w:bidi="fa-IR"/>
          <w:color w:val="111111"/>
          <w:sz w:val="28"/>
          <w:szCs w:val="28"/>
          <w:rtl/>
        </w:rPr>
        <w:t xml:space="preserve">یعقوب: ای فرزندان من، همه‏تان از یک در وارد نشوید، بلکه از درهای متفرّق داخل شوید و من نمی‏توانم در برابر خدا هیچ گونه کاری برای شما انجام دهم، فرمانی نیست جز از خداوند من بر او توکل کردم و همه متوکلان باید بر او توکل کنند. «67»</w:t>
      </w:r>
    </w:p>
    <w:p>
      <w:pPr>
        <w:pStyle w:val="BookText"/>
      </w:pPr>
      <w:r>
        <w:rPr>
          <w:rFonts w:ascii="IRNazanin" w:hAnsi="IRNazanin" w:eastAsia="IRNazanin" w:cs="IRNazanin"/>
          <w:lang w:bidi="fa-IR"/>
          <w:color w:val="111111"/>
          <w:sz w:val="28"/>
          <w:szCs w:val="28"/>
          <w:rtl/>
        </w:rPr>
        <w:t xml:space="preserve">و هنگامی که از همان طریق که پدرشان دستور داده بود، وارد شدند، این کار، هیچ حادثه حتمی الهی را دور نمی‏ساخت مگر حاجتی را که در دل یعقوب بود بر آورده کرد، و همانا یعقوب دارای علمی بود که ما به او آموخته بودیم، امّا بیشتر مردم نمی‏دانند. «68»</w:t>
      </w:r>
    </w:p>
    <w:p>
      <w:pPr>
        <w:pStyle w:val="Heading6"/>
      </w:pPr>
      <w:bookmarkStart w:id="2473" w:name="_Toc1508"/>
      <w:r>
        <w:t>تفسیر:</w:t>
      </w:r>
      <w:bookmarkEnd w:id="2473"/>
    </w:p>
    <w:p>
      <w:pPr>
        <w:pStyle w:val="BookText"/>
      </w:pPr>
      <w:r>
        <w:rPr>
          <w:rFonts w:ascii="IRNazanin" w:hAnsi="IRNazanin" w:eastAsia="IRNazanin" w:cs="IRNazanin"/>
          <w:lang w:bidi="fa-IR"/>
          <w:color w:val="111111"/>
          <w:sz w:val="28"/>
          <w:szCs w:val="28"/>
          <w:rtl/>
        </w:rPr>
        <w:t xml:space="preserve">علّت این که یعقوب پیامبر خدا فرزندانش را دستور داد که از یک در داخل نشوند، این است که آنها دارای جمال زیبا و نورانیت و قیافه‏های خوبی بودند، و در مصر شایع شده بود که این چند نفر نزد عزیز دارای احترام و عظمت ویژه‏ای هستند که برای هیچ کس تا کنون نبوده است، لذا حضرت یعقوب از آن ترسید که آنها را چشم زنند.</w:t>
      </w:r>
    </w:p>
    <w:p>
      <w:pPr>
        <w:pStyle w:val="BookText"/>
      </w:pPr>
      <w:r>
        <w:rPr>
          <w:rFonts w:ascii="IRNazanin" w:hAnsi="IRNazanin" w:eastAsia="IRNazanin" w:cs="IRNazanin"/>
          <w:lang w:bidi="fa-IR"/>
          <w:color w:val="111111"/>
          <w:sz w:val="28"/>
          <w:szCs w:val="28"/>
          <w:rtl/>
        </w:rPr>
        <w:t xml:space="preserve">وَ ما أُغْنِی عَنْکُمْ مِنَ اللَّهِ مِنْ شَیْ‏ءٍ منظور این که اگر خداوند بدی شما را اراده کند، دستوری که من به شما دادم که از درهای مختلف وارد شوید آن را از شما دفع نمی‏کند و سودی برایتان ندارد بلکه ناگزیر بر شما وارد خواهد شد، حکم، تنها حکم خداست.</w:t>
      </w:r>
    </w:p>
    <w:p>
      <w:pPr>
        <w:pStyle w:val="BookText"/>
      </w:pPr>
      <w:r>
        <w:rPr>
          <w:rFonts w:ascii="IRNazanin" w:hAnsi="IRNazanin" w:eastAsia="IRNazanin" w:cs="IRNazanin"/>
          <w:lang w:bidi="fa-IR"/>
          <w:color w:val="111111"/>
          <w:sz w:val="28"/>
          <w:szCs w:val="28"/>
          <w:rtl/>
        </w:rPr>
        <w:t xml:space="preserve">وَ لَمَّا دَخَلُوا مِنْ حَیْثُ أَمَرَهُمْ أَبُوهُمْ و با این که به همان نحو که پدرشان امر کرده</w:t>
      </w:r>
    </w:p>
    <w:p>
      <w:pPr>
        <w:pStyle w:val="BookText"/>
      </w:pPr>
      <w:r>
        <w:rPr>
          <w:rFonts w:ascii="IRNazanin" w:hAnsi="IRNazanin" w:eastAsia="IRNazanin" w:cs="IRNazanin"/>
          <w:lang w:bidi="fa-IR"/>
          <w:color w:val="111111"/>
          <w:sz w:val="28"/>
          <w:szCs w:val="28"/>
          <w:rtl/>
        </w:rPr>
        <w:t xml:space="preserve">[شماره صفحه واقعی : 231]
</w:t>
      </w:r>
    </w:p>
    <w:p>
      <w:pPr>
        <w:sectPr>
          <w:footerReference w:type="default" r:id="rId1330"/>
          <w:footnotePr>
            <w:numStart w:val="1"/>
            <w:numRestart w:val="eachPage"/>
          </w:footnotePr>
          <w:pgSz w:orient="portrait" w:w="11905.511811023622" w:h="16837.79527559055"/>
          <w:pgMar w:top="1440" w:right="1440" w:bottom="1440" w:left="1440" w:header="720" w:footer="720" w:gutter="0"/>
          <w:cols w:num="1" w:space="720"/>
        </w:sectPr>
      </w:pPr>
    </w:p>
    <w:bookmarkStart w:id="744" w:name="pg14411_143712"/>
    <w:bookmarkEnd w:id="744"/>
    <w:p>
      <w:pPr>
        <w:pStyle w:val="BookText"/>
      </w:pPr>
      <w:r>
        <w:rPr>
          <w:rFonts w:ascii="IRNazanin" w:hAnsi="IRNazanin" w:eastAsia="IRNazanin" w:cs="IRNazanin"/>
          <w:lang w:bidi="fa-IR"/>
          <w:color w:val="111111"/>
          <w:sz w:val="28"/>
          <w:szCs w:val="28"/>
          <w:rtl/>
        </w:rPr>
        <w:t xml:space="preserve">بود، بر عزیز وارد شدند، این کار، سودی برای آنها نداشت جز این که چیزی که در دل یعقوب بود که به گفته خود اظهار شفقت و محبّت نسبت به فرزندانش کند آن را برآورده ساخت، عبارت: «إِلَّا حاجَةً» استثنای منقطع است به معنای: «و لکن حاجة».</w:t>
      </w:r>
    </w:p>
    <w:p>
      <w:pPr>
        <w:pStyle w:val="BookText"/>
      </w:pPr>
      <w:r>
        <w:rPr>
          <w:rFonts w:ascii="Amiri" w:hAnsi="Amiri" w:eastAsia="Amiri" w:cs="Amiri"/>
          <w:lang w:bidi="ar-SA"/>
          <w:color w:val="111111"/>
          <w:sz w:val="28"/>
          <w:szCs w:val="28"/>
          <w:rtl/>
        </w:rPr>
        <w:t xml:space="preserve">وَ إِنَّهُ لَذُو عِلْمٍ به یعقوب دارای یقین و معرفت به خداست. «لِما عَلَّمْناهُ»: زیرا ما به او این علم را آموخته‏ایم.</w:t>
      </w:r>
    </w:p>
    <w:p>
      <w:pPr>
        <w:pStyle w:val="Heading6"/>
      </w:pPr>
      <w:bookmarkStart w:id="2474" w:name="_Toc1509"/>
      <w:r>
        <w:t>[سوره یوسف «12»: آیات 69 تا 76]</w:t>
      </w:r>
      <w:bookmarkEnd w:id="2474"/>
    </w:p>
    <w:p>
      <w:pPr>
        <w:pStyle w:val="Heading6"/>
      </w:pPr>
      <w:bookmarkStart w:id="2475" w:name="_Toc1510"/>
      <w:r>
        <w:t>اشاره</w:t>
      </w:r>
      <w:bookmarkEnd w:id="2475"/>
    </w:p>
    <w:p>
      <w:pPr>
        <w:pStyle w:val="BookText"/>
      </w:pPr>
      <w:r>
        <w:rPr>
          <w:rFonts w:ascii="Amiri" w:hAnsi="Amiri" w:eastAsia="Amiri" w:cs="Amiri"/>
          <w:lang w:bidi="ar-SA"/>
          <w:color w:val="111111"/>
          <w:sz w:val="28"/>
          <w:szCs w:val="28"/>
          <w:rtl/>
        </w:rPr>
        <w:t xml:space="preserve">وَ لَمَّا دَخَلُوا عَلی‏ یُوسُفَ آوی‏ إِلَیْهِ أَخاهُ قالَ إِنِّی أَنَا أَخُوکَ فَلا تَبْتَئِسْ بِما کانُوا یَعْمَلُونَ «69» فَلَمَّا جَهَّزَهُمْ بِجَهازِهِمْ جَعَلَ السِّقایَةَ فِی رَحْلِ أَخِیهِ ثُمَّ أَذَّنَ مُؤَذِّنٌ أَیَّتُهَا الْعِیرُ إِنَّکُمْ لَسارِقُونَ «70» قالُوا وَ أَقْبَلُوا عَلَیْهِمْ ما ذا تَفْقِدُونَ «71» قالُوا نَفْقِدُ صُواعَ الْمَلِکِ وَ لِمَنْ جاءَ بِهِ حِمْلُ بَعِیرٍ وَ أَنَا بِهِ زَعِیمٌ «72» قالُوا تَاللَّهِ لَقَدْ عَلِمْتُمْ ما جِئْنا لِنُفْسِدَ فِی الْأَرْضِ وَ ما کُنَّا سارِقِینَ «73»</w:t>
      </w:r>
    </w:p>
    <w:p>
      <w:pPr>
        <w:pStyle w:val="BookText"/>
      </w:pPr>
      <w:r>
        <w:rPr>
          <w:rFonts w:ascii="Amiri" w:hAnsi="Amiri" w:eastAsia="Amiri" w:cs="Amiri"/>
          <w:lang w:bidi="ar-SA"/>
          <w:color w:val="111111"/>
          <w:sz w:val="28"/>
          <w:szCs w:val="28"/>
          <w:rtl/>
        </w:rPr>
        <w:t xml:space="preserve">قالُوا فَما جَزاؤُهُ إِنْ کُنْتُمْ کاذِبِینَ «74» قالُوا جَزاؤُهُ مَنْ وُجِدَ فِی رَحْلِهِ فَهُوَ جَزاؤُهُ کَذلِکَ نَجْزِی الظَّالِمِینَ «75» فَبَدَأَ بِأَوْعِیَتِهِمْ قَبْلَ وِعاءِ أَخِیهِ ثُمَّ اسْتَخْرَجَها مِنْ وِعاءِ أَخِیهِ کَذلِکَ کِدْنا لِیُوسُفَ ما کانَ لِیَأْخُذَ أَخاهُ فِی دِینِ الْمَلِکِ إِلاَّ أَنْ یَشاءَ اللَّهُ نَرْفَعُ دَرَجاتٍ مَنْ نَشاءُ وَ فَوْقَ کُلِّ ذِی عِلْمٍ عَلِیمٌ «76»</w:t>
      </w:r>
    </w:p>
    <w:p>
      <w:pPr>
        <w:pStyle w:val="Heading6"/>
      </w:pPr>
      <w:bookmarkStart w:id="2476" w:name="_Toc1511"/>
      <w:r>
        <w:t>ترجمه:</w:t>
      </w:r>
      <w:bookmarkEnd w:id="2476"/>
    </w:p>
    <w:p>
      <w:pPr>
        <w:pStyle w:val="BookText"/>
      </w:pPr>
      <w:r>
        <w:rPr>
          <w:rFonts w:ascii="IRNazanin" w:hAnsi="IRNazanin" w:eastAsia="IRNazanin" w:cs="IRNazanin"/>
          <w:lang w:bidi="fa-IR"/>
          <w:color w:val="111111"/>
          <w:sz w:val="28"/>
          <w:szCs w:val="28"/>
          <w:rtl/>
        </w:rPr>
        <w:t xml:space="preserve">هنگامی که بر یوسف وارد شد، برادرش را نزد خود خواند و گفت: من برادر تو هستم، از آنچه (در گذشته برادران) انجام می‏دادند ناراحت مباش. «69»</w:t>
      </w:r>
    </w:p>
    <w:p>
      <w:pPr>
        <w:pStyle w:val="BookText"/>
      </w:pPr>
      <w:r>
        <w:rPr>
          <w:rFonts w:ascii="IRNazanin" w:hAnsi="IRNazanin" w:eastAsia="IRNazanin" w:cs="IRNazanin"/>
          <w:lang w:bidi="fa-IR"/>
          <w:color w:val="111111"/>
          <w:sz w:val="28"/>
          <w:szCs w:val="28"/>
          <w:rtl/>
        </w:rPr>
        <w:t xml:space="preserve">[شماره صفحه واقعی : 232]
</w:t>
      </w:r>
    </w:p>
    <w:p>
      <w:pPr>
        <w:sectPr>
          <w:footerReference w:type="default" r:id="rId1331"/>
          <w:footnotePr>
            <w:numStart w:val="1"/>
            <w:numRestart w:val="eachPage"/>
          </w:footnotePr>
          <w:pgSz w:orient="portrait" w:w="11905.511811023622" w:h="16837.79527559055"/>
          <w:pgMar w:top="1440" w:right="1440" w:bottom="1440" w:left="1440" w:header="720" w:footer="720" w:gutter="0"/>
          <w:cols w:num="1" w:space="720"/>
        </w:sectPr>
      </w:pPr>
    </w:p>
    <w:bookmarkStart w:id="745" w:name="pg14411_143713"/>
    <w:bookmarkEnd w:id="745"/>
    <w:p>
      <w:pPr>
        <w:pStyle w:val="BookText"/>
      </w:pPr>
      <w:r>
        <w:rPr>
          <w:rFonts w:ascii="IRNazanin" w:hAnsi="IRNazanin" w:eastAsia="IRNazanin" w:cs="IRNazanin"/>
          <w:lang w:bidi="fa-IR"/>
          <w:color w:val="111111"/>
          <w:sz w:val="28"/>
          <w:szCs w:val="28"/>
          <w:rtl/>
        </w:rPr>
        <w:t xml:space="preserve">پس چون بارهای آنها را بست، ظرف آبخوری شاه را در میان بار برادرش قرار داد، و سپس کسی صدا زد: ای اهل قافله شما سارق هستید. «70»</w:t>
      </w:r>
    </w:p>
    <w:p>
      <w:pPr>
        <w:pStyle w:val="BookText"/>
      </w:pPr>
      <w:r>
        <w:rPr>
          <w:rFonts w:ascii="IRNazanin" w:hAnsi="IRNazanin" w:eastAsia="IRNazanin" w:cs="IRNazanin"/>
          <w:lang w:bidi="fa-IR"/>
          <w:color w:val="111111"/>
          <w:sz w:val="28"/>
          <w:szCs w:val="28"/>
          <w:rtl/>
        </w:rPr>
        <w:t xml:space="preserve">آنها، رو به او کردند و گفتند: چه چیز گم کرده‏اید؟ «71»</w:t>
      </w:r>
    </w:p>
    <w:p>
      <w:pPr>
        <w:pStyle w:val="BookText"/>
      </w:pPr>
      <w:r>
        <w:rPr>
          <w:rFonts w:ascii="IRNazanin" w:hAnsi="IRNazanin" w:eastAsia="IRNazanin" w:cs="IRNazanin"/>
          <w:lang w:bidi="fa-IR"/>
          <w:color w:val="111111"/>
          <w:sz w:val="28"/>
          <w:szCs w:val="28"/>
          <w:rtl/>
        </w:rPr>
        <w:t xml:space="preserve">گفتند: پیمانه ملک را و هر کس آن را بیاورد یک شتر غلّه به او داده می‏شود و (منادی گفت:) من ضامن هستم. «72»</w:t>
      </w:r>
    </w:p>
    <w:p>
      <w:pPr>
        <w:pStyle w:val="BookText"/>
      </w:pPr>
      <w:r>
        <w:rPr>
          <w:rFonts w:ascii="IRNazanin" w:hAnsi="IRNazanin" w:eastAsia="IRNazanin" w:cs="IRNazanin"/>
          <w:lang w:bidi="fa-IR"/>
          <w:color w:val="111111"/>
          <w:sz w:val="28"/>
          <w:szCs w:val="28"/>
          <w:rtl/>
        </w:rPr>
        <w:t xml:space="preserve">گفتند به خدا سوگند شما می‏دانید که ما نیامده‏ایم که در این سرزمین فساد کنیم و هرگز ما دزد نبوده‏ایم. «73»</w:t>
      </w:r>
    </w:p>
    <w:p>
      <w:pPr>
        <w:pStyle w:val="BookText"/>
      </w:pPr>
      <w:r>
        <w:rPr>
          <w:rFonts w:ascii="IRNazanin" w:hAnsi="IRNazanin" w:eastAsia="IRNazanin" w:cs="IRNazanin"/>
          <w:lang w:bidi="fa-IR"/>
          <w:color w:val="111111"/>
          <w:sz w:val="28"/>
          <w:szCs w:val="28"/>
          <w:rtl/>
        </w:rPr>
        <w:t xml:space="preserve">آنها گفتند: اگر دروغ گو باشید کیفر شما چیست؟ «74»</w:t>
      </w:r>
    </w:p>
    <w:p>
      <w:pPr>
        <w:pStyle w:val="BookText"/>
      </w:pPr>
      <w:r>
        <w:rPr>
          <w:rFonts w:ascii="IRNazanin" w:hAnsi="IRNazanin" w:eastAsia="IRNazanin" w:cs="IRNazanin"/>
          <w:lang w:bidi="fa-IR"/>
          <w:color w:val="111111"/>
          <w:sz w:val="28"/>
          <w:szCs w:val="28"/>
          <w:rtl/>
        </w:rPr>
        <w:t xml:space="preserve">برادران گفتند: هر کس پیمانه در، بارش یافت شود خود جزای آن باشد، ما این گونه، ستمگران را کیفر می‏کنیم. «75»</w:t>
      </w:r>
    </w:p>
    <w:p>
      <w:pPr>
        <w:pStyle w:val="BookText"/>
      </w:pPr>
      <w:r>
        <w:rPr>
          <w:rFonts w:ascii="IRNazanin" w:hAnsi="IRNazanin" w:eastAsia="IRNazanin" w:cs="IRNazanin"/>
          <w:lang w:bidi="fa-IR"/>
          <w:color w:val="111111"/>
          <w:sz w:val="28"/>
          <w:szCs w:val="28"/>
          <w:rtl/>
        </w:rPr>
        <w:t xml:space="preserve">در این هنگام یوسف، پیش از بار برادرش به کاوش بارهای آنان پرداخت، سپس آن را از بار برادرش به کاوش بارهای آنان پرداخت، سپس آن را از بار برادرش بیرون آورد، این چنین، ما راه چاره را به یوسف یاد دادیم، او هرگز نمی‏توانست برادرش را مطابق آئین پادشاهی مؤاخذه کند مگر آن که خدا بخواهد، ما درجات هر کس را بخواهیم بالا می‏بریم، و بالاتر از هر صاحب علمی عالمی است. «76»</w:t>
      </w:r>
    </w:p>
    <w:p>
      <w:pPr>
        <w:pStyle w:val="Heading6"/>
      </w:pPr>
      <w:bookmarkStart w:id="2477" w:name="_Toc1512"/>
      <w:r>
        <w:t>تفسیر:</w:t>
      </w:r>
      <w:bookmarkEnd w:id="2477"/>
    </w:p>
    <w:p>
      <w:pPr>
        <w:pStyle w:val="BookText"/>
      </w:pPr>
      <w:r>
        <w:rPr>
          <w:rFonts w:ascii="IRNazanin" w:hAnsi="IRNazanin" w:eastAsia="IRNazanin" w:cs="IRNazanin"/>
          <w:lang w:bidi="fa-IR"/>
          <w:color w:val="111111"/>
          <w:sz w:val="28"/>
          <w:szCs w:val="28"/>
          <w:rtl/>
        </w:rPr>
        <w:t xml:space="preserve">آوی‏ إِلَیْهِ برادرش «بنیامین» را به خود چسبانید، روایت شده است که برادران به یوسف گفتند این است برادرمان و او را آوردیم. یوسف گفت: خوب کاری کردید، آنها را فرود آورد احترامشان کرد و هر دو تا از آنها را بر سر یک سفره نشانید، بنیامین، تنها ماند، او را هم بر سر سفره و به همراه خودش نشانید و به وی گفت: آیا دوست داری که من عوض برادر از دست داده‏ات باشم؟ گفت: البتّه برادری مثل شما افتخار است، امّا تو فرزند یعقوب و راحیل </w:t>
      </w:r>
      <w:r>
        <w:rPr>
          <w:rStyle w:val="FootnoteReference"/>
        </w:rPr>
        <w:footnoteReference w:id="4518"/>
      </w:r>
      <w:r>
        <w:rPr>
          <w:rFonts w:ascii="IRNazanin" w:hAnsi="IRNazanin" w:eastAsia="IRNazanin" w:cs="IRNazanin"/>
          <w:lang w:bidi="fa-IR"/>
          <w:color w:val="111111"/>
          <w:sz w:val="28"/>
          <w:szCs w:val="28"/>
          <w:rtl/>
        </w:rPr>
        <w:t xml:space="preserve">نیستی، یوسف را گریه فرا گرفته و بلند شد دست به گردن او افکند و گفت: من برادر تو هستم غم مخور و از آنچه</w:t>
      </w:r>
    </w:p>
    <w:p>
      <w:pPr>
        <w:pStyle w:val="BookText"/>
      </w:pPr>
      <w:r>
        <w:rPr>
          <w:rFonts w:ascii="IRNazanin" w:hAnsi="IRNazanin" w:eastAsia="IRNazanin" w:cs="IRNazanin"/>
          <w:lang w:bidi="fa-IR"/>
          <w:color w:val="111111"/>
          <w:sz w:val="28"/>
          <w:szCs w:val="28"/>
          <w:rtl/>
        </w:rPr>
        <w:t xml:space="preserve">[شماره صفحه واقعی : 233]
</w:t>
      </w:r>
    </w:p>
    <w:p>
      <w:pPr>
        <w:sectPr>
          <w:footerReference w:type="default" r:id="rId1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برادران در قبل در حق ما انجام داده‏اند اندوهناک مباش که خدای تعالی به ما نیکی کرد و اکنون ما را به هم دیگر رسانید، امّا این مطلب را به آنها اظهار مکن.</w:t>
      </w:r>
    </w:p>
    <w:p>
      <w:pPr>
        <w:pStyle w:val="BookText"/>
      </w:pPr>
      <w:r>
        <w:rPr>
          <w:rFonts w:ascii="IRNazanin" w:hAnsi="IRNazanin" w:eastAsia="IRNazanin" w:cs="IRNazanin"/>
          <w:lang w:bidi="fa-IR"/>
          <w:color w:val="111111"/>
          <w:sz w:val="28"/>
          <w:szCs w:val="28"/>
          <w:rtl/>
        </w:rPr>
        <w:t xml:space="preserve">«السِّقایَةَ»، ظرفی است که به آن آب می‏نوشند، و به تعبیری «صواع» گفته می‏شود.</w:t>
      </w:r>
    </w:p>
    <w:p>
      <w:pPr>
        <w:pStyle w:val="BookText"/>
      </w:pPr>
      <w:r>
        <w:rPr>
          <w:rFonts w:ascii="IRNazanin" w:hAnsi="IRNazanin" w:eastAsia="IRNazanin" w:cs="IRNazanin"/>
          <w:lang w:bidi="fa-IR"/>
          <w:color w:val="111111"/>
          <w:sz w:val="28"/>
          <w:szCs w:val="28"/>
          <w:rtl/>
        </w:rPr>
        <w:t xml:space="preserve">بعضی گفته‏اند: ظرفی بود که عزیز مصر از آن آب می‏خورد و بعد به عنوان پیمانه طعام و غلّات از آن استفاده می‏شد، جنس آن نقره بود که روکش طلا به آن داده بودند، و نیز گفته‏اند طلای مرصّع به جواهرات بود.</w:t>
      </w:r>
    </w:p>
    <w:p>
      <w:pPr>
        <w:pStyle w:val="BookText"/>
      </w:pPr>
      <w:r>
        <w:rPr>
          <w:rFonts w:ascii="Amiri" w:hAnsi="Amiri" w:eastAsia="Amiri" w:cs="Amiri"/>
          <w:lang w:bidi="ar-SA"/>
          <w:color w:val="111111"/>
          <w:sz w:val="28"/>
          <w:szCs w:val="28"/>
          <w:rtl/>
        </w:rPr>
        <w:t xml:space="preserve">ثُمَّ أَذَّنَ مُؤَذِّنٌ منادیی ندا کرد «أذن»: اعلام کرد، «أذّن»: بسیار اعلام کرد. «العیر»:</w:t>
      </w:r>
    </w:p>
    <w:p>
      <w:pPr>
        <w:pStyle w:val="BookText"/>
      </w:pPr>
      <w:r>
        <w:rPr>
          <w:rFonts w:ascii="IRNazanin" w:hAnsi="IRNazanin" w:eastAsia="IRNazanin" w:cs="IRNazanin"/>
          <w:lang w:bidi="fa-IR"/>
          <w:color w:val="111111"/>
          <w:sz w:val="28"/>
          <w:szCs w:val="28"/>
          <w:rtl/>
        </w:rPr>
        <w:t xml:space="preserve">شتری که بر آن، بار می‏نهند، به مناسبت این که «تعیر»: می‏آید و می‏رود. و بعضی گفته‏اند: در اصل به معنای قافله خران است، و به علت کثرت استعمال به هر قافله‏ای «عیر» گفته می‏شود «اصحاب العیر»: اهل قافله، اصطلاحی است، مثل: یا خیل اللَّه ارکبی»: (ای لشکر خدا، سوار شوید).</w:t>
      </w:r>
    </w:p>
    <w:p>
      <w:pPr>
        <w:pStyle w:val="BookText"/>
      </w:pPr>
      <w:r>
        <w:rPr>
          <w:rFonts w:ascii="IRNazanin" w:hAnsi="IRNazanin" w:eastAsia="IRNazanin" w:cs="IRNazanin"/>
          <w:lang w:bidi="fa-IR"/>
          <w:color w:val="111111"/>
          <w:sz w:val="28"/>
          <w:szCs w:val="28"/>
          <w:rtl/>
        </w:rPr>
        <w:t xml:space="preserve">وَ أَنَا بِهِ زَعِیمٌ منادی گفت: هر کس پیمانه را بیاورد یک بار شتر از طعام به او می‏دهیم و من خود ضامنم، این جایزه را به او می‏دهم.</w:t>
      </w:r>
    </w:p>
    <w:p>
      <w:pPr>
        <w:pStyle w:val="BookText"/>
      </w:pPr>
      <w:r>
        <w:rPr>
          <w:rFonts w:ascii="IRNazanin" w:hAnsi="IRNazanin" w:eastAsia="IRNazanin" w:cs="IRNazanin"/>
          <w:lang w:bidi="fa-IR"/>
          <w:color w:val="111111"/>
          <w:sz w:val="28"/>
          <w:szCs w:val="28"/>
          <w:rtl/>
        </w:rPr>
        <w:t xml:space="preserve">تَاللَّهِ: فرزندان یعقوب این قسم را به این سبب ذکر کردند که از آنچه به آنها نسبت داده شد در شگفت شده بودند، و با عبارت: «لَقَدْ عَلِمْتُمْ» از آگاهی اطرافیان عزیز نسبت به صداقت و امانت خودشان گواهی گرفتند، زیرا با داد و ستدهای مکرّری که تا کنون داشتند دیانت و خوش رفتاری خویش را به دربار عزیز نشان داده بودند، علاوه بر آن، وقتی سرمایه‏های خود را در میان بارهایشان دیدند، به این حساب که شاید بدون اجازه عزیز در آن میان نهاده شده باشد، به سوی عزیز برگرداندند و این، نشانه‏ای بود که بر نشانه‏های دیانت و حسن رفتار خود افزودند. «وَ ما کُنَّا سارِقِینَ» و ما هرگز دزد نبوده‏ایم.</w:t>
      </w:r>
    </w:p>
    <w:p>
      <w:pPr>
        <w:pStyle w:val="BookText"/>
      </w:pPr>
      <w:r>
        <w:rPr>
          <w:rFonts w:ascii="IRNazanin" w:hAnsi="IRNazanin" w:eastAsia="IRNazanin" w:cs="IRNazanin"/>
          <w:lang w:bidi="fa-IR"/>
          <w:color w:val="111111"/>
          <w:sz w:val="28"/>
          <w:szCs w:val="28"/>
          <w:rtl/>
        </w:rPr>
        <w:t xml:space="preserve">قالُوا فَما جَزاؤُهُ ضمیر: «هاء» برای «صواع» است: اگر در ادّعای برائت از دزدی پیمانه عزیز دروغگو باشید، کیفر دزدی آن چیست؟ گفتند: در میان بار شتر هر کس</w:t>
      </w:r>
    </w:p>
    <w:p>
      <w:pPr>
        <w:pStyle w:val="BookText"/>
      </w:pPr>
      <w:r>
        <w:rPr>
          <w:rFonts w:ascii="IRNazanin" w:hAnsi="IRNazanin" w:eastAsia="IRNazanin" w:cs="IRNazanin"/>
          <w:lang w:bidi="fa-IR"/>
          <w:color w:val="111111"/>
          <w:sz w:val="28"/>
          <w:szCs w:val="28"/>
          <w:rtl/>
        </w:rPr>
        <w:t xml:space="preserve">[شماره صفحه واقعی : 234]
</w:t>
      </w:r>
    </w:p>
    <w:p>
      <w:pPr>
        <w:sectPr>
          <w:footerReference w:type="default" r:id="rId1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یافت شود، خود او را باید بگیرند، توضیح این که در بنی اسرائیل قانونش این بود که دزد برای یک سال تمام به بردگی گرفته می‏شد، از این رو برادران یوسف چنین گفتند.</w:t>
      </w:r>
    </w:p>
    <w:p>
      <w:pPr>
        <w:pStyle w:val="BookText"/>
      </w:pPr>
      <w:r>
        <w:rPr>
          <w:rFonts w:ascii="IRNazanin" w:hAnsi="IRNazanin" w:eastAsia="IRNazanin" w:cs="IRNazanin"/>
          <w:lang w:bidi="fa-IR"/>
          <w:color w:val="111111"/>
          <w:sz w:val="28"/>
          <w:szCs w:val="28"/>
          <w:rtl/>
        </w:rPr>
        <w:t xml:space="preserve">فَهُوَ جَزاؤُهُ مجازاتش همین است نه غیر آن، مثل: حق فلان ان یکرم و ینعم علیه فذلک حقه: سزای او همین است. می‏توان گفت: «جَزاؤُهُ» مبتدا، و جمله شرطیه خبر، و اصلش چنین بوده: جزاؤه من وجد فی رحله فهو هو بنا بر این «جَزاؤُهُ» در جای «هو» قرار گرفته، قرار گرفتن ظاهر به جای مضمر.</w:t>
      </w:r>
    </w:p>
    <w:p>
      <w:pPr>
        <w:pStyle w:val="BookText"/>
      </w:pPr>
      <w:r>
        <w:rPr>
          <w:rFonts w:ascii="IRNazanin" w:hAnsi="IRNazanin" w:eastAsia="IRNazanin" w:cs="IRNazanin"/>
          <w:lang w:bidi="fa-IR"/>
          <w:color w:val="111111"/>
          <w:sz w:val="28"/>
          <w:szCs w:val="28"/>
          <w:rtl/>
        </w:rPr>
        <w:t xml:space="preserve">«فَبَدَأَ» یوسف برای پیدا کردن پیمانه که خودش آن را در میان بار برادرش بنیامین پنهان کرده بود به بازرسی پرداخت و به منظور رفع تهمت یا راه گم کردن اوّل از برادران دیگر آغاز کرد و چون در آن جاها پیدا نشد، آن را از میان ظرف بنیامین در آورد.</w:t>
      </w:r>
    </w:p>
    <w:p>
      <w:pPr>
        <w:pStyle w:val="BookText"/>
      </w:pPr>
      <w:r>
        <w:rPr>
          <w:rFonts w:ascii="IRNazanin" w:hAnsi="IRNazanin" w:eastAsia="IRNazanin" w:cs="IRNazanin"/>
          <w:lang w:bidi="fa-IR"/>
          <w:color w:val="111111"/>
          <w:sz w:val="28"/>
          <w:szCs w:val="28"/>
          <w:rtl/>
        </w:rPr>
        <w:t xml:space="preserve">کلمه «صواع» مذکر و مؤنّث به کار می‏رود و هر دو وجه در آن، صحیح است.</w:t>
      </w:r>
    </w:p>
    <w:p>
      <w:pPr>
        <w:pStyle w:val="BookText"/>
      </w:pPr>
      <w:r>
        <w:rPr>
          <w:rFonts w:ascii="IRNazanin" w:hAnsi="IRNazanin" w:eastAsia="IRNazanin" w:cs="IRNazanin"/>
          <w:lang w:bidi="fa-IR"/>
          <w:color w:val="111111"/>
          <w:sz w:val="28"/>
          <w:szCs w:val="28"/>
          <w:rtl/>
        </w:rPr>
        <w:t xml:space="preserve">«کذلک» مثل این حیله و مکر بزرگ، ما برای یوسف مکر کردیم یعنی به سوی او، وحی کردیم و او را آموختیم: ما کانَ لِیَأْخُذَ أَخاهُ فِی دِینِ الْمَلِکِ این جمله، تفسیر برای «کید» و توضیح آن است، زیرا قانون مملکت مصر درباره دزد این بود که حدّ بر او جاری شود و دو برابر آنچه سرقت کرده غرامت بدهد، نه این که به بردگی گرفته شود چنان که دین یعقوب بود.</w:t>
      </w:r>
    </w:p>
    <w:p>
      <w:pPr>
        <w:pStyle w:val="BookText"/>
      </w:pPr>
      <w:r>
        <w:rPr>
          <w:rFonts w:ascii="IRNazanin" w:hAnsi="IRNazanin" w:eastAsia="IRNazanin" w:cs="IRNazanin"/>
          <w:lang w:bidi="fa-IR"/>
          <w:color w:val="111111"/>
          <w:sz w:val="28"/>
          <w:szCs w:val="28"/>
          <w:rtl/>
        </w:rPr>
        <w:t xml:space="preserve">إِلَّا أَنْ یَشاءَ اللَّهُ حضرت یوسف خلافکار را مؤاخذه نمی‏کرد مگر به اذن خدا و خواسته او.</w:t>
      </w:r>
    </w:p>
    <w:p>
      <w:pPr>
        <w:pStyle w:val="BookText"/>
      </w:pPr>
      <w:r>
        <w:rPr>
          <w:rFonts w:ascii="IRNazanin" w:hAnsi="IRNazanin" w:eastAsia="IRNazanin" w:cs="IRNazanin"/>
          <w:lang w:bidi="fa-IR"/>
          <w:color w:val="111111"/>
          <w:sz w:val="28"/>
          <w:szCs w:val="28"/>
          <w:rtl/>
        </w:rPr>
        <w:t xml:space="preserve">نَرْفَعُ دَرَجاتٍ مَنْ نَشاءُ درجات علمی هر کس را بخواهیم بالا می‏بریم چنان که درباره یوسف چنین کردیم. «یرفع» با «ی» و «درجات» با تنوین نیز خوانده شده است.</w:t>
      </w:r>
    </w:p>
    <w:p>
      <w:pPr>
        <w:pStyle w:val="BookText"/>
      </w:pPr>
      <w:r>
        <w:rPr>
          <w:rFonts w:ascii="Amiri" w:hAnsi="Amiri" w:eastAsia="Amiri" w:cs="Amiri"/>
          <w:lang w:bidi="ar-SA"/>
          <w:color w:val="111111"/>
          <w:sz w:val="28"/>
          <w:szCs w:val="28"/>
          <w:rtl/>
        </w:rPr>
        <w:t xml:space="preserve">وَ فَوْقَ کُلِّ ذِی عِلْمٍ عَلِیمٌ بالاتر از هر عالمی عالمتری وجود دارد تا برسد به خدای تعالی که علمش ذاتی است و به معلوم خاصی منحصر نمی‏شود.</w:t>
      </w:r>
    </w:p>
    <w:p>
      <w:pPr>
        <w:pStyle w:val="BookText"/>
      </w:pPr>
      <w:r>
        <w:rPr>
          <w:rFonts w:ascii="IRNazanin" w:hAnsi="IRNazanin" w:eastAsia="IRNazanin" w:cs="IRNazanin"/>
          <w:lang w:bidi="fa-IR"/>
          <w:color w:val="111111"/>
          <w:sz w:val="28"/>
          <w:szCs w:val="28"/>
          <w:rtl/>
        </w:rPr>
        <w:t xml:space="preserve">[شماره صفحه واقعی : 235]
</w:t>
      </w:r>
    </w:p>
    <w:p>
      <w:pPr>
        <w:sectPr>
          <w:footerReference w:type="default" r:id="rId1334"/>
          <w:footnotePr>
            <w:numStart w:val="1"/>
            <w:numRestart w:val="eachPage"/>
          </w:footnotePr>
          <w:pgSz w:orient="portrait" w:w="11905.511811023622" w:h="16837.79527559055"/>
          <w:pgMar w:top="1440" w:right="1440" w:bottom="1440" w:left="1440" w:header="720" w:footer="720" w:gutter="0"/>
          <w:cols w:num="1" w:space="720"/>
        </w:sectPr>
      </w:pPr>
    </w:p>
    <w:bookmarkStart w:id="746" w:name="pg14411_143716"/>
    <w:bookmarkEnd w:id="746"/>
    <w:p>
      <w:pPr>
        <w:pStyle w:val="Heading6"/>
      </w:pPr>
      <w:bookmarkStart w:id="2478" w:name="_Toc1513"/>
      <w:r>
        <w:t>[سوره یوسف «12»: آیات 77 تا 80]</w:t>
      </w:r>
      <w:bookmarkEnd w:id="2478"/>
    </w:p>
    <w:p>
      <w:pPr>
        <w:pStyle w:val="Heading6"/>
      </w:pPr>
      <w:bookmarkStart w:id="2479" w:name="_Toc1514"/>
      <w:r>
        <w:t>اشاره</w:t>
      </w:r>
      <w:bookmarkEnd w:id="2479"/>
    </w:p>
    <w:p>
      <w:pPr>
        <w:pStyle w:val="BookText"/>
      </w:pPr>
      <w:r>
        <w:rPr>
          <w:rFonts w:ascii="Amiri" w:hAnsi="Amiri" w:eastAsia="Amiri" w:cs="Amiri"/>
          <w:lang w:bidi="ar-SA"/>
          <w:color w:val="111111"/>
          <w:sz w:val="28"/>
          <w:szCs w:val="28"/>
          <w:rtl/>
        </w:rPr>
        <w:t xml:space="preserve">قالُوا إِنْ یَسْرِقْ فَقَدْ سَرَقَ أَخٌ لَهُ مِنْ قَبْلُ فَأَسَرَّها یُوسُفُ فِی نَفْسِهِ وَ لَمْ یُبْدِها لَهُمْ قالَ أَنْتُمْ شَرٌّ مَکاناً وَ اللَّهُ أَعْلَمُ بِما تَصِفُونَ «77» قالُوا یا أَیُّهَا الْعَزِیزُ إِنَّ لَهُ أَباً شَیْخاً کَبِیراً فَخُذْ أَحَدَنا مَکانَهُ إِنَّا نَراکَ مِنَ الْمُحْسِنِینَ «78» قالَ مَعاذَ اللَّهِ أَنْ نَأْخُذَ إِلاَّ مَنْ وَجَدْنا مَتاعَنا عِنْدَهُ إِنَّا إِذاً لَظالِمُونَ «79» فَلَمَّا اسْتَیْأَسُوا مِنْهُ خَلَصُوا نَجِیًّا قالَ کَبِیرُهُمْ أَ لَمْ تَعْلَمُوا أَنَّ أَباکُمْ قَدْ أَخَذَ عَلَیْکُمْ مَوْثِقاً مِنَ اللَّهِ وَ مِنْ قَبْلُ ما فَرَّطْتُمْ فِی یُوسُفَ فَلَنْ أَبْرَحَ الْأَرْضَ حَتَّی یَأْذَنَ لِی أَبِی أَوْ یَحْکُمَ اللَّهُ لِی وَ هُوَ خَیْرُ الْحاکِمِینَ «80»</w:t>
      </w:r>
    </w:p>
    <w:p>
      <w:pPr>
        <w:pStyle w:val="Heading6"/>
      </w:pPr>
      <w:bookmarkStart w:id="2480" w:name="_Toc1515"/>
      <w:r>
        <w:t>ترجمه:</w:t>
      </w:r>
      <w:bookmarkEnd w:id="2480"/>
    </w:p>
    <w:p>
      <w:pPr>
        <w:pStyle w:val="BookText"/>
      </w:pPr>
      <w:r>
        <w:rPr>
          <w:rFonts w:ascii="IRNazanin" w:hAnsi="IRNazanin" w:eastAsia="IRNazanin" w:cs="IRNazanin"/>
          <w:lang w:bidi="fa-IR"/>
          <w:color w:val="111111"/>
          <w:sz w:val="28"/>
          <w:szCs w:val="28"/>
          <w:rtl/>
        </w:rPr>
        <w:t xml:space="preserve">برادران گفتند: اگر بنیامین دزدی کرده (تعجّبی نیست) زیرا برادر او نیز، پیش از این دزدی کرده بود، یوسف، مطلب را در دل نهان داشت و برای آنها آشکار نساخت، و گفت: موقعیّت شما، بدتر است، و خداوند به آنچه شما بیان می‏کنید آگاهتر است. «77»</w:t>
      </w:r>
    </w:p>
    <w:p>
      <w:pPr>
        <w:pStyle w:val="BookText"/>
      </w:pPr>
      <w:r>
        <w:rPr>
          <w:rFonts w:ascii="IRNazanin" w:hAnsi="IRNazanin" w:eastAsia="IRNazanin" w:cs="IRNazanin"/>
          <w:lang w:bidi="fa-IR"/>
          <w:color w:val="111111"/>
          <w:sz w:val="28"/>
          <w:szCs w:val="28"/>
          <w:rtl/>
        </w:rPr>
        <w:t xml:space="preserve">گفتند: ای عزیز، او پدر پیری دارد، یکی از ما را به جای بنیامین بگیر، که ما، تو را از نیکوکاران می‏بینیم. «78»</w:t>
      </w:r>
    </w:p>
    <w:p>
      <w:pPr>
        <w:pStyle w:val="BookText"/>
      </w:pPr>
      <w:r>
        <w:rPr>
          <w:rFonts w:ascii="IRNazanin" w:hAnsi="IRNazanin" w:eastAsia="IRNazanin" w:cs="IRNazanin"/>
          <w:lang w:bidi="fa-IR"/>
          <w:color w:val="111111"/>
          <w:sz w:val="28"/>
          <w:szCs w:val="28"/>
          <w:rtl/>
        </w:rPr>
        <w:t xml:space="preserve">یوسف گفت پناه بر خدا، که ما غیر از کسی که کالایمان را نزد او یافته‏ایم بگیریم که در آن صورت از ستمکاران خواهیم بود. «79»</w:t>
      </w:r>
    </w:p>
    <w:p>
      <w:pPr>
        <w:pStyle w:val="BookText"/>
      </w:pPr>
      <w:r>
        <w:rPr>
          <w:rFonts w:ascii="IRNazanin" w:hAnsi="IRNazanin" w:eastAsia="IRNazanin" w:cs="IRNazanin"/>
          <w:lang w:bidi="fa-IR"/>
          <w:color w:val="111111"/>
          <w:sz w:val="28"/>
          <w:szCs w:val="28"/>
          <w:rtl/>
        </w:rPr>
        <w:t xml:space="preserve">همین که از یوسف مأیوس شدند در خلوت با هم مشورت کردند، بزرگشان به آنها گفت: مگر نمی‏دانید که پدرتان از شما پیمانی الهی گرفته، و پیش از این هم درباره یوسف، کوتاهی کردید، بنا بر این من از این سرزمین حرکت نمی‏کنم، مگر این که پدرم به من اجازه دهد یا خدا درباره من فرمانی صادر کند، و او بهترین حاکمان است. «80»</w:t>
      </w:r>
    </w:p>
    <w:p>
      <w:pPr>
        <w:pStyle w:val="BookText"/>
      </w:pPr>
      <w:r>
        <w:rPr>
          <w:rFonts w:ascii="IRNazanin" w:hAnsi="IRNazanin" w:eastAsia="IRNazanin" w:cs="IRNazanin"/>
          <w:lang w:bidi="fa-IR"/>
          <w:color w:val="111111"/>
          <w:sz w:val="28"/>
          <w:szCs w:val="28"/>
          <w:rtl/>
        </w:rPr>
        <w:t xml:space="preserve">[شماره صفحه واقعی : 236]
</w:t>
      </w:r>
    </w:p>
    <w:p>
      <w:pPr>
        <w:sectPr>
          <w:footerReference w:type="default" r:id="rId1335"/>
          <w:footnotePr>
            <w:numStart w:val="1"/>
            <w:numRestart w:val="eachPage"/>
          </w:footnotePr>
          <w:pgSz w:orient="portrait" w:w="11905.511811023622" w:h="16837.79527559055"/>
          <w:pgMar w:top="1440" w:right="1440" w:bottom="1440" w:left="1440" w:header="720" w:footer="720" w:gutter="0"/>
          <w:cols w:num="1" w:space="720"/>
        </w:sectPr>
      </w:pPr>
    </w:p>
    <w:bookmarkStart w:id="747" w:name="pg14411_143717"/>
    <w:bookmarkEnd w:id="747"/>
    <w:p>
      <w:pPr>
        <w:pStyle w:val="Heading6"/>
      </w:pPr>
      <w:bookmarkStart w:id="2481" w:name="_Toc1516"/>
      <w:r>
        <w:t>تفسیر:</w:t>
      </w:r>
      <w:bookmarkEnd w:id="2481"/>
    </w:p>
    <w:p>
      <w:pPr>
        <w:pStyle w:val="BookText"/>
      </w:pPr>
      <w:r>
        <w:rPr>
          <w:rFonts w:ascii="IRNazanin" w:hAnsi="IRNazanin" w:eastAsia="IRNazanin" w:cs="IRNazanin"/>
          <w:lang w:bidi="fa-IR"/>
          <w:color w:val="111111"/>
          <w:sz w:val="28"/>
          <w:szCs w:val="28"/>
          <w:rtl/>
        </w:rPr>
        <w:t xml:space="preserve">أَخٌ لَهُ مراد از برادر بنیامین، یوسف است. و در نوع سرقتی که برادران به یوسف نسبت داده و گفتند: او نیز قبلا دزدی کرده بود، اختلاف شده است. درست‏ترین اقوال آن است که یوسف در دوران کودکی بعد از این که مادرش از دنیا رفت تحت حضانت عمّه‏اش قرار گرفت، عمّه‏اش او را بشدّت دوست می‏داشت چنان که نمی‏خواست او را از خود جدا سازد، امّا وقتی که یک مقدار رشد کرده بود یعقوب می‏خواست او را پیش خود ببرد، عمّه که از این امر ناراحت بود به بهانه‏ای متوسّل شد: کمربندی را که از اسحاق به او ارث رسیده بود- زیرا او بزرگترین فرزند پدرش بود- به کمر یوسف در زیر لباسهایش محکم بست و بعد گفت: یوسف کمربند را دزدیده و باید اینجا زندانی شود، و او را پیش خود نگاه داشت. </w:t>
      </w:r>
      <w:r>
        <w:rPr>
          <w:rStyle w:val="FootnoteReference"/>
        </w:rPr>
        <w:footnoteReference w:id="4519"/>
      </w:r>
    </w:p>
    <w:p>
      <w:pPr>
        <w:pStyle w:val="BookText"/>
      </w:pPr>
      <w:r>
        <w:rPr>
          <w:rFonts w:ascii="IRNazanin" w:hAnsi="IRNazanin" w:eastAsia="IRNazanin" w:cs="IRNazanin"/>
          <w:lang w:bidi="fa-IR"/>
          <w:color w:val="111111"/>
          <w:sz w:val="28"/>
          <w:szCs w:val="28"/>
          <w:rtl/>
        </w:rPr>
        <w:t xml:space="preserve">فَأَسَرَّها یُوسُفُ اضمار قبل از ذکر است، و جمله بعد: أَنْتُمْ شَرٌّ مَکاناً آن را تفسیر می‏کند، و گویی چنین گفته است: فأسرّ الجملة او الکلمة، یوسف، کلمه یا جمله «أَنْتُمْ شَرٌّ مَکاناً» را در دل خود پنهان داشت، مراد این است که در دل خود گفت، زیرا این جمله بدل از فعل: «اسرّها» می‏باشد یعنی: موضع شما در سرقت از او بدتر است، زیرا شما برادرتان را از پیش پدرتان ربودید.</w:t>
      </w:r>
    </w:p>
    <w:p>
      <w:pPr>
        <w:pStyle w:val="BookText"/>
      </w:pPr>
      <w:r>
        <w:rPr>
          <w:rFonts w:ascii="IRNazanin" w:hAnsi="IRNazanin" w:eastAsia="IRNazanin" w:cs="IRNazanin"/>
          <w:lang w:bidi="fa-IR"/>
          <w:color w:val="111111"/>
          <w:sz w:val="28"/>
          <w:szCs w:val="28"/>
          <w:rtl/>
        </w:rPr>
        <w:t xml:space="preserve">وَ اللَّهُ أَعْلَمُ بِما تَصِفُونَ خدا بهتر می‏داند که قضیه آن طور که شما می‏گویید، نیست و نسبت سرقت نه به من صحیح است و نه، به برادرم.</w:t>
      </w:r>
    </w:p>
    <w:p>
      <w:pPr>
        <w:pStyle w:val="BookText"/>
      </w:pPr>
      <w:r>
        <w:rPr>
          <w:rFonts w:ascii="IRNazanin" w:hAnsi="IRNazanin" w:eastAsia="IRNazanin" w:cs="IRNazanin"/>
          <w:lang w:bidi="fa-IR"/>
          <w:color w:val="111111"/>
          <w:sz w:val="28"/>
          <w:szCs w:val="28"/>
          <w:rtl/>
        </w:rPr>
        <w:t xml:space="preserve">وقتی که دیدند این حرف را یوسف نپذیرفت و ردّ کرد لحن سخن را عوض کرده، به التماس پرداختند و برای تحریک عواطف او، سخن از پدرشان یعقوب به</w:t>
      </w:r>
    </w:p>
    <w:p>
      <w:pPr>
        <w:pStyle w:val="BookText"/>
      </w:pPr>
      <w:r>
        <w:rPr>
          <w:rFonts w:ascii="IRNazanin" w:hAnsi="IRNazanin" w:eastAsia="IRNazanin" w:cs="IRNazanin"/>
          <w:lang w:bidi="fa-IR"/>
          <w:color w:val="111111"/>
          <w:sz w:val="28"/>
          <w:szCs w:val="28"/>
          <w:rtl/>
        </w:rPr>
        <w:t xml:space="preserve">[شماره صفحه واقعی : 237]
</w:t>
      </w:r>
    </w:p>
    <w:p>
      <w:pPr>
        <w:sectPr>
          <w:footerReference w:type="default" r:id="rId1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میان آوردند، بدین ترتیب که او مردی سالخورده و محترم است و این فرزندش:</w:t>
      </w:r>
    </w:p>
    <w:p>
      <w:pPr>
        <w:pStyle w:val="BookText"/>
      </w:pPr>
      <w:r>
        <w:rPr>
          <w:rFonts w:ascii="IRNazanin" w:hAnsi="IRNazanin" w:eastAsia="IRNazanin" w:cs="IRNazanin"/>
          <w:lang w:bidi="fa-IR"/>
          <w:color w:val="111111"/>
          <w:sz w:val="28"/>
          <w:szCs w:val="28"/>
          <w:rtl/>
        </w:rPr>
        <w:t xml:space="preserve">بنیامین مورد علاقه اوست. «فَخُذْ أَحَدَنا مَکانَهُ» پس یکی از ما را بعنوان وثیقه یا بردگی به جای او بگیر. «إِنَّا نَراکَ مِنَ الْمُحْسِنِینَ» تو که این همه به ما احسان کردی اکنون آن را به کمال برسان. معنای دیگر: تو که عادت و خویت نیکی است اکنون نیز به عادت خود نیکی را ادامه ده.</w:t>
      </w:r>
    </w:p>
    <w:p>
      <w:pPr>
        <w:pStyle w:val="BookText"/>
      </w:pPr>
      <w:r>
        <w:rPr>
          <w:rFonts w:ascii="Amiri" w:hAnsi="Amiri" w:eastAsia="Amiri" w:cs="Amiri"/>
          <w:lang w:bidi="ar-SA"/>
          <w:color w:val="111111"/>
          <w:sz w:val="28"/>
          <w:szCs w:val="28"/>
          <w:rtl/>
        </w:rPr>
        <w:t xml:space="preserve">قالَ مَعاذَ اللَّهِ این عبارت یک ظاهر و یک باطن دارد: معنای ظاهرش این است که:</w:t>
      </w:r>
    </w:p>
    <w:p>
      <w:pPr>
        <w:pStyle w:val="BookText"/>
      </w:pPr>
      <w:r>
        <w:rPr>
          <w:rFonts w:ascii="IRNazanin" w:hAnsi="IRNazanin" w:eastAsia="IRNazanin" w:cs="IRNazanin"/>
          <w:lang w:bidi="fa-IR"/>
          <w:color w:val="111111"/>
          <w:sz w:val="28"/>
          <w:szCs w:val="28"/>
          <w:rtl/>
        </w:rPr>
        <w:t xml:space="preserve">بر طبق فتوای خود شما باید همان کسی گرفته شود که «صواع ملک» در میان رحلش یافت شده و اگر غیر او را بگیریم به عقیده شما ظلم است. پس شما چیزی که می‏دانید ظلم است، از من طلب نکنید، امّا معنای باطنش این است که خدای تعالی بر طبق مصالحی که خود می‏داند مرا فرمان داده است که بنیامین را بگیرم و نزد خود نگهدارم، پس اگر غیر او را بگیرم ستمکار خواهم بود، زیرا در این صورت بر خلاف مأموریت خود عمل کرده‏ام، و معنای «مَعاذَ اللَّهِ أَنْ نَأْخُذَ» این است: پناه می‏بریم به خدا پناه بردنی، از این که دیگری را بگیریم ... و «اذا» جواب آنها و جزای شرط است، زیرا معنایش این است: ان نأخذ بدله ظلمنا فَلَمَّا اسْتَیْأَسُوا چون ناامید شدند، «خَلَصُوا» کنار رفتند، از مردم جدا شدند، تنها خودشان بودند و هیچ بیگانه‏ای در میانشان نبود. «نَجِیًّا» در حالی که با هم به نجوا پرداختند، بنا بر این، نجی مصدر و به معنای «تناجی» </w:t>
      </w:r>
      <w:r>
        <w:rPr>
          <w:rStyle w:val="FootnoteReference"/>
        </w:rPr>
        <w:footnoteReference w:id="4520"/>
      </w:r>
      <w:r>
        <w:rPr>
          <w:rFonts w:ascii="Amiri" w:hAnsi="Amiri" w:eastAsia="Amiri" w:cs="Amiri"/>
          <w:lang w:bidi="ar-SA"/>
          <w:color w:val="111111"/>
          <w:sz w:val="28"/>
          <w:szCs w:val="28"/>
          <w:rtl/>
        </w:rPr>
        <w:t xml:space="preserve">است، مثل: «وَ إِذْ هُمْ نَجْوی‏» </w:t>
      </w:r>
      <w:r>
        <w:rPr>
          <w:rStyle w:val="FootnoteReference"/>
        </w:rPr>
        <w:footnoteReference w:id="45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مصدر نازل منزله صفت شده. ممکن است در تقدیر: «قوما نجیّا» باشد: مناجی یعنی راز گوینده چون هر کدام با دیگری یواش حرف می‏زدند، مثل «عشیر و سمیر» که به</w:t>
      </w:r>
    </w:p>
    <w:p>
      <w:pPr>
        <w:pStyle w:val="BookText"/>
      </w:pPr>
      <w:r>
        <w:rPr>
          <w:rFonts w:ascii="IRNazanin" w:hAnsi="IRNazanin" w:eastAsia="IRNazanin" w:cs="IRNazanin"/>
          <w:lang w:bidi="fa-IR"/>
          <w:color w:val="111111"/>
          <w:sz w:val="28"/>
          <w:szCs w:val="28"/>
          <w:rtl/>
        </w:rPr>
        <w:t xml:space="preserve">[شماره صفحه واقعی : 238]
</w:t>
      </w:r>
    </w:p>
    <w:p>
      <w:pPr>
        <w:sectPr>
          <w:footerReference w:type="default" r:id="rId1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معنای «معاشر و مسامر» </w:t>
      </w:r>
      <w:r>
        <w:rPr>
          <w:rStyle w:val="FootnoteReference"/>
        </w:rPr>
        <w:footnoteReference w:id="4522"/>
      </w:r>
      <w:r>
        <w:rPr>
          <w:rFonts w:ascii="Amiri" w:hAnsi="Amiri" w:eastAsia="Amiri" w:cs="Amiri"/>
          <w:lang w:bidi="ar-SA"/>
          <w:color w:val="111111"/>
          <w:sz w:val="28"/>
          <w:szCs w:val="28"/>
          <w:rtl/>
        </w:rPr>
        <w:t xml:space="preserve">می‏باشد و از همین قبیل است قول خداوند: «وَ قَرَّبْناهُ نَجِیًّا» </w:t>
      </w:r>
      <w:r>
        <w:rPr>
          <w:rStyle w:val="FootnoteReference"/>
        </w:rPr>
        <w:footnoteReference w:id="4523"/>
      </w:r>
      <w:r>
        <w:rPr>
          <w:rFonts w:ascii="IRNazanin" w:hAnsi="IRNazanin" w:eastAsia="IRNazanin" w:cs="IRNazanin"/>
          <w:lang w:bidi="fa-IR"/>
          <w:color w:val="111111"/>
          <w:sz w:val="28"/>
          <w:szCs w:val="28"/>
          <w:rtl/>
        </w:rPr>
        <w:t xml:space="preserve">رازگویی در کارشان این بود که برگردند یا بمانند و اگر برگردند، درباره برادر به پدرشان چه بگویند؟</w:t>
      </w:r>
    </w:p>
    <w:p>
      <w:pPr>
        <w:pStyle w:val="BookText"/>
      </w:pPr>
      <w:r>
        <w:rPr>
          <w:rFonts w:ascii="IRNazanin" w:hAnsi="IRNazanin" w:eastAsia="IRNazanin" w:cs="IRNazanin"/>
          <w:lang w:bidi="fa-IR"/>
          <w:color w:val="111111"/>
          <w:sz w:val="28"/>
          <w:szCs w:val="28"/>
          <w:rtl/>
        </w:rPr>
        <w:t xml:space="preserve">قالَ کَبِیرُهُمْ «بزرگ آنها گفت» در این که مراد از کبیر کدام یک از آنهاست اقوالی است به قرار ذیل 1- مقصود بزرگ سنّی آنهاست که روبیل نام داشت.</w:t>
      </w:r>
    </w:p>
    <w:p>
      <w:pPr>
        <w:pStyle w:val="BookText"/>
      </w:pPr>
      <w:r>
        <w:rPr>
          <w:rFonts w:ascii="IRNazanin" w:hAnsi="IRNazanin" w:eastAsia="IRNazanin" w:cs="IRNazanin"/>
          <w:lang w:bidi="fa-IR"/>
          <w:color w:val="111111"/>
          <w:sz w:val="28"/>
          <w:szCs w:val="28"/>
          <w:rtl/>
        </w:rPr>
        <w:t xml:space="preserve">2- منظور رئیس و سرپرست آنهاست و او شمعون بود.</w:t>
      </w:r>
    </w:p>
    <w:p>
      <w:pPr>
        <w:pStyle w:val="BookText"/>
      </w:pPr>
      <w:r>
        <w:rPr>
          <w:rFonts w:ascii="IRNazanin" w:hAnsi="IRNazanin" w:eastAsia="IRNazanin" w:cs="IRNazanin"/>
          <w:lang w:bidi="fa-IR"/>
          <w:color w:val="111111"/>
          <w:sz w:val="28"/>
          <w:szCs w:val="28"/>
          <w:rtl/>
        </w:rPr>
        <w:t xml:space="preserve">3- آن که عقل و درکش از بقیه بیشتر بود و او، یا یهودا، و یا، لاوی بود.</w:t>
      </w:r>
    </w:p>
    <w:p>
      <w:pPr>
        <w:pStyle w:val="BookText"/>
      </w:pPr>
      <w:r>
        <w:rPr>
          <w:rFonts w:ascii="IRNazanin" w:hAnsi="IRNazanin" w:eastAsia="IRNazanin" w:cs="IRNazanin"/>
          <w:lang w:bidi="fa-IR"/>
          <w:color w:val="111111"/>
          <w:sz w:val="28"/>
          <w:szCs w:val="28"/>
          <w:rtl/>
        </w:rPr>
        <w:t xml:space="preserve">أَ لَمْ تَعْلَمُوا أَنَّ أَباکُمْ قَدْ أَخَذَ عَلَیْکُمْ مَوْثِقاً مِنَ اللَّهِ؟ برادر بزرگ آنها را به یاد پیمان محکمی انداخت که یعقوب از آنها گرفته بود.</w:t>
      </w:r>
    </w:p>
    <w:p>
      <w:pPr>
        <w:pStyle w:val="BookText"/>
      </w:pPr>
      <w:r>
        <w:rPr>
          <w:rFonts w:ascii="IRNazanin" w:hAnsi="IRNazanin" w:eastAsia="IRNazanin" w:cs="IRNazanin"/>
          <w:lang w:bidi="fa-IR"/>
          <w:color w:val="111111"/>
          <w:sz w:val="28"/>
          <w:szCs w:val="28"/>
          <w:rtl/>
        </w:rPr>
        <w:t xml:space="preserve">وَ مِنْ قَبْلُ ما فَرَّطْتُمْ فِی یُوسُفَ در تفسیر این فراز چند وجه زیرا را ذکر کرده‏اند.</w:t>
      </w:r>
    </w:p>
    <w:p>
      <w:pPr>
        <w:pStyle w:val="BookText"/>
      </w:pPr>
      <w:r>
        <w:rPr>
          <w:rFonts w:ascii="IRNazanin" w:hAnsi="IRNazanin" w:eastAsia="IRNazanin" w:cs="IRNazanin"/>
          <w:lang w:bidi="fa-IR"/>
          <w:color w:val="111111"/>
          <w:sz w:val="28"/>
          <w:szCs w:val="28"/>
          <w:rtl/>
        </w:rPr>
        <w:t xml:space="preserve">1- «ما» زایده است: «و من قبل هذا فرّطتم» (پیش از این، در شان یوسف کوتاهی کردید، و پیمان پدر را رعایت ننمودید).</w:t>
      </w:r>
    </w:p>
    <w:p>
      <w:pPr>
        <w:pStyle w:val="BookText"/>
      </w:pPr>
      <w:r>
        <w:rPr>
          <w:rFonts w:ascii="IRNazanin" w:hAnsi="IRNazanin" w:eastAsia="IRNazanin" w:cs="IRNazanin"/>
          <w:lang w:bidi="fa-IR"/>
          <w:color w:val="111111"/>
          <w:sz w:val="28"/>
          <w:szCs w:val="28"/>
          <w:rtl/>
        </w:rPr>
        <w:t xml:space="preserve">2- «ما» مصدریه، و با این وجه در اعراب آن، دو قول است:</w:t>
      </w:r>
    </w:p>
    <w:p>
      <w:pPr>
        <w:pStyle w:val="BookText"/>
      </w:pPr>
      <w:r>
        <w:rPr>
          <w:rFonts w:ascii="IRNazanin" w:hAnsi="IRNazanin" w:eastAsia="IRNazanin" w:cs="IRNazanin"/>
          <w:lang w:bidi="fa-IR"/>
          <w:color w:val="111111"/>
          <w:sz w:val="28"/>
          <w:szCs w:val="28"/>
          <w:rtl/>
        </w:rPr>
        <w:t xml:space="preserve">الف: مبتدا و در محلّ رفع، و «مِنْ قَبْلُ» خبر آن باشد: وقع من قبل تفریطکم فی یوسف: کوتاهی شما درباره یوسف، پیش از این واقع شد.</w:t>
      </w:r>
    </w:p>
    <w:p>
      <w:pPr>
        <w:pStyle w:val="BookText"/>
      </w:pPr>
      <w:r>
        <w:rPr>
          <w:rFonts w:ascii="Amiri" w:hAnsi="Amiri" w:eastAsia="Amiri" w:cs="Amiri"/>
          <w:lang w:bidi="ar-SA"/>
          <w:color w:val="111111"/>
          <w:sz w:val="28"/>
          <w:szCs w:val="28"/>
          <w:rtl/>
        </w:rPr>
        <w:t xml:space="preserve">ب: در محل نصب و عطف بر مفعول فعل: «أَ لَمْ تَعْلَمُوا» باشد: الم تعلموا أخذ ابیکم موثقا ...</w:t>
      </w:r>
    </w:p>
    <w:p>
      <w:pPr>
        <w:pStyle w:val="BookText"/>
      </w:pPr>
      <w:r>
        <w:rPr>
          <w:rFonts w:ascii="IRNazanin" w:hAnsi="IRNazanin" w:eastAsia="IRNazanin" w:cs="IRNazanin"/>
          <w:lang w:bidi="fa-IR"/>
          <w:color w:val="111111"/>
          <w:sz w:val="28"/>
          <w:szCs w:val="28"/>
          <w:rtl/>
        </w:rPr>
        <w:t xml:space="preserve">3- «ما» موصوله باشد: «و من قبل هذا ما فرطتموه ...»، این جا نیز دو قولی که در اعراب وجه دوم ذکر کردیم محتمل است: رفع بنا بر ابتدائیت، و نصب بنا بر مفعولیت.</w:t>
      </w:r>
    </w:p>
    <w:p>
      <w:pPr>
        <w:pStyle w:val="BookText"/>
      </w:pPr>
      <w:r>
        <w:rPr>
          <w:rFonts w:ascii="IRNazanin" w:hAnsi="IRNazanin" w:eastAsia="IRNazanin" w:cs="IRNazanin"/>
          <w:lang w:bidi="fa-IR"/>
          <w:color w:val="111111"/>
          <w:sz w:val="28"/>
          <w:szCs w:val="28"/>
          <w:rtl/>
        </w:rPr>
        <w:t xml:space="preserve">[شماره صفحه واقعی : 239]
</w:t>
      </w:r>
    </w:p>
    <w:p>
      <w:pPr>
        <w:sectPr>
          <w:footerReference w:type="default" r:id="rId1338"/>
          <w:footnotePr>
            <w:numStart w:val="1"/>
            <w:numRestart w:val="eachPage"/>
          </w:footnotePr>
          <w:pgSz w:orient="portrait" w:w="11905.511811023622" w:h="16837.79527559055"/>
          <w:pgMar w:top="1440" w:right="1440" w:bottom="1440" w:left="1440" w:header="720" w:footer="720" w:gutter="0"/>
          <w:cols w:num="1" w:space="720"/>
        </w:sectPr>
      </w:pPr>
    </w:p>
    <w:bookmarkStart w:id="748" w:name="pg14411_143720"/>
    <w:bookmarkEnd w:id="748"/>
    <w:p>
      <w:pPr>
        <w:pStyle w:val="BookText"/>
      </w:pPr>
      <w:r>
        <w:rPr>
          <w:rFonts w:ascii="IRNazanin" w:hAnsi="IRNazanin" w:eastAsia="IRNazanin" w:cs="IRNazanin"/>
          <w:lang w:bidi="fa-IR"/>
          <w:color w:val="111111"/>
          <w:sz w:val="28"/>
          <w:szCs w:val="28"/>
          <w:rtl/>
        </w:rPr>
        <w:t xml:space="preserve">فَلَنْ أَبْرَحَ الْأَرْضَ از سرزمین مصر جدا نمی‏شوم، مگر پدرم به من اجازه دهد که به سوی او، بازگردم، «أَوْ یَحْکُمَ اللَّهُ لِی» یا خدا برای من حکمی صادر کند، که از مصر خارج شوم، یا حق مرا از کسی که برادرم را گرفته بستاند، و یا برادرم را از دست او، رهایی بخشد.</w:t>
      </w:r>
    </w:p>
    <w:p>
      <w:pPr>
        <w:pStyle w:val="Heading6"/>
      </w:pPr>
      <w:bookmarkStart w:id="2482" w:name="_Toc1517"/>
      <w:r>
        <w:t>[سوره یوسف «12»: آیات 81 تا 87]</w:t>
      </w:r>
      <w:bookmarkEnd w:id="2482"/>
    </w:p>
    <w:p>
      <w:pPr>
        <w:pStyle w:val="Heading6"/>
      </w:pPr>
      <w:bookmarkStart w:id="2483" w:name="_Toc1518"/>
      <w:r>
        <w:t>اشاره</w:t>
      </w:r>
      <w:bookmarkEnd w:id="2483"/>
    </w:p>
    <w:p>
      <w:pPr>
        <w:pStyle w:val="BookText"/>
      </w:pPr>
      <w:r>
        <w:rPr>
          <w:rFonts w:ascii="Amiri" w:hAnsi="Amiri" w:eastAsia="Amiri" w:cs="Amiri"/>
          <w:lang w:bidi="ar-SA"/>
          <w:color w:val="111111"/>
          <w:sz w:val="28"/>
          <w:szCs w:val="28"/>
          <w:rtl/>
        </w:rPr>
        <w:t xml:space="preserve">ارْجِعُوا إِلی‏ أَبِیکُمْ فَقُولُوا یا أَبانا إِنَّ ابْنَکَ سَرَقَ وَ ما شَهِدْنا إِلاَّ بِما عَلِمْنا وَ ما کُنَّا لِلْغَیْبِ حافِظِینَ «81» وَ سْئَلِ الْقَرْیَةَ الَّتِی کُنَّا فِیها وَ الْعِیرَ الَّتِی أَقْبَلْنا فِیها وَ إِنَّا لَصادِقُونَ «82» قالَ بَلْ سَوَّلَتْ لَکُمْ أَنْفُسُکُمْ أَمْراً فَصَبْرٌ جَمِیلٌ عَسَی اللَّهُ أَنْ یَأْتِیَنِی بِهِمْ جَمِیعاً إِنَّهُ هُوَ الْعَلِیمُ الْحَکِیمُ «83» وَ تَوَلَّی عَنْهُمْ وَ قالَ یا أَسَفی‏ عَلی‏ یُوسُفَ وَ ابْیَضَّتْ عَیْناهُ مِنَ الْحُزْنِ فَهُوَ کَظِیمٌ «84» قالُوا تَاللَّهِ تَفْتَؤُا تَذْکُرُ یُوسُفَ حَتَّی تَکُونَ حَرَضاً أَوْ تَکُونَ مِنَ الْهالِکِینَ «85»</w:t>
      </w:r>
    </w:p>
    <w:p>
      <w:pPr>
        <w:pStyle w:val="BookText"/>
      </w:pPr>
      <w:r>
        <w:rPr>
          <w:rFonts w:ascii="Amiri" w:hAnsi="Amiri" w:eastAsia="Amiri" w:cs="Amiri"/>
          <w:lang w:bidi="ar-SA"/>
          <w:color w:val="111111"/>
          <w:sz w:val="28"/>
          <w:szCs w:val="28"/>
          <w:rtl/>
        </w:rPr>
        <w:t xml:space="preserve">قالَ إِنَّما أَشْکُوا بَثِّی وَ حُزْنِی إِلَی اللَّهِ وَ أَعْلَمُ مِنَ اللَّهِ ما لا تَعْلَمُونَ «86» یا بَنِیَّ اذْهَبُوا فَتَحَسَّسُوا مِنْ یُوسُفَ وَ أَخِیهِ وَ لا تَیْأَسُوا مِنْ رَوْحِ اللَّهِ إِنَّهُ لا یَیْأَسُ مِنْ رَوْحِ اللَّهِ إِلاَّ الْقَوْمُ الْکافِرُونَ «87»</w:t>
      </w:r>
    </w:p>
    <w:p>
      <w:pPr>
        <w:pStyle w:val="Heading6"/>
      </w:pPr>
      <w:bookmarkStart w:id="2484" w:name="_Toc1519"/>
      <w:r>
        <w:t>ترجمه:</w:t>
      </w:r>
      <w:bookmarkEnd w:id="2484"/>
    </w:p>
    <w:p>
      <w:pPr>
        <w:pStyle w:val="BookText"/>
      </w:pPr>
      <w:r>
        <w:rPr>
          <w:rFonts w:ascii="IRNazanin" w:hAnsi="IRNazanin" w:eastAsia="IRNazanin" w:cs="IRNazanin"/>
          <w:lang w:bidi="fa-IR"/>
          <w:color w:val="111111"/>
          <w:sz w:val="28"/>
          <w:szCs w:val="28"/>
          <w:rtl/>
        </w:rPr>
        <w:t xml:space="preserve">به نزد پدرتان بازگردید و بگویید: ای پدر، پسرت دزدی کرد، و ما، جز بر آنچه که دانستیم گواهی ندادیم، و ما از غیب خبر نداشتیم. «81»</w:t>
      </w:r>
    </w:p>
    <w:p>
      <w:pPr>
        <w:pStyle w:val="BookText"/>
      </w:pPr>
      <w:r>
        <w:rPr>
          <w:rFonts w:ascii="IRNazanin" w:hAnsi="IRNazanin" w:eastAsia="IRNazanin" w:cs="IRNazanin"/>
          <w:lang w:bidi="fa-IR"/>
          <w:color w:val="111111"/>
          <w:sz w:val="28"/>
          <w:szCs w:val="28"/>
          <w:rtl/>
        </w:rPr>
        <w:t xml:space="preserve">و از مردم شهری که، ما، در آن بودیم و از کاروانی که همراهشان آمدیم سؤال کنی و ما حتما راست گوییم. «82»</w:t>
      </w:r>
    </w:p>
    <w:p>
      <w:pPr>
        <w:pStyle w:val="BookText"/>
      </w:pPr>
      <w:r>
        <w:rPr>
          <w:rFonts w:ascii="IRNazanin" w:hAnsi="IRNazanin" w:eastAsia="IRNazanin" w:cs="IRNazanin"/>
          <w:lang w:bidi="fa-IR"/>
          <w:color w:val="111111"/>
          <w:sz w:val="28"/>
          <w:szCs w:val="28"/>
          <w:rtl/>
        </w:rPr>
        <w:t xml:space="preserve">یعقوب گفت: بلکه هواهای نفسانی‏تان، چیزی را برای شما آراست، پس صبری نیکو، باید، امید است خدا همه‏شان را به من بازگرداند که او، بسیار دانا و با حکمت است. «83»</w:t>
      </w:r>
    </w:p>
    <w:p>
      <w:pPr>
        <w:pStyle w:val="BookText"/>
      </w:pPr>
      <w:r>
        <w:rPr>
          <w:rFonts w:ascii="IRNazanin" w:hAnsi="IRNazanin" w:eastAsia="IRNazanin" w:cs="IRNazanin"/>
          <w:lang w:bidi="fa-IR"/>
          <w:color w:val="111111"/>
          <w:sz w:val="28"/>
          <w:szCs w:val="28"/>
          <w:rtl/>
        </w:rPr>
        <w:t xml:space="preserve">و روی از آنها بگردانید و گفت: ای دریغا از یوسف! و دیدگانش از اندوه سفید شد، و خشم خود را می‏خورد. «84»</w:t>
      </w:r>
    </w:p>
    <w:p>
      <w:pPr>
        <w:pStyle w:val="BookText"/>
      </w:pPr>
      <w:r>
        <w:rPr>
          <w:rFonts w:ascii="IRNazanin" w:hAnsi="IRNazanin" w:eastAsia="IRNazanin" w:cs="IRNazanin"/>
          <w:lang w:bidi="fa-IR"/>
          <w:color w:val="111111"/>
          <w:sz w:val="28"/>
          <w:szCs w:val="28"/>
          <w:rtl/>
        </w:rPr>
        <w:t xml:space="preserve">[شماره صفحه واقعی : 240]
</w:t>
      </w:r>
    </w:p>
    <w:p>
      <w:pPr>
        <w:sectPr>
          <w:footerReference w:type="default" r:id="rId1339"/>
          <w:footnotePr>
            <w:numStart w:val="1"/>
            <w:numRestart w:val="eachPage"/>
          </w:footnotePr>
          <w:pgSz w:orient="portrait" w:w="11905.511811023622" w:h="16837.79527559055"/>
          <w:pgMar w:top="1440" w:right="1440" w:bottom="1440" w:left="1440" w:header="720" w:footer="720" w:gutter="0"/>
          <w:cols w:num="1" w:space="720"/>
        </w:sectPr>
      </w:pPr>
    </w:p>
    <w:bookmarkStart w:id="749" w:name="pg14411_143721"/>
    <w:bookmarkEnd w:id="749"/>
    <w:p>
      <w:pPr>
        <w:pStyle w:val="BookText"/>
      </w:pPr>
      <w:r>
        <w:rPr>
          <w:rFonts w:ascii="IRNazanin" w:hAnsi="IRNazanin" w:eastAsia="IRNazanin" w:cs="IRNazanin"/>
          <w:lang w:bidi="fa-IR"/>
          <w:color w:val="111111"/>
          <w:sz w:val="28"/>
          <w:szCs w:val="28"/>
          <w:rtl/>
        </w:rPr>
        <w:t xml:space="preserve">فرزندان گفتند: به خدا سوگند آن قدر به یاد یوسف هستی تا این که مشرف به مرگ شوی و یا از دنیا بروی. «85»</w:t>
      </w:r>
    </w:p>
    <w:p>
      <w:pPr>
        <w:pStyle w:val="BookText"/>
      </w:pPr>
      <w:r>
        <w:rPr>
          <w:rFonts w:ascii="IRNazanin" w:hAnsi="IRNazanin" w:eastAsia="IRNazanin" w:cs="IRNazanin"/>
          <w:lang w:bidi="fa-IR"/>
          <w:color w:val="111111"/>
          <w:sz w:val="28"/>
          <w:szCs w:val="28"/>
          <w:rtl/>
        </w:rPr>
        <w:t xml:space="preserve">گفت:</w:t>
      </w:r>
    </w:p>
    <w:p>
      <w:pPr>
        <w:pStyle w:val="BookText"/>
      </w:pPr>
      <w:r>
        <w:rPr>
          <w:rFonts w:ascii="IRNazanin" w:hAnsi="IRNazanin" w:eastAsia="IRNazanin" w:cs="IRNazanin"/>
          <w:lang w:bidi="fa-IR"/>
          <w:color w:val="111111"/>
          <w:sz w:val="28"/>
          <w:szCs w:val="28"/>
          <w:rtl/>
        </w:rPr>
        <w:t xml:space="preserve">شکایت در دل و اندوهم را به خدا می‏گویم، و از خدا چیزهایی می‏دانم که شما نمی‏دانید. «86»</w:t>
      </w:r>
    </w:p>
    <w:p>
      <w:pPr>
        <w:pStyle w:val="BookText"/>
      </w:pPr>
      <w:r>
        <w:rPr>
          <w:rFonts w:ascii="IRNazanin" w:hAnsi="IRNazanin" w:eastAsia="IRNazanin" w:cs="IRNazanin"/>
          <w:lang w:bidi="fa-IR"/>
          <w:color w:val="111111"/>
          <w:sz w:val="28"/>
          <w:szCs w:val="28"/>
          <w:rtl/>
        </w:rPr>
        <w:t xml:space="preserve">ای پسران من! بروید و از یوسف و برادرش جستجو کنید، و از رحمت خدا ناامید نشوید که جز مردمان کافر هیچ کس از رحمت خدا نومید نمی‏شود. «87»</w:t>
      </w:r>
    </w:p>
    <w:p>
      <w:pPr>
        <w:pStyle w:val="Heading6"/>
      </w:pPr>
      <w:bookmarkStart w:id="2485" w:name="_Toc1520"/>
      <w:r>
        <w:t>تفسیر:</w:t>
      </w:r>
      <w:bookmarkEnd w:id="2485"/>
    </w:p>
    <w:p>
      <w:pPr>
        <w:pStyle w:val="BookText"/>
      </w:pPr>
      <w:r>
        <w:rPr>
          <w:rFonts w:ascii="IRNazanin" w:hAnsi="IRNazanin" w:eastAsia="IRNazanin" w:cs="IRNazanin"/>
          <w:lang w:bidi="fa-IR"/>
          <w:color w:val="111111"/>
          <w:sz w:val="28"/>
          <w:szCs w:val="28"/>
          <w:rtl/>
        </w:rPr>
        <w:t xml:space="preserve">وَ ما شَهِدْنا إِلَّا بِما عَلِمْنا ما فقط از ظاهر خبر داریم که پیمانه عزیز مصر از میان بار و بنه او بیرون آورده شد.</w:t>
      </w:r>
    </w:p>
    <w:p>
      <w:pPr>
        <w:pStyle w:val="BookText"/>
      </w:pPr>
      <w:r>
        <w:rPr>
          <w:rFonts w:ascii="IRNazanin" w:hAnsi="IRNazanin" w:eastAsia="IRNazanin" w:cs="IRNazanin"/>
          <w:lang w:bidi="fa-IR"/>
          <w:color w:val="111111"/>
          <w:sz w:val="28"/>
          <w:szCs w:val="28"/>
          <w:rtl/>
        </w:rPr>
        <w:t xml:space="preserve">وَ ما کُنَّا لِلْغَیْبِ حافِظِینَ از باطن امر آگاه نیستیم که آیا [بنیامین‏] در واقع آن را دزدیده، یا این که کسی آن را در میان رحل او گذاشته بوده است.</w:t>
      </w:r>
    </w:p>
    <w:p>
      <w:pPr>
        <w:pStyle w:val="BookText"/>
      </w:pPr>
      <w:r>
        <w:rPr>
          <w:rFonts w:ascii="IRNazanin" w:hAnsi="IRNazanin" w:eastAsia="IRNazanin" w:cs="IRNazanin"/>
          <w:lang w:bidi="fa-IR"/>
          <w:color w:val="111111"/>
          <w:sz w:val="28"/>
          <w:szCs w:val="28"/>
          <w:rtl/>
        </w:rPr>
        <w:t xml:space="preserve">وَ سْئَلِ الْقَرْیَةَ الَّتِی کُنَّا فِیها منظور کشور مصر است: کسی را بفرست به سوی اهل مصر، و از آنها درباره اصل داستان جویا شو. «وَ الْعِیرَ الَّتِی أَقْبَلْنا فِیها» و نیز از اصحاب قافله، خلاصه این که فرزندان یعقوب به نزد پدر بازگشتند و این مطالب را از قول برادر بزرگ که همانجا باقی مانده بود پیش پدر گفتند، امّا یعقوب در جواب آنها گفت: «بَلْ سَوَّلَتْ لَکُمْ أَنْفُسُکُمْ أَمْراً» این امر از اراده شما برخاسته و اگر شما چیزی به او [یعنی عزیز مصر] نمی‏گفتید وی از کجا می‏دانست که باید دزد را به بردگی بگیرد؟</w:t>
      </w:r>
    </w:p>
    <w:p>
      <w:pPr>
        <w:pStyle w:val="BookText"/>
      </w:pPr>
      <w:r>
        <w:rPr>
          <w:rFonts w:ascii="Amiri" w:hAnsi="Amiri" w:eastAsia="Amiri" w:cs="Amiri"/>
          <w:lang w:bidi="ar-SA"/>
          <w:color w:val="111111"/>
          <w:sz w:val="28"/>
          <w:szCs w:val="28"/>
          <w:rtl/>
        </w:rPr>
        <w:t xml:space="preserve">عَسَی اللَّهُ أَنْ یَأْتِیَنِی بِهِمْ جَمِیعاً مراد، یوسف، برادرش: بنیامین، و روبین یا غیر اوست.</w:t>
      </w:r>
    </w:p>
    <w:p>
      <w:pPr>
        <w:pStyle w:val="BookText"/>
      </w:pPr>
      <w:r>
        <w:rPr>
          <w:rFonts w:ascii="IRNazanin" w:hAnsi="IRNazanin" w:eastAsia="IRNazanin" w:cs="IRNazanin"/>
          <w:lang w:bidi="fa-IR"/>
          <w:color w:val="111111"/>
          <w:sz w:val="28"/>
          <w:szCs w:val="28"/>
          <w:rtl/>
        </w:rPr>
        <w:t xml:space="preserve">[شماره صفحه واقعی : 241]
</w:t>
      </w:r>
    </w:p>
    <w:p>
      <w:pPr>
        <w:sectPr>
          <w:footerReference w:type="default" r:id="rId1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إِنَّهُ هُوَ الْعَلِیمُ او از غم و اندوه و درد دل من آگاه است، «الْحَکِیمُ» آنچه بر سر من آورد از روی حکمت و مصلحت است. «وَ تَوَلَّی» از ناراحتی درباره خبرهای تأسف آوری که آورده بودند، رو از آنها برگرداند، و گفت: «یا أَسَفی‏»: «الف»، بدل از «یاء» متکلم است، و «اسف» را که عبارت از شدّت اندوه و حسرت است به خودش نسبت داده، و اظهار تأسف برای یوسف و نه برای دیگران دلیل بر آن است که در نزد یعقوب چیزی جای او را نگرفته و غم او با گذشت زمان طولانی، تر و تازه است.</w:t>
      </w:r>
    </w:p>
    <w:p>
      <w:pPr>
        <w:pStyle w:val="BookText"/>
      </w:pPr>
      <w:r>
        <w:rPr>
          <w:rFonts w:ascii="IRNazanin" w:hAnsi="IRNazanin" w:eastAsia="IRNazanin" w:cs="IRNazanin"/>
          <w:lang w:bidi="fa-IR"/>
          <w:color w:val="111111"/>
          <w:sz w:val="28"/>
          <w:szCs w:val="28"/>
          <w:rtl/>
        </w:rPr>
        <w:t xml:space="preserve">وَ ابْیَضَّتْ عَیْناهُ مِنَ الْحُزْنِ چشمانش از غم و گریه بر یوسف سفید شد و نزدیک بود که بکلّی نابینا شود، خیلی ضعیف و کم سو می‏دید، بعضی گفته‏اند اصلا بینایی را از دست داده بود. «فَهُوَ کَظِیمٌ» دلش از کافر فرزندانش پر از خشم و غضب بود، ولی برای آنها آشکار نمی‏کرد. «تَفْتَؤُا» در تقدیر: «لا تفتأ»، حرف نفی بدلیل عدم اشتباه حذف شده، زیرا اگر به معنای اثبات باشد باید با لام قسم و نون تأکید آورده می‏شد: (لتفتؤنّ).</w:t>
      </w:r>
    </w:p>
    <w:p>
      <w:pPr>
        <w:pStyle w:val="BookText"/>
      </w:pPr>
      <w:r>
        <w:rPr>
          <w:rFonts w:ascii="IRNazanin" w:hAnsi="IRNazanin" w:eastAsia="IRNazanin" w:cs="IRNazanin"/>
          <w:lang w:bidi="fa-IR"/>
          <w:color w:val="111111"/>
          <w:sz w:val="28"/>
          <w:szCs w:val="28"/>
          <w:rtl/>
        </w:rPr>
        <w:t xml:space="preserve">از همین قبیل است قول شاعر:</w:t>
      </w:r>
    </w:p>
    <w:p>
      <w:pPr>
        <w:pStyle w:val="BookText"/>
      </w:pPr>
      <w:r>
        <w:rPr>
          <w:rFonts w:ascii="IRNazanin" w:hAnsi="IRNazanin" w:eastAsia="IRNazanin" w:cs="IRNazanin"/>
          <w:lang w:bidi="fa-IR"/>
          <w:color w:val="111111"/>
          <w:sz w:val="28"/>
          <w:szCs w:val="28"/>
          <w:rtl/>
        </w:rPr>
        <w:t xml:space="preserve">فقلت یمین اللَّه أبرح قاعدا</w:t>
      </w:r>
    </w:p>
    <w:p>
      <w:pPr>
        <w:pStyle w:val="BookText"/>
      </w:pPr>
      <w:r>
        <w:rPr>
          <w:rFonts w:ascii="IRNazanin" w:hAnsi="IRNazanin" w:eastAsia="IRNazanin" w:cs="IRNazanin"/>
          <w:lang w:bidi="fa-IR"/>
          <w:color w:val="111111"/>
          <w:sz w:val="28"/>
          <w:szCs w:val="28"/>
          <w:rtl/>
        </w:rPr>
        <w:t xml:space="preserve">:پس گفتم به خدا سوگند که پیوسته نشسته‏ام. </w:t>
      </w:r>
      <w:r>
        <w:rPr>
          <w:rStyle w:val="FootnoteReference"/>
        </w:rPr>
        <w:footnoteReference w:id="4524"/>
      </w:r>
    </w:p>
    <w:p>
      <w:pPr>
        <w:pStyle w:val="BookText"/>
      </w:pPr>
      <w:r>
        <w:rPr>
          <w:rFonts w:ascii="IRNazanin" w:hAnsi="IRNazanin" w:eastAsia="IRNazanin" w:cs="IRNazanin"/>
          <w:lang w:bidi="fa-IR"/>
          <w:color w:val="111111"/>
          <w:sz w:val="28"/>
          <w:szCs w:val="28"/>
          <w:rtl/>
        </w:rPr>
        <w:t xml:space="preserve">و لو قطعوا رأسی لدیک و اوصالی‏</w:t>
      </w:r>
    </w:p>
    <w:p>
      <w:pPr>
        <w:pStyle w:val="BookText"/>
      </w:pPr>
      <w:r>
        <w:rPr>
          <w:rFonts w:ascii="IRNazanin" w:hAnsi="IRNazanin" w:eastAsia="IRNazanin" w:cs="IRNazanin"/>
          <w:lang w:bidi="fa-IR"/>
          <w:color w:val="111111"/>
          <w:sz w:val="28"/>
          <w:szCs w:val="28"/>
          <w:rtl/>
        </w:rPr>
        <w:t xml:space="preserve">(اگر چه نزد تو سر و تمام اعضایم را جدا کنند) م.</w:t>
      </w:r>
    </w:p>
    <w:p>
      <w:pPr>
        <w:pStyle w:val="BookText"/>
      </w:pPr>
      <w:r>
        <w:rPr>
          <w:rFonts w:ascii="Amiri" w:hAnsi="Amiri" w:eastAsia="Amiri" w:cs="Amiri"/>
          <w:lang w:bidi="ar-SA"/>
          <w:color w:val="111111"/>
          <w:sz w:val="28"/>
          <w:szCs w:val="28"/>
          <w:rtl/>
        </w:rPr>
        <w:t xml:space="preserve">حَتَّی تَکُونَ حَرَضاً «حرض» </w:t>
      </w:r>
      <w:r>
        <w:rPr>
          <w:rStyle w:val="FootnoteReference"/>
        </w:rPr>
        <w:footnoteReference w:id="4525"/>
      </w:r>
    </w:p>
    <w:p>
      <w:pPr>
        <w:pStyle w:val="BookText"/>
      </w:pPr>
      <w:r>
        <w:rPr>
          <w:rFonts w:ascii="IRNazanin" w:hAnsi="IRNazanin" w:eastAsia="IRNazanin" w:cs="IRNazanin"/>
          <w:lang w:bidi="fa-IR"/>
          <w:color w:val="111111"/>
          <w:sz w:val="28"/>
          <w:szCs w:val="28"/>
          <w:rtl/>
        </w:rPr>
        <w:t xml:space="preserve">حرض: مشرف بر هلاکت، «رجل حرض و حارض»: فاسدا الجسم و العقل، «احرضه»: او را فاسد کرد، ترجمه مجمع البیان- م.</w:t>
      </w:r>
    </w:p>
    <w:p>
      <w:pPr>
        <w:pStyle w:val="BookText"/>
      </w:pPr>
      <w:r>
        <w:rPr>
          <w:rFonts w:ascii="IRNazanin" w:hAnsi="IRNazanin" w:eastAsia="IRNazanin" w:cs="IRNazanin"/>
          <w:lang w:bidi="fa-IR"/>
          <w:color w:val="111111"/>
          <w:sz w:val="28"/>
          <w:szCs w:val="28"/>
          <w:rtl/>
        </w:rPr>
        <w:t xml:space="preserve">نزدیک به هلاکت، «احرضه المرض» (بیماری او</w:t>
      </w:r>
    </w:p>
    <w:p>
      <w:pPr>
        <w:pStyle w:val="BookText"/>
      </w:pPr>
      <w:r>
        <w:rPr>
          <w:rFonts w:ascii="IRNazanin" w:hAnsi="IRNazanin" w:eastAsia="IRNazanin" w:cs="IRNazanin"/>
          <w:lang w:bidi="fa-IR"/>
          <w:color w:val="111111"/>
          <w:sz w:val="28"/>
          <w:szCs w:val="28"/>
          <w:rtl/>
        </w:rPr>
        <w:t xml:space="preserve">[شماره صفحه واقعی : 242]
</w:t>
      </w:r>
    </w:p>
    <w:p>
      <w:pPr>
        <w:sectPr>
          <w:footerReference w:type="default" r:id="rId1341"/>
          <w:footnotePr>
            <w:numStart w:val="1"/>
            <w:numRestart w:val="eachPage"/>
          </w:footnotePr>
          <w:pgSz w:orient="portrait" w:w="11905.511811023622" w:h="16837.79527559055"/>
          <w:pgMar w:top="1440" w:right="1440" w:bottom="1440" w:left="1440" w:header="720" w:footer="720" w:gutter="0"/>
          <w:cols w:num="1" w:space="720"/>
        </w:sectPr>
      </w:pPr>
    </w:p>
    <w:bookmarkStart w:id="750" w:name="pg14411_143723"/>
    <w:bookmarkEnd w:id="750"/>
    <w:p>
      <w:pPr>
        <w:pStyle w:val="BookText"/>
      </w:pPr>
      <w:r>
        <w:rPr>
          <w:rFonts w:ascii="IRNazanin" w:hAnsi="IRNazanin" w:eastAsia="IRNazanin" w:cs="IRNazanin"/>
          <w:lang w:bidi="fa-IR"/>
          <w:color w:val="111111"/>
          <w:sz w:val="28"/>
          <w:szCs w:val="28"/>
          <w:rtl/>
        </w:rPr>
        <w:t xml:space="preserve">را نزدیک به هلاکت ساخت) مصدر است و مفرد و جمع، مذکّر و مؤنّث آن یکسان است. و صفت آن، «حرض» می‏باشد مثل: دنف، و دنف. «بثّ» سخت ترین اندوه که صاحبش طاقت صبر بر آن ندارد، و آن را میان مردم پخش می‏کند.</w:t>
      </w:r>
    </w:p>
    <w:p>
      <w:pPr>
        <w:pStyle w:val="BookText"/>
      </w:pPr>
      <w:r>
        <w:rPr>
          <w:rFonts w:ascii="Amiri" w:hAnsi="Amiri" w:eastAsia="Amiri" w:cs="Amiri"/>
          <w:lang w:bidi="ar-SA"/>
          <w:color w:val="111111"/>
          <w:sz w:val="28"/>
          <w:szCs w:val="28"/>
          <w:rtl/>
        </w:rPr>
        <w:t xml:space="preserve">َّما أَشْکُوا</w:t>
      </w:r>
    </w:p>
    <w:p>
      <w:pPr>
        <w:pStyle w:val="BookText"/>
      </w:pPr>
      <w:r>
        <w:rPr>
          <w:rFonts w:ascii="IRNazanin" w:hAnsi="IRNazanin" w:eastAsia="IRNazanin" w:cs="IRNazanin"/>
          <w:lang w:bidi="fa-IR"/>
          <w:color w:val="111111"/>
          <w:sz w:val="28"/>
          <w:szCs w:val="28"/>
          <w:rtl/>
        </w:rPr>
        <w:t xml:space="preserve">به هیچ کس جز به خدا شکوه نمی‏کنم، و از کار خدا و رحمت او، چیزی می‏دانم که شما نمی‏دانید و خوب می‏دانم که او از جایی که هیچ گمان ندارم برایم گشایش می‏آورد، روایت شده است که حضرت یعقوب ملک الموت را دید و از او پرسید که آیا روح یوسف را قبض کرده‏ای؟ گفت: نه، و از این جا که فهمید یوسف از دنیا نرفته، به برادرانش گفت:</w:t>
      </w:r>
    </w:p>
    <w:p>
      <w:pPr>
        <w:pStyle w:val="BookText"/>
      </w:pPr>
      <w:r>
        <w:rPr>
          <w:rFonts w:ascii="Amiri" w:hAnsi="Amiri" w:eastAsia="Amiri" w:cs="Amiri"/>
          <w:lang w:bidi="ar-SA"/>
          <w:color w:val="111111"/>
          <w:sz w:val="28"/>
          <w:szCs w:val="28"/>
          <w:rtl/>
        </w:rPr>
        <w:t xml:space="preserve">اذْهَبُوا فَتَحَسَّسُوا مِنْ یُوسُفَ وَ أَخِیهِ «تحسّس» باب تفعل، از مادّه «احساس». به معنای معرفت و شناسایی: بروید یوسف و برادرش را شناسایی کنید.</w:t>
      </w:r>
    </w:p>
    <w:p>
      <w:pPr>
        <w:pStyle w:val="BookText"/>
      </w:pPr>
      <w:r>
        <w:rPr>
          <w:rFonts w:ascii="Amiri" w:hAnsi="Amiri" w:eastAsia="Amiri" w:cs="Amiri"/>
          <w:lang w:bidi="ar-SA"/>
          <w:color w:val="111111"/>
          <w:sz w:val="28"/>
          <w:szCs w:val="28"/>
          <w:rtl/>
        </w:rPr>
        <w:t xml:space="preserve">مِنْ رَوْحِ اللَّهِ فرج و بر طرف کردن اندوه، یا به معنای حرمت خداست.</w:t>
      </w:r>
    </w:p>
    <w:p>
      <w:pPr>
        <w:pStyle w:val="BookText"/>
      </w:pPr>
      <w:r>
        <w:rPr>
          <w:rFonts w:ascii="IRNazanin" w:hAnsi="IRNazanin" w:eastAsia="IRNazanin" w:cs="IRNazanin"/>
          <w:lang w:bidi="fa-IR"/>
          <w:color w:val="111111"/>
          <w:sz w:val="28"/>
          <w:szCs w:val="28"/>
          <w:rtl/>
        </w:rPr>
        <w:t xml:space="preserve">إِنَّهُ لا یَیْأَسُ از فرج و رحمت خدا، جز مردمان کافر هیچ کس ناامید نمی‏شود، زیرا شخص مؤمن پیوسته از خدا خیر و خوبی می‏بیند و هنگام گرفتاری و بلا امید فرج از او دارد و موقع گشایش و رفاه او را سپاس می‏گوید.</w:t>
      </w:r>
    </w:p>
    <w:p>
      <w:pPr>
        <w:pStyle w:val="Heading6"/>
      </w:pPr>
      <w:bookmarkStart w:id="2486" w:name="_Toc1521"/>
      <w:r>
        <w:t>[سوره یوسف «12»: آیات 88 تا 93]</w:t>
      </w:r>
      <w:bookmarkEnd w:id="2486"/>
    </w:p>
    <w:p>
      <w:pPr>
        <w:pStyle w:val="Heading6"/>
      </w:pPr>
      <w:bookmarkStart w:id="2487" w:name="_Toc1522"/>
      <w:r>
        <w:t>اشاره</w:t>
      </w:r>
      <w:bookmarkEnd w:id="2487"/>
    </w:p>
    <w:p>
      <w:pPr>
        <w:pStyle w:val="BookText"/>
      </w:pPr>
      <w:r>
        <w:rPr>
          <w:rFonts w:ascii="Amiri" w:hAnsi="Amiri" w:eastAsia="Amiri" w:cs="Amiri"/>
          <w:lang w:bidi="ar-SA"/>
          <w:color w:val="111111"/>
          <w:sz w:val="28"/>
          <w:szCs w:val="28"/>
          <w:rtl/>
        </w:rPr>
        <w:t xml:space="preserve">فَلَمَّا دَخَلُوا عَلَیْهِ قالُوا یا أَیُّهَا الْعَزِیزُ مَسَّنا وَ أَهْلَنَا الضُّرُّ وَ جِئْنا بِبِضاعَةٍ مُزْجاةٍ فَأَوْفِ لَنَا الْکَیْلَ وَ تَصَدَّقْ عَلَیْنا إِنَّ اللَّهَ یَجْزِی الْمُتَصَدِّقِینَ «88» قالَ هَلْ عَلِمْتُمْ ما فَعَلْتُمْ بِیُوسُفَ وَ أَخِیهِ إِذْ أَنْتُمْ جاهِلُونَ «89» قالُوا أَ إِنَّکَ لَأَنْتَ یُوسُفُ قالَ أَنَا یُوسُفُ وَ هذا أَخِی قَدْ مَنَّ اللَّهُ عَلَیْنا إِنَّهُ مَنْ یَتَّقِ وَ یَصْبِرْ فَإِنَّ اللَّهَ لا یُضِیعُ أَجْرَ الْمُحْسِنِینَ «90» قالُوا تَاللَّهِ لَقَدْ آثَرَکَ اللَّهُ عَلَیْنا وَ إِنْ کُنَّا لَخاطِئِینَ «91» قالَ لا تَثْرِیبَ عَلَیْکُمُ الْیَوْمَ یَغْفِرُ اللَّهُ لَکُمْ وَ هُوَ أَرْحَمُ الرَّاحِمِینَ «92»</w:t>
      </w:r>
    </w:p>
    <w:p>
      <w:pPr>
        <w:pStyle w:val="BookText"/>
      </w:pPr>
      <w:r>
        <w:rPr>
          <w:rFonts w:ascii="Amiri" w:hAnsi="Amiri" w:eastAsia="Amiri" w:cs="Amiri"/>
          <w:lang w:bidi="ar-SA"/>
          <w:color w:val="111111"/>
          <w:sz w:val="28"/>
          <w:szCs w:val="28"/>
          <w:rtl/>
        </w:rPr>
        <w:t xml:space="preserve">اذْهَبُوا بِقَمِیصِی هذا فَأَلْقُوهُ عَلی‏ وَجْهِ أَبِی یَأْتِ بَصِیراً وَ أْتُونِی بِأَهْلِکُمْ أَجْمَعِینَ «93»</w:t>
      </w:r>
    </w:p>
    <w:p>
      <w:pPr>
        <w:pStyle w:val="BookText"/>
      </w:pPr>
      <w:r>
        <w:rPr>
          <w:rFonts w:ascii="IRNazanin" w:hAnsi="IRNazanin" w:eastAsia="IRNazanin" w:cs="IRNazanin"/>
          <w:lang w:bidi="fa-IR"/>
          <w:color w:val="111111"/>
          <w:sz w:val="28"/>
          <w:szCs w:val="28"/>
          <w:rtl/>
        </w:rPr>
        <w:t xml:space="preserve">[شماره صفحه واقعی : 243]
</w:t>
      </w:r>
    </w:p>
    <w:p>
      <w:pPr>
        <w:sectPr>
          <w:footerReference w:type="default" r:id="rId1342"/>
          <w:footnotePr>
            <w:numStart w:val="1"/>
            <w:numRestart w:val="eachPage"/>
          </w:footnotePr>
          <w:pgSz w:orient="portrait" w:w="11905.511811023622" w:h="16837.79527559055"/>
          <w:pgMar w:top="1440" w:right="1440" w:bottom="1440" w:left="1440" w:header="720" w:footer="720" w:gutter="0"/>
          <w:cols w:num="1" w:space="720"/>
        </w:sectPr>
      </w:pPr>
    </w:p>
    <w:bookmarkStart w:id="751" w:name="pg14411_143724"/>
    <w:bookmarkEnd w:id="751"/>
    <w:p>
      <w:pPr>
        <w:pStyle w:val="Heading6"/>
      </w:pPr>
      <w:bookmarkStart w:id="2488" w:name="_Toc1523"/>
      <w:r>
        <w:t>ترجمه:</w:t>
      </w:r>
      <w:bookmarkEnd w:id="2488"/>
    </w:p>
    <w:p>
      <w:pPr>
        <w:pStyle w:val="BookText"/>
      </w:pPr>
      <w:r>
        <w:rPr>
          <w:rFonts w:ascii="IRNazanin" w:hAnsi="IRNazanin" w:eastAsia="IRNazanin" w:cs="IRNazanin"/>
          <w:lang w:bidi="fa-IR"/>
          <w:color w:val="111111"/>
          <w:sz w:val="28"/>
          <w:szCs w:val="28"/>
          <w:rtl/>
        </w:rPr>
        <w:t xml:space="preserve">وقتی که بر یوسف وارد شدند، گفتند: ای عزیز، ما و خاندانمان را، ناراحتی فرا گرفته و سرمایه اندکی با خود آورده‏ایم، پیمانه ما را به طور کامل وفا کن، و بر ما تصدّق کن، که خداوند تصدّق کنندگان را پاداش می‏دهد. «88»</w:t>
      </w:r>
    </w:p>
    <w:p>
      <w:pPr>
        <w:pStyle w:val="BookText"/>
      </w:pPr>
      <w:r>
        <w:rPr>
          <w:rFonts w:ascii="IRNazanin" w:hAnsi="IRNazanin" w:eastAsia="IRNazanin" w:cs="IRNazanin"/>
          <w:lang w:bidi="fa-IR"/>
          <w:color w:val="111111"/>
          <w:sz w:val="28"/>
          <w:szCs w:val="28"/>
          <w:rtl/>
        </w:rPr>
        <w:t xml:space="preserve">گفت: آیا به خاطرتان هست که با یوسف و برادرش چه کردید، وقتی که نادان بودید؟ «89»</w:t>
      </w:r>
    </w:p>
    <w:p>
      <w:pPr>
        <w:pStyle w:val="BookText"/>
      </w:pPr>
      <w:r>
        <w:rPr>
          <w:rFonts w:ascii="IRNazanin" w:hAnsi="IRNazanin" w:eastAsia="IRNazanin" w:cs="IRNazanin"/>
          <w:lang w:bidi="fa-IR"/>
          <w:color w:val="111111"/>
          <w:sz w:val="28"/>
          <w:szCs w:val="28"/>
          <w:rtl/>
        </w:rPr>
        <w:t xml:space="preserve">گفتند:</w:t>
      </w:r>
    </w:p>
    <w:p>
      <w:pPr>
        <w:pStyle w:val="BookText"/>
      </w:pPr>
      <w:r>
        <w:rPr>
          <w:rFonts w:ascii="IRNazanin" w:hAnsi="IRNazanin" w:eastAsia="IRNazanin" w:cs="IRNazanin"/>
          <w:lang w:bidi="fa-IR"/>
          <w:color w:val="111111"/>
          <w:sz w:val="28"/>
          <w:szCs w:val="28"/>
          <w:rtl/>
        </w:rPr>
        <w:t xml:space="preserve">آیا تو یوسفی؟ گفت: آری من یوسفم و این برادر من است، خدا به ما منّت گذاشته است، هر کس که تقوا و صبر پیشه کند، حتما خدا پاداش نیکوکاران را ضایع نمی‏کند. «90»</w:t>
      </w:r>
    </w:p>
    <w:p>
      <w:pPr>
        <w:pStyle w:val="BookText"/>
      </w:pPr>
      <w:r>
        <w:rPr>
          <w:rFonts w:ascii="IRNazanin" w:hAnsi="IRNazanin" w:eastAsia="IRNazanin" w:cs="IRNazanin"/>
          <w:lang w:bidi="fa-IR"/>
          <w:color w:val="111111"/>
          <w:sz w:val="28"/>
          <w:szCs w:val="28"/>
          <w:rtl/>
        </w:rPr>
        <w:t xml:space="preserve">گفتند به خدا سوگند، خدا تو را بر ما مقدّم داشته، و ما خطا کار بودیم. «91»</w:t>
      </w:r>
    </w:p>
    <w:p>
      <w:pPr>
        <w:pStyle w:val="BookText"/>
      </w:pPr>
      <w:r>
        <w:rPr>
          <w:rFonts w:ascii="IRNazanin" w:hAnsi="IRNazanin" w:eastAsia="IRNazanin" w:cs="IRNazanin"/>
          <w:lang w:bidi="fa-IR"/>
          <w:color w:val="111111"/>
          <w:sz w:val="28"/>
          <w:szCs w:val="28"/>
          <w:rtl/>
        </w:rPr>
        <w:t xml:space="preserve">یوسف گفت: امروز بر شما سرزنشی نیست، خدا شما را می‏آمرزد، و او، ارحم الرّاحمین است. «92»</w:t>
      </w:r>
    </w:p>
    <w:p>
      <w:pPr>
        <w:pStyle w:val="BookText"/>
      </w:pPr>
      <w:r>
        <w:rPr>
          <w:rFonts w:ascii="IRNazanin" w:hAnsi="IRNazanin" w:eastAsia="IRNazanin" w:cs="IRNazanin"/>
          <w:lang w:bidi="fa-IR"/>
          <w:color w:val="111111"/>
          <w:sz w:val="28"/>
          <w:szCs w:val="28"/>
          <w:rtl/>
        </w:rPr>
        <w:t xml:space="preserve">این پیراهنم را ببرید و بر چهره پدرم بیندازید تا بینا شود و همه خانواده‏تان را نزد من آورید. «93»</w:t>
      </w:r>
    </w:p>
    <w:p>
      <w:pPr>
        <w:pStyle w:val="Heading6"/>
      </w:pPr>
      <w:bookmarkStart w:id="2489" w:name="_Toc1524"/>
      <w:r>
        <w:t>تفسیر:</w:t>
      </w:r>
      <w:bookmarkEnd w:id="2489"/>
    </w:p>
    <w:p>
      <w:pPr>
        <w:pStyle w:val="BookText"/>
      </w:pPr>
      <w:r>
        <w:rPr>
          <w:rFonts w:ascii="IRNazanin" w:hAnsi="IRNazanin" w:eastAsia="IRNazanin" w:cs="IRNazanin"/>
          <w:lang w:bidi="fa-IR"/>
          <w:color w:val="111111"/>
          <w:sz w:val="28"/>
          <w:szCs w:val="28"/>
          <w:rtl/>
        </w:rPr>
        <w:t xml:space="preserve">الضُّرُّ ضعف و لاغری از اثر گرسنگی و سختی. برادران یوسف بر اثر سختی و قحطی و از بین رفتن حیوانات و مواشی خود به یوسف شکایت و از او طلب کمک کردند.</w:t>
      </w:r>
    </w:p>
    <w:p>
      <w:pPr>
        <w:pStyle w:val="BookText"/>
      </w:pPr>
      <w:r>
        <w:rPr>
          <w:rFonts w:ascii="IRNazanin" w:hAnsi="IRNazanin" w:eastAsia="IRNazanin" w:cs="IRNazanin"/>
          <w:lang w:bidi="fa-IR"/>
          <w:color w:val="111111"/>
          <w:sz w:val="28"/>
          <w:szCs w:val="28"/>
          <w:rtl/>
        </w:rPr>
        <w:t xml:space="preserve">بِبِضاعَةٍ مُزْجاةٍ مال التجاره یا کالای کم ارزشی که معمولا فروشنده و بازرگان به دلیل بی‏اهمیّت بودنش آن را دور می‏ریزد و از «ازجیته» گرفته شده: آن را دور انداختم. بعضی گفته‏اند: متاع آنها پشم و روغن کالای معمول اعراب بود، و گفته</w:t>
      </w:r>
    </w:p>
    <w:p>
      <w:pPr>
        <w:pStyle w:val="BookText"/>
      </w:pPr>
      <w:r>
        <w:rPr>
          <w:rFonts w:ascii="IRNazanin" w:hAnsi="IRNazanin" w:eastAsia="IRNazanin" w:cs="IRNazanin"/>
          <w:lang w:bidi="fa-IR"/>
          <w:color w:val="111111"/>
          <w:sz w:val="28"/>
          <w:szCs w:val="28"/>
          <w:rtl/>
        </w:rPr>
        <w:t xml:space="preserve">[شماره صفحه واقعی : 244]
</w:t>
      </w:r>
    </w:p>
    <w:p>
      <w:pPr>
        <w:sectPr>
          <w:footerReference w:type="default" r:id="rId1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شده: دراهم مغشوش و تقلّبی بی‏ارزش بود که به عنوان بهای غلات و طعام پذیرفته نمی‏شد.</w:t>
      </w:r>
    </w:p>
    <w:p>
      <w:pPr>
        <w:pStyle w:val="BookText"/>
      </w:pPr>
      <w:r>
        <w:rPr>
          <w:rFonts w:ascii="IRNazanin" w:hAnsi="IRNazanin" w:eastAsia="IRNazanin" w:cs="IRNazanin"/>
          <w:lang w:bidi="fa-IR"/>
          <w:color w:val="111111"/>
          <w:sz w:val="28"/>
          <w:szCs w:val="28"/>
          <w:rtl/>
        </w:rPr>
        <w:t xml:space="preserve">فَأَوْفِ لَنَا الْکَیْلَ پیمانه ما را کافی بده هم چنان که در سالهای گذشته انجام دادی.</w:t>
      </w:r>
    </w:p>
    <w:p>
      <w:pPr>
        <w:pStyle w:val="BookText"/>
      </w:pPr>
      <w:r>
        <w:rPr>
          <w:rFonts w:ascii="Amiri" w:hAnsi="Amiri" w:eastAsia="Amiri" w:cs="Amiri"/>
          <w:lang w:bidi="ar-SA"/>
          <w:color w:val="111111"/>
          <w:sz w:val="28"/>
          <w:szCs w:val="28"/>
          <w:rtl/>
        </w:rPr>
        <w:t xml:space="preserve">«وَ تَصَدَّقْ عَلَیْنا» ما را به کرم خود ببخش و سهم ما را افزون فرما.</w:t>
      </w:r>
    </w:p>
    <w:p>
      <w:pPr>
        <w:pStyle w:val="BookText"/>
      </w:pPr>
      <w:r>
        <w:rPr>
          <w:rFonts w:ascii="IRNazanin" w:hAnsi="IRNazanin" w:eastAsia="IRNazanin" w:cs="IRNazanin"/>
          <w:lang w:bidi="fa-IR"/>
          <w:color w:val="111111"/>
          <w:sz w:val="28"/>
          <w:szCs w:val="28"/>
          <w:rtl/>
        </w:rPr>
        <w:t xml:space="preserve">إِنَّ اللَّهَ یَجْزِی الْمُتَصَدِّقِینَ خداوند به صدقه دهندگان مزدی بالاتر از صدقاتشان می‏دهد، یوسف دلش به حال آنها سوخت و بی‏اختیار خود را به آنها معرّفی کرد و گفت:</w:t>
      </w:r>
    </w:p>
    <w:p>
      <w:pPr>
        <w:pStyle w:val="BookText"/>
      </w:pPr>
      <w:r>
        <w:rPr>
          <w:rFonts w:ascii="IRNazanin" w:hAnsi="IRNazanin" w:eastAsia="IRNazanin" w:cs="IRNazanin"/>
          <w:lang w:bidi="fa-IR"/>
          <w:color w:val="111111"/>
          <w:sz w:val="28"/>
          <w:szCs w:val="28"/>
          <w:rtl/>
        </w:rPr>
        <w:t xml:space="preserve">قالَ هَلْ عَلِمْتُمْ ما فَعَلْتُمْ بِیُوسُفَ وَ أَخِیهِ مطلبی را که هر دو طرف از آن خبر دارند به طور سؤال و پرسش با آنها در میان گذاشت تا آنان به زشتی عمل خود توجه کنند و به توبه پناه ببرند، یعنی آیا حال متوجه شدید که در هنگام نادانی چه خلافکاریها درباره یوسف و برادرش انجام دادید، اکنون که متوجه شدید، توبه کنید. باید توجه کرد که این سخنان پرخاشگرایانه یوسف به برادرانش از روی دلسوزی و خیرخواهی بود، نه سرزنش و عتاب. او حق خدا را که توجه به توبه و دیانت است بر نفس خود مقدم داشت با این که وی در مقامی بود که می‏توانست آنچه در سینه دارد ابراز کند و از برادرانش انتقام بگیرد.</w:t>
      </w:r>
    </w:p>
    <w:p>
      <w:pPr>
        <w:pStyle w:val="BookText"/>
      </w:pPr>
      <w:r>
        <w:rPr>
          <w:rFonts w:ascii="IRNazanin" w:hAnsi="IRNazanin" w:eastAsia="IRNazanin" w:cs="IRNazanin"/>
          <w:lang w:bidi="fa-IR"/>
          <w:color w:val="111111"/>
          <w:sz w:val="28"/>
          <w:szCs w:val="28"/>
          <w:rtl/>
        </w:rPr>
        <w:t xml:space="preserve">بعضی گفته‏اند معنای «إِذْ أَنْتُمْ جاهِلُونَ» این است که شما در آن وقت کودک یا جوان بودید زیرا در این دوران است که جهل و نادانی بر انسان چیره می‏شود.</w:t>
      </w:r>
    </w:p>
    <w:p>
      <w:pPr>
        <w:pStyle w:val="BookText"/>
      </w:pPr>
      <w:r>
        <w:rPr>
          <w:rFonts w:ascii="IRNazanin" w:hAnsi="IRNazanin" w:eastAsia="IRNazanin" w:cs="IRNazanin"/>
          <w:lang w:bidi="fa-IR"/>
          <w:color w:val="111111"/>
          <w:sz w:val="28"/>
          <w:szCs w:val="28"/>
          <w:rtl/>
        </w:rPr>
        <w:t xml:space="preserve">«أ إنک» به صیغه استفهام، و بعضی به طور ایجاب «انک» خوانده‏اند. داستان این است که یوسف در حالی که با برادران سخن می‏گفت لبخند زد، دندانهایش که همانند رشته‏ای مروارید منظوم بود نمایان شد، و آنها او را شناختند، و بعضی گفته‏اند: تاج شاهی از سر برداشت و او را شناختند.</w:t>
      </w:r>
    </w:p>
    <w:p>
      <w:pPr>
        <w:pStyle w:val="BookText"/>
      </w:pPr>
      <w:r>
        <w:rPr>
          <w:rFonts w:ascii="IRNazanin" w:hAnsi="IRNazanin" w:eastAsia="IRNazanin" w:cs="IRNazanin"/>
          <w:lang w:bidi="fa-IR"/>
          <w:color w:val="111111"/>
          <w:sz w:val="28"/>
          <w:szCs w:val="28"/>
          <w:rtl/>
        </w:rPr>
        <w:t xml:space="preserve">إِنَّهُ مَنْ یَتَّقِ کسانی که از کیفر الهی بیم و هراس داشته باشند، و بر ترک گناه و انجام عبادات صبر کنند خداوند پاداش آنان را که نیکوکارند تباه نمی‏سازد، در این</w:t>
      </w:r>
    </w:p>
    <w:p>
      <w:pPr>
        <w:pStyle w:val="BookText"/>
      </w:pPr>
      <w:r>
        <w:rPr>
          <w:rFonts w:ascii="IRNazanin" w:hAnsi="IRNazanin" w:eastAsia="IRNazanin" w:cs="IRNazanin"/>
          <w:lang w:bidi="fa-IR"/>
          <w:color w:val="111111"/>
          <w:sz w:val="28"/>
          <w:szCs w:val="28"/>
          <w:rtl/>
        </w:rPr>
        <w:t xml:space="preserve">[شماره صفحه واقعی : 245]
</w:t>
      </w:r>
    </w:p>
    <w:p>
      <w:pPr>
        <w:sectPr>
          <w:footerReference w:type="default" r:id="rId1344"/>
          <w:footnotePr>
            <w:numStart w:val="1"/>
            <w:numRestart w:val="eachPage"/>
          </w:footnotePr>
          <w:pgSz w:orient="portrait" w:w="11905.511811023622" w:h="16837.79527559055"/>
          <w:pgMar w:top="1440" w:right="1440" w:bottom="1440" w:left="1440" w:header="720" w:footer="720" w:gutter="0"/>
          <w:cols w:num="1" w:space="720"/>
        </w:sectPr>
      </w:pPr>
    </w:p>
    <w:bookmarkStart w:id="752" w:name="pg14411_143726"/>
    <w:bookmarkEnd w:id="752"/>
    <w:p>
      <w:pPr>
        <w:pStyle w:val="BookText"/>
      </w:pPr>
      <w:r>
        <w:rPr>
          <w:rFonts w:ascii="IRNazanin" w:hAnsi="IRNazanin" w:eastAsia="IRNazanin" w:cs="IRNazanin"/>
          <w:lang w:bidi="fa-IR"/>
          <w:color w:val="111111"/>
          <w:sz w:val="28"/>
          <w:szCs w:val="28"/>
          <w:rtl/>
        </w:rPr>
        <w:t xml:space="preserve">آیه، اسم ظاهر: «محسنین» به جای ضمیر: «هم» قرار گرفته تا فراگیر متقین و صابرین نیز باشد.</w:t>
      </w:r>
    </w:p>
    <w:p>
      <w:pPr>
        <w:pStyle w:val="BookText"/>
      </w:pPr>
      <w:r>
        <w:rPr>
          <w:rFonts w:ascii="IRNazanin" w:hAnsi="IRNazanin" w:eastAsia="IRNazanin" w:cs="IRNazanin"/>
          <w:lang w:bidi="fa-IR"/>
          <w:color w:val="111111"/>
          <w:sz w:val="28"/>
          <w:szCs w:val="28"/>
          <w:rtl/>
        </w:rPr>
        <w:t xml:space="preserve">لَقَدْ آثَرَکَ اللَّهُ عَلَیْنا خداوند تو را به سبب تقوا و صبر و داشتن روش نیکوکاران بر ما برتری داده، و امّا وضع ما که عاصی و گنهکاریم آن است که ذلیل و خوار شدیم.</w:t>
      </w:r>
    </w:p>
    <w:p>
      <w:pPr>
        <w:pStyle w:val="BookText"/>
      </w:pPr>
      <w:r>
        <w:rPr>
          <w:rFonts w:ascii="IRNazanin" w:hAnsi="IRNazanin" w:eastAsia="IRNazanin" w:cs="IRNazanin"/>
          <w:lang w:bidi="fa-IR"/>
          <w:color w:val="111111"/>
          <w:sz w:val="28"/>
          <w:szCs w:val="28"/>
          <w:rtl/>
        </w:rPr>
        <w:t xml:space="preserve">لا تَثْرِیبَ عَلَیْکُمُ الْیَوْمَ یوسف به آنها گفت: حال دیگر، من شما را به آنچه در گذشته انجام داده‏اید سرزنش نمی‏کنم، خدای شما را بیامرزد.</w:t>
      </w:r>
    </w:p>
    <w:p>
      <w:pPr>
        <w:pStyle w:val="BookText"/>
      </w:pPr>
      <w:r>
        <w:rPr>
          <w:rFonts w:ascii="IRNazanin" w:hAnsi="IRNazanin" w:eastAsia="IRNazanin" w:cs="IRNazanin"/>
          <w:lang w:bidi="fa-IR"/>
          <w:color w:val="111111"/>
          <w:sz w:val="28"/>
          <w:szCs w:val="28"/>
          <w:rtl/>
        </w:rPr>
        <w:t xml:space="preserve">اذْهَبُوا بِقَمِیصِی هذا این پیراهن مرا ببرید، برخی گفته‏اند: پیراهن بهشتی بود که به وراثت از پدرانش به یوسف رسیده و یعقوب در میان بازوبند او قرار داده بود.</w:t>
      </w:r>
    </w:p>
    <w:p>
      <w:pPr>
        <w:pStyle w:val="BookText"/>
      </w:pPr>
      <w:r>
        <w:rPr>
          <w:rFonts w:ascii="IRNazanin" w:hAnsi="IRNazanin" w:eastAsia="IRNazanin" w:cs="IRNazanin"/>
          <w:lang w:bidi="fa-IR"/>
          <w:color w:val="111111"/>
          <w:sz w:val="28"/>
          <w:szCs w:val="28"/>
          <w:rtl/>
        </w:rPr>
        <w:t xml:space="preserve">«یَأْتِ بَصِیراً» بینایی‏اش برمی‏گردد، یا این که به سوی من خواهد آمد در حالی که بینا باشد، دلیل بر این معنای اخیر، دنباله سخن اوست که می‏گوید: «و اتونی باهلکم اجمعین»: تا پدرم و تمام خانواده‏اش بیایند.</w:t>
      </w:r>
    </w:p>
    <w:p>
      <w:pPr>
        <w:pStyle w:val="Heading6"/>
      </w:pPr>
      <w:bookmarkStart w:id="2490" w:name="_Toc1525"/>
      <w:r>
        <w:t>[سوره یوسف «12»: آیات 94 تا 98]</w:t>
      </w:r>
      <w:bookmarkEnd w:id="2490"/>
    </w:p>
    <w:p>
      <w:pPr>
        <w:pStyle w:val="Heading6"/>
      </w:pPr>
      <w:bookmarkStart w:id="2491" w:name="_Toc1526"/>
      <w:r>
        <w:t>اشاره</w:t>
      </w:r>
      <w:bookmarkEnd w:id="2491"/>
    </w:p>
    <w:p>
      <w:pPr>
        <w:pStyle w:val="BookText"/>
      </w:pPr>
      <w:r>
        <w:rPr>
          <w:rFonts w:ascii="Amiri" w:hAnsi="Amiri" w:eastAsia="Amiri" w:cs="Amiri"/>
          <w:lang w:bidi="ar-SA"/>
          <w:color w:val="111111"/>
          <w:sz w:val="28"/>
          <w:szCs w:val="28"/>
          <w:rtl/>
        </w:rPr>
        <w:t xml:space="preserve">وَ لَمَّا فَصَلَتِ الْعِیرُ قالَ أَبُوهُمْ إِنِّی لَأَجِدُ رِیحَ یُوسُفَ لَوْ لا أَنْ تُفَنِّدُونِ «94» قالُوا تَاللَّهِ إِنَّکَ لَفِی ضَلالِکَ الْقَدِیمِ «95» فَلَمَّا أَنْ جاءَ الْبَشِیرُ أَلْقاهُ عَلی‏ وَجْهِهِ فَارْتَدَّ بَصِیراً قالَ أَ لَمْ أَقُلْ لَکُمْ إِنِّی أَعْلَمُ مِنَ اللَّهِ ما لا تَعْلَمُونَ «96» قالُوا یا أَبانَا اسْتَغْفِرْ لَنا ذُنُوبَنا إِنَّا کُنَّا خاطِئِینَ «97» قالَ سَوْفَ أَسْتَغْفِرُ لَکُمْ رَبِّی إِنَّهُ هُوَ الْغَفُورُ الرَّحِیمُ «98»</w:t>
      </w:r>
    </w:p>
    <w:p>
      <w:pPr>
        <w:pStyle w:val="Heading6"/>
      </w:pPr>
      <w:bookmarkStart w:id="2492" w:name="_Toc1527"/>
      <w:r>
        <w:t>ترجمه:</w:t>
      </w:r>
      <w:bookmarkEnd w:id="2492"/>
    </w:p>
    <w:p>
      <w:pPr>
        <w:pStyle w:val="BookText"/>
      </w:pPr>
      <w:r>
        <w:rPr>
          <w:rFonts w:ascii="IRNazanin" w:hAnsi="IRNazanin" w:eastAsia="IRNazanin" w:cs="IRNazanin"/>
          <w:lang w:bidi="fa-IR"/>
          <w:color w:val="111111"/>
          <w:sz w:val="28"/>
          <w:szCs w:val="28"/>
          <w:rtl/>
        </w:rPr>
        <w:t xml:space="preserve">هنگامی که کاروان (از مصر) جدا شد، پدر آنها گفت: من بوی یوسف را درمی‏یابم، اگر مرا به نادانی و کم عقلی نسبت ندهید. «94»</w:t>
      </w:r>
    </w:p>
    <w:p>
      <w:pPr>
        <w:pStyle w:val="BookText"/>
      </w:pPr>
      <w:r>
        <w:rPr>
          <w:rFonts w:ascii="IRNazanin" w:hAnsi="IRNazanin" w:eastAsia="IRNazanin" w:cs="IRNazanin"/>
          <w:lang w:bidi="fa-IR"/>
          <w:color w:val="111111"/>
          <w:sz w:val="28"/>
          <w:szCs w:val="28"/>
          <w:rtl/>
        </w:rPr>
        <w:t xml:space="preserve">[شماره صفحه واقعی : 246]
</w:t>
      </w:r>
    </w:p>
    <w:p>
      <w:pPr>
        <w:sectPr>
          <w:footerReference w:type="default" r:id="rId1345"/>
          <w:footnotePr>
            <w:numStart w:val="1"/>
            <w:numRestart w:val="eachPage"/>
          </w:footnotePr>
          <w:pgSz w:orient="portrait" w:w="11905.511811023622" w:h="16837.79527559055"/>
          <w:pgMar w:top="1440" w:right="1440" w:bottom="1440" w:left="1440" w:header="720" w:footer="720" w:gutter="0"/>
          <w:cols w:num="1" w:space="720"/>
        </w:sectPr>
      </w:pPr>
    </w:p>
    <w:bookmarkStart w:id="753" w:name="pg14411_143727"/>
    <w:bookmarkEnd w:id="753"/>
    <w:p>
      <w:pPr>
        <w:pStyle w:val="BookText"/>
      </w:pPr>
      <w:r>
        <w:rPr>
          <w:rFonts w:ascii="IRNazanin" w:hAnsi="IRNazanin" w:eastAsia="IRNazanin" w:cs="IRNazanin"/>
          <w:lang w:bidi="fa-IR"/>
          <w:color w:val="111111"/>
          <w:sz w:val="28"/>
          <w:szCs w:val="28"/>
          <w:rtl/>
        </w:rPr>
        <w:t xml:space="preserve">گفتند: به خدا قسم که تو در همان گمراهی قدیمت هستی. «95»</w:t>
      </w:r>
    </w:p>
    <w:p>
      <w:pPr>
        <w:pStyle w:val="BookText"/>
      </w:pPr>
      <w:r>
        <w:rPr>
          <w:rFonts w:ascii="IRNazanin" w:hAnsi="IRNazanin" w:eastAsia="IRNazanin" w:cs="IRNazanin"/>
          <w:lang w:bidi="fa-IR"/>
          <w:color w:val="111111"/>
          <w:sz w:val="28"/>
          <w:szCs w:val="28"/>
          <w:rtl/>
        </w:rPr>
        <w:t xml:space="preserve">امّا، وقتی که بشارت دهنده آمد آن پیراهن را به صورت او افکند، و بینا شد، و گفت: آیا به شما نگفتم: من از خدا چیزهایی می‏دانم که شما از آن بی‏خبرید. «96»</w:t>
      </w:r>
    </w:p>
    <w:p>
      <w:pPr>
        <w:pStyle w:val="BookText"/>
      </w:pPr>
      <w:r>
        <w:rPr>
          <w:rFonts w:ascii="IRNazanin" w:hAnsi="IRNazanin" w:eastAsia="IRNazanin" w:cs="IRNazanin"/>
          <w:lang w:bidi="fa-IR"/>
          <w:color w:val="111111"/>
          <w:sz w:val="28"/>
          <w:szCs w:val="28"/>
          <w:rtl/>
        </w:rPr>
        <w:t xml:space="preserve">فرزندان یعقوب گفتند: ای پدر از خدا آمرزش گناهان ما را بخواه که ما خطا کار بودیم. «97»</w:t>
      </w:r>
    </w:p>
    <w:p>
      <w:pPr>
        <w:pStyle w:val="BookText"/>
      </w:pPr>
      <w:r>
        <w:rPr>
          <w:rFonts w:ascii="IRNazanin" w:hAnsi="IRNazanin" w:eastAsia="IRNazanin" w:cs="IRNazanin"/>
          <w:lang w:bidi="fa-IR"/>
          <w:color w:val="111111"/>
          <w:sz w:val="28"/>
          <w:szCs w:val="28"/>
          <w:rtl/>
        </w:rPr>
        <w:t xml:space="preserve">پدر گفت: به زودی برای شما از پروردگارم طلب آمرزش می‏کنم که اوست بسیار آمرزنده و بخشنده. «98»</w:t>
      </w:r>
    </w:p>
    <w:p>
      <w:pPr>
        <w:pStyle w:val="Heading6"/>
      </w:pPr>
      <w:bookmarkStart w:id="2493" w:name="_Toc1528"/>
      <w:r>
        <w:t>تفسیر:</w:t>
      </w:r>
      <w:bookmarkEnd w:id="2493"/>
    </w:p>
    <w:p>
      <w:pPr>
        <w:pStyle w:val="BookText"/>
      </w:pPr>
      <w:r>
        <w:rPr>
          <w:rFonts w:ascii="IRNazanin" w:hAnsi="IRNazanin" w:eastAsia="IRNazanin" w:cs="IRNazanin"/>
          <w:lang w:bidi="fa-IR"/>
          <w:color w:val="111111"/>
          <w:sz w:val="28"/>
          <w:szCs w:val="28"/>
          <w:rtl/>
        </w:rPr>
        <w:t xml:space="preserve">وقتی که کاروان از مصر بیرون رفت و دور شد، پدر اهل کاروان به اطرافیان و نوادگان خود گفت: من هم اکنون بوی یوسف را احساس می‏کنم: پیراهن که همراه کاروان بود به سوی کنعان می‏آمد، خدای تعالی بودی آن را از فاصله هشت یا ده فرسنگ به او رسانید. «لَوْ لا أَنْ تُفَنِّدُونِ» «فند» به معنای خرافه، و کم خردی است:</w:t>
      </w:r>
    </w:p>
    <w:p>
      <w:pPr>
        <w:pStyle w:val="BookText"/>
      </w:pPr>
      <w:r>
        <w:rPr>
          <w:rFonts w:ascii="IRNazanin" w:hAnsi="IRNazanin" w:eastAsia="IRNazanin" w:cs="IRNazanin"/>
          <w:lang w:bidi="fa-IR"/>
          <w:color w:val="111111"/>
          <w:sz w:val="28"/>
          <w:szCs w:val="28"/>
          <w:rtl/>
        </w:rPr>
        <w:t xml:space="preserve">اگر مرا نسبت به کم عقلی نمی‏دادید گفته مرا می‏پذیرفتید.</w:t>
      </w:r>
    </w:p>
    <w:p>
      <w:pPr>
        <w:pStyle w:val="BookText"/>
      </w:pPr>
      <w:r>
        <w:rPr>
          <w:rFonts w:ascii="IRNazanin" w:hAnsi="IRNazanin" w:eastAsia="IRNazanin" w:cs="IRNazanin"/>
          <w:lang w:bidi="fa-IR"/>
          <w:color w:val="111111"/>
          <w:sz w:val="28"/>
          <w:szCs w:val="28"/>
          <w:rtl/>
        </w:rPr>
        <w:t xml:space="preserve">إِنَّکَ لَفِی ضَلالِکَ الْقَدِیمِ هم چنان که در گذشته راجع به دوستی یوسف و امیدواری به دیدار او افراط می‏کردی هم اکنون نیز بیرون از حدّ اعتدال سخن می‏گویی، نظر اطرافیان یعقوب بر این بود که یوسف از دنیا رفته است.</w:t>
      </w:r>
    </w:p>
    <w:p>
      <w:pPr>
        <w:pStyle w:val="BookText"/>
      </w:pPr>
      <w:r>
        <w:rPr>
          <w:rFonts w:ascii="IRNazanin" w:hAnsi="IRNazanin" w:eastAsia="IRNazanin" w:cs="IRNazanin"/>
          <w:lang w:bidi="fa-IR"/>
          <w:color w:val="111111"/>
          <w:sz w:val="28"/>
          <w:szCs w:val="28"/>
          <w:rtl/>
        </w:rPr>
        <w:t xml:space="preserve">فَلَمَّا أَنْ جاءَ الْبَشِیرُ أَلْقاهُ همین که بشیر رسید، پیراهن را بر صورت یعقوب انداخت، یا خود یعقوب آن را بر صورت افکند، با حالت بینایی رو به اطرافیان کرد و گفت:</w:t>
      </w:r>
    </w:p>
    <w:p>
      <w:pPr>
        <w:pStyle w:val="BookText"/>
      </w:pPr>
      <w:r>
        <w:rPr>
          <w:rFonts w:ascii="IRNazanin" w:hAnsi="IRNazanin" w:eastAsia="IRNazanin" w:cs="IRNazanin"/>
          <w:lang w:bidi="fa-IR"/>
          <w:color w:val="111111"/>
          <w:sz w:val="28"/>
          <w:szCs w:val="28"/>
          <w:rtl/>
        </w:rPr>
        <w:t xml:space="preserve">أَ لَمْ أَقُلْ لَکُمْ آیا به شما نگفتم، منظور سخنی است که قبلا گفته بود: «از رحمت خدا نومید نشوید» </w:t>
      </w:r>
      <w:r>
        <w:rPr>
          <w:rStyle w:val="FootnoteReference"/>
        </w:rPr>
        <w:footnoteReference w:id="4526"/>
      </w:r>
      <w:r>
        <w:rPr>
          <w:rFonts w:ascii="IRNazanin" w:hAnsi="IRNazanin" w:eastAsia="IRNazanin" w:cs="IRNazanin"/>
          <w:lang w:bidi="fa-IR"/>
          <w:color w:val="111111"/>
          <w:sz w:val="28"/>
          <w:szCs w:val="28"/>
          <w:rtl/>
        </w:rPr>
        <w:t xml:space="preserve">و «إِنِّی أَعْلَمُ ما لا تَعْلَمُونَ» ابتدای کلام است و مقول، قول نیست، گرچه این هم جایز است.</w:t>
      </w:r>
    </w:p>
    <w:p>
      <w:pPr>
        <w:pStyle w:val="BookText"/>
      </w:pPr>
      <w:r>
        <w:rPr>
          <w:rFonts w:ascii="IRNazanin" w:hAnsi="IRNazanin" w:eastAsia="IRNazanin" w:cs="IRNazanin"/>
          <w:lang w:bidi="fa-IR"/>
          <w:color w:val="111111"/>
          <w:sz w:val="28"/>
          <w:szCs w:val="28"/>
          <w:rtl/>
        </w:rPr>
        <w:t xml:space="preserve">[شماره صفحه واقعی : 247]
</w:t>
      </w:r>
    </w:p>
    <w:p>
      <w:pPr>
        <w:sectPr>
          <w:footerReference w:type="default" r:id="rId1346"/>
          <w:footnotePr>
            <w:numStart w:val="1"/>
            <w:numRestart w:val="eachPage"/>
          </w:footnotePr>
          <w:pgSz w:orient="portrait" w:w="11905.511811023622" w:h="16837.79527559055"/>
          <w:pgMar w:top="1440" w:right="1440" w:bottom="1440" w:left="1440" w:header="720" w:footer="720" w:gutter="0"/>
          <w:cols w:num="1" w:space="720"/>
        </w:sectPr>
      </w:pPr>
    </w:p>
    <w:bookmarkStart w:id="754" w:name="pg14411_143728"/>
    <w:bookmarkEnd w:id="754"/>
    <w:p>
      <w:pPr>
        <w:pStyle w:val="BookText"/>
      </w:pPr>
      <w:r>
        <w:rPr>
          <w:rFonts w:ascii="IRNazanin" w:hAnsi="IRNazanin" w:eastAsia="IRNazanin" w:cs="IRNazanin"/>
          <w:lang w:bidi="fa-IR"/>
          <w:color w:val="111111"/>
          <w:sz w:val="28"/>
          <w:szCs w:val="28"/>
          <w:rtl/>
        </w:rPr>
        <w:t xml:space="preserve">سَوْفَ أَسْتَغْفِرُ لَکُمْ رَبِّی گویند طلب آمرزش را به تأخیر انداخت تا سحر فرا رسد که نزدیکتر به اجابت دعاست، و نیز گفته شده برای فرا رسیدن سحر شب جمعه تأخیر انداخت.</w:t>
      </w:r>
    </w:p>
    <w:p>
      <w:pPr>
        <w:pStyle w:val="Heading6"/>
      </w:pPr>
      <w:bookmarkStart w:id="2494" w:name="_Toc1529"/>
      <w:r>
        <w:t>[سوره یوسف «12»: آیات 99 تا 102]</w:t>
      </w:r>
      <w:bookmarkEnd w:id="2494"/>
    </w:p>
    <w:p>
      <w:pPr>
        <w:pStyle w:val="Heading6"/>
      </w:pPr>
      <w:bookmarkStart w:id="2495" w:name="_Toc1530"/>
      <w:r>
        <w:t>اشاره</w:t>
      </w:r>
      <w:bookmarkEnd w:id="2495"/>
    </w:p>
    <w:p>
      <w:pPr>
        <w:pStyle w:val="BookText"/>
      </w:pPr>
      <w:r>
        <w:rPr>
          <w:rFonts w:ascii="Amiri" w:hAnsi="Amiri" w:eastAsia="Amiri" w:cs="Amiri"/>
          <w:lang w:bidi="ar-SA"/>
          <w:color w:val="111111"/>
          <w:sz w:val="28"/>
          <w:szCs w:val="28"/>
          <w:rtl/>
        </w:rPr>
        <w:t xml:space="preserve">فَلَمَّا دَخَلُوا عَلی‏ یُوسُفَ آوی‏ إِلَیْهِ أَبَوَیْهِ وَ قالَ ادْخُلُوا مِصْرَ إِنْ شاءَ اللَّهُ آمِنِینَ «99» وَ رَفَعَ أَبَوَیْهِ عَلَی الْعَرْشِ وَ خَرُّوا لَهُ سُجَّداً وَ قالَ یا أَبَتِ هذا تَأْوِیلُ رُءْیایَ مِنْ قَبْلُ قَدْ جَعَلَها رَبِّی حَقًّا وَ قَدْ أَحْسَنَ بِی إِذْ أَخْرَجَنِی مِنَ السِّجْنِ وَ جاءَ بِکُمْ مِنَ الْبَدْوِ مِنْ بَعْدِ أَنْ نَزَغَ الشَّیْطانُ بَیْنِی وَ بَیْنَ إِخْوَتِی إِنَّ رَبِّی لَطِیفٌ لِما یَشاءُ إِنَّهُ هُوَ الْعَلِیمُ الْحَکِیمُ «100» رَبِّ قَدْ آتَیْتَنِی مِنَ الْمُلْکِ وَ عَلَّمْتَنِی مِنْ تَأْوِیلِ الْأَحادِیثِ فاطِرَ السَّماواتِ وَ الْأَرْضِ أَنْتَ وَلِیِّی فِی الدُّنْیا وَ الْآخِرَةِ تَوَفَّنِی مُسْلِماً وَ أَلْحِقْنِی بِالصَّالِحِینَ «101» ذلِکَ مِنْ أَنْباءِ الْغَیْبِ نُوحِیهِ إِلَیْکَ وَ ما کُنْتَ لَدَیْهِمْ إِذْ أَجْمَعُوا أَمْرَهُمْ وَ هُمْ یَمْکُرُونَ «102»</w:t>
      </w:r>
    </w:p>
    <w:p>
      <w:pPr>
        <w:pStyle w:val="Heading6"/>
      </w:pPr>
      <w:bookmarkStart w:id="2496" w:name="_Toc1531"/>
      <w:r>
        <w:t>ترجمه:</w:t>
      </w:r>
      <w:bookmarkEnd w:id="2496"/>
    </w:p>
    <w:p>
      <w:pPr>
        <w:pStyle w:val="BookText"/>
      </w:pPr>
      <w:r>
        <w:rPr>
          <w:rFonts w:ascii="IRNazanin" w:hAnsi="IRNazanin" w:eastAsia="IRNazanin" w:cs="IRNazanin"/>
          <w:lang w:bidi="fa-IR"/>
          <w:color w:val="111111"/>
          <w:sz w:val="28"/>
          <w:szCs w:val="28"/>
          <w:rtl/>
        </w:rPr>
        <w:t xml:space="preserve">هنگامی که بر یوسف وارد شدند، او پدر و مادرش را در آغوش گرفت، و گفت: همگی داخل مصر شوید که اگر خدا بخواهد، در أمن و امان خواهید بود. «99»</w:t>
      </w:r>
    </w:p>
    <w:p>
      <w:pPr>
        <w:pStyle w:val="BookText"/>
      </w:pPr>
      <w:r>
        <w:rPr>
          <w:rFonts w:ascii="IRNazanin" w:hAnsi="IRNazanin" w:eastAsia="IRNazanin" w:cs="IRNazanin"/>
          <w:lang w:bidi="fa-IR"/>
          <w:color w:val="111111"/>
          <w:sz w:val="28"/>
          <w:szCs w:val="28"/>
          <w:rtl/>
        </w:rPr>
        <w:t xml:space="preserve">و پدر و مادرش را بر تخت نشاند، و همگی برای او به سجده افتادند و یوسف گفت: ای پدر این است تأویل خوابی که قبلا دیدم که پروردگارم آن را تحقّق بخشید و به من نیکی کرد آن گاه که مرا از زندان خارج ساخت و شما را از آن بیابان آورد، پس از آن که شیطان میان من و برادرانم فساد بپا کرد، آری پروردگارم نسبت به آنچه می‏خواهد، لطف می‏کند، زیرا او بسیار دانا و با حکمت است. «100»</w:t>
      </w:r>
    </w:p>
    <w:p>
      <w:pPr>
        <w:pStyle w:val="BookText"/>
      </w:pPr>
      <w:r>
        <w:rPr>
          <w:rFonts w:ascii="IRNazanin" w:hAnsi="IRNazanin" w:eastAsia="IRNazanin" w:cs="IRNazanin"/>
          <w:lang w:bidi="fa-IR"/>
          <w:color w:val="111111"/>
          <w:sz w:val="28"/>
          <w:szCs w:val="28"/>
          <w:rtl/>
        </w:rPr>
        <w:t xml:space="preserve">[شماره صفحه واقعی : 248]
</w:t>
      </w:r>
    </w:p>
    <w:p>
      <w:pPr>
        <w:sectPr>
          <w:footerReference w:type="default" r:id="rId1347"/>
          <w:footnotePr>
            <w:numStart w:val="1"/>
            <w:numRestart w:val="eachPage"/>
          </w:footnotePr>
          <w:pgSz w:orient="portrait" w:w="11905.511811023622" w:h="16837.79527559055"/>
          <w:pgMar w:top="1440" w:right="1440" w:bottom="1440" w:left="1440" w:header="720" w:footer="720" w:gutter="0"/>
          <w:cols w:num="1" w:space="720"/>
        </w:sectPr>
      </w:pPr>
    </w:p>
    <w:bookmarkStart w:id="755" w:name="pg14411_143729"/>
    <w:bookmarkEnd w:id="755"/>
    <w:p>
      <w:pPr>
        <w:pStyle w:val="BookText"/>
      </w:pPr>
      <w:r>
        <w:rPr>
          <w:rFonts w:ascii="IRNazanin" w:hAnsi="IRNazanin" w:eastAsia="IRNazanin" w:cs="IRNazanin"/>
          <w:lang w:bidi="fa-IR"/>
          <w:color w:val="111111"/>
          <w:sz w:val="28"/>
          <w:szCs w:val="28"/>
          <w:rtl/>
        </w:rPr>
        <w:t xml:space="preserve">پروردگارا تو به من حکومت بخشیده و مرا از علم تعبیر خواب آگاه ساخته‏ای، ای آفریننده آسمانها و زمین، تو در دنیا و آخرت سرپرست من هستی، مرا مسلمان بمیران و ملحق به صالحانم گردان. «101»</w:t>
      </w:r>
    </w:p>
    <w:p>
      <w:pPr>
        <w:pStyle w:val="BookText"/>
      </w:pPr>
      <w:r>
        <w:rPr>
          <w:rFonts w:ascii="IRNazanin" w:hAnsi="IRNazanin" w:eastAsia="IRNazanin" w:cs="IRNazanin"/>
          <w:lang w:bidi="fa-IR"/>
          <w:color w:val="111111"/>
          <w:sz w:val="28"/>
          <w:szCs w:val="28"/>
          <w:rtl/>
        </w:rPr>
        <w:t xml:space="preserve">این از خبرهای غیب است که ما به تو، وحی می‏کنیم، و تو، نزد آنها نبودی، وقتی که تصمیم گرفتند و نقشه فریبکارانه می‏کشیدند. «102»</w:t>
      </w:r>
    </w:p>
    <w:p>
      <w:pPr>
        <w:pStyle w:val="Heading6"/>
      </w:pPr>
      <w:bookmarkStart w:id="2497" w:name="_Toc1532"/>
      <w:r>
        <w:t>تفسیر:</w:t>
      </w:r>
      <w:bookmarkEnd w:id="2497"/>
    </w:p>
    <w:p>
      <w:pPr>
        <w:pStyle w:val="BookText"/>
      </w:pPr>
      <w:r>
        <w:rPr>
          <w:rFonts w:ascii="IRNazanin" w:hAnsi="IRNazanin" w:eastAsia="IRNazanin" w:cs="IRNazanin"/>
          <w:lang w:bidi="fa-IR"/>
          <w:color w:val="111111"/>
          <w:sz w:val="28"/>
          <w:szCs w:val="28"/>
          <w:rtl/>
        </w:rPr>
        <w:t xml:space="preserve">این که قبل از دخول در مصر، خداوند می‏فرماید: (خانواده یعقوب) داخل بر یوسف شدند، معنایش این است که وقتی یوسف به استقبال آنها آمده بود گویا در میان خانه یا خیمه‏ای که آنجا زده بودند به انتظار آنها نشسته بود و آنها بر او، وارد شدند، برخاست پدر و مادرش را در بغل گرفت و سپس گفت: با حالت امن داخل مصر شوید، اگر خدا بخواهد.</w:t>
      </w:r>
    </w:p>
    <w:p>
      <w:pPr>
        <w:pStyle w:val="BookText"/>
      </w:pPr>
      <w:r>
        <w:rPr>
          <w:rFonts w:ascii="IRNazanin" w:hAnsi="IRNazanin" w:eastAsia="IRNazanin" w:cs="IRNazanin"/>
          <w:lang w:bidi="fa-IR"/>
          <w:color w:val="111111"/>
          <w:sz w:val="28"/>
          <w:szCs w:val="28"/>
          <w:rtl/>
        </w:rPr>
        <w:t xml:space="preserve">در این آیه دخول با امنیّت را مقید به مشیّت خدا فرموده و تقدیر آیه این است:</w:t>
      </w:r>
    </w:p>
    <w:p>
      <w:pPr>
        <w:pStyle w:val="BookText"/>
      </w:pPr>
      <w:r>
        <w:rPr>
          <w:rFonts w:ascii="IRNazanin" w:hAnsi="IRNazanin" w:eastAsia="IRNazanin" w:cs="IRNazanin"/>
          <w:lang w:bidi="fa-IR"/>
          <w:color w:val="111111"/>
          <w:sz w:val="28"/>
          <w:szCs w:val="28"/>
          <w:rtl/>
        </w:rPr>
        <w:t xml:space="preserve">ادخلوا مصر آمنین، ان شاء اللَّه دخلتموه آمنین و «دخلتموه آمنین» که جزاست به علّت معلوم بودنش حذف شده، و جمله شرط میان حال و ذو الحال فاصله شده است.</w:t>
      </w:r>
    </w:p>
    <w:p>
      <w:pPr>
        <w:pStyle w:val="BookText"/>
      </w:pPr>
      <w:r>
        <w:rPr>
          <w:rFonts w:ascii="IRNazanin" w:hAnsi="IRNazanin" w:eastAsia="IRNazanin" w:cs="IRNazanin"/>
          <w:lang w:bidi="fa-IR"/>
          <w:color w:val="111111"/>
          <w:sz w:val="28"/>
          <w:szCs w:val="28"/>
          <w:rtl/>
        </w:rPr>
        <w:t xml:space="preserve">آوی‏ إِلَیْهِ أَبَوَیْهِ پدر و مادرش را در بر گرفت و با آنها معانقه و روبوسی کرد، و همین که داخل مصر شد و در جایگاه خود بر تخت نشست و آنها که وارد شده بودند دورش را گرفتند والدینش را گرامی داشت و آنها را بر تخت نشانید، یازده برادرش پیش روی او به سجده در آمدند، در آن زمان سجده کردن به عنوان احترام برای بزرگان معمول بود.</w:t>
      </w:r>
    </w:p>
    <w:p>
      <w:pPr>
        <w:pStyle w:val="BookText"/>
      </w:pPr>
      <w:r>
        <w:rPr>
          <w:rFonts w:ascii="IRNazanin" w:hAnsi="IRNazanin" w:eastAsia="IRNazanin" w:cs="IRNazanin"/>
          <w:lang w:bidi="fa-IR"/>
          <w:color w:val="111111"/>
          <w:sz w:val="28"/>
          <w:szCs w:val="28"/>
          <w:rtl/>
        </w:rPr>
        <w:t xml:space="preserve">بعضی گفته‏اند: پدر و مادر یوسف و برادرانش به خاطر او و به عنوان شکر خدا سجده کردند، این معنا را تأیید می‏کند آنچه از امام صادق علیه السّلام نقل شده است که آیه</w:t>
      </w:r>
    </w:p>
    <w:p>
      <w:pPr>
        <w:pStyle w:val="BookText"/>
      </w:pPr>
      <w:r>
        <w:rPr>
          <w:rFonts w:ascii="IRNazanin" w:hAnsi="IRNazanin" w:eastAsia="IRNazanin" w:cs="IRNazanin"/>
          <w:lang w:bidi="fa-IR"/>
          <w:color w:val="111111"/>
          <w:sz w:val="28"/>
          <w:szCs w:val="28"/>
          <w:rtl/>
        </w:rPr>
        <w:t xml:space="preserve">[شماره صفحه واقعی : 249]
</w:t>
      </w:r>
    </w:p>
    <w:p>
      <w:pPr>
        <w:sectPr>
          <w:footerReference w:type="default" r:id="rId1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چنین قرائت کرده‏اند: «</w:t>
      </w:r>
    </w:p>
    <w:p>
      <w:pPr>
        <w:pStyle w:val="BookText"/>
      </w:pPr>
      <w:r>
        <w:rPr>
          <w:rFonts w:ascii="Amiri" w:hAnsi="Amiri" w:eastAsia="Amiri" w:cs="Amiri"/>
          <w:lang w:bidi="ar-SA"/>
          <w:color w:val="111111"/>
          <w:sz w:val="28"/>
          <w:szCs w:val="28"/>
          <w:rtl/>
        </w:rPr>
        <w:t xml:space="preserve">و خرّوا للَّه ساجدین</w:t>
      </w:r>
    </w:p>
    <w:p>
      <w:pPr>
        <w:pStyle w:val="BookText"/>
      </w:pPr>
      <w:r>
        <w:rPr>
          <w:rFonts w:ascii="IRNazanin" w:hAnsi="IRNazanin" w:eastAsia="IRNazanin" w:cs="IRNazanin"/>
          <w:lang w:bidi="fa-IR"/>
          <w:color w:val="111111"/>
          <w:sz w:val="28"/>
          <w:szCs w:val="28"/>
          <w:rtl/>
        </w:rPr>
        <w:t xml:space="preserve">» «برای خدا، به سجده افتادند.»</w:t>
      </w:r>
    </w:p>
    <w:p>
      <w:pPr>
        <w:pStyle w:val="BookText"/>
      </w:pPr>
      <w:r>
        <w:rPr>
          <w:rFonts w:ascii="Amiri" w:hAnsi="Amiri" w:eastAsia="Amiri" w:cs="Amiri"/>
          <w:lang w:bidi="ar-SA"/>
          <w:color w:val="111111"/>
          <w:sz w:val="28"/>
          <w:szCs w:val="28"/>
          <w:rtl/>
        </w:rPr>
        <w:t xml:space="preserve">وَ قَدْ أَحْسَنَ بِی به من نیکی کرد، «احسن به» و الیه، به یک معناست. اساء به و الیه:</w:t>
      </w:r>
    </w:p>
    <w:p>
      <w:pPr>
        <w:pStyle w:val="BookText"/>
      </w:pPr>
      <w:r>
        <w:rPr>
          <w:rFonts w:ascii="IRNazanin" w:hAnsi="IRNazanin" w:eastAsia="IRNazanin" w:cs="IRNazanin"/>
          <w:lang w:bidi="fa-IR"/>
          <w:color w:val="111111"/>
          <w:sz w:val="28"/>
          <w:szCs w:val="28"/>
          <w:rtl/>
        </w:rPr>
        <w:t xml:space="preserve">به او بدی کرد. شاعر گفته است:</w:t>
      </w:r>
    </w:p>
    <w:p>
      <w:pPr>
        <w:pStyle w:val="BookText"/>
      </w:pPr>
      <w:r>
        <w:rPr>
          <w:rFonts w:ascii="IRNazanin" w:hAnsi="IRNazanin" w:eastAsia="IRNazanin" w:cs="IRNazanin"/>
          <w:lang w:bidi="fa-IR"/>
          <w:color w:val="111111"/>
          <w:sz w:val="28"/>
          <w:szCs w:val="28"/>
          <w:rtl/>
        </w:rPr>
        <w:t xml:space="preserve">اسیئی بنا او احسنی، لا ملومة لدینا و لا مقلیّة ان تقلّت </w:t>
      </w:r>
      <w:r>
        <w:rPr>
          <w:rStyle w:val="FootnoteReference"/>
        </w:rPr>
        <w:footnoteReference w:id="4527"/>
      </w:r>
    </w:p>
    <w:p>
      <w:pPr>
        <w:pStyle w:val="BookText"/>
      </w:pPr>
      <w:r>
        <w:rPr>
          <w:rFonts w:ascii="IRNazanin" w:hAnsi="IRNazanin" w:eastAsia="IRNazanin" w:cs="IRNazanin"/>
          <w:lang w:bidi="fa-IR"/>
          <w:color w:val="111111"/>
          <w:sz w:val="28"/>
          <w:szCs w:val="28"/>
          <w:rtl/>
        </w:rPr>
        <w:t xml:space="preserve">«الْبَدْوِ» به معنای بیابان است. خانواده یعقوب، بیابان نشین و دامدار بودند، برای به دست آوردن آب و چراگاهها از جایی به جای دیگر منتقل می‏شدند.</w:t>
      </w:r>
    </w:p>
    <w:p>
      <w:pPr>
        <w:pStyle w:val="BookText"/>
      </w:pPr>
      <w:r>
        <w:rPr>
          <w:rFonts w:ascii="Amiri" w:hAnsi="Amiri" w:eastAsia="Amiri" w:cs="Amiri"/>
          <w:lang w:bidi="ar-SA"/>
          <w:color w:val="111111"/>
          <w:sz w:val="28"/>
          <w:szCs w:val="28"/>
          <w:rtl/>
        </w:rPr>
        <w:t xml:space="preserve">نَزَغَ الشَّیْطانُ بَیْنِی وَ بَیْنَ إِخْوَتِی شیطان میان ما، اختلاف و تباهی به وجود آورد.</w:t>
      </w:r>
    </w:p>
    <w:p>
      <w:pPr>
        <w:pStyle w:val="BookText"/>
      </w:pPr>
      <w:r>
        <w:rPr>
          <w:rFonts w:ascii="IRNazanin" w:hAnsi="IRNazanin" w:eastAsia="IRNazanin" w:cs="IRNazanin"/>
          <w:lang w:bidi="fa-IR"/>
          <w:color w:val="111111"/>
          <w:sz w:val="28"/>
          <w:szCs w:val="28"/>
          <w:rtl/>
        </w:rPr>
        <w:t xml:space="preserve">إِنَّ رَبِّی لَطِیفٌ پروردگارم در تدبیر و اداره امور بندگانش دارای لطف است: امور دشوار را بر آنان آسان می‏نماید، و ما به لطف و عنایت او امروز به هم پیوستیم.</w:t>
      </w:r>
    </w:p>
    <w:p>
      <w:pPr>
        <w:pStyle w:val="BookText"/>
      </w:pPr>
      <w:r>
        <w:rPr>
          <w:rFonts w:ascii="IRNazanin" w:hAnsi="IRNazanin" w:eastAsia="IRNazanin" w:cs="IRNazanin"/>
          <w:lang w:bidi="fa-IR"/>
          <w:color w:val="111111"/>
          <w:sz w:val="28"/>
          <w:szCs w:val="28"/>
          <w:rtl/>
        </w:rPr>
        <w:t xml:space="preserve">روایت شده است که حضرت یعقوب مدّت بیست و چهار سال در مصر با یوسف زندگی کرد. و پس از آن که از دنیا رحلت کرد بر طبق وصیّتش در شام مدفون شد، و بعضی گفته‏اند: دو سال زنده بود و یوسف بعد از پدرش بیست و سه سال زندگی کرد، و چون مأموریتش تمام شد و دانست که حکومتش باقی نمی‏ماند، از خدا برای خود درخواست حکومت جاودان و فنا ناپذیر کرد و آرزوی مرگ نمود، و حال آن که نه، پیش از او، و نه بعد از او هیچ پیامبری آرزوی مرگ نکرد، و سرانجام خداوند او را با پاکی و طهارت از دنیا برد.</w:t>
      </w:r>
    </w:p>
    <w:p>
      <w:pPr>
        <w:pStyle w:val="BookText"/>
      </w:pPr>
      <w:r>
        <w:rPr>
          <w:rFonts w:ascii="Amiri" w:hAnsi="Amiri" w:eastAsia="Amiri" w:cs="Amiri"/>
          <w:lang w:bidi="ar-SA"/>
          <w:color w:val="111111"/>
          <w:sz w:val="28"/>
          <w:szCs w:val="28"/>
          <w:rtl/>
        </w:rPr>
        <w:t xml:space="preserve">حرف «من» در عبارات «مِنَ الْمُلْکِ» و «مِنْ تَأْوِیلِ الْأَحادِیثِ» برای تبعیض است، زیرا به حضرت یوسف بخشی از حکومت دنیا، یا مصر، و قسمتی از علم تأویل و تعبیر خواب عطا شده بود.</w:t>
      </w:r>
    </w:p>
    <w:p>
      <w:pPr>
        <w:pStyle w:val="BookText"/>
      </w:pPr>
      <w:r>
        <w:rPr>
          <w:rFonts w:ascii="IRNazanin" w:hAnsi="IRNazanin" w:eastAsia="IRNazanin" w:cs="IRNazanin"/>
          <w:lang w:bidi="fa-IR"/>
          <w:color w:val="111111"/>
          <w:sz w:val="28"/>
          <w:szCs w:val="28"/>
          <w:rtl/>
        </w:rPr>
        <w:t xml:space="preserve">[شماره صفحه واقعی : 250]
</w:t>
      </w:r>
    </w:p>
    <w:p>
      <w:pPr>
        <w:sectPr>
          <w:footerReference w:type="default" r:id="rId1349"/>
          <w:footnotePr>
            <w:numStart w:val="1"/>
            <w:numRestart w:val="eachPage"/>
          </w:footnotePr>
          <w:pgSz w:orient="portrait" w:w="11905.511811023622" w:h="16837.79527559055"/>
          <w:pgMar w:top="1440" w:right="1440" w:bottom="1440" w:left="1440" w:header="720" w:footer="720" w:gutter="0"/>
          <w:cols w:num="1" w:space="720"/>
        </w:sectPr>
      </w:pPr>
    </w:p>
    <w:bookmarkStart w:id="756" w:name="pg14411_143731"/>
    <w:bookmarkEnd w:id="756"/>
    <w:p>
      <w:pPr>
        <w:pStyle w:val="BookText"/>
      </w:pPr>
      <w:r>
        <w:rPr>
          <w:rFonts w:ascii="IRNazanin" w:hAnsi="IRNazanin" w:eastAsia="IRNazanin" w:cs="IRNazanin"/>
          <w:lang w:bidi="fa-IR"/>
          <w:color w:val="111111"/>
          <w:sz w:val="28"/>
          <w:szCs w:val="28"/>
          <w:rtl/>
        </w:rPr>
        <w:t xml:space="preserve">أَنْتَ وَلِیِّی تویی آن که به نعمت دنیا به من کمک می‏کنی و حکومت جهان فانی را به نعمت جاوید آخرت متّصل می‏سازی.</w:t>
      </w:r>
    </w:p>
    <w:p>
      <w:pPr>
        <w:pStyle w:val="BookText"/>
      </w:pPr>
      <w:r>
        <w:rPr>
          <w:rFonts w:ascii="Amiri" w:hAnsi="Amiri" w:eastAsia="Amiri" w:cs="Amiri"/>
          <w:lang w:bidi="ar-SA"/>
          <w:color w:val="111111"/>
          <w:sz w:val="28"/>
          <w:szCs w:val="28"/>
          <w:rtl/>
        </w:rPr>
        <w:t xml:space="preserve">فاطِرَ السَّماواتِ این عبارت صفت برای «ربّ» یا منصوب است به عنوان ندا.</w:t>
      </w:r>
    </w:p>
    <w:p>
      <w:pPr>
        <w:pStyle w:val="BookText"/>
      </w:pPr>
      <w:r>
        <w:rPr>
          <w:rFonts w:ascii="IRNazanin" w:hAnsi="IRNazanin" w:eastAsia="IRNazanin" w:cs="IRNazanin"/>
          <w:lang w:bidi="fa-IR"/>
          <w:color w:val="111111"/>
          <w:sz w:val="28"/>
          <w:szCs w:val="28"/>
          <w:rtl/>
        </w:rPr>
        <w:t xml:space="preserve">«وَ أَلْحِقْنِی بِالصَّالِحِینَ» مرا به نیکوکاران: پدرانم، یا به طور عموم، ملحق فرما. «ذلک» این کلمه اشاره به خبر یوسف است که در قبل بیان شده، ذلک مبتداست، و دو عبارت: «مِنْ أَنْباءِ الْغَیْبِ، نُوحِیهِ إِلَیْکَ» خبر بعد از خبر می‏باشند، و معنای آیه این است: این خبر غیبی است که تنها از راه وحی، برای تو حاصل شد زیرا تو خود حضور نداشتی که ببینی فرزندان یعقوب را آن گاه که در تصمیم خود یکپارچه شدند و درباره یوسف به حیله و نیرنگ متوسط شدند و دامهای فریب برای او گستردند تا سرانجام وی را در میان چاه تاریک انداختند.</w:t>
      </w:r>
    </w:p>
    <w:p>
      <w:pPr>
        <w:pStyle w:val="Heading6"/>
      </w:pPr>
      <w:bookmarkStart w:id="2498" w:name="_Toc1533"/>
      <w:r>
        <w:t>[سوره یوسف «12»: آیات 103 تا 109]</w:t>
      </w:r>
      <w:bookmarkEnd w:id="2498"/>
    </w:p>
    <w:p>
      <w:pPr>
        <w:pStyle w:val="Heading6"/>
      </w:pPr>
      <w:bookmarkStart w:id="2499" w:name="_Toc1534"/>
      <w:r>
        <w:t>اشاره</w:t>
      </w:r>
      <w:bookmarkEnd w:id="2499"/>
    </w:p>
    <w:p>
      <w:pPr>
        <w:pStyle w:val="BookText"/>
      </w:pPr>
      <w:r>
        <w:rPr>
          <w:rFonts w:ascii="Amiri" w:hAnsi="Amiri" w:eastAsia="Amiri" w:cs="Amiri"/>
          <w:lang w:bidi="ar-SA"/>
          <w:color w:val="111111"/>
          <w:sz w:val="28"/>
          <w:szCs w:val="28"/>
          <w:rtl/>
        </w:rPr>
        <w:t xml:space="preserve">وَ ما أَکْثَرُ النَّاسِ وَ لَوْ حَرَصْتَ بِمُؤْمِنِینَ «103» وَ ما تَسْئَلُهُمْ عَلَیْهِ مِنْ أَجْرٍ إِنْ هُوَ إِلاَّ ذِکْرٌ لِلْعالَمِینَ «104» وَ کَأَیِّنْ مِنْ آیَةٍ فِی السَّماواتِ وَ الْأَرْضِ یَمُرُّونَ عَلَیْها وَ هُمْ عَنْها مُعْرِضُونَ «105» وَ ما یُؤْمِنُ أَکْثَرُهُمْ بِاللَّهِ إِلاَّ وَ هُمْ مُشْرِکُونَ «106» أَ فَأَمِنُوا أَنْ تَأْتِیَهُمْ غاشِیَةٌ مِنْ عَذابِ اللَّهِ أَوْ تَأْتِیَهُمُ السَّاعَةُ بَغْتَةً وَ هُمْ لا یَشْعُرُونَ «107»</w:t>
      </w:r>
    </w:p>
    <w:p>
      <w:pPr>
        <w:pStyle w:val="BookText"/>
      </w:pPr>
      <w:r>
        <w:rPr>
          <w:rFonts w:ascii="Amiri" w:hAnsi="Amiri" w:eastAsia="Amiri" w:cs="Amiri"/>
          <w:lang w:bidi="ar-SA"/>
          <w:color w:val="111111"/>
          <w:sz w:val="28"/>
          <w:szCs w:val="28"/>
          <w:rtl/>
        </w:rPr>
        <w:t xml:space="preserve">قُلْ هذِهِ سَبِیلِی أَدْعُوا إِلَی اللَّهِ عَلی‏ بَصِیرَةٍ أَنَا وَ مَنِ اتَّبَعَنِی وَ سُبْحانَ اللَّهِ وَ ما أَنَا مِنَ الْمُشْرِکِینَ «108» وَ ما أَرْسَلْنا مِنْ قَبْلِکَ إِلاَّ رِجالاً نُوحِی إِلَیْهِمْ مِنْ أَهْلِ الْقُری‏ أَ فَلَمْ یَسِیرُوا فِی الْأَرْضِ فَیَنْظُرُوا کَیْفَ کانَ عاقِبَةُ الَّذِینَ مِنْ قَبْلِهِمْ وَ لَدارُ الْآخِرَةِ خَیْرٌ لِلَّذِینَ اتَّقَوْا أَ فَلا تَعْقِلُونَ «109»</w:t>
      </w:r>
    </w:p>
    <w:p>
      <w:pPr>
        <w:pStyle w:val="BookText"/>
      </w:pPr>
      <w:r>
        <w:rPr>
          <w:rFonts w:ascii="IRNazanin" w:hAnsi="IRNazanin" w:eastAsia="IRNazanin" w:cs="IRNazanin"/>
          <w:lang w:bidi="fa-IR"/>
          <w:color w:val="111111"/>
          <w:sz w:val="28"/>
          <w:szCs w:val="28"/>
          <w:rtl/>
        </w:rPr>
        <w:t xml:space="preserve">[شماره صفحه واقعی : 251]
</w:t>
      </w:r>
    </w:p>
    <w:p>
      <w:pPr>
        <w:sectPr>
          <w:footerReference w:type="default" r:id="rId1350"/>
          <w:footnotePr>
            <w:numStart w:val="1"/>
            <w:numRestart w:val="eachPage"/>
          </w:footnotePr>
          <w:pgSz w:orient="portrait" w:w="11905.511811023622" w:h="16837.79527559055"/>
          <w:pgMar w:top="1440" w:right="1440" w:bottom="1440" w:left="1440" w:header="720" w:footer="720" w:gutter="0"/>
          <w:cols w:num="1" w:space="720"/>
        </w:sectPr>
      </w:pPr>
    </w:p>
    <w:bookmarkStart w:id="757" w:name="pg14411_143732"/>
    <w:bookmarkEnd w:id="757"/>
    <w:p>
      <w:pPr>
        <w:pStyle w:val="Heading6"/>
      </w:pPr>
      <w:bookmarkStart w:id="2500" w:name="_Toc1535"/>
      <w:r>
        <w:t>ترجمه:</w:t>
      </w:r>
      <w:bookmarkEnd w:id="2500"/>
    </w:p>
    <w:p>
      <w:pPr>
        <w:pStyle w:val="BookText"/>
      </w:pPr>
      <w:r>
        <w:rPr>
          <w:rFonts w:ascii="IRNazanin" w:hAnsi="IRNazanin" w:eastAsia="IRNazanin" w:cs="IRNazanin"/>
          <w:lang w:bidi="fa-IR"/>
          <w:color w:val="111111"/>
          <w:sz w:val="28"/>
          <w:szCs w:val="28"/>
          <w:rtl/>
        </w:rPr>
        <w:t xml:space="preserve">و بیشتر مردم ایمان نمی‏آورند هر چند که تو، بر آن اصرار داشته باشی. «103»</w:t>
      </w:r>
    </w:p>
    <w:p>
      <w:pPr>
        <w:pStyle w:val="BookText"/>
      </w:pPr>
      <w:r>
        <w:rPr>
          <w:rFonts w:ascii="IRNazanin" w:hAnsi="IRNazanin" w:eastAsia="IRNazanin" w:cs="IRNazanin"/>
          <w:lang w:bidi="fa-IR"/>
          <w:color w:val="111111"/>
          <w:sz w:val="28"/>
          <w:szCs w:val="28"/>
          <w:rtl/>
        </w:rPr>
        <w:t xml:space="preserve">و تو از مردم هیچ گونه مزدی را درخواست نمی‏کنی و آن، نیست مگر یادآوری برای جهانیان. «104»</w:t>
      </w:r>
    </w:p>
    <w:p>
      <w:pPr>
        <w:pStyle w:val="BookText"/>
      </w:pPr>
      <w:r>
        <w:rPr>
          <w:rFonts w:ascii="IRNazanin" w:hAnsi="IRNazanin" w:eastAsia="IRNazanin" w:cs="IRNazanin"/>
          <w:lang w:bidi="fa-IR"/>
          <w:color w:val="111111"/>
          <w:sz w:val="28"/>
          <w:szCs w:val="28"/>
          <w:rtl/>
        </w:rPr>
        <w:t xml:space="preserve">و چه بسا، نشانه‏ای در آسمانها و زمین وجود دارد که مردم بر آن می‏گذرند و از آن روگردانند. «105»</w:t>
      </w:r>
    </w:p>
    <w:p>
      <w:pPr>
        <w:pStyle w:val="BookText"/>
      </w:pPr>
      <w:r>
        <w:rPr>
          <w:rFonts w:ascii="IRNazanin" w:hAnsi="IRNazanin" w:eastAsia="IRNazanin" w:cs="IRNazanin"/>
          <w:lang w:bidi="fa-IR"/>
          <w:color w:val="111111"/>
          <w:sz w:val="28"/>
          <w:szCs w:val="28"/>
          <w:rtl/>
        </w:rPr>
        <w:t xml:space="preserve">و اکثر آنها که مدّعی ایمان به خدا هستند مشرکند. «106»</w:t>
      </w:r>
    </w:p>
    <w:p>
      <w:pPr>
        <w:pStyle w:val="BookText"/>
      </w:pPr>
      <w:r>
        <w:rPr>
          <w:rFonts w:ascii="IRNazanin" w:hAnsi="IRNazanin" w:eastAsia="IRNazanin" w:cs="IRNazanin"/>
          <w:lang w:bidi="fa-IR"/>
          <w:color w:val="111111"/>
          <w:sz w:val="28"/>
          <w:szCs w:val="28"/>
          <w:rtl/>
        </w:rPr>
        <w:t xml:space="preserve">آیا از این ایمن هستند که عذاب فراگیری از سوی خداوند به سراغشان آید، یا رستاخیز فرا رسد، در حالی که هیچ توجّهی ندارند؟ «107»</w:t>
      </w:r>
    </w:p>
    <w:p>
      <w:pPr>
        <w:pStyle w:val="BookText"/>
      </w:pPr>
      <w:r>
        <w:rPr>
          <w:rFonts w:ascii="IRNazanin" w:hAnsi="IRNazanin" w:eastAsia="IRNazanin" w:cs="IRNazanin"/>
          <w:lang w:bidi="fa-IR"/>
          <w:color w:val="111111"/>
          <w:sz w:val="28"/>
          <w:szCs w:val="28"/>
          <w:rtl/>
        </w:rPr>
        <w:t xml:space="preserve">بگو: این راه من است که من و پیروانم از روی آگاهی کامل، به سوی خدا دعوت می‏کنم، پاک و منزّه است خدا، و من از مشرکان نیستم. «108»</w:t>
      </w:r>
    </w:p>
    <w:p>
      <w:pPr>
        <w:pStyle w:val="BookText"/>
      </w:pPr>
      <w:r>
        <w:rPr>
          <w:rFonts w:ascii="IRNazanin" w:hAnsi="IRNazanin" w:eastAsia="IRNazanin" w:cs="IRNazanin"/>
          <w:lang w:bidi="fa-IR"/>
          <w:color w:val="111111"/>
          <w:sz w:val="28"/>
          <w:szCs w:val="28"/>
          <w:rtl/>
        </w:rPr>
        <w:t xml:space="preserve">و ما پیش از تو نفرستادیم، جز مردانی از سرزمینها را که به آنها وحی می‏کردیم، آیا آنها در زمین سیر نکردند تا ببینند، عاقبت کسانی که پیش از آنها بودند چه شد و سرای آخرت برای پرهیزکاران بهتر است، آیا عقلتان را به کار نمی‏گیرید. «109»</w:t>
      </w:r>
    </w:p>
    <w:p>
      <w:pPr>
        <w:pStyle w:val="Heading6"/>
      </w:pPr>
      <w:bookmarkStart w:id="2501" w:name="_Toc1536"/>
      <w:r>
        <w:t>تفسیر:</w:t>
      </w:r>
      <w:bookmarkEnd w:id="2501"/>
    </w:p>
    <w:p>
      <w:pPr>
        <w:pStyle w:val="BookText"/>
      </w:pPr>
      <w:r>
        <w:rPr>
          <w:rFonts w:ascii="IRNazanin" w:hAnsi="IRNazanin" w:eastAsia="IRNazanin" w:cs="IRNazanin"/>
          <w:lang w:bidi="fa-IR"/>
          <w:color w:val="111111"/>
          <w:sz w:val="28"/>
          <w:szCs w:val="28"/>
          <w:rtl/>
        </w:rPr>
        <w:t xml:space="preserve">وَ ما أَکْثَرُ النَّاسِ مراد تعمیم است: [ای پیامبر] اگر تو بخواهی که همه مردم ایمان بیاورند این امر میسّر نمی‏شود، ابن عباس گفته است: مراد اهل مکّه است، یعنی اهل مکّه ایمان نمی‏آورند هر چند که برای ایمان آوردن آنها حریص باشی، چرا که آنها عناد دارند و مصمّم بر کفراند. تو که برای تبلیغ رسالت از آنها مزدی مطالبه نمی‏کنی تا این امر آنها را از ایمان آوردن باز دارد.</w:t>
      </w:r>
    </w:p>
    <w:p>
      <w:pPr>
        <w:pStyle w:val="BookText"/>
      </w:pPr>
      <w:r>
        <w:rPr>
          <w:rFonts w:ascii="IRNazanin" w:hAnsi="IRNazanin" w:eastAsia="IRNazanin" w:cs="IRNazanin"/>
          <w:lang w:bidi="fa-IR"/>
          <w:color w:val="111111"/>
          <w:sz w:val="28"/>
          <w:szCs w:val="28"/>
          <w:rtl/>
        </w:rPr>
        <w:t xml:space="preserve">إِنْ هُوَ إِلَّا ذِکْرٌ لِلْعالَمِینَ قرآن تنها نصیحت و خیراندیشی و پند و موعظه‏ای است برای عموم جوامع از طرف خداوند.</w:t>
      </w:r>
    </w:p>
    <w:p>
      <w:pPr>
        <w:pStyle w:val="BookText"/>
      </w:pPr>
      <w:r>
        <w:rPr>
          <w:rFonts w:ascii="IRNazanin" w:hAnsi="IRNazanin" w:eastAsia="IRNazanin" w:cs="IRNazanin"/>
          <w:lang w:bidi="fa-IR"/>
          <w:color w:val="111111"/>
          <w:sz w:val="28"/>
          <w:szCs w:val="28"/>
          <w:rtl/>
        </w:rPr>
        <w:t xml:space="preserve">وَ کَأَیِّنْ مِنْ آیَةٍ چه بسیار دلیلها و نشانه‏هایی از توحید و یکتایی خداوند که وجود دارد، ولی این مردم بر آنها می‏گذرند و به آن اعتنایی ندارند.</w:t>
      </w:r>
    </w:p>
    <w:p>
      <w:pPr>
        <w:pStyle w:val="BookText"/>
      </w:pPr>
      <w:r>
        <w:rPr>
          <w:rFonts w:ascii="IRNazanin" w:hAnsi="IRNazanin" w:eastAsia="IRNazanin" w:cs="IRNazanin"/>
          <w:lang w:bidi="fa-IR"/>
          <w:color w:val="111111"/>
          <w:sz w:val="28"/>
          <w:szCs w:val="28"/>
          <w:rtl/>
        </w:rPr>
        <w:t xml:space="preserve">وَ ما یُؤْمِنُ أَکْثَرُهُمْ اکثر کسانی که به خدا اقرار دارند و او را خالق خودشان و آفریننده آسمانها و زمین می‏دانند، به او ایمان ندارند، بلکه مشرکند، زیرا بتها را عبادت می‏کنند. منظور از این مردم، مشرکان قریش‏اند. بعضی گفته‏اند، مقصود مشبهه‏اند که خدای را به آفریدگانش همانند می‏دانند، و برخی دیگر گویند: منظور اهل کتابند که شرک و ایمان را دارایند، امام باقر علیه السّلام می‏فرماید:</w:t>
      </w:r>
    </w:p>
    <w:p>
      <w:pPr>
        <w:pStyle w:val="BookText"/>
      </w:pPr>
      <w:r>
        <w:rPr>
          <w:rFonts w:ascii="IRNazanin" w:hAnsi="IRNazanin" w:eastAsia="IRNazanin" w:cs="IRNazanin"/>
          <w:lang w:bidi="fa-IR"/>
          <w:color w:val="111111"/>
          <w:sz w:val="28"/>
          <w:szCs w:val="28"/>
          <w:rtl/>
        </w:rPr>
        <w:t xml:space="preserve">[شماره صفحه واقعی : 252]
</w:t>
      </w:r>
    </w:p>
    <w:p>
      <w:pPr>
        <w:sectPr>
          <w:footerReference w:type="default" r:id="rId1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انّه شرک الطّاعة لا شرک العبادة، اطاعوا الشّیطان فی ارتکاب المعاصی</w:t>
      </w:r>
    </w:p>
    <w:p>
      <w:pPr>
        <w:pStyle w:val="BookText"/>
      </w:pPr>
      <w:r>
        <w:rPr>
          <w:rFonts w:ascii="IRNazanin" w:hAnsi="IRNazanin" w:eastAsia="IRNazanin" w:cs="IRNazanin"/>
          <w:lang w:bidi="fa-IR"/>
          <w:color w:val="111111"/>
          <w:sz w:val="28"/>
          <w:szCs w:val="28"/>
          <w:rtl/>
        </w:rPr>
        <w:t xml:space="preserve">[ادامه حدیث از مجمع البیان:</w:t>
      </w:r>
    </w:p>
    <w:p>
      <w:pPr>
        <w:pStyle w:val="BookText"/>
      </w:pPr>
      <w:r>
        <w:rPr>
          <w:rFonts w:ascii="IRNazanin" w:hAnsi="IRNazanin" w:eastAsia="IRNazanin" w:cs="IRNazanin"/>
          <w:lang w:bidi="fa-IR"/>
          <w:color w:val="111111"/>
          <w:sz w:val="28"/>
          <w:szCs w:val="28"/>
          <w:rtl/>
        </w:rPr>
        <w:t xml:space="preserve">ممّا اوجب اللَّه علیها النّار، فاشرکوا باللّه فی طاعته، و لم یشرکوا باللّه شرک عبادة فیعبدون معه غیره‏]</w:t>
      </w:r>
    </w:p>
    <w:p>
      <w:pPr>
        <w:pStyle w:val="BookText"/>
      </w:pPr>
      <w:r>
        <w:rPr>
          <w:rFonts w:ascii="IRNazanin" w:hAnsi="IRNazanin" w:eastAsia="IRNazanin" w:cs="IRNazanin"/>
          <w:lang w:bidi="fa-IR"/>
          <w:color w:val="111111"/>
          <w:sz w:val="28"/>
          <w:szCs w:val="28"/>
          <w:rtl/>
        </w:rPr>
        <w:t xml:space="preserve">: منظور شرک در پیروی و اطاعت است نه شرک در عبادت زیرا آنها در انجام دادن گناهانی که موجب دخول در آتش است از شیطان پیروی کردند امّا غیر خدا را نپرستیدند که شرک در عبادت داشته باشند.</w:t>
      </w:r>
    </w:p>
    <w:p>
      <w:pPr>
        <w:pStyle w:val="BookText"/>
      </w:pPr>
      <w:r>
        <w:rPr>
          <w:rFonts w:ascii="IRNazanin" w:hAnsi="IRNazanin" w:eastAsia="IRNazanin" w:cs="IRNazanin"/>
          <w:lang w:bidi="fa-IR"/>
          <w:color w:val="111111"/>
          <w:sz w:val="28"/>
          <w:szCs w:val="28"/>
          <w:rtl/>
        </w:rPr>
        <w:t xml:space="preserve">أَ فَأَمِنُوا أَنْ تَأْتِیَهُمْ غاشِیَةٌ آیا در امانند و می‏دانند که بلایی فراگیرنده بر آنها فرود نمی‏آید و کیفری دردناک آنان را فرو نمی‏گیرد؟</w:t>
      </w:r>
    </w:p>
    <w:p>
      <w:pPr>
        <w:pStyle w:val="BookText"/>
      </w:pPr>
      <w:r>
        <w:rPr>
          <w:rFonts w:ascii="IRNazanin" w:hAnsi="IRNazanin" w:eastAsia="IRNazanin" w:cs="IRNazanin"/>
          <w:lang w:bidi="fa-IR"/>
          <w:color w:val="111111"/>
          <w:sz w:val="28"/>
          <w:szCs w:val="28"/>
          <w:rtl/>
        </w:rPr>
        <w:t xml:space="preserve">قُلْ هذِهِ سَبِیلِی این راه که دعوت به سوی ایمان و توحید است راه من می‏باشد، و در جملات بعد آن را تفسیر کرده، می‏فرماید: با دلیلهای روشن به سوی خدا و دین او، دعوت می‏کنم، «انا» تأکید است برای ضمیر مستتر در «ادعو» و «مَنِ اتَّبَعَنِی» هم عطف بر آن است: من، و کسانی که پیرو من هستند به سوی دیانت و بصیرت دعوت می‏کنیم، و ممکن است که «عَلی‏ بَصِیرَةٍ» حال از «ادعو» باشد، که عامل رفع «أَنَا وَ مَنِ اتَّبَعَنِی» است. «سُبْحانَ اللَّهِ» خدای را منزّه از شریک می‏دانم «إِلَّا رِجالًا»:</w:t>
      </w:r>
    </w:p>
    <w:p>
      <w:pPr>
        <w:pStyle w:val="BookText"/>
      </w:pPr>
      <w:r>
        <w:rPr>
          <w:rFonts w:ascii="IRNazanin" w:hAnsi="IRNazanin" w:eastAsia="IRNazanin" w:cs="IRNazanin"/>
          <w:lang w:bidi="fa-IR"/>
          <w:color w:val="111111"/>
          <w:sz w:val="28"/>
          <w:szCs w:val="28"/>
          <w:rtl/>
        </w:rPr>
        <w:t xml:space="preserve">پیامبران گذشته ما، فقط مردان بودند، نه فرشتگان.</w:t>
      </w:r>
    </w:p>
    <w:p>
      <w:pPr>
        <w:pStyle w:val="BookText"/>
      </w:pPr>
      <w:r>
        <w:rPr>
          <w:rFonts w:ascii="IRNazanin" w:hAnsi="IRNazanin" w:eastAsia="IRNazanin" w:cs="IRNazanin"/>
          <w:lang w:bidi="fa-IR"/>
          <w:color w:val="111111"/>
          <w:sz w:val="28"/>
          <w:szCs w:val="28"/>
          <w:rtl/>
        </w:rPr>
        <w:t xml:space="preserve">«نُوحِی إِلَیْهِمْ» با «نون» متکلم مع الغیر. «مِنْ أَهْلِ الْقُری‏»: اهالی شهرها، آبادیها، که داناتر و بردبارتراند، نه بیابان نشینان که جفاکار و سنگ دلند.</w:t>
      </w:r>
    </w:p>
    <w:p>
      <w:pPr>
        <w:pStyle w:val="BookText"/>
      </w:pPr>
      <w:r>
        <w:rPr>
          <w:rFonts w:ascii="IRNazanin" w:hAnsi="IRNazanin" w:eastAsia="IRNazanin" w:cs="IRNazanin"/>
          <w:lang w:bidi="fa-IR"/>
          <w:color w:val="111111"/>
          <w:sz w:val="28"/>
          <w:szCs w:val="28"/>
          <w:rtl/>
        </w:rPr>
        <w:t xml:space="preserve">وَ لَدارُ الْآخِرَةِ ساعت یا حالت آخرت، بهتر است برای آنان که تقوا دارند: از خدا بیم دارند، و به او شرک نمی‏آورند.</w:t>
      </w:r>
    </w:p>
    <w:p>
      <w:pPr>
        <w:pStyle w:val="BookText"/>
      </w:pPr>
      <w:r>
        <w:rPr>
          <w:rFonts w:ascii="IRNazanin" w:hAnsi="IRNazanin" w:eastAsia="IRNazanin" w:cs="IRNazanin"/>
          <w:lang w:bidi="fa-IR"/>
          <w:color w:val="111111"/>
          <w:sz w:val="28"/>
          <w:szCs w:val="28"/>
          <w:rtl/>
        </w:rPr>
        <w:t xml:space="preserve">[شماره صفحه واقعی : 253]
</w:t>
      </w:r>
    </w:p>
    <w:p>
      <w:pPr>
        <w:sectPr>
          <w:footerReference w:type="default" r:id="rId1352"/>
          <w:footnotePr>
            <w:numStart w:val="1"/>
            <w:numRestart w:val="eachPage"/>
          </w:footnotePr>
          <w:pgSz w:orient="portrait" w:w="11905.511811023622" w:h="16837.79527559055"/>
          <w:pgMar w:top="1440" w:right="1440" w:bottom="1440" w:left="1440" w:header="720" w:footer="720" w:gutter="0"/>
          <w:cols w:num="1" w:space="720"/>
        </w:sectPr>
      </w:pPr>
    </w:p>
    <w:bookmarkStart w:id="758" w:name="pg14411_143734"/>
    <w:bookmarkEnd w:id="758"/>
    <w:p>
      <w:pPr>
        <w:pStyle w:val="Heading6"/>
      </w:pPr>
      <w:bookmarkStart w:id="2502" w:name="_Toc1537"/>
      <w:r>
        <w:t>[سوره یوسف «12»: آیات 110 تا 111]</w:t>
      </w:r>
      <w:bookmarkEnd w:id="2502"/>
    </w:p>
    <w:p>
      <w:pPr>
        <w:pStyle w:val="Heading6"/>
      </w:pPr>
      <w:bookmarkStart w:id="2503" w:name="_Toc1538"/>
      <w:r>
        <w:t>اشاره</w:t>
      </w:r>
      <w:bookmarkEnd w:id="2503"/>
    </w:p>
    <w:p>
      <w:pPr>
        <w:pStyle w:val="BookText"/>
      </w:pPr>
      <w:r>
        <w:rPr>
          <w:rFonts w:ascii="Amiri" w:hAnsi="Amiri" w:eastAsia="Amiri" w:cs="Amiri"/>
          <w:lang w:bidi="ar-SA"/>
          <w:color w:val="111111"/>
          <w:sz w:val="28"/>
          <w:szCs w:val="28"/>
          <w:rtl/>
        </w:rPr>
        <w:t xml:space="preserve">حَتَّی إِذَا اسْتَیْأَسَ الرُّسُلُ وَ ظَنُّوا أَنَّهُمْ قَدْ کُذِبُوا جاءَهُمْ نَصْرُنا فَنُجِّیَ مَنْ نَشاءُ وَ لا یُرَدُّ بَأْسُنا عَنِ الْقَوْمِ الْمُجْرِمِینَ «110» لَقَدْ کانَ فِی قَصَصِهِمْ عِبْرَةٌ لِأُولِی الْأَلْبابِ ما کانَ حَدِیثاً یُفْتَری‏ وَ لکِنْ تَصْدِیقَ الَّذِی بَیْنَ یَدَیْهِ وَ تَفْصِیلَ کُلِّ شَیْ‏ءٍ وَ هُدیً وَ رَحْمَةً لِقَوْمٍ یُؤْمِنُونَ «111»</w:t>
      </w:r>
    </w:p>
    <w:p>
      <w:pPr>
        <w:pStyle w:val="Heading6"/>
      </w:pPr>
      <w:bookmarkStart w:id="2504" w:name="_Toc1539"/>
      <w:r>
        <w:t>ترجمه:</w:t>
      </w:r>
      <w:bookmarkEnd w:id="2504"/>
    </w:p>
    <w:p>
      <w:pPr>
        <w:pStyle w:val="BookText"/>
      </w:pPr>
      <w:r>
        <w:rPr>
          <w:rFonts w:ascii="IRNazanin" w:hAnsi="IRNazanin" w:eastAsia="IRNazanin" w:cs="IRNazanin"/>
          <w:lang w:bidi="fa-IR"/>
          <w:color w:val="111111"/>
          <w:sz w:val="28"/>
          <w:szCs w:val="28"/>
          <w:rtl/>
        </w:rPr>
        <w:t xml:space="preserve">تا وقتی که رسولان مأیوس شدند و گمان کردند که تکذیب شده‏اند، در این وقت یاری ما به سوی آنان آمد، پس هر کس را می‏خواستیم نجات می‏دادیم، و عذاب ما از قوم زیانکار بازگردانده نمی‏شود. «110»</w:t>
      </w:r>
    </w:p>
    <w:p>
      <w:pPr>
        <w:pStyle w:val="BookText"/>
      </w:pPr>
      <w:r>
        <w:rPr>
          <w:rFonts w:ascii="IRNazanin" w:hAnsi="IRNazanin" w:eastAsia="IRNazanin" w:cs="IRNazanin"/>
          <w:lang w:bidi="fa-IR"/>
          <w:color w:val="111111"/>
          <w:sz w:val="28"/>
          <w:szCs w:val="28"/>
          <w:rtl/>
        </w:rPr>
        <w:t xml:space="preserve">براستی که در سرگذشتهای آنها، درس عبرتی برای صاحبان اندیشه است، و این سخنی که درهم یافته باشند نیست بلکه تصدیقی است برای کتابهای جلو روی او، و میان هر چیزی است، و هدایت و رحمتی است برای مردمی که ایمان می‏آورند. «111»</w:t>
      </w:r>
    </w:p>
    <w:p>
      <w:pPr>
        <w:pStyle w:val="Heading6"/>
      </w:pPr>
      <w:bookmarkStart w:id="2505" w:name="_Toc1540"/>
      <w:r>
        <w:t>تفسیر:</w:t>
      </w:r>
      <w:bookmarkEnd w:id="2505"/>
    </w:p>
    <w:p>
      <w:pPr>
        <w:pStyle w:val="BookText"/>
      </w:pPr>
      <w:r>
        <w:rPr>
          <w:rFonts w:ascii="IRNazanin" w:hAnsi="IRNazanin" w:eastAsia="IRNazanin" w:cs="IRNazanin"/>
          <w:lang w:bidi="fa-IR"/>
          <w:color w:val="111111"/>
          <w:sz w:val="28"/>
          <w:szCs w:val="28"/>
          <w:rtl/>
        </w:rPr>
        <w:t xml:space="preserve">در این آیه جمله‏ای مقدّر است که به دلیل قرینه حذف شده و گویا چنین بوده است: ما پیش از تو هر پیامبری را که برای امّتی می‏فرستادیم در یاری کردنشان تأخیر می‏کردیم مانند آنچه با تو و امتت انجام می‏دهیم، تا آن جا که پیامبران از یاری ناامید می‏شدند و گمان می‏کردند که قومشان آنها را- در تهدید به عذاب و مژده یاری الهی- تکذیب می‏کنند.</w:t>
      </w:r>
    </w:p>
    <w:p>
      <w:pPr>
        <w:pStyle w:val="BookText"/>
      </w:pPr>
      <w:r>
        <w:rPr>
          <w:rFonts w:ascii="IRNazanin" w:hAnsi="IRNazanin" w:eastAsia="IRNazanin" w:cs="IRNazanin"/>
          <w:lang w:bidi="fa-IR"/>
          <w:color w:val="111111"/>
          <w:sz w:val="28"/>
          <w:szCs w:val="28"/>
          <w:rtl/>
        </w:rPr>
        <w:t xml:space="preserve">بعضی «کذبوا» به تخفیف خوانده‏اند و این، قرائت ائمه هدی نیز هست، و معنایش این است: قومشان گمان می‏کردند که پیامبران در آنچه از یاری خداوند به آنها وعده داده‏اند دروغگویند.</w:t>
      </w:r>
    </w:p>
    <w:p>
      <w:pPr>
        <w:pStyle w:val="BookText"/>
      </w:pPr>
      <w:r>
        <w:rPr>
          <w:rFonts w:ascii="IRNazanin" w:hAnsi="IRNazanin" w:eastAsia="IRNazanin" w:cs="IRNazanin"/>
          <w:lang w:bidi="fa-IR"/>
          <w:color w:val="111111"/>
          <w:sz w:val="28"/>
          <w:szCs w:val="28"/>
          <w:rtl/>
        </w:rPr>
        <w:t xml:space="preserve">[شماره صفحه واقعی : 254]
</w:t>
      </w:r>
    </w:p>
    <w:p>
      <w:pPr>
        <w:sectPr>
          <w:footerReference w:type="default" r:id="rId1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جاءَهُمْ نَصْرُنا در این مواقع بود که ما با فرستادن عذاب بر کفّار پیامبران را یاری می‏کردیم.</w:t>
      </w:r>
    </w:p>
    <w:p>
      <w:pPr>
        <w:pStyle w:val="BookText"/>
      </w:pPr>
      <w:r>
        <w:rPr>
          <w:rFonts w:ascii="IRNazanin" w:hAnsi="IRNazanin" w:eastAsia="IRNazanin" w:cs="IRNazanin"/>
          <w:lang w:bidi="fa-IR"/>
          <w:color w:val="111111"/>
          <w:sz w:val="28"/>
          <w:szCs w:val="28"/>
          <w:rtl/>
        </w:rPr>
        <w:t xml:space="preserve">فَنُجِّیَ مَنْ نَشاءُ پس هنگام نزول عذاب، کسانی را که می‏خواستیم از آن نجات می‏دادیم. بعضی «فنجی» با تشدید به لفظ ماضی مجهول خوانده‏اند، و مراد از «من نشاء» مؤمنان‏اند و بیان کننده این معنا جمله بعد است: «وَ لا یُرَدُّ بَأْسُنا عَنِ الْقَوْمِ الْمُجْرِمِینَ»: عذاب ما از قوم گناهکار برگردانده نمی‏شود.</w:t>
      </w:r>
    </w:p>
    <w:p>
      <w:pPr>
        <w:pStyle w:val="BookText"/>
      </w:pPr>
      <w:r>
        <w:rPr>
          <w:rFonts w:ascii="IRNazanin" w:hAnsi="IRNazanin" w:eastAsia="IRNazanin" w:cs="IRNazanin"/>
          <w:lang w:bidi="fa-IR"/>
          <w:color w:val="111111"/>
          <w:sz w:val="28"/>
          <w:szCs w:val="28"/>
          <w:rtl/>
        </w:rPr>
        <w:t xml:space="preserve">ضمیر در «قصصهم»: راجع به یوسف و برادران اوست.</w:t>
      </w:r>
    </w:p>
    <w:p>
      <w:pPr>
        <w:pStyle w:val="BookText"/>
      </w:pPr>
      <w:r>
        <w:rPr>
          <w:rFonts w:ascii="IRNazanin" w:hAnsi="IRNazanin" w:eastAsia="IRNazanin" w:cs="IRNazanin"/>
          <w:lang w:bidi="fa-IR"/>
          <w:color w:val="111111"/>
          <w:sz w:val="28"/>
          <w:szCs w:val="28"/>
          <w:rtl/>
        </w:rPr>
        <w:t xml:space="preserve">«عبرة»: درس عبرتی است برای خردمندان، زیرا پیامبر ما صلی اللَّه علیه و آله، نه کتابی خوانده و نه حدیثی شنیده، و نه با اهل کتاب و حدیث معاشرت داشته بود، امّا در عین حال، با مردم چنان سخن می‏گفت که هیچ کس از اهل کتاب و حدیث نتوانستند از جهت نظام لفظی و معنوی بر آن خرده بگیرد. و این روشنترین و محکمترین برهان بر درستی نبوّت و پیامبری اوست.</w:t>
      </w:r>
    </w:p>
    <w:p>
      <w:pPr>
        <w:pStyle w:val="BookText"/>
      </w:pPr>
      <w:r>
        <w:rPr>
          <w:rFonts w:ascii="IRNazanin" w:hAnsi="IRNazanin" w:eastAsia="IRNazanin" w:cs="IRNazanin"/>
          <w:lang w:bidi="fa-IR"/>
          <w:color w:val="111111"/>
          <w:sz w:val="28"/>
          <w:szCs w:val="28"/>
          <w:rtl/>
        </w:rPr>
        <w:t xml:space="preserve">ما کانَ حَدِیثاً یُفْتَری‏ قرآن گفته‏های ساختگی و دروغین نیست، بلکه تصدیق گفته‏های کتابهای آسمانی گذشته است. و هر چه در امور دینی مورد نیاز و حاجت است در آن به تفصیل بیان شده، و خود هدایت و رحمت و نعمت است که اهل ایمان در جهت علم و عمل از آن، بهره‏مند می‏شوند.</w:t>
      </w:r>
    </w:p>
    <w:p>
      <w:pPr>
        <w:pStyle w:val="BookText"/>
      </w:pPr>
      <w:r>
        <w:rPr>
          <w:rFonts w:ascii="IRNazanin" w:hAnsi="IRNazanin" w:eastAsia="IRNazanin" w:cs="IRNazanin"/>
          <w:lang w:bidi="fa-IR"/>
          <w:color w:val="111111"/>
          <w:sz w:val="28"/>
          <w:szCs w:val="28"/>
          <w:rtl/>
        </w:rPr>
        <w:t xml:space="preserve">[شماره صفحه واقعی : 255]
</w:t>
      </w:r>
    </w:p>
    <w:p>
      <w:pPr>
        <w:sectPr>
          <w:footerReference w:type="default" r:id="rId1354"/>
          <w:footnotePr>
            <w:numStart w:val="1"/>
            <w:numRestart w:val="eachPage"/>
          </w:footnotePr>
          <w:pgSz w:orient="portrait" w:w="11905.511811023622" w:h="16837.79527559055"/>
          <w:pgMar w:top="1440" w:right="1440" w:bottom="1440" w:left="1440" w:header="720" w:footer="720" w:gutter="0"/>
          <w:cols w:num="1" w:space="720"/>
        </w:sectPr>
      </w:pPr>
    </w:p>
    <w:bookmarkStart w:id="759" w:name="pg14411_143736"/>
    <w:bookmarkEnd w:id="759"/>
    <w:p>
      <w:pPr>
        <w:pStyle w:val="Heading5"/>
      </w:pPr>
      <w:bookmarkStart w:id="2506" w:name="_Toc1541"/>
      <w:r>
        <w:t>سوره رعد</w:t>
      </w:r>
      <w:bookmarkEnd w:id="2506"/>
    </w:p>
    <w:p>
      <w:pPr>
        <w:pStyle w:val="Heading6"/>
      </w:pPr>
      <w:bookmarkStart w:id="2507" w:name="_Toc1542"/>
      <w:r>
        <w:t>اشاره</w:t>
      </w:r>
      <w:bookmarkEnd w:id="2507"/>
    </w:p>
    <w:p>
      <w:pPr>
        <w:pStyle w:val="BookText"/>
      </w:pPr>
      <w:r>
        <w:rPr>
          <w:rFonts w:ascii="IRNazanin" w:hAnsi="IRNazanin" w:eastAsia="IRNazanin" w:cs="IRNazanin"/>
          <w:lang w:bidi="fa-IR"/>
          <w:color w:val="111111"/>
          <w:sz w:val="28"/>
          <w:szCs w:val="28"/>
          <w:rtl/>
        </w:rPr>
        <w:t xml:space="preserve">در شماره آیات این سوره اختلاف است: به عقیده بصریان چهل و پنج و به نظر کوفیان چهل و سه آیه است، زیرا غیر کوفیان هر یک از دو عبارت «لَفِی خَلْقٍ جَدِیدٍ» و «الظُّلُماتُ وَ النُّورُ» را پایان آیه‏ای دانسته‏اند.</w:t>
      </w:r>
    </w:p>
    <w:p>
      <w:pPr>
        <w:pStyle w:val="Heading6"/>
      </w:pPr>
      <w:bookmarkStart w:id="2508" w:name="_Toc1543"/>
      <w:r>
        <w:t>[فضیلت قرائت این سوره‏]:</w:t>
      </w:r>
      <w:bookmarkEnd w:id="2508"/>
    </w:p>
    <w:p>
      <w:pPr>
        <w:pStyle w:val="BookText"/>
      </w:pPr>
      <w:r>
        <w:rPr>
          <w:rFonts w:ascii="IRNazanin" w:hAnsi="IRNazanin" w:eastAsia="IRNazanin" w:cs="IRNazanin"/>
          <w:lang w:bidi="fa-IR"/>
          <w:color w:val="111111"/>
          <w:sz w:val="28"/>
          <w:szCs w:val="28"/>
          <w:rtl/>
        </w:rPr>
        <w:t xml:space="preserve">ابی </w:t>
      </w:r>
      <w:r>
        <w:rPr>
          <w:rStyle w:val="FootnoteReference"/>
        </w:rPr>
        <w:footnoteReference w:id="4528"/>
      </w:r>
      <w:r>
        <w:rPr>
          <w:rFonts w:ascii="IRNazanin" w:hAnsi="IRNazanin" w:eastAsia="IRNazanin" w:cs="IRNazanin"/>
          <w:lang w:bidi="fa-IR"/>
          <w:color w:val="111111"/>
          <w:sz w:val="28"/>
          <w:szCs w:val="28"/>
          <w:rtl/>
        </w:rPr>
        <w:t xml:space="preserve">از رسول خدا صلی اللَّه علیه و آله نقل کرده است: هر کس سوره رعد را بخواند به عدد هر ابری که در گذشته پدیدار شده و تا قیامت ظاهر خواهد شد، ده حسنه به او عطا می‏شود و در روز قیامت از وفا کنندگان به عهد الهی به حساب می‏آید. </w:t>
      </w:r>
      <w:r>
        <w:rPr>
          <w:rStyle w:val="FootnoteReference"/>
        </w:rPr>
        <w:footnoteReference w:id="4529"/>
      </w:r>
    </w:p>
    <w:p>
      <w:pPr>
        <w:pStyle w:val="BookText"/>
      </w:pPr>
      <w:r>
        <w:rPr>
          <w:rFonts w:ascii="IRNazanin" w:hAnsi="IRNazanin" w:eastAsia="IRNazanin" w:cs="IRNazanin"/>
          <w:lang w:bidi="fa-IR"/>
          <w:color w:val="111111"/>
          <w:sz w:val="28"/>
          <w:szCs w:val="28"/>
          <w:rtl/>
        </w:rPr>
        <w:t xml:space="preserve">از امام صادق علیه السّلام روایت شده است که هر کس این سوره را زیاد بخواند، هرگز</w:t>
      </w:r>
    </w:p>
    <w:p>
      <w:pPr>
        <w:pStyle w:val="BookText"/>
      </w:pPr>
      <w:r>
        <w:rPr>
          <w:rFonts w:ascii="IRNazanin" w:hAnsi="IRNazanin" w:eastAsia="IRNazanin" w:cs="IRNazanin"/>
          <w:lang w:bidi="fa-IR"/>
          <w:color w:val="111111"/>
          <w:sz w:val="28"/>
          <w:szCs w:val="28"/>
          <w:rtl/>
        </w:rPr>
        <w:t xml:space="preserve">[شماره صفحه واقعی : 256]
</w:t>
      </w:r>
    </w:p>
    <w:p>
      <w:pPr>
        <w:sectPr>
          <w:footerReference w:type="default" r:id="rId1355"/>
          <w:footnotePr>
            <w:numStart w:val="1"/>
            <w:numRestart w:val="eachPage"/>
          </w:footnotePr>
          <w:pgSz w:orient="portrait" w:w="11905.511811023622" w:h="16837.79527559055"/>
          <w:pgMar w:top="1440" w:right="1440" w:bottom="1440" w:left="1440" w:header="720" w:footer="720" w:gutter="0"/>
          <w:cols w:num="1" w:space="720"/>
        </w:sectPr>
      </w:pPr>
    </w:p>
    <w:bookmarkStart w:id="760" w:name="pg14411_143737"/>
    <w:bookmarkEnd w:id="760"/>
    <w:p>
      <w:pPr>
        <w:pStyle w:val="BookText"/>
      </w:pPr>
      <w:r>
        <w:rPr>
          <w:rFonts w:ascii="IRNazanin" w:hAnsi="IRNazanin" w:eastAsia="IRNazanin" w:cs="IRNazanin"/>
          <w:lang w:bidi="fa-IR"/>
          <w:color w:val="111111"/>
          <w:sz w:val="28"/>
          <w:szCs w:val="28"/>
          <w:rtl/>
        </w:rPr>
        <w:t xml:space="preserve">خداوند او را به بلای صاعقه دچار نخواهد کرد و بدون حساب وارد بهشت می‏شود. </w:t>
      </w:r>
      <w:r>
        <w:rPr>
          <w:rStyle w:val="FootnoteReference"/>
        </w:rPr>
        <w:footnoteReference w:id="4530"/>
      </w:r>
    </w:p>
    <w:p>
      <w:pPr>
        <w:pStyle w:val="Heading6"/>
      </w:pPr>
      <w:bookmarkStart w:id="2509" w:name="_Toc1544"/>
      <w:r>
        <w:t>[سوره الرعد «13»: آیات 1 تا 3]</w:t>
      </w:r>
      <w:bookmarkEnd w:id="2509"/>
    </w:p>
    <w:p>
      <w:pPr>
        <w:pStyle w:val="Heading6"/>
      </w:pPr>
      <w:bookmarkStart w:id="2510" w:name="_Toc1545"/>
      <w:r>
        <w:t>اشاره</w:t>
      </w:r>
      <w:bookmarkEnd w:id="2510"/>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المر تِلْکَ آیاتُ الْکِتابِ وَ الَّذِی أُنْزِلَ إِلَیْکَ مِنْ رَبِّکَ الْحَقُّ وَ لکِنَّ أَکْثَرَ النَّاسِ لا یُؤْمِنُونَ «1» اللَّهُ الَّذِی رَفَعَ السَّماواتِ بِغَیْرِ عَمَدٍ تَرَوْنَها ثُمَّ اسْتَوی‏ عَلَی الْعَرْشِ وَ سَخَّرَ الشَّمْسَ وَ الْقَمَرَ کُلٌّ یَجْرِی لِأَجَلٍ مُسَمًّی یُدَبِّرُ الْأَمْرَ یُفَصِّلُ الْآیاتِ لَعَلَّکُمْ بِلِقاءِ رَبِّکُمْ تُوقِنُونَ «2» وَ هُوَ الَّذِی مَدَّ الْأَرْضَ وَ جَعَلَ فِیها رَواسِیَ وَ أَنْهاراً وَ مِنْ کُلِّ الثَّمَراتِ جَعَلَ فِیها زَوْجَیْنِ اثْنَیْنِ یُغْشِی اللَّیْلَ النَّهارَ إِنَّ فِی ذلِکَ لَآیاتٍ لِقَوْمٍ یَتَفَکَّرُونَ «3»</w:t>
      </w:r>
    </w:p>
    <w:p>
      <w:pPr>
        <w:pStyle w:val="Heading6"/>
      </w:pPr>
      <w:bookmarkStart w:id="2511" w:name="_Toc1546"/>
      <w:r>
        <w:t>ترجمه:</w:t>
      </w:r>
      <w:bookmarkEnd w:id="2511"/>
    </w:p>
    <w:p>
      <w:pPr>
        <w:pStyle w:val="BookText"/>
      </w:pPr>
      <w:r>
        <w:rPr>
          <w:rFonts w:ascii="IRNazanin" w:hAnsi="IRNazanin" w:eastAsia="IRNazanin" w:cs="IRNazanin"/>
          <w:lang w:bidi="fa-IR"/>
          <w:color w:val="111111"/>
          <w:sz w:val="28"/>
          <w:szCs w:val="28"/>
          <w:rtl/>
        </w:rPr>
        <w:t xml:space="preserve">الف، لام، میم، راء، این آیه‏های کتاب آسمانی است و آنچه از جانب پروردگارت بر تو نازل شده، حقّ است، امّا بیشتر مردم ایمان نمی‏آورند. «1»</w:t>
      </w:r>
    </w:p>
    <w:p>
      <w:pPr>
        <w:pStyle w:val="BookText"/>
      </w:pPr>
      <w:r>
        <w:rPr>
          <w:rFonts w:ascii="IRNazanin" w:hAnsi="IRNazanin" w:eastAsia="IRNazanin" w:cs="IRNazanin"/>
          <w:lang w:bidi="fa-IR"/>
          <w:color w:val="111111"/>
          <w:sz w:val="28"/>
          <w:szCs w:val="28"/>
          <w:rtl/>
        </w:rPr>
        <w:t xml:space="preserve">خدا همان کسی است که آسمانها را بدون ستونی که آن را ببینند آفرید، سپس بر عرش استیلا یافت (و زمام تدبیر جهان را به دست گرفت) و خورشید و ماه را مسخّر ساخت که هر کدام تا زمان معیّنی در حرکتند، او کارها را تدبیر می‏کند، آیات را روشن می‏سازد، باشد که شما به لقای پروردگارتان یقین حاصل کنید. «2»</w:t>
      </w:r>
    </w:p>
    <w:p>
      <w:pPr>
        <w:pStyle w:val="BookText"/>
      </w:pPr>
      <w:r>
        <w:rPr>
          <w:rFonts w:ascii="IRNazanin" w:hAnsi="IRNazanin" w:eastAsia="IRNazanin" w:cs="IRNazanin"/>
          <w:lang w:bidi="fa-IR"/>
          <w:color w:val="111111"/>
          <w:sz w:val="28"/>
          <w:szCs w:val="28"/>
          <w:rtl/>
        </w:rPr>
        <w:t xml:space="preserve">او کسی است که زمین را گسترد و در آن کوه‏ها و نهرهایی قرار داد و از تمام میوه‏ها در آن دو جفت آفرید، (پرده سیاه) شب را بر روز می‏پوشاند، در اینها نشانه‏هایی است برای آنان که عقل خویش را به کار برند. «3»</w:t>
      </w:r>
    </w:p>
    <w:p>
      <w:pPr>
        <w:pStyle w:val="BookText"/>
      </w:pPr>
      <w:r>
        <w:rPr>
          <w:rFonts w:ascii="IRNazanin" w:hAnsi="IRNazanin" w:eastAsia="IRNazanin" w:cs="IRNazanin"/>
          <w:lang w:bidi="fa-IR"/>
          <w:color w:val="111111"/>
          <w:sz w:val="28"/>
          <w:szCs w:val="28"/>
          <w:rtl/>
        </w:rPr>
        <w:t xml:space="preserve">[شماره صفحه واقعی : 257]
</w:t>
      </w:r>
    </w:p>
    <w:p>
      <w:pPr>
        <w:sectPr>
          <w:footerReference w:type="default" r:id="rId1356"/>
          <w:footnotePr>
            <w:numStart w:val="1"/>
            <w:numRestart w:val="eachPage"/>
          </w:footnotePr>
          <w:pgSz w:orient="portrait" w:w="11905.511811023622" w:h="16837.79527559055"/>
          <w:pgMar w:top="1440" w:right="1440" w:bottom="1440" w:left="1440" w:header="720" w:footer="720" w:gutter="0"/>
          <w:cols w:num="1" w:space="720"/>
        </w:sectPr>
      </w:pPr>
    </w:p>
    <w:bookmarkStart w:id="761" w:name="pg14411_143738"/>
    <w:bookmarkEnd w:id="761"/>
    <w:p>
      <w:pPr>
        <w:pStyle w:val="Heading6"/>
      </w:pPr>
      <w:bookmarkStart w:id="2512" w:name="_Toc1547"/>
      <w:r>
        <w:t>تفسیر:</w:t>
      </w:r>
      <w:bookmarkEnd w:id="2512"/>
    </w:p>
    <w:p>
      <w:pPr>
        <w:pStyle w:val="BookText"/>
      </w:pPr>
      <w:r>
        <w:rPr>
          <w:rFonts w:ascii="IRNazanin" w:hAnsi="IRNazanin" w:eastAsia="IRNazanin" w:cs="IRNazanin"/>
          <w:lang w:bidi="fa-IR"/>
          <w:color w:val="111111"/>
          <w:sz w:val="28"/>
          <w:szCs w:val="28"/>
          <w:rtl/>
        </w:rPr>
        <w:t xml:space="preserve">«تلک» اسم اشاره، مبتدا و آیات الکتاب خبر آن است.</w:t>
      </w:r>
    </w:p>
    <w:p>
      <w:pPr>
        <w:pStyle w:val="BookText"/>
      </w:pPr>
      <w:r>
        <w:rPr>
          <w:rFonts w:ascii="IRNazanin" w:hAnsi="IRNazanin" w:eastAsia="IRNazanin" w:cs="IRNazanin"/>
          <w:lang w:bidi="fa-IR"/>
          <w:color w:val="111111"/>
          <w:sz w:val="28"/>
          <w:szCs w:val="28"/>
          <w:rtl/>
        </w:rPr>
        <w:t xml:space="preserve">وَ الَّذِی أُنْزِلَ إِلَیْکَ و تمام آنچه از قرآن که بر تو، نازل شده، حقّی است که بالاتر از آن وجود ندارد.</w:t>
      </w:r>
    </w:p>
    <w:p>
      <w:pPr>
        <w:pStyle w:val="BookText"/>
      </w:pPr>
      <w:r>
        <w:rPr>
          <w:rFonts w:ascii="IRNazanin" w:hAnsi="IRNazanin" w:eastAsia="IRNazanin" w:cs="IRNazanin"/>
          <w:lang w:bidi="fa-IR"/>
          <w:color w:val="111111"/>
          <w:sz w:val="28"/>
          <w:szCs w:val="28"/>
          <w:rtl/>
        </w:rPr>
        <w:t xml:space="preserve">«اللَّهُ» مبتدا، و «الَّذِی رَفَعَ» خبر آن است چنان که در آیه بعد: وَ هُوَ الَّذِی مَدَّ الْأَرْضَ نیز مبتدا و خبر است و جایز است که صفت برای «اللَّه» باشد.</w:t>
      </w:r>
    </w:p>
    <w:p>
      <w:pPr>
        <w:pStyle w:val="BookText"/>
      </w:pPr>
      <w:r>
        <w:rPr>
          <w:rFonts w:ascii="IRNazanin" w:hAnsi="IRNazanin" w:eastAsia="IRNazanin" w:cs="IRNazanin"/>
          <w:lang w:bidi="fa-IR"/>
          <w:color w:val="111111"/>
          <w:sz w:val="28"/>
          <w:szCs w:val="28"/>
          <w:rtl/>
        </w:rPr>
        <w:t xml:space="preserve">یدبر الامر یفصل الآیات: این جمله می‏تواند خبر بعد از خبر باشد (بنا بر این که الّذی رفع نیز خبر باشد) در فعل «تَرَوْنَها» دو وجه ذکر شده است:</w:t>
      </w:r>
    </w:p>
    <w:p>
      <w:pPr>
        <w:pStyle w:val="BookText"/>
      </w:pPr>
      <w:r>
        <w:rPr>
          <w:rFonts w:ascii="IRNazanin" w:hAnsi="IRNazanin" w:eastAsia="IRNazanin" w:cs="IRNazanin"/>
          <w:lang w:bidi="fa-IR"/>
          <w:color w:val="111111"/>
          <w:sz w:val="28"/>
          <w:szCs w:val="28"/>
          <w:rtl/>
        </w:rPr>
        <w:t xml:space="preserve">1- جمله استینافیه است، یعنی شما آسمانها را چنان می‏بینید که نه در پایین ستونی دارد و نه از بالا به جایی متصل است.</w:t>
      </w:r>
    </w:p>
    <w:p>
      <w:pPr>
        <w:pStyle w:val="BookText"/>
      </w:pPr>
      <w:r>
        <w:rPr>
          <w:rFonts w:ascii="IRNazanin" w:hAnsi="IRNazanin" w:eastAsia="IRNazanin" w:cs="IRNazanin"/>
          <w:lang w:bidi="fa-IR"/>
          <w:color w:val="111111"/>
          <w:sz w:val="28"/>
          <w:szCs w:val="28"/>
          <w:rtl/>
        </w:rPr>
        <w:t xml:space="preserve">2- بعضی گفته‏اند: صفت برای «عمد» است که به صورت «عمد» با دو ضمّه (به صیغه جمع) نیز خوانده شده، و به معنای به غیر عمد مرئیة می‏باشد یعنی بدون ستونهایی که دیده شود، و تنها قدرت خداست که آنها را نگهداری می‏کند.</w:t>
      </w:r>
    </w:p>
    <w:p>
      <w:pPr>
        <w:pStyle w:val="BookText"/>
      </w:pPr>
      <w:r>
        <w:rPr>
          <w:rFonts w:ascii="IRNazanin" w:hAnsi="IRNazanin" w:eastAsia="IRNazanin" w:cs="IRNazanin"/>
          <w:lang w:bidi="fa-IR"/>
          <w:color w:val="111111"/>
          <w:sz w:val="28"/>
          <w:szCs w:val="28"/>
          <w:rtl/>
        </w:rPr>
        <w:t xml:space="preserve">یُدَبِّرُ الْأَمْرَ ... خداوند دستگاه ملکوتی و امور مخلوقات خود را آن گونه که حکمت اقتضا دارد اداره می‏کند و آیات خود را در کتابهایش که بر پیامبرانش نازل کرده به تفصیل بیان می‏دارد.</w:t>
      </w:r>
    </w:p>
    <w:p>
      <w:pPr>
        <w:pStyle w:val="BookText"/>
      </w:pPr>
      <w:r>
        <w:rPr>
          <w:rFonts w:ascii="IRNazanin" w:hAnsi="IRNazanin" w:eastAsia="IRNazanin" w:cs="IRNazanin"/>
          <w:lang w:bidi="fa-IR"/>
          <w:color w:val="111111"/>
          <w:sz w:val="28"/>
          <w:szCs w:val="28"/>
          <w:rtl/>
        </w:rPr>
        <w:t xml:space="preserve">لَعَلَّکُمْ بِلِقاءِ رَبِّکُمْ تُوقِنُونَ تا شاید، شما به مسأله جزا و پاداش یقین پیدا کنید و بدانید که این اداره کننده تفصیل دهنده، قادر است که شما را پس از مرگ زنده کند و شما ناگزیر بسوی او بازگشت خواهید کرد. «مَدَّ الْأَرْضَ» زمین را از جهت طول و عرض گسترد و در آن کوه‏های استوار قرار داد.</w:t>
      </w:r>
    </w:p>
    <w:p>
      <w:pPr>
        <w:pStyle w:val="BookText"/>
      </w:pPr>
      <w:r>
        <w:rPr>
          <w:rFonts w:ascii="Amiri" w:hAnsi="Amiri" w:eastAsia="Amiri" w:cs="Amiri"/>
          <w:lang w:bidi="ar-SA"/>
          <w:color w:val="111111"/>
          <w:sz w:val="28"/>
          <w:szCs w:val="28"/>
          <w:rtl/>
        </w:rPr>
        <w:t xml:space="preserve">وَ مِنْ کُلِّ الثَّمَراتِ جَعَلَ فِیها زَوْجَیْنِ اثْنَیْنِ و از تمام میوه‏ها نیز در زمین، دو جفت (و دو نوع متقابل): سیاه و سفید، ترش و شیرین، تر و خشک (و نر و ماده) و نظیر اینها از انواع مختلف به وجود آورد.</w:t>
      </w:r>
    </w:p>
    <w:p>
      <w:pPr>
        <w:pStyle w:val="BookText"/>
      </w:pPr>
      <w:r>
        <w:rPr>
          <w:rFonts w:ascii="IRNazanin" w:hAnsi="IRNazanin" w:eastAsia="IRNazanin" w:cs="IRNazanin"/>
          <w:lang w:bidi="fa-IR"/>
          <w:color w:val="111111"/>
          <w:sz w:val="28"/>
          <w:szCs w:val="28"/>
          <w:rtl/>
        </w:rPr>
        <w:t xml:space="preserve">[شماره صفحه واقعی : 258]
</w:t>
      </w:r>
    </w:p>
    <w:p>
      <w:pPr>
        <w:sectPr>
          <w:footerReference w:type="default" r:id="rId1357"/>
          <w:footnotePr>
            <w:numStart w:val="1"/>
            <w:numRestart w:val="eachPage"/>
          </w:footnotePr>
          <w:pgSz w:orient="portrait" w:w="11905.511811023622" w:h="16837.79527559055"/>
          <w:pgMar w:top="1440" w:right="1440" w:bottom="1440" w:left="1440" w:header="720" w:footer="720" w:gutter="0"/>
          <w:cols w:num="1" w:space="720"/>
        </w:sectPr>
      </w:pPr>
    </w:p>
    <w:bookmarkStart w:id="762" w:name="pg14411_143739"/>
    <w:bookmarkEnd w:id="762"/>
    <w:p>
      <w:pPr>
        <w:pStyle w:val="BookText"/>
      </w:pPr>
      <w:r>
        <w:rPr>
          <w:rFonts w:ascii="IRNazanin" w:hAnsi="IRNazanin" w:eastAsia="IRNazanin" w:cs="IRNazanin"/>
          <w:lang w:bidi="fa-IR"/>
          <w:color w:val="111111"/>
          <w:sz w:val="28"/>
          <w:szCs w:val="28"/>
          <w:rtl/>
        </w:rPr>
        <w:t xml:space="preserve">یُغْشِی اللَّیْلَ النَّهارَ خداوند پرده تاریک شب را بر چهره روشن روز می‏افکند و در نتیجه (جهان) بعد از آن که روشن بود، تاریک می‏شود.</w:t>
      </w:r>
    </w:p>
    <w:p>
      <w:pPr>
        <w:pStyle w:val="Heading6"/>
      </w:pPr>
      <w:bookmarkStart w:id="2513" w:name="_Toc1548"/>
      <w:r>
        <w:t>[سوره الرعد «13»: آیات 4 تا 5]</w:t>
      </w:r>
      <w:bookmarkEnd w:id="2513"/>
    </w:p>
    <w:p>
      <w:pPr>
        <w:pStyle w:val="Heading6"/>
      </w:pPr>
      <w:bookmarkStart w:id="2514" w:name="_Toc1549"/>
      <w:r>
        <w:t>اشاره</w:t>
      </w:r>
      <w:bookmarkEnd w:id="2514"/>
    </w:p>
    <w:p>
      <w:pPr>
        <w:pStyle w:val="BookText"/>
      </w:pPr>
      <w:r>
        <w:rPr>
          <w:rFonts w:ascii="Amiri" w:hAnsi="Amiri" w:eastAsia="Amiri" w:cs="Amiri"/>
          <w:lang w:bidi="ar-SA"/>
          <w:color w:val="111111"/>
          <w:sz w:val="28"/>
          <w:szCs w:val="28"/>
          <w:rtl/>
        </w:rPr>
        <w:t xml:space="preserve">وَ فِی الْأَرْضِ قِطَعٌ مُتَجاوِراتٌ وَ جَنَّاتٌ مِنْ أَعْنابٍ وَ زَرْعٌ وَ نَخِیلٌ صِنْوانٌ وَ غَیْرُ صِنْوانٍ یُسْقی‏ بِماءٍ واحِدٍ وَ نُفَضِّلُ بَعْضَها عَلی‏ بَعْضٍ فِی الْأُکُلِ إِنَّ فِی ذلِکَ لَآیاتٍ لِقَوْمٍ یَعْقِلُونَ «4» وَ إِنْ تَعْجَبْ فَعَجَبٌ قَوْلُهُمْ أَ إِذا کُنَّا تُراباً أَ إِنَّا لَفِی خَلْقٍ جَدِیدٍ أُولئِکَ الَّذِینَ کَفَرُوا بِرَبِّهِمْ وَ أُولئِکَ الْأَغْلالُ فِی أَعْناقِهِمْ وَ أُولئِکَ أَصْحابُ النَّارِ هُمْ فِیها خالِدُونَ «5»</w:t>
      </w:r>
    </w:p>
    <w:p>
      <w:pPr>
        <w:pStyle w:val="Heading6"/>
      </w:pPr>
      <w:bookmarkStart w:id="2515" w:name="_Toc1550"/>
      <w:r>
        <w:t>ترجمه:</w:t>
      </w:r>
      <w:bookmarkEnd w:id="2515"/>
    </w:p>
    <w:p>
      <w:pPr>
        <w:pStyle w:val="BookText"/>
      </w:pPr>
      <w:r>
        <w:rPr>
          <w:rFonts w:ascii="IRNazanin" w:hAnsi="IRNazanin" w:eastAsia="IRNazanin" w:cs="IRNazanin"/>
          <w:lang w:bidi="fa-IR"/>
          <w:color w:val="111111"/>
          <w:sz w:val="28"/>
          <w:szCs w:val="28"/>
          <w:rtl/>
        </w:rPr>
        <w:t xml:space="preserve">در زمین قطعاتی کنار هم قرار دارد که با یکدیگر متفاوتند، و باغهایی از انگور و زراعت و نخلهایی که از یک ریشه یا ریشه‏های مختلف می‏رویند، همه آنها از یک آب سیراب می‏شوند، و ما بعضی از آنها را از حیث خوردنیهایش بر دیگری برتری می‏دهیم، در اینها نشانه‏هایی است برای آنان که خردهای خود را به کار می‏برند. «4»</w:t>
      </w:r>
    </w:p>
    <w:p>
      <w:pPr>
        <w:pStyle w:val="BookText"/>
      </w:pPr>
      <w:r>
        <w:rPr>
          <w:rFonts w:ascii="IRNazanin" w:hAnsi="IRNazanin" w:eastAsia="IRNazanin" w:cs="IRNazanin"/>
          <w:lang w:bidi="fa-IR"/>
          <w:color w:val="111111"/>
          <w:sz w:val="28"/>
          <w:szCs w:val="28"/>
          <w:rtl/>
        </w:rPr>
        <w:t xml:space="preserve">و اگر تو از این امر تعجّب می‏کنی، شگفتی در گفتار آنها است که می‏گویند: آیا وقتی که ما خاک شدیم، به آفرینشی نو خواهیم رسید؟</w:t>
      </w:r>
    </w:p>
    <w:p>
      <w:pPr>
        <w:pStyle w:val="BookText"/>
      </w:pPr>
      <w:r>
        <w:rPr>
          <w:rFonts w:ascii="IRNazanin" w:hAnsi="IRNazanin" w:eastAsia="IRNazanin" w:cs="IRNazanin"/>
          <w:lang w:bidi="fa-IR"/>
          <w:color w:val="111111"/>
          <w:sz w:val="28"/>
          <w:szCs w:val="28"/>
          <w:rtl/>
        </w:rPr>
        <w:t xml:space="preserve">آنها کسانی هستند که به پروردگار خود کفر ورزیدند، و همانهایند که غلها به گردن دارند و آنها اهل آتش و همانها در آن جاویدانند. «5»</w:t>
      </w:r>
    </w:p>
    <w:p>
      <w:pPr>
        <w:pStyle w:val="Heading6"/>
      </w:pPr>
      <w:bookmarkStart w:id="2516" w:name="_Toc1551"/>
      <w:r>
        <w:t>تفسیر:</w:t>
      </w:r>
      <w:bookmarkEnd w:id="2516"/>
    </w:p>
    <w:p>
      <w:pPr>
        <w:pStyle w:val="BookText"/>
      </w:pPr>
      <w:r>
        <w:rPr>
          <w:rFonts w:ascii="IRNazanin" w:hAnsi="IRNazanin" w:eastAsia="IRNazanin" w:cs="IRNazanin"/>
          <w:lang w:bidi="fa-IR"/>
          <w:color w:val="111111"/>
          <w:sz w:val="28"/>
          <w:szCs w:val="28"/>
          <w:rtl/>
        </w:rPr>
        <w:t xml:space="preserve">قِطَعٌ مُتَجاوِراتٌ در زمین قطعه‏های گوناگونی است که به هم چسبیده و در مجاورت یکدیگر قرار دارند، قسمتی، زمین حاصلخیز و پاک و قسمت دیگر</w:t>
      </w:r>
    </w:p>
    <w:p>
      <w:pPr>
        <w:pStyle w:val="BookText"/>
      </w:pPr>
      <w:r>
        <w:rPr>
          <w:rFonts w:ascii="IRNazanin" w:hAnsi="IRNazanin" w:eastAsia="IRNazanin" w:cs="IRNazanin"/>
          <w:lang w:bidi="fa-IR"/>
          <w:color w:val="111111"/>
          <w:sz w:val="28"/>
          <w:szCs w:val="28"/>
          <w:rtl/>
        </w:rPr>
        <w:t xml:space="preserve">[شماره صفحه واقعی : 259]
</w:t>
      </w:r>
    </w:p>
    <w:p>
      <w:pPr>
        <w:sectPr>
          <w:footerReference w:type="default" r:id="rId1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شوره‏زار، بعضی سخت و سفت و دیگری سست و نرم، زمین شایسته زراعت و درختکاری و دیگری بر خلاف آن، با این همه دگرگونی و اختلاف، از نظر جنس زمین بودن، یکی هستند و همچنین درختهای انگور و زراعتها و درختهای خرما که در این زمینها به اختلاف اجناس و انواع.</w:t>
      </w:r>
    </w:p>
    <w:p>
      <w:pPr>
        <w:pStyle w:val="BookText"/>
      </w:pPr>
      <w:r>
        <w:rPr>
          <w:rFonts w:ascii="IRNazanin" w:hAnsi="IRNazanin" w:eastAsia="IRNazanin" w:cs="IRNazanin"/>
          <w:lang w:bidi="fa-IR"/>
          <w:color w:val="111111"/>
          <w:sz w:val="28"/>
          <w:szCs w:val="28"/>
          <w:rtl/>
        </w:rPr>
        <w:t xml:space="preserve">یُسْقی‏ بِماءٍ واحِدٍ با این که از یک آب استفاده می‏برند، امّا می‏بینی که میوه‏هایشان از نظر شکل و هیأت و طعم و بو، متفاوتند و بعضی بر دیگری برتری دارند.</w:t>
      </w:r>
    </w:p>
    <w:p>
      <w:pPr>
        <w:pStyle w:val="BookText"/>
      </w:pPr>
      <w:r>
        <w:rPr>
          <w:rFonts w:ascii="IRNazanin" w:hAnsi="IRNazanin" w:eastAsia="IRNazanin" w:cs="IRNazanin"/>
          <w:lang w:bidi="fa-IR"/>
          <w:color w:val="111111"/>
          <w:sz w:val="28"/>
          <w:szCs w:val="28"/>
          <w:rtl/>
        </w:rPr>
        <w:t xml:space="preserve">«إِنَّ فِی ذلِکَ ...» اختلافهای یاد شده نشانه‏ای است از آفریدگار توانا و دانایی که کارهای خود را به طریقی معیّن و صورتی حکمت آمیز انجام می‏دهد. کلمات:</w:t>
      </w:r>
    </w:p>
    <w:p>
      <w:pPr>
        <w:pStyle w:val="BookText"/>
      </w:pPr>
      <w:r>
        <w:rPr>
          <w:rFonts w:ascii="IRNazanin" w:hAnsi="IRNazanin" w:eastAsia="IRNazanin" w:cs="IRNazanin"/>
          <w:lang w:bidi="fa-IR"/>
          <w:color w:val="111111"/>
          <w:sz w:val="28"/>
          <w:szCs w:val="28"/>
          <w:rtl/>
        </w:rPr>
        <w:t xml:space="preserve">«زرع، نخیل، صنوان و غیر صنوان» به حالت جرّ نیز که عطف بر «اعناب» باشد خوانده شده‏اند و «صنوان» جمع صنو، درخت خرمایی است که دو، سر دارد و ریشه هر دو یکی است و این کلمه به دو طریق: ضمّ و کسر صاد خوانده شده. و فعل «یسقی» با حرف «ت» نیز خوانده شده، و فعل «نفضّل» را با «ی» نیز قرائت کرده‏اند «فِی الْأُکُلِ» با ضمّ و سکون کاف هر دو قرائت شده است.</w:t>
      </w:r>
    </w:p>
    <w:p>
      <w:pPr>
        <w:pStyle w:val="BookText"/>
      </w:pPr>
      <w:r>
        <w:rPr>
          <w:rFonts w:ascii="IRNazanin" w:hAnsi="IRNazanin" w:eastAsia="IRNazanin" w:cs="IRNazanin"/>
          <w:lang w:bidi="fa-IR"/>
          <w:color w:val="111111"/>
          <w:sz w:val="28"/>
          <w:szCs w:val="28"/>
          <w:rtl/>
        </w:rPr>
        <w:t xml:space="preserve">وَ إِنْ تَعْجَبْ ... ای محمّد صلی اللَّه علیه و آله اگر از گفتار آنان درباره انکار رستاخیز به شگفت در آیی سزاوار است. زیرا خدایی که بر ایجاد آن همه صنایع عجیب و آفریده‏های بدیع که بر تو شمرده شد قدرت و توانایی داشته باشد، دوباره به وجود آوردن آنها برایش آسانتر خواهد بود.</w:t>
      </w:r>
    </w:p>
    <w:p>
      <w:pPr>
        <w:pStyle w:val="BookText"/>
      </w:pPr>
      <w:r>
        <w:rPr>
          <w:rFonts w:ascii="IRNazanin" w:hAnsi="IRNazanin" w:eastAsia="IRNazanin" w:cs="IRNazanin"/>
          <w:lang w:bidi="fa-IR"/>
          <w:color w:val="111111"/>
          <w:sz w:val="28"/>
          <w:szCs w:val="28"/>
          <w:rtl/>
        </w:rPr>
        <w:t xml:space="preserve">أَ إِذا کُنَّا ... این جمله تا آخر گفتار منکران، می‏تواند در محل رفع، بدل از «قولهم» و یا، در محلّ نصب مفعول قول باشد. و عامل نصب «اذا» فعلی است که جمله أَ إِنَّا لَفِی خَلْقٍ جَدِیدٍ بر آن دلالت می‏کند، گویی چنین گفته شده است: انبعث اذا متنا و کنّا ترابا؟ آیا وقتی که مردیم و خاک شدیم برانگیخته می‏شویم؟</w:t>
      </w:r>
    </w:p>
    <w:p>
      <w:pPr>
        <w:pStyle w:val="BookText"/>
      </w:pPr>
      <w:r>
        <w:rPr>
          <w:rFonts w:ascii="Amiri" w:hAnsi="Amiri" w:eastAsia="Amiri" w:cs="Amiri"/>
          <w:lang w:bidi="ar-SA"/>
          <w:color w:val="111111"/>
          <w:sz w:val="28"/>
          <w:szCs w:val="28"/>
          <w:rtl/>
        </w:rPr>
        <w:t xml:space="preserve">أُولئِکَ الَّذِینَ کَفَرُوا اینها هستند که به کفر خود ادامه می‏دهند و در آن کاملند.</w:t>
      </w:r>
    </w:p>
    <w:p>
      <w:pPr>
        <w:pStyle w:val="BookText"/>
      </w:pPr>
      <w:r>
        <w:rPr>
          <w:rFonts w:ascii="IRNazanin" w:hAnsi="IRNazanin" w:eastAsia="IRNazanin" w:cs="IRNazanin"/>
          <w:lang w:bidi="fa-IR"/>
          <w:color w:val="111111"/>
          <w:sz w:val="28"/>
          <w:szCs w:val="28"/>
          <w:rtl/>
        </w:rPr>
        <w:t xml:space="preserve">[شماره صفحه واقعی : 260]
</w:t>
      </w:r>
    </w:p>
    <w:p>
      <w:pPr>
        <w:sectPr>
          <w:footerReference w:type="default" r:id="rId1359"/>
          <w:footnotePr>
            <w:numStart w:val="1"/>
            <w:numRestart w:val="eachPage"/>
          </w:footnotePr>
          <w:pgSz w:orient="portrait" w:w="11905.511811023622" w:h="16837.79527559055"/>
          <w:pgMar w:top="1440" w:right="1440" w:bottom="1440" w:left="1440" w:header="720" w:footer="720" w:gutter="0"/>
          <w:cols w:num="1" w:space="720"/>
        </w:sectPr>
      </w:pPr>
    </w:p>
    <w:bookmarkStart w:id="763" w:name="pg14411_143741"/>
    <w:bookmarkEnd w:id="763"/>
    <w:p>
      <w:pPr>
        <w:pStyle w:val="BookText"/>
      </w:pPr>
      <w:r>
        <w:rPr>
          <w:rFonts w:ascii="IRNazanin" w:hAnsi="IRNazanin" w:eastAsia="IRNazanin" w:cs="IRNazanin"/>
          <w:lang w:bidi="fa-IR"/>
          <w:color w:val="111111"/>
          <w:sz w:val="28"/>
          <w:szCs w:val="28"/>
          <w:rtl/>
        </w:rPr>
        <w:t xml:space="preserve">وَ أُولئِکَ الْأَغْلالُ فِی أَعْناقِهِمْ این جمله می‏تواند، بیان پافشاری کفّار در کفرشان باشد. مثل: إِنَّا جَعَلْنا فِی أَعْناقِهِمْ أَغْلالًا «ما بر گردنهایشان زنجیرهایی قرار دادیم» (یس 8) و مثل: این شعر:</w:t>
      </w:r>
    </w:p>
    <w:p>
      <w:pPr>
        <w:pStyle w:val="BookText"/>
      </w:pPr>
      <w:r>
        <w:rPr>
          <w:rFonts w:ascii="IRNazanin" w:hAnsi="IRNazanin" w:eastAsia="IRNazanin" w:cs="IRNazanin"/>
          <w:lang w:bidi="fa-IR"/>
          <w:color w:val="111111"/>
          <w:sz w:val="28"/>
          <w:szCs w:val="28"/>
          <w:rtl/>
        </w:rPr>
        <w:t xml:space="preserve">ضلوا و ان سبیل الغیّ مقصدهم لهم عن الرّشد اغلال و اقیاد</w:t>
      </w:r>
    </w:p>
    <w:p>
      <w:pPr>
        <w:pStyle w:val="BookText"/>
      </w:pPr>
      <w:r>
        <w:rPr>
          <w:rFonts w:ascii="IRNazanin" w:hAnsi="IRNazanin" w:eastAsia="IRNazanin" w:cs="IRNazanin"/>
          <w:lang w:bidi="fa-IR"/>
          <w:color w:val="111111"/>
          <w:sz w:val="28"/>
          <w:szCs w:val="28"/>
          <w:rtl/>
        </w:rPr>
        <w:t xml:space="preserve">(آنها گمراه شدند و راه ضلالت را در پیش گرفتند) و در مسیر هدایت زنجیر به گردن و بند به پا دارند. و نیز می‏تواند تهدیدی برای عقوبت آینده کافران باشد.</w:t>
      </w:r>
    </w:p>
    <w:p>
      <w:pPr>
        <w:pStyle w:val="Heading6"/>
      </w:pPr>
      <w:bookmarkStart w:id="2517" w:name="_Toc1552"/>
      <w:r>
        <w:t>[سوره الرعد «13»: آیات 6 تا 11]</w:t>
      </w:r>
      <w:bookmarkEnd w:id="2517"/>
    </w:p>
    <w:p>
      <w:pPr>
        <w:pStyle w:val="Heading6"/>
      </w:pPr>
      <w:bookmarkStart w:id="2518" w:name="_Toc1553"/>
      <w:r>
        <w:t>اشاره</w:t>
      </w:r>
      <w:bookmarkEnd w:id="2518"/>
    </w:p>
    <w:p>
      <w:pPr>
        <w:pStyle w:val="BookText"/>
      </w:pPr>
      <w:r>
        <w:rPr>
          <w:rFonts w:ascii="Amiri" w:hAnsi="Amiri" w:eastAsia="Amiri" w:cs="Amiri"/>
          <w:lang w:bidi="ar-SA"/>
          <w:color w:val="111111"/>
          <w:sz w:val="28"/>
          <w:szCs w:val="28"/>
          <w:rtl/>
        </w:rPr>
        <w:t xml:space="preserve">وَ یَسْتَعْجِلُونَکَ بِالسَّیِّئَةِ قَبْلَ الْحَسَنَةِ وَ قَدْ خَلَتْ مِنْ قَبْلِهِمُ الْمَثُلاتُ وَ إِنَّ رَبَّکَ لَذُو مَغْفِرَةٍ لِلنَّاسِ عَلی‏ ظُلْمِهِمْ وَ إِنَّ رَبَّکَ لَشَدِیدُ الْعِقابِ «6» وَ یَقُولُ الَّذِینَ کَفَرُوا لَوْ لا أُنْزِلَ عَلَیْهِ آیَةٌ مِنْ رَبِّهِ إِنَّما أَنْتَ مُنْذِرٌ وَ لِکُلِّ قَوْمٍ هادٍ «7» اللَّهُ یَعْلَمُ ما تَحْمِلُ کُلُّ أُنْثی‏ وَ ما تَغِیضُ الْأَرْحامُ وَ ما تَزْدادُ وَ کُلُّ شَیْ‏ءٍ عِنْدَهُ بِمِقْدارٍ «8» عالِمُ الْغَیْبِ وَ الشَّهادَةِ الْکَبِیرُ الْمُتَعالِ «9» سَواءٌ مِنْکُمْ مَنْ أَسَرَّ الْقَوْلَ وَ مَنْ جَهَرَ بِهِ وَ مَنْ هُوَ مُسْتَخْفٍ بِاللَّیْلِ وَ سارِبٌ بِالنَّهارِ «10»</w:t>
      </w:r>
    </w:p>
    <w:p>
      <w:pPr>
        <w:pStyle w:val="BookText"/>
      </w:pPr>
      <w:r>
        <w:rPr>
          <w:rFonts w:ascii="Amiri" w:hAnsi="Amiri" w:eastAsia="Amiri" w:cs="Amiri"/>
          <w:lang w:bidi="ar-SA"/>
          <w:color w:val="111111"/>
          <w:sz w:val="28"/>
          <w:szCs w:val="28"/>
          <w:rtl/>
        </w:rPr>
        <w:t xml:space="preserve">لَهُ مُعَقِّباتٌ مِنْ بَیْنِ یَدَیْهِ وَ مِنْ خَلْفِهِ یَحْفَظُونَهُ مِنْ أَمْرِ اللَّهِ إِنَّ اللَّهَ لا یُغَیِّرُ ما بِقَوْمٍ حَتَّی یُغَیِّرُوا ما بِأَنْفُسِهِمْ وَ إِذا أَرادَ اللَّهُ بِقَوْمٍ سُوْءاً فَلا مَرَدَّ لَهُ وَ ما لَهُمْ مِنْ دُونِهِ مِنْ والٍ «11»</w:t>
      </w:r>
    </w:p>
    <w:p>
      <w:pPr>
        <w:pStyle w:val="Heading6"/>
      </w:pPr>
      <w:bookmarkStart w:id="2519" w:name="_Toc1554"/>
      <w:r>
        <w:t>ترجمه:</w:t>
      </w:r>
      <w:bookmarkEnd w:id="2519"/>
    </w:p>
    <w:p>
      <w:pPr>
        <w:pStyle w:val="BookText"/>
      </w:pPr>
      <w:r>
        <w:rPr>
          <w:rFonts w:ascii="IRNazanin" w:hAnsi="IRNazanin" w:eastAsia="IRNazanin" w:cs="IRNazanin"/>
          <w:lang w:bidi="fa-IR"/>
          <w:color w:val="111111"/>
          <w:sz w:val="28"/>
          <w:szCs w:val="28"/>
          <w:rtl/>
        </w:rPr>
        <w:t xml:space="preserve">آنها، پیش از نیکی، از تو تقاضای بدی و کیفر آن را می‏کنند، تا این که پیش از آنها، بلاهای عبرت انگیز نازل شده؟ و پروردگار تو، نسبت به مردم- با این که ظلم می‏کنند- صاحب مغفرت است و نیز پروردگار تو، دارای کیفری سخت است. «6»</w:t>
      </w:r>
    </w:p>
    <w:p>
      <w:pPr>
        <w:pStyle w:val="BookText"/>
      </w:pPr>
      <w:r>
        <w:rPr>
          <w:rFonts w:ascii="IRNazanin" w:hAnsi="IRNazanin" w:eastAsia="IRNazanin" w:cs="IRNazanin"/>
          <w:lang w:bidi="fa-IR"/>
          <w:color w:val="111111"/>
          <w:sz w:val="28"/>
          <w:szCs w:val="28"/>
          <w:rtl/>
        </w:rPr>
        <w:t xml:space="preserve">[شماره صفحه واقعی : 261]
</w:t>
      </w:r>
    </w:p>
    <w:p>
      <w:pPr>
        <w:sectPr>
          <w:footerReference w:type="default" r:id="rId1360"/>
          <w:footnotePr>
            <w:numStart w:val="1"/>
            <w:numRestart w:val="eachPage"/>
          </w:footnotePr>
          <w:pgSz w:orient="portrait" w:w="11905.511811023622" w:h="16837.79527559055"/>
          <w:pgMar w:top="1440" w:right="1440" w:bottom="1440" w:left="1440" w:header="720" w:footer="720" w:gutter="0"/>
          <w:cols w:num="1" w:space="720"/>
        </w:sectPr>
      </w:pPr>
    </w:p>
    <w:bookmarkStart w:id="764" w:name="pg14411_143742"/>
    <w:bookmarkEnd w:id="764"/>
    <w:p>
      <w:pPr>
        <w:pStyle w:val="BookText"/>
      </w:pPr>
      <w:r>
        <w:rPr>
          <w:rFonts w:ascii="IRNazanin" w:hAnsi="IRNazanin" w:eastAsia="IRNazanin" w:cs="IRNazanin"/>
          <w:lang w:bidi="fa-IR"/>
          <w:color w:val="111111"/>
          <w:sz w:val="28"/>
          <w:szCs w:val="28"/>
          <w:rtl/>
        </w:rPr>
        <w:t xml:space="preserve">و آنها که کافر شدند، می‏گویند: چرا نشانی از پروردگارش بر او نازل نشده؟ تو تنها بیم دهنده‏ای و برای هر گروهی هدایت کننده‏ای است. «7»</w:t>
      </w:r>
    </w:p>
    <w:p>
      <w:pPr>
        <w:pStyle w:val="BookText"/>
      </w:pPr>
      <w:r>
        <w:rPr>
          <w:rFonts w:ascii="IRNazanin" w:hAnsi="IRNazanin" w:eastAsia="IRNazanin" w:cs="IRNazanin"/>
          <w:lang w:bidi="fa-IR"/>
          <w:color w:val="111111"/>
          <w:sz w:val="28"/>
          <w:szCs w:val="28"/>
          <w:rtl/>
        </w:rPr>
        <w:t xml:space="preserve">خداوند از جنین‏هایی که هر انسان یا حیوانی حمل دارد آگاه است، و نیز از آنچه رحمها، ناقص و یا به کمال می‏زایند، و هر چیز نزد او مقدار معیّنی دارد. «8»</w:t>
      </w:r>
    </w:p>
    <w:p>
      <w:pPr>
        <w:pStyle w:val="BookText"/>
      </w:pPr>
      <w:r>
        <w:rPr>
          <w:rFonts w:ascii="IRNazanin" w:hAnsi="IRNazanin" w:eastAsia="IRNazanin" w:cs="IRNazanin"/>
          <w:lang w:bidi="fa-IR"/>
          <w:color w:val="111111"/>
          <w:sz w:val="28"/>
          <w:szCs w:val="28"/>
          <w:rtl/>
        </w:rPr>
        <w:t xml:space="preserve">او از غیب و شهود آگاه است و بزرگ و متعالی است. «9»</w:t>
      </w:r>
    </w:p>
    <w:p>
      <w:pPr>
        <w:pStyle w:val="BookText"/>
      </w:pPr>
      <w:r>
        <w:rPr>
          <w:rFonts w:ascii="IRNazanin" w:hAnsi="IRNazanin" w:eastAsia="IRNazanin" w:cs="IRNazanin"/>
          <w:lang w:bidi="fa-IR"/>
          <w:color w:val="111111"/>
          <w:sz w:val="28"/>
          <w:szCs w:val="28"/>
          <w:rtl/>
        </w:rPr>
        <w:t xml:space="preserve">برای او تفاوت نمی‏کند، کسانی که پنهانی سخنی بگویند، و یا آشکارا و آنها که شبانگاه مخفیانه و یا در روشنایی روز حرکت می‏کنند. «10»</w:t>
      </w:r>
    </w:p>
    <w:p>
      <w:pPr>
        <w:pStyle w:val="BookText"/>
      </w:pPr>
      <w:r>
        <w:rPr>
          <w:rFonts w:ascii="IRNazanin" w:hAnsi="IRNazanin" w:eastAsia="IRNazanin" w:cs="IRNazanin"/>
          <w:lang w:bidi="fa-IR"/>
          <w:color w:val="111111"/>
          <w:sz w:val="28"/>
          <w:szCs w:val="28"/>
          <w:rtl/>
        </w:rPr>
        <w:t xml:space="preserve">برای انسان مأمورانی است که پی در پی، از پیش رو، و از پشت سرش، او را از حوادث حفظ می‏کنند. البته، خداوند سرنوشت هیچ ملّتی را تغییر نمی‏دهد مگر آن که آنها خود را تغییر دهند، و هنگامی که خدا برای قومی اراده بدی کند هیچ چیز مانع آن نخواهد شد، و جز خدا سرپرستی نخواهند داشت. «11»</w:t>
      </w:r>
    </w:p>
    <w:p>
      <w:pPr>
        <w:pStyle w:val="Heading6"/>
      </w:pPr>
      <w:bookmarkStart w:id="2520" w:name="_Toc1555"/>
      <w:r>
        <w:t>تفسیر:</w:t>
      </w:r>
      <w:bookmarkEnd w:id="2520"/>
    </w:p>
    <w:p>
      <w:pPr>
        <w:pStyle w:val="BookText"/>
      </w:pPr>
      <w:r>
        <w:rPr>
          <w:rFonts w:ascii="IRNazanin" w:hAnsi="IRNazanin" w:eastAsia="IRNazanin" w:cs="IRNazanin"/>
          <w:lang w:bidi="fa-IR"/>
          <w:color w:val="111111"/>
          <w:sz w:val="28"/>
          <w:szCs w:val="28"/>
          <w:rtl/>
        </w:rPr>
        <w:t xml:space="preserve">وَ یَسْتَعْجِلُونَکَ بِالسَّیِّئَةِ ... منظور از «سیئه پیش از حسنه» عقوبت پیش از رحمتی است که خداوند با تأخیر عذاب گنهکاران به آنها احسان کرده آنان را مشمول عافیت و رحمت خویش قرار می‏دهد. یعنی ای پیامبر، کافران از تو درخواست تعجیل در عذاب می‏کنند. منظور این که آنها از پیغمبر می‏خواستند که در همین عالم عذاب بر آنها فرود آید.</w:t>
      </w:r>
    </w:p>
    <w:p>
      <w:pPr>
        <w:pStyle w:val="BookText"/>
      </w:pPr>
      <w:r>
        <w:rPr>
          <w:rFonts w:ascii="IRNazanin" w:hAnsi="IRNazanin" w:eastAsia="IRNazanin" w:cs="IRNazanin"/>
          <w:lang w:bidi="fa-IR"/>
          <w:color w:val="111111"/>
          <w:sz w:val="28"/>
          <w:szCs w:val="28"/>
          <w:rtl/>
        </w:rPr>
        <w:t xml:space="preserve">وَ قَدْ خَلَتْ مِنْ قَبْلِهِمُ الْمَثُلاتُ و حال آن که تکذیب کنندگانی مانند اینها در گذشته (در همین دنیا) به کیفر گناهان خود، رسیدند.</w:t>
      </w:r>
    </w:p>
    <w:p>
      <w:pPr>
        <w:pStyle w:val="BookText"/>
      </w:pPr>
      <w:r>
        <w:rPr>
          <w:rFonts w:ascii="IRNazanin" w:hAnsi="IRNazanin" w:eastAsia="IRNazanin" w:cs="IRNazanin"/>
          <w:lang w:bidi="fa-IR"/>
          <w:color w:val="111111"/>
          <w:sz w:val="28"/>
          <w:szCs w:val="28"/>
          <w:rtl/>
        </w:rPr>
        <w:t xml:space="preserve">در این آیه، از عقوبت به «مثله» تعبیر شده و علتش آن است که میان کیفر و گناه، نوعی همانندی وجود دارد «وَ جَزاءُ سَیِّئَةٍ سَیِّئَةٌ مِثْلُها»: مجازات بدی، بدیی همانند آن است و «مثال» به معنای قصاص مثل: امثلت الرجل من صاحبه، یعنی قصاص آن مرد را، از طرفش گرفتم.</w:t>
      </w:r>
    </w:p>
    <w:p>
      <w:pPr>
        <w:pStyle w:val="BookText"/>
      </w:pPr>
      <w:r>
        <w:rPr>
          <w:rFonts w:ascii="IRNazanin" w:hAnsi="IRNazanin" w:eastAsia="IRNazanin" w:cs="IRNazanin"/>
          <w:lang w:bidi="fa-IR"/>
          <w:color w:val="111111"/>
          <w:sz w:val="28"/>
          <w:szCs w:val="28"/>
          <w:rtl/>
        </w:rPr>
        <w:t xml:space="preserve">[شماره صفحه واقعی : 262]
</w:t>
      </w:r>
    </w:p>
    <w:p>
      <w:pPr>
        <w:sectPr>
          <w:footerReference w:type="default" r:id="rId1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 رَبَّکَ لَذُو مَغْفِرَةٍ لِلنَّاسِ عَلی‏ ظُلْمِهِمْ یعنی پروردگارت نسبت به مردم دارای مغفرت است با این که به وسیله گناهان بر خودشان ظلم می‏کنند «عَلی‏ ظُلْمِهِمْ»، حال و در محلّ نصب است یعنی ظالمین لانفسهم.</w:t>
      </w:r>
    </w:p>
    <w:p>
      <w:pPr>
        <w:pStyle w:val="BookText"/>
      </w:pPr>
      <w:r>
        <w:rPr>
          <w:rFonts w:ascii="IRNazanin" w:hAnsi="IRNazanin" w:eastAsia="IRNazanin" w:cs="IRNazanin"/>
          <w:lang w:bidi="fa-IR"/>
          <w:color w:val="111111"/>
          <w:sz w:val="28"/>
          <w:szCs w:val="28"/>
          <w:rtl/>
        </w:rPr>
        <w:t xml:space="preserve">از سعید بن مسیّب نقل شده است که وقتی این آیه نازل شد، رسول اکرم صلّی اللَّه علیه و آله فرمود: اگر عفو و گذشت خداوند نمی‏بود زندگی بر هیچ کس گوارا نمی‏شد، و اگر وعده عقاب و کیفر الهی نبود هر کس تکیه به رحمت او می‏کرد و هر چه می‏خواست انجام می‏داد. </w:t>
      </w:r>
      <w:r>
        <w:rPr>
          <w:rStyle w:val="FootnoteReference"/>
        </w:rPr>
        <w:footnoteReference w:id="4531"/>
      </w:r>
    </w:p>
    <w:p>
      <w:pPr>
        <w:pStyle w:val="BookText"/>
      </w:pPr>
      <w:r>
        <w:rPr>
          <w:rFonts w:ascii="IRNazanin" w:hAnsi="IRNazanin" w:eastAsia="IRNazanin" w:cs="IRNazanin"/>
          <w:lang w:bidi="fa-IR"/>
          <w:color w:val="111111"/>
          <w:sz w:val="28"/>
          <w:szCs w:val="28"/>
          <w:rtl/>
        </w:rPr>
        <w:t xml:space="preserve">لَوْ لا أُنْزِلَ عَلَیْهِ آیَةٌ کافران (که گفتند) چرا بر این پیامبر آیه‏ای نازل نشده چون با پیامبر عناد داشتند نسبت به آیاتی که بر آن حضرت نازل شده بود بی‏اعتنا بودند، از این رو از وی آیاتی مثل معجزات حضرت موسی و عیسی از قبیل اژدها شدن عصا و زنده کردن مردگان، پیشنهاد می‏کردند. این بود که خداوند در برابر گفتار آنان به پیامبرش خطاب کرد که: ای محمّد صلّی اللَّه علیه و آله کار تو فقط انذار است که آنان را از بدی عاقبتشان بترسانی و چیزی بر تو نیست مگر آوردن دلایل صحیحی بر این که فرستاده‏ای بیم دهنده می‏باشی، و در اثبات صحت این ادّعا همه آیات همصدا هستند.</w:t>
      </w:r>
    </w:p>
    <w:p>
      <w:pPr>
        <w:pStyle w:val="BookText"/>
      </w:pPr>
      <w:r>
        <w:rPr>
          <w:rFonts w:ascii="IRNazanin" w:hAnsi="IRNazanin" w:eastAsia="IRNazanin" w:cs="IRNazanin"/>
          <w:lang w:bidi="fa-IR"/>
          <w:color w:val="111111"/>
          <w:sz w:val="28"/>
          <w:szCs w:val="28"/>
          <w:rtl/>
        </w:rPr>
        <w:t xml:space="preserve">وَ لِکُلِّ قَوْمٍ هادٍ اصولا برای هر جامعه‏ای راهنما و هدایت کننده‏ای است که آنان را به دینشان رهبری و به سوی خدا دعوت می‏کند و در این راه هر کسی را روشی و آیت و معجزه‏ای مخصوص می‏باشد و چنان نیست که همه پیامبران یک نوع معجزه و نشانه نبوّت داشته باشند.</w:t>
      </w:r>
    </w:p>
    <w:p>
      <w:pPr>
        <w:pStyle w:val="BookText"/>
      </w:pPr>
      <w:r>
        <w:rPr>
          <w:rFonts w:ascii="Amiri" w:hAnsi="Amiri" w:eastAsia="Amiri" w:cs="Amiri"/>
          <w:lang w:bidi="ar-SA"/>
          <w:color w:val="111111"/>
          <w:sz w:val="28"/>
          <w:szCs w:val="28"/>
          <w:rtl/>
        </w:rPr>
        <w:t xml:space="preserve">اللَّهُ یَعْلَمُ ما تَحْمِلُ کُلُّ أُنْثی‏ کلمه «ما» در جمله‏های: ما تحمل و ما تغیض و ما</w:t>
      </w:r>
    </w:p>
    <w:p>
      <w:pPr>
        <w:pStyle w:val="BookText"/>
      </w:pPr>
      <w:r>
        <w:rPr>
          <w:rFonts w:ascii="IRNazanin" w:hAnsi="IRNazanin" w:eastAsia="IRNazanin" w:cs="IRNazanin"/>
          <w:lang w:bidi="fa-IR"/>
          <w:color w:val="111111"/>
          <w:sz w:val="28"/>
          <w:szCs w:val="28"/>
          <w:rtl/>
        </w:rPr>
        <w:t xml:space="preserve">[شماره صفحه واقعی : 263]
</w:t>
      </w:r>
    </w:p>
    <w:p>
      <w:pPr>
        <w:sectPr>
          <w:footerReference w:type="default" r:id="rId1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تزداد، یا موصوله است و یا مصدریه. اگر موصوله باشد معنایش آن است که خداوند می‏داند بچّه‏ای که در رحم مادر قرار دارد، در چه حالتی است: دختر است یا پسر، کامل است یا ناقص العضو، زیباست یا زشت، و خلاصه هر صفتی در او را می‏داند.</w:t>
      </w:r>
    </w:p>
    <w:p>
      <w:pPr>
        <w:pStyle w:val="BookText"/>
      </w:pPr>
      <w:r>
        <w:rPr>
          <w:rFonts w:ascii="IRNazanin" w:hAnsi="IRNazanin" w:eastAsia="IRNazanin" w:cs="IRNazanin"/>
          <w:lang w:bidi="fa-IR"/>
          <w:color w:val="111111"/>
          <w:sz w:val="28"/>
          <w:szCs w:val="28"/>
          <w:rtl/>
        </w:rPr>
        <w:t xml:space="preserve">وَ ما تَغِیضُ الْأَرْحامُ وَ ما تَزْدادُ و می‏داند آنچه را که رحم در آن نقص ایجاد کرده و آنچه را که بر آن افزوده، عاض الماء و عضته انا: آب کم شد و من آن را کم کردم. از جمله مصادیق «زیاد و نقص» شماره اولاد می‏باشد، چرا که در رحم ممکن است یکی یا دو تا و یا سه فرزند و یا بیشتر پرورش یابد، و شامل کمال و نقص اعضا نیز می‏شود همچنین شامل کم و زیادی زمان ولادت هم می‏شود.</w:t>
      </w:r>
    </w:p>
    <w:p>
      <w:pPr>
        <w:pStyle w:val="BookText"/>
      </w:pPr>
      <w:r>
        <w:rPr>
          <w:rFonts w:ascii="IRNazanin" w:hAnsi="IRNazanin" w:eastAsia="IRNazanin" w:cs="IRNazanin"/>
          <w:lang w:bidi="fa-IR"/>
          <w:color w:val="111111"/>
          <w:sz w:val="28"/>
          <w:szCs w:val="28"/>
          <w:rtl/>
        </w:rPr>
        <w:t xml:space="preserve">امّا اگر کلمه «ما» مصدریّه باشد مقصود آن است که خداوند نسبت به بارداری زن و نقصان و افزایش رحمها آگاهی دارد و هیچ یک از این امور بر او پوشیده نیست.</w:t>
      </w:r>
    </w:p>
    <w:p>
      <w:pPr>
        <w:pStyle w:val="BookText"/>
      </w:pPr>
      <w:r>
        <w:rPr>
          <w:rFonts w:ascii="IRNazanin" w:hAnsi="IRNazanin" w:eastAsia="IRNazanin" w:cs="IRNazanin"/>
          <w:lang w:bidi="fa-IR"/>
          <w:color w:val="111111"/>
          <w:sz w:val="28"/>
          <w:szCs w:val="28"/>
          <w:rtl/>
        </w:rPr>
        <w:t xml:space="preserve">ممکن است نقصان و افزایش آنچه در رحمهاست اراده شود، و در این صورت فعلهای «تغیض و تزداد» که در حقیقت منسوب به «ما فی الارحام» است و (مجازا) به خود ارحام نسبت داده شده لازم به کار رفته نه متعدی. این قول را گفتار حسن بصری تأیید می‏کند که می‏گوید: نقصان، این است که مادر، هشت ماهه یا کمتر وضع حمل کند، و «ازدیاد» آن است که مدت حملش از نه ماه بیشتر شود، و نیز از او نقل شده است که نقصان، سقط شدن بچّه به طور غیر کامل «و ازدیاد» متولد شدن آن به طور کامل است.</w:t>
      </w:r>
    </w:p>
    <w:p>
      <w:pPr>
        <w:pStyle w:val="BookText"/>
      </w:pPr>
      <w:r>
        <w:rPr>
          <w:rFonts w:ascii="IRNazanin" w:hAnsi="IRNazanin" w:eastAsia="IRNazanin" w:cs="IRNazanin"/>
          <w:lang w:bidi="fa-IR"/>
          <w:color w:val="111111"/>
          <w:sz w:val="28"/>
          <w:szCs w:val="28"/>
          <w:rtl/>
        </w:rPr>
        <w:t xml:space="preserve">وَ کُلُّ شَیْ‏ءٍ عِنْدَهُ بِمِقْدارٍ هر چیزی در نزد خداوند حدّ و اندازه معیّنی دارد، و کمتر و یا بیشتر نمی‏شود.</w:t>
      </w:r>
    </w:p>
    <w:p>
      <w:pPr>
        <w:pStyle w:val="BookText"/>
      </w:pPr>
      <w:r>
        <w:rPr>
          <w:rFonts w:ascii="IRNazanin" w:hAnsi="IRNazanin" w:eastAsia="IRNazanin" w:cs="IRNazanin"/>
          <w:lang w:bidi="fa-IR"/>
          <w:color w:val="111111"/>
          <w:sz w:val="28"/>
          <w:szCs w:val="28"/>
          <w:rtl/>
        </w:rPr>
        <w:t xml:space="preserve">«الْکَبِیرُ»: عظیم الشّأن و بزرگواری که همه چیز پایین‏تر از او است.</w:t>
      </w:r>
    </w:p>
    <w:p>
      <w:pPr>
        <w:pStyle w:val="BookText"/>
      </w:pPr>
      <w:r>
        <w:rPr>
          <w:rFonts w:ascii="IRNazanin" w:hAnsi="IRNazanin" w:eastAsia="IRNazanin" w:cs="IRNazanin"/>
          <w:lang w:bidi="fa-IR"/>
          <w:color w:val="111111"/>
          <w:sz w:val="28"/>
          <w:szCs w:val="28"/>
          <w:rtl/>
        </w:rPr>
        <w:t xml:space="preserve">«الْمُتَعالِ»: آن که با قدرت کامله خود بر همه چیز استعلا و برتری دارد، یا کسی که منزّه از صفات آفریده‏ها است.</w:t>
      </w:r>
    </w:p>
    <w:p>
      <w:pPr>
        <w:pStyle w:val="BookText"/>
      </w:pPr>
      <w:r>
        <w:rPr>
          <w:rFonts w:ascii="IRNazanin" w:hAnsi="IRNazanin" w:eastAsia="IRNazanin" w:cs="IRNazanin"/>
          <w:lang w:bidi="fa-IR"/>
          <w:color w:val="111111"/>
          <w:sz w:val="28"/>
          <w:szCs w:val="28"/>
          <w:rtl/>
        </w:rPr>
        <w:t xml:space="preserve">[شماره صفحه واقعی : 264]
</w:t>
      </w:r>
    </w:p>
    <w:p>
      <w:pPr>
        <w:sectPr>
          <w:footerReference w:type="default" r:id="rId1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«سارِبٌ»: به راه و روش خود می‏رود، گفته می‏شود: سرب فی الارض سروبا:</w:t>
      </w:r>
    </w:p>
    <w:p>
      <w:pPr>
        <w:pStyle w:val="BookText"/>
      </w:pPr>
      <w:r>
        <w:rPr>
          <w:rFonts w:ascii="IRNazanin" w:hAnsi="IRNazanin" w:eastAsia="IRNazanin" w:cs="IRNazanin"/>
          <w:lang w:bidi="fa-IR"/>
          <w:color w:val="111111"/>
          <w:sz w:val="28"/>
          <w:szCs w:val="28"/>
          <w:rtl/>
        </w:rPr>
        <w:t xml:space="preserve">آشکارا در زمین گردش کرد.</w:t>
      </w:r>
    </w:p>
    <w:p>
      <w:pPr>
        <w:pStyle w:val="BookText"/>
      </w:pPr>
      <w:r>
        <w:rPr>
          <w:rFonts w:ascii="IRNazanin" w:hAnsi="IRNazanin" w:eastAsia="IRNazanin" w:cs="IRNazanin"/>
          <w:lang w:bidi="fa-IR"/>
          <w:color w:val="111111"/>
          <w:sz w:val="28"/>
          <w:szCs w:val="28"/>
          <w:rtl/>
        </w:rPr>
        <w:t xml:space="preserve">معنای آیه این است: آن که در تاریکی شب مخفیگاهی را برگزیند و در آن جا پنهان شود، و کسی که به هنگام روز به هر طرف در حرکت و اضطراب چنان آشکارا بسر برد که همه کس او را ببیند. این هر دو در نزد خداوند متعال مساوی و یکسان می‏باشد.</w:t>
      </w:r>
    </w:p>
    <w:p>
      <w:pPr>
        <w:pStyle w:val="BookText"/>
      </w:pPr>
      <w:r>
        <w:rPr>
          <w:rFonts w:ascii="IRNazanin" w:hAnsi="IRNazanin" w:eastAsia="IRNazanin" w:cs="IRNazanin"/>
          <w:lang w:bidi="fa-IR"/>
          <w:color w:val="111111"/>
          <w:sz w:val="28"/>
          <w:szCs w:val="28"/>
          <w:rtl/>
        </w:rPr>
        <w:t xml:space="preserve">لَهُ مُعَقِّباتٌ ضمیر «له» به «من» در آیه قبل بر می‏گردد و معنایش این است: برای هر کس چه آن که گفته‏های خود را پنهان دارد یا آشکار کند و چه آن که در تاریکی شب مخفی شود و یا در روشنایی روز آشکار شود گروه‏هایی از فرشتگان هستند که برای حفظ و حراست او پشت سر هم می‏آیند. «مُعَقِّباتٌ» در اصل معتقبات بوده، و تا، در قاف ادغام شده است، و ممکن است آن را مشتقّ از «عقبه» گرفت که پشت سر او می‏آیند چنان که می‏گویند: «قفّاه»: او را تعقیب کرد، زیرا این فرشتگان به دنبال یکدیگر می‏آیند، یا به این جهت که آنچه این انسان می‏گوید دنبال می‏کنند و آن را می‏نویسند.</w:t>
      </w:r>
    </w:p>
    <w:p>
      <w:pPr>
        <w:pStyle w:val="BookText"/>
      </w:pPr>
      <w:r>
        <w:rPr>
          <w:rFonts w:ascii="IRNazanin" w:hAnsi="IRNazanin" w:eastAsia="IRNazanin" w:cs="IRNazanin"/>
          <w:lang w:bidi="fa-IR"/>
          <w:color w:val="111111"/>
          <w:sz w:val="28"/>
          <w:szCs w:val="28"/>
          <w:rtl/>
        </w:rPr>
        <w:t xml:space="preserve">یَحْفَظُونَهُ مِنْ أَمْرِ اللَّهِ این دو عبارت: «لَهُ مُعَقِّباتٌ» و «یَحْفَظُونَهُ»، دو صفت برای «من» هستند و در عبارت «مِنْ أَمْرِ اللَّهِ» هم دو احتمال وجود دارد، اول این که به دنبال معقبات آورده و گفته شود: «له معقبات من امر اللَّه» یعنی: برای او فرشتگانی است که در تعقیب امر خداوند او را محافظت می‏کنند.</w:t>
      </w:r>
    </w:p>
    <w:p>
      <w:pPr>
        <w:pStyle w:val="BookText"/>
      </w:pPr>
      <w:r>
        <w:rPr>
          <w:rFonts w:ascii="IRNazanin" w:hAnsi="IRNazanin" w:eastAsia="IRNazanin" w:cs="IRNazanin"/>
          <w:lang w:bidi="fa-IR"/>
          <w:color w:val="111111"/>
          <w:sz w:val="28"/>
          <w:szCs w:val="28"/>
          <w:rtl/>
        </w:rPr>
        <w:t xml:space="preserve">در این صورت من امر اللَّه صله برای حفظ نیست (بلکه صفت «معقبات» است) دوم این که اگر متعلق به «یحفظونه» گرفته شود باید تقدیر من اجل امر اللَّه باشد یعنی فرشتگان تعقیب کننده، او را حفاظت می‏کنند، چون خداوند آنها را به حفظ او امر کرده است. دلیل بر این معنا قرائت امام علی علیه السّلام و ابن عبّاس و امام صادق علیه السّلام می‏باشد که خوانده‏اند:</w:t>
      </w:r>
    </w:p>
    <w:p>
      <w:pPr>
        <w:pStyle w:val="BookText"/>
      </w:pPr>
      <w:r>
        <w:rPr>
          <w:rFonts w:ascii="IRNazanin" w:hAnsi="IRNazanin" w:eastAsia="IRNazanin" w:cs="IRNazanin"/>
          <w:lang w:bidi="fa-IR"/>
          <w:color w:val="111111"/>
          <w:sz w:val="28"/>
          <w:szCs w:val="28"/>
          <w:rtl/>
        </w:rPr>
        <w:t xml:space="preserve">له رقیب من بین یدیه و معقبات من خلفه یحفظونه بامر اللَّه.</w:t>
      </w:r>
    </w:p>
    <w:p>
      <w:pPr>
        <w:pStyle w:val="BookText"/>
      </w:pPr>
      <w:r>
        <w:rPr>
          <w:rFonts w:ascii="IRNazanin" w:hAnsi="IRNazanin" w:eastAsia="IRNazanin" w:cs="IRNazanin"/>
          <w:lang w:bidi="fa-IR"/>
          <w:color w:val="111111"/>
          <w:sz w:val="28"/>
          <w:szCs w:val="28"/>
          <w:rtl/>
        </w:rPr>
        <w:t xml:space="preserve">[شماره صفحه واقعی : 265]
</w:t>
      </w:r>
    </w:p>
    <w:p>
      <w:pPr>
        <w:sectPr>
          <w:footerReference w:type="default" r:id="rId1364"/>
          <w:footnotePr>
            <w:numStart w:val="1"/>
            <w:numRestart w:val="eachPage"/>
          </w:footnotePr>
          <w:pgSz w:orient="portrait" w:w="11905.511811023622" w:h="16837.79527559055"/>
          <w:pgMar w:top="1440" w:right="1440" w:bottom="1440" w:left="1440" w:header="720" w:footer="720" w:gutter="0"/>
          <w:cols w:num="1" w:space="720"/>
        </w:sectPr>
      </w:pPr>
    </w:p>
    <w:bookmarkStart w:id="765" w:name="pg14411_143746"/>
    <w:bookmarkEnd w:id="765"/>
    <w:p>
      <w:pPr>
        <w:pStyle w:val="BookText"/>
      </w:pPr>
      <w:r>
        <w:rPr>
          <w:rFonts w:ascii="IRNazanin" w:hAnsi="IRNazanin" w:eastAsia="IRNazanin" w:cs="IRNazanin"/>
          <w:lang w:bidi="fa-IR"/>
          <w:color w:val="111111"/>
          <w:sz w:val="28"/>
          <w:szCs w:val="28"/>
          <w:rtl/>
        </w:rPr>
        <w:t xml:space="preserve">إِنَّ اللَّهَ لا یُغَیِّرُ ما بِقَوْمٍ خدا سلامت و نعمت امّتی را تغییر نمی‏دهد، مگر این که آنان خود را تغییر دهند یعنی به دلیل گناهان زیاد، از حالت زیبای اطاعت به صورت زشت گناهکاری در آیند.</w:t>
      </w:r>
    </w:p>
    <w:p>
      <w:pPr>
        <w:pStyle w:val="BookText"/>
      </w:pPr>
      <w:r>
        <w:rPr>
          <w:rFonts w:ascii="IRNazanin" w:hAnsi="IRNazanin" w:eastAsia="IRNazanin" w:cs="IRNazanin"/>
          <w:lang w:bidi="fa-IR"/>
          <w:color w:val="111111"/>
          <w:sz w:val="28"/>
          <w:szCs w:val="28"/>
          <w:rtl/>
        </w:rPr>
        <w:t xml:space="preserve">وَ ما لَهُمْ مِنْ دُونِهِ مِنْ والٍ برای آنها غیر از خداوند سرپرستی نیست که به امورشان رسیدگی و از آنها دفاع کند.</w:t>
      </w:r>
    </w:p>
    <w:p>
      <w:pPr>
        <w:pStyle w:val="Heading6"/>
      </w:pPr>
      <w:bookmarkStart w:id="2521" w:name="_Toc1556"/>
      <w:r>
        <w:t>[سوره الرعد «13»: آیات 12 تا 15]</w:t>
      </w:r>
      <w:bookmarkEnd w:id="2521"/>
    </w:p>
    <w:p>
      <w:pPr>
        <w:pStyle w:val="Heading6"/>
      </w:pPr>
      <w:bookmarkStart w:id="2522" w:name="_Toc1557"/>
      <w:r>
        <w:t>اشاره</w:t>
      </w:r>
      <w:bookmarkEnd w:id="2522"/>
    </w:p>
    <w:p>
      <w:pPr>
        <w:pStyle w:val="BookText"/>
      </w:pPr>
      <w:r>
        <w:rPr>
          <w:rFonts w:ascii="Amiri" w:hAnsi="Amiri" w:eastAsia="Amiri" w:cs="Amiri"/>
          <w:lang w:bidi="ar-SA"/>
          <w:color w:val="111111"/>
          <w:sz w:val="28"/>
          <w:szCs w:val="28"/>
          <w:rtl/>
        </w:rPr>
        <w:t xml:space="preserve">هُوَ الَّذِی یُرِیکُمُ الْبَرْقَ خَوْفاً وَ طَمَعاً وَ یُنْشِئُ السَّحابَ الثِّقالَ «12» وَ یُسَبِّحُ الرَّعْدُ بِحَمْدِهِ وَ الْمَلائِکَةُ مِنْ خِیفَتِهِ وَ یُرْسِلُ الصَّواعِقَ فَیُصِیبُ بِها مَنْ یَشاءُ وَ هُمْ یُجادِلُونَ فِی اللَّهِ وَ هُوَ شَدِیدُ الْمِحالِ «13» لَهُ دَعْوَةُ الْحَقِّ وَ الَّذِینَ یَدْعُونَ مِنْ دُونِهِ لا یَسْتَجِیبُونَ لَهُمْ بِشَیْ‏ءٍ إِلاَّ کَباسِطِ کَفَّیْهِ إِلَی الْماءِ لِیَبْلُغَ فاهُ وَ ما هُوَ بِبالِغِهِ وَ ما دُعاءُ الْکافِرِینَ إِلاَّ فِی ضَلالٍ «14» وَ لِلَّهِ یَسْجُدُ مَنْ فِی السَّماواتِ وَ الْأَرْضِ طَوْعاً وَ کَرْهاً وَ ظِلالُهُمْ بِالْغُدُوِّ وَ الْآصالِ «15»</w:t>
      </w:r>
    </w:p>
    <w:p>
      <w:pPr>
        <w:pStyle w:val="Heading6"/>
      </w:pPr>
      <w:bookmarkStart w:id="2523" w:name="_Toc1558"/>
      <w:r>
        <w:t>ترجمه:</w:t>
      </w:r>
      <w:bookmarkEnd w:id="2523"/>
    </w:p>
    <w:p>
      <w:pPr>
        <w:pStyle w:val="BookText"/>
      </w:pPr>
      <w:r>
        <w:rPr>
          <w:rFonts w:ascii="IRNazanin" w:hAnsi="IRNazanin" w:eastAsia="IRNazanin" w:cs="IRNazanin"/>
          <w:lang w:bidi="fa-IR"/>
          <w:color w:val="111111"/>
          <w:sz w:val="28"/>
          <w:szCs w:val="28"/>
          <w:rtl/>
        </w:rPr>
        <w:t xml:space="preserve">او کسی است که برق را به شما نشان می‏دهد که هم مایه ترس است و هم امید، و ابرهای سنگین بار، ایجاد می‏کند. «12»</w:t>
      </w:r>
    </w:p>
    <w:p>
      <w:pPr>
        <w:pStyle w:val="BookText"/>
      </w:pPr>
      <w:r>
        <w:rPr>
          <w:rFonts w:ascii="IRNazanin" w:hAnsi="IRNazanin" w:eastAsia="IRNazanin" w:cs="IRNazanin"/>
          <w:lang w:bidi="fa-IR"/>
          <w:color w:val="111111"/>
          <w:sz w:val="28"/>
          <w:szCs w:val="28"/>
          <w:rtl/>
        </w:rPr>
        <w:t xml:space="preserve">و رعد، تسبیح و حمد او می‏گوید، و فرشتگان نیز، از خوف او، و او، صاعقه‏ها را می‏فرستد و هر کس را بخواهد گرفتار آن می‏سازد، در حالی که کافران درباره خدا به مجادله مشغولند و او، دارای قدرتی بی انتها می‏باشد. «13»</w:t>
      </w:r>
    </w:p>
    <w:p>
      <w:pPr>
        <w:pStyle w:val="BookText"/>
      </w:pPr>
      <w:r>
        <w:rPr>
          <w:rFonts w:ascii="IRNazanin" w:hAnsi="IRNazanin" w:eastAsia="IRNazanin" w:cs="IRNazanin"/>
          <w:lang w:bidi="fa-IR"/>
          <w:color w:val="111111"/>
          <w:sz w:val="28"/>
          <w:szCs w:val="28"/>
          <w:rtl/>
        </w:rPr>
        <w:t xml:space="preserve">دعوت حق، از اوست، و آنها که شریکانی بجز خدا می‏خوانند هیچ گونه درخواستشان را اجابت نمی‏کنند، جز این که آنان، به کسی مانند، که کفهای خود را بسوی آب می‏گشاید تا به دهانش برسد و هرگز نخواهد رسید، و دعای کافران غیر از گمراهی نیست. «14»</w:t>
      </w:r>
    </w:p>
    <w:p>
      <w:pPr>
        <w:pStyle w:val="BookText"/>
      </w:pPr>
      <w:r>
        <w:rPr>
          <w:rFonts w:ascii="IRNazanin" w:hAnsi="IRNazanin" w:eastAsia="IRNazanin" w:cs="IRNazanin"/>
          <w:lang w:bidi="fa-IR"/>
          <w:color w:val="111111"/>
          <w:sz w:val="28"/>
          <w:szCs w:val="28"/>
          <w:rtl/>
        </w:rPr>
        <w:t xml:space="preserve">[شماره صفحه واقعی : 266]
</w:t>
      </w:r>
    </w:p>
    <w:p>
      <w:pPr>
        <w:sectPr>
          <w:footerReference w:type="default" r:id="rId1365"/>
          <w:footnotePr>
            <w:numStart w:val="1"/>
            <w:numRestart w:val="eachPage"/>
          </w:footnotePr>
          <w:pgSz w:orient="portrait" w:w="11905.511811023622" w:h="16837.79527559055"/>
          <w:pgMar w:top="1440" w:right="1440" w:bottom="1440" w:left="1440" w:header="720" w:footer="720" w:gutter="0"/>
          <w:cols w:num="1" w:space="720"/>
        </w:sectPr>
      </w:pPr>
    </w:p>
    <w:bookmarkStart w:id="766" w:name="pg14411_143747"/>
    <w:bookmarkEnd w:id="766"/>
    <w:p>
      <w:pPr>
        <w:pStyle w:val="BookText"/>
      </w:pPr>
      <w:r>
        <w:rPr>
          <w:rFonts w:ascii="IRNazanin" w:hAnsi="IRNazanin" w:eastAsia="IRNazanin" w:cs="IRNazanin"/>
          <w:lang w:bidi="fa-IR"/>
          <w:color w:val="111111"/>
          <w:sz w:val="28"/>
          <w:szCs w:val="28"/>
          <w:rtl/>
        </w:rPr>
        <w:t xml:space="preserve">همه آنها که در آسمانها و زمین هستند، از روی میل و رغبت یا اکراه و عدم رضایت، و سایه‏های آنان، در هر صبح و عصر، برای خدا سجده می‏کنند. «15»</w:t>
      </w:r>
    </w:p>
    <w:p>
      <w:pPr>
        <w:pStyle w:val="Heading6"/>
      </w:pPr>
      <w:bookmarkStart w:id="2524" w:name="_Toc1559"/>
      <w:r>
        <w:t>تفسیر:</w:t>
      </w:r>
      <w:bookmarkEnd w:id="2524"/>
    </w:p>
    <w:p>
      <w:pPr>
        <w:pStyle w:val="BookText"/>
      </w:pPr>
      <w:r>
        <w:rPr>
          <w:rFonts w:ascii="IRNazanin" w:hAnsi="IRNazanin" w:eastAsia="IRNazanin" w:cs="IRNazanin"/>
          <w:lang w:bidi="fa-IR"/>
          <w:color w:val="111111"/>
          <w:sz w:val="28"/>
          <w:szCs w:val="28"/>
          <w:rtl/>
        </w:rPr>
        <w:t xml:space="preserve">خَوْفاً وَ طَمَعاً نصب این دو کلمه بنا بر «مفعول له» نیست، زیرا اینها علّت انجام فعل فاعل نیستند، مگر این که مضافی در تقدیر گرفته شود، یعنی «ارادة خوف و طمع» و یا این که آنها را به معنای «اخافة» و «اطماعا»: ترساندن و به طمع انداختن بگیریم (که در این صورت علّت و سبب فعل فاعل خواهند بود).</w:t>
      </w:r>
    </w:p>
    <w:p>
      <w:pPr>
        <w:pStyle w:val="BookText"/>
      </w:pPr>
      <w:r>
        <w:rPr>
          <w:rFonts w:ascii="IRNazanin" w:hAnsi="IRNazanin" w:eastAsia="IRNazanin" w:cs="IRNazanin"/>
          <w:lang w:bidi="fa-IR"/>
          <w:color w:val="111111"/>
          <w:sz w:val="28"/>
          <w:szCs w:val="28"/>
          <w:rtl/>
        </w:rPr>
        <w:t xml:space="preserve">ممکن است نصب آنها را به این دلیل بگیریم که حال، از «برق» باشد گویا برق خود، خوف و طمع است یا به تقدیر «ذا خوف و طمع» باشد و نیز ممکن است حال برای ضمیر مخاطب «کم» و به معنای «خائفین و طامعین» باشند. معنای خوف و طمع این است که هنگام جستن برق، بیم وقوع صاعقه و طمع نزول باران وجود دارد. و بعضی گفته‏اند هنگام جهش برق، کسی که باران برایش ضرر دارد از نزول باران می‏ترسد از قبیل مسافر یا صاحب خانه‏ای که بیم خرابیش برود، امّا کسی که باران برایش سود داشته باشد در انتظار و طمع آن است.</w:t>
      </w:r>
    </w:p>
    <w:p>
      <w:pPr>
        <w:pStyle w:val="BookText"/>
      </w:pPr>
      <w:r>
        <w:rPr>
          <w:rFonts w:ascii="IRNazanin" w:hAnsi="IRNazanin" w:eastAsia="IRNazanin" w:cs="IRNazanin"/>
          <w:lang w:bidi="fa-IR"/>
          <w:color w:val="111111"/>
          <w:sz w:val="28"/>
          <w:szCs w:val="28"/>
          <w:rtl/>
        </w:rPr>
        <w:t xml:space="preserve">وَ یُنْشِئُ السَّحابَ الثِّقالَ ابرهایی را که از آب تشکیل یافته و سنگین شده، از زمین بلند می‏کند و در هوا سیر می‏دهد.</w:t>
      </w:r>
    </w:p>
    <w:p>
      <w:pPr>
        <w:pStyle w:val="BookText"/>
      </w:pPr>
      <w:r>
        <w:rPr>
          <w:rFonts w:ascii="IRNazanin" w:hAnsi="IRNazanin" w:eastAsia="IRNazanin" w:cs="IRNazanin"/>
          <w:lang w:bidi="fa-IR"/>
          <w:color w:val="111111"/>
          <w:sz w:val="28"/>
          <w:szCs w:val="28"/>
          <w:rtl/>
        </w:rPr>
        <w:t xml:space="preserve">وَ یُسَبِّحُ الرَّعْدُ و بندگانی که صدای رعد را می‏شنوند، در حالی که خدا را می‏ستایند می‏گویند: سبحان اللَّه، و الحمد للَّه. بعضی گفته‏اند: رعد، نام فرشته‏ای است موکّل برابر که با صدایش ابر را بر می‏انگیزاند و ابر هم خدای را تسبیح و حمد می‏گوید.</w:t>
      </w:r>
    </w:p>
    <w:p>
      <w:pPr>
        <w:pStyle w:val="BookText"/>
      </w:pPr>
      <w:r>
        <w:rPr>
          <w:rFonts w:ascii="IRNazanin" w:hAnsi="IRNazanin" w:eastAsia="IRNazanin" w:cs="IRNazanin"/>
          <w:lang w:bidi="fa-IR"/>
          <w:color w:val="111111"/>
          <w:sz w:val="28"/>
          <w:szCs w:val="28"/>
          <w:rtl/>
        </w:rPr>
        <w:t xml:space="preserve">وَ الْمَلائِکَةُ مِنْ خِیفَتِهِ فرشتگان از هیبت و شکوه و جلال حق تعالی او را تسبیح می‏کنند.</w:t>
      </w:r>
    </w:p>
    <w:p>
      <w:pPr>
        <w:pStyle w:val="BookText"/>
      </w:pPr>
      <w:r>
        <w:rPr>
          <w:rFonts w:ascii="IRNazanin" w:hAnsi="IRNazanin" w:eastAsia="IRNazanin" w:cs="IRNazanin"/>
          <w:lang w:bidi="fa-IR"/>
          <w:color w:val="111111"/>
          <w:sz w:val="28"/>
          <w:szCs w:val="28"/>
          <w:rtl/>
        </w:rPr>
        <w:t xml:space="preserve">[شماره صفحه واقعی : 267]
</w:t>
      </w:r>
    </w:p>
    <w:p>
      <w:pPr>
        <w:sectPr>
          <w:footerReference w:type="default" r:id="rId1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هُمْ یُجادِلُونَ فِی اللَّهِ پس از آن که خداوند سبحان آنچه را دلیل بر دانش و توانایی او نسبت به همه چیز است متذکر شد، فرمود: کفّاری که منکر آیات الهی هستند درباره خدا مجادله می‏کنند، زیرا که آنان، گفتار پیامبر را درباره توصیف خداوند، مبنی بر این که خداوند قادر است مردگان را برانگیزد و آنها را به زندگی برگرداند، مورد انکار قرار می‏دهند و برای خدا شریکهای متعدد و مانندها می‏گیرند، این است معنای جدال آنان درباره خدا.</w:t>
      </w:r>
    </w:p>
    <w:p>
      <w:pPr>
        <w:pStyle w:val="BookText"/>
      </w:pPr>
      <w:r>
        <w:rPr>
          <w:rFonts w:ascii="IRNazanin" w:hAnsi="IRNazanin" w:eastAsia="IRNazanin" w:cs="IRNazanin"/>
          <w:lang w:bidi="fa-IR"/>
          <w:color w:val="111111"/>
          <w:sz w:val="28"/>
          <w:szCs w:val="28"/>
          <w:rtl/>
        </w:rPr>
        <w:t xml:space="preserve">وَ هُوَ شَدِیدُ الْمِحالِ منظور از «محال» حیله به کار بردن و فریفتن می‏باشد و از این قبیل است «تحمّل بکذا» موقعی که به زحمت در کاری چاره‏اندیشی کرده و برای آن تلاش کند و «محّل بفلان» یعنی از فلانی در پیش حاکم بدگویی کرد و از همین مورد است این حدیث: و لا تجعله لنا ما حلا مصدقا، خدایا قرآن را که مورد تصدیق تو است دشمن ما قرار مده. معنای آیه این است که خداوند نسبت به دشمنانش حیله شدید به کار می‏برد و از جایی که هیچ به فکرشان نمی‏رسد هلاکت را بر آنها فرود می‏آورد.</w:t>
      </w:r>
    </w:p>
    <w:p>
      <w:pPr>
        <w:pStyle w:val="BookText"/>
      </w:pPr>
      <w:r>
        <w:rPr>
          <w:rFonts w:ascii="Amiri" w:hAnsi="Amiri" w:eastAsia="Amiri" w:cs="Amiri"/>
          <w:lang w:bidi="ar-SA"/>
          <w:color w:val="111111"/>
          <w:sz w:val="28"/>
          <w:szCs w:val="28"/>
          <w:rtl/>
        </w:rPr>
        <w:t xml:space="preserve">لَهُ دَعْوَةُ الْحَقِّ در معنای دعوة الحق سه قول است:</w:t>
      </w:r>
    </w:p>
    <w:p>
      <w:pPr>
        <w:pStyle w:val="BookText"/>
      </w:pPr>
      <w:r>
        <w:rPr>
          <w:rFonts w:ascii="IRNazanin" w:hAnsi="IRNazanin" w:eastAsia="IRNazanin" w:cs="IRNazanin"/>
          <w:lang w:bidi="fa-IR"/>
          <w:color w:val="111111"/>
          <w:sz w:val="28"/>
          <w:szCs w:val="28"/>
          <w:rtl/>
        </w:rPr>
        <w:t xml:space="preserve">1- فرا خوانده می‏شود و ندای درخواست کننده را پاسخ می‏دهد. اضافه «دعوت» به «حق» به این دلیل است که مخصوص به حق و از باطل دور است.</w:t>
      </w:r>
    </w:p>
    <w:p>
      <w:pPr>
        <w:pStyle w:val="BookText"/>
      </w:pPr>
      <w:r>
        <w:rPr>
          <w:rFonts w:ascii="IRNazanin" w:hAnsi="IRNazanin" w:eastAsia="IRNazanin" w:cs="IRNazanin"/>
          <w:lang w:bidi="fa-IR"/>
          <w:color w:val="111111"/>
          <w:sz w:val="28"/>
          <w:szCs w:val="28"/>
          <w:rtl/>
        </w:rPr>
        <w:t xml:space="preserve">2- فراخوانی فراخوانده شده به حق که می‏شنود و پاسخ می‏دهد و او خدای سبحان است.</w:t>
      </w:r>
    </w:p>
    <w:p>
      <w:pPr>
        <w:pStyle w:val="BookText"/>
      </w:pPr>
      <w:r>
        <w:rPr>
          <w:rFonts w:ascii="IRNazanin" w:hAnsi="IRNazanin" w:eastAsia="IRNazanin" w:cs="IRNazanin"/>
          <w:lang w:bidi="fa-IR"/>
          <w:color w:val="111111"/>
          <w:sz w:val="28"/>
          <w:szCs w:val="28"/>
          <w:rtl/>
        </w:rPr>
        <w:t xml:space="preserve">3- از حسن بصری نقل شده است که مقصود از کلمه «حق» خدای تعالی است و هر دعایی به سوی او، دعوت حق است.</w:t>
      </w:r>
    </w:p>
    <w:p>
      <w:pPr>
        <w:pStyle w:val="BookText"/>
      </w:pPr>
      <w:r>
        <w:rPr>
          <w:rFonts w:ascii="IRNazanin" w:hAnsi="IRNazanin" w:eastAsia="IRNazanin" w:cs="IRNazanin"/>
          <w:lang w:bidi="fa-IR"/>
          <w:color w:val="111111"/>
          <w:sz w:val="28"/>
          <w:szCs w:val="28"/>
          <w:rtl/>
        </w:rPr>
        <w:t xml:space="preserve">وَ الَّذِینَ یَدْعُونَ مِنْ دُونِهِ خدایانی غیر از خدا، که کافران، می‏خوانند هیچ یک از خواسته‏های آنان را بر آورده نمی‏کنند.</w:t>
      </w:r>
    </w:p>
    <w:p>
      <w:pPr>
        <w:pStyle w:val="BookText"/>
      </w:pPr>
      <w:r>
        <w:rPr>
          <w:rFonts w:ascii="IRNazanin" w:hAnsi="IRNazanin" w:eastAsia="IRNazanin" w:cs="IRNazanin"/>
          <w:lang w:bidi="fa-IR"/>
          <w:color w:val="111111"/>
          <w:sz w:val="28"/>
          <w:szCs w:val="28"/>
          <w:rtl/>
        </w:rPr>
        <w:t xml:space="preserve">[شماره صفحه واقعی : 268]
</w:t>
      </w:r>
    </w:p>
    <w:p>
      <w:pPr>
        <w:sectPr>
          <w:footerReference w:type="default" r:id="rId1367"/>
          <w:footnotePr>
            <w:numStart w:val="1"/>
            <w:numRestart w:val="eachPage"/>
          </w:footnotePr>
          <w:pgSz w:orient="portrait" w:w="11905.511811023622" w:h="16837.79527559055"/>
          <w:pgMar w:top="1440" w:right="1440" w:bottom="1440" w:left="1440" w:header="720" w:footer="720" w:gutter="0"/>
          <w:cols w:num="1" w:space="720"/>
        </w:sectPr>
      </w:pPr>
    </w:p>
    <w:bookmarkStart w:id="767" w:name="pg14411_143749"/>
    <w:bookmarkEnd w:id="767"/>
    <w:p>
      <w:pPr>
        <w:pStyle w:val="BookText"/>
      </w:pPr>
      <w:r>
        <w:rPr>
          <w:rFonts w:ascii="IRNazanin" w:hAnsi="IRNazanin" w:eastAsia="IRNazanin" w:cs="IRNazanin"/>
          <w:lang w:bidi="fa-IR"/>
          <w:color w:val="111111"/>
          <w:sz w:val="28"/>
          <w:szCs w:val="28"/>
          <w:rtl/>
        </w:rPr>
        <w:t xml:space="preserve">إِلَّا کَباسِطِ کَفَّیْهِ إِلَی الْماءِ مگر مانند پاسخ آب، به کسی که دست خود را به سوی آن دراز می‏کند و از آن درخواست می‏کند که خودش را به دهان او برساند با این که آب جمادی بیش نیست، نه آگاهی از آن دارد که شخصی دست خود را بطرف او باز کرده و اظهار نیاز می‏کند، و نه توانایی دارد که درخواست او را پاسخ مثبت دهد و خود را به دهان وی برساند.</w:t>
      </w:r>
    </w:p>
    <w:p>
      <w:pPr>
        <w:pStyle w:val="BookText"/>
      </w:pPr>
      <w:r>
        <w:rPr>
          <w:rFonts w:ascii="IRNazanin" w:hAnsi="IRNazanin" w:eastAsia="IRNazanin" w:cs="IRNazanin"/>
          <w:lang w:bidi="fa-IR"/>
          <w:color w:val="111111"/>
          <w:sz w:val="28"/>
          <w:szCs w:val="28"/>
          <w:rtl/>
        </w:rPr>
        <w:t xml:space="preserve">بعضی گفته‏اند معنای جمله آن است که کفّار، در این درخواست از خدایان خود، مانند کسی می‏باشند که می‏خواهد با دستهای خود، آب بیاشامد، امّا در ضمن این که دستهایش را می‏گشاید، لای انگشتانش را هم، باز گذاشته است، بنا بر این هیچ بهره‏ای از آن نمی‏برند.</w:t>
      </w:r>
    </w:p>
    <w:p>
      <w:pPr>
        <w:pStyle w:val="BookText"/>
      </w:pPr>
      <w:r>
        <w:rPr>
          <w:rFonts w:ascii="IRNazanin" w:hAnsi="IRNazanin" w:eastAsia="IRNazanin" w:cs="IRNazanin"/>
          <w:lang w:bidi="fa-IR"/>
          <w:color w:val="111111"/>
          <w:sz w:val="28"/>
          <w:szCs w:val="28"/>
          <w:rtl/>
        </w:rPr>
        <w:t xml:space="preserve">إِلَّا فِی ضَلالٍ منظور از گمراهی (که میدان دعای کافران است) نابودی و فایده نداشتن است.</w:t>
      </w:r>
    </w:p>
    <w:p>
      <w:pPr>
        <w:pStyle w:val="BookText"/>
      </w:pPr>
      <w:r>
        <w:rPr>
          <w:rFonts w:ascii="IRNazanin" w:hAnsi="IRNazanin" w:eastAsia="IRNazanin" w:cs="IRNazanin"/>
          <w:lang w:bidi="fa-IR"/>
          <w:color w:val="111111"/>
          <w:sz w:val="28"/>
          <w:szCs w:val="28"/>
          <w:rtl/>
        </w:rPr>
        <w:t xml:space="preserve">وَ لِلَّهِ یَسْجُدُ اهل آسمانها و زمین خواسته یا نخواسته تسلیم امور و کارهایی هستند که خداوند اجرای آن را درباره ایشان اراده کرده است.</w:t>
      </w:r>
    </w:p>
    <w:p>
      <w:pPr>
        <w:pStyle w:val="BookText"/>
      </w:pPr>
      <w:r>
        <w:rPr>
          <w:rFonts w:ascii="IRNazanin" w:hAnsi="IRNazanin" w:eastAsia="IRNazanin" w:cs="IRNazanin"/>
          <w:lang w:bidi="fa-IR"/>
          <w:color w:val="111111"/>
          <w:sz w:val="28"/>
          <w:szCs w:val="28"/>
          <w:rtl/>
        </w:rPr>
        <w:t xml:space="preserve">وَ ظِلالُهُمْ و سایه‏های وجود آنها نیز تابع اراده خداست، زیرا برآمدن آن (در بامداد) و کوتاهی (قبل از ظهر) و بلندی آن (هنگام عصر) و از میان رفتنش (در شب) همگی وابسته به مشیّت الهی است.</w:t>
      </w:r>
    </w:p>
    <w:p>
      <w:pPr>
        <w:pStyle w:val="Heading6"/>
      </w:pPr>
      <w:bookmarkStart w:id="2525" w:name="_Toc1560"/>
      <w:r>
        <w:t>[سوره الرعد «13»: آیه 16]</w:t>
      </w:r>
      <w:bookmarkEnd w:id="2525"/>
    </w:p>
    <w:p>
      <w:pPr>
        <w:pStyle w:val="Heading6"/>
      </w:pPr>
      <w:bookmarkStart w:id="2526" w:name="_Toc1561"/>
      <w:r>
        <w:t>اشاره</w:t>
      </w:r>
      <w:bookmarkEnd w:id="2526"/>
    </w:p>
    <w:p>
      <w:pPr>
        <w:pStyle w:val="BookText"/>
      </w:pPr>
      <w:r>
        <w:rPr>
          <w:rFonts w:ascii="Amiri" w:hAnsi="Amiri" w:eastAsia="Amiri" w:cs="Amiri"/>
          <w:lang w:bidi="ar-SA"/>
          <w:color w:val="111111"/>
          <w:sz w:val="28"/>
          <w:szCs w:val="28"/>
          <w:rtl/>
        </w:rPr>
        <w:t xml:space="preserve">قُلْ مَنْ رَبُّ السَّماواتِ وَ الْأَرْضِ قُلِ اللَّهُ قُلْ أَ فَاتَّخَذْتُمْ مِنْ دُونِهِ أَوْلِیاءَ لا یَمْلِکُونَ لِأَنْفُسِهِمْ نَفْعاً وَ لا ضَرًّا قُلْ هَلْ یَسْتَوِی الْأَعْمی‏ وَ الْبَصِیرُ أَمْ هَلْ تَسْتَوِی الظُّلُماتُ وَ النُّورُ أَمْ جَعَلُوا لِلَّهِ شُرَکاءَ خَلَقُوا کَخَلْقِهِ فَتَشابَهَ الْخَلْقُ عَلَیْهِمْ قُلِ اللَّهُ خالِقُ کُلِّ شَیْ‏ءٍ وَ هُوَ الْواحِدُ الْقَهَّارُ «16»</w:t>
      </w:r>
    </w:p>
    <w:p>
      <w:pPr>
        <w:pStyle w:val="BookText"/>
      </w:pPr>
      <w:r>
        <w:rPr>
          <w:rFonts w:ascii="IRNazanin" w:hAnsi="IRNazanin" w:eastAsia="IRNazanin" w:cs="IRNazanin"/>
          <w:lang w:bidi="fa-IR"/>
          <w:color w:val="111111"/>
          <w:sz w:val="28"/>
          <w:szCs w:val="28"/>
          <w:rtl/>
        </w:rPr>
        <w:t xml:space="preserve">[شماره صفحه واقعی : 269]
</w:t>
      </w:r>
    </w:p>
    <w:p>
      <w:pPr>
        <w:sectPr>
          <w:footerReference w:type="default" r:id="rId1368"/>
          <w:footnotePr>
            <w:numStart w:val="1"/>
            <w:numRestart w:val="eachPage"/>
          </w:footnotePr>
          <w:pgSz w:orient="portrait" w:w="11905.511811023622" w:h="16837.79527559055"/>
          <w:pgMar w:top="1440" w:right="1440" w:bottom="1440" w:left="1440" w:header="720" w:footer="720" w:gutter="0"/>
          <w:cols w:num="1" w:space="720"/>
        </w:sectPr>
      </w:pPr>
    </w:p>
    <w:bookmarkStart w:id="768" w:name="pg14411_143750"/>
    <w:bookmarkEnd w:id="768"/>
    <w:p>
      <w:pPr>
        <w:pStyle w:val="Heading6"/>
      </w:pPr>
      <w:bookmarkStart w:id="2527" w:name="_Toc1562"/>
      <w:r>
        <w:t>ترجمه:</w:t>
      </w:r>
      <w:bookmarkEnd w:id="2527"/>
    </w:p>
    <w:p>
      <w:pPr>
        <w:pStyle w:val="BookText"/>
      </w:pPr>
      <w:r>
        <w:rPr>
          <w:rFonts w:ascii="IRNazanin" w:hAnsi="IRNazanin" w:eastAsia="IRNazanin" w:cs="IRNazanin"/>
          <w:lang w:bidi="fa-IR"/>
          <w:color w:val="111111"/>
          <w:sz w:val="28"/>
          <w:szCs w:val="28"/>
          <w:rtl/>
        </w:rPr>
        <w:t xml:space="preserve">بگو: پروردگار آسمانها و زمین کیست؟ بگو: اللَّه است، بگو:</w:t>
      </w:r>
    </w:p>
    <w:p>
      <w:pPr>
        <w:pStyle w:val="BookText"/>
      </w:pPr>
      <w:r>
        <w:rPr>
          <w:rFonts w:ascii="IRNazanin" w:hAnsi="IRNazanin" w:eastAsia="IRNazanin" w:cs="IRNazanin"/>
          <w:lang w:bidi="fa-IR"/>
          <w:color w:val="111111"/>
          <w:sz w:val="28"/>
          <w:szCs w:val="28"/>
          <w:rtl/>
        </w:rPr>
        <w:t xml:space="preserve">پس آیا جز از او برای خود اولیائی گرفتید که برای خود مالک سود و زیانی نیستند؟ بگو: آیا، کور و بینا، یکسانند؟ و آیا تاریکیها و روشنی مساویند؟ یا برای خدا شریکانی قرار دادند که مانند او خلق می‏کنند و خلقتهای آنها بر ایشان مشتبه شده است؟ بگو: خداوند آفریننده همه چیز است و او یگانه و پیروز است. «16»</w:t>
      </w:r>
    </w:p>
    <w:p>
      <w:pPr>
        <w:pStyle w:val="Heading6"/>
      </w:pPr>
      <w:bookmarkStart w:id="2528" w:name="_Toc1563"/>
      <w:r>
        <w:t>تفسیر:</w:t>
      </w:r>
      <w:bookmarkEnd w:id="2528"/>
    </w:p>
    <w:p>
      <w:pPr>
        <w:pStyle w:val="BookText"/>
      </w:pPr>
      <w:r>
        <w:rPr>
          <w:rFonts w:ascii="IRNazanin" w:hAnsi="IRNazanin" w:eastAsia="IRNazanin" w:cs="IRNazanin"/>
          <w:lang w:bidi="fa-IR"/>
          <w:color w:val="111111"/>
          <w:sz w:val="28"/>
          <w:szCs w:val="28"/>
          <w:rtl/>
        </w:rPr>
        <w:t xml:space="preserve">قُلْ مَنْ رَبُّ السَّماواتِ وَ الْأَرْضِ ای محمّد صلّی اللَّه علیه و آله به این کافران بگو: آفریدگار آسمانها و زمین و اداره کننده آنها کیست؟ و آن گاه که از پاسخ گفتن عاجز ماندند و نتوانستند بگویند: بتها این عمل را انجام داده‏اند، به آنها تلقین کن و بگو: خداوند، زیرا، او را نمی‏توانند منکر شوند. «قُلْ أَ فَاتَّخَذْتُمْ مِنْ ...» به آنها بگو: آیا پس از آن که او را پروردگار آسمانها و زمین دانستید، بجز او، اولیایی برای خود گرفتید و بجای آن که این علم و اقرارتان باعث توحیدتان شود، آن را سبب شرک قرار دادید؟</w:t>
      </w:r>
    </w:p>
    <w:p>
      <w:pPr>
        <w:pStyle w:val="BookText"/>
      </w:pPr>
      <w:r>
        <w:rPr>
          <w:rFonts w:ascii="IRNazanin" w:hAnsi="IRNazanin" w:eastAsia="IRNazanin" w:cs="IRNazanin"/>
          <w:lang w:bidi="fa-IR"/>
          <w:color w:val="111111"/>
          <w:sz w:val="28"/>
          <w:szCs w:val="28"/>
          <w:rtl/>
        </w:rPr>
        <w:t xml:space="preserve">لا یَمْلِکُونَ لِأَنْفُسِهِمْ این شرکا، حتی برای خودشان قدرت بر نفع و ضرر ندارند، پس چگونه برای غیر خود چنین توانی داشته باشند، و شما که دیگران را بر خدای خالق رازق، ترجیح داده‏اید چه بسیار در گمراهی آشکاری قرار دارید.</w:t>
      </w:r>
    </w:p>
    <w:p>
      <w:pPr>
        <w:pStyle w:val="BookText"/>
      </w:pPr>
      <w:r>
        <w:rPr>
          <w:rFonts w:ascii="IRNazanin" w:hAnsi="IRNazanin" w:eastAsia="IRNazanin" w:cs="IRNazanin"/>
          <w:lang w:bidi="fa-IR"/>
          <w:color w:val="111111"/>
          <w:sz w:val="28"/>
          <w:szCs w:val="28"/>
          <w:rtl/>
        </w:rPr>
        <w:t xml:space="preserve">أَمْ جَعَلُوا لِلَّهِ شُرَکاءَ تقدیر آن: بل اجعلوا و همزه، استفهام انکاری است و جمله «خلقوا» صفت برای «شرکاء» می‏باشد و منظور این است که کافران شرکایی برای خدا نیافتند که آفریده‏هایی مانند مخلوقات خدا داشته باشند تا امر بر آنها مشتبه شود و بگویند چنان که خدای یکتا قادر بر آفرینش می‏باشد اینها نیز توان آفریدن را دارند. بنا بر این سزاوار پرستش می‏باشند، و به این دلیل آنها را شریک خدا می‏دانیم و چنان که خدا را عبادت می‏کنیم اینها را نیز عبادت می‏کنیم. بلکه این مشرکان شرکای عاجزی را برای خدا گرفته‏اند که بر هیچ چیز قدرت و توانی ندارند. «قُلِ اللَّهُ خالِقُ».</w:t>
      </w:r>
    </w:p>
    <w:p>
      <w:pPr>
        <w:pStyle w:val="BookText"/>
      </w:pPr>
      <w:r>
        <w:rPr>
          <w:rFonts w:ascii="IRNazanin" w:hAnsi="IRNazanin" w:eastAsia="IRNazanin" w:cs="IRNazanin"/>
          <w:lang w:bidi="fa-IR"/>
          <w:color w:val="111111"/>
          <w:sz w:val="28"/>
          <w:szCs w:val="28"/>
          <w:rtl/>
        </w:rPr>
        <w:t xml:space="preserve">پس بگو، اللَّه است که آفریدگار تمام چیزهاست و آفریننده‏ای سوای او نیست پس</w:t>
      </w:r>
    </w:p>
    <w:p>
      <w:pPr>
        <w:pStyle w:val="BookText"/>
      </w:pPr>
      <w:r>
        <w:rPr>
          <w:rFonts w:ascii="IRNazanin" w:hAnsi="IRNazanin" w:eastAsia="IRNazanin" w:cs="IRNazanin"/>
          <w:lang w:bidi="fa-IR"/>
          <w:color w:val="111111"/>
          <w:sz w:val="28"/>
          <w:szCs w:val="28"/>
          <w:rtl/>
        </w:rPr>
        <w:t xml:space="preserve">[شماره صفحه واقعی : 270]
</w:t>
      </w:r>
    </w:p>
    <w:p>
      <w:pPr>
        <w:sectPr>
          <w:footerReference w:type="default" r:id="rId1369"/>
          <w:footnotePr>
            <w:numStart w:val="1"/>
            <w:numRestart w:val="eachPage"/>
          </w:footnotePr>
          <w:pgSz w:orient="portrait" w:w="11905.511811023622" w:h="16837.79527559055"/>
          <w:pgMar w:top="1440" w:right="1440" w:bottom="1440" w:left="1440" w:header="720" w:footer="720" w:gutter="0"/>
          <w:cols w:num="1" w:space="720"/>
        </w:sectPr>
      </w:pPr>
    </w:p>
    <w:bookmarkStart w:id="769" w:name="pg14411_143751"/>
    <w:bookmarkEnd w:id="769"/>
    <w:p>
      <w:pPr>
        <w:pStyle w:val="BookText"/>
      </w:pPr>
      <w:r>
        <w:rPr>
          <w:rFonts w:ascii="IRNazanin" w:hAnsi="IRNazanin" w:eastAsia="IRNazanin" w:cs="IRNazanin"/>
          <w:lang w:bidi="fa-IR"/>
          <w:color w:val="111111"/>
          <w:sz w:val="28"/>
          <w:szCs w:val="28"/>
          <w:rtl/>
        </w:rPr>
        <w:t xml:space="preserve">برای او شریکی در عبادت هم نیست و تنها او یکتای در الوهیت، و غالبی است که هرگز مغلوب نمی‏شود و آنچه غیر از اوست همه مربوب و مغلوب اویند.</w:t>
      </w:r>
    </w:p>
    <w:p>
      <w:pPr>
        <w:pStyle w:val="Heading6"/>
      </w:pPr>
      <w:bookmarkStart w:id="2529" w:name="_Toc1564"/>
      <w:r>
        <w:t>[سوره الرعد «13»: آیات 17 تا 18]</w:t>
      </w:r>
      <w:bookmarkEnd w:id="2529"/>
    </w:p>
    <w:p>
      <w:pPr>
        <w:pStyle w:val="Heading6"/>
      </w:pPr>
      <w:bookmarkStart w:id="2530" w:name="_Toc1565"/>
      <w:r>
        <w:t>اشاره</w:t>
      </w:r>
      <w:bookmarkEnd w:id="2530"/>
    </w:p>
    <w:p>
      <w:pPr>
        <w:pStyle w:val="BookText"/>
      </w:pPr>
      <w:r>
        <w:rPr>
          <w:rFonts w:ascii="Amiri" w:hAnsi="Amiri" w:eastAsia="Amiri" w:cs="Amiri"/>
          <w:lang w:bidi="ar-SA"/>
          <w:color w:val="111111"/>
          <w:sz w:val="28"/>
          <w:szCs w:val="28"/>
          <w:rtl/>
        </w:rPr>
        <w:t xml:space="preserve">أَنْزَلَ مِنَ السَّماءِ ماءً فَسالَتْ أَوْدِیَةٌ بِقَدَرِها فَاحْتَمَلَ السَّیْلُ زَبَداً رابِیاً وَ مِمَّا یُوقِدُونَ عَلَیْهِ فِی النَّارِ ابْتِغاءَ حِلْیَةٍ أَوْ مَتاعٍ زَبَدٌ مِثْلُهُ کَذلِکَ یَضْرِبُ اللَّهُ الْحَقَّ وَ الْباطِلَ فَأَمَّا الزَّبَدُ فَیَذْهَبُ جُفاءً وَ أَمَّا ما یَنْفَعُ النَّاسَ فَیَمْکُثُ فِی الْأَرْضِ کَذلِکَ یَضْرِبُ اللَّهُ الْأَمْثالَ «17» لِلَّذِینَ اسْتَجابُوا لِرَبِّهِمُ الْحُسْنی‏ وَ الَّذِینَ لَمْ یَسْتَجِیبُوا لَهُ لَوْ أَنَّ لَهُمْ ما فِی الْأَرْضِ جَمِیعاً وَ مِثْلَهُ مَعَهُ لافْتَدَوْا بِهِ أُولئِکَ لَهُمْ سُوءُ الْحِسابِ وَ مَأْواهُمْ جَهَنَّمُ وَ بِئْسَ الْمِهادُ «18»</w:t>
      </w:r>
    </w:p>
    <w:p>
      <w:pPr>
        <w:pStyle w:val="Heading6"/>
      </w:pPr>
      <w:bookmarkStart w:id="2531" w:name="_Toc1566"/>
      <w:r>
        <w:t>ترجمه:</w:t>
      </w:r>
      <w:bookmarkEnd w:id="2531"/>
    </w:p>
    <w:p>
      <w:pPr>
        <w:pStyle w:val="BookText"/>
      </w:pPr>
      <w:r>
        <w:rPr>
          <w:rFonts w:ascii="IRNazanin" w:hAnsi="IRNazanin" w:eastAsia="IRNazanin" w:cs="IRNazanin"/>
          <w:lang w:bidi="fa-IR"/>
          <w:color w:val="111111"/>
          <w:sz w:val="28"/>
          <w:szCs w:val="28"/>
          <w:rtl/>
        </w:rPr>
        <w:t xml:space="preserve">(خداوند) از آسمان، آبی فرو فرستاد و رودها به اندازه ظرفیت خود به جریان در آمد و سیلاب بر روی خود کفی ظاهر ساخت، و از آنچه به منظور بدست آوردن زینت یا وسایل زندگی، آتش روی آن، روشن می‏کنند نیز، کفی مثل کف آب ظاهر می‏شود، این چنین خداوند حقّ و باطل را مثل می‏زند، امّا کف به بیرون پرتاب می‏شود، و لکن آنچه به مردم سود می‏رساند در روی زمین می‏ماند خداوند این طور مثالها را می‏آورد. «17»</w:t>
      </w:r>
    </w:p>
    <w:p>
      <w:pPr>
        <w:pStyle w:val="BookText"/>
      </w:pPr>
      <w:r>
        <w:rPr>
          <w:rFonts w:ascii="IRNazanin" w:hAnsi="IRNazanin" w:eastAsia="IRNazanin" w:cs="IRNazanin"/>
          <w:lang w:bidi="fa-IR"/>
          <w:color w:val="111111"/>
          <w:sz w:val="28"/>
          <w:szCs w:val="28"/>
          <w:rtl/>
        </w:rPr>
        <w:t xml:space="preserve">برای کسانی که دعوت خدا را اجابت کنند نیکی است، و آنان که دعوت او را اجابت نکنند، اگر برای آنها همه آنچه روی زمین و مثل آن باشد، همگی را برای رهایی از عذاب می‏دهند. برای آنها حسابی بد است و جایگاهشان دوزخ می‏باشد، و چه بد جایگاهی است. «18»</w:t>
      </w:r>
    </w:p>
    <w:p>
      <w:pPr>
        <w:pStyle w:val="BookText"/>
      </w:pPr>
      <w:r>
        <w:rPr>
          <w:rFonts w:ascii="IRNazanin" w:hAnsi="IRNazanin" w:eastAsia="IRNazanin" w:cs="IRNazanin"/>
          <w:lang w:bidi="fa-IR"/>
          <w:color w:val="111111"/>
          <w:sz w:val="28"/>
          <w:szCs w:val="28"/>
          <w:rtl/>
        </w:rPr>
        <w:t xml:space="preserve">[شماره صفحه واقعی : 271]
</w:t>
      </w:r>
    </w:p>
    <w:p>
      <w:pPr>
        <w:sectPr>
          <w:footerReference w:type="default" r:id="rId1370"/>
          <w:footnotePr>
            <w:numStart w:val="1"/>
            <w:numRestart w:val="eachPage"/>
          </w:footnotePr>
          <w:pgSz w:orient="portrait" w:w="11905.511811023622" w:h="16837.79527559055"/>
          <w:pgMar w:top="1440" w:right="1440" w:bottom="1440" w:left="1440" w:header="720" w:footer="720" w:gutter="0"/>
          <w:cols w:num="1" w:space="720"/>
        </w:sectPr>
      </w:pPr>
    </w:p>
    <w:bookmarkStart w:id="770" w:name="pg14411_143752"/>
    <w:bookmarkEnd w:id="770"/>
    <w:p>
      <w:pPr>
        <w:pStyle w:val="Heading6"/>
      </w:pPr>
      <w:bookmarkStart w:id="2532" w:name="_Toc1567"/>
      <w:r>
        <w:t>تفسیر:</w:t>
      </w:r>
      <w:bookmarkEnd w:id="2532"/>
    </w:p>
    <w:p>
      <w:pPr>
        <w:pStyle w:val="BookText"/>
      </w:pPr>
      <w:r>
        <w:rPr>
          <w:rFonts w:ascii="IRNazanin" w:hAnsi="IRNazanin" w:eastAsia="IRNazanin" w:cs="IRNazanin"/>
          <w:lang w:bidi="fa-IR"/>
          <w:color w:val="111111"/>
          <w:sz w:val="28"/>
          <w:szCs w:val="28"/>
          <w:rtl/>
        </w:rPr>
        <w:t xml:space="preserve">أَنْزَلَ مِنَ السَّماءِ خدای متعال در این آیه برای حقّ و باطل و اهل آن مثلی آورده و حق و اهلش را به آبی تشبیه کرده است که از آسمان فرود می‏آورد، پس نهرها جاری می‏شود و به آن وسیله مردم به حیات خود ادامه می‏دهند و از آن بهره‏های گوناگونی می‏برند.</w:t>
      </w:r>
    </w:p>
    <w:p>
      <w:pPr>
        <w:pStyle w:val="BookText"/>
      </w:pPr>
      <w:r>
        <w:rPr>
          <w:rFonts w:ascii="IRNazanin" w:hAnsi="IRNazanin" w:eastAsia="IRNazanin" w:cs="IRNazanin"/>
          <w:lang w:bidi="fa-IR"/>
          <w:color w:val="111111"/>
          <w:sz w:val="28"/>
          <w:szCs w:val="28"/>
          <w:rtl/>
        </w:rPr>
        <w:t xml:space="preserve">و نیز حق را به فلزّی تشبیه کرده است که مردم از آن به عنوان زینت و ابزار مختلف استفاده می‏کنند و بعد می‏گوید: آنچه برای مردم مفید است آشکارا در زمین باقی می‏ماند، منافع آب ثابت است و آثارش در چشمه‏ها و چاهها پیداست و میوه‏جات و حبوباتی که از آن به دست می‏آید نیز باقی است همچنین زیور آلات که مدتهای طولانی باقی می‏مانند. و باطل را در سرعت اضمحلال و بی‏دوامی و سودمند نبودن تشبیه به کف روی سیلاب کرده که کنار زده می‏شود و نیز به لایه‏های نازک فلز که هنگام ذوب شدن بر روی آن ظاهر می‏گردد.</w:t>
      </w:r>
    </w:p>
    <w:p>
      <w:pPr>
        <w:pStyle w:val="BookText"/>
      </w:pPr>
      <w:r>
        <w:rPr>
          <w:rFonts w:ascii="IRNazanin" w:hAnsi="IRNazanin" w:eastAsia="IRNazanin" w:cs="IRNazanin"/>
          <w:lang w:bidi="fa-IR"/>
          <w:color w:val="111111"/>
          <w:sz w:val="28"/>
          <w:szCs w:val="28"/>
          <w:rtl/>
        </w:rPr>
        <w:t xml:space="preserve">«بِقَدَرِها» (رودها) به اندازه ظرفیتشان که خدا می‏داند مفید و بی‏ضرر است، (آب می‏گیرند). عبارت: ابتغاء حلیة، همان فایده‏ای است که در کلمه «بقدرها» وجود دارد، زیرا خداوند در جمله «وَ أَمَّا ما یَنْفَعُ النَّاسَ فَیَمْکُثُ فِی الْأَرْضِ» میان آب و فلز در سودمندی جمع کرده و سپس دلیل سودمندی فلز را که آتش بر آن افروخته و ذوب می‏شود این دانسته است که از آن زیور آلات و لوازم دیگر زندگی را به دست می‏آورند.</w:t>
      </w:r>
    </w:p>
    <w:p>
      <w:pPr>
        <w:pStyle w:val="BookText"/>
      </w:pPr>
      <w:r>
        <w:rPr>
          <w:rFonts w:ascii="IRNazanin" w:hAnsi="IRNazanin" w:eastAsia="IRNazanin" w:cs="IRNazanin"/>
          <w:lang w:bidi="fa-IR"/>
          <w:color w:val="111111"/>
          <w:sz w:val="28"/>
          <w:szCs w:val="28"/>
          <w:rtl/>
        </w:rPr>
        <w:t xml:space="preserve">وَ مِمَّا یُوقِدُونَ عَلَیْهِ فِی النَّارِ ابْتِغاءَ حِلْیَةٍ أَوْ مَتاعٍ این جمله عبارتی است جامع انواع فلزّات که خداوند متعال به دلیل بی‏اعتنایی به فلزّات (متاع دنیا) و ابراز عظمت و کبریایی خود از نام بردن آن خودداری کرده و فرموده: از چیزهایی که آتش بر آن می‏افروزند، هم چنان که به جای نام بردن از آجر چنین آمده است: فَأَوْقِدْ لِی یا هامانُ عَلَی الطِّینِ «ای هامان برای من آتشی بر گل بیفروز» (قصص/ 38).</w:t>
      </w:r>
    </w:p>
    <w:p>
      <w:pPr>
        <w:pStyle w:val="BookText"/>
      </w:pPr>
      <w:r>
        <w:rPr>
          <w:rFonts w:ascii="IRNazanin" w:hAnsi="IRNazanin" w:eastAsia="IRNazanin" w:cs="IRNazanin"/>
          <w:lang w:bidi="fa-IR"/>
          <w:color w:val="111111"/>
          <w:sz w:val="28"/>
          <w:szCs w:val="28"/>
          <w:rtl/>
        </w:rPr>
        <w:t xml:space="preserve">[شماره صفحه واقعی : 272]
</w:t>
      </w:r>
    </w:p>
    <w:p>
      <w:pPr>
        <w:sectPr>
          <w:footerReference w:type="default" r:id="rId1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حرف: «من» در جمله وَ مِمَّا یُوقِدُونَ، برای ابتدای غایت است یعنی از آتش افروختن بر فلز، موادّ کدر سوخته، مانند کف بر روی آب به وجود می‏آید. و یا برای تبعیض می‏باشد، یعنی بعضی از آن مثل کف روی آب است.</w:t>
      </w:r>
    </w:p>
    <w:p>
      <w:pPr>
        <w:pStyle w:val="BookText"/>
      </w:pPr>
      <w:r>
        <w:rPr>
          <w:rFonts w:ascii="IRNazanin" w:hAnsi="IRNazanin" w:eastAsia="IRNazanin" w:cs="IRNazanin"/>
          <w:lang w:bidi="fa-IR"/>
          <w:color w:val="111111"/>
          <w:sz w:val="28"/>
          <w:szCs w:val="28"/>
          <w:rtl/>
        </w:rPr>
        <w:t xml:space="preserve">«رابی»: از ربو به معنای بلندی، و منظور حبابهایی است که بر روی آب قرار دارد.</w:t>
      </w:r>
    </w:p>
    <w:p>
      <w:pPr>
        <w:pStyle w:val="BookText"/>
      </w:pPr>
      <w:r>
        <w:rPr>
          <w:rFonts w:ascii="IRNazanin" w:hAnsi="IRNazanin" w:eastAsia="IRNazanin" w:cs="IRNazanin"/>
          <w:lang w:bidi="fa-IR"/>
          <w:color w:val="111111"/>
          <w:sz w:val="28"/>
          <w:szCs w:val="28"/>
          <w:rtl/>
        </w:rPr>
        <w:t xml:space="preserve">«جفاء»: پراکنده، جفأه السّیل، یعنی سیلاب او را پرت کرد و جفأت القدر بزبدها:</w:t>
      </w:r>
    </w:p>
    <w:p>
      <w:pPr>
        <w:pStyle w:val="BookText"/>
      </w:pPr>
      <w:r>
        <w:rPr>
          <w:rFonts w:ascii="IRNazanin" w:hAnsi="IRNazanin" w:eastAsia="IRNazanin" w:cs="IRNazanin"/>
          <w:lang w:bidi="fa-IR"/>
          <w:color w:val="111111"/>
          <w:sz w:val="28"/>
          <w:szCs w:val="28"/>
          <w:rtl/>
        </w:rPr>
        <w:t xml:space="preserve">وقتی است که ظرف آب در حال جوشش کف آب را به اطراف پرت می‏کند.</w:t>
      </w:r>
    </w:p>
    <w:p>
      <w:pPr>
        <w:pStyle w:val="BookText"/>
      </w:pPr>
      <w:r>
        <w:rPr>
          <w:rFonts w:ascii="IRNazanin" w:hAnsi="IRNazanin" w:eastAsia="IRNazanin" w:cs="IRNazanin"/>
          <w:lang w:bidi="fa-IR"/>
          <w:color w:val="111111"/>
          <w:sz w:val="28"/>
          <w:szCs w:val="28"/>
          <w:rtl/>
        </w:rPr>
        <w:t xml:space="preserve">فعل «یوقدون» با «یا» و «تا» هر دو قرائت شده (مردم یا شما، آتش بر آن می‏افروزید).</w:t>
      </w:r>
    </w:p>
    <w:p>
      <w:pPr>
        <w:pStyle w:val="BookText"/>
      </w:pPr>
      <w:r>
        <w:rPr>
          <w:rFonts w:ascii="IRNazanin" w:hAnsi="IRNazanin" w:eastAsia="IRNazanin" w:cs="IRNazanin"/>
          <w:lang w:bidi="fa-IR"/>
          <w:color w:val="111111"/>
          <w:sz w:val="28"/>
          <w:szCs w:val="28"/>
          <w:rtl/>
        </w:rPr>
        <w:t xml:space="preserve">لِلَّذِینَ اسْتَجابُوا ... «لام» متعلّق به «یضرب» است یعنی این چنین، خداوند مثالها می‏زند، هم برای کسانی که به ندای خدا پاسخ مثبت داده‏اند و آنها مؤمنانند، و هم برای کسانی که دعوت او را اجابت نکردند و آنها کافرانند و دو مثال برای دو گروه ذکر شده است و «حسنی» صفت برای مصدر استجابوا است و تقدیر آن استجابوا الاستجابة الحسنی است.</w:t>
      </w:r>
    </w:p>
    <w:p>
      <w:pPr>
        <w:pStyle w:val="BookText"/>
      </w:pPr>
      <w:r>
        <w:rPr>
          <w:rFonts w:ascii="IRNazanin" w:hAnsi="IRNazanin" w:eastAsia="IRNazanin" w:cs="IRNazanin"/>
          <w:lang w:bidi="fa-IR"/>
          <w:color w:val="111111"/>
          <w:sz w:val="28"/>
          <w:szCs w:val="28"/>
          <w:rtl/>
        </w:rPr>
        <w:t xml:space="preserve">لَوْ أَنَّ لَهُمْ این جمله آغاز سخنی در مورد کیفری است که برای غیر اجابت کنندگان آماده کرده است، و برخی گفته‏اند: با جمله «کَذلِکَ یَضْرِبُ اللَّهُ الْأَمْثالَ» سخن تمام است و قسمت بعد، جمله مستأنفه است به این طریق که «الحسنی» مبتدا، و «لِلَّذِینَ اسْتَجابُوا» خبر آن و معنای آیه این است: برای آنان که امر پروردگارشان را اجابت می‏کنند پاداش نیکوست که همان بهشت می‏باشد، «وَ الَّذِینَ لَمْ یَسْتَجِیبُوا» مبتدا، و خبر آن، «لو» و ما بعد آن می‏باشد. مراد از سوء الحساب، دقّت و مناقشه در حساب است ولی نخعی می‏گوید: مراد آن است که تمام گناهان آنها به حساب می‏آید، به طوری که هیچ چیز از آن آمرزیده نشود. از امام صادق علیه السّلام روایت شده که فرمود: منظور این است که کار نیکی از آنان پذیرفته نمی‏گردد و گناهی بخشوده نمی‏شود.</w:t>
      </w:r>
    </w:p>
    <w:p>
      <w:pPr>
        <w:pStyle w:val="BookText"/>
      </w:pPr>
      <w:r>
        <w:rPr>
          <w:rFonts w:ascii="IRNazanin" w:hAnsi="IRNazanin" w:eastAsia="IRNazanin" w:cs="IRNazanin"/>
          <w:lang w:bidi="fa-IR"/>
          <w:color w:val="111111"/>
          <w:sz w:val="28"/>
          <w:szCs w:val="28"/>
          <w:rtl/>
        </w:rPr>
        <w:t xml:space="preserve">[شماره صفحه واقعی : 273]
</w:t>
      </w:r>
    </w:p>
    <w:p>
      <w:pPr>
        <w:sectPr>
          <w:footerReference w:type="default" r:id="rId1372"/>
          <w:footnotePr>
            <w:numStart w:val="1"/>
            <w:numRestart w:val="eachPage"/>
          </w:footnotePr>
          <w:pgSz w:orient="portrait" w:w="11905.511811023622" w:h="16837.79527559055"/>
          <w:pgMar w:top="1440" w:right="1440" w:bottom="1440" w:left="1440" w:header="720" w:footer="720" w:gutter="0"/>
          <w:cols w:num="1" w:space="720"/>
        </w:sectPr>
      </w:pPr>
    </w:p>
    <w:bookmarkStart w:id="771" w:name="pg14411_143754"/>
    <w:bookmarkEnd w:id="771"/>
    <w:p>
      <w:pPr>
        <w:pStyle w:val="Heading6"/>
      </w:pPr>
      <w:bookmarkStart w:id="2533" w:name="_Toc1568"/>
      <w:r>
        <w:t>[سوره الرعد «13»: آیات 19 تا 24]</w:t>
      </w:r>
      <w:bookmarkEnd w:id="2533"/>
    </w:p>
    <w:p>
      <w:pPr>
        <w:pStyle w:val="Heading6"/>
      </w:pPr>
      <w:bookmarkStart w:id="2534" w:name="_Toc1569"/>
      <w:r>
        <w:t>اشاره</w:t>
      </w:r>
      <w:bookmarkEnd w:id="2534"/>
    </w:p>
    <w:p>
      <w:pPr>
        <w:pStyle w:val="BookText"/>
      </w:pPr>
      <w:r>
        <w:rPr>
          <w:rFonts w:ascii="Amiri" w:hAnsi="Amiri" w:eastAsia="Amiri" w:cs="Amiri"/>
          <w:lang w:bidi="ar-SA"/>
          <w:color w:val="111111"/>
          <w:sz w:val="28"/>
          <w:szCs w:val="28"/>
          <w:rtl/>
        </w:rPr>
        <w:t xml:space="preserve">أَ فَمَنْ یَعْلَمُ أَنَّما أُنْزِلَ إِلَیْکَ مِنْ رَبِّکَ الْحَقُّ کَمَنْ هُوَ أَعْمی‏ إِنَّما یَتَذَکَّرُ أُولُوا الْأَلْبابِ «19» الَّذِینَ یُوفُونَ بِعَهْدِ اللَّهِ وَ لا یَنْقُضُونَ الْمِیثاقَ «20» وَ الَّذِینَ یَصِلُونَ ما أَمَرَ اللَّهُ بِهِ أَنْ یُوصَلَ وَ یَخْشَوْنَ رَبَّهُمْ وَ یَخافُونَ سُوءَ الْحِسابِ «21» وَ الَّذِینَ صَبَرُوا ابْتِغاءَ وَجْهِ رَبِّهِمْ وَ أَقامُوا الصَّلاةَ وَ أَنْفَقُوا مِمَّا رَزَقْناهُمْ سِرًّا وَ عَلانِیَةً وَ یَدْرَؤُنَ بِالْحَسَنَةِ السَّیِّئَةَ أُولئِکَ لَهُمْ عُقْبَی الدَّارِ «22» جَنَّاتُ عَدْنٍ یَدْخُلُونَها وَ مَنْ صَلَحَ مِنْ آبائِهِمْ وَ أَزْواجِهِمْ وَ ذُرِّیَّاتِهِمْ وَ الْمَلائِکَةُ یَدْخُلُونَ عَلَیْهِمْ مِنْ کُلِّ بابٍ «23»</w:t>
      </w:r>
    </w:p>
    <w:p>
      <w:pPr>
        <w:pStyle w:val="BookText"/>
      </w:pPr>
      <w:r>
        <w:rPr>
          <w:rFonts w:ascii="Amiri" w:hAnsi="Amiri" w:eastAsia="Amiri" w:cs="Amiri"/>
          <w:lang w:bidi="ar-SA"/>
          <w:color w:val="111111"/>
          <w:sz w:val="28"/>
          <w:szCs w:val="28"/>
          <w:rtl/>
        </w:rPr>
        <w:t xml:space="preserve">سَلامٌ عَلَیْکُمْ بِما صَبَرْتُمْ فَنِعْمَ عُقْبَی الدَّارِ «24»</w:t>
      </w:r>
    </w:p>
    <w:p>
      <w:pPr>
        <w:pStyle w:val="Heading6"/>
      </w:pPr>
      <w:bookmarkStart w:id="2535" w:name="_Toc1570"/>
      <w:r>
        <w:t>ترجمه:</w:t>
      </w:r>
      <w:bookmarkEnd w:id="2535"/>
    </w:p>
    <w:p>
      <w:pPr>
        <w:pStyle w:val="BookText"/>
      </w:pPr>
      <w:r>
        <w:rPr>
          <w:rFonts w:ascii="IRNazanin" w:hAnsi="IRNazanin" w:eastAsia="IRNazanin" w:cs="IRNazanin"/>
          <w:lang w:bidi="fa-IR"/>
          <w:color w:val="111111"/>
          <w:sz w:val="28"/>
          <w:szCs w:val="28"/>
          <w:rtl/>
        </w:rPr>
        <w:t xml:space="preserve">آیا کسی که می‏داند: آنچه از پروردگارت بر تو نازل شده، حق است، مانند شخص نابیناست؟ تنها، صاحبان اندیشه به یاد می‏افتند.</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آنها که به عهد الهی وفا دارند و پیمان شکنی نمی‏کنند. «20»</w:t>
      </w:r>
    </w:p>
    <w:p>
      <w:pPr>
        <w:pStyle w:val="BookText"/>
      </w:pPr>
      <w:r>
        <w:rPr>
          <w:rFonts w:ascii="IRNazanin" w:hAnsi="IRNazanin" w:eastAsia="IRNazanin" w:cs="IRNazanin"/>
          <w:lang w:bidi="fa-IR"/>
          <w:color w:val="111111"/>
          <w:sz w:val="28"/>
          <w:szCs w:val="28"/>
          <w:rtl/>
        </w:rPr>
        <w:t xml:space="preserve">و آنها که آنچه را خدا به پیوستن آن فرمان داده، پیوسته دارند، و از پروردگارشان بترسند و از سختی حساب بیم دارند. «21»</w:t>
      </w:r>
    </w:p>
    <w:p>
      <w:pPr>
        <w:pStyle w:val="BookText"/>
      </w:pPr>
      <w:r>
        <w:rPr>
          <w:rFonts w:ascii="IRNazanin" w:hAnsi="IRNazanin" w:eastAsia="IRNazanin" w:cs="IRNazanin"/>
          <w:lang w:bidi="fa-IR"/>
          <w:color w:val="111111"/>
          <w:sz w:val="28"/>
          <w:szCs w:val="28"/>
          <w:rtl/>
        </w:rPr>
        <w:t xml:space="preserve">و آنها که به خاطر رضای پروردگارشان صبر می‏کنند، و نماز را بپا می‏دارند، و از آنچه به آنان روزی داده‏ایم، در نهان و آشکار انفاق می‏کنند. و با انجام کارهای نیک بدیها را از میان می‏برند، اینها هستند که پایان نیک سرای دیگر از آن ایشان است. «22»</w:t>
      </w:r>
    </w:p>
    <w:p>
      <w:pPr>
        <w:pStyle w:val="BookText"/>
      </w:pPr>
      <w:r>
        <w:rPr>
          <w:rFonts w:ascii="IRNazanin" w:hAnsi="IRNazanin" w:eastAsia="IRNazanin" w:cs="IRNazanin"/>
          <w:lang w:bidi="fa-IR"/>
          <w:color w:val="111111"/>
          <w:sz w:val="28"/>
          <w:szCs w:val="28"/>
          <w:rtl/>
        </w:rPr>
        <w:t xml:space="preserve">باغهای جاودان بهشت که خودشان با هر که شایسته باشد، از پدران و فرزندان و همسرانشان وارد شوند، و فرشتگان از هر دری بر آنان داخل می‏شوند. «23»</w:t>
      </w:r>
    </w:p>
    <w:p>
      <w:pPr>
        <w:pStyle w:val="BookText"/>
      </w:pPr>
      <w:r>
        <w:rPr>
          <w:rFonts w:ascii="IRNazanin" w:hAnsi="IRNazanin" w:eastAsia="IRNazanin" w:cs="IRNazanin"/>
          <w:lang w:bidi="fa-IR"/>
          <w:color w:val="111111"/>
          <w:sz w:val="28"/>
          <w:szCs w:val="28"/>
          <w:rtl/>
        </w:rPr>
        <w:t xml:space="preserve">درود بر شما، به خاطر شکیبایی و پایداریتان، و چه نیکوست سرانجام آن سرای. «24»</w:t>
      </w:r>
    </w:p>
    <w:p>
      <w:pPr>
        <w:pStyle w:val="Heading6"/>
      </w:pPr>
      <w:bookmarkStart w:id="2536" w:name="_Toc1571"/>
      <w:r>
        <w:t>تفسیر:</w:t>
      </w:r>
      <w:bookmarkEnd w:id="2536"/>
    </w:p>
    <w:p>
      <w:pPr>
        <w:pStyle w:val="BookText"/>
      </w:pPr>
      <w:r>
        <w:rPr>
          <w:rFonts w:ascii="Amiri" w:hAnsi="Amiri" w:eastAsia="Amiri" w:cs="Amiri"/>
          <w:lang w:bidi="ar-SA"/>
          <w:color w:val="111111"/>
          <w:sz w:val="28"/>
          <w:szCs w:val="28"/>
          <w:rtl/>
        </w:rPr>
        <w:t xml:space="preserve">أَ فَمَنْ یَعْلَمُ ... همزه استفهام انکاری، بر فاء داخل شده است تا خاطر نشان کند که</w:t>
      </w:r>
    </w:p>
    <w:p>
      <w:pPr>
        <w:pStyle w:val="BookText"/>
      </w:pPr>
      <w:r>
        <w:rPr>
          <w:rFonts w:ascii="IRNazanin" w:hAnsi="IRNazanin" w:eastAsia="IRNazanin" w:cs="IRNazanin"/>
          <w:lang w:bidi="fa-IR"/>
          <w:color w:val="111111"/>
          <w:sz w:val="28"/>
          <w:szCs w:val="28"/>
          <w:rtl/>
        </w:rPr>
        <w:t xml:space="preserve">[شماره صفحه واقعی : 274]
</w:t>
      </w:r>
    </w:p>
    <w:p>
      <w:pPr>
        <w:sectPr>
          <w:footerReference w:type="default" r:id="rId1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از مثال ذکر شده، تردیدی باقی نمی‏ماند که حالت مردمی که می‏دانند آنچه از پروردگار بر تو نازل شده، حقّ است و آن را پذیرفته‏اند، بر خلاف شخص نادانی است که بصیرت پیدا نکرده، تا حق را اجابت کند، و تفاوت میان این دو گروه همانند اختلاف میان آب و کف، و زر ناب و غیر ناب است.</w:t>
      </w:r>
    </w:p>
    <w:p>
      <w:pPr>
        <w:pStyle w:val="BookText"/>
      </w:pPr>
      <w:r>
        <w:rPr>
          <w:rFonts w:ascii="IRNazanin" w:hAnsi="IRNazanin" w:eastAsia="IRNazanin" w:cs="IRNazanin"/>
          <w:lang w:bidi="fa-IR"/>
          <w:color w:val="111111"/>
          <w:sz w:val="28"/>
          <w:szCs w:val="28"/>
          <w:rtl/>
        </w:rPr>
        <w:t xml:space="preserve">إِنَّما یَتَذَکَّرُ أُولُوا الْأَلْبابِ تنها خردمندان هستند که به مقتضای عقلشان عمل می‏کنند، می‏اندیشند و بصیرت پیدا می‏کنند.</w:t>
      </w:r>
    </w:p>
    <w:p>
      <w:pPr>
        <w:pStyle w:val="BookText"/>
      </w:pPr>
      <w:r>
        <w:rPr>
          <w:rFonts w:ascii="IRNazanin" w:hAnsi="IRNazanin" w:eastAsia="IRNazanin" w:cs="IRNazanin"/>
          <w:lang w:bidi="fa-IR"/>
          <w:color w:val="111111"/>
          <w:sz w:val="28"/>
          <w:szCs w:val="28"/>
          <w:rtl/>
        </w:rPr>
        <w:t xml:space="preserve">الَّذِینَ یُوفُونَ مبتدا و خبر آن، اولئک لهم عقبی الدّار می‏باشد و جایز است که صفت برای اولو الالباب باشد امّا وجه اول بهتر است.</w:t>
      </w:r>
    </w:p>
    <w:p>
      <w:pPr>
        <w:pStyle w:val="BookText"/>
      </w:pPr>
      <w:r>
        <w:rPr>
          <w:rFonts w:ascii="IRNazanin" w:hAnsi="IRNazanin" w:eastAsia="IRNazanin" w:cs="IRNazanin"/>
          <w:lang w:bidi="fa-IR"/>
          <w:color w:val="111111"/>
          <w:sz w:val="28"/>
          <w:szCs w:val="28"/>
          <w:rtl/>
        </w:rPr>
        <w:t xml:space="preserve">ما أَمَرَ اللَّهُ بِهِ أَنْ یُوصَلَ آنچه خدا دستور پیوند آن را داده: مراد خویشان و نزدیکان هستند و این امر شامل نزدیکان رسول خدا و خویشان هر مؤمنی می‏شود که قرابتشان به سبب ایمان ثابت شده است و پیوند خویشاوندی به این طریق است که انسان به اندازه وسع و طاقت خود به خویشاوندان احسان و آنها را یاری و از آنها دفاع و نسبت به ایشان نصیحت و خیر خواهی کند و از بیمارانشان عیادت کند و برای تشییع جنازه مردگان آنها حاضر شود. رعایت حقّ خدمتگزاران و همسایگان و رفیقان همسفر نیز از اموری است که مشمول این آیه می‏شود.</w:t>
      </w:r>
    </w:p>
    <w:p>
      <w:pPr>
        <w:pStyle w:val="BookText"/>
      </w:pPr>
      <w:r>
        <w:rPr>
          <w:rFonts w:ascii="IRNazanin" w:hAnsi="IRNazanin" w:eastAsia="IRNazanin" w:cs="IRNazanin"/>
          <w:lang w:bidi="fa-IR"/>
          <w:color w:val="111111"/>
          <w:sz w:val="28"/>
          <w:szCs w:val="28"/>
          <w:rtl/>
        </w:rPr>
        <w:t xml:space="preserve">وَ یَخْشَوْنَ رَبَّهُمْ از تمام تهدیدهای خداوند می‏ترسند، بویژه از دقت محاسبه قیامت بیم دارند و به این دلیل پیش از آن که در معرض محاسبه قرار گیرند، به حساب خود می‏رسند.</w:t>
      </w:r>
    </w:p>
    <w:p>
      <w:pPr>
        <w:pStyle w:val="BookText"/>
      </w:pPr>
      <w:r>
        <w:rPr>
          <w:rFonts w:ascii="IRNazanin" w:hAnsi="IRNazanin" w:eastAsia="IRNazanin" w:cs="IRNazanin"/>
          <w:lang w:bidi="fa-IR"/>
          <w:color w:val="111111"/>
          <w:sz w:val="28"/>
          <w:szCs w:val="28"/>
          <w:rtl/>
        </w:rPr>
        <w:t xml:space="preserve">وَ الَّذِینَ صَبَرُوا ... آنان که بر اجرای فرمانهای الهی صبر پیشه کنند و زحمت تکالیف را بر خود هموار سازند و در برابر ناگواریها که بر نفوس و اموالشان وارد می‏شود مقاوم باشند و از ارتکاب گناهان خودداری کنند.</w:t>
      </w:r>
    </w:p>
    <w:p>
      <w:pPr>
        <w:pStyle w:val="BookText"/>
      </w:pPr>
      <w:r>
        <w:rPr>
          <w:rFonts w:ascii="IRNazanin" w:hAnsi="IRNazanin" w:eastAsia="IRNazanin" w:cs="IRNazanin"/>
          <w:lang w:bidi="fa-IR"/>
          <w:color w:val="111111"/>
          <w:sz w:val="28"/>
          <w:szCs w:val="28"/>
          <w:rtl/>
        </w:rPr>
        <w:t xml:space="preserve">ابْتِغاءَ وَجْهِ رَبِّهِمْ در این امور و مراحل هدفشان، خواست رضای خدا باشد نه، اغراض دنیوی مثل این که مردم بگویند: چقدر فلانی صابر و بزرگوار است و یا</w:t>
      </w:r>
    </w:p>
    <w:p>
      <w:pPr>
        <w:pStyle w:val="BookText"/>
      </w:pPr>
      <w:r>
        <w:rPr>
          <w:rFonts w:ascii="IRNazanin" w:hAnsi="IRNazanin" w:eastAsia="IRNazanin" w:cs="IRNazanin"/>
          <w:lang w:bidi="fa-IR"/>
          <w:color w:val="111111"/>
          <w:sz w:val="28"/>
          <w:szCs w:val="28"/>
          <w:rtl/>
        </w:rPr>
        <w:t xml:space="preserve">[شماره صفحه واقعی : 275]
</w:t>
      </w:r>
    </w:p>
    <w:p>
      <w:pPr>
        <w:sectPr>
          <w:footerReference w:type="default" r:id="rId1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این که مورد شماتت دشمنان قرار نگیرد، چنان که شاعر می‏گوید: صبر من برای شماتت کنندگان است که به آنها بنمایانم که در برابر حوادث روزگار متزلزل نمی‏شوم و از پا در نمی‏آیم. </w:t>
      </w:r>
      <w:r>
        <w:rPr>
          <w:rStyle w:val="FootnoteReference"/>
        </w:rPr>
        <w:footnoteReference w:id="4532"/>
      </w:r>
    </w:p>
    <w:p>
      <w:pPr>
        <w:pStyle w:val="BookText"/>
      </w:pPr>
      <w:r>
        <w:rPr>
          <w:rFonts w:ascii="IRNazanin" w:hAnsi="IRNazanin" w:eastAsia="IRNazanin" w:cs="IRNazanin"/>
          <w:lang w:bidi="fa-IR"/>
          <w:color w:val="111111"/>
          <w:sz w:val="28"/>
          <w:szCs w:val="28"/>
          <w:rtl/>
        </w:rPr>
        <w:t xml:space="preserve">وَ أَنْفَقُوا مِمَّا رَزَقْناهُمْ ... از آنچه آنها را روزی کرده‏ایم انفاق می‏کنند که منظور روزی حلال است، زیرا حرام، رزق به حساب نمی‏آید و به خدا هم نسبت داده نمی‏شود. «سِرًّا وَ عَلانِیَةً» نهان و آشکارا، تقدیم قید اوّل ناظر به انفاق مستحبّ است که فضیلت در پنهان بودن آن است امّا انفاقهای واجب بهتر است که آشکار باشد تا گمان به ترک واجب منتفی شود.</w:t>
      </w:r>
    </w:p>
    <w:p>
      <w:pPr>
        <w:pStyle w:val="BookText"/>
      </w:pPr>
      <w:r>
        <w:rPr>
          <w:rFonts w:ascii="IRNazanin" w:hAnsi="IRNazanin" w:eastAsia="IRNazanin" w:cs="IRNazanin"/>
          <w:lang w:bidi="fa-IR"/>
          <w:color w:val="111111"/>
          <w:sz w:val="28"/>
          <w:szCs w:val="28"/>
          <w:rtl/>
        </w:rPr>
        <w:t xml:space="preserve">وَ یَدْرَؤُنَ بِالْحَسَنَةِ السَّیِّئَةَ با انجام دادن کارهای نیک بدیها را می‏زدایند، چنان که در حدیث وارد شده است: بعد از هر گناه حسنه‏ای انجام ده تا آن را محو سازد. </w:t>
      </w:r>
      <w:r>
        <w:rPr>
          <w:rStyle w:val="FootnoteReference"/>
        </w:rPr>
        <w:footnoteReference w:id="4533"/>
      </w:r>
      <w:r>
        <w:rPr>
          <w:rFonts w:ascii="IRNazanin" w:hAnsi="IRNazanin" w:eastAsia="IRNazanin" w:cs="IRNazanin"/>
          <w:lang w:bidi="fa-IR"/>
          <w:color w:val="111111"/>
          <w:sz w:val="28"/>
          <w:szCs w:val="28"/>
          <w:rtl/>
        </w:rPr>
        <w:t xml:space="preserve">ابن عبّاس می‏گوید معنای آیه این است: با سخنان نیکو حرفهای بد دیگران را ردّ می‏کنند. از حسن بصری نقل شده است که وقتی دیگران آنان را محروم کنند آنها عطا کنند و اگر مورد ستم واقع شوند عفو و گذشت کنند و اگر با آنها قطع رابطه شود به پیوندند.</w:t>
      </w:r>
    </w:p>
    <w:p>
      <w:pPr>
        <w:pStyle w:val="BookText"/>
      </w:pPr>
      <w:r>
        <w:rPr>
          <w:rFonts w:ascii="IRNazanin" w:hAnsi="IRNazanin" w:eastAsia="IRNazanin" w:cs="IRNazanin"/>
          <w:lang w:bidi="fa-IR"/>
          <w:color w:val="111111"/>
          <w:sz w:val="28"/>
          <w:szCs w:val="28"/>
          <w:rtl/>
        </w:rPr>
        <w:t xml:space="preserve">أُولئِکَ لَهُمْ عُقْبَی الدَّارِ پاداش آنان بهشت است زیرا بهشت سرایی است که خدا اراده کرده تا فرجام دنیا و محل بازگشت اهلش باشد «جَنَّاتُ عَدْنٍ» بدل از «عُقْبَی الدَّارِ» است. «آباء» جمع آب است و مقصود پدر و مادر هر یک از آنها، و گویا چنین گفته «من آبائهم و امّهاتهم». خداوند سبحان بخشی از پاداش بنده مطیعش را، خوشحالی او، به دیدن بستگان و خانواده و ذریّه‏اش و ملحق ساختن آنها را به وی در بهشت قرار داده است.</w:t>
      </w:r>
    </w:p>
    <w:p>
      <w:pPr>
        <w:pStyle w:val="BookText"/>
      </w:pPr>
      <w:r>
        <w:rPr>
          <w:rFonts w:ascii="IRNazanin" w:hAnsi="IRNazanin" w:eastAsia="IRNazanin" w:cs="IRNazanin"/>
          <w:lang w:bidi="fa-IR"/>
          <w:color w:val="111111"/>
          <w:sz w:val="28"/>
          <w:szCs w:val="28"/>
          <w:rtl/>
        </w:rPr>
        <w:t xml:space="preserve">[شماره صفحه واقعی : 276]
</w:t>
      </w:r>
    </w:p>
    <w:p>
      <w:pPr>
        <w:sectPr>
          <w:footerReference w:type="default" r:id="rId1375"/>
          <w:footnotePr>
            <w:numStart w:val="1"/>
            <w:numRestart w:val="eachPage"/>
          </w:footnotePr>
          <w:pgSz w:orient="portrait" w:w="11905.511811023622" w:h="16837.79527559055"/>
          <w:pgMar w:top="1440" w:right="1440" w:bottom="1440" w:left="1440" w:header="720" w:footer="720" w:gutter="0"/>
          <w:cols w:num="1" w:space="720"/>
        </w:sectPr>
      </w:pPr>
    </w:p>
    <w:bookmarkStart w:id="772" w:name="pg14411_143757"/>
    <w:bookmarkEnd w:id="772"/>
    <w:p>
      <w:pPr>
        <w:pStyle w:val="BookText"/>
      </w:pPr>
      <w:r>
        <w:rPr>
          <w:rFonts w:ascii="IRNazanin" w:hAnsi="IRNazanin" w:eastAsia="IRNazanin" w:cs="IRNazanin"/>
          <w:lang w:bidi="fa-IR"/>
          <w:color w:val="111111"/>
          <w:sz w:val="28"/>
          <w:szCs w:val="28"/>
          <w:rtl/>
        </w:rPr>
        <w:t xml:space="preserve">وَ الْمَلائِکَةُ یَدْخُلُونَ عَلَیْهِمْ مِنْ کُلِّ بابٍ فرشتگان از هر یک از درهای قصورشان بر آنها وارد می‏شوند.</w:t>
      </w:r>
    </w:p>
    <w:p>
      <w:pPr>
        <w:pStyle w:val="BookText"/>
      </w:pPr>
      <w:r>
        <w:rPr>
          <w:rFonts w:ascii="IRNazanin" w:hAnsi="IRNazanin" w:eastAsia="IRNazanin" w:cs="IRNazanin"/>
          <w:lang w:bidi="fa-IR"/>
          <w:color w:val="111111"/>
          <w:sz w:val="28"/>
          <w:szCs w:val="28"/>
          <w:rtl/>
        </w:rPr>
        <w:t xml:space="preserve">«سَلامٌ عَلَیْکُمْ» در موضع حال است، یعنی قائلین سلام علیکم، یا مسلمین، در حالی که می‏گویند سلام بر شما. یا در حالی که سلام می‏کنند.</w:t>
      </w:r>
    </w:p>
    <w:p>
      <w:pPr>
        <w:pStyle w:val="BookText"/>
      </w:pPr>
      <w:r>
        <w:rPr>
          <w:rFonts w:ascii="IRNazanin" w:hAnsi="IRNazanin" w:eastAsia="IRNazanin" w:cs="IRNazanin"/>
          <w:lang w:bidi="fa-IR"/>
          <w:color w:val="111111"/>
          <w:sz w:val="28"/>
          <w:szCs w:val="28"/>
          <w:rtl/>
        </w:rPr>
        <w:t xml:space="preserve">بِما صَبَرْتُمْ متعلّق به محذوف است، و تقدیرش: «هذا بما صبرتم» یعنی این ثواب به سبب صبر شماست یا عوض سختیهای صبری است که تحمّل کرده‏اید.</w:t>
      </w:r>
    </w:p>
    <w:p>
      <w:pPr>
        <w:pStyle w:val="BookText"/>
      </w:pPr>
      <w:r>
        <w:rPr>
          <w:rFonts w:ascii="IRNazanin" w:hAnsi="IRNazanin" w:eastAsia="IRNazanin" w:cs="IRNazanin"/>
          <w:lang w:bidi="fa-IR"/>
          <w:color w:val="111111"/>
          <w:sz w:val="28"/>
          <w:szCs w:val="28"/>
          <w:rtl/>
        </w:rPr>
        <w:t xml:space="preserve">مراد آن است که اگر در دنیا سختی کشیدید، اکنون در آسایش می‏باشید، و جایز است که متعلّق به «سلام» باشد، یعنی به خاطر صبرتان بر شما سلام می‏کنیم و شما را گرامی می‏داریم.</w:t>
      </w:r>
    </w:p>
    <w:p>
      <w:pPr>
        <w:pStyle w:val="Heading6"/>
      </w:pPr>
      <w:bookmarkStart w:id="2537" w:name="_Toc1572"/>
      <w:r>
        <w:t>[سوره الرعد «13»: آیات 25 تا 30]</w:t>
      </w:r>
      <w:bookmarkEnd w:id="2537"/>
    </w:p>
    <w:p>
      <w:pPr>
        <w:pStyle w:val="Heading6"/>
      </w:pPr>
      <w:bookmarkStart w:id="2538" w:name="_Toc1573"/>
      <w:r>
        <w:t>اشاره</w:t>
      </w:r>
      <w:bookmarkEnd w:id="2538"/>
    </w:p>
    <w:p>
      <w:pPr>
        <w:pStyle w:val="BookText"/>
      </w:pPr>
      <w:r>
        <w:rPr>
          <w:rFonts w:ascii="Amiri" w:hAnsi="Amiri" w:eastAsia="Amiri" w:cs="Amiri"/>
          <w:lang w:bidi="ar-SA"/>
          <w:color w:val="111111"/>
          <w:sz w:val="28"/>
          <w:szCs w:val="28"/>
          <w:rtl/>
        </w:rPr>
        <w:t xml:space="preserve">وَ الَّذِینَ یَنْقُضُونَ عَهْدَ اللَّهِ مِنْ بَعْدِ مِیثاقِهِ وَ یَقْطَعُونَ ما أَمَرَ اللَّهُ بِهِ أَنْ یُوصَلَ وَ یُفْسِدُونَ فِی الْأَرْضِ أُولئِکَ لَهُمُ اللَّعْنَةُ وَ لَهُمْ سُوءُ الدَّارِ «25» اللَّهُ یَبْسُطُ الرِّزْقَ لِمَنْ یَشاءُ وَ یَقْدِرُ وَ فَرِحُوا بِالْحَیاةِ الدُّنْیا وَ مَا الْحَیاةُ الدُّنْیا فِی الْآخِرَةِ إِلاَّ مَتاعٌ «26» وَ یَقُولُ الَّذِینَ کَفَرُوا لَوْ لا أُنْزِلَ عَلَیْهِ آیَةٌ مِنْ رَبِّهِ قُلْ إِنَّ اللَّهَ یُضِلُّ مَنْ یَشاءُ وَ یَهْدِی إِلَیْهِ مَنْ أَنابَ «27» الَّذِینَ آمَنُوا وَ تَطْمَئِنُّ قُلُوبُهُمْ بِذِکْرِ اللَّهِ أَلا بِذِکْرِ اللَّهِ تَطْمَئِنُّ الْقُلُوبُ «28» الَّذِینَ آمَنُوا وَ عَمِلُوا الصَّالِحاتِ طُوبی‏ لَهُمْ وَ حُسْنُ مَآبٍ «29»</w:t>
      </w:r>
    </w:p>
    <w:p>
      <w:pPr>
        <w:pStyle w:val="BookText"/>
      </w:pPr>
      <w:r>
        <w:rPr>
          <w:rFonts w:ascii="Amiri" w:hAnsi="Amiri" w:eastAsia="Amiri" w:cs="Amiri"/>
          <w:lang w:bidi="ar-SA"/>
          <w:color w:val="111111"/>
          <w:sz w:val="28"/>
          <w:szCs w:val="28"/>
          <w:rtl/>
        </w:rPr>
        <w:t xml:space="preserve">کَذلِکَ أَرْسَلْناکَ فِی أُمَّةٍ قَدْ خَلَتْ مِنْ قَبْلِها أُمَمٌ لِتَتْلُوَا عَلَیْهِمُ الَّذِی أَوْحَیْنا إِلَیْکَ وَ هُمْ یَکْفُرُونَ بِالرَّحْمنِ قُلْ هُوَ رَبِّی لا إِلهَ إِلاَّ هُوَ عَلَیْهِ تَوَکَّلْتُ وَ إِلَیْهِ مَتابِ «30»</w:t>
      </w:r>
    </w:p>
    <w:p>
      <w:pPr>
        <w:pStyle w:val="BookText"/>
      </w:pPr>
      <w:r>
        <w:rPr>
          <w:rFonts w:ascii="IRNazanin" w:hAnsi="IRNazanin" w:eastAsia="IRNazanin" w:cs="IRNazanin"/>
          <w:lang w:bidi="fa-IR"/>
          <w:color w:val="111111"/>
          <w:sz w:val="28"/>
          <w:szCs w:val="28"/>
          <w:rtl/>
        </w:rPr>
        <w:t xml:space="preserve">[شماره صفحه واقعی : 277]
</w:t>
      </w:r>
    </w:p>
    <w:p>
      <w:pPr>
        <w:sectPr>
          <w:footerReference w:type="default" r:id="rId1376"/>
          <w:footnotePr>
            <w:numStart w:val="1"/>
            <w:numRestart w:val="eachPage"/>
          </w:footnotePr>
          <w:pgSz w:orient="portrait" w:w="11905.511811023622" w:h="16837.79527559055"/>
          <w:pgMar w:top="1440" w:right="1440" w:bottom="1440" w:left="1440" w:header="720" w:footer="720" w:gutter="0"/>
          <w:cols w:num="1" w:space="720"/>
        </w:sectPr>
      </w:pPr>
    </w:p>
    <w:bookmarkStart w:id="773" w:name="pg14411_143758"/>
    <w:bookmarkEnd w:id="773"/>
    <w:p>
      <w:pPr>
        <w:pStyle w:val="Heading6"/>
      </w:pPr>
      <w:bookmarkStart w:id="2539" w:name="_Toc1574"/>
      <w:r>
        <w:t>ترجمه:</w:t>
      </w:r>
      <w:bookmarkEnd w:id="2539"/>
    </w:p>
    <w:p>
      <w:pPr>
        <w:pStyle w:val="BookText"/>
      </w:pPr>
      <w:r>
        <w:rPr>
          <w:rFonts w:ascii="IRNazanin" w:hAnsi="IRNazanin" w:eastAsia="IRNazanin" w:cs="IRNazanin"/>
          <w:lang w:bidi="fa-IR"/>
          <w:color w:val="111111"/>
          <w:sz w:val="28"/>
          <w:szCs w:val="28"/>
          <w:rtl/>
        </w:rPr>
        <w:t xml:space="preserve">و آنها که پیمان الهی را پس از محکم ساختن می‏شکنند، و آنچه را که خداوند به پیوستن آن امر کرده است می‏گسلند و در روی زمین فساد می‏کنند، بر ایشان لعنت و بدی سرای آخرت می‏باشد. «25»</w:t>
      </w:r>
    </w:p>
    <w:p>
      <w:pPr>
        <w:pStyle w:val="BookText"/>
      </w:pPr>
      <w:r>
        <w:rPr>
          <w:rFonts w:ascii="IRNazanin" w:hAnsi="IRNazanin" w:eastAsia="IRNazanin" w:cs="IRNazanin"/>
          <w:lang w:bidi="fa-IR"/>
          <w:color w:val="111111"/>
          <w:sz w:val="28"/>
          <w:szCs w:val="28"/>
          <w:rtl/>
        </w:rPr>
        <w:t xml:space="preserve">خداوند، روزی را برای هر کس که بخواهد گشایش می‏دهد، و برای هر که بخواهد تنگ می‏گیرد و کافران، به زندگی دنیا، شاد شدند، در حالی که زندگی دنیا، در برابر آخرت متاعی بیش نیست. «26»</w:t>
      </w:r>
    </w:p>
    <w:p>
      <w:pPr>
        <w:pStyle w:val="BookText"/>
      </w:pPr>
      <w:r>
        <w:rPr>
          <w:rFonts w:ascii="IRNazanin" w:hAnsi="IRNazanin" w:eastAsia="IRNazanin" w:cs="IRNazanin"/>
          <w:lang w:bidi="fa-IR"/>
          <w:color w:val="111111"/>
          <w:sz w:val="28"/>
          <w:szCs w:val="28"/>
          <w:rtl/>
        </w:rPr>
        <w:t xml:space="preserve">و آنها که کافر شدند، می‏گویند: چرا آیتی از پروردگارش بر وی نازل نشده است. بگو: خداوند هر کس را بخواهد گمراه و هر که را به سوی او بازگشت کند هدایت می‏نماید. «27»</w:t>
      </w:r>
    </w:p>
    <w:p>
      <w:pPr>
        <w:pStyle w:val="BookText"/>
      </w:pPr>
      <w:r>
        <w:rPr>
          <w:rFonts w:ascii="IRNazanin" w:hAnsi="IRNazanin" w:eastAsia="IRNazanin" w:cs="IRNazanin"/>
          <w:lang w:bidi="fa-IR"/>
          <w:color w:val="111111"/>
          <w:sz w:val="28"/>
          <w:szCs w:val="28"/>
          <w:rtl/>
        </w:rPr>
        <w:t xml:space="preserve">آنان کسانی هستند که ایمان آورده‏اند و دلهایشان به یاد خدا آرامش یافته است آگاه باشید که با یاد خدا، دلها آرامش می‏یابد. «28»</w:t>
      </w:r>
    </w:p>
    <w:p>
      <w:pPr>
        <w:pStyle w:val="BookText"/>
      </w:pPr>
      <w:r>
        <w:rPr>
          <w:rFonts w:ascii="IRNazanin" w:hAnsi="IRNazanin" w:eastAsia="IRNazanin" w:cs="IRNazanin"/>
          <w:lang w:bidi="fa-IR"/>
          <w:color w:val="111111"/>
          <w:sz w:val="28"/>
          <w:szCs w:val="28"/>
          <w:rtl/>
        </w:rPr>
        <w:t xml:space="preserve">آنها که ایمان آورده و عمل نیک انجام داده‏اند، پاکیزه‏ترین بهره و بهترین سرانجام برای ایشان است. «29»</w:t>
      </w:r>
    </w:p>
    <w:p>
      <w:pPr>
        <w:pStyle w:val="BookText"/>
      </w:pPr>
      <w:r>
        <w:rPr>
          <w:rFonts w:ascii="IRNazanin" w:hAnsi="IRNazanin" w:eastAsia="IRNazanin" w:cs="IRNazanin"/>
          <w:lang w:bidi="fa-IR"/>
          <w:color w:val="111111"/>
          <w:sz w:val="28"/>
          <w:szCs w:val="28"/>
          <w:rtl/>
        </w:rPr>
        <w:t xml:space="preserve">همان گونه (که پیامبران قبل را فرستادیم) تو را نیز به میان امّتی می‏فرستیم که پیش از آنها امّتهای دیگری بوده‏اند. تا آنچه به تو وحی کردیم بر ایشان بخوانی، در حالی که به «رحمان» کفر می‏ورزند، بگو:</w:t>
      </w:r>
    </w:p>
    <w:p>
      <w:pPr>
        <w:pStyle w:val="BookText"/>
      </w:pPr>
      <w:r>
        <w:rPr>
          <w:rFonts w:ascii="IRNazanin" w:hAnsi="IRNazanin" w:eastAsia="IRNazanin" w:cs="IRNazanin"/>
          <w:lang w:bidi="fa-IR"/>
          <w:color w:val="111111"/>
          <w:sz w:val="28"/>
          <w:szCs w:val="28"/>
          <w:rtl/>
        </w:rPr>
        <w:t xml:space="preserve">او پروردگار من است، خدایی جز او نیست، بر او توکّل کردم، و بازگشتم به سوی اوست. «30»</w:t>
      </w:r>
    </w:p>
    <w:p>
      <w:pPr>
        <w:pStyle w:val="Heading6"/>
      </w:pPr>
      <w:bookmarkStart w:id="2540" w:name="_Toc1575"/>
      <w:r>
        <w:t>تفسیر:</w:t>
      </w:r>
      <w:bookmarkEnd w:id="2540"/>
    </w:p>
    <w:p>
      <w:pPr>
        <w:pStyle w:val="BookText"/>
      </w:pPr>
      <w:r>
        <w:rPr>
          <w:rFonts w:ascii="IRNazanin" w:hAnsi="IRNazanin" w:eastAsia="IRNazanin" w:cs="IRNazanin"/>
          <w:lang w:bidi="fa-IR"/>
          <w:color w:val="111111"/>
          <w:sz w:val="28"/>
          <w:szCs w:val="28"/>
          <w:rtl/>
        </w:rPr>
        <w:t xml:space="preserve">مِنْ بَعْدِ مِیثاقِهِ پس از پیمانهایی که بسته‏اند و عبودیّتی را که پذیرفته‏اند.</w:t>
      </w:r>
    </w:p>
    <w:p>
      <w:pPr>
        <w:pStyle w:val="BookText"/>
      </w:pPr>
      <w:r>
        <w:rPr>
          <w:rFonts w:ascii="IRNazanin" w:hAnsi="IRNazanin" w:eastAsia="IRNazanin" w:cs="IRNazanin"/>
          <w:lang w:bidi="fa-IR"/>
          <w:color w:val="111111"/>
          <w:sz w:val="28"/>
          <w:szCs w:val="28"/>
          <w:rtl/>
        </w:rPr>
        <w:t xml:space="preserve">وَ یُفْسِدُونَ و با معصیت خدا و ستم کردن نسبت به بندگانش و خراب کردن سرزمینهای او در زمین فساد بپا می‏کنند و مورد لعنت هستند «وَ لَهُمْ سُوءُ الدَّارِ»: و عذاب آتش برای آنهاست.</w:t>
      </w:r>
    </w:p>
    <w:p>
      <w:pPr>
        <w:pStyle w:val="BookText"/>
      </w:pPr>
      <w:r>
        <w:rPr>
          <w:rFonts w:ascii="IRNazanin" w:hAnsi="IRNazanin" w:eastAsia="IRNazanin" w:cs="IRNazanin"/>
          <w:lang w:bidi="fa-IR"/>
          <w:color w:val="111111"/>
          <w:sz w:val="28"/>
          <w:szCs w:val="28"/>
          <w:rtl/>
        </w:rPr>
        <w:t xml:space="preserve">اللَّهُ یَبْسُطُ الرِّزْقَ لِمَنْ یَشاءُ وَ یَقْدِرُ تنها خدا، نه غیر او، روزی را نسبت به هر کس بخواهد توسعه داده (و بر هر کس بخواهد) تنگ می‏گیرد و همان خداست که روزی قریش را توسعه داده است.</w:t>
      </w:r>
    </w:p>
    <w:p>
      <w:pPr>
        <w:pStyle w:val="BookText"/>
      </w:pPr>
      <w:r>
        <w:rPr>
          <w:rFonts w:ascii="IRNazanin" w:hAnsi="IRNazanin" w:eastAsia="IRNazanin" w:cs="IRNazanin"/>
          <w:lang w:bidi="fa-IR"/>
          <w:color w:val="111111"/>
          <w:sz w:val="28"/>
          <w:szCs w:val="28"/>
          <w:rtl/>
        </w:rPr>
        <w:t xml:space="preserve">[شماره صفحه واقعی : 278]
</w:t>
      </w:r>
    </w:p>
    <w:p>
      <w:pPr>
        <w:sectPr>
          <w:footerReference w:type="default" r:id="rId1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فَرِحُوا و از این که خداوند نعمتهای خود را بر ایشان توسعه داد شادمان شدند، امّا نه چنان شادمانی و سروری که مناسب فضل و انعام الهی باشد، بلکه دچار سرمستی و غرور گردیدند. حال آن که این زندگانی دنیا در مقایسه با نعمتهای بی‏پایان سرای آخرت، جز متاعی اندک و امری زودگذر نیست که از آن رفع حاجت می‏شود، مانند غذای ساده و حاضری که شخص سوارکار در حالی که سوار بر مرکب است (با عجله) از آن استفاده می‏کند، امّا چون این امر بر این مردم پوشیده مانده آن را بر نعیم بی‏پایان آخرت ترجیح داده‏اند.</w:t>
      </w:r>
    </w:p>
    <w:p>
      <w:pPr>
        <w:pStyle w:val="BookText"/>
      </w:pPr>
      <w:r>
        <w:rPr>
          <w:rFonts w:ascii="IRNazanin" w:hAnsi="IRNazanin" w:eastAsia="IRNazanin" w:cs="IRNazanin"/>
          <w:lang w:bidi="fa-IR"/>
          <w:color w:val="111111"/>
          <w:sz w:val="28"/>
          <w:szCs w:val="28"/>
          <w:rtl/>
        </w:rPr>
        <w:t xml:space="preserve">وَ یَقُولُ الَّذِینَ کَفَرُوا لَوْ لا أُنْزِلَ عَلَیْهِ آیَةٌ مِنْ رَبِّهِ در این قسمت از آیه، گویی خداوند از گفتار کافران اظهار تعجّب فرموده است، که با فراوانی نشانه‏های آشکار که به هیچ کدام از پیامبران پیشین داده نشده و تنها قرآن که یکی از آنهاست بعنوان معجزه کامل کافی است. پس اگر به این نشانه‏ها توجّه نکنند جای بسی تعجّب است. در نتیجه گویی به آنها چنین گفته شده: چه بسیار شدید است دشمنی شما، خدا، هر قومی را که مثل شما، تصمیم به کفر گرفته باشد، گمراه می‏کند، پس راهی برای هدایت یافتن آنان باقی نمی‏ماند، اگر چه آیات بسیاری نازل شود. و یهدی الیه ... و کسانی را که ویژگیهای شما را ندارند به سوی خود هدایت می‏کند. معنای «إنابت»، رو آوردن به حق و داخل شدن در طریق بازگشت به خیر است.</w:t>
      </w:r>
    </w:p>
    <w:p>
      <w:pPr>
        <w:pStyle w:val="BookText"/>
      </w:pPr>
      <w:r>
        <w:rPr>
          <w:rFonts w:ascii="Amiri" w:hAnsi="Amiri" w:eastAsia="Amiri" w:cs="Amiri"/>
          <w:lang w:bidi="ar-SA"/>
          <w:color w:val="111111"/>
          <w:sz w:val="28"/>
          <w:szCs w:val="28"/>
          <w:rtl/>
        </w:rPr>
        <w:t xml:space="preserve">الَّذِینَ آمَنُوا وَ تَطْمَئِنُّ قُلُوبُهُمْ بِذِکْرِ اللَّهِ این جمله بدل (یا تفسیر) </w:t>
      </w:r>
      <w:r>
        <w:rPr>
          <w:rStyle w:val="FootnoteReference"/>
        </w:rPr>
        <w:footnoteReference w:id="4534"/>
      </w:r>
      <w:r>
        <w:rPr>
          <w:rFonts w:ascii="IRNazanin" w:hAnsi="IRNazanin" w:eastAsia="IRNazanin" w:cs="IRNazanin"/>
          <w:lang w:bidi="fa-IR"/>
          <w:color w:val="111111"/>
          <w:sz w:val="28"/>
          <w:szCs w:val="28"/>
          <w:rtl/>
        </w:rPr>
        <w:t xml:space="preserve">برای «مَنْ أَنابَ» است یعنی رو آورندگان به حق، کسانی هستند که ایمان آورده و دلهایشان با یاد رحمت و مغفرت خداوند آرامش یابد. در آیه بعد، «الَّذِینَ آمَنُوا» مبتدا و «طُوبی‏ لَهُمْ» خبر آن است «طوبی» بر وزن بشری و زلفی مصدر «طاب» است «و طوبی لک» یعنی به خیر و نیکی برسی و حرف لام برای بیان است، چنان که در عبارت «سقیا</w:t>
      </w:r>
    </w:p>
    <w:p>
      <w:pPr>
        <w:pStyle w:val="BookText"/>
      </w:pPr>
      <w:r>
        <w:rPr>
          <w:rFonts w:ascii="IRNazanin" w:hAnsi="IRNazanin" w:eastAsia="IRNazanin" w:cs="IRNazanin"/>
          <w:lang w:bidi="fa-IR"/>
          <w:color w:val="111111"/>
          <w:sz w:val="28"/>
          <w:szCs w:val="28"/>
          <w:rtl/>
        </w:rPr>
        <w:t xml:space="preserve">[شماره صفحه واقعی : 279]
</w:t>
      </w:r>
    </w:p>
    <w:p>
      <w:pPr>
        <w:sectPr>
          <w:footerReference w:type="default" r:id="rId1378"/>
          <w:footnotePr>
            <w:numStart w:val="1"/>
            <w:numRestart w:val="eachPage"/>
          </w:footnotePr>
          <w:pgSz w:orient="portrait" w:w="11905.511811023622" w:h="16837.79527559055"/>
          <w:pgMar w:top="1440" w:right="1440" w:bottom="1440" w:left="1440" w:header="720" w:footer="720" w:gutter="0"/>
          <w:cols w:num="1" w:space="720"/>
        </w:sectPr>
      </w:pPr>
    </w:p>
    <w:bookmarkStart w:id="774" w:name="pg14411_143760"/>
    <w:bookmarkEnd w:id="774"/>
    <w:p>
      <w:pPr>
        <w:pStyle w:val="BookText"/>
      </w:pPr>
      <w:r>
        <w:rPr>
          <w:rFonts w:ascii="IRNazanin" w:hAnsi="IRNazanin" w:eastAsia="IRNazanin" w:cs="IRNazanin"/>
          <w:lang w:bidi="fa-IR"/>
          <w:color w:val="111111"/>
          <w:sz w:val="28"/>
          <w:szCs w:val="28"/>
          <w:rtl/>
        </w:rPr>
        <w:t xml:space="preserve">لک» (سیر آب شوی) آمده است و او در «طوبی» منقلب از «یاء» است که چون ما قبلش مضموم بوده تبدیل به واو شده است مثل واو موقن و موسر. پیامبر اکرم فرمود: طوبی درختی است در بهشت که اصلش در خانه من و شاخ و برگهایش بر روی سایر اهل بهشت قرار دارد در روایت دیگر فرمود اصل آن، در خانه علی است و چون علّت را پرسیدند فرمود: خانه من و علی در بهشت در یک جاست.</w:t>
      </w:r>
    </w:p>
    <w:p>
      <w:pPr>
        <w:pStyle w:val="BookText"/>
      </w:pPr>
      <w:r>
        <w:rPr>
          <w:rFonts w:ascii="IRNazanin" w:hAnsi="IRNazanin" w:eastAsia="IRNazanin" w:cs="IRNazanin"/>
          <w:lang w:bidi="fa-IR"/>
          <w:color w:val="111111"/>
          <w:sz w:val="28"/>
          <w:szCs w:val="28"/>
          <w:rtl/>
        </w:rPr>
        <w:t xml:space="preserve">«کذلک» چنان که پیامبران پیش را به سوی امتهایشان فرستادیم تو را نیز به سوی امتت فرستادیم با یک نوع رسالتی که بر گذشتگان برتری و فضیلت دارد: رسالت تو در میان امتی است که پیش از آن امّتهای بسیاری بوده‏اند، پس این امّت آخرین امتها و تو آخرین پیامبر می‏باشی، لتتلوا علیهم تو را فرستادیم تا بر آنها تلاوت کنی کتابی را که به سوی تو، وحی کرده‏ایم.</w:t>
      </w:r>
    </w:p>
    <w:p>
      <w:pPr>
        <w:pStyle w:val="BookText"/>
      </w:pPr>
      <w:r>
        <w:rPr>
          <w:rFonts w:ascii="IRNazanin" w:hAnsi="IRNazanin" w:eastAsia="IRNazanin" w:cs="IRNazanin"/>
          <w:lang w:bidi="fa-IR"/>
          <w:color w:val="111111"/>
          <w:sz w:val="28"/>
          <w:szCs w:val="28"/>
          <w:rtl/>
        </w:rPr>
        <w:t xml:space="preserve">وَ هُمْ یَکْفُرُونَ بِالرَّحْمنِ و این مردم به خدایی که رحمتی گسترده دارد کفر می‏ورزند و از این رو نسبت به این نعمت بزرگ نیز که شخصی مانند تو را برای آنها فرستاده و معجزه‏ای چون قرآن نازل کرده کفر ورزیدند.</w:t>
      </w:r>
    </w:p>
    <w:p>
      <w:pPr>
        <w:pStyle w:val="BookText"/>
      </w:pPr>
      <w:r>
        <w:rPr>
          <w:rFonts w:ascii="IRNazanin" w:hAnsi="IRNazanin" w:eastAsia="IRNazanin" w:cs="IRNazanin"/>
          <w:lang w:bidi="fa-IR"/>
          <w:color w:val="111111"/>
          <w:sz w:val="28"/>
          <w:szCs w:val="28"/>
          <w:rtl/>
        </w:rPr>
        <w:t xml:space="preserve">قُلْ هُوَ رَبِّی بگو او یعنی همان «رحمان» پروردگار و آفریننده من است خدایی جز او نیست، و او برتر از آن است که شریک و همانندی داشته باشد.</w:t>
      </w:r>
    </w:p>
    <w:p>
      <w:pPr>
        <w:pStyle w:val="BookText"/>
      </w:pPr>
      <w:r>
        <w:rPr>
          <w:rFonts w:ascii="IRNazanin" w:hAnsi="IRNazanin" w:eastAsia="IRNazanin" w:cs="IRNazanin"/>
          <w:lang w:bidi="fa-IR"/>
          <w:color w:val="111111"/>
          <w:sz w:val="28"/>
          <w:szCs w:val="28"/>
          <w:rtl/>
        </w:rPr>
        <w:t xml:space="preserve">عَلَیْهِ تَوَکَّلْتُ در پیروزی بر شما، بر او توکّل دارم و به او رجوع می‏کنم و بر صبر و تحمّل و کوشش و جهاد در برابر شما، خدا به من ثواب و پاداش می‏دهد.</w:t>
      </w:r>
    </w:p>
    <w:p>
      <w:pPr>
        <w:pStyle w:val="Heading6"/>
      </w:pPr>
      <w:bookmarkStart w:id="2541" w:name="_Toc1576"/>
      <w:r>
        <w:t>[سوره الرعد «13»: آیات 31 تا 34]</w:t>
      </w:r>
      <w:bookmarkEnd w:id="2541"/>
    </w:p>
    <w:p>
      <w:pPr>
        <w:pStyle w:val="Heading6"/>
      </w:pPr>
      <w:bookmarkStart w:id="2542" w:name="_Toc1577"/>
      <w:r>
        <w:t>اشاره</w:t>
      </w:r>
      <w:bookmarkEnd w:id="2542"/>
    </w:p>
    <w:p>
      <w:pPr>
        <w:pStyle w:val="BookText"/>
      </w:pPr>
      <w:r>
        <w:rPr>
          <w:rFonts w:ascii="Amiri" w:hAnsi="Amiri" w:eastAsia="Amiri" w:cs="Amiri"/>
          <w:lang w:bidi="ar-SA"/>
          <w:color w:val="111111"/>
          <w:sz w:val="28"/>
          <w:szCs w:val="28"/>
          <w:rtl/>
        </w:rPr>
        <w:t xml:space="preserve">وَ لَوْ أَنَّ قُرْآناً سُیِّرَتْ بِهِ الْجِبالُ أَوْ قُطِّعَتْ بِهِ الْأَرْضُ أَوْ کُلِّمَ بِهِ الْمَوْتی‏ بَلْ لِلَّهِ الْأَمْرُ جَمِیعاً أَ فَلَمْ یَیْأَسِ الَّذِینَ آمَنُوا أَنْ لَوْ یَشاءُ اللَّهُ لَهَدَی النَّاسَ جَمِیعاً وَ لا یَزالُ الَّذِینَ کَفَرُوا تُصِیبُهُمْ بِما صَنَعُوا قارِعَةٌ أَوْ تَحُلُّ قَرِیباً مِنْ دارِهِمْ حَتَّی یَأْتِیَ وَعْدُ اللَّهِ إِنَّ اللَّهَ لا یُخْلِفُ الْمِیعادَ «31» وَ لَقَدِ اسْتُهْزِئَ بِرُسُلٍ مِنْ قَبْلِکَ فَأَمْلَیْتُ لِلَّذِینَ کَفَرُوا ثُمَّ أَخَذْتُهُمْ فَکَیْفَ کانَ عِقابِ «32» أَ فَمَنْ هُوَ قائِمٌ عَلی‏ کُلِّ نَفْسٍ بِما کَسَبَتْ وَ جَعَلُوا لِلَّهِ شُرَکاءَ قُلْ سَمُّوهُمْ أَمْ تُنَبِّئُونَهُ بِما لا یَعْلَمُ فِی الْأَرْضِ أَمْ بِظاهِرٍ مِنَ الْقَوْلِ بَلْ زُیِّنَ لِلَّذِینَ کَفَرُوا مَکْرُهُمْ وَ صُدُّوا عَنِ السَّبِیلِ وَ مَنْ یُضْلِلِ اللَّهُ فَما لَهُ مِنْ هادٍ «33» لَهُمْ عَذابٌ فِی الْحَیاةِ الدُّنْیا وَ لَعَذابُ الْآخِرَةِ أَشَقُّ وَ ما لَهُمْ مِنَ اللَّهِ مِنْ واقٍ «34»</w:t>
      </w:r>
    </w:p>
    <w:p>
      <w:pPr>
        <w:pStyle w:val="BookText"/>
      </w:pPr>
      <w:r>
        <w:rPr>
          <w:rFonts w:ascii="IRNazanin" w:hAnsi="IRNazanin" w:eastAsia="IRNazanin" w:cs="IRNazanin"/>
          <w:lang w:bidi="fa-IR"/>
          <w:color w:val="111111"/>
          <w:sz w:val="28"/>
          <w:szCs w:val="28"/>
          <w:rtl/>
        </w:rPr>
        <w:t xml:space="preserve">[شماره صفحه واقعی : 280]
</w:t>
      </w:r>
    </w:p>
    <w:p>
      <w:pPr>
        <w:sectPr>
          <w:footerReference w:type="default" r:id="rId1379"/>
          <w:footnotePr>
            <w:numStart w:val="1"/>
            <w:numRestart w:val="eachPage"/>
          </w:footnotePr>
          <w:pgSz w:orient="portrait" w:w="11905.511811023622" w:h="16837.79527559055"/>
          <w:pgMar w:top="1440" w:right="1440" w:bottom="1440" w:left="1440" w:header="720" w:footer="720" w:gutter="0"/>
          <w:cols w:num="1" w:space="720"/>
        </w:sectPr>
      </w:pPr>
    </w:p>
    <w:bookmarkStart w:id="775" w:name="pg14411_143761"/>
    <w:bookmarkEnd w:id="775"/>
    <w:p>
      <w:pPr>
        <w:pStyle w:val="Heading6"/>
      </w:pPr>
      <w:bookmarkStart w:id="2543" w:name="_Toc1578"/>
      <w:r>
        <w:t>ترجمه:</w:t>
      </w:r>
      <w:bookmarkEnd w:id="2543"/>
    </w:p>
    <w:p>
      <w:pPr>
        <w:pStyle w:val="BookText"/>
      </w:pPr>
      <w:r>
        <w:rPr>
          <w:rFonts w:ascii="IRNazanin" w:hAnsi="IRNazanin" w:eastAsia="IRNazanin" w:cs="IRNazanin"/>
          <w:lang w:bidi="fa-IR"/>
          <w:color w:val="111111"/>
          <w:sz w:val="28"/>
          <w:szCs w:val="28"/>
          <w:rtl/>
        </w:rPr>
        <w:t xml:space="preserve">اگر به وسیله قرآن کوه‏ها به حرکت در آیند، یا زمین قطعه قطعه شود، یا با مردگان سخن گفته شود (باز هم ایمان نمی‏آورند) بلکه همه امور بدست خدا است، آیا آنها که ایمان آورده‏اند نمی‏دانند که اگر خدا بخواهد همه مردم را هدایت می‏کند، و پیوسته بر کافران، به دلیل کارهای زشتشان، مصائب کوبنده‏ای وارد می‏شود و یا به نزدیک خانه آنها فرود می‏آید، تا وعده الهی فرا رسد، آری خداوند وعده خلافی نمی‏کند. «31»</w:t>
      </w:r>
    </w:p>
    <w:p>
      <w:pPr>
        <w:pStyle w:val="BookText"/>
      </w:pPr>
      <w:r>
        <w:rPr>
          <w:rFonts w:ascii="IRNazanin" w:hAnsi="IRNazanin" w:eastAsia="IRNazanin" w:cs="IRNazanin"/>
          <w:lang w:bidi="fa-IR"/>
          <w:color w:val="111111"/>
          <w:sz w:val="28"/>
          <w:szCs w:val="28"/>
          <w:rtl/>
        </w:rPr>
        <w:t xml:space="preserve">پیامبران پیش از تو نیز استهزاء شدند، و من به کافران مهلت دادم و سپس آنها را مؤاخذه کردم، چه کیفری بود! «32»</w:t>
      </w:r>
    </w:p>
    <w:p>
      <w:pPr>
        <w:pStyle w:val="BookText"/>
      </w:pPr>
      <w:r>
        <w:rPr>
          <w:rFonts w:ascii="IRNazanin" w:hAnsi="IRNazanin" w:eastAsia="IRNazanin" w:cs="IRNazanin"/>
          <w:lang w:bidi="fa-IR"/>
          <w:color w:val="111111"/>
          <w:sz w:val="28"/>
          <w:szCs w:val="28"/>
          <w:rtl/>
        </w:rPr>
        <w:t xml:space="preserve">آیا کسی که بالای سر همه ایستاده و اعمال همه را می‏بیند (مثل کسی است که چنین نیست؟) آنان برای خدا شریکانی قرار دادند، بگو: آنها را نام ببرید آیا به او چیزی را خبر می‏دهید که از وجود آن در روی زمین بی‏خبر است یا سخن ظاهری می‏گویید؟ بلکه در نظر کافران، مکرشان زینت داده شده و از راه حق بازداشته شده‏اند و هر کس را خدا گمراه سازد، راهنمایی نخواهد داشت. «33»</w:t>
      </w:r>
    </w:p>
    <w:p>
      <w:pPr>
        <w:pStyle w:val="BookText"/>
      </w:pPr>
      <w:r>
        <w:rPr>
          <w:rFonts w:ascii="IRNazanin" w:hAnsi="IRNazanin" w:eastAsia="IRNazanin" w:cs="IRNazanin"/>
          <w:lang w:bidi="fa-IR"/>
          <w:color w:val="111111"/>
          <w:sz w:val="28"/>
          <w:szCs w:val="28"/>
          <w:rtl/>
        </w:rPr>
        <w:t xml:space="preserve">برای آنها در زندگانی دنیا کیفری سخت است و کیفر آخرت از آن، سختتر، و هیچ کس نمی‏تواند آنان را از کیفر الهی نگهدارد. «34»</w:t>
      </w:r>
    </w:p>
    <w:p>
      <w:pPr>
        <w:pStyle w:val="BookText"/>
      </w:pPr>
      <w:r>
        <w:rPr>
          <w:rFonts w:ascii="IRNazanin" w:hAnsi="IRNazanin" w:eastAsia="IRNazanin" w:cs="IRNazanin"/>
          <w:lang w:bidi="fa-IR"/>
          <w:color w:val="111111"/>
          <w:sz w:val="28"/>
          <w:szCs w:val="28"/>
          <w:rtl/>
        </w:rPr>
        <w:t xml:space="preserve">[شماره صفحه واقعی : 281]
</w:t>
      </w:r>
    </w:p>
    <w:p>
      <w:pPr>
        <w:sectPr>
          <w:footerReference w:type="default" r:id="rId1380"/>
          <w:footnotePr>
            <w:numStart w:val="1"/>
            <w:numRestart w:val="eachPage"/>
          </w:footnotePr>
          <w:pgSz w:orient="portrait" w:w="11905.511811023622" w:h="16837.79527559055"/>
          <w:pgMar w:top="1440" w:right="1440" w:bottom="1440" w:left="1440" w:header="720" w:footer="720" w:gutter="0"/>
          <w:cols w:num="1" w:space="720"/>
        </w:sectPr>
      </w:pPr>
    </w:p>
    <w:bookmarkStart w:id="776" w:name="pg14411_143762"/>
    <w:bookmarkEnd w:id="776"/>
    <w:p>
      <w:pPr>
        <w:pStyle w:val="Heading6"/>
      </w:pPr>
      <w:bookmarkStart w:id="2544" w:name="_Toc1579"/>
      <w:r>
        <w:t>تفسیر:</w:t>
      </w:r>
      <w:bookmarkEnd w:id="2544"/>
    </w:p>
    <w:p>
      <w:pPr>
        <w:pStyle w:val="BookText"/>
      </w:pPr>
      <w:r>
        <w:rPr>
          <w:rFonts w:ascii="IRNazanin" w:hAnsi="IRNazanin" w:eastAsia="IRNazanin" w:cs="IRNazanin"/>
          <w:lang w:bidi="fa-IR"/>
          <w:color w:val="111111"/>
          <w:sz w:val="28"/>
          <w:szCs w:val="28"/>
          <w:rtl/>
        </w:rPr>
        <w:t xml:space="preserve">وَ لَوْ أَنَّ قُرْآناً ... جواب حرف «لو» محذوف است و معنای آیه این است اگر قرآنی باشد که کوه‏ها به وسیله آن از قرارگاههای خود به حرکت در آیند و از جایگاههای خود ریشه کن شوند (آن، همین قرآن است).</w:t>
      </w:r>
    </w:p>
    <w:p>
      <w:pPr>
        <w:pStyle w:val="BookText"/>
      </w:pPr>
      <w:r>
        <w:rPr>
          <w:rFonts w:ascii="Amiri" w:hAnsi="Amiri" w:eastAsia="Amiri" w:cs="Amiri"/>
          <w:lang w:bidi="ar-SA"/>
          <w:color w:val="111111"/>
          <w:sz w:val="28"/>
          <w:szCs w:val="28"/>
          <w:rtl/>
        </w:rPr>
        <w:t xml:space="preserve">أَوْ قُطِّعَتْ بِهِ الْأَرْضُ در معنای این جمله دو قول است:</w:t>
      </w:r>
    </w:p>
    <w:p>
      <w:pPr>
        <w:pStyle w:val="BookText"/>
      </w:pPr>
      <w:r>
        <w:rPr>
          <w:rFonts w:ascii="IRNazanin" w:hAnsi="IRNazanin" w:eastAsia="IRNazanin" w:cs="IRNazanin"/>
          <w:lang w:bidi="fa-IR"/>
          <w:color w:val="111111"/>
          <w:sz w:val="28"/>
          <w:szCs w:val="28"/>
          <w:rtl/>
        </w:rPr>
        <w:t xml:space="preserve">1- یا این که زمین به سبب آن شکافته و پاره پاره شود 2- یا زمین شکافته شود و از آن، جویها و چشمه‏ها به وجود آید.</w:t>
      </w:r>
    </w:p>
    <w:p>
      <w:pPr>
        <w:pStyle w:val="BookText"/>
      </w:pPr>
      <w:r>
        <w:rPr>
          <w:rFonts w:ascii="IRNazanin" w:hAnsi="IRNazanin" w:eastAsia="IRNazanin" w:cs="IRNazanin"/>
          <w:lang w:bidi="fa-IR"/>
          <w:color w:val="111111"/>
          <w:sz w:val="28"/>
          <w:szCs w:val="28"/>
          <w:rtl/>
        </w:rPr>
        <w:t xml:space="preserve">أَوْ کُلِّمَ بِهِ الْمَوْتی‏ و یا به وسیله آن، مردگان به سخن در آیند و بشنوند و پاسخ دهند، او همین قرآن است که بسی پر ارج و شکوهمند می‏باشد. بنا بر این، جواب شرط، لکان هذا القرآن می‏باشد که به قرینه حذف شده و بعضی گفته‏اند جوابی که حذف شده «لما آمنوا به» است، یعنی به آن ایمان نمی‏آورند، مثل آیه وَ لَوْ أَنَّنا نَزَّلْنا إِلَیْهِمُ الْمَلائِکَةَ ... «اگر فرشتگان را بر آنها نازل کنیم و مردگان را با آنها به سخن در آوریم و هر چیزی را (که می‏خواهند) روبرویشان قرار دهیم باز هم ایمان نخواهند آورد» (انعام/ 111).</w:t>
      </w:r>
    </w:p>
    <w:p>
      <w:pPr>
        <w:pStyle w:val="BookText"/>
      </w:pPr>
      <w:r>
        <w:rPr>
          <w:rFonts w:ascii="IRNazanin" w:hAnsi="IRNazanin" w:eastAsia="IRNazanin" w:cs="IRNazanin"/>
          <w:lang w:bidi="fa-IR"/>
          <w:color w:val="111111"/>
          <w:sz w:val="28"/>
          <w:szCs w:val="28"/>
          <w:rtl/>
        </w:rPr>
        <w:t xml:space="preserve">فرّاء می‏گوید: «لو» به ما قبلش: وَ هُمْ یَکْفُرُونَ بِالرَّحْمنِ در آیه قبل، تعلق دارد و بقیه جمله‏ها معترضه است یعنی این مردم به خداوند رحمان کفر می‏ورزند، اگر چه قرآنی با این ویژگیها نازل شود. بَلْ لِلَّهِ الْأَمْرُ جَمِیعاً بلکه برای خدا توانایی بر هر چیز است و او بر آوردن تمام معجزاتی که منکران طلب می‏کنند، تواناست، امّا به دلیل مصلحتی که خود می‏داند، این کار را انجام نمی‏دهد.</w:t>
      </w:r>
    </w:p>
    <w:p>
      <w:pPr>
        <w:pStyle w:val="BookText"/>
      </w:pPr>
      <w:r>
        <w:rPr>
          <w:rFonts w:ascii="IRNazanin" w:hAnsi="IRNazanin" w:eastAsia="IRNazanin" w:cs="IRNazanin"/>
          <w:lang w:bidi="fa-IR"/>
          <w:color w:val="111111"/>
          <w:sz w:val="28"/>
          <w:szCs w:val="28"/>
          <w:rtl/>
        </w:rPr>
        <w:t xml:space="preserve">أَ فَلَمْ یَیْأَسِ این فعل در لغت جمعی از قبیله نخع به معنای «أ فلم یعلم» به کار رفته و دلیلشان این است که ناامیدی معنای علم را در بر دارد، زیرا شخصی که از چیزی ناامید است، عالم است به این که آن شی‏ء وجود ندارد، چنان که به همین دلیل گاهی</w:t>
      </w:r>
    </w:p>
    <w:p>
      <w:pPr>
        <w:pStyle w:val="BookText"/>
      </w:pPr>
      <w:r>
        <w:rPr>
          <w:rFonts w:ascii="IRNazanin" w:hAnsi="IRNazanin" w:eastAsia="IRNazanin" w:cs="IRNazanin"/>
          <w:lang w:bidi="fa-IR"/>
          <w:color w:val="111111"/>
          <w:sz w:val="28"/>
          <w:szCs w:val="28"/>
          <w:rtl/>
        </w:rPr>
        <w:t xml:space="preserve">[شماره صفحه واقعی : 282]
</w:t>
      </w:r>
    </w:p>
    <w:p>
      <w:pPr>
        <w:sectPr>
          <w:footerReference w:type="default" r:id="rId1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رجا (امیدواری) به معنای خوف، به کار می‏رود. </w:t>
      </w:r>
      <w:r>
        <w:rPr>
          <w:rStyle w:val="FootnoteReference"/>
        </w:rPr>
        <w:footnoteReference w:id="4535"/>
      </w:r>
      <w:r>
        <w:rPr>
          <w:rFonts w:ascii="IRNazanin" w:hAnsi="IRNazanin" w:eastAsia="IRNazanin" w:cs="IRNazanin"/>
          <w:lang w:bidi="fa-IR"/>
          <w:color w:val="111111"/>
          <w:sz w:val="28"/>
          <w:szCs w:val="28"/>
          <w:rtl/>
        </w:rPr>
        <w:t xml:space="preserve">دلیل بر این معنا این است که معصومین علیهم السّلام و نیز ابن عبّاس و گروهی از صحابه و تابعان «أ فلم تبیّن» خوانده‏اند که تفسیر همان «أ فلم ییأس» می‏باشد، و ممکن است «یأس» </w:t>
      </w:r>
      <w:r>
        <w:rPr>
          <w:rStyle w:val="FootnoteReference"/>
        </w:rPr>
        <w:footnoteReference w:id="4536"/>
      </w:r>
    </w:p>
    <w:p>
      <w:pPr>
        <w:pStyle w:val="BookText"/>
      </w:pPr>
      <w:r>
        <w:rPr>
          <w:rFonts w:ascii="IRNazanin" w:hAnsi="IRNazanin" w:eastAsia="IRNazanin" w:cs="IRNazanin"/>
          <w:lang w:bidi="fa-IR"/>
          <w:color w:val="111111"/>
          <w:sz w:val="28"/>
          <w:szCs w:val="28"/>
          <w:rtl/>
        </w:rPr>
        <w:t xml:space="preserve">تفسیر نمونه، ج 10، ص 222.</w:t>
      </w:r>
    </w:p>
    <w:p>
      <w:pPr>
        <w:pStyle w:val="BookText"/>
      </w:pPr>
      <w:r>
        <w:rPr>
          <w:rFonts w:ascii="IRNazanin" w:hAnsi="IRNazanin" w:eastAsia="IRNazanin" w:cs="IRNazanin"/>
          <w:lang w:bidi="fa-IR"/>
          <w:color w:val="111111"/>
          <w:sz w:val="28"/>
          <w:szCs w:val="28"/>
          <w:rtl/>
        </w:rPr>
        <w:t xml:space="preserve">را به همان معنای ناامیدی گرفته و آیه را چنین معنا کرد: آیا اشخاص با ایمان از ایمان آوردن این کافران ناامید نشده‏اند؟ با این که یقین دارند که اگر خدا می‏خواست همه مردم را (جبرا) هدایت می‏کرد و این کافران را هم به راه می‏آورد.</w:t>
      </w:r>
    </w:p>
    <w:p>
      <w:pPr>
        <w:pStyle w:val="BookText"/>
      </w:pPr>
      <w:r>
        <w:rPr>
          <w:rFonts w:ascii="IRNazanin" w:hAnsi="IRNazanin" w:eastAsia="IRNazanin" w:cs="IRNazanin"/>
          <w:lang w:bidi="fa-IR"/>
          <w:color w:val="111111"/>
          <w:sz w:val="28"/>
          <w:szCs w:val="28"/>
          <w:rtl/>
        </w:rPr>
        <w:t xml:space="preserve">وَ لا یَزالُ الَّذِینَ کَفَرُوا ... آنان که کافر شده‏اند بسبب کفری که در خود به وجود آورده و اعمال زشتی که انجام داده‏اند پیوسته در معرض بلاها و مصائب قرار دارند.</w:t>
      </w:r>
    </w:p>
    <w:p>
      <w:pPr>
        <w:pStyle w:val="BookText"/>
      </w:pPr>
      <w:r>
        <w:rPr>
          <w:rFonts w:ascii="IRNazanin" w:hAnsi="IRNazanin" w:eastAsia="IRNazanin" w:cs="IRNazanin"/>
          <w:lang w:bidi="fa-IR"/>
          <w:color w:val="111111"/>
          <w:sz w:val="28"/>
          <w:szCs w:val="28"/>
          <w:rtl/>
        </w:rPr>
        <w:t xml:space="preserve">«قارعة» به معنای داهیه است، یعنی مصیبت بزرگی از انواع مصائب که بر جانها و اموال کافران وارد می‏شود و آنها را در هم می‏کوبد.</w:t>
      </w:r>
    </w:p>
    <w:p>
      <w:pPr>
        <w:pStyle w:val="BookText"/>
      </w:pPr>
      <w:r>
        <w:rPr>
          <w:rFonts w:ascii="IRNazanin" w:hAnsi="IRNazanin" w:eastAsia="IRNazanin" w:cs="IRNazanin"/>
          <w:lang w:bidi="fa-IR"/>
          <w:color w:val="111111"/>
          <w:sz w:val="28"/>
          <w:szCs w:val="28"/>
          <w:rtl/>
        </w:rPr>
        <w:t xml:space="preserve">«أَوْ تَحُلُّ» یا این مصیبتهای کوبنده در نزدیکی خانه‏های آنان فرود می‏آید تا وعده الهی که مرگ آنها، یا قیامت است فرا رسد. برخی گفته‏اند منظور از (قارعة) سریّه‏های پیامبر است که عدّه‏ای را به سوی کافران می‏فرستاد و آنها به اطراف مکه هجوم می‏بردند و افرادی از آنان را می‏ربودند.</w:t>
      </w:r>
    </w:p>
    <w:p>
      <w:pPr>
        <w:pStyle w:val="BookText"/>
      </w:pPr>
      <w:r>
        <w:rPr>
          <w:rFonts w:ascii="IRNazanin" w:hAnsi="IRNazanin" w:eastAsia="IRNazanin" w:cs="IRNazanin"/>
          <w:lang w:bidi="fa-IR"/>
          <w:color w:val="111111"/>
          <w:sz w:val="28"/>
          <w:szCs w:val="28"/>
          <w:rtl/>
        </w:rPr>
        <w:t xml:space="preserve">معنای دیگر آیه این است: یا این که تو ای محمّد صلی اللَّه علیه و آله با لشکر خودت در نزدیک خانه آنها فرود آیی، چنان که در حدیبیه بر آنها وارد شدی.</w:t>
      </w:r>
    </w:p>
    <w:p>
      <w:pPr>
        <w:pStyle w:val="BookText"/>
      </w:pPr>
      <w:r>
        <w:rPr>
          <w:rFonts w:ascii="IRNazanin" w:hAnsi="IRNazanin" w:eastAsia="IRNazanin" w:cs="IRNazanin"/>
          <w:lang w:bidi="fa-IR"/>
          <w:color w:val="111111"/>
          <w:sz w:val="28"/>
          <w:szCs w:val="28"/>
          <w:rtl/>
        </w:rPr>
        <w:t xml:space="preserve">حَتَّی یَأْتِیَ وَعْدُ اللَّهِ تا وعده خدا که همان فتح مکّه است فرا رسد چرا که خدا این وعده را به پیامبر داده بود.</w:t>
      </w:r>
    </w:p>
    <w:p>
      <w:pPr>
        <w:pStyle w:val="BookText"/>
      </w:pPr>
      <w:r>
        <w:rPr>
          <w:rFonts w:ascii="IRNazanin" w:hAnsi="IRNazanin" w:eastAsia="IRNazanin" w:cs="IRNazanin"/>
          <w:lang w:bidi="fa-IR"/>
          <w:color w:val="111111"/>
          <w:sz w:val="28"/>
          <w:szCs w:val="28"/>
          <w:rtl/>
        </w:rPr>
        <w:t xml:space="preserve">[شماره صفحه واقعی : 283]
</w:t>
      </w:r>
    </w:p>
    <w:p>
      <w:pPr>
        <w:sectPr>
          <w:footerReference w:type="default" r:id="rId1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«فَأَمْلَیْتُ» املاء مهلت دادن است و این که دوره‏ای از زمان در راحت و امن واگذار شود، مثل این که حیوانی را در چراگاه بدون هیچ مزاحمی رها کنند. این جمله تهدیدی برای کافران است.</w:t>
      </w:r>
    </w:p>
    <w:p>
      <w:pPr>
        <w:pStyle w:val="BookText"/>
      </w:pPr>
      <w:r>
        <w:rPr>
          <w:rFonts w:ascii="IRNazanin" w:hAnsi="IRNazanin" w:eastAsia="IRNazanin" w:cs="IRNazanin"/>
          <w:lang w:bidi="fa-IR"/>
          <w:color w:val="111111"/>
          <w:sz w:val="28"/>
          <w:szCs w:val="28"/>
          <w:rtl/>
        </w:rPr>
        <w:t xml:space="preserve">أَ فَمَنْ هُوَ قائِمٌ این جمله اعتراض بر کافران است که شرک به خدا آورده‏اند، یعنی آیا خدایی که مراقب است و هر کسی را که به سبب کارهایش خوب یا بد است می‏بیند و خیر و شرّ آنها را می‏داند و جزایشان را مهیّا می‏کند، مانند کسی است که چنین نیست؟ و جایز است لفظی را در تقدیر گرفت که خبر برای مبتدا، و «جعلوا» عطف بر آن و تقدیر چنین باشد: أ فمن هو بهذه الصّفة (مبتدا)، لم یوحّدوه (خبر) و جعلوا له شرکاء ...</w:t>
      </w:r>
    </w:p>
    <w:p>
      <w:pPr>
        <w:pStyle w:val="BookText"/>
      </w:pPr>
      <w:r>
        <w:rPr>
          <w:rFonts w:ascii="IRNazanin" w:hAnsi="IRNazanin" w:eastAsia="IRNazanin" w:cs="IRNazanin"/>
          <w:lang w:bidi="fa-IR"/>
          <w:color w:val="111111"/>
          <w:sz w:val="28"/>
          <w:szCs w:val="28"/>
          <w:rtl/>
        </w:rPr>
        <w:t xml:space="preserve">بنا بر این، معنای آیه چنین می‏شود: آیا کسی را که دارای این همه ویژگیها است، یگانه‏اش نمی‏دانند و برای او که تنها خدای سزاوار پرستش است شریکهایی قرار می‏دهند؟</w:t>
      </w:r>
    </w:p>
    <w:p>
      <w:pPr>
        <w:pStyle w:val="BookText"/>
      </w:pPr>
      <w:r>
        <w:rPr>
          <w:rFonts w:ascii="IRNazanin" w:hAnsi="IRNazanin" w:eastAsia="IRNazanin" w:cs="IRNazanin"/>
          <w:lang w:bidi="fa-IR"/>
          <w:color w:val="111111"/>
          <w:sz w:val="28"/>
          <w:szCs w:val="28"/>
          <w:rtl/>
        </w:rPr>
        <w:t xml:space="preserve">قُلْ سَمُّوهُمْ به آنها بگو: شما که شریکهایی برای او قرار داده‏اید، نام آنها را بگویید و خدای یکتا را از آنها با خبر سازید.</w:t>
      </w:r>
    </w:p>
    <w:p>
      <w:pPr>
        <w:pStyle w:val="BookText"/>
      </w:pPr>
      <w:r>
        <w:rPr>
          <w:rFonts w:ascii="IRNazanin" w:hAnsi="IRNazanin" w:eastAsia="IRNazanin" w:cs="IRNazanin"/>
          <w:lang w:bidi="fa-IR"/>
          <w:color w:val="111111"/>
          <w:sz w:val="28"/>
          <w:szCs w:val="28"/>
          <w:rtl/>
        </w:rPr>
        <w:t xml:space="preserve">أَمْ تُنَبِّئُونَهُ بِما لا یَعْلَمُ فِی الْأَرْضِ حرف «ام» منقطعه و معنای آیه این است: بلکه آیا از وجود شریکهایی برای او خبر می‏دهید، که خود او، با این که بر تمام موجودات آسمانها و زمین آگاه است، از وجود این شرکا خبر ندارد، زیرا اینها چیزی نیستند که علم خداوند به آن تعلق گیرد. مقصود، نفی شریک برای خداست و به همین معناست آیه: قُلْ أَ تُنَبِّئُونَ اللَّهَ بِما لا یَعْلَمُ فِی السَّماواتِ وَ لا فِی الْأَرْضِ «بگو آیا خدا را از چیزی خبر می‏دهید که از وجود آن آگاهی ندارد، نه در آسمانها و نه در زمین» (یونس/ 18).</w:t>
      </w:r>
    </w:p>
    <w:p>
      <w:pPr>
        <w:pStyle w:val="BookText"/>
      </w:pPr>
      <w:r>
        <w:rPr>
          <w:rFonts w:ascii="IRNazanin" w:hAnsi="IRNazanin" w:eastAsia="IRNazanin" w:cs="IRNazanin"/>
          <w:lang w:bidi="fa-IR"/>
          <w:color w:val="111111"/>
          <w:sz w:val="28"/>
          <w:szCs w:val="28"/>
          <w:rtl/>
        </w:rPr>
        <w:t xml:space="preserve">أَمْ بِظاهِرٍ مِنَ الْقَوْلِ یا تنها با یک گفته ظاهری و بدون حقیقت آنها را شریک خدا می‏خوانید (و به گفته خود ایمان ندارید).</w:t>
      </w:r>
    </w:p>
    <w:p>
      <w:pPr>
        <w:pStyle w:val="BookText"/>
      </w:pPr>
      <w:r>
        <w:rPr>
          <w:rFonts w:ascii="IRNazanin" w:hAnsi="IRNazanin" w:eastAsia="IRNazanin" w:cs="IRNazanin"/>
          <w:lang w:bidi="fa-IR"/>
          <w:color w:val="111111"/>
          <w:sz w:val="28"/>
          <w:szCs w:val="28"/>
          <w:rtl/>
        </w:rPr>
        <w:t xml:space="preserve">[شماره صفحه واقعی : 284]
</w:t>
      </w:r>
    </w:p>
    <w:p>
      <w:pPr>
        <w:sectPr>
          <w:footerReference w:type="default" r:id="rId1383"/>
          <w:footnotePr>
            <w:numStart w:val="1"/>
            <w:numRestart w:val="eachPage"/>
          </w:footnotePr>
          <w:pgSz w:orient="portrait" w:w="11905.511811023622" w:h="16837.79527559055"/>
          <w:pgMar w:top="1440" w:right="1440" w:bottom="1440" w:left="1440" w:header="720" w:footer="720" w:gutter="0"/>
          <w:cols w:num="1" w:space="720"/>
        </w:sectPr>
      </w:pPr>
    </w:p>
    <w:bookmarkStart w:id="777" w:name="pg14411_143765"/>
    <w:bookmarkEnd w:id="777"/>
    <w:p>
      <w:pPr>
        <w:pStyle w:val="BookText"/>
      </w:pPr>
      <w:r>
        <w:rPr>
          <w:rFonts w:ascii="IRNazanin" w:hAnsi="IRNazanin" w:eastAsia="IRNazanin" w:cs="IRNazanin"/>
          <w:lang w:bidi="fa-IR"/>
          <w:color w:val="111111"/>
          <w:sz w:val="28"/>
          <w:szCs w:val="28"/>
          <w:rtl/>
        </w:rPr>
        <w:t xml:space="preserve">این روشهای شگفت انگیز در احتجاج با کفّار، با زبان فصیح اعلان می‏کند که قرآن سخن بشر نیست.</w:t>
      </w:r>
    </w:p>
    <w:p>
      <w:pPr>
        <w:pStyle w:val="BookText"/>
      </w:pPr>
      <w:r>
        <w:rPr>
          <w:rFonts w:ascii="Amiri" w:hAnsi="Amiri" w:eastAsia="Amiri" w:cs="Amiri"/>
          <w:lang w:bidi="ar-SA"/>
          <w:color w:val="111111"/>
          <w:sz w:val="28"/>
          <w:szCs w:val="28"/>
          <w:rtl/>
        </w:rPr>
        <w:t xml:space="preserve">وَ صُدُّوا عَنِ السَّبِیلِ فعل «صدّوا»، با فتح و ضم صاد قرائت شده است.</w:t>
      </w:r>
    </w:p>
    <w:p>
      <w:pPr>
        <w:pStyle w:val="BookText"/>
      </w:pPr>
      <w:r>
        <w:rPr>
          <w:rFonts w:ascii="IRNazanin" w:hAnsi="IRNazanin" w:eastAsia="IRNazanin" w:cs="IRNazanin"/>
          <w:lang w:bidi="fa-IR"/>
          <w:color w:val="111111"/>
          <w:sz w:val="28"/>
          <w:szCs w:val="28"/>
          <w:rtl/>
        </w:rPr>
        <w:t xml:space="preserve">«وَ مَنْ یُضْلِلِ اللَّهُ» کسی را که خداوند، به دلیل این که می‏داند هدایت نمی‏شود، به خود واگذارش کند، هیچ کس برای او پیدا نمی‏شود که بتواند وی را هدایت کند.</w:t>
      </w:r>
    </w:p>
    <w:p>
      <w:pPr>
        <w:pStyle w:val="BookText"/>
      </w:pPr>
      <w:r>
        <w:rPr>
          <w:rFonts w:ascii="Amiri" w:hAnsi="Amiri" w:eastAsia="Amiri" w:cs="Amiri"/>
          <w:lang w:bidi="ar-SA"/>
          <w:color w:val="111111"/>
          <w:sz w:val="28"/>
          <w:szCs w:val="28"/>
          <w:rtl/>
        </w:rPr>
        <w:t xml:space="preserve">لَهُمْ عَذابٌ‏</w:t>
      </w:r>
    </w:p>
    <w:p>
      <w:pPr>
        <w:pStyle w:val="BookText"/>
      </w:pPr>
      <w:r>
        <w:rPr>
          <w:rFonts w:ascii="IRNazanin" w:hAnsi="IRNazanin" w:eastAsia="IRNazanin" w:cs="IRNazanin"/>
          <w:lang w:bidi="fa-IR"/>
          <w:color w:val="111111"/>
          <w:sz w:val="28"/>
          <w:szCs w:val="28"/>
          <w:rtl/>
        </w:rPr>
        <w:t xml:space="preserve">برای آنها کیفر دنیاست: کشته می‏شوند و به اسارت و دربدری و بلاهای دیگر گرفتار می‏شوند و این چنین، عقوبت دنیوی کفر خود را می‏چشند. وَ ما لَهُمْ مِنَ اللَّهِ مِنْ واقٍ‏</w:t>
      </w:r>
    </w:p>
    <w:p>
      <w:pPr>
        <w:pStyle w:val="BookText"/>
      </w:pPr>
      <w:r>
        <w:rPr>
          <w:rFonts w:ascii="IRNazanin" w:hAnsi="IRNazanin" w:eastAsia="IRNazanin" w:cs="IRNazanin"/>
          <w:lang w:bidi="fa-IR"/>
          <w:color w:val="111111"/>
          <w:sz w:val="28"/>
          <w:szCs w:val="28"/>
          <w:rtl/>
        </w:rPr>
        <w:t xml:space="preserve">و هیچ دفاع کننده‏ای برای آنها نیست که عذاب الهی را از آنها بردارد.</w:t>
      </w:r>
    </w:p>
    <w:p>
      <w:pPr>
        <w:pStyle w:val="Heading6"/>
      </w:pPr>
      <w:bookmarkStart w:id="2545" w:name="_Toc1580"/>
      <w:r>
        <w:t>[سوره الرعد «13»: آیات 35 تا 37]</w:t>
      </w:r>
      <w:bookmarkEnd w:id="2545"/>
    </w:p>
    <w:p>
      <w:pPr>
        <w:pStyle w:val="Heading6"/>
      </w:pPr>
      <w:bookmarkStart w:id="2546" w:name="_Toc1581"/>
      <w:r>
        <w:t>اشاره</w:t>
      </w:r>
      <w:bookmarkEnd w:id="2546"/>
    </w:p>
    <w:p>
      <w:pPr>
        <w:pStyle w:val="BookText"/>
      </w:pPr>
      <w:r>
        <w:rPr>
          <w:rFonts w:ascii="Amiri" w:hAnsi="Amiri" w:eastAsia="Amiri" w:cs="Amiri"/>
          <w:lang w:bidi="ar-SA"/>
          <w:color w:val="111111"/>
          <w:sz w:val="28"/>
          <w:szCs w:val="28"/>
          <w:rtl/>
        </w:rPr>
        <w:t xml:space="preserve">مَثَلُ الْجَنَّةِ الَّتِی وُعِدَ الْمُتَّقُونَ تَجْرِی مِنْ تَحْتِهَا الْأَنْهارُ أُکُلُها دائِمٌ وَ ظِلُّها تِلْکَ عُقْبَی الَّذِینَ اتَّقَوْا وَ عُقْبَی الْکافِرِینَ النَّارُ «35» وَ الَّذِینَ آتَیْناهُمُ الْکِتابَ یَفْرَحُونَ بِما أُنْزِلَ إِلَیْکَ وَ مِنَ الْأَحْزابِ مَنْ یُنْکِرُ بَعْضَهُ قُلْ إِنَّما أُمِرْتُ أَنْ أَعْبُدَ اللَّهَ وَ لا أُشْرِکَ بِهِ إِلَیْهِ أَدْعُوا وَ إِلَیْهِ مَآبِ «36» وَ کَذلِکَ أَنْزَلْناهُ حُکْماً عَرَبِیًّا وَ لَئِنِ اتَّبَعْتَ أَهْواءَهُمْ بَعْدَ ما جاءَکَ مِنَ الْعِلْمِ ما لَکَ مِنَ اللَّهِ مِنْ وَلِیٍّ وَ لا واقٍ «37»</w:t>
      </w:r>
    </w:p>
    <w:p>
      <w:pPr>
        <w:pStyle w:val="Heading6"/>
      </w:pPr>
      <w:bookmarkStart w:id="2547" w:name="_Toc1582"/>
      <w:r>
        <w:t>ترجمه:</w:t>
      </w:r>
      <w:bookmarkEnd w:id="2547"/>
    </w:p>
    <w:p>
      <w:pPr>
        <w:pStyle w:val="BookText"/>
      </w:pPr>
      <w:r>
        <w:rPr>
          <w:rFonts w:ascii="IRNazanin" w:hAnsi="IRNazanin" w:eastAsia="IRNazanin" w:cs="IRNazanin"/>
          <w:lang w:bidi="fa-IR"/>
          <w:color w:val="111111"/>
          <w:sz w:val="28"/>
          <w:szCs w:val="28"/>
          <w:rtl/>
        </w:rPr>
        <w:t xml:space="preserve">بهشتی که به پرهیزگاران وعده داده شده‏اند، نهرها از زیر درختانش روان است میوه‏های آن همیشگی و سایه‏هایش دائمی است، این سرانجام کسانی است که پرهیزگاری پیشه کردند و سرانجام کافران آتش است. «35»</w:t>
      </w:r>
    </w:p>
    <w:p>
      <w:pPr>
        <w:pStyle w:val="BookText"/>
      </w:pPr>
      <w:r>
        <w:rPr>
          <w:rFonts w:ascii="IRNazanin" w:hAnsi="IRNazanin" w:eastAsia="IRNazanin" w:cs="IRNazanin"/>
          <w:lang w:bidi="fa-IR"/>
          <w:color w:val="111111"/>
          <w:sz w:val="28"/>
          <w:szCs w:val="28"/>
          <w:rtl/>
        </w:rPr>
        <w:t xml:space="preserve">و آنان که کتاب را به آنها دادیم به آنچه بر تو نازل شده، شادمانند، و بعضی از گروه‏ها و احزاب قسمتی از آن را انکار می‏کنند، بگو- من مأمورم که خدای یکتا را بپرستم و برای او شریکی قرار ندهم بسوی او دعوت می‏کنم و به جانب وی باز می‏گردم. «36»</w:t>
      </w:r>
    </w:p>
    <w:p>
      <w:pPr>
        <w:pStyle w:val="BookText"/>
      </w:pPr>
      <w:r>
        <w:rPr>
          <w:rFonts w:ascii="IRNazanin" w:hAnsi="IRNazanin" w:eastAsia="IRNazanin" w:cs="IRNazanin"/>
          <w:lang w:bidi="fa-IR"/>
          <w:color w:val="111111"/>
          <w:sz w:val="28"/>
          <w:szCs w:val="28"/>
          <w:rtl/>
        </w:rPr>
        <w:t xml:space="preserve">[شماره صفحه واقعی : 285]
</w:t>
      </w:r>
    </w:p>
    <w:p>
      <w:pPr>
        <w:sectPr>
          <w:footerReference w:type="default" r:id="rId1384"/>
          <w:footnotePr>
            <w:numStart w:val="1"/>
            <w:numRestart w:val="eachPage"/>
          </w:footnotePr>
          <w:pgSz w:orient="portrait" w:w="11905.511811023622" w:h="16837.79527559055"/>
          <w:pgMar w:top="1440" w:right="1440" w:bottom="1440" w:left="1440" w:header="720" w:footer="720" w:gutter="0"/>
          <w:cols w:num="1" w:space="720"/>
        </w:sectPr>
      </w:pPr>
    </w:p>
    <w:bookmarkStart w:id="778" w:name="pg14411_143766"/>
    <w:bookmarkEnd w:id="778"/>
    <w:p>
      <w:pPr>
        <w:pStyle w:val="BookText"/>
      </w:pPr>
      <w:r>
        <w:rPr>
          <w:rFonts w:ascii="IRNazanin" w:hAnsi="IRNazanin" w:eastAsia="IRNazanin" w:cs="IRNazanin"/>
          <w:lang w:bidi="fa-IR"/>
          <w:color w:val="111111"/>
          <w:sz w:val="28"/>
          <w:szCs w:val="28"/>
          <w:rtl/>
        </w:rPr>
        <w:t xml:space="preserve">همانند پیامبران پیشین، بر تو نیز فرمان روشن و صریحی نازل کردیم و اگر، پس از آن که آگاهی برای تو آمده، از هوسهای آنها پیروی کنی، هیچکس از تو، در برابر خداوند جانبداری نخواهد کرد. «37»</w:t>
      </w:r>
    </w:p>
    <w:p>
      <w:pPr>
        <w:pStyle w:val="Heading6"/>
      </w:pPr>
      <w:bookmarkStart w:id="2548" w:name="_Toc1583"/>
      <w:r>
        <w:t>تفسیر:</w:t>
      </w:r>
      <w:bookmarkEnd w:id="2548"/>
    </w:p>
    <w:p>
      <w:pPr>
        <w:pStyle w:val="BookText"/>
      </w:pPr>
      <w:r>
        <w:rPr>
          <w:rFonts w:ascii="IRNazanin" w:hAnsi="IRNazanin" w:eastAsia="IRNazanin" w:cs="IRNazanin"/>
          <w:lang w:bidi="fa-IR"/>
          <w:color w:val="111111"/>
          <w:sz w:val="28"/>
          <w:szCs w:val="28"/>
          <w:rtl/>
        </w:rPr>
        <w:t xml:space="preserve">مَثَلُ الْجَنَّةِ الَّتِی وُعِدَ الْمُتَّقُونَ منظور از این عبارت، بیان صفت بهشت است به وصفی در نهایت شگفتی و بالاتر از تصوّر. </w:t>
      </w:r>
      <w:r>
        <w:rPr>
          <w:rStyle w:val="FootnoteReference"/>
        </w:rPr>
        <w:footnoteReference w:id="4537"/>
      </w:r>
    </w:p>
    <w:p>
      <w:pPr>
        <w:pStyle w:val="BookText"/>
      </w:pPr>
      <w:r>
        <w:rPr>
          <w:rFonts w:ascii="IRNazanin" w:hAnsi="IRNazanin" w:eastAsia="IRNazanin" w:cs="IRNazanin"/>
          <w:lang w:bidi="fa-IR"/>
          <w:color w:val="111111"/>
          <w:sz w:val="28"/>
          <w:szCs w:val="28"/>
          <w:rtl/>
        </w:rPr>
        <w:t xml:space="preserve">این کلمه، نزد سیبویه مبتداست و خبرش محذوف، و تقدیر آن چنین است فیما نقص علیکم مثل الجنة ویژگی بهشت در اموری است که هم اکنون برای شما بازگو می‏کنم.</w:t>
      </w:r>
    </w:p>
    <w:p>
      <w:pPr>
        <w:pStyle w:val="BookText"/>
      </w:pPr>
      <w:r>
        <w:rPr>
          <w:rFonts w:ascii="IRNazanin" w:hAnsi="IRNazanin" w:eastAsia="IRNazanin" w:cs="IRNazanin"/>
          <w:lang w:bidi="fa-IR"/>
          <w:color w:val="111111"/>
          <w:sz w:val="28"/>
          <w:szCs w:val="28"/>
          <w:rtl/>
        </w:rPr>
        <w:t xml:space="preserve">و به اعتقاد دیگران تَجْرِی مِنْ تَحْتِهَا الْأَنْهارُ خبر است، چنان که می‏گویی «صفة زید أسمر» رنگ زید گندمگون است.</w:t>
      </w:r>
    </w:p>
    <w:p>
      <w:pPr>
        <w:pStyle w:val="BookText"/>
      </w:pPr>
      <w:r>
        <w:rPr>
          <w:rFonts w:ascii="IRNazanin" w:hAnsi="IRNazanin" w:eastAsia="IRNazanin" w:cs="IRNazanin"/>
          <w:lang w:bidi="fa-IR"/>
          <w:color w:val="111111"/>
          <w:sz w:val="28"/>
          <w:szCs w:val="28"/>
          <w:rtl/>
        </w:rPr>
        <w:t xml:space="preserve">زجّاج عبارت را چنین معنا کرده است: «مثل الجنّة جنّة تجری من تحتها الانهار» مثل این بهشت، بهشتی است که از زیر آن، نهرها جاری است موصوف که «جنّة» بوده حذف شده از باب تشبیه آنچه از دیده‏ها پنهان است به چیزی که آن را مشاهده می‏کنیم.</w:t>
      </w:r>
    </w:p>
    <w:p>
      <w:pPr>
        <w:pStyle w:val="BookText"/>
      </w:pPr>
      <w:r>
        <w:rPr>
          <w:rFonts w:ascii="IRNazanin" w:hAnsi="IRNazanin" w:eastAsia="IRNazanin" w:cs="IRNazanin"/>
          <w:lang w:bidi="fa-IR"/>
          <w:color w:val="111111"/>
          <w:sz w:val="28"/>
          <w:szCs w:val="28"/>
          <w:rtl/>
        </w:rPr>
        <w:t xml:space="preserve">أُکُلُها دائِمٌ خوردنیهایش همیشگی است، مثل آیه لا مَقْطُوعَةٍ وَ لا مَمْنُوعَةٍ «میوه‏های بهشتی قطع و منع نمی‏شود» (واقعه/ 33).</w:t>
      </w:r>
    </w:p>
    <w:p>
      <w:pPr>
        <w:pStyle w:val="BookText"/>
      </w:pPr>
      <w:r>
        <w:rPr>
          <w:rFonts w:ascii="IRNazanin" w:hAnsi="IRNazanin" w:eastAsia="IRNazanin" w:cs="IRNazanin"/>
          <w:lang w:bidi="fa-IR"/>
          <w:color w:val="111111"/>
          <w:sz w:val="28"/>
          <w:szCs w:val="28"/>
          <w:rtl/>
        </w:rPr>
        <w:t xml:space="preserve">وَ ظِلُّها سایه‏اش همیشگی است و از بین نمی‏رود، مثل سایه‏های دنیا نیست که</w:t>
      </w:r>
    </w:p>
    <w:p>
      <w:pPr>
        <w:pStyle w:val="BookText"/>
      </w:pPr>
      <w:r>
        <w:rPr>
          <w:rFonts w:ascii="IRNazanin" w:hAnsi="IRNazanin" w:eastAsia="IRNazanin" w:cs="IRNazanin"/>
          <w:lang w:bidi="fa-IR"/>
          <w:color w:val="111111"/>
          <w:sz w:val="28"/>
          <w:szCs w:val="28"/>
          <w:rtl/>
        </w:rPr>
        <w:t xml:space="preserve">[شماره صفحه واقعی : 286]
</w:t>
      </w:r>
    </w:p>
    <w:p>
      <w:pPr>
        <w:sectPr>
          <w:footerReference w:type="default" r:id="rId1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وسیله خورشید از بین می‏رود.</w:t>
      </w:r>
    </w:p>
    <w:p>
      <w:pPr>
        <w:pStyle w:val="BookText"/>
      </w:pPr>
      <w:r>
        <w:rPr>
          <w:rFonts w:ascii="IRNazanin" w:hAnsi="IRNazanin" w:eastAsia="IRNazanin" w:cs="IRNazanin"/>
          <w:lang w:bidi="fa-IR"/>
          <w:color w:val="111111"/>
          <w:sz w:val="28"/>
          <w:szCs w:val="28"/>
          <w:rtl/>
        </w:rPr>
        <w:t xml:space="preserve">وَ الَّذِینَ آتَیْناهُمُ الْکِتابَ منظور از اهل کتاب عبد اللَّه سلام، کعب و یارانشان و کسانی از نصاری هستند که مسلمان شدند و هشتاد نفر بودند، چهل نفر در نجران و سی و دو نفر در سرزمین حبشه و هشت نفرشان در یمن بودند، آنها به آنچه بر تو، نازل شده شادمان می‏شوند.</w:t>
      </w:r>
    </w:p>
    <w:p>
      <w:pPr>
        <w:pStyle w:val="BookText"/>
      </w:pPr>
      <w:r>
        <w:rPr>
          <w:rFonts w:ascii="IRNazanin" w:hAnsi="IRNazanin" w:eastAsia="IRNazanin" w:cs="IRNazanin"/>
          <w:lang w:bidi="fa-IR"/>
          <w:color w:val="111111"/>
          <w:sz w:val="28"/>
          <w:szCs w:val="28"/>
          <w:rtl/>
        </w:rPr>
        <w:t xml:space="preserve">وَ مِنَ الْأَحْزابِ مَنْ یُنْکِرُ ... برخی از گروه‏های کفّار که بر دشمنی پیامبر اجتماع کرده‏اند قسمتی از آیات قرآن را که مخالف احکام آنهاست منکر می‏شوند و غیر آن از احکامی را که تحریف کرده و تغییر داده‏اند.</w:t>
      </w:r>
    </w:p>
    <w:p>
      <w:pPr>
        <w:pStyle w:val="BookText"/>
      </w:pPr>
      <w:r>
        <w:rPr>
          <w:rFonts w:ascii="IRNazanin" w:hAnsi="IRNazanin" w:eastAsia="IRNazanin" w:cs="IRNazanin"/>
          <w:lang w:bidi="fa-IR"/>
          <w:color w:val="111111"/>
          <w:sz w:val="28"/>
          <w:szCs w:val="28"/>
          <w:rtl/>
        </w:rPr>
        <w:t xml:space="preserve">قُلْ إِنَّما أُمِرْتُ بگو: در آنچه که بر من نازل شده مأموریت یافته‏ام که خدای را عبادت کنم و برای او شرک نیاورم. پس این که شما آنچه را بر من نازل شده انکار می‏کنید در حقیقت، عبادت خدا و توحید او را منکر شده‏اید.</w:t>
      </w:r>
    </w:p>
    <w:p>
      <w:pPr>
        <w:pStyle w:val="BookText"/>
      </w:pPr>
      <w:r>
        <w:rPr>
          <w:rFonts w:ascii="IRNazanin" w:hAnsi="IRNazanin" w:eastAsia="IRNazanin" w:cs="IRNazanin"/>
          <w:lang w:bidi="fa-IR"/>
          <w:color w:val="111111"/>
          <w:sz w:val="28"/>
          <w:szCs w:val="28"/>
          <w:rtl/>
        </w:rPr>
        <w:t xml:space="preserve">إِلَیْهِ أَدْعُوا تنها به سوی او دعوت می‏کنم نه به سوی غیرش و بازگشتم به جانب اوست نه غیر او. پس معنایی برای انکار شما نیست، در صورتی که شما هم مانند این را می‏گویید.</w:t>
      </w:r>
    </w:p>
    <w:p>
      <w:pPr>
        <w:pStyle w:val="BookText"/>
      </w:pPr>
      <w:r>
        <w:rPr>
          <w:rFonts w:ascii="IRNazanin" w:hAnsi="IRNazanin" w:eastAsia="IRNazanin" w:cs="IRNazanin"/>
          <w:lang w:bidi="fa-IR"/>
          <w:color w:val="111111"/>
          <w:sz w:val="28"/>
          <w:szCs w:val="28"/>
          <w:rtl/>
        </w:rPr>
        <w:t xml:space="preserve">وَ کَذلِکَ أَنْزَلْناهُ و مانند آنچه که بر انبیای پیشین فرستادیم که در آن، امر به عبادت خدا و یکتایی او، و دعوت به سوی خدا و دین او بود، این کتاب را هم بر تو نازل کردیم.</w:t>
      </w:r>
    </w:p>
    <w:p>
      <w:pPr>
        <w:pStyle w:val="BookText"/>
      </w:pPr>
      <w:r>
        <w:rPr>
          <w:rFonts w:ascii="IRNazanin" w:hAnsi="IRNazanin" w:eastAsia="IRNazanin" w:cs="IRNazanin"/>
          <w:lang w:bidi="fa-IR"/>
          <w:color w:val="111111"/>
          <w:sz w:val="28"/>
          <w:szCs w:val="28"/>
          <w:rtl/>
        </w:rPr>
        <w:t xml:space="preserve">حُکْماً عَرَبِیًّا پند و حکمتی که با زبان عربی ترجمه شده. نصب «حکما» بنا بر حالیت است.</w:t>
      </w:r>
    </w:p>
    <w:p>
      <w:pPr>
        <w:pStyle w:val="BookText"/>
      </w:pPr>
      <w:r>
        <w:rPr>
          <w:rFonts w:ascii="IRNazanin" w:hAnsi="IRNazanin" w:eastAsia="IRNazanin" w:cs="IRNazanin"/>
          <w:lang w:bidi="fa-IR"/>
          <w:color w:val="111111"/>
          <w:sz w:val="28"/>
          <w:szCs w:val="28"/>
          <w:rtl/>
        </w:rPr>
        <w:t xml:space="preserve">وَ لَئِنِ اتَّبَعْتَ أَهْواءَهُمْ ... اموری که کافران تو را دعوت می‏کنند که با آنها موافقت کنی، جز هوا و هوسها و شبهات چیزی نیست، یعنی پس از آن که با دلیلهای روشن برایت علم و آگاهی پیدا شد اگر از خواسته‏های آنان پیروی کنی خدا تو را یاری نمی‏کند بلکه بخود واگذارت می‏کند و هیچ نگهدارنده‏ای برای تو نخواهد بود. این</w:t>
      </w:r>
    </w:p>
    <w:p>
      <w:pPr>
        <w:pStyle w:val="BookText"/>
      </w:pPr>
      <w:r>
        <w:rPr>
          <w:rFonts w:ascii="IRNazanin" w:hAnsi="IRNazanin" w:eastAsia="IRNazanin" w:cs="IRNazanin"/>
          <w:lang w:bidi="fa-IR"/>
          <w:color w:val="111111"/>
          <w:sz w:val="28"/>
          <w:szCs w:val="28"/>
          <w:rtl/>
        </w:rPr>
        <w:t xml:space="preserve">[شماره صفحه واقعی : 287]
</w:t>
      </w:r>
    </w:p>
    <w:p>
      <w:pPr>
        <w:sectPr>
          <w:footerReference w:type="default" r:id="rId1386"/>
          <w:footnotePr>
            <w:numStart w:val="1"/>
            <w:numRestart w:val="eachPage"/>
          </w:footnotePr>
          <w:pgSz w:orient="portrait" w:w="11905.511811023622" w:h="16837.79527559055"/>
          <w:pgMar w:top="1440" w:right="1440" w:bottom="1440" w:left="1440" w:header="720" w:footer="720" w:gutter="0"/>
          <w:cols w:num="1" w:space="720"/>
        </w:sectPr>
      </w:pPr>
    </w:p>
    <w:bookmarkStart w:id="779" w:name="pg14411_143768"/>
    <w:bookmarkEnd w:id="779"/>
    <w:p>
      <w:pPr>
        <w:pStyle w:val="BookText"/>
      </w:pPr>
      <w:r>
        <w:rPr>
          <w:rFonts w:ascii="IRNazanin" w:hAnsi="IRNazanin" w:eastAsia="IRNazanin" w:cs="IRNazanin"/>
          <w:lang w:bidi="fa-IR"/>
          <w:color w:val="111111"/>
          <w:sz w:val="28"/>
          <w:szCs w:val="28"/>
          <w:rtl/>
        </w:rPr>
        <w:t xml:space="preserve">بیان به منظور آن است که شنونده را برانگیزد تا در امر دین پایدار باشد، و با وجود دلیل روشن بر حقّانیت دین، منحرف نشود و پایش در امور مشتبه نلغزد و به باطل میل نکند.</w:t>
      </w:r>
    </w:p>
    <w:p>
      <w:pPr>
        <w:pStyle w:val="Heading6"/>
      </w:pPr>
      <w:bookmarkStart w:id="2549" w:name="_Toc1584"/>
      <w:r>
        <w:t>[سوره الرعد «13»: آیات 38 تا 40]</w:t>
      </w:r>
      <w:bookmarkEnd w:id="2549"/>
    </w:p>
    <w:p>
      <w:pPr>
        <w:pStyle w:val="Heading6"/>
      </w:pPr>
      <w:bookmarkStart w:id="2550" w:name="_Toc1585"/>
      <w:r>
        <w:t>اشاره</w:t>
      </w:r>
      <w:bookmarkEnd w:id="2550"/>
    </w:p>
    <w:p>
      <w:pPr>
        <w:pStyle w:val="BookText"/>
      </w:pPr>
      <w:r>
        <w:rPr>
          <w:rFonts w:ascii="Amiri" w:hAnsi="Amiri" w:eastAsia="Amiri" w:cs="Amiri"/>
          <w:lang w:bidi="ar-SA"/>
          <w:color w:val="111111"/>
          <w:sz w:val="28"/>
          <w:szCs w:val="28"/>
          <w:rtl/>
        </w:rPr>
        <w:t xml:space="preserve">وَ لَقَدْ أَرْسَلْنا رُسُلاً مِنْ قَبْلِکَ وَ جَعَلْنا لَهُمْ أَزْواجاً وَ ذُرِّیَّةً وَ ما کانَ لِرَسُولٍ أَنْ یَأْتِیَ بِآیَةٍ إِلاَّ بِإِذْنِ اللَّهِ لِکُلِّ أَجَلٍ کِتابٌ «38» یَمْحُوا اللَّهُ ما یَشاءُ وَ یُثْبِتُ وَ عِنْدَهُ أُمُّ الْکِتابِ «39» وَ إِنْ ما نُرِیَنَّکَ بَعْضَ الَّذِی نَعِدُهُمْ أَوْ نَتَوَفَّیَنَّکَ فَإِنَّما عَلَیْکَ الْبَلاغُ وَ عَلَیْنَا الْحِسابُ «40»</w:t>
      </w:r>
    </w:p>
    <w:p>
      <w:pPr>
        <w:pStyle w:val="Heading6"/>
      </w:pPr>
      <w:bookmarkStart w:id="2551" w:name="_Toc1586"/>
      <w:r>
        <w:t>ترجمه:</w:t>
      </w:r>
      <w:bookmarkEnd w:id="2551"/>
    </w:p>
    <w:p>
      <w:pPr>
        <w:pStyle w:val="BookText"/>
      </w:pPr>
      <w:r>
        <w:rPr>
          <w:rFonts w:ascii="IRNazanin" w:hAnsi="IRNazanin" w:eastAsia="IRNazanin" w:cs="IRNazanin"/>
          <w:lang w:bidi="fa-IR"/>
          <w:color w:val="111111"/>
          <w:sz w:val="28"/>
          <w:szCs w:val="28"/>
          <w:rtl/>
        </w:rPr>
        <w:t xml:space="preserve">و ما، پیش از تو، پیامبرانمان را فرستادیم و برای آنها همسران و فرزندانی قرار دادیم، و هیچ رسولی را نسزد که آیتی بیاورد مگر به اذن خداوند، برای هر مدّتی کتابی است. «38»</w:t>
      </w:r>
    </w:p>
    <w:p>
      <w:pPr>
        <w:pStyle w:val="BookText"/>
      </w:pPr>
      <w:r>
        <w:rPr>
          <w:rFonts w:ascii="IRNazanin" w:hAnsi="IRNazanin" w:eastAsia="IRNazanin" w:cs="IRNazanin"/>
          <w:lang w:bidi="fa-IR"/>
          <w:color w:val="111111"/>
          <w:sz w:val="28"/>
          <w:szCs w:val="28"/>
          <w:rtl/>
        </w:rPr>
        <w:t xml:space="preserve">خداوند هر چه را بخواهد محو، و هر چه را بخواهد اثبات می‏کند و نزد او است امّ الکتاب. «39»</w:t>
      </w:r>
    </w:p>
    <w:p>
      <w:pPr>
        <w:pStyle w:val="BookText"/>
      </w:pPr>
      <w:r>
        <w:rPr>
          <w:rFonts w:ascii="IRNazanin" w:hAnsi="IRNazanin" w:eastAsia="IRNazanin" w:cs="IRNazanin"/>
          <w:lang w:bidi="fa-IR"/>
          <w:color w:val="111111"/>
          <w:sz w:val="28"/>
          <w:szCs w:val="28"/>
          <w:rtl/>
        </w:rPr>
        <w:t xml:space="preserve">و اگر پاره‏ای از مجازاتها که به آنان وعده داده‏ایم به تو نشان دهیم، یا این که تو را بمیرانیم، همانا بر تو ابلاغ و بر ما، کیفر و حساب است. «40»</w:t>
      </w:r>
    </w:p>
    <w:p>
      <w:pPr>
        <w:pStyle w:val="Heading6"/>
      </w:pPr>
      <w:bookmarkStart w:id="2552" w:name="_Toc1587"/>
      <w:r>
        <w:t>تفسیر:</w:t>
      </w:r>
      <w:bookmarkEnd w:id="2552"/>
    </w:p>
    <w:p>
      <w:pPr>
        <w:pStyle w:val="BookText"/>
      </w:pPr>
      <w:r>
        <w:rPr>
          <w:rFonts w:ascii="IRNazanin" w:hAnsi="IRNazanin" w:eastAsia="IRNazanin" w:cs="IRNazanin"/>
          <w:lang w:bidi="fa-IR"/>
          <w:color w:val="111111"/>
          <w:sz w:val="28"/>
          <w:szCs w:val="28"/>
          <w:rtl/>
        </w:rPr>
        <w:t xml:space="preserve">وَ لَقَدْ أَرْسَلْنا رُسُلًا مِنْ قَبْلِکَ دشمنان، پیامبر اکرم را به داشتن همسران متعدد سرزنش می‏کردند. از این رو خداوند فرمود پیامبران پیشین هم مثل او، دارای همسران و فرزندان متعددی بوده‏اند و نیز هیچ یک حق آن را نداشتند که از طرف خود آیات و معجزاتی را که به آنها پیشنهاد می‏شد، بیاورند و احکام دینی دایر مدار مصلحتهاست که با اختلاف زمانها و احوال فرق می‏کند پس برای هر زمان دستوری</w:t>
      </w:r>
    </w:p>
    <w:p>
      <w:pPr>
        <w:pStyle w:val="BookText"/>
      </w:pPr>
      <w:r>
        <w:rPr>
          <w:rFonts w:ascii="IRNazanin" w:hAnsi="IRNazanin" w:eastAsia="IRNazanin" w:cs="IRNazanin"/>
          <w:lang w:bidi="fa-IR"/>
          <w:color w:val="111111"/>
          <w:sz w:val="28"/>
          <w:szCs w:val="28"/>
          <w:rtl/>
        </w:rPr>
        <w:t xml:space="preserve">[شماره صفحه واقعی : 288]
</w:t>
      </w:r>
    </w:p>
    <w:p>
      <w:pPr>
        <w:sectPr>
          <w:footerReference w:type="default" r:id="rId1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که به مقتضای آنچه صلاح بندگان باشد بر آنان واجب می‏شود. </w:t>
      </w:r>
      <w:r>
        <w:rPr>
          <w:rStyle w:val="FootnoteReference"/>
        </w:rPr>
        <w:footnoteReference w:id="4538"/>
      </w:r>
    </w:p>
    <w:p>
      <w:pPr>
        <w:pStyle w:val="BookText"/>
      </w:pPr>
      <w:r>
        <w:rPr>
          <w:rFonts w:ascii="IRNazanin" w:hAnsi="IRNazanin" w:eastAsia="IRNazanin" w:cs="IRNazanin"/>
          <w:lang w:bidi="fa-IR"/>
          <w:color w:val="111111"/>
          <w:sz w:val="28"/>
          <w:szCs w:val="28"/>
          <w:rtl/>
        </w:rPr>
        <w:t xml:space="preserve">یَمْحُوا اللَّهُ ما یَشاءُ خداوند نسخ می‏کند آنچه را نسخش را درست می‏داند و به جای آن آنچه مصلحت در اثباتش می‏بیند برقرار می‏کند یا آن را بدون نسخ باقی می‏گذارد. برخی در معنای این آیه گفته‏اند خداوند از باب فضل و رحمتش آنچه را صلاح می‏داند از گناهان بندگان از نامه عملشان محو می‏کند و عذاب را از آنان برمی‏دارد و گناه کسی را که بخواهد از روی عدالت کیفر کند باقی می‏گذارد. قول دیگر در معنای آیه این است که خداوند برخی از موجودات را محو می‏کند و برخی را از قبیل انسانها و دیگر حیوانات و گیاهان و درختان و ویژگیها و حالات آنها را باقی می‏گذارد و در نتیجه بر روزی و عمر آنها می‏افزاید و یا از آنها می‏کاهد و محو و اثبات سعادت و شقاوت نیز به دست اوست.</w:t>
      </w:r>
    </w:p>
    <w:p>
      <w:pPr>
        <w:pStyle w:val="BookText"/>
      </w:pPr>
      <w:r>
        <w:rPr>
          <w:rFonts w:ascii="IRNazanin" w:hAnsi="IRNazanin" w:eastAsia="IRNazanin" w:cs="IRNazanin"/>
          <w:lang w:bidi="fa-IR"/>
          <w:color w:val="111111"/>
          <w:sz w:val="28"/>
          <w:szCs w:val="28"/>
          <w:rtl/>
        </w:rPr>
        <w:t xml:space="preserve">وَ عِنْدَهُ أُمُّ الْکِتابِ اصل هر کتاب، یعنی لوح محفوظ در نزد اوست، زیرا همه چیز در آن، نوشته شده است.</w:t>
      </w:r>
    </w:p>
    <w:p>
      <w:pPr>
        <w:pStyle w:val="BookText"/>
      </w:pPr>
      <w:r>
        <w:rPr>
          <w:rFonts w:ascii="IRNazanin" w:hAnsi="IRNazanin" w:eastAsia="IRNazanin" w:cs="IRNazanin"/>
          <w:lang w:bidi="fa-IR"/>
          <w:color w:val="111111"/>
          <w:sz w:val="28"/>
          <w:szCs w:val="28"/>
          <w:rtl/>
        </w:rPr>
        <w:t xml:space="preserve">وَ إِنْ ما نُرِیَنَّکَ به هر حال، یا چنان است که ما بعضی از آنچه را به کافران وعده داده بودیم، از قبیل غلبه مؤمنان بر کفّار، و توانایی تو بر کشتن، اسیر کردن، و به غنیمت گرفتن دارائیهای آنان، به تو نشان داده‏ایم، و یا پیش از آن که این امور را نشان دهیم تو را به سوی خود می‏آوریم (می‏میرانیم) در هر صورت تکلیف تو فقط تبلیغ رسالت است و حساب آنان با ماست نه با تو. و ما، دیر یا زود آنها را مجازات و کیفر خواهیم کرد، و از آنان انتقام خواهیم گرفت.</w:t>
      </w:r>
    </w:p>
    <w:p>
      <w:pPr>
        <w:pStyle w:val="BookText"/>
      </w:pPr>
      <w:r>
        <w:rPr>
          <w:rFonts w:ascii="IRNazanin" w:hAnsi="IRNazanin" w:eastAsia="IRNazanin" w:cs="IRNazanin"/>
          <w:lang w:bidi="fa-IR"/>
          <w:color w:val="111111"/>
          <w:sz w:val="28"/>
          <w:szCs w:val="28"/>
          <w:rtl/>
        </w:rPr>
        <w:t xml:space="preserve">[شماره صفحه واقعی : 289]
</w:t>
      </w:r>
    </w:p>
    <w:p>
      <w:pPr>
        <w:sectPr>
          <w:footerReference w:type="default" r:id="rId1388"/>
          <w:footnotePr>
            <w:numStart w:val="1"/>
            <w:numRestart w:val="eachPage"/>
          </w:footnotePr>
          <w:pgSz w:orient="portrait" w:w="11905.511811023622" w:h="16837.79527559055"/>
          <w:pgMar w:top="1440" w:right="1440" w:bottom="1440" w:left="1440" w:header="720" w:footer="720" w:gutter="0"/>
          <w:cols w:num="1" w:space="720"/>
        </w:sectPr>
      </w:pPr>
    </w:p>
    <w:bookmarkStart w:id="780" w:name="pg14411_143770"/>
    <w:bookmarkEnd w:id="780"/>
    <w:p>
      <w:pPr>
        <w:pStyle w:val="Heading6"/>
      </w:pPr>
      <w:bookmarkStart w:id="2553" w:name="_Toc1588"/>
      <w:r>
        <w:t>[سوره الرعد «13»: آیات 41 تا 43]</w:t>
      </w:r>
      <w:bookmarkEnd w:id="2553"/>
    </w:p>
    <w:p>
      <w:pPr>
        <w:pStyle w:val="Heading6"/>
      </w:pPr>
      <w:bookmarkStart w:id="2554" w:name="_Toc1589"/>
      <w:r>
        <w:t>اشاره</w:t>
      </w:r>
      <w:bookmarkEnd w:id="2554"/>
    </w:p>
    <w:p>
      <w:pPr>
        <w:pStyle w:val="BookText"/>
      </w:pPr>
      <w:r>
        <w:rPr>
          <w:rFonts w:ascii="Amiri" w:hAnsi="Amiri" w:eastAsia="Amiri" w:cs="Amiri"/>
          <w:lang w:bidi="ar-SA"/>
          <w:color w:val="111111"/>
          <w:sz w:val="28"/>
          <w:szCs w:val="28"/>
          <w:rtl/>
        </w:rPr>
        <w:t xml:space="preserve">أَ وَ لَمْ یَرَوْا أَنَّا نَأْتِی الْأَرْضَ نَنْقُصُها مِنْ أَطْرافِها وَ اللَّهُ یَحْکُمُ لا مُعَقِّبَ لِحُکْمِهِ وَ هُوَ سَرِیعُ الْحِسابِ «41» وَ قَدْ مَکَرَ الَّذِینَ مِنْ قَبْلِهِمْ فَلِلَّهِ الْمَکْرُ جَمِیعاً یَعْلَمُ ما تَکْسِبُ کُلُّ نَفْسٍ وَ سَیَعْلَمُ الْکُفَّارُ لِمَنْ عُقْبَی الدَّارِ «42» وَ یَقُولُ الَّذِینَ کَفَرُوا لَسْتَ مُرْسَلاً قُلْ کَفی‏ بِاللَّهِ شَهِیداً بَیْنِی وَ بَیْنَکُمْ وَ مَنْ عِنْدَهُ عِلْمُ الْکِتابِ «43»</w:t>
      </w:r>
    </w:p>
    <w:p>
      <w:pPr>
        <w:pStyle w:val="Heading6"/>
      </w:pPr>
      <w:bookmarkStart w:id="2555" w:name="_Toc1590"/>
      <w:r>
        <w:t>ترجمه:</w:t>
      </w:r>
      <w:bookmarkEnd w:id="2555"/>
    </w:p>
    <w:p>
      <w:pPr>
        <w:pStyle w:val="BookText"/>
      </w:pPr>
      <w:r>
        <w:rPr>
          <w:rFonts w:ascii="IRNazanin" w:hAnsi="IRNazanin" w:eastAsia="IRNazanin" w:cs="IRNazanin"/>
          <w:lang w:bidi="fa-IR"/>
          <w:color w:val="111111"/>
          <w:sz w:val="28"/>
          <w:szCs w:val="28"/>
          <w:rtl/>
        </w:rPr>
        <w:t xml:space="preserve">آیا ندیدند که ما از جوانب زمین می‏کاهیم؟ و خداوند حکم می‏کند و هیچ کس را نرسد که حکم او را ردّ کند و حسابرسی او سریع است. «41»</w:t>
      </w:r>
    </w:p>
    <w:p>
      <w:pPr>
        <w:pStyle w:val="BookText"/>
      </w:pPr>
      <w:r>
        <w:rPr>
          <w:rFonts w:ascii="IRNazanin" w:hAnsi="IRNazanin" w:eastAsia="IRNazanin" w:cs="IRNazanin"/>
          <w:lang w:bidi="fa-IR"/>
          <w:color w:val="111111"/>
          <w:sz w:val="28"/>
          <w:szCs w:val="28"/>
          <w:rtl/>
        </w:rPr>
        <w:t xml:space="preserve">کسانی که پیش از اینها بودند فریب و نیرنگ به کار بردند، ولی تمام طرحها و نقشه‏ها از آن خداست از کار هر کس آگاه است، و به زودی کفّار خواهند دانست که سرانجام در سرای دیگر به سود کیست «42»</w:t>
      </w:r>
    </w:p>
    <w:p>
      <w:pPr>
        <w:pStyle w:val="BookText"/>
      </w:pPr>
      <w:r>
        <w:rPr>
          <w:rFonts w:ascii="IRNazanin" w:hAnsi="IRNazanin" w:eastAsia="IRNazanin" w:cs="IRNazanin"/>
          <w:lang w:bidi="fa-IR"/>
          <w:color w:val="111111"/>
          <w:sz w:val="28"/>
          <w:szCs w:val="28"/>
          <w:rtl/>
        </w:rPr>
        <w:t xml:space="preserve">آنها که کافر شدند می‏گویند: تو پیامبر نیستی. بگو: کافی است که خداوند و کسی که علم کتاب نزد او است میان من و شما گواه باشد. «43»</w:t>
      </w:r>
    </w:p>
    <w:p>
      <w:pPr>
        <w:pStyle w:val="Heading6"/>
      </w:pPr>
      <w:bookmarkStart w:id="2556" w:name="_Toc1591"/>
      <w:r>
        <w:t>تفسیر:</w:t>
      </w:r>
      <w:bookmarkEnd w:id="2556"/>
    </w:p>
    <w:p>
      <w:pPr>
        <w:pStyle w:val="BookText"/>
      </w:pPr>
      <w:r>
        <w:rPr>
          <w:rFonts w:ascii="IRNazanin" w:hAnsi="IRNazanin" w:eastAsia="IRNazanin" w:cs="IRNazanin"/>
          <w:lang w:bidi="fa-IR"/>
          <w:color w:val="111111"/>
          <w:sz w:val="28"/>
          <w:szCs w:val="28"/>
          <w:rtl/>
        </w:rPr>
        <w:t xml:space="preserve">أَنَّا نَأْتِی الْأَرْضَ نَنْقُصُها ... مراد سرزمین کفر است که خداوند می‏فرماید: ما آن را بر روی مسلمانان می‏گشاییم و در نتیجه از سرزمینهای کفّار می‏کاهیم و سرزمینهای اسلامی را افزایش می‏دهیم و این از نشانه‏های پیروزی است. حاصل معنا این که وظیفه تو ابلاغ رسالت است و به جهات دیگر کاری نداشته باش و اندوهی به خود راه مده زیرا ما تو را حفظ می‏کنیم و آنچه را از پیروزی و اعتلای کلمه اسلام که به تو وعده داده‏ایم به انجام می‏رسانیم. قول دیگر در تفسیر فعل «ننقص» آن است که به سبب از بین بردن علما و برگزیدگان کفّار، سرزمینشان را دچار نقص می‏کنیم.</w:t>
      </w:r>
    </w:p>
    <w:p>
      <w:pPr>
        <w:pStyle w:val="BookText"/>
      </w:pPr>
      <w:r>
        <w:rPr>
          <w:rFonts w:ascii="IRNazanin" w:hAnsi="IRNazanin" w:eastAsia="IRNazanin" w:cs="IRNazanin"/>
          <w:lang w:bidi="fa-IR"/>
          <w:color w:val="111111"/>
          <w:sz w:val="28"/>
          <w:szCs w:val="28"/>
          <w:rtl/>
        </w:rPr>
        <w:t xml:space="preserve">[شماره صفحه واقعی : 290]
</w:t>
      </w:r>
    </w:p>
    <w:p>
      <w:pPr>
        <w:sectPr>
          <w:footerReference w:type="default" r:id="rId1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مُعَقِّبَ لِحُکْمِهِ ردّ کننده‏ای برای حکم خداوند نیست، «معقّب» (تعقیب کننده) کسی است که بر شیئی حمله می‏کند تا آن را باطل سازد و از بین ببرد، و جمله در محلّ حال است گویا عبارت چنین است «و اللَّه یحکم نافذا حکمه» خدا حکم می‏کند در حالی که حکم و فرمانش نافذ و جاری است.</w:t>
      </w:r>
    </w:p>
    <w:p>
      <w:pPr>
        <w:pStyle w:val="BookText"/>
      </w:pPr>
      <w:r>
        <w:rPr>
          <w:rFonts w:ascii="IRNazanin" w:hAnsi="IRNazanin" w:eastAsia="IRNazanin" w:cs="IRNazanin"/>
          <w:lang w:bidi="fa-IR"/>
          <w:color w:val="111111"/>
          <w:sz w:val="28"/>
          <w:szCs w:val="28"/>
          <w:rtl/>
        </w:rPr>
        <w:t xml:space="preserve">وَ قَدْ مَکَرَ الَّذِینَ مِنْ قَبْلِهِمْ در این آیه خداوند کافران را متّصف به مکر و فریب کرده و سپس مکر آنها را در قبال طرحهای خود بی‏اثر دانسته و فرموده است: طرح و نقشه کامل از خداست و با جمله بعد، آن را تفسیر کرده است که هر کس آنچه انجام می‏دهد خدا پیش از آن می‏داند و بزودی کافران خواهند دانست که عاقبت نیک در سرای آخرت بهره چه کسی است، زیرا کسی که از اعمال همه (از پیش) آگاه است و برای آن کیفر یا پاداش مناسب آماده کرده، چنین عملی کاملترین چاره‏اندیشی است به این دلیل که مکر خداوند از جایی که نمی‏دانند بر آنها وارد می‏شود.</w:t>
      </w:r>
    </w:p>
    <w:p>
      <w:pPr>
        <w:pStyle w:val="BookText"/>
      </w:pPr>
      <w:r>
        <w:rPr>
          <w:rFonts w:ascii="IRNazanin" w:hAnsi="IRNazanin" w:eastAsia="IRNazanin" w:cs="IRNazanin"/>
          <w:lang w:bidi="fa-IR"/>
          <w:color w:val="111111"/>
          <w:sz w:val="28"/>
          <w:szCs w:val="28"/>
          <w:rtl/>
        </w:rPr>
        <w:t xml:space="preserve">کلمه «کفّار» کافر نیز قرائت شده و مراد از آن، جنس کافر است.</w:t>
      </w:r>
    </w:p>
    <w:p>
      <w:pPr>
        <w:pStyle w:val="BookText"/>
      </w:pPr>
      <w:r>
        <w:rPr>
          <w:rFonts w:ascii="IRNazanin" w:hAnsi="IRNazanin" w:eastAsia="IRNazanin" w:cs="IRNazanin"/>
          <w:lang w:bidi="fa-IR"/>
          <w:color w:val="111111"/>
          <w:sz w:val="28"/>
          <w:szCs w:val="28"/>
          <w:rtl/>
        </w:rPr>
        <w:t xml:space="preserve">قُلْ کَفی‏ بِاللَّهِ شَهِیداً بگو شهادت خداوند درباره صدق ادعای نبوّت من به وسیله آنچه از معجزات آشکار ساخته کافی است.</w:t>
      </w:r>
    </w:p>
    <w:p>
      <w:pPr>
        <w:pStyle w:val="BookText"/>
      </w:pPr>
      <w:r>
        <w:rPr>
          <w:rFonts w:ascii="Amiri" w:hAnsi="Amiri" w:eastAsia="Amiri" w:cs="Amiri"/>
          <w:lang w:bidi="ar-SA"/>
          <w:color w:val="111111"/>
          <w:sz w:val="28"/>
          <w:szCs w:val="28"/>
          <w:rtl/>
        </w:rPr>
        <w:t xml:space="preserve">وَ مَنْ عِنْدَهُ عِلْمُ الْکِتابِ در تفسیر این جمله اقوالی است.</w:t>
      </w:r>
    </w:p>
    <w:p>
      <w:pPr>
        <w:pStyle w:val="BookText"/>
      </w:pPr>
      <w:r>
        <w:rPr>
          <w:rFonts w:ascii="IRNazanin" w:hAnsi="IRNazanin" w:eastAsia="IRNazanin" w:cs="IRNazanin"/>
          <w:lang w:bidi="fa-IR"/>
          <w:color w:val="111111"/>
          <w:sz w:val="28"/>
          <w:szCs w:val="28"/>
          <w:rtl/>
        </w:rPr>
        <w:t xml:space="preserve">1- مقصود کسی است که از قرآن و نظم و هماهنگی اعجاز گونه آن آگاهی دارد.</w:t>
      </w:r>
    </w:p>
    <w:p>
      <w:pPr>
        <w:pStyle w:val="BookText"/>
      </w:pPr>
      <w:r>
        <w:rPr>
          <w:rFonts w:ascii="IRNazanin" w:hAnsi="IRNazanin" w:eastAsia="IRNazanin" w:cs="IRNazanin"/>
          <w:lang w:bidi="fa-IR"/>
          <w:color w:val="111111"/>
          <w:sz w:val="28"/>
          <w:szCs w:val="28"/>
          <w:rtl/>
        </w:rPr>
        <w:t xml:space="preserve">2- مراد علمای اهل کتاب‏اند که اسلام آورده‏اند زیرا آنها به ویژگیهای پیامبر در کتابهایشان گواهی می‏دهند.</w:t>
      </w:r>
    </w:p>
    <w:p>
      <w:pPr>
        <w:pStyle w:val="BookText"/>
      </w:pPr>
      <w:r>
        <w:rPr>
          <w:rFonts w:ascii="Amiri" w:hAnsi="Amiri" w:eastAsia="Amiri" w:cs="Amiri"/>
          <w:lang w:bidi="ar-SA"/>
          <w:color w:val="111111"/>
          <w:sz w:val="28"/>
          <w:szCs w:val="28"/>
          <w:rtl/>
        </w:rPr>
        <w:t xml:space="preserve">3- مراد از «مَنْ عِنْدَهُ ...» خدای سبحان و منظور از «کتاب» لوح محفوظ است.</w:t>
      </w:r>
    </w:p>
    <w:p>
      <w:pPr>
        <w:pStyle w:val="BookText"/>
      </w:pPr>
      <w:r>
        <w:rPr>
          <w:rFonts w:ascii="IRNazanin" w:hAnsi="IRNazanin" w:eastAsia="IRNazanin" w:cs="IRNazanin"/>
          <w:lang w:bidi="fa-IR"/>
          <w:color w:val="111111"/>
          <w:sz w:val="28"/>
          <w:szCs w:val="28"/>
          <w:rtl/>
        </w:rPr>
        <w:t xml:space="preserve">4- مقصود امیر المؤمنین علیّ بن ابی طالب علیه السّلام است.</w:t>
      </w:r>
    </w:p>
    <w:p>
      <w:pPr>
        <w:pStyle w:val="BookText"/>
      </w:pPr>
      <w:r>
        <w:rPr>
          <w:rFonts w:ascii="IRNazanin" w:hAnsi="IRNazanin" w:eastAsia="IRNazanin" w:cs="IRNazanin"/>
          <w:lang w:bidi="fa-IR"/>
          <w:color w:val="111111"/>
          <w:sz w:val="28"/>
          <w:szCs w:val="28"/>
          <w:rtl/>
        </w:rPr>
        <w:t xml:space="preserve">[شماره صفحه واقعی : 291]
</w:t>
      </w:r>
    </w:p>
    <w:p>
      <w:pPr>
        <w:sectPr>
          <w:footerReference w:type="default" r:id="rId1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امام صادق علیه السّلام نقل شده است که مقصود از کسی که علم کتاب نزد او است ما هستیم و علی علیه السّلام نخستین کسی و برگزیده‏ترین و بهترین ما بعد از پیامبر صلی اللَّه علیه و آله می‏باشد.</w:t>
      </w:r>
    </w:p>
    <w:p>
      <w:pPr>
        <w:pStyle w:val="BookText"/>
      </w:pPr>
      <w:r>
        <w:rPr>
          <w:rFonts w:ascii="IRNazanin" w:hAnsi="IRNazanin" w:eastAsia="IRNazanin" w:cs="IRNazanin"/>
          <w:lang w:bidi="fa-IR"/>
          <w:color w:val="111111"/>
          <w:sz w:val="28"/>
          <w:szCs w:val="28"/>
          <w:rtl/>
        </w:rPr>
        <w:t xml:space="preserve">[شماره صفحه واقعی : 292]
</w:t>
      </w:r>
    </w:p>
    <w:p>
      <w:pPr>
        <w:sectPr>
          <w:footerReference w:type="default" r:id="rId1391"/>
          <w:footnotePr>
            <w:numStart w:val="1"/>
            <w:numRestart w:val="eachPage"/>
          </w:footnotePr>
          <w:pgSz w:orient="portrait" w:w="11905.511811023622" w:h="16837.79527559055"/>
          <w:pgMar w:top="1440" w:right="1440" w:bottom="1440" w:left="1440" w:header="720" w:footer="720" w:gutter="0"/>
          <w:cols w:num="1" w:space="720"/>
        </w:sectPr>
      </w:pPr>
    </w:p>
    <w:bookmarkStart w:id="781" w:name="pg14411_143773"/>
    <w:bookmarkEnd w:id="781"/>
    <w:p>
      <w:pPr>
        <w:pStyle w:val="Heading2"/>
      </w:pPr>
      <w:bookmarkStart w:id="2557" w:name="_Toc1592"/>
      <w:r>
        <w:t>عقاید</w:t>
      </w:r>
      <w:bookmarkEnd w:id="2557"/>
    </w:p>
    <w:p>
      <w:pPr>
        <w:pStyle w:val="Heading3"/>
      </w:pPr>
      <w:bookmarkStart w:id="2558" w:name="_Toc1593"/>
      <w:r>
        <w:t>محاضرات فی الالهیات (از الباب الخامس تا پایان)</w:t>
      </w:r>
      <w:bookmarkEnd w:id="2558"/>
    </w:p>
    <w:p>
      <w:pPr>
        <w:pStyle w:val="Heading4"/>
      </w:pPr>
      <w:bookmarkStart w:id="2559" w:name="_Toc1594"/>
      <w:r>
        <w:t>الباب الخامس : فی النبوّة العامّة و فیه خمسة فصول:</w:t>
      </w:r>
      <w:bookmarkEnd w:id="2559"/>
    </w:p>
    <w:p>
      <w:pPr>
        <w:pStyle w:val="Heading5"/>
      </w:pPr>
      <w:bookmarkStart w:id="2560" w:name="_Toc1595"/>
      <w:r>
        <w:t>اشارة</w:t>
      </w:r>
      <w:bookmarkEnd w:id="256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أدلّة لزوم البعثة.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أدلّة منکری النبوّة.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طرق التعرّف علی صدق مدّعی النبوَّة.</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حقیقة الوحی فی النبوَّة.</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عصمة أنبیاء اللّه تعالی.</w:t>
      </w:r>
    </w:p>
    <w:p>
      <w:pPr>
        <w:pStyle w:val="BookText"/>
      </w:pPr>
      <w:r>
        <w:rPr>
          <w:rFonts w:ascii="IRNazanin" w:hAnsi="IRNazanin" w:eastAsia="IRNazanin" w:cs="IRNazanin"/>
          <w:lang w:bidi="fa-IR"/>
          <w:color w:val="111111"/>
          <w:sz w:val="28"/>
          <w:szCs w:val="28"/>
          <w:rtl/>
        </w:rPr>
        <w:t xml:space="preserve">[شماره صفحه واقعی : 245]
</w:t>
      </w:r>
    </w:p>
    <w:p>
      <w:pPr>
        <w:sectPr>
          <w:footerReference w:type="default" r:id="rId1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246]
</w:t>
      </w:r>
    </w:p>
    <w:p>
      <w:pPr>
        <w:sectPr>
          <w:footerReference w:type="default" r:id="rId1393"/>
          <w:footnotePr>
            <w:numStart w:val="1"/>
            <w:numRestart w:val="eachPage"/>
          </w:footnotePr>
          <w:pgSz w:orient="portrait" w:w="11905.511811023622" w:h="16837.79527559055"/>
          <w:pgMar w:top="1440" w:right="1440" w:bottom="1440" w:left="1440" w:header="720" w:footer="720" w:gutter="0"/>
          <w:cols w:num="1" w:space="720"/>
        </w:sectPr>
      </w:pPr>
    </w:p>
    <w:bookmarkStart w:id="782" w:name="pg14411_143775"/>
    <w:bookmarkEnd w:id="782"/>
    <w:p>
      <w:pPr>
        <w:pStyle w:val="Heading5"/>
      </w:pPr>
      <w:bookmarkStart w:id="2561" w:name="_Toc1596"/>
      <w:r>
        <w:t>مقدمة:</w:t>
      </w:r>
      <w:bookmarkEnd w:id="2561"/>
    </w:p>
    <w:p>
      <w:pPr>
        <w:pStyle w:val="BookText"/>
      </w:pPr>
      <w:r>
        <w:rPr>
          <w:rFonts w:ascii="IRNazanin" w:hAnsi="IRNazanin" w:eastAsia="IRNazanin" w:cs="IRNazanin"/>
          <w:lang w:bidi="fa-IR"/>
          <w:color w:val="111111"/>
          <w:sz w:val="28"/>
          <w:szCs w:val="28"/>
          <w:rtl/>
        </w:rPr>
        <w:t xml:space="preserve">النبوَّة سفارة بین اللّه و بین ذوی العقول من عباده، لتدبیر حیاتهم فی أمر معاشهم و معادهم، و النبیّ هو الإنسان المخبر عن اللّه تعالی بطریق الوحی الإلهی.</w:t>
      </w:r>
    </w:p>
    <w:p>
      <w:pPr>
        <w:pStyle w:val="BookText"/>
      </w:pPr>
      <w:r>
        <w:rPr>
          <w:rFonts w:ascii="IRNazanin" w:hAnsi="IRNazanin" w:eastAsia="IRNazanin" w:cs="IRNazanin"/>
          <w:lang w:bidi="fa-IR"/>
          <w:color w:val="111111"/>
          <w:sz w:val="28"/>
          <w:szCs w:val="28"/>
          <w:rtl/>
        </w:rPr>
        <w:t xml:space="preserve">و البحث فی النبوَّة یقع علی صورتین:</w:t>
      </w:r>
    </w:p>
    <w:p>
      <w:pPr>
        <w:pStyle w:val="BookText"/>
      </w:pPr>
      <w:r>
        <w:rPr>
          <w:rFonts w:ascii="Amiri" w:hAnsi="Amiri" w:eastAsia="Amiri" w:cs="Amiri"/>
          <w:lang w:bidi="ar-SA"/>
          <w:color w:val="111111"/>
          <w:sz w:val="28"/>
          <w:szCs w:val="28"/>
          <w:rtl/>
        </w:rPr>
        <w:t xml:space="preserve">الأُولی: البحث عن مطلق النبوَّة و یسمّی النبوّة العامّة؛</w:t>
      </w:r>
    </w:p>
    <w:p>
      <w:pPr>
        <w:pStyle w:val="BookText"/>
      </w:pPr>
      <w:r>
        <w:rPr>
          <w:rFonts w:ascii="Amiri" w:hAnsi="Amiri" w:eastAsia="Amiri" w:cs="Amiri"/>
          <w:lang w:bidi="ar-SA"/>
          <w:color w:val="111111"/>
          <w:sz w:val="28"/>
          <w:szCs w:val="28"/>
          <w:rtl/>
        </w:rPr>
        <w:t xml:space="preserve">الثانی: البحث عن نبوَّة نبیّ خاص، کنبوَّة سیّدنا محمّد صلی الله علیه و آله و یسمّی النبوّة الخاصّة.</w:t>
      </w:r>
    </w:p>
    <w:p>
      <w:pPr>
        <w:pStyle w:val="BookText"/>
      </w:pPr>
      <w:r>
        <w:rPr>
          <w:rFonts w:ascii="IRNazanin" w:hAnsi="IRNazanin" w:eastAsia="IRNazanin" w:cs="IRNazanin"/>
          <w:lang w:bidi="fa-IR"/>
          <w:color w:val="111111"/>
          <w:sz w:val="28"/>
          <w:szCs w:val="28"/>
          <w:rtl/>
        </w:rPr>
        <w:t xml:space="preserve">و الأبحاث الّتی طرحها المتکلّمون حول النبوَّة العامّة تتمحور فی أربعة أُمور و هی: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حسن البعثة و لزومها، أو تحلیل أدلّة مثبتی البعثة و منکریها؛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الطریق الّذی یعرف به النبیّ الصادق من المتنبّئ الکاذب؛</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الطریق أو الوسیلة الّتی یتلقّی بها النبیّ تعالیمه من اللّه سبحانه؛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الصفات الممیّزة للنبیّ عن غیره.</w:t>
      </w:r>
    </w:p>
    <w:p>
      <w:pPr>
        <w:pStyle w:val="BookText"/>
      </w:pPr>
      <w:r>
        <w:rPr>
          <w:rFonts w:ascii="IRNazanin" w:hAnsi="IRNazanin" w:eastAsia="IRNazanin" w:cs="IRNazanin"/>
          <w:lang w:bidi="fa-IR"/>
          <w:color w:val="111111"/>
          <w:sz w:val="28"/>
          <w:szCs w:val="28"/>
          <w:rtl/>
        </w:rPr>
        <w:t xml:space="preserve">[شماره صفحه واقعی : 247]
</w:t>
      </w:r>
    </w:p>
    <w:p>
      <w:pPr>
        <w:sectPr>
          <w:footerReference w:type="default" r:id="rId1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248]
</w:t>
      </w:r>
    </w:p>
    <w:p>
      <w:pPr>
        <w:sectPr>
          <w:footerReference w:type="default" r:id="rId1395"/>
          <w:footnotePr>
            <w:numStart w:val="1"/>
            <w:numRestart w:val="eachPage"/>
          </w:footnotePr>
          <w:pgSz w:orient="portrait" w:w="11905.511811023622" w:h="16837.79527559055"/>
          <w:pgMar w:top="1440" w:right="1440" w:bottom="1440" w:left="1440" w:header="720" w:footer="720" w:gutter="0"/>
          <w:cols w:num="1" w:space="720"/>
        </w:sectPr>
      </w:pPr>
    </w:p>
    <w:bookmarkStart w:id="783" w:name="pg14411_143777"/>
    <w:bookmarkEnd w:id="783"/>
    <w:p>
      <w:pPr>
        <w:pStyle w:val="Heading5"/>
      </w:pPr>
      <w:bookmarkStart w:id="2562" w:name="_Toc1597"/>
      <w:r>
        <w:t>الفصل الأوّل : أدلّة لزوم البعثة:</w:t>
      </w:r>
      <w:bookmarkEnd w:id="2562"/>
    </w:p>
    <w:p>
      <w:pPr>
        <w:pStyle w:val="Heading6"/>
      </w:pPr>
      <w:bookmarkStart w:id="2563" w:name="_Toc1598"/>
      <w:r>
        <w:t>1. حاجة المجتمع إلی القانون الکامل</w:t>
      </w:r>
      <w:bookmarkEnd w:id="2563"/>
    </w:p>
    <w:p>
      <w:pPr>
        <w:pStyle w:val="BookText"/>
      </w:pPr>
      <w:r>
        <w:rPr>
          <w:rFonts w:ascii="IRNazanin" w:hAnsi="IRNazanin" w:eastAsia="IRNazanin" w:cs="IRNazanin"/>
          <w:lang w:bidi="fa-IR"/>
          <w:color w:val="111111"/>
          <w:sz w:val="28"/>
          <w:szCs w:val="28"/>
          <w:rtl/>
        </w:rPr>
        <w:t xml:space="preserve">لا یشکّ أحد من الفلاسفة و الباحثین فی الحیاة الإنسانیة، فی أنّ للإنسان میلاً إلی الاجتماع و التمدّن، کما أنّ حاجة المجتمع إلی القانون ممّا لا یرتاب فیه، و ذلک لأنّ الإنسان مجبول علی حبِّ الذات، و هذا یجرّه إلی تخصیص کلّ شیء بنفسه من دون أن یراعی لغیره حقّاً، و یؤدّی ذلک إلی التنافس و التشاجر بین أبناء المجتمع و بالتالی إلی عقم الحیاة و تلاشی أرکان المجتمع، فلا یقوم للحیاة الاجتماعیة أساس إلّا بوضع قانون جامع یقوم بتحدید وظائف کلّ فرد و حقوقه، فیمکن لکلّ فرد أن یعیش فی ظلّ العدالة الاجتماعیة و یسلک سبیل الفلاح و النجاح.</w:t>
      </w:r>
    </w:p>
    <w:p>
      <w:pPr>
        <w:pStyle w:val="BookText"/>
      </w:pPr>
      <w:r>
        <w:rPr>
          <w:rFonts w:ascii="Amiri" w:hAnsi="Amiri" w:eastAsia="Amiri" w:cs="Amiri"/>
          <w:lang w:bidi="ar-SA"/>
          <w:color w:val="111111"/>
          <w:sz w:val="28"/>
          <w:szCs w:val="28"/>
          <w:rtl/>
        </w:rPr>
        <w:t xml:space="preserve">شرائط المقنِّن</w:t>
      </w:r>
    </w:p>
    <w:p>
      <w:pPr>
        <w:pStyle w:val="BookText"/>
      </w:pPr>
      <w:r>
        <w:rPr>
          <w:rFonts w:ascii="IRNazanin" w:hAnsi="IRNazanin" w:eastAsia="IRNazanin" w:cs="IRNazanin"/>
          <w:lang w:bidi="fa-IR"/>
          <w:color w:val="111111"/>
          <w:sz w:val="28"/>
          <w:szCs w:val="28"/>
          <w:rtl/>
        </w:rPr>
        <w:t xml:space="preserve">لا ریب فی أنّ جعل قانون جامع بالوصف المذکور یحتاج إلی توفّر شروط أهمّها شرطان تالیان:</w:t>
      </w:r>
    </w:p>
    <w:p>
      <w:pPr>
        <w:pStyle w:val="BookText"/>
      </w:pPr>
      <w:r>
        <w:rPr>
          <w:rFonts w:ascii="Amiri" w:hAnsi="Amiri" w:eastAsia="Amiri" w:cs="Amiri"/>
          <w:lang w:bidi="ar-SA"/>
          <w:color w:val="111111"/>
          <w:sz w:val="28"/>
          <w:szCs w:val="28"/>
          <w:rtl/>
        </w:rPr>
        <w:t xml:space="preserve">الأوّل: معرفة المقنِّن بالإنسان؛ إنّ أوّل و أهمّ خطوة فی وضع القانون،</w:t>
      </w:r>
    </w:p>
    <w:p>
      <w:pPr>
        <w:pStyle w:val="BookText"/>
      </w:pPr>
      <w:r>
        <w:rPr>
          <w:rFonts w:ascii="IRNazanin" w:hAnsi="IRNazanin" w:eastAsia="IRNazanin" w:cs="IRNazanin"/>
          <w:lang w:bidi="fa-IR"/>
          <w:color w:val="111111"/>
          <w:sz w:val="28"/>
          <w:szCs w:val="28"/>
          <w:rtl/>
        </w:rPr>
        <w:t xml:space="preserve">[شماره صفحه واقعی : 249]
</w:t>
      </w:r>
    </w:p>
    <w:p>
      <w:pPr>
        <w:sectPr>
          <w:footerReference w:type="default" r:id="rId1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یکون المقنِّن عارفاً بالإنسان: جسمه و روحه، غرائزه و فطریّاته، و ما یصلح لهذه الأُمور أو یضرّ بها، و کلّما تکاملت هذه المعرفة بالإنسان کان القانون ناجحاً و ناجعاً فی علاج مشاکله و إبلاغه إلی السعادة المتوخّاة من خلقه.</w:t>
      </w:r>
    </w:p>
    <w:p>
      <w:pPr>
        <w:pStyle w:val="BookText"/>
      </w:pPr>
      <w:r>
        <w:rPr>
          <w:rFonts w:ascii="IRNazanin" w:hAnsi="IRNazanin" w:eastAsia="IRNazanin" w:cs="IRNazanin"/>
          <w:lang w:bidi="fa-IR"/>
          <w:color w:val="111111"/>
          <w:sz w:val="28"/>
          <w:szCs w:val="28"/>
          <w:rtl/>
        </w:rPr>
        <w:t xml:space="preserve">الثانی: عدم انتفاع المقنِّن بالقانون؛ و هذا الشرط بدیهی، فإنَّ المقنِّن إذا کان منتفعاً من القانون الّذی یضعه، سواء کان النفع عائداً إلیه أو إلی من یمت إلیه بصلة خاصّة، فهذا القانون سیتمّ لصالح المقنِّن لا لصالح المجتمع، و نتیجته الحتمیّة الظلم و الإجحاف.</w:t>
      </w:r>
    </w:p>
    <w:p>
      <w:pPr>
        <w:pStyle w:val="BookText"/>
      </w:pPr>
      <w:r>
        <w:rPr>
          <w:rFonts w:ascii="IRNazanin" w:hAnsi="IRNazanin" w:eastAsia="IRNazanin" w:cs="IRNazanin"/>
          <w:lang w:bidi="fa-IR"/>
          <w:color w:val="111111"/>
          <w:sz w:val="28"/>
          <w:szCs w:val="28"/>
          <w:rtl/>
        </w:rPr>
        <w:t xml:space="preserve">فالقانون الکامل لا یتحقّق إلّا إذا کان واضعه مجرّداً عن حبّ الذّات و هوی الانتفاع الشّخصی.</w:t>
      </w:r>
    </w:p>
    <w:p>
      <w:pPr>
        <w:pStyle w:val="BookText"/>
      </w:pPr>
      <w:r>
        <w:rPr>
          <w:rFonts w:ascii="IRNazanin" w:hAnsi="IRNazanin" w:eastAsia="IRNazanin" w:cs="IRNazanin"/>
          <w:lang w:bidi="fa-IR"/>
          <w:color w:val="111111"/>
          <w:sz w:val="28"/>
          <w:szCs w:val="28"/>
          <w:rtl/>
        </w:rPr>
        <w:t xml:space="preserve">أمّا الشرط الأوّل: فإنّا لن نجد فی صفحة الوجود موجوداً أعرف بالإنسان من خالقه، فإنّ صانع المصنوع أعرف به من غیره، یقول سبحانه:</w:t>
      </w:r>
    </w:p>
    <w:p>
      <w:pPr>
        <w:pStyle w:val="BookText"/>
      </w:pPr>
      <w:r>
        <w:rPr>
          <w:rFonts w:ascii="Amiri" w:hAnsi="Amiri" w:eastAsia="Amiri" w:cs="Amiri"/>
          <w:lang w:bidi="ar-SA"/>
          <w:color w:val="111111"/>
          <w:sz w:val="28"/>
          <w:szCs w:val="28"/>
          <w:rtl/>
        </w:rPr>
        <w:t xml:space="preserve">«أَ لاٰ یَعْلَمُ مَنْ خَلَقَ وَ هُوَ اللَّطِیفُ الْخَبِیرُ» </w:t>
      </w:r>
      <w:r>
        <w:rPr>
          <w:rStyle w:val="FootnoteReference"/>
        </w:rPr>
        <w:footnoteReference w:id="45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عظمة الإنسان فی روحه و معنویاته، و غرائزه و فطریاته، أشبه ببحر کبیر لا یریٰ ساحله و لا یضاء محیطه، و قد خفیت کثیر من جوانب حیاته و رموز وجوده حتی لقِّب ب«الموجود المجهول».</w:t>
      </w:r>
    </w:p>
    <w:p>
      <w:pPr>
        <w:pStyle w:val="BookText"/>
      </w:pPr>
      <w:r>
        <w:rPr>
          <w:rFonts w:ascii="IRNazanin" w:hAnsi="IRNazanin" w:eastAsia="IRNazanin" w:cs="IRNazanin"/>
          <w:lang w:bidi="fa-IR"/>
          <w:color w:val="111111"/>
          <w:sz w:val="28"/>
          <w:szCs w:val="28"/>
          <w:rtl/>
        </w:rPr>
        <w:t xml:space="preserve">و أمّا الشرط الثانی: فلن نجد أیضاً موجوداً مجرداً عن أیّ فقر و حاجة و انتفاع سواه سبحانه.</w:t>
      </w:r>
    </w:p>
    <w:p>
      <w:pPr>
        <w:pStyle w:val="BookText"/>
      </w:pPr>
      <w:r>
        <w:rPr>
          <w:rFonts w:ascii="IRNazanin" w:hAnsi="IRNazanin" w:eastAsia="IRNazanin" w:cs="IRNazanin"/>
          <w:lang w:bidi="fa-IR"/>
          <w:color w:val="111111"/>
          <w:sz w:val="28"/>
          <w:szCs w:val="28"/>
          <w:rtl/>
        </w:rPr>
        <w:t xml:space="preserve">[شماره صفحه واقعی : 250]
</w:t>
      </w:r>
    </w:p>
    <w:p>
      <w:pPr>
        <w:sectPr>
          <w:footerReference w:type="default" r:id="rId1397"/>
          <w:footnotePr>
            <w:numStart w:val="1"/>
            <w:numRestart w:val="eachPage"/>
          </w:footnotePr>
          <w:pgSz w:orient="portrait" w:w="11905.511811023622" w:h="16837.79527559055"/>
          <w:pgMar w:top="1440" w:right="1440" w:bottom="1440" w:left="1440" w:header="720" w:footer="720" w:gutter="0"/>
          <w:cols w:num="1" w:space="720"/>
        </w:sectPr>
      </w:pPr>
    </w:p>
    <w:bookmarkStart w:id="784" w:name="pg14411_143779"/>
    <w:bookmarkEnd w:id="784"/>
    <w:p>
      <w:pPr>
        <w:pStyle w:val="BookText"/>
      </w:pPr>
      <w:r>
        <w:rPr>
          <w:rFonts w:ascii="IRNazanin" w:hAnsi="IRNazanin" w:eastAsia="IRNazanin" w:cs="IRNazanin"/>
          <w:lang w:bidi="fa-IR"/>
          <w:color w:val="111111"/>
          <w:sz w:val="28"/>
          <w:szCs w:val="28"/>
          <w:rtl/>
        </w:rPr>
        <w:t xml:space="preserve">و ممّا یدلّ علی عدم صلاحیّة البشر نفسه لوضع قانون کامل، ما نری من التبدّل الدائم فی القوانین و النقض المستمرّ الّذی یورد علیها بحیث تحتاج فی کلّ یوم إلی استثناء بعض التشریعات و زیادة أُخری، إضافة إلی تناقض القوانین المطروحة فی العالم من قبل البشر، و ما ذلک إلّا لقصورهم عن معرفة الإنسان حقیقة المعرفة و انتفاء سائر الشروط فی واضعیها.</w:t>
      </w:r>
    </w:p>
    <w:p>
      <w:pPr>
        <w:pStyle w:val="BookText"/>
      </w:pPr>
      <w:r>
        <w:rPr>
          <w:rFonts w:ascii="IRNazanin" w:hAnsi="IRNazanin" w:eastAsia="IRNazanin" w:cs="IRNazanin"/>
          <w:lang w:bidi="fa-IR"/>
          <w:color w:val="111111"/>
          <w:sz w:val="28"/>
          <w:szCs w:val="28"/>
          <w:rtl/>
        </w:rPr>
        <w:t xml:space="preserve">فإذا کان استقرار الحیاة الاجتماعیة للبشر متوقّفاً علی التقنین الإلهی، فواجب فی حکمته تعالی إبلاغ تلک القوانین إلیهم عبر واحد منهم یرسله إلیهم، و الحامل لرسالة اللّه سبحانه هو النبیّ المنبئ عنه و الرسول المبلّغ إلی الناس، فبعث الأنبیاء واجب فی حکمته تعالی حفظاً للنظام المتوقّف علی التقنین الکامل. و إلی هذا الدلیل یشیر قوله تعالی:</w:t>
      </w:r>
    </w:p>
    <w:p>
      <w:pPr>
        <w:pStyle w:val="BookText"/>
      </w:pPr>
      <w:r>
        <w:rPr>
          <w:rFonts w:ascii="Amiri" w:hAnsi="Amiri" w:eastAsia="Amiri" w:cs="Amiri"/>
          <w:lang w:bidi="ar-SA"/>
          <w:color w:val="111111"/>
          <w:sz w:val="28"/>
          <w:szCs w:val="28"/>
          <w:rtl/>
        </w:rPr>
        <w:t xml:space="preserve">«لَقَدْ أَرْسَلْنٰا رُسُلَنٰا بِالْبَیِّنٰاتِ وَ أَنْزَلْنٰا مَعَهُمُ الْکِتٰابَ وَ الْمِیزٰانَ لِیَقُومَ النّٰاسُ بِالْقِسْطِ» </w:t>
      </w:r>
      <w:r>
        <w:rPr>
          <w:rStyle w:val="FootnoteReference"/>
        </w:rPr>
        <w:footnoteReference w:id="4540"/>
      </w:r>
    </w:p>
    <w:p>
      <w:pPr>
        <w:pStyle w:val="Heading6"/>
      </w:pPr>
      <w:bookmarkStart w:id="2564" w:name="_Toc1599"/>
      <w:r>
        <w:t>2. حاجة الانسان إلی المعارف العالیة</w:t>
      </w:r>
      <w:bookmarkEnd w:id="2564"/>
    </w:p>
    <w:p>
      <w:pPr>
        <w:pStyle w:val="BookText"/>
      </w:pPr>
      <w:r>
        <w:rPr>
          <w:rFonts w:ascii="IRNazanin" w:hAnsi="IRNazanin" w:eastAsia="IRNazanin" w:cs="IRNazanin"/>
          <w:lang w:bidi="fa-IR"/>
          <w:color w:val="111111"/>
          <w:sz w:val="28"/>
          <w:szCs w:val="28"/>
          <w:rtl/>
        </w:rPr>
        <w:t xml:space="preserve">إنّ أهمّ ما یحتاج الإنسان إلی التعرّف علیه لیکون ناجحاً فی الوصول إلی السعادة المطلوبة من حیاته أمران: المعرفة باللّه سبحانه، و التعرّف علی مصالح الحیاة و مفاسدها، و المعرفة الکاملة فی هذین المجالین لا تحصل للإنسان إلّا فی ضوء الوحی و تعالیم الأنبیاء، و أمّا العلوم الإنسانیة فهی غیر کافیة فیهما.</w:t>
      </w:r>
    </w:p>
    <w:p>
      <w:pPr>
        <w:pStyle w:val="BookText"/>
      </w:pPr>
      <w:r>
        <w:rPr>
          <w:rFonts w:ascii="IRNazanin" w:hAnsi="IRNazanin" w:eastAsia="IRNazanin" w:cs="IRNazanin"/>
          <w:lang w:bidi="fa-IR"/>
          <w:color w:val="111111"/>
          <w:sz w:val="28"/>
          <w:szCs w:val="28"/>
          <w:rtl/>
        </w:rPr>
        <w:t xml:space="preserve">[شماره صفحه واقعی : 251]
</w:t>
      </w:r>
    </w:p>
    <w:p>
      <w:pPr>
        <w:sectPr>
          <w:footerReference w:type="default" r:id="rId1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ممّا یوضح قصور العلم البشری فی العلوم الإلهیة أنّ هناک الملایین من البشر یقطنون بلدان جنوب شرق آسیا علی مستوی راق فی الصناعات و العلوم الطبیعیة، و مع ذلک فهم فی الدرجة السّفلی فی المعارف الإلهیة، فجلّهم -إن لم یکن کلّهم -عبّاد للأصنام و الأوثان، و ببابک بلاد الهند الشاسعة و ما یعتقده مئات الملایین من أهلها من قداسة فی «البقر».</w:t>
      </w:r>
    </w:p>
    <w:p>
      <w:pPr>
        <w:pStyle w:val="BookText"/>
      </w:pPr>
      <w:r>
        <w:rPr>
          <w:rFonts w:ascii="IRNazanin" w:hAnsi="IRNazanin" w:eastAsia="IRNazanin" w:cs="IRNazanin"/>
          <w:lang w:bidi="fa-IR"/>
          <w:color w:val="111111"/>
          <w:sz w:val="28"/>
          <w:szCs w:val="28"/>
          <w:rtl/>
        </w:rPr>
        <w:t xml:space="preserve">نعم هناک نوابغ من البشر عرفوا الحقّ عن طریق التفکّر و التعقّل کسقراط و أفلاطون و أرسطو، و لکنّهم أُناس استثنائیون، لا یعدّون معیاراً فی البحث، و کونهم عارفین بالتوحید لا یکون دلیلاً علی مقدرة الآخرین علیه.</w:t>
      </w:r>
    </w:p>
    <w:p>
      <w:pPr>
        <w:pStyle w:val="BookText"/>
      </w:pPr>
      <w:r>
        <w:rPr>
          <w:rFonts w:ascii="IRNazanin" w:hAnsi="IRNazanin" w:eastAsia="IRNazanin" w:cs="IRNazanin"/>
          <w:lang w:bidi="fa-IR"/>
          <w:color w:val="111111"/>
          <w:sz w:val="28"/>
          <w:szCs w:val="28"/>
          <w:rtl/>
        </w:rPr>
        <w:t xml:space="preserve">علی أنّه من المحتمل جدّاً أن یکون وقوفهم علی هذه المعارف فی ظلّ ما وصل إلیهم من التعالیم السماویة عن طریق رسله سبحانه و أنبیائه، قال صدر المتألّهین:</w:t>
      </w:r>
    </w:p>
    <w:p>
      <w:pPr>
        <w:pStyle w:val="BookText"/>
      </w:pPr>
      <w:r>
        <w:rPr>
          <w:rFonts w:ascii="IRNazanin" w:hAnsi="IRNazanin" w:eastAsia="IRNazanin" w:cs="IRNazanin"/>
          <w:lang w:bidi="fa-IR"/>
          <w:color w:val="111111"/>
          <w:sz w:val="28"/>
          <w:szCs w:val="28"/>
          <w:rtl/>
        </w:rPr>
        <w:t xml:space="preserve">أساطین الحکمة المعتبرة عند الیونانیین خمسة: أنباذقلس و فیثاغورس و سقراط و أفلاطون و أرسطاطالیس قدس سره ، و قد لقی فیثاغورس تلامیذ سلیمان بن داود علیهما السلام بمصر و استفاد منهم و تلمّذ للحکیم المعظم الربّانی أنباذقلس و هو أخذ عن لقمان الآخذ عن داود علیه السلام ، ثمّ سقراط أخذ عن فیثاغورس و أفلاطون عن سقراط و الآخذ أرسطاطالیس عن أفلاطون و صحبه نیِّفاً و عشرین سنة... </w:t>
      </w:r>
      <w:r>
        <w:rPr>
          <w:rStyle w:val="FootnoteReference"/>
        </w:rPr>
        <w:footnoteReference w:id="45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252]
</w:t>
      </w:r>
    </w:p>
    <w:p>
      <w:pPr>
        <w:sectPr>
          <w:footerReference w:type="default" r:id="rId1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ممّا یدلّ علی قصور العلم الإنسانی عن تشخیص منافع البشر و المجتمعات و مضارّها، أنّ المجتمع الإنسانی - مع ما بلغه من الغرور العلمی -لم یقف بعدُ علی النظام الاقتصادی النافع له، فطائفة تزعم أنّ سعادة البشر فی نظام الرأسمالیة و الاقتصاد الحرّ المطلق، و الأُخری تدّعی أنّ سعادة البشر فی النظام الاشتراکی و سلب المالکیة عن أدوات الانتاج و تفویضها إلی الدولة الحاکمة.</w:t>
      </w:r>
    </w:p>
    <w:p>
      <w:pPr>
        <w:pStyle w:val="BookText"/>
      </w:pPr>
      <w:r>
        <w:rPr>
          <w:rFonts w:ascii="IRNazanin" w:hAnsi="IRNazanin" w:eastAsia="IRNazanin" w:cs="IRNazanin"/>
          <w:lang w:bidi="fa-IR"/>
          <w:color w:val="111111"/>
          <w:sz w:val="28"/>
          <w:szCs w:val="28"/>
          <w:rtl/>
        </w:rPr>
        <w:t xml:space="preserve">کما أنّه لم یصل بعدُ إلی وفاق فی مجال الأخلاق و قد تعدّدت المناهج الأخلاقیّة فی العصر الأخیر إلی حدّ التضادّ فیها.</w:t>
      </w:r>
    </w:p>
    <w:p>
      <w:pPr>
        <w:pStyle w:val="BookText"/>
      </w:pPr>
      <w:r>
        <w:rPr>
          <w:rFonts w:ascii="IRNazanin" w:hAnsi="IRNazanin" w:eastAsia="IRNazanin" w:cs="IRNazanin"/>
          <w:lang w:bidi="fa-IR"/>
          <w:color w:val="111111"/>
          <w:sz w:val="28"/>
          <w:szCs w:val="28"/>
          <w:rtl/>
        </w:rPr>
        <w:t xml:space="preserve">و أیضاً نری أنّ الإنسان -مع ما یدّعیه من العلم و المعرفة -لم یدرک بعدُ عوامل السّعادة و الشّقاء له، بشهادة أنّه یشرب المسکرات، و یستعمل المخدّرات، و یتناول اللحوم الضارّة، کما یقیم اقتصاده علی الرِّبا الّذی هو عامل إیجاد التفاوت الطبقی بین أبناء المجتمع.</w:t>
      </w:r>
    </w:p>
    <w:p>
      <w:pPr>
        <w:pStyle w:val="BookText"/>
      </w:pPr>
      <w:r>
        <w:rPr>
          <w:rFonts w:ascii="IRNazanin" w:hAnsi="IRNazanin" w:eastAsia="IRNazanin" w:cs="IRNazanin"/>
          <w:lang w:bidi="fa-IR"/>
          <w:color w:val="111111"/>
          <w:sz w:val="28"/>
          <w:szCs w:val="28"/>
          <w:rtl/>
        </w:rPr>
        <w:t xml:space="preserve">و فیما روی عن أئمّة أهل البیت علیهم السلام إشارات إلی هذا البرهان نأتی بنموذجین منها: قال الإمام الکاظم علیه السلام :</w:t>
      </w:r>
    </w:p>
    <w:p>
      <w:pPr>
        <w:pStyle w:val="BookText"/>
      </w:pPr>
      <w:r>
        <w:rPr>
          <w:rFonts w:ascii="IRNazanin" w:hAnsi="IRNazanin" w:eastAsia="IRNazanin" w:cs="IRNazanin"/>
          <w:lang w:bidi="fa-IR"/>
          <w:color w:val="111111"/>
          <w:sz w:val="28"/>
          <w:szCs w:val="28"/>
          <w:rtl/>
        </w:rPr>
        <w:t xml:space="preserve">«یا هشام: ما بعث اللّه أنبیاءه و رسله إلی عباده إلّا لیعقلوا عن اللّه، فأحسنهم استجابة أحسنهم معرفة، و أعلمهم بأمر اللّه أحسنهم عقلاً، و أکملهم عقلاً أرفعهم درجة فی الدنیا و الآخرة» </w:t>
      </w:r>
      <w:r>
        <w:rPr>
          <w:rStyle w:val="FootnoteReference"/>
        </w:rPr>
        <w:footnoteReference w:id="45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الإمام الرضا علیه السلام :</w:t>
      </w:r>
    </w:p>
    <w:p>
      <w:pPr>
        <w:pStyle w:val="BookText"/>
      </w:pPr>
      <w:r>
        <w:rPr>
          <w:rFonts w:ascii="IRNazanin" w:hAnsi="IRNazanin" w:eastAsia="IRNazanin" w:cs="IRNazanin"/>
          <w:lang w:bidi="fa-IR"/>
          <w:color w:val="111111"/>
          <w:sz w:val="28"/>
          <w:szCs w:val="28"/>
          <w:rtl/>
        </w:rPr>
        <w:t xml:space="preserve">[شماره صفحه واقعی : 253]
</w:t>
      </w:r>
    </w:p>
    <w:p>
      <w:pPr>
        <w:sectPr>
          <w:footerReference w:type="default" r:id="rId1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 یکن بدّ من رسول بینه و بینهم معصوم یؤدّی إلیهم أمره و نهیه و أدبه، و یوقفهم علی ما یکون به إحراز منافعهم و دفع مضارّهم إذ لم یکن فی خلقهم ما یعرفون به ما یحتاجون إلیه». </w:t>
      </w:r>
      <w:r>
        <w:rPr>
          <w:rStyle w:val="FootnoteReference"/>
        </w:rPr>
        <w:footnoteReference w:id="4543"/>
      </w:r>
    </w:p>
    <w:p>
      <w:pPr>
        <w:pStyle w:val="BookText"/>
      </w:pPr>
      <w:r>
        <w:rPr>
          <w:rFonts w:ascii="IRNazanin" w:hAnsi="IRNazanin" w:eastAsia="IRNazanin" w:cs="IRNazanin"/>
          <w:lang w:bidi="fa-IR"/>
          <w:color w:val="111111"/>
          <w:sz w:val="28"/>
          <w:szCs w:val="28"/>
          <w:rtl/>
        </w:rPr>
        <w:t xml:space="preserve">[شماره صفحه واقعی : 254]
</w:t>
      </w:r>
    </w:p>
    <w:p>
      <w:pPr>
        <w:sectPr>
          <w:footerReference w:type="default" r:id="rId1401"/>
          <w:footnotePr>
            <w:numStart w:val="1"/>
            <w:numRestart w:val="eachPage"/>
          </w:footnotePr>
          <w:pgSz w:orient="portrait" w:w="11905.511811023622" w:h="16837.79527559055"/>
          <w:pgMar w:top="1440" w:right="1440" w:bottom="1440" w:left="1440" w:header="720" w:footer="720" w:gutter="0"/>
          <w:cols w:num="1" w:space="720"/>
        </w:sectPr>
      </w:pPr>
    </w:p>
    <w:bookmarkStart w:id="785" w:name="pg14411_143783"/>
    <w:bookmarkEnd w:id="785"/>
    <w:p>
      <w:pPr>
        <w:pStyle w:val="Heading5"/>
      </w:pPr>
      <w:bookmarkStart w:id="2565" w:name="_Toc1600"/>
      <w:r>
        <w:t>الفصل الثانی : أدلّة منکری بعثة الأنبیاء</w:t>
      </w:r>
      <w:bookmarkEnd w:id="2565"/>
    </w:p>
    <w:p>
      <w:pPr>
        <w:pStyle w:val="Heading6"/>
      </w:pPr>
      <w:bookmarkStart w:id="2566" w:name="_Toc1601"/>
      <w:r>
        <w:t>اشارة</w:t>
      </w:r>
      <w:bookmarkEnd w:id="2566"/>
    </w:p>
    <w:p>
      <w:pPr>
        <w:pStyle w:val="BookText"/>
      </w:pPr>
      <w:r>
        <w:rPr>
          <w:rFonts w:ascii="IRNazanin" w:hAnsi="IRNazanin" w:eastAsia="IRNazanin" w:cs="IRNazanin"/>
          <w:lang w:bidi="fa-IR"/>
          <w:color w:val="111111"/>
          <w:sz w:val="28"/>
          <w:szCs w:val="28"/>
          <w:rtl/>
        </w:rPr>
        <w:t xml:space="preserve">استدلّ المنکرون لبعثة الأنبیاء علی مدّعاهم بوجوه أهمّها ما یلی:</w:t>
      </w:r>
    </w:p>
    <w:p>
      <w:pPr>
        <w:pStyle w:val="Heading6"/>
      </w:pPr>
      <w:bookmarkStart w:id="2567" w:name="_Toc1602"/>
      <w:r>
        <w:t>الدلیل الأوّل</w:t>
      </w:r>
      <w:bookmarkEnd w:id="2567"/>
    </w:p>
    <w:p>
      <w:pPr>
        <w:pStyle w:val="BookText"/>
      </w:pPr>
      <w:r>
        <w:rPr>
          <w:rFonts w:ascii="IRNazanin" w:hAnsi="IRNazanin" w:eastAsia="IRNazanin" w:cs="IRNazanin"/>
          <w:lang w:bidi="fa-IR"/>
          <w:color w:val="111111"/>
          <w:sz w:val="28"/>
          <w:szCs w:val="28"/>
          <w:rtl/>
        </w:rPr>
        <w:t xml:space="preserve">إنّ الرسول إمّا أن یأتی بما یوافق العقول أو بما یخالفها، فإن جاء بما یوافق العقول، لم یکن إلیه حاجة، و لا فائدة فیه، و إن جاء بما یخالف العقول، وجب ردّ قوله.</w:t>
      </w:r>
    </w:p>
    <w:p>
      <w:pPr>
        <w:pStyle w:val="BookText"/>
      </w:pPr>
      <w:r>
        <w:rPr>
          <w:rFonts w:ascii="IRNazanin" w:hAnsi="IRNazanin" w:eastAsia="IRNazanin" w:cs="IRNazanin"/>
          <w:lang w:bidi="fa-IR"/>
          <w:color w:val="111111"/>
          <w:sz w:val="28"/>
          <w:szCs w:val="28"/>
          <w:rtl/>
        </w:rPr>
        <w:t xml:space="preserve">و الجواب عنه: أنّ ما یأتی به الرّسول موافق للعقل فی نفس الأمر، لکن لا یستلزم ذلک أن یکون العقل عارفاً بجمیع ما یأتی به النبیّ.</w:t>
      </w:r>
    </w:p>
    <w:p>
      <w:pPr>
        <w:pStyle w:val="BookText"/>
      </w:pPr>
      <w:r>
        <w:rPr>
          <w:rFonts w:ascii="IRNazanin" w:hAnsi="IRNazanin" w:eastAsia="IRNazanin" w:cs="IRNazanin"/>
          <w:lang w:bidi="fa-IR"/>
          <w:color w:val="111111"/>
          <w:sz w:val="28"/>
          <w:szCs w:val="28"/>
          <w:rtl/>
        </w:rPr>
        <w:t xml:space="preserve">فهاهنا فرض ثالث و هو إتیان الرّسول بما لا یصل إلیه العقل بالطاقات المیسورة له، فإنّک قد عرفت فیما أقمنا من الأدلّة علی لزوم البعثة، أنّ عقل الإنسان و تفکّره قاصر عن نیل الکثیر من المسائل.</w:t>
      </w:r>
    </w:p>
    <w:p>
      <w:pPr>
        <w:pStyle w:val="Heading6"/>
      </w:pPr>
      <w:bookmarkStart w:id="2568" w:name="_Toc1603"/>
      <w:r>
        <w:t>الدلیل الثانی:</w:t>
      </w:r>
      <w:bookmarkEnd w:id="2568"/>
    </w:p>
    <w:p>
      <w:pPr>
        <w:pStyle w:val="BookText"/>
      </w:pPr>
      <w:r>
        <w:rPr>
          <w:rFonts w:ascii="Amiri" w:hAnsi="Amiri" w:eastAsia="Amiri" w:cs="Amiri"/>
          <w:lang w:bidi="ar-SA"/>
          <w:color w:val="111111"/>
          <w:sz w:val="28"/>
          <w:szCs w:val="28"/>
          <w:rtl/>
        </w:rPr>
        <w:t xml:space="preserve">قد دلّت الدلائل العقلیة علی أنّ للعالم صانعاً عالماً قادراً حکیماً، و أنّه</w:t>
      </w:r>
    </w:p>
    <w:p>
      <w:pPr>
        <w:pStyle w:val="BookText"/>
      </w:pPr>
      <w:r>
        <w:rPr>
          <w:rFonts w:ascii="IRNazanin" w:hAnsi="IRNazanin" w:eastAsia="IRNazanin" w:cs="IRNazanin"/>
          <w:lang w:bidi="fa-IR"/>
          <w:color w:val="111111"/>
          <w:sz w:val="28"/>
          <w:szCs w:val="28"/>
          <w:rtl/>
        </w:rPr>
        <w:t xml:space="preserve">[شماره صفحه واقعی : 255]
</w:t>
      </w:r>
    </w:p>
    <w:p>
      <w:pPr>
        <w:sectPr>
          <w:footerReference w:type="default" r:id="rId1402"/>
          <w:footnotePr>
            <w:numStart w:val="1"/>
            <w:numRestart w:val="eachPage"/>
          </w:footnotePr>
          <w:pgSz w:orient="portrait" w:w="11905.511811023622" w:h="16837.79527559055"/>
          <w:pgMar w:top="1440" w:right="1440" w:bottom="1440" w:left="1440" w:header="720" w:footer="720" w:gutter="0"/>
          <w:cols w:num="1" w:space="720"/>
        </w:sectPr>
      </w:pPr>
    </w:p>
    <w:bookmarkStart w:id="786" w:name="pg14411_143784"/>
    <w:bookmarkEnd w:id="786"/>
    <w:p>
      <w:pPr>
        <w:pStyle w:val="BookText"/>
      </w:pPr>
      <w:r>
        <w:rPr>
          <w:rFonts w:ascii="IRNazanin" w:hAnsi="IRNazanin" w:eastAsia="IRNazanin" w:cs="IRNazanin"/>
          <w:lang w:bidi="fa-IR"/>
          <w:color w:val="111111"/>
          <w:sz w:val="28"/>
          <w:szCs w:val="28"/>
          <w:rtl/>
        </w:rPr>
        <w:t xml:space="preserve">أنعم علی عباده نعماً توجب الشکر، فننظر فی آیات خلقه بعقولنا، و نشکره بآلائه علینا، و إذا عرفناه و شکرنا له، استوجبنا ثوابه، و إذا أنکرناه و کفرنا به، استوجبنا عقابه، فما بالنا نتّبع بشراً مثلنا؟!</w:t>
      </w:r>
    </w:p>
    <w:p>
      <w:pPr>
        <w:pStyle w:val="BookText"/>
      </w:pPr>
      <w:r>
        <w:rPr>
          <w:rFonts w:ascii="IRNazanin" w:hAnsi="IRNazanin" w:eastAsia="IRNazanin" w:cs="IRNazanin"/>
          <w:lang w:bidi="fa-IR"/>
          <w:color w:val="111111"/>
          <w:sz w:val="28"/>
          <w:szCs w:val="28"/>
          <w:rtl/>
        </w:rPr>
        <w:t xml:space="preserve">و الجواب عنه: أنّ کثیراً من الناس لا یعرفون کیفیة الشکر، فربما یتصوّرون أنّ عبادة المقرَّبین نوع شکر للّٰه سبحانه، فلأجل ذلک تری عبدة الأصنام و الأوثان یعتقدون أنّ عبادتهم للمخلوق شیء موجب للتقرّب. </w:t>
      </w:r>
      <w:r>
        <w:rPr>
          <w:rStyle w:val="FootnoteReference"/>
        </w:rPr>
        <w:footnoteReference w:id="4544"/>
      </w:r>
      <w:r>
        <w:rPr>
          <w:rFonts w:ascii="IRNazanin" w:hAnsi="IRNazanin" w:eastAsia="IRNazanin" w:cs="IRNazanin"/>
          <w:lang w:bidi="fa-IR"/>
          <w:color w:val="111111"/>
          <w:sz w:val="28"/>
          <w:szCs w:val="28"/>
          <w:rtl/>
        </w:rPr>
        <w:t xml:space="preserve">أضف الی ذلک أنّ تخصیص برامج الأنبیاء بالأمر بالشکر و النهی عن کفران النعمة، غفلة عن أهدافهم السامیة، فإنّهم جاءوا لإسعاد البشر فی حیاتهم الفردیة و الاجتماعیة، و لا تختصّ رسالتهم بالأوراد و الأذکار الجافّة، کتلک الّتی یردّدها أصحاب بعض الدیانات أیّام السّبت و الأحد فی البیع و الکنائس، و إنّک لتقف علی عظیم أهداف رسالة النبیّ الأکرم صلی الله علیه و آله إذا وقفت علی کلمته المأثورة: «إنّی قد جئتکم بخیر الدنیا و الآخرة». </w:t>
      </w:r>
      <w:r>
        <w:rPr>
          <w:rStyle w:val="FootnoteReference"/>
        </w:rPr>
        <w:footnoteReference w:id="4545"/>
      </w:r>
    </w:p>
    <w:p>
      <w:pPr>
        <w:pStyle w:val="Heading6"/>
      </w:pPr>
      <w:bookmarkStart w:id="2569" w:name="_Toc1604"/>
      <w:r>
        <w:t>الدلیل الثالث:</w:t>
      </w:r>
      <w:bookmarkEnd w:id="2569"/>
    </w:p>
    <w:p>
      <w:pPr>
        <w:pStyle w:val="BookText"/>
      </w:pPr>
      <w:r>
        <w:rPr>
          <w:rFonts w:ascii="IRNazanin" w:hAnsi="IRNazanin" w:eastAsia="IRNazanin" w:cs="IRNazanin"/>
          <w:lang w:bidi="fa-IR"/>
          <w:color w:val="111111"/>
          <w:sz w:val="28"/>
          <w:szCs w:val="28"/>
          <w:rtl/>
        </w:rPr>
        <w:t xml:space="preserve">إنّ أکبر الکبائر فی الرسالة، اتّباع رجل هو مثلک فی الصورة و النفس و العقل، یأکل ممّا تأکل، و یشرب ممّا تشرب...</w:t>
      </w:r>
    </w:p>
    <w:p>
      <w:pPr>
        <w:pStyle w:val="BookText"/>
      </w:pPr>
      <w:r>
        <w:rPr>
          <w:rFonts w:ascii="IRNazanin" w:hAnsi="IRNazanin" w:eastAsia="IRNazanin" w:cs="IRNazanin"/>
          <w:lang w:bidi="fa-IR"/>
          <w:color w:val="111111"/>
          <w:sz w:val="28"/>
          <w:szCs w:val="28"/>
          <w:rtl/>
        </w:rPr>
        <w:t xml:space="preserve">فأی مزیّة له علیک؟ و أیّ فضیلة أوجبت استخدامک؟ و ما دلیله علی صدق دعواه؟ </w:t>
      </w:r>
      <w:r>
        <w:rPr>
          <w:rStyle w:val="FootnoteReference"/>
        </w:rPr>
        <w:footnoteReference w:id="4546"/>
      </w:r>
    </w:p>
    <w:p>
      <w:pPr>
        <w:pStyle w:val="BookText"/>
      </w:pPr>
      <w:r>
        <w:rPr>
          <w:rFonts w:ascii="IRNazanin" w:hAnsi="IRNazanin" w:eastAsia="IRNazanin" w:cs="IRNazanin"/>
          <w:lang w:bidi="fa-IR"/>
          <w:color w:val="111111"/>
          <w:sz w:val="28"/>
          <w:szCs w:val="28"/>
          <w:rtl/>
        </w:rPr>
        <w:t xml:space="preserve">[شماره صفحه واقعی : 256]
</w:t>
      </w:r>
    </w:p>
    <w:p>
      <w:pPr>
        <w:sectPr>
          <w:footerReference w:type="default" r:id="rId1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الجواب عنه: أنّ هذه شبهة أشیر إلیها فی القرآن الکریم مع الجواب عنها، فقد أشیر الی الشّبهة فی قوله تعالی:</w:t>
      </w:r>
    </w:p>
    <w:p>
      <w:pPr>
        <w:pStyle w:val="BookText"/>
      </w:pPr>
      <w:r>
        <w:rPr>
          <w:rFonts w:ascii="Amiri" w:hAnsi="Amiri" w:eastAsia="Amiri" w:cs="Amiri"/>
          <w:lang w:bidi="ar-SA"/>
          <w:color w:val="111111"/>
          <w:sz w:val="28"/>
          <w:szCs w:val="28"/>
          <w:rtl/>
        </w:rPr>
        <w:t xml:space="preserve">«.... وَ أَسَرُّوا النَّجْوَی الَّذِینَ ظَلَمُوا هَلْ هٰذٰا إِلاّٰ بَشَرٌ مِثْلُکُمْ أَ فَتَأْتُونَ السِّحْرَ وَ أَنْتُمْ تُبْصِرُونَ» </w:t>
      </w:r>
      <w:r>
        <w:rPr>
          <w:rStyle w:val="FootnoteReference"/>
        </w:rPr>
        <w:footnoteReference w:id="4547"/>
      </w:r>
    </w:p>
    <w:p>
      <w:pPr>
        <w:pStyle w:val="BookText"/>
      </w:pPr>
      <w:r>
        <w:rPr>
          <w:rFonts w:ascii="IRNazanin" w:hAnsi="IRNazanin" w:eastAsia="IRNazanin" w:cs="IRNazanin"/>
          <w:lang w:bidi="fa-IR"/>
          <w:color w:val="111111"/>
          <w:sz w:val="28"/>
          <w:szCs w:val="28"/>
          <w:rtl/>
        </w:rPr>
        <w:t xml:space="preserve">و فی قوله تعالی:</w:t>
      </w:r>
    </w:p>
    <w:p>
      <w:pPr>
        <w:pStyle w:val="BookText"/>
      </w:pPr>
      <w:r>
        <w:rPr>
          <w:rFonts w:ascii="Amiri" w:hAnsi="Amiri" w:eastAsia="Amiri" w:cs="Amiri"/>
          <w:lang w:bidi="ar-SA"/>
          <w:color w:val="111111"/>
          <w:sz w:val="28"/>
          <w:szCs w:val="28"/>
          <w:rtl/>
        </w:rPr>
        <w:t xml:space="preserve">«وَ قٰالَ الْمَلَأُ مِنْ قَوْمِهِ الَّذِینَ کَفَرُوا وَ کَذَّبُوا بِلِقٰاءِ الْآخِرَةِ وَ أَتْرَفْنٰاهُمْ فِی الْحَیٰاةِ الدُّنْیٰا مٰا هٰذٰا إِلاّٰ بَشَرٌ مِثْلُکُمْ یَأْکُلُ مِمّٰا تَأْکُلُونَ مِنْهُ وَ یَشْرَبُ مِمّٰا تَشْرَبُونَ * وَ لَئِنْ أَطَعْتُمْ بَشَراً مِثْلَکُمْ إِنَّکُمْ إِذاً لَخٰاسِرُونَ». </w:t>
      </w:r>
      <w:r>
        <w:rPr>
          <w:rStyle w:val="FootnoteReference"/>
        </w:rPr>
        <w:footnoteReference w:id="4548"/>
      </w:r>
    </w:p>
    <w:p>
      <w:pPr>
        <w:pStyle w:val="BookText"/>
      </w:pPr>
      <w:r>
        <w:rPr>
          <w:rFonts w:ascii="IRNazanin" w:hAnsi="IRNazanin" w:eastAsia="IRNazanin" w:cs="IRNazanin"/>
          <w:lang w:bidi="fa-IR"/>
          <w:color w:val="111111"/>
          <w:sz w:val="28"/>
          <w:szCs w:val="28"/>
          <w:rtl/>
        </w:rPr>
        <w:t xml:space="preserve">و قد أجیب عنها فی قوله سبحانه:</w:t>
      </w:r>
    </w:p>
    <w:p>
      <w:pPr>
        <w:pStyle w:val="BookText"/>
      </w:pPr>
      <w:r>
        <w:rPr>
          <w:rFonts w:ascii="Amiri" w:hAnsi="Amiri" w:eastAsia="Amiri" w:cs="Amiri"/>
          <w:lang w:bidi="ar-SA"/>
          <w:color w:val="111111"/>
          <w:sz w:val="28"/>
          <w:szCs w:val="28"/>
          <w:rtl/>
        </w:rPr>
        <w:t xml:space="preserve">«قٰالَتْ لَهُمْ رُسُلُهُمْ إِنْ نَحْنُ إِلاّٰ بَشَرٌ مِثْلُکُمْ وَ لٰکِنَّ اللّٰهَ یَمُنُّ عَلیٰ مَنْ یَشٰاءُ مِنْ عِبٰادِهِ وَ مٰا کٰانَ لَنٰا أَنْ نَأْتِیَکُمْ بِسُلْطٰانٍ إِلاّٰ بِإِذْنِ اللّٰهِ وَ عَلَی اللّٰهِ فَلْیَتَوَکَّلِ الْمُؤْمِنُونَ». </w:t>
      </w:r>
      <w:r>
        <w:rPr>
          <w:rStyle w:val="FootnoteReference"/>
        </w:rPr>
        <w:footnoteReference w:id="4549"/>
      </w:r>
    </w:p>
    <w:p>
      <w:pPr>
        <w:pStyle w:val="BookText"/>
      </w:pPr>
      <w:r>
        <w:rPr>
          <w:rFonts w:ascii="Amiri" w:hAnsi="Amiri" w:eastAsia="Amiri" w:cs="Amiri"/>
          <w:lang w:bidi="ar-SA"/>
          <w:color w:val="111111"/>
          <w:sz w:val="28"/>
          <w:szCs w:val="28"/>
          <w:rtl/>
        </w:rPr>
        <w:t xml:space="preserve">و فی قوله سبحانه: «قُلْ إِنَّمٰا أَنَا بَشَرٌ مِثْلُکُمْ یُوحیٰ إِلَیَّ». </w:t>
      </w:r>
      <w:r>
        <w:rPr>
          <w:rStyle w:val="FootnoteReference"/>
        </w:rPr>
        <w:footnoteReference w:id="4550"/>
      </w:r>
    </w:p>
    <w:p>
      <w:pPr>
        <w:pStyle w:val="BookText"/>
      </w:pPr>
      <w:r>
        <w:rPr>
          <w:rFonts w:ascii="IRNazanin" w:hAnsi="IRNazanin" w:eastAsia="IRNazanin" w:cs="IRNazanin"/>
          <w:lang w:bidi="fa-IR"/>
          <w:color w:val="111111"/>
          <w:sz w:val="28"/>
          <w:szCs w:val="28"/>
          <w:rtl/>
        </w:rPr>
        <w:t xml:space="preserve">فالجملة الأُولی، و هی الاتحاد فی البشریة، إشارة إلی أحد رکنی</w:t>
      </w:r>
    </w:p>
    <w:p>
      <w:pPr>
        <w:pStyle w:val="BookText"/>
      </w:pPr>
      <w:r>
        <w:rPr>
          <w:rFonts w:ascii="IRNazanin" w:hAnsi="IRNazanin" w:eastAsia="IRNazanin" w:cs="IRNazanin"/>
          <w:lang w:bidi="fa-IR"/>
          <w:color w:val="111111"/>
          <w:sz w:val="28"/>
          <w:szCs w:val="28"/>
          <w:rtl/>
        </w:rPr>
        <w:t xml:space="preserve">[شماره صفحه واقعی : 257]
</w:t>
      </w:r>
    </w:p>
    <w:p>
      <w:pPr>
        <w:sectPr>
          <w:footerReference w:type="default" r:id="rId1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الرسالة، و هو لزوم المسانخة التامّة بین المرسل -بالفتح -و المُرسَل إلیه. و قوله: «یُوحیٰ إِلَیَّ» ، إشارة إلی وجه الفرق بینهما، و أنّه لأجل نزول الوحی علیه یجب اتّباعه و إطاعته. و بذلک یظهر مزیّة الأنبیاء و فضیلتهم و تقدّمهم علی غیرهم.</w:t>
      </w:r>
    </w:p>
    <w:p>
      <w:pPr>
        <w:pStyle w:val="BookText"/>
      </w:pPr>
      <w:r>
        <w:rPr>
          <w:rFonts w:ascii="IRNazanin" w:hAnsi="IRNazanin" w:eastAsia="IRNazanin" w:cs="IRNazanin"/>
          <w:lang w:bidi="fa-IR"/>
          <w:color w:val="111111"/>
          <w:sz w:val="28"/>
          <w:szCs w:val="28"/>
          <w:rtl/>
        </w:rPr>
        <w:t xml:space="preserve">و أمّا دلیلهم علی صدق ادّعاءاتهم، فسیوافیک فی البحث التالی أنّ المعجزة طریق برهانی لتمییز النبیّ الصادق عن المتنبّئ الکاذب.</w:t>
      </w:r>
    </w:p>
    <w:p>
      <w:pPr>
        <w:pStyle w:val="BookText"/>
      </w:pPr>
      <w:r>
        <w:rPr>
          <w:rFonts w:ascii="IRNazanin" w:hAnsi="IRNazanin" w:eastAsia="IRNazanin" w:cs="IRNazanin"/>
          <w:lang w:bidi="fa-IR"/>
          <w:color w:val="111111"/>
          <w:sz w:val="28"/>
          <w:szCs w:val="28"/>
          <w:rtl/>
        </w:rPr>
        <w:t xml:space="preserve">[شماره صفحه واقعی : 258]
</w:t>
      </w:r>
    </w:p>
    <w:p>
      <w:pPr>
        <w:sectPr>
          <w:footerReference w:type="default" r:id="rId1405"/>
          <w:footnotePr>
            <w:numStart w:val="1"/>
            <w:numRestart w:val="eachPage"/>
          </w:footnotePr>
          <w:pgSz w:orient="portrait" w:w="11905.511811023622" w:h="16837.79527559055"/>
          <w:pgMar w:top="1440" w:right="1440" w:bottom="1440" w:left="1440" w:header="720" w:footer="720" w:gutter="0"/>
          <w:cols w:num="1" w:space="720"/>
        </w:sectPr>
      </w:pPr>
    </w:p>
    <w:bookmarkStart w:id="787" w:name="pg14411_143787"/>
    <w:bookmarkEnd w:id="787"/>
    <w:p>
      <w:pPr>
        <w:pStyle w:val="Heading5"/>
      </w:pPr>
      <w:bookmarkStart w:id="2570" w:name="_Toc1605"/>
      <w:r>
        <w:t>الفصل الثالث : المعجزة و إثبات صدق دعوی النبوّة</w:t>
      </w:r>
      <w:bookmarkEnd w:id="2570"/>
    </w:p>
    <w:p>
      <w:pPr>
        <w:pStyle w:val="Heading6"/>
      </w:pPr>
      <w:bookmarkStart w:id="2571" w:name="_Toc1606"/>
      <w:r>
        <w:t>اشارة</w:t>
      </w:r>
      <w:bookmarkEnd w:id="2571"/>
    </w:p>
    <w:p>
      <w:pPr>
        <w:pStyle w:val="BookText"/>
      </w:pPr>
      <w:r>
        <w:rPr>
          <w:rFonts w:ascii="IRNazanin" w:hAnsi="IRNazanin" w:eastAsia="IRNazanin" w:cs="IRNazanin"/>
          <w:lang w:bidi="fa-IR"/>
          <w:color w:val="111111"/>
          <w:sz w:val="28"/>
          <w:szCs w:val="28"/>
          <w:rtl/>
        </w:rPr>
        <w:t xml:space="preserve">یجب أن تقترن دعوی النبوَّة بدلیل یثبت صحّتها و إلّا کانت دعوی فارغة غیر قابلة للإذعان و القبول و هذا ما تقتضیه الفطرة الإنسانیة، یقول الشیخ الرئیس فی کلمته المشهورة: «مَن قَبِل دعوی المدّعی بلا بیِّنة و برهان، فقد خرج عن الفطرة الإنسانیة».</w:t>
      </w:r>
    </w:p>
    <w:p>
      <w:pPr>
        <w:pStyle w:val="BookText"/>
      </w:pPr>
      <w:r>
        <w:rPr>
          <w:rFonts w:ascii="Amiri" w:hAnsi="Amiri" w:eastAsia="Amiri" w:cs="Amiri"/>
          <w:lang w:bidi="ar-SA"/>
          <w:color w:val="111111"/>
          <w:sz w:val="28"/>
          <w:szCs w:val="28"/>
          <w:rtl/>
        </w:rPr>
        <w:t xml:space="preserve">ثمّ إنّ هنا طرقاً ثلاثة للوقوف علی صدق مدّعی النبوَّة فی دعواه و هی:</w:t>
      </w:r>
    </w:p>
    <w:p>
      <w:pPr>
        <w:pStyle w:val="BookText"/>
      </w:pPr>
      <w:r>
        <w:rPr>
          <w:rFonts w:ascii="Amiri" w:hAnsi="Amiri" w:eastAsia="Amiri" w:cs="Amiri"/>
          <w:lang w:bidi="ar-SA"/>
          <w:color w:val="111111"/>
          <w:sz w:val="28"/>
          <w:szCs w:val="28"/>
          <w:rtl/>
        </w:rPr>
        <w:t xml:space="preserve">أ. المعجزة؛</w:t>
      </w:r>
    </w:p>
    <w:p>
      <w:pPr>
        <w:pStyle w:val="BookText"/>
      </w:pPr>
      <w:r>
        <w:rPr>
          <w:rFonts w:ascii="Amiri" w:hAnsi="Amiri" w:eastAsia="Amiri" w:cs="Amiri"/>
          <w:lang w:bidi="ar-SA"/>
          <w:color w:val="111111"/>
          <w:sz w:val="28"/>
          <w:szCs w:val="28"/>
          <w:rtl/>
        </w:rPr>
        <w:t xml:space="preserve">ب. تصدیق النبیّ السّابق نبوّة النبیّ اللاحق؛</w:t>
      </w:r>
    </w:p>
    <w:p>
      <w:pPr>
        <w:pStyle w:val="BookText"/>
      </w:pPr>
      <w:r>
        <w:rPr>
          <w:rFonts w:ascii="IRNazanin" w:hAnsi="IRNazanin" w:eastAsia="IRNazanin" w:cs="IRNazanin"/>
          <w:lang w:bidi="fa-IR"/>
          <w:color w:val="111111"/>
          <w:sz w:val="28"/>
          <w:szCs w:val="28"/>
          <w:rtl/>
        </w:rPr>
        <w:t xml:space="preserve">ج. جمع القرائن و الشّواهد من حالات المدّعی و تلامذة منهجه.</w:t>
      </w:r>
    </w:p>
    <w:p>
      <w:pPr>
        <w:pStyle w:val="BookText"/>
      </w:pPr>
      <w:r>
        <w:rPr>
          <w:rFonts w:ascii="IRNazanin" w:hAnsi="IRNazanin" w:eastAsia="IRNazanin" w:cs="IRNazanin"/>
          <w:lang w:bidi="fa-IR"/>
          <w:color w:val="111111"/>
          <w:sz w:val="28"/>
          <w:szCs w:val="28"/>
          <w:rtl/>
        </w:rPr>
        <w:t xml:space="preserve">و نحن نکتفی هنا بتبیین طریق المعجزة الّتی هی الأهمّ منها.</w:t>
      </w:r>
    </w:p>
    <w:p>
      <w:pPr>
        <w:pStyle w:val="Heading6"/>
      </w:pPr>
      <w:bookmarkStart w:id="2572" w:name="_Toc1607"/>
      <w:r>
        <w:t>تعریف المعجزة</w:t>
      </w:r>
      <w:bookmarkEnd w:id="2572"/>
    </w:p>
    <w:p>
      <w:pPr>
        <w:pStyle w:val="BookText"/>
      </w:pPr>
      <w:r>
        <w:rPr>
          <w:rFonts w:ascii="IRNazanin" w:hAnsi="IRNazanin" w:eastAsia="IRNazanin" w:cs="IRNazanin"/>
          <w:lang w:bidi="fa-IR"/>
          <w:color w:val="111111"/>
          <w:sz w:val="28"/>
          <w:szCs w:val="28"/>
          <w:rtl/>
        </w:rPr>
        <w:t xml:space="preserve">المشهور فی تعریف المعجزة أنّها: «أمر خارق للعادة، مقرون بالتحدّی، مع عدم المعارضة». </w:t>
      </w:r>
      <w:r>
        <w:rPr>
          <w:rStyle w:val="FootnoteReference"/>
        </w:rPr>
        <w:footnoteReference w:id="4551"/>
      </w:r>
      <w:r>
        <w:rPr>
          <w:rFonts w:ascii="IRNazanin" w:hAnsi="IRNazanin" w:eastAsia="IRNazanin" w:cs="IRNazanin"/>
          <w:lang w:bidi="fa-IR"/>
          <w:color w:val="111111"/>
          <w:sz w:val="28"/>
          <w:szCs w:val="28"/>
          <w:rtl/>
        </w:rPr>
        <w:t xml:space="preserve">و إلیک توضیحه:</w:t>
      </w:r>
    </w:p>
    <w:p>
      <w:pPr>
        <w:pStyle w:val="BookText"/>
      </w:pPr>
      <w:r>
        <w:rPr>
          <w:rFonts w:ascii="IRNazanin" w:hAnsi="IRNazanin" w:eastAsia="IRNazanin" w:cs="IRNazanin"/>
          <w:lang w:bidi="fa-IR"/>
          <w:color w:val="111111"/>
          <w:sz w:val="28"/>
          <w:szCs w:val="28"/>
          <w:rtl/>
        </w:rPr>
        <w:t xml:space="preserve">[شماره صفحه واقعی : 259]
</w:t>
      </w:r>
    </w:p>
    <w:p>
      <w:pPr>
        <w:sectPr>
          <w:footerReference w:type="default" r:id="rId1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هناک أُموراً تعدّ مضادّة للعقل، کاجتماع النقیضین و ارتفاعهما، و وجود المعلول بلا علّة و نحو ذلک، و أُموراً أُخری تخالف القواعد العادیة، بمعنی أنّها تعدّ محالات حسب الأدوات و الأجهزة العادیة، و المجاری الطبیعیة، و لکنّها لیست مستحیلة عقلاً لو کان هناک أدوات أُخری خارجة عن نطاق العادة، و هی المسمّاة بالمعاجز، و ذلک کحرکة جسم کبیر من مکان إلی مکان آخر بعید عنه، فی فترة زمانیة لا تزید علی طرفة العین بلا تلک الوسائط العادیة، فإنّه غیر ممتنع عقلاً و لکنّه محال عادة، و من هذا القبیل ما یحکیه القرآن من قیام من أوتی علماً من الکتاب بإحضار عرش بلقیس ملکة سبأ، من بلاد الیمن إلی بلاد الشام فی طرفة عین بلا توسط شیء من تلک الأجهزة المادّیة المتعارفة. </w:t>
      </w:r>
      <w:r>
        <w:rPr>
          <w:rStyle w:val="FootnoteReference"/>
        </w:rPr>
        <w:footnoteReference w:id="4552"/>
      </w:r>
      <w:r>
        <w:rPr>
          <w:rFonts w:ascii="Amiri" w:hAnsi="Amiri" w:eastAsia="Amiri" w:cs="Amiri"/>
          <w:lang w:bidi="ar-SA"/>
          <w:color w:val="111111"/>
          <w:sz w:val="28"/>
          <w:szCs w:val="28"/>
          <w:rtl/>
        </w:rPr>
        <w:t xml:space="preserve">فتحصّل أنّ المعجزة أمر خارق للعادة لا مضادّ للعقل.</w:t>
      </w:r>
    </w:p>
    <w:p>
      <w:pPr>
        <w:pStyle w:val="BookText"/>
      </w:pPr>
      <w:r>
        <w:rPr>
          <w:rFonts w:ascii="IRNazanin" w:hAnsi="IRNazanin" w:eastAsia="IRNazanin" w:cs="IRNazanin"/>
          <w:lang w:bidi="fa-IR"/>
          <w:color w:val="111111"/>
          <w:sz w:val="28"/>
          <w:szCs w:val="28"/>
          <w:rtl/>
        </w:rPr>
        <w:t xml:space="preserve">ثمّ إنّ الإتیان بما هو خارق للعادة لا یسمّی معجزة إلّا إذا کان مقترناً بدعوی النبوّة، و إذا تجرّد عنها و صدر من بعض أولیاء اللّه تعالی یسمّی «کرامة» و ذلک کحضور الرزق لمریم علیها السلام بلا سعی طبیعی. </w:t>
      </w:r>
      <w:r>
        <w:rPr>
          <w:rStyle w:val="FootnoteReference"/>
        </w:rPr>
        <w:footnoteReference w:id="4553"/>
      </w:r>
      <w:r>
        <w:rPr>
          <w:rFonts w:ascii="IRNazanin" w:hAnsi="IRNazanin" w:eastAsia="IRNazanin" w:cs="IRNazanin"/>
          <w:lang w:bidi="fa-IR"/>
          <w:color w:val="111111"/>
          <w:sz w:val="28"/>
          <w:szCs w:val="28"/>
          <w:rtl/>
        </w:rPr>
        <w:t xml:space="preserve">و لأجل ذلک کان الأُولی أن یضیفوا إلی التعریف قید: «مع دعوی النبوّة». </w:t>
      </w:r>
      <w:r>
        <w:rPr>
          <w:rStyle w:val="FootnoteReference"/>
        </w:rPr>
        <w:footnoteReference w:id="4554"/>
      </w:r>
    </w:p>
    <w:p>
      <w:pPr>
        <w:pStyle w:val="BookText"/>
      </w:pPr>
      <w:r>
        <w:rPr>
          <w:rFonts w:ascii="IRNazanin" w:hAnsi="IRNazanin" w:eastAsia="IRNazanin" w:cs="IRNazanin"/>
          <w:lang w:bidi="fa-IR"/>
          <w:color w:val="111111"/>
          <w:sz w:val="28"/>
          <w:szCs w:val="28"/>
          <w:rtl/>
        </w:rPr>
        <w:t xml:space="preserve">[شماره صفحه واقعی : 260]
</w:t>
      </w:r>
    </w:p>
    <w:p>
      <w:pPr>
        <w:sectPr>
          <w:footerReference w:type="default" r:id="rId1407"/>
          <w:footnotePr>
            <w:numStart w:val="1"/>
            <w:numRestart w:val="eachPage"/>
          </w:footnotePr>
          <w:pgSz w:orient="portrait" w:w="11905.511811023622" w:h="16837.79527559055"/>
          <w:pgMar w:top="1440" w:right="1440" w:bottom="1440" w:left="1440" w:header="720" w:footer="720" w:gutter="0"/>
          <w:cols w:num="1" w:space="720"/>
        </w:sectPr>
      </w:pPr>
    </w:p>
    <w:bookmarkStart w:id="788" w:name="pg14411_143789"/>
    <w:bookmarkEnd w:id="788"/>
    <w:p>
      <w:pPr>
        <w:pStyle w:val="BookText"/>
      </w:pPr>
      <w:r>
        <w:rPr>
          <w:rFonts w:ascii="IRNazanin" w:hAnsi="IRNazanin" w:eastAsia="IRNazanin" w:cs="IRNazanin"/>
          <w:lang w:bidi="fa-IR"/>
          <w:color w:val="111111"/>
          <w:sz w:val="28"/>
          <w:szCs w:val="28"/>
          <w:rtl/>
        </w:rPr>
        <w:t xml:space="preserve">و لا یتحقّق الإعجاز إلّا إذا عجز الناس عن القیام بمعارضة ما أتی به مدّعی النبوّة، و یترتّب علی هذا أنّ ما یقوم به کبار الأطباء و المخترعین من الأُمور العجیبة خارج عن إطار الإعجاز، کما أنّ ما یقوم به السّحرة و المرتاضون من الأعمال المدهشة، لا یعدّ معجزاً لانتفاء هذا الشرط.</w:t>
      </w:r>
    </w:p>
    <w:p>
      <w:pPr>
        <w:pStyle w:val="BookText"/>
      </w:pPr>
      <w:r>
        <w:rPr>
          <w:rFonts w:ascii="IRNazanin" w:hAnsi="IRNazanin" w:eastAsia="IRNazanin" w:cs="IRNazanin"/>
          <w:lang w:bidi="fa-IR"/>
          <w:color w:val="111111"/>
          <w:sz w:val="28"/>
          <w:szCs w:val="28"/>
          <w:rtl/>
        </w:rPr>
        <w:t xml:space="preserve">و من شرائط کون الإعجاز دلیلاً علی صدق دعوی النبوّة أن یکون فعل المدّعی مطابقاً لدعواه، فلو خالف ما ادّعاه لما سمّی معجزة و إن کان أمراً خارقاً للعادة، و من ذلک ما حصل من مسیلمة الکذّاب عند ما ادّعی أنّه نبی، و آیة نبوّته أنّه إذا تفل فی بئر قلیلة الماء، یکثر ماؤها، فتفل فغار جمیع ماؤها.</w:t>
      </w:r>
    </w:p>
    <w:p>
      <w:pPr>
        <w:pStyle w:val="Heading6"/>
      </w:pPr>
      <w:bookmarkStart w:id="2573" w:name="_Toc1608"/>
      <w:r>
        <w:t>دلالة المعجزة و قاعدة الحسن و القبح العقلیین</w:t>
      </w:r>
      <w:bookmarkEnd w:id="2573"/>
    </w:p>
    <w:p>
      <w:pPr>
        <w:pStyle w:val="BookText"/>
      </w:pPr>
      <w:r>
        <w:rPr>
          <w:rFonts w:ascii="IRNazanin" w:hAnsi="IRNazanin" w:eastAsia="IRNazanin" w:cs="IRNazanin"/>
          <w:lang w:bidi="fa-IR"/>
          <w:color w:val="111111"/>
          <w:sz w:val="28"/>
          <w:szCs w:val="28"/>
          <w:rtl/>
        </w:rPr>
        <w:t xml:space="preserve">إنّ دلالة المعجزة علی صدق دعوی النبوّة یتوقّف علی القول بالحسن و القبح العقلیین، لأنّ الإعجاز إنّما یکون دلیلاً علی صدق النبوّة، إذا قبح فی العقل إظهار المعجزة علی ید الکاذب، فإذا توقّف العقل عن إدراک قبحه و احتمل صحّة إمکان ظهوره علی ید الکاذب، لا یقدر علی التمییز بین الصادق و الکاذب، فالّذین أنکروا حکم العقل بهما، یلزم علیهم سدّ باب التصدیق بالنبوّة من طریق الإعجاز، قال العلاّمة الحلّی:</w:t>
      </w:r>
    </w:p>
    <w:p>
      <w:pPr>
        <w:pStyle w:val="BookText"/>
      </w:pPr>
      <w:r>
        <w:rPr>
          <w:rFonts w:ascii="IRNazanin" w:hAnsi="IRNazanin" w:eastAsia="IRNazanin" w:cs="IRNazanin"/>
          <w:lang w:bidi="fa-IR"/>
          <w:color w:val="111111"/>
          <w:sz w:val="28"/>
          <w:szCs w:val="28"/>
          <w:rtl/>
        </w:rPr>
        <w:t xml:space="preserve">لو کان الحسن و القبح باعتبار السمع لا غیر لما قبح من اللّه تعالی شیء ، و لو کان کذلک لما قبح منه تعالی إظهار المعجزات علی ید الکاذبین، و تجویز ذلک یسدّ باب معرفة النبوّة، فإنّ أیّ</w:t>
      </w:r>
    </w:p>
    <w:p>
      <w:pPr>
        <w:pStyle w:val="BookText"/>
      </w:pPr>
      <w:r>
        <w:rPr>
          <w:rFonts w:ascii="IRNazanin" w:hAnsi="IRNazanin" w:eastAsia="IRNazanin" w:cs="IRNazanin"/>
          <w:lang w:bidi="fa-IR"/>
          <w:color w:val="111111"/>
          <w:sz w:val="28"/>
          <w:szCs w:val="28"/>
          <w:rtl/>
        </w:rPr>
        <w:t xml:space="preserve">[شماره صفحه واقعی : 261]
</w:t>
      </w:r>
    </w:p>
    <w:p>
      <w:pPr>
        <w:sectPr>
          <w:footerReference w:type="default" r:id="rId1408"/>
          <w:footnotePr>
            <w:numStart w:val="1"/>
            <w:numRestart w:val="eachPage"/>
          </w:footnotePr>
          <w:pgSz w:orient="portrait" w:w="11905.511811023622" w:h="16837.79527559055"/>
          <w:pgMar w:top="1440" w:right="1440" w:bottom="1440" w:left="1440" w:header="720" w:footer="720" w:gutter="0"/>
          <w:cols w:num="1" w:space="720"/>
        </w:sectPr>
      </w:pPr>
    </w:p>
    <w:bookmarkStart w:id="789" w:name="pg14411_143790"/>
    <w:bookmarkEnd w:id="789"/>
    <w:p>
      <w:pPr>
        <w:pStyle w:val="BookText"/>
      </w:pPr>
      <w:r>
        <w:rPr>
          <w:rFonts w:ascii="IRNazanin" w:hAnsi="IRNazanin" w:eastAsia="IRNazanin" w:cs="IRNazanin"/>
          <w:lang w:bidi="fa-IR"/>
          <w:color w:val="111111"/>
          <w:sz w:val="28"/>
          <w:szCs w:val="28"/>
          <w:rtl/>
        </w:rPr>
        <w:t xml:space="preserve">نبی أظهر المعجزة عقیب ادّعاء النبوّة لا یمکن تصدیقه مع تجویز إظهار المعجزة علی ید الکاذب فی دعوی النبوّة. </w:t>
      </w:r>
      <w:r>
        <w:rPr>
          <w:rStyle w:val="FootnoteReference"/>
        </w:rPr>
        <w:footnoteReference w:id="4555"/>
      </w:r>
    </w:p>
    <w:p>
      <w:pPr>
        <w:pStyle w:val="Heading6"/>
      </w:pPr>
      <w:bookmarkStart w:id="2574" w:name="_Toc1609"/>
      <w:r>
        <w:t>المعجزة دلیل برهانی</w:t>
      </w:r>
      <w:bookmarkEnd w:id="2574"/>
    </w:p>
    <w:p>
      <w:pPr>
        <w:pStyle w:val="BookText"/>
      </w:pPr>
      <w:r>
        <w:rPr>
          <w:rFonts w:ascii="IRNazanin" w:hAnsi="IRNazanin" w:eastAsia="IRNazanin" w:cs="IRNazanin"/>
          <w:lang w:bidi="fa-IR"/>
          <w:color w:val="111111"/>
          <w:sz w:val="28"/>
          <w:szCs w:val="28"/>
          <w:rtl/>
        </w:rPr>
        <w:t xml:space="preserve">هناک من یتخیّل أن دلالة المعجزة علی صدق دعوی النبیّ، دلالة إقناعیة لا برهانیة، بحجّة أنّ الدلیل البرهانی یتوقّف علی وجود رابطة منطقیة بین المدّعیٰ و الدلیل، و هی غیر موجودة فی المقام، و یردّه أنّ دعوی النبوّة و الرسالة من کلّ نبیّ و رسول - علی ما یقصّه القرآن - إنّما کانت بدعوی الوحی و التکلیم الإلهی بلا واسطة أو بواسطة نزول ملک، و هذا أمر لا یساعده الحسّ و لا تؤیّده التجربة، فإنّ الوحی و التکلیم الإلهی و ما یتلوه من التشریع و التربیة الدینیة ممّا لا یشاهده البشر فی أنفسهم، و العادة الجاریة فی الأسباب و المسبّبات تنکره، فهو أمر خارق للعادة.</w:t>
      </w:r>
    </w:p>
    <w:p>
      <w:pPr>
        <w:pStyle w:val="BookText"/>
      </w:pPr>
      <w:r>
        <w:rPr>
          <w:rFonts w:ascii="IRNazanin" w:hAnsi="IRNazanin" w:eastAsia="IRNazanin" w:cs="IRNazanin"/>
          <w:lang w:bidi="fa-IR"/>
          <w:color w:val="111111"/>
          <w:sz w:val="28"/>
          <w:szCs w:val="28"/>
          <w:rtl/>
        </w:rPr>
        <w:t xml:space="preserve">فلو کان النبیّ صادقاً فی دعواه النبوّة و الوحی، لکان لازمه أنّه متّصل بما وراء الطبیعة، مؤیَّد بقوَّة إلهیة تقدر علی خرق العادة، فلو کان هذا حقّاً کان من الممکن أن یصدر من النبیّ خارق آخر للعادة یصدّق النبوّة و الوحی من غیر مانع منه، فإنّ حکم الأمثال واحد، فلئن أراد اللّه هدایة الناس بطریق خارق للعادة و هو طریق النبوّة و الوحی، فلیؤیّدها و لیصدّقها بخارق آخر و هو المعجزة.</w:t>
      </w:r>
    </w:p>
    <w:p>
      <w:pPr>
        <w:pStyle w:val="BookText"/>
      </w:pPr>
      <w:r>
        <w:rPr>
          <w:rFonts w:ascii="IRNazanin" w:hAnsi="IRNazanin" w:eastAsia="IRNazanin" w:cs="IRNazanin"/>
          <w:lang w:bidi="fa-IR"/>
          <w:color w:val="111111"/>
          <w:sz w:val="28"/>
          <w:szCs w:val="28"/>
          <w:rtl/>
        </w:rPr>
        <w:t xml:space="preserve">[شماره صفحه واقعی : 262]
</w:t>
      </w:r>
    </w:p>
    <w:p>
      <w:pPr>
        <w:sectPr>
          <w:footerReference w:type="default" r:id="rId1409"/>
          <w:footnotePr>
            <w:numStart w:val="1"/>
            <w:numRestart w:val="eachPage"/>
          </w:footnotePr>
          <w:pgSz w:orient="portrait" w:w="11905.511811023622" w:h="16837.79527559055"/>
          <w:pgMar w:top="1440" w:right="1440" w:bottom="1440" w:left="1440" w:header="720" w:footer="720" w:gutter="0"/>
          <w:cols w:num="1" w:space="720"/>
        </w:sectPr>
      </w:pPr>
    </w:p>
    <w:bookmarkStart w:id="790" w:name="pg14411_143791"/>
    <w:bookmarkEnd w:id="790"/>
    <w:p>
      <w:pPr>
        <w:pStyle w:val="BookText"/>
      </w:pPr>
      <w:r>
        <w:rPr>
          <w:rFonts w:ascii="IRNazanin" w:hAnsi="IRNazanin" w:eastAsia="IRNazanin" w:cs="IRNazanin"/>
          <w:lang w:bidi="fa-IR"/>
          <w:color w:val="111111"/>
          <w:sz w:val="28"/>
          <w:szCs w:val="28"/>
          <w:rtl/>
        </w:rPr>
        <w:t xml:space="preserve">و هذا هو الّذی بعث الأُمم إلی سؤال المعجزة علی صدق دعوی النبوّة کلّما جاءهم رسول من أنفسهم. </w:t>
      </w:r>
      <w:r>
        <w:rPr>
          <w:rStyle w:val="FootnoteReference"/>
        </w:rPr>
        <w:footnoteReference w:id="4556"/>
      </w:r>
    </w:p>
    <w:p>
      <w:pPr>
        <w:pStyle w:val="Heading6"/>
      </w:pPr>
      <w:bookmarkStart w:id="2575" w:name="_Toc1610"/>
      <w:r>
        <w:t>فوارق المعجزة لسائر خوارق العادة</w:t>
      </w:r>
      <w:bookmarkEnd w:id="2575"/>
    </w:p>
    <w:p>
      <w:pPr>
        <w:pStyle w:val="BookText"/>
      </w:pPr>
      <w:r>
        <w:rPr>
          <w:rFonts w:ascii="IRNazanin" w:hAnsi="IRNazanin" w:eastAsia="IRNazanin" w:cs="IRNazanin"/>
          <w:lang w:bidi="fa-IR"/>
          <w:color w:val="111111"/>
          <w:sz w:val="28"/>
          <w:szCs w:val="28"/>
          <w:rtl/>
        </w:rPr>
        <w:t xml:space="preserve">إنّ هناک جهات من التمایز و التفارق بین المعجزة و الکرامة و بین غیرهما من خوارق العادات و هی:</w:t>
      </w:r>
    </w:p>
    <w:p>
      <w:pPr>
        <w:pStyle w:val="BookText"/>
      </w:pPr>
      <w:r>
        <w:rPr>
          <w:rFonts w:ascii="IRNazanin" w:hAnsi="IRNazanin" w:eastAsia="IRNazanin" w:cs="IRNazanin"/>
          <w:lang w:bidi="fa-IR"/>
          <w:color w:val="111111"/>
          <w:sz w:val="28"/>
          <w:szCs w:val="28"/>
          <w:rtl/>
        </w:rPr>
        <w:t xml:space="preserve">الجهة الأُولی من حیث طریق الحصول علیها، فإنّ المعجزة و الکرامة ولیدتان لعنایة إلهیة خاصة، و لیس السّبب لهما ممّا تناله ید الدراسة و التعلّم، و لکنّ السّحر و نحوه نتاج التعلیم و التعلّم و لها مناهج تعلیمیة یجب ممارستها حتّی یصل طالبها إلی النتائج المطلوبة یقول سبحانه:</w:t>
      </w:r>
    </w:p>
    <w:p>
      <w:pPr>
        <w:pStyle w:val="BookText"/>
      </w:pPr>
      <w:r>
        <w:rPr>
          <w:rFonts w:ascii="Amiri" w:hAnsi="Amiri" w:eastAsia="Amiri" w:cs="Amiri"/>
          <w:lang w:bidi="ar-SA"/>
          <w:color w:val="111111"/>
          <w:sz w:val="28"/>
          <w:szCs w:val="28"/>
          <w:rtl/>
        </w:rPr>
        <w:t xml:space="preserve">«وَ اتَّبَعُوا مٰا تَتْلُوا الشَّیٰاطِینُ عَلیٰ مُلْکِ سُلَیْمٰانَ وَ مٰا کَفَرَ سُلَیْمٰانُ وَ لٰکِنَّ الشَّیٰاطِینَ کَفَرُوا یُعَلِّمُونَ النّٰاسَ السِّحْرَ وَ مٰا أُنْزِلَ عَلَی الْمَلَکَیْنِ بِبٰابِلَ هٰارُوتَ وَ مٰارُوتَ وَ مٰا یُعَلِّمٰانِ مِنْ أَحَدٍ حَتّٰی یَقُولاٰ إِنَّمٰا نَحْنُ فِتْنَةٌ فَلاٰ تَکْفُرْ فَیَتَعَلَّمُونَ مِنْهُمٰا مٰا یُفَرِّقُونَ بِهِ بَیْنَ الْمَرْءِ وَ زَوْجِهِ» </w:t>
      </w:r>
      <w:r>
        <w:rPr>
          <w:rStyle w:val="FootnoteReference"/>
        </w:rPr>
        <w:footnoteReference w:id="45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لمّا کان السحر و نحوه رهن التعلیم و التعلّم، فهو متشابه فی نوعه، متّحد فی جنسه، یدور فی فلک واحد، و لا یخرج عن نطاق ما تعلّمه أهله و لذا لا یأتون إلّا بما تدرّبوا علیه، بخلاف معجزة الأنبیاء فإنّه علی جانب عظیم من التنوّع فی الکیفیّة إلی حدّ قد لا یجد الإنسان بین المعجزات قدراً</w:t>
      </w:r>
    </w:p>
    <w:p>
      <w:pPr>
        <w:pStyle w:val="BookText"/>
      </w:pPr>
      <w:r>
        <w:rPr>
          <w:rFonts w:ascii="IRNazanin" w:hAnsi="IRNazanin" w:eastAsia="IRNazanin" w:cs="IRNazanin"/>
          <w:lang w:bidi="fa-IR"/>
          <w:color w:val="111111"/>
          <w:sz w:val="28"/>
          <w:szCs w:val="28"/>
          <w:rtl/>
        </w:rPr>
        <w:t xml:space="preserve">[شماره صفحه واقعی : 263]
</w:t>
      </w:r>
    </w:p>
    <w:p>
      <w:pPr>
        <w:sectPr>
          <w:footerReference w:type="default" r:id="rId1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مشترکاً و جنساً قریباً، کما فی المعجزات الّتی یخبر بها القرآن عن موسی و عیسی علیهما السلام بقوله تعالی:</w:t>
      </w:r>
    </w:p>
    <w:p>
      <w:pPr>
        <w:pStyle w:val="BookText"/>
      </w:pPr>
      <w:r>
        <w:rPr>
          <w:rFonts w:ascii="Amiri" w:hAnsi="Amiri" w:eastAsia="Amiri" w:cs="Amiri"/>
          <w:lang w:bidi="ar-SA"/>
          <w:color w:val="111111"/>
          <w:sz w:val="28"/>
          <w:szCs w:val="28"/>
          <w:rtl/>
        </w:rPr>
        <w:t xml:space="preserve">«فَأَلْقیٰ عَصٰاهُ فَإِذٰا هِیَ ثُعْبٰانٌ مُبِینٌ » </w:t>
      </w:r>
      <w:r>
        <w:rPr>
          <w:rStyle w:val="FootnoteReference"/>
        </w:rPr>
        <w:footnoteReference w:id="45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تعالی: «وَ نَزَعَ یَدَهُ فَإِذٰا هِیَ بَیْضٰاءُ لِلنّٰاظِرِینَ » </w:t>
      </w:r>
      <w:r>
        <w:rPr>
          <w:rStyle w:val="FootnoteReference"/>
        </w:rPr>
        <w:footnoteReference w:id="45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قوله تعالی:</w:t>
      </w:r>
    </w:p>
    <w:p>
      <w:pPr>
        <w:pStyle w:val="BookText"/>
      </w:pPr>
      <w:r>
        <w:rPr>
          <w:rFonts w:ascii="Amiri" w:hAnsi="Amiri" w:eastAsia="Amiri" w:cs="Amiri"/>
          <w:lang w:bidi="ar-SA"/>
          <w:color w:val="111111"/>
          <w:sz w:val="28"/>
          <w:szCs w:val="28"/>
          <w:rtl/>
        </w:rPr>
        <w:t xml:space="preserve">«وَ إِذِ اسْتَسْقیٰ مُوسیٰ لِقَوْمِهِ فَقُلْنَا اضْرِبْ بِعَصٰاکَ الْحَجَرَ فَانْفَجَرَتْ مِنْهُ اثْنَتٰا عَشْرَةَ عَیْناً» </w:t>
      </w:r>
      <w:r>
        <w:rPr>
          <w:rStyle w:val="FootnoteReference"/>
        </w:rPr>
        <w:footnoteReference w:id="45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قوله تعالی:</w:t>
      </w:r>
    </w:p>
    <w:p>
      <w:pPr>
        <w:pStyle w:val="BookText"/>
      </w:pPr>
      <w:r>
        <w:rPr>
          <w:rFonts w:ascii="Amiri" w:hAnsi="Amiri" w:eastAsia="Amiri" w:cs="Amiri"/>
          <w:lang w:bidi="ar-SA"/>
          <w:color w:val="111111"/>
          <w:sz w:val="28"/>
          <w:szCs w:val="28"/>
          <w:rtl/>
        </w:rPr>
        <w:t xml:space="preserve">«فَأَوْحَیْنٰا إِلیٰ مُوسیٰ أَنِ اضْرِبْ بِعَصٰاکَ الْبَحْرَ فَانْفَلَقَ فَکٰانَ کُلُّ فِرْقٍ کَالطَّوْدِ الْعَظِیمِ» </w:t>
      </w:r>
      <w:r>
        <w:rPr>
          <w:rStyle w:val="FootnoteReference"/>
        </w:rPr>
        <w:footnoteReference w:id="45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قوله سبحانه:</w:t>
      </w:r>
    </w:p>
    <w:p>
      <w:pPr>
        <w:pStyle w:val="BookText"/>
      </w:pPr>
      <w:r>
        <w:rPr>
          <w:rFonts w:ascii="Amiri" w:hAnsi="Amiri" w:eastAsia="Amiri" w:cs="Amiri"/>
          <w:lang w:bidi="ar-SA"/>
          <w:color w:val="111111"/>
          <w:sz w:val="28"/>
          <w:szCs w:val="28"/>
          <w:rtl/>
        </w:rPr>
        <w:t xml:space="preserve">«وَ رَسُولاً إِلیٰ بَنِی إِسْرٰائِیلَ أَنِّی قَدْ جِئْتُکُمْ بِآیَةٍ مِنْ رَبِّکُمْ أَنِّی أَخْلُقُ لَکُمْ مِنَ الطِّینِ کَهَیْئَةِ الطَّیْرِ فَأَنْفُخُ فِیهِ فَیَکُونُ طَیْراً بِإِذْنِ اللّٰهِ وَ أُبْرِئُ الْأَکْمَهَ وَ الْأَبْرَصَ وَ أُحْیِ الْمَوْتیٰ بِإِذْنِ اللّٰهِ وَ أُنَبِّئُکُمْ بِمٰا تَأْکُلُونَ وَ مٰا تَدَّخِرُونَ فِی بُیُوتِکُمْ إِنَّ فِی ذٰلِکَ لَآیَةً لَکُمْ إِنْ کُنْتُمْ مُؤْمِنِینَ» </w:t>
      </w:r>
      <w:r>
        <w:rPr>
          <w:rStyle w:val="FootnoteReference"/>
        </w:rPr>
        <w:footnoteReference w:id="45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264]
</w:t>
      </w:r>
    </w:p>
    <w:p>
      <w:pPr>
        <w:sectPr>
          <w:footerReference w:type="default" r:id="rId1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 الحکمة الإلهیة اقتضت أن تکون معاجز الأنبیاء مناسبة للفنون الرائجة فی عصورهم حتی یتسنّی لخبراء کلّ فنٍّ تشخیص المعاجز و إدراک استنادها إلی القدرة الغیبیة، و تمیّزها عن الأعمال الباهرة المستندة إلی العلوم و الفنون الرائجة.</w:t>
      </w:r>
    </w:p>
    <w:p>
      <w:pPr>
        <w:pStyle w:val="BookText"/>
      </w:pPr>
      <w:r>
        <w:rPr>
          <w:rFonts w:ascii="IRNazanin" w:hAnsi="IRNazanin" w:eastAsia="IRNazanin" w:cs="IRNazanin"/>
          <w:lang w:bidi="fa-IR"/>
          <w:color w:val="111111"/>
          <w:sz w:val="28"/>
          <w:szCs w:val="28"/>
          <w:rtl/>
        </w:rPr>
        <w:t xml:space="preserve">الجهة الثانیة من حیث الأهداف و الغایات، فإنّ أصحاب المعاجز یتبنّون أهدافاً عالیة و یتوسّلون بمعاجزهم لإثبات حقّانیة تلک الأهداف و نشرها، و هی تتمثّل فی الدعوة إلی اللّه تعالی وحده و تخلیص الإنسان عبودیّة الأصنام و الحجارة و الحیوانات و الدعوة إلی الفضائل و نبذ الرذائل، و استقرار نظام العدل الاجتماعی و غیر ذلک، کما أنّ أصحاب الکرامات أیضاً لا یتبنّون إلّا ما یکون موافقاً لرضی اللّه سبحانه لا غیر.</w:t>
      </w:r>
    </w:p>
    <w:p>
      <w:pPr>
        <w:pStyle w:val="BookText"/>
      </w:pPr>
      <w:r>
        <w:rPr>
          <w:rFonts w:ascii="IRNazanin" w:hAnsi="IRNazanin" w:eastAsia="IRNazanin" w:cs="IRNazanin"/>
          <w:lang w:bidi="fa-IR"/>
          <w:color w:val="111111"/>
          <w:sz w:val="28"/>
          <w:szCs w:val="28"/>
          <w:rtl/>
        </w:rPr>
        <w:t xml:space="preserve">و هذا بخلاف المرتاضین و السّحرة، فغایتهم إمّا کسب الشهرة و السّمعة بین الناس، أو جمع المال و الثروة، و غیر ذلک ممّا یناسب متطلّبات القوی البهیمیّة.</w:t>
      </w:r>
    </w:p>
    <w:p>
      <w:pPr>
        <w:pStyle w:val="BookText"/>
      </w:pPr>
      <w:r>
        <w:rPr>
          <w:rFonts w:ascii="IRNazanin" w:hAnsi="IRNazanin" w:eastAsia="IRNazanin" w:cs="IRNazanin"/>
          <w:lang w:bidi="fa-IR"/>
          <w:color w:val="111111"/>
          <w:sz w:val="28"/>
          <w:szCs w:val="28"/>
          <w:rtl/>
        </w:rPr>
        <w:t xml:space="preserve">الجهة الثالثة من حیث التقیّد بالقیم الأخلاقیة، فإنّ أصحاب المعاجز و الکرامات -باعتبار کونهم خرّیجی المدرسة الإلهیّة - متحلّون بأکمل الفضائل و الأخلاق الإنسانیّة، و المتصفّح لسیرتهم لا یجد فیها أیّ عمل مشین و مناف للعفّة و مکارم الأخلاق، و أمّا أصحاب الرّیاضة و السّحر، فهم دونهم فی ذلک، بل تراهم غالباً فارغین عن المثل و الفضائل و القیم.</w:t>
      </w:r>
    </w:p>
    <w:p>
      <w:pPr>
        <w:pStyle w:val="BookText"/>
      </w:pPr>
      <w:r>
        <w:rPr>
          <w:rFonts w:ascii="IRNazanin" w:hAnsi="IRNazanin" w:eastAsia="IRNazanin" w:cs="IRNazanin"/>
          <w:lang w:bidi="fa-IR"/>
          <w:color w:val="111111"/>
          <w:sz w:val="28"/>
          <w:szCs w:val="28"/>
          <w:rtl/>
        </w:rPr>
        <w:t xml:space="preserve">[شماره صفحه واقعی : 265]
</w:t>
      </w:r>
    </w:p>
    <w:p>
      <w:pPr>
        <w:sectPr>
          <w:footerReference w:type="default" r:id="rId1412"/>
          <w:footnotePr>
            <w:numStart w:val="1"/>
            <w:numRestart w:val="eachPage"/>
          </w:footnotePr>
          <w:pgSz w:orient="portrait" w:w="11905.511811023622" w:h="16837.79527559055"/>
          <w:pgMar w:top="1440" w:right="1440" w:bottom="1440" w:left="1440" w:header="720" w:footer="720" w:gutter="0"/>
          <w:cols w:num="1" w:space="720"/>
        </w:sectPr>
      </w:pPr>
    </w:p>
    <w:bookmarkStart w:id="791" w:name="pg14411_143794"/>
    <w:bookmarkEnd w:id="791"/>
    <w:p>
      <w:pPr>
        <w:pStyle w:val="BookText"/>
      </w:pPr>
      <w:r>
        <w:rPr>
          <w:rFonts w:ascii="IRNazanin" w:hAnsi="IRNazanin" w:eastAsia="IRNazanin" w:cs="IRNazanin"/>
          <w:lang w:bidi="fa-IR"/>
          <w:color w:val="111111"/>
          <w:sz w:val="28"/>
          <w:szCs w:val="28"/>
          <w:rtl/>
        </w:rPr>
        <w:t xml:space="preserve">فبهذه الضوابط یتمکّن الإنسان من تمییز المعجزة عن غیرها من الخوارق و النبیّ عن المرتاض و السّاحر.</w:t>
      </w:r>
    </w:p>
    <w:p>
      <w:pPr>
        <w:pStyle w:val="Heading6"/>
      </w:pPr>
      <w:bookmarkStart w:id="2576" w:name="_Toc1611"/>
      <w:r>
        <w:t>المعجزة و قانون العلّیة</w:t>
      </w:r>
      <w:bookmarkEnd w:id="2576"/>
    </w:p>
    <w:p>
      <w:pPr>
        <w:pStyle w:val="BookText"/>
      </w:pPr>
      <w:r>
        <w:rPr>
          <w:rFonts w:ascii="IRNazanin" w:hAnsi="IRNazanin" w:eastAsia="IRNazanin" w:cs="IRNazanin"/>
          <w:lang w:bidi="fa-IR"/>
          <w:color w:val="111111"/>
          <w:sz w:val="28"/>
          <w:szCs w:val="28"/>
          <w:rtl/>
        </w:rPr>
        <w:t xml:space="preserve">إنّ المعجزات لا تعدّ نقضاً لقانون العلّیة العام، فإنّ المنفی فی مورد المعجزة هو العلل المادّیة المتعارفة الّتی وقف علیها العالم الطبیعی و اعتاد الإنسان علی مشاهدته فی حیاته و لکن لا یمتنع أن یکون للمعجزة علّة أُخری لم یشاهدها النّاس من قبل و لم یعرفها العلم و لم تقف علیها التجربة.</w:t>
      </w:r>
    </w:p>
    <w:p>
      <w:pPr>
        <w:pStyle w:val="BookText"/>
      </w:pPr>
      <w:r>
        <w:rPr>
          <w:rFonts w:ascii="IRNazanin" w:hAnsi="IRNazanin" w:eastAsia="IRNazanin" w:cs="IRNazanin"/>
          <w:lang w:bidi="fa-IR"/>
          <w:color w:val="111111"/>
          <w:sz w:val="28"/>
          <w:szCs w:val="28"/>
          <w:rtl/>
        </w:rPr>
        <w:t xml:space="preserve">کما أنّها لا تضعضع برهان النظم الّذی یستدل به علی وجود الصانع، و ذلک لأنّ الإعجاز لیس خرقاً لجمیع النظم السائدة علی العالم، و إنّما هو خرق فی جزء من أجزائه غیر المتناهیة الخاضعة للنظام و الدالّة ببرهان النظم علی وجود الصانع.</w:t>
      </w:r>
    </w:p>
    <w:p>
      <w:pPr>
        <w:pStyle w:val="BookText"/>
      </w:pPr>
      <w:r>
        <w:rPr>
          <w:rFonts w:ascii="IRNazanin" w:hAnsi="IRNazanin" w:eastAsia="IRNazanin" w:cs="IRNazanin"/>
          <w:lang w:bidi="fa-IR"/>
          <w:color w:val="111111"/>
          <w:sz w:val="28"/>
          <w:szCs w:val="28"/>
          <w:rtl/>
        </w:rPr>
        <w:t xml:space="preserve">[شماره صفحه واقعی : 266]
</w:t>
      </w:r>
    </w:p>
    <w:p>
      <w:pPr>
        <w:sectPr>
          <w:footerReference w:type="default" r:id="rId1413"/>
          <w:footnotePr>
            <w:numStart w:val="1"/>
            <w:numRestart w:val="eachPage"/>
          </w:footnotePr>
          <w:pgSz w:orient="portrait" w:w="11905.511811023622" w:h="16837.79527559055"/>
          <w:pgMar w:top="1440" w:right="1440" w:bottom="1440" w:left="1440" w:header="720" w:footer="720" w:gutter="0"/>
          <w:cols w:num="1" w:space="720"/>
        </w:sectPr>
      </w:pPr>
    </w:p>
    <w:bookmarkStart w:id="792" w:name="pg14411_143795"/>
    <w:bookmarkEnd w:id="792"/>
    <w:p>
      <w:pPr>
        <w:pStyle w:val="Heading5"/>
      </w:pPr>
      <w:bookmarkStart w:id="2577" w:name="_Toc1612"/>
      <w:r>
        <w:t>الفصل الرابع : حقیقة الوحی فی النبوّة</w:t>
      </w:r>
      <w:bookmarkEnd w:id="2577"/>
    </w:p>
    <w:p>
      <w:pPr>
        <w:pStyle w:val="Heading6"/>
      </w:pPr>
      <w:bookmarkStart w:id="2578" w:name="_Toc1613"/>
      <w:r>
        <w:t>اشارة</w:t>
      </w:r>
      <w:bookmarkEnd w:id="2578"/>
    </w:p>
    <w:p>
      <w:pPr>
        <w:pStyle w:val="BookText"/>
      </w:pPr>
      <w:r>
        <w:rPr>
          <w:rFonts w:ascii="IRNazanin" w:hAnsi="IRNazanin" w:eastAsia="IRNazanin" w:cs="IRNazanin"/>
          <w:lang w:bidi="fa-IR"/>
          <w:color w:val="111111"/>
          <w:sz w:val="28"/>
          <w:szCs w:val="28"/>
          <w:rtl/>
        </w:rPr>
        <w:t xml:space="preserve">الوحی فی اللّغة کما یستنبط من نصوص أهلها فی معاجمهم هو الإعلام بخفاء بطریق من الطرق </w:t>
      </w:r>
      <w:r>
        <w:rPr>
          <w:rStyle w:val="FootnoteReference"/>
        </w:rPr>
        <w:footnoteReference w:id="4563"/>
      </w:r>
      <w:r>
        <w:rPr>
          <w:rFonts w:ascii="IRNazanin" w:hAnsi="IRNazanin" w:eastAsia="IRNazanin" w:cs="IRNazanin"/>
          <w:lang w:bidi="fa-IR"/>
          <w:color w:val="111111"/>
          <w:sz w:val="28"/>
          <w:szCs w:val="28"/>
          <w:rtl/>
        </w:rPr>
        <w:t xml:space="preserve">و قد جاء استعماله فی القرآن الکریم فی موارد متعدّدة مختلفة یجمعها المعنی اللغوی حقیقة أو ادّعاء، منها قوله سبحانه:</w:t>
      </w:r>
    </w:p>
    <w:p>
      <w:pPr>
        <w:pStyle w:val="BookText"/>
      </w:pPr>
      <w:r>
        <w:rPr>
          <w:rFonts w:ascii="Amiri" w:hAnsi="Amiri" w:eastAsia="Amiri" w:cs="Amiri"/>
          <w:lang w:bidi="ar-SA"/>
          <w:color w:val="111111"/>
          <w:sz w:val="28"/>
          <w:szCs w:val="28"/>
          <w:rtl/>
        </w:rPr>
        <w:t xml:space="preserve">«وَ أَوْحیٰ فِی کُلِّ سَمٰاءٍ أَمْرَهٰا» </w:t>
      </w:r>
      <w:r>
        <w:rPr>
          <w:rStyle w:val="FootnoteReference"/>
        </w:rPr>
        <w:footnoteReference w:id="4564"/>
      </w:r>
      <w:r>
        <w:rPr>
          <w:rFonts w:ascii="IRNazanin" w:hAnsi="IRNazanin" w:eastAsia="IRNazanin" w:cs="IRNazanin"/>
          <w:lang w:bidi="fa-IR"/>
          <w:color w:val="111111"/>
          <w:sz w:val="28"/>
          <w:szCs w:val="28"/>
          <w:rtl/>
        </w:rPr>
        <w:t xml:space="preserve">أی أودع فی کلّ سماءٍ السنن و الأنظمة الکونیة، و قدّر علیها دوامها، فإیجاد السنن و النظم فی السّماوات علی وجه لا یقف علیه إلّا المتدبّر فی عالم الخلقة یشبه الإلقاء و الإعلام بخفاء بنحو لا یقف علیه إلّا الملقی إلیه، و هو الوحی.</w:t>
      </w:r>
    </w:p>
    <w:p>
      <w:pPr>
        <w:pStyle w:val="BookText"/>
      </w:pPr>
      <w:r>
        <w:rPr>
          <w:rFonts w:ascii="Amiri" w:hAnsi="Amiri" w:eastAsia="Amiri" w:cs="Amiri"/>
          <w:lang w:bidi="ar-SA"/>
          <w:color w:val="111111"/>
          <w:sz w:val="28"/>
          <w:szCs w:val="28"/>
          <w:rtl/>
        </w:rPr>
        <w:t xml:space="preserve">و منها قوله سبحانه: «وَ أَوْحیٰ رَبُّکَ إِلَی النَّحْلِ أَنِ اتَّخِذِی مِنَ الْجِبٰالِ بُیُوتاً وَ مِنَ الشَّجَرِ وَ مِمّٰا یَعْرِشُونَ». </w:t>
      </w:r>
      <w:r>
        <w:rPr>
          <w:rStyle w:val="FootnoteReference"/>
        </w:rPr>
        <w:footnoteReference w:id="4565"/>
      </w:r>
      <w:r>
        <w:rPr>
          <w:rFonts w:ascii="IRNazanin" w:hAnsi="IRNazanin" w:eastAsia="IRNazanin" w:cs="IRNazanin"/>
          <w:lang w:bidi="fa-IR"/>
          <w:color w:val="111111"/>
          <w:sz w:val="28"/>
          <w:szCs w:val="28"/>
          <w:rtl/>
        </w:rPr>
        <w:t xml:space="preserve">فأطلق الوحی علی ما أودع فی</w:t>
      </w:r>
    </w:p>
    <w:p>
      <w:pPr>
        <w:pStyle w:val="BookText"/>
      </w:pPr>
      <w:r>
        <w:rPr>
          <w:rFonts w:ascii="IRNazanin" w:hAnsi="IRNazanin" w:eastAsia="IRNazanin" w:cs="IRNazanin"/>
          <w:lang w:bidi="fa-IR"/>
          <w:color w:val="111111"/>
          <w:sz w:val="28"/>
          <w:szCs w:val="28"/>
          <w:rtl/>
        </w:rPr>
        <w:t xml:space="preserve">[شماره صفحه واقعی : 267]
</w:t>
      </w:r>
    </w:p>
    <w:p>
      <w:pPr>
        <w:sectPr>
          <w:footerReference w:type="default" r:id="rId1414"/>
          <w:footnotePr>
            <w:numStart w:val="1"/>
            <w:numRestart w:val="eachPage"/>
          </w:footnotePr>
          <w:pgSz w:orient="portrait" w:w="11905.511811023622" w:h="16837.79527559055"/>
          <w:pgMar w:top="1440" w:right="1440" w:bottom="1440" w:left="1440" w:header="720" w:footer="720" w:gutter="0"/>
          <w:cols w:num="1" w:space="720"/>
        </w:sectPr>
      </w:pPr>
    </w:p>
    <w:bookmarkStart w:id="793" w:name="pg14411_143796"/>
    <w:bookmarkEnd w:id="793"/>
    <w:p>
      <w:pPr>
        <w:pStyle w:val="BookText"/>
      </w:pPr>
      <w:r>
        <w:rPr>
          <w:rFonts w:ascii="IRNazanin" w:hAnsi="IRNazanin" w:eastAsia="IRNazanin" w:cs="IRNazanin"/>
          <w:lang w:bidi="fa-IR"/>
          <w:color w:val="111111"/>
          <w:sz w:val="28"/>
          <w:szCs w:val="28"/>
          <w:rtl/>
        </w:rPr>
        <w:t xml:space="preserve">صمیم وجود النحل من غریزة إلهیة تهدیه إلی أعماله الحیویّة الخاصّة.</w:t>
      </w:r>
    </w:p>
    <w:p>
      <w:pPr>
        <w:pStyle w:val="BookText"/>
      </w:pPr>
      <w:r>
        <w:rPr>
          <w:rFonts w:ascii="Amiri" w:hAnsi="Amiri" w:eastAsia="Amiri" w:cs="Amiri"/>
          <w:lang w:bidi="ar-SA"/>
          <w:color w:val="111111"/>
          <w:sz w:val="28"/>
          <w:szCs w:val="28"/>
          <w:rtl/>
        </w:rPr>
        <w:t xml:space="preserve">و منها قوله سبحانه: «وَ أَوْحَیْنٰا إِلیٰ أُمِّ مُوسیٰ أَنْ أَرْضِعِیهِ» </w:t>
      </w:r>
      <w:r>
        <w:rPr>
          <w:rStyle w:val="FootnoteReference"/>
        </w:rPr>
        <w:footnoteReference w:id="4566"/>
      </w:r>
      <w:r>
        <w:rPr>
          <w:rFonts w:ascii="IRNazanin" w:hAnsi="IRNazanin" w:eastAsia="IRNazanin" w:cs="IRNazanin"/>
          <w:lang w:bidi="fa-IR"/>
          <w:color w:val="111111"/>
          <w:sz w:val="28"/>
          <w:szCs w:val="28"/>
          <w:rtl/>
        </w:rPr>
        <w:t xml:space="preserve">حیث إنّ تفهیم أُمّ موسی مصیر ولدها کان بإلهام و إعلام خفی، عبّر عنه بالوحی.</w:t>
      </w:r>
    </w:p>
    <w:p>
      <w:pPr>
        <w:pStyle w:val="BookText"/>
      </w:pPr>
      <w:r>
        <w:rPr>
          <w:rFonts w:ascii="IRNazanin" w:hAnsi="IRNazanin" w:eastAsia="IRNazanin" w:cs="IRNazanin"/>
          <w:lang w:bidi="fa-IR"/>
          <w:color w:val="111111"/>
          <w:sz w:val="28"/>
          <w:szCs w:val="28"/>
          <w:rtl/>
        </w:rPr>
        <w:t xml:space="preserve">و منها قوله تعالی فی وصف زکریّا:</w:t>
      </w:r>
    </w:p>
    <w:p>
      <w:pPr>
        <w:pStyle w:val="BookText"/>
      </w:pPr>
      <w:r>
        <w:rPr>
          <w:rFonts w:ascii="Amiri" w:hAnsi="Amiri" w:eastAsia="Amiri" w:cs="Amiri"/>
          <w:lang w:bidi="ar-SA"/>
          <w:color w:val="111111"/>
          <w:sz w:val="28"/>
          <w:szCs w:val="28"/>
          <w:rtl/>
        </w:rPr>
        <w:t xml:space="preserve">«فَخَرَجَ عَلیٰ قَوْمِهِ مِنَ الْمِحْرٰابِ فَأَوْحیٰ إِلَیْهِمْ أَنْ سَبِّحُوا بُکْرَةً وَ عَشِیًّا» </w:t>
      </w:r>
      <w:r>
        <w:rPr>
          <w:rStyle w:val="FootnoteReference"/>
        </w:rPr>
        <w:footnoteReference w:id="45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المعنی: أشار إلیهم من دون أن یتکلّم، لأمره سبحانه إیّاه أن لا یکلّم الناس ثلاث لیال سویّاً، فأشبه فعله، إلقاء الکلام بخفاء لکون الإشارة أمراً مبهماً.</w:t>
      </w:r>
    </w:p>
    <w:p>
      <w:pPr>
        <w:pStyle w:val="BookText"/>
      </w:pPr>
      <w:r>
        <w:rPr>
          <w:rFonts w:ascii="Amiri" w:hAnsi="Amiri" w:eastAsia="Amiri" w:cs="Amiri"/>
          <w:lang w:bidi="ar-SA"/>
          <w:color w:val="111111"/>
          <w:sz w:val="28"/>
          <w:szCs w:val="28"/>
          <w:rtl/>
        </w:rPr>
        <w:t xml:space="preserve">و منها قوله تعالی: «وَ إِنَّ الشَّیٰاطِینَ لَیُوحُونَ إِلیٰ أَوْلِیٰائِهِمْ لِیُجٰادِلُوکُمْ» </w:t>
      </w:r>
      <w:r>
        <w:rPr>
          <w:rStyle w:val="FootnoteReference"/>
        </w:rPr>
        <w:footnoteReference w:id="4568"/>
      </w:r>
      <w:r>
        <w:rPr>
          <w:rFonts w:ascii="IRNazanin" w:hAnsi="IRNazanin" w:eastAsia="IRNazanin" w:cs="IRNazanin"/>
          <w:lang w:bidi="fa-IR"/>
          <w:color w:val="111111"/>
          <w:sz w:val="28"/>
          <w:szCs w:val="28"/>
          <w:rtl/>
        </w:rPr>
        <w:t xml:space="preserve">و یعلم وجه استعمال الوحی هنا ممّا ذکرناه فیما سبقه.</w:t>
      </w:r>
    </w:p>
    <w:p>
      <w:pPr>
        <w:pStyle w:val="Heading6"/>
      </w:pPr>
      <w:bookmarkStart w:id="2579" w:name="_Toc1614"/>
      <w:r>
        <w:t>وحی النبوّة</w:t>
      </w:r>
      <w:bookmarkEnd w:id="2579"/>
    </w:p>
    <w:p>
      <w:pPr>
        <w:pStyle w:val="BookText"/>
      </w:pPr>
      <w:r>
        <w:rPr>
          <w:rFonts w:ascii="IRNazanin" w:hAnsi="IRNazanin" w:eastAsia="IRNazanin" w:cs="IRNazanin"/>
          <w:lang w:bidi="fa-IR"/>
          <w:color w:val="111111"/>
          <w:sz w:val="28"/>
          <w:szCs w:val="28"/>
          <w:rtl/>
        </w:rPr>
        <w:t xml:space="preserve">إنّ الغالب فی استعمال کلمة الوحی فی القرآن هو کلام اللّه المنزل علی نبیّ من أنبیائه، فکلّما أطلق الوحی و جرّد عن القرینة یراد منه ذلک، و هذا هو الّذی نحن بصدد بیان حقیقته، فنقول: الوحی الّذی یختصّ به الأنبیاء إدراک خاصّ متمیّز عن سائر الإدراکات فإنّه لیس نتاج الحسّ و لا</w:t>
      </w:r>
    </w:p>
    <w:p>
      <w:pPr>
        <w:pStyle w:val="BookText"/>
      </w:pPr>
      <w:r>
        <w:rPr>
          <w:rFonts w:ascii="IRNazanin" w:hAnsi="IRNazanin" w:eastAsia="IRNazanin" w:cs="IRNazanin"/>
          <w:lang w:bidi="fa-IR"/>
          <w:color w:val="111111"/>
          <w:sz w:val="28"/>
          <w:szCs w:val="28"/>
          <w:rtl/>
        </w:rPr>
        <w:t xml:space="preserve">[شماره صفحه واقعی : 268]
</w:t>
      </w:r>
    </w:p>
    <w:p>
      <w:pPr>
        <w:sectPr>
          <w:footerReference w:type="default" r:id="rId1415"/>
          <w:footnotePr>
            <w:numStart w:val="1"/>
            <w:numRestart w:val="eachPage"/>
          </w:footnotePr>
          <w:pgSz w:orient="portrait" w:w="11905.511811023622" w:h="16837.79527559055"/>
          <w:pgMar w:top="1440" w:right="1440" w:bottom="1440" w:left="1440" w:header="720" w:footer="720" w:gutter="0"/>
          <w:cols w:num="1" w:space="720"/>
        </w:sectPr>
      </w:pPr>
    </w:p>
    <w:bookmarkStart w:id="794" w:name="pg14411_143797"/>
    <w:bookmarkEnd w:id="794"/>
    <w:p>
      <w:pPr>
        <w:pStyle w:val="BookText"/>
      </w:pPr>
      <w:r>
        <w:rPr>
          <w:rFonts w:ascii="Amiri" w:hAnsi="Amiri" w:eastAsia="Amiri" w:cs="Amiri"/>
          <w:lang w:bidi="ar-SA"/>
          <w:color w:val="111111"/>
          <w:sz w:val="28"/>
          <w:szCs w:val="28"/>
          <w:rtl/>
        </w:rPr>
        <w:t xml:space="preserve">العقل و لا الغریزة، و إنّما هو شعور خاص یوجده اللّه سبحانه فی الأنبیاء لا یغلط معه النبیّ فی إدراکه و لا یشتبه و لا یختلجه شکّ و لا یعترضه ریب فی أنّ الّذی یوحی إلیه هو اللّه سبحانه، من غیر أن یحتاج إلی إعمال نظر أو التماس دلیل، أو إقامة حجّة. قال سبحانه: «نَزَلَ بِهِ الرُّوحُ الْأَمِینُ * عَلیٰ قَلْبِکَ» </w:t>
      </w:r>
      <w:r>
        <w:rPr>
          <w:rStyle w:val="FootnoteReference"/>
        </w:rPr>
        <w:footnoteReference w:id="4569"/>
      </w:r>
      <w:r>
        <w:rPr>
          <w:rFonts w:ascii="IRNazanin" w:hAnsi="IRNazanin" w:eastAsia="IRNazanin" w:cs="IRNazanin"/>
          <w:lang w:bidi="fa-IR"/>
          <w:color w:val="111111"/>
          <w:sz w:val="28"/>
          <w:szCs w:val="28"/>
          <w:rtl/>
        </w:rPr>
        <w:t xml:space="preserve">فهذه الآیة تشیر إلی أنّ الّذی یتلقّی الوحی من الروح الأمین هو نفس النبیّ الشریفة، من غیر مشارکة الحواس الظاهرة الّتی هی الأدوات المستعملة فی إدراک الأُمور الجزئیة.</w:t>
      </w:r>
    </w:p>
    <w:p>
      <w:pPr>
        <w:pStyle w:val="BookText"/>
      </w:pPr>
      <w:r>
        <w:rPr>
          <w:rFonts w:ascii="IRNazanin" w:hAnsi="IRNazanin" w:eastAsia="IRNazanin" w:cs="IRNazanin"/>
          <w:lang w:bidi="fa-IR"/>
          <w:color w:val="111111"/>
          <w:sz w:val="28"/>
          <w:szCs w:val="28"/>
          <w:rtl/>
        </w:rPr>
        <w:t xml:space="preserve">و علی هذا، فالوحی حصیلة الاتّصال بعالم الغیب، و لا یصحّ تحلیله بأدوات المعرفة المعتادة و لا بالأُصول الّتی تجهّز بها العلم الحدیث.</w:t>
      </w:r>
    </w:p>
    <w:p>
      <w:pPr>
        <w:pStyle w:val="BookText"/>
      </w:pPr>
      <w:r>
        <w:rPr>
          <w:rFonts w:ascii="IRNazanin" w:hAnsi="IRNazanin" w:eastAsia="IRNazanin" w:cs="IRNazanin"/>
          <w:lang w:bidi="fa-IR"/>
          <w:color w:val="111111"/>
          <w:sz w:val="28"/>
          <w:szCs w:val="28"/>
          <w:rtl/>
        </w:rPr>
        <w:t xml:space="preserve">و من لم یذعن بعالم الغیب یشکل علیه الإذعان بهذا الإدراک الّذی لا صلة له بعالم المادّة و أصوله.</w:t>
      </w:r>
    </w:p>
    <w:p>
      <w:pPr>
        <w:pStyle w:val="Heading6"/>
      </w:pPr>
      <w:bookmarkStart w:id="2580" w:name="_Toc1615"/>
      <w:r>
        <w:t>فرضیّة النبوغ</w:t>
      </w:r>
      <w:bookmarkEnd w:id="2580"/>
    </w:p>
    <w:p>
      <w:pPr>
        <w:pStyle w:val="BookText"/>
      </w:pPr>
      <w:r>
        <w:rPr>
          <w:rFonts w:ascii="IRNazanin" w:hAnsi="IRNazanin" w:eastAsia="IRNazanin" w:cs="IRNazanin"/>
          <w:lang w:bidi="fa-IR"/>
          <w:color w:val="111111"/>
          <w:sz w:val="28"/>
          <w:szCs w:val="28"/>
          <w:rtl/>
        </w:rPr>
        <w:t xml:space="preserve">قد فسّر بعض المتجددین النبوّة بالنبوغ و الوحی بلمعات ذاک النبوغ. و حاصل مذهبهم: أنّه یتمیّز بین أفراد الإنسان المتحضّر، أشخاص یملکون فطرة سلیمة و عقولاً مشرقة تهدیهم إلی ما فیه صلاح الاجتماع و سعادة الإنسان، فیضعون قوانین فیها مصلحة المجتمع و عمران الدنیا، و الإنسان الصالح الّذی یتمیّز بهذا النوع من النبوغ هو النبیّ، و الفکر الصالح المترشّح من مکامن عقله و ومضات نبوغه هو الوحی، و القوانین الّتی یسنّها لصلاح</w:t>
      </w:r>
    </w:p>
    <w:p>
      <w:pPr>
        <w:pStyle w:val="BookText"/>
      </w:pPr>
      <w:r>
        <w:rPr>
          <w:rFonts w:ascii="IRNazanin" w:hAnsi="IRNazanin" w:eastAsia="IRNazanin" w:cs="IRNazanin"/>
          <w:lang w:bidi="fa-IR"/>
          <w:color w:val="111111"/>
          <w:sz w:val="28"/>
          <w:szCs w:val="28"/>
          <w:rtl/>
        </w:rPr>
        <w:t xml:space="preserve">[شماره صفحه واقعی : 269]
</w:t>
      </w:r>
    </w:p>
    <w:p>
      <w:pPr>
        <w:sectPr>
          <w:footerReference w:type="default" r:id="rId1416"/>
          <w:footnotePr>
            <w:numStart w:val="1"/>
            <w:numRestart w:val="eachPage"/>
          </w:footnotePr>
          <w:pgSz w:orient="portrait" w:w="11905.511811023622" w:h="16837.79527559055"/>
          <w:pgMar w:top="1440" w:right="1440" w:bottom="1440" w:left="1440" w:header="720" w:footer="720" w:gutter="0"/>
          <w:cols w:num="1" w:space="720"/>
        </w:sectPr>
      </w:pPr>
    </w:p>
    <w:bookmarkStart w:id="795" w:name="pg14411_143798"/>
    <w:bookmarkEnd w:id="795"/>
    <w:p>
      <w:pPr>
        <w:pStyle w:val="BookText"/>
      </w:pPr>
      <w:r>
        <w:rPr>
          <w:rFonts w:ascii="IRNazanin" w:hAnsi="IRNazanin" w:eastAsia="IRNazanin" w:cs="IRNazanin"/>
          <w:lang w:bidi="fa-IR"/>
          <w:color w:val="111111"/>
          <w:sz w:val="28"/>
          <w:szCs w:val="28"/>
          <w:rtl/>
        </w:rPr>
        <w:t xml:space="preserve">الاجتماع هو الدّین، و الروح الأمین هو نفسه الطاهرة الّتی تفیض هذه الأفکار إلی مراکز إدراکه، و الکتاب السّماوی هو کتابه الّذی یتضمّن سننه و قوانینه.</w:t>
      </w:r>
    </w:p>
    <w:p>
      <w:pPr>
        <w:pStyle w:val="BookText"/>
      </w:pPr>
      <w:r>
        <w:rPr>
          <w:rFonts w:ascii="IRNazanin" w:hAnsi="IRNazanin" w:eastAsia="IRNazanin" w:cs="IRNazanin"/>
          <w:lang w:bidi="fa-IR"/>
          <w:color w:val="111111"/>
          <w:sz w:val="28"/>
          <w:szCs w:val="28"/>
          <w:rtl/>
        </w:rPr>
        <w:t xml:space="preserve">یلاحظ علیه أوّلاً: لو صحّت هذه النظریّة لم یبق من الاعتقاد بالغیب إلّا الإعتقاد بوجود الخالق البارئ ، أمّا ما سوی ذلک فکلّه نتاج الفکر الإنسانی الخاطئ ، و هذا فی الواقع نوع إنکار للدین.</w:t>
      </w:r>
    </w:p>
    <w:p>
      <w:pPr>
        <w:pStyle w:val="BookText"/>
      </w:pPr>
      <w:r>
        <w:rPr>
          <w:rFonts w:ascii="IRNazanin" w:hAnsi="IRNazanin" w:eastAsia="IRNazanin" w:cs="IRNazanin"/>
          <w:lang w:bidi="fa-IR"/>
          <w:color w:val="111111"/>
          <w:sz w:val="28"/>
          <w:szCs w:val="28"/>
          <w:rtl/>
        </w:rPr>
        <w:t xml:space="preserve">و ثانیاً: أنّ قسماً ممّا یقع به الوحی الإنباء عن الحوادث المستقبلة، إنباءً لا یخطئ تحقّقه أبداً، مع أنّ النوابغ و إن سموا فی الذکاء و الفطنة لا یخبرون عن الحوادث المستقبلة إلّا مع الاحتیاط و التردّد، لا بالقطع و الیقین، و علی فرض إخبارهم کذلک لا یکون مصوناً عن الخطأ و الکذب.</w:t>
      </w:r>
    </w:p>
    <w:p>
      <w:pPr>
        <w:pStyle w:val="BookText"/>
      </w:pPr>
      <w:r>
        <w:rPr>
          <w:rFonts w:ascii="IRNazanin" w:hAnsi="IRNazanin" w:eastAsia="IRNazanin" w:cs="IRNazanin"/>
          <w:lang w:bidi="fa-IR"/>
          <w:color w:val="111111"/>
          <w:sz w:val="28"/>
          <w:szCs w:val="28"/>
          <w:rtl/>
        </w:rPr>
        <w:t xml:space="preserve">و ثالثاً: أنّ حملة الوحی و مدّعی النبوّة -من أوّلهم إلی آخرهم -إنّما ینسبون تعالیمهم و سننهم إلی اللّه سبحانه و لا یدّعون لأنفسهم شیئاً، و لا یشکّ أحد فی أنّ الأنبیاء عباد صالحون، صادقون لا یکذبون، فلو کانت السّنن الّتی أتوا بها من وحی أفکارهم، فلما ذا یغرّون المجتمع بنسبتها إلی اللّه تعالی؟</w:t>
      </w:r>
    </w:p>
    <w:p>
      <w:pPr>
        <w:pStyle w:val="Heading6"/>
      </w:pPr>
      <w:bookmarkStart w:id="2581" w:name="_Toc1616"/>
      <w:r>
        <w:t>هل الوحی نتیجة تجلّی الأحوال الروحیّة؟</w:t>
      </w:r>
      <w:bookmarkEnd w:id="2581"/>
    </w:p>
    <w:p>
      <w:pPr>
        <w:pStyle w:val="BookText"/>
      </w:pPr>
      <w:r>
        <w:rPr>
          <w:rFonts w:ascii="IRNazanin" w:hAnsi="IRNazanin" w:eastAsia="IRNazanin" w:cs="IRNazanin"/>
          <w:lang w:bidi="fa-IR"/>
          <w:color w:val="111111"/>
          <w:sz w:val="28"/>
          <w:szCs w:val="28"/>
          <w:rtl/>
        </w:rPr>
        <w:t xml:space="preserve">زعم بعض المستشرقین </w:t>
      </w:r>
      <w:r>
        <w:rPr>
          <w:rStyle w:val="FootnoteReference"/>
        </w:rPr>
        <w:footnoteReference w:id="4570"/>
      </w:r>
      <w:r>
        <w:rPr>
          <w:rFonts w:ascii="IRNazanin" w:hAnsi="IRNazanin" w:eastAsia="IRNazanin" w:cs="IRNazanin"/>
          <w:lang w:bidi="fa-IR"/>
          <w:color w:val="111111"/>
          <w:sz w:val="28"/>
          <w:szCs w:val="28"/>
          <w:rtl/>
        </w:rPr>
        <w:t xml:space="preserve">أنّ الوحی إلهام یفیض من نفس النبیّ لا</w:t>
      </w:r>
    </w:p>
    <w:p>
      <w:pPr>
        <w:pStyle w:val="BookText"/>
      </w:pPr>
      <w:r>
        <w:rPr>
          <w:rFonts w:ascii="IRNazanin" w:hAnsi="IRNazanin" w:eastAsia="IRNazanin" w:cs="IRNazanin"/>
          <w:lang w:bidi="fa-IR"/>
          <w:color w:val="111111"/>
          <w:sz w:val="28"/>
          <w:szCs w:val="28"/>
          <w:rtl/>
        </w:rPr>
        <w:t xml:space="preserve">[شماره صفحه واقعی : 270]
</w:t>
      </w:r>
    </w:p>
    <w:p>
      <w:pPr>
        <w:sectPr>
          <w:footerReference w:type="default" r:id="rId1417"/>
          <w:footnotePr>
            <w:numStart w:val="1"/>
            <w:numRestart w:val="eachPage"/>
          </w:footnotePr>
          <w:pgSz w:orient="portrait" w:w="11905.511811023622" w:h="16837.79527559055"/>
          <w:pgMar w:top="1440" w:right="1440" w:bottom="1440" w:left="1440" w:header="720" w:footer="720" w:gutter="0"/>
          <w:cols w:num="1" w:space="720"/>
        </w:sectPr>
      </w:pPr>
    </w:p>
    <w:bookmarkStart w:id="796" w:name="pg14411_143799"/>
    <w:bookmarkEnd w:id="796"/>
    <w:p>
      <w:pPr>
        <w:pStyle w:val="BookText"/>
      </w:pPr>
      <w:r>
        <w:rPr>
          <w:rFonts w:ascii="IRNazanin" w:hAnsi="IRNazanin" w:eastAsia="IRNazanin" w:cs="IRNazanin"/>
          <w:lang w:bidi="fa-IR"/>
          <w:color w:val="111111"/>
          <w:sz w:val="28"/>
          <w:szCs w:val="28"/>
          <w:rtl/>
        </w:rPr>
        <w:t xml:space="preserve">من الخارج، و ذاک أنّ منازع نفسه العالیة، و سریرته الطاهرة، و قوّة إیمانه باللّه و بوجوب عبادته، و ترک ما سواها من عبادة وثنیة و تقالید وراثیة ردیئة یکون لها من التأثیر ما یتجلّی فی ذهنه، و یحدث فی عقله الباطن الرؤی و الأحوال الروحیة فیتصوّر ما یعتقد وجوبه، إرشاداً إلهیاً نازلاً علیه من السّماء بدون وساطة، أو یتمثّل له رجل یلقّنه ذلک، یعتقد أنّه ملک من عالم الغیب، و قد یسمعه یقول ذلک و لکنّه إنّما یری و یسمع ما یعتقده فی الیقظة کما یری و یسمع مثل ذلک فی المنام الّذی هو مظهر من مظاهر الوحی عند جمیع الأنبیاء.</w:t>
      </w:r>
    </w:p>
    <w:p>
      <w:pPr>
        <w:pStyle w:val="BookText"/>
      </w:pPr>
      <w:r>
        <w:rPr>
          <w:rFonts w:ascii="IRNazanin" w:hAnsi="IRNazanin" w:eastAsia="IRNazanin" w:cs="IRNazanin"/>
          <w:lang w:bidi="fa-IR"/>
          <w:color w:val="111111"/>
          <w:sz w:val="28"/>
          <w:szCs w:val="28"/>
          <w:rtl/>
        </w:rPr>
        <w:t xml:space="preserve">یقول أصحاب هذه النظریّة: لا نشکّ فی صدق الأنبیاء فی إخبارهم عمّا رأوا و سمعوا، و إنّما نقول: إنّ منبع ذلک من نفسه و لیس فیه شیء جاء من عالم الغیب الّذی یقال إنّه وراء عالم المادّة و الطبیعة.</w:t>
      </w:r>
    </w:p>
    <w:p>
      <w:pPr>
        <w:pStyle w:val="Heading6"/>
      </w:pPr>
      <w:bookmarkStart w:id="2582" w:name="_Toc1617"/>
      <w:r>
        <w:t>نقد هذه النظریّة</w:t>
      </w:r>
      <w:bookmarkEnd w:id="2582"/>
    </w:p>
    <w:p>
      <w:pPr>
        <w:pStyle w:val="BookText"/>
      </w:pPr>
      <w:r>
        <w:rPr>
          <w:rFonts w:ascii="IRNazanin" w:hAnsi="IRNazanin" w:eastAsia="IRNazanin" w:cs="IRNazanin"/>
          <w:lang w:bidi="fa-IR"/>
          <w:color w:val="111111"/>
          <w:sz w:val="28"/>
          <w:szCs w:val="28"/>
          <w:rtl/>
        </w:rPr>
        <w:t xml:space="preserve">هذه النظریّة الّتی جاء بها بعض الغربیین و إن کانت تنطلی علی السّذّج من الناس و تأخذ بینهم رونقاً إلّا أنّ رجال التحقیق یدرکون تماماً أنّها لیست بشیء جدید قابل للذکر، و إنّما هی تکرار لمقالات العرب الجاهلیین فی النبوّة و الوحی، فمن جملة افتراءاتهم علی النبیّ الأکرم صلی الله علیه و آله ، وصم شریعته بأنّها نتاج الأحلام العذبة الّتی کانت تراود خاطره، ثمّ تتجلّی علی لسانه و بصره، قال تعالی: «بَلْ قٰالُوا أَضْغٰاثُ أَحْلاٰمٍ» </w:t>
      </w:r>
      <w:r>
        <w:rPr>
          <w:rStyle w:val="FootnoteReference"/>
        </w:rPr>
        <w:footnoteReference w:id="45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271]
</w:t>
      </w:r>
    </w:p>
    <w:p>
      <w:pPr>
        <w:sectPr>
          <w:footerReference w:type="default" r:id="rId1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القرآن یردّ مقالتهم و یرکّز علی أنّ الوحی أمر واقعی مفاض من اللّه سبحانه، و یقول:</w:t>
      </w:r>
    </w:p>
    <w:p>
      <w:pPr>
        <w:pStyle w:val="BookText"/>
      </w:pPr>
      <w:r>
        <w:rPr>
          <w:rFonts w:ascii="Amiri" w:hAnsi="Amiri" w:eastAsia="Amiri" w:cs="Amiri"/>
          <w:lang w:bidi="ar-SA"/>
          <w:color w:val="111111"/>
          <w:sz w:val="28"/>
          <w:szCs w:val="28"/>
          <w:rtl/>
        </w:rPr>
        <w:t xml:space="preserve">«وَ النَّجْمِ إِذٰا هَویٰ * مٰا ضَلَّ صٰاحِبُکُمْ وَ مٰا غَویٰ * وَ مٰا یَنْطِقُ عَنِ الْهَویٰ * إِنْ هُوَ إِلاّٰ وَحْیٌ یُوحیٰ * عَلَّمَهُ شَدِیدُ الْقُویٰ» </w:t>
      </w:r>
      <w:r>
        <w:rPr>
          <w:rStyle w:val="FootnoteReference"/>
        </w:rPr>
        <w:footnoteReference w:id="45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کذلک یقول: «مٰا کَذَبَ الْفُؤٰادُ مٰا رَأیٰ» </w:t>
      </w:r>
      <w:r>
        <w:rPr>
          <w:rStyle w:val="FootnoteReference"/>
        </w:rPr>
        <w:footnoteReference w:id="4573"/>
      </w:r>
      <w:r>
        <w:rPr>
          <w:rFonts w:ascii="IRNazanin" w:hAnsi="IRNazanin" w:eastAsia="IRNazanin" w:cs="IRNazanin"/>
          <w:lang w:bidi="fa-IR"/>
          <w:color w:val="111111"/>
          <w:sz w:val="28"/>
          <w:szCs w:val="28"/>
          <w:rtl/>
        </w:rPr>
        <w:t xml:space="preserve">أی لم یکذّب فؤاد محمّد صلی الله علیه و آله ما أدرکه بصره، أی کانت رؤیته صحیحة غیر کاذبة و إدراکا حقیقیاً.</w:t>
      </w:r>
    </w:p>
    <w:p>
      <w:pPr>
        <w:pStyle w:val="BookText"/>
      </w:pPr>
      <w:r>
        <w:rPr>
          <w:rFonts w:ascii="Amiri" w:hAnsi="Amiri" w:eastAsia="Amiri" w:cs="Amiri"/>
          <w:lang w:bidi="ar-SA"/>
          <w:color w:val="111111"/>
          <w:sz w:val="28"/>
          <w:szCs w:val="28"/>
          <w:rtl/>
        </w:rPr>
        <w:t xml:space="preserve">و کذلک یقول: «مٰا زٰاغَ الْبَصَرُ وَ مٰا طَغیٰ» </w:t>
      </w:r>
      <w:r>
        <w:rPr>
          <w:rStyle w:val="FootnoteReference"/>
        </w:rPr>
        <w:footnoteReference w:id="4574"/>
      </w:r>
      <w:r>
        <w:rPr>
          <w:rFonts w:ascii="IRNazanin" w:hAnsi="IRNazanin" w:eastAsia="IRNazanin" w:cs="IRNazanin"/>
          <w:lang w:bidi="fa-IR"/>
          <w:color w:val="111111"/>
          <w:sz w:val="28"/>
          <w:szCs w:val="28"/>
          <w:rtl/>
        </w:rPr>
        <w:t xml:space="preserve">کنایة عن صحّة رؤیته و إنّه لم یبصر ما أبصره علی غیر صفته الحقیقیة و لا أبصر ما لا حقیقة له.</w:t>
      </w:r>
    </w:p>
    <w:p>
      <w:pPr>
        <w:pStyle w:val="BookText"/>
      </w:pPr>
      <w:r>
        <w:rPr>
          <w:rFonts w:ascii="IRNazanin" w:hAnsi="IRNazanin" w:eastAsia="IRNazanin" w:cs="IRNazanin"/>
          <w:lang w:bidi="fa-IR"/>
          <w:color w:val="111111"/>
          <w:sz w:val="28"/>
          <w:szCs w:val="28"/>
          <w:rtl/>
        </w:rPr>
        <w:t xml:space="preserve">و الحاصل: أنّ الأنبیاء کانوا یعرّفون أنفسهم بأنّهم مبعوثون من جانب اللّه تعالی و لا شأن لهم إلّا إبلاغ الرسالات الإلهیّة إلی الناس.</w:t>
      </w:r>
    </w:p>
    <w:p>
      <w:pPr>
        <w:pStyle w:val="BookText"/>
      </w:pPr>
      <w:r>
        <w:rPr>
          <w:rFonts w:ascii="IRNazanin" w:hAnsi="IRNazanin" w:eastAsia="IRNazanin" w:cs="IRNazanin"/>
          <w:lang w:bidi="fa-IR"/>
          <w:color w:val="111111"/>
          <w:sz w:val="28"/>
          <w:szCs w:val="28"/>
          <w:rtl/>
        </w:rPr>
        <w:t xml:space="preserve">و لا ریب فی أنّهم کانوا صادقین فی أقوالهم -کما اعترف به صاحب النظریّة - و عندئذ لو قلنا بأنّ ما ذکروه غیر مطابق للواقع و أنّ ما أتوا به من المعارف و الشرائع لم یکن رسالات إلهیة و ذکراً من جانبه سبحانه، بل کان نابعاً من باطن ضمیرهم و تجلّیات نفوسهم، لکان الأنبیاء قاصرین فی مجال المعرفة، ما زالوا فی جهل مرکب، و هذا ما لا یتفوّه به من له أدنی معرفة</w:t>
      </w:r>
    </w:p>
    <w:p>
      <w:pPr>
        <w:pStyle w:val="BookText"/>
      </w:pPr>
      <w:r>
        <w:rPr>
          <w:rFonts w:ascii="IRNazanin" w:hAnsi="IRNazanin" w:eastAsia="IRNazanin" w:cs="IRNazanin"/>
          <w:lang w:bidi="fa-IR"/>
          <w:color w:val="111111"/>
          <w:sz w:val="28"/>
          <w:szCs w:val="28"/>
          <w:rtl/>
        </w:rPr>
        <w:t xml:space="preserve">[شماره صفحه واقعی : 272]
</w:t>
      </w:r>
    </w:p>
    <w:p>
      <w:pPr>
        <w:sectPr>
          <w:footerReference w:type="default" r:id="rId1419"/>
          <w:footnotePr>
            <w:numStart w:val="1"/>
            <w:numRestart w:val="eachPage"/>
          </w:footnotePr>
          <w:pgSz w:orient="portrait" w:w="11905.511811023622" w:h="16837.79527559055"/>
          <w:pgMar w:top="1440" w:right="1440" w:bottom="1440" w:left="1440" w:header="720" w:footer="720" w:gutter="0"/>
          <w:cols w:num="1" w:space="720"/>
        </w:sectPr>
      </w:pPr>
    </w:p>
    <w:bookmarkStart w:id="797" w:name="pg14411_143801"/>
    <w:bookmarkEnd w:id="797"/>
    <w:p>
      <w:pPr>
        <w:pStyle w:val="BookText"/>
      </w:pPr>
      <w:r>
        <w:rPr>
          <w:rFonts w:ascii="IRNazanin" w:hAnsi="IRNazanin" w:eastAsia="IRNazanin" w:cs="IRNazanin"/>
          <w:lang w:bidi="fa-IR"/>
          <w:color w:val="111111"/>
          <w:sz w:val="28"/>
          <w:szCs w:val="28"/>
          <w:rtl/>
        </w:rPr>
        <w:t xml:space="preserve">بمقالات الأنبیاء و شخصیاتهم الجلیلة فی مجال العلم و العمل، بل یأبی العقل و الفطرة من اتّسام من دونهم بمراتب من رجالات العلم و الدّین بمثل هذا الجهل و الخبط.</w:t>
      </w:r>
    </w:p>
    <w:p>
      <w:pPr>
        <w:pStyle w:val="Heading6"/>
      </w:pPr>
      <w:bookmarkStart w:id="2583" w:name="_Toc1618"/>
      <w:r>
        <w:t>الوحی و الشخصیة الباطنة</w:t>
      </w:r>
      <w:bookmarkEnd w:id="2583"/>
    </w:p>
    <w:p>
      <w:pPr>
        <w:pStyle w:val="BookText"/>
      </w:pPr>
      <w:r>
        <w:rPr>
          <w:rFonts w:ascii="IRNazanin" w:hAnsi="IRNazanin" w:eastAsia="IRNazanin" w:cs="IRNazanin"/>
          <w:lang w:bidi="fa-IR"/>
          <w:color w:val="111111"/>
          <w:sz w:val="28"/>
          <w:szCs w:val="28"/>
          <w:rtl/>
        </w:rPr>
        <w:t xml:space="preserve">إنّ جماعة من الغربیّین فسّروا الوحی بما أثبتوه فی أبحاثهم النفسیة من الشخصیّة الباطنة لکلّ إنسان، و قد جرّبوا ذلک علی المنوَّمین تنویماً مغناطیسیاً، فوجدوا أنّ النائم یظهر بمظهر من الحیاة الروحیة لا یکون له و هو یقظان، فیعلم الغیب و یخبر عن البعیدین، یبصر و یسمع و یحسّ بغیر حواسه الظاهرة و یکون علی جانب کبیر من التعقّل و الإدراک.</w:t>
      </w:r>
    </w:p>
    <w:p>
      <w:pPr>
        <w:pStyle w:val="BookText"/>
      </w:pPr>
      <w:r>
        <w:rPr>
          <w:rFonts w:ascii="IRNazanin" w:hAnsi="IRNazanin" w:eastAsia="IRNazanin" w:cs="IRNazanin"/>
          <w:lang w:bidi="fa-IR"/>
          <w:color w:val="111111"/>
          <w:sz w:val="28"/>
          <w:szCs w:val="28"/>
          <w:rtl/>
        </w:rPr>
        <w:t xml:space="preserve">قالوا: هذه الشخصیّة هی الّتی تهدی الإنسان بالخواطر الجیّدة من خلال حجبه الجسمیة الکثیفة، و هی الّتی تعطیه الإلهامات الطیّبة الفجائیة فی الظروف الحرجة، و هی الّتی تنفث فی روع الأنبیاء ما یعتبرونه وحیاً من اللّه، و قد تظهر له متجسّدة فیحسبونها من ملائکة اللّه هبطت علیهم من السماء. </w:t>
      </w:r>
      <w:r>
        <w:rPr>
          <w:rStyle w:val="FootnoteReference"/>
        </w:rPr>
        <w:footnoteReference w:id="4575"/>
      </w:r>
    </w:p>
    <w:p>
      <w:pPr>
        <w:pStyle w:val="BookText"/>
      </w:pPr>
      <w:r>
        <w:rPr>
          <w:rFonts w:ascii="IRNazanin" w:hAnsi="IRNazanin" w:eastAsia="IRNazanin" w:cs="IRNazanin"/>
          <w:lang w:bidi="fa-IR"/>
          <w:color w:val="111111"/>
          <w:sz w:val="28"/>
          <w:szCs w:val="28"/>
          <w:rtl/>
        </w:rPr>
        <w:t xml:space="preserve">یلاحظ علیه أوّلاً: أنّ هذه النظریّة علی فرض صحتها لا دلالة لها علی أنّ خصوص الوحی عند الأنبیاء من سنخ إفاضة الشخصیة الباطنیة و تجلّیها عند تعطّل القوی الظاهریة.</w:t>
      </w:r>
    </w:p>
    <w:p>
      <w:pPr>
        <w:pStyle w:val="BookText"/>
      </w:pPr>
      <w:r>
        <w:rPr>
          <w:rFonts w:ascii="Amiri" w:hAnsi="Amiri" w:eastAsia="Amiri" w:cs="Amiri"/>
          <w:lang w:bidi="ar-SA"/>
          <w:color w:val="111111"/>
          <w:sz w:val="28"/>
          <w:szCs w:val="28"/>
          <w:rtl/>
        </w:rPr>
        <w:t xml:space="preserve">و ثانیاً: أنّ الشخصیّة الباطنیة للإنسان إنّما تتجلّی و تجد مجالاً للظهور</w:t>
      </w:r>
    </w:p>
    <w:p>
      <w:pPr>
        <w:pStyle w:val="BookText"/>
      </w:pPr>
      <w:r>
        <w:rPr>
          <w:rFonts w:ascii="IRNazanin" w:hAnsi="IRNazanin" w:eastAsia="IRNazanin" w:cs="IRNazanin"/>
          <w:lang w:bidi="fa-IR"/>
          <w:color w:val="111111"/>
          <w:sz w:val="28"/>
          <w:szCs w:val="28"/>
          <w:rtl/>
        </w:rPr>
        <w:t xml:space="preserve">[شماره صفحه واقعی : 273]
</w:t>
      </w:r>
    </w:p>
    <w:p>
      <w:pPr>
        <w:sectPr>
          <w:footerReference w:type="default" r:id="rId1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بآثارها المختلفة، عند تعطّل القوی الظاهریة، فلذا یقوی ظهورها فی المرضی و السکاری و النائمین، و تبقی مندثرة و مغمورة فی طوایا النفس عند ما تکون القوی الظاهریة و الحواس البشریة فی حالة الفعّالیة و السعی، مع أنّ المعلوم من حالات الأنبیاء أنّ الوحی الإلهی کان ینزل علیهم فی أقصی حالات تنبّههم و اشتغالهم بالأُمور السیاسیة و الدفاعیة و التبلیغیة، فکیف یکون ما تجلّی للنبی و هو یخوض غمار الحرب، تجلّیاً للشخصیّة الباطنة و الضمیر المخفی؟ و أین الأنبیاء من الخمول و الانعزال عن المجتمع؟</w:t>
      </w:r>
    </w:p>
    <w:p>
      <w:pPr>
        <w:pStyle w:val="BookText"/>
      </w:pPr>
      <w:r>
        <w:rPr>
          <w:rFonts w:ascii="IRNazanin" w:hAnsi="IRNazanin" w:eastAsia="IRNazanin" w:cs="IRNazanin"/>
          <w:lang w:bidi="fa-IR"/>
          <w:color w:val="111111"/>
          <w:sz w:val="28"/>
          <w:szCs w:val="28"/>
          <w:rtl/>
        </w:rPr>
        <w:t xml:space="preserve">[شماره صفحه واقعی : 274]
</w:t>
      </w:r>
    </w:p>
    <w:p>
      <w:pPr>
        <w:sectPr>
          <w:footerReference w:type="default" r:id="rId1421"/>
          <w:footnotePr>
            <w:numStart w:val="1"/>
            <w:numRestart w:val="eachPage"/>
          </w:footnotePr>
          <w:pgSz w:orient="portrait" w:w="11905.511811023622" w:h="16837.79527559055"/>
          <w:pgMar w:top="1440" w:right="1440" w:bottom="1440" w:left="1440" w:header="720" w:footer="720" w:gutter="0"/>
          <w:cols w:num="1" w:space="720"/>
        </w:sectPr>
      </w:pPr>
    </w:p>
    <w:bookmarkStart w:id="798" w:name="pg14411_143803"/>
    <w:bookmarkEnd w:id="798"/>
    <w:p>
      <w:pPr>
        <w:pStyle w:val="Heading5"/>
      </w:pPr>
      <w:bookmarkStart w:id="2584" w:name="_Toc1619"/>
      <w:r>
        <w:t>الفصل الخامس : عصمة أنبیاء اللّه تعالی</w:t>
      </w:r>
      <w:bookmarkEnd w:id="2584"/>
    </w:p>
    <w:p>
      <w:pPr>
        <w:pStyle w:val="Heading6"/>
      </w:pPr>
      <w:bookmarkStart w:id="2585" w:name="_Toc1620"/>
      <w:r>
        <w:t>اشارة</w:t>
      </w:r>
      <w:bookmarkEnd w:id="2585"/>
    </w:p>
    <w:p>
      <w:pPr>
        <w:pStyle w:val="BookText"/>
      </w:pPr>
      <w:r>
        <w:rPr>
          <w:rFonts w:ascii="IRNazanin" w:hAnsi="IRNazanin" w:eastAsia="IRNazanin" w:cs="IRNazanin"/>
          <w:lang w:bidi="fa-IR"/>
          <w:color w:val="111111"/>
          <w:sz w:val="28"/>
          <w:szCs w:val="28"/>
          <w:rtl/>
        </w:rPr>
        <w:t xml:space="preserve">إنّ للعصمة مراتب أو أبعاداً و هی: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العصمة فی تلقّی الوحی و إبلاغه؛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العصمة فی العمل بالشریعة الإلهیّة؛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العصمة عن الخطأ فی تطبیق الشریعة؛</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العصمة عن الخطأ فی تشخیص مصالح الأُمور و مفاسدها؛</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العصمة عن الخطأ فی الأُمور العادیة؛</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التنزّه عن المنفِّرات.</w:t>
      </w:r>
    </w:p>
    <w:p>
      <w:pPr>
        <w:pStyle w:val="BookText"/>
      </w:pPr>
      <w:r>
        <w:rPr>
          <w:rFonts w:ascii="IRNazanin" w:hAnsi="IRNazanin" w:eastAsia="IRNazanin" w:cs="IRNazanin"/>
          <w:lang w:bidi="fa-IR"/>
          <w:color w:val="111111"/>
          <w:sz w:val="28"/>
          <w:szCs w:val="28"/>
          <w:rtl/>
        </w:rPr>
        <w:t xml:space="preserve">و البحث عنها و عن مسائل أُخری متعلّقة بها هو الغرض من هذا الفصل.</w:t>
      </w:r>
    </w:p>
    <w:p>
      <w:pPr>
        <w:pStyle w:val="Heading6"/>
      </w:pPr>
      <w:bookmarkStart w:id="2586" w:name="_Toc1621"/>
      <w:r>
        <w:t>العصمة فی اللّغة و الاصطلاح</w:t>
      </w:r>
      <w:bookmarkEnd w:id="2586"/>
    </w:p>
    <w:p>
      <w:pPr>
        <w:pStyle w:val="BookText"/>
      </w:pPr>
      <w:r>
        <w:rPr>
          <w:rFonts w:ascii="IRNazanin" w:hAnsi="IRNazanin" w:eastAsia="IRNazanin" w:cs="IRNazanin"/>
          <w:lang w:bidi="fa-IR"/>
          <w:color w:val="111111"/>
          <w:sz w:val="28"/>
          <w:szCs w:val="28"/>
          <w:rtl/>
        </w:rPr>
        <w:t xml:space="preserve">العصمة فی اللّغة بمعنی الإمساک و المنع </w:t>
      </w:r>
      <w:r>
        <w:rPr>
          <w:rStyle w:val="FootnoteReference"/>
        </w:rPr>
        <w:footnoteReference w:id="4576"/>
      </w:r>
      <w:r>
        <w:rPr>
          <w:rFonts w:ascii="IRNazanin" w:hAnsi="IRNazanin" w:eastAsia="IRNazanin" w:cs="IRNazanin"/>
          <w:lang w:bidi="fa-IR"/>
          <w:color w:val="111111"/>
          <w:sz w:val="28"/>
          <w:szCs w:val="28"/>
          <w:rtl/>
        </w:rPr>
        <w:t xml:space="preserve">و أمّا فی اصطلاح</w:t>
      </w:r>
    </w:p>
    <w:p>
      <w:pPr>
        <w:pStyle w:val="BookText"/>
      </w:pPr>
      <w:r>
        <w:rPr>
          <w:rFonts w:ascii="IRNazanin" w:hAnsi="IRNazanin" w:eastAsia="IRNazanin" w:cs="IRNazanin"/>
          <w:lang w:bidi="fa-IR"/>
          <w:color w:val="111111"/>
          <w:sz w:val="28"/>
          <w:szCs w:val="28"/>
          <w:rtl/>
        </w:rPr>
        <w:t xml:space="preserve">[شماره صفحه واقعی : 275]
</w:t>
      </w:r>
    </w:p>
    <w:p>
      <w:pPr>
        <w:sectPr>
          <w:footerReference w:type="default" r:id="rId1422"/>
          <w:footnotePr>
            <w:numStart w:val="1"/>
            <w:numRestart w:val="eachPage"/>
          </w:footnotePr>
          <w:pgSz w:orient="portrait" w:w="11905.511811023622" w:h="16837.79527559055"/>
          <w:pgMar w:top="1440" w:right="1440" w:bottom="1440" w:left="1440" w:header="720" w:footer="720" w:gutter="0"/>
          <w:cols w:num="1" w:space="720"/>
        </w:sectPr>
      </w:pPr>
    </w:p>
    <w:bookmarkStart w:id="799" w:name="pg14411_143804"/>
    <w:bookmarkEnd w:id="799"/>
    <w:p>
      <w:pPr>
        <w:pStyle w:val="BookText"/>
      </w:pPr>
      <w:r>
        <w:rPr>
          <w:rFonts w:ascii="IRNazanin" w:hAnsi="IRNazanin" w:eastAsia="IRNazanin" w:cs="IRNazanin"/>
          <w:lang w:bidi="fa-IR"/>
          <w:color w:val="111111"/>
          <w:sz w:val="28"/>
          <w:szCs w:val="28"/>
          <w:rtl/>
        </w:rPr>
        <w:t xml:space="preserve">المتکلّمین فالمشهور عند العدلیة أنّها لطف من اللّه لا داعی معه إلی ترک الطاعة و لا إلی ارتکاب المعصیة مع القدرة علیهما </w:t>
      </w:r>
      <w:r>
        <w:rPr>
          <w:rStyle w:val="FootnoteReference"/>
        </w:rPr>
        <w:footnoteReference w:id="4577"/>
      </w:r>
      <w:r>
        <w:rPr>
          <w:rFonts w:ascii="IRNazanin" w:hAnsi="IRNazanin" w:eastAsia="IRNazanin" w:cs="IRNazanin"/>
          <w:lang w:bidi="fa-IR"/>
          <w:color w:val="111111"/>
          <w:sz w:val="28"/>
          <w:szCs w:val="28"/>
          <w:rtl/>
        </w:rPr>
        <w:t xml:space="preserve">و عند الأشاعرة «أن لا یخلق اللّه فیهم ذنباً». </w:t>
      </w:r>
      <w:r>
        <w:rPr>
          <w:rStyle w:val="FootnoteReference"/>
        </w:rPr>
        <w:footnoteReference w:id="4578"/>
      </w:r>
      <w:r>
        <w:rPr>
          <w:rFonts w:ascii="IRNazanin" w:hAnsi="IRNazanin" w:eastAsia="IRNazanin" w:cs="IRNazanin"/>
          <w:lang w:bidi="fa-IR"/>
          <w:color w:val="111111"/>
          <w:sz w:val="28"/>
          <w:szCs w:val="28"/>
          <w:rtl/>
        </w:rPr>
        <w:t xml:space="preserve">و قال المحقّق الجرجانی: «العصمة ملکة اجتناب المعاصی مع التمکن منها». </w:t>
      </w:r>
      <w:r>
        <w:rPr>
          <w:rStyle w:val="FootnoteReference"/>
        </w:rPr>
        <w:footnoteReference w:id="4579"/>
      </w:r>
    </w:p>
    <w:p>
      <w:pPr>
        <w:pStyle w:val="BookText"/>
      </w:pPr>
      <w:r>
        <w:rPr>
          <w:rFonts w:ascii="IRNazanin" w:hAnsi="IRNazanin" w:eastAsia="IRNazanin" w:cs="IRNazanin"/>
          <w:lang w:bidi="fa-IR"/>
          <w:color w:val="111111"/>
          <w:sz w:val="28"/>
          <w:szCs w:val="28"/>
          <w:rtl/>
        </w:rPr>
        <w:t xml:space="preserve">أقول: ما ذکره الشریف هو الصحیح و ما ذکره المشهور سبب إلهیّ لتحقّق العصمة، فالحقّ أنّ العصمة ملکة نفسانیة راسخة فی النفس، تمنع الإنسان عن المعصیة مطلقاً، فهی من سنخ التقوی لکنّها درجة قصوی منها، فالتقوی فی العادیین من الناس، کیفیة نفسانیة تعصم صاحبها عن اقتراف کثیر من القبائح و المعاصی، فهی إذا ترقّت فی مدارجها و علت فی مراتبها، تبلغ بصاحبها درجة العصمة الکاملة و الامتناع المطلق عن ارتکاب أیّ قبیح من الأعمال، بل یمنعه حتی التفکیر فی خلاف أو معصیة </w:t>
      </w:r>
      <w:r>
        <w:rPr>
          <w:rStyle w:val="FootnoteReference"/>
        </w:rPr>
        <w:footnoteReference w:id="4580"/>
      </w:r>
      <w:r>
        <w:rPr>
          <w:rFonts w:ascii="Times New Roman" w:hAnsi="Times New Roman" w:eastAsia="Times New Roman" w:cs="Times New Roman"/>
          <w:lang w:val="en-US" w:bidi="en-US"/>
          <w:color w:val="111111"/>
          <w:sz w:val="28"/>
          <w:szCs w:val="28"/>
          <w:rtl/>
        </w:rPr>
        <w:t xml:space="preserve">.</w:t>
      </w:r>
    </w:p>
    <w:p>
      <w:pPr>
        <w:pStyle w:val="Heading6"/>
      </w:pPr>
      <w:bookmarkStart w:id="2587" w:name="_Toc1622"/>
      <w:r>
        <w:t>عصمة الأنبیاء فی تلقّی الوحی و إبلاغه</w:t>
      </w:r>
      <w:bookmarkEnd w:id="2587"/>
    </w:p>
    <w:p>
      <w:pPr>
        <w:pStyle w:val="BookText"/>
      </w:pPr>
      <w:r>
        <w:rPr>
          <w:rFonts w:ascii="IRNazanin" w:hAnsi="IRNazanin" w:eastAsia="IRNazanin" w:cs="IRNazanin"/>
          <w:lang w:bidi="fa-IR"/>
          <w:color w:val="111111"/>
          <w:sz w:val="28"/>
          <w:szCs w:val="28"/>
          <w:rtl/>
        </w:rPr>
        <w:t xml:space="preserve">ذهب جمهور المتکلّمین من السنّة و الشیعة إلی عصمة الأنبیاء فی تلقّی الوحی و إبلاغه. و العصمة فی هذه المرحلة علی وجهین:</w:t>
      </w:r>
    </w:p>
    <w:p>
      <w:pPr>
        <w:pStyle w:val="BookText"/>
      </w:pPr>
      <w:r>
        <w:rPr>
          <w:rFonts w:ascii="IRNazanin" w:hAnsi="IRNazanin" w:eastAsia="IRNazanin" w:cs="IRNazanin"/>
          <w:lang w:bidi="fa-IR"/>
          <w:color w:val="111111"/>
          <w:sz w:val="28"/>
          <w:szCs w:val="28"/>
          <w:rtl/>
        </w:rPr>
        <w:t xml:space="preserve">أحدهما: العصمة عن الکذب، و الثانی: العصمة عن الخطأ سهواً فی تلقّی الوحی</w:t>
      </w:r>
    </w:p>
    <w:p>
      <w:pPr>
        <w:pStyle w:val="BookText"/>
      </w:pPr>
      <w:r>
        <w:rPr>
          <w:rFonts w:ascii="IRNazanin" w:hAnsi="IRNazanin" w:eastAsia="IRNazanin" w:cs="IRNazanin"/>
          <w:lang w:bidi="fa-IR"/>
          <w:color w:val="111111"/>
          <w:sz w:val="28"/>
          <w:szCs w:val="28"/>
          <w:rtl/>
        </w:rPr>
        <w:t xml:space="preserve">[شماره صفحه واقعی : 276]
</w:t>
      </w:r>
    </w:p>
    <w:p>
      <w:pPr>
        <w:sectPr>
          <w:footerReference w:type="default" r:id="rId1423"/>
          <w:footnotePr>
            <w:numStart w:val="1"/>
            <w:numRestart w:val="eachPage"/>
          </w:footnotePr>
          <w:pgSz w:orient="portrait" w:w="11905.511811023622" w:h="16837.79527559055"/>
          <w:pgMar w:top="1440" w:right="1440" w:bottom="1440" w:left="1440" w:header="720" w:footer="720" w:gutter="0"/>
          <w:cols w:num="1" w:space="720"/>
        </w:sectPr>
      </w:pPr>
    </w:p>
    <w:bookmarkStart w:id="800" w:name="pg14411_143805"/>
    <w:bookmarkEnd w:id="800"/>
    <w:p>
      <w:pPr>
        <w:pStyle w:val="BookText"/>
      </w:pPr>
      <w:r>
        <w:rPr>
          <w:rFonts w:ascii="IRNazanin" w:hAnsi="IRNazanin" w:eastAsia="IRNazanin" w:cs="IRNazanin"/>
          <w:lang w:bidi="fa-IR"/>
          <w:color w:val="111111"/>
          <w:sz w:val="28"/>
          <w:szCs w:val="28"/>
          <w:rtl/>
        </w:rPr>
        <w:t xml:space="preserve">و وعیه و أدائه، و ما سیجیء من الدلیل الأوّل علی إثبات العصمة عن المعصیة، یثبت عصمتهم فی هذا المجال أیضاً، فإنّ الوثوق التام بالأنبیاء لا یحصل إلّا بالإذعان البات بمصونیتهم عن الخطأ فی تلقّی الوحی و تحمّله و أدائه، عمداً و سهواً.</w:t>
      </w:r>
    </w:p>
    <w:p>
      <w:pPr>
        <w:pStyle w:val="BookText"/>
      </w:pPr>
      <w:r>
        <w:rPr>
          <w:rFonts w:ascii="IRNazanin" w:hAnsi="IRNazanin" w:eastAsia="IRNazanin" w:cs="IRNazanin"/>
          <w:lang w:bidi="fa-IR"/>
          <w:color w:val="111111"/>
          <w:sz w:val="28"/>
          <w:szCs w:val="28"/>
          <w:rtl/>
        </w:rPr>
        <w:t xml:space="preserve">أضف إلی ذلک أنّ تجویز الخطأ فی التبلیغ و لو سهواً ینافی الغرض من الرسالة، أعنی: إبلاغ أحکام اللّه تعالی إلی الناس.</w:t>
      </w:r>
    </w:p>
    <w:p>
      <w:pPr>
        <w:pStyle w:val="BookText"/>
      </w:pPr>
      <w:r>
        <w:rPr>
          <w:rFonts w:ascii="Amiri" w:hAnsi="Amiri" w:eastAsia="Amiri" w:cs="Amiri"/>
          <w:lang w:bidi="ar-SA"/>
          <w:color w:val="111111"/>
          <w:sz w:val="28"/>
          <w:szCs w:val="28"/>
          <w:rtl/>
        </w:rPr>
        <w:t xml:space="preserve">و یدلّ علی عصمة الأنبیاء فی هذا المجال قوله تعالی: «عٰالِمُ الْغَیْبِ فَلاٰ یُظْهِرُ عَلیٰ غَیْبِهِ أَحَداً* إِلاّٰ مَنِ ارْتَضیٰ مِنْ رَسُولٍ فَإِنَّهُ یَسْلُکُ مِنْ بَیْنِ یَدَیْهِ وَ مِنْ خَلْفِهِ رَصَداً * لِیَعْلَمَ أَنْ قَدْ أَبْلَغُوا رِسٰالاٰتِ رَبِّهِمْ وَ أَحٰاطَ بِمٰا لَدَیْهِمْ وَ أَحْصیٰ کُلَّ شَیْءٍ عَدَداً» </w:t>
      </w:r>
      <w:r>
        <w:rPr>
          <w:rStyle w:val="FootnoteReference"/>
        </w:rPr>
        <w:footnoteReference w:id="45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الآیات تصف طریق بلوغ الوحی إلی الرسل، و منهم إلی الناس بأنّه محروس بالحفظة یمنعون تطرّق أیّ خلل و انحراف فیه، حتی یبلغ الناس کما أُنزل من اللّه تعالی، و یعلم هذا بوضوح ممّا تذکره الآیة من أن اللّه سبحانه یجعل بین الرسول و من أرسل إلیهم «مِنْ بَیْنِ یَدَیْهِ» و بینه و مصدر الوحی «وَ مِنْ خَلْفِهِ» رصداً مراقبین هم الملائکة.</w:t>
      </w:r>
    </w:p>
    <w:p>
      <w:pPr>
        <w:pStyle w:val="Heading6"/>
      </w:pPr>
      <w:bookmarkStart w:id="2588" w:name="_Toc1623"/>
      <w:r>
        <w:t>لزوم عصمة الأنبیاء عن المعاصی</w:t>
      </w:r>
      <w:bookmarkEnd w:id="2588"/>
    </w:p>
    <w:p>
      <w:pPr>
        <w:pStyle w:val="BookText"/>
      </w:pPr>
      <w:r>
        <w:rPr>
          <w:rFonts w:ascii="IRNazanin" w:hAnsi="IRNazanin" w:eastAsia="IRNazanin" w:cs="IRNazanin"/>
          <w:lang w:bidi="fa-IR"/>
          <w:color w:val="111111"/>
          <w:sz w:val="28"/>
          <w:szCs w:val="28"/>
          <w:rtl/>
        </w:rPr>
        <w:t xml:space="preserve">إنّ الأدلّة العقلیّة علی وجوب عصمة الأنبیاء کثیرة نکتفی بتقریر دلیلین منها:</w:t>
      </w:r>
    </w:p>
    <w:p>
      <w:pPr>
        <w:pStyle w:val="BookText"/>
      </w:pPr>
      <w:r>
        <w:rPr>
          <w:rFonts w:ascii="IRNazanin" w:hAnsi="IRNazanin" w:eastAsia="IRNazanin" w:cs="IRNazanin"/>
          <w:lang w:bidi="fa-IR"/>
          <w:color w:val="111111"/>
          <w:sz w:val="28"/>
          <w:szCs w:val="28"/>
          <w:rtl/>
        </w:rPr>
        <w:t xml:space="preserve">[شماره صفحه واقعی : 277]
</w:t>
      </w:r>
    </w:p>
    <w:p>
      <w:pPr>
        <w:sectPr>
          <w:footerReference w:type="default" r:id="rId1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الوثوق فرع العصمة</w:t>
      </w:r>
    </w:p>
    <w:p>
      <w:pPr>
        <w:pStyle w:val="BookText"/>
      </w:pPr>
      <w:r>
        <w:rPr>
          <w:rFonts w:ascii="IRNazanin" w:hAnsi="IRNazanin" w:eastAsia="IRNazanin" w:cs="IRNazanin"/>
          <w:lang w:bidi="fa-IR"/>
          <w:color w:val="111111"/>
          <w:sz w:val="28"/>
          <w:szCs w:val="28"/>
          <w:rtl/>
        </w:rPr>
        <w:t xml:space="preserve">قال المحقق الطوسی:</w:t>
      </w:r>
    </w:p>
    <w:p>
      <w:pPr>
        <w:pStyle w:val="BookText"/>
      </w:pPr>
      <w:r>
        <w:rPr>
          <w:rFonts w:ascii="IRNazanin" w:hAnsi="IRNazanin" w:eastAsia="IRNazanin" w:cs="IRNazanin"/>
          <w:lang w:bidi="fa-IR"/>
          <w:color w:val="111111"/>
          <w:sz w:val="28"/>
          <w:szCs w:val="28"/>
          <w:rtl/>
        </w:rPr>
        <w:t xml:space="preserve">«و یجب فی النبیّ العصمة لیحصل الوثوق، فیحصل الغرض».</w:t>
      </w:r>
    </w:p>
    <w:p>
      <w:pPr>
        <w:pStyle w:val="BookText"/>
      </w:pPr>
      <w:r>
        <w:rPr>
          <w:rFonts w:ascii="IRNazanin" w:hAnsi="IRNazanin" w:eastAsia="IRNazanin" w:cs="IRNazanin"/>
          <w:lang w:bidi="fa-IR"/>
          <w:color w:val="111111"/>
          <w:sz w:val="28"/>
          <w:szCs w:val="28"/>
          <w:rtl/>
        </w:rPr>
        <w:t xml:space="preserve">تقریره -کما قال العلاّمة الحلّی -:</w:t>
      </w:r>
    </w:p>
    <w:p>
      <w:pPr>
        <w:pStyle w:val="BookText"/>
      </w:pPr>
      <w:r>
        <w:rPr>
          <w:rFonts w:ascii="IRNazanin" w:hAnsi="IRNazanin" w:eastAsia="IRNazanin" w:cs="IRNazanin"/>
          <w:lang w:bidi="fa-IR"/>
          <w:color w:val="111111"/>
          <w:sz w:val="28"/>
          <w:szCs w:val="28"/>
          <w:rtl/>
        </w:rPr>
        <w:t xml:space="preserve">إنّ المبعوث إلیهم لو جوَّزوا الکذب علی الأنبیاء و المعصیة، جوّزوا فی أمرهم و نهیهم و أفعالهم الّتی أمروهم باتّباعهم فیها ذلک، و حینئذٍ لا ینقادون إلی امتثال أوامرهم، و ذلک نقض الغرض من البعثة. </w:t>
      </w:r>
      <w:r>
        <w:rPr>
          <w:rStyle w:val="FootnoteReference"/>
        </w:rPr>
        <w:footnoteReference w:id="4582"/>
      </w:r>
    </w:p>
    <w:p>
      <w:pPr>
        <w:pStyle w:val="BookText"/>
      </w:pPr>
      <w:r>
        <w:rPr>
          <w:rFonts w:ascii="IRNazanin" w:hAnsi="IRNazanin" w:eastAsia="IRNazanin" w:cs="IRNazanin"/>
          <w:lang w:bidi="fa-IR"/>
          <w:color w:val="111111"/>
          <w:sz w:val="28"/>
          <w:szCs w:val="28"/>
          <w:rtl/>
        </w:rPr>
        <w:t xml:space="preserve">و بعبارة أخری -کما قال العلاّمة الطباطبائی -: «التبلیغ یعمّ القول و الفعل، فإنّ فی الفعل تبلیغاً، کما فی القول، فالرسول معصوم عن المعصیة باقتراف المحرّمات و ترک الواجبات الدینیّة، لأنّ فی ذلک تبلیغاً لما یناقض الدین فهو معصوم من فعل المعصیة». </w:t>
      </w:r>
      <w:r>
        <w:rPr>
          <w:rStyle w:val="FootnoteReference"/>
        </w:rPr>
        <w:footnoteReference w:id="4583"/>
      </w:r>
    </w:p>
    <w:p>
      <w:pPr>
        <w:pStyle w:val="BookText"/>
      </w:pPr>
      <w:r>
        <w:rPr>
          <w:rFonts w:ascii="IRNazanin" w:hAnsi="IRNazanin" w:eastAsia="IRNazanin" w:cs="IRNazanin"/>
          <w:lang w:bidi="fa-IR"/>
          <w:color w:val="111111"/>
          <w:sz w:val="28"/>
          <w:szCs w:val="28"/>
          <w:rtl/>
        </w:rPr>
        <w:t xml:space="preserve">فإن قلت: إنّ هذا الدلیل لا یثبت أزید من عصمة الأنبیاء بعد البعثة.</w:t>
      </w:r>
    </w:p>
    <w:p>
      <w:pPr>
        <w:pStyle w:val="BookText"/>
      </w:pPr>
      <w:r>
        <w:rPr>
          <w:rFonts w:ascii="IRNazanin" w:hAnsi="IRNazanin" w:eastAsia="IRNazanin" w:cs="IRNazanin"/>
          <w:lang w:bidi="fa-IR"/>
          <w:color w:val="111111"/>
          <w:sz w:val="28"/>
          <w:szCs w:val="28"/>
          <w:rtl/>
        </w:rPr>
        <w:t xml:space="preserve">قلت: لو کانت سیرة النبیّ مخالفة لما هو علیه بعد البعثة لا یحصل الوثوق الکامل به و إن صار إنساناً مثالیّاً، فتحقّق الغرض الکامل من البعثة رهن عصمته فی جمیع فترات عمره، یقول السید المرتضی فی الإجابة عن هذا السؤال:</w:t>
      </w:r>
    </w:p>
    <w:p>
      <w:pPr>
        <w:pStyle w:val="BookText"/>
      </w:pPr>
      <w:r>
        <w:rPr>
          <w:rFonts w:ascii="IRNazanin" w:hAnsi="IRNazanin" w:eastAsia="IRNazanin" w:cs="IRNazanin"/>
          <w:lang w:bidi="fa-IR"/>
          <w:color w:val="111111"/>
          <w:sz w:val="28"/>
          <w:szCs w:val="28"/>
          <w:rtl/>
        </w:rPr>
        <w:t xml:space="preserve">[شماره صفحه واقعی : 278]
</w:t>
      </w:r>
    </w:p>
    <w:p>
      <w:pPr>
        <w:sectPr>
          <w:footerReference w:type="default" r:id="rId1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إنّا نعلم أنّ من نجوّز علیه الکفر و الکبائر فی حال من الأحوال، و إن تاب منهما ... لا نسکن إلی قبول قوله کسکوننا إلی من لا نجوّز علیه ذلک فی حال من الأحوال و لا علی وجه من الوجوه ... فلیس إذاً تجویز الکبائر قبل النبوّة منخفضاً عن تجویزها فی حال النبوّة و ناقصاً عن رتبته فی باب التنفیر. </w:t>
      </w:r>
      <w:r>
        <w:rPr>
          <w:rStyle w:val="FootnoteReference"/>
        </w:rPr>
        <w:footnoteReference w:id="4584"/>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التربیة رهن عمل المربّی</w:t>
      </w:r>
    </w:p>
    <w:p>
      <w:pPr>
        <w:pStyle w:val="BookText"/>
      </w:pPr>
      <w:r>
        <w:rPr>
          <w:rFonts w:ascii="IRNazanin" w:hAnsi="IRNazanin" w:eastAsia="IRNazanin" w:cs="IRNazanin"/>
          <w:lang w:bidi="fa-IR"/>
          <w:color w:val="111111"/>
          <w:sz w:val="28"/>
          <w:szCs w:val="28"/>
          <w:rtl/>
        </w:rPr>
        <w:t xml:space="preserve">إنّ الهدف العامّ الّذی بعث لأجله الأنبیاء هو تزکیة الناس و تربیتهم، و لا شکّ أنّ تأثیر التربیة بالعمل أشدّ و أعمق و آکد منها عن طریق الوعظ و الإرشاد، و ذلک أنّ التطابق بین مرحلتی القول و العمل هو العامل الرئیسی فی إذعان الآخرین بأحقّیّة تعالیم المصلح و المربّی، و هذا الأصل التربویّ یجرّنا إلی القول بأنّ التربیة الکاملة المتوخّاة من بعثة الأنبیاء لا تحصل إلّا بمطابقة أعمالهم لأقوالهم، و هذا کما یوجب العصمة بعد البعثة، یقتضیها قبلها أیضاً، لأنّ لسوابق الأشخاص و صحائف أعمالهم الماضیة تأثیراً فی قبول الناس کلامهم و إرشاداتهم. </w:t>
      </w:r>
      <w:r>
        <w:rPr>
          <w:rStyle w:val="FootnoteReference"/>
        </w:rPr>
        <w:footnoteReference w:id="4585"/>
      </w:r>
    </w:p>
    <w:p>
      <w:pPr>
        <w:pStyle w:val="BookText"/>
      </w:pPr>
      <w:r>
        <w:rPr>
          <w:rFonts w:ascii="IRNazanin" w:hAnsi="IRNazanin" w:eastAsia="IRNazanin" w:cs="IRNazanin"/>
          <w:lang w:bidi="fa-IR"/>
          <w:color w:val="111111"/>
          <w:sz w:val="28"/>
          <w:szCs w:val="28"/>
          <w:rtl/>
        </w:rPr>
        <w:t xml:space="preserve">[شماره صفحه واقعی : 279]
</w:t>
      </w:r>
    </w:p>
    <w:p>
      <w:pPr>
        <w:sectPr>
          <w:footerReference w:type="default" r:id="rId1426"/>
          <w:footnotePr>
            <w:numStart w:val="1"/>
            <w:numRestart w:val="eachPage"/>
          </w:footnotePr>
          <w:pgSz w:orient="portrait" w:w="11905.511811023622" w:h="16837.79527559055"/>
          <w:pgMar w:top="1440" w:right="1440" w:bottom="1440" w:left="1440" w:header="720" w:footer="720" w:gutter="0"/>
          <w:cols w:num="1" w:space="720"/>
        </w:sectPr>
      </w:pPr>
    </w:p>
    <w:bookmarkStart w:id="801" w:name="pg14411_143808"/>
    <w:bookmarkEnd w:id="801"/>
    <w:p>
      <w:pPr>
        <w:pStyle w:val="Heading6"/>
      </w:pPr>
      <w:bookmarkStart w:id="2589" w:name="_Toc1624"/>
      <w:r>
        <w:t>عصمة الأنبیاء فی الکتاب العزیز</w:t>
      </w:r>
      <w:bookmarkEnd w:id="2589"/>
    </w:p>
    <w:p>
      <w:pPr>
        <w:pStyle w:val="BookText"/>
      </w:pPr>
      <w:r>
        <w:rPr>
          <w:rFonts w:ascii="Amiri" w:hAnsi="Amiri" w:eastAsia="Amiri" w:cs="Amiri"/>
          <w:lang w:bidi="ar-SA"/>
          <w:color w:val="111111"/>
          <w:sz w:val="28"/>
          <w:szCs w:val="28"/>
          <w:rtl/>
        </w:rPr>
        <w:t xml:space="preserve">إذا ثبتت عصمة الأنبیاء فی التبلیغ، یجوز الاستناد بکلامهم فی العصمة عن المعاصی، و علی ضوء ذلک نقول: یصف القرآن الکریم الأنبیاء بالعصمة بلطائف البیان و دقائقه، نکتفی بالإشارة إلی نموذج منها، قال عزّ و جلّ -بعد ذکره عدّة من الأنبیاء -: «أُولٰئِکَ الَّذِینَ هَدَی اللّٰهُ فَبِهُدٰاهُمُ اقْتَدِهْ» </w:t>
      </w:r>
      <w:r>
        <w:rPr>
          <w:rStyle w:val="FootnoteReference"/>
        </w:rPr>
        <w:footnoteReference w:id="45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فی موضع آخر: «وَ مَنْ یَهْدِ اللّٰهُ فَمٰا لَهُ مِنْ مُضِلٍّ» </w:t>
      </w:r>
      <w:r>
        <w:rPr>
          <w:rStyle w:val="FootnoteReference"/>
        </w:rPr>
        <w:footnoteReference w:id="45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بیّن أنّ المعصیة ضلالة بقوله: «وَ لَقَدْ أَضَلَّ مِنْکُمْ جِبِلاًّ کَثِیراً» </w:t>
      </w:r>
      <w:r>
        <w:rPr>
          <w:rStyle w:val="FootnoteReference"/>
        </w:rPr>
        <w:footnoteReference w:id="4588"/>
      </w:r>
    </w:p>
    <w:p>
      <w:pPr>
        <w:pStyle w:val="BookText"/>
      </w:pPr>
      <w:r>
        <w:rPr>
          <w:rFonts w:ascii="IRNazanin" w:hAnsi="IRNazanin" w:eastAsia="IRNazanin" w:cs="IRNazanin"/>
          <w:lang w:bidi="fa-IR"/>
          <w:color w:val="111111"/>
          <w:sz w:val="28"/>
          <w:szCs w:val="28"/>
          <w:rtl/>
        </w:rPr>
        <w:t xml:space="preserve">فإذا کان الأنبیاء مهدیّین بهدایة اللّه، و من هداه اللّه لا تتطرّق إلیه الضلالة، و کانت المعصیة نفس الضلالة، فینتج أنّ المعصیة لا سبیل لها إلی الأنبیاء.</w:t>
      </w:r>
    </w:p>
    <w:p>
      <w:pPr>
        <w:pStyle w:val="Heading6"/>
      </w:pPr>
      <w:bookmarkStart w:id="2590" w:name="_Toc1625"/>
      <w:r>
        <w:t>العصمة عن الخطأ فی تطبیق الشریعة و الأُمور العادیة</w:t>
      </w:r>
      <w:bookmarkEnd w:id="2590"/>
    </w:p>
    <w:p>
      <w:pPr>
        <w:pStyle w:val="BookText"/>
      </w:pPr>
      <w:r>
        <w:rPr>
          <w:rFonts w:ascii="IRNazanin" w:hAnsi="IRNazanin" w:eastAsia="IRNazanin" w:cs="IRNazanin"/>
          <w:lang w:bidi="fa-IR"/>
          <w:color w:val="111111"/>
          <w:sz w:val="28"/>
          <w:szCs w:val="28"/>
          <w:rtl/>
        </w:rPr>
        <w:t xml:space="preserve">إنّ صیانة النبیّ عن الخطأ و الاشتباه فی مجال تطبیق الشریعة (مثل أن یسهو فی صلاته، أو یغلط فی إجراء الحدود) و الأُمور العادیة المرتبطة بحیاته الشخصیة (مثل خطائه فی مقدار دینه للناس) ممّا طرح فی علم الکلام، و طال البحث فیه بین المتکلّمین، فالظاهر من الأشاعرة و المعتزلة</w:t>
      </w:r>
    </w:p>
    <w:p>
      <w:pPr>
        <w:pStyle w:val="BookText"/>
      </w:pPr>
      <w:r>
        <w:rPr>
          <w:rFonts w:ascii="IRNazanin" w:hAnsi="IRNazanin" w:eastAsia="IRNazanin" w:cs="IRNazanin"/>
          <w:lang w:bidi="fa-IR"/>
          <w:color w:val="111111"/>
          <w:sz w:val="28"/>
          <w:szCs w:val="28"/>
          <w:rtl/>
        </w:rPr>
        <w:t xml:space="preserve">[شماره صفحه واقعی : 280]
</w:t>
      </w:r>
    </w:p>
    <w:p>
      <w:pPr>
        <w:sectPr>
          <w:footerReference w:type="default" r:id="rId1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تجویزهم السهو علی الأنبیاء فی هذا المجال، فإنّهم جوّزوه فی صدور الصغائر من الذنوب، فتجویزه فی غیره أولی، و أمّا الإمامیة، فالصدوق و أستاذه محمّد بن الحسن بن الولید جوّزاه </w:t>
      </w:r>
      <w:r>
        <w:rPr>
          <w:rStyle w:val="FootnoteReference"/>
        </w:rPr>
        <w:footnoteReference w:id="4589"/>
      </w:r>
      <w:r>
        <w:rPr>
          <w:rFonts w:ascii="IRNazanin" w:hAnsi="IRNazanin" w:eastAsia="IRNazanin" w:cs="IRNazanin"/>
          <w:lang w:bidi="fa-IR"/>
          <w:color w:val="111111"/>
          <w:sz w:val="28"/>
          <w:szCs w:val="28"/>
          <w:rtl/>
        </w:rPr>
        <w:t xml:space="preserve">، و لکن مشهور المحقّقین علی خلافه </w:t>
      </w:r>
      <w:r>
        <w:rPr>
          <w:rStyle w:val="FootnoteReference"/>
        </w:rPr>
        <w:footnoteReference w:id="4590"/>
      </w:r>
      <w:r>
        <w:rPr>
          <w:rFonts w:ascii="IRNazanin" w:hAnsi="IRNazanin" w:eastAsia="IRNazanin" w:cs="IRNazanin"/>
          <w:lang w:bidi="fa-IR"/>
          <w:color w:val="111111"/>
          <w:sz w:val="28"/>
          <w:szCs w:val="28"/>
          <w:rtl/>
        </w:rPr>
        <w:t xml:space="preserve">و قد ألّف غیر واحد منهم کتباً و رسائل فی نفی السهو عن النبیّ، و قد فصّل العلاّمة المجلسی فی البحار </w:t>
      </w:r>
      <w:r>
        <w:rPr>
          <w:rStyle w:val="FootnoteReference"/>
        </w:rPr>
        <w:footnoteReference w:id="4591"/>
      </w:r>
      <w:r>
        <w:rPr>
          <w:rFonts w:ascii="IRNazanin" w:hAnsi="IRNazanin" w:eastAsia="IRNazanin" w:cs="IRNazanin"/>
          <w:lang w:bidi="fa-IR"/>
          <w:color w:val="111111"/>
          <w:sz w:val="28"/>
          <w:szCs w:val="28"/>
          <w:rtl/>
        </w:rPr>
        <w:t xml:space="preserve">الکلام فی المسألة، و أطنب فی بیان شذوذ الأخبار الّتی استند إلیها القائلون بالسهو، و ناقشها بأدلّة متعدّدة السید عبد اللّه شُبّر فی کتابیه: «حقّ الیقین» </w:t>
      </w:r>
      <w:r>
        <w:rPr>
          <w:rStyle w:val="FootnoteReference"/>
        </w:rPr>
        <w:footnoteReference w:id="4592"/>
      </w:r>
      <w:r>
        <w:rPr>
          <w:rFonts w:ascii="IRNazanin" w:hAnsi="IRNazanin" w:eastAsia="IRNazanin" w:cs="IRNazanin"/>
          <w:lang w:bidi="fa-IR"/>
          <w:color w:val="111111"/>
          <w:sz w:val="28"/>
          <w:szCs w:val="28"/>
          <w:rtl/>
        </w:rPr>
        <w:t xml:space="preserve">و «مصابیح الأنوار» </w:t>
      </w:r>
      <w:r>
        <w:rPr>
          <w:rStyle w:val="FootnoteReference"/>
        </w:rPr>
        <w:footnoteReference w:id="4593"/>
      </w:r>
    </w:p>
    <w:p>
      <w:pPr>
        <w:pStyle w:val="BookText"/>
      </w:pPr>
      <w:r>
        <w:rPr>
          <w:rFonts w:ascii="IRNazanin" w:hAnsi="IRNazanin" w:eastAsia="IRNazanin" w:cs="IRNazanin"/>
          <w:lang w:bidi="fa-IR"/>
          <w:color w:val="111111"/>
          <w:sz w:val="28"/>
          <w:szCs w:val="28"/>
          <w:rtl/>
        </w:rPr>
        <w:t xml:space="preserve">و الحقّ أنّ الدلیل العقلی الدالّ علی لزوم عصمة النبیّ فی مجال تبلیغ الرسالة دالّ -بعینه -علی عصمته عن الخطأ فی تطبیق الشریعة و أُموره الفردیة، فإنّ التفکیک بین صیانة النبیّ فی مجال الوحی، و صیانته فی سائر المجالات و إن کان أمراً ممکناً عقلاً، لکنّه کذلک بالنسبة إلی عقول الناضجین فی الأبحاث الکلامیة، و أمّا عامّة الناس فإنّهم غیر قادرین علی التفکیک بین تینک المرحلتین، بل یجعلون السهو فی إحداهما دلیلاً علی إمکان تسرّب السهو فی الأُخری. فلا بدّ لسدِّ هذا الباب الّذی ینافی الغایة المطلوبة من إرسال الرسل، من أن یکون النبیّ مصوناً عن الخطأ فی عامّة المراحل.</w:t>
      </w:r>
    </w:p>
    <w:p>
      <w:pPr>
        <w:pStyle w:val="BookText"/>
      </w:pPr>
      <w:r>
        <w:rPr>
          <w:rFonts w:ascii="IRNazanin" w:hAnsi="IRNazanin" w:eastAsia="IRNazanin" w:cs="IRNazanin"/>
          <w:lang w:bidi="fa-IR"/>
          <w:color w:val="111111"/>
          <w:sz w:val="28"/>
          <w:szCs w:val="28"/>
          <w:rtl/>
        </w:rPr>
        <w:t xml:space="preserve">[شماره صفحه واقعی : 281]
</w:t>
      </w:r>
    </w:p>
    <w:p>
      <w:pPr>
        <w:sectPr>
          <w:footerReference w:type="default" r:id="rId1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ممّا تقدّم یظهر الحکم فی عصمة الأنبیاء فی تشخیص مصالح الأُمور و مفاسدها، فإنّ الملاک فی لزوم العصمة فیما تقدّم من المراتب و الموارد، موجود هنا.</w:t>
      </w:r>
    </w:p>
    <w:p>
      <w:pPr>
        <w:pStyle w:val="BookText"/>
      </w:pPr>
      <w:r>
        <w:rPr>
          <w:rFonts w:ascii="Amiri" w:hAnsi="Amiri" w:eastAsia="Amiri" w:cs="Amiri"/>
          <w:lang w:bidi="ar-SA"/>
          <w:color w:val="111111"/>
          <w:sz w:val="28"/>
          <w:szCs w:val="28"/>
          <w:rtl/>
        </w:rPr>
        <w:t xml:space="preserve">التنزّه عن المنفِّرات</w:t>
      </w:r>
    </w:p>
    <w:p>
      <w:pPr>
        <w:pStyle w:val="BookText"/>
      </w:pPr>
      <w:r>
        <w:rPr>
          <w:rFonts w:ascii="IRNazanin" w:hAnsi="IRNazanin" w:eastAsia="IRNazanin" w:cs="IRNazanin"/>
          <w:lang w:bidi="fa-IR"/>
          <w:color w:val="111111"/>
          <w:sz w:val="28"/>
          <w:szCs w:val="28"/>
          <w:rtl/>
        </w:rPr>
        <w:t xml:space="preserve">کما أنّ العصمة عن الذنوب و الخطأ فی التبلیغ و تطبیق الشریعة و الأُمور العادیة لازمة للأنبیاء حتّی یحصل الوثوق التام بأقوالهم و أفعالهم و یحصل بذلک الغرض من بعثتهم، کذلک ینبغی تنزّههم عن کلّ صفة توجب تنفّر الناس، و تحلّیهم بکلّ ما یوجب انجذابهم إلیهم، قال المحقّق البحرانی:</w:t>
      </w:r>
    </w:p>
    <w:p>
      <w:pPr>
        <w:pStyle w:val="BookText"/>
      </w:pPr>
      <w:r>
        <w:rPr>
          <w:rFonts w:ascii="IRNazanin" w:hAnsi="IRNazanin" w:eastAsia="IRNazanin" w:cs="IRNazanin"/>
          <w:lang w:bidi="fa-IR"/>
          <w:color w:val="111111"/>
          <w:sz w:val="28"/>
          <w:szCs w:val="28"/>
          <w:rtl/>
        </w:rPr>
        <w:t xml:space="preserve">ینبغی أن یکون منزّهاً عن کلّ أمر ینفّر عن قبوله، إمّا فی خلقه کالرذائل النفسانیة من الحقد و البخل و الحسد و الحرص و نحوها، أو فی خلقه کالجذام و البرص، أو فی نسبه کالزنا و دناءة الآباء، لأنّ جمیع هذه الأُمور صارف عن قبول قوله و النظر فی معجزته، فکانت طهارته عنها من الألطاف الّتی فیها تقریب الخلق إلی طاعته و استمالة قلوبهم إلیه. </w:t>
      </w:r>
      <w:r>
        <w:rPr>
          <w:rStyle w:val="FootnoteReference"/>
        </w:rPr>
        <w:footnoteReference w:id="4594"/>
      </w:r>
    </w:p>
    <w:p>
      <w:pPr>
        <w:pStyle w:val="BookText"/>
      </w:pPr>
      <w:r>
        <w:rPr>
          <w:rFonts w:ascii="IRNazanin" w:hAnsi="IRNazanin" w:eastAsia="IRNazanin" w:cs="IRNazanin"/>
          <w:lang w:bidi="fa-IR"/>
          <w:color w:val="111111"/>
          <w:sz w:val="28"/>
          <w:szCs w:val="28"/>
          <w:rtl/>
        </w:rPr>
        <w:t xml:space="preserve">العصمة و الاختیار</w:t>
      </w:r>
    </w:p>
    <w:p>
      <w:pPr>
        <w:pStyle w:val="BookText"/>
      </w:pPr>
      <w:r>
        <w:rPr>
          <w:rFonts w:ascii="IRNazanin" w:hAnsi="IRNazanin" w:eastAsia="IRNazanin" w:cs="IRNazanin"/>
          <w:lang w:bidi="fa-IR"/>
          <w:color w:val="111111"/>
          <w:sz w:val="28"/>
          <w:szCs w:val="28"/>
          <w:rtl/>
        </w:rPr>
        <w:t xml:space="preserve">ربّما یتوهّم أنّ العصمة تسلب من المعصوم الحریة و الاختیار و تقهره</w:t>
      </w:r>
    </w:p>
    <w:p>
      <w:pPr>
        <w:pStyle w:val="BookText"/>
      </w:pPr>
      <w:r>
        <w:rPr>
          <w:rFonts w:ascii="IRNazanin" w:hAnsi="IRNazanin" w:eastAsia="IRNazanin" w:cs="IRNazanin"/>
          <w:lang w:bidi="fa-IR"/>
          <w:color w:val="111111"/>
          <w:sz w:val="28"/>
          <w:szCs w:val="28"/>
          <w:rtl/>
        </w:rPr>
        <w:t xml:space="preserve">[شماره صفحه واقعی : 282]
</w:t>
      </w:r>
    </w:p>
    <w:p>
      <w:pPr>
        <w:sectPr>
          <w:footerReference w:type="default" r:id="rId1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ترک المعصیة، لتکون النتیجة انتفاء کلّ مکرمة و محمدة تنسب إلیه لاجتنابه المعاصی و المآثم.</w:t>
      </w:r>
    </w:p>
    <w:p>
      <w:pPr>
        <w:pStyle w:val="BookText"/>
      </w:pPr>
      <w:r>
        <w:rPr>
          <w:rFonts w:ascii="IRNazanin" w:hAnsi="IRNazanin" w:eastAsia="IRNazanin" w:cs="IRNazanin"/>
          <w:lang w:bidi="fa-IR"/>
          <w:color w:val="111111"/>
          <w:sz w:val="28"/>
          <w:szCs w:val="28"/>
          <w:rtl/>
        </w:rPr>
        <w:t xml:space="preserve">و یدفعه أنّ المعصوم قادر علی اقتراف المعاصی بمقتضی ما أُعطی من القدرة و الحریة، غیر أنّ تقواه العالیة، و علمه بآثار المعاصی، و استشعاره عظمة الخالق، یصدّه عن ذلک، فهو کالوالد العطوف الّذی لا یقدم علی ذبح ولده و لو أُعطی ملء الأرض ذهباً، و إن کان مع ذلک قادراً علی قطع وتینه کما یقطع وتین عدوّه. یقول العلاّمة الطباطبائی:</w:t>
      </w:r>
    </w:p>
    <w:p>
      <w:pPr>
        <w:pStyle w:val="BookText"/>
      </w:pPr>
      <w:r>
        <w:rPr>
          <w:rFonts w:ascii="IRNazanin" w:hAnsi="IRNazanin" w:eastAsia="IRNazanin" w:cs="IRNazanin"/>
          <w:lang w:bidi="fa-IR"/>
          <w:color w:val="111111"/>
          <w:sz w:val="28"/>
          <w:szCs w:val="28"/>
          <w:rtl/>
        </w:rPr>
        <w:t xml:space="preserve">إنّ ملکة العصمة لا تغیّر الطبیعة الإنسانیة المختارة فی أفعاله الإرادیة و لا تخرجها إلی ساحة الإجبار و الاضطرار، کیف و العلم من مبادئ الاختیار، کطالب السلامة إذا أیقن بکون مائع ما سمّاً قاتلاً من حینه، فإنّه یمتنع باختیاره من شربه. </w:t>
      </w:r>
      <w:r>
        <w:rPr>
          <w:rStyle w:val="FootnoteReference"/>
        </w:rPr>
        <w:footnoteReference w:id="4595"/>
      </w:r>
    </w:p>
    <w:p>
      <w:pPr>
        <w:pStyle w:val="BookText"/>
      </w:pPr>
      <w:r>
        <w:rPr>
          <w:rFonts w:ascii="IRNazanin" w:hAnsi="IRNazanin" w:eastAsia="IRNazanin" w:cs="IRNazanin"/>
          <w:lang w:bidi="fa-IR"/>
          <w:color w:val="111111"/>
          <w:sz w:val="28"/>
          <w:szCs w:val="28"/>
          <w:rtl/>
        </w:rPr>
        <w:t xml:space="preserve">و هذا نظیر صدور القبیح من اللّه سبحانه، فإنّه ممکن بالذّات و یقع تحت إطار قدرته، فبإمکانه تعالی إخلاد المطیع فی نار جهنّم، لکنّه لا یصدر منه لکونه مخالفاً للحکمة، و مبایناً لما وعد به.</w:t>
      </w:r>
    </w:p>
    <w:p>
      <w:pPr>
        <w:pStyle w:val="BookText"/>
      </w:pPr>
      <w:r>
        <w:rPr>
          <w:rFonts w:ascii="IRNazanin" w:hAnsi="IRNazanin" w:eastAsia="IRNazanin" w:cs="IRNazanin"/>
          <w:lang w:bidi="fa-IR"/>
          <w:color w:val="111111"/>
          <w:sz w:val="28"/>
          <w:szCs w:val="28"/>
          <w:rtl/>
        </w:rPr>
        <w:t xml:space="preserve">فالعصمة موهبة تفاض علی من یعلم من حاله أنّه باختیاره ینتفع منها فی ترک القبائح، فیعدّ مفخرة قابلة للتحسین و التکریم، و قد شبّه الشیخ المفید العصمة بالحبل الّذی یعطی للغریق لیتشبّث به فیسلم، فالغریق مختار فی التقاط الحبل و النجاة، أو عدمه و الغرق.</w:t>
      </w:r>
    </w:p>
    <w:p>
      <w:pPr>
        <w:pStyle w:val="BookText"/>
      </w:pPr>
      <w:r>
        <w:rPr>
          <w:rFonts w:ascii="IRNazanin" w:hAnsi="IRNazanin" w:eastAsia="IRNazanin" w:cs="IRNazanin"/>
          <w:lang w:bidi="fa-IR"/>
          <w:color w:val="111111"/>
          <w:sz w:val="28"/>
          <w:szCs w:val="28"/>
          <w:rtl/>
        </w:rPr>
        <w:t xml:space="preserve">[شماره صفحه واقعی : 283]
</w:t>
      </w:r>
    </w:p>
    <w:p>
      <w:pPr>
        <w:sectPr>
          <w:footerReference w:type="default" r:id="rId1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284]
</w:t>
      </w:r>
    </w:p>
    <w:p>
      <w:pPr>
        <w:sectPr>
          <w:footerReference w:type="default" r:id="rId1431"/>
          <w:footnotePr>
            <w:numStart w:val="1"/>
            <w:numRestart w:val="eachPage"/>
          </w:footnotePr>
          <w:pgSz w:orient="portrait" w:w="11905.511811023622" w:h="16837.79527559055"/>
          <w:pgMar w:top="1440" w:right="1440" w:bottom="1440" w:left="1440" w:header="720" w:footer="720" w:gutter="0"/>
          <w:cols w:num="1" w:space="720"/>
        </w:sectPr>
      </w:pPr>
    </w:p>
    <w:bookmarkStart w:id="802" w:name="pg14411_143813"/>
    <w:bookmarkEnd w:id="802"/>
    <w:p>
      <w:pPr>
        <w:pStyle w:val="Heading4"/>
      </w:pPr>
      <w:bookmarkStart w:id="2591" w:name="_Toc1626"/>
      <w:r>
        <w:t>الباب السادس : فی النبوّة الخاصة</w:t>
      </w:r>
      <w:bookmarkEnd w:id="2591"/>
    </w:p>
    <w:p>
      <w:pPr>
        <w:pStyle w:val="Heading5"/>
      </w:pPr>
      <w:bookmarkStart w:id="2592" w:name="_Toc1627"/>
      <w:r>
        <w:t>اشارة</w:t>
      </w:r>
      <w:bookmarkEnd w:id="2592"/>
    </w:p>
    <w:p>
      <w:pPr>
        <w:pStyle w:val="BookText"/>
      </w:pPr>
      <w:r>
        <w:rPr>
          <w:rFonts w:ascii="IRNazanin" w:hAnsi="IRNazanin" w:eastAsia="IRNazanin" w:cs="IRNazanin"/>
          <w:lang w:bidi="fa-IR"/>
          <w:color w:val="111111"/>
          <w:sz w:val="28"/>
          <w:szCs w:val="28"/>
          <w:rtl/>
        </w:rPr>
        <w:t xml:space="preserve">و فیه تمهید و ثلاثة فصول:</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الإعجاز البیانی للقرآن الکریم؛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إعجاز القرآن من جهات أخری؛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الخاتمیة فی ضوء العقل و الوحی.</w:t>
      </w:r>
    </w:p>
    <w:p>
      <w:pPr>
        <w:pStyle w:val="BookText"/>
      </w:pPr>
      <w:r>
        <w:rPr>
          <w:rFonts w:ascii="IRNazanin" w:hAnsi="IRNazanin" w:eastAsia="IRNazanin" w:cs="IRNazanin"/>
          <w:lang w:bidi="fa-IR"/>
          <w:color w:val="111111"/>
          <w:sz w:val="28"/>
          <w:szCs w:val="28"/>
          <w:rtl/>
        </w:rPr>
        <w:t xml:space="preserve">[شماره صفحه واقعی : 285]
</w:t>
      </w:r>
    </w:p>
    <w:p>
      <w:pPr>
        <w:sectPr>
          <w:footerReference w:type="default" r:id="rId1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286]
</w:t>
      </w:r>
    </w:p>
    <w:p>
      <w:pPr>
        <w:sectPr>
          <w:footerReference w:type="default" r:id="rId1433"/>
          <w:footnotePr>
            <w:numStart w:val="1"/>
            <w:numRestart w:val="eachPage"/>
          </w:footnotePr>
          <w:pgSz w:orient="portrait" w:w="11905.511811023622" w:h="16837.79527559055"/>
          <w:pgMar w:top="1440" w:right="1440" w:bottom="1440" w:left="1440" w:header="720" w:footer="720" w:gutter="0"/>
          <w:cols w:num="1" w:space="720"/>
        </w:sectPr>
      </w:pPr>
    </w:p>
    <w:bookmarkStart w:id="803" w:name="pg14411_143815"/>
    <w:bookmarkEnd w:id="803"/>
    <w:p>
      <w:pPr>
        <w:pStyle w:val="Heading5"/>
      </w:pPr>
      <w:bookmarkStart w:id="2593" w:name="_Toc1628"/>
      <w:r>
        <w:t>تمهید</w:t>
      </w:r>
      <w:bookmarkEnd w:id="2593"/>
    </w:p>
    <w:p>
      <w:pPr>
        <w:pStyle w:val="BookText"/>
      </w:pPr>
      <w:r>
        <w:rPr>
          <w:rFonts w:ascii="IRNazanin" w:hAnsi="IRNazanin" w:eastAsia="IRNazanin" w:cs="IRNazanin"/>
          <w:lang w:bidi="fa-IR"/>
          <w:color w:val="111111"/>
          <w:sz w:val="28"/>
          <w:szCs w:val="28"/>
          <w:rtl/>
        </w:rPr>
        <w:t xml:space="preserve">بعد الفراغ عن البحث حول النبوّة العامّة، علینا أن نبحث عن النبوّة الخاصّة، أعنی: نبوة نبیّ الإسلام محمّد بن عبد اللّه صلی الله علیه و آله فنقول:</w:t>
      </w:r>
    </w:p>
    <w:p>
      <w:pPr>
        <w:pStyle w:val="BookText"/>
      </w:pPr>
      <w:r>
        <w:rPr>
          <w:rFonts w:ascii="IRNazanin" w:hAnsi="IRNazanin" w:eastAsia="IRNazanin" w:cs="IRNazanin"/>
          <w:lang w:bidi="fa-IR"/>
          <w:color w:val="111111"/>
          <w:sz w:val="28"/>
          <w:szCs w:val="28"/>
          <w:rtl/>
        </w:rPr>
        <w:t xml:space="preserve">ولد صلی الله علیه و آله بمکّة عام (570 م) و قام بالدعوة فی أوائل القرن السابع المیلادی (610 م) و أوّل ما بدأ به، دعوة أقربائه و عشیرته، و بعد سنوات -استطاع فی أثنائها هدایة جمع من عشیرته -وجَّه دعوته إلی عموم الناس، ثمّ استمرّ فی رسالته و الناس بین مؤمن به مفاد بنفسه و نفیسه، و عدوّ ینابذه و یتحیّن الفرص للفتک به و قتله، فلمّا أحسَّ بالخطر، غادر موطنه إلی مدینة یثرب فأقام هناک سنین عشر، إلی أن أجاب داعی الموت و ذلک فی عام633 میلادی. إنّ التدبر فی آثار دعوته صلی الله علیه و آله یدفع الإنسان إلی الإذعان بأنّ لها سمات و خصائص تمتاز بها عن غیرها و هی: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سرعة انتشارها فی أقطار العالم الإنسانی لا سیّما بین الأُمم المتحضّرة، سرعة لم یر التاریخ لها مثیلاً.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تحفّظ الأُمة المؤمنة علی حضارات الأُمم المغلوبة و الحضارات المفتوحة، و بذلک افترقت عن سائر الثورات البشریة، و أصبح التمدّن الإسلامی حضارة إنسانیة مکتملة الأبعاد، و صانت السّالف من الحضارات الیونانیة و الرومانیة و الفارسیة، و التمدّن الصناعی الحدیث.</w:t>
      </w:r>
    </w:p>
    <w:p>
      <w:pPr>
        <w:pStyle w:val="BookText"/>
      </w:pPr>
      <w:r>
        <w:rPr>
          <w:rFonts w:ascii="IRNazanin" w:hAnsi="IRNazanin" w:eastAsia="IRNazanin" w:cs="IRNazanin"/>
          <w:lang w:bidi="fa-IR"/>
          <w:color w:val="111111"/>
          <w:sz w:val="28"/>
          <w:szCs w:val="28"/>
          <w:rtl/>
        </w:rPr>
        <w:t xml:space="preserve">[شماره صفحه واقعی : 287]
</w:t>
      </w:r>
    </w:p>
    <w:p>
      <w:pPr>
        <w:sectPr>
          <w:footerReference w:type="default" r:id="rId1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تضحیة المعتنقین لدینه و تفانیهم فی سبیله حتی قدَّموا کلّ دقیق و جلیل ممّا یملکون فی سبیل نصرته و إعزازه.</w:t>
      </w:r>
    </w:p>
    <w:p>
      <w:pPr>
        <w:pStyle w:val="BookText"/>
      </w:pPr>
      <w:r>
        <w:rPr>
          <w:rFonts w:ascii="IRNazanin" w:hAnsi="IRNazanin" w:eastAsia="IRNazanin" w:cs="IRNazanin"/>
          <w:lang w:bidi="fa-IR"/>
          <w:color w:val="111111"/>
          <w:sz w:val="28"/>
          <w:szCs w:val="28"/>
          <w:rtl/>
        </w:rPr>
        <w:t xml:space="preserve">و هناک سمات للدّعوة المحمّدیة وردت فی القرآن الکریم من أهمّها عالمیة الرسالة، و خاتمیتها، و علی هذا فاللازم علی المنصف المتحرّی للحقیقة أن یبحث عن حقیقة هذه الدعوة و صحّة دلائلها، و قد وقفت عند البحث عن النبوّة العامّة علی أنّ للتعرّف علی صدق مدّعی النبوّة طرقاً ثلاثة، و هی: إتیانه بالمعجز، و تصدیق النبیّ السابق و تنصیصه علی نبوّته، و القرائن الدالّة علی صدق دعواه، و نحن نکتفی هنا ببیان طریق الإعجاز.</w:t>
      </w:r>
    </w:p>
    <w:p>
      <w:pPr>
        <w:pStyle w:val="BookText"/>
      </w:pPr>
      <w:r>
        <w:rPr>
          <w:rFonts w:ascii="IRNazanin" w:hAnsi="IRNazanin" w:eastAsia="IRNazanin" w:cs="IRNazanin"/>
          <w:lang w:bidi="fa-IR"/>
          <w:color w:val="111111"/>
          <w:sz w:val="28"/>
          <w:szCs w:val="28"/>
          <w:rtl/>
        </w:rPr>
        <w:t xml:space="preserve">[شماره صفحه واقعی : 288]
</w:t>
      </w:r>
    </w:p>
    <w:p>
      <w:pPr>
        <w:sectPr>
          <w:footerReference w:type="default" r:id="rId1435"/>
          <w:footnotePr>
            <w:numStart w:val="1"/>
            <w:numRestart w:val="eachPage"/>
          </w:footnotePr>
          <w:pgSz w:orient="portrait" w:w="11905.511811023622" w:h="16837.79527559055"/>
          <w:pgMar w:top="1440" w:right="1440" w:bottom="1440" w:left="1440" w:header="720" w:footer="720" w:gutter="0"/>
          <w:cols w:num="1" w:space="720"/>
        </w:sectPr>
      </w:pPr>
    </w:p>
    <w:bookmarkStart w:id="804" w:name="pg14411_143817"/>
    <w:bookmarkEnd w:id="804"/>
    <w:p>
      <w:pPr>
        <w:pStyle w:val="Heading5"/>
      </w:pPr>
      <w:bookmarkStart w:id="2594" w:name="_Toc1629"/>
      <w:r>
        <w:t>الفصل الأوّل : الإعجاز البیانی للقرآن الکریم</w:t>
      </w:r>
      <w:bookmarkEnd w:id="2594"/>
    </w:p>
    <w:p>
      <w:pPr>
        <w:pStyle w:val="Heading6"/>
      </w:pPr>
      <w:bookmarkStart w:id="2595" w:name="_Toc1630"/>
      <w:r>
        <w:t>اشارة</w:t>
      </w:r>
      <w:bookmarkEnd w:id="2595"/>
    </w:p>
    <w:p>
      <w:pPr>
        <w:pStyle w:val="BookText"/>
      </w:pPr>
      <w:r>
        <w:rPr>
          <w:rFonts w:ascii="IRNazanin" w:hAnsi="IRNazanin" w:eastAsia="IRNazanin" w:cs="IRNazanin"/>
          <w:lang w:bidi="fa-IR"/>
          <w:color w:val="111111"/>
          <w:sz w:val="28"/>
          <w:szCs w:val="28"/>
          <w:rtl/>
        </w:rPr>
        <w:t xml:space="preserve">قد ضبط التاریخ أنّه کانت لنبیّ الإسلام معاجز کثیرة فی مواقف حاسمة غیر أنّه کان یرکّز علی معجزته الخالدة و هی القرآن الکریم، و نحن نقتصر بالبحث عن هذه المعجزة الخالدة فنقول:</w:t>
      </w:r>
    </w:p>
    <w:p>
      <w:pPr>
        <w:pStyle w:val="BookText"/>
      </w:pPr>
      <w:r>
        <w:rPr>
          <w:rFonts w:ascii="Amiri" w:hAnsi="Amiri" w:eastAsia="Amiri" w:cs="Amiri"/>
          <w:lang w:bidi="ar-SA"/>
          <w:color w:val="111111"/>
          <w:sz w:val="28"/>
          <w:szCs w:val="28"/>
          <w:rtl/>
        </w:rPr>
        <w:t xml:space="preserve">إنّ الحکمة الإلهیة اقتضت أن یکون الدّین الخالد مقروناً بالمعجزة الخالدة حتی تتمّ الحجّة علی جمیع الأجیال و القرون إلی أن تقوم السّاعة: «لِئَلاّٰ یَکُونَ لِلنّٰاسِ عَلَی اللّٰهِ حُجَّةٌ بَعْدَ الرُّسُلِ» </w:t>
      </w:r>
      <w:r>
        <w:rPr>
          <w:rStyle w:val="FootnoteReference"/>
        </w:rPr>
        <w:footnoteReference w:id="4596"/>
      </w:r>
      <w:r>
        <w:rPr>
          <w:rFonts w:ascii="Amiri" w:hAnsi="Amiri" w:eastAsia="Amiri" w:cs="Amiri"/>
          <w:lang w:bidi="ar-SA"/>
          <w:color w:val="111111"/>
          <w:sz w:val="28"/>
          <w:szCs w:val="28"/>
          <w:rtl/>
        </w:rPr>
        <w:t xml:space="preserve">بل تکون «لله اَلْحُجَّةُ الْبٰالِغَةُ» </w:t>
      </w:r>
      <w:r>
        <w:rPr>
          <w:rStyle w:val="FootnoteReference"/>
        </w:rPr>
        <w:footnoteReference w:id="4597"/>
      </w:r>
      <w:r>
        <w:rPr>
          <w:rFonts w:ascii="IRNazanin" w:hAnsi="IRNazanin" w:eastAsia="IRNazanin" w:cs="IRNazanin"/>
          <w:lang w:bidi="fa-IR"/>
          <w:color w:val="111111"/>
          <w:sz w:val="28"/>
          <w:szCs w:val="28"/>
          <w:rtl/>
        </w:rPr>
        <w:t xml:space="preserve">علی الناس فی کلّ زمان و مکان.</w:t>
      </w:r>
    </w:p>
    <w:p>
      <w:pPr>
        <w:pStyle w:val="BookText"/>
      </w:pPr>
      <w:r>
        <w:rPr>
          <w:rFonts w:ascii="IRNazanin" w:hAnsi="IRNazanin" w:eastAsia="IRNazanin" w:cs="IRNazanin"/>
          <w:lang w:bidi="fa-IR"/>
          <w:color w:val="111111"/>
          <w:sz w:val="28"/>
          <w:szCs w:val="28"/>
          <w:rtl/>
        </w:rPr>
        <w:t xml:space="preserve">إنّ للقرآن فی مجالی اللفظ و المعنی کیفیة خاصّة یمتاز بها عن کلّ کلام سواه، سواء أصدر من أعظم الفصحاء و البلغاء أو من غیرهم، و هذا هو الّذی لمسه العرب المعاصرون لعصر الرسالة، و نحن نعیش فی بدایات القرن الخامس عشر من هجرة النبیّ صلی الله علیه و آله ، و ندّعی أنّ القرآن لم یزل کان معجزاً إلی الآن، و أنّه أرقی من أن یعارض أو یباری و یؤتی بمثله أبداً،</w:t>
      </w:r>
    </w:p>
    <w:p>
      <w:pPr>
        <w:pStyle w:val="BookText"/>
      </w:pPr>
      <w:r>
        <w:rPr>
          <w:rFonts w:ascii="IRNazanin" w:hAnsi="IRNazanin" w:eastAsia="IRNazanin" w:cs="IRNazanin"/>
          <w:lang w:bidi="fa-IR"/>
          <w:color w:val="111111"/>
          <w:sz w:val="28"/>
          <w:szCs w:val="28"/>
          <w:rtl/>
        </w:rPr>
        <w:t xml:space="preserve">[شماره صفحه واقعی : 289]
</w:t>
      </w:r>
    </w:p>
    <w:p>
      <w:pPr>
        <w:sectPr>
          <w:footerReference w:type="default" r:id="rId1436"/>
          <w:footnotePr>
            <w:numStart w:val="1"/>
            <w:numRestart w:val="eachPage"/>
          </w:footnotePr>
          <w:pgSz w:orient="portrait" w:w="11905.511811023622" w:h="16837.79527559055"/>
          <w:pgMar w:top="1440" w:right="1440" w:bottom="1440" w:left="1440" w:header="720" w:footer="720" w:gutter="0"/>
          <w:cols w:num="1" w:space="720"/>
        </w:sectPr>
      </w:pPr>
    </w:p>
    <w:bookmarkStart w:id="805" w:name="pg14411_143818"/>
    <w:bookmarkEnd w:id="805"/>
    <w:p>
      <w:pPr>
        <w:pStyle w:val="BookText"/>
      </w:pPr>
      <w:r>
        <w:rPr>
          <w:rFonts w:ascii="IRNazanin" w:hAnsi="IRNazanin" w:eastAsia="IRNazanin" w:cs="IRNazanin"/>
          <w:lang w:bidi="fa-IR"/>
          <w:color w:val="111111"/>
          <w:sz w:val="28"/>
          <w:szCs w:val="28"/>
          <w:rtl/>
        </w:rPr>
        <w:t xml:space="preserve">و الدلیل الواضح علی إعجاز القرآن فی مجال الفصاحة و البلاغة أنّ العرب فی عصر الرسالة و قبله کانوا علی درجة عالیة من الفصاحة و البلاغة و النبیّ صلی الله علیه و آله قد عاش بینهم أربعین سنة لم یأت بکلام یتحدّی به، فإذا هو ادّعی النبوة و أتی بالقرآن الکریم و تحدّی به علی صدق دعواه و عجز المشرکون عن معارضته، مع أنّهم قاموا بالمکافحة معه بکلّ ما کان فی مقدرتهم، و قد تحمّلوا مصاعب و مصائب کثیرة فی هذا المجال، فإن کانت المعارضة مع النبیّ صلی الله علیه و آله من طریق الإتیان بکلام یماثل القرآن فی الفصاحة و البلاغة ممکنة لهم عارضوه بذلک بلا ریب، و لو فعلوا ذلک لنقل فی التاریخ نقلا متواتراً لکثرة الدعاوی علی ذلک مع کثرة المخالفین و المعاندین للإسلام.</w:t>
      </w:r>
    </w:p>
    <w:p>
      <w:pPr>
        <w:pStyle w:val="Heading6"/>
      </w:pPr>
      <w:bookmarkStart w:id="2596" w:name="_Toc1631"/>
      <w:r>
        <w:t>اعتراف بلغاء العرب بإعجاز القرآن البیانی</w:t>
      </w:r>
      <w:bookmarkEnd w:id="2596"/>
    </w:p>
    <w:p>
      <w:pPr>
        <w:pStyle w:val="BookText"/>
      </w:pPr>
      <w:r>
        <w:rPr>
          <w:rFonts w:ascii="IRNazanin" w:hAnsi="IRNazanin" w:eastAsia="IRNazanin" w:cs="IRNazanin"/>
          <w:lang w:bidi="fa-IR"/>
          <w:color w:val="111111"/>
          <w:sz w:val="28"/>
          <w:szCs w:val="28"/>
          <w:rtl/>
        </w:rPr>
        <w:t xml:space="preserve">إنّ التاریخ قد ضبط اعتراف مجموعة کبیرة من فصحاء العرب بهذا الأمر نشیر إلی نماذج منها:</w:t>
      </w:r>
    </w:p>
    <w:p>
      <w:pPr>
        <w:pStyle w:val="BookText"/>
      </w:pPr>
      <w:r>
        <w:rPr>
          <w:rFonts w:ascii="IRNazanin" w:hAnsi="IRNazanin" w:eastAsia="IRNazanin" w:cs="IRNazanin"/>
          <w:lang w:bidi="fa-IR"/>
          <w:color w:val="111111"/>
          <w:sz w:val="28"/>
          <w:szCs w:val="28"/>
          <w:rtl/>
        </w:rPr>
        <w:t xml:space="preserve">أ) الولید بن المغیرة: کان الولید بن المغیرة شیخاً کبیراً و من حکّام العرب یتحاکمون إلیه فی أمورهم و ینشدونه الأشعار، فما اختاره من الشّعر کان مقدّماً مختاراً، یروی التاریخ أنّه سمع آیات من القرآن عند ما کان یتلوها النبیّ صلی الله علیه و آله و لمّا سمع ذلک قام حتّی أتی مجلس قومه بنی مخزوم فقال:</w:t>
      </w:r>
    </w:p>
    <w:p>
      <w:pPr>
        <w:pStyle w:val="BookText"/>
      </w:pPr>
      <w:r>
        <w:rPr>
          <w:rFonts w:ascii="IRNazanin" w:hAnsi="IRNazanin" w:eastAsia="IRNazanin" w:cs="IRNazanin"/>
          <w:lang w:bidi="fa-IR"/>
          <w:color w:val="111111"/>
          <w:sz w:val="28"/>
          <w:szCs w:val="28"/>
          <w:rtl/>
        </w:rPr>
        <w:t xml:space="preserve">و اللّه لقد سمعت من محمّد آنفاً کلاماً ما هو من کلام الإنس و لا من کلام الجنّ، و أن له لحلاوة، و أنّ علیه لطلاوة، و أن أعلاه</w:t>
      </w:r>
    </w:p>
    <w:p>
      <w:pPr>
        <w:pStyle w:val="BookText"/>
      </w:pPr>
      <w:r>
        <w:rPr>
          <w:rFonts w:ascii="IRNazanin" w:hAnsi="IRNazanin" w:eastAsia="IRNazanin" w:cs="IRNazanin"/>
          <w:lang w:bidi="fa-IR"/>
          <w:color w:val="111111"/>
          <w:sz w:val="28"/>
          <w:szCs w:val="28"/>
          <w:rtl/>
        </w:rPr>
        <w:t xml:space="preserve">[شماره صفحه واقعی : 290]
</w:t>
      </w:r>
    </w:p>
    <w:p>
      <w:pPr>
        <w:sectPr>
          <w:footerReference w:type="default" r:id="rId1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لمثمر، و أن أسفله لمغدق، و أنه لیعلو و ما یعلی علیه. </w:t>
      </w:r>
      <w:r>
        <w:rPr>
          <w:rStyle w:val="FootnoteReference"/>
        </w:rPr>
        <w:footnoteReference w:id="4598"/>
      </w:r>
    </w:p>
    <w:p>
      <w:pPr>
        <w:pStyle w:val="BookText"/>
      </w:pPr>
      <w:r>
        <w:rPr>
          <w:rFonts w:ascii="IRNazanin" w:hAnsi="IRNazanin" w:eastAsia="IRNazanin" w:cs="IRNazanin"/>
          <w:lang w:bidi="fa-IR"/>
          <w:color w:val="111111"/>
          <w:sz w:val="28"/>
          <w:szCs w:val="28"/>
          <w:rtl/>
        </w:rPr>
        <w:t xml:space="preserve">ب) عتبة بن ربیعة: سمع عتبة بن ربیعة آیات من الذکر الحکیم تلاها رسول اللّه صلی الله علیه و آله علیه </w:t>
      </w:r>
      <w:r>
        <w:rPr>
          <w:rStyle w:val="FootnoteReference"/>
        </w:rPr>
        <w:footnoteReference w:id="4599"/>
      </w:r>
      <w:r>
        <w:rPr>
          <w:rFonts w:ascii="IRNazanin" w:hAnsi="IRNazanin" w:eastAsia="IRNazanin" w:cs="IRNazanin"/>
          <w:lang w:bidi="fa-IR"/>
          <w:color w:val="111111"/>
          <w:sz w:val="28"/>
          <w:szCs w:val="28"/>
          <w:rtl/>
        </w:rPr>
        <w:t xml:space="preserve">فرجع إلی أصحابه و قال لهم:</w:t>
      </w:r>
    </w:p>
    <w:p>
      <w:pPr>
        <w:pStyle w:val="BookText"/>
      </w:pPr>
      <w:r>
        <w:rPr>
          <w:rFonts w:ascii="IRNazanin" w:hAnsi="IRNazanin" w:eastAsia="IRNazanin" w:cs="IRNazanin"/>
          <w:lang w:bidi="fa-IR"/>
          <w:color w:val="111111"/>
          <w:sz w:val="28"/>
          <w:szCs w:val="28"/>
          <w:rtl/>
        </w:rPr>
        <w:t xml:space="preserve">إنّی قد سمعت قولاً و اللّه ما سمعت مثله قط، و اللّه ما هو بالشعر، و لا بالسحر، و لا بالکهانة،... فو الله لیکوننّ لقوله الّذی سمعت منه نبأ عظیم. </w:t>
      </w:r>
      <w:r>
        <w:rPr>
          <w:rStyle w:val="FootnoteReference"/>
        </w:rPr>
        <w:footnoteReference w:id="4600"/>
      </w:r>
    </w:p>
    <w:p>
      <w:pPr>
        <w:pStyle w:val="BookText"/>
      </w:pPr>
      <w:r>
        <w:rPr>
          <w:rFonts w:ascii="IRNazanin" w:hAnsi="IRNazanin" w:eastAsia="IRNazanin" w:cs="IRNazanin"/>
          <w:lang w:bidi="fa-IR"/>
          <w:color w:val="111111"/>
          <w:sz w:val="28"/>
          <w:szCs w:val="28"/>
          <w:rtl/>
        </w:rPr>
        <w:t xml:space="preserve">ج) ثلاثة من بلغاء قریش: یحکی لنا القرآن أنّ المشرکین تواصوا بترک سماع القرآن و الإلغاء عند قراءته فی قوله:</w:t>
      </w:r>
    </w:p>
    <w:p>
      <w:pPr>
        <w:pStyle w:val="BookText"/>
      </w:pPr>
      <w:r>
        <w:rPr>
          <w:rFonts w:ascii="Amiri" w:hAnsi="Amiri" w:eastAsia="Amiri" w:cs="Amiri"/>
          <w:lang w:bidi="ar-SA"/>
          <w:color w:val="111111"/>
          <w:sz w:val="28"/>
          <w:szCs w:val="28"/>
          <w:rtl/>
        </w:rPr>
        <w:t xml:space="preserve">«وَ قٰالَ الَّذِینَ کَفَرُوا لاٰ تَسْمَعُوا لِهٰذَا الْقُرْآنِ وَ الْغَوْا فِیهِ لَعَلَّکُمْ تَغْلِبُونَ» </w:t>
      </w:r>
      <w:r>
        <w:rPr>
          <w:rStyle w:val="FootnoteReference"/>
        </w:rPr>
        <w:footnoteReference w:id="46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مع ذلک فأولئک الّذین کانوا مبدءاً لردع الشباب عن سماع القرآن قد نقضوا عهدهم لشدّة التذاذهم من سماعه، فهؤلاء ثلاثة من بلغاء قریش و أشرافهم و هم: أبو سفیان بن حرب، و أبو جهل بن هشام، و الأخنس بن شریق، خرجوا لیلة لیستمعوا کلام رسول اللّه صلی الله علیه و آله و هو یصلّی من اللیل فی بیته، فأخذ کلّ رجل منهم مجلساً یستمع فیه، و کلٌّ لا یعلم بمکان صاحبه، فباتوا یستمعون له حتی إذا طلع الفجر تفرّقوا، فجمعهم الطریق فتلاقوا</w:t>
      </w:r>
    </w:p>
    <w:p>
      <w:pPr>
        <w:pStyle w:val="BookText"/>
      </w:pPr>
      <w:r>
        <w:rPr>
          <w:rFonts w:ascii="IRNazanin" w:hAnsi="IRNazanin" w:eastAsia="IRNazanin" w:cs="IRNazanin"/>
          <w:lang w:bidi="fa-IR"/>
          <w:color w:val="111111"/>
          <w:sz w:val="28"/>
          <w:szCs w:val="28"/>
          <w:rtl/>
        </w:rPr>
        <w:t xml:space="preserve">[شماره صفحه واقعی : 291]
</w:t>
      </w:r>
    </w:p>
    <w:p>
      <w:pPr>
        <w:sectPr>
          <w:footerReference w:type="default" r:id="rId1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بعضهم لبعض: «لا تعودوا، فلو رآکم بعض سفهائکم لأوقعتم فی نفسه شیئاً، ثمّ انصرفوا». </w:t>
      </w:r>
      <w:r>
        <w:rPr>
          <w:rStyle w:val="FootnoteReference"/>
        </w:rPr>
        <w:footnoteReference w:id="4602"/>
      </w:r>
      <w:r>
        <w:rPr>
          <w:rFonts w:ascii="IRNazanin" w:hAnsi="IRNazanin" w:eastAsia="IRNazanin" w:cs="IRNazanin"/>
          <w:lang w:bidi="fa-IR"/>
          <w:color w:val="111111"/>
          <w:sz w:val="28"/>
          <w:szCs w:val="28"/>
          <w:rtl/>
        </w:rPr>
        <w:t xml:space="preserve">و لکن عادوا فی لیلتین آخرتین بمثل ذلک.</w:t>
      </w:r>
    </w:p>
    <w:p>
      <w:pPr>
        <w:pStyle w:val="BookText"/>
      </w:pPr>
      <w:r>
        <w:rPr>
          <w:rFonts w:ascii="IRNazanin" w:hAnsi="IRNazanin" w:eastAsia="IRNazanin" w:cs="IRNazanin"/>
          <w:lang w:bidi="fa-IR"/>
          <w:color w:val="111111"/>
          <w:sz w:val="28"/>
          <w:szCs w:val="28"/>
          <w:rtl/>
        </w:rPr>
        <w:t xml:space="preserve">و ما هذا إلّا لأنّ القرآن کان کلاماً خلّاباً لعذوبة ألفاظه و بلاغة معانیه، رائعاً فی نظمه و أُسلوبه، و لم یکن له نظیر فی أوساطهم.</w:t>
      </w:r>
    </w:p>
    <w:p>
      <w:pPr>
        <w:pStyle w:val="BookText"/>
      </w:pPr>
      <w:r>
        <w:rPr>
          <w:rFonts w:ascii="IRNazanin" w:hAnsi="IRNazanin" w:eastAsia="IRNazanin" w:cs="IRNazanin"/>
          <w:lang w:bidi="fa-IR"/>
          <w:color w:val="111111"/>
          <w:sz w:val="28"/>
          <w:szCs w:val="28"/>
          <w:rtl/>
        </w:rPr>
        <w:t xml:space="preserve">د) الطفیل بن عمر الدوسی: من الحبائل الّتی سلکها أعداء النبیّ صلی الله علیه و آله لصدّ تأثیر القرآن، منع شخصیّات المشرکین من لقاء الرسول صلی الله علیه و آله و من تلک الشخصیّات الطفیل، و کان رجلاً شریفاً شاعراً لبیباً، فقد قدم مکّة و رسول اللّه بها فمشی إلیه رجال من قریش و خوَّفوه من سماع کلام النبیّ صلی الله علیه و آله و بالغوا فی ذلک، یقول الطفیل:</w:t>
      </w:r>
    </w:p>
    <w:p>
      <w:pPr>
        <w:pStyle w:val="BookText"/>
      </w:pPr>
      <w:r>
        <w:rPr>
          <w:rFonts w:ascii="IRNazanin" w:hAnsi="IRNazanin" w:eastAsia="IRNazanin" w:cs="IRNazanin"/>
          <w:lang w:bidi="fa-IR"/>
          <w:color w:val="111111"/>
          <w:sz w:val="28"/>
          <w:szCs w:val="28"/>
          <w:rtl/>
        </w:rPr>
        <w:t xml:space="preserve">فو الله ما زالوا بی حتی أجمعت أن لا أسمع منه شیئاً و لا أُکلّمه، حتی حشوت فی أُذنی حین غدوت إلی المسجد کرسفاً... فغدوت إلی المسجد، فإذا رسول اللّه قائم یصلّی عند الکعبة، فقمت منه قریباً فأبی اللّه إلّا أن یسمعنی بعض قوله فسمعت کلاماً حسناً، فقلت فی نفسی وا ثکل أُمّی، و اللّه إنّی لرجل لبیب، شاعر، ما یخفی علیّ الحسن من القبیح، فما یمنعنی أن أسمع من هذا الرجل، فإن کان الّذی یأتی به حسناً قبلته و إن کان قبیحاً ترکته، فمکثت حتی انصرف رسول اللّه صلی الله علیه و آله إلی بیته، فاتبعته، حتی إذا دخل بیته دخلت علیه فقلت: «یا محمّد إنّ</w:t>
      </w:r>
    </w:p>
    <w:p>
      <w:pPr>
        <w:pStyle w:val="BookText"/>
      </w:pPr>
      <w:r>
        <w:rPr>
          <w:rFonts w:ascii="IRNazanin" w:hAnsi="IRNazanin" w:eastAsia="IRNazanin" w:cs="IRNazanin"/>
          <w:lang w:bidi="fa-IR"/>
          <w:color w:val="111111"/>
          <w:sz w:val="28"/>
          <w:szCs w:val="28"/>
          <w:rtl/>
        </w:rPr>
        <w:t xml:space="preserve">[شماره صفحه واقعی : 292]
</w:t>
      </w:r>
    </w:p>
    <w:p>
      <w:pPr>
        <w:sectPr>
          <w:footerReference w:type="default" r:id="rId1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قومک قد قالوا لی کذا و کذا، فو الله ما برحوا یخوّفوننی أمرک حتّی سددت أُذنی بکرسف لئلاّ أسمع قولک، ثمّ أبی اللّه إلّا أن یسمعنی قولک فسمعته قولاً حسناً، فأعرض علیَّ أمرک.</w:t>
      </w:r>
    </w:p>
    <w:p>
      <w:pPr>
        <w:pStyle w:val="BookText"/>
      </w:pPr>
      <w:r>
        <w:rPr>
          <w:rFonts w:ascii="IRNazanin" w:hAnsi="IRNazanin" w:eastAsia="IRNazanin" w:cs="IRNazanin"/>
          <w:lang w:bidi="fa-IR"/>
          <w:color w:val="111111"/>
          <w:sz w:val="28"/>
          <w:szCs w:val="28"/>
          <w:rtl/>
        </w:rPr>
        <w:t xml:space="preserve">قال: «فعرض علیَّ رسول اللّه صلی الله علیه و آله الإسلام و تلا علیَّ القرآن، فلا و اللّه ما سمعت قولاً قطّ أحسن منه، و لا أمراً أعدل منه، فأسلمت و شهدت شهادة الحق». </w:t>
      </w:r>
      <w:r>
        <w:rPr>
          <w:rStyle w:val="FootnoteReference"/>
        </w:rPr>
        <w:footnoteReference w:id="4603"/>
      </w:r>
    </w:p>
    <w:p>
      <w:pPr>
        <w:pStyle w:val="BookText"/>
      </w:pPr>
      <w:r>
        <w:rPr>
          <w:rFonts w:ascii="Amiri" w:hAnsi="Amiri" w:eastAsia="Amiri" w:cs="Amiri"/>
          <w:lang w:bidi="ar-SA"/>
          <w:color w:val="111111"/>
          <w:sz w:val="28"/>
          <w:szCs w:val="28"/>
          <w:rtl/>
        </w:rPr>
        <w:t xml:space="preserve">نقد مذهب الصّرفة</w:t>
      </w:r>
    </w:p>
    <w:p>
      <w:pPr>
        <w:pStyle w:val="BookText"/>
      </w:pPr>
      <w:r>
        <w:rPr>
          <w:rFonts w:ascii="IRNazanin" w:hAnsi="IRNazanin" w:eastAsia="IRNazanin" w:cs="IRNazanin"/>
          <w:lang w:bidi="fa-IR"/>
          <w:color w:val="111111"/>
          <w:sz w:val="28"/>
          <w:szCs w:val="28"/>
          <w:rtl/>
        </w:rPr>
        <w:t xml:space="preserve">الرأی السائد بین المسلمین فی إعجاز القرآن هو کونه فی الطبقة العلیا من الفصاحة و الدرجة القصوی من البلاغة مع ما له من النظم الفرید و الأُسلوب البدیع. و هناک مذهب آخر نجم فی القرن الثالث اشتهر بمذهب الصّرفة و إلیه ذهب جماعة من المتکلّمین، و أقدم من نسب إلیه هذا القول أبو إسحاق النظّام، و تبعه أبو إسحاق النصیبی، و عبّاد بن سلیمان الصیمری، و هشام بن عمرو الفوطی و غیرهم من المعتزلة، و اختاره من الإمامیة الشیخ المفید فی «أوائل المقالات» و إن حکی عنه غیره، و السیّد المرتضی فی رسالة أسماها ب«الموضح عن جهة إعجاز القرآن» و الشیخ الطوسی فی شرحه لجمل السیّد، و إن رجع عنه فی کتابه «الاقتصاد» و ابن سنان الخفاجی (المتوفّی 464 ه) فی کتابه «سرّ الفصاحة».</w:t>
      </w:r>
    </w:p>
    <w:p>
      <w:pPr>
        <w:pStyle w:val="BookText"/>
      </w:pPr>
      <w:r>
        <w:rPr>
          <w:rFonts w:ascii="IRNazanin" w:hAnsi="IRNazanin" w:eastAsia="IRNazanin" w:cs="IRNazanin"/>
          <w:lang w:bidi="fa-IR"/>
          <w:color w:val="111111"/>
          <w:sz w:val="28"/>
          <w:szCs w:val="28"/>
          <w:rtl/>
        </w:rPr>
        <w:t xml:space="preserve">و حاصل هذا المذهب هو أنّه لیس الإتیان بمثل القرآن من حیث</w:t>
      </w:r>
    </w:p>
    <w:p>
      <w:pPr>
        <w:pStyle w:val="BookText"/>
      </w:pPr>
      <w:r>
        <w:rPr>
          <w:rFonts w:ascii="IRNazanin" w:hAnsi="IRNazanin" w:eastAsia="IRNazanin" w:cs="IRNazanin"/>
          <w:lang w:bidi="fa-IR"/>
          <w:color w:val="111111"/>
          <w:sz w:val="28"/>
          <w:szCs w:val="28"/>
          <w:rtl/>
        </w:rPr>
        <w:t xml:space="preserve">[شماره صفحه واقعی : 293]
</w:t>
      </w:r>
    </w:p>
    <w:p>
      <w:pPr>
        <w:sectPr>
          <w:footerReference w:type="default" r:id="rId1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الفصاحة و البلاغة و روعة النظم و بداعة الأُسلوب خارجاً عن طوق القدرة البشریة، و إنّما العجز و الهزیمة فی حلبة المبارزة لأمر آخر و هو حیلولته سبحانه بینهم و بین الإتیان بمثله، فاللّه سبحانه لأجل إثبات التحدّی، حال بین فصحاء العرب و بلغائهم و بین الإتیان بمثله.</w:t>
      </w:r>
    </w:p>
    <w:p>
      <w:pPr>
        <w:pStyle w:val="BookText"/>
      </w:pPr>
      <w:r>
        <w:rPr>
          <w:rFonts w:ascii="IRNazanin" w:hAnsi="IRNazanin" w:eastAsia="IRNazanin" w:cs="IRNazanin"/>
          <w:lang w:bidi="fa-IR"/>
          <w:color w:val="111111"/>
          <w:sz w:val="28"/>
          <w:szCs w:val="28"/>
          <w:rtl/>
        </w:rPr>
        <w:t xml:space="preserve">و قد أورد علیها وجوه من النقاش و الإشکال نکتفی بذکر ثلاثة منها:</w:t>
      </w:r>
    </w:p>
    <w:p>
      <w:pPr>
        <w:pStyle w:val="BookText"/>
      </w:pPr>
      <w:r>
        <w:rPr>
          <w:rFonts w:ascii="IRNazanin" w:hAnsi="IRNazanin" w:eastAsia="IRNazanin" w:cs="IRNazanin"/>
          <w:lang w:bidi="fa-IR"/>
          <w:color w:val="111111"/>
          <w:sz w:val="28"/>
          <w:szCs w:val="28"/>
          <w:rtl/>
        </w:rPr>
        <w:t xml:space="preserve">الأوّل: إنّ المتبادر من آیات التحدّی أنّ القرآن فی ذاته متعال، حائز أرقیٰ المیزات و کمال المعجزات حتی یصحّ أن یقال فی حقّه بأنّه:</w:t>
      </w:r>
    </w:p>
    <w:p>
      <w:pPr>
        <w:pStyle w:val="BookText"/>
      </w:pPr>
      <w:r>
        <w:rPr>
          <w:rFonts w:ascii="Amiri" w:hAnsi="Amiri" w:eastAsia="Amiri" w:cs="Amiri"/>
          <w:lang w:bidi="ar-SA"/>
          <w:color w:val="111111"/>
          <w:sz w:val="28"/>
          <w:szCs w:val="28"/>
          <w:rtl/>
        </w:rPr>
        <w:t xml:space="preserve">«لَئِنِ اجْتَمَعَتِ الْإِنْسُ وَ الْجِنُّ عَلیٰ أَنْ یَأْتُوا بِمِثْلِ هٰذَا الْقُرْآنِ لاٰ یَأْتُونَ بِمِثْلِهِ وَ لَوْ کٰانَ بَعْضُهُمْ لِبَعْضٍ ظَهِیراً» </w:t>
      </w:r>
      <w:r>
        <w:rPr>
          <w:rStyle w:val="FootnoteReference"/>
        </w:rPr>
        <w:footnoteReference w:id="4604"/>
      </w:r>
      <w:r>
        <w:rPr>
          <w:rFonts w:ascii="Times New Roman" w:hAnsi="Times New Roman" w:eastAsia="Times New Roman" w:cs="Times New Roman"/>
          <w:lang w:val="en-US" w:bidi="en-US"/>
          <w:color w:val="111111"/>
          <w:sz w:val="28"/>
          <w:szCs w:val="28"/>
          <w:rtl/>
        </w:rPr>
        <w:t xml:space="preserve">. </w:t>
      </w:r>
      <w:r>
        <w:rPr>
          <w:rStyle w:val="FootnoteReference"/>
        </w:rPr>
        <w:footnoteReference w:id="4605"/>
      </w:r>
    </w:p>
    <w:p>
      <w:pPr>
        <w:pStyle w:val="BookText"/>
      </w:pPr>
      <w:r>
        <w:rPr>
          <w:rFonts w:ascii="IRNazanin" w:hAnsi="IRNazanin" w:eastAsia="IRNazanin" w:cs="IRNazanin"/>
          <w:lang w:bidi="fa-IR"/>
          <w:color w:val="111111"/>
          <w:sz w:val="28"/>
          <w:szCs w:val="28"/>
          <w:rtl/>
        </w:rPr>
        <w:t xml:space="preserve">الثانی: لو کان عجز العرب عن المقابلة لطارئ مباغت أبطل قواهم البیانیة، لأُثر عنهم أنّهم حاولوا المعارضة ففوجئوا بما لیس فی حسبانهم، و لکان ذلک مثار عجب لهم، و لأعلنوا ذلک فی الناس، لیلتمسوا العذر لأنفسهم و لیقلّلوا من شأن القرآن فی ذاته. </w:t>
      </w:r>
      <w:r>
        <w:rPr>
          <w:rStyle w:val="FootnoteReference"/>
        </w:rPr>
        <w:footnoteReference w:id="4606"/>
      </w:r>
    </w:p>
    <w:p>
      <w:pPr>
        <w:pStyle w:val="BookText"/>
      </w:pPr>
      <w:r>
        <w:rPr>
          <w:rFonts w:ascii="IRNazanin" w:hAnsi="IRNazanin" w:eastAsia="IRNazanin" w:cs="IRNazanin"/>
          <w:lang w:bidi="fa-IR"/>
          <w:color w:val="111111"/>
          <w:sz w:val="28"/>
          <w:szCs w:val="28"/>
          <w:rtl/>
        </w:rPr>
        <w:t xml:space="preserve">الثالث: لو کان الوجه فی إعجاز القرآن هو الصرفة کما زعموا، لما کانوا مستعظمین لفصاحة القرآن، و لما ظهر منهم التعجب لبلاغته و حسن فصاحته کما أثر عن الولید بن المغیرة، فإنّ المعلوم من حال کلّ بلیغ فصیح</w:t>
      </w:r>
    </w:p>
    <w:p>
      <w:pPr>
        <w:pStyle w:val="BookText"/>
      </w:pPr>
      <w:r>
        <w:rPr>
          <w:rFonts w:ascii="IRNazanin" w:hAnsi="IRNazanin" w:eastAsia="IRNazanin" w:cs="IRNazanin"/>
          <w:lang w:bidi="fa-IR"/>
          <w:color w:val="111111"/>
          <w:sz w:val="28"/>
          <w:szCs w:val="28"/>
          <w:rtl/>
        </w:rPr>
        <w:t xml:space="preserve">[شماره صفحه واقعی : 294]
</w:t>
      </w:r>
    </w:p>
    <w:p>
      <w:pPr>
        <w:sectPr>
          <w:footerReference w:type="default" r:id="rId1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سمع القرآن یتلی علیه، أنّه یدهش عقله و یحیّر لبّه و ما ذاک إلّا لما قرع مسامعهم من لطیف التألیف و حسن مواضع التصریف فی کلّ موعظة و حکایة کلّ قصَّة، فلو کان کما زعمه أهل الصرفة لم یکن للتعجّب من فصاحته وجه، فلمَّا علمنا بالضرورة إعجابهم بالبلاغة، دلَّ علی فساد هذه المقالة. </w:t>
      </w:r>
      <w:r>
        <w:rPr>
          <w:rStyle w:val="FootnoteReference"/>
        </w:rPr>
        <w:footnoteReference w:id="4607"/>
      </w:r>
    </w:p>
    <w:p>
      <w:pPr>
        <w:pStyle w:val="BookText"/>
      </w:pPr>
      <w:r>
        <w:rPr>
          <w:rFonts w:ascii="IRNazanin" w:hAnsi="IRNazanin" w:eastAsia="IRNazanin" w:cs="IRNazanin"/>
          <w:lang w:bidi="fa-IR"/>
          <w:color w:val="111111"/>
          <w:sz w:val="28"/>
          <w:szCs w:val="28"/>
          <w:rtl/>
        </w:rPr>
        <w:t xml:space="preserve">[شماره صفحه واقعی : 295]
</w:t>
      </w:r>
    </w:p>
    <w:p>
      <w:pPr>
        <w:sectPr>
          <w:footerReference w:type="default" r:id="rId1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296]
</w:t>
      </w:r>
    </w:p>
    <w:p>
      <w:pPr>
        <w:sectPr>
          <w:footerReference w:type="default" r:id="rId1443"/>
          <w:footnotePr>
            <w:numStart w:val="1"/>
            <w:numRestart w:val="eachPage"/>
          </w:footnotePr>
          <w:pgSz w:orient="portrait" w:w="11905.511811023622" w:h="16837.79527559055"/>
          <w:pgMar w:top="1440" w:right="1440" w:bottom="1440" w:left="1440" w:header="720" w:footer="720" w:gutter="0"/>
          <w:cols w:num="1" w:space="720"/>
        </w:sectPr>
      </w:pPr>
    </w:p>
    <w:bookmarkStart w:id="806" w:name="pg14411_143825"/>
    <w:bookmarkEnd w:id="806"/>
    <w:p>
      <w:pPr>
        <w:pStyle w:val="Heading5"/>
      </w:pPr>
      <w:bookmarkStart w:id="2597" w:name="_Toc1632"/>
      <w:r>
        <w:t>الفصل الثانی : إعجاز القرآن من جهات أُخری</w:t>
      </w:r>
      <w:bookmarkEnd w:id="2597"/>
    </w:p>
    <w:p>
      <w:pPr>
        <w:pStyle w:val="Heading6"/>
      </w:pPr>
      <w:bookmarkStart w:id="2598" w:name="_Toc1633"/>
      <w:r>
        <w:t>اشارة</w:t>
      </w:r>
      <w:bookmarkEnd w:id="2598"/>
    </w:p>
    <w:p>
      <w:pPr>
        <w:pStyle w:val="BookText"/>
      </w:pPr>
      <w:r>
        <w:rPr>
          <w:rFonts w:ascii="IRNazanin" w:hAnsi="IRNazanin" w:eastAsia="IRNazanin" w:cs="IRNazanin"/>
          <w:lang w:bidi="fa-IR"/>
          <w:color w:val="111111"/>
          <w:sz w:val="28"/>
          <w:szCs w:val="28"/>
          <w:rtl/>
        </w:rPr>
        <w:t xml:space="preserve">قد تعرّفت علی الإعجاز البیانی للقرآن الکریم، غیر أنّ له جهات أُخری من الإعجاز لا یختصّ فهمها بمن کان عارفاً باللغة العربیّة و واقفاً علی فنون البلاغة فی الکلام، و هذه العمومیة فی الإعجاز هی الّتی یدلّ علیها قوله تعالی:</w:t>
      </w:r>
    </w:p>
    <w:p>
      <w:pPr>
        <w:pStyle w:val="BookText"/>
      </w:pPr>
      <w:r>
        <w:rPr>
          <w:rFonts w:ascii="Amiri" w:hAnsi="Amiri" w:eastAsia="Amiri" w:cs="Amiri"/>
          <w:lang w:bidi="ar-SA"/>
          <w:color w:val="111111"/>
          <w:sz w:val="28"/>
          <w:szCs w:val="28"/>
          <w:rtl/>
        </w:rPr>
        <w:t xml:space="preserve">«قُلْ لَئِنِ اجْتَمَعَتِ الْإِنْسُ وَ الْجِنُّ عَلیٰ أَنْ یَأْتُوا بِمِثْلِ هٰذَا الْقُرْآنِ لاٰ یَأْتُونَ بِمِثْلِهِ وَ لَوْ کٰانَ بَعْضُهُمْ لِبَعْضٍ ظَهِیراً» </w:t>
      </w:r>
      <w:r>
        <w:rPr>
          <w:rStyle w:val="FootnoteReference"/>
        </w:rPr>
        <w:footnoteReference w:id="46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فلو کان التحدّی ببلاغة بیان القرآن و جزالة أُسلوبه فقط لم یتعدّ التحدّی العرب العرباء، و قد قرع بالآیة أسماع الإنس و الجن، فإطلاق التحدّی علی الثقلین لیس إلّا فی جمیع ما یمکن فیه التفاضل فی الصفات، فالقرآن آیة للبلیغ فی بلاغته و فصاحته، و للحکیم فی حکمته، و للعالم فی علمه، و للمقنّنین فی تقنینهم، و للسیاسیین فی سیاستهم، و لجمیع العالمین فیما لا ینالونه جمیعاً کالغیب و عدم الاختلاف فی الحکم و العلم و البیان، و إلیک فیما یلی بیان تلک الجهات:</w:t>
      </w:r>
    </w:p>
    <w:p>
      <w:pPr>
        <w:pStyle w:val="BookText"/>
      </w:pPr>
      <w:r>
        <w:rPr>
          <w:rFonts w:ascii="IRNazanin" w:hAnsi="IRNazanin" w:eastAsia="IRNazanin" w:cs="IRNazanin"/>
          <w:lang w:bidi="fa-IR"/>
          <w:color w:val="111111"/>
          <w:sz w:val="28"/>
          <w:szCs w:val="28"/>
          <w:rtl/>
        </w:rPr>
        <w:t xml:space="preserve">[شماره صفحه واقعی : 297]
</w:t>
      </w:r>
    </w:p>
    <w:p>
      <w:pPr>
        <w:sectPr>
          <w:footerReference w:type="default" r:id="rId1444"/>
          <w:footnotePr>
            <w:numStart w:val="1"/>
            <w:numRestart w:val="eachPage"/>
          </w:footnotePr>
          <w:pgSz w:orient="portrait" w:w="11905.511811023622" w:h="16837.79527559055"/>
          <w:pgMar w:top="1440" w:right="1440" w:bottom="1440" w:left="1440" w:header="720" w:footer="720" w:gutter="0"/>
          <w:cols w:num="1" w:space="720"/>
        </w:sectPr>
      </w:pPr>
    </w:p>
    <w:bookmarkStart w:id="807" w:name="pg14411_143826"/>
    <w:bookmarkEnd w:id="807"/>
    <w:p>
      <w:pPr>
        <w:pStyle w:val="Heading6"/>
      </w:pPr>
      <w:bookmarkStart w:id="2599" w:name="_Toc1634"/>
      <w:r>
        <w:t>1. عدم التناقض و الاختلاف</w:t>
      </w:r>
      <w:bookmarkEnd w:id="2599"/>
    </w:p>
    <w:p>
      <w:pPr>
        <w:pStyle w:val="BookText"/>
      </w:pPr>
      <w:r>
        <w:rPr>
          <w:rFonts w:ascii="Amiri" w:hAnsi="Amiri" w:eastAsia="Amiri" w:cs="Amiri"/>
          <w:lang w:bidi="ar-SA"/>
          <w:color w:val="111111"/>
          <w:sz w:val="28"/>
          <w:szCs w:val="28"/>
          <w:rtl/>
        </w:rPr>
        <w:t xml:space="preserve">ممّا تحدّی به القرآن هو عدم وجود التناقض و الاختلاف فی آیاته حیث قال: «أَ فَلاٰ یَتَدَبَّرُونَ الْقُرْآنَ وَ لَوْ کٰانَ مِنْ عِنْدِ غَیْرِ اللّٰهِ لَوَجَدُوا فِیهِ اخْتِلاٰفاً کَثِیراً» </w:t>
      </w:r>
      <w:r>
        <w:rPr>
          <w:rStyle w:val="FootnoteReference"/>
        </w:rPr>
        <w:footnoteReference w:id="46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توضیح ذلک: أنّ الإنسان جبل علی التحوّل و التکامل، فهو یری نفسه فی کلّ یوم أعقل من سابقه و أن ما صنعه الیوم أکمل و أجمل ممّا أتی به الأمس، و هناک کلمة قیّمة للکاتب الکبیر عماد الدین أبی محمّد بن حامد الأصفهانی (المتوفّی 597 ه) یقول فیها:</w:t>
      </w:r>
    </w:p>
    <w:p>
      <w:pPr>
        <w:pStyle w:val="BookText"/>
      </w:pPr>
      <w:r>
        <w:rPr>
          <w:rFonts w:ascii="IRNazanin" w:hAnsi="IRNazanin" w:eastAsia="IRNazanin" w:cs="IRNazanin"/>
          <w:lang w:bidi="fa-IR"/>
          <w:color w:val="111111"/>
          <w:sz w:val="28"/>
          <w:szCs w:val="28"/>
          <w:rtl/>
        </w:rPr>
        <w:t xml:space="preserve">إنّی رأیت أنّه لا یکتب إنسان کتاباً فی یومه، إلّا قال فی غده لو غیّر هذا لکان أحسن، و لو زید کذا لکان یستحسن، و لو قدم هذا لکان أفضل و لو ترک هذا لکان أجمل، و هذا من أعظم العبر، و هو دلیل علی استیلاء النقص علی جملة البشر.</w:t>
      </w:r>
    </w:p>
    <w:p>
      <w:pPr>
        <w:pStyle w:val="BookText"/>
      </w:pPr>
      <w:r>
        <w:rPr>
          <w:rFonts w:ascii="IRNazanin" w:hAnsi="IRNazanin" w:eastAsia="IRNazanin" w:cs="IRNazanin"/>
          <w:lang w:bidi="fa-IR"/>
          <w:color w:val="111111"/>
          <w:sz w:val="28"/>
          <w:szCs w:val="28"/>
          <w:rtl/>
        </w:rPr>
        <w:t xml:space="preserve">هذا من جانب. و من جانب آخر، أنّ القرآن نزل نجوماً فی مدّة تقرب من ثلاث و عشرین سنة فی فترات مختلفة و أحوال متفاوتة من لیل و نهار، و حضر و سفر، و حرب و سلم و ضرّاء و سرّاء و شدّة و رخاء، و من المعلوم أنّ هذه الأحوال تؤثّر فی الفکر و التعقّل.</w:t>
      </w:r>
    </w:p>
    <w:p>
      <w:pPr>
        <w:pStyle w:val="BookText"/>
      </w:pPr>
      <w:r>
        <w:rPr>
          <w:rFonts w:ascii="IRNazanin" w:hAnsi="IRNazanin" w:eastAsia="IRNazanin" w:cs="IRNazanin"/>
          <w:lang w:bidi="fa-IR"/>
          <w:color w:val="111111"/>
          <w:sz w:val="28"/>
          <w:szCs w:val="28"/>
          <w:rtl/>
        </w:rPr>
        <w:t xml:space="preserve">و من جانب ثالث، أنّ القرآن قد تعرّض لمختلف الشئون و توسّع</w:t>
      </w:r>
    </w:p>
    <w:p>
      <w:pPr>
        <w:pStyle w:val="BookText"/>
      </w:pPr>
      <w:r>
        <w:rPr>
          <w:rFonts w:ascii="IRNazanin" w:hAnsi="IRNazanin" w:eastAsia="IRNazanin" w:cs="IRNazanin"/>
          <w:lang w:bidi="fa-IR"/>
          <w:color w:val="111111"/>
          <w:sz w:val="28"/>
          <w:szCs w:val="28"/>
          <w:rtl/>
        </w:rPr>
        <w:t xml:space="preserve">[شماره صفحه واقعی : 298]
</w:t>
      </w:r>
    </w:p>
    <w:p>
      <w:pPr>
        <w:sectPr>
          <w:footerReference w:type="default" r:id="rId1445"/>
          <w:footnotePr>
            <w:numStart w:val="1"/>
            <w:numRestart w:val="eachPage"/>
          </w:footnotePr>
          <w:pgSz w:orient="portrait" w:w="11905.511811023622" w:h="16837.79527559055"/>
          <w:pgMar w:top="1440" w:right="1440" w:bottom="1440" w:left="1440" w:header="720" w:footer="720" w:gutter="0"/>
          <w:cols w:num="1" w:space="720"/>
        </w:sectPr>
      </w:pPr>
    </w:p>
    <w:bookmarkStart w:id="808" w:name="pg14411_143827"/>
    <w:bookmarkEnd w:id="808"/>
    <w:p>
      <w:pPr>
        <w:pStyle w:val="BookText"/>
      </w:pPr>
      <w:r>
        <w:rPr>
          <w:rFonts w:ascii="IRNazanin" w:hAnsi="IRNazanin" w:eastAsia="IRNazanin" w:cs="IRNazanin"/>
          <w:lang w:bidi="fa-IR"/>
          <w:color w:val="111111"/>
          <w:sz w:val="28"/>
          <w:szCs w:val="28"/>
          <w:rtl/>
        </w:rPr>
        <w:t xml:space="preserve">فیها أحسن التوسّع، فبحث فی الإلهیّات و الأخلاقیات و السیاسیات و التشریعیات و القصص و غیر ذلک، ممّا یرجع إلی الخالق و الإنسان و الموجودات العلویة و السفلیة.</w:t>
      </w:r>
    </w:p>
    <w:p>
      <w:pPr>
        <w:pStyle w:val="BookText"/>
      </w:pPr>
      <w:r>
        <w:rPr>
          <w:rFonts w:ascii="IRNazanin" w:hAnsi="IRNazanin" w:eastAsia="IRNazanin" w:cs="IRNazanin"/>
          <w:lang w:bidi="fa-IR"/>
          <w:color w:val="111111"/>
          <w:sz w:val="28"/>
          <w:szCs w:val="28"/>
          <w:rtl/>
        </w:rPr>
        <w:t xml:space="preserve">و مع ذلک کلّه لا تجد فیه تناقضاً و اختلافاً، أو شیئاً متباعداً عند العقل و العقلاء، بل ینعطف آخره علی أوّله، و ترجع تفاصیله و فروعه إلی أصوله و عروقه، إنّ مثل هذا الکتاب، یقضی الشعور الحیّ فی حقِّه أنّ المتکلم به لیس ممّن یحکم فیه مرور الأیام و یتأثّر بالظروف و الأحوال، فلا یکون إلّا کلاماً إلهیاً و وحیاً سماویاً.</w:t>
      </w:r>
    </w:p>
    <w:p>
      <w:pPr>
        <w:pStyle w:val="BookText"/>
      </w:pPr>
      <w:r>
        <w:rPr>
          <w:rFonts w:ascii="IRNazanin" w:hAnsi="IRNazanin" w:eastAsia="IRNazanin" w:cs="IRNazanin"/>
          <w:lang w:bidi="fa-IR"/>
          <w:color w:val="111111"/>
          <w:sz w:val="28"/>
          <w:szCs w:val="28"/>
          <w:rtl/>
        </w:rPr>
        <w:t xml:space="preserve">ثمّ إنّ کلمة «کَثِیراً» وصف توضیحی لا احترازی، و المعنی: لو کان من عند غیر اللّه لوجدوا فیه اختلافاً، و کان ذلک الاختلاف کثیراً علی حدّ الاختلاف الکثیر الّذی یوجد فی کلِّ ما هو من عند غیر اللّه، و لا تهدف الآیة إلی أنّ المرتفع عن القرآن هو الاختلاف الکثیر دون الیسیر. </w:t>
      </w:r>
      <w:r>
        <w:rPr>
          <w:rStyle w:val="FootnoteReference"/>
        </w:rPr>
        <w:footnoteReference w:id="4610"/>
      </w:r>
    </w:p>
    <w:p>
      <w:pPr>
        <w:pStyle w:val="Heading6"/>
      </w:pPr>
      <w:bookmarkStart w:id="2600" w:name="_Toc1635"/>
      <w:r>
        <w:t>2. الإخبار عن الغیب</w:t>
      </w:r>
      <w:bookmarkEnd w:id="2600"/>
    </w:p>
    <w:p>
      <w:pPr>
        <w:pStyle w:val="BookText"/>
      </w:pPr>
      <w:r>
        <w:rPr>
          <w:rFonts w:ascii="IRNazanin" w:hAnsi="IRNazanin" w:eastAsia="IRNazanin" w:cs="IRNazanin"/>
          <w:lang w:bidi="fa-IR"/>
          <w:color w:val="111111"/>
          <w:sz w:val="28"/>
          <w:szCs w:val="28"/>
          <w:rtl/>
        </w:rPr>
        <w:t xml:space="preserve">إنّ فی القرآن إخباراً عن شئون البشر فی مستقبل أدواره و أطواره، و إخباراً بملاحم و فتن و أحداث ستقع فی مستقبل الزمن، و هذا الإخبار إن دلَّ علی شیء فإنّما یدلّ علی کون القرآن کتاباً سماویاً أوحاه سبحانه إلی أحد سفرائه الّذین ارتضاهم من البشر، لأنّه أخبر عن حوادث کان التکهّن و الفراسة یقتضیان خلافها، مع أنّه صدق فی جمیع أخباره، و لا یمکن حملها</w:t>
      </w:r>
    </w:p>
    <w:p>
      <w:pPr>
        <w:pStyle w:val="BookText"/>
      </w:pPr>
      <w:r>
        <w:rPr>
          <w:rFonts w:ascii="IRNazanin" w:hAnsi="IRNazanin" w:eastAsia="IRNazanin" w:cs="IRNazanin"/>
          <w:lang w:bidi="fa-IR"/>
          <w:color w:val="111111"/>
          <w:sz w:val="28"/>
          <w:szCs w:val="28"/>
          <w:rtl/>
        </w:rPr>
        <w:t xml:space="preserve">[شماره صفحه واقعی : 299]
</w:t>
      </w:r>
    </w:p>
    <w:p>
      <w:pPr>
        <w:sectPr>
          <w:footerReference w:type="default" r:id="rId1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ما یحدث بالمصادفة، أو علی کونها علی غرار أخبار الکهنة و العرّافین و المنجّمین، فإنّ دأبهم هو التعبیر عن أحداث المستقبل برموز و کنایات حتی لا یظهر کذبهم عند التخلّف، و هذا بخلاف أخبار القرآن فإنّه ینطق عن الأحداث بحماس و منطق قاطع، و إلیک الأمثلة:</w:t>
      </w:r>
    </w:p>
    <w:p>
      <w:pPr>
        <w:pStyle w:val="BookText"/>
      </w:pPr>
      <w:r>
        <w:rPr>
          <w:rFonts w:ascii="Amiri" w:hAnsi="Amiri" w:eastAsia="Amiri" w:cs="Amiri"/>
          <w:lang w:bidi="ar-SA"/>
          <w:color w:val="111111"/>
          <w:sz w:val="28"/>
          <w:szCs w:val="28"/>
          <w:rtl/>
        </w:rPr>
        <w:t xml:space="preserve">أ) التنبّؤ بعجز البشر عن معارضة القرآن:</w:t>
      </w:r>
    </w:p>
    <w:p>
      <w:pPr>
        <w:pStyle w:val="BookText"/>
      </w:pPr>
      <w:r>
        <w:rPr>
          <w:rFonts w:ascii="IRNazanin" w:hAnsi="IRNazanin" w:eastAsia="IRNazanin" w:cs="IRNazanin"/>
          <w:lang w:bidi="fa-IR"/>
          <w:color w:val="111111"/>
          <w:sz w:val="28"/>
          <w:szCs w:val="28"/>
          <w:rtl/>
        </w:rPr>
        <w:t xml:space="preserve">قال سبحانه:</w:t>
      </w:r>
    </w:p>
    <w:p>
      <w:pPr>
        <w:pStyle w:val="BookText"/>
      </w:pPr>
      <w:r>
        <w:rPr>
          <w:rFonts w:ascii="Amiri" w:hAnsi="Amiri" w:eastAsia="Amiri" w:cs="Amiri"/>
          <w:lang w:bidi="ar-SA"/>
          <w:color w:val="111111"/>
          <w:sz w:val="28"/>
          <w:szCs w:val="28"/>
          <w:rtl/>
        </w:rPr>
        <w:t xml:space="preserve">«قُلْ لَئِنِ اجْتَمَعَتِ الْإِنْسُ وَ الْجِنُّ عَلیٰ أَنْ یَأْتُوا بِمِثْلِ هٰذَا الْقُرْآنِ لاٰ یَأْتُونَ بِمِثْلِهِ وَ لَوْ کٰانَ بَعْضُهُمْ لِبَعْضٍ ظَهِیراً» </w:t>
      </w:r>
      <w:r>
        <w:rPr>
          <w:rStyle w:val="FootnoteReference"/>
        </w:rPr>
        <w:footnoteReference w:id="46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أیضاً:</w:t>
      </w:r>
    </w:p>
    <w:p>
      <w:pPr>
        <w:pStyle w:val="BookText"/>
      </w:pPr>
      <w:r>
        <w:rPr>
          <w:rFonts w:ascii="Amiri" w:hAnsi="Amiri" w:eastAsia="Amiri" w:cs="Amiri"/>
          <w:lang w:bidi="ar-SA"/>
          <w:color w:val="111111"/>
          <w:sz w:val="28"/>
          <w:szCs w:val="28"/>
          <w:rtl/>
        </w:rPr>
        <w:t xml:space="preserve">«وَ إِنْ کُنْتُمْ فِی رَیْبٍ مِمّٰا نَزَّلْنٰا عَلیٰ عَبْدِنٰا فَأْتُوا بِسُورَةٍ مِنْ مِثْلِهِ وَ ادْعُوا شُهَدٰاءَکُمْ مِنْ دُونِ اللّٰهِ إِنْ کُنْتُمْ صٰادِقِینَ * فَإِنْ لَمْ تَفْعَلُوا وَ لَنْ تَفْعَلُوا» </w:t>
      </w:r>
      <w:r>
        <w:rPr>
          <w:rStyle w:val="FootnoteReference"/>
        </w:rPr>
        <w:footnoteReference w:id="46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تری فی هذه الآیات التنبّؤ الواثق بعجز الجنّ و الإنس عن معارضة القرآن عجزاً أبدیاً، و قد صدق هذا التنبّؤ إلی الحال، فعلی أی مصدر اعتمد النبیّ فی هذا التحدّی غیر الایحاء إلیه من جانبه تعالی؟</w:t>
      </w:r>
    </w:p>
    <w:p>
      <w:pPr>
        <w:pStyle w:val="BookText"/>
      </w:pPr>
      <w:r>
        <w:rPr>
          <w:rFonts w:ascii="IRNazanin" w:hAnsi="IRNazanin" w:eastAsia="IRNazanin" w:cs="IRNazanin"/>
          <w:lang w:bidi="fa-IR"/>
          <w:color w:val="111111"/>
          <w:sz w:val="28"/>
          <w:szCs w:val="28"/>
          <w:rtl/>
        </w:rPr>
        <w:t xml:space="preserve">[شماره صفحه واقعی : 300]
</w:t>
      </w:r>
    </w:p>
    <w:p>
      <w:pPr>
        <w:sectPr>
          <w:footerReference w:type="default" r:id="rId1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 التنبّؤ بانتصار الروم علی الفرس:</w:t>
      </w:r>
    </w:p>
    <w:p>
      <w:pPr>
        <w:pStyle w:val="BookText"/>
      </w:pPr>
      <w:r>
        <w:rPr>
          <w:rFonts w:ascii="IRNazanin" w:hAnsi="IRNazanin" w:eastAsia="IRNazanin" w:cs="IRNazanin"/>
          <w:lang w:bidi="fa-IR"/>
          <w:color w:val="111111"/>
          <w:sz w:val="28"/>
          <w:szCs w:val="28"/>
          <w:rtl/>
        </w:rPr>
        <w:t xml:space="preserve">قال سبحانه:</w:t>
      </w:r>
    </w:p>
    <w:p>
      <w:pPr>
        <w:pStyle w:val="BookText"/>
      </w:pPr>
      <w:r>
        <w:rPr>
          <w:rFonts w:ascii="Amiri" w:hAnsi="Amiri" w:eastAsia="Amiri" w:cs="Amiri"/>
          <w:lang w:bidi="ar-SA"/>
          <w:color w:val="111111"/>
          <w:sz w:val="28"/>
          <w:szCs w:val="28"/>
          <w:rtl/>
        </w:rPr>
        <w:t xml:space="preserve">«الم * غُلِبَتِ الرُّومُ * فِی أَدْنَی الْأَرْضِ وَ هُمْ مِنْ بَعْدِ غَلَبِهِمْ سَیَغْلِبُونَ * فِی بِضْعِ سِنِینَ لِلّٰهِ الْأَمْرُ مِنْ قَبْلُ وَ مِنْ بَعْدُ وَ یَوْمَئِذٍ یَفْرَحُ الْمُؤْمِنُونَ » </w:t>
      </w:r>
      <w:r>
        <w:rPr>
          <w:rStyle w:val="FootnoteReference"/>
        </w:rPr>
        <w:footnoteReference w:id="46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ینقل التاریخ أنّ دولة الروم -و کانت دولة مسیحیة -انهزمت أمام دولة الفرس -و هی وثنیة -بعد حروب طاحنة بینهما سنة 614 م، فاغتمّ المسلمون لکونها هزیمة لدولة إلهیة أمام دولة وثنیّة و فرح المشرکون، و قالوا للمسلمین بشماتة: إنّ الروم یشهدون أنّهم أهل کتاب و قد غلبهم المجوس، و أنتم تزعمون أنّکم ستغلبوننا بالکتاب الّذی أُنزل علیکم فسنغلبکم کما غلبت الفرس الروم.</w:t>
      </w:r>
    </w:p>
    <w:p>
      <w:pPr>
        <w:pStyle w:val="BookText"/>
      </w:pPr>
      <w:r>
        <w:rPr>
          <w:rFonts w:ascii="IRNazanin" w:hAnsi="IRNazanin" w:eastAsia="IRNazanin" w:cs="IRNazanin"/>
          <w:lang w:bidi="fa-IR"/>
          <w:color w:val="111111"/>
          <w:sz w:val="28"/>
          <w:szCs w:val="28"/>
          <w:rtl/>
        </w:rPr>
        <w:t xml:space="preserve">فعند ذلک نزلت هذه الآیات الکریمات تُنبئ بأنّ هزیمة الروم هذه سیعقبها انتصار لهم فی بضع سنین، و هی مدّة تتراوح بین ثلاث سنوات و تسع، تُنبّئ بذلک، و کانت المقدّمات و الأسباب علی خلافه، لأنّ الحروب الطاحنة أنهکت الدولة الرومانیة حتی غزیت فی عقر دارها کما یدلّ علیه قوله: «فِی أَدْنَی الْأَرْضِ» ، و لأنّ دولة الفرس کانت دولة قویّة منیعة، و زادها الانتصار الأخیر قوّة و منعة، و لکنّ اللّه تعالی أنجز وعده و حقّق تنبّؤ القرآن فی بضع سنین، فانتصر الروم سنة622 م.</w:t>
      </w:r>
    </w:p>
    <w:p>
      <w:pPr>
        <w:pStyle w:val="BookText"/>
      </w:pPr>
      <w:r>
        <w:rPr>
          <w:rFonts w:ascii="IRNazanin" w:hAnsi="IRNazanin" w:eastAsia="IRNazanin" w:cs="IRNazanin"/>
          <w:lang w:bidi="fa-IR"/>
          <w:color w:val="111111"/>
          <w:sz w:val="28"/>
          <w:szCs w:val="28"/>
          <w:rtl/>
        </w:rPr>
        <w:t xml:space="preserve">[شماره صفحه واقعی : 301]
</w:t>
      </w:r>
    </w:p>
    <w:p>
      <w:pPr>
        <w:sectPr>
          <w:footerReference w:type="default" r:id="rId1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التنبّؤ بالقضاء علی العدو قبل لقائه:</w:t>
      </w:r>
    </w:p>
    <w:p>
      <w:pPr>
        <w:pStyle w:val="BookText"/>
      </w:pPr>
      <w:r>
        <w:rPr>
          <w:rFonts w:ascii="IRNazanin" w:hAnsi="IRNazanin" w:eastAsia="IRNazanin" w:cs="IRNazanin"/>
          <w:lang w:bidi="fa-IR"/>
          <w:color w:val="111111"/>
          <w:sz w:val="28"/>
          <w:szCs w:val="28"/>
          <w:rtl/>
        </w:rPr>
        <w:t xml:space="preserve">قال سبحانه:</w:t>
      </w:r>
    </w:p>
    <w:p>
      <w:pPr>
        <w:pStyle w:val="BookText"/>
      </w:pPr>
      <w:r>
        <w:rPr>
          <w:rFonts w:ascii="Amiri" w:hAnsi="Amiri" w:eastAsia="Amiri" w:cs="Amiri"/>
          <w:lang w:bidi="ar-SA"/>
          <w:color w:val="111111"/>
          <w:sz w:val="28"/>
          <w:szCs w:val="28"/>
          <w:rtl/>
        </w:rPr>
        <w:t xml:space="preserve">«وَ إِذْ یَعِدُکُمُ اللّٰهُ إِحْدَی الطّٰائِفَتَیْنِ أَنَّهٰا لَکُمْ وَ تَوَدُّونَ أَنَّ غَیْرَ ذٰاتِ الشَّوْکَةِ تَکُونُ لَکُمْ وَ یُرِیدُ اللّٰهُ أَنْ یُحِقَّ الْحَقَّ بِکَلِمٰاتِهِ وَ یَقْطَعَ دٰابِرَ الْکٰافِرِینَ » </w:t>
      </w:r>
      <w:r>
        <w:rPr>
          <w:rStyle w:val="FootnoteReference"/>
        </w:rPr>
        <w:footnoteReference w:id="46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نزلت الآیة قبل لقاء المسلمین العدوّ فی ساحة المعرکة، فأخبر النبیّ صلی الله علیه و آله عن هزیمة المشرکین، و استئصال شأفتهم، و محق قوتهم کما یدلّ علیه قوله:</w:t>
      </w:r>
    </w:p>
    <w:p>
      <w:pPr>
        <w:pStyle w:val="BookText"/>
      </w:pPr>
      <w:r>
        <w:rPr>
          <w:rFonts w:ascii="Amiri" w:hAnsi="Amiri" w:eastAsia="Amiri" w:cs="Amiri"/>
          <w:lang w:bidi="ar-SA"/>
          <w:color w:val="111111"/>
          <w:sz w:val="28"/>
          <w:szCs w:val="28"/>
          <w:rtl/>
        </w:rPr>
        <w:t xml:space="preserve">«وَ یَقْطَعَ دٰابِرَ الْکٰافِرِینَ».</w:t>
      </w:r>
    </w:p>
    <w:p>
      <w:pPr>
        <w:pStyle w:val="BookText"/>
      </w:pPr>
      <w:r>
        <w:rPr>
          <w:rFonts w:ascii="IRNazanin" w:hAnsi="IRNazanin" w:eastAsia="IRNazanin" w:cs="IRNazanin"/>
          <w:lang w:bidi="fa-IR"/>
          <w:color w:val="111111"/>
          <w:sz w:val="28"/>
          <w:szCs w:val="28"/>
          <w:rtl/>
        </w:rPr>
        <w:t xml:space="preserve">د) التنبّؤ بکثرة الذریة:</w:t>
      </w:r>
    </w:p>
    <w:p>
      <w:pPr>
        <w:pStyle w:val="BookText"/>
      </w:pPr>
      <w:r>
        <w:rPr>
          <w:rFonts w:ascii="Amiri" w:hAnsi="Amiri" w:eastAsia="Amiri" w:cs="Amiri"/>
          <w:lang w:bidi="ar-SA"/>
          <w:color w:val="111111"/>
          <w:sz w:val="28"/>
          <w:szCs w:val="28"/>
          <w:rtl/>
        </w:rPr>
        <w:t xml:space="preserve">قال سبحانه: «إِنّٰا أَعْطَیْنٰاکَ الْکَوْثَرَ» . الکوثر هو الخیر الکثیر و المراد هنا بقرینة قوله: «إِنَّ شٰانِئَکَ هُوَ الْأَبْتَرُ » کثرة ذریّته صلی الله علیه و آله فالمعنی أنّ اللّه تعالی یعطی نبیّه نسلاً یبقون علی مرّ الزمان.</w:t>
      </w:r>
    </w:p>
    <w:p>
      <w:pPr>
        <w:pStyle w:val="BookText"/>
      </w:pPr>
      <w:r>
        <w:rPr>
          <w:rFonts w:ascii="IRNazanin" w:hAnsi="IRNazanin" w:eastAsia="IRNazanin" w:cs="IRNazanin"/>
          <w:lang w:bidi="fa-IR"/>
          <w:color w:val="111111"/>
          <w:sz w:val="28"/>
          <w:szCs w:val="28"/>
          <w:rtl/>
        </w:rPr>
        <w:t xml:space="preserve">قال الرازی:</w:t>
      </w:r>
    </w:p>
    <w:p>
      <w:pPr>
        <w:pStyle w:val="BookText"/>
      </w:pPr>
      <w:r>
        <w:rPr>
          <w:rFonts w:ascii="IRNazanin" w:hAnsi="IRNazanin" w:eastAsia="IRNazanin" w:cs="IRNazanin"/>
          <w:lang w:bidi="fa-IR"/>
          <w:color w:val="111111"/>
          <w:sz w:val="28"/>
          <w:szCs w:val="28"/>
          <w:rtl/>
        </w:rPr>
        <w:t xml:space="preserve">فانظر کَمْ قتل من أهل البیت، ثمّ العالم ممتلئ منهم و لم یبق من بنی أمیّة أحد یعبأ به، ثمّ انظر کَمْ کان فیهم من الأکابر من العلماء</w:t>
      </w:r>
    </w:p>
    <w:p>
      <w:pPr>
        <w:pStyle w:val="BookText"/>
      </w:pPr>
      <w:r>
        <w:rPr>
          <w:rFonts w:ascii="IRNazanin" w:hAnsi="IRNazanin" w:eastAsia="IRNazanin" w:cs="IRNazanin"/>
          <w:lang w:bidi="fa-IR"/>
          <w:color w:val="111111"/>
          <w:sz w:val="28"/>
          <w:szCs w:val="28"/>
          <w:rtl/>
        </w:rPr>
        <w:t xml:space="preserve">[شماره صفحه واقعی : 302]
</w:t>
      </w:r>
    </w:p>
    <w:p>
      <w:pPr>
        <w:sectPr>
          <w:footerReference w:type="default" r:id="rId1449"/>
          <w:footnotePr>
            <w:numStart w:val="1"/>
            <w:numRestart w:val="eachPage"/>
          </w:footnotePr>
          <w:pgSz w:orient="portrait" w:w="11905.511811023622" w:h="16837.79527559055"/>
          <w:pgMar w:top="1440" w:right="1440" w:bottom="1440" w:left="1440" w:header="720" w:footer="720" w:gutter="0"/>
          <w:cols w:num="1" w:space="720"/>
        </w:sectPr>
      </w:pPr>
    </w:p>
    <w:bookmarkStart w:id="809" w:name="pg14411_143831"/>
    <w:bookmarkEnd w:id="809"/>
    <w:p>
      <w:pPr>
        <w:pStyle w:val="BookText"/>
      </w:pPr>
      <w:r>
        <w:rPr>
          <w:rFonts w:ascii="IRNazanin" w:hAnsi="IRNazanin" w:eastAsia="IRNazanin" w:cs="IRNazanin"/>
          <w:lang w:bidi="fa-IR"/>
          <w:color w:val="111111"/>
          <w:sz w:val="28"/>
          <w:szCs w:val="28"/>
          <w:rtl/>
        </w:rPr>
        <w:t xml:space="preserve">کالباقر و الصادق و الکاظم و الرضا و النفس الزکیة و أمثالهم. </w:t>
      </w:r>
      <w:r>
        <w:rPr>
          <w:rStyle w:val="FootnoteReference"/>
        </w:rPr>
        <w:footnoteReference w:id="4615"/>
      </w:r>
    </w:p>
    <w:p>
      <w:pPr>
        <w:pStyle w:val="BookText"/>
      </w:pPr>
      <w:r>
        <w:rPr>
          <w:rFonts w:ascii="IRNazanin" w:hAnsi="IRNazanin" w:eastAsia="IRNazanin" w:cs="IRNazanin"/>
          <w:lang w:bidi="fa-IR"/>
          <w:color w:val="111111"/>
          <w:sz w:val="28"/>
          <w:szCs w:val="28"/>
          <w:rtl/>
        </w:rPr>
        <w:t xml:space="preserve">هذه نماذج من تنبّؤات الذّکر الحکیم، و هناک تنبّؤات أخری لم نذکرها لرعایة الاختصار. </w:t>
      </w:r>
      <w:r>
        <w:rPr>
          <w:rStyle w:val="FootnoteReference"/>
        </w:rPr>
        <w:footnoteReference w:id="4616"/>
      </w:r>
    </w:p>
    <w:p>
      <w:pPr>
        <w:pStyle w:val="Heading6"/>
      </w:pPr>
      <w:bookmarkStart w:id="2601" w:name="_Toc1636"/>
      <w:r>
        <w:t>3. الإخبار عن القوانین الکونیة</w:t>
      </w:r>
      <w:bookmarkEnd w:id="2601"/>
    </w:p>
    <w:p>
      <w:pPr>
        <w:pStyle w:val="BookText"/>
      </w:pPr>
      <w:r>
        <w:rPr>
          <w:rFonts w:ascii="IRNazanin" w:hAnsi="IRNazanin" w:eastAsia="IRNazanin" w:cs="IRNazanin"/>
          <w:lang w:bidi="fa-IR"/>
          <w:color w:val="111111"/>
          <w:sz w:val="28"/>
          <w:szCs w:val="28"/>
          <w:rtl/>
        </w:rPr>
        <w:t xml:space="preserve">لا شکّ أنّ الهدف الأعلی للقرآن الکریم هو الهدایة، لکنّه ربما یتوقّف علی إظهار عظمة الکون و القوانین السائدة علیه، و لأجل ذلک نری أنّ القرآن أشار إلی بعض تلک القوانین الّتی کانت مجهولة للبشر فی عصر الرسالة، و إنّما اهتدی إلیها العلماء بعد قرون متطاولة، و هذا فی الحقیقة نوع من الإخبار عن الغیب، و إلیک نماذج من ذلک:</w:t>
      </w:r>
    </w:p>
    <w:p>
      <w:pPr>
        <w:pStyle w:val="BookText"/>
      </w:pPr>
      <w:r>
        <w:rPr>
          <w:rFonts w:ascii="IRNazanin" w:hAnsi="IRNazanin" w:eastAsia="IRNazanin" w:cs="IRNazanin"/>
          <w:lang w:bidi="fa-IR"/>
          <w:color w:val="111111"/>
          <w:sz w:val="28"/>
          <w:szCs w:val="28"/>
          <w:rtl/>
        </w:rPr>
        <w:t xml:space="preserve">أ) الجاذبیة العامة:</w:t>
      </w:r>
    </w:p>
    <w:p>
      <w:pPr>
        <w:pStyle w:val="BookText"/>
      </w:pPr>
      <w:r>
        <w:rPr>
          <w:rFonts w:ascii="Amiri" w:hAnsi="Amiri" w:eastAsia="Amiri" w:cs="Amiri"/>
          <w:lang w:bidi="ar-SA"/>
          <w:color w:val="111111"/>
          <w:sz w:val="28"/>
          <w:szCs w:val="28"/>
          <w:rtl/>
        </w:rPr>
        <w:t xml:space="preserve">یقول سبحانه: «اللّٰهُ الَّذِی رَفَعَ السَّمٰاوٰاتِ بِغَیْرِ عَمَدٍ تَرَوْنَهٰا » </w:t>
      </w:r>
      <w:r>
        <w:rPr>
          <w:rStyle w:val="FootnoteReference"/>
        </w:rPr>
        <w:footnoteReference w:id="4617"/>
      </w:r>
    </w:p>
    <w:p>
      <w:pPr>
        <w:pStyle w:val="BookText"/>
      </w:pPr>
      <w:r>
        <w:rPr>
          <w:rFonts w:ascii="IRNazanin" w:hAnsi="IRNazanin" w:eastAsia="IRNazanin" w:cs="IRNazanin"/>
          <w:lang w:bidi="fa-IR"/>
          <w:color w:val="111111"/>
          <w:sz w:val="28"/>
          <w:szCs w:val="28"/>
          <w:rtl/>
        </w:rPr>
        <w:t xml:space="preserve">إنّ الآیة تثبت للسماوات عمداً غیر مرئیة، فإذا کانت الجاذبیة العامّة عمداً تمسک السماوات -حسب ما اکتشفه نیوتن و هو من القوانین العلمیة المسلّمة عند العلماء الطبیعیین -فتکون الآیة ناظرة إلی تلک القوّة و إنّما جاء القرآن بتعبیر عام حتّی یفهمه الإنسان فی القرون الغابرة و الحاضرة،</w:t>
      </w:r>
    </w:p>
    <w:p>
      <w:pPr>
        <w:pStyle w:val="BookText"/>
      </w:pPr>
      <w:r>
        <w:rPr>
          <w:rFonts w:ascii="IRNazanin" w:hAnsi="IRNazanin" w:eastAsia="IRNazanin" w:cs="IRNazanin"/>
          <w:lang w:bidi="fa-IR"/>
          <w:color w:val="111111"/>
          <w:sz w:val="28"/>
          <w:szCs w:val="28"/>
          <w:rtl/>
        </w:rPr>
        <w:t xml:space="preserve">[شماره صفحه واقعی : 303]
</w:t>
      </w:r>
    </w:p>
    <w:p>
      <w:pPr>
        <w:sectPr>
          <w:footerReference w:type="default" r:id="rId1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قد روی الصدوق عن أبیه عن الحسین بن خالد عن أبی الحسن الرضا علیه السلام قال: قلت له: أخبرنی عن قول اللّه تعالی</w:t>
      </w:r>
    </w:p>
    <w:p>
      <w:pPr>
        <w:pStyle w:val="BookText"/>
      </w:pPr>
      <w:r>
        <w:rPr>
          <w:rFonts w:ascii="Amiri" w:hAnsi="Amiri" w:eastAsia="Amiri" w:cs="Amiri"/>
          <w:lang w:bidi="ar-SA"/>
          <w:color w:val="111111"/>
          <w:sz w:val="28"/>
          <w:szCs w:val="28"/>
          <w:rtl/>
        </w:rPr>
        <w:t xml:space="preserve">«رَفَعَ السَّمٰاوٰاتِ بِغَیْرِ عَمَدٍ تَرَوْنَهٰا» ؟</w:t>
      </w:r>
    </w:p>
    <w:p>
      <w:pPr>
        <w:pStyle w:val="BookText"/>
      </w:pPr>
      <w:r>
        <w:rPr>
          <w:rFonts w:ascii="Amiri" w:hAnsi="Amiri" w:eastAsia="Amiri" w:cs="Amiri"/>
          <w:lang w:bidi="ar-SA"/>
          <w:color w:val="111111"/>
          <w:sz w:val="28"/>
          <w:szCs w:val="28"/>
          <w:rtl/>
        </w:rPr>
        <w:t xml:space="preserve">فقال: «سبحان اللّه، أ لیس یقول: «بِغَیْرِ عَمَدٍ تَرَوْنَهٰا » ؟!»</w:t>
      </w:r>
    </w:p>
    <w:p>
      <w:pPr>
        <w:pStyle w:val="BookText"/>
      </w:pPr>
      <w:r>
        <w:rPr>
          <w:rFonts w:ascii="IRNazanin" w:hAnsi="IRNazanin" w:eastAsia="IRNazanin" w:cs="IRNazanin"/>
          <w:lang w:bidi="fa-IR"/>
          <w:color w:val="111111"/>
          <w:sz w:val="28"/>
          <w:szCs w:val="28"/>
          <w:rtl/>
        </w:rPr>
        <w:t xml:space="preserve">فقلت: بلی، فقال: «ثمَّ عمد و لکن لا تری». </w:t>
      </w:r>
      <w:r>
        <w:rPr>
          <w:rStyle w:val="FootnoteReference"/>
        </w:rPr>
        <w:footnoteReference w:id="4618"/>
      </w:r>
    </w:p>
    <w:p>
      <w:pPr>
        <w:pStyle w:val="BookText"/>
      </w:pPr>
      <w:r>
        <w:rPr>
          <w:rFonts w:ascii="IRNazanin" w:hAnsi="IRNazanin" w:eastAsia="IRNazanin" w:cs="IRNazanin"/>
          <w:lang w:bidi="fa-IR"/>
          <w:color w:val="111111"/>
          <w:sz w:val="28"/>
          <w:szCs w:val="28"/>
          <w:rtl/>
        </w:rPr>
        <w:t xml:space="preserve">ب) حرکة الأرض:</w:t>
      </w:r>
    </w:p>
    <w:p>
      <w:pPr>
        <w:pStyle w:val="BookText"/>
      </w:pPr>
      <w:r>
        <w:rPr>
          <w:rFonts w:ascii="Amiri" w:hAnsi="Amiri" w:eastAsia="Amiri" w:cs="Amiri"/>
          <w:lang w:bidi="ar-SA"/>
          <w:color w:val="111111"/>
          <w:sz w:val="28"/>
          <w:szCs w:val="28"/>
          <w:rtl/>
        </w:rPr>
        <w:t xml:space="preserve">یشیر القرآن إلی حرکة الأرض بقوله تعالی: «وَ تَرَی الْجِبٰالَ تَحْسَبُهٰا جٰامِدَةً وَ هِیَ تَمُرُّ مَرَّ السَّحٰابِ صُنْعَ اللّٰهِ الَّذِی أَتْقَنَ کُلَّ شَیْءٍ إِنَّهُ خَبِیرٌ بِمٰا تَفْعَلُونَ». </w:t>
      </w:r>
      <w:r>
        <w:rPr>
          <w:rStyle w:val="FootnoteReference"/>
        </w:rPr>
        <w:footnoteReference w:id="4619"/>
      </w:r>
    </w:p>
    <w:p>
      <w:pPr>
        <w:pStyle w:val="BookText"/>
      </w:pPr>
      <w:r>
        <w:rPr>
          <w:rFonts w:ascii="IRNazanin" w:hAnsi="IRNazanin" w:eastAsia="IRNazanin" w:cs="IRNazanin"/>
          <w:lang w:bidi="fa-IR"/>
          <w:color w:val="111111"/>
          <w:sz w:val="28"/>
          <w:szCs w:val="28"/>
          <w:rtl/>
        </w:rPr>
        <w:t xml:space="preserve">و قد خصّ بعض المفسّرین الآیة بیوم القیامة، لأنّ الآیة السابقة علیها راجعة إلیها، غیر أنّ هناک قرائن تدلّ علی أنّ الآیة ناظرة إلی نظام الدنیا و هی أنّ القیامة یوم کشف الحقائق و حصول الاذعان و الیقین فلا یناسب قوله:</w:t>
      </w:r>
    </w:p>
    <w:p>
      <w:pPr>
        <w:pStyle w:val="BookText"/>
      </w:pPr>
      <w:r>
        <w:rPr>
          <w:rFonts w:ascii="Amiri" w:hAnsi="Amiri" w:eastAsia="Amiri" w:cs="Amiri"/>
          <w:lang w:bidi="ar-SA"/>
          <w:color w:val="111111"/>
          <w:sz w:val="28"/>
          <w:szCs w:val="28"/>
          <w:rtl/>
        </w:rPr>
        <w:t xml:space="preserve">«تَحْسَبُهٰا جٰامِدَةً» .</w:t>
      </w:r>
    </w:p>
    <w:p>
      <w:pPr>
        <w:pStyle w:val="BookText"/>
      </w:pPr>
      <w:r>
        <w:rPr>
          <w:rFonts w:ascii="IRNazanin" w:hAnsi="IRNazanin" w:eastAsia="IRNazanin" w:cs="IRNazanin"/>
          <w:lang w:bidi="fa-IR"/>
          <w:color w:val="111111"/>
          <w:sz w:val="28"/>
          <w:szCs w:val="28"/>
          <w:rtl/>
        </w:rPr>
        <w:t xml:space="preserve">و أیضاً إنّ الأرض فی القیامة تبدّل غیر الأرض، و الآیة ناظرة إلی الوضع الموجود فی الجبال، و یشعر بذلک کلمة الصنع فی قوله:</w:t>
      </w:r>
    </w:p>
    <w:p>
      <w:pPr>
        <w:pStyle w:val="BookText"/>
      </w:pPr>
      <w:r>
        <w:rPr>
          <w:rFonts w:ascii="Amiri" w:hAnsi="Amiri" w:eastAsia="Amiri" w:cs="Amiri"/>
          <w:lang w:bidi="ar-SA"/>
          <w:color w:val="111111"/>
          <w:sz w:val="28"/>
          <w:szCs w:val="28"/>
          <w:rtl/>
        </w:rPr>
        <w:t xml:space="preserve">«صُنْعَ اللّٰهِ الَّذِی أَتْقَنَ کُلَّ شَیْءٍ ».</w:t>
      </w:r>
    </w:p>
    <w:p>
      <w:pPr>
        <w:pStyle w:val="BookText"/>
      </w:pPr>
      <w:r>
        <w:rPr>
          <w:rFonts w:ascii="IRNazanin" w:hAnsi="IRNazanin" w:eastAsia="IRNazanin" w:cs="IRNazanin"/>
          <w:lang w:bidi="fa-IR"/>
          <w:color w:val="111111"/>
          <w:sz w:val="28"/>
          <w:szCs w:val="28"/>
          <w:rtl/>
        </w:rPr>
        <w:t xml:space="preserve">[شماره صفحه واقعی : 304]
</w:t>
      </w:r>
    </w:p>
    <w:p>
      <w:pPr>
        <w:sectPr>
          <w:footerReference w:type="default" r:id="rId1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أیضاً إنّ الظاهر من قوله: «إِنَّهُ خَبِیرٌ بِمٰا تَفْعَلُونَ» . هو ما یفعله الإنسان فی حیاته الدنیا، فوحدة السّیاق فی الأفعال المستعملة فی الآیة أعنی «تری» و «تحسبها» و «تمر» و «تفعلون» قرینة علی أنّ المقصود حرکة الجبال فی هذا النظام الموجود، و بما أنّ الجبال راسخة فی الأرض فحرکتها تلازم حرکة الأرض، و تخصیصها بالذکر لبیان عظمة قدرته تعالی علی حرکة هذه الأشیاء العظیمة الثقیلة کالسحاب، و تشبیه حرکتها بالسحاب لبیان أنّ حرکة الأرض دائمة أوّلاً، و أنّها متحقّقة بهدوء و طمأنینة ثانیاً.</w:t>
      </w:r>
    </w:p>
    <w:p>
      <w:pPr>
        <w:pStyle w:val="BookText"/>
      </w:pPr>
      <w:r>
        <w:rPr>
          <w:rFonts w:ascii="IRNazanin" w:hAnsi="IRNazanin" w:eastAsia="IRNazanin" w:cs="IRNazanin"/>
          <w:lang w:bidi="fa-IR"/>
          <w:color w:val="111111"/>
          <w:sz w:val="28"/>
          <w:szCs w:val="28"/>
          <w:rtl/>
        </w:rPr>
        <w:t xml:space="preserve">ج) دور الجبال فی ثبات الأرض:</w:t>
      </w:r>
    </w:p>
    <w:p>
      <w:pPr>
        <w:pStyle w:val="BookText"/>
      </w:pPr>
      <w:r>
        <w:rPr>
          <w:rFonts w:ascii="IRNazanin" w:hAnsi="IRNazanin" w:eastAsia="IRNazanin" w:cs="IRNazanin"/>
          <w:lang w:bidi="fa-IR"/>
          <w:color w:val="111111"/>
          <w:sz w:val="28"/>
          <w:szCs w:val="28"/>
          <w:rtl/>
        </w:rPr>
        <w:t xml:space="preserve">القرآن الکریم یبحث عن أسرار الجبال و فوائدها فی آیات شتّی، منها أنّها حافظة لقطعات القشرة الأرضیة، تقیها من التفرّق و التبعثر، کما أنّ الأوتاد و المسامیر تمنع القطعات الخشبیة عن الانفصال، یقول سبحانه:</w:t>
      </w:r>
    </w:p>
    <w:p>
      <w:pPr>
        <w:pStyle w:val="BookText"/>
      </w:pPr>
      <w:r>
        <w:rPr>
          <w:rFonts w:ascii="Amiri" w:hAnsi="Amiri" w:eastAsia="Amiri" w:cs="Amiri"/>
          <w:lang w:bidi="ar-SA"/>
          <w:color w:val="111111"/>
          <w:sz w:val="28"/>
          <w:szCs w:val="28"/>
          <w:rtl/>
        </w:rPr>
        <w:t xml:space="preserve">«وَ أَلْقیٰ فِی الْأَرْضِ رَوٰاسِیَ أَنْ تَمِیدَ بِکُمْ وَ أَنْهٰاراً وَ سُبُلاً لَعَلَّکُمْ تَهْتَدُونَ» </w:t>
      </w:r>
      <w:r>
        <w:rPr>
          <w:rStyle w:val="FootnoteReference"/>
        </w:rPr>
        <w:footnoteReference w:id="46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إلی غیر ذلک من الآیات، هذا و أساتذة الفیزیاء و التضاریس الأرضیة یفسّرون کون الجبال أوتاداً للأرض بشکل علمی خاصّ، لا یقف علیه إلّا المتخصّص فی تلک العلوم و المطّلع علی قواعدها. </w:t>
      </w:r>
      <w:r>
        <w:rPr>
          <w:rStyle w:val="FootnoteReference"/>
        </w:rPr>
        <w:footnoteReference w:id="4621"/>
      </w:r>
    </w:p>
    <w:p>
      <w:pPr>
        <w:pStyle w:val="BookText"/>
      </w:pPr>
      <w:r>
        <w:rPr>
          <w:rFonts w:ascii="IRNazanin" w:hAnsi="IRNazanin" w:eastAsia="IRNazanin" w:cs="IRNazanin"/>
          <w:lang w:bidi="fa-IR"/>
          <w:color w:val="111111"/>
          <w:sz w:val="28"/>
          <w:szCs w:val="28"/>
          <w:rtl/>
        </w:rPr>
        <w:t xml:space="preserve">[شماره صفحه واقعی : 305]
</w:t>
      </w:r>
    </w:p>
    <w:p>
      <w:pPr>
        <w:sectPr>
          <w:footerReference w:type="default" r:id="rId1452"/>
          <w:footnotePr>
            <w:numStart w:val="1"/>
            <w:numRestart w:val="eachPage"/>
          </w:footnotePr>
          <w:pgSz w:orient="portrait" w:w="11905.511811023622" w:h="16837.79527559055"/>
          <w:pgMar w:top="1440" w:right="1440" w:bottom="1440" w:left="1440" w:header="720" w:footer="720" w:gutter="0"/>
          <w:cols w:num="1" w:space="720"/>
        </w:sectPr>
      </w:pPr>
    </w:p>
    <w:bookmarkStart w:id="810" w:name="pg14411_143834"/>
    <w:bookmarkEnd w:id="810"/>
    <w:p>
      <w:pPr>
        <w:pStyle w:val="BookText"/>
      </w:pPr>
      <w:r>
        <w:rPr>
          <w:rFonts w:ascii="IRNazanin" w:hAnsi="IRNazanin" w:eastAsia="IRNazanin" w:cs="IRNazanin"/>
          <w:lang w:bidi="fa-IR"/>
          <w:color w:val="111111"/>
          <w:sz w:val="28"/>
          <w:szCs w:val="28"/>
          <w:rtl/>
        </w:rPr>
        <w:t xml:space="preserve">و فی الختام نؤکّد علی ما أشرنا إلیه فی صدر البحث من أنّ المقصود الأعلی للقرآن هو الهدایة و التزکیة و لیس من شأنه تبیین قضایا العلوم الطبیعیة و نحوها و إنّما یتعرّض لذلک أحیاناً لأجل الاهتداء إلی المعارف الإلهیة، و علی ذلک فلا یصحّ لنا الإکثار فی هذا النوع من الإعجاز و تطبیق الآیات القرآنیة علی معطیات العلوم حتی و إن لم یکن ظاهراً فیها، بل یجب أن یعتمد فی تفسیرها علی نفس الکتاب أو الأثر المعتبر من صاحب الشریعة و من جعلهم قرناء الکتاب و أعداله -صلوات اللّه علیه و علیهم أجمعین -.</w:t>
      </w:r>
    </w:p>
    <w:p>
      <w:pPr>
        <w:pStyle w:val="Heading6"/>
      </w:pPr>
      <w:bookmarkStart w:id="2602" w:name="_Toc1637"/>
      <w:r>
        <w:t>4. الجامعیّة فی التشریع</w:t>
      </w:r>
      <w:bookmarkEnd w:id="2602"/>
    </w:p>
    <w:p>
      <w:pPr>
        <w:pStyle w:val="BookText"/>
      </w:pPr>
      <w:r>
        <w:rPr>
          <w:rFonts w:ascii="IRNazanin" w:hAnsi="IRNazanin" w:eastAsia="IRNazanin" w:cs="IRNazanin"/>
          <w:lang w:bidi="fa-IR"/>
          <w:color w:val="111111"/>
          <w:sz w:val="28"/>
          <w:szCs w:val="28"/>
          <w:rtl/>
        </w:rPr>
        <w:t xml:space="preserve">إنّ التشریع القرآنی شامل لجمیع النواحی الحیویّة فی حیاة البشر یرفع بها حاجة الإنسان فی جمیع المجالات، من الاعتقاد و الأخلاق و السیاسة و الاقتصاد و غیرها، إنّ نفس وجود تلک القوانین فی جمیع تلک الجوانب، معجزة کبریٰ لا تقوم بها الطاقة البشریّة و اللجان الحقوقیة، خصوصاً مع اتصافها بمرونة خاصّة تجامع کلّ الحضارات و المجتمعات البدائیة و الصناعیة المتطورة، یقول الإمام الباقر علیه السلام فی هذا المجال:</w:t>
      </w:r>
    </w:p>
    <w:p>
      <w:pPr>
        <w:pStyle w:val="BookText"/>
      </w:pPr>
      <w:r>
        <w:rPr>
          <w:rFonts w:ascii="Amiri" w:hAnsi="Amiri" w:eastAsia="Amiri" w:cs="Amiri"/>
          <w:lang w:bidi="ar-SA"/>
          <w:color w:val="111111"/>
          <w:sz w:val="28"/>
          <w:szCs w:val="28"/>
          <w:rtl/>
        </w:rPr>
        <w:t xml:space="preserve">«إن اللّه تعالی لم یدع شیئاً تحتاج إلیه الأُمّة إلّا أنزله فی کتابه و بیَّنه لرسوله، و جعل لکل شیء حدّاً، و جعل علیه دلیلاً یدلّ علیه». </w:t>
      </w:r>
      <w:r>
        <w:rPr>
          <w:rStyle w:val="FootnoteReference"/>
        </w:rPr>
        <w:footnoteReference w:id="4622"/>
      </w:r>
    </w:p>
    <w:p>
      <w:pPr>
        <w:pStyle w:val="BookText"/>
      </w:pPr>
      <w:r>
        <w:rPr>
          <w:rFonts w:ascii="IRNazanin" w:hAnsi="IRNazanin" w:eastAsia="IRNazanin" w:cs="IRNazanin"/>
          <w:lang w:bidi="fa-IR"/>
          <w:color w:val="111111"/>
          <w:sz w:val="28"/>
          <w:szCs w:val="28"/>
          <w:rtl/>
        </w:rPr>
        <w:t xml:space="preserve">و الدلیل الواضح علی ذلک أنّ المسلمین عند ما بسطوا ظلال دولتهم</w:t>
      </w:r>
    </w:p>
    <w:p>
      <w:pPr>
        <w:pStyle w:val="BookText"/>
      </w:pPr>
      <w:r>
        <w:rPr>
          <w:rFonts w:ascii="IRNazanin" w:hAnsi="IRNazanin" w:eastAsia="IRNazanin" w:cs="IRNazanin"/>
          <w:lang w:bidi="fa-IR"/>
          <w:color w:val="111111"/>
          <w:sz w:val="28"/>
          <w:szCs w:val="28"/>
          <w:rtl/>
        </w:rPr>
        <w:t xml:space="preserve">[شماره صفحه واقعی : 306]
</w:t>
      </w:r>
    </w:p>
    <w:p>
      <w:pPr>
        <w:sectPr>
          <w:footerReference w:type="default" r:id="rId1453"/>
          <w:footnotePr>
            <w:numStart w:val="1"/>
            <w:numRestart w:val="eachPage"/>
          </w:footnotePr>
          <w:pgSz w:orient="portrait" w:w="11905.511811023622" w:h="16837.79527559055"/>
          <w:pgMar w:top="1440" w:right="1440" w:bottom="1440" w:left="1440" w:header="720" w:footer="720" w:gutter="0"/>
          <w:cols w:num="1" w:space="720"/>
        </w:sectPr>
      </w:pPr>
    </w:p>
    <w:bookmarkStart w:id="811" w:name="pg14411_143835"/>
    <w:bookmarkEnd w:id="811"/>
    <w:p>
      <w:pPr>
        <w:pStyle w:val="BookText"/>
      </w:pPr>
      <w:r>
        <w:rPr>
          <w:rFonts w:ascii="IRNazanin" w:hAnsi="IRNazanin" w:eastAsia="IRNazanin" w:cs="IRNazanin"/>
          <w:lang w:bidi="fa-IR"/>
          <w:color w:val="111111"/>
          <w:sz w:val="28"/>
          <w:szCs w:val="28"/>
          <w:rtl/>
        </w:rPr>
        <w:t xml:space="preserve">علی أکثر من نصف المعمورة، و أُمم الأرض کانت مختلفة فی جانب العادات و الوقائع و الأحداث، رفعوا -رغم ذلک -صرح الحضارة الإسلامیة و أداروا المجتمع الإسلامی طیلة قرون فی ظلّ الکتاب و السنّة من غیر أن یستعینوا بتشریعات أجنبیّة، و سنرجع إلی هذا البحث عند الکلام حول الخاتمیة.</w:t>
      </w:r>
    </w:p>
    <w:p>
      <w:pPr>
        <w:pStyle w:val="Heading6"/>
      </w:pPr>
      <w:bookmarkStart w:id="2603" w:name="_Toc1638"/>
      <w:r>
        <w:t>5. أُمّیّة حامل الرسالة</w:t>
      </w:r>
      <w:bookmarkEnd w:id="2603"/>
    </w:p>
    <w:p>
      <w:pPr>
        <w:pStyle w:val="BookText"/>
      </w:pPr>
      <w:r>
        <w:rPr>
          <w:rFonts w:ascii="IRNazanin" w:hAnsi="IRNazanin" w:eastAsia="IRNazanin" w:cs="IRNazanin"/>
          <w:lang w:bidi="fa-IR"/>
          <w:color w:val="111111"/>
          <w:sz w:val="28"/>
          <w:szCs w:val="28"/>
          <w:rtl/>
        </w:rPr>
        <w:t xml:space="preserve">إنّ صحائف تاریخ حامل الرسالة أوضح دلیل علی أنّه لم یدخل مدرسة، و لم یحضر علی أحد للدراسة و تعلّم الکتاب، و قد صرّح بذلک القرآن بقوله:</w:t>
      </w:r>
    </w:p>
    <w:p>
      <w:pPr>
        <w:pStyle w:val="BookText"/>
      </w:pPr>
      <w:r>
        <w:rPr>
          <w:rFonts w:ascii="Amiri" w:hAnsi="Amiri" w:eastAsia="Amiri" w:cs="Amiri"/>
          <w:lang w:bidi="ar-SA"/>
          <w:color w:val="111111"/>
          <w:sz w:val="28"/>
          <w:szCs w:val="28"/>
          <w:rtl/>
        </w:rPr>
        <w:t xml:space="preserve">«وَ مٰا کُنْتَ تَتْلُوا مِنْ قَبْلِهِ مِنْ کِتٰابٍ وَ لاٰ تَخُطُّهُ بِیَمِینِکَ إِذاً لاَرْتٰابَ الْمُبْطِلُونَ». </w:t>
      </w:r>
      <w:r>
        <w:rPr>
          <w:rStyle w:val="FootnoteReference"/>
        </w:rPr>
        <w:footnoteReference w:id="4623"/>
      </w:r>
    </w:p>
    <w:p>
      <w:pPr>
        <w:pStyle w:val="BookText"/>
      </w:pPr>
      <w:r>
        <w:rPr>
          <w:rFonts w:ascii="IRNazanin" w:hAnsi="IRNazanin" w:eastAsia="IRNazanin" w:cs="IRNazanin"/>
          <w:lang w:bidi="fa-IR"/>
          <w:color w:val="111111"/>
          <w:sz w:val="28"/>
          <w:szCs w:val="28"/>
          <w:rtl/>
        </w:rPr>
        <w:t xml:space="preserve">کیف و قد عاش و تربّی فی بلد کان أهله محرومین من فنون العلم و الحضارة آنذاک و لذلک وصفهم القرآن ب«الأمیین»، فبالرغم من مغالطة قساوسة الغرب و المستغربة و تشبثاتهم بمراسیل عن مجاهیل، و انتحالات الملاحدة فی هذا الأمر، فإنّ أُمّیّة النبیّ صلی الله علیه و آله و قومه تموج بالشواهد الواضحة من الکتاب و التاریخ و الحدیث. </w:t>
      </w:r>
      <w:r>
        <w:rPr>
          <w:rStyle w:val="FootnoteReference"/>
        </w:rPr>
        <w:footnoteReference w:id="4624"/>
      </w:r>
    </w:p>
    <w:p>
      <w:pPr>
        <w:pStyle w:val="BookText"/>
      </w:pPr>
      <w:r>
        <w:rPr>
          <w:rFonts w:ascii="Amiri" w:hAnsi="Amiri" w:eastAsia="Amiri" w:cs="Amiri"/>
          <w:lang w:bidi="ar-SA"/>
          <w:color w:val="111111"/>
          <w:sz w:val="28"/>
          <w:szCs w:val="28"/>
          <w:rtl/>
        </w:rPr>
        <w:t xml:space="preserve">نعم لمّا أحسّ فصحاء العرب و بلغاؤهم بالعجز عن معارضة القرآن</w:t>
      </w:r>
    </w:p>
    <w:p>
      <w:pPr>
        <w:pStyle w:val="BookText"/>
      </w:pPr>
      <w:r>
        <w:rPr>
          <w:rFonts w:ascii="IRNazanin" w:hAnsi="IRNazanin" w:eastAsia="IRNazanin" w:cs="IRNazanin"/>
          <w:lang w:bidi="fa-IR"/>
          <w:color w:val="111111"/>
          <w:sz w:val="28"/>
          <w:szCs w:val="28"/>
          <w:rtl/>
        </w:rPr>
        <w:t xml:space="preserve">[شماره صفحه واقعی : 307]
</w:t>
      </w:r>
    </w:p>
    <w:p>
      <w:pPr>
        <w:sectPr>
          <w:footerReference w:type="default" r:id="rId1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أنّه لیس من سنخ کلام البشر، اتّهموه بأنّه أساطیر الأوّلین تملی علیه بکرة و أصیلاً یملیها علیه بشر </w:t>
      </w:r>
      <w:r>
        <w:rPr>
          <w:rStyle w:val="FootnoteReference"/>
        </w:rPr>
        <w:footnoteReference w:id="4625"/>
      </w:r>
      <w:r>
        <w:rPr>
          <w:rFonts w:ascii="IRNazanin" w:hAnsi="IRNazanin" w:eastAsia="IRNazanin" w:cs="IRNazanin"/>
          <w:lang w:bidi="fa-IR"/>
          <w:color w:val="111111"/>
          <w:sz w:val="28"/>
          <w:szCs w:val="28"/>
          <w:rtl/>
        </w:rPr>
        <w:t xml:space="preserve">و یردّه تعالی بقوله:</w:t>
      </w:r>
    </w:p>
    <w:p>
      <w:pPr>
        <w:pStyle w:val="BookText"/>
      </w:pPr>
      <w:r>
        <w:rPr>
          <w:rFonts w:ascii="Amiri" w:hAnsi="Amiri" w:eastAsia="Amiri" w:cs="Amiri"/>
          <w:lang w:bidi="ar-SA"/>
          <w:color w:val="111111"/>
          <w:sz w:val="28"/>
          <w:szCs w:val="28"/>
          <w:rtl/>
        </w:rPr>
        <w:t xml:space="preserve">«لِسٰانُ الَّذِی یُلْحِدُونَ إِلَیْهِ أَعْجَمِیٌّ وَ هٰذٰا لِسٰانٌ عَرَبِیٌّ مُبِینٌ» </w:t>
      </w:r>
      <w:r>
        <w:rPr>
          <w:rStyle w:val="FootnoteReference"/>
        </w:rPr>
        <w:footnoteReference w:id="46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فمن لاحظ ذاک المعهد البسیط یذعن بأنّ من الممتنع أن یخرج منه شخصیّة فذَّة کشخصیّة النبیّ صلی الله علیه و آله و کتاب مثل کتابه إلّا أن یکون له صلة بقدرة عظیمة مهیمنة علی الکون، کما أنّه لو قارن القرآن فیما یبیّنه فی مجال المعارف و یقصّه من قصص الأنبیاء الإلهیّین بالعهدین، یتجلّی له أنّ القرآن لم یتأثّر فی ذلک بالعهدین، بل و یتّضح له أنّ ما فی العهدین لیس وحیاً إلهیاً و إنّما هی من منشئات الأحبار و الرهبان خلطوا عملاً صالحاً و آخر سیّئاً فموّهوا الکتب السماویة بخرافاتهم. </w:t>
      </w:r>
      <w:r>
        <w:rPr>
          <w:rStyle w:val="FootnoteReference"/>
        </w:rPr>
        <w:footnoteReference w:id="4627"/>
      </w:r>
    </w:p>
    <w:p>
      <w:pPr>
        <w:pStyle w:val="BookText"/>
      </w:pPr>
      <w:r>
        <w:rPr>
          <w:rFonts w:ascii="IRNazanin" w:hAnsi="IRNazanin" w:eastAsia="IRNazanin" w:cs="IRNazanin"/>
          <w:lang w:bidi="fa-IR"/>
          <w:color w:val="111111"/>
          <w:sz w:val="28"/>
          <w:szCs w:val="28"/>
          <w:rtl/>
        </w:rPr>
        <w:t xml:space="preserve">و فی ذلک یقول العلاّمة الطباطبائی قدس سره :</w:t>
      </w:r>
    </w:p>
    <w:p>
      <w:pPr>
        <w:pStyle w:val="BookText"/>
      </w:pPr>
      <w:r>
        <w:rPr>
          <w:rFonts w:ascii="IRNazanin" w:hAnsi="IRNazanin" w:eastAsia="IRNazanin" w:cs="IRNazanin"/>
          <w:lang w:bidi="fa-IR"/>
          <w:color w:val="111111"/>
          <w:sz w:val="28"/>
          <w:szCs w:val="28"/>
          <w:rtl/>
        </w:rPr>
        <w:t xml:space="preserve">إنّ من قرأ العهدین و تأمّل ما فیهما ثمّ رجع إلی ما قصّه القرآن من تواریخ الأنبیاء السالفین و أُممهم رأی أنّ التاریخ غیر التاریخ</w:t>
      </w:r>
    </w:p>
    <w:p>
      <w:pPr>
        <w:pStyle w:val="BookText"/>
      </w:pPr>
      <w:r>
        <w:rPr>
          <w:rFonts w:ascii="IRNazanin" w:hAnsi="IRNazanin" w:eastAsia="IRNazanin" w:cs="IRNazanin"/>
          <w:lang w:bidi="fa-IR"/>
          <w:color w:val="111111"/>
          <w:sz w:val="28"/>
          <w:szCs w:val="28"/>
          <w:rtl/>
        </w:rPr>
        <w:t xml:space="preserve">[شماره صفحه واقعی : 308]
</w:t>
      </w:r>
    </w:p>
    <w:p>
      <w:pPr>
        <w:sectPr>
          <w:footerReference w:type="default" r:id="rId1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القصّة غیر القصّة، ففیهما عثرات و خطایا لأنبیاء اللّه الصالحین تنبو الفطرة و تنفر من أن تنسبها إلی المتعارف من صلحاء الناس و عقلائهم، و القرآن یبرّئهم منها. </w:t>
      </w:r>
      <w:r>
        <w:rPr>
          <w:rStyle w:val="FootnoteReference"/>
        </w:rPr>
        <w:footnoteReference w:id="4628"/>
      </w:r>
    </w:p>
    <w:p>
      <w:pPr>
        <w:pStyle w:val="BookText"/>
      </w:pPr>
      <w:r>
        <w:rPr>
          <w:rFonts w:ascii="IRNazanin" w:hAnsi="IRNazanin" w:eastAsia="IRNazanin" w:cs="IRNazanin"/>
          <w:lang w:bidi="fa-IR"/>
          <w:color w:val="111111"/>
          <w:sz w:val="28"/>
          <w:szCs w:val="28"/>
          <w:rtl/>
        </w:rPr>
        <w:t xml:space="preserve">[شماره صفحه واقعی : 309]
</w:t>
      </w:r>
    </w:p>
    <w:p>
      <w:pPr>
        <w:sectPr>
          <w:footerReference w:type="default" r:id="rId1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310]
</w:t>
      </w:r>
    </w:p>
    <w:p>
      <w:pPr>
        <w:sectPr>
          <w:footerReference w:type="default" r:id="rId1457"/>
          <w:footnotePr>
            <w:numStart w:val="1"/>
            <w:numRestart w:val="eachPage"/>
          </w:footnotePr>
          <w:pgSz w:orient="portrait" w:w="11905.511811023622" w:h="16837.79527559055"/>
          <w:pgMar w:top="1440" w:right="1440" w:bottom="1440" w:left="1440" w:header="720" w:footer="720" w:gutter="0"/>
          <w:cols w:num="1" w:space="720"/>
        </w:sectPr>
      </w:pPr>
    </w:p>
    <w:bookmarkStart w:id="812" w:name="pg14411_143839"/>
    <w:bookmarkEnd w:id="812"/>
    <w:p>
      <w:pPr>
        <w:pStyle w:val="Heading5"/>
      </w:pPr>
      <w:bookmarkStart w:id="2604" w:name="_Toc1639"/>
      <w:r>
        <w:t>الفصل الثالث : الخاتمیة فی ضوء العقل و الوحی</w:t>
      </w:r>
      <w:bookmarkEnd w:id="2604"/>
    </w:p>
    <w:p>
      <w:pPr>
        <w:pStyle w:val="Heading6"/>
      </w:pPr>
      <w:bookmarkStart w:id="2605" w:name="_Toc1640"/>
      <w:r>
        <w:t>اشارة</w:t>
      </w:r>
      <w:bookmarkEnd w:id="2605"/>
    </w:p>
    <w:p>
      <w:pPr>
        <w:pStyle w:val="BookText"/>
      </w:pPr>
      <w:r>
        <w:rPr>
          <w:rFonts w:ascii="IRNazanin" w:hAnsi="IRNazanin" w:eastAsia="IRNazanin" w:cs="IRNazanin"/>
          <w:lang w:bidi="fa-IR"/>
          <w:color w:val="111111"/>
          <w:sz w:val="28"/>
          <w:szCs w:val="28"/>
          <w:rtl/>
        </w:rPr>
        <w:t xml:space="preserve">اتّفقت الأُمّة الإسلامیة علی أنّ نبیّها محمّداً صلی الله علیه و آله خاتم النبیّین، و شریعته خاتمة الشرائع، و کتابه خاتم الکتب السماویة، و یدلّ علی ذلک نصوص من الکتاب و السنّة نشیر إلیها، ثمّ نجیب عن أسئلة حول الخاتمیة.</w:t>
      </w:r>
    </w:p>
    <w:p>
      <w:pPr>
        <w:pStyle w:val="BookText"/>
      </w:pPr>
      <w:r>
        <w:rPr>
          <w:rFonts w:ascii="Amiri" w:hAnsi="Amiri" w:eastAsia="Amiri" w:cs="Amiri"/>
          <w:lang w:bidi="ar-SA"/>
          <w:color w:val="111111"/>
          <w:sz w:val="28"/>
          <w:szCs w:val="28"/>
          <w:rtl/>
        </w:rPr>
        <w:t xml:space="preserve">نصّ القرآن الکریم علی أنّه خاتم النبیین بقوله: «مٰا کٰانَ مُحَمَّدٌ أَبٰا أَحَدٍ مِنْ رِجٰالِکُمْ وَ لٰکِنْ رَسُولَ اللّٰهِ وَ خٰاتَمَ النَّبِیِّینَ» </w:t>
      </w:r>
      <w:r>
        <w:rPr>
          <w:rStyle w:val="FootnoteReference"/>
        </w:rPr>
        <w:footnoteReference w:id="46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الختم هو بلوغ آخر الشیء ، یقال: ختمت العمل و ختم القارئ السورة، و الختم و هو الطبع علی الشیء فذلک من هذا الباب أیضاً، لأنّ الطبع علی الشیء لا یکون إلّا بعد بلوغ آخره. </w:t>
      </w:r>
      <w:r>
        <w:rPr>
          <w:rStyle w:val="FootnoteReference"/>
        </w:rPr>
        <w:footnoteReference w:id="4630"/>
      </w:r>
      <w:r>
        <w:rPr>
          <w:rFonts w:ascii="IRNazanin" w:hAnsi="IRNazanin" w:eastAsia="IRNazanin" w:cs="IRNazanin"/>
          <w:lang w:bidi="fa-IR"/>
          <w:color w:val="111111"/>
          <w:sz w:val="28"/>
          <w:szCs w:val="28"/>
          <w:rtl/>
        </w:rPr>
        <w:t xml:space="preserve">ثمّ إنّ ختم باب النبوّة یستلزم ختم باب الرسالة، و ذلک لأنّ الرسالة هی إبلاغ ما تحمّله الرسول عن طریق الوحی، فإذا انقطع الوحی و الاتصال بالمبدإ الأعلی فلا یبقی للرسالة موضوع. و هناک آیات أخری تدلّ علی خاتمیة الرسالة المحمّدیة تصریحاً أو تلویحاً یطول المقام بذکرها.</w:t>
      </w:r>
    </w:p>
    <w:p>
      <w:pPr>
        <w:pStyle w:val="BookText"/>
      </w:pPr>
      <w:r>
        <w:rPr>
          <w:rFonts w:ascii="IRNazanin" w:hAnsi="IRNazanin" w:eastAsia="IRNazanin" w:cs="IRNazanin"/>
          <w:lang w:bidi="fa-IR"/>
          <w:color w:val="111111"/>
          <w:sz w:val="28"/>
          <w:szCs w:val="28"/>
          <w:rtl/>
        </w:rPr>
        <w:t xml:space="preserve">[شماره صفحه واقعی : 311]
</w:t>
      </w:r>
    </w:p>
    <w:p>
      <w:pPr>
        <w:sectPr>
          <w:footerReference w:type="default" r:id="rId1458"/>
          <w:footnotePr>
            <w:numStart w:val="1"/>
            <w:numRestart w:val="eachPage"/>
          </w:footnotePr>
          <w:pgSz w:orient="portrait" w:w="11905.511811023622" w:h="16837.79527559055"/>
          <w:pgMar w:top="1440" w:right="1440" w:bottom="1440" w:left="1440" w:header="720" w:footer="720" w:gutter="0"/>
          <w:cols w:num="1" w:space="720"/>
        </w:sectPr>
      </w:pPr>
    </w:p>
    <w:bookmarkStart w:id="813" w:name="pg14411_143840"/>
    <w:bookmarkEnd w:id="813"/>
    <w:p>
      <w:pPr>
        <w:pStyle w:val="BookText"/>
      </w:pPr>
      <w:r>
        <w:rPr>
          <w:rFonts w:ascii="IRNazanin" w:hAnsi="IRNazanin" w:eastAsia="IRNazanin" w:cs="IRNazanin"/>
          <w:lang w:bidi="fa-IR"/>
          <w:color w:val="111111"/>
          <w:sz w:val="28"/>
          <w:szCs w:val="28"/>
          <w:rtl/>
        </w:rPr>
        <w:t xml:space="preserve">و ممّا ینصّ علی الخاتمیة من الأحادیث، حدیث المنزلة المتّفق علیه بین الأُمة فقد نزّل النبیّ صلی الله علیه و آله نفسه مکان موسی، و نزّل علیّاً علیه السلام مکان هارون، و قال مخاطباً علیّاً علیه السلام : «أنت منّی بمنزلة هارون من موسی إلّا أنّه لا نبیّ بعدی». </w:t>
      </w:r>
      <w:r>
        <w:rPr>
          <w:rStyle w:val="FootnoteReference"/>
        </w:rPr>
        <w:footnoteReference w:id="4631"/>
      </w:r>
    </w:p>
    <w:p>
      <w:pPr>
        <w:pStyle w:val="BookText"/>
      </w:pPr>
      <w:r>
        <w:rPr>
          <w:rFonts w:ascii="IRNazanin" w:hAnsi="IRNazanin" w:eastAsia="IRNazanin" w:cs="IRNazanin"/>
          <w:lang w:bidi="fa-IR"/>
          <w:color w:val="111111"/>
          <w:sz w:val="28"/>
          <w:szCs w:val="28"/>
          <w:rtl/>
        </w:rPr>
        <w:t xml:space="preserve">و دلالة الحدیث علی الخاتمیة واضحة، کدلالته علی خلافة علی علیه السلام للنبی صلی الله علیه و آله بعد رحلته کما سیوافیک بیانه فی باب الإمامة.</w:t>
      </w:r>
    </w:p>
    <w:p>
      <w:pPr>
        <w:pStyle w:val="BookText"/>
      </w:pPr>
      <w:r>
        <w:rPr>
          <w:rFonts w:ascii="IRNazanin" w:hAnsi="IRNazanin" w:eastAsia="IRNazanin" w:cs="IRNazanin"/>
          <w:lang w:bidi="fa-IR"/>
          <w:color w:val="111111"/>
          <w:sz w:val="28"/>
          <w:szCs w:val="28"/>
          <w:rtl/>
        </w:rPr>
        <w:t xml:space="preserve">و قال علی علیه السلام : «أرسله علی حین فترة من الرسل، و تنازع من الألسن، فقفّی به الرسل و ختم به الوحی». </w:t>
      </w:r>
      <w:r>
        <w:rPr>
          <w:rStyle w:val="FootnoteReference"/>
        </w:rPr>
        <w:footnoteReference w:id="4632"/>
      </w:r>
    </w:p>
    <w:p>
      <w:pPr>
        <w:pStyle w:val="BookText"/>
      </w:pPr>
      <w:r>
        <w:rPr>
          <w:rFonts w:ascii="IRNazanin" w:hAnsi="IRNazanin" w:eastAsia="IRNazanin" w:cs="IRNazanin"/>
          <w:lang w:bidi="fa-IR"/>
          <w:color w:val="111111"/>
          <w:sz w:val="28"/>
          <w:szCs w:val="28"/>
          <w:rtl/>
        </w:rPr>
        <w:t xml:space="preserve">إلی غیر ذلک من النصوص المتضافرة فی ذلک. </w:t>
      </w:r>
      <w:r>
        <w:rPr>
          <w:rStyle w:val="FootnoteReference"/>
        </w:rPr>
        <w:footnoteReference w:id="4633"/>
      </w:r>
    </w:p>
    <w:p>
      <w:pPr>
        <w:pStyle w:val="Heading6"/>
      </w:pPr>
      <w:bookmarkStart w:id="2606" w:name="_Toc1641"/>
      <w:r>
        <w:t>شبهة واهیة</w:t>
      </w:r>
      <w:bookmarkEnd w:id="2606"/>
    </w:p>
    <w:p>
      <w:pPr>
        <w:pStyle w:val="BookText"/>
      </w:pPr>
      <w:r>
        <w:rPr>
          <w:rFonts w:ascii="IRNazanin" w:hAnsi="IRNazanin" w:eastAsia="IRNazanin" w:cs="IRNazanin"/>
          <w:lang w:bidi="fa-IR"/>
          <w:color w:val="111111"/>
          <w:sz w:val="28"/>
          <w:szCs w:val="28"/>
          <w:rtl/>
        </w:rPr>
        <w:t xml:space="preserve">أُورد علی الخاتمیة شبهات واهیة غنیة عن الإجابة یقف علیها کلّ من له إلمام بالکتاب و السنّة و الأدب العربی، و لأجل إراءة وهن هذه الشبهات </w:t>
      </w:r>
      <w:r>
        <w:rPr>
          <w:rStyle w:val="FootnoteReference"/>
        </w:rPr>
        <w:footnoteReference w:id="4634"/>
      </w:r>
      <w:r>
        <w:rPr>
          <w:rFonts w:ascii="IRNazanin" w:hAnsi="IRNazanin" w:eastAsia="IRNazanin" w:cs="IRNazanin"/>
          <w:lang w:bidi="fa-IR"/>
          <w:color w:val="111111"/>
          <w:sz w:val="28"/>
          <w:szCs w:val="28"/>
          <w:rtl/>
        </w:rPr>
        <w:t xml:space="preserve">نأتی بما تعدّ من أقواها، ثمّ نرجع إلی البحث حول سؤال مهمّ حول الخاتمیة، و هی قابلة للبحث و النقاش، أمّا الشبهة فهی:</w:t>
      </w:r>
    </w:p>
    <w:p>
      <w:pPr>
        <w:pStyle w:val="BookText"/>
      </w:pPr>
      <w:r>
        <w:rPr>
          <w:rFonts w:ascii="IRNazanin" w:hAnsi="IRNazanin" w:eastAsia="IRNazanin" w:cs="IRNazanin"/>
          <w:lang w:bidi="fa-IR"/>
          <w:color w:val="111111"/>
          <w:sz w:val="28"/>
          <w:szCs w:val="28"/>
          <w:rtl/>
        </w:rPr>
        <w:t xml:space="preserve">[شماره صفحه واقعی : 312]
</w:t>
      </w:r>
    </w:p>
    <w:p>
      <w:pPr>
        <w:sectPr>
          <w:footerReference w:type="default" r:id="rId1459"/>
          <w:footnotePr>
            <w:numStart w:val="1"/>
            <w:numRestart w:val="eachPage"/>
          </w:footnotePr>
          <w:pgSz w:orient="portrait" w:w="11905.511811023622" w:h="16837.79527559055"/>
          <w:pgMar w:top="1440" w:right="1440" w:bottom="1440" w:left="1440" w:header="720" w:footer="720" w:gutter="0"/>
          <w:cols w:num="1" w:space="720"/>
        </w:sectPr>
      </w:pPr>
    </w:p>
    <w:bookmarkStart w:id="814" w:name="pg14411_143841"/>
    <w:bookmarkEnd w:id="814"/>
    <w:p>
      <w:pPr>
        <w:pStyle w:val="BookText"/>
      </w:pPr>
      <w:r>
        <w:rPr>
          <w:rFonts w:ascii="IRNazanin" w:hAnsi="IRNazanin" w:eastAsia="IRNazanin" w:cs="IRNazanin"/>
          <w:lang w:bidi="fa-IR"/>
          <w:color w:val="111111"/>
          <w:sz w:val="28"/>
          <w:szCs w:val="28"/>
          <w:rtl/>
        </w:rPr>
        <w:t xml:space="preserve">کیف یدّعی المسلمون انغلاق باب النبوّة و الرسالة، مع أنّ صریح کتابهم ناصّ بانفتاح بابهما إلی یوم القیامة حیث یقول:</w:t>
      </w:r>
    </w:p>
    <w:p>
      <w:pPr>
        <w:pStyle w:val="BookText"/>
      </w:pPr>
      <w:r>
        <w:rPr>
          <w:rFonts w:ascii="Amiri" w:hAnsi="Amiri" w:eastAsia="Amiri" w:cs="Amiri"/>
          <w:lang w:bidi="ar-SA"/>
          <w:color w:val="111111"/>
          <w:sz w:val="28"/>
          <w:szCs w:val="28"/>
          <w:rtl/>
        </w:rPr>
        <w:t xml:space="preserve">«یٰا بَنِی آدَمَ إِمّٰا یَأْتِیَنَّکُمْ رُسُلٌ مِنْکُمْ یَقُصُّونَ عَلَیْکُمْ آیٰاتِی فَمَنِ اتَّقیٰ وَ أَصْلَحَ فَلاٰ خَوْفٌ عَلَیْهِمْ وَ لاٰ هُمْ یَحْزَنُونَ » </w:t>
      </w:r>
      <w:r>
        <w:rPr>
          <w:rStyle w:val="FootnoteReference"/>
        </w:rPr>
        <w:footnoteReference w:id="46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الجواب: أنّ الآیة تحکی خطاباً خاطب سبحانه به بنی آدم فی بدء الخلقة، و فی الظرف الّذی هبط فیه آدم إلی الأرض، فالخطاب لیس من الخطابات المنشأة فی عصر الرّسالة حتی ینافی ختمها، بل حکایة للخطاب الصادر بعد هبوط أبینا آدم إلی الأرض، و الشاهد علی ذلک أمران:</w:t>
      </w:r>
    </w:p>
    <w:p>
      <w:pPr>
        <w:pStyle w:val="BookText"/>
      </w:pPr>
      <w:r>
        <w:rPr>
          <w:rFonts w:ascii="IRNazanin" w:hAnsi="IRNazanin" w:eastAsia="IRNazanin" w:cs="IRNazanin"/>
          <w:lang w:bidi="fa-IR"/>
          <w:color w:val="111111"/>
          <w:sz w:val="28"/>
          <w:szCs w:val="28"/>
          <w:rtl/>
        </w:rPr>
        <w:t xml:space="preserve">الأوّل: سیاق الآیات المتقدّمة علی هذه الآیة.</w:t>
      </w:r>
    </w:p>
    <w:p>
      <w:pPr>
        <w:pStyle w:val="BookText"/>
      </w:pPr>
      <w:r>
        <w:rPr>
          <w:rFonts w:ascii="Amiri" w:hAnsi="Amiri" w:eastAsia="Amiri" w:cs="Amiri"/>
          <w:lang w:bidi="ar-SA"/>
          <w:color w:val="111111"/>
          <w:sz w:val="28"/>
          <w:szCs w:val="28"/>
          <w:rtl/>
        </w:rPr>
        <w:t xml:space="preserve">الثانی: قوله سبحانه فی موضع آخر: «قٰالَ اهْبِطٰا مِنْهٰا جَمِیعاً بَعْضُکُمْ لِبَعْضٍ عَدُوٌّ فَإِمّٰا یَأْتِیَنَّکُمْ مِنِّی هُدیً فَمَنِ اتَّبَعَ هُدٰایَ فَلاٰ یَضِلُّ وَ لاٰ یَشْقیٰ» </w:t>
      </w:r>
      <w:r>
        <w:rPr>
          <w:rStyle w:val="FootnoteReference"/>
        </w:rPr>
        <w:footnoteReference w:id="46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فقوله: «فَإِمّٰا یَأْتِیَنَّکُمْ مِنِّی هُدیً» . یتّحد مضموناً مع قوله: «إِمّٰا یَأْتِیَنَّکُمْ رُسُلٌ مِنْکُمْ یَقُصُّونَ عَلَیْکُمْ آیٰاتِی».</w:t>
      </w:r>
    </w:p>
    <w:p>
      <w:pPr>
        <w:pStyle w:val="Heading6"/>
      </w:pPr>
      <w:bookmarkStart w:id="2607" w:name="_Toc1642"/>
      <w:r>
        <w:t>الخاتمیة و خلود التشریع الإسلامی</w:t>
      </w:r>
      <w:bookmarkEnd w:id="2607"/>
    </w:p>
    <w:p>
      <w:pPr>
        <w:pStyle w:val="Heading6"/>
      </w:pPr>
      <w:bookmarkStart w:id="2608" w:name="_Toc1643"/>
      <w:r>
        <w:t>اشارة</w:t>
      </w:r>
      <w:bookmarkEnd w:id="2608"/>
    </w:p>
    <w:p>
      <w:pPr>
        <w:pStyle w:val="BookText"/>
      </w:pPr>
      <w:r>
        <w:rPr>
          <w:rFonts w:ascii="IRNazanin" w:hAnsi="IRNazanin" w:eastAsia="IRNazanin" w:cs="IRNazanin"/>
          <w:lang w:bidi="fa-IR"/>
          <w:color w:val="111111"/>
          <w:sz w:val="28"/>
          <w:szCs w:val="28"/>
          <w:rtl/>
        </w:rPr>
        <w:t xml:space="preserve">إنّ هاهنا سؤالاً یجب علینا الإجابة عنه، و هو أنّ توسّع الحضارة یلزم المجتمع بتنظیم قوانین جدیدة تفوق ما کان یحتاج إلیها فیما مضی، و بما أنّ</w:t>
      </w:r>
    </w:p>
    <w:p>
      <w:pPr>
        <w:pStyle w:val="BookText"/>
      </w:pPr>
      <w:r>
        <w:rPr>
          <w:rFonts w:ascii="IRNazanin" w:hAnsi="IRNazanin" w:eastAsia="IRNazanin" w:cs="IRNazanin"/>
          <w:lang w:bidi="fa-IR"/>
          <w:color w:val="111111"/>
          <w:sz w:val="28"/>
          <w:szCs w:val="28"/>
          <w:rtl/>
        </w:rPr>
        <w:t xml:space="preserve">[شماره صفحه واقعی : 313]
</w:t>
      </w:r>
    </w:p>
    <w:p>
      <w:pPr>
        <w:sectPr>
          <w:footerReference w:type="default" r:id="rId1460"/>
          <w:footnotePr>
            <w:numStart w:val="1"/>
            <w:numRestart w:val="eachPage"/>
          </w:footnotePr>
          <w:pgSz w:orient="portrait" w:w="11905.511811023622" w:h="16837.79527559055"/>
          <w:pgMar w:top="1440" w:right="1440" w:bottom="1440" w:left="1440" w:header="720" w:footer="720" w:gutter="0"/>
          <w:cols w:num="1" w:space="720"/>
        </w:sectPr>
      </w:pPr>
    </w:p>
    <w:bookmarkStart w:id="815" w:name="pg14411_143842"/>
    <w:bookmarkEnd w:id="815"/>
    <w:p>
      <w:pPr>
        <w:pStyle w:val="BookText"/>
      </w:pPr>
      <w:r>
        <w:rPr>
          <w:rFonts w:ascii="IRNazanin" w:hAnsi="IRNazanin" w:eastAsia="IRNazanin" w:cs="IRNazanin"/>
          <w:lang w:bidi="fa-IR"/>
          <w:color w:val="111111"/>
          <w:sz w:val="28"/>
          <w:szCs w:val="28"/>
          <w:rtl/>
        </w:rPr>
        <w:t xml:space="preserve">الحضارة و الحاجات فی حال تزاید و تکامل، فکیف تعالج القوانین المحدودة الواردة فی الکتاب و السنّة، الحاجات المستحدثة غیر المحدودة؟</w:t>
      </w:r>
    </w:p>
    <w:p>
      <w:pPr>
        <w:pStyle w:val="BookText"/>
      </w:pPr>
      <w:r>
        <w:rPr>
          <w:rFonts w:ascii="IRNazanin" w:hAnsi="IRNazanin" w:eastAsia="IRNazanin" w:cs="IRNazanin"/>
          <w:lang w:bidi="fa-IR"/>
          <w:color w:val="111111"/>
          <w:sz w:val="28"/>
          <w:szCs w:val="28"/>
          <w:rtl/>
        </w:rPr>
        <w:t xml:space="preserve">و الجواب: أنّ خلود التشریع الإسلامی و غناه عن کلّ تشریع مبنیّ علی أُمور تالیة:</w:t>
      </w:r>
    </w:p>
    <w:p>
      <w:pPr>
        <w:pStyle w:val="Heading6"/>
      </w:pPr>
      <w:bookmarkStart w:id="2609" w:name="_Toc1644"/>
      <w:r>
        <w:t>1. حجیّة العقل فی مجالات خاصّة</w:t>
      </w:r>
      <w:bookmarkEnd w:id="2609"/>
    </w:p>
    <w:p>
      <w:pPr>
        <w:pStyle w:val="BookText"/>
      </w:pPr>
      <w:r>
        <w:rPr>
          <w:rFonts w:ascii="IRNazanin" w:hAnsi="IRNazanin" w:eastAsia="IRNazanin" w:cs="IRNazanin"/>
          <w:lang w:bidi="fa-IR"/>
          <w:color w:val="111111"/>
          <w:sz w:val="28"/>
          <w:szCs w:val="28"/>
          <w:rtl/>
        </w:rPr>
        <w:t xml:space="preserve">اعترف القرآن و السنّة بحجیّة العقل فی مجالات خاصّة، ممّا یرجع إلیه القضاء فیها، و قد بیّن مواضع ذلک فی کتب أُصول الفقه، فهناک موارد من الأحکام العقلیة الکاشفة عن أحکام شرعیة، کاستقلال العقل بقبح العقاب بلا بیان، الملازم لعدم ثبوت الحرمة و الوجوب إلّا بالبیان، و استقلاله بلزوم الاجتناب عن أطراف العلم الإجمالی فی الشبهات التحریمیة، و لزوم الموافقة القطعیة فی الشبهات الوجوبیة، و استقلاله بإطاعة الأوامر الظاهریة.</w:t>
      </w:r>
    </w:p>
    <w:p>
      <w:pPr>
        <w:pStyle w:val="BookText"/>
      </w:pPr>
      <w:r>
        <w:rPr>
          <w:rFonts w:ascii="IRNazanin" w:hAnsi="IRNazanin" w:eastAsia="IRNazanin" w:cs="IRNazanin"/>
          <w:lang w:bidi="fa-IR"/>
          <w:color w:val="111111"/>
          <w:sz w:val="28"/>
          <w:szCs w:val="28"/>
          <w:rtl/>
        </w:rPr>
        <w:t xml:space="preserve">و من مصادیق هذا الأصل قاعدة الأهمّ و المهمّ.</w:t>
      </w:r>
    </w:p>
    <w:p>
      <w:pPr>
        <w:pStyle w:val="BookText"/>
      </w:pPr>
      <w:r>
        <w:rPr>
          <w:rFonts w:ascii="IRNazanin" w:hAnsi="IRNazanin" w:eastAsia="IRNazanin" w:cs="IRNazanin"/>
          <w:lang w:bidi="fa-IR"/>
          <w:color w:val="111111"/>
          <w:sz w:val="28"/>
          <w:szCs w:val="28"/>
          <w:rtl/>
        </w:rPr>
        <w:t xml:space="preserve">توضیح ذلک: یستفاد من القرآن الکریم بجلاء أنّ الأحکام الشرعیة تابعة للمصالح و المفاسد، و بما أنّ للمصالح و المفاسد درجات و مراتب، عقد الفقهاء باباً لتزاحم الأحکام و تصادمها، فیقدّمون الأهم علی المهمّ، و الأکثر مصلحة علی الأقلّ منه، و قد أعان فتح هذا الباب علی حلّ کثیر من المشاکل الاجتماعیة الّتی ربّما یتوهّم الجاهل أنّها تعرقل خُطی المسلمین فی معترک الحیاة.</w:t>
      </w:r>
    </w:p>
    <w:p>
      <w:pPr>
        <w:pStyle w:val="BookText"/>
      </w:pPr>
      <w:r>
        <w:rPr>
          <w:rFonts w:ascii="IRNazanin" w:hAnsi="IRNazanin" w:eastAsia="IRNazanin" w:cs="IRNazanin"/>
          <w:lang w:bidi="fa-IR"/>
          <w:color w:val="111111"/>
          <w:sz w:val="28"/>
          <w:szCs w:val="28"/>
          <w:rtl/>
        </w:rPr>
        <w:t xml:space="preserve">[شماره صفحه واقعی : 314]
</w:t>
      </w:r>
    </w:p>
    <w:p>
      <w:pPr>
        <w:sectPr>
          <w:footerReference w:type="default" r:id="rId1461"/>
          <w:footnotePr>
            <w:numStart w:val="1"/>
            <w:numRestart w:val="eachPage"/>
          </w:footnotePr>
          <w:pgSz w:orient="portrait" w:w="11905.511811023622" w:h="16837.79527559055"/>
          <w:pgMar w:top="1440" w:right="1440" w:bottom="1440" w:left="1440" w:header="720" w:footer="720" w:gutter="0"/>
          <w:cols w:num="1" w:space="720"/>
        </w:sectPr>
      </w:pPr>
    </w:p>
    <w:bookmarkStart w:id="816" w:name="pg14411_143843"/>
    <w:bookmarkEnd w:id="816"/>
    <w:p>
      <w:pPr>
        <w:pStyle w:val="BookText"/>
      </w:pPr>
      <w:r>
        <w:rPr>
          <w:rFonts w:ascii="IRNazanin" w:hAnsi="IRNazanin" w:eastAsia="IRNazanin" w:cs="IRNazanin"/>
          <w:lang w:bidi="fa-IR"/>
          <w:color w:val="111111"/>
          <w:sz w:val="28"/>
          <w:szCs w:val="28"/>
          <w:rtl/>
        </w:rPr>
        <w:t xml:space="preserve">و بما أنّ هذا البحث، یرجع إلی علم أُصول الفقه نقتصر علی هذا القدر، و نختم الکلام بحدیث عن الإمام موسی بن جعفر علیه السلام و هو یخاطب تلمیذه هشام بن الحکم بقوله: «إنّ للّه علی الناس حجّتین: حجَّة ظاهرة، و حجَّة باطنة. فأمّا الظاهرة فالرسل و الأنبیاء و الأئمّة، و أمّا الباطنة فالعقول». </w:t>
      </w:r>
      <w:r>
        <w:rPr>
          <w:rStyle w:val="FootnoteReference"/>
        </w:rPr>
        <w:footnoteReference w:id="4637"/>
      </w:r>
    </w:p>
    <w:p>
      <w:pPr>
        <w:pStyle w:val="Heading6"/>
      </w:pPr>
      <w:bookmarkStart w:id="2610" w:name="_Toc1645"/>
      <w:r>
        <w:t>2. تشریع الاجتهاد</w:t>
      </w:r>
      <w:bookmarkEnd w:id="2610"/>
    </w:p>
    <w:p>
      <w:pPr>
        <w:pStyle w:val="BookText"/>
      </w:pPr>
      <w:r>
        <w:rPr>
          <w:rFonts w:ascii="IRNazanin" w:hAnsi="IRNazanin" w:eastAsia="IRNazanin" w:cs="IRNazanin"/>
          <w:lang w:bidi="fa-IR"/>
          <w:color w:val="111111"/>
          <w:sz w:val="28"/>
          <w:szCs w:val="28"/>
          <w:rtl/>
        </w:rPr>
        <w:t xml:space="preserve">إنّ من مواهب اللّه تعالی العظیمة علی الأُمة الإسلامیة، تشریع الاجتهاد، و قد کان الاجتهاد مفتوحاً بصورته البسیطة بین الصحابة و التابعین، کما أنّه لم یزل مفتوحاً بین أصحاب الائمّة الطاهرین علیهم السلام .</w:t>
      </w:r>
    </w:p>
    <w:p>
      <w:pPr>
        <w:pStyle w:val="BookText"/>
      </w:pPr>
      <w:r>
        <w:rPr>
          <w:rFonts w:ascii="IRNazanin" w:hAnsi="IRNazanin" w:eastAsia="IRNazanin" w:cs="IRNazanin"/>
          <w:lang w:bidi="fa-IR"/>
          <w:color w:val="111111"/>
          <w:sz w:val="28"/>
          <w:szCs w:val="28"/>
          <w:rtl/>
        </w:rPr>
        <w:t xml:space="preserve">و قد جنت بعض الحکومات فی المجتمعات الإسلامیة حیث أقفلت باب الاجتهاد فی أواسط القرن السابع و حرمت الأُمة الإسلامیّة من هذه الموهبة العظیمة، یقول المقریزی:</w:t>
      </w:r>
    </w:p>
    <w:p>
      <w:pPr>
        <w:pStyle w:val="BookText"/>
      </w:pPr>
      <w:r>
        <w:rPr>
          <w:rFonts w:ascii="IRNazanin" w:hAnsi="IRNazanin" w:eastAsia="IRNazanin" w:cs="IRNazanin"/>
          <w:lang w:bidi="fa-IR"/>
          <w:color w:val="111111"/>
          <w:sz w:val="28"/>
          <w:szCs w:val="28"/>
          <w:rtl/>
        </w:rPr>
        <w:t xml:space="preserve">استمرّت ولایة القضاة الأربعة من سنة 665، حتّی لم یبق فی مجموع أمصار الإسلام مذهب یعرف من مذاهب الإسلام، غیر هذه الأربعة و عودی من تمذهب بغیرها و أنکر علیه، و لم یولَّ قاض، و لا قبلت شهادة أحد ما لم یکن مقلِّداً لأحد هذه المذاهب... </w:t>
      </w:r>
      <w:r>
        <w:rPr>
          <w:rStyle w:val="FootnoteReference"/>
        </w:rPr>
        <w:footnoteReference w:id="4638"/>
      </w:r>
    </w:p>
    <w:p>
      <w:pPr>
        <w:pStyle w:val="BookText"/>
      </w:pPr>
      <w:r>
        <w:rPr>
          <w:rFonts w:ascii="IRNazanin" w:hAnsi="IRNazanin" w:eastAsia="IRNazanin" w:cs="IRNazanin"/>
          <w:lang w:bidi="fa-IR"/>
          <w:color w:val="111111"/>
          <w:sz w:val="28"/>
          <w:szCs w:val="28"/>
          <w:rtl/>
        </w:rPr>
        <w:t xml:space="preserve">[شماره صفحه واقعی : 315]
</w:t>
      </w:r>
    </w:p>
    <w:p>
      <w:pPr>
        <w:sectPr>
          <w:footerReference w:type="default" r:id="rId1462"/>
          <w:footnotePr>
            <w:numStart w:val="1"/>
            <w:numRestart w:val="eachPage"/>
          </w:footnotePr>
          <w:pgSz w:orient="portrait" w:w="11905.511811023622" w:h="16837.79527559055"/>
          <w:pgMar w:top="1440" w:right="1440" w:bottom="1440" w:left="1440" w:header="720" w:footer="720" w:gutter="0"/>
          <w:cols w:num="1" w:space="720"/>
        </w:sectPr>
      </w:pPr>
    </w:p>
    <w:bookmarkStart w:id="817" w:name="pg14411_143844"/>
    <w:bookmarkEnd w:id="817"/>
    <w:p>
      <w:pPr>
        <w:pStyle w:val="BookText"/>
      </w:pPr>
      <w:r>
        <w:rPr>
          <w:rFonts w:ascii="IRNazanin" w:hAnsi="IRNazanin" w:eastAsia="IRNazanin" w:cs="IRNazanin"/>
          <w:lang w:bidi="fa-IR"/>
          <w:color w:val="111111"/>
          <w:sz w:val="28"/>
          <w:szCs w:val="28"/>
          <w:rtl/>
        </w:rPr>
        <w:t xml:space="preserve">و من بوادر الخیر أن وقف غیر واحد من أهل النظر من علماء أهل السنّة وقفة موضوعیة، و أحسُّوا بلزوم فتح هذا الباب بعد غلقه قروناً. </w:t>
      </w:r>
      <w:r>
        <w:rPr>
          <w:rStyle w:val="FootnoteReference"/>
        </w:rPr>
        <w:footnoteReference w:id="4639"/>
      </w:r>
    </w:p>
    <w:p>
      <w:pPr>
        <w:pStyle w:val="Heading6"/>
      </w:pPr>
      <w:bookmarkStart w:id="2611" w:name="_Toc1646"/>
      <w:r>
        <w:t>3. صلاحیات الحاکم الإسلامی و شئونه</w:t>
      </w:r>
      <w:bookmarkEnd w:id="2611"/>
    </w:p>
    <w:p>
      <w:pPr>
        <w:pStyle w:val="BookText"/>
      </w:pPr>
      <w:r>
        <w:rPr>
          <w:rFonts w:ascii="IRNazanin" w:hAnsi="IRNazanin" w:eastAsia="IRNazanin" w:cs="IRNazanin"/>
          <w:lang w:bidi="fa-IR"/>
          <w:color w:val="111111"/>
          <w:sz w:val="28"/>
          <w:szCs w:val="28"/>
          <w:rtl/>
        </w:rPr>
        <w:t xml:space="preserve">من الأسباب الباعثة علی کون التشریع الإسلامی صالحاً لحلّ المشاکل أنّه منح للحاکم الإسلامی کافَّة الصلاحیات المؤدِّیة إلی حقّ التصرّف المطلق فی کلّ ما یراه ذا صلاحیة للأمَّة، و یتمتّع بمثل ما یتمتّع به النبیّ صلی الله علیه و آله و الإمام المعصوم علیه السلام من النفوذ المطلق، إلّا ما یُعدّ من خصائصهما.</w:t>
      </w:r>
    </w:p>
    <w:p>
      <w:pPr>
        <w:pStyle w:val="BookText"/>
      </w:pPr>
      <w:r>
        <w:rPr>
          <w:rFonts w:ascii="IRNazanin" w:hAnsi="IRNazanin" w:eastAsia="IRNazanin" w:cs="IRNazanin"/>
          <w:lang w:bidi="fa-IR"/>
          <w:color w:val="111111"/>
          <w:sz w:val="28"/>
          <w:szCs w:val="28"/>
          <w:rtl/>
        </w:rPr>
        <w:t xml:space="preserve">قال المحقّق النائینی قدس سره :</w:t>
      </w:r>
    </w:p>
    <w:p>
      <w:pPr>
        <w:pStyle w:val="BookText"/>
      </w:pPr>
      <w:r>
        <w:rPr>
          <w:rFonts w:ascii="IRNazanin" w:hAnsi="IRNazanin" w:eastAsia="IRNazanin" w:cs="IRNazanin"/>
          <w:lang w:bidi="fa-IR"/>
          <w:color w:val="111111"/>
          <w:sz w:val="28"/>
          <w:szCs w:val="28"/>
          <w:rtl/>
        </w:rPr>
        <w:t xml:space="preserve">فوِّض إلی الحاکم الإسلامی وضع ما یراه لازماً من المقرّرات، لمصلحة الجماعة و سدّ حاجاتها فی إطار القوانین الإسلامیة. </w:t>
      </w:r>
      <w:r>
        <w:rPr>
          <w:rStyle w:val="FootnoteReference"/>
        </w:rPr>
        <w:footnoteReference w:id="4640"/>
      </w:r>
    </w:p>
    <w:p>
      <w:pPr>
        <w:pStyle w:val="BookText"/>
      </w:pPr>
      <w:r>
        <w:rPr>
          <w:rFonts w:ascii="IRNazanin" w:hAnsi="IRNazanin" w:eastAsia="IRNazanin" w:cs="IRNazanin"/>
          <w:lang w:bidi="fa-IR"/>
          <w:color w:val="111111"/>
          <w:sz w:val="28"/>
          <w:szCs w:val="28"/>
          <w:rtl/>
        </w:rPr>
        <w:t xml:space="preserve">و هناک کلمة قیّمة للإمام الخمینی قدس سره نأتی بنصّها:</w:t>
      </w:r>
    </w:p>
    <w:p>
      <w:pPr>
        <w:pStyle w:val="BookText"/>
      </w:pPr>
      <w:r>
        <w:rPr>
          <w:rFonts w:ascii="IRNazanin" w:hAnsi="IRNazanin" w:eastAsia="IRNazanin" w:cs="IRNazanin"/>
          <w:lang w:bidi="fa-IR"/>
          <w:color w:val="111111"/>
          <w:sz w:val="28"/>
          <w:szCs w:val="28"/>
          <w:rtl/>
        </w:rPr>
        <w:t xml:space="preserve">إنّ الحاکم الإسلامی إذا نجح فی تأسیس حکومة إسلامیة فی قطر من أقطار الإسلام، أو فی مناطقه کلِّها، و توفّرت فیه الشرائط و الصلاحیات اللازمة، و أخصّ بالذکر: العلم الوسیع، و العدل، یجب علی المسلمین إطاعته، و له من الحقوق</w:t>
      </w:r>
    </w:p>
    <w:p>
      <w:pPr>
        <w:pStyle w:val="BookText"/>
      </w:pPr>
      <w:r>
        <w:rPr>
          <w:rFonts w:ascii="IRNazanin" w:hAnsi="IRNazanin" w:eastAsia="IRNazanin" w:cs="IRNazanin"/>
          <w:lang w:bidi="fa-IR"/>
          <w:color w:val="111111"/>
          <w:sz w:val="28"/>
          <w:szCs w:val="28"/>
          <w:rtl/>
        </w:rPr>
        <w:t xml:space="preserve">[شماره صفحه واقعی : 316]
</w:t>
      </w:r>
    </w:p>
    <w:p>
      <w:pPr>
        <w:sectPr>
          <w:footerReference w:type="default" r:id="rId1463"/>
          <w:footnotePr>
            <w:numStart w:val="1"/>
            <w:numRestart w:val="eachPage"/>
          </w:footnotePr>
          <w:pgSz w:orient="portrait" w:w="11905.511811023622" w:h="16837.79527559055"/>
          <w:pgMar w:top="1440" w:right="1440" w:bottom="1440" w:left="1440" w:header="720" w:footer="720" w:gutter="0"/>
          <w:cols w:num="1" w:space="720"/>
        </w:sectPr>
      </w:pPr>
    </w:p>
    <w:bookmarkStart w:id="818" w:name="pg14411_143845"/>
    <w:bookmarkEnd w:id="818"/>
    <w:p>
      <w:pPr>
        <w:pStyle w:val="BookText"/>
      </w:pPr>
      <w:r>
        <w:rPr>
          <w:rFonts w:ascii="IRNazanin" w:hAnsi="IRNazanin" w:eastAsia="IRNazanin" w:cs="IRNazanin"/>
          <w:lang w:bidi="fa-IR"/>
          <w:color w:val="111111"/>
          <w:sz w:val="28"/>
          <w:szCs w:val="28"/>
          <w:rtl/>
        </w:rPr>
        <w:t xml:space="preserve">و المناصب و الولایة، ما للنبیّ الأکرم صلی الله علیه و آله من إعداد القوّات العسکریة، و دعمها بالتجنید، و تعیین الولاة و أخذ الضرائب، و صرفها فی محالّها، إلی غیر ذلک....</w:t>
      </w:r>
    </w:p>
    <w:p>
      <w:pPr>
        <w:pStyle w:val="BookText"/>
      </w:pPr>
      <w:r>
        <w:rPr>
          <w:rFonts w:ascii="IRNazanin" w:hAnsi="IRNazanin" w:eastAsia="IRNazanin" w:cs="IRNazanin"/>
          <w:lang w:bidi="fa-IR"/>
          <w:color w:val="111111"/>
          <w:sz w:val="28"/>
          <w:szCs w:val="28"/>
          <w:rtl/>
        </w:rPr>
        <w:t xml:space="preserve">و لیس معنی ذلک أنّ الفقهاء و الحکّام الإسلامیین، مثل النبیّ صلی الله علیه و آله و الأئمة علیهم السلام فی جمیع الشئون و المقامات، حتّی الفضائل النفسانیة، و الدرجات المعنویة، فإنّ ذلک رأی تافه لا یرکن إلیه، إذ أنّ البحث إنّما هو فی الوظائف المحوّلة إلی الحاکم الإسلامی، و الموضوعة علی عاتقه، لا فی المقامات المعنویة و الفضائل النفسانیة، فإنّهم -صلوات اللّه علیهم -فی هذا المضمار فی درجة لا یدرک شأوهم و لا یشقّ لهم غبار حسب روائع نصوصهم و کلماتهم. </w:t>
      </w:r>
      <w:r>
        <w:rPr>
          <w:rStyle w:val="FootnoteReference"/>
        </w:rPr>
        <w:footnoteReference w:id="4641"/>
      </w:r>
    </w:p>
    <w:p>
      <w:pPr>
        <w:pStyle w:val="Heading6"/>
      </w:pPr>
      <w:bookmarkStart w:id="2612" w:name="_Toc1647"/>
      <w:r>
        <w:t>4. الأحکام الّتی لها دور التحدید</w:t>
      </w:r>
      <w:bookmarkEnd w:id="2612"/>
    </w:p>
    <w:p>
      <w:pPr>
        <w:pStyle w:val="BookText"/>
      </w:pPr>
      <w:r>
        <w:rPr>
          <w:rFonts w:ascii="IRNazanin" w:hAnsi="IRNazanin" w:eastAsia="IRNazanin" w:cs="IRNazanin"/>
          <w:lang w:bidi="fa-IR"/>
          <w:color w:val="111111"/>
          <w:sz w:val="28"/>
          <w:szCs w:val="28"/>
          <w:rtl/>
        </w:rPr>
        <w:t xml:space="preserve">من الأسباب الموجبة لانطباق التشریع القرآنی علی جمیع الحضارات، تشریعه لقوانین خاصّة، لها دور التحدید و الرقابة بالنسبة إلی عامّة تشریعاته، فهذه القوانین الحاکمة، تعطی لهذا الدین مرونة یماشی بها کلّ الأجیال و القرون.</w:t>
      </w:r>
    </w:p>
    <w:p>
      <w:pPr>
        <w:pStyle w:val="BookText"/>
      </w:pPr>
      <w:r>
        <w:rPr>
          <w:rFonts w:ascii="Amiri" w:hAnsi="Amiri" w:eastAsia="Amiri" w:cs="Amiri"/>
          <w:lang w:bidi="ar-SA"/>
          <w:color w:val="111111"/>
          <w:sz w:val="28"/>
          <w:szCs w:val="28"/>
          <w:rtl/>
        </w:rPr>
        <w:t xml:space="preserve">یقول سبحانه: «وَ مٰا جَعَلَ عَلَیْکُمْ فِی الدِّینِ مِنْ حَرَجٍ» </w:t>
      </w:r>
      <w:r>
        <w:rPr>
          <w:rStyle w:val="FootnoteReference"/>
        </w:rPr>
        <w:footnoteReference w:id="46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317]
</w:t>
      </w:r>
    </w:p>
    <w:p>
      <w:pPr>
        <w:sectPr>
          <w:footerReference w:type="default" r:id="rId1464"/>
          <w:footnotePr>
            <w:numStart w:val="1"/>
            <w:numRestart w:val="eachPage"/>
          </w:footnotePr>
          <w:pgSz w:orient="portrait" w:w="11905.511811023622" w:h="16837.79527559055"/>
          <w:pgMar w:top="1440" w:right="1440" w:bottom="1440" w:left="1440" w:header="720" w:footer="720" w:gutter="0"/>
          <w:cols w:num="1" w:space="720"/>
        </w:sectPr>
      </w:pPr>
    </w:p>
    <w:bookmarkStart w:id="819" w:name="pg14411_143846"/>
    <w:bookmarkEnd w:id="819"/>
    <w:p>
      <w:pPr>
        <w:pStyle w:val="BookText"/>
      </w:pPr>
      <w:r>
        <w:rPr>
          <w:rFonts w:ascii="Amiri" w:hAnsi="Amiri" w:eastAsia="Amiri" w:cs="Amiri"/>
          <w:lang w:bidi="ar-SA"/>
          <w:color w:val="111111"/>
          <w:sz w:val="28"/>
          <w:szCs w:val="28"/>
          <w:rtl/>
        </w:rPr>
        <w:t xml:space="preserve">و یقول سبحانه: «فَمَنِ اضْطُرَّ غَیْرَ بٰاغٍ وَ لاٰ عٰادٍ فَلاٰ إِثْمَ عَلَیْهِ إِنَّ اللّٰهَ غَفُورٌ رَحِیمٌ» </w:t>
      </w:r>
      <w:r>
        <w:rPr>
          <w:rStyle w:val="FootnoteReference"/>
        </w:rPr>
        <w:footnoteReference w:id="46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یقول سبحانه: «إِلاّٰ مَا اضْطُرِرْتُمْ إِلَیْهِ». </w:t>
      </w:r>
      <w:r>
        <w:rPr>
          <w:rStyle w:val="FootnoteReference"/>
        </w:rPr>
        <w:footnoteReference w:id="4644"/>
      </w:r>
    </w:p>
    <w:p>
      <w:pPr>
        <w:pStyle w:val="BookText"/>
      </w:pPr>
      <w:r>
        <w:rPr>
          <w:rFonts w:ascii="Amiri" w:hAnsi="Amiri" w:eastAsia="Amiri" w:cs="Amiri"/>
          <w:lang w:bidi="ar-SA"/>
          <w:color w:val="111111"/>
          <w:sz w:val="28"/>
          <w:szCs w:val="28"/>
          <w:rtl/>
        </w:rPr>
        <w:t xml:space="preserve">و یقول سبحانه: «إِلاّٰ مَنْ أُکْرِهَ وَ قَلْبُهُ مُطْمَئِنٌّ بِالْإِیمٰانِ» </w:t>
      </w:r>
      <w:r>
        <w:rPr>
          <w:rStyle w:val="FootnoteReference"/>
        </w:rPr>
        <w:footnoteReference w:id="46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ما ورد حول النهی عن الضرر من الآیات، کلّها تحدّد التشریعات القرآنیة بحدود الحرج و العسر و الضرر، فلولا هذه التحدیدات الحاکمة لما کانت الشریعة الإسلامیة مماشیة لجمیع الحضارات البشریة.</w:t>
      </w:r>
    </w:p>
    <w:p>
      <w:pPr>
        <w:pStyle w:val="Heading6"/>
      </w:pPr>
      <w:bookmarkStart w:id="2613" w:name="_Toc1648"/>
      <w:r>
        <w:t>5. الاعتدال فی التشریع</w:t>
      </w:r>
      <w:bookmarkEnd w:id="2613"/>
    </w:p>
    <w:p>
      <w:pPr>
        <w:pStyle w:val="BookText"/>
      </w:pPr>
      <w:r>
        <w:rPr>
          <w:rFonts w:ascii="IRNazanin" w:hAnsi="IRNazanin" w:eastAsia="IRNazanin" w:cs="IRNazanin"/>
          <w:lang w:bidi="fa-IR"/>
          <w:color w:val="111111"/>
          <w:sz w:val="28"/>
          <w:szCs w:val="28"/>
          <w:rtl/>
        </w:rPr>
        <w:t xml:space="preserve">من الأسباب الموجبة لصلاح الإسلام للبقاء و الخلود کون تشریعاته مبتنیة علی أساس الاعتدال موافقة للفطرة الإنسانیة، فأخذت من الدنیا ما هو لصالح العباد، و من الآخرة مثله، فکما ندب إلی العبادة، ندب إلی طلب الرزق أیضاً، بل ندب إلی ترویح النفس، و التخلیة بینها و بین لذّاتها بوجه مشروع.</w:t>
      </w:r>
    </w:p>
    <w:p>
      <w:pPr>
        <w:pStyle w:val="BookText"/>
      </w:pPr>
      <w:r>
        <w:rPr>
          <w:rFonts w:ascii="IRNazanin" w:hAnsi="IRNazanin" w:eastAsia="IRNazanin" w:cs="IRNazanin"/>
          <w:lang w:bidi="fa-IR"/>
          <w:color w:val="111111"/>
          <w:sz w:val="28"/>
          <w:szCs w:val="28"/>
          <w:rtl/>
        </w:rPr>
        <w:t xml:space="preserve">و قال الإمام علی علیه السلام : «للمؤمن ثلاث ساعات: ساعة یناجی ربّه، وساعة یرمُّ فیها معاشه، وساعة یخلّی بین نفسه و لذاتها». </w:t>
      </w:r>
      <w:r>
        <w:rPr>
          <w:rStyle w:val="FootnoteReference"/>
        </w:rPr>
        <w:footnoteReference w:id="4646"/>
      </w:r>
    </w:p>
    <w:p>
      <w:pPr>
        <w:pStyle w:val="BookText"/>
      </w:pPr>
      <w:r>
        <w:rPr>
          <w:rFonts w:ascii="IRNazanin" w:hAnsi="IRNazanin" w:eastAsia="IRNazanin" w:cs="IRNazanin"/>
          <w:lang w:bidi="fa-IR"/>
          <w:color w:val="111111"/>
          <w:sz w:val="28"/>
          <w:szCs w:val="28"/>
          <w:rtl/>
        </w:rPr>
        <w:t xml:space="preserve">[شماره صفحه واقعی : 318]
</w:t>
      </w:r>
    </w:p>
    <w:p>
      <w:pPr>
        <w:sectPr>
          <w:footerReference w:type="default" r:id="rId1465"/>
          <w:footnotePr>
            <w:numStart w:val="1"/>
            <w:numRestart w:val="eachPage"/>
          </w:footnotePr>
          <w:pgSz w:orient="portrait" w:w="11905.511811023622" w:h="16837.79527559055"/>
          <w:pgMar w:top="1440" w:right="1440" w:bottom="1440" w:left="1440" w:header="720" w:footer="720" w:gutter="0"/>
          <w:cols w:num="1" w:space="720"/>
        </w:sectPr>
      </w:pPr>
    </w:p>
    <w:bookmarkStart w:id="820" w:name="pg14411_143847"/>
    <w:bookmarkEnd w:id="820"/>
    <w:p>
      <w:pPr>
        <w:pStyle w:val="Heading4"/>
      </w:pPr>
      <w:bookmarkStart w:id="2614" w:name="_Toc1649"/>
      <w:r>
        <w:t>الباب السابع : فی الإمامة و الخلافة</w:t>
      </w:r>
      <w:bookmarkEnd w:id="2614"/>
    </w:p>
    <w:p>
      <w:pPr>
        <w:pStyle w:val="Heading5"/>
      </w:pPr>
      <w:bookmarkStart w:id="2615" w:name="_Toc1650"/>
      <w:r>
        <w:t>اشارة</w:t>
      </w:r>
      <w:bookmarkEnd w:id="2615"/>
    </w:p>
    <w:p>
      <w:pPr>
        <w:pStyle w:val="BookText"/>
      </w:pPr>
      <w:r>
        <w:rPr>
          <w:rFonts w:ascii="IRNazanin" w:hAnsi="IRNazanin" w:eastAsia="IRNazanin" w:cs="IRNazanin"/>
          <w:lang w:bidi="fa-IR"/>
          <w:color w:val="111111"/>
          <w:sz w:val="28"/>
          <w:szCs w:val="28"/>
          <w:rtl/>
        </w:rPr>
        <w:t xml:space="preserve">و فیه ثمانیة فصول:</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لما ذا نبحث عن الإمامة؟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حقیقة الإمامة عند الشیعة و أهل السنّة؛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طرق إثبات الإمامة عند أهل السنّة؛</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أدلّة وجوب تنصیب الإمام عند الشیعة؛</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وجوب العصمة فی الإمام؛</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النصوص الدینیة و تنصیب علی7 للامامة؛</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السنّة النبویة و الأئمّة الاثنا عشر؛</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الإمام الثانی عشر فی الکتاب و السنّة.</w:t>
      </w:r>
    </w:p>
    <w:p>
      <w:pPr>
        <w:pStyle w:val="BookText"/>
      </w:pPr>
      <w:r>
        <w:rPr>
          <w:rFonts w:ascii="IRNazanin" w:hAnsi="IRNazanin" w:eastAsia="IRNazanin" w:cs="IRNazanin"/>
          <w:lang w:bidi="fa-IR"/>
          <w:color w:val="111111"/>
          <w:sz w:val="28"/>
          <w:szCs w:val="28"/>
          <w:rtl/>
        </w:rPr>
        <w:t xml:space="preserve">[شماره صفحه واقعی : 319]
</w:t>
      </w:r>
    </w:p>
    <w:p>
      <w:pPr>
        <w:sectPr>
          <w:footerReference w:type="default" r:id="rId1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320]
</w:t>
      </w:r>
    </w:p>
    <w:p>
      <w:pPr>
        <w:sectPr>
          <w:footerReference w:type="default" r:id="rId1467"/>
          <w:footnotePr>
            <w:numStart w:val="1"/>
            <w:numRestart w:val="eachPage"/>
          </w:footnotePr>
          <w:pgSz w:orient="portrait" w:w="11905.511811023622" w:h="16837.79527559055"/>
          <w:pgMar w:top="1440" w:right="1440" w:bottom="1440" w:left="1440" w:header="720" w:footer="720" w:gutter="0"/>
          <w:cols w:num="1" w:space="720"/>
        </w:sectPr>
      </w:pPr>
    </w:p>
    <w:bookmarkStart w:id="821" w:name="pg14411_143849"/>
    <w:bookmarkEnd w:id="821"/>
    <w:p>
      <w:pPr>
        <w:pStyle w:val="Heading5"/>
      </w:pPr>
      <w:bookmarkStart w:id="2616" w:name="_Toc1651"/>
      <w:r>
        <w:t>الفصل الأوّل : لما ذا نبحث عن الإمامة؟</w:t>
      </w:r>
      <w:bookmarkEnd w:id="2616"/>
    </w:p>
    <w:p>
      <w:pPr>
        <w:pStyle w:val="BookText"/>
      </w:pPr>
      <w:r>
        <w:rPr>
          <w:rFonts w:ascii="IRNazanin" w:hAnsi="IRNazanin" w:eastAsia="IRNazanin" w:cs="IRNazanin"/>
          <w:lang w:bidi="fa-IR"/>
          <w:color w:val="111111"/>
          <w:sz w:val="28"/>
          <w:szCs w:val="28"/>
          <w:rtl/>
        </w:rPr>
        <w:t xml:space="preserve">إنّ أوّل خلاف عظیم نجم بین المسلمین بعد ارتحال الرسول الأکرم صلی الله علیه و آله هو الاختلاف فی مسألة الإمامة و الخلافة، و صارت الأُمة بذلک فرقتین، فرقة تشایع علیّاً علیه السلام و فرقة تشایع غیره من الخلفاء، و البحث حول کیفیة وقوع هذا الاختلاف و علله خارج عمّا نحن بصدده هنا، لأنّه بحث تاریخی علی کاهل علم الملل و النحل، و المقصود بالبحث فی هذا المجال هو تحلیل حقیقة الإمامة و شروطها عند الشیعة و أهل السنّة، علی ضوء العقل و الوحی و الواقعیات التاریخیة.</w:t>
      </w:r>
    </w:p>
    <w:p>
      <w:pPr>
        <w:pStyle w:val="BookText"/>
      </w:pPr>
      <w:r>
        <w:rPr>
          <w:rFonts w:ascii="IRNazanin" w:hAnsi="IRNazanin" w:eastAsia="IRNazanin" w:cs="IRNazanin"/>
          <w:lang w:bidi="fa-IR"/>
          <w:color w:val="111111"/>
          <w:sz w:val="28"/>
          <w:szCs w:val="28"/>
          <w:rtl/>
        </w:rPr>
        <w:t xml:space="preserve">قد یقال: إنّ البحث عن صیغة الخلافة بعد النبیّ الأکرم صلی الله علیه و آله یرجع لُبّه إلی أمر تاریخی قد مضی زمنه، و هو أنّ الخلیفة بعد النبیّ هل هو الإمام أمیر المؤمنین علیه السلام أو أبو بکر، و ما ذا یفید المؤمنین البحث حول هذا الأمر الّذی لا یرجع إلیهم بشیء فی حیاتهم الحاضرة، أو لیس من الحریّ ترک هذا البحث حفظا للوحدة؟</w:t>
      </w:r>
    </w:p>
    <w:p>
      <w:pPr>
        <w:pStyle w:val="BookText"/>
      </w:pPr>
      <w:r>
        <w:rPr>
          <w:rFonts w:ascii="IRNazanin" w:hAnsi="IRNazanin" w:eastAsia="IRNazanin" w:cs="IRNazanin"/>
          <w:lang w:bidi="fa-IR"/>
          <w:color w:val="111111"/>
          <w:sz w:val="28"/>
          <w:szCs w:val="28"/>
          <w:rtl/>
        </w:rPr>
        <w:t xml:space="preserve">و الجواب أنّه لا شکّ أنّ من واجب المسلم الحرّ السعی وراء الوحدة، و لکن لیس معنی ذلک ترک البحث رأساً، فإنّه إذا کان البحث نزیهاً موضوعیاً</w:t>
      </w:r>
    </w:p>
    <w:p>
      <w:pPr>
        <w:pStyle w:val="BookText"/>
      </w:pPr>
      <w:r>
        <w:rPr>
          <w:rFonts w:ascii="IRNazanin" w:hAnsi="IRNazanin" w:eastAsia="IRNazanin" w:cs="IRNazanin"/>
          <w:lang w:bidi="fa-IR"/>
          <w:color w:val="111111"/>
          <w:sz w:val="28"/>
          <w:szCs w:val="28"/>
          <w:rtl/>
        </w:rPr>
        <w:t xml:space="preserve">[شماره صفحه واقعی : 321]
</w:t>
      </w:r>
    </w:p>
    <w:p>
      <w:pPr>
        <w:sectPr>
          <w:footerReference w:type="default" r:id="rId1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یکون مؤثّراً فی توحید الصفوف و تقریب الخطی، إذ عندئذٍ تتعرّف کلّ طائفة علی ما لدی الأُخری من العقائد و الأُصول، و بالتالی تکون الطائفتان متقاربتین، و هذا بخلاف ما إذا ترکنا البحث مخافة الفرقة فإنّه یثیر سوء الظن من کلّ طائفة بالنسبة إلی أختها فی مجال العقائد فربّما تتصوّرها طائفة أجنبیة عن الإسلام، هذا أوّلاً.</w:t>
      </w:r>
    </w:p>
    <w:p>
      <w:pPr>
        <w:pStyle w:val="BookText"/>
      </w:pPr>
      <w:r>
        <w:rPr>
          <w:rFonts w:ascii="IRNazanin" w:hAnsi="IRNazanin" w:eastAsia="IRNazanin" w:cs="IRNazanin"/>
          <w:lang w:bidi="fa-IR"/>
          <w:color w:val="111111"/>
          <w:sz w:val="28"/>
          <w:szCs w:val="28"/>
          <w:rtl/>
        </w:rPr>
        <w:t xml:space="preserve">و ثانیاً: أنّ لمسألة الخلافة بعد النبیّ صلی الله علیه و آله بُعدین: أحدهما تاریخی مضی عصره، و الآخر بُعد دینی باق أثره إلی یومنا هذا، و سیبقی بعد ذلک، و هو أنّه إذا دلّت الأدلّة علی تنصیب علی علیه السلام علی الولایة و الخلافة بالمعنی الّذی تتبنّاه الإمامیة یکون الإمام وراء کونه زعیماً فی ذلک العصر، مرجعاً فی رفع المشاکل الّتی خلّفتها رحلة النبیّ صلی الله علیه و آله ، کما سیوافیک بیانها، فیجب علی المسلمین الرجوع إلیه فی تفسیر القرآن و تبیینه، و فی مجال الموضوعات المستجدة الّتی لم یرد فیها النصّ فی الکتاب و السنّة، فلیس البحث متلخّصاً فی البعد السیاسی حتی نشطب علیه بدعوی أنّه مضی ما مضی، بل له مجال أو مجالات باقیة.</w:t>
      </w:r>
    </w:p>
    <w:p>
      <w:pPr>
        <w:pStyle w:val="BookText"/>
      </w:pPr>
      <w:r>
        <w:rPr>
          <w:rFonts w:ascii="IRNazanin" w:hAnsi="IRNazanin" w:eastAsia="IRNazanin" w:cs="IRNazanin"/>
          <w:lang w:bidi="fa-IR"/>
          <w:color w:val="111111"/>
          <w:sz w:val="28"/>
          <w:szCs w:val="28"/>
          <w:rtl/>
        </w:rPr>
        <w:t xml:space="preserve">و لو کان البحث بعنوان الإمامة و الخلافة مثیراً للخلاف و لکن للبحث صورة أُخری نزیه عنه، و هو البحث عن المرجع العلمی للمسلمین بعد رحلة النبیّ الأکرم صلی الله علیه و آله فی مسائلهم و مشاکلهم العلمیة، و هل قام النبیّ الأکرم صلی الله علیه و آله بنصب شخص أو طائفة علی ذلک المقام أو لا؟ و البحث بهذه الصورة لا یثیر شیئاً.</w:t>
      </w:r>
    </w:p>
    <w:p>
      <w:pPr>
        <w:pStyle w:val="BookText"/>
      </w:pPr>
      <w:r>
        <w:rPr>
          <w:rFonts w:ascii="IRNazanin" w:hAnsi="IRNazanin" w:eastAsia="IRNazanin" w:cs="IRNazanin"/>
          <w:lang w:bidi="fa-IR"/>
          <w:color w:val="111111"/>
          <w:sz w:val="28"/>
          <w:szCs w:val="28"/>
          <w:rtl/>
        </w:rPr>
        <w:t xml:space="preserve">و الشیعة تدّعی أنّ السنّة النبویّة أکَّدت علی مرجعیة أهل البیت علیهم السلام فی</w:t>
      </w:r>
    </w:p>
    <w:p>
      <w:pPr>
        <w:pStyle w:val="BookText"/>
      </w:pPr>
      <w:r>
        <w:rPr>
          <w:rFonts w:ascii="IRNazanin" w:hAnsi="IRNazanin" w:eastAsia="IRNazanin" w:cs="IRNazanin"/>
          <w:lang w:bidi="fa-IR"/>
          <w:color w:val="111111"/>
          <w:sz w:val="28"/>
          <w:szCs w:val="28"/>
          <w:rtl/>
        </w:rPr>
        <w:t xml:space="preserve">[شماره صفحه واقعی : 322]
</w:t>
      </w:r>
    </w:p>
    <w:p>
      <w:pPr>
        <w:sectPr>
          <w:footerReference w:type="default" r:id="rId1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العقائد و المسائل الدینیة، وراء الزعامة السیاسیة المحدَّدة بوقت خاصّ و من أوضحها حدیث الثقلین المتواتر عند الفریقین و لا یشکّ فی صحّته إلّا الجاهل به أو المعاند، فقد روی بطرق کثیرة عن نیّف و عشرین صحابیاً. </w:t>
      </w:r>
      <w:r>
        <w:rPr>
          <w:rStyle w:val="FootnoteReference"/>
        </w:rPr>
        <w:footnoteReference w:id="4647"/>
      </w:r>
    </w:p>
    <w:p>
      <w:pPr>
        <w:pStyle w:val="BookText"/>
      </w:pPr>
      <w:r>
        <w:rPr>
          <w:rFonts w:ascii="IRNazanin" w:hAnsi="IRNazanin" w:eastAsia="IRNazanin" w:cs="IRNazanin"/>
          <w:lang w:bidi="fa-IR"/>
          <w:color w:val="111111"/>
          <w:sz w:val="28"/>
          <w:szCs w:val="28"/>
          <w:rtl/>
        </w:rPr>
        <w:t xml:space="preserve">روی أصحاب الصحاح و المسانید عن النبیّ الأکرم صلی الله علیه و آله أنّه قال:</w:t>
      </w:r>
    </w:p>
    <w:p>
      <w:pPr>
        <w:pStyle w:val="BookText"/>
      </w:pPr>
      <w:r>
        <w:rPr>
          <w:rFonts w:ascii="IRNazanin" w:hAnsi="IRNazanin" w:eastAsia="IRNazanin" w:cs="IRNazanin"/>
          <w:lang w:bidi="fa-IR"/>
          <w:color w:val="111111"/>
          <w:sz w:val="28"/>
          <w:szCs w:val="28"/>
          <w:rtl/>
        </w:rPr>
        <w:t xml:space="preserve">«یا أیّها الناس إنّی ترکت فیکم ما إن أخذتم به لن تضلّوا، کتاب اللّه و عترتی أهل بیتی».</w:t>
      </w:r>
    </w:p>
    <w:p>
      <w:pPr>
        <w:pStyle w:val="BookText"/>
      </w:pPr>
      <w:r>
        <w:rPr>
          <w:rFonts w:ascii="IRNazanin" w:hAnsi="IRNazanin" w:eastAsia="IRNazanin" w:cs="IRNazanin"/>
          <w:lang w:bidi="fa-IR"/>
          <w:color w:val="111111"/>
          <w:sz w:val="28"/>
          <w:szCs w:val="28"/>
          <w:rtl/>
        </w:rPr>
        <w:t xml:space="preserve">و قال فی موضع آخر:</w:t>
      </w:r>
    </w:p>
    <w:p>
      <w:pPr>
        <w:pStyle w:val="BookText"/>
      </w:pPr>
      <w:r>
        <w:rPr>
          <w:rFonts w:ascii="IRNazanin" w:hAnsi="IRNazanin" w:eastAsia="IRNazanin" w:cs="IRNazanin"/>
          <w:lang w:bidi="fa-IR"/>
          <w:color w:val="111111"/>
          <w:sz w:val="28"/>
          <w:szCs w:val="28"/>
          <w:rtl/>
        </w:rPr>
        <w:t xml:space="preserve">«إنّی ترکت فیکم ما إن تمسّکتم به لن تضلّوا، کتاب اللّه حبل ممدود من السّماء إلی الأرض، و عترتی أهل بیتی، و لن یفترقا حتّی یردا علیّ الحوض، فانظروا کیف تخلّفونی فیهما».</w:t>
      </w:r>
    </w:p>
    <w:p>
      <w:pPr>
        <w:pStyle w:val="BookText"/>
      </w:pPr>
      <w:r>
        <w:rPr>
          <w:rFonts w:ascii="IRNazanin" w:hAnsi="IRNazanin" w:eastAsia="IRNazanin" w:cs="IRNazanin"/>
          <w:lang w:bidi="fa-IR"/>
          <w:color w:val="111111"/>
          <w:sz w:val="28"/>
          <w:szCs w:val="28"/>
          <w:rtl/>
        </w:rPr>
        <w:t xml:space="preserve">و غیر ذلک من النصوص المتقاربة.</w:t>
      </w:r>
    </w:p>
    <w:p>
      <w:pPr>
        <w:pStyle w:val="BookText"/>
      </w:pPr>
      <w:r>
        <w:rPr>
          <w:rFonts w:ascii="IRNazanin" w:hAnsi="IRNazanin" w:eastAsia="IRNazanin" w:cs="IRNazanin"/>
          <w:lang w:bidi="fa-IR"/>
          <w:color w:val="111111"/>
          <w:sz w:val="28"/>
          <w:szCs w:val="28"/>
          <w:rtl/>
        </w:rPr>
        <w:t xml:space="preserve">إنّ الإمعان فی الحدیث یعرب عن عصمة العترة الطاهرة، حیث قورنت بالقرآن الکریم و أنّهما لا یفترقان، و من المعلوم أنّ القرآن الکریم کتاب لا یأتیه الباطل من بین یدیه و لا من خلفه، فکیف یمکن أن یکون قرناء القرآن و أعداله خاطئین فیما یحکمون، أو یقولون و یحدِّثون.</w:t>
      </w:r>
    </w:p>
    <w:p>
      <w:pPr>
        <w:pStyle w:val="BookText"/>
      </w:pPr>
      <w:r>
        <w:rPr>
          <w:rFonts w:ascii="IRNazanin" w:hAnsi="IRNazanin" w:eastAsia="IRNazanin" w:cs="IRNazanin"/>
          <w:lang w:bidi="fa-IR"/>
          <w:color w:val="111111"/>
          <w:sz w:val="28"/>
          <w:szCs w:val="28"/>
          <w:rtl/>
        </w:rPr>
        <w:t xml:space="preserve">[شماره صفحه واقعی : 323]
</w:t>
      </w:r>
    </w:p>
    <w:p>
      <w:pPr>
        <w:sectPr>
          <w:footerReference w:type="default" r:id="rId1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أضف إلی ذلک أنّ الحدیث، یعدّ المتمسّک بالعترة غیر ضالٍّ، فلو کانوا غیر معصومین من الخلاف و الخطأ فکیف لا یضلُّ المتمسک بهم؟</w:t>
      </w:r>
    </w:p>
    <w:p>
      <w:pPr>
        <w:pStyle w:val="BookText"/>
      </w:pPr>
      <w:r>
        <w:rPr>
          <w:rFonts w:ascii="IRNazanin" w:hAnsi="IRNazanin" w:eastAsia="IRNazanin" w:cs="IRNazanin"/>
          <w:lang w:bidi="fa-IR"/>
          <w:color w:val="111111"/>
          <w:sz w:val="28"/>
          <w:szCs w:val="28"/>
          <w:rtl/>
        </w:rPr>
        <w:t xml:space="preserve">کما أنّه یدلُّ علی أنّ الاهتداء بالکتاب و الوقوف علی معارفه و أسراره یحتاج إلی معلّم خبیر لا یخطأ فی فهم حقائقه و تبیین معارفه، و لیس ذلک إلّا من جعلهم النبیّ صلی الله علیه و آله قرناء الکتاب إلی یوم القیامة و هم العترة الطاهرة، و قد شبَّههم فی حدیث آخر بسفینة نوح فی أنّ من لجأ إلیهم فی الدین و أخذ أُصوله و فروعه عنهم نجا من عذاب النار، و من تخلَّف عنهم کمن تخلّف یوم الطوفان عن سفینة نوح و أدرکه الغرق. </w:t>
      </w:r>
      <w:r>
        <w:rPr>
          <w:rStyle w:val="FootnoteReference"/>
        </w:rPr>
        <w:footnoteReference w:id="4648"/>
      </w:r>
    </w:p>
    <w:p>
      <w:pPr>
        <w:pStyle w:val="BookText"/>
      </w:pPr>
      <w:r>
        <w:rPr>
          <w:rFonts w:ascii="IRNazanin" w:hAnsi="IRNazanin" w:eastAsia="IRNazanin" w:cs="IRNazanin"/>
          <w:lang w:bidi="fa-IR"/>
          <w:color w:val="111111"/>
          <w:sz w:val="28"/>
          <w:szCs w:val="28"/>
          <w:rtl/>
        </w:rPr>
        <w:t xml:space="preserve">[شماره صفحه واقعی : 324]
</w:t>
      </w:r>
    </w:p>
    <w:p>
      <w:pPr>
        <w:sectPr>
          <w:footerReference w:type="default" r:id="rId1471"/>
          <w:footnotePr>
            <w:numStart w:val="1"/>
            <w:numRestart w:val="eachPage"/>
          </w:footnotePr>
          <w:pgSz w:orient="portrait" w:w="11905.511811023622" w:h="16837.79527559055"/>
          <w:pgMar w:top="1440" w:right="1440" w:bottom="1440" w:left="1440" w:header="720" w:footer="720" w:gutter="0"/>
          <w:cols w:num="1" w:space="720"/>
        </w:sectPr>
      </w:pPr>
    </w:p>
    <w:bookmarkStart w:id="822" w:name="pg14411_143853"/>
    <w:bookmarkEnd w:id="822"/>
    <w:p>
      <w:pPr>
        <w:pStyle w:val="Heading5"/>
      </w:pPr>
      <w:bookmarkStart w:id="2617" w:name="_Toc1652"/>
      <w:r>
        <w:t>الفصل الثانی : حقیقة الإمامة عند الشیعة و أهل السنّة</w:t>
      </w:r>
      <w:bookmarkEnd w:id="2617"/>
    </w:p>
    <w:p>
      <w:pPr>
        <w:pStyle w:val="Heading6"/>
      </w:pPr>
      <w:bookmarkStart w:id="2618" w:name="_Toc1653"/>
      <w:r>
        <w:t>اشارة</w:t>
      </w:r>
      <w:bookmarkEnd w:id="2618"/>
    </w:p>
    <w:p>
      <w:pPr>
        <w:pStyle w:val="BookText"/>
      </w:pPr>
      <w:r>
        <w:rPr>
          <w:rFonts w:ascii="Amiri" w:hAnsi="Amiri" w:eastAsia="Amiri" w:cs="Amiri"/>
          <w:lang w:bidi="ar-SA"/>
          <w:color w:val="111111"/>
          <w:sz w:val="28"/>
          <w:szCs w:val="28"/>
          <w:rtl/>
        </w:rPr>
        <w:t xml:space="preserve">الإمام فی اللّغة هو الّذی یؤتمُّ به إنساناً کان أو کتاباً أو غیر ذلک، محقّاً کان أو مبطلاً و جمعه أئمّة. </w:t>
      </w:r>
      <w:r>
        <w:rPr>
          <w:rStyle w:val="FootnoteReference"/>
        </w:rPr>
        <w:footnoteReference w:id="4649"/>
      </w:r>
      <w:r>
        <w:rPr>
          <w:rFonts w:ascii="IRNazanin" w:hAnsi="IRNazanin" w:eastAsia="IRNazanin" w:cs="IRNazanin"/>
          <w:lang w:bidi="fa-IR"/>
          <w:color w:val="111111"/>
          <w:sz w:val="28"/>
          <w:szCs w:val="28"/>
          <w:rtl/>
        </w:rPr>
        <w:t xml:space="preserve">و قوله تعالی:</w:t>
      </w:r>
    </w:p>
    <w:p>
      <w:pPr>
        <w:pStyle w:val="BookText"/>
      </w:pPr>
      <w:r>
        <w:rPr>
          <w:rFonts w:ascii="Amiri" w:hAnsi="Amiri" w:eastAsia="Amiri" w:cs="Amiri"/>
          <w:lang w:bidi="ar-SA"/>
          <w:color w:val="111111"/>
          <w:sz w:val="28"/>
          <w:szCs w:val="28"/>
          <w:rtl/>
        </w:rPr>
        <w:t xml:space="preserve">«یَوْمَ نَدْعُوا کُلَّ أُنٰاسٍ بِإِمٰامِهِمْ» أی بالّذی یقتدون به، و قیل بکتابهم. </w:t>
      </w:r>
      <w:r>
        <w:rPr>
          <w:rStyle w:val="FootnoteReference"/>
        </w:rPr>
        <w:footnoteReference w:id="4650"/>
      </w:r>
    </w:p>
    <w:p>
      <w:pPr>
        <w:pStyle w:val="BookText"/>
      </w:pPr>
      <w:r>
        <w:rPr>
          <w:rFonts w:ascii="IRNazanin" w:hAnsi="IRNazanin" w:eastAsia="IRNazanin" w:cs="IRNazanin"/>
          <w:lang w:bidi="fa-IR"/>
          <w:color w:val="111111"/>
          <w:sz w:val="28"/>
          <w:szCs w:val="28"/>
          <w:rtl/>
        </w:rPr>
        <w:t xml:space="preserve">و عرّف المتکلّمون الإمامة بوجوه: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الإمامة رئاسة عامّة فی أُمور الدین و الدنیا؛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الإمامة خلافة الرسول فی إقامة الدین، بحیث یجب اتّباعه علی کافّة الأمّة؛ </w:t>
      </w:r>
      <w:r>
        <w:rPr>
          <w:rStyle w:val="FootnoteReference"/>
        </w:rPr>
        <w:footnoteReference w:id="4651"/>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الإمامة خلافة عن صاحب الشرع فی حراسة الدین و سیاسة الدنیا؛ </w:t>
      </w:r>
      <w:r>
        <w:rPr>
          <w:rStyle w:val="FootnoteReference"/>
        </w:rPr>
        <w:footnoteReference w:id="4652"/>
      </w:r>
    </w:p>
    <w:p>
      <w:pPr>
        <w:pStyle w:val="BookText"/>
      </w:pPr>
      <w:r>
        <w:rPr>
          <w:rFonts w:ascii="IRNazanin" w:hAnsi="IRNazanin" w:eastAsia="IRNazanin" w:cs="IRNazanin"/>
          <w:lang w:bidi="fa-IR"/>
          <w:color w:val="111111"/>
          <w:sz w:val="28"/>
          <w:szCs w:val="28"/>
          <w:rtl/>
        </w:rPr>
        <w:t xml:space="preserve">[شماره صفحه واقعی : 325]
</w:t>
      </w:r>
    </w:p>
    <w:p>
      <w:pPr>
        <w:sectPr>
          <w:footerReference w:type="default" r:id="rId1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الإمامة رئاسة عامّة دینیة مشتملة علی ترغیب عموم الناس فی حفظ مصالحهم الدینیة و الدنیاویة، و زجرهم عمّا یضرّهم بحسبها.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و اتّفقت کلمة أهل السنّة، أو أکثرهم، علی أنّ الإمامة من فروع الدین.</w:t>
      </w:r>
    </w:p>
    <w:p>
      <w:pPr>
        <w:pStyle w:val="BookText"/>
      </w:pPr>
      <w:r>
        <w:rPr>
          <w:rFonts w:ascii="IRNazanin" w:hAnsi="IRNazanin" w:eastAsia="IRNazanin" w:cs="IRNazanin"/>
          <w:lang w:bidi="fa-IR"/>
          <w:color w:val="111111"/>
          <w:sz w:val="28"/>
          <w:szCs w:val="28"/>
          <w:rtl/>
        </w:rPr>
        <w:t xml:space="preserve">قال الغزالی: «اعلم أنّ النظر فی الإمامة لیس من فنّ المعقولات، بل من الفقهیّات». </w:t>
      </w:r>
      <w:r>
        <w:rPr>
          <w:rStyle w:val="FootnoteReference"/>
        </w:rPr>
        <w:footnoteReference w:id="4653"/>
      </w:r>
    </w:p>
    <w:p>
      <w:pPr>
        <w:pStyle w:val="BookText"/>
      </w:pPr>
      <w:r>
        <w:rPr>
          <w:rFonts w:ascii="IRNazanin" w:hAnsi="IRNazanin" w:eastAsia="IRNazanin" w:cs="IRNazanin"/>
          <w:lang w:bidi="fa-IR"/>
          <w:color w:val="111111"/>
          <w:sz w:val="28"/>
          <w:szCs w:val="28"/>
          <w:rtl/>
        </w:rPr>
        <w:t xml:space="preserve">و قال الآمدی: «و اعلم أنّ الکلام فی الإمامة لیس من أصول الدیانات». </w:t>
      </w:r>
      <w:r>
        <w:rPr>
          <w:rStyle w:val="FootnoteReference"/>
        </w:rPr>
        <w:footnoteReference w:id="4654"/>
      </w:r>
    </w:p>
    <w:p>
      <w:pPr>
        <w:pStyle w:val="BookText"/>
      </w:pPr>
      <w:r>
        <w:rPr>
          <w:rFonts w:ascii="IRNazanin" w:hAnsi="IRNazanin" w:eastAsia="IRNazanin" w:cs="IRNazanin"/>
          <w:lang w:bidi="fa-IR"/>
          <w:color w:val="111111"/>
          <w:sz w:val="28"/>
          <w:szCs w:val="28"/>
          <w:rtl/>
        </w:rPr>
        <w:t xml:space="preserve">و قال الإیجی: «و مباحثها عندنا من الفروع، و إنّما ذکرناها فی علم الکلام تأسّیاً بمن قبلنا». </w:t>
      </w:r>
      <w:r>
        <w:rPr>
          <w:rStyle w:val="FootnoteReference"/>
        </w:rPr>
        <w:footnoteReference w:id="4655"/>
      </w:r>
    </w:p>
    <w:p>
      <w:pPr>
        <w:pStyle w:val="BookText"/>
      </w:pPr>
      <w:r>
        <w:rPr>
          <w:rFonts w:ascii="IRNazanin" w:hAnsi="IRNazanin" w:eastAsia="IRNazanin" w:cs="IRNazanin"/>
          <w:lang w:bidi="fa-IR"/>
          <w:color w:val="111111"/>
          <w:sz w:val="28"/>
          <w:szCs w:val="28"/>
          <w:rtl/>
        </w:rPr>
        <w:t xml:space="preserve">و قال ابن خلدون: «و قصاری أمر الإمامة إنّها قضیة مصلحیة إجماعیة و لا تلحق بالعقائد». </w:t>
      </w:r>
      <w:r>
        <w:rPr>
          <w:rStyle w:val="FootnoteReference"/>
        </w:rPr>
        <w:footnoteReference w:id="4656"/>
      </w:r>
    </w:p>
    <w:p>
      <w:pPr>
        <w:pStyle w:val="BookText"/>
      </w:pPr>
      <w:r>
        <w:rPr>
          <w:rFonts w:ascii="IRNazanin" w:hAnsi="IRNazanin" w:eastAsia="IRNazanin" w:cs="IRNazanin"/>
          <w:lang w:bidi="fa-IR"/>
          <w:color w:val="111111"/>
          <w:sz w:val="28"/>
          <w:szCs w:val="28"/>
          <w:rtl/>
        </w:rPr>
        <w:t xml:space="preserve">و قال التفتازانی: «لا نزاع فی أن مباحث الإمامة بعلم الفروع ألیق...». </w:t>
      </w:r>
      <w:r>
        <w:rPr>
          <w:rStyle w:val="FootnoteReference"/>
        </w:rPr>
        <w:footnoteReference w:id="4657"/>
      </w:r>
    </w:p>
    <w:p>
      <w:pPr>
        <w:pStyle w:val="BookText"/>
      </w:pPr>
      <w:r>
        <w:rPr>
          <w:rFonts w:ascii="IRNazanin" w:hAnsi="IRNazanin" w:eastAsia="IRNazanin" w:cs="IRNazanin"/>
          <w:lang w:bidi="fa-IR"/>
          <w:color w:val="111111"/>
          <w:sz w:val="28"/>
          <w:szCs w:val="28"/>
          <w:rtl/>
        </w:rPr>
        <w:t xml:space="preserve">و أمّا الشیعة الإمامیة، فینظرون إلی الإمامة کمسألة أصولیة کلامیّة، وزانها وزان النبوّة، سوی تلقّی الوحی التشریعی و الإتیان بالشریعة، فإنّها</w:t>
      </w:r>
    </w:p>
    <w:p>
      <w:pPr>
        <w:pStyle w:val="BookText"/>
      </w:pPr>
      <w:r>
        <w:rPr>
          <w:rFonts w:ascii="IRNazanin" w:hAnsi="IRNazanin" w:eastAsia="IRNazanin" w:cs="IRNazanin"/>
          <w:lang w:bidi="fa-IR"/>
          <w:color w:val="111111"/>
          <w:sz w:val="28"/>
          <w:szCs w:val="28"/>
          <w:rtl/>
        </w:rPr>
        <w:t xml:space="preserve">[شماره صفحه واقعی : 326]
</w:t>
      </w:r>
    </w:p>
    <w:p>
      <w:pPr>
        <w:sectPr>
          <w:footerReference w:type="default" r:id="rId1473"/>
          <w:footnotePr>
            <w:numStart w:val="1"/>
            <w:numRestart w:val="eachPage"/>
          </w:footnotePr>
          <w:pgSz w:orient="portrait" w:w="11905.511811023622" w:h="16837.79527559055"/>
          <w:pgMar w:top="1440" w:right="1440" w:bottom="1440" w:left="1440" w:header="720" w:footer="720" w:gutter="0"/>
          <w:cols w:num="1" w:space="720"/>
        </w:sectPr>
      </w:pPr>
    </w:p>
    <w:bookmarkStart w:id="823" w:name="pg14411_143855"/>
    <w:bookmarkEnd w:id="823"/>
    <w:p>
      <w:pPr>
        <w:pStyle w:val="BookText"/>
      </w:pPr>
      <w:r>
        <w:rPr>
          <w:rFonts w:ascii="IRNazanin" w:hAnsi="IRNazanin" w:eastAsia="IRNazanin" w:cs="IRNazanin"/>
          <w:lang w:bidi="fa-IR"/>
          <w:color w:val="111111"/>
          <w:sz w:val="28"/>
          <w:szCs w:val="28"/>
          <w:rtl/>
        </w:rPr>
        <w:t xml:space="preserve">مختومة بارتحال النبیّ الأکرم صلی الله علیه و آله ، فمسألة الإمامة تکون من المسائل الجذریة الأصلیّة. </w:t>
      </w:r>
      <w:r>
        <w:rPr>
          <w:rStyle w:val="FootnoteReference"/>
        </w:rPr>
        <w:footnoteReference w:id="4658"/>
      </w:r>
    </w:p>
    <w:p>
      <w:pPr>
        <w:pStyle w:val="Heading6"/>
      </w:pPr>
      <w:bookmarkStart w:id="2619" w:name="_Toc1654"/>
      <w:r>
        <w:t>مؤهِّلات الإمام و صفاته</w:t>
      </w:r>
      <w:bookmarkEnd w:id="2619"/>
    </w:p>
    <w:p>
      <w:pPr>
        <w:pStyle w:val="BookText"/>
      </w:pPr>
      <w:r>
        <w:rPr>
          <w:rFonts w:ascii="IRNazanin" w:hAnsi="IRNazanin" w:eastAsia="IRNazanin" w:cs="IRNazanin"/>
          <w:lang w:bidi="fa-IR"/>
          <w:color w:val="111111"/>
          <w:sz w:val="28"/>
          <w:szCs w:val="28"/>
          <w:rtl/>
        </w:rPr>
        <w:t xml:space="preserve">اختلفت کلمات أهل السنّة فی ما یشترط فی الإمام من الصفات، فمنهم </w:t>
      </w:r>
      <w:r>
        <w:rPr>
          <w:rStyle w:val="FootnoteReference"/>
        </w:rPr>
        <w:footnoteReference w:id="4659"/>
      </w:r>
      <w:r>
        <w:rPr>
          <w:rFonts w:ascii="IRNazanin" w:hAnsi="IRNazanin" w:eastAsia="IRNazanin" w:cs="IRNazanin"/>
          <w:lang w:bidi="fa-IR"/>
          <w:color w:val="111111"/>
          <w:sz w:val="28"/>
          <w:szCs w:val="28"/>
          <w:rtl/>
        </w:rPr>
        <w:t xml:space="preserve">من قال إنّها أربع، هی: العلم، و العدالة، و المعرفة بوجوه السّیاسة و حسن التدبیر، و أن یکون نسبه من قریش، و زاد بعضهم </w:t>
      </w:r>
      <w:r>
        <w:rPr>
          <w:rStyle w:val="FootnoteReference"/>
        </w:rPr>
        <w:footnoteReference w:id="4660"/>
      </w:r>
      <w:r>
        <w:rPr>
          <w:rFonts w:ascii="IRNazanin" w:hAnsi="IRNazanin" w:eastAsia="IRNazanin" w:cs="IRNazanin"/>
          <w:lang w:bidi="fa-IR"/>
          <w:color w:val="111111"/>
          <w:sz w:val="28"/>
          <w:szCs w:val="28"/>
          <w:rtl/>
        </w:rPr>
        <w:t xml:space="preserve">علیها سلامة الحواسّ و الأعضاء و الشجاعة، و بعض آخر </w:t>
      </w:r>
      <w:r>
        <w:rPr>
          <w:rStyle w:val="FootnoteReference"/>
        </w:rPr>
        <w:footnoteReference w:id="4661"/>
      </w:r>
      <w:r>
        <w:rPr>
          <w:rFonts w:ascii="IRNazanin" w:hAnsi="IRNazanin" w:eastAsia="IRNazanin" w:cs="IRNazanin"/>
          <w:lang w:bidi="fa-IR"/>
          <w:color w:val="111111"/>
          <w:sz w:val="28"/>
          <w:szCs w:val="28"/>
          <w:rtl/>
        </w:rPr>
        <w:t xml:space="preserve">البلوغ و الرجولیة، قال الإیجی:</w:t>
      </w:r>
    </w:p>
    <w:p>
      <w:pPr>
        <w:pStyle w:val="BookText"/>
      </w:pPr>
      <w:r>
        <w:rPr>
          <w:rFonts w:ascii="IRNazanin" w:hAnsi="IRNazanin" w:eastAsia="IRNazanin" w:cs="IRNazanin"/>
          <w:lang w:bidi="fa-IR"/>
          <w:color w:val="111111"/>
          <w:sz w:val="28"/>
          <w:szCs w:val="28"/>
          <w:rtl/>
        </w:rPr>
        <w:t xml:space="preserve">الجمهور علی أنّ أهل الإمامة: مجتهد فی الأُصول و الفروع لیقوم بأُمور الدین، ذو رأی لیقوم بأمور الملک، شجاع لیقوی علی الذبّ عن الحوزة، و قیل: لا یشترط هذه الصفات، لأنّها لا توجد، فیکون اشتراطها عبثاً أو تکلیفاً بما لا یطاق و مستلزماً للمفاسد الّتی یمکن دفعها بنصب فاقدها، نعم یجب أن یکون عدلاً لئلاّ یجور، عاقلاً لیصلح للتصرّفات، بالغاً لقصور عقل</w:t>
      </w:r>
    </w:p>
    <w:p>
      <w:pPr>
        <w:pStyle w:val="BookText"/>
      </w:pPr>
      <w:r>
        <w:rPr>
          <w:rFonts w:ascii="IRNazanin" w:hAnsi="IRNazanin" w:eastAsia="IRNazanin" w:cs="IRNazanin"/>
          <w:lang w:bidi="fa-IR"/>
          <w:color w:val="111111"/>
          <w:sz w:val="28"/>
          <w:szCs w:val="28"/>
          <w:rtl/>
        </w:rPr>
        <w:t xml:space="preserve">[شماره صفحه واقعی : 327]
</w:t>
      </w:r>
    </w:p>
    <w:p>
      <w:pPr>
        <w:sectPr>
          <w:footerReference w:type="default" r:id="rId1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الصبی، ذکراً إذ النساء ناقصات عقل و دین، حُرّاً لئلاّ یشغله خدمة السیّد و لئلّا یحتقر فیعصی. </w:t>
      </w:r>
      <w:r>
        <w:rPr>
          <w:rStyle w:val="FootnoteReference"/>
        </w:rPr>
        <w:footnoteReference w:id="4662"/>
      </w:r>
    </w:p>
    <w:p>
      <w:pPr>
        <w:pStyle w:val="BookText"/>
      </w:pPr>
      <w:r>
        <w:rPr>
          <w:rFonts w:ascii="IRNazanin" w:hAnsi="IRNazanin" w:eastAsia="IRNazanin" w:cs="IRNazanin"/>
          <w:lang w:bidi="fa-IR"/>
          <w:color w:val="111111"/>
          <w:sz w:val="28"/>
          <w:szCs w:val="28"/>
          <w:rtl/>
        </w:rPr>
        <w:t xml:space="preserve">یلاحظ علی هذه الشروط</w:t>
      </w:r>
    </w:p>
    <w:p>
      <w:pPr>
        <w:pStyle w:val="BookText"/>
      </w:pPr>
      <w:r>
        <w:rPr>
          <w:rFonts w:ascii="IRNazanin" w:hAnsi="IRNazanin" w:eastAsia="IRNazanin" w:cs="IRNazanin"/>
          <w:lang w:bidi="fa-IR"/>
          <w:color w:val="111111"/>
          <w:sz w:val="28"/>
          <w:szCs w:val="28"/>
          <w:rtl/>
        </w:rPr>
        <w:t xml:space="preserve">أوّلاً: أنّ اختلافهم فی عددها ناش من افتقادهم لنصٍّ شرعی فی مجال الإمامة، و إنّما الموجود عندهم نصوص کلّیة لا تتکفّل بتعیین هذه الشروط، و المصدر لها عندهم هو الاستحسان و الاعتبارات العقلائیة فی ذلک، و هذا ممّا یقضی منه العجب، فکیف ترک النبیّ صلی الله علیه و آله بیان هذا الأمر المهمّ شرطاً و صفة، مع أنّه بیّن أبسط الأشیاء و أدناها من المکروهات و المستحبات؟!</w:t>
      </w:r>
    </w:p>
    <w:p>
      <w:pPr>
        <w:pStyle w:val="BookText"/>
      </w:pPr>
      <w:r>
        <w:rPr>
          <w:rFonts w:ascii="IRNazanin" w:hAnsi="IRNazanin" w:eastAsia="IRNazanin" w:cs="IRNazanin"/>
          <w:lang w:bidi="fa-IR"/>
          <w:color w:val="111111"/>
          <w:sz w:val="28"/>
          <w:szCs w:val="28"/>
          <w:rtl/>
        </w:rPr>
        <w:t xml:space="preserve">و ثانیاً: أنّ اعتبار العدالة لا ینسجم مع ما ذهبوا إلیه من أنّ الإمام لا ینخلع بفسقه و ظلمه، قال الباقلانی:</w:t>
      </w:r>
    </w:p>
    <w:p>
      <w:pPr>
        <w:pStyle w:val="BookText"/>
      </w:pPr>
      <w:r>
        <w:rPr>
          <w:rFonts w:ascii="IRNazanin" w:hAnsi="IRNazanin" w:eastAsia="IRNazanin" w:cs="IRNazanin"/>
          <w:lang w:bidi="fa-IR"/>
          <w:color w:val="111111"/>
          <w:sz w:val="28"/>
          <w:szCs w:val="28"/>
          <w:rtl/>
        </w:rPr>
        <w:t xml:space="preserve">لا ینخلع الإمام بفسقه و ظلمه بغصب الأموال و تضییع الحقوق و تعطیل الحدود، و لا یجب الخروج علیه، بل یجب وعظه و تخویفه و ترک طاعته فی شیء ممّا یدعو إلیه من معاصی اللّه. </w:t>
      </w:r>
      <w:r>
        <w:rPr>
          <w:rStyle w:val="FootnoteReference"/>
        </w:rPr>
        <w:footnoteReference w:id="4663"/>
      </w:r>
    </w:p>
    <w:p>
      <w:pPr>
        <w:pStyle w:val="BookText"/>
      </w:pPr>
      <w:r>
        <w:rPr>
          <w:rFonts w:ascii="IRNazanin" w:hAnsi="IRNazanin" w:eastAsia="IRNazanin" w:cs="IRNazanin"/>
          <w:lang w:bidi="fa-IR"/>
          <w:color w:val="111111"/>
          <w:sz w:val="28"/>
          <w:szCs w:val="28"/>
          <w:rtl/>
        </w:rPr>
        <w:t xml:space="preserve">و ثالثاً: أنّ التاریخ الإسلامی یشهد بأنّ الخلفاء بعد علی علیه السلام کانوا یفقدون أکثر هذه الصلاحیات و مع ذلک مارسوا الخلافة.</w:t>
      </w:r>
    </w:p>
    <w:p>
      <w:pPr>
        <w:pStyle w:val="BookText"/>
      </w:pPr>
      <w:r>
        <w:rPr>
          <w:rFonts w:ascii="IRNazanin" w:hAnsi="IRNazanin" w:eastAsia="IRNazanin" w:cs="IRNazanin"/>
          <w:lang w:bidi="fa-IR"/>
          <w:color w:val="111111"/>
          <w:sz w:val="28"/>
          <w:szCs w:val="28"/>
          <w:rtl/>
        </w:rPr>
        <w:t xml:space="preserve">[شماره صفحه واقعی : 328]
</w:t>
      </w:r>
    </w:p>
    <w:p>
      <w:pPr>
        <w:sectPr>
          <w:footerReference w:type="default" r:id="rId1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الشیعة الإمامیة فبما أنّهم ینظرون إلی الإمامة بأنّها استمرار لوظائف الرسالة -کما تقدّم -یعتبرون فی الإمام توفّر صلاحیات عالیة لا ینالها الفرد إلّا إذا وقع تحت عنایة إلهیّة خاصّة، فهو یخلف النبیّ صلی الله علیه و آله فی العلم و العصمة و القیادة الحکمیة و غیر ذلک من الشئون، قال المحقّق البحرانی:</w:t>
      </w:r>
    </w:p>
    <w:p>
      <w:pPr>
        <w:pStyle w:val="BookText"/>
      </w:pPr>
      <w:r>
        <w:rPr>
          <w:rFonts w:ascii="IRNazanin" w:hAnsi="IRNazanin" w:eastAsia="IRNazanin" w:cs="IRNazanin"/>
          <w:lang w:bidi="fa-IR"/>
          <w:color w:val="111111"/>
          <w:sz w:val="28"/>
          <w:szCs w:val="28"/>
          <w:rtl/>
        </w:rPr>
        <w:t xml:space="preserve">إنّا لمّا بیَّنّا أنّه یجب أن یکون الإمام معصوماً وجب أن یکون مستجمعاً لأصول الکمالات النفسانیة، و هی العلم و العفّة و الشجاعة و العدالة... و یجب أن یکون أفضل الأُمة فی کلّ ما یعدّ کمالاً نفسانیاً، لأنّه مقدَّم علیهم، و المقدَّم یجب أن یکون أفضل، لأنّ تقدیم الناقص علی من هو أکمل منه قبیح عقلاً، و یجب أن یکون متبرئاً من جمیع العیوب المنفِّرة فی خلقته من الأمراض کالجذام و البرص و نحوهما، و فی نسبه و أصله کالزنا و الدناءة، لأنّ الطهارة من ذلک تجری مجری الألطاف المقرِّبة للخلق إلی قبول قوله و تمکّنه، فیجب کونه کذلک. </w:t>
      </w:r>
      <w:r>
        <w:rPr>
          <w:rStyle w:val="FootnoteReference"/>
        </w:rPr>
        <w:footnoteReference w:id="4664"/>
      </w:r>
    </w:p>
    <w:p>
      <w:pPr>
        <w:pStyle w:val="BookText"/>
      </w:pPr>
      <w:r>
        <w:rPr>
          <w:rFonts w:ascii="IRNazanin" w:hAnsi="IRNazanin" w:eastAsia="IRNazanin" w:cs="IRNazanin"/>
          <w:lang w:bidi="fa-IR"/>
          <w:color w:val="111111"/>
          <w:sz w:val="28"/>
          <w:szCs w:val="28"/>
          <w:rtl/>
        </w:rPr>
        <w:t xml:space="preserve">[شماره صفحه واقعی : 329]
</w:t>
      </w:r>
    </w:p>
    <w:p>
      <w:pPr>
        <w:sectPr>
          <w:footerReference w:type="default" r:id="rId1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330]
</w:t>
      </w:r>
    </w:p>
    <w:p>
      <w:pPr>
        <w:sectPr>
          <w:footerReference w:type="default" r:id="rId1477"/>
          <w:footnotePr>
            <w:numStart w:val="1"/>
            <w:numRestart w:val="eachPage"/>
          </w:footnotePr>
          <w:pgSz w:orient="portrait" w:w="11905.511811023622" w:h="16837.79527559055"/>
          <w:pgMar w:top="1440" w:right="1440" w:bottom="1440" w:left="1440" w:header="720" w:footer="720" w:gutter="0"/>
          <w:cols w:num="1" w:space="720"/>
        </w:sectPr>
      </w:pPr>
    </w:p>
    <w:bookmarkStart w:id="824" w:name="pg14411_143859"/>
    <w:bookmarkEnd w:id="824"/>
    <w:p>
      <w:pPr>
        <w:pStyle w:val="Heading5"/>
      </w:pPr>
      <w:bookmarkStart w:id="2620" w:name="_Toc1655"/>
      <w:r>
        <w:t>الفصل الثالث : طرق إثبات الإمامة عند أهل السنّة</w:t>
      </w:r>
      <w:bookmarkEnd w:id="2620"/>
    </w:p>
    <w:p>
      <w:pPr>
        <w:pStyle w:val="Heading6"/>
      </w:pPr>
      <w:bookmarkStart w:id="2621" w:name="_Toc1656"/>
      <w:r>
        <w:t>اشارة</w:t>
      </w:r>
      <w:bookmarkEnd w:id="2621"/>
    </w:p>
    <w:p>
      <w:pPr>
        <w:pStyle w:val="BookText"/>
      </w:pPr>
      <w:r>
        <w:rPr>
          <w:rFonts w:ascii="IRNazanin" w:hAnsi="IRNazanin" w:eastAsia="IRNazanin" w:cs="IRNazanin"/>
          <w:lang w:bidi="fa-IR"/>
          <w:color w:val="111111"/>
          <w:sz w:val="28"/>
          <w:szCs w:val="28"/>
          <w:rtl/>
        </w:rPr>
        <w:t xml:space="preserve">الطریق لإثبات الإمامة عند الشیعة الإمامیة منحصرة فی النصّ من النبیّ صلی الله علیه و آله و الإمام السابق، و سیوافیک الکلام فیه فی الفصل القادم.</w:t>
      </w:r>
    </w:p>
    <w:p>
      <w:pPr>
        <w:pStyle w:val="BookText"/>
      </w:pPr>
      <w:r>
        <w:rPr>
          <w:rFonts w:ascii="IRNazanin" w:hAnsi="IRNazanin" w:eastAsia="IRNazanin" w:cs="IRNazanin"/>
          <w:lang w:bidi="fa-IR"/>
          <w:color w:val="111111"/>
          <w:sz w:val="28"/>
          <w:szCs w:val="28"/>
          <w:rtl/>
        </w:rPr>
        <w:t xml:space="preserve">و أمّا عند أهل السنّة فلا ینحصر بذلک، بل یثبت أیضاً ببیعة أهل الحلّ و العقد، قال الإیجی:</w:t>
      </w:r>
    </w:p>
    <w:p>
      <w:pPr>
        <w:pStyle w:val="BookText"/>
      </w:pPr>
      <w:r>
        <w:rPr>
          <w:rFonts w:ascii="IRNazanin" w:hAnsi="IRNazanin" w:eastAsia="IRNazanin" w:cs="IRNazanin"/>
          <w:lang w:bidi="fa-IR"/>
          <w:color w:val="111111"/>
          <w:sz w:val="28"/>
          <w:szCs w:val="28"/>
          <w:rtl/>
        </w:rPr>
        <w:t xml:space="preserve">المقصد الثالث فیما تثبت به الإمامة، و إنّها تثبت بالنصّ من الرسول و من الإمام السابق بالإجماع و تثبت ببیعة أهل الحلّ و العقد خلافاً للشیعة، لنا ثبوت إمامة أبی بکر بالبیعة. </w:t>
      </w:r>
      <w:r>
        <w:rPr>
          <w:rStyle w:val="FootnoteReference"/>
        </w:rPr>
        <w:footnoteReference w:id="4665"/>
      </w:r>
    </w:p>
    <w:p>
      <w:pPr>
        <w:pStyle w:val="BookText"/>
      </w:pPr>
      <w:r>
        <w:rPr>
          <w:rFonts w:ascii="IRNazanin" w:hAnsi="IRNazanin" w:eastAsia="IRNazanin" w:cs="IRNazanin"/>
          <w:lang w:bidi="fa-IR"/>
          <w:color w:val="111111"/>
          <w:sz w:val="28"/>
          <w:szCs w:val="28"/>
          <w:rtl/>
        </w:rPr>
        <w:t xml:space="preserve">ثمّ إنّهم اختلفوا فی عدد من تنعقد به الإمامة علی أقوال، قال الماوردی (المتوفّی450 ه):</w:t>
      </w:r>
    </w:p>
    <w:p>
      <w:pPr>
        <w:pStyle w:val="BookText"/>
      </w:pPr>
      <w:r>
        <w:rPr>
          <w:rFonts w:ascii="IRNazanin" w:hAnsi="IRNazanin" w:eastAsia="IRNazanin" w:cs="IRNazanin"/>
          <w:lang w:bidi="fa-IR"/>
          <w:color w:val="111111"/>
          <w:sz w:val="28"/>
          <w:szCs w:val="28"/>
          <w:rtl/>
        </w:rPr>
        <w:t xml:space="preserve">اختلف العلماء فی عدد من تنعقد به الإمامة منهم علی مذاهب شتّی: فقالت طائفة: لا تنعقد إلّا بجمهور أهل الحلّ و العقد من کلّ بلد لیکون الرضا به عامّاً، و التسلیم لإمامته إجماعاً، و هذا</w:t>
      </w:r>
    </w:p>
    <w:p>
      <w:pPr>
        <w:pStyle w:val="BookText"/>
      </w:pPr>
      <w:r>
        <w:rPr>
          <w:rFonts w:ascii="IRNazanin" w:hAnsi="IRNazanin" w:eastAsia="IRNazanin" w:cs="IRNazanin"/>
          <w:lang w:bidi="fa-IR"/>
          <w:color w:val="111111"/>
          <w:sz w:val="28"/>
          <w:szCs w:val="28"/>
          <w:rtl/>
        </w:rPr>
        <w:t xml:space="preserve">[شماره صفحه واقعی : 331]
</w:t>
      </w:r>
    </w:p>
    <w:p>
      <w:pPr>
        <w:sectPr>
          <w:footerReference w:type="default" r:id="rId1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مذهب مدفوع ببیعة أبی بکر علی الخلافة باختیار من حضرها، و لم ینتظر ببیعته قدوم غائب عنها.</w:t>
      </w:r>
    </w:p>
    <w:p>
      <w:pPr>
        <w:pStyle w:val="BookText"/>
      </w:pPr>
      <w:r>
        <w:rPr>
          <w:rFonts w:ascii="IRNazanin" w:hAnsi="IRNazanin" w:eastAsia="IRNazanin" w:cs="IRNazanin"/>
          <w:lang w:bidi="fa-IR"/>
          <w:color w:val="111111"/>
          <w:sz w:val="28"/>
          <w:szCs w:val="28"/>
          <w:rtl/>
        </w:rPr>
        <w:t xml:space="preserve">و قالت طائفة أُخری: أقلّ ما تنعقد به منهم الإمامة خمسة یجتمعون علی عقدها أو یعقدها أحدهم برضا الأربعة، استدلالاً بأمرین:</w:t>
      </w:r>
    </w:p>
    <w:p>
      <w:pPr>
        <w:pStyle w:val="BookText"/>
      </w:pPr>
      <w:r>
        <w:rPr>
          <w:rFonts w:ascii="IRNazanin" w:hAnsi="IRNazanin" w:eastAsia="IRNazanin" w:cs="IRNazanin"/>
          <w:lang w:bidi="fa-IR"/>
          <w:color w:val="111111"/>
          <w:sz w:val="28"/>
          <w:szCs w:val="28"/>
          <w:rtl/>
        </w:rPr>
        <w:t xml:space="preserve">أحدهما: أنّ بیعة أبی بکر انعقدت بخمسة اجتمعوا علیها ثمَّ تابعهم الناس فیها، و هم: عمر بن الخطاب، و أبو عبیدة بن الجراح، و أسید بن خضیر، و بشر بن سعد، و سالم مولی أبی حذیفة.</w:t>
      </w:r>
    </w:p>
    <w:p>
      <w:pPr>
        <w:pStyle w:val="BookText"/>
      </w:pPr>
      <w:r>
        <w:rPr>
          <w:rFonts w:ascii="IRNazanin" w:hAnsi="IRNazanin" w:eastAsia="IRNazanin" w:cs="IRNazanin"/>
          <w:lang w:bidi="fa-IR"/>
          <w:color w:val="111111"/>
          <w:sz w:val="28"/>
          <w:szCs w:val="28"/>
          <w:rtl/>
        </w:rPr>
        <w:t xml:space="preserve">و الثانی: أنّ عمر جعل الشوری فی ستّة لیعقد لأحدهم برضا الخمسة، و هذا قول أکثر الفقهاء، و المتکلّمین من أهل البصرة.</w:t>
      </w:r>
    </w:p>
    <w:p>
      <w:pPr>
        <w:pStyle w:val="BookText"/>
      </w:pPr>
      <w:r>
        <w:rPr>
          <w:rFonts w:ascii="IRNazanin" w:hAnsi="IRNazanin" w:eastAsia="IRNazanin" w:cs="IRNazanin"/>
          <w:lang w:bidi="fa-IR"/>
          <w:color w:val="111111"/>
          <w:sz w:val="28"/>
          <w:szCs w:val="28"/>
          <w:rtl/>
        </w:rPr>
        <w:t xml:space="preserve">و قال آخرون من علماء الکوفة: تنعقد بثلاثة یتولاّها أحدهم برضا الاثنین لیکونوا حاکماً و شاهدین، کما یصحّ عقد النکاح بولی و شاهدین.</w:t>
      </w:r>
    </w:p>
    <w:p>
      <w:pPr>
        <w:pStyle w:val="BookText"/>
      </w:pPr>
      <w:r>
        <w:rPr>
          <w:rFonts w:ascii="IRNazanin" w:hAnsi="IRNazanin" w:eastAsia="IRNazanin" w:cs="IRNazanin"/>
          <w:lang w:bidi="fa-IR"/>
          <w:color w:val="111111"/>
          <w:sz w:val="28"/>
          <w:szCs w:val="28"/>
          <w:rtl/>
        </w:rPr>
        <w:t xml:space="preserve">و قالت طائفة أخری: تنعقد بواحد، لأنّ العباس قال لعلی: امدد یدک أبایعک، فیقول الناس عمّ رسول اللّه صلی الله علیه و آله بایع ابن عمِّه فلا یختلف علیک اثنان، و لأنّه حکم و حکم واحد نافذ». </w:t>
      </w:r>
      <w:r>
        <w:rPr>
          <w:rStyle w:val="FootnoteReference"/>
        </w:rPr>
        <w:footnoteReference w:id="4666"/>
      </w:r>
    </w:p>
    <w:p>
      <w:pPr>
        <w:pStyle w:val="BookText"/>
      </w:pPr>
      <w:r>
        <w:rPr>
          <w:rFonts w:ascii="IRNazanin" w:hAnsi="IRNazanin" w:eastAsia="IRNazanin" w:cs="IRNazanin"/>
          <w:lang w:bidi="fa-IR"/>
          <w:color w:val="111111"/>
          <w:sz w:val="28"/>
          <w:szCs w:val="28"/>
          <w:rtl/>
        </w:rPr>
        <w:t xml:space="preserve">[شماره صفحه واقعی : 332]
</w:t>
      </w:r>
    </w:p>
    <w:p>
      <w:pPr>
        <w:sectPr>
          <w:footerReference w:type="default" r:id="rId1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یلاحظ علی هذه الأقوال و النظریات</w:t>
      </w:r>
    </w:p>
    <w:p>
      <w:pPr>
        <w:pStyle w:val="BookText"/>
      </w:pPr>
      <w:r>
        <w:rPr>
          <w:rFonts w:ascii="IRNazanin" w:hAnsi="IRNazanin" w:eastAsia="IRNazanin" w:cs="IRNazanin"/>
          <w:lang w:bidi="fa-IR"/>
          <w:color w:val="111111"/>
          <w:sz w:val="28"/>
          <w:szCs w:val="28"/>
          <w:rtl/>
        </w:rPr>
        <w:t xml:space="preserve">أوّلاً: أنّ موقف أصحابها موقف من اعتقد بصحّة خلافة الخلفاء، فاستدلّ به علی ما یرتئیه من الرأی، و هذا، استدلال علی المدّعی بنفسها، و هو دور واضح.</w:t>
      </w:r>
    </w:p>
    <w:p>
      <w:pPr>
        <w:pStyle w:val="BookText"/>
      </w:pPr>
      <w:r>
        <w:rPr>
          <w:rFonts w:ascii="IRNazanin" w:hAnsi="IRNazanin" w:eastAsia="IRNazanin" w:cs="IRNazanin"/>
          <w:lang w:bidi="fa-IR"/>
          <w:color w:val="111111"/>
          <w:sz w:val="28"/>
          <w:szCs w:val="28"/>
          <w:rtl/>
        </w:rPr>
        <w:t xml:space="preserve">و ثانیاً: أنّ هذا الاختلاف الفاحش فی کیفیة عقد الإمامة، یعرب عن بطلان نفس الأصل، لأنّه إذا کانت الإمامة مفوَّضة إلی الأُمّة، کان علی النبیّ صلی الله علیه و آله بیان تفاصیلها و طریق انعقادها، و لیس عقد الإمام لرجل أقلّ من عقد النکاح بین الزوجین الّذی اهتمّ القرآن و السنّة ببیانه و تحدیده، و العجب أنّ عقد الإمامة الّذی تتوقّف علیه حیاة الأُمّة، لم یطرح فی النصوص -علی زعم القوم -و لم یتبیّن حدوده و شرائطه.</w:t>
      </w:r>
    </w:p>
    <w:p>
      <w:pPr>
        <w:pStyle w:val="BookText"/>
      </w:pPr>
      <w:r>
        <w:rPr>
          <w:rFonts w:ascii="IRNazanin" w:hAnsi="IRNazanin" w:eastAsia="IRNazanin" w:cs="IRNazanin"/>
          <w:lang w:bidi="fa-IR"/>
          <w:color w:val="111111"/>
          <w:sz w:val="28"/>
          <w:szCs w:val="28"/>
          <w:rtl/>
        </w:rPr>
        <w:t xml:space="preserve">و العجب من هؤلاء الأعلام کیف سکتوا عن الاعتراضات الهائلة الّتی توجّهت من نفس الصحابة من الأنصار و المهاجرین علی خلافة الخلفاء الّذین تمَّت بیعتهم ببیعة الخمسة فی السقیفة، أو بیعة أبی بکر لعمر، أو بشوری الستّة، فإنّ من کان ملِمّاً بالتاریخ، یری کیف کانت عقیرة کثیر من الصحابة مرتفعة بالاعتراض، حتی أنّ الزبیر وقف فی السقیفة أمام المبایعین و قد اخترط سیفه و هو یقول:</w:t>
      </w:r>
    </w:p>
    <w:p>
      <w:pPr>
        <w:pStyle w:val="BookText"/>
      </w:pPr>
      <w:r>
        <w:rPr>
          <w:rFonts w:ascii="IRNazanin" w:hAnsi="IRNazanin" w:eastAsia="IRNazanin" w:cs="IRNazanin"/>
          <w:lang w:bidi="fa-IR"/>
          <w:color w:val="111111"/>
          <w:sz w:val="28"/>
          <w:szCs w:val="28"/>
          <w:rtl/>
        </w:rPr>
        <w:t xml:space="preserve">«لا أغمده حتی یبایع علیّ، فقال عمر: علیکم الکلب فأخذ سیفه من یده، و ضرب به الحجر و کسر». </w:t>
      </w:r>
      <w:r>
        <w:rPr>
          <w:rStyle w:val="FootnoteReference"/>
        </w:rPr>
        <w:footnoteReference w:id="4667"/>
      </w:r>
    </w:p>
    <w:p>
      <w:pPr>
        <w:pStyle w:val="BookText"/>
      </w:pPr>
      <w:r>
        <w:rPr>
          <w:rFonts w:ascii="IRNazanin" w:hAnsi="IRNazanin" w:eastAsia="IRNazanin" w:cs="IRNazanin"/>
          <w:lang w:bidi="fa-IR"/>
          <w:color w:val="111111"/>
          <w:sz w:val="28"/>
          <w:szCs w:val="28"/>
          <w:rtl/>
        </w:rPr>
        <w:t xml:space="preserve">[شماره صفحه واقعی : 333]
</w:t>
      </w:r>
    </w:p>
    <w:p>
      <w:pPr>
        <w:sectPr>
          <w:footerReference w:type="default" r:id="rId1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هل الشوری أساس الحکم و الخلافة؟</w:t>
      </w:r>
    </w:p>
    <w:p>
      <w:pPr>
        <w:pStyle w:val="BookText"/>
      </w:pPr>
      <w:r>
        <w:rPr>
          <w:rFonts w:ascii="IRNazanin" w:hAnsi="IRNazanin" w:eastAsia="IRNazanin" w:cs="IRNazanin"/>
          <w:lang w:bidi="fa-IR"/>
          <w:color w:val="111111"/>
          <w:sz w:val="28"/>
          <w:szCs w:val="28"/>
          <w:rtl/>
        </w:rPr>
        <w:t xml:space="preserve">قد حاول المتجدّدون من متکلّمی أهل السنّة، صبَّ صیغة الحکومة الإسلامیة علی أساس المشورة بجعله بمنزلة الاستفتاء الشعبی و استدلّوا علی ذلک بآیتین:</w:t>
      </w:r>
    </w:p>
    <w:p>
      <w:pPr>
        <w:pStyle w:val="BookText"/>
      </w:pPr>
      <w:r>
        <w:rPr>
          <w:rFonts w:ascii="Amiri" w:hAnsi="Amiri" w:eastAsia="Amiri" w:cs="Amiri"/>
          <w:lang w:bidi="ar-SA"/>
          <w:color w:val="111111"/>
          <w:sz w:val="28"/>
          <w:szCs w:val="28"/>
          <w:rtl/>
        </w:rPr>
        <w:t xml:space="preserve">الآیة الأُولی: قوله سبحانه: «وَ شٰاوِرْهُمْ فِی الْأَمْرِ فَإِذٰا عَزَمْتَ فَتَوَکَّلْ عَلَی اللّٰهِ» </w:t>
      </w:r>
      <w:r>
        <w:rPr>
          <w:rStyle w:val="FootnoteReference"/>
        </w:rPr>
        <w:footnoteReference w:id="46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فاللّه سبحانه أمر نبیّه بالمشاورة تعلیماً للأُمّة حتی یشاوروا فی مهامّ الأُمور و منها الخلافة.</w:t>
      </w:r>
    </w:p>
    <w:p>
      <w:pPr>
        <w:pStyle w:val="BookText"/>
      </w:pPr>
      <w:r>
        <w:rPr>
          <w:rFonts w:ascii="IRNazanin" w:hAnsi="IRNazanin" w:eastAsia="IRNazanin" w:cs="IRNazanin"/>
          <w:lang w:bidi="fa-IR"/>
          <w:color w:val="111111"/>
          <w:sz w:val="28"/>
          <w:szCs w:val="28"/>
          <w:rtl/>
        </w:rPr>
        <w:t xml:space="preserve">یلاحظ علیه: أوّلاً: أنّ الخطاب فی الآیة متوجّه إلی الحاکم الّذی استقرّت حکومته، فیأمره سبحانه أن ینتفع من آراء رعیته، فأقصی ما یمکن التجاوز به عن الآیة هو أنّ من وظائف کلّ الحکام التشاور مع الأُٰمّة، و أمّا أنّ الخلافة بنفس الشوری، فلا یمکن الاستدلال علیه بها.</w:t>
      </w:r>
    </w:p>
    <w:p>
      <w:pPr>
        <w:pStyle w:val="BookText"/>
      </w:pPr>
      <w:r>
        <w:rPr>
          <w:rFonts w:ascii="Amiri" w:hAnsi="Amiri" w:eastAsia="Amiri" w:cs="Amiri"/>
          <w:lang w:bidi="ar-SA"/>
          <w:color w:val="111111"/>
          <w:sz w:val="28"/>
          <w:szCs w:val="28"/>
          <w:rtl/>
        </w:rPr>
        <w:t xml:space="preserve">و ثانیاً: أنّ المتبادر من الآیة هو أنّ التشاور لا یوجب حکماً للحاکم، و لا یلزمه بشیء، بل هو یقلّب وجوه الرأی و یستعرض الأفکار المختلفة، ثمّ یأخذ بما هو المفید فی نظره، حیث قال تعالی: «فَإِذٰا عَزَمْتَ فَتَوَکَّلْ عَلَی اللّٰهِ».</w:t>
      </w:r>
    </w:p>
    <w:p>
      <w:pPr>
        <w:pStyle w:val="BookText"/>
      </w:pPr>
      <w:r>
        <w:rPr>
          <w:rFonts w:ascii="IRNazanin" w:hAnsi="IRNazanin" w:eastAsia="IRNazanin" w:cs="IRNazanin"/>
          <w:lang w:bidi="fa-IR"/>
          <w:color w:val="111111"/>
          <w:sz w:val="28"/>
          <w:szCs w:val="28"/>
          <w:rtl/>
        </w:rPr>
        <w:t xml:space="preserve">[شماره صفحه واقعی : 334]
</w:t>
      </w:r>
    </w:p>
    <w:p>
      <w:pPr>
        <w:sectPr>
          <w:footerReference w:type="default" r:id="rId1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 ذلک یعرب عن أنّ الآیة ترجع إلی غیر مسألة الخلافة و الحکومة، و لأجل ذلک لم نر أحداً من الحاضرین فی السقیفة احتجّ بهذه الآیة.</w:t>
      </w:r>
    </w:p>
    <w:p>
      <w:pPr>
        <w:pStyle w:val="BookText"/>
      </w:pPr>
      <w:r>
        <w:rPr>
          <w:rFonts w:ascii="IRNazanin" w:hAnsi="IRNazanin" w:eastAsia="IRNazanin" w:cs="IRNazanin"/>
          <w:lang w:bidi="fa-IR"/>
          <w:color w:val="111111"/>
          <w:sz w:val="28"/>
          <w:szCs w:val="28"/>
          <w:rtl/>
        </w:rPr>
        <w:t xml:space="preserve">الآیة الثانیة: قوله سبحانه:</w:t>
      </w:r>
    </w:p>
    <w:p>
      <w:pPr>
        <w:pStyle w:val="BookText"/>
      </w:pPr>
      <w:r>
        <w:rPr>
          <w:rFonts w:ascii="Amiri" w:hAnsi="Amiri" w:eastAsia="Amiri" w:cs="Amiri"/>
          <w:lang w:bidi="ar-SA"/>
          <w:color w:val="111111"/>
          <w:sz w:val="28"/>
          <w:szCs w:val="28"/>
          <w:rtl/>
        </w:rPr>
        <w:t xml:space="preserve">«وَ الَّذِینَ اسْتَجٰابُوا لِرَبِّهِمْ وَ أَقٰامُوا الصَّلاٰةَ وَ أَمْرُهُمْ شُوریٰ بَیْنَهُمْ وَ مِمّٰا رَزَقْنٰاهُمْ یُنْفِقُونَ» </w:t>
      </w:r>
      <w:r>
        <w:rPr>
          <w:rStyle w:val="FootnoteReference"/>
        </w:rPr>
        <w:footnoteReference w:id="46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ببیان أنّ کلمة «أمر» أضیفت إلی ضمیر «هم» و هو یفید العموم لکلّ أمر و منه الخلافة، فیعود معنی الآیة: إنّ شأن المؤمنین فی کلّ مورد شوری بینهم.</w:t>
      </w:r>
    </w:p>
    <w:p>
      <w:pPr>
        <w:pStyle w:val="BookText"/>
      </w:pPr>
      <w:r>
        <w:rPr>
          <w:rFonts w:ascii="IRNazanin" w:hAnsi="IRNazanin" w:eastAsia="IRNazanin" w:cs="IRNazanin"/>
          <w:lang w:bidi="fa-IR"/>
          <w:color w:val="111111"/>
          <w:sz w:val="28"/>
          <w:szCs w:val="28"/>
          <w:rtl/>
        </w:rPr>
        <w:t xml:space="preserve">یلاحظ علیه: أنّ الآیة حثَّت علی الشوریٰ فیما یمت إلی شئون المؤمنین بصلة، لا فیما هو خارج عن حوزة أمورهم، و کون تعیین الإمام داخلاً فی أُمورهم فهو أوّل الکلام، إذ لا ندری -علی الفرض -هل هو من شئونهم أو من شئون اللّه سبحانه؟ و لا ندری، هل هی إمرة و ولایة إلهیّة تتمّ بنصبه سبحانه و تعیینه، أو إمرة و ولایة شعبیّة یجوز للناس التدخّل فیها؟</w:t>
      </w:r>
    </w:p>
    <w:p>
      <w:pPr>
        <w:pStyle w:val="BookText"/>
      </w:pPr>
      <w:r>
        <w:rPr>
          <w:rFonts w:ascii="IRNazanin" w:hAnsi="IRNazanin" w:eastAsia="IRNazanin" w:cs="IRNazanin"/>
          <w:lang w:bidi="fa-IR"/>
          <w:color w:val="111111"/>
          <w:sz w:val="28"/>
          <w:szCs w:val="28"/>
          <w:rtl/>
        </w:rPr>
        <w:t xml:space="preserve">فإن قلت: لو لم تکن الشوری أساس الحکم، فلما ذا استدلّ بها الإمام علی علیه السلام علی المخالف، و قال مخاطباً لمعاویة: «إنّه بایعنی القوم الّذین بایعوا أبا بکر و عمر و عثمان علی ما بایعوهم علیه»؟ </w:t>
      </w:r>
      <w:r>
        <w:rPr>
          <w:rStyle w:val="FootnoteReference"/>
        </w:rPr>
        <w:footnoteReference w:id="4670"/>
      </w:r>
    </w:p>
    <w:p>
      <w:pPr>
        <w:pStyle w:val="BookText"/>
      </w:pPr>
      <w:r>
        <w:rPr>
          <w:rFonts w:ascii="IRNazanin" w:hAnsi="IRNazanin" w:eastAsia="IRNazanin" w:cs="IRNazanin"/>
          <w:lang w:bidi="fa-IR"/>
          <w:color w:val="111111"/>
          <w:sz w:val="28"/>
          <w:szCs w:val="28"/>
          <w:rtl/>
        </w:rPr>
        <w:t xml:space="preserve">قلت: الاستدلال بالشوری کان من باب الجدل حیث بدأ رسالته بقوله:</w:t>
      </w:r>
    </w:p>
    <w:p>
      <w:pPr>
        <w:pStyle w:val="BookText"/>
      </w:pPr>
      <w:r>
        <w:rPr>
          <w:rFonts w:ascii="IRNazanin" w:hAnsi="IRNazanin" w:eastAsia="IRNazanin" w:cs="IRNazanin"/>
          <w:lang w:bidi="fa-IR"/>
          <w:color w:val="111111"/>
          <w:sz w:val="28"/>
          <w:szCs w:val="28"/>
          <w:rtl/>
        </w:rPr>
        <w:t xml:space="preserve">[شماره صفحه واقعی : 335]
</w:t>
      </w:r>
    </w:p>
    <w:p>
      <w:pPr>
        <w:sectPr>
          <w:footerReference w:type="default" r:id="rId1482"/>
          <w:footnotePr>
            <w:numStart w:val="1"/>
            <w:numRestart w:val="eachPage"/>
          </w:footnotePr>
          <w:pgSz w:orient="portrait" w:w="11905.511811023622" w:h="16837.79527559055"/>
          <w:pgMar w:top="1440" w:right="1440" w:bottom="1440" w:left="1440" w:header="720" w:footer="720" w:gutter="0"/>
          <w:cols w:num="1" w:space="720"/>
        </w:sectPr>
      </w:pPr>
    </w:p>
    <w:bookmarkStart w:id="825" w:name="pg14411_143864"/>
    <w:bookmarkEnd w:id="825"/>
    <w:p>
      <w:pPr>
        <w:pStyle w:val="BookText"/>
      </w:pPr>
      <w:r>
        <w:rPr>
          <w:rFonts w:ascii="IRNazanin" w:hAnsi="IRNazanin" w:eastAsia="IRNazanin" w:cs="IRNazanin"/>
          <w:lang w:bidi="fa-IR"/>
          <w:color w:val="111111"/>
          <w:sz w:val="28"/>
          <w:szCs w:val="28"/>
          <w:rtl/>
        </w:rPr>
        <w:t xml:space="preserve">«أمّا بعد، فإنّ بیعتی بالمدینة لزمتک و أنت بالشام، لأنّه بایعنی الّذین بایعوا أبا بکر و عمر...».</w:t>
      </w:r>
    </w:p>
    <w:p>
      <w:pPr>
        <w:pStyle w:val="BookText"/>
      </w:pPr>
      <w:r>
        <w:rPr>
          <w:rFonts w:ascii="IRNazanin" w:hAnsi="IRNazanin" w:eastAsia="IRNazanin" w:cs="IRNazanin"/>
          <w:lang w:bidi="fa-IR"/>
          <w:color w:val="111111"/>
          <w:sz w:val="28"/>
          <w:szCs w:val="28"/>
          <w:rtl/>
        </w:rPr>
        <w:t xml:space="preserve">ثمّ ختمها بقوله: «فادخل فیما دخل فیه المسلمون». </w:t>
      </w:r>
      <w:r>
        <w:rPr>
          <w:rStyle w:val="FootnoteReference"/>
        </w:rPr>
        <w:footnoteReference w:id="4671"/>
      </w:r>
    </w:p>
    <w:p>
      <w:pPr>
        <w:pStyle w:val="BookText"/>
      </w:pPr>
      <w:r>
        <w:rPr>
          <w:rFonts w:ascii="IRNazanin" w:hAnsi="IRNazanin" w:eastAsia="IRNazanin" w:cs="IRNazanin"/>
          <w:lang w:bidi="fa-IR"/>
          <w:color w:val="111111"/>
          <w:sz w:val="28"/>
          <w:szCs w:val="28"/>
          <w:rtl/>
        </w:rPr>
        <w:t xml:space="preserve">فالابتداء بالکلام بخلافة الشیخین یعرب عن أنّه فی مقام إلزام معاویة الّذی یعتبر البیعة وجهاً شرعیاً للخلافة، و لو لا ذلک لما کان وجه لذکر خلافة الشیخین، بل لاستدلّ بنفس الشوری. و لو کان الإمام علیّ علیه السلام یری أنّ الشوری أساس و مصدر شرعی للخلافة لم یطعن فی خلافة الخلفاء الثلاثة قبله و کلماته علیه السلام فی الخطبة الشقشقیّة و غیرها تدلّ علی أنّ خلافتهم لم تکن مشروعة. و أنّه علیه السلام إنّما لم یقم بالمعارضة أو وافقهم فی شئون الحکومة فی الجملة قیاماً بمصالح الإسلام و المسلمین.</w:t>
      </w:r>
    </w:p>
    <w:p>
      <w:pPr>
        <w:pStyle w:val="Heading6"/>
      </w:pPr>
      <w:bookmarkStart w:id="2622" w:name="_Toc1657"/>
      <w:r>
        <w:t>تصوّر النبیّ الأکرم للقیادة بعده</w:t>
      </w:r>
      <w:bookmarkEnd w:id="2622"/>
    </w:p>
    <w:p>
      <w:pPr>
        <w:pStyle w:val="BookText"/>
      </w:pPr>
      <w:r>
        <w:rPr>
          <w:rFonts w:ascii="IRNazanin" w:hAnsi="IRNazanin" w:eastAsia="IRNazanin" w:cs="IRNazanin"/>
          <w:lang w:bidi="fa-IR"/>
          <w:color w:val="111111"/>
          <w:sz w:val="28"/>
          <w:szCs w:val="28"/>
          <w:rtl/>
        </w:rPr>
        <w:t xml:space="preserve">إنّ الکلمات المأثورة عن الرسول الأکرم صلی الله علیه و آله ، تدلّ علی أنّه صلی الله علیه و آله کان یعتبر أمر القیادة بعده مسألة إلهیّة و حقّاً خاصّاً للّه جلّ جلاله، فإنّه صلی الله علیه و آله لمّا دعا بنی عامر إلی الإسلام و قد جاءوا فی موسم الحج إلی مکّة، قال رئیسهم: أ رأیت أنّ نحن بایعناک علی أمرک، ثمّ أظهرک اللّه علی من خالفک، أ یکون لنا الأمر من بعدک؟</w:t>
      </w:r>
    </w:p>
    <w:p>
      <w:pPr>
        <w:pStyle w:val="BookText"/>
      </w:pPr>
      <w:r>
        <w:rPr>
          <w:rFonts w:ascii="IRNazanin" w:hAnsi="IRNazanin" w:eastAsia="IRNazanin" w:cs="IRNazanin"/>
          <w:lang w:bidi="fa-IR"/>
          <w:color w:val="111111"/>
          <w:sz w:val="28"/>
          <w:szCs w:val="28"/>
          <w:rtl/>
        </w:rPr>
        <w:t xml:space="preserve">[شماره صفحه واقعی : 336]
</w:t>
      </w:r>
    </w:p>
    <w:p>
      <w:pPr>
        <w:sectPr>
          <w:footerReference w:type="default" r:id="rId1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فأجابه صلی الله علیه و آله بقوله: «الأمر إلی اللّه یضعه حیث یشاء». </w:t>
      </w:r>
      <w:r>
        <w:rPr>
          <w:rStyle w:val="FootnoteReference"/>
        </w:rPr>
        <w:footnoteReference w:id="4672"/>
      </w:r>
    </w:p>
    <w:p>
      <w:pPr>
        <w:pStyle w:val="BookText"/>
      </w:pPr>
      <w:r>
        <w:rPr>
          <w:rFonts w:ascii="Amiri" w:hAnsi="Amiri" w:eastAsia="Amiri" w:cs="Amiri"/>
          <w:lang w:bidi="ar-SA"/>
          <w:color w:val="111111"/>
          <w:sz w:val="28"/>
          <w:szCs w:val="28"/>
          <w:rtl/>
        </w:rPr>
        <w:t xml:space="preserve">فلو کان أمر الخلافة بید الأُمة لکان علیه صلی الله علیه و آله أن یقول الأمر إلی الأُمّة، أو إلی أهل الحلّ و العقد، أو ما یشابه ذلک، فتفویض أمر الخلافة إلی اللّه سبحانه ظاهر فی کونها کالنبوّة یضعها سبحانه حیث یشاء، قال تعالی: «اللّٰهُ أَعْلَمُ حَیْثُ یَجْعَلُ رِسٰالَتَهُ» </w:t>
      </w:r>
      <w:r>
        <w:rPr>
          <w:rStyle w:val="FootnoteReference"/>
        </w:rPr>
        <w:footnoteReference w:id="4673"/>
      </w:r>
      <w:r>
        <w:rPr>
          <w:rFonts w:ascii="IRNazanin" w:hAnsi="IRNazanin" w:eastAsia="IRNazanin" w:cs="IRNazanin"/>
          <w:lang w:bidi="fa-IR"/>
          <w:color w:val="111111"/>
          <w:sz w:val="28"/>
          <w:szCs w:val="28"/>
          <w:rtl/>
        </w:rPr>
        <w:t xml:space="preserve">فاللسان فی موردین واحد.</w:t>
      </w:r>
    </w:p>
    <w:p>
      <w:pPr>
        <w:pStyle w:val="BookText"/>
      </w:pPr>
      <w:r>
        <w:rPr>
          <w:rFonts w:ascii="IRNazanin" w:hAnsi="IRNazanin" w:eastAsia="IRNazanin" w:cs="IRNazanin"/>
          <w:lang w:bidi="fa-IR"/>
          <w:color w:val="111111"/>
          <w:sz w:val="28"/>
          <w:szCs w:val="28"/>
          <w:rtl/>
        </w:rPr>
        <w:t xml:space="preserve">أضف إلی ذلک أنّ هناک نصوصاً تشیر إلی ما فی مرتکز العقل، من أنّ ترک الأُمّة بلا قائد و إمام قبیح علی من بیده زمام الأمر، هذه عائشة تقول لعبد اللّه بن عمر: «یا بُنیّ أبلغ عمر سلامی و قل له، لا تدع أُمّة محمّد بلا راع». </w:t>
      </w:r>
      <w:r>
        <w:rPr>
          <w:rStyle w:val="FootnoteReference"/>
        </w:rPr>
        <w:footnoteReference w:id="4674"/>
      </w:r>
    </w:p>
    <w:p>
      <w:pPr>
        <w:pStyle w:val="BookText"/>
      </w:pPr>
      <w:r>
        <w:rPr>
          <w:rFonts w:ascii="IRNazanin" w:hAnsi="IRNazanin" w:eastAsia="IRNazanin" w:cs="IRNazanin"/>
          <w:lang w:bidi="fa-IR"/>
          <w:color w:val="111111"/>
          <w:sz w:val="28"/>
          <w:szCs w:val="28"/>
          <w:rtl/>
        </w:rPr>
        <w:t xml:space="preserve">و إنّما قالت ذلک عند ما اغتیل عمر و أحسّ بالموت، و أرسل ابنه إلی عائشة لیستأذن منها أن یدفن فی بیتها مع رسول اللّه صلی الله علیه و آله و مع أبی بکر.</w:t>
      </w:r>
    </w:p>
    <w:p>
      <w:pPr>
        <w:pStyle w:val="BookText"/>
      </w:pPr>
      <w:r>
        <w:rPr>
          <w:rFonts w:ascii="IRNazanin" w:hAnsi="IRNazanin" w:eastAsia="IRNazanin" w:cs="IRNazanin"/>
          <w:lang w:bidi="fa-IR"/>
          <w:color w:val="111111"/>
          <w:sz w:val="28"/>
          <w:szCs w:val="28"/>
          <w:rtl/>
        </w:rPr>
        <w:t xml:space="preserve">و هذا عبد اللّه بن عمر یقول لأبیه: «إنّی سمعت الناس یقولون مقالة، فآلیت أن أقولها لک، و زعموا أنّک غیر مستخلف، و أنّه لو کان لک راعی إبل أو غنم ثمّ جاءک و ترکها، لرأیت أن قد ضیّع، فرعایة الناس أشدّ». </w:t>
      </w:r>
      <w:r>
        <w:rPr>
          <w:rStyle w:val="FootnoteReference"/>
        </w:rPr>
        <w:footnoteReference w:id="4675"/>
      </w:r>
    </w:p>
    <w:p>
      <w:pPr>
        <w:pStyle w:val="BookText"/>
      </w:pPr>
      <w:r>
        <w:rPr>
          <w:rFonts w:ascii="IRNazanin" w:hAnsi="IRNazanin" w:eastAsia="IRNazanin" w:cs="IRNazanin"/>
          <w:lang w:bidi="fa-IR"/>
          <w:color w:val="111111"/>
          <w:sz w:val="28"/>
          <w:szCs w:val="28"/>
          <w:rtl/>
        </w:rPr>
        <w:t xml:space="preserve">و بذلک استصوب معاویة أخذه البیعة من الناس لابنه یزید و قال: «إنّی کرهت أن أدع أمّة محمّد بعدی کالضأن لا راعی لها». </w:t>
      </w:r>
      <w:r>
        <w:rPr>
          <w:rStyle w:val="FootnoteReference"/>
        </w:rPr>
        <w:footnoteReference w:id="4676"/>
      </w:r>
    </w:p>
    <w:p>
      <w:pPr>
        <w:pStyle w:val="BookText"/>
      </w:pPr>
      <w:r>
        <w:rPr>
          <w:rFonts w:ascii="IRNazanin" w:hAnsi="IRNazanin" w:eastAsia="IRNazanin" w:cs="IRNazanin"/>
          <w:lang w:bidi="fa-IR"/>
          <w:color w:val="111111"/>
          <w:sz w:val="28"/>
          <w:szCs w:val="28"/>
          <w:rtl/>
        </w:rPr>
        <w:t xml:space="preserve">[شماره صفحه واقعی : 337]
</w:t>
      </w:r>
    </w:p>
    <w:p>
      <w:pPr>
        <w:sectPr>
          <w:footerReference w:type="default" r:id="rId1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فإذا کان ترک الأُمّة بلا راع، أمراً غیر صحیح فی منطق العقل، فکیف یجوز لهؤلاء أن ینسبوا إلی النبیّ صلی الله علیه و آله أنّه ترک الأُمة بلا راع؟! فکأنَّ هؤلاء کانوا أعطف علی الأُمّة من النبیّ الأکرم صلی الله علیه و آله ، إنّ هذا ممّا یقضی منه العجب.</w:t>
      </w:r>
    </w:p>
    <w:p>
      <w:pPr>
        <w:pStyle w:val="BookText"/>
      </w:pPr>
      <w:r>
        <w:rPr>
          <w:rFonts w:ascii="IRNazanin" w:hAnsi="IRNazanin" w:eastAsia="IRNazanin" w:cs="IRNazanin"/>
          <w:lang w:bidi="fa-IR"/>
          <w:color w:val="111111"/>
          <w:sz w:val="28"/>
          <w:szCs w:val="28"/>
          <w:rtl/>
        </w:rPr>
        <w:t xml:space="preserve">[شماره صفحه واقعی : 338]
</w:t>
      </w:r>
    </w:p>
    <w:p>
      <w:pPr>
        <w:sectPr>
          <w:footerReference w:type="default" r:id="rId1485"/>
          <w:footnotePr>
            <w:numStart w:val="1"/>
            <w:numRestart w:val="eachPage"/>
          </w:footnotePr>
          <w:pgSz w:orient="portrait" w:w="11905.511811023622" w:h="16837.79527559055"/>
          <w:pgMar w:top="1440" w:right="1440" w:bottom="1440" w:left="1440" w:header="720" w:footer="720" w:gutter="0"/>
          <w:cols w:num="1" w:space="720"/>
        </w:sectPr>
      </w:pPr>
    </w:p>
    <w:bookmarkStart w:id="826" w:name="pg14411_143867"/>
    <w:bookmarkEnd w:id="826"/>
    <w:p>
      <w:pPr>
        <w:pStyle w:val="Heading5"/>
      </w:pPr>
      <w:bookmarkStart w:id="2623" w:name="_Toc1658"/>
      <w:r>
        <w:t>الفصل الرابع : أدلة وجوب النصّ فی الإمامة عند الشیعة الإمامیة</w:t>
      </w:r>
      <w:bookmarkEnd w:id="2623"/>
    </w:p>
    <w:p>
      <w:pPr>
        <w:pStyle w:val="Heading6"/>
      </w:pPr>
      <w:bookmarkStart w:id="2624" w:name="_Toc1659"/>
      <w:r>
        <w:t>اشارة</w:t>
      </w:r>
      <w:bookmarkEnd w:id="2624"/>
    </w:p>
    <w:p>
      <w:pPr>
        <w:pStyle w:val="BookText"/>
      </w:pPr>
      <w:r>
        <w:rPr>
          <w:rFonts w:ascii="IRNazanin" w:hAnsi="IRNazanin" w:eastAsia="IRNazanin" w:cs="IRNazanin"/>
          <w:lang w:bidi="fa-IR"/>
          <w:color w:val="111111"/>
          <w:sz w:val="28"/>
          <w:szCs w:val="28"/>
          <w:rtl/>
        </w:rPr>
        <w:t xml:space="preserve">إنّ الإمامة عند الشیعة تختلف فی حقیقتها عما لدی أهل السنّة، فهی إمرة إلهیة و استمرار لوظائف النبوّة کلّها سوی تحمّل الوحی الإلهی، و مقتضی هذا اتّصاف الإمام بالشروط المشترطة فی النبیّ، سوی کونه طرفاً للوحی التشریعی، و بناءً علی هذا ینحصر طریق ثبوت الإمامة بتنصیص من اللّه و تنصیب من النبیّ صلی الله علیه و آله أو الإمام السابق، و إلیک فیما یلی براهین هذا الأصل:</w:t>
      </w:r>
    </w:p>
    <w:p>
      <w:pPr>
        <w:pStyle w:val="Heading6"/>
      </w:pPr>
      <w:bookmarkStart w:id="2625" w:name="_Toc1660"/>
      <w:r>
        <w:t>أ) الفراغات الهائلة بعد النبیّ صلی الله علیه و آله فی مجالات أربعة</w:t>
      </w:r>
      <w:bookmarkEnd w:id="2625"/>
    </w:p>
    <w:p>
      <w:pPr>
        <w:pStyle w:val="BookText"/>
      </w:pPr>
      <w:r>
        <w:rPr>
          <w:rFonts w:ascii="IRNazanin" w:hAnsi="IRNazanin" w:eastAsia="IRNazanin" w:cs="IRNazanin"/>
          <w:lang w:bidi="fa-IR"/>
          <w:color w:val="111111"/>
          <w:sz w:val="28"/>
          <w:szCs w:val="28"/>
          <w:rtl/>
        </w:rPr>
        <w:t xml:space="preserve">إنّ النبیّ صلی الله علیه و آله لم تکن مسئولیّاته و أعماله مقتصرة علی تلقّی الوحی الإلهی و تبلیغه إلی الناس، بل کان یقوم بالأُمور التالیة أیضاً: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یفسّر الکتاب العزیز و یشرح مقاصده و یکشف أسراره، یقول سبحانه:</w:t>
      </w:r>
    </w:p>
    <w:p>
      <w:pPr>
        <w:pStyle w:val="BookText"/>
      </w:pPr>
      <w:r>
        <w:rPr>
          <w:rFonts w:ascii="IRNazanin" w:hAnsi="IRNazanin" w:eastAsia="IRNazanin" w:cs="IRNazanin"/>
          <w:lang w:bidi="fa-IR"/>
          <w:color w:val="111111"/>
          <w:sz w:val="28"/>
          <w:szCs w:val="28"/>
          <w:rtl/>
        </w:rPr>
        <w:t xml:space="preserve">[شماره صفحه واقعی : 339]
</w:t>
      </w:r>
    </w:p>
    <w:p>
      <w:pPr>
        <w:sectPr>
          <w:footerReference w:type="default" r:id="rId1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أَنْزَلْنٰا إِلَیْکَ الذِّکْرَ لِتُبَیِّنَ لِلنّٰاسِ مٰا نُزِّلَ إِلَیْهِمْ»؛ </w:t>
      </w:r>
      <w:r>
        <w:rPr>
          <w:rStyle w:val="FootnoteReference"/>
        </w:rPr>
        <w:footnoteReference w:id="4677"/>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یحکم بین الناس فیما یحدث بینهم من الاختلافات و المنازعات. قال سبحانه: «إِنّٰا أَنْزَلْنٰا إِلَیْکَ الْکِتٰابَ بِالْحَقِّ لِتَحْکُمَ بَیْنَ النّٰاسِ بِمٰا أَرٰاکَ اللّٰهُ وَ لاٰ تَکُنْ لِلْخٰائِنِینَ خَصِیماً»؛ </w:t>
      </w:r>
      <w:r>
        <w:rPr>
          <w:rStyle w:val="FootnoteReference"/>
        </w:rPr>
        <w:footnoteReference w:id="4678"/>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یبیّن أحکام الموضوعات الّتی کانت تحدث فی زمن دعوته؛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یدفع الشبهات و یجیب عن التساؤلات العویصة المریبة الّتی کان یثیرها أعداء الإسلام من یهود و نصاری؛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یصون الدّین من التحریف و الدسِّ و یراقب ما أخذه عنه المسلمون من أصول و فروع حتی لا تزلّ فیه أقدامهم.</w:t>
      </w:r>
    </w:p>
    <w:p>
      <w:pPr>
        <w:pStyle w:val="BookText"/>
      </w:pPr>
      <w:r>
        <w:rPr>
          <w:rFonts w:ascii="IRNazanin" w:hAnsi="IRNazanin" w:eastAsia="IRNazanin" w:cs="IRNazanin"/>
          <w:lang w:bidi="fa-IR"/>
          <w:color w:val="111111"/>
          <w:sz w:val="28"/>
          <w:szCs w:val="28"/>
          <w:rtl/>
        </w:rPr>
        <w:t xml:space="preserve">هذه هی الأُمور الّتی مارسها النبیّ الأکرم صلی الله علیه و آله أیّام حیاته، و من المعلوم أنّ رحلته تخلّف فراغاً هائلاً فی هذه المجالات الخمسة، فیکون التشریع الإسلامی حینئذٍ أمام محتملات ثلاثة:</w:t>
      </w:r>
    </w:p>
    <w:p>
      <w:pPr>
        <w:pStyle w:val="BookText"/>
      </w:pPr>
      <w:r>
        <w:rPr>
          <w:rFonts w:ascii="IRNazanin" w:hAnsi="IRNazanin" w:eastAsia="IRNazanin" w:cs="IRNazanin"/>
          <w:lang w:bidi="fa-IR"/>
          <w:color w:val="111111"/>
          <w:sz w:val="28"/>
          <w:szCs w:val="28"/>
          <w:rtl/>
        </w:rPr>
        <w:t xml:space="preserve">الأوّل: أن لا یبدی الشارع اهتماماً بسدِّ هذه الفراغات الهائلة الّتی ستحدث بعد الرسول. و هذا الاحتمال ساقط جدّاً، لا یحتاج إلی البحث، فإنّه لا ینسجم مع غرض البعثة، فإنّ فی ترک هذه الفراغات ضیاعاً للدّین و الشریعة.</w:t>
      </w:r>
    </w:p>
    <w:p>
      <w:pPr>
        <w:pStyle w:val="BookText"/>
      </w:pPr>
      <w:r>
        <w:rPr>
          <w:rFonts w:ascii="IRNazanin" w:hAnsi="IRNazanin" w:eastAsia="IRNazanin" w:cs="IRNazanin"/>
          <w:lang w:bidi="fa-IR"/>
          <w:color w:val="111111"/>
          <w:sz w:val="28"/>
          <w:szCs w:val="28"/>
          <w:rtl/>
        </w:rPr>
        <w:t xml:space="preserve">الثانی: أن تکون الأُمة قد بلغت بفضل جهود صاحب الدعوة فی</w:t>
      </w:r>
    </w:p>
    <w:p>
      <w:pPr>
        <w:pStyle w:val="BookText"/>
      </w:pPr>
      <w:r>
        <w:rPr>
          <w:rFonts w:ascii="IRNazanin" w:hAnsi="IRNazanin" w:eastAsia="IRNazanin" w:cs="IRNazanin"/>
          <w:lang w:bidi="fa-IR"/>
          <w:color w:val="111111"/>
          <w:sz w:val="28"/>
          <w:szCs w:val="28"/>
          <w:rtl/>
        </w:rPr>
        <w:t xml:space="preserve">[شماره صفحه واقعی : 340]
</w:t>
      </w:r>
    </w:p>
    <w:p>
      <w:pPr>
        <w:sectPr>
          <w:footerReference w:type="default" r:id="rId1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إعدادها حدّاً تقدر معه بنفسها علی سدِّ ذلک الفراغ، غیر أنّ التاریخ و المحاسبات الاجتماعیة یبطلان هذا الاحتمال و یثبتان أنّه لم یقدر للأمّة بلوغ تلک الذروة لتقوم بسدّ هذه الثغرات الّتی خلّفها غیاب النبیّ الأکرم، لا فی جانب التفسیر و لا فی جانب فصل الخصومات، و لا فی جانب ردّ التشکیکات و دفع الشبهات، و لا فی جانب صیانة الدّین عن الانحراف.</w:t>
      </w:r>
    </w:p>
    <w:p>
      <w:pPr>
        <w:pStyle w:val="BookText"/>
      </w:pPr>
      <w:r>
        <w:rPr>
          <w:rFonts w:ascii="IRNazanin" w:hAnsi="IRNazanin" w:eastAsia="IRNazanin" w:cs="IRNazanin"/>
          <w:lang w:bidi="fa-IR"/>
          <w:color w:val="111111"/>
          <w:sz w:val="28"/>
          <w:szCs w:val="28"/>
          <w:rtl/>
        </w:rPr>
        <w:t xml:space="preserve">أمّا فی جانب التفسیر، فیکفی وجود الاختلاف الفاحش فی تفسیر آیات الذکر الحکیم حتّی فیما یرجع إلی عمل المسلمین یوماً و لیلة.</w:t>
      </w:r>
    </w:p>
    <w:p>
      <w:pPr>
        <w:pStyle w:val="BookText"/>
      </w:pPr>
      <w:r>
        <w:rPr>
          <w:rFonts w:ascii="IRNazanin" w:hAnsi="IRNazanin" w:eastAsia="IRNazanin" w:cs="IRNazanin"/>
          <w:lang w:bidi="fa-IR"/>
          <w:color w:val="111111"/>
          <w:sz w:val="28"/>
          <w:szCs w:val="28"/>
          <w:rtl/>
        </w:rPr>
        <w:t xml:space="preserve">و أمّا فی جانب القضاء فی الاختلافات و المنازعات فیشهد بذلک عجز الخلفاء و الصحابة عن ذلک فی کثیر من الموارد، سوی الإمام علی علیه السلام حیث کان مدینة علم النبیّ صلی الله علیه و آله و أقضاهم بنصّ خاتم الرسالة صلی الله علیه و آله .</w:t>
      </w:r>
    </w:p>
    <w:p>
      <w:pPr>
        <w:pStyle w:val="BookText"/>
      </w:pPr>
      <w:r>
        <w:rPr>
          <w:rFonts w:ascii="IRNazanin" w:hAnsi="IRNazanin" w:eastAsia="IRNazanin" w:cs="IRNazanin"/>
          <w:lang w:bidi="fa-IR"/>
          <w:color w:val="111111"/>
          <w:sz w:val="28"/>
          <w:szCs w:val="28"/>
          <w:rtl/>
        </w:rPr>
        <w:t xml:space="preserve">و أمّا فی مجال الأحکام، فیکفی فی ذلک الوقوف علی أنّ بیان الأحکام الدینیة حصل تدریجاً علی ما تقتضیه الحوادث و الحاجات الاجتماعیة فی عهد الرسول صلی الله علیه و آله ، و من المعلوم أنّ هذا النمط کان مستمرّاً بعد الرسول، غیر أنّ ما ورثه المسلمون منه صلی الله علیه و آله لم یکن کافیاً للإجابة عن ذلک، أمّا الآیات القرآنیة فی مجال الأحکام فهی لا تتجاوز ثلاثمائة آیة، و أمّا الأحادیث فی هذا المجال، فالّذی ورثته الأمّة لا تتجاوز خمسمائة حدیث، و هذا القدر لا یفی بالإجابة علی جمیع الموضوعات المستجدّة.</w:t>
      </w:r>
    </w:p>
    <w:p>
      <w:pPr>
        <w:pStyle w:val="BookText"/>
      </w:pPr>
      <w:r>
        <w:rPr>
          <w:rFonts w:ascii="IRNazanin" w:hAnsi="IRNazanin" w:eastAsia="IRNazanin" w:cs="IRNazanin"/>
          <w:lang w:bidi="fa-IR"/>
          <w:color w:val="111111"/>
          <w:sz w:val="28"/>
          <w:szCs w:val="28"/>
          <w:rtl/>
        </w:rPr>
        <w:t xml:space="preserve">و لا نعنی من ذلک أنّ الشریعة الإسلامیة ناقصة فی إیفاء أغراضها التشریعیة و شمول المواضیع المستجدّة، بل المقصود أنّ النبیّ صلی الله علیه و آله کان</w:t>
      </w:r>
    </w:p>
    <w:p>
      <w:pPr>
        <w:pStyle w:val="BookText"/>
      </w:pPr>
      <w:r>
        <w:rPr>
          <w:rFonts w:ascii="IRNazanin" w:hAnsi="IRNazanin" w:eastAsia="IRNazanin" w:cs="IRNazanin"/>
          <w:lang w:bidi="fa-IR"/>
          <w:color w:val="111111"/>
          <w:sz w:val="28"/>
          <w:szCs w:val="28"/>
          <w:rtl/>
        </w:rPr>
        <w:t xml:space="preserve">[شماره صفحه واقعی : 341]
</w:t>
      </w:r>
    </w:p>
    <w:p>
      <w:pPr>
        <w:sectPr>
          <w:footerReference w:type="default" r:id="rId1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یراعی فی إبلاغ الحکم حاجة الناس و مقتضیات الظروف الزمنیة، فلا بدّ فی إیفاء غرض التشریع علی وجه یشمل المواضیع المستجدّة و المسائل المستحدثة أن یستودع أحکام الشریعة من یخلفه و یقوم مقامه.</w:t>
      </w:r>
    </w:p>
    <w:p>
      <w:pPr>
        <w:pStyle w:val="BookText"/>
      </w:pPr>
      <w:r>
        <w:rPr>
          <w:rFonts w:ascii="IRNazanin" w:hAnsi="IRNazanin" w:eastAsia="IRNazanin" w:cs="IRNazanin"/>
          <w:lang w:bidi="fa-IR"/>
          <w:color w:val="111111"/>
          <w:sz w:val="28"/>
          <w:szCs w:val="28"/>
          <w:rtl/>
        </w:rPr>
        <w:t xml:space="preserve">و أمّا فی مجال ردّ الشبهات و التشکیکات و إجابة التساؤلات، فقد حصل فراغ هائل بعد رحلة النبیّ من هذه الناحیة، فجاءت الیهود و النصاری تتری، یطرحون الأسئلة، حول أُصول الإسلام و فروعه، و لم یکن فی وسع الخلفاء آنذاک الإجابة الصحیحة عنها، کما یشهد بذلک التاریخ الموجود بأیدینا.</w:t>
      </w:r>
    </w:p>
    <w:p>
      <w:pPr>
        <w:pStyle w:val="BookText"/>
      </w:pPr>
      <w:r>
        <w:rPr>
          <w:rFonts w:ascii="IRNazanin" w:hAnsi="IRNazanin" w:eastAsia="IRNazanin" w:cs="IRNazanin"/>
          <w:lang w:bidi="fa-IR"/>
          <w:color w:val="111111"/>
          <w:sz w:val="28"/>
          <w:szCs w:val="28"/>
          <w:rtl/>
        </w:rPr>
        <w:t xml:space="preserve">و أمّا فی جانب صیانة المسلمین عن التفرقة، و الدّین عن الانحراف، فقد کانت الأُمّة الإسلامیة فی أشدّ الحاجة إلی من یصون دینها عن التحریف و أبناءها عن الاختلاف، فإنّ التاریخ یشهد علی دخول جماعات عدیدة من أحبار الیهود و رهبان النصاری و مؤبدی المجوس بین المسلمین، فراحوا یدسّون الأحادیث الإسرائیلیة و الأساطیر النصرانیة و الخرافات المجوسیة بینهم، و یکفی فی ذلک أن یذکر الإنسان ما کابده البخاری من مشاقّ و أسفار فی مختلف أقطار الدولة الإسلامیة، و ما رواه بعد ذلک، فإنّه ألفی الأحادیث المتداولة بین المحدّثین فی الأقطار الإسلامیة، تربو علی ستمائة ألف حدیث، لم یصحّ لدیه منها أکثر من أربعة آلاف، و کذلک کان شأن سائر الّذین جمعوا الأحادیث و کثیر من هذه الأحادیث الّتی صحّت عندهم کانت موضع نقد و تمحیص عند غیرهم. </w:t>
      </w:r>
      <w:r>
        <w:rPr>
          <w:rStyle w:val="FootnoteReference"/>
        </w:rPr>
        <w:footnoteReference w:id="4679"/>
      </w:r>
    </w:p>
    <w:p>
      <w:pPr>
        <w:pStyle w:val="BookText"/>
      </w:pPr>
      <w:r>
        <w:rPr>
          <w:rFonts w:ascii="IRNazanin" w:hAnsi="IRNazanin" w:eastAsia="IRNazanin" w:cs="IRNazanin"/>
          <w:lang w:bidi="fa-IR"/>
          <w:color w:val="111111"/>
          <w:sz w:val="28"/>
          <w:szCs w:val="28"/>
          <w:rtl/>
        </w:rPr>
        <w:t xml:space="preserve">[شماره صفحه واقعی : 342]
</w:t>
      </w:r>
    </w:p>
    <w:p>
      <w:pPr>
        <w:sectPr>
          <w:footerReference w:type="default" r:id="rId1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البحث الضافی یثبت حقیقة ناصعة، و هی عدم تمکّن الأُمّة، مع ما لها من الفضل، من القیام بسدِّ الفراغات الهائلة الّتی خلّفتها رحلة النبیّ الأکرم صلی الله علیه و آله و یبطل بذلک الاحتمال الثانی تجاه التشریع الإسلامی بعد عصر الرسالة.</w:t>
      </w:r>
    </w:p>
    <w:p>
      <w:pPr>
        <w:pStyle w:val="BookText"/>
      </w:pPr>
      <w:r>
        <w:rPr>
          <w:rFonts w:ascii="IRNazanin" w:hAnsi="IRNazanin" w:eastAsia="IRNazanin" w:cs="IRNazanin"/>
          <w:lang w:bidi="fa-IR"/>
          <w:color w:val="111111"/>
          <w:sz w:val="28"/>
          <w:szCs w:val="28"/>
          <w:rtl/>
        </w:rPr>
        <w:t xml:space="preserve">الاحتمال الثالث: أن یستودع صاحب الدعوة، کلّ ما تلقّاه من المعارف و الأحکام بالوحی، و کلّ ما ستحتاج إلیه الأُمّة بعده، شخصیّة مثالیة، لها کفاءة تقبُّل هذه المعارف و الأحکام و تحمّلها، فتقوم هی بسدّ هذا الفراغ بعد رحلته صلی الله علیه و آله . و بعد بطلان الاحتمالین الأوّلین لا مناص من تعیُّن هذا الاحتمال، فإنّ وجود إنسان مثالی کالنبیّ فی المؤهّلات، عارف بالشریعة و معارف الدین، ضمان لتکامل المجتمع، و خطوة ضروریة فی سبیل ارتقائه الروحی و المعنوی، فهل یسوغ علی اللّه سبحانه أن یهمل هذا الأمر الضروری فی حیاة الإنسان الدینیة؟</w:t>
      </w:r>
    </w:p>
    <w:p>
      <w:pPr>
        <w:pStyle w:val="BookText"/>
      </w:pPr>
      <w:r>
        <w:rPr>
          <w:rFonts w:ascii="IRNazanin" w:hAnsi="IRNazanin" w:eastAsia="IRNazanin" w:cs="IRNazanin"/>
          <w:lang w:bidi="fa-IR"/>
          <w:color w:val="111111"/>
          <w:sz w:val="28"/>
          <w:szCs w:val="28"/>
          <w:rtl/>
        </w:rPr>
        <w:t xml:space="preserve">إن اللّه سبحانه جهّز الإنسان بأجهزة ضروریة فیما یحتاج إلیها فی حیاته الدنیویة المادیّة، و مع ذلک کیف یعقل إهمال هذا العنصر الرئیسی فی حیاته المعنویة و الدینیة؟! و ما أجمل ما قاله أئمّة أهل البیت فی فلسفة وجود هذا الخلف و مدی تأثیره فی تکامل الأُمّة.</w:t>
      </w:r>
    </w:p>
    <w:p>
      <w:pPr>
        <w:pStyle w:val="BookText"/>
      </w:pPr>
      <w:r>
        <w:rPr>
          <w:rFonts w:ascii="Amiri" w:hAnsi="Amiri" w:eastAsia="Amiri" w:cs="Amiri"/>
          <w:lang w:bidi="ar-SA"/>
          <w:color w:val="111111"/>
          <w:sz w:val="28"/>
          <w:szCs w:val="28"/>
          <w:rtl/>
        </w:rPr>
        <w:t xml:space="preserve">قال الإمام علی علیه السلام : «اللّهمّ بلی لا تخلو الأرض من قائم للّه بحجّة، إمّا ظاهراً مشهوراً، و إمّا خائفاً مغموراً، لئلاّ تبطل حجج اللّه و بیّناته». </w:t>
      </w:r>
      <w:r>
        <w:rPr>
          <w:rStyle w:val="FootnoteReference"/>
        </w:rPr>
        <w:footnoteReference w:id="4680"/>
      </w:r>
    </w:p>
    <w:p>
      <w:pPr>
        <w:pStyle w:val="BookText"/>
      </w:pPr>
      <w:r>
        <w:rPr>
          <w:rFonts w:ascii="IRNazanin" w:hAnsi="IRNazanin" w:eastAsia="IRNazanin" w:cs="IRNazanin"/>
          <w:lang w:bidi="fa-IR"/>
          <w:color w:val="111111"/>
          <w:sz w:val="28"/>
          <w:szCs w:val="28"/>
          <w:rtl/>
        </w:rPr>
        <w:t xml:space="preserve">[شماره صفحه واقعی : 343]
</w:t>
      </w:r>
    </w:p>
    <w:p>
      <w:pPr>
        <w:sectPr>
          <w:footerReference w:type="default" r:id="rId1490"/>
          <w:footnotePr>
            <w:numStart w:val="1"/>
            <w:numRestart w:val="eachPage"/>
          </w:footnotePr>
          <w:pgSz w:orient="portrait" w:w="11905.511811023622" w:h="16837.79527559055"/>
          <w:pgMar w:top="1440" w:right="1440" w:bottom="1440" w:left="1440" w:header="720" w:footer="720" w:gutter="0"/>
          <w:cols w:num="1" w:space="720"/>
        </w:sectPr>
      </w:pPr>
    </w:p>
    <w:bookmarkStart w:id="827" w:name="pg14411_143872"/>
    <w:bookmarkEnd w:id="827"/>
    <w:p>
      <w:pPr>
        <w:pStyle w:val="BookText"/>
      </w:pPr>
      <w:r>
        <w:rPr>
          <w:rFonts w:ascii="IRNazanin" w:hAnsi="IRNazanin" w:eastAsia="IRNazanin" w:cs="IRNazanin"/>
          <w:lang w:bidi="fa-IR"/>
          <w:color w:val="111111"/>
          <w:sz w:val="28"/>
          <w:szCs w:val="28"/>
          <w:rtl/>
        </w:rPr>
        <w:t xml:space="preserve">و قال الإمام الصادق علیه السلام : «إنّ الأرض لا تخلو إلّا و فیها إمام، کیما إن زاد المؤمنون شیئاً ردَّهم، و إذا نقصوا شیئاً أتمّه لهم». </w:t>
      </w:r>
      <w:r>
        <w:rPr>
          <w:rStyle w:val="FootnoteReference"/>
        </w:rPr>
        <w:footnoteReference w:id="4681"/>
      </w:r>
    </w:p>
    <w:p>
      <w:pPr>
        <w:pStyle w:val="BookText"/>
      </w:pPr>
      <w:r>
        <w:rPr>
          <w:rFonts w:ascii="IRNazanin" w:hAnsi="IRNazanin" w:eastAsia="IRNazanin" w:cs="IRNazanin"/>
          <w:lang w:bidi="fa-IR"/>
          <w:color w:val="111111"/>
          <w:sz w:val="28"/>
          <w:szCs w:val="28"/>
          <w:rtl/>
        </w:rPr>
        <w:t xml:space="preserve">هذه المأثورات من أئمّة أهل البیت علیهم السلام تعرب عن أنّ الغرض الداعی إلی بعثة النبیّ، داع إلی وجود إمام یخلف النبی فی عامّة سماته، سوی ما دلّ القرآن علی انحصاره به ککونه نبیّاً رسولاً و صاحب شریعة.</w:t>
      </w:r>
    </w:p>
    <w:p>
      <w:pPr>
        <w:pStyle w:val="Heading6"/>
      </w:pPr>
      <w:bookmarkStart w:id="2626" w:name="_Toc1661"/>
      <w:r>
        <w:t>ب) الأُمّة الإسلامیة و مثلث الخطر الدّاهم</w:t>
      </w:r>
      <w:bookmarkEnd w:id="2626"/>
    </w:p>
    <w:p>
      <w:pPr>
        <w:pStyle w:val="BookText"/>
      </w:pPr>
      <w:r>
        <w:rPr>
          <w:rFonts w:ascii="IRNazanin" w:hAnsi="IRNazanin" w:eastAsia="IRNazanin" w:cs="IRNazanin"/>
          <w:lang w:bidi="fa-IR"/>
          <w:color w:val="111111"/>
          <w:sz w:val="28"/>
          <w:szCs w:val="28"/>
          <w:rtl/>
        </w:rPr>
        <w:t xml:space="preserve">إنّ الدولة الإسلامیة الّتی أسّسها النبیّ الأکرم صلی الله علیه و آله کانت محاصرة حال وفاة النبیّ من جهتی الشمال و الشرق بأکبر إمبراطوریتین عرفهما تاریخ تلک الفترة، و کانتا علی جانب کبیر من القوّة و البأس، و هما: الروم و إیران، و یکفی فی خطورة إمبراطوریة إیران إنّه کتب ملکها إلی عامله بالیمن -بعد ما وصلت إلیه رسالة النبیّ تدعوه إلی الإسلام، و مزَّقها -: «ابعث إلی هذا الرجل بالحجاز، رجلین من عندک، جلدین، فلیأتیانی به» </w:t>
      </w:r>
      <w:r>
        <w:rPr>
          <w:rStyle w:val="FootnoteReference"/>
        </w:rPr>
        <w:footnoteReference w:id="4682"/>
      </w:r>
      <w:r>
        <w:rPr>
          <w:rFonts w:ascii="IRNazanin" w:hAnsi="IRNazanin" w:eastAsia="IRNazanin" w:cs="IRNazanin"/>
          <w:lang w:bidi="fa-IR"/>
          <w:color w:val="111111"/>
          <w:sz w:val="28"/>
          <w:szCs w:val="28"/>
          <w:rtl/>
        </w:rPr>
        <w:t xml:space="preserve">. و کفی فی خطورة موقف الإمبراطوریة الرومانیة، إنّه وقعت اشتباکات عدیدة بینها و بین المسلمین فی السنّة الثامنة للهجرة، منها سریّة موتة الّتی قتل فیها قادة الجیش الإسلامی، و هم: جعفر بن أبی طالب، و زید ابن حارثة، و عبد اللّه بن رواحة، و رجع الجیش الإسلامی من تلک الواقعة منهزما، و لأجل ذلک توجّه الرسول الأکرم صلی الله علیه و آله بنفسه علی رأس الجیش الإسلامی إلی تبوک فی السنّة</w:t>
      </w:r>
    </w:p>
    <w:p>
      <w:pPr>
        <w:pStyle w:val="BookText"/>
      </w:pPr>
      <w:r>
        <w:rPr>
          <w:rFonts w:ascii="IRNazanin" w:hAnsi="IRNazanin" w:eastAsia="IRNazanin" w:cs="IRNazanin"/>
          <w:lang w:bidi="fa-IR"/>
          <w:color w:val="111111"/>
          <w:sz w:val="28"/>
          <w:szCs w:val="28"/>
          <w:rtl/>
        </w:rPr>
        <w:t xml:space="preserve">[شماره صفحه واقعی : 344]
</w:t>
      </w:r>
    </w:p>
    <w:p>
      <w:pPr>
        <w:sectPr>
          <w:footerReference w:type="default" r:id="rId1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التاسعة لمقابلة الجیوش البیزنطیة و لکنّه لم یلق أحداً، فأقام فی تبوک أیّاماً ثمّ رجع إلی المدینة، و لم یکتف بهذا بل جهّز جیشاً فی أُخریات أیّامه بقیادة أسامة بن زید لمواجهة جیوش الروم، هذا من الخارج.</w:t>
      </w:r>
    </w:p>
    <w:p>
      <w:pPr>
        <w:pStyle w:val="BookText"/>
      </w:pPr>
      <w:r>
        <w:rPr>
          <w:rFonts w:ascii="IRNazanin" w:hAnsi="IRNazanin" w:eastAsia="IRNazanin" w:cs="IRNazanin"/>
          <w:lang w:bidi="fa-IR"/>
          <w:color w:val="111111"/>
          <w:sz w:val="28"/>
          <w:szCs w:val="28"/>
          <w:rtl/>
        </w:rPr>
        <w:t xml:space="preserve">و أمّا من الداخل، فقد کان الإسلام و المسلمون یعانون من وطأة مؤامرات المنافقین الّذین کانوا یشکّلون جبهة عدوانیة داخلیة، أشبه بما یسمّی بالطابور الخامس، فهؤلاء أسلموا بألسنتهم دون قلوبهم، و کانوا یتحیّنون الفرص لإضعاف الدولة الإسلامیة بإثارة الفتن الداخلیة، و لقد انبری القرآن الکریم لفضح المنافقین و التشهیر بخططهم ضد الدین و النبیّ فی العدید من السور القرآنیة و قد نزلت فی حقّهم سورة خاصّة.</w:t>
      </w:r>
    </w:p>
    <w:p>
      <w:pPr>
        <w:pStyle w:val="BookText"/>
      </w:pPr>
      <w:r>
        <w:rPr>
          <w:rFonts w:ascii="IRNazanin" w:hAnsi="IRNazanin" w:eastAsia="IRNazanin" w:cs="IRNazanin"/>
          <w:lang w:bidi="fa-IR"/>
          <w:color w:val="111111"/>
          <w:sz w:val="28"/>
          <w:szCs w:val="28"/>
          <w:rtl/>
        </w:rPr>
        <w:t xml:space="preserve">إنّ اهتمام القرآن بالتعرّض للمنافقین المعاصرین للنبیّ صلی الله علیه و آله ، المتواجدین بین الصحابة أدلّ دلیل علی أنّهم کانوا قوة کبیرة و یشکّلون جماعة وافرة و یلعبون دوراً خبیثاً فی إفساح المجال لأعداء الإسلام، بحیث لو لا قیادة النبیّ الحکیمة لقضوا علی کیان الدین، و یکفی فی ذلک قوله سبحانه:</w:t>
      </w:r>
    </w:p>
    <w:p>
      <w:pPr>
        <w:pStyle w:val="BookText"/>
      </w:pPr>
      <w:r>
        <w:rPr>
          <w:rFonts w:ascii="Amiri" w:hAnsi="Amiri" w:eastAsia="Amiri" w:cs="Amiri"/>
          <w:lang w:bidi="ar-SA"/>
          <w:color w:val="111111"/>
          <w:sz w:val="28"/>
          <w:szCs w:val="28"/>
          <w:rtl/>
        </w:rPr>
        <w:t xml:space="preserve">«لَقَدِ ابْتَغَوُا الْفِتْنَةَ مِنْ قَبْلُ وَ قَلَّبُوا لَکَ الْأُمُورَ حَتّٰی جٰاءَ الْحَقُّ وَ ظَهَرَ أَمْرُ اللّٰهِ وَ هُمْ کٰارِهُونَ » </w:t>
      </w:r>
      <w:r>
        <w:rPr>
          <w:rStyle w:val="FootnoteReference"/>
        </w:rPr>
        <w:footnoteReference w:id="46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کان محتملاً و مترقّباً أن یتّحد هذا المثلث الخطیر لاکتساح الإسلام و اجتثاث جذوره بعد وفاة النبیّ، فمع هذا الخطر المحیق الداهم، ما</w:t>
      </w:r>
    </w:p>
    <w:p>
      <w:pPr>
        <w:pStyle w:val="BookText"/>
      </w:pPr>
      <w:r>
        <w:rPr>
          <w:rFonts w:ascii="IRNazanin" w:hAnsi="IRNazanin" w:eastAsia="IRNazanin" w:cs="IRNazanin"/>
          <w:lang w:bidi="fa-IR"/>
          <w:color w:val="111111"/>
          <w:sz w:val="28"/>
          <w:szCs w:val="28"/>
          <w:rtl/>
        </w:rPr>
        <w:t xml:space="preserve">[شماره صفحه واقعی : 345]
</w:t>
      </w:r>
    </w:p>
    <w:p>
      <w:pPr>
        <w:sectPr>
          <w:footerReference w:type="default" r:id="rId1492"/>
          <w:footnotePr>
            <w:numStart w:val="1"/>
            <w:numRestart w:val="eachPage"/>
          </w:footnotePr>
          <w:pgSz w:orient="portrait" w:w="11905.511811023622" w:h="16837.79527559055"/>
          <w:pgMar w:top="1440" w:right="1440" w:bottom="1440" w:left="1440" w:header="720" w:footer="720" w:gutter="0"/>
          <w:cols w:num="1" w:space="720"/>
        </w:sectPr>
      </w:pPr>
    </w:p>
    <w:bookmarkStart w:id="828" w:name="pg14411_143874"/>
    <w:bookmarkEnd w:id="828"/>
    <w:p>
      <w:pPr>
        <w:pStyle w:val="BookText"/>
      </w:pPr>
      <w:r>
        <w:rPr>
          <w:rFonts w:ascii="IRNazanin" w:hAnsi="IRNazanin" w:eastAsia="IRNazanin" w:cs="IRNazanin"/>
          <w:lang w:bidi="fa-IR"/>
          <w:color w:val="111111"/>
          <w:sz w:val="28"/>
          <w:szCs w:val="28"/>
          <w:rtl/>
        </w:rPr>
        <w:t xml:space="preserve">هی وظیفة القائد الحکیم الّذی أرسی قواعد دینه علی تضحیات عظیمة؟ فهل المصلحة کانت تقتضی تنصیب قائد حکیم عارف بأحکام القیادة و وظائفها حتی یجتمع المسلمون تحت رایته و یکونوا صفّاً واحداً فی مقابل ذاک الخطر، أو أنّ المصلحة العامّة تقتضی تفویض الأمر إلی الأُمّة حتی یختاروا لأنفسهم أمیراً، مع ما یحکیه التاریخ لنا من سیطرة الروح الحزبیّة علی المسلمین آنذاک؟ و یکفی شاهداً علی ذلک ما وقع من المشاجرات بین المهاجرین و الأنصار یوم السقیفة. </w:t>
      </w:r>
      <w:r>
        <w:rPr>
          <w:rStyle w:val="FootnoteReference"/>
        </w:rPr>
        <w:footnoteReference w:id="4684"/>
      </w:r>
    </w:p>
    <w:p>
      <w:pPr>
        <w:pStyle w:val="BookText"/>
      </w:pPr>
      <w:r>
        <w:rPr>
          <w:rFonts w:ascii="IRNazanin" w:hAnsi="IRNazanin" w:eastAsia="IRNazanin" w:cs="IRNazanin"/>
          <w:lang w:bidi="fa-IR"/>
          <w:color w:val="111111"/>
          <w:sz w:val="28"/>
          <w:szCs w:val="28"/>
          <w:rtl/>
        </w:rPr>
        <w:t xml:space="preserve">إنّ القائد الحکیم هو من یعتنی بالأوضاع الاجتماعیة لأُمّته، و یلاحظ الظروف المحیطة بها، و یرسم علی ضوئها ما یراه صالحاً لمستقبلها، و قد عرفت أنّ مقتضی هذه الظروف هو تعیین القائد و المدبّر، لا دفع الأمر إلی الأُمّة. و إلی ما ذکرنا ینظر قول الشیخ الرئیس ابن سینا فی حقّ الإمام:</w:t>
      </w:r>
    </w:p>
    <w:p>
      <w:pPr>
        <w:pStyle w:val="BookText"/>
      </w:pPr>
      <w:r>
        <w:rPr>
          <w:rFonts w:ascii="IRNazanin" w:hAnsi="IRNazanin" w:eastAsia="IRNazanin" w:cs="IRNazanin"/>
          <w:lang w:bidi="fa-IR"/>
          <w:color w:val="111111"/>
          <w:sz w:val="28"/>
          <w:szCs w:val="28"/>
          <w:rtl/>
        </w:rPr>
        <w:t xml:space="preserve">«و الاستخلاف بالنصّ أصوب، فإنّ ذلک لا یؤدّی إلی التشعّب و التشاغب و الاختلاف». </w:t>
      </w:r>
      <w:r>
        <w:rPr>
          <w:rStyle w:val="FootnoteReference"/>
        </w:rPr>
        <w:footnoteReference w:id="4685"/>
      </w:r>
    </w:p>
    <w:p>
      <w:pPr>
        <w:pStyle w:val="Heading6"/>
      </w:pPr>
      <w:bookmarkStart w:id="2627" w:name="_Toc1662"/>
      <w:r>
        <w:t>ج) نصب الإمام لطف إلهی</w:t>
      </w:r>
      <w:bookmarkEnd w:id="2627"/>
    </w:p>
    <w:p>
      <w:pPr>
        <w:pStyle w:val="BookText"/>
      </w:pPr>
      <w:r>
        <w:rPr>
          <w:rFonts w:ascii="IRNazanin" w:hAnsi="IRNazanin" w:eastAsia="IRNazanin" w:cs="IRNazanin"/>
          <w:lang w:bidi="fa-IR"/>
          <w:color w:val="111111"/>
          <w:sz w:val="28"/>
          <w:szCs w:val="28"/>
          <w:rtl/>
        </w:rPr>
        <w:t xml:space="preserve">هذا حاصل ما سلکناه فی بیان وجوب تنصیب الخلیفة و الإمام للأُمّة الإسلامیة من جانب النبیّ الأکرم صلی الله علیه و آله علی ضوء العقل الفطری و دراسة التاریخ الإسلامی و شئون الرسالة النبویّة و مسئولیاتها الخطیرة، و هذا</w:t>
      </w:r>
    </w:p>
    <w:p>
      <w:pPr>
        <w:pStyle w:val="BookText"/>
      </w:pPr>
      <w:r>
        <w:rPr>
          <w:rFonts w:ascii="IRNazanin" w:hAnsi="IRNazanin" w:eastAsia="IRNazanin" w:cs="IRNazanin"/>
          <w:lang w:bidi="fa-IR"/>
          <w:color w:val="111111"/>
          <w:sz w:val="28"/>
          <w:szCs w:val="28"/>
          <w:rtl/>
        </w:rPr>
        <w:t xml:space="preserve">[شماره صفحه واقعی : 346]
</w:t>
      </w:r>
    </w:p>
    <w:p>
      <w:pPr>
        <w:sectPr>
          <w:footerReference w:type="default" r:id="rId1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المسلک یقرب ممّا سلکه مشایخنا الإمامیّة فی هذا المجال من الاستناد بقاعدة اللطف، و فی ذلک یقول السیّد المرتضی:</w:t>
      </w:r>
    </w:p>
    <w:p>
      <w:pPr>
        <w:pStyle w:val="BookText"/>
      </w:pPr>
      <w:r>
        <w:rPr>
          <w:rFonts w:ascii="IRNazanin" w:hAnsi="IRNazanin" w:eastAsia="IRNazanin" w:cs="IRNazanin"/>
          <w:lang w:bidi="fa-IR"/>
          <w:color w:val="111111"/>
          <w:sz w:val="28"/>
          <w:szCs w:val="28"/>
          <w:rtl/>
        </w:rPr>
        <w:t xml:space="preserve">و الّذی یدلّ علی ما ادّعیناه إنّ کلّ عاقل عرف العادة و خالط الناس، یعلم ضرورة أنّ وجود الرئیس المصیب النافذ الأمر، السدید التدبیر ترتفع عنده التظالم و التقاسم و التباغی أو معظمه ، أو یکون الناس إلی ارتفاعه أقرب، و إن فقد من هذه صفته یقع عنده کلّ ما أشرنا إلیه من الفساد أو یکون الناس إلی وقوعه أقرب، فالرئاسة علی ما بیَّنّاه لطف فی فعل الواجب و الامتناع من القبیح، فیجب أن لا یخلّی اللّه تعالی المکلّفین منها، و دلیل وجوب الالطاف یتناولها. </w:t>
      </w:r>
      <w:r>
        <w:rPr>
          <w:rStyle w:val="FootnoteReference"/>
        </w:rPr>
        <w:footnoteReference w:id="4686"/>
      </w:r>
    </w:p>
    <w:p>
      <w:pPr>
        <w:pStyle w:val="BookText"/>
      </w:pPr>
      <w:r>
        <w:rPr>
          <w:rFonts w:ascii="IRNazanin" w:hAnsi="IRNazanin" w:eastAsia="IRNazanin" w:cs="IRNazanin"/>
          <w:lang w:bidi="fa-IR"/>
          <w:color w:val="111111"/>
          <w:sz w:val="28"/>
          <w:szCs w:val="28"/>
          <w:rtl/>
        </w:rPr>
        <w:t xml:space="preserve">هذا الاستدلال کما تری مؤلّف من مقدمتین:</w:t>
      </w:r>
    </w:p>
    <w:p>
      <w:pPr>
        <w:pStyle w:val="BookText"/>
      </w:pPr>
      <w:r>
        <w:rPr>
          <w:rFonts w:ascii="IRNazanin" w:hAnsi="IRNazanin" w:eastAsia="IRNazanin" w:cs="IRNazanin"/>
          <w:lang w:bidi="fa-IR"/>
          <w:color w:val="111111"/>
          <w:sz w:val="28"/>
          <w:szCs w:val="28"/>
          <w:rtl/>
        </w:rPr>
        <w:t xml:space="preserve">الأولی: إنّ نصب الإمام لطف من اللّه علی العباد.</w:t>
      </w:r>
    </w:p>
    <w:p>
      <w:pPr>
        <w:pStyle w:val="BookText"/>
      </w:pPr>
      <w:r>
        <w:rPr>
          <w:rFonts w:ascii="IRNazanin" w:hAnsi="IRNazanin" w:eastAsia="IRNazanin" w:cs="IRNazanin"/>
          <w:lang w:bidi="fa-IR"/>
          <w:color w:val="111111"/>
          <w:sz w:val="28"/>
          <w:szCs w:val="28"/>
          <w:rtl/>
        </w:rPr>
        <w:t xml:space="preserve">الثانیة: إنّ اللطف واجب علی اللّه لما تقتضیه حکمته تعالی.</w:t>
      </w:r>
    </w:p>
    <w:p>
      <w:pPr>
        <w:pStyle w:val="BookText"/>
      </w:pPr>
      <w:r>
        <w:rPr>
          <w:rFonts w:ascii="IRNazanin" w:hAnsi="IRNazanin" w:eastAsia="IRNazanin" w:cs="IRNazanin"/>
          <w:lang w:bidi="fa-IR"/>
          <w:color w:val="111111"/>
          <w:sz w:val="28"/>
          <w:szCs w:val="28"/>
          <w:rtl/>
        </w:rPr>
        <w:t xml:space="preserve">أمّا المقدمة الأولی، فلأنّ اللطف هو ما یقرّب المکلّفین إلی الطاعة و یبعّدهم عن المعصیة و لو بالإعداد، و بالضرورة أنّ نصب الإمام کذلک لما به من بیان المعارف و الأحکام الإلهیّة و حفظ الشریعة من الزیادة و النقصان و تنفیذ الأحکام و رفع الظلم و الفساد و نحوها.</w:t>
      </w:r>
    </w:p>
    <w:p>
      <w:pPr>
        <w:pStyle w:val="BookText"/>
      </w:pPr>
      <w:r>
        <w:rPr>
          <w:rFonts w:ascii="IRNazanin" w:hAnsi="IRNazanin" w:eastAsia="IRNazanin" w:cs="IRNazanin"/>
          <w:lang w:bidi="fa-IR"/>
          <w:color w:val="111111"/>
          <w:sz w:val="28"/>
          <w:szCs w:val="28"/>
          <w:rtl/>
        </w:rPr>
        <w:t xml:space="preserve">و أمّا المقدّمة الثانیة، فلأنّ ترک هذا اللطف من اللّه سبحانه إخلال بغرضه</w:t>
      </w:r>
    </w:p>
    <w:p>
      <w:pPr>
        <w:pStyle w:val="BookText"/>
      </w:pPr>
      <w:r>
        <w:rPr>
          <w:rFonts w:ascii="IRNazanin" w:hAnsi="IRNazanin" w:eastAsia="IRNazanin" w:cs="IRNazanin"/>
          <w:lang w:bidi="fa-IR"/>
          <w:color w:val="111111"/>
          <w:sz w:val="28"/>
          <w:szCs w:val="28"/>
          <w:rtl/>
        </w:rPr>
        <w:t xml:space="preserve">[شماره صفحه واقعی : 347]
</w:t>
      </w:r>
    </w:p>
    <w:p>
      <w:pPr>
        <w:sectPr>
          <w:footerReference w:type="default" r:id="rId1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مطلوبه و هو طاعة العباد له و ترک معصیته فیجب علی اللّه نصبه لئلا یخلّ بغرضه، و لا ینافی اللطف فی نصبه سلب العباد سلطانه أو غیبته، لأنّ اللّه سبحانه قد لطف بهم بنصب المُعَدّ لهم، و هم فوَّتوا أثر اللطف علی أنفسهم. و إلی هذا أشار المحقّق الطوسی بقوله:</w:t>
      </w:r>
    </w:p>
    <w:p>
      <w:pPr>
        <w:pStyle w:val="BookText"/>
      </w:pPr>
      <w:r>
        <w:rPr>
          <w:rFonts w:ascii="IRNazanin" w:hAnsi="IRNazanin" w:eastAsia="IRNazanin" w:cs="IRNazanin"/>
          <w:lang w:bidi="fa-IR"/>
          <w:color w:val="111111"/>
          <w:sz w:val="28"/>
          <w:szCs w:val="28"/>
          <w:rtl/>
        </w:rPr>
        <w:t xml:space="preserve">الإمام لطف فیجب نصبه علی اللّه تعالی تحصیلاً للغرض... و وجوده لطف و تصرّفه لطف آخر و عدمه منّا. </w:t>
      </w:r>
      <w:r>
        <w:rPr>
          <w:rStyle w:val="FootnoteReference"/>
        </w:rPr>
        <w:footnoteReference w:id="4687"/>
      </w:r>
    </w:p>
    <w:p>
      <w:pPr>
        <w:pStyle w:val="BookText"/>
      </w:pPr>
      <w:r>
        <w:rPr>
          <w:rFonts w:ascii="IRNazanin" w:hAnsi="IRNazanin" w:eastAsia="IRNazanin" w:cs="IRNazanin"/>
          <w:lang w:bidi="fa-IR"/>
          <w:color w:val="111111"/>
          <w:sz w:val="28"/>
          <w:szCs w:val="28"/>
          <w:rtl/>
        </w:rPr>
        <w:t xml:space="preserve">و أوضحه العلاّمة الحلّی، بقوله:</w:t>
      </w:r>
    </w:p>
    <w:p>
      <w:pPr>
        <w:pStyle w:val="BookText"/>
      </w:pPr>
      <w:r>
        <w:rPr>
          <w:rFonts w:ascii="IRNazanin" w:hAnsi="IRNazanin" w:eastAsia="IRNazanin" w:cs="IRNazanin"/>
          <w:lang w:bidi="fa-IR"/>
          <w:color w:val="111111"/>
          <w:sz w:val="28"/>
          <w:szCs w:val="28"/>
          <w:rtl/>
        </w:rPr>
        <w:t xml:space="preserve">لطف الإمامة یتمّ بأمور: منها ما یجب علی اللّه تعالی و هو خلق الإمام و تمکینه بالتصرّف و العلم و النص علیه باسمه و نسبه، و هذا قد فعله اللّه تعالی، و منها ما یجب علی الإمام و هو تحمّله للإمامة و قبوله لها و هذا قد فعله الإمام، و منها ما یجب علی الرعیة و هو مساعدته و النصرة له و قبول أوامره و امتثال قوله، و هذا لم یفعله الرعیة، فکان منع اللطف الکامل منهم لا من اللّه تعالی و لا من الإمام. </w:t>
      </w:r>
      <w:r>
        <w:rPr>
          <w:rStyle w:val="FootnoteReference"/>
        </w:rPr>
        <w:footnoteReference w:id="4688"/>
      </w:r>
    </w:p>
    <w:p>
      <w:pPr>
        <w:pStyle w:val="BookText"/>
      </w:pPr>
      <w:r>
        <w:rPr>
          <w:rFonts w:ascii="IRNazanin" w:hAnsi="IRNazanin" w:eastAsia="IRNazanin" w:cs="IRNazanin"/>
          <w:lang w:bidi="fa-IR"/>
          <w:color w:val="111111"/>
          <w:sz w:val="28"/>
          <w:szCs w:val="28"/>
          <w:rtl/>
        </w:rPr>
        <w:t xml:space="preserve">مناظرة هشام بن الحکم مع عمرو بن عبید</w:t>
      </w:r>
    </w:p>
    <w:p>
      <w:pPr>
        <w:pStyle w:val="BookText"/>
      </w:pPr>
      <w:r>
        <w:rPr>
          <w:rFonts w:ascii="IRNazanin" w:hAnsi="IRNazanin" w:eastAsia="IRNazanin" w:cs="IRNazanin"/>
          <w:lang w:bidi="fa-IR"/>
          <w:color w:val="111111"/>
          <w:sz w:val="28"/>
          <w:szCs w:val="28"/>
          <w:rtl/>
        </w:rPr>
        <w:t xml:space="preserve">ناظر هشام بن الحکم -و هو من أبرز أصحاب الإمام الصادق علیه السلام فی علم الکلام -مع عمرو بن عبید -و هو من مشایخ المعتزلة -فی مسألة</w:t>
      </w:r>
    </w:p>
    <w:p>
      <w:pPr>
        <w:pStyle w:val="BookText"/>
      </w:pPr>
      <w:r>
        <w:rPr>
          <w:rFonts w:ascii="IRNazanin" w:hAnsi="IRNazanin" w:eastAsia="IRNazanin" w:cs="IRNazanin"/>
          <w:lang w:bidi="fa-IR"/>
          <w:color w:val="111111"/>
          <w:sz w:val="28"/>
          <w:szCs w:val="28"/>
          <w:rtl/>
        </w:rPr>
        <w:t xml:space="preserve">[شماره صفحه واقعی : 348]
</w:t>
      </w:r>
    </w:p>
    <w:p>
      <w:pPr>
        <w:sectPr>
          <w:footerReference w:type="default" r:id="rId1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الإمامة و صارت النتیجة إفحام هشام لعمرو عند جمع من تلامذته، و إلیک ما رواه الکلینی فی ذلک:</w:t>
      </w:r>
    </w:p>
    <w:p>
      <w:pPr>
        <w:pStyle w:val="BookText"/>
      </w:pPr>
      <w:r>
        <w:rPr>
          <w:rFonts w:ascii="IRNazanin" w:hAnsi="IRNazanin" w:eastAsia="IRNazanin" w:cs="IRNazanin"/>
          <w:lang w:bidi="fa-IR"/>
          <w:color w:val="111111"/>
          <w:sz w:val="28"/>
          <w:szCs w:val="28"/>
          <w:rtl/>
        </w:rPr>
        <w:t xml:space="preserve">علی بن إبراهیم، عن أبیه، عن الحسن بن إبراهیم، عن یونس بن یعقوب، قال: کان عند أبی عبد اللّه علیه السلام جماعة من أصحابه، منهم:</w:t>
      </w:r>
    </w:p>
    <w:p>
      <w:pPr>
        <w:pStyle w:val="BookText"/>
      </w:pPr>
      <w:r>
        <w:rPr>
          <w:rFonts w:ascii="IRNazanin" w:hAnsi="IRNazanin" w:eastAsia="IRNazanin" w:cs="IRNazanin"/>
          <w:lang w:bidi="fa-IR"/>
          <w:color w:val="111111"/>
          <w:sz w:val="28"/>
          <w:szCs w:val="28"/>
          <w:rtl/>
        </w:rPr>
        <w:t xml:space="preserve">حمران بن أعین، و محمّد بن النعمان، و هشام بن سالم، و الطیّار، و جماعة فیهم هشام بن الحکم و هو شاب، فقال أبو عبد اللّه علیه السلام :</w:t>
      </w:r>
    </w:p>
    <w:p>
      <w:pPr>
        <w:pStyle w:val="BookText"/>
      </w:pPr>
      <w:r>
        <w:rPr>
          <w:rFonts w:ascii="IRNazanin" w:hAnsi="IRNazanin" w:eastAsia="IRNazanin" w:cs="IRNazanin"/>
          <w:lang w:bidi="fa-IR"/>
          <w:color w:val="111111"/>
          <w:sz w:val="28"/>
          <w:szCs w:val="28"/>
          <w:rtl/>
        </w:rPr>
        <w:t xml:space="preserve">«یا هشام أ لا تخبرنی کیف صنعت بعمرو بن عبید؟ و کیف سألته؟».</w:t>
      </w:r>
    </w:p>
    <w:p>
      <w:pPr>
        <w:pStyle w:val="BookText"/>
      </w:pPr>
      <w:r>
        <w:rPr>
          <w:rFonts w:ascii="IRNazanin" w:hAnsi="IRNazanin" w:eastAsia="IRNazanin" w:cs="IRNazanin"/>
          <w:lang w:bidi="fa-IR"/>
          <w:color w:val="111111"/>
          <w:sz w:val="28"/>
          <w:szCs w:val="28"/>
          <w:rtl/>
        </w:rPr>
        <w:t xml:space="preserve">فقال هشام: یا بن رسول اللّه إنّی أُجلُّک و استحییک و لا یعمل لسانی بین یدیک.</w:t>
      </w:r>
    </w:p>
    <w:p>
      <w:pPr>
        <w:pStyle w:val="BookText"/>
      </w:pPr>
      <w:r>
        <w:rPr>
          <w:rFonts w:ascii="IRNazanin" w:hAnsi="IRNazanin" w:eastAsia="IRNazanin" w:cs="IRNazanin"/>
          <w:lang w:bidi="fa-IR"/>
          <w:color w:val="111111"/>
          <w:sz w:val="28"/>
          <w:szCs w:val="28"/>
          <w:rtl/>
        </w:rPr>
        <w:t xml:space="preserve">فقال أبو عبد اللّه علیه السلام : «إذا أمرتکم بشیء فافعلوا».</w:t>
      </w:r>
    </w:p>
    <w:p>
      <w:pPr>
        <w:pStyle w:val="BookText"/>
      </w:pPr>
      <w:r>
        <w:rPr>
          <w:rFonts w:ascii="IRNazanin" w:hAnsi="IRNazanin" w:eastAsia="IRNazanin" w:cs="IRNazanin"/>
          <w:lang w:bidi="fa-IR"/>
          <w:color w:val="111111"/>
          <w:sz w:val="28"/>
          <w:szCs w:val="28"/>
          <w:rtl/>
        </w:rPr>
        <w:t xml:space="preserve">قال هشام: بلغنی ما کان فیه عمرو بن عبید و جلوسه فی مسجد البصرة، فعظم ذلک علیّ، فخرجت إلیه و دخلت البصرة یوم الجمعة، فأتیت مسجد البصرة، فإذا أنا بحلقة کبیرة فیها عمرو بن عبید و علیه شملة سوداء، متَّزر بها من صوف، و شملة مرتدیاً بها و الناس یسألونه، فاستفرجت الناس، فأفرجوا لی، ثمّ قعدت فی آخر القوم علی رکبتَیَّ، ثمّ قلت: أیّها العالم: إنّی رجل غریب تأذن لی فی مسألة؟</w:t>
      </w:r>
    </w:p>
    <w:p>
      <w:pPr>
        <w:pStyle w:val="BookText"/>
      </w:pPr>
      <w:r>
        <w:rPr>
          <w:rFonts w:ascii="IRNazanin" w:hAnsi="IRNazanin" w:eastAsia="IRNazanin" w:cs="IRNazanin"/>
          <w:lang w:bidi="fa-IR"/>
          <w:color w:val="111111"/>
          <w:sz w:val="28"/>
          <w:szCs w:val="28"/>
          <w:rtl/>
        </w:rPr>
        <w:t xml:space="preserve">فقال لی: نعم.</w:t>
      </w:r>
    </w:p>
    <w:p>
      <w:pPr>
        <w:pStyle w:val="BookText"/>
      </w:pPr>
      <w:r>
        <w:rPr>
          <w:rFonts w:ascii="IRNazanin" w:hAnsi="IRNazanin" w:eastAsia="IRNazanin" w:cs="IRNazanin"/>
          <w:lang w:bidi="fa-IR"/>
          <w:color w:val="111111"/>
          <w:sz w:val="28"/>
          <w:szCs w:val="28"/>
          <w:rtl/>
        </w:rPr>
        <w:t xml:space="preserve">فقلت له: أ لک عین؟ فقال: یا بُنیّ أیّ شیء هذا من السؤال و شیء تراه کیف تسأل عنه؟</w:t>
      </w:r>
    </w:p>
    <w:p>
      <w:pPr>
        <w:pStyle w:val="BookText"/>
      </w:pPr>
      <w:r>
        <w:rPr>
          <w:rFonts w:ascii="IRNazanin" w:hAnsi="IRNazanin" w:eastAsia="IRNazanin" w:cs="IRNazanin"/>
          <w:lang w:bidi="fa-IR"/>
          <w:color w:val="111111"/>
          <w:sz w:val="28"/>
          <w:szCs w:val="28"/>
          <w:rtl/>
        </w:rPr>
        <w:t xml:space="preserve">[شماره صفحه واقعی : 349]
</w:t>
      </w:r>
    </w:p>
    <w:p>
      <w:pPr>
        <w:sectPr>
          <w:footerReference w:type="default" r:id="rId1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فقلت: هکذا مسألتی. فقال: یا بنیَّ سَل و إن کانت مسألتک حمقاً.</w:t>
      </w:r>
    </w:p>
    <w:p>
      <w:pPr>
        <w:pStyle w:val="BookText"/>
      </w:pPr>
      <w:r>
        <w:rPr>
          <w:rFonts w:ascii="Amiri" w:hAnsi="Amiri" w:eastAsia="Amiri" w:cs="Amiri"/>
          <w:lang w:bidi="ar-SA"/>
          <w:color w:val="111111"/>
          <w:sz w:val="28"/>
          <w:szCs w:val="28"/>
          <w:rtl/>
        </w:rPr>
        <w:t xml:space="preserve">قلت: أجِبْنی فیها. قال لی: سَل.</w:t>
      </w:r>
    </w:p>
    <w:p>
      <w:pPr>
        <w:pStyle w:val="BookText"/>
      </w:pPr>
      <w:r>
        <w:rPr>
          <w:rFonts w:ascii="IRNazanin" w:hAnsi="IRNazanin" w:eastAsia="IRNazanin" w:cs="IRNazanin"/>
          <w:lang w:bidi="fa-IR"/>
          <w:color w:val="111111"/>
          <w:sz w:val="28"/>
          <w:szCs w:val="28"/>
          <w:rtl/>
        </w:rPr>
        <w:t xml:space="preserve">قلت: أ لک عین؟ قال: نعم، قلت: فما تصنع بها؟ قال: أری بها الألوان و الأشخاص.</w:t>
      </w:r>
    </w:p>
    <w:p>
      <w:pPr>
        <w:pStyle w:val="BookText"/>
      </w:pPr>
      <w:r>
        <w:rPr>
          <w:rFonts w:ascii="IRNazanin" w:hAnsi="IRNazanin" w:eastAsia="IRNazanin" w:cs="IRNazanin"/>
          <w:lang w:bidi="fa-IR"/>
          <w:color w:val="111111"/>
          <w:sz w:val="28"/>
          <w:szCs w:val="28"/>
          <w:rtl/>
        </w:rPr>
        <w:t xml:space="preserve">قلت: فلک أنف؟ قال: نعم، قلت: فما تصنع به؟ قال: أشمّ به الرائحة.</w:t>
      </w:r>
    </w:p>
    <w:p>
      <w:pPr>
        <w:pStyle w:val="BookText"/>
      </w:pPr>
      <w:r>
        <w:rPr>
          <w:rFonts w:ascii="IRNazanin" w:hAnsi="IRNazanin" w:eastAsia="IRNazanin" w:cs="IRNazanin"/>
          <w:lang w:bidi="fa-IR"/>
          <w:color w:val="111111"/>
          <w:sz w:val="28"/>
          <w:szCs w:val="28"/>
          <w:rtl/>
        </w:rPr>
        <w:t xml:space="preserve">قلت: أ لک فم؟ قال: نعم، قلت: فما تصنع به؟ قال: أذوق به الطعم.</w:t>
      </w:r>
    </w:p>
    <w:p>
      <w:pPr>
        <w:pStyle w:val="BookText"/>
      </w:pPr>
      <w:r>
        <w:rPr>
          <w:rFonts w:ascii="IRNazanin" w:hAnsi="IRNazanin" w:eastAsia="IRNazanin" w:cs="IRNazanin"/>
          <w:lang w:bidi="fa-IR"/>
          <w:color w:val="111111"/>
          <w:sz w:val="28"/>
          <w:szCs w:val="28"/>
          <w:rtl/>
        </w:rPr>
        <w:t xml:space="preserve">قلت : فلک أُذن؟ قال: نعم، قلت: فما تصنع بها؟ قال: أسمع بها الصوت.</w:t>
      </w:r>
    </w:p>
    <w:p>
      <w:pPr>
        <w:pStyle w:val="BookText"/>
      </w:pPr>
      <w:r>
        <w:rPr>
          <w:rFonts w:ascii="IRNazanin" w:hAnsi="IRNazanin" w:eastAsia="IRNazanin" w:cs="IRNazanin"/>
          <w:lang w:bidi="fa-IR"/>
          <w:color w:val="111111"/>
          <w:sz w:val="28"/>
          <w:szCs w:val="28"/>
          <w:rtl/>
        </w:rPr>
        <w:t xml:space="preserve">قلت: أ لک قلب؟ قال: نعم، قلت: فما تصنع به؟ قال: أُمیِّز به کلّ ما ورد علی هذه الجوارح و الحواس.</w:t>
      </w:r>
    </w:p>
    <w:p>
      <w:pPr>
        <w:pStyle w:val="BookText"/>
      </w:pPr>
      <w:r>
        <w:rPr>
          <w:rFonts w:ascii="IRNazanin" w:hAnsi="IRNazanin" w:eastAsia="IRNazanin" w:cs="IRNazanin"/>
          <w:lang w:bidi="fa-IR"/>
          <w:color w:val="111111"/>
          <w:sz w:val="28"/>
          <w:szCs w:val="28"/>
          <w:rtl/>
        </w:rPr>
        <w:t xml:space="preserve">قلت: أو لیس فی هذه الجوارح غنی عن القلب؟ فقال: لا، قلت: و کیف ذلک و هی صحیحة سلیمة؟</w:t>
      </w:r>
    </w:p>
    <w:p>
      <w:pPr>
        <w:pStyle w:val="BookText"/>
      </w:pPr>
      <w:r>
        <w:rPr>
          <w:rFonts w:ascii="IRNazanin" w:hAnsi="IRNazanin" w:eastAsia="IRNazanin" w:cs="IRNazanin"/>
          <w:lang w:bidi="fa-IR"/>
          <w:color w:val="111111"/>
          <w:sz w:val="28"/>
          <w:szCs w:val="28"/>
          <w:rtl/>
        </w:rPr>
        <w:t xml:space="preserve">قال: یا بنی: إنّ الجوارح إذا شکّت فی شیء شمَّته أو رأته أو ذاقته أو سمعته، ردَّته إلی القلب فیستیقن الیقین و یبطل الشکّ.</w:t>
      </w:r>
    </w:p>
    <w:p>
      <w:pPr>
        <w:pStyle w:val="BookText"/>
      </w:pPr>
      <w:r>
        <w:rPr>
          <w:rFonts w:ascii="IRNazanin" w:hAnsi="IRNazanin" w:eastAsia="IRNazanin" w:cs="IRNazanin"/>
          <w:lang w:bidi="fa-IR"/>
          <w:color w:val="111111"/>
          <w:sz w:val="28"/>
          <w:szCs w:val="28"/>
          <w:rtl/>
        </w:rPr>
        <w:t xml:space="preserve">فقلت له: فإنّما أقام اللّه القلب لشکّ الجوارح؟ قال: نعم.</w:t>
      </w:r>
    </w:p>
    <w:p>
      <w:pPr>
        <w:pStyle w:val="BookText"/>
      </w:pPr>
      <w:r>
        <w:rPr>
          <w:rFonts w:ascii="IRNazanin" w:hAnsi="IRNazanin" w:eastAsia="IRNazanin" w:cs="IRNazanin"/>
          <w:lang w:bidi="fa-IR"/>
          <w:color w:val="111111"/>
          <w:sz w:val="28"/>
          <w:szCs w:val="28"/>
          <w:rtl/>
        </w:rPr>
        <w:t xml:space="preserve">قلت: لا بدّ من القلب و إلّا لم تستیقن الجوارح؟ قال: نعم.</w:t>
      </w:r>
    </w:p>
    <w:p>
      <w:pPr>
        <w:pStyle w:val="BookText"/>
      </w:pPr>
      <w:r>
        <w:rPr>
          <w:rFonts w:ascii="IRNazanin" w:hAnsi="IRNazanin" w:eastAsia="IRNazanin" w:cs="IRNazanin"/>
          <w:lang w:bidi="fa-IR"/>
          <w:color w:val="111111"/>
          <w:sz w:val="28"/>
          <w:szCs w:val="28"/>
          <w:rtl/>
        </w:rPr>
        <w:t xml:space="preserve">فقلت له: یا أبا مروان فاللّه تبارک و تعالی لم یترک جوارحک حتی جعل لها إماماً یصحّح لها الصحیح و یتیقّن به ما شکّ فیه، و یترک هذا الخلق</w:t>
      </w:r>
    </w:p>
    <w:p>
      <w:pPr>
        <w:pStyle w:val="BookText"/>
      </w:pPr>
      <w:r>
        <w:rPr>
          <w:rFonts w:ascii="IRNazanin" w:hAnsi="IRNazanin" w:eastAsia="IRNazanin" w:cs="IRNazanin"/>
          <w:lang w:bidi="fa-IR"/>
          <w:color w:val="111111"/>
          <w:sz w:val="28"/>
          <w:szCs w:val="28"/>
          <w:rtl/>
        </w:rPr>
        <w:t xml:space="preserve">[شماره صفحه واقعی : 350]
</w:t>
      </w:r>
    </w:p>
    <w:p>
      <w:pPr>
        <w:sectPr>
          <w:footerReference w:type="default" r:id="rId1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کلّهم فی حیرتهم و شکّهم و اختلافهم، لا یقیم لهم إماماً یردون إلیه شکّهم و حیرتهم، و یقیم لک إماماً لجوارحک ترد إلیه حیرتک و شکّک؟</w:t>
      </w:r>
    </w:p>
    <w:p>
      <w:pPr>
        <w:pStyle w:val="BookText"/>
      </w:pPr>
      <w:r>
        <w:rPr>
          <w:rFonts w:ascii="IRNazanin" w:hAnsi="IRNazanin" w:eastAsia="IRNazanin" w:cs="IRNazanin"/>
          <w:lang w:bidi="fa-IR"/>
          <w:color w:val="111111"/>
          <w:sz w:val="28"/>
          <w:szCs w:val="28"/>
          <w:rtl/>
        </w:rPr>
        <w:t xml:space="preserve">فسکت و لم یقل لی شیئاً... ثمّ ضمّنی إلیه و أقعدنی فی مجلسه، و ما زال عن مجلسه و ما نطق حتی قمت.</w:t>
      </w:r>
    </w:p>
    <w:p>
      <w:pPr>
        <w:pStyle w:val="BookText"/>
      </w:pPr>
      <w:r>
        <w:rPr>
          <w:rFonts w:ascii="IRNazanin" w:hAnsi="IRNazanin" w:eastAsia="IRNazanin" w:cs="IRNazanin"/>
          <w:lang w:bidi="fa-IR"/>
          <w:color w:val="111111"/>
          <w:sz w:val="28"/>
          <w:szCs w:val="28"/>
          <w:rtl/>
        </w:rPr>
        <w:t xml:space="preserve">فضحک أبو عبد اللّه علیه السلام و قال: یا هشام من علّمک هذا؟</w:t>
      </w:r>
    </w:p>
    <w:p>
      <w:pPr>
        <w:pStyle w:val="BookText"/>
      </w:pPr>
      <w:r>
        <w:rPr>
          <w:rFonts w:ascii="IRNazanin" w:hAnsi="IRNazanin" w:eastAsia="IRNazanin" w:cs="IRNazanin"/>
          <w:lang w:bidi="fa-IR"/>
          <w:color w:val="111111"/>
          <w:sz w:val="28"/>
          <w:szCs w:val="28"/>
          <w:rtl/>
        </w:rPr>
        <w:t xml:space="preserve">قلت: شیء أخذته منک و ألَّفته.</w:t>
      </w:r>
    </w:p>
    <w:p>
      <w:pPr>
        <w:pStyle w:val="BookText"/>
      </w:pPr>
      <w:r>
        <w:rPr>
          <w:rFonts w:ascii="IRNazanin" w:hAnsi="IRNazanin" w:eastAsia="IRNazanin" w:cs="IRNazanin"/>
          <w:lang w:bidi="fa-IR"/>
          <w:color w:val="111111"/>
          <w:sz w:val="28"/>
          <w:szCs w:val="28"/>
          <w:rtl/>
        </w:rPr>
        <w:t xml:space="preserve">قال علیه السلام : هذا و اللّه مکتوب فی صحف إبراهیم و موسی. </w:t>
      </w:r>
      <w:r>
        <w:rPr>
          <w:rStyle w:val="FootnoteReference"/>
        </w:rPr>
        <w:footnoteReference w:id="4689"/>
      </w:r>
    </w:p>
    <w:p>
      <w:pPr>
        <w:pStyle w:val="BookText"/>
      </w:pPr>
      <w:r>
        <w:rPr>
          <w:rFonts w:ascii="IRNazanin" w:hAnsi="IRNazanin" w:eastAsia="IRNazanin" w:cs="IRNazanin"/>
          <w:lang w:bidi="fa-IR"/>
          <w:color w:val="111111"/>
          <w:sz w:val="28"/>
          <w:szCs w:val="28"/>
          <w:rtl/>
        </w:rPr>
        <w:t xml:space="preserve">و لعلّ قوله علیه السلام : هذا و اللّه مکتوب الخ، إشارة إلی أنّ مسألة نصب الخلیفة و الإمام الّتی یحکم بها العقل الصریح، کانت من سنن الأنبیاء و المرسلین، و إنّما ذکر إبراهیم و موسی لما کان لهما من المکانة الخاصّة فی هذا المجال، و لذلک أیضاً ذکر القرآن ما استدعیاه من اللّه سبحانه فی أمر الإمامة و الوزارة </w:t>
      </w:r>
      <w:r>
        <w:rPr>
          <w:rStyle w:val="FootnoteReference"/>
        </w:rPr>
        <w:footnoteReference w:id="4690"/>
      </w:r>
      <w:r>
        <w:rPr>
          <w:rFonts w:ascii="IRNazanin" w:hAnsi="IRNazanin" w:eastAsia="IRNazanin" w:cs="IRNazanin"/>
          <w:lang w:bidi="fa-IR"/>
          <w:color w:val="111111"/>
          <w:sz w:val="28"/>
          <w:szCs w:val="28"/>
          <w:rtl/>
        </w:rPr>
        <w:t xml:space="preserve">و یدلّ علی ذلک أیضاً ما روی عن رسول اللّه صلی الله علیه و آله أنّه قال:</w:t>
      </w:r>
    </w:p>
    <w:p>
      <w:pPr>
        <w:pStyle w:val="BookText"/>
      </w:pPr>
      <w:r>
        <w:rPr>
          <w:rFonts w:ascii="IRNazanin" w:hAnsi="IRNazanin" w:eastAsia="IRNazanin" w:cs="IRNazanin"/>
          <w:lang w:bidi="fa-IR"/>
          <w:color w:val="111111"/>
          <w:sz w:val="28"/>
          <w:szCs w:val="28"/>
          <w:rtl/>
        </w:rPr>
        <w:t xml:space="preserve">«کانت بنو إسرائیل تسوسهم الأنبیاء کلَّما هلک نبی خلفه نبیّ، و إنّه لا نبیّ بعدی، و سیکون بعدی خلفاء یکثرون». </w:t>
      </w:r>
      <w:r>
        <w:rPr>
          <w:rStyle w:val="FootnoteReference"/>
        </w:rPr>
        <w:footnoteReference w:id="4691"/>
      </w:r>
    </w:p>
    <w:p>
      <w:pPr>
        <w:pStyle w:val="BookText"/>
      </w:pPr>
      <w:r>
        <w:rPr>
          <w:rFonts w:ascii="IRNazanin" w:hAnsi="IRNazanin" w:eastAsia="IRNazanin" w:cs="IRNazanin"/>
          <w:lang w:bidi="fa-IR"/>
          <w:color w:val="111111"/>
          <w:sz w:val="28"/>
          <w:szCs w:val="28"/>
          <w:rtl/>
        </w:rPr>
        <w:t xml:space="preserve">و ظاهر الحدیث أنّ استخلاف الخلفاء فی الأُمّة الإسلامیة، کاستخلاف الأنبیاء فی الأُمم السالفة، و من المعلوم أنّ الاستخلاف کان هناک بالتنصیص.</w:t>
      </w:r>
    </w:p>
    <w:p>
      <w:pPr>
        <w:pStyle w:val="BookText"/>
      </w:pPr>
      <w:r>
        <w:rPr>
          <w:rFonts w:ascii="IRNazanin" w:hAnsi="IRNazanin" w:eastAsia="IRNazanin" w:cs="IRNazanin"/>
          <w:lang w:bidi="fa-IR"/>
          <w:color w:val="111111"/>
          <w:sz w:val="28"/>
          <w:szCs w:val="28"/>
          <w:rtl/>
        </w:rPr>
        <w:t xml:space="preserve">[شماره صفحه واقعی : 351]
</w:t>
      </w:r>
    </w:p>
    <w:p>
      <w:pPr>
        <w:sectPr>
          <w:footerReference w:type="default" r:id="rId1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352]
</w:t>
      </w:r>
    </w:p>
    <w:p>
      <w:pPr>
        <w:sectPr>
          <w:footerReference w:type="default" r:id="rId1499"/>
          <w:footnotePr>
            <w:numStart w:val="1"/>
            <w:numRestart w:val="eachPage"/>
          </w:footnotePr>
          <w:pgSz w:orient="portrait" w:w="11905.511811023622" w:h="16837.79527559055"/>
          <w:pgMar w:top="1440" w:right="1440" w:bottom="1440" w:left="1440" w:header="720" w:footer="720" w:gutter="0"/>
          <w:cols w:num="1" w:space="720"/>
        </w:sectPr>
      </w:pPr>
    </w:p>
    <w:bookmarkStart w:id="829" w:name="pg14411_143881"/>
    <w:bookmarkEnd w:id="829"/>
    <w:p>
      <w:pPr>
        <w:pStyle w:val="Heading5"/>
      </w:pPr>
      <w:bookmarkStart w:id="2628" w:name="_Toc1663"/>
      <w:r>
        <w:t>الفصل الخامس : وجوب العصمة فی الإمام</w:t>
      </w:r>
      <w:bookmarkEnd w:id="2628"/>
    </w:p>
    <w:p>
      <w:pPr>
        <w:pStyle w:val="Heading6"/>
      </w:pPr>
      <w:bookmarkStart w:id="2629" w:name="_Toc1664"/>
      <w:r>
        <w:t>اشارة</w:t>
      </w:r>
      <w:bookmarkEnd w:id="2629"/>
    </w:p>
    <w:p>
      <w:pPr>
        <w:pStyle w:val="BookText"/>
      </w:pPr>
      <w:r>
        <w:rPr>
          <w:rFonts w:ascii="IRNazanin" w:hAnsi="IRNazanin" w:eastAsia="IRNazanin" w:cs="IRNazanin"/>
          <w:lang w:bidi="fa-IR"/>
          <w:color w:val="111111"/>
          <w:sz w:val="28"/>
          <w:szCs w:val="28"/>
          <w:rtl/>
        </w:rPr>
        <w:t xml:space="preserve">اتّفق أهل السنّة علی أنّ العصمة لیست من شرائط الإمام أخذاً بمبادئهم حیث إنّ الخلفاء بعد رسول اللّه صلی الله علیه و آله لم یکونوا بمعصومین، قال التفتازانی:</w:t>
      </w:r>
    </w:p>
    <w:p>
      <w:pPr>
        <w:pStyle w:val="BookText"/>
      </w:pPr>
      <w:r>
        <w:rPr>
          <w:rFonts w:ascii="IRNazanin" w:hAnsi="IRNazanin" w:eastAsia="IRNazanin" w:cs="IRNazanin"/>
          <w:lang w:bidi="fa-IR"/>
          <w:color w:val="111111"/>
          <w:sz w:val="28"/>
          <w:szCs w:val="28"/>
          <w:rtl/>
        </w:rPr>
        <w:t xml:space="preserve">و احتجّ أصحابنا علی عدم وجوب العصمة بالإجماع علی إمامة أبی بکر و عمر و عثمان، مع الإجماع علی أنّهم لم تجب عصمتهم...</w:t>
      </w:r>
    </w:p>
    <w:p>
      <w:pPr>
        <w:pStyle w:val="BookText"/>
      </w:pPr>
      <w:r>
        <w:rPr>
          <w:rFonts w:ascii="IRNazanin" w:hAnsi="IRNazanin" w:eastAsia="IRNazanin" w:cs="IRNazanin"/>
          <w:lang w:bidi="fa-IR"/>
          <w:color w:val="111111"/>
          <w:sz w:val="28"/>
          <w:szCs w:val="28"/>
          <w:rtl/>
        </w:rPr>
        <w:t xml:space="preserve">و حاصل هذا دعوی الإجماع علی عدم اشتراط العصمة فی الإمام. </w:t>
      </w:r>
      <w:r>
        <w:rPr>
          <w:rStyle w:val="FootnoteReference"/>
        </w:rPr>
        <w:footnoteReference w:id="4692"/>
      </w:r>
    </w:p>
    <w:p>
      <w:pPr>
        <w:pStyle w:val="BookText"/>
      </w:pPr>
      <w:r>
        <w:rPr>
          <w:rFonts w:ascii="IRNazanin" w:hAnsi="IRNazanin" w:eastAsia="IRNazanin" w:cs="IRNazanin"/>
          <w:lang w:bidi="fa-IR"/>
          <w:color w:val="111111"/>
          <w:sz w:val="28"/>
          <w:szCs w:val="28"/>
          <w:rtl/>
        </w:rPr>
        <w:t xml:space="preserve">و أمّا الشیعة الإمامیة فقد اتّفقت کلمتهم علی هذا الشرط، قال الشیخ المفید: «اتّفقت الإمامیة علی أنّ إمام الدین لا یکون إلّا معصوماً من الخلاف للّه تعالی». </w:t>
      </w:r>
      <w:r>
        <w:rPr>
          <w:rStyle w:val="FootnoteReference"/>
        </w:rPr>
        <w:footnoteReference w:id="4693"/>
      </w:r>
    </w:p>
    <w:p>
      <w:pPr>
        <w:pStyle w:val="BookText"/>
      </w:pPr>
      <w:r>
        <w:rPr>
          <w:rFonts w:ascii="IRNazanin" w:hAnsi="IRNazanin" w:eastAsia="IRNazanin" w:cs="IRNazanin"/>
          <w:lang w:bidi="fa-IR"/>
          <w:color w:val="111111"/>
          <w:sz w:val="28"/>
          <w:szCs w:val="28"/>
          <w:rtl/>
        </w:rPr>
        <w:t xml:space="preserve">و قال «أقول: إنّ الأئمّة القائمین مقام الأنبیاء فی تنفیذ الأحکام و إقامة الحدود و حفظ الشرائع و تأدیب الأنام، معصومون کعصمة الأنبیاء». </w:t>
      </w:r>
      <w:r>
        <w:rPr>
          <w:rStyle w:val="FootnoteReference"/>
        </w:rPr>
        <w:footnoteReference w:id="4694"/>
      </w:r>
    </w:p>
    <w:p>
      <w:pPr>
        <w:pStyle w:val="BookText"/>
      </w:pPr>
      <w:r>
        <w:rPr>
          <w:rFonts w:ascii="IRNazanin" w:hAnsi="IRNazanin" w:eastAsia="IRNazanin" w:cs="IRNazanin"/>
          <w:lang w:bidi="fa-IR"/>
          <w:color w:val="111111"/>
          <w:sz w:val="28"/>
          <w:szCs w:val="28"/>
          <w:rtl/>
        </w:rPr>
        <w:t xml:space="preserve">[شماره صفحه واقعی : 353]
</w:t>
      </w:r>
    </w:p>
    <w:p>
      <w:pPr>
        <w:sectPr>
          <w:footerReference w:type="default" r:id="rId1500"/>
          <w:footnotePr>
            <w:numStart w:val="1"/>
            <w:numRestart w:val="eachPage"/>
          </w:footnotePr>
          <w:pgSz w:orient="portrait" w:w="11905.511811023622" w:h="16837.79527559055"/>
          <w:pgMar w:top="1440" w:right="1440" w:bottom="1440" w:left="1440" w:header="720" w:footer="720" w:gutter="0"/>
          <w:cols w:num="1" w:space="720"/>
        </w:sectPr>
      </w:pPr>
    </w:p>
    <w:bookmarkStart w:id="830" w:name="pg14411_143882"/>
    <w:bookmarkEnd w:id="830"/>
    <w:p>
      <w:pPr>
        <w:pStyle w:val="BookText"/>
      </w:pPr>
      <w:r>
        <w:rPr>
          <w:rFonts w:ascii="IRNazanin" w:hAnsi="IRNazanin" w:eastAsia="IRNazanin" w:cs="IRNazanin"/>
          <w:lang w:bidi="fa-IR"/>
          <w:color w:val="111111"/>
          <w:sz w:val="28"/>
          <w:szCs w:val="28"/>
          <w:rtl/>
        </w:rPr>
        <w:t xml:space="preserve">ثمّ إنّهم استدلّوا علی وجوب العصمة بوجوه، نکتفی ببعضها:</w:t>
      </w:r>
    </w:p>
    <w:p>
      <w:pPr>
        <w:pStyle w:val="Heading6"/>
      </w:pPr>
      <w:bookmarkStart w:id="2630" w:name="_Toc1665"/>
      <w:r>
        <w:t>1. الإمام حافظ للشریعة کالنبیّ صلی الله علیه و آله</w:t>
      </w:r>
      <w:bookmarkEnd w:id="2630"/>
    </w:p>
    <w:p>
      <w:pPr>
        <w:pStyle w:val="BookText"/>
      </w:pPr>
      <w:r>
        <w:rPr>
          <w:rFonts w:ascii="IRNazanin" w:hAnsi="IRNazanin" w:eastAsia="IRNazanin" w:cs="IRNazanin"/>
          <w:lang w:bidi="fa-IR"/>
          <w:color w:val="111111"/>
          <w:sz w:val="28"/>
          <w:szCs w:val="28"/>
          <w:rtl/>
        </w:rPr>
        <w:t xml:space="preserve">یجب أن یکون الإمام مصوناً عن الخطأ فی العلم و العمل لکی تحفظ الشریعة به و یکون هادیاً للناس إلی مرضاة اللّه سبحانه، و إلیه أشار العلاّمة الحلّی بقوله:</w:t>
      </w:r>
    </w:p>
    <w:p>
      <w:pPr>
        <w:pStyle w:val="BookText"/>
      </w:pPr>
      <w:r>
        <w:rPr>
          <w:rFonts w:ascii="IRNazanin" w:hAnsi="IRNazanin" w:eastAsia="IRNazanin" w:cs="IRNazanin"/>
          <w:lang w:bidi="fa-IR"/>
          <w:color w:val="111111"/>
          <w:sz w:val="28"/>
          <w:szCs w:val="28"/>
          <w:rtl/>
        </w:rPr>
        <w:t xml:space="preserve">ذهبت الإمامیة إلی أنّ الأئمّة کالأنبیاء فی وجوب عصمتهم عن جمیع القبائح و الفواحش من الصغر إلی الموت عمداً و سهواً، لأنّهم حفظة الشرع و القوّامون به، حالهم فی ذلک کحال النبیّ صلی الله علیه و آله ». </w:t>
      </w:r>
      <w:r>
        <w:rPr>
          <w:rStyle w:val="FootnoteReference"/>
        </w:rPr>
        <w:footnoteReference w:id="4695"/>
      </w:r>
    </w:p>
    <w:p>
      <w:pPr>
        <w:pStyle w:val="BookText"/>
      </w:pPr>
      <w:r>
        <w:rPr>
          <w:rFonts w:ascii="IRNazanin" w:hAnsi="IRNazanin" w:eastAsia="IRNazanin" w:cs="IRNazanin"/>
          <w:lang w:bidi="fa-IR"/>
          <w:color w:val="111111"/>
          <w:sz w:val="28"/>
          <w:szCs w:val="28"/>
          <w:rtl/>
        </w:rPr>
        <w:t xml:space="preserve">و ناقش فیه التفتازانی بقوله: «إنّ نصب الإمام إلی العباد الّذین لا طریق لهم إلی معرفة عصمته بخلاف النبیّ». </w:t>
      </w:r>
      <w:r>
        <w:rPr>
          <w:rStyle w:val="FootnoteReference"/>
        </w:rPr>
        <w:footnoteReference w:id="4696"/>
      </w:r>
    </w:p>
    <w:p>
      <w:pPr>
        <w:pStyle w:val="BookText"/>
      </w:pPr>
      <w:r>
        <w:rPr>
          <w:rFonts w:ascii="IRNazanin" w:hAnsi="IRNazanin" w:eastAsia="IRNazanin" w:cs="IRNazanin"/>
          <w:lang w:bidi="fa-IR"/>
          <w:color w:val="111111"/>
          <w:sz w:val="28"/>
          <w:szCs w:val="28"/>
          <w:rtl/>
        </w:rPr>
        <w:t xml:space="preserve">و الجواب عنه ظاهر بما تقدّم من بطلان القول بأنّ نصب الإمام مفوَّض إلی العباد، و لنا أن نعکس و نقول: وجوب عصمة الإمام ممّا یحکم به العقل الصریح بالتأمّل فی حقیقة الإمامة و الغرض منها، و حیث إنّ الناس لا طریق لهم إلی معرفة عصمة الإمام کما اعترف به الخصم، فلا یکون نصبه مفوَّضاً إلیهم.</w:t>
      </w:r>
    </w:p>
    <w:p>
      <w:pPr>
        <w:pStyle w:val="BookText"/>
      </w:pPr>
      <w:r>
        <w:rPr>
          <w:rFonts w:ascii="IRNazanin" w:hAnsi="IRNazanin" w:eastAsia="IRNazanin" w:cs="IRNazanin"/>
          <w:lang w:bidi="fa-IR"/>
          <w:color w:val="111111"/>
          <w:sz w:val="28"/>
          <w:szCs w:val="28"/>
          <w:rtl/>
        </w:rPr>
        <w:t xml:space="preserve">[شماره صفحه واقعی : 354]
</w:t>
      </w:r>
    </w:p>
    <w:p>
      <w:pPr>
        <w:sectPr>
          <w:footerReference w:type="default" r:id="rId1501"/>
          <w:footnotePr>
            <w:numStart w:val="1"/>
            <w:numRestart w:val="eachPage"/>
          </w:footnotePr>
          <w:pgSz w:orient="portrait" w:w="11905.511811023622" w:h="16837.79527559055"/>
          <w:pgMar w:top="1440" w:right="1440" w:bottom="1440" w:left="1440" w:header="720" w:footer="720" w:gutter="0"/>
          <w:cols w:num="1" w:space="720"/>
        </w:sectPr>
      </w:pPr>
    </w:p>
    <w:bookmarkStart w:id="831" w:name="pg14411_143883"/>
    <w:bookmarkEnd w:id="831"/>
    <w:p>
      <w:pPr>
        <w:pStyle w:val="Heading6"/>
      </w:pPr>
      <w:bookmarkStart w:id="2631" w:name="_Toc1666"/>
      <w:r>
        <w:t>2. آیة ابتلاء إبراهیم علیه السلام</w:t>
      </w:r>
      <w:bookmarkEnd w:id="2631"/>
    </w:p>
    <w:p>
      <w:pPr>
        <w:pStyle w:val="BookText"/>
      </w:pPr>
      <w:r>
        <w:rPr>
          <w:rFonts w:ascii="Amiri" w:hAnsi="Amiri" w:eastAsia="Amiri" w:cs="Amiri"/>
          <w:lang w:bidi="ar-SA"/>
          <w:color w:val="111111"/>
          <w:sz w:val="28"/>
          <w:szCs w:val="28"/>
          <w:rtl/>
        </w:rPr>
        <w:t xml:space="preserve">قال سبحانه: «وَ إِذِ ابْتَلیٰ إِبْرٰاهِیمَ رَبُّهُ بِکَلِمٰاتٍ فَأَتَمَّهُنَّ قٰالَ إِنِّی جٰاعِلُکَ لِلنّٰاسِ إِمٰاماً قٰالَ وَ مِنْ ذُرِّیَّتِی قٰالَ لاٰ یَنٰالُ عَهْدِی الظّٰالِمِینَ» </w:t>
      </w:r>
      <w:r>
        <w:rPr>
          <w:rStyle w:val="FootnoteReference"/>
        </w:rPr>
        <w:footnoteReference w:id="46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الاستدلال بالآیة علی المقصود رهن بیان أمرین:</w:t>
      </w:r>
    </w:p>
    <w:p>
      <w:pPr>
        <w:pStyle w:val="BookText"/>
      </w:pPr>
      <w:r>
        <w:rPr>
          <w:rFonts w:ascii="IRNazanin" w:hAnsi="IRNazanin" w:eastAsia="IRNazanin" w:cs="IRNazanin"/>
          <w:lang w:bidi="fa-IR"/>
          <w:color w:val="111111"/>
          <w:sz w:val="28"/>
          <w:szCs w:val="28"/>
          <w:rtl/>
        </w:rPr>
        <w:t xml:space="preserve">الأوّل: ما هو المقصود من الإمامة الّتی أنعم اللّه سبحانه بها علی نبیّه الخلیل علیه السلام ؟</w:t>
      </w:r>
    </w:p>
    <w:p>
      <w:pPr>
        <w:pStyle w:val="BookText"/>
      </w:pPr>
      <w:r>
        <w:rPr>
          <w:rFonts w:ascii="IRNazanin" w:hAnsi="IRNazanin" w:eastAsia="IRNazanin" w:cs="IRNazanin"/>
          <w:lang w:bidi="fa-IR"/>
          <w:color w:val="111111"/>
          <w:sz w:val="28"/>
          <w:szCs w:val="28"/>
          <w:rtl/>
        </w:rPr>
        <w:t xml:space="preserve">الثانی: ما هو المراد من الظالمین؟</w:t>
      </w:r>
    </w:p>
    <w:p>
      <w:pPr>
        <w:pStyle w:val="BookText"/>
      </w:pPr>
      <w:r>
        <w:rPr>
          <w:rFonts w:ascii="Amiri" w:hAnsi="Amiri" w:eastAsia="Amiri" w:cs="Amiri"/>
          <w:lang w:bidi="ar-SA"/>
          <w:color w:val="111111"/>
          <w:sz w:val="28"/>
          <w:szCs w:val="28"/>
          <w:rtl/>
        </w:rPr>
        <w:t xml:space="preserve">أما الأوّل: فقال بعضهم: إنّ المراد من الإمامة، هی النبوّة و الرسالة، و یردّه إنّ إبراهیم کان نبیّاً قبل تنصیبه إماماً، و ذلک لأنّه طلب الإمامة لذریَّته، فکان له عند ذلک ولد أو أولاد، و لا أقلّ من کون الولد و الذریّة مرجوّا له. مع أنّ القرآن یحکی أنّ إبراهیم علیه السلام تعجّب من بشارة الملائکة إیّاه بالولد: «قٰالَ أَ بَشَّرْتُمُونِی عَلیٰ أَنْ مَسَّنِیَ الْکِبَرُ فَبِمَ تُبَشِّرُونَ» </w:t>
      </w:r>
      <w:r>
        <w:rPr>
          <w:rStyle w:val="FootnoteReference"/>
        </w:rPr>
        <w:footnoteReference w:id="4698"/>
      </w:r>
      <w:r>
        <w:rPr>
          <w:rFonts w:ascii="Amiri" w:hAnsi="Amiri" w:eastAsia="Amiri" w:cs="Amiri"/>
          <w:lang w:bidi="ar-SA"/>
          <w:color w:val="111111"/>
          <w:sz w:val="28"/>
          <w:szCs w:val="28"/>
          <w:rtl/>
        </w:rPr>
        <w:t xml:space="preserve">فإبراهیم کان نبیاً و رسولاً و لم یکن له ولدٌ و ذرّیّة حتی مسّه الکبر، ثمّ رزق ولداً فی أوان الکبر بنصّ القرآن الکریم، حیث قال: «الْحَمْدُ لِلّٰهِ الَّذِی وَهَبَ لِی عَلَی الْکِبَرِ إِسْمٰاعِیلَ وَ إِسْحٰاقَ» </w:t>
      </w:r>
      <w:r>
        <w:rPr>
          <w:rStyle w:val="FootnoteReference"/>
        </w:rPr>
        <w:footnoteReference w:id="4699"/>
      </w:r>
      <w:r>
        <w:rPr>
          <w:rFonts w:ascii="IRNazanin" w:hAnsi="IRNazanin" w:eastAsia="IRNazanin" w:cs="IRNazanin"/>
          <w:lang w:bidi="fa-IR"/>
          <w:color w:val="111111"/>
          <w:sz w:val="28"/>
          <w:szCs w:val="28"/>
          <w:rtl/>
        </w:rPr>
        <w:t xml:space="preserve">فطلب الإمامة لذریّته. و علی ذلک یجب أن تکون الإمامة الموهوبة للخلیل غیر النبوّة، و الظاهر أنّ المراد منها هی القیادة الإلهیة</w:t>
      </w:r>
    </w:p>
    <w:p>
      <w:pPr>
        <w:pStyle w:val="BookText"/>
      </w:pPr>
      <w:r>
        <w:rPr>
          <w:rFonts w:ascii="IRNazanin" w:hAnsi="IRNazanin" w:eastAsia="IRNazanin" w:cs="IRNazanin"/>
          <w:lang w:bidi="fa-IR"/>
          <w:color w:val="111111"/>
          <w:sz w:val="28"/>
          <w:szCs w:val="28"/>
          <w:rtl/>
        </w:rPr>
        <w:t xml:space="preserve">[شماره صفحه واقعی : 355]
</w:t>
      </w:r>
    </w:p>
    <w:p>
      <w:pPr>
        <w:sectPr>
          <w:footerReference w:type="default" r:id="rId1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للمجتمع، مضافاً إلی تحمّل الوحی و إبلاغه، فإنّ هناک مقامات ثلاثة: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مقام النبوّة، و هو منصب تحمّل الوحی.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مقام الرسالة، و هو منصب إبلاغه إلی الناس.</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مقام الإمامة، و هو منصب القیادة و تنفیذ الشریعة فی المجتمع بقوّة و قدرة.</w:t>
      </w:r>
    </w:p>
    <w:p>
      <w:pPr>
        <w:pStyle w:val="BookText"/>
      </w:pPr>
      <w:r>
        <w:rPr>
          <w:rFonts w:ascii="IRNazanin" w:hAnsi="IRNazanin" w:eastAsia="IRNazanin" w:cs="IRNazanin"/>
          <w:lang w:bidi="fa-IR"/>
          <w:color w:val="111111"/>
          <w:sz w:val="28"/>
          <w:szCs w:val="28"/>
          <w:rtl/>
        </w:rPr>
        <w:t xml:space="preserve">و الإمامة الّتی یتبنّاها المسلمون بعد رحلة النبیّ الأکرم صلی الله علیه و آله ، تتّحد واقعیتها مع هذه الإمامة.</w:t>
      </w:r>
    </w:p>
    <w:p>
      <w:pPr>
        <w:pStyle w:val="BookText"/>
      </w:pPr>
      <w:r>
        <w:rPr>
          <w:rFonts w:ascii="IRNazanin" w:hAnsi="IRNazanin" w:eastAsia="IRNazanin" w:cs="IRNazanin"/>
          <w:lang w:bidi="fa-IR"/>
          <w:color w:val="111111"/>
          <w:sz w:val="28"/>
          <w:szCs w:val="28"/>
          <w:rtl/>
        </w:rPr>
        <w:t xml:space="preserve">و أمّا الثانی: أعنی المراد من الظّالمین، فالظلم فی اللغة هو وضع الشیء فی غیر موضعه و مجاوزة الحدّ الّذی عیّنه الشّرع، و المعصیة من وضع الشیء (العمل) فی غیر موضعه، فالمعصیة من مصادیق الظلم، قال سبحانه:</w:t>
      </w:r>
    </w:p>
    <w:p>
      <w:pPr>
        <w:pStyle w:val="BookText"/>
      </w:pPr>
      <w:r>
        <w:rPr>
          <w:rFonts w:ascii="Amiri" w:hAnsi="Amiri" w:eastAsia="Amiri" w:cs="Amiri"/>
          <w:lang w:bidi="ar-SA"/>
          <w:color w:val="111111"/>
          <w:sz w:val="28"/>
          <w:szCs w:val="28"/>
          <w:rtl/>
        </w:rPr>
        <w:t xml:space="preserve">«وَ مَنْ یَتَعَدَّ حُدُودَ اللّٰهِ فَأُولٰئِکَ هُمُ الظّٰالِمُونَ» </w:t>
      </w:r>
      <w:r>
        <w:rPr>
          <w:rStyle w:val="FootnoteReference"/>
        </w:rPr>
        <w:footnoteReference w:id="47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 الظاهر من صیغة الجمع المحلّی باللام، إنّ الظلم بکلّ ألوانه و صوره مانع عن نیل هذا المنصب الإلهی، و تکون النتیجة ممنوعیّة کلّ فرد من أفراد الظَّلَمة عن الارتقاء إلی منصب الإمامة، سواء أ کان ظالماً فی فترة من عمره ثمّ تاب و صار غیر ظالم، أو بقی علی ظلمه، فالظالم عند ما یرتکب الظلم یشمله قوله سبحانه: «لاٰ یَنٰالُ عَهْدِی الظّٰالِمِینَ» فصلاحیته بعد ارتفاع الظلم یحتاج إلی دلیل.</w:t>
      </w:r>
    </w:p>
    <w:p>
      <w:pPr>
        <w:pStyle w:val="BookText"/>
      </w:pPr>
      <w:r>
        <w:rPr>
          <w:rFonts w:ascii="IRNazanin" w:hAnsi="IRNazanin" w:eastAsia="IRNazanin" w:cs="IRNazanin"/>
          <w:lang w:bidi="fa-IR"/>
          <w:color w:val="111111"/>
          <w:sz w:val="28"/>
          <w:szCs w:val="28"/>
          <w:rtl/>
        </w:rPr>
        <w:t xml:space="preserve">[شماره صفحه واقعی : 356]
</w:t>
      </w:r>
    </w:p>
    <w:p>
      <w:pPr>
        <w:sectPr>
          <w:footerReference w:type="default" r:id="rId1503"/>
          <w:footnotePr>
            <w:numStart w:val="1"/>
            <w:numRestart w:val="eachPage"/>
          </w:footnotePr>
          <w:pgSz w:orient="portrait" w:w="11905.511811023622" w:h="16837.79527559055"/>
          <w:pgMar w:top="1440" w:right="1440" w:bottom="1440" w:left="1440" w:header="720" w:footer="720" w:gutter="0"/>
          <w:cols w:num="1" w:space="720"/>
        </w:sectPr>
      </w:pPr>
    </w:p>
    <w:bookmarkStart w:id="832" w:name="pg14411_143885"/>
    <w:bookmarkEnd w:id="832"/>
    <w:p>
      <w:pPr>
        <w:pStyle w:val="BookText"/>
      </w:pPr>
      <w:r>
        <w:rPr>
          <w:rFonts w:ascii="IRNazanin" w:hAnsi="IRNazanin" w:eastAsia="IRNazanin" w:cs="IRNazanin"/>
          <w:lang w:bidi="fa-IR"/>
          <w:color w:val="111111"/>
          <w:sz w:val="28"/>
          <w:szCs w:val="28"/>
          <w:rtl/>
        </w:rPr>
        <w:t xml:space="preserve">و علی ذلک فکلّ من ارتکب ظلماً و تجاوز حدّاً فی یوم من أیّام عمره، أو عبد صنماً، و بالجملة ارتکب ما هو حرام، فضلاً عمّا هو کفر، لیس له أهلیّة منصب الإمامة، و لازم ذلک کون الإمام طاهراً من الذنوب من لدن وضع علیه قلم التکلیف، إلی آخر حیاته، و هذا ما یرتئیه الإمامیة فی عصمة الإمام.</w:t>
      </w:r>
    </w:p>
    <w:p>
      <w:pPr>
        <w:pStyle w:val="BookText"/>
      </w:pPr>
      <w:r>
        <w:rPr>
          <w:rFonts w:ascii="IRNazanin" w:hAnsi="IRNazanin" w:eastAsia="IRNazanin" w:cs="IRNazanin"/>
          <w:lang w:bidi="fa-IR"/>
          <w:color w:val="111111"/>
          <w:sz w:val="28"/>
          <w:szCs w:val="28"/>
          <w:rtl/>
        </w:rPr>
        <w:t xml:space="preserve">و ممّا یؤکّد ما ذکرناه أنّ الناس بالنسبة إلی الظلم علی أقسام أربعة: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من کان طیلة عمره ظالماً.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من کان طاهراً و نقیّاً فی جمیع فترات عمره.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من کان ظالماً فی بدایة عمره، و تائباً فی آخره.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عکس الثالث.</w:t>
      </w:r>
    </w:p>
    <w:p>
      <w:pPr>
        <w:pStyle w:val="BookText"/>
      </w:pPr>
      <w:r>
        <w:rPr>
          <w:rFonts w:ascii="IRNazanin" w:hAnsi="IRNazanin" w:eastAsia="IRNazanin" w:cs="IRNazanin"/>
          <w:lang w:bidi="fa-IR"/>
          <w:color w:val="111111"/>
          <w:sz w:val="28"/>
          <w:szCs w:val="28"/>
          <w:rtl/>
        </w:rPr>
        <w:t xml:space="preserve">و حاشی إبراهیم علیه السلام أن یسأل الإمامة للقسم الأوّل و الرابع من ذریّته، و قد نصَّ سبحانه علی أنّه لا ینال عهده الظالم، و هو لا ینطبق إلّا علی القسم الثالث، فإذا خرج هذا القسم بقی القسم الثانی و هو المطلوب. </w:t>
      </w:r>
      <w:r>
        <w:rPr>
          <w:rStyle w:val="FootnoteReference"/>
        </w:rPr>
        <w:footnoteReference w:id="4701"/>
      </w:r>
    </w:p>
    <w:p>
      <w:pPr>
        <w:pStyle w:val="Heading6"/>
      </w:pPr>
      <w:bookmarkStart w:id="2632" w:name="_Toc1667"/>
      <w:r>
        <w:t>3. آیة إطاعة أولی الأمر</w:t>
      </w:r>
      <w:bookmarkEnd w:id="2632"/>
    </w:p>
    <w:p>
      <w:pPr>
        <w:pStyle w:val="BookText"/>
      </w:pPr>
      <w:r>
        <w:rPr>
          <w:rFonts w:ascii="Amiri" w:hAnsi="Amiri" w:eastAsia="Amiri" w:cs="Amiri"/>
          <w:lang w:bidi="ar-SA"/>
          <w:color w:val="111111"/>
          <w:sz w:val="28"/>
          <w:szCs w:val="28"/>
          <w:rtl/>
        </w:rPr>
        <w:t xml:space="preserve">قال سبحانه: «أَطِیعُوا اللّٰهَ وَ أَطِیعُوا الرَّسُولَ وَ أُولِی الْأَمْرِ مِنْکُمْ» </w:t>
      </w:r>
      <w:r>
        <w:rPr>
          <w:rStyle w:val="FootnoteReference"/>
        </w:rPr>
        <w:footnoteReference w:id="4702"/>
      </w:r>
    </w:p>
    <w:p>
      <w:pPr>
        <w:pStyle w:val="BookText"/>
      </w:pPr>
      <w:r>
        <w:rPr>
          <w:rFonts w:ascii="IRNazanin" w:hAnsi="IRNazanin" w:eastAsia="IRNazanin" w:cs="IRNazanin"/>
          <w:lang w:bidi="fa-IR"/>
          <w:color w:val="111111"/>
          <w:sz w:val="28"/>
          <w:szCs w:val="28"/>
          <w:rtl/>
        </w:rPr>
        <w:t xml:space="preserve">إنّه تعالی أمر بطاعة أُولی الأمر علی وجه الإطلاق، و لم یقیّده بشیء</w:t>
      </w:r>
    </w:p>
    <w:p>
      <w:pPr>
        <w:pStyle w:val="BookText"/>
      </w:pPr>
      <w:r>
        <w:rPr>
          <w:rFonts w:ascii="IRNazanin" w:hAnsi="IRNazanin" w:eastAsia="IRNazanin" w:cs="IRNazanin"/>
          <w:lang w:bidi="fa-IR"/>
          <w:color w:val="111111"/>
          <w:sz w:val="28"/>
          <w:szCs w:val="28"/>
          <w:rtl/>
        </w:rPr>
        <w:t xml:space="preserve">[شماره صفحه واقعی : 357]
</w:t>
      </w:r>
    </w:p>
    <w:p>
      <w:pPr>
        <w:sectPr>
          <w:footerReference w:type="default" r:id="rId1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 البدیهی أنّه سبحانه لا یرضی لعباده الکفر و العصیان و لو کان علی سبیل الإطاعة عن شخص آخر، و علیه تکون طاعة أولی الأمر فیما إذا أمروا بالعصیان محرّماً.</w:t>
      </w:r>
    </w:p>
    <w:p>
      <w:pPr>
        <w:pStyle w:val="BookText"/>
      </w:pPr>
      <w:r>
        <w:rPr>
          <w:rFonts w:ascii="IRNazanin" w:hAnsi="IRNazanin" w:eastAsia="IRNazanin" w:cs="IRNazanin"/>
          <w:lang w:bidi="fa-IR"/>
          <w:color w:val="111111"/>
          <w:sz w:val="28"/>
          <w:szCs w:val="28"/>
          <w:rtl/>
        </w:rPr>
        <w:t xml:space="preserve">فمقتضی الجمع بین هذین الأمرین أن یکون أولو الأمر الّذین وجبت إطاعتهم علی وجه الإطلاق معصومین لا یصدر عنهم معصیة مطلقاً، فیستکشف من إطلاق الأمر بالطاعة اشتمال المتعلّق علی خصوصیّة تصدّه عن الأمر بغیر الطاعة.</w:t>
      </w:r>
    </w:p>
    <w:p>
      <w:pPr>
        <w:pStyle w:val="BookText"/>
      </w:pPr>
      <w:r>
        <w:rPr>
          <w:rFonts w:ascii="IRNazanin" w:hAnsi="IRNazanin" w:eastAsia="IRNazanin" w:cs="IRNazanin"/>
          <w:lang w:bidi="fa-IR"/>
          <w:color w:val="111111"/>
          <w:sz w:val="28"/>
          <w:szCs w:val="28"/>
          <w:rtl/>
        </w:rPr>
        <w:t xml:space="preserve">هذا، مضافاً إلی أنّ أولی الأمر معطوف علی الرسول بلا إعادة فعل «اطیعوا» و هذا دلیل علی وحدة الملاک فی اطاعة الرسول و اولی الامر فکما أنّ وجوب إطاعة الرسول صلی الله علیه و آله ، مطلق و متفرع علی عصمته، فکذلک وجوب إطاعة أولی الامر مطلق و متفرع علی عصمتهم.</w:t>
      </w:r>
    </w:p>
    <w:p>
      <w:pPr>
        <w:pStyle w:val="BookText"/>
      </w:pPr>
      <w:r>
        <w:rPr>
          <w:rFonts w:ascii="IRNazanin" w:hAnsi="IRNazanin" w:eastAsia="IRNazanin" w:cs="IRNazanin"/>
          <w:lang w:bidi="fa-IR"/>
          <w:color w:val="111111"/>
          <w:sz w:val="28"/>
          <w:szCs w:val="28"/>
          <w:rtl/>
        </w:rPr>
        <w:t xml:space="preserve">و ممَّن صرَّح بدلالة الآیة علی عصمة أُولی الأمر الإمام الرازی فی تفسیره، و لکنّه لم یستثمر نتیجة ما هداه إلیه استدلاله المنطقی، حیث استدرک قائلاً بأنّا عاجزون عن معرفة الإمام المعصوم و الوصول إلیه و استفادة الدّین و العلم منه، فلا مناص من کون المراد هو أهل الحلّ و العقد. </w:t>
      </w:r>
      <w:r>
        <w:rPr>
          <w:rStyle w:val="FootnoteReference"/>
        </w:rPr>
        <w:footnoteReference w:id="4703"/>
      </w:r>
    </w:p>
    <w:p>
      <w:pPr>
        <w:pStyle w:val="BookText"/>
      </w:pPr>
      <w:r>
        <w:rPr>
          <w:rFonts w:ascii="IRNazanin" w:hAnsi="IRNazanin" w:eastAsia="IRNazanin" w:cs="IRNazanin"/>
          <w:lang w:bidi="fa-IR"/>
          <w:color w:val="111111"/>
          <w:sz w:val="28"/>
          <w:szCs w:val="28"/>
          <w:rtl/>
        </w:rPr>
        <w:t xml:space="preserve">یلاحظ علیه: أنّه إذا دلّت الآیة علی عصمة أولی الأمر فیجب علینا التعرّف علیهم، و ادّعاء العجز هروب من الحقیقة، فهل العجز یختصّ بزمانه</w:t>
      </w:r>
    </w:p>
    <w:p>
      <w:pPr>
        <w:pStyle w:val="BookText"/>
      </w:pPr>
      <w:r>
        <w:rPr>
          <w:rFonts w:ascii="IRNazanin" w:hAnsi="IRNazanin" w:eastAsia="IRNazanin" w:cs="IRNazanin"/>
          <w:lang w:bidi="fa-IR"/>
          <w:color w:val="111111"/>
          <w:sz w:val="28"/>
          <w:szCs w:val="28"/>
          <w:rtl/>
        </w:rPr>
        <w:t xml:space="preserve">[شماره صفحه واقعی : 358]
</w:t>
      </w:r>
    </w:p>
    <w:p>
      <w:pPr>
        <w:sectPr>
          <w:footerReference w:type="default" r:id="rId1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کان یشمل زمان نزول الآیة؟ و الثانی باطل قطعاً، فإنّه لا یعقل أن یأمر الوحی الإلهی بإطاعة المعصوم ثمّ لا یقوم بتعریفه حین النزول، و بالتعرّف علیه فی عصر النزول، یعرف المعصوم فی أزمنة متأخرة عنه حلقة بعد أخری.</w:t>
      </w:r>
    </w:p>
    <w:p>
      <w:pPr>
        <w:pStyle w:val="BookText"/>
      </w:pPr>
      <w:r>
        <w:rPr>
          <w:rFonts w:ascii="IRNazanin" w:hAnsi="IRNazanin" w:eastAsia="IRNazanin" w:cs="IRNazanin"/>
          <w:lang w:bidi="fa-IR"/>
          <w:color w:val="111111"/>
          <w:sz w:val="28"/>
          <w:szCs w:val="28"/>
          <w:rtl/>
        </w:rPr>
        <w:t xml:space="preserve">هذا مع أنّ تفسیر «أولی الأمر» بأهل الحلِّ و العقد تفسیر بما هو أشدّ غموضاً، فهل المراد منهم، العساکر و الضبّاط، أو العلماء و المحدّثون، أو الحکّام و السیاسیّون، أو الکلّ؟ و هل اتّفق اجتماعهم علی شیء و لم یخالفهم لفیف من المسلمین؟!</w:t>
      </w:r>
    </w:p>
    <w:p>
      <w:pPr>
        <w:pStyle w:val="BookText"/>
      </w:pPr>
      <w:r>
        <w:rPr>
          <w:rFonts w:ascii="IRNazanin" w:hAnsi="IRNazanin" w:eastAsia="IRNazanin" w:cs="IRNazanin"/>
          <w:lang w:bidi="fa-IR"/>
          <w:color w:val="111111"/>
          <w:sz w:val="28"/>
          <w:szCs w:val="28"/>
          <w:rtl/>
        </w:rPr>
        <w:t xml:space="preserve">و هناک نصوص من الکتاب و السنّة تدلّ علی عصمة أهل بیت النبیّ و عترته، کآیة التطهیر و حدیث الثقلین و غیر ذلک، ترکنا البحث عنها لرعایة الاختصار </w:t>
      </w:r>
      <w:r>
        <w:rPr>
          <w:rStyle w:val="FootnoteReference"/>
        </w:rPr>
        <w:footnoteReference w:id="4704"/>
      </w:r>
      <w:r>
        <w:rPr>
          <w:rFonts w:ascii="IRNazanin" w:hAnsi="IRNazanin" w:eastAsia="IRNazanin" w:cs="IRNazanin"/>
          <w:lang w:bidi="fa-IR"/>
          <w:color w:val="111111"/>
          <w:sz w:val="28"/>
          <w:szCs w:val="28"/>
          <w:rtl/>
        </w:rPr>
        <w:t xml:space="preserve">. و قد تقدّم فی الفصل الأوّل ما یفید فی المقام فراجع.</w:t>
      </w:r>
    </w:p>
    <w:p>
      <w:pPr>
        <w:pStyle w:val="BookText"/>
      </w:pPr>
      <w:r>
        <w:rPr>
          <w:rFonts w:ascii="IRNazanin" w:hAnsi="IRNazanin" w:eastAsia="IRNazanin" w:cs="IRNazanin"/>
          <w:lang w:bidi="fa-IR"/>
          <w:color w:val="111111"/>
          <w:sz w:val="28"/>
          <w:szCs w:val="28"/>
          <w:rtl/>
        </w:rPr>
        <w:t xml:space="preserve">[شماره صفحه واقعی : 359]
</w:t>
      </w:r>
    </w:p>
    <w:p>
      <w:pPr>
        <w:sectPr>
          <w:footerReference w:type="default" r:id="rId1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360]
</w:t>
      </w:r>
    </w:p>
    <w:p>
      <w:pPr>
        <w:sectPr>
          <w:footerReference w:type="default" r:id="rId1507"/>
          <w:footnotePr>
            <w:numStart w:val="1"/>
            <w:numRestart w:val="eachPage"/>
          </w:footnotePr>
          <w:pgSz w:orient="portrait" w:w="11905.511811023622" w:h="16837.79527559055"/>
          <w:pgMar w:top="1440" w:right="1440" w:bottom="1440" w:left="1440" w:header="720" w:footer="720" w:gutter="0"/>
          <w:cols w:num="1" w:space="720"/>
        </w:sectPr>
      </w:pPr>
    </w:p>
    <w:bookmarkStart w:id="833" w:name="pg14411_143889"/>
    <w:bookmarkEnd w:id="833"/>
    <w:p>
      <w:pPr>
        <w:pStyle w:val="Heading5"/>
      </w:pPr>
      <w:bookmarkStart w:id="2633" w:name="_Toc1668"/>
      <w:r>
        <w:t>الفصل السادس : النصوص الدینیة و تنصیب علی علیه السلام للإمامة</w:t>
      </w:r>
      <w:bookmarkEnd w:id="2633"/>
    </w:p>
    <w:p>
      <w:pPr>
        <w:pStyle w:val="Heading6"/>
      </w:pPr>
      <w:bookmarkStart w:id="2634" w:name="_Toc1669"/>
      <w:r>
        <w:t>اشارة</w:t>
      </w:r>
      <w:bookmarkEnd w:id="2634"/>
    </w:p>
    <w:p>
      <w:pPr>
        <w:pStyle w:val="BookText"/>
      </w:pPr>
      <w:r>
        <w:rPr>
          <w:rFonts w:ascii="IRNazanin" w:hAnsi="IRNazanin" w:eastAsia="IRNazanin" w:cs="IRNazanin"/>
          <w:lang w:bidi="fa-IR"/>
          <w:color w:val="111111"/>
          <w:sz w:val="28"/>
          <w:szCs w:val="28"/>
          <w:rtl/>
        </w:rPr>
        <w:t xml:space="preserve">قد تبیّن بما قدّمناه من الأبحاث علی ضوء الکتاب و السنّة و من خلال مطالعة تاریخ الإسلام و المحاسبة فی الأُمور الاجتماعیة و السیاسیة، و فی ظلّ هدایة العقل الصریح، أنّ خلیفة النبیّ صلی الله علیه و آله و إمام المسلمین یجب أن یکون منصوباً من جانب الرّسول بإذن من اللّه سبحانه، و عندئذ یلزمنا الرجوع إلی الکتاب و السنّة لنقف علی ذلک القائد المنصوب فنقول: إنّ من أحاط بسیرة النبیّ صلی الله علیه و آله یجد علی بن أبی طالب وزیر رسول اللّه فی أمره و ولیّ عهده و صاحب الأمر من بعده، و من وقف علی أقوال النبیّ و أفعاله فی حلّه و ترحاله، یجد نصوصه فی ذلک متواترة، کما أنّ هناک آیات من الکتاب العزیز تهدینا إلی ذلک، و نحن نکتفی فی هذا المجال بذکر آیة الولایة من الکتاب و نتبعها بحدیثی المنزلة و الغدیر:</w:t>
      </w:r>
    </w:p>
    <w:p>
      <w:pPr>
        <w:pStyle w:val="BookText"/>
      </w:pPr>
      <w:r>
        <w:rPr>
          <w:rFonts w:ascii="IRNazanin" w:hAnsi="IRNazanin" w:eastAsia="IRNazanin" w:cs="IRNazanin"/>
          <w:lang w:bidi="fa-IR"/>
          <w:color w:val="111111"/>
          <w:sz w:val="28"/>
          <w:szCs w:val="28"/>
          <w:rtl/>
        </w:rPr>
        <w:t xml:space="preserve">[شماره صفحه واقعی : 361]
</w:t>
      </w:r>
    </w:p>
    <w:p>
      <w:pPr>
        <w:sectPr>
          <w:footerReference w:type="default" r:id="rId1508"/>
          <w:footnotePr>
            <w:numStart w:val="1"/>
            <w:numRestart w:val="eachPage"/>
          </w:footnotePr>
          <w:pgSz w:orient="portrait" w:w="11905.511811023622" w:h="16837.79527559055"/>
          <w:pgMar w:top="1440" w:right="1440" w:bottom="1440" w:left="1440" w:header="720" w:footer="720" w:gutter="0"/>
          <w:cols w:num="1" w:space="720"/>
        </w:sectPr>
      </w:pPr>
    </w:p>
    <w:bookmarkStart w:id="834" w:name="pg14411_143890"/>
    <w:bookmarkEnd w:id="834"/>
    <w:p>
      <w:pPr>
        <w:pStyle w:val="Heading6"/>
      </w:pPr>
      <w:bookmarkStart w:id="2635" w:name="_Toc1670"/>
      <w:r>
        <w:t>آیة الولایة</w:t>
      </w:r>
      <w:bookmarkEnd w:id="2635"/>
    </w:p>
    <w:p>
      <w:pPr>
        <w:pStyle w:val="BookText"/>
      </w:pPr>
      <w:r>
        <w:rPr>
          <w:rFonts w:ascii="Amiri" w:hAnsi="Amiri" w:eastAsia="Amiri" w:cs="Amiri"/>
          <w:lang w:bidi="ar-SA"/>
          <w:color w:val="111111"/>
          <w:sz w:val="28"/>
          <w:szCs w:val="28"/>
          <w:rtl/>
        </w:rPr>
        <w:t xml:space="preserve">قال سبحانه: «إِنَّمٰا وَلِیُّکُمُ اللّٰهُ وَ رَسُولُهُ وَ الَّذِینَ آمَنُوا الَّذِینَ یُقِیمُونَ الصَّلاٰةَ وَ یُؤْتُونَ الزَّکٰاةَ وَ هُمْ رٰاکِعُونَ» </w:t>
      </w:r>
      <w:r>
        <w:rPr>
          <w:rStyle w:val="FootnoteReference"/>
        </w:rPr>
        <w:footnoteReference w:id="4705"/>
      </w:r>
    </w:p>
    <w:p>
      <w:pPr>
        <w:pStyle w:val="BookText"/>
      </w:pPr>
      <w:r>
        <w:rPr>
          <w:rFonts w:ascii="IRNazanin" w:hAnsi="IRNazanin" w:eastAsia="IRNazanin" w:cs="IRNazanin"/>
          <w:lang w:bidi="fa-IR"/>
          <w:color w:val="111111"/>
          <w:sz w:val="28"/>
          <w:szCs w:val="28"/>
          <w:rtl/>
        </w:rPr>
        <w:t xml:space="preserve">و قبل الاستدلال بالآیة نذکر شأن نزولها، روی المفسّرون عن أنس بن مالک و غیره أنّ سائلاً أتی المسجد و هو یقول: من یقرض الملی الوفیّ، و علیّ راکع یشیر بیده للسائل: اخلع الخاتم من یدی، فما خرج أحد من المسجد حتی نزل جبرئیل ب: «إِنَّمٰا وَلِیُّکُمُ اللّٰهُ» </w:t>
      </w:r>
      <w:r>
        <w:rPr>
          <w:rStyle w:val="FootnoteReference"/>
        </w:rPr>
        <w:footnoteReference w:id="4706"/>
      </w:r>
    </w:p>
    <w:p>
      <w:pPr>
        <w:pStyle w:val="BookText"/>
      </w:pPr>
      <w:r>
        <w:rPr>
          <w:rFonts w:ascii="IRNazanin" w:hAnsi="IRNazanin" w:eastAsia="IRNazanin" w:cs="IRNazanin"/>
          <w:lang w:bidi="fa-IR"/>
          <w:color w:val="111111"/>
          <w:sz w:val="28"/>
          <w:szCs w:val="28"/>
          <w:rtl/>
        </w:rPr>
        <w:t xml:space="preserve">و إلیک توضیح الاستدلال:</w:t>
      </w:r>
    </w:p>
    <w:p>
      <w:pPr>
        <w:pStyle w:val="BookText"/>
      </w:pPr>
      <w:r>
        <w:rPr>
          <w:rFonts w:ascii="IRNazanin" w:hAnsi="IRNazanin" w:eastAsia="IRNazanin" w:cs="IRNazanin"/>
          <w:lang w:bidi="fa-IR"/>
          <w:color w:val="111111"/>
          <w:sz w:val="28"/>
          <w:szCs w:val="28"/>
          <w:rtl/>
        </w:rPr>
        <w:t xml:space="preserve">إنّ المستفاد من الآیة أنّ هناک أولیاء ثلاثة و هم: اللّه تعالی، و رسوله، و المؤمنون الموصوفون بالأوصاف الثلاثة، و أنّ غیر هؤلاء من المؤمنین هم مولّی علیهم و لا یتحقّق ذلک إلّا بتفسیر الولی بالزعیم و المتصرّف فی شئون المولّی علیه، إذ هذه الولایة تحتاج إلی دلیل خاص، و لا یکفی الإیمان فی</w:t>
      </w:r>
    </w:p>
    <w:p>
      <w:pPr>
        <w:pStyle w:val="BookText"/>
      </w:pPr>
      <w:r>
        <w:rPr>
          <w:rFonts w:ascii="IRNazanin" w:hAnsi="IRNazanin" w:eastAsia="IRNazanin" w:cs="IRNazanin"/>
          <w:lang w:bidi="fa-IR"/>
          <w:color w:val="111111"/>
          <w:sz w:val="28"/>
          <w:szCs w:val="28"/>
          <w:rtl/>
        </w:rPr>
        <w:t xml:space="preserve">[شماره صفحه واقعی : 362]
</w:t>
      </w:r>
    </w:p>
    <w:p>
      <w:pPr>
        <w:sectPr>
          <w:footerReference w:type="default" r:id="rId1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ثبوتها، بخلاف ولایة المحبّة و النصرة، إذ هما من فروع الإیمان، فکلّ مؤمن محبّ لأخیه المؤمن و ناصر له. هذا مضافاً إلی الاختصاص المستفاد من کلمة «إِنَّمٰا» و أحادیث شأن النزول الواردة فی الإمام علی علیه السلام ، فهذه الوجوه الثلاثة تجعل الآیة کالنصّ فی الدلالة علی ما یرتئیه الإمامیة فی مسألة الإمامة.</w:t>
      </w:r>
    </w:p>
    <w:p>
      <w:pPr>
        <w:pStyle w:val="BookText"/>
      </w:pPr>
      <w:r>
        <w:rPr>
          <w:rFonts w:ascii="IRNazanin" w:hAnsi="IRNazanin" w:eastAsia="IRNazanin" w:cs="IRNazanin"/>
          <w:lang w:bidi="fa-IR"/>
          <w:color w:val="111111"/>
          <w:sz w:val="28"/>
          <w:szCs w:val="28"/>
          <w:rtl/>
        </w:rPr>
        <w:t xml:space="preserve">فإن قلت: إذا کان المراد من قوله: «الَّذِینَ آمَنُوا» هو الإمام علی بن أبی طالب علیه السلام فلما ذا جیء بلفظ الجماعة؟</w:t>
      </w:r>
    </w:p>
    <w:p>
      <w:pPr>
        <w:pStyle w:val="BookText"/>
      </w:pPr>
      <w:r>
        <w:rPr>
          <w:rFonts w:ascii="IRNazanin" w:hAnsi="IRNazanin" w:eastAsia="IRNazanin" w:cs="IRNazanin"/>
          <w:lang w:bidi="fa-IR"/>
          <w:color w:val="111111"/>
          <w:sz w:val="28"/>
          <w:szCs w:val="28"/>
          <w:rtl/>
        </w:rPr>
        <w:t xml:space="preserve">قلت: جیء بذلک لیرغب الناس فی مثل فعله فینالوا مثل ثوابه، و لینبِّه علی أنّ سجیَّة المؤمنین یجب أن تکون علی هذه الغایة من الحرص علی البرّ و الإحسان و تفقد الفقراء حتی إن لزمهم أمر لا یقبل التأخیر و هم فی الصلاة، لم یؤخّروه إلی الفراغ منها. </w:t>
      </w:r>
      <w:r>
        <w:rPr>
          <w:rStyle w:val="FootnoteReference"/>
        </w:rPr>
        <w:footnoteReference w:id="4707"/>
      </w:r>
    </w:p>
    <w:p>
      <w:pPr>
        <w:pStyle w:val="BookText"/>
      </w:pPr>
      <w:r>
        <w:rPr>
          <w:rFonts w:ascii="IRNazanin" w:hAnsi="IRNazanin" w:eastAsia="IRNazanin" w:cs="IRNazanin"/>
          <w:lang w:bidi="fa-IR"/>
          <w:color w:val="111111"/>
          <w:sz w:val="28"/>
          <w:szCs w:val="28"/>
          <w:rtl/>
        </w:rPr>
        <w:t xml:space="preserve">و هناک وجه آخر أشار إلیه الشیخ الطبرسی، و هو أن النکتة فی إطلاق لفظ الجمع علی أمیر المؤمنین، تفخیمه و تعظیمه، و ذلک أنّ أهل اللّغة یعبّرون بلفظ الجمع عن الواحد علی سبیل التعظیم، و ذلک أشهر فی کلامهم من أن یحتاج إلی الاستدلال علیه. </w:t>
      </w:r>
      <w:r>
        <w:rPr>
          <w:rStyle w:val="FootnoteReference"/>
        </w:rPr>
        <w:footnoteReference w:id="4708"/>
      </w:r>
    </w:p>
    <w:p>
      <w:pPr>
        <w:pStyle w:val="BookText"/>
      </w:pPr>
      <w:r>
        <w:rPr>
          <w:rFonts w:ascii="IRNazanin" w:hAnsi="IRNazanin" w:eastAsia="IRNazanin" w:cs="IRNazanin"/>
          <w:lang w:bidi="fa-IR"/>
          <w:color w:val="111111"/>
          <w:sz w:val="28"/>
          <w:szCs w:val="28"/>
          <w:rtl/>
        </w:rPr>
        <w:t xml:space="preserve">ربّما یقال: «إنّ المراد من الولیّ فی الآیة لیس هو المتصرّف، بل المراد الناصر و المحبّ بشهادة ما قبلها و ما بعدها، حیث نهی اللّه المؤمنین أن</w:t>
      </w:r>
    </w:p>
    <w:p>
      <w:pPr>
        <w:pStyle w:val="BookText"/>
      </w:pPr>
      <w:r>
        <w:rPr>
          <w:rFonts w:ascii="IRNazanin" w:hAnsi="IRNazanin" w:eastAsia="IRNazanin" w:cs="IRNazanin"/>
          <w:lang w:bidi="fa-IR"/>
          <w:color w:val="111111"/>
          <w:sz w:val="28"/>
          <w:szCs w:val="28"/>
          <w:rtl/>
        </w:rPr>
        <w:t xml:space="preserve">[شماره صفحه واقعی : 363]
</w:t>
      </w:r>
    </w:p>
    <w:p>
      <w:pPr>
        <w:sectPr>
          <w:footerReference w:type="default" r:id="rId1510"/>
          <w:footnotePr>
            <w:numStart w:val="1"/>
            <w:numRestart w:val="eachPage"/>
          </w:footnotePr>
          <w:pgSz w:orient="portrait" w:w="11905.511811023622" w:h="16837.79527559055"/>
          <w:pgMar w:top="1440" w:right="1440" w:bottom="1440" w:left="1440" w:header="720" w:footer="720" w:gutter="0"/>
          <w:cols w:num="1" w:space="720"/>
        </w:sectPr>
      </w:pPr>
    </w:p>
    <w:bookmarkStart w:id="835" w:name="pg14411_143892"/>
    <w:bookmarkEnd w:id="835"/>
    <w:p>
      <w:pPr>
        <w:pStyle w:val="BookText"/>
      </w:pPr>
      <w:r>
        <w:rPr>
          <w:rFonts w:ascii="IRNazanin" w:hAnsi="IRNazanin" w:eastAsia="IRNazanin" w:cs="IRNazanin"/>
          <w:lang w:bidi="fa-IR"/>
          <w:color w:val="111111"/>
          <w:sz w:val="28"/>
          <w:szCs w:val="28"/>
          <w:rtl/>
        </w:rPr>
        <w:t xml:space="preserve">یتّخذوا الیهود و النصاری أولیاء، و لیس المراد منه إلّا النصرة و المحبّة، فلو فُسّرت فی الآیة بالمتصرّف یلزم التفکیک». </w:t>
      </w:r>
      <w:r>
        <w:rPr>
          <w:rStyle w:val="FootnoteReference"/>
        </w:rPr>
        <w:footnoteReference w:id="4709"/>
      </w:r>
    </w:p>
    <w:p>
      <w:pPr>
        <w:pStyle w:val="BookText"/>
      </w:pPr>
      <w:r>
        <w:rPr>
          <w:rFonts w:ascii="IRNazanin" w:hAnsi="IRNazanin" w:eastAsia="IRNazanin" w:cs="IRNazanin"/>
          <w:lang w:bidi="fa-IR"/>
          <w:color w:val="111111"/>
          <w:sz w:val="28"/>
          <w:szCs w:val="28"/>
          <w:rtl/>
        </w:rPr>
        <w:t xml:space="preserve">و الجواب عنه: أنّ السّیاق إنّما یکون حجّة لو لم یقم دلیل علی خلافه، و ذلک لعدم الوثوق حینئذٍ بنزول الآیة فی ذلک السّیاق، إذ لم یکن ترتیب الکتاب العزیز فی الجمع موافقاً لترتیبه فی النزول بإجماع الأُمّة، و فی التنزیل کثیر من الآیات الواردة علی خلاف ما یعطیه السّیاق کآیة التطهیر المنتظمة فی سیاق النساء مع ثبوت النصّ علی اختصاصها بالخمسة أهل الکساء. </w:t>
      </w:r>
      <w:r>
        <w:rPr>
          <w:rStyle w:val="FootnoteReference"/>
        </w:rPr>
        <w:footnoteReference w:id="4710"/>
      </w:r>
    </w:p>
    <w:p>
      <w:pPr>
        <w:pStyle w:val="Heading6"/>
      </w:pPr>
      <w:bookmarkStart w:id="2636" w:name="_Toc1671"/>
      <w:r>
        <w:t>حدیث «المنزلة»</w:t>
      </w:r>
      <w:bookmarkEnd w:id="2636"/>
    </w:p>
    <w:p>
      <w:pPr>
        <w:pStyle w:val="BookText"/>
      </w:pPr>
      <w:r>
        <w:rPr>
          <w:rFonts w:ascii="IRNazanin" w:hAnsi="IRNazanin" w:eastAsia="IRNazanin" w:cs="IRNazanin"/>
          <w:lang w:bidi="fa-IR"/>
          <w:color w:val="111111"/>
          <w:sz w:val="28"/>
          <w:szCs w:val="28"/>
          <w:rtl/>
        </w:rPr>
        <w:t xml:space="preserve">روی أهل السِیَر و التاریخ أنّ رسول اللّه صلی الله علیه و آله خلّف علی بن أبی طالب علیه السلام علی أهله فی المدینة عند توجّهه إلی تبوک، فأرجف به المنافقون، و قالوا ما خلّفه إلّا استثقالاً له و تخوّفاً منه، فضاق صدره بذلک، فأخذ سلاحه و أتی النبیّ و أبلغه مقالتهم، فقال صلی الله علیه و آله : «کذبوا، و لکنّی خلفتک لما ترکت ورائی، فارجع و اخلف فی أهلی و أهلک، أ فلا ترضی یا علیّ أن تکون منّی بمنزلة هارون من موسی، إلّا أنّه لا نبیّ بعدی؟». </w:t>
      </w:r>
      <w:r>
        <w:rPr>
          <w:rStyle w:val="FootnoteReference"/>
        </w:rPr>
        <w:footnoteReference w:id="4711"/>
      </w:r>
    </w:p>
    <w:p>
      <w:pPr>
        <w:pStyle w:val="BookText"/>
      </w:pPr>
      <w:r>
        <w:rPr>
          <w:rFonts w:ascii="IRNazanin" w:hAnsi="IRNazanin" w:eastAsia="IRNazanin" w:cs="IRNazanin"/>
          <w:lang w:bidi="fa-IR"/>
          <w:color w:val="111111"/>
          <w:sz w:val="28"/>
          <w:szCs w:val="28"/>
          <w:rtl/>
        </w:rPr>
        <w:t xml:space="preserve">[شماره صفحه واقعی : 364]
</w:t>
      </w:r>
    </w:p>
    <w:p>
      <w:pPr>
        <w:sectPr>
          <w:footerReference w:type="default" r:id="rId1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إضافة کلمة «منزلة» -و هی اسم جنس -إلی هارون یقتضی العموم، فالروایة تدلّ علی أنّ کلّ مقام و منصب کان ثابتاً لهارون فهو ثابت لعلیّ، إلّا ما استثنی و هو النبوّة، بل الاستثناء أیضاً قرینة علی العموم و لولاه لما کان وجه للاستثناء، و کون المورد هو الاستخلاف علی الأهل لا یدلّ علی الاختصاص، فإنّ المورد لا یکون مخصِّصاً، کما لو رأیت الجنب یمسّ آیة الکرسی مثلاً فقلت له لا یمسَّنَّ آیات القرآن محدث، یکون دلیلاً علی حرمة مسّ القرآن علی الجنب مطلقاً.</w:t>
      </w:r>
    </w:p>
    <w:p>
      <w:pPr>
        <w:pStyle w:val="BookText"/>
      </w:pPr>
      <w:r>
        <w:rPr>
          <w:rFonts w:ascii="Amiri" w:hAnsi="Amiri" w:eastAsia="Amiri" w:cs="Amiri"/>
          <w:lang w:bidi="ar-SA"/>
          <w:color w:val="111111"/>
          <w:sz w:val="28"/>
          <w:szCs w:val="28"/>
          <w:rtl/>
        </w:rPr>
        <w:t xml:space="preserve">و أمّا منزلة هارون من موسی فیکفی فی بیانها قوله سبحانه حکایة عن موسی: «وَ اجْعَلْ لِی وَزِیراً مِنْ أَهْلِی * هٰارُونَ أَخِی * اُشْدُدْ بِهِ أَزْرِی * وَ أَشْرِکْهُ فِی أَمْرِی» </w:t>
      </w:r>
      <w:r>
        <w:rPr>
          <w:rStyle w:val="FootnoteReference"/>
        </w:rPr>
        <w:footnoteReference w:id="47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أوتی موسی جمیع ذلک کما یقول سبحانه: «قٰالَ قَدْ أُوتِیتَ سُؤْلَکَ یٰا مُوسیٰ» </w:t>
      </w:r>
      <w:r>
        <w:rPr>
          <w:rStyle w:val="FootnoteReference"/>
        </w:rPr>
        <w:footnoteReference w:id="47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استخلف موسی أخیه هارون عند ذهابه إلی میقات ربّه مع جماعة من قومه، قال سبحانه:</w:t>
      </w:r>
    </w:p>
    <w:p>
      <w:pPr>
        <w:pStyle w:val="BookText"/>
      </w:pPr>
      <w:r>
        <w:rPr>
          <w:rFonts w:ascii="IRNazanin" w:hAnsi="IRNazanin" w:eastAsia="IRNazanin" w:cs="IRNazanin"/>
          <w:lang w:bidi="fa-IR"/>
          <w:color w:val="111111"/>
          <w:sz w:val="28"/>
          <w:szCs w:val="28"/>
          <w:rtl/>
        </w:rPr>
        <w:t xml:space="preserve">[شماره صفحه واقعی : 365]
</w:t>
      </w:r>
    </w:p>
    <w:p>
      <w:pPr>
        <w:sectPr>
          <w:footerReference w:type="default" r:id="rId1512"/>
          <w:footnotePr>
            <w:numStart w:val="1"/>
            <w:numRestart w:val="eachPage"/>
          </w:footnotePr>
          <w:pgSz w:orient="portrait" w:w="11905.511811023622" w:h="16837.79527559055"/>
          <w:pgMar w:top="1440" w:right="1440" w:bottom="1440" w:left="1440" w:header="720" w:footer="720" w:gutter="0"/>
          <w:cols w:num="1" w:space="720"/>
        </w:sectPr>
      </w:pPr>
    </w:p>
    <w:bookmarkStart w:id="836" w:name="pg14411_143894"/>
    <w:bookmarkEnd w:id="836"/>
    <w:p>
      <w:pPr>
        <w:pStyle w:val="BookText"/>
      </w:pPr>
      <w:r>
        <w:rPr>
          <w:rFonts w:ascii="Amiri" w:hAnsi="Amiri" w:eastAsia="Amiri" w:cs="Amiri"/>
          <w:lang w:bidi="ar-SA"/>
          <w:color w:val="111111"/>
          <w:sz w:val="28"/>
          <w:szCs w:val="28"/>
          <w:rtl/>
        </w:rPr>
        <w:t xml:space="preserve">«وَ قٰالَ مُوسیٰ لِأَخِیهِ هٰارُونَ اخْلُفْنِی فِی قَوْمِی وَ أَصْلِحْ وَ لاٰ تَتَّبِعْ سَبِیلَ الْمُفْسِدِینَ» </w:t>
      </w:r>
      <w:r>
        <w:rPr>
          <w:rStyle w:val="FootnoteReference"/>
        </w:rPr>
        <w:footnoteReference w:id="47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الاستخلاف و إن کان فی قضیة خاصّة و وقت خاصّ، لکنّ اللفظ مطلق و المورد لا یکون مخصّصاً. و من هنا لو فرض غیبة أُخری لموسی من قومه مع عدم تنصیصه علی استخلاف هارون کان خلیفة له بلا إشکال. و هارون و إن کان شریکاً لموسی فی النبوّة إلّا أنّ الرئاسة کانت مخصوصة لموسی، فموسی کان ولیّاً علی هارون و علی غیره.</w:t>
      </w:r>
    </w:p>
    <w:p>
      <w:pPr>
        <w:pStyle w:val="Heading6"/>
      </w:pPr>
      <w:bookmarkStart w:id="2637" w:name="_Toc1672"/>
      <w:r>
        <w:t>حدیث «الغدیر»</w:t>
      </w:r>
      <w:bookmarkEnd w:id="2637"/>
    </w:p>
    <w:p>
      <w:pPr>
        <w:pStyle w:val="BookText"/>
      </w:pPr>
      <w:r>
        <w:rPr>
          <w:rFonts w:ascii="IRNazanin" w:hAnsi="IRNazanin" w:eastAsia="IRNazanin" w:cs="IRNazanin"/>
          <w:lang w:bidi="fa-IR"/>
          <w:color w:val="111111"/>
          <w:sz w:val="28"/>
          <w:szCs w:val="28"/>
          <w:rtl/>
        </w:rPr>
        <w:t xml:space="preserve">حدیث الغدیر، ممّا تواترت به السنّة النبویّة و تواصلت حلقات أسانیده منذ عهد الصحابة و التابعین إلی یومنا الحاضر، رواه من الصحابة (110) صحابیاً و من التابعین (84) تابعیاً، و قد رواه العلماء و المحدّثون فی القرون المتلاحقة، و قد أغنانا المؤلّفون فی الغدیر عن إراءة مصادره و مراجعه، و کفاک فی ذلک کتب لمّة کبیرة من أعلام الطائفة، منهم: العلاّمة السید هاشم البحرانی (المتوفی1107 ه) مؤلّف «غایة المرام»، و السید میر حامد حسین الهندی (المتوفی 1306 ه) مؤلف «العبقات»، و العلاّمة الأمینی (المتوفی1390 ه) مؤلف «الغدیر»، و السید شرف الدین العاملی (المتوفی1381 ه) مؤلف «المراجعات».</w:t>
      </w:r>
    </w:p>
    <w:p>
      <w:pPr>
        <w:pStyle w:val="BookText"/>
      </w:pPr>
      <w:r>
        <w:rPr>
          <w:rFonts w:ascii="IRNazanin" w:hAnsi="IRNazanin" w:eastAsia="IRNazanin" w:cs="IRNazanin"/>
          <w:lang w:bidi="fa-IR"/>
          <w:color w:val="111111"/>
          <w:sz w:val="28"/>
          <w:szCs w:val="28"/>
          <w:rtl/>
        </w:rPr>
        <w:t xml:space="preserve">و مجمل الحدیث هو أنّ رسول اللّه صلی الله علیه و آله أذَّن فی الناس بالخروج إلی</w:t>
      </w:r>
    </w:p>
    <w:p>
      <w:pPr>
        <w:pStyle w:val="BookText"/>
      </w:pPr>
      <w:r>
        <w:rPr>
          <w:rFonts w:ascii="IRNazanin" w:hAnsi="IRNazanin" w:eastAsia="IRNazanin" w:cs="IRNazanin"/>
          <w:lang w:bidi="fa-IR"/>
          <w:color w:val="111111"/>
          <w:sz w:val="28"/>
          <w:szCs w:val="28"/>
          <w:rtl/>
        </w:rPr>
        <w:t xml:space="preserve">[شماره صفحه واقعی : 366]
</w:t>
      </w:r>
    </w:p>
    <w:p>
      <w:pPr>
        <w:sectPr>
          <w:footerReference w:type="default" r:id="rId1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الحجّ فی السنّة العاشرة من الهجرة، و أقلّ ما قیل إنّه خرج معه تسعون ألفاً، فلمّا قضی مناسکه و انصرف راجعاً إلی المدینة و وصل إلی غدیر «خمّ»، و ذلک یوم الخمیس، الثامن عشر من ذی الحجّة، نزل جبرئیل الأمین عن اللّه تعالی بقوله:</w:t>
      </w:r>
    </w:p>
    <w:p>
      <w:pPr>
        <w:pStyle w:val="BookText"/>
      </w:pPr>
      <w:r>
        <w:rPr>
          <w:rFonts w:ascii="Amiri" w:hAnsi="Amiri" w:eastAsia="Amiri" w:cs="Amiri"/>
          <w:lang w:bidi="ar-SA"/>
          <w:color w:val="111111"/>
          <w:sz w:val="28"/>
          <w:szCs w:val="28"/>
          <w:rtl/>
        </w:rPr>
        <w:t xml:space="preserve">«یٰا أَیُّهَا الرَّسُولُ بَلِّغْ مٰا أُنْزِلَ إِلَیْکَ مِنْ رَبِّکَ».</w:t>
      </w:r>
    </w:p>
    <w:p>
      <w:pPr>
        <w:pStyle w:val="BookText"/>
      </w:pPr>
      <w:r>
        <w:rPr>
          <w:rFonts w:ascii="IRNazanin" w:hAnsi="IRNazanin" w:eastAsia="IRNazanin" w:cs="IRNazanin"/>
          <w:lang w:bidi="fa-IR"/>
          <w:color w:val="111111"/>
          <w:sz w:val="28"/>
          <w:szCs w:val="28"/>
          <w:rtl/>
        </w:rPr>
        <w:t xml:space="preserve">فأمر رسول اللّه صلی الله علیه و آله أن یردّ من تقدّم، و یحبس من تأخّر حتّی إذا أخذ القوم منازلهم نودی بالصلاة، صلاة الظهر، فصلّی بالناس، ثمّ قام خطیباً وسط القوم علی أقتاب الإبل، و بعد الحمد و الثناء علی اللّه سبحانه و أخذ الإقرار من الحاضرین بالتوحید و النبوّة و المعاد، و الإیصاء بالثقلین، و بیان أنّ الرسول صلی الله علیه و آله أولی بالمؤمنین من أنفسهم، أخذ بید «علیّ» فرفعها حتی رؤی بیاض إبطیهما و عرفه القوم أجمعون، ثمّ قال:</w:t>
      </w:r>
    </w:p>
    <w:p>
      <w:pPr>
        <w:pStyle w:val="BookText"/>
      </w:pPr>
      <w:r>
        <w:rPr>
          <w:rFonts w:ascii="IRNazanin" w:hAnsi="IRNazanin" w:eastAsia="IRNazanin" w:cs="IRNazanin"/>
          <w:lang w:bidi="fa-IR"/>
          <w:color w:val="111111"/>
          <w:sz w:val="28"/>
          <w:szCs w:val="28"/>
          <w:rtl/>
        </w:rPr>
        <w:t xml:space="preserve">«من کنت مولاه، فعلیّ مولاه -یقولها ثلاث مرّات -».</w:t>
      </w:r>
    </w:p>
    <w:p>
      <w:pPr>
        <w:pStyle w:val="BookText"/>
      </w:pPr>
      <w:r>
        <w:rPr>
          <w:rFonts w:ascii="IRNazanin" w:hAnsi="IRNazanin" w:eastAsia="IRNazanin" w:cs="IRNazanin"/>
          <w:lang w:bidi="fa-IR"/>
          <w:color w:val="111111"/>
          <w:sz w:val="28"/>
          <w:szCs w:val="28"/>
          <w:rtl/>
        </w:rPr>
        <w:t xml:space="preserve">ثمّ دعا لمن والاه، و علی من عاداه، و قال: «ألا فلیبلغ الشاهد الغائب».</w:t>
      </w:r>
    </w:p>
    <w:p>
      <w:pPr>
        <w:pStyle w:val="BookText"/>
      </w:pPr>
      <w:r>
        <w:rPr>
          <w:rFonts w:ascii="Amiri" w:hAnsi="Amiri" w:eastAsia="Amiri" w:cs="Amiri"/>
          <w:lang w:bidi="ar-SA"/>
          <w:color w:val="111111"/>
          <w:sz w:val="28"/>
          <w:szCs w:val="28"/>
          <w:rtl/>
        </w:rPr>
        <w:t xml:space="preserve">ثمّ لم یتفرّقوا حتی نزل أمین وحی اللّه بقوله: «الْیَوْمَ أَکْمَلْتُ لَکُمْ دِینَکُمْ وَ أَتْمَمْتُ عَلَیْکُمْ نِعْمَتِی» الآیة.</w:t>
      </w:r>
    </w:p>
    <w:p>
      <w:pPr>
        <w:pStyle w:val="BookText"/>
      </w:pPr>
      <w:r>
        <w:rPr>
          <w:rFonts w:ascii="IRNazanin" w:hAnsi="IRNazanin" w:eastAsia="IRNazanin" w:cs="IRNazanin"/>
          <w:lang w:bidi="fa-IR"/>
          <w:color w:val="111111"/>
          <w:sz w:val="28"/>
          <w:szCs w:val="28"/>
          <w:rtl/>
        </w:rPr>
        <w:t xml:space="preserve">فقال رسول اللّه صلی الله علیه و آله : «اللّه أکبر علی إکمال الدین و إتمام النعمة، و رضی الربّ برسالتی و الولایة لعلیّ من بعدی».</w:t>
      </w:r>
    </w:p>
    <w:p>
      <w:pPr>
        <w:pStyle w:val="BookText"/>
      </w:pPr>
      <w:r>
        <w:rPr>
          <w:rFonts w:ascii="Amiri" w:hAnsi="Amiri" w:eastAsia="Amiri" w:cs="Amiri"/>
          <w:lang w:bidi="ar-SA"/>
          <w:color w:val="111111"/>
          <w:sz w:val="28"/>
          <w:szCs w:val="28"/>
          <w:rtl/>
        </w:rPr>
        <w:t xml:space="preserve">ثمّ أخذ الناس یهنّئون علیّاً، و ممّن هنَّأه فی مقدم الصحابة الشیخان أبو بکر و عمر کلّ یقول:</w:t>
      </w:r>
    </w:p>
    <w:p>
      <w:pPr>
        <w:pStyle w:val="BookText"/>
      </w:pPr>
      <w:r>
        <w:rPr>
          <w:rFonts w:ascii="IRNazanin" w:hAnsi="IRNazanin" w:eastAsia="IRNazanin" w:cs="IRNazanin"/>
          <w:lang w:bidi="fa-IR"/>
          <w:color w:val="111111"/>
          <w:sz w:val="28"/>
          <w:szCs w:val="28"/>
          <w:rtl/>
        </w:rPr>
        <w:t xml:space="preserve">[شماره صفحه واقعی : 367]
</w:t>
      </w:r>
    </w:p>
    <w:p>
      <w:pPr>
        <w:sectPr>
          <w:footerReference w:type="default" r:id="rId1514"/>
          <w:footnotePr>
            <w:numStart w:val="1"/>
            <w:numRestart w:val="eachPage"/>
          </w:footnotePr>
          <w:pgSz w:orient="portrait" w:w="11905.511811023622" w:h="16837.79527559055"/>
          <w:pgMar w:top="1440" w:right="1440" w:bottom="1440" w:left="1440" w:header="720" w:footer="720" w:gutter="0"/>
          <w:cols w:num="1" w:space="720"/>
        </w:sectPr>
      </w:pPr>
    </w:p>
    <w:bookmarkStart w:id="837" w:name="pg14411_143896"/>
    <w:bookmarkEnd w:id="837"/>
    <w:p>
      <w:pPr>
        <w:pStyle w:val="BookText"/>
      </w:pPr>
      <w:r>
        <w:rPr>
          <w:rFonts w:ascii="IRNazanin" w:hAnsi="IRNazanin" w:eastAsia="IRNazanin" w:cs="IRNazanin"/>
          <w:lang w:bidi="fa-IR"/>
          <w:color w:val="111111"/>
          <w:sz w:val="28"/>
          <w:szCs w:val="28"/>
          <w:rtl/>
        </w:rPr>
        <w:t xml:space="preserve">«بخٍّ بخٍّ لک یا ابن أبی طالب، أصبحت مولای و مولی کلّ مؤمن و مؤمنة».</w:t>
      </w:r>
    </w:p>
    <w:p>
      <w:pPr>
        <w:pStyle w:val="Heading6"/>
      </w:pPr>
      <w:bookmarkStart w:id="2638" w:name="_Toc1673"/>
      <w:r>
        <w:t>دلالة الحدیث</w:t>
      </w:r>
      <w:bookmarkEnd w:id="2638"/>
    </w:p>
    <w:p>
      <w:pPr>
        <w:pStyle w:val="BookText"/>
      </w:pPr>
      <w:r>
        <w:rPr>
          <w:rFonts w:ascii="IRNazanin" w:hAnsi="IRNazanin" w:eastAsia="IRNazanin" w:cs="IRNazanin"/>
          <w:lang w:bidi="fa-IR"/>
          <w:color w:val="111111"/>
          <w:sz w:val="28"/>
          <w:szCs w:val="28"/>
          <w:rtl/>
        </w:rPr>
        <w:t xml:space="preserve">إنّ کلمة «المولی» استعملت فی معانی أو مصادیق مختلفة و هی: المالک، و العبد، و المعتق (بالکسر) و المعتق (بالفتح) و الصاحب، و الجار، و الحلیف، و الابن، و العمّ، و ابن العمّ، و النزیل، و الشریک، و ابن الأخت، و الربّ، و الناصر، و المنعم، و المنعم علیه، و المحبّ، و التابع، و الصهر، و الأولی بالشیء و الّذی وقع مورد الاختلاف بین الشیعة و أهل السنّة من هذه المعانی، هی المحبّ و الأولی بالشیء . فأهل السنّة یقولون، المقصود من المولی فی حدیث الغدیر هو المحبّة و المودّة، و الشیعة تقول: المقصود منها هو الأولی بالتصرف فی أمور المؤمنین و هو معنی الإمامة. و هم یستشهدون علی ذلک بقرائن حالیة و مقالیة. تجعل الحدیث کالنصّ فی أنّ المراد من المولی هو الأولیٰ بالتصرّف فی شئون المؤمنین علی غرار ما کان للنبیّ صلی الله علیه و آله من الولایة.</w:t>
      </w:r>
    </w:p>
    <w:p>
      <w:pPr>
        <w:pStyle w:val="BookText"/>
      </w:pPr>
      <w:r>
        <w:rPr>
          <w:rFonts w:ascii="IRNazanin" w:hAnsi="IRNazanin" w:eastAsia="IRNazanin" w:cs="IRNazanin"/>
          <w:lang w:bidi="fa-IR"/>
          <w:color w:val="111111"/>
          <w:sz w:val="28"/>
          <w:szCs w:val="28"/>
          <w:rtl/>
        </w:rPr>
        <w:t xml:space="preserve">و أما القرینة الحالیة، فلأنّ لزوم المحبّة الإیمانیة أمر عامّ شامل لکلّ مؤمن و مؤمنة و هو من الأمور الواضحة لکلّ مسلم و لا حاجة لبیانه أو التأکید علیه فی مثل ذلک الموقف الحرج و فی أثناء المسیر، و رمضاء الهجیر، و الناس قد أنهکتهم وعثاء السفر و حرّ المجیر، حتّی أنّ أحدهم لیضع طرفا من ردائه تحت قدمیه و طرفا فوق رأسه. فیرقی هنالک منبر الأهداج،</w:t>
      </w:r>
    </w:p>
    <w:p>
      <w:pPr>
        <w:pStyle w:val="BookText"/>
      </w:pPr>
      <w:r>
        <w:rPr>
          <w:rFonts w:ascii="IRNazanin" w:hAnsi="IRNazanin" w:eastAsia="IRNazanin" w:cs="IRNazanin"/>
          <w:lang w:bidi="fa-IR"/>
          <w:color w:val="111111"/>
          <w:sz w:val="28"/>
          <w:szCs w:val="28"/>
          <w:rtl/>
        </w:rPr>
        <w:t xml:space="preserve">[شماره صفحه واقعی : 368]
</w:t>
      </w:r>
    </w:p>
    <w:p>
      <w:pPr>
        <w:sectPr>
          <w:footerReference w:type="default" r:id="rId1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یعلنهم النبیّ صلی الله علیه و آله بما هو من الواضحات و هذا بخلاف الولایة بمعنی الأولی بالتصرف فی شئون المسلمین لأنّ الأصل عدم ولایة أحد علی غیره بهذا المعنی. هذا مضافاً إلی أنّ الدواعی و الرغبات فیها کثیرة فتعیین المتولّی لأمور المسلمین بعد النبیّ صلی الله علیه و آله فی مثل ذلک المحتشد العظیم کان مقتضی الحکمة و المصلحة.</w:t>
      </w:r>
    </w:p>
    <w:p>
      <w:pPr>
        <w:pStyle w:val="BookText"/>
      </w:pPr>
      <w:r>
        <w:rPr>
          <w:rFonts w:ascii="IRNazanin" w:hAnsi="IRNazanin" w:eastAsia="IRNazanin" w:cs="IRNazanin"/>
          <w:lang w:bidi="fa-IR"/>
          <w:color w:val="111111"/>
          <w:sz w:val="28"/>
          <w:szCs w:val="28"/>
          <w:rtl/>
        </w:rPr>
        <w:t xml:space="preserve">و أما القرائن المقالیة فمتعدّدة نشیر إلی بعضها:</w:t>
      </w:r>
    </w:p>
    <w:p>
      <w:pPr>
        <w:pStyle w:val="BookText"/>
      </w:pPr>
      <w:r>
        <w:rPr>
          <w:rFonts w:ascii="IRNazanin" w:hAnsi="IRNazanin" w:eastAsia="IRNazanin" w:cs="IRNazanin"/>
          <w:lang w:bidi="fa-IR"/>
          <w:color w:val="111111"/>
          <w:sz w:val="28"/>
          <w:szCs w:val="28"/>
          <w:rtl/>
        </w:rPr>
        <w:t xml:space="preserve">القرینة الأولی: صدر الحدیث و هو قوله صلی الله علیه و آله : «أ لست أولی بکم من أنفسکم». أو ما یؤدّی مؤدّاه من ألفاظ متقاربة، ثمّ فرَّع علی ذلک قوله: «فمن کنت مولاه فعلیّ مولاه» و قد روی هذا الصدر من حفّاظ أهل السنّة ما یربو علی أربعة و ستّین عالماً. </w:t>
      </w:r>
      <w:r>
        <w:rPr>
          <w:rStyle w:val="FootnoteReference"/>
        </w:rPr>
        <w:footnoteReference w:id="4715"/>
      </w:r>
    </w:p>
    <w:p>
      <w:pPr>
        <w:pStyle w:val="BookText"/>
      </w:pPr>
      <w:r>
        <w:rPr>
          <w:rFonts w:ascii="IRNazanin" w:hAnsi="IRNazanin" w:eastAsia="IRNazanin" w:cs="IRNazanin"/>
          <w:lang w:bidi="fa-IR"/>
          <w:color w:val="111111"/>
          <w:sz w:val="28"/>
          <w:szCs w:val="28"/>
          <w:rtl/>
        </w:rPr>
        <w:t xml:space="preserve">القرینة الثانیة: نعی النبیّ نفسه إلی الناس حیث إنّه یعرب عن أنّه سوف یرحل من بین أظهرهم فیحصل بعده فراغ هائل، و أنّه یسدّ بتنصیب علی علیه السلام فی مقام الولایة. و غیر ذلک من القرائن الّتی استقصاها شیخنا المتتبّع فی غدیره </w:t>
      </w:r>
      <w:r>
        <w:rPr>
          <w:rStyle w:val="FootnoteReference"/>
        </w:rPr>
        <w:footnoteReference w:id="4716"/>
      </w:r>
      <w:r>
        <w:rPr>
          <w:rFonts w:ascii="IRNazanin" w:hAnsi="IRNazanin" w:eastAsia="IRNazanin" w:cs="IRNazanin"/>
          <w:lang w:bidi="fa-IR"/>
          <w:color w:val="111111"/>
          <w:sz w:val="28"/>
          <w:szCs w:val="28"/>
          <w:rtl/>
        </w:rPr>
        <w:t xml:space="preserve">. الی غیر ذلک من القرائن المحفوفة بها لحدیث الغدیر. </w:t>
      </w:r>
      <w:r>
        <w:rPr>
          <w:rStyle w:val="FootnoteReference"/>
        </w:rPr>
        <w:footnoteReference w:id="4717"/>
      </w:r>
    </w:p>
    <w:p>
      <w:pPr>
        <w:pStyle w:val="BookText"/>
      </w:pPr>
      <w:r>
        <w:rPr>
          <w:rFonts w:ascii="IRNazanin" w:hAnsi="IRNazanin" w:eastAsia="IRNazanin" w:cs="IRNazanin"/>
          <w:lang w:bidi="fa-IR"/>
          <w:color w:val="111111"/>
          <w:sz w:val="28"/>
          <w:szCs w:val="28"/>
          <w:rtl/>
        </w:rPr>
        <w:t xml:space="preserve">[شماره صفحه واقعی : 369]
</w:t>
      </w:r>
    </w:p>
    <w:p>
      <w:pPr>
        <w:sectPr>
          <w:footerReference w:type="default" r:id="rId1516"/>
          <w:footnotePr>
            <w:numStart w:val="1"/>
            <w:numRestart w:val="eachPage"/>
          </w:footnotePr>
          <w:pgSz w:orient="portrait" w:w="11905.511811023622" w:h="16837.79527559055"/>
          <w:pgMar w:top="1440" w:right="1440" w:bottom="1440" w:left="1440" w:header="720" w:footer="720" w:gutter="0"/>
          <w:cols w:num="1" w:space="720"/>
        </w:sectPr>
      </w:pPr>
    </w:p>
    <w:bookmarkStart w:id="838" w:name="pg14411_143898"/>
    <w:bookmarkEnd w:id="838"/>
    <w:p>
      <w:pPr>
        <w:pStyle w:val="Heading6"/>
      </w:pPr>
      <w:bookmarkStart w:id="2639" w:name="_Toc1674"/>
      <w:r>
        <w:t>لما ذا أعرض الصحابة عن مدلول حدیث الغدیر؟</w:t>
      </w:r>
      <w:bookmarkEnd w:id="2639"/>
    </w:p>
    <w:p>
      <w:pPr>
        <w:pStyle w:val="BookText"/>
      </w:pPr>
      <w:r>
        <w:rPr>
          <w:rFonts w:ascii="IRNazanin" w:hAnsi="IRNazanin" w:eastAsia="IRNazanin" w:cs="IRNazanin"/>
          <w:lang w:bidi="fa-IR"/>
          <w:color w:val="111111"/>
          <w:sz w:val="28"/>
          <w:szCs w:val="28"/>
          <w:rtl/>
        </w:rPr>
        <w:t xml:space="preserve">أقوی مستمسک لمن یرید التخلّص من الاعتناق بنصّ الغدیر و نحوه، هو أنّه لو کان الأمر کذلک فلما ذا لم تأخذه الصحابة مقیاساً بعد النبیّ؟ و لیس من الصحیح إجماع الصحابة و جمهور الأُمّة علی ردّ ما بلغه النبیّ فی ذلک المحتشد العظیم.</w:t>
      </w:r>
    </w:p>
    <w:p>
      <w:pPr>
        <w:pStyle w:val="BookText"/>
      </w:pPr>
      <w:r>
        <w:rPr>
          <w:rFonts w:ascii="IRNazanin" w:hAnsi="IRNazanin" w:eastAsia="IRNazanin" w:cs="IRNazanin"/>
          <w:lang w:bidi="fa-IR"/>
          <w:color w:val="111111"/>
          <w:sz w:val="28"/>
          <w:szCs w:val="28"/>
          <w:rtl/>
        </w:rPr>
        <w:t xml:space="preserve">و الجواب عنه أنّ من رجع إلی تاریخ الصحابة یری لهذه الأُمور نظائر کثیرة فی حیاتهم السیاسیة، و لیکن ترک العمل بحدیث الغدیر و غیره من نصوص الإمامة من هذا القبیل، منها «رزیّة یوم الخمیس» رواها الشیخان و غیرهما </w:t>
      </w:r>
      <w:r>
        <w:rPr>
          <w:rStyle w:val="FootnoteReference"/>
        </w:rPr>
        <w:footnoteReference w:id="4718"/>
      </w:r>
      <w:r>
        <w:rPr>
          <w:rFonts w:ascii="IRNazanin" w:hAnsi="IRNazanin" w:eastAsia="IRNazanin" w:cs="IRNazanin"/>
          <w:lang w:bidi="fa-IR"/>
          <w:color w:val="111111"/>
          <w:sz w:val="28"/>
          <w:szCs w:val="28"/>
          <w:rtl/>
        </w:rPr>
        <w:t xml:space="preserve">و منها «سریّة أسامة» </w:t>
      </w:r>
      <w:r>
        <w:rPr>
          <w:rStyle w:val="FootnoteReference"/>
        </w:rPr>
        <w:footnoteReference w:id="4719"/>
      </w:r>
      <w:r>
        <w:rPr>
          <w:rFonts w:ascii="IRNazanin" w:hAnsi="IRNazanin" w:eastAsia="IRNazanin" w:cs="IRNazanin"/>
          <w:lang w:bidi="fa-IR"/>
          <w:color w:val="111111"/>
          <w:sz w:val="28"/>
          <w:szCs w:val="28"/>
          <w:rtl/>
        </w:rPr>
        <w:t xml:space="preserve">و منها «صلح الحدیبیة» و اعتراض لفیف من الصحابة </w:t>
      </w:r>
      <w:r>
        <w:rPr>
          <w:rStyle w:val="FootnoteReference"/>
        </w:rPr>
        <w:footnoteReference w:id="4720"/>
      </w:r>
      <w:r>
        <w:rPr>
          <w:rFonts w:ascii="IRNazanin" w:hAnsi="IRNazanin" w:eastAsia="IRNazanin" w:cs="IRNazanin"/>
          <w:lang w:bidi="fa-IR"/>
          <w:color w:val="111111"/>
          <w:sz w:val="28"/>
          <w:szCs w:val="28"/>
          <w:rtl/>
        </w:rPr>
        <w:t xml:space="preserve">و لسنا بصدد استقصاء مخالفات القوم لنصوص النبیّ و تعلیماته، فإنّ المخالفة لا تقتصر علی ما ذکر بل تربو علی نیّف و سبعین مورداً، استقصاها بعض الأعلام. </w:t>
      </w:r>
      <w:r>
        <w:rPr>
          <w:rStyle w:val="FootnoteReference"/>
        </w:rPr>
        <w:footnoteReference w:id="4721"/>
      </w:r>
    </w:p>
    <w:p>
      <w:pPr>
        <w:pStyle w:val="BookText"/>
      </w:pPr>
      <w:r>
        <w:rPr>
          <w:rFonts w:ascii="IRNazanin" w:hAnsi="IRNazanin" w:eastAsia="IRNazanin" w:cs="IRNazanin"/>
          <w:lang w:bidi="fa-IR"/>
          <w:color w:val="111111"/>
          <w:sz w:val="28"/>
          <w:szCs w:val="28"/>
          <w:rtl/>
        </w:rPr>
        <w:t xml:space="preserve">و علی ضوء ذلک لا یکون ترک العمل بحدیث الغدیر، من أکثریّة الصحابة دلیلاً علی عدم تواتره، أو عدم تمامیّة دلالته.</w:t>
      </w:r>
    </w:p>
    <w:p>
      <w:pPr>
        <w:pStyle w:val="BookText"/>
      </w:pPr>
      <w:r>
        <w:rPr>
          <w:rFonts w:ascii="IRNazanin" w:hAnsi="IRNazanin" w:eastAsia="IRNazanin" w:cs="IRNazanin"/>
          <w:lang w:bidi="fa-IR"/>
          <w:color w:val="111111"/>
          <w:sz w:val="28"/>
          <w:szCs w:val="28"/>
          <w:rtl/>
        </w:rPr>
        <w:t xml:space="preserve">[شماره صفحه واقعی : 370]
</w:t>
      </w:r>
    </w:p>
    <w:p>
      <w:pPr>
        <w:sectPr>
          <w:footerReference w:type="default" r:id="rId1517"/>
          <w:footnotePr>
            <w:numStart w:val="1"/>
            <w:numRestart w:val="eachPage"/>
          </w:footnotePr>
          <w:pgSz w:orient="portrait" w:w="11905.511811023622" w:h="16837.79527559055"/>
          <w:pgMar w:top="1440" w:right="1440" w:bottom="1440" w:left="1440" w:header="720" w:footer="720" w:gutter="0"/>
          <w:cols w:num="1" w:space="720"/>
        </w:sectPr>
      </w:pPr>
    </w:p>
    <w:bookmarkStart w:id="839" w:name="pg14411_143899"/>
    <w:bookmarkEnd w:id="839"/>
    <w:p>
      <w:pPr>
        <w:pStyle w:val="Heading5"/>
      </w:pPr>
      <w:bookmarkStart w:id="2640" w:name="_Toc1675"/>
      <w:r>
        <w:t>الفصل السابع : السنّة النبویّة و الأئمّة الاثنا عشر:حدیث اثنی عشر خلیفة</w:t>
      </w:r>
      <w:bookmarkEnd w:id="2640"/>
    </w:p>
    <w:p>
      <w:pPr>
        <w:pStyle w:val="Heading6"/>
      </w:pPr>
      <w:bookmarkStart w:id="2641" w:name="_Toc1676"/>
      <w:r>
        <w:t>اشارة</w:t>
      </w:r>
      <w:bookmarkEnd w:id="2641"/>
    </w:p>
    <w:p>
      <w:pPr>
        <w:pStyle w:val="BookText"/>
      </w:pPr>
      <w:r>
        <w:rPr>
          <w:rFonts w:ascii="IRNazanin" w:hAnsi="IRNazanin" w:eastAsia="IRNazanin" w:cs="IRNazanin"/>
          <w:lang w:bidi="fa-IR"/>
          <w:color w:val="111111"/>
          <w:sz w:val="28"/>
          <w:szCs w:val="28"/>
          <w:rtl/>
        </w:rPr>
        <w:t xml:space="preserve">إنّ النبیّ الأکرم صلی الله علیه و آله لم یکتف بتنصیب علیّ علیه السلام منصب الإمامة و الخلافة، کما لم یکتف بإرجاع الأُمّة الإسلامیة إلی أهل بیته و عترته الطاهرة، و لم یقتصر علی تشبیههم بسفینة نوح، بل قام ببیان عدد الأئمة الّذین یتولّون الخلافة بعده، واحداً بعد واحد، حتّی لا یبقی لمرتاب ریب، فقد روی فی الصّحاح و المسانید بطرق مختلفة عن جابر بن سمرة أنّ الخلفاء بعد النبیّ اثنا عشر خلیفة کلّهم من قریش، و إلیک ما ورد فی توصیفهم من الخصوصیات: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لا یزال الدّین عزیزاً منیعاً إلی اثنی عشر خلیفة؛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لا یزال الإسلام عزیزاً إلی اثنی عشر خلیفة؛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لا یزال الدّین قائماً حتی تقوم السّاعة، أو یکون علیکم اثنا عشر خلیفة؛</w:t>
      </w:r>
    </w:p>
    <w:p>
      <w:pPr>
        <w:pStyle w:val="BookText"/>
      </w:pPr>
      <w:r>
        <w:rPr>
          <w:rFonts w:ascii="IRNazanin" w:hAnsi="IRNazanin" w:eastAsia="IRNazanin" w:cs="IRNazanin"/>
          <w:lang w:bidi="fa-IR"/>
          <w:color w:val="111111"/>
          <w:sz w:val="28"/>
          <w:szCs w:val="28"/>
          <w:rtl/>
        </w:rPr>
        <w:t xml:space="preserve">[شماره صفحه واقعی : 371]
</w:t>
      </w:r>
    </w:p>
    <w:p>
      <w:pPr>
        <w:sectPr>
          <w:footerReference w:type="default" r:id="rId1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لا یزال الدّین ظاهراً علی من ناوأه حتّیٰ یمضی من أمّتی اثنا عشر خلیفة؛</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لا یزال هذا الأمر صالحاً حتّی یکون اثنا عشر أمیراً؛</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لا یزال الناس بخیر إلی اثنی عشر خلیفة. </w:t>
      </w:r>
      <w:r>
        <w:rPr>
          <w:rStyle w:val="FootnoteReference"/>
        </w:rPr>
        <w:footnoteReference w:id="4722"/>
      </w:r>
    </w:p>
    <w:p>
      <w:pPr>
        <w:pStyle w:val="BookText"/>
      </w:pPr>
      <w:r>
        <w:rPr>
          <w:rFonts w:ascii="IRNazanin" w:hAnsi="IRNazanin" w:eastAsia="IRNazanin" w:cs="IRNazanin"/>
          <w:lang w:bidi="fa-IR"/>
          <w:color w:val="111111"/>
          <w:sz w:val="28"/>
          <w:szCs w:val="28"/>
          <w:rtl/>
        </w:rPr>
        <w:t xml:space="preserve">و قد اختلفت کلمة شرّاح الحدیث فی تعیین هؤلاء الأئمّة، و لا تجد بینها کلمة تشفی العلیل، و تروی الغلیل، إلّا ما نقله الشیخ سلیمان البلخی القندوزی الحنفیّ فی ینابیعه عن بعض المحقّقین، قال:</w:t>
      </w:r>
    </w:p>
    <w:p>
      <w:pPr>
        <w:pStyle w:val="BookText"/>
      </w:pPr>
      <w:r>
        <w:rPr>
          <w:rFonts w:ascii="Amiri" w:hAnsi="Amiri" w:eastAsia="Amiri" w:cs="Amiri"/>
          <w:lang w:bidi="ar-SA"/>
          <w:color w:val="111111"/>
          <w:sz w:val="28"/>
          <w:szCs w:val="28"/>
          <w:rtl/>
        </w:rPr>
        <w:t xml:space="preserve">إنّ الأحادیث الدالّة علی کون الخلفاء بعده اثنی عشر، قد اشتهرت من طرق کثیرة، و لا یمکن أن یحمل هذا الحدیث علی الخلفاء بعده من الصحابة، لقلّتهم عن اثنی عشر، و لا یمکن أن یحمل علی الملوک الأُمویّین لزیادتهم علی الاثنی عشر و لظلمهم الفاحش إلّا عمر بن عبد العزیز... و لا یمکن أن یحمل علی الملوک العباسیّین لزیادتهم علی العدد المذکور و لقلّة رعایتهم قوله سبحانه: «قُلْ لاٰ أَسْئَلُکُمْ عَلَیْهِ أَجْراً إِلاَّ الْمَوَدَّةَ فِی الْقُرْبیٰ».</w:t>
      </w:r>
    </w:p>
    <w:p>
      <w:pPr>
        <w:pStyle w:val="BookText"/>
      </w:pPr>
      <w:r>
        <w:rPr>
          <w:rFonts w:ascii="IRNazanin" w:hAnsi="IRNazanin" w:eastAsia="IRNazanin" w:cs="IRNazanin"/>
          <w:lang w:bidi="fa-IR"/>
          <w:color w:val="111111"/>
          <w:sz w:val="28"/>
          <w:szCs w:val="28"/>
          <w:rtl/>
        </w:rPr>
        <w:t xml:space="preserve">و حدیث الکساء، فلا بدّ من أن یحمل علی الأئمّة الاثنی عشر من أهل بیته و عترته، لأنّهم کانوا أعلم أهل زمانهم، و أجلّهم، و أورعهم، و أتقاهم،</w:t>
      </w:r>
    </w:p>
    <w:p>
      <w:pPr>
        <w:pStyle w:val="BookText"/>
      </w:pPr>
      <w:r>
        <w:rPr>
          <w:rFonts w:ascii="IRNazanin" w:hAnsi="IRNazanin" w:eastAsia="IRNazanin" w:cs="IRNazanin"/>
          <w:lang w:bidi="fa-IR"/>
          <w:color w:val="111111"/>
          <w:sz w:val="28"/>
          <w:szCs w:val="28"/>
          <w:rtl/>
        </w:rPr>
        <w:t xml:space="preserve">[شماره صفحه واقعی : 372]
</w:t>
      </w:r>
    </w:p>
    <w:p>
      <w:pPr>
        <w:sectPr>
          <w:footerReference w:type="default" r:id="rId1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أعلاهم نسباً، و أفضلهم حسباً، و أکرمهم عند اللّه، و کانت علومهم عن آبائهم متّصلة بجدّهم صلی الله علیه و آله و بالوراثة اللّدنیة، کذا عرّفهم أهل العلم و التحقیق، و أهل الکشف و التوفیق.</w:t>
      </w:r>
    </w:p>
    <w:p>
      <w:pPr>
        <w:pStyle w:val="BookText"/>
      </w:pPr>
      <w:r>
        <w:rPr>
          <w:rFonts w:ascii="IRNazanin" w:hAnsi="IRNazanin" w:eastAsia="IRNazanin" w:cs="IRNazanin"/>
          <w:lang w:bidi="fa-IR"/>
          <w:color w:val="111111"/>
          <w:sz w:val="28"/>
          <w:szCs w:val="28"/>
          <w:rtl/>
        </w:rPr>
        <w:t xml:space="preserve">و یؤیّد هذا المعنی و یرجّحه حدیث الثقلین و الأحادیث المتکثّرة المذکورة فی هذا الکتاب و غیرها». </w:t>
      </w:r>
      <w:r>
        <w:rPr>
          <w:rStyle w:val="FootnoteReference"/>
        </w:rPr>
        <w:footnoteReference w:id="4723"/>
      </w:r>
    </w:p>
    <w:p>
      <w:pPr>
        <w:pStyle w:val="BookText"/>
      </w:pPr>
      <w:r>
        <w:rPr>
          <w:rFonts w:ascii="IRNazanin" w:hAnsi="IRNazanin" w:eastAsia="IRNazanin" w:cs="IRNazanin"/>
          <w:lang w:bidi="fa-IR"/>
          <w:color w:val="111111"/>
          <w:sz w:val="28"/>
          <w:szCs w:val="28"/>
          <w:rtl/>
        </w:rPr>
        <w:t xml:space="preserve">أقول: الإنسان الحرّ الفارغ عن کلّ رأی مسبق، لو أمعن النظر فی هذه الأحادیث و أمعن فی تاریخ الأئمّة الاثنی عشر من ولد الرسول، یقف علی أنّ هذه الأحادیث لا تروم غیرهم، فإنّ بعضها یدلّ علی أنّ الإسلام لا ینقرض و لا ینقضی حتّی یمضی فی المسلمین اثنا عشر خلیفة، کلّهم من قریش، و بعضها یدلّ علی أنّ عزَّة الإسلام إنّما تکون إلی اثنی عشر خلیفة، و بعضها یدلّ علی أنّ الدّین قائم إلی قیام السّاعة و إلی ظهور اثنی عشر خلیفة، و غیر ذلک من العناوین.</w:t>
      </w:r>
    </w:p>
    <w:p>
      <w:pPr>
        <w:pStyle w:val="BookText"/>
      </w:pPr>
      <w:r>
        <w:rPr>
          <w:rFonts w:ascii="IRNazanin" w:hAnsi="IRNazanin" w:eastAsia="IRNazanin" w:cs="IRNazanin"/>
          <w:lang w:bidi="fa-IR"/>
          <w:color w:val="111111"/>
          <w:sz w:val="28"/>
          <w:szCs w:val="28"/>
          <w:rtl/>
        </w:rPr>
        <w:t xml:space="preserve">و هذه الخصوصیات لا توجد فی الأُمّة الإسلامیة إلّا فی الأئمّة الاثنی عشر المعروفین عند الفریقین </w:t>
      </w:r>
      <w:r>
        <w:rPr>
          <w:rStyle w:val="FootnoteReference"/>
        </w:rPr>
        <w:footnoteReference w:id="4724"/>
      </w:r>
      <w:r>
        <w:rPr>
          <w:rFonts w:ascii="IRNazanin" w:hAnsi="IRNazanin" w:eastAsia="IRNazanin" w:cs="IRNazanin"/>
          <w:lang w:bidi="fa-IR"/>
          <w:color w:val="111111"/>
          <w:sz w:val="28"/>
          <w:szCs w:val="28"/>
          <w:rtl/>
        </w:rPr>
        <w:t xml:space="preserve">خصوصاً ما یدلّ علی أنّ وجود الأئمّة مستمرّ إلی آخر الدهر و من المعلوم أنّ آخر الأئمّة هو المهدی المنتظر الّذی یعدّ ظهوره من أشراط الساعة.</w:t>
      </w:r>
    </w:p>
    <w:p>
      <w:pPr>
        <w:pStyle w:val="BookText"/>
      </w:pPr>
      <w:r>
        <w:rPr>
          <w:rFonts w:ascii="IRNazanin" w:hAnsi="IRNazanin" w:eastAsia="IRNazanin" w:cs="IRNazanin"/>
          <w:lang w:bidi="fa-IR"/>
          <w:color w:val="111111"/>
          <w:sz w:val="28"/>
          <w:szCs w:val="28"/>
          <w:rtl/>
        </w:rPr>
        <w:t xml:space="preserve">[شماره صفحه واقعی : 373]
</w:t>
      </w:r>
    </w:p>
    <w:p>
      <w:pPr>
        <w:sectPr>
          <w:footerReference w:type="default" r:id="rId1520"/>
          <w:footnotePr>
            <w:numStart w:val="1"/>
            <w:numRestart w:val="eachPage"/>
          </w:footnotePr>
          <w:pgSz w:orient="portrait" w:w="11905.511811023622" w:h="16837.79527559055"/>
          <w:pgMar w:top="1440" w:right="1440" w:bottom="1440" w:left="1440" w:header="720" w:footer="720" w:gutter="0"/>
          <w:cols w:num="1" w:space="720"/>
        </w:sectPr>
      </w:pPr>
    </w:p>
    <w:bookmarkStart w:id="840" w:name="pg14411_143902"/>
    <w:bookmarkEnd w:id="840"/>
    <w:p>
      <w:pPr>
        <w:pStyle w:val="Heading6"/>
      </w:pPr>
      <w:bookmarkStart w:id="2642" w:name="_Toc1677"/>
      <w:r>
        <w:t>حدیث الثقلین</w:t>
      </w:r>
      <w:bookmarkEnd w:id="2642"/>
    </w:p>
    <w:p>
      <w:pPr>
        <w:pStyle w:val="BookText"/>
      </w:pPr>
      <w:r>
        <w:rPr>
          <w:rFonts w:ascii="IRNazanin" w:hAnsi="IRNazanin" w:eastAsia="IRNazanin" w:cs="IRNazanin"/>
          <w:lang w:bidi="fa-IR"/>
          <w:color w:val="111111"/>
          <w:sz w:val="28"/>
          <w:szCs w:val="28"/>
          <w:rtl/>
        </w:rPr>
        <w:t xml:space="preserve">و من نصوص إمامة العترة الطاهرة حدیث الثقلین المتواتر عند الفریقین. فالنبی صلی الله علیه و آله قرنهم بمحکم الکتاب و جعلهم قدوة لأولی الألباب فقال:</w:t>
      </w:r>
    </w:p>
    <w:p>
      <w:pPr>
        <w:pStyle w:val="BookText"/>
      </w:pPr>
      <w:r>
        <w:rPr>
          <w:rFonts w:ascii="IRNazanin" w:hAnsi="IRNazanin" w:eastAsia="IRNazanin" w:cs="IRNazanin"/>
          <w:lang w:bidi="fa-IR"/>
          <w:color w:val="111111"/>
          <w:sz w:val="28"/>
          <w:szCs w:val="28"/>
          <w:rtl/>
        </w:rPr>
        <w:t xml:space="preserve">«إنّی تارک فیکم ما إن تمسّکتم لن تضلّوا، کتاب اللّه و عترتی أهل بیتی، و أنّهما لن یفترقا حتی یردا علیَّ الحوض».</w:t>
      </w:r>
    </w:p>
    <w:p>
      <w:pPr>
        <w:pStyle w:val="BookText"/>
      </w:pPr>
      <w:r>
        <w:rPr>
          <w:rFonts w:ascii="IRNazanin" w:hAnsi="IRNazanin" w:eastAsia="IRNazanin" w:cs="IRNazanin"/>
          <w:lang w:bidi="fa-IR"/>
          <w:color w:val="111111"/>
          <w:sz w:val="28"/>
          <w:szCs w:val="28"/>
          <w:rtl/>
        </w:rPr>
        <w:t xml:space="preserve">فیجب علی الأمّة التمسک بالعترة الطاهرة کما یجب علیهم التمسک بالکتاب المجید و کما لا یجوز الرجوع الی کتاب یخالف فی حکمه کتاب اللّه سبحانه لا یجوز الرجوع الی إمام یخالف فی حکمه أئمّة العترة الطاهرة. و من تدبّر الحدیث وجده یرمی الی حصر الخلافة فی أئمّة العترة الطاهرة.</w:t>
      </w:r>
    </w:p>
    <w:p>
      <w:pPr>
        <w:pStyle w:val="BookText"/>
      </w:pPr>
      <w:r>
        <w:rPr>
          <w:rFonts w:ascii="IRNazanin" w:hAnsi="IRNazanin" w:eastAsia="IRNazanin" w:cs="IRNazanin"/>
          <w:lang w:bidi="fa-IR"/>
          <w:color w:val="111111"/>
          <w:sz w:val="28"/>
          <w:szCs w:val="28"/>
          <w:rtl/>
        </w:rPr>
        <w:t xml:space="preserve">ثمّ إنّه قد تضافرت النصوص فی تنصیص الإمام السّابق علی الإمام اللاحق، فمن أراد الوقوف علی هذه النصوص، فلیرجع إلی الکتب المؤلّفة فی هذا الموضوع. </w:t>
      </w:r>
      <w:r>
        <w:rPr>
          <w:rStyle w:val="FootnoteReference"/>
        </w:rPr>
        <w:footnoteReference w:id="4725"/>
      </w:r>
    </w:p>
    <w:p>
      <w:pPr>
        <w:pStyle w:val="BookText"/>
      </w:pPr>
      <w:r>
        <w:rPr>
          <w:rFonts w:ascii="IRNazanin" w:hAnsi="IRNazanin" w:eastAsia="IRNazanin" w:cs="IRNazanin"/>
          <w:lang w:bidi="fa-IR"/>
          <w:color w:val="111111"/>
          <w:sz w:val="28"/>
          <w:szCs w:val="28"/>
          <w:rtl/>
        </w:rPr>
        <w:t xml:space="preserve">[شماره صفحه واقعی : 374]
</w:t>
      </w:r>
    </w:p>
    <w:p>
      <w:pPr>
        <w:sectPr>
          <w:footerReference w:type="default" r:id="rId1521"/>
          <w:footnotePr>
            <w:numStart w:val="1"/>
            <w:numRestart w:val="eachPage"/>
          </w:footnotePr>
          <w:pgSz w:orient="portrait" w:w="11905.511811023622" w:h="16837.79527559055"/>
          <w:pgMar w:top="1440" w:right="1440" w:bottom="1440" w:left="1440" w:header="720" w:footer="720" w:gutter="0"/>
          <w:cols w:num="1" w:space="720"/>
        </w:sectPr>
      </w:pPr>
    </w:p>
    <w:bookmarkStart w:id="841" w:name="pg14411_143903"/>
    <w:bookmarkEnd w:id="841"/>
    <w:p>
      <w:pPr>
        <w:pStyle w:val="Heading5"/>
      </w:pPr>
      <w:bookmarkStart w:id="2643" w:name="_Toc1678"/>
      <w:r>
        <w:t>الفصل الثامن : الإمام الثانی عشر فی الکتاب و السنّة</w:t>
      </w:r>
      <w:bookmarkEnd w:id="2643"/>
    </w:p>
    <w:p>
      <w:pPr>
        <w:pStyle w:val="Heading6"/>
      </w:pPr>
      <w:bookmarkStart w:id="2644" w:name="_Toc1679"/>
      <w:r>
        <w:t>اشارة</w:t>
      </w:r>
      <w:bookmarkEnd w:id="2644"/>
    </w:p>
    <w:p>
      <w:pPr>
        <w:pStyle w:val="BookText"/>
      </w:pPr>
      <w:r>
        <w:rPr>
          <w:rFonts w:ascii="IRNazanin" w:hAnsi="IRNazanin" w:eastAsia="IRNazanin" w:cs="IRNazanin"/>
          <w:lang w:bidi="fa-IR"/>
          <w:color w:val="111111"/>
          <w:sz w:val="28"/>
          <w:szCs w:val="28"/>
          <w:rtl/>
        </w:rPr>
        <w:t xml:space="preserve">إنّ إفاضة القول فی تعریف أئمّة أهل البیت علیهم السلام ببیان علومهم و فضائلهم و نتائج جهودهم فی مجال العلوم الدینیّة، و تربیة الشخصیات المبرزة فی مجال العلم و العمل، و ما لاقوه من اضطهاد خلفاء عصرهم یحتاج إلی موسوعة کبیرة، و لأجل ذلک طوینا الکلام عن ذلک، إلّا أن الاعتقاد بالإمام المنتظر لما کان أصلاً رصیناً من أبحاث الإمامة للشیعة، و کان الاعتقاد به -فی الجملة -مشترکاً بین طوائف المسلمین، رجّحنا إلقاء الضوء علی هذا الأصل علی وجه الإجمال فنقول:</w:t>
      </w:r>
    </w:p>
    <w:p>
      <w:pPr>
        <w:pStyle w:val="BookText"/>
      </w:pPr>
      <w:r>
        <w:rPr>
          <w:rFonts w:ascii="IRNazanin" w:hAnsi="IRNazanin" w:eastAsia="IRNazanin" w:cs="IRNazanin"/>
          <w:lang w:bidi="fa-IR"/>
          <w:color w:val="111111"/>
          <w:sz w:val="28"/>
          <w:szCs w:val="28"/>
          <w:rtl/>
        </w:rPr>
        <w:t xml:space="preserve">کلّ من کان له إلمام بالحدیث، یقف علی تواتر البشارة عن النبیّ و آله و أصحابه، بظهور المهدی فی آخر الزمان لإزالة الجهل و الظلم و نشر العلم و إقامة العدل، و إظهار الدین کلِّه و لو کره المشرکون، و قد تضافر مضمون قول الرسول الأعظم صلی الله علیه و آله :</w:t>
      </w:r>
    </w:p>
    <w:p>
      <w:pPr>
        <w:pStyle w:val="BookText"/>
      </w:pPr>
      <w:r>
        <w:rPr>
          <w:rFonts w:ascii="IRNazanin" w:hAnsi="IRNazanin" w:eastAsia="IRNazanin" w:cs="IRNazanin"/>
          <w:lang w:bidi="fa-IR"/>
          <w:color w:val="111111"/>
          <w:sz w:val="28"/>
          <w:szCs w:val="28"/>
          <w:rtl/>
        </w:rPr>
        <w:t xml:space="preserve">«لو لم یبق من الدنیا إلّا یوم واحد لطوّل اللّه ذلک الیوم، حتی یخرج رجل من ولدی، فیملؤها عدلاً و قسطاً کما ملئت جوراً و ظلماً». </w:t>
      </w:r>
      <w:r>
        <w:rPr>
          <w:rStyle w:val="FootnoteReference"/>
        </w:rPr>
        <w:footnoteReference w:id="4726"/>
      </w:r>
    </w:p>
    <w:p>
      <w:pPr>
        <w:pStyle w:val="BookText"/>
      </w:pPr>
      <w:r>
        <w:rPr>
          <w:rFonts w:ascii="IRNazanin" w:hAnsi="IRNazanin" w:eastAsia="IRNazanin" w:cs="IRNazanin"/>
          <w:lang w:bidi="fa-IR"/>
          <w:color w:val="111111"/>
          <w:sz w:val="28"/>
          <w:szCs w:val="28"/>
          <w:rtl/>
        </w:rPr>
        <w:t xml:space="preserve">و لو وجد هنا خلاف بین طوائف المسلمین فهو الاختلاف فی ولادته، فإنّ الأکثریّة من أهل السنّة یقولون بأنّه سیولد فی آخر الزمان، لکن معتقد الشیعة بفضل الروایات الکثیرة هو أنّه ولد فی «سُرَّمن‌رأی » عام 255 بعد الهجرة النبویّة، و غاب بأمر اللّه سبحانه سنة وفاة والده عام 260 ه، و سوف یظهره اللّه سبحانه لیتحقّق عدله.</w:t>
      </w:r>
    </w:p>
    <w:p>
      <w:pPr>
        <w:pStyle w:val="BookText"/>
      </w:pPr>
      <w:r>
        <w:rPr>
          <w:rFonts w:ascii="IRNazanin" w:hAnsi="IRNazanin" w:eastAsia="IRNazanin" w:cs="IRNazanin"/>
          <w:lang w:bidi="fa-IR"/>
          <w:color w:val="111111"/>
          <w:sz w:val="28"/>
          <w:szCs w:val="28"/>
          <w:rtl/>
        </w:rPr>
        <w:t xml:space="preserve">و نحن نکتفی فی المقام بذکر فهرس الروایات الّتی رواها السنّة و الشیعة: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البشارة بظهوره 657 روایة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إنّه من أهل بیت النبیّ الأکرم صلی الله علیه و آله 389 روایة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إنّه من أولاد الإمام علی علیه السلام 214 روایة</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إنّه من أولاد فاطمة الزهراء علیها السلام 192 روایة</w:t>
      </w:r>
    </w:p>
    <w:p>
      <w:pPr>
        <w:pStyle w:val="BookText"/>
      </w:pPr>
      <w:r>
        <w:rPr>
          <w:rFonts w:ascii="IRNazanin" w:hAnsi="IRNazanin" w:eastAsia="IRNazanin" w:cs="IRNazanin"/>
          <w:lang w:bidi="fa-IR"/>
          <w:color w:val="111111"/>
          <w:sz w:val="28"/>
          <w:szCs w:val="28"/>
          <w:rtl/>
        </w:rPr>
        <w:t xml:space="preserve">[شماره صفحه واقعی : 375]
</w:t>
      </w:r>
    </w:p>
    <w:p>
      <w:pPr>
        <w:sectPr>
          <w:footerReference w:type="default" r:id="rId1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إنّه التاسع من أولاد الحسین علیه السلام 148 روایة</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إنّه من أولاد الإمام زین العابدین علیه السلام 185 روایة</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إنّه من أولاد الحسن العسکری علیه السلام 146 روایة</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إنّه یملأ الأرض قسطاً و عدلاً 132 روایة</w:t>
      </w:r>
    </w:p>
    <w:p>
      <w:pPr>
        <w:pStyle w:val="BookText"/>
      </w:pPr>
      <w:r>
        <w:rPr>
          <w:rFonts w:ascii="IRNazanin" w:hAnsi="IRNazanin" w:eastAsia="IRNazanin" w:cs="IRNazanin"/>
          <w:lang w:bidi="fa-IR"/>
          <w:color w:val="111111"/>
          <w:sz w:val="28"/>
          <w:szCs w:val="28"/>
          <w:rtl/>
        </w:rPr>
        <w:t xml:space="preserve">[شماره صفحه واقعی : 376]
</w:t>
      </w:r>
    </w:p>
    <w:p>
      <w:pPr>
        <w:sectPr>
          <w:footerReference w:type="default" r:id="rId1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إنّ له غیبة طویلة 91 روایة</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إنّه یعمر عمراً طویلاً 318 روایة</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الإمام الثانی عشر من أئمّة أهل البیت علیهم السلام 136 روایة</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الإسلام یعمّ العالم کلّه بعد ظهوره 27 روایة</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الروایات الواردة حول ولادته </w:t>
      </w:r>
      <w:r>
        <w:rPr>
          <w:rStyle w:val="FootnoteReference"/>
        </w:rPr>
        <w:footnoteReference w:id="4727"/>
      </w:r>
      <w:r>
        <w:rPr>
          <w:rFonts w:ascii="IRNazanin" w:hAnsi="IRNazanin" w:eastAsia="IRNazanin" w:cs="IRNazanin"/>
          <w:lang w:bidi="fa-IR"/>
          <w:color w:val="111111"/>
          <w:sz w:val="28"/>
          <w:szCs w:val="28"/>
          <w:rtl/>
        </w:rPr>
        <w:t xml:space="preserve">214 روایة.</w:t>
      </w:r>
    </w:p>
    <w:p>
      <w:pPr>
        <w:pStyle w:val="BookText"/>
      </w:pPr>
      <w:r>
        <w:rPr>
          <w:rFonts w:ascii="IRNazanin" w:hAnsi="IRNazanin" w:eastAsia="IRNazanin" w:cs="IRNazanin"/>
          <w:lang w:bidi="fa-IR"/>
          <w:color w:val="111111"/>
          <w:sz w:val="28"/>
          <w:szCs w:val="28"/>
          <w:rtl/>
        </w:rPr>
        <w:t xml:space="preserve">و لم یر التضعیف لأخبار الإمام المهدی إلّا من ابن خلدون فی مقدّمته، و قد فنّد مقاله الأُستاذ أحمد محمّد صدیق برسالة أسماها «إبراز الوهم المکنون من کلام ابن خلدون» </w:t>
      </w:r>
      <w:r>
        <w:rPr>
          <w:rStyle w:val="FootnoteReference"/>
        </w:rPr>
        <w:footnoteReference w:id="47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بعض المحقّقین من أهل السنّة -ردّاً لمزعمة ابن خلدون -:</w:t>
      </w:r>
    </w:p>
    <w:p>
      <w:pPr>
        <w:pStyle w:val="BookText"/>
      </w:pPr>
      <w:r>
        <w:rPr>
          <w:rFonts w:ascii="IRNazanin" w:hAnsi="IRNazanin" w:eastAsia="IRNazanin" w:cs="IRNazanin"/>
          <w:lang w:bidi="fa-IR"/>
          <w:color w:val="111111"/>
          <w:sz w:val="28"/>
          <w:szCs w:val="28"/>
          <w:rtl/>
        </w:rPr>
        <w:t xml:space="preserve">إنّ المشکلة لیست مشکلة حدیث أو حدیثین، أو روایة أو روایتین، إنّها مجموعة من الأحادیث و الآثار تبلغ الثمانین تقریباً، اجتمع علی تناقلها مئات الرواة و أکثر، من صاحب کتاب</w:t>
      </w:r>
    </w:p>
    <w:p>
      <w:pPr>
        <w:pStyle w:val="BookText"/>
      </w:pPr>
      <w:r>
        <w:rPr>
          <w:rFonts w:ascii="IRNazanin" w:hAnsi="IRNazanin" w:eastAsia="IRNazanin" w:cs="IRNazanin"/>
          <w:lang w:bidi="fa-IR"/>
          <w:color w:val="111111"/>
          <w:sz w:val="28"/>
          <w:szCs w:val="28"/>
          <w:rtl/>
        </w:rPr>
        <w:t xml:space="preserve">[شماره صفحه واقعی : 377]
</w:t>
      </w:r>
    </w:p>
    <w:p>
      <w:pPr>
        <w:sectPr>
          <w:footerReference w:type="default" r:id="rId1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صحیح. فلما ذا نردّ کلّ هذه الکمّیة؟ أ کلّها فاسدة؟! لو صحّ هذا الحکم لانهار الدین -و العیاذ باللّه -نتیجة تطرق الشک و الظن الفاسد إلی ما عداها من سنّة رسول اللّه صلی الله علیه و آله .</w:t>
      </w:r>
    </w:p>
    <w:p>
      <w:pPr>
        <w:pStyle w:val="BookText"/>
      </w:pPr>
      <w:r>
        <w:rPr>
          <w:rFonts w:ascii="IRNazanin" w:hAnsi="IRNazanin" w:eastAsia="IRNazanin" w:cs="IRNazanin"/>
          <w:lang w:bidi="fa-IR"/>
          <w:color w:val="111111"/>
          <w:sz w:val="28"/>
          <w:szCs w:val="28"/>
          <w:rtl/>
        </w:rPr>
        <w:t xml:space="preserve">ثمّ إنّی لا أجد خلافاً حول ظهور المهدی، أو حول حاجة العالم إلیه، و إنّما الخلاف حول من هو؟ حسنی، أو حسینی؟ سیکون فی آخر الزمان، أو موجود الآن؟ و لا عبرة بالمدّعین الکاذبین فلیس لهم اعتبار.</w:t>
      </w:r>
    </w:p>
    <w:p>
      <w:pPr>
        <w:pStyle w:val="BookText"/>
      </w:pPr>
      <w:r>
        <w:rPr>
          <w:rFonts w:ascii="IRNazanin" w:hAnsi="IRNazanin" w:eastAsia="IRNazanin" w:cs="IRNazanin"/>
          <w:lang w:bidi="fa-IR"/>
          <w:color w:val="111111"/>
          <w:sz w:val="28"/>
          <w:szCs w:val="28"/>
          <w:rtl/>
        </w:rPr>
        <w:t xml:space="preserve">و إذا نظرنا إلی ظهور المهدی، نظرة مجردة، فإنّنا لا نجد حرجاً من قبولها و تصدیقها، أو علی الأقلّ عدم رفضها.</w:t>
      </w:r>
    </w:p>
    <w:p>
      <w:pPr>
        <w:pStyle w:val="BookText"/>
      </w:pPr>
      <w:r>
        <w:rPr>
          <w:rFonts w:ascii="IRNazanin" w:hAnsi="IRNazanin" w:eastAsia="IRNazanin" w:cs="IRNazanin"/>
          <w:lang w:bidi="fa-IR"/>
          <w:color w:val="111111"/>
          <w:sz w:val="28"/>
          <w:szCs w:val="28"/>
          <w:rtl/>
        </w:rPr>
        <w:t xml:space="preserve">و قد یتأیّد ذلک بالأدلّة الکثیرة و الأحادیث المتعدّدة، و رواتها مسلمون مؤتمنون، و الکتب الّتی نقلتها إلینا کتب قیّمة، و الترمذی من رجال التخریج و الحکم، بالإضافة إلی أنّ أحادیث المهدی لها ما یصحّ أن یکون سنداً لها فی البخاری و مسلم، کحدیث جابر فی مسلم الّذی فیه:</w:t>
      </w:r>
    </w:p>
    <w:p>
      <w:pPr>
        <w:pStyle w:val="BookText"/>
      </w:pPr>
      <w:r>
        <w:rPr>
          <w:rFonts w:ascii="IRNazanin" w:hAnsi="IRNazanin" w:eastAsia="IRNazanin" w:cs="IRNazanin"/>
          <w:lang w:bidi="fa-IR"/>
          <w:color w:val="111111"/>
          <w:sz w:val="28"/>
          <w:szCs w:val="28"/>
          <w:rtl/>
        </w:rPr>
        <w:t xml:space="preserve">«فیقول أمیرهم (أی لعیسی) تعال صلِّ بنا». </w:t>
      </w:r>
      <w:r>
        <w:rPr>
          <w:rStyle w:val="FootnoteReference"/>
        </w:rPr>
        <w:footnoteReference w:id="4729"/>
      </w:r>
      <w:r>
        <w:rPr>
          <w:rFonts w:ascii="IRNazanin" w:hAnsi="IRNazanin" w:eastAsia="IRNazanin" w:cs="IRNazanin"/>
          <w:lang w:bidi="fa-IR"/>
          <w:color w:val="111111"/>
          <w:sz w:val="28"/>
          <w:szCs w:val="28"/>
          <w:rtl/>
        </w:rPr>
        <w:t xml:space="preserve">و حدیث أبی هریرة فی البخاری و فیه: «و کیف بکم إذا نزل فیکم المسیح بن مریم و إمامکم منکم». </w:t>
      </w:r>
      <w:r>
        <w:rPr>
          <w:rStyle w:val="FootnoteReference"/>
        </w:rPr>
        <w:footnoteReference w:id="4730"/>
      </w:r>
      <w:r>
        <w:rPr>
          <w:rFonts w:ascii="IRNazanin" w:hAnsi="IRNazanin" w:eastAsia="IRNazanin" w:cs="IRNazanin"/>
          <w:lang w:bidi="fa-IR"/>
          <w:color w:val="111111"/>
          <w:sz w:val="28"/>
          <w:szCs w:val="28"/>
          <w:rtl/>
        </w:rPr>
        <w:t xml:space="preserve">فلا مانع من أن یکون هذا الأمیر و هذا الإمام هو المهدی.</w:t>
      </w:r>
    </w:p>
    <w:p>
      <w:pPr>
        <w:pStyle w:val="BookText"/>
      </w:pPr>
      <w:r>
        <w:rPr>
          <w:rFonts w:ascii="IRNazanin" w:hAnsi="IRNazanin" w:eastAsia="IRNazanin" w:cs="IRNazanin"/>
          <w:lang w:bidi="fa-IR"/>
          <w:color w:val="111111"/>
          <w:sz w:val="28"/>
          <w:szCs w:val="28"/>
          <w:rtl/>
        </w:rPr>
        <w:t xml:space="preserve">[شماره صفحه واقعی : 378]
</w:t>
      </w:r>
    </w:p>
    <w:p>
      <w:pPr>
        <w:sectPr>
          <w:footerReference w:type="default" r:id="rId1525"/>
          <w:footnotePr>
            <w:numStart w:val="1"/>
            <w:numRestart w:val="eachPage"/>
          </w:footnotePr>
          <w:pgSz w:orient="portrait" w:w="11905.511811023622" w:h="16837.79527559055"/>
          <w:pgMar w:top="1440" w:right="1440" w:bottom="1440" w:left="1440" w:header="720" w:footer="720" w:gutter="0"/>
          <w:cols w:num="1" w:space="720"/>
        </w:sectPr>
      </w:pPr>
    </w:p>
    <w:bookmarkStart w:id="842" w:name="pg14411_143907"/>
    <w:bookmarkEnd w:id="842"/>
    <w:p>
      <w:pPr>
        <w:pStyle w:val="BookText"/>
      </w:pPr>
      <w:r>
        <w:rPr>
          <w:rFonts w:ascii="IRNazanin" w:hAnsi="IRNazanin" w:eastAsia="IRNazanin" w:cs="IRNazanin"/>
          <w:lang w:bidi="fa-IR"/>
          <w:color w:val="111111"/>
          <w:sz w:val="28"/>
          <w:szCs w:val="28"/>
          <w:rtl/>
        </w:rPr>
        <w:t xml:space="preserve">یضاف إلی هذا أنّ کثیراً من السّلف رضی اللّه عنهم، لم یعارضوا هذا القول، بل جاءت شروحهم و تقریراتهم موافقة لإثبات هذه العقیدة عند المسلمین. </w:t>
      </w:r>
      <w:r>
        <w:rPr>
          <w:rStyle w:val="FootnoteReference"/>
        </w:rPr>
        <w:footnoteReference w:id="4731"/>
      </w:r>
    </w:p>
    <w:p>
      <w:pPr>
        <w:pStyle w:val="Heading6"/>
      </w:pPr>
      <w:bookmarkStart w:id="2645" w:name="_Toc1680"/>
      <w:r>
        <w:t>أسئلة حول المهدی المنتظر</w:t>
      </w:r>
      <w:bookmarkEnd w:id="2645"/>
    </w:p>
    <w:p>
      <w:pPr>
        <w:pStyle w:val="BookText"/>
      </w:pPr>
      <w:r>
        <w:rPr>
          <w:rFonts w:ascii="IRNazanin" w:hAnsi="IRNazanin" w:eastAsia="IRNazanin" w:cs="IRNazanin"/>
          <w:lang w:bidi="fa-IR"/>
          <w:color w:val="111111"/>
          <w:sz w:val="28"/>
          <w:szCs w:val="28"/>
          <w:rtl/>
        </w:rPr>
        <w:t xml:space="preserve">(عجّل اللّه تعالی فرجه الشریف)</w:t>
      </w:r>
    </w:p>
    <w:p>
      <w:pPr>
        <w:pStyle w:val="BookText"/>
      </w:pPr>
      <w:r>
        <w:rPr>
          <w:rFonts w:ascii="IRNazanin" w:hAnsi="IRNazanin" w:eastAsia="IRNazanin" w:cs="IRNazanin"/>
          <w:lang w:bidi="fa-IR"/>
          <w:color w:val="111111"/>
          <w:sz w:val="28"/>
          <w:szCs w:val="28"/>
          <w:rtl/>
        </w:rPr>
        <w:t xml:space="preserve">إنّ القول بأنّ الإمام المهدی لم یزل حیّاً منذ ولادته إلی الآن، و أنّه غائب سوف یظهر بأمر اللّه سبحانه أثار أسئلة حول حیاته و إمامته أهمّها ما یلی: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کیف یکون إماماً و هو غائب؟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لما ذا غاب؟</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کیف یمکن أن یعیش إنسان هذه المدّة الطویلة؟</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متی یظهر؟ (علائم ظهوره).</w:t>
      </w:r>
    </w:p>
    <w:p>
      <w:pPr>
        <w:pStyle w:val="BookText"/>
      </w:pPr>
      <w:r>
        <w:rPr>
          <w:rFonts w:ascii="IRNazanin" w:hAnsi="IRNazanin" w:eastAsia="IRNazanin" w:cs="IRNazanin"/>
          <w:lang w:bidi="fa-IR"/>
          <w:color w:val="111111"/>
          <w:sz w:val="28"/>
          <w:szCs w:val="28"/>
          <w:rtl/>
        </w:rPr>
        <w:t xml:space="preserve">و قد قام العلماء المحقّقون من علماء الإمامیة بالإجابة علیها فی مؤلَّفات مستقلّة لا مجال لنقل معشار ممّا جاء فیها، و نحن نکتفی فی المقام بالبحث عنها علی وجه الإجمال، و نحیل من أراد التبسّط إلی المصادر المؤلَّفة فی هذا المجال، فنقول:</w:t>
      </w:r>
    </w:p>
    <w:p>
      <w:pPr>
        <w:pStyle w:val="BookText"/>
      </w:pPr>
      <w:r>
        <w:rPr>
          <w:rFonts w:ascii="IRNazanin" w:hAnsi="IRNazanin" w:eastAsia="IRNazanin" w:cs="IRNazanin"/>
          <w:lang w:bidi="fa-IR"/>
          <w:color w:val="111111"/>
          <w:sz w:val="28"/>
          <w:szCs w:val="28"/>
          <w:rtl/>
        </w:rPr>
        <w:t xml:space="preserve">أ) کیف یکون إماماً و هو غائب؟</w:t>
      </w:r>
    </w:p>
    <w:p>
      <w:pPr>
        <w:pStyle w:val="BookText"/>
      </w:pPr>
      <w:r>
        <w:rPr>
          <w:rFonts w:ascii="IRNazanin" w:hAnsi="IRNazanin" w:eastAsia="IRNazanin" w:cs="IRNazanin"/>
          <w:lang w:bidi="fa-IR"/>
          <w:color w:val="111111"/>
          <w:sz w:val="28"/>
          <w:szCs w:val="28"/>
          <w:rtl/>
        </w:rPr>
        <w:t xml:space="preserve">إنّ الغایة من تنصیب الإمام هی القیام بوظائف الإمامة و القیادة و هو</w:t>
      </w:r>
    </w:p>
    <w:p>
      <w:pPr>
        <w:pStyle w:val="BookText"/>
      </w:pPr>
      <w:r>
        <w:rPr>
          <w:rFonts w:ascii="IRNazanin" w:hAnsi="IRNazanin" w:eastAsia="IRNazanin" w:cs="IRNazanin"/>
          <w:lang w:bidi="fa-IR"/>
          <w:color w:val="111111"/>
          <w:sz w:val="28"/>
          <w:szCs w:val="28"/>
          <w:rtl/>
        </w:rPr>
        <w:t xml:space="preserve">[شماره صفحه واقعی : 379]
</w:t>
      </w:r>
    </w:p>
    <w:p>
      <w:pPr>
        <w:sectPr>
          <w:footerReference w:type="default" r:id="rId1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یتوقّف علی کونه ظاهراً بین أبناء الأُمّة، مشاهداً لهم، فکیف یکون إماماً قائداً و هو غائب عنهم؟</w:t>
      </w:r>
    </w:p>
    <w:p>
      <w:pPr>
        <w:pStyle w:val="BookText"/>
      </w:pPr>
      <w:r>
        <w:rPr>
          <w:rFonts w:ascii="IRNazanin" w:hAnsi="IRNazanin" w:eastAsia="IRNazanin" w:cs="IRNazanin"/>
          <w:lang w:bidi="fa-IR"/>
          <w:color w:val="111111"/>
          <w:sz w:val="28"/>
          <w:szCs w:val="28"/>
          <w:rtl/>
        </w:rPr>
        <w:t xml:space="preserve">و الجواب عنه بوجوه:</w:t>
      </w:r>
    </w:p>
    <w:p>
      <w:pPr>
        <w:pStyle w:val="BookText"/>
      </w:pPr>
      <w:r>
        <w:rPr>
          <w:rFonts w:ascii="IRNazanin" w:hAnsi="IRNazanin" w:eastAsia="IRNazanin" w:cs="IRNazanin"/>
          <w:lang w:bidi="fa-IR"/>
          <w:color w:val="111111"/>
          <w:sz w:val="28"/>
          <w:szCs w:val="28"/>
          <w:rtl/>
        </w:rPr>
        <w:t xml:space="preserve">الأوّل: إنّ عدم علمنا بفائدة وجوده فی زمان غیبته لا یدلّ علی انتفائها، و من أعظم الجهل فی تحلیل المسائل العلمیة أو الدینیة هو جعل عدم العلم مقام العلم بالعدم، و لا شکّ أنّ عقول البشر لا تصل إلی کثیر من الأُمور المهمّة فی عالم التکوین و التشریع، بل لا یفهم مصلحة کثیر من سنن اللّه تعالی و لکن مقتضی تنزُّه فعله سبحانه عن اللّغو و العبث هو التسلیم أمام التشریع إذا وصل إلینا بصورة صحیحة، و قد عرفت تواتر الروایات علی غیبته.</w:t>
      </w:r>
    </w:p>
    <w:p>
      <w:pPr>
        <w:pStyle w:val="BookText"/>
      </w:pPr>
      <w:r>
        <w:rPr>
          <w:rFonts w:ascii="Amiri" w:hAnsi="Amiri" w:eastAsia="Amiri" w:cs="Amiri"/>
          <w:lang w:bidi="ar-SA"/>
          <w:color w:val="111111"/>
          <w:sz w:val="28"/>
          <w:szCs w:val="28"/>
          <w:rtl/>
        </w:rPr>
        <w:t xml:space="preserve">الثانی: إنّ الغیبة لا تلازم عدم التصرّف فی الأمر مطلقاً، و هذا مصاحب موسی کان ولیاً من أولیائه تعالی لجأ إلیه أکبر أنبیاء اللّه فی عصره کما یحکیه القرآن الکریم و یقول: «فَوَجَدٰا عَبْداً مِنْ عِبٰادِنٰا آتَیْنٰاهُ رَحْمَةً مِنْ عِنْدِنٰا وَ عَلَّمْنٰاهُ مِنْ لَدُنّٰا عِلْماً * قٰالَ لَهُ مُوسیٰ هَلْ أَتَّبِعُکَ عَلیٰ أَنْ تُعَلِّمَنِ مِمّٰا عُلِّمْتَ رُشْداً » </w:t>
      </w:r>
      <w:r>
        <w:rPr>
          <w:rStyle w:val="FootnoteReference"/>
        </w:rPr>
        <w:footnoteReference w:id="47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فأیّ مانع حینئذٍ من أن یکون للإمام الغائب فی کلّ یوم و لیلة تصرّف من هذا النمط، و یؤیّد ذلک ما دلَّت علیه الروایات من أنّه یحضر الموسم فی أشهر الحجّ، و یحجّ و یصاحب الناس و یحضر المجالس.</w:t>
      </w:r>
    </w:p>
    <w:p>
      <w:pPr>
        <w:pStyle w:val="BookText"/>
      </w:pPr>
      <w:r>
        <w:rPr>
          <w:rFonts w:ascii="IRNazanin" w:hAnsi="IRNazanin" w:eastAsia="IRNazanin" w:cs="IRNazanin"/>
          <w:lang w:bidi="fa-IR"/>
          <w:color w:val="111111"/>
          <w:sz w:val="28"/>
          <w:szCs w:val="28"/>
          <w:rtl/>
        </w:rPr>
        <w:t xml:space="preserve">[شماره صفحه واقعی : 380]
</w:t>
      </w:r>
    </w:p>
    <w:p>
      <w:pPr>
        <w:sectPr>
          <w:footerReference w:type="default" r:id="rId1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الثالث: المسلَّم هو عدم إمکان وصول عموم الناس إلیه فی غیبته، و أمّا عدم وصول الخواصّ إلیه، فلیس بمسلَّم بل الّذی دلَّت علیه الروایات خلافه، فالصلحاء من الأُمّة الّذین یستدرُّ بهم الغمام، لهم التشرّف بلقائه و الاستفادة من نور وجوده، و بالتالی تستفید الأُمّة منه بواسطتهم، و الحکایات من الأولیاء فی ذلک متضافرة.</w:t>
      </w:r>
    </w:p>
    <w:p>
      <w:pPr>
        <w:pStyle w:val="BookText"/>
      </w:pPr>
      <w:r>
        <w:rPr>
          <w:rFonts w:ascii="IRNazanin" w:hAnsi="IRNazanin" w:eastAsia="IRNazanin" w:cs="IRNazanin"/>
          <w:lang w:bidi="fa-IR"/>
          <w:color w:val="111111"/>
          <w:sz w:val="28"/>
          <w:szCs w:val="28"/>
          <w:rtl/>
        </w:rPr>
        <w:t xml:space="preserve">الرابع: قیام الإمام بالتصرّف فی الأُمور الظاهریة و شئون الحکومة لا ینحصر بالقیام به شخصاً و حضوراً، بل له تولیة غیره علی التصرّف فی الأُمور کما فعل الإمام المهدی أرواحنا له الفداء فی غیبته، ففی الغیبة الصغری (260- 329 ه) کان له وکلاء أربعة، قاموا بحوائج الناس، و کانت الصلة بینه و بین الناس مستمرّة بهم و فی الغیبة الکبری نصب الفقهاء و العلماء العدول العالمین بالأحکام للقضاء و إجراء السیاسیات و إقامة الحدود و جعلهم حجّة علی الناس، کما جاء فی توقیعه الشریف: «و أمّا الحوادث الواقعة فارجعوا فیها إلی رواة أحادیثنا، فإنّهم حجّتی علیکم و أنا حجّة اللّه علیهم». </w:t>
      </w:r>
      <w:r>
        <w:rPr>
          <w:rStyle w:val="FootnoteReference"/>
        </w:rPr>
        <w:footnoteReference w:id="4733"/>
      </w:r>
    </w:p>
    <w:p>
      <w:pPr>
        <w:pStyle w:val="BookText"/>
      </w:pPr>
      <w:r>
        <w:rPr>
          <w:rFonts w:ascii="IRNazanin" w:hAnsi="IRNazanin" w:eastAsia="IRNazanin" w:cs="IRNazanin"/>
          <w:lang w:bidi="fa-IR"/>
          <w:color w:val="111111"/>
          <w:sz w:val="28"/>
          <w:szCs w:val="28"/>
          <w:rtl/>
        </w:rPr>
        <w:t xml:space="preserve">و إلی هذه الاجوبة أشار الإمام المهدی علیه السلام فی آخر توقیع له إلی بعض نوّابه بقوله:</w:t>
      </w:r>
    </w:p>
    <w:p>
      <w:pPr>
        <w:pStyle w:val="BookText"/>
      </w:pPr>
      <w:r>
        <w:rPr>
          <w:rFonts w:ascii="IRNazanin" w:hAnsi="IRNazanin" w:eastAsia="IRNazanin" w:cs="IRNazanin"/>
          <w:lang w:bidi="fa-IR"/>
          <w:color w:val="111111"/>
          <w:sz w:val="28"/>
          <w:szCs w:val="28"/>
          <w:rtl/>
        </w:rPr>
        <w:t xml:space="preserve">«و أمّا وجه الانتفاع فی غیبتی، فکالانتفاع بالشمس، إذا غیَّبتها عن الأبصار، السحاب».</w:t>
      </w:r>
    </w:p>
    <w:p>
      <w:pPr>
        <w:pStyle w:val="BookText"/>
      </w:pPr>
      <w:r>
        <w:rPr>
          <w:rFonts w:ascii="IRNazanin" w:hAnsi="IRNazanin" w:eastAsia="IRNazanin" w:cs="IRNazanin"/>
          <w:lang w:bidi="fa-IR"/>
          <w:color w:val="111111"/>
          <w:sz w:val="28"/>
          <w:szCs w:val="28"/>
          <w:rtl/>
        </w:rPr>
        <w:t xml:space="preserve">[شماره صفحه واقعی : 381]
</w:t>
      </w:r>
    </w:p>
    <w:p>
      <w:pPr>
        <w:sectPr>
          <w:footerReference w:type="default" r:id="rId1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 لما ذا غاب المهدی علیه السلام ؟</w:t>
      </w:r>
    </w:p>
    <w:p>
      <w:pPr>
        <w:pStyle w:val="BookText"/>
      </w:pPr>
      <w:r>
        <w:rPr>
          <w:rFonts w:ascii="IRNazanin" w:hAnsi="IRNazanin" w:eastAsia="IRNazanin" w:cs="IRNazanin"/>
          <w:lang w:bidi="fa-IR"/>
          <w:color w:val="111111"/>
          <w:sz w:val="28"/>
          <w:szCs w:val="28"/>
          <w:rtl/>
        </w:rPr>
        <w:t xml:space="preserve">إنّ ظهور الإمام بین الناس، یترتّب علیه من الفائدة ما لا یترتّب علیه فی زمان الغیبة، فلما ذا غاب عن الناس، حتّی حرموا من الاستفادة من وجوده، و ما هی المصلحة الّتی أخفته عن أعین الناس؟</w:t>
      </w:r>
    </w:p>
    <w:p>
      <w:pPr>
        <w:pStyle w:val="BookText"/>
      </w:pPr>
      <w:r>
        <w:rPr>
          <w:rFonts w:ascii="IRNazanin" w:hAnsi="IRNazanin" w:eastAsia="IRNazanin" w:cs="IRNazanin"/>
          <w:lang w:bidi="fa-IR"/>
          <w:color w:val="111111"/>
          <w:sz w:val="28"/>
          <w:szCs w:val="28"/>
          <w:rtl/>
        </w:rPr>
        <w:t xml:space="preserve">الجواب: إنّ هذا السؤال یجاب علیه بالنقض و الحلّ:</w:t>
      </w:r>
    </w:p>
    <w:p>
      <w:pPr>
        <w:pStyle w:val="BookText"/>
      </w:pPr>
      <w:r>
        <w:rPr>
          <w:rFonts w:ascii="IRNazanin" w:hAnsi="IRNazanin" w:eastAsia="IRNazanin" w:cs="IRNazanin"/>
          <w:lang w:bidi="fa-IR"/>
          <w:color w:val="111111"/>
          <w:sz w:val="28"/>
          <w:szCs w:val="28"/>
          <w:rtl/>
        </w:rPr>
        <w:t xml:space="preserve">أمّا النقض، فبما ذکرناه فی الإجابة عن السؤال الأوّل، فإنّ قصور عقولنا عن إدراک أسباب غیبته، لا یجرّنا إلی إنکار المتضافرات من الروایات، فالاعتراف بقصور أفهامنا أولی من ردّ الروایات المتواترة، بل هو المتعیّن.</w:t>
      </w:r>
    </w:p>
    <w:p>
      <w:pPr>
        <w:pStyle w:val="BookText"/>
      </w:pPr>
      <w:r>
        <w:rPr>
          <w:rFonts w:ascii="IRNazanin" w:hAnsi="IRNazanin" w:eastAsia="IRNazanin" w:cs="IRNazanin"/>
          <w:lang w:bidi="fa-IR"/>
          <w:color w:val="111111"/>
          <w:sz w:val="28"/>
          <w:szCs w:val="28"/>
          <w:rtl/>
        </w:rPr>
        <w:t xml:space="preserve">و أمّا الحلّ، فإنّ أسباب غیبته واضحة لمن أمعن فیما ورد حولها من الروایات، فإنّ الإمام المهدی علیه السلام هو آخر الأئمة الاثنی عشر الّذین وعد بهم الرسول، و أناط عزّة الإسلام بهم، و من المعلوم أنّ الحکومات الإسلامیة لم تقدرهم، بل کانت لهم بالمرصاد، تلقیهم فی السّجون، و تریق دماءهم الطاهرة، بالسّیف أو السمّ، فلو کان ظاهراً، لأقدموا علی قتله، إطفاءً لنوره، فلأجل ذلک اقتضت المصلحة أن یکون مستوراً عن أعین الناس، یراهم و یرونه و لکن لا یعرفونه إلی أن تقتضی مشیئة اللّه سبحانه ظهوره، بعد حصول استعداد خاص فی العالم لقبوله، و الانضواء تحت لواء طاعته، حتی یحقّق اللّه تعالی به ما وعد به الأُمم جمعاء من توریث الأرض للمستضعفین.</w:t>
      </w:r>
    </w:p>
    <w:p>
      <w:pPr>
        <w:pStyle w:val="BookText"/>
      </w:pPr>
      <w:r>
        <w:rPr>
          <w:rFonts w:ascii="IRNazanin" w:hAnsi="IRNazanin" w:eastAsia="IRNazanin" w:cs="IRNazanin"/>
          <w:lang w:bidi="fa-IR"/>
          <w:color w:val="111111"/>
          <w:sz w:val="28"/>
          <w:szCs w:val="28"/>
          <w:rtl/>
        </w:rPr>
        <w:t xml:space="preserve">[شماره صفحه واقعی : 382]
</w:t>
      </w:r>
    </w:p>
    <w:p>
      <w:pPr>
        <w:sectPr>
          <w:footerReference w:type="default" r:id="rId1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قد ورد فی بعض الروایات إشارة إلی هذه النکتة، روی زرارة قال: سمعت أبا جعفر (الباقر علیه السلام ) یقول: إنّ للقائم غیبة قبل أن یقوم، قال: قلت و لم؟ قال: یخاف، قال زرارة: یعنی القتل. و فی روایة أُخری: یخاف علی نفسه الذبح. </w:t>
      </w:r>
      <w:r>
        <w:rPr>
          <w:rStyle w:val="FootnoteReference"/>
        </w:rPr>
        <w:footnoteReference w:id="4734"/>
      </w:r>
    </w:p>
    <w:p>
      <w:pPr>
        <w:pStyle w:val="BookText"/>
      </w:pPr>
      <w:r>
        <w:rPr>
          <w:rFonts w:ascii="IRNazanin" w:hAnsi="IRNazanin" w:eastAsia="IRNazanin" w:cs="IRNazanin"/>
          <w:lang w:bidi="fa-IR"/>
          <w:color w:val="111111"/>
          <w:sz w:val="28"/>
          <w:szCs w:val="28"/>
          <w:rtl/>
        </w:rPr>
        <w:t xml:space="preserve">ج) الإمام المهدی علیه السلام و طول عمره</w:t>
      </w:r>
    </w:p>
    <w:p>
      <w:pPr>
        <w:pStyle w:val="BookText"/>
      </w:pPr>
      <w:r>
        <w:rPr>
          <w:rFonts w:ascii="IRNazanin" w:hAnsi="IRNazanin" w:eastAsia="IRNazanin" w:cs="IRNazanin"/>
          <w:lang w:bidi="fa-IR"/>
          <w:color w:val="111111"/>
          <w:sz w:val="28"/>
          <w:szCs w:val="28"/>
          <w:rtl/>
        </w:rPr>
        <w:t xml:space="preserve">إنّ من الأسئلة المطروحة حول الإمام المهدی، طول عمره فی فترة غیبته، فإنّه ولد عام 255 ه، فیکون عمره إلی الأعصار الحاضرة أکثر من ألف و مائة و خمسین عاماً، فهل یمکن فی منطق العلم أن یعیش إنسان هذا العمر الطویل؟</w:t>
      </w:r>
    </w:p>
    <w:p>
      <w:pPr>
        <w:pStyle w:val="BookText"/>
      </w:pPr>
      <w:r>
        <w:rPr>
          <w:rFonts w:ascii="Amiri" w:hAnsi="Amiri" w:eastAsia="Amiri" w:cs="Amiri"/>
          <w:lang w:bidi="ar-SA"/>
          <w:color w:val="111111"/>
          <w:sz w:val="28"/>
          <w:szCs w:val="28"/>
          <w:rtl/>
        </w:rPr>
        <w:t xml:space="preserve">و الجواب: من وجهین، نقضاً و حلّاً.</w:t>
      </w:r>
    </w:p>
    <w:p>
      <w:pPr>
        <w:pStyle w:val="BookText"/>
      </w:pPr>
      <w:r>
        <w:rPr>
          <w:rFonts w:ascii="Amiri" w:hAnsi="Amiri" w:eastAsia="Amiri" w:cs="Amiri"/>
          <w:lang w:bidi="ar-SA"/>
          <w:color w:val="111111"/>
          <w:sz w:val="28"/>
          <w:szCs w:val="28"/>
          <w:rtl/>
        </w:rPr>
        <w:t xml:space="preserve">أمّا النقض، فقد دلّ الذکر الحکیم علی أنّ شیخ الأنبیاء عاش قرابة ألف سنة، قال تعالی: «فَلَبِثَ فِیهِمْ أَلْفَ سَنَةٍ إِلاّٰ خَمْسِینَ عٰاماً» </w:t>
      </w:r>
      <w:r>
        <w:rPr>
          <w:rStyle w:val="FootnoteReference"/>
        </w:rPr>
        <w:footnoteReference w:id="4735"/>
      </w:r>
    </w:p>
    <w:p>
      <w:pPr>
        <w:pStyle w:val="BookText"/>
      </w:pPr>
      <w:r>
        <w:rPr>
          <w:rFonts w:ascii="IRNazanin" w:hAnsi="IRNazanin" w:eastAsia="IRNazanin" w:cs="IRNazanin"/>
          <w:lang w:bidi="fa-IR"/>
          <w:color w:val="111111"/>
          <w:sz w:val="28"/>
          <w:szCs w:val="28"/>
          <w:rtl/>
        </w:rPr>
        <w:t xml:space="preserve">و قد تضمّنت التوراة أسماء جماعة کثیرة من المعمَّرین، و ذکرت أحوالهم فی سفر التکوین. </w:t>
      </w:r>
      <w:r>
        <w:rPr>
          <w:rStyle w:val="FootnoteReference"/>
        </w:rPr>
        <w:footnoteReference w:id="4736"/>
      </w:r>
    </w:p>
    <w:p>
      <w:pPr>
        <w:pStyle w:val="BookText"/>
      </w:pPr>
      <w:r>
        <w:rPr>
          <w:rFonts w:ascii="IRNazanin" w:hAnsi="IRNazanin" w:eastAsia="IRNazanin" w:cs="IRNazanin"/>
          <w:lang w:bidi="fa-IR"/>
          <w:color w:val="111111"/>
          <w:sz w:val="28"/>
          <w:szCs w:val="28"/>
          <w:rtl/>
        </w:rPr>
        <w:t xml:space="preserve">و قد قام المسلمون بتألیف کتب حول المعمّرین، ککتاب «المعمّرین»</w:t>
      </w:r>
    </w:p>
    <w:p>
      <w:pPr>
        <w:pStyle w:val="BookText"/>
      </w:pPr>
      <w:r>
        <w:rPr>
          <w:rFonts w:ascii="IRNazanin" w:hAnsi="IRNazanin" w:eastAsia="IRNazanin" w:cs="IRNazanin"/>
          <w:lang w:bidi="fa-IR"/>
          <w:color w:val="111111"/>
          <w:sz w:val="28"/>
          <w:szCs w:val="28"/>
          <w:rtl/>
        </w:rPr>
        <w:t xml:space="preserve">[شماره صفحه واقعی : 383]
</w:t>
      </w:r>
    </w:p>
    <w:p>
      <w:pPr>
        <w:sectPr>
          <w:footerReference w:type="default" r:id="rId1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لأبی حاتم السجستانی، کما ذکر الصدوق أسماء عدّة منهم فی کتاب «کمال الدین» </w:t>
      </w:r>
      <w:r>
        <w:rPr>
          <w:rStyle w:val="FootnoteReference"/>
        </w:rPr>
        <w:footnoteReference w:id="4737"/>
      </w:r>
      <w:r>
        <w:rPr>
          <w:rFonts w:ascii="IRNazanin" w:hAnsi="IRNazanin" w:eastAsia="IRNazanin" w:cs="IRNazanin"/>
          <w:lang w:bidi="fa-IR"/>
          <w:color w:val="111111"/>
          <w:sz w:val="28"/>
          <w:szCs w:val="28"/>
          <w:rtl/>
        </w:rPr>
        <w:t xml:space="preserve">و العلّامة الکراجکی فی رسالته الخاصّة، باسم «البرهان علی صحّة طول عمر الإمام صاحب الزمان علیه السلام » </w:t>
      </w:r>
      <w:r>
        <w:rPr>
          <w:rStyle w:val="FootnoteReference"/>
        </w:rPr>
        <w:footnoteReference w:id="4738"/>
      </w:r>
      <w:r>
        <w:rPr>
          <w:rFonts w:ascii="IRNazanin" w:hAnsi="IRNazanin" w:eastAsia="IRNazanin" w:cs="IRNazanin"/>
          <w:lang w:bidi="fa-IR"/>
          <w:color w:val="111111"/>
          <w:sz w:val="28"/>
          <w:szCs w:val="28"/>
          <w:rtl/>
        </w:rPr>
        <w:t xml:space="preserve">و العلاّمة المجلسی فی «البحار» </w:t>
      </w:r>
      <w:r>
        <w:rPr>
          <w:rStyle w:val="FootnoteReference"/>
        </w:rPr>
        <w:footnoteReference w:id="4739"/>
      </w:r>
      <w:r>
        <w:rPr>
          <w:rFonts w:ascii="IRNazanin" w:hAnsi="IRNazanin" w:eastAsia="IRNazanin" w:cs="IRNazanin"/>
          <w:lang w:bidi="fa-IR"/>
          <w:color w:val="111111"/>
          <w:sz w:val="28"/>
          <w:szCs w:val="28"/>
          <w:rtl/>
        </w:rPr>
        <w:t xml:space="preserve">و غیرهم.</w:t>
      </w:r>
    </w:p>
    <w:p>
      <w:pPr>
        <w:pStyle w:val="BookText"/>
      </w:pPr>
      <w:r>
        <w:rPr>
          <w:rFonts w:ascii="Amiri" w:hAnsi="Amiri" w:eastAsia="Amiri" w:cs="Amiri"/>
          <w:lang w:bidi="ar-SA"/>
          <w:color w:val="111111"/>
          <w:sz w:val="28"/>
          <w:szCs w:val="28"/>
          <w:rtl/>
        </w:rPr>
        <w:t xml:space="preserve">و أمّا الحلّ، فإنّ السؤال عن إمکان طول العمر، یعرب عن عدم التعرّف علی سعة قدرة اللّه سبحانه: «وَ مٰا قَدَرُوا اللّٰهَ حَقَّ قَدْرِهِ» </w:t>
      </w:r>
      <w:r>
        <w:rPr>
          <w:rStyle w:val="FootnoteReference"/>
        </w:rPr>
        <w:footnoteReference w:id="47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فإنّه إذا کانت حیاته و غیبته و سائر شئونه، برعایة اللّه سبحانه، فأیّ مشکلة فی أن یمدّ اللّه سبحانه فی عمره ما شاء، و یدفع عنه عوادی المرض و یرزقه عیش الهناء.</w:t>
      </w:r>
    </w:p>
    <w:p>
      <w:pPr>
        <w:pStyle w:val="BookText"/>
      </w:pPr>
      <w:r>
        <w:rPr>
          <w:rFonts w:ascii="IRNazanin" w:hAnsi="IRNazanin" w:eastAsia="IRNazanin" w:cs="IRNazanin"/>
          <w:lang w:bidi="fa-IR"/>
          <w:color w:val="111111"/>
          <w:sz w:val="28"/>
          <w:szCs w:val="28"/>
          <w:rtl/>
        </w:rPr>
        <w:t xml:space="preserve">و بعبارة أُخری، إنّ الحیاة الطویلة، إمّا ممکنة فی حدّ ذاتها أو ممتنعة، و الثانی لم یقل به أحد، فتعیّن الأوّل، فلا مانع من أن یقوم سبحانه بمدّ عمر ولیّه لتحقیق غرض من أغراض التشریع.</w:t>
      </w:r>
    </w:p>
    <w:p>
      <w:pPr>
        <w:pStyle w:val="BookText"/>
      </w:pPr>
      <w:r>
        <w:rPr>
          <w:rFonts w:ascii="IRNazanin" w:hAnsi="IRNazanin" w:eastAsia="IRNazanin" w:cs="IRNazanin"/>
          <w:lang w:bidi="fa-IR"/>
          <w:color w:val="111111"/>
          <w:sz w:val="28"/>
          <w:szCs w:val="28"/>
          <w:rtl/>
        </w:rPr>
        <w:t xml:space="preserve">أضف إلی ذلک ما ثبت فی العلم الجدید من إمکان طول عمر الإنسان إذا کان مراعیاً لقواعد حفظ الصحّة و إنّ موت الإنسان فی فترة متدنّیة، لیس لقصور الاقتضاء، بل لعوارض تمنع عن استمرار الحیاة، و لو أمکن تحصین الإنسان منها بالأدویة و المعالجات الخاصة لطال عمره ما شاء اللّه.</w:t>
      </w:r>
    </w:p>
    <w:p>
      <w:pPr>
        <w:pStyle w:val="BookText"/>
      </w:pPr>
      <w:r>
        <w:rPr>
          <w:rFonts w:ascii="IRNazanin" w:hAnsi="IRNazanin" w:eastAsia="IRNazanin" w:cs="IRNazanin"/>
          <w:lang w:bidi="fa-IR"/>
          <w:color w:val="111111"/>
          <w:sz w:val="28"/>
          <w:szCs w:val="28"/>
          <w:rtl/>
        </w:rPr>
        <w:t xml:space="preserve">[شماره صفحه واقعی : 384]
</w:t>
      </w:r>
    </w:p>
    <w:p>
      <w:pPr>
        <w:sectPr>
          <w:footerReference w:type="default" r:id="rId1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هناک کلمات ضافیة من مهرة علم الطب فی إمکان إطالة العمر، و تمدید حیاة البشر، نشرت فی الکتب و المجلات العلمیة المختلفة. </w:t>
      </w:r>
      <w:r>
        <w:rPr>
          <w:rStyle w:val="FootnoteReference"/>
        </w:rPr>
        <w:footnoteReference w:id="4741"/>
      </w:r>
    </w:p>
    <w:p>
      <w:pPr>
        <w:pStyle w:val="BookText"/>
      </w:pPr>
      <w:r>
        <w:rPr>
          <w:rFonts w:ascii="Amiri" w:hAnsi="Amiri" w:eastAsia="Amiri" w:cs="Amiri"/>
          <w:lang w:bidi="ar-SA"/>
          <w:color w:val="111111"/>
          <w:sz w:val="28"/>
          <w:szCs w:val="28"/>
          <w:rtl/>
        </w:rPr>
        <w:t xml:space="preserve">و إذا قرأت ما تدوّنه أقلام الأطبّاء فی هذا المجال، یتّضح لک معنی قوله سبحانه: «فَلَوْ لاٰ أَنَّهُ کٰانَ مِنَ الْمُسَبِّحِینَ * لَلَبِثَ فِی بَطْنِهِ إِلیٰ یَوْمِ یُبْعَثُونَ » </w:t>
      </w:r>
      <w:r>
        <w:rPr>
          <w:rStyle w:val="FootnoteReference"/>
        </w:rPr>
        <w:footnoteReference w:id="4742"/>
      </w:r>
    </w:p>
    <w:p>
      <w:pPr>
        <w:pStyle w:val="BookText"/>
      </w:pPr>
      <w:r>
        <w:rPr>
          <w:rFonts w:ascii="IRNazanin" w:hAnsi="IRNazanin" w:eastAsia="IRNazanin" w:cs="IRNazanin"/>
          <w:lang w:bidi="fa-IR"/>
          <w:color w:val="111111"/>
          <w:sz w:val="28"/>
          <w:szCs w:val="28"/>
          <w:rtl/>
        </w:rPr>
        <w:t xml:space="preserve">فإذا کان عیش الإنسان فی بطون الحیتان، فی أعماق المحیطات، ممکناً إلی یوم البعث، فکیف لا یعیش إنسان علی الیابسة، فی أجواء طبیعیة، تحت رعایة اللّه و عنایته، إلی ما شاء؟!</w:t>
      </w:r>
    </w:p>
    <w:p>
      <w:pPr>
        <w:pStyle w:val="BookText"/>
      </w:pPr>
      <w:r>
        <w:rPr>
          <w:rFonts w:ascii="IRNazanin" w:hAnsi="IRNazanin" w:eastAsia="IRNazanin" w:cs="IRNazanin"/>
          <w:lang w:bidi="fa-IR"/>
          <w:color w:val="111111"/>
          <w:sz w:val="28"/>
          <w:szCs w:val="28"/>
          <w:rtl/>
        </w:rPr>
        <w:t xml:space="preserve">د) ما هی علائم ظهور المهدی (عجّل اللّه تعالی فرجه الشریف)؟</w:t>
      </w:r>
    </w:p>
    <w:p>
      <w:pPr>
        <w:pStyle w:val="BookText"/>
      </w:pPr>
      <w:r>
        <w:rPr>
          <w:rFonts w:ascii="IRNazanin" w:hAnsi="IRNazanin" w:eastAsia="IRNazanin" w:cs="IRNazanin"/>
          <w:lang w:bidi="fa-IR"/>
          <w:color w:val="111111"/>
          <w:sz w:val="28"/>
          <w:szCs w:val="28"/>
          <w:rtl/>
        </w:rPr>
        <w:t xml:space="preserve">إذا کان للإمام الغائب، ظهور بعد غیبة طویلة، فلا بدّ من أن یکون لظهوره علائم و أشراط، تخبر عن ظهوره، فما هی هذه العلائم؟</w:t>
      </w:r>
    </w:p>
    <w:p>
      <w:pPr>
        <w:pStyle w:val="BookText"/>
      </w:pPr>
      <w:r>
        <w:rPr>
          <w:rFonts w:ascii="IRNazanin" w:hAnsi="IRNazanin" w:eastAsia="IRNazanin" w:cs="IRNazanin"/>
          <w:lang w:bidi="fa-IR"/>
          <w:color w:val="111111"/>
          <w:sz w:val="28"/>
          <w:szCs w:val="28"/>
          <w:rtl/>
        </w:rPr>
        <w:t xml:space="preserve">الجواب: إنّ ما جاء فی کتب الأحادیث من الحوادث الواقعة قبل ظهور المهدی المنتظر عبارة عن عدّة أمور، منها: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النداء فی السّماء، ینادی مناد من السّماء باسم المهدی فیسمع من بالمشرق و المغرب، و المنادی هو جبرائیل روح الأمین. </w:t>
      </w:r>
      <w:r>
        <w:rPr>
          <w:rStyle w:val="FootnoteReference"/>
        </w:rPr>
        <w:footnoteReference w:id="4743"/>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الخسوف و الکسوف فی غیر مواقعهما، الکسوف فی النصف من</w:t>
      </w:r>
    </w:p>
    <w:p>
      <w:pPr>
        <w:pStyle w:val="BookText"/>
      </w:pPr>
      <w:r>
        <w:rPr>
          <w:rFonts w:ascii="IRNazanin" w:hAnsi="IRNazanin" w:eastAsia="IRNazanin" w:cs="IRNazanin"/>
          <w:lang w:bidi="fa-IR"/>
          <w:color w:val="111111"/>
          <w:sz w:val="28"/>
          <w:szCs w:val="28"/>
          <w:rtl/>
        </w:rPr>
        <w:t xml:space="preserve">[شماره صفحه واقعی : 385]
</w:t>
      </w:r>
    </w:p>
    <w:p>
      <w:pPr>
        <w:sectPr>
          <w:footerReference w:type="default" r:id="rId1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شهر رمضان و الخسوف فی آخره و القاعدة العکس. </w:t>
      </w:r>
      <w:r>
        <w:rPr>
          <w:rStyle w:val="FootnoteReference"/>
        </w:rPr>
        <w:footnoteReference w:id="4744"/>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الشقاق و النفاق فی المجتمع.</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ذیوع الجور و الظلم و الهرج و المرج فی الأُمّة.</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ابتلاء الإنسان بالموت الأحمر و الأبیض، أمّا الموت الأحمر فالسیف، و أمّا الموت الأبیض فالطاعون. </w:t>
      </w:r>
      <w:r>
        <w:rPr>
          <w:rStyle w:val="FootnoteReference"/>
        </w:rPr>
        <w:footnoteReference w:id="4745"/>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قتل النفس الزکیة، من أولاد النبیّ الأکرم صلی الله علیه و آله .</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خروج الدجّال.</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خروج السّفیانی، و هو عثمان بن عنبسة من أولاد یزید بن معاویة.</w:t>
      </w:r>
    </w:p>
    <w:p>
      <w:pPr>
        <w:pStyle w:val="BookText"/>
      </w:pPr>
      <w:r>
        <w:rPr>
          <w:rFonts w:ascii="IRNazanin" w:hAnsi="IRNazanin" w:eastAsia="IRNazanin" w:cs="IRNazanin"/>
          <w:lang w:bidi="fa-IR"/>
          <w:color w:val="111111"/>
          <w:sz w:val="28"/>
          <w:szCs w:val="28"/>
          <w:rtl/>
        </w:rPr>
        <w:t xml:space="preserve">و غیر ذلک ممّا جاء فی الأحادیث الإسلامیة. </w:t>
      </w:r>
      <w:r>
        <w:rPr>
          <w:rStyle w:val="FootnoteReference"/>
        </w:rPr>
        <w:footnoteReference w:id="4746"/>
      </w:r>
    </w:p>
    <w:p>
      <w:pPr>
        <w:pStyle w:val="BookText"/>
      </w:pPr>
      <w:r>
        <w:rPr>
          <w:rFonts w:ascii="IRNazanin" w:hAnsi="IRNazanin" w:eastAsia="IRNazanin" w:cs="IRNazanin"/>
          <w:lang w:bidi="fa-IR"/>
          <w:color w:val="111111"/>
          <w:sz w:val="28"/>
          <w:szCs w:val="28"/>
          <w:rtl/>
        </w:rPr>
        <w:t xml:space="preserve">هذه هی علامات ظهوره، و لکن هناک أُموراً تمهّد لظهوره، و تسهّل تحقیق أهدافه نشیر إلی أبرزها: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الاستعداد العالمی: و المراد منه أن المجتمع الإنسانی -بسبب شیوع الفساد -یصل إلی حدّ، یقنط معه من تحقّق الإصلاح بید البشر، و عن طریق المنظّمات العالمیة الّتی تحمل عناوین مختلفة، و أنّ ضغط الظلم و الجور علی الإنسان یحمله علی أن یذعن و یقرَّ بأنّ الإصلاح لا یتحقّق إلّا</w:t>
      </w:r>
    </w:p>
    <w:p>
      <w:pPr>
        <w:pStyle w:val="BookText"/>
      </w:pPr>
      <w:r>
        <w:rPr>
          <w:rFonts w:ascii="IRNazanin" w:hAnsi="IRNazanin" w:eastAsia="IRNazanin" w:cs="IRNazanin"/>
          <w:lang w:bidi="fa-IR"/>
          <w:color w:val="111111"/>
          <w:sz w:val="28"/>
          <w:szCs w:val="28"/>
          <w:rtl/>
        </w:rPr>
        <w:t xml:space="preserve">[شماره صفحه واقعی : 386]
</w:t>
      </w:r>
    </w:p>
    <w:p>
      <w:pPr>
        <w:sectPr>
          <w:footerReference w:type="default" r:id="rId1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بظهور إعجاز إلهی و حضور قوَّة غیبیة، تدمِّر کلّ تلک التکتّلات البشریة الفاسدة، الّتی قیّدت بأسلاکها أعناق البشر.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تکامل الصناعات: إنّ الحکومة العالمیة الموحّدة لا تتحقّق إلّا بتکامل الصّناعات البشریة، بحیث یسمع العالم کلّه صوته و نداءه، و تعالیمه و قوانینه فی یوم واحد، و زمن واحد.</w:t>
      </w:r>
    </w:p>
    <w:p>
      <w:pPr>
        <w:pStyle w:val="BookText"/>
      </w:pPr>
      <w:r>
        <w:rPr>
          <w:rFonts w:ascii="IRNazanin" w:hAnsi="IRNazanin" w:eastAsia="IRNazanin" w:cs="IRNazanin"/>
          <w:lang w:bidi="fa-IR"/>
          <w:color w:val="111111"/>
          <w:sz w:val="28"/>
          <w:szCs w:val="28"/>
          <w:rtl/>
        </w:rPr>
        <w:t xml:space="preserve">قال الإمام الصادق علیه السلام : «إنّ المؤمن فی زمان القائم، و هو بالمشرق، یری أخاه الّذی فی المغرب، و کذا الّذی فی المغرب یری أخاه الّذی بالمشرق». </w:t>
      </w:r>
      <w:r>
        <w:rPr>
          <w:rStyle w:val="FootnoteReference"/>
        </w:rPr>
        <w:footnoteReference w:id="4747"/>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الجیش الثوری العالمی: إنّ حکومة الإمام المهدی علیه السلام و إن کانت قائمة علی تکامل العقول، و لکنّ الحکومة لا تستغنی عن جیش فدائی ثائر و فعّال، یمهّد الطریق للإمام علیه السلام ، و یواکبه بعد الظهور إلی تحقّق أهدافه و غایاته المتوخّاة.</w:t>
      </w:r>
    </w:p>
    <w:p>
      <w:pPr>
        <w:pStyle w:val="BookText"/>
      </w:pPr>
      <w:r>
        <w:rPr>
          <w:rFonts w:ascii="IRNazanin" w:hAnsi="IRNazanin" w:eastAsia="IRNazanin" w:cs="IRNazanin"/>
          <w:lang w:bidi="fa-IR"/>
          <w:color w:val="111111"/>
          <w:sz w:val="28"/>
          <w:szCs w:val="28"/>
          <w:rtl/>
        </w:rPr>
        <w:t xml:space="preserve">[شماره صفحه واقعی : 387]
</w:t>
      </w:r>
    </w:p>
    <w:p>
      <w:pPr>
        <w:sectPr>
          <w:footerReference w:type="default" r:id="rId1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388]
</w:t>
      </w:r>
    </w:p>
    <w:p>
      <w:pPr>
        <w:sectPr>
          <w:footerReference w:type="default" r:id="rId1535"/>
          <w:footnotePr>
            <w:numStart w:val="1"/>
            <w:numRestart w:val="eachPage"/>
          </w:footnotePr>
          <w:pgSz w:orient="portrait" w:w="11905.511811023622" w:h="16837.79527559055"/>
          <w:pgMar w:top="1440" w:right="1440" w:bottom="1440" w:left="1440" w:header="720" w:footer="720" w:gutter="0"/>
          <w:cols w:num="1" w:space="720"/>
        </w:sectPr>
      </w:pPr>
    </w:p>
    <w:bookmarkStart w:id="843" w:name="pg14411_143917"/>
    <w:bookmarkEnd w:id="843"/>
    <w:p>
      <w:pPr>
        <w:pStyle w:val="Heading5"/>
      </w:pPr>
      <w:bookmarkStart w:id="2646" w:name="_Toc1681"/>
      <w:r>
        <w:t>الفصل التاسع : الرجعة</w:t>
      </w:r>
      <w:bookmarkEnd w:id="2646"/>
    </w:p>
    <w:p>
      <w:pPr>
        <w:pStyle w:val="Heading6"/>
      </w:pPr>
      <w:bookmarkStart w:id="2647" w:name="_Toc1682"/>
      <w:r>
        <w:t>اشارة</w:t>
      </w:r>
      <w:bookmarkEnd w:id="2647"/>
    </w:p>
    <w:p>
      <w:pPr>
        <w:pStyle w:val="BookText"/>
      </w:pPr>
      <w:r>
        <w:rPr>
          <w:rFonts w:ascii="IRNazanin" w:hAnsi="IRNazanin" w:eastAsia="IRNazanin" w:cs="IRNazanin"/>
          <w:lang w:bidi="fa-IR"/>
          <w:color w:val="111111"/>
          <w:sz w:val="28"/>
          <w:szCs w:val="28"/>
          <w:rtl/>
        </w:rPr>
        <w:t xml:space="preserve">الرجعة فی اللّغة ترادف العودة، و تطلق اصطلاحاً علی عودة الحیاة إلی مجموعة من الأموات بعد النهضة العالمیة للإمام المهدی علیه السلام و هی ممّا تعتقد به الشیعة الإمامیة بمقتضی الأحادیث المتضافرة - بل المتواترة - المرویة عن أئمة أهل البیت علیهم السلام فی ذلک. و فی ذلک یقول الشیخ المفید:</w:t>
      </w:r>
    </w:p>
    <w:p>
      <w:pPr>
        <w:pStyle w:val="BookText"/>
      </w:pPr>
      <w:r>
        <w:rPr>
          <w:rFonts w:ascii="IRNazanin" w:hAnsi="IRNazanin" w:eastAsia="IRNazanin" w:cs="IRNazanin"/>
          <w:lang w:bidi="fa-IR"/>
          <w:color w:val="111111"/>
          <w:sz w:val="28"/>
          <w:szCs w:val="28"/>
          <w:rtl/>
        </w:rPr>
        <w:t xml:space="preserve">«إنّ اللّه تعالی یحیی قوماً من أمة محمد صلی الله علیه و آله بعد موتهم قبل یوم القیامة، و هذا مذهب تختص به آل محمد صلی الله علیه و آله ». </w:t>
      </w:r>
      <w:r>
        <w:rPr>
          <w:rStyle w:val="FootnoteReference"/>
        </w:rPr>
        <w:footnoteReference w:id="4748"/>
      </w:r>
    </w:p>
    <w:p>
      <w:pPr>
        <w:pStyle w:val="BookText"/>
      </w:pPr>
      <w:r>
        <w:rPr>
          <w:rFonts w:ascii="IRNazanin" w:hAnsi="IRNazanin" w:eastAsia="IRNazanin" w:cs="IRNazanin"/>
          <w:lang w:bidi="fa-IR"/>
          <w:color w:val="111111"/>
          <w:sz w:val="28"/>
          <w:szCs w:val="28"/>
          <w:rtl/>
        </w:rPr>
        <w:t xml:space="preserve">و قال السید المرتضیٰ:</w:t>
      </w:r>
    </w:p>
    <w:p>
      <w:pPr>
        <w:pStyle w:val="BookText"/>
      </w:pPr>
      <w:r>
        <w:rPr>
          <w:rFonts w:ascii="IRNazanin" w:hAnsi="IRNazanin" w:eastAsia="IRNazanin" w:cs="IRNazanin"/>
          <w:lang w:bidi="fa-IR"/>
          <w:color w:val="111111"/>
          <w:sz w:val="28"/>
          <w:szCs w:val="28"/>
          <w:rtl/>
        </w:rPr>
        <w:t xml:space="preserve">اعلم انّ الّذی یذهب الشیعة الإمامیة إلیه أنّ اللّه تعالی بعید عن ظهور إمام الزمان المهدی علیه السلام قوماً ممّن کان قد تقدّم موته من شیعته لیفوزوا بثواب نصرته و معونته و مشاهدة دولته، و یعید أیضاً قوماً من أعدائه لینتقم منهم، فیلتذّوا بما یشاهدون من ظهور الحقّ و علوّ کلمة أهله. </w:t>
      </w:r>
      <w:r>
        <w:rPr>
          <w:rStyle w:val="FootnoteReference"/>
        </w:rPr>
        <w:footnoteReference w:id="4749"/>
      </w:r>
    </w:p>
    <w:p>
      <w:pPr>
        <w:pStyle w:val="BookText"/>
      </w:pPr>
      <w:r>
        <w:rPr>
          <w:rFonts w:ascii="IRNazanin" w:hAnsi="IRNazanin" w:eastAsia="IRNazanin" w:cs="IRNazanin"/>
          <w:lang w:bidi="fa-IR"/>
          <w:color w:val="111111"/>
          <w:sz w:val="28"/>
          <w:szCs w:val="28"/>
          <w:rtl/>
        </w:rPr>
        <w:t xml:space="preserve">[شماره صفحه واقعی : 389]
</w:t>
      </w:r>
    </w:p>
    <w:p>
      <w:pPr>
        <w:sectPr>
          <w:footerReference w:type="default" r:id="rId1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الرجعة تختصّ بمن محض الإیمان و محض الکفر و النفاق من أهل الملّة، دون من سلف من الأمم الخالیة و دون ما سوی الفریقین من ملّة الإسلام. </w:t>
      </w:r>
      <w:r>
        <w:rPr>
          <w:rStyle w:val="FootnoteReference"/>
        </w:rPr>
        <w:footnoteReference w:id="4750"/>
      </w:r>
    </w:p>
    <w:p>
      <w:pPr>
        <w:pStyle w:val="BookText"/>
      </w:pPr>
      <w:r>
        <w:rPr>
          <w:rFonts w:ascii="IRNazanin" w:hAnsi="IRNazanin" w:eastAsia="IRNazanin" w:cs="IRNazanin"/>
          <w:lang w:bidi="fa-IR"/>
          <w:color w:val="111111"/>
          <w:sz w:val="28"/>
          <w:szCs w:val="28"/>
          <w:rtl/>
        </w:rPr>
        <w:t xml:space="preserve">و یقع الکلام فی الرجعة فی مقامین: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إمکانها.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الدلیل علی وقوعها.</w:t>
      </w:r>
    </w:p>
    <w:p>
      <w:pPr>
        <w:pStyle w:val="BookText"/>
      </w:pPr>
      <w:r>
        <w:rPr>
          <w:rFonts w:ascii="IRNazanin" w:hAnsi="IRNazanin" w:eastAsia="IRNazanin" w:cs="IRNazanin"/>
          <w:lang w:bidi="fa-IR"/>
          <w:color w:val="111111"/>
          <w:sz w:val="28"/>
          <w:szCs w:val="28"/>
          <w:rtl/>
        </w:rPr>
        <w:t xml:space="preserve">و یکفی فی إمکانها، إمکان بعث الحیاة من جدید یوم القیامة، مضافاً إلی وقوع نظیرها فی الأُمم السالفة، کإحیاء جماعة من بنی إسرائیل (البقرة، 55 -65) و إحیاء قتیل منهم (البقرة، 72 -73) و بعث عُزَیر بعد مائة عام من موته (البقرة، 259) و إحیاء الموتی علی ید عیسی علیه السلام (آل عمران، 49).</w:t>
      </w:r>
    </w:p>
    <w:p>
      <w:pPr>
        <w:pStyle w:val="BookText"/>
      </w:pPr>
      <w:r>
        <w:rPr>
          <w:rFonts w:ascii="IRNazanin" w:hAnsi="IRNazanin" w:eastAsia="IRNazanin" w:cs="IRNazanin"/>
          <w:lang w:bidi="fa-IR"/>
          <w:color w:val="111111"/>
          <w:sz w:val="28"/>
          <w:szCs w:val="28"/>
          <w:rtl/>
        </w:rPr>
        <w:t xml:space="preserve">و سیأتی </w:t>
      </w:r>
      <w:r>
        <w:rPr>
          <w:rStyle w:val="FootnoteReference"/>
        </w:rPr>
        <w:footnoteReference w:id="4751"/>
      </w:r>
      <w:r>
        <w:rPr>
          <w:rFonts w:ascii="IRNazanin" w:hAnsi="IRNazanin" w:eastAsia="IRNazanin" w:cs="IRNazanin"/>
          <w:lang w:bidi="fa-IR"/>
          <w:color w:val="111111"/>
          <w:sz w:val="28"/>
          <w:szCs w:val="28"/>
          <w:rtl/>
        </w:rPr>
        <w:t xml:space="preserve">أنّ تصوّر الرجعة من قبیل التناسخ المحال عقلاً، تصور باطل.</w:t>
      </w:r>
    </w:p>
    <w:p>
      <w:pPr>
        <w:pStyle w:val="BookText"/>
      </w:pPr>
      <w:r>
        <w:rPr>
          <w:rFonts w:ascii="IRNazanin" w:hAnsi="IRNazanin" w:eastAsia="IRNazanin" w:cs="IRNazanin"/>
          <w:lang w:bidi="fa-IR"/>
          <w:color w:val="111111"/>
          <w:sz w:val="28"/>
          <w:szCs w:val="28"/>
          <w:rtl/>
        </w:rPr>
        <w:t xml:space="preserve">و من الآیات الدالّة علی وقوع الرجعة قوله تعالی:</w:t>
      </w:r>
    </w:p>
    <w:p>
      <w:pPr>
        <w:pStyle w:val="BookText"/>
      </w:pPr>
      <w:r>
        <w:rPr>
          <w:rFonts w:ascii="Amiri" w:hAnsi="Amiri" w:eastAsia="Amiri" w:cs="Amiri"/>
          <w:lang w:bidi="ar-SA"/>
          <w:color w:val="111111"/>
          <w:sz w:val="28"/>
          <w:szCs w:val="28"/>
          <w:rtl/>
        </w:rPr>
        <w:t xml:space="preserve">«وَ یَوْمَ نَحْشُرُ مِنْ کُلِّ أُمَّةٍ فَوْجاً مِمَّنْ یُکَذِّبُ بِآیٰاتِنٰا فَهُمْ یُوزَعُونَ» </w:t>
      </w:r>
      <w:r>
        <w:rPr>
          <w:rStyle w:val="FootnoteReference"/>
        </w:rPr>
        <w:footnoteReference w:id="47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الآیة ترکّز علی حشر فوج من کلّ جماعة لا حشر جمیعهم، و من</w:t>
      </w:r>
    </w:p>
    <w:p>
      <w:pPr>
        <w:pStyle w:val="BookText"/>
      </w:pPr>
      <w:r>
        <w:rPr>
          <w:rFonts w:ascii="IRNazanin" w:hAnsi="IRNazanin" w:eastAsia="IRNazanin" w:cs="IRNazanin"/>
          <w:lang w:bidi="fa-IR"/>
          <w:color w:val="111111"/>
          <w:sz w:val="28"/>
          <w:szCs w:val="28"/>
          <w:rtl/>
        </w:rPr>
        <w:t xml:space="preserve">[شماره صفحه واقعی : 390]
</w:t>
      </w:r>
    </w:p>
    <w:p>
      <w:pPr>
        <w:sectPr>
          <w:footerReference w:type="default" r:id="rId1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المعلوم أنّ الحشر لیوم القیامة یتعلّق بالجمیع لا بالبعض، یقول سبحانه: «وَ یَوْمَ نُسَیِّرُ الْجِبٰالَ وَ تَرَی الْأَرْضَ بٰارِزَةً وَ حَشَرْنٰاهُمْ فَلَمْ نُغٰادِرْ مِنْهُمْ أَحَداً» </w:t>
      </w:r>
      <w:r>
        <w:rPr>
          <w:rStyle w:val="FootnoteReference"/>
        </w:rPr>
        <w:footnoteReference w:id="4753"/>
      </w:r>
      <w:r>
        <w:rPr>
          <w:rFonts w:ascii="IRNazanin" w:hAnsi="IRNazanin" w:eastAsia="IRNazanin" w:cs="IRNazanin"/>
          <w:lang w:bidi="fa-IR"/>
          <w:color w:val="111111"/>
          <w:sz w:val="28"/>
          <w:szCs w:val="28"/>
          <w:rtl/>
        </w:rPr>
        <w:t xml:space="preserve">فأخبر سبحانه أنّ الحشر حشران: عامّ و خاصّ.</w:t>
      </w:r>
    </w:p>
    <w:p>
      <w:pPr>
        <w:pStyle w:val="BookText"/>
      </w:pPr>
      <w:r>
        <w:rPr>
          <w:rFonts w:ascii="IRNazanin" w:hAnsi="IRNazanin" w:eastAsia="IRNazanin" w:cs="IRNazanin"/>
          <w:lang w:bidi="fa-IR"/>
          <w:color w:val="111111"/>
          <w:sz w:val="28"/>
          <w:szCs w:val="28"/>
          <w:rtl/>
        </w:rPr>
        <w:t xml:space="preserve">و أمّا کیفیّة وقوع الرجعة و خصوصیاتها فلم یتحدّث عنها القرآن، کما هو الحال فی تحدّثه عن البرزخ و الحیاة البرزخیة.</w:t>
      </w:r>
    </w:p>
    <w:p>
      <w:pPr>
        <w:pStyle w:val="BookText"/>
      </w:pPr>
      <w:r>
        <w:rPr>
          <w:rFonts w:ascii="IRNazanin" w:hAnsi="IRNazanin" w:eastAsia="IRNazanin" w:cs="IRNazanin"/>
          <w:lang w:bidi="fa-IR"/>
          <w:color w:val="111111"/>
          <w:sz w:val="28"/>
          <w:szCs w:val="28"/>
          <w:rtl/>
        </w:rPr>
        <w:t xml:space="preserve">و یؤیّد وقوع الرجعة فی هذه الأُمّة وقوعها فی الأُمم السابقة کما عرفت، و قد روی الفریقان أنّ رسول اللّه صلی الله علیه و آله قال: «تقع فی هذه الأُمّة السنن الواقعة فی الأُمم السابقة». </w:t>
      </w:r>
      <w:r>
        <w:rPr>
          <w:rStyle w:val="FootnoteReference"/>
        </w:rPr>
        <w:footnoteReference w:id="4754"/>
      </w:r>
    </w:p>
    <w:p>
      <w:pPr>
        <w:pStyle w:val="BookText"/>
      </w:pPr>
      <w:r>
        <w:rPr>
          <w:rFonts w:ascii="IRNazanin" w:hAnsi="IRNazanin" w:eastAsia="IRNazanin" w:cs="IRNazanin"/>
          <w:lang w:bidi="fa-IR"/>
          <w:color w:val="111111"/>
          <w:sz w:val="28"/>
          <w:szCs w:val="28"/>
          <w:rtl/>
        </w:rPr>
        <w:t xml:space="preserve">و بما أنّ الرجعة من الحوادث المهمّة فی الأُمم السابقة، فیجب أن یقع نظیرها فی هذه الأُمّة. و قد سأل المأمون العباسی الإمام الرضا علیه السلام عن الرجعة فأجابه بقوله:</w:t>
      </w:r>
    </w:p>
    <w:p>
      <w:pPr>
        <w:pStyle w:val="BookText"/>
      </w:pPr>
      <w:r>
        <w:rPr>
          <w:rFonts w:ascii="IRNazanin" w:hAnsi="IRNazanin" w:eastAsia="IRNazanin" w:cs="IRNazanin"/>
          <w:lang w:bidi="fa-IR"/>
          <w:color w:val="111111"/>
          <w:sz w:val="28"/>
          <w:szCs w:val="28"/>
          <w:rtl/>
        </w:rPr>
        <w:t xml:space="preserve">«إنّها حقّ، قد کانت فی الأُمم السابقة، و نطق بها القرآن و قال رسول اللّه صلی الله علیه و آله : یکون فی هذه الأُمّة کلّ ما کان فی الأُمم السالفة حذو النعل بالنعل و القذة بالقذة». </w:t>
      </w:r>
      <w:r>
        <w:rPr>
          <w:rStyle w:val="FootnoteReference"/>
        </w:rPr>
        <w:footnoteReference w:id="4755"/>
      </w:r>
    </w:p>
    <w:p>
      <w:pPr>
        <w:pStyle w:val="BookText"/>
      </w:pPr>
      <w:r>
        <w:rPr>
          <w:rFonts w:ascii="IRNazanin" w:hAnsi="IRNazanin" w:eastAsia="IRNazanin" w:cs="IRNazanin"/>
          <w:lang w:bidi="fa-IR"/>
          <w:color w:val="111111"/>
          <w:sz w:val="28"/>
          <w:szCs w:val="28"/>
          <w:rtl/>
        </w:rPr>
        <w:t xml:space="preserve">هذا محصّل الکلام فی حقیقة الرجعة و دلائلها، و لا یدّعی المعتقدون بها أنّ الاعتقاد بها فی مرتبة الاعتقاد باللّه و توحیده، و النبوّة و المعاد، بل أنّها</w:t>
      </w:r>
    </w:p>
    <w:p>
      <w:pPr>
        <w:pStyle w:val="BookText"/>
      </w:pPr>
      <w:r>
        <w:rPr>
          <w:rFonts w:ascii="IRNazanin" w:hAnsi="IRNazanin" w:eastAsia="IRNazanin" w:cs="IRNazanin"/>
          <w:lang w:bidi="fa-IR"/>
          <w:color w:val="111111"/>
          <w:sz w:val="28"/>
          <w:szCs w:val="28"/>
          <w:rtl/>
        </w:rPr>
        <w:t xml:space="preserve">[شماره صفحه واقعی : 391]
</w:t>
      </w:r>
    </w:p>
    <w:p>
      <w:pPr>
        <w:sectPr>
          <w:footerReference w:type="default" r:id="rId1538"/>
          <w:footnotePr>
            <w:numStart w:val="1"/>
            <w:numRestart w:val="eachPage"/>
          </w:footnotePr>
          <w:pgSz w:orient="portrait" w:w="11905.511811023622" w:h="16837.79527559055"/>
          <w:pgMar w:top="1440" w:right="1440" w:bottom="1440" w:left="1440" w:header="720" w:footer="720" w:gutter="0"/>
          <w:cols w:num="1" w:space="720"/>
        </w:sectPr>
      </w:pPr>
    </w:p>
    <w:bookmarkStart w:id="844" w:name="pg14411_143920"/>
    <w:bookmarkEnd w:id="844"/>
    <w:p>
      <w:pPr>
        <w:pStyle w:val="BookText"/>
      </w:pPr>
      <w:r>
        <w:rPr>
          <w:rFonts w:ascii="IRNazanin" w:hAnsi="IRNazanin" w:eastAsia="IRNazanin" w:cs="IRNazanin"/>
          <w:lang w:bidi="fa-IR"/>
          <w:color w:val="111111"/>
          <w:sz w:val="28"/>
          <w:szCs w:val="28"/>
          <w:rtl/>
        </w:rPr>
        <w:t xml:space="preserve">تعدّ من المسلّمات القطعیة، و لا ینکرها إلّا من لم یمعن النظر فی أدلّتها.</w:t>
      </w:r>
    </w:p>
    <w:p>
      <w:pPr>
        <w:pStyle w:val="Heading6"/>
      </w:pPr>
      <w:bookmarkStart w:id="2648" w:name="_Toc1683"/>
      <w:r>
        <w:t>أسئلة و أجوبتها</w:t>
      </w:r>
      <w:bookmarkEnd w:id="264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إنّ الاعتقاد بالرجعة یعارض قوله تعالی: «وَ حَرٰامٌ عَلیٰ قَرْیَةٍ أَهْلَکْنٰاهٰا أَنَّهُمْ لاٰ یَرْجِعُونَ»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فإنّ الآیة تنفی رجوعهم بتاتاً.</w:t>
      </w:r>
    </w:p>
    <w:p>
      <w:pPr>
        <w:pStyle w:val="BookText"/>
      </w:pPr>
      <w:r>
        <w:rPr>
          <w:rFonts w:ascii="IRNazanin" w:hAnsi="IRNazanin" w:eastAsia="IRNazanin" w:cs="IRNazanin"/>
          <w:lang w:bidi="fa-IR"/>
          <w:color w:val="111111"/>
          <w:sz w:val="28"/>
          <w:szCs w:val="28"/>
          <w:rtl/>
        </w:rPr>
        <w:t xml:space="preserve">و الجواب: أنّ الآیة مختصة بالظالمین من الأُمم السّابقة الّذین أهلکوا بعذابات إلهیّة و لا تنافی الرجعة لطائفة من الأمّة الإسلامیة.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إنّ القول بالرجعة ینافی ظاهر قوله تعالی:</w:t>
      </w:r>
    </w:p>
    <w:p>
      <w:pPr>
        <w:pStyle w:val="BookText"/>
      </w:pPr>
      <w:r>
        <w:rPr>
          <w:rFonts w:ascii="Amiri" w:hAnsi="Amiri" w:eastAsia="Amiri" w:cs="Amiri"/>
          <w:lang w:bidi="ar-SA"/>
          <w:color w:val="111111"/>
          <w:sz w:val="28"/>
          <w:szCs w:val="28"/>
          <w:rtl/>
        </w:rPr>
        <w:t xml:space="preserve">«حَتّٰی إِذٰا جٰاءَ أَحَدَهُمُ الْمَوْتُ قٰالَ رَبِّ ارْجِعُونِ * لَعَلِّی أَعْمَلُ صٰالِحاً فِیمٰا تَرَکْتُ کَلاّٰ إِنَّهٰا کَلِمَةٌ هُوَ قٰائِلُهٰا وَ مِنْ وَرٰائِهِمْ بَرْزَخٌ إِلیٰ یَوْمِ یُبْعَثُونَ» </w:t>
      </w:r>
      <w:r>
        <w:rPr>
          <w:rStyle w:val="FootnoteReference"/>
        </w:rPr>
        <w:footnoteReference w:id="47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الجواب: أنّ الآیة تحکی عن قانون کلّی قابل للتخصیص بدلیل منفصل، و الدلیل علی ذلک ما عرفت من إحیاء الموتی فی الأُمم السّالفة، و مفاد الآیة أنّ الموت بطبعه لیس بعده رجوع، و هذا لا ینافی الرجوع فی مورد أو موارد لمصالح عُلیا.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لم لا یجوز أن یکون قوله تعالی: «وَ یَوْمَ نَحْشُرُ مِنْ کُلِّ أُمَّةٍ فَوْجاً» الآیة.</w:t>
      </w:r>
    </w:p>
    <w:p>
      <w:pPr>
        <w:pStyle w:val="BookText"/>
      </w:pPr>
      <w:r>
        <w:rPr>
          <w:rFonts w:ascii="IRNazanin" w:hAnsi="IRNazanin" w:eastAsia="IRNazanin" w:cs="IRNazanin"/>
          <w:lang w:bidi="fa-IR"/>
          <w:color w:val="111111"/>
          <w:sz w:val="28"/>
          <w:szCs w:val="28"/>
          <w:rtl/>
        </w:rPr>
        <w:t xml:space="preserve">[شماره صفحه واقعی : 392]
</w:t>
      </w:r>
    </w:p>
    <w:p>
      <w:pPr>
        <w:sectPr>
          <w:footerReference w:type="default" r:id="rId1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ناظراً إلی یوم القیامة، و المراد من الفوج من کلّ أمّة هو الملأ الظالمین و رؤسائهم؟</w:t>
      </w:r>
    </w:p>
    <w:p>
      <w:pPr>
        <w:pStyle w:val="BookText"/>
      </w:pPr>
      <w:r>
        <w:rPr>
          <w:rFonts w:ascii="IRNazanin" w:hAnsi="IRNazanin" w:eastAsia="IRNazanin" w:cs="IRNazanin"/>
          <w:lang w:bidi="fa-IR"/>
          <w:color w:val="111111"/>
          <w:sz w:val="28"/>
          <w:szCs w:val="28"/>
          <w:rtl/>
        </w:rPr>
        <w:t xml:space="preserve">و الجواب: أنّ ظاهر الآیات أنّ هناک یومین: یوم حشر فوج من کلّ أمّة، و یوم ینفخ فی الصور، و جعل الأوّل من متمّمات القیامة، یستلزم وحدة الیومین و هو علی خلاف الظاهر.</w:t>
      </w:r>
    </w:p>
    <w:p>
      <w:pPr>
        <w:pStyle w:val="BookText"/>
      </w:pPr>
      <w:r>
        <w:rPr>
          <w:rFonts w:ascii="IRNazanin" w:hAnsi="IRNazanin" w:eastAsia="IRNazanin" w:cs="IRNazanin"/>
          <w:lang w:bidi="fa-IR"/>
          <w:color w:val="111111"/>
          <w:sz w:val="28"/>
          <w:szCs w:val="28"/>
          <w:rtl/>
        </w:rPr>
        <w:t xml:space="preserve">و بما ذکرناه یظهر سقوط کثیر ممّا ذکره الآلوسی فی تفسیره عند البحث عن الآیة. </w:t>
      </w:r>
      <w:r>
        <w:rPr>
          <w:rStyle w:val="FootnoteReference"/>
        </w:rPr>
        <w:footnoteReference w:id="4757"/>
      </w:r>
    </w:p>
    <w:p>
      <w:pPr>
        <w:pStyle w:val="BookText"/>
      </w:pPr>
      <w:r>
        <w:rPr>
          <w:rFonts w:ascii="IRNazanin" w:hAnsi="IRNazanin" w:eastAsia="IRNazanin" w:cs="IRNazanin"/>
          <w:lang w:bidi="fa-IR"/>
          <w:color w:val="111111"/>
          <w:sz w:val="28"/>
          <w:szCs w:val="28"/>
          <w:rtl/>
        </w:rPr>
        <w:t xml:space="preserve">[شماره صفحه واقعی : 393]
</w:t>
      </w:r>
    </w:p>
    <w:p>
      <w:pPr>
        <w:sectPr>
          <w:footerReference w:type="default" r:id="rId1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394]
</w:t>
      </w:r>
    </w:p>
    <w:p>
      <w:pPr>
        <w:sectPr>
          <w:footerReference w:type="default" r:id="rId1541"/>
          <w:footnotePr>
            <w:numStart w:val="1"/>
            <w:numRestart w:val="eachPage"/>
          </w:footnotePr>
          <w:pgSz w:orient="portrait" w:w="11905.511811023622" w:h="16837.79527559055"/>
          <w:pgMar w:top="1440" w:right="1440" w:bottom="1440" w:left="1440" w:header="720" w:footer="720" w:gutter="0"/>
          <w:cols w:num="1" w:space="720"/>
        </w:sectPr>
      </w:pPr>
    </w:p>
    <w:bookmarkStart w:id="845" w:name="pg14411_143923"/>
    <w:bookmarkEnd w:id="845"/>
    <w:p>
      <w:pPr>
        <w:pStyle w:val="Heading4"/>
      </w:pPr>
      <w:bookmarkStart w:id="2649" w:name="_Toc1684"/>
      <w:r>
        <w:t>الباب الثامن : فی المعاد و فیه عشرة فصول</w:t>
      </w:r>
      <w:bookmarkEnd w:id="2649"/>
    </w:p>
    <w:p>
      <w:pPr>
        <w:pStyle w:val="Heading5"/>
      </w:pPr>
      <w:bookmarkStart w:id="2650" w:name="_Toc1685"/>
      <w:r>
        <w:t>اشارة</w:t>
      </w:r>
      <w:bookmarkEnd w:id="265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براهین إثبات المعاد؛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براهین تجرد النفس الناطقة؛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المعاد الجسمانی و الروحانی؛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براهین بطلان التناسخ؛</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القبر و البرزخ؛</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الحساب و الشهود؛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المیزان و الصراط؛</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الشفاعة فی القیامة؛</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الإحباط و التکفیر؛</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الإجابة عن أسئلة حول المعاد؛</w:t>
      </w:r>
    </w:p>
    <w:p>
      <w:pPr>
        <w:pStyle w:val="BookText"/>
      </w:pPr>
      <w:r>
        <w:rPr>
          <w:rFonts w:ascii="IRNazanin" w:hAnsi="IRNazanin" w:eastAsia="IRNazanin" w:cs="IRNazanin"/>
          <w:lang w:bidi="fa-IR"/>
          <w:color w:val="111111"/>
          <w:sz w:val="28"/>
          <w:szCs w:val="28"/>
          <w:rtl/>
        </w:rPr>
        <w:t xml:space="preserve">[شماره صفحه واقعی : 395]
</w:t>
      </w:r>
    </w:p>
    <w:p>
      <w:pPr>
        <w:sectPr>
          <w:footerReference w:type="default" r:id="rId1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396]
</w:t>
      </w:r>
    </w:p>
    <w:p>
      <w:pPr>
        <w:sectPr>
          <w:footerReference w:type="default" r:id="rId1543"/>
          <w:footnotePr>
            <w:numStart w:val="1"/>
            <w:numRestart w:val="eachPage"/>
          </w:footnotePr>
          <w:pgSz w:orient="portrait" w:w="11905.511811023622" w:h="16837.79527559055"/>
          <w:pgMar w:top="1440" w:right="1440" w:bottom="1440" w:left="1440" w:header="720" w:footer="720" w:gutter="0"/>
          <w:cols w:num="1" w:space="720"/>
        </w:sectPr>
      </w:pPr>
    </w:p>
    <w:bookmarkStart w:id="846" w:name="pg14411_143925"/>
    <w:bookmarkEnd w:id="846"/>
    <w:p>
      <w:pPr>
        <w:pStyle w:val="Heading5"/>
      </w:pPr>
      <w:bookmarkStart w:id="2651" w:name="_Toc1686"/>
      <w:r>
        <w:t>الفصل الأوّل : براهین إثبات المعاد</w:t>
      </w:r>
      <w:bookmarkEnd w:id="2651"/>
    </w:p>
    <w:p>
      <w:pPr>
        <w:pStyle w:val="Heading6"/>
      </w:pPr>
      <w:bookmarkStart w:id="2652" w:name="_Toc1687"/>
      <w:r>
        <w:t>اشارة</w:t>
      </w:r>
      <w:bookmarkEnd w:id="2652"/>
    </w:p>
    <w:p>
      <w:pPr>
        <w:pStyle w:val="BookText"/>
      </w:pPr>
      <w:r>
        <w:rPr>
          <w:rFonts w:ascii="IRNazanin" w:hAnsi="IRNazanin" w:eastAsia="IRNazanin" w:cs="IRNazanin"/>
          <w:lang w:bidi="fa-IR"/>
          <w:color w:val="111111"/>
          <w:sz w:val="28"/>
          <w:szCs w:val="28"/>
          <w:rtl/>
        </w:rPr>
        <w:t xml:space="preserve">الاعتقاد بالمعاد عنصر أساسیّ فی کلّ شریعة لها صلة بالسّماء بحیث تصبح الشرائع بدونه مسالک بشریة مادّیة لا تمتُّ إلی اللّه بصلة، و قد بیَّن الذکر الحکیم وجود تلک العقیدة فی الشرائع السّماویة من لدن آدم إلی المسیح. </w:t>
      </w:r>
      <w:r>
        <w:rPr>
          <w:rStyle w:val="FootnoteReference"/>
        </w:rPr>
        <w:footnoteReference w:id="4758"/>
      </w:r>
      <w:r>
        <w:rPr>
          <w:rFonts w:ascii="IRNazanin" w:hAnsi="IRNazanin" w:eastAsia="IRNazanin" w:cs="IRNazanin"/>
          <w:lang w:bidi="fa-IR"/>
          <w:color w:val="111111"/>
          <w:sz w:val="28"/>
          <w:szCs w:val="28"/>
          <w:rtl/>
        </w:rPr>
        <w:t xml:space="preserve">و قد اهتمّ به القرآن الکریم اهتماماً بالغاً یکشف عنه کثرة الآیات الواردة فی مجال المعاد، و قد قام بعضهم بإحصاء ما یرجع إلیه فی القرآن فبلغ زهاء ألف و أربعمائة آیة، و کان السیّد العلاّمة الطباطبائی قدس سره یقول بأنّه ورد البحث عن المعاد فی القرآن فی آیات تربو علی الألفین، و لعلّه ضمّ الإشارة إلیه إلی التصریح به، و علی کلّ تقدیر فهذه الآیات الهائلة تعرب عن شدّة اهتمام القرآن به.</w:t>
      </w:r>
    </w:p>
    <w:p>
      <w:pPr>
        <w:pStyle w:val="BookText"/>
      </w:pPr>
      <w:r>
        <w:rPr>
          <w:rFonts w:ascii="IRNazanin" w:hAnsi="IRNazanin" w:eastAsia="IRNazanin" w:cs="IRNazanin"/>
          <w:lang w:bidi="fa-IR"/>
          <w:color w:val="111111"/>
          <w:sz w:val="28"/>
          <w:szCs w:val="28"/>
          <w:rtl/>
        </w:rPr>
        <w:t xml:space="preserve">لا شکّ أنّ المعاد أمر ممکن فی ذاته و إنّما الکلام فی وجوب وقوعه، و هناک وجوه عقلیة تدلّ علی ضرورة وجود نشأة الآخرة هدانا إلیها القرآن الکریم.</w:t>
      </w:r>
    </w:p>
    <w:p>
      <w:pPr>
        <w:pStyle w:val="BookText"/>
      </w:pPr>
      <w:r>
        <w:rPr>
          <w:rFonts w:ascii="IRNazanin" w:hAnsi="IRNazanin" w:eastAsia="IRNazanin" w:cs="IRNazanin"/>
          <w:lang w:bidi="fa-IR"/>
          <w:color w:val="111111"/>
          <w:sz w:val="28"/>
          <w:szCs w:val="28"/>
          <w:rtl/>
        </w:rPr>
        <w:t xml:space="preserve">[شماره صفحه واقعی : 397]
</w:t>
      </w:r>
    </w:p>
    <w:p>
      <w:pPr>
        <w:sectPr>
          <w:footerReference w:type="default" r:id="rId1544"/>
          <w:footnotePr>
            <w:numStart w:val="1"/>
            <w:numRestart w:val="eachPage"/>
          </w:footnotePr>
          <w:pgSz w:orient="portrait" w:w="11905.511811023622" w:h="16837.79527559055"/>
          <w:pgMar w:top="1440" w:right="1440" w:bottom="1440" w:left="1440" w:header="720" w:footer="720" w:gutter="0"/>
          <w:cols w:num="1" w:space="720"/>
        </w:sectPr>
      </w:pPr>
    </w:p>
    <w:bookmarkStart w:id="847" w:name="pg14411_143926"/>
    <w:bookmarkEnd w:id="847"/>
    <w:p>
      <w:pPr>
        <w:pStyle w:val="Heading6"/>
      </w:pPr>
      <w:bookmarkStart w:id="2653" w:name="_Toc1688"/>
      <w:r>
        <w:t>الأوّل: صیانة الخلقة عن العبث</w:t>
      </w:r>
      <w:bookmarkEnd w:id="2653"/>
    </w:p>
    <w:p>
      <w:pPr>
        <w:pStyle w:val="BookText"/>
      </w:pPr>
      <w:r>
        <w:rPr>
          <w:rFonts w:ascii="IRNazanin" w:hAnsi="IRNazanin" w:eastAsia="IRNazanin" w:cs="IRNazanin"/>
          <w:lang w:bidi="fa-IR"/>
          <w:color w:val="111111"/>
          <w:sz w:val="28"/>
          <w:szCs w:val="28"/>
          <w:rtl/>
        </w:rPr>
        <w:t xml:space="preserve">یستدلّ الذکر الحکیم علی لزوم المعاد بأنّ الحیاة الأُخرویة هی الغایة من خلق الإنسان و أنّه لولاها لصارت حیاته منحصرة فی إطار الدنیا، و لأصبح إیجاده و خلقه عبثاً و باطلاً، و اللّه سبحانه منزَّه عن فعل العبث، یقول سبحانه:</w:t>
      </w:r>
    </w:p>
    <w:p>
      <w:pPr>
        <w:pStyle w:val="BookText"/>
      </w:pPr>
      <w:r>
        <w:rPr>
          <w:rFonts w:ascii="Amiri" w:hAnsi="Amiri" w:eastAsia="Amiri" w:cs="Amiri"/>
          <w:lang w:bidi="ar-SA"/>
          <w:color w:val="111111"/>
          <w:sz w:val="28"/>
          <w:szCs w:val="28"/>
          <w:rtl/>
        </w:rPr>
        <w:t xml:space="preserve">«أَ فَحَسِبْتُمْ أَنَّمٰا خَلَقْنٰاکُمْ عَبَثاً وَ أَنَّکُمْ إِلَیْنٰا لاٰ تُرْجَعُونَ» </w:t>
      </w:r>
      <w:r>
        <w:rPr>
          <w:rStyle w:val="FootnoteReference"/>
        </w:rPr>
        <w:footnoteReference w:id="47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لطیف البیان فی هذا المجال قوله سبحانه:</w:t>
      </w:r>
    </w:p>
    <w:p>
      <w:pPr>
        <w:pStyle w:val="BookText"/>
      </w:pPr>
      <w:r>
        <w:rPr>
          <w:rFonts w:ascii="Amiri" w:hAnsi="Amiri" w:eastAsia="Amiri" w:cs="Amiri"/>
          <w:lang w:bidi="ar-SA"/>
          <w:color w:val="111111"/>
          <w:sz w:val="28"/>
          <w:szCs w:val="28"/>
          <w:rtl/>
        </w:rPr>
        <w:t xml:space="preserve">«وَ مٰا خَلَقْنَا السَّمٰاوٰاتِ وَ الْأَرْضَ وَ مٰا بَیْنَهُمٰا لاٰعِبِینَ * مٰا خَلَقْنٰاهُمٰا إِلاّٰ بِالْحَقِّ وَ لٰکِنَّ أَکْثَرَهُمْ لاٰ یَعْلَمُونَ * إِنَّ یَوْمَ الْفَصْلِ مِیقٰاتُهُمْ أَجْمَعِینَ » </w:t>
      </w:r>
      <w:r>
        <w:rPr>
          <w:rStyle w:val="FootnoteReference"/>
        </w:rPr>
        <w:footnoteReference w:id="4760"/>
      </w:r>
      <w:r>
        <w:rPr>
          <w:rFonts w:ascii="IRNazanin" w:hAnsi="IRNazanin" w:eastAsia="IRNazanin" w:cs="IRNazanin"/>
          <w:lang w:bidi="fa-IR"/>
          <w:color w:val="111111"/>
          <w:sz w:val="28"/>
          <w:szCs w:val="28"/>
          <w:rtl/>
        </w:rPr>
        <w:t xml:space="preserve">تری أنّه یذکر یوم الفصل بعد نفی کون الخلقة لعباً، و ذلک یعرب عن أنّ النشأة الأُخرویة تصون الخلقة عن اللّغو و اللّعب.</w:t>
      </w:r>
    </w:p>
    <w:p>
      <w:pPr>
        <w:pStyle w:val="BookText"/>
      </w:pPr>
      <w:r>
        <w:rPr>
          <w:rFonts w:ascii="Amiri" w:hAnsi="Amiri" w:eastAsia="Amiri" w:cs="Amiri"/>
          <w:lang w:bidi="ar-SA"/>
          <w:color w:val="111111"/>
          <w:sz w:val="28"/>
          <w:szCs w:val="28"/>
          <w:rtl/>
        </w:rPr>
        <w:t xml:space="preserve">و یقرب من ذلک الآیات الّتی تصفه تعالی بأنّه الحقّ، ثمّ یرتّب علیه إحیاء الموتی و النشأة الآخرة، یقول سبحانه: «ذٰلِکَ بِأَنَّ اللّٰهَ هُوَ الْحَقُّ وَ أَنَّهُ یُحْیِ الْمَوْتیٰ» </w:t>
      </w:r>
      <w:r>
        <w:rPr>
          <w:rStyle w:val="FootnoteReference"/>
        </w:rPr>
        <w:footnoteReference w:id="4761"/>
      </w:r>
      <w:r>
        <w:rPr>
          <w:rFonts w:ascii="IRNazanin" w:hAnsi="IRNazanin" w:eastAsia="IRNazanin" w:cs="IRNazanin"/>
          <w:lang w:bidi="fa-IR"/>
          <w:color w:val="111111"/>
          <w:sz w:val="28"/>
          <w:szCs w:val="28"/>
          <w:rtl/>
        </w:rPr>
        <w:t xml:space="preserve">إلی غیر ذلک من الآیات. </w:t>
      </w:r>
      <w:r>
        <w:rPr>
          <w:rStyle w:val="FootnoteReference"/>
        </w:rPr>
        <w:footnoteReference w:id="4762"/>
      </w:r>
    </w:p>
    <w:p>
      <w:pPr>
        <w:pStyle w:val="BookText"/>
      </w:pPr>
      <w:r>
        <w:rPr>
          <w:rFonts w:ascii="IRNazanin" w:hAnsi="IRNazanin" w:eastAsia="IRNazanin" w:cs="IRNazanin"/>
          <w:lang w:bidi="fa-IR"/>
          <w:color w:val="111111"/>
          <w:sz w:val="28"/>
          <w:szCs w:val="28"/>
          <w:rtl/>
        </w:rPr>
        <w:t xml:space="preserve">[شماره صفحه واقعی : 398]
</w:t>
      </w:r>
    </w:p>
    <w:p>
      <w:pPr>
        <w:sectPr>
          <w:footerReference w:type="default" r:id="rId1545"/>
          <w:footnotePr>
            <w:numStart w:val="1"/>
            <w:numRestart w:val="eachPage"/>
          </w:footnotePr>
          <w:pgSz w:orient="portrait" w:w="11905.511811023622" w:h="16837.79527559055"/>
          <w:pgMar w:top="1440" w:right="1440" w:bottom="1440" w:left="1440" w:header="720" w:footer="720" w:gutter="0"/>
          <w:cols w:num="1" w:space="720"/>
        </w:sectPr>
      </w:pPr>
    </w:p>
    <w:bookmarkStart w:id="848" w:name="pg14411_143927"/>
    <w:bookmarkEnd w:id="848"/>
    <w:p>
      <w:pPr>
        <w:pStyle w:val="Heading6"/>
      </w:pPr>
      <w:bookmarkStart w:id="2654" w:name="_Toc1689"/>
      <w:r>
        <w:t>الثانی: المعاد مقتضی العدل الإلهی</w:t>
      </w:r>
      <w:bookmarkEnd w:id="2654"/>
    </w:p>
    <w:p>
      <w:pPr>
        <w:pStyle w:val="BookText"/>
      </w:pPr>
      <w:r>
        <w:rPr>
          <w:rFonts w:ascii="IRNazanin" w:hAnsi="IRNazanin" w:eastAsia="IRNazanin" w:cs="IRNazanin"/>
          <w:lang w:bidi="fa-IR"/>
          <w:color w:val="111111"/>
          <w:sz w:val="28"/>
          <w:szCs w:val="28"/>
          <w:rtl/>
        </w:rPr>
        <w:t xml:space="preserve">إنّ العباد فریقان: مطیع و عاص، و التسویة بینهما بصورها </w:t>
      </w:r>
      <w:r>
        <w:rPr>
          <w:rStyle w:val="FootnoteReference"/>
        </w:rPr>
        <w:footnoteReference w:id="4763"/>
      </w:r>
      <w:r>
        <w:rPr>
          <w:rFonts w:ascii="IRNazanin" w:hAnsi="IRNazanin" w:eastAsia="IRNazanin" w:cs="IRNazanin"/>
          <w:lang w:bidi="fa-IR"/>
          <w:color w:val="111111"/>
          <w:sz w:val="28"/>
          <w:szCs w:val="28"/>
          <w:rtl/>
        </w:rPr>
        <w:t xml:space="preserve">المختلفة خلاف العدل، فهنا یستقلّ العقل بأنّه یجب التفریق بینهما من حیث الثواب و العقاب، و بما أنّ هذا غیر متحقّق فی النشأة الدنیویة، فیجب أن یکون هناک نشأة أخری یتحقّق فیها ذلک التفریق، و إلی هذا البیان یشیر المحقّق البحرانی بقوله:</w:t>
      </w:r>
    </w:p>
    <w:p>
      <w:pPr>
        <w:pStyle w:val="BookText"/>
      </w:pPr>
      <w:r>
        <w:rPr>
          <w:rFonts w:ascii="IRNazanin" w:hAnsi="IRNazanin" w:eastAsia="IRNazanin" w:cs="IRNazanin"/>
          <w:lang w:bidi="fa-IR"/>
          <w:color w:val="111111"/>
          <w:sz w:val="28"/>
          <w:szCs w:val="28"/>
          <w:rtl/>
        </w:rPr>
        <w:t xml:space="preserve">إنّا نری المطیع و العاصی یدرکهما الموت من غیر أن یصل إلی أحد منهما ما یستحقّه من ثواب أو عقاب، فإن لم یحشروا لیوصل إلیهما ذلک المستحق لزم بطلانه أصلاً. </w:t>
      </w:r>
      <w:r>
        <w:rPr>
          <w:rStyle w:val="FootnoteReference"/>
        </w:rPr>
        <w:footnoteReference w:id="4764"/>
      </w:r>
    </w:p>
    <w:p>
      <w:pPr>
        <w:pStyle w:val="BookText"/>
      </w:pPr>
      <w:r>
        <w:rPr>
          <w:rFonts w:ascii="Amiri" w:hAnsi="Amiri" w:eastAsia="Amiri" w:cs="Amiri"/>
          <w:lang w:bidi="ar-SA"/>
          <w:color w:val="111111"/>
          <w:sz w:val="28"/>
          <w:szCs w:val="28"/>
          <w:rtl/>
        </w:rPr>
        <w:t xml:space="preserve">و إلی هذا الدلیل العقلی یشیر قوله تعالی: «أَمْ نَجْعَلُ الَّذِینَ آمَنُوا وَ عَمِلُوا الصّٰالِحٰاتِ کَالْمُفْسِدِینَ فِی الْأَرْضِ *أَمْ نَجْعَلُ الْمُتَّقِینَ کَالْفُجّٰارِ» </w:t>
      </w:r>
      <w:r>
        <w:rPr>
          <w:rStyle w:val="FootnoteReference"/>
        </w:rPr>
        <w:footnoteReference w:id="47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تعالی: «أَ فَنَجْعَلُ الْمُسْلِمِینَ کَالْمُجْرِمِینَ * مٰا لَکُمْ کَیْفَ تَحْکُمُونَ » </w:t>
      </w:r>
      <w:r>
        <w:rPr>
          <w:rStyle w:val="FootnoteReference"/>
        </w:rPr>
        <w:footnoteReference w:id="47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قوله سبحانه:</w:t>
      </w:r>
    </w:p>
    <w:p>
      <w:pPr>
        <w:pStyle w:val="BookText"/>
      </w:pPr>
      <w:r>
        <w:rPr>
          <w:rFonts w:ascii="IRNazanin" w:hAnsi="IRNazanin" w:eastAsia="IRNazanin" w:cs="IRNazanin"/>
          <w:lang w:bidi="fa-IR"/>
          <w:color w:val="111111"/>
          <w:sz w:val="28"/>
          <w:szCs w:val="28"/>
          <w:rtl/>
        </w:rPr>
        <w:t xml:space="preserve">[شماره صفحه واقعی : 399]
</w:t>
      </w:r>
    </w:p>
    <w:p>
      <w:pPr>
        <w:sectPr>
          <w:footerReference w:type="default" r:id="rId1546"/>
          <w:footnotePr>
            <w:numStart w:val="1"/>
            <w:numRestart w:val="eachPage"/>
          </w:footnotePr>
          <w:pgSz w:orient="portrait" w:w="11905.511811023622" w:h="16837.79527559055"/>
          <w:pgMar w:top="1440" w:right="1440" w:bottom="1440" w:left="1440" w:header="720" w:footer="720" w:gutter="0"/>
          <w:cols w:num="1" w:space="720"/>
        </w:sectPr>
      </w:pPr>
    </w:p>
    <w:bookmarkStart w:id="849" w:name="pg14411_143928"/>
    <w:bookmarkEnd w:id="849"/>
    <w:p>
      <w:pPr>
        <w:pStyle w:val="BookText"/>
      </w:pPr>
      <w:r>
        <w:rPr>
          <w:rFonts w:ascii="Amiri" w:hAnsi="Amiri" w:eastAsia="Amiri" w:cs="Amiri"/>
          <w:lang w:bidi="ar-SA"/>
          <w:color w:val="111111"/>
          <w:sz w:val="28"/>
          <w:szCs w:val="28"/>
          <w:rtl/>
        </w:rPr>
        <w:t xml:space="preserve">«إِنَّ السّٰاعَةَ آتِیَةٌ أَکٰادُ أُخْفِیهٰا لِتُجْزیٰ کُلُّ نَفْسٍ بِمٰا تَسْعیٰ» </w:t>
      </w:r>
      <w:r>
        <w:rPr>
          <w:rStyle w:val="FootnoteReference"/>
        </w:rPr>
        <w:footnoteReference w:id="4767"/>
      </w:r>
    </w:p>
    <w:p>
      <w:pPr>
        <w:pStyle w:val="BookText"/>
      </w:pPr>
      <w:r>
        <w:rPr>
          <w:rFonts w:ascii="IRNazanin" w:hAnsi="IRNazanin" w:eastAsia="IRNazanin" w:cs="IRNazanin"/>
          <w:lang w:bidi="fa-IR"/>
          <w:color w:val="111111"/>
          <w:sz w:val="28"/>
          <w:szCs w:val="28"/>
          <w:rtl/>
        </w:rPr>
        <w:t xml:space="preserve">فقوله: «لِتُجْزیٰ» إشارة إلی أنّ قیام القیامة تحقیق لمسألة الثّواب و العقاب اللّذین هما مقتضی العدل الإلهی.</w:t>
      </w:r>
    </w:p>
    <w:p>
      <w:pPr>
        <w:pStyle w:val="Heading6"/>
      </w:pPr>
      <w:bookmarkStart w:id="2655" w:name="_Toc1690"/>
      <w:r>
        <w:t>الثالث: المعاد مجلی لتحقّق مواعیده تعالی</w:t>
      </w:r>
      <w:bookmarkEnd w:id="2655"/>
    </w:p>
    <w:p>
      <w:pPr>
        <w:pStyle w:val="BookText"/>
      </w:pPr>
      <w:r>
        <w:rPr>
          <w:rFonts w:ascii="IRNazanin" w:hAnsi="IRNazanin" w:eastAsia="IRNazanin" w:cs="IRNazanin"/>
          <w:lang w:bidi="fa-IR"/>
          <w:color w:val="111111"/>
          <w:sz w:val="28"/>
          <w:szCs w:val="28"/>
          <w:rtl/>
        </w:rPr>
        <w:t xml:space="preserve">أنّه سبحانه قد وعد المطیعین بالثواب فی آیات متضافرة، و لا شکّ أنّ إنجاز الوعد حسن و التخلّف عنه قبیح، فالوفاء بالوعد یقتضی وقوع المعاد، قال المحقّق الطوسی: «و وجوب إیفاء الوعد و الحکمة یقتضی وجوب البعث». </w:t>
      </w:r>
      <w:r>
        <w:rPr>
          <w:rStyle w:val="FootnoteReference"/>
        </w:rPr>
        <w:footnoteReference w:id="4768"/>
      </w:r>
    </w:p>
    <w:p>
      <w:pPr>
        <w:pStyle w:val="BookText"/>
      </w:pPr>
      <w:r>
        <w:rPr>
          <w:rFonts w:ascii="IRNazanin" w:hAnsi="IRNazanin" w:eastAsia="IRNazanin" w:cs="IRNazanin"/>
          <w:lang w:bidi="fa-IR"/>
          <w:color w:val="111111"/>
          <w:sz w:val="28"/>
          <w:szCs w:val="28"/>
          <w:rtl/>
        </w:rPr>
        <w:t xml:space="preserve">و إلی هذا البرهان یشیر قوله سبحانه:</w:t>
      </w:r>
    </w:p>
    <w:p>
      <w:pPr>
        <w:pStyle w:val="BookText"/>
      </w:pPr>
      <w:r>
        <w:rPr>
          <w:rFonts w:ascii="Amiri" w:hAnsi="Amiri" w:eastAsia="Amiri" w:cs="Amiri"/>
          <w:lang w:bidi="ar-SA"/>
          <w:color w:val="111111"/>
          <w:sz w:val="28"/>
          <w:szCs w:val="28"/>
          <w:rtl/>
        </w:rPr>
        <w:t xml:space="preserve">«رَبَّنٰا إِنَّکَ جٰامِعُ النّٰاسِ لِیَوْمٍ لاٰ رَیْبَ فِیهِ إِنَّ اللّٰهَ لاٰ یُخْلِفُ الْمِیعٰادَ» </w:t>
      </w:r>
      <w:r>
        <w:rPr>
          <w:rStyle w:val="FootnoteReference"/>
        </w:rPr>
        <w:footnoteReference w:id="47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تنبیه</w:t>
      </w:r>
    </w:p>
    <w:p>
      <w:pPr>
        <w:pStyle w:val="BookText"/>
      </w:pPr>
      <w:r>
        <w:rPr>
          <w:rFonts w:ascii="IRNazanin" w:hAnsi="IRNazanin" w:eastAsia="IRNazanin" w:cs="IRNazanin"/>
          <w:lang w:bidi="fa-IR"/>
          <w:color w:val="111111"/>
          <w:sz w:val="28"/>
          <w:szCs w:val="28"/>
          <w:rtl/>
        </w:rPr>
        <w:t xml:space="preserve">إنّ القرآن الکریم أکَّد بوجه بلیغ علی قدرة الخالق و علمه فیما أجاب عن شبهات المخالفین، و الوجه فی ذلک واضح، لأنّ جلّ شبهاتهم ناشئة عن الغفلة أو الجهل بالقدرة المطلقة و العلم الوسیع للّه تعالی، فإنّ إحیاء</w:t>
      </w:r>
    </w:p>
    <w:p>
      <w:pPr>
        <w:pStyle w:val="BookText"/>
      </w:pPr>
      <w:r>
        <w:rPr>
          <w:rFonts w:ascii="IRNazanin" w:hAnsi="IRNazanin" w:eastAsia="IRNazanin" w:cs="IRNazanin"/>
          <w:lang w:bidi="fa-IR"/>
          <w:color w:val="111111"/>
          <w:sz w:val="28"/>
          <w:szCs w:val="28"/>
          <w:rtl/>
        </w:rPr>
        <w:t xml:space="preserve">[شماره صفحه واقعی : 400]
</w:t>
      </w:r>
    </w:p>
    <w:p>
      <w:pPr>
        <w:sectPr>
          <w:footerReference w:type="default" r:id="rId1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الموتی لیس من المحالات الذاتیة و إنّما ینکر من ینکر أو یستبعده لجهله بقدرة اللّه المطلقة و علمه الشامل و إلیک فیما یلی نماذج من الآیات فی هذا المجال:</w:t>
      </w:r>
    </w:p>
    <w:p>
      <w:pPr>
        <w:pStyle w:val="BookText"/>
      </w:pPr>
      <w:r>
        <w:rPr>
          <w:rFonts w:ascii="Amiri" w:hAnsi="Amiri" w:eastAsia="Amiri" w:cs="Amiri"/>
          <w:lang w:bidi="ar-SA"/>
          <w:color w:val="111111"/>
          <w:sz w:val="28"/>
          <w:szCs w:val="28"/>
          <w:rtl/>
        </w:rPr>
        <w:t xml:space="preserve">«وَ هُوَ الَّذِی یَبْدَؤُا الْخَلْقَ ثُمَّ یُعِیدُهُ وَ هُوَ أَهْوَنُ عَلَیْهِ» </w:t>
      </w:r>
      <w:r>
        <w:rPr>
          <w:rStyle w:val="FootnoteReference"/>
        </w:rPr>
        <w:footnoteReference w:id="47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ضَرَبَ لَنٰا مَثَلاً وَ نَسِیَ خَلْقَهُ قٰالَ مَنْ یُحْیِ الْعِظٰامَ وَ هِیَ رَمِیمٌ * قُلْ یُحْیِیهَا الَّذِی أَنْشَأَهٰا أَوَّلَ مَرَّةٍ وَ هُوَ بِکُلِّ خَلْقٍ عَلِیمٌ» </w:t>
      </w:r>
      <w:r>
        <w:rPr>
          <w:rStyle w:val="FootnoteReference"/>
        </w:rPr>
        <w:footnoteReference w:id="47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الَّذِینَ کَفَرُوا لاٰ تَأْتِینَا السّٰاعَةُ قُلْ بَلیٰ وَ رَبِّی لَتَأْتِیَنَّکُمْ عٰالِمِ الْغَیْبِ لاٰ یَعْزُبُ عَنْهُ مِثْقٰالُ ذَرَّةٍ فِی السَّمٰاوٰاتِ وَ لاٰ فِی الْأَرْضِ وَ لاٰ أَصْغَرُ مِنْ ذٰلِکَ وَ لاٰ أَکْبَرُ إِلاّٰ فِی کِتٰابٍ مُبِینٍ » </w:t>
      </w:r>
      <w:r>
        <w:rPr>
          <w:rStyle w:val="FootnoteReference"/>
        </w:rPr>
        <w:footnoteReference w:id="47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«ذٰلِکَ بِأَنَّ اللّٰهَ هُوَ الْحَقُّ وَ أَنَّهُ یُحْیِ الْمَوْتیٰ وَ أَنَّهُ عَلیٰ کُلِّ شَیْءٍ قَدِیرٌ » </w:t>
      </w:r>
      <w:r>
        <w:rPr>
          <w:rStyle w:val="FootnoteReference"/>
        </w:rPr>
        <w:footnoteReference w:id="47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 إِذٰا مِتْنٰا وَ کُنّٰا تُرٰاباً ذٰلِکَ رَجْعٌ بَعِیدٌ * قَدْ عَلِمْنٰا مٰا تَنْقُصُ الْأَرْضُ مِنْهُمْ وَ عِنْدَنٰا کِتٰابٌ حَفِیظٌ»</w:t>
      </w:r>
    </w:p>
    <w:p>
      <w:pPr>
        <w:pStyle w:val="BookText"/>
      </w:pPr>
      <w:r>
        <w:rPr>
          <w:rStyle w:val="FootnoteReference"/>
        </w:rPr>
        <w:footnoteReference w:id="4774"/>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[شماره صفحه واقعی : 401]
</w:t>
      </w:r>
    </w:p>
    <w:p>
      <w:pPr>
        <w:sectPr>
          <w:footerReference w:type="default" r:id="rId1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402]
</w:t>
      </w:r>
    </w:p>
    <w:p>
      <w:pPr>
        <w:sectPr>
          <w:footerReference w:type="default" r:id="rId1549"/>
          <w:footnotePr>
            <w:numStart w:val="1"/>
            <w:numRestart w:val="eachPage"/>
          </w:footnotePr>
          <w:pgSz w:orient="portrait" w:w="11905.511811023622" w:h="16837.79527559055"/>
          <w:pgMar w:top="1440" w:right="1440" w:bottom="1440" w:left="1440" w:header="720" w:footer="720" w:gutter="0"/>
          <w:cols w:num="1" w:space="720"/>
        </w:sectPr>
      </w:pPr>
    </w:p>
    <w:bookmarkStart w:id="850" w:name="pg14411_143931"/>
    <w:bookmarkEnd w:id="850"/>
    <w:p>
      <w:pPr>
        <w:pStyle w:val="Heading5"/>
      </w:pPr>
      <w:bookmarkStart w:id="2656" w:name="_Toc1691"/>
      <w:r>
        <w:t>الفصل الثانی : بقاء النفس الإنسانیة بعد الموت</w:t>
      </w:r>
      <w:bookmarkEnd w:id="2656"/>
    </w:p>
    <w:p>
      <w:pPr>
        <w:pStyle w:val="Heading6"/>
      </w:pPr>
      <w:bookmarkStart w:id="2657" w:name="_Toc1692"/>
      <w:r>
        <w:t>اشارة</w:t>
      </w:r>
      <w:bookmarkEnd w:id="2657"/>
    </w:p>
    <w:p>
      <w:pPr>
        <w:pStyle w:val="BookText"/>
      </w:pPr>
      <w:r>
        <w:rPr>
          <w:rFonts w:ascii="IRNazanin" w:hAnsi="IRNazanin" w:eastAsia="IRNazanin" w:cs="IRNazanin"/>
          <w:lang w:bidi="fa-IR"/>
          <w:color w:val="111111"/>
          <w:sz w:val="28"/>
          <w:szCs w:val="28"/>
          <w:rtl/>
        </w:rPr>
        <w:t xml:space="preserve">إنّ بعض شبهات منکری المعاد ناشٍ عن توهّم أنّ الإنسان لیس إلّا مجموعة خلایا و عروق و أعصاب و عظام و جلود تعمل بانتظام، فإذا مات الإنسان صار تراباً و لا یبقی من شخصیته شیء ، فکیف یمکن أن یکون الإنسان المُعاد هو نفس الإنسان فی الدنیا؟ و علیه فلا یتحقّق المقصود من المَعاد و هو تحقیق العدل الإلهی بإثابة المطیع و عقوبة العاصی، و لعلّه إلی هذه الشبهة یشیر قولهم:</w:t>
      </w:r>
    </w:p>
    <w:p>
      <w:pPr>
        <w:pStyle w:val="BookText"/>
      </w:pPr>
      <w:r>
        <w:rPr>
          <w:rFonts w:ascii="Amiri" w:hAnsi="Amiri" w:eastAsia="Amiri" w:cs="Amiri"/>
          <w:lang w:bidi="ar-SA"/>
          <w:color w:val="111111"/>
          <w:sz w:val="28"/>
          <w:szCs w:val="28"/>
          <w:rtl/>
        </w:rPr>
        <w:t xml:space="preserve">«أَ إِذٰا ضَلَلْنٰا فِی الْأَرْضِ أَ إِنّٰا لَفِی خَلْقٍ جَدِیدٍ» </w:t>
      </w:r>
      <w:r>
        <w:rPr>
          <w:rStyle w:val="FootnoteReference"/>
        </w:rPr>
        <w:footnoteReference w:id="47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أجاب سبحانه عنها بقوله: «قُلْ یَتَوَفّٰاکُمْ مَلَکُ الْمَوْتِ الَّذِی وُکِّلَ بِکُمْ ثُمَّ إِلیٰ رَبِّکُمْ تُرْجَعُونَ» </w:t>
      </w:r>
      <w:r>
        <w:rPr>
          <w:rStyle w:val="FootnoteReference"/>
        </w:rPr>
        <w:footnoteReference w:id="4776"/>
      </w:r>
      <w:r>
        <w:rPr>
          <w:rFonts w:ascii="IRNazanin" w:hAnsi="IRNazanin" w:eastAsia="IRNazanin" w:cs="IRNazanin"/>
          <w:lang w:bidi="fa-IR"/>
          <w:color w:val="111111"/>
          <w:sz w:val="28"/>
          <w:szCs w:val="28"/>
          <w:rtl/>
        </w:rPr>
        <w:t xml:space="preserve">یعنی أن شخصیتکم الحقیقیة لا تضلّ أبداً فی الأرض، فإنّها محفوظة لا تتغیّر و لا تضلّ، و تلک الشخصیة هی ملاک وحدة الإنسان المحشور فی الآخرة و الإنسان الدنیوی، فالآیة تعرب عن</w:t>
      </w:r>
    </w:p>
    <w:p>
      <w:pPr>
        <w:pStyle w:val="BookText"/>
      </w:pPr>
      <w:r>
        <w:rPr>
          <w:rFonts w:ascii="IRNazanin" w:hAnsi="IRNazanin" w:eastAsia="IRNazanin" w:cs="IRNazanin"/>
          <w:lang w:bidi="fa-IR"/>
          <w:color w:val="111111"/>
          <w:sz w:val="28"/>
          <w:szCs w:val="28"/>
          <w:rtl/>
        </w:rPr>
        <w:t xml:space="preserve">[شماره صفحه واقعی : 403]
</w:t>
      </w:r>
    </w:p>
    <w:p>
      <w:pPr>
        <w:sectPr>
          <w:footerReference w:type="default" r:id="rId1550"/>
          <w:footnotePr>
            <w:numStart w:val="1"/>
            <w:numRestart w:val="eachPage"/>
          </w:footnotePr>
          <w:pgSz w:orient="portrait" w:w="11905.511811023622" w:h="16837.79527559055"/>
          <w:pgMar w:top="1440" w:right="1440" w:bottom="1440" w:left="1440" w:header="720" w:footer="720" w:gutter="0"/>
          <w:cols w:num="1" w:space="720"/>
        </w:sectPr>
      </w:pPr>
    </w:p>
    <w:bookmarkStart w:id="851" w:name="pg14411_143932"/>
    <w:bookmarkEnd w:id="851"/>
    <w:p>
      <w:pPr>
        <w:pStyle w:val="BookText"/>
      </w:pPr>
      <w:r>
        <w:rPr>
          <w:rFonts w:ascii="IRNazanin" w:hAnsi="IRNazanin" w:eastAsia="IRNazanin" w:cs="IRNazanin"/>
          <w:lang w:bidi="fa-IR"/>
          <w:color w:val="111111"/>
          <w:sz w:val="28"/>
          <w:szCs w:val="28"/>
          <w:rtl/>
        </w:rPr>
        <w:t xml:space="preserve">بقاء الروح بعد الموت و هذا الجواب هو الأساس لدفع أکثر الشبهات حول المعاد الجسمانی.</w:t>
      </w:r>
    </w:p>
    <w:p>
      <w:pPr>
        <w:pStyle w:val="BookText"/>
      </w:pPr>
      <w:r>
        <w:rPr>
          <w:rFonts w:ascii="IRNazanin" w:hAnsi="IRNazanin" w:eastAsia="IRNazanin" w:cs="IRNazanin"/>
          <w:lang w:bidi="fa-IR"/>
          <w:color w:val="111111"/>
          <w:sz w:val="28"/>
          <w:szCs w:val="28"/>
          <w:rtl/>
        </w:rPr>
        <w:t xml:space="preserve">لقد شغل أمر تجرّد الروح و بقائه بال المفکّرین، و استدلّوا علیه بوجوه عقلیة، کما اهتمّ القرآن الکریم ببیانه فی لفیف من آیاته، و فیما یلی نسلک فی البحث عن تجرّد الروح هذین الطریقین؛ العقلی و النقلی:</w:t>
      </w:r>
    </w:p>
    <w:p>
      <w:pPr>
        <w:pStyle w:val="Heading6"/>
      </w:pPr>
      <w:bookmarkStart w:id="2658" w:name="_Toc1693"/>
      <w:r>
        <w:t>أ) البراهین العقلیة</w:t>
      </w:r>
      <w:bookmarkEnd w:id="2658"/>
    </w:p>
    <w:p>
      <w:pPr>
        <w:pStyle w:val="BookText"/>
      </w:pPr>
      <w:r>
        <w:rPr>
          <w:rFonts w:ascii="IRNazanin" w:hAnsi="IRNazanin" w:eastAsia="IRNazanin" w:cs="IRNazanin"/>
          <w:lang w:bidi="fa-IR"/>
          <w:color w:val="111111"/>
          <w:sz w:val="28"/>
          <w:szCs w:val="28"/>
          <w:rtl/>
        </w:rPr>
        <w:t xml:space="preserve">إنّ البحث العقلی فی تجرّد الروح مترامی الأطراف، مختلف البراهین، نکتفی من ذلک ببیان برهانین، و من أراد التبسّط فلیرجع إلی الکتب المعدّة لذلک. </w:t>
      </w:r>
      <w:r>
        <w:rPr>
          <w:rStyle w:val="FootnoteReference"/>
        </w:rPr>
        <w:footnoteReference w:id="4777"/>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ثبات الشخصیة الإنسانیة فی دوامة التغیّرات الجسدیّة</w:t>
      </w:r>
    </w:p>
    <w:p>
      <w:pPr>
        <w:pStyle w:val="BookText"/>
      </w:pPr>
      <w:r>
        <w:rPr>
          <w:rFonts w:ascii="IRNazanin" w:hAnsi="IRNazanin" w:eastAsia="IRNazanin" w:cs="IRNazanin"/>
          <w:lang w:bidi="fa-IR"/>
          <w:color w:val="111111"/>
          <w:sz w:val="28"/>
          <w:szCs w:val="28"/>
          <w:rtl/>
        </w:rPr>
        <w:t xml:space="preserve">لقد أثبت العلم أنّ التغیّر و التحوّل من الآثار اللازمة للموجودات المادیّة، فلا تنفک الخلایا الّتی یتکوّن منها الجسم البشری عن التغیّر و التبدّل، و قد حسب العلماء معدّل هذا التجدّد فظهر لهم أنّه یحدث بصورة شاملة فی البدن مرَّة کلّ عشر سنین، هذا.</w:t>
      </w:r>
    </w:p>
    <w:p>
      <w:pPr>
        <w:pStyle w:val="BookText"/>
      </w:pPr>
      <w:r>
        <w:rPr>
          <w:rFonts w:ascii="IRNazanin" w:hAnsi="IRNazanin" w:eastAsia="IRNazanin" w:cs="IRNazanin"/>
          <w:lang w:bidi="fa-IR"/>
          <w:color w:val="111111"/>
          <w:sz w:val="28"/>
          <w:szCs w:val="28"/>
          <w:rtl/>
        </w:rPr>
        <w:t xml:space="preserve">و لکن کلّ واحد منّا یحسّ بأنّ نفسه باقیة ثابتة فی دوامة تلک التغیّرات الجسمیّة، و یجد أنّ هناک شیئاً یسند إلیه جمیع حالاته من الطفولیة</w:t>
      </w:r>
    </w:p>
    <w:p>
      <w:pPr>
        <w:pStyle w:val="BookText"/>
      </w:pPr>
      <w:r>
        <w:rPr>
          <w:rFonts w:ascii="IRNazanin" w:hAnsi="IRNazanin" w:eastAsia="IRNazanin" w:cs="IRNazanin"/>
          <w:lang w:bidi="fa-IR"/>
          <w:color w:val="111111"/>
          <w:sz w:val="28"/>
          <w:szCs w:val="28"/>
          <w:rtl/>
        </w:rPr>
        <w:t xml:space="preserve">[شماره صفحه واقعی : 404]
</w:t>
      </w:r>
    </w:p>
    <w:p>
      <w:pPr>
        <w:sectPr>
          <w:footerReference w:type="default" r:id="rId1551"/>
          <w:footnotePr>
            <w:numStart w:val="1"/>
            <w:numRestart w:val="eachPage"/>
          </w:footnotePr>
          <w:pgSz w:orient="portrait" w:w="11905.511811023622" w:h="16837.79527559055"/>
          <w:pgMar w:top="1440" w:right="1440" w:bottom="1440" w:left="1440" w:header="720" w:footer="720" w:gutter="0"/>
          <w:cols w:num="1" w:space="720"/>
        </w:sectPr>
      </w:pPr>
    </w:p>
    <w:bookmarkStart w:id="852" w:name="pg14411_143933"/>
    <w:bookmarkEnd w:id="852"/>
    <w:p>
      <w:pPr>
        <w:pStyle w:val="BookText"/>
      </w:pPr>
      <w:r>
        <w:rPr>
          <w:rFonts w:ascii="IRNazanin" w:hAnsi="IRNazanin" w:eastAsia="IRNazanin" w:cs="IRNazanin"/>
          <w:lang w:bidi="fa-IR"/>
          <w:color w:val="111111"/>
          <w:sz w:val="28"/>
          <w:szCs w:val="28"/>
          <w:rtl/>
        </w:rPr>
        <w:t xml:space="preserve">و الصباوة و الشّباب، و الکهولة، فهناک وراء بدن الإنسان و تحوّلاته البدنیّة حقیقة باقیة ثابتة رغم تغیّر الأحوال و تصرّم الأزمنة.</w:t>
      </w:r>
    </w:p>
    <w:p>
      <w:pPr>
        <w:pStyle w:val="BookText"/>
      </w:pPr>
      <w:r>
        <w:rPr>
          <w:rFonts w:ascii="IRNazanin" w:hAnsi="IRNazanin" w:eastAsia="IRNazanin" w:cs="IRNazanin"/>
          <w:lang w:bidi="fa-IR"/>
          <w:color w:val="111111"/>
          <w:sz w:val="28"/>
          <w:szCs w:val="28"/>
          <w:rtl/>
        </w:rPr>
        <w:t xml:space="preserve">فلو کانت تلک الحقیقة الّتی یحمل علیها تلک الصفات أمراً مادّیّاً مشمولاً لسنّة التغیّر و التحوّل لم یصحّ حمل تلک الصفات علی شیء واحد حتّی یقول: أنا الّذی کتبت هذا الخط یوم کنت صبیّاً أو شابّا، و أنا الّذی فعلت کذا و کذا فی تلک الحالة و ذلک الوقت.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عدم الانقسام آیة التجرّد</w:t>
      </w:r>
    </w:p>
    <w:p>
      <w:pPr>
        <w:pStyle w:val="BookText"/>
      </w:pPr>
      <w:r>
        <w:rPr>
          <w:rFonts w:ascii="IRNazanin" w:hAnsi="IRNazanin" w:eastAsia="IRNazanin" w:cs="IRNazanin"/>
          <w:lang w:bidi="fa-IR"/>
          <w:color w:val="111111"/>
          <w:sz w:val="28"/>
          <w:szCs w:val="28"/>
          <w:rtl/>
        </w:rPr>
        <w:t xml:space="preserve">الانقسام و التجزّؤ من لوازم المادّة، و لکن کلّ واحد منّا إذا رجع إلی ما یشاهده فی صمیم ذاته، و یعبّر عنه ب«أنا» وجده معنی بسیطاً غیر قابل للانقسام و التجزّی، فارتفاع أحکام المادّة، دلیل علی أنّه لیس بمادّی.</w:t>
      </w:r>
    </w:p>
    <w:p>
      <w:pPr>
        <w:pStyle w:val="BookText"/>
      </w:pPr>
      <w:r>
        <w:rPr>
          <w:rFonts w:ascii="IRNazanin" w:hAnsi="IRNazanin" w:eastAsia="IRNazanin" w:cs="IRNazanin"/>
          <w:lang w:bidi="fa-IR"/>
          <w:color w:val="111111"/>
          <w:sz w:val="28"/>
          <w:szCs w:val="28"/>
          <w:rtl/>
        </w:rPr>
        <w:t xml:space="preserve">إنّ عدم الانقسام لا یختصّ بالنفس بل هو سائد علی الصفات النفسانیة من الحبّ و البغض و الإرادة و الکراهة و الإذعان و نحو ذلک، اعطف نظرک إلی حبّک لولدک و بغضک لعدوّک فهل تجد فیهما ترکّباً، و هل ینقسمان إلی أجزاء؟ کلّا، و لا.</w:t>
      </w:r>
    </w:p>
    <w:p>
      <w:pPr>
        <w:pStyle w:val="BookText"/>
      </w:pPr>
      <w:r>
        <w:rPr>
          <w:rFonts w:ascii="IRNazanin" w:hAnsi="IRNazanin" w:eastAsia="IRNazanin" w:cs="IRNazanin"/>
          <w:lang w:bidi="fa-IR"/>
          <w:color w:val="111111"/>
          <w:sz w:val="28"/>
          <w:szCs w:val="28"/>
          <w:rtl/>
        </w:rPr>
        <w:t xml:space="preserve">فظهر أنّ الروح و آثارها، و النفس و النفسانیات کلّها موجودات واقعیة خارجة عن إطار المادة.</w:t>
      </w:r>
    </w:p>
    <w:p>
      <w:pPr>
        <w:pStyle w:val="Heading6"/>
      </w:pPr>
      <w:bookmarkStart w:id="2659" w:name="_Toc1694"/>
      <w:r>
        <w:t>ب) القرآن و تجرّد النفس</w:t>
      </w:r>
      <w:bookmarkEnd w:id="2659"/>
    </w:p>
    <w:p>
      <w:pPr>
        <w:pStyle w:val="BookText"/>
      </w:pPr>
      <w:r>
        <w:rPr>
          <w:rFonts w:ascii="IRNazanin" w:hAnsi="IRNazanin" w:eastAsia="IRNazanin" w:cs="IRNazanin"/>
          <w:lang w:bidi="fa-IR"/>
          <w:color w:val="111111"/>
          <w:sz w:val="28"/>
          <w:szCs w:val="28"/>
          <w:rtl/>
        </w:rPr>
        <w:t xml:space="preserve">الآیات القرآنیة الدالّة علی بقاء النفس بعد الموت تصریحاً أو تلویحاً کثیرة نأتی بنماذج منها:</w:t>
      </w:r>
    </w:p>
    <w:p>
      <w:pPr>
        <w:pStyle w:val="BookText"/>
      </w:pPr>
      <w:r>
        <w:rPr>
          <w:rFonts w:ascii="IRNazanin" w:hAnsi="IRNazanin" w:eastAsia="IRNazanin" w:cs="IRNazanin"/>
          <w:lang w:bidi="fa-IR"/>
          <w:color w:val="111111"/>
          <w:sz w:val="28"/>
          <w:szCs w:val="28"/>
          <w:rtl/>
        </w:rPr>
        <w:t xml:space="preserve">[شماره صفحه واقعی : 405]
</w:t>
      </w:r>
    </w:p>
    <w:p>
      <w:pPr>
        <w:sectPr>
          <w:footerReference w:type="default" r:id="rId1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یقول سبحانه: «اللّٰهُ یَتَوَفَّی الْأَنْفُسَ حِینَ مَوْتِهٰا وَ الَّتِی لَمْ تَمُتْ فِی مَنٰامِهٰا فَیُمْسِکُ الَّتِی قَضیٰ عَلَیْهَا الْمَوْتَ وَ یُرْسِلُ الْأُخْریٰ إِلیٰ أَجَلٍ مُسَمًّی إِنَّ فِی ذٰلِکَ لَآیٰاتٍ لِقَوْمٍ یَتَفَکَّرُونَ» </w:t>
      </w:r>
      <w:r>
        <w:rPr>
          <w:rStyle w:val="FootnoteReference"/>
        </w:rPr>
        <w:footnoteReference w:id="4778"/>
      </w:r>
      <w:r>
        <w:rPr>
          <w:rFonts w:ascii="IRNazanin" w:hAnsi="IRNazanin" w:eastAsia="IRNazanin" w:cs="IRNazanin"/>
          <w:lang w:bidi="fa-IR"/>
          <w:color w:val="111111"/>
          <w:sz w:val="28"/>
          <w:szCs w:val="28"/>
          <w:rtl/>
        </w:rPr>
        <w:t xml:space="preserve">لفظة التوفّی بمعنی القبض و الأخذ لا الإماتة، و علی ذلک فالآیة تدلّ علی أنّ للإنسان وراء البدن شیئاً یأخذه اللّه سبحانه حین الموت و النوم، فیمسکه إن کتب علیه الموت، و یرسله إن لم یکتب علیه ذلک إلی أجل مسمّی.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قال تعالی: «وَ لاٰ تَحْسَبَنَّ الَّذِینَ قُتِلُوا فِی سَبِیلِ اللّٰهِ أَمْوٰاتاً بَلْ أَحْیٰاءٌ عِنْدَ رَبِّهِمْ یُرْزَقُونَ * فَرِحِینَ بِمٰا آتٰاهُمُ اللّٰهُ مِنْ فَضْلِهِ وَ یَسْتَبْشِرُونَ بِالَّذِینَ لَمْ یَلْحَقُوا بِهِمْ مِنْ خَلْفِهِمْ أَلاّٰ خَوْفٌ عَلَیْهِمْ وَ لاٰ هُمْ یَحْزَنُونَ». </w:t>
      </w:r>
      <w:r>
        <w:rPr>
          <w:rStyle w:val="FootnoteReference"/>
        </w:rPr>
        <w:footnoteReference w:id="4779"/>
      </w:r>
      <w:r>
        <w:rPr>
          <w:rFonts w:ascii="IRNazanin" w:hAnsi="IRNazanin" w:eastAsia="IRNazanin" w:cs="IRNazanin"/>
          <w:lang w:bidi="fa-IR"/>
          <w:color w:val="111111"/>
          <w:sz w:val="28"/>
          <w:szCs w:val="28"/>
          <w:rtl/>
        </w:rPr>
        <w:t xml:space="preserve">صراحة الآیة فی الدلالة علی حیاة الشهداء غیر قابلة للإنکار، فإنّها تقول:</w:t>
      </w:r>
    </w:p>
    <w:p>
      <w:pPr>
        <w:pStyle w:val="BookText"/>
      </w:pPr>
      <w:r>
        <w:rPr>
          <w:rFonts w:ascii="IRNazanin" w:hAnsi="IRNazanin" w:eastAsia="IRNazanin" w:cs="IRNazanin"/>
          <w:lang w:bidi="fa-IR"/>
          <w:color w:val="111111"/>
          <w:sz w:val="28"/>
          <w:szCs w:val="28"/>
          <w:rtl/>
        </w:rPr>
        <w:t xml:space="preserve">إنّهم أحیاء أوّلاً، و یرزقون ثانیاً، و إنّ لهم آثاراً نفسانیة یفرحون و یستبشرون ثالثاً، و تفسیر الحیاة، بالحیاة فی شعور الناس و ضمائرهم و قلوبهم، و فی الأندیة و المحافل تفسیر مادّی للآیة مخالف لما ذکر للحیاة من الأوصاف الحقیقیة.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قال تعالی: «وَ حٰاقَ بِآلِ فِرْعَوْنَ سُوءُ الْعَذٰابِ * اَلنّٰارُ یُعْرَضُونَ عَلَیْهٰا غُدُوًّا وَ عَشِیًّا وَ یَوْمَ تَقُومُ السّٰاعَةُ أَدْخِلُوا آلَ فِرْعَوْنَ أَشَدَّ الْعَذٰابِ».</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وجه الاستدلال بالآیة علی المقصود واضح.</w:t>
      </w:r>
    </w:p>
    <w:p>
      <w:pPr>
        <w:pStyle w:val="BookText"/>
      </w:pPr>
      <w:r>
        <w:rPr>
          <w:rFonts w:ascii="IRNazanin" w:hAnsi="IRNazanin" w:eastAsia="IRNazanin" w:cs="IRNazanin"/>
          <w:lang w:bidi="fa-IR"/>
          <w:color w:val="111111"/>
          <w:sz w:val="28"/>
          <w:szCs w:val="28"/>
          <w:rtl/>
        </w:rPr>
        <w:t xml:space="preserve">[شماره صفحه واقعی : 406]
</w:t>
      </w:r>
    </w:p>
    <w:p>
      <w:pPr>
        <w:sectPr>
          <w:footerReference w:type="default" r:id="rId1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قال تعالی: «قِیلَ ادْخُلِ الْجَنَّةَ قٰالَ یٰا لَیْتَ قَوْمِی یَعْلَمُونَ * بِمٰا غَفَرَ لِی رَبِّی وَ جَعَلَنِی مِنَ الْمُکْرَمِینَ»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المخاطب لقوله: «ادْخُلِ الْجَنَّةَ» و القائل لما ذکر بعده من التمنّی هو مؤمن آل یس و اسمه حبیب النجّار کما ورد فی الروایات، و قصّته معروفة، و الآیة تدل علی أنّه باق بعد الموت یرزق فی الجنّة، و یتمنّی أنّ یعلم قومه بما رزق من الکرامة.</w:t>
      </w:r>
    </w:p>
    <w:p>
      <w:pPr>
        <w:pStyle w:val="BookText"/>
      </w:pPr>
      <w:r>
        <w:rPr>
          <w:rFonts w:ascii="IRNazanin" w:hAnsi="IRNazanin" w:eastAsia="IRNazanin" w:cs="IRNazanin"/>
          <w:lang w:bidi="fa-IR"/>
          <w:color w:val="111111"/>
          <w:sz w:val="28"/>
          <w:szCs w:val="28"/>
          <w:rtl/>
        </w:rPr>
        <w:t xml:space="preserve">[شماره صفحه واقعی : 407]
</w:t>
      </w:r>
    </w:p>
    <w:p>
      <w:pPr>
        <w:sectPr>
          <w:footerReference w:type="default" r:id="rId1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408]
</w:t>
      </w:r>
    </w:p>
    <w:p>
      <w:pPr>
        <w:sectPr>
          <w:footerReference w:type="default" r:id="rId1555"/>
          <w:footnotePr>
            <w:numStart w:val="1"/>
            <w:numRestart w:val="eachPage"/>
          </w:footnotePr>
          <w:pgSz w:orient="portrait" w:w="11905.511811023622" w:h="16837.79527559055"/>
          <w:pgMar w:top="1440" w:right="1440" w:bottom="1440" w:left="1440" w:header="720" w:footer="720" w:gutter="0"/>
          <w:cols w:num="1" w:space="720"/>
        </w:sectPr>
      </w:pPr>
    </w:p>
    <w:bookmarkStart w:id="853" w:name="pg14411_143937"/>
    <w:bookmarkEnd w:id="853"/>
    <w:p>
      <w:pPr>
        <w:pStyle w:val="Heading5"/>
      </w:pPr>
      <w:bookmarkStart w:id="2660" w:name="_Toc1695"/>
      <w:r>
        <w:t>الفصل الثالث : المعاد الجسمانی و الروحانی فی القرآن الکریم</w:t>
      </w:r>
      <w:bookmarkEnd w:id="2660"/>
    </w:p>
    <w:p>
      <w:pPr>
        <w:pStyle w:val="Heading6"/>
      </w:pPr>
      <w:bookmarkStart w:id="2661" w:name="_Toc1696"/>
      <w:r>
        <w:t>اشارة</w:t>
      </w:r>
      <w:bookmarkEnd w:id="2661"/>
    </w:p>
    <w:p>
      <w:pPr>
        <w:pStyle w:val="BookText"/>
      </w:pPr>
      <w:r>
        <w:rPr>
          <w:rFonts w:ascii="IRNazanin" w:hAnsi="IRNazanin" w:eastAsia="IRNazanin" w:cs="IRNazanin"/>
          <w:lang w:bidi="fa-IR"/>
          <w:color w:val="111111"/>
          <w:sz w:val="28"/>
          <w:szCs w:val="28"/>
          <w:rtl/>
        </w:rPr>
        <w:t xml:space="preserve">إنّ القول بالمعاد الجسمانی و الروحانی معاً یتوقّف علی أمور:</w:t>
      </w:r>
    </w:p>
    <w:p>
      <w:pPr>
        <w:pStyle w:val="BookText"/>
      </w:pPr>
      <w:r>
        <w:rPr>
          <w:rFonts w:ascii="IRNazanin" w:hAnsi="IRNazanin" w:eastAsia="IRNazanin" w:cs="IRNazanin"/>
          <w:lang w:bidi="fa-IR"/>
          <w:color w:val="111111"/>
          <w:sz w:val="28"/>
          <w:szCs w:val="28"/>
          <w:rtl/>
        </w:rPr>
        <w:t xml:space="preserve">أ. الاعتقاد بتجرّد الروح الإنسانی.</w:t>
      </w:r>
    </w:p>
    <w:p>
      <w:pPr>
        <w:pStyle w:val="BookText"/>
      </w:pPr>
      <w:r>
        <w:rPr>
          <w:rFonts w:ascii="IRNazanin" w:hAnsi="IRNazanin" w:eastAsia="IRNazanin" w:cs="IRNazanin"/>
          <w:lang w:bidi="fa-IR"/>
          <w:color w:val="111111"/>
          <w:sz w:val="28"/>
          <w:szCs w:val="28"/>
          <w:rtl/>
        </w:rPr>
        <w:t xml:space="preserve">ب. الاعتقاد بأنّ الروح یعود إلی البدن عند الحشر.</w:t>
      </w:r>
    </w:p>
    <w:p>
      <w:pPr>
        <w:pStyle w:val="BookText"/>
      </w:pPr>
      <w:r>
        <w:rPr>
          <w:rFonts w:ascii="IRNazanin" w:hAnsi="IRNazanin" w:eastAsia="IRNazanin" w:cs="IRNazanin"/>
          <w:lang w:bidi="fa-IR"/>
          <w:color w:val="111111"/>
          <w:sz w:val="28"/>
          <w:szCs w:val="28"/>
          <w:rtl/>
        </w:rPr>
        <w:t xml:space="preserve">ج. إنّ هناک آلاماً و لذائذ جزئیة و کلیة، جسمانیة و روحانیة.</w:t>
      </w:r>
    </w:p>
    <w:p>
      <w:pPr>
        <w:pStyle w:val="BookText"/>
      </w:pPr>
      <w:r>
        <w:rPr>
          <w:rFonts w:ascii="IRNazanin" w:hAnsi="IRNazanin" w:eastAsia="IRNazanin" w:cs="IRNazanin"/>
          <w:lang w:bidi="fa-IR"/>
          <w:color w:val="111111"/>
          <w:sz w:val="28"/>
          <w:szCs w:val="28"/>
          <w:rtl/>
        </w:rPr>
        <w:t xml:space="preserve">إنّ من أمعن النظر فی الآیات الواردة حول المعاد یقف علی أنّ المعاد الّذی یصرُّ علیه القرآن هو عود البدن الّذی کان الإنسان یعیش به فی الدنیا و تعلّق الروح إلیه مرّة أخری و لا یکتفی بحیاة الروح فی عالم الآخرة، کما أنّه لا یخصّ الثواب و العقاب بالجسمانیة منهما بل یثبت أیضاً ثواباً و عقاباً روحانیّین غیر حسیّین، و إلیک فیما یلی نماذج من عناوین الآیات فی هذین المجالین:</w:t>
      </w:r>
    </w:p>
    <w:p>
      <w:pPr>
        <w:pStyle w:val="BookText"/>
      </w:pPr>
      <w:r>
        <w:rPr>
          <w:rFonts w:ascii="IRNazanin" w:hAnsi="IRNazanin" w:eastAsia="IRNazanin" w:cs="IRNazanin"/>
          <w:lang w:bidi="fa-IR"/>
          <w:color w:val="111111"/>
          <w:sz w:val="28"/>
          <w:szCs w:val="28"/>
          <w:rtl/>
        </w:rPr>
        <w:t xml:space="preserve">[شماره صفحه واقعی : 409]
</w:t>
      </w:r>
    </w:p>
    <w:p>
      <w:pPr>
        <w:sectPr>
          <w:footerReference w:type="default" r:id="rId1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ما ورد فی قصّة إبراهیم، و إحیاء عزیر، و بقرة بنی إسرائیل، و نحو ذلک. </w:t>
      </w:r>
      <w:r>
        <w:rPr>
          <w:rStyle w:val="FootnoteReference"/>
        </w:rPr>
        <w:footnoteReference w:id="4780"/>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ما یصرّح علی أنّ الإنسان خلق من الأرض و إلیها یعاد و منها یخرج. </w:t>
      </w:r>
      <w:r>
        <w:rPr>
          <w:rStyle w:val="FootnoteReference"/>
        </w:rPr>
        <w:footnoteReference w:id="4781"/>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ما یدلّ علی أنّ الحشر عبارة عن الخروج من الأجداث و القبور. </w:t>
      </w:r>
      <w:r>
        <w:rPr>
          <w:rStyle w:val="FootnoteReference"/>
        </w:rPr>
        <w:footnoteReference w:id="4782"/>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ما یدلّ علی شهادة الأعضاء یوم القیامة. </w:t>
      </w:r>
      <w:r>
        <w:rPr>
          <w:rStyle w:val="FootnoteReference"/>
        </w:rPr>
        <w:footnoteReference w:id="4783"/>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ما یدلّ علی تبدیل الجلود بعد نضجها و تقطع الأمعاء. </w:t>
      </w:r>
      <w:r>
        <w:rPr>
          <w:rStyle w:val="FootnoteReference"/>
        </w:rPr>
        <w:footnoteReference w:id="4784"/>
      </w:r>
    </w:p>
    <w:p>
      <w:pPr>
        <w:pStyle w:val="BookText"/>
      </w:pPr>
      <w:r>
        <w:rPr>
          <w:rFonts w:ascii="IRNazanin" w:hAnsi="IRNazanin" w:eastAsia="IRNazanin" w:cs="IRNazanin"/>
          <w:lang w:bidi="fa-IR"/>
          <w:color w:val="111111"/>
          <w:sz w:val="28"/>
          <w:szCs w:val="28"/>
          <w:rtl/>
        </w:rPr>
        <w:t xml:space="preserve">هذا کلّه بالنسبة إلی الملاک الأوّل، و أمّا بالنسبة إلی الملاک الثانی، فالآیات الراجعة إلی الآلام و اللّذائذ الحسّیة أکثر من أن تحصی و یکفی نموذجاً لذلک فی سورتی الواقعة و الرحمن. فلنقتصر بالإشارة إلی نماذج من الآیات الناظرة إلی الآلام و اللّذائذ العقلیة: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قال سبحانه: «وَعَدَ اللّٰهُ الْمُؤْمِنِینَ وَ الْمُؤْمِنٰاتِ جَنّٰاتٍ تَجْرِی مِنْ تَحْتِهَا الْأَنْهٰارُ خٰالِدِینَ فِیهٰا وَ مَسٰاکِنَ طَیِّبَةً فِی جَنّٰاتِ عَدْنٍ وَ رِضْوٰانٌ مِنَ اللّٰهِ أَکْبَرُ ذٰلِکَ هُوَ الْفَوْزُ الْعَظِیمُ»</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تری أنّه سبحانه یجعل رضوان اللّه فی</w:t>
      </w:r>
    </w:p>
    <w:p>
      <w:pPr>
        <w:pStyle w:val="BookText"/>
      </w:pPr>
      <w:r>
        <w:rPr>
          <w:rFonts w:ascii="IRNazanin" w:hAnsi="IRNazanin" w:eastAsia="IRNazanin" w:cs="IRNazanin"/>
          <w:lang w:bidi="fa-IR"/>
          <w:color w:val="111111"/>
          <w:sz w:val="28"/>
          <w:szCs w:val="28"/>
          <w:rtl/>
        </w:rPr>
        <w:t xml:space="preserve">[شماره صفحه واقعی : 410]
</w:t>
      </w:r>
    </w:p>
    <w:p>
      <w:pPr>
        <w:sectPr>
          <w:footerReference w:type="default" r:id="rId1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مقابل سائر اللّذات الجسمانیة و یصفه بکونه أکبر من الأُولی و أنّه هو الفوز العظیم، و من المعلوم أنّ هذا النوع من اللّذة لا یرجع إلی الجسم و البدن، بل هی لذَّة تدرک بالعقل و الروح فی درجتها القصوی.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یقول سبحانه: «وَعَدَ اللّٰهُ الْمُنٰافِقِینَ وَ الْمُنٰافِقٰاتِ وَ الْکُفّٰارَ نٰارَ جَهَنَّمَ خٰالِدِینَ فِیهٰا هِیَ حَسْبُهُمْ وَ لَعَنَهُمُ اللّٰهُ وَ لَهُمْ عَذٰابٌ مُقِیمٌ» </w:t>
      </w:r>
      <w:r>
        <w:rPr>
          <w:rStyle w:val="FootnoteReference"/>
        </w:rPr>
        <w:footnoteReference w:id="4785"/>
      </w:r>
      <w:r>
        <w:rPr>
          <w:rFonts w:ascii="IRNazanin" w:hAnsi="IRNazanin" w:eastAsia="IRNazanin" w:cs="IRNazanin"/>
          <w:lang w:bidi="fa-IR"/>
          <w:color w:val="111111"/>
          <w:sz w:val="28"/>
          <w:szCs w:val="28"/>
          <w:rtl/>
        </w:rPr>
        <w:t xml:space="preserve">یظهر عظم هذا الألم بوقوع هذه الآیة قبل آیة الرضوان، فکأنَّ الآیتین تعربان عن اللَّذات و الآلام العقلیة الّتی تدرکها الروح بلا حاجة إلی الجسم و البدن.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یقول سبحانه فی وصف أصحاب الجحیم: «کَذٰلِکَ یُرِیهِمُ اللّٰهُ أَعْمٰالَهُمْ حَسَرٰاتٍ عَلَیْهِمْ» </w:t>
      </w:r>
      <w:r>
        <w:rPr>
          <w:rStyle w:val="FootnoteReference"/>
        </w:rPr>
        <w:footnoteReference w:id="4786"/>
      </w:r>
      <w:r>
        <w:rPr>
          <w:rFonts w:ascii="Amiri" w:hAnsi="Amiri" w:eastAsia="Amiri" w:cs="Amiri"/>
          <w:lang w:bidi="ar-SA"/>
          <w:color w:val="111111"/>
          <w:sz w:val="28"/>
          <w:szCs w:val="28"/>
          <w:rtl/>
        </w:rPr>
        <w:t xml:space="preserve">إنّ عذاب الحسرة أشدّ علی النفس ممّا یحلّ بها من عذاب البدن، و لأجل ذلک یسمّی یوم القیامة، یوم الحسرة، قال سبحانه: «وَ أَنْذِرْهُمْ یَوْمَ الْحَسْرَةِ» </w:t>
      </w:r>
      <w:r>
        <w:rPr>
          <w:rStyle w:val="FootnoteReference"/>
        </w:rPr>
        <w:footnoteReference w:id="4787"/>
      </w:r>
    </w:p>
    <w:p>
      <w:pPr>
        <w:pStyle w:val="BookText"/>
      </w:pPr>
      <w:r>
        <w:rPr>
          <w:rFonts w:ascii="IRNazanin" w:hAnsi="IRNazanin" w:eastAsia="IRNazanin" w:cs="IRNazanin"/>
          <w:lang w:bidi="fa-IR"/>
          <w:color w:val="111111"/>
          <w:sz w:val="28"/>
          <w:szCs w:val="28"/>
          <w:rtl/>
        </w:rPr>
        <w:t xml:space="preserve">نختم الکلام بما أفاده المحقّق الطوسی فی المقام حیث قال:</w:t>
      </w:r>
    </w:p>
    <w:p>
      <w:pPr>
        <w:pStyle w:val="BookText"/>
      </w:pPr>
      <w:r>
        <w:rPr>
          <w:rFonts w:ascii="IRNazanin" w:hAnsi="IRNazanin" w:eastAsia="IRNazanin" w:cs="IRNazanin"/>
          <w:lang w:bidi="fa-IR"/>
          <w:color w:val="111111"/>
          <w:sz w:val="28"/>
          <w:szCs w:val="28"/>
          <w:rtl/>
        </w:rPr>
        <w:t xml:space="preserve">«أمّا الأنبیاء المتقدّمون علی محمّد صلی الله علیه و آله فالظاهر من کلام أُممهم أنّ موسی علیه السلام لم یذکر المعاد البدنی، و لا أنزل علیه فی التوراة لکن جاء ذلک فی کتب الأنبیاء الّذین جاءوا بعده، کحزقیل و أشعیا علیهما السلام و لذلک أقرّ الیهود به، و أمّا فی الإنجیل فقد ذکر: أنّ الأخیار یصیرون کالملائکة و تکون لهم الحیاة الأبدیة،</w:t>
      </w:r>
    </w:p>
    <w:p>
      <w:pPr>
        <w:pStyle w:val="BookText"/>
      </w:pPr>
      <w:r>
        <w:rPr>
          <w:rFonts w:ascii="IRNazanin" w:hAnsi="IRNazanin" w:eastAsia="IRNazanin" w:cs="IRNazanin"/>
          <w:lang w:bidi="fa-IR"/>
          <w:color w:val="111111"/>
          <w:sz w:val="28"/>
          <w:szCs w:val="28"/>
          <w:rtl/>
        </w:rPr>
        <w:t xml:space="preserve">[شماره صفحه واقعی : 411]
</w:t>
      </w:r>
    </w:p>
    <w:p>
      <w:pPr>
        <w:sectPr>
          <w:footerReference w:type="default" r:id="rId1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السعادة العظیمة، و الأظهر أنّ المذکور فیه المعاد الروحانی.</w:t>
      </w:r>
    </w:p>
    <w:p>
      <w:pPr>
        <w:pStyle w:val="BookText"/>
      </w:pPr>
      <w:r>
        <w:rPr>
          <w:rFonts w:ascii="Amiri" w:hAnsi="Amiri" w:eastAsia="Amiri" w:cs="Amiri"/>
          <w:lang w:bidi="ar-SA"/>
          <w:color w:val="111111"/>
          <w:sz w:val="28"/>
          <w:szCs w:val="28"/>
          <w:rtl/>
        </w:rPr>
        <w:t xml:space="preserve">و أمّا القرآن فقد جاء فیه کلاهما: أمّا الروحانی ففی مثل قوله عزّ من قائل: «فَلاٰ تَعْلَمُ نَفْسٌ مٰا أُخْفِیَ لَهُمْ مِنْ قُرَّةِ أَعْیُنٍ» و «لِلَّذِینَ أَحْسَنُوا الْحُسْنیٰ وَ زِیٰادَةٌ» و «وَ رِضْوٰانٌ مِنَ اللّٰهِ أَکْبَرُ»</w:t>
      </w:r>
    </w:p>
    <w:p>
      <w:pPr>
        <w:pStyle w:val="BookText"/>
      </w:pPr>
      <w:r>
        <w:rPr>
          <w:rFonts w:ascii="IRNazanin" w:hAnsi="IRNazanin" w:eastAsia="IRNazanin" w:cs="IRNazanin"/>
          <w:lang w:bidi="fa-IR"/>
          <w:color w:val="111111"/>
          <w:sz w:val="28"/>
          <w:szCs w:val="28"/>
          <w:rtl/>
        </w:rPr>
        <w:t xml:space="preserve">و أمّا الجسمانی فقد جاء أکثر من أن یعدّ، و أکثره ممّا لا یقبل التأویل، مثل قوله عزّ من قائل:</w:t>
      </w:r>
    </w:p>
    <w:p>
      <w:pPr>
        <w:pStyle w:val="BookText"/>
      </w:pPr>
      <w:r>
        <w:rPr>
          <w:rFonts w:ascii="Amiri" w:hAnsi="Amiri" w:eastAsia="Amiri" w:cs="Amiri"/>
          <w:lang w:bidi="ar-SA"/>
          <w:color w:val="111111"/>
          <w:sz w:val="28"/>
          <w:szCs w:val="28"/>
          <w:rtl/>
        </w:rPr>
        <w:t xml:space="preserve">«قٰالَ مَنْ یُحْیِ الْعِظٰامَ وَ هِیَ رَمِیمٌ * قُلْ یُحْیِیهَا الَّذِی أَنْشَأَهٰا أَوَّلَ مَرَّةٍ»</w:t>
      </w:r>
    </w:p>
    <w:p>
      <w:pPr>
        <w:pStyle w:val="BookText"/>
      </w:pPr>
      <w:r>
        <w:rPr>
          <w:rFonts w:ascii="Amiri" w:hAnsi="Amiri" w:eastAsia="Amiri" w:cs="Amiri"/>
          <w:lang w:bidi="ar-SA"/>
          <w:color w:val="111111"/>
          <w:sz w:val="28"/>
          <w:szCs w:val="28"/>
          <w:rtl/>
        </w:rPr>
        <w:t xml:space="preserve">«فَإِذٰا هُمْ مِنَ الْأَجْدٰاثِ إِلیٰ رَبِّهِمْ یَنْسِلُونَ » .</w:t>
      </w:r>
    </w:p>
    <w:p>
      <w:pPr>
        <w:pStyle w:val="BookText"/>
      </w:pPr>
      <w:r>
        <w:rPr>
          <w:rFonts w:ascii="Amiri" w:hAnsi="Amiri" w:eastAsia="Amiri" w:cs="Amiri"/>
          <w:lang w:bidi="ar-SA"/>
          <w:color w:val="111111"/>
          <w:sz w:val="28"/>
          <w:szCs w:val="28"/>
          <w:rtl/>
        </w:rPr>
        <w:t xml:space="preserve">«وَ انْظُرْ إِلَی الْعِظٰامِ کَیْفَ نُنْشِزُهٰا ثُمَّ نَکْسُوهٰا لَحْماً» .</w:t>
      </w:r>
    </w:p>
    <w:p>
      <w:pPr>
        <w:pStyle w:val="BookText"/>
      </w:pPr>
      <w:r>
        <w:rPr>
          <w:rFonts w:ascii="Amiri" w:hAnsi="Amiri" w:eastAsia="Amiri" w:cs="Amiri"/>
          <w:lang w:bidi="ar-SA"/>
          <w:color w:val="111111"/>
          <w:sz w:val="28"/>
          <w:szCs w:val="28"/>
          <w:rtl/>
        </w:rPr>
        <w:t xml:space="preserve">«أَ یَحْسَبُ الْإِنْسٰانُ أَلَّنْ نَجْمَعَ عِظٰامَهُ * بَلیٰ قٰادِرِینَ عَلیٰ أَنْ نُسَوِّیَ بَنٰانَهُ» .</w:t>
      </w:r>
    </w:p>
    <w:p>
      <w:pPr>
        <w:pStyle w:val="BookText"/>
      </w:pPr>
      <w:r>
        <w:rPr>
          <w:rFonts w:ascii="Amiri" w:hAnsi="Amiri" w:eastAsia="Amiri" w:cs="Amiri"/>
          <w:lang w:bidi="ar-SA"/>
          <w:color w:val="111111"/>
          <w:sz w:val="28"/>
          <w:szCs w:val="28"/>
          <w:rtl/>
        </w:rPr>
        <w:t xml:space="preserve">«وَ قٰالُوا لِجُلُودِهِمْ لِمَ شَهِدْتُمْ عَلَیْنٰا».</w:t>
      </w:r>
    </w:p>
    <w:p>
      <w:pPr>
        <w:pStyle w:val="BookText"/>
      </w:pPr>
      <w:r>
        <w:rPr>
          <w:rFonts w:ascii="IRNazanin" w:hAnsi="IRNazanin" w:eastAsia="IRNazanin" w:cs="IRNazanin"/>
          <w:lang w:bidi="fa-IR"/>
          <w:color w:val="111111"/>
          <w:sz w:val="28"/>
          <w:szCs w:val="28"/>
          <w:rtl/>
        </w:rPr>
        <w:t xml:space="preserve">ثمّ إنّه ردّ نظریة التأویل فی آیات المعاد الجسمانی قیاساً بالآیات الواردة فی الصفات الدالّة بظاهرها علی التشبیه و قال:</w:t>
      </w:r>
    </w:p>
    <w:p>
      <w:pPr>
        <w:pStyle w:val="BookText"/>
      </w:pPr>
      <w:r>
        <w:rPr>
          <w:rFonts w:ascii="IRNazanin" w:hAnsi="IRNazanin" w:eastAsia="IRNazanin" w:cs="IRNazanin"/>
          <w:lang w:bidi="fa-IR"/>
          <w:color w:val="111111"/>
          <w:sz w:val="28"/>
          <w:szCs w:val="28"/>
          <w:rtl/>
        </w:rPr>
        <w:t xml:space="preserve">أمّا القیاس علی التشبیه فغیر صحیح، لأنّ التشبیه مخالف للدلیل العقلی الدالّ علی امتناعه، فوجب فیه الرجوع إلی التأویل ، و أمّا المعاد البدنی فلم یقم دلیل، لا عقلی و لا نقلی</w:t>
      </w:r>
    </w:p>
    <w:p>
      <w:pPr>
        <w:pStyle w:val="BookText"/>
      </w:pPr>
      <w:r>
        <w:rPr>
          <w:rFonts w:ascii="IRNazanin" w:hAnsi="IRNazanin" w:eastAsia="IRNazanin" w:cs="IRNazanin"/>
          <w:lang w:bidi="fa-IR"/>
          <w:color w:val="111111"/>
          <w:sz w:val="28"/>
          <w:szCs w:val="28"/>
          <w:rtl/>
        </w:rPr>
        <w:t xml:space="preserve">[شماره صفحه واقعی : 412]
</w:t>
      </w:r>
    </w:p>
    <w:p>
      <w:pPr>
        <w:sectPr>
          <w:footerReference w:type="default" r:id="rId1559"/>
          <w:footnotePr>
            <w:numStart w:val="1"/>
            <w:numRestart w:val="eachPage"/>
          </w:footnotePr>
          <w:pgSz w:orient="portrait" w:w="11905.511811023622" w:h="16837.79527559055"/>
          <w:pgMar w:top="1440" w:right="1440" w:bottom="1440" w:left="1440" w:header="720" w:footer="720" w:gutter="0"/>
          <w:cols w:num="1" w:space="720"/>
        </w:sectPr>
      </w:pPr>
    </w:p>
    <w:bookmarkStart w:id="854" w:name="pg14411_143941"/>
    <w:bookmarkEnd w:id="854"/>
    <w:p>
      <w:pPr>
        <w:pStyle w:val="BookText"/>
      </w:pPr>
      <w:r>
        <w:rPr>
          <w:rFonts w:ascii="IRNazanin" w:hAnsi="IRNazanin" w:eastAsia="IRNazanin" w:cs="IRNazanin"/>
          <w:lang w:bidi="fa-IR"/>
          <w:color w:val="111111"/>
          <w:sz w:val="28"/>
          <w:szCs w:val="28"/>
          <w:rtl/>
        </w:rPr>
        <w:t xml:space="preserve">علی امتناعه، فوجب إجراء النصوص الواردة فیه علی مقتضی ظواهرها. </w:t>
      </w:r>
      <w:r>
        <w:rPr>
          <w:rStyle w:val="FootnoteReference"/>
        </w:rPr>
        <w:footnoteReference w:id="4788"/>
      </w:r>
    </w:p>
    <w:p>
      <w:pPr>
        <w:pStyle w:val="Heading6"/>
      </w:pPr>
      <w:bookmarkStart w:id="2662" w:name="_Toc1697"/>
      <w:r>
        <w:t>شبهة الآکل و المأکول</w:t>
      </w:r>
      <w:bookmarkEnd w:id="2662"/>
    </w:p>
    <w:p>
      <w:pPr>
        <w:pStyle w:val="BookText"/>
      </w:pPr>
      <w:r>
        <w:rPr>
          <w:rFonts w:ascii="IRNazanin" w:hAnsi="IRNazanin" w:eastAsia="IRNazanin" w:cs="IRNazanin"/>
          <w:lang w:bidi="fa-IR"/>
          <w:color w:val="111111"/>
          <w:sz w:val="28"/>
          <w:szCs w:val="28"/>
          <w:rtl/>
        </w:rPr>
        <w:t xml:space="preserve">إنّ هذه الشبهة من أقدم الشبهات الّتی وردت فی الکتب الکلامیة حول المعاد الجسمانی و قد اعتنی بدفعها المتکلّمون و الفلاسفة الإلهیّون عنایة بالغة، و الإشکال یقرّر بصورتین نأتی بهما مع الإجابة عنهما:</w:t>
      </w:r>
    </w:p>
    <w:p>
      <w:pPr>
        <w:pStyle w:val="BookText"/>
      </w:pPr>
      <w:r>
        <w:rPr>
          <w:rFonts w:ascii="IRNazanin" w:hAnsi="IRNazanin" w:eastAsia="IRNazanin" w:cs="IRNazanin"/>
          <w:lang w:bidi="fa-IR"/>
          <w:color w:val="111111"/>
          <w:sz w:val="28"/>
          <w:szCs w:val="28"/>
          <w:rtl/>
        </w:rPr>
        <w:t xml:space="preserve">الصورة الأولیٰ:</w:t>
      </w:r>
    </w:p>
    <w:p>
      <w:pPr>
        <w:pStyle w:val="BookText"/>
      </w:pPr>
      <w:r>
        <w:rPr>
          <w:rFonts w:ascii="IRNazanin" w:hAnsi="IRNazanin" w:eastAsia="IRNazanin" w:cs="IRNazanin"/>
          <w:lang w:bidi="fa-IR"/>
          <w:color w:val="111111"/>
          <w:sz w:val="28"/>
          <w:szCs w:val="28"/>
          <w:rtl/>
        </w:rPr>
        <w:t xml:space="preserve">لو أکل إنسان کافر إنساناً مؤمناً صار بدنه أو جزء منه جزءاً من بدن الکافر، و الکافر یعذّب فیلزم تعذیب المؤمن و هو ظلم علیه.</w:t>
      </w:r>
    </w:p>
    <w:p>
      <w:pPr>
        <w:pStyle w:val="BookText"/>
      </w:pPr>
      <w:r>
        <w:rPr>
          <w:rFonts w:ascii="IRNazanin" w:hAnsi="IRNazanin" w:eastAsia="IRNazanin" w:cs="IRNazanin"/>
          <w:lang w:bidi="fa-IR"/>
          <w:color w:val="111111"/>
          <w:sz w:val="28"/>
          <w:szCs w:val="28"/>
          <w:rtl/>
        </w:rPr>
        <w:t xml:space="preserve">و الجواب عنه واضح، فإنّ المدرک للآلام و اللذائذ هو الروح، و البدن وسیلة لإدراک ما هو المحسوس منهما، و علیه فصیرورة بدن المؤمن جزءاً من بدن الکافر لا یلازم تعذیب المؤمن، لأنّ المعذّب فی الحقیقة هو روح الکافر و نفسه، لا روح المؤمن، و هذا نظیر أخذ کُلْیَة الإنسان الحیّ و وصلها بإنسان آخر، فلو عذّب هذا الأخیر أو نعمّ، فالمعذّب و المنعَّم هو هو، و لا صلة بینه و بین من وهب کُلْیَته إلیه.</w:t>
      </w:r>
    </w:p>
    <w:p>
      <w:pPr>
        <w:pStyle w:val="BookText"/>
      </w:pPr>
      <w:r>
        <w:rPr>
          <w:rFonts w:ascii="IRNazanin" w:hAnsi="IRNazanin" w:eastAsia="IRNazanin" w:cs="IRNazanin"/>
          <w:lang w:bidi="fa-IR"/>
          <w:color w:val="111111"/>
          <w:sz w:val="28"/>
          <w:szCs w:val="28"/>
          <w:rtl/>
        </w:rPr>
        <w:t xml:space="preserve">الصورة الثانیة:</w:t>
      </w:r>
    </w:p>
    <w:p>
      <w:pPr>
        <w:pStyle w:val="BookText"/>
      </w:pPr>
      <w:r>
        <w:rPr>
          <w:rFonts w:ascii="IRNazanin" w:hAnsi="IRNazanin" w:eastAsia="IRNazanin" w:cs="IRNazanin"/>
          <w:lang w:bidi="fa-IR"/>
          <w:color w:val="111111"/>
          <w:sz w:val="28"/>
          <w:szCs w:val="28"/>
          <w:rtl/>
        </w:rPr>
        <w:t xml:space="preserve">إذا أکل إنسان إنساناً یصیر بدنه المأکول أو جزء منه، جزء البدن الآکل،</w:t>
      </w:r>
    </w:p>
    <w:p>
      <w:pPr>
        <w:pStyle w:val="BookText"/>
      </w:pPr>
      <w:r>
        <w:rPr>
          <w:rFonts w:ascii="IRNazanin" w:hAnsi="IRNazanin" w:eastAsia="IRNazanin" w:cs="IRNazanin"/>
          <w:lang w:bidi="fa-IR"/>
          <w:color w:val="111111"/>
          <w:sz w:val="28"/>
          <w:szCs w:val="28"/>
          <w:rtl/>
        </w:rPr>
        <w:t xml:space="preserve">[شماره صفحه واقعی : 413]
</w:t>
      </w:r>
    </w:p>
    <w:p>
      <w:pPr>
        <w:sectPr>
          <w:footerReference w:type="default" r:id="rId1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تلک الأجزاء إمّا یعاد مع بدن الآکل، و إمّا یعاد مع بدن المأکول، أو لا یعاد أصلاً. </w:t>
      </w:r>
      <w:r>
        <w:rPr>
          <w:rStyle w:val="FootnoteReference"/>
        </w:rPr>
        <w:footnoteReference w:id="4789"/>
      </w:r>
      <w:r>
        <w:rPr>
          <w:rFonts w:ascii="IRNazanin" w:hAnsi="IRNazanin" w:eastAsia="IRNazanin" w:cs="IRNazanin"/>
          <w:lang w:bidi="fa-IR"/>
          <w:color w:val="111111"/>
          <w:sz w:val="28"/>
          <w:szCs w:val="28"/>
          <w:rtl/>
        </w:rPr>
        <w:t xml:space="preserve">و لازم الجمیع عدم عود البدن بتمامه و بعینه، أمّا فی أحدهما کما فی الفرضین الأوّلین، أو فی کلیهما کما فی الفرض الأخیر، فالمعاد الجسمانی بمعنی حشر الأبدان بعینها باطل.</w:t>
      </w:r>
    </w:p>
    <w:p>
      <w:pPr>
        <w:pStyle w:val="BookText"/>
      </w:pPr>
      <w:r>
        <w:rPr>
          <w:rFonts w:ascii="IRNazanin" w:hAnsi="IRNazanin" w:eastAsia="IRNazanin" w:cs="IRNazanin"/>
          <w:lang w:bidi="fa-IR"/>
          <w:color w:val="111111"/>
          <w:sz w:val="28"/>
          <w:szCs w:val="28"/>
          <w:rtl/>
        </w:rPr>
        <w:t xml:space="preserve">و المشهور عند المتکلّمین فی الإجابة عنه هو أنّ بدن الإنسان مرکب من الأجزاء الأصلیّة و الفاضلة، و الأجزاء الأصلیّة باقیة بعد الموت، و عند الإعادة تؤلّف و تضمّ معها أجزاء أخری زائدة، و المعتبر فی المعاد الجسمانی هو إعادة تلک الأجزاء الأصلیّة، و الأجزاء الأصلیّة فی کلّ بدن تکون فاضلة فی غیره </w:t>
      </w:r>
      <w:r>
        <w:rPr>
          <w:rStyle w:val="FootnoteReference"/>
        </w:rPr>
        <w:footnoteReference w:id="4790"/>
      </w:r>
      <w:r>
        <w:rPr>
          <w:rFonts w:ascii="IRNazanin" w:hAnsi="IRNazanin" w:eastAsia="IRNazanin" w:cs="IRNazanin"/>
          <w:lang w:bidi="fa-IR"/>
          <w:color w:val="111111"/>
          <w:sz w:val="28"/>
          <w:szCs w:val="28"/>
          <w:rtl/>
        </w:rPr>
        <w:t xml:space="preserve">و إلیه أشار المحقّق الطوسی بقوله: «و لا یجب إعادة فواضل المکلّف». </w:t>
      </w:r>
      <w:r>
        <w:rPr>
          <w:rStyle w:val="FootnoteReference"/>
        </w:rPr>
        <w:footnoteReference w:id="4791"/>
      </w:r>
    </w:p>
    <w:p>
      <w:pPr>
        <w:pStyle w:val="BookText"/>
      </w:pPr>
      <w:r>
        <w:rPr>
          <w:rFonts w:ascii="IRNazanin" w:hAnsi="IRNazanin" w:eastAsia="IRNazanin" w:cs="IRNazanin"/>
          <w:lang w:bidi="fa-IR"/>
          <w:color w:val="111111"/>
          <w:sz w:val="28"/>
          <w:szCs w:val="28"/>
          <w:rtl/>
        </w:rPr>
        <w:t xml:space="preserve">أقول: المعاد الجسمانی لا یتوقّف علی کون البدن المحشور نفس البدن الدنیوی حتّی فی المادّة الترابیة بل لو تکوّن بدن الإنسان المعاد من أیّة مادّة ترابیة کانت و تعلّقت به الروح و کان من حیث الصورة متّحداً مع البدن الدنیوی یصدق علی المعاد أنّه هو المنشأ فی الدنیا.</w:t>
      </w:r>
    </w:p>
    <w:p>
      <w:pPr>
        <w:pStyle w:val="BookText"/>
      </w:pPr>
      <w:r>
        <w:rPr>
          <w:rFonts w:ascii="IRNazanin" w:hAnsi="IRNazanin" w:eastAsia="IRNazanin" w:cs="IRNazanin"/>
          <w:lang w:bidi="fa-IR"/>
          <w:color w:val="111111"/>
          <w:sz w:val="28"/>
          <w:szCs w:val="28"/>
          <w:rtl/>
        </w:rPr>
        <w:t xml:space="preserve">یؤیّد ذلک قول الإمام الصادق علیه السلام :</w:t>
      </w:r>
    </w:p>
    <w:p>
      <w:pPr>
        <w:pStyle w:val="BookText"/>
      </w:pPr>
      <w:r>
        <w:rPr>
          <w:rFonts w:ascii="IRNazanin" w:hAnsi="IRNazanin" w:eastAsia="IRNazanin" w:cs="IRNazanin"/>
          <w:lang w:bidi="fa-IR"/>
          <w:color w:val="111111"/>
          <w:sz w:val="28"/>
          <w:szCs w:val="28"/>
          <w:rtl/>
        </w:rPr>
        <w:t xml:space="preserve">«فإذا قبضه اللّه إلیه صیَّر تلک الروح إلی الجنّة فی صورة کصورته فیأکلون و یشربون، فإذا قدم علیهم القادم، عرفهم</w:t>
      </w:r>
    </w:p>
    <w:p>
      <w:pPr>
        <w:pStyle w:val="BookText"/>
      </w:pPr>
      <w:r>
        <w:rPr>
          <w:rFonts w:ascii="IRNazanin" w:hAnsi="IRNazanin" w:eastAsia="IRNazanin" w:cs="IRNazanin"/>
          <w:lang w:bidi="fa-IR"/>
          <w:color w:val="111111"/>
          <w:sz w:val="28"/>
          <w:szCs w:val="28"/>
          <w:rtl/>
        </w:rPr>
        <w:t xml:space="preserve">[شماره صفحه واقعی : 414]
</w:t>
      </w:r>
    </w:p>
    <w:p>
      <w:pPr>
        <w:sectPr>
          <w:footerReference w:type="default" r:id="rId1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بتلک الصورة الّتی کانت فی الدنیا». </w:t>
      </w:r>
      <w:r>
        <w:rPr>
          <w:rStyle w:val="FootnoteReference"/>
        </w:rPr>
        <w:footnoteReference w:id="4792"/>
      </w:r>
    </w:p>
    <w:p>
      <w:pPr>
        <w:pStyle w:val="BookText"/>
      </w:pPr>
      <w:r>
        <w:rPr>
          <w:rFonts w:ascii="IRNazanin" w:hAnsi="IRNazanin" w:eastAsia="IRNazanin" w:cs="IRNazanin"/>
          <w:lang w:bidi="fa-IR"/>
          <w:color w:val="111111"/>
          <w:sz w:val="28"/>
          <w:szCs w:val="28"/>
          <w:rtl/>
        </w:rPr>
        <w:t xml:space="preserve">فتری أنّ الإمام علیه السلام یذکر کلمة الصورة، و لعلّ فیه تذکیر بأنّه یکفی فی المعاد الجسمانی کون المُعاد متّحداً مع المبتدأ فی الصورة من غیر حاجة إلی أن یکون هناک وحدة فی المادة الترابیة بحیث إذا طرأ مانع من خلق الإنسان منه، فشل المعاد الجسمانی و لم یتحقّق. و یستظهر ذلک أیضاً من نحو قوله تعالی:</w:t>
      </w:r>
    </w:p>
    <w:p>
      <w:pPr>
        <w:pStyle w:val="BookText"/>
      </w:pPr>
      <w:r>
        <w:rPr>
          <w:rFonts w:ascii="Amiri" w:hAnsi="Amiri" w:eastAsia="Amiri" w:cs="Amiri"/>
          <w:lang w:bidi="ar-SA"/>
          <w:color w:val="111111"/>
          <w:sz w:val="28"/>
          <w:szCs w:val="28"/>
          <w:rtl/>
        </w:rPr>
        <w:t xml:space="preserve">«أَ وَ لَیْسَ الَّذِی خَلَقَ السَّمٰاوٰاتِ وَ الْأَرْضَ بِقٰادِرٍ عَلیٰ أَنْ یَخْلُقَ مِثْلَهُمْ» </w:t>
      </w:r>
      <w:r>
        <w:rPr>
          <w:rStyle w:val="FootnoteReference"/>
        </w:rPr>
        <w:footnoteReference w:id="47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التفتازانی:</w:t>
      </w:r>
    </w:p>
    <w:p>
      <w:pPr>
        <w:pStyle w:val="BookText"/>
      </w:pPr>
      <w:r>
        <w:rPr>
          <w:rFonts w:ascii="Amiri" w:hAnsi="Amiri" w:eastAsia="Amiri" w:cs="Amiri"/>
          <w:lang w:bidi="ar-SA"/>
          <w:color w:val="111111"/>
          <w:sz w:val="28"/>
          <w:szCs w:val="28"/>
          <w:rtl/>
        </w:rPr>
        <w:t xml:space="preserve">ربما یمیل کلام الغزالی و کلام کثیر من القائلین بالمعادین إلی أنّ معنی ذلک أن یخلق اللّه تعالی من الأجزاء بعد خراب البدن، و لا یضرّنا کونه غیر البدن الأوّل بحسب الشخص لامتناع إعادة المعدوم بعینه، و ما شهد به النصوص من کون أهل الجنّة جرداً مرداً، و کون ضرس الکافر مثل جبل أُحد یعضد ذلک، و کذا قوله تعالی: «کُلَّمٰا نَضِجَتْ جُلُودُهُمْ بَدَّلْنٰاهُمْ جُلُوداً غَیْرَهٰا» </w:t>
      </w:r>
      <w:r>
        <w:rPr>
          <w:rStyle w:val="FootnoteReference"/>
        </w:rPr>
        <w:footnoteReference w:id="47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یبعد أن یکون قوله تعالی: «أَ وَ لَیْسَ الَّذِی خَلَقَ السَّمٰاوٰاتِ</w:t>
      </w:r>
    </w:p>
    <w:p>
      <w:pPr>
        <w:pStyle w:val="BookText"/>
      </w:pPr>
      <w:r>
        <w:rPr>
          <w:rFonts w:ascii="IRNazanin" w:hAnsi="IRNazanin" w:eastAsia="IRNazanin" w:cs="IRNazanin"/>
          <w:lang w:bidi="fa-IR"/>
          <w:color w:val="111111"/>
          <w:sz w:val="28"/>
          <w:szCs w:val="28"/>
          <w:rtl/>
        </w:rPr>
        <w:t xml:space="preserve">[شماره صفحه واقعی : 415]
</w:t>
      </w:r>
    </w:p>
    <w:p>
      <w:pPr>
        <w:sectPr>
          <w:footerReference w:type="default" r:id="rId15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الْأَرْضَ بِقٰادِرٍ عَلیٰ أَنْ یَخْلُقَ مِثْلَهُمْ» </w:t>
      </w:r>
      <w:r>
        <w:rPr>
          <w:rStyle w:val="FootnoteReference"/>
        </w:rPr>
        <w:footnoteReference w:id="47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إشارة الی هذا. </w:t>
      </w:r>
      <w:r>
        <w:rPr>
          <w:rStyle w:val="FootnoteReference"/>
        </w:rPr>
        <w:footnoteReference w:id="4796"/>
      </w:r>
    </w:p>
    <w:p>
      <w:pPr>
        <w:pStyle w:val="BookText"/>
      </w:pPr>
      <w:r>
        <w:rPr>
          <w:rFonts w:ascii="IRNazanin" w:hAnsi="IRNazanin" w:eastAsia="IRNazanin" w:cs="IRNazanin"/>
          <w:lang w:bidi="fa-IR"/>
          <w:color w:val="111111"/>
          <w:sz w:val="28"/>
          <w:szCs w:val="28"/>
          <w:rtl/>
        </w:rPr>
        <w:t xml:space="preserve">و قال العلاّمة الطباطبائی قدس سره :</w:t>
      </w:r>
    </w:p>
    <w:p>
      <w:pPr>
        <w:pStyle w:val="BookText"/>
      </w:pPr>
      <w:r>
        <w:rPr>
          <w:rFonts w:ascii="IRNazanin" w:hAnsi="IRNazanin" w:eastAsia="IRNazanin" w:cs="IRNazanin"/>
          <w:lang w:bidi="fa-IR"/>
          <w:color w:val="111111"/>
          <w:sz w:val="28"/>
          <w:szCs w:val="28"/>
          <w:rtl/>
        </w:rPr>
        <w:t xml:space="preserve">البدن اللاحق من الإنسان إذا اعتبر بالقیاس إلی البدن السابق منه کان مثله لا عینه، لکنّ الإنسان ذا البدن اللاحق إذا قیس إلی الإنسان ذی البدن السابق، کان عینه لا مثله، لأنّ الشخصیّة بالنفس و هی واحدة بعینها. </w:t>
      </w:r>
      <w:r>
        <w:rPr>
          <w:rStyle w:val="FootnoteReference"/>
        </w:rPr>
        <w:footnoteReference w:id="4797"/>
      </w:r>
    </w:p>
    <w:p>
      <w:pPr>
        <w:pStyle w:val="BookText"/>
      </w:pPr>
      <w:r>
        <w:rPr>
          <w:rFonts w:ascii="IRNazanin" w:hAnsi="IRNazanin" w:eastAsia="IRNazanin" w:cs="IRNazanin"/>
          <w:lang w:bidi="fa-IR"/>
          <w:color w:val="111111"/>
          <w:sz w:val="28"/>
          <w:szCs w:val="28"/>
          <w:rtl/>
        </w:rPr>
        <w:t xml:space="preserve">[شماره صفحه واقعی : 416]
</w:t>
      </w:r>
    </w:p>
    <w:p>
      <w:pPr>
        <w:sectPr>
          <w:footerReference w:type="default" r:id="rId1563"/>
          <w:footnotePr>
            <w:numStart w:val="1"/>
            <w:numRestart w:val="eachPage"/>
          </w:footnotePr>
          <w:pgSz w:orient="portrait" w:w="11905.511811023622" w:h="16837.79527559055"/>
          <w:pgMar w:top="1440" w:right="1440" w:bottom="1440" w:left="1440" w:header="720" w:footer="720" w:gutter="0"/>
          <w:cols w:num="1" w:space="720"/>
        </w:sectPr>
      </w:pPr>
    </w:p>
    <w:bookmarkStart w:id="855" w:name="pg14411_143945"/>
    <w:bookmarkEnd w:id="855"/>
    <w:p>
      <w:pPr>
        <w:pStyle w:val="Heading5"/>
      </w:pPr>
      <w:bookmarkStart w:id="2663" w:name="_Toc1698"/>
      <w:r>
        <w:t>الفصل الرابع : براهین بطلان التناسخ</w:t>
      </w:r>
      <w:bookmarkEnd w:id="2663"/>
    </w:p>
    <w:p>
      <w:pPr>
        <w:pStyle w:val="Heading6"/>
      </w:pPr>
      <w:bookmarkStart w:id="2664" w:name="_Toc1699"/>
      <w:r>
        <w:t>اشارة</w:t>
      </w:r>
      <w:bookmarkEnd w:id="2664"/>
    </w:p>
    <w:p>
      <w:pPr>
        <w:pStyle w:val="BookText"/>
      </w:pPr>
      <w:r>
        <w:rPr>
          <w:rFonts w:ascii="IRNazanin" w:hAnsi="IRNazanin" w:eastAsia="IRNazanin" w:cs="IRNazanin"/>
          <w:lang w:bidi="fa-IR"/>
          <w:color w:val="111111"/>
          <w:sz w:val="28"/>
          <w:szCs w:val="28"/>
          <w:rtl/>
        </w:rPr>
        <w:t xml:space="preserve">التناسخ هو انتقال النفس من بدن إلی بدن آخر فی هذه النشأة، بلا توقّف أبداً، فالقائلون بالتّناسخ ینکرون عالم الآخرة و یفسّرون الثواب و العقاب باللّذات و الآلام الدنیویة فی هذه النشأة. قال الشهرستانی:</w:t>
      </w:r>
    </w:p>
    <w:p>
      <w:pPr>
        <w:pStyle w:val="BookText"/>
      </w:pPr>
      <w:r>
        <w:rPr>
          <w:rFonts w:ascii="IRNazanin" w:hAnsi="IRNazanin" w:eastAsia="IRNazanin" w:cs="IRNazanin"/>
          <w:lang w:bidi="fa-IR"/>
          <w:color w:val="111111"/>
          <w:sz w:val="28"/>
          <w:szCs w:val="28"/>
          <w:rtl/>
        </w:rPr>
        <w:t xml:space="preserve">إنّ التناسخ هو أن یتکرّر الأکوار و الأدوار إلی ما لا نهایة له، و یحدث فی کل دور مثل ما حدث فی الأوّل و الثواب و العقاب فی هذه الدار، لا فی دار أخری لا عمل فیها. و الأعمال التی نحن فیها إنما هی أجزیة علی أعمال سلفت منّا فی الأدوار الماضیة. فالراحة و السرور و الفرح و الدعة الّتی نجدها هی مرتّبة علی أعمال البرّ الّتی سلفت منّا فی الأدوار الماضیة. و الغمّ و الحزن و الضنک و الکلفة التی نجدها هی مرتّبة علی أعمال الفجور التی سبقت منّا. و کذا کان فی الأوّل و کذا یکون فی الآخرة. </w:t>
      </w:r>
      <w:r>
        <w:rPr>
          <w:rStyle w:val="FootnoteReference"/>
        </w:rPr>
        <w:footnoteReference w:id="4798"/>
      </w:r>
    </w:p>
    <w:p>
      <w:pPr>
        <w:pStyle w:val="BookText"/>
      </w:pPr>
      <w:r>
        <w:rPr>
          <w:rFonts w:ascii="IRNazanin" w:hAnsi="IRNazanin" w:eastAsia="IRNazanin" w:cs="IRNazanin"/>
          <w:lang w:bidi="fa-IR"/>
          <w:color w:val="111111"/>
          <w:sz w:val="28"/>
          <w:szCs w:val="28"/>
          <w:rtl/>
        </w:rPr>
        <w:t xml:space="preserve">[شماره صفحه واقعی : 417]
</w:t>
      </w:r>
    </w:p>
    <w:p>
      <w:pPr>
        <w:sectPr>
          <w:footerReference w:type="default" r:id="rId1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یرد علی القول بالتناسخ أمور تالیة: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أنّهم یقولون: «إنّ المصائب و الآلام الّتی تبتلی بها طائفة من الناس هی فی الحقیقة جزاء لما صنعوا فی حیاتهم السّابقة من الذنوب عند ما کانت أرواحهم متعلّقة بأبدان أخری، کما أنّ النعم و اللّذائذ الّتی تلتذّ بها جماعة أخری من الناس هی أیضاً جزاء أعمالهم الحسنة فی حیاتهم المتقدمة»، و علی هذا فکلٌّ یستحقّ لما هو حاصل له، فلا ینبغی الاعتراض علی المستکبرین و المترفین، کما لا ینبغی القیام بالانتصاف من المظلومین و المستضعفین، و بذلک تنهدم الأخلاق من أساسها و لا یبقی للفضائل الإنسانیة مجال، و هذه العقیدة خیر وسیلة للمفسدین و الطغاة لتبریر أعمالهم الشنیعة.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إنّ هذه العقیدة معارضة للقول بالمعاد الّذی أُقیم البرهان العقلی علی وجوبه، و من الواضح أنّ الّذی ینافی البرهان الصحیح فهو باطل، فالقول بالتناسخ باطل.</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إنّ لازم القول بالتناسخ هو اجتماع نفسین فی بدن واحد، و هو باطل. بیان الملازمة إنّه متی حصل فی البدن مزاج صالح لقبول تعلّق النفس المدبّرة له، فبالضرورة تفاض علیه النفس من الواهب من غیر مهلة و تراخ، قضاءً للحکمة الإلهیة الّتی شاءت إبلاغ کلّ ممکن إلی کماله الخاص به، فإذا تعلّقت النفس المستنسخة به أیضاً کما هو مقتضی القول بالتناسخ، لزم اجتماع نفسین فی بدن واحد.</w:t>
      </w:r>
    </w:p>
    <w:p>
      <w:pPr>
        <w:pStyle w:val="BookText"/>
      </w:pPr>
      <w:r>
        <w:rPr>
          <w:rFonts w:ascii="IRNazanin" w:hAnsi="IRNazanin" w:eastAsia="IRNazanin" w:cs="IRNazanin"/>
          <w:lang w:bidi="fa-IR"/>
          <w:color w:val="111111"/>
          <w:sz w:val="28"/>
          <w:szCs w:val="28"/>
          <w:rtl/>
        </w:rPr>
        <w:t xml:space="preserve">و أمّا بطلان اللازم فلأنّ تشخّص کلّ فرد من الأنواع بنفسه و صورته</w:t>
      </w:r>
    </w:p>
    <w:p>
      <w:pPr>
        <w:pStyle w:val="BookText"/>
      </w:pPr>
      <w:r>
        <w:rPr>
          <w:rFonts w:ascii="IRNazanin" w:hAnsi="IRNazanin" w:eastAsia="IRNazanin" w:cs="IRNazanin"/>
          <w:lang w:bidi="fa-IR"/>
          <w:color w:val="111111"/>
          <w:sz w:val="28"/>
          <w:szCs w:val="28"/>
          <w:rtl/>
        </w:rPr>
        <w:t xml:space="preserve">[شماره صفحه واقعی : 418]
</w:t>
      </w:r>
    </w:p>
    <w:p>
      <w:pPr>
        <w:sectPr>
          <w:footerReference w:type="default" r:id="rId1565"/>
          <w:footnotePr>
            <w:numStart w:val="1"/>
            <w:numRestart w:val="eachPage"/>
          </w:footnotePr>
          <w:pgSz w:orient="portrait" w:w="11905.511811023622" w:h="16837.79527559055"/>
          <w:pgMar w:top="1440" w:right="1440" w:bottom="1440" w:left="1440" w:header="720" w:footer="720" w:gutter="0"/>
          <w:cols w:num="1" w:space="720"/>
        </w:sectPr>
      </w:pPr>
    </w:p>
    <w:bookmarkStart w:id="856" w:name="pg14411_143947"/>
    <w:bookmarkEnd w:id="856"/>
    <w:p>
      <w:pPr>
        <w:pStyle w:val="BookText"/>
      </w:pPr>
      <w:r>
        <w:rPr>
          <w:rFonts w:ascii="IRNazanin" w:hAnsi="IRNazanin" w:eastAsia="IRNazanin" w:cs="IRNazanin"/>
          <w:lang w:bidi="fa-IR"/>
          <w:color w:val="111111"/>
          <w:sz w:val="28"/>
          <w:szCs w:val="28"/>
          <w:rtl/>
        </w:rPr>
        <w:t xml:space="preserve">النوعیة، ففرض نفسین فی بدن واحد مساوق لفرض ذاتین لذات واحدة و شخصین فی شخص واحد، و هذا محال، علی أنّ ذلک مخالف لما یجده کلّ إنسان فی صمیم وجوده و باطن ضمیره.</w:t>
      </w:r>
    </w:p>
    <w:p>
      <w:pPr>
        <w:pStyle w:val="BookText"/>
      </w:pPr>
      <w:r>
        <w:rPr>
          <w:rFonts w:ascii="IRNazanin" w:hAnsi="IRNazanin" w:eastAsia="IRNazanin" w:cs="IRNazanin"/>
          <w:lang w:bidi="fa-IR"/>
          <w:color w:val="111111"/>
          <w:sz w:val="28"/>
          <w:szCs w:val="28"/>
          <w:rtl/>
        </w:rPr>
        <w:t xml:space="preserve">فإن قلت: إنّ تعلّق النفس المنسوخة إذا کان مقارناً لصلاحیة البدن لإفاضة نفس علیه، یمنع عن إفاضتها علیه، فلا یلزم اجتماع نفسین فی بدن واحد.</w:t>
      </w:r>
    </w:p>
    <w:p>
      <w:pPr>
        <w:pStyle w:val="BookText"/>
      </w:pPr>
      <w:r>
        <w:rPr>
          <w:rFonts w:ascii="IRNazanin" w:hAnsi="IRNazanin" w:eastAsia="IRNazanin" w:cs="IRNazanin"/>
          <w:lang w:bidi="fa-IR"/>
          <w:color w:val="111111"/>
          <w:sz w:val="28"/>
          <w:szCs w:val="28"/>
          <w:rtl/>
        </w:rPr>
        <w:t xml:space="preserve">قلت: إنّ استعداد المادّة البدنیة لقبول النفس من واهب الصور یجری مجری استعداد الجدار لقبول نور الشّمس مباشرة و انعکاساً، فلا یکون أحدهما مانعاً عن الآخر، غیر أنّ اجتماع النفسین فی بدن واحد ممتنع عقلاً، و الامتناع ناشٍ من فرض التناسخ کما لا یخفی.</w:t>
      </w:r>
    </w:p>
    <w:p>
      <w:pPr>
        <w:pStyle w:val="Heading6"/>
      </w:pPr>
      <w:bookmarkStart w:id="2665" w:name="_Toc1700"/>
      <w:r>
        <w:t>التناسخ و المسخ</w:t>
      </w:r>
      <w:bookmarkEnd w:id="2665"/>
    </w:p>
    <w:p>
      <w:pPr>
        <w:pStyle w:val="BookText"/>
      </w:pPr>
      <w:r>
        <w:rPr>
          <w:rFonts w:ascii="IRNazanin" w:hAnsi="IRNazanin" w:eastAsia="IRNazanin" w:cs="IRNazanin"/>
          <w:lang w:bidi="fa-IR"/>
          <w:color w:val="111111"/>
          <w:sz w:val="28"/>
          <w:szCs w:val="28"/>
          <w:rtl/>
        </w:rPr>
        <w:t xml:space="preserve">ربما یقال: «لو کان التناسخ ممتنعاً فکیف وقع المسخ فی الأُمم السّالفة، کما صرّح به الذکر الحکیم؟» </w:t>
      </w:r>
      <w:r>
        <w:rPr>
          <w:rStyle w:val="FootnoteReference"/>
        </w:rPr>
        <w:footnoteReference w:id="47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الجواب: أنّ محذور التناسخ المحال، أمران:</w:t>
      </w:r>
    </w:p>
    <w:p>
      <w:pPr>
        <w:pStyle w:val="BookText"/>
      </w:pPr>
      <w:r>
        <w:rPr>
          <w:rFonts w:ascii="IRNazanin" w:hAnsi="IRNazanin" w:eastAsia="IRNazanin" w:cs="IRNazanin"/>
          <w:lang w:bidi="fa-IR"/>
          <w:color w:val="111111"/>
          <w:sz w:val="28"/>
          <w:szCs w:val="28"/>
          <w:rtl/>
        </w:rPr>
        <w:t xml:space="preserve">أحدهما: اجتماع نفسین فی بدن واحد.</w:t>
      </w:r>
    </w:p>
    <w:p>
      <w:pPr>
        <w:pStyle w:val="BookText"/>
      </w:pPr>
      <w:r>
        <w:rPr>
          <w:rFonts w:ascii="IRNazanin" w:hAnsi="IRNazanin" w:eastAsia="IRNazanin" w:cs="IRNazanin"/>
          <w:lang w:bidi="fa-IR"/>
          <w:color w:val="111111"/>
          <w:sz w:val="28"/>
          <w:szCs w:val="28"/>
          <w:rtl/>
        </w:rPr>
        <w:t xml:space="preserve">ثانیهما: تراجع النفس الإنسانیة من کمالها إلی الحدّ الّذی یناسب بدنها المتعلّقة به.</w:t>
      </w:r>
    </w:p>
    <w:p>
      <w:pPr>
        <w:pStyle w:val="BookText"/>
      </w:pPr>
      <w:r>
        <w:rPr>
          <w:rFonts w:ascii="IRNazanin" w:hAnsi="IRNazanin" w:eastAsia="IRNazanin" w:cs="IRNazanin"/>
          <w:lang w:bidi="fa-IR"/>
          <w:color w:val="111111"/>
          <w:sz w:val="28"/>
          <w:szCs w:val="28"/>
          <w:rtl/>
        </w:rPr>
        <w:t xml:space="preserve">[شماره صفحه واقعی : 419]
</w:t>
      </w:r>
    </w:p>
    <w:p>
      <w:pPr>
        <w:sectPr>
          <w:footerReference w:type="default" r:id="rId1566"/>
          <w:footnotePr>
            <w:numStart w:val="1"/>
            <w:numRestart w:val="eachPage"/>
          </w:footnotePr>
          <w:pgSz w:orient="portrait" w:w="11905.511811023622" w:h="16837.79527559055"/>
          <w:pgMar w:top="1440" w:right="1440" w:bottom="1440" w:left="1440" w:header="720" w:footer="720" w:gutter="0"/>
          <w:cols w:num="1" w:space="720"/>
        </w:sectPr>
      </w:pPr>
    </w:p>
    <w:bookmarkStart w:id="857" w:name="pg14411_143948"/>
    <w:bookmarkEnd w:id="857"/>
    <w:p>
      <w:pPr>
        <w:pStyle w:val="BookText"/>
      </w:pPr>
      <w:r>
        <w:rPr>
          <w:rFonts w:ascii="IRNazanin" w:hAnsi="IRNazanin" w:eastAsia="IRNazanin" w:cs="IRNazanin"/>
          <w:lang w:bidi="fa-IR"/>
          <w:color w:val="111111"/>
          <w:sz w:val="28"/>
          <w:szCs w:val="28"/>
          <w:rtl/>
        </w:rPr>
        <w:t xml:space="preserve">و المحذوران منتفیان فی المقام، فإنّ حقیقة مسخ الأُمّة المغضوبة و الملعونة هی تلبّس نفوسهم الخبیثة لباس الخنزیر و القرد، لا تبدّل نفوسهم الانسانیة إلی نفوس القردة و الخنازیر، قال التفتازانی:</w:t>
      </w:r>
    </w:p>
    <w:p>
      <w:pPr>
        <w:pStyle w:val="BookText"/>
      </w:pPr>
      <w:r>
        <w:rPr>
          <w:rFonts w:ascii="IRNazanin" w:hAnsi="IRNazanin" w:eastAsia="IRNazanin" w:cs="IRNazanin"/>
          <w:lang w:bidi="fa-IR"/>
          <w:color w:val="111111"/>
          <w:sz w:val="28"/>
          <w:szCs w:val="28"/>
          <w:rtl/>
        </w:rPr>
        <w:t xml:space="preserve">إنّ المتنازع هو أنّ النفوس بعد مفارقتها الأبدان، تتعلّق فی الدنیا بأبدان أخر للتدبیر و التصرّف و الاکتساب لا أن تتبدّل صور الأبدان کما فی المسخ... </w:t>
      </w:r>
      <w:r>
        <w:rPr>
          <w:rStyle w:val="FootnoteReference"/>
        </w:rPr>
        <w:footnoteReference w:id="4800"/>
      </w:r>
    </w:p>
    <w:p>
      <w:pPr>
        <w:pStyle w:val="BookText"/>
      </w:pPr>
      <w:r>
        <w:rPr>
          <w:rFonts w:ascii="IRNazanin" w:hAnsi="IRNazanin" w:eastAsia="IRNazanin" w:cs="IRNazanin"/>
          <w:lang w:bidi="fa-IR"/>
          <w:color w:val="111111"/>
          <w:sz w:val="28"/>
          <w:szCs w:val="28"/>
          <w:rtl/>
        </w:rPr>
        <w:t xml:space="preserve">و قال العلاّمة الطباطبائی: «الممسوخ من الإنسان، إنسان ممسوخ لا أنّه ممسوخ فاقد للإنسانیة». </w:t>
      </w:r>
      <w:r>
        <w:rPr>
          <w:rStyle w:val="FootnoteReference"/>
        </w:rPr>
        <w:footnoteReference w:id="4801"/>
      </w:r>
    </w:p>
    <w:p>
      <w:pPr>
        <w:pStyle w:val="Heading6"/>
      </w:pPr>
      <w:bookmarkStart w:id="2666" w:name="_Toc1701"/>
      <w:r>
        <w:t>التناسخ و الرجعة</w:t>
      </w:r>
      <w:bookmarkEnd w:id="2666"/>
    </w:p>
    <w:p>
      <w:pPr>
        <w:pStyle w:val="BookText"/>
      </w:pPr>
      <w:r>
        <w:rPr>
          <w:rFonts w:ascii="IRNazanin" w:hAnsi="IRNazanin" w:eastAsia="IRNazanin" w:cs="IRNazanin"/>
          <w:lang w:bidi="fa-IR"/>
          <w:color w:val="111111"/>
          <w:sz w:val="28"/>
          <w:szCs w:val="28"/>
          <w:rtl/>
        </w:rPr>
        <w:t xml:space="preserve">قد یقال: ما هو الفرق بین التناسخ الباطل و القول بالرجعة علی ما علیه الإمامیة؟».</w:t>
      </w:r>
    </w:p>
    <w:p>
      <w:pPr>
        <w:pStyle w:val="BookText"/>
      </w:pPr>
      <w:r>
        <w:rPr>
          <w:rFonts w:ascii="IRNazanin" w:hAnsi="IRNazanin" w:eastAsia="IRNazanin" w:cs="IRNazanin"/>
          <w:lang w:bidi="fa-IR"/>
          <w:color w:val="111111"/>
          <w:sz w:val="28"/>
          <w:szCs w:val="28"/>
          <w:rtl/>
        </w:rPr>
        <w:t xml:space="preserve">الجواب: الفرق بینهما واضح بعد الوقوف علی ما تقدّم، فإنّ الرجعة لا تستلزم انتقال النفس من بدن إلی بدن آخر، و لا اجتماع نفسین فی بدن واحد، و لا تراجع النفس عن کمالها الحاصل لها، و بذلک تعرف قیمة کلمة أحمد أمین المصری حیث یقول: «و تحت التشیّع ظهر القول بتناسخ الأرواح». </w:t>
      </w:r>
      <w:r>
        <w:rPr>
          <w:rStyle w:val="FootnoteReference"/>
        </w:rPr>
        <w:footnoteReference w:id="4802"/>
      </w:r>
    </w:p>
    <w:p>
      <w:pPr>
        <w:pStyle w:val="BookText"/>
      </w:pPr>
      <w:r>
        <w:rPr>
          <w:rFonts w:ascii="IRNazanin" w:hAnsi="IRNazanin" w:eastAsia="IRNazanin" w:cs="IRNazanin"/>
          <w:lang w:bidi="fa-IR"/>
          <w:color w:val="111111"/>
          <w:sz w:val="28"/>
          <w:szCs w:val="28"/>
          <w:rtl/>
        </w:rPr>
        <w:t xml:space="preserve">[شماره صفحه واقعی : 420]
</w:t>
      </w:r>
    </w:p>
    <w:p>
      <w:pPr>
        <w:sectPr>
          <w:footerReference w:type="default" r:id="rId1567"/>
          <w:footnotePr>
            <w:numStart w:val="1"/>
            <w:numRestart w:val="eachPage"/>
          </w:footnotePr>
          <w:pgSz w:orient="portrait" w:w="11905.511811023622" w:h="16837.79527559055"/>
          <w:pgMar w:top="1440" w:right="1440" w:bottom="1440" w:left="1440" w:header="720" w:footer="720" w:gutter="0"/>
          <w:cols w:num="1" w:space="720"/>
        </w:sectPr>
      </w:pPr>
    </w:p>
    <w:bookmarkStart w:id="858" w:name="pg14411_143949"/>
    <w:bookmarkEnd w:id="858"/>
    <w:p>
      <w:pPr>
        <w:pStyle w:val="Heading5"/>
      </w:pPr>
      <w:bookmarkStart w:id="2667" w:name="_Toc1702"/>
      <w:r>
        <w:t>الفصل الخامس : القبر و البرزخ</w:t>
      </w:r>
      <w:bookmarkEnd w:id="2667"/>
    </w:p>
    <w:p>
      <w:pPr>
        <w:pStyle w:val="Heading6"/>
      </w:pPr>
      <w:bookmarkStart w:id="2668" w:name="_Toc1703"/>
      <w:r>
        <w:t>اشارة</w:t>
      </w:r>
      <w:bookmarkEnd w:id="2668"/>
    </w:p>
    <w:p>
      <w:pPr>
        <w:pStyle w:val="BookText"/>
      </w:pPr>
      <w:r>
        <w:rPr>
          <w:rFonts w:ascii="IRNazanin" w:hAnsi="IRNazanin" w:eastAsia="IRNazanin" w:cs="IRNazanin"/>
          <w:lang w:bidi="fa-IR"/>
          <w:color w:val="111111"/>
          <w:sz w:val="28"/>
          <w:szCs w:val="28"/>
          <w:rtl/>
        </w:rPr>
        <w:t xml:space="preserve">البرزخ هو المنزل الأوّل للإنسان بعد الموت، و قد صرّح القرآن علی أنّ أمام الإنسان بعد موته برزخ إلی یوم القیامة قال عزّ من قائل:</w:t>
      </w:r>
    </w:p>
    <w:p>
      <w:pPr>
        <w:pStyle w:val="BookText"/>
      </w:pPr>
      <w:r>
        <w:rPr>
          <w:rFonts w:ascii="Amiri" w:hAnsi="Amiri" w:eastAsia="Amiri" w:cs="Amiri"/>
          <w:lang w:bidi="ar-SA"/>
          <w:color w:val="111111"/>
          <w:sz w:val="28"/>
          <w:szCs w:val="28"/>
          <w:rtl/>
        </w:rPr>
        <w:t xml:space="preserve">«وَ مِنْ وَرٰائِهِمْ </w:t>
      </w:r>
      <w:r>
        <w:rPr>
          <w:rStyle w:val="FootnoteReference"/>
        </w:rPr>
        <w:footnoteReference w:id="4803"/>
      </w:r>
      <w:r>
        <w:rPr>
          <w:rFonts w:ascii="Amiri" w:hAnsi="Amiri" w:eastAsia="Amiri" w:cs="Amiri"/>
          <w:lang w:bidi="ar-SA"/>
          <w:color w:val="111111"/>
          <w:sz w:val="28"/>
          <w:szCs w:val="28"/>
          <w:rtl/>
        </w:rPr>
        <w:t xml:space="preserve">بَرْزَخٌ إِلیٰ یَوْمِ یُبْعَثُونَ». </w:t>
      </w:r>
      <w:r>
        <w:rPr>
          <w:rStyle w:val="FootnoteReference"/>
        </w:rPr>
        <w:footnoteReference w:id="4804"/>
      </w:r>
    </w:p>
    <w:p>
      <w:pPr>
        <w:pStyle w:val="BookText"/>
      </w:pPr>
      <w:r>
        <w:rPr>
          <w:rFonts w:ascii="IRNazanin" w:hAnsi="IRNazanin" w:eastAsia="IRNazanin" w:cs="IRNazanin"/>
          <w:lang w:bidi="fa-IR"/>
          <w:color w:val="111111"/>
          <w:sz w:val="28"/>
          <w:szCs w:val="28"/>
          <w:rtl/>
        </w:rPr>
        <w:t xml:space="preserve">و لکنّ الآیة لا تدلّ علی وجود حیاة فی تلک الفاصلة، نعم هناک آیات یستفاد منها وجود حیاة واقعیة للإنسان فی تلک النشأة نأتی ببعضها: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قال تعالی:</w:t>
      </w:r>
    </w:p>
    <w:p>
      <w:pPr>
        <w:pStyle w:val="BookText"/>
      </w:pPr>
      <w:r>
        <w:rPr>
          <w:rFonts w:ascii="Amiri" w:hAnsi="Amiri" w:eastAsia="Amiri" w:cs="Amiri"/>
          <w:lang w:bidi="ar-SA"/>
          <w:color w:val="111111"/>
          <w:sz w:val="28"/>
          <w:szCs w:val="28"/>
          <w:rtl/>
        </w:rPr>
        <w:t xml:space="preserve">«قٰالُوا رَبَّنٰا أَمَتَّنَا اثْنَتَیْنِ وَ أَحْیَیْتَنَا اثْنَتَیْنِ فَاعْتَرَفْنٰا بِذُنُوبِنٰا فَهَلْ إِلیٰ خُرُوجٍ مِنْ سَبِیلٍ» </w:t>
      </w:r>
      <w:r>
        <w:rPr>
          <w:rStyle w:val="FootnoteReference"/>
        </w:rPr>
        <w:footnoteReference w:id="48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الظاهر أنّ المراد من الإحیاءین و الإماتتین ما یلی:</w:t>
      </w:r>
    </w:p>
    <w:p>
      <w:pPr>
        <w:pStyle w:val="BookText"/>
      </w:pPr>
      <w:r>
        <w:rPr>
          <w:rFonts w:ascii="IRNazanin" w:hAnsi="IRNazanin" w:eastAsia="IRNazanin" w:cs="IRNazanin"/>
          <w:lang w:bidi="fa-IR"/>
          <w:color w:val="111111"/>
          <w:sz w:val="28"/>
          <w:szCs w:val="28"/>
          <w:rtl/>
        </w:rPr>
        <w:t xml:space="preserve">الإماتة الأولی هی الإماتة عن الحیاة الدنیا. و الإحیاء الأوّل هو الإحیاء فی البرزخ، و تستمرّ هذه الحیاة إلی نفخ الصور الأوّل.</w:t>
      </w:r>
    </w:p>
    <w:p>
      <w:pPr>
        <w:pStyle w:val="BookText"/>
      </w:pPr>
      <w:r>
        <w:rPr>
          <w:rFonts w:ascii="IRNazanin" w:hAnsi="IRNazanin" w:eastAsia="IRNazanin" w:cs="IRNazanin"/>
          <w:lang w:bidi="fa-IR"/>
          <w:color w:val="111111"/>
          <w:sz w:val="28"/>
          <w:szCs w:val="28"/>
          <w:rtl/>
        </w:rPr>
        <w:t xml:space="preserve">[شماره صفحه واقعی : 421]
</w:t>
      </w:r>
    </w:p>
    <w:p>
      <w:pPr>
        <w:sectPr>
          <w:footerReference w:type="default" r:id="rId15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الاماتة الثانیة، عند نفخ الصور الأوّل، یقول سبحانه: «وَ نُفِخَ فِی الصُّورِ فَصَعِقَ مَنْ فِی السَّمٰاوٰاتِ وَ مَنْ فِی الْأَرْضِ» </w:t>
      </w:r>
      <w:r>
        <w:rPr>
          <w:rStyle w:val="FootnoteReference"/>
        </w:rPr>
        <w:footnoteReference w:id="4806"/>
      </w:r>
      <w:r>
        <w:rPr>
          <w:rFonts w:ascii="Amiri" w:hAnsi="Amiri" w:eastAsia="Amiri" w:cs="Amiri"/>
          <w:lang w:bidi="ar-SA"/>
          <w:color w:val="111111"/>
          <w:sz w:val="28"/>
          <w:szCs w:val="28"/>
          <w:rtl/>
        </w:rPr>
        <w:t xml:space="preserve">و الإحیاء الثانی، عند نفخ الصور الثانی، یقول سبحانه: «وَ نُفِخَ فِی الصُّورِ فَإِذٰا هُمْ مِنَ الْأَجْدٰاثِ إِلیٰ رَبِّهِمْ یَنْسِلُونَ » </w:t>
      </w:r>
      <w:r>
        <w:rPr>
          <w:rStyle w:val="FootnoteReference"/>
        </w:rPr>
        <w:footnoteReference w:id="48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تعدّد نفخ الصّور یستفاد من الآیتین، فیترتّب علی الأوّل هلاک من فی السّماوات و من فی الأرض، إلّا من شاء اللّه، و علی الثانی قیام الناس من أجداثهم، و فی أمر النفخ الثانی یقول سبحانه: «وَ نُفِخَ فِی الصُّورِ فَجَمَعْنٰاهُمْ جَمْعاً» </w:t>
      </w:r>
      <w:r>
        <w:rPr>
          <w:rStyle w:val="FootnoteReference"/>
        </w:rPr>
        <w:footnoteReference w:id="48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یقول سبحانه: «فَإِذٰا نُفِخَ فِی الصُّورِ فَلاٰ أَنْسٰابَ بَیْنَهُمْ یَوْمَئِذٍ وَ لاٰ یَتَسٰاءَلُونَ» </w:t>
      </w:r>
      <w:r>
        <w:rPr>
          <w:rStyle w:val="FootnoteReference"/>
        </w:rPr>
        <w:footnoteReference w:id="48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اختلاف الآثار یدلّ علی تعدّد النفخ.</w:t>
      </w:r>
    </w:p>
    <w:p>
      <w:pPr>
        <w:pStyle w:val="BookText"/>
      </w:pPr>
      <w:r>
        <w:rPr>
          <w:rFonts w:ascii="IRNazanin" w:hAnsi="IRNazanin" w:eastAsia="IRNazanin" w:cs="IRNazanin"/>
          <w:lang w:bidi="fa-IR"/>
          <w:color w:val="111111"/>
          <w:sz w:val="28"/>
          <w:szCs w:val="28"/>
          <w:rtl/>
        </w:rPr>
        <w:t xml:space="preserve">و علی ضوء هذا فللإنسان حیاة بعد الإماتة من الحیاة الدنیا، و هی حیاة برزخیة متوسطة بین النشأتین.</w:t>
      </w:r>
    </w:p>
    <w:p>
      <w:pPr>
        <w:pStyle w:val="BookText"/>
      </w:pPr>
      <w:r>
        <w:rPr>
          <w:rFonts w:ascii="Amiri" w:hAnsi="Amiri" w:eastAsia="Amiri" w:cs="Amiri"/>
          <w:lang w:bidi="ar-SA"/>
          <w:color w:val="111111"/>
          <w:sz w:val="28"/>
          <w:szCs w:val="28"/>
          <w:rtl/>
        </w:rPr>
        <w:t xml:space="preserve">2 - قوله سبحانه: «مِمّٰا خَطِیئٰاتِهِمْ أُغْرِقُوا فَأُدْخِلُوا نٰاراً فَلَمْ یَجِدُوا لَهُمْ مِنْ دُونِ اللّٰهِ أَنْصٰاراً» </w:t>
      </w:r>
      <w:r>
        <w:rPr>
          <w:rStyle w:val="FootnoteReference"/>
        </w:rPr>
        <w:footnoteReference w:id="4810"/>
      </w:r>
      <w:r>
        <w:rPr>
          <w:rFonts w:ascii="Amiri" w:hAnsi="Amiri" w:eastAsia="Amiri" w:cs="Amiri"/>
          <w:lang w:bidi="ar-SA"/>
          <w:color w:val="111111"/>
          <w:sz w:val="28"/>
          <w:szCs w:val="28"/>
          <w:rtl/>
        </w:rPr>
        <w:t xml:space="preserve">و هذه الآیة تدلّ علی أنّهم دخلوا النار بعد الغرق بلا فصل للفاء فی قوله: «فَأُدْخِلُوا».</w:t>
      </w:r>
    </w:p>
    <w:p>
      <w:pPr>
        <w:pStyle w:val="BookText"/>
      </w:pPr>
      <w:r>
        <w:rPr>
          <w:rFonts w:ascii="IRNazanin" w:hAnsi="IRNazanin" w:eastAsia="IRNazanin" w:cs="IRNazanin"/>
          <w:lang w:bidi="fa-IR"/>
          <w:color w:val="111111"/>
          <w:sz w:val="28"/>
          <w:szCs w:val="28"/>
          <w:rtl/>
        </w:rPr>
        <w:t xml:space="preserve">[شماره صفحه واقعی : 422]
</w:t>
      </w:r>
    </w:p>
    <w:p>
      <w:pPr>
        <w:sectPr>
          <w:footerReference w:type="default" r:id="rId15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قوله سبحانه: «النّٰارُ یُعْرَضُونَ عَلَیْهٰا غُدُوًّا وَ عَشِیًّا وَ یَوْمَ تَقُومُ السّٰاعَةُ أَدْخِلُوا آلَ فِرْعَوْنَ أَشَدَّ الْعَذٰابِ » </w:t>
      </w:r>
      <w:r>
        <w:rPr>
          <w:rStyle w:val="FootnoteReference"/>
        </w:rPr>
        <w:footnoteReference w:id="48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هذه الآیة تحکی عرض آل فرعون علی النار صباحاً و مساءً، قبل یوم القیامة، بشهادة قوله بعد العرض: «وَ یَوْمَ تَقُومُ السّٰاعَةُ» و لأجل ذلک، عبّر عن العذاب الأوّل بالعرض علی النّار، و عن العذاب فی الآخرة، بإدخال آل فرعون أشدّ العذاب، حاکیاً عن کون العذاب فی البرزخ، أخفّ وطأً من عذاب یوم السّاعة.</w:t>
      </w:r>
    </w:p>
    <w:p>
      <w:pPr>
        <w:pStyle w:val="BookText"/>
      </w:pPr>
      <w:r>
        <w:rPr>
          <w:rFonts w:ascii="IRNazanin" w:hAnsi="IRNazanin" w:eastAsia="IRNazanin" w:cs="IRNazanin"/>
          <w:lang w:bidi="fa-IR"/>
          <w:color w:val="111111"/>
          <w:sz w:val="28"/>
          <w:szCs w:val="28"/>
          <w:rtl/>
        </w:rPr>
        <w:t xml:space="preserve">ثمّ إنّ هناک آیات تدلّ علی حیاة الإنسان فی هذا الحدّ الفاصل بین الدنیا و البعث، حیاة تناسب هذا الظرف، تقدّم ذکرها عند البحث عن تجرّد النفس، و نکتفی هنا بهذا المقدار، حذراً من الإطالة.</w:t>
      </w:r>
    </w:p>
    <w:p>
      <w:pPr>
        <w:pStyle w:val="BookText"/>
      </w:pPr>
      <w:r>
        <w:rPr>
          <w:rFonts w:ascii="IRNazanin" w:hAnsi="IRNazanin" w:eastAsia="IRNazanin" w:cs="IRNazanin"/>
          <w:lang w:bidi="fa-IR"/>
          <w:color w:val="111111"/>
          <w:sz w:val="28"/>
          <w:szCs w:val="28"/>
          <w:rtl/>
        </w:rPr>
        <w:t xml:space="preserve">و أمّا من السنّة، فنکتفی بما جاء عن الصادق علیه السلام ، عند ما سُئِلَ عن أرواح المؤمنین، فقال:</w:t>
      </w:r>
    </w:p>
    <w:p>
      <w:pPr>
        <w:pStyle w:val="BookText"/>
      </w:pPr>
      <w:r>
        <w:rPr>
          <w:rFonts w:ascii="IRNazanin" w:hAnsi="IRNazanin" w:eastAsia="IRNazanin" w:cs="IRNazanin"/>
          <w:lang w:bidi="fa-IR"/>
          <w:color w:val="111111"/>
          <w:sz w:val="28"/>
          <w:szCs w:val="28"/>
          <w:rtl/>
        </w:rPr>
        <w:t xml:space="preserve">فی حجرات فی الجنّة، یأکلون من طعامها، و یشربون من شرابها، و یقولون ربّنا أتمم لنا السّاعة و أنجز ما وعدتنا».</w:t>
      </w:r>
    </w:p>
    <w:p>
      <w:pPr>
        <w:pStyle w:val="BookText"/>
      </w:pPr>
      <w:r>
        <w:rPr>
          <w:rFonts w:ascii="IRNazanin" w:hAnsi="IRNazanin" w:eastAsia="IRNazanin" w:cs="IRNazanin"/>
          <w:lang w:bidi="fa-IR"/>
          <w:color w:val="111111"/>
          <w:sz w:val="28"/>
          <w:szCs w:val="28"/>
          <w:rtl/>
        </w:rPr>
        <w:t xml:space="preserve">و سئل عن أرواح المشرکین، فقال: «فی النّار یعذّبون، یقولون لا تقم لنا السّاعة، و لا تنجز لنا ما وعدتنا». </w:t>
      </w:r>
      <w:r>
        <w:rPr>
          <w:rStyle w:val="FootnoteReference"/>
        </w:rPr>
        <w:footnoteReference w:id="4812"/>
      </w:r>
    </w:p>
    <w:p>
      <w:pPr>
        <w:pStyle w:val="BookText"/>
      </w:pPr>
      <w:r>
        <w:rPr>
          <w:rFonts w:ascii="IRNazanin" w:hAnsi="IRNazanin" w:eastAsia="IRNazanin" w:cs="IRNazanin"/>
          <w:lang w:bidi="fa-IR"/>
          <w:color w:val="111111"/>
          <w:sz w:val="28"/>
          <w:szCs w:val="28"/>
          <w:rtl/>
        </w:rPr>
        <w:t xml:space="preserve">[شماره صفحه واقعی : 423]
</w:t>
      </w:r>
    </w:p>
    <w:p>
      <w:pPr>
        <w:sectPr>
          <w:footerReference w:type="default" r:id="rId1570"/>
          <w:footnotePr>
            <w:numStart w:val="1"/>
            <w:numRestart w:val="eachPage"/>
          </w:footnotePr>
          <w:pgSz w:orient="portrait" w:w="11905.511811023622" w:h="16837.79527559055"/>
          <w:pgMar w:top="1440" w:right="1440" w:bottom="1440" w:left="1440" w:header="720" w:footer="720" w:gutter="0"/>
          <w:cols w:num="1" w:space="720"/>
        </w:sectPr>
      </w:pPr>
    </w:p>
    <w:bookmarkStart w:id="859" w:name="pg14411_143952"/>
    <w:bookmarkEnd w:id="859"/>
    <w:p>
      <w:pPr>
        <w:pStyle w:val="Heading6"/>
      </w:pPr>
      <w:bookmarkStart w:id="2669" w:name="_Toc1704"/>
      <w:r>
        <w:t>السؤال فی القبر و عذابه و نعیمه</w:t>
      </w:r>
      <w:bookmarkEnd w:id="2669"/>
    </w:p>
    <w:p>
      <w:pPr>
        <w:pStyle w:val="BookText"/>
      </w:pPr>
      <w:r>
        <w:rPr>
          <w:rFonts w:ascii="IRNazanin" w:hAnsi="IRNazanin" w:eastAsia="IRNazanin" w:cs="IRNazanin"/>
          <w:lang w:bidi="fa-IR"/>
          <w:color w:val="111111"/>
          <w:sz w:val="28"/>
          <w:szCs w:val="28"/>
          <w:rtl/>
        </w:rPr>
        <w:t xml:space="preserve">إذا کانت الحیاة البرزخیة هی المرحلة الأُولی من الحیاة بعد الدنیا، یظهر لنا أنّ ما اتّفق علیه المسلمون من سؤال المیّت فی قبره، و عذابه إن کان طالحاً، و إنعامه إن کان مؤمناً صالحاً، صحیح لا غبار علیه، و أنّ الإنسان الحیّ فی البرزخ مسئول عن أمور، ثمّ معذّب أو منعّم.</w:t>
      </w:r>
    </w:p>
    <w:p>
      <w:pPr>
        <w:pStyle w:val="BookText"/>
      </w:pPr>
      <w:r>
        <w:rPr>
          <w:rFonts w:ascii="IRNazanin" w:hAnsi="IRNazanin" w:eastAsia="IRNazanin" w:cs="IRNazanin"/>
          <w:lang w:bidi="fa-IR"/>
          <w:color w:val="111111"/>
          <w:sz w:val="28"/>
          <w:szCs w:val="28"/>
          <w:rtl/>
        </w:rPr>
        <w:t xml:space="preserve">قال الصدوق:</w:t>
      </w:r>
    </w:p>
    <w:p>
      <w:pPr>
        <w:pStyle w:val="BookText"/>
      </w:pPr>
      <w:r>
        <w:rPr>
          <w:rFonts w:ascii="IRNazanin" w:hAnsi="IRNazanin" w:eastAsia="IRNazanin" w:cs="IRNazanin"/>
          <w:lang w:bidi="fa-IR"/>
          <w:color w:val="111111"/>
          <w:sz w:val="28"/>
          <w:szCs w:val="28"/>
          <w:rtl/>
        </w:rPr>
        <w:t xml:space="preserve">اعتقادنا فی المسألة فی القبر أنّها حق لا بدّ منها، و من أجاب الصواب، فاز بروحٍ و ریحان فی قبره، و بجنّة النعیم فی الآخرة، و من لم یجب بالصواب، فله نُزُلٌ من حمیم فی قبره، و تصلیة جحیم فی الآخرة.</w:t>
      </w:r>
    </w:p>
    <w:p>
      <w:pPr>
        <w:pStyle w:val="BookText"/>
      </w:pPr>
      <w:r>
        <w:rPr>
          <w:rFonts w:ascii="IRNazanin" w:hAnsi="IRNazanin" w:eastAsia="IRNazanin" w:cs="IRNazanin"/>
          <w:lang w:bidi="fa-IR"/>
          <w:color w:val="111111"/>
          <w:sz w:val="28"/>
          <w:szCs w:val="28"/>
          <w:rtl/>
        </w:rPr>
        <w:t xml:space="preserve">و قال الشیخ المفید:</w:t>
      </w:r>
    </w:p>
    <w:p>
      <w:pPr>
        <w:pStyle w:val="BookText"/>
      </w:pPr>
      <w:r>
        <w:rPr>
          <w:rFonts w:ascii="IRNazanin" w:hAnsi="IRNazanin" w:eastAsia="IRNazanin" w:cs="IRNazanin"/>
          <w:lang w:bidi="fa-IR"/>
          <w:color w:val="111111"/>
          <w:sz w:val="28"/>
          <w:szCs w:val="28"/>
          <w:rtl/>
        </w:rPr>
        <w:t xml:space="preserve">جاءت الآثار الصحیحة عن النبیّ أنّ الملائکة تنزل علی المقبورین فتسألهم عن أدیانهم، و ألفاظ الأخبار بذلک متقاربة، فمنها أنّ ملکین للّه تعالی، یقال لهما ناکر و نکیر، ینزلان علی المیت فیسألانه عن ربّه و نبیّه و دینه و إمامه، فإن أجاب بالحقّ، سلّموه إلی ملائکة النعیم، و إن ارتج سلّموه إلی ملائکة العذاب. و فی بعض الروایات أنّ اسمی الملکین اللذین ینزلان علی الکافر: ناکر و نکیر، و اسمی الملکین اللذین ینزلان علی المؤمن: مبشّر و بشیر.</w:t>
      </w:r>
    </w:p>
    <w:p>
      <w:pPr>
        <w:pStyle w:val="BookText"/>
      </w:pPr>
      <w:r>
        <w:rPr>
          <w:rFonts w:ascii="IRNazanin" w:hAnsi="IRNazanin" w:eastAsia="IRNazanin" w:cs="IRNazanin"/>
          <w:lang w:bidi="fa-IR"/>
          <w:color w:val="111111"/>
          <w:sz w:val="28"/>
          <w:szCs w:val="28"/>
          <w:rtl/>
        </w:rPr>
        <w:t xml:space="preserve">[شماره صفحه واقعی : 424]
</w:t>
      </w:r>
    </w:p>
    <w:p>
      <w:pPr>
        <w:sectPr>
          <w:footerReference w:type="default" r:id="rId15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أن قال:</w:t>
      </w:r>
    </w:p>
    <w:p>
      <w:pPr>
        <w:pStyle w:val="BookText"/>
      </w:pPr>
      <w:r>
        <w:rPr>
          <w:rFonts w:ascii="IRNazanin" w:hAnsi="IRNazanin" w:eastAsia="IRNazanin" w:cs="IRNazanin"/>
          <w:lang w:bidi="fa-IR"/>
          <w:color w:val="111111"/>
          <w:sz w:val="28"/>
          <w:szCs w:val="28"/>
          <w:rtl/>
        </w:rPr>
        <w:t xml:space="preserve">و لیس ینزل الملکان إلّا علی حی، و لا یسألان إلّا من یفهم المسألة و یعرف معناها، و هذا یدلّ علی أنّ اللّه تعالی یحیی العبد بعد موته للمسألة، و یدیم حیاته لنعیم إن کان یستحقّه، أو لعذاب إن کان یستحقّه. </w:t>
      </w:r>
      <w:r>
        <w:rPr>
          <w:rStyle w:val="FootnoteReference"/>
        </w:rPr>
        <w:footnoteReference w:id="4813"/>
      </w:r>
    </w:p>
    <w:p>
      <w:pPr>
        <w:pStyle w:val="BookText"/>
      </w:pPr>
      <w:r>
        <w:rPr>
          <w:rFonts w:ascii="IRNazanin" w:hAnsi="IRNazanin" w:eastAsia="IRNazanin" w:cs="IRNazanin"/>
          <w:lang w:bidi="fa-IR"/>
          <w:color w:val="111111"/>
          <w:sz w:val="28"/>
          <w:szCs w:val="28"/>
          <w:rtl/>
        </w:rPr>
        <w:t xml:space="preserve">و الظاهر اتفاق المسلمین علی ذلک، یقول أحمد بن حنبل:</w:t>
      </w:r>
    </w:p>
    <w:p>
      <w:pPr>
        <w:pStyle w:val="BookText"/>
      </w:pPr>
      <w:r>
        <w:rPr>
          <w:rFonts w:ascii="IRNazanin" w:hAnsi="IRNazanin" w:eastAsia="IRNazanin" w:cs="IRNazanin"/>
          <w:lang w:bidi="fa-IR"/>
          <w:color w:val="111111"/>
          <w:sz w:val="28"/>
          <w:szCs w:val="28"/>
          <w:rtl/>
        </w:rPr>
        <w:t xml:space="preserve">و عذاب القبر حق، یسأل العبد عن دینه و عن ربّه، و یری مقعده من النار و الجنّة، و منکر و نکیر حق. </w:t>
      </w:r>
      <w:r>
        <w:rPr>
          <w:rStyle w:val="FootnoteReference"/>
        </w:rPr>
        <w:footnoteReference w:id="4814"/>
      </w:r>
    </w:p>
    <w:p>
      <w:pPr>
        <w:pStyle w:val="BookText"/>
      </w:pPr>
      <w:r>
        <w:rPr>
          <w:rFonts w:ascii="IRNazanin" w:hAnsi="IRNazanin" w:eastAsia="IRNazanin" w:cs="IRNazanin"/>
          <w:lang w:bidi="fa-IR"/>
          <w:color w:val="111111"/>
          <w:sz w:val="28"/>
          <w:szCs w:val="28"/>
          <w:rtl/>
        </w:rPr>
        <w:t xml:space="preserve">و قد نسب إلی المعتزلة إنکار عذاب القبر، و النسبة فی غیر محلّها، و إنّما المنکر واحد منهم، هو ضرار بن عمرو، و قد انفصل عن المعتزلة، صرّح بذلک القاضی عبد الجبار المعتزلی. </w:t>
      </w:r>
      <w:r>
        <w:rPr>
          <w:rStyle w:val="FootnoteReference"/>
        </w:rPr>
        <w:footnoteReference w:id="4815"/>
      </w:r>
    </w:p>
    <w:p>
      <w:pPr>
        <w:pStyle w:val="BookText"/>
      </w:pPr>
      <w:r>
        <w:rPr>
          <w:rFonts w:ascii="IRNazanin" w:hAnsi="IRNazanin" w:eastAsia="IRNazanin" w:cs="IRNazanin"/>
          <w:lang w:bidi="fa-IR"/>
          <w:color w:val="111111"/>
          <w:sz w:val="28"/>
          <w:szCs w:val="28"/>
          <w:rtl/>
        </w:rPr>
        <w:t xml:space="preserve">هذا کلّه ممّا لا ریب فیه، إنّما الکلام فیما هو المراد هنا من القبر، و الإمعان فی الآیات الماضیة الّتی استدللنا بها علی الحیاة البرزخیة، و الروایات الواردة حول البرزخ، تعرب بوضوح عن أنّ المراد من القبر، لیس هو المکان الّذی یدفن فیه الإنسان، و لا یتجاوز جثَّته فی السَّعة، و إنّما المراد منه هو النشأة الّتی یعیش فیها الإنسان بعد الموت و قبل البعث، و إنّما</w:t>
      </w:r>
    </w:p>
    <w:p>
      <w:pPr>
        <w:pStyle w:val="BookText"/>
      </w:pPr>
      <w:r>
        <w:rPr>
          <w:rFonts w:ascii="IRNazanin" w:hAnsi="IRNazanin" w:eastAsia="IRNazanin" w:cs="IRNazanin"/>
          <w:lang w:bidi="fa-IR"/>
          <w:color w:val="111111"/>
          <w:sz w:val="28"/>
          <w:szCs w:val="28"/>
          <w:rtl/>
        </w:rPr>
        <w:t xml:space="preserve">[شماره صفحه واقعی : 425]
</w:t>
      </w:r>
    </w:p>
    <w:p>
      <w:pPr>
        <w:sectPr>
          <w:footerReference w:type="default" r:id="rId1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کنّی بالقبر عنها، لأنّ النزول إلی القبر یلازم أو یکون بدءاً لوقوع الإنسان فیها.</w:t>
      </w:r>
    </w:p>
    <w:p>
      <w:pPr>
        <w:pStyle w:val="BookText"/>
      </w:pPr>
      <w:r>
        <w:rPr>
          <w:rFonts w:ascii="IRNazanin" w:hAnsi="IRNazanin" w:eastAsia="IRNazanin" w:cs="IRNazanin"/>
          <w:lang w:bidi="fa-IR"/>
          <w:color w:val="111111"/>
          <w:sz w:val="28"/>
          <w:szCs w:val="28"/>
          <w:rtl/>
        </w:rPr>
        <w:t xml:space="preserve">و الظاهر من الروایات تعلّق الروح بأبدان تماثل الأبدان الدنیویة، لکن بلطافة تناسب الحیاة فی تلک النشأة، و لیس التعلّق بها ملازماً لتجویز التناسخ، لأنّ المراد من التناسخ هو رجوع الشیء من الفعلیة إلی القوّة، أعنی عودة الروح إلی الدنیا عن طریق النطفة، فالعلقة، فالمضغة إلی أن تصیر إنساناً کاملاً، و هذا منفی عقلاً و شرعاً، کما تقدّم، و لا یلزم هذا فی تعلّقها ببدن ألطف من البدن المادی، فی النشأة الثانیة.</w:t>
      </w:r>
    </w:p>
    <w:p>
      <w:pPr>
        <w:pStyle w:val="BookText"/>
      </w:pPr>
      <w:r>
        <w:rPr>
          <w:rFonts w:ascii="IRNazanin" w:hAnsi="IRNazanin" w:eastAsia="IRNazanin" w:cs="IRNazanin"/>
          <w:lang w:bidi="fa-IR"/>
          <w:color w:val="111111"/>
          <w:sz w:val="28"/>
          <w:szCs w:val="28"/>
          <w:rtl/>
        </w:rPr>
        <w:t xml:space="preserve">قال الشیخ البهائی:</w:t>
      </w:r>
    </w:p>
    <w:p>
      <w:pPr>
        <w:pStyle w:val="BookText"/>
      </w:pPr>
      <w:r>
        <w:rPr>
          <w:rFonts w:ascii="IRNazanin" w:hAnsi="IRNazanin" w:eastAsia="IRNazanin" w:cs="IRNazanin"/>
          <w:lang w:bidi="fa-IR"/>
          <w:color w:val="111111"/>
          <w:sz w:val="28"/>
          <w:szCs w:val="28"/>
          <w:rtl/>
        </w:rPr>
        <w:t xml:space="preserve">قد یتوهّم أنّ القول بتعلّق الأرواح، بعد مفارقة أبدانها العنصریة، بأشباح أُخر -کما دلّت علیه الأحادیث -قول بالتناسخ، و هذا توهّم سخیف، لأنّ التناسخ الّذی أطبق المسلمون علی بطلانه، هو تعلّق الأرواح بعد خراب أجسادها، بأجسام أخر فی هذا العالم، و أمّا القول بتعلّقها فی عالم آخر، بأبدان مثالیة، مدّة البرزخ، إلی أن تقوم قیامتها الکبری، فتعود إلی أبدانها الأولیّة بإذن مُبدعها، فلیس من التناسخ فی شیء. </w:t>
      </w:r>
      <w:r>
        <w:rPr>
          <w:rStyle w:val="FootnoteReference"/>
        </w:rPr>
        <w:footnoteReference w:id="4816"/>
      </w:r>
    </w:p>
    <w:p>
      <w:pPr>
        <w:pStyle w:val="BookText"/>
      </w:pPr>
      <w:r>
        <w:rPr>
          <w:rFonts w:ascii="IRNazanin" w:hAnsi="IRNazanin" w:eastAsia="IRNazanin" w:cs="IRNazanin"/>
          <w:lang w:bidi="fa-IR"/>
          <w:color w:val="111111"/>
          <w:sz w:val="28"/>
          <w:szCs w:val="28"/>
          <w:rtl/>
        </w:rPr>
        <w:t xml:space="preserve">[شماره صفحه واقعی : 426]
</w:t>
      </w:r>
    </w:p>
    <w:p>
      <w:pPr>
        <w:sectPr>
          <w:footerReference w:type="default" r:id="rId1573"/>
          <w:footnotePr>
            <w:numStart w:val="1"/>
            <w:numRestart w:val="eachPage"/>
          </w:footnotePr>
          <w:pgSz w:orient="portrait" w:w="11905.511811023622" w:h="16837.79527559055"/>
          <w:pgMar w:top="1440" w:right="1440" w:bottom="1440" w:left="1440" w:header="720" w:footer="720" w:gutter="0"/>
          <w:cols w:num="1" w:space="720"/>
        </w:sectPr>
      </w:pPr>
    </w:p>
    <w:bookmarkStart w:id="860" w:name="pg14411_143955"/>
    <w:bookmarkEnd w:id="860"/>
    <w:p>
      <w:pPr>
        <w:pStyle w:val="Heading5"/>
      </w:pPr>
      <w:bookmarkStart w:id="2670" w:name="_Toc1705"/>
      <w:r>
        <w:t>الفصل السادس : الحساب و الشهود</w:t>
      </w:r>
      <w:bookmarkEnd w:id="2670"/>
    </w:p>
    <w:p>
      <w:pPr>
        <w:pStyle w:val="Heading6"/>
      </w:pPr>
      <w:bookmarkStart w:id="2671" w:name="_Toc1706"/>
      <w:r>
        <w:t>أ. الحساب یوم القیامة</w:t>
      </w:r>
      <w:bookmarkEnd w:id="2671"/>
    </w:p>
    <w:p>
      <w:pPr>
        <w:pStyle w:val="BookText"/>
      </w:pPr>
      <w:r>
        <w:rPr>
          <w:rFonts w:ascii="IRNazanin" w:hAnsi="IRNazanin" w:eastAsia="IRNazanin" w:cs="IRNazanin"/>
          <w:lang w:bidi="fa-IR"/>
          <w:color w:val="111111"/>
          <w:sz w:val="28"/>
          <w:szCs w:val="28"/>
          <w:rtl/>
        </w:rPr>
        <w:t xml:space="preserve">إنّ من أسماء یوم القیامة، «یوم الحساب»، یحکی القرآن الکریم دعاء إبراهیم علیه السلام إلی اللّه تعالی، حیث قال:</w:t>
      </w:r>
    </w:p>
    <w:p>
      <w:pPr>
        <w:pStyle w:val="BookText"/>
      </w:pPr>
      <w:r>
        <w:rPr>
          <w:rFonts w:ascii="Amiri" w:hAnsi="Amiri" w:eastAsia="Amiri" w:cs="Amiri"/>
          <w:lang w:bidi="ar-SA"/>
          <w:color w:val="111111"/>
          <w:sz w:val="28"/>
          <w:szCs w:val="28"/>
          <w:rtl/>
        </w:rPr>
        <w:t xml:space="preserve">«رَبَّنَا اغْفِرْ لِی وَ لِوٰالِدَیَّ وَ لِلْمُؤْمِنِینَ یَوْمَ یَقُومُ الْحِسٰابُ » </w:t>
      </w:r>
      <w:r>
        <w:rPr>
          <w:rStyle w:val="FootnoteReference"/>
        </w:rPr>
        <w:footnoteReference w:id="48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کما یحکی أنّ موسی علیه السلام فیما أجاب فرعون حینما هدده بالقتل قال: «إِنِّی عُذْتُ بِرَبِّی وَ رَبِّکُمْ مِنْ کُلِّ مُتَکَبِّرٍ لاٰ یُؤْمِنُ بِیَوْمِ الْحِسٰابِ» </w:t>
      </w:r>
      <w:r>
        <w:rPr>
          <w:rStyle w:val="FootnoteReference"/>
        </w:rPr>
        <w:footnoteReference w:id="48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 الغرض من الحساب لیس هو وقوفه سبحانه علی ما یستحقّه العباد من الثواب و العقاب، بالوقوف علی أعمالهم الصالحة و الطالحة و هذا واضح، بل الغرض منه الاحتجاج علی العاصین، و إبراز عدله تعالی علی العباد فی مقام الجزاء، و لأجل ذلک یقیم علیهم شهوداً مختلفة، و للشیخ الصدوق کلام مبسوط فی المقام نأتی به إیضاحاً للمقصود، قال:</w:t>
      </w:r>
    </w:p>
    <w:p>
      <w:pPr>
        <w:pStyle w:val="BookText"/>
      </w:pPr>
      <w:r>
        <w:rPr>
          <w:rFonts w:ascii="Amiri" w:hAnsi="Amiri" w:eastAsia="Amiri" w:cs="Amiri"/>
          <w:lang w:bidi="ar-SA"/>
          <w:color w:val="111111"/>
          <w:sz w:val="28"/>
          <w:szCs w:val="28"/>
          <w:rtl/>
        </w:rPr>
        <w:t xml:space="preserve">اعتقادنا فی الحساب أنّه حقّ، منه ما یتولاّه اللّه عزّ و جلّ، و منه</w:t>
      </w:r>
    </w:p>
    <w:p>
      <w:pPr>
        <w:pStyle w:val="BookText"/>
      </w:pPr>
      <w:r>
        <w:rPr>
          <w:rFonts w:ascii="IRNazanin" w:hAnsi="IRNazanin" w:eastAsia="IRNazanin" w:cs="IRNazanin"/>
          <w:lang w:bidi="fa-IR"/>
          <w:color w:val="111111"/>
          <w:sz w:val="28"/>
          <w:szCs w:val="28"/>
          <w:rtl/>
        </w:rPr>
        <w:t xml:space="preserve">[شماره صفحه واقعی : 427]
</w:t>
      </w:r>
    </w:p>
    <w:p>
      <w:pPr>
        <w:sectPr>
          <w:footerReference w:type="default" r:id="rId15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یتولاّه حججه، فحساب الأنبیاء و الأئمة علیهم السلام یتولاّه عزّ و جلّ، و یتولّی کلّ نبی حساب أوصیائه و یتولّی الأوصیاء حساب الأُمم، و اللّه تبارک و تعالی هو الشهید علی الأنبیاء و الرسل، و هم الشهداء علی الأوصیاء، و الأئمّة شهداء علی الناس، و ذلک قول اللّه عزّ و جلّ:</w:t>
      </w:r>
    </w:p>
    <w:p>
      <w:pPr>
        <w:pStyle w:val="BookText"/>
      </w:pPr>
      <w:r>
        <w:rPr>
          <w:rFonts w:ascii="Amiri" w:hAnsi="Amiri" w:eastAsia="Amiri" w:cs="Amiri"/>
          <w:lang w:bidi="ar-SA"/>
          <w:color w:val="111111"/>
          <w:sz w:val="28"/>
          <w:szCs w:val="28"/>
          <w:rtl/>
        </w:rPr>
        <w:t xml:space="preserve">«لِیَکُونَ الرَّسُولُ شَهِیداً عَلَیْکُمْ وَ تَکُونُوا شُهَدٰاءَ عَلَی النّٰاسِ» </w:t>
      </w:r>
      <w:r>
        <w:rPr>
          <w:rStyle w:val="FootnoteReference"/>
        </w:rPr>
        <w:footnoteReference w:id="48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تعالی: «فَکَیْفَ إِذٰا جِئْنٰا مِنْ کُلِّ أُمَّةٍ بِشَهِیدٍ وَ جِئْنٰا بِکَ عَلیٰ هٰؤُلاٰءِ شَهِیداً» </w:t>
      </w:r>
      <w:r>
        <w:rPr>
          <w:rStyle w:val="FootnoteReference"/>
        </w:rPr>
        <w:footnoteReference w:id="48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اللّه تعالی: «أَ فَمَنْ کٰانَ عَلیٰ بَیِّنَةٍ مِنْ رَبِّهِ وَ یَتْلُوهُ شٰاهِدٌ مِنْهُ » </w:t>
      </w:r>
      <w:r>
        <w:rPr>
          <w:rStyle w:val="FootnoteReference"/>
        </w:rPr>
        <w:footnoteReference w:id="48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الشاهد أمیر المؤمنین علیه السلام ؛</w:t>
      </w:r>
    </w:p>
    <w:p>
      <w:pPr>
        <w:pStyle w:val="BookText"/>
      </w:pPr>
      <w:r>
        <w:rPr>
          <w:rFonts w:ascii="Amiri" w:hAnsi="Amiri" w:eastAsia="Amiri" w:cs="Amiri"/>
          <w:lang w:bidi="ar-SA"/>
          <w:color w:val="111111"/>
          <w:sz w:val="28"/>
          <w:szCs w:val="28"/>
          <w:rtl/>
        </w:rPr>
        <w:t xml:space="preserve">و قوله تعالی: «إِنَّ إِلَیْنٰا إِیٰابَهُمْ * ثُمَّ إِنَّ عَلَیْنٰا حِسٰابَهُمْ » </w:t>
      </w:r>
      <w:r>
        <w:rPr>
          <w:rStyle w:val="FootnoteReference"/>
        </w:rPr>
        <w:footnoteReference w:id="48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الخلق من یدخل الجنّة بغیر حساب، و أمّا السؤال فهو واقع علی جمیع الخلق لقول اللّه تعالی:</w:t>
      </w:r>
    </w:p>
    <w:p>
      <w:pPr>
        <w:pStyle w:val="BookText"/>
      </w:pPr>
      <w:r>
        <w:rPr>
          <w:rFonts w:ascii="Amiri" w:hAnsi="Amiri" w:eastAsia="Amiri" w:cs="Amiri"/>
          <w:lang w:bidi="ar-SA"/>
          <w:color w:val="111111"/>
          <w:sz w:val="28"/>
          <w:szCs w:val="28"/>
          <w:rtl/>
        </w:rPr>
        <w:t xml:space="preserve">«فَلَنَسْئَلَنَّ الَّذِینَ أُرْسِلَ إِلَیْهِمْ وَ لَنَسْئَلَنَّ الْمُرْسَلِینَ » </w:t>
      </w:r>
      <w:r>
        <w:rPr>
          <w:rStyle w:val="FootnoteReference"/>
        </w:rPr>
        <w:footnoteReference w:id="48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یعنی عن الدّین، و کلّ محاسب معذّب و لو بطول الوقوف، و لا ینجو</w:t>
      </w:r>
    </w:p>
    <w:p>
      <w:pPr>
        <w:pStyle w:val="BookText"/>
      </w:pPr>
      <w:r>
        <w:rPr>
          <w:rFonts w:ascii="IRNazanin" w:hAnsi="IRNazanin" w:eastAsia="IRNazanin" w:cs="IRNazanin"/>
          <w:lang w:bidi="fa-IR"/>
          <w:color w:val="111111"/>
          <w:sz w:val="28"/>
          <w:szCs w:val="28"/>
          <w:rtl/>
        </w:rPr>
        <w:t xml:space="preserve">[شماره صفحه واقعی : 428]
</w:t>
      </w:r>
    </w:p>
    <w:p>
      <w:pPr>
        <w:sectPr>
          <w:footerReference w:type="default" r:id="rId1575"/>
          <w:footnotePr>
            <w:numStart w:val="1"/>
            <w:numRestart w:val="eachPage"/>
          </w:footnotePr>
          <w:pgSz w:orient="portrait" w:w="11905.511811023622" w:h="16837.79527559055"/>
          <w:pgMar w:top="1440" w:right="1440" w:bottom="1440" w:left="1440" w:header="720" w:footer="720" w:gutter="0"/>
          <w:cols w:num="1" w:space="720"/>
        </w:sectPr>
      </w:pPr>
    </w:p>
    <w:bookmarkStart w:id="861" w:name="pg14411_143957"/>
    <w:bookmarkEnd w:id="861"/>
    <w:p>
      <w:pPr>
        <w:pStyle w:val="BookText"/>
      </w:pPr>
      <w:r>
        <w:rPr>
          <w:rFonts w:ascii="IRNazanin" w:hAnsi="IRNazanin" w:eastAsia="IRNazanin" w:cs="IRNazanin"/>
          <w:lang w:bidi="fa-IR"/>
          <w:color w:val="111111"/>
          <w:sz w:val="28"/>
          <w:szCs w:val="28"/>
          <w:rtl/>
        </w:rPr>
        <w:t xml:space="preserve">من النار و لا یدخل الجنّة أحد بعمله إلّا برحمة اللّه تعالی.</w:t>
      </w:r>
    </w:p>
    <w:p>
      <w:pPr>
        <w:pStyle w:val="BookText"/>
      </w:pPr>
      <w:r>
        <w:rPr>
          <w:rFonts w:ascii="IRNazanin" w:hAnsi="IRNazanin" w:eastAsia="IRNazanin" w:cs="IRNazanin"/>
          <w:lang w:bidi="fa-IR"/>
          <w:color w:val="111111"/>
          <w:sz w:val="28"/>
          <w:szCs w:val="28"/>
          <w:rtl/>
        </w:rPr>
        <w:t xml:space="preserve">و إنّ اللّه تبارک و تعالی یخاطب عباده من الأوّلین و الآخرین بمجمل حساب عملهم مخاطبة واحدة یسمع منها کلّ واحد قضیته دون غیرها، و یظنّ أنّه المخاطب دون غیره، و لا تشغله تعالی مخاطبة عن مخاطبة.</w:t>
      </w:r>
    </w:p>
    <w:p>
      <w:pPr>
        <w:pStyle w:val="BookText"/>
      </w:pPr>
      <w:r>
        <w:rPr>
          <w:rFonts w:ascii="IRNazanin" w:hAnsi="IRNazanin" w:eastAsia="IRNazanin" w:cs="IRNazanin"/>
          <w:lang w:bidi="fa-IR"/>
          <w:color w:val="111111"/>
          <w:sz w:val="28"/>
          <w:szCs w:val="28"/>
          <w:rtl/>
        </w:rPr>
        <w:t xml:space="preserve">و یخرج اللّه تعالی لکلّ إنسان کتاباً یلقاه منشوراً، ینطق علیه بجمیع أعماله، لا یغادر صغیرة و لا کبیرة إلّا أحصاها، فیجعله اللّه محاسب نفسه و الحاکم علیها بأن یقال له:</w:t>
      </w:r>
    </w:p>
    <w:p>
      <w:pPr>
        <w:pStyle w:val="BookText"/>
      </w:pPr>
      <w:r>
        <w:rPr>
          <w:rFonts w:ascii="Amiri" w:hAnsi="Amiri" w:eastAsia="Amiri" w:cs="Amiri"/>
          <w:lang w:bidi="ar-SA"/>
          <w:color w:val="111111"/>
          <w:sz w:val="28"/>
          <w:szCs w:val="28"/>
          <w:rtl/>
        </w:rPr>
        <w:t xml:space="preserve">«اقْرَأْ کِتٰابَکَ کَفیٰ بِنَفْسِکَ الْیَوْمَ عَلَیْکَ حَسِیباً» </w:t>
      </w:r>
      <w:r>
        <w:rPr>
          <w:rStyle w:val="FootnoteReference"/>
        </w:rPr>
        <w:footnoteReference w:id="48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یختم اللّه تبارک و تعالی علی قوم علی أفواههم و تشهد أیدیهم و أرجلهم و جمیع جوارحهم بما کانوا یکتمون.</w:t>
      </w:r>
    </w:p>
    <w:p>
      <w:pPr>
        <w:pStyle w:val="BookText"/>
      </w:pPr>
      <w:r>
        <w:rPr>
          <w:rFonts w:ascii="Amiri" w:hAnsi="Amiri" w:eastAsia="Amiri" w:cs="Amiri"/>
          <w:lang w:bidi="ar-SA"/>
          <w:color w:val="111111"/>
          <w:sz w:val="28"/>
          <w:szCs w:val="28"/>
          <w:rtl/>
        </w:rPr>
        <w:t xml:space="preserve">«وَ قٰالُوا لِجُلُودِهِمْ لِمَ شَهِدْتُمْ عَلَیْنٰا قٰالُوا أَنْطَقَنَا اللّٰهُ الَّذِی أَنْطَقَ کُلَّ شَیْءٍ وَ هُوَ خَلَقَکُمْ أَوَّلَ مَرَّةٍ وَ إِلَیْهِ تُرْجَعُونَ » </w:t>
      </w:r>
      <w:r>
        <w:rPr>
          <w:rStyle w:val="FootnoteReference"/>
        </w:rPr>
        <w:footnoteReference w:id="4825"/>
      </w:r>
      <w:r>
        <w:rPr>
          <w:rFonts w:ascii="Times New Roman" w:hAnsi="Times New Roman" w:eastAsia="Times New Roman" w:cs="Times New Roman"/>
          <w:lang w:val="en-US" w:bidi="en-US"/>
          <w:color w:val="111111"/>
          <w:sz w:val="28"/>
          <w:szCs w:val="28"/>
          <w:rtl/>
        </w:rPr>
        <w:t xml:space="preserve">. </w:t>
      </w:r>
      <w:r>
        <w:rPr>
          <w:rStyle w:val="FootnoteReference"/>
        </w:rPr>
        <w:footnoteReference w:id="4826"/>
      </w:r>
    </w:p>
    <w:p>
      <w:pPr>
        <w:pStyle w:val="Heading6"/>
      </w:pPr>
      <w:bookmarkStart w:id="2672" w:name="_Toc1707"/>
      <w:r>
        <w:t>ب. الشهود یوم القیامة</w:t>
      </w:r>
      <w:bookmarkEnd w:id="2672"/>
    </w:p>
    <w:p>
      <w:pPr>
        <w:pStyle w:val="BookText"/>
      </w:pPr>
      <w:r>
        <w:rPr>
          <w:rFonts w:ascii="IRNazanin" w:hAnsi="IRNazanin" w:eastAsia="IRNazanin" w:cs="IRNazanin"/>
          <w:lang w:bidi="fa-IR"/>
          <w:color w:val="111111"/>
          <w:sz w:val="28"/>
          <w:szCs w:val="28"/>
          <w:rtl/>
        </w:rPr>
        <w:t xml:space="preserve">یستفاد من آیات الذکر الحکیم أنّ الشهود فی یوم الحساب علی أصناف، و هم:</w:t>
      </w:r>
    </w:p>
    <w:p>
      <w:pPr>
        <w:pStyle w:val="BookText"/>
      </w:pPr>
      <w:r>
        <w:rPr>
          <w:rFonts w:ascii="IRNazanin" w:hAnsi="IRNazanin" w:eastAsia="IRNazanin" w:cs="IRNazanin"/>
          <w:lang w:bidi="fa-IR"/>
          <w:color w:val="111111"/>
          <w:sz w:val="28"/>
          <w:szCs w:val="28"/>
          <w:rtl/>
        </w:rPr>
        <w:t xml:space="preserve">[شماره صفحه واقعی : 429]
</w:t>
      </w:r>
    </w:p>
    <w:p>
      <w:pPr>
        <w:sectPr>
          <w:footerReference w:type="default" r:id="rId15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اللّه سبحانه:</w:t>
      </w:r>
    </w:p>
    <w:p>
      <w:pPr>
        <w:pStyle w:val="BookText"/>
      </w:pPr>
      <w:r>
        <w:rPr>
          <w:rFonts w:ascii="Amiri" w:hAnsi="Amiri" w:eastAsia="Amiri" w:cs="Amiri"/>
          <w:lang w:bidi="ar-SA"/>
          <w:color w:val="111111"/>
          <w:sz w:val="28"/>
          <w:szCs w:val="28"/>
          <w:rtl/>
        </w:rPr>
        <w:t xml:space="preserve">یقول تعالی: «إِنَّ اللّٰهَ یَفْصِلُ بَیْنَهُمْ یَوْمَ الْقِیٰامَةِ إِنَّ اللّٰهَ عَلیٰ کُلِّ شَیْءٍ شَهِیدٌ» </w:t>
      </w:r>
      <w:r>
        <w:rPr>
          <w:rStyle w:val="FootnoteReference"/>
        </w:rPr>
        <w:footnoteReference w:id="48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یقول أیضاً: «لِمَ تَکْفُرُونَ بِآیٰاتِ اللّٰهِ وَ اللّٰهُ شَهِیدٌ عَلیٰ مٰا تَعْمَلُونَ» </w:t>
      </w:r>
      <w:r>
        <w:rPr>
          <w:rStyle w:val="FootnoteReference"/>
        </w:rPr>
        <w:footnoteReference w:id="482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نبیّ کلّ أمّة:</w:t>
      </w:r>
    </w:p>
    <w:p>
      <w:pPr>
        <w:pStyle w:val="BookText"/>
      </w:pPr>
      <w:r>
        <w:rPr>
          <w:rFonts w:ascii="Amiri" w:hAnsi="Amiri" w:eastAsia="Amiri" w:cs="Amiri"/>
          <w:lang w:bidi="ar-SA"/>
          <w:color w:val="111111"/>
          <w:sz w:val="28"/>
          <w:szCs w:val="28"/>
          <w:rtl/>
        </w:rPr>
        <w:t xml:space="preserve">یقول سبحانه: «وَ یَوْمَ نَبْعَثُ فِی کُلِّ أُمَّةٍ شَهِیداً عَلَیْهِمْ مِنْ أَنْفُسِهِمْ» </w:t>
      </w:r>
      <w:r>
        <w:rPr>
          <w:rStyle w:val="FootnoteReference"/>
        </w:rPr>
        <w:footnoteReference w:id="48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یقول أیضاً: «وَ یَوْمَ یُنٰادِیهِمْ فَیَقُولُ أَیْنَ شُرَکٰائِیَ الَّذِینَ کُنْتُمْ تَزْعُمُونَ * وَ نَزَعْنٰا مِنْ کُلِّ أُمَّةٍ شَهِیداً» </w:t>
      </w:r>
      <w:r>
        <w:rPr>
          <w:rStyle w:val="FootnoteReference"/>
        </w:rPr>
        <w:footnoteReference w:id="48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الظاهر أنّ هذا الشاهد من کلّ أمّة هو نبیُّهم، و إن لم یصرّح به فی الآیات، و ذلک للزوم کون الشهادة القائمة هناک مشتملة علی حقائق لا سبیل للمناقشة فیها، فیجب أن یکون هذا الشاهد عالماً بحقائق الأعمال الّتی یشهد علیها، و لا یکون هذا إلّا بأن یستوی عنده الحاضر و الغائب، و لا یتصوّر هذا المقام إلّا لنبی کلّ أمّة.</w:t>
      </w:r>
    </w:p>
    <w:p>
      <w:pPr>
        <w:pStyle w:val="BookText"/>
      </w:pPr>
      <w:r>
        <w:rPr>
          <w:rFonts w:ascii="IRNazanin" w:hAnsi="IRNazanin" w:eastAsia="IRNazanin" w:cs="IRNazanin"/>
          <w:lang w:bidi="fa-IR"/>
          <w:color w:val="111111"/>
          <w:sz w:val="28"/>
          <w:szCs w:val="28"/>
          <w:rtl/>
        </w:rPr>
        <w:t xml:space="preserve">[شماره صفحه واقعی : 430]
</w:t>
      </w:r>
    </w:p>
    <w:p>
      <w:pPr>
        <w:sectPr>
          <w:footerReference w:type="default" r:id="rId15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نبیّ الإسلام:</w:t>
      </w:r>
    </w:p>
    <w:p>
      <w:pPr>
        <w:pStyle w:val="BookText"/>
      </w:pPr>
      <w:r>
        <w:rPr>
          <w:rFonts w:ascii="Amiri" w:hAnsi="Amiri" w:eastAsia="Amiri" w:cs="Amiri"/>
          <w:lang w:bidi="ar-SA"/>
          <w:color w:val="111111"/>
          <w:sz w:val="28"/>
          <w:szCs w:val="28"/>
          <w:rtl/>
        </w:rPr>
        <w:t xml:space="preserve">یقول سبحانه: «فَکَیْفَ إِذٰا جِئْنٰا مِنْ کُلِّ أُمَّةٍ بِشَهِیدٍ وَ جِئْنٰا بِکَ عَلیٰ هٰؤُلاٰءِ شَهِیداً» </w:t>
      </w:r>
      <w:r>
        <w:rPr>
          <w:rStyle w:val="FootnoteReference"/>
        </w:rPr>
        <w:footnoteReference w:id="483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بعض الأُمّة الإسلامیة:</w:t>
      </w:r>
    </w:p>
    <w:p>
      <w:pPr>
        <w:pStyle w:val="BookText"/>
      </w:pPr>
      <w:r>
        <w:rPr>
          <w:rFonts w:ascii="Amiri" w:hAnsi="Amiri" w:eastAsia="Amiri" w:cs="Amiri"/>
          <w:lang w:bidi="ar-SA"/>
          <w:color w:val="111111"/>
          <w:sz w:val="28"/>
          <w:szCs w:val="28"/>
          <w:rtl/>
        </w:rPr>
        <w:t xml:space="preserve">یقول سبحانه: «وَ کَذٰلِکَ جَعَلْنٰاکُمْ أُمَّةً وَسَطاً لِتَکُونُوا شُهَدٰاءَ عَلَی النّٰاسِ وَ یَکُونَ الرَّسُولُ عَلَیْکُمْ شَهِیداً» </w:t>
      </w:r>
      <w:r>
        <w:rPr>
          <w:rStyle w:val="FootnoteReference"/>
        </w:rPr>
        <w:footnoteReference w:id="48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الخطاب فی الآیة و إن کان للأمّة الإسلامیة، لکنّ المراد بعضهم، نظیر قوله تعالی: «وَ جَعَلَکُمْ مُلُوکاً» مخاطباً لبنی إسرائیل، و المراد بعضهم، و الدلیل علی أنّ المراد بعض الأُمّة، هو أنّ أکثر أبنائها لیس لهم معرفة بالأعمال إلّا بصورها إذا کانوا فی محضر المشهود علیهم، و هو لا یفی فی مقام الشهادة، لأنّ المراد منها هو الشهادة علی حقائق الأعمال و المعانی النفسانیة من الکفر و الإیمان، و علی کلّ ما خفی عن الحسّ و مستبطن عن الإنسان ممّا تکسبه القلوب الّذی یدور علیه حساب ربّ العالمین یقول سبحانه: «وَ لٰکِنْ یُؤٰاخِذُکُمْ بِمٰا کَسَبَتْ قُلُوبُکُمْ » </w:t>
      </w:r>
      <w:r>
        <w:rPr>
          <w:rStyle w:val="FootnoteReference"/>
        </w:rPr>
        <w:footnoteReference w:id="48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لیس ذلک فی وسع الإنسان العادی إذا کان حاضراً عند المشهود علیه، فضلاً عن کونه غائباً، و هذا یدلّنا علی أنّ المراد رجال من الأُمّة لهم</w:t>
      </w:r>
    </w:p>
    <w:p>
      <w:pPr>
        <w:pStyle w:val="BookText"/>
      </w:pPr>
      <w:r>
        <w:rPr>
          <w:rFonts w:ascii="IRNazanin" w:hAnsi="IRNazanin" w:eastAsia="IRNazanin" w:cs="IRNazanin"/>
          <w:lang w:bidi="fa-IR"/>
          <w:color w:val="111111"/>
          <w:sz w:val="28"/>
          <w:szCs w:val="28"/>
          <w:rtl/>
        </w:rPr>
        <w:t xml:space="preserve">[شماره صفحه واقعی : 431]
</w:t>
      </w:r>
    </w:p>
    <w:p>
      <w:pPr>
        <w:sectPr>
          <w:footerReference w:type="default" r:id="rId15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تلک القابلیّة بعنایةٍ من اللّه تعالی، فیقفون علی حقائق أعمال الناس المشهود علیهم.</w:t>
      </w:r>
    </w:p>
    <w:p>
      <w:pPr>
        <w:pStyle w:val="BookText"/>
      </w:pPr>
      <w:r>
        <w:rPr>
          <w:rFonts w:ascii="IRNazanin" w:hAnsi="IRNazanin" w:eastAsia="IRNazanin" w:cs="IRNazanin"/>
          <w:lang w:bidi="fa-IR"/>
          <w:color w:val="111111"/>
          <w:sz w:val="28"/>
          <w:szCs w:val="28"/>
          <w:rtl/>
        </w:rPr>
        <w:t xml:space="preserve">أضف إلی ذلک أنّ أقلّ ما یعتبر فی الشهود هو العدالة و التقوی، و الصدق و الأمانة، و الأکثریة الساحقة من الأُمّة یفقدون ذلک و هم لا تقبل شهادتهم علی صاع من تمرٍ أو باقة من بقل، فکیف تقبل شهادتهم یوم القیامة؟!</w:t>
      </w:r>
    </w:p>
    <w:p>
      <w:pPr>
        <w:pStyle w:val="BookText"/>
      </w:pPr>
      <w:r>
        <w:rPr>
          <w:rFonts w:ascii="IRNazanin" w:hAnsi="IRNazanin" w:eastAsia="IRNazanin" w:cs="IRNazanin"/>
          <w:lang w:bidi="fa-IR"/>
          <w:color w:val="111111"/>
          <w:sz w:val="28"/>
          <w:szCs w:val="28"/>
          <w:rtl/>
        </w:rPr>
        <w:t xml:space="preserve">و إلی هذا تشیر روایة الزبیری عن الإمام الصادق علیه السلام ، قال: «أ فَتَری أنّ من لا تجوّز شهادته فی الدنیا علی صاع من تمر، یطلب اللّه شهادته یوم القیامة و یقبلها منه بحضرة جمیع الأُمم الماضیة؟! کلاّ، لم یعن اللّه مثل هذا من خلقه». </w:t>
      </w:r>
      <w:r>
        <w:rPr>
          <w:rStyle w:val="FootnoteReference"/>
        </w:rPr>
        <w:footnoteReference w:id="4834"/>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الأعضاء و الجوارح:</w:t>
      </w:r>
    </w:p>
    <w:p>
      <w:pPr>
        <w:pStyle w:val="BookText"/>
      </w:pPr>
      <w:r>
        <w:rPr>
          <w:rFonts w:ascii="Amiri" w:hAnsi="Amiri" w:eastAsia="Amiri" w:cs="Amiri"/>
          <w:lang w:bidi="ar-SA"/>
          <w:color w:val="111111"/>
          <w:sz w:val="28"/>
          <w:szCs w:val="28"/>
          <w:rtl/>
        </w:rPr>
        <w:t xml:space="preserve">یقول سبحانه: «یَوْمَ تَشْهَدُ عَلَیْهِمْ أَلْسِنَتُهُمْ وَ أَیْدِیهِمْ وَ أَرْجُلُهُمْ بِمٰا کٰانُوا یَعْمَلُونَ» </w:t>
      </w:r>
      <w:r>
        <w:rPr>
          <w:rStyle w:val="FootnoteReference"/>
        </w:rPr>
        <w:footnoteReference w:id="4835"/>
      </w:r>
      <w:r>
        <w:rPr>
          <w:rFonts w:ascii="Times New Roman" w:hAnsi="Times New Roman" w:eastAsia="Times New Roman" w:cs="Times New Roman"/>
          <w:lang w:val="en-US" w:bidi="en-US"/>
          <w:color w:val="111111"/>
          <w:sz w:val="28"/>
          <w:szCs w:val="28"/>
          <w:rtl/>
        </w:rPr>
        <w:t xml:space="preserve">. </w:t>
      </w:r>
      <w:r>
        <w:rPr>
          <w:rStyle w:val="FootnoteReference"/>
        </w:rPr>
        <w:footnoteReference w:id="4836"/>
      </w:r>
    </w:p>
    <w:p>
      <w:pPr>
        <w:pStyle w:val="BookText"/>
      </w:pPr>
      <w:r>
        <w:rPr>
          <w:rFonts w:ascii="IRNazanin" w:hAnsi="IRNazanin" w:eastAsia="IRNazanin" w:cs="IRNazanin"/>
          <w:lang w:bidi="fa-IR"/>
          <w:color w:val="111111"/>
          <w:sz w:val="28"/>
          <w:szCs w:val="28"/>
          <w:rtl/>
        </w:rPr>
        <w:t xml:space="preserve">و أمّا کیفیة الشهادة فهی من الأُمور الغیبیة نؤمن بها، و ما إنطاقها علی اللّه بعزیز، و قد وسعت قدرته تعالی کلّ شیء ، کما یشیر إلیه قوله تعالی:</w:t>
      </w:r>
    </w:p>
    <w:p>
      <w:pPr>
        <w:pStyle w:val="BookText"/>
      </w:pPr>
      <w:r>
        <w:rPr>
          <w:rFonts w:ascii="Amiri" w:hAnsi="Amiri" w:eastAsia="Amiri" w:cs="Amiri"/>
          <w:lang w:bidi="ar-SA"/>
          <w:color w:val="111111"/>
          <w:sz w:val="28"/>
          <w:szCs w:val="28"/>
          <w:rtl/>
        </w:rPr>
        <w:t xml:space="preserve">«قٰالُوا أَنْطَقَنَا اللّٰهُ الَّذِی أَنْطَقَ کُلَّ شَیْءٍ » </w:t>
      </w:r>
      <w:r>
        <w:rPr>
          <w:rStyle w:val="FootnoteReference"/>
        </w:rPr>
        <w:footnoteReference w:id="48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432]
</w:t>
      </w:r>
    </w:p>
    <w:p>
      <w:pPr>
        <w:sectPr>
          <w:footerReference w:type="default" r:id="rId1579"/>
          <w:footnotePr>
            <w:numStart w:val="1"/>
            <w:numRestart w:val="eachPage"/>
          </w:footnotePr>
          <w:pgSz w:orient="portrait" w:w="11905.511811023622" w:h="16837.79527559055"/>
          <w:pgMar w:top="1440" w:right="1440" w:bottom="1440" w:left="1440" w:header="720" w:footer="720" w:gutter="0"/>
          <w:cols w:num="1" w:space="720"/>
        </w:sectPr>
      </w:pPr>
    </w:p>
    <w:bookmarkStart w:id="862" w:name="pg14411_143961"/>
    <w:bookmarkEnd w:id="862"/>
    <w:p>
      <w:pPr>
        <w:pStyle w:val="Heading5"/>
      </w:pPr>
      <w:bookmarkStart w:id="2673" w:name="_Toc1708"/>
      <w:r>
        <w:t>الفصل السابع : المیزان و الصراط</w:t>
      </w:r>
      <w:bookmarkEnd w:id="2673"/>
    </w:p>
    <w:p>
      <w:pPr>
        <w:pStyle w:val="Heading6"/>
      </w:pPr>
      <w:bookmarkStart w:id="2674" w:name="_Toc1709"/>
      <w:r>
        <w:t>اشارة</w:t>
      </w:r>
      <w:bookmarkEnd w:id="2674"/>
    </w:p>
    <w:p>
      <w:pPr>
        <w:pStyle w:val="BookText"/>
      </w:pPr>
      <w:r>
        <w:rPr>
          <w:rFonts w:ascii="IRNazanin" w:hAnsi="IRNazanin" w:eastAsia="IRNazanin" w:cs="IRNazanin"/>
          <w:lang w:bidi="fa-IR"/>
          <w:color w:val="111111"/>
          <w:sz w:val="28"/>
          <w:szCs w:val="28"/>
          <w:rtl/>
        </w:rPr>
        <w:t xml:space="preserve">من الأبحاث الکلامیة الراجعة إلی المعاد هو البحث حول المیزان و الصراط، و لا اختلاف بین المسلمین فی الاعتقاد بهما، و إنّما الاختلاف فی المقصود منهما، و نحن نذکر الأقوال فی هذا المجال أوّلاً، ثمّ نبیّن ما هو الصحیح عندنا فنقول:</w:t>
      </w:r>
    </w:p>
    <w:p>
      <w:pPr>
        <w:pStyle w:val="Heading6"/>
      </w:pPr>
      <w:bookmarkStart w:id="2675" w:name="_Toc1710"/>
      <w:r>
        <w:t>أ) المیزان</w:t>
      </w:r>
      <w:bookmarkEnd w:id="2675"/>
    </w:p>
    <w:p>
      <w:pPr>
        <w:pStyle w:val="BookText"/>
      </w:pPr>
      <w:r>
        <w:rPr>
          <w:rFonts w:ascii="IRNazanin" w:hAnsi="IRNazanin" w:eastAsia="IRNazanin" w:cs="IRNazanin"/>
          <w:lang w:bidi="fa-IR"/>
          <w:color w:val="111111"/>
          <w:sz w:val="28"/>
          <w:szCs w:val="28"/>
          <w:rtl/>
        </w:rPr>
        <w:t xml:space="preserve">اختلفوا فی کیفیة المیزان یوم القیامة، فقال شیوخ المعتزلة: إنّه یوضع میزان حقیقی له کفّتان یوزن به ما یتبیّن من حال المکلّفین فی ذلک الوقت لأهل الموقف، بأن یوضع کتاب الطاعات فی کفّة الخیر و یوضع کتاب المعاصی فی کفّة الشرّ، و یجعل رجحان أحدهما دلیلاً علی إحدی الحالتین، أو بنحو من ذلک لورود المیزان سمعاً و الأصل فی الکلام الحقیقة مع إمکانها.</w:t>
      </w:r>
    </w:p>
    <w:p>
      <w:pPr>
        <w:pStyle w:val="BookText"/>
      </w:pPr>
      <w:r>
        <w:rPr>
          <w:rFonts w:ascii="IRNazanin" w:hAnsi="IRNazanin" w:eastAsia="IRNazanin" w:cs="IRNazanin"/>
          <w:lang w:bidi="fa-IR"/>
          <w:color w:val="111111"/>
          <w:sz w:val="28"/>
          <w:szCs w:val="28"/>
          <w:rtl/>
        </w:rPr>
        <w:t xml:space="preserve">و قال عبّاد و جماعة من البصریین و آخرون من البغدادیین المراد بالموازین، العدل دون الحقیقة. </w:t>
      </w:r>
      <w:r>
        <w:rPr>
          <w:rStyle w:val="FootnoteReference"/>
        </w:rPr>
        <w:footnoteReference w:id="4838"/>
      </w:r>
    </w:p>
    <w:p>
      <w:pPr>
        <w:pStyle w:val="BookText"/>
      </w:pPr>
      <w:r>
        <w:rPr>
          <w:rFonts w:ascii="IRNazanin" w:hAnsi="IRNazanin" w:eastAsia="IRNazanin" w:cs="IRNazanin"/>
          <w:lang w:bidi="fa-IR"/>
          <w:color w:val="111111"/>
          <w:sz w:val="28"/>
          <w:szCs w:val="28"/>
          <w:rtl/>
        </w:rPr>
        <w:t xml:space="preserve">[شماره صفحه واقعی : 433]
</w:t>
      </w:r>
    </w:p>
    <w:p>
      <w:pPr>
        <w:sectPr>
          <w:footerReference w:type="default" r:id="rId15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لا شکّ أنّ النشأة الآخرة، أکمل من هذه النشأة و أنّه لا طریق لتفهیم الإنسان حقائق ذاک العالم و غیوبه المستورة عنّا إلّا باستخدام الألفاظ الّتی یستعملها الإنسان فی الأُمور الحسّیة، و علی ذلک فلا وجه لحمل المیزان علی المیزان المتعارف، خصوصاً بعد استعماله فی القرآن فی غیر هذا المیزان المحسوس، قال سبحانه:</w:t>
      </w:r>
    </w:p>
    <w:p>
      <w:pPr>
        <w:pStyle w:val="BookText"/>
      </w:pPr>
      <w:r>
        <w:rPr>
          <w:rFonts w:ascii="Amiri" w:hAnsi="Amiri" w:eastAsia="Amiri" w:cs="Amiri"/>
          <w:lang w:bidi="ar-SA"/>
          <w:color w:val="111111"/>
          <w:sz w:val="28"/>
          <w:szCs w:val="28"/>
          <w:rtl/>
        </w:rPr>
        <w:t xml:space="preserve">«لَقَدْ أَرْسَلْنٰا رُسُلَنٰا بِالْبَیِّنٰاتِ وَ أَنْزَلْنٰا مَعَهُمُ الْکِتٰابَ وَ الْمِیزٰانَ لِیَقُومَ النّٰاسُ بِالْقِسْطِ» </w:t>
      </w:r>
      <w:r>
        <w:rPr>
          <w:rStyle w:val="FootnoteReference"/>
        </w:rPr>
        <w:footnoteReference w:id="48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معنی لتخصیص المیزان هنا بما توزن به الأثقال، مع أنّ الهدف هو قیام الناس بالقسط فی جمیع شئونهم العقیدیّة و السیاسیة و الاجتماعیة و الاقتصادیة.</w:t>
      </w:r>
    </w:p>
    <w:p>
      <w:pPr>
        <w:pStyle w:val="BookText"/>
      </w:pPr>
      <w:r>
        <w:rPr>
          <w:rFonts w:ascii="IRNazanin" w:hAnsi="IRNazanin" w:eastAsia="IRNazanin" w:cs="IRNazanin"/>
          <w:lang w:bidi="fa-IR"/>
          <w:color w:val="111111"/>
          <w:sz w:val="28"/>
          <w:szCs w:val="28"/>
          <w:rtl/>
        </w:rPr>
        <w:t xml:space="preserve">کما أنّ تفسیر المیزان بالعدل، أو بالنبیّ، أو بالقرآن کلّها تفاسیر بالمصداق، فلیس للمیزان إلّا معنی واحد هو ما یوزن به الشیء ، و هو یختلف حسب إختلاف الموزون من کونه جسماً أو حرارة أو نوراً أو ضغطاً أو رطوبة أو غیر ذلک، قال صدر المتألهین:</w:t>
      </w:r>
    </w:p>
    <w:p>
      <w:pPr>
        <w:pStyle w:val="BookText"/>
      </w:pPr>
      <w:r>
        <w:rPr>
          <w:rFonts w:ascii="Amiri" w:hAnsi="Amiri" w:eastAsia="Amiri" w:cs="Amiri"/>
          <w:lang w:bidi="ar-SA"/>
          <w:color w:val="111111"/>
          <w:sz w:val="28"/>
          <w:szCs w:val="28"/>
          <w:rtl/>
        </w:rPr>
        <w:t xml:space="preserve">میزان کلّ شیء یکون من جنسه، فالموازین مختلفة، و المیزان المذکور فی القرآن ینبغی أن یحمل علی أشرف الموازین، و هو میزان یوم الحساب، کما دلّ علیه قوله تعالی: «وَ نَضَعُ الْمَوٰازِینَ الْقِسْطَ لِیَوْمِ الْقِیٰامَةِ» و هو میزان العلوم و میزان</w:t>
      </w:r>
    </w:p>
    <w:p>
      <w:pPr>
        <w:pStyle w:val="BookText"/>
      </w:pPr>
      <w:r>
        <w:rPr>
          <w:rFonts w:ascii="IRNazanin" w:hAnsi="IRNazanin" w:eastAsia="IRNazanin" w:cs="IRNazanin"/>
          <w:lang w:bidi="fa-IR"/>
          <w:color w:val="111111"/>
          <w:sz w:val="28"/>
          <w:szCs w:val="28"/>
          <w:rtl/>
        </w:rPr>
        <w:t xml:space="preserve">[شماره صفحه واقعی : 434]
</w:t>
      </w:r>
    </w:p>
    <w:p>
      <w:pPr>
        <w:sectPr>
          <w:footerReference w:type="default" r:id="rId15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الأعمال القلبیة الناشئة من الأعمال البدنیة. </w:t>
      </w:r>
      <w:r>
        <w:rPr>
          <w:rStyle w:val="FootnoteReference"/>
        </w:rPr>
        <w:footnoteReference w:id="4840"/>
      </w:r>
    </w:p>
    <w:p>
      <w:pPr>
        <w:pStyle w:val="BookText"/>
      </w:pPr>
      <w:r>
        <w:rPr>
          <w:rFonts w:ascii="IRNazanin" w:hAnsi="IRNazanin" w:eastAsia="IRNazanin" w:cs="IRNazanin"/>
          <w:lang w:bidi="fa-IR"/>
          <w:color w:val="111111"/>
          <w:sz w:val="28"/>
          <w:szCs w:val="28"/>
          <w:rtl/>
        </w:rPr>
        <w:t xml:space="preserve">و لسیّدنا الأُستاذ العلاّمة الطباطبائی قدس سره فی المقام تحقیق لطیف استظهره من الآیات القرآنیة و حاصله:</w:t>
      </w:r>
    </w:p>
    <w:p>
      <w:pPr>
        <w:pStyle w:val="BookText"/>
      </w:pPr>
      <w:r>
        <w:rPr>
          <w:rFonts w:ascii="IRNazanin" w:hAnsi="IRNazanin" w:eastAsia="IRNazanin" w:cs="IRNazanin"/>
          <w:lang w:bidi="fa-IR"/>
          <w:color w:val="111111"/>
          <w:sz w:val="28"/>
          <w:szCs w:val="28"/>
          <w:rtl/>
        </w:rPr>
        <w:t xml:space="preserve">أنّ ظاهر آیات المیزان </w:t>
      </w:r>
      <w:r>
        <w:rPr>
          <w:rStyle w:val="FootnoteReference"/>
        </w:rPr>
        <w:footnoteReference w:id="4841"/>
      </w:r>
      <w:r>
        <w:rPr>
          <w:rFonts w:ascii="IRNazanin" w:hAnsi="IRNazanin" w:eastAsia="IRNazanin" w:cs="IRNazanin"/>
          <w:lang w:bidi="fa-IR"/>
          <w:color w:val="111111"/>
          <w:sz w:val="28"/>
          <w:szCs w:val="28"/>
          <w:rtl/>
        </w:rPr>
        <w:t xml:space="preserve">هو أنّ الحسنات توجب ثقل المیزان و السیئات خفَّته فإنّها تثبت الثقل فی جانب الحسنات دائماً و الخفّة فی جانب السیئات دائماً، لا أن توزن الحسنات فیؤخذ ما لها من الثقل ثمّ السیّئات و یؤخذ ما لها من الثقل، ثمّ یقاس الثقلان فأیّهما کان أکثر کان القضاء له، و لازمه صحّة فرض أن یتعادل الثقلان کما فی الموازین الدائرة بیننا من ذی الکفّتین و القبّان و غیرهما.</w:t>
      </w:r>
    </w:p>
    <w:p>
      <w:pPr>
        <w:pStyle w:val="BookText"/>
      </w:pPr>
      <w:r>
        <w:rPr>
          <w:rFonts w:ascii="IRNazanin" w:hAnsi="IRNazanin" w:eastAsia="IRNazanin" w:cs="IRNazanin"/>
          <w:lang w:bidi="fa-IR"/>
          <w:color w:val="111111"/>
          <w:sz w:val="28"/>
          <w:szCs w:val="28"/>
          <w:rtl/>
        </w:rPr>
        <w:t xml:space="preserve">و من هنا یتأیّد فی النظر أنّ هناک أمراً آخر تقاس به الأعمال، و الثقل له، فما کان منها حسنة انطبق علیه و وزن به و هو ثقل المیزان، و ما کان منها سیئة لم ینطبق علیه و لم یوزن به و هو خفة المیزان، کما نشاهده فیما عندنا من الموازین، فإنّ فیها مقیاساً و هو الواحد من الثقل کالمثقال یوضع فی إحدی الکفتین ثمّ یوضع المتاع فی الکفة الأخری، فإن عادل المثقال وزناً بوجه علی ما یدل علیه المیزان أخذ به و إلّا فهو الترک لا محالة و المثقال فی الحقیقة هو المیزان الّذی یوزن به، و أمّا</w:t>
      </w:r>
    </w:p>
    <w:p>
      <w:pPr>
        <w:pStyle w:val="BookText"/>
      </w:pPr>
      <w:r>
        <w:rPr>
          <w:rFonts w:ascii="IRNazanin" w:hAnsi="IRNazanin" w:eastAsia="IRNazanin" w:cs="IRNazanin"/>
          <w:lang w:bidi="fa-IR"/>
          <w:color w:val="111111"/>
          <w:sz w:val="28"/>
          <w:szCs w:val="28"/>
          <w:rtl/>
        </w:rPr>
        <w:t xml:space="preserve">[شماره صفحه واقعی : 435]
</w:t>
      </w:r>
    </w:p>
    <w:p>
      <w:pPr>
        <w:sectPr>
          <w:footerReference w:type="default" r:id="rId1582"/>
          <w:footnotePr>
            <w:numStart w:val="1"/>
            <w:numRestart w:val="eachPage"/>
          </w:footnotePr>
          <w:pgSz w:orient="portrait" w:w="11905.511811023622" w:h="16837.79527559055"/>
          <w:pgMar w:top="1440" w:right="1440" w:bottom="1440" w:left="1440" w:header="720" w:footer="720" w:gutter="0"/>
          <w:cols w:num="1" w:space="720"/>
        </w:sectPr>
      </w:pPr>
    </w:p>
    <w:bookmarkStart w:id="863" w:name="pg14411_143964"/>
    <w:bookmarkEnd w:id="863"/>
    <w:p>
      <w:pPr>
        <w:pStyle w:val="BookText"/>
      </w:pPr>
      <w:r>
        <w:rPr>
          <w:rFonts w:ascii="IRNazanin" w:hAnsi="IRNazanin" w:eastAsia="IRNazanin" w:cs="IRNazanin"/>
          <w:lang w:bidi="fa-IR"/>
          <w:color w:val="111111"/>
          <w:sz w:val="28"/>
          <w:szCs w:val="28"/>
          <w:rtl/>
        </w:rPr>
        <w:t xml:space="preserve">القبّان، و ذو الکفّتین و نظائرهما فهی مقدّمة لما یبیّنه المثقال من حال المتاع الموزون به ثقلاً و خفة.</w:t>
      </w:r>
    </w:p>
    <w:p>
      <w:pPr>
        <w:pStyle w:val="BookText"/>
      </w:pPr>
      <w:r>
        <w:rPr>
          <w:rFonts w:ascii="IRNazanin" w:hAnsi="IRNazanin" w:eastAsia="IRNazanin" w:cs="IRNazanin"/>
          <w:lang w:bidi="fa-IR"/>
          <w:color w:val="111111"/>
          <w:sz w:val="28"/>
          <w:szCs w:val="28"/>
          <w:rtl/>
        </w:rPr>
        <w:t xml:space="preserve">ففی الأعمال واحد مقیاس توزن به، فللصلاة مثلاً میزان توزن به و هی الصلاة التامّة الّتی هی حقّ الصلاة، و للزکاة و الإنفاق نظیر ذلک، و للکلام و القول حقّ القول الّذی لا یشتمل علی باطل، و هکذا کما یشیر إلیه قوله تعالی:</w:t>
      </w:r>
    </w:p>
    <w:p>
      <w:pPr>
        <w:pStyle w:val="BookText"/>
      </w:pPr>
      <w:r>
        <w:rPr>
          <w:rFonts w:ascii="Amiri" w:hAnsi="Amiri" w:eastAsia="Amiri" w:cs="Amiri"/>
          <w:lang w:bidi="ar-SA"/>
          <w:color w:val="111111"/>
          <w:sz w:val="28"/>
          <w:szCs w:val="28"/>
          <w:rtl/>
        </w:rPr>
        <w:t xml:space="preserve">«یٰا أَیُّهَا الَّذِینَ آمَنُوا اتَّقُوا اللّٰهَ حَقَّ تُقٰاتِهِ» </w:t>
      </w:r>
      <w:r>
        <w:rPr>
          <w:rStyle w:val="FootnoteReference"/>
        </w:rPr>
        <w:footnoteReference w:id="48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فاللّه سبحانه یزن الأعمال یوم القیامة بالحقّ، فما اشتمل علیه العمل من الحقّ فهو وزنه و ثقله.</w:t>
      </w:r>
    </w:p>
    <w:p>
      <w:pPr>
        <w:pStyle w:val="BookText"/>
      </w:pPr>
      <w:r>
        <w:rPr>
          <w:rFonts w:ascii="IRNazanin" w:hAnsi="IRNazanin" w:eastAsia="IRNazanin" w:cs="IRNazanin"/>
          <w:lang w:bidi="fa-IR"/>
          <w:color w:val="111111"/>
          <w:sz w:val="28"/>
          <w:szCs w:val="28"/>
          <w:rtl/>
        </w:rPr>
        <w:t xml:space="preserve">و علی هذا فالوزن فی الآیة بمعنی الثقل دون المعنی المصدری، و إنّما عبّر بالموازین -بصیغة الجمع -لأنّ لکلّ أحد موازین کثیرة من جهة اختلاف الحقّ الّذی یوزن به بإختلاف الأعمال، فالحقّ فی الصلاة -و هو حقّ الصلاة -غیر الحقّ فی الزکاة و الصیام و الحج و غیرها و هو ظاهر. </w:t>
      </w:r>
      <w:r>
        <w:rPr>
          <w:rStyle w:val="FootnoteReference"/>
        </w:rPr>
        <w:footnoteReference w:id="4843"/>
      </w:r>
    </w:p>
    <w:p>
      <w:pPr>
        <w:pStyle w:val="Heading6"/>
      </w:pPr>
      <w:bookmarkStart w:id="2676" w:name="_Toc1711"/>
      <w:r>
        <w:t>ب) الصراط</w:t>
      </w:r>
      <w:bookmarkEnd w:id="2676"/>
    </w:p>
    <w:p>
      <w:pPr>
        <w:pStyle w:val="BookText"/>
      </w:pPr>
      <w:r>
        <w:rPr>
          <w:rFonts w:ascii="IRNazanin" w:hAnsi="IRNazanin" w:eastAsia="IRNazanin" w:cs="IRNazanin"/>
          <w:lang w:bidi="fa-IR"/>
          <w:color w:val="111111"/>
          <w:sz w:val="28"/>
          <w:szCs w:val="28"/>
          <w:rtl/>
        </w:rPr>
        <w:t xml:space="preserve">یستظهر من الذکر الحکیم، و یدلّ علیه صریح الروایات، وجود صراط فی النشأة الأخرویة یسلکه کلّ مؤمن و کافر یقول سبحانه: «فَوَ رَبِّکَ</w:t>
      </w:r>
    </w:p>
    <w:p>
      <w:pPr>
        <w:pStyle w:val="BookText"/>
      </w:pPr>
      <w:r>
        <w:rPr>
          <w:rFonts w:ascii="IRNazanin" w:hAnsi="IRNazanin" w:eastAsia="IRNazanin" w:cs="IRNazanin"/>
          <w:lang w:bidi="fa-IR"/>
          <w:color w:val="111111"/>
          <w:sz w:val="28"/>
          <w:szCs w:val="28"/>
          <w:rtl/>
        </w:rPr>
        <w:t xml:space="preserve">[شماره صفحه واقعی : 436]
</w:t>
      </w:r>
    </w:p>
    <w:p>
      <w:pPr>
        <w:sectPr>
          <w:footerReference w:type="default" r:id="rId15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لَنَحْشُرَنَّهُمْ وَ الشَّیٰاطِینَ ثُمَّ لَنُحْضِرَنَّهُمْ حَوْلَ جَهَنَّمَ جِثِیًّا ... وَ إِنْ مِنْکُمْ إِلاّٰ وٰارِدُهٰا کٰانَ عَلیٰ رَبِّکَ حَتْماً مَقْضِیًّا» </w:t>
      </w:r>
      <w:r>
        <w:rPr>
          <w:rStyle w:val="FootnoteReference"/>
        </w:rPr>
        <w:footnoteReference w:id="48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اختلف المفسّرون فی معنی الورود، بین قائل بأنّ المراد منه هو الوصول إلیها، و الإشراف علیها لا الدخول، و قائل بأنّ المراد دخولها، و علی کلّ تقدیر فلا مناص للمسلم من الاعتقاد بوجود صراط فی النشأة الأخرویة و هو طریق المؤمن إلی الجنّة و الکافر إلی النّار.</w:t>
      </w:r>
    </w:p>
    <w:p>
      <w:pPr>
        <w:pStyle w:val="BookText"/>
      </w:pPr>
      <w:r>
        <w:rPr>
          <w:rFonts w:ascii="Amiri" w:hAnsi="Amiri" w:eastAsia="Amiri" w:cs="Amiri"/>
          <w:lang w:bidi="ar-SA"/>
          <w:color w:val="111111"/>
          <w:sz w:val="28"/>
          <w:szCs w:val="28"/>
          <w:rtl/>
        </w:rPr>
        <w:t xml:space="preserve">ثمّ إنّهم اختلفوا فی أنّ الصراط هل هو واحد یمرّ علیه الفریقان، أو أنّ لکلّ من أصحاب الجنّة و النار طریقاً یختصّ به؟ قال العلاّمة الحلّی:</w:t>
      </w:r>
    </w:p>
    <w:p>
      <w:pPr>
        <w:pStyle w:val="BookText"/>
      </w:pPr>
      <w:r>
        <w:rPr>
          <w:rFonts w:ascii="IRNazanin" w:hAnsi="IRNazanin" w:eastAsia="IRNazanin" w:cs="IRNazanin"/>
          <w:lang w:bidi="fa-IR"/>
          <w:color w:val="111111"/>
          <w:sz w:val="28"/>
          <w:szCs w:val="28"/>
          <w:rtl/>
        </w:rPr>
        <w:t xml:space="preserve">و أمّا الصراط فقد قیل إنّ فی الآخرة طریقین: أحدهما إلی الجنة یهدی اللّه تعالی إلیها أهل الجنة و الأخری إلی النّار یهدی اللّه تعالی أهل النّار إلیها، کما قال تعالی فی أهل الجنة:</w:t>
      </w:r>
    </w:p>
    <w:p>
      <w:pPr>
        <w:pStyle w:val="BookText"/>
      </w:pPr>
      <w:r>
        <w:rPr>
          <w:rFonts w:ascii="Amiri" w:hAnsi="Amiri" w:eastAsia="Amiri" w:cs="Amiri"/>
          <w:lang w:bidi="ar-SA"/>
          <w:color w:val="111111"/>
          <w:sz w:val="28"/>
          <w:szCs w:val="28"/>
          <w:rtl/>
        </w:rPr>
        <w:t xml:space="preserve">«سَیَهْدِیهِمْ وَ یُصْلِحُ بٰالَهُمْ * وَ یُدْخِلُهُمُ الْجَنَّةَ عَرَّفَهٰا لَهُمْ » </w:t>
      </w:r>
      <w:r>
        <w:rPr>
          <w:rStyle w:val="FootnoteReference"/>
        </w:rPr>
        <w:footnoteReference w:id="48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فی أهل النار: «فَاهْدُوهُمْ إِلیٰ صِرٰاطِ الْجَحِیمِ» </w:t>
      </w:r>
      <w:r>
        <w:rPr>
          <w:rStyle w:val="FootnoteReference"/>
        </w:rPr>
        <w:footnoteReference w:id="48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قیل إنّ هناک طریقاً واحداً علی جهنّم یکلّف الجمیع المرور علیه و یکون أدقّ من الشعر و أحدّ من السیف، فأهل الجنّة یمرّون علیه لا یلحقهم خوف و لا غمّ، و الکفّار یمرّون علیه عقوبة لهم و زیادة فی خوفهم، فإذا بلغ</w:t>
      </w:r>
    </w:p>
    <w:p>
      <w:pPr>
        <w:pStyle w:val="BookText"/>
      </w:pPr>
      <w:r>
        <w:rPr>
          <w:rFonts w:ascii="IRNazanin" w:hAnsi="IRNazanin" w:eastAsia="IRNazanin" w:cs="IRNazanin"/>
          <w:lang w:bidi="fa-IR"/>
          <w:color w:val="111111"/>
          <w:sz w:val="28"/>
          <w:szCs w:val="28"/>
          <w:rtl/>
        </w:rPr>
        <w:t xml:space="preserve">[شماره صفحه واقعی : 437]
</w:t>
      </w:r>
    </w:p>
    <w:p>
      <w:pPr>
        <w:sectPr>
          <w:footerReference w:type="default" r:id="rId15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 واحد إلی مستقره من النّار سقط من ذلک الصراط. </w:t>
      </w:r>
      <w:r>
        <w:rPr>
          <w:rStyle w:val="FootnoteReference"/>
        </w:rPr>
        <w:footnoteReference w:id="4847"/>
      </w:r>
    </w:p>
    <w:p>
      <w:pPr>
        <w:pStyle w:val="BookText"/>
      </w:pPr>
      <w:r>
        <w:rPr>
          <w:rFonts w:ascii="IRNazanin" w:hAnsi="IRNazanin" w:eastAsia="IRNazanin" w:cs="IRNazanin"/>
          <w:lang w:bidi="fa-IR"/>
          <w:color w:val="111111"/>
          <w:sz w:val="28"/>
          <w:szCs w:val="28"/>
          <w:rtl/>
        </w:rPr>
        <w:t xml:space="preserve">و قال الشیخ المفید فی تفسیر کون الصراط أدقّ من الشعرة و أحدّ من السیف:</w:t>
      </w:r>
    </w:p>
    <w:p>
      <w:pPr>
        <w:pStyle w:val="BookText"/>
      </w:pPr>
      <w:r>
        <w:rPr>
          <w:rFonts w:ascii="IRNazanin" w:hAnsi="IRNazanin" w:eastAsia="IRNazanin" w:cs="IRNazanin"/>
          <w:lang w:bidi="fa-IR"/>
          <w:color w:val="111111"/>
          <w:sz w:val="28"/>
          <w:szCs w:val="28"/>
          <w:rtl/>
        </w:rPr>
        <w:t xml:space="preserve">المراد بذلک أنّه لا یثبت لکافر قدم علی الصراط یوم القیامة من شدّة ما یلحقهم من أهوال یوم القیامة و مخاوفها فهم یمشون علیه کالذی یمشی علی الشیء الّذی هو أدقّ من الشعرة و أحدّ من السیف، و هذا مثل مضروب لما یلحق الکافر من الشدّة فی عبوره علی الصّراط. </w:t>
      </w:r>
      <w:r>
        <w:rPr>
          <w:rStyle w:val="FootnoteReference"/>
        </w:rPr>
        <w:footnoteReference w:id="4848"/>
      </w:r>
    </w:p>
    <w:p>
      <w:pPr>
        <w:pStyle w:val="BookText"/>
      </w:pPr>
      <w:r>
        <w:rPr>
          <w:rFonts w:ascii="IRNazanin" w:hAnsi="IRNazanin" w:eastAsia="IRNazanin" w:cs="IRNazanin"/>
          <w:lang w:bidi="fa-IR"/>
          <w:color w:val="111111"/>
          <w:sz w:val="28"/>
          <w:szCs w:val="28"/>
          <w:rtl/>
        </w:rPr>
        <w:t xml:space="preserve">أقول: لا شکّ أنّ هناک صلة بین الصراط الدنیوی (القوانین الشرعیة الّتی فرضها اللّه سبحانه علی عباده و هداهم إلیها) و الصراط الأُخروی، و القیام بالوظائف الإلهیة، الّذی هو سلوک الصراط الدنیوی، أمر صعب أشبه بسلوک طریق أدقّ من الشعر و أحدّ من السیف، فکم من إنسان ضلّ فی طریق العقیدة، و عبد النفس و الشیطان و الهوی، مکان عبادة اللّه سبحانه، و کم من إنسان فشل فی مقام الطاعة و العمل بالوظائف الإلهیّة.</w:t>
      </w:r>
    </w:p>
    <w:p>
      <w:pPr>
        <w:pStyle w:val="BookText"/>
      </w:pPr>
      <w:r>
        <w:rPr>
          <w:rFonts w:ascii="IRNazanin" w:hAnsi="IRNazanin" w:eastAsia="IRNazanin" w:cs="IRNazanin"/>
          <w:lang w:bidi="fa-IR"/>
          <w:color w:val="111111"/>
          <w:sz w:val="28"/>
          <w:szCs w:val="28"/>
          <w:rtl/>
        </w:rPr>
        <w:t xml:space="preserve">فإذا کان هذا حال الصراط الدنیوی من حیث الصعوبة و الدقّة، فهکذا حال الصراط الأخروی، و لأجل ذلک تضافرت روایات عن الفریقین بإختلاف مرور الناس حسب اختلافهم فی سلوک صراط الدنیا، قال الإمام الصادق علیه السلام :</w:t>
      </w:r>
    </w:p>
    <w:p>
      <w:pPr>
        <w:pStyle w:val="BookText"/>
      </w:pPr>
      <w:r>
        <w:rPr>
          <w:rFonts w:ascii="IRNazanin" w:hAnsi="IRNazanin" w:eastAsia="IRNazanin" w:cs="IRNazanin"/>
          <w:lang w:bidi="fa-IR"/>
          <w:color w:val="111111"/>
          <w:sz w:val="28"/>
          <w:szCs w:val="28"/>
          <w:rtl/>
        </w:rPr>
        <w:t xml:space="preserve">[شماره صفحه واقعی : 438]
</w:t>
      </w:r>
    </w:p>
    <w:p>
      <w:pPr>
        <w:sectPr>
          <w:footerReference w:type="default" r:id="rId15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«الناس یمرّون علی الصراط طبقات، فمنهم من یمرُّ مثل البرق، و منهم مثل عدو الفرس، و منهم من یمرُّ حبواً، و منهم من یمرُّ مشیاً، و منهم من یمرُّ متعلّقاً قد تأخذ النار منه شیئاً و تترک شیئاً». </w:t>
      </w:r>
      <w:r>
        <w:rPr>
          <w:rStyle w:val="FootnoteReference"/>
        </w:rPr>
        <w:footnoteReference w:id="484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439]
</w:t>
      </w:r>
    </w:p>
    <w:p>
      <w:pPr>
        <w:sectPr>
          <w:footerReference w:type="default" r:id="rId15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440]
</w:t>
      </w:r>
    </w:p>
    <w:p>
      <w:pPr>
        <w:sectPr>
          <w:footerReference w:type="default" r:id="rId1587"/>
          <w:footnotePr>
            <w:numStart w:val="1"/>
            <w:numRestart w:val="eachPage"/>
          </w:footnotePr>
          <w:pgSz w:orient="portrait" w:w="11905.511811023622" w:h="16837.79527559055"/>
          <w:pgMar w:top="1440" w:right="1440" w:bottom="1440" w:left="1440" w:header="720" w:footer="720" w:gutter="0"/>
          <w:cols w:num="1" w:space="720"/>
        </w:sectPr>
      </w:pPr>
    </w:p>
    <w:bookmarkStart w:id="864" w:name="pg14411_143969"/>
    <w:bookmarkEnd w:id="864"/>
    <w:p>
      <w:pPr>
        <w:pStyle w:val="Heading5"/>
      </w:pPr>
      <w:bookmarkStart w:id="2677" w:name="_Toc1712"/>
      <w:r>
        <w:t>الفصل الثامن : الشفاعة فی القیامة</w:t>
      </w:r>
      <w:bookmarkEnd w:id="2677"/>
    </w:p>
    <w:p>
      <w:pPr>
        <w:pStyle w:val="Heading6"/>
      </w:pPr>
      <w:bookmarkStart w:id="2678" w:name="_Toc1713"/>
      <w:r>
        <w:t>اشارة</w:t>
      </w:r>
      <w:bookmarkEnd w:id="2678"/>
    </w:p>
    <w:p>
      <w:pPr>
        <w:pStyle w:val="BookText"/>
      </w:pPr>
      <w:r>
        <w:rPr>
          <w:rFonts w:ascii="IRNazanin" w:hAnsi="IRNazanin" w:eastAsia="IRNazanin" w:cs="IRNazanin"/>
          <w:lang w:bidi="fa-IR"/>
          <w:color w:val="111111"/>
          <w:sz w:val="28"/>
          <w:szCs w:val="28"/>
          <w:rtl/>
        </w:rPr>
        <w:t xml:space="preserve">المراد من الشفاعة فی مصطلح المتکلّمین هو أن تصل رحمته سبحانه و مغفرته إلی عباده من طریق أولیائه و صفوة عباده، و وزان الشفاعة فی کونها سبباً لإفاضة رحمته تعالی علی العباد وزان الدعاء فی ذلک، یقول سبحانه:</w:t>
      </w:r>
    </w:p>
    <w:p>
      <w:pPr>
        <w:pStyle w:val="BookText"/>
      </w:pPr>
      <w:r>
        <w:rPr>
          <w:rFonts w:ascii="Amiri" w:hAnsi="Amiri" w:eastAsia="Amiri" w:cs="Amiri"/>
          <w:lang w:bidi="ar-SA"/>
          <w:color w:val="111111"/>
          <w:sz w:val="28"/>
          <w:szCs w:val="28"/>
          <w:rtl/>
        </w:rPr>
        <w:t xml:space="preserve">«وَ لَوْ أَنَّهُمْ إِذْ ظَلَمُوا أَنْفُسَهُمْ جٰاؤُکَ فَاسْتَغْفَرُوا اللّٰهَ وَ اسْتَغْفَرَ لَهُمُ الرَّسُولُ لَوَجَدُوا اللّٰهَ تَوّٰاباً رَحِیماً » </w:t>
      </w:r>
      <w:r>
        <w:rPr>
          <w:rStyle w:val="FootnoteReference"/>
        </w:rPr>
        <w:footnoteReference w:id="48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تتّضح هذه الحقیقة إذا وقفنا علی أنّ الدعاء بقول مطلق، و بخاصّة دعاء الصالحین، من المؤثِّرات الواقعة فی سلسلة نظام الأسباب و المسبّبات الکونیة، و علی هذا ترجع الشفاعة المصطلحة إلی الشفاعة التکوینیة بمعنی تأثیر دعاء النبیّ صلی الله علیه و آله فی جلب المغفرة الإلهیّة إلی العباد.</w:t>
      </w:r>
    </w:p>
    <w:p>
      <w:pPr>
        <w:pStyle w:val="Heading6"/>
      </w:pPr>
      <w:bookmarkStart w:id="2679" w:name="_Toc1714"/>
      <w:r>
        <w:t>الشفاعة فی الکتاب و السنّة</w:t>
      </w:r>
      <w:bookmarkEnd w:id="2679"/>
    </w:p>
    <w:p>
      <w:pPr>
        <w:pStyle w:val="BookText"/>
      </w:pPr>
      <w:r>
        <w:rPr>
          <w:rFonts w:ascii="IRNazanin" w:hAnsi="IRNazanin" w:eastAsia="IRNazanin" w:cs="IRNazanin"/>
          <w:lang w:bidi="fa-IR"/>
          <w:color w:val="111111"/>
          <w:sz w:val="28"/>
          <w:szCs w:val="28"/>
          <w:rtl/>
        </w:rPr>
        <w:t xml:space="preserve">قد ورد ذکر الشفاعة فی الکتاب الحکیم فی سور مختلفة لمناسبات شتّی</w:t>
      </w:r>
    </w:p>
    <w:p>
      <w:pPr>
        <w:pStyle w:val="BookText"/>
      </w:pPr>
      <w:r>
        <w:rPr>
          <w:rFonts w:ascii="IRNazanin" w:hAnsi="IRNazanin" w:eastAsia="IRNazanin" w:cs="IRNazanin"/>
          <w:lang w:bidi="fa-IR"/>
          <w:color w:val="111111"/>
          <w:sz w:val="28"/>
          <w:szCs w:val="28"/>
          <w:rtl/>
        </w:rPr>
        <w:t xml:space="preserve">[شماره صفحه واقعی : 441]
</w:t>
      </w:r>
    </w:p>
    <w:p>
      <w:pPr>
        <w:sectPr>
          <w:footerReference w:type="default" r:id="rId15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کما وقعت مورد اهتمام بلیغ فی الحدیث النبویّ و أحادیث العترة الطاهرة، و الآیات القرآنیة فی هذا المجال علی أصناف:</w:t>
      </w:r>
    </w:p>
    <w:p>
      <w:pPr>
        <w:pStyle w:val="BookText"/>
      </w:pPr>
      <w:r>
        <w:rPr>
          <w:rFonts w:ascii="IRNazanin" w:hAnsi="IRNazanin" w:eastAsia="IRNazanin" w:cs="IRNazanin"/>
          <w:lang w:bidi="fa-IR"/>
          <w:color w:val="111111"/>
          <w:sz w:val="28"/>
          <w:szCs w:val="28"/>
          <w:rtl/>
        </w:rPr>
        <w:t xml:space="preserve">الصنف الأوّل: ما ینفی الشفاعة فی بادئ الأمر، کقوله سبحانه:</w:t>
      </w:r>
    </w:p>
    <w:p>
      <w:pPr>
        <w:pStyle w:val="BookText"/>
      </w:pPr>
      <w:r>
        <w:rPr>
          <w:rFonts w:ascii="Amiri" w:hAnsi="Amiri" w:eastAsia="Amiri" w:cs="Amiri"/>
          <w:lang w:bidi="ar-SA"/>
          <w:color w:val="111111"/>
          <w:sz w:val="28"/>
          <w:szCs w:val="28"/>
          <w:rtl/>
        </w:rPr>
        <w:t xml:space="preserve">«یٰا أَیُّهَا الَّذِینَ آمَنُوا أَنْفِقُوا مِمّٰا رَزَقْنٰاکُمْ مِنْ قَبْلِ أَنْ یَأْتِیَ یَوْمٌ لاٰ بَیْعٌ فِیهِ وَ لاٰ خُلَّةٌ وَ لاٰ شَفٰاعَةٌ وَ الْکٰافِرُونَ هُمُ الظّٰالِمُونَ» </w:t>
      </w:r>
      <w:r>
        <w:rPr>
          <w:rStyle w:val="FootnoteReference"/>
        </w:rPr>
        <w:footnoteReference w:id="48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الصنف الثانی: ما ینفی شمول الشفاعة للکفّار، یقول سبحانه -حاکیاً عن الکفّار-:</w:t>
      </w:r>
    </w:p>
    <w:p>
      <w:pPr>
        <w:pStyle w:val="BookText"/>
      </w:pPr>
      <w:r>
        <w:rPr>
          <w:rFonts w:ascii="Amiri" w:hAnsi="Amiri" w:eastAsia="Amiri" w:cs="Amiri"/>
          <w:lang w:bidi="ar-SA"/>
          <w:color w:val="111111"/>
          <w:sz w:val="28"/>
          <w:szCs w:val="28"/>
          <w:rtl/>
        </w:rPr>
        <w:t xml:space="preserve">«وَ کُنّٰا نُکَذِّبُ بِیَوْمِ الدِّینِ * حَتّٰی أَتٰانَا الْیَقِینُ * فَمٰا تَنْفَعُهُمْ شَفٰاعَةُ الشّٰافِعِینَ » </w:t>
      </w:r>
      <w:r>
        <w:rPr>
          <w:rStyle w:val="FootnoteReference"/>
        </w:rPr>
        <w:footnoteReference w:id="48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الصنف الثالث: ما ینفی صلاحیة الأصنام للشفاعة، یقول سبحانه:</w:t>
      </w:r>
    </w:p>
    <w:p>
      <w:pPr>
        <w:pStyle w:val="BookText"/>
      </w:pPr>
      <w:r>
        <w:rPr>
          <w:rFonts w:ascii="Amiri" w:hAnsi="Amiri" w:eastAsia="Amiri" w:cs="Amiri"/>
          <w:lang w:bidi="ar-SA"/>
          <w:color w:val="111111"/>
          <w:sz w:val="28"/>
          <w:szCs w:val="28"/>
          <w:rtl/>
        </w:rPr>
        <w:t xml:space="preserve">«وَ مٰا نَریٰ مَعَکُمْ شُفَعٰاءَکُمُ الَّذِینَ زَعَمْتُمْ أَنَّهُمْ فِیکُمْ شُرَکٰاءُ لَقَدْ تَقَطَّعَ بَیْنَکُمْ وَ ضَلَّ عَنْکُمْ مٰا کُنْتُمْ تَزْعُمُونَ » </w:t>
      </w:r>
      <w:r>
        <w:rPr>
          <w:rStyle w:val="FootnoteReference"/>
        </w:rPr>
        <w:footnoteReference w:id="4853"/>
      </w:r>
      <w:r>
        <w:rPr>
          <w:rFonts w:ascii="Times New Roman" w:hAnsi="Times New Roman" w:eastAsia="Times New Roman" w:cs="Times New Roman"/>
          <w:lang w:val="en-US" w:bidi="en-US"/>
          <w:color w:val="111111"/>
          <w:sz w:val="28"/>
          <w:szCs w:val="28"/>
          <w:rtl/>
        </w:rPr>
        <w:t xml:space="preserve">. </w:t>
      </w:r>
      <w:r>
        <w:rPr>
          <w:rStyle w:val="FootnoteReference"/>
        </w:rPr>
        <w:footnoteReference w:id="4854"/>
      </w:r>
    </w:p>
    <w:p>
      <w:pPr>
        <w:pStyle w:val="BookText"/>
      </w:pPr>
      <w:r>
        <w:rPr>
          <w:rFonts w:ascii="Amiri" w:hAnsi="Amiri" w:eastAsia="Amiri" w:cs="Amiri"/>
          <w:lang w:bidi="ar-SA"/>
          <w:color w:val="111111"/>
          <w:sz w:val="28"/>
          <w:szCs w:val="28"/>
          <w:rtl/>
        </w:rPr>
        <w:t xml:space="preserve">الصنف الرابع: ما ینفی الشفاعة عن غیره تعالی، یقول سبحانه: «وَ أَنْذِرْ بِهِ الَّذِینَ یَخٰافُونَ أَنْ یُحْشَرُوا إِلیٰ رَبِّهِمْ لَیْسَ لَهُمْ مِنْ دُونِهِ وَلِیٌّ وَ لاٰ شَفِیعٌ لَعَلَّهُمْ یَتَّقُونَ » </w:t>
      </w:r>
      <w:r>
        <w:rPr>
          <w:rStyle w:val="FootnoteReference"/>
        </w:rPr>
        <w:footnoteReference w:id="4855"/>
      </w:r>
      <w:r>
        <w:rPr>
          <w:rFonts w:ascii="Times New Roman" w:hAnsi="Times New Roman" w:eastAsia="Times New Roman" w:cs="Times New Roman"/>
          <w:lang w:val="en-US" w:bidi="en-US"/>
          <w:color w:val="111111"/>
          <w:sz w:val="28"/>
          <w:szCs w:val="28"/>
          <w:rtl/>
        </w:rPr>
        <w:t xml:space="preserve">. </w:t>
      </w:r>
      <w:r>
        <w:rPr>
          <w:rStyle w:val="FootnoteReference"/>
        </w:rPr>
        <w:footnoteReference w:id="4856"/>
      </w:r>
    </w:p>
    <w:p>
      <w:pPr>
        <w:pStyle w:val="BookText"/>
      </w:pPr>
      <w:r>
        <w:rPr>
          <w:rFonts w:ascii="IRNazanin" w:hAnsi="IRNazanin" w:eastAsia="IRNazanin" w:cs="IRNazanin"/>
          <w:lang w:bidi="fa-IR"/>
          <w:color w:val="111111"/>
          <w:sz w:val="28"/>
          <w:szCs w:val="28"/>
          <w:rtl/>
        </w:rPr>
        <w:t xml:space="preserve">[شماره صفحه واقعی : 442]
</w:t>
      </w:r>
    </w:p>
    <w:p>
      <w:pPr>
        <w:sectPr>
          <w:footerReference w:type="default" r:id="rId15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الصنف الخامس: ما یثبت الشفاعة لغیره تعالی بإذنه، یقول سبحانه: «یَوْمَئِذٍ لاٰ تَنْفَعُ الشَّفٰاعَةُ إِلاّٰ مَنْ أَذِنَ لَهُ الرَّحْمٰنُ وَ رَضِیَ لَهُ قَوْلاً » </w:t>
      </w:r>
      <w:r>
        <w:rPr>
          <w:rStyle w:val="FootnoteReference"/>
        </w:rPr>
        <w:footnoteReference w:id="4857"/>
      </w:r>
      <w:r>
        <w:rPr>
          <w:rFonts w:ascii="Times New Roman" w:hAnsi="Times New Roman" w:eastAsia="Times New Roman" w:cs="Times New Roman"/>
          <w:lang w:val="en-US" w:bidi="en-US"/>
          <w:color w:val="111111"/>
          <w:sz w:val="28"/>
          <w:szCs w:val="28"/>
          <w:rtl/>
        </w:rPr>
        <w:t xml:space="preserve">. </w:t>
      </w:r>
      <w:r>
        <w:rPr>
          <w:rStyle w:val="FootnoteReference"/>
        </w:rPr>
        <w:footnoteReference w:id="4858"/>
      </w:r>
    </w:p>
    <w:p>
      <w:pPr>
        <w:pStyle w:val="BookText"/>
      </w:pPr>
      <w:r>
        <w:rPr>
          <w:rFonts w:ascii="Amiri" w:hAnsi="Amiri" w:eastAsia="Amiri" w:cs="Amiri"/>
          <w:lang w:bidi="ar-SA"/>
          <w:color w:val="111111"/>
          <w:sz w:val="28"/>
          <w:szCs w:val="28"/>
          <w:rtl/>
        </w:rPr>
        <w:t xml:space="preserve">الصنف السادس: ما یبیّن من تناله شفاعة الشافعین، یقول سبحانه: «وَ لاٰ یَشْفَعُونَ إِلاّٰ لِمَنِ ارْتَضیٰ وَ هُمْ مِنْ خَشْیَتِهِ مُشْفِقُونَ » </w:t>
      </w:r>
      <w:r>
        <w:rPr>
          <w:rStyle w:val="FootnoteReference"/>
        </w:rPr>
        <w:footnoteReference w:id="48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یقول أیضاً: «وَ کَمْ مِنْ مَلَکٍ فِی السَّمٰاوٰاتِ لاٰ تُغْنِی شَفٰاعَتُهُمْ شَیْئاً إِلاّٰ مِنْ بَعْدِ أَنْ یَأْذَنَ اللّٰهُ لِمَنْ یَشٰاءُ وَ یَرْضیٰ» </w:t>
      </w:r>
      <w:r>
        <w:rPr>
          <w:rStyle w:val="FootnoteReference"/>
        </w:rPr>
        <w:footnoteReference w:id="48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هذه نظرة إجمالیّة إلی آیات الشفاعة، و أما السنّة فمن لاحظ الصحاح و المسانید و الجوامع الحدیثیة یقف علی مجموعة کبیرة من الأحادیث الواردة فی الشفاعة توجب الإذعان بأنّها من الأُصول المسلّمة فی الشریعة الإسلامیة، و إلیک نماذج منها: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قال رسول اللّه صلی الله علیه و آله : «لکلّ نبیّ دعوة مستجابة، فتعجّل کلّ نبیّ دعوته، و إنّی اختبأت دعوتی شفاعة لأُمتی، و هی نائلة من مات منهم لا یشرک باللّه شیئاً».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و قال صلی الله علیه و آله : «أعطیت خمساً و أعطیت الشفاعة، فادّخرتها لأُمتی، فهی لمن لا یشرک باللّه». </w:t>
      </w:r>
      <w:r>
        <w:rPr>
          <w:rStyle w:val="FootnoteReference"/>
        </w:rPr>
        <w:footnoteReference w:id="4861"/>
      </w:r>
    </w:p>
    <w:p>
      <w:pPr>
        <w:pStyle w:val="BookText"/>
      </w:pPr>
      <w:r>
        <w:rPr>
          <w:rFonts w:ascii="IRNazanin" w:hAnsi="IRNazanin" w:eastAsia="IRNazanin" w:cs="IRNazanin"/>
          <w:lang w:bidi="fa-IR"/>
          <w:color w:val="111111"/>
          <w:sz w:val="28"/>
          <w:szCs w:val="28"/>
          <w:rtl/>
        </w:rPr>
        <w:t xml:space="preserve">[شماره صفحه واقعی : 443]
</w:t>
      </w:r>
    </w:p>
    <w:p>
      <w:pPr>
        <w:sectPr>
          <w:footerReference w:type="default" r:id="rId1590"/>
          <w:footnotePr>
            <w:numStart w:val="1"/>
            <w:numRestart w:val="eachPage"/>
          </w:footnotePr>
          <w:pgSz w:orient="portrait" w:w="11905.511811023622" w:h="16837.79527559055"/>
          <w:pgMar w:top="1440" w:right="1440" w:bottom="1440" w:left="1440" w:header="720" w:footer="720" w:gutter="0"/>
          <w:cols w:num="1" w:space="720"/>
        </w:sectPr>
      </w:pPr>
    </w:p>
    <w:bookmarkStart w:id="865" w:name="pg14411_143972"/>
    <w:bookmarkEnd w:id="865"/>
    <w:p>
      <w:pPr>
        <w:pStyle w:val="BookText"/>
      </w:pPr>
      <w:r>
        <w:rPr>
          <w:rFonts w:ascii="IRNazanin" w:hAnsi="IRNazanin" w:eastAsia="IRNazanin" w:cs="IRNazanin"/>
          <w:lang w:bidi="fa-IR"/>
          <w:color w:val="111111"/>
          <w:sz w:val="28"/>
          <w:szCs w:val="28"/>
          <w:rtl/>
        </w:rPr>
        <w:t xml:space="preserve">و قال صلی الله علیه و آله : «إنّما شفاعتی لأهل الکبائر من أمّتی». </w:t>
      </w:r>
      <w:r>
        <w:rPr>
          <w:rStyle w:val="FootnoteReference"/>
        </w:rPr>
        <w:footnoteReference w:id="4862"/>
      </w:r>
    </w:p>
    <w:p>
      <w:pPr>
        <w:pStyle w:val="BookText"/>
      </w:pPr>
      <w:r>
        <w:rPr>
          <w:rFonts w:ascii="IRNazanin" w:hAnsi="IRNazanin" w:eastAsia="IRNazanin" w:cs="IRNazanin"/>
          <w:lang w:bidi="fa-IR"/>
          <w:color w:val="111111"/>
          <w:sz w:val="28"/>
          <w:szCs w:val="28"/>
          <w:rtl/>
        </w:rPr>
        <w:t xml:space="preserve">و قال علی علیه السلام : «ثلاثة یشفعون إلی اللّه عزّ و جلّ فیشفّعون: الأنبیاء، ثمّ العلماء، ثمّ الشهداء». </w:t>
      </w:r>
      <w:r>
        <w:rPr>
          <w:rStyle w:val="FootnoteReference"/>
        </w:rPr>
        <w:footnoteReference w:id="4863"/>
      </w:r>
    </w:p>
    <w:p>
      <w:pPr>
        <w:pStyle w:val="BookText"/>
      </w:pPr>
      <w:r>
        <w:rPr>
          <w:rFonts w:ascii="Amiri" w:hAnsi="Amiri" w:eastAsia="Amiri" w:cs="Amiri"/>
          <w:lang w:bidi="ar-SA"/>
          <w:color w:val="111111"/>
          <w:sz w:val="28"/>
          <w:szCs w:val="28"/>
          <w:rtl/>
        </w:rPr>
        <w:t xml:space="preserve">و قال الإمام زین العابدین علیه السلام : «اللّهم صلّ علی محمّد و آل محمّد، و شرِّف بنیانه، و عظِّم برهانه، و ثقِّل میزانه، و تقبَّل شفاعته». </w:t>
      </w:r>
      <w:r>
        <w:rPr>
          <w:rStyle w:val="FootnoteReference"/>
        </w:rPr>
        <w:footnoteReference w:id="4864"/>
      </w:r>
    </w:p>
    <w:p>
      <w:pPr>
        <w:pStyle w:val="Heading6"/>
      </w:pPr>
      <w:bookmarkStart w:id="2680" w:name="_Toc1715"/>
      <w:r>
        <w:t>الشفاعة المطلقة و المحدودة</w:t>
      </w:r>
      <w:bookmarkEnd w:id="2680"/>
    </w:p>
    <w:p>
      <w:pPr>
        <w:pStyle w:val="BookText"/>
      </w:pPr>
      <w:r>
        <w:rPr>
          <w:rFonts w:ascii="IRNazanin" w:hAnsi="IRNazanin" w:eastAsia="IRNazanin" w:cs="IRNazanin"/>
          <w:lang w:bidi="fa-IR"/>
          <w:color w:val="111111"/>
          <w:sz w:val="28"/>
          <w:szCs w:val="28"/>
          <w:rtl/>
        </w:rPr>
        <w:t xml:space="preserve">تتصوّر الشفاعة بوجهین: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المطلقة: بأن یستفید العاصی من الشفاعة یوم القیامة و إن فعل ما فعل، و هذا مرفوض فی منطق العقل و الوحی.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المحدودة: و هی الّتی تکون مشروطة بأُمور فی المشفوع له، و مجمل تلک الشروط أن لا یقطع الإنسان جمیع علاقاته العبودیة مع اللّه و وشائجه الروحیة مع الشافعین، و هذا هو الّذی مقبول عند العقل و الوحی.</w:t>
      </w:r>
    </w:p>
    <w:p>
      <w:pPr>
        <w:pStyle w:val="BookText"/>
      </w:pPr>
      <w:r>
        <w:rPr>
          <w:rFonts w:ascii="IRNazanin" w:hAnsi="IRNazanin" w:eastAsia="IRNazanin" w:cs="IRNazanin"/>
          <w:lang w:bidi="fa-IR"/>
          <w:color w:val="111111"/>
          <w:sz w:val="28"/>
          <w:szCs w:val="28"/>
          <w:rtl/>
        </w:rPr>
        <w:t xml:space="preserve">و بذلک یتضح الجواب عمّا یعترض علی الشفاعة من کونها توجب الجرأة و تحیی روح التمرّد فی العصاة و المجرمین، فإنّ ذلک من لوازم الشفاعة المطلقة المرفوضة، لا المحدودة المقبولة.</w:t>
      </w:r>
    </w:p>
    <w:p>
      <w:pPr>
        <w:pStyle w:val="BookText"/>
      </w:pPr>
      <w:r>
        <w:rPr>
          <w:rFonts w:ascii="IRNazanin" w:hAnsi="IRNazanin" w:eastAsia="IRNazanin" w:cs="IRNazanin"/>
          <w:lang w:bidi="fa-IR"/>
          <w:color w:val="111111"/>
          <w:sz w:val="28"/>
          <w:szCs w:val="28"/>
          <w:rtl/>
        </w:rPr>
        <w:t xml:space="preserve">[شماره صفحه واقعی : 444]
</w:t>
      </w:r>
    </w:p>
    <w:p>
      <w:pPr>
        <w:sectPr>
          <w:footerReference w:type="default" r:id="rId1591"/>
          <w:footnotePr>
            <w:numStart w:val="1"/>
            <w:numRestart w:val="eachPage"/>
          </w:footnotePr>
          <w:pgSz w:orient="portrait" w:w="11905.511811023622" w:h="16837.79527559055"/>
          <w:pgMar w:top="1440" w:right="1440" w:bottom="1440" w:left="1440" w:header="720" w:footer="720" w:gutter="0"/>
          <w:cols w:num="1" w:space="720"/>
        </w:sectPr>
      </w:pPr>
    </w:p>
    <w:bookmarkStart w:id="866" w:name="pg14411_143973"/>
    <w:bookmarkEnd w:id="866"/>
    <w:p>
      <w:pPr>
        <w:pStyle w:val="BookText"/>
      </w:pPr>
      <w:r>
        <w:rPr>
          <w:rFonts w:ascii="IRNazanin" w:hAnsi="IRNazanin" w:eastAsia="IRNazanin" w:cs="IRNazanin"/>
          <w:lang w:bidi="fa-IR"/>
          <w:color w:val="111111"/>
          <w:sz w:val="28"/>
          <w:szCs w:val="28"/>
          <w:rtl/>
        </w:rPr>
        <w:t xml:space="preserve">و الغرض من تشریع الشفاعة هو الغرض من تشریع التوبة الّتی اتّفقت الأُمّة علی صحّتها، و هو منع المذنبین عن القنوط من رحمة اللّه و بعثهم نحو الابتهال و التضرّع إلی اللّه رجاء شمول رحمته إلیهم، فإنّ المجرم لو اعتقد بأنّ عصیانه لا یغفر قطّ، فلا شکّ أنّه یتمادی فی اقتراف السیئات باعتقاد أنّ ترک العصیان لا ینفعه فی شیء ، و هذا بخلاف ما إذا أیقن بأنّ رجوعه عن المعصیة یغیّر مصیره فی الآخرة، فإنّه یبعثه إلی ترک العصیان و الرجوع إلی الطاعة.</w:t>
      </w:r>
    </w:p>
    <w:p>
      <w:pPr>
        <w:pStyle w:val="BookText"/>
      </w:pPr>
      <w:r>
        <w:rPr>
          <w:rFonts w:ascii="IRNazanin" w:hAnsi="IRNazanin" w:eastAsia="IRNazanin" w:cs="IRNazanin"/>
          <w:lang w:bidi="fa-IR"/>
          <w:color w:val="111111"/>
          <w:sz w:val="28"/>
          <w:szCs w:val="28"/>
          <w:rtl/>
        </w:rPr>
        <w:t xml:space="preserve">و کذلک الحال فی الشفاعة، فإذا اعتقد العاصی بأنّ أولیاء اللّه قد یشفعون فی حقّه إذا لم یهتک الستر و لم یبلغ إلی الحدّ الّذی یحرم من الشفاعة، فعند ذلک ربّما یحاول تطبیق حیاته علی شرائط الشفاعة حتی لا یحرمها.</w:t>
      </w:r>
    </w:p>
    <w:p>
      <w:pPr>
        <w:pStyle w:val="Heading6"/>
      </w:pPr>
      <w:bookmarkStart w:id="2681" w:name="_Toc1716"/>
      <w:r>
        <w:t>شرائط شمول الشفاعة</w:t>
      </w:r>
      <w:bookmarkEnd w:id="2681"/>
    </w:p>
    <w:p>
      <w:pPr>
        <w:pStyle w:val="BookText"/>
      </w:pPr>
      <w:r>
        <w:rPr>
          <w:rFonts w:ascii="IRNazanin" w:hAnsi="IRNazanin" w:eastAsia="IRNazanin" w:cs="IRNazanin"/>
          <w:lang w:bidi="fa-IR"/>
          <w:color w:val="111111"/>
          <w:sz w:val="28"/>
          <w:szCs w:val="28"/>
          <w:rtl/>
        </w:rPr>
        <w:t xml:space="preserve">قد تعرّفت علی أنّ الشفاعة المشروعة هی الشفاعة المحدودة بشروط، و قد عرفت مجمل تلک الشروط، و ینبغی لنا أن نذکر بعض تلک الشروط تفصیلاً علی ما ورد فی الروایات: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منها عدم الإشراک باللّه تعالی:</w:t>
      </w:r>
    </w:p>
    <w:p>
      <w:pPr>
        <w:pStyle w:val="BookText"/>
      </w:pPr>
      <w:r>
        <w:rPr>
          <w:rFonts w:ascii="IRNazanin" w:hAnsi="IRNazanin" w:eastAsia="IRNazanin" w:cs="IRNazanin"/>
          <w:lang w:bidi="fa-IR"/>
          <w:color w:val="111111"/>
          <w:sz w:val="28"/>
          <w:szCs w:val="28"/>
          <w:rtl/>
        </w:rPr>
        <w:t xml:space="preserve">و قد تقدّم ذلک فیما نقلناه من أحادیث الشفاعة.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الإخلاص فی الشهادة بالتوحید:</w:t>
      </w:r>
    </w:p>
    <w:p>
      <w:pPr>
        <w:pStyle w:val="BookText"/>
      </w:pPr>
      <w:r>
        <w:rPr>
          <w:rFonts w:ascii="IRNazanin" w:hAnsi="IRNazanin" w:eastAsia="IRNazanin" w:cs="IRNazanin"/>
          <w:lang w:bidi="fa-IR"/>
          <w:color w:val="111111"/>
          <w:sz w:val="28"/>
          <w:szCs w:val="28"/>
          <w:rtl/>
        </w:rPr>
        <w:t xml:space="preserve">[شماره صفحه واقعی : 445]
</w:t>
      </w:r>
    </w:p>
    <w:p>
      <w:pPr>
        <w:sectPr>
          <w:footerReference w:type="default" r:id="rId1592"/>
          <w:footnotePr>
            <w:numStart w:val="1"/>
            <w:numRestart w:val="eachPage"/>
          </w:footnotePr>
          <w:pgSz w:orient="portrait" w:w="11905.511811023622" w:h="16837.79527559055"/>
          <w:pgMar w:top="1440" w:right="1440" w:bottom="1440" w:left="1440" w:header="720" w:footer="720" w:gutter="0"/>
          <w:cols w:num="1" w:space="720"/>
        </w:sectPr>
      </w:pPr>
    </w:p>
    <w:bookmarkStart w:id="867" w:name="pg14411_143974"/>
    <w:bookmarkEnd w:id="867"/>
    <w:p>
      <w:pPr>
        <w:pStyle w:val="BookText"/>
      </w:pPr>
      <w:r>
        <w:rPr>
          <w:rFonts w:ascii="IRNazanin" w:hAnsi="IRNazanin" w:eastAsia="IRNazanin" w:cs="IRNazanin"/>
          <w:lang w:bidi="fa-IR"/>
          <w:color w:val="111111"/>
          <w:sz w:val="28"/>
          <w:szCs w:val="28"/>
          <w:rtl/>
        </w:rPr>
        <w:t xml:space="preserve">قال رسول اللّه صلی الله علیه و آله : «شفاعتی لمن شهد أن لا إله إلّا اللّه مخلصاً، یصدِّق قلبه لسانه، و لسانه قلبه». </w:t>
      </w:r>
      <w:r>
        <w:rPr>
          <w:rStyle w:val="FootnoteReference"/>
        </w:rPr>
        <w:footnoteReference w:id="4865"/>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عدم کونه ناصبیاً:</w:t>
      </w:r>
    </w:p>
    <w:p>
      <w:pPr>
        <w:pStyle w:val="BookText"/>
      </w:pPr>
      <w:r>
        <w:rPr>
          <w:rFonts w:ascii="IRNazanin" w:hAnsi="IRNazanin" w:eastAsia="IRNazanin" w:cs="IRNazanin"/>
          <w:lang w:bidi="fa-IR"/>
          <w:color w:val="111111"/>
          <w:sz w:val="28"/>
          <w:szCs w:val="28"/>
          <w:rtl/>
        </w:rPr>
        <w:t xml:space="preserve">قال الإمام الصادق علیه السلام : «إنّ المؤمن لیشفع لحمیمه إلّا أن یکون ناصباً، و لو أنّ ناصباً شفع له کلّ نبیّ مرسل و ملک مقرّب ما شفعوا». </w:t>
      </w:r>
      <w:r>
        <w:rPr>
          <w:rStyle w:val="FootnoteReference"/>
        </w:rPr>
        <w:footnoteReference w:id="4866"/>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عدم الاستخفاف بالصلاة:</w:t>
      </w:r>
    </w:p>
    <w:p>
      <w:pPr>
        <w:pStyle w:val="BookText"/>
      </w:pPr>
      <w:r>
        <w:rPr>
          <w:rFonts w:ascii="IRNazanin" w:hAnsi="IRNazanin" w:eastAsia="IRNazanin" w:cs="IRNazanin"/>
          <w:lang w:bidi="fa-IR"/>
          <w:color w:val="111111"/>
          <w:sz w:val="28"/>
          <w:szCs w:val="28"/>
          <w:rtl/>
        </w:rPr>
        <w:t xml:space="preserve">قال الإمام الکاظم علیه السلام : «إنّه لا ینال شفاعتنا من استخف بالصلاة». </w:t>
      </w:r>
      <w:r>
        <w:rPr>
          <w:rStyle w:val="FootnoteReference"/>
        </w:rPr>
        <w:footnoteReference w:id="4867"/>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عدم التکذیب بشفاعة النبیّ صلی الله علیه و آله :</w:t>
      </w:r>
    </w:p>
    <w:p>
      <w:pPr>
        <w:pStyle w:val="BookText"/>
      </w:pPr>
      <w:r>
        <w:rPr>
          <w:rFonts w:ascii="IRNazanin" w:hAnsi="IRNazanin" w:eastAsia="IRNazanin" w:cs="IRNazanin"/>
          <w:lang w:bidi="fa-IR"/>
          <w:color w:val="111111"/>
          <w:sz w:val="28"/>
          <w:szCs w:val="28"/>
          <w:rtl/>
        </w:rPr>
        <w:t xml:space="preserve">قال الإمام علی بن موسی الرضا علیه السلام : قال أمیر المؤمنین علیه السلام : «من کذّب بشفاعة رسول اللّه لم تنله». </w:t>
      </w:r>
      <w:r>
        <w:rPr>
          <w:rStyle w:val="FootnoteReference"/>
        </w:rPr>
        <w:footnoteReference w:id="4868"/>
      </w:r>
    </w:p>
    <w:p>
      <w:pPr>
        <w:pStyle w:val="Heading6"/>
      </w:pPr>
      <w:bookmarkStart w:id="2682" w:name="_Toc1717"/>
      <w:r>
        <w:t>ما هو أثر الشفاعة؟</w:t>
      </w:r>
      <w:bookmarkEnd w:id="2682"/>
    </w:p>
    <w:p>
      <w:pPr>
        <w:pStyle w:val="BookText"/>
      </w:pPr>
      <w:r>
        <w:rPr>
          <w:rFonts w:ascii="IRNazanin" w:hAnsi="IRNazanin" w:eastAsia="IRNazanin" w:cs="IRNazanin"/>
          <w:lang w:bidi="fa-IR"/>
          <w:color w:val="111111"/>
          <w:sz w:val="28"/>
          <w:szCs w:val="28"/>
          <w:rtl/>
        </w:rPr>
        <w:t xml:space="preserve">إنّ الشفاعة عند الأُمم، مرفوضها و مقبولها یراد منها حطّ الذنوب و رفع العقاب، و هی کذلک عند الإسلام کما یوضحه قوله صلی الله علیه و آله :</w:t>
      </w:r>
    </w:p>
    <w:p>
      <w:pPr>
        <w:pStyle w:val="BookText"/>
      </w:pPr>
      <w:r>
        <w:rPr>
          <w:rFonts w:ascii="IRNazanin" w:hAnsi="IRNazanin" w:eastAsia="IRNazanin" w:cs="IRNazanin"/>
          <w:lang w:bidi="fa-IR"/>
          <w:color w:val="111111"/>
          <w:sz w:val="28"/>
          <w:szCs w:val="28"/>
          <w:rtl/>
        </w:rPr>
        <w:t xml:space="preserve">«إدّخرت شفاعتی لأهل الکبائر من أمّتی». </w:t>
      </w:r>
      <w:r>
        <w:rPr>
          <w:rStyle w:val="FootnoteReference"/>
        </w:rPr>
        <w:footnoteReference w:id="4869"/>
      </w:r>
    </w:p>
    <w:p>
      <w:pPr>
        <w:pStyle w:val="BookText"/>
      </w:pPr>
      <w:r>
        <w:rPr>
          <w:rFonts w:ascii="IRNazanin" w:hAnsi="IRNazanin" w:eastAsia="IRNazanin" w:cs="IRNazanin"/>
          <w:lang w:bidi="fa-IR"/>
          <w:color w:val="111111"/>
          <w:sz w:val="28"/>
          <w:szCs w:val="28"/>
          <w:rtl/>
        </w:rPr>
        <w:t xml:space="preserve">[شماره صفحه واقعی : 446]
</w:t>
      </w:r>
    </w:p>
    <w:p>
      <w:pPr>
        <w:sectPr>
          <w:footerReference w:type="default" r:id="rId1593"/>
          <w:footnotePr>
            <w:numStart w:val="1"/>
            <w:numRestart w:val="eachPage"/>
          </w:footnotePr>
          <w:pgSz w:orient="portrait" w:w="11905.511811023622" w:h="16837.79527559055"/>
          <w:pgMar w:top="1440" w:right="1440" w:bottom="1440" w:left="1440" w:header="720" w:footer="720" w:gutter="0"/>
          <w:cols w:num="1" w:space="720"/>
        </w:sectPr>
      </w:pPr>
    </w:p>
    <w:bookmarkStart w:id="868" w:name="pg14411_143975"/>
    <w:bookmarkEnd w:id="868"/>
    <w:p>
      <w:pPr>
        <w:pStyle w:val="BookText"/>
      </w:pPr>
      <w:r>
        <w:rPr>
          <w:rFonts w:ascii="IRNazanin" w:hAnsi="IRNazanin" w:eastAsia="IRNazanin" w:cs="IRNazanin"/>
          <w:lang w:bidi="fa-IR"/>
          <w:color w:val="111111"/>
          <w:sz w:val="28"/>
          <w:szCs w:val="28"/>
          <w:rtl/>
        </w:rPr>
        <w:t xml:space="preserve">و لکنّ المعتزلة ذهبت إلی أنّ أثرها ینحصر فی رفع الدرجة و زیادة الثواب، فهی تختصّ بأهل الطاعة، و ما هذا التأویل فی آیات الشفاعة إلّا لأجل موقف مسبق لهم فی مرتکب الکبیرة، حیث حکموا بخلوده فی النار إذا مات بلا توبة، فلمّا رأوا أنّ القول بالشفاعة الّتی أثرها هو إسقاط العقاب، ینافی ذلک المبنی، أوّلوا آیات اللّه فقالوا إنّ أثر الشفاعة إنّما هو زیادة الثواب و خالفوا فی ذلک جمیع المسلمین. </w:t>
      </w:r>
      <w:r>
        <w:rPr>
          <w:rStyle w:val="FootnoteReference"/>
        </w:rPr>
        <w:footnoteReference w:id="4870"/>
      </w:r>
    </w:p>
    <w:p>
      <w:pPr>
        <w:pStyle w:val="Heading6"/>
      </w:pPr>
      <w:bookmarkStart w:id="2683" w:name="_Toc1718"/>
      <w:r>
        <w:t>هل یجوز طلب الشفاعة؟</w:t>
      </w:r>
      <w:bookmarkEnd w:id="2683"/>
    </w:p>
    <w:p>
      <w:pPr>
        <w:pStyle w:val="BookText"/>
      </w:pPr>
      <w:r>
        <w:rPr>
          <w:rFonts w:ascii="IRNazanin" w:hAnsi="IRNazanin" w:eastAsia="IRNazanin" w:cs="IRNazanin"/>
          <w:lang w:bidi="fa-IR"/>
          <w:color w:val="111111"/>
          <w:sz w:val="28"/>
          <w:szCs w:val="28"/>
          <w:rtl/>
        </w:rPr>
        <w:t xml:space="preserve">ذهب ابن تیمیة، و تبعه محمّد بن عبد الوهاب -مخالفَین الأُمّة الإسلامیّة جمعاء -إلی أنّه لا یجوز طلب الشفاعة من الأولیاء فی هذه النشأة و لا یجوز للمؤمن أن یقول: «یا رسول اللّه اشفع لی یوم القیامة».</w:t>
      </w:r>
    </w:p>
    <w:p>
      <w:pPr>
        <w:pStyle w:val="BookText"/>
      </w:pPr>
      <w:r>
        <w:rPr>
          <w:rFonts w:ascii="Amiri" w:hAnsi="Amiri" w:eastAsia="Amiri" w:cs="Amiri"/>
          <w:lang w:bidi="ar-SA"/>
          <w:color w:val="111111"/>
          <w:sz w:val="28"/>
          <w:szCs w:val="28"/>
          <w:rtl/>
        </w:rPr>
        <w:t xml:space="preserve">و إنّما یجوز له أن یقول: «اللّهم شفّع نبیّنا محمّداً فینا یوم القیامة».</w:t>
      </w:r>
    </w:p>
    <w:p>
      <w:pPr>
        <w:pStyle w:val="BookText"/>
      </w:pPr>
      <w:r>
        <w:rPr>
          <w:rFonts w:ascii="IRNazanin" w:hAnsi="IRNazanin" w:eastAsia="IRNazanin" w:cs="IRNazanin"/>
          <w:lang w:bidi="fa-IR"/>
          <w:color w:val="111111"/>
          <w:sz w:val="28"/>
          <w:szCs w:val="28"/>
          <w:rtl/>
        </w:rPr>
        <w:t xml:space="preserve">و استدلا علی ذلک بوجوه تالیة: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إنّه من أقسام الشرک، أی الشرک بالعبادة، و القائل بهذا الکلام یعبد الولی.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الجواب عنه ظاهر، بما قدّمناه فی حقیقة الشّرک فی العبادة، و هی أن یکون الخضوع و التذلّل لغیره تعالی باعتقاد أنّه إله أو ربّ، أو أنّه مفوّض إلیه</w:t>
      </w:r>
    </w:p>
    <w:p>
      <w:pPr>
        <w:pStyle w:val="BookText"/>
      </w:pPr>
      <w:r>
        <w:rPr>
          <w:rFonts w:ascii="IRNazanin" w:hAnsi="IRNazanin" w:eastAsia="IRNazanin" w:cs="IRNazanin"/>
          <w:lang w:bidi="fa-IR"/>
          <w:color w:val="111111"/>
          <w:sz w:val="28"/>
          <w:szCs w:val="28"/>
          <w:rtl/>
        </w:rPr>
        <w:t xml:space="preserve">[شماره صفحه واقعی : 447]
</w:t>
      </w:r>
    </w:p>
    <w:p>
      <w:pPr>
        <w:sectPr>
          <w:footerReference w:type="default" r:id="rId15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فعل الخالق و تدبیره و شئونه، لا مطلق الخضوع و التذلّل.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إنّ طلب الشفاعة من النبیّ یشبه عمل عبدة الأصنام فی طلبهم الشفاعة من آلهتهم الکاذبة، یقول سبحانه:</w:t>
      </w:r>
    </w:p>
    <w:p>
      <w:pPr>
        <w:pStyle w:val="BookText"/>
      </w:pPr>
      <w:r>
        <w:rPr>
          <w:rFonts w:ascii="Amiri" w:hAnsi="Amiri" w:eastAsia="Amiri" w:cs="Amiri"/>
          <w:lang w:bidi="ar-SA"/>
          <w:color w:val="111111"/>
          <w:sz w:val="28"/>
          <w:szCs w:val="28"/>
          <w:rtl/>
        </w:rPr>
        <w:t xml:space="preserve">«وَ یَعْبُدُونَ مِنْ دُونِ اللّٰهِ مٰا لاٰ یَضُرُّهُمْ وَ لاٰ یَنْفَعُهُمْ وَ یَقُولُونَ هٰؤُلاٰءِ شُفَعٰاؤُنٰا عِنْدَ اللّٰهِ» </w:t>
      </w:r>
      <w:r>
        <w:rPr>
          <w:rStyle w:val="FootnoteReference"/>
        </w:rPr>
        <w:footnoteReference w:id="48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علی ذلک فالاستشفاع من غیره سبحانه عبادة لهذا الغیر. </w:t>
      </w:r>
      <w:r>
        <w:rPr>
          <w:rStyle w:val="FootnoteReference"/>
        </w:rPr>
        <w:footnoteReference w:id="4872"/>
      </w:r>
    </w:p>
    <w:p>
      <w:pPr>
        <w:pStyle w:val="BookText"/>
      </w:pPr>
      <w:r>
        <w:rPr>
          <w:rFonts w:ascii="IRNazanin" w:hAnsi="IRNazanin" w:eastAsia="IRNazanin" w:cs="IRNazanin"/>
          <w:lang w:bidi="fa-IR"/>
          <w:color w:val="111111"/>
          <w:sz w:val="28"/>
          <w:szCs w:val="28"/>
          <w:rtl/>
        </w:rPr>
        <w:t xml:space="preserve">و یردّه أنّ المعیار فی القضاء لیس هو التشابه الصوری، بل المعیار هو البواطن و العزائم، و إلّا لوجب أن یکون السعی بین الصفا و المروة و الطواف حول البیت شرکاً، لقیام المشرکین به فی الجاهلیة، و هؤلاء المشرکون کانوا یطلبون الشفاعة من الأوثان باعتقاد أنّها آلهة أو أشیاء فوّض إلیها أفعال اللّه سبحانه من المغفرة و الشفاعة.</w:t>
      </w:r>
    </w:p>
    <w:p>
      <w:pPr>
        <w:pStyle w:val="BookText"/>
      </w:pPr>
      <w:r>
        <w:rPr>
          <w:rFonts w:ascii="IRNazanin" w:hAnsi="IRNazanin" w:eastAsia="IRNazanin" w:cs="IRNazanin"/>
          <w:lang w:bidi="fa-IR"/>
          <w:color w:val="111111"/>
          <w:sz w:val="28"/>
          <w:szCs w:val="28"/>
          <w:rtl/>
        </w:rPr>
        <w:t xml:space="preserve">و أین هذا ممّن طلب الشفاعة من الأنبیاء و الأولیاء بما أنّهم عباد اللّه الصالحون، فعطف هذا علی ذلک جور فی القضاء و عناد فی الاستدلال.</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إنّ طلب الشفاعة من الغیر دعاء له و دعاء غیره سبحانه حرام، یقول سبحانه:</w:t>
      </w:r>
    </w:p>
    <w:p>
      <w:pPr>
        <w:pStyle w:val="BookText"/>
      </w:pPr>
      <w:r>
        <w:rPr>
          <w:rFonts w:ascii="Amiri" w:hAnsi="Amiri" w:eastAsia="Amiri" w:cs="Amiri"/>
          <w:lang w:bidi="ar-SA"/>
          <w:color w:val="111111"/>
          <w:sz w:val="28"/>
          <w:szCs w:val="28"/>
          <w:rtl/>
        </w:rPr>
        <w:t xml:space="preserve">«فَلاٰ تَدْعُوا مَعَ اللّٰهِ أَحَداً » </w:t>
      </w:r>
      <w:r>
        <w:rPr>
          <w:rStyle w:val="FootnoteReference"/>
        </w:rPr>
        <w:footnoteReference w:id="48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448]
</w:t>
      </w:r>
    </w:p>
    <w:p>
      <w:pPr>
        <w:sectPr>
          <w:footerReference w:type="default" r:id="rId15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یردّه أنّ مطلق دعاء الغیر لیس محرّماً و هو واضح، و إنّما الحرام منه ما یکون عبادة له بأن یعتقد الأُلوهیة و الربوبیّة فی المدعوّ، و الآیة ناظرة إلی هذا القسم بقرینة قوله: «مَعَ اللّٰهِ» أی بأن یکون دعاء الغیر علی وزان دعائه تعالی و فی مرتبته، و یدلّ علیه قوله سبحانه -حاکیاً قولهم یوم القیامة -: «تَاللّٰهِ إِنْ کُنّٰا لَفِی ضَلاٰلٍ مُبِینٍ * إِذْ نُسَوِّیکُمْ بِرَبِّ الْعٰالَمِینَ » </w:t>
      </w:r>
      <w:r>
        <w:rPr>
          <w:rStyle w:val="FootnoteReference"/>
        </w:rPr>
        <w:footnoteReference w:id="4874"/>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إنّ طلب الشفاعة من المیّت أمر باطل.</w:t>
      </w:r>
    </w:p>
    <w:p>
      <w:pPr>
        <w:pStyle w:val="BookText"/>
      </w:pPr>
      <w:r>
        <w:rPr>
          <w:rFonts w:ascii="IRNazanin" w:hAnsi="IRNazanin" w:eastAsia="IRNazanin" w:cs="IRNazanin"/>
          <w:lang w:bidi="fa-IR"/>
          <w:color w:val="111111"/>
          <w:sz w:val="28"/>
          <w:szCs w:val="28"/>
          <w:rtl/>
        </w:rPr>
        <w:t xml:space="preserve">و یردّه إنّ الإشکال ناجم من عدم التعرّف علی مقام الأولیاء فی کتاب اللّه الحکیم، و قد عرفت فی الفصول السابقة إنّ القرآن یصرّح بحیاة جموع کثیرة من الشهداء، و غیرهم، و لو لم یکن للنبی صلی الله علیه و آله حیاة فما معنی التسلیم علیه فی کلّ صباح و مساء و فی تشهّد کلّ صلاة: «السلام علیک أیّها النبیّ و رحمة اللّه و برکاته»؟!</w:t>
      </w:r>
    </w:p>
    <w:p>
      <w:pPr>
        <w:pStyle w:val="BookText"/>
      </w:pPr>
      <w:r>
        <w:rPr>
          <w:rFonts w:ascii="IRNazanin" w:hAnsi="IRNazanin" w:eastAsia="IRNazanin" w:cs="IRNazanin"/>
          <w:lang w:bidi="fa-IR"/>
          <w:color w:val="111111"/>
          <w:sz w:val="28"/>
          <w:szCs w:val="28"/>
          <w:rtl/>
        </w:rPr>
        <w:t xml:space="preserve">و المؤمنون لا یطلبون الشفاعة من أجساد الصالحین و أبدانهم، بل یطلبونها من أرواحهم المقدّسة الحیّة عند اللّه سبحانه، بأبدان برزخیة.</w:t>
      </w:r>
    </w:p>
    <w:p>
      <w:pPr>
        <w:pStyle w:val="BookText"/>
      </w:pP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449]
</w:t>
      </w:r>
    </w:p>
    <w:p>
      <w:pPr>
        <w:sectPr>
          <w:footerReference w:type="default" r:id="rId15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450]
</w:t>
      </w:r>
    </w:p>
    <w:p>
      <w:pPr>
        <w:sectPr>
          <w:footerReference w:type="default" r:id="rId1597"/>
          <w:footnotePr>
            <w:numStart w:val="1"/>
            <w:numRestart w:val="eachPage"/>
          </w:footnotePr>
          <w:pgSz w:orient="portrait" w:w="11905.511811023622" w:h="16837.79527559055"/>
          <w:pgMar w:top="1440" w:right="1440" w:bottom="1440" w:left="1440" w:header="720" w:footer="720" w:gutter="0"/>
          <w:cols w:num="1" w:space="720"/>
        </w:sectPr>
      </w:pPr>
    </w:p>
    <w:bookmarkStart w:id="869" w:name="pg14411_143979"/>
    <w:bookmarkEnd w:id="869"/>
    <w:p>
      <w:pPr>
        <w:pStyle w:val="Heading5"/>
      </w:pPr>
      <w:bookmarkStart w:id="2684" w:name="_Toc1719"/>
      <w:r>
        <w:t>الفصل التاسع : الإحباط و التکفیر</w:t>
      </w:r>
      <w:bookmarkEnd w:id="2684"/>
    </w:p>
    <w:p>
      <w:pPr>
        <w:pStyle w:val="BookText"/>
      </w:pPr>
      <w:r>
        <w:rPr>
          <w:rFonts w:ascii="Amiri" w:hAnsi="Amiri" w:eastAsia="Amiri" w:cs="Amiri"/>
          <w:lang w:bidi="ar-SA"/>
          <w:color w:val="111111"/>
          <w:sz w:val="28"/>
          <w:szCs w:val="28"/>
          <w:rtl/>
        </w:rPr>
        <w:t xml:space="preserve">الإحباط فی اللّغة بمعنی الإبطال، یقال: أحبط عمل الکافر أی أبطله. و التکفیر بمعنی التغطیة، یقال: للزارع کافر، لأنّه یغطّی الحَبّ بتراب الأرض، قال اللّه تعالی: «کَمَثَلِ غَیْثٍ أَعْجَبَ الْکُفّٰارَ نَبٰاتُهُ» </w:t>
      </w:r>
      <w:r>
        <w:rPr>
          <w:rStyle w:val="FootnoteReference"/>
        </w:rPr>
        <w:footnoteReference w:id="48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الکفر ضدّ الإیمان، سمّی بذلک لأنّه تغطیة الحقّ. </w:t>
      </w:r>
      <w:r>
        <w:rPr>
          <w:rStyle w:val="FootnoteReference"/>
        </w:rPr>
        <w:footnoteReference w:id="4876"/>
      </w:r>
    </w:p>
    <w:p>
      <w:pPr>
        <w:pStyle w:val="BookText"/>
      </w:pPr>
      <w:r>
        <w:rPr>
          <w:rFonts w:ascii="IRNazanin" w:hAnsi="IRNazanin" w:eastAsia="IRNazanin" w:cs="IRNazanin"/>
          <w:lang w:bidi="fa-IR"/>
          <w:color w:val="111111"/>
          <w:sz w:val="28"/>
          <w:szCs w:val="28"/>
          <w:rtl/>
        </w:rPr>
        <w:t xml:space="preserve">و المراد من الحبط فی اصطلاح المتکلّمین هو سقوط ثواب العمل الصالح بالمعصیة المتأخّرة، کما أنّ المراد من التکفیر هو سقوط الذنوب المتقدّمة بالطاعة المتأخّرة.</w:t>
      </w:r>
    </w:p>
    <w:p>
      <w:pPr>
        <w:pStyle w:val="BookText"/>
      </w:pPr>
      <w:r>
        <w:rPr>
          <w:rFonts w:ascii="IRNazanin" w:hAnsi="IRNazanin" w:eastAsia="IRNazanin" w:cs="IRNazanin"/>
          <w:lang w:bidi="fa-IR"/>
          <w:color w:val="111111"/>
          <w:sz w:val="28"/>
          <w:szCs w:val="28"/>
          <w:rtl/>
        </w:rPr>
        <w:t xml:space="preserve">و اختلف المتکلّمون هنا، فقال جماعة من المعتزلة بالإحباط و التکفیر، و نفاهما المحقّقون، ثمّ القائلون بهما اختلفوا، فقال أبو علی الجبّائی: إنّ المتأخّر یسقط المتقدّم و یبقی علی حاله، و قال أبو هاشم: إنّه</w:t>
      </w:r>
    </w:p>
    <w:p>
      <w:pPr>
        <w:pStyle w:val="BookText"/>
      </w:pPr>
      <w:r>
        <w:rPr>
          <w:rFonts w:ascii="IRNazanin" w:hAnsi="IRNazanin" w:eastAsia="IRNazanin" w:cs="IRNazanin"/>
          <w:lang w:bidi="fa-IR"/>
          <w:color w:val="111111"/>
          <w:sz w:val="28"/>
          <w:szCs w:val="28"/>
          <w:rtl/>
        </w:rPr>
        <w:t xml:space="preserve">[شماره صفحه واقعی : 451]
</w:t>
      </w:r>
    </w:p>
    <w:p>
      <w:pPr>
        <w:sectPr>
          <w:footerReference w:type="default" r:id="rId15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ینتفی الأقل بالأکثر، و ینتفی من الأکثر بالأقلّ ما ساواه، و یبقی الزائد مستحقّاً، و هذا هو الموازنة. </w:t>
      </w:r>
      <w:r>
        <w:rPr>
          <w:rStyle w:val="FootnoteReference"/>
        </w:rPr>
        <w:footnoteReference w:id="4877"/>
      </w:r>
    </w:p>
    <w:p>
      <w:pPr>
        <w:pStyle w:val="BookText"/>
      </w:pPr>
      <w:r>
        <w:rPr>
          <w:rFonts w:ascii="IRNazanin" w:hAnsi="IRNazanin" w:eastAsia="IRNazanin" w:cs="IRNazanin"/>
          <w:lang w:bidi="fa-IR"/>
          <w:color w:val="111111"/>
          <w:sz w:val="28"/>
          <w:szCs w:val="28"/>
          <w:rtl/>
        </w:rPr>
        <w:t xml:space="preserve">و یبطل القول الأوّل أنّه یستلزم الظلم، لأنّ من أساء و أطاع و کانت إساءته أکثر، یکون بمنزلة من لم یحسن، و إن کان إحسانه أکثر، یکون بمنزلة من لم یسیء ، و إن تساویا یکون مساویاً لمن لم یصدر عنه أحدهما و لیس کذلک عند العقلاء. </w:t>
      </w:r>
      <w:r>
        <w:rPr>
          <w:rStyle w:val="FootnoteReference"/>
        </w:rPr>
        <w:footnoteReference w:id="4878"/>
      </w:r>
    </w:p>
    <w:p>
      <w:pPr>
        <w:pStyle w:val="BookText"/>
      </w:pPr>
      <w:r>
        <w:rPr>
          <w:rFonts w:ascii="IRNazanin" w:hAnsi="IRNazanin" w:eastAsia="IRNazanin" w:cs="IRNazanin"/>
          <w:lang w:bidi="fa-IR"/>
          <w:color w:val="111111"/>
          <w:sz w:val="28"/>
          <w:szCs w:val="28"/>
          <w:rtl/>
        </w:rPr>
        <w:t xml:space="preserve">و أیضاً ینافی قوله تعالی:</w:t>
      </w:r>
    </w:p>
    <w:p>
      <w:pPr>
        <w:pStyle w:val="BookText"/>
      </w:pPr>
      <w:r>
        <w:rPr>
          <w:rFonts w:ascii="Amiri" w:hAnsi="Amiri" w:eastAsia="Amiri" w:cs="Amiri"/>
          <w:lang w:bidi="ar-SA"/>
          <w:color w:val="111111"/>
          <w:sz w:val="28"/>
          <w:szCs w:val="28"/>
          <w:rtl/>
        </w:rPr>
        <w:t xml:space="preserve">«فَمَنْ یَعْمَلْ مِثْقٰالَ ذَرَّةٍ خَیْراً یَرَهُ * وَ مَنْ یَعْمَلْ مِثْقٰالَ ذَرَّةٍ شَرًّا یَرَهُ» </w:t>
      </w:r>
      <w:r>
        <w:rPr>
          <w:rStyle w:val="FootnoteReference"/>
        </w:rPr>
        <w:footnoteReference w:id="48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یردّ قول أبی هاشم ما ذکره المحقّق الطوسی بقوله: «و لعدم الأولویّة إذا کان الأخر ضعفاً، و حصول المتناقضین مع التساوی» </w:t>
      </w:r>
      <w:r>
        <w:rPr>
          <w:rStyle w:val="FootnoteReference"/>
        </w:rPr>
        <w:footnoteReference w:id="48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توضیحه: أنّا إذا فرضنا استحقاق المکلّف خمسة أجزاء من الثواب و عشرة أجزاء من العقاب، و لیس إسقاط إحدی الخمستین من العقاب بالخمسة من الثواب أولی من الأخری، فإمّا أن یسقطا معاً و هو خلاف مذهبه، أو لا یسقط شیء منهما و هو المطلوب. و لو فرضنا أنّه فعل خمسة أجزاء من الثواب و خمسة أجزاء من العقاب، فإن تقدّم إسقاط أحدهما</w:t>
      </w:r>
    </w:p>
    <w:p>
      <w:pPr>
        <w:pStyle w:val="BookText"/>
      </w:pPr>
      <w:r>
        <w:rPr>
          <w:rFonts w:ascii="IRNazanin" w:hAnsi="IRNazanin" w:eastAsia="IRNazanin" w:cs="IRNazanin"/>
          <w:lang w:bidi="fa-IR"/>
          <w:color w:val="111111"/>
          <w:sz w:val="28"/>
          <w:szCs w:val="28"/>
          <w:rtl/>
        </w:rPr>
        <w:t xml:space="preserve">[شماره صفحه واقعی : 452]
</w:t>
      </w:r>
    </w:p>
    <w:p>
      <w:pPr>
        <w:sectPr>
          <w:footerReference w:type="default" r:id="rId15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للآخر لم یسقط الباقی بالمعدوم لاستحالة صیرورة المعدوم و المغلوب غالباً و مؤثّراً، و إن تقارنا لزم وجودهما معاً، لأنّ وجود کلّ منهما ینفی وجود الآخر فیلزم وجودهما حال عدمهما، و ذلک جمع بین النقیضین. </w:t>
      </w:r>
      <w:r>
        <w:rPr>
          <w:rStyle w:val="FootnoteReference"/>
        </w:rPr>
        <w:footnoteReference w:id="4881"/>
      </w:r>
    </w:p>
    <w:p>
      <w:pPr>
        <w:pStyle w:val="BookText"/>
      </w:pPr>
      <w:r>
        <w:rPr>
          <w:rFonts w:ascii="IRNazanin" w:hAnsi="IRNazanin" w:eastAsia="IRNazanin" w:cs="IRNazanin"/>
          <w:lang w:bidi="fa-IR"/>
          <w:color w:val="111111"/>
          <w:sz w:val="28"/>
          <w:szCs w:val="28"/>
          <w:rtl/>
        </w:rPr>
        <w:t xml:space="preserve">فإن قلت: لو کان الإحباط باطلاً فما هو المخلص فیما یدلّ علی حبط العمل فی غیر مورد من الآیات الّتی ورد فیها أنّ الکفر و الارتداد و الشرک و الإساءة إلی النبیّ و غیرها ممّا یحبط الحسنات؟</w:t>
      </w:r>
    </w:p>
    <w:p>
      <w:pPr>
        <w:pStyle w:val="BookText"/>
      </w:pPr>
      <w:r>
        <w:rPr>
          <w:rFonts w:ascii="IRNazanin" w:hAnsi="IRNazanin" w:eastAsia="IRNazanin" w:cs="IRNazanin"/>
          <w:lang w:bidi="fa-IR"/>
          <w:color w:val="111111"/>
          <w:sz w:val="28"/>
          <w:szCs w:val="28"/>
          <w:rtl/>
        </w:rPr>
        <w:t xml:space="preserve">قلت: إنّ القائلین ببطلان الإحباط یفسّرون الآیات بأنّ استحقاق الثواب فی مواردها کان مشروطاً بعدم لحوق العصیان بالطاعات.</w:t>
      </w:r>
    </w:p>
    <w:p>
      <w:pPr>
        <w:pStyle w:val="BookText"/>
      </w:pPr>
      <w:r>
        <w:rPr>
          <w:rFonts w:ascii="IRNazanin" w:hAnsi="IRNazanin" w:eastAsia="IRNazanin" w:cs="IRNazanin"/>
          <w:lang w:bidi="fa-IR"/>
          <w:color w:val="111111"/>
          <w:sz w:val="28"/>
          <w:szCs w:val="28"/>
          <w:rtl/>
        </w:rPr>
        <w:t xml:space="preserve">و یمکن أن یقال إنّ الاستحقاق فی بدء صدور الطاعات لم یکن مشروطاً بعدم لحوق العصیان، بل کان استقراره و بقاؤه هو المشروط بعدم لحوق المعصیة.</w:t>
      </w:r>
    </w:p>
    <w:p>
      <w:pPr>
        <w:pStyle w:val="BookText"/>
      </w:pPr>
      <w:r>
        <w:rPr>
          <w:rFonts w:ascii="Amiri" w:hAnsi="Amiri" w:eastAsia="Amiri" w:cs="Amiri"/>
          <w:lang w:bidi="ar-SA"/>
          <w:color w:val="111111"/>
          <w:sz w:val="28"/>
          <w:szCs w:val="28"/>
          <w:rtl/>
        </w:rPr>
        <w:t xml:space="preserve">قال الطبرسی فی تفسیر قوله تعالی: «وَ مَنْ یَکْفُرْ بِالْإِیمٰانِ فَقَدْ حَبِطَ عَمَلُهُ وَ هُوَ فِی الْآخِرَةِ مِنَ الْخٰاسِرِینَ » </w:t>
      </w:r>
      <w:r>
        <w:rPr>
          <w:rStyle w:val="FootnoteReference"/>
        </w:rPr>
        <w:footnoteReference w:id="4882"/>
      </w:r>
      <w:r>
        <w:rPr>
          <w:rFonts w:ascii="IRNazanin" w:hAnsi="IRNazanin" w:eastAsia="IRNazanin" w:cs="IRNazanin"/>
          <w:lang w:bidi="fa-IR"/>
          <w:color w:val="111111"/>
          <w:sz w:val="28"/>
          <w:szCs w:val="28"/>
          <w:rtl/>
        </w:rPr>
        <w:t xml:space="preserve">و فی قوله: «فَقَدْ حَبِطَ عَمَلُهُ» هنا دلالة علی أنّ حبوط الأعمال لا یترتّب علی ثبوت الثواب، فإنّ الکافر لا یکون له عمل قد ثبت علیه ثواب، و إنّما یکون له عمل فی الظاهر لو لا کفره لکان یستحقّ الثواب علیه، فعبّر سبحانه عن هذا العمل بأنّه حبط، فهو حقیقة معناه». </w:t>
      </w:r>
      <w:r>
        <w:rPr>
          <w:rStyle w:val="FootnoteReference"/>
        </w:rPr>
        <w:footnoteReference w:id="4883"/>
      </w:r>
    </w:p>
    <w:p>
      <w:pPr>
        <w:pStyle w:val="BookText"/>
      </w:pPr>
      <w:r>
        <w:rPr>
          <w:rFonts w:ascii="IRNazanin" w:hAnsi="IRNazanin" w:eastAsia="IRNazanin" w:cs="IRNazanin"/>
          <w:lang w:bidi="fa-IR"/>
          <w:color w:val="111111"/>
          <w:sz w:val="28"/>
          <w:szCs w:val="28"/>
          <w:rtl/>
        </w:rPr>
        <w:t xml:space="preserve">[شماره صفحه واقعی : 453]
</w:t>
      </w:r>
    </w:p>
    <w:p>
      <w:pPr>
        <w:sectPr>
          <w:footerReference w:type="default" r:id="rId16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بما ذکره الطبرسی یظهر جواب سؤال آخر، و هو أنّه إذا کان الاستحقاق مشروطاً بعدم صدور العصیان فکیف یطلق علیه الإحباط، إذ الإحباط إبطال و إسقاط و لم یکن هناک شیء یبطل أو یسقط؟</w:t>
      </w:r>
    </w:p>
    <w:p>
      <w:pPr>
        <w:pStyle w:val="BookText"/>
      </w:pPr>
      <w:r>
        <w:rPr>
          <w:rFonts w:ascii="IRNazanin" w:hAnsi="IRNazanin" w:eastAsia="IRNazanin" w:cs="IRNazanin"/>
          <w:lang w:bidi="fa-IR"/>
          <w:color w:val="111111"/>
          <w:sz w:val="28"/>
          <w:szCs w:val="28"/>
          <w:rtl/>
        </w:rPr>
        <w:t xml:space="preserve">و ذلک لأنّ نفس العمل فی الظاهر سبب و مقتضٍ، فالإبطال و الإسقاط کما یصدقان مع وجود العلّة التامّة، فهکذا یصدقان مع وجود المقتضی الّذی هو جزء العلّة.</w:t>
      </w:r>
    </w:p>
    <w:p>
      <w:pPr>
        <w:pStyle w:val="BookText"/>
      </w:pPr>
      <w:r>
        <w:rPr>
          <w:rFonts w:ascii="IRNazanin" w:hAnsi="IRNazanin" w:eastAsia="IRNazanin" w:cs="IRNazanin"/>
          <w:lang w:bidi="fa-IR"/>
          <w:color w:val="111111"/>
          <w:sz w:val="28"/>
          <w:szCs w:val="28"/>
          <w:rtl/>
        </w:rPr>
        <w:t xml:space="preserve">هذا کلّه فی الإحباط، و أمّا التکفیر فهو لا یعدّ ظلماً لأنّ العقاب حقّ للمولی و إسقاط الحقّ لیس ظلماً بل إحسان، و خلف الوعید لیس بقبیح عقلاً، و إنّما القبیح خلف الوعد، فلأجل ذلک لا حاجة إلی تقیید استحقاق العقاب أو استمراره بعدم تعقّب الطاعات، بل هو ثابت غیر أنّ المولی سبحانه عفی عبده لما فعله من الطاعات.</w:t>
      </w:r>
    </w:p>
    <w:p>
      <w:pPr>
        <w:pStyle w:val="BookText"/>
      </w:pPr>
      <w:r>
        <w:rPr>
          <w:rFonts w:ascii="IRNazanin" w:hAnsi="IRNazanin" w:eastAsia="IRNazanin" w:cs="IRNazanin"/>
          <w:lang w:bidi="fa-IR"/>
          <w:color w:val="111111"/>
          <w:sz w:val="28"/>
          <w:szCs w:val="28"/>
          <w:rtl/>
        </w:rPr>
        <w:t xml:space="preserve">قال سبحانه:</w:t>
      </w:r>
    </w:p>
    <w:p>
      <w:pPr>
        <w:pStyle w:val="BookText"/>
      </w:pPr>
      <w:r>
        <w:rPr>
          <w:rFonts w:ascii="Amiri" w:hAnsi="Amiri" w:eastAsia="Amiri" w:cs="Amiri"/>
          <w:lang w:bidi="ar-SA"/>
          <w:color w:val="111111"/>
          <w:sz w:val="28"/>
          <w:szCs w:val="28"/>
          <w:rtl/>
        </w:rPr>
        <w:t xml:space="preserve">«إِنْ تَجْتَنِبُوا کَبٰائِرَ مٰا تُنْهَوْنَ عَنْهُ نُکَفِّرْ عَنْکُمْ سَیِّئٰاتِکُمْ وَ نُدْخِلْکُمْ مُدْخَلاً کَرِیماً» </w:t>
      </w:r>
      <w:r>
        <w:rPr>
          <w:rStyle w:val="FootnoteReference"/>
        </w:rPr>
        <w:footnoteReference w:id="4884"/>
      </w:r>
      <w:r>
        <w:rPr>
          <w:rFonts w:ascii="Times New Roman" w:hAnsi="Times New Roman" w:eastAsia="Times New Roman" w:cs="Times New Roman"/>
          <w:lang w:val="en-US" w:bidi="en-US"/>
          <w:color w:val="111111"/>
          <w:sz w:val="28"/>
          <w:szCs w:val="28"/>
          <w:rtl/>
        </w:rPr>
        <w:t xml:space="preserve">. </w:t>
      </w:r>
      <w:r>
        <w:rPr>
          <w:rStyle w:val="FootnoteReference"/>
        </w:rPr>
        <w:footnoteReference w:id="4885"/>
      </w:r>
    </w:p>
    <w:p>
      <w:pPr>
        <w:pStyle w:val="BookText"/>
      </w:pPr>
      <w:r>
        <w:rPr>
          <w:rFonts w:ascii="IRNazanin" w:hAnsi="IRNazanin" w:eastAsia="IRNazanin" w:cs="IRNazanin"/>
          <w:lang w:bidi="fa-IR"/>
          <w:color w:val="111111"/>
          <w:sz w:val="28"/>
          <w:szCs w:val="28"/>
          <w:rtl/>
        </w:rPr>
        <w:t xml:space="preserve">هذا و لا یصحّ القول بالإحباط و التکفیر فی کلّ الأعمال، بل یجب تتّبع النصوص و الاقتصار بها فی ذلک.</w:t>
      </w:r>
    </w:p>
    <w:p>
      <w:pPr>
        <w:pStyle w:val="BookText"/>
      </w:pPr>
      <w:r>
        <w:rPr>
          <w:rFonts w:ascii="IRNazanin" w:hAnsi="IRNazanin" w:eastAsia="IRNazanin" w:cs="IRNazanin"/>
          <w:lang w:bidi="fa-IR"/>
          <w:color w:val="111111"/>
          <w:sz w:val="28"/>
          <w:szCs w:val="28"/>
          <w:rtl/>
        </w:rPr>
        <w:t xml:space="preserve">[شماره صفحه واقعی : 454]
</w:t>
      </w:r>
    </w:p>
    <w:p>
      <w:pPr>
        <w:sectPr>
          <w:footerReference w:type="default" r:id="rId1601"/>
          <w:footnotePr>
            <w:numStart w:val="1"/>
            <w:numRestart w:val="eachPage"/>
          </w:footnotePr>
          <w:pgSz w:orient="portrait" w:w="11905.511811023622" w:h="16837.79527559055"/>
          <w:pgMar w:top="1440" w:right="1440" w:bottom="1440" w:left="1440" w:header="720" w:footer="720" w:gutter="0"/>
          <w:cols w:num="1" w:space="720"/>
        </w:sectPr>
      </w:pPr>
    </w:p>
    <w:bookmarkStart w:id="870" w:name="pg14411_143983"/>
    <w:bookmarkEnd w:id="870"/>
    <w:p>
      <w:pPr>
        <w:pStyle w:val="Heading5"/>
      </w:pPr>
      <w:bookmarkStart w:id="2685" w:name="_Toc1720"/>
      <w:r>
        <w:t>الفصل العاشر : الإجابة عن أسئلة حول المعاد</w:t>
      </w:r>
      <w:bookmarkEnd w:id="2685"/>
    </w:p>
    <w:p>
      <w:pPr>
        <w:pStyle w:val="Heading6"/>
      </w:pPr>
      <w:bookmarkStart w:id="2686" w:name="_Toc1721"/>
      <w:r>
        <w:t>اشارة</w:t>
      </w:r>
      <w:bookmarkEnd w:id="2686"/>
    </w:p>
    <w:p>
      <w:pPr>
        <w:pStyle w:val="BookText"/>
      </w:pPr>
      <w:r>
        <w:rPr>
          <w:rFonts w:ascii="IRNazanin" w:hAnsi="IRNazanin" w:eastAsia="IRNazanin" w:cs="IRNazanin"/>
          <w:lang w:bidi="fa-IR"/>
          <w:color w:val="111111"/>
          <w:sz w:val="28"/>
          <w:szCs w:val="28"/>
          <w:rtl/>
        </w:rPr>
        <w:t xml:space="preserve">نختم مباحث المعاد بالإجابة عن أسئلة طرحت فی هذا المجال:</w:t>
      </w:r>
    </w:p>
    <w:p>
      <w:pPr>
        <w:pStyle w:val="Heading6"/>
      </w:pPr>
      <w:bookmarkStart w:id="2687" w:name="_Toc1722"/>
      <w:r>
        <w:t>1. کیف یخلّد الإنسان فی الآخرة مع أنّ المادّة تفنی؟</w:t>
      </w:r>
      <w:bookmarkEnd w:id="2687"/>
    </w:p>
    <w:p>
      <w:pPr>
        <w:pStyle w:val="BookText"/>
      </w:pPr>
      <w:r>
        <w:rPr>
          <w:rFonts w:ascii="IRNazanin" w:hAnsi="IRNazanin" w:eastAsia="IRNazanin" w:cs="IRNazanin"/>
          <w:lang w:bidi="fa-IR"/>
          <w:color w:val="111111"/>
          <w:sz w:val="28"/>
          <w:szCs w:val="28"/>
          <w:rtl/>
        </w:rPr>
        <w:t xml:space="preserve">دلّت الآیات و الروایات علی خلود الإنسان فی الآخرة، إمّا فی جنّتها و نعیمها، أو فی جحیمها و عذابها مع أنّ القوانین العلمیة دلّت علی أنّ المادّة حسب تفجُّر طاقاتها، علی مدی أزمنة طویلة، تبلغ إلی حدّ تنفد طاقتها، فلا یمکن أن یکون للجنّة و النار بقاء، و للإنسان خلود.</w:t>
      </w:r>
    </w:p>
    <w:p>
      <w:pPr>
        <w:pStyle w:val="BookText"/>
      </w:pPr>
      <w:r>
        <w:rPr>
          <w:rFonts w:ascii="Amiri" w:hAnsi="Amiri" w:eastAsia="Amiri" w:cs="Amiri"/>
          <w:lang w:bidi="ar-SA"/>
          <w:color w:val="111111"/>
          <w:sz w:val="28"/>
          <w:szCs w:val="28"/>
          <w:rtl/>
        </w:rPr>
        <w:t xml:space="preserve">و الجواب، أنّ السؤال ناش من مقایسة الآخرة بالدنیا و هو خطأ فادح، لأنّ التجارب العلمیة لا تتجاوز نتائجها المادّة الدنیویة، و إسراء حکم هذا العالم إلی العالم الآخر، و إن کان مادیّاً، قیاس بلا دلیل، فللآخرة أحکام تخصّها لا یقاس بها أحکام هذه النشأة یقول سبحانه: «یَوْمَ تُبَدَّلُ الْأَرْضُ غَیْرَ الْأَرْضِ وَ السَّمٰاوٰاتُ» </w:t>
      </w:r>
      <w:r>
        <w:rPr>
          <w:rStyle w:val="FootnoteReference"/>
        </w:rPr>
        <w:footnoteReference w:id="48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455]
</w:t>
      </w:r>
    </w:p>
    <w:p>
      <w:pPr>
        <w:sectPr>
          <w:footerReference w:type="default" r:id="rId1602"/>
          <w:footnotePr>
            <w:numStart w:val="1"/>
            <w:numRestart w:val="eachPage"/>
          </w:footnotePr>
          <w:pgSz w:orient="portrait" w:w="11905.511811023622" w:h="16837.79527559055"/>
          <w:pgMar w:top="1440" w:right="1440" w:bottom="1440" w:left="1440" w:header="720" w:footer="720" w:gutter="0"/>
          <w:cols w:num="1" w:space="720"/>
        </w:sectPr>
      </w:pPr>
    </w:p>
    <w:bookmarkStart w:id="871" w:name="pg14411_143984"/>
    <w:bookmarkEnd w:id="871"/>
    <w:p>
      <w:pPr>
        <w:pStyle w:val="BookText"/>
      </w:pPr>
      <w:r>
        <w:rPr>
          <w:rFonts w:ascii="IRNazanin" w:hAnsi="IRNazanin" w:eastAsia="IRNazanin" w:cs="IRNazanin"/>
          <w:lang w:bidi="fa-IR"/>
          <w:color w:val="111111"/>
          <w:sz w:val="28"/>
          <w:szCs w:val="28"/>
          <w:rtl/>
        </w:rPr>
        <w:t xml:space="preserve">قال العلاّمة الطباطبائی:</w:t>
      </w:r>
    </w:p>
    <w:p>
      <w:pPr>
        <w:pStyle w:val="BookText"/>
      </w:pPr>
      <w:r>
        <w:rPr>
          <w:rFonts w:ascii="IRNazanin" w:hAnsi="IRNazanin" w:eastAsia="IRNazanin" w:cs="IRNazanin"/>
          <w:lang w:bidi="fa-IR"/>
          <w:color w:val="111111"/>
          <w:sz w:val="28"/>
          <w:szCs w:val="28"/>
          <w:rtl/>
        </w:rPr>
        <w:t xml:space="preserve">المسلم من التبدّل أنّ حقیقة الأرض و السماء و ما فیهما یومئذ هی هی، غیر أنّ النظام الجاری فیهما یومئذ غیر النظام الجاری فیهما فی الدنیا. </w:t>
      </w:r>
      <w:r>
        <w:rPr>
          <w:rStyle w:val="FootnoteReference"/>
        </w:rPr>
        <w:footnoteReference w:id="4887"/>
      </w:r>
    </w:p>
    <w:p>
      <w:pPr>
        <w:pStyle w:val="BookText"/>
      </w:pPr>
      <w:r>
        <w:rPr>
          <w:rFonts w:ascii="IRNazanin" w:hAnsi="IRNazanin" w:eastAsia="IRNazanin" w:cs="IRNazanin"/>
          <w:lang w:bidi="fa-IR"/>
          <w:color w:val="111111"/>
          <w:sz w:val="28"/>
          <w:szCs w:val="28"/>
          <w:rtl/>
        </w:rPr>
        <w:t xml:space="preserve">و قد تعلّقت مشیئته تعالی بإخلاد الجنّة و النار و الحیاة الأُخرویة، و له إفاضة الطاقة، إفاضة بعد إفاضة علی العالم الأُخروی و یعرب عن ذلک قوله سبحانه:</w:t>
      </w:r>
    </w:p>
    <w:p>
      <w:pPr>
        <w:pStyle w:val="BookText"/>
      </w:pPr>
      <w:r>
        <w:rPr>
          <w:rFonts w:ascii="Amiri" w:hAnsi="Amiri" w:eastAsia="Amiri" w:cs="Amiri"/>
          <w:lang w:bidi="ar-SA"/>
          <w:color w:val="111111"/>
          <w:sz w:val="28"/>
          <w:szCs w:val="28"/>
          <w:rtl/>
        </w:rPr>
        <w:t xml:space="preserve">«کُلَّمٰا نَضِجَتْ جُلُودُهُمْ بَدَّلْنٰاهُمْ جُلُوداً غَیْرَهٰا لِیَذُوقُوا الْعَذٰابَ إِنَّ اللّٰهَ کٰانَ عَزِیزاً حَکِیماً » </w:t>
      </w:r>
      <w:r>
        <w:rPr>
          <w:rStyle w:val="FootnoteReference"/>
        </w:rPr>
        <w:footnoteReference w:id="4888"/>
      </w:r>
      <w:r>
        <w:rPr>
          <w:rFonts w:ascii="Times New Roman" w:hAnsi="Times New Roman" w:eastAsia="Times New Roman" w:cs="Times New Roman"/>
          <w:lang w:val="en-US" w:bidi="en-US"/>
          <w:color w:val="111111"/>
          <w:sz w:val="28"/>
          <w:szCs w:val="28"/>
          <w:rtl/>
        </w:rPr>
        <w:t xml:space="preserve">.</w:t>
      </w:r>
    </w:p>
    <w:p>
      <w:pPr>
        <w:pStyle w:val="Heading6"/>
      </w:pPr>
      <w:bookmarkStart w:id="2688" w:name="_Toc1723"/>
      <w:r>
        <w:t>2. ما هو الغرض من عقاب المجرم؟</w:t>
      </w:r>
      <w:bookmarkEnd w:id="2688"/>
    </w:p>
    <w:p>
      <w:pPr>
        <w:pStyle w:val="BookText"/>
      </w:pPr>
      <w:r>
        <w:rPr>
          <w:rFonts w:ascii="IRNazanin" w:hAnsi="IRNazanin" w:eastAsia="IRNazanin" w:cs="IRNazanin"/>
          <w:lang w:bidi="fa-IR"/>
          <w:color w:val="111111"/>
          <w:sz w:val="28"/>
          <w:szCs w:val="28"/>
          <w:rtl/>
        </w:rPr>
        <w:t xml:space="preserve">إنّ الحکیم لا یعاقب إلّا لغایة، و غایة العقوبة إمّا التشفّی کما فی قصاص المجرم، و هو محال علی اللّه، أو تأدیب المجرم، أو اعتبار الآخرین، و هما یختصّان بالنشأة الدنیویة، فتعذیب المجرم فی الآخرة عبث.</w:t>
      </w:r>
    </w:p>
    <w:p>
      <w:pPr>
        <w:pStyle w:val="BookText"/>
      </w:pPr>
      <w:r>
        <w:rPr>
          <w:rFonts w:ascii="Amiri" w:hAnsi="Amiri" w:eastAsia="Amiri" w:cs="Amiri"/>
          <w:lang w:bidi="ar-SA"/>
          <w:color w:val="111111"/>
          <w:sz w:val="28"/>
          <w:szCs w:val="28"/>
          <w:rtl/>
        </w:rPr>
        <w:t xml:space="preserve">و الجواب عنه: أنّ وقوع المعاد من ضروریات العقل و من غایاته تحقّق العدل الإلهی بوجه کامل فی مورد المکلّفین، و یتوقّف ذلک علی عقوبة المجرمین و إثابة المطیعین. «أَ فَنَجْعَلُ الْمُسْلِمِینَ کَالْمُجْرِمِینَ * مٰا لَکُمْ کَیْفَ تَحْکُمُونَ » </w:t>
      </w:r>
      <w:r>
        <w:rPr>
          <w:rStyle w:val="FootnoteReference"/>
        </w:rPr>
        <w:footnoteReference w:id="48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456]
</w:t>
      </w:r>
    </w:p>
    <w:p>
      <w:pPr>
        <w:sectPr>
          <w:footerReference w:type="default" r:id="rId1603"/>
          <w:footnotePr>
            <w:numStart w:val="1"/>
            <w:numRestart w:val="eachPage"/>
          </w:footnotePr>
          <w:pgSz w:orient="portrait" w:w="11905.511811023622" w:h="16837.79527559055"/>
          <w:pgMar w:top="1440" w:right="1440" w:bottom="1440" w:left="1440" w:header="720" w:footer="720" w:gutter="0"/>
          <w:cols w:num="1" w:space="720"/>
        </w:sectPr>
      </w:pPr>
    </w:p>
    <w:bookmarkStart w:id="872" w:name="pg14411_143985"/>
    <w:bookmarkEnd w:id="872"/>
    <w:p>
      <w:pPr>
        <w:pStyle w:val="Heading6"/>
      </w:pPr>
      <w:bookmarkStart w:id="2689" w:name="_Toc1724"/>
      <w:r>
        <w:t>3. هل یجوز العفو عن المسیء ؟</w:t>
      </w:r>
      <w:bookmarkEnd w:id="2689"/>
    </w:p>
    <w:p>
      <w:pPr>
        <w:pStyle w:val="BookText"/>
      </w:pPr>
      <w:r>
        <w:rPr>
          <w:rFonts w:ascii="IRNazanin" w:hAnsi="IRNazanin" w:eastAsia="IRNazanin" w:cs="IRNazanin"/>
          <w:lang w:bidi="fa-IR"/>
          <w:color w:val="111111"/>
          <w:sz w:val="28"/>
          <w:szCs w:val="28"/>
          <w:rtl/>
        </w:rPr>
        <w:t xml:space="preserve">و الجواب مثبت، لأنّ التعذیب حقّ للمولی سبحانه و له إسقاط حقّه، فیجوز ذلک إذا اقتضته الحکمة الإلهیّة و لم یکن هناک مانع عنه.</w:t>
      </w:r>
    </w:p>
    <w:p>
      <w:pPr>
        <w:pStyle w:val="BookText"/>
      </w:pPr>
      <w:r>
        <w:rPr>
          <w:rFonts w:ascii="IRNazanin" w:hAnsi="IRNazanin" w:eastAsia="IRNazanin" w:cs="IRNazanin"/>
          <w:lang w:bidi="fa-IR"/>
          <w:color w:val="111111"/>
          <w:sz w:val="28"/>
          <w:szCs w:val="28"/>
          <w:rtl/>
        </w:rPr>
        <w:t xml:space="preserve">و قد خالف معتزلة بغداد فی ذلک، فلم یجوّزوا العفو عن العصاة عقلاً، و استدلّوا علیه بوجهین:</w:t>
      </w:r>
    </w:p>
    <w:p>
      <w:pPr>
        <w:pStyle w:val="BookText"/>
      </w:pPr>
      <w:r>
        <w:rPr>
          <w:rFonts w:ascii="IRNazanin" w:hAnsi="IRNazanin" w:eastAsia="IRNazanin" w:cs="IRNazanin"/>
          <w:lang w:bidi="fa-IR"/>
          <w:color w:val="111111"/>
          <w:sz w:val="28"/>
          <w:szCs w:val="28"/>
          <w:rtl/>
        </w:rPr>
        <w:t xml:space="preserve">الأوّل: «إنّ المکلّف متی علم أنّه یفعل به ما یستحقّه من العقوبة علی کلّ وجه، کان أقرب إلی أداء الواجبات و اجتناب الکبائر». </w:t>
      </w:r>
      <w:r>
        <w:rPr>
          <w:rStyle w:val="FootnoteReference"/>
        </w:rPr>
        <w:footnoteReference w:id="4890"/>
      </w:r>
    </w:p>
    <w:p>
      <w:pPr>
        <w:pStyle w:val="BookText"/>
      </w:pPr>
      <w:r>
        <w:rPr>
          <w:rFonts w:ascii="IRNazanin" w:hAnsi="IRNazanin" w:eastAsia="IRNazanin" w:cs="IRNazanin"/>
          <w:lang w:bidi="fa-IR"/>
          <w:color w:val="111111"/>
          <w:sz w:val="28"/>
          <w:szCs w:val="28"/>
          <w:rtl/>
        </w:rPr>
        <w:t xml:space="preserve">یلاحظ علیه: أنّه لو تمّ لوجب سدّ باب التوبة، لإمکان أن یقال إنّ المکلّف متی علم أنّه لا تقبل توبته کان أقرب إلی الطاعة و أبعد من المعصیة.</w:t>
      </w:r>
    </w:p>
    <w:p>
      <w:pPr>
        <w:pStyle w:val="BookText"/>
      </w:pPr>
      <w:r>
        <w:rPr>
          <w:rFonts w:ascii="IRNazanin" w:hAnsi="IRNazanin" w:eastAsia="IRNazanin" w:cs="IRNazanin"/>
          <w:lang w:bidi="fa-IR"/>
          <w:color w:val="111111"/>
          <w:sz w:val="28"/>
          <w:szCs w:val="28"/>
          <w:rtl/>
        </w:rPr>
        <w:t xml:space="preserve">أضف إلی ذلک أنّ للرجاء آثاراً بنّاءة فی حیاة الإنسان، و للیأس آثاراً سلبیة فی الإدامة علی الموبقات، و لأجل ذلک جاء الذکر الحکیم بالترغیب و الترهیب معاً.</w:t>
      </w:r>
    </w:p>
    <w:p>
      <w:pPr>
        <w:pStyle w:val="BookText"/>
      </w:pPr>
      <w:r>
        <w:rPr>
          <w:rFonts w:ascii="IRNazanin" w:hAnsi="IRNazanin" w:eastAsia="IRNazanin" w:cs="IRNazanin"/>
          <w:lang w:bidi="fa-IR"/>
          <w:color w:val="111111"/>
          <w:sz w:val="28"/>
          <w:szCs w:val="28"/>
          <w:rtl/>
        </w:rPr>
        <w:t xml:space="preserve">ثمّ إنّ الکلام فی جواز العفو لا فی حتمیته، و الأثر السّلبی -لو سلّمناه -یترتّب علی الثانی دون الأوّل.</w:t>
      </w:r>
    </w:p>
    <w:p>
      <w:pPr>
        <w:pStyle w:val="BookText"/>
      </w:pPr>
      <w:r>
        <w:rPr>
          <w:rFonts w:ascii="IRNazanin" w:hAnsi="IRNazanin" w:eastAsia="IRNazanin" w:cs="IRNazanin"/>
          <w:lang w:bidi="fa-IR"/>
          <w:color w:val="111111"/>
          <w:sz w:val="28"/>
          <w:szCs w:val="28"/>
          <w:rtl/>
        </w:rPr>
        <w:t xml:space="preserve">الثانی: إنّ اللّه أوعد مرتکب الکبیرة بالعقاب، فلو لم یعاقب، للزم الخلف فی وعیده و الکذب فی خبره و هما محالان. </w:t>
      </w:r>
      <w:r>
        <w:rPr>
          <w:rStyle w:val="FootnoteReference"/>
        </w:rPr>
        <w:footnoteReference w:id="4891"/>
      </w:r>
    </w:p>
    <w:p>
      <w:pPr>
        <w:pStyle w:val="BookText"/>
      </w:pPr>
      <w:r>
        <w:rPr>
          <w:rFonts w:ascii="IRNazanin" w:hAnsi="IRNazanin" w:eastAsia="IRNazanin" w:cs="IRNazanin"/>
          <w:lang w:bidi="fa-IR"/>
          <w:color w:val="111111"/>
          <w:sz w:val="28"/>
          <w:szCs w:val="28"/>
          <w:rtl/>
        </w:rPr>
        <w:t xml:space="preserve">[شماره صفحه واقعی : 457]
</w:t>
      </w:r>
    </w:p>
    <w:p>
      <w:pPr>
        <w:sectPr>
          <w:footerReference w:type="default" r:id="rId1604"/>
          <w:footnotePr>
            <w:numStart w:val="1"/>
            <w:numRestart w:val="eachPage"/>
          </w:footnotePr>
          <w:pgSz w:orient="portrait" w:w="11905.511811023622" w:h="16837.79527559055"/>
          <w:pgMar w:top="1440" w:right="1440" w:bottom="1440" w:left="1440" w:header="720" w:footer="720" w:gutter="0"/>
          <w:cols w:num="1" w:space="720"/>
        </w:sectPr>
      </w:pPr>
    </w:p>
    <w:bookmarkStart w:id="873" w:name="pg14411_143986"/>
    <w:bookmarkEnd w:id="873"/>
    <w:p>
      <w:pPr>
        <w:pStyle w:val="BookText"/>
      </w:pPr>
      <w:r>
        <w:rPr>
          <w:rFonts w:ascii="IRNazanin" w:hAnsi="IRNazanin" w:eastAsia="IRNazanin" w:cs="IRNazanin"/>
          <w:lang w:bidi="fa-IR"/>
          <w:color w:val="111111"/>
          <w:sz w:val="28"/>
          <w:szCs w:val="28"/>
          <w:rtl/>
        </w:rPr>
        <w:t xml:space="preserve">و الجواب: أنّ الخلف فی الوعد قبیح دون الوعید، و الدلیل علی ذلک أنّ کلّ عاقل یستحسن العفو بعد الوعید فی ظروف خاصّة، و الوجه فیه أنّ الوعید لیس جعل حقّ للغیر بخلاف الوعد، بل الوعید حق لمن یَعِد فقط، و له إسقاط حقّه، و الصدق و الکذب من أحکام الإخبار دون الإنشاء، و الوعید إنشاء لیس بإخبار فلا یعرضه الکذب.</w:t>
      </w:r>
    </w:p>
    <w:p>
      <w:pPr>
        <w:pStyle w:val="Heading6"/>
      </w:pPr>
      <w:bookmarkStart w:id="2690" w:name="_Toc1725"/>
      <w:r>
        <w:t>4. هل الجنّة و النار مخلوقتان؟</w:t>
      </w:r>
      <w:bookmarkEnd w:id="2690"/>
    </w:p>
    <w:p>
      <w:pPr>
        <w:pStyle w:val="BookText"/>
      </w:pPr>
      <w:r>
        <w:rPr>
          <w:rFonts w:ascii="IRNazanin" w:hAnsi="IRNazanin" w:eastAsia="IRNazanin" w:cs="IRNazanin"/>
          <w:lang w:bidi="fa-IR"/>
          <w:color w:val="111111"/>
          <w:sz w:val="28"/>
          <w:szCs w:val="28"/>
          <w:rtl/>
        </w:rPr>
        <w:t xml:space="preserve">اختلف المتکلّمون فی ذلک، فذهب الجمهور إلی أنّهما مخلوقتان، و أکثر المعتزلة و الخوارج و طائفة من الزیدیة ذهبوا إلی خلاف ذلک، قال الشیخ المفید:</w:t>
      </w:r>
    </w:p>
    <w:p>
      <w:pPr>
        <w:pStyle w:val="BookText"/>
      </w:pPr>
      <w:r>
        <w:rPr>
          <w:rFonts w:ascii="IRNazanin" w:hAnsi="IRNazanin" w:eastAsia="IRNazanin" w:cs="IRNazanin"/>
          <w:lang w:bidi="fa-IR"/>
          <w:color w:val="111111"/>
          <w:sz w:val="28"/>
          <w:szCs w:val="28"/>
          <w:rtl/>
        </w:rPr>
        <w:t xml:space="preserve">إنّ الجنة و النار فی هذا الوقت مخلوقتان، و بذلک جاءت الأخبار، و علیه إجماع أهل الشرع و الآثار، و قد خالف فی هذا القول المعتزلة و الخوارج و طائفة من الزیدیة، فزعم أکثر من سمّیناه أنّ ما ذکرناه من خلقهما من قسم الجائز دون الواجب، و وقفوا فی الوارد به من الآثار، و قال من بقی منهم بإحالة خلقهما. </w:t>
      </w:r>
      <w:r>
        <w:rPr>
          <w:rStyle w:val="FootnoteReference"/>
        </w:rPr>
        <w:footnoteReference w:id="4892"/>
      </w:r>
    </w:p>
    <w:p>
      <w:pPr>
        <w:pStyle w:val="BookText"/>
      </w:pPr>
      <w:r>
        <w:rPr>
          <w:rFonts w:ascii="Amiri" w:hAnsi="Amiri" w:eastAsia="Amiri" w:cs="Amiri"/>
          <w:lang w:bidi="ar-SA"/>
          <w:color w:val="111111"/>
          <w:sz w:val="28"/>
          <w:szCs w:val="28"/>
          <w:rtl/>
        </w:rPr>
        <w:t xml:space="preserve">و استدلّ القائلون بکونهما مخلوقتین بالآیات الدالّة علی أنّ الجنة أعدَّت للمتّقین و النار أُعدَّت للکافرین. </w:t>
      </w:r>
      <w:r>
        <w:rPr>
          <w:rStyle w:val="FootnoteReference"/>
        </w:rPr>
        <w:footnoteReference w:id="4893"/>
      </w:r>
    </w:p>
    <w:p>
      <w:pPr>
        <w:pStyle w:val="BookText"/>
      </w:pPr>
      <w:r>
        <w:rPr>
          <w:rFonts w:ascii="IRNazanin" w:hAnsi="IRNazanin" w:eastAsia="IRNazanin" w:cs="IRNazanin"/>
          <w:lang w:bidi="fa-IR"/>
          <w:color w:val="111111"/>
          <w:sz w:val="28"/>
          <w:szCs w:val="28"/>
          <w:rtl/>
        </w:rPr>
        <w:t xml:space="preserve">[شماره صفحه واقعی : 458]
</w:t>
      </w:r>
    </w:p>
    <w:p>
      <w:pPr>
        <w:sectPr>
          <w:footerReference w:type="default" r:id="rId16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قد احتمل السیّد الرضی فی «حقائق التأویل» أن یکون التعبیر بالماضی لقطعیة وقوعه، فکأنّه قد کان </w:t>
      </w:r>
      <w:r>
        <w:rPr>
          <w:rStyle w:val="FootnoteReference"/>
        </w:rPr>
        <w:footnoteReference w:id="4894"/>
      </w:r>
      <w:r>
        <w:rPr>
          <w:rFonts w:ascii="IRNazanin" w:hAnsi="IRNazanin" w:eastAsia="IRNazanin" w:cs="IRNazanin"/>
          <w:lang w:bidi="fa-IR"/>
          <w:color w:val="111111"/>
          <w:sz w:val="28"/>
          <w:szCs w:val="28"/>
          <w:rtl/>
        </w:rPr>
        <w:t xml:space="preserve">و له نظائر فی القرآن الکریم.</w:t>
      </w:r>
    </w:p>
    <w:p>
      <w:pPr>
        <w:pStyle w:val="BookText"/>
      </w:pPr>
      <w:r>
        <w:rPr>
          <w:rFonts w:ascii="Amiri" w:hAnsi="Amiri" w:eastAsia="Amiri" w:cs="Amiri"/>
          <w:lang w:bidi="ar-SA"/>
          <w:color w:val="111111"/>
          <w:sz w:val="28"/>
          <w:szCs w:val="28"/>
          <w:rtl/>
        </w:rPr>
        <w:t xml:space="preserve">أقول: ممّا یدلّ علی أنّ الجنة مخلوقة قوله تعالی: «وَ لَقَدْ رَآهُ نَزْلَةً أُخْریٰ * عِنْدَ سِدْرَةِ الْمُنْتَهیٰ * عِنْدَهٰا جَنَّةُ الْمَأْویٰ » </w:t>
      </w:r>
      <w:r>
        <w:rPr>
          <w:rStyle w:val="FootnoteReference"/>
        </w:rPr>
        <w:footnoteReference w:id="48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لم یر التعبیر عن الشیء الّذی سیتحقّق غداً بالجملة الاسمیة.</w:t>
      </w:r>
    </w:p>
    <w:p>
      <w:pPr>
        <w:pStyle w:val="BookText"/>
      </w:pPr>
      <w:r>
        <w:rPr>
          <w:rFonts w:ascii="IRNazanin" w:hAnsi="IRNazanin" w:eastAsia="IRNazanin" w:cs="IRNazanin"/>
          <w:lang w:bidi="fa-IR"/>
          <w:color w:val="111111"/>
          <w:sz w:val="28"/>
          <w:szCs w:val="28"/>
          <w:rtl/>
        </w:rPr>
        <w:t xml:space="preserve">ثمّ إنّ هناک روایات متضافرة مصرّحة بأنّ الجنّة و النار مخلوقتان، فلا یمکن العدول عنها. </w:t>
      </w:r>
      <w:r>
        <w:rPr>
          <w:rStyle w:val="FootnoteReference"/>
        </w:rPr>
        <w:footnoteReference w:id="4896"/>
      </w:r>
    </w:p>
    <w:p>
      <w:pPr>
        <w:pStyle w:val="BookText"/>
      </w:pPr>
      <w:r>
        <w:rPr>
          <w:rFonts w:ascii="IRNazanin" w:hAnsi="IRNazanin" w:eastAsia="IRNazanin" w:cs="IRNazanin"/>
          <w:lang w:bidi="fa-IR"/>
          <w:color w:val="111111"/>
          <w:sz w:val="28"/>
          <w:szCs w:val="28"/>
          <w:rtl/>
        </w:rPr>
        <w:t xml:space="preserve">و استدلّ النافون لخلقهما بوجوه: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إنّ خلق الجنة و النار قبل یوم الجزاء عبث.</w:t>
      </w:r>
    </w:p>
    <w:p>
      <w:pPr>
        <w:pStyle w:val="BookText"/>
      </w:pPr>
      <w:r>
        <w:rPr>
          <w:rFonts w:ascii="IRNazanin" w:hAnsi="IRNazanin" w:eastAsia="IRNazanin" w:cs="IRNazanin"/>
          <w:lang w:bidi="fa-IR"/>
          <w:color w:val="111111"/>
          <w:sz w:val="28"/>
          <w:szCs w:val="28"/>
          <w:rtl/>
        </w:rPr>
        <w:t xml:space="preserve">و فیه أن الحکم بالعبثیة یتوقّف علی العلم القطعی بعدم ترتّب غرض علیه، و من أین لنا العلم بهذا؟ و یمکن عدّ ذلک من مصادیق لطفه تعالی کما أشار إلیه المحقّق اللاهیجی. </w:t>
      </w:r>
      <w:r>
        <w:rPr>
          <w:rStyle w:val="FootnoteReference"/>
        </w:rPr>
        <w:footnoteReference w:id="4897"/>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إنّهما لو خلقتا لهلکتا لقوله تعالی: «کُلُّ شَیْءٍ هٰالِکٌ إِلاّٰ وَجْهَهُ»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اللازم باطل للإجماع علی دوامهما، و للنصوص الشاهدة بدوام أُکُل الجنّة و ظِلِّها.</w:t>
      </w:r>
    </w:p>
    <w:p>
      <w:pPr>
        <w:pStyle w:val="BookText"/>
      </w:pPr>
      <w:r>
        <w:rPr>
          <w:rFonts w:ascii="IRNazanin" w:hAnsi="IRNazanin" w:eastAsia="IRNazanin" w:cs="IRNazanin"/>
          <w:lang w:bidi="fa-IR"/>
          <w:color w:val="111111"/>
          <w:sz w:val="28"/>
          <w:szCs w:val="28"/>
          <w:rtl/>
        </w:rPr>
        <w:t xml:space="preserve">[شماره صفحه واقعی : 459]
</w:t>
      </w:r>
    </w:p>
    <w:p>
      <w:pPr>
        <w:sectPr>
          <w:footerReference w:type="default" r:id="rId1606"/>
          <w:footnotePr>
            <w:numStart w:val="1"/>
            <w:numRestart w:val="eachPage"/>
          </w:footnotePr>
          <w:pgSz w:orient="portrait" w:w="11905.511811023622" w:h="16837.79527559055"/>
          <w:pgMar w:top="1440" w:right="1440" w:bottom="1440" w:left="1440" w:header="720" w:footer="720" w:gutter="0"/>
          <w:cols w:num="1" w:space="720"/>
        </w:sectPr>
      </w:pPr>
    </w:p>
    <w:bookmarkStart w:id="874" w:name="pg14411_143988"/>
    <w:bookmarkEnd w:id="874"/>
    <w:p>
      <w:pPr>
        <w:pStyle w:val="BookText"/>
      </w:pPr>
      <w:r>
        <w:rPr>
          <w:rFonts w:ascii="IRNazanin" w:hAnsi="IRNazanin" w:eastAsia="IRNazanin" w:cs="IRNazanin"/>
          <w:lang w:bidi="fa-IR"/>
          <w:color w:val="111111"/>
          <w:sz w:val="28"/>
          <w:szCs w:val="28"/>
          <w:rtl/>
        </w:rPr>
        <w:t xml:space="preserve">یلاحظ علیه: أنّه لیس المراد من «هالک» هو تحقّق انعدام کلّ شیء و بطلان وجوده، بل المراد أنّ کلّ شیء هالک فی نفسه باطل فی ذاته، هذا بناء علی کون المراد بالهالک فی الآیة، الهالک بالفعل، و أمّا إذا أُرید منه الاستقبال -بناءً علی ما قیل من أنّ اسم الفاعل ظاهر فی الاستقبال - فهلاک الأشیاء لیس بمعنی البطلان المطلق بعد الوجود بأن لا یبقی منها أثر، فإنّ آیات القرآن ناصّة علی أنّ کلّ شیء مرجعه إلی اللّه و إنّما المراد بالهلاک علی هذا الوجه، تبدّل نشأة الوجود و الانتقال من الدنیا إلی الآخرة، و هذا یختصّ بما یکون وجوده وجوداً دنیویاً محکوماً بأحکامها، فالجنّة و النّار الأخرویان خارجان من مدلول الآیة تخصّصاً.</w:t>
      </w:r>
    </w:p>
    <w:p>
      <w:pPr>
        <w:pStyle w:val="BookText"/>
      </w:pPr>
      <w:r>
        <w:rPr>
          <w:rFonts w:ascii="IRNazanin" w:hAnsi="IRNazanin" w:eastAsia="IRNazanin" w:cs="IRNazanin"/>
          <w:lang w:bidi="fa-IR"/>
          <w:color w:val="111111"/>
          <w:sz w:val="28"/>
          <w:szCs w:val="28"/>
          <w:rtl/>
        </w:rPr>
        <w:t xml:space="preserve">و قد أجیب عن الإشکال بمنع الملازمة، و حمل دوام أُکُلِها و ظلّها علی دوامها بعد وجودها و دخول المکلّفین فیها. </w:t>
      </w:r>
      <w:r>
        <w:rPr>
          <w:rStyle w:val="FootnoteReference"/>
        </w:rPr>
        <w:footnoteReference w:id="4898"/>
      </w:r>
    </w:p>
    <w:p>
      <w:pPr>
        <w:pStyle w:val="Heading6"/>
      </w:pPr>
      <w:bookmarkStart w:id="2691" w:name="_Toc1726"/>
      <w:r>
        <w:t>5. أین مکان الجنّة و النّار؟</w:t>
      </w:r>
      <w:bookmarkEnd w:id="2691"/>
    </w:p>
    <w:p>
      <w:pPr>
        <w:pStyle w:val="BookText"/>
      </w:pPr>
      <w:r>
        <w:rPr>
          <w:rFonts w:ascii="IRNazanin" w:hAnsi="IRNazanin" w:eastAsia="IRNazanin" w:cs="IRNazanin"/>
          <w:lang w:bidi="fa-IR"/>
          <w:color w:val="111111"/>
          <w:sz w:val="28"/>
          <w:szCs w:val="28"/>
          <w:rtl/>
        </w:rPr>
        <w:t xml:space="preserve">المشهور عند المتکلّمین أنّ الجنّة فوق السماوات، تحت العرش، و أنّ النار تحت الأرضین </w:t>
      </w:r>
      <w:r>
        <w:rPr>
          <w:rStyle w:val="FootnoteReference"/>
        </w:rPr>
        <w:footnoteReference w:id="4899"/>
      </w:r>
      <w:r>
        <w:rPr>
          <w:rFonts w:ascii="IRNazanin" w:hAnsi="IRNazanin" w:eastAsia="IRNazanin" w:cs="IRNazanin"/>
          <w:lang w:bidi="fa-IR"/>
          <w:color w:val="111111"/>
          <w:sz w:val="28"/>
          <w:szCs w:val="28"/>
          <w:rtl/>
        </w:rPr>
        <w:t xml:space="preserve">و الالتزام بذلک مشکل لعدم ورود دلیل صریح أو ظاهر فی ذلک، قال المحقّق الطوسی:</w:t>
      </w:r>
    </w:p>
    <w:p>
      <w:pPr>
        <w:pStyle w:val="BookText"/>
      </w:pPr>
      <w:r>
        <w:rPr>
          <w:rFonts w:ascii="Amiri" w:hAnsi="Amiri" w:eastAsia="Amiri" w:cs="Amiri"/>
          <w:lang w:bidi="ar-SA"/>
          <w:color w:val="111111"/>
          <w:sz w:val="28"/>
          <w:szCs w:val="28"/>
          <w:rtl/>
        </w:rPr>
        <w:t xml:space="preserve">و الحقّ إنّا لا نعلم مکانهما و یمکن أن یستدلّ علی موضع الجنة بقوله تعالی: «عِنْدَهٰا جَنَّةُ الْمَأْویٰ» </w:t>
      </w:r>
      <w:r>
        <w:rPr>
          <w:rStyle w:val="FootnoteReference"/>
        </w:rPr>
        <w:footnoteReference w:id="4900"/>
      </w:r>
      <w:r>
        <w:rPr>
          <w:rFonts w:ascii="IRNazanin" w:hAnsi="IRNazanin" w:eastAsia="IRNazanin" w:cs="IRNazanin"/>
          <w:lang w:bidi="fa-IR"/>
          <w:color w:val="111111"/>
          <w:sz w:val="28"/>
          <w:szCs w:val="28"/>
          <w:rtl/>
        </w:rPr>
        <w:t xml:space="preserve">یعنی عند سدرة المنتهی. </w:t>
      </w:r>
      <w:r>
        <w:rPr>
          <w:rStyle w:val="FootnoteReference"/>
        </w:rPr>
        <w:footnoteReference w:id="4901"/>
      </w:r>
    </w:p>
    <w:p>
      <w:pPr>
        <w:pStyle w:val="BookText"/>
      </w:pPr>
      <w:r>
        <w:rPr>
          <w:rFonts w:ascii="IRNazanin" w:hAnsi="IRNazanin" w:eastAsia="IRNazanin" w:cs="IRNazanin"/>
          <w:lang w:bidi="fa-IR"/>
          <w:color w:val="111111"/>
          <w:sz w:val="28"/>
          <w:szCs w:val="28"/>
          <w:rtl/>
        </w:rPr>
        <w:t xml:space="preserve">[شماره صفحه واقعی : 460]
</w:t>
      </w:r>
    </w:p>
    <w:p>
      <w:pPr>
        <w:sectPr>
          <w:footerReference w:type="default" r:id="rId1607"/>
          <w:footnotePr>
            <w:numStart w:val="1"/>
            <w:numRestart w:val="eachPage"/>
          </w:footnotePr>
          <w:pgSz w:orient="portrait" w:w="11905.511811023622" w:h="16837.79527559055"/>
          <w:pgMar w:top="1440" w:right="1440" w:bottom="1440" w:left="1440" w:header="720" w:footer="720" w:gutter="0"/>
          <w:cols w:num="1" w:space="720"/>
        </w:sectPr>
      </w:pPr>
    </w:p>
    <w:bookmarkStart w:id="875" w:name="pg14411_143989"/>
    <w:bookmarkEnd w:id="875"/>
    <w:p>
      <w:pPr>
        <w:pStyle w:val="BookText"/>
      </w:pPr>
      <w:r>
        <w:rPr>
          <w:rFonts w:ascii="Amiri" w:hAnsi="Amiri" w:eastAsia="Amiri" w:cs="Amiri"/>
          <w:lang w:bidi="ar-SA"/>
          <w:color w:val="111111"/>
          <w:sz w:val="28"/>
          <w:szCs w:val="28"/>
          <w:rtl/>
        </w:rPr>
        <w:t xml:space="preserve">نعم ربّما یستظهر من قوله تعالی: «وَ فِی السَّمٰاءِ رِزْقُکُمْ وَ مٰا تُوعَدُونَ » </w:t>
      </w:r>
      <w:r>
        <w:rPr>
          <w:rStyle w:val="FootnoteReference"/>
        </w:rPr>
        <w:footnoteReference w:id="4902"/>
      </w:r>
      <w:r>
        <w:rPr>
          <w:rFonts w:ascii="Amiri" w:hAnsi="Amiri" w:eastAsia="Amiri" w:cs="Amiri"/>
          <w:lang w:bidi="ar-SA"/>
          <w:color w:val="111111"/>
          <w:sz w:val="28"/>
          <w:szCs w:val="28"/>
          <w:rtl/>
        </w:rPr>
        <w:t xml:space="preserve">إنّ الجنة فی السماء فإنّ الظاهر من قوله: «وَ مٰا تُوعَدُونَ » هو الجنة». </w:t>
      </w:r>
      <w:r>
        <w:rPr>
          <w:rStyle w:val="FootnoteReference"/>
        </w:rPr>
        <w:footnoteReference w:id="4903"/>
      </w:r>
    </w:p>
    <w:p>
      <w:pPr>
        <w:pStyle w:val="BookText"/>
      </w:pPr>
      <w:r>
        <w:rPr>
          <w:rFonts w:ascii="IRNazanin" w:hAnsi="IRNazanin" w:eastAsia="IRNazanin" w:cs="IRNazanin"/>
          <w:lang w:bidi="fa-IR"/>
          <w:color w:val="111111"/>
          <w:sz w:val="28"/>
          <w:szCs w:val="28"/>
          <w:rtl/>
        </w:rPr>
        <w:t xml:space="preserve">هذا کلّه علی القول بأنّ الجنّة و النار حسب ظواهر الکتاب موجودتان فی الخارج مع قطع النظر عن أعمال المکلّفین، و إنّهما معدَّتان للمطیع و العاصی، و أمّا علی القول بأنّ حقیقة الجنّة و النار عبارة عن تجسّم عمل الإنسان بصورة حسنة و بهیَّة أو قبیحة و مرعبة، فالجنّة و النار موجودتان واقعاً بوجودهما المناسب فی الدار الآخرة و إن کان أکثر الناس، لأجل کونه محاطاً بهذه الظروف الدنیویة، غیر قادر علی رؤیتهما، و إلّا فالعمل سواء کان صالحاً أو طالحاً قد تحقّق و له وجودان و تمثّلان، و کلٌّ موجود فی ظرفه.</w:t>
      </w:r>
    </w:p>
    <w:p>
      <w:pPr>
        <w:pStyle w:val="Heading6"/>
      </w:pPr>
      <w:bookmarkStart w:id="2692" w:name="_Toc1727"/>
      <w:r>
        <w:t>6. من هو المخلَّد فی النار؟</w:t>
      </w:r>
      <w:bookmarkEnd w:id="2692"/>
    </w:p>
    <w:p>
      <w:pPr>
        <w:pStyle w:val="BookText"/>
      </w:pPr>
      <w:r>
        <w:rPr>
          <w:rFonts w:ascii="IRNazanin" w:hAnsi="IRNazanin" w:eastAsia="IRNazanin" w:cs="IRNazanin"/>
          <w:lang w:bidi="fa-IR"/>
          <w:color w:val="111111"/>
          <w:sz w:val="28"/>
          <w:szCs w:val="28"/>
          <w:rtl/>
        </w:rPr>
        <w:t xml:space="preserve">اختلفت کلمة المتکلّمین فی المخلَّدین فی النار، فذهب جمهور المسلمین إلی أنّ الخلود یختصّ بالکافر دون المسلم و إن کان فاسقاً، و ذهبت الخوارج و المعتزلة إلی خلود مرتکبی الکبائر إذا ماتوا بلا توبة. </w:t>
      </w:r>
      <w:r>
        <w:rPr>
          <w:rStyle w:val="FootnoteReference"/>
        </w:rPr>
        <w:footnoteReference w:id="4904"/>
      </w:r>
    </w:p>
    <w:p>
      <w:pPr>
        <w:pStyle w:val="BookText"/>
      </w:pPr>
      <w:r>
        <w:rPr>
          <w:rFonts w:ascii="IRNazanin" w:hAnsi="IRNazanin" w:eastAsia="IRNazanin" w:cs="IRNazanin"/>
          <w:lang w:bidi="fa-IR"/>
          <w:color w:val="111111"/>
          <w:sz w:val="28"/>
          <w:szCs w:val="28"/>
          <w:rtl/>
        </w:rPr>
        <w:t xml:space="preserve">قال المحقّق البحرانی:</w:t>
      </w:r>
    </w:p>
    <w:p>
      <w:pPr>
        <w:pStyle w:val="BookText"/>
      </w:pPr>
      <w:r>
        <w:rPr>
          <w:rFonts w:ascii="IRNazanin" w:hAnsi="IRNazanin" w:eastAsia="IRNazanin" w:cs="IRNazanin"/>
          <w:lang w:bidi="fa-IR"/>
          <w:color w:val="111111"/>
          <w:sz w:val="28"/>
          <w:szCs w:val="28"/>
          <w:rtl/>
        </w:rPr>
        <w:t xml:space="preserve">[شماره صفحه واقعی : 461]
</w:t>
      </w:r>
    </w:p>
    <w:p>
      <w:pPr>
        <w:sectPr>
          <w:footerReference w:type="default" r:id="rId16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المکلّف العاصی إمّا أن یکون کافراً أو لیس بکافر، أمّا الکافر فأکثر الأُمّة علی أنّه مخلّد فی النار، و أمّا من لیس بکافر، فإن کانت معصیته کبیرة فمن الأُمّة من قطع بعدم عقابه و هم المرجئة الخالصة، و منهم من قطع بعقابه و هم المعتزلة و الخوارج، و منهم من لم یقطع بعقابه إمّا لأنّ معصیته لم یستحقّ بها العقاب و هو قول الأشعریة، و إمّا لأنّه یستحق بها عقاباً إلّا أنّ اللّه تعالی یجوز أن یعفو عنه، و هذا هو المختار. </w:t>
      </w:r>
      <w:r>
        <w:rPr>
          <w:rStyle w:val="FootnoteReference"/>
        </w:rPr>
        <w:footnoteReference w:id="4905"/>
      </w:r>
    </w:p>
    <w:p>
      <w:pPr>
        <w:pStyle w:val="BookText"/>
      </w:pPr>
      <w:r>
        <w:rPr>
          <w:rFonts w:ascii="IRNazanin" w:hAnsi="IRNazanin" w:eastAsia="IRNazanin" w:cs="IRNazanin"/>
          <w:lang w:bidi="fa-IR"/>
          <w:color w:val="111111"/>
          <w:sz w:val="28"/>
          <w:szCs w:val="28"/>
          <w:rtl/>
        </w:rPr>
        <w:t xml:space="preserve">و استدلّ المحقّق الطوسی علی انقطاع عذاب مرتکب الکبیرة بوجهین حیث قال:</w:t>
      </w:r>
    </w:p>
    <w:p>
      <w:pPr>
        <w:pStyle w:val="BookText"/>
      </w:pPr>
      <w:r>
        <w:rPr>
          <w:rFonts w:ascii="IRNazanin" w:hAnsi="IRNazanin" w:eastAsia="IRNazanin" w:cs="IRNazanin"/>
          <w:lang w:bidi="fa-IR"/>
          <w:color w:val="111111"/>
          <w:sz w:val="28"/>
          <w:szCs w:val="28"/>
          <w:rtl/>
        </w:rPr>
        <w:t xml:space="preserve">و عذاب صاحب الکبیرة ینقطع لاستحقاقه الثواب بإیمانه و لقبحه عند العقلاء.</w:t>
      </w:r>
    </w:p>
    <w:p>
      <w:pPr>
        <w:pStyle w:val="BookText"/>
      </w:pPr>
      <w:r>
        <w:rPr>
          <w:rFonts w:ascii="IRNazanin" w:hAnsi="IRNazanin" w:eastAsia="IRNazanin" w:cs="IRNazanin"/>
          <w:lang w:bidi="fa-IR"/>
          <w:color w:val="111111"/>
          <w:sz w:val="28"/>
          <w:szCs w:val="28"/>
          <w:rtl/>
        </w:rPr>
        <w:t xml:space="preserve">توضیحه: إنّ صاحب الکبیرة یستحقّ الثواب و الجنّة لإیمانه، فإذا استحقّ العقاب بالمعصیة، فإمّا أن یقدّم الثواب علی العقاب، و هو باطل، لأنّ الإثابة لا تکون إلّا بدخول الجنّة و الداخل فیها مخلّد بنصّ الکتاب المجید و علیه إجماع الأُمّة، أو بالعکس و هو المطلوب.</w:t>
      </w:r>
    </w:p>
    <w:p>
      <w:pPr>
        <w:pStyle w:val="BookText"/>
      </w:pPr>
      <w:r>
        <w:rPr>
          <w:rFonts w:ascii="IRNazanin" w:hAnsi="IRNazanin" w:eastAsia="IRNazanin" w:cs="IRNazanin"/>
          <w:lang w:bidi="fa-IR"/>
          <w:color w:val="111111"/>
          <w:sz w:val="28"/>
          <w:szCs w:val="28"/>
          <w:rtl/>
        </w:rPr>
        <w:t xml:space="preserve">أضف إلی ذلک أنّ لازم عدم الانقطاع أن یکون من عبد اللّه تعالی مدّة عمره بأنواع القربات إلی اللّه، ثمّ عصی فی آخر عمره معصیة واحدة مع</w:t>
      </w:r>
    </w:p>
    <w:p>
      <w:pPr>
        <w:pStyle w:val="BookText"/>
      </w:pPr>
      <w:r>
        <w:rPr>
          <w:rFonts w:ascii="IRNazanin" w:hAnsi="IRNazanin" w:eastAsia="IRNazanin" w:cs="IRNazanin"/>
          <w:lang w:bidi="fa-IR"/>
          <w:color w:val="111111"/>
          <w:sz w:val="28"/>
          <w:szCs w:val="28"/>
          <w:rtl/>
        </w:rPr>
        <w:t xml:space="preserve">[شماره صفحه واقعی : 462]
</w:t>
      </w:r>
    </w:p>
    <w:p>
      <w:pPr>
        <w:sectPr>
          <w:footerReference w:type="default" r:id="rId1609"/>
          <w:footnotePr>
            <w:numStart w:val="1"/>
            <w:numRestart w:val="eachPage"/>
          </w:footnotePr>
          <w:pgSz w:orient="portrait" w:w="11905.511811023622" w:h="16837.79527559055"/>
          <w:pgMar w:top="1440" w:right="1440" w:bottom="1440" w:left="1440" w:header="720" w:footer="720" w:gutter="0"/>
          <w:cols w:num="1" w:space="720"/>
        </w:sectPr>
      </w:pPr>
    </w:p>
    <w:bookmarkStart w:id="876" w:name="pg14411_143991"/>
    <w:bookmarkEnd w:id="876"/>
    <w:p>
      <w:pPr>
        <w:pStyle w:val="BookText"/>
      </w:pPr>
      <w:r>
        <w:rPr>
          <w:rFonts w:ascii="IRNazanin" w:hAnsi="IRNazanin" w:eastAsia="IRNazanin" w:cs="IRNazanin"/>
          <w:lang w:bidi="fa-IR"/>
          <w:color w:val="111111"/>
          <w:sz w:val="28"/>
          <w:szCs w:val="28"/>
          <w:rtl/>
        </w:rPr>
        <w:t xml:space="preserve">حفظ إیمانه، مخلّداً فی النار، و یکون نظیر من أشرک باللّه تعالی مدّة عمره و هو قبیح عقلاً محال علی اللّه سبحانه. </w:t>
      </w:r>
      <w:r>
        <w:rPr>
          <w:rStyle w:val="FootnoteReference"/>
        </w:rPr>
        <w:footnoteReference w:id="4906"/>
      </w:r>
    </w:p>
    <w:p>
      <w:pPr>
        <w:pStyle w:val="BookText"/>
      </w:pPr>
      <w:r>
        <w:rPr>
          <w:rFonts w:ascii="IRNazanin" w:hAnsi="IRNazanin" w:eastAsia="IRNazanin" w:cs="IRNazanin"/>
          <w:lang w:bidi="fa-IR"/>
          <w:color w:val="111111"/>
          <w:sz w:val="28"/>
          <w:szCs w:val="28"/>
          <w:rtl/>
        </w:rPr>
        <w:t xml:space="preserve">و استدلّت المعتزلة علی خلود الفاسق فی النّار بإطلاق الآیات الواردة فی الخلود، و لکنّ المتأمّل فی الآیات یقف علی قرائن تمنع من الأخذ بإطلاقها و لا نری ضرورة فی التعرّض لها. </w:t>
      </w:r>
      <w:r>
        <w:rPr>
          <w:rStyle w:val="FootnoteReference"/>
        </w:rPr>
        <w:footnoteReference w:id="4907"/>
      </w:r>
    </w:p>
    <w:p>
      <w:pPr>
        <w:pStyle w:val="Heading6"/>
      </w:pPr>
      <w:bookmarkStart w:id="2693" w:name="_Toc1728"/>
      <w:r>
        <w:t>7. کیف یصحّ الخلود مع کون الذنب منقطعاً؟</w:t>
      </w:r>
      <w:bookmarkEnd w:id="2693"/>
    </w:p>
    <w:p>
      <w:pPr>
        <w:pStyle w:val="BookText"/>
      </w:pPr>
      <w:r>
        <w:rPr>
          <w:rFonts w:ascii="IRNazanin" w:hAnsi="IRNazanin" w:eastAsia="IRNazanin" w:cs="IRNazanin"/>
          <w:lang w:bidi="fa-IR"/>
          <w:color w:val="111111"/>
          <w:sz w:val="28"/>
          <w:szCs w:val="28"/>
          <w:rtl/>
        </w:rPr>
        <w:t xml:space="preserve">إنّ من السنن العقلیة المقرّرة رعایة المعادلة بین الجرم و العقوبة، و هذه المعادلة منتفیة فی العذاب المخلّد، فإنّ الذنب کان موقتاً منقطعاً.</w:t>
      </w:r>
    </w:p>
    <w:p>
      <w:pPr>
        <w:pStyle w:val="BookText"/>
      </w:pPr>
      <w:r>
        <w:rPr>
          <w:rFonts w:ascii="IRNazanin" w:hAnsi="IRNazanin" w:eastAsia="IRNazanin" w:cs="IRNazanin"/>
          <w:lang w:bidi="fa-IR"/>
          <w:color w:val="111111"/>
          <w:sz w:val="28"/>
          <w:szCs w:val="28"/>
          <w:rtl/>
        </w:rPr>
        <w:t xml:space="preserve">و الجواب عنه أمّا أوّلاً: فإنّ المراد من المعادلة بین الجرم و العقوبة لیس هو فی جانب الکمّیّة و من حیث الزمان، بل فی جانب الکیفیّة و من حیث عظمة الجرم بلحاظ مفاسده الفردیة أو النوعیة، کما نری ذلک فی العقوبات المقرّرة عند العقلاء لمثل القتل و الإخلال فی النظم الاجتماعی، و نحو ذلک، فالجرم یقع فی زمان قلیل و مع ذلک فقد یحکم علیه بالأعدام و الحبس المؤبَّد.</w:t>
      </w:r>
    </w:p>
    <w:p>
      <w:pPr>
        <w:pStyle w:val="BookText"/>
      </w:pPr>
      <w:r>
        <w:rPr>
          <w:rFonts w:ascii="IRNazanin" w:hAnsi="IRNazanin" w:eastAsia="IRNazanin" w:cs="IRNazanin"/>
          <w:lang w:bidi="fa-IR"/>
          <w:color w:val="111111"/>
          <w:sz w:val="28"/>
          <w:szCs w:val="28"/>
          <w:rtl/>
        </w:rPr>
        <w:t xml:space="preserve">و أمّا ثانیاً: «فإنّ العذاب فی الحقیقة أثر لصورة الشّقاء الحاصلة بعد تحقّق علل معدّة و هی المخالفات المحدودة و لیس أثراً لتلک العلل</w:t>
      </w:r>
    </w:p>
    <w:p>
      <w:pPr>
        <w:pStyle w:val="BookText"/>
      </w:pPr>
      <w:r>
        <w:rPr>
          <w:rFonts w:ascii="IRNazanin" w:hAnsi="IRNazanin" w:eastAsia="IRNazanin" w:cs="IRNazanin"/>
          <w:lang w:bidi="fa-IR"/>
          <w:color w:val="111111"/>
          <w:sz w:val="28"/>
          <w:szCs w:val="28"/>
          <w:rtl/>
        </w:rPr>
        <w:t xml:space="preserve">[شماره صفحه واقعی : 463]
</w:t>
      </w:r>
    </w:p>
    <w:p>
      <w:pPr>
        <w:sectPr>
          <w:footerReference w:type="default" r:id="rId16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المحدودة المنقطعة حتی یلزم تأثیر المتناهی أثراً غیر متناه و هو محال، نظیره أنّ عللاً معدّة و مقرّبات معدودة محدودة أوجبت أن تتصوّر المادّة بالصورة الإنسانیة فتصیر المادة إنساناً یصدر عنه آثار الإنسانیّة المعلولة للصورة المذکورة».</w:t>
      </w:r>
    </w:p>
    <w:p>
      <w:pPr>
        <w:pStyle w:val="BookText"/>
      </w:pPr>
      <w:r>
        <w:rPr>
          <w:rFonts w:ascii="IRNazanin" w:hAnsi="IRNazanin" w:eastAsia="IRNazanin" w:cs="IRNazanin"/>
          <w:lang w:bidi="fa-IR"/>
          <w:color w:val="111111"/>
          <w:sz w:val="28"/>
          <w:szCs w:val="28"/>
          <w:rtl/>
        </w:rPr>
        <w:t xml:space="preserve">و لا معنی لأن یسأل و یقال:</w:t>
      </w:r>
    </w:p>
    <w:p>
      <w:pPr>
        <w:pStyle w:val="BookText"/>
      </w:pPr>
      <w:r>
        <w:rPr>
          <w:rFonts w:ascii="IRNazanin" w:hAnsi="IRNazanin" w:eastAsia="IRNazanin" w:cs="IRNazanin"/>
          <w:lang w:bidi="fa-IR"/>
          <w:color w:val="111111"/>
          <w:sz w:val="28"/>
          <w:szCs w:val="28"/>
          <w:rtl/>
        </w:rPr>
        <w:t xml:space="preserve">إنّ الآثار الإنسانیة الصادرة عن الإنسان بعد الموت صدوراً دائمیاً سرمدیّاً لحصول معدّات محدودة مقطوعة الأمر للمادّة، فکیف صارت مجموع منقطع الآخر من العلل سبباً لصدور الآثار المذکورة و بقائها مع الإنسان دائماً، لأنّ علّتها الفاعلة -و هی الصورة الإنسانیة - موجودة معها دائماً علی الفرض، فکما لا معنی لهذا السؤال لا معنی لذلک أیضاً. </w:t>
      </w:r>
      <w:r>
        <w:rPr>
          <w:rStyle w:val="FootnoteReference"/>
        </w:rPr>
        <w:footnoteReference w:id="490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464]
</w:t>
      </w:r>
    </w:p>
    <w:p>
      <w:pPr>
        <w:sectPr>
          <w:footerReference w:type="default" r:id="rId1611"/>
          <w:footnotePr>
            <w:numStart w:val="1"/>
            <w:numRestart w:val="eachPage"/>
          </w:footnotePr>
          <w:pgSz w:orient="portrait" w:w="11905.511811023622" w:h="16837.79527559055"/>
          <w:pgMar w:top="1440" w:right="1440" w:bottom="1440" w:left="1440" w:header="720" w:footer="720" w:gutter="0"/>
          <w:cols w:num="1" w:space="720"/>
        </w:sectPr>
      </w:pPr>
    </w:p>
    <w:bookmarkStart w:id="877" w:name="pg14411_143993"/>
    <w:bookmarkEnd w:id="877"/>
    <w:p>
      <w:pPr>
        <w:pStyle w:val="Heading4"/>
      </w:pPr>
      <w:bookmarkStart w:id="2694" w:name="_Toc1729"/>
      <w:r>
        <w:t>خاتمة المطاف</w:t>
      </w:r>
      <w:bookmarkEnd w:id="2694"/>
    </w:p>
    <w:p>
      <w:pPr>
        <w:pStyle w:val="Heading5"/>
      </w:pPr>
      <w:bookmarkStart w:id="2695" w:name="_Toc1730"/>
      <w:r>
        <w:t>اشارة</w:t>
      </w:r>
      <w:bookmarkEnd w:id="2695"/>
    </w:p>
    <w:p>
      <w:pPr>
        <w:pStyle w:val="BookText"/>
      </w:pPr>
      <w:r>
        <w:rPr>
          <w:rFonts w:ascii="IRNazanin" w:hAnsi="IRNazanin" w:eastAsia="IRNazanin" w:cs="IRNazanin"/>
          <w:lang w:bidi="fa-IR"/>
          <w:color w:val="111111"/>
          <w:sz w:val="28"/>
          <w:szCs w:val="28"/>
          <w:rtl/>
        </w:rPr>
        <w:t xml:space="preserve">إلی هنا وقفنا علی الصحیح من العقائد الإسلامیة مدعماً بالبرهنة من الکتاب و السنّة و العقل، بقی الکلام فی أمورٍ نختم أبحاثنا العقائدیة بالبحث عنها، و هی:</w:t>
      </w:r>
    </w:p>
    <w:p>
      <w:pPr>
        <w:pStyle w:val="Heading5"/>
      </w:pPr>
      <w:bookmarkStart w:id="2696" w:name="_Toc1731"/>
      <w:r>
        <w:t>1. الإیمان و أحکامه</w:t>
      </w:r>
      <w:bookmarkEnd w:id="2696"/>
    </w:p>
    <w:p>
      <w:pPr>
        <w:pStyle w:val="BookText"/>
      </w:pPr>
      <w:r>
        <w:rPr>
          <w:rFonts w:ascii="IRNazanin" w:hAnsi="IRNazanin" w:eastAsia="IRNazanin" w:cs="IRNazanin"/>
          <w:lang w:bidi="fa-IR"/>
          <w:color w:val="111111"/>
          <w:sz w:val="28"/>
          <w:szCs w:val="28"/>
          <w:rtl/>
        </w:rPr>
        <w:t xml:space="preserve">الإیمان من الأمن و له فی اللّغة معنیان متقاربان: أحدهما: الأمانة الّتی هی ضد الخیانة، و معناها سکون القلب. و الآخر: التصدیق، و المعنیان متدانیان. </w:t>
      </w:r>
      <w:r>
        <w:rPr>
          <w:rStyle w:val="FootnoteReference"/>
        </w:rPr>
        <w:footnoteReference w:id="4909"/>
      </w:r>
    </w:p>
    <w:p>
      <w:pPr>
        <w:pStyle w:val="BookText"/>
      </w:pPr>
      <w:r>
        <w:rPr>
          <w:rFonts w:ascii="IRNazanin" w:hAnsi="IRNazanin" w:eastAsia="IRNazanin" w:cs="IRNazanin"/>
          <w:lang w:bidi="fa-IR"/>
          <w:color w:val="111111"/>
          <w:sz w:val="28"/>
          <w:szCs w:val="28"/>
          <w:rtl/>
        </w:rPr>
        <w:t xml:space="preserve">و أمّا فی الشرع فاختلفت الآراء فی تحقیق الإیمان و إنّه اسم لفعل القلب فقط، أو فعل اللسان فقط، أو لهما جمیعاً، أو لهما مع فعل سائر الجوارح، و علی القول الأوّل فهل هو المعرفة فقط أو هی مع إذعان القلب.</w:t>
      </w:r>
    </w:p>
    <w:p>
      <w:pPr>
        <w:pStyle w:val="BookText"/>
      </w:pPr>
      <w:r>
        <w:rPr>
          <w:rFonts w:ascii="IRNazanin" w:hAnsi="IRNazanin" w:eastAsia="IRNazanin" w:cs="IRNazanin"/>
          <w:lang w:bidi="fa-IR"/>
          <w:color w:val="111111"/>
          <w:sz w:val="28"/>
          <w:szCs w:val="28"/>
          <w:rtl/>
        </w:rPr>
        <w:t xml:space="preserve">فنسب إلی الکرّامیة إنّهم فسّروا الإیمان بالإقرار باللسان فقط، و استدلّوا علیه بقوله صلی الله علیه و آله : «أمرت أن أُقاتل الناس حتی یقولوا: لا إله إلّا اللّه، محمّد رسول اللّه». </w:t>
      </w:r>
      <w:r>
        <w:rPr>
          <w:rStyle w:val="FootnoteReference"/>
        </w:rPr>
        <w:footnoteReference w:id="4910"/>
      </w:r>
    </w:p>
    <w:p>
      <w:pPr>
        <w:pStyle w:val="BookText"/>
      </w:pPr>
      <w:r>
        <w:rPr>
          <w:rFonts w:ascii="IRNazanin" w:hAnsi="IRNazanin" w:eastAsia="IRNazanin" w:cs="IRNazanin"/>
          <w:lang w:bidi="fa-IR"/>
          <w:color w:val="111111"/>
          <w:sz w:val="28"/>
          <w:szCs w:val="28"/>
          <w:rtl/>
        </w:rPr>
        <w:t xml:space="preserve">[شماره صفحه واقعی : 465]
</w:t>
      </w:r>
    </w:p>
    <w:p>
      <w:pPr>
        <w:sectPr>
          <w:footerReference w:type="default" r:id="rId16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ردّ بأنّ معنی القول فی کلامه: حتی یقولوا، هو الإذعان و الإیمان، و إطلاق القول علی الاعتقاد و الإذعان شائع، و أیضاً الإیمان أمر قلبی یحتاج إثباته إلی مظهر و هو الإقرار باللسان فی الغالب، و سیوافیک أنّ ظاهر کثیر من النصوص هو أنّ الإیمان فعل للقلب.</w:t>
      </w:r>
    </w:p>
    <w:p>
      <w:pPr>
        <w:pStyle w:val="BookText"/>
      </w:pPr>
      <w:r>
        <w:rPr>
          <w:rFonts w:ascii="IRNazanin" w:hAnsi="IRNazanin" w:eastAsia="IRNazanin" w:cs="IRNazanin"/>
          <w:lang w:bidi="fa-IR"/>
          <w:color w:val="111111"/>
          <w:sz w:val="28"/>
          <w:szCs w:val="28"/>
          <w:rtl/>
        </w:rPr>
        <w:t xml:space="preserve">و ذهبت المعتزلة و الخوارج إلی أن العمل بالجوارح مقوِّم للإیمان و الفاقد له لیس بمؤمن بتاتاً، إلّا أنّهما اختلفا، فالخوارج یرون الفاقد کافراً، و المعتزلة یقولون: إنّه لیس بمؤمن و لا کافر بل هو فی منزلة بین المنزلتین، و ممّا استدلوا به قوله تعالی:</w:t>
      </w:r>
    </w:p>
    <w:p>
      <w:pPr>
        <w:pStyle w:val="BookText"/>
      </w:pPr>
      <w:r>
        <w:rPr>
          <w:rFonts w:ascii="Amiri" w:hAnsi="Amiri" w:eastAsia="Amiri" w:cs="Amiri"/>
          <w:lang w:bidi="ar-SA"/>
          <w:color w:val="111111"/>
          <w:sz w:val="28"/>
          <w:szCs w:val="28"/>
          <w:rtl/>
        </w:rPr>
        <w:t xml:space="preserve">«وَ مٰا کٰانَ اللّٰهُ لِیُضِیعَ إِیمٰانَکُمْ» </w:t>
      </w:r>
      <w:r>
        <w:rPr>
          <w:rStyle w:val="FootnoteReference"/>
        </w:rPr>
        <w:footnoteReference w:id="49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 المراد من الإیمان فی الآیة هو صلاتهم إلی بیت المقدس قبل النسخ.</w:t>
      </w:r>
    </w:p>
    <w:p>
      <w:pPr>
        <w:pStyle w:val="BookText"/>
      </w:pPr>
      <w:r>
        <w:rPr>
          <w:rFonts w:ascii="IRNazanin" w:hAnsi="IRNazanin" w:eastAsia="IRNazanin" w:cs="IRNazanin"/>
          <w:lang w:bidi="fa-IR"/>
          <w:color w:val="111111"/>
          <w:sz w:val="28"/>
          <w:szCs w:val="28"/>
          <w:rtl/>
        </w:rPr>
        <w:t xml:space="preserve">و ردّ بأنّ الاستعمال أعمّ من الحقیقة، و لا شکّ أنّ العمل أثر الإیمان، و من الشائع إطلاق اسم السبب علی المسبّب، و القرینة علی ذلک الآیات المتضافرة الدالّة علی أنّ الإیمان فعل القلب و أنّ العمل متفرّع علیه کما سیجیء .</w:t>
      </w:r>
    </w:p>
    <w:p>
      <w:pPr>
        <w:pStyle w:val="BookText"/>
      </w:pPr>
      <w:r>
        <w:rPr>
          <w:rFonts w:ascii="IRNazanin" w:hAnsi="IRNazanin" w:eastAsia="IRNazanin" w:cs="IRNazanin"/>
          <w:lang w:bidi="fa-IR"/>
          <w:color w:val="111111"/>
          <w:sz w:val="28"/>
          <w:szCs w:val="28"/>
          <w:rtl/>
        </w:rPr>
        <w:t xml:space="preserve">و ذهب بعض المتکلّمین إلی أنّ الإیمان مرکّب من الإذعان بالقلب و الإقرار باللسان، و هو مختار المحقّق الطوسی فی تجرید العقائد، و العلاّمة الحلّی فی نهج المسترشدین، و نسبه التفتازانی إلی کثیر من المحقّقین و قال:</w:t>
      </w:r>
    </w:p>
    <w:p>
      <w:pPr>
        <w:pStyle w:val="BookText"/>
      </w:pPr>
      <w:r>
        <w:rPr>
          <w:rFonts w:ascii="IRNazanin" w:hAnsi="IRNazanin" w:eastAsia="IRNazanin" w:cs="IRNazanin"/>
          <w:lang w:bidi="fa-IR"/>
          <w:color w:val="111111"/>
          <w:sz w:val="28"/>
          <w:szCs w:val="28"/>
          <w:rtl/>
        </w:rPr>
        <w:t xml:space="preserve">[شماره صفحه واقعی : 466]
</w:t>
      </w:r>
    </w:p>
    <w:p>
      <w:pPr>
        <w:sectPr>
          <w:footerReference w:type="default" r:id="rId16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 المحکی عن أبی حنیفة </w:t>
      </w:r>
      <w:r>
        <w:rPr>
          <w:rStyle w:val="FootnoteReference"/>
        </w:rPr>
        <w:footnoteReference w:id="4912"/>
      </w:r>
      <w:r>
        <w:rPr>
          <w:rFonts w:ascii="IRNazanin" w:hAnsi="IRNazanin" w:eastAsia="IRNazanin" w:cs="IRNazanin"/>
          <w:lang w:bidi="fa-IR"/>
          <w:color w:val="111111"/>
          <w:sz w:val="28"/>
          <w:szCs w:val="28"/>
          <w:rtl/>
        </w:rPr>
        <w:t xml:space="preserve">، و استدلّ علیه بقوله تعالی:</w:t>
      </w:r>
    </w:p>
    <w:p>
      <w:pPr>
        <w:pStyle w:val="BookText"/>
      </w:pPr>
      <w:r>
        <w:rPr>
          <w:rFonts w:ascii="Amiri" w:hAnsi="Amiri" w:eastAsia="Amiri" w:cs="Amiri"/>
          <w:lang w:bidi="ar-SA"/>
          <w:color w:val="111111"/>
          <w:sz w:val="28"/>
          <w:szCs w:val="28"/>
          <w:rtl/>
        </w:rPr>
        <w:t xml:space="preserve">«وَ جَحَدُوا بِهٰا وَ اسْتَیْقَنَتْهٰا أَنْفُسُهُمْ ظُلْماً وَ عُلُوًّا» </w:t>
      </w:r>
      <w:r>
        <w:rPr>
          <w:rStyle w:val="FootnoteReference"/>
        </w:rPr>
        <w:footnoteReference w:id="49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أُجیب بأنّ مفاد الآیة أنّهم کانوا عالمین بالحقّ مستیقنین به، و مع ذلک لم یؤمنوا و لم یسلّموا به ظلماً و علوّاً، و هذا نظیر قوله سبحانه:</w:t>
      </w:r>
    </w:p>
    <w:p>
      <w:pPr>
        <w:pStyle w:val="BookText"/>
      </w:pPr>
      <w:r>
        <w:rPr>
          <w:rFonts w:ascii="Amiri" w:hAnsi="Amiri" w:eastAsia="Amiri" w:cs="Amiri"/>
          <w:lang w:bidi="ar-SA"/>
          <w:color w:val="111111"/>
          <w:sz w:val="28"/>
          <w:szCs w:val="28"/>
          <w:rtl/>
        </w:rPr>
        <w:t xml:space="preserve">«فَلَمّٰا جٰاءَهُمْ مٰا عَرَفُوا کَفَرُوا بِهِ» </w:t>
      </w:r>
      <w:r>
        <w:rPr>
          <w:rStyle w:val="FootnoteReference"/>
        </w:rPr>
        <w:footnoteReference w:id="49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فالآیة و ما یشابهها تدلّ علی أنّ المعرفة بوحدها لیست هی الإیمان المطلوب فی الشریعة بل یحتاج إلی إذعان بالقلب، و الجحود باللسان و نحوه کاشف عن عدم تحقّقه.</w:t>
      </w:r>
    </w:p>
    <w:p>
      <w:pPr>
        <w:pStyle w:val="BookText"/>
      </w:pPr>
      <w:r>
        <w:rPr>
          <w:rFonts w:ascii="IRNazanin" w:hAnsi="IRNazanin" w:eastAsia="IRNazanin" w:cs="IRNazanin"/>
          <w:lang w:bidi="fa-IR"/>
          <w:color w:val="111111"/>
          <w:sz w:val="28"/>
          <w:szCs w:val="28"/>
          <w:rtl/>
        </w:rPr>
        <w:t xml:space="preserve">و من هنا تبیّن بطلان قول من فسَّر الإیمان بالمعرفة فقط، و قد نسب إلی جهم بن صفوان (المتوفّی 128 ه) و إلی أبی الحسن الأشعری فی أحد قولیه </w:t>
      </w:r>
      <w:r>
        <w:rPr>
          <w:rStyle w:val="FootnoteReference"/>
        </w:rPr>
        <w:footnoteReference w:id="4915"/>
      </w:r>
      <w:r>
        <w:rPr>
          <w:rFonts w:ascii="IRNazanin" w:hAnsi="IRNazanin" w:eastAsia="IRNazanin" w:cs="IRNazanin"/>
          <w:lang w:bidi="fa-IR"/>
          <w:color w:val="111111"/>
          <w:sz w:val="28"/>
          <w:szCs w:val="28"/>
          <w:rtl/>
        </w:rPr>
        <w:t xml:space="preserve">و نسبه شارح المواقف إلی بعض الفقهاء. </w:t>
      </w:r>
      <w:r>
        <w:rPr>
          <w:rStyle w:val="FootnoteReference"/>
        </w:rPr>
        <w:footnoteReference w:id="4916"/>
      </w:r>
    </w:p>
    <w:p>
      <w:pPr>
        <w:pStyle w:val="BookText"/>
      </w:pPr>
      <w:r>
        <w:rPr>
          <w:rFonts w:ascii="IRNazanin" w:hAnsi="IRNazanin" w:eastAsia="IRNazanin" w:cs="IRNazanin"/>
          <w:lang w:bidi="fa-IR"/>
          <w:color w:val="111111"/>
          <w:sz w:val="28"/>
          <w:szCs w:val="28"/>
          <w:rtl/>
        </w:rPr>
        <w:t xml:space="preserve">و ذهب جمهور الأشاعرة إلی أنّ الإیمان هو التصدیق بالجنان، قال صاحب المواقف:</w:t>
      </w:r>
    </w:p>
    <w:p>
      <w:pPr>
        <w:pStyle w:val="BookText"/>
      </w:pPr>
      <w:r>
        <w:rPr>
          <w:rFonts w:ascii="IRNazanin" w:hAnsi="IRNazanin" w:eastAsia="IRNazanin" w:cs="IRNazanin"/>
          <w:lang w:bidi="fa-IR"/>
          <w:color w:val="111111"/>
          <w:sz w:val="28"/>
          <w:szCs w:val="28"/>
          <w:rtl/>
        </w:rPr>
        <w:t xml:space="preserve">هو عندنا و علیه أکثر الأئمّة کالقاضی و الأستاذ التصدیق للرسول فیما علم مجیئه به ضرورة، فتفصیلاً فیما علم تفصیلاً، و إجمالاً فیما علم إجمالاً. </w:t>
      </w:r>
      <w:r>
        <w:rPr>
          <w:rStyle w:val="FootnoteReference"/>
        </w:rPr>
        <w:footnoteReference w:id="4917"/>
      </w:r>
    </w:p>
    <w:p>
      <w:pPr>
        <w:pStyle w:val="BookText"/>
      </w:pPr>
      <w:r>
        <w:rPr>
          <w:rFonts w:ascii="IRNazanin" w:hAnsi="IRNazanin" w:eastAsia="IRNazanin" w:cs="IRNazanin"/>
          <w:lang w:bidi="fa-IR"/>
          <w:color w:val="111111"/>
          <w:sz w:val="28"/>
          <w:szCs w:val="28"/>
          <w:rtl/>
        </w:rPr>
        <w:t xml:space="preserve">[شماره صفحه واقعی : 467]
</w:t>
      </w:r>
    </w:p>
    <w:p>
      <w:pPr>
        <w:sectPr>
          <w:footerReference w:type="default" r:id="rId16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التفتازانی بعد حکایة هذا المذهب: «و هذا هو المشهور، و علیه الجمهور». </w:t>
      </w:r>
      <w:r>
        <w:rPr>
          <w:rStyle w:val="FootnoteReference"/>
        </w:rPr>
        <w:footnoteReference w:id="4918"/>
      </w:r>
    </w:p>
    <w:p>
      <w:pPr>
        <w:pStyle w:val="BookText"/>
      </w:pPr>
      <w:r>
        <w:rPr>
          <w:rFonts w:ascii="IRNazanin" w:hAnsi="IRNazanin" w:eastAsia="IRNazanin" w:cs="IRNazanin"/>
          <w:lang w:bidi="fa-IR"/>
          <w:color w:val="111111"/>
          <w:sz w:val="28"/>
          <w:szCs w:val="28"/>
          <w:rtl/>
        </w:rPr>
        <w:t xml:space="preserve">و قال الفاضل المقداد:</w:t>
      </w:r>
    </w:p>
    <w:p>
      <w:pPr>
        <w:pStyle w:val="BookText"/>
      </w:pPr>
      <w:r>
        <w:rPr>
          <w:rFonts w:ascii="IRNazanin" w:hAnsi="IRNazanin" w:eastAsia="IRNazanin" w:cs="IRNazanin"/>
          <w:lang w:bidi="fa-IR"/>
          <w:color w:val="111111"/>
          <w:sz w:val="28"/>
          <w:szCs w:val="28"/>
          <w:rtl/>
        </w:rPr>
        <w:t xml:space="preserve">قال بعض أصحابنا الإمامیة و الأشعریة: إنّه التصدیق القلبی فقط، و اختاره ابن نوبخت و کمال الدین میثم فی قواعده، و هو الأقرب لما قلناه من أنّه لغة التصدیق، و لما ورد نسبته إلی القلب، عرفنا أنّ المراد به التصدیق القلبی، لا أی تصدیق کان... و یکون النطق باللسان مبیّناً لظهوره، و الأعمال الصالحات ثمرات مؤکِّدة له. </w:t>
      </w:r>
      <w:r>
        <w:rPr>
          <w:rStyle w:val="FootnoteReference"/>
        </w:rPr>
        <w:footnoteReference w:id="4919"/>
      </w:r>
    </w:p>
    <w:p>
      <w:pPr>
        <w:pStyle w:val="BookText"/>
      </w:pPr>
      <w:r>
        <w:rPr>
          <w:rFonts w:ascii="IRNazanin" w:hAnsi="IRNazanin" w:eastAsia="IRNazanin" w:cs="IRNazanin"/>
          <w:lang w:bidi="fa-IR"/>
          <w:color w:val="111111"/>
          <w:sz w:val="28"/>
          <w:szCs w:val="28"/>
          <w:rtl/>
        </w:rPr>
        <w:t xml:space="preserve">و هذا القول هو الصحیح و تدلّ علیه طوائف ثلاث من الآیات:</w:t>
      </w:r>
    </w:p>
    <w:p>
      <w:pPr>
        <w:pStyle w:val="BookText"/>
      </w:pPr>
      <w:r>
        <w:rPr>
          <w:rFonts w:ascii="IRNazanin" w:hAnsi="IRNazanin" w:eastAsia="IRNazanin" w:cs="IRNazanin"/>
          <w:lang w:bidi="fa-IR"/>
          <w:color w:val="111111"/>
          <w:sz w:val="28"/>
          <w:szCs w:val="28"/>
          <w:rtl/>
        </w:rPr>
        <w:t xml:space="preserve">الأُولی: ما عدّ الإیمان من صفات القلب، و القلب محلاً له، مثل قوله تعالی:</w:t>
      </w:r>
    </w:p>
    <w:p>
      <w:pPr>
        <w:pStyle w:val="BookText"/>
      </w:pPr>
      <w:r>
        <w:rPr>
          <w:rFonts w:ascii="Amiri" w:hAnsi="Amiri" w:eastAsia="Amiri" w:cs="Amiri"/>
          <w:lang w:bidi="ar-SA"/>
          <w:color w:val="111111"/>
          <w:sz w:val="28"/>
          <w:szCs w:val="28"/>
          <w:rtl/>
        </w:rPr>
        <w:t xml:space="preserve">«أُولٰئِکَ کَتَبَ فِی قُلُوبِهِمُ الْإِیمٰانَ» </w:t>
      </w:r>
      <w:r>
        <w:rPr>
          <w:rStyle w:val="FootnoteReference"/>
        </w:rPr>
        <w:footnoteReference w:id="49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تعالی: «وَ لَمّٰا یَدْخُلِ الْإِیمٰانُ فِی قُلُوبِکُمْ» </w:t>
      </w:r>
      <w:r>
        <w:rPr>
          <w:rStyle w:val="FootnoteReference"/>
        </w:rPr>
        <w:footnoteReference w:id="49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تعالی: «وَ قَلْبُهُ مُطْمَئِنٌّ بِالْإِیمٰانِ» </w:t>
      </w:r>
      <w:r>
        <w:rPr>
          <w:rStyle w:val="FootnoteReference"/>
        </w:rPr>
        <w:footnoteReference w:id="49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الثانیة: ما عطف العمل الصالح علی الإیمان، فإنّ ظاهر العطف إنّ</w:t>
      </w:r>
    </w:p>
    <w:p>
      <w:pPr>
        <w:pStyle w:val="BookText"/>
      </w:pPr>
      <w:r>
        <w:rPr>
          <w:rFonts w:ascii="IRNazanin" w:hAnsi="IRNazanin" w:eastAsia="IRNazanin" w:cs="IRNazanin"/>
          <w:lang w:bidi="fa-IR"/>
          <w:color w:val="111111"/>
          <w:sz w:val="28"/>
          <w:szCs w:val="28"/>
          <w:rtl/>
        </w:rPr>
        <w:t xml:space="preserve">[شماره صفحه واقعی : 468]
</w:t>
      </w:r>
    </w:p>
    <w:p>
      <w:pPr>
        <w:sectPr>
          <w:footerReference w:type="default" r:id="rId16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المعطوف غیر المعطوف علیه، و الآیات فی هذا المعنی فوق حدّ الإحصاء.</w:t>
      </w:r>
    </w:p>
    <w:p>
      <w:pPr>
        <w:pStyle w:val="BookText"/>
      </w:pPr>
      <w:r>
        <w:rPr>
          <w:rFonts w:ascii="Amiri" w:hAnsi="Amiri" w:eastAsia="Amiri" w:cs="Amiri"/>
          <w:lang w:bidi="ar-SA"/>
          <w:color w:val="111111"/>
          <w:sz w:val="28"/>
          <w:szCs w:val="28"/>
          <w:rtl/>
        </w:rPr>
        <w:t xml:space="preserve">و الثالثة: آیات الختم و الطبع نحو قوله تعالی: «أُولٰئِکَ الَّذِینَ طَبَعَ اللّٰهُ عَلیٰ قُلُوبِهِمْ» </w:t>
      </w:r>
      <w:r>
        <w:rPr>
          <w:rStyle w:val="FootnoteReference"/>
        </w:rPr>
        <w:footnoteReference w:id="49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تعالی: «خَتَمَ اللّٰهُ عَلیٰ قُلُوبِهِمْ » </w:t>
      </w:r>
      <w:r>
        <w:rPr>
          <w:rStyle w:val="FootnoteReference"/>
        </w:rPr>
        <w:footnoteReference w:id="49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فالإمعان فی هذه الآیات یثبت أن الإیمان هو التصدیق القلبی، یترتّب علیه أثر دنیوی و أخروی، أمّا الدنیوی فحرمة دمه و عرضه و ماله، إلّا أن یرتکب قتلاً أو یأتی بفاحشة.</w:t>
      </w:r>
    </w:p>
    <w:p>
      <w:pPr>
        <w:pStyle w:val="BookText"/>
      </w:pPr>
      <w:r>
        <w:rPr>
          <w:rFonts w:ascii="IRNazanin" w:hAnsi="IRNazanin" w:eastAsia="IRNazanin" w:cs="IRNazanin"/>
          <w:lang w:bidi="fa-IR"/>
          <w:color w:val="111111"/>
          <w:sz w:val="28"/>
          <w:szCs w:val="28"/>
          <w:rtl/>
        </w:rPr>
        <w:t xml:space="preserve">و أمّا الأُخروی فصحّة أعماله، و استحقاق المثوبة علیها و عدم الخلود فی النار، و استحقاق العفو و الشفاعة فی بعض المراحل.</w:t>
      </w:r>
    </w:p>
    <w:p>
      <w:pPr>
        <w:pStyle w:val="BookText"/>
      </w:pPr>
      <w:r>
        <w:rPr>
          <w:rFonts w:ascii="IRNazanin" w:hAnsi="IRNazanin" w:eastAsia="IRNazanin" w:cs="IRNazanin"/>
          <w:lang w:bidi="fa-IR"/>
          <w:color w:val="111111"/>
          <w:sz w:val="28"/>
          <w:szCs w:val="28"/>
          <w:rtl/>
        </w:rPr>
        <w:t xml:space="preserve">ثمّ إنّ السّعادة الأُخرویة رهن الإیمان المشفوع بالعمل، لا یشکّ فیه من له إلمام بالشریعة و الآیات و الروایات الواردة حول العمل، و من هنا یظهر بطلان عقیدة المرجئة الّتی کانت تزعم أنّ العمل لا قیمة له فی الحیاة الدینیة، و تکتفی بالإیمان فقط، و قد تضافر عن أئمّة أهل البیت علیهم السلام لعن المرجئة </w:t>
      </w:r>
      <w:r>
        <w:rPr>
          <w:rStyle w:val="FootnoteReference"/>
        </w:rPr>
        <w:footnoteReference w:id="4925"/>
      </w:r>
      <w:r>
        <w:rPr>
          <w:rFonts w:ascii="IRNazanin" w:hAnsi="IRNazanin" w:eastAsia="IRNazanin" w:cs="IRNazanin"/>
          <w:lang w:bidi="fa-IR"/>
          <w:color w:val="111111"/>
          <w:sz w:val="28"/>
          <w:szCs w:val="28"/>
          <w:rtl/>
        </w:rPr>
        <w:t xml:space="preserve">قال الصادق علیه السلام :</w:t>
      </w:r>
    </w:p>
    <w:p>
      <w:pPr>
        <w:pStyle w:val="BookText"/>
      </w:pPr>
      <w:r>
        <w:rPr>
          <w:rFonts w:ascii="IRNazanin" w:hAnsi="IRNazanin" w:eastAsia="IRNazanin" w:cs="IRNazanin"/>
          <w:lang w:bidi="fa-IR"/>
          <w:color w:val="111111"/>
          <w:sz w:val="28"/>
          <w:szCs w:val="28"/>
          <w:rtl/>
        </w:rPr>
        <w:t xml:space="preserve">«ملعون، ملعون من قال: الإیمان قول بلا عمل». </w:t>
      </w:r>
      <w:r>
        <w:rPr>
          <w:rStyle w:val="FootnoteReference"/>
        </w:rPr>
        <w:footnoteReference w:id="4926"/>
      </w:r>
    </w:p>
    <w:p>
      <w:pPr>
        <w:pStyle w:val="BookText"/>
      </w:pPr>
      <w:r>
        <w:rPr>
          <w:rFonts w:ascii="IRNazanin" w:hAnsi="IRNazanin" w:eastAsia="IRNazanin" w:cs="IRNazanin"/>
          <w:lang w:bidi="fa-IR"/>
          <w:color w:val="111111"/>
          <w:sz w:val="28"/>
          <w:szCs w:val="28"/>
          <w:rtl/>
        </w:rPr>
        <w:t xml:space="preserve">و ممّا ذکرنا تبیّن أنّ الأحادیث المرویة فی أنّ الإیمان عبارة عن معرفة</w:t>
      </w:r>
    </w:p>
    <w:p>
      <w:pPr>
        <w:pStyle w:val="BookText"/>
      </w:pPr>
      <w:r>
        <w:rPr>
          <w:rFonts w:ascii="IRNazanin" w:hAnsi="IRNazanin" w:eastAsia="IRNazanin" w:cs="IRNazanin"/>
          <w:lang w:bidi="fa-IR"/>
          <w:color w:val="111111"/>
          <w:sz w:val="28"/>
          <w:szCs w:val="28"/>
          <w:rtl/>
        </w:rPr>
        <w:t xml:space="preserve">[شماره صفحه واقعی : 469]
</w:t>
      </w:r>
    </w:p>
    <w:p>
      <w:pPr>
        <w:sectPr>
          <w:footerReference w:type="default" r:id="rId1616"/>
          <w:footnotePr>
            <w:numStart w:val="1"/>
            <w:numRestart w:val="eachPage"/>
          </w:footnotePr>
          <w:pgSz w:orient="portrait" w:w="11905.511811023622" w:h="16837.79527559055"/>
          <w:pgMar w:top="1440" w:right="1440" w:bottom="1440" w:left="1440" w:header="720" w:footer="720" w:gutter="0"/>
          <w:cols w:num="1" w:space="720"/>
        </w:sectPr>
      </w:pPr>
    </w:p>
    <w:bookmarkStart w:id="878" w:name="pg14411_143998"/>
    <w:bookmarkEnd w:id="878"/>
    <w:p>
      <w:pPr>
        <w:pStyle w:val="BookText"/>
      </w:pPr>
      <w:r>
        <w:rPr>
          <w:rFonts w:ascii="IRNazanin" w:hAnsi="IRNazanin" w:eastAsia="IRNazanin" w:cs="IRNazanin"/>
          <w:lang w:bidi="fa-IR"/>
          <w:color w:val="111111"/>
          <w:sz w:val="28"/>
          <w:szCs w:val="28"/>
          <w:rtl/>
        </w:rPr>
        <w:t xml:space="preserve">بالقلب، و قول باللسان، و عمل بالأرکان </w:t>
      </w:r>
      <w:r>
        <w:rPr>
          <w:rStyle w:val="FootnoteReference"/>
        </w:rPr>
        <w:footnoteReference w:id="4927"/>
      </w:r>
      <w:r>
        <w:rPr>
          <w:rFonts w:ascii="IRNazanin" w:hAnsi="IRNazanin" w:eastAsia="IRNazanin" w:cs="IRNazanin"/>
          <w:lang w:bidi="fa-IR"/>
          <w:color w:val="111111"/>
          <w:sz w:val="28"/>
          <w:szCs w:val="28"/>
          <w:rtl/>
        </w:rPr>
        <w:t xml:space="preserve">، لا تهدف تفسیر حقیقة الإیمان، بل هی ناظرة إلی أن الإیمان بلا عمل لا یکفی لوصول الإنسان إلی السعادة، و إنّ مزعمة المرجئة لا أساس لها، هذا هو مقتضی الجمع بینها و بین ما تقدم من الآیات.</w:t>
      </w:r>
    </w:p>
    <w:p>
      <w:pPr>
        <w:pStyle w:val="BookText"/>
      </w:pPr>
      <w:r>
        <w:rPr>
          <w:rFonts w:ascii="IRNazanin" w:hAnsi="IRNazanin" w:eastAsia="IRNazanin" w:cs="IRNazanin"/>
          <w:lang w:bidi="fa-IR"/>
          <w:color w:val="111111"/>
          <w:sz w:val="28"/>
          <w:szCs w:val="28"/>
          <w:rtl/>
        </w:rPr>
        <w:t xml:space="preserve">نسأل اللّه سبحانه أن یجعلنا من الصالحین من عباده المؤمنین الّذین قال فی حقّهم:</w:t>
      </w:r>
    </w:p>
    <w:p>
      <w:pPr>
        <w:pStyle w:val="BookText"/>
      </w:pPr>
      <w:r>
        <w:rPr>
          <w:rFonts w:ascii="Amiri" w:hAnsi="Amiri" w:eastAsia="Amiri" w:cs="Amiri"/>
          <w:lang w:bidi="ar-SA"/>
          <w:color w:val="111111"/>
          <w:sz w:val="28"/>
          <w:szCs w:val="28"/>
          <w:rtl/>
        </w:rPr>
        <w:t xml:space="preserve">«مَنْ عَمِلَ سَیِّئَةً فَلاٰ یُجْزیٰ إِلاّٰ مِثْلَهٰا وَ مَنْ عَمِلَ صٰالِحاً مِنْ ذَکَرٍ أَوْ أُنْثیٰ وَ هُوَ مُؤْمِنٌ فَأُولٰئِکَ یَدْخُلُونَ الْجَنَّةَ یُرْزَقُونَ فِیهٰا بِغَیْرِ حِسٰابٍ». </w:t>
      </w:r>
      <w:r>
        <w:rPr>
          <w:rStyle w:val="FootnoteReference"/>
        </w:rPr>
        <w:footnoteReference w:id="4928"/>
      </w:r>
    </w:p>
    <w:p>
      <w:pPr>
        <w:pStyle w:val="Heading5"/>
      </w:pPr>
      <w:bookmarkStart w:id="2697" w:name="_Toc1732"/>
      <w:r>
        <w:t>2. الشیعة و الاتّهامات الواهیة</w:t>
      </w:r>
      <w:bookmarkEnd w:id="2697"/>
    </w:p>
    <w:p>
      <w:pPr>
        <w:pStyle w:val="BookText"/>
      </w:pPr>
      <w:r>
        <w:rPr>
          <w:rFonts w:ascii="IRNazanin" w:hAnsi="IRNazanin" w:eastAsia="IRNazanin" w:cs="IRNazanin"/>
          <w:lang w:bidi="fa-IR"/>
          <w:color w:val="111111"/>
          <w:sz w:val="28"/>
          <w:szCs w:val="28"/>
          <w:rtl/>
        </w:rPr>
        <w:t xml:space="preserve">هناک بعض المسائل الّتی لم تزل الشیعة الإمامیة تزدری بها أو تتّهم بالاعتقاد بها، و هی الاعتقاد بالبداء، و الرجعة و المتعة، و عدم الاعتقاد بعدالة جمیع الصحابة، و التقیّة و اتّهام القول بتحریف القرآن.</w:t>
      </w:r>
    </w:p>
    <w:p>
      <w:pPr>
        <w:pStyle w:val="BookText"/>
      </w:pPr>
      <w:r>
        <w:rPr>
          <w:rFonts w:ascii="IRNazanin" w:hAnsi="IRNazanin" w:eastAsia="IRNazanin" w:cs="IRNazanin"/>
          <w:lang w:bidi="fa-IR"/>
          <w:color w:val="111111"/>
          <w:sz w:val="28"/>
          <w:szCs w:val="28"/>
          <w:rtl/>
        </w:rPr>
        <w:t xml:space="preserve">و قد تقدّم الکلام حول البداء فی مبحث العدل، و الرجعة فی مبحث المعاد، و البحث حول المتعة یحال إلی علم الفقه </w:t>
      </w:r>
      <w:r>
        <w:rPr>
          <w:rStyle w:val="FootnoteReference"/>
        </w:rPr>
        <w:footnoteReference w:id="4929"/>
      </w:r>
      <w:r>
        <w:rPr>
          <w:rFonts w:ascii="IRNazanin" w:hAnsi="IRNazanin" w:eastAsia="IRNazanin" w:cs="IRNazanin"/>
          <w:lang w:bidi="fa-IR"/>
          <w:color w:val="111111"/>
          <w:sz w:val="28"/>
          <w:szCs w:val="28"/>
          <w:rtl/>
        </w:rPr>
        <w:t xml:space="preserve">فلنبحث هنا عن بقیة تلک المسائل و هی ثلاث:</w:t>
      </w:r>
    </w:p>
    <w:p>
      <w:pPr>
        <w:pStyle w:val="BookText"/>
      </w:pPr>
      <w:r>
        <w:rPr>
          <w:rFonts w:ascii="IRNazanin" w:hAnsi="IRNazanin" w:eastAsia="IRNazanin" w:cs="IRNazanin"/>
          <w:lang w:bidi="fa-IR"/>
          <w:color w:val="111111"/>
          <w:sz w:val="28"/>
          <w:szCs w:val="28"/>
          <w:rtl/>
        </w:rPr>
        <w:t xml:space="preserve">[شماره صفحه واقعی : 470]
</w:t>
      </w:r>
    </w:p>
    <w:p>
      <w:pPr>
        <w:sectPr>
          <w:footerReference w:type="default" r:id="rId16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 موقف الشیعة من القرآن الکریم</w:t>
      </w:r>
    </w:p>
    <w:p>
      <w:pPr>
        <w:pStyle w:val="BookText"/>
      </w:pPr>
      <w:r>
        <w:rPr>
          <w:rFonts w:ascii="IRNazanin" w:hAnsi="IRNazanin" w:eastAsia="IRNazanin" w:cs="IRNazanin"/>
          <w:lang w:bidi="fa-IR"/>
          <w:color w:val="111111"/>
          <w:sz w:val="28"/>
          <w:szCs w:val="28"/>
          <w:rtl/>
        </w:rPr>
        <w:t xml:space="preserve">اتّهمت الشیعة من جانب بعض المخالفین بالقول بتحریف القرآن و نقصانه، و لکنّ المراجعة إلی أقوال أکابر الطائفة و أقطابهم یثبت خلاف ذلک، و إلیک فیما یلی نصوص بعض أعلامهم؛ </w:t>
      </w:r>
      <w:r>
        <w:rPr>
          <w:rStyle w:val="FootnoteReference"/>
        </w:rPr>
        <w:footnoteReference w:id="4930"/>
      </w:r>
    </w:p>
    <w:p>
      <w:pPr>
        <w:pStyle w:val="BookText"/>
      </w:pPr>
      <w:r>
        <w:rPr>
          <w:rFonts w:ascii="IRNazanin" w:hAnsi="IRNazanin" w:eastAsia="IRNazanin" w:cs="IRNazanin"/>
          <w:lang w:bidi="fa-IR"/>
          <w:color w:val="111111"/>
          <w:sz w:val="28"/>
          <w:szCs w:val="28"/>
          <w:rtl/>
        </w:rPr>
        <w:t xml:space="preserve">قال الصدوق (المتوفّی 381 ه):</w:t>
      </w:r>
    </w:p>
    <w:p>
      <w:pPr>
        <w:pStyle w:val="BookText"/>
      </w:pPr>
      <w:r>
        <w:rPr>
          <w:rFonts w:ascii="IRNazanin" w:hAnsi="IRNazanin" w:eastAsia="IRNazanin" w:cs="IRNazanin"/>
          <w:lang w:bidi="fa-IR"/>
          <w:color w:val="111111"/>
          <w:sz w:val="28"/>
          <w:szCs w:val="28"/>
          <w:rtl/>
        </w:rPr>
        <w:t xml:space="preserve">اعتقادنا أنّ القرآن الّذی أنزله اللّه تعالی علی نبیه محمّد صلی الله علیه و آله هو ما بین الدفّتین، و هو ما فی أیدی الناس لیس بأکثر من ذلک، و من نسب إلینا إنّا نقول إنّه أکثر من ذلک فهو کاذب. </w:t>
      </w:r>
      <w:r>
        <w:rPr>
          <w:rStyle w:val="FootnoteReference"/>
        </w:rPr>
        <w:footnoteReference w:id="4931"/>
      </w:r>
    </w:p>
    <w:p>
      <w:pPr>
        <w:pStyle w:val="BookText"/>
      </w:pPr>
      <w:r>
        <w:rPr>
          <w:rFonts w:ascii="IRNazanin" w:hAnsi="IRNazanin" w:eastAsia="IRNazanin" w:cs="IRNazanin"/>
          <w:lang w:bidi="fa-IR"/>
          <w:color w:val="111111"/>
          <w:sz w:val="28"/>
          <w:szCs w:val="28"/>
          <w:rtl/>
        </w:rPr>
        <w:t xml:space="preserve">و قال السید المرتضی (المتوفّی 436 ه):</w:t>
      </w:r>
    </w:p>
    <w:p>
      <w:pPr>
        <w:pStyle w:val="BookText"/>
      </w:pPr>
      <w:r>
        <w:rPr>
          <w:rFonts w:ascii="IRNazanin" w:hAnsi="IRNazanin" w:eastAsia="IRNazanin" w:cs="IRNazanin"/>
          <w:lang w:bidi="fa-IR"/>
          <w:color w:val="111111"/>
          <w:sz w:val="28"/>
          <w:szCs w:val="28"/>
          <w:rtl/>
        </w:rPr>
        <w:t xml:space="preserve">إنّ القرآن معجزة النبوّة و مأخذ العلوم الشرعیة و الأحکام الدینیة، و علماء المسلمین قد بلغوا فی حفظه و حمایته الغایة حتی عرفوا کلّ شیء اختلف فیه من إعرابه و قراءته و حروفه و آیاته، فکیف یجوز أن یکون مغیّراً و منقوصاً مع العنایة الصادقة و الضبط الشدید. </w:t>
      </w:r>
      <w:r>
        <w:rPr>
          <w:rStyle w:val="FootnoteReference"/>
        </w:rPr>
        <w:footnoteReference w:id="4932"/>
      </w:r>
    </w:p>
    <w:p>
      <w:pPr>
        <w:pStyle w:val="BookText"/>
      </w:pPr>
      <w:r>
        <w:rPr>
          <w:rFonts w:ascii="IRNazanin" w:hAnsi="IRNazanin" w:eastAsia="IRNazanin" w:cs="IRNazanin"/>
          <w:lang w:bidi="fa-IR"/>
          <w:color w:val="111111"/>
          <w:sz w:val="28"/>
          <w:szCs w:val="28"/>
          <w:rtl/>
        </w:rPr>
        <w:t xml:space="preserve">[شماره صفحه واقعی : 471]
</w:t>
      </w:r>
    </w:p>
    <w:p>
      <w:pPr>
        <w:sectPr>
          <w:footerReference w:type="default" r:id="rId16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شیخ الطائفة محمّد بن الحسن الطوسی (المتوفّی 460 ه):</w:t>
      </w:r>
    </w:p>
    <w:p>
      <w:pPr>
        <w:pStyle w:val="BookText"/>
      </w:pPr>
      <w:r>
        <w:rPr>
          <w:rFonts w:ascii="IRNazanin" w:hAnsi="IRNazanin" w:eastAsia="IRNazanin" w:cs="IRNazanin"/>
          <w:lang w:bidi="fa-IR"/>
          <w:color w:val="111111"/>
          <w:sz w:val="28"/>
          <w:szCs w:val="28"/>
          <w:rtl/>
        </w:rPr>
        <w:t xml:space="preserve">إنّ الزیادة فیه مجمع علی بطلانها، و أمّا النقصان منه، فالظاهر أیضاً من مذهب المسلمین خلافه، و هو الألیق بالصحیح من مذهبنا، و هو الّذی نصره المرتضی، و هو الظاهر من الروایات. </w:t>
      </w:r>
      <w:r>
        <w:rPr>
          <w:rStyle w:val="FootnoteReference"/>
        </w:rPr>
        <w:footnoteReference w:id="4933"/>
      </w:r>
    </w:p>
    <w:p>
      <w:pPr>
        <w:pStyle w:val="BookText"/>
      </w:pPr>
      <w:r>
        <w:rPr>
          <w:rFonts w:ascii="IRNazanin" w:hAnsi="IRNazanin" w:eastAsia="IRNazanin" w:cs="IRNazanin"/>
          <w:lang w:bidi="fa-IR"/>
          <w:color w:val="111111"/>
          <w:sz w:val="28"/>
          <w:szCs w:val="28"/>
          <w:rtl/>
        </w:rPr>
        <w:t xml:space="preserve">و قال أمین الإسلام الطبرسی (المتوفّی 548 ه):</w:t>
      </w:r>
    </w:p>
    <w:p>
      <w:pPr>
        <w:pStyle w:val="BookText"/>
      </w:pPr>
      <w:r>
        <w:rPr>
          <w:rFonts w:ascii="IRNazanin" w:hAnsi="IRNazanin" w:eastAsia="IRNazanin" w:cs="IRNazanin"/>
          <w:lang w:bidi="fa-IR"/>
          <w:color w:val="111111"/>
          <w:sz w:val="28"/>
          <w:szCs w:val="28"/>
          <w:rtl/>
        </w:rPr>
        <w:t xml:space="preserve">أمّا الزیادة فمجمع علی بطلانها، و أمّا النقصان منه فقد روی جماعة من أصحابنا و قوم من حشویة أهل السنّة إنّ فی القرآن نقصاناً و الصحیح من مذهبنا خلافه. </w:t>
      </w:r>
      <w:r>
        <w:rPr>
          <w:rStyle w:val="FootnoteReference"/>
        </w:rPr>
        <w:footnoteReference w:id="4934"/>
      </w:r>
    </w:p>
    <w:p>
      <w:pPr>
        <w:pStyle w:val="BookText"/>
      </w:pPr>
      <w:r>
        <w:rPr>
          <w:rFonts w:ascii="Amiri" w:hAnsi="Amiri" w:eastAsia="Amiri" w:cs="Amiri"/>
          <w:lang w:bidi="ar-SA"/>
          <w:color w:val="111111"/>
          <w:sz w:val="28"/>
          <w:szCs w:val="28"/>
          <w:rtl/>
        </w:rPr>
        <w:t xml:space="preserve">و قال العلاّمة الحلّی (المتوفّی 726 ه):</w:t>
      </w:r>
    </w:p>
    <w:p>
      <w:pPr>
        <w:pStyle w:val="BookText"/>
      </w:pPr>
      <w:r>
        <w:rPr>
          <w:rFonts w:ascii="IRNazanin" w:hAnsi="IRNazanin" w:eastAsia="IRNazanin" w:cs="IRNazanin"/>
          <w:lang w:bidi="fa-IR"/>
          <w:color w:val="111111"/>
          <w:sz w:val="28"/>
          <w:szCs w:val="28"/>
          <w:rtl/>
        </w:rPr>
        <w:t xml:space="preserve">الحقّ أنّه لا تبدیل و لا تأخیر و لا تقدیم، و أنّه لم یزد و لم ینقص، و نعوذ باللّه من أن یعتقد مثل ذلک، فإنّه یوجب تطرق الشک إلی معجزة الرسول المنقولة بالتواتر. </w:t>
      </w:r>
      <w:r>
        <w:rPr>
          <w:rStyle w:val="FootnoteReference"/>
        </w:rPr>
        <w:footnoteReference w:id="4935"/>
      </w:r>
    </w:p>
    <w:p>
      <w:pPr>
        <w:pStyle w:val="BookText"/>
      </w:pPr>
      <w:r>
        <w:rPr>
          <w:rFonts w:ascii="IRNazanin" w:hAnsi="IRNazanin" w:eastAsia="IRNazanin" w:cs="IRNazanin"/>
          <w:lang w:bidi="fa-IR"/>
          <w:color w:val="111111"/>
          <w:sz w:val="28"/>
          <w:szCs w:val="28"/>
          <w:rtl/>
        </w:rPr>
        <w:t xml:space="preserve">هؤلاء ثُلّة من أعلام الشیعة فی القرون السابقة من رابعها إلی ثامنها، و یکفی ذلک فی إثبات أنّ نسبة التحریف إلی الشیعة ظلم و عدوان، و أمّا المتأخّرون فحدِّث عنه و لا حرج، و نکتفی منهم بنقل کلمة للأُستاذ الأکبر الإمام الخمینی قدس سره فی هذا المجال، حیث قال:</w:t>
      </w:r>
    </w:p>
    <w:p>
      <w:pPr>
        <w:pStyle w:val="BookText"/>
      </w:pPr>
      <w:r>
        <w:rPr>
          <w:rFonts w:ascii="IRNazanin" w:hAnsi="IRNazanin" w:eastAsia="IRNazanin" w:cs="IRNazanin"/>
          <w:lang w:bidi="fa-IR"/>
          <w:color w:val="111111"/>
          <w:sz w:val="28"/>
          <w:szCs w:val="28"/>
          <w:rtl/>
        </w:rPr>
        <w:t xml:space="preserve">[شماره صفحه واقعی : 472]
</w:t>
      </w:r>
    </w:p>
    <w:p>
      <w:pPr>
        <w:sectPr>
          <w:footerReference w:type="default" r:id="rId16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الواقف علی عنایة المسلمین بجمع الکتاب و حفظه و ضبطه، قراءة و کتابة، یقف علی بطلان تلک المزعمة (التحریف) و أنّه لا ینبغی أن یرکن إلیها ذو مسکة، و ما ورد فیه من الأخبار بین ضعیف لا یستدلّ به ، إلی مجعول تلوح منه أمارات الجعل، إلی غریب یقضی منه العجب، إلی صحیح یدلّ علی أنّ مضمونه، تأویل الکتاب و تفسیره. </w:t>
      </w:r>
      <w:r>
        <w:rPr>
          <w:rStyle w:val="FootnoteReference"/>
        </w:rPr>
        <w:footnoteReference w:id="4936"/>
      </w:r>
    </w:p>
    <w:p>
      <w:pPr>
        <w:pStyle w:val="BookText"/>
      </w:pPr>
      <w:r>
        <w:rPr>
          <w:rFonts w:ascii="IRNazanin" w:hAnsi="IRNazanin" w:eastAsia="IRNazanin" w:cs="IRNazanin"/>
          <w:lang w:bidi="fa-IR"/>
          <w:color w:val="111111"/>
          <w:sz w:val="28"/>
          <w:szCs w:val="28"/>
          <w:rtl/>
        </w:rPr>
        <w:t xml:space="preserve">أجل، الغفلة عن ذلک و عدم التفرقة بین تأویل القرآن و تنزیله دعا بعضهم إلی القول بالتحریف، قال المفید (المتوفّی 413 ه):</w:t>
      </w:r>
    </w:p>
    <w:p>
      <w:pPr>
        <w:pStyle w:val="BookText"/>
      </w:pPr>
      <w:r>
        <w:rPr>
          <w:rFonts w:ascii="IRNazanin" w:hAnsi="IRNazanin" w:eastAsia="IRNazanin" w:cs="IRNazanin"/>
          <w:lang w:bidi="fa-IR"/>
          <w:color w:val="111111"/>
          <w:sz w:val="28"/>
          <w:szCs w:val="28"/>
          <w:rtl/>
        </w:rPr>
        <w:t xml:space="preserve">قد قال جماعة من أهل الإمامة إنّه لم ینقص من کلمة و لا من آیة و لا من سورة، و لکن حذف ما کان مثبتاً فی مصحف أمیر المؤمنین علیه السلام من تأویله و تفسیر معانیه علی حقیقة تنزیله، و ذلک کان ثابتاً منزلاً و إن لم یکن من جملة کلام اللّه تعالی الّذی هو القرآن المعجز و قد یسمّی تأویل القرآن قرآناً -إلی أن قال: -</w:t>
      </w:r>
    </w:p>
    <w:p>
      <w:pPr>
        <w:pStyle w:val="BookText"/>
      </w:pPr>
      <w:r>
        <w:rPr>
          <w:rFonts w:ascii="IRNazanin" w:hAnsi="IRNazanin" w:eastAsia="IRNazanin" w:cs="IRNazanin"/>
          <w:lang w:bidi="fa-IR"/>
          <w:color w:val="111111"/>
          <w:sz w:val="28"/>
          <w:szCs w:val="28"/>
          <w:rtl/>
        </w:rPr>
        <w:t xml:space="preserve">و عندی أنّ هذا القول أشبه من مقال من ادّعی نقصان کلم من نفس القرآن علی الحقیقة دون التأویل، و إلیه أمیل و اللّه أسأل توفیقه للصواب. </w:t>
      </w:r>
      <w:r>
        <w:rPr>
          <w:rStyle w:val="FootnoteReference"/>
        </w:rPr>
        <w:footnoteReference w:id="4937"/>
      </w:r>
    </w:p>
    <w:p>
      <w:pPr>
        <w:pStyle w:val="BookText"/>
      </w:pPr>
      <w:r>
        <w:rPr>
          <w:rFonts w:ascii="IRNazanin" w:hAnsi="IRNazanin" w:eastAsia="IRNazanin" w:cs="IRNazanin"/>
          <w:lang w:bidi="fa-IR"/>
          <w:color w:val="111111"/>
          <w:sz w:val="28"/>
          <w:szCs w:val="28"/>
          <w:rtl/>
        </w:rPr>
        <w:t xml:space="preserve">[شماره صفحه واقعی : 473]
</w:t>
      </w:r>
    </w:p>
    <w:p>
      <w:pPr>
        <w:sectPr>
          <w:footerReference w:type="default" r:id="rId16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روایات النقیصة فی کتب أهل السنّة</w:t>
      </w:r>
    </w:p>
    <w:p>
      <w:pPr>
        <w:pStyle w:val="BookText"/>
      </w:pPr>
      <w:r>
        <w:rPr>
          <w:rFonts w:ascii="IRNazanin" w:hAnsi="IRNazanin" w:eastAsia="IRNazanin" w:cs="IRNazanin"/>
          <w:lang w:bidi="fa-IR"/>
          <w:color w:val="111111"/>
          <w:sz w:val="28"/>
          <w:szCs w:val="28"/>
          <w:rtl/>
        </w:rPr>
        <w:t xml:space="preserve">ثمّ إنّ روایات النقیصة لا تختصّ بأحادیث الشیعة -و قد عرفت الرأی الصحیح فیها -بل هناک مجموعة من الروایات فی کتب التفسیر و الحدیث عند أهل السنّة تدلّ علی نقصان طائفة من الآیات و السّور، و هذا القرطبی یقول فی تفسیر سورة الأحزاب:</w:t>
      </w:r>
    </w:p>
    <w:p>
      <w:pPr>
        <w:pStyle w:val="BookText"/>
      </w:pPr>
      <w:r>
        <w:rPr>
          <w:rFonts w:ascii="IRNazanin" w:hAnsi="IRNazanin" w:eastAsia="IRNazanin" w:cs="IRNazanin"/>
          <w:lang w:bidi="fa-IR"/>
          <w:color w:val="111111"/>
          <w:sz w:val="28"/>
          <w:szCs w:val="28"/>
          <w:rtl/>
        </w:rPr>
        <w:t xml:space="preserve">أخرج أبو عبید فی الفضائل و ابن مردویه، و ابن الأنباری عن عائشة قالت: کانت سورة الأحزاب تقرأ فی زمان النبیّ مائتی آیة، فلمّا کتب عثمان المصاحف لم یقدر منها إلّا علی ما هو الآن. </w:t>
      </w:r>
      <w:r>
        <w:rPr>
          <w:rStyle w:val="FootnoteReference"/>
        </w:rPr>
        <w:footnoteReference w:id="4938"/>
      </w:r>
    </w:p>
    <w:p>
      <w:pPr>
        <w:pStyle w:val="BookText"/>
      </w:pPr>
      <w:r>
        <w:rPr>
          <w:rFonts w:ascii="IRNazanin" w:hAnsi="IRNazanin" w:eastAsia="IRNazanin" w:cs="IRNazanin"/>
          <w:lang w:bidi="fa-IR"/>
          <w:color w:val="111111"/>
          <w:sz w:val="28"/>
          <w:szCs w:val="28"/>
          <w:rtl/>
        </w:rPr>
        <w:t xml:space="preserve">و هذا هو البخاری یروی عن عمر قوله: «لو لا أن یقول الناس إنّ عمر زاد فی کتاب اللّه، لکتبت آیة الرجم بیدی» </w:t>
      </w:r>
      <w:r>
        <w:rPr>
          <w:rStyle w:val="FootnoteReference"/>
        </w:rPr>
        <w:footnoteReference w:id="4939"/>
      </w:r>
      <w:r>
        <w:rPr>
          <w:rFonts w:ascii="IRNazanin" w:hAnsi="IRNazanin" w:eastAsia="IRNazanin" w:cs="IRNazanin"/>
          <w:lang w:bidi="fa-IR"/>
          <w:color w:val="111111"/>
          <w:sz w:val="28"/>
          <w:szCs w:val="28"/>
          <w:rtl/>
        </w:rPr>
        <w:t xml:space="preserve">إلی غیر ذلک من الروایات الّتی نقل قسما منها السیوطی فی الإتقان. </w:t>
      </w:r>
      <w:r>
        <w:rPr>
          <w:rStyle w:val="FootnoteReference"/>
        </w:rPr>
        <w:footnoteReference w:id="4940"/>
      </w:r>
    </w:p>
    <w:p>
      <w:pPr>
        <w:pStyle w:val="BookText"/>
      </w:pPr>
      <w:r>
        <w:rPr>
          <w:rFonts w:ascii="IRNazanin" w:hAnsi="IRNazanin" w:eastAsia="IRNazanin" w:cs="IRNazanin"/>
          <w:lang w:bidi="fa-IR"/>
          <w:color w:val="111111"/>
          <w:sz w:val="28"/>
          <w:szCs w:val="28"/>
          <w:rtl/>
        </w:rPr>
        <w:t xml:space="preserve">و مع ذلک فنحن نُجِلُّ علماء السنّة و محقّقیهم عن نسبة التحریف إلیهم، و لا یصح الاستدلال بالروایة علی العقیدة، و نقول مثل هذا فی حق الشیعة، و قد عرفت أنّ الشیخ المفید یحمل هذه الروایات علی أنّها تفسیر للقرآن، و للسید محمّد رشید رضا أیضاً کلام فی توجیه ما ورد حول نسخ</w:t>
      </w:r>
    </w:p>
    <w:p>
      <w:pPr>
        <w:pStyle w:val="BookText"/>
      </w:pPr>
      <w:r>
        <w:rPr>
          <w:rFonts w:ascii="IRNazanin" w:hAnsi="IRNazanin" w:eastAsia="IRNazanin" w:cs="IRNazanin"/>
          <w:lang w:bidi="fa-IR"/>
          <w:color w:val="111111"/>
          <w:sz w:val="28"/>
          <w:szCs w:val="28"/>
          <w:rtl/>
        </w:rPr>
        <w:t xml:space="preserve">[شماره صفحه واقعی : 474]
</w:t>
      </w:r>
    </w:p>
    <w:p>
      <w:pPr>
        <w:sectPr>
          <w:footerReference w:type="default" r:id="rId16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التلاوة فی روایات أهل السنّة نأتی بنصِّه، قال:</w:t>
      </w:r>
    </w:p>
    <w:p>
      <w:pPr>
        <w:pStyle w:val="BookText"/>
      </w:pPr>
      <w:r>
        <w:rPr>
          <w:rFonts w:ascii="Amiri" w:hAnsi="Amiri" w:eastAsia="Amiri" w:cs="Amiri"/>
          <w:lang w:bidi="ar-SA"/>
          <w:color w:val="111111"/>
          <w:sz w:val="28"/>
          <w:szCs w:val="28"/>
          <w:rtl/>
        </w:rPr>
        <w:t xml:space="preserve">لیس کلّ وحی قرآناً، فإنّ للقرآن أحکاماً و مزایا مخصوصة و قد ورد فی السنّة کثیر من الأحکام مسندة إلی الوحی و لم یکن النبیّ صلی الله علیه و آله و لا أصحابه یعدّونها قرآناً، بل جمیع ما قاله علیه السلام علی أنّه دین فهو وحی عند الجمهور، و استدلّوا علیه بقوله: «وَ مٰا یَنْطِقُ عَنِ الْهَویٰ * إِنْ هُوَ إِلاّٰ وَحْیٌ یُوحیٰ» و أظهره الأحادیث القدسیة.</w:t>
      </w:r>
    </w:p>
    <w:p>
      <w:pPr>
        <w:pStyle w:val="BookText"/>
      </w:pPr>
      <w:r>
        <w:rPr>
          <w:rFonts w:ascii="IRNazanin" w:hAnsi="IRNazanin" w:eastAsia="IRNazanin" w:cs="IRNazanin"/>
          <w:lang w:bidi="fa-IR"/>
          <w:color w:val="111111"/>
          <w:sz w:val="28"/>
          <w:szCs w:val="28"/>
          <w:rtl/>
        </w:rPr>
        <w:t xml:space="preserve">و من لم یفقه هذه التفرقة من العلماء وقعت لهم أوهام فی بعض الأحادیث روایة و درایة و زعموا أنّها کانت قرآناً و نسخت». </w:t>
      </w:r>
      <w:r>
        <w:rPr>
          <w:rStyle w:val="FootnoteReference"/>
        </w:rPr>
        <w:footnoteReference w:id="4941"/>
      </w:r>
    </w:p>
    <w:p>
      <w:pPr>
        <w:pStyle w:val="BookText"/>
      </w:pPr>
      <w:r>
        <w:rPr>
          <w:rFonts w:ascii="IRNazanin" w:hAnsi="IRNazanin" w:eastAsia="IRNazanin" w:cs="IRNazanin"/>
          <w:lang w:bidi="fa-IR"/>
          <w:color w:val="111111"/>
          <w:sz w:val="28"/>
          <w:szCs w:val="28"/>
          <w:rtl/>
        </w:rPr>
        <w:t xml:space="preserve">ب) موقف الشیعة من عدالة الصحابة</w:t>
      </w:r>
    </w:p>
    <w:p>
      <w:pPr>
        <w:pStyle w:val="BookText"/>
      </w:pPr>
      <w:r>
        <w:rPr>
          <w:rFonts w:ascii="IRNazanin" w:hAnsi="IRNazanin" w:eastAsia="IRNazanin" w:cs="IRNazanin"/>
          <w:lang w:bidi="fa-IR"/>
          <w:color w:val="111111"/>
          <w:sz w:val="28"/>
          <w:szCs w:val="28"/>
          <w:rtl/>
        </w:rPr>
        <w:t xml:space="preserve">عدالة الصحابة کلّهم و نزاهتهم من کلّ سوء هی أحد الأُصول الّتی یتدیّن بها أهل السنّة، قال ابن حجر:</w:t>
      </w:r>
    </w:p>
    <w:p>
      <w:pPr>
        <w:pStyle w:val="BookText"/>
      </w:pPr>
      <w:r>
        <w:rPr>
          <w:rFonts w:ascii="IRNazanin" w:hAnsi="IRNazanin" w:eastAsia="IRNazanin" w:cs="IRNazanin"/>
          <w:lang w:bidi="fa-IR"/>
          <w:color w:val="111111"/>
          <w:sz w:val="28"/>
          <w:szCs w:val="28"/>
          <w:rtl/>
        </w:rPr>
        <w:t xml:space="preserve">«اتّفق أهل السنّة علی أن الجمیع عدول و لم یخالف فی ذلک إلّا شذوذ من المبتدعة». </w:t>
      </w:r>
      <w:r>
        <w:rPr>
          <w:rStyle w:val="FootnoteReference"/>
        </w:rPr>
        <w:footnoteReference w:id="4942"/>
      </w:r>
    </w:p>
    <w:p>
      <w:pPr>
        <w:pStyle w:val="BookText"/>
      </w:pPr>
      <w:r>
        <w:rPr>
          <w:rFonts w:ascii="IRNazanin" w:hAnsi="IRNazanin" w:eastAsia="IRNazanin" w:cs="IRNazanin"/>
          <w:lang w:bidi="fa-IR"/>
          <w:color w:val="111111"/>
          <w:sz w:val="28"/>
          <w:szCs w:val="28"/>
          <w:rtl/>
        </w:rPr>
        <w:t xml:space="preserve">و قال الإیجی:</w:t>
      </w:r>
    </w:p>
    <w:p>
      <w:pPr>
        <w:pStyle w:val="BookText"/>
      </w:pPr>
      <w:r>
        <w:rPr>
          <w:rFonts w:ascii="IRNazanin" w:hAnsi="IRNazanin" w:eastAsia="IRNazanin" w:cs="IRNazanin"/>
          <w:lang w:bidi="fa-IR"/>
          <w:color w:val="111111"/>
          <w:sz w:val="28"/>
          <w:szCs w:val="28"/>
          <w:rtl/>
        </w:rPr>
        <w:t xml:space="preserve">یجب تعظیم الصحابة کلّهم، و الکف عن القدح فیهم، لأنّ اللّه</w:t>
      </w:r>
    </w:p>
    <w:p>
      <w:pPr>
        <w:pStyle w:val="BookText"/>
      </w:pPr>
      <w:r>
        <w:rPr>
          <w:rFonts w:ascii="IRNazanin" w:hAnsi="IRNazanin" w:eastAsia="IRNazanin" w:cs="IRNazanin"/>
          <w:lang w:bidi="fa-IR"/>
          <w:color w:val="111111"/>
          <w:sz w:val="28"/>
          <w:szCs w:val="28"/>
          <w:rtl/>
        </w:rPr>
        <w:t xml:space="preserve">[شماره صفحه واقعی : 475]
</w:t>
      </w:r>
    </w:p>
    <w:p>
      <w:pPr>
        <w:sectPr>
          <w:footerReference w:type="default" r:id="rId1622"/>
          <w:footnotePr>
            <w:numStart w:val="1"/>
            <w:numRestart w:val="eachPage"/>
          </w:footnotePr>
          <w:pgSz w:orient="portrait" w:w="11905.511811023622" w:h="16837.79527559055"/>
          <w:pgMar w:top="1440" w:right="1440" w:bottom="1440" w:left="1440" w:header="720" w:footer="720" w:gutter="0"/>
          <w:cols w:num="1" w:space="720"/>
        </w:sectPr>
      </w:pPr>
    </w:p>
    <w:bookmarkStart w:id="879" w:name="pg14411_144004"/>
    <w:bookmarkEnd w:id="879"/>
    <w:p>
      <w:pPr>
        <w:pStyle w:val="BookText"/>
      </w:pPr>
      <w:r>
        <w:rPr>
          <w:rFonts w:ascii="IRNazanin" w:hAnsi="IRNazanin" w:eastAsia="IRNazanin" w:cs="IRNazanin"/>
          <w:lang w:bidi="fa-IR"/>
          <w:color w:val="111111"/>
          <w:sz w:val="28"/>
          <w:szCs w:val="28"/>
          <w:rtl/>
        </w:rPr>
        <w:t xml:space="preserve">عظّمهم و أثنی علیهم فی غیر موضع من کتابه و الرسول قد أحبّهم و أثنی علیهم فی أحادیث کثیرة. </w:t>
      </w:r>
      <w:r>
        <w:rPr>
          <w:rStyle w:val="FootnoteReference"/>
        </w:rPr>
        <w:footnoteReference w:id="4943"/>
      </w:r>
    </w:p>
    <w:p>
      <w:pPr>
        <w:pStyle w:val="BookText"/>
      </w:pPr>
      <w:r>
        <w:rPr>
          <w:rFonts w:ascii="IRNazanin" w:hAnsi="IRNazanin" w:eastAsia="IRNazanin" w:cs="IRNazanin"/>
          <w:lang w:bidi="fa-IR"/>
          <w:color w:val="111111"/>
          <w:sz w:val="28"/>
          <w:szCs w:val="28"/>
          <w:rtl/>
        </w:rPr>
        <w:t xml:space="preserve">و قال التفتازانی:</w:t>
      </w:r>
    </w:p>
    <w:p>
      <w:pPr>
        <w:pStyle w:val="BookText"/>
      </w:pPr>
      <w:r>
        <w:rPr>
          <w:rFonts w:ascii="IRNazanin" w:hAnsi="IRNazanin" w:eastAsia="IRNazanin" w:cs="IRNazanin"/>
          <w:lang w:bidi="fa-IR"/>
          <w:color w:val="111111"/>
          <w:sz w:val="28"/>
          <w:szCs w:val="28"/>
          <w:rtl/>
        </w:rPr>
        <w:t xml:space="preserve">اتّفق أهل الحقّ علی وجوب تعظیم الصحابة و الکفّ عن الطعن فیهم، سیّما المهاجرین و الأنصار، لما ورد فی الکتاب و السنّة من الثناء علیهم. </w:t>
      </w:r>
      <w:r>
        <w:rPr>
          <w:rStyle w:val="FootnoteReference"/>
        </w:rPr>
        <w:footnoteReference w:id="4944"/>
      </w:r>
    </w:p>
    <w:p>
      <w:pPr>
        <w:pStyle w:val="BookText"/>
      </w:pPr>
      <w:r>
        <w:rPr>
          <w:rFonts w:ascii="IRNazanin" w:hAnsi="IRNazanin" w:eastAsia="IRNazanin" w:cs="IRNazanin"/>
          <w:lang w:bidi="fa-IR"/>
          <w:color w:val="111111"/>
          <w:sz w:val="28"/>
          <w:szCs w:val="28"/>
          <w:rtl/>
        </w:rPr>
        <w:t xml:space="preserve">غیر أنّ الشیعة الإمامیة عن بکرة أبیهم علی أنّ الصحابة کسائر الرواة فیهم العدول و غیر العدول، و إنّ کون الرجل صحابیّاً لا یکفی فی الحکم بالعدالة، بل یجب تتّبع أحواله حتی یقف علی وثاقته، و ذلک لأنّ القول بعدالة جمیع الصحابة و نزاهتهم من کلّ شیء ممّا لا یلائم القرآن و السنّة و یکذبه التاریخ، و إلیک البیان:</w:t>
      </w:r>
    </w:p>
    <w:p>
      <w:pPr>
        <w:pStyle w:val="Heading5"/>
      </w:pPr>
      <w:bookmarkStart w:id="2698" w:name="_Toc1733"/>
      <w:r>
        <w:t>[3] الصحابة فی الذکر الحکیم</w:t>
      </w:r>
      <w:bookmarkEnd w:id="2698"/>
    </w:p>
    <w:p>
      <w:pPr>
        <w:pStyle w:val="BookText"/>
      </w:pPr>
      <w:r>
        <w:rPr>
          <w:rFonts w:ascii="IRNazanin" w:hAnsi="IRNazanin" w:eastAsia="IRNazanin" w:cs="IRNazanin"/>
          <w:lang w:bidi="fa-IR"/>
          <w:color w:val="111111"/>
          <w:sz w:val="28"/>
          <w:szCs w:val="28"/>
          <w:rtl/>
        </w:rPr>
        <w:t xml:space="preserve">إنّ الذکر الحکیم یصنِّف الصحابة إلی أصناف یمدح بعضها و یذمّ بعضاً آخر، فالممدوحون هم السّابقون الأوّلون </w:t>
      </w:r>
      <w:r>
        <w:rPr>
          <w:rStyle w:val="FootnoteReference"/>
        </w:rPr>
        <w:footnoteReference w:id="4945"/>
      </w:r>
      <w:r>
        <w:rPr>
          <w:rFonts w:ascii="IRNazanin" w:hAnsi="IRNazanin" w:eastAsia="IRNazanin" w:cs="IRNazanin"/>
          <w:lang w:bidi="fa-IR"/>
          <w:color w:val="111111"/>
          <w:sz w:val="28"/>
          <w:szCs w:val="28"/>
          <w:rtl/>
        </w:rPr>
        <w:t xml:space="preserve">و المبایعون تحت الشجرة </w:t>
      </w:r>
      <w:r>
        <w:rPr>
          <w:rStyle w:val="FootnoteReference"/>
        </w:rPr>
        <w:footnoteReference w:id="4946"/>
      </w:r>
      <w:r>
        <w:rPr>
          <w:rFonts w:ascii="IRNazanin" w:hAnsi="IRNazanin" w:eastAsia="IRNazanin" w:cs="IRNazanin"/>
          <w:lang w:bidi="fa-IR"/>
          <w:color w:val="111111"/>
          <w:sz w:val="28"/>
          <w:szCs w:val="28"/>
          <w:rtl/>
        </w:rPr>
        <w:t xml:space="preserve">و المهاجرون و الأنصار </w:t>
      </w:r>
      <w:r>
        <w:rPr>
          <w:rStyle w:val="FootnoteReference"/>
        </w:rPr>
        <w:footnoteReference w:id="4947"/>
      </w:r>
      <w:r>
        <w:rPr>
          <w:rFonts w:ascii="IRNazanin" w:hAnsi="IRNazanin" w:eastAsia="IRNazanin" w:cs="IRNazanin"/>
          <w:lang w:bidi="fa-IR"/>
          <w:color w:val="111111"/>
          <w:sz w:val="28"/>
          <w:szCs w:val="28"/>
          <w:rtl/>
        </w:rPr>
        <w:t xml:space="preserve">و أمّا المذمومون فهم أصناف نشیر إلی بعضها:</w:t>
      </w:r>
    </w:p>
    <w:p>
      <w:pPr>
        <w:pStyle w:val="BookText"/>
      </w:pPr>
      <w:r>
        <w:rPr>
          <w:rFonts w:ascii="IRNazanin" w:hAnsi="IRNazanin" w:eastAsia="IRNazanin" w:cs="IRNazanin"/>
          <w:lang w:bidi="fa-IR"/>
          <w:color w:val="111111"/>
          <w:sz w:val="28"/>
          <w:szCs w:val="28"/>
          <w:rtl/>
        </w:rPr>
        <w:t xml:space="preserve">[شماره صفحه واقعی : 476]
</w:t>
      </w:r>
    </w:p>
    <w:p>
      <w:pPr>
        <w:sectPr>
          <w:footerReference w:type="default" r:id="rId16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المنافقون: لقد أعطی القرآن الکریم عنایة خاصّة بعصبة المنافقین، و أعرب عن نوایاهم و ندَّد بهم فی السور التالیة: البقرة، آل عمران، المائدة، التوبة، العنکبوت، الأحزاب، محمّد، الفتح، الحدید، المجادلة، الحشر و المنافقین، و هذا یدلّ علی أنّهم کانوا جماعة هائلة فی المجتمع الإسلامی.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المرتابون و السمّاعون: یحکی سبحانه عن طائفة من أصحاب النبیّ أنّهم کانوا یستأذنونه فی ترک الخروج إلی الجهاد، و یصفهم بأنّ فی قلوبهم ارتیاب، و أنّ خروجهم إلی الجهاد لا یزید المسلمین إلّا خبالاً، و إنّهم یقومون بالسماع للکفّار. </w:t>
      </w:r>
      <w:r>
        <w:rPr>
          <w:rStyle w:val="FootnoteReference"/>
        </w:rPr>
        <w:footnoteReference w:id="4948"/>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الظانون باللّه غیر الحقّ: یحکی سبحانه عن طائفة من أصحاب النبیّ أنّهم کانوا یظنون باللّه غیر الحقّ ظنّ الجاهلیّة، إذ یشکّون فی کون المسلمین علی صراط الحق و یقولون: «لَوْ کٰانَ لَنٰا مِنَ الْأَمْرِ شَیْءٌ مٰا قُتِلْنٰا هٰاهُنٰا» </w:t>
      </w:r>
      <w:r>
        <w:rPr>
          <w:rStyle w:val="FootnoteReference"/>
        </w:rPr>
        <w:footnoteReference w:id="4949"/>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المولُّون أمام الکفّار: یستفاد من بعض الآیات و یشهد التاریخ علی أنّ جماعة من صحابة النبیّ انهزموا عن القتال مع الکفّار یوم أحد و حنین؛ قال ابن هشام فی تفسیر الآیات النازلة فی أُحُد:</w:t>
      </w:r>
    </w:p>
    <w:p>
      <w:pPr>
        <w:pStyle w:val="BookText"/>
      </w:pPr>
      <w:r>
        <w:rPr>
          <w:rFonts w:ascii="IRNazanin" w:hAnsi="IRNazanin" w:eastAsia="IRNazanin" w:cs="IRNazanin"/>
          <w:lang w:bidi="fa-IR"/>
          <w:color w:val="111111"/>
          <w:sz w:val="28"/>
          <w:szCs w:val="28"/>
          <w:rtl/>
        </w:rPr>
        <w:t xml:space="preserve">ثمّ أنّبهم علی الفرار عن نبیّهم و هم یدعون، لا یعطفون علیه لدعائه إیاهم، فقال:</w:t>
      </w:r>
    </w:p>
    <w:p>
      <w:pPr>
        <w:pStyle w:val="BookText"/>
      </w:pPr>
      <w:r>
        <w:rPr>
          <w:rFonts w:ascii="IRNazanin" w:hAnsi="IRNazanin" w:eastAsia="IRNazanin" w:cs="IRNazanin"/>
          <w:lang w:bidi="fa-IR"/>
          <w:color w:val="111111"/>
          <w:sz w:val="28"/>
          <w:szCs w:val="28"/>
          <w:rtl/>
        </w:rPr>
        <w:t xml:space="preserve">[شماره صفحه واقعی : 477]
</w:t>
      </w:r>
    </w:p>
    <w:p>
      <w:pPr>
        <w:sectPr>
          <w:footerReference w:type="default" r:id="rId16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 تُصْعِدُونَ وَ لاٰ تَلْوُونَ عَلیٰ أَحَدٍ وَ الرَّسُولُ یَدْعُوکُمْ فِی أُخْرٰاکُمْ» </w:t>
      </w:r>
      <w:r>
        <w:rPr>
          <w:rStyle w:val="FootnoteReference"/>
        </w:rPr>
        <w:footnoteReference w:id="49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فی انهزام الناس یوم حنین:</w:t>
      </w:r>
    </w:p>
    <w:p>
      <w:pPr>
        <w:pStyle w:val="BookText"/>
      </w:pPr>
      <w:r>
        <w:rPr>
          <w:rFonts w:ascii="IRNazanin" w:hAnsi="IRNazanin" w:eastAsia="IRNazanin" w:cs="IRNazanin"/>
          <w:lang w:bidi="fa-IR"/>
          <w:color w:val="111111"/>
          <w:sz w:val="28"/>
          <w:szCs w:val="28"/>
          <w:rtl/>
        </w:rPr>
        <w:t xml:space="preserve">فلمّا انهزم الناس و رأی من کان مع رسول اللّه صلی الله علیه و آله من جفاة أهل مکّة، الهزیمة تکلّم رجال منهم بما فی أنفسهم من الضغن، فقال أبو سفیان بن حرب لا تنتهی هزیمتهم دون البحر، و صرخ جبلة بن حنبل: ألا بطل السحر الیوم. </w:t>
      </w:r>
      <w:r>
        <w:rPr>
          <w:rStyle w:val="FootnoteReference"/>
        </w:rPr>
        <w:footnoteReference w:id="4951"/>
      </w:r>
    </w:p>
    <w:p>
      <w:pPr>
        <w:pStyle w:val="BookText"/>
      </w:pPr>
      <w:r>
        <w:rPr>
          <w:rFonts w:ascii="IRNazanin" w:hAnsi="IRNazanin" w:eastAsia="IRNazanin" w:cs="IRNazanin"/>
          <w:lang w:bidi="fa-IR"/>
          <w:color w:val="111111"/>
          <w:sz w:val="28"/>
          <w:szCs w:val="28"/>
          <w:rtl/>
        </w:rPr>
        <w:t xml:space="preserve">هذه صنوف من الصحابة ندَّد بهم القرآن الکریم و عیَّرهم بذمائم أفعالهم و قبائح أوصافهم، أ فبعد هذا یصحّ أن یعدّ جمیع الصحابة عدولاً أتقیاء، و یرمی من یقدح فی هؤلاء بالزندقة و البدعة؟ مع أنّ اللّه سبحانه وصف طائفة منهم (و هم السمّاعون) بالظلم.</w:t>
      </w:r>
    </w:p>
    <w:p>
      <w:pPr>
        <w:pStyle w:val="BookText"/>
      </w:pPr>
      <w:r>
        <w:rPr>
          <w:rFonts w:ascii="IRNazanin" w:hAnsi="IRNazanin" w:eastAsia="IRNazanin" w:cs="IRNazanin"/>
          <w:lang w:bidi="fa-IR"/>
          <w:color w:val="111111"/>
          <w:sz w:val="28"/>
          <w:szCs w:val="28"/>
          <w:rtl/>
        </w:rPr>
        <w:t xml:space="preserve">الصحابة فی السنّة النبویة</w:t>
      </w:r>
    </w:p>
    <w:p>
      <w:pPr>
        <w:pStyle w:val="BookText"/>
      </w:pPr>
      <w:r>
        <w:rPr>
          <w:rFonts w:ascii="IRNazanin" w:hAnsi="IRNazanin" w:eastAsia="IRNazanin" w:cs="IRNazanin"/>
          <w:lang w:bidi="fa-IR"/>
          <w:color w:val="111111"/>
          <w:sz w:val="28"/>
          <w:szCs w:val="28"/>
          <w:rtl/>
        </w:rPr>
        <w:t xml:space="preserve">روی أبو حازم عن سهل بن سعد قال، قال النبیّ صلی الله علیه و آله : «إنّی فرطکم علی الحوض من ورد شرب، و من شرب لم یظمأ أبداً، و لیردنَّ علیَّ أقوام أعرفهم و یعرفونی، ثمّ یحال بینی و بینهم...» قال أبو حازم: فسمع النعمان بن أبی عیاش، و أنا أُحدّثهم بهذا الحدیث فقال: هکذا سمعت سهلاً یقول؟ فقلت: نعم، قال: و أنا أشهد علی أبی سعید الخدری لسمعته یزید فیقول: إنّهم منّی، فقال:</w:t>
      </w:r>
    </w:p>
    <w:p>
      <w:pPr>
        <w:pStyle w:val="BookText"/>
      </w:pPr>
      <w:r>
        <w:rPr>
          <w:rFonts w:ascii="IRNazanin" w:hAnsi="IRNazanin" w:eastAsia="IRNazanin" w:cs="IRNazanin"/>
          <w:lang w:bidi="fa-IR"/>
          <w:color w:val="111111"/>
          <w:sz w:val="28"/>
          <w:szCs w:val="28"/>
          <w:rtl/>
        </w:rPr>
        <w:t xml:space="preserve">[شماره صفحه واقعی : 478]
</w:t>
      </w:r>
    </w:p>
    <w:p>
      <w:pPr>
        <w:sectPr>
          <w:footerReference w:type="default" r:id="rId1625"/>
          <w:footnotePr>
            <w:numStart w:val="1"/>
            <w:numRestart w:val="eachPage"/>
          </w:footnotePr>
          <w:pgSz w:orient="portrait" w:w="11905.511811023622" w:h="16837.79527559055"/>
          <w:pgMar w:top="1440" w:right="1440" w:bottom="1440" w:left="1440" w:header="720" w:footer="720" w:gutter="0"/>
          <w:cols w:num="1" w:space="720"/>
        </w:sectPr>
      </w:pPr>
    </w:p>
    <w:bookmarkStart w:id="880" w:name="pg14411_144007"/>
    <w:bookmarkEnd w:id="880"/>
    <w:p>
      <w:pPr>
        <w:pStyle w:val="BookText"/>
      </w:pPr>
      <w:r>
        <w:rPr>
          <w:rFonts w:ascii="IRNazanin" w:hAnsi="IRNazanin" w:eastAsia="IRNazanin" w:cs="IRNazanin"/>
          <w:lang w:bidi="fa-IR"/>
          <w:color w:val="111111"/>
          <w:sz w:val="28"/>
          <w:szCs w:val="28"/>
          <w:rtl/>
        </w:rPr>
        <w:t xml:space="preserve">إنّک لا تدری ما أحدثوا بعدک، فأقول: سحقاً سحقاً لمن بدّل بعدی، أخرجه البخاری و مسلم». </w:t>
      </w:r>
      <w:r>
        <w:rPr>
          <w:rStyle w:val="FootnoteReference"/>
        </w:rPr>
        <w:footnoteReference w:id="4952"/>
      </w:r>
    </w:p>
    <w:p>
      <w:pPr>
        <w:pStyle w:val="BookText"/>
      </w:pPr>
      <w:r>
        <w:rPr>
          <w:rFonts w:ascii="IRNazanin" w:hAnsi="IRNazanin" w:eastAsia="IRNazanin" w:cs="IRNazanin"/>
          <w:lang w:bidi="fa-IR"/>
          <w:color w:val="111111"/>
          <w:sz w:val="28"/>
          <w:szCs w:val="28"/>
          <w:rtl/>
        </w:rPr>
        <w:t xml:space="preserve">و روی البخاری و مسلم أنّ رسول اللّه صلی الله علیه و آله قال:</w:t>
      </w:r>
    </w:p>
    <w:p>
      <w:pPr>
        <w:pStyle w:val="BookText"/>
      </w:pPr>
      <w:r>
        <w:rPr>
          <w:rFonts w:ascii="IRNazanin" w:hAnsi="IRNazanin" w:eastAsia="IRNazanin" w:cs="IRNazanin"/>
          <w:lang w:bidi="fa-IR"/>
          <w:color w:val="111111"/>
          <w:sz w:val="28"/>
          <w:szCs w:val="28"/>
          <w:rtl/>
        </w:rPr>
        <w:t xml:space="preserve">یرد علیَّ یوم القیامة رهط من أصحابی (أو قال من أمّتی) فیحلئون عن الحوض، فأقول یا ربّ أصحابی، فیقول:</w:t>
      </w:r>
    </w:p>
    <w:p>
      <w:pPr>
        <w:pStyle w:val="BookText"/>
      </w:pPr>
      <w:r>
        <w:rPr>
          <w:rFonts w:ascii="IRNazanin" w:hAnsi="IRNazanin" w:eastAsia="IRNazanin" w:cs="IRNazanin"/>
          <w:lang w:bidi="fa-IR"/>
          <w:color w:val="111111"/>
          <w:sz w:val="28"/>
          <w:szCs w:val="28"/>
          <w:rtl/>
        </w:rPr>
        <w:t xml:space="preserve">إنّه لا علم لک بما أحدثوا بعدک، إنّهم ارتدوا علی أدبارهم القهقری. </w:t>
      </w:r>
      <w:r>
        <w:rPr>
          <w:rStyle w:val="FootnoteReference"/>
        </w:rPr>
        <w:footnoteReference w:id="4953"/>
      </w:r>
    </w:p>
    <w:p>
      <w:pPr>
        <w:pStyle w:val="BookText"/>
      </w:pPr>
      <w:r>
        <w:rPr>
          <w:rFonts w:ascii="IRNazanin" w:hAnsi="IRNazanin" w:eastAsia="IRNazanin" w:cs="IRNazanin"/>
          <w:lang w:bidi="fa-IR"/>
          <w:color w:val="111111"/>
          <w:sz w:val="28"/>
          <w:szCs w:val="28"/>
          <w:rtl/>
        </w:rPr>
        <w:t xml:space="preserve">و قد اکتفینا من الکثیر بالقلیل، و من أراد الوقوف علی ما لم نذکره فلیراجع جامع الأُصول لابن الأثیر.</w:t>
      </w:r>
    </w:p>
    <w:p>
      <w:pPr>
        <w:pStyle w:val="Heading5"/>
      </w:pPr>
      <w:bookmarkStart w:id="2699" w:name="_Toc1734"/>
      <w:r>
        <w:t>[4] التاریخ و عدالة الصحابة</w:t>
      </w:r>
      <w:bookmarkEnd w:id="2699"/>
    </w:p>
    <w:p>
      <w:pPr>
        <w:pStyle w:val="BookText"/>
      </w:pPr>
      <w:r>
        <w:rPr>
          <w:rFonts w:ascii="Amiri" w:hAnsi="Amiri" w:eastAsia="Amiri" w:cs="Amiri"/>
          <w:lang w:bidi="ar-SA"/>
          <w:color w:val="111111"/>
          <w:sz w:val="28"/>
          <w:szCs w:val="28"/>
          <w:rtl/>
        </w:rPr>
        <w:t xml:space="preserve">کیف یمکن عدّ الصحابة جمیعاً عدولاً و التاریخ بین أیدینا، نری أنّ بعضهم کولید بن عقبة ظهر علیه الفسق فی حیاة النبیّ و بعده، أما الأوّل فمن المجمع علیه بین أهل العلم أنّ قوله تعالی: «إِنْ جٰاءَکُمْ فٰاسِقٌ بِنَبَإٍ فَتَبَیَّنُوا» </w:t>
      </w:r>
      <w:r>
        <w:rPr>
          <w:rStyle w:val="FootnoteReference"/>
        </w:rPr>
        <w:footnoteReference w:id="49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نزلت فی شأنه، کما نزل فی حقّه قوله تعالی:</w:t>
      </w:r>
    </w:p>
    <w:p>
      <w:pPr>
        <w:pStyle w:val="BookText"/>
      </w:pPr>
      <w:r>
        <w:rPr>
          <w:rFonts w:ascii="Amiri" w:hAnsi="Amiri" w:eastAsia="Amiri" w:cs="Amiri"/>
          <w:lang w:bidi="ar-SA"/>
          <w:color w:val="111111"/>
          <w:sz w:val="28"/>
          <w:szCs w:val="28"/>
          <w:rtl/>
        </w:rPr>
        <w:t xml:space="preserve">«أَ فَمَنْ کٰانَ مُؤْمِناً کَمَنْ کٰانَ فٰاسِقاً لاٰ یَسْتَوُونَ » </w:t>
      </w:r>
      <w:r>
        <w:rPr>
          <w:rStyle w:val="FootnoteReference"/>
        </w:rPr>
        <w:footnoteReference w:id="49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479]
</w:t>
      </w:r>
    </w:p>
    <w:p>
      <w:pPr>
        <w:sectPr>
          <w:footerReference w:type="default" r:id="rId16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الثانی فروی أصحاب السِّیَر و التاریخ أنّ الولید سکر و صلّی الصبح بأهل الکوفة أربعاً ثمّ التفت إلیهم و قال: هل أزیدکم.... </w:t>
      </w:r>
      <w:r>
        <w:rPr>
          <w:rStyle w:val="FootnoteReference"/>
        </w:rPr>
        <w:footnoteReference w:id="4956"/>
      </w:r>
    </w:p>
    <w:p>
      <w:pPr>
        <w:pStyle w:val="BookText"/>
      </w:pPr>
      <w:r>
        <w:rPr>
          <w:rFonts w:ascii="IRNazanin" w:hAnsi="IRNazanin" w:eastAsia="IRNazanin" w:cs="IRNazanin"/>
          <w:lang w:bidi="fa-IR"/>
          <w:color w:val="111111"/>
          <w:sz w:val="28"/>
          <w:szCs w:val="28"/>
          <w:rtl/>
        </w:rPr>
        <w:t xml:space="preserve">و هذا قدّامة بن مظعون صحابی بدری، روی أنّه شرب الخمر، و أقام علیه عمر الحدّ </w:t>
      </w:r>
      <w:r>
        <w:rPr>
          <w:rStyle w:val="FootnoteReference"/>
        </w:rPr>
        <w:footnoteReference w:id="4957"/>
      </w:r>
      <w:r>
        <w:rPr>
          <w:rFonts w:ascii="IRNazanin" w:hAnsi="IRNazanin" w:eastAsia="IRNazanin" w:cs="IRNazanin"/>
          <w:lang w:bidi="fa-IR"/>
          <w:color w:val="111111"/>
          <w:sz w:val="28"/>
          <w:szCs w:val="28"/>
          <w:rtl/>
        </w:rPr>
        <w:t xml:space="preserve">و لا درأ عنه الحدّ بحجّة أنّه بدری، و لا قال: قد نهی رسول اللّه صلی الله علیه و آله عن ذکر مساوئ الصحابة، کما أنّ المشهور </w:t>
      </w:r>
      <w:r>
        <w:rPr>
          <w:rStyle w:val="FootnoteReference"/>
        </w:rPr>
        <w:footnoteReference w:id="4958"/>
      </w:r>
      <w:r>
        <w:rPr>
          <w:rFonts w:ascii="IRNazanin" w:hAnsi="IRNazanin" w:eastAsia="IRNazanin" w:cs="IRNazanin"/>
          <w:lang w:bidi="fa-IR"/>
          <w:color w:val="111111"/>
          <w:sz w:val="28"/>
          <w:szCs w:val="28"/>
          <w:rtl/>
        </w:rPr>
        <w:t xml:space="preserve">أنّ عبد الرحمن الأصغر بن عمر بن الخطاب، قد شرب الخمر و ضربه عمر حدّاً فمات، و کان ممّن عاصر رسول اللّه صلی الله علیه و آله .</w:t>
      </w:r>
    </w:p>
    <w:p>
      <w:pPr>
        <w:pStyle w:val="BookText"/>
      </w:pPr>
      <w:r>
        <w:rPr>
          <w:rFonts w:ascii="IRNazanin" w:hAnsi="IRNazanin" w:eastAsia="IRNazanin" w:cs="IRNazanin"/>
          <w:lang w:bidi="fa-IR"/>
          <w:color w:val="111111"/>
          <w:sz w:val="28"/>
          <w:szCs w:val="28"/>
          <w:rtl/>
        </w:rPr>
        <w:t xml:space="preserve">إنّ بعض الصحابة خضب وجه الأرض بالدماء، فاقرأ تاریخ بسر بن أرطاة، حتی أنّه قتل طفلین لعبید اللّه بن عباس، و کم و کم بین الصحابة لدَّة هؤلاء من رجال العیث و الفساد، قد حفل التاریخ بضبط مساوئهم، أ فبعد هذه البیّنات یصحّ التقوّل بعدالة الصحابة مطلقاً؟!</w:t>
      </w:r>
    </w:p>
    <w:p>
      <w:pPr>
        <w:pStyle w:val="BookText"/>
      </w:pPr>
      <w:r>
        <w:rPr>
          <w:rFonts w:ascii="IRNazanin" w:hAnsi="IRNazanin" w:eastAsia="IRNazanin" w:cs="IRNazanin"/>
          <w:lang w:bidi="fa-IR"/>
          <w:color w:val="111111"/>
          <w:sz w:val="28"/>
          <w:szCs w:val="28"/>
          <w:rtl/>
        </w:rPr>
        <w:t xml:space="preserve">إنّ النظرة العابرة لتاریخ الصحابة تقضی بأنّ بعضهم کان یتّهم الآخر بالنفاق و الکذب </w:t>
      </w:r>
      <w:r>
        <w:rPr>
          <w:rStyle w:val="FootnoteReference"/>
        </w:rPr>
        <w:footnoteReference w:id="4959"/>
      </w:r>
      <w:r>
        <w:rPr>
          <w:rFonts w:ascii="IRNazanin" w:hAnsi="IRNazanin" w:eastAsia="IRNazanin" w:cs="IRNazanin"/>
          <w:lang w:bidi="fa-IR"/>
          <w:color w:val="111111"/>
          <w:sz w:val="28"/>
          <w:szCs w:val="28"/>
          <w:rtl/>
        </w:rPr>
        <w:t xml:space="preserve">، کما أنّ بعضهم کان یقاتل بعضاً و یقود جیشاً لمحاربته، فقتل بین ذلک جماعة کثیرة، أ فهل یمکن تبریر أعمالهم من الشاتم و المشتوم، و القاتل و المقتول، و عدّهم عدولاً و مثلاً للفضل و الفضیلة؟!</w:t>
      </w:r>
    </w:p>
    <w:p>
      <w:pPr>
        <w:pStyle w:val="BookText"/>
      </w:pPr>
      <w:r>
        <w:rPr>
          <w:rFonts w:ascii="IRNazanin" w:hAnsi="IRNazanin" w:eastAsia="IRNazanin" w:cs="IRNazanin"/>
          <w:lang w:bidi="fa-IR"/>
          <w:color w:val="111111"/>
          <w:sz w:val="28"/>
          <w:szCs w:val="28"/>
          <w:rtl/>
        </w:rPr>
        <w:t xml:space="preserve">[شماره صفحه واقعی : 480]
</w:t>
      </w:r>
    </w:p>
    <w:p>
      <w:pPr>
        <w:sectPr>
          <w:footerReference w:type="default" r:id="rId1627"/>
          <w:footnotePr>
            <w:numStart w:val="1"/>
            <w:numRestart w:val="eachPage"/>
          </w:footnotePr>
          <w:pgSz w:orient="portrait" w:w="11905.511811023622" w:h="16837.79527559055"/>
          <w:pgMar w:top="1440" w:right="1440" w:bottom="1440" w:left="1440" w:header="720" w:footer="720" w:gutter="0"/>
          <w:cols w:num="1" w:space="720"/>
        </w:sectPr>
      </w:pPr>
    </w:p>
    <w:bookmarkStart w:id="881" w:name="pg14411_144009"/>
    <w:bookmarkEnd w:id="881"/>
    <w:p>
      <w:pPr>
        <w:pStyle w:val="Heading5"/>
      </w:pPr>
      <w:bookmarkStart w:id="2700" w:name="_Toc1735"/>
      <w:r>
        <w:t>[5] حدیث أصحابی کالنجوم</w:t>
      </w:r>
      <w:bookmarkEnd w:id="2700"/>
    </w:p>
    <w:p>
      <w:pPr>
        <w:pStyle w:val="BookText"/>
      </w:pPr>
      <w:r>
        <w:rPr>
          <w:rFonts w:ascii="IRNazanin" w:hAnsi="IRNazanin" w:eastAsia="IRNazanin" w:cs="IRNazanin"/>
          <w:lang w:bidi="fa-IR"/>
          <w:color w:val="111111"/>
          <w:sz w:val="28"/>
          <w:szCs w:val="28"/>
          <w:rtl/>
        </w:rPr>
        <w:t xml:space="preserve">إنّ القائلین بعدالة الصحابة جمیعاً یتمسّکون بما یروی عن النبیّ صلی الله علیه و آله أنّه قال: «أصحابی کالنجوم بأیّهم اقتدیتم اهتدیتم». </w:t>
      </w:r>
      <w:r>
        <w:rPr>
          <w:rStyle w:val="FootnoteReference"/>
        </w:rPr>
        <w:footnoteReference w:id="4960"/>
      </w:r>
    </w:p>
    <w:p>
      <w:pPr>
        <w:pStyle w:val="BookText"/>
      </w:pPr>
      <w:r>
        <w:rPr>
          <w:rFonts w:ascii="IRNazanin" w:hAnsi="IRNazanin" w:eastAsia="IRNazanin" w:cs="IRNazanin"/>
          <w:lang w:bidi="fa-IR"/>
          <w:color w:val="111111"/>
          <w:sz w:val="28"/>
          <w:szCs w:val="28"/>
          <w:rtl/>
        </w:rPr>
        <w:t xml:space="preserve">أقول: کیف یصح إسناد هذا الحدیث إلی رسول اللّه صلی الله علیه و آله مع أنّ لازمه الأمر بالمتناقضین؟ لأنّ هذا یوجب أن یکون أهل الشام فی صفّین علی هدی، و أن یکون أهل العراق أیضاً علی هدی، و أن یکون قاتل عمار بن یاسر مهتدیاً، و قد صحّ الخبر عن النبیّ صلی الله علیه و آله أنّه قال له: «تقتلک الفئة الباغیة».</w:t>
      </w:r>
    </w:p>
    <w:p>
      <w:pPr>
        <w:pStyle w:val="BookText"/>
      </w:pPr>
      <w:r>
        <w:rPr>
          <w:rFonts w:ascii="Amiri" w:hAnsi="Amiri" w:eastAsia="Amiri" w:cs="Amiri"/>
          <w:lang w:bidi="ar-SA"/>
          <w:color w:val="111111"/>
          <w:sz w:val="28"/>
          <w:szCs w:val="28"/>
          <w:rtl/>
        </w:rPr>
        <w:t xml:space="preserve">و قال سبحانه: «فَقٰاتِلُوا الَّتِی تَبْغِی حَتّٰی تَفِیءَ إِلیٰ أَمْرِ اللّٰهِ» </w:t>
      </w:r>
      <w:r>
        <w:rPr>
          <w:rStyle w:val="FootnoteReference"/>
        </w:rPr>
        <w:footnoteReference w:id="4961"/>
      </w:r>
    </w:p>
    <w:p>
      <w:pPr>
        <w:pStyle w:val="BookText"/>
      </w:pPr>
      <w:r>
        <w:rPr>
          <w:rFonts w:ascii="IRNazanin" w:hAnsi="IRNazanin" w:eastAsia="IRNazanin" w:cs="IRNazanin"/>
          <w:lang w:bidi="fa-IR"/>
          <w:color w:val="111111"/>
          <w:sz w:val="28"/>
          <w:szCs w:val="28"/>
          <w:rtl/>
        </w:rPr>
        <w:t xml:space="preserve">فدلّ علی أنّها ما دامت موصوفة بالمقام علی البغی فهی مفارقة لأمر اللّه، و من یفارق أمر اللّه لا یکون مهتدیاً.</w:t>
      </w:r>
    </w:p>
    <w:p>
      <w:pPr>
        <w:pStyle w:val="BookText"/>
      </w:pPr>
      <w:r>
        <w:rPr>
          <w:rFonts w:ascii="IRNazanin" w:hAnsi="IRNazanin" w:eastAsia="IRNazanin" w:cs="IRNazanin"/>
          <w:lang w:bidi="fa-IR"/>
          <w:color w:val="111111"/>
          <w:sz w:val="28"/>
          <w:szCs w:val="28"/>
          <w:rtl/>
        </w:rPr>
        <w:t xml:space="preserve">إنّ هذا الحدیث موضوع علی لسان النبیّ الأکرم، کما صرّح بذلک جماعة من أعلام أهل السنّة، قال أبو حیّان الأندلسی: «هو حدیث موضوع لا یصحّ بوجه عن رسول اللّه». ثمّ نقل قول الحافظ ابن حزم فی رسالته «إبطال الرأی و القیاس» ما نصّه: «و هذا خبر مکذوب باطل لم یصحّ قطّ».</w:t>
      </w:r>
    </w:p>
    <w:p>
      <w:pPr>
        <w:pStyle w:val="BookText"/>
      </w:pPr>
      <w:r>
        <w:rPr>
          <w:rFonts w:ascii="IRNazanin" w:hAnsi="IRNazanin" w:eastAsia="IRNazanin" w:cs="IRNazanin"/>
          <w:lang w:bidi="fa-IR"/>
          <w:color w:val="111111"/>
          <w:sz w:val="28"/>
          <w:szCs w:val="28"/>
          <w:rtl/>
        </w:rPr>
        <w:t xml:space="preserve">ثمّ نقل عن البزّاز صاحب المسند قوله: «و هذا کلام لم یصحّ عن النبیّ صلی الله علیه و آله و شرع بالطعن فی سنده». </w:t>
      </w:r>
      <w:r>
        <w:rPr>
          <w:rStyle w:val="FootnoteReference"/>
        </w:rPr>
        <w:footnoteReference w:id="4962"/>
      </w:r>
    </w:p>
    <w:p>
      <w:pPr>
        <w:pStyle w:val="BookText"/>
      </w:pPr>
      <w:r>
        <w:rPr>
          <w:rFonts w:ascii="IRNazanin" w:hAnsi="IRNazanin" w:eastAsia="IRNazanin" w:cs="IRNazanin"/>
          <w:lang w:bidi="fa-IR"/>
          <w:color w:val="111111"/>
          <w:sz w:val="28"/>
          <w:szCs w:val="28"/>
          <w:rtl/>
        </w:rPr>
        <w:t xml:space="preserve">[شماره صفحه واقعی : 481]
</w:t>
      </w:r>
    </w:p>
    <w:p>
      <w:pPr>
        <w:sectPr>
          <w:footerReference w:type="default" r:id="rId1628"/>
          <w:footnotePr>
            <w:numStart w:val="1"/>
            <w:numRestart w:val="eachPage"/>
          </w:footnotePr>
          <w:pgSz w:orient="portrait" w:w="11905.511811023622" w:h="16837.79527559055"/>
          <w:pgMar w:top="1440" w:right="1440" w:bottom="1440" w:left="1440" w:header="720" w:footer="720" w:gutter="0"/>
          <w:cols w:num="1" w:space="720"/>
        </w:sectPr>
      </w:pPr>
    </w:p>
    <w:bookmarkStart w:id="882" w:name="pg14411_144010"/>
    <w:bookmarkEnd w:id="882"/>
    <w:p>
      <w:pPr>
        <w:pStyle w:val="BookText"/>
      </w:pPr>
      <w:r>
        <w:rPr>
          <w:rFonts w:ascii="IRNazanin" w:hAnsi="IRNazanin" w:eastAsia="IRNazanin" w:cs="IRNazanin"/>
          <w:lang w:bidi="fa-IR"/>
          <w:color w:val="111111"/>
          <w:sz w:val="28"/>
          <w:szCs w:val="28"/>
          <w:rtl/>
        </w:rPr>
        <w:t xml:space="preserve">ثمّ إنّ التفتازانی و إن أخذته العصبیة فی الدعوة إلی ترک الکلام فی حقّ البغاة و الجائرین، لکنّه أصحر بالحقیقة فقال:</w:t>
      </w:r>
    </w:p>
    <w:p>
      <w:pPr>
        <w:pStyle w:val="BookText"/>
      </w:pPr>
      <w:r>
        <w:rPr>
          <w:rFonts w:ascii="IRNazanin" w:hAnsi="IRNazanin" w:eastAsia="IRNazanin" w:cs="IRNazanin"/>
          <w:lang w:bidi="fa-IR"/>
          <w:color w:val="111111"/>
          <w:sz w:val="28"/>
          <w:szCs w:val="28"/>
          <w:rtl/>
        </w:rPr>
        <w:t xml:space="preserve">ما وقع بین الصحابة من المحاربات و المشاجرات علی الوجه المسطور فی کتب التاریخ، و المذکور علی السنة الثقات یدلّ بظاهره علی أنّ بعضهم حاد عن طریق الحق، و بلغ حدّ الظلم و الفسق... إلّا أنّ العلماء لحسن ظنّهم بالصحابة ذکروا لها محامل و تأویلات بها تلیق...». </w:t>
      </w:r>
      <w:r>
        <w:rPr>
          <w:rStyle w:val="FootnoteReference"/>
        </w:rPr>
        <w:footnoteReference w:id="4963"/>
      </w:r>
    </w:p>
    <w:p>
      <w:pPr>
        <w:pStyle w:val="Heading5"/>
      </w:pPr>
      <w:bookmarkStart w:id="2701" w:name="_Toc1736"/>
      <w:r>
        <w:t>[6] کلمة لبعض المعاصرین من أهل السنّة</w:t>
      </w:r>
      <w:bookmarkEnd w:id="2701"/>
    </w:p>
    <w:p>
      <w:pPr>
        <w:pStyle w:val="BookText"/>
      </w:pPr>
      <w:r>
        <w:rPr>
          <w:rFonts w:ascii="IRNazanin" w:hAnsi="IRNazanin" w:eastAsia="IRNazanin" w:cs="IRNazanin"/>
          <w:lang w:bidi="fa-IR"/>
          <w:color w:val="111111"/>
          <w:sz w:val="28"/>
          <w:szCs w:val="28"/>
          <w:rtl/>
        </w:rPr>
        <w:t xml:space="preserve">إنّ بعض المنصفین من المصریّین المعاصرین </w:t>
      </w:r>
      <w:r>
        <w:rPr>
          <w:rStyle w:val="FootnoteReference"/>
        </w:rPr>
        <w:footnoteReference w:id="4964"/>
      </w:r>
      <w:r>
        <w:rPr>
          <w:rFonts w:ascii="IRNazanin" w:hAnsi="IRNazanin" w:eastAsia="IRNazanin" w:cs="IRNazanin"/>
          <w:lang w:bidi="fa-IR"/>
          <w:color w:val="111111"/>
          <w:sz w:val="28"/>
          <w:szCs w:val="28"/>
          <w:rtl/>
        </w:rPr>
        <w:t xml:space="preserve">قد اعترف بالحقّ، و أراد الجمع بین رأیی السنّة و الشیعة فی حقّ الصحابة، فقال:</w:t>
      </w:r>
    </w:p>
    <w:p>
      <w:pPr>
        <w:pStyle w:val="BookText"/>
      </w:pPr>
      <w:r>
        <w:rPr>
          <w:rFonts w:ascii="IRNazanin" w:hAnsi="IRNazanin" w:eastAsia="IRNazanin" w:cs="IRNazanin"/>
          <w:lang w:bidi="fa-IR"/>
          <w:color w:val="111111"/>
          <w:sz w:val="28"/>
          <w:szCs w:val="28"/>
          <w:rtl/>
        </w:rPr>
        <w:t xml:space="preserve">إنّ منهج أهل السنّة فی تعدیل الصحابة أو ترک الکلام فی حقّهم منهج أخلاقی، و إنّ طریقة الشیعة فی نقد الصحابة و تقسیمهم إلی عادل و جائر منهج علمی، فکلّ من المنهجین مکمّل للآخر -إلی أن قال: -إنّ الشیعة و هم شطر عظیم من أهل القبلة یضعون جمیع المسلمین فی میزان واحد، و لا یفرّقون بین صحابی و تابعی و متأخر، کما لا یفرقون بین متقدّم فی الإسلام و حدیث عهد به إلّا باعتبار درجة الأخذ بما جاء به حضرة</w:t>
      </w:r>
    </w:p>
    <w:p>
      <w:pPr>
        <w:pStyle w:val="BookText"/>
      </w:pPr>
      <w:r>
        <w:rPr>
          <w:rFonts w:ascii="IRNazanin" w:hAnsi="IRNazanin" w:eastAsia="IRNazanin" w:cs="IRNazanin"/>
          <w:lang w:bidi="fa-IR"/>
          <w:color w:val="111111"/>
          <w:sz w:val="28"/>
          <w:szCs w:val="28"/>
          <w:rtl/>
        </w:rPr>
        <w:t xml:space="preserve">[شماره صفحه واقعی : 482]
</w:t>
      </w:r>
    </w:p>
    <w:p>
      <w:pPr>
        <w:sectPr>
          <w:footerReference w:type="default" r:id="rId16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الرسول صلی الله علیه و آله و الأئمّة الاثنا عشر بعده، و إنّ الصحبة فی ذاتها لیست حصانة یتحصّن بها من درجة الاعتقاد، و علی هذا الأساس المتین أباحوا لأنفسهم -اجتهاداً -نقد الصحابة و البحث فی درجة عدالتهم، کما أباحوا لأنفسهم الطعن فی نفر من الصحابة أخلّوا بشروط الصحبة و حادوا عن محبة آل محمّد علیهم السلام ، کیف لا، و قد قال الرسول الأعظم صلی الله علیه و آله :</w:t>
      </w:r>
    </w:p>
    <w:p>
      <w:pPr>
        <w:pStyle w:val="BookText"/>
      </w:pPr>
      <w:r>
        <w:rPr>
          <w:rFonts w:ascii="IRNazanin" w:hAnsi="IRNazanin" w:eastAsia="IRNazanin" w:cs="IRNazanin"/>
          <w:lang w:bidi="fa-IR"/>
          <w:color w:val="111111"/>
          <w:sz w:val="28"/>
          <w:szCs w:val="28"/>
          <w:rtl/>
        </w:rPr>
        <w:t xml:space="preserve">«إنّی تارک فیکم ما إن تمسّکتم بهما لن تضلّوا، کتاب اللّه و عترتی آل بیتی ... ».</w:t>
      </w:r>
    </w:p>
    <w:p>
      <w:pPr>
        <w:pStyle w:val="BookText"/>
      </w:pPr>
      <w:r>
        <w:rPr>
          <w:rFonts w:ascii="IRNazanin" w:hAnsi="IRNazanin" w:eastAsia="IRNazanin" w:cs="IRNazanin"/>
          <w:lang w:bidi="fa-IR"/>
          <w:color w:val="111111"/>
          <w:sz w:val="28"/>
          <w:szCs w:val="28"/>
          <w:rtl/>
        </w:rPr>
        <w:t xml:space="preserve">و علی أساس هذا الحدیث و نحوه یرون أنّ کثیراً من الصحابة خالفوا هذا الحدیث، باضطهادهم لآل محمّد و لعنهم لبعض أفراد هذه العترة، و من ثمّ فکیف یستقیم لهؤلاء المخالفین شرف الصحبة، و کیف یوسموا باسم العدالة؟!</w:t>
      </w:r>
    </w:p>
    <w:p>
      <w:pPr>
        <w:pStyle w:val="BookText"/>
      </w:pPr>
      <w:r>
        <w:rPr>
          <w:rFonts w:ascii="IRNazanin" w:hAnsi="IRNazanin" w:eastAsia="IRNazanin" w:cs="IRNazanin"/>
          <w:lang w:bidi="fa-IR"/>
          <w:color w:val="111111"/>
          <w:sz w:val="28"/>
          <w:szCs w:val="28"/>
          <w:rtl/>
        </w:rPr>
        <w:t xml:space="preserve">ذلک هو خلاصة رأی الشیعة فی نفی صفة العدالة عن بعض الصحابة، و تلک هی الأسباب العلمیة الواقعیة الّتی بنوا علیها حججهم </w:t>
      </w:r>
      <w:r>
        <w:rPr>
          <w:rStyle w:val="FootnoteReference"/>
        </w:rPr>
        <w:footnoteReference w:id="49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 التقیّة بین الوجوب و الحرمة</w:t>
      </w:r>
    </w:p>
    <w:p>
      <w:pPr>
        <w:pStyle w:val="BookText"/>
      </w:pPr>
      <w:r>
        <w:rPr>
          <w:rFonts w:ascii="IRNazanin" w:hAnsi="IRNazanin" w:eastAsia="IRNazanin" w:cs="IRNazanin"/>
          <w:lang w:bidi="fa-IR"/>
          <w:color w:val="111111"/>
          <w:sz w:val="28"/>
          <w:szCs w:val="28"/>
          <w:rtl/>
        </w:rPr>
        <w:t xml:space="preserve">ممّا یشنّع به علی الشیعة قولهم بالتّقیة و عملهم به فی أحایین و ظروف خاصّة، و لکن المشنِّعین لم یقفوا علی مغزاها، و لو تثبّتوا فی الأمر و رجعوا</w:t>
      </w:r>
    </w:p>
    <w:p>
      <w:pPr>
        <w:pStyle w:val="BookText"/>
      </w:pPr>
      <w:r>
        <w:rPr>
          <w:rFonts w:ascii="IRNazanin" w:hAnsi="IRNazanin" w:eastAsia="IRNazanin" w:cs="IRNazanin"/>
          <w:lang w:bidi="fa-IR"/>
          <w:color w:val="111111"/>
          <w:sz w:val="28"/>
          <w:szCs w:val="28"/>
          <w:rtl/>
        </w:rPr>
        <w:t xml:space="preserve">[شماره صفحه واقعی : 483]
</w:t>
      </w:r>
    </w:p>
    <w:p>
      <w:pPr>
        <w:sectPr>
          <w:footerReference w:type="default" r:id="rId16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الکتاب و السنّة لوقفوا علی أنّها ممّا تحکم به ضرورة العقل و نصّ الشریعة.</w:t>
      </w:r>
    </w:p>
    <w:p>
      <w:pPr>
        <w:pStyle w:val="BookText"/>
      </w:pPr>
      <w:r>
        <w:rPr>
          <w:rFonts w:ascii="IRNazanin" w:hAnsi="IRNazanin" w:eastAsia="IRNazanin" w:cs="IRNazanin"/>
          <w:lang w:bidi="fa-IR"/>
          <w:color w:val="111111"/>
          <w:sz w:val="28"/>
          <w:szCs w:val="28"/>
          <w:rtl/>
        </w:rPr>
        <w:t xml:space="preserve">حقیقة التقیّة و غایتها</w:t>
      </w:r>
    </w:p>
    <w:p>
      <w:pPr>
        <w:pStyle w:val="BookText"/>
      </w:pPr>
      <w:r>
        <w:rPr>
          <w:rFonts w:ascii="IRNazanin" w:hAnsi="IRNazanin" w:eastAsia="IRNazanin" w:cs="IRNazanin"/>
          <w:lang w:bidi="fa-IR"/>
          <w:color w:val="111111"/>
          <w:sz w:val="28"/>
          <w:szCs w:val="28"/>
          <w:rtl/>
        </w:rPr>
        <w:t xml:space="preserve">التقیّة مشتقّة من الوقایة و المراد منها التحفّظ علی ضرر الغیر بموافقته فی قول أو فعل مخالف للحقّ، و إذا کان هذا مفهومها فهی تقابل النفاق، تقابل الإیمان و الکفر، فإنّ النفاق عبارة عن إظهار الحقّ و إخفاء الباطل، و مع هذا التباین بینهما لا یصحّ عدّها من فروع النفاق، کما أنّ القرآن الکریم یعرف المنافقین بالمتظاهرین بالإیمان و المبطنین للکفر، یقول سبحانه:</w:t>
      </w:r>
    </w:p>
    <w:p>
      <w:pPr>
        <w:pStyle w:val="BookText"/>
      </w:pPr>
      <w:r>
        <w:rPr>
          <w:rFonts w:ascii="Amiri" w:hAnsi="Amiri" w:eastAsia="Amiri" w:cs="Amiri"/>
          <w:lang w:bidi="ar-SA"/>
          <w:color w:val="111111"/>
          <w:sz w:val="28"/>
          <w:szCs w:val="28"/>
          <w:rtl/>
        </w:rPr>
        <w:t xml:space="preserve">«إِذٰا جٰاءَکَ الْمُنٰافِقُونَ قٰالُوا نَشْهَدُ إِنَّکَ لَرَسُولُ اللّٰهِ وَ اللّٰهُ یَعْلَمُ إِنَّکَ لَرَسُولُهُ وَ اللّٰهُ یَشْهَدُ إِنَّ الْمُنٰافِقِینَ لَکٰاذِبُونَ » </w:t>
      </w:r>
      <w:r>
        <w:rPr>
          <w:rStyle w:val="FootnoteReference"/>
        </w:rPr>
        <w:footnoteReference w:id="4966"/>
      </w:r>
    </w:p>
    <w:p>
      <w:pPr>
        <w:pStyle w:val="BookText"/>
      </w:pPr>
      <w:r>
        <w:rPr>
          <w:rFonts w:ascii="IRNazanin" w:hAnsi="IRNazanin" w:eastAsia="IRNazanin" w:cs="IRNazanin"/>
          <w:lang w:bidi="fa-IR"/>
          <w:color w:val="111111"/>
          <w:sz w:val="28"/>
          <w:szCs w:val="28"/>
          <w:rtl/>
        </w:rPr>
        <w:t xml:space="preserve">فالغایة من التقیّة الدینیة هی صیانة النفس و العرض و المال، و ذلک فی ظروف قاهرة لا یستطیع فیها المؤمن أن یعلن عن موقفه الحقّ صریحاً، إنّ التقیة سلاح الضعیف فی مقابل القوی الغاشم، سلاح من یبتلی بمن لا یحترم دمه و عرضه و ماله، لا لشیء إلّا لأنّه لا یتّفق فی بعض المبادئ و الأفکار.</w:t>
      </w:r>
    </w:p>
    <w:p>
      <w:pPr>
        <w:pStyle w:val="BookText"/>
      </w:pPr>
      <w:r>
        <w:rPr>
          <w:rFonts w:ascii="IRNazanin" w:hAnsi="IRNazanin" w:eastAsia="IRNazanin" w:cs="IRNazanin"/>
          <w:lang w:bidi="fa-IR"/>
          <w:color w:val="111111"/>
          <w:sz w:val="28"/>
          <w:szCs w:val="28"/>
          <w:rtl/>
        </w:rPr>
        <w:t xml:space="preserve">فإذا کان هذا معنی التقیّة و مفهومها، و کانت هذه غایتها، فهو أمر فطری یسوق الإنسان إلیه قبل کلّ شیء عقله و تدعو إلیه فطرته، و لأجل ذلک</w:t>
      </w:r>
    </w:p>
    <w:p>
      <w:pPr>
        <w:pStyle w:val="BookText"/>
      </w:pPr>
      <w:r>
        <w:rPr>
          <w:rFonts w:ascii="IRNazanin" w:hAnsi="IRNazanin" w:eastAsia="IRNazanin" w:cs="IRNazanin"/>
          <w:lang w:bidi="fa-IR"/>
          <w:color w:val="111111"/>
          <w:sz w:val="28"/>
          <w:szCs w:val="28"/>
          <w:rtl/>
        </w:rPr>
        <w:t xml:space="preserve">[شماره صفحه واقعی : 484]
</w:t>
      </w:r>
    </w:p>
    <w:p>
      <w:pPr>
        <w:sectPr>
          <w:footerReference w:type="default" r:id="rId1631"/>
          <w:footnotePr>
            <w:numStart w:val="1"/>
            <w:numRestart w:val="eachPage"/>
          </w:footnotePr>
          <w:pgSz w:orient="portrait" w:w="11905.511811023622" w:h="16837.79527559055"/>
          <w:pgMar w:top="1440" w:right="1440" w:bottom="1440" w:left="1440" w:header="720" w:footer="720" w:gutter="0"/>
          <w:cols w:num="1" w:space="720"/>
        </w:sectPr>
      </w:pPr>
    </w:p>
    <w:bookmarkStart w:id="883" w:name="pg14411_144013"/>
    <w:bookmarkEnd w:id="883"/>
    <w:p>
      <w:pPr>
        <w:pStyle w:val="BookText"/>
      </w:pPr>
      <w:r>
        <w:rPr>
          <w:rFonts w:ascii="IRNazanin" w:hAnsi="IRNazanin" w:eastAsia="IRNazanin" w:cs="IRNazanin"/>
          <w:lang w:bidi="fa-IR"/>
          <w:color w:val="111111"/>
          <w:sz w:val="28"/>
          <w:szCs w:val="28"/>
          <w:rtl/>
        </w:rPr>
        <w:t xml:space="preserve">یستعملها کلّ من ابتلی بالملوک و الساسة الّذین لا یحترمون شیئاً سوی رأیهم و فکرتهم و مطامعهم و لا یتردّدون عن التنکیل بکلّ من یعارضهم فی ذلک، من غیر فرق بین المسلم -شیعیاً کان أم سنّیّاً -و من هنا یظهر جدوی التقیة و عمق فائدتها.</w:t>
      </w:r>
    </w:p>
    <w:p>
      <w:pPr>
        <w:pStyle w:val="Heading5"/>
      </w:pPr>
      <w:bookmarkStart w:id="2702" w:name="_Toc1737"/>
      <w:r>
        <w:t>[7] التقیة فی الکتاب العزیز</w:t>
      </w:r>
      <w:bookmarkEnd w:id="2702"/>
    </w:p>
    <w:p>
      <w:pPr>
        <w:pStyle w:val="BookText"/>
      </w:pPr>
      <w:r>
        <w:rPr>
          <w:rFonts w:ascii="IRNazanin" w:hAnsi="IRNazanin" w:eastAsia="IRNazanin" w:cs="IRNazanin"/>
          <w:lang w:bidi="fa-IR"/>
          <w:color w:val="111111"/>
          <w:sz w:val="28"/>
          <w:szCs w:val="28"/>
          <w:rtl/>
        </w:rPr>
        <w:t xml:space="preserve">إنّ التقیة من المفاهیم القرآنیة الّتی وردت فی أکثر من موضع فی القرآن الکریم، و فی تلک الآیات إشارات واضحة إلی الموارد الّتی یلجأ فیها المؤمن إلی استخدام هذا المسلک الفطری خلال حیاته أثناء الظروف العصیبة لیصون بها نفسه و عرضه و ماله، أو نفس من یمت إلیه بصلة و عرضه و ماله، کما استعملها مؤمن آل فرعون لصیانة الکلیم عن القتل و التنکیل </w:t>
      </w:r>
      <w:r>
        <w:rPr>
          <w:rStyle w:val="FootnoteReference"/>
        </w:rPr>
        <w:footnoteReference w:id="4967"/>
      </w:r>
      <w:r>
        <w:rPr>
          <w:rFonts w:ascii="IRNazanin" w:hAnsi="IRNazanin" w:eastAsia="IRNazanin" w:cs="IRNazanin"/>
          <w:lang w:bidi="fa-IR"/>
          <w:color w:val="111111"/>
          <w:sz w:val="28"/>
          <w:szCs w:val="28"/>
          <w:rtl/>
        </w:rPr>
        <w:t xml:space="preserve">و غیر ذلک من الموارد، و إلیک بعض الآیات الدالّة علی مشروعیة التقیة بالمعنی المتقدّم:</w:t>
      </w:r>
    </w:p>
    <w:p>
      <w:pPr>
        <w:pStyle w:val="BookText"/>
      </w:pPr>
      <w:r>
        <w:rPr>
          <w:rFonts w:ascii="IRNazanin" w:hAnsi="IRNazanin" w:eastAsia="IRNazanin" w:cs="IRNazanin"/>
          <w:lang w:bidi="fa-IR"/>
          <w:color w:val="111111"/>
          <w:sz w:val="28"/>
          <w:szCs w:val="28"/>
          <w:rtl/>
        </w:rPr>
        <w:t xml:space="preserve">الآیة الأُولی:</w:t>
      </w:r>
    </w:p>
    <w:p>
      <w:pPr>
        <w:pStyle w:val="BookText"/>
      </w:pPr>
      <w:r>
        <w:rPr>
          <w:rFonts w:ascii="Amiri" w:hAnsi="Amiri" w:eastAsia="Amiri" w:cs="Amiri"/>
          <w:lang w:bidi="ar-SA"/>
          <w:color w:val="111111"/>
          <w:sz w:val="28"/>
          <w:szCs w:val="28"/>
          <w:rtl/>
        </w:rPr>
        <w:t xml:space="preserve">قال سبحانه: «مَنْ کَفَرَ بِاللّٰهِ مِنْ بَعْدِ إِیمٰانِهِ إِلاّٰ مَنْ أُکْرِهَ وَ قَلْبُهُ مُطْمَئِنٌّ بِالْإِیمٰانِ» </w:t>
      </w:r>
      <w:r>
        <w:rPr>
          <w:rStyle w:val="FootnoteReference"/>
        </w:rPr>
        <w:footnoteReference w:id="49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تری أنّه سبحانه یجوّز إظهار الکفر کرهاً و مجاراة للکافرین خوفاً منهم بشرط أن یکون القلب مطمئناً بالإیمان و صرّح بذلک لفیف من المفسّرین.</w:t>
      </w:r>
    </w:p>
    <w:p>
      <w:pPr>
        <w:pStyle w:val="BookText"/>
      </w:pPr>
      <w:r>
        <w:rPr>
          <w:rFonts w:ascii="IRNazanin" w:hAnsi="IRNazanin" w:eastAsia="IRNazanin" w:cs="IRNazanin"/>
          <w:lang w:bidi="fa-IR"/>
          <w:color w:val="111111"/>
          <w:sz w:val="28"/>
          <w:szCs w:val="28"/>
          <w:rtl/>
        </w:rPr>
        <w:t xml:space="preserve">[شماره صفحه واقعی : 485]
</w:t>
      </w:r>
    </w:p>
    <w:p>
      <w:pPr>
        <w:sectPr>
          <w:footerReference w:type="default" r:id="rId16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الزمخشری:</w:t>
      </w:r>
    </w:p>
    <w:p>
      <w:pPr>
        <w:pStyle w:val="BookText"/>
      </w:pPr>
      <w:r>
        <w:rPr>
          <w:rFonts w:ascii="IRNazanin" w:hAnsi="IRNazanin" w:eastAsia="IRNazanin" w:cs="IRNazanin"/>
          <w:lang w:bidi="fa-IR"/>
          <w:color w:val="111111"/>
          <w:sz w:val="28"/>
          <w:szCs w:val="28"/>
          <w:rtl/>
        </w:rPr>
        <w:t xml:space="preserve">روی أنّ أُناساً من أهل مکّة فتنوا فارتدّوا عن الإسلام بعد دخولهم فیه، و کان فیهم من أکره و أجری کلمة الکفر علی لسانه و هو معتقد للإیمان، منهم عمّار بن یاسر و أبواه: یاسر و سمیّة، و صهیب و بلال و خباب. أمّا عمّار فأعطاهم ما أرادوا بلسانه مکرها... </w:t>
      </w:r>
      <w:r>
        <w:rPr>
          <w:rStyle w:val="FootnoteReference"/>
        </w:rPr>
        <w:footnoteReference w:id="4969"/>
      </w:r>
    </w:p>
    <w:p>
      <w:pPr>
        <w:pStyle w:val="BookText"/>
      </w:pPr>
      <w:r>
        <w:rPr>
          <w:rFonts w:ascii="IRNazanin" w:hAnsi="IRNazanin" w:eastAsia="IRNazanin" w:cs="IRNazanin"/>
          <w:lang w:bidi="fa-IR"/>
          <w:color w:val="111111"/>
          <w:sz w:val="28"/>
          <w:szCs w:val="28"/>
          <w:rtl/>
        </w:rPr>
        <w:t xml:space="preserve">و قال القرطبی:</w:t>
      </w:r>
    </w:p>
    <w:p>
      <w:pPr>
        <w:pStyle w:val="BookText"/>
      </w:pPr>
      <w:r>
        <w:rPr>
          <w:rFonts w:ascii="IRNazanin" w:hAnsi="IRNazanin" w:eastAsia="IRNazanin" w:cs="IRNazanin"/>
          <w:lang w:bidi="fa-IR"/>
          <w:color w:val="111111"/>
          <w:sz w:val="28"/>
          <w:szCs w:val="28"/>
          <w:rtl/>
        </w:rPr>
        <w:t xml:space="preserve">قال الحسن: التقیة جائزة للإنسان إلی یوم القیامة، ثمّ قال: أجمع أهل العلم علی أنّ من أُکره علی الکفر حتی خشی علی نفسه القتل أنّه لا إثم علیه إن کفر و قلبه مطمئن بالإیمان، و لا تبین زوجته، و لا یحکم علیه بالکفر، هذا قول مالک و الکوفیّین و الشافعی. </w:t>
      </w:r>
      <w:r>
        <w:rPr>
          <w:rStyle w:val="FootnoteReference"/>
        </w:rPr>
        <w:footnoteReference w:id="4970"/>
      </w:r>
    </w:p>
    <w:p>
      <w:pPr>
        <w:pStyle w:val="BookText"/>
      </w:pPr>
      <w:r>
        <w:rPr>
          <w:rFonts w:ascii="IRNazanin" w:hAnsi="IRNazanin" w:eastAsia="IRNazanin" w:cs="IRNazanin"/>
          <w:lang w:bidi="fa-IR"/>
          <w:color w:val="111111"/>
          <w:sz w:val="28"/>
          <w:szCs w:val="28"/>
          <w:rtl/>
        </w:rPr>
        <w:t xml:space="preserve">و قال الخازن:</w:t>
      </w:r>
    </w:p>
    <w:p>
      <w:pPr>
        <w:pStyle w:val="BookText"/>
      </w:pPr>
      <w:r>
        <w:rPr>
          <w:rFonts w:ascii="Amiri" w:hAnsi="Amiri" w:eastAsia="Amiri" w:cs="Amiri"/>
          <w:lang w:bidi="ar-SA"/>
          <w:color w:val="111111"/>
          <w:sz w:val="28"/>
          <w:szCs w:val="28"/>
          <w:rtl/>
        </w:rPr>
        <w:t xml:space="preserve">«التقیّة لا تکون إلّا مع خوف القتل مع سلامة النیّة، قال اللّه تعالی: «إِلاّٰ مَنْ أُکْرِهَ وَ قَلْبُهُ مُطْمَئِنٌّ بِالْإِیمٰانِ» ثمّ هذه التقیة رخصة». </w:t>
      </w:r>
      <w:r>
        <w:rPr>
          <w:rStyle w:val="FootnoteReference"/>
        </w:rPr>
        <w:footnoteReference w:id="4971"/>
      </w:r>
    </w:p>
    <w:p>
      <w:pPr>
        <w:pStyle w:val="BookText"/>
      </w:pPr>
      <w:r>
        <w:rPr>
          <w:rFonts w:ascii="IRNazanin" w:hAnsi="IRNazanin" w:eastAsia="IRNazanin" w:cs="IRNazanin"/>
          <w:lang w:bidi="fa-IR"/>
          <w:color w:val="111111"/>
          <w:sz w:val="28"/>
          <w:szCs w:val="28"/>
          <w:rtl/>
        </w:rPr>
        <w:t xml:space="preserve">[شماره صفحه واقعی : 486]
</w:t>
      </w:r>
    </w:p>
    <w:p>
      <w:pPr>
        <w:sectPr>
          <w:footerReference w:type="default" r:id="rId16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الآیة الثانیة</w:t>
      </w:r>
    </w:p>
    <w:p>
      <w:pPr>
        <w:pStyle w:val="BookText"/>
      </w:pPr>
      <w:r>
        <w:rPr>
          <w:rFonts w:ascii="Amiri" w:hAnsi="Amiri" w:eastAsia="Amiri" w:cs="Amiri"/>
          <w:lang w:bidi="ar-SA"/>
          <w:color w:val="111111"/>
          <w:sz w:val="28"/>
          <w:szCs w:val="28"/>
          <w:rtl/>
        </w:rPr>
        <w:t xml:space="preserve">قال سبحانه: «لاٰ یَتَّخِذِ الْمُؤْمِنُونَ الْکٰافِرِینَ أَوْلِیٰاءَ مِنْ دُونِ الْمُؤْمِنِینَ وَ مَنْ یَفْعَلْ ذٰلِکَ فَلَیْسَ مِنَ اللّٰهِ فِی شَیْءٍ إِلاّٰ أَنْ تَتَّقُوا مِنْهُمْ تُقٰاةً» </w:t>
      </w:r>
      <w:r>
        <w:rPr>
          <w:rStyle w:val="FootnoteReference"/>
        </w:rPr>
        <w:footnoteReference w:id="4972"/>
      </w:r>
    </w:p>
    <w:p>
      <w:pPr>
        <w:pStyle w:val="BookText"/>
      </w:pPr>
      <w:r>
        <w:rPr>
          <w:rFonts w:ascii="IRNazanin" w:hAnsi="IRNazanin" w:eastAsia="IRNazanin" w:cs="IRNazanin"/>
          <w:lang w:bidi="fa-IR"/>
          <w:color w:val="111111"/>
          <w:sz w:val="28"/>
          <w:szCs w:val="28"/>
          <w:rtl/>
        </w:rPr>
        <w:t xml:space="preserve">هذه الآیة أیضاً کأُختها ناصّة علی جواز التقیة، کما صرّح بذلک المفسّرون، کالطبری، و الزمخشری، و الرازی، و الآلوسی، و جمال الدین القاسمی، و المراغی و غیرهم، قال الأخیر:</w:t>
      </w:r>
    </w:p>
    <w:p>
      <w:pPr>
        <w:pStyle w:val="BookText"/>
      </w:pPr>
      <w:r>
        <w:rPr>
          <w:rFonts w:ascii="IRNazanin" w:hAnsi="IRNazanin" w:eastAsia="IRNazanin" w:cs="IRNazanin"/>
          <w:lang w:bidi="fa-IR"/>
          <w:color w:val="111111"/>
          <w:sz w:val="28"/>
          <w:szCs w:val="28"/>
          <w:rtl/>
        </w:rPr>
        <w:t xml:space="preserve">قد استنبط العلماء من هذه الآیة جواز التقیة بأن یقول الإنسان أو یفعل ما یخالف الحق، لأجل التوقّی من ضرر یعود من الأعداء إلی النفس أو العرض أو المال. </w:t>
      </w:r>
      <w:r>
        <w:rPr>
          <w:rStyle w:val="FootnoteReference"/>
        </w:rPr>
        <w:footnoteReference w:id="4973"/>
      </w:r>
    </w:p>
    <w:p>
      <w:pPr>
        <w:pStyle w:val="BookText"/>
      </w:pPr>
      <w:r>
        <w:rPr>
          <w:rFonts w:ascii="Amiri" w:hAnsi="Amiri" w:eastAsia="Amiri" w:cs="Amiri"/>
          <w:lang w:bidi="ar-SA"/>
          <w:color w:val="111111"/>
          <w:sz w:val="28"/>
          <w:szCs w:val="28"/>
          <w:rtl/>
        </w:rPr>
        <w:t xml:space="preserve">الإجابة عن سؤال</w:t>
      </w:r>
    </w:p>
    <w:p>
      <w:pPr>
        <w:pStyle w:val="BookText"/>
      </w:pPr>
      <w:r>
        <w:rPr>
          <w:rFonts w:ascii="IRNazanin" w:hAnsi="IRNazanin" w:eastAsia="IRNazanin" w:cs="IRNazanin"/>
          <w:lang w:bidi="fa-IR"/>
          <w:color w:val="111111"/>
          <w:sz w:val="28"/>
          <w:szCs w:val="28"/>
          <w:rtl/>
        </w:rPr>
        <w:t xml:space="preserve">قد یقال: إنّ الآیتین راجعتان إلی تقیّة المسلم من الکافر، و لکنّ الشیعة تتّقی إخوانهم المسلمین، فکیف یستدلّ بهما علی صحّة عملهم؟</w:t>
      </w:r>
    </w:p>
    <w:p>
      <w:pPr>
        <w:pStyle w:val="BookText"/>
      </w:pPr>
      <w:r>
        <w:rPr>
          <w:rFonts w:ascii="IRNazanin" w:hAnsi="IRNazanin" w:eastAsia="IRNazanin" w:cs="IRNazanin"/>
          <w:lang w:bidi="fa-IR"/>
          <w:color w:val="111111"/>
          <w:sz w:val="28"/>
          <w:szCs w:val="28"/>
          <w:rtl/>
        </w:rPr>
        <w:t xml:space="preserve">و الجواب: أنّ مورد الآیتین و إن کان هو اتّقاء المسلم من الکافر، و لکنّ المورد لا یکون مخصِّصاً لحکم الآیة إذا کان الملاک موجوداً فی غیره، و قد عرفت أنّ وجه تشریع التقیّة هو صیانة النفس و العرض و المال من الهلاک</w:t>
      </w:r>
    </w:p>
    <w:p>
      <w:pPr>
        <w:pStyle w:val="BookText"/>
      </w:pPr>
      <w:r>
        <w:rPr>
          <w:rFonts w:ascii="IRNazanin" w:hAnsi="IRNazanin" w:eastAsia="IRNazanin" w:cs="IRNazanin"/>
          <w:lang w:bidi="fa-IR"/>
          <w:color w:val="111111"/>
          <w:sz w:val="28"/>
          <w:szCs w:val="28"/>
          <w:rtl/>
        </w:rPr>
        <w:t xml:space="preserve">[شماره صفحه واقعی : 487]
</w:t>
      </w:r>
    </w:p>
    <w:p>
      <w:pPr>
        <w:sectPr>
          <w:footerReference w:type="default" r:id="rId16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الدمار، فإن کان هذا الملاک موجوداً فی غیر مورد الآیة، فیجوز، أخذاً بوحدة الملاک.</w:t>
      </w:r>
    </w:p>
    <w:p>
      <w:pPr>
        <w:pStyle w:val="BookText"/>
      </w:pPr>
      <w:r>
        <w:rPr>
          <w:rFonts w:ascii="IRNazanin" w:hAnsi="IRNazanin" w:eastAsia="IRNazanin" w:cs="IRNazanin"/>
          <w:lang w:bidi="fa-IR"/>
          <w:color w:val="111111"/>
          <w:sz w:val="28"/>
          <w:szCs w:val="28"/>
          <w:rtl/>
        </w:rPr>
        <w:t xml:space="preserve">قال الرازی:</w:t>
      </w:r>
    </w:p>
    <w:p>
      <w:pPr>
        <w:pStyle w:val="BookText"/>
      </w:pPr>
      <w:r>
        <w:rPr>
          <w:rFonts w:ascii="IRNazanin" w:hAnsi="IRNazanin" w:eastAsia="IRNazanin" w:cs="IRNazanin"/>
          <w:lang w:bidi="fa-IR"/>
          <w:color w:val="111111"/>
          <w:sz w:val="28"/>
          <w:szCs w:val="28"/>
          <w:rtl/>
        </w:rPr>
        <w:t xml:space="preserve">ظاهر الآیة (آیة آل عمران) إنّ التقیّة إنّما تحلّ مع الکفّار الغالبین، إلّا أن مذهب الشافعی إنّ الحالة بین المسلمین إذا شاکلت الحالة بین المسلمین و الکافرین حلّت التقیّة محاماة عن النفس، و قال: التقیّة جائزة لصون النفس، و هل هی جائزة لصون المال؟ یحتمل أن یحکم فیها بالجواز لقوله صلی الله علیه و آله : حرمة مال المسلم کحرمة دمه، و قوله علیه السلام : «من قتل دون ماله فهو شهید. </w:t>
      </w:r>
      <w:r>
        <w:rPr>
          <w:rStyle w:val="FootnoteReference"/>
        </w:rPr>
        <w:footnoteReference w:id="4974"/>
      </w:r>
    </w:p>
    <w:p>
      <w:pPr>
        <w:pStyle w:val="BookText"/>
      </w:pPr>
      <w:r>
        <w:rPr>
          <w:rFonts w:ascii="IRNazanin" w:hAnsi="IRNazanin" w:eastAsia="IRNazanin" w:cs="IRNazanin"/>
          <w:lang w:bidi="fa-IR"/>
          <w:color w:val="111111"/>
          <w:sz w:val="28"/>
          <w:szCs w:val="28"/>
          <w:rtl/>
        </w:rPr>
        <w:t xml:space="preserve">و قال المراغی فی تفسیر آیة النحل:</w:t>
      </w:r>
    </w:p>
    <w:p>
      <w:pPr>
        <w:pStyle w:val="BookText"/>
      </w:pPr>
      <w:r>
        <w:rPr>
          <w:rFonts w:ascii="IRNazanin" w:hAnsi="IRNazanin" w:eastAsia="IRNazanin" w:cs="IRNazanin"/>
          <w:lang w:bidi="fa-IR"/>
          <w:color w:val="111111"/>
          <w:sz w:val="28"/>
          <w:szCs w:val="28"/>
          <w:rtl/>
        </w:rPr>
        <w:t xml:space="preserve">و یدخل فی التقیة مداراة الکفرة و الظلمة و الفسقة، و الإنة الکلام لهم، و التبسّم فی وجوههم و بذل المال لهم، لکفّ أذاهم و صیانة العرض منهم، و لا یعدّ هذا من الموالاة المنهی عنها، بل هو مشروع، فقد أخرج الطبرانی قوله صلی الله علیه و آله : «ما وقی المؤمن به عرضه فهو صدقة». </w:t>
      </w:r>
      <w:r>
        <w:rPr>
          <w:rStyle w:val="FootnoteReference"/>
        </w:rPr>
        <w:footnoteReference w:id="4975"/>
      </w:r>
    </w:p>
    <w:p>
      <w:pPr>
        <w:pStyle w:val="BookText"/>
      </w:pPr>
      <w:r>
        <w:rPr>
          <w:rFonts w:ascii="IRNazanin" w:hAnsi="IRNazanin" w:eastAsia="IRNazanin" w:cs="IRNazanin"/>
          <w:lang w:bidi="fa-IR"/>
          <w:color w:val="111111"/>
          <w:sz w:val="28"/>
          <w:szCs w:val="28"/>
          <w:rtl/>
        </w:rPr>
        <w:t xml:space="preserve">و التاریخ بین أیدینا یحدّثنا بوضوح عن لجوء جملة معروفة من کبار المسلمین إلی التقیّة فی ظروف عصیبة، و خیر مثال علی ذلک ما أورده</w:t>
      </w:r>
    </w:p>
    <w:p>
      <w:pPr>
        <w:pStyle w:val="BookText"/>
      </w:pPr>
      <w:r>
        <w:rPr>
          <w:rFonts w:ascii="IRNazanin" w:hAnsi="IRNazanin" w:eastAsia="IRNazanin" w:cs="IRNazanin"/>
          <w:lang w:bidi="fa-IR"/>
          <w:color w:val="111111"/>
          <w:sz w:val="28"/>
          <w:szCs w:val="28"/>
          <w:rtl/>
        </w:rPr>
        <w:t xml:space="preserve">[شماره صفحه واقعی : 488]
</w:t>
      </w:r>
    </w:p>
    <w:p>
      <w:pPr>
        <w:sectPr>
          <w:footerReference w:type="default" r:id="rId16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الطبری فی تاریخه عن محاولة المأمون دفع وجوه القضاة و المحدّثین فی زمانه إلی الإقرار بخلق القرآن قسراً، و لما أبصر أولئک المحدّثون حدّ السیف مشهراً عمدوا إلی مصانعة المأمون فی دعواه و أسرّوا معتقدهم فی صدورهم، و لما عوتبوا علی ما ذهبوا إلیه من موافقة المأمون برَّروا عملهم بعمل عمَّار بن یاسر </w:t>
      </w:r>
      <w:r>
        <w:rPr>
          <w:rStyle w:val="FootnoteReference"/>
        </w:rPr>
        <w:footnoteReference w:id="4976"/>
      </w:r>
      <w:r>
        <w:rPr>
          <w:rFonts w:ascii="IRNazanin" w:hAnsi="IRNazanin" w:eastAsia="IRNazanin" w:cs="IRNazanin"/>
          <w:lang w:bidi="fa-IR"/>
          <w:color w:val="111111"/>
          <w:sz w:val="28"/>
          <w:szCs w:val="28"/>
          <w:rtl/>
        </w:rPr>
        <w:t xml:space="preserve">و القصة شهیرة و صریحة فی جواز اللجوء إلی التقیة الّتی دأب البعض علی التشنیع فیها علی الشیعة. و الّذی دفع بالشیعة إلی التقیّة بین إخوانهم و أبناء دینهم إنّما هو الخوف من السلطات الغاشمة، فلو لم یکن هناک فی غابر الزمان -من عصر الأمویّین ثمّ العباسیّین و العثمانیّین -أی ضغط علی الشیعة، کان من المعقول أن تنسی الشیعة کلمة التقیة و أن تحذفها من دیوان حیاتها، و لکن یا للأسف أنّ کثیراً من إخوانهم کانوا أداة طیعة بید الأمویّین و العباسیّین الّذین کانوا یرون فی مذهب الشیعة خطراً علی مناصبهم فکانوا یؤلّبون العامّة من أهل السنّة علی الشیعة یقتلونهم و یضطهدونهم و ینکلون بهم، و نتیجة لتلک الظروف الصعبة لم یکن للشیعة، بل لکل من یملک شیئاً من العقل، وسیلة إلّا اللجوء إلی التقیّة أو رفع الید عن المبادئ المقدّسة الّتی هی أعلی عنده من نفسه و ماله و الشواهد علی ذلک أکثر من أن تحصی.</w:t>
      </w:r>
    </w:p>
    <w:p>
      <w:pPr>
        <w:pStyle w:val="BookText"/>
      </w:pPr>
      <w:r>
        <w:rPr>
          <w:rFonts w:ascii="Amiri" w:hAnsi="Amiri" w:eastAsia="Amiri" w:cs="Amiri"/>
          <w:lang w:bidi="ar-SA"/>
          <w:color w:val="111111"/>
          <w:sz w:val="28"/>
          <w:szCs w:val="28"/>
          <w:rtl/>
        </w:rPr>
        <w:t xml:space="preserve">التقیّة المحرَّمة</w:t>
      </w:r>
    </w:p>
    <w:p>
      <w:pPr>
        <w:pStyle w:val="BookText"/>
      </w:pPr>
      <w:r>
        <w:rPr>
          <w:rFonts w:ascii="IRNazanin" w:hAnsi="IRNazanin" w:eastAsia="IRNazanin" w:cs="IRNazanin"/>
          <w:lang w:bidi="fa-IR"/>
          <w:color w:val="111111"/>
          <w:sz w:val="28"/>
          <w:szCs w:val="28"/>
          <w:rtl/>
        </w:rPr>
        <w:t xml:space="preserve">إنّ التقیة کما تجب لحفظ النفوس و الأعراض و الأموال، إنّها تحرم إذا</w:t>
      </w:r>
    </w:p>
    <w:p>
      <w:pPr>
        <w:pStyle w:val="BookText"/>
      </w:pPr>
      <w:r>
        <w:rPr>
          <w:rFonts w:ascii="IRNazanin" w:hAnsi="IRNazanin" w:eastAsia="IRNazanin" w:cs="IRNazanin"/>
          <w:lang w:bidi="fa-IR"/>
          <w:color w:val="111111"/>
          <w:sz w:val="28"/>
          <w:szCs w:val="28"/>
          <w:rtl/>
        </w:rPr>
        <w:t xml:space="preserve">[شماره صفحه واقعی : 489]
</w:t>
      </w:r>
    </w:p>
    <w:p>
      <w:pPr>
        <w:sectPr>
          <w:footerReference w:type="default" r:id="rId16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ترتّب علیها مفسدة أعظم، کهدم الدّین و خفاء الحقیقة علی الأجیال الآتیة، و تسلّط الأعداء علی شئون المسلمین و حرماتهم و معابدهم، و لأجل ذلک تری أنّ کثیراً من أکابر الشّیعة رفضوا التقیّة فی بعض الأحیان و قدّموا أنفسهم و أرواحهم أضاحی من أجل الدین.</w:t>
      </w:r>
    </w:p>
    <w:p>
      <w:pPr>
        <w:pStyle w:val="BookText"/>
      </w:pPr>
      <w:r>
        <w:rPr>
          <w:rFonts w:ascii="IRNazanin" w:hAnsi="IRNazanin" w:eastAsia="IRNazanin" w:cs="IRNazanin"/>
          <w:lang w:bidi="fa-IR"/>
          <w:color w:val="111111"/>
          <w:sz w:val="28"/>
          <w:szCs w:val="28"/>
          <w:rtl/>
        </w:rPr>
        <w:t xml:space="preserve">قال الإمام الخمینی قدس سره :</w:t>
      </w:r>
    </w:p>
    <w:p>
      <w:pPr>
        <w:pStyle w:val="BookText"/>
      </w:pPr>
      <w:r>
        <w:rPr>
          <w:rFonts w:ascii="IRNazanin" w:hAnsi="IRNazanin" w:eastAsia="IRNazanin" w:cs="IRNazanin"/>
          <w:lang w:bidi="fa-IR"/>
          <w:color w:val="111111"/>
          <w:sz w:val="28"/>
          <w:szCs w:val="28"/>
          <w:rtl/>
        </w:rPr>
        <w:t xml:space="preserve">تحرم التقیة فی بعض المحرمات و الواجبات الّتی تمثّل فی نظر الشارع و المتشرعة مکانة بالغة، مثل هدم الکعبة و المشاهد المشرفة، و الردّ علی الإسلام و القرآن، و التفسیر بما یفسّر المذهب و یطابق الإلحاد و غیرها من عظائم المحرمات، و لا تعمّها أدلّة التقیة و لا الاضطرار و لا الإکراه.</w:t>
      </w:r>
    </w:p>
    <w:p>
      <w:pPr>
        <w:pStyle w:val="BookText"/>
      </w:pPr>
      <w:r>
        <w:rPr>
          <w:rFonts w:ascii="IRNazanin" w:hAnsi="IRNazanin" w:eastAsia="IRNazanin" w:cs="IRNazanin"/>
          <w:lang w:bidi="fa-IR"/>
          <w:color w:val="111111"/>
          <w:sz w:val="28"/>
          <w:szCs w:val="28"/>
          <w:rtl/>
        </w:rPr>
        <w:t xml:space="preserve">و تدلّ علی ذلک معتبرة مسعدة بن صدقة و فیها: فکلّ شیء یعمل المؤمن بینهم لمکان التقیة ممّا لا یؤدی إلی الفساد فی الدین فإنّه جائز». </w:t>
      </w:r>
      <w:r>
        <w:rPr>
          <w:rStyle w:val="FootnoteReference"/>
        </w:rPr>
        <w:footnoteReference w:id="4977"/>
      </w:r>
    </w:p>
    <w:p>
      <w:pPr>
        <w:pStyle w:val="BookText"/>
      </w:pPr>
      <w:r>
        <w:rPr>
          <w:rFonts w:ascii="IRNazanin" w:hAnsi="IRNazanin" w:eastAsia="IRNazanin" w:cs="IRNazanin"/>
          <w:lang w:bidi="fa-IR"/>
          <w:color w:val="111111"/>
          <w:sz w:val="28"/>
          <w:szCs w:val="28"/>
          <w:rtl/>
        </w:rPr>
        <w:t xml:space="preserve">کلمة لبعض المحقّقین من أهل السنّة</w:t>
      </w:r>
    </w:p>
    <w:p>
      <w:pPr>
        <w:pStyle w:val="BookText"/>
      </w:pPr>
      <w:r>
        <w:rPr>
          <w:rFonts w:ascii="IRNazanin" w:hAnsi="IRNazanin" w:eastAsia="IRNazanin" w:cs="IRNazanin"/>
          <w:lang w:bidi="fa-IR"/>
          <w:color w:val="111111"/>
          <w:sz w:val="28"/>
          <w:szCs w:val="28"/>
          <w:rtl/>
        </w:rPr>
        <w:t xml:space="preserve">نختم المقال بنقل کلام للعلاّمة الشهرستانی حیث قال:</w:t>
      </w:r>
    </w:p>
    <w:p>
      <w:pPr>
        <w:pStyle w:val="BookText"/>
      </w:pPr>
      <w:r>
        <w:rPr>
          <w:rFonts w:ascii="IRNazanin" w:hAnsi="IRNazanin" w:eastAsia="IRNazanin" w:cs="IRNazanin"/>
          <w:lang w:bidi="fa-IR"/>
          <w:color w:val="111111"/>
          <w:sz w:val="28"/>
          <w:szCs w:val="28"/>
          <w:rtl/>
        </w:rPr>
        <w:t xml:space="preserve">إنّ التقیّة شعار کلّ ضعیف مسلوب الحرّیّة، إنّ الشیعة قد اشتهرت بالتقیة أکثر من غیرها لأنّها منیت باستمرار الضغط</w:t>
      </w:r>
    </w:p>
    <w:p>
      <w:pPr>
        <w:pStyle w:val="BookText"/>
      </w:pPr>
      <w:r>
        <w:rPr>
          <w:rFonts w:ascii="IRNazanin" w:hAnsi="IRNazanin" w:eastAsia="IRNazanin" w:cs="IRNazanin"/>
          <w:lang w:bidi="fa-IR"/>
          <w:color w:val="111111"/>
          <w:sz w:val="28"/>
          <w:szCs w:val="28"/>
          <w:rtl/>
        </w:rPr>
        <w:t xml:space="preserve">[شماره صفحه واقعی : 490]
</w:t>
      </w:r>
    </w:p>
    <w:p>
      <w:pPr>
        <w:sectPr>
          <w:footerReference w:type="default" r:id="rId16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علیها أکثر من أیّة أمّة أخری، فکانت مسلوبة الحریة فی عهد الدولة الأمویة کلّه، و فی عهد العباسیّین علی طوله، و فی أکثر أیّام الدولة العثمانیّة، و لأجله استشعروا بشعار التقیّة أکثر من أیّ قوم، و لما کانت الشیعة تختلف عن الطوائف المخالفة لها فی قسم مهم من الاعتقادات فی أصول الدین و فی کثیر من الأحکام الفقهیة، و المخالفة تستجلب بالطبع رقابة، و تصدّقه التجارب، لذلک أصبحت الشّیعة مضطرّة فی أکثر الأحیان إلی کتمان ما تختصّ به من عادة أو عقیدة أو فتوی، و کتاب أو غیر ذلک، تبتغی بهذا الکتمان صیانة النفس و النفیس، و المحافظة علی الوداد و الأخوّة مع سائر إخوانهم المسلمین لئلاّ تنشقّ عصا الطاعة، و لکی لا یحسّ الکفّار بوجود اختلاف ما فی المجتمع الإسلامی فیوسع الخلاف بین الأُمّة المحمّدیة -إلی أن قال: -لقد کانت التقیة شعاراً لآل البیت علیهم السلام دفعاً للضرر عنهم و من أتباعهم و حقنا لدمائهم و استصلاحاً لحال المسلمین و جمعاً لکلمتهم و لمّاً لشعثهم، و ما زالت سمة تعرف بها الإمامیة دون غیرها من الطوائف و الأُمم، و کلّ إنسان إذا أحسّ بالخطر علی نفسه، أو ماله بسبب نشر معتقده، أو التظاهر به لا بدّ أن یکتم و یتّقی مواضع الخطر، و هذا أمر تقتضیه فطرة العقول -إلی آخر ما قال -. </w:t>
      </w:r>
      <w:r>
        <w:rPr>
          <w:rStyle w:val="FootnoteReference"/>
        </w:rPr>
        <w:footnoteReference w:id="4978"/>
      </w:r>
    </w:p>
    <w:p>
      <w:pPr>
        <w:pStyle w:val="BookText"/>
      </w:pPr>
      <w:r>
        <w:rPr>
          <w:rFonts w:ascii="IRNazanin" w:hAnsi="IRNazanin" w:eastAsia="IRNazanin" w:cs="IRNazanin"/>
          <w:lang w:bidi="fa-IR"/>
          <w:color w:val="111111"/>
          <w:sz w:val="28"/>
          <w:szCs w:val="28"/>
          <w:rtl/>
        </w:rPr>
        <w:t xml:space="preserve">[شماره صفحه واقعی : 491]
</w:t>
      </w:r>
    </w:p>
    <w:p>
      <w:pPr>
        <w:sectPr>
          <w:footerReference w:type="default" r:id="rId16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أسأل اللّه تعالی البصیرة فی الدین و توحید صفوف المسلمین فی سبیل الحق و الیقین</w:t>
      </w:r>
    </w:p>
    <w:p>
      <w:pPr>
        <w:pStyle w:val="BookText"/>
      </w:pPr>
      <w:r>
        <w:rPr>
          <w:rFonts w:ascii="Amiri" w:hAnsi="Amiri" w:eastAsia="Amiri" w:cs="Amiri"/>
          <w:lang w:bidi="ar-SA"/>
          <w:color w:val="111111"/>
          <w:sz w:val="28"/>
          <w:szCs w:val="28"/>
          <w:rtl/>
        </w:rPr>
        <w:t xml:space="preserve">«قُلْ هٰذِهِ سَبِیلِی أَدْعُوا إِلَی اللّٰهِ عَلیٰ بَصِیرَةٍ أَنَا وَ مَنِ اتَّبَعَنِی» </w:t>
      </w:r>
      <w:r>
        <w:rPr>
          <w:rStyle w:val="FootnoteReference"/>
        </w:rPr>
        <w:footnoteReference w:id="49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الحمد للّه رب العالمین.</w:t>
      </w:r>
    </w:p>
    <w:p>
      <w:pPr>
        <w:pStyle w:val="BookText"/>
      </w:pPr>
      <w:r>
        <w:rPr>
          <w:rFonts w:ascii="IRNazanin" w:hAnsi="IRNazanin" w:eastAsia="IRNazanin" w:cs="IRNazanin"/>
          <w:lang w:bidi="fa-IR"/>
          <w:color w:val="111111"/>
          <w:sz w:val="28"/>
          <w:szCs w:val="28"/>
          <w:rtl/>
        </w:rPr>
        <w:t xml:space="preserve">[شماره صفحه واقعی : 492]
</w:t>
      </w:r>
    </w:p>
    <w:p>
      <w:pPr>
        <w:sectPr>
          <w:footerReference w:type="default" r:id="rId1639"/>
          <w:footnotePr>
            <w:numStart w:val="1"/>
            <w:numRestart w:val="eachPage"/>
          </w:footnotePr>
          <w:pgSz w:orient="portrait" w:w="11905.511811023622" w:h="16837.79527559055"/>
          <w:pgMar w:top="1440" w:right="1440" w:bottom="1440" w:left="1440" w:header="720" w:footer="720" w:gutter="0"/>
          <w:cols w:num="1" w:space="720"/>
        </w:sectPr>
      </w:pPr>
    </w:p>
    <w:bookmarkStart w:id="884" w:name="pg14411_144021"/>
    <w:bookmarkEnd w:id="884"/>
    <w:p>
      <w:pPr>
        <w:pStyle w:val="Heading4"/>
      </w:pPr>
      <w:bookmarkStart w:id="2703" w:name="_Toc1738"/>
      <w:r>
        <w:t>فهرس المصادر</w:t>
      </w:r>
      <w:bookmarkEnd w:id="270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القرآن الکریم، کلام اللّه جلّ جلاله.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إثبات وجود خدا (فارسی)، جان کلور مونسما، المترجم، أحمد آرام، انتشارات حقیقت، تهران، 1355 ش.</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الإتقان فی علوم القرآن، السیوطی، جلال الدین عبد الرحمن بن أبی بکر، منشورات الرضی، قم المقدسة.</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الأمالی، الصدوق، أبو جعفر محمد بن علی بن الحسین بن بابویه، مؤسسة الأعلمی للمطبوعات، بیروت، 1400 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أحکام القرآن،الجصّاص، أحمد بن علی الرازی، دار الکتاب العربی، بیروت، 1335 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إلجاء العوام عن علم الکلام، الغزالی، أبو حامد محمد بن محمد بن محمد الطوسی، دار الکتاب العربی، بیروت، 1406 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الإلهیات علی هدی الکتاب و السنة و العقل ، السبحانی ، جعفر،</w:t>
      </w:r>
    </w:p>
    <w:p>
      <w:pPr>
        <w:pStyle w:val="BookText"/>
      </w:pPr>
      <w:r>
        <w:rPr>
          <w:rFonts w:ascii="IRNazanin" w:hAnsi="IRNazanin" w:eastAsia="IRNazanin" w:cs="IRNazanin"/>
          <w:lang w:bidi="fa-IR"/>
          <w:color w:val="111111"/>
          <w:sz w:val="28"/>
          <w:szCs w:val="28"/>
          <w:rtl/>
        </w:rPr>
        <w:t xml:space="preserve">[شماره صفحه واقعی : 493]
</w:t>
      </w:r>
    </w:p>
    <w:p>
      <w:pPr>
        <w:sectPr>
          <w:footerReference w:type="default" r:id="rId16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الدار الإسلامیة، بیروت، 1410ق.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أصول الفلسفة (فارسی)، الطباطبائی، السید محمد حسین، دار العلم، قم المقدسة، 1350 ش.</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الأسفار الأربعة فی الحکمة الإلهیة، صدر الدین محمد بن ابراهیم الشیرازی، مکتبة المصطفوی، قم المقدسة.</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الإبانة عن أُصول الدیانة، الأشعری، ابو الحسن علی بن إسماعیل، مکتبة دار البیان، السوریة، 1416 ق.</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أساس التقدیس، فخر الدین الرازی، أبو عبد اللّه محمد بن عمر بن الحسین، مکتبة العبیکان، الریاض، 1413 ق.</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الاقتصاد فی الاعتقاد، الغزالی، أبو حامد محمد بن محمد بن محمد الطوسی، دار مکتبة الهلال، بیروت، 1421 ق.</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أجود التقریرات، الإمام الخوئی، السید أبو القاسم، مکتبة المصطفوی، قم المقدسة.</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الاعتقادات فی دین الإمامیة، الصدوق، أبو جعفر محمد بن علی بن الحسین بن بابویه، المطبعة العلمیّة، قم المقدسة، 1412 ق.</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إظهار الحق، الهندی، الشیخ رحمة اللّه بن خلیل الرحمن، دار الفکر، القاهرة.</w:t>
      </w:r>
    </w:p>
    <w:p>
      <w:pPr>
        <w:pStyle w:val="BookText"/>
      </w:pPr>
      <w:r>
        <w:rPr>
          <w:rFonts w:ascii="IRNazanin" w:hAnsi="IRNazanin" w:eastAsia="IRNazanin" w:cs="IRNazanin"/>
          <w:lang w:bidi="fa-IR"/>
          <w:color w:val="111111"/>
          <w:sz w:val="28"/>
          <w:szCs w:val="28"/>
          <w:rtl/>
        </w:rPr>
        <w:t xml:space="preserve">[شماره صفحه واقعی : 494]
</w:t>
      </w:r>
    </w:p>
    <w:p>
      <w:pPr>
        <w:sectPr>
          <w:footerReference w:type="default" r:id="rId16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16.الإصابة فی تمییز الصحابة، ابن حجر العسقلانی، أحمد بن علی، دار الکتب العلمیة، بیروت، 1423ق.</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أسد الغابة، ابن الأثیر، عز الدین علی بن محمد الجزری، تحقیق علی محمد معوّض، و عادل أحمد عبد الموجود، دار الکتب العلمیة، بیروت.</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أُصول الدین، البغدادی، أبو منصور عبد القاهر بن طاهر تمیمی، دار الفکر، بیروت، 1417 ق.</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الإمامة و السیاسة، ابن قتیبة الدینوری، عبد اللّه بن مسلم، دار المعرفة، بیروت.</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أوائل المقالات فی المذاهب و المختارات، الشیخ المفید، محمد بن محمد بن نعمان، المؤتمر العالمی للشیخ المفید، قم المقدسة، 1413 ق.</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أنوار الملکوت فی شرح الیاقوت، العلامة الحلّی، جمال الدین الحسن بن یوسف، منشورات الرضی، قم المقدسة، 1414 ق.</w:t>
      </w:r>
    </w:p>
    <w:p>
      <w:pPr>
        <w:pStyle w:val="BookText"/>
      </w:pPr>
      <w:r>
        <w:rPr>
          <w:rFonts w:ascii="IRNazanin" w:hAnsi="IRNazanin" w:eastAsia="IRNazanin" w:cs="IRNazanin"/>
          <w:lang w:bidi="fa-IR"/>
          <w:color w:val="111111"/>
          <w:sz w:val="28"/>
          <w:szCs w:val="28"/>
          <w:rtl/>
        </w:rPr>
        <w:t xml:space="preserve">22.الاعتصام بالکتاب و السنة، السبحانی، جعفر، مؤسسة الإمام الصادق7، قم المقدسة، 1414ق.</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الأحکام السلطانیة، الماوردی، أبو الحسن علی بن محمد بن حبیب البصری البغدادی، دار الفکر، بیروت.</w:t>
      </w:r>
    </w:p>
    <w:p>
      <w:pPr>
        <w:pStyle w:val="BookText"/>
      </w:pPr>
      <w:r>
        <w:rPr>
          <w:rFonts w:ascii="IRNazanin" w:hAnsi="IRNazanin" w:eastAsia="IRNazanin" w:cs="IRNazanin"/>
          <w:lang w:bidi="fa-IR"/>
          <w:color w:val="111111"/>
          <w:sz w:val="28"/>
          <w:szCs w:val="28"/>
          <w:rtl/>
        </w:rPr>
        <w:t xml:space="preserve">[شماره صفحه واقعی : 495]
</w:t>
      </w:r>
    </w:p>
    <w:p>
      <w:pPr>
        <w:sectPr>
          <w:footerReference w:type="default" r:id="rId16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أنوار التنزیل و أسرار التأویل، البیضاوی، ناصر الدین أبو سعید عبد الله بن عمر بن محمد، مؤسسة الأعلمی، بیروت، 1410 ق.</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إعجاز القرآن، الجرجانی، عبد القاهر،</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إرشاد الطالبین، السیوری، مقداد بن عبد اللّه، مکتبة المرعشی النجفی، قم المقدسة، 1405ق.</w:t>
      </w:r>
    </w:p>
    <w:p>
      <w:pPr>
        <w:pStyle w:val="BookText"/>
      </w:pPr>
      <w:r>
        <w:rPr>
          <w:rFonts w:ascii="IRNazanin" w:hAnsi="IRNazanin" w:eastAsia="IRNazanin" w:cs="IRNazanin"/>
          <w:lang w:bidi="fa-IR"/>
          <w:color w:val="111111"/>
          <w:sz w:val="28"/>
          <w:szCs w:val="28"/>
          <w:rtl/>
        </w:rPr>
        <w:t xml:space="preserve">ب</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البرهان علی صحة طول عمر الإمام صاحب الزمان (عج)،الکراجکی، الشیخ ابو الفتح، ضمن کتاب کنز الفوائد، دار الذخائر، قم.</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البرهان فی تفسیر القرآن، البحرانی، السید هاشم، دار الکتب العلمیة، قم المقدسة.</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البیان و التبیین، الجاحظ، أبو عثمان عمرو بن بحر کنانی، عبد السلام محمد هارون، القاهرة -1968 م.</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بین یدی الساعة، الدکتور عبد الباقی،</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بحار الأنوار، المجلسی، المولی محمد باقر، المکتبة الإسلامیة، تهران.</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بدایة الحکمة، الطباطبائی، السید محمد حسین، المکتبة الطباطبائی، قم المقدسة.</w:t>
      </w:r>
    </w:p>
    <w:p>
      <w:pPr>
        <w:pStyle w:val="BookText"/>
      </w:pPr>
      <w:r>
        <w:rPr>
          <w:rFonts w:ascii="IRNazanin" w:hAnsi="IRNazanin" w:eastAsia="IRNazanin" w:cs="IRNazanin"/>
          <w:lang w:bidi="fa-IR"/>
          <w:color w:val="111111"/>
          <w:sz w:val="28"/>
          <w:szCs w:val="28"/>
          <w:rtl/>
        </w:rPr>
        <w:t xml:space="preserve">[شماره صفحه واقعی : 496]
</w:t>
      </w:r>
    </w:p>
    <w:p>
      <w:pPr>
        <w:sectPr>
          <w:footerReference w:type="default" r:id="rId16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بحوث فی الملل و النحل، السبحانی، جعفر، مؤسسة الإمام الصادق علیه السلام ، قم المقدسة، 1416ق.</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البیان فی تفسیر القرآن، الإمام الخوئی، السید أبو القاسم، أنوار الهدی، قم المقدسة، 1401ق.</w:t>
      </w:r>
    </w:p>
    <w:p>
      <w:pPr>
        <w:pStyle w:val="BookText"/>
      </w:pPr>
      <w:r>
        <w:rPr>
          <w:rFonts w:ascii="IRNazanin" w:hAnsi="IRNazanin" w:eastAsia="IRNazanin" w:cs="IRNazanin"/>
          <w:lang w:bidi="fa-IR"/>
          <w:color w:val="111111"/>
          <w:sz w:val="28"/>
          <w:szCs w:val="28"/>
          <w:rtl/>
        </w:rPr>
        <w:t xml:space="preserve">ت</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التوحید، الصدوق، أبو جعفر محمد بن علی بن حسین بن بابویه، دار المعرفة، بیروت.</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تفسیر المنار، عبده، الشیخ محمد، دار المعرفة، بیروت.</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تفسیر المراغی، المراغی، أحمد مصطفی، دار إحیاء التراث العربی، بیروت.</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التعریفات، الجرجانی، السید الشریف علی بن محمد، دار الفکر، بیروت، 1419 ق.</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تنزیه الأنبیاء، السید الشریف المرتضی، أبو القاسم علی بن الحسین الموسوی البغدادی، مکتبة بصیرتی، قم المقدسة.</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تاریخ الأمم و الملوک، الطبری، محمد بن جریر، مکتبة خیّاط، بیروت.</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تصحیح الاعتقاد بصواب الانتقاد، الشیخ المفید، محمد بن محمد بن النعمان، انتشارات الرضی، قم المقدسة.</w:t>
      </w:r>
    </w:p>
    <w:p>
      <w:pPr>
        <w:pStyle w:val="BookText"/>
      </w:pPr>
      <w:r>
        <w:rPr>
          <w:rFonts w:ascii="IRNazanin" w:hAnsi="IRNazanin" w:eastAsia="IRNazanin" w:cs="IRNazanin"/>
          <w:lang w:bidi="fa-IR"/>
          <w:color w:val="111111"/>
          <w:sz w:val="28"/>
          <w:szCs w:val="28"/>
          <w:rtl/>
        </w:rPr>
        <w:t xml:space="preserve">[شماره صفحه واقعی : 497]
</w:t>
      </w:r>
    </w:p>
    <w:p>
      <w:pPr>
        <w:sectPr>
          <w:footerReference w:type="default" r:id="rId16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تلخیص المحصّل، الطوسی، الخواجة نصیر الدین محمد بن محمد بن الحسن، دار الأضواء، بیروت، 1405 ق.</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تاریخ المذاهب الإسلامیة، أبو زهرة، محمّد، دار الفکر العربی، قاهرة، 1989 م.</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تفسیر القرآن العظیم، ابن کثیر الدمشقی، عماد الدین ابو الفداء اسماعیل، دار الأندلس، بیروت، 1416 ق.</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تاریخ حصر الاجتهاد، الطهرانی، الشیخ، آغا بزرگ، مدرسة الإمام المهدی (عج)، خوانسار -ایران، 1401 ق.</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تنبیه الأمة و تنزیه الملّة، النائینی، الشیخ محمد حسین، شرکت سهامی انتشار، تهران.</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تمهید الأوائل و تلخیص الدلائل، الباقلانی، القاضی أبو بکر محمد بن الطیّب، مؤسسة الکتب الثقافیة، بیروت، 1414 ق.</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تهذیب الأصول، السبحانی، جعفر، مطبعة مهر، قم المقدسة.</w:t>
      </w:r>
    </w:p>
    <w:p>
      <w:pPr>
        <w:pStyle w:val="BookText"/>
      </w:pPr>
      <w:r>
        <w:rPr>
          <w:rFonts w:ascii="IRNazanin" w:hAnsi="IRNazanin" w:eastAsia="IRNazanin" w:cs="IRNazanin"/>
          <w:lang w:bidi="fa-IR"/>
          <w:color w:val="111111"/>
          <w:sz w:val="28"/>
          <w:szCs w:val="28"/>
          <w:rtl/>
        </w:rPr>
        <w:t xml:space="preserve">ث</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ثواب الأعمال و عقاب الأعمال، الصدوق، أبو جعفر محمد بن علی بن حسین بن بابویه، مؤسسة الأعلمی للمطبوعات، بیروت، 1410 ق.</w:t>
      </w:r>
    </w:p>
    <w:p>
      <w:pPr>
        <w:pStyle w:val="BookText"/>
      </w:pPr>
      <w:r>
        <w:rPr>
          <w:rFonts w:ascii="IRNazanin" w:hAnsi="IRNazanin" w:eastAsia="IRNazanin" w:cs="IRNazanin"/>
          <w:lang w:bidi="fa-IR"/>
          <w:color w:val="111111"/>
          <w:sz w:val="28"/>
          <w:szCs w:val="28"/>
          <w:rtl/>
        </w:rPr>
        <w:t xml:space="preserve">[شماره صفحه واقعی : 498]
</w:t>
      </w:r>
    </w:p>
    <w:p>
      <w:pPr>
        <w:sectPr>
          <w:footerReference w:type="default" r:id="rId16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جهان بینی علمی (فارسی)، راسل، برتراند، سید حسن منصور، انتشارات آگاه، تهران، 1360 ش.</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الجامع الصحیح (سنن الترمذی)، الترمذی، أبو عیسی، دار الکتب العربی، بیروت، 1423ق.</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جامع الاصول، ابن الأثیر الجزری، علی بن محمد بن محمد بن عبد الواحد، دار الفکر، بیروت، 1403 ق.</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الجامع لأحکام القرآن، القرطبی، محمد بن أحمد، دار الکتاب العربی، بیروت، 1423 ق.</w:t>
      </w:r>
    </w:p>
    <w:p>
      <w:pPr>
        <w:pStyle w:val="BookText"/>
      </w:pPr>
      <w:r>
        <w:rPr>
          <w:rFonts w:ascii="IRNazanin" w:hAnsi="IRNazanin" w:eastAsia="IRNazanin" w:cs="IRNazanin"/>
          <w:lang w:bidi="fa-IR"/>
          <w:color w:val="111111"/>
          <w:sz w:val="28"/>
          <w:szCs w:val="28"/>
          <w:rtl/>
        </w:rPr>
        <w:t xml:space="preserve">ح</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حلیة الأولیاء، الأصفهانی، أبو نعیم أحمد بن عبد اللّه، قاهرة، 1932 م.</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حیاة محمد صلی الله علیه و آله ، هیکل، محمد حسین، مکتبة النهضة المصریة، قاهرة، 1968 م.</w:t>
      </w:r>
    </w:p>
    <w:p>
      <w:pPr>
        <w:pStyle w:val="BookText"/>
      </w:pPr>
      <w:r>
        <w:rPr>
          <w:rFonts w:ascii="IRNazanin" w:hAnsi="IRNazanin" w:eastAsia="IRNazanin" w:cs="IRNazanin"/>
          <w:lang w:bidi="fa-IR"/>
          <w:color w:val="111111"/>
          <w:sz w:val="28"/>
          <w:szCs w:val="28"/>
          <w:rtl/>
        </w:rPr>
        <w:t xml:space="preserve">خ</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الخصال، الصدوق، أبو جعفر محمد بن علی بن حسین بن بابویه، المکتبة الإسلامیة، تهران، 1351 ش.</w:t>
      </w:r>
    </w:p>
    <w:p>
      <w:pPr>
        <w:pStyle w:val="BookText"/>
      </w:pPr>
      <w:r>
        <w:rPr>
          <w:rFonts w:ascii="IRNazanin" w:hAnsi="IRNazanin" w:eastAsia="IRNazanin" w:cs="IRNazanin"/>
          <w:lang w:bidi="fa-IR"/>
          <w:color w:val="111111"/>
          <w:sz w:val="28"/>
          <w:szCs w:val="28"/>
          <w:rtl/>
        </w:rPr>
        <w:t xml:space="preserve">[شماره صفحه واقعی : 499]
</w:t>
      </w:r>
    </w:p>
    <w:p>
      <w:pPr>
        <w:sectPr>
          <w:footerReference w:type="default" r:id="rId16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الخطط المقریزیة، المقریزی، تقی الدین احمد بن علی، مکتبة مدبولی، قاهرة، 1853 م.</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الخصائص الکبری، السیوطی، جلال الدین عبد الرحمن بن أبی بکر، حیدرآباد بالهند، 1320ه.</w:t>
      </w:r>
    </w:p>
    <w:p>
      <w:pPr>
        <w:pStyle w:val="BookText"/>
      </w:pPr>
      <w:r>
        <w:rPr>
          <w:rFonts w:ascii="IRNazanin" w:hAnsi="IRNazanin" w:eastAsia="IRNazanin" w:cs="IRNazanin"/>
          <w:lang w:bidi="fa-IR"/>
          <w:color w:val="111111"/>
          <w:sz w:val="28"/>
          <w:szCs w:val="28"/>
          <w:rtl/>
        </w:rPr>
        <w:t xml:space="preserve">د</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الدر المنثور، السیوطی، جلال الدین عبد الرحمن بن أبی بکر، دار احیاء التراث العربی، بیروت، 1421 ق.</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دلائل الصدق، المظفر، الشیخ محمد حسن، مکتبة النجاح، تهران.</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دائرة المعارف القرن العشرین، فرید وجدی، محمد، دار المعرفة، بیروت.</w:t>
      </w:r>
    </w:p>
    <w:p>
      <w:pPr>
        <w:pStyle w:val="BookText"/>
      </w:pPr>
      <w:r>
        <w:rPr>
          <w:rFonts w:ascii="IRNazanin" w:hAnsi="IRNazanin" w:eastAsia="IRNazanin" w:cs="IRNazanin"/>
          <w:lang w:bidi="fa-IR"/>
          <w:color w:val="111111"/>
          <w:sz w:val="28"/>
          <w:szCs w:val="28"/>
          <w:rtl/>
        </w:rPr>
        <w:t xml:space="preserve">ذ</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الذخیرة فی علم الکلام، السید الشریف المرتضی، ابو القاسم علی بن الحسین الموسوی البغدادی، مؤسسة النشر الإسلامی، قم المقدسة، 1411 ق.</w:t>
      </w:r>
    </w:p>
    <w:p>
      <w:pPr>
        <w:pStyle w:val="BookText"/>
      </w:pPr>
      <w:r>
        <w:rPr>
          <w:rFonts w:ascii="IRNazanin" w:hAnsi="IRNazanin" w:eastAsia="IRNazanin" w:cs="IRNazanin"/>
          <w:lang w:bidi="fa-IR"/>
          <w:color w:val="111111"/>
          <w:sz w:val="28"/>
          <w:szCs w:val="28"/>
          <w:rtl/>
        </w:rPr>
        <w:t xml:space="preserve">ر</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الرسائل، الإمام الخمینی، السید روح اللّه، مؤسسة اسماعیلیان، قم المقدسة، 1385 ق.</w:t>
      </w:r>
    </w:p>
    <w:p>
      <w:pPr>
        <w:pStyle w:val="BookText"/>
      </w:pPr>
      <w:r>
        <w:rPr>
          <w:rFonts w:ascii="IRNazanin" w:hAnsi="IRNazanin" w:eastAsia="IRNazanin" w:cs="IRNazanin"/>
          <w:lang w:bidi="fa-IR"/>
          <w:color w:val="111111"/>
          <w:sz w:val="28"/>
          <w:szCs w:val="28"/>
          <w:rtl/>
        </w:rPr>
        <w:t xml:space="preserve">[شماره صفحه واقعی : 500]
</w:t>
      </w:r>
    </w:p>
    <w:p>
      <w:pPr>
        <w:sectPr>
          <w:footerReference w:type="default" r:id="rId16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رسالة التوحید، عبده، الشیخ محمد، دار ابن حزم، بیروت، 1421 ق.</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روح المعانی، الآلوسی، السید محمود، دار الفکر، بیروت.</w:t>
      </w:r>
    </w:p>
    <w:p>
      <w:pPr>
        <w:pStyle w:val="BookText"/>
      </w:pPr>
      <w:r>
        <w:rPr>
          <w:rFonts w:ascii="IRNazanin" w:hAnsi="IRNazanin" w:eastAsia="IRNazanin" w:cs="IRNazanin"/>
          <w:lang w:bidi="fa-IR"/>
          <w:color w:val="111111"/>
          <w:sz w:val="28"/>
          <w:szCs w:val="28"/>
          <w:rtl/>
        </w:rPr>
        <w:t xml:space="preserve">س</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السیرة النبویة، ابن هشام، عبد الملک بن هشام بن ایّوب الحمیری، دار المعرفة، بیروت.</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سنن ابن ماجة، ابن ماجة القزوینی، محمد بن یزید، دار احیاء التراث العربی، بیروت، 1395ق.</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سنن أبی داود، السجستانی، أبو داود سلیمان بن الأشعث، دار الکتب العلمیة، بیروت، 1422ق.</w:t>
      </w:r>
    </w:p>
    <w:p>
      <w:pPr>
        <w:pStyle w:val="BookText"/>
      </w:pPr>
      <w:r>
        <w:rPr>
          <w:rFonts w:ascii="IRNazanin" w:hAnsi="IRNazanin" w:eastAsia="IRNazanin" w:cs="IRNazanin"/>
          <w:lang w:bidi="fa-IR"/>
          <w:color w:val="111111"/>
          <w:sz w:val="28"/>
          <w:szCs w:val="28"/>
          <w:rtl/>
        </w:rPr>
        <w:t xml:space="preserve">ش</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IRNazanin" w:hAnsi="IRNazanin" w:eastAsia="IRNazanin" w:cs="IRNazanin"/>
          <w:lang w:bidi="fa-IR"/>
          <w:color w:val="111111"/>
          <w:sz w:val="28"/>
          <w:szCs w:val="28"/>
          <w:rtl/>
        </w:rPr>
        <w:t xml:space="preserve">شرح المواقف، الجرجانی، السید الشریف علی بن محمد، منشورات الشریف الرضی، قم المقدسة، 1412 ق.</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شرح المنظومة، السبزواری، المولی هادی، النسخة الناصریة، 1367 ق.</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IRNazanin" w:hAnsi="IRNazanin" w:eastAsia="IRNazanin" w:cs="IRNazanin"/>
          <w:lang w:bidi="fa-IR"/>
          <w:color w:val="111111"/>
          <w:sz w:val="28"/>
          <w:szCs w:val="28"/>
          <w:rtl/>
        </w:rPr>
        <w:t xml:space="preserve">شرح التجرید، القوشجی، المولی علی، منشورات الشریف الرضی، قم المقدسة.</w:t>
      </w:r>
    </w:p>
    <w:p>
      <w:pPr>
        <w:pStyle w:val="BookText"/>
      </w:pPr>
      <w:r>
        <w:rPr>
          <w:rFonts w:ascii="IRNazanin" w:hAnsi="IRNazanin" w:eastAsia="IRNazanin" w:cs="IRNazanin"/>
          <w:lang w:bidi="fa-IR"/>
          <w:color w:val="111111"/>
          <w:sz w:val="28"/>
          <w:szCs w:val="28"/>
          <w:rtl/>
        </w:rPr>
        <w:t xml:space="preserve">[شماره صفحه واقعی : 501]
</w:t>
      </w:r>
    </w:p>
    <w:p>
      <w:pPr>
        <w:sectPr>
          <w:footerReference w:type="default" r:id="rId16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72.شرح الأصول الخمسة، الهمدانی، القاضی عبد الجبار بن احمد، دار احیاء التراث العربی، بیروت، 1422 ق.</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IRNazanin" w:hAnsi="IRNazanin" w:eastAsia="IRNazanin" w:cs="IRNazanin"/>
          <w:lang w:bidi="fa-IR"/>
          <w:color w:val="111111"/>
          <w:sz w:val="28"/>
          <w:szCs w:val="28"/>
          <w:rtl/>
        </w:rPr>
        <w:t xml:space="preserve">شرح العقائد النسفیة، التفتازانی، سعد الدین مسعود بن عمر بن عبد الله، مطبعة مولوی محمد عارف، 1364 ش.</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IRNazanin" w:hAnsi="IRNazanin" w:eastAsia="IRNazanin" w:cs="IRNazanin"/>
          <w:lang w:bidi="fa-IR"/>
          <w:color w:val="111111"/>
          <w:sz w:val="28"/>
          <w:szCs w:val="28"/>
          <w:rtl/>
        </w:rPr>
        <w:t xml:space="preserve">شرح المقاصد، التفتازانی، سعد الدین مسعود بن عمر بن عبد الله، منشورات الشریف الرضی، قم المقدسة.</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IRNazanin" w:hAnsi="IRNazanin" w:eastAsia="IRNazanin" w:cs="IRNazanin"/>
          <w:lang w:bidi="fa-IR"/>
          <w:color w:val="111111"/>
          <w:sz w:val="28"/>
          <w:szCs w:val="28"/>
          <w:rtl/>
        </w:rPr>
        <w:t xml:space="preserve">شرح الإشارات، الطوسی، الخواجة نصیر الدین محمد بن محمد بن الحسن، دفتر نشر الکتاب، 1403 ق.</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IRNazanin" w:hAnsi="IRNazanin" w:eastAsia="IRNazanin" w:cs="IRNazanin"/>
          <w:lang w:bidi="fa-IR"/>
          <w:color w:val="111111"/>
          <w:sz w:val="28"/>
          <w:szCs w:val="28"/>
          <w:rtl/>
        </w:rPr>
        <w:t xml:space="preserve">شرح العقائد العضدیة، الدوانی، جلال الدین، مع تعلیقات السید جمال الدین الأفغانی، مکتبة الشروق الدولیة، القاهرة، 1381 ق.</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IRNazanin" w:hAnsi="IRNazanin" w:eastAsia="IRNazanin" w:cs="IRNazanin"/>
          <w:lang w:bidi="fa-IR"/>
          <w:color w:val="111111"/>
          <w:sz w:val="28"/>
          <w:szCs w:val="28"/>
          <w:rtl/>
        </w:rPr>
        <w:t xml:space="preserve">شرح العقیدة الطحاویة، الحنفی، ابن أبی العزّ، طبعة جدیدة، مخرّجة الأحادیث، کراچی.</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IRNazanin" w:hAnsi="IRNazanin" w:eastAsia="IRNazanin" w:cs="IRNazanin"/>
          <w:lang w:bidi="fa-IR"/>
          <w:color w:val="111111"/>
          <w:sz w:val="28"/>
          <w:szCs w:val="28"/>
          <w:rtl/>
        </w:rPr>
        <w:t xml:space="preserve">الشفاء الإلهیات، ابن سینا، أبو علی حسین بن عبد الله، راجعه و قدّم له الدکتور ابراهیم مذکور، الجمهوریة العربیة المتحدة.</w:t>
      </w:r>
    </w:p>
    <w:p>
      <w:pPr>
        <w:pStyle w:val="BookText"/>
      </w:pPr>
      <w:r>
        <w:rPr>
          <w:rFonts w:ascii="IRNazanin" w:hAnsi="IRNazanin" w:eastAsia="IRNazanin" w:cs="IRNazanin"/>
          <w:lang w:bidi="fa-IR"/>
          <w:color w:val="111111"/>
          <w:sz w:val="28"/>
          <w:szCs w:val="28"/>
          <w:rtl/>
        </w:rPr>
        <w:t xml:space="preserve">ص</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IRNazanin" w:hAnsi="IRNazanin" w:eastAsia="IRNazanin" w:cs="IRNazanin"/>
          <w:lang w:bidi="fa-IR"/>
          <w:color w:val="111111"/>
          <w:sz w:val="28"/>
          <w:szCs w:val="28"/>
          <w:rtl/>
        </w:rPr>
        <w:t xml:space="preserve">صحیح البخاری، البخاری، محمد بن اسماعیل، دار المعرفة، بیروت.</w:t>
      </w:r>
    </w:p>
    <w:p>
      <w:pPr>
        <w:pStyle w:val="BookText"/>
      </w:pPr>
      <w:r>
        <w:rPr>
          <w:rFonts w:ascii="IRNazanin" w:hAnsi="IRNazanin" w:eastAsia="IRNazanin" w:cs="IRNazanin"/>
          <w:lang w:bidi="fa-IR"/>
          <w:color w:val="111111"/>
          <w:sz w:val="28"/>
          <w:szCs w:val="28"/>
          <w:rtl/>
        </w:rPr>
        <w:t xml:space="preserve">[شماره صفحه واقعی : 502]
</w:t>
      </w:r>
    </w:p>
    <w:p>
      <w:pPr>
        <w:sectPr>
          <w:footerReference w:type="default" r:id="rId16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IRNazanin" w:hAnsi="IRNazanin" w:eastAsia="IRNazanin" w:cs="IRNazanin"/>
          <w:lang w:bidi="fa-IR"/>
          <w:color w:val="111111"/>
          <w:sz w:val="28"/>
          <w:szCs w:val="28"/>
          <w:rtl/>
        </w:rPr>
        <w:t xml:space="preserve">صحیح مسلم، النیشابوری، مسلم بن الحجاج، دار إحیاء التراث العربی، بیروت.</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IRNazanin" w:hAnsi="IRNazanin" w:eastAsia="IRNazanin" w:cs="IRNazanin"/>
          <w:lang w:bidi="fa-IR"/>
          <w:color w:val="111111"/>
          <w:sz w:val="28"/>
          <w:szCs w:val="28"/>
          <w:rtl/>
        </w:rPr>
        <w:t xml:space="preserve">صبح الأعشی، القلقشندی، احمد بن علی، دار الکتب العلمیة، بیروت، 1407 ق.</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IRNazanin" w:hAnsi="IRNazanin" w:eastAsia="IRNazanin" w:cs="IRNazanin"/>
          <w:lang w:bidi="fa-IR"/>
          <w:color w:val="111111"/>
          <w:sz w:val="28"/>
          <w:szCs w:val="28"/>
          <w:rtl/>
        </w:rPr>
        <w:t xml:space="preserve">صیانة القرآن عن التحریف، معرفة، محمد هادی، دار القرآن الکریم، قم، 1410 قم.</w:t>
      </w:r>
    </w:p>
    <w:p>
      <w:pPr>
        <w:pStyle w:val="BookText"/>
      </w:pPr>
      <w:r>
        <w:rPr>
          <w:rFonts w:ascii="IRNazanin" w:hAnsi="IRNazanin" w:eastAsia="IRNazanin" w:cs="IRNazanin"/>
          <w:lang w:bidi="fa-IR"/>
          <w:color w:val="111111"/>
          <w:sz w:val="28"/>
          <w:szCs w:val="28"/>
          <w:rtl/>
        </w:rPr>
        <w:t xml:space="preserve">ط</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IRNazanin" w:hAnsi="IRNazanin" w:eastAsia="IRNazanin" w:cs="IRNazanin"/>
          <w:lang w:bidi="fa-IR"/>
          <w:color w:val="111111"/>
          <w:sz w:val="28"/>
          <w:szCs w:val="28"/>
          <w:rtl/>
        </w:rPr>
        <w:t xml:space="preserve">الصحیفة السجادیة، الإمام علی بن الحسین زین العابدین7، مؤسسة النشر الاسلامی، قم المقدسة.</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IRNazanin" w:hAnsi="IRNazanin" w:eastAsia="IRNazanin" w:cs="IRNazanin"/>
          <w:lang w:bidi="fa-IR"/>
          <w:color w:val="111111"/>
          <w:sz w:val="28"/>
          <w:szCs w:val="28"/>
          <w:rtl/>
        </w:rPr>
        <w:t xml:space="preserve">الطبقات الکبریٰ، الکاتب الواقدی، محمد بن أسعد، مکتبة العلوم و الحکم، المدینة المنوّرة، 1425 ق.</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IRNazanin" w:hAnsi="IRNazanin" w:eastAsia="IRNazanin" w:cs="IRNazanin"/>
          <w:lang w:bidi="fa-IR"/>
          <w:color w:val="111111"/>
          <w:sz w:val="28"/>
          <w:szCs w:val="28"/>
          <w:rtl/>
        </w:rPr>
        <w:t xml:space="preserve">الطراز المتضمن لأسرار البلاغة، العلوی، السید یحیی بن حمزة، مؤسسة النصر، طهران، 1332ق.</w:t>
      </w:r>
    </w:p>
    <w:p>
      <w:pPr>
        <w:pStyle w:val="BookText"/>
      </w:pPr>
      <w:r>
        <w:rPr>
          <w:rFonts w:ascii="IRNazanin" w:hAnsi="IRNazanin" w:eastAsia="IRNazanin" w:cs="IRNazanin"/>
          <w:lang w:bidi="fa-IR"/>
          <w:color w:val="111111"/>
          <w:sz w:val="28"/>
          <w:szCs w:val="28"/>
          <w:rtl/>
        </w:rPr>
        <w:t xml:space="preserve">ع</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IRNazanin" w:hAnsi="IRNazanin" w:eastAsia="IRNazanin" w:cs="IRNazanin"/>
          <w:lang w:bidi="fa-IR"/>
          <w:color w:val="111111"/>
          <w:sz w:val="28"/>
          <w:szCs w:val="28"/>
          <w:rtl/>
        </w:rPr>
        <w:t xml:space="preserve">عیون أخبار الرضا7، الصدوق، أبو جعفر محمد بن علی بن حسین بن بابویه، انتشارات جهان، تهران.</w:t>
      </w:r>
    </w:p>
    <w:p>
      <w:pPr>
        <w:pStyle w:val="BookText"/>
      </w:pPr>
      <w:r>
        <w:rPr>
          <w:rFonts w:ascii="IRNazanin" w:hAnsi="IRNazanin" w:eastAsia="IRNazanin" w:cs="IRNazanin"/>
          <w:lang w:bidi="fa-IR"/>
          <w:color w:val="111111"/>
          <w:sz w:val="28"/>
          <w:szCs w:val="28"/>
          <w:rtl/>
        </w:rPr>
        <w:t xml:space="preserve">[شماره صفحه واقعی : 503]
</w:t>
      </w:r>
    </w:p>
    <w:p>
      <w:pPr>
        <w:sectPr>
          <w:footerReference w:type="default" r:id="rId16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IRNazanin" w:hAnsi="IRNazanin" w:eastAsia="IRNazanin" w:cs="IRNazanin"/>
          <w:lang w:bidi="fa-IR"/>
          <w:color w:val="111111"/>
          <w:sz w:val="28"/>
          <w:szCs w:val="28"/>
          <w:rtl/>
        </w:rPr>
        <w:t xml:space="preserve">غایة المرام فی علم الکلام، سیف الدین الآمدی، أبو الحسن علی بن محمد بن سالم التغلبی، القاهرة، 1391 ق.</w:t>
      </w:r>
    </w:p>
    <w:p>
      <w:pPr>
        <w:pStyle w:val="BookText"/>
      </w:pPr>
      <w:r>
        <w:rPr>
          <w:rFonts w:ascii="IRNazanin" w:hAnsi="IRNazanin" w:eastAsia="IRNazanin" w:cs="IRNazanin"/>
          <w:lang w:bidi="fa-IR"/>
          <w:color w:val="111111"/>
          <w:sz w:val="28"/>
          <w:szCs w:val="28"/>
          <w:rtl/>
        </w:rPr>
        <w:t xml:space="preserve">ف</w:t>
      </w: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IRNazanin" w:hAnsi="IRNazanin" w:eastAsia="IRNazanin" w:cs="IRNazanin"/>
          <w:lang w:bidi="fa-IR"/>
          <w:color w:val="111111"/>
          <w:sz w:val="28"/>
          <w:szCs w:val="28"/>
          <w:rtl/>
        </w:rPr>
        <w:t xml:space="preserve">الفصل فی الملل و الأهواء و النحل، ابن حزم، علی بن احمد الأندلسی، دار إحیاء التراث العربی، 1422 ق.</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IRNazanin" w:hAnsi="IRNazanin" w:eastAsia="IRNazanin" w:cs="IRNazanin"/>
          <w:lang w:bidi="fa-IR"/>
          <w:color w:val="111111"/>
          <w:sz w:val="28"/>
          <w:szCs w:val="28"/>
          <w:rtl/>
        </w:rPr>
        <w:t xml:space="preserve">فجر الإسلام، أمین المصری، أحمد، مکتبة النهضة المصریة، القاهرة، 1961م.</w:t>
      </w:r>
    </w:p>
    <w:p>
      <w:pPr>
        <w:pStyle w:val="BookText"/>
      </w:pPr>
      <w:r>
        <w:rPr>
          <w:rFonts w:ascii="IRNazanin" w:hAnsi="IRNazanin" w:eastAsia="IRNazanin" w:cs="IRNazanin"/>
          <w:lang w:bidi="fa-IR"/>
          <w:color w:val="111111"/>
          <w:sz w:val="28"/>
          <w:szCs w:val="28"/>
          <w:rtl/>
        </w:rPr>
        <w:t xml:space="preserve">ق</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IRNazanin" w:hAnsi="IRNazanin" w:eastAsia="IRNazanin" w:cs="IRNazanin"/>
          <w:lang w:bidi="fa-IR"/>
          <w:color w:val="111111"/>
          <w:sz w:val="28"/>
          <w:szCs w:val="28"/>
          <w:rtl/>
        </w:rPr>
        <w:t xml:space="preserve">قصّة الحضارة، ویل دورانت، زکی نجیب محمود، دار الجیل، بیروت.</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IRNazanin" w:hAnsi="IRNazanin" w:eastAsia="IRNazanin" w:cs="IRNazanin"/>
          <w:lang w:bidi="fa-IR"/>
          <w:color w:val="111111"/>
          <w:sz w:val="28"/>
          <w:szCs w:val="28"/>
          <w:rtl/>
        </w:rPr>
        <w:t xml:space="preserve">قواعد العقائد، الطوسی، الخواجة نصیر الدین محمد بن محمد بن الحسن، تحقیق علی الربانی الگلپایگانی، مرکز مدیریة الحوزة العلمیة، بقم المقدسة، 1416 ق.</w:t>
      </w: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IRNazanin" w:hAnsi="IRNazanin" w:eastAsia="IRNazanin" w:cs="IRNazanin"/>
          <w:lang w:bidi="fa-IR"/>
          <w:color w:val="111111"/>
          <w:sz w:val="28"/>
          <w:szCs w:val="28"/>
          <w:rtl/>
        </w:rPr>
        <w:t xml:space="preserve">قواعد المرام فی علم الکلام، البحرانی، کمال الدین میثم بن علی بن میثم، مکتبة المرعشی النجفی، قم المقدسة، 1406 ق.</w:t>
      </w: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IRNazanin" w:hAnsi="IRNazanin" w:eastAsia="IRNazanin" w:cs="IRNazanin"/>
          <w:lang w:bidi="fa-IR"/>
          <w:color w:val="111111"/>
          <w:sz w:val="28"/>
          <w:szCs w:val="28"/>
          <w:rtl/>
        </w:rPr>
        <w:t xml:space="preserve">القواعد الکلامیة، الربانی الگلپایگانی، علی، مؤسسة الامام الصادق علیه السلام ، قم المقدسة، 1418ق.</w:t>
      </w:r>
    </w:p>
    <w:p>
      <w:pPr>
        <w:pStyle w:val="BookText"/>
      </w:pPr>
      <w:r>
        <w:rPr>
          <w:rFonts w:ascii="IRNazanin" w:hAnsi="IRNazanin" w:eastAsia="IRNazanin" w:cs="IRNazanin"/>
          <w:lang w:bidi="fa-IR"/>
          <w:color w:val="111111"/>
          <w:sz w:val="28"/>
          <w:szCs w:val="28"/>
          <w:rtl/>
        </w:rPr>
        <w:t xml:space="preserve">[شماره صفحه واقعی : 504]
</w:t>
      </w:r>
    </w:p>
    <w:p>
      <w:pPr>
        <w:sectPr>
          <w:footerReference w:type="default" r:id="rId16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w:t>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IRNazanin" w:hAnsi="IRNazanin" w:eastAsia="IRNazanin" w:cs="IRNazanin"/>
          <w:lang w:bidi="fa-IR"/>
          <w:color w:val="111111"/>
          <w:sz w:val="28"/>
          <w:szCs w:val="28"/>
          <w:rtl/>
        </w:rPr>
        <w:t xml:space="preserve">الکامل فی التاریخ، ابن الأثیر، علی بن أبی الکرم الشیبانی، مؤسسة التاریخ العربی، بیروت، 1414 ق.</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IRNazanin" w:hAnsi="IRNazanin" w:eastAsia="IRNazanin" w:cs="IRNazanin"/>
          <w:lang w:bidi="fa-IR"/>
          <w:color w:val="111111"/>
          <w:sz w:val="28"/>
          <w:szCs w:val="28"/>
          <w:rtl/>
        </w:rPr>
        <w:t xml:space="preserve">کمال الدین و تمام النعمة، الصدوق، أبو جعفر محمد بن علی بن حسین بن بابویه، مؤسسة النشر الإسلامی، قم المقدسة، 1416 ق.</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IRNazanin" w:hAnsi="IRNazanin" w:eastAsia="IRNazanin" w:cs="IRNazanin"/>
          <w:lang w:bidi="fa-IR"/>
          <w:color w:val="111111"/>
          <w:sz w:val="28"/>
          <w:szCs w:val="28"/>
          <w:rtl/>
        </w:rPr>
        <w:t xml:space="preserve">کنز العمال، المتقی الهندی، علاء الدین علی، مؤسسة الرسالة -بیروت، 1405 ق.</w:t>
      </w: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IRNazanin" w:hAnsi="IRNazanin" w:eastAsia="IRNazanin" w:cs="IRNazanin"/>
          <w:lang w:bidi="fa-IR"/>
          <w:color w:val="111111"/>
          <w:sz w:val="28"/>
          <w:szCs w:val="28"/>
          <w:rtl/>
        </w:rPr>
        <w:t xml:space="preserve">کشف الشبهات، محمد بن عبد الوهاب، فی مجموعة الجامع الفرید، المدینة المنورة، 1410ق.</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IRNazanin" w:hAnsi="IRNazanin" w:eastAsia="IRNazanin" w:cs="IRNazanin"/>
          <w:lang w:bidi="fa-IR"/>
          <w:color w:val="111111"/>
          <w:sz w:val="28"/>
          <w:szCs w:val="28"/>
          <w:rtl/>
        </w:rPr>
        <w:t xml:space="preserve">کشف المراد، العلاّمة الحلّی، الحسن بن یوسف، مؤسسة النشر الإسلامی، قم المقدسة، 1419ق.</w:t>
      </w: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IRNazanin" w:hAnsi="IRNazanin" w:eastAsia="IRNazanin" w:cs="IRNazanin"/>
          <w:lang w:bidi="fa-IR"/>
          <w:color w:val="111111"/>
          <w:sz w:val="28"/>
          <w:szCs w:val="28"/>
          <w:rtl/>
        </w:rPr>
        <w:t xml:space="preserve">الکافی، الکلینی، محمد بن یعقوب، المکتبة الإسلامیة، تهران، 1388 ق.</w:t>
      </w:r>
    </w:p>
    <w:p>
      <w:pPr>
        <w:pStyle w:val="BookText"/>
      </w:pPr>
      <w:r>
        <w:rPr>
          <w:rFonts w:ascii="IRNazanin" w:hAnsi="IRNazanin" w:eastAsia="IRNazanin" w:cs="IRNazanin"/>
          <w:lang w:bidi="fa-IR"/>
          <w:color w:val="111111"/>
          <w:sz w:val="28"/>
          <w:szCs w:val="28"/>
          <w:rtl/>
        </w:rPr>
        <w:t xml:space="preserve">گ</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IRNazanin" w:hAnsi="IRNazanin" w:eastAsia="IRNazanin" w:cs="IRNazanin"/>
          <w:lang w:bidi="fa-IR"/>
          <w:color w:val="111111"/>
          <w:sz w:val="28"/>
          <w:szCs w:val="28"/>
          <w:rtl/>
        </w:rPr>
        <w:t xml:space="preserve">گوهر مراد (فارسی)، اللاهیجی، المولی عبد الرزاق، وزارة الثقافة و الإرشاد الإسلامی، تهران، 1372 ش.</w:t>
      </w:r>
    </w:p>
    <w:p>
      <w:pPr>
        <w:pStyle w:val="BookText"/>
      </w:pPr>
      <w:r>
        <w:rPr>
          <w:rFonts w:ascii="IRNazanin" w:hAnsi="IRNazanin" w:eastAsia="IRNazanin" w:cs="IRNazanin"/>
          <w:lang w:bidi="fa-IR"/>
          <w:color w:val="111111"/>
          <w:sz w:val="28"/>
          <w:szCs w:val="28"/>
          <w:rtl/>
        </w:rPr>
        <w:t xml:space="preserve">[شماره صفحه واقعی : 505]
</w:t>
      </w:r>
    </w:p>
    <w:p>
      <w:pPr>
        <w:sectPr>
          <w:footerReference w:type="default" r:id="rId16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w:t>
      </w: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IRNazanin" w:hAnsi="IRNazanin" w:eastAsia="IRNazanin" w:cs="IRNazanin"/>
          <w:lang w:bidi="fa-IR"/>
          <w:color w:val="111111"/>
          <w:sz w:val="28"/>
          <w:szCs w:val="28"/>
          <w:rtl/>
        </w:rPr>
        <w:t xml:space="preserve">اللّمع فی الرد علی أهل الزیغ و البدع، الأشعری، أبو الحسن علی بن إسماعیل،</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IRNazanin" w:hAnsi="IRNazanin" w:eastAsia="IRNazanin" w:cs="IRNazanin"/>
          <w:lang w:bidi="fa-IR"/>
          <w:color w:val="111111"/>
          <w:sz w:val="28"/>
          <w:szCs w:val="28"/>
          <w:rtl/>
        </w:rPr>
        <w:t xml:space="preserve">اللوامع الإلهیة، السیوری، مقداد بن عبد اللّه، مکتب الإعلام الاسلامی، قم المقدسة، 1422 ق.</w:t>
      </w:r>
    </w:p>
    <w:p>
      <w:pPr>
        <w:pStyle w:val="BookText"/>
      </w:pPr>
      <w:r>
        <w:rPr>
          <w:rFonts w:ascii="IRNazanin" w:hAnsi="IRNazanin" w:eastAsia="IRNazanin" w:cs="IRNazanin"/>
          <w:lang w:bidi="fa-IR"/>
          <w:color w:val="111111"/>
          <w:sz w:val="28"/>
          <w:szCs w:val="28"/>
          <w:rtl/>
        </w:rPr>
        <w:t xml:space="preserve">م</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IRNazanin" w:hAnsi="IRNazanin" w:eastAsia="IRNazanin" w:cs="IRNazanin"/>
          <w:lang w:bidi="fa-IR"/>
          <w:color w:val="111111"/>
          <w:sz w:val="28"/>
          <w:szCs w:val="28"/>
          <w:rtl/>
        </w:rPr>
        <w:t xml:space="preserve">المفردات فی غریب القرآن، الراغب الأصفهانی، الحسین بن محمد، المکتبة المرتضویة، تهران.</w:t>
      </w:r>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IRNazanin" w:hAnsi="IRNazanin" w:eastAsia="IRNazanin" w:cs="IRNazanin"/>
          <w:lang w:bidi="fa-IR"/>
          <w:color w:val="111111"/>
          <w:sz w:val="28"/>
          <w:szCs w:val="28"/>
          <w:rtl/>
        </w:rPr>
        <w:t xml:space="preserve">مفاهیم القرآن، السبحانی، جعفر، مؤسسة الامام الصادق علیه السلام ، قم المقدسة.</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IRNazanin" w:hAnsi="IRNazanin" w:eastAsia="IRNazanin" w:cs="IRNazanin"/>
          <w:lang w:bidi="fa-IR"/>
          <w:color w:val="111111"/>
          <w:sz w:val="28"/>
          <w:szCs w:val="28"/>
          <w:rtl/>
        </w:rPr>
        <w:t xml:space="preserve">الملل و النحل، الشهرستانی، عبد الکریم، دار المعرفة، بیروت.</w:t>
      </w:r>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IRNazanin" w:hAnsi="IRNazanin" w:eastAsia="IRNazanin" w:cs="IRNazanin"/>
          <w:lang w:bidi="fa-IR"/>
          <w:color w:val="111111"/>
          <w:sz w:val="28"/>
          <w:szCs w:val="28"/>
          <w:rtl/>
        </w:rPr>
        <w:t xml:space="preserve">المنقذ من التقلید، الحمصی الرازی، سدید الدین، مؤسسة النشر الإسلامی، قم المقدسة، 1412 ق.</w:t>
      </w:r>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IRNazanin" w:hAnsi="IRNazanin" w:eastAsia="IRNazanin" w:cs="IRNazanin"/>
          <w:lang w:bidi="fa-IR"/>
          <w:color w:val="111111"/>
          <w:sz w:val="28"/>
          <w:szCs w:val="28"/>
          <w:rtl/>
        </w:rPr>
        <w:t xml:space="preserve">معجم مقاییس اللّغة، ابن فارس، أحمد، دار الفکر، بیروت، 1418 ق.</w:t>
      </w: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IRNazanin" w:hAnsi="IRNazanin" w:eastAsia="IRNazanin" w:cs="IRNazanin"/>
          <w:lang w:bidi="fa-IR"/>
          <w:color w:val="111111"/>
          <w:sz w:val="28"/>
          <w:szCs w:val="28"/>
          <w:rtl/>
        </w:rPr>
        <w:t xml:space="preserve">المغنی فی أبواب التوحید و العدل، الهمدانی، عبد الجبار ابن أحمد، دار الکتب، بیروت، 1382ق.</w:t>
      </w:r>
    </w:p>
    <w:p>
      <w:pPr>
        <w:pStyle w:val="BookText"/>
      </w:pPr>
      <w:r>
        <w:rPr>
          <w:rFonts w:ascii="IRNazanin" w:hAnsi="IRNazanin" w:eastAsia="IRNazanin" w:cs="IRNazanin"/>
          <w:lang w:bidi="fa-IR"/>
          <w:color w:val="111111"/>
          <w:sz w:val="28"/>
          <w:szCs w:val="28"/>
          <w:rtl/>
        </w:rPr>
        <w:t xml:space="preserve">[شماره صفحه واقعی : 506]
</w:t>
      </w:r>
    </w:p>
    <w:p>
      <w:pPr>
        <w:sectPr>
          <w:footerReference w:type="default" r:id="rId16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IRNazanin" w:hAnsi="IRNazanin" w:eastAsia="IRNazanin" w:cs="IRNazanin"/>
          <w:lang w:bidi="fa-IR"/>
          <w:color w:val="111111"/>
          <w:sz w:val="28"/>
          <w:szCs w:val="28"/>
          <w:rtl/>
        </w:rPr>
        <w:t xml:space="preserve">المسائل السرویة، الشیخ المفید، محمد بن محمد بن النعمان، مصنفات الشیخ المفید، المجلد السابع، قم المقدسة، 1413 ق.</w:t>
      </w: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IRNazanin" w:hAnsi="IRNazanin" w:eastAsia="IRNazanin" w:cs="IRNazanin"/>
          <w:lang w:bidi="fa-IR"/>
          <w:color w:val="111111"/>
          <w:sz w:val="28"/>
          <w:szCs w:val="28"/>
          <w:rtl/>
        </w:rPr>
        <w:t xml:space="preserve">منتخب الأثر، الصافی الگلپایگانی، لطف اللّه، مکتبة الداوری، قم المقدسة.</w:t>
      </w:r>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IRNazanin" w:hAnsi="IRNazanin" w:eastAsia="IRNazanin" w:cs="IRNazanin"/>
          <w:lang w:bidi="fa-IR"/>
          <w:color w:val="111111"/>
          <w:sz w:val="28"/>
          <w:szCs w:val="28"/>
          <w:rtl/>
        </w:rPr>
        <w:t xml:space="preserve">مجموعة الرسائل الکبریٰ، ابن تیمیة، أحمد بن عبد الحلیم بن عبد السلام، مکتبة محمد علی صبیح و أولاده، قاهرة، 1385 ق.</w:t>
      </w:r>
    </w:p>
    <w:p>
      <w:pPr>
        <w:pStyle w:val="BookText"/>
      </w:pPr>
      <w:r>
        <w:rPr>
          <w:rFonts w:ascii="Times New Roman" w:hAnsi="Times New Roman" w:eastAsia="Times New Roman" w:cs="Times New Roman"/>
          <w:lang w:val="en-US" w:bidi="en-US"/>
          <w:color w:val="111111"/>
          <w:sz w:val="28"/>
          <w:szCs w:val="28"/>
          <w:rtl/>
        </w:rPr>
        <w:t xml:space="preserve">112.</w:t>
      </w:r>
    </w:p>
    <w:p>
      <w:pPr>
        <w:pStyle w:val="BookText"/>
      </w:pPr>
      <w:r>
        <w:rPr>
          <w:rFonts w:ascii="IRNazanin" w:hAnsi="IRNazanin" w:eastAsia="IRNazanin" w:cs="IRNazanin"/>
          <w:lang w:bidi="fa-IR"/>
          <w:color w:val="111111"/>
          <w:sz w:val="28"/>
          <w:szCs w:val="28"/>
          <w:rtl/>
        </w:rPr>
        <w:t xml:space="preserve">المواقف فی علم الکلام، الإیجی، القاضی عضد الدین عبد الرحمن بن أحمد، عالم الکتب، بیروت.</w:t>
      </w:r>
    </w:p>
    <w:p>
      <w:pPr>
        <w:pStyle w:val="BookText"/>
      </w:pPr>
      <w:r>
        <w:rPr>
          <w:rFonts w:ascii="Times New Roman" w:hAnsi="Times New Roman" w:eastAsia="Times New Roman" w:cs="Times New Roman"/>
          <w:lang w:val="en-US" w:bidi="en-US"/>
          <w:color w:val="111111"/>
          <w:sz w:val="28"/>
          <w:szCs w:val="28"/>
          <w:rtl/>
        </w:rPr>
        <w:t xml:space="preserve">113.</w:t>
      </w:r>
    </w:p>
    <w:p>
      <w:pPr>
        <w:pStyle w:val="BookText"/>
      </w:pPr>
      <w:r>
        <w:rPr>
          <w:rFonts w:ascii="IRNazanin" w:hAnsi="IRNazanin" w:eastAsia="IRNazanin" w:cs="IRNazanin"/>
          <w:lang w:bidi="fa-IR"/>
          <w:color w:val="111111"/>
          <w:sz w:val="28"/>
          <w:szCs w:val="28"/>
          <w:rtl/>
        </w:rPr>
        <w:t xml:space="preserve">من لا یحضره الفقیه، الصدوق، أبو جعفر محمد بن حسین ابن بابویه، دار الکتب الإسلامیة، تهران، 1390 ق.</w:t>
      </w:r>
    </w:p>
    <w:p>
      <w:pPr>
        <w:pStyle w:val="BookText"/>
      </w:pPr>
      <w:r>
        <w:rPr>
          <w:rFonts w:ascii="Times New Roman" w:hAnsi="Times New Roman" w:eastAsia="Times New Roman" w:cs="Times New Roman"/>
          <w:lang w:val="en-US" w:bidi="en-US"/>
          <w:color w:val="111111"/>
          <w:sz w:val="28"/>
          <w:szCs w:val="28"/>
          <w:rtl/>
        </w:rPr>
        <w:t xml:space="preserve">114.</w:t>
      </w:r>
    </w:p>
    <w:p>
      <w:pPr>
        <w:pStyle w:val="BookText"/>
      </w:pPr>
      <w:r>
        <w:rPr>
          <w:rFonts w:ascii="IRNazanin" w:hAnsi="IRNazanin" w:eastAsia="IRNazanin" w:cs="IRNazanin"/>
          <w:lang w:bidi="fa-IR"/>
          <w:color w:val="111111"/>
          <w:sz w:val="28"/>
          <w:szCs w:val="28"/>
          <w:rtl/>
        </w:rPr>
        <w:t xml:space="preserve">مصابیح الأنوار، الشبّر، السید عبد اللّه، مکتبة بصیرتی، قم المقدسة.</w:t>
      </w:r>
    </w:p>
    <w:p>
      <w:pPr>
        <w:pStyle w:val="BookText"/>
      </w:pPr>
      <w:r>
        <w:rPr>
          <w:rFonts w:ascii="Times New Roman" w:hAnsi="Times New Roman" w:eastAsia="Times New Roman" w:cs="Times New Roman"/>
          <w:lang w:val="en-US" w:bidi="en-US"/>
          <w:color w:val="111111"/>
          <w:sz w:val="28"/>
          <w:szCs w:val="28"/>
          <w:rtl/>
        </w:rPr>
        <w:t xml:space="preserve">115.</w:t>
      </w:r>
    </w:p>
    <w:p>
      <w:pPr>
        <w:pStyle w:val="BookText"/>
      </w:pPr>
      <w:r>
        <w:rPr>
          <w:rFonts w:ascii="IRNazanin" w:hAnsi="IRNazanin" w:eastAsia="IRNazanin" w:cs="IRNazanin"/>
          <w:lang w:bidi="fa-IR"/>
          <w:color w:val="111111"/>
          <w:sz w:val="28"/>
          <w:szCs w:val="28"/>
          <w:rtl/>
        </w:rPr>
        <w:t xml:space="preserve">مناهل العرفان فی علوم القرآن، الزرقانی، الشیخ محمد عبد العظیم، دار الحدیث، القاهرة، 1422 ق.</w:t>
      </w:r>
    </w:p>
    <w:p>
      <w:pPr>
        <w:pStyle w:val="BookText"/>
      </w:pPr>
      <w:r>
        <w:rPr>
          <w:rFonts w:ascii="Times New Roman" w:hAnsi="Times New Roman" w:eastAsia="Times New Roman" w:cs="Times New Roman"/>
          <w:lang w:val="en-US" w:bidi="en-US"/>
          <w:color w:val="111111"/>
          <w:sz w:val="28"/>
          <w:szCs w:val="28"/>
          <w:rtl/>
        </w:rPr>
        <w:t xml:space="preserve">116.</w:t>
      </w:r>
    </w:p>
    <w:p>
      <w:pPr>
        <w:pStyle w:val="BookText"/>
      </w:pPr>
      <w:r>
        <w:rPr>
          <w:rFonts w:ascii="IRNazanin" w:hAnsi="IRNazanin" w:eastAsia="IRNazanin" w:cs="IRNazanin"/>
          <w:lang w:bidi="fa-IR"/>
          <w:color w:val="111111"/>
          <w:sz w:val="28"/>
          <w:szCs w:val="28"/>
          <w:rtl/>
        </w:rPr>
        <w:t xml:space="preserve">المستدرک علی الصحیحین، الحاکم النیشابوری، محمد بن عبد الله، دار الکتب العلمیة، بیروت، 1978 م.</w:t>
      </w:r>
    </w:p>
    <w:p>
      <w:pPr>
        <w:pStyle w:val="BookText"/>
      </w:pPr>
      <w:r>
        <w:rPr>
          <w:rFonts w:ascii="Times New Roman" w:hAnsi="Times New Roman" w:eastAsia="Times New Roman" w:cs="Times New Roman"/>
          <w:lang w:val="en-US" w:bidi="en-US"/>
          <w:color w:val="111111"/>
          <w:sz w:val="28"/>
          <w:szCs w:val="28"/>
          <w:rtl/>
        </w:rPr>
        <w:t xml:space="preserve">117.</w:t>
      </w:r>
    </w:p>
    <w:p>
      <w:pPr>
        <w:pStyle w:val="BookText"/>
      </w:pPr>
      <w:r>
        <w:rPr>
          <w:rFonts w:ascii="IRNazanin" w:hAnsi="IRNazanin" w:eastAsia="IRNazanin" w:cs="IRNazanin"/>
          <w:lang w:bidi="fa-IR"/>
          <w:color w:val="111111"/>
          <w:sz w:val="28"/>
          <w:szCs w:val="28"/>
          <w:rtl/>
        </w:rPr>
        <w:t xml:space="preserve">المسند، ابن حنبل، احمد بن محمد، شرحه احمد محمد شاکر، دار الحدیث، القاهرة، 1416ق.</w:t>
      </w:r>
    </w:p>
    <w:p>
      <w:pPr>
        <w:pStyle w:val="BookText"/>
      </w:pPr>
      <w:r>
        <w:rPr>
          <w:rFonts w:ascii="IRNazanin" w:hAnsi="IRNazanin" w:eastAsia="IRNazanin" w:cs="IRNazanin"/>
          <w:lang w:bidi="fa-IR"/>
          <w:color w:val="111111"/>
          <w:sz w:val="28"/>
          <w:szCs w:val="28"/>
          <w:rtl/>
        </w:rPr>
        <w:t xml:space="preserve">[شماره صفحه واقعی : 507]
</w:t>
      </w:r>
    </w:p>
    <w:p>
      <w:pPr>
        <w:sectPr>
          <w:footerReference w:type="default" r:id="rId16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118.</w:t>
      </w:r>
    </w:p>
    <w:p>
      <w:pPr>
        <w:pStyle w:val="BookText"/>
      </w:pPr>
      <w:r>
        <w:rPr>
          <w:rFonts w:ascii="IRNazanin" w:hAnsi="IRNazanin" w:eastAsia="IRNazanin" w:cs="IRNazanin"/>
          <w:lang w:bidi="fa-IR"/>
          <w:color w:val="111111"/>
          <w:sz w:val="28"/>
          <w:szCs w:val="28"/>
          <w:rtl/>
        </w:rPr>
        <w:t xml:space="preserve">المقدمة، ابن خلدون، دار القلم، بیروت، 1978 م.</w:t>
      </w:r>
    </w:p>
    <w:p>
      <w:pPr>
        <w:pStyle w:val="BookText"/>
      </w:pPr>
      <w:r>
        <w:rPr>
          <w:rFonts w:ascii="Times New Roman" w:hAnsi="Times New Roman" w:eastAsia="Times New Roman" w:cs="Times New Roman"/>
          <w:lang w:val="en-US" w:bidi="en-US"/>
          <w:color w:val="111111"/>
          <w:sz w:val="28"/>
          <w:szCs w:val="28"/>
          <w:rtl/>
        </w:rPr>
        <w:t xml:space="preserve">119.</w:t>
      </w:r>
    </w:p>
    <w:p>
      <w:pPr>
        <w:pStyle w:val="BookText"/>
      </w:pPr>
      <w:r>
        <w:rPr>
          <w:rFonts w:ascii="IRNazanin" w:hAnsi="IRNazanin" w:eastAsia="IRNazanin" w:cs="IRNazanin"/>
          <w:lang w:bidi="fa-IR"/>
          <w:color w:val="111111"/>
          <w:sz w:val="28"/>
          <w:szCs w:val="28"/>
          <w:rtl/>
        </w:rPr>
        <w:t xml:space="preserve">المراجعات، العاملی، السید شرف الدین، دار الصادق، بیروت.</w:t>
      </w:r>
    </w:p>
    <w:p>
      <w:pPr>
        <w:pStyle w:val="BookText"/>
      </w:pPr>
      <w:r>
        <w:rPr>
          <w:rFonts w:ascii="IRNazanin" w:hAnsi="IRNazanin" w:eastAsia="IRNazanin" w:cs="IRNazanin"/>
          <w:lang w:bidi="fa-IR"/>
          <w:color w:val="111111"/>
          <w:sz w:val="28"/>
          <w:szCs w:val="28"/>
          <w:rtl/>
        </w:rPr>
        <w:t xml:space="preserve">120.المهدی، الصدر، السید صدر الدین، انتشارات انصاریان، قم المقدسة.</w:t>
      </w:r>
    </w:p>
    <w:p>
      <w:pPr>
        <w:pStyle w:val="BookText"/>
      </w:pPr>
      <w:r>
        <w:rPr>
          <w:rFonts w:ascii="Times New Roman" w:hAnsi="Times New Roman" w:eastAsia="Times New Roman" w:cs="Times New Roman"/>
          <w:lang w:val="en-US" w:bidi="en-US"/>
          <w:color w:val="111111"/>
          <w:sz w:val="28"/>
          <w:szCs w:val="28"/>
          <w:rtl/>
        </w:rPr>
        <w:t xml:space="preserve">121.</w:t>
      </w:r>
    </w:p>
    <w:p>
      <w:pPr>
        <w:pStyle w:val="BookText"/>
      </w:pPr>
      <w:r>
        <w:rPr>
          <w:rFonts w:ascii="IRNazanin" w:hAnsi="IRNazanin" w:eastAsia="IRNazanin" w:cs="IRNazanin"/>
          <w:lang w:bidi="fa-IR"/>
          <w:color w:val="111111"/>
          <w:sz w:val="28"/>
          <w:szCs w:val="28"/>
          <w:rtl/>
        </w:rPr>
        <w:t xml:space="preserve">مجمع البیان فی علوم القرآن، الطبرسی، أبو علی الفضل بن الحسن، دار احیاء التراث العربی، بیروت، 1379 ق.</w:t>
      </w:r>
    </w:p>
    <w:p>
      <w:pPr>
        <w:pStyle w:val="BookText"/>
      </w:pPr>
      <w:r>
        <w:rPr>
          <w:rFonts w:ascii="Times New Roman" w:hAnsi="Times New Roman" w:eastAsia="Times New Roman" w:cs="Times New Roman"/>
          <w:lang w:val="en-US" w:bidi="en-US"/>
          <w:color w:val="111111"/>
          <w:sz w:val="28"/>
          <w:szCs w:val="28"/>
          <w:rtl/>
        </w:rPr>
        <w:t xml:space="preserve">122.</w:t>
      </w:r>
    </w:p>
    <w:p>
      <w:pPr>
        <w:pStyle w:val="BookText"/>
      </w:pPr>
      <w:r>
        <w:rPr>
          <w:rFonts w:ascii="IRNazanin" w:hAnsi="IRNazanin" w:eastAsia="IRNazanin" w:cs="IRNazanin"/>
          <w:lang w:bidi="fa-IR"/>
          <w:color w:val="111111"/>
          <w:sz w:val="28"/>
          <w:szCs w:val="28"/>
          <w:rtl/>
        </w:rPr>
        <w:t xml:space="preserve">المیزان فی تفسیر القرآن، العلاّمة الطباطبائی، السید محمد حسین، مؤسسة الأعلمی، بیروت، 1393 ق.</w:t>
      </w:r>
    </w:p>
    <w:p>
      <w:pPr>
        <w:pStyle w:val="BookText"/>
      </w:pPr>
      <w:r>
        <w:rPr>
          <w:rFonts w:ascii="IRNazanin" w:hAnsi="IRNazanin" w:eastAsia="IRNazanin" w:cs="IRNazanin"/>
          <w:lang w:bidi="fa-IR"/>
          <w:color w:val="111111"/>
          <w:sz w:val="28"/>
          <w:szCs w:val="28"/>
          <w:rtl/>
        </w:rPr>
        <w:t xml:space="preserve">ن</w:t>
      </w:r>
    </w:p>
    <w:p>
      <w:pPr>
        <w:pStyle w:val="BookText"/>
      </w:pPr>
      <w:r>
        <w:rPr>
          <w:rFonts w:ascii="Times New Roman" w:hAnsi="Times New Roman" w:eastAsia="Times New Roman" w:cs="Times New Roman"/>
          <w:lang w:val="en-US" w:bidi="en-US"/>
          <w:color w:val="111111"/>
          <w:sz w:val="28"/>
          <w:szCs w:val="28"/>
          <w:rtl/>
        </w:rPr>
        <w:t xml:space="preserve">123.</w:t>
      </w:r>
    </w:p>
    <w:p>
      <w:pPr>
        <w:pStyle w:val="BookText"/>
      </w:pPr>
      <w:r>
        <w:rPr>
          <w:rFonts w:ascii="IRNazanin" w:hAnsi="IRNazanin" w:eastAsia="IRNazanin" w:cs="IRNazanin"/>
          <w:lang w:bidi="fa-IR"/>
          <w:color w:val="111111"/>
          <w:sz w:val="28"/>
          <w:szCs w:val="28"/>
          <w:rtl/>
        </w:rPr>
        <w:t xml:space="preserve">نهج البلاغة، السید الشریف الرضی، ابو الحسن محمد بن الحسین الموسوی البغدادی، سید کاظم محمدی -محمد دشتی، نشر امام علی علیه السلام ، قم المقدسة، 1369 ش.</w:t>
      </w:r>
    </w:p>
    <w:p>
      <w:pPr>
        <w:pStyle w:val="BookText"/>
      </w:pPr>
      <w:r>
        <w:rPr>
          <w:rFonts w:ascii="Times New Roman" w:hAnsi="Times New Roman" w:eastAsia="Times New Roman" w:cs="Times New Roman"/>
          <w:lang w:val="en-US" w:bidi="en-US"/>
          <w:color w:val="111111"/>
          <w:sz w:val="28"/>
          <w:szCs w:val="28"/>
          <w:rtl/>
        </w:rPr>
        <w:t xml:space="preserve">124.</w:t>
      </w:r>
    </w:p>
    <w:p>
      <w:pPr>
        <w:pStyle w:val="BookText"/>
      </w:pPr>
      <w:r>
        <w:rPr>
          <w:rFonts w:ascii="IRNazanin" w:hAnsi="IRNazanin" w:eastAsia="IRNazanin" w:cs="IRNazanin"/>
          <w:lang w:bidi="fa-IR"/>
          <w:color w:val="111111"/>
          <w:sz w:val="28"/>
          <w:szCs w:val="28"/>
          <w:rtl/>
        </w:rPr>
        <w:t xml:space="preserve">نهج الحق و کشف الصدق، العلامة الحلّی، الحسن بن یوسف، منشورات دار الهجرة، قم المقدسة، 1414 ق.</w:t>
      </w:r>
    </w:p>
    <w:p>
      <w:pPr>
        <w:pStyle w:val="BookText"/>
      </w:pPr>
      <w:r>
        <w:rPr>
          <w:rFonts w:ascii="Times New Roman" w:hAnsi="Times New Roman" w:eastAsia="Times New Roman" w:cs="Times New Roman"/>
          <w:lang w:val="en-US" w:bidi="en-US"/>
          <w:color w:val="111111"/>
          <w:sz w:val="28"/>
          <w:szCs w:val="28"/>
          <w:rtl/>
        </w:rPr>
        <w:t xml:space="preserve">125.</w:t>
      </w:r>
    </w:p>
    <w:p>
      <w:pPr>
        <w:pStyle w:val="BookText"/>
      </w:pPr>
      <w:r>
        <w:rPr>
          <w:rFonts w:ascii="IRNazanin" w:hAnsi="IRNazanin" w:eastAsia="IRNazanin" w:cs="IRNazanin"/>
          <w:lang w:bidi="fa-IR"/>
          <w:color w:val="111111"/>
          <w:sz w:val="28"/>
          <w:szCs w:val="28"/>
          <w:rtl/>
        </w:rPr>
        <w:t xml:space="preserve">النص و الاجتهاد، العاملی، السید شرف الدین، انتشارات اسوة، قم المقدسة، 1413 ق.</w:t>
      </w:r>
    </w:p>
    <w:p>
      <w:pPr>
        <w:pStyle w:val="BookText"/>
      </w:pPr>
      <w:r>
        <w:rPr>
          <w:rFonts w:ascii="Times New Roman" w:hAnsi="Times New Roman" w:eastAsia="Times New Roman" w:cs="Times New Roman"/>
          <w:lang w:val="en-US" w:bidi="en-US"/>
          <w:color w:val="111111"/>
          <w:sz w:val="28"/>
          <w:szCs w:val="28"/>
          <w:rtl/>
        </w:rPr>
        <w:t xml:space="preserve">126.</w:t>
      </w:r>
    </w:p>
    <w:p>
      <w:pPr>
        <w:pStyle w:val="BookText"/>
      </w:pPr>
      <w:r>
        <w:rPr>
          <w:rFonts w:ascii="IRNazanin" w:hAnsi="IRNazanin" w:eastAsia="IRNazanin" w:cs="IRNazanin"/>
          <w:lang w:bidi="fa-IR"/>
          <w:color w:val="111111"/>
          <w:sz w:val="28"/>
          <w:szCs w:val="28"/>
          <w:rtl/>
        </w:rPr>
        <w:t xml:space="preserve">نهایة الحکمة، الطباطبائی، السید محمد حسین، دار التبلیغ الإسلامی، قم المقدسة.</w:t>
      </w:r>
    </w:p>
    <w:p>
      <w:pPr>
        <w:pStyle w:val="BookText"/>
      </w:pPr>
      <w:r>
        <w:rPr>
          <w:rFonts w:ascii="IRNazanin" w:hAnsi="IRNazanin" w:eastAsia="IRNazanin" w:cs="IRNazanin"/>
          <w:lang w:bidi="fa-IR"/>
          <w:color w:val="111111"/>
          <w:sz w:val="28"/>
          <w:szCs w:val="28"/>
          <w:rtl/>
        </w:rPr>
        <w:t xml:space="preserve">[شماره صفحه واقعی : 508]
</w:t>
      </w:r>
    </w:p>
    <w:p>
      <w:pPr>
        <w:sectPr>
          <w:footerReference w:type="default" r:id="rId16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127.</w:t>
      </w:r>
    </w:p>
    <w:p>
      <w:pPr>
        <w:pStyle w:val="BookText"/>
      </w:pPr>
      <w:r>
        <w:rPr>
          <w:rFonts w:ascii="IRNazanin" w:hAnsi="IRNazanin" w:eastAsia="IRNazanin" w:cs="IRNazanin"/>
          <w:lang w:bidi="fa-IR"/>
          <w:color w:val="111111"/>
          <w:sz w:val="28"/>
          <w:szCs w:val="28"/>
          <w:rtl/>
        </w:rPr>
        <w:t xml:space="preserve">الوحی المحمدی، رشید رضا، محمد، جمهوریة مصر العربیة، وزارة الأوقاف، القاهرة، 1421ق.</w:t>
      </w:r>
    </w:p>
    <w:p>
      <w:pPr>
        <w:pStyle w:val="BookText"/>
      </w:pPr>
      <w:r>
        <w:rPr>
          <w:rFonts w:ascii="Times New Roman" w:hAnsi="Times New Roman" w:eastAsia="Times New Roman" w:cs="Times New Roman"/>
          <w:lang w:val="en-US" w:bidi="en-US"/>
          <w:color w:val="111111"/>
          <w:sz w:val="28"/>
          <w:szCs w:val="28"/>
          <w:rtl/>
        </w:rPr>
        <w:t xml:space="preserve">128.</w:t>
      </w:r>
    </w:p>
    <w:p>
      <w:pPr>
        <w:pStyle w:val="BookText"/>
      </w:pPr>
      <w:r>
        <w:rPr>
          <w:rFonts w:ascii="IRNazanin" w:hAnsi="IRNazanin" w:eastAsia="IRNazanin" w:cs="IRNazanin"/>
          <w:lang w:bidi="fa-IR"/>
          <w:color w:val="111111"/>
          <w:sz w:val="28"/>
          <w:szCs w:val="28"/>
          <w:rtl/>
        </w:rPr>
        <w:t xml:space="preserve">الوافی، الفیض الکاشانی، المولی محسن، مکتبة الامام أمیر المؤمنین علیه السلام ، اصفهان، 1406 ق.</w:t>
      </w:r>
    </w:p>
    <w:p>
      <w:pPr>
        <w:pStyle w:val="BookText"/>
      </w:pPr>
      <w:r>
        <w:rPr>
          <w:rFonts w:ascii="Times New Roman" w:hAnsi="Times New Roman" w:eastAsia="Times New Roman" w:cs="Times New Roman"/>
          <w:lang w:val="en-US" w:bidi="en-US"/>
          <w:color w:val="111111"/>
          <w:sz w:val="28"/>
          <w:szCs w:val="28"/>
          <w:rtl/>
        </w:rPr>
        <w:t xml:space="preserve">129.</w:t>
      </w:r>
    </w:p>
    <w:p>
      <w:pPr>
        <w:pStyle w:val="BookText"/>
      </w:pPr>
      <w:r>
        <w:rPr>
          <w:rFonts w:ascii="IRNazanin" w:hAnsi="IRNazanin" w:eastAsia="IRNazanin" w:cs="IRNazanin"/>
          <w:lang w:bidi="fa-IR"/>
          <w:color w:val="111111"/>
          <w:sz w:val="28"/>
          <w:szCs w:val="28"/>
          <w:rtl/>
        </w:rPr>
        <w:t xml:space="preserve">وقعة صفین، المنقری، نصر بن مزاحم، عبد السلام محمد هارون، مکتبة آیة اللّه العظمی مرعشی النجفی، قم.</w:t>
      </w:r>
    </w:p>
    <w:p>
      <w:pPr>
        <w:pStyle w:val="BookText"/>
      </w:pPr>
      <w:r>
        <w:rPr>
          <w:rFonts w:ascii="IRNazanin" w:hAnsi="IRNazanin" w:eastAsia="IRNazanin" w:cs="IRNazanin"/>
          <w:lang w:bidi="fa-IR"/>
          <w:color w:val="111111"/>
          <w:sz w:val="28"/>
          <w:szCs w:val="28"/>
          <w:rtl/>
        </w:rPr>
        <w:t xml:space="preserve">ه</w:t>
      </w:r>
    </w:p>
    <w:p>
      <w:pPr>
        <w:pStyle w:val="BookText"/>
      </w:pPr>
      <w:r>
        <w:rPr>
          <w:rFonts w:ascii="Times New Roman" w:hAnsi="Times New Roman" w:eastAsia="Times New Roman" w:cs="Times New Roman"/>
          <w:lang w:val="en-US" w:bidi="en-US"/>
          <w:color w:val="111111"/>
          <w:sz w:val="28"/>
          <w:szCs w:val="28"/>
          <w:rtl/>
        </w:rPr>
        <w:t xml:space="preserve">130.</w:t>
      </w:r>
    </w:p>
    <w:p>
      <w:pPr>
        <w:pStyle w:val="BookText"/>
      </w:pPr>
      <w:r>
        <w:rPr>
          <w:rFonts w:ascii="IRNazanin" w:hAnsi="IRNazanin" w:eastAsia="IRNazanin" w:cs="IRNazanin"/>
          <w:lang w:bidi="fa-IR"/>
          <w:color w:val="111111"/>
          <w:sz w:val="28"/>
          <w:szCs w:val="28"/>
          <w:rtl/>
        </w:rPr>
        <w:t xml:space="preserve">الهدیة السنیّة، محمد بن عبد الوهاب، فی مجموعة الجامع الفرید، المدینة المنورة.</w:t>
      </w:r>
    </w:p>
    <w:p>
      <w:pPr>
        <w:pStyle w:val="BookText"/>
      </w:pPr>
      <w:r>
        <w:rPr>
          <w:rFonts w:ascii="IRNazanin" w:hAnsi="IRNazanin" w:eastAsia="IRNazanin" w:cs="IRNazanin"/>
          <w:lang w:bidi="fa-IR"/>
          <w:color w:val="111111"/>
          <w:sz w:val="28"/>
          <w:szCs w:val="28"/>
          <w:rtl/>
        </w:rPr>
        <w:t xml:space="preserve">ی</w:t>
      </w:r>
    </w:p>
    <w:p>
      <w:pPr>
        <w:pStyle w:val="BookText"/>
      </w:pPr>
      <w:r>
        <w:rPr>
          <w:rFonts w:ascii="Times New Roman" w:hAnsi="Times New Roman" w:eastAsia="Times New Roman" w:cs="Times New Roman"/>
          <w:lang w:val="en-US" w:bidi="en-US"/>
          <w:color w:val="111111"/>
          <w:sz w:val="28"/>
          <w:szCs w:val="28"/>
          <w:rtl/>
        </w:rPr>
        <w:t xml:space="preserve">131.</w:t>
      </w:r>
    </w:p>
    <w:p>
      <w:pPr>
        <w:pStyle w:val="BookText"/>
      </w:pPr>
      <w:r>
        <w:rPr>
          <w:rFonts w:ascii="IRNazanin" w:hAnsi="IRNazanin" w:eastAsia="IRNazanin" w:cs="IRNazanin"/>
          <w:lang w:bidi="fa-IR"/>
          <w:color w:val="111111"/>
          <w:sz w:val="28"/>
          <w:szCs w:val="28"/>
          <w:rtl/>
        </w:rPr>
        <w:t xml:space="preserve">ینابیع المودّة، القندوزی الحنفی، الشیخ سلیمان، مؤسسة الأعلمی، بیروت، 1418 ق.</w:t>
      </w:r>
    </w:p>
    <w:p>
      <w:pPr>
        <w:pStyle w:val="BookText"/>
      </w:pPr>
      <w:r>
        <w:rPr>
          <w:rFonts w:ascii="Times New Roman" w:hAnsi="Times New Roman" w:eastAsia="Times New Roman" w:cs="Times New Roman"/>
          <w:lang w:val="en-US" w:bidi="en-US"/>
          <w:color w:val="111111"/>
          <w:sz w:val="28"/>
          <w:szCs w:val="28"/>
          <w:rtl/>
        </w:rPr>
        <w:t xml:space="preserve">132.</w:t>
      </w:r>
    </w:p>
    <w:p>
      <w:pPr>
        <w:pStyle w:val="BookText"/>
      </w:pPr>
      <w:r>
        <w:rPr>
          <w:rFonts w:ascii="IRNazanin" w:hAnsi="IRNazanin" w:eastAsia="IRNazanin" w:cs="IRNazanin"/>
          <w:lang w:bidi="fa-IR"/>
          <w:color w:val="111111"/>
          <w:sz w:val="28"/>
          <w:szCs w:val="28"/>
          <w:rtl/>
        </w:rPr>
        <w:t xml:space="preserve">الیواقیت و الجواهر، الشعرانی، الشیخ عبد الوهّاب، دار إحیاء التراث العربی، بیروت.</w:t>
      </w:r>
    </w:p>
    <w:p>
      <w:pPr>
        <w:pStyle w:val="BookText"/>
      </w:pPr>
      <w:r>
        <w:rPr>
          <w:rFonts w:ascii="IRNazanin" w:hAnsi="IRNazanin" w:eastAsia="IRNazanin" w:cs="IRNazanin"/>
          <w:lang w:bidi="fa-IR"/>
          <w:color w:val="111111"/>
          <w:sz w:val="28"/>
          <w:szCs w:val="28"/>
          <w:rtl/>
        </w:rPr>
        <w:t xml:space="preserve">[شماره صفحه واقعی : 509]
</w:t>
      </w:r>
    </w:p>
    <w:p>
      <w:pPr>
        <w:sectPr>
          <w:footerReference w:type="default" r:id="rId1656"/>
          <w:footnotePr>
            <w:numStart w:val="1"/>
            <w:numRestart w:val="eachPage"/>
          </w:footnotePr>
          <w:pgSz w:orient="portrait" w:w="11905.511811023622" w:h="16837.79527559055"/>
          <w:pgMar w:top="1440" w:right="1440" w:bottom="1440" w:left="1440" w:header="720" w:footer="720" w:gutter="0"/>
          <w:cols w:num="1" w:space="720"/>
        </w:sectPr>
      </w:pPr>
    </w:p>
    <w:bookmarkStart w:id="885" w:name="pg14411_144038"/>
    <w:bookmarkEnd w:id="885"/>
    <w:p>
      <w:pPr>
        <w:pStyle w:val="Heading2"/>
      </w:pPr>
      <w:bookmarkStart w:id="2704" w:name="_Toc1739"/>
      <w:r>
        <w:t>رجال</w:t>
      </w:r>
      <w:bookmarkEnd w:id="2704"/>
    </w:p>
    <w:p>
      <w:pPr>
        <w:pStyle w:val="Heading3"/>
      </w:pPr>
      <w:bookmarkStart w:id="2705" w:name="_Toc1740"/>
      <w:r>
        <w:t>کلیات فی علم الرجال (از ابتدا تا پایان بحث «أصحاب الإجماع»)</w:t>
      </w:r>
      <w:bookmarkEnd w:id="2705"/>
    </w:p>
    <w:p>
      <w:pPr>
        <w:pStyle w:val="Heading4"/>
      </w:pPr>
      <w:bookmarkStart w:id="2706" w:name="_Toc1741"/>
      <w:r>
        <w:t>اشارة</w:t>
      </w:r>
      <w:bookmarkEnd w:id="2706"/>
    </w:p>
    <w:p>
      <w:pPr>
        <w:pStyle w:val="BookText"/>
      </w:pPr>
      <w:r>
        <w:rPr>
          <w:rFonts w:ascii="IRNazanin" w:hAnsi="IRNazanin" w:eastAsia="IRNazanin" w:cs="IRNazanin"/>
          <w:lang w:bidi="fa-IR"/>
          <w:color w:val="111111"/>
          <w:sz w:val="28"/>
          <w:szCs w:val="28"/>
          <w:rtl/>
        </w:rPr>
        <w:t xml:space="preserve">سرشناسه : سبحانی تبریزی، جعفر، ۱۳۰۸ -</w:t>
      </w:r>
    </w:p>
    <w:p>
      <w:pPr>
        <w:pStyle w:val="BookText"/>
      </w:pPr>
      <w:r>
        <w:rPr>
          <w:rFonts w:ascii="IRNazanin" w:hAnsi="IRNazanin" w:eastAsia="IRNazanin" w:cs="IRNazanin"/>
          <w:lang w:bidi="fa-IR"/>
          <w:color w:val="111111"/>
          <w:sz w:val="28"/>
          <w:szCs w:val="28"/>
          <w:rtl/>
        </w:rPr>
        <w:t xml:space="preserve">عنوان و نام پدیدآور : کلیات فی علم الرجال/ تالیف جعفر السبحانی.</w:t>
      </w:r>
    </w:p>
    <w:p>
      <w:pPr>
        <w:pStyle w:val="BookText"/>
      </w:pPr>
      <w:r>
        <w:rPr>
          <w:rFonts w:ascii="IRNazanin" w:hAnsi="IRNazanin" w:eastAsia="IRNazanin" w:cs="IRNazanin"/>
          <w:lang w:bidi="fa-IR"/>
          <w:color w:val="111111"/>
          <w:sz w:val="28"/>
          <w:szCs w:val="28"/>
          <w:rtl/>
        </w:rPr>
        <w:t xml:space="preserve">مشخصات نشر : قم : جماعه المدرسین فی الحوزه العلیمه بقم، موسسه النشر الاسلامی، ۱۴۱۹ق.= ۱۳۷۷.</w:t>
      </w:r>
    </w:p>
    <w:p>
      <w:pPr>
        <w:pStyle w:val="BookText"/>
      </w:pPr>
      <w:r>
        <w:rPr>
          <w:rFonts w:ascii="IRNazanin" w:hAnsi="IRNazanin" w:eastAsia="IRNazanin" w:cs="IRNazanin"/>
          <w:lang w:bidi="fa-IR"/>
          <w:color w:val="111111"/>
          <w:sz w:val="28"/>
          <w:szCs w:val="28"/>
          <w:rtl/>
        </w:rPr>
        <w:t xml:space="preserve">مشخصات ظاهری : ۵31 ص.</w:t>
      </w:r>
    </w:p>
    <w:p>
      <w:pPr>
        <w:pStyle w:val="BookText"/>
      </w:pPr>
      <w:r>
        <w:rPr>
          <w:rFonts w:ascii="IRNazanin" w:hAnsi="IRNazanin" w:eastAsia="IRNazanin" w:cs="IRNazanin"/>
          <w:lang w:bidi="fa-IR"/>
          <w:color w:val="111111"/>
          <w:sz w:val="28"/>
          <w:szCs w:val="28"/>
          <w:rtl/>
        </w:rPr>
        <w:t xml:space="preserve">موضوع : حدیث -- علم الرجال</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۱۱۴/س ۲ک ۸ ۱۳۷۷</w:t>
      </w:r>
    </w:p>
    <w:p>
      <w:pPr>
        <w:pStyle w:val="BookText"/>
      </w:pPr>
      <w:r>
        <w:rPr>
          <w:rFonts w:ascii="IRNazanin" w:hAnsi="IRNazanin" w:eastAsia="IRNazanin" w:cs="IRNazanin"/>
          <w:lang w:bidi="fa-IR"/>
          <w:color w:val="111111"/>
          <w:sz w:val="28"/>
          <w:szCs w:val="28"/>
          <w:rtl/>
        </w:rPr>
        <w:t xml:space="preserve">رده بندی دیویی : ۲۹۷/۲۶۴</w:t>
      </w:r>
    </w:p>
    <w:p>
      <w:pPr>
        <w:pStyle w:val="BookText"/>
      </w:pPr>
      <w:r>
        <w:rPr>
          <w:rFonts w:ascii="IRNazanin" w:hAnsi="IRNazanin" w:eastAsia="IRNazanin" w:cs="IRNazanin"/>
          <w:lang w:bidi="fa-IR"/>
          <w:color w:val="111111"/>
          <w:sz w:val="28"/>
          <w:szCs w:val="28"/>
          <w:rtl/>
        </w:rPr>
        <w:t xml:space="preserve">شماره کتابشناسی ملی : م ۷۷-۱۶۸۶۲</w:t>
      </w:r>
    </w:p>
    <w:p>
      <w:pPr>
        <w:pStyle w:val="BookText"/>
      </w:pPr>
      <w:r>
        <w:rPr>
          <w:rFonts w:ascii="IRNazanin" w:hAnsi="IRNazanin" w:eastAsia="IRNazanin" w:cs="IRNazanin"/>
          <w:lang w:bidi="fa-IR"/>
          <w:color w:val="111111"/>
          <w:sz w:val="28"/>
          <w:szCs w:val="28"/>
          <w:rtl/>
        </w:rPr>
        <w:t xml:space="preserve">توضیح : کلیات فی علم الرجال از آثار رجالی آیت‌الله جعفر سبحانی می‌باشد.در این کتاب برخی قواعد و نکات کلی «علم رجال» ـ علمی که به بررسی احوال راویان حدیث اختصاص دارد ـ تحت این مباحث بررسی می‌شود: مبادی تصویه‌ی علم رجال، نیاز به علم رجال، منابع اولیه‌ی علم رجال، منابع ثانوی رجال، توثیق‌های ویژه، توثیق‌های عمومی، میزان اعتبار کتب اربعه، فرقه‌های شیعی در کتب رجالی، و فواید رجالی.</w:t>
      </w:r>
    </w:p>
    <w:p>
      <w:pPr>
        <w:pStyle w:val="BookText"/>
      </w:pPr>
      <w:r>
        <w:rPr>
          <w:rFonts w:ascii="IRNazanin" w:hAnsi="IRNazanin" w:eastAsia="IRNazanin" w:cs="IRNazanin"/>
          <w:lang w:bidi="fa-IR"/>
          <w:color w:val="111111"/>
          <w:sz w:val="28"/>
          <w:szCs w:val="28"/>
          <w:rtl/>
        </w:rPr>
        <w:t xml:space="preserve">همچنین در این کتاب یک دوره مسائل و مباحث علم رجال در 6 فصل ارائه شده است. در این مباحث ضمن تعریف علم رجال از مصادر و منابع اولیه علم رجال بحث شده است. در این خصوص نام 8 اثر رجالی مانند: رجال کشی، فهرست نجاشی، رجال طوسی، فهرست طوسی، رجال برقی، رساله ابوغالب رازی و مشیخه صدوق و مشیخه شیخ طوسی و مشخصات هر یک ارائه شده است. سپس از مصادر ثانوی، توثیقات خاصه و عامه و کتب اربعه حدیثی و فرقه‏های شیعی بحث شده است.</w:t>
      </w:r>
    </w:p>
    <w:p>
      <w:pPr>
        <w:pStyle w:val="BookText"/>
      </w:pPr>
      <w:r>
        <w:rPr>
          <w:rFonts w:ascii="IRNazanin" w:hAnsi="IRNazanin" w:eastAsia="IRNazanin" w:cs="IRNazanin"/>
          <w:lang w:bidi="fa-IR"/>
          <w:color w:val="111111"/>
          <w:sz w:val="28"/>
          <w:szCs w:val="28"/>
          <w:rtl/>
        </w:rPr>
        <w:t xml:space="preserve">ص: 1</w:t>
      </w:r>
    </w:p>
    <w:p>
      <w:pPr>
        <w:pStyle w:val="Heading4"/>
      </w:pPr>
      <w:bookmarkStart w:id="2707" w:name="_Toc1742"/>
      <w:r>
        <w:t>اشارة</w:t>
      </w:r>
      <w:bookmarkEnd w:id="2707"/>
    </w:p>
    <w:p>
      <w:pPr>
        <w:pStyle w:val="BookText"/>
      </w:pPr>
      <w:r>
        <w:rPr>
          <w:rFonts w:ascii="IRNazanin" w:hAnsi="IRNazanin" w:eastAsia="IRNazanin" w:cs="IRNazanin"/>
          <w:lang w:bidi="fa-IR"/>
          <w:color w:val="111111"/>
          <w:sz w:val="28"/>
          <w:szCs w:val="28"/>
          <w:rtl/>
        </w:rPr>
        <w:t xml:space="preserve">[شماره صفحه واقعی : 1]
</w:t>
      </w:r>
    </w:p>
    <w:p>
      <w:pPr>
        <w:sectPr>
          <w:footerReference w:type="default" r:id="rId16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2]
</w:t>
      </w:r>
    </w:p>
    <w:p>
      <w:pPr>
        <w:sectPr>
          <w:footerReference w:type="default" r:id="rId1658"/>
          <w:footnotePr>
            <w:numStart w:val="1"/>
            <w:numRestart w:val="eachPage"/>
          </w:footnotePr>
          <w:pgSz w:orient="portrait" w:w="11905.511811023622" w:h="16837.79527559055"/>
          <w:pgMar w:top="1440" w:right="1440" w:bottom="1440" w:left="1440" w:header="720" w:footer="720" w:gutter="0"/>
          <w:cols w:num="1" w:space="720"/>
        </w:sectPr>
      </w:pPr>
    </w:p>
    <w:bookmarkStart w:id="886" w:name="pg14411_144040"/>
    <w:bookmarkEnd w:id="886"/>
    <w:p>
      <w:pPr>
        <w:pStyle w:val="Heading4"/>
      </w:pPr>
      <w:bookmarkStart w:id="2708" w:name="_Toc1743"/>
      <w:r>
        <w:t>مقدمة الناشر</w:t>
      </w:r>
      <w:bookmarkEnd w:id="2708"/>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الحمدلله رب العالمین، والصلاة والسلام علی رسوله الهادی الأمین وعترته الطیبین الطاهرین.</w:t>
      </w:r>
    </w:p>
    <w:p>
      <w:pPr>
        <w:pStyle w:val="BookText"/>
      </w:pPr>
      <w:r>
        <w:rPr>
          <w:rFonts w:ascii="IRNazanin" w:hAnsi="IRNazanin" w:eastAsia="IRNazanin" w:cs="IRNazanin"/>
          <w:lang w:bidi="fa-IR"/>
          <w:color w:val="111111"/>
          <w:sz w:val="28"/>
          <w:szCs w:val="28"/>
          <w:rtl/>
        </w:rPr>
        <w:t xml:space="preserve">أما بعد، فإن الحضارة البشریة - وهی سائرة نحو التقدم- تستدعی التوسع فی کل ما یکون مؤثرة فیها بمرور الزمن، ومما یکون مؤثرة فیها هو معرفة أحوال الرجال أولا، ثم معرفة آثارهم وما قدموه للبشریة من عطاء ثانیة. وقد ازدادت ضرورة هذه التوسعة فی خصوص مذهب الشیعة الإمامیة من جهة توقف الاجتهاد - الی حد ماعلی ذلک ، والاجتهاد هو المحور الأساسی الذی یدور علیه فقه أهل البیت علیهم السلام، والذی یمثل نقطة التفوق علی سائر المذاهب الفقهیة الأخری، وهو الذی أعطی الفقه الإمامی صبغة الحیویة والمؤونة والمضی مع الزمن، وأما وجه توقف الاجتهاد علی معرفة أحوال الرجال فواضح بعد أن کانت السنة النبویة المبینة من طریق أهل البیت علیهم السلام تشکل مصدر أساسیة لمعرفة الأحکام الإلهیة بعد القرآن، وقد وصلت هذه الستة إلی أیدی العلماء الذین دونوا الأصول والموسوعات الحدیثیة بطرق، وفی هذه الطرق رجال فیهم من یعتمد علیه، وفیهم من لایعتمد علیه، وفیهم المجهول وغیر ذلک، ولما کان الحجة فی الاستدلال هو الحدیث المروی</w:t>
      </w:r>
    </w:p>
    <w:p>
      <w:pPr>
        <w:pStyle w:val="BookText"/>
      </w:pPr>
      <w:r>
        <w:rPr>
          <w:rFonts w:ascii="IRNazanin" w:hAnsi="IRNazanin" w:eastAsia="IRNazanin" w:cs="IRNazanin"/>
          <w:lang w:bidi="fa-IR"/>
          <w:color w:val="111111"/>
          <w:sz w:val="28"/>
          <w:szCs w:val="28"/>
          <w:rtl/>
        </w:rPr>
        <w:t xml:space="preserve">[شماره صفحه واقعی : 3]
</w:t>
      </w:r>
    </w:p>
    <w:p>
      <w:pPr>
        <w:sectPr>
          <w:footerReference w:type="default" r:id="rId16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عنهم علیهم السلام بطریق یعتمد علیه - حسبما ثبت فی محله - کان من اللازم معرفة الطریق المعتبر عن غیره لتتم الحجة للفقیه فی الاستدلال علی الأحکام.</w:t>
      </w:r>
    </w:p>
    <w:p>
      <w:pPr>
        <w:pStyle w:val="BookText"/>
      </w:pPr>
      <w:r>
        <w:rPr>
          <w:rFonts w:ascii="IRNazanin" w:hAnsi="IRNazanin" w:eastAsia="IRNazanin" w:cs="IRNazanin"/>
          <w:lang w:bidi="fa-IR"/>
          <w:color w:val="111111"/>
          <w:sz w:val="28"/>
          <w:szCs w:val="28"/>
          <w:rtl/>
        </w:rPr>
        <w:t xml:space="preserve">ولما کان هناک فراغ فی الحوزات العلمیة من هذا العلم - علم الرجال. وعدم دراسة طلبة العلوم الاسلامیة فی مرحلة السطوح لهذا العلم حتی موجزه وکلیاته بحیث یکونون متهیئین لمرحلة السطوح العالیة ودراستها ونقدها قام سماحة الأستاذ المحقق الشیخ السبحانی لسد هذا الفراغ وألف هذا السفر المبارک خدمه للعلم والعلماء فجزاه الله عن الإسلام خیر الجزاء.</w:t>
      </w:r>
    </w:p>
    <w:p>
      <w:pPr>
        <w:pStyle w:val="BookText"/>
      </w:pPr>
      <w:r>
        <w:rPr>
          <w:rFonts w:ascii="IRNazanin" w:hAnsi="IRNazanin" w:eastAsia="IRNazanin" w:cs="IRNazanin"/>
          <w:lang w:bidi="fa-IR"/>
          <w:color w:val="111111"/>
          <w:sz w:val="28"/>
          <w:szCs w:val="28"/>
          <w:rtl/>
        </w:rPr>
        <w:t xml:space="preserve">وقد قامت المؤسسة - والحمدلله بإعادة طبعه ونشره لیکون فی متناول أیدی رواد العلم والفضیلة سائله الله سبحانه أن یمد فی عمر المؤلف ویوفق الجمیع لنشر تعالیم الدین المبین إنه خیر ناصر ومعین.</w:t>
      </w:r>
    </w:p>
    <w:p>
      <w:pPr>
        <w:pStyle w:val="BookText"/>
      </w:pPr>
      <w:r>
        <w:rPr>
          <w:rFonts w:ascii="IRNazanin" w:hAnsi="IRNazanin" w:eastAsia="IRNazanin" w:cs="IRNazanin"/>
          <w:lang w:bidi="fa-IR"/>
          <w:color w:val="111111"/>
          <w:sz w:val="28"/>
          <w:szCs w:val="28"/>
          <w:rtl/>
        </w:rPr>
        <w:t xml:space="preserve">مؤسسة النشر الاسلامی</w:t>
      </w:r>
    </w:p>
    <w:p>
      <w:pPr>
        <w:pStyle w:val="BookText"/>
      </w:pPr>
      <w:r>
        <w:rPr>
          <w:rFonts w:ascii="IRNazanin" w:hAnsi="IRNazanin" w:eastAsia="IRNazanin" w:cs="IRNazanin"/>
          <w:lang w:bidi="fa-IR"/>
          <w:color w:val="111111"/>
          <w:sz w:val="28"/>
          <w:szCs w:val="28"/>
          <w:rtl/>
        </w:rPr>
        <w:t xml:space="preserve">التابعة لجماعة المدرسین بقم المشرفة</w:t>
      </w:r>
    </w:p>
    <w:p>
      <w:pPr>
        <w:pStyle w:val="BookText"/>
      </w:pPr>
      <w:r>
        <w:rPr>
          <w:rFonts w:ascii="IRNazanin" w:hAnsi="IRNazanin" w:eastAsia="IRNazanin" w:cs="IRNazanin"/>
          <w:lang w:bidi="fa-IR"/>
          <w:color w:val="111111"/>
          <w:sz w:val="28"/>
          <w:szCs w:val="28"/>
          <w:rtl/>
        </w:rPr>
        <w:t xml:space="preserve">[شماره صفحه واقعی : 4]
</w:t>
      </w:r>
    </w:p>
    <w:p>
      <w:pPr>
        <w:sectPr>
          <w:footerReference w:type="default" r:id="rId16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رب العالمین و الصلاة و السلام علی نبیه و آله و علی رواة سنته و حملة أحادیثه و حفظة کلمه.</w:t>
      </w:r>
    </w:p>
    <w:p>
      <w:pPr>
        <w:pStyle w:val="BookText"/>
      </w:pPr>
      <w:r>
        <w:rPr>
          <w:rFonts w:ascii="IRNazanin" w:hAnsi="IRNazanin" w:eastAsia="IRNazanin" w:cs="IRNazanin"/>
          <w:lang w:bidi="fa-IR"/>
          <w:color w:val="111111"/>
          <w:sz w:val="28"/>
          <w:szCs w:val="28"/>
          <w:rtl/>
        </w:rPr>
        <w:t xml:space="preserve">[شماره صفحه واقعی : 5]
</w:t>
      </w:r>
    </w:p>
    <w:p>
      <w:pPr>
        <w:sectPr>
          <w:footerReference w:type="default" r:id="rId16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6]
</w:t>
      </w:r>
    </w:p>
    <w:p>
      <w:pPr>
        <w:sectPr>
          <w:footerReference w:type="default" r:id="rId1662"/>
          <w:footnotePr>
            <w:numStart w:val="1"/>
            <w:numRestart w:val="eachPage"/>
          </w:footnotePr>
          <w:pgSz w:orient="portrait" w:w="11905.511811023622" w:h="16837.79527559055"/>
          <w:pgMar w:top="1440" w:right="1440" w:bottom="1440" w:left="1440" w:header="720" w:footer="720" w:gutter="0"/>
          <w:cols w:num="1" w:space="720"/>
        </w:sectPr>
      </w:pPr>
    </w:p>
    <w:bookmarkStart w:id="887" w:name="pg14411_144044"/>
    <w:bookmarkEnd w:id="887"/>
    <w:p>
      <w:pPr>
        <w:pStyle w:val="Heading4"/>
      </w:pPr>
      <w:bookmarkStart w:id="2709" w:name="_Toc1744"/>
      <w:r>
        <w:t>تصدیر</w:t>
      </w:r>
      <w:bookmarkEnd w:id="2709"/>
    </w:p>
    <w:p>
      <w:pPr>
        <w:pStyle w:val="BookText"/>
      </w:pPr>
      <w:r>
        <w:rPr>
          <w:rFonts w:ascii="IRNazanin" w:hAnsi="IRNazanin" w:eastAsia="IRNazanin" w:cs="IRNazanin"/>
          <w:lang w:bidi="fa-IR"/>
          <w:color w:val="111111"/>
          <w:sz w:val="28"/>
          <w:szCs w:val="28"/>
          <w:rtl/>
        </w:rPr>
        <w:t xml:space="preserve">لما کانت السنّة المطهّرة الشّاملة لأحادیث رسول اللّه صلی اللّه علیه و آله و عترته الطّاهرة، هی المصدر الرئیسی الثانی من مصادر التشریع الاسلامی، و کان الوقوف علی الأحادیث الشّریفة، و الاستفادة منها تتطلّب التثبّت منها، و التحقّق من صدورها، أو الحصول علی ما یجعلها حجّة علی المکلّفین، لذلک یجب الوقوف علی أحوال الرواة الّذین حملوا إلینا تلک الأحادیث جیلا بعد جیل، منذ عصر الرّسالة و الإمامة، و هذا هو ما یسمّی ب: «علم الرجال» الّذی یتعیّن علی کلّ فقیه یرید استنباط الاحکام، و ممارسة عملیّة الاجتهاد، الإلمام به علی نحو یمکنه من تمحیص الأحادیث، و التثبّت منها.</w:t>
      </w:r>
    </w:p>
    <w:p>
      <w:pPr>
        <w:pStyle w:val="BookText"/>
      </w:pPr>
      <w:r>
        <w:rPr>
          <w:rFonts w:ascii="IRNazanin" w:hAnsi="IRNazanin" w:eastAsia="IRNazanin" w:cs="IRNazanin"/>
          <w:lang w:bidi="fa-IR"/>
          <w:color w:val="111111"/>
          <w:sz w:val="28"/>
          <w:szCs w:val="28"/>
          <w:rtl/>
        </w:rPr>
        <w:t xml:space="preserve">و إحساسا باهمیّة هذا العلم فی الدراسات الاسلامیة، طلبت منّی «لجنة إدارة الحوزة العلمیة بقم المقدسة»، إلقاء سلسلة منتظمة من المحاضرات علی طلاّب الحوزة العلمیّة المبارکة لتکون مقدّمة لمرحلة التخصّص.</w:t>
      </w:r>
    </w:p>
    <w:p>
      <w:pPr>
        <w:pStyle w:val="BookText"/>
      </w:pPr>
      <w:r>
        <w:rPr>
          <w:rFonts w:ascii="IRNazanin" w:hAnsi="IRNazanin" w:eastAsia="IRNazanin" w:cs="IRNazanin"/>
          <w:lang w:bidi="fa-IR"/>
          <w:color w:val="111111"/>
          <w:sz w:val="28"/>
          <w:szCs w:val="28"/>
          <w:rtl/>
        </w:rPr>
        <w:t xml:space="preserve">فاستجیبت لهذا الطّلب، و وفّقنا اللّه لإلقاء هذه المحاضرات الّتی تشتمل علی قواعد و کلیّات من هذا العلم، لا غنی للمستنبط عن الوقوف علیها، و قد استخرجناها ذکره أساطین الفنّ فی مقدّمات الکتب الرجالیّة أو خواتیمها، و هم بین موجز فی القول، و مفصّل و مسهب فی الکلام - شکر اللّه مساعیهم</w:t>
      </w:r>
    </w:p>
    <w:p>
      <w:pPr>
        <w:pStyle w:val="BookText"/>
      </w:pPr>
      <w:r>
        <w:rPr>
          <w:rFonts w:ascii="IRNazanin" w:hAnsi="IRNazanin" w:eastAsia="IRNazanin" w:cs="IRNazanin"/>
          <w:lang w:bidi="fa-IR"/>
          <w:color w:val="111111"/>
          <w:sz w:val="28"/>
          <w:szCs w:val="28"/>
          <w:rtl/>
        </w:rPr>
        <w:t xml:space="preserve">[شماره صفحه واقعی : 7]
</w:t>
      </w:r>
    </w:p>
    <w:p>
      <w:pPr>
        <w:sectPr>
          <w:footerReference w:type="default" r:id="rId16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الجمیلة - و نحن نقتصر علی امّهات المطالب و أهمّ مفاتیح هذا العلم الشریف الّتی یسهل علی الطالب تناولها و فهمها، سائلین من المولی سبحانه التّوفیق لتحصیل مرضاته.</w:t>
      </w:r>
    </w:p>
    <w:p>
      <w:pPr>
        <w:pStyle w:val="BookText"/>
      </w:pPr>
      <w:r>
        <w:rPr>
          <w:rFonts w:ascii="IRNazanin" w:hAnsi="IRNazanin" w:eastAsia="IRNazanin" w:cs="IRNazanin"/>
          <w:lang w:bidi="fa-IR"/>
          <w:color w:val="111111"/>
          <w:sz w:val="28"/>
          <w:szCs w:val="28"/>
          <w:rtl/>
        </w:rPr>
        <w:t xml:space="preserve">و قد ارتأت «لجنة الادارة» أن تقوم بطبع و إخراج هذه المحاضرات تعمیما للفائدة، فکان هذا الکتاب، فحیّا اللّه هذه اللجنة و شکر مساعیها الخالصة، فی خدمة الإسلام، و نرجو من القرّاء الکرام إرسال نظریّاتهم القیّمة حتّی تتکامل هذه المجموعة بإذن اللّه تعالی و تتبع هذه الخطوة العلمّیة المبارکة، خطوات أوسع فی هذا الصعید.</w:t>
      </w:r>
    </w:p>
    <w:p>
      <w:pPr>
        <w:pStyle w:val="BookText"/>
      </w:pPr>
      <w:r>
        <w:rPr>
          <w:rFonts w:ascii="IRNazanin" w:hAnsi="IRNazanin" w:eastAsia="IRNazanin" w:cs="IRNazanin"/>
          <w:lang w:bidi="fa-IR"/>
          <w:color w:val="111111"/>
          <w:sz w:val="28"/>
          <w:szCs w:val="28"/>
          <w:rtl/>
        </w:rPr>
        <w:t xml:space="preserve">قم المقدسة. الحوزة العلمیة جعفر السبحانی یوم میلاد فاطمة الزهراء (علیها السلام) 20 /جمادی الآخرة/ 1408</w:t>
      </w:r>
    </w:p>
    <w:p>
      <w:pPr>
        <w:pStyle w:val="BookText"/>
      </w:pPr>
      <w:r>
        <w:rPr>
          <w:rFonts w:ascii="IRNazanin" w:hAnsi="IRNazanin" w:eastAsia="IRNazanin" w:cs="IRNazanin"/>
          <w:lang w:bidi="fa-IR"/>
          <w:color w:val="111111"/>
          <w:sz w:val="28"/>
          <w:szCs w:val="28"/>
          <w:rtl/>
        </w:rPr>
        <w:t xml:space="preserve">[شماره صفحه واقعی : 8]
</w:t>
      </w:r>
    </w:p>
    <w:p>
      <w:pPr>
        <w:sectPr>
          <w:footerReference w:type="default" r:id="rId1664"/>
          <w:footnotePr>
            <w:numStart w:val="1"/>
            <w:numRestart w:val="eachPage"/>
          </w:footnotePr>
          <w:pgSz w:orient="portrait" w:w="11905.511811023622" w:h="16837.79527559055"/>
          <w:pgMar w:top="1440" w:right="1440" w:bottom="1440" w:left="1440" w:header="720" w:footer="720" w:gutter="0"/>
          <w:cols w:num="1" w:space="720"/>
        </w:sectPr>
      </w:pPr>
    </w:p>
    <w:bookmarkStart w:id="888" w:name="pg14411_144046"/>
    <w:bookmarkEnd w:id="888"/>
    <w:p>
      <w:pPr>
        <w:pStyle w:val="Heading4"/>
      </w:pPr>
      <w:bookmarkStart w:id="2710" w:name="_Toc1745"/>
      <w:r>
        <w:t>الفصل الاول</w:t>
      </w:r>
      <w:bookmarkEnd w:id="2710"/>
    </w:p>
    <w:p>
      <w:pPr>
        <w:pStyle w:val="Heading5"/>
      </w:pPr>
      <w:bookmarkStart w:id="2711" w:name="_Toc1746"/>
      <w:r>
        <w:t>اشارة</w:t>
      </w:r>
      <w:bookmarkEnd w:id="271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المبادیء التصوریة لعلم الرجال.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علم الرجال، موضوعه و مسائله.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التراجم و علم الرجال.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الدرایة و علم الرجال.</w:t>
      </w:r>
    </w:p>
    <w:p>
      <w:pPr>
        <w:pStyle w:val="BookText"/>
      </w:pPr>
      <w:r>
        <w:rPr>
          <w:rFonts w:ascii="IRNazanin" w:hAnsi="IRNazanin" w:eastAsia="IRNazanin" w:cs="IRNazanin"/>
          <w:lang w:bidi="fa-IR"/>
          <w:color w:val="111111"/>
          <w:sz w:val="28"/>
          <w:szCs w:val="28"/>
          <w:rtl/>
        </w:rPr>
        <w:t xml:space="preserve">[شماره صفحه واقعی : 9]
</w:t>
      </w:r>
    </w:p>
    <w:p>
      <w:pPr>
        <w:sectPr>
          <w:footerReference w:type="default" r:id="rId16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10]
</w:t>
      </w:r>
    </w:p>
    <w:p>
      <w:pPr>
        <w:sectPr>
          <w:footerReference w:type="default" r:id="rId1666"/>
          <w:footnotePr>
            <w:numStart w:val="1"/>
            <w:numRestart w:val="eachPage"/>
          </w:footnotePr>
          <w:pgSz w:orient="portrait" w:w="11905.511811023622" w:h="16837.79527559055"/>
          <w:pgMar w:top="1440" w:right="1440" w:bottom="1440" w:left="1440" w:header="720" w:footer="720" w:gutter="0"/>
          <w:cols w:num="1" w:space="720"/>
        </w:sectPr>
      </w:pPr>
    </w:p>
    <w:bookmarkStart w:id="889" w:name="pg14411_144048"/>
    <w:bookmarkEnd w:id="889"/>
    <w:p>
      <w:pPr>
        <w:pStyle w:val="Heading5"/>
      </w:pPr>
      <w:bookmarkStart w:id="2712" w:name="_Toc1747"/>
      <w:r>
        <w:t>ما هو علم الرجال ؟</w:t>
      </w:r>
      <w:bookmarkEnd w:id="2712"/>
    </w:p>
    <w:p>
      <w:pPr>
        <w:pStyle w:val="BookText"/>
      </w:pPr>
      <w:r>
        <w:rPr>
          <w:rFonts w:ascii="IRNazanin" w:hAnsi="IRNazanin" w:eastAsia="IRNazanin" w:cs="IRNazanin"/>
          <w:lang w:bidi="fa-IR"/>
          <w:color w:val="111111"/>
          <w:sz w:val="28"/>
          <w:szCs w:val="28"/>
          <w:rtl/>
        </w:rPr>
        <w:t xml:space="preserve">الرجال: علم یبحث فیه عن أحوال الرواة من حیث اتّصافهم بشرائط قبول أخبارهم و عدمه. و إن شئت قلت: هو علم یبحث فیه عن أحوال رواة الحدیث الّتی لها دخل فی جواز قبول قولهم و عدمه.</w:t>
      </w:r>
    </w:p>
    <w:p>
      <w:pPr>
        <w:pStyle w:val="BookText"/>
      </w:pPr>
      <w:r>
        <w:rPr>
          <w:rFonts w:ascii="IRNazanin" w:hAnsi="IRNazanin" w:eastAsia="IRNazanin" w:cs="IRNazanin"/>
          <w:lang w:bidi="fa-IR"/>
          <w:color w:val="111111"/>
          <w:sz w:val="28"/>
          <w:szCs w:val="28"/>
          <w:rtl/>
        </w:rPr>
        <w:t xml:space="preserve">و ربّما یعرّف بأنّه علم وضع لتشخیص رواة الحدیث ذاتا و وصفا، و مدحا و قدحا. و المراد من تشخیص الراوی ذاتا، هو معرفة ذات الشخص و کونه فلان بن فلان. کما أنّ المراد من التشخیص الوصفی، هو معرفة أوصافه من الوثاقة و نحوها. و قوله: «مدحا و قدحا» بیان لوجوه الوصف، الی غیر ذلک من التعاریف.</w:t>
      </w:r>
    </w:p>
    <w:p>
      <w:pPr>
        <w:pStyle w:val="BookText"/>
      </w:pPr>
      <w:r>
        <w:rPr>
          <w:rFonts w:ascii="IRNazanin" w:hAnsi="IRNazanin" w:eastAsia="IRNazanin" w:cs="IRNazanin"/>
          <w:lang w:bidi="fa-IR"/>
          <w:color w:val="111111"/>
          <w:sz w:val="28"/>
          <w:szCs w:val="28"/>
          <w:rtl/>
        </w:rPr>
        <w:t xml:space="preserve">و المطلوب المهمّ فی هذا العلم حسبما یکشف عنه التعریف، هو التعرّف علی أحوال الرواة من حیث کونهم عدولا أو غیر عدول، موثّقین أو غیر موثّقین، ممدوحین أو مذمومین، أو مهملین، أو مجهولین</w:t>
      </w:r>
      <w:r>
        <w:rPr>
          <w:rStyle w:val="FootnoteReference"/>
        </w:rPr>
        <w:footnoteReference w:id="4980"/>
      </w:r>
      <w:r>
        <w:rPr>
          <w:rFonts w:ascii="IRNazanin" w:hAnsi="IRNazanin" w:eastAsia="IRNazanin" w:cs="IRNazanin"/>
          <w:lang w:bidi="fa-IR"/>
          <w:color w:val="111111"/>
          <w:sz w:val="28"/>
          <w:szCs w:val="28"/>
          <w:rtl/>
        </w:rPr>
        <w:t xml:space="preserve">و الاطّلاع علی مشایخهم و تلامیذهم و حیاتهم و أعصارهم و طبقاتهم فی الروایة حتی یعرف</w:t>
      </w:r>
    </w:p>
    <w:p>
      <w:pPr>
        <w:pStyle w:val="BookText"/>
      </w:pPr>
      <w:r>
        <w:rPr>
          <w:rFonts w:ascii="IRNazanin" w:hAnsi="IRNazanin" w:eastAsia="IRNazanin" w:cs="IRNazanin"/>
          <w:lang w:bidi="fa-IR"/>
          <w:color w:val="111111"/>
          <w:sz w:val="28"/>
          <w:szCs w:val="28"/>
          <w:rtl/>
        </w:rPr>
        <w:t xml:space="preserve">[شماره صفحه واقعی : 11]
</w:t>
      </w:r>
    </w:p>
    <w:p>
      <w:pPr>
        <w:sectPr>
          <w:footerReference w:type="default" r:id="rId1667"/>
          <w:footnotePr>
            <w:numStart w:val="1"/>
            <w:numRestart w:val="eachPage"/>
          </w:footnotePr>
          <w:pgSz w:orient="portrait" w:w="11905.511811023622" w:h="16837.79527559055"/>
          <w:pgMar w:top="1440" w:right="1440" w:bottom="1440" w:left="1440" w:header="720" w:footer="720" w:gutter="0"/>
          <w:cols w:num="1" w:space="720"/>
        </w:sectPr>
      </w:pPr>
    </w:p>
    <w:bookmarkStart w:id="890" w:name="pg14411_144049"/>
    <w:bookmarkEnd w:id="890"/>
    <w:p>
      <w:pPr>
        <w:pStyle w:val="BookText"/>
      </w:pPr>
      <w:r>
        <w:rPr>
          <w:rFonts w:ascii="IRNazanin" w:hAnsi="IRNazanin" w:eastAsia="IRNazanin" w:cs="IRNazanin"/>
          <w:lang w:bidi="fa-IR"/>
          <w:color w:val="111111"/>
          <w:sz w:val="28"/>
          <w:szCs w:val="28"/>
          <w:rtl/>
        </w:rPr>
        <w:t xml:space="preserve">المرسل عن المسند و یمیّز المشترک، الی غیر ذلک ممّا یتوقّف علیه قبول الخبر.</w:t>
      </w:r>
    </w:p>
    <w:p>
      <w:pPr>
        <w:pStyle w:val="Heading5"/>
      </w:pPr>
      <w:bookmarkStart w:id="2713" w:name="_Toc1748"/>
      <w:r>
        <w:t>ما هو موضوع علم الرجال ؟</w:t>
      </w:r>
      <w:bookmarkEnd w:id="2713"/>
    </w:p>
    <w:p>
      <w:pPr>
        <w:pStyle w:val="BookText"/>
      </w:pPr>
      <w:r>
        <w:rPr>
          <w:rFonts w:ascii="IRNazanin" w:hAnsi="IRNazanin" w:eastAsia="IRNazanin" w:cs="IRNazanin"/>
          <w:lang w:bidi="fa-IR"/>
          <w:color w:val="111111"/>
          <w:sz w:val="28"/>
          <w:szCs w:val="28"/>
          <w:rtl/>
        </w:rPr>
        <w:t xml:space="preserve">موضوعه عبارة عن رواة الحدیث الواقعین فی طریقه، فبما أنّ کلّ علم یبحث فیه عن عوارض موضوع معیّن و حالاته الطارئة علیه، ففی المقام یبحث عن أحوال الرواة من حیث دخالتها فی اعتبار قولهم و عدمه، أمّا حالاتهم الاخری الّتی لیست لها دخالة فی قبول قولهم فهو خارج عن هذا العلم، فالبحث فی هذا العلم إنّما هو عن اتّصاف الراوی بکونه ثقة و ضابطا أو عدلا أو غیر ذلک من الأحوال العارضة للموضوع، أمّا الأحوال الاخری ککونه تاجرا أو شاعرا أو غیر ذلک من الأحوال الّتی لا دخالة لها فی قبول حدیثهم فهی خارجة عن هذا العلم.</w:t>
      </w:r>
    </w:p>
    <w:p>
      <w:pPr>
        <w:pStyle w:val="Heading5"/>
      </w:pPr>
      <w:bookmarkStart w:id="2714" w:name="_Toc1749"/>
      <w:r>
        <w:t>ما هو مسائله ؟</w:t>
      </w:r>
      <w:bookmarkEnd w:id="2714"/>
    </w:p>
    <w:p>
      <w:pPr>
        <w:pStyle w:val="BookText"/>
      </w:pPr>
      <w:r>
        <w:rPr>
          <w:rFonts w:ascii="IRNazanin" w:hAnsi="IRNazanin" w:eastAsia="IRNazanin" w:cs="IRNazanin"/>
          <w:lang w:bidi="fa-IR"/>
          <w:color w:val="111111"/>
          <w:sz w:val="28"/>
          <w:szCs w:val="28"/>
          <w:rtl/>
        </w:rPr>
        <w:t xml:space="preserve">إنّ مسائل علم الرجال هو العلم بأحوال الاشخاص من حیث الوثاقة و غیرها، و عند ذلک یستشکل علی تسمیة ذلک علما، فإنّ مسائل العلم تجب أن تکون کلیّة لا جزئیّة، و اجیب عن هذا الاشکال بوجهین:</w:t>
      </w:r>
    </w:p>
    <w:p>
      <w:pPr>
        <w:pStyle w:val="BookText"/>
      </w:pPr>
      <w:r>
        <w:rPr>
          <w:rFonts w:ascii="IRNazanin" w:hAnsi="IRNazanin" w:eastAsia="IRNazanin" w:cs="IRNazanin"/>
          <w:lang w:bidi="fa-IR"/>
          <w:color w:val="111111"/>
          <w:sz w:val="28"/>
          <w:szCs w:val="28"/>
          <w:rtl/>
        </w:rPr>
        <w:t xml:space="preserve">الاول: ان التعرّف علی أحوال الراوی کزرارة و محمّد بن مسلم یعطی ضابطة کلیّة للمستنبط بأنّ کلّ ما رواه هذا أو ذاک فهو حجّة، و الشخص مقبول الروایة، کما أنّ التعرّف علی أحوال وهب بن وهب یعطی عکس ذلک، و علی ذلک فیمکن انتزاع قاعدة کلیّة من التعرّف علی أحوال الاشخاص، فکانت المسألة فی هذا العلم تدور حول: «هل کلّ ما یرویه زرارة أو محمّد بن مسلم حجّة أو لا؟» و البحث عن کونه ثقة أو ضابطا یعدّ مقدّمة لانتزاع هذه المسألة الکلیّة.</w:t>
      </w:r>
    </w:p>
    <w:p>
      <w:pPr>
        <w:pStyle w:val="BookText"/>
      </w:pPr>
      <w:r>
        <w:rPr>
          <w:rFonts w:ascii="IRNazanin" w:hAnsi="IRNazanin" w:eastAsia="IRNazanin" w:cs="IRNazanin"/>
          <w:lang w:bidi="fa-IR"/>
          <w:color w:val="111111"/>
          <w:sz w:val="28"/>
          <w:szCs w:val="28"/>
          <w:rtl/>
        </w:rPr>
        <w:t xml:space="preserve">و هذا الجواب لا یخلو من تکلّف کما هو واضح، لأنّ المسألة الاصلیّة</w:t>
      </w:r>
    </w:p>
    <w:p>
      <w:pPr>
        <w:pStyle w:val="BookText"/>
      </w:pPr>
      <w:r>
        <w:rPr>
          <w:rFonts w:ascii="IRNazanin" w:hAnsi="IRNazanin" w:eastAsia="IRNazanin" w:cs="IRNazanin"/>
          <w:lang w:bidi="fa-IR"/>
          <w:color w:val="111111"/>
          <w:sz w:val="28"/>
          <w:szCs w:val="28"/>
          <w:rtl/>
        </w:rPr>
        <w:t xml:space="preserve">[شماره صفحه واقعی : 12]
</w:t>
      </w:r>
    </w:p>
    <w:p>
      <w:pPr>
        <w:sectPr>
          <w:footerReference w:type="default" r:id="rId1668"/>
          <w:footnotePr>
            <w:numStart w:val="1"/>
            <w:numRestart w:val="eachPage"/>
          </w:footnotePr>
          <w:pgSz w:orient="portrait" w:w="11905.511811023622" w:h="16837.79527559055"/>
          <w:pgMar w:top="1440" w:right="1440" w:bottom="1440" w:left="1440" w:header="720" w:footer="720" w:gutter="0"/>
          <w:cols w:num="1" w:space="720"/>
        </w:sectPr>
      </w:pPr>
    </w:p>
    <w:bookmarkStart w:id="891" w:name="pg14411_144050"/>
    <w:bookmarkEnd w:id="891"/>
    <w:p>
      <w:pPr>
        <w:pStyle w:val="BookText"/>
      </w:pPr>
      <w:r>
        <w:rPr>
          <w:rFonts w:ascii="IRNazanin" w:hAnsi="IRNazanin" w:eastAsia="IRNazanin" w:cs="IRNazanin"/>
          <w:lang w:bidi="fa-IR"/>
          <w:color w:val="111111"/>
          <w:sz w:val="28"/>
          <w:szCs w:val="28"/>
          <w:rtl/>
        </w:rPr>
        <w:t xml:space="preserve">فی هذا العلم هو وثاقة الراوی المعین و عدمها، لا القاعدة المنتزعة منها.</w:t>
      </w:r>
    </w:p>
    <w:p>
      <w:pPr>
        <w:pStyle w:val="BookText"/>
      </w:pPr>
      <w:r>
        <w:rPr>
          <w:rFonts w:ascii="IRNazanin" w:hAnsi="IRNazanin" w:eastAsia="IRNazanin" w:cs="IRNazanin"/>
          <w:lang w:bidi="fa-IR"/>
          <w:color w:val="111111"/>
          <w:sz w:val="28"/>
          <w:szCs w:val="28"/>
          <w:rtl/>
        </w:rPr>
        <w:t xml:space="preserve">الثانی: و هو الموافق للتّحقیق أنّ الالتزام بکون مسائل العلوم مسائل کلیة، التزام بلا جهة، لأنّا نری أنّ مسائل بعض العلوم لیست الا مسائل جزئیّة، و مع ذلک تعدّ من العلوم، کالبحث عن أحوال الموضوعات الواردة فی علمی الهیئة و الجغرافّیة، فإنّ البحث عن أحوال القمر و الشّمس و سائر الکواکب بحوث عن الاعیان الشخصیّة، کما أنّ البحث عن الارض و أحوالها الطبیعیّة و الاقتصادیّة و الأوضاع السیاسیّة الحاکمة علی المناطق منها، أبحاث عن الأحوال العارضة للوجود الشخصیّ، و مع ذلک لا یوجب ذلک خروجهما عن نطاق العلوم، و یقرب من ذلک «العرفان»، فإنّ موضوع البحث فیه هو «اللّه» سبحانه و مع ذلک فهو من أهمّ المعارف و العلوم، و بذلک یظهر أنّه لا حاجة الی ما التزموا به من لزوم کون مسائل العلوم کلیّة خصوصا العلوم الاعتباریة کالعلوم الأدبیة و الرجال الّتی یکفی فیها کون المسألة (جزئیّة کانت أو کلیّة) واقعة فی طریق الهدف الذی لاجله أسّس العلم الاعتباری.</w:t>
      </w:r>
    </w:p>
    <w:p>
      <w:pPr>
        <w:pStyle w:val="Heading5"/>
      </w:pPr>
      <w:bookmarkStart w:id="2715" w:name="_Toc1750"/>
      <w:r>
        <w:t>علم التراجم و تمایزه عن علم الرجال</w:t>
      </w:r>
      <w:bookmarkEnd w:id="2715"/>
    </w:p>
    <w:p>
      <w:pPr>
        <w:pStyle w:val="BookText"/>
      </w:pPr>
      <w:r>
        <w:rPr>
          <w:rFonts w:ascii="IRNazanin" w:hAnsi="IRNazanin" w:eastAsia="IRNazanin" w:cs="IRNazanin"/>
          <w:lang w:bidi="fa-IR"/>
          <w:color w:val="111111"/>
          <w:sz w:val="28"/>
          <w:szCs w:val="28"/>
          <w:rtl/>
        </w:rPr>
        <w:t xml:space="preserve">و فی جانب هذا العلم، علم التراجم الّذی یعدّ أخا لعلم الرجال و لیس نفسه، فان علم الرجال یبحث فیه عن أحوال رجال وقعوا فی سند الاحادیث من حیث الوثاقة و غیرها، و أمّا التراجم فهو بحث عن أحوال الشخصیات من العلماء، و غیرهم، سواء کانوا رواة أم لا و بذلک یظهر أن بین العلمین بونا شاسعا.</w:t>
      </w:r>
    </w:p>
    <w:p>
      <w:pPr>
        <w:pStyle w:val="BookText"/>
      </w:pPr>
      <w:r>
        <w:rPr>
          <w:rFonts w:ascii="IRNazanin" w:hAnsi="IRNazanin" w:eastAsia="IRNazanin" w:cs="IRNazanin"/>
          <w:lang w:bidi="fa-IR"/>
          <w:color w:val="111111"/>
          <w:sz w:val="28"/>
          <w:szCs w:val="28"/>
          <w:rtl/>
        </w:rPr>
        <w:t xml:space="preserve">نعم، ربّما یجتمعان فی مورد، کما اذا کان الراوی عالما مثلا، کالکلینی و الصّدوق، و لکن حیثیّة البحث فیهما مختلفة، فالبحث عن أحوالهما من حیث وقوعهما فی رجال الحدیث و اتّصافهما بما یشترط فی قبول الروایة، غیر البحث عن أحوالهما و بلوغهما شأوا عظیما من العلم و أنّهما مثلا قد ألّفا کتبا</w:t>
      </w:r>
    </w:p>
    <w:p>
      <w:pPr>
        <w:pStyle w:val="BookText"/>
      </w:pPr>
      <w:r>
        <w:rPr>
          <w:rFonts w:ascii="IRNazanin" w:hAnsi="IRNazanin" w:eastAsia="IRNazanin" w:cs="IRNazanin"/>
          <w:lang w:bidi="fa-IR"/>
          <w:color w:val="111111"/>
          <w:sz w:val="28"/>
          <w:szCs w:val="28"/>
          <w:rtl/>
        </w:rPr>
        <w:t xml:space="preserve">[شماره صفحه واقعی : 13]
</w:t>
      </w:r>
    </w:p>
    <w:p>
      <w:pPr>
        <w:sectPr>
          <w:footerReference w:type="default" r:id="rId16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کثیرة فی مختلف العلوم.</w:t>
      </w:r>
    </w:p>
    <w:p>
      <w:pPr>
        <w:pStyle w:val="BookText"/>
      </w:pPr>
      <w:r>
        <w:rPr>
          <w:rFonts w:ascii="IRNazanin" w:hAnsi="IRNazanin" w:eastAsia="IRNazanin" w:cs="IRNazanin"/>
          <w:lang w:bidi="fa-IR"/>
          <w:color w:val="111111"/>
          <w:sz w:val="28"/>
          <w:szCs w:val="28"/>
          <w:rtl/>
        </w:rPr>
        <w:t xml:space="preserve">و قد أدخل القدماء من الرجالیین تراجم خصوص العلماء من علم التراجم فی علم الرجال، من دون أن یفرّقوا بین العلمین حتی إنّ الشیخ منتجب الدین ابن بابویة (الذی ولد سنة 504 و کان حیّا الی سنة 585) ألّف فهرسا فی تراجم الرواة و العلماء المتأخّرین عن الشیخ الطوسی (المتوفّی سنة 460) و تبع فی ذلک طریقة من سبقه من علماء الرجال أعنی الشیخ الکشّی و النجاشی و الشیخ الطوسی الذین هم أصحاب الاصول لعلم الرجال و التراجم فی الشیعة، و کذلک فعل الشیخ رشید الدین ابن شهر آشوب (المتوفّی عام 588) فألّف کتاب «معالم العلماء» و ألحق بآخره أسماء عدّة من أعلام شعراء الشیعة المخلصین لأهل البیت. و بعده أدرج العلاّمة الحلّی (المتوفّی عام 726) فی کتاب «الخلاصة» بعض علماء القرن السابع، کما أدرج الشیخ تقی الدین الحسن بن داود (المولود عام 647) أحوال العلماء المتأخّرین فی رجاله المعروف ب «رجال ابن داود» و استمّر الحال علی ذلک إلی أن استقلّ «التراجم» عن «علم الرجال» فصار کلّ، علما مستقلاّ فی - التألیف.</w:t>
      </w:r>
    </w:p>
    <w:p>
      <w:pPr>
        <w:pStyle w:val="BookText"/>
      </w:pPr>
      <w:r>
        <w:rPr>
          <w:rFonts w:ascii="IRNazanin" w:hAnsi="IRNazanin" w:eastAsia="IRNazanin" w:cs="IRNazanin"/>
          <w:lang w:bidi="fa-IR"/>
          <w:color w:val="111111"/>
          <w:sz w:val="28"/>
          <w:szCs w:val="28"/>
          <w:rtl/>
        </w:rPr>
        <w:t xml:space="preserve">و لعلّ الشیخ المحدّث الحرّ العاملی من الشیعة أوّل من قام بالتفکیک بین العلمین فألّف کتابه القیّم «أمل الآمل فی تراجم علماء جبل عامل» فی جزئین: الجزء الأوّل بهذا الاسم و الجزء الثانی باسم «تذکرة المتبحّرین فی ترجمة سائر علماء المتأخّرین» و قد توفّی الشیخ عام «1104» و شرع فی تألیف ذلک الکتاب عام «1096»، و بعده توالی التألیف فی التراجم فألّف الشیخ عبد اللّه الأفندی التبریزی (المتوفّی قبل عام 1134)، «ریاض العلماء» فی عشر مجلّدات الی غیر ذلک من التآلیف القیّمة فی التراجم ک «روضات الجنّات» للعلاّمة الاصفهانی و «أعیان الشیعة» للعلاّمة العاملی و «الکنی و الالقاب» للمحدّث القمی و «ریحانة الأدب» للمدرّس التبریزی (قدّس اللّه أسرارهم).</w:t>
      </w:r>
    </w:p>
    <w:p>
      <w:pPr>
        <w:pStyle w:val="BookText"/>
      </w:pPr>
      <w:r>
        <w:rPr>
          <w:rFonts w:ascii="IRNazanin" w:hAnsi="IRNazanin" w:eastAsia="IRNazanin" w:cs="IRNazanin"/>
          <w:lang w:bidi="fa-IR"/>
          <w:color w:val="111111"/>
          <w:sz w:val="28"/>
          <w:szCs w:val="28"/>
          <w:rtl/>
        </w:rPr>
        <w:t xml:space="preserve">[شماره صفحه واقعی : 14]
</w:t>
      </w:r>
    </w:p>
    <w:p>
      <w:pPr>
        <w:sectPr>
          <w:footerReference w:type="default" r:id="rId16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الغرض من هذا البحث ایقاف القاریء علی التمییز بین العلمین لاختلاف الاغراض الباعثة الی تدوینهما بصورة علمین متمایزین، و الحیثیّات الراجعة الی الموضوع، المبیّنة لاختلاف الاهداف، فنقول:</w:t>
      </w:r>
    </w:p>
    <w:p>
      <w:pPr>
        <w:pStyle w:val="BookText"/>
      </w:pPr>
      <w:r>
        <w:rPr>
          <w:rFonts w:ascii="IRNazanin" w:hAnsi="IRNazanin" w:eastAsia="IRNazanin" w:cs="IRNazanin"/>
          <w:lang w:bidi="fa-IR"/>
          <w:color w:val="111111"/>
          <w:sz w:val="28"/>
          <w:szCs w:val="28"/>
          <w:rtl/>
        </w:rPr>
        <w:t xml:space="preserve">ان الفرق بین العلمین یمکن بأحد وجوه علی سبیل مانعة الخلوّ:</w:t>
      </w:r>
    </w:p>
    <w:p>
      <w:pPr>
        <w:pStyle w:val="BookText"/>
      </w:pPr>
      <w:r>
        <w:rPr>
          <w:rFonts w:ascii="IRNazanin" w:hAnsi="IRNazanin" w:eastAsia="IRNazanin" w:cs="IRNazanin"/>
          <w:lang w:bidi="fa-IR"/>
          <w:color w:val="111111"/>
          <w:sz w:val="28"/>
          <w:szCs w:val="28"/>
          <w:rtl/>
        </w:rPr>
        <w:t xml:space="preserve">1 - العلمان یتّحدان موضوعا و لکنّ الموضوع فی کلّ واحد یختلف بالحیثّیة، فالشخص بما هو راو و واقع فی سند الحدیث، موضوع لعلم الرجال، و بما أنّ له دورا فی حقل العلم و الاجتماع و الادب و السیاسة و الفنّ و الصناعة، موضوع لعلم التراجم. نظیر الکلمة العربیّة الّتی من حیث الصحّة و الاعتلال موضوع لعلم الصّرف، و من حیث الاعراب و البناء موضوع لعلم النحو. و لأجل ذلک یکون الموضوع فی علم الرجال هو شخص الراوی و ان لم تکن له شخصیّة اجتماعیة، بخلاف التراجم فإنّ الموضوع فیه، الشخصیات البارزة فی الاجتماع لجهة من الجهات.</w:t>
      </w:r>
    </w:p>
    <w:p>
      <w:pPr>
        <w:pStyle w:val="BookText"/>
      </w:pPr>
      <w:r>
        <w:rPr>
          <w:rFonts w:ascii="IRNazanin" w:hAnsi="IRNazanin" w:eastAsia="IRNazanin" w:cs="IRNazanin"/>
          <w:lang w:bidi="fa-IR"/>
          <w:color w:val="111111"/>
          <w:sz w:val="28"/>
          <w:szCs w:val="28"/>
          <w:rtl/>
        </w:rPr>
        <w:t xml:space="preserve">2 - العلمان یتّحدان موضوعا و یختلفان محمولا، فالمحمول فی علم الرجال وثاقة الشخص و ضعفه، و أمّا التعرّف علی طبقته و علی مشایخه و تلامیذه و مقدار روایاته کثرة و قلّة، فمطلوب بالعرض و البحث عنها لأجل الوقوف علی المطلوب بالذّات و هو تمییز الثقة الضابط عن غیره، إذ الوقوف علی طبقة الشخص و الوقوف علی مشایخه و الراوین عنه خیر وسیلة لتمییز المشترکین فی الاسم، و لا یتحقّق التّعرف علی الثقة الا به. کما أنّ الوقوف علی مقدار روایاته و مقایسة ما یرویه مع ما یرویه غیره من حیث اللّفظ و المعنی، سبب للتعرّف علی مکانة الراوی من حیث الضبط.</w:t>
      </w:r>
    </w:p>
    <w:p>
      <w:pPr>
        <w:pStyle w:val="BookText"/>
      </w:pPr>
      <w:r>
        <w:rPr>
          <w:rFonts w:ascii="IRNazanin" w:hAnsi="IRNazanin" w:eastAsia="IRNazanin" w:cs="IRNazanin"/>
          <w:lang w:bidi="fa-IR"/>
          <w:color w:val="111111"/>
          <w:sz w:val="28"/>
          <w:szCs w:val="28"/>
          <w:rtl/>
        </w:rPr>
        <w:t xml:space="preserve">أمّا المطلوب فی علم التراجم فهو التعرّف علی أحوال الاشخاص لا من حیث الوثاقة و الضّعف، بل من حیث دورهم فی حقل العلم و الأدب و الفنّ و الصناعة من مجال السیاسة و الاجتماع و تأثیره فی الاحداث و الوقائع الی غیر ذلک مما یطلب من علم التراجم.</w:t>
      </w:r>
    </w:p>
    <w:p>
      <w:pPr>
        <w:pStyle w:val="BookText"/>
      </w:pPr>
      <w:r>
        <w:rPr>
          <w:rFonts w:ascii="IRNazanin" w:hAnsi="IRNazanin" w:eastAsia="IRNazanin" w:cs="IRNazanin"/>
          <w:lang w:bidi="fa-IR"/>
          <w:color w:val="111111"/>
          <w:sz w:val="28"/>
          <w:szCs w:val="28"/>
          <w:rtl/>
        </w:rPr>
        <w:t xml:space="preserve">[شماره صفحه واقعی : 15]
</w:t>
      </w:r>
    </w:p>
    <w:p>
      <w:pPr>
        <w:sectPr>
          <w:footerReference w:type="default" r:id="rId1671"/>
          <w:footnotePr>
            <w:numStart w:val="1"/>
            <w:numRestart w:val="eachPage"/>
          </w:footnotePr>
          <w:pgSz w:orient="portrait" w:w="11905.511811023622" w:h="16837.79527559055"/>
          <w:pgMar w:top="1440" w:right="1440" w:bottom="1440" w:left="1440" w:header="720" w:footer="720" w:gutter="0"/>
          <w:cols w:num="1" w:space="720"/>
        </w:sectPr>
      </w:pPr>
    </w:p>
    <w:bookmarkStart w:id="892" w:name="pg14411_144053"/>
    <w:bookmarkEnd w:id="892"/>
    <w:p>
      <w:pPr>
        <w:pStyle w:val="BookText"/>
      </w:pPr>
      <w:r>
        <w:rPr>
          <w:rFonts w:ascii="IRNazanin" w:hAnsi="IRNazanin" w:eastAsia="IRNazanin" w:cs="IRNazanin"/>
          <w:lang w:bidi="fa-IR"/>
          <w:color w:val="111111"/>
          <w:sz w:val="28"/>
          <w:szCs w:val="28"/>
          <w:rtl/>
        </w:rPr>
        <w:t xml:space="preserve">3 - إنّ علم الرجال من العلوم التی أسّسها المسلمون للتعرّف علی رواة آثار الرسول - صلی اللّه علیه و آله - و الأئمّة من بعده حتی یصحّ الرکون الیها فی مجال العمل و العقیدة، و لو لا لزوم التعرّف علیها فی ذاک المجال لم یؤسّس و لم یدوّن.</w:t>
      </w:r>
    </w:p>
    <w:p>
      <w:pPr>
        <w:pStyle w:val="BookText"/>
      </w:pPr>
      <w:r>
        <w:rPr>
          <w:rFonts w:ascii="IRNazanin" w:hAnsi="IRNazanin" w:eastAsia="IRNazanin" w:cs="IRNazanin"/>
          <w:lang w:bidi="fa-IR"/>
          <w:color w:val="111111"/>
          <w:sz w:val="28"/>
          <w:szCs w:val="28"/>
          <w:rtl/>
        </w:rPr>
        <w:t xml:space="preserve">و أمّا علم التراجم فهو بما أنّه کان نوعا من علم التاریخ و کان الهدف التعرّف علی الأحداث و الوقائع الجاریة فی المجتمع، کان علما عریقا متقدّما علی الإسلام، موجودا فی الحضارات السابقة علی الإسلام. و بهذه الوجوه الثلاثة نقتدر علی تمییز أحد العلمین عن الاخر.</w:t>
      </w:r>
    </w:p>
    <w:p>
      <w:pPr>
        <w:pStyle w:val="Heading5"/>
      </w:pPr>
      <w:bookmarkStart w:id="2716" w:name="_Toc1751"/>
      <w:r>
        <w:t>الفرق بین علم الرجال و الدرایة</w:t>
      </w:r>
      <w:bookmarkEnd w:id="2716"/>
    </w:p>
    <w:p>
      <w:pPr>
        <w:pStyle w:val="BookText"/>
      </w:pPr>
      <w:r>
        <w:rPr>
          <w:rFonts w:ascii="IRNazanin" w:hAnsi="IRNazanin" w:eastAsia="IRNazanin" w:cs="IRNazanin"/>
          <w:lang w:bidi="fa-IR"/>
          <w:color w:val="111111"/>
          <w:sz w:val="28"/>
          <w:szCs w:val="28"/>
          <w:rtl/>
        </w:rPr>
        <w:t xml:space="preserve">علم الرجال و الدرایة کوکبان فی سماء الحدیث، و قمران یدوران علی فلک واحد، یتّحدان فی الهدف و الغایة و هو الخدمة للحدیث سندا و متنا، غیر أنّ الرجال یبحث عن سند الحدیث و الدرایة عن متنها، و بذلک یفترق کلّ عن الآخر، افتراق کلّ علم عن العلم الآخر بموضوعاته.</w:t>
      </w:r>
    </w:p>
    <w:p>
      <w:pPr>
        <w:pStyle w:val="BookText"/>
      </w:pPr>
      <w:r>
        <w:rPr>
          <w:rFonts w:ascii="IRNazanin" w:hAnsi="IRNazanin" w:eastAsia="IRNazanin" w:cs="IRNazanin"/>
          <w:lang w:bidi="fa-IR"/>
          <w:color w:val="111111"/>
          <w:sz w:val="28"/>
          <w:szCs w:val="28"/>
          <w:rtl/>
        </w:rPr>
        <w:t xml:space="preserve">و ان شئت قلت: إنّ موضوع الأوّل هو المحدّث، و الغایة، التعرّف علی وثاقته و ضعفه و مدی ضبطه، و موضوع الثانی، هو الحدیث و الغایة، التعرّف علی أقسامها و الطواریء العارضة علیها.</w:t>
      </w:r>
    </w:p>
    <w:p>
      <w:pPr>
        <w:pStyle w:val="BookText"/>
      </w:pPr>
      <w:r>
        <w:rPr>
          <w:rFonts w:ascii="IRNazanin" w:hAnsi="IRNazanin" w:eastAsia="IRNazanin" w:cs="IRNazanin"/>
          <w:lang w:bidi="fa-IR"/>
          <w:color w:val="111111"/>
          <w:sz w:val="28"/>
          <w:szCs w:val="28"/>
          <w:rtl/>
        </w:rPr>
        <w:t xml:space="preserve">نعم، ربّما یبحث فی علم الدرایة عن مسائل مما لا یمتّ الی الحدیث بصلة مثل البحث عن مشایخ الثقات، و أنّهم ثقات أو لا؟ أو أنّ مشایخ الاجازة تحتاج إلی التّوثیق أو لا؟</w:t>
      </w:r>
    </w:p>
    <w:p>
      <w:pPr>
        <w:pStyle w:val="BookText"/>
      </w:pPr>
      <w:r>
        <w:rPr>
          <w:rFonts w:ascii="IRNazanin" w:hAnsi="IRNazanin" w:eastAsia="IRNazanin" w:cs="IRNazanin"/>
          <w:lang w:bidi="fa-IR"/>
          <w:color w:val="111111"/>
          <w:sz w:val="28"/>
          <w:szCs w:val="28"/>
          <w:rtl/>
        </w:rPr>
        <w:t xml:space="preserve">و لکنّ الحقّ عدّ نظائرهما من مسائل علم الرجال، لأنّ مآل البحث فیهما تمییز الثقة عن غیرها عن طریق القاعدتین و أمثالهما. فإنّ البحث عن وثاقة الشخص یتصوّر علی ثلاثة أوجه:</w:t>
      </w:r>
    </w:p>
    <w:p>
      <w:pPr>
        <w:pStyle w:val="BookText"/>
      </w:pPr>
      <w:r>
        <w:rPr>
          <w:rFonts w:ascii="IRNazanin" w:hAnsi="IRNazanin" w:eastAsia="IRNazanin" w:cs="IRNazanin"/>
          <w:lang w:bidi="fa-IR"/>
          <w:color w:val="111111"/>
          <w:sz w:val="28"/>
          <w:szCs w:val="28"/>
          <w:rtl/>
        </w:rPr>
        <w:t xml:space="preserve">[شماره صفحه واقعی : 16]
</w:t>
      </w:r>
    </w:p>
    <w:p>
      <w:pPr>
        <w:sectPr>
          <w:footerReference w:type="default" r:id="rId1672"/>
          <w:footnotePr>
            <w:numStart w:val="1"/>
            <w:numRestart w:val="eachPage"/>
          </w:footnotePr>
          <w:pgSz w:orient="portrait" w:w="11905.511811023622" w:h="16837.79527559055"/>
          <w:pgMar w:top="1440" w:right="1440" w:bottom="1440" w:left="1440" w:header="720" w:footer="720" w:gutter="0"/>
          <w:cols w:num="1" w:space="720"/>
        </w:sectPr>
      </w:pPr>
    </w:p>
    <w:bookmarkStart w:id="893" w:name="pg14411_144054"/>
    <w:bookmarkEnd w:id="893"/>
    <w:p>
      <w:pPr>
        <w:pStyle w:val="BookText"/>
      </w:pPr>
      <w:r>
        <w:rPr>
          <w:rFonts w:ascii="IRNazanin" w:hAnsi="IRNazanin" w:eastAsia="IRNazanin" w:cs="IRNazanin"/>
          <w:lang w:bidi="fa-IR"/>
          <w:color w:val="111111"/>
          <w:sz w:val="28"/>
          <w:szCs w:val="28"/>
          <w:rtl/>
        </w:rPr>
        <w:t xml:space="preserve">1 - البحث عن وثاقة شخص معیّن ک «زرارة» و «محمّد بن مسلم» و....</w:t>
      </w:r>
    </w:p>
    <w:p>
      <w:pPr>
        <w:pStyle w:val="BookText"/>
      </w:pPr>
      <w:r>
        <w:rPr>
          <w:rFonts w:ascii="IRNazanin" w:hAnsi="IRNazanin" w:eastAsia="IRNazanin" w:cs="IRNazanin"/>
          <w:lang w:bidi="fa-IR"/>
          <w:color w:val="111111"/>
          <w:sz w:val="28"/>
          <w:szCs w:val="28"/>
          <w:rtl/>
        </w:rPr>
        <w:t xml:space="preserve">2 - البحث عن وثاقة أشخاص معیّنة ک «کون مشایخ الأقطاب الثلاثة:</w:t>
      </w:r>
    </w:p>
    <w:p>
      <w:pPr>
        <w:pStyle w:val="BookText"/>
      </w:pPr>
      <w:r>
        <w:rPr>
          <w:rFonts w:ascii="IRNazanin" w:hAnsi="IRNazanin" w:eastAsia="IRNazanin" w:cs="IRNazanin"/>
          <w:lang w:bidi="fa-IR"/>
          <w:color w:val="111111"/>
          <w:sz w:val="28"/>
          <w:szCs w:val="28"/>
          <w:rtl/>
        </w:rPr>
        <w:t xml:space="preserve">محمّد بن أبی عمیر و صفوان بن یحیی و البزنطی» ثقات.</w:t>
      </w:r>
    </w:p>
    <w:p>
      <w:pPr>
        <w:pStyle w:val="BookText"/>
      </w:pPr>
      <w:r>
        <w:rPr>
          <w:rFonts w:ascii="IRNazanin" w:hAnsi="IRNazanin" w:eastAsia="IRNazanin" w:cs="IRNazanin"/>
          <w:lang w:bidi="fa-IR"/>
          <w:color w:val="111111"/>
          <w:sz w:val="28"/>
          <w:szCs w:val="28"/>
          <w:rtl/>
        </w:rPr>
        <w:t xml:space="preserve">3 - البحث عن وثاقة عدّة ینطبق علیهم أحد العنوانین المذکورین ک «کونهم من مشایخ الاجازة أو من مشایخ الثقة أو الثقات».</w:t>
      </w:r>
    </w:p>
    <w:p>
      <w:pPr>
        <w:pStyle w:val="Heading5"/>
      </w:pPr>
      <w:bookmarkStart w:id="2717" w:name="_Toc1752"/>
      <w:r>
        <w:t>مدار البحث فی هذه المحاضرات</w:t>
      </w:r>
      <w:bookmarkEnd w:id="2717"/>
    </w:p>
    <w:p>
      <w:pPr>
        <w:pStyle w:val="Heading6"/>
      </w:pPr>
      <w:bookmarkStart w:id="2718" w:name="_Toc1753"/>
      <w:r>
        <w:t>اشارة</w:t>
      </w:r>
      <w:bookmarkEnd w:id="2718"/>
    </w:p>
    <w:p>
      <w:pPr>
        <w:pStyle w:val="BookText"/>
      </w:pPr>
      <w:r>
        <w:rPr>
          <w:rFonts w:ascii="IRNazanin" w:hAnsi="IRNazanin" w:eastAsia="IRNazanin" w:cs="IRNazanin"/>
          <w:lang w:bidi="fa-IR"/>
          <w:color w:val="111111"/>
          <w:sz w:val="28"/>
          <w:szCs w:val="28"/>
          <w:rtl/>
        </w:rPr>
        <w:t xml:space="preserve">لمّا کان علم الرجال یرکّز البحث علی تمییز الثقة عن غیره، یکون أکثر أبحاثه بحثا صغرویا و أنّه هل الراوی الفلانی ثقة أو لا؟ ضابط أو لا؟ و هذا المنهج من البحث، لا یلیق بالدراسة و إلقاء المحاضرة لکثرتها أوّلا و غنی القاریء عنها بالمراجعة الی الکتب المعدّة لبیان أحوال تلک الصغریات ثانیا.</w:t>
      </w:r>
    </w:p>
    <w:p>
      <w:pPr>
        <w:pStyle w:val="BookText"/>
      </w:pPr>
      <w:r>
        <w:rPr>
          <w:rFonts w:ascii="IRNazanin" w:hAnsi="IRNazanin" w:eastAsia="IRNazanin" w:cs="IRNazanin"/>
          <w:lang w:bidi="fa-IR"/>
          <w:color w:val="111111"/>
          <w:sz w:val="28"/>
          <w:szCs w:val="28"/>
          <w:rtl/>
        </w:rPr>
        <w:t xml:space="preserve">نعم هناک نمط آخر من البحث و هو المحرّک لنا الی إلقاء المحاضرة، و هو البحث عن ضوابط کلیة و قواعد عامّة ینتفع منها المستنبط فی استنباطه و عند مراجعته الی الکتب الرجالیّة، و توجب بصیرة وافرة للعالم الرجالی و هی لا تتجاوز عن عدّة امور نأتی بها واحدا بعد آخر، و قد طرحها الرجالیون فی مقدّمات کتبهم أو مؤخّراتها. شکر اللّه مساعیهم.</w:t>
      </w:r>
    </w:p>
    <w:p>
      <w:pPr>
        <w:pStyle w:val="BookText"/>
      </w:pPr>
      <w:r>
        <w:rPr>
          <w:rFonts w:ascii="IRNazanin" w:hAnsi="IRNazanin" w:eastAsia="IRNazanin" w:cs="IRNazanin"/>
          <w:lang w:bidi="fa-IR"/>
          <w:color w:val="111111"/>
          <w:sz w:val="28"/>
          <w:szCs w:val="28"/>
          <w:rtl/>
        </w:rPr>
        <w:t xml:space="preserve">[شماره صفحه واقعی : 17]
</w:t>
      </w:r>
    </w:p>
    <w:p>
      <w:pPr>
        <w:sectPr>
          <w:footerReference w:type="default" r:id="rId16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18]
</w:t>
      </w:r>
    </w:p>
    <w:p>
      <w:pPr>
        <w:sectPr>
          <w:footerReference w:type="default" r:id="rId1674"/>
          <w:footnotePr>
            <w:numStart w:val="1"/>
            <w:numRestart w:val="eachPage"/>
          </w:footnotePr>
          <w:pgSz w:orient="portrait" w:w="11905.511811023622" w:h="16837.79527559055"/>
          <w:pgMar w:top="1440" w:right="1440" w:bottom="1440" w:left="1440" w:header="720" w:footer="720" w:gutter="0"/>
          <w:cols w:num="1" w:space="720"/>
        </w:sectPr>
      </w:pPr>
    </w:p>
    <w:bookmarkStart w:id="894" w:name="pg14411_144056"/>
    <w:bookmarkEnd w:id="894"/>
    <w:p>
      <w:pPr>
        <w:pStyle w:val="Heading6"/>
      </w:pPr>
      <w:bookmarkStart w:id="2719" w:name="_Toc1754"/>
      <w:r>
        <w:t>1 - أدلّة مثبتی الحاجة الی علم الرجال</w:t>
      </w:r>
      <w:bookmarkEnd w:id="2719"/>
    </w:p>
    <w:p>
      <w:pPr>
        <w:pStyle w:val="Heading6"/>
      </w:pPr>
      <w:bookmarkStart w:id="2720" w:name="_Toc1755"/>
      <w:r>
        <w:t>اشارة</w:t>
      </w:r>
      <w:bookmarkEnd w:id="272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حجّیة خبر الثقة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الامر بالرجوع الی صفات الراوی.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وجود الوضّاعین و المدلّسین و العامی فی الاسانید و بین الرواة.</w:t>
      </w:r>
    </w:p>
    <w:p>
      <w:pPr>
        <w:pStyle w:val="BookText"/>
      </w:pPr>
      <w:r>
        <w:rPr>
          <w:rFonts w:ascii="IRNazanin" w:hAnsi="IRNazanin" w:eastAsia="IRNazanin" w:cs="IRNazanin"/>
          <w:lang w:bidi="fa-IR"/>
          <w:color w:val="111111"/>
          <w:sz w:val="28"/>
          <w:szCs w:val="28"/>
          <w:rtl/>
        </w:rPr>
        <w:t xml:space="preserve">[شماره صفحه واقعی : 19]
</w:t>
      </w:r>
    </w:p>
    <w:p>
      <w:pPr>
        <w:sectPr>
          <w:footerReference w:type="default" r:id="rId16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20]
</w:t>
      </w:r>
    </w:p>
    <w:p>
      <w:pPr>
        <w:sectPr>
          <w:footerReference w:type="default" r:id="rId1676"/>
          <w:footnotePr>
            <w:numStart w:val="1"/>
            <w:numRestart w:val="eachPage"/>
          </w:footnotePr>
          <w:pgSz w:orient="portrait" w:w="11905.511811023622" w:h="16837.79527559055"/>
          <w:pgMar w:top="1440" w:right="1440" w:bottom="1440" w:left="1440" w:header="720" w:footer="720" w:gutter="0"/>
          <w:cols w:num="1" w:space="720"/>
        </w:sectPr>
      </w:pPr>
    </w:p>
    <w:bookmarkStart w:id="895" w:name="pg14411_144058"/>
    <w:bookmarkEnd w:id="895"/>
    <w:p>
      <w:pPr>
        <w:pStyle w:val="BookText"/>
      </w:pPr>
      <w:r>
        <w:rPr>
          <w:rFonts w:ascii="IRNazanin" w:hAnsi="IRNazanin" w:eastAsia="IRNazanin" w:cs="IRNazanin"/>
          <w:lang w:bidi="fa-IR"/>
          <w:color w:val="111111"/>
          <w:sz w:val="28"/>
          <w:szCs w:val="28"/>
          <w:rtl/>
        </w:rPr>
        <w:t xml:space="preserve">الحاجة الی علم الرجال</w:t>
      </w:r>
    </w:p>
    <w:p>
      <w:pPr>
        <w:pStyle w:val="BookText"/>
      </w:pPr>
      <w:r>
        <w:rPr>
          <w:rFonts w:ascii="IRNazanin" w:hAnsi="IRNazanin" w:eastAsia="IRNazanin" w:cs="IRNazanin"/>
          <w:lang w:bidi="fa-IR"/>
          <w:color w:val="111111"/>
          <w:sz w:val="28"/>
          <w:szCs w:val="28"/>
          <w:rtl/>
        </w:rPr>
        <w:t xml:space="preserve">لقد طال الحوار حول الحاجة الی علم الرجال و عدمها، فمن قائل بتوقّف الاستنباط علیه و أنّ رحاه یدور علی امور، منها العلم بأحوال الرواة، و لولاه لما تمکّن المستنبط من استخراج کثیر من الاحکام عن أدلّتها، إلی قائل بنفی الحاجة الیه، محتجّا بوجوه منها: قطعیّة أخبار الکتب الأربعة صدورا، إلی ثالث قال بلزوم الحاجة الیه فی غیر ما عمل به المشهور من الروایات، إلی غیر ذلک من الأنظار، و تظهر حقیقة الحال ممّا سیوافیک من أدلّة الأقوال، و الهدف إثبات الحاجة الی ذاک العلم بنحو الایجاب الجزئی، و أنّه مما لا بدّ منه فی استنباط الاحکام فی الجملة، فی مقابل السلب الکلّی الّذی یدّعی قائله بأنّه لا حاجة الیه أبدا، فنقول:</w:t>
      </w:r>
    </w:p>
    <w:p>
      <w:pPr>
        <w:pStyle w:val="BookText"/>
      </w:pPr>
      <w:r>
        <w:rPr>
          <w:rFonts w:ascii="IRNazanin" w:hAnsi="IRNazanin" w:eastAsia="IRNazanin" w:cs="IRNazanin"/>
          <w:lang w:bidi="fa-IR"/>
          <w:color w:val="111111"/>
          <w:sz w:val="28"/>
          <w:szCs w:val="28"/>
          <w:rtl/>
        </w:rPr>
        <w:t xml:space="preserve">استدلّ العلماء علی الحاجة الی علم الرجال بوجوه نذکر أهمّها:</w:t>
      </w:r>
    </w:p>
    <w:p>
      <w:pPr>
        <w:pStyle w:val="Heading6"/>
      </w:pPr>
      <w:bookmarkStart w:id="2721" w:name="_Toc1756"/>
      <w:r>
        <w:t>الاول: حجیة قول الثقة</w:t>
      </w:r>
      <w:bookmarkEnd w:id="2721"/>
    </w:p>
    <w:p>
      <w:pPr>
        <w:pStyle w:val="BookText"/>
      </w:pPr>
      <w:r>
        <w:rPr>
          <w:rFonts w:ascii="Amiri" w:hAnsi="Amiri" w:eastAsia="Amiri" w:cs="Amiri"/>
          <w:lang w:bidi="ar-SA"/>
          <w:color w:val="111111"/>
          <w:sz w:val="28"/>
          <w:szCs w:val="28"/>
          <w:rtl/>
        </w:rPr>
        <w:t xml:space="preserve">لا شکّ أنّ الأدلّة الأربعة دلّت علی حرمة العمل بغیر العلم قال سبحانه و تعالی: قُلْ آللّهُ أَذِنَ لَکُمْ أَمْ عَلَی اللّهِ تَفْتَرُونَ </w:t>
      </w:r>
      <w:r>
        <w:rPr>
          <w:rStyle w:val="FootnoteReference"/>
        </w:rPr>
        <w:footnoteReference w:id="4981"/>
      </w:r>
      <w:r>
        <w:rPr>
          <w:rFonts w:ascii="Amiri" w:hAnsi="Amiri" w:eastAsia="Amiri" w:cs="Amiri"/>
          <w:lang w:bidi="ar-SA"/>
          <w:color w:val="111111"/>
          <w:sz w:val="28"/>
          <w:szCs w:val="28"/>
          <w:rtl/>
        </w:rPr>
        <w:t xml:space="preserve">و قال - عزّ من قائل - وَ لا</w:t>
      </w:r>
    </w:p>
    <w:p>
      <w:pPr>
        <w:pStyle w:val="BookText"/>
      </w:pPr>
      <w:r>
        <w:rPr>
          <w:rFonts w:ascii="IRNazanin" w:hAnsi="IRNazanin" w:eastAsia="IRNazanin" w:cs="IRNazanin"/>
          <w:lang w:bidi="fa-IR"/>
          <w:color w:val="111111"/>
          <w:sz w:val="28"/>
          <w:szCs w:val="28"/>
          <w:rtl/>
        </w:rPr>
        <w:t xml:space="preserve">[شماره صفحه واقعی : 21]
</w:t>
      </w:r>
    </w:p>
    <w:p>
      <w:pPr>
        <w:sectPr>
          <w:footerReference w:type="default" r:id="rId16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تَقْفُ ما لَیْسَ لَکَ بِهِ عِلْمٌ </w:t>
      </w:r>
      <w:r>
        <w:rPr>
          <w:rStyle w:val="FootnoteReference"/>
        </w:rPr>
        <w:footnoteReference w:id="4982"/>
      </w:r>
      <w:r>
        <w:rPr>
          <w:rFonts w:ascii="Amiri" w:hAnsi="Amiri" w:eastAsia="Amiri" w:cs="Amiri"/>
          <w:lang w:bidi="ar-SA"/>
          <w:color w:val="111111"/>
          <w:sz w:val="28"/>
          <w:szCs w:val="28"/>
          <w:rtl/>
        </w:rPr>
        <w:t xml:space="preserve">و قال أیضا: وَ ما یَتَّبِعُ أَکْثَرُهُمْ إِلاّ ظَنًّا إِنَّ الظَّنَّ لا یُغْنِی مِنَ الْحَقِّ شَیْئاً </w:t>
      </w:r>
      <w:r>
        <w:rPr>
          <w:rStyle w:val="FootnoteReference"/>
        </w:rPr>
        <w:footnoteReference w:id="49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الروایات الناهیة عن العمل بغیر العلم فکثیرة لا تحصی، یقف علیها کلّ من راجع الوسائل کتاب القضاء الباب «10-11-12» من أبواب صفات القاضی فیری فیها أحادیث کثیرة تمنع من العمل بغیر العلم غیر أنّه قد دلّت الأدلّة الشرعیّة علی حجیّة بعض الظنون، کالظّواهر و خبر الواحد الی غیر ذلک من الظنون المفیدة للاطمئنان فی الموضوعات و الاحکام، و السرّ فی ذلک هو أنّ الکتاب العزیز غیر متکفّل ببیان جمیع الأحکام الفقهیّة، هذا من جانب.</w:t>
      </w:r>
    </w:p>
    <w:p>
      <w:pPr>
        <w:pStyle w:val="BookText"/>
      </w:pPr>
      <w:r>
        <w:rPr>
          <w:rFonts w:ascii="IRNazanin" w:hAnsi="IRNazanin" w:eastAsia="IRNazanin" w:cs="IRNazanin"/>
          <w:lang w:bidi="fa-IR"/>
          <w:color w:val="111111"/>
          <w:sz w:val="28"/>
          <w:szCs w:val="28"/>
          <w:rtl/>
        </w:rPr>
        <w:t xml:space="preserve">و من جانب آخر إنّ الاجماع الکاشف عن قول المعصوم قلیل جدّا. و من جهة ثالثة إنّ العقل قاصر فی أن یستکشف به أحکام اللّه، لعدم احاطته بالجهات الواقعیة الداعیة الی جعل الاحکام الشرعیة.</w:t>
      </w:r>
    </w:p>
    <w:p>
      <w:pPr>
        <w:pStyle w:val="BookText"/>
      </w:pPr>
      <w:r>
        <w:rPr>
          <w:rFonts w:ascii="IRNazanin" w:hAnsi="IRNazanin" w:eastAsia="IRNazanin" w:cs="IRNazanin"/>
          <w:lang w:bidi="fa-IR"/>
          <w:color w:val="111111"/>
          <w:sz w:val="28"/>
          <w:szCs w:val="28"/>
          <w:rtl/>
        </w:rPr>
        <w:t xml:space="preserve">نعم هو حجّة فی ما اذا کانت هناک ملازمة بین حکم العقل و الشرع، کما فی ادراکه الملازمة بین وجوب المقدّمة و وجوب ذیها، و وجوب الشّیء و حرمة ضدّه، و الملازمة بین حرمة الشّیء و فساده، الی غیر ذلک من الامور الّتی بحث عنها الاصولیون فی باب الملازمات العقلیة.</w:t>
      </w:r>
    </w:p>
    <w:p>
      <w:pPr>
        <w:pStyle w:val="BookText"/>
      </w:pPr>
      <w:r>
        <w:rPr>
          <w:rFonts w:ascii="IRNazanin" w:hAnsi="IRNazanin" w:eastAsia="IRNazanin" w:cs="IRNazanin"/>
          <w:lang w:bidi="fa-IR"/>
          <w:color w:val="111111"/>
          <w:sz w:val="28"/>
          <w:szCs w:val="28"/>
          <w:rtl/>
        </w:rPr>
        <w:t xml:space="preserve">فهذه الجهات الثّلاث أوجبت کون خبر الواحد بشرائطه الخاصّة حجّة قطعیّة، و عند ذلک صارت الحجج الشرعیّة وافیة باستنباط الأحکام الشرعیة.</w:t>
      </w:r>
    </w:p>
    <w:p>
      <w:pPr>
        <w:pStyle w:val="BookText"/>
      </w:pPr>
      <w:r>
        <w:rPr>
          <w:rFonts w:ascii="IRNazanin" w:hAnsi="IRNazanin" w:eastAsia="IRNazanin" w:cs="IRNazanin"/>
          <w:lang w:bidi="fa-IR"/>
          <w:color w:val="111111"/>
          <w:sz w:val="28"/>
          <w:szCs w:val="28"/>
          <w:rtl/>
        </w:rPr>
        <w:t xml:space="preserve">و من المعلوم أنّه لیس مطلق الخبر حجّة، بل الحجّة هو خصوص خبر العدل، کما مال الیه بعض، أو خبر الثقة أعنی من یثق العقلاء بقوله، و من المعلوم أنّ إحراز الصغری - أعنی کون الراوی عدلا أو ثقة - یحتاج الی الرجوع الی علم الرجال المتکفل ببیان أحوال الرواة من العدالة و الوثاقة، و عند ذلک</w:t>
      </w:r>
    </w:p>
    <w:p>
      <w:pPr>
        <w:pStyle w:val="BookText"/>
      </w:pPr>
      <w:r>
        <w:rPr>
          <w:rFonts w:ascii="IRNazanin" w:hAnsi="IRNazanin" w:eastAsia="IRNazanin" w:cs="IRNazanin"/>
          <w:lang w:bidi="fa-IR"/>
          <w:color w:val="111111"/>
          <w:sz w:val="28"/>
          <w:szCs w:val="28"/>
          <w:rtl/>
        </w:rPr>
        <w:t xml:space="preserve">[شماره صفحه واقعی : 22]
</w:t>
      </w:r>
    </w:p>
    <w:p>
      <w:pPr>
        <w:sectPr>
          <w:footerReference w:type="default" r:id="rId16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یقدر المستنبط علی تشخیص الثّقة عن غیره، و الصالح للاستدلال عن غیر الصالح، الی غیر ذلک من الامور الّتی لا یستغنی عنها المستنبط الا بالرجوع الی الکتب المعدّة لبیانها.</w:t>
      </w:r>
    </w:p>
    <w:p>
      <w:pPr>
        <w:pStyle w:val="BookText"/>
      </w:pPr>
      <w:r>
        <w:rPr>
          <w:rFonts w:ascii="IRNazanin" w:hAnsi="IRNazanin" w:eastAsia="IRNazanin" w:cs="IRNazanin"/>
          <w:lang w:bidi="fa-IR"/>
          <w:color w:val="111111"/>
          <w:sz w:val="28"/>
          <w:szCs w:val="28"/>
          <w:rtl/>
        </w:rPr>
        <w:t xml:space="preserve">و هناک رأی ثالث یبدو أنه أقوی الاراء فی باب حجّیة الخبر، و هو أنّ الخارج عن تحت الظنون المنهیّة، هو الخبر الموثوق بصدوره و ان لم تحرز وثاقة الراوی، و من المعلوم أنّ إحراز هذا الوصف للخبر، یتوقّف علی جمع أمارات و قرائن تثبت کون الخبر ممّا یوثق بصدوره. و من القرائن الدالّة علی کون الخبر موثوق الصدور، هو العلم بأحوال الرواة الواقعة فی اسناد الأخبار.</w:t>
      </w:r>
    </w:p>
    <w:p>
      <w:pPr>
        <w:pStyle w:val="BookText"/>
      </w:pPr>
      <w:r>
        <w:rPr>
          <w:rFonts w:ascii="IRNazanin" w:hAnsi="IRNazanin" w:eastAsia="IRNazanin" w:cs="IRNazanin"/>
          <w:lang w:bidi="fa-IR"/>
          <w:color w:val="111111"/>
          <w:sz w:val="28"/>
          <w:szCs w:val="28"/>
          <w:rtl/>
        </w:rPr>
        <w:t xml:space="preserve">و هناک قول رابع، و هو کون الخارج عن تحت الظّنون الّتی نهی عن العمل بها عبارة عن قول الثّقة المفید للاطمئنان الّذی یعتمد علی مثله العقلاء فی امورهم و معاشهم، و لا شبهة أنّ إحراز هذین الوصفین - أعنی کون الراوی ثقة و الخبر مفیدا للاطمئنان - لا یحصل الا بملاحظة امور. منها الوقوف علی أحوال الرواة الواقعة فی طریق الخبر، و لأجل ذلک یمکن أن یقال: إنّه لا منتدح لأیّ فقیه بصیر من الرجوع الی «علم الرجال» و الوقوف علی أحوال الرواة و خصوصیّاتهم، الی غیر ذلک مما یقف علیه المتتبّع فی ذلک العلم.</w:t>
      </w:r>
    </w:p>
    <w:p>
      <w:pPr>
        <w:pStyle w:val="BookText"/>
      </w:pPr>
      <w:r>
        <w:rPr>
          <w:rFonts w:ascii="IRNazanin" w:hAnsi="IRNazanin" w:eastAsia="IRNazanin" w:cs="IRNazanin"/>
          <w:lang w:bidi="fa-IR"/>
          <w:color w:val="111111"/>
          <w:sz w:val="28"/>
          <w:szCs w:val="28"/>
          <w:rtl/>
        </w:rPr>
        <w:t xml:space="preserve">و انما ذهب هذا القائل إلی الجمع بین الوصفین فی الراوی و المروی (أی وثاقة الراوی و کون المرویّ مفیدا للاطمئنان)، لأنّ کون الراوی ثقة لا یکفی فی الحجیّة، بل یحتاج مع ذلک إلی إحراز کون الخبر مفیدا للاطمئنان، و لا یتحقّق إلاّ إذا کان الراوی ضابطا للحدیث ناقلا إیّاه حسب ما ألقاه الإمام - علیه السلام -، و هذا لا یعرف إلاّ بالمراجعة إلی أحوال الراوی، و من المعلوم أنّ عدم ضابطیّة بعض الرواة مع کونهم ثقات أوجد اضطرابا فی الأحادیث و تعارضا فی الروایات، حیث حذفوا بعض الکلم و الجمل الدخیلة فی فهم الحدیث، أو نقلوه بالمعنی من غیر أن یکون اللّفظ کافیا فی إفادة مراد الإمام - علیه السلام -.</w:t>
      </w:r>
    </w:p>
    <w:p>
      <w:pPr>
        <w:pStyle w:val="BookText"/>
      </w:pPr>
      <w:r>
        <w:rPr>
          <w:rFonts w:ascii="IRNazanin" w:hAnsi="IRNazanin" w:eastAsia="IRNazanin" w:cs="IRNazanin"/>
          <w:lang w:bidi="fa-IR"/>
          <w:color w:val="111111"/>
          <w:sz w:val="28"/>
          <w:szCs w:val="28"/>
          <w:rtl/>
        </w:rPr>
        <w:t xml:space="preserve">[شماره صفحه واقعی : 23]
</w:t>
      </w:r>
    </w:p>
    <w:p>
      <w:pPr>
        <w:sectPr>
          <w:footerReference w:type="default" r:id="rId16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بذلک یعلم بطلان دلیل نافی الحاجة الی الرجال، حیث قال: «إنّ مصیر الأکثر إلی اعتبار الموثّق، بل الحسن، بل الضّعیف المنجبر، ینفی الحاجة الی علم الرجال، لأنّ عملهم یکشف عن عدم الحاجة إلی التّعدیل».</w:t>
      </w:r>
    </w:p>
    <w:p>
      <w:pPr>
        <w:pStyle w:val="BookText"/>
      </w:pPr>
      <w:r>
        <w:rPr>
          <w:rFonts w:ascii="IRNazanin" w:hAnsi="IRNazanin" w:eastAsia="IRNazanin" w:cs="IRNazanin"/>
          <w:lang w:bidi="fa-IR"/>
          <w:color w:val="111111"/>
          <w:sz w:val="28"/>
          <w:szCs w:val="28"/>
          <w:rtl/>
        </w:rPr>
        <w:t xml:space="preserve">و فیه: أنّ ما ذکره إنّما یرد علی القول بانحصار الحجّیة فی خبر العدل، و أنّ الرجوع الی کتب الرجال لأجل إحراز الوثاقة بمعنی العدالة. و أمّا علی القول بحجّیة الأعمّ من خبر العدل، و قول الثّقة، أو الخبر الموثوق بصدوره أو المجتمع منهما فالرّجوع الی الرجال لأجل تحصیل الوثوق بالصدق أو وثاقة الراوی.</w:t>
      </w:r>
    </w:p>
    <w:p>
      <w:pPr>
        <w:pStyle w:val="BookText"/>
      </w:pPr>
      <w:r>
        <w:rPr>
          <w:rFonts w:ascii="IRNazanin" w:hAnsi="IRNazanin" w:eastAsia="IRNazanin" w:cs="IRNazanin"/>
          <w:lang w:bidi="fa-IR"/>
          <w:color w:val="111111"/>
          <w:sz w:val="28"/>
          <w:szCs w:val="28"/>
          <w:rtl/>
        </w:rPr>
        <w:t xml:space="preserve">ثمّ إنّ المحقّق التّستری استظهر أنّ مسلک ابن داود فی رجاله و مسلک القدماء هو العمل بالممدوحین و المهملین الّذین لم یردا فیهم تضعیف من الأصحاب، و لأجل ذلک خصّ ابن داود القسم الأوّل من کتابه بالممدوحین و من لم یضعّفهم الأصحاب، بخلاف العلاّمة فإنّه خصّ القسم الأوّل من کتابه بالممدوحین، ثمّ قال: و هو الحقّ الحقیق بالاتّباع و علیه عمل الأصحاب فتری القدماء کما یعملون بالخبر الّذی رواته ممدوحون، یعملون بالخبر الّذی رواته غیر مجروحین، و إنّما یردّون المطعونین، فاستثنی ابن الولید و ابن بابویه من کتاب «نوادر الحکمة» عدّة أشخاص، و استثنی المفید من شرائع علیّ بن ابراهیم حدیثا واحدا فی تحریم لحم البعیر، و هذا یدلّ علی أنّ الکتب الّتی لم یطعنوا فی طرقها و لم یستثنوا منها شیئا کان معتبرا عندهم، و رواتها مقبولو الروایة، إن لم یکونوا مطعونین من أئمّة الرجال و لا قرینة، و إلاّ فتقبل</w:t>
      </w:r>
      <w:r>
        <w:rPr>
          <w:rStyle w:val="FootnoteReference"/>
        </w:rPr>
        <w:footnoteReference w:id="4984"/>
      </w:r>
      <w:r>
        <w:rPr>
          <w:rFonts w:ascii="IRNazanin" w:hAnsi="IRNazanin" w:eastAsia="IRNazanin" w:cs="IRNazanin"/>
          <w:lang w:bidi="fa-IR"/>
          <w:color w:val="111111"/>
          <w:sz w:val="28"/>
          <w:szCs w:val="28"/>
          <w:rtl/>
        </w:rPr>
        <w:t xml:space="preserve">مع الطعن ثم ذکر عدّة شواهد علی ذلک فمن أراد فلیلاحظ</w:t>
      </w:r>
      <w:r>
        <w:rPr>
          <w:rStyle w:val="FootnoteReference"/>
        </w:rPr>
        <w:footnoteReference w:id="49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علی فرض صحّة ما استنتج، فالحاجة الی علم الرّجال فی معرفة الممدوحین و المهملین و المطعونین قائمة بحالها.</w:t>
      </w:r>
    </w:p>
    <w:p>
      <w:pPr>
        <w:pStyle w:val="BookText"/>
      </w:pPr>
      <w:r>
        <w:rPr>
          <w:rFonts w:ascii="IRNazanin" w:hAnsi="IRNazanin" w:eastAsia="IRNazanin" w:cs="IRNazanin"/>
          <w:lang w:bidi="fa-IR"/>
          <w:color w:val="111111"/>
          <w:sz w:val="28"/>
          <w:szCs w:val="28"/>
          <w:rtl/>
        </w:rPr>
        <w:t xml:space="preserve">[شماره صفحه واقعی : 24]
</w:t>
      </w:r>
    </w:p>
    <w:p>
      <w:pPr>
        <w:sectPr>
          <w:footerReference w:type="default" r:id="rId1680"/>
          <w:footnotePr>
            <w:numStart w:val="1"/>
            <w:numRestart w:val="eachPage"/>
          </w:footnotePr>
          <w:pgSz w:orient="portrait" w:w="11905.511811023622" w:h="16837.79527559055"/>
          <w:pgMar w:top="1440" w:right="1440" w:bottom="1440" w:left="1440" w:header="720" w:footer="720" w:gutter="0"/>
          <w:cols w:num="1" w:space="720"/>
        </w:sectPr>
      </w:pPr>
    </w:p>
    <w:bookmarkStart w:id="896" w:name="pg14411_144062"/>
    <w:bookmarkEnd w:id="896"/>
    <w:p>
      <w:pPr>
        <w:pStyle w:val="BookText"/>
      </w:pPr>
      <w:r>
        <w:rPr>
          <w:rFonts w:ascii="IRNazanin" w:hAnsi="IRNazanin" w:eastAsia="IRNazanin" w:cs="IRNazanin"/>
          <w:lang w:bidi="fa-IR"/>
          <w:color w:val="111111"/>
          <w:sz w:val="28"/>
          <w:szCs w:val="28"/>
          <w:rtl/>
        </w:rPr>
        <w:t xml:space="preserve">هذا هو الوجه الأوّل للزوم المراجعة الی علم الرجال. و الیک الوجوه الباقیة.</w:t>
      </w:r>
    </w:p>
    <w:p>
      <w:pPr>
        <w:pStyle w:val="Heading6"/>
      </w:pPr>
      <w:bookmarkStart w:id="2722" w:name="_Toc1757"/>
      <w:r>
        <w:t>الثانی: الرجوع الی صفات الرّاوی فی الأخبار العلاجیّة</w:t>
      </w:r>
      <w:bookmarkEnd w:id="2722"/>
    </w:p>
    <w:p>
      <w:pPr>
        <w:pStyle w:val="BookText"/>
      </w:pPr>
      <w:r>
        <w:rPr>
          <w:rFonts w:ascii="IRNazanin" w:hAnsi="IRNazanin" w:eastAsia="IRNazanin" w:cs="IRNazanin"/>
          <w:lang w:bidi="fa-IR"/>
          <w:color w:val="111111"/>
          <w:sz w:val="28"/>
          <w:szCs w:val="28"/>
          <w:rtl/>
        </w:rPr>
        <w:t xml:space="preserve">إنّ الأخبار العلاجیّة تأمر بالرّجوع إلی صفات الرّاوی من الأعدلیّة و الأفقهیّة، حتّی یرتفع التعارض بین الخبرین بترجیح أحدهما علی الآخر فی ضوء هذه الصفات. و من المعلوم أنّ إحراز هذه الصفات فی الرّواة لا یحصل إلاّ بالمراجعة الی «علم الرجال»، قال الصادق - علیه السلام - فی الجواب عن سؤال عمر بن حنظلة عن اختلاف القضاة فی الحکم مع استناد اختلافهما الی الاختلاف فی الحدیث: «الحکم ما حکم به أعدلهما و أفقههما و أصدقهما فی الحدیث و أورعهما و لا یلتفت الی ما یحکم به الآخر»</w:t>
      </w:r>
      <w:r>
        <w:rPr>
          <w:rStyle w:val="FootnoteReference"/>
        </w:rPr>
        <w:footnoteReference w:id="49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الحدیث و إن کان واردا فی صفات القاضی، غیر أنّ القضاة فی ذلک الوقت کانوا رواة أیضا، و بما أنّ الاجتهاد کان فی ذلک الزّمن قلیل المؤنة، بسیط الحقیقة، لم یکن هناک فرق بین الاستنباط و نقل الحدیث إلاّ قلیلا، و لأجل ذلک تعدّی الفقهاء من صفات «القاضی» الی صفات «الراوی».</w:t>
      </w:r>
    </w:p>
    <w:p>
      <w:pPr>
        <w:pStyle w:val="BookText"/>
      </w:pPr>
      <w:r>
        <w:rPr>
          <w:rFonts w:ascii="IRNazanin" w:hAnsi="IRNazanin" w:eastAsia="IRNazanin" w:cs="IRNazanin"/>
          <w:lang w:bidi="fa-IR"/>
          <w:color w:val="111111"/>
          <w:sz w:val="28"/>
          <w:szCs w:val="28"/>
          <w:rtl/>
        </w:rPr>
        <w:t xml:space="preserve">أضف الی ذلک أنّ الروایات العلاجیّة غیر منحصرة بمقبولة عمر بن حنظلة، بل هناک روایات اخر تأمر بترجیح أحد الخبرین علی الآخر بصفات الراوی أیضا، یقف علیها من راجع الباب التاسع من أبواب صفات القاضی من الوسائل (ج 18، کتاب القضاء).</w:t>
      </w:r>
    </w:p>
    <w:p>
      <w:pPr>
        <w:pStyle w:val="Heading6"/>
      </w:pPr>
      <w:bookmarkStart w:id="2723" w:name="_Toc1758"/>
      <w:r>
        <w:t>الثالث: وجود الوضّاعین و المدلّسین فی الرواة</w:t>
      </w:r>
      <w:bookmarkEnd w:id="2723"/>
    </w:p>
    <w:p>
      <w:pPr>
        <w:pStyle w:val="BookText"/>
      </w:pPr>
      <w:r>
        <w:rPr>
          <w:rFonts w:ascii="IRNazanin" w:hAnsi="IRNazanin" w:eastAsia="IRNazanin" w:cs="IRNazanin"/>
          <w:lang w:bidi="fa-IR"/>
          <w:color w:val="111111"/>
          <w:sz w:val="28"/>
          <w:szCs w:val="28"/>
          <w:rtl/>
        </w:rPr>
        <w:t xml:space="preserve">إنّ من راجع أحوال الرواة یقف علی وجود الوضّاعین و المدلّسین</w:t>
      </w:r>
    </w:p>
    <w:p>
      <w:pPr>
        <w:pStyle w:val="BookText"/>
      </w:pPr>
      <w:r>
        <w:rPr>
          <w:rFonts w:ascii="IRNazanin" w:hAnsi="IRNazanin" w:eastAsia="IRNazanin" w:cs="IRNazanin"/>
          <w:lang w:bidi="fa-IR"/>
          <w:color w:val="111111"/>
          <w:sz w:val="28"/>
          <w:szCs w:val="28"/>
          <w:rtl/>
        </w:rPr>
        <w:t xml:space="preserve">[شماره صفحه واقعی : 25]
</w:t>
      </w:r>
    </w:p>
    <w:p>
      <w:pPr>
        <w:sectPr>
          <w:footerReference w:type="default" r:id="rId16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المتعمّدین للکذب علی اللّه و رسوله فیهم، و مع هذا کیف یصحّ للمجتهد الافتاء بمجرّد الوقوف علی الخبر من دون التعرّف قبل ذلک علی الراوی و صفاته.</w:t>
      </w:r>
    </w:p>
    <w:p>
      <w:pPr>
        <w:pStyle w:val="BookText"/>
      </w:pPr>
      <w:r>
        <w:rPr>
          <w:rFonts w:ascii="IRNazanin" w:hAnsi="IRNazanin" w:eastAsia="IRNazanin" w:cs="IRNazanin"/>
          <w:lang w:bidi="fa-IR"/>
          <w:color w:val="111111"/>
          <w:sz w:val="28"/>
          <w:szCs w:val="28"/>
          <w:rtl/>
        </w:rPr>
        <w:t xml:space="preserve">قال الصادق - علیه السلام -: «إنّ المغیرة بن سعید، دسّ فی کتب أصحاب أبی أحادیث لم یحدّث بها أبی، فاتّقوا اللّه و لا تقبلوا علینا ما خالف قول ربّنا و سنّة نبیّنا محمّد»</w:t>
      </w:r>
      <w:r>
        <w:rPr>
          <w:rStyle w:val="FootnoteReference"/>
        </w:rPr>
        <w:footnoteReference w:id="49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أیضا: «إنّا أهل بیت صادقون لا نخلو من کذّاب یکذب علینا فیسقط صدقنا بکذبه علینا عند الناس»</w:t>
      </w:r>
      <w:r>
        <w:rPr>
          <w:rStyle w:val="FootnoteReference"/>
        </w:rPr>
        <w:footnoteReference w:id="49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یونس بن عبد الرحمن: وافیت العراق فوجدت جماعة من أصحاب أبی جعفر و أبی عبد اللّه - علیهما السلام - متوافرین، فسمعت منهم، و أخذت کتبهم، و عرضتها من بعد علی أبی الحسن الرضا - علیه السلام - فأنکر منها أحادیث کثیرة أن تکون من أصحاب أبی عبد اللّه قال: «إنّ أبا الخطّاب کذب علی أبی عبد اللّه، لعن اللّه أبا الخطّاب و کذلک أصحاب أبی الخطّاب، یدسّون من هذه الأحادیث إلی یومنا هذا فی کتب أصحاب أبی عبد اللّه فلا تقبلوا علینا خلاف القرآن»</w:t>
      </w:r>
      <w:r>
        <w:rPr>
          <w:rStyle w:val="FootnoteReference"/>
        </w:rPr>
        <w:footnoteReference w:id="49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الاستدلال بهذه الرّوایات علی فرض تواترها أو استفاضتها سهل، و لعلّ المراجع المتتبّع یقف علی مدی استفاضتها و تواترها.</w:t>
      </w:r>
    </w:p>
    <w:p>
      <w:pPr>
        <w:pStyle w:val="BookText"/>
      </w:pPr>
      <w:r>
        <w:rPr>
          <w:rFonts w:ascii="IRNazanin" w:hAnsi="IRNazanin" w:eastAsia="IRNazanin" w:cs="IRNazanin"/>
          <w:lang w:bidi="fa-IR"/>
          <w:color w:val="111111"/>
          <w:sz w:val="28"/>
          <w:szCs w:val="28"/>
          <w:rtl/>
        </w:rPr>
        <w:t xml:space="preserve">و لکنّ الاستدلال بها یتمّ و إن لم تثبت بإحدی الصّورتین أیضا، بل یکفی کونها أخبار آحاد مردّدة بین کونها صحیحة أو مکذوبة، فلو کانت صحیحة، لصارت حجّة علی المقصود و هو وجود روایات مفتعلة علی لسان النّبیّ الأعظم</w:t>
      </w:r>
    </w:p>
    <w:p>
      <w:pPr>
        <w:pStyle w:val="BookText"/>
      </w:pPr>
      <w:r>
        <w:rPr>
          <w:rFonts w:ascii="IRNazanin" w:hAnsi="IRNazanin" w:eastAsia="IRNazanin" w:cs="IRNazanin"/>
          <w:lang w:bidi="fa-IR"/>
          <w:color w:val="111111"/>
          <w:sz w:val="28"/>
          <w:szCs w:val="28"/>
          <w:rtl/>
        </w:rPr>
        <w:t xml:space="preserve">[شماره صفحه واقعی : 26]
</w:t>
      </w:r>
    </w:p>
    <w:p>
      <w:pPr>
        <w:sectPr>
          <w:footerReference w:type="default" r:id="rId16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آله الأکرمین، و إن کانت مکذوبة و باطلة، فیثبت المدّعی أیضا بنفس وجود تلک الروایات المصنوعة فی الکتب الروائیّة.</w:t>
      </w:r>
    </w:p>
    <w:p>
      <w:pPr>
        <w:pStyle w:val="BookText"/>
      </w:pPr>
      <w:r>
        <w:rPr>
          <w:rFonts w:ascii="IRNazanin" w:hAnsi="IRNazanin" w:eastAsia="IRNazanin" w:cs="IRNazanin"/>
          <w:lang w:bidi="fa-IR"/>
          <w:color w:val="111111"/>
          <w:sz w:val="28"/>
          <w:szCs w:val="28"/>
          <w:rtl/>
        </w:rPr>
        <w:t xml:space="preserve">و هذا القسم من الرّوایات ممّا تثبت بها المدّعی علی کلّ تقدیر سواء أصحّت أم لا تصحّ، و هذا من لطائف الاستدلال.</w:t>
      </w:r>
    </w:p>
    <w:p>
      <w:pPr>
        <w:pStyle w:val="BookText"/>
      </w:pPr>
      <w:r>
        <w:rPr>
          <w:rFonts w:ascii="IRNazanin" w:hAnsi="IRNazanin" w:eastAsia="IRNazanin" w:cs="IRNazanin"/>
          <w:lang w:bidi="fa-IR"/>
          <w:color w:val="111111"/>
          <w:sz w:val="28"/>
          <w:szCs w:val="28"/>
          <w:rtl/>
        </w:rPr>
        <w:t xml:space="preserve">و لأجل هذا التخلیط من المدلّسین، أمر الائمة - علیهم السلام - بعرض الأحادیث علی الکتاب و السنّة، و أنّ کلّ حدیث لا یوافق کتاب اللّه و لا سنّة نبیّه یضرب به عرض الجدار. و قد تواترت الروایات علی الترجیح بموافقة الکتاب و السنّة، یقف علیها القاریء اذا راجع الباب التاسع من أبواب صفات القاضی من الوسائل (ج 18، کتاب القضاء).</w:t>
      </w:r>
    </w:p>
    <w:p>
      <w:pPr>
        <w:pStyle w:val="BookText"/>
      </w:pPr>
      <w:r>
        <w:rPr>
          <w:rFonts w:ascii="IRNazanin" w:hAnsi="IRNazanin" w:eastAsia="IRNazanin" w:cs="IRNazanin"/>
          <w:lang w:bidi="fa-IR"/>
          <w:color w:val="111111"/>
          <w:sz w:val="28"/>
          <w:szCs w:val="28"/>
          <w:rtl/>
        </w:rPr>
        <w:t xml:space="preserve">و یوقفک علی حقیقة الحال ما ذکره الشیخ الطوسی فی کتاب «العدّة» قال: «إنّا وجدنا الطّائفة میّزت الرجال الناقلة لهذه الأخبار، فوثّقت الثّقات منهم و ضعّفت الضعفاء، و فرّقوا بین من یعتمد علی حدیثه و روایته و من لا یعتمد علی خبره، و مدحوا الممدوح منهم و ذمّوا المذموم و قالوا: فلان متّهم فی حدیثه، و فلان کذّاب، و فلان مخلّط، و فلان مخالف فی المذهب و الاعتقاد، و فلان واقفیّ و فلان فطحیّ، و غیر ذلک من الطّعون الّتی ذکروها و صنّفوا فی ذلک الکتب و استثنوا الرجال من جملة ما رووه من التصانیف فی فهارستهم»</w:t>
      </w:r>
      <w:r>
        <w:rPr>
          <w:rStyle w:val="FootnoteReference"/>
        </w:rPr>
        <w:footnoteReference w:id="49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هذه العبارة تنصّ علی وجود المدلّسین و الوضّاعین و المخلّطین بین رواة الشیعة، فکیف یمکن القول بحجّیة کلّ ما فی الکتب الأربعة أو غیرها من دون تمییز بین الثّقة و غیره.</w:t>
      </w:r>
    </w:p>
    <w:p>
      <w:pPr>
        <w:pStyle w:val="BookText"/>
      </w:pPr>
      <w:r>
        <w:rPr>
          <w:rFonts w:ascii="IRNazanin" w:hAnsi="IRNazanin" w:eastAsia="IRNazanin" w:cs="IRNazanin"/>
          <w:lang w:bidi="fa-IR"/>
          <w:color w:val="111111"/>
          <w:sz w:val="28"/>
          <w:szCs w:val="28"/>
          <w:rtl/>
        </w:rPr>
        <w:t xml:space="preserve">و ما ربّما یقال من أنّ أئمّة الحدیث، قد استخرجوا أحادیث الکتب</w:t>
      </w:r>
    </w:p>
    <w:p>
      <w:pPr>
        <w:pStyle w:val="BookText"/>
      </w:pPr>
      <w:r>
        <w:rPr>
          <w:rFonts w:ascii="IRNazanin" w:hAnsi="IRNazanin" w:eastAsia="IRNazanin" w:cs="IRNazanin"/>
          <w:lang w:bidi="fa-IR"/>
          <w:color w:val="111111"/>
          <w:sz w:val="28"/>
          <w:szCs w:val="28"/>
          <w:rtl/>
        </w:rPr>
        <w:t xml:space="preserve">[شماره صفحه واقعی : 27]
</w:t>
      </w:r>
    </w:p>
    <w:p>
      <w:pPr>
        <w:sectPr>
          <w:footerReference w:type="default" r:id="rId1683"/>
          <w:footnotePr>
            <w:numStart w:val="1"/>
            <w:numRestart w:val="eachPage"/>
          </w:footnotePr>
          <w:pgSz w:orient="portrait" w:w="11905.511811023622" w:h="16837.79527559055"/>
          <w:pgMar w:top="1440" w:right="1440" w:bottom="1440" w:left="1440" w:header="720" w:footer="720" w:gutter="0"/>
          <w:cols w:num="1" w:space="720"/>
        </w:sectPr>
      </w:pPr>
    </w:p>
    <w:bookmarkStart w:id="897" w:name="pg14411_144065"/>
    <w:bookmarkEnd w:id="897"/>
    <w:p>
      <w:pPr>
        <w:pStyle w:val="BookText"/>
      </w:pPr>
      <w:r>
        <w:rPr>
          <w:rFonts w:ascii="IRNazanin" w:hAnsi="IRNazanin" w:eastAsia="IRNazanin" w:cs="IRNazanin"/>
          <w:lang w:bidi="fa-IR"/>
          <w:color w:val="111111"/>
          <w:sz w:val="28"/>
          <w:szCs w:val="28"/>
          <w:rtl/>
        </w:rPr>
        <w:t xml:space="preserve">الاربعة من الاصول و الجوامع الأوّلیة بعد تهذیبها عن هؤلاء الأشخاص، و إن کان صحیحا فی الجملة، و لکن قصاری جهدهم أنّه حصلت للمشایخ الثلاثة و حضرت عندهم قرائن تفید الاطمئنان علی صدور ما رووه فی کتبهم الأربعة أو الثّلاثة</w:t>
      </w:r>
      <w:r>
        <w:rPr>
          <w:rStyle w:val="FootnoteReference"/>
        </w:rPr>
        <w:footnoteReference w:id="4991"/>
      </w:r>
      <w:r>
        <w:rPr>
          <w:rFonts w:ascii="IRNazanin" w:hAnsi="IRNazanin" w:eastAsia="IRNazanin" w:cs="IRNazanin"/>
          <w:lang w:bidi="fa-IR"/>
          <w:color w:val="111111"/>
          <w:sz w:val="28"/>
          <w:szCs w:val="28"/>
          <w:rtl/>
        </w:rPr>
        <w:t xml:space="preserve">عن الأئمة، و لکن من أین نعلم أنّه لو حصلت عندنا تلک القرائن الحاصلة عندهم، لحصل لنا الاطمئنان أیضا مثل ما حصل لهم.</w:t>
      </w:r>
    </w:p>
    <w:p>
      <w:pPr>
        <w:pStyle w:val="BookText"/>
      </w:pPr>
      <w:r>
        <w:rPr>
          <w:rFonts w:ascii="IRNazanin" w:hAnsi="IRNazanin" w:eastAsia="IRNazanin" w:cs="IRNazanin"/>
          <w:lang w:bidi="fa-IR"/>
          <w:color w:val="111111"/>
          <w:sz w:val="28"/>
          <w:szCs w:val="28"/>
          <w:rtl/>
        </w:rPr>
        <w:t xml:space="preserve">أضف الی ذلک أنّ ادّعاء حصول الاطمئنان للمشایخ فی مجموع ما رووه بعید جدّا، لأنّهم رووا ما نقطع ببطلانه.</w:t>
      </w:r>
    </w:p>
    <w:p>
      <w:pPr>
        <w:pStyle w:val="BookText"/>
      </w:pPr>
      <w:r>
        <w:rPr>
          <w:rFonts w:ascii="IRNazanin" w:hAnsi="IRNazanin" w:eastAsia="IRNazanin" w:cs="IRNazanin"/>
          <w:lang w:bidi="fa-IR"/>
          <w:color w:val="111111"/>
          <w:sz w:val="28"/>
          <w:szCs w:val="28"/>
          <w:rtl/>
        </w:rPr>
        <w:t xml:space="preserve">هذا مضافا الی أنّ ادّعاء حصول الوثوق و الاطمئنان للمشایخ بصدور عامّة الروایات حتی المتعارضین أمر لا یقبله الذّوق السّلیم.</w:t>
      </w:r>
    </w:p>
    <w:p>
      <w:pPr>
        <w:pStyle w:val="Heading6"/>
      </w:pPr>
      <w:bookmarkStart w:id="2724" w:name="_Toc1759"/>
      <w:r>
        <w:t>الرابع: وجود العامی فی أسانید الروایات</w:t>
      </w:r>
      <w:bookmarkEnd w:id="2724"/>
    </w:p>
    <w:p>
      <w:pPr>
        <w:pStyle w:val="BookText"/>
      </w:pPr>
      <w:r>
        <w:rPr>
          <w:rFonts w:ascii="IRNazanin" w:hAnsi="IRNazanin" w:eastAsia="IRNazanin" w:cs="IRNazanin"/>
          <w:lang w:bidi="fa-IR"/>
          <w:color w:val="111111"/>
          <w:sz w:val="28"/>
          <w:szCs w:val="28"/>
          <w:rtl/>
        </w:rPr>
        <w:t xml:space="preserve">إنّ من سبر روایات الکتب الأربعة و غیرها، یقف علی وجود العامی فی أسانید الروایات، و کثیر منهم قد وقعوا فی ذیل السند، و کان الأئمة یفتون لهم بما هو معروف بین أئمّتهم، و قد روی أئمّة الحدیث تلک الأسئلة و الأجوبة، من دون أن یشیروا إلی کون الراوی عامیا یقتفی أثر أئمّته و أنّ الفتوی التی سمعها من الإمام - علیه السلام - صدرت منه تقیة، و عندئذ فالرجوع الی أحوال الرواة یوجب تمییز الخبر الصادر تقیة عن غیره.</w:t>
      </w:r>
    </w:p>
    <w:p>
      <w:pPr>
        <w:pStyle w:val="Heading6"/>
      </w:pPr>
      <w:bookmarkStart w:id="2725" w:name="_Toc1760"/>
      <w:r>
        <w:t>الخامس: اجماع العلماء</w:t>
      </w:r>
      <w:bookmarkEnd w:id="2725"/>
    </w:p>
    <w:p>
      <w:pPr>
        <w:pStyle w:val="BookText"/>
      </w:pPr>
      <w:r>
        <w:rPr>
          <w:rFonts w:ascii="IRNazanin" w:hAnsi="IRNazanin" w:eastAsia="IRNazanin" w:cs="IRNazanin"/>
          <w:lang w:bidi="fa-IR"/>
          <w:color w:val="111111"/>
          <w:sz w:val="28"/>
          <w:szCs w:val="28"/>
          <w:rtl/>
        </w:rPr>
        <w:t xml:space="preserve">أجمع علماء الامامیّة، بل فرق المسلمین جمیعا فی الأعصار السابقة، علی العنایة بتألیف هذا العلم و تدوینه من عصر الأئمة - علیهم السلام - الی</w:t>
      </w:r>
    </w:p>
    <w:p>
      <w:pPr>
        <w:pStyle w:val="BookText"/>
      </w:pPr>
      <w:r>
        <w:rPr>
          <w:rFonts w:ascii="IRNazanin" w:hAnsi="IRNazanin" w:eastAsia="IRNazanin" w:cs="IRNazanin"/>
          <w:lang w:bidi="fa-IR"/>
          <w:color w:val="111111"/>
          <w:sz w:val="28"/>
          <w:szCs w:val="28"/>
          <w:rtl/>
        </w:rPr>
        <w:t xml:space="preserve">[شماره صفحه واقعی : 28]
</w:t>
      </w:r>
    </w:p>
    <w:p>
      <w:pPr>
        <w:sectPr>
          <w:footerReference w:type="default" r:id="rId16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یومنا هذا، و لو لا دخالته فی استنباط الحکم الإلهی، لما کان لهذه العنایة وجه.</w:t>
      </w:r>
    </w:p>
    <w:p>
      <w:pPr>
        <w:pStyle w:val="BookText"/>
      </w:pPr>
      <w:r>
        <w:rPr>
          <w:rFonts w:ascii="IRNazanin" w:hAnsi="IRNazanin" w:eastAsia="IRNazanin" w:cs="IRNazanin"/>
          <w:lang w:bidi="fa-IR"/>
          <w:color w:val="111111"/>
          <w:sz w:val="28"/>
          <w:szCs w:val="28"/>
          <w:rtl/>
        </w:rPr>
        <w:t xml:space="preserve">و الحاصل؛ أنّ التزام الفقهاء و المجتهدین، بل المحدّثین فی عامّة العصور، بنقل أسانید الروایات، و البحث عن أوصاف الرواة من حیث العدالة و الوثاقة، و الدّقة و الضبط، یدلّ علی أنّ معرفة رجال الروایات من دعائم الاجتهاد.</w:t>
      </w:r>
    </w:p>
    <w:p>
      <w:pPr>
        <w:pStyle w:val="BookText"/>
      </w:pPr>
      <w:r>
        <w:rPr>
          <w:rFonts w:ascii="IRNazanin" w:hAnsi="IRNazanin" w:eastAsia="IRNazanin" w:cs="IRNazanin"/>
          <w:lang w:bidi="fa-IR"/>
          <w:color w:val="111111"/>
          <w:sz w:val="28"/>
          <w:szCs w:val="28"/>
          <w:rtl/>
        </w:rPr>
        <w:t xml:space="preserve">[شماره صفحه واقعی : 29]
</w:t>
      </w:r>
    </w:p>
    <w:p>
      <w:pPr>
        <w:sectPr>
          <w:footerReference w:type="default" r:id="rId16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30]
</w:t>
      </w:r>
    </w:p>
    <w:p>
      <w:pPr>
        <w:sectPr>
          <w:footerReference w:type="default" r:id="rId1686"/>
          <w:footnotePr>
            <w:numStart w:val="1"/>
            <w:numRestart w:val="eachPage"/>
          </w:footnotePr>
          <w:pgSz w:orient="portrait" w:w="11905.511811023622" w:h="16837.79527559055"/>
          <w:pgMar w:top="1440" w:right="1440" w:bottom="1440" w:left="1440" w:header="720" w:footer="720" w:gutter="0"/>
          <w:cols w:num="1" w:space="720"/>
        </w:sectPr>
      </w:pPr>
    </w:p>
    <w:bookmarkStart w:id="898" w:name="pg14411_144068"/>
    <w:bookmarkEnd w:id="898"/>
    <w:p>
      <w:pPr>
        <w:pStyle w:val="Heading6"/>
      </w:pPr>
      <w:bookmarkStart w:id="2726" w:name="_Toc1761"/>
      <w:r>
        <w:t>2 - أدلة نفاة الحاجة الی علم الرجال</w:t>
      </w:r>
      <w:bookmarkEnd w:id="272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حجیة أخبار الکتب الأربعة.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عمل المشهور جابر لضعف السند.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طریق الی اثبات عدالة الرواة.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تفضیح الناس بهذا العلم و عدم اجتماع شرائط الشهادة.</w:t>
      </w:r>
    </w:p>
    <w:p>
      <w:pPr>
        <w:pStyle w:val="BookText"/>
      </w:pPr>
      <w:r>
        <w:rPr>
          <w:rFonts w:ascii="IRNazanin" w:hAnsi="IRNazanin" w:eastAsia="IRNazanin" w:cs="IRNazanin"/>
          <w:lang w:bidi="fa-IR"/>
          <w:color w:val="111111"/>
          <w:sz w:val="28"/>
          <w:szCs w:val="28"/>
          <w:rtl/>
        </w:rPr>
        <w:t xml:space="preserve">[شماره صفحه واقعی : 31]
</w:t>
      </w:r>
    </w:p>
    <w:p>
      <w:pPr>
        <w:sectPr>
          <w:footerReference w:type="default" r:id="rId16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32]
</w:t>
      </w:r>
    </w:p>
    <w:p>
      <w:pPr>
        <w:sectPr>
          <w:footerReference w:type="default" r:id="rId1688"/>
          <w:footnotePr>
            <w:numStart w:val="1"/>
            <w:numRestart w:val="eachPage"/>
          </w:footnotePr>
          <w:pgSz w:orient="portrait" w:w="11905.511811023622" w:h="16837.79527559055"/>
          <w:pgMar w:top="1440" w:right="1440" w:bottom="1440" w:left="1440" w:header="720" w:footer="720" w:gutter="0"/>
          <w:cols w:num="1" w:space="720"/>
        </w:sectPr>
      </w:pPr>
    </w:p>
    <w:bookmarkStart w:id="899" w:name="pg14411_144070"/>
    <w:bookmarkEnd w:id="899"/>
    <w:p>
      <w:pPr>
        <w:pStyle w:val="Heading4"/>
      </w:pPr>
      <w:bookmarkStart w:id="2727" w:name="_Toc1762"/>
      <w:r>
        <w:t>الفصل الثانی: الحاجة الی علم الرجال</w:t>
      </w:r>
      <w:bookmarkEnd w:id="2727"/>
    </w:p>
    <w:p>
      <w:pPr>
        <w:pStyle w:val="Heading5"/>
      </w:pPr>
      <w:bookmarkStart w:id="2728" w:name="_Toc1763"/>
      <w:r>
        <w:t>اشارة</w:t>
      </w:r>
      <w:bookmarkEnd w:id="2728"/>
    </w:p>
    <w:p>
      <w:pPr>
        <w:pStyle w:val="BookText"/>
      </w:pPr>
      <w:r>
        <w:rPr>
          <w:rFonts w:ascii="IRNazanin" w:hAnsi="IRNazanin" w:eastAsia="IRNazanin" w:cs="IRNazanin"/>
          <w:lang w:bidi="fa-IR"/>
          <w:color w:val="111111"/>
          <w:sz w:val="28"/>
          <w:szCs w:val="28"/>
          <w:rtl/>
        </w:rPr>
        <w:t xml:space="preserve">1 - أدلّة المثبتین.</w:t>
      </w:r>
    </w:p>
    <w:p>
      <w:pPr>
        <w:pStyle w:val="BookText"/>
      </w:pPr>
      <w:r>
        <w:rPr>
          <w:rFonts w:ascii="IRNazanin" w:hAnsi="IRNazanin" w:eastAsia="IRNazanin" w:cs="IRNazanin"/>
          <w:lang w:bidi="fa-IR"/>
          <w:color w:val="111111"/>
          <w:sz w:val="28"/>
          <w:szCs w:val="28"/>
          <w:rtl/>
        </w:rPr>
        <w:t xml:space="preserve">2 - أدلّة النافین.</w:t>
      </w:r>
    </w:p>
    <w:p>
      <w:pPr>
        <w:pStyle w:val="BookText"/>
      </w:pPr>
      <w:r>
        <w:rPr>
          <w:rFonts w:ascii="IRNazanin" w:hAnsi="IRNazanin" w:eastAsia="IRNazanin" w:cs="IRNazanin"/>
          <w:lang w:bidi="fa-IR"/>
          <w:color w:val="111111"/>
          <w:sz w:val="28"/>
          <w:szCs w:val="28"/>
          <w:rtl/>
        </w:rPr>
        <w:t xml:space="preserve">[شماره صفحه واقعی : 33]
</w:t>
      </w:r>
    </w:p>
    <w:p>
      <w:pPr>
        <w:sectPr>
          <w:footerReference w:type="default" r:id="rId16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34]
</w:t>
      </w:r>
    </w:p>
    <w:p>
      <w:pPr>
        <w:sectPr>
          <w:footerReference w:type="default" r:id="rId1690"/>
          <w:footnotePr>
            <w:numStart w:val="1"/>
            <w:numRestart w:val="eachPage"/>
          </w:footnotePr>
          <w:pgSz w:orient="portrait" w:w="11905.511811023622" w:h="16837.79527559055"/>
          <w:pgMar w:top="1440" w:right="1440" w:bottom="1440" w:left="1440" w:header="720" w:footer="720" w:gutter="0"/>
          <w:cols w:num="1" w:space="720"/>
        </w:sectPr>
      </w:pPr>
    </w:p>
    <w:bookmarkStart w:id="900" w:name="pg14411_144072"/>
    <w:bookmarkEnd w:id="900"/>
    <w:p>
      <w:pPr>
        <w:pStyle w:val="BookText"/>
      </w:pPr>
      <w:r>
        <w:rPr>
          <w:rFonts w:ascii="IRNazanin" w:hAnsi="IRNazanin" w:eastAsia="IRNazanin" w:cs="IRNazanin"/>
          <w:lang w:bidi="fa-IR"/>
          <w:color w:val="111111"/>
          <w:sz w:val="28"/>
          <w:szCs w:val="28"/>
          <w:rtl/>
        </w:rPr>
        <w:t xml:space="preserve">حجة النافین للحاجة الی علم الرجال</w:t>
      </w:r>
    </w:p>
    <w:p>
      <w:pPr>
        <w:pStyle w:val="BookText"/>
      </w:pPr>
      <w:r>
        <w:rPr>
          <w:rFonts w:ascii="IRNazanin" w:hAnsi="IRNazanin" w:eastAsia="IRNazanin" w:cs="IRNazanin"/>
          <w:lang w:bidi="fa-IR"/>
          <w:color w:val="111111"/>
          <w:sz w:val="28"/>
          <w:szCs w:val="28"/>
          <w:rtl/>
        </w:rPr>
        <w:t xml:space="preserve">قد عرفت أدلة القائلین بوجود الحاجة الی علم الرجال فی استنباط الاحکام عن أدلتها. بقیت أدلة النافین، و الیک بیان المهم منها:</w:t>
      </w:r>
    </w:p>
    <w:p>
      <w:pPr>
        <w:pStyle w:val="Heading5"/>
      </w:pPr>
      <w:bookmarkStart w:id="2729" w:name="_Toc1764"/>
      <w:r>
        <w:t>الاول: قطعیة روایات الکتب الأربعة</w:t>
      </w:r>
      <w:bookmarkEnd w:id="2729"/>
    </w:p>
    <w:p>
      <w:pPr>
        <w:pStyle w:val="BookText"/>
      </w:pPr>
      <w:r>
        <w:rPr>
          <w:rFonts w:ascii="IRNazanin" w:hAnsi="IRNazanin" w:eastAsia="IRNazanin" w:cs="IRNazanin"/>
          <w:lang w:bidi="fa-IR"/>
          <w:color w:val="111111"/>
          <w:sz w:val="28"/>
          <w:szCs w:val="28"/>
          <w:rtl/>
        </w:rPr>
        <w:t xml:space="preserve">ذهبت الأخباریة إلی القول بقطعیّة روایات الکتب الأربعة و أنّ أحادیثها مقطوعة الصّدور عن المعصومین - علیهم السلام - و علی ذلک فالبحث عن حال الرّاوی من حیث الوثاقة و عدمها، لأجل طلب الاطمئنان بالصدور، و المفروض أنّها مقطوعة الصّدور.</w:t>
      </w:r>
    </w:p>
    <w:p>
      <w:pPr>
        <w:pStyle w:val="BookText"/>
      </w:pPr>
      <w:r>
        <w:rPr>
          <w:rFonts w:ascii="IRNazanin" w:hAnsi="IRNazanin" w:eastAsia="IRNazanin" w:cs="IRNazanin"/>
          <w:lang w:bidi="fa-IR"/>
          <w:color w:val="111111"/>
          <w:sz w:val="28"/>
          <w:szCs w:val="28"/>
          <w:rtl/>
        </w:rPr>
        <w:t xml:space="preserve">و لکن هذا دعوی بلا دلیل، اذ کیف یمکن ادّعاء القطعیّة لأخبارها، مع أنّ مؤلّفیها لم یدّعوا ذلک، و أقصی ما یمکن أن ینسب الیهم أنّهم ادّعوا صحة الأخبار المودعة فیها، و هی غیر کونها متواترة أو قطعیّة، و المراد من الصحّة اقترانها بقرائن تفید الاطمئنان بصدورها عن الائمة - علیهم السلام -. و هل یکفی الحکم بالصحّة فی جواز العمل بأخبارها بلا تفحّص أو لا، سنعقد فصلا خاصّا للبحث فی ذلک المجال، فتربّص حتی حین.</w:t>
      </w:r>
    </w:p>
    <w:p>
      <w:pPr>
        <w:pStyle w:val="BookText"/>
      </w:pPr>
      <w:r>
        <w:rPr>
          <w:rFonts w:ascii="IRNazanin" w:hAnsi="IRNazanin" w:eastAsia="IRNazanin" w:cs="IRNazanin"/>
          <w:lang w:bidi="fa-IR"/>
          <w:color w:val="111111"/>
          <w:sz w:val="28"/>
          <w:szCs w:val="28"/>
          <w:rtl/>
        </w:rPr>
        <w:t xml:space="preserve">أضف الی ذلک أنّ أدلّة الأحکام الشرعیّة لا تختصّ بالکتب الأربعة، و لأجل ذلک لا مناص عن الاستفسار عن أحوال الرواة. و قد نقل فی الوسائل</w:t>
      </w:r>
    </w:p>
    <w:p>
      <w:pPr>
        <w:pStyle w:val="BookText"/>
      </w:pPr>
      <w:r>
        <w:rPr>
          <w:rFonts w:ascii="IRNazanin" w:hAnsi="IRNazanin" w:eastAsia="IRNazanin" w:cs="IRNazanin"/>
          <w:lang w:bidi="fa-IR"/>
          <w:color w:val="111111"/>
          <w:sz w:val="28"/>
          <w:szCs w:val="28"/>
          <w:rtl/>
        </w:rPr>
        <w:t xml:space="preserve">[شماره صفحه واقعی : 35]
</w:t>
      </w:r>
    </w:p>
    <w:p>
      <w:pPr>
        <w:sectPr>
          <w:footerReference w:type="default" r:id="rId1691"/>
          <w:footnotePr>
            <w:numStart w:val="1"/>
            <w:numRestart w:val="eachPage"/>
          </w:footnotePr>
          <w:pgSz w:orient="portrait" w:w="11905.511811023622" w:h="16837.79527559055"/>
          <w:pgMar w:top="1440" w:right="1440" w:bottom="1440" w:left="1440" w:header="720" w:footer="720" w:gutter="0"/>
          <w:cols w:num="1" w:space="720"/>
        </w:sectPr>
      </w:pPr>
    </w:p>
    <w:bookmarkStart w:id="901" w:name="pg14411_144073"/>
    <w:bookmarkEnd w:id="901"/>
    <w:p>
      <w:pPr>
        <w:pStyle w:val="BookText"/>
      </w:pPr>
      <w:r>
        <w:rPr>
          <w:rFonts w:ascii="IRNazanin" w:hAnsi="IRNazanin" w:eastAsia="IRNazanin" w:cs="IRNazanin"/>
          <w:lang w:bidi="fa-IR"/>
          <w:color w:val="111111"/>
          <w:sz w:val="28"/>
          <w:szCs w:val="28"/>
          <w:rtl/>
        </w:rPr>
        <w:t xml:space="preserve">عن سبعین کتابا، أحادیث غیر موجودة فی الکتب الأربعة و قد وقف المتأخّرون علی اصول و کتب لم تصل الیه ید صاحب الوسائل أیضا، فلأجل ذلک قام المحدّث النوری بتألیف کتاب اسماه «مستدرک الوسائل» و فیه من الأحادیث ما لا غنی عنها للمستنبط.</w:t>
      </w:r>
    </w:p>
    <w:p>
      <w:pPr>
        <w:pStyle w:val="Heading5"/>
      </w:pPr>
      <w:bookmarkStart w:id="2730" w:name="_Toc1765"/>
      <w:r>
        <w:t>الثانی: عمل المشهور جابر لضعف السند</w:t>
      </w:r>
      <w:bookmarkEnd w:id="2730"/>
    </w:p>
    <w:p>
      <w:pPr>
        <w:pStyle w:val="BookText"/>
      </w:pPr>
      <w:r>
        <w:rPr>
          <w:rFonts w:ascii="IRNazanin" w:hAnsi="IRNazanin" w:eastAsia="IRNazanin" w:cs="IRNazanin"/>
          <w:lang w:bidi="fa-IR"/>
          <w:color w:val="111111"/>
          <w:sz w:val="28"/>
          <w:szCs w:val="28"/>
          <w:rtl/>
        </w:rPr>
        <w:t xml:space="preserve">ذهب بعضهم إلی أنّ کلّ خبر عمل به المشهور فهو حجة سواء کان الراوی ثقة أو لا، و کلّ خبر لم یعمل به المشهور لیس بحجّة و إن کانت رواتها ثقات.</w:t>
      </w:r>
    </w:p>
    <w:p>
      <w:pPr>
        <w:pStyle w:val="BookText"/>
      </w:pPr>
      <w:r>
        <w:rPr>
          <w:rFonts w:ascii="IRNazanin" w:hAnsi="IRNazanin" w:eastAsia="IRNazanin" w:cs="IRNazanin"/>
          <w:lang w:bidi="fa-IR"/>
          <w:color w:val="111111"/>
          <w:sz w:val="28"/>
          <w:szCs w:val="28"/>
          <w:rtl/>
        </w:rPr>
        <w:t xml:space="preserve">و فیه: أنّ معرفة المشهور فی کلّ المسائل أمر مشکل، لأنّ بعض المسائل غیر معنونة فی کتبهم، و جملة اخری منها لا شهرة فیها، و قسم منها یعدّ من الأشهر و المشهور، و لأجل ذلک لا مناص من القول بحجّیة قول الثقات وحده و إن لم یکن مشهورا. نعم یجب أن لا یکون معرضا عنه کما حقّق فی محلّه.</w:t>
      </w:r>
    </w:p>
    <w:p>
      <w:pPr>
        <w:pStyle w:val="Heading5"/>
      </w:pPr>
      <w:bookmarkStart w:id="2731" w:name="_Toc1766"/>
      <w:r>
        <w:t>الثالث: لا طریق الی اثبات العدالة</w:t>
      </w:r>
      <w:bookmarkEnd w:id="2731"/>
    </w:p>
    <w:p>
      <w:pPr>
        <w:pStyle w:val="BookText"/>
      </w:pPr>
      <w:r>
        <w:rPr>
          <w:rFonts w:ascii="IRNazanin" w:hAnsi="IRNazanin" w:eastAsia="IRNazanin" w:cs="IRNazanin"/>
          <w:lang w:bidi="fa-IR"/>
          <w:color w:val="111111"/>
          <w:sz w:val="28"/>
          <w:szCs w:val="28"/>
          <w:rtl/>
        </w:rPr>
        <w:t xml:space="preserve">إنّ عدالة الراوی لا طریق الیها إلاّ بالرجوع إلی کتب أهل الرجال الّذین أخذوا عدالة الراوی من کتب غیرهم، و غیرهم من غیرهم، و لا یثبت بذلک، التعدیل المعتبر، لعدم العبرة بالقرطاس.</w:t>
      </w:r>
    </w:p>
    <w:p>
      <w:pPr>
        <w:pStyle w:val="BookText"/>
      </w:pPr>
      <w:r>
        <w:rPr>
          <w:rFonts w:ascii="IRNazanin" w:hAnsi="IRNazanin" w:eastAsia="IRNazanin" w:cs="IRNazanin"/>
          <w:lang w:bidi="fa-IR"/>
          <w:color w:val="111111"/>
          <w:sz w:val="28"/>
          <w:szCs w:val="28"/>
          <w:rtl/>
        </w:rPr>
        <w:t xml:space="preserve">و فیه: أنّ الاعتماد علی الکتب الرجالیة، لأجل ثبوت نسبتها الی مؤلّفیها، لقراءتهم علی تلامیذهم و قراءة هؤلاء علی غیرهم و هکذا، أو بقراءة التّلامیذ علیهم أو بإجازة من المؤلّف علی نقل ما فی الکتاب، و علی ذلک یکون الکتاب مسموعا علی المستنبط أو ثابتة نسبته الی المؤلف.</w:t>
      </w:r>
    </w:p>
    <w:p>
      <w:pPr>
        <w:pStyle w:val="BookText"/>
      </w:pPr>
      <w:r>
        <w:rPr>
          <w:rFonts w:ascii="IRNazanin" w:hAnsi="IRNazanin" w:eastAsia="IRNazanin" w:cs="IRNazanin"/>
          <w:lang w:bidi="fa-IR"/>
          <w:color w:val="111111"/>
          <w:sz w:val="28"/>
          <w:szCs w:val="28"/>
          <w:rtl/>
        </w:rPr>
        <w:t xml:space="preserve">و الحاصل؛ أنّ الکتاب اذا ثبتت نسبتها الی کاتبها عن طریق التواتر و الاستفاضة، أو الاطمئنان العقلائی الّذی یعدّ علما عرفیا أو الحجّة الشرعیّة</w:t>
      </w:r>
    </w:p>
    <w:p>
      <w:pPr>
        <w:pStyle w:val="BookText"/>
      </w:pPr>
      <w:r>
        <w:rPr>
          <w:rFonts w:ascii="IRNazanin" w:hAnsi="IRNazanin" w:eastAsia="IRNazanin" w:cs="IRNazanin"/>
          <w:lang w:bidi="fa-IR"/>
          <w:color w:val="111111"/>
          <w:sz w:val="28"/>
          <w:szCs w:val="28"/>
          <w:rtl/>
        </w:rPr>
        <w:t xml:space="preserve">[شماره صفحه واقعی : 36]
</w:t>
      </w:r>
    </w:p>
    <w:p>
      <w:pPr>
        <w:sectPr>
          <w:footerReference w:type="default" r:id="rId16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یصحّ الاعتماد علیها. و لأجل ذلک تقبل الأقاریر المکتوبة و الوصایا المرقومة بخطوط المقرّ و الموصی أو بخطّ غیرهم، اذا دلّت القرائن علی صحّتها، کما اذا ختمت بخاتم المقرّ و الموصی أو غیر ذلک من القرائن. و من یرفض الکتابة فإنّما یرفضها فی المشکوک لا فی المعلوم و المطمئنّ منها.</w:t>
      </w:r>
    </w:p>
    <w:p>
      <w:pPr>
        <w:pStyle w:val="BookText"/>
      </w:pPr>
      <w:r>
        <w:rPr>
          <w:rFonts w:ascii="IRNazanin" w:hAnsi="IRNazanin" w:eastAsia="IRNazanin" w:cs="IRNazanin"/>
          <w:lang w:bidi="fa-IR"/>
          <w:color w:val="111111"/>
          <w:sz w:val="28"/>
          <w:szCs w:val="28"/>
          <w:rtl/>
        </w:rPr>
        <w:t xml:space="preserve">أضف إلی ذلک أنّ تشریع اعتبار العدالة فی الراوی، یجب أن یکون علی وجه یسهل تحصیلها، و لو کان متعسّرا أو متعذّرا، یکون الاعتبار لغوا و التشریع بلا فائدة.</w:t>
      </w:r>
    </w:p>
    <w:p>
      <w:pPr>
        <w:pStyle w:val="BookText"/>
      </w:pPr>
      <w:r>
        <w:rPr>
          <w:rFonts w:ascii="IRNazanin" w:hAnsi="IRNazanin" w:eastAsia="IRNazanin" w:cs="IRNazanin"/>
          <w:lang w:bidi="fa-IR"/>
          <w:color w:val="111111"/>
          <w:sz w:val="28"/>
          <w:szCs w:val="28"/>
          <w:rtl/>
        </w:rPr>
        <w:t xml:space="preserve">و علی هذا فلو کانت العدالة المعتبرة فی رواة الأحادیث، ممکنة التحصیل بالطّریق المیسور و هو قول الرجالیین فهو، و إلاّ فلو لم یکن قولهم حجّة، یکون اعتبارها فیهم أمرا لغوا لتعسّر تحصیلها بغیر هذا الطّریق.</w:t>
      </w:r>
    </w:p>
    <w:p>
      <w:pPr>
        <w:pStyle w:val="BookText"/>
      </w:pPr>
      <w:r>
        <w:rPr>
          <w:rFonts w:ascii="IRNazanin" w:hAnsi="IRNazanin" w:eastAsia="IRNazanin" w:cs="IRNazanin"/>
          <w:lang w:bidi="fa-IR"/>
          <w:color w:val="111111"/>
          <w:sz w:val="28"/>
          <w:szCs w:val="28"/>
          <w:rtl/>
        </w:rPr>
        <w:t xml:space="preserve">و للعلاّمة المامقانی جواب آخر و هو: أنّ التزکیة لیست شهادة حتّی یعتبر فیها ما یعتبر فی ذلک، من الأصالة و الشفاه و غیرها، و إلاّ لما جاز أخذ الأخبار من الاصول مع أنّها مأخوذة من الاصول الأربعمائة، بل المقصود من الرجوع الی علم الرجال هو التثبّت و تحصیل الظنّ الاطمئنانی الانتظامی الّذی انتظم امور العقلاء به فیما یحتاجون الیه و هو یختلف باختلاف الامور معاشا و معادا و یختلف فی کلّ منهما باعتبار زیادة الاهتمام و نقصانه</w:t>
      </w:r>
      <w:r>
        <w:rPr>
          <w:rStyle w:val="FootnoteReference"/>
        </w:rPr>
        <w:footnoteReference w:id="49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الجواب انما یتمّ علی مذهب من یجعل الرّجوع إلی الکتب الرجالیة من باب جمع القرائن و الشّواهد لتحصیل الاطمئنان علی وثاقة الراوی أو صدور الحدیث. و أمّا علی مذهب من یعتبر قولهم حجّة من باب الشّهادة فلا.</w:t>
      </w:r>
    </w:p>
    <w:p>
      <w:pPr>
        <w:pStyle w:val="BookText"/>
      </w:pPr>
      <w:r>
        <w:rPr>
          <w:rFonts w:ascii="IRNazanin" w:hAnsi="IRNazanin" w:eastAsia="IRNazanin" w:cs="IRNazanin"/>
          <w:lang w:bidi="fa-IR"/>
          <w:color w:val="111111"/>
          <w:sz w:val="28"/>
          <w:szCs w:val="28"/>
          <w:rtl/>
        </w:rPr>
        <w:t xml:space="preserve">فالحقّ فی الجواب هو التّفصیل بین المذهبین. فلو اعتبرنا الرجوع الیهم من باب الشّهادة، فالجواب ما ذکرناه. و لو اعتبرناه من باب تحصیل القرائن</w:t>
      </w:r>
    </w:p>
    <w:p>
      <w:pPr>
        <w:pStyle w:val="BookText"/>
      </w:pPr>
      <w:r>
        <w:rPr>
          <w:rFonts w:ascii="IRNazanin" w:hAnsi="IRNazanin" w:eastAsia="IRNazanin" w:cs="IRNazanin"/>
          <w:lang w:bidi="fa-IR"/>
          <w:color w:val="111111"/>
          <w:sz w:val="28"/>
          <w:szCs w:val="28"/>
          <w:rtl/>
        </w:rPr>
        <w:t xml:space="preserve">[شماره صفحه واقعی : 37]
</w:t>
      </w:r>
    </w:p>
    <w:p>
      <w:pPr>
        <w:sectPr>
          <w:footerReference w:type="default" r:id="rId1693"/>
          <w:footnotePr>
            <w:numStart w:val="1"/>
            <w:numRestart w:val="eachPage"/>
          </w:footnotePr>
          <w:pgSz w:orient="portrait" w:w="11905.511811023622" w:h="16837.79527559055"/>
          <w:pgMar w:top="1440" w:right="1440" w:bottom="1440" w:left="1440" w:header="720" w:footer="720" w:gutter="0"/>
          <w:cols w:num="1" w:space="720"/>
        </w:sectPr>
      </w:pPr>
    </w:p>
    <w:bookmarkStart w:id="902" w:name="pg14411_144075"/>
    <w:bookmarkEnd w:id="902"/>
    <w:p>
      <w:pPr>
        <w:pStyle w:val="BookText"/>
      </w:pPr>
      <w:r>
        <w:rPr>
          <w:rFonts w:ascii="IRNazanin" w:hAnsi="IRNazanin" w:eastAsia="IRNazanin" w:cs="IRNazanin"/>
          <w:lang w:bidi="fa-IR"/>
          <w:color w:val="111111"/>
          <w:sz w:val="28"/>
          <w:szCs w:val="28"/>
          <w:rtl/>
        </w:rPr>
        <w:t xml:space="preserve">و الشواهد علی صدق الراوی و صدور الروایة، فالجواب ما ذکره - قدس سره -.</w:t>
      </w:r>
    </w:p>
    <w:p>
      <w:pPr>
        <w:pStyle w:val="BookText"/>
      </w:pPr>
      <w:r>
        <w:rPr>
          <w:rFonts w:ascii="IRNazanin" w:hAnsi="IRNazanin" w:eastAsia="IRNazanin" w:cs="IRNazanin"/>
          <w:lang w:bidi="fa-IR"/>
          <w:color w:val="111111"/>
          <w:sz w:val="28"/>
          <w:szCs w:val="28"/>
          <w:rtl/>
        </w:rPr>
        <w:t xml:space="preserve">ثمّ إنّ محلّ البحث فی حجّیة قولهم، إنّما هو إذا لم یحصل العلم من قولهم أو لم یتحقّق الاطمئنان، و إلاّ انحصر الوجه، فی قبول قولهم من باب التعّبد، و أما الصورتان الاولیان، فخارجتان عن محلّ البحث، لأنّ الأوّل علم قطعیّ، و الثانی علم عرفی و حجّة قطعیة و إن لم تکن حجّیته ذاتیة مثل العلم.</w:t>
      </w:r>
    </w:p>
    <w:p>
      <w:pPr>
        <w:pStyle w:val="Heading5"/>
      </w:pPr>
      <w:bookmarkStart w:id="2732" w:name="_Toc1767"/>
      <w:r>
        <w:t>الرابع: الخلاف فی معنی العدالة و الفسق</w:t>
      </w:r>
      <w:bookmarkEnd w:id="2732"/>
    </w:p>
    <w:p>
      <w:pPr>
        <w:pStyle w:val="BookText"/>
      </w:pPr>
      <w:r>
        <w:rPr>
          <w:rFonts w:ascii="IRNazanin" w:hAnsi="IRNazanin" w:eastAsia="IRNazanin" w:cs="IRNazanin"/>
          <w:lang w:bidi="fa-IR"/>
          <w:color w:val="111111"/>
          <w:sz w:val="28"/>
          <w:szCs w:val="28"/>
          <w:rtl/>
        </w:rPr>
        <w:t xml:space="preserve">إنّ الخلاف العظیم فی معنی العدالة و الفسق، یمنع من الأخذ بتعدیل علماء الرجال بعد عدم معلومیّة مختار المعدّل فی معنی العدالة و مخالفته معنا فی المبنی، فإنّ مختار الشّیخ فی العدالة، أنّها ظهور الإسلام، بل ظاهره دعوی کونه مشهورا، فکیف یعتمد علی تعدیله، من یقول بکون العدالة هی الملکة.</w:t>
      </w:r>
    </w:p>
    <w:p>
      <w:pPr>
        <w:pStyle w:val="BookText"/>
      </w:pPr>
      <w:r>
        <w:rPr>
          <w:rFonts w:ascii="IRNazanin" w:hAnsi="IRNazanin" w:eastAsia="IRNazanin" w:cs="IRNazanin"/>
          <w:lang w:bidi="fa-IR"/>
          <w:color w:val="111111"/>
          <w:sz w:val="28"/>
          <w:szCs w:val="28"/>
          <w:rtl/>
        </w:rPr>
        <w:t xml:space="preserve">و أجاب عنه العلاّمة المامقانی (مضافا إلی أنّ مراجعة علماء الرجال إنّما هو من باب التبین الحاصل علی کلّ حال)، بقوله: إنّ عدالة مثل الشیخ و التفاته الی الخلاف فی معنی العدالة، تقتضیان ارادته بالعدالة فیمن أثبت عدالته من الرواة، العدالة المتّفق علیها، فإنّ التألیف و التّصنیف اذا کان لغیره خصوصا للعمل به مدی الدّهر... فلا یبنی علی مذهب خاصّ الا بالتّنبیه علیه</w:t>
      </w:r>
      <w:r>
        <w:rPr>
          <w:rStyle w:val="FootnoteReference"/>
        </w:rPr>
        <w:footnoteReference w:id="49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توضیحه؛ أنّ المؤلّف لو صرّح بمذهبه فی مجال الجرح و التّعدیل یؤخذ به، و إن ترک التّصریح به، فالظّاهر أنّه یقتضی أثر المشهور فی ذاک المجال و طرق ثبوتهما و غیر ذلک ممّا یتعلّق بهما، اذ لو کان له مذهب خاصّ وراء</w:t>
      </w:r>
    </w:p>
    <w:p>
      <w:pPr>
        <w:pStyle w:val="BookText"/>
      </w:pPr>
      <w:r>
        <w:rPr>
          <w:rFonts w:ascii="IRNazanin" w:hAnsi="IRNazanin" w:eastAsia="IRNazanin" w:cs="IRNazanin"/>
          <w:lang w:bidi="fa-IR"/>
          <w:color w:val="111111"/>
          <w:sz w:val="28"/>
          <w:szCs w:val="28"/>
          <w:rtl/>
        </w:rPr>
        <w:t xml:space="preserve">[شماره صفحه واقعی : 38]
</w:t>
      </w:r>
    </w:p>
    <w:p>
      <w:pPr>
        <w:sectPr>
          <w:footerReference w:type="default" r:id="rId16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مذهب المشهور لوجب علیه أن ینبّه به، حتّی لا یکون غارّا، لأنّ المفروض أنّ ما قام به من العبء فی هذا المضمار، لم یکن لنفسه و استفادة شخصه، بل الظّاهر أنّه ألّفه لاستفادة العموم و مراجعتهم عند الاستنباط، فلا بدّ أن یکون متّفق الاصطلاح مع المشهور، و إلاّ لوجب التّصریح بالخلاف.</w:t>
      </w:r>
    </w:p>
    <w:p>
      <w:pPr>
        <w:pStyle w:val="BookText"/>
      </w:pPr>
      <w:r>
        <w:rPr>
          <w:rFonts w:ascii="IRNazanin" w:hAnsi="IRNazanin" w:eastAsia="IRNazanin" w:cs="IRNazanin"/>
          <w:lang w:bidi="fa-IR"/>
          <w:color w:val="111111"/>
          <w:sz w:val="28"/>
          <w:szCs w:val="28"/>
          <w:rtl/>
        </w:rPr>
        <w:t xml:space="preserve">یقول المحقّق القمّی فی هذا الصّدد: «و الظّاهر أنّ المصنّف لمثل هذه الکتب لا یرید اختصاص مجتهدی زمانه به، حتّی یقال إنّه صنّفه للعارفین بطریقته، سیّما و طریقة أهل العصر من العلماء عدم الرّجوع إلی کتب معاصریهم من جهة الاستناد غالبا، و إنّما تنفع المصنّفات بعد موت مصنّفیها غالبا إذا تباعد الزّمان. فعمدة مقاصدهم فی تألیف هذه الکتب بقاؤها أبد الدهر و انتفاع من سیجیء بعدهم منهم، فإذا لوحظ هذا المعنی منضمّا إلی عدالة المصنّفین و ورعهم و تقویهم و فطانتهم و حذاقتهم، یظهر أنّهم أرادوا بما ذکروا من العدالة المعنی الّذی هو مسلّم الکلّ حتّی ینتفع الکلّ. و احتمال الغفلة للمؤلّف عن هذا المعنی حین التألیف سیّما مع تمادی زمان التألیف و الانتفاع به فی حیاته فی غایة البعد»</w:t>
      </w:r>
      <w:r>
        <w:rPr>
          <w:rStyle w:val="FootnoteReference"/>
        </w:rPr>
        <w:footnoteReference w:id="49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هناک قرینة أخری علی أنّهم لا یریدون من الثقة، مجرّد الإسلام مع عدم ظهور الفسق، و إلاّ یلزم توثیق أکثر المسلمین، و لا مجرّد حسن الظّاهر، لعدم حصول الوثوق به ما لم یحرز الملکة الرادعة.</w:t>
      </w:r>
    </w:p>
    <w:p>
      <w:pPr>
        <w:pStyle w:val="BookText"/>
      </w:pPr>
      <w:r>
        <w:rPr>
          <w:rFonts w:ascii="IRNazanin" w:hAnsi="IRNazanin" w:eastAsia="IRNazanin" w:cs="IRNazanin"/>
          <w:lang w:bidi="fa-IR"/>
          <w:color w:val="111111"/>
          <w:sz w:val="28"/>
          <w:szCs w:val="28"/>
          <w:rtl/>
        </w:rPr>
        <w:t xml:space="preserve">قال العلاّمة المامقانی: «إنّ هناک قرائن علی أنّهم أرادوا بالعدالة معنی الملکة و هو أنّا وجدنا علماء الرجال قد ذکروا فی جملة من الرواة ما یزید علی ظهور الإسلام و عدم ظهور الفسق، بل علی حسن الظاهر بمراتب و مع ذلک لم یصرّحوا فیهم بالتعدیل و التوثیق، ألا تری أنّهم ذکروا فی إبراهیم بن هاشم، أنّه أوّل من نشر أحادیث الکوفیّین بقم، و هذا یدلّ علی ما هو أقوی من حسن</w:t>
      </w:r>
    </w:p>
    <w:p>
      <w:pPr>
        <w:pStyle w:val="BookText"/>
      </w:pPr>
      <w:r>
        <w:rPr>
          <w:rFonts w:ascii="IRNazanin" w:hAnsi="IRNazanin" w:eastAsia="IRNazanin" w:cs="IRNazanin"/>
          <w:lang w:bidi="fa-IR"/>
          <w:color w:val="111111"/>
          <w:sz w:val="28"/>
          <w:szCs w:val="28"/>
          <w:rtl/>
        </w:rPr>
        <w:t xml:space="preserve">[شماره صفحه واقعی : 39]
</w:t>
      </w:r>
    </w:p>
    <w:p>
      <w:pPr>
        <w:sectPr>
          <w:footerReference w:type="default" r:id="rId1695"/>
          <w:footnotePr>
            <w:numStart w:val="1"/>
            <w:numRestart w:val="eachPage"/>
          </w:footnotePr>
          <w:pgSz w:orient="portrait" w:w="11905.511811023622" w:h="16837.79527559055"/>
          <w:pgMar w:top="1440" w:right="1440" w:bottom="1440" w:left="1440" w:header="720" w:footer="720" w:gutter="0"/>
          <w:cols w:num="1" w:space="720"/>
        </w:sectPr>
      </w:pPr>
    </w:p>
    <w:bookmarkStart w:id="903" w:name="pg14411_144077"/>
    <w:bookmarkEnd w:id="903"/>
    <w:p>
      <w:pPr>
        <w:pStyle w:val="BookText"/>
      </w:pPr>
      <w:r>
        <w:rPr>
          <w:rFonts w:ascii="IRNazanin" w:hAnsi="IRNazanin" w:eastAsia="IRNazanin" w:cs="IRNazanin"/>
          <w:lang w:bidi="fa-IR"/>
          <w:color w:val="111111"/>
          <w:sz w:val="28"/>
          <w:szCs w:val="28"/>
          <w:rtl/>
        </w:rPr>
        <w:t xml:space="preserve">الظّاهر بمراتب، لأنّ أهل قم کان من شأنهم عدم الوثوق بمن یروی عن الضعفاء، بل کانوا یخرجونه من بلدهم، فکیف بمن کان هو فی نفسه فاسقا أو علی غیر الطّریقة الحقّة. فتحقّق نشر الأخبار بینهم یدلّ علی کمال جلالته و مع ذلک لم یصرّح فیه أحد بالتّوثیق و التّعدیل»</w:t>
      </w:r>
      <w:r>
        <w:rPr>
          <w:rStyle w:val="FootnoteReference"/>
        </w:rPr>
        <w:footnoteReference w:id="4995"/>
      </w:r>
      <w:r>
        <w:rPr>
          <w:rFonts w:ascii="Times New Roman" w:hAnsi="Times New Roman" w:eastAsia="Times New Roman" w:cs="Times New Roman"/>
          <w:lang w:val="en-US" w:bidi="en-US"/>
          <w:color w:val="111111"/>
          <w:sz w:val="28"/>
          <w:szCs w:val="28"/>
          <w:rtl/>
        </w:rPr>
        <w:t xml:space="preserve">.</w:t>
      </w:r>
    </w:p>
    <w:p>
      <w:pPr>
        <w:pStyle w:val="Heading5"/>
      </w:pPr>
      <w:bookmarkStart w:id="2733" w:name="_Toc1768"/>
      <w:r>
        <w:t>الخامس: تفضیح الناس فی هذا العلم</w:t>
      </w:r>
      <w:bookmarkEnd w:id="2733"/>
    </w:p>
    <w:p>
      <w:pPr>
        <w:pStyle w:val="BookText"/>
      </w:pPr>
      <w:r>
        <w:rPr>
          <w:rFonts w:ascii="IRNazanin" w:hAnsi="IRNazanin" w:eastAsia="IRNazanin" w:cs="IRNazanin"/>
          <w:lang w:bidi="fa-IR"/>
          <w:color w:val="111111"/>
          <w:sz w:val="28"/>
          <w:szCs w:val="28"/>
          <w:rtl/>
        </w:rPr>
        <w:t xml:space="preserve">إنّ علم الرجال علم منکر یجب التحرّز عنه، لأنّ فیه تفضیحا للنّاس، و قد نهینا عن التجسّس عن معایبهم و امرنا بالغصّ و التستّر.</w:t>
      </w:r>
    </w:p>
    <w:p>
      <w:pPr>
        <w:pStyle w:val="BookText"/>
      </w:pPr>
      <w:r>
        <w:rPr>
          <w:rFonts w:ascii="IRNazanin" w:hAnsi="IRNazanin" w:eastAsia="IRNazanin" w:cs="IRNazanin"/>
          <w:lang w:bidi="fa-IR"/>
          <w:color w:val="111111"/>
          <w:sz w:val="28"/>
          <w:szCs w:val="28"/>
          <w:rtl/>
        </w:rPr>
        <w:t xml:space="preserve">و فیه أوّلا: النقض بباب المرافعات. حیث إنّ للمنکر جرح شاهد المدّعی و تکذیبه، و بالأمر بذکر المعایب فی مورد الاستشارة، الی غیر ذلک ممّا یجوز فیه الاغتیاب.</w:t>
      </w:r>
    </w:p>
    <w:p>
      <w:pPr>
        <w:pStyle w:val="BookText"/>
      </w:pPr>
      <w:r>
        <w:rPr>
          <w:rFonts w:ascii="IRNazanin" w:hAnsi="IRNazanin" w:eastAsia="IRNazanin" w:cs="IRNazanin"/>
          <w:lang w:bidi="fa-IR"/>
          <w:color w:val="111111"/>
          <w:sz w:val="28"/>
          <w:szCs w:val="28"/>
          <w:rtl/>
        </w:rPr>
        <w:t xml:space="preserve">و ثانیا: إنّ الأحکام الالهیّة أولی بالتحفّظ من الحقوق الّتی اشیر الیها.</w:t>
      </w:r>
    </w:p>
    <w:p>
      <w:pPr>
        <w:pStyle w:val="BookText"/>
      </w:pPr>
      <w:r>
        <w:rPr>
          <w:rFonts w:ascii="Amiri" w:hAnsi="Amiri" w:eastAsia="Amiri" w:cs="Amiri"/>
          <w:lang w:bidi="ar-SA"/>
          <w:color w:val="111111"/>
          <w:sz w:val="28"/>
          <w:szCs w:val="28"/>
          <w:rtl/>
        </w:rPr>
        <w:t xml:space="preserve">أضف الی ذلک أنّه لو کان التفحّص عن الرواة أمرا مرغوبا عنه، فلماذا أمر اللّه سبحانه بالتثبّت و التبیّن عند سماع الخبر، إذ قال سبحانه إِنْ جاءَکُمْ فاسِقٌ بِنَبَإٍ فَتَبَیَّنُوا الحجرات: 6.</w:t>
      </w:r>
    </w:p>
    <w:p>
      <w:pPr>
        <w:pStyle w:val="BookText"/>
      </w:pPr>
      <w:r>
        <w:rPr>
          <w:rFonts w:ascii="Amiri" w:hAnsi="Amiri" w:eastAsia="Amiri" w:cs="Amiri"/>
          <w:lang w:bidi="ar-SA"/>
          <w:color w:val="111111"/>
          <w:sz w:val="28"/>
          <w:szCs w:val="28"/>
          <w:rtl/>
        </w:rPr>
        <w:t xml:space="preserve">و الأمر به و إن جاء فی مورد الفاسق، لکنّه یعمّ المجهول للتّعلیل الوارد فی ذیل الآیة أَنْ تُصِیبُوا قَوْماً بِجَهالَةٍ فَتُصْبِحُوا عَلی ما فَعَلْتُمْ نادِمِینَ فإنّ احتمال إصابة القوم بجهالة لا یختصّ بمن علم فسقه، بل یعمّ محتمله کما لا یخفی.</w:t>
      </w:r>
    </w:p>
    <w:p>
      <w:pPr>
        <w:pStyle w:val="Heading5"/>
      </w:pPr>
      <w:bookmarkStart w:id="2734" w:name="_Toc1769"/>
      <w:r>
        <w:t>السادس: قول الرجالی و شرائط الشهادة</w:t>
      </w:r>
      <w:bookmarkEnd w:id="2734"/>
    </w:p>
    <w:p>
      <w:pPr>
        <w:pStyle w:val="BookText"/>
      </w:pPr>
      <w:r>
        <w:rPr>
          <w:rFonts w:ascii="IRNazanin" w:hAnsi="IRNazanin" w:eastAsia="IRNazanin" w:cs="IRNazanin"/>
          <w:lang w:bidi="fa-IR"/>
          <w:color w:val="111111"/>
          <w:sz w:val="28"/>
          <w:szCs w:val="28"/>
          <w:rtl/>
        </w:rPr>
        <w:t xml:space="preserve">لو قلنا باعتبار قول الرجالی من باب الشّهادة، یجب أن یجتمع فیه</w:t>
      </w:r>
    </w:p>
    <w:p>
      <w:pPr>
        <w:pStyle w:val="BookText"/>
      </w:pPr>
      <w:r>
        <w:rPr>
          <w:rFonts w:ascii="IRNazanin" w:hAnsi="IRNazanin" w:eastAsia="IRNazanin" w:cs="IRNazanin"/>
          <w:lang w:bidi="fa-IR"/>
          <w:color w:val="111111"/>
          <w:sz w:val="28"/>
          <w:szCs w:val="28"/>
          <w:rtl/>
        </w:rPr>
        <w:t xml:space="preserve">[شماره صفحه واقعی : 40]
</w:t>
      </w:r>
    </w:p>
    <w:p>
      <w:pPr>
        <w:sectPr>
          <w:footerReference w:type="default" r:id="rId16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شرائطها الّتی منها الاعتماد علی الحسّ دون الحدس. و هو شرط اتّفق علیه العلماء، و من المعلوم عدم تحقّق هذا الشّرط، لعدم تعاصر المعدّل (بالکسر) و المعدّل (بالفتح) غالبا.</w:t>
      </w:r>
    </w:p>
    <w:p>
      <w:pPr>
        <w:pStyle w:val="BookText"/>
      </w:pPr>
      <w:r>
        <w:rPr>
          <w:rFonts w:ascii="IRNazanin" w:hAnsi="IRNazanin" w:eastAsia="IRNazanin" w:cs="IRNazanin"/>
          <w:lang w:bidi="fa-IR"/>
          <w:color w:val="111111"/>
          <w:sz w:val="28"/>
          <w:szCs w:val="28"/>
          <w:rtl/>
        </w:rPr>
        <w:t xml:space="preserve">و الجواب أنّه یشترط فی الشهادة، أن یکون المشهود به أمرا حسّیا أو یکون مبادئه قریبة من الحسّ و إن لم یکن بنفسه حسّیا، و ذلک مثل العدالة و الشّجاعة فإنّهما من الامور غیر الحسیّة، لکن مبادئها حسّیة من قبیل الالتزام بالفرائض و النوافل، و الاجتناب عن اقتراف الکبائر فی العدالة، و قرع الأبطال فی میادین الحرب، و الاقدام بالامور الخطیرة بلا تریّث و اکتراث فی الشجاعة.</w:t>
      </w:r>
    </w:p>
    <w:p>
      <w:pPr>
        <w:pStyle w:val="BookText"/>
      </w:pPr>
      <w:r>
        <w:rPr>
          <w:rFonts w:ascii="IRNazanin" w:hAnsi="IRNazanin" w:eastAsia="IRNazanin" w:cs="IRNazanin"/>
          <w:lang w:bidi="fa-IR"/>
          <w:color w:val="111111"/>
          <w:sz w:val="28"/>
          <w:szCs w:val="28"/>
          <w:rtl/>
        </w:rPr>
        <w:t xml:space="preserve">و علی ذلک فکما یمکن إحراز عدالة المعاصر بالمعاشرة، أو بقیام القرائن و الشّواهد علی عدالته، أو شهرته و شیاعه بین الناس، علی نحو یفید الاطمئنان، فکذلک یمکن إحراز عدالة الراوی غیر المعاصر من الاشتهار و الشیاع و الأمارات و القرائن المنقولة متواترة عصرا بعد عصر المفیدة للقطع و الیقین أو الاطمئنان.</w:t>
      </w:r>
    </w:p>
    <w:p>
      <w:pPr>
        <w:pStyle w:val="BookText"/>
      </w:pPr>
      <w:r>
        <w:rPr>
          <w:rFonts w:ascii="IRNazanin" w:hAnsi="IRNazanin" w:eastAsia="IRNazanin" w:cs="IRNazanin"/>
          <w:lang w:bidi="fa-IR"/>
          <w:color w:val="111111"/>
          <w:sz w:val="28"/>
          <w:szCs w:val="28"/>
          <w:rtl/>
        </w:rPr>
        <w:t xml:space="preserve">و لا شکّ أنّ الکشّی و النجاشی و الشیخ، بما أنّهم کانوا یمارسون المحدّثین و العلماء - بطبع الحال - کانوا واقفین علی أحوال الرواة و خصوصیّاتهم و مکانتهم من حیث الوثاقة و الضبط، فلأجل تلک القرائن الواصلة الیهم من مشایخهم و أکابر عصرهم، إلی أن تنتهی الی عصر الرواة، شهدوا بوثاقة هؤلاء.</w:t>
      </w:r>
    </w:p>
    <w:p>
      <w:pPr>
        <w:pStyle w:val="BookText"/>
      </w:pPr>
      <w:r>
        <w:rPr>
          <w:rFonts w:ascii="IRNazanin" w:hAnsi="IRNazanin" w:eastAsia="IRNazanin" w:cs="IRNazanin"/>
          <w:lang w:bidi="fa-IR"/>
          <w:color w:val="111111"/>
          <w:sz w:val="28"/>
          <w:szCs w:val="28"/>
          <w:rtl/>
        </w:rPr>
        <w:t xml:space="preserve">و هناک جواب آخر؛ و هو أنّ من المحتمل قوّیا أن تکون شهاداتهم فی حق الرواة، مستندة الی السّماع من شیوخهم، إلی أن تنتهی إلی عصر الرواة، و کانت الطّبقة النهائیّة معاشرة معهم و مخالطة إیّاهم.</w:t>
      </w:r>
    </w:p>
    <w:p>
      <w:pPr>
        <w:pStyle w:val="BookText"/>
      </w:pPr>
      <w:r>
        <w:rPr>
          <w:rFonts w:ascii="IRNazanin" w:hAnsi="IRNazanin" w:eastAsia="IRNazanin" w:cs="IRNazanin"/>
          <w:lang w:bidi="fa-IR"/>
          <w:color w:val="111111"/>
          <w:sz w:val="28"/>
          <w:szCs w:val="28"/>
          <w:rtl/>
        </w:rPr>
        <w:t xml:space="preserve">و علی ذلک، لم یکن التّعدیل أو الجرح أمرا ارتجالیّا، بل کان مستندا، إمّا إلی القرائن المتواترة و الشواهد القطعیة المفیدة للعلم بعدالة الراوی أو</w:t>
      </w:r>
    </w:p>
    <w:p>
      <w:pPr>
        <w:pStyle w:val="BookText"/>
      </w:pPr>
      <w:r>
        <w:rPr>
          <w:rFonts w:ascii="IRNazanin" w:hAnsi="IRNazanin" w:eastAsia="IRNazanin" w:cs="IRNazanin"/>
          <w:lang w:bidi="fa-IR"/>
          <w:color w:val="111111"/>
          <w:sz w:val="28"/>
          <w:szCs w:val="28"/>
          <w:rtl/>
        </w:rPr>
        <w:t xml:space="preserve">[شماره صفحه واقعی : 41]
</w:t>
      </w:r>
    </w:p>
    <w:p>
      <w:pPr>
        <w:sectPr>
          <w:footerReference w:type="default" r:id="rId16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ضعفه، أو إلی السّماع من شیخ إلی شیخ آخر.</w:t>
      </w:r>
    </w:p>
    <w:p>
      <w:pPr>
        <w:pStyle w:val="BookText"/>
      </w:pPr>
      <w:r>
        <w:rPr>
          <w:rFonts w:ascii="IRNazanin" w:hAnsi="IRNazanin" w:eastAsia="IRNazanin" w:cs="IRNazanin"/>
          <w:lang w:bidi="fa-IR"/>
          <w:color w:val="111111"/>
          <w:sz w:val="28"/>
          <w:szCs w:val="28"/>
          <w:rtl/>
        </w:rPr>
        <w:t xml:space="preserve">و هناک وجه ثالث؛ و هو رجوعهم الی الکتب المؤلفة فی العصور المتقدّمة علیهم، الّتی کانت أصحابها معاصرین مع الرواة و معاشرین معهم، فإنّ قسما مهمّا من مضامین الاصول الخمسة الرجالیّة، ولیدة تلک الکتب المؤلّفة فی العصور المتقدّمة.</w:t>
      </w:r>
    </w:p>
    <w:p>
      <w:pPr>
        <w:pStyle w:val="BookText"/>
      </w:pPr>
      <w:r>
        <w:rPr>
          <w:rFonts w:ascii="IRNazanin" w:hAnsi="IRNazanin" w:eastAsia="IRNazanin" w:cs="IRNazanin"/>
          <w:lang w:bidi="fa-IR"/>
          <w:color w:val="111111"/>
          <w:sz w:val="28"/>
          <w:szCs w:val="28"/>
          <w:rtl/>
        </w:rPr>
        <w:t xml:space="preserve">فتبیّن أنّ الأعلام المتقدّمین کانوا یعتمدون فی تصریحاتهم علی وثاقة الرّجل، علی الحسّ دون الحدس و ذلک بوجوه ثلاثة:</w:t>
      </w:r>
    </w:p>
    <w:p>
      <w:pPr>
        <w:pStyle w:val="BookText"/>
      </w:pPr>
      <w:r>
        <w:rPr>
          <w:rFonts w:ascii="IRNazanin" w:hAnsi="IRNazanin" w:eastAsia="IRNazanin" w:cs="IRNazanin"/>
          <w:lang w:bidi="fa-IR"/>
          <w:color w:val="111111"/>
          <w:sz w:val="28"/>
          <w:szCs w:val="28"/>
          <w:rtl/>
        </w:rPr>
        <w:t xml:space="preserve">1 - الرجوع إلی الکتب الّتی کانت بأیدیهم من علم الرجال الّتی ثبتت نسبتها الی مؤلّفیها بالطّرق الصّحیحة.</w:t>
      </w:r>
    </w:p>
    <w:p>
      <w:pPr>
        <w:pStyle w:val="BookText"/>
      </w:pPr>
      <w:r>
        <w:rPr>
          <w:rFonts w:ascii="IRNazanin" w:hAnsi="IRNazanin" w:eastAsia="IRNazanin" w:cs="IRNazanin"/>
          <w:lang w:bidi="fa-IR"/>
          <w:color w:val="111111"/>
          <w:sz w:val="28"/>
          <w:szCs w:val="28"/>
          <w:rtl/>
        </w:rPr>
        <w:t xml:space="preserve">2 - السّماع من کابر عن کابر و من ثقة عن ثقة.</w:t>
      </w:r>
    </w:p>
    <w:p>
      <w:pPr>
        <w:pStyle w:val="BookText"/>
      </w:pPr>
      <w:r>
        <w:rPr>
          <w:rFonts w:ascii="IRNazanin" w:hAnsi="IRNazanin" w:eastAsia="IRNazanin" w:cs="IRNazanin"/>
          <w:lang w:bidi="fa-IR"/>
          <w:color w:val="111111"/>
          <w:sz w:val="28"/>
          <w:szCs w:val="28"/>
          <w:rtl/>
        </w:rPr>
        <w:t xml:space="preserve">3 - الاعتماد علی الاستفاضة و الاشتهار بین الأصحاب و هذا من أحسن الطّرق و أمتنها، نظیر علمنا بعدالة صاحب الحدائق و صاحب الجواهر و الشیخ الأنصاری و غیرهم من المشایخ عن طریق الاستفاضة و الاشتهار فی کل جیل و عصر، إلی أن یصل إلی زمان حیاتهم و حینئذ نذعن بوثاقتهم و إن لم تصل الینا بسند خاصّ.</w:t>
      </w:r>
    </w:p>
    <w:p>
      <w:pPr>
        <w:pStyle w:val="BookText"/>
      </w:pPr>
      <w:r>
        <w:rPr>
          <w:rFonts w:ascii="IRNazanin" w:hAnsi="IRNazanin" w:eastAsia="IRNazanin" w:cs="IRNazanin"/>
          <w:lang w:bidi="fa-IR"/>
          <w:color w:val="111111"/>
          <w:sz w:val="28"/>
          <w:szCs w:val="28"/>
          <w:rtl/>
        </w:rPr>
        <w:t xml:space="preserve">و یدلّ علی ذلک (أی استنادهم الی الحسّ فی التوثیق) ما نقلناه سالفا عن الشیخ، من أنّا وجدنا الطائفة میّزت الرجال الناقلة، فوثّقت الثّقات و ضعّفت الضعفاء، و فرّقوا بین من یعتمد علی حدیثه و روایته، و من لا یعتمد علی خبره - الی آخر ما ذکره</w:t>
      </w:r>
      <w:r>
        <w:rPr>
          <w:rStyle w:val="FootnoteReference"/>
        </w:rPr>
        <w:footnoteReference w:id="49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لاجل أن یقف القاریء علی أنّ أکثر ما فی الاصول الخمسة الرجالیة - لا جمیعها - مستندة إلی شهادة من قبلهم من الاثبات فی کتبهم فی حقّ الرواة،</w:t>
      </w:r>
    </w:p>
    <w:p>
      <w:pPr>
        <w:pStyle w:val="BookText"/>
      </w:pPr>
      <w:r>
        <w:rPr>
          <w:rFonts w:ascii="IRNazanin" w:hAnsi="IRNazanin" w:eastAsia="IRNazanin" w:cs="IRNazanin"/>
          <w:lang w:bidi="fa-IR"/>
          <w:color w:val="111111"/>
          <w:sz w:val="28"/>
          <w:szCs w:val="28"/>
          <w:rtl/>
        </w:rPr>
        <w:t xml:space="preserve">[شماره صفحه واقعی : 42]
</w:t>
      </w:r>
    </w:p>
    <w:p>
      <w:pPr>
        <w:sectPr>
          <w:footerReference w:type="default" r:id="rId16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نذکر فی المقام أسامی ثلّة من القدماء، قد ألّفوا فی هذا المضمار، لیقف القاریء علی نماذج من الکتب الرجالیّة المؤلّفة قبل الاصول الخمسة أو معها و لنکتف بالقلیل عن الکثیر.</w:t>
      </w:r>
    </w:p>
    <w:p>
      <w:pPr>
        <w:pStyle w:val="BookText"/>
      </w:pPr>
      <w:r>
        <w:rPr>
          <w:rFonts w:ascii="IRNazanin" w:hAnsi="IRNazanin" w:eastAsia="IRNazanin" w:cs="IRNazanin"/>
          <w:lang w:bidi="fa-IR"/>
          <w:color w:val="111111"/>
          <w:sz w:val="28"/>
          <w:szCs w:val="28"/>
          <w:rtl/>
        </w:rPr>
        <w:t xml:space="preserve">1 - الشیخ الصدوق أبو جعفر محمّد بن علیّ بن الحسین بن موسی بن بابویه القمی (المتوفّی 381) ترجمة النجاشی (الرقم 1049) و عدّ من تصانیفه کتاب «المصابیح» فی من روی عن النبی و الأئمة - علیهم السلام - و له أیضا کتاب «المشیخة» ذکر فیه مشایخه فی الرجال و هم یزیدون عن مائتی شیخ، طبع فی آخر «من لا یحضره الفقیه»</w:t>
      </w:r>
      <w:r>
        <w:rPr>
          <w:rStyle w:val="FootnoteReference"/>
        </w:rPr>
        <w:footnoteReference w:id="49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الشیخ أبو عبد اللّه أحمد بن عبد الواحد البزاز المعروف ب «ابن عبدون» (بضم العین المهملة و سکون الباء الموحدة)، کما فی رجال النجاشی (الرقم 211) و ب «ابن الحاشر» کما فی رجال الشیخ</w:t>
      </w:r>
      <w:r>
        <w:rPr>
          <w:rStyle w:val="FootnoteReference"/>
        </w:rPr>
        <w:footnoteReference w:id="4998"/>
      </w:r>
      <w:r>
        <w:rPr>
          <w:rFonts w:ascii="IRNazanin" w:hAnsi="IRNazanin" w:eastAsia="IRNazanin" w:cs="IRNazanin"/>
          <w:lang w:bidi="fa-IR"/>
          <w:color w:val="111111"/>
          <w:sz w:val="28"/>
          <w:szCs w:val="28"/>
          <w:rtl/>
        </w:rPr>
        <w:t xml:space="preserve">، و المتوفّی سنة 423 و هو من مشایخ الشیخ الطوسی و النجاشی و له کتاب «الفهرس». أشار إلیه الشیخ الطوسی فی الفهرس فی ترجمة ابراهیم بن محمد بن سعید الثقفی</w:t>
      </w:r>
      <w:r>
        <w:rPr>
          <w:rStyle w:val="FootnoteReference"/>
        </w:rPr>
        <w:footnoteReference w:id="49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الشیخ أبو العباس أحمد بن محمد بن سعید المعروف ب «ابن عقدة -» (بضم العین المهملة و سکون القاف - المولود سنة 249 و المتوفّی سنة 333) له کتاب «الرجال» و هو کتاب جمع فیه أسامی من روی عن جعفر بن محمد - علیهما السلام - و له کتاب آخر فی هذا المضمار و جمع فیه أسماء الرواة عمن تقدم علی الإمام الصّادق من الأئمّة الطاهرین - علیهم السلام -</w:t>
      </w:r>
      <w:r>
        <w:rPr>
          <w:rStyle w:val="FootnoteReference"/>
        </w:rPr>
        <w:footnoteReference w:id="50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43]
</w:t>
      </w:r>
    </w:p>
    <w:p>
      <w:pPr>
        <w:sectPr>
          <w:footerReference w:type="default" r:id="rId16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أحمد بن علی العلویّ العقیقیّ (المتوفی عام 280) له کتاب «تاریخ الرجال» و هو یروی عن أبیه، عن إبراهیم بن هاشم القمی</w:t>
      </w:r>
      <w:r>
        <w:rPr>
          <w:rStyle w:val="FootnoteReference"/>
        </w:rPr>
        <w:footnoteReference w:id="50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أحمد بن محمّد الجوهری البغدادی، ترجمه النجاشی (الرقم 207) و الشیخ الطوسی</w:t>
      </w:r>
      <w:r>
        <w:rPr>
          <w:rStyle w:val="FootnoteReference"/>
        </w:rPr>
        <w:footnoteReference w:id="5002"/>
      </w:r>
      <w:r>
        <w:rPr>
          <w:rFonts w:ascii="IRNazanin" w:hAnsi="IRNazanin" w:eastAsia="IRNazanin" w:cs="IRNazanin"/>
          <w:lang w:bidi="fa-IR"/>
          <w:color w:val="111111"/>
          <w:sz w:val="28"/>
          <w:szCs w:val="28"/>
          <w:rtl/>
        </w:rPr>
        <w:t xml:space="preserve">و توفّی سنة 401، و من تصانیفه «الاشتمال فی معرفة الرجال».</w:t>
      </w:r>
    </w:p>
    <w:p>
      <w:pPr>
        <w:pStyle w:val="BookText"/>
      </w:pPr>
      <w:r>
        <w:rPr>
          <w:rFonts w:ascii="IRNazanin" w:hAnsi="IRNazanin" w:eastAsia="IRNazanin" w:cs="IRNazanin"/>
          <w:lang w:bidi="fa-IR"/>
          <w:color w:val="111111"/>
          <w:sz w:val="28"/>
          <w:szCs w:val="28"/>
          <w:rtl/>
        </w:rPr>
        <w:t xml:space="preserve">6 - الشیخ أبو العباس أحمد بن محمّد بن نوح، ساکن البصرة له کتاب «الرجال الذین رووا عن أبی عبد اللّه علیه السلام»</w:t>
      </w:r>
      <w:r>
        <w:rPr>
          <w:rStyle w:val="FootnoteReference"/>
        </w:rPr>
        <w:footnoteReference w:id="50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أحمد بن محمّد القمّی (المتوفی سنة 350) ترجمه النجاشی (الرقم 223). له کتاب «الطبقات».</w:t>
      </w:r>
    </w:p>
    <w:p>
      <w:pPr>
        <w:pStyle w:val="BookText"/>
      </w:pPr>
      <w:r>
        <w:rPr>
          <w:rFonts w:ascii="IRNazanin" w:hAnsi="IRNazanin" w:eastAsia="IRNazanin" w:cs="IRNazanin"/>
          <w:lang w:bidi="fa-IR"/>
          <w:color w:val="111111"/>
          <w:sz w:val="28"/>
          <w:szCs w:val="28"/>
          <w:rtl/>
        </w:rPr>
        <w:t xml:space="preserve">8 - أحمد بن محمّد الکوفی، ترجمه النجاشی (الرقم 236) وعدّ من کتبه کتاب «الممدوحین و المذمومین»</w:t>
      </w:r>
      <w:r>
        <w:rPr>
          <w:rStyle w:val="FootnoteReference"/>
        </w:rPr>
        <w:footnoteReference w:id="50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 الحسن بن محبوب السرّاد (بفتح السین المهملة و تشدید الراء) أو الزرّاد (المولود عام 149، و المتوفّی عام 224) روی عن ستّین رجلا من</w:t>
      </w:r>
    </w:p>
    <w:p>
      <w:pPr>
        <w:pStyle w:val="BookText"/>
      </w:pPr>
      <w:r>
        <w:rPr>
          <w:rFonts w:ascii="IRNazanin" w:hAnsi="IRNazanin" w:eastAsia="IRNazanin" w:cs="IRNazanin"/>
          <w:lang w:bidi="fa-IR"/>
          <w:color w:val="111111"/>
          <w:sz w:val="28"/>
          <w:szCs w:val="28"/>
          <w:rtl/>
        </w:rPr>
        <w:t xml:space="preserve">[شماره صفحه واقعی : 44]
</w:t>
      </w:r>
    </w:p>
    <w:p>
      <w:pPr>
        <w:sectPr>
          <w:footerReference w:type="default" r:id="rId17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أصحاب الصادق - علیه السلام - و له کتاب «المشیخة» و کتاب «معرفة رواة الأخبار»</w:t>
      </w:r>
      <w:r>
        <w:rPr>
          <w:rStyle w:val="FootnoteReference"/>
        </w:rPr>
        <w:footnoteReference w:id="50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10 - الفضل بن شاذان، الّذی یعدّ من أئمّة علم الرجال و قد توفّی بعد سنة 254، و قیل 260، و کان من أصحاب الرضا و الجواد و الهادی - علیهم السلام - و توفّی فی أیام العسکری - علیه السلام - </w:t>
      </w:r>
      <w:r>
        <w:rPr>
          <w:rStyle w:val="FootnoteReference"/>
        </w:rPr>
        <w:footnoteReference w:id="5006"/>
      </w:r>
      <w:r>
        <w:rPr>
          <w:rFonts w:ascii="IRNazanin" w:hAnsi="IRNazanin" w:eastAsia="IRNazanin" w:cs="IRNazanin"/>
          <w:lang w:bidi="fa-IR"/>
          <w:color w:val="111111"/>
          <w:sz w:val="28"/>
          <w:szCs w:val="28"/>
          <w:rtl/>
        </w:rPr>
        <w:t xml:space="preserve">ینقل عنه العلاّمة فی الخلاصة فی القسم الثّانی فی ترجمة «محمد بن سنان» - بعد قوله: و الوجه عندی التوقّف فیما یرویه - «فإنّ الفضل بن شاذان - رحمهما اللّه - قال فی بعض کتبه: إنّ من الکذّابین المشهورین ابن سنان»</w:t>
      </w:r>
      <w:r>
        <w:rPr>
          <w:rStyle w:val="FootnoteReference"/>
        </w:rPr>
        <w:footnoteReference w:id="50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إلی غیر ذلک من التّألیف للقدماء فی علم الرّجال و قد جمع أسماءها و ما یرجع الیها من الخصوصیّات، المتتبع الشیخ آغا بزرگ الطهرانی فی کتاب أسماه «مصفی المقال فی مصنّفی علم الرجال»</w:t>
      </w:r>
      <w:r>
        <w:rPr>
          <w:rStyle w:val="FootnoteReference"/>
        </w:rPr>
        <w:footnoteReference w:id="50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الحاصل، أنّ التتبّع فی أحوال العلماء المتقدّمین، یشرف الإنسان علی الاذعان و الیقین بأنّ التوثیقات و التضعیفات الواردة فی کتب الأعلام الخمسة و غیرها، یستند إمّا إلی الوجدان فی الکتاب الثّابت نسبته إلی مؤلّفه، أو إلی النّقل و السّماع، أو إلی الاستفاضة و الاشتهار، أو إلی طریق یقرب منها.</w:t>
      </w:r>
    </w:p>
    <w:p>
      <w:pPr>
        <w:pStyle w:val="BookText"/>
      </w:pPr>
      <w:r>
        <w:rPr>
          <w:rFonts w:ascii="IRNazanin" w:hAnsi="IRNazanin" w:eastAsia="IRNazanin" w:cs="IRNazanin"/>
          <w:lang w:bidi="fa-IR"/>
          <w:color w:val="111111"/>
          <w:sz w:val="28"/>
          <w:szCs w:val="28"/>
          <w:rtl/>
        </w:rPr>
        <w:t xml:space="preserve">[شماره صفحه واقعی : 45]
</w:t>
      </w:r>
    </w:p>
    <w:p>
      <w:pPr>
        <w:sectPr>
          <w:footerReference w:type="default" r:id="rId1701"/>
          <w:footnotePr>
            <w:numStart w:val="1"/>
            <w:numRestart w:val="eachPage"/>
          </w:footnotePr>
          <w:pgSz w:orient="portrait" w:w="11905.511811023622" w:h="16837.79527559055"/>
          <w:pgMar w:top="1440" w:right="1440" w:bottom="1440" w:left="1440" w:header="720" w:footer="720" w:gutter="0"/>
          <w:cols w:num="1" w:space="720"/>
        </w:sectPr>
      </w:pPr>
    </w:p>
    <w:bookmarkStart w:id="904" w:name="pg14411_144083"/>
    <w:bookmarkEnd w:id="904"/>
    <w:p>
      <w:pPr>
        <w:pStyle w:val="Heading5"/>
      </w:pPr>
      <w:bookmarkStart w:id="2735" w:name="_Toc1770"/>
      <w:r>
        <w:t>السابع: التوثیق الإجمالی</w:t>
      </w:r>
      <w:bookmarkEnd w:id="2735"/>
    </w:p>
    <w:p>
      <w:pPr>
        <w:pStyle w:val="BookText"/>
      </w:pPr>
      <w:r>
        <w:rPr>
          <w:rFonts w:ascii="IRNazanin" w:hAnsi="IRNazanin" w:eastAsia="IRNazanin" w:cs="IRNazanin"/>
          <w:lang w:bidi="fa-IR"/>
          <w:color w:val="111111"/>
          <w:sz w:val="28"/>
          <w:szCs w:val="28"/>
          <w:rtl/>
        </w:rPr>
        <w:t xml:space="preserve">إنّ الغایة المتوخّاة من علم الرجال، هو تمییز الثّقة عن غیره، فلو کان هذا هو الغایة منه، فقد قام مؤلّفوا الکتب الأربعة بهذا العمل، فوثّقوا رجال أحادیثهم و اسناد روایاتهم علی وجه الاجمال دون التّفصیل، فلو کان التّوثیق التفصیلی من نظراء النّجاشی و الشّیخ و أضرابهما حجّة، فالتّوثیق الاجمالی من الکلینی و الصّدوق و الشیخ أیضا حجّة، فهؤلاء الأقطاب الثّلاثة، صحّحوا رجال أحادیث کتبهم و صرّحوا فی دیباجتها بصحّة روایاتها.</w:t>
      </w:r>
    </w:p>
    <w:p>
      <w:pPr>
        <w:pStyle w:val="BookText"/>
      </w:pPr>
      <w:r>
        <w:rPr>
          <w:rFonts w:ascii="IRNazanin" w:hAnsi="IRNazanin" w:eastAsia="IRNazanin" w:cs="IRNazanin"/>
          <w:lang w:bidi="fa-IR"/>
          <w:color w:val="111111"/>
          <w:sz w:val="28"/>
          <w:szCs w:val="28"/>
          <w:rtl/>
        </w:rPr>
        <w:t xml:space="preserve">یقول المحقّق الکاشانی فی المقدّمة الثانیة من مقدّمات کتابه الوافی فی هذا الصّدد، ما هذا خلاصته</w:t>
      </w:r>
      <w:r>
        <w:rPr>
          <w:rStyle w:val="FootnoteReference"/>
        </w:rPr>
        <w:footnoteReference w:id="5009"/>
      </w:r>
      <w:r>
        <w:rPr>
          <w:rFonts w:ascii="IRNazanin" w:hAnsi="IRNazanin" w:eastAsia="IRNazanin" w:cs="IRNazanin"/>
          <w:lang w:bidi="fa-IR"/>
          <w:color w:val="111111"/>
          <w:sz w:val="28"/>
          <w:szCs w:val="28"/>
          <w:rtl/>
        </w:rPr>
        <w:t xml:space="preserve">: «إنّ أرباب الکتب الأربعة قد شهدوا علی صحّة الروایات الواردة فیها. قال الکلینی فی أوّل کتابه فی جواب من التمس منه التّصنیف: «و قلت: إنّک تحبّ أن یکون عندک کتاب کاف یجمع من جمیع فنون علم الدّین ما یکتفی به المتعلّم، و یرجع إلیه المسترشد، و یأخذ منه من یرید علم الدّین و العمل به بالآثار الصّحیحة عن الصادقین، و السنن القائمة الّتی علیها العمل و بها یؤدّی فرض اللّه و سنّة نبیّه... الی أن قال - قدس اللّه روحه -: و قد یسّر اللّه له الحمد تألیف ما سألت، و أرجو أن یکون بحیث توخّیت». و قال الصّدوق فی دیباجة «الفقیه»: «إنّی لم أقصد فیه قصد المصنّفین فی إیراد جمیع ما رووه، بل قصدت إلی إیراد ما أفتی به و أحکم بصحّته، و أعتقد فیه أنه حجّة فیما بینی و بین ربی - تقدّس ذکره -، و جمیع ما فیه مستخرج من کتب مشهورة علیها المعوّل و إلیها المرجع». و ذکر الشیخ فی «العدّة» أنّ جمیع ما أورده فی کتابیه (التهذیب و الاستبصار)، إنّما أخذه من الاصول المعتمد علیها.</w:t>
      </w:r>
    </w:p>
    <w:p>
      <w:pPr>
        <w:pStyle w:val="BookText"/>
      </w:pPr>
      <w:r>
        <w:rPr>
          <w:rFonts w:ascii="IRNazanin" w:hAnsi="IRNazanin" w:eastAsia="IRNazanin" w:cs="IRNazanin"/>
          <w:lang w:bidi="fa-IR"/>
          <w:color w:val="111111"/>
          <w:sz w:val="28"/>
          <w:szCs w:val="28"/>
          <w:rtl/>
        </w:rPr>
        <w:t xml:space="preserve">و الجواب: أنّ هذه التّصریحات أجنبیّة عمّا نحن بصدده، أعنی وثاقة</w:t>
      </w:r>
    </w:p>
    <w:p>
      <w:pPr>
        <w:pStyle w:val="BookText"/>
      </w:pPr>
      <w:r>
        <w:rPr>
          <w:rFonts w:ascii="IRNazanin" w:hAnsi="IRNazanin" w:eastAsia="IRNazanin" w:cs="IRNazanin"/>
          <w:lang w:bidi="fa-IR"/>
          <w:color w:val="111111"/>
          <w:sz w:val="28"/>
          <w:szCs w:val="28"/>
          <w:rtl/>
        </w:rPr>
        <w:t xml:space="preserve">[شماره صفحه واقعی : 46]
</w:t>
      </w:r>
    </w:p>
    <w:p>
      <w:pPr>
        <w:sectPr>
          <w:footerReference w:type="default" r:id="rId17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رواة الکتب الأربعة.</w:t>
      </w:r>
    </w:p>
    <w:p>
      <w:pPr>
        <w:pStyle w:val="BookText"/>
      </w:pPr>
      <w:r>
        <w:rPr>
          <w:rFonts w:ascii="IRNazanin" w:hAnsi="IRNazanin" w:eastAsia="IRNazanin" w:cs="IRNazanin"/>
          <w:lang w:bidi="fa-IR"/>
          <w:color w:val="111111"/>
          <w:sz w:val="28"/>
          <w:szCs w:val="28"/>
          <w:rtl/>
        </w:rPr>
        <w:t xml:space="preserve">أمّا أوّلا: فلأن المشایخ شهدوا بصحّة روایات کتبهم، لا بوثاقة رجال روایاتهم، و بین الأمرین بون بعید، و تصحیح الروایات کما یمکن أن یکون مستندا إلی إحراز وثاقة رواتها، یمکن أن یکون مستندا إلی القرائن المنفصلة الّتی صرّح بها المحقّق البهائی فی «مشرق الشمسین» و الفیض الکاشانی فی «الوافی» و مع هذا کیف یمکن القول بأنّ المشایخ شهدوا بوثاقة رواة أحادیث کتبهم؟ و الظّاهر کما هو صریح کلام العلمین، أنّهم استندوا فی التّصحیح علی القرائن لا علی وثاقة الرواة، و یدلّ علی ذلک ما ذکره الفیض حول هذه الکلمات، قال - قدّس سره - بعد بیان اصطلاح المتأخّرین فی تنویع الحدیث المعتبر: «و سلک هذا المسلک العلاّمة الحلّی - رحمه اللّه - و هذا الاصطلاح لم یکن معروفا بین قدمائنا - قدس اللّه أرواحهم - کما هو ظاهر لمن مارس کلامهم، بل کان المتعارف بینهم إطلاق الصّحیح علی کلّ حدیث اعتضد بما یقتضی الاعتماد علیه، و اقترن بما یوجب الوثوق به، و الرکون إلیه (1) کوجوده فی کثیر من الاصول الأربعمائة المشهورة المتداولة بینهم الّتی نقلوها عن مشایخهم بطرقهم المتّصلة بأصحاب العصمة - سلام اللّه علیهم - (2) و کتکرّره فی أصل أو أصلین منها فصاعدا بطرق مختلفة - و أسانید عدیدة معتبرة (3) و کوجوده فی أصل معروف الانتساب إلی أحد الجماعة الّذین أجمعوا علی تصدیقهم، کزرارة و محمّد بن مسلم و الفضیل بن یسار (4)، أو علی تصحیح ما یصحّ عنهم، کصفوان بن یحیی، و یونس بن عبد الرّحمن، و أحمد بن محمّد بن أبی نصر البزنطی (5)، أو العمل بروایتهم، کعمار الساباطی و نظرائه (6) و کاندراجه فی أحد الکتب الّتی عرضت علی أحد الأئمّة المعصومین - علیهم السلام - فأثنوا علی مؤلّفیها، ککتاب عبید اللّه الحلبی الّذی عرض علی الصّادق - علیه السلام - و کتابی یونس بن عبد الرحمن و الفضل بن شاذان المعروضین علی العسکری - علیه السلام - (7) و کأخذه من أحد الکتب الّتی شاع</w:t>
      </w:r>
    </w:p>
    <w:p>
      <w:pPr>
        <w:pStyle w:val="BookText"/>
      </w:pPr>
      <w:r>
        <w:rPr>
          <w:rFonts w:ascii="IRNazanin" w:hAnsi="IRNazanin" w:eastAsia="IRNazanin" w:cs="IRNazanin"/>
          <w:lang w:bidi="fa-IR"/>
          <w:color w:val="111111"/>
          <w:sz w:val="28"/>
          <w:szCs w:val="28"/>
          <w:rtl/>
        </w:rPr>
        <w:t xml:space="preserve">[شماره صفحه واقعی : 47]
</w:t>
      </w:r>
    </w:p>
    <w:p>
      <w:pPr>
        <w:sectPr>
          <w:footerReference w:type="default" r:id="rId17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بین سلفهم الوثوق بها و الاعتماد علیها، سواء کان مؤلّفوها من الإمامیّة، ککتاب الصّلاة لحریز بن عبد اللّه السجستانی و کتب ابنی سعید، و علیّ بن مهزیار أو من غیر الإمامیّة، ککتاب حفص بن غیاث القاضی، و الحسین بن عبید اللّه السعدی، و کتاب القبلة لعلی بن الحسن الطاطری... إلی أن قال:</w:t>
      </w:r>
    </w:p>
    <w:p>
      <w:pPr>
        <w:pStyle w:val="BookText"/>
      </w:pPr>
      <w:r>
        <w:rPr>
          <w:rFonts w:ascii="IRNazanin" w:hAnsi="IRNazanin" w:eastAsia="IRNazanin" w:cs="IRNazanin"/>
          <w:lang w:bidi="fa-IR"/>
          <w:color w:val="111111"/>
          <w:sz w:val="28"/>
          <w:szCs w:val="28"/>
          <w:rtl/>
        </w:rPr>
        <w:t xml:space="preserve">فحکموا بصحّة حدیث بعض الرواة من غیر الامامیة کعلیّ بن محمد بن ریاح و غیره لما لاح لهم من القرائن المقتضیة للوثوق بهم و الاعتماد علیهم، و إن لم یکونوا فی عداد الجماعة الّذین انعقد الاجماع علی تصحیح ما یصحّ عنهم... الی أن قال: فإن کانوا لا یعتمدون علی شهادتهم بصحّة کتبهم فلا یعتمدوا علی شهادتهم و شهادة أمثالهم من الجرح و التّعدیل الی أن قال: نعم، إذا تعارض الخبران المعتمد علیهما علی طریقة القدماء فاحتجنا إلی التّرجیح بینهما، فعلینا أن نرجع إلی حال رواتهما فی الجرح و التّعدیل المنقولین عن المشایخ فیهم و نبنی الحکم علی ذلک کما اشیر الیه فی الأخبار الواردة فی التراجیح بقولهم علیهم السلام «فالحکم ما حکم به أعدلهما و أورعهما و أصدقهما فی الحدیث» و هو أحد وجوه التّراجیح المنصوص علیها، و هذا هو عمدة الأسباب الباعثة لنا علی ذکر الأسانید فی هذا الکتاب»</w:t>
      </w:r>
      <w:r>
        <w:rPr>
          <w:rStyle w:val="FootnoteReference"/>
        </w:rPr>
        <w:footnoteReference w:id="50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ثانیا: سلّمنا أنّ منشأ حکمهم بصحّتها هو الحکم بوثاقة رواتها، لکن من أین نعلم أنّهم استندوا فی توثیقهم إلی الحسّ، إذ من البعید أن یستندوا فی توثیق هذا العدد الهائل من الرواة الواردة فی هذه الکتب إلی الحسّ، بل من المحتمل قویّا، أنّهم استندوا إلی القرائن الّتی یستنبط وثاقتهم منها، و مثله یکون حجّة للمستنبط و لمن یکون مثله فی حصول القرائن.</w:t>
      </w:r>
    </w:p>
    <w:p>
      <w:pPr>
        <w:pStyle w:val="BookText"/>
      </w:pPr>
      <w:r>
        <w:rPr>
          <w:rFonts w:ascii="IRNazanin" w:hAnsi="IRNazanin" w:eastAsia="IRNazanin" w:cs="IRNazanin"/>
          <w:lang w:bidi="fa-IR"/>
          <w:color w:val="111111"/>
          <w:sz w:val="28"/>
          <w:szCs w:val="28"/>
          <w:rtl/>
        </w:rPr>
        <w:t xml:space="preserve">و ثالثا: نفترض کونهم مستندین فی توثیق الرّواة إلی الحسّ، و لکنّ الأخذ بقولهم إنّما یصحّ لو لم تظهر کثرة أخطائهم، فإنّ کثرتها تسقط قول</w:t>
      </w:r>
    </w:p>
    <w:p>
      <w:pPr>
        <w:pStyle w:val="BookText"/>
      </w:pPr>
      <w:r>
        <w:rPr>
          <w:rFonts w:ascii="IRNazanin" w:hAnsi="IRNazanin" w:eastAsia="IRNazanin" w:cs="IRNazanin"/>
          <w:lang w:bidi="fa-IR"/>
          <w:color w:val="111111"/>
          <w:sz w:val="28"/>
          <w:szCs w:val="28"/>
          <w:rtl/>
        </w:rPr>
        <w:t xml:space="preserve">[شماره صفحه واقعی : 48]
</w:t>
      </w:r>
    </w:p>
    <w:p>
      <w:pPr>
        <w:sectPr>
          <w:footerReference w:type="default" r:id="rId1704"/>
          <w:footnotePr>
            <w:numStart w:val="1"/>
            <w:numRestart w:val="eachPage"/>
          </w:footnotePr>
          <w:pgSz w:orient="portrait" w:w="11905.511811023622" w:h="16837.79527559055"/>
          <w:pgMar w:top="1440" w:right="1440" w:bottom="1440" w:left="1440" w:header="720" w:footer="720" w:gutter="0"/>
          <w:cols w:num="1" w:space="720"/>
        </w:sectPr>
      </w:pPr>
    </w:p>
    <w:bookmarkStart w:id="905" w:name="pg14411_144086"/>
    <w:bookmarkEnd w:id="905"/>
    <w:p>
      <w:pPr>
        <w:pStyle w:val="BookText"/>
      </w:pPr>
      <w:r>
        <w:rPr>
          <w:rFonts w:ascii="IRNazanin" w:hAnsi="IRNazanin" w:eastAsia="IRNazanin" w:cs="IRNazanin"/>
          <w:lang w:bidi="fa-IR"/>
          <w:color w:val="111111"/>
          <w:sz w:val="28"/>
          <w:szCs w:val="28"/>
          <w:rtl/>
        </w:rPr>
        <w:t xml:space="preserve">المخبر عن الحجیّة فی الإخبار عن حسّ أیضا، فکیف فی الاخبار عن حدس.</w:t>
      </w:r>
    </w:p>
    <w:p>
      <w:pPr>
        <w:pStyle w:val="BookText"/>
      </w:pPr>
      <w:r>
        <w:rPr>
          <w:rFonts w:ascii="IRNazanin" w:hAnsi="IRNazanin" w:eastAsia="IRNazanin" w:cs="IRNazanin"/>
          <w:lang w:bidi="fa-IR"/>
          <w:color w:val="111111"/>
          <w:sz w:val="28"/>
          <w:szCs w:val="28"/>
          <w:rtl/>
        </w:rPr>
        <w:t xml:space="preserve">مثلا إنّ کثیرا من رواة الکافی ضعّفهم النجاشی و الشیخ، فمع هذه المعارضة الکثیرة تسقط قوله عن الحجّیة. نعم، إن کانت قلیلة لکان لاعتبار قوله وجه.</w:t>
      </w:r>
    </w:p>
    <w:p>
      <w:pPr>
        <w:pStyle w:val="BookText"/>
      </w:pPr>
      <w:r>
        <w:rPr>
          <w:rFonts w:ascii="IRNazanin" w:hAnsi="IRNazanin" w:eastAsia="IRNazanin" w:cs="IRNazanin"/>
          <w:lang w:bidi="fa-IR"/>
          <w:color w:val="111111"/>
          <w:sz w:val="28"/>
          <w:szCs w:val="28"/>
          <w:rtl/>
        </w:rPr>
        <w:t xml:space="preserve">و إنّ الشیخ قد ضعّف کثیرا من رجال «التهذیب و الاستبصار» فی رجاله و فهرسه، فکیف یمکن أن یعتمد علی ذلک التّصحیح.</w:t>
      </w:r>
    </w:p>
    <w:p>
      <w:pPr>
        <w:pStyle w:val="BookText"/>
      </w:pPr>
      <w:r>
        <w:rPr>
          <w:rFonts w:ascii="IRNazanin" w:hAnsi="IRNazanin" w:eastAsia="IRNazanin" w:cs="IRNazanin"/>
          <w:lang w:bidi="fa-IR"/>
          <w:color w:val="111111"/>
          <w:sz w:val="28"/>
          <w:szCs w:val="28"/>
          <w:rtl/>
        </w:rPr>
        <w:t xml:space="preserve">فظهر أنّه لا مناص عن القول بالحاجة إلی علم الرجال و ملاحظة أسناد الروایات، و أنّ مثل هذه الشهادات لا تقوم مکان توثیق رواة تلک الکتب.</w:t>
      </w:r>
    </w:p>
    <w:p>
      <w:pPr>
        <w:pStyle w:val="Heading5"/>
      </w:pPr>
      <w:bookmarkStart w:id="2736" w:name="_Toc1771"/>
      <w:r>
        <w:t>الثامن: شهادة المشایخ الثلاثة</w:t>
      </w:r>
      <w:bookmarkEnd w:id="2736"/>
    </w:p>
    <w:p>
      <w:pPr>
        <w:pStyle w:val="BookText"/>
      </w:pPr>
      <w:r>
        <w:rPr>
          <w:rFonts w:ascii="IRNazanin" w:hAnsi="IRNazanin" w:eastAsia="IRNazanin" w:cs="IRNazanin"/>
          <w:lang w:bidi="fa-IR"/>
          <w:color w:val="111111"/>
          <w:sz w:val="28"/>
          <w:szCs w:val="28"/>
          <w:rtl/>
        </w:rPr>
        <w:t xml:space="preserve">اذا شهد المشایخ الثّلاثة علی صحّة روایات کتبهم، و أنّها صادرة عن الأئمّة بالقرائن الّتی أشار الیه المحقّق الفیض، فهل یمکن الاعتماد فی هذا المورد علی خبر العدل أو لا؟</w:t>
      </w:r>
    </w:p>
    <w:p>
      <w:pPr>
        <w:pStyle w:val="BookText"/>
      </w:pPr>
      <w:r>
        <w:rPr>
          <w:rFonts w:ascii="IRNazanin" w:hAnsi="IRNazanin" w:eastAsia="IRNazanin" w:cs="IRNazanin"/>
          <w:lang w:bidi="fa-IR"/>
          <w:color w:val="111111"/>
          <w:sz w:val="28"/>
          <w:szCs w:val="28"/>
          <w:rtl/>
        </w:rPr>
        <w:t xml:space="preserve">الجواب: أنّ خبر العدل و شهادته إنّما یکون حجّة إذا أخبر عن الشّیء عن حسّ لا عن حدس، و الاخبار عنه بالحدس لا یکون حجّة إلاّ علی نفس المخبر، و لا یعدو غیره إلاّ فی موارد نادرة، کالمفتی بالنّسبة إلی المستفتی.</w:t>
      </w:r>
    </w:p>
    <w:p>
      <w:pPr>
        <w:pStyle w:val="BookText"/>
      </w:pPr>
      <w:r>
        <w:rPr>
          <w:rFonts w:ascii="IRNazanin" w:hAnsi="IRNazanin" w:eastAsia="IRNazanin" w:cs="IRNazanin"/>
          <w:lang w:bidi="fa-IR"/>
          <w:color w:val="111111"/>
          <w:sz w:val="28"/>
          <w:szCs w:val="28"/>
          <w:rtl/>
        </w:rPr>
        <w:t xml:space="preserve">و إخبار هؤلاء عن الصّدور إخبار عن حدس لا عن حسّ.</w:t>
      </w:r>
    </w:p>
    <w:p>
      <w:pPr>
        <w:pStyle w:val="BookText"/>
      </w:pPr>
      <w:r>
        <w:rPr>
          <w:rFonts w:ascii="IRNazanin" w:hAnsi="IRNazanin" w:eastAsia="IRNazanin" w:cs="IRNazanin"/>
          <w:lang w:bidi="fa-IR"/>
          <w:color w:val="111111"/>
          <w:sz w:val="28"/>
          <w:szCs w:val="28"/>
          <w:rtl/>
        </w:rPr>
        <w:t xml:space="preserve">توضیح ذلک؛ أنّ احتمال الخلاف و الوهم فی کلام العادل ینشأ من أحد أمرین:</w:t>
      </w:r>
    </w:p>
    <w:p>
      <w:pPr>
        <w:pStyle w:val="BookText"/>
      </w:pPr>
      <w:r>
        <w:rPr>
          <w:rFonts w:ascii="IRNazanin" w:hAnsi="IRNazanin" w:eastAsia="IRNazanin" w:cs="IRNazanin"/>
          <w:lang w:bidi="fa-IR"/>
          <w:color w:val="111111"/>
          <w:sz w:val="28"/>
          <w:szCs w:val="28"/>
          <w:rtl/>
        </w:rPr>
        <w:t xml:space="preserve">الاول: التعمّد فی الکذب و هو مرتفع بعدالته.</w:t>
      </w:r>
    </w:p>
    <w:p>
      <w:pPr>
        <w:pStyle w:val="BookText"/>
      </w:pPr>
      <w:r>
        <w:rPr>
          <w:rFonts w:ascii="IRNazanin" w:hAnsi="IRNazanin" w:eastAsia="IRNazanin" w:cs="IRNazanin"/>
          <w:lang w:bidi="fa-IR"/>
          <w:color w:val="111111"/>
          <w:sz w:val="28"/>
          <w:szCs w:val="28"/>
          <w:rtl/>
        </w:rPr>
        <w:t xml:space="preserve">الثانی: احتمال الخطأ و الاشتباه و هو مرتفع بالأصل العقلائی المسلّم بینهم من أصالة عدم الخطأ و الاشتباه، لکن ذاک الأصل عند العقلاء مختصّ بما إذا أخبر بالشیء عن حسّ، کما إذا أبصر و سمع، لا ما إذا أخبر عنه عن حدس، و احتمال الخطأ فی الإبصار و السّمع مرتفع بالأصل المسلّم بین العقلاء، و أمّا احتمال الخطأ فی الحدس و الانتقال من المقدّمة الی النتیجة،</w:t>
      </w:r>
    </w:p>
    <w:p>
      <w:pPr>
        <w:pStyle w:val="BookText"/>
      </w:pPr>
      <w:r>
        <w:rPr>
          <w:rFonts w:ascii="IRNazanin" w:hAnsi="IRNazanin" w:eastAsia="IRNazanin" w:cs="IRNazanin"/>
          <w:lang w:bidi="fa-IR"/>
          <w:color w:val="111111"/>
          <w:sz w:val="28"/>
          <w:szCs w:val="28"/>
          <w:rtl/>
        </w:rPr>
        <w:t xml:space="preserve">[شماره صفحه واقعی : 49]
</w:t>
      </w:r>
    </w:p>
    <w:p>
      <w:pPr>
        <w:sectPr>
          <w:footerReference w:type="default" r:id="rId17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فلیس هنا أصل یرفعه، و لأجل ذلک لا یکون قول المحدس حجّة الا لنفسه.</w:t>
      </w:r>
    </w:p>
    <w:p>
      <w:pPr>
        <w:pStyle w:val="BookText"/>
      </w:pPr>
      <w:r>
        <w:rPr>
          <w:rFonts w:ascii="IRNazanin" w:hAnsi="IRNazanin" w:eastAsia="IRNazanin" w:cs="IRNazanin"/>
          <w:lang w:bidi="fa-IR"/>
          <w:color w:val="111111"/>
          <w:sz w:val="28"/>
          <w:szCs w:val="28"/>
          <w:rtl/>
        </w:rPr>
        <w:t xml:space="preserve">و المقام من هذا القبیل، فإنّ المشایخ لم یروا بأعینهم و لم یسمعوا بآذانهم صدور روایات کتبهم، و تنطّق أئمّتهم بها، و إنّما انتقلوا إلیه عن قرائن و شواهد جرّتهم إلی الاطمئنان بالصّدور، و هو إخبار عن الشیء بالحدس، و لا یجری فی مثله أصالة عدم الخطأ و لا یکون حجّة فی حق الغیر.</w:t>
      </w:r>
    </w:p>
    <w:p>
      <w:pPr>
        <w:pStyle w:val="BookText"/>
      </w:pPr>
      <w:r>
        <w:rPr>
          <w:rFonts w:ascii="IRNazanin" w:hAnsi="IRNazanin" w:eastAsia="IRNazanin" w:cs="IRNazanin"/>
          <w:lang w:bidi="fa-IR"/>
          <w:color w:val="111111"/>
          <w:sz w:val="28"/>
          <w:szCs w:val="28"/>
          <w:rtl/>
        </w:rPr>
        <w:t xml:space="preserve">و إن شئت قلت: لیس الانتقال من تلک القرائن إلی صحّة الروایات و صدورها أمرا یشترک فیه الجمیع او الأغلب من النّاس، بل هو أمر تختلف فیه الأنظار بکثیر، فربّ إنسان تورثه تلک القرائن اطمئنانا فی مقابل إنسان آخر، لا تفیده إلاّ الظنّ الضعیف بالصحّة و الصدور، فإذن کیف یمکن حصول الاطمئنان لأغلب النّاس بصدور جمیع روایات الکتب الأربعة الّتی یناهز عددها ثلاثین ألف حدیث، و لیس الإخبار عن صحّتها کالاخبار عن عدالة إنسان أو شجاعته، فإنّ لهما مبادیء خاصّة معلومة، یشترک فی الانتقال عنها الی ذینک الوصفین أغلب الناس أو جمیعهم، فیکون قول المخبر عنهما حجّة و إن کان الإخبار عن حدس، لأنّه ینتهی الی مبادیء محسوسة، و هی ملموسة لکلّ من أراد أن یتفحّص عن أحوال الإنسان. و لا یحلق به الإخبار عن صحّة تلک الروایات، مستندا إلی تلک القرائن الّتی یختلف الناس فی الانتقال عنها إلی الصحّة إلی حدّ ربّما لا تفید لبعض الناس إلاّ الظّنّ الضّعیف. و لیس کلّ القرائن من قبیل وجود الحدیث فی کتاب عرض علی الإمام و نظیره، حتّی یقال إنّها من القرائن الحسیّة، بل أکثرها قرائن حدسیة.</w:t>
      </w:r>
    </w:p>
    <w:p>
      <w:pPr>
        <w:pStyle w:val="BookText"/>
      </w:pPr>
      <w:r>
        <w:rPr>
          <w:rFonts w:ascii="IRNazanin" w:hAnsi="IRNazanin" w:eastAsia="IRNazanin" w:cs="IRNazanin"/>
          <w:lang w:bidi="fa-IR"/>
          <w:color w:val="111111"/>
          <w:sz w:val="28"/>
          <w:szCs w:val="28"/>
          <w:rtl/>
        </w:rPr>
        <w:t xml:space="preserve">فان قلت: فلو کان إخبارهم عن صحّة کتبهم حجّة لأنفسهم دون غیرهم، فما هو الوجه فی ذکر هذه الشهادات فی دیباجتها؟</w:t>
      </w:r>
    </w:p>
    <w:p>
      <w:pPr>
        <w:pStyle w:val="BookText"/>
      </w:pPr>
      <w:r>
        <w:rPr>
          <w:rFonts w:ascii="IRNazanin" w:hAnsi="IRNazanin" w:eastAsia="IRNazanin" w:cs="IRNazanin"/>
          <w:lang w:bidi="fa-IR"/>
          <w:color w:val="111111"/>
          <w:sz w:val="28"/>
          <w:szCs w:val="28"/>
          <w:rtl/>
        </w:rPr>
        <w:t xml:space="preserve">قلت: إنّ الفائدة لا تنحصر فی العمل بها، بل یکفی فیها کون هذا الإخبار باعثا و حافزا إلی تحریک الغیر لتحصیل القرائن و الشواهد، لعلّه یقف</w:t>
      </w:r>
    </w:p>
    <w:p>
      <w:pPr>
        <w:pStyle w:val="BookText"/>
      </w:pPr>
      <w:r>
        <w:rPr>
          <w:rFonts w:ascii="IRNazanin" w:hAnsi="IRNazanin" w:eastAsia="IRNazanin" w:cs="IRNazanin"/>
          <w:lang w:bidi="fa-IR"/>
          <w:color w:val="111111"/>
          <w:sz w:val="28"/>
          <w:szCs w:val="28"/>
          <w:rtl/>
        </w:rPr>
        <w:t xml:space="preserve">[شماره صفحه واقعی : 50]
</w:t>
      </w:r>
    </w:p>
    <w:p>
      <w:pPr>
        <w:sectPr>
          <w:footerReference w:type="default" r:id="rId17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أیضا علی مثل ما وقف علیه المؤلّف و هو جزء علّة لتحصیل الرّکون لا تمامها.</w:t>
      </w:r>
    </w:p>
    <w:p>
      <w:pPr>
        <w:pStyle w:val="BookText"/>
      </w:pPr>
      <w:r>
        <w:rPr>
          <w:rFonts w:ascii="IRNazanin" w:hAnsi="IRNazanin" w:eastAsia="IRNazanin" w:cs="IRNazanin"/>
          <w:lang w:bidi="fa-IR"/>
          <w:color w:val="111111"/>
          <w:sz w:val="28"/>
          <w:szCs w:val="28"/>
          <w:rtl/>
        </w:rPr>
        <w:t xml:space="preserve">و یشهد بذلک أنّهم مع ذاک التّصدیق، نقلوا الروایات بإسنادها حتّی یتدبّر الآخرون فی ما ینقلونه و یعملوا بما صحّ لدیهم، و لو کانت شهادتهم علی الصحّة حجّة علی الکلّ، لما کان وجه لتحمّل ذاک العبء الثقیل، أعنی نقل الروایات بإسنادها. کلّ ذلک یعرب عن أنّ المرمی الوحید فی نقل تلک التصحیحات، هو إقناع أنفسهم و إلفات الغیر إلیها حتّی یقوم بنفس ما قام به المؤلّفون و لعلّه یحصّل ما حصّلوه.</w:t>
      </w:r>
    </w:p>
    <w:p>
      <w:pPr>
        <w:pStyle w:val="BookText"/>
      </w:pPr>
      <w:r>
        <w:rPr>
          <w:rFonts w:ascii="IRNazanin" w:hAnsi="IRNazanin" w:eastAsia="IRNazanin" w:cs="IRNazanin"/>
          <w:lang w:bidi="fa-IR"/>
          <w:color w:val="111111"/>
          <w:sz w:val="28"/>
          <w:szCs w:val="28"/>
          <w:rtl/>
        </w:rPr>
        <w:t xml:space="preserve">[شماره صفحه واقعی : 51]
</w:t>
      </w:r>
    </w:p>
    <w:p>
      <w:pPr>
        <w:sectPr>
          <w:footerReference w:type="default" r:id="rId17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52]
</w:t>
      </w:r>
    </w:p>
    <w:p>
      <w:pPr>
        <w:sectPr>
          <w:footerReference w:type="default" r:id="rId1708"/>
          <w:footnotePr>
            <w:numStart w:val="1"/>
            <w:numRestart w:val="eachPage"/>
          </w:footnotePr>
          <w:pgSz w:orient="portrait" w:w="11905.511811023622" w:h="16837.79527559055"/>
          <w:pgMar w:top="1440" w:right="1440" w:bottom="1440" w:left="1440" w:header="720" w:footer="720" w:gutter="0"/>
          <w:cols w:num="1" w:space="720"/>
        </w:sectPr>
      </w:pPr>
    </w:p>
    <w:bookmarkStart w:id="906" w:name="pg14411_144090"/>
    <w:bookmarkEnd w:id="906"/>
    <w:p>
      <w:pPr>
        <w:pStyle w:val="Heading4"/>
      </w:pPr>
      <w:bookmarkStart w:id="2737" w:name="_Toc1772"/>
      <w:r>
        <w:t>الفصل الثالث: المصادر الاولیة لعلم الرجال</w:t>
      </w:r>
      <w:bookmarkEnd w:id="2737"/>
    </w:p>
    <w:p>
      <w:pPr>
        <w:pStyle w:val="Heading5"/>
      </w:pPr>
      <w:bookmarkStart w:id="2738" w:name="_Toc1773"/>
      <w:r>
        <w:t>اشارة</w:t>
      </w:r>
      <w:bookmarkEnd w:id="2738"/>
    </w:p>
    <w:p>
      <w:pPr>
        <w:pStyle w:val="BookText"/>
      </w:pPr>
      <w:r>
        <w:rPr>
          <w:rFonts w:ascii="IRNazanin" w:hAnsi="IRNazanin" w:eastAsia="IRNazanin" w:cs="IRNazanin"/>
          <w:lang w:bidi="fa-IR"/>
          <w:color w:val="111111"/>
          <w:sz w:val="28"/>
          <w:szCs w:val="28"/>
          <w:rtl/>
        </w:rPr>
        <w:t xml:space="preserve">1 - الاصول الرجالیة الثمانیة.</w:t>
      </w:r>
    </w:p>
    <w:p>
      <w:pPr>
        <w:pStyle w:val="BookText"/>
      </w:pPr>
      <w:r>
        <w:rPr>
          <w:rFonts w:ascii="IRNazanin" w:hAnsi="IRNazanin" w:eastAsia="IRNazanin" w:cs="IRNazanin"/>
          <w:lang w:bidi="fa-IR"/>
          <w:color w:val="111111"/>
          <w:sz w:val="28"/>
          <w:szCs w:val="28"/>
          <w:rtl/>
        </w:rPr>
        <w:t xml:space="preserve">2 - رجال ابن الغضائری.</w:t>
      </w:r>
    </w:p>
    <w:p>
      <w:pPr>
        <w:pStyle w:val="BookText"/>
      </w:pPr>
      <w:r>
        <w:rPr>
          <w:rFonts w:ascii="IRNazanin" w:hAnsi="IRNazanin" w:eastAsia="IRNazanin" w:cs="IRNazanin"/>
          <w:lang w:bidi="fa-IR"/>
          <w:color w:val="111111"/>
          <w:sz w:val="28"/>
          <w:szCs w:val="28"/>
          <w:rtl/>
        </w:rPr>
        <w:t xml:space="preserve">[شماره صفحه واقعی : 53]
</w:t>
      </w:r>
    </w:p>
    <w:p>
      <w:pPr>
        <w:sectPr>
          <w:footerReference w:type="default" r:id="rId17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54]
</w:t>
      </w:r>
    </w:p>
    <w:p>
      <w:pPr>
        <w:sectPr>
          <w:footerReference w:type="default" r:id="rId1710"/>
          <w:footnotePr>
            <w:numStart w:val="1"/>
            <w:numRestart w:val="eachPage"/>
          </w:footnotePr>
          <w:pgSz w:orient="portrait" w:w="11905.511811023622" w:h="16837.79527559055"/>
          <w:pgMar w:top="1440" w:right="1440" w:bottom="1440" w:left="1440" w:header="720" w:footer="720" w:gutter="0"/>
          <w:cols w:num="1" w:space="720"/>
        </w:sectPr>
      </w:pPr>
    </w:p>
    <w:bookmarkStart w:id="907" w:name="pg14411_144092"/>
    <w:bookmarkEnd w:id="907"/>
    <w:p>
      <w:pPr>
        <w:pStyle w:val="Heading5"/>
      </w:pPr>
      <w:bookmarkStart w:id="2739" w:name="_Toc1774"/>
      <w:r>
        <w:t>1 - الاصول الرجالیة الثمانیة</w:t>
      </w:r>
      <w:bookmarkEnd w:id="2739"/>
    </w:p>
    <w:p>
      <w:pPr>
        <w:pStyle w:val="Heading6"/>
      </w:pPr>
      <w:bookmarkStart w:id="2740" w:name="_Toc1775"/>
      <w:r>
        <w:t>اشارة</w:t>
      </w:r>
      <w:bookmarkEnd w:id="274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رجال الکشی.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فهرس النجاشی.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رجال الشیخ و فهرسه.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رجال البرقی.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رسالة أبی غالب الزراری.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مشیخة الصدوق.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مشیخة الشیخ الطوسی.</w:t>
      </w:r>
    </w:p>
    <w:p>
      <w:pPr>
        <w:pStyle w:val="BookText"/>
      </w:pPr>
      <w:r>
        <w:rPr>
          <w:rFonts w:ascii="IRNazanin" w:hAnsi="IRNazanin" w:eastAsia="IRNazanin" w:cs="IRNazanin"/>
          <w:lang w:bidi="fa-IR"/>
          <w:color w:val="111111"/>
          <w:sz w:val="28"/>
          <w:szCs w:val="28"/>
          <w:rtl/>
        </w:rPr>
        <w:t xml:space="preserve">[شماره صفحه واقعی : 55]
</w:t>
      </w:r>
    </w:p>
    <w:p>
      <w:pPr>
        <w:sectPr>
          <w:footerReference w:type="default" r:id="rId17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56]
</w:t>
      </w:r>
    </w:p>
    <w:p>
      <w:pPr>
        <w:sectPr>
          <w:footerReference w:type="default" r:id="rId17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اهتمّ علماء الشیعة من عصر التّابعین إلی یومنا هذا بعلم الرجال، فألّفوا معاجم تتکفّل لبیان أحوال الرواة و بیان وثاقتهم أو ضعفهم، و أوّل تألیف ظهر لهم فی أوائل النصف الثانی من القرن الأوّل هو کتاب «عبید اللّه بن أبی رافع» کاتب أمیر المؤمنین - علیه السلام -، حیث دوّن أسماء الصّحابة الّذین شایعوا علیّا و حضروا حروبه و قاتلوا معه فی البصرة و صفّین و النهروان، و هو مع ذلک کتاب تاریخ و وقائع.</w:t>
      </w:r>
    </w:p>
    <w:p>
      <w:pPr>
        <w:pStyle w:val="BookText"/>
      </w:pPr>
      <w:r>
        <w:rPr>
          <w:rFonts w:ascii="IRNazanin" w:hAnsi="IRNazanin" w:eastAsia="IRNazanin" w:cs="IRNazanin"/>
          <w:lang w:bidi="fa-IR"/>
          <w:color w:val="111111"/>
          <w:sz w:val="28"/>
          <w:szCs w:val="28"/>
          <w:rtl/>
        </w:rPr>
        <w:t xml:space="preserve">و ألّف عبد اللّه بن جبلة الکنانی (المتوفّی عام 219) و ابن فضّال و ابن محبوب و غیرهم فی القرن الثانی إلی أوائل القرن الثالث، کتبا فی هذا المضمار، و استمرّ تدوین الرجال إلی أواخر القرن الرابع.</w:t>
      </w:r>
    </w:p>
    <w:p>
      <w:pPr>
        <w:pStyle w:val="BookText"/>
      </w:pPr>
      <w:r>
        <w:rPr>
          <w:rFonts w:ascii="IRNazanin" w:hAnsi="IRNazanin" w:eastAsia="IRNazanin" w:cs="IRNazanin"/>
          <w:lang w:bidi="fa-IR"/>
          <w:color w:val="111111"/>
          <w:sz w:val="28"/>
          <w:szCs w:val="28"/>
          <w:rtl/>
        </w:rPr>
        <w:t xml:space="preserve">و من المأسوف علیه، أنّه لم تصل هذه الکتب إلینا، و إنّما الموجود عندنا - و هو الّذی یعدّ الیوم اصول الکتب الرجالیة</w:t>
      </w:r>
      <w:r>
        <w:rPr>
          <w:rStyle w:val="FootnoteReference"/>
        </w:rPr>
        <w:footnoteReference w:id="5011"/>
      </w:r>
      <w:r>
        <w:rPr>
          <w:rFonts w:ascii="IRNazanin" w:hAnsi="IRNazanin" w:eastAsia="IRNazanin" w:cs="IRNazanin"/>
          <w:lang w:bidi="fa-IR"/>
          <w:color w:val="111111"/>
          <w:sz w:val="28"/>
          <w:szCs w:val="28"/>
          <w:rtl/>
        </w:rPr>
        <w:t xml:space="preserve">- ما دوّن فی القرنین الرابع و الخامس، و إلیک بیان تلک الکتب و الاصول الّتی علیها مدار علم الرجال، و إلیک أسماؤها و أسماء مؤلّفیها و بیان خصوصّیات مؤلّفاتهم.</w:t>
      </w:r>
    </w:p>
    <w:p>
      <w:pPr>
        <w:pStyle w:val="BookText"/>
      </w:pPr>
      <w:r>
        <w:rPr>
          <w:rFonts w:ascii="IRNazanin" w:hAnsi="IRNazanin" w:eastAsia="IRNazanin" w:cs="IRNazanin"/>
          <w:lang w:bidi="fa-IR"/>
          <w:color w:val="111111"/>
          <w:sz w:val="28"/>
          <w:szCs w:val="28"/>
          <w:rtl/>
        </w:rPr>
        <w:t xml:space="preserve">[شماره صفحه واقعی : 57]
</w:t>
      </w:r>
    </w:p>
    <w:p>
      <w:pPr>
        <w:sectPr>
          <w:footerReference w:type="default" r:id="rId1713"/>
          <w:footnotePr>
            <w:numStart w:val="1"/>
            <w:numRestart w:val="eachPage"/>
          </w:footnotePr>
          <w:pgSz w:orient="portrait" w:w="11905.511811023622" w:h="16837.79527559055"/>
          <w:pgMar w:top="1440" w:right="1440" w:bottom="1440" w:left="1440" w:header="720" w:footer="720" w:gutter="0"/>
          <w:cols w:num="1" w:space="720"/>
        </w:sectPr>
      </w:pPr>
    </w:p>
    <w:bookmarkStart w:id="908" w:name="pg14411_144095"/>
    <w:bookmarkEnd w:id="908"/>
    <w:p>
      <w:pPr>
        <w:pStyle w:val="Heading6"/>
      </w:pPr>
      <w:bookmarkStart w:id="2741" w:name="_Toc1776"/>
      <w:r>
        <w:t>1 - رجال الکشّی</w:t>
      </w:r>
      <w:bookmarkEnd w:id="2741"/>
    </w:p>
    <w:p>
      <w:pPr>
        <w:pStyle w:val="Heading6"/>
      </w:pPr>
      <w:bookmarkStart w:id="2742" w:name="_Toc1777"/>
      <w:r>
        <w:t>اشارة</w:t>
      </w:r>
      <w:bookmarkEnd w:id="2742"/>
    </w:p>
    <w:p>
      <w:pPr>
        <w:pStyle w:val="BookText"/>
      </w:pPr>
      <w:r>
        <w:rPr>
          <w:rFonts w:ascii="IRNazanin" w:hAnsi="IRNazanin" w:eastAsia="IRNazanin" w:cs="IRNazanin"/>
          <w:lang w:bidi="fa-IR"/>
          <w:color w:val="111111"/>
          <w:sz w:val="28"/>
          <w:szCs w:val="28"/>
          <w:rtl/>
        </w:rPr>
        <w:t xml:space="preserve">هو تألیف محمّد بن عمر بن عبد العزیز المعروف بالکشّی، و الکشّ - بالفتح و التّشدید - بلد معروف علی مراحل من سمرقند، خرج منه کثیر من مشایخنا و علمائنا، غیر أنّ النّجاشی ضبطه بضمّ الکاف، و لکن الفاضل المهندس البرجندی ضبطه فی کتابه المعروف «مساحة الأرض و البلدان و الأقالیم» بفتح الکاف و تشدید الشّین، و قال: «بلد من بلاد ماوراء النّهر و هو ثلاثة فراسخ فی ثلاثة فراسخ».</w:t>
      </w:r>
    </w:p>
    <w:p>
      <w:pPr>
        <w:pStyle w:val="BookText"/>
      </w:pPr>
      <w:r>
        <w:rPr>
          <w:rFonts w:ascii="IRNazanin" w:hAnsi="IRNazanin" w:eastAsia="IRNazanin" w:cs="IRNazanin"/>
          <w:lang w:bidi="fa-IR"/>
          <w:color w:val="111111"/>
          <w:sz w:val="28"/>
          <w:szCs w:val="28"/>
          <w:rtl/>
        </w:rPr>
        <w:t xml:space="preserve">و علی کلّ تقدیر؛ فالکشّی من عیون الثّقات و العلماء و الأثبات. قال النّجاشی: «محمّد بن عمر بن عبد العزیز الکشّی أبو عمرو، کان ثقة عینا و روی عن الضّعفاء کثیرا، و صحب العیّاشی و أخذ عنه و تخرّج علیه فی داره الّتی کان مرتعا للشّیعة و أهل العلم، له کتاب الرجال، کثیر العلم و فیه أغلاط کثیرة»</w:t>
      </w:r>
      <w:r>
        <w:rPr>
          <w:rStyle w:val="FootnoteReference"/>
        </w:rPr>
        <w:footnoteReference w:id="50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الشیخ فی الفهرس: «ثقة بصیر بالأخبار و الرّجال، حسن الاعتقاد، له کتاب الرجال»</w:t>
      </w:r>
      <w:r>
        <w:rPr>
          <w:rStyle w:val="FootnoteReference"/>
        </w:rPr>
        <w:footnoteReference w:id="50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فی رجاله: «ثقة بصیر بالرجال و الأخبار، مستقیم المذهب»</w:t>
      </w:r>
      <w:r>
        <w:rPr>
          <w:rStyle w:val="FootnoteReference"/>
        </w:rPr>
        <w:footnoteReference w:id="50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استاذه العیّاشی أبو النّضر محمّد بن مسعود بن محمّد بن عیّاش السلمی السمرقندی المعروف بالعیّاشی، فهو ثقة صدوق عین من عیون هذه الطائفة... قال لنا أبو جعفر الزاهد: أنفق أبو النّضر علی العلم و الحدیث ترکة أبیه و سائرها و کانت ثلاثمائة ألف دینار و کانت داره کالمسجد بین ناسخ أو</w:t>
      </w:r>
    </w:p>
    <w:p>
      <w:pPr>
        <w:pStyle w:val="BookText"/>
      </w:pPr>
      <w:r>
        <w:rPr>
          <w:rFonts w:ascii="IRNazanin" w:hAnsi="IRNazanin" w:eastAsia="IRNazanin" w:cs="IRNazanin"/>
          <w:lang w:bidi="fa-IR"/>
          <w:color w:val="111111"/>
          <w:sz w:val="28"/>
          <w:szCs w:val="28"/>
          <w:rtl/>
        </w:rPr>
        <w:t xml:space="preserve">[شماره صفحه واقعی : 58]
</w:t>
      </w:r>
    </w:p>
    <w:p>
      <w:pPr>
        <w:sectPr>
          <w:footerReference w:type="default" r:id="rId1714"/>
          <w:footnotePr>
            <w:numStart w:val="1"/>
            <w:numRestart w:val="eachPage"/>
          </w:footnotePr>
          <w:pgSz w:orient="portrait" w:w="11905.511811023622" w:h="16837.79527559055"/>
          <w:pgMar w:top="1440" w:right="1440" w:bottom="1440" w:left="1440" w:header="720" w:footer="720" w:gutter="0"/>
          <w:cols w:num="1" w:space="720"/>
        </w:sectPr>
      </w:pPr>
    </w:p>
    <w:bookmarkStart w:id="909" w:name="pg14411_144096"/>
    <w:bookmarkEnd w:id="909"/>
    <w:p>
      <w:pPr>
        <w:pStyle w:val="BookText"/>
      </w:pPr>
      <w:r>
        <w:rPr>
          <w:rFonts w:ascii="IRNazanin" w:hAnsi="IRNazanin" w:eastAsia="IRNazanin" w:cs="IRNazanin"/>
          <w:lang w:bidi="fa-IR"/>
          <w:color w:val="111111"/>
          <w:sz w:val="28"/>
          <w:szCs w:val="28"/>
          <w:rtl/>
        </w:rPr>
        <w:t xml:space="preserve">مقابل أو قاریء أو معلّق، مملوءة من الناس</w:t>
      </w:r>
      <w:r>
        <w:rPr>
          <w:rStyle w:val="FootnoteReference"/>
        </w:rPr>
        <w:footnoteReference w:id="5015"/>
      </w:r>
      <w:r>
        <w:rPr>
          <w:rFonts w:ascii="IRNazanin" w:hAnsi="IRNazanin" w:eastAsia="IRNazanin" w:cs="IRNazanin"/>
          <w:lang w:bidi="fa-IR"/>
          <w:color w:val="111111"/>
          <w:sz w:val="28"/>
          <w:szCs w:val="28"/>
          <w:rtl/>
        </w:rPr>
        <w:t xml:space="preserve">و له کتب تتجاوز علی مائتین.</w:t>
      </w:r>
    </w:p>
    <w:p>
      <w:pPr>
        <w:pStyle w:val="BookText"/>
      </w:pPr>
      <w:r>
        <w:rPr>
          <w:rFonts w:ascii="IRNazanin" w:hAnsi="IRNazanin" w:eastAsia="IRNazanin" w:cs="IRNazanin"/>
          <w:lang w:bidi="fa-IR"/>
          <w:color w:val="111111"/>
          <w:sz w:val="28"/>
          <w:szCs w:val="28"/>
          <w:rtl/>
        </w:rPr>
        <w:t xml:space="preserve">و قد أسمی الکشّی کتابه الرجال ب «معرفة الرجال» کما یظهر من الشّیخ فی ترجمة أحمد بن داود بن سعید الفزاری</w:t>
      </w:r>
      <w:r>
        <w:rPr>
          <w:rStyle w:val="FootnoteReference"/>
        </w:rPr>
        <w:footnoteReference w:id="50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ربّما یقال بأنّه أسماه ب «معرفة الناقلین عن الأئمّة الصادقین» أو «معرفة الناقلین» فقط، و قد کان هذا الکتاب موجودا عند السید ابن طاووس، لأنّه تصدّی بترتیب هذا الکتاب و تبویبه و ضمّه الی کتب اخری من الکتب الرجالیّة و أسماه ب «حلّ الأشکال فی معرفة الرجال» و کان موجودا عند الشهید الثانی، و لکنّ الموجود من کتاب الکشّی فی هذه الأعصار، هو الّذی اختصره الشّیخ مسقطا منه الزّوائد، و أسماه ب «اختیار الرجال»، و قد عدّه الشیخ من جملة کتبه، و علی کلّ تقدیر فهذا الکتاب طبع فی الهند و غیره، و طبع فی النّجف الأشرف و قد فهرس الناشر أسماء الرواة علی ترتیب حروف المعجم. و قام اخیرا المتتبّع المحقّق الشیخ حسن المصطفوی بتحقیقه تحقیقا رائعا و فهرس له فهارس قیّمة - شکر اللّه مساعیه -.</w:t>
      </w:r>
    </w:p>
    <w:p>
      <w:pPr>
        <w:pStyle w:val="Heading6"/>
      </w:pPr>
      <w:bookmarkStart w:id="2743" w:name="_Toc1778"/>
      <w:r>
        <w:t>کیفیة تهذیب رجال الکشی</w:t>
      </w:r>
      <w:bookmarkEnd w:id="2743"/>
    </w:p>
    <w:p>
      <w:pPr>
        <w:pStyle w:val="BookText"/>
      </w:pPr>
      <w:r>
        <w:rPr>
          <w:rFonts w:ascii="IRNazanin" w:hAnsi="IRNazanin" w:eastAsia="IRNazanin" w:cs="IRNazanin"/>
          <w:lang w:bidi="fa-IR"/>
          <w:color w:val="111111"/>
          <w:sz w:val="28"/>
          <w:szCs w:val="28"/>
          <w:rtl/>
        </w:rPr>
        <w:t xml:space="preserve">قال القهبائی: «إنّ الأصل کان فی رجال العامّة و الخاصّة فاختار منه الشیخ، الخاصّة»</w:t>
      </w:r>
      <w:r>
        <w:rPr>
          <w:rStyle w:val="FootnoteReference"/>
        </w:rPr>
        <w:footnoteReference w:id="50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الظّاهر عدم تمامیّته، لأنّه ذکر فیه جمعا من العامّة رووا عن أئمّتنا</w:t>
      </w:r>
    </w:p>
    <w:p>
      <w:pPr>
        <w:pStyle w:val="BookText"/>
      </w:pPr>
      <w:r>
        <w:rPr>
          <w:rFonts w:ascii="IRNazanin" w:hAnsi="IRNazanin" w:eastAsia="IRNazanin" w:cs="IRNazanin"/>
          <w:lang w:bidi="fa-IR"/>
          <w:color w:val="111111"/>
          <w:sz w:val="28"/>
          <w:szCs w:val="28"/>
          <w:rtl/>
        </w:rPr>
        <w:t xml:space="preserve">[شماره صفحه واقعی : 59]
</w:t>
      </w:r>
    </w:p>
    <w:p>
      <w:pPr>
        <w:sectPr>
          <w:footerReference w:type="default" r:id="rId1715"/>
          <w:footnotePr>
            <w:numStart w:val="1"/>
            <w:numRestart w:val="eachPage"/>
          </w:footnotePr>
          <w:pgSz w:orient="portrait" w:w="11905.511811023622" w:h="16837.79527559055"/>
          <w:pgMar w:top="1440" w:right="1440" w:bottom="1440" w:left="1440" w:header="720" w:footer="720" w:gutter="0"/>
          <w:cols w:num="1" w:space="720"/>
        </w:sectPr>
      </w:pPr>
    </w:p>
    <w:bookmarkStart w:id="910" w:name="pg14411_144097"/>
    <w:bookmarkEnd w:id="910"/>
    <w:p>
      <w:pPr>
        <w:pStyle w:val="BookText"/>
      </w:pPr>
      <w:r>
        <w:rPr>
          <w:rFonts w:ascii="IRNazanin" w:hAnsi="IRNazanin" w:eastAsia="IRNazanin" w:cs="IRNazanin"/>
          <w:lang w:bidi="fa-IR"/>
          <w:color w:val="111111"/>
          <w:sz w:val="28"/>
          <w:szCs w:val="28"/>
          <w:rtl/>
        </w:rPr>
        <w:t xml:space="preserve">کمحمّد بن إسحاق، و محمّد بن المنکدر، و عمرو بن خالد، و عمرو بن جمیع، و عمرو بن قیس، و حفص بن غیاث، و الحسین بن علوان، و عبد الملک بن جریج، و قیس بن الربیع، و مسعدة بن صدقة، و عبّاد بن صهیب، و أبی المقدام، و کثیر النّوا، و یوسف بن الحرث، و عبد اللّه البرقی</w:t>
      </w:r>
      <w:r>
        <w:rPr>
          <w:rStyle w:val="FootnoteReference"/>
        </w:rPr>
        <w:footnoteReference w:id="50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الظّاهر أنّ تنقیحه کان بصورة تجریده عن الهفوات و الاشتباهات الّتی یظهر من النجاشی وجودها فیه.</w:t>
      </w:r>
    </w:p>
    <w:p>
      <w:pPr>
        <w:pStyle w:val="BookText"/>
      </w:pPr>
      <w:r>
        <w:rPr>
          <w:rFonts w:ascii="IRNazanin" w:hAnsi="IRNazanin" w:eastAsia="IRNazanin" w:cs="IRNazanin"/>
          <w:lang w:bidi="fa-IR"/>
          <w:color w:val="111111"/>
          <w:sz w:val="28"/>
          <w:szCs w:val="28"/>
          <w:rtl/>
        </w:rPr>
        <w:t xml:space="preserve">ان الخصوصیة التی تمیّز هذا الکتاب عن سائر ما ألّف فی هذا المضمار عبارة عن التّرکیز علی نقل الروایات المربوطة بالرواة الّتی یقدر القاریء بالامعان فیها علی تمییز الثقة عن الضعیف و قد ألّفه علی نهج الطبقات مبتدءا بأصحاب الرسول و الوصیّ إلی أن یصل إلی أصحاب الهادی و العسکری - علیهما السلام - ثم الی الذین یلونهم و هو بین الشیعة کطبقات ابن سعد بین السنّة.</w:t>
      </w:r>
    </w:p>
    <w:p>
      <w:pPr>
        <w:pStyle w:val="Heading6"/>
      </w:pPr>
      <w:bookmarkStart w:id="2744" w:name="_Toc1779"/>
      <w:r>
        <w:t>2 - فهرس النجاشی</w:t>
      </w:r>
      <w:bookmarkEnd w:id="2744"/>
    </w:p>
    <w:p>
      <w:pPr>
        <w:pStyle w:val="BookText"/>
      </w:pPr>
      <w:r>
        <w:rPr>
          <w:rFonts w:ascii="IRNazanin" w:hAnsi="IRNazanin" w:eastAsia="IRNazanin" w:cs="IRNazanin"/>
          <w:lang w:bidi="fa-IR"/>
          <w:color w:val="111111"/>
          <w:sz w:val="28"/>
          <w:szCs w:val="28"/>
          <w:rtl/>
        </w:rPr>
        <w:t xml:space="preserve">هو تألیف الثّبت البصیر الشیخ أبی العبّاس</w:t>
      </w:r>
      <w:r>
        <w:rPr>
          <w:rStyle w:val="FootnoteReference"/>
        </w:rPr>
        <w:footnoteReference w:id="5019"/>
      </w:r>
      <w:r>
        <w:rPr>
          <w:rFonts w:ascii="IRNazanin" w:hAnsi="IRNazanin" w:eastAsia="IRNazanin" w:cs="IRNazanin"/>
          <w:lang w:bidi="fa-IR"/>
          <w:color w:val="111111"/>
          <w:sz w:val="28"/>
          <w:szCs w:val="28"/>
          <w:rtl/>
        </w:rPr>
        <w:t xml:space="preserve">أحمد بن علی بن أحمد بن العباس، الشهیر بالنّجاشی، و قد ترجم نفسه فی نفس الکتاب و قال: «أحمد بن علی بن أحمد بن العباس بن محمّد بن عبد اللّه بن ابراهیم بن محمد بن عبد اللّه بن النجاشی، الّذی ولی الأهواز و کتب إلی أبی عبد اللّه - علیه السلام - یسأله و کتب إلیه رسالة عبد اللّه بن النجاشی المعروفة</w:t>
      </w:r>
      <w:r>
        <w:rPr>
          <w:rStyle w:val="FootnoteReference"/>
        </w:rPr>
        <w:footnoteReference w:id="5020"/>
      </w:r>
      <w:r>
        <w:rPr>
          <w:rFonts w:ascii="IRNazanin" w:hAnsi="IRNazanin" w:eastAsia="IRNazanin" w:cs="IRNazanin"/>
          <w:lang w:bidi="fa-IR"/>
          <w:color w:val="111111"/>
          <w:sz w:val="28"/>
          <w:szCs w:val="28"/>
          <w:rtl/>
        </w:rPr>
        <w:t xml:space="preserve">و لم یر لأبی عبد اللّه - علیه السلام - مصنّف غیره.</w:t>
      </w:r>
    </w:p>
    <w:p>
      <w:pPr>
        <w:pStyle w:val="BookText"/>
      </w:pPr>
      <w:r>
        <w:rPr>
          <w:rFonts w:ascii="IRNazanin" w:hAnsi="IRNazanin" w:eastAsia="IRNazanin" w:cs="IRNazanin"/>
          <w:lang w:bidi="fa-IR"/>
          <w:color w:val="111111"/>
          <w:sz w:val="28"/>
          <w:szCs w:val="28"/>
          <w:rtl/>
        </w:rPr>
        <w:t xml:space="preserve">[شماره صفحه واقعی : 60]
</w:t>
      </w:r>
    </w:p>
    <w:p>
      <w:pPr>
        <w:sectPr>
          <w:footerReference w:type="default" r:id="rId17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مصنّف هذا الکتاب له کتاب «الجمعة و ما ورد فیه من الأعمال»، و کتاب «الکوفة و ما فیها من الآثار و الفضائل»، و کتاب «أنساب بنی نصر بن قعین و أیّامهم و أشعارهم»، و کتاب «مختصر الأنوار» و «مواضع النّجوم الّتی سمّتها العرب»</w:t>
      </w:r>
      <w:r>
        <w:rPr>
          <w:rStyle w:val="FootnoteReference"/>
        </w:rPr>
        <w:footnoteReference w:id="50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ذکر فی دیباجة الکتاب، الحوافز الّتی دعته إلی تألیف فهرسه و قال:</w:t>
      </w:r>
    </w:p>
    <w:p>
      <w:pPr>
        <w:pStyle w:val="BookText"/>
      </w:pPr>
      <w:r>
        <w:rPr>
          <w:rFonts w:ascii="IRNazanin" w:hAnsi="IRNazanin" w:eastAsia="IRNazanin" w:cs="IRNazanin"/>
          <w:lang w:bidi="fa-IR"/>
          <w:color w:val="111111"/>
          <w:sz w:val="28"/>
          <w:szCs w:val="28"/>
          <w:rtl/>
        </w:rPr>
        <w:t xml:space="preserve">«فإنّی وقفت علی ما ذکره السید الشّریف - أطال اللّه بقاه و أدام توفیقه - من تعییر قوم من مخالفینا أنّه لا سلف لکم و لا مصنّف، و هذا قول من لا علم له بالناس.</w:t>
      </w:r>
    </w:p>
    <w:p>
      <w:pPr>
        <w:pStyle w:val="BookText"/>
      </w:pPr>
      <w:r>
        <w:rPr>
          <w:rFonts w:ascii="IRNazanin" w:hAnsi="IRNazanin" w:eastAsia="IRNazanin" w:cs="IRNazanin"/>
          <w:lang w:bidi="fa-IR"/>
          <w:color w:val="111111"/>
          <w:sz w:val="28"/>
          <w:szCs w:val="28"/>
          <w:rtl/>
        </w:rPr>
        <w:t xml:space="preserve">و لا وقف علی أخبارهم، و لا عرف منازلهم و تاریخ أخبار أهل العلم، و لا لقی أحدا فیعرف منه و لا حجّة علینا لمن لا یعلم و لا عرف، و قد جمعت من ذلک ما استطعته و لم أبلغ غایته، لعدم أکثر الکتب، و إنّما ذکرت ذلک عذرا إلی من وقع إلیه کتاب لم أذکره... إلی أن قال: علی أنّ لأصحابنا - رحمهم اللّه - فی بعض هذا الفنّ کتبا لیست مستغرقة لجمیع ما رسم، و أرجو أن یأتی فی ذلک علی ما رسم و حدّ إن شاء اللّه، و ذکرت لکلّ رجل طریقا واحدا حتّی لا یکثر الطّرق فیخرج عن الغرض»</w:t>
      </w:r>
      <w:r>
        <w:rPr>
          <w:rStyle w:val="FootnoteReference"/>
        </w:rPr>
        <w:footnoteReference w:id="50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الرجل نقّاد هذا الفنّ و من أجلاّئه و أعیانه، و حاز قصب السبق فی میدانه، قال العلاّمة فی الخلاصة: «ثقة معتمد علیه، له کتاب الرجال نقلنا منه فی کتابنا هذا و غیره أشیاء کثیرة، و توفّی بمطیر آباد فی جمادی الاولی سنة خمسین و أربعمائة و کان مولده فی صفر سنة اثنتین و سبعین و ثلاثمائة»</w:t>
      </w:r>
      <w:r>
        <w:rPr>
          <w:rStyle w:val="FootnoteReference"/>
        </w:rPr>
        <w:footnoteReference w:id="50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اعتمد علیه المحقّق فی کتاب المعتبر. فقد قال فی غسالة ماء الحمّام: «و ابن جمهور ضعیف جدّا، ذکر ذلک النجاشی فی کتاب الرجال»</w:t>
      </w:r>
      <w:r>
        <w:rPr>
          <w:rStyle w:val="FootnoteReference"/>
        </w:rPr>
        <w:footnoteReference w:id="50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61]
</w:t>
      </w:r>
    </w:p>
    <w:p>
      <w:pPr>
        <w:sectPr>
          <w:footerReference w:type="default" r:id="rId17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أطراه کلّ من تعرّض له، فهو أبو عذر هذا الأمر و سابق حلبته کما لا یخفی، و لکتابه هذا امتیازات نشیر الیها:</w:t>
      </w:r>
    </w:p>
    <w:p>
      <w:pPr>
        <w:pStyle w:val="BookText"/>
      </w:pPr>
      <w:r>
        <w:rPr>
          <w:rFonts w:ascii="IRNazanin" w:hAnsi="IRNazanin" w:eastAsia="IRNazanin" w:cs="IRNazanin"/>
          <w:lang w:bidi="fa-IR"/>
          <w:color w:val="111111"/>
          <w:sz w:val="28"/>
          <w:szCs w:val="28"/>
          <w:rtl/>
        </w:rPr>
        <w:t xml:space="preserve">الاول: اختصاصه برجال الشیعة کما ذکره فی مقدّمته، و لا یذکر من غیر الشیعی إلاّ إذا کان عامیا روی عنّا، أو صنّف لنا فیذکره مع التنبیه علیه، کالمدائنی و الطّبری، و کذا فی شیعیّ غیر إمامی فیصرّح کثیرا و قد یسکت.</w:t>
      </w:r>
    </w:p>
    <w:p>
      <w:pPr>
        <w:pStyle w:val="BookText"/>
      </w:pPr>
      <w:r>
        <w:rPr>
          <w:rFonts w:ascii="IRNazanin" w:hAnsi="IRNazanin" w:eastAsia="IRNazanin" w:cs="IRNazanin"/>
          <w:lang w:bidi="fa-IR"/>
          <w:color w:val="111111"/>
          <w:sz w:val="28"/>
          <w:szCs w:val="28"/>
          <w:rtl/>
        </w:rPr>
        <w:t xml:space="preserve">الثانی: تعرّضه لجرح الرواة و تعدیلهم غالبا استقلالا أو استطرادا، و ربّ رجل وثّقه فی ضمن ترجمة الغیر، و ربما أعرض عن التعرّض بشیء من الوثاقة و الضّعف فی حقّ بعض من ترجمهم.</w:t>
      </w:r>
    </w:p>
    <w:p>
      <w:pPr>
        <w:pStyle w:val="BookText"/>
      </w:pPr>
      <w:r>
        <w:rPr>
          <w:rFonts w:ascii="IRNazanin" w:hAnsi="IRNazanin" w:eastAsia="IRNazanin" w:cs="IRNazanin"/>
          <w:lang w:bidi="fa-IR"/>
          <w:color w:val="111111"/>
          <w:sz w:val="28"/>
          <w:szCs w:val="28"/>
          <w:rtl/>
        </w:rPr>
        <w:t xml:space="preserve">نعم، ربّما یقال: کلّ من أهمل فیه القول فذلک آیة أنّ الرجل عنده سالم عن کلّ مغمز و مطعن، و لکنّه غیر ثابت، حیث إنّ کتابه لیس إلاّ مجرّد فهرس لمن صنّف من الشیعة أو صنّف لهم دون الممدوحین و المذمومین، و لیس یجب علی مؤلّف حول الرجال، أن یتعرّض للمدح و الّذم، فسکوته لیس دلیلا علی المدح و لا علی کونه شیعیّا إمامیا، و إن کان الکتاب موضوعا لبیان الشیعی أو من صنّف لهم، لکنّ الأخیر (عدم دلالته علی کونه شیعیا إمامیا) موضع تأمّل، لتصریحه بأنّ الکتاب لبیان تألیف الأصحاب و مصنّفاتهم، فما دام لم یصرّح بالخلاف یکون الأصل کونه إمامیّا.</w:t>
      </w:r>
    </w:p>
    <w:p>
      <w:pPr>
        <w:pStyle w:val="BookText"/>
      </w:pPr>
      <w:r>
        <w:rPr>
          <w:rFonts w:ascii="IRNazanin" w:hAnsi="IRNazanin" w:eastAsia="IRNazanin" w:cs="IRNazanin"/>
          <w:lang w:bidi="fa-IR"/>
          <w:color w:val="111111"/>
          <w:sz w:val="28"/>
          <w:szCs w:val="28"/>
          <w:rtl/>
        </w:rPr>
        <w:t xml:space="preserve">الثالث: تثبّته فی مقالاته و تأمّله فی إفاداته، و المعروف أنّه أثبت علماء الرجال و أضبطهم و أضبط من الشّیخ و العلاّمة، لأنّ البناء علی کثرة التألیف یقتضی قلّة التأمّل. و هذا الکلام و إن کان غیر خال عن التأمّل لکنّه جار علی الغالب.</w:t>
      </w:r>
    </w:p>
    <w:p>
      <w:pPr>
        <w:pStyle w:val="BookText"/>
      </w:pPr>
      <w:r>
        <w:rPr>
          <w:rFonts w:ascii="IRNazanin" w:hAnsi="IRNazanin" w:eastAsia="IRNazanin" w:cs="IRNazanin"/>
          <w:lang w:bidi="fa-IR"/>
          <w:color w:val="111111"/>
          <w:sz w:val="28"/>
          <w:szCs w:val="28"/>
          <w:rtl/>
        </w:rPr>
        <w:t xml:space="preserve">الرابع: سعة معرفته بهذا الفنّ، و کثرة اطّلاعه بالأشخاص، و ما یتعلّق بهم من الأوصاف و الأنساب و ما یجری مجراهما، و من تتبّع کلامه عند ذکر الأشخاص یقف علی نهایة معرفته بأحوال الرجال و شدّة إحاطته بما یتعلّق بهذا</w:t>
      </w:r>
    </w:p>
    <w:p>
      <w:pPr>
        <w:pStyle w:val="BookText"/>
      </w:pPr>
      <w:r>
        <w:rPr>
          <w:rFonts w:ascii="IRNazanin" w:hAnsi="IRNazanin" w:eastAsia="IRNazanin" w:cs="IRNazanin"/>
          <w:lang w:bidi="fa-IR"/>
          <w:color w:val="111111"/>
          <w:sz w:val="28"/>
          <w:szCs w:val="28"/>
          <w:rtl/>
        </w:rPr>
        <w:t xml:space="preserve">[شماره صفحه واقعی : 62]
</w:t>
      </w:r>
    </w:p>
    <w:p>
      <w:pPr>
        <w:sectPr>
          <w:footerReference w:type="default" r:id="rId17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المجال من جهة معاصرته و معاشرته لغیر واحد منهم، کما یشهد استطرافه ذکر امور لا یطّلع علیها إلاّ المصاحب و لا یعرفها عدا المراقب الواجد</w:t>
      </w:r>
      <w:r>
        <w:rPr>
          <w:rStyle w:val="FootnoteReference"/>
        </w:rPr>
        <w:footnoteReference w:id="50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حصل له ذاک الاطّلاع الواسع بصحبته کثیرا من العارفین بالرجال کالشیخ أحمد بن الحسین الغضائری، و الشیخ أحمد بن علی بن عباس بن نوح السیرافی</w:t>
      </w:r>
      <w:r>
        <w:rPr>
          <w:rStyle w:val="FootnoteReference"/>
        </w:rPr>
        <w:footnoteReference w:id="5026"/>
      </w:r>
      <w:r>
        <w:rPr>
          <w:rFonts w:ascii="IRNazanin" w:hAnsi="IRNazanin" w:eastAsia="IRNazanin" w:cs="IRNazanin"/>
          <w:lang w:bidi="fa-IR"/>
          <w:color w:val="111111"/>
          <w:sz w:val="28"/>
          <w:szCs w:val="28"/>
          <w:rtl/>
        </w:rPr>
        <w:t xml:space="preserve">، و أحمد بن محمد «ابن الجندی»</w:t>
      </w:r>
      <w:r>
        <w:rPr>
          <w:rStyle w:val="FootnoteReference"/>
        </w:rPr>
        <w:footnoteReference w:id="5027"/>
      </w:r>
      <w:r>
        <w:rPr>
          <w:rFonts w:ascii="IRNazanin" w:hAnsi="IRNazanin" w:eastAsia="IRNazanin" w:cs="IRNazanin"/>
          <w:lang w:bidi="fa-IR"/>
          <w:color w:val="111111"/>
          <w:sz w:val="28"/>
          <w:szCs w:val="28"/>
          <w:rtl/>
        </w:rPr>
        <w:t xml:space="preserve">، و أبی الفرج محمّد بن علی ابن یعقوب بن اسحاق بن أبی قرّة الکاتب</w:t>
      </w:r>
      <w:r>
        <w:rPr>
          <w:rStyle w:val="FootnoteReference"/>
        </w:rPr>
        <w:footnoteReference w:id="5028"/>
      </w:r>
      <w:r>
        <w:rPr>
          <w:rFonts w:ascii="Amiri" w:hAnsi="Amiri" w:eastAsia="Amiri" w:cs="Amiri"/>
          <w:lang w:bidi="ar-SA"/>
          <w:color w:val="111111"/>
          <w:sz w:val="28"/>
          <w:szCs w:val="28"/>
          <w:rtl/>
        </w:rPr>
        <w:t xml:space="preserve">و غیره من نقّاد هذا الفنّ و أجلاّئه</w:t>
      </w:r>
      <w:r>
        <w:rPr>
          <w:rStyle w:val="FootnoteReference"/>
        </w:rPr>
        <w:footnoteReference w:id="50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الخامس: أنّه ألّف فهرسه بعد فهرس الشیخ الطوسی بشهادة أنّه ترجمه و ذکر فیه فهرس الشیخ</w:t>
      </w:r>
      <w:r>
        <w:rPr>
          <w:rStyle w:val="FootnoteReference"/>
        </w:rPr>
        <w:footnoteReference w:id="5030"/>
      </w:r>
      <w:r>
        <w:rPr>
          <w:rFonts w:ascii="IRNazanin" w:hAnsi="IRNazanin" w:eastAsia="IRNazanin" w:cs="IRNazanin"/>
          <w:lang w:bidi="fa-IR"/>
          <w:color w:val="111111"/>
          <w:sz w:val="28"/>
          <w:szCs w:val="28"/>
          <w:rtl/>
        </w:rPr>
        <w:t xml:space="preserve">و السابر فی فهرس النجاشی یقف علی أنه کان ناظرا لفهرس معاصره و لعلّ بعض ما جاء فیه مخالفا لما فی فهرس الشیخ کان لغایة التصحیح و کان المحقّق البروجردی - قدّس سرّه - یعتقد بأنّ فهرس النجاشی کالذیل لفهرس الشیخ.</w:t>
      </w:r>
    </w:p>
    <w:p>
      <w:pPr>
        <w:pStyle w:val="BookText"/>
      </w:pPr>
      <w:r>
        <w:rPr>
          <w:rFonts w:ascii="IRNazanin" w:hAnsi="IRNazanin" w:eastAsia="IRNazanin" w:cs="IRNazanin"/>
          <w:lang w:bidi="fa-IR"/>
          <w:color w:val="111111"/>
          <w:sz w:val="28"/>
          <w:szCs w:val="28"/>
          <w:rtl/>
        </w:rPr>
        <w:t xml:space="preserve">و أخیرا نقول: إنّ المعروف فی وفاته هو أنّه توفّی عام 450، و نص علیه العلاّمة فی خلاصته، لکن القاریء یجد فی طیّات الکتاب أنّه أرّخ فیه وفاة محمد بن الحسن بن حمزة الجعفری عام 463</w:t>
      </w:r>
      <w:r>
        <w:rPr>
          <w:rStyle w:val="FootnoteReference"/>
        </w:rPr>
        <w:footnoteReference w:id="5031"/>
      </w:r>
      <w:r>
        <w:rPr>
          <w:rFonts w:ascii="IRNazanin" w:hAnsi="IRNazanin" w:eastAsia="IRNazanin" w:cs="IRNazanin"/>
          <w:lang w:bidi="fa-IR"/>
          <w:color w:val="111111"/>
          <w:sz w:val="28"/>
          <w:szCs w:val="28"/>
          <w:rtl/>
        </w:rPr>
        <w:t xml:space="preserve">. و لازم ذلک أن یکون حیّا إلی هذه السنة، و من المحتمل أن یکون الزیادة من النسّاخ أو القرّاء، و کانت</w:t>
      </w:r>
    </w:p>
    <w:p>
      <w:pPr>
        <w:pStyle w:val="BookText"/>
      </w:pPr>
      <w:r>
        <w:rPr>
          <w:rFonts w:ascii="IRNazanin" w:hAnsi="IRNazanin" w:eastAsia="IRNazanin" w:cs="IRNazanin"/>
          <w:lang w:bidi="fa-IR"/>
          <w:color w:val="111111"/>
          <w:sz w:val="28"/>
          <w:szCs w:val="28"/>
          <w:rtl/>
        </w:rPr>
        <w:t xml:space="preserve">[شماره صفحه واقعی : 63]
</w:t>
      </w:r>
    </w:p>
    <w:p>
      <w:pPr>
        <w:sectPr>
          <w:footerReference w:type="default" r:id="rId17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الزیادة فی الحاشیة، ثمّ أدخلها المتأخّرون من النسّاخ فی المتن زاعمین أنّه منه کما اتّفق ذلک فی غیر مورد.</w:t>
      </w:r>
    </w:p>
    <w:p>
      <w:pPr>
        <w:pStyle w:val="BookText"/>
      </w:pPr>
      <w:r>
        <w:rPr>
          <w:rFonts w:ascii="IRNazanin" w:hAnsi="IRNazanin" w:eastAsia="IRNazanin" w:cs="IRNazanin"/>
          <w:lang w:bidi="fa-IR"/>
          <w:color w:val="111111"/>
          <w:sz w:val="28"/>
          <w:szCs w:val="28"/>
          <w:rtl/>
        </w:rPr>
        <w:t xml:space="preserve">ثمّ إنّ الشیخ النجاشی قد ترجم عدّة من الرواة و وثّقهم فی غیر تراجمهم، کما أنّه لم یترجم عدّة من الرواة مستقلاّ، و لکن وثّقهم فی تراجم غیرهم، و لأجل إکمال البحث عقدنا العنوانین التالیین لئلاّ یفوت القاریء فهرس الموثوقین فی تراجم غیرهم.</w:t>
      </w:r>
    </w:p>
    <w:p>
      <w:pPr>
        <w:pStyle w:val="BookText"/>
      </w:pPr>
      <w:r>
        <w:rPr>
          <w:rFonts w:ascii="IRNazanin" w:hAnsi="IRNazanin" w:eastAsia="IRNazanin" w:cs="IRNazanin"/>
          <w:lang w:bidi="fa-IR"/>
          <w:color w:val="111111"/>
          <w:sz w:val="28"/>
          <w:szCs w:val="28"/>
          <w:rtl/>
        </w:rPr>
        <w:t xml:space="preserve">الأوّل: من لهم تراجم و لکن وثّقوا فی تراجم غیرهم.</w:t>
      </w:r>
    </w:p>
    <w:p>
      <w:pPr>
        <w:pStyle w:val="BookText"/>
      </w:pPr>
      <w:r>
        <w:rPr>
          <w:rFonts w:ascii="IRNazanin" w:hAnsi="IRNazanin" w:eastAsia="IRNazanin" w:cs="IRNazanin"/>
          <w:lang w:bidi="fa-IR"/>
          <w:color w:val="111111"/>
          <w:sz w:val="28"/>
          <w:szCs w:val="28"/>
          <w:rtl/>
        </w:rPr>
        <w:t xml:space="preserve">1 - أحمد بن محمّد بن محمّد بن سلیمان الزراری، وثّقه فی ترجمة جعفر بن محمد بن مالک (الرقم 313).</w:t>
      </w:r>
    </w:p>
    <w:p>
      <w:pPr>
        <w:pStyle w:val="BookText"/>
      </w:pPr>
      <w:r>
        <w:rPr>
          <w:rFonts w:ascii="IRNazanin" w:hAnsi="IRNazanin" w:eastAsia="IRNazanin" w:cs="IRNazanin"/>
          <w:lang w:bidi="fa-IR"/>
          <w:color w:val="111111"/>
          <w:sz w:val="28"/>
          <w:szCs w:val="28"/>
          <w:rtl/>
        </w:rPr>
        <w:t xml:space="preserve">2 - سلمة بن محمّد بن عبد اللّه الخزاعی، وثّقه فی ترجمة أخیه منصور بن محمد (الرقم 1099).</w:t>
      </w:r>
    </w:p>
    <w:p>
      <w:pPr>
        <w:pStyle w:val="BookText"/>
      </w:pPr>
      <w:r>
        <w:rPr>
          <w:rFonts w:ascii="IRNazanin" w:hAnsi="IRNazanin" w:eastAsia="IRNazanin" w:cs="IRNazanin"/>
          <w:lang w:bidi="fa-IR"/>
          <w:color w:val="111111"/>
          <w:sz w:val="28"/>
          <w:szCs w:val="28"/>
          <w:rtl/>
        </w:rPr>
        <w:t xml:space="preserve">3 - شهاب بن عبد ربّه الأسدی، وثّقه فی ترجمة ابن أخیه إسماعیل بن عبد الخالق (الرقم 50).</w:t>
      </w:r>
    </w:p>
    <w:p>
      <w:pPr>
        <w:pStyle w:val="BookText"/>
      </w:pPr>
      <w:r>
        <w:rPr>
          <w:rFonts w:ascii="IRNazanin" w:hAnsi="IRNazanin" w:eastAsia="IRNazanin" w:cs="IRNazanin"/>
          <w:lang w:bidi="fa-IR"/>
          <w:color w:val="111111"/>
          <w:sz w:val="28"/>
          <w:szCs w:val="28"/>
          <w:rtl/>
        </w:rPr>
        <w:t xml:space="preserve">4 - صالح بن خالد المحاملی الکناسی، وثّقه فی باب الکنی فی ترجمة أبی شعیب المحاملی (الرقم 1240).</w:t>
      </w:r>
    </w:p>
    <w:p>
      <w:pPr>
        <w:pStyle w:val="BookText"/>
      </w:pPr>
      <w:r>
        <w:rPr>
          <w:rFonts w:ascii="IRNazanin" w:hAnsi="IRNazanin" w:eastAsia="IRNazanin" w:cs="IRNazanin"/>
          <w:lang w:bidi="fa-IR"/>
          <w:color w:val="111111"/>
          <w:sz w:val="28"/>
          <w:szCs w:val="28"/>
          <w:rtl/>
        </w:rPr>
        <w:t xml:space="preserve">5 - عمرو بن منهال بن مقلاص القیسی، وثّقه فی ترجمة ابنه حسن بن عمرو بن منهال (الرقم 133).</w:t>
      </w:r>
    </w:p>
    <w:p>
      <w:pPr>
        <w:pStyle w:val="BookText"/>
      </w:pPr>
      <w:r>
        <w:rPr>
          <w:rFonts w:ascii="Amiri" w:hAnsi="Amiri" w:eastAsia="Amiri" w:cs="Amiri"/>
          <w:lang w:bidi="ar-SA"/>
          <w:color w:val="111111"/>
          <w:sz w:val="28"/>
          <w:szCs w:val="28"/>
          <w:rtl/>
        </w:rPr>
        <w:t xml:space="preserve">6 - محمّد بن عطیّة الحنّاط، وثّقه فی ترجمة أخیه الحسن بن عطیّة الحنّاط (الرقم 93).</w:t>
      </w:r>
    </w:p>
    <w:p>
      <w:pPr>
        <w:pStyle w:val="BookText"/>
      </w:pPr>
      <w:r>
        <w:rPr>
          <w:rFonts w:ascii="IRNazanin" w:hAnsi="IRNazanin" w:eastAsia="IRNazanin" w:cs="IRNazanin"/>
          <w:lang w:bidi="fa-IR"/>
          <w:color w:val="111111"/>
          <w:sz w:val="28"/>
          <w:szCs w:val="28"/>
          <w:rtl/>
        </w:rPr>
        <w:t xml:space="preserve">7 - محمّد بن همّام بن سهیل الاسکافی، وثّقه فی ترجمة جعفر بن محمد بن مالک الفزاری (الرقم 313).</w:t>
      </w:r>
    </w:p>
    <w:p>
      <w:pPr>
        <w:pStyle w:val="BookText"/>
      </w:pPr>
      <w:r>
        <w:rPr>
          <w:rFonts w:ascii="IRNazanin" w:hAnsi="IRNazanin" w:eastAsia="IRNazanin" w:cs="IRNazanin"/>
          <w:lang w:bidi="fa-IR"/>
          <w:color w:val="111111"/>
          <w:sz w:val="28"/>
          <w:szCs w:val="28"/>
          <w:rtl/>
        </w:rPr>
        <w:t xml:space="preserve">الثانی: من لیس لهم ترجمة و لکن وثّقوا فی تراجم الغیر.</w:t>
      </w:r>
    </w:p>
    <w:p>
      <w:pPr>
        <w:pStyle w:val="BookText"/>
      </w:pPr>
      <w:r>
        <w:rPr>
          <w:rFonts w:ascii="IRNazanin" w:hAnsi="IRNazanin" w:eastAsia="IRNazanin" w:cs="IRNazanin"/>
          <w:lang w:bidi="fa-IR"/>
          <w:color w:val="111111"/>
          <w:sz w:val="28"/>
          <w:szCs w:val="28"/>
          <w:rtl/>
        </w:rPr>
        <w:t xml:space="preserve">[شماره صفحه واقعی : 64]
</w:t>
      </w:r>
    </w:p>
    <w:p>
      <w:pPr>
        <w:sectPr>
          <w:footerReference w:type="default" r:id="rId17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أحمد بن محمّد بن الهیثم العجلی، وثّقه فی ترجمة ابنه الحسن (الرقم 151).</w:t>
      </w:r>
    </w:p>
    <w:p>
      <w:pPr>
        <w:pStyle w:val="BookText"/>
      </w:pPr>
      <w:r>
        <w:rPr>
          <w:rFonts w:ascii="IRNazanin" w:hAnsi="IRNazanin" w:eastAsia="IRNazanin" w:cs="IRNazanin"/>
          <w:lang w:bidi="fa-IR"/>
          <w:color w:val="111111"/>
          <w:sz w:val="28"/>
          <w:szCs w:val="28"/>
          <w:rtl/>
        </w:rPr>
        <w:t xml:space="preserve">2 - أسد بن أعفر المصری، وثّقه فی ترجمة ابنه داود (الرقم 414).</w:t>
      </w:r>
    </w:p>
    <w:p>
      <w:pPr>
        <w:pStyle w:val="BookText"/>
      </w:pPr>
      <w:r>
        <w:rPr>
          <w:rFonts w:ascii="IRNazanin" w:hAnsi="IRNazanin" w:eastAsia="IRNazanin" w:cs="IRNazanin"/>
          <w:lang w:bidi="fa-IR"/>
          <w:color w:val="111111"/>
          <w:sz w:val="28"/>
          <w:szCs w:val="28"/>
          <w:rtl/>
        </w:rPr>
        <w:t xml:space="preserve">3 - إسماعیل بن أبی السمال الأسدی، وثّقه فی ترجمة أخیه إبراهیم (الرقم 30).</w:t>
      </w:r>
    </w:p>
    <w:p>
      <w:pPr>
        <w:pStyle w:val="BookText"/>
      </w:pPr>
      <w:r>
        <w:rPr>
          <w:rFonts w:ascii="IRNazanin" w:hAnsi="IRNazanin" w:eastAsia="IRNazanin" w:cs="IRNazanin"/>
          <w:lang w:bidi="fa-IR"/>
          <w:color w:val="111111"/>
          <w:sz w:val="28"/>
          <w:szCs w:val="28"/>
          <w:rtl/>
        </w:rPr>
        <w:t xml:space="preserve">4 - إسماعیل بن الفضل بن یعقوب النّوفلی، وثّقه فی ترجمة ابن أخیه الحسین بن محمّد بن الفضل (الرقم 131).</w:t>
      </w:r>
    </w:p>
    <w:p>
      <w:pPr>
        <w:pStyle w:val="BookText"/>
      </w:pPr>
      <w:r>
        <w:rPr>
          <w:rFonts w:ascii="IRNazanin" w:hAnsi="IRNazanin" w:eastAsia="IRNazanin" w:cs="IRNazanin"/>
          <w:lang w:bidi="fa-IR"/>
          <w:color w:val="111111"/>
          <w:sz w:val="28"/>
          <w:szCs w:val="28"/>
          <w:rtl/>
        </w:rPr>
        <w:t xml:space="preserve">5 - جعفر بن إبراهیم الطالبی الجعفری، وثّقه فی ترجمة ابنه سلیمان (الرقم 483).</w:t>
      </w:r>
    </w:p>
    <w:p>
      <w:pPr>
        <w:pStyle w:val="BookText"/>
      </w:pPr>
      <w:r>
        <w:rPr>
          <w:rFonts w:ascii="IRNazanin" w:hAnsi="IRNazanin" w:eastAsia="IRNazanin" w:cs="IRNazanin"/>
          <w:lang w:bidi="fa-IR"/>
          <w:color w:val="111111"/>
          <w:sz w:val="28"/>
          <w:szCs w:val="28"/>
          <w:rtl/>
        </w:rPr>
        <w:t xml:space="preserve">6 - حسن بن أبی سارة الرواسی، وثّقه فی ترجمة ابنه محمّد (الرقم 883).</w:t>
      </w:r>
    </w:p>
    <w:p>
      <w:pPr>
        <w:pStyle w:val="BookText"/>
      </w:pPr>
      <w:r>
        <w:rPr>
          <w:rFonts w:ascii="IRNazanin" w:hAnsi="IRNazanin" w:eastAsia="IRNazanin" w:cs="IRNazanin"/>
          <w:lang w:bidi="fa-IR"/>
          <w:color w:val="111111"/>
          <w:sz w:val="28"/>
          <w:szCs w:val="28"/>
          <w:rtl/>
        </w:rPr>
        <w:t xml:space="preserve">7 - حسن بن شجرة بن میمون الکندی، وثّقه فی ترجمة أخیه علی (الرقم 720).</w:t>
      </w:r>
    </w:p>
    <w:p>
      <w:pPr>
        <w:pStyle w:val="BookText"/>
      </w:pPr>
      <w:r>
        <w:rPr>
          <w:rFonts w:ascii="IRNazanin" w:hAnsi="IRNazanin" w:eastAsia="IRNazanin" w:cs="IRNazanin"/>
          <w:lang w:bidi="fa-IR"/>
          <w:color w:val="111111"/>
          <w:sz w:val="28"/>
          <w:szCs w:val="28"/>
          <w:rtl/>
        </w:rPr>
        <w:t xml:space="preserve">8 - حسن بن علوان الکلبی، وثّقه فی ترجمة أخیه الحسین (الرقم 116).</w:t>
      </w:r>
    </w:p>
    <w:p>
      <w:pPr>
        <w:pStyle w:val="BookText"/>
      </w:pPr>
      <w:r>
        <w:rPr>
          <w:rFonts w:ascii="IRNazanin" w:hAnsi="IRNazanin" w:eastAsia="IRNazanin" w:cs="IRNazanin"/>
          <w:lang w:bidi="fa-IR"/>
          <w:color w:val="111111"/>
          <w:sz w:val="28"/>
          <w:szCs w:val="28"/>
          <w:rtl/>
        </w:rPr>
        <w:t xml:space="preserve">9 - حسن بن محمّد بن خالد الطیالسی، وثّقه فی ترجمة أخیه عبد اللّه (الرقم 572).</w:t>
      </w:r>
    </w:p>
    <w:p>
      <w:pPr>
        <w:pStyle w:val="BookText"/>
      </w:pPr>
      <w:r>
        <w:rPr>
          <w:rFonts w:ascii="IRNazanin" w:hAnsi="IRNazanin" w:eastAsia="IRNazanin" w:cs="IRNazanin"/>
          <w:lang w:bidi="fa-IR"/>
          <w:color w:val="111111"/>
          <w:sz w:val="28"/>
          <w:szCs w:val="28"/>
          <w:rtl/>
        </w:rPr>
        <w:t xml:space="preserve">10 - حفص بن سابور الزیّات، وثّقه فی ترجمة أخیه بسطام (الرقم 280).</w:t>
      </w:r>
    </w:p>
    <w:p>
      <w:pPr>
        <w:pStyle w:val="BookText"/>
      </w:pPr>
      <w:r>
        <w:rPr>
          <w:rFonts w:ascii="IRNazanin" w:hAnsi="IRNazanin" w:eastAsia="IRNazanin" w:cs="IRNazanin"/>
          <w:lang w:bidi="fa-IR"/>
          <w:color w:val="111111"/>
          <w:sz w:val="28"/>
          <w:szCs w:val="28"/>
          <w:rtl/>
        </w:rPr>
        <w:t xml:space="preserve">11 - حفص بن سالم، وثّقه فی ترجمة أخیه عمر (الرقم 758).</w:t>
      </w:r>
    </w:p>
    <w:p>
      <w:pPr>
        <w:pStyle w:val="BookText"/>
      </w:pPr>
      <w:r>
        <w:rPr>
          <w:rFonts w:ascii="IRNazanin" w:hAnsi="IRNazanin" w:eastAsia="IRNazanin" w:cs="IRNazanin"/>
          <w:lang w:bidi="fa-IR"/>
          <w:color w:val="111111"/>
          <w:sz w:val="28"/>
          <w:szCs w:val="28"/>
          <w:rtl/>
        </w:rPr>
        <w:t xml:space="preserve">12 - حیّان بن علی العنزی، وثّقه فی ترجمة أخیه مندل (الرقم 1131).</w:t>
      </w:r>
    </w:p>
    <w:p>
      <w:pPr>
        <w:pStyle w:val="BookText"/>
      </w:pPr>
      <w:r>
        <w:rPr>
          <w:rFonts w:ascii="IRNazanin" w:hAnsi="IRNazanin" w:eastAsia="IRNazanin" w:cs="IRNazanin"/>
          <w:lang w:bidi="fa-IR"/>
          <w:color w:val="111111"/>
          <w:sz w:val="28"/>
          <w:szCs w:val="28"/>
          <w:rtl/>
        </w:rPr>
        <w:t xml:space="preserve">[شماره صفحه واقعی : 65]
</w:t>
      </w:r>
    </w:p>
    <w:p>
      <w:pPr>
        <w:sectPr>
          <w:footerReference w:type="default" r:id="rId17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 زکریّا بن سابور الزیّات، وثّقه فی ترجمة أخیه بسطام (الرقم 280).</w:t>
      </w:r>
    </w:p>
    <w:p>
      <w:pPr>
        <w:pStyle w:val="BookText"/>
      </w:pPr>
      <w:r>
        <w:rPr>
          <w:rFonts w:ascii="IRNazanin" w:hAnsi="IRNazanin" w:eastAsia="IRNazanin" w:cs="IRNazanin"/>
          <w:lang w:bidi="fa-IR"/>
          <w:color w:val="111111"/>
          <w:sz w:val="28"/>
          <w:szCs w:val="28"/>
          <w:rtl/>
        </w:rPr>
        <w:t xml:space="preserve">14 - زیاد بن سابور الزیّات، وثّقه فی ترجمة أخیه بسطام (الرقم 280).</w:t>
      </w:r>
    </w:p>
    <w:p>
      <w:pPr>
        <w:pStyle w:val="BookText"/>
      </w:pPr>
      <w:r>
        <w:rPr>
          <w:rFonts w:ascii="IRNazanin" w:hAnsi="IRNazanin" w:eastAsia="IRNazanin" w:cs="IRNazanin"/>
          <w:lang w:bidi="fa-IR"/>
          <w:color w:val="111111"/>
          <w:sz w:val="28"/>
          <w:szCs w:val="28"/>
          <w:rtl/>
        </w:rPr>
        <w:t xml:space="preserve">15 - زیاد بن أبی الجعد الأشجعی، وثّقه فی ترجمة ابن ابنه رافع ابن سلمة (الرقم 447).</w:t>
      </w:r>
    </w:p>
    <w:p>
      <w:pPr>
        <w:pStyle w:val="BookText"/>
      </w:pPr>
      <w:r>
        <w:rPr>
          <w:rFonts w:ascii="IRNazanin" w:hAnsi="IRNazanin" w:eastAsia="IRNazanin" w:cs="IRNazanin"/>
          <w:lang w:bidi="fa-IR"/>
          <w:color w:val="111111"/>
          <w:sz w:val="28"/>
          <w:szCs w:val="28"/>
          <w:rtl/>
        </w:rPr>
        <w:t xml:space="preserve">16 - زیاد بن سوقة العمری، وثّقه فی ترجمة أخیه حفص (الرقم 348).</w:t>
      </w:r>
    </w:p>
    <w:p>
      <w:pPr>
        <w:pStyle w:val="BookText"/>
      </w:pPr>
      <w:r>
        <w:rPr>
          <w:rFonts w:ascii="IRNazanin" w:hAnsi="IRNazanin" w:eastAsia="IRNazanin" w:cs="IRNazanin"/>
          <w:lang w:bidi="fa-IR"/>
          <w:color w:val="111111"/>
          <w:sz w:val="28"/>
          <w:szCs w:val="28"/>
          <w:rtl/>
        </w:rPr>
        <w:t xml:space="preserve">17 - سلمة بن زیاد بن أبی الجعد الأشجعی، وثّقه فی ترجمة ابنه رافع (الرقم 447).</w:t>
      </w:r>
    </w:p>
    <w:p>
      <w:pPr>
        <w:pStyle w:val="BookText"/>
      </w:pPr>
      <w:r>
        <w:rPr>
          <w:rFonts w:ascii="IRNazanin" w:hAnsi="IRNazanin" w:eastAsia="IRNazanin" w:cs="IRNazanin"/>
          <w:lang w:bidi="fa-IR"/>
          <w:color w:val="111111"/>
          <w:sz w:val="28"/>
          <w:szCs w:val="28"/>
          <w:rtl/>
        </w:rPr>
        <w:t xml:space="preserve">18 - شجرة بن میمون بن أبی أراکة الکندی، وثّقه فی ترجمة ابنه علی (الرقم 720).</w:t>
      </w:r>
    </w:p>
    <w:p>
      <w:pPr>
        <w:pStyle w:val="BookText"/>
      </w:pPr>
      <w:r>
        <w:rPr>
          <w:rFonts w:ascii="IRNazanin" w:hAnsi="IRNazanin" w:eastAsia="IRNazanin" w:cs="IRNazanin"/>
          <w:lang w:bidi="fa-IR"/>
          <w:color w:val="111111"/>
          <w:sz w:val="28"/>
          <w:szCs w:val="28"/>
          <w:rtl/>
        </w:rPr>
        <w:t xml:space="preserve">19 - صباح بن موسی الساباطی، وثّقه فی ترجمة أخیه عمّار (الرقم 779).</w:t>
      </w:r>
    </w:p>
    <w:p>
      <w:pPr>
        <w:pStyle w:val="BookText"/>
      </w:pPr>
      <w:r>
        <w:rPr>
          <w:rFonts w:ascii="IRNazanin" w:hAnsi="IRNazanin" w:eastAsia="IRNazanin" w:cs="IRNazanin"/>
          <w:lang w:bidi="fa-IR"/>
          <w:color w:val="111111"/>
          <w:sz w:val="28"/>
          <w:szCs w:val="28"/>
          <w:rtl/>
        </w:rPr>
        <w:t xml:space="preserve">20 - عبد الأعلی بن علی بن أبی شعبة الحلبی، وثّقه فی تراجم ابن عمّه أحمد بن عمر (الرقم 245) و أخویه عبید اللّه (612) و محمّد (الرقم 885).</w:t>
      </w:r>
    </w:p>
    <w:p>
      <w:pPr>
        <w:pStyle w:val="BookText"/>
      </w:pPr>
      <w:r>
        <w:rPr>
          <w:rFonts w:ascii="IRNazanin" w:hAnsi="IRNazanin" w:eastAsia="IRNazanin" w:cs="IRNazanin"/>
          <w:lang w:bidi="fa-IR"/>
          <w:color w:val="111111"/>
          <w:sz w:val="28"/>
          <w:szCs w:val="28"/>
          <w:rtl/>
        </w:rPr>
        <w:t xml:space="preserve">21 - عبد الخالق بن عبد ربّه الأسدی، وثّقه فی ترجمة ابنه إسماعیل (الرقم 50).</w:t>
      </w:r>
    </w:p>
    <w:p>
      <w:pPr>
        <w:pStyle w:val="BookText"/>
      </w:pPr>
      <w:r>
        <w:rPr>
          <w:rFonts w:ascii="IRNazanin" w:hAnsi="IRNazanin" w:eastAsia="IRNazanin" w:cs="IRNazanin"/>
          <w:lang w:bidi="fa-IR"/>
          <w:color w:val="111111"/>
          <w:sz w:val="28"/>
          <w:szCs w:val="28"/>
          <w:rtl/>
        </w:rPr>
        <w:t xml:space="preserve">22 - عبد الرحمن بن أبی عبد اللّه البصری، وثّقه فی ترجمة ابن ابنه إسماعیل بن همّام (الرقم 62).</w:t>
      </w:r>
    </w:p>
    <w:p>
      <w:pPr>
        <w:pStyle w:val="BookText"/>
      </w:pPr>
      <w:r>
        <w:rPr>
          <w:rFonts w:ascii="IRNazanin" w:hAnsi="IRNazanin" w:eastAsia="IRNazanin" w:cs="IRNazanin"/>
          <w:lang w:bidi="fa-IR"/>
          <w:color w:val="111111"/>
          <w:sz w:val="28"/>
          <w:szCs w:val="28"/>
          <w:rtl/>
        </w:rPr>
        <w:t xml:space="preserve">23 - عبد الرحیم بن عبد ربّه الأسدی، وثّقه فی ترجمة ابن أخیه إسماعیل بن عبد الخالق (الرقم 50).</w:t>
      </w:r>
    </w:p>
    <w:p>
      <w:pPr>
        <w:pStyle w:val="BookText"/>
      </w:pPr>
      <w:r>
        <w:rPr>
          <w:rFonts w:ascii="IRNazanin" w:hAnsi="IRNazanin" w:eastAsia="IRNazanin" w:cs="IRNazanin"/>
          <w:lang w:bidi="fa-IR"/>
          <w:color w:val="111111"/>
          <w:sz w:val="28"/>
          <w:szCs w:val="28"/>
          <w:rtl/>
        </w:rPr>
        <w:t xml:space="preserve">24 - عبد اللّه بن رباط البجلی، وثّقه فی ترجمة ابنه محمّد (الرقم 955).</w:t>
      </w:r>
    </w:p>
    <w:p>
      <w:pPr>
        <w:pStyle w:val="BookText"/>
      </w:pPr>
      <w:r>
        <w:rPr>
          <w:rFonts w:ascii="IRNazanin" w:hAnsi="IRNazanin" w:eastAsia="IRNazanin" w:cs="IRNazanin"/>
          <w:lang w:bidi="fa-IR"/>
          <w:color w:val="111111"/>
          <w:sz w:val="28"/>
          <w:szCs w:val="28"/>
          <w:rtl/>
        </w:rPr>
        <w:t xml:space="preserve">[شماره صفحه واقعی : 66]
</w:t>
      </w:r>
    </w:p>
    <w:p>
      <w:pPr>
        <w:sectPr>
          <w:footerReference w:type="default" r:id="rId17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25 - عبد اللّه بن عثمان بن عمرو الفزاری، وثّقه فی ترجمة أخیه حمّاد (الرقم 371).</w:t>
      </w:r>
    </w:p>
    <w:p>
      <w:pPr>
        <w:pStyle w:val="BookText"/>
      </w:pPr>
      <w:r>
        <w:rPr>
          <w:rFonts w:ascii="IRNazanin" w:hAnsi="IRNazanin" w:eastAsia="IRNazanin" w:cs="IRNazanin"/>
          <w:lang w:bidi="fa-IR"/>
          <w:color w:val="111111"/>
          <w:sz w:val="28"/>
          <w:szCs w:val="28"/>
          <w:rtl/>
        </w:rPr>
        <w:t xml:space="preserve">26 - عبد الملک بن سعید الکنانی، وثّقه فی ترجمة أخیه عبد اللّه (الرقم 565).</w:t>
      </w:r>
    </w:p>
    <w:p>
      <w:pPr>
        <w:pStyle w:val="BookText"/>
      </w:pPr>
      <w:r>
        <w:rPr>
          <w:rFonts w:ascii="IRNazanin" w:hAnsi="IRNazanin" w:eastAsia="IRNazanin" w:cs="IRNazanin"/>
          <w:lang w:bidi="fa-IR"/>
          <w:color w:val="111111"/>
          <w:sz w:val="28"/>
          <w:szCs w:val="28"/>
          <w:rtl/>
        </w:rPr>
        <w:t xml:space="preserve">27 - عبد الملک بن عتبة النّخعی، وثّقه فی ترجمة عبد الملک بن عتبة الهاشمی (الرقم 635).</w:t>
      </w:r>
    </w:p>
    <w:p>
      <w:pPr>
        <w:pStyle w:val="BookText"/>
      </w:pPr>
      <w:r>
        <w:rPr>
          <w:rFonts w:ascii="IRNazanin" w:hAnsi="IRNazanin" w:eastAsia="IRNazanin" w:cs="IRNazanin"/>
          <w:lang w:bidi="fa-IR"/>
          <w:color w:val="111111"/>
          <w:sz w:val="28"/>
          <w:szCs w:val="28"/>
          <w:rtl/>
        </w:rPr>
        <w:t xml:space="preserve">28 - علی بن أبی شعبة الحلبی، وثّقه فی ترجمة ابنه عبید اللّه (الرقم 612).</w:t>
      </w:r>
    </w:p>
    <w:p>
      <w:pPr>
        <w:pStyle w:val="BookText"/>
      </w:pPr>
      <w:r>
        <w:rPr>
          <w:rFonts w:ascii="IRNazanin" w:hAnsi="IRNazanin" w:eastAsia="IRNazanin" w:cs="IRNazanin"/>
          <w:lang w:bidi="fa-IR"/>
          <w:color w:val="111111"/>
          <w:sz w:val="28"/>
          <w:szCs w:val="28"/>
          <w:rtl/>
        </w:rPr>
        <w:t xml:space="preserve">29 - علی بن بشیر، وثّقه فی ترجمة أخیه محمّد (الرقم 927).</w:t>
      </w:r>
    </w:p>
    <w:p>
      <w:pPr>
        <w:pStyle w:val="BookText"/>
      </w:pPr>
      <w:r>
        <w:rPr>
          <w:rFonts w:ascii="IRNazanin" w:hAnsi="IRNazanin" w:eastAsia="IRNazanin" w:cs="IRNazanin"/>
          <w:lang w:bidi="fa-IR"/>
          <w:color w:val="111111"/>
          <w:sz w:val="28"/>
          <w:szCs w:val="28"/>
          <w:rtl/>
        </w:rPr>
        <w:t xml:space="preserve">30 - علی بن عطیّة الحنّاط، وثّقه فی ترجمة أخیه الحسن (الرقم 93).</w:t>
      </w:r>
    </w:p>
    <w:p>
      <w:pPr>
        <w:pStyle w:val="BookText"/>
      </w:pPr>
      <w:r>
        <w:rPr>
          <w:rFonts w:ascii="IRNazanin" w:hAnsi="IRNazanin" w:eastAsia="IRNazanin" w:cs="IRNazanin"/>
          <w:lang w:bidi="fa-IR"/>
          <w:color w:val="111111"/>
          <w:sz w:val="28"/>
          <w:szCs w:val="28"/>
          <w:rtl/>
        </w:rPr>
        <w:t xml:space="preserve">31 - عمران بن علیّ بن أبی شعبة الحلبی، وثّقه فی تراجم ابن عمّه أحمد بن عمر (الرقم 245) و أخویه عبید اللّه (الرقم 612) و محمّد (الرقم 885).</w:t>
      </w:r>
    </w:p>
    <w:p>
      <w:pPr>
        <w:pStyle w:val="BookText"/>
      </w:pPr>
      <w:r>
        <w:rPr>
          <w:rFonts w:ascii="IRNazanin" w:hAnsi="IRNazanin" w:eastAsia="IRNazanin" w:cs="IRNazanin"/>
          <w:lang w:bidi="fa-IR"/>
          <w:color w:val="111111"/>
          <w:sz w:val="28"/>
          <w:szCs w:val="28"/>
          <w:rtl/>
        </w:rPr>
        <w:t xml:space="preserve">32 - عمر بن أبی شعبة الحلبی، وثّقه فی ترجمة ابن أخیه عبید اللّه بن علی (الرقم 612).</w:t>
      </w:r>
    </w:p>
    <w:p>
      <w:pPr>
        <w:pStyle w:val="BookText"/>
      </w:pPr>
      <w:r>
        <w:rPr>
          <w:rFonts w:ascii="IRNazanin" w:hAnsi="IRNazanin" w:eastAsia="IRNazanin" w:cs="IRNazanin"/>
          <w:lang w:bidi="fa-IR"/>
          <w:color w:val="111111"/>
          <w:sz w:val="28"/>
          <w:szCs w:val="28"/>
          <w:rtl/>
        </w:rPr>
        <w:t xml:space="preserve">33 - عمرو بن مروان الیشکری، وثّقه فی ترجمة أخیه عمّار (الرقم 780).</w:t>
      </w:r>
    </w:p>
    <w:p>
      <w:pPr>
        <w:pStyle w:val="BookText"/>
      </w:pPr>
      <w:r>
        <w:rPr>
          <w:rFonts w:ascii="IRNazanin" w:hAnsi="IRNazanin" w:eastAsia="IRNazanin" w:cs="IRNazanin"/>
          <w:lang w:bidi="fa-IR"/>
          <w:color w:val="111111"/>
          <w:sz w:val="28"/>
          <w:szCs w:val="28"/>
          <w:rtl/>
        </w:rPr>
        <w:t xml:space="preserve">34 - قیس بن موسی الساباطی، وثّقه فی ترجمة أخیه عمّار (الرقم 779).</w:t>
      </w:r>
    </w:p>
    <w:p>
      <w:pPr>
        <w:pStyle w:val="BookText"/>
      </w:pPr>
      <w:r>
        <w:rPr>
          <w:rFonts w:ascii="IRNazanin" w:hAnsi="IRNazanin" w:eastAsia="IRNazanin" w:cs="IRNazanin"/>
          <w:lang w:bidi="fa-IR"/>
          <w:color w:val="111111"/>
          <w:sz w:val="28"/>
          <w:szCs w:val="28"/>
          <w:rtl/>
        </w:rPr>
        <w:t xml:space="preserve">35 - أبو خالد، محمّد بن مهاجر بن عبید الأزدی، وثّقه فی ترجمة ابنه إسماعیل (الرقم 46).</w:t>
      </w:r>
    </w:p>
    <w:p>
      <w:pPr>
        <w:pStyle w:val="BookText"/>
      </w:pPr>
      <w:r>
        <w:rPr>
          <w:rFonts w:ascii="IRNazanin" w:hAnsi="IRNazanin" w:eastAsia="IRNazanin" w:cs="IRNazanin"/>
          <w:lang w:bidi="fa-IR"/>
          <w:color w:val="111111"/>
          <w:sz w:val="28"/>
          <w:szCs w:val="28"/>
          <w:rtl/>
        </w:rPr>
        <w:t xml:space="preserve">[شماره صفحه واقعی : 67]
</w:t>
      </w:r>
    </w:p>
    <w:p>
      <w:pPr>
        <w:sectPr>
          <w:footerReference w:type="default" r:id="rId1723"/>
          <w:footnotePr>
            <w:numStart w:val="1"/>
            <w:numRestart w:val="eachPage"/>
          </w:footnotePr>
          <w:pgSz w:orient="portrait" w:w="11905.511811023622" w:h="16837.79527559055"/>
          <w:pgMar w:top="1440" w:right="1440" w:bottom="1440" w:left="1440" w:header="720" w:footer="720" w:gutter="0"/>
          <w:cols w:num="1" w:space="720"/>
        </w:sectPr>
      </w:pPr>
    </w:p>
    <w:bookmarkStart w:id="911" w:name="pg14411_144105"/>
    <w:bookmarkEnd w:id="911"/>
    <w:p>
      <w:pPr>
        <w:pStyle w:val="BookText"/>
      </w:pPr>
      <w:r>
        <w:rPr>
          <w:rFonts w:ascii="IRNazanin" w:hAnsi="IRNazanin" w:eastAsia="IRNazanin" w:cs="IRNazanin"/>
          <w:lang w:bidi="fa-IR"/>
          <w:color w:val="111111"/>
          <w:sz w:val="28"/>
          <w:szCs w:val="28"/>
          <w:rtl/>
        </w:rPr>
        <w:t xml:space="preserve">36 - محمّد بن الهیثم العجلی، وثّقه فی ترجمة ابن ابنه الحسن بن أحمد (الرقم 151).</w:t>
      </w:r>
    </w:p>
    <w:p>
      <w:pPr>
        <w:pStyle w:val="BookText"/>
      </w:pPr>
      <w:r>
        <w:rPr>
          <w:rFonts w:ascii="IRNazanin" w:hAnsi="IRNazanin" w:eastAsia="IRNazanin" w:cs="IRNazanin"/>
          <w:lang w:bidi="fa-IR"/>
          <w:color w:val="111111"/>
          <w:sz w:val="28"/>
          <w:szCs w:val="28"/>
          <w:rtl/>
        </w:rPr>
        <w:t xml:space="preserve">37 - محمد بن سوقة العمری، وثّقه فی ترجمة أخیه حفص (الرقم 348).</w:t>
      </w:r>
    </w:p>
    <w:p>
      <w:pPr>
        <w:pStyle w:val="BookText"/>
      </w:pPr>
      <w:r>
        <w:rPr>
          <w:rFonts w:ascii="IRNazanin" w:hAnsi="IRNazanin" w:eastAsia="IRNazanin" w:cs="IRNazanin"/>
          <w:lang w:bidi="fa-IR"/>
          <w:color w:val="111111"/>
          <w:sz w:val="28"/>
          <w:szCs w:val="28"/>
          <w:rtl/>
        </w:rPr>
        <w:t xml:space="preserve">38 - معاذ بن مسلم بن أبی سارة، وثّقه فی ترجمة ابن عمّه محمّد بن الحسن (الرقم 883).</w:t>
      </w:r>
    </w:p>
    <w:p>
      <w:pPr>
        <w:pStyle w:val="BookText"/>
      </w:pPr>
      <w:r>
        <w:rPr>
          <w:rFonts w:ascii="IRNazanin" w:hAnsi="IRNazanin" w:eastAsia="IRNazanin" w:cs="IRNazanin"/>
          <w:lang w:bidi="fa-IR"/>
          <w:color w:val="111111"/>
          <w:sz w:val="28"/>
          <w:szCs w:val="28"/>
          <w:rtl/>
        </w:rPr>
        <w:t xml:space="preserve">39 - همّام بن عبد الرحمن بن میمون البصری، وثّقه فی ترجمة ابنه إسماعیل (الرقم 62).</w:t>
      </w:r>
    </w:p>
    <w:p>
      <w:pPr>
        <w:pStyle w:val="BookText"/>
      </w:pPr>
      <w:r>
        <w:rPr>
          <w:rFonts w:ascii="IRNazanin" w:hAnsi="IRNazanin" w:eastAsia="IRNazanin" w:cs="IRNazanin"/>
          <w:lang w:bidi="fa-IR"/>
          <w:color w:val="111111"/>
          <w:sz w:val="28"/>
          <w:szCs w:val="28"/>
          <w:rtl/>
        </w:rPr>
        <w:t xml:space="preserve">40 - یعقوب بن إلیاس بن عمرو البجلی، وثّقه فی ترجمة أخیه عمرو (الرقم 772).</w:t>
      </w:r>
    </w:p>
    <w:p>
      <w:pPr>
        <w:pStyle w:val="BookText"/>
      </w:pPr>
      <w:r>
        <w:rPr>
          <w:rFonts w:ascii="IRNazanin" w:hAnsi="IRNazanin" w:eastAsia="IRNazanin" w:cs="IRNazanin"/>
          <w:lang w:bidi="fa-IR"/>
          <w:color w:val="111111"/>
          <w:sz w:val="28"/>
          <w:szCs w:val="28"/>
          <w:rtl/>
        </w:rPr>
        <w:t xml:space="preserve">41 - أبو الجعد الأشجعی، وثّقه فی ترجمة ابن حفیده رافع بن سلمة بن زیاد (الرقم 447).</w:t>
      </w:r>
    </w:p>
    <w:p>
      <w:pPr>
        <w:pStyle w:val="BookText"/>
      </w:pPr>
      <w:r>
        <w:rPr>
          <w:rFonts w:ascii="IRNazanin" w:hAnsi="IRNazanin" w:eastAsia="IRNazanin" w:cs="IRNazanin"/>
          <w:lang w:bidi="fa-IR"/>
          <w:color w:val="111111"/>
          <w:sz w:val="28"/>
          <w:szCs w:val="28"/>
          <w:rtl/>
        </w:rPr>
        <w:t xml:space="preserve">42 - أبو شعبة الحلبی، وثّقه فی ترجمة ابن ابنه عبید اللّه بن علی (الرقم 612).</w:t>
      </w:r>
    </w:p>
    <w:p>
      <w:pPr>
        <w:pStyle w:val="BookText"/>
      </w:pPr>
      <w:r>
        <w:rPr>
          <w:rFonts w:ascii="IRNazanin" w:hAnsi="IRNazanin" w:eastAsia="IRNazanin" w:cs="IRNazanin"/>
          <w:lang w:bidi="fa-IR"/>
          <w:color w:val="111111"/>
          <w:sz w:val="28"/>
          <w:szCs w:val="28"/>
          <w:rtl/>
        </w:rPr>
        <w:t xml:space="preserve">43 - أبو عامر بن جناح الأزدی، وثّقه فی ترجمة أخیه سعید (الرقم 512).</w:t>
      </w:r>
    </w:p>
    <w:p>
      <w:pPr>
        <w:pStyle w:val="Heading6"/>
      </w:pPr>
      <w:bookmarkStart w:id="2745" w:name="_Toc1780"/>
      <w:r>
        <w:t>3 - رجال الشیخ:</w:t>
      </w:r>
      <w:bookmarkEnd w:id="2745"/>
    </w:p>
    <w:p>
      <w:pPr>
        <w:pStyle w:val="BookText"/>
      </w:pPr>
      <w:r>
        <w:rPr>
          <w:rFonts w:ascii="IRNazanin" w:hAnsi="IRNazanin" w:eastAsia="IRNazanin" w:cs="IRNazanin"/>
          <w:lang w:bidi="fa-IR"/>
          <w:color w:val="111111"/>
          <w:sz w:val="28"/>
          <w:szCs w:val="28"/>
          <w:rtl/>
        </w:rPr>
        <w:t xml:space="preserve">تألیف الشیخ محمّد بن الحسن الطوسی (المولود عام 385، و المتوفی عام 460) فقد جمع فی کتابه «أصحاب النّبی - صلی اللّه علیه و آله - و الائمة - علیهم السلام -» حسب ترتیب عصورهم.</w:t>
      </w:r>
    </w:p>
    <w:p>
      <w:pPr>
        <w:pStyle w:val="BookText"/>
      </w:pPr>
      <w:r>
        <w:rPr>
          <w:rFonts w:ascii="IRNazanin" w:hAnsi="IRNazanin" w:eastAsia="IRNazanin" w:cs="IRNazanin"/>
          <w:lang w:bidi="fa-IR"/>
          <w:color w:val="111111"/>
          <w:sz w:val="28"/>
          <w:szCs w:val="28"/>
          <w:rtl/>
        </w:rPr>
        <w:t xml:space="preserve">یقول المحقّق التستری - دام ظّله -: «إنّ مسلک الشیخ فی رجاله یغایر</w:t>
      </w:r>
    </w:p>
    <w:p>
      <w:pPr>
        <w:pStyle w:val="BookText"/>
      </w:pPr>
      <w:r>
        <w:rPr>
          <w:rFonts w:ascii="IRNazanin" w:hAnsi="IRNazanin" w:eastAsia="IRNazanin" w:cs="IRNazanin"/>
          <w:lang w:bidi="fa-IR"/>
          <w:color w:val="111111"/>
          <w:sz w:val="28"/>
          <w:szCs w:val="28"/>
          <w:rtl/>
        </w:rPr>
        <w:t xml:space="preserve">[شماره صفحه واقعی : 68]
</w:t>
      </w:r>
    </w:p>
    <w:p>
      <w:pPr>
        <w:sectPr>
          <w:footerReference w:type="default" r:id="rId1724"/>
          <w:footnotePr>
            <w:numStart w:val="1"/>
            <w:numRestart w:val="eachPage"/>
          </w:footnotePr>
          <w:pgSz w:orient="portrait" w:w="11905.511811023622" w:h="16837.79527559055"/>
          <w:pgMar w:top="1440" w:right="1440" w:bottom="1440" w:left="1440" w:header="720" w:footer="720" w:gutter="0"/>
          <w:cols w:num="1" w:space="720"/>
        </w:sectPr>
      </w:pPr>
    </w:p>
    <w:bookmarkStart w:id="912" w:name="pg14411_144106"/>
    <w:bookmarkEnd w:id="912"/>
    <w:p>
      <w:pPr>
        <w:pStyle w:val="BookText"/>
      </w:pPr>
      <w:r>
        <w:rPr>
          <w:rFonts w:ascii="IRNazanin" w:hAnsi="IRNazanin" w:eastAsia="IRNazanin" w:cs="IRNazanin"/>
          <w:lang w:bidi="fa-IR"/>
          <w:color w:val="111111"/>
          <w:sz w:val="28"/>
          <w:szCs w:val="28"/>
          <w:rtl/>
        </w:rPr>
        <w:t xml:space="preserve">مسلکه فی الفهرس و مسلک النجاشی فی فهرسه، حیث إنّه أراد فی رجاله استقصاء أصحابهم و من روی عنهم مؤمنا کان أو منافقا، إمامیّا کان أو عامیا، فعدّ الخلفاء و معاویة و عمرو بن العاص و نظراءهم من أصحاب النّبی، و عدّ زیاد بن أبیه و ابنه عبید اللّه بن زیاد من أصحاب أمیر المؤمنین، و عدّ منصورا الدّوانیقی من أصحاب الصادق - علیه السلام - بدون ذکر شیء فیهم، فالاستناد إلیه ما لم یحرز إمامیّة رجل غیر جائز حتّی فی أصحاب غیر النّبی و أمیر المؤمنین، فکیف فی أصحابهما؟»</w:t>
      </w:r>
      <w:r>
        <w:rPr>
          <w:rStyle w:val="FootnoteReference"/>
        </w:rPr>
        <w:footnoteReference w:id="50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مع ذلک فلم یأت بکلّ الصّحابة، و لا بکلّ أصحاب الأئمّة، و یمکن أن یقال: إنّ الکتاب حسب ما جاء فی مقدّمته الّف لبیان الرواة من الأئمّة، فالظّاهر کون الراوی إمامیّا ما لم یصرّح بالخلاف أو لا أقلّ شیعیّا فتدبّر.</w:t>
      </w:r>
    </w:p>
    <w:p>
      <w:pPr>
        <w:pStyle w:val="BookText"/>
      </w:pPr>
      <w:r>
        <w:rPr>
          <w:rFonts w:ascii="IRNazanin" w:hAnsi="IRNazanin" w:eastAsia="IRNazanin" w:cs="IRNazanin"/>
          <w:lang w:bidi="fa-IR"/>
          <w:color w:val="111111"/>
          <w:sz w:val="28"/>
          <w:szCs w:val="28"/>
          <w:rtl/>
        </w:rPr>
        <w:t xml:space="preserve">و کان سیّدنا المحقّق البروجردی یقول: «إنّ کتاب الرجال للشیخ کانت مذکّرات له و لم یتوفّق لإکماله، و لأجل ذلک نری أنّه یذکر عدة أسماء و لا یذکر فی حقّهم شیئا من الوثاقة و الضّعف و لا الکتاب و الروایة، بل یعدّهم من أصحاب الرسول و الأئمّة فقط».</w:t>
      </w:r>
    </w:p>
    <w:p>
      <w:pPr>
        <w:pStyle w:val="Heading6"/>
      </w:pPr>
      <w:bookmarkStart w:id="2746" w:name="_Toc1781"/>
      <w:r>
        <w:t>4 - فهرس الشیخ:</w:t>
      </w:r>
      <w:bookmarkEnd w:id="2746"/>
    </w:p>
    <w:p>
      <w:pPr>
        <w:pStyle w:val="BookText"/>
      </w:pPr>
      <w:r>
        <w:rPr>
          <w:rFonts w:ascii="IRNazanin" w:hAnsi="IRNazanin" w:eastAsia="IRNazanin" w:cs="IRNazanin"/>
          <w:lang w:bidi="fa-IR"/>
          <w:color w:val="111111"/>
          <w:sz w:val="28"/>
          <w:szCs w:val="28"/>
          <w:rtl/>
        </w:rPr>
        <w:t xml:space="preserve">و هو له - قدس سره - فقد أتی بأسماء الّذین لهم أصل أو تصنیف</w:t>
      </w:r>
      <w:r>
        <w:rPr>
          <w:rStyle w:val="FootnoteReference"/>
        </w:rPr>
        <w:footnoteReference w:id="50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الشّیخ الطّوسی مؤلف الرجال و الفهرس أظهر من أن یعرف، إذ هو الحبر الّذی یقتطف منه أزهار العلوم، و یقتبس منه أنواع الفضل، فهو رئیس المذهب و الملّة، و شیخ المشایخ الأجلّة، فقد أطراه کلّ من ذکره، و وصفه بشیخ الطّائفة علی الإطلاق، و رئیسها الّذی تلوی إلیه الأعناق. صنّف فی</w:t>
      </w:r>
    </w:p>
    <w:p>
      <w:pPr>
        <w:pStyle w:val="BookText"/>
      </w:pPr>
      <w:r>
        <w:rPr>
          <w:rFonts w:ascii="IRNazanin" w:hAnsi="IRNazanin" w:eastAsia="IRNazanin" w:cs="IRNazanin"/>
          <w:lang w:bidi="fa-IR"/>
          <w:color w:val="111111"/>
          <w:sz w:val="28"/>
          <w:szCs w:val="28"/>
          <w:rtl/>
        </w:rPr>
        <w:t xml:space="preserve">[شماره صفحه واقعی : 69]
</w:t>
      </w:r>
    </w:p>
    <w:p>
      <w:pPr>
        <w:sectPr>
          <w:footerReference w:type="default" r:id="rId17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جمیع علوم الإسلام، فهو مضافا إلی اختیار الکشّی، صنّف الفهرس و الرجال.</w:t>
      </w:r>
    </w:p>
    <w:p>
      <w:pPr>
        <w:pStyle w:val="BookText"/>
      </w:pPr>
      <w:r>
        <w:rPr>
          <w:rFonts w:ascii="IRNazanin" w:hAnsi="IRNazanin" w:eastAsia="IRNazanin" w:cs="IRNazanin"/>
          <w:lang w:bidi="fa-IR"/>
          <w:color w:val="111111"/>
          <w:sz w:val="28"/>
          <w:szCs w:val="28"/>
          <w:rtl/>
        </w:rPr>
        <w:t xml:space="preserve">أمّا الفهرس فهو موضوع لذکر الاصول و المصنّفات، و ذکر الطّرق إلیها غالبا و هو یفید من جهتین:</w:t>
      </w:r>
    </w:p>
    <w:p>
      <w:pPr>
        <w:pStyle w:val="BookText"/>
      </w:pPr>
      <w:r>
        <w:rPr>
          <w:rFonts w:ascii="IRNazanin" w:hAnsi="IRNazanin" w:eastAsia="IRNazanin" w:cs="IRNazanin"/>
          <w:lang w:bidi="fa-IR"/>
          <w:color w:val="111111"/>
          <w:sz w:val="28"/>
          <w:szCs w:val="28"/>
          <w:rtl/>
        </w:rPr>
        <w:t xml:space="preserve">الأولی: فی بیان الطّرق إلی نفس هذه الاصول و المصنّفات.</w:t>
      </w:r>
    </w:p>
    <w:p>
      <w:pPr>
        <w:pStyle w:val="BookText"/>
      </w:pPr>
      <w:r>
        <w:rPr>
          <w:rFonts w:ascii="IRNazanin" w:hAnsi="IRNazanin" w:eastAsia="IRNazanin" w:cs="IRNazanin"/>
          <w:lang w:bidi="fa-IR"/>
          <w:color w:val="111111"/>
          <w:sz w:val="28"/>
          <w:szCs w:val="28"/>
          <w:rtl/>
        </w:rPr>
        <w:t xml:space="preserve">الثانیة: إنّ الشّیخ نقل فی التّهذیب روایات من هذه الاصول و المصنّفات، و لم یذکر طریقه إلی تلک الاصول و المصنّفات، لا فی نفس الکتاب و لا فی خاتمة الکتاب، و لکن ذکر طریقه إلیها فی الفهرس، بل ربّما یکون مفیدا من وجه ثالث و هو أنّه ربّما یکون طریق الشّیخ إلی هذه الاصول و المصنّفات ضعیفا فی التّهذیب، و لکنّه صحیح فی الفهرس، فیصحّ توصیف الخبر بالصحّة لأجل الطّریق الموجود فی الفهرس، لکن بشرط أن یعلم أنّ الحدیث مأخوذ من نفس الکتاب. و علی کلّ تقدیر فالفهرس موضوع لبیان مؤلّفی الشیعة علی الإطلاق سواء کان إمامیّا أو غیره.</w:t>
      </w:r>
    </w:p>
    <w:p>
      <w:pPr>
        <w:pStyle w:val="BookText"/>
      </w:pPr>
      <w:r>
        <w:rPr>
          <w:rFonts w:ascii="IRNazanin" w:hAnsi="IRNazanin" w:eastAsia="IRNazanin" w:cs="IRNazanin"/>
          <w:lang w:bidi="fa-IR"/>
          <w:color w:val="111111"/>
          <w:sz w:val="28"/>
          <w:szCs w:val="28"/>
          <w:rtl/>
        </w:rPr>
        <w:t xml:space="preserve">قال فی مقدّمته: «فإذا ذکرت کلّ واحد من المصنّفین و أصحاب الاصول فلا بدّ أن اشیر إلی ما قیل فیه من التّعدیل و التجریح، و هل یعوّل علی روایته أو لا، و ابیّن اعتقاده و هل هو موافق للحقّ أو هو مخالف له؟ لأنّ کثیرا من مصنّفی أصحابنا و أصحاب الاصول ینتحلون المذاهب الفاسدة و إن کانت کتبهم معتمدة، فإذا سهّل اللّه إتمام هذا الکتاب فإنّه یطلع علی أکثر ما عمل من التّصانیف و الاصول و یعرف به قدر صالح من الرجال و طرائقهم»</w:t>
      </w:r>
      <w:r>
        <w:rPr>
          <w:rStyle w:val="FootnoteReference"/>
        </w:rPr>
        <w:footnoteReference w:id="50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لکنّه - قدس سره - لم یف بوعده فی کثیر من ذوی المذاهب الفاسدة، فلم یقل فی إبراهیم بن أبی بکیر بن أبی السمال شیئا، مع أنّه کان واقفیا کما</w:t>
      </w:r>
    </w:p>
    <w:p>
      <w:pPr>
        <w:pStyle w:val="BookText"/>
      </w:pPr>
      <w:r>
        <w:rPr>
          <w:rFonts w:ascii="IRNazanin" w:hAnsi="IRNazanin" w:eastAsia="IRNazanin" w:cs="IRNazanin"/>
          <w:lang w:bidi="fa-IR"/>
          <w:color w:val="111111"/>
          <w:sz w:val="28"/>
          <w:szCs w:val="28"/>
          <w:rtl/>
        </w:rPr>
        <w:t xml:space="preserve">[شماره صفحه واقعی : 70]
</w:t>
      </w:r>
    </w:p>
    <w:p>
      <w:pPr>
        <w:sectPr>
          <w:footerReference w:type="default" r:id="rId1726"/>
          <w:footnotePr>
            <w:numStart w:val="1"/>
            <w:numRestart w:val="eachPage"/>
          </w:footnotePr>
          <w:pgSz w:orient="portrait" w:w="11905.511811023622" w:h="16837.79527559055"/>
          <w:pgMar w:top="1440" w:right="1440" w:bottom="1440" w:left="1440" w:header="720" w:footer="720" w:gutter="0"/>
          <w:cols w:num="1" w:space="720"/>
        </w:sectPr>
      </w:pPr>
    </w:p>
    <w:bookmarkStart w:id="913" w:name="pg14411_144108"/>
    <w:bookmarkEnd w:id="913"/>
    <w:p>
      <w:pPr>
        <w:pStyle w:val="BookText"/>
      </w:pPr>
      <w:r>
        <w:rPr>
          <w:rFonts w:ascii="IRNazanin" w:hAnsi="IRNazanin" w:eastAsia="IRNazanin" w:cs="IRNazanin"/>
          <w:lang w:bidi="fa-IR"/>
          <w:color w:val="111111"/>
          <w:sz w:val="28"/>
          <w:szCs w:val="28"/>
          <w:rtl/>
        </w:rPr>
        <w:t xml:space="preserve">صرّح به الکشّی و النجاشی، و لم یذکر شیئا فی کثیر من الضعفاء حتی فی مثل الحسن بن علی السجّاد الّذی کان یفضّل أبا الخطّاب علی النّبی - صلی اللّه علیه و آله - و النجاشی مع أنّه لم یعد ذلک فی أوّل کتابه، أکثر ذکرا منه بفساد مذهب الفاسدین و ضعف الضّعفاء</w:t>
      </w:r>
      <w:r>
        <w:rPr>
          <w:rStyle w:val="FootnoteReference"/>
        </w:rPr>
        <w:footnoteReference w:id="5035"/>
      </w:r>
      <w:r>
        <w:rPr>
          <w:rFonts w:ascii="Times New Roman" w:hAnsi="Times New Roman" w:eastAsia="Times New Roman" w:cs="Times New Roman"/>
          <w:lang w:val="en-US" w:bidi="en-US"/>
          <w:color w:val="111111"/>
          <w:sz w:val="28"/>
          <w:szCs w:val="28"/>
          <w:rtl/>
        </w:rPr>
        <w:t xml:space="preserve">.</w:t>
      </w:r>
    </w:p>
    <w:p>
      <w:pPr>
        <w:pStyle w:val="Heading6"/>
      </w:pPr>
      <w:bookmarkStart w:id="2747" w:name="_Toc1782"/>
      <w:r>
        <w:t>5 - رجال البرقی</w:t>
      </w:r>
      <w:bookmarkEnd w:id="2747"/>
    </w:p>
    <w:p>
      <w:pPr>
        <w:pStyle w:val="BookText"/>
      </w:pPr>
      <w:r>
        <w:rPr>
          <w:rFonts w:ascii="IRNazanin" w:hAnsi="IRNazanin" w:eastAsia="IRNazanin" w:cs="IRNazanin"/>
          <w:lang w:bidi="fa-IR"/>
          <w:color w:val="111111"/>
          <w:sz w:val="28"/>
          <w:szCs w:val="28"/>
          <w:rtl/>
        </w:rPr>
        <w:t xml:space="preserve">کتاب الرجال للبرقی کرجال الشیخ، أتی فیه أسماء أصحاب النبی - صلی اللّه علیه و آله و سلم - و الأئمّة إلی الحجّة صاحب الزمان - علیهم السلام - و لا یوجد فیه أیّ تعدیل و تجریح، و ذکر النجاشی فی عداد مصنّفات البرقی کتاب الطبقات، ثمّ ذکر ثلاثة کتب اخر ثم قال: «کتاب الرجال» (الرقم 182).</w:t>
      </w:r>
    </w:p>
    <w:p>
      <w:pPr>
        <w:pStyle w:val="BookText"/>
      </w:pPr>
      <w:r>
        <w:rPr>
          <w:rFonts w:ascii="IRNazanin" w:hAnsi="IRNazanin" w:eastAsia="IRNazanin" w:cs="IRNazanin"/>
          <w:lang w:bidi="fa-IR"/>
          <w:color w:val="111111"/>
          <w:sz w:val="28"/>
          <w:szCs w:val="28"/>
          <w:rtl/>
        </w:rPr>
        <w:t xml:space="preserve">و الموجود هو الطبقات المعروف برجال البرقی، المطبوع مع رجال أبی داود فی طهران، و اختلفت کلماتهم فی أن رجال البرقی هل هو تألیف أحمد بن محمّد بن خالد البرقی صاحب المحاسن (المتوفّی عام 274 أو عام 280) أو تألیف أبیه، و القرائن تشهد علی خلاف کلتا النظریتین و إلیک بیانها:</w:t>
      </w:r>
    </w:p>
    <w:p>
      <w:pPr>
        <w:pStyle w:val="BookText"/>
      </w:pPr>
      <w:r>
        <w:rPr>
          <w:rFonts w:ascii="IRNazanin" w:hAnsi="IRNazanin" w:eastAsia="IRNazanin" w:cs="IRNazanin"/>
          <w:lang w:bidi="fa-IR"/>
          <w:color w:val="111111"/>
          <w:sz w:val="28"/>
          <w:szCs w:val="28"/>
          <w:rtl/>
        </w:rPr>
        <w:t xml:space="preserve">1 - إنّه کثیرا ما یستند فی رجاله إلی کتاب سعد بن عبد اللّه بن أبی خلف الأشعریّ القمّی (المتوفّی 301 أو 299) و سعد بن عبد اللّه ممّن یروی عن أحمد بن محمّد بن خالد فهو شیخه، و لا معنی لاستناد البرقی الی کتاب تلمیذه</w:t>
      </w:r>
      <w:r>
        <w:rPr>
          <w:rStyle w:val="FootnoteReference"/>
        </w:rPr>
        <w:footnoteReference w:id="50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و قد عنون فیه عبد اللّه بن جعفر الحمیری و صرّح بسماعه منه و هو مؤلّف قرب الاسناد و شیخ القمیّین، و هو یروی عن أحمد بن محمد بن خالد البرقی، فیکون البرقی شیخه، فکیف یصرّح بسماعه منه؟</w:t>
      </w:r>
      <w:r>
        <w:rPr>
          <w:rStyle w:val="FootnoteReference"/>
        </w:rPr>
        <w:footnoteReference w:id="50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71]
</w:t>
      </w:r>
    </w:p>
    <w:p>
      <w:pPr>
        <w:sectPr>
          <w:footerReference w:type="default" r:id="rId1727"/>
          <w:footnotePr>
            <w:numStart w:val="1"/>
            <w:numRestart w:val="eachPage"/>
          </w:footnotePr>
          <w:pgSz w:orient="portrait" w:w="11905.511811023622" w:h="16837.79527559055"/>
          <w:pgMar w:top="1440" w:right="1440" w:bottom="1440" w:left="1440" w:header="720" w:footer="720" w:gutter="0"/>
          <w:cols w:num="1" w:space="720"/>
        </w:sectPr>
      </w:pPr>
    </w:p>
    <w:bookmarkStart w:id="914" w:name="pg14411_144109"/>
    <w:bookmarkEnd w:id="914"/>
    <w:p>
      <w:pPr>
        <w:pStyle w:val="BookText"/>
      </w:pPr>
      <w:r>
        <w:rPr>
          <w:rFonts w:ascii="IRNazanin" w:hAnsi="IRNazanin" w:eastAsia="IRNazanin" w:cs="IRNazanin"/>
          <w:lang w:bidi="fa-IR"/>
          <w:color w:val="111111"/>
          <w:sz w:val="28"/>
          <w:szCs w:val="28"/>
          <w:rtl/>
        </w:rPr>
        <w:t xml:space="preserve">3 - و قد عنون فیه أحمد بن أبی عبد اللّه، و هو نفس أحمد بن محمد بن خالد البرقی المعروف، و لم یذکر أنّه مصنّف الکتاب کما هو القاعدة فیمن یذکر نفسه فی کتابه، کما فعل الشیخ و النجاشی فی فهرسیهما و العلامة و ابن داود فی کتابیهما</w:t>
      </w:r>
      <w:r>
        <w:rPr>
          <w:rStyle w:val="FootnoteReference"/>
        </w:rPr>
        <w:footnoteReference w:id="50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و قد عنون محمد بن خالد و لم یشر إلی أنّه أبوه</w:t>
      </w:r>
      <w:r>
        <w:rPr>
          <w:rStyle w:val="FootnoteReference"/>
        </w:rPr>
        <w:footnoteReference w:id="50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هذه القرائن تشهد أنّه لیس تألیف البرقی و لا والده، و هو إمّا من تألیف ابنه - أعنی عبد اللّه بن أحمد البرقی - الذی یروی عنه الکلینی، أو تألیف نجله - أعنی أحمد بن عبد اللّه بن أحمد البرقی - الذی یروی عنه الصدوق، و الثانی أقرب لعنوانه سعدا و الحمیری اللذین یعدان معاصرین للابن و فی طبقة المشیخة للنّجل</w:t>
      </w:r>
      <w:r>
        <w:rPr>
          <w:rStyle w:val="FootnoteReference"/>
        </w:rPr>
        <w:footnoteReference w:id="5040"/>
      </w:r>
      <w:r>
        <w:rPr>
          <w:rFonts w:ascii="Times New Roman" w:hAnsi="Times New Roman" w:eastAsia="Times New Roman" w:cs="Times New Roman"/>
          <w:lang w:val="en-US" w:bidi="en-US"/>
          <w:color w:val="111111"/>
          <w:sz w:val="28"/>
          <w:szCs w:val="28"/>
          <w:rtl/>
        </w:rPr>
        <w:t xml:space="preserve">.</w:t>
      </w:r>
    </w:p>
    <w:p>
      <w:pPr>
        <w:pStyle w:val="Heading6"/>
      </w:pPr>
      <w:bookmarkStart w:id="2748" w:name="_Toc1783"/>
      <w:r>
        <w:t>6 - رسالة أبی غالب الزراری</w:t>
      </w:r>
      <w:bookmarkEnd w:id="2748"/>
    </w:p>
    <w:p>
      <w:pPr>
        <w:pStyle w:val="BookText"/>
      </w:pPr>
      <w:r>
        <w:rPr>
          <w:rFonts w:ascii="IRNazanin" w:hAnsi="IRNazanin" w:eastAsia="IRNazanin" w:cs="IRNazanin"/>
          <w:lang w:bidi="fa-IR"/>
          <w:color w:val="111111"/>
          <w:sz w:val="28"/>
          <w:szCs w:val="28"/>
          <w:rtl/>
        </w:rPr>
        <w:t xml:space="preserve">و هی رسالة للشّیخ أبی غالب، أحمد بن محمّد الّذی ینتهی نسبه إلی بکیر بن أعین. و هذه الرسالة فی نسب آل أعین، و تراجم المحدّثین منهم، کتبها أبو غالب الی ابن ابنه «محمد بن عبد اللّه بن أبی غالب» و هی إجازة منه سنة 356 ه، ثمّ جدّدها فی سنة 367 ه، و توفّی بعد ذلک بسنة (أی سنة 368 ه) و کانت ولادته سنة 285 ه. ذکر فی تلک الرسالة بضعة و عشرین من مشایخه، منهم: جدّه أبو طاهر الذی مات سنة 300</w:t>
      </w:r>
      <w:r>
        <w:rPr>
          <w:rStyle w:val="FootnoteReference"/>
        </w:rPr>
        <w:footnoteReference w:id="5041"/>
      </w:r>
      <w:r>
        <w:rPr>
          <w:rFonts w:ascii="IRNazanin" w:hAnsi="IRNazanin" w:eastAsia="IRNazanin" w:cs="IRNazanin"/>
          <w:lang w:bidi="fa-IR"/>
          <w:color w:val="111111"/>
          <w:sz w:val="28"/>
          <w:szCs w:val="28"/>
          <w:rtl/>
        </w:rPr>
        <w:t xml:space="preserve">و منهم: عبد اللّه بن جعفر الحمیری الذی ورد الکوفة سنة 297</w:t>
      </w:r>
      <w:r>
        <w:rPr>
          <w:rStyle w:val="FootnoteReference"/>
        </w:rPr>
        <w:footnoteReference w:id="50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72]
</w:t>
      </w:r>
    </w:p>
    <w:p>
      <w:pPr>
        <w:sectPr>
          <w:footerReference w:type="default" r:id="rId1728"/>
          <w:footnotePr>
            <w:numStart w:val="1"/>
            <w:numRestart w:val="eachPage"/>
          </w:footnotePr>
          <w:pgSz w:orient="portrait" w:w="11905.511811023622" w:h="16837.79527559055"/>
          <w:pgMar w:top="1440" w:right="1440" w:bottom="1440" w:left="1440" w:header="720" w:footer="720" w:gutter="0"/>
          <w:cols w:num="1" w:space="720"/>
        </w:sectPr>
      </w:pPr>
    </w:p>
    <w:bookmarkStart w:id="915" w:name="pg14411_144110"/>
    <w:bookmarkEnd w:id="915"/>
    <w:p>
      <w:pPr>
        <w:pStyle w:val="BookText"/>
      </w:pPr>
      <w:r>
        <w:rPr>
          <w:rFonts w:ascii="IRNazanin" w:hAnsi="IRNazanin" w:eastAsia="IRNazanin" w:cs="IRNazanin"/>
          <w:lang w:bidi="fa-IR"/>
          <w:color w:val="111111"/>
          <w:sz w:val="28"/>
          <w:szCs w:val="28"/>
          <w:rtl/>
        </w:rPr>
        <w:t xml:space="preserve">و فی أواخر الرسالة ذکر فهرس الکتب الموجودة عنده، الّتی یرویها هو عن مؤلّفیها، و تبلغ مائة و اثنین و عشرین کتابا، و جزء، و أجاز لابن ابنه المذکور روایتها عنه و قال: «ثبت الکتب الّتی أجزت لک روایتها علی الحال الّتی قدّمت ذکرها»</w:t>
      </w:r>
      <w:r>
        <w:rPr>
          <w:rStyle w:val="FootnoteReference"/>
        </w:rPr>
        <w:footnoteReference w:id="50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العلاّمة الطهرانی: «و فی هذا الکتاب تراجم کثیرة من آل أعین الّذین کان منهم فی عصر واحد أربعون محدّثا. قال فیه: و لم یبق فی وقتی من آل أعین أحد یروی الحدیث، و لا یطلب العلم، و شححت علی أهل هذا البیت الّذی لم یخل من محدّث أن یضمحلّ ذکرهم، و یدرس رسمهم، و یبطل حدیثهم من أولادهم»</w:t>
      </w:r>
      <w:r>
        <w:rPr>
          <w:rStyle w:val="FootnoteReference"/>
        </w:rPr>
        <w:footnoteReference w:id="50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بالجملة، هذه الرسالة مع صغر حجمها تعدّ من الاصول الرجالیّة و هی بعینها مندرجة فی «کشکول» المحدّث البحرانی.</w:t>
      </w:r>
    </w:p>
    <w:p>
      <w:pPr>
        <w:pStyle w:val="BookText"/>
      </w:pPr>
      <w:r>
        <w:rPr>
          <w:rFonts w:ascii="IRNazanin" w:hAnsi="IRNazanin" w:eastAsia="IRNazanin" w:cs="IRNazanin"/>
          <w:lang w:bidi="fa-IR"/>
          <w:color w:val="111111"/>
          <w:sz w:val="28"/>
          <w:szCs w:val="28"/>
          <w:rtl/>
        </w:rPr>
        <w:t xml:space="preserve">و طبعت أخیرا مع شرح العلاّمة الحجة السیّد محمّد علی الأبطحی - شکر اللّه مساعیه - و فیه فوائد مهمة.</w:t>
      </w:r>
    </w:p>
    <w:p>
      <w:pPr>
        <w:pStyle w:val="Heading6"/>
      </w:pPr>
      <w:bookmarkStart w:id="2749" w:name="_Toc1784"/>
      <w:r>
        <w:t>7 - مشیخة الصدوق:</w:t>
      </w:r>
      <w:bookmarkEnd w:id="2749"/>
    </w:p>
    <w:p>
      <w:pPr>
        <w:pStyle w:val="BookText"/>
      </w:pPr>
      <w:r>
        <w:rPr>
          <w:rFonts w:ascii="IRNazanin" w:hAnsi="IRNazanin" w:eastAsia="IRNazanin" w:cs="IRNazanin"/>
          <w:lang w:bidi="fa-IR"/>
          <w:color w:val="111111"/>
          <w:sz w:val="28"/>
          <w:szCs w:val="28"/>
          <w:rtl/>
        </w:rPr>
        <w:t xml:space="preserve">و هی تألیف الشیخ الصّدوق أبی جعفر محمّد بن علیّ بن الحسین بن بابویه المولود بدعاء الحجّة صاحب الزمان - عجل اللّه تعالی فرجه الشریف - عام 306، و المتوفّی عام 381، و هو أوسط المحمّدین الثلاثة المصنّفین للکتب الأربعة، و هو قد سلک فی کتابه هذا مسلکا غیر ما سلکه الشیخ الکلینی، فإنّ ثقة الإسلام یذکر جمیع السند غالبا إلاّ قلیلا، اعتمادا علی ما ذکره فی الأخبار السابقة، و أمّا الشیخ الصدوق فی کتاب «من لا یحضره</w:t>
      </w:r>
    </w:p>
    <w:p>
      <w:pPr>
        <w:pStyle w:val="BookText"/>
      </w:pPr>
      <w:r>
        <w:rPr>
          <w:rFonts w:ascii="IRNazanin" w:hAnsi="IRNazanin" w:eastAsia="IRNazanin" w:cs="IRNazanin"/>
          <w:lang w:bidi="fa-IR"/>
          <w:color w:val="111111"/>
          <w:sz w:val="28"/>
          <w:szCs w:val="28"/>
          <w:rtl/>
        </w:rPr>
        <w:t xml:space="preserve">[شماره صفحه واقعی : 73]
</w:t>
      </w:r>
    </w:p>
    <w:p>
      <w:pPr>
        <w:sectPr>
          <w:footerReference w:type="default" r:id="rId1729"/>
          <w:footnotePr>
            <w:numStart w:val="1"/>
            <w:numRestart w:val="eachPage"/>
          </w:footnotePr>
          <w:pgSz w:orient="portrait" w:w="11905.511811023622" w:h="16837.79527559055"/>
          <w:pgMar w:top="1440" w:right="1440" w:bottom="1440" w:left="1440" w:header="720" w:footer="720" w:gutter="0"/>
          <w:cols w:num="1" w:space="720"/>
        </w:sectPr>
      </w:pPr>
    </w:p>
    <w:bookmarkStart w:id="916" w:name="pg14411_144111"/>
    <w:bookmarkEnd w:id="916"/>
    <w:p>
      <w:pPr>
        <w:pStyle w:val="BookText"/>
      </w:pPr>
      <w:r>
        <w:rPr>
          <w:rFonts w:ascii="IRNazanin" w:hAnsi="IRNazanin" w:eastAsia="IRNazanin" w:cs="IRNazanin"/>
          <w:lang w:bidi="fa-IR"/>
          <w:color w:val="111111"/>
          <w:sz w:val="28"/>
          <w:szCs w:val="28"/>
          <w:rtl/>
        </w:rPr>
        <w:t xml:space="preserve">الفقیه» فهو بنی من أوّل الأمر علی اختصار الأسانید، و حذف أوائل الإسناد، ثمّ وضع فی آخره مشیخة یعرف بها طریقه إلی من روی عنه، فهی المرجع فی اتّصال سنده فی أخبار هذا الکتاب، و هذه المشیخة إحدی الرسائل الرجالیّة الّتی لا تخلو من فوائد، و قد أدرجها الصدوق - رحمه اللّه - فی آخر کتابه «من لا یحضره الفقیه».</w:t>
      </w:r>
    </w:p>
    <w:p>
      <w:pPr>
        <w:pStyle w:val="Heading6"/>
      </w:pPr>
      <w:bookmarkStart w:id="2750" w:name="_Toc1785"/>
      <w:r>
        <w:t>8 - مشیخة الشیخ الطوسی فی کتابی: التهذیب و الاستبصار</w:t>
      </w:r>
      <w:bookmarkEnd w:id="2750"/>
    </w:p>
    <w:p>
      <w:pPr>
        <w:pStyle w:val="Heading6"/>
      </w:pPr>
      <w:bookmarkStart w:id="2751" w:name="_Toc1786"/>
      <w:r>
        <w:t>اشارة</w:t>
      </w:r>
      <w:bookmarkEnd w:id="2751"/>
    </w:p>
    <w:p>
      <w:pPr>
        <w:pStyle w:val="BookText"/>
      </w:pPr>
      <w:r>
        <w:rPr>
          <w:rFonts w:ascii="IRNazanin" w:hAnsi="IRNazanin" w:eastAsia="IRNazanin" w:cs="IRNazanin"/>
          <w:lang w:bidi="fa-IR"/>
          <w:color w:val="111111"/>
          <w:sz w:val="28"/>
          <w:szCs w:val="28"/>
          <w:rtl/>
        </w:rPr>
        <w:t xml:space="preserve">و هی کمشیخة الصّدوق، فقد صدّر الشیخ أحادیث الکتابین بأسماء أصحاب الاصول و المصنّفات، و ذکر سنده إلیهم فی مشیخة الکتابین الّتی جعلها فی آخر کل من الکتابین. و سیوافیک البحث حول المشیختین.</w:t>
      </w:r>
    </w:p>
    <w:p>
      <w:pPr>
        <w:pStyle w:val="Heading6"/>
      </w:pPr>
      <w:bookmarkStart w:id="2752" w:name="_Toc1787"/>
      <w:r>
        <w:t>توالی التألیف فی علم الرجال</w:t>
      </w:r>
      <w:bookmarkEnd w:id="2752"/>
    </w:p>
    <w:p>
      <w:pPr>
        <w:pStyle w:val="BookText"/>
      </w:pPr>
      <w:r>
        <w:rPr>
          <w:rFonts w:ascii="IRNazanin" w:hAnsi="IRNazanin" w:eastAsia="IRNazanin" w:cs="IRNazanin"/>
          <w:lang w:bidi="fa-IR"/>
          <w:color w:val="111111"/>
          <w:sz w:val="28"/>
          <w:szCs w:val="28"/>
          <w:rtl/>
        </w:rPr>
        <w:t xml:space="preserve">و قد توالی التألیف فی علم الرجال بعد هذه الاصول الثمانیة، و لکن لا یقاس فی الوزن و القیمة بها، و لأجل ذلک یجب الوقوف علیها و استخراج ما فیها من النّصوص فی حقّ الرواة، و سیوافیک وجه الفرق بین هذه الکتب و ما ألّف بعدها و قیمة توثیق المتأخّرین.</w:t>
      </w:r>
    </w:p>
    <w:p>
      <w:pPr>
        <w:pStyle w:val="Heading6"/>
      </w:pPr>
      <w:bookmarkStart w:id="2753" w:name="_Toc1788"/>
      <w:r>
        <w:t>الفرق بین الرجال و الفهرس</w:t>
      </w:r>
      <w:bookmarkEnd w:id="2753"/>
    </w:p>
    <w:p>
      <w:pPr>
        <w:pStyle w:val="BookText"/>
      </w:pPr>
      <w:r>
        <w:rPr>
          <w:rFonts w:ascii="IRNazanin" w:hAnsi="IRNazanin" w:eastAsia="IRNazanin" w:cs="IRNazanin"/>
          <w:lang w:bidi="fa-IR"/>
          <w:color w:val="111111"/>
          <w:sz w:val="28"/>
          <w:szCs w:val="28"/>
          <w:rtl/>
        </w:rPr>
        <w:t xml:space="preserve">قد أومأنا الی أنّ الصحیح هو تسمیة کتاب النجاشی بالفهرس لا بالرجال، و لإکمال البحث. نقول:</w:t>
      </w:r>
    </w:p>
    <w:p>
      <w:pPr>
        <w:pStyle w:val="BookText"/>
      </w:pPr>
      <w:r>
        <w:rPr>
          <w:rFonts w:ascii="IRNazanin" w:hAnsi="IRNazanin" w:eastAsia="IRNazanin" w:cs="IRNazanin"/>
          <w:lang w:bidi="fa-IR"/>
          <w:color w:val="111111"/>
          <w:sz w:val="28"/>
          <w:szCs w:val="28"/>
          <w:rtl/>
        </w:rPr>
        <w:t xml:space="preserve">الفرق بین کتاب الرجال و فهرس الاصول و المصنّفات، أنّ الرجال ما کان مبنیّا علی بیان طبقات أصحابهم - علیهم السلام - </w:t>
      </w:r>
      <w:r>
        <w:rPr>
          <w:rStyle w:val="FootnoteReference"/>
        </w:rPr>
        <w:footnoteReference w:id="5045"/>
      </w:r>
      <w:r>
        <w:rPr>
          <w:rFonts w:ascii="IRNazanin" w:hAnsi="IRNazanin" w:eastAsia="IRNazanin" w:cs="IRNazanin"/>
          <w:lang w:bidi="fa-IR"/>
          <w:color w:val="111111"/>
          <w:sz w:val="28"/>
          <w:szCs w:val="28"/>
          <w:rtl/>
        </w:rPr>
        <w:t xml:space="preserve">کما علیه رجال الشیخ،</w:t>
      </w:r>
    </w:p>
    <w:p>
      <w:pPr>
        <w:pStyle w:val="BookText"/>
      </w:pPr>
      <w:r>
        <w:rPr>
          <w:rFonts w:ascii="IRNazanin" w:hAnsi="IRNazanin" w:eastAsia="IRNazanin" w:cs="IRNazanin"/>
          <w:lang w:bidi="fa-IR"/>
          <w:color w:val="111111"/>
          <w:sz w:val="28"/>
          <w:szCs w:val="28"/>
          <w:rtl/>
        </w:rPr>
        <w:t xml:space="preserve">[شماره صفحه واقعی : 74]
</w:t>
      </w:r>
    </w:p>
    <w:p>
      <w:pPr>
        <w:sectPr>
          <w:footerReference w:type="default" r:id="rId17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حیث شرع بتدوین أصحاب النبی - صلی اللّه علیه و آله - ثمّ الامام علی - علیه السلام - و هکذا.</w:t>
      </w:r>
    </w:p>
    <w:p>
      <w:pPr>
        <w:pStyle w:val="BookText"/>
      </w:pPr>
      <w:r>
        <w:rPr>
          <w:rFonts w:ascii="IRNazanin" w:hAnsi="IRNazanin" w:eastAsia="IRNazanin" w:cs="IRNazanin"/>
          <w:lang w:bidi="fa-IR"/>
          <w:color w:val="111111"/>
          <w:sz w:val="28"/>
          <w:szCs w:val="28"/>
          <w:rtl/>
        </w:rPr>
        <w:t xml:space="preserve">و أمّا الفهارس؛ فیکتفی فیها بمجرّد ذکر الاصول و المصنّفات و مؤلفیها و ذکر الطرق إلیها، و لأجل ذلک تری النجاشی یقول فی حقّ بعضهم، «ذکره أصحاب الفهرس»، و فی بعضهم: «ذکره أصحاب الرجال»، و یؤیّد ذلک ما ذکره نفس النجاشی و مقدّمة الجزء الأوّل من الکتاب</w:t>
      </w:r>
      <w:r>
        <w:rPr>
          <w:rStyle w:val="FootnoteReference"/>
        </w:rPr>
        <w:footnoteReference w:id="5046"/>
      </w:r>
      <w:r>
        <w:rPr>
          <w:rFonts w:ascii="IRNazanin" w:hAnsi="IRNazanin" w:eastAsia="IRNazanin" w:cs="IRNazanin"/>
          <w:lang w:bidi="fa-IR"/>
          <w:color w:val="111111"/>
          <w:sz w:val="28"/>
          <w:szCs w:val="28"/>
          <w:rtl/>
        </w:rPr>
        <w:t xml:space="preserve">و فی أوّل الجزء الثّانی منه حیث یصفه بقوله: «الجزء الثانی من کتاب فهرس أسماء مصنّفی الشیعة و ذکر طرف من کناهم و ألقابهم و منازلهم و أنسابهم و ما قیل فی کلّ رجل منهم من مدح أو ذمّ»</w:t>
      </w:r>
      <w:r>
        <w:rPr>
          <w:rStyle w:val="FootnoteReference"/>
        </w:rPr>
        <w:footnoteReference w:id="50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المحقّق التستری: «إنّ کتب فن الرجال العامّ علی أنحاء: منها بعنوان الرجال المجرّد و منها بعنوان معرفة الرّجال، و منها بعنوان تاریخ الرجال، و منها بعنوان الفهرس، و منها بعنوان الممدوحین و المذمومین، و منها بعنوان المشیخة، و لکلّ واحد موضوع خاصّ»</w:t>
      </w:r>
      <w:r>
        <w:rPr>
          <w:rStyle w:val="FootnoteReference"/>
        </w:rPr>
        <w:footnoteReference w:id="50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75]
</w:t>
      </w:r>
    </w:p>
    <w:p>
      <w:pPr>
        <w:sectPr>
          <w:footerReference w:type="default" r:id="rId17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76]
</w:t>
      </w:r>
    </w:p>
    <w:p>
      <w:pPr>
        <w:sectPr>
          <w:footerReference w:type="default" r:id="rId1732"/>
          <w:footnotePr>
            <w:numStart w:val="1"/>
            <w:numRestart w:val="eachPage"/>
          </w:footnotePr>
          <w:pgSz w:orient="portrait" w:w="11905.511811023622" w:h="16837.79527559055"/>
          <w:pgMar w:top="1440" w:right="1440" w:bottom="1440" w:left="1440" w:header="720" w:footer="720" w:gutter="0"/>
          <w:cols w:num="1" w:space="720"/>
        </w:sectPr>
      </w:pPr>
    </w:p>
    <w:bookmarkStart w:id="917" w:name="pg14411_144114"/>
    <w:bookmarkEnd w:id="917"/>
    <w:p>
      <w:pPr>
        <w:pStyle w:val="Heading5"/>
      </w:pPr>
      <w:bookmarkStart w:id="2754" w:name="_Toc1789"/>
      <w:r>
        <w:t>2 - رجال ابن الغضائری</w:t>
      </w:r>
      <w:bookmarkEnd w:id="2754"/>
    </w:p>
    <w:p>
      <w:pPr>
        <w:pStyle w:val="Heading6"/>
      </w:pPr>
      <w:bookmarkStart w:id="2755" w:name="_Toc1790"/>
      <w:r>
        <w:t>اشارة</w:t>
      </w:r>
      <w:bookmarkEnd w:id="275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ترجمة الغضائری.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ترجمة ابن الغضائری.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کیفیة وقوف العلماء علی کتاب الضعفاء.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هل الکتاب للغضائری أو لابنه؟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الضعفاء رابع کتبه.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قیمته عند العلماء.</w:t>
      </w:r>
    </w:p>
    <w:p>
      <w:pPr>
        <w:pStyle w:val="BookText"/>
      </w:pPr>
      <w:r>
        <w:rPr>
          <w:rFonts w:ascii="IRNazanin" w:hAnsi="IRNazanin" w:eastAsia="IRNazanin" w:cs="IRNazanin"/>
          <w:lang w:bidi="fa-IR"/>
          <w:color w:val="111111"/>
          <w:sz w:val="28"/>
          <w:szCs w:val="28"/>
          <w:rtl/>
        </w:rPr>
        <w:t xml:space="preserve">[شماره صفحه واقعی : 77]
</w:t>
      </w:r>
    </w:p>
    <w:p>
      <w:pPr>
        <w:sectPr>
          <w:footerReference w:type="default" r:id="rId17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78]
</w:t>
      </w:r>
    </w:p>
    <w:p>
      <w:pPr>
        <w:sectPr>
          <w:footerReference w:type="default" r:id="rId1734"/>
          <w:footnotePr>
            <w:numStart w:val="1"/>
            <w:numRestart w:val="eachPage"/>
          </w:footnotePr>
          <w:pgSz w:orient="portrait" w:w="11905.511811023622" w:h="16837.79527559055"/>
          <w:pgMar w:top="1440" w:right="1440" w:bottom="1440" w:left="1440" w:header="720" w:footer="720" w:gutter="0"/>
          <w:cols w:num="1" w:space="720"/>
        </w:sectPr>
      </w:pPr>
    </w:p>
    <w:bookmarkStart w:id="918" w:name="pg14411_144116"/>
    <w:bookmarkEnd w:id="918"/>
    <w:p>
      <w:pPr>
        <w:pStyle w:val="BookText"/>
      </w:pPr>
      <w:r>
        <w:rPr>
          <w:rFonts w:ascii="IRNazanin" w:hAnsi="IRNazanin" w:eastAsia="IRNazanin" w:cs="IRNazanin"/>
          <w:lang w:bidi="fa-IR"/>
          <w:color w:val="111111"/>
          <w:sz w:val="28"/>
          <w:szCs w:val="28"/>
          <w:rtl/>
        </w:rPr>
        <w:t xml:space="preserve">من الکتب الرّجالیة المؤلّفة فی العصور المتقدّمة الّتی تعدّ عند البعض من أمّهات الکتب الرجالیّة، الکتاب الموسوم ب «رجال الغضائری» تارة و «رجال ابن الغضائری» اخری، و لیس هو إلاّ کتاب «الضعفاء» الّذی أدرجه العلاّمة فی خلاصته، و القهبائی فی مجمعه. و لرفع السّتر عن وجه الحقیقة یجب الوقوف علی امور.</w:t>
      </w:r>
    </w:p>
    <w:p>
      <w:pPr>
        <w:pStyle w:val="BookText"/>
      </w:pPr>
      <w:r>
        <w:rPr>
          <w:rFonts w:ascii="IRNazanin" w:hAnsi="IRNazanin" w:eastAsia="IRNazanin" w:cs="IRNazanin"/>
          <w:lang w:bidi="fa-IR"/>
          <w:color w:val="111111"/>
          <w:sz w:val="28"/>
          <w:szCs w:val="28"/>
          <w:rtl/>
        </w:rPr>
        <w:t xml:space="preserve">و إلیک البحث عنها واحدا بعد الآخر:</w:t>
      </w:r>
    </w:p>
    <w:p>
      <w:pPr>
        <w:pStyle w:val="Heading6"/>
      </w:pPr>
      <w:bookmarkStart w:id="2756" w:name="_Toc1791"/>
      <w:r>
        <w:t>أ - ترجمة الغضائری:</w:t>
      </w:r>
      <w:bookmarkEnd w:id="2756"/>
    </w:p>
    <w:p>
      <w:pPr>
        <w:pStyle w:val="BookText"/>
      </w:pPr>
      <w:r>
        <w:rPr>
          <w:rFonts w:ascii="IRNazanin" w:hAnsi="IRNazanin" w:eastAsia="IRNazanin" w:cs="IRNazanin"/>
          <w:lang w:bidi="fa-IR"/>
          <w:color w:val="111111"/>
          <w:sz w:val="28"/>
          <w:szCs w:val="28"/>
          <w:rtl/>
        </w:rPr>
        <w:t xml:space="preserve">الحسین بن عبید اللّه بن ابراهیم الغضائری من رجال الشیعة و هو معنی فی کتب الرجال بإکبار.</w:t>
      </w:r>
    </w:p>
    <w:p>
      <w:pPr>
        <w:pStyle w:val="BookText"/>
      </w:pPr>
      <w:r>
        <w:rPr>
          <w:rFonts w:ascii="IRNazanin" w:hAnsi="IRNazanin" w:eastAsia="IRNazanin" w:cs="IRNazanin"/>
          <w:lang w:bidi="fa-IR"/>
          <w:color w:val="111111"/>
          <w:sz w:val="28"/>
          <w:szCs w:val="28"/>
          <w:rtl/>
        </w:rPr>
        <w:t xml:space="preserve">قال النجاشی: «شیخنا رحمه اللّه له کتب» ثمّ ذکر أسماء تآلیفه البالغة إلی أربعة عشر کتابا و لم یسمّ له أیّ کتاب فی الرجال، ثمّ قال: «أجازنا جمیعها و جمیع روایاته عن شیوخه و مات - رحمه اللّه - فی منتصف شهر صفر سنة إحدی عشر و أربعمائة»</w:t>
      </w:r>
      <w:r>
        <w:rPr>
          <w:rStyle w:val="FootnoteReference"/>
        </w:rPr>
        <w:footnoteReference w:id="50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79]
</w:t>
      </w:r>
    </w:p>
    <w:p>
      <w:pPr>
        <w:sectPr>
          <w:footerReference w:type="default" r:id="rId1735"/>
          <w:footnotePr>
            <w:numStart w:val="1"/>
            <w:numRestart w:val="eachPage"/>
          </w:footnotePr>
          <w:pgSz w:orient="portrait" w:w="11905.511811023622" w:h="16837.79527559055"/>
          <w:pgMar w:top="1440" w:right="1440" w:bottom="1440" w:left="1440" w:header="720" w:footer="720" w:gutter="0"/>
          <w:cols w:num="1" w:space="720"/>
        </w:sectPr>
      </w:pPr>
    </w:p>
    <w:bookmarkStart w:id="919" w:name="pg14411_144117"/>
    <w:bookmarkEnd w:id="919"/>
    <w:p>
      <w:pPr>
        <w:pStyle w:val="BookText"/>
      </w:pPr>
      <w:r>
        <w:rPr>
          <w:rFonts w:ascii="IRNazanin" w:hAnsi="IRNazanin" w:eastAsia="IRNazanin" w:cs="IRNazanin"/>
          <w:lang w:bidi="fa-IR"/>
          <w:color w:val="111111"/>
          <w:sz w:val="28"/>
          <w:szCs w:val="28"/>
          <w:rtl/>
        </w:rPr>
        <w:t xml:space="preserve">و قال الشیخ فی رجاله: «الحسین بن عبید اللّه الغضائری یکنّی أبا عبد اللّه، کثیر السّماع، عارف بالرجال و له تصانیف ذکرناها فی الفهرس، سمعنا منه و أجاز لنا بجمیع روایاته. مات سنة إحدی عشر و أربعمائة»</w:t>
      </w:r>
      <w:r>
        <w:rPr>
          <w:rStyle w:val="FootnoteReference"/>
        </w:rPr>
        <w:footnoteReference w:id="5050"/>
      </w:r>
      <w:r>
        <w:rPr>
          <w:rFonts w:ascii="IRNazanin" w:hAnsi="IRNazanin" w:eastAsia="IRNazanin" w:cs="IRNazanin"/>
          <w:lang w:bidi="fa-IR"/>
          <w:color w:val="111111"/>
          <w:sz w:val="28"/>
          <w:szCs w:val="28"/>
          <w:rtl/>
        </w:rPr>
        <w:t xml:space="preserve">و لکنّ النّسخ الموجودة من الفهرس خالیة من ترجمته و لعلّ ذلک صدر منه - رحمه اللّه - سهوا، أو سقط من النسخ المطبوعة، و لا یخفی أنّ هذه التعابیر دالّة علی وثاقة الرجل. بل یکفی کونه من مشایخ النجاشی و الشیخ، و قد ثبت فی محلّه - و سیوافیک - أنّ مشایخ النجاشی کلّهم ثقات.</w:t>
      </w:r>
    </w:p>
    <w:p>
      <w:pPr>
        <w:pStyle w:val="Heading6"/>
      </w:pPr>
      <w:bookmarkStart w:id="2757" w:name="_Toc1792"/>
      <w:r>
        <w:t>ب - ترجمة ابن الغضائری:</w:t>
      </w:r>
      <w:bookmarkEnd w:id="2757"/>
    </w:p>
    <w:p>
      <w:pPr>
        <w:pStyle w:val="BookText"/>
      </w:pPr>
      <w:r>
        <w:rPr>
          <w:rFonts w:ascii="IRNazanin" w:hAnsi="IRNazanin" w:eastAsia="IRNazanin" w:cs="IRNazanin"/>
          <w:lang w:bidi="fa-IR"/>
          <w:color w:val="111111"/>
          <w:sz w:val="28"/>
          <w:szCs w:val="28"/>
          <w:rtl/>
        </w:rPr>
        <w:t xml:space="preserve">هو أحمد بن الحسین بن عبید اللّه، ذکره الشیخ فی مقدّمة الفهرس و قال: «إنّی لمّا رأیت جماعة من شیوخ طائفتنا من أصحاب الحدیث عملوا فهرس کتب أصحابنا و ما صنّفوه من التّصانیف و رووه من الاصول، و لم أجد أحدا استوفی ذلک... إلاّ ما قصده أبو الحسین أحمد بن الحسین بن عبید اللّه - رحمه اللّه - فإنّه عمل کتابین، أحدهما ذکر فیه المصنّفات و الآخر ذکر فیه الاصول، و استوفاهما علی مبلغ ما وجده و قدر علیه، غیر أنّ هذین الکتابین لم ینسخهما أحد من أصحابنا و اخترم هو و عمد بعض ورثته الی إهلاک هذین الکتابین و غیرهما من الکتب علی ما حکی بعضهم عنه»</w:t>
      </w:r>
      <w:r>
        <w:rPr>
          <w:rStyle w:val="FootnoteReference"/>
        </w:rPr>
        <w:footnoteReference w:id="50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هذه العبارة تفید أنّه قد تلف الکتابان قبل استنساخهما، غیر أنّ النجاشی کما سیوافیک ینقل عنه بکثیر. و المنقول عنه غیر هذین الکتابین کما سیوافیک بیانه.</w:t>
      </w:r>
    </w:p>
    <w:p>
      <w:pPr>
        <w:pStyle w:val="BookText"/>
      </w:pPr>
      <w:r>
        <w:rPr>
          <w:rFonts w:ascii="IRNazanin" w:hAnsi="IRNazanin" w:eastAsia="IRNazanin" w:cs="IRNazanin"/>
          <w:lang w:bidi="fa-IR"/>
          <w:color w:val="111111"/>
          <w:sz w:val="28"/>
          <w:szCs w:val="28"/>
          <w:rtl/>
        </w:rPr>
        <w:t xml:space="preserve">و یظهر من النجاشی فی ترجمة أحمد بن الحسین الصیقل أنّه اشترک مع ابن الغضائری فی الأخذ عن والده و غیره حیث قال: «له کتب لا یعرف منها إلاّ</w:t>
      </w:r>
    </w:p>
    <w:p>
      <w:pPr>
        <w:pStyle w:val="BookText"/>
      </w:pPr>
      <w:r>
        <w:rPr>
          <w:rFonts w:ascii="IRNazanin" w:hAnsi="IRNazanin" w:eastAsia="IRNazanin" w:cs="IRNazanin"/>
          <w:lang w:bidi="fa-IR"/>
          <w:color w:val="111111"/>
          <w:sz w:val="28"/>
          <w:szCs w:val="28"/>
          <w:rtl/>
        </w:rPr>
        <w:t xml:space="preserve">[شماره صفحه واقعی : 80]
</w:t>
      </w:r>
    </w:p>
    <w:p>
      <w:pPr>
        <w:sectPr>
          <w:footerReference w:type="default" r:id="rId17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النوادر، قرأته أنا و أحمد بن الحسین - رحمه اللّه - علی علی أبیه»</w:t>
      </w:r>
      <w:r>
        <w:rPr>
          <w:rStyle w:val="FootnoteReference"/>
        </w:rPr>
        <w:footnoteReference w:id="5052"/>
      </w:r>
      <w:r>
        <w:rPr>
          <w:rFonts w:ascii="IRNazanin" w:hAnsi="IRNazanin" w:eastAsia="IRNazanin" w:cs="IRNazanin"/>
          <w:lang w:bidi="fa-IR"/>
          <w:color w:val="111111"/>
          <w:sz w:val="28"/>
          <w:szCs w:val="28"/>
          <w:rtl/>
        </w:rPr>
        <w:t xml:space="preserve">کما یظهر ذلک أیضا فی ترجمة علیّ بن الحسن بن فضّال حیث قال: «قرأ أحمد بن الحسین کتاب الصّلاة و الزکاة و مناسک الحجّ و الصیام و الطلاق و... علی أحمد بن عبد الواحد فی مدّة سمعتها معه»</w:t>
      </w:r>
      <w:r>
        <w:rPr>
          <w:rStyle w:val="FootnoteReference"/>
        </w:rPr>
        <w:footnoteReference w:id="5053"/>
      </w:r>
      <w:r>
        <w:rPr>
          <w:rFonts w:ascii="IRNazanin" w:hAnsi="IRNazanin" w:eastAsia="IRNazanin" w:cs="IRNazanin"/>
          <w:lang w:bidi="fa-IR"/>
          <w:color w:val="111111"/>
          <w:sz w:val="28"/>
          <w:szCs w:val="28"/>
          <w:rtl/>
        </w:rPr>
        <w:t xml:space="preserve">و یظهر ذلک فی ترجمة عبد اللّه بن أبی عبد اللّه محمّد بن خالد بن عمر الطیالسی قال: «و لعبد اللّه کتاب نوادر - إلی أن قال: و نسخة اخری نوادر صغیرة رواه أبو الحسین النصیبی، أخبرناها بقراءة أحمد بن الحسین»</w:t>
      </w:r>
      <w:r>
        <w:rPr>
          <w:rStyle w:val="FootnoteReference"/>
        </w:rPr>
        <w:footnoteReference w:id="50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 یظهر من ترجمة علیّ بن محمّد بن شیران أنّه من أساتذة النجاشی حیث قال: «کنّا نجتمع معه عند أحمد بن الحسین»</w:t>
      </w:r>
      <w:r>
        <w:rPr>
          <w:rStyle w:val="FootnoteReference"/>
        </w:rPr>
        <w:footnoteReference w:id="5055"/>
      </w:r>
      <w:r>
        <w:rPr>
          <w:rFonts w:ascii="IRNazanin" w:hAnsi="IRNazanin" w:eastAsia="IRNazanin" w:cs="IRNazanin"/>
          <w:lang w:bidi="fa-IR"/>
          <w:color w:val="111111"/>
          <w:sz w:val="28"/>
          <w:szCs w:val="28"/>
          <w:rtl/>
        </w:rPr>
        <w:t xml:space="preserve">و الاجتماع عند العالم لا یکون الاّ للاستفادة منه.</w:t>
      </w:r>
    </w:p>
    <w:p>
      <w:pPr>
        <w:pStyle w:val="BookText"/>
      </w:pPr>
      <w:r>
        <w:rPr>
          <w:rFonts w:ascii="IRNazanin" w:hAnsi="IRNazanin" w:eastAsia="IRNazanin" w:cs="IRNazanin"/>
          <w:lang w:bidi="fa-IR"/>
          <w:color w:val="111111"/>
          <w:sz w:val="28"/>
          <w:szCs w:val="28"/>
          <w:rtl/>
        </w:rPr>
        <w:t xml:space="preserve">و العجب أنّ النجاشی مع کمال صلته به و مخالطته معه لم یعنونه فی فهرسه مستقلاّ، و لم یذکر ما قاله الشیخ فی حقّه من أنّه کان له کتابان...</w:t>
      </w:r>
    </w:p>
    <w:p>
      <w:pPr>
        <w:pStyle w:val="BookText"/>
      </w:pPr>
      <w:r>
        <w:rPr>
          <w:rFonts w:ascii="IRNazanin" w:hAnsi="IRNazanin" w:eastAsia="IRNazanin" w:cs="IRNazanin"/>
          <w:lang w:bidi="fa-IR"/>
          <w:color w:val="111111"/>
          <w:sz w:val="28"/>
          <w:szCs w:val="28"/>
          <w:rtl/>
        </w:rPr>
        <w:t xml:space="preserve">الخ، نعم نقل عنه فی موارد و أشار فی ترجمة أحمد بن محمّد بن خالد البرقی إلی کتاب تاریخه و یحتمل أنّه غیر رجاله، کما یحتمل أن یکون نفسه، لشیوع إطلاق لفظ التاریخ علی کتاب الرجال کتاریخ البخاری و هو کتاب رجاله المعروف، و تاریخ بغداد و هو نوع رجال، و یکفی فی وثاقة الرجال اعتماد مثل النّجاشی علیه و التعبیر عنه بما یشعر بالتکریم، و قد نقل المحقّق الکلباسی کلمات العلماء فی حقّه فلاحظ</w:t>
      </w:r>
      <w:r>
        <w:rPr>
          <w:rStyle w:val="FootnoteReference"/>
        </w:rPr>
        <w:footnoteReference w:id="50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81]
</w:t>
      </w:r>
    </w:p>
    <w:p>
      <w:pPr>
        <w:sectPr>
          <w:footerReference w:type="default" r:id="rId1737"/>
          <w:footnotePr>
            <w:numStart w:val="1"/>
            <w:numRestart w:val="eachPage"/>
          </w:footnotePr>
          <w:pgSz w:orient="portrait" w:w="11905.511811023622" w:h="16837.79527559055"/>
          <w:pgMar w:top="1440" w:right="1440" w:bottom="1440" w:left="1440" w:header="720" w:footer="720" w:gutter="0"/>
          <w:cols w:num="1" w:space="720"/>
        </w:sectPr>
      </w:pPr>
    </w:p>
    <w:bookmarkStart w:id="920" w:name="pg14411_144119"/>
    <w:bookmarkEnd w:id="920"/>
    <w:p>
      <w:pPr>
        <w:pStyle w:val="Heading6"/>
      </w:pPr>
      <w:bookmarkStart w:id="2758" w:name="_Toc1793"/>
      <w:r>
        <w:t>ج - کیفیة وقوف العلماء علی کتاب الضعفاء</w:t>
      </w:r>
      <w:bookmarkEnd w:id="2758"/>
    </w:p>
    <w:p>
      <w:pPr>
        <w:pStyle w:val="BookText"/>
      </w:pPr>
      <w:r>
        <w:rPr>
          <w:rFonts w:ascii="IRNazanin" w:hAnsi="IRNazanin" w:eastAsia="IRNazanin" w:cs="IRNazanin"/>
          <w:lang w:bidi="fa-IR"/>
          <w:color w:val="111111"/>
          <w:sz w:val="28"/>
          <w:szCs w:val="28"/>
          <w:rtl/>
        </w:rPr>
        <w:t xml:space="preserve">إنّ أوّل من وجده هو السیّد جمال الدین أبو الفضائل أحمد بن طاووس الحسنی الحلّی (المتوفّی سنة 673) فأدرجه - موزّعا له - فی کتابه «حلّ الاشکال فی معرفة الرجال» الّذی ألفه عام 644، و جمع فیه عبارات الکتب الخمسة الرجالیّة و هی رجال الطوسی و فهرسه و اختیار الکشی و فهرس النجاشی و کتاب الضعفاء المنسوب الی ابن الغضائری. قال السید فی أوّل کتابه بعد ذکر الکتب بهذا الترتیب: «ولی بالجمیع روایات متّصلة سوی کتاب ابن الغضائری» فیظهر منه أنّه لم یروه عن أحد و إنّما وجده منسوبا إلیه، و لم یجد السیّد کتابا آخر للممدوحین منسوبا إلی ابن الغضائری و إلاّ أدرجه أیضا و لم یقتصر بالضعفاء.</w:t>
      </w:r>
    </w:p>
    <w:p>
      <w:pPr>
        <w:pStyle w:val="BookText"/>
      </w:pPr>
      <w:r>
        <w:rPr>
          <w:rFonts w:ascii="IRNazanin" w:hAnsi="IRNazanin" w:eastAsia="IRNazanin" w:cs="IRNazanin"/>
          <w:lang w:bidi="fa-IR"/>
          <w:color w:val="111111"/>
          <w:sz w:val="28"/>
          <w:szCs w:val="28"/>
          <w:rtl/>
        </w:rPr>
        <w:t xml:space="preserve">ثم تبع السیّد تلمیذاه العلاّمة الحلّی (المتوفی عام 726) فی الخلاصة و ابن داود فی رجاله (المؤلّف فی 707) فأدرجا فی کتابیهما عین ما أدرجه استاذهما السید بن طاووس فی «حل الاشکال»، و صرّح ابن داود عند ترجمة استاذه المذکور بأنّ اکثر فوائد هذا الکتاب و نکته من إشارات هذا الاستاذ و تحقیقاته.</w:t>
      </w:r>
    </w:p>
    <w:p>
      <w:pPr>
        <w:pStyle w:val="BookText"/>
      </w:pPr>
      <w:r>
        <w:rPr>
          <w:rFonts w:ascii="IRNazanin" w:hAnsi="IRNazanin" w:eastAsia="IRNazanin" w:cs="IRNazanin"/>
          <w:lang w:bidi="fa-IR"/>
          <w:color w:val="111111"/>
          <w:sz w:val="28"/>
          <w:szCs w:val="28"/>
          <w:rtl/>
        </w:rPr>
        <w:t xml:space="preserve">ثمّ إنّ المتأخّرین عن العلاّمة و ابن داود کلّهم ینقلون عنهما، لأنّ نسخة الضعفاء الّتی وجدها السید بن طاووس قد انقطع خبرها عن المتأخرین عنه، و لم یبق من الکتاب المنسوب الی ابن الغضائری إلاّ ما وضعه السید بن طاووس فی کتابه «حلّ الاشکال»، و لولاه لما بقی منه أثر، و لم یکن ادراجه فیه من السیّد لأجل اعتباره عنده، بل لیکون الناظر فی کتابه علی بصیرة، و یطّلع علی جمیع ما قیل أو یقال فی حقّ الرجل حقا أو باطلا، لیصیر ملزما بالتتبّع عن حقیقة الأمر.</w:t>
      </w:r>
    </w:p>
    <w:p>
      <w:pPr>
        <w:pStyle w:val="BookText"/>
      </w:pPr>
      <w:r>
        <w:rPr>
          <w:rFonts w:ascii="IRNazanin" w:hAnsi="IRNazanin" w:eastAsia="IRNazanin" w:cs="IRNazanin"/>
          <w:lang w:bidi="fa-IR"/>
          <w:color w:val="111111"/>
          <w:sz w:val="28"/>
          <w:szCs w:val="28"/>
          <w:rtl/>
        </w:rPr>
        <w:t xml:space="preserve">و أمّا کتاب «حل الاشکال» فقد کان موجودا بخطّ مؤلّفه عند الشهید</w:t>
      </w:r>
    </w:p>
    <w:p>
      <w:pPr>
        <w:pStyle w:val="BookText"/>
      </w:pPr>
      <w:r>
        <w:rPr>
          <w:rFonts w:ascii="IRNazanin" w:hAnsi="IRNazanin" w:eastAsia="IRNazanin" w:cs="IRNazanin"/>
          <w:lang w:bidi="fa-IR"/>
          <w:color w:val="111111"/>
          <w:sz w:val="28"/>
          <w:szCs w:val="28"/>
          <w:rtl/>
        </w:rPr>
        <w:t xml:space="preserve">[شماره صفحه واقعی : 82]
</w:t>
      </w:r>
    </w:p>
    <w:p>
      <w:pPr>
        <w:sectPr>
          <w:footerReference w:type="default" r:id="rId17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 کما ذکره فی اجازته للشیخ حسین بن عبد الصمد، و بعده انتقل الی ولده صاحب المعالم، فاستخرج منه کتابه الموسوم ب «التحریر الطاووسی» ثمّ حصلت تلک النسخة بعینها عند المولی عبد اللّه بن الحسین التستری (المتوفّی سنة 1021) شیخ الرجالیین فی عصره، و کانت مخرقة مشرفة علی التلف، فاستخرج منها خصوص عبارات کتاب الضعفاء، المنسوب الی ابن الغضائری، مرتّبا علی الحروف و ذکر فی أوّله سبب استخراجه فقط. ثم أدخل تلمیذه المولی عنایة اللّه القهبائی، تمام ما استخرجه المولی عبد اللّه المذکور، فی کتابه مجمع الرجال المجموع فیه الکتب الخمسة الرجالیّة حتّی إنّ خطبها ذکرت فی أوّل هذا المجمع</w:t>
      </w:r>
      <w:r>
        <w:rPr>
          <w:rStyle w:val="FootnoteReference"/>
        </w:rPr>
        <w:footnoteReference w:id="50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إلیک نصّ ما ذکره المولی عبد اللّه التستری حسب ما نقله عنه تلمیذه القهبائی فی مقدّمة کتابه «مجمع الرجال»: «اعلم - أیّدک اللّه و إیّانا - أنّی لما وقفت علی کتاب السید المعظم السید جمال الدین أحمد بن طاووس فی الرجال، فرأیته مشتملا علی نقل ما فی کتب السلف، و قد کنت رزقت بحمد اللّه النافع من تلک الکتب، إلاّ کتاب ابن الغضائری، فإنّی کنت ما سمعت له وجودا فی زماننا و کان کتاب السید هذا بخطّه الشریف مشتملا علیه فحدانی التبرّک به مع ظنّ الانتفاع بکتاب ابن الغضائری أن أجعله منفردا عنه راجیا من اللّه الجواد، الوصول إلی سبیل الرشاد»</w:t>
      </w:r>
      <w:r>
        <w:rPr>
          <w:rStyle w:val="FootnoteReference"/>
        </w:rPr>
        <w:footnoteReference w:id="5058"/>
      </w:r>
      <w:r>
        <w:rPr>
          <w:rFonts w:ascii="IRNazanin" w:hAnsi="IRNazanin" w:eastAsia="IRNazanin" w:cs="IRNazanin"/>
          <w:lang w:bidi="fa-IR"/>
          <w:color w:val="111111"/>
          <w:sz w:val="28"/>
          <w:szCs w:val="28"/>
          <w:rtl/>
        </w:rPr>
        <w:t xml:space="preserve">و علی ذلک فالطّریق إلی ما ذکره ابن الغضائری عبارة عمّا أدرجه العلاّمة و ابن داود فی رجالیهما و أخیرا ما أدرجه القهبائی ممّا جرّده استاذه التستری عن کتاب «حلّ الإشکال» و جعله کتابا مستقلاّ، و أمّا طریق السید إلی الکتاب فغیر معلوم أو غیر موجود.</w:t>
      </w:r>
    </w:p>
    <w:p>
      <w:pPr>
        <w:pStyle w:val="BookText"/>
      </w:pPr>
      <w:r>
        <w:rPr>
          <w:rFonts w:ascii="IRNazanin" w:hAnsi="IRNazanin" w:eastAsia="IRNazanin" w:cs="IRNazanin"/>
          <w:lang w:bidi="fa-IR"/>
          <w:color w:val="111111"/>
          <w:sz w:val="28"/>
          <w:szCs w:val="28"/>
          <w:rtl/>
        </w:rPr>
        <w:t xml:space="preserve">هذا هو حال کتاب ابن الغضائری و کیفیّة الوقوف علیه و وصوله إلینا.</w:t>
      </w:r>
    </w:p>
    <w:p>
      <w:pPr>
        <w:pStyle w:val="BookText"/>
      </w:pPr>
      <w:r>
        <w:rPr>
          <w:rFonts w:ascii="IRNazanin" w:hAnsi="IRNazanin" w:eastAsia="IRNazanin" w:cs="IRNazanin"/>
          <w:lang w:bidi="fa-IR"/>
          <w:color w:val="111111"/>
          <w:sz w:val="28"/>
          <w:szCs w:val="28"/>
          <w:rtl/>
        </w:rPr>
        <w:t xml:space="preserve">[شماره صفحه واقعی : 83]
</w:t>
      </w:r>
    </w:p>
    <w:p>
      <w:pPr>
        <w:sectPr>
          <w:footerReference w:type="default" r:id="rId1739"/>
          <w:footnotePr>
            <w:numStart w:val="1"/>
            <w:numRestart w:val="eachPage"/>
          </w:footnotePr>
          <w:pgSz w:orient="portrait" w:w="11905.511811023622" w:h="16837.79527559055"/>
          <w:pgMar w:top="1440" w:right="1440" w:bottom="1440" w:left="1440" w:header="720" w:footer="720" w:gutter="0"/>
          <w:cols w:num="1" w:space="720"/>
        </w:sectPr>
      </w:pPr>
    </w:p>
    <w:bookmarkStart w:id="921" w:name="pg14411_144121"/>
    <w:bookmarkEnd w:id="921"/>
    <w:p>
      <w:pPr>
        <w:pStyle w:val="Heading6"/>
      </w:pPr>
      <w:bookmarkStart w:id="2759" w:name="_Toc1794"/>
      <w:r>
        <w:t>د - الکتاب تألیف نفس الغضائری أو تألیف ابنه</w:t>
      </w:r>
      <w:bookmarkEnd w:id="2759"/>
    </w:p>
    <w:p>
      <w:pPr>
        <w:pStyle w:val="BookText"/>
      </w:pPr>
      <w:r>
        <w:rPr>
          <w:rFonts w:ascii="IRNazanin" w:hAnsi="IRNazanin" w:eastAsia="IRNazanin" w:cs="IRNazanin"/>
          <w:lang w:bidi="fa-IR"/>
          <w:color w:val="111111"/>
          <w:sz w:val="28"/>
          <w:szCs w:val="28"/>
          <w:rtl/>
        </w:rPr>
        <w:t xml:space="preserve">هیهنا قولان: أمّا الأوّل؛ فقد ذهب الشهید الثانی إلی أنّه تألیف نفس الغضائری «الحسین بن عبید اللّه» لا تألیف ابنه، أی «أحمد بن الحسین»، مستدلاّ بما جاء فی الخلاصة فی ترجمة سهل بن زیاد الآدمی حیث قال: «و قد کاتب أبا محمد العسکری - علیه السلام - علی ید محمّد بن عبد الحمید العطّار فی المنتصف من شهر ربیع الآخر سنة خمس و خمسین و مائتین. ذکر ذلک أحمد بن علی بن نوح و أحمد بن الحسین - رحمهما اللّه -. و قال ابن الغضائری: انّه کان ضعیفا</w:t>
      </w:r>
      <w:r>
        <w:rPr>
          <w:rStyle w:val="FootnoteReference"/>
        </w:rPr>
        <w:footnoteReference w:id="5059"/>
      </w:r>
      <w:r>
        <w:rPr>
          <w:rFonts w:ascii="IRNazanin" w:hAnsi="IRNazanin" w:eastAsia="IRNazanin" w:cs="IRNazanin"/>
          <w:lang w:bidi="fa-IR"/>
          <w:color w:val="111111"/>
          <w:sz w:val="28"/>
          <w:szCs w:val="28"/>
          <w:rtl/>
        </w:rPr>
        <w:t xml:space="preserve">قال الشهید الثانی: «إنّ عطف ابن الغضائری علی أحمد بن الحسین یدلّ علی أنّه غیره»</w:t>
      </w:r>
      <w:r>
        <w:rPr>
          <w:rStyle w:val="FootnoteReference"/>
        </w:rPr>
        <w:footnoteReference w:id="50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یخفی عدم دلالته علی ما ذکره، لأنّ ما ذکره العلامة (... ذکر ذلک أحمد بن علی بن نوح و أحمد بن الحسین) من تتمة کلام النجاشی الّذی نقله العلاّمة عنه فی کتابه، فإنّ النجاشی یعرّف «السهل» بقوله: «کان ضعیفا فی الحدیث غیر معتمد فیه. و کان أحمد بن محمد بن عیسی یشهد علیه بالغلوّ و الکذب و أخرجه من قم إلی الریّ، و کان یسکنها و قد کاتب أبا محمّد - الی قوله: رحمهما اللّه»</w:t>
      </w:r>
      <w:r>
        <w:rPr>
          <w:rStyle w:val="FootnoteReference"/>
        </w:rPr>
        <w:footnoteReference w:id="50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بالاسترحام (رحمهما اللّه) تمّ کلام النّجاشی، ثمّ إنّ العلاّمة بعد ما نقل عن النّجاشی کلام ابن نوح و أحمد بن الحسین فی حقّ الرّجل، أراد أن یأتی بنصّ کلام ابن الغضائری أیضا فی کتاب الضعفاء، و لأجل ذلک عاد و قال:</w:t>
      </w:r>
    </w:p>
    <w:p>
      <w:pPr>
        <w:pStyle w:val="BookText"/>
      </w:pPr>
      <w:r>
        <w:rPr>
          <w:rFonts w:ascii="IRNazanin" w:hAnsi="IRNazanin" w:eastAsia="IRNazanin" w:cs="IRNazanin"/>
          <w:lang w:bidi="fa-IR"/>
          <w:color w:val="111111"/>
          <w:sz w:val="28"/>
          <w:szCs w:val="28"/>
          <w:rtl/>
        </w:rPr>
        <w:t xml:space="preserve">«قال ابن الغضائری: إنّه کان ضعیفا جدّا فاسد الروایة و المذهب و کان أحمد بن محمّد بن عیسی الأشعریّ أخرجه عن قم و أظهر البراءة منه و نهی الناس عن</w:t>
      </w:r>
    </w:p>
    <w:p>
      <w:pPr>
        <w:pStyle w:val="BookText"/>
      </w:pPr>
      <w:r>
        <w:rPr>
          <w:rFonts w:ascii="IRNazanin" w:hAnsi="IRNazanin" w:eastAsia="IRNazanin" w:cs="IRNazanin"/>
          <w:lang w:bidi="fa-IR"/>
          <w:color w:val="111111"/>
          <w:sz w:val="28"/>
          <w:szCs w:val="28"/>
          <w:rtl/>
        </w:rPr>
        <w:t xml:space="preserve">[شماره صفحه واقعی : 84]
</w:t>
      </w:r>
    </w:p>
    <w:p>
      <w:pPr>
        <w:sectPr>
          <w:footerReference w:type="default" r:id="rId17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السماع منه و الروایة عنه و یروی المراسیل و یعتمد المجاهیل»</w:t>
      </w:r>
      <w:r>
        <w:rPr>
          <w:rStyle w:val="FootnoteReference"/>
        </w:rPr>
        <w:footnoteReference w:id="50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علی هذا فعطف جملة «و قال ابن الغضائری» علی «أحمد بن الحسین» لا یدلّ علی المغایرة بعد الوقوف علی ما ذکرناه</w:t>
      </w:r>
      <w:r>
        <w:rPr>
          <w:rStyle w:val="FootnoteReference"/>
        </w:rPr>
        <w:footnoteReference w:id="50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یظهر هذا القول من غیره، فقد نقل المحقّق الکلباسی، أنّه یظهر من نظام الدین محمّد بن الحسین الساوجی فی کتابه المسمی ب «نظام الأقوال» أنّه من تألیف الأب حیث قال فیه: «و لقد صنّف أسلافنا و مشایخنا - قدّس اللّه تعالی أرواحهم - فیه کتبا کثیرة ککتاب الکشّی، و فهرس الشیخ الطوسی، و الرجال له أیضا، و کتاب الحسین بن عبید اللّه الغضائری - إلی أن قال:</w:t>
      </w:r>
    </w:p>
    <w:p>
      <w:pPr>
        <w:pStyle w:val="BookText"/>
      </w:pPr>
      <w:r>
        <w:rPr>
          <w:rFonts w:ascii="IRNazanin" w:hAnsi="IRNazanin" w:eastAsia="IRNazanin" w:cs="IRNazanin"/>
          <w:lang w:bidi="fa-IR"/>
          <w:color w:val="111111"/>
          <w:sz w:val="28"/>
          <w:szCs w:val="28"/>
          <w:rtl/>
        </w:rPr>
        <w:t xml:space="preserve">و أکتفی فی هذا الکتاب عن أحمد بن علی النجاشی بقولی «النجاشی» - الی أن قال: و عن الحسین بن عبید اللّه الغضائری ب «ابن الغضائری»</w:t>
      </w:r>
      <w:r>
        <w:rPr>
          <w:rStyle w:val="FootnoteReference"/>
        </w:rPr>
        <w:footnoteReference w:id="5064"/>
      </w:r>
      <w:r>
        <w:rPr>
          <w:rFonts w:ascii="IRNazanin" w:hAnsi="IRNazanin" w:eastAsia="IRNazanin" w:cs="IRNazanin"/>
          <w:lang w:bidi="fa-IR"/>
          <w:color w:val="111111"/>
          <w:sz w:val="28"/>
          <w:szCs w:val="28"/>
          <w:rtl/>
        </w:rPr>
        <w:t xml:space="preserve">. و علی ما ذکره کلما اطلق ابن الغضائری فالمراد هو الوالد، و امّا الولد فیکون نجل الغضائری لا ابنه.</w:t>
      </w:r>
    </w:p>
    <w:p>
      <w:pPr>
        <w:pStyle w:val="BookText"/>
      </w:pPr>
      <w:r>
        <w:rPr>
          <w:rFonts w:ascii="IRNazanin" w:hAnsi="IRNazanin" w:eastAsia="IRNazanin" w:cs="IRNazanin"/>
          <w:lang w:bidi="fa-IR"/>
          <w:color w:val="111111"/>
          <w:sz w:val="28"/>
          <w:szCs w:val="28"/>
          <w:rtl/>
        </w:rPr>
        <w:t xml:space="preserve">و یظهر التردّد من المحقّق الجلیل مؤلّف معجم الرجال - دام ظله - حیث استدلّ علی عدم ثبوت نسبة الکتاب بقوله: «فإنّ النّجاشی لم یتعرّض له مع أنّه - قدّس سره - بصدد بیان الکتب الّتی صنّفها الامامیّة، حتّی إنّه یذکر ما لم یره من الکتب و إنّما سمعه من غیره أو رآه فی کتابه، فکیف لا یذکر کتاب شیخه الحسین بن عبید اللّه او ابنه أحمد؟ و قد تعرّض - قدّس سره - لترجمة الحسین بن عبید اللّه و ذکر کتبه و لم یذکر فیها کتاب الرجال، کما أنّه حکی عن أحمد بن</w:t>
      </w:r>
    </w:p>
    <w:p>
      <w:pPr>
        <w:pStyle w:val="BookText"/>
      </w:pPr>
      <w:r>
        <w:rPr>
          <w:rFonts w:ascii="IRNazanin" w:hAnsi="IRNazanin" w:eastAsia="IRNazanin" w:cs="IRNazanin"/>
          <w:lang w:bidi="fa-IR"/>
          <w:color w:val="111111"/>
          <w:sz w:val="28"/>
          <w:szCs w:val="28"/>
          <w:rtl/>
        </w:rPr>
        <w:t xml:space="preserve">[شماره صفحه واقعی : 85]
</w:t>
      </w:r>
    </w:p>
    <w:p>
      <w:pPr>
        <w:sectPr>
          <w:footerReference w:type="default" r:id="rId17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الحسین فی عدّة موارد و لم یذکر أنّ له کتاب الرجال»</w:t>
      </w:r>
      <w:r>
        <w:rPr>
          <w:rStyle w:val="FootnoteReference"/>
        </w:rPr>
        <w:footnoteReference w:id="50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لکنّ النّجاشی نقل عن ابن الغضائری کثیرا و کلّما قال: «قال أحمد بن الحسین» أو «ذکره أحمد بن الحسین» فهو المراد، و صرّح فی ترجمة البرقی بأنّ له کتاب التاریخ و من القریب أنّ مراده منه هو کتاب رجاله، لشیوع تسمیة «الرجال» بالتاریخ کما سیوافیک.</w:t>
      </w:r>
    </w:p>
    <w:p>
      <w:pPr>
        <w:pStyle w:val="BookText"/>
      </w:pPr>
      <w:r>
        <w:rPr>
          <w:rFonts w:ascii="IRNazanin" w:hAnsi="IRNazanin" w:eastAsia="IRNazanin" w:cs="IRNazanin"/>
          <w:lang w:bidi="fa-IR"/>
          <w:color w:val="111111"/>
          <w:sz w:val="28"/>
          <w:szCs w:val="28"/>
          <w:rtl/>
        </w:rPr>
        <w:t xml:space="preserve">و أمّا الثانی، فهو أنّ الکتاب علی فرض ثبوت النسبة، من تآلیف ابن الغضائری (أحمد) لا نفسه - أعنی الحسین - و یدلّ علیه وجوه:</w:t>
      </w:r>
    </w:p>
    <w:p>
      <w:pPr>
        <w:pStyle w:val="BookText"/>
      </w:pPr>
      <w:r>
        <w:rPr>
          <w:rFonts w:ascii="IRNazanin" w:hAnsi="IRNazanin" w:eastAsia="IRNazanin" w:cs="IRNazanin"/>
          <w:lang w:bidi="fa-IR"/>
          <w:color w:val="111111"/>
          <w:sz w:val="28"/>
          <w:szCs w:val="28"/>
          <w:rtl/>
        </w:rPr>
        <w:t xml:space="preserve">الأوّل: إنّ الشیخ کما عرفت ذکر لأحمد بن الحسین کتابین: أحدهما فی الاصول و الآخر فی المصنّفات، و لم یذکر للوالد أیّ کتاب فی الرجال، و إن وصفه الشّیخ و النجاشی بکونه کثیر السّماع، عارفا بالرجال، غیر أنّ المعرفة بالرجال لا تستلزم التألیف فیه، و من المحتمل أنّ هذا الکتاب هو أحد هذین أو هو کتاب ثالث وضع لذکر خصوص الضعفاء و المذمومین، کما احتمله صاحب مجمع الرجال، و یحتمل أن یکون له کتاب آخر فی الثقات و الممدوحین و إن لم یصل إلینا منه خبر و لا أثر، کما ذکره الفاضل الخاجوئی.</w:t>
      </w:r>
    </w:p>
    <w:p>
      <w:pPr>
        <w:pStyle w:val="BookText"/>
      </w:pPr>
      <w:r>
        <w:rPr>
          <w:rFonts w:ascii="IRNazanin" w:hAnsi="IRNazanin" w:eastAsia="IRNazanin" w:cs="IRNazanin"/>
          <w:lang w:bidi="fa-IR"/>
          <w:color w:val="111111"/>
          <w:sz w:val="28"/>
          <w:szCs w:val="28"/>
          <w:rtl/>
        </w:rPr>
        <w:t xml:space="preserve">محتملا أن یکون کتاب الممدوحین، أحد الکتابین اللّذین صرّح بهما الشیخ فی أوّل الفهرس علی ما نقله صاحب سماء المقال</w:t>
      </w:r>
      <w:r>
        <w:rPr>
          <w:rStyle w:val="FootnoteReference"/>
        </w:rPr>
        <w:footnoteReference w:id="5066"/>
      </w:r>
      <w:r>
        <w:rPr>
          <w:rFonts w:ascii="IRNazanin" w:hAnsi="IRNazanin" w:eastAsia="IRNazanin" w:cs="IRNazanin"/>
          <w:lang w:bidi="fa-IR"/>
          <w:color w:val="111111"/>
          <w:sz w:val="28"/>
          <w:szCs w:val="28"/>
          <w:rtl/>
        </w:rPr>
        <w:t xml:space="preserve">و لکنّ الظّاهر خلافه، و سیوافیک حقّ القول فی ذلک فانتظر.</w:t>
      </w:r>
    </w:p>
    <w:p>
      <w:pPr>
        <w:pStyle w:val="BookText"/>
      </w:pPr>
      <w:r>
        <w:rPr>
          <w:rFonts w:ascii="IRNazanin" w:hAnsi="IRNazanin" w:eastAsia="IRNazanin" w:cs="IRNazanin"/>
          <w:lang w:bidi="fa-IR"/>
          <w:color w:val="111111"/>
          <w:sz w:val="28"/>
          <w:szCs w:val="28"/>
          <w:rtl/>
        </w:rPr>
        <w:t xml:space="preserve">الثانی: إنّ أوّل من وقف علی هذا الکتاب هو السیّد الجلیل ابن طاووس الحلّی، فقد نسبه إلی الابن فی مقدّمة کتابه علی ما نقله عنه فی التحریر الطاووسی، حیث قال: «إنّی قد عزمت علی أن أجمع فی کتابی هذا أسماء</w:t>
      </w:r>
    </w:p>
    <w:p>
      <w:pPr>
        <w:pStyle w:val="BookText"/>
      </w:pPr>
      <w:r>
        <w:rPr>
          <w:rFonts w:ascii="IRNazanin" w:hAnsi="IRNazanin" w:eastAsia="IRNazanin" w:cs="IRNazanin"/>
          <w:lang w:bidi="fa-IR"/>
          <w:color w:val="111111"/>
          <w:sz w:val="28"/>
          <w:szCs w:val="28"/>
          <w:rtl/>
        </w:rPr>
        <w:t xml:space="preserve">[شماره صفحه واقعی : 86]
</w:t>
      </w:r>
    </w:p>
    <w:p>
      <w:pPr>
        <w:sectPr>
          <w:footerReference w:type="default" r:id="rId1742"/>
          <w:footnotePr>
            <w:numStart w:val="1"/>
            <w:numRestart w:val="eachPage"/>
          </w:footnotePr>
          <w:pgSz w:orient="portrait" w:w="11905.511811023622" w:h="16837.79527559055"/>
          <w:pgMar w:top="1440" w:right="1440" w:bottom="1440" w:left="1440" w:header="720" w:footer="720" w:gutter="0"/>
          <w:cols w:num="1" w:space="720"/>
        </w:sectPr>
      </w:pPr>
    </w:p>
    <w:bookmarkStart w:id="922" w:name="pg14411_144124"/>
    <w:bookmarkEnd w:id="922"/>
    <w:p>
      <w:pPr>
        <w:pStyle w:val="BookText"/>
      </w:pPr>
      <w:r>
        <w:rPr>
          <w:rFonts w:ascii="IRNazanin" w:hAnsi="IRNazanin" w:eastAsia="IRNazanin" w:cs="IRNazanin"/>
          <w:lang w:bidi="fa-IR"/>
          <w:color w:val="111111"/>
          <w:sz w:val="28"/>
          <w:szCs w:val="28"/>
          <w:rtl/>
        </w:rPr>
        <w:t xml:space="preserve">الرجال المصنّفین و غیرهم من کتب خمسة إلی أن قال: و کتاب أبی الحسین أحمد بن الحسین بن عبید اللّه الغضائری فی ذکر الضعفاء خاصة»</w:t>
      </w:r>
      <w:r>
        <w:rPr>
          <w:rStyle w:val="FootnoteReference"/>
        </w:rPr>
        <w:footnoteReference w:id="50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الثالث: إنّ المتتبّع لکتاب «الخلاصة» للعلاّمة الحلّی، یری أنّه یعتقد بأنّه من تآلیف ابن الغضائری، فلاحظ ترجمة عمر بن ثابت، و سلیمان النخعی، یقول فی الأوّل: «إنّه ضعیف، قاله ابن الغضائری» و قال فی الثانی: «قال ابن الغضائری: یقال إنّه کذاب النخّع ضعیف جدّا».</w:t>
      </w:r>
    </w:p>
    <w:p>
      <w:pPr>
        <w:pStyle w:val="BookText"/>
      </w:pPr>
      <w:r>
        <w:rPr>
          <w:rFonts w:ascii="IRNazanin" w:hAnsi="IRNazanin" w:eastAsia="IRNazanin" w:cs="IRNazanin"/>
          <w:lang w:bidi="fa-IR"/>
          <w:color w:val="111111"/>
          <w:sz w:val="28"/>
          <w:szCs w:val="28"/>
          <w:rtl/>
        </w:rPr>
        <w:t xml:space="preserve">و بما أنّه یحتمل أن یکون ابن الغضائری کنیة للوالد، و یکون الجدّ منسوبا الی «الغضائر» الّذی هو بمعنی الطین اللازب الحر، قال العلامة فی إسماعیل بن مهران: «قال الشیخ أبو الحسین أحمد بن الحسین بن عبید اللّه الغضائری - رحمه اللّه -: إنّه یکنّی أبا محمّد، لیس حدیثه بالنقی» و علی ذلک فکلّما أطلق ابن الغضائری یرید به أحمد ابن الحسین، لا غیره.</w:t>
      </w:r>
    </w:p>
    <w:p>
      <w:pPr>
        <w:pStyle w:val="BookText"/>
      </w:pPr>
      <w:r>
        <w:rPr>
          <w:rFonts w:ascii="IRNazanin" w:hAnsi="IRNazanin" w:eastAsia="IRNazanin" w:cs="IRNazanin"/>
          <w:lang w:bidi="fa-IR"/>
          <w:color w:val="111111"/>
          <w:sz w:val="28"/>
          <w:szCs w:val="28"/>
          <w:rtl/>
        </w:rPr>
        <w:t xml:space="preserve">و مما یؤیّد أنّ الکتاب من تألیف ابن الغضائری، أنّ بعض ما ینقله النّجاشی فی فهرسه عن أحمد بن الحسین موجود فی هذا الکتاب، و أمّا الاختلاف من حیث العبارة فسیوافیک وجهه.</w:t>
      </w:r>
    </w:p>
    <w:p>
      <w:pPr>
        <w:pStyle w:val="BookText"/>
      </w:pPr>
      <w:r>
        <w:rPr>
          <w:rFonts w:ascii="IRNazanin" w:hAnsi="IRNazanin" w:eastAsia="IRNazanin" w:cs="IRNazanin"/>
          <w:lang w:bidi="fa-IR"/>
          <w:color w:val="111111"/>
          <w:sz w:val="28"/>
          <w:szCs w:val="28"/>
          <w:rtl/>
        </w:rPr>
        <w:t xml:space="preserve">و هناک قرائن اخر جمعها المتتبّع الخبیر الکلباسی فی کتابه سماء المقال فلاحظ</w:t>
      </w:r>
      <w:r>
        <w:rPr>
          <w:rStyle w:val="FootnoteReference"/>
        </w:rPr>
        <w:footnoteReference w:id="5068"/>
      </w:r>
      <w:r>
        <w:rPr>
          <w:rFonts w:ascii="Times New Roman" w:hAnsi="Times New Roman" w:eastAsia="Times New Roman" w:cs="Times New Roman"/>
          <w:lang w:val="en-US" w:bidi="en-US"/>
          <w:color w:val="111111"/>
          <w:sz w:val="28"/>
          <w:szCs w:val="28"/>
          <w:rtl/>
        </w:rPr>
        <w:t xml:space="preserve">.</w:t>
      </w:r>
    </w:p>
    <w:p>
      <w:pPr>
        <w:pStyle w:val="Heading6"/>
      </w:pPr>
      <w:bookmarkStart w:id="2760" w:name="_Toc1795"/>
      <w:r>
        <w:t>ه - کتاب الضعفاء رابع کتبه</w:t>
      </w:r>
      <w:bookmarkEnd w:id="2760"/>
    </w:p>
    <w:p>
      <w:pPr>
        <w:pStyle w:val="BookText"/>
      </w:pPr>
      <w:r>
        <w:rPr>
          <w:rFonts w:ascii="IRNazanin" w:hAnsi="IRNazanin" w:eastAsia="IRNazanin" w:cs="IRNazanin"/>
          <w:lang w:bidi="fa-IR"/>
          <w:color w:val="111111"/>
          <w:sz w:val="28"/>
          <w:szCs w:val="28"/>
          <w:rtl/>
        </w:rPr>
        <w:t xml:space="preserve">الظّاهر أنّ ابن الغضائری ألّف کتبا أربعة و أنّ کتاب الضّعفاء رابع کتبه.</w:t>
      </w:r>
    </w:p>
    <w:p>
      <w:pPr>
        <w:pStyle w:val="BookText"/>
      </w:pPr>
      <w:r>
        <w:rPr>
          <w:rFonts w:ascii="IRNazanin" w:hAnsi="IRNazanin" w:eastAsia="IRNazanin" w:cs="IRNazanin"/>
          <w:lang w:bidi="fa-IR"/>
          <w:color w:val="111111"/>
          <w:sz w:val="28"/>
          <w:szCs w:val="28"/>
          <w:rtl/>
        </w:rPr>
        <w:t xml:space="preserve">الأوّل و الثّانی ما أشار إلیهما الشّیخ فی مقدّمة الفهرس «فإنّه (أبا الحسین) عمل کتابین: أحدهما ذکر فیه المصنّفات و الآخر ذکر فیه الاصول و استوفاهما علی مبلغ ما وجده و قدر علیه، غیر أنّ هذین الکتابین لم ینسخهما أحد من أصحابنا</w:t>
      </w:r>
    </w:p>
    <w:p>
      <w:pPr>
        <w:pStyle w:val="BookText"/>
      </w:pPr>
      <w:r>
        <w:rPr>
          <w:rFonts w:ascii="IRNazanin" w:hAnsi="IRNazanin" w:eastAsia="IRNazanin" w:cs="IRNazanin"/>
          <w:lang w:bidi="fa-IR"/>
          <w:color w:val="111111"/>
          <w:sz w:val="28"/>
          <w:szCs w:val="28"/>
          <w:rtl/>
        </w:rPr>
        <w:t xml:space="preserve">[شماره صفحه واقعی : 87]
</w:t>
      </w:r>
    </w:p>
    <w:p>
      <w:pPr>
        <w:sectPr>
          <w:footerReference w:type="default" r:id="rId17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اخترم هو - رحمه اللّه - و عمد بعض ورثته إلی إهلاک هذین الکتابین و غیرهما من الکتب علی ما حکی بعضهم عنه»</w:t>
      </w:r>
      <w:r>
        <w:rPr>
          <w:rStyle w:val="FootnoteReference"/>
        </w:rPr>
        <w:footnoteReference w:id="50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الثّالث هو کتاب الممدوحین و لم یصل إلینا أبدا، لکن ینقل عنه العلاّمة فی الخلاصة، و الرابع هو کتاب الضّعفاء الّذی وصل إلینا علی النّحو الّذی وقفت علیه، و الظّاهر أنّ النّجاشی لأجل مخالطته و معاشرته معه قد وقف علی مسودّاته و مذکّراته فنقل ما نقل عنها.</w:t>
      </w:r>
    </w:p>
    <w:p>
      <w:pPr>
        <w:pStyle w:val="BookText"/>
      </w:pPr>
      <w:r>
        <w:rPr>
          <w:rFonts w:ascii="IRNazanin" w:hAnsi="IRNazanin" w:eastAsia="IRNazanin" w:cs="IRNazanin"/>
          <w:lang w:bidi="fa-IR"/>
          <w:color w:val="111111"/>
          <w:sz w:val="28"/>
          <w:szCs w:val="28"/>
          <w:rtl/>
        </w:rPr>
        <w:t xml:space="preserve">و من البعید جدّا أن یکون کتاب الضعفاء نفس الکتابین اللّذین ذکرهما الشیخ فی مقدّمة الفهرس، و ما عمل من کتابین کان مقصورا فی بیان المصنّفات و الاصول، کفهرس الشیخ من دون تعرّض لوثاقة شخص أو ضعفه، فعلی ذلک یجب أن یکون للرجل وراءهما کتاب رجال لبیان الضعفاء و الممدوحین، کما أنّ من البعید أن یؤلّف کتابا فی الضعفاء فقط، دون أن یؤلّف کتابا فی الثقات أو الممدوحین، و الدّلیل علی تألیفه کتابا فی الممدوحین وجود التوثیقات منه فی حقّ عّدة من الرّواة، و نقلها النّجاشی عنه. أضف إلی ذلک أنّ العلاّمة یصرّح بتعدّد کتابه و یقول فی ترجمة سلیمان النخعی: «قال ابن الغضائری سلیمان بن هارون النخعی أبو داود یقال له: کذاب النخع، روی عن أبی عبد اللّه ضعیف جدا» و قال فی کتابه الآخر: «سلیمان بن عمر أبو داود النخعی.. الخ»</w:t>
      </w:r>
      <w:r>
        <w:rPr>
          <w:rStyle w:val="FootnoteReference"/>
        </w:rPr>
        <w:footnoteReference w:id="5070"/>
      </w:r>
      <w:r>
        <w:rPr>
          <w:rFonts w:ascii="IRNazanin" w:hAnsi="IRNazanin" w:eastAsia="IRNazanin" w:cs="IRNazanin"/>
          <w:lang w:bidi="fa-IR"/>
          <w:color w:val="111111"/>
          <w:sz w:val="28"/>
          <w:szCs w:val="28"/>
          <w:rtl/>
        </w:rPr>
        <w:t xml:space="preserve">و قال فی ترجمة عمر بن ثابت: «ضعیف جدّا قاله ابن الغضائری و قال فی کتابه الآخر عمر بن أبی المقدام...»</w:t>
      </w:r>
      <w:r>
        <w:rPr>
          <w:rStyle w:val="FootnoteReference"/>
        </w:rPr>
        <w:footnoteReference w:id="5071"/>
      </w:r>
      <w:r>
        <w:rPr>
          <w:rFonts w:ascii="IRNazanin" w:hAnsi="IRNazanin" w:eastAsia="IRNazanin" w:cs="IRNazanin"/>
          <w:lang w:bidi="fa-IR"/>
          <w:color w:val="111111"/>
          <w:sz w:val="28"/>
          <w:szCs w:val="28"/>
          <w:rtl/>
        </w:rPr>
        <w:t xml:space="preserve">و قال فی ترجمة محمد بن مصادف: «اختلف قول ابن الغضائری فیه ففی أحد الکتابین إنّه ضعیف و فی الآخر إنّه ثقة»</w:t>
      </w:r>
      <w:r>
        <w:rPr>
          <w:rStyle w:val="FootnoteReference"/>
        </w:rPr>
        <w:footnoteReference w:id="5072"/>
      </w:r>
      <w:r>
        <w:rPr>
          <w:rFonts w:ascii="IRNazanin" w:hAnsi="IRNazanin" w:eastAsia="IRNazanin" w:cs="IRNazanin"/>
          <w:lang w:bidi="fa-IR"/>
          <w:color w:val="111111"/>
          <w:sz w:val="28"/>
          <w:szCs w:val="28"/>
          <w:rtl/>
        </w:rPr>
        <w:t xml:space="preserve">. و هذه النصوص تعطی أنّ للرجل کتابین،</w:t>
      </w:r>
    </w:p>
    <w:p>
      <w:pPr>
        <w:pStyle w:val="BookText"/>
      </w:pPr>
      <w:r>
        <w:rPr>
          <w:rFonts w:ascii="IRNazanin" w:hAnsi="IRNazanin" w:eastAsia="IRNazanin" w:cs="IRNazanin"/>
          <w:lang w:bidi="fa-IR"/>
          <w:color w:val="111111"/>
          <w:sz w:val="28"/>
          <w:szCs w:val="28"/>
          <w:rtl/>
        </w:rPr>
        <w:t xml:space="preserve">[شماره صفحه واقعی : 88]
</w:t>
      </w:r>
    </w:p>
    <w:p>
      <w:pPr>
        <w:sectPr>
          <w:footerReference w:type="default" r:id="rId1744"/>
          <w:footnotePr>
            <w:numStart w:val="1"/>
            <w:numRestart w:val="eachPage"/>
          </w:footnotePr>
          <w:pgSz w:orient="portrait" w:w="11905.511811023622" w:h="16837.79527559055"/>
          <w:pgMar w:top="1440" w:right="1440" w:bottom="1440" w:left="1440" w:header="720" w:footer="720" w:gutter="0"/>
          <w:cols w:num="1" w:space="720"/>
        </w:sectPr>
      </w:pPr>
    </w:p>
    <w:bookmarkStart w:id="923" w:name="pg14411_144126"/>
    <w:bookmarkEnd w:id="923"/>
    <w:p>
      <w:pPr>
        <w:pStyle w:val="BookText"/>
      </w:pPr>
      <w:r>
        <w:rPr>
          <w:rFonts w:ascii="IRNazanin" w:hAnsi="IRNazanin" w:eastAsia="IRNazanin" w:cs="IRNazanin"/>
          <w:lang w:bidi="fa-IR"/>
          <w:color w:val="111111"/>
          <w:sz w:val="28"/>
          <w:szCs w:val="28"/>
          <w:rtl/>
        </w:rPr>
        <w:t xml:space="preserve">أحدهما للضّعفاء و المذمومین، و الآخر للممدوحین و الموثّقین، و قد عرفت أنّ ما ذکره الشیخ فی أوّل الفهرس لا صلة لهما بهذین الکتابین. فقد مات الرّجل و ترک ثروة علمیّة مفیدة.</w:t>
      </w:r>
    </w:p>
    <w:p>
      <w:pPr>
        <w:pStyle w:val="Heading6"/>
      </w:pPr>
      <w:bookmarkStart w:id="2761" w:name="_Toc1796"/>
      <w:r>
        <w:t>و - کتاب الضعفاء و قیمته العلمیة عند العلماء</w:t>
      </w:r>
      <w:bookmarkEnd w:id="2761"/>
    </w:p>
    <w:p>
      <w:pPr>
        <w:pStyle w:val="Heading6"/>
      </w:pPr>
      <w:bookmarkStart w:id="2762" w:name="_Toc1797"/>
      <w:r>
        <w:t>اشارة</w:t>
      </w:r>
      <w:bookmarkEnd w:id="2762"/>
    </w:p>
    <w:p>
      <w:pPr>
        <w:pStyle w:val="BookText"/>
      </w:pPr>
      <w:r>
        <w:rPr>
          <w:rFonts w:ascii="IRNazanin" w:hAnsi="IRNazanin" w:eastAsia="IRNazanin" w:cs="IRNazanin"/>
          <w:lang w:bidi="fa-IR"/>
          <w:color w:val="111111"/>
          <w:sz w:val="28"/>
          <w:szCs w:val="28"/>
          <w:rtl/>
        </w:rPr>
        <w:t xml:space="preserve">لقد اختلف نظریّة العلماء حول الکتاب اختلافا عمیقا، فمن ذاهب إلی أنّه مختلق لبعض معاندی الشیعة أراد به الوقیعة فیهم، إلی قائل بثبوت الکتاب ثبوتا قطعیّا و أنّه حجة ما لم یعارض توثیق الشیخ و النجاشی، إلی ثالث بأنّ الکتاب له و أنّه نقّاد هذا العلم و لا یقدّم توثیق الشیخ و النجاشی علیه، إلی رابع بأنّ الکتاب له، غیر أنّ جرحه و تضعیفه غیر معتبر، لأنّه لم یکن فی الجرح و التّضعیف مستندا إلی الشّهادة و لا إلی القرائن المفیدة للاطمئنان بل إلی اجتهاده فی متن الحدیث، فلو کان الحدیث مشتملا علی الغلوّ و الارتفاع فی حقّ الأئمّة حسب نظره، وصف الراوی بالوضع و ضعّفه و إلیک هذه الأقوال:</w:t>
      </w:r>
    </w:p>
    <w:p>
      <w:pPr>
        <w:pStyle w:val="Heading6"/>
      </w:pPr>
      <w:bookmarkStart w:id="2763" w:name="_Toc1798"/>
      <w:r>
        <w:t>النظریة الاولی</w:t>
      </w:r>
      <w:bookmarkEnd w:id="2763"/>
    </w:p>
    <w:p>
      <w:pPr>
        <w:pStyle w:val="Heading6"/>
      </w:pPr>
      <w:bookmarkStart w:id="2764" w:name="_Toc1799"/>
      <w:r>
        <w:t>اشارة</w:t>
      </w:r>
      <w:bookmarkEnd w:id="2764"/>
    </w:p>
    <w:p>
      <w:pPr>
        <w:pStyle w:val="BookText"/>
      </w:pPr>
      <w:r>
        <w:rPr>
          <w:rFonts w:ascii="IRNazanin" w:hAnsi="IRNazanin" w:eastAsia="IRNazanin" w:cs="IRNazanin"/>
          <w:lang w:bidi="fa-IR"/>
          <w:color w:val="111111"/>
          <w:sz w:val="28"/>
          <w:szCs w:val="28"/>
          <w:rtl/>
        </w:rPr>
        <w:t xml:space="preserve">إنّ شیخنا المتتبّع الطهرانی بعد ما سرد وضع الکتاب و أوضح کیفیّة الاطّلاع علیه، حکم بعدم ثبوت نسبة الکتاب الی ابن الغضائری، و أنّ المؤلّف له کان من المعاندین لأکابر الشیعة، و کان یرید الوقیعة فیهم بکلّ حیلة، و لأجل ذلک ألّف هذا الکتاب و أدرج فیه بعض مقالات ابن الغضائری تمویها لیقبل عنه جمیع ما أراد إثباته من الوقائع و القبائح</w:t>
      </w:r>
      <w:r>
        <w:rPr>
          <w:rStyle w:val="FootnoteReference"/>
        </w:rPr>
        <w:footnoteReference w:id="5073"/>
      </w:r>
      <w:r>
        <w:rPr>
          <w:rFonts w:ascii="IRNazanin" w:hAnsi="IRNazanin" w:eastAsia="IRNazanin" w:cs="IRNazanin"/>
          <w:lang w:bidi="fa-IR"/>
          <w:color w:val="111111"/>
          <w:sz w:val="28"/>
          <w:szCs w:val="28"/>
          <w:rtl/>
        </w:rPr>
        <w:t xml:space="preserve">و یمکن تأییده فی بادیء النظر بوجوه:</w:t>
      </w:r>
    </w:p>
    <w:p>
      <w:pPr>
        <w:pStyle w:val="BookText"/>
      </w:pPr>
      <w:r>
        <w:rPr>
          <w:rFonts w:ascii="IRNazanin" w:hAnsi="IRNazanin" w:eastAsia="IRNazanin" w:cs="IRNazanin"/>
          <w:lang w:bidi="fa-IR"/>
          <w:color w:val="111111"/>
          <w:sz w:val="28"/>
          <w:szCs w:val="28"/>
          <w:rtl/>
        </w:rPr>
        <w:t xml:space="preserve">1 - إنّه کانت بین النّجاشی و ابن الغضائری خلطة و صداقة فی أیّام الدراسة و التحصیل، و کانا یدرسان عند والد ابن الغضائری، کما کانا یدرسان عند غیره، علی ما مرّ فی ترجمتهما فلو کان الکتاب من تألیف ابن الغضائری،</w:t>
      </w:r>
    </w:p>
    <w:p>
      <w:pPr>
        <w:pStyle w:val="BookText"/>
      </w:pPr>
      <w:r>
        <w:rPr>
          <w:rFonts w:ascii="IRNazanin" w:hAnsi="IRNazanin" w:eastAsia="IRNazanin" w:cs="IRNazanin"/>
          <w:lang w:bidi="fa-IR"/>
          <w:color w:val="111111"/>
          <w:sz w:val="28"/>
          <w:szCs w:val="28"/>
          <w:rtl/>
        </w:rPr>
        <w:t xml:space="preserve">[شماره صفحه واقعی : 89]
</w:t>
      </w:r>
    </w:p>
    <w:p>
      <w:pPr>
        <w:sectPr>
          <w:footerReference w:type="default" r:id="rId17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اقتضی طبع الحال وقوف النجاشی علیه وقوف الصّدیق علی أسرار صدیقه، و إکثار النّقل منه، مع أنّه لا ینقل عنه إلاّ فی موارد لا تتجاوز بضعة و عشرین موردا، و هو یقول فی کثیر من هذه الموارد «قال أحمد بن الحسین» أو «قاله أحمد بن الحسین» مشعرا بأخذه منه مشافهة لا نقلا عن کتابه.</w:t>
      </w:r>
    </w:p>
    <w:p>
      <w:pPr>
        <w:pStyle w:val="BookText"/>
      </w:pPr>
      <w:r>
        <w:rPr>
          <w:rFonts w:ascii="IRNazanin" w:hAnsi="IRNazanin" w:eastAsia="IRNazanin" w:cs="IRNazanin"/>
          <w:lang w:bidi="fa-IR"/>
          <w:color w:val="111111"/>
          <w:sz w:val="28"/>
          <w:szCs w:val="28"/>
          <w:rtl/>
        </w:rPr>
        <w:t xml:space="preserve">نعم، یقول فی بعض الموارد: «و ذکر أحمد بن الحسین» الظّاهر فی أنّه أخذه من کتابه.</w:t>
      </w:r>
    </w:p>
    <w:p>
      <w:pPr>
        <w:pStyle w:val="BookText"/>
      </w:pPr>
      <w:r>
        <w:rPr>
          <w:rFonts w:ascii="IRNazanin" w:hAnsi="IRNazanin" w:eastAsia="IRNazanin" w:cs="IRNazanin"/>
          <w:lang w:bidi="fa-IR"/>
          <w:color w:val="111111"/>
          <w:sz w:val="28"/>
          <w:szCs w:val="28"/>
          <w:rtl/>
        </w:rPr>
        <w:t xml:space="preserve">2 - إنّ الظّاهر من الشیخ الطّوسی أنّ ما ألّفه ابن الغضائری اهلک قبل أن یستنسخ حیث یقول: «و اخترم هو (ابن الغضائری) و عمد بعض ورثته الی إهلاک هذین الکتابین و غیرهما من الکتب علی ما حکی بعضهم عنه»</w:t>
      </w:r>
      <w:r>
        <w:rPr>
          <w:rStyle w:val="FootnoteReference"/>
        </w:rPr>
        <w:footnoteReference w:id="50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إنّ لفظ «اخترم» الّذی أطلقه الشّیخ علیه، یکشف عن أنّ الرجل مات بالموت الاخترامی، و هو موت من لم یتجاوز الأربعین و بما أنّ النّجاشی الّذی هو زمیله تولّد عام 372، یمکن أن یقال إنّه أیضا من موالید ذلک العام أو ما قبله بقلیل، و بما أنّ موته کان موتا اخترامیّا، یمکن التنبّؤ بأنّه مات بعد أبیه بقلیل، فیکون وفاته حوالی 412، و علی ذلک فمن البعید أن یصل الکتاب إلی ید النجاشی و لا یصل إلی ید الشّیخ، مع أنّ بیئة بغداد کانت تجمع بین العلمین (النجاشی و الشیخ) کلّ یوم و لیلة، و قد توفّی الشیخ سنة 460، و توفّی النجاشی علی المشهور عام 450، فهل یمکن بعد هذا وقوف النجاشی علی الکتاب و عدم وقوف الشیخ علیه؟</w:t>
      </w:r>
    </w:p>
    <w:p>
      <w:pPr>
        <w:pStyle w:val="BookText"/>
      </w:pPr>
      <w:r>
        <w:rPr>
          <w:rFonts w:ascii="IRNazanin" w:hAnsi="IRNazanin" w:eastAsia="IRNazanin" w:cs="IRNazanin"/>
          <w:lang w:bidi="fa-IR"/>
          <w:color w:val="111111"/>
          <w:sz w:val="28"/>
          <w:szCs w:val="28"/>
          <w:rtl/>
        </w:rPr>
        <w:t xml:space="preserve">و أقصی ما یمکن أن یقال: إنّ ابن الغضائری ترک أوراقا مسودّة فی علم الرجال، و وقف علیها النجاشی، و نقل عنه ما نقل، ثمّ زاد علیه بعض المعاندین ما تقشعرّ منه الجلود و ترتعد منه الفرائض من جرح المشایخ و رمیهم بالدسّ و الوضع، و هو کما قال السید الداماد فی رواشحه «قلّ أن یسلم أحد من</w:t>
      </w:r>
    </w:p>
    <w:p>
      <w:pPr>
        <w:pStyle w:val="BookText"/>
      </w:pPr>
      <w:r>
        <w:rPr>
          <w:rFonts w:ascii="IRNazanin" w:hAnsi="IRNazanin" w:eastAsia="IRNazanin" w:cs="IRNazanin"/>
          <w:lang w:bidi="fa-IR"/>
          <w:color w:val="111111"/>
          <w:sz w:val="28"/>
          <w:szCs w:val="28"/>
          <w:rtl/>
        </w:rPr>
        <w:t xml:space="preserve">[شماره صفحه واقعی : 90]
</w:t>
      </w:r>
    </w:p>
    <w:p>
      <w:pPr>
        <w:sectPr>
          <w:footerReference w:type="default" r:id="rId1746"/>
          <w:footnotePr>
            <w:numStart w:val="1"/>
            <w:numRestart w:val="eachPage"/>
          </w:footnotePr>
          <w:pgSz w:orient="portrait" w:w="11905.511811023622" w:h="16837.79527559055"/>
          <w:pgMar w:top="1440" w:right="1440" w:bottom="1440" w:left="1440" w:header="720" w:footer="720" w:gutter="0"/>
          <w:cols w:num="1" w:space="720"/>
        </w:sectPr>
      </w:pPr>
    </w:p>
    <w:bookmarkStart w:id="924" w:name="pg14411_144128"/>
    <w:bookmarkEnd w:id="924"/>
    <w:p>
      <w:pPr>
        <w:pStyle w:val="BookText"/>
      </w:pPr>
      <w:r>
        <w:rPr>
          <w:rFonts w:ascii="IRNazanin" w:hAnsi="IRNazanin" w:eastAsia="IRNazanin" w:cs="IRNazanin"/>
          <w:lang w:bidi="fa-IR"/>
          <w:color w:val="111111"/>
          <w:sz w:val="28"/>
          <w:szCs w:val="28"/>
          <w:rtl/>
        </w:rPr>
        <w:t xml:space="preserve">جرحه أو ینجو ثقة من قدحه».</w:t>
      </w:r>
    </w:p>
    <w:p>
      <w:pPr>
        <w:pStyle w:val="Heading6"/>
      </w:pPr>
      <w:bookmarkStart w:id="2765" w:name="_Toc1800"/>
      <w:r>
        <w:t>تحلیل هذه النظریة</w:t>
      </w:r>
      <w:bookmarkEnd w:id="2765"/>
    </w:p>
    <w:p>
      <w:pPr>
        <w:pStyle w:val="BookText"/>
      </w:pPr>
      <w:r>
        <w:rPr>
          <w:rFonts w:ascii="IRNazanin" w:hAnsi="IRNazanin" w:eastAsia="IRNazanin" w:cs="IRNazanin"/>
          <w:lang w:bidi="fa-IR"/>
          <w:color w:val="111111"/>
          <w:sz w:val="28"/>
          <w:szCs w:val="28"/>
          <w:rtl/>
        </w:rPr>
        <w:t xml:space="preserve">هذه النظریة فی غایة التّفریط، فی مقابل النظریة الثالثة الّتی هی فی غایة الإفراط و لا یخفی وهن هذه الامور:</w:t>
      </w:r>
    </w:p>
    <w:p>
      <w:pPr>
        <w:pStyle w:val="BookText"/>
      </w:pPr>
      <w:r>
        <w:rPr>
          <w:rFonts w:ascii="IRNazanin" w:hAnsi="IRNazanin" w:eastAsia="IRNazanin" w:cs="IRNazanin"/>
          <w:lang w:bidi="fa-IR"/>
          <w:color w:val="111111"/>
          <w:sz w:val="28"/>
          <w:szCs w:val="28"/>
          <w:rtl/>
        </w:rPr>
        <w:t xml:space="preserve">أمّا الأوّل: فیکفی فی صحّة نسبة الکتاب إلی ابن الغضائری تطابق ما نقله النّجاشی فی موارد کثیرة مع الموجود منه، و عدم استیعابه بنقل کلّ ما فیه، لأجل عدم ثبوته عنده، و لذلک ضرب عنه صفحا إلاّ فی موارد خاصّة لاختلاف مشربهما فی نقد الرجال و تمییز الثقات عن غیرها.</w:t>
      </w:r>
    </w:p>
    <w:p>
      <w:pPr>
        <w:pStyle w:val="BookText"/>
      </w:pPr>
      <w:r>
        <w:rPr>
          <w:rFonts w:ascii="IRNazanin" w:hAnsi="IRNazanin" w:eastAsia="IRNazanin" w:cs="IRNazanin"/>
          <w:lang w:bidi="fa-IR"/>
          <w:color w:val="111111"/>
          <w:sz w:val="28"/>
          <w:szCs w:val="28"/>
          <w:rtl/>
        </w:rPr>
        <w:t xml:space="preserve">و أمّا الثانی: فلما عرفت من أنّ کتاب الضعفاء، غیر ما ألّفه حول الاصول و المصنّفات، و هو غیر کتاب الممدوحین، الّذی ربّما ینقل عنه العلاّمة کما عرفت، و تعمّد الورثة علی إهلاک الأوّلین لا یکون دلیلا علی إهلاک الآخرین</w:t>
      </w:r>
      <w:r>
        <w:rPr>
          <w:rStyle w:val="FootnoteReference"/>
        </w:rPr>
        <w:footnoteReference w:id="50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الثالث: فیکفی فی الاعتذار من عدم اطّلاع الشیخ علی بقیّة کتب ابن الغضائری، أنّ الشیخ کان رجلا عالمیّا مشارکا فی أکثر العلوم الاسلامیّة و متخصّصا فی بعض النواحی منها، زعیما للشیعة فی العراق. و الغفلة عن مثل هذا الشّخص المتبحّر فی العلوم، و المتحمّل للمسؤولیّات الدینیة و الاجتماعیة، أمر غیر بعید.</w:t>
      </w:r>
    </w:p>
    <w:p>
      <w:pPr>
        <w:pStyle w:val="BookText"/>
      </w:pPr>
      <w:r>
        <w:rPr>
          <w:rFonts w:ascii="IRNazanin" w:hAnsi="IRNazanin" w:eastAsia="IRNazanin" w:cs="IRNazanin"/>
          <w:lang w:bidi="fa-IR"/>
          <w:color w:val="111111"/>
          <w:sz w:val="28"/>
          <w:szCs w:val="28"/>
          <w:rtl/>
        </w:rPr>
        <w:t xml:space="preserve">و هذا غیر النّجاشی الّذی کان زمیلا و مشارکا له فی دروس أبیه و غیره، متخصّصا فی علم الرجال و الأنساب، و الغفلة عن مثله أمر علی خلاف العادة.</w:t>
      </w:r>
    </w:p>
    <w:p>
      <w:pPr>
        <w:pStyle w:val="BookText"/>
      </w:pPr>
      <w:r>
        <w:rPr>
          <w:rFonts w:ascii="IRNazanin" w:hAnsi="IRNazanin" w:eastAsia="IRNazanin" w:cs="IRNazanin"/>
          <w:lang w:bidi="fa-IR"/>
          <w:color w:val="111111"/>
          <w:sz w:val="28"/>
          <w:szCs w:val="28"/>
          <w:rtl/>
        </w:rPr>
        <w:t xml:space="preserve">و ما ذکره صاحب معجم رجال الحدیث - دام ظلّه - من قصور المقتضی</w:t>
      </w:r>
    </w:p>
    <w:p>
      <w:pPr>
        <w:pStyle w:val="BookText"/>
      </w:pPr>
      <w:r>
        <w:rPr>
          <w:rFonts w:ascii="IRNazanin" w:hAnsi="IRNazanin" w:eastAsia="IRNazanin" w:cs="IRNazanin"/>
          <w:lang w:bidi="fa-IR"/>
          <w:color w:val="111111"/>
          <w:sz w:val="28"/>
          <w:szCs w:val="28"/>
          <w:rtl/>
        </w:rPr>
        <w:t xml:space="preserve">[شماره صفحه واقعی : 91]
</w:t>
      </w:r>
    </w:p>
    <w:p>
      <w:pPr>
        <w:sectPr>
          <w:footerReference w:type="default" r:id="rId1747"/>
          <w:footnotePr>
            <w:numStart w:val="1"/>
            <w:numRestart w:val="eachPage"/>
          </w:footnotePr>
          <w:pgSz w:orient="portrait" w:w="11905.511811023622" w:h="16837.79527559055"/>
          <w:pgMar w:top="1440" w:right="1440" w:bottom="1440" w:left="1440" w:header="720" w:footer="720" w:gutter="0"/>
          <w:cols w:num="1" w:space="720"/>
        </w:sectPr>
      </w:pPr>
    </w:p>
    <w:bookmarkStart w:id="925" w:name="pg14411_144129"/>
    <w:bookmarkEnd w:id="925"/>
    <w:p>
      <w:pPr>
        <w:pStyle w:val="BookText"/>
      </w:pPr>
      <w:r>
        <w:rPr>
          <w:rFonts w:ascii="IRNazanin" w:hAnsi="IRNazanin" w:eastAsia="IRNazanin" w:cs="IRNazanin"/>
          <w:lang w:bidi="fa-IR"/>
          <w:color w:val="111111"/>
          <w:sz w:val="28"/>
          <w:szCs w:val="28"/>
          <w:rtl/>
        </w:rPr>
        <w:t xml:space="preserve">و عدم ثبوت نسبة هذا الکتاب الی مؤلّفه</w:t>
      </w:r>
      <w:r>
        <w:rPr>
          <w:rStyle w:val="FootnoteReference"/>
        </w:rPr>
        <w:footnoteReference w:id="5076"/>
      </w:r>
      <w:r>
        <w:rPr>
          <w:rFonts w:ascii="IRNazanin" w:hAnsi="IRNazanin" w:eastAsia="IRNazanin" w:cs="IRNazanin"/>
          <w:lang w:bidi="fa-IR"/>
          <w:color w:val="111111"/>
          <w:sz w:val="28"/>
          <w:szCs w:val="28"/>
          <w:rtl/>
        </w:rPr>
        <w:t xml:space="preserve">غیر تامّ، لأنّ هذه القرائن تکفی فی ثبوت النسبة، و لولا الاعتماد علیها للزم رد کثیر من الکتب غیر الواصلة إلینا من طرق الروایة و الاجازة.</w:t>
      </w:r>
    </w:p>
    <w:p>
      <w:pPr>
        <w:pStyle w:val="BookText"/>
      </w:pPr>
      <w:r>
        <w:rPr>
          <w:rFonts w:ascii="IRNazanin" w:hAnsi="IRNazanin" w:eastAsia="IRNazanin" w:cs="IRNazanin"/>
          <w:lang w:bidi="fa-IR"/>
          <w:color w:val="111111"/>
          <w:sz w:val="28"/>
          <w:szCs w:val="28"/>
          <w:rtl/>
        </w:rPr>
        <w:t xml:space="preserve">و علی الجملة لا یصحّ رد الکتاب بهذه الوجوه الموهونة.</w:t>
      </w:r>
    </w:p>
    <w:p>
      <w:pPr>
        <w:pStyle w:val="Heading6"/>
      </w:pPr>
      <w:bookmarkStart w:id="2766" w:name="_Toc1801"/>
      <w:r>
        <w:t>النظریة الثانیة</w:t>
      </w:r>
      <w:bookmarkEnd w:id="2766"/>
    </w:p>
    <w:p>
      <w:pPr>
        <w:pStyle w:val="BookText"/>
      </w:pPr>
      <w:r>
        <w:rPr>
          <w:rFonts w:ascii="IRNazanin" w:hAnsi="IRNazanin" w:eastAsia="IRNazanin" w:cs="IRNazanin"/>
          <w:lang w:bidi="fa-IR"/>
          <w:color w:val="111111"/>
          <w:sz w:val="28"/>
          <w:szCs w:val="28"/>
          <w:rtl/>
        </w:rPr>
        <w:t xml:space="preserve">الظاهر من العلاّمة فی الخلاصة ثبوت نسبة الکتاب الی ابن الغضائری ثبوتا قطعیّا، و لأجل ذلک توقّف فی کثیر من الرواة لأجل تضعیف ابن الغضائری، و إنّما خالف فی موارد، لتوثیق النجاشی و الشیخ و ترجیح توثیقهما علی جرحه.</w:t>
      </w:r>
    </w:p>
    <w:p>
      <w:pPr>
        <w:pStyle w:val="Heading6"/>
      </w:pPr>
      <w:bookmarkStart w:id="2767" w:name="_Toc1802"/>
      <w:r>
        <w:t>النظریة الثالثة</w:t>
      </w:r>
      <w:bookmarkEnd w:id="2767"/>
    </w:p>
    <w:p>
      <w:pPr>
        <w:pStyle w:val="BookText"/>
      </w:pPr>
      <w:r>
        <w:rPr>
          <w:rFonts w:ascii="IRNazanin" w:hAnsi="IRNazanin" w:eastAsia="IRNazanin" w:cs="IRNazanin"/>
          <w:lang w:bidi="fa-IR"/>
          <w:color w:val="111111"/>
          <w:sz w:val="28"/>
          <w:szCs w:val="28"/>
          <w:rtl/>
        </w:rPr>
        <w:t xml:space="preserve">إنّ هذا الکتاب و إن اشتهر من عصر المجلسی بأنّه لا عبرة به، لأنّه یتسرّع إلی جرح الأجلّة، إلاّ أنّه کلام قشریّ و أنّه لم یر مثله فی دقّة النّظر، و یکفیه اعتماد مثل النّجاشی الّذی هو أضبط أهل الرّجال علیه، و قد عرفت من الشیخ أنّه أوّل من ألّف فهرسا کاملا فی مصنّفات الشیعة و اصولهم، و الرجل نقّاد هذا العلم، و لم یکن متسرّعا فی الجرح بل کان متأمّلا متثبّتا فی التّضعیف، قد قوّی من ضعّفه القمیّون جمیعا کأحمد بن الحسین بن سعید، و الحسین بن آذویه و زید الزرّاد و زید النرسی و محمّد بن أورمة بأنّه رأی کتبهم، و أحادیثهم صحیحة.</w:t>
      </w:r>
    </w:p>
    <w:p>
      <w:pPr>
        <w:pStyle w:val="BookText"/>
      </w:pPr>
      <w:r>
        <w:rPr>
          <w:rFonts w:ascii="IRNazanin" w:hAnsi="IRNazanin" w:eastAsia="IRNazanin" w:cs="IRNazanin"/>
          <w:lang w:bidi="fa-IR"/>
          <w:color w:val="111111"/>
          <w:sz w:val="28"/>
          <w:szCs w:val="28"/>
          <w:rtl/>
        </w:rPr>
        <w:t xml:space="preserve">نعم إنّ المتأخرین شهروا ابن الغضائری بأنّه یتسرّع إلی الجرح فلا عبرة بطعونه، مع أنّ الّذی وجدناه بالسبر فی الذین وقفنا علی کتبهم ممّن طعن</w:t>
      </w:r>
    </w:p>
    <w:p>
      <w:pPr>
        <w:pStyle w:val="BookText"/>
      </w:pPr>
      <w:r>
        <w:rPr>
          <w:rFonts w:ascii="IRNazanin" w:hAnsi="IRNazanin" w:eastAsia="IRNazanin" w:cs="IRNazanin"/>
          <w:lang w:bidi="fa-IR"/>
          <w:color w:val="111111"/>
          <w:sz w:val="28"/>
          <w:szCs w:val="28"/>
          <w:rtl/>
        </w:rPr>
        <w:t xml:space="preserve">[شماره صفحه واقعی : 92]
</w:t>
      </w:r>
    </w:p>
    <w:p>
      <w:pPr>
        <w:sectPr>
          <w:footerReference w:type="default" r:id="rId1748"/>
          <w:footnotePr>
            <w:numStart w:val="1"/>
            <w:numRestart w:val="eachPage"/>
          </w:footnotePr>
          <w:pgSz w:orient="portrait" w:w="11905.511811023622" w:h="16837.79527559055"/>
          <w:pgMar w:top="1440" w:right="1440" w:bottom="1440" w:left="1440" w:header="720" w:footer="720" w:gutter="0"/>
          <w:cols w:num="1" w:space="720"/>
        </w:sectPr>
      </w:pPr>
    </w:p>
    <w:bookmarkStart w:id="926" w:name="pg14411_144130"/>
    <w:bookmarkEnd w:id="926"/>
    <w:p>
      <w:pPr>
        <w:pStyle w:val="BookText"/>
      </w:pPr>
      <w:r>
        <w:rPr>
          <w:rFonts w:ascii="IRNazanin" w:hAnsi="IRNazanin" w:eastAsia="IRNazanin" w:cs="IRNazanin"/>
          <w:lang w:bidi="fa-IR"/>
          <w:color w:val="111111"/>
          <w:sz w:val="28"/>
          <w:szCs w:val="28"/>
          <w:rtl/>
        </w:rPr>
        <w:t xml:space="preserve">فیهم، ککتاب الاستغاثة لعلیّ بن أحمد الکوفی، و کتاب تفسیر محمد بن القاسم الاسترآبادی، و کتاب الحسین بن عباس ابن الجریش أنّ الامر کما ذکر</w:t>
      </w:r>
      <w:r>
        <w:rPr>
          <w:rStyle w:val="FootnoteReference"/>
        </w:rPr>
        <w:footnoteReference w:id="50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یخفی أنّ تلک النظریة فی جانب الافراط، و لو کان الکتاب بتلک المنزلة لماذا لم یستند إلیه النّجاشی فی عامّة الموارد، بل لم یستند الیه إلاّ فی بضعة و عشرین موردا؟ مع أنّه ضعّف کثیرا من المشایخ التی وثاقتهم عندنا کالشمس فی رائعة النهار.</w:t>
      </w:r>
    </w:p>
    <w:p>
      <w:pPr>
        <w:pStyle w:val="BookText"/>
      </w:pPr>
      <w:r>
        <w:rPr>
          <w:rFonts w:ascii="IRNazanin" w:hAnsi="IRNazanin" w:eastAsia="IRNazanin" w:cs="IRNazanin"/>
          <w:lang w:bidi="fa-IR"/>
          <w:color w:val="111111"/>
          <w:sz w:val="28"/>
          <w:szCs w:val="28"/>
          <w:rtl/>
        </w:rPr>
        <w:t xml:space="preserve">إنّ عدم العبرة بطعونه لیس لأجل تسرّعه إلی الجرح و أنّه کان جرّاحا للرواة خارجا عن الحدّ المتعارف، بل لأجل أنّه لم یستند فی جرحه بل و تعدیله إلی الطّرق الحسیّة، بل استند إلی استنباطات و اجتهادات شخصیة کما سیوافیک بیانه فی النظریة الرابعة.</w:t>
      </w:r>
    </w:p>
    <w:p>
      <w:pPr>
        <w:pStyle w:val="Heading6"/>
      </w:pPr>
      <w:bookmarkStart w:id="2768" w:name="_Toc1803"/>
      <w:r>
        <w:t>النظریة الرابعة</w:t>
      </w:r>
      <w:bookmarkEnd w:id="2768"/>
    </w:p>
    <w:p>
      <w:pPr>
        <w:pStyle w:val="Heading6"/>
      </w:pPr>
      <w:bookmarkStart w:id="2769" w:name="_Toc1804"/>
      <w:r>
        <w:t>اشارة</w:t>
      </w:r>
      <w:bookmarkEnd w:id="2769"/>
    </w:p>
    <w:p>
      <w:pPr>
        <w:pStyle w:val="BookText"/>
      </w:pPr>
      <w:r>
        <w:rPr>
          <w:rFonts w:ascii="IRNazanin" w:hAnsi="IRNazanin" w:eastAsia="IRNazanin" w:cs="IRNazanin"/>
          <w:lang w:bidi="fa-IR"/>
          <w:color w:val="111111"/>
          <w:sz w:val="28"/>
          <w:szCs w:val="28"/>
          <w:rtl/>
        </w:rPr>
        <w:t xml:space="preserve">إنّ کتاب الضعفاء هو لابن الغضائری، غیر أنّ تضعیفه و جرحه للرواة و المشایخ لم یکن مستندا إلی الشّهادة و السماع، بل کان اجتهادا منه عند النظر إلی روایات الأفراد، فإن رآها مشتملة علی الغلوّ و الارتفاع حسب نظره، وصفه بالضّعف و وضع الحدیث، و قد عرفت أنّه صحّح روایات عدّة من القمیّین بأنّه رأی کتبهم، و أحادیثهم صحیحة (أی بملاحظة مطابقتها لمعتقده).</w:t>
      </w:r>
    </w:p>
    <w:p>
      <w:pPr>
        <w:pStyle w:val="BookText"/>
      </w:pPr>
      <w:r>
        <w:rPr>
          <w:rFonts w:ascii="IRNazanin" w:hAnsi="IRNazanin" w:eastAsia="IRNazanin" w:cs="IRNazanin"/>
          <w:lang w:bidi="fa-IR"/>
          <w:color w:val="111111"/>
          <w:sz w:val="28"/>
          <w:szCs w:val="28"/>
          <w:rtl/>
        </w:rPr>
        <w:t xml:space="preserve">و یرشد إلی ذلک ما ذکره المحقّق الوحید البهبهانی فی بعض المقامات حیث قال: «اعلم أنّ الظّاهر أنّ کثیرا من القدماء سیّما القمّیین منهم و الغضائری کانوا یعتقدون للائمّة - علیهم السلام - منزلة خاصّة من الرفعة و الجلالة، و مرتبة معیّنة من العصمة و الکمال بحسب اجتهادهم و رأیهم، و ما</w:t>
      </w:r>
    </w:p>
    <w:p>
      <w:pPr>
        <w:pStyle w:val="BookText"/>
      </w:pPr>
      <w:r>
        <w:rPr>
          <w:rFonts w:ascii="IRNazanin" w:hAnsi="IRNazanin" w:eastAsia="IRNazanin" w:cs="IRNazanin"/>
          <w:lang w:bidi="fa-IR"/>
          <w:color w:val="111111"/>
          <w:sz w:val="28"/>
          <w:szCs w:val="28"/>
          <w:rtl/>
        </w:rPr>
        <w:t xml:space="preserve">[شماره صفحه واقعی : 93]
</w:t>
      </w:r>
    </w:p>
    <w:p>
      <w:pPr>
        <w:sectPr>
          <w:footerReference w:type="default" r:id="rId1749"/>
          <w:footnotePr>
            <w:numStart w:val="1"/>
            <w:numRestart w:val="eachPage"/>
          </w:footnotePr>
          <w:pgSz w:orient="portrait" w:w="11905.511811023622" w:h="16837.79527559055"/>
          <w:pgMar w:top="1440" w:right="1440" w:bottom="1440" w:left="1440" w:header="720" w:footer="720" w:gutter="0"/>
          <w:cols w:num="1" w:space="720"/>
        </w:sectPr>
      </w:pPr>
    </w:p>
    <w:bookmarkStart w:id="927" w:name="pg14411_144131"/>
    <w:bookmarkEnd w:id="927"/>
    <w:p>
      <w:pPr>
        <w:pStyle w:val="BookText"/>
      </w:pPr>
      <w:r>
        <w:rPr>
          <w:rFonts w:ascii="IRNazanin" w:hAnsi="IRNazanin" w:eastAsia="IRNazanin" w:cs="IRNazanin"/>
          <w:lang w:bidi="fa-IR"/>
          <w:color w:val="111111"/>
          <w:sz w:val="28"/>
          <w:szCs w:val="28"/>
          <w:rtl/>
        </w:rPr>
        <w:t xml:space="preserve">کانوا یجوّزون التعدّی عنها، و کانوا یعدّون التعدّی ارتفاعا و غلوّا حسب معتقدهم، حتّی إنّهم جعلوا مثل نفی السهو عنهم غلوّا، بل ربّما جعلوا مطلق التّفویض إلیهم أو التّفویض الّذی اختلف فیه - کما سنذکر - أو المبالغة فی معجزاتهم و نقل العجائب من خوارق العادات عنهم، أو الإغراق فی شأنهم و إجلالهم و تنزیههم عن کثیر من النقائص، و إظهار کثیر قدرة لهم، و ذکر علمهم بمکنونات السماء و الأرض (جعلوا کلّ ذلک) ارتفاعا أو مورثا للتّهمة به، سیّما بجهة أنّ الغلاة کانوا مختفین فی الشیعة مخلوطین بهم مدلّسین.</w:t>
      </w:r>
    </w:p>
    <w:p>
      <w:pPr>
        <w:pStyle w:val="BookText"/>
      </w:pPr>
      <w:r>
        <w:rPr>
          <w:rFonts w:ascii="IRNazanin" w:hAnsi="IRNazanin" w:eastAsia="IRNazanin" w:cs="IRNazanin"/>
          <w:lang w:bidi="fa-IR"/>
          <w:color w:val="111111"/>
          <w:sz w:val="28"/>
          <w:szCs w:val="28"/>
          <w:rtl/>
        </w:rPr>
        <w:t xml:space="preserve">و بالجملة، الظاهر أنّ القدماء کانوا مختلفین فی المسائل الاصولیة أیضا فربّما کان شیء عند بعضهم فاسدا أو کفرا أو غلوّا أو تفویضا أو جبرا أو تشبیها أو غیر ذلک، و کان عند آخر ممّا یجب اعتقاده أو لا هذا و لا ذاک. و ربّما کان منشأ جرحهم بالامور المذکورة وجدان الروایة الظاهرة فیها منهم - کما أشرنا آنفا - أو ادّعاء أرباب المذاهب کونه منهم أو روایتهم عنه و ربّما کان المنشأ روایتهم المناکیر عنه، إلی غیر ذلک، فعلی هذا ربّما یحصل التأمّل فی جرحهم بأمثال الامور المذکورة إلی أن قال:</w:t>
      </w:r>
    </w:p>
    <w:p>
      <w:pPr>
        <w:pStyle w:val="BookText"/>
      </w:pPr>
      <w:r>
        <w:rPr>
          <w:rFonts w:ascii="IRNazanin" w:hAnsi="IRNazanin" w:eastAsia="IRNazanin" w:cs="IRNazanin"/>
          <w:lang w:bidi="fa-IR"/>
          <w:color w:val="111111"/>
          <w:sz w:val="28"/>
          <w:szCs w:val="28"/>
          <w:rtl/>
        </w:rPr>
        <w:t xml:space="preserve">ثمّ اعلم أنّه (أحمد بن محمد بن عیسی) و الغضائری ربّما ینسبان الراوی إلی الکذب و وضع الحدیث أیضا بعد ما نسباه إلی الغلوّ و کأنّه لروایته ما یدلّ علیه»</w:t>
      </w:r>
      <w:r>
        <w:rPr>
          <w:rStyle w:val="FootnoteReference"/>
        </w:rPr>
        <w:footnoteReference w:id="5078"/>
      </w:r>
      <w:r>
        <w:rPr>
          <w:rFonts w:ascii="Times New Roman" w:hAnsi="Times New Roman" w:eastAsia="Times New Roman" w:cs="Times New Roman"/>
          <w:lang w:val="en-US" w:bidi="en-US"/>
          <w:color w:val="111111"/>
          <w:sz w:val="28"/>
          <w:szCs w:val="28"/>
          <w:rtl/>
        </w:rPr>
        <w:t xml:space="preserve">.</w:t>
      </w:r>
    </w:p>
    <w:p>
      <w:pPr>
        <w:pStyle w:val="Heading6"/>
      </w:pPr>
      <w:bookmarkStart w:id="2770" w:name="_Toc1805"/>
      <w:r>
        <w:t>اجابة المحقق التستری عن هذه النظریة</w:t>
      </w:r>
      <w:bookmarkEnd w:id="2770"/>
    </w:p>
    <w:p>
      <w:pPr>
        <w:pStyle w:val="BookText"/>
      </w:pPr>
      <w:r>
        <w:rPr>
          <w:rFonts w:ascii="IRNazanin" w:hAnsi="IRNazanin" w:eastAsia="IRNazanin" w:cs="IRNazanin"/>
          <w:lang w:bidi="fa-IR"/>
          <w:color w:val="111111"/>
          <w:sz w:val="28"/>
          <w:szCs w:val="28"/>
          <w:rtl/>
        </w:rPr>
        <w:t xml:space="preserve">إنّ المحقّق التستری أجاب عن هذه النظریة بقوله: «کثیرا ما یردّ المتأخّرون طعن القدماء فی رجل بالغلوّ، بأنّهم رموه به لنقله معجزاتهم و هو غیر صحیح، فإنّ کونهم - علیهم السلام - ذوی معجزات من ضروریات مذهب</w:t>
      </w:r>
    </w:p>
    <w:p>
      <w:pPr>
        <w:pStyle w:val="BookText"/>
      </w:pPr>
      <w:r>
        <w:rPr>
          <w:rFonts w:ascii="IRNazanin" w:hAnsi="IRNazanin" w:eastAsia="IRNazanin" w:cs="IRNazanin"/>
          <w:lang w:bidi="fa-IR"/>
          <w:color w:val="111111"/>
          <w:sz w:val="28"/>
          <w:szCs w:val="28"/>
          <w:rtl/>
        </w:rPr>
        <w:t xml:space="preserve">[شماره صفحه واقعی : 94]
</w:t>
      </w:r>
    </w:p>
    <w:p>
      <w:pPr>
        <w:sectPr>
          <w:footerReference w:type="default" r:id="rId17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الإمامیّة، و هل معجزاتهم وصلت إلینا إلاّ بنقلهم؟ و إنّما مرادهم بالغلوّ ترک العبادة اعتمادا علی ولایتهم - علیهم السلام -. فروی أحمد بن الحسین الغضائری، عن الحسن بن محمّد بن بندار القمّی، قال: سمعت مشایخی یقولون: إنّ محمّد بن أورمة لما طعن علیه بالغلوّ بعث إلیه الأشاعرة لیقتلوه، فوجدوه یصلّی اللّیل من أوّله إلی آخره، لیالی عدّة فتوقّفوا عن اعتقادهم.</w:t>
      </w:r>
    </w:p>
    <w:p>
      <w:pPr>
        <w:pStyle w:val="BookText"/>
      </w:pPr>
      <w:r>
        <w:rPr>
          <w:rFonts w:ascii="IRNazanin" w:hAnsi="IRNazanin" w:eastAsia="IRNazanin" w:cs="IRNazanin"/>
          <w:lang w:bidi="fa-IR"/>
          <w:color w:val="111111"/>
          <w:sz w:val="28"/>
          <w:szCs w:val="28"/>
          <w:rtl/>
        </w:rPr>
        <w:t xml:space="preserve">و عن فلاح السّائل</w:t>
      </w:r>
      <w:r>
        <w:rPr>
          <w:rStyle w:val="FootnoteReference"/>
        </w:rPr>
        <w:footnoteReference w:id="5079"/>
      </w:r>
      <w:r>
        <w:rPr>
          <w:rFonts w:ascii="IRNazanin" w:hAnsi="IRNazanin" w:eastAsia="IRNazanin" w:cs="IRNazanin"/>
          <w:lang w:bidi="fa-IR"/>
          <w:color w:val="111111"/>
          <w:sz w:val="28"/>
          <w:szCs w:val="28"/>
          <w:rtl/>
        </w:rPr>
        <w:t xml:space="preserve">لعلیّ بن طاووس عن الحسین بن أحمد المالکی قال: قلت لأحمد بن ملیک الکرخیّ</w:t>
      </w:r>
      <w:r>
        <w:rPr>
          <w:rStyle w:val="FootnoteReference"/>
        </w:rPr>
        <w:footnoteReference w:id="5080"/>
      </w:r>
      <w:r>
        <w:rPr>
          <w:rFonts w:ascii="Amiri" w:hAnsi="Amiri" w:eastAsia="Amiri" w:cs="Amiri"/>
          <w:lang w:bidi="ar-SA"/>
          <w:color w:val="111111"/>
          <w:sz w:val="28"/>
          <w:szCs w:val="28"/>
          <w:rtl/>
        </w:rPr>
        <w:t xml:space="preserve">عمّا یقال فی محمّد بن سنان من أمر الغلوّ، فقال: معاذ اللّه، و هو و اللّه علّمنی الطّهور.</w:t>
      </w:r>
    </w:p>
    <w:p>
      <w:pPr>
        <w:pStyle w:val="BookText"/>
      </w:pPr>
      <w:r>
        <w:rPr>
          <w:rFonts w:ascii="IRNazanin" w:hAnsi="IRNazanin" w:eastAsia="IRNazanin" w:cs="IRNazanin"/>
          <w:lang w:bidi="fa-IR"/>
          <w:color w:val="111111"/>
          <w:sz w:val="28"/>
          <w:szCs w:val="28"/>
          <w:rtl/>
        </w:rPr>
        <w:t xml:space="preserve">و عنون الکشّی</w:t>
      </w:r>
      <w:r>
        <w:rPr>
          <w:rStyle w:val="FootnoteReference"/>
        </w:rPr>
        <w:footnoteReference w:id="5081"/>
      </w:r>
      <w:r>
        <w:rPr>
          <w:rFonts w:ascii="IRNazanin" w:hAnsi="IRNazanin" w:eastAsia="IRNazanin" w:cs="IRNazanin"/>
          <w:lang w:bidi="fa-IR"/>
          <w:color w:val="111111"/>
          <w:sz w:val="28"/>
          <w:szCs w:val="28"/>
          <w:rtl/>
        </w:rPr>
        <w:t xml:space="preserve">جمعا، منهم علیّ بن عبد اللّه بن مروان و قال إنّه سأل العیّاشی عنهم فقال: و أما علیّ بن عبد اللّه بن مروان فإنّ القوم (یعنی الغلاة) تمتحن فی أوقات الصّلوات و لم أحضره وقت صلاة. و عنون الکشّی</w:t>
      </w:r>
      <w:r>
        <w:rPr>
          <w:rStyle w:val="FootnoteReference"/>
        </w:rPr>
        <w:footnoteReference w:id="5082"/>
      </w:r>
      <w:r>
        <w:rPr>
          <w:rFonts w:ascii="IRNazanin" w:hAnsi="IRNazanin" w:eastAsia="IRNazanin" w:cs="IRNazanin"/>
          <w:lang w:bidi="fa-IR"/>
          <w:color w:val="111111"/>
          <w:sz w:val="28"/>
          <w:szCs w:val="28"/>
          <w:rtl/>
        </w:rPr>
        <w:t xml:space="preserve">أیضا الغلاة فی وقت الإمام الهادی - علیه السلام - و روی عن أحمد بن محمّد بن عیسی أنّه کتب إلیه - علیه السلام - فی قوم یتکلّمون و یقرؤون أحادیث ینسبونها</w:t>
      </w:r>
    </w:p>
    <w:p>
      <w:pPr>
        <w:pStyle w:val="BookText"/>
      </w:pPr>
      <w:r>
        <w:rPr>
          <w:rFonts w:ascii="IRNazanin" w:hAnsi="IRNazanin" w:eastAsia="IRNazanin" w:cs="IRNazanin"/>
          <w:lang w:bidi="fa-IR"/>
          <w:color w:val="111111"/>
          <w:sz w:val="28"/>
          <w:szCs w:val="28"/>
          <w:rtl/>
        </w:rPr>
        <w:t xml:space="preserve">[شماره صفحه واقعی : 95]
</w:t>
      </w:r>
    </w:p>
    <w:p>
      <w:pPr>
        <w:sectPr>
          <w:footerReference w:type="default" r:id="rId17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إلیک و إلی آبائک - إلی أن قال: و من أقاویلهم أنّهم یقولون: إنّ قوله تعالی إِنَّ الصَّلاةَ تَنْهی عَنِ الْفَحْشاءِ وَ الْمُنْکَرِ معناها رجل، لا سجود و لا رکوع، و کذلک الزکاة معناها ذلک الرجل لا عدد دراهم و لا إخراج مال، و أشیاء من الفرائض و السنن و المعاصی تأوّلوها و صیّروها علی هذا الحدّ الّذی ذکرت»</w:t>
      </w:r>
      <w:r>
        <w:rPr>
          <w:rStyle w:val="FootnoteReference"/>
        </w:rPr>
        <w:footnoteReference w:id="50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ما ذکره - دام ظلّه - من أنّ الغلاة کانوا یمتحنون فی أوقات الصّلاة صحیح فی الجملة، و یدلّ علیه مضافا إلی ما ذکره، بعض الروایات. قال الصّادق - علیه السلام -: احذروا علی شبابکم الغلاة لا یفسدوهم، فإنّ الغلاة شرّ خلق اللّه - إلی أن قال: إلینا یرجع الغالی فلا نقبله، و بنا یلحق المقصّر فنقبله، فقیل له: کیف ذلک یا ابن رسول اللّه؟ قال: الغالی قد اعتاد ترک الصّلاة و الزّکاة و الصّیام و الحجّ، فلا یقدر علی ترک عادته و علی الرّجوع إلی طاعة اللّه عزّ و جلّ أبدا و إنّ المقصر إذا عرف عمل و أطاع</w:t>
      </w:r>
      <w:r>
        <w:rPr>
          <w:rStyle w:val="FootnoteReference"/>
        </w:rPr>
        <w:footnoteReference w:id="50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کتب بعض أصحابنا إلی أبی الحسن العسکری - علیه السلام -: أنّ علیّ بن حسکة یدّعی أنّه من أولیائک و أنّک أنت الأوّل القدیم و أنّه بابک و نبیّک أمرته أن یدعو إلی ذلک و یزعم أنّ الصّلاة و الزّکاة و الحجّ و الصّوم کل ذلک معرفتک - إلی آخره</w:t>
      </w:r>
      <w:r>
        <w:rPr>
          <w:rStyle w:val="FootnoteReference"/>
        </w:rPr>
        <w:footnoteReference w:id="50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نقل الکشّی عن یحیی بن عبد الحمید الحمّانی، فی کتابه المؤلّف فی إثبات إمامة أمیر المؤمنین - علیه السلام - عن الغلاة: أنّ معرفة الإمام تکفی من الصّوم و الصّلاة</w:t>
      </w:r>
      <w:r>
        <w:rPr>
          <w:rStyle w:val="FootnoteReference"/>
        </w:rPr>
        <w:footnoteReference w:id="50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96]
</w:t>
      </w:r>
    </w:p>
    <w:p>
      <w:pPr>
        <w:sectPr>
          <w:footerReference w:type="default" r:id="rId17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مع هذا الاعتراف إنّ هذه الروایات لا تثبت ما رامه و هو أنّ الغلوّ کان له معنی واحد فی جمیع الأزمنة، و لازمه ترک الفرائض، و أنّ ذلک المعنی کان مقبولا عند الکلّ من عصر الإمام الصادق - علیه السلام - إلی عصر الغضائری اذ فیه:</w:t>
      </w:r>
    </w:p>
    <w:p>
      <w:pPr>
        <w:pStyle w:val="BookText"/>
      </w:pPr>
      <w:r>
        <w:rPr>
          <w:rFonts w:ascii="IRNazanin" w:hAnsi="IRNazanin" w:eastAsia="IRNazanin" w:cs="IRNazanin"/>
          <w:lang w:bidi="fa-IR"/>
          <w:color w:val="111111"/>
          <w:sz w:val="28"/>
          <w:szCs w:val="28"/>
          <w:rtl/>
        </w:rPr>
        <w:t xml:space="preserve">أمّا أوّلا: فإنّه یظهر عما نقله الکشّی عن عثمان بن عیسی الکلابی أنّ محمد بن بشیر أحد رؤساء الغلاة فی عصره، و أتباعه کانوا یأخذون بعض الفرائض و ینکرون البعض الآخر، حیث زعموا أنّ الفرائض علیهم من اللّه تعالی إقامة الصّلاة و الخمس و صوم شهر رمضان، و فی الوقت نفسه، أنکروا الزّکاة و الحجّ و سائر الفرائض</w:t>
      </w:r>
      <w:r>
        <w:rPr>
          <w:rStyle w:val="FootnoteReference"/>
        </w:rPr>
        <w:footnoteReference w:id="5087"/>
      </w:r>
      <w:r>
        <w:rPr>
          <w:rFonts w:ascii="IRNazanin" w:hAnsi="IRNazanin" w:eastAsia="IRNazanin" w:cs="IRNazanin"/>
          <w:lang w:bidi="fa-IR"/>
          <w:color w:val="111111"/>
          <w:sz w:val="28"/>
          <w:szCs w:val="28"/>
          <w:rtl/>
        </w:rPr>
        <w:t xml:space="preserve">. و علی ذلک فما ذکره من امتحان الغلاة فی أوقات الصّلاة راجع إلی صنف خاصّ من الغلاة دون کلهم.</w:t>
      </w:r>
    </w:p>
    <w:p>
      <w:pPr>
        <w:pStyle w:val="BookText"/>
      </w:pPr>
      <w:r>
        <w:rPr>
          <w:rFonts w:ascii="IRNazanin" w:hAnsi="IRNazanin" w:eastAsia="IRNazanin" w:cs="IRNazanin"/>
          <w:lang w:bidi="fa-IR"/>
          <w:color w:val="111111"/>
          <w:sz w:val="28"/>
          <w:szCs w:val="28"/>
          <w:rtl/>
        </w:rPr>
        <w:t xml:space="preserve">و ثانیا: أنّ الظاهر من کلمات القدماء أنّهم لم یتّفقوا فی معنی الغلوّ بشکل خاصّ علی ما حکی شیخنا المفید عن محمّد بن الحسن بن أحمد بن الولید أنّه قال: أوّل درجة فی الغلوّ، نفی السهو عن النّبی - صلی اللّه علیه و آله و الإمام، ثمّ قال الشیخ: فإن صحّت هذه الحکایة عنه فهو مقصّر، مع أنّه من علماء القمیین و مشیختهم، و قد وجدنا جماعة وردت إلینا من قم یقصّرون تقصیرا ظاهرا فی الدین، ینزلون الأئمّة - علیهم السلام - عن مراتبهم، و یزعمون أنّهم کانوا لا یعرفون کثیرا من الأحکام الدینیّة، حتّی ینکت فی قلوبهم، و رأینا من یقول إنّهم کانوا یلجأون فی حکم الشریعة إلی الرّأی و الظّنون و یدّعون مع ذلک أنّهم من العلماء</w:t>
      </w:r>
      <w:r>
        <w:rPr>
          <w:rStyle w:val="FootnoteReference"/>
        </w:rPr>
        <w:footnoteReference w:id="50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فإذا کانت المشایخ من القمیّین و غیرهم یعتقدون فی حقّ الأئمّة ما نقله</w:t>
      </w:r>
    </w:p>
    <w:p>
      <w:pPr>
        <w:pStyle w:val="BookText"/>
      </w:pPr>
      <w:r>
        <w:rPr>
          <w:rFonts w:ascii="IRNazanin" w:hAnsi="IRNazanin" w:eastAsia="IRNazanin" w:cs="IRNazanin"/>
          <w:lang w:bidi="fa-IR"/>
          <w:color w:val="111111"/>
          <w:sz w:val="28"/>
          <w:szCs w:val="28"/>
          <w:rtl/>
        </w:rPr>
        <w:t xml:space="preserve">[شماره صفحه واقعی : 97]
</w:t>
      </w:r>
    </w:p>
    <w:p>
      <w:pPr>
        <w:sectPr>
          <w:footerReference w:type="default" r:id="rId17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الشیخ المفید، فإذا وجدوا روایة علی خلاف معتقدهم وصفوها بحسب الطّبع بالضّعف و راویها بالجعل و الدسّ.</w:t>
      </w:r>
    </w:p>
    <w:p>
      <w:pPr>
        <w:pStyle w:val="BookText"/>
      </w:pPr>
      <w:r>
        <w:rPr>
          <w:rFonts w:ascii="IRNazanin" w:hAnsi="IRNazanin" w:eastAsia="IRNazanin" w:cs="IRNazanin"/>
          <w:lang w:bidi="fa-IR"/>
          <w:color w:val="111111"/>
          <w:sz w:val="28"/>
          <w:szCs w:val="28"/>
          <w:rtl/>
        </w:rPr>
        <w:t xml:space="preserve">قال العلاّمة المجلسی - رحمه اللّه - بعد ما فسّر الغلوّ فی النّبی و الأئمّة - علیهم السلام -: «و لکن أفرط بعض المتکلّمین و المحدّثین فی الغلوّ لقصورهم عن معرفة الأئمّة - علیهم السلام -، و عجزهم عن إدراک غرائب أحوالهم و عجائب شؤونهم، فقدحوا فی کثیر من الرواة الثقات بعض غرائب المعجزات حتی قال بعضهم: من الغلوّ نفی السهو عنهم، أو القول بأنّهم یعلمون ما کان و ما یکون»</w:t>
      </w:r>
      <w:r>
        <w:rPr>
          <w:rStyle w:val="FootnoteReference"/>
        </w:rPr>
        <w:footnoteReference w:id="50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علی ذلک، فلیس من البعید أنّ الغضائری و نظراءه الّذین ینسبون کثیرا من الرّواة إلی الضّعف و الجعل، کانوا یعتقدون فی حقّ النّبی و الأئمّة - علیهم السلام - عقیدة هذه المشایخ، فإذا وجدوا أنّ الرّوایة لا توافق معتقدهم اتّهموه بالکذب و وضع الحدیث.</w:t>
      </w:r>
    </w:p>
    <w:p>
      <w:pPr>
        <w:pStyle w:val="BookText"/>
      </w:pPr>
      <w:r>
        <w:rPr>
          <w:rFonts w:ascii="IRNazanin" w:hAnsi="IRNazanin" w:eastAsia="IRNazanin" w:cs="IRNazanin"/>
          <w:lang w:bidi="fa-IR"/>
          <w:color w:val="111111"/>
          <w:sz w:val="28"/>
          <w:szCs w:val="28"/>
          <w:rtl/>
        </w:rPr>
        <w:t xml:space="preserve">و الآفة کلّ الآفة هو أن یکون ملاک تصحیح الرّوایة عقیدة الشّخص و سلیقته الخاصّة فإنّ ذلک یوجب طرح کثیر من الروایات الصّحیحة و اتّهام کثیر من المشایخ.</w:t>
      </w:r>
    </w:p>
    <w:p>
      <w:pPr>
        <w:pStyle w:val="BookText"/>
      </w:pPr>
      <w:r>
        <w:rPr>
          <w:rFonts w:ascii="IRNazanin" w:hAnsi="IRNazanin" w:eastAsia="IRNazanin" w:cs="IRNazanin"/>
          <w:lang w:bidi="fa-IR"/>
          <w:color w:val="111111"/>
          <w:sz w:val="28"/>
          <w:szCs w:val="28"/>
          <w:rtl/>
        </w:rPr>
        <w:t xml:space="preserve">و الظّاهر أنّ الغضائری کان له مذاق خاصّ فی تصحیح الروایات و توثیق الرواة، فقد جعل إتقان الروایات فی المضمون، حسب مذاقه، دلیلا علی وثاقة الراوی، و لأجل ذلک صحّح روایات عدّة من القمّیین، ممّن ضعّفهم غیره، لأجل أنّه رأی کتبهم، و أحادیثهم صحیحة.</w:t>
      </w:r>
    </w:p>
    <w:p>
      <w:pPr>
        <w:pStyle w:val="BookText"/>
      </w:pPr>
      <w:r>
        <w:rPr>
          <w:rFonts w:ascii="IRNazanin" w:hAnsi="IRNazanin" w:eastAsia="IRNazanin" w:cs="IRNazanin"/>
          <w:lang w:bidi="fa-IR"/>
          <w:color w:val="111111"/>
          <w:sz w:val="28"/>
          <w:szCs w:val="28"/>
          <w:rtl/>
        </w:rPr>
        <w:t xml:space="preserve">کما أنّه جعل ضعف الروایة فی المضمون، و مخالفته مع معتقده فی ما یرجع إلی الأئمّة، دلیلا علی ضعف الروایة، و کون الراوی جاعلا للحدیث،</w:t>
      </w:r>
    </w:p>
    <w:p>
      <w:pPr>
        <w:pStyle w:val="BookText"/>
      </w:pPr>
      <w:r>
        <w:rPr>
          <w:rFonts w:ascii="IRNazanin" w:hAnsi="IRNazanin" w:eastAsia="IRNazanin" w:cs="IRNazanin"/>
          <w:lang w:bidi="fa-IR"/>
          <w:color w:val="111111"/>
          <w:sz w:val="28"/>
          <w:szCs w:val="28"/>
          <w:rtl/>
        </w:rPr>
        <w:t xml:space="preserve">[شماره صفحه واقعی : 98]
</w:t>
      </w:r>
    </w:p>
    <w:p>
      <w:pPr>
        <w:sectPr>
          <w:footerReference w:type="default" r:id="rId17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راویا ممّن یضع الحدیث، و التوثیق و الجرح المبنیّان علی إتقان المتن، و موافقته مع العقیدة، من أخطر الطّرق إلی تشخیص صفات الراوی من الوثاقة و الضّعف.</w:t>
      </w:r>
    </w:p>
    <w:p>
      <w:pPr>
        <w:pStyle w:val="BookText"/>
      </w:pPr>
      <w:r>
        <w:rPr>
          <w:rFonts w:ascii="IRNazanin" w:hAnsi="IRNazanin" w:eastAsia="IRNazanin" w:cs="IRNazanin"/>
          <w:lang w:bidi="fa-IR"/>
          <w:color w:val="111111"/>
          <w:sz w:val="28"/>
          <w:szCs w:val="28"/>
          <w:rtl/>
        </w:rPr>
        <w:t xml:space="preserve">و یشهد علی ما ذکرنا أنّ الشیخ و النجاشی ضعّفا محمّد بن أورمة، لأنّه مطعون علیه بالغلوّ و ما تفرّد به لم یجز العمل به</w:t>
      </w:r>
      <w:r>
        <w:rPr>
          <w:rStyle w:val="FootnoteReference"/>
        </w:rPr>
        <w:footnoteReference w:id="5090"/>
      </w:r>
      <w:r>
        <w:rPr>
          <w:rFonts w:ascii="IRNazanin" w:hAnsi="IRNazanin" w:eastAsia="IRNazanin" w:cs="IRNazanin"/>
          <w:lang w:bidi="fa-IR"/>
          <w:color w:val="111111"/>
          <w:sz w:val="28"/>
          <w:szCs w:val="28"/>
          <w:rtl/>
        </w:rPr>
        <w:t xml:space="preserve">و لکن ابن الغضائری أبرأه عنه، فنظر فی کتبه و روایاته کلّها متأمّلا فیها، فوجدها نقیّة لا فساد فیها، إلا فی أوراق الصقت علی الکتاب، فحمله علی أنّها موضوعة علیه.</w:t>
      </w:r>
    </w:p>
    <w:p>
      <w:pPr>
        <w:pStyle w:val="BookText"/>
      </w:pPr>
      <w:r>
        <w:rPr>
          <w:rFonts w:ascii="IRNazanin" w:hAnsi="IRNazanin" w:eastAsia="IRNazanin" w:cs="IRNazanin"/>
          <w:lang w:bidi="fa-IR"/>
          <w:color w:val="111111"/>
          <w:sz w:val="28"/>
          <w:szCs w:val="28"/>
          <w:rtl/>
        </w:rPr>
        <w:t xml:space="preserve">و هذا یشهد أنّ مصدر قضائه هو التتبّع فی کتب الراوی، و تشخیص أفکاره و عقائده و أعماله من نفس الکتاب.</w:t>
      </w:r>
    </w:p>
    <w:p>
      <w:pPr>
        <w:pStyle w:val="BookText"/>
      </w:pPr>
      <w:r>
        <w:rPr>
          <w:rFonts w:ascii="IRNazanin" w:hAnsi="IRNazanin" w:eastAsia="IRNazanin" w:cs="IRNazanin"/>
          <w:lang w:bidi="fa-IR"/>
          <w:color w:val="111111"/>
          <w:sz w:val="28"/>
          <w:szCs w:val="28"/>
          <w:rtl/>
        </w:rPr>
        <w:t xml:space="preserve">ثمّ إنّ للمحقّق الشیخ أبی الهدی الکلباسی کلاما حول هذا الکتاب یقرب مما ذکره المحقّق البهبهانی، و نحن نأتی بملخّصه و هو لا یخلو من فائدة.</w:t>
      </w:r>
    </w:p>
    <w:p>
      <w:pPr>
        <w:pStyle w:val="BookText"/>
      </w:pPr>
      <w:r>
        <w:rPr>
          <w:rFonts w:ascii="IRNazanin" w:hAnsi="IRNazanin" w:eastAsia="IRNazanin" w:cs="IRNazanin"/>
          <w:lang w:bidi="fa-IR"/>
          <w:color w:val="111111"/>
          <w:sz w:val="28"/>
          <w:szCs w:val="28"/>
          <w:rtl/>
        </w:rPr>
        <w:t xml:space="preserve">قال فی سماء المقال: «إنّ دعوی التسارع غیر بعیدة نظرا إلی أمور</w:t>
      </w:r>
      <w:r>
        <w:rPr>
          <w:rStyle w:val="FootnoteReference"/>
        </w:rPr>
        <w:footnoteReference w:id="50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الاول: إنّ الظاهر من کمال الاستقراء فی أرجاء عبائره، أنّه کان یری نقل بعض غرائب الامور من الأئمّة علیهم السلام من الغلوّ علی حسب مذاق القمّیین، فکان إذا رأی من أحدهم ذکر شیء غیر موافق لاعتقاده، یجزم بأنّه من الغلوّ، فیعتقد بکذبه و افترائه، فیحکم بضعفه و غلوّه، و لذا یکثر حکمه بهما (بالضعف و الکذب) فی غیر محلّهما.</w:t>
      </w:r>
    </w:p>
    <w:p>
      <w:pPr>
        <w:pStyle w:val="BookText"/>
      </w:pPr>
      <w:r>
        <w:rPr>
          <w:rFonts w:ascii="IRNazanin" w:hAnsi="IRNazanin" w:eastAsia="IRNazanin" w:cs="IRNazanin"/>
          <w:lang w:bidi="fa-IR"/>
          <w:color w:val="111111"/>
          <w:sz w:val="28"/>
          <w:szCs w:val="28"/>
          <w:rtl/>
        </w:rPr>
        <w:t xml:space="preserve">و یظهر ذلک ممّا ذکره من أنّه کان غالیا کذّابا کما فی سلیمان الدیلمی، و فی آخر من أنّه ضعیف جدّا لا یلتفت إلیه، أو فی مذهبه غلوّ کما فی</w:t>
      </w:r>
    </w:p>
    <w:p>
      <w:pPr>
        <w:pStyle w:val="BookText"/>
      </w:pPr>
      <w:r>
        <w:rPr>
          <w:rFonts w:ascii="IRNazanin" w:hAnsi="IRNazanin" w:eastAsia="IRNazanin" w:cs="IRNazanin"/>
          <w:lang w:bidi="fa-IR"/>
          <w:color w:val="111111"/>
          <w:sz w:val="28"/>
          <w:szCs w:val="28"/>
          <w:rtl/>
        </w:rPr>
        <w:t xml:space="preserve">[شماره صفحه واقعی : 99]
</w:t>
      </w:r>
    </w:p>
    <w:p>
      <w:pPr>
        <w:sectPr>
          <w:footerReference w:type="default" r:id="rId17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الرحمن بن أبی حمّاد، فإنّ الظاهر أن منشأ تضعیفه ما ذکره من غلوّه، و مثله ما فی خلف بن محمّد من أنّه کان غالیا، فی مذهبه ضعف لا یلتفت الیه، و ما فی سهل بن زیاد من أنه کان ضعیفا جدّا فاسد الروایة و المذهب، و کان أحمد بن محمّد بن عیسی أخرجه من قم. و الظاهر أنّ منشأ جمیعه ما حکاه النجاشی عن أحمد المذکور من أنّه کان یشهد علیه بالغلوّ و الکذب، فأخرجه عنه</w:t>
      </w:r>
      <w:r>
        <w:rPr>
          <w:rStyle w:val="FootnoteReference"/>
        </w:rPr>
        <w:footnoteReference w:id="5092"/>
      </w:r>
      <w:r>
        <w:rPr>
          <w:rFonts w:ascii="IRNazanin" w:hAnsi="IRNazanin" w:eastAsia="IRNazanin" w:cs="IRNazanin"/>
          <w:lang w:bidi="fa-IR"/>
          <w:color w:val="111111"/>
          <w:sz w:val="28"/>
          <w:szCs w:val="28"/>
          <w:rtl/>
        </w:rPr>
        <w:t xml:space="preserve">و ما فی حسن بن میّاح من أنّه ضعیف غال، و فی صالح بن سهل: غال کذّاب وضّاع للحدیث، لا خیر فیه و لا فی سائر ما رواه»، و فی صالح بن عقبة «غال کذّاب لا یلتفت الیه»، و فی عبد اللّه بن بکر «مرتفع القول ضعیف»، و فی عبد اللّه بن حکم «ضعیف مرتفع القول»، و نحوه فی عبد اللّه بن سالم و عبد اللّه بن بحر و عبد اللّه بن عبد الرحمان.</w:t>
      </w:r>
    </w:p>
    <w:p>
      <w:pPr>
        <w:pStyle w:val="BookText"/>
      </w:pPr>
      <w:r>
        <w:rPr>
          <w:rFonts w:ascii="IRNazanin" w:hAnsi="IRNazanin" w:eastAsia="IRNazanin" w:cs="IRNazanin"/>
          <w:lang w:bidi="fa-IR"/>
          <w:color w:val="111111"/>
          <w:sz w:val="28"/>
          <w:szCs w:val="28"/>
          <w:rtl/>
        </w:rPr>
        <w:t xml:space="preserve">الثانی: إنّ الظّاهر أنّه کان غیورا فی دینه، حامیا عنه، فکان إذا رأی مکروها اشتدّت عنده بشاعته و کثرت لدیه شناعته، مکثرا علی مقترفه من الطّعن و التّشنیع و اللّعن و التفظیع، یشهد علیه سیاق عبارته، فأنت تری أنّ غیره فی مقام التّضعیف یقتصر بما فیه بیان الضّعف، بخلافه فإنّه یرخی عنان القلم فی المیدان باتّهامه بالخبث و التهالک و اللعان، فیضعّف مؤکّدا و إلیک نماذج:</w:t>
      </w:r>
    </w:p>
    <w:p>
      <w:pPr>
        <w:pStyle w:val="BookText"/>
      </w:pPr>
      <w:r>
        <w:rPr>
          <w:rFonts w:ascii="IRNazanin" w:hAnsi="IRNazanin" w:eastAsia="IRNazanin" w:cs="IRNazanin"/>
          <w:lang w:bidi="fa-IR"/>
          <w:color w:val="111111"/>
          <w:sz w:val="28"/>
          <w:szCs w:val="28"/>
          <w:rtl/>
        </w:rPr>
        <w:t xml:space="preserve">قال فی المسمعی: «إنّه ضعیف مرتفع القول، له کتاب فی الزیارات یدلّ علی خبث عظیم و مذهب متهافت و کان من کذابة أهل البصرة».</w:t>
      </w:r>
    </w:p>
    <w:p>
      <w:pPr>
        <w:pStyle w:val="BookText"/>
      </w:pPr>
      <w:r>
        <w:rPr>
          <w:rFonts w:ascii="IRNazanin" w:hAnsi="IRNazanin" w:eastAsia="IRNazanin" w:cs="IRNazanin"/>
          <w:lang w:bidi="fa-IR"/>
          <w:color w:val="111111"/>
          <w:sz w:val="28"/>
          <w:szCs w:val="28"/>
          <w:rtl/>
        </w:rPr>
        <w:t xml:space="preserve">و قال حول کتاب علیّ بن العبّاس: «تصنیف یدلّ علی خبثه و تهالک مذهبه لا یلتفت إلیه و لا یعبأ بما رواه».</w:t>
      </w:r>
    </w:p>
    <w:p>
      <w:pPr>
        <w:pStyle w:val="BookText"/>
      </w:pPr>
      <w:r>
        <w:rPr>
          <w:rFonts w:ascii="IRNazanin" w:hAnsi="IRNazanin" w:eastAsia="IRNazanin" w:cs="IRNazanin"/>
          <w:lang w:bidi="fa-IR"/>
          <w:color w:val="111111"/>
          <w:sz w:val="28"/>
          <w:szCs w:val="28"/>
          <w:rtl/>
        </w:rPr>
        <w:t xml:space="preserve">و قال فی جعفر بن مالک: «کذّاب متروک الحدیث جملة، و کان فی مذهبه ارتفاع، و یروی عن الضعفاء و المجاهیل، و کلّ عیوب الضعفاء مجتمعة فیه».</w:t>
      </w:r>
    </w:p>
    <w:p>
      <w:pPr>
        <w:pStyle w:val="BookText"/>
      </w:pPr>
      <w:r>
        <w:rPr>
          <w:rFonts w:ascii="IRNazanin" w:hAnsi="IRNazanin" w:eastAsia="IRNazanin" w:cs="IRNazanin"/>
          <w:lang w:bidi="fa-IR"/>
          <w:color w:val="111111"/>
          <w:sz w:val="28"/>
          <w:szCs w:val="28"/>
          <w:rtl/>
        </w:rPr>
        <w:t xml:space="preserve">[شماره صفحه واقعی : 100]
</w:t>
      </w:r>
    </w:p>
    <w:p>
      <w:pPr>
        <w:sectPr>
          <w:footerReference w:type="default" r:id="rId17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الحاصل أنّه کان یکبّر کثیرا من الامور الصغیرة و کانت له روحیّة خاصّة تحمله علی ذلک.</w:t>
      </w:r>
    </w:p>
    <w:p>
      <w:pPr>
        <w:pStyle w:val="BookText"/>
      </w:pPr>
      <w:r>
        <w:rPr>
          <w:rFonts w:ascii="IRNazanin" w:hAnsi="IRNazanin" w:eastAsia="IRNazanin" w:cs="IRNazanin"/>
          <w:lang w:bidi="fa-IR"/>
          <w:color w:val="111111"/>
          <w:sz w:val="28"/>
          <w:szCs w:val="28"/>
          <w:rtl/>
        </w:rPr>
        <w:t xml:space="preserve">و یشهد علی ذلک أنّ الشّیخ و النّجاشی ربّما ضعّفا رجلا، و الغضائری أیضا ضعّفه، لکنّ بین التّعبیرین اختلافا واضحا.</w:t>
      </w:r>
    </w:p>
    <w:p>
      <w:pPr>
        <w:pStyle w:val="BookText"/>
      </w:pPr>
      <w:r>
        <w:rPr>
          <w:rFonts w:ascii="IRNazanin" w:hAnsi="IRNazanin" w:eastAsia="IRNazanin" w:cs="IRNazanin"/>
          <w:lang w:bidi="fa-IR"/>
          <w:color w:val="111111"/>
          <w:sz w:val="28"/>
          <w:szCs w:val="28"/>
          <w:rtl/>
        </w:rPr>
        <w:t xml:space="preserve">مثلا ذکر الشّیخ فی عبد اللّه بن محمّد أنّه کان واعظا فقیها، و ضعّفه النّجاشی بقوله: «إنّه ضعیف» و ضعّفه الغضائری بقوله: «إنّه کذّاب، وضّاع للحدیث لا یلتفت إلی حدیثه و لا یعبأ به».</w:t>
      </w:r>
    </w:p>
    <w:p>
      <w:pPr>
        <w:pStyle w:val="BookText"/>
      </w:pPr>
      <w:r>
        <w:rPr>
          <w:rFonts w:ascii="IRNazanin" w:hAnsi="IRNazanin" w:eastAsia="IRNazanin" w:cs="IRNazanin"/>
          <w:lang w:bidi="fa-IR"/>
          <w:color w:val="111111"/>
          <w:sz w:val="28"/>
          <w:szCs w:val="28"/>
          <w:rtl/>
        </w:rPr>
        <w:t xml:space="preserve">و مثله علیّ بن أبی حمزة البطائنی الّذی ضعّفه أهل الرجال، فعّرفه الشیخ بأنّه واقفیّ، و العلاّمة بأنّه أحد عمد الواقفة. و قال الغضائری: «علیّ بن أبی حمزة لعنه اللّه، أصل الوقف و أشدّ الخلق عداوة للولیّ من بعد أبی إبراهیم».</w:t>
      </w:r>
    </w:p>
    <w:p>
      <w:pPr>
        <w:pStyle w:val="BookText"/>
      </w:pPr>
      <w:r>
        <w:rPr>
          <w:rFonts w:ascii="IRNazanin" w:hAnsi="IRNazanin" w:eastAsia="IRNazanin" w:cs="IRNazanin"/>
          <w:lang w:bidi="fa-IR"/>
          <w:color w:val="111111"/>
          <w:sz w:val="28"/>
          <w:szCs w:val="28"/>
          <w:rtl/>
        </w:rPr>
        <w:t xml:space="preserve">و مثله إسحاق بن أحمد المکنّی ب «أبی یعقوب أخی الأشتر» قال النّجاشی: «معدن التّخلیط و له کتب فی التخلیط» و قال الغضائری: «فاسد المذهب، کذّاب فی الروایة، وضّاع للحدیث، لا یلتفت إلی ما رواه»</w:t>
      </w:r>
      <w:r>
        <w:rPr>
          <w:rStyle w:val="FootnoteReference"/>
        </w:rPr>
        <w:footnoteReference w:id="50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بذلک یعلم ضعف ما استدلّ به علی عدم صحّة نسبة الکتاب إلی ابن الغضائری من أنّ النّجاشی ذکر فی ترجمة الخیبری عن ابن الغضائری، أنّه ضعیف فی مذهبه، و لکن فی الکتاب المنسوب إلیه: «إنّه ضعیف الحدیث، غالی المذهب» فلو صحّ هذا الکتاب، لذکر النّجاشی ما هو الموجود أیضا</w:t>
      </w:r>
      <w:r>
        <w:rPr>
          <w:rStyle w:val="FootnoteReference"/>
        </w:rPr>
        <w:footnoteReference w:id="50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ذلک لما عرفت من أنّ الرجل کان ذا روحیّة خاصّة، و کان إذا رأی</w:t>
      </w:r>
    </w:p>
    <w:p>
      <w:pPr>
        <w:pStyle w:val="BookText"/>
      </w:pPr>
      <w:r>
        <w:rPr>
          <w:rFonts w:ascii="IRNazanin" w:hAnsi="IRNazanin" w:eastAsia="IRNazanin" w:cs="IRNazanin"/>
          <w:lang w:bidi="fa-IR"/>
          <w:color w:val="111111"/>
          <w:sz w:val="28"/>
          <w:szCs w:val="28"/>
          <w:rtl/>
        </w:rPr>
        <w:t xml:space="preserve">[شماره صفحه واقعی : 101]
</w:t>
      </w:r>
    </w:p>
    <w:p>
      <w:pPr>
        <w:sectPr>
          <w:footerReference w:type="default" r:id="rId1757"/>
          <w:footnotePr>
            <w:numStart w:val="1"/>
            <w:numRestart w:val="eachPage"/>
          </w:footnotePr>
          <w:pgSz w:orient="portrait" w:w="11905.511811023622" w:h="16837.79527559055"/>
          <w:pgMar w:top="1440" w:right="1440" w:bottom="1440" w:left="1440" w:header="720" w:footer="720" w:gutter="0"/>
          <w:cols w:num="1" w:space="720"/>
        </w:sectPr>
      </w:pPr>
    </w:p>
    <w:bookmarkStart w:id="928" w:name="pg14411_144139"/>
    <w:bookmarkEnd w:id="928"/>
    <w:p>
      <w:pPr>
        <w:pStyle w:val="BookText"/>
      </w:pPr>
      <w:r>
        <w:rPr>
          <w:rFonts w:ascii="IRNazanin" w:hAnsi="IRNazanin" w:eastAsia="IRNazanin" w:cs="IRNazanin"/>
          <w:lang w:bidi="fa-IR"/>
          <w:color w:val="111111"/>
          <w:sz w:val="28"/>
          <w:szCs w:val="28"/>
          <w:rtl/>
        </w:rPr>
        <w:t xml:space="preserve">مکروها، اشتدّت عنده بشاعته و کثرت لدیه شناعته، فیأتی بألفاظ لا یصحّ التعبیر بها إلاّ عند صاحب هذه الروحیّة، و لمّا کان النّجاشی علی جهة الاعتدال نقل مرامه من دون غلوّ و إغراق.</w:t>
      </w:r>
    </w:p>
    <w:p>
      <w:pPr>
        <w:pStyle w:val="BookText"/>
      </w:pPr>
      <w:r>
        <w:rPr>
          <w:rFonts w:ascii="IRNazanin" w:hAnsi="IRNazanin" w:eastAsia="IRNazanin" w:cs="IRNazanin"/>
          <w:lang w:bidi="fa-IR"/>
          <w:color w:val="111111"/>
          <w:sz w:val="28"/>
          <w:szCs w:val="28"/>
          <w:rtl/>
        </w:rPr>
        <w:t xml:space="preserve">و بالجملة الآفة کلّ الآفة فی رجاله هو تضعیف الأجلّة و الموثّقین مثل «أحمد بن مهران» قال: «أحمد بن مهران روی عنه الکلینی ضعیف» و لکن ثقة الإسلام یروی عنه بلا واسطة، و یترحّم علیه کما فی باب مولد الزهراء سلام اللّه علیها</w:t>
      </w:r>
      <w:r>
        <w:rPr>
          <w:rStyle w:val="FootnoteReference"/>
        </w:rPr>
        <w:footnoteReference w:id="5095"/>
      </w:r>
      <w:r>
        <w:rPr>
          <w:rFonts w:ascii="IRNazanin" w:hAnsi="IRNazanin" w:eastAsia="IRNazanin" w:cs="IRNazanin"/>
          <w:lang w:bidi="fa-IR"/>
          <w:color w:val="111111"/>
          <w:sz w:val="28"/>
          <w:szCs w:val="28"/>
          <w:rtl/>
        </w:rPr>
        <w:t xml:space="preserve">قال: «أحمد بن مهران - رحمه اللّه - رفعه و أحمد بن إدریس عن محمّد بن عبد الجبّار الشیبانی» إلی غیر ذلک من الموارد.</w:t>
      </w:r>
    </w:p>
    <w:p>
      <w:pPr>
        <w:pStyle w:val="BookText"/>
      </w:pPr>
      <w:r>
        <w:rPr>
          <w:rFonts w:ascii="IRNazanin" w:hAnsi="IRNazanin" w:eastAsia="IRNazanin" w:cs="IRNazanin"/>
          <w:lang w:bidi="fa-IR"/>
          <w:color w:val="111111"/>
          <w:sz w:val="28"/>
          <w:szCs w:val="28"/>
          <w:rtl/>
        </w:rPr>
        <w:t xml:space="preserve">و لأجل ذلک لا یمکن الاعتماد علی تضعیفاته، فضلا عن معارضته بتوثیق النّجاشی خبیر الفنّ و الشیخ عماد العلم. نعم ربما یقال توثیقاته فی أعلی مراتب الاعتبار و لکنّه قلیل و قد عرفت من المحقّق الداماد من أنّه قل أن یسلم أحد من جرحه أو ینجو ثقة من قدحه</w:t>
      </w:r>
      <w:r>
        <w:rPr>
          <w:rStyle w:val="FootnoteReference"/>
        </w:rPr>
        <w:footnoteReference w:id="5096"/>
      </w:r>
      <w:r>
        <w:rPr>
          <w:rFonts w:ascii="IRNazanin" w:hAnsi="IRNazanin" w:eastAsia="IRNazanin" w:cs="IRNazanin"/>
          <w:lang w:bidi="fa-IR"/>
          <w:color w:val="111111"/>
          <w:sz w:val="28"/>
          <w:szCs w:val="28"/>
          <w:rtl/>
        </w:rPr>
        <w:t xml:space="preserve">. و قد عرفت آنفا و سیأتی أنّ الاعتماد علی توثیقه کالاعتماد علی جرحه.</w:t>
      </w:r>
    </w:p>
    <w:p>
      <w:pPr>
        <w:pStyle w:val="Heading6"/>
      </w:pPr>
      <w:bookmarkStart w:id="2771" w:name="_Toc1806"/>
      <w:r>
        <w:t>النظریة الخامسة</w:t>
      </w:r>
      <w:bookmarkEnd w:id="2771"/>
    </w:p>
    <w:p>
      <w:pPr>
        <w:pStyle w:val="BookText"/>
      </w:pPr>
      <w:r>
        <w:rPr>
          <w:rFonts w:ascii="IRNazanin" w:hAnsi="IRNazanin" w:eastAsia="IRNazanin" w:cs="IRNazanin"/>
          <w:lang w:bidi="fa-IR"/>
          <w:color w:val="111111"/>
          <w:sz w:val="28"/>
          <w:szCs w:val="28"/>
          <w:rtl/>
        </w:rPr>
        <w:t xml:space="preserve">و فی الختام نشیر إلی نظریّة خامسة و إن لم نوعز إلیها فی صدر الکلام و هی أنّه ربّما یقال بعدم اعتبار تضعیفات ابن الغضائری لأنّه کان جرّاحا کثیر الردّ علی الرواة، و قلیل التّعدیل و التّصدیق بهم و مثل هذا یعدّ خرقا للعادة و تجاوزا عنها، و إنّما یعتبر قول الشاهد إذا کان انسانا متعارفا غیر خارق للعادة.</w:t>
      </w:r>
    </w:p>
    <w:p>
      <w:pPr>
        <w:pStyle w:val="BookText"/>
      </w:pPr>
      <w:r>
        <w:rPr>
          <w:rFonts w:ascii="IRNazanin" w:hAnsi="IRNazanin" w:eastAsia="IRNazanin" w:cs="IRNazanin"/>
          <w:lang w:bidi="fa-IR"/>
          <w:color w:val="111111"/>
          <w:sz w:val="28"/>
          <w:szCs w:val="28"/>
          <w:rtl/>
        </w:rPr>
        <w:t xml:space="preserve">و لأجل ذلک لو ادّعی رجلان رؤیة الهلال مع الغیم الکثیف فی السّماء و کثرة النّاظرین، لا یقبل قولهما، لأنّ مثل تلک الشهادة تعدّ علی خلاف العادة، و علی ذلک فلا یقبل تضعیفه، و لکن یقبل تعدیله.</w:t>
      </w:r>
    </w:p>
    <w:p>
      <w:pPr>
        <w:pStyle w:val="BookText"/>
      </w:pPr>
      <w:r>
        <w:rPr>
          <w:rFonts w:ascii="IRNazanin" w:hAnsi="IRNazanin" w:eastAsia="IRNazanin" w:cs="IRNazanin"/>
          <w:lang w:bidi="fa-IR"/>
          <w:color w:val="111111"/>
          <w:sz w:val="28"/>
          <w:szCs w:val="28"/>
          <w:rtl/>
        </w:rPr>
        <w:t xml:space="preserve">[شماره صفحه واقعی : 102]
</w:t>
      </w:r>
    </w:p>
    <w:p>
      <w:pPr>
        <w:sectPr>
          <w:footerReference w:type="default" r:id="rId17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فیه: أنّ ذلک إنّما یتمّ لو وصل إلینا کتاب الممدوحین منه، فعندئذ لو کان المضعّفون أکثر من الممدوحین و الموثّقین، لکان لهذا الرأی مجال.</w:t>
      </w:r>
    </w:p>
    <w:p>
      <w:pPr>
        <w:pStyle w:val="BookText"/>
      </w:pPr>
      <w:r>
        <w:rPr>
          <w:rFonts w:ascii="IRNazanin" w:hAnsi="IRNazanin" w:eastAsia="IRNazanin" w:cs="IRNazanin"/>
          <w:lang w:bidi="fa-IR"/>
          <w:color w:val="111111"/>
          <w:sz w:val="28"/>
          <w:szCs w:val="28"/>
          <w:rtl/>
        </w:rPr>
        <w:t xml:space="preserve">و لکن یا للأسف! لم یصل إلینا ذلک الکتاب، حتّی نقف علی مقدار تعدیله و تصدیقه، فمن الممکن أن یکون الممدوحون عنده أکثر من الضّعفاء، و معه کیف یرمی بالخروج عن المتعارف؟</w:t>
      </w:r>
    </w:p>
    <w:p>
      <w:pPr>
        <w:pStyle w:val="BookText"/>
      </w:pPr>
      <w:r>
        <w:rPr>
          <w:rFonts w:ascii="IRNazanin" w:hAnsi="IRNazanin" w:eastAsia="IRNazanin" w:cs="IRNazanin"/>
          <w:lang w:bidi="fa-IR"/>
          <w:color w:val="111111"/>
          <w:sz w:val="28"/>
          <w:szCs w:val="28"/>
          <w:rtl/>
        </w:rPr>
        <w:t xml:space="preserve">و لأجل ذلک نجد أنّ النّسبة بین ما ضعّفه الشیخ و النجاشی أو وثّقاه، و ما ضعّفه ابن الغضائری أو وثّقه، عموم من وجه. فربّ ضعیف عندهما ثقة عنده و بالعکس، و علی ذلک فلا یصحّ رد تضعیفاته بحجّة أنّه کان خارجا عن الحدّ المتعارف فی مجال الجرح.</w:t>
      </w:r>
    </w:p>
    <w:p>
      <w:pPr>
        <w:pStyle w:val="BookText"/>
      </w:pPr>
      <w:r>
        <w:rPr>
          <w:rFonts w:ascii="IRNazanin" w:hAnsi="IRNazanin" w:eastAsia="IRNazanin" w:cs="IRNazanin"/>
          <w:lang w:bidi="fa-IR"/>
          <w:color w:val="111111"/>
          <w:sz w:val="28"/>
          <w:szCs w:val="28"/>
          <w:rtl/>
        </w:rPr>
        <w:t xml:space="preserve">بل الحقّ فی عدم قبوله هو ما أوعزنا إلیه من أنّ توثیقاته و تضعیفاته لم تکن مستندة إلی الحسّ و الشهود و السّماع عن المشایخ و الثّقات، بل کانت مستندة إلی الحدس و الاستنباط و قراءة المتون و الروایات، ثمّ القضاء فی حقّ الراوی بما نقل من الرّوایة، و مثل هذه الشّهادة لا تکون حجّة لا فی التّضعیف و لا فی التّوثیق. نعم، کلامه حجّة فی غیر هذا المجال، کما إذا وصف الراوی بأنّه کوفیّ أو بصریّ أو واقفیّ أو فطحیّ أو له کتب، و اللّه العالم بالحقائق.</w:t>
      </w:r>
    </w:p>
    <w:p>
      <w:pPr>
        <w:pStyle w:val="BookText"/>
      </w:pPr>
      <w:r>
        <w:rPr>
          <w:rFonts w:ascii="IRNazanin" w:hAnsi="IRNazanin" w:eastAsia="IRNazanin" w:cs="IRNazanin"/>
          <w:lang w:bidi="fa-IR"/>
          <w:color w:val="111111"/>
          <w:sz w:val="28"/>
          <w:szCs w:val="28"/>
          <w:rtl/>
        </w:rPr>
        <w:t xml:space="preserve">[شماره صفحه واقعی : 103]
</w:t>
      </w:r>
    </w:p>
    <w:p>
      <w:pPr>
        <w:sectPr>
          <w:footerReference w:type="default" r:id="rId17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104]
</w:t>
      </w:r>
    </w:p>
    <w:p>
      <w:pPr>
        <w:sectPr>
          <w:footerReference w:type="default" r:id="rId1760"/>
          <w:footnotePr>
            <w:numStart w:val="1"/>
            <w:numRestart w:val="eachPage"/>
          </w:footnotePr>
          <w:pgSz w:orient="portrait" w:w="11905.511811023622" w:h="16837.79527559055"/>
          <w:pgMar w:top="1440" w:right="1440" w:bottom="1440" w:left="1440" w:header="720" w:footer="720" w:gutter="0"/>
          <w:cols w:num="1" w:space="720"/>
        </w:sectPr>
      </w:pPr>
    </w:p>
    <w:bookmarkStart w:id="929" w:name="pg14411_144142"/>
    <w:bookmarkEnd w:id="929"/>
    <w:p>
      <w:pPr>
        <w:pStyle w:val="Heading4"/>
      </w:pPr>
      <w:bookmarkStart w:id="2772" w:name="_Toc1807"/>
      <w:r>
        <w:t>الفصل الرابع: المصادر الثانویة لعلم الرجال</w:t>
      </w:r>
      <w:bookmarkEnd w:id="2772"/>
    </w:p>
    <w:p>
      <w:pPr>
        <w:pStyle w:val="Heading5"/>
      </w:pPr>
      <w:bookmarkStart w:id="2773" w:name="_Toc1808"/>
      <w:r>
        <w:t>اشارة</w:t>
      </w:r>
      <w:bookmarkEnd w:id="2773"/>
    </w:p>
    <w:p>
      <w:pPr>
        <w:pStyle w:val="BookText"/>
      </w:pPr>
      <w:r>
        <w:rPr>
          <w:rFonts w:ascii="IRNazanin" w:hAnsi="IRNazanin" w:eastAsia="IRNazanin" w:cs="IRNazanin"/>
          <w:lang w:bidi="fa-IR"/>
          <w:color w:val="111111"/>
          <w:sz w:val="28"/>
          <w:szCs w:val="28"/>
          <w:rtl/>
        </w:rPr>
        <w:t xml:space="preserve">1 - الاصول الرجالیة الأربعة.</w:t>
      </w:r>
    </w:p>
    <w:p>
      <w:pPr>
        <w:pStyle w:val="BookText"/>
      </w:pPr>
      <w:r>
        <w:rPr>
          <w:rFonts w:ascii="IRNazanin" w:hAnsi="IRNazanin" w:eastAsia="IRNazanin" w:cs="IRNazanin"/>
          <w:lang w:bidi="fa-IR"/>
          <w:color w:val="111111"/>
          <w:sz w:val="28"/>
          <w:szCs w:val="28"/>
          <w:rtl/>
        </w:rPr>
        <w:t xml:space="preserve">2 - الجوامع الرجالیة فی العصور المتأخرة.</w:t>
      </w:r>
    </w:p>
    <w:p>
      <w:pPr>
        <w:pStyle w:val="BookText"/>
      </w:pPr>
      <w:r>
        <w:rPr>
          <w:rFonts w:ascii="IRNazanin" w:hAnsi="IRNazanin" w:eastAsia="IRNazanin" w:cs="IRNazanin"/>
          <w:lang w:bidi="fa-IR"/>
          <w:color w:val="111111"/>
          <w:sz w:val="28"/>
          <w:szCs w:val="28"/>
          <w:rtl/>
        </w:rPr>
        <w:t xml:space="preserve">3 - الجوامع الرجالیة الدارجة.</w:t>
      </w:r>
    </w:p>
    <w:p>
      <w:pPr>
        <w:pStyle w:val="BookText"/>
      </w:pPr>
      <w:r>
        <w:rPr>
          <w:rFonts w:ascii="IRNazanin" w:hAnsi="IRNazanin" w:eastAsia="IRNazanin" w:cs="IRNazanin"/>
          <w:lang w:bidi="fa-IR"/>
          <w:color w:val="111111"/>
          <w:sz w:val="28"/>
          <w:szCs w:val="28"/>
          <w:rtl/>
        </w:rPr>
        <w:t xml:space="preserve">4 - تطوّر فی تألیف الجوامع الحدیثة.</w:t>
      </w:r>
    </w:p>
    <w:p>
      <w:pPr>
        <w:pStyle w:val="BookText"/>
      </w:pPr>
      <w:r>
        <w:rPr>
          <w:rFonts w:ascii="IRNazanin" w:hAnsi="IRNazanin" w:eastAsia="IRNazanin" w:cs="IRNazanin"/>
          <w:lang w:bidi="fa-IR"/>
          <w:color w:val="111111"/>
          <w:sz w:val="28"/>
          <w:szCs w:val="28"/>
          <w:rtl/>
        </w:rPr>
        <w:t xml:space="preserve">[شماره صفحه واقعی : 105]
</w:t>
      </w:r>
    </w:p>
    <w:p>
      <w:pPr>
        <w:sectPr>
          <w:footerReference w:type="default" r:id="rId17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106]
</w:t>
      </w:r>
    </w:p>
    <w:p>
      <w:pPr>
        <w:sectPr>
          <w:footerReference w:type="default" r:id="rId1762"/>
          <w:footnotePr>
            <w:numStart w:val="1"/>
            <w:numRestart w:val="eachPage"/>
          </w:footnotePr>
          <w:pgSz w:orient="portrait" w:w="11905.511811023622" w:h="16837.79527559055"/>
          <w:pgMar w:top="1440" w:right="1440" w:bottom="1440" w:left="1440" w:header="720" w:footer="720" w:gutter="0"/>
          <w:cols w:num="1" w:space="720"/>
        </w:sectPr>
      </w:pPr>
    </w:p>
    <w:bookmarkStart w:id="930" w:name="pg14411_144144"/>
    <w:bookmarkEnd w:id="930"/>
    <w:p>
      <w:pPr>
        <w:pStyle w:val="Heading5"/>
      </w:pPr>
      <w:bookmarkStart w:id="2774" w:name="_Toc1809"/>
      <w:r>
        <w:t>1 - الاصول الرجالیة الاربعة</w:t>
      </w:r>
      <w:bookmarkEnd w:id="2774"/>
    </w:p>
    <w:p>
      <w:pPr>
        <w:pStyle w:val="Heading6"/>
      </w:pPr>
      <w:bookmarkStart w:id="2775" w:name="_Toc1810"/>
      <w:r>
        <w:t>اشارة</w:t>
      </w:r>
      <w:bookmarkEnd w:id="277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فهرس الشیخ منتجب الدین.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معالم العلماء.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رجال ابن داود.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خلاصة الاقوال فی علم الرجال.</w:t>
      </w:r>
    </w:p>
    <w:p>
      <w:pPr>
        <w:pStyle w:val="BookText"/>
      </w:pPr>
      <w:r>
        <w:rPr>
          <w:rFonts w:ascii="IRNazanin" w:hAnsi="IRNazanin" w:eastAsia="IRNazanin" w:cs="IRNazanin"/>
          <w:lang w:bidi="fa-IR"/>
          <w:color w:val="111111"/>
          <w:sz w:val="28"/>
          <w:szCs w:val="28"/>
          <w:rtl/>
        </w:rPr>
        <w:t xml:space="preserve">[شماره صفحه واقعی : 107]
</w:t>
      </w:r>
    </w:p>
    <w:p>
      <w:pPr>
        <w:sectPr>
          <w:footerReference w:type="default" r:id="rId17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108]
</w:t>
      </w:r>
    </w:p>
    <w:p>
      <w:pPr>
        <w:sectPr>
          <w:footerReference w:type="default" r:id="rId17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الاصول الرجالیة الاربعة</w:t>
      </w:r>
    </w:p>
    <w:p>
      <w:pPr>
        <w:pStyle w:val="BookText"/>
      </w:pPr>
      <w:r>
        <w:rPr>
          <w:rFonts w:ascii="IRNazanin" w:hAnsi="IRNazanin" w:eastAsia="IRNazanin" w:cs="IRNazanin"/>
          <w:lang w:bidi="fa-IR"/>
          <w:color w:val="111111"/>
          <w:sz w:val="28"/>
          <w:szCs w:val="28"/>
          <w:rtl/>
        </w:rPr>
        <w:t xml:space="preserve">قد وقفت بفضل الأبحاث السابقة، علی الاصول الأوّلیّة لعلم الرجال، الّتی تعدّ امّهات الکتب المؤلّفة فی العصور المتأخّرة، و مؤلّفو هذه الاصول یعدّون فی الرّعیل الأوّل من علماء الرجال، لا یدرک لهم شأو، و لا یشق لهم غبار، لأنّهم - قدّس اللّه أسرارهم - قد عاصروا أساتذة الحدیث و أساطینه، و کانوا قریبی العهد من رواة الأخبار و نقلة الآثار، و لأجل ذلک تمکّنوا تمکّنا تامّا مورثا للاطمئنان، من الوقوف علی أحوالهم و خصوصیّات حیاتهم، إمّا عن طریق الحسّ و السماع - کما هو التّحقیق - أو من طریق جمع القرائن و الشواهد المورثة للاطمئنان الذی هو علم عرفیّ، کما سیوافیک تحقیقه فی الأبحاث الآتیة.</w:t>
      </w:r>
    </w:p>
    <w:p>
      <w:pPr>
        <w:pStyle w:val="BookText"/>
      </w:pPr>
      <w:r>
        <w:rPr>
          <w:rFonts w:ascii="IRNazanin" w:hAnsi="IRNazanin" w:eastAsia="IRNazanin" w:cs="IRNazanin"/>
          <w:lang w:bidi="fa-IR"/>
          <w:color w:val="111111"/>
          <w:sz w:val="28"/>
          <w:szCs w:val="28"/>
          <w:rtl/>
        </w:rPr>
        <w:t xml:space="preserve">و قد تلت الطّبقة الاولی، طبقة اخری تعدّ من أشهر علماء الرجال بعدهم، کما تعدّ کتبهم مصادر له بعد الاصول الأوّلیة، نأتی بأسمائهم و أسماء کتبهم، و کلّهم کانوا عائشین فی القرن السادس.</w:t>
      </w:r>
    </w:p>
    <w:p>
      <w:pPr>
        <w:pStyle w:val="BookText"/>
      </w:pPr>
      <w:r>
        <w:rPr>
          <w:rFonts w:ascii="IRNazanin" w:hAnsi="IRNazanin" w:eastAsia="IRNazanin" w:cs="IRNazanin"/>
          <w:lang w:bidi="fa-IR"/>
          <w:color w:val="111111"/>
          <w:sz w:val="28"/>
          <w:szCs w:val="28"/>
          <w:rtl/>
        </w:rPr>
        <w:t xml:space="preserve">إنّ أقدم فهرس عامّ لکتب الشیعة، هو فهرس الشیخ أحمد بن الحسین بن عبید اللّه الغضائری، الّذی قد تعرّفت علیه و ما حوله من الأقوال و الآراء.</w:t>
      </w:r>
    </w:p>
    <w:p>
      <w:pPr>
        <w:pStyle w:val="BookText"/>
      </w:pPr>
      <w:r>
        <w:rPr>
          <w:rFonts w:ascii="IRNazanin" w:hAnsi="IRNazanin" w:eastAsia="IRNazanin" w:cs="IRNazanin"/>
          <w:lang w:bidi="fa-IR"/>
          <w:color w:val="111111"/>
          <w:sz w:val="28"/>
          <w:szCs w:val="28"/>
          <w:rtl/>
        </w:rPr>
        <w:t xml:space="preserve">نعم، إنّ فهرس أبی الفرج محمّد بن إسحاق المعروف بابن النّدیم</w:t>
      </w:r>
    </w:p>
    <w:p>
      <w:pPr>
        <w:pStyle w:val="BookText"/>
      </w:pPr>
      <w:r>
        <w:rPr>
          <w:rFonts w:ascii="IRNazanin" w:hAnsi="IRNazanin" w:eastAsia="IRNazanin" w:cs="IRNazanin"/>
          <w:lang w:bidi="fa-IR"/>
          <w:color w:val="111111"/>
          <w:sz w:val="28"/>
          <w:szCs w:val="28"/>
          <w:rtl/>
        </w:rPr>
        <w:t xml:space="preserve">[شماره صفحه واقعی : 109]
</w:t>
      </w:r>
    </w:p>
    <w:p>
      <w:pPr>
        <w:sectPr>
          <w:footerReference w:type="default" r:id="rId1765"/>
          <w:footnotePr>
            <w:numStart w:val="1"/>
            <w:numRestart w:val="eachPage"/>
          </w:footnotePr>
          <w:pgSz w:orient="portrait" w:w="11905.511811023622" w:h="16837.79527559055"/>
          <w:pgMar w:top="1440" w:right="1440" w:bottom="1440" w:left="1440" w:header="720" w:footer="720" w:gutter="0"/>
          <w:cols w:num="1" w:space="720"/>
        </w:sectPr>
      </w:pPr>
    </w:p>
    <w:bookmarkStart w:id="931" w:name="pg14411_144147"/>
    <w:bookmarkEnd w:id="931"/>
    <w:p>
      <w:pPr>
        <w:pStyle w:val="BookText"/>
      </w:pPr>
      <w:r>
        <w:rPr>
          <w:rFonts w:ascii="IRNazanin" w:hAnsi="IRNazanin" w:eastAsia="IRNazanin" w:cs="IRNazanin"/>
          <w:lang w:bidi="fa-IR"/>
          <w:color w:val="111111"/>
          <w:sz w:val="28"/>
          <w:szCs w:val="28"/>
          <w:rtl/>
        </w:rPr>
        <w:t xml:space="preserve">(المتوفّی عام 385) و إن کان أقدم من فهرس ابن الغضائری، لکنّه غیر مختصّ بکتب الشیعة، و إنّما یضمّ بین دفّتیه الکتب الاسلامیّة و غیرها، و قد أشار إلی تصانیف قلیلة من کتب الشّیعة.</w:t>
      </w:r>
    </w:p>
    <w:p>
      <w:pPr>
        <w:pStyle w:val="BookText"/>
      </w:pPr>
      <w:r>
        <w:rPr>
          <w:rFonts w:ascii="IRNazanin" w:hAnsi="IRNazanin" w:eastAsia="IRNazanin" w:cs="IRNazanin"/>
          <w:lang w:bidi="fa-IR"/>
          <w:color w:val="111111"/>
          <w:sz w:val="28"/>
          <w:szCs w:val="28"/>
          <w:rtl/>
        </w:rPr>
        <w:t xml:space="preserve">و قد قام الشیخ الطّوسی بعد ابن الغضائری، فألّف فهرسه المعروف حول کتب الشیعة و مؤلّفاتهم، و هو من أحسن الفهارس المؤلّفة، و قد نقل عنه النّجاشی فی فهرسه و اعتمد علیه، و إن کان النّجاشی أقدم منه عصرا و أرسخ منه قدما فی هذا المجال.</w:t>
      </w:r>
    </w:p>
    <w:p>
      <w:pPr>
        <w:pStyle w:val="BookText"/>
      </w:pPr>
      <w:r>
        <w:rPr>
          <w:rFonts w:ascii="IRNazanin" w:hAnsi="IRNazanin" w:eastAsia="IRNazanin" w:cs="IRNazanin"/>
          <w:lang w:bidi="fa-IR"/>
          <w:color w:val="111111"/>
          <w:sz w:val="28"/>
          <w:szCs w:val="28"/>
          <w:rtl/>
        </w:rPr>
        <w:t xml:space="preserve">و قد قام بعدهم فی القرن السادس، العلاّمتان الجلیلان، الشیخ الحافظ أبو الحسن منتجب الدین الرازی، و الشیخ الحافظ محمّد بن علیّ بن شهر آشوب السروی المازندرانی، فأکملا عمل الشیخ الطوسی و جهوده إلی عصرهما، و إلیک الکلام فیهما إجمالا:</w:t>
      </w:r>
    </w:p>
    <w:p>
      <w:pPr>
        <w:pStyle w:val="Heading6"/>
      </w:pPr>
      <w:bookmarkStart w:id="2776" w:name="_Toc1811"/>
      <w:r>
        <w:t>1 - فهرس الشیخ منتجب الدین</w:t>
      </w:r>
      <w:bookmarkEnd w:id="2776"/>
    </w:p>
    <w:p>
      <w:pPr>
        <w:pStyle w:val="BookText"/>
      </w:pPr>
      <w:r>
        <w:rPr>
          <w:rFonts w:ascii="IRNazanin" w:hAnsi="IRNazanin" w:eastAsia="IRNazanin" w:cs="IRNazanin"/>
          <w:lang w:bidi="fa-IR"/>
          <w:color w:val="111111"/>
          <w:sz w:val="28"/>
          <w:szCs w:val="28"/>
          <w:rtl/>
        </w:rPr>
        <w:t xml:space="preserve">و هو تألیف الحافظ علیّ بن عبید اللّه بن الحسن بن الحسین بن الحسن بن الحسین (أخی الشیخ الصدوق - قده -) بن علی (والد الصدوق). عرّفه صاحب الرّیاض بقوله: «کان بحرا لا ینزف، شیخ الأصحاب، صاحب کتاب الفهرس. یروی عن الشّیخ الطّبرسی (المتوفّی عام 548) و أبی الفتوح الرازی و عن جمع کثیر من علماء العامة و الخاصّة. و یروی عن الشیخ الطّوسی بواسطة عمّه الشیخ بابویه بن سعد، عن الشیخ الطّوسی (المتوفّی عام 460).</w:t>
      </w:r>
    </w:p>
    <w:p>
      <w:pPr>
        <w:pStyle w:val="BookText"/>
      </w:pPr>
      <w:r>
        <w:rPr>
          <w:rFonts w:ascii="IRNazanin" w:hAnsi="IRNazanin" w:eastAsia="IRNazanin" w:cs="IRNazanin"/>
          <w:lang w:bidi="fa-IR"/>
          <w:color w:val="111111"/>
          <w:sz w:val="28"/>
          <w:szCs w:val="28"/>
          <w:rtl/>
        </w:rPr>
        <w:t xml:space="preserve">و هذا الإمام الرّافعی و (هو الشیخ أبو القاسم عبد الکریم بن محمّد الرافعی الشافعی، المتوفّی عام 623) یعرّفه فی تاریخه (التدوین): الشیخ علیّ بن عبید اللّه بن الحسن بن الحسین بن بابویه شیخ ریّان من علم الحدیث سماعا و ضبطا و حفظا و جمعا، قلّ من یدانیه فی هذه الأعصار فی کثرة الجمع و السماع، قرأت علیه بالریّ سنة 584، و تولّد سنة 504، و مات بعد</w:t>
      </w:r>
    </w:p>
    <w:p>
      <w:pPr>
        <w:pStyle w:val="BookText"/>
      </w:pPr>
      <w:r>
        <w:rPr>
          <w:rFonts w:ascii="IRNazanin" w:hAnsi="IRNazanin" w:eastAsia="IRNazanin" w:cs="IRNazanin"/>
          <w:lang w:bidi="fa-IR"/>
          <w:color w:val="111111"/>
          <w:sz w:val="28"/>
          <w:szCs w:val="28"/>
          <w:rtl/>
        </w:rPr>
        <w:t xml:space="preserve">[شماره صفحه واقعی : 110]
</w:t>
      </w:r>
    </w:p>
    <w:p>
      <w:pPr>
        <w:sectPr>
          <w:footerReference w:type="default" r:id="rId17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سنة 585، ثمّ قال: و لئن أطلت عند ذکره بعض الإطالة فقد کثر انتفاعی بمکتوباته و تعالیقه فقضیت بعض حقّه بإشاعة ذکره و أحواله»</w:t>
      </w:r>
      <w:r>
        <w:rPr>
          <w:rStyle w:val="FootnoteReference"/>
        </w:rPr>
        <w:footnoteReference w:id="50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الشیخ الحرّ العاملی فی ترجمته: «الشیخ الجلیل علیّ بن عبید اللّه بن الحسن بن الحسین بن بابویه القمّی، کان فاضلا عالما ثقة صدوقا محدّثا حافظا راویة علاّمة، له کتاب الفهرس فی ذکر المشایخ المعاصرین للشّیخ الطّوسی و المتأخّرین إلی زمانه»</w:t>
      </w:r>
      <w:r>
        <w:rPr>
          <w:rStyle w:val="FootnoteReference"/>
        </w:rPr>
        <w:footnoteReference w:id="50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ألّفه للسید الجلیل أبی القاسم یحیی بن الصدر</w:t>
      </w:r>
      <w:r>
        <w:rPr>
          <w:rStyle w:val="FootnoteReference"/>
        </w:rPr>
        <w:footnoteReference w:id="5099"/>
      </w:r>
      <w:r>
        <w:rPr>
          <w:rFonts w:ascii="IRNazanin" w:hAnsi="IRNazanin" w:eastAsia="IRNazanin" w:cs="IRNazanin"/>
          <w:lang w:bidi="fa-IR"/>
          <w:color w:val="111111"/>
          <w:sz w:val="28"/>
          <w:szCs w:val="28"/>
          <w:rtl/>
        </w:rPr>
        <w:t xml:space="preserve">السعید المرتضی باستدعاء منه حیث قال السید له: «إنّ شیخنا الموفّق السعید أبا جعفر محمّد بن الحسن الطّوسی - رفع اللّه منزلته - قد صنّف کتابا فی أسامی مشایخ الشیعة و مصنّفیهم، و لم یصنّف بعده شیء من ذلک» فأجابه الشّیخ منتجب الدین بقوله: «لو أخّر اللّه أجلی و حقّق أملی، لأضفت إلیه ما عندی من أسماء مشایخ الشیعة و مصنّفیهم، الّذین تأخّر زمانهم عن زمان الشّیخ أبی جعفر - رحمه اللّه - و عاصروه» ثمّ یقول: «و قد بنیت هذا الکتاب علی حروف المعجم اقتداء بالشیخ أبی جعفر - رحمه اللّه - و لیکون أسهل مأخذا و من اللّه التوفیق»</w:t>
      </w:r>
      <w:r>
        <w:rPr>
          <w:rStyle w:val="FootnoteReference"/>
        </w:rPr>
        <w:footnoteReference w:id="51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کلامه هذا ینبیء عن أنّه لم یصل إلیه تألیف معاصره الشیخ محمّد بن علیّ بن شهر آشوب، الّذی کتب کتابه الموسوم ب «معالم العلماء» تکملة لفهرس الشیخ، و لأجل ذلک قام بهذا العمل من غیر ذکر لذلک الکتاب.</w:t>
      </w:r>
    </w:p>
    <w:p>
      <w:pPr>
        <w:pStyle w:val="BookText"/>
      </w:pPr>
      <w:r>
        <w:rPr>
          <w:rFonts w:ascii="IRNazanin" w:hAnsi="IRNazanin" w:eastAsia="IRNazanin" w:cs="IRNazanin"/>
          <w:lang w:bidi="fa-IR"/>
          <w:color w:val="111111"/>
          <w:sz w:val="28"/>
          <w:szCs w:val="28"/>
          <w:rtl/>
        </w:rPr>
        <w:t xml:space="preserve">[شماره صفحه واقعی : 111]
</w:t>
      </w:r>
    </w:p>
    <w:p>
      <w:pPr>
        <w:sectPr>
          <w:footerReference w:type="default" r:id="rId17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قد ألّف الشیخ الطّوسی الفهرس بأمر استاذه المفید الّذی توفّی سنة 413، و فی حیاته، کما صرّح به فی أوّله.</w:t>
      </w:r>
    </w:p>
    <w:p>
      <w:pPr>
        <w:pStyle w:val="BookText"/>
      </w:pPr>
      <w:r>
        <w:rPr>
          <w:rFonts w:ascii="IRNazanin" w:hAnsi="IRNazanin" w:eastAsia="IRNazanin" w:cs="IRNazanin"/>
          <w:lang w:bidi="fa-IR"/>
          <w:color w:val="111111"/>
          <w:sz w:val="28"/>
          <w:szCs w:val="28"/>
          <w:rtl/>
        </w:rPr>
        <w:t xml:space="preserve">و قد أورد الشیخ منتجب الدین فی فهرسه هذا، من کان فی عصر المفید إلی عصره المتجاوز عن مائة و خمسین سنة. و فی الختام، نقول: «إنّ الحافظ بن حجر العسقلانی (المتوفّی عام 852) قد أکثر النقل عن هذا الفهرس فی کتابه المعروف ب «لسان المیزان»، معبّرا عنه ب «رجال الشیعة» أو «رجال الامامیّة» و لا یرید منهما إلاّ هذا الفهرس، و یعلم ذلک بملاحظة ما نقله فی لسان المیزان، مع ما جاء فی هذا الفهرس، کما أنّ لصاحب هذا الفهرس تألیفا آخر أسماه تاریخ الریّ، و ینقل منه أیضا ابن حجر فی کتابه المزبور، و الأسف کلّ الأسف أنّ هذا الکتاب و غیره مثل «تاریخ ابن أبی طیّ»</w:t>
      </w:r>
      <w:r>
        <w:rPr>
          <w:rStyle w:val="FootnoteReference"/>
        </w:rPr>
        <w:footnoteReference w:id="5101"/>
      </w:r>
      <w:r>
        <w:rPr>
          <w:rFonts w:ascii="IRNazanin" w:hAnsi="IRNazanin" w:eastAsia="IRNazanin" w:cs="IRNazanin"/>
          <w:lang w:bidi="fa-IR"/>
          <w:color w:val="111111"/>
          <w:sz w:val="28"/>
          <w:szCs w:val="28"/>
          <w:rtl/>
        </w:rPr>
        <w:t xml:space="preserve">و «رجال علیّ بن الحکم» و «رجال الصدوق» الّتی وقف علی الجمیع، ابن حجر فی عصره و نقل عنها فی کتابه «لسان المیزان» لم تصل إلینا، لعلّ اللّه یحدث بعد ذلک أمرا.</w:t>
      </w:r>
    </w:p>
    <w:p>
      <w:pPr>
        <w:pStyle w:val="BookText"/>
      </w:pPr>
      <w:r>
        <w:rPr>
          <w:rFonts w:ascii="IRNazanin" w:hAnsi="IRNazanin" w:eastAsia="IRNazanin" w:cs="IRNazanin"/>
          <w:lang w:bidi="fa-IR"/>
          <w:color w:val="111111"/>
          <w:sz w:val="28"/>
          <w:szCs w:val="28"/>
          <w:rtl/>
        </w:rPr>
        <w:t xml:space="preserve">ثمّ إنّ الغایة من اقتراح السید عزّ الدین یحیی، نقیب السادات، هو کتابة ذیل لفهرس الشیخ علی غراره، بأن یشتمل علی أسامی المؤلّفین، و مؤلّفاتهم واحدا بعد واحد، و قد قبل الشیخ منتجب الدین اقتراح السیّد، و قام بهذا العمل لکنّه - قدّس سره - عدل عند الاشتغال بتألیف الفهرس عن هذا النّمط، فجاء بترجمة کثیر من شخصیّات الشّیعة، یناهز عددهم إلی 540 شخصیة علمیّة و حدیثیّة من دون أن یذکر لهم أصلا و تصنیفا، و من ذکر لهم کتابا لا یتجاوز عن حدود مائة شخص.</w:t>
      </w:r>
    </w:p>
    <w:p>
      <w:pPr>
        <w:pStyle w:val="BookText"/>
      </w:pPr>
      <w:r>
        <w:rPr>
          <w:rFonts w:ascii="IRNazanin" w:hAnsi="IRNazanin" w:eastAsia="IRNazanin" w:cs="IRNazanin"/>
          <w:lang w:bidi="fa-IR"/>
          <w:color w:val="111111"/>
          <w:sz w:val="28"/>
          <w:szCs w:val="28"/>
          <w:rtl/>
        </w:rPr>
        <w:t xml:space="preserve">نعم ما یوافیک من الفهرس الآخر لمعاصره - أعنی معالم العلماء - فهو علی غرار فهرس الشیخ حذو القذّة بالقذّة.</w:t>
      </w:r>
    </w:p>
    <w:p>
      <w:pPr>
        <w:pStyle w:val="BookText"/>
      </w:pPr>
      <w:r>
        <w:rPr>
          <w:rFonts w:ascii="IRNazanin" w:hAnsi="IRNazanin" w:eastAsia="IRNazanin" w:cs="IRNazanin"/>
          <w:lang w:bidi="fa-IR"/>
          <w:color w:val="111111"/>
          <w:sz w:val="28"/>
          <w:szCs w:val="28"/>
          <w:rtl/>
        </w:rPr>
        <w:t xml:space="preserve">[شماره صفحه واقعی : 112]
</w:t>
      </w:r>
    </w:p>
    <w:p>
      <w:pPr>
        <w:sectPr>
          <w:footerReference w:type="default" r:id="rId1768"/>
          <w:footnotePr>
            <w:numStart w:val="1"/>
            <w:numRestart w:val="eachPage"/>
          </w:footnotePr>
          <w:pgSz w:orient="portrait" w:w="11905.511811023622" w:h="16837.79527559055"/>
          <w:pgMar w:top="1440" w:right="1440" w:bottom="1440" w:left="1440" w:header="720" w:footer="720" w:gutter="0"/>
          <w:cols w:num="1" w:space="720"/>
        </w:sectPr>
      </w:pPr>
    </w:p>
    <w:bookmarkStart w:id="932" w:name="pg14411_144150"/>
    <w:bookmarkEnd w:id="932"/>
    <w:p>
      <w:pPr>
        <w:pStyle w:val="Heading6"/>
      </w:pPr>
      <w:bookmarkStart w:id="2777" w:name="_Toc1812"/>
      <w:r>
        <w:t>2 - معالم العلماء فی فهرس کتب الشیعة و أسماء المصنفین</w:t>
      </w:r>
      <w:bookmarkEnd w:id="2777"/>
    </w:p>
    <w:p>
      <w:pPr>
        <w:pStyle w:val="BookText"/>
      </w:pPr>
      <w:r>
        <w:rPr>
          <w:rFonts w:ascii="IRNazanin" w:hAnsi="IRNazanin" w:eastAsia="IRNazanin" w:cs="IRNazanin"/>
          <w:lang w:bidi="fa-IR"/>
          <w:color w:val="111111"/>
          <w:sz w:val="28"/>
          <w:szCs w:val="28"/>
          <w:rtl/>
        </w:rPr>
        <w:t xml:space="preserve">و هو تألیف الحافظ الشهیر محمّد بن علیّ بن شهر آشوب المازندرانی، المولود عام 488، و المتوفّی سنة 588، و هو أشهر من أن یعرف، فقد أطراه أرباب المعاجم من العامّة و الخاصّة.</w:t>
      </w:r>
    </w:p>
    <w:p>
      <w:pPr>
        <w:pStyle w:val="BookText"/>
      </w:pPr>
      <w:r>
        <w:rPr>
          <w:rFonts w:ascii="IRNazanin" w:hAnsi="IRNazanin" w:eastAsia="IRNazanin" w:cs="IRNazanin"/>
          <w:lang w:bidi="fa-IR"/>
          <w:color w:val="111111"/>
          <w:sz w:val="28"/>
          <w:szCs w:val="28"/>
          <w:rtl/>
        </w:rPr>
        <w:t xml:space="preserve">قال صلاح الدین الصّفدی: «محمّد بن علیّ بن شهر آشوب أبو جعفر السّروی المازندرانی، رشید الدین الشیعی، أحد شیوخ الشیعة. حفظ القرآن و له ثمان سنین، و بلغ النّهایة فی اصول الشیعة، کان یرحل إلیه من البلاد، ثمّ تقدّم فی علم القرآن و الغریب و النّحو، ذکره ابن أبی طیّ فی تاریخه، و أثنی علیه ثناء بلیغا، و کذلک الفیروز آبادی فی کتاب البلغة فی تراجم أئمّة النّحو و اللغة، و زاد أنّه کان واسع العلم، کثیر العبادة دائم الوضوء، و عاش مائة سنة إلاّ ثمانیة أشهر، و مات سنة 588»</w:t>
      </w:r>
      <w:r>
        <w:rPr>
          <w:rStyle w:val="FootnoteReference"/>
        </w:rPr>
        <w:footnoteReference w:id="51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ذکره الشیخ الحرّ العاملی فی «أمل الآمل» فی باب المحمّدین، و ذکر کتبه الکثیرة، الّتی أعرفها «مناقب آل أبی طالب» و قد طبع فی أربعة مجلّدات، و «متشابه القرآن» و هو من محاسن الکتب و قد طبع فی مجلد واحد، و «معالم العلماء» الّذی نحن بصدد تعریفه، و هذا الکتاب یتضمّن 1021 ترجمة و فی آخرها «فصل فیما جهل مصنّفه» و «باب فی بعض شعراء أهل البیت» و هذا الفهرس، کفهرس الشیخ منتجب الدّین تکملة لفهرس الشیخ الطوسی، و المؤلّفان متعاصران، و الکتابان متقاربا التألیف، و قد أصبح معالم العلماء من المدارک المهمّة لعلماء الرجال، کالعلاّمة الحلّی فی «الخلاصة»، و من بعده.</w:t>
      </w:r>
    </w:p>
    <w:p>
      <w:pPr>
        <w:pStyle w:val="BookText"/>
      </w:pPr>
      <w:r>
        <w:rPr>
          <w:rFonts w:ascii="IRNazanin" w:hAnsi="IRNazanin" w:eastAsia="IRNazanin" w:cs="IRNazanin"/>
          <w:lang w:bidi="fa-IR"/>
          <w:color w:val="111111"/>
          <w:sz w:val="28"/>
          <w:szCs w:val="28"/>
          <w:rtl/>
        </w:rPr>
        <w:t xml:space="preserve">[شماره صفحه واقعی : 113]
</w:t>
      </w:r>
    </w:p>
    <w:p>
      <w:pPr>
        <w:sectPr>
          <w:footerReference w:type="default" r:id="rId1769"/>
          <w:footnotePr>
            <w:numStart w:val="1"/>
            <w:numRestart w:val="eachPage"/>
          </w:footnotePr>
          <w:pgSz w:orient="portrait" w:w="11905.511811023622" w:h="16837.79527559055"/>
          <w:pgMar w:top="1440" w:right="1440" w:bottom="1440" w:left="1440" w:header="720" w:footer="720" w:gutter="0"/>
          <w:cols w:num="1" w:space="720"/>
        </w:sectPr>
      </w:pPr>
    </w:p>
    <w:bookmarkStart w:id="933" w:name="pg14411_144151"/>
    <w:bookmarkEnd w:id="933"/>
    <w:p>
      <w:pPr>
        <w:pStyle w:val="Heading6"/>
      </w:pPr>
      <w:bookmarkStart w:id="2778" w:name="_Toc1813"/>
      <w:r>
        <w:t>3 - رجال ابن داود</w:t>
      </w:r>
      <w:bookmarkEnd w:id="2778"/>
    </w:p>
    <w:p>
      <w:pPr>
        <w:pStyle w:val="Heading6"/>
      </w:pPr>
      <w:bookmarkStart w:id="2779" w:name="_Toc1814"/>
      <w:r>
        <w:t>اشارة</w:t>
      </w:r>
      <w:bookmarkEnd w:id="2779"/>
    </w:p>
    <w:p>
      <w:pPr>
        <w:pStyle w:val="BookText"/>
      </w:pPr>
      <w:r>
        <w:rPr>
          <w:rFonts w:ascii="IRNazanin" w:hAnsi="IRNazanin" w:eastAsia="IRNazanin" w:cs="IRNazanin"/>
          <w:lang w:bidi="fa-IR"/>
          <w:color w:val="111111"/>
          <w:sz w:val="28"/>
          <w:szCs w:val="28"/>
          <w:rtl/>
        </w:rPr>
        <w:t xml:space="preserve">و هو تألیف تقی الدّین الحسن بن علیّ بن داود الحلّی، المولود سنة 647، أی قبل تولد العلاّمة بسنة، و المتوفّی بعد سنة 707. تتلمذ علی السّید جمال الدین أحمد بن طاووس (المتوفی سنة 673) قرء علیه أکثر کتاب «البشری» و «الملاذ» حتی قال: «و أکثر فوائد هذا الکتاب من إشاراته و تحقیقاته، ربّانی و علّمنی و أحسن إلیّ»</w:t>
      </w:r>
      <w:r>
        <w:rPr>
          <w:rStyle w:val="FootnoteReference"/>
        </w:rPr>
        <w:footnoteReference w:id="51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قرء علی الإمام نجم الدّین جعفر بن الحسن بن یحیی المعروف بالمحقّق، و قال فی حقّه: «قرأت علیه و ربّانی صغیرا، و کان له علیّ إحسان عظیم و التفات، و أجاز لی جمیع ما صنّفه و قرأه و رواه»</w:t>
      </w:r>
      <w:r>
        <w:rPr>
          <w:rStyle w:val="FootnoteReference"/>
        </w:rPr>
        <w:footnoteReference w:id="5104"/>
      </w:r>
      <w:r>
        <w:rPr>
          <w:rFonts w:ascii="Times New Roman" w:hAnsi="Times New Roman" w:eastAsia="Times New Roman" w:cs="Times New Roman"/>
          <w:lang w:val="en-US" w:bidi="en-US"/>
          <w:color w:val="111111"/>
          <w:sz w:val="28"/>
          <w:szCs w:val="28"/>
          <w:rtl/>
        </w:rPr>
        <w:t xml:space="preserve">.</w:t>
      </w:r>
    </w:p>
    <w:p>
      <w:pPr>
        <w:pStyle w:val="Heading6"/>
      </w:pPr>
      <w:bookmarkStart w:id="2780" w:name="_Toc1815"/>
      <w:r>
        <w:t>ممیزات رجال ابن داود</w:t>
      </w:r>
      <w:bookmarkEnd w:id="2780"/>
    </w:p>
    <w:p>
      <w:pPr>
        <w:pStyle w:val="BookText"/>
      </w:pPr>
      <w:r>
        <w:rPr>
          <w:rFonts w:ascii="IRNazanin" w:hAnsi="IRNazanin" w:eastAsia="IRNazanin" w:cs="IRNazanin"/>
          <w:lang w:bidi="fa-IR"/>
          <w:color w:val="111111"/>
          <w:sz w:val="28"/>
          <w:szCs w:val="28"/>
          <w:rtl/>
        </w:rPr>
        <w:t xml:space="preserve">و من مزایا ذلک الکتاب، أنّه سلک فیه مسلکا لم یسبقه أحد من الأصحاب، لأنّه رتّبه علی الحروف، الأوّل فالأوّل، من الأسماء و أسماء الآباء و الأجداد، و جمع ما وصل إلیه من کتب الرجال مع حسن الترتیب و زیادة التّهذیب، فنقل ما فی فهرس الشیخ و النّجاشی، و رجال الکشّی، و الشیخ و ابن الغضائری و البرقی و العقیقی و ابن عقدة و الفضل بن شاذان و ابن عبدون، و جعل لکلّ کتاب علامة، و لم یذکر المتأخّرین عن الشیخ إلاّ أسماء یسیرة، و جعل کتابه فی جزئین، الأوّل یختصّ بذکر الموثّقین و المهملین، و الثّانی بالمجروحین و المجهولین.</w:t>
      </w:r>
    </w:p>
    <w:p>
      <w:pPr>
        <w:pStyle w:val="BookText"/>
      </w:pPr>
      <w:r>
        <w:rPr>
          <w:rFonts w:ascii="IRNazanin" w:hAnsi="IRNazanin" w:eastAsia="IRNazanin" w:cs="IRNazanin"/>
          <w:lang w:bidi="fa-IR"/>
          <w:color w:val="111111"/>
          <w:sz w:val="28"/>
          <w:szCs w:val="28"/>
          <w:rtl/>
        </w:rPr>
        <w:t xml:space="preserve">و ذکر فی آخر القسم الأوّل، تحت عنوان خاصّ، جماعة وصفهم النجاشی بقوله «ثقة ثقة» مرّتین، عدّتهم أربعة و ثلاثون رجلا مرتّبین علی</w:t>
      </w:r>
    </w:p>
    <w:p>
      <w:pPr>
        <w:pStyle w:val="BookText"/>
      </w:pPr>
      <w:r>
        <w:rPr>
          <w:rFonts w:ascii="IRNazanin" w:hAnsi="IRNazanin" w:eastAsia="IRNazanin" w:cs="IRNazanin"/>
          <w:lang w:bidi="fa-IR"/>
          <w:color w:val="111111"/>
          <w:sz w:val="28"/>
          <w:szCs w:val="28"/>
          <w:rtl/>
        </w:rPr>
        <w:t xml:space="preserve">[شماره صفحه واقعی : 114]
</w:t>
      </w:r>
    </w:p>
    <w:p>
      <w:pPr>
        <w:sectPr>
          <w:footerReference w:type="default" r:id="rId17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حروف الهجاء، ثمّ أضاف بأنّ الغضائری جاء فی کتابه خمسة رجال زیادة علی ما ذکره النّجاشی، و وصف کلاّ منهم بأنّه «ثقة ثقة» مرّتین، ثمّ ذکر خمسة فصول لا غنی للباحث عنها، کلّ فصل معنون بعنوان خاصّ.</w:t>
      </w:r>
    </w:p>
    <w:p>
      <w:pPr>
        <w:pStyle w:val="BookText"/>
      </w:pPr>
      <w:r>
        <w:rPr>
          <w:rFonts w:ascii="IRNazanin" w:hAnsi="IRNazanin" w:eastAsia="IRNazanin" w:cs="IRNazanin"/>
          <w:lang w:bidi="fa-IR"/>
          <w:color w:val="111111"/>
          <w:sz w:val="28"/>
          <w:szCs w:val="28"/>
          <w:rtl/>
        </w:rPr>
        <w:t xml:space="preserve">ثمّ ذکر فی آخر القسم الثّانی، سبعة عشر فصلا لا یستغنی عنها الباحثون، کلّ فصل معنون بعنوان خاصّ ثمّ أورد تنبیهات تسعة مفیدة.</w:t>
      </w:r>
    </w:p>
    <w:p>
      <w:pPr>
        <w:pStyle w:val="BookText"/>
      </w:pPr>
      <w:r>
        <w:rPr>
          <w:rFonts w:ascii="IRNazanin" w:hAnsi="IRNazanin" w:eastAsia="IRNazanin" w:cs="IRNazanin"/>
          <w:lang w:bidi="fa-IR"/>
          <w:color w:val="111111"/>
          <w:sz w:val="28"/>
          <w:szCs w:val="28"/>
          <w:rtl/>
        </w:rPr>
        <w:t xml:space="preserve">و بما أنّه وقع فی هذا الکتاب اشتباهات عند النّقل عن کتب الرجال، مثلا نقل عن النّجاشی مطلبا و هو للکشّی أو بالعکس، قام المحقّق الکبیر السید محمّد صادق آل بحر العلوم فی تعلیقاته علی الکتاب، بإصلاح تلک الهفوات، و لعلّ أکثر تلک الهفوات نشأت من استنساخ النسّاخ، و علی کلّ تقدیر، فلهذا الکتاب مزیّة خاصّة لا توجد فی قرینه الآتی أعنی خلاصة العلاّمة - أعلی اللّه مقامه -.</w:t>
      </w:r>
    </w:p>
    <w:p>
      <w:pPr>
        <w:pStyle w:val="BookText"/>
      </w:pPr>
      <w:r>
        <w:rPr>
          <w:rFonts w:ascii="IRNazanin" w:hAnsi="IRNazanin" w:eastAsia="IRNazanin" w:cs="IRNazanin"/>
          <w:lang w:bidi="fa-IR"/>
          <w:color w:val="111111"/>
          <w:sz w:val="28"/>
          <w:szCs w:val="28"/>
          <w:rtl/>
        </w:rPr>
        <w:t xml:space="preserve">قال الأفندی فی «ریاض العلماء»: «و لیعلم أنّ نقل ابن داود فی رجاله عن کتب رجال الأصحاب، ما لیس فیها، ممّا لیس فیه طعن علیه، إذ أکثر هذا نشأ من اختلاف النّسخ، و الازدیاد و النقصان الحاصلین من جانب المولّفین أنفسهم بعد اشتهار بعض نسخها و بقی فی أیدی الناس علی حاله الاولی من غیر تغییر، کما یشاهد فی مصنّفات معاصرینا أیضا و لا سیّما فی کتب الرجال الّتی یزید فیها مؤلّفوها، الأسامی و الأحوال یوما فیوما، و قد رأیت نظیر ذلک فی کتاب فهرس الشیخ منتجب الدین، و فهرس الشیخ الطوسی، و کتاب رجال النجاشی و غیرها، حتّی إنّی رأیت فی بلدة الساری نسخة من خلاصة العلاّمة قد کتبها تلمیذه فی عصره و کان علیها خطّه و فیه اختلاف شدید مع النسخ المشهورة بل لم یکن فیها کثیر من الأسامی و الأحوال المذکورة فی النسخ المتداولة منه»</w:t>
      </w:r>
      <w:r>
        <w:rPr>
          <w:rStyle w:val="FootnoteReference"/>
        </w:rPr>
        <w:footnoteReference w:id="51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115]
</w:t>
      </w:r>
    </w:p>
    <w:p>
      <w:pPr>
        <w:sectPr>
          <w:footerReference w:type="default" r:id="rId17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و یشهد لذلک أنّ المؤلّفات المطبوعة فی عصرنا هذا تزید و تنقص حسب طبعاتها المختلفة، فیقوم المؤلّف فی الطبعة اللاّحقة بتنقیح ما کتب باسقاط بعض ما کتبه و إضافة ما لم یقف علیه فی الطبعة الاولی، و لأجل ذلک تختلف الکتب للمعاصرین حسب اختلاف الطّبعات.</w:t>
      </w:r>
    </w:p>
    <w:p>
      <w:pPr>
        <w:pStyle w:val="BookText"/>
      </w:pPr>
      <w:r>
        <w:rPr>
          <w:rFonts w:ascii="IRNazanin" w:hAnsi="IRNazanin" w:eastAsia="IRNazanin" w:cs="IRNazanin"/>
          <w:lang w:bidi="fa-IR"/>
          <w:color w:val="111111"/>
          <w:sz w:val="28"/>
          <w:szCs w:val="28"/>
          <w:rtl/>
        </w:rPr>
        <w:t xml:space="preserve">و فی الختام نذکر نصّ اجازة السیّد أحمد بن طاووس، لتلمیذه ابن داود مؤلّف الرجال، و هی تعرب عن وجود صلة وثیقة بین الاستاذ و المؤلّف فانّه بعد ما قرأ ابن داود کتاب «نقض عثمانیّة جاحظ»</w:t>
      </w:r>
      <w:r>
        <w:rPr>
          <w:rStyle w:val="FootnoteReference"/>
        </w:rPr>
        <w:footnoteReference w:id="5106"/>
      </w:r>
      <w:r>
        <w:rPr>
          <w:rFonts w:ascii="IRNazanin" w:hAnsi="IRNazanin" w:eastAsia="IRNazanin" w:cs="IRNazanin"/>
          <w:lang w:bidi="fa-IR"/>
          <w:color w:val="111111"/>
          <w:sz w:val="28"/>
          <w:szCs w:val="28"/>
          <w:rtl/>
        </w:rPr>
        <w:t xml:space="preserve">علی مؤلّفه «أحمد بن طاووس» کتب الاستاذ اجازة له و هذه صورته:</w:t>
      </w:r>
    </w:p>
    <w:p>
      <w:pPr>
        <w:pStyle w:val="BookText"/>
      </w:pPr>
      <w:r>
        <w:rPr>
          <w:rFonts w:ascii="IRNazanin" w:hAnsi="IRNazanin" w:eastAsia="IRNazanin" w:cs="IRNazanin"/>
          <w:lang w:bidi="fa-IR"/>
          <w:color w:val="111111"/>
          <w:sz w:val="28"/>
          <w:szCs w:val="28"/>
          <w:rtl/>
        </w:rPr>
        <w:t xml:space="preserve">«قرأ علیّ هذا «البناء» من تصنیفی، الولد العالم الأدیب التّقی، حسن بن علیّ بن داود - أحسن اللّه عاقبته و شرّف خاتمته - و أذنت له فی روایته عنّی.</w:t>
      </w:r>
    </w:p>
    <w:p>
      <w:pPr>
        <w:pStyle w:val="BookText"/>
      </w:pPr>
      <w:r>
        <w:rPr>
          <w:rFonts w:ascii="IRNazanin" w:hAnsi="IRNazanin" w:eastAsia="IRNazanin" w:cs="IRNazanin"/>
          <w:lang w:bidi="fa-IR"/>
          <w:color w:val="111111"/>
          <w:sz w:val="28"/>
          <w:szCs w:val="28"/>
          <w:rtl/>
        </w:rPr>
        <w:t xml:space="preserve">و کتب العبد الفقیر إلی اللّه تعالی أحمد بن طاووس حامدا للّه و مصلّیا علی رسوله، و الطاهرین من عترته، و المهدیّین من ذریّته».</w:t>
      </w:r>
    </w:p>
    <w:p>
      <w:pPr>
        <w:pStyle w:val="BookText"/>
      </w:pPr>
      <w:r>
        <w:rPr>
          <w:rFonts w:ascii="IRNazanin" w:hAnsi="IRNazanin" w:eastAsia="IRNazanin" w:cs="IRNazanin"/>
          <w:lang w:bidi="fa-IR"/>
          <w:color w:val="111111"/>
          <w:sz w:val="28"/>
          <w:szCs w:val="28"/>
          <w:rtl/>
        </w:rPr>
        <w:t xml:space="preserve">و فی آخر الرسالة ما هذه صورته:</w:t>
      </w:r>
    </w:p>
    <w:p>
      <w:pPr>
        <w:pStyle w:val="BookText"/>
      </w:pPr>
      <w:r>
        <w:rPr>
          <w:rFonts w:ascii="IRNazanin" w:hAnsi="IRNazanin" w:eastAsia="IRNazanin" w:cs="IRNazanin"/>
          <w:lang w:bidi="fa-IR"/>
          <w:color w:val="111111"/>
          <w:sz w:val="28"/>
          <w:szCs w:val="28"/>
          <w:rtl/>
        </w:rPr>
        <w:t xml:space="preserve">«أنجزت الرسالة، و الحمد للّه علی نعمه، و صلاته علی سیّدنا محمّد النّبی و آله الطاهرین.</w:t>
      </w:r>
    </w:p>
    <w:p>
      <w:pPr>
        <w:pStyle w:val="BookText"/>
      </w:pPr>
      <w:r>
        <w:rPr>
          <w:rFonts w:ascii="IRNazanin" w:hAnsi="IRNazanin" w:eastAsia="IRNazanin" w:cs="IRNazanin"/>
          <w:lang w:bidi="fa-IR"/>
          <w:color w:val="111111"/>
          <w:sz w:val="28"/>
          <w:szCs w:val="28"/>
          <w:rtl/>
        </w:rPr>
        <w:t xml:space="preserve">کتبه العبد الفقیر إلی اللّه تعالی، حسن بن علیّ بن داود ربیب صدقات مولانا المصنّف - ضاعف اللّه مجده و أمتعه اللّه بطول حیاته - و صلاته علی سیّدنا محمّد النّبی و آله و سلامه».</w:t>
      </w:r>
    </w:p>
    <w:p>
      <w:pPr>
        <w:pStyle w:val="BookText"/>
      </w:pPr>
      <w:r>
        <w:rPr>
          <w:rFonts w:ascii="IRNazanin" w:hAnsi="IRNazanin" w:eastAsia="IRNazanin" w:cs="IRNazanin"/>
          <w:lang w:bidi="fa-IR"/>
          <w:color w:val="111111"/>
          <w:sz w:val="28"/>
          <w:szCs w:val="28"/>
          <w:rtl/>
        </w:rPr>
        <w:t xml:space="preserve">و کان نسخ الکتاب فی شوّال من سنة خمس و ستّین و ستّمائة1.</w:t>
      </w:r>
    </w:p>
    <w:p>
      <w:pPr>
        <w:pStyle w:val="BookText"/>
      </w:pPr>
      <w:r>
        <w:rPr>
          <w:rFonts w:ascii="IRNazanin" w:hAnsi="IRNazanin" w:eastAsia="IRNazanin" w:cs="IRNazanin"/>
          <w:lang w:bidi="fa-IR"/>
          <w:color w:val="111111"/>
          <w:sz w:val="28"/>
          <w:szCs w:val="28"/>
          <w:rtl/>
        </w:rPr>
        <w:t xml:space="preserve">[شماره صفحه واقعی : 116]
</w:t>
      </w:r>
    </w:p>
    <w:p>
      <w:pPr>
        <w:sectPr>
          <w:footerReference w:type="default" r:id="rId1772"/>
          <w:footnotePr>
            <w:numStart w:val="1"/>
            <w:numRestart w:val="eachPage"/>
          </w:footnotePr>
          <w:pgSz w:orient="portrait" w:w="11905.511811023622" w:h="16837.79527559055"/>
          <w:pgMar w:top="1440" w:right="1440" w:bottom="1440" w:left="1440" w:header="720" w:footer="720" w:gutter="0"/>
          <w:cols w:num="1" w:space="720"/>
        </w:sectPr>
      </w:pPr>
    </w:p>
    <w:bookmarkStart w:id="934" w:name="pg14411_144154"/>
    <w:bookmarkEnd w:id="934"/>
    <w:p>
      <w:pPr>
        <w:pStyle w:val="Heading6"/>
      </w:pPr>
      <w:bookmarkStart w:id="2781" w:name="_Toc1816"/>
      <w:r>
        <w:t>مشایخه</w:t>
      </w:r>
      <w:bookmarkEnd w:id="2781"/>
    </w:p>
    <w:p>
      <w:pPr>
        <w:pStyle w:val="BookText"/>
      </w:pPr>
      <w:r>
        <w:rPr>
          <w:rFonts w:ascii="IRNazanin" w:hAnsi="IRNazanin" w:eastAsia="IRNazanin" w:cs="IRNazanin"/>
          <w:lang w:bidi="fa-IR"/>
          <w:color w:val="111111"/>
          <w:sz w:val="28"/>
          <w:szCs w:val="28"/>
          <w:rtl/>
        </w:rPr>
        <w:t xml:space="preserve">قال الأفندی: و یروی ابن داود عن جماعة من الفضلاء:</w:t>
      </w:r>
    </w:p>
    <w:p>
      <w:pPr>
        <w:pStyle w:val="BookText"/>
      </w:pPr>
      <w:r>
        <w:rPr>
          <w:rFonts w:ascii="IRNazanin" w:hAnsi="IRNazanin" w:eastAsia="IRNazanin" w:cs="IRNazanin"/>
          <w:lang w:bidi="fa-IR"/>
          <w:color w:val="111111"/>
          <w:sz w:val="28"/>
          <w:szCs w:val="28"/>
          <w:rtl/>
        </w:rPr>
        <w:t xml:space="preserve">منهم: السید جمال الدین أبو الفضائل أحمد بن طاووس.</w:t>
      </w:r>
    </w:p>
    <w:p>
      <w:pPr>
        <w:pStyle w:val="BookText"/>
      </w:pPr>
      <w:r>
        <w:rPr>
          <w:rFonts w:ascii="IRNazanin" w:hAnsi="IRNazanin" w:eastAsia="IRNazanin" w:cs="IRNazanin"/>
          <w:lang w:bidi="fa-IR"/>
          <w:color w:val="111111"/>
          <w:sz w:val="28"/>
          <w:szCs w:val="28"/>
          <w:rtl/>
        </w:rPr>
        <w:t xml:space="preserve">و منهم: الشیخ مفید الدین محمّد بن جهیم الأسدی علی ما یظهر من دیباجة رجاله</w:t>
      </w:r>
      <w:r>
        <w:rPr>
          <w:rStyle w:val="FootnoteReference"/>
        </w:rPr>
        <w:footnoteReference w:id="51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و هو یروی عن جماعة اخری أیضا.</w:t>
      </w:r>
    </w:p>
    <w:p>
      <w:pPr>
        <w:pStyle w:val="BookText"/>
      </w:pPr>
      <w:r>
        <w:rPr>
          <w:rFonts w:ascii="IRNazanin" w:hAnsi="IRNazanin" w:eastAsia="IRNazanin" w:cs="IRNazanin"/>
          <w:lang w:bidi="fa-IR"/>
          <w:color w:val="111111"/>
          <w:sz w:val="28"/>
          <w:szCs w:val="28"/>
          <w:rtl/>
        </w:rPr>
        <w:t xml:space="preserve">منهم: المحقّق نجم الدین جعفر بن الحسن الحلّی (المتوفّی عام 676).</w:t>
      </w:r>
    </w:p>
    <w:p>
      <w:pPr>
        <w:pStyle w:val="BookText"/>
      </w:pPr>
      <w:r>
        <w:rPr>
          <w:rFonts w:ascii="IRNazanin" w:hAnsi="IRNazanin" w:eastAsia="IRNazanin" w:cs="IRNazanin"/>
          <w:lang w:bidi="fa-IR"/>
          <w:color w:val="111111"/>
          <w:sz w:val="28"/>
          <w:szCs w:val="28"/>
          <w:rtl/>
        </w:rPr>
        <w:t xml:space="preserve">و منهم الشیخ نجیب الدین أبو زکریا یحیی بن سعید الحّلی ابن عمّ المحقق المذکور (المتوفّی عام 689).</w:t>
      </w:r>
    </w:p>
    <w:p>
      <w:pPr>
        <w:pStyle w:val="BookText"/>
      </w:pPr>
      <w:r>
        <w:rPr>
          <w:rFonts w:ascii="IRNazanin" w:hAnsi="IRNazanin" w:eastAsia="IRNazanin" w:cs="IRNazanin"/>
          <w:lang w:bidi="fa-IR"/>
          <w:color w:val="111111"/>
          <w:sz w:val="28"/>
          <w:szCs w:val="28"/>
          <w:rtl/>
        </w:rPr>
        <w:t xml:space="preserve">و منهم الشیخ سدید الدین یوسف بن علی بن المطهر الحلّی والد العلامة الحّلی.</w:t>
      </w:r>
    </w:p>
    <w:p>
      <w:pPr>
        <w:pStyle w:val="BookText"/>
      </w:pPr>
      <w:r>
        <w:rPr>
          <w:rFonts w:ascii="IRNazanin" w:hAnsi="IRNazanin" w:eastAsia="IRNazanin" w:cs="IRNazanin"/>
          <w:lang w:bidi="fa-IR"/>
          <w:color w:val="111111"/>
          <w:sz w:val="28"/>
          <w:szCs w:val="28"/>
          <w:rtl/>
        </w:rPr>
        <w:t xml:space="preserve">و نقل الأفندی فی الریاض أنّه کان شریک الدرس مع السید عبد الکریم بن جمال الدین</w:t>
      </w:r>
      <w:r>
        <w:rPr>
          <w:rStyle w:val="FootnoteReference"/>
        </w:rPr>
        <w:footnoteReference w:id="5108"/>
      </w:r>
      <w:r>
        <w:rPr>
          <w:rFonts w:ascii="IRNazanin" w:hAnsi="IRNazanin" w:eastAsia="IRNazanin" w:cs="IRNazanin"/>
          <w:lang w:bidi="fa-IR"/>
          <w:color w:val="111111"/>
          <w:sz w:val="28"/>
          <w:szCs w:val="28"/>
          <w:rtl/>
        </w:rPr>
        <w:t xml:space="preserve">أحمد بن طاووس الحلی (المتوفّی عام 693) عند المحقّق. و لکن العلاّمة الأمینی عدّه من مشایخه</w:t>
      </w:r>
      <w:r>
        <w:rPr>
          <w:rStyle w:val="FootnoteReference"/>
        </w:rPr>
        <w:footnoteReference w:id="5109"/>
      </w:r>
      <w:r>
        <w:rPr>
          <w:rFonts w:ascii="IRNazanin" w:hAnsi="IRNazanin" w:eastAsia="IRNazanin" w:cs="IRNazanin"/>
          <w:lang w:bidi="fa-IR"/>
          <w:color w:val="111111"/>
          <w:sz w:val="28"/>
          <w:szCs w:val="28"/>
          <w:rtl/>
        </w:rPr>
        <w:t xml:space="preserve">و الظاهر اتقان الأوّل.</w:t>
      </w:r>
    </w:p>
    <w:p>
      <w:pPr>
        <w:pStyle w:val="Heading6"/>
      </w:pPr>
      <w:bookmarkStart w:id="2782" w:name="_Toc1817"/>
      <w:r>
        <w:t>تلامیذه</w:t>
      </w:r>
      <w:bookmarkEnd w:id="2782"/>
    </w:p>
    <w:p>
      <w:pPr>
        <w:pStyle w:val="BookText"/>
      </w:pPr>
      <w:r>
        <w:rPr>
          <w:rFonts w:ascii="IRNazanin" w:hAnsi="IRNazanin" w:eastAsia="IRNazanin" w:cs="IRNazanin"/>
          <w:lang w:bidi="fa-IR"/>
          <w:color w:val="111111"/>
          <w:sz w:val="28"/>
          <w:szCs w:val="28"/>
          <w:rtl/>
        </w:rPr>
        <w:t xml:space="preserve">یروی عنه جماعة کثیرة:</w:t>
      </w:r>
    </w:p>
    <w:p>
      <w:pPr>
        <w:pStyle w:val="BookText"/>
      </w:pPr>
      <w:r>
        <w:rPr>
          <w:rFonts w:ascii="IRNazanin" w:hAnsi="IRNazanin" w:eastAsia="IRNazanin" w:cs="IRNazanin"/>
          <w:lang w:bidi="fa-IR"/>
          <w:color w:val="111111"/>
          <w:sz w:val="28"/>
          <w:szCs w:val="28"/>
          <w:rtl/>
        </w:rPr>
        <w:t xml:space="preserve">[شماره صفحه واقعی : 117]
</w:t>
      </w:r>
    </w:p>
    <w:p>
      <w:pPr>
        <w:sectPr>
          <w:footerReference w:type="default" r:id="rId1773"/>
          <w:footnotePr>
            <w:numStart w:val="1"/>
            <w:numRestart w:val="eachPage"/>
          </w:footnotePr>
          <w:pgSz w:orient="portrait" w:w="11905.511811023622" w:h="16837.79527559055"/>
          <w:pgMar w:top="1440" w:right="1440" w:bottom="1440" w:left="1440" w:header="720" w:footer="720" w:gutter="0"/>
          <w:cols w:num="1" w:space="720"/>
        </w:sectPr>
      </w:pPr>
    </w:p>
    <w:bookmarkStart w:id="935" w:name="pg14411_144155"/>
    <w:bookmarkEnd w:id="935"/>
    <w:p>
      <w:pPr>
        <w:pStyle w:val="BookText"/>
      </w:pPr>
      <w:r>
        <w:rPr>
          <w:rFonts w:ascii="IRNazanin" w:hAnsi="IRNazanin" w:eastAsia="IRNazanin" w:cs="IRNazanin"/>
          <w:lang w:bidi="fa-IR"/>
          <w:color w:val="111111"/>
          <w:sz w:val="28"/>
          <w:szCs w:val="28"/>
          <w:rtl/>
        </w:rPr>
        <w:t xml:space="preserve">منهم: الشیخ رضی الدین علیّ بن أحمد المزیدی الحلی</w:t>
      </w:r>
      <w:r>
        <w:rPr>
          <w:rStyle w:val="FootnoteReference"/>
        </w:rPr>
        <w:footnoteReference w:id="5110"/>
      </w:r>
      <w:r>
        <w:rPr>
          <w:rFonts w:ascii="IRNazanin" w:hAnsi="IRNazanin" w:eastAsia="IRNazanin" w:cs="IRNazanin"/>
          <w:lang w:bidi="fa-IR"/>
          <w:color w:val="111111"/>
          <w:sz w:val="28"/>
          <w:szCs w:val="28"/>
          <w:rtl/>
        </w:rPr>
        <w:t xml:space="preserve">، استاذ الشهید الأوّل، المتوفّی عام 757.</w:t>
      </w:r>
    </w:p>
    <w:p>
      <w:pPr>
        <w:pStyle w:val="BookText"/>
      </w:pPr>
      <w:r>
        <w:rPr>
          <w:rFonts w:ascii="IRNazanin" w:hAnsi="IRNazanin" w:eastAsia="IRNazanin" w:cs="IRNazanin"/>
          <w:lang w:bidi="fa-IR"/>
          <w:color w:val="111111"/>
          <w:sz w:val="28"/>
          <w:szCs w:val="28"/>
          <w:rtl/>
        </w:rPr>
        <w:t xml:space="preserve">و منهم: الشیخ زین الدین أبو الحسن علیّ بن طراد المطارآبادی، المتوفّی بالحلّة 754.</w:t>
      </w:r>
    </w:p>
    <w:p>
      <w:pPr>
        <w:pStyle w:val="Heading6"/>
      </w:pPr>
      <w:bookmarkStart w:id="2783" w:name="_Toc1818"/>
      <w:r>
        <w:t>تآلیفه</w:t>
      </w:r>
      <w:bookmarkEnd w:id="2783"/>
    </w:p>
    <w:p>
      <w:pPr>
        <w:pStyle w:val="BookText"/>
      </w:pPr>
      <w:r>
        <w:rPr>
          <w:rFonts w:ascii="IRNazanin" w:hAnsi="IRNazanin" w:eastAsia="IRNazanin" w:cs="IRNazanin"/>
          <w:lang w:bidi="fa-IR"/>
          <w:color w:val="111111"/>
          <w:sz w:val="28"/>
          <w:szCs w:val="28"/>
          <w:rtl/>
        </w:rPr>
        <w:t xml:space="preserve">للمترجم له تآلیف قیّمة تبلغ ثلاثین کتابا ذکر أسماءها فی رجاله.</w:t>
      </w:r>
    </w:p>
    <w:p>
      <w:pPr>
        <w:pStyle w:val="BookText"/>
      </w:pPr>
      <w:r>
        <w:rPr>
          <w:rFonts w:ascii="IRNazanin" w:hAnsi="IRNazanin" w:eastAsia="IRNazanin" w:cs="IRNazanin"/>
          <w:lang w:bidi="fa-IR"/>
          <w:color w:val="111111"/>
          <w:sz w:val="28"/>
          <w:szCs w:val="28"/>
          <w:rtl/>
        </w:rPr>
        <w:t xml:space="preserve">و من شعره الرائق قوله فی حقّ الوصی:</w:t>
      </w:r>
    </w:p>
    <w:p>
      <w:pPr>
        <w:pStyle w:val="BookText"/>
      </w:pPr>
      <w:r>
        <w:rPr>
          <w:rFonts w:ascii="IRNazanin" w:hAnsi="IRNazanin" w:eastAsia="IRNazanin" w:cs="IRNazanin"/>
          <w:lang w:bidi="fa-IR"/>
          <w:color w:val="111111"/>
          <w:sz w:val="28"/>
          <w:szCs w:val="28"/>
          <w:rtl/>
        </w:rPr>
        <w:t xml:space="preserve">و إذا نظرت إلی خطاب محمّد یوم الغدیر إذ استقّر المنزل</w:t>
      </w:r>
    </w:p>
    <w:p>
      <w:pPr>
        <w:pStyle w:val="BookText"/>
      </w:pPr>
      <w:r>
        <w:rPr>
          <w:rFonts w:ascii="IRNazanin" w:hAnsi="IRNazanin" w:eastAsia="IRNazanin" w:cs="IRNazanin"/>
          <w:lang w:bidi="fa-IR"/>
          <w:color w:val="111111"/>
          <w:sz w:val="28"/>
          <w:szCs w:val="28"/>
          <w:rtl/>
        </w:rPr>
        <w:t xml:space="preserve">من کنت مولاه فهذا حیدر مولاه لا یرتاب فیه محصّل</w:t>
      </w:r>
    </w:p>
    <w:p>
      <w:pPr>
        <w:pStyle w:val="BookText"/>
      </w:pPr>
      <w:r>
        <w:rPr>
          <w:rFonts w:ascii="IRNazanin" w:hAnsi="IRNazanin" w:eastAsia="IRNazanin" w:cs="IRNazanin"/>
          <w:lang w:bidi="fa-IR"/>
          <w:color w:val="111111"/>
          <w:sz w:val="28"/>
          <w:szCs w:val="28"/>
          <w:rtl/>
        </w:rPr>
        <w:t xml:space="preserve">لعرفت نصّ المصطفی بخلافة من بعده غراء لا یتأوّل</w:t>
      </w:r>
    </w:p>
    <w:p>
      <w:pPr>
        <w:pStyle w:val="BookText"/>
      </w:pPr>
      <w:r>
        <w:rPr>
          <w:rFonts w:ascii="IRNazanin" w:hAnsi="IRNazanin" w:eastAsia="IRNazanin" w:cs="IRNazanin"/>
          <w:lang w:bidi="fa-IR"/>
          <w:color w:val="111111"/>
          <w:sz w:val="28"/>
          <w:szCs w:val="28"/>
          <w:rtl/>
        </w:rPr>
        <w:t xml:space="preserve">و له ارجوزة فی الإمامة، طویلة، مستهلّها:</w:t>
      </w:r>
    </w:p>
    <w:p>
      <w:pPr>
        <w:pStyle w:val="BookText"/>
      </w:pPr>
      <w:r>
        <w:rPr>
          <w:rFonts w:ascii="IRNazanin" w:hAnsi="IRNazanin" w:eastAsia="IRNazanin" w:cs="IRNazanin"/>
          <w:lang w:bidi="fa-IR"/>
          <w:color w:val="111111"/>
          <w:sz w:val="28"/>
          <w:szCs w:val="28"/>
          <w:rtl/>
        </w:rPr>
        <w:t xml:space="preserve">و قد جرت لی قصّة غریبة قد نتجت قضیّة عجیبة</w:t>
      </w:r>
      <w:r>
        <w:rPr>
          <w:rStyle w:val="FootnoteReference"/>
        </w:rPr>
        <w:footnoteReference w:id="5111"/>
      </w:r>
    </w:p>
    <w:p>
      <w:pPr>
        <w:pStyle w:val="Heading6"/>
      </w:pPr>
      <w:bookmarkStart w:id="2784" w:name="_Toc1819"/>
      <w:r>
        <w:t>وفاته</w:t>
      </w:r>
      <w:bookmarkEnd w:id="2784"/>
    </w:p>
    <w:p>
      <w:pPr>
        <w:pStyle w:val="BookText"/>
      </w:pPr>
      <w:r>
        <w:rPr>
          <w:rFonts w:ascii="IRNazanin" w:hAnsi="IRNazanin" w:eastAsia="IRNazanin" w:cs="IRNazanin"/>
          <w:lang w:bidi="fa-IR"/>
          <w:color w:val="111111"/>
          <w:sz w:val="28"/>
          <w:szCs w:val="28"/>
          <w:rtl/>
        </w:rPr>
        <w:t xml:space="preserve">قد عرفت أنّه قد فرغ من رجاله عام 707، و لم یعلم تاریخ وفاته علی وجه الیقین، غیر أنّ العلاّمة الأمینی ینقل عن «ریاض العلماء» أنّه رأی فی مشهد الرضا نسخة من «الفصیح» بخطّ المترجم له، فی آخرها: «کتبه مملوکه حقّا حسن بن علیّ بن داود غفر له فی ثالث عشر شهر رمضان المبارک سنة احدی و أربعین و سبعمائة حامدا مصلّیا مستغفرا».</w:t>
      </w:r>
    </w:p>
    <w:p>
      <w:pPr>
        <w:pStyle w:val="BookText"/>
      </w:pPr>
      <w:r>
        <w:rPr>
          <w:rFonts w:ascii="IRNazanin" w:hAnsi="IRNazanin" w:eastAsia="IRNazanin" w:cs="IRNazanin"/>
          <w:lang w:bidi="fa-IR"/>
          <w:color w:val="111111"/>
          <w:sz w:val="28"/>
          <w:szCs w:val="28"/>
          <w:rtl/>
        </w:rPr>
        <w:t xml:space="preserve">[شماره صفحه واقعی : 118]
</w:t>
      </w:r>
    </w:p>
    <w:p>
      <w:pPr>
        <w:sectPr>
          <w:footerReference w:type="default" r:id="rId1774"/>
          <w:footnotePr>
            <w:numStart w:val="1"/>
            <w:numRestart w:val="eachPage"/>
          </w:footnotePr>
          <w:pgSz w:orient="portrait" w:w="11905.511811023622" w:h="16837.79527559055"/>
          <w:pgMar w:top="1440" w:right="1440" w:bottom="1440" w:left="1440" w:header="720" w:footer="720" w:gutter="0"/>
          <w:cols w:num="1" w:space="720"/>
        </w:sectPr>
      </w:pPr>
    </w:p>
    <w:bookmarkStart w:id="936" w:name="pg14411_144156"/>
    <w:bookmarkEnd w:id="936"/>
    <w:p>
      <w:pPr>
        <w:pStyle w:val="BookText"/>
      </w:pPr>
      <w:r>
        <w:rPr>
          <w:rFonts w:ascii="IRNazanin" w:hAnsi="IRNazanin" w:eastAsia="IRNazanin" w:cs="IRNazanin"/>
          <w:lang w:bidi="fa-IR"/>
          <w:color w:val="111111"/>
          <w:sz w:val="28"/>
          <w:szCs w:val="28"/>
          <w:rtl/>
        </w:rPr>
        <w:t xml:space="preserve">فیکون له من العمر حینذاک 94 عاما، فیکون من المعمّرین، و لم یذکر منهم</w:t>
      </w:r>
      <w:r>
        <w:rPr>
          <w:rStyle w:val="FootnoteReference"/>
        </w:rPr>
        <w:footnoteReference w:id="5112"/>
      </w:r>
      <w:r>
        <w:rPr>
          <w:rFonts w:ascii="Times New Roman" w:hAnsi="Times New Roman" w:eastAsia="Times New Roman" w:cs="Times New Roman"/>
          <w:lang w:val="en-US" w:bidi="en-US"/>
          <w:color w:val="111111"/>
          <w:sz w:val="28"/>
          <w:szCs w:val="28"/>
          <w:rtl/>
        </w:rPr>
        <w:t xml:space="preserve">.</w:t>
      </w:r>
    </w:p>
    <w:p>
      <w:pPr>
        <w:pStyle w:val="Heading6"/>
      </w:pPr>
      <w:bookmarkStart w:id="2785" w:name="_Toc1820"/>
      <w:r>
        <w:t>4 - خلاصة الاقوال فی علم الرجال</w:t>
      </w:r>
      <w:bookmarkEnd w:id="2785"/>
    </w:p>
    <w:p>
      <w:pPr>
        <w:pStyle w:val="Heading6"/>
      </w:pPr>
      <w:bookmarkStart w:id="2786" w:name="_Toc1821"/>
      <w:r>
        <w:t>اشارة</w:t>
      </w:r>
      <w:bookmarkEnd w:id="2786"/>
    </w:p>
    <w:p>
      <w:pPr>
        <w:pStyle w:val="BookText"/>
      </w:pPr>
      <w:r>
        <w:rPr>
          <w:rFonts w:ascii="IRNazanin" w:hAnsi="IRNazanin" w:eastAsia="IRNazanin" w:cs="IRNazanin"/>
          <w:lang w:bidi="fa-IR"/>
          <w:color w:val="111111"/>
          <w:sz w:val="28"/>
          <w:szCs w:val="28"/>
          <w:rtl/>
        </w:rPr>
        <w:t xml:space="preserve">و هی للعلاّمة</w:t>
      </w:r>
      <w:r>
        <w:rPr>
          <w:rStyle w:val="FootnoteReference"/>
        </w:rPr>
        <w:footnoteReference w:id="5113"/>
      </w:r>
      <w:r>
        <w:rPr>
          <w:rFonts w:ascii="IRNazanin" w:hAnsi="IRNazanin" w:eastAsia="IRNazanin" w:cs="IRNazanin"/>
          <w:lang w:bidi="fa-IR"/>
          <w:color w:val="111111"/>
          <w:sz w:val="28"/>
          <w:szCs w:val="28"/>
          <w:rtl/>
        </w:rPr>
        <w:t xml:space="preserve">علی الاطلاق الحسن بن یوسف بن المطهّر، المولود عام 648، و المتوفّی عام 726، الّذی طارت صیته فی الآفاق، برع فی المعقول و المنقول، و تقدّم علی الفحول و هو فی عصر الصبا. ألّف فی فقه الشریعة مطوّلات و متوسّطات و مختصرات، و کتابه هذا فی قسمین: القسم الأوّل؛ فیمن اعتمد علیه و فیه سبعة عشر فصلا، و القسم الثانی؛ مختصّ بذکر الضعفاء و من ردّ قوله أو وقف فیه، و فیه أیضا سبعة عشر فصلا، و فی آخر القسم الثانی خاتمة تشتمل علی عشر فوائد مهمّة، و کتابه هذا خلاصة ما فی فهرس الشیخ و النجاشی و قد یزید علیهما.</w:t>
      </w:r>
    </w:p>
    <w:p>
      <w:pPr>
        <w:pStyle w:val="BookText"/>
      </w:pPr>
      <w:r>
        <w:rPr>
          <w:rFonts w:ascii="IRNazanin" w:hAnsi="IRNazanin" w:eastAsia="IRNazanin" w:cs="IRNazanin"/>
          <w:lang w:bidi="fa-IR"/>
          <w:color w:val="111111"/>
          <w:sz w:val="28"/>
          <w:szCs w:val="28"/>
          <w:rtl/>
        </w:rPr>
        <w:t xml:space="preserve">قال المحقّق التستری: «إنّ ما ینقله العلاّمة من رجال الکشّی و الشیخ و فهرس النجاشی مع وجود المنقول فی هذه الکتب غیر مفید، و إنّما یفید فی ما لم نقف علی مستنده، کما فی ما ینقل من جزء من رجال العقیقی، و جزء من رجال ابن عقدة، و جزء من ثقات کتاب ابن الغضائری، و من کتاب آخر له فی المذمومین لم یصل إلینا، کما یظهر منه فی سلیمان النخعی، کما یفید أیضا فیما ینقله من النّجاشی فی ما لم یکن فی نسختنا، فکان عنده النسخة الکاملة من النّجاشی و أکمل من الموجود من ابن الغضائری، کما فی لیث البختری، و هشام بن إبراهیم العبّاسی، و محمّد بن نصیر، و محمّد بن أحمد بن محمّد بن سنان، و محمّد بن أحمد بن قضاعة، و محمّد بن الولید الصیرفی، و المغیرة بن</w:t>
      </w:r>
    </w:p>
    <w:p>
      <w:pPr>
        <w:pStyle w:val="BookText"/>
      </w:pPr>
      <w:r>
        <w:rPr>
          <w:rFonts w:ascii="IRNazanin" w:hAnsi="IRNazanin" w:eastAsia="IRNazanin" w:cs="IRNazanin"/>
          <w:lang w:bidi="fa-IR"/>
          <w:color w:val="111111"/>
          <w:sz w:val="28"/>
          <w:szCs w:val="28"/>
          <w:rtl/>
        </w:rPr>
        <w:t xml:space="preserve">[شماره صفحه واقعی : 119]
</w:t>
      </w:r>
    </w:p>
    <w:p>
      <w:pPr>
        <w:sectPr>
          <w:footerReference w:type="default" r:id="rId1775"/>
          <w:footnotePr>
            <w:numStart w:val="1"/>
            <w:numRestart w:val="eachPage"/>
          </w:footnotePr>
          <w:pgSz w:orient="portrait" w:w="11905.511811023622" w:h="16837.79527559055"/>
          <w:pgMar w:top="1440" w:right="1440" w:bottom="1440" w:left="1440" w:header="720" w:footer="720" w:gutter="0"/>
          <w:cols w:num="1" w:space="720"/>
        </w:sectPr>
      </w:pPr>
    </w:p>
    <w:bookmarkStart w:id="937" w:name="pg14411_144157"/>
    <w:bookmarkEnd w:id="937"/>
    <w:p>
      <w:pPr>
        <w:pStyle w:val="BookText"/>
      </w:pPr>
      <w:r>
        <w:rPr>
          <w:rFonts w:ascii="IRNazanin" w:hAnsi="IRNazanin" w:eastAsia="IRNazanin" w:cs="IRNazanin"/>
          <w:lang w:bidi="fa-IR"/>
          <w:color w:val="111111"/>
          <w:sz w:val="28"/>
          <w:szCs w:val="28"/>
          <w:rtl/>
        </w:rPr>
        <w:t xml:space="preserve">سعید، و نقیع بن الحارث، و کما ینقل فی بعضهم أخبارا لم نقف علی مأخذها، کما فی إسماعیل بن الفضل الهاشمی، و فیما أخذه من مطاوی الکتب کمحمّد بن أحمد النطنزی»</w:t>
      </w:r>
      <w:r>
        <w:rPr>
          <w:rStyle w:val="FootnoteReference"/>
        </w:rPr>
        <w:footnoteReference w:id="51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بما أنّ هذا الکتاب و رجال ابن داود متماثلان فی التنسیق و کیفیّة التألیف، یمکن أن یقال: إنّ واحدا منهما اقتبس المنهج عن الآخر، کما یمکن أن یقال: إنّ کلیهما قد استقلاّ فی التنسیق و المنهج، بلا استلهام من آخر، غیر أنّ المظنون هو أنّ المؤلّفین، بما أنّهما تتلمذا علی السیّد جمال الدین أحمد بن طاووس المتوفّی سنة 673، و قد کان هو رجالیّ عصره و محقّق زمانه فی ذلک الفنّ، قد اقتفیا فی تنسیق الکتاب ما خطّه استاذهما فی ذلک الموقف، و اللّه العالم.</w:t>
      </w:r>
    </w:p>
    <w:p>
      <w:pPr>
        <w:pStyle w:val="Heading6"/>
      </w:pPr>
      <w:bookmarkStart w:id="2787" w:name="_Toc1822"/>
      <w:r>
        <w:t>الفروق بین رجالی العلامة و ابن داود</w:t>
      </w:r>
      <w:bookmarkEnd w:id="2787"/>
    </w:p>
    <w:p>
      <w:pPr>
        <w:pStyle w:val="BookText"/>
      </w:pPr>
      <w:r>
        <w:rPr>
          <w:rFonts w:ascii="IRNazanin" w:hAnsi="IRNazanin" w:eastAsia="IRNazanin" w:cs="IRNazanin"/>
          <w:lang w:bidi="fa-IR"/>
          <w:color w:val="111111"/>
          <w:sz w:val="28"/>
          <w:szCs w:val="28"/>
          <w:rtl/>
        </w:rPr>
        <w:t xml:space="preserve">ثمّ إنّ هنا فروقا بین رجالی العلاّمة و ابن داود یجب الوقوف علیها، و إلیک بیانها:</w:t>
      </w:r>
    </w:p>
    <w:p>
      <w:pPr>
        <w:pStyle w:val="BookText"/>
      </w:pPr>
      <w:r>
        <w:rPr>
          <w:rFonts w:ascii="IRNazanin" w:hAnsi="IRNazanin" w:eastAsia="IRNazanin" w:cs="IRNazanin"/>
          <w:lang w:bidi="fa-IR"/>
          <w:color w:val="111111"/>
          <w:sz w:val="28"/>
          <w:szCs w:val="28"/>
          <w:rtl/>
        </w:rPr>
        <w:t xml:space="preserve">1 - إنّ القسم الأوّل من الخلاصة مختصّ بمن یعمل بروایته، و الثّانی بمن لا یعمل بروایته، حیث قال: «الأوّل؛ فی من اعتمد علی روایته أو ترجّح عندی قبول قوله. الثانی؛ فیمن ترکت روایته أو توّقفت فیه».</w:t>
      </w:r>
    </w:p>
    <w:p>
      <w:pPr>
        <w:pStyle w:val="BookText"/>
      </w:pPr>
      <w:r>
        <w:rPr>
          <w:rFonts w:ascii="IRNazanin" w:hAnsi="IRNazanin" w:eastAsia="IRNazanin" w:cs="IRNazanin"/>
          <w:lang w:bidi="fa-IR"/>
          <w:color w:val="111111"/>
          <w:sz w:val="28"/>
          <w:szCs w:val="28"/>
          <w:rtl/>
        </w:rPr>
        <w:t xml:space="preserve">و لأجل ذلک یذکر فی الأوّل الممدوح، لعمله بروایته، کما یذکر فیه فاسد المذهب إذا عمل بروایته کابن بکیر و علیّ بن فضال. و أما الموثّقون الّذین لیسوا کذلک، فیعنونهم فی الجزء الثّانی لعدم عمله بخبرهم، هذا.</w:t>
      </w:r>
    </w:p>
    <w:p>
      <w:pPr>
        <w:pStyle w:val="BookText"/>
      </w:pPr>
      <w:r>
        <w:rPr>
          <w:rFonts w:ascii="IRNazanin" w:hAnsi="IRNazanin" w:eastAsia="IRNazanin" w:cs="IRNazanin"/>
          <w:lang w:bidi="fa-IR"/>
          <w:color w:val="111111"/>
          <w:sz w:val="28"/>
          <w:szCs w:val="28"/>
          <w:rtl/>
        </w:rPr>
        <w:t xml:space="preserve">و الجزء الأوّل من کتاب ابن داود فیمن ورد فیه أدنی مدح و لو مع ورود ذموم کثیرة أیضا فیه و لم یعمل بخبره، و الجزء الثانی من کتابه، فیمن ورد فیه</w:t>
      </w:r>
    </w:p>
    <w:p>
      <w:pPr>
        <w:pStyle w:val="BookText"/>
      </w:pPr>
      <w:r>
        <w:rPr>
          <w:rFonts w:ascii="IRNazanin" w:hAnsi="IRNazanin" w:eastAsia="IRNazanin" w:cs="IRNazanin"/>
          <w:lang w:bidi="fa-IR"/>
          <w:color w:val="111111"/>
          <w:sz w:val="28"/>
          <w:szCs w:val="28"/>
          <w:rtl/>
        </w:rPr>
        <w:t xml:space="preserve">[شماره صفحه واقعی : 120]
</w:t>
      </w:r>
    </w:p>
    <w:p>
      <w:pPr>
        <w:sectPr>
          <w:footerReference w:type="default" r:id="rId17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أدنی ذمّ و لو کان أوثق الثقات و عمل بخبره، و لأجل ذلک ذکر بریدا العجلی مع جلالته فی الثّانی، کما ذکر هشام بن الحکم فیه أیضا لأجل ورود ذمّ ما فیه، أعنی کونه من تلامیذ أبی شاکر الزندیق.</w:t>
      </w:r>
    </w:p>
    <w:p>
      <w:pPr>
        <w:pStyle w:val="BookText"/>
      </w:pPr>
      <w:r>
        <w:rPr>
          <w:rFonts w:ascii="IRNazanin" w:hAnsi="IRNazanin" w:eastAsia="IRNazanin" w:cs="IRNazanin"/>
          <w:lang w:bidi="fa-IR"/>
          <w:color w:val="111111"/>
          <w:sz w:val="28"/>
          <w:szCs w:val="28"/>
          <w:rtl/>
        </w:rPr>
        <w:t xml:space="preserve">2 - إنّ العلاّمة لا یعنون المختلف فیه فی القسمین، بل إن رجّح المدح یذکره فی الأوّل، و إن رجّح الذمّ أو توقّف یذکره فی الثانی.</w:t>
      </w:r>
    </w:p>
    <w:p>
      <w:pPr>
        <w:pStyle w:val="BookText"/>
      </w:pPr>
      <w:r>
        <w:rPr>
          <w:rFonts w:ascii="IRNazanin" w:hAnsi="IRNazanin" w:eastAsia="IRNazanin" w:cs="IRNazanin"/>
          <w:lang w:bidi="fa-IR"/>
          <w:color w:val="111111"/>
          <w:sz w:val="28"/>
          <w:szCs w:val="28"/>
          <w:rtl/>
        </w:rPr>
        <w:t xml:space="preserve">و أمّا ابن داود فیذکر المختلف فیه فی الأوّل باعتبار مدحه، و فی الثانی باعتبار جرحه.</w:t>
      </w:r>
    </w:p>
    <w:p>
      <w:pPr>
        <w:pStyle w:val="BookText"/>
      </w:pPr>
      <w:r>
        <w:rPr>
          <w:rFonts w:ascii="IRNazanin" w:hAnsi="IRNazanin" w:eastAsia="IRNazanin" w:cs="IRNazanin"/>
          <w:lang w:bidi="fa-IR"/>
          <w:color w:val="111111"/>
          <w:sz w:val="28"/>
          <w:szCs w:val="28"/>
          <w:rtl/>
        </w:rPr>
        <w:t xml:space="preserve">3 - إنّ العلامة اذا أخذ من الکشّی أو النّجاشی أو فهرس الشیخ أو رجاله أو الغضائری لا یذکر المستند، بل یعبّر بعین عبائرهم. نعم فیما إذا نقل عن غیبة الشیخ أو عن رجال ابن عقدة أو رجال العقیقی فیما وجد من کتابیهما، یصرّح بالمستند.</w:t>
      </w:r>
    </w:p>
    <w:p>
      <w:pPr>
        <w:pStyle w:val="BookText"/>
      </w:pPr>
      <w:r>
        <w:rPr>
          <w:rFonts w:ascii="IRNazanin" w:hAnsi="IRNazanin" w:eastAsia="IRNazanin" w:cs="IRNazanin"/>
          <w:lang w:bidi="fa-IR"/>
          <w:color w:val="111111"/>
          <w:sz w:val="28"/>
          <w:szCs w:val="28"/>
          <w:rtl/>
        </w:rPr>
        <w:t xml:space="preserve">کما أنّه إذا کان أصحاب الرجال الخمسة مختلفین فی رجل، یصرّح بأسمائهم، و حینئذ فان قال فی عنوان شیئا و سکت عن مستنده، یستکشف أنّه مذکور فی الکتب الخمسة و لو لم نقف علیه فی نسختنا.</w:t>
      </w:r>
    </w:p>
    <w:p>
      <w:pPr>
        <w:pStyle w:val="BookText"/>
      </w:pPr>
      <w:r>
        <w:rPr>
          <w:rFonts w:ascii="IRNazanin" w:hAnsi="IRNazanin" w:eastAsia="IRNazanin" w:cs="IRNazanin"/>
          <w:lang w:bidi="fa-IR"/>
          <w:color w:val="111111"/>
          <w:sz w:val="28"/>
          <w:szCs w:val="28"/>
          <w:rtl/>
        </w:rPr>
        <w:t xml:space="preserve">و أمّا ابن داود فیلتزم بذکر جمیع من أخذ عنه، فلو لم یذکر المستند، علم أنّه سقط من نسختنا رمزه، إلاّ ما کان مشتبها عنده فلا یرمزه.</w:t>
      </w:r>
    </w:p>
    <w:p>
      <w:pPr>
        <w:pStyle w:val="BookText"/>
      </w:pPr>
      <w:r>
        <w:rPr>
          <w:rFonts w:ascii="IRNazanin" w:hAnsi="IRNazanin" w:eastAsia="IRNazanin" w:cs="IRNazanin"/>
          <w:lang w:bidi="fa-IR"/>
          <w:color w:val="111111"/>
          <w:sz w:val="28"/>
          <w:szCs w:val="28"/>
          <w:rtl/>
        </w:rPr>
        <w:t xml:space="preserve">4 - إنّ العلاّمة یقتصر علی الممدوحین فی الأوّل، بخلاف ابن داود، فإنّه یذکر فیه المهملین أیضا، و المراد من المهمل من عنونه الأصحاب و لم یضعّفوه.</w:t>
      </w:r>
    </w:p>
    <w:p>
      <w:pPr>
        <w:pStyle w:val="BookText"/>
      </w:pPr>
      <w:r>
        <w:rPr>
          <w:rFonts w:ascii="IRNazanin" w:hAnsi="IRNazanin" w:eastAsia="IRNazanin" w:cs="IRNazanin"/>
          <w:lang w:bidi="fa-IR"/>
          <w:color w:val="111111"/>
          <w:sz w:val="28"/>
          <w:szCs w:val="28"/>
          <w:rtl/>
        </w:rPr>
        <w:t xml:space="preserve">قال ابن داود: «و الجزء الأوّل من الکتاب فی ذکر الممدوحین و من لم یضعّفهم الأصحاب، و المفهوم منه أنّه یعمل بخبر رواته مهملون، لم یذکروا بمدح و لا قدح، کما یعمل بخبر رواته ممدوحون. نعم هو و إن استقصی الممدوحین، لکنّه لم یستقص المهملین.</w:t>
      </w:r>
    </w:p>
    <w:p>
      <w:pPr>
        <w:pStyle w:val="BookText"/>
      </w:pPr>
      <w:r>
        <w:rPr>
          <w:rFonts w:ascii="IRNazanin" w:hAnsi="IRNazanin" w:eastAsia="IRNazanin" w:cs="IRNazanin"/>
          <w:lang w:bidi="fa-IR"/>
          <w:color w:val="111111"/>
          <w:sz w:val="28"/>
          <w:szCs w:val="28"/>
          <w:rtl/>
        </w:rPr>
        <w:t xml:space="preserve">[شماره صفحه واقعی : 121]
</w:t>
      </w:r>
    </w:p>
    <w:p>
      <w:pPr>
        <w:sectPr>
          <w:footerReference w:type="default" r:id="rId1777"/>
          <w:footnotePr>
            <w:numStart w:val="1"/>
            <w:numRestart w:val="eachPage"/>
          </w:footnotePr>
          <w:pgSz w:orient="portrait" w:w="11905.511811023622" w:h="16837.79527559055"/>
          <w:pgMar w:top="1440" w:right="1440" w:bottom="1440" w:left="1440" w:header="720" w:footer="720" w:gutter="0"/>
          <w:cols w:num="1" w:space="720"/>
        </w:sectPr>
      </w:pPr>
    </w:p>
    <w:bookmarkStart w:id="938" w:name="pg14411_144159"/>
    <w:bookmarkEnd w:id="938"/>
    <w:p>
      <w:pPr>
        <w:pStyle w:val="BookText"/>
      </w:pPr>
      <w:r>
        <w:rPr>
          <w:rFonts w:ascii="IRNazanin" w:hAnsi="IRNazanin" w:eastAsia="IRNazanin" w:cs="IRNazanin"/>
          <w:lang w:bidi="fa-IR"/>
          <w:color w:val="111111"/>
          <w:sz w:val="28"/>
          <w:szCs w:val="28"/>
          <w:rtl/>
        </w:rPr>
        <w:t xml:space="preserve">هذه هی الفروق الجوهریّة بین الرجالین.</w:t>
      </w:r>
    </w:p>
    <w:p>
      <w:pPr>
        <w:pStyle w:val="Heading6"/>
      </w:pPr>
      <w:bookmarkStart w:id="2788" w:name="_Toc1823"/>
      <w:r>
        <w:t>المجهول فی مصطلح العلاّمة و ابن داود</w:t>
      </w:r>
      <w:bookmarkEnd w:id="2788"/>
    </w:p>
    <w:p>
      <w:pPr>
        <w:pStyle w:val="BookText"/>
      </w:pPr>
      <w:r>
        <w:rPr>
          <w:rFonts w:ascii="IRNazanin" w:hAnsi="IRNazanin" w:eastAsia="IRNazanin" w:cs="IRNazanin"/>
          <w:lang w:bidi="fa-IR"/>
          <w:color w:val="111111"/>
          <w:sz w:val="28"/>
          <w:szCs w:val="28"/>
          <w:rtl/>
        </w:rPr>
        <w:t xml:space="preserve">إن هناک فرقا بین مصطلح العلاّمة و ابن داود، و مصطلح المتأخّرین فی لفظ المجهول. فالمجهول فی کلامهما غیر المهمل الذی عنونه الرجالیّون و لم یضعّفوه، بل المراد منه من صرّح أئمّة الرجال فیه بالمجهولیّة، و هو أحد ألفاظ الجرح، و لذا لم یعنوناه إلاّ فی الجزء الثّانی من کتابیهما، المعدّ للمجروحین، و قد عقد ابن داود لهم فصلا فی آخر الجزء الثانی من کتابه، کما عقد فصلا لکلّ من المجروحین من العامّة و الزیدیّة و الواقفیة و غیرهم.</w:t>
      </w:r>
    </w:p>
    <w:p>
      <w:pPr>
        <w:pStyle w:val="BookText"/>
      </w:pPr>
      <w:r>
        <w:rPr>
          <w:rFonts w:ascii="IRNazanin" w:hAnsi="IRNazanin" w:eastAsia="IRNazanin" w:cs="IRNazanin"/>
          <w:lang w:bidi="fa-IR"/>
          <w:color w:val="111111"/>
          <w:sz w:val="28"/>
          <w:szCs w:val="28"/>
          <w:rtl/>
        </w:rPr>
        <w:t xml:space="preserve">لکنّ المجهول فی کلام المتأخّرین، من الشهید الثانی و المجلسی و المامقانی، أعمّ منه و من المهمل الّذی لم یذکر فیه مدح و لا قدح.</w:t>
      </w:r>
    </w:p>
    <w:p>
      <w:pPr>
        <w:pStyle w:val="BookText"/>
      </w:pPr>
      <w:r>
        <w:rPr>
          <w:rFonts w:ascii="IRNazanin" w:hAnsi="IRNazanin" w:eastAsia="IRNazanin" w:cs="IRNazanin"/>
          <w:lang w:bidi="fa-IR"/>
          <w:color w:val="111111"/>
          <w:sz w:val="28"/>
          <w:szCs w:val="28"/>
          <w:rtl/>
        </w:rPr>
        <w:t xml:space="preserve">و قد عرفت أنّ العلاّمة لا یعنون المهمل أصلا، و ابن داود یعنونه فی الجزء الأوّل کالممدوح، و کان القدماء یعملون بالمهمل کالممدوح، و یردّون المجهول و قد تفطّن بذلک ابن داود</w:t>
      </w:r>
      <w:r>
        <w:rPr>
          <w:rStyle w:val="FootnoteReference"/>
        </w:rPr>
        <w:footnoteReference w:id="51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فهذه الکتب الأربعة، هی الاصول الثانویّة لعلم الرجال. الّف الأوّل و الثّانی منهما فی القرن السادس، کما الّف الثّالث و الرابع فی القرن السابع، و العجب أنّ المؤلّفین متعاصرون و متماثلو التنسیق و المنهج کما عرفت.</w:t>
      </w:r>
    </w:p>
    <w:p>
      <w:pPr>
        <w:pStyle w:val="BookText"/>
      </w:pPr>
      <w:r>
        <w:rPr>
          <w:rFonts w:ascii="IRNazanin" w:hAnsi="IRNazanin" w:eastAsia="IRNazanin" w:cs="IRNazanin"/>
          <w:lang w:bidi="fa-IR"/>
          <w:color w:val="111111"/>
          <w:sz w:val="28"/>
          <w:szCs w:val="28"/>
          <w:rtl/>
        </w:rPr>
        <w:t xml:space="preserve">و قد ترجم ابن داود العلاّمة فی رجاله، و لم یترجمه العلاّمة فی الخلاصة، و إنّ ذا ممّا یقضی منه العجب.</w:t>
      </w:r>
    </w:p>
    <w:p>
      <w:pPr>
        <w:pStyle w:val="BookText"/>
      </w:pPr>
      <w:r>
        <w:rPr>
          <w:rFonts w:ascii="IRNazanin" w:hAnsi="IRNazanin" w:eastAsia="IRNazanin" w:cs="IRNazanin"/>
          <w:lang w:bidi="fa-IR"/>
          <w:color w:val="111111"/>
          <w:sz w:val="28"/>
          <w:szCs w:val="28"/>
          <w:rtl/>
        </w:rPr>
        <w:t xml:space="preserve">هذه هی اصول الکتب الرجالیّة أولیّتها و ثانویّتها، و هناک کتب اخری لم تطبع و لم تنشر و لم تتداولها الأیدی، و لأجل ذلک لم نذکر عنها شیئا و من أراد الوقوف علیها فلیرجع إلی کتاب «مصفّی المقال فی مؤلّفی الرجال» للعلاّمة</w:t>
      </w:r>
    </w:p>
    <w:p>
      <w:pPr>
        <w:pStyle w:val="BookText"/>
      </w:pPr>
      <w:r>
        <w:rPr>
          <w:rFonts w:ascii="IRNazanin" w:hAnsi="IRNazanin" w:eastAsia="IRNazanin" w:cs="IRNazanin"/>
          <w:lang w:bidi="fa-IR"/>
          <w:color w:val="111111"/>
          <w:sz w:val="28"/>
          <w:szCs w:val="28"/>
          <w:rtl/>
        </w:rPr>
        <w:t xml:space="preserve">[شماره صفحه واقعی : 122]
</w:t>
      </w:r>
    </w:p>
    <w:p>
      <w:pPr>
        <w:sectPr>
          <w:footerReference w:type="default" r:id="rId17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المتتبّع الطهرانی - رحمه اللّه -.</w:t>
      </w:r>
    </w:p>
    <w:p>
      <w:pPr>
        <w:pStyle w:val="BookText"/>
      </w:pPr>
      <w:r>
        <w:rPr>
          <w:rFonts w:ascii="IRNazanin" w:hAnsi="IRNazanin" w:eastAsia="IRNazanin" w:cs="IRNazanin"/>
          <w:lang w:bidi="fa-IR"/>
          <w:color w:val="111111"/>
          <w:sz w:val="28"/>
          <w:szCs w:val="28"/>
          <w:rtl/>
        </w:rPr>
        <w:t xml:space="preserve">و هذه هی الاصول الأوّلیّة الثمانیة و الثانویّة الأربعة لعلم الرجال، و أمّا الجوامع الرجالیة فسیوافیک ذکرها عن قریب.</w:t>
      </w:r>
    </w:p>
    <w:p>
      <w:pPr>
        <w:pStyle w:val="BookText"/>
      </w:pPr>
      <w:r>
        <w:rPr>
          <w:rFonts w:ascii="IRNazanin" w:hAnsi="IRNazanin" w:eastAsia="IRNazanin" w:cs="IRNazanin"/>
          <w:lang w:bidi="fa-IR"/>
          <w:color w:val="111111"/>
          <w:sz w:val="28"/>
          <w:szCs w:val="28"/>
          <w:rtl/>
        </w:rPr>
        <w:t xml:space="preserve">[شماره صفحه واقعی : 123]
</w:t>
      </w:r>
    </w:p>
    <w:p>
      <w:pPr>
        <w:sectPr>
          <w:footerReference w:type="default" r:id="rId17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124]
</w:t>
      </w:r>
    </w:p>
    <w:p>
      <w:pPr>
        <w:sectPr>
          <w:footerReference w:type="default" r:id="rId1780"/>
          <w:footnotePr>
            <w:numStart w:val="1"/>
            <w:numRestart w:val="eachPage"/>
          </w:footnotePr>
          <w:pgSz w:orient="portrait" w:w="11905.511811023622" w:h="16837.79527559055"/>
          <w:pgMar w:top="1440" w:right="1440" w:bottom="1440" w:left="1440" w:header="720" w:footer="720" w:gutter="0"/>
          <w:cols w:num="1" w:space="720"/>
        </w:sectPr>
      </w:pPr>
    </w:p>
    <w:bookmarkStart w:id="939" w:name="pg14411_144162"/>
    <w:bookmarkEnd w:id="939"/>
    <w:p>
      <w:pPr>
        <w:pStyle w:val="Heading5"/>
      </w:pPr>
      <w:bookmarkStart w:id="2789" w:name="_Toc1824"/>
      <w:r>
        <w:t>2 - الجوامع الرجالیة فی العصور المتأخرة</w:t>
      </w:r>
      <w:bookmarkEnd w:id="2789"/>
    </w:p>
    <w:p>
      <w:pPr>
        <w:pStyle w:val="Heading6"/>
      </w:pPr>
      <w:bookmarkStart w:id="2790" w:name="_Toc1825"/>
      <w:r>
        <w:t>اشارة</w:t>
      </w:r>
      <w:bookmarkEnd w:id="279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مجمع الرجال.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منهج المقال.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جامع الرواة.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نقد الرجال.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منتهی المقال.</w:t>
      </w:r>
    </w:p>
    <w:p>
      <w:pPr>
        <w:pStyle w:val="BookText"/>
      </w:pPr>
      <w:r>
        <w:rPr>
          <w:rFonts w:ascii="IRNazanin" w:hAnsi="IRNazanin" w:eastAsia="IRNazanin" w:cs="IRNazanin"/>
          <w:lang w:bidi="fa-IR"/>
          <w:color w:val="111111"/>
          <w:sz w:val="28"/>
          <w:szCs w:val="28"/>
          <w:rtl/>
        </w:rPr>
        <w:t xml:space="preserve">[شماره صفحه واقعی : 125]
</w:t>
      </w:r>
    </w:p>
    <w:p>
      <w:pPr>
        <w:sectPr>
          <w:footerReference w:type="default" r:id="rId17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126]
</w:t>
      </w:r>
    </w:p>
    <w:p>
      <w:pPr>
        <w:sectPr>
          <w:footerReference w:type="default" r:id="rId1782"/>
          <w:footnotePr>
            <w:numStart w:val="1"/>
            <w:numRestart w:val="eachPage"/>
          </w:footnotePr>
          <w:pgSz w:orient="portrait" w:w="11905.511811023622" w:h="16837.79527559055"/>
          <w:pgMar w:top="1440" w:right="1440" w:bottom="1440" w:left="1440" w:header="720" w:footer="720" w:gutter="0"/>
          <w:cols w:num="1" w:space="720"/>
        </w:sectPr>
      </w:pPr>
    </w:p>
    <w:bookmarkStart w:id="940" w:name="pg14411_144164"/>
    <w:bookmarkEnd w:id="940"/>
    <w:p>
      <w:pPr>
        <w:pStyle w:val="BookText"/>
      </w:pPr>
      <w:r>
        <w:rPr>
          <w:rFonts w:ascii="IRNazanin" w:hAnsi="IRNazanin" w:eastAsia="IRNazanin" w:cs="IRNazanin"/>
          <w:lang w:bidi="fa-IR"/>
          <w:color w:val="111111"/>
          <w:sz w:val="28"/>
          <w:szCs w:val="28"/>
          <w:rtl/>
        </w:rPr>
        <w:t xml:space="preserve">قد وقفت علی الاصول الرجالیّة، و هناک جوامع رجالیّة مطبوعة و منتشرة یجب علی القاریء الکریم التعرّف بها، و هذه الجوامع الّفت فی أواخر القرن العاشر إلی اواخر القرن الثانی عشر، تلقّاها العلماء بالقبول و رکنوا إلیها و لا بدّ من التعرّف علیها.</w:t>
      </w:r>
    </w:p>
    <w:p>
      <w:pPr>
        <w:pStyle w:val="Heading6"/>
      </w:pPr>
      <w:bookmarkStart w:id="2791" w:name="_Toc1826"/>
      <w:r>
        <w:t>1 - مجمع الرجال</w:t>
      </w:r>
      <w:bookmarkEnd w:id="2791"/>
    </w:p>
    <w:p>
      <w:pPr>
        <w:pStyle w:val="BookText"/>
      </w:pPr>
      <w:r>
        <w:rPr>
          <w:rFonts w:ascii="IRNazanin" w:hAnsi="IRNazanin" w:eastAsia="IRNazanin" w:cs="IRNazanin"/>
          <w:lang w:bidi="fa-IR"/>
          <w:color w:val="111111"/>
          <w:sz w:val="28"/>
          <w:szCs w:val="28"/>
          <w:rtl/>
        </w:rPr>
        <w:t xml:space="preserve">تألیف زکی الدین عنایة اللّه القهبائی، من تلامیذ المقدّس الأردبیلی (المتوفّی سنة 993). و المولی عبد اللّه التستری (المتوفّی عام 1021) و الشیخ البهائی (المتوفّی سنة 1031). جمع فی ذلک الکتاب تمام ما فی الاصول الرجالیّة الأوّلیة، حتّی أدخل فیه کتاب الضعفاء للغضائری و قد طبع الکتاب فی عدة أجزاء.</w:t>
      </w:r>
    </w:p>
    <w:p>
      <w:pPr>
        <w:pStyle w:val="Heading6"/>
      </w:pPr>
      <w:bookmarkStart w:id="2792" w:name="_Toc1827"/>
      <w:r>
        <w:t>2 - منهج المقال</w:t>
      </w:r>
      <w:bookmarkEnd w:id="2792"/>
    </w:p>
    <w:p>
      <w:pPr>
        <w:pStyle w:val="BookText"/>
      </w:pPr>
      <w:r>
        <w:rPr>
          <w:rFonts w:ascii="IRNazanin" w:hAnsi="IRNazanin" w:eastAsia="IRNazanin" w:cs="IRNazanin"/>
          <w:lang w:bidi="fa-IR"/>
          <w:color w:val="111111"/>
          <w:sz w:val="28"/>
          <w:szCs w:val="28"/>
          <w:rtl/>
        </w:rPr>
        <w:t xml:space="preserve">تألیف السیّد المیرزا محمّد بن علی بن ابراهیم الاسترآبادی (المتوفّی (1) قاموس الرجال: ج 1 الصفحة 31.</w:t>
      </w:r>
    </w:p>
    <w:p>
      <w:pPr>
        <w:pStyle w:val="BookText"/>
      </w:pPr>
      <w:r>
        <w:rPr>
          <w:rFonts w:ascii="IRNazanin" w:hAnsi="IRNazanin" w:eastAsia="IRNazanin" w:cs="IRNazanin"/>
          <w:lang w:bidi="fa-IR"/>
          <w:color w:val="111111"/>
          <w:sz w:val="28"/>
          <w:szCs w:val="28"/>
          <w:rtl/>
        </w:rPr>
        <w:t xml:space="preserve">[شماره صفحه واقعی : 127]
</w:t>
      </w:r>
    </w:p>
    <w:p>
      <w:pPr>
        <w:sectPr>
          <w:footerReference w:type="default" r:id="rId1783"/>
          <w:footnotePr>
            <w:numStart w:val="1"/>
            <w:numRestart w:val="eachPage"/>
          </w:footnotePr>
          <w:pgSz w:orient="portrait" w:w="11905.511811023622" w:h="16837.79527559055"/>
          <w:pgMar w:top="1440" w:right="1440" w:bottom="1440" w:left="1440" w:header="720" w:footer="720" w:gutter="0"/>
          <w:cols w:num="1" w:space="720"/>
        </w:sectPr>
      </w:pPr>
    </w:p>
    <w:bookmarkStart w:id="941" w:name="pg14411_144165"/>
    <w:bookmarkEnd w:id="941"/>
    <w:p>
      <w:pPr>
        <w:pStyle w:val="BookText"/>
      </w:pPr>
      <w:r>
        <w:rPr>
          <w:rFonts w:ascii="IRNazanin" w:hAnsi="IRNazanin" w:eastAsia="IRNazanin" w:cs="IRNazanin"/>
          <w:lang w:bidi="fa-IR"/>
          <w:color w:val="111111"/>
          <w:sz w:val="28"/>
          <w:szCs w:val="28"/>
          <w:rtl/>
        </w:rPr>
        <w:t xml:space="preserve">سنة 1028) و هو استاذ المولی محمّد أمین الاسترآبادی صاحب «الفوائد المدنیة». له کتب ثلاثة فی الرجال: الکبیر و أسماه «منهج المقال».</w:t>
      </w:r>
    </w:p>
    <w:p>
      <w:pPr>
        <w:pStyle w:val="BookText"/>
      </w:pPr>
      <w:r>
        <w:rPr>
          <w:rFonts w:ascii="IRNazanin" w:hAnsi="IRNazanin" w:eastAsia="IRNazanin" w:cs="IRNazanin"/>
          <w:lang w:bidi="fa-IR"/>
          <w:color w:val="111111"/>
          <w:sz w:val="28"/>
          <w:szCs w:val="28"/>
          <w:rtl/>
        </w:rPr>
        <w:t xml:space="preserve">و الوسیط، الّذی ربما یسمّی ب «تلخیص المقال» أو «تلخیص الأقوال»، و الصغیر الموسوم ب «الوجیز». و الأوّل مطبوع، و الثّانی مخطوط و لکن نسخه شائعة، و الثالث توجد نسخة منه فی الخزانة الرضویّة کما جاء فی فهرسها.</w:t>
      </w:r>
    </w:p>
    <w:p>
      <w:pPr>
        <w:pStyle w:val="Heading6"/>
      </w:pPr>
      <w:bookmarkStart w:id="2793" w:name="_Toc1828"/>
      <w:r>
        <w:t>3 - جامع الرواة</w:t>
      </w:r>
      <w:bookmarkEnd w:id="2793"/>
    </w:p>
    <w:p>
      <w:pPr>
        <w:pStyle w:val="BookText"/>
      </w:pPr>
      <w:r>
        <w:rPr>
          <w:rFonts w:ascii="IRNazanin" w:hAnsi="IRNazanin" w:eastAsia="IRNazanin" w:cs="IRNazanin"/>
          <w:lang w:bidi="fa-IR"/>
          <w:color w:val="111111"/>
          <w:sz w:val="28"/>
          <w:szCs w:val="28"/>
          <w:rtl/>
        </w:rPr>
        <w:t xml:space="preserve">تألیف الشیخ محمّد بن علی الأردبیلی. صرف عمره فی جمعه ما یقرب من عشرین سنة، و ابتکر قواعد رجالیّة صار ببرکتها کثیر من الأخبار الّتی کانت مجهولة أو ضعیفة أو مرسلة، معلومة الحال، صحیحة مسندة، و طبع الکتاب فی مجلّدین، و قدّم له الإمام المغفور له الاستاذ الحاج آقا حسین البروجردی - قدس اللّه سره - مقدّمة و له أیضا «تصحیح الأسانید» الّذی أدرجه شیخنا النوری بجمیعه أو ملخّصه فی الفائدة الخامسة من فوائد خاتمة المستدرک.</w:t>
      </w:r>
    </w:p>
    <w:p>
      <w:pPr>
        <w:pStyle w:val="BookText"/>
      </w:pPr>
      <w:r>
        <w:rPr>
          <w:rFonts w:ascii="IRNazanin" w:hAnsi="IRNazanin" w:eastAsia="IRNazanin" w:cs="IRNazanin"/>
          <w:lang w:bidi="fa-IR"/>
          <w:color w:val="111111"/>
          <w:sz w:val="28"/>
          <w:szCs w:val="28"/>
          <w:rtl/>
        </w:rPr>
        <w:t xml:space="preserve">و من مزایا هذا الکتاب أنّه جمع رواة الکتب الأربعة، و ذکر فی کل راو ترجمة من رووا عنه و من روی عنهم، و عیّن مقدار روایاتهم و رفع بذلک، النّقص الموجود فی کتب الرجال.</w:t>
      </w:r>
    </w:p>
    <w:p>
      <w:pPr>
        <w:pStyle w:val="BookText"/>
      </w:pPr>
      <w:r>
        <w:rPr>
          <w:rFonts w:ascii="IRNazanin" w:hAnsi="IRNazanin" w:eastAsia="IRNazanin" w:cs="IRNazanin"/>
          <w:lang w:bidi="fa-IR"/>
          <w:color w:val="111111"/>
          <w:sz w:val="28"/>
          <w:szCs w:val="28"/>
          <w:rtl/>
        </w:rPr>
        <w:t xml:space="preserve">قال فی مقدّمته: «سنح بخاطره (یعنی نفسه) الفاتر - بتفضّله غیر المتناهی - أنّه یمکن استعلام أحوال الرواة المطلقة الذکر، من الراوی و المرویّ عنه بحیث لا یبقی اشتباه و غموض، و علماء الرجال - رضوان اللّه علیهم - لم یذکروا و لم یضبطوا جمیع الرواة، بل ذکروا فی بعض المواضع تحت بعض الأسماء بعنوان أنّه روی عنه جماعة، منهم فلان و فلان، و لم یکن هذا کافیا فی حصول المطلوب - إلی أن قال: صار متوکّلا علی ربّ الأرباب، منتظما علی التدریج راوی کلّ واحد من الرواة فی سلک التّحریر، حتّی إنّه رأی الکتب الأربعة المشهورة، و الفهرس للشّیخ - رحمه اللّه تعالی - و الفهرس</w:t>
      </w:r>
    </w:p>
    <w:p>
      <w:pPr>
        <w:pStyle w:val="BookText"/>
      </w:pPr>
      <w:r>
        <w:rPr>
          <w:rFonts w:ascii="IRNazanin" w:hAnsi="IRNazanin" w:eastAsia="IRNazanin" w:cs="IRNazanin"/>
          <w:lang w:bidi="fa-IR"/>
          <w:color w:val="111111"/>
          <w:sz w:val="28"/>
          <w:szCs w:val="28"/>
          <w:rtl/>
        </w:rPr>
        <w:t xml:space="preserve">[شماره صفحه واقعی : 128]
</w:t>
      </w:r>
    </w:p>
    <w:p>
      <w:pPr>
        <w:sectPr>
          <w:footerReference w:type="default" r:id="rId1784"/>
          <w:footnotePr>
            <w:numStart w:val="1"/>
            <w:numRestart w:val="eachPage"/>
          </w:footnotePr>
          <w:pgSz w:orient="portrait" w:w="11905.511811023622" w:h="16837.79527559055"/>
          <w:pgMar w:top="1440" w:right="1440" w:bottom="1440" w:left="1440" w:header="720" w:footer="720" w:gutter="0"/>
          <w:cols w:num="1" w:space="720"/>
        </w:sectPr>
      </w:pPr>
    </w:p>
    <w:bookmarkStart w:id="942" w:name="pg14411_144166"/>
    <w:bookmarkEnd w:id="942"/>
    <w:p>
      <w:pPr>
        <w:pStyle w:val="BookText"/>
      </w:pPr>
      <w:r>
        <w:rPr>
          <w:rFonts w:ascii="IRNazanin" w:hAnsi="IRNazanin" w:eastAsia="IRNazanin" w:cs="IRNazanin"/>
          <w:lang w:bidi="fa-IR"/>
          <w:color w:val="111111"/>
          <w:sz w:val="28"/>
          <w:szCs w:val="28"/>
          <w:rtl/>
        </w:rPr>
        <w:t xml:space="preserve">للشیخ منتجب الدین... و مشیخة الفقیه و التهذیب و الاستبصار، و کتب جمیع الرواة الّذین کانوا فیها، و رأی أیضا کثیرا من الرواة رووا عن المعصوم، و لم یذکر علماء الرّجال روایتهم عنه علیه السلام، و البعض الذین عدّوه من رجال الصادق، رأی روایته عن الکاظم - علیه السلام - مثلا، و الّذین ذکروا ممّن لم یرو عنهم - علیهم السلام - رأی أنّه روی عنهم - علیهم السلام - إلی أن قال:</w:t>
      </w:r>
    </w:p>
    <w:p>
      <w:pPr>
        <w:pStyle w:val="BookText"/>
      </w:pPr>
      <w:r>
        <w:rPr>
          <w:rFonts w:ascii="IRNazanin" w:hAnsi="IRNazanin" w:eastAsia="IRNazanin" w:cs="IRNazanin"/>
          <w:lang w:bidi="fa-IR"/>
          <w:color w:val="111111"/>
          <w:sz w:val="28"/>
          <w:szCs w:val="28"/>
          <w:rtl/>
        </w:rPr>
        <w:t xml:space="preserve">إنّ بعض الرّواة الّذین وثّقوه و لم ینقلوا أنّه روی عن المعصوم - علیه السلام - و رأی أنّه روی عنه - علیه السلام - ضبطه أیضا، حتّی تظهر فائدته فی حال نقل الحدیث مضمرا - إلی أن قال: (و من فوائد هذا الکتاب) أنّه بعد التعرّف علی الرّاوی و المرویّ عنه، لو وقع فی بعض الکتب اشتباه فی عدم ثبت الرّاوی فی موقعه یعلم أنّه غلط و واقع غیر موقعه.</w:t>
      </w:r>
    </w:p>
    <w:p>
      <w:pPr>
        <w:pStyle w:val="BookText"/>
      </w:pPr>
      <w:r>
        <w:rPr>
          <w:rFonts w:ascii="IRNazanin" w:hAnsi="IRNazanin" w:eastAsia="IRNazanin" w:cs="IRNazanin"/>
          <w:lang w:bidi="fa-IR"/>
          <w:color w:val="111111"/>
          <w:sz w:val="28"/>
          <w:szCs w:val="28"/>
          <w:rtl/>
        </w:rPr>
        <w:t xml:space="preserve">(و من فوائده أیضا) أنّ روایة جمع کثیر من الثّقات و غیرهم عن شخص واحد تفید أنّه کان حسن الحال أو کان من مشایخ الإجازة»</w:t>
      </w:r>
      <w:r>
        <w:rPr>
          <w:rStyle w:val="FootnoteReference"/>
        </w:rPr>
        <w:footnoteReference w:id="51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الحقّ أنّ الرجل مبتکر فی فنّه، مبدع فی عمله، کشف بعمله هذا السّتر عن کثیر من المبهمات، و مع أنّه تحمّل فی تألیف هذا الکتاب طیلة عشرین سنة، جهودا جبّارة، بحیث میّز التلمیذ عن الشیخ، و الراوی عن المرویّ عنه، و لکن لم یجعل کتابه علی أساس الطّبقات حتّی یقسّم الرواة إلی طبقة و طبقة، و یعیّن طبقة الرّاوی و من روی هو عنه، أو رووا عنه، مع أنّه کان یمکنه القیام بهذا العمل فی ثنایا عمله بسبر جمیع الکتب و المسانید بإمعان ودقّة.</w:t>
      </w:r>
    </w:p>
    <w:p>
      <w:pPr>
        <w:pStyle w:val="Heading6"/>
      </w:pPr>
      <w:bookmarkStart w:id="2794" w:name="_Toc1829"/>
      <w:r>
        <w:t>4 - نقد الرجال</w:t>
      </w:r>
      <w:bookmarkEnd w:id="2794"/>
    </w:p>
    <w:p>
      <w:pPr>
        <w:pStyle w:val="BookText"/>
      </w:pPr>
      <w:r>
        <w:rPr>
          <w:rFonts w:ascii="IRNazanin" w:hAnsi="IRNazanin" w:eastAsia="IRNazanin" w:cs="IRNazanin"/>
          <w:lang w:bidi="fa-IR"/>
          <w:color w:val="111111"/>
          <w:sz w:val="28"/>
          <w:szCs w:val="28"/>
          <w:rtl/>
        </w:rPr>
        <w:t xml:space="preserve">تألیف السیّد مصطفی التّفریشی ألّفه عام 1015، و هو من تلامیذ المولی عبد اللّه التستری و قد طبع فی مجلّد.</w:t>
      </w:r>
    </w:p>
    <w:p>
      <w:pPr>
        <w:pStyle w:val="BookText"/>
      </w:pPr>
      <w:r>
        <w:rPr>
          <w:rFonts w:ascii="IRNazanin" w:hAnsi="IRNazanin" w:eastAsia="IRNazanin" w:cs="IRNazanin"/>
          <w:lang w:bidi="fa-IR"/>
          <w:color w:val="111111"/>
          <w:sz w:val="28"/>
          <w:szCs w:val="28"/>
          <w:rtl/>
        </w:rPr>
        <w:t xml:space="preserve">[شماره صفحه واقعی : 129]
</w:t>
      </w:r>
    </w:p>
    <w:p>
      <w:pPr>
        <w:sectPr>
          <w:footerReference w:type="default" r:id="rId1785"/>
          <w:footnotePr>
            <w:numStart w:val="1"/>
            <w:numRestart w:val="eachPage"/>
          </w:footnotePr>
          <w:pgSz w:orient="portrait" w:w="11905.511811023622" w:h="16837.79527559055"/>
          <w:pgMar w:top="1440" w:right="1440" w:bottom="1440" w:left="1440" w:header="720" w:footer="720" w:gutter="0"/>
          <w:cols w:num="1" w:space="720"/>
        </w:sectPr>
      </w:pPr>
    </w:p>
    <w:bookmarkStart w:id="943" w:name="pg14411_144167"/>
    <w:bookmarkEnd w:id="943"/>
    <w:p>
      <w:pPr>
        <w:pStyle w:val="BookText"/>
      </w:pPr>
      <w:r>
        <w:rPr>
          <w:rFonts w:ascii="IRNazanin" w:hAnsi="IRNazanin" w:eastAsia="IRNazanin" w:cs="IRNazanin"/>
          <w:lang w:bidi="fa-IR"/>
          <w:color w:val="111111"/>
          <w:sz w:val="28"/>
          <w:szCs w:val="28"/>
          <w:rtl/>
        </w:rPr>
        <w:t xml:space="preserve">قال فی مقدّمته: «أردت أن أکتب کتابا یشتمل علی جمیع أسماء الرّجال من الممدوحین و المذمومین و المهملین، یخلو من تکرار و غلط، ینطوی علی حسن التّرتیب، یحتوی علی جمیع أقوال القوم - قدّس اللّه أرواحهم - من المدح و الذمّ إلاّ شاذا شدید الشّذوذ».</w:t>
      </w:r>
    </w:p>
    <w:p>
      <w:pPr>
        <w:pStyle w:val="Heading6"/>
      </w:pPr>
      <w:bookmarkStart w:id="2795" w:name="_Toc1830"/>
      <w:r>
        <w:t>5 - منتهی المقال فی أحوال الرجال</w:t>
      </w:r>
      <w:bookmarkEnd w:id="2795"/>
    </w:p>
    <w:p>
      <w:pPr>
        <w:pStyle w:val="BookText"/>
      </w:pPr>
      <w:r>
        <w:rPr>
          <w:rFonts w:ascii="IRNazanin" w:hAnsi="IRNazanin" w:eastAsia="IRNazanin" w:cs="IRNazanin"/>
          <w:lang w:bidi="fa-IR"/>
          <w:color w:val="111111"/>
          <w:sz w:val="28"/>
          <w:szCs w:val="28"/>
          <w:rtl/>
        </w:rPr>
        <w:t xml:space="preserve">المعروف برجال أبی علی الحائری، تألیف الشیخ أبی علی محمّد بن اسماعیل الحائری (المولود عام 1159 ه، و المتوفّی عام 1215 أو 1216 فی النجف الأشرف).</w:t>
      </w:r>
    </w:p>
    <w:p>
      <w:pPr>
        <w:pStyle w:val="BookText"/>
      </w:pPr>
      <w:r>
        <w:rPr>
          <w:rFonts w:ascii="IRNazanin" w:hAnsi="IRNazanin" w:eastAsia="IRNazanin" w:cs="IRNazanin"/>
          <w:lang w:bidi="fa-IR"/>
          <w:color w:val="111111"/>
          <w:sz w:val="28"/>
          <w:szCs w:val="28"/>
          <w:rtl/>
        </w:rPr>
        <w:t xml:space="preserve">ابتدء فی کلّ ترجمة بکلام المیرزا فی الرجال الکبیر، ثمّ بما ذکره الوحید فی التعلیقة علیه، ثمّ بکلمات اخری، و قد شرح نمط بحثه فی أوّل الکتاب، و ترک ذکر جماعة بزعم أنّهم من المجاهیل و عدم الفائدة فی ذکرهم، و لکنّهم لیسوا بمجاهیل، بل أکثرهم مهملون فی الرجال، و قد عرفت الفرق بین المجهول و المهمل.</w:t>
      </w:r>
    </w:p>
    <w:p>
      <w:pPr>
        <w:pStyle w:val="BookText"/>
      </w:pPr>
      <w:r>
        <w:rPr>
          <w:rFonts w:ascii="IRNazanin" w:hAnsi="IRNazanin" w:eastAsia="IRNazanin" w:cs="IRNazanin"/>
          <w:lang w:bidi="fa-IR"/>
          <w:color w:val="111111"/>
          <w:sz w:val="28"/>
          <w:szCs w:val="28"/>
          <w:rtl/>
        </w:rPr>
        <w:t xml:space="preserve">و هذه الکتب الخمسة کلها الّفت بین أواخر القرن العاشر إلی أواخر القرن الثانی عشر، و قد اجتهد مؤلّفوها فی جمع القرائن علی وثاقة الراوی أو ضعفها، و اعتمدوا علی حدسیّات و تقریبات.</w:t>
      </w:r>
    </w:p>
    <w:p>
      <w:pPr>
        <w:pStyle w:val="BookText"/>
      </w:pPr>
      <w:r>
        <w:rPr>
          <w:rFonts w:ascii="IRNazanin" w:hAnsi="IRNazanin" w:eastAsia="IRNazanin" w:cs="IRNazanin"/>
          <w:lang w:bidi="fa-IR"/>
          <w:color w:val="111111"/>
          <w:sz w:val="28"/>
          <w:szCs w:val="28"/>
          <w:rtl/>
        </w:rPr>
        <w:t xml:space="preserve">هذه هی الجوامع الرجالیّة المؤلّفة فی القرون الماضیة، و هناک مؤلّفات اخری بین مطوّلات و مختصرات الّفت فی القرون الأخیرة و نحن نشیر إلی ما هو الدارج بین العلماء فی عصرنا هذا.</w:t>
      </w:r>
    </w:p>
    <w:p>
      <w:pPr>
        <w:pStyle w:val="BookText"/>
      </w:pPr>
      <w:r>
        <w:rPr>
          <w:rFonts w:ascii="IRNazanin" w:hAnsi="IRNazanin" w:eastAsia="IRNazanin" w:cs="IRNazanin"/>
          <w:lang w:bidi="fa-IR"/>
          <w:color w:val="111111"/>
          <w:sz w:val="28"/>
          <w:szCs w:val="28"/>
          <w:rtl/>
        </w:rPr>
        <w:t xml:space="preserve">[شماره صفحه واقعی : 130]
</w:t>
      </w:r>
    </w:p>
    <w:p>
      <w:pPr>
        <w:sectPr>
          <w:footerReference w:type="default" r:id="rId1786"/>
          <w:footnotePr>
            <w:numStart w:val="1"/>
            <w:numRestart w:val="eachPage"/>
          </w:footnotePr>
          <w:pgSz w:orient="portrait" w:w="11905.511811023622" w:h="16837.79527559055"/>
          <w:pgMar w:top="1440" w:right="1440" w:bottom="1440" w:left="1440" w:header="720" w:footer="720" w:gutter="0"/>
          <w:cols w:num="1" w:space="720"/>
        </w:sectPr>
      </w:pPr>
    </w:p>
    <w:bookmarkStart w:id="944" w:name="pg14411_144168"/>
    <w:bookmarkEnd w:id="944"/>
    <w:p>
      <w:pPr>
        <w:pStyle w:val="Heading5"/>
      </w:pPr>
      <w:bookmarkStart w:id="2796" w:name="_Toc1831"/>
      <w:r>
        <w:t>3 - الجوامع الرجالیة الدارجة علی منهج القدماء</w:t>
      </w:r>
      <w:bookmarkEnd w:id="2796"/>
    </w:p>
    <w:p>
      <w:pPr>
        <w:pStyle w:val="Heading6"/>
      </w:pPr>
      <w:bookmarkStart w:id="2797" w:name="_Toc1832"/>
      <w:r>
        <w:t>اشارة</w:t>
      </w:r>
      <w:bookmarkEnd w:id="279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بهجة الآمال.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تنقیح المقال.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قاموس الرجال.</w:t>
      </w:r>
    </w:p>
    <w:p>
      <w:pPr>
        <w:pStyle w:val="BookText"/>
      </w:pPr>
      <w:r>
        <w:rPr>
          <w:rFonts w:ascii="IRNazanin" w:hAnsi="IRNazanin" w:eastAsia="IRNazanin" w:cs="IRNazanin"/>
          <w:lang w:bidi="fa-IR"/>
          <w:color w:val="111111"/>
          <w:sz w:val="28"/>
          <w:szCs w:val="28"/>
          <w:rtl/>
        </w:rPr>
        <w:t xml:space="preserve">[شماره صفحه واقعی : 131]
</w:t>
      </w:r>
    </w:p>
    <w:p>
      <w:pPr>
        <w:sectPr>
          <w:footerReference w:type="default" r:id="rId17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132]
</w:t>
      </w:r>
    </w:p>
    <w:p>
      <w:pPr>
        <w:sectPr>
          <w:footerReference w:type="default" r:id="rId17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 وقفت علی الجوامع الرجالیّة المؤلّفة فی القرن الحادی عشر و الثّانی عشر، و هناک مؤلّفات رجالیّة الّفت فی أواخر القرن الثالث عشر و القرن الرابع عشر، و لکنّها علی صنفین: صنف تبع فی تألیفه خطّة الماضین فی نقل أقوال الرجالیّین السابقین و اللاّحقین، و جمع القرائن و الشّواهد علی وثاقة الرّاوی، و القضاء بین کلمات أهل الفنّ، إلی غیر ذلک من المزایا الّتی أوجبت تکامل فنّ الرجال من حیث الکمّیة، من دون إحداث کیفیّة جدیدة وراء خطّة السّابقین، و صنف آخر أحدث کیفیّة جدیدة فی فنّ الرّجال و أبدع اسلوبا خاصّا لما یهمّ المستنبط فی علم الرّجال. فإنّ الوقوف علی طبقة الرّاوی من حیث الرّوایة، و معرفة عصره و أساتیذه و تلامیذه، و مدی علمه و فضله، و کمّیة روایاته من حیث الکثرة و القلّة، و مقدار ضبطه للرّوایة، و إتقانه فی نقل الحدیث، من أهمّ الامور فی علم الحدیث و معرفة حال الراوی، و قد اهملت تلک النّاحیة فی اسلوب القدماء غالبا إلاّ علی وجه نادر.</w:t>
      </w:r>
    </w:p>
    <w:p>
      <w:pPr>
        <w:pStyle w:val="BookText"/>
      </w:pPr>
      <w:r>
        <w:rPr>
          <w:rFonts w:ascii="IRNazanin" w:hAnsi="IRNazanin" w:eastAsia="IRNazanin" w:cs="IRNazanin"/>
          <w:lang w:bidi="fa-IR"/>
          <w:color w:val="111111"/>
          <w:sz w:val="28"/>
          <w:szCs w:val="28"/>
          <w:rtl/>
        </w:rPr>
        <w:t xml:space="preserve">و هذا الاسلوب یباین خطّة الماضین فی العصور السابقة.</w:t>
      </w:r>
    </w:p>
    <w:p>
      <w:pPr>
        <w:pStyle w:val="BookText"/>
      </w:pPr>
      <w:r>
        <w:rPr>
          <w:rFonts w:ascii="IRNazanin" w:hAnsi="IRNazanin" w:eastAsia="IRNazanin" w:cs="IRNazanin"/>
          <w:lang w:bidi="fa-IR"/>
          <w:color w:val="111111"/>
          <w:sz w:val="28"/>
          <w:szCs w:val="28"/>
          <w:rtl/>
        </w:rPr>
        <w:t xml:space="preserve">و علی ذلک یجب علینا أن نعرف کلّ صنف بواقعه و نعطی کلّ ذی حقّ حقّه، و کلّ ذی فضل فضله، بلا تحیّز إلی فئة، و لا إنکار فضیلة لأحد.</w:t>
      </w:r>
    </w:p>
    <w:p>
      <w:pPr>
        <w:pStyle w:val="BookText"/>
      </w:pPr>
      <w:r>
        <w:rPr>
          <w:rFonts w:ascii="IRNazanin" w:hAnsi="IRNazanin" w:eastAsia="IRNazanin" w:cs="IRNazanin"/>
          <w:lang w:bidi="fa-IR"/>
          <w:color w:val="111111"/>
          <w:sz w:val="28"/>
          <w:szCs w:val="28"/>
          <w:rtl/>
        </w:rPr>
        <w:t xml:space="preserve">[شماره صفحه واقعی : 133]
</w:t>
      </w:r>
    </w:p>
    <w:p>
      <w:pPr>
        <w:sectPr>
          <w:footerReference w:type="default" r:id="rId1789"/>
          <w:footnotePr>
            <w:numStart w:val="1"/>
            <w:numRestart w:val="eachPage"/>
          </w:footnotePr>
          <w:pgSz w:orient="portrait" w:w="11905.511811023622" w:h="16837.79527559055"/>
          <w:pgMar w:top="1440" w:right="1440" w:bottom="1440" w:left="1440" w:header="720" w:footer="720" w:gutter="0"/>
          <w:cols w:num="1" w:space="720"/>
        </w:sectPr>
      </w:pPr>
    </w:p>
    <w:bookmarkStart w:id="945" w:name="pg14411_144171"/>
    <w:bookmarkEnd w:id="945"/>
    <w:p>
      <w:pPr>
        <w:pStyle w:val="Heading6"/>
      </w:pPr>
      <w:bookmarkStart w:id="2798" w:name="_Toc1833"/>
      <w:r>
        <w:t>1 - «بهجة الامال فی شرح زبدة المقال فی علم الرجال»</w:t>
      </w:r>
      <w:bookmarkEnd w:id="2798"/>
    </w:p>
    <w:p>
      <w:pPr>
        <w:pStyle w:val="BookText"/>
      </w:pPr>
      <w:r>
        <w:rPr>
          <w:rFonts w:ascii="IRNazanin" w:hAnsi="IRNazanin" w:eastAsia="IRNazanin" w:cs="IRNazanin"/>
          <w:lang w:bidi="fa-IR"/>
          <w:color w:val="111111"/>
          <w:sz w:val="28"/>
          <w:szCs w:val="28"/>
          <w:rtl/>
        </w:rPr>
        <w:t xml:space="preserve">تألیف العلاّمة الحاج الشیخ علی بن عبد اللّه محمّد بن محب اللّه بن محمّد جعفر العلیاری التبریزی (المولود عام 1236، و المتوفّی عام 1327) و هذا الکتاب قد الّف فی خمسة مجلّدات کبار، ثلاثة منها شرح مزجیّ ل «زبدة المقال فی معرفة الرجال» تألیف العلاّمة السید حسین البروجردی و هو منظومة فی علم الرجال قال:</w:t>
      </w:r>
    </w:p>
    <w:p>
      <w:pPr>
        <w:pStyle w:val="BookText"/>
      </w:pPr>
      <w:r>
        <w:rPr>
          <w:rFonts w:ascii="IRNazanin" w:hAnsi="IRNazanin" w:eastAsia="IRNazanin" w:cs="IRNazanin"/>
          <w:lang w:bidi="fa-IR"/>
          <w:color w:val="111111"/>
          <w:sz w:val="28"/>
          <w:szCs w:val="28"/>
          <w:rtl/>
        </w:rPr>
        <w:t xml:space="preserve">سمّیته بزبدة المقال فی البحث عن معرفة الرجال</w:t>
      </w:r>
    </w:p>
    <w:p>
      <w:pPr>
        <w:pStyle w:val="BookText"/>
      </w:pPr>
      <w:r>
        <w:rPr>
          <w:rFonts w:ascii="IRNazanin" w:hAnsi="IRNazanin" w:eastAsia="IRNazanin" w:cs="IRNazanin"/>
          <w:lang w:bidi="fa-IR"/>
          <w:color w:val="111111"/>
          <w:sz w:val="28"/>
          <w:szCs w:val="28"/>
          <w:rtl/>
        </w:rPr>
        <w:t xml:space="preserve">ناظمه الفقیر فی الکونین هو الحسین بن رضا الحسینی</w:t>
      </w:r>
    </w:p>
    <w:p>
      <w:pPr>
        <w:pStyle w:val="BookText"/>
      </w:pPr>
      <w:r>
        <w:rPr>
          <w:rFonts w:ascii="IRNazanin" w:hAnsi="IRNazanin" w:eastAsia="IRNazanin" w:cs="IRNazanin"/>
          <w:lang w:bidi="fa-IR"/>
          <w:color w:val="111111"/>
          <w:sz w:val="28"/>
          <w:szCs w:val="28"/>
          <w:rtl/>
        </w:rPr>
        <w:t xml:space="preserve">و اثنان منها شرح ل «منتهی المقال» و هی منظومة للشّارح تمّم بها منظومة البروجردی، و حیث إنّ البروجردی لم یذکر المتأخّرین و لا المجاهیل من الرواة، فأتمّها و أکملها الشارح بالنظم و الشرح فی ذینک المجلّدین، و الکتاب مشتمل علی مقدّمة و فیها أحد عشر فصلا، و الفصل الحادی عشر فی أصحاب الإجماع. و فیه أیضا عدّة أبحاث متفرّقة، و الکتاب لو طبع علی طراز الطبعة الحدیثة لتجاوز عشرة أجزاء و قد طبع منه لحدّ الآن ستة أجزاء و الباقی تحت الطبع.</w:t>
      </w:r>
    </w:p>
    <w:p>
      <w:pPr>
        <w:pStyle w:val="Heading6"/>
      </w:pPr>
      <w:bookmarkStart w:id="2799" w:name="_Toc1834"/>
      <w:r>
        <w:t>2 - «تنقیح المقال فی معرفة علم الرجال»</w:t>
      </w:r>
      <w:bookmarkEnd w:id="2799"/>
    </w:p>
    <w:p>
      <w:pPr>
        <w:pStyle w:val="BookText"/>
      </w:pPr>
      <w:r>
        <w:rPr>
          <w:rFonts w:ascii="IRNazanin" w:hAnsi="IRNazanin" w:eastAsia="IRNazanin" w:cs="IRNazanin"/>
          <w:lang w:bidi="fa-IR"/>
          <w:color w:val="111111"/>
          <w:sz w:val="28"/>
          <w:szCs w:val="28"/>
          <w:rtl/>
        </w:rPr>
        <w:t xml:space="preserve">للعلاّمة الشیخ عبد اللّه المامقانی (المتوفّی عام 1351) فی ثلاثة أجزاء کبار، و هو أجمع کتاب ألّف فی الموضوع، و قد جمع جلّ ما ورد فی الکتب الرجالیّة المتقدّمة و المتأخّرة.</w:t>
      </w:r>
    </w:p>
    <w:p>
      <w:pPr>
        <w:pStyle w:val="BookText"/>
      </w:pPr>
      <w:r>
        <w:rPr>
          <w:rFonts w:ascii="IRNazanin" w:hAnsi="IRNazanin" w:eastAsia="IRNazanin" w:cs="IRNazanin"/>
          <w:lang w:bidi="fa-IR"/>
          <w:color w:val="111111"/>
          <w:sz w:val="28"/>
          <w:szCs w:val="28"/>
          <w:rtl/>
        </w:rPr>
        <w:t xml:space="preserve">قال العلاّمة الطّهرانی: «هو أبسط ما کتب فی الرّجال، حیث إنّه أدرج فیه تراجم جمیع الصّحابة و التّابعین، و سائر أصحاب الأئمّة و غیرهم من الرّواة إلی القرن الرابع، و قلیل من العلماء المحدّثین فی ثلاثة أجزاء کبار، لم</w:t>
      </w:r>
    </w:p>
    <w:p>
      <w:pPr>
        <w:pStyle w:val="BookText"/>
      </w:pPr>
      <w:r>
        <w:rPr>
          <w:rFonts w:ascii="IRNazanin" w:hAnsi="IRNazanin" w:eastAsia="IRNazanin" w:cs="IRNazanin"/>
          <w:lang w:bidi="fa-IR"/>
          <w:color w:val="111111"/>
          <w:sz w:val="28"/>
          <w:szCs w:val="28"/>
          <w:rtl/>
        </w:rPr>
        <w:t xml:space="preserve">[شماره صفحه واقعی : 134]
</w:t>
      </w:r>
    </w:p>
    <w:p>
      <w:pPr>
        <w:sectPr>
          <w:footerReference w:type="default" r:id="rId17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یتجاوز جمعه و ترتیبه و تهذیبه عن ثلاث سنین، و هذا ممّا یعدّ من خوارق العادات و الخاصّة من التأییدات، فللّه درّ مؤلّفه من مصنّف ما سبقه مصنّفوا الرّجال، و من تنقیح ما أتی بمثله الأمثال»</w:t>
      </w:r>
      <w:r>
        <w:rPr>
          <w:rStyle w:val="FootnoteReference"/>
        </w:rPr>
        <w:footnoteReference w:id="5117"/>
      </w:r>
      <w:r>
        <w:rPr>
          <w:rFonts w:ascii="IRNazanin" w:hAnsi="IRNazanin" w:eastAsia="IRNazanin" w:cs="IRNazanin"/>
          <w:lang w:bidi="fa-IR"/>
          <w:color w:val="111111"/>
          <w:sz w:val="28"/>
          <w:szCs w:val="28"/>
          <w:rtl/>
        </w:rPr>
        <w:t xml:space="preserve">. و ممّا اخذ علیه، هو خلطه بین المهمل و المجهول. فإنّ الأوّل عبارة عمّن لم یذکر فیه مدح و لا قدح، و قد ذکر ابن داود المهمل فی جنب الممدوح، زعما منه بأنّه یجب العمل بخبره کالممدوح، و أنّ غیر الحجّة فی الخبر عبارة عن المطعون.</w:t>
      </w:r>
    </w:p>
    <w:p>
      <w:pPr>
        <w:pStyle w:val="BookText"/>
      </w:pPr>
      <w:r>
        <w:rPr>
          <w:rFonts w:ascii="IRNazanin" w:hAnsi="IRNazanin" w:eastAsia="IRNazanin" w:cs="IRNazanin"/>
          <w:lang w:bidi="fa-IR"/>
          <w:color w:val="111111"/>
          <w:sz w:val="28"/>
          <w:szCs w:val="28"/>
          <w:rtl/>
        </w:rPr>
        <w:t xml:space="preserve">و أمّا المجهول فإنّه عبارة عمّن صرّح أئمّة الرّجال فیه بالمجهولیّة و هو أحد ألفاظ الجرح، فیذکرون المجهول فی باب المجروحین و یعاملون معه معاملة المجروح.</w:t>
      </w:r>
    </w:p>
    <w:p>
      <w:pPr>
        <w:pStyle w:val="BookText"/>
      </w:pPr>
      <w:r>
        <w:rPr>
          <w:rFonts w:ascii="IRNazanin" w:hAnsi="IRNazanin" w:eastAsia="IRNazanin" w:cs="IRNazanin"/>
          <w:lang w:bidi="fa-IR"/>
          <w:color w:val="111111"/>
          <w:sz w:val="28"/>
          <w:szCs w:val="28"/>
          <w:rtl/>
        </w:rPr>
        <w:t xml:space="preserve">و أنت إذا لاحظت فهرس تنقیح المقال، الّذی طبع مستقلاّ و سمّاه المؤلّف «نتیجة التّنقیح» لا تری فیه إلاّ المجاهیل، و المراد منه الأعم ممّن حکم علیه أئمّة الرّجال بالمجهولیّة و من لم یذکر فیه مدح و لا قدح.</w:t>
      </w:r>
    </w:p>
    <w:p>
      <w:pPr>
        <w:pStyle w:val="BookText"/>
      </w:pPr>
      <w:r>
        <w:rPr>
          <w:rFonts w:ascii="IRNazanin" w:hAnsi="IRNazanin" w:eastAsia="IRNazanin" w:cs="IRNazanin"/>
          <w:lang w:bidi="fa-IR"/>
          <w:color w:val="111111"/>
          <w:sz w:val="28"/>
          <w:szCs w:val="28"/>
          <w:rtl/>
        </w:rPr>
        <w:t xml:space="preserve">و هذا الخلط لا یختصّ به، بل هو رائج من عصر الشّهید الثانی و المجلسی إلی عصره، مع أنّ المحقّق الداماد قال فی الراشحة الثالثة عشر من رواشحه: «لا یجوز إطلاق المجهول الاصطلاحی إلاّ علی من حکم بجهالته أئمّة الرجال»</w:t>
      </w:r>
      <w:r>
        <w:rPr>
          <w:rStyle w:val="FootnoteReference"/>
        </w:rPr>
        <w:footnoteReference w:id="51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ذبّ شیخنا العلاّمة الطهرانی هذا الإشکال عن مؤلّفه و قال: «إنّ المؤلّف لم یکن غیر واقف بکلام المحقّق الداماد، و صرّح فی الجزء الأوّل (أواخر الصفحة 184) بأنّه لو راجع المتتبّع جمیع مظانّ استعلام حال رجل و مع ذلک لم یظفر بشیء من ترجمة أحواله أبدا فلا یجوز التّسارع علیه بالحکم بالجهالة، لسعة دائرة هذا العلم، و کثرة مدارک معرفة الرّجال، و من هذا</w:t>
      </w:r>
    </w:p>
    <w:p>
      <w:pPr>
        <w:pStyle w:val="BookText"/>
      </w:pPr>
      <w:r>
        <w:rPr>
          <w:rFonts w:ascii="IRNazanin" w:hAnsi="IRNazanin" w:eastAsia="IRNazanin" w:cs="IRNazanin"/>
          <w:lang w:bidi="fa-IR"/>
          <w:color w:val="111111"/>
          <w:sz w:val="28"/>
          <w:szCs w:val="28"/>
          <w:rtl/>
        </w:rPr>
        <w:t xml:space="preserve">[شماره صفحه واقعی : 135]
</w:t>
      </w:r>
    </w:p>
    <w:p>
      <w:pPr>
        <w:sectPr>
          <w:footerReference w:type="default" r:id="rId1791"/>
          <w:footnotePr>
            <w:numStart w:val="1"/>
            <w:numRestart w:val="eachPage"/>
          </w:footnotePr>
          <w:pgSz w:orient="portrait" w:w="11905.511811023622" w:h="16837.79527559055"/>
          <w:pgMar w:top="1440" w:right="1440" w:bottom="1440" w:left="1440" w:header="720" w:footer="720" w:gutter="0"/>
          <w:cols w:num="1" w:space="720"/>
        </w:sectPr>
      </w:pPr>
    </w:p>
    <w:bookmarkStart w:id="946" w:name="pg14411_144173"/>
    <w:bookmarkEnd w:id="946"/>
    <w:p>
      <w:pPr>
        <w:pStyle w:val="BookText"/>
      </w:pPr>
      <w:r>
        <w:rPr>
          <w:rFonts w:ascii="IRNazanin" w:hAnsi="IRNazanin" w:eastAsia="IRNazanin" w:cs="IRNazanin"/>
          <w:lang w:bidi="fa-IR"/>
          <w:color w:val="111111"/>
          <w:sz w:val="28"/>
          <w:szCs w:val="28"/>
          <w:rtl/>
        </w:rPr>
        <w:t xml:space="preserve">التّصریح یحصل الجزم بأنّ مراده من قوله «مجهول» لیس أنّه محکوم بالجهالة عند علماء الرجال، حتّی یصیر هو السبب فی صیرورة الحدیث من جهته ضعیفا، بل مراده أنّه مجهول عندی و لم أظفر بترجمة مبیّنة لأحواله»</w:t>
      </w:r>
      <w:r>
        <w:rPr>
          <w:rStyle w:val="FootnoteReference"/>
        </w:rPr>
        <w:footnoteReference w:id="5119"/>
      </w:r>
      <w:r>
        <w:rPr>
          <w:rFonts w:ascii="Times New Roman" w:hAnsi="Times New Roman" w:eastAsia="Times New Roman" w:cs="Times New Roman"/>
          <w:lang w:val="en-US" w:bidi="en-US"/>
          <w:color w:val="111111"/>
          <w:sz w:val="28"/>
          <w:szCs w:val="28"/>
          <w:rtl/>
        </w:rPr>
        <w:t xml:space="preserve">.</w:t>
      </w:r>
    </w:p>
    <w:p>
      <w:pPr>
        <w:pStyle w:val="Heading6"/>
      </w:pPr>
      <w:bookmarkStart w:id="2800" w:name="_Toc1835"/>
      <w:r>
        <w:t>3 - «قاموس الرجال»</w:t>
      </w:r>
      <w:bookmarkEnd w:id="2800"/>
    </w:p>
    <w:p>
      <w:pPr>
        <w:pStyle w:val="BookText"/>
      </w:pPr>
      <w:r>
        <w:rPr>
          <w:rFonts w:ascii="IRNazanin" w:hAnsi="IRNazanin" w:eastAsia="IRNazanin" w:cs="IRNazanin"/>
          <w:lang w:bidi="fa-IR"/>
          <w:color w:val="111111"/>
          <w:sz w:val="28"/>
          <w:szCs w:val="28"/>
          <w:rtl/>
        </w:rPr>
        <w:t xml:space="preserve">للعلاّمة المحقّق الشیخ محمد تقی التستری، کتبه أوّلا بصورة التّعلیقة علی رجال العلاّمة المامقانی، و ناقش کثیرا من منقولاته و نظریّاته، ثمّ أخرجه بصورة کتاب مستقلّ و طبع فی 13 جزء، و المؤلّف حقّا أحد أبطال هذا العلم و نقّاده، و قد بسطنا الکلام حول الکتاب، و نشرته صحیفة کیهان فی نشرته المستقلّة حول حیاة المؤلّف بقلم عدّة من الأعلام.</w:t>
      </w:r>
    </w:p>
    <w:p>
      <w:pPr>
        <w:pStyle w:val="BookText"/>
      </w:pPr>
      <w:r>
        <w:rPr>
          <w:rFonts w:ascii="IRNazanin" w:hAnsi="IRNazanin" w:eastAsia="IRNazanin" w:cs="IRNazanin"/>
          <w:lang w:bidi="fa-IR"/>
          <w:color w:val="111111"/>
          <w:sz w:val="28"/>
          <w:szCs w:val="28"/>
          <w:rtl/>
        </w:rPr>
        <w:t xml:space="preserve">غیر أنّه لا یتّبع فی تألیف الکتاب روح العصر، فتری أنّه یکتب عدّة صحائف من دون أن یفصل بین المطالب بعنوان خاصّ، کما أنّه لا یأتی بأسماء الکتب الرجالیّة و الأئمّة إلاّ بالرّموز، و ذلک أوجد غلقا فی قراءة الکتاب و فهم مقاصده، أضف إلی ذلک أنّه یروی عن کثیر من الکتب التاریخیّة و الحدیثیّة، و لا یعیّن مواضعها، و لکن ما ذکرناه یرجع إلی نفس الکتاب، و أمّا المؤلّف فهو من المشایخ الأعاظم الّذین یضنّ بهم الدّهر إلاّ فی فترات قلیلة و له علی العلم و أهله أیادی مشکورة.</w:t>
      </w:r>
    </w:p>
    <w:p>
      <w:pPr>
        <w:pStyle w:val="BookText"/>
      </w:pPr>
      <w:r>
        <w:rPr>
          <w:rFonts w:ascii="IRNazanin" w:hAnsi="IRNazanin" w:eastAsia="IRNazanin" w:cs="IRNazanin"/>
          <w:lang w:bidi="fa-IR"/>
          <w:color w:val="111111"/>
          <w:sz w:val="28"/>
          <w:szCs w:val="28"/>
          <w:rtl/>
        </w:rPr>
        <w:t xml:space="preserve">و هذه الکتب مع الثّناء الوافر علی مؤلّفیها لا تخلو من عل أو علات الّتی یجب أن ننبّه إلیها.</w:t>
      </w:r>
    </w:p>
    <w:p>
      <w:pPr>
        <w:pStyle w:val="BookText"/>
      </w:pPr>
      <w:r>
        <w:rPr>
          <w:rFonts w:ascii="IRNazanin" w:hAnsi="IRNazanin" w:eastAsia="IRNazanin" w:cs="IRNazanin"/>
          <w:lang w:bidi="fa-IR"/>
          <w:color w:val="111111"/>
          <w:sz w:val="28"/>
          <w:szCs w:val="28"/>
          <w:rtl/>
        </w:rPr>
        <w:t xml:space="preserve">[شماره صفحه واقعی : 136]
</w:t>
      </w:r>
    </w:p>
    <w:p>
      <w:pPr>
        <w:sectPr>
          <w:footerReference w:type="default" r:id="rId1792"/>
          <w:footnotePr>
            <w:numStart w:val="1"/>
            <w:numRestart w:val="eachPage"/>
          </w:footnotePr>
          <w:pgSz w:orient="portrait" w:w="11905.511811023622" w:h="16837.79527559055"/>
          <w:pgMar w:top="1440" w:right="1440" w:bottom="1440" w:left="1440" w:header="720" w:footer="720" w:gutter="0"/>
          <w:cols w:num="1" w:space="720"/>
        </w:sectPr>
      </w:pPr>
    </w:p>
    <w:bookmarkStart w:id="947" w:name="pg14411_144174"/>
    <w:bookmarkEnd w:id="947"/>
    <w:p>
      <w:pPr>
        <w:pStyle w:val="Heading5"/>
      </w:pPr>
      <w:bookmarkStart w:id="2801" w:name="_Toc1836"/>
      <w:r>
        <w:t>4 - تطور فی تألیف الجوامع الرجالیة</w:t>
      </w:r>
      <w:bookmarkEnd w:id="2801"/>
    </w:p>
    <w:p>
      <w:pPr>
        <w:pStyle w:val="Heading6"/>
      </w:pPr>
      <w:bookmarkStart w:id="2802" w:name="_Toc1837"/>
      <w:r>
        <w:t>اشارة</w:t>
      </w:r>
      <w:bookmarkEnd w:id="280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جامع الرواة.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طرائف المقال.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مرتب اسانید الکتب الاربعة.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معجم رجال الحدیث.</w:t>
      </w:r>
    </w:p>
    <w:p>
      <w:pPr>
        <w:pStyle w:val="BookText"/>
      </w:pPr>
      <w:r>
        <w:rPr>
          <w:rFonts w:ascii="IRNazanin" w:hAnsi="IRNazanin" w:eastAsia="IRNazanin" w:cs="IRNazanin"/>
          <w:lang w:bidi="fa-IR"/>
          <w:color w:val="111111"/>
          <w:sz w:val="28"/>
          <w:szCs w:val="28"/>
          <w:rtl/>
        </w:rPr>
        <w:t xml:space="preserve">[شماره صفحه واقعی : 137]
</w:t>
      </w:r>
    </w:p>
    <w:p>
      <w:pPr>
        <w:sectPr>
          <w:footerReference w:type="default" r:id="rId17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138]
</w:t>
      </w:r>
    </w:p>
    <w:p>
      <w:pPr>
        <w:sectPr>
          <w:footerReference w:type="default" r:id="rId17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الجوامع المذکورة مع أهمّیتها و عظمتها، فاقدة لبعض ما یهمّ المستنبط و الفقیه فی تحصیل حجّیة الخبر و عدمها، فإنّها و إن کانت توقفنا علی وثاقة الرّاوی و ضعفه إجمالا، غیر أنّها لا تفی ببعض ما یجب علی المستنبط تحصیله و إلیک بیانه:</w:t>
      </w:r>
    </w:p>
    <w:p>
      <w:pPr>
        <w:pStyle w:val="BookText"/>
      </w:pPr>
      <w:r>
        <w:rPr>
          <w:rFonts w:ascii="IRNazanin" w:hAnsi="IRNazanin" w:eastAsia="IRNazanin" w:cs="IRNazanin"/>
          <w:lang w:bidi="fa-IR"/>
          <w:color w:val="111111"/>
          <w:sz w:val="28"/>
          <w:szCs w:val="28"/>
          <w:rtl/>
        </w:rPr>
        <w:t xml:space="preserve">1 - إنّ هذه الخطّة الّتی رسمها القدماء و تبعها المتأخّرون، مع أهمّیتها و جلالتها، لا تخرج عن إطار التّقلید لأئمّة علم الرجال فی التعّرف علی وثاقة الرّاوی و ضعفه و قلیل من سائر أحواله، ممّا ترجع إلی شخصیّته الحدیثیّة، و لیس طریقا مباشریّا للمؤلّف الرجالیّ، فضلا عمّن یرجع إلیه و یطالعه، للتعرّف علی أحوال الرّاوی، بأن یلمس بفهمه و ذکائه و یقف مباشرة علی کلّ ما یرجع إلی الرّاوی من حیث الطّبقة و العصر أوّلا، و مدی الضّبط و الإتقان ثانیا، و کمّیة روایاته کثرة و قلّة ثالثا، و مقدار فضله و علمه و کماله رابعا، و هذا بخلاف ما رسّمه الأساتذة المتأخّرون و خطّطوه، فإنّ العالم الرجالی فیه یقف بطریق مباشریّ دون تقلید، علی هذه الامور و أشباهها.</w:t>
      </w:r>
    </w:p>
    <w:p>
      <w:pPr>
        <w:pStyle w:val="BookText"/>
      </w:pPr>
      <w:r>
        <w:rPr>
          <w:rFonts w:ascii="IRNazanin" w:hAnsi="IRNazanin" w:eastAsia="IRNazanin" w:cs="IRNazanin"/>
          <w:lang w:bidi="fa-IR"/>
          <w:color w:val="111111"/>
          <w:sz w:val="28"/>
          <w:szCs w:val="28"/>
          <w:rtl/>
        </w:rPr>
        <w:t xml:space="preserve">و إن شئت قلت: إنّ هذه الکتب المؤلّفة حول الرّجال، تستمدّ من قول أئمّة الفنّ فی جرح الرّواة و تعدیلهم، و بالأخصّ تتبع مؤلّفی الاصول الخمسة، الّتی نبّهنا بأسمائهم و کتبهم فیما سبق، فقول هؤلاء و من عاصرهم أو تأخّر عنهم</w:t>
      </w:r>
    </w:p>
    <w:p>
      <w:pPr>
        <w:pStyle w:val="BookText"/>
      </w:pPr>
      <w:r>
        <w:rPr>
          <w:rFonts w:ascii="IRNazanin" w:hAnsi="IRNazanin" w:eastAsia="IRNazanin" w:cs="IRNazanin"/>
          <w:lang w:bidi="fa-IR"/>
          <w:color w:val="111111"/>
          <w:sz w:val="28"/>
          <w:szCs w:val="28"/>
          <w:rtl/>
        </w:rPr>
        <w:t xml:space="preserve">[شماره صفحه واقعی : 139]
</w:t>
      </w:r>
    </w:p>
    <w:p>
      <w:pPr>
        <w:sectPr>
          <w:footerReference w:type="default" r:id="rId17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 المعیار فی معرفة الرّجال و تمییز الثقات عن الضّعاف.</w:t>
      </w:r>
    </w:p>
    <w:p>
      <w:pPr>
        <w:pStyle w:val="BookText"/>
      </w:pPr>
      <w:r>
        <w:rPr>
          <w:rFonts w:ascii="IRNazanin" w:hAnsi="IRNazanin" w:eastAsia="IRNazanin" w:cs="IRNazanin"/>
          <w:lang w:bidi="fa-IR"/>
          <w:color w:val="111111"/>
          <w:sz w:val="28"/>
          <w:szCs w:val="28"/>
          <w:rtl/>
        </w:rPr>
        <w:t xml:space="preserve">و لا ریب أنّ هذا طریق صحیح یعدّ من الطّرق الوثیقة، لکنّه لیس طریقا وحیدا فی تشخیص حال الرواة و معرفتهم، بل طریق تقلیدیّ لأئمّة الرّجال، و لیس طریقا مباشرّیا إلی أحوال الرواة، و لا یعّد طریقا أحسن و أتمّ.</w:t>
      </w:r>
    </w:p>
    <w:p>
      <w:pPr>
        <w:pStyle w:val="BookText"/>
      </w:pPr>
      <w:r>
        <w:rPr>
          <w:rFonts w:ascii="IRNazanin" w:hAnsi="IRNazanin" w:eastAsia="IRNazanin" w:cs="IRNazanin"/>
          <w:lang w:bidi="fa-IR"/>
          <w:color w:val="111111"/>
          <w:sz w:val="28"/>
          <w:szCs w:val="28"/>
          <w:rtl/>
        </w:rPr>
        <w:t xml:space="preserve">2 - لا شکّ أنّ التّحریف و التّصحیف تطرّق إلی کثیر من أسناد الأحادیث المرویّة فی الکتب الأربعة و غیرها، و ربّما سقط الراوی من السّند من دون أن یکون هناک ما یدّلنا علیه، و علی ذلک یجب أن یکون الکتب الرجالیّة بصورة توقفنا علی طبقات الرّواة من حیث المشایخ و التّلامیذ، حتّی یقف الباحث ببرکة التعرّف علی الطبقات، علی نقصان السّند و کماله، و الحال أنّ هذه الکتب المؤلّفة کتبت علی حسب حروف المعجم مبتدأة بالألف و منتهیة بالیاء، لا یعرف الانسان عصر الرّاوی و طبقته فی الحدیث، و لا أساتذته و لا تلامذته إلاّ علی وجه الإجمال و التبعیّة، و بصورة قلیلة دون الإحصاء، و الکتاب الّذی یمکن أن یشتمل علی هذه المزیّة، یجب أن یکون علی طراز رجال الشیخ الّذی کتب علی حسب عهد النّبی - صلی اللّه علیه و آله - و الأئمّة - علیهم السلام -، فقد عقد لکلّ من أصحاب النبی - صلی اللّه علیه و آله - و الأئمّة - علیهم السلام - أبوابا خاصّة یعرف منها حسب الإجمال طبقة الرّاوی و مشایخه و تلامیذه.</w:t>
      </w:r>
    </w:p>
    <w:p>
      <w:pPr>
        <w:pStyle w:val="BookText"/>
      </w:pPr>
      <w:r>
        <w:rPr>
          <w:rFonts w:ascii="IRNazanin" w:hAnsi="IRNazanin" w:eastAsia="IRNazanin" w:cs="IRNazanin"/>
          <w:lang w:bidi="fa-IR"/>
          <w:color w:val="111111"/>
          <w:sz w:val="28"/>
          <w:szCs w:val="28"/>
          <w:rtl/>
        </w:rPr>
        <w:t xml:space="preserve">و هذا النّمط من التألیف و إن کان لا یفی بتلک الامنیّة الکبری کلّها، لکنّه یفی بها إجمالا، حیث نری أنّه یقسّم الرّواة إلی الطّبقات حسب الزمان من زمن النّبی - صلی اللّه علیه و آله - إلی الأعصار الّتی انقلبت فیها سلسلة الرّواة إلی سلسلة العلماء، و عندئذ یمکن تمییز السّند الکامل من السّند الناقص، و لو کان الرّجالیّون بعد الشیخ یتّبعون أثره لأصبحت الکتب الرجالیّة أکثر فائدة ممّا هی الآن علیه.</w:t>
      </w:r>
    </w:p>
    <w:p>
      <w:pPr>
        <w:pStyle w:val="BookText"/>
      </w:pPr>
      <w:r>
        <w:rPr>
          <w:rFonts w:ascii="IRNazanin" w:hAnsi="IRNazanin" w:eastAsia="IRNazanin" w:cs="IRNazanin"/>
          <w:lang w:bidi="fa-IR"/>
          <w:color w:val="111111"/>
          <w:sz w:val="28"/>
          <w:szCs w:val="28"/>
          <w:rtl/>
        </w:rPr>
        <w:t xml:space="preserve">3 - إنّ أسماء کثیرة من الرواة مشترکة بین عدّة أشخاص. بین ثقة یرکن</w:t>
      </w:r>
    </w:p>
    <w:p>
      <w:pPr>
        <w:pStyle w:val="BookText"/>
      </w:pPr>
      <w:r>
        <w:rPr>
          <w:rFonts w:ascii="IRNazanin" w:hAnsi="IRNazanin" w:eastAsia="IRNazanin" w:cs="IRNazanin"/>
          <w:lang w:bidi="fa-IR"/>
          <w:color w:val="111111"/>
          <w:sz w:val="28"/>
          <w:szCs w:val="28"/>
          <w:rtl/>
        </w:rPr>
        <w:t xml:space="preserve">[شماره صفحه واقعی : 140]
</w:t>
      </w:r>
    </w:p>
    <w:p>
      <w:pPr>
        <w:sectPr>
          <w:footerReference w:type="default" r:id="rId1796"/>
          <w:footnotePr>
            <w:numStart w:val="1"/>
            <w:numRestart w:val="eachPage"/>
          </w:footnotePr>
          <w:pgSz w:orient="portrait" w:w="11905.511811023622" w:h="16837.79527559055"/>
          <w:pgMar w:top="1440" w:right="1440" w:bottom="1440" w:left="1440" w:header="720" w:footer="720" w:gutter="0"/>
          <w:cols w:num="1" w:space="720"/>
        </w:sectPr>
      </w:pPr>
    </w:p>
    <w:bookmarkStart w:id="948" w:name="pg14411_144178"/>
    <w:bookmarkEnd w:id="948"/>
    <w:p>
      <w:pPr>
        <w:pStyle w:val="BookText"/>
      </w:pPr>
      <w:r>
        <w:rPr>
          <w:rFonts w:ascii="IRNazanin" w:hAnsi="IRNazanin" w:eastAsia="IRNazanin" w:cs="IRNazanin"/>
          <w:lang w:bidi="fa-IR"/>
          <w:color w:val="111111"/>
          <w:sz w:val="28"/>
          <w:szCs w:val="28"/>
          <w:rtl/>
        </w:rPr>
        <w:t xml:space="preserve">إلیه، و ضعیف یردّ روایته، و عندما یلاحظ المستنبط الأسماء المشترکة فی الأسناد لا یقدر علی تعیین المراد.</w:t>
      </w:r>
    </w:p>
    <w:p>
      <w:pPr>
        <w:pStyle w:val="BookText"/>
      </w:pPr>
      <w:r>
        <w:rPr>
          <w:rFonts w:ascii="IRNazanin" w:hAnsi="IRNazanin" w:eastAsia="IRNazanin" w:cs="IRNazanin"/>
          <w:lang w:bidi="fa-IR"/>
          <w:color w:val="111111"/>
          <w:sz w:val="28"/>
          <w:szCs w:val="28"/>
          <w:rtl/>
        </w:rPr>
        <w:t xml:space="preserve">و لأجل ذلک عمد الرّجالیون إلی تأسیس فرع آخر لعلم الرجال أسموه ب «تمییز المشترکات»، أهمّها و أعظمها هو «تمییز المشترکات للعلاّمة الکاظمی» و لذلک یجب علی المستنبط فی تعیین المراد من الأسماء المشترکة، إلی مراجعة فصل «تمییز المشترکات»، و لولاه لما انحلت العقدة، غیر أنّ کثیرا من کتب الرجال فاقدة لهذا الفرع، و إنّما یذکرون الأسماء بالآباء و الأجداد، من دون أن یذکروا ما یمیّز به المشترک عن غیره. و لقد أدخل العلاّمة المامقانی ما کتبه العلاّمة الکاظمی فی رجاله، و بذلک صار کتابا جامعا بالنّسبة، و قد تطرّق ذلک النّقص إلی أکثر الکتب الرجالیّة، لأجل أنّها الّفت علی ما رسّمه القدماء علی ترتیب الحروف الهجائیة، دون ترتیب الطبقات.</w:t>
      </w:r>
    </w:p>
    <w:p>
      <w:pPr>
        <w:pStyle w:val="Heading6"/>
      </w:pPr>
      <w:bookmarkStart w:id="2803" w:name="_Toc1838"/>
      <w:r>
        <w:t>بروز نمط خاصّ فی تألیف الرجال</w:t>
      </w:r>
      <w:bookmarkEnd w:id="2803"/>
    </w:p>
    <w:p>
      <w:pPr>
        <w:pStyle w:val="BookText"/>
      </w:pPr>
      <w:r>
        <w:rPr>
          <w:rFonts w:ascii="IRNazanin" w:hAnsi="IRNazanin" w:eastAsia="IRNazanin" w:cs="IRNazanin"/>
          <w:lang w:bidi="fa-IR"/>
          <w:color w:val="111111"/>
          <w:sz w:val="28"/>
          <w:szCs w:val="28"/>
          <w:rtl/>
        </w:rPr>
        <w:t xml:space="preserve">و لأجل هذه النّقائص الفنّیة فی هذه الخطّة، نهضت عدّة من الأعلام و المشایخ فی العصر الماضی و الحاضر إلی فتح طریق آخر فی وجوه المجتهدین و المستنبطین، و هذا الطّریق هو لمس حالهم بالمباشرة لا بالرّجوع إلی أقوال أئمّة الرّجال بل بالرّجوع إلی سند الروایات المتکرّرة فی الکتب الحدیثیّة المشتملة علی اسم الراوی، فإنّ فی هذا الطّریق إمکان التعرّف علی میزان علم الراوی و فقهه و ضبطه و وثاقته فی النّقل، إذ بالرّجوع إلی متون أحادیث الرّاوی المبعثرة علی الأبواب و ملاحظتها لفظا و معنی، و کمّا و کیفا یعرف امور:</w:t>
      </w:r>
    </w:p>
    <w:p>
      <w:pPr>
        <w:pStyle w:val="BookText"/>
      </w:pPr>
      <w:r>
        <w:rPr>
          <w:rFonts w:ascii="IRNazanin" w:hAnsi="IRNazanin" w:eastAsia="IRNazanin" w:cs="IRNazanin"/>
          <w:lang w:bidi="fa-IR"/>
          <w:color w:val="111111"/>
          <w:sz w:val="28"/>
          <w:szCs w:val="28"/>
          <w:rtl/>
        </w:rPr>
        <w:t xml:space="preserve">1 - یفهم من روایاته، مدی تضلّع الراوی فی الفقه و الکلام و التاریخ و التفسیر و غیرها من المعارف، کما یعرف عدم مهارته و حذاقته فی شیء منها، إذا قیست روایاته بعضها ببعض، و بما رواه آخرون فی معناها.</w:t>
      </w:r>
    </w:p>
    <w:p>
      <w:pPr>
        <w:pStyle w:val="BookText"/>
      </w:pPr>
      <w:r>
        <w:rPr>
          <w:rFonts w:ascii="IRNazanin" w:hAnsi="IRNazanin" w:eastAsia="IRNazanin" w:cs="IRNazanin"/>
          <w:lang w:bidi="fa-IR"/>
          <w:color w:val="111111"/>
          <w:sz w:val="28"/>
          <w:szCs w:val="28"/>
          <w:rtl/>
        </w:rPr>
        <w:t xml:space="preserve">2 - یعرف مقدار روایاته قلّة و کثرة، و أنّه هل هو ضابط فیما یروی أو</w:t>
      </w:r>
    </w:p>
    <w:p>
      <w:pPr>
        <w:pStyle w:val="BookText"/>
      </w:pPr>
      <w:r>
        <w:rPr>
          <w:rFonts w:ascii="IRNazanin" w:hAnsi="IRNazanin" w:eastAsia="IRNazanin" w:cs="IRNazanin"/>
          <w:lang w:bidi="fa-IR"/>
          <w:color w:val="111111"/>
          <w:sz w:val="28"/>
          <w:szCs w:val="28"/>
          <w:rtl/>
        </w:rPr>
        <w:t xml:space="preserve">[شماره صفحه واقعی : 141]
</w:t>
      </w:r>
    </w:p>
    <w:p>
      <w:pPr>
        <w:sectPr>
          <w:footerReference w:type="default" r:id="rId17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مخلّط أو مدلّس.</w:t>
      </w:r>
    </w:p>
    <w:p>
      <w:pPr>
        <w:pStyle w:val="BookText"/>
      </w:pPr>
      <w:r>
        <w:rPr>
          <w:rFonts w:ascii="IRNazanin" w:hAnsi="IRNazanin" w:eastAsia="IRNazanin" w:cs="IRNazanin"/>
          <w:lang w:bidi="fa-IR"/>
          <w:color w:val="111111"/>
          <w:sz w:val="28"/>
          <w:szCs w:val="28"/>
          <w:rtl/>
        </w:rPr>
        <w:t xml:space="preserve">3 - تعرف طبقات الرواة مشایخهم و تلامیذهم.</w:t>
      </w:r>
    </w:p>
    <w:p>
      <w:pPr>
        <w:pStyle w:val="BookText"/>
      </w:pPr>
      <w:r>
        <w:rPr>
          <w:rFonts w:ascii="IRNazanin" w:hAnsi="IRNazanin" w:eastAsia="IRNazanin" w:cs="IRNazanin"/>
          <w:lang w:bidi="fa-IR"/>
          <w:color w:val="111111"/>
          <w:sz w:val="28"/>
          <w:szCs w:val="28"/>
          <w:rtl/>
        </w:rPr>
        <w:t xml:space="preserve">4 - یحصل التعرّف علی وضع الأسناد من حیث الکمال و السّقط، فربّما تکون الروایة فی الکتب الأربعة مسندة إلی الإمام، و لکنّ الواقف علی طبقات الرجال یعرف الحلقة المفقودة أثناء السند.</w:t>
      </w:r>
    </w:p>
    <w:p>
      <w:pPr>
        <w:pStyle w:val="BookText"/>
      </w:pPr>
      <w:r>
        <w:rPr>
          <w:rFonts w:ascii="IRNazanin" w:hAnsi="IRNazanin" w:eastAsia="IRNazanin" w:cs="IRNazanin"/>
          <w:lang w:bidi="fa-IR"/>
          <w:color w:val="111111"/>
          <w:sz w:val="28"/>
          <w:szCs w:val="28"/>
          <w:rtl/>
        </w:rPr>
        <w:t xml:space="preserve">یقول الاستاذ الشیخ «محمد واعظ زاده الخراسانی» فی رسالة نشرت بمناسبة الذکری الألفیّة للشّیخ الطّوسی - قدس اللّه سرّه -:</w:t>
      </w:r>
    </w:p>
    <w:p>
      <w:pPr>
        <w:pStyle w:val="BookText"/>
      </w:pPr>
      <w:r>
        <w:rPr>
          <w:rFonts w:ascii="IRNazanin" w:hAnsi="IRNazanin" w:eastAsia="IRNazanin" w:cs="IRNazanin"/>
          <w:lang w:bidi="fa-IR"/>
          <w:color w:val="111111"/>
          <w:sz w:val="28"/>
          <w:szCs w:val="28"/>
          <w:rtl/>
        </w:rPr>
        <w:t xml:space="preserve">«إنّ الرجالیّین کانوا و ما یزالون یتعبّدون فی الأکثر بقول أئمّة هذا الفنّ و یقلّدونهم فی جرح الرّواة و تعدیلهم، إلاّ أنّ الأمر لا ینحصر فیه، فهناک بإزاء ذاک، باب مفتوح إلی معرفة الرّواة و لمس حالهم بالمباشرة. و هذا یحصل بالرجوع إلی أمرین:</w:t>
      </w:r>
    </w:p>
    <w:p>
      <w:pPr>
        <w:pStyle w:val="BookText"/>
      </w:pPr>
      <w:r>
        <w:rPr>
          <w:rFonts w:ascii="IRNazanin" w:hAnsi="IRNazanin" w:eastAsia="IRNazanin" w:cs="IRNazanin"/>
          <w:lang w:bidi="fa-IR"/>
          <w:color w:val="111111"/>
          <w:sz w:val="28"/>
          <w:szCs w:val="28"/>
          <w:rtl/>
        </w:rPr>
        <w:t xml:space="preserve">1 - الرّجوع إلی أسناد الروایات المتکرّرة فی الکتب الحدیثیّة المشتملة علی اسم الراوی، و بذلک یظهر الخلل فی کثیر من الأسانید، و ینکشف الارسال فیها بسقوط بعض الوسائط و عدم اتّصال السلسلة، و یمکننا معرفة الحلقة المفقودة فی سلسلة حدیث باستقراء الأشباه و النظائر إذا توفّرت و کثرت القرائن، و قامت الشواهد فی الأسانید المتکثّرة.</w:t>
      </w:r>
    </w:p>
    <w:p>
      <w:pPr>
        <w:pStyle w:val="BookText"/>
      </w:pPr>
      <w:r>
        <w:rPr>
          <w:rFonts w:ascii="IRNazanin" w:hAnsi="IRNazanin" w:eastAsia="IRNazanin" w:cs="IRNazanin"/>
          <w:lang w:bidi="fa-IR"/>
          <w:color w:val="111111"/>
          <w:sz w:val="28"/>
          <w:szCs w:val="28"/>
          <w:rtl/>
        </w:rPr>
        <w:t xml:space="preserve">2 - الرّجوع إلی متون أحادیث الراوی المبعثرة علی الأبواب، و اعتبارها لفظا و معنی و کمّا و کیفا، فیفهم منها أنّ الراوی هل کان متضلّعا فی علم الفقه أو التّفسیر أو غیرهما من المعارف، أو لم یکن له مهارة و حذاقة فی شیء منها؟ یفهم ذلک کلّه إذا قیست روایاته بعضها ببعض و بما رواه الآخرون فی معناها، و یلاحظ أنّه قلیل الروایة أو کثیرها و أنّه ثبت ضابط فیما یرویه أو مخلّط مدلّس.</w:t>
      </w:r>
    </w:p>
    <w:p>
      <w:pPr>
        <w:pStyle w:val="BookText"/>
      </w:pPr>
      <w:r>
        <w:rPr>
          <w:rFonts w:ascii="IRNazanin" w:hAnsi="IRNazanin" w:eastAsia="IRNazanin" w:cs="IRNazanin"/>
          <w:lang w:bidi="fa-IR"/>
          <w:color w:val="111111"/>
          <w:sz w:val="28"/>
          <w:szCs w:val="28"/>
          <w:rtl/>
        </w:rPr>
        <w:t xml:space="preserve">و إذا انضمّ إلیه أمر ثالث ینکشف حال الراوی أتمّ الانکشاف، و هو مراجعة الأحادیث الّتی وردت فی حال الرّواة، و قد جمع معظمها أبو عمرو</w:t>
      </w:r>
    </w:p>
    <w:p>
      <w:pPr>
        <w:pStyle w:val="BookText"/>
      </w:pPr>
      <w:r>
        <w:rPr>
          <w:rFonts w:ascii="IRNazanin" w:hAnsi="IRNazanin" w:eastAsia="IRNazanin" w:cs="IRNazanin"/>
          <w:lang w:bidi="fa-IR"/>
          <w:color w:val="111111"/>
          <w:sz w:val="28"/>
          <w:szCs w:val="28"/>
          <w:rtl/>
        </w:rPr>
        <w:t xml:space="preserve">[شماره صفحه واقعی : 142]
</w:t>
      </w:r>
    </w:p>
    <w:p>
      <w:pPr>
        <w:sectPr>
          <w:footerReference w:type="default" r:id="rId1798"/>
          <w:footnotePr>
            <w:numStart w:val="1"/>
            <w:numRestart w:val="eachPage"/>
          </w:footnotePr>
          <w:pgSz w:orient="portrait" w:w="11905.511811023622" w:h="16837.79527559055"/>
          <w:pgMar w:top="1440" w:right="1440" w:bottom="1440" w:left="1440" w:header="720" w:footer="720" w:gutter="0"/>
          <w:cols w:num="1" w:space="720"/>
        </w:sectPr>
      </w:pPr>
    </w:p>
    <w:bookmarkStart w:id="949" w:name="pg14411_144180"/>
    <w:bookmarkEnd w:id="949"/>
    <w:p>
      <w:pPr>
        <w:pStyle w:val="BookText"/>
      </w:pPr>
      <w:r>
        <w:rPr>
          <w:rFonts w:ascii="IRNazanin" w:hAnsi="IRNazanin" w:eastAsia="IRNazanin" w:cs="IRNazanin"/>
          <w:lang w:bidi="fa-IR"/>
          <w:color w:val="111111"/>
          <w:sz w:val="28"/>
          <w:szCs w:val="28"/>
          <w:rtl/>
        </w:rPr>
        <w:t xml:space="preserve">الکشّی فی رجاله، فهی تعطینا بصیرة بحال رواة الحدیث من ناحیة اخری و هی موقف الرّواة من الأئمّة الهداة، و درجات قرب الرّجال و بعدهم عنهم.</w:t>
      </w:r>
    </w:p>
    <w:p>
      <w:pPr>
        <w:pStyle w:val="BookText"/>
      </w:pPr>
      <w:r>
        <w:rPr>
          <w:rFonts w:ascii="IRNazanin" w:hAnsi="IRNazanin" w:eastAsia="IRNazanin" w:cs="IRNazanin"/>
          <w:lang w:bidi="fa-IR"/>
          <w:color w:val="111111"/>
          <w:sz w:val="28"/>
          <w:szCs w:val="28"/>
          <w:rtl/>
        </w:rPr>
        <w:t xml:space="preserve">و علی الجملة فمعرفة الرّواة و طبقاتهم عن طریق أحادیثهم و ملاحظتها متنا و سندا، تکاد تکون معرفة بالمباشرة و النّظر لا بالتّقلید و الأثر»</w:t>
      </w:r>
      <w:r>
        <w:rPr>
          <w:rStyle w:val="FootnoteReference"/>
        </w:rPr>
        <w:footnoteReference w:id="5120"/>
      </w:r>
      <w:r>
        <w:rPr>
          <w:rFonts w:ascii="Times New Roman" w:hAnsi="Times New Roman" w:eastAsia="Times New Roman" w:cs="Times New Roman"/>
          <w:lang w:val="en-US" w:bidi="en-US"/>
          <w:color w:val="111111"/>
          <w:sz w:val="28"/>
          <w:szCs w:val="28"/>
          <w:rtl/>
        </w:rPr>
        <w:t xml:space="preserve">.</w:t>
      </w:r>
    </w:p>
    <w:p>
      <w:pPr>
        <w:pStyle w:val="Heading6"/>
      </w:pPr>
      <w:bookmarkStart w:id="2804" w:name="_Toc1839"/>
      <w:r>
        <w:t>1 - جامع الرواة</w:t>
      </w:r>
      <w:bookmarkEnd w:id="2804"/>
    </w:p>
    <w:p>
      <w:pPr>
        <w:pStyle w:val="BookText"/>
      </w:pPr>
      <w:r>
        <w:rPr>
          <w:rFonts w:ascii="IRNazanin" w:hAnsi="IRNazanin" w:eastAsia="IRNazanin" w:cs="IRNazanin"/>
          <w:lang w:bidi="fa-IR"/>
          <w:color w:val="111111"/>
          <w:sz w:val="28"/>
          <w:szCs w:val="28"/>
          <w:rtl/>
        </w:rPr>
        <w:t xml:space="preserve">إنّ أوّل من قام بهذا العمل بصورة النّواة، هو الشیخ المحقّق الأردبیلی (مؤلّف جامع الرواة) المعاصر للعلاّمة المجلسی، فإنّه یلتقط فی ترجمة الرجال جملة من الأسانید عن الکتب الأربعة و غیرها، و یجعلها دلیلا علی التعرّف علی شیوخ الرّاوی و تلامیذه و طبقته و عصره.</w:t>
      </w:r>
    </w:p>
    <w:p>
      <w:pPr>
        <w:pStyle w:val="Heading6"/>
      </w:pPr>
      <w:bookmarkStart w:id="2805" w:name="_Toc1840"/>
      <w:r>
        <w:t>2 - طرائف المقال</w:t>
      </w:r>
      <w:bookmarkEnd w:id="2805"/>
    </w:p>
    <w:p>
      <w:pPr>
        <w:pStyle w:val="BookText"/>
      </w:pPr>
      <w:r>
        <w:rPr>
          <w:rFonts w:ascii="IRNazanin" w:hAnsi="IRNazanin" w:eastAsia="IRNazanin" w:cs="IRNazanin"/>
          <w:lang w:bidi="fa-IR"/>
          <w:color w:val="111111"/>
          <w:sz w:val="28"/>
          <w:szCs w:val="28"/>
          <w:rtl/>
        </w:rPr>
        <w:t xml:space="preserve">و قام بعده بهذا العمل السیّد محمّد شفیع الموسوی التفریشی، فألّف کتابه المسمّی ب «طرائف المقال فی معرفة طبقات الرجال». فقد جعل مشایخه الطّبقة الاولی، ثمّ مشایخ مشایخه، الطّبقة الثّانیة، إلی أن ینتهی إلی عصر النّبی - صلی اللّه علیه و آله -، فجاء الکلّ فی اثنتین و ثلاثین طبقة و جعل الشیخ الطّوسی و من فی طبقته، الطبقة الثانیة عشر. توجد نسخة من هذا الأثر النفیس فی مکتبة آیة اللّه المرعشی - دام ظلّه - و هو بعد لم یطبع.</w:t>
      </w:r>
    </w:p>
    <w:p>
      <w:pPr>
        <w:pStyle w:val="Heading6"/>
      </w:pPr>
      <w:bookmarkStart w:id="2806" w:name="_Toc1841"/>
      <w:r>
        <w:t>3 - مرتب الاسانید</w:t>
      </w:r>
      <w:bookmarkEnd w:id="2806"/>
    </w:p>
    <w:p>
      <w:pPr>
        <w:pStyle w:val="BookText"/>
      </w:pPr>
      <w:r>
        <w:rPr>
          <w:rFonts w:ascii="IRNazanin" w:hAnsi="IRNazanin" w:eastAsia="IRNazanin" w:cs="IRNazanin"/>
          <w:lang w:bidi="fa-IR"/>
          <w:color w:val="111111"/>
          <w:sz w:val="28"/>
          <w:szCs w:val="28"/>
          <w:rtl/>
        </w:rPr>
        <w:t xml:space="preserve">و قام بعده المحقّق البروجردی، إمام هذا الفّن بعملین ضخیمین یعدّ من أبرز الأعمال و أعمقها فی الرجال.</w:t>
      </w:r>
    </w:p>
    <w:p>
      <w:pPr>
        <w:pStyle w:val="BookText"/>
      </w:pPr>
      <w:r>
        <w:rPr>
          <w:rFonts w:ascii="IRNazanin" w:hAnsi="IRNazanin" w:eastAsia="IRNazanin" w:cs="IRNazanin"/>
          <w:lang w:bidi="fa-IR"/>
          <w:color w:val="111111"/>
          <w:sz w:val="28"/>
          <w:szCs w:val="28"/>
          <w:rtl/>
        </w:rPr>
        <w:t xml:space="preserve">الأوّل: رتّب أسانید کلّ من الکتب الأربعة و سمّاها «مرتّب أسانید</w:t>
      </w:r>
    </w:p>
    <w:p>
      <w:pPr>
        <w:pStyle w:val="BookText"/>
      </w:pPr>
      <w:r>
        <w:rPr>
          <w:rFonts w:ascii="IRNazanin" w:hAnsi="IRNazanin" w:eastAsia="IRNazanin" w:cs="IRNazanin"/>
          <w:lang w:bidi="fa-IR"/>
          <w:color w:val="111111"/>
          <w:sz w:val="28"/>
          <w:szCs w:val="28"/>
          <w:rtl/>
        </w:rPr>
        <w:t xml:space="preserve">[شماره صفحه واقعی : 143]
</w:t>
      </w:r>
    </w:p>
    <w:p>
      <w:pPr>
        <w:sectPr>
          <w:footerReference w:type="default" r:id="rId17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الکافی» و «مرتّب أسانید التّهذیب»، ثمّ انصرف إلی ترتیب أسانید الکتب الأربعة الرّجالیة و غیرها من کتب الحدیث، مراعیا فیها ترتیب الحروف، فباستیفاء الأسانید و قیاس بعضها مع بعض یعرف جمیع شیوخ الراوی و تلامیذه و طبقته و غیرها من الفوائد.</w:t>
      </w:r>
    </w:p>
    <w:p>
      <w:pPr>
        <w:pStyle w:val="BookText"/>
      </w:pPr>
      <w:r>
        <w:rPr>
          <w:rFonts w:ascii="IRNazanin" w:hAnsi="IRNazanin" w:eastAsia="IRNazanin" w:cs="IRNazanin"/>
          <w:lang w:bidi="fa-IR"/>
          <w:color w:val="111111"/>
          <w:sz w:val="28"/>
          <w:szCs w:val="28"/>
          <w:rtl/>
        </w:rPr>
        <w:t xml:space="preserve">فبالرجوع إلی هذا الفهرس یعلم مقدار مشایخ الراوی و تلامیذه، کما یعرف من هو مشارکه فی نقل الحدیث و کان فی طبقته، کما یعلم مشایخ کلّ واحد من هؤلاء الرّواة و طرقهم إلی الإمام.</w:t>
      </w:r>
    </w:p>
    <w:p>
      <w:pPr>
        <w:pStyle w:val="BookText"/>
      </w:pPr>
      <w:r>
        <w:rPr>
          <w:rFonts w:ascii="IRNazanin" w:hAnsi="IRNazanin" w:eastAsia="IRNazanin" w:cs="IRNazanin"/>
          <w:lang w:bidi="fa-IR"/>
          <w:color w:val="111111"/>
          <w:sz w:val="28"/>
          <w:szCs w:val="28"/>
          <w:rtl/>
        </w:rPr>
        <w:t xml:space="preserve">الثانی: قام بتألیف کتاب باسم «طبقات الرجال» فقد جعل سلسلة الرواة من عصر النّبی الأکرم - صلی اللّه علیه و آله - إلی زمان الشّیخ الطّوسی اثنتی عشرة طبقة، فجعل الصّحابة الطّبقة الاولی، و من أخذ عنهم الحدیث الطّبقة الثانیة، و هکذا و العمل الثانی منتزع من العمل الأوّل أعنی تجرید الأسانید، و هذا الأثر النّفیس، بل الآثار النّفیسة بعد غیر مطبوعة، بل مخزونة فی مکتبته الشخصیّة العامرة، نسأل اللّه سبحانه أن یوفّق أهل الجدّ و العلم للقیام بطبع هذه الترکة النّفیسة.</w:t>
      </w:r>
    </w:p>
    <w:p>
      <w:pPr>
        <w:pStyle w:val="BookText"/>
      </w:pPr>
      <w:r>
        <w:rPr>
          <w:rFonts w:ascii="IRNazanin" w:hAnsi="IRNazanin" w:eastAsia="IRNazanin" w:cs="IRNazanin"/>
          <w:lang w:bidi="fa-IR"/>
          <w:color w:val="111111"/>
          <w:sz w:val="28"/>
          <w:szCs w:val="28"/>
          <w:rtl/>
        </w:rPr>
        <w:t xml:space="preserve">یقول الاستاذ «واعظ زاده» و هو یحدّث عن الإمام البروجردی فی تلک الرّسالة و أنّه أحد من سلک هذا الطّریق، و إن لم یکن مبتکرا فی فتح هذا الباب:</w:t>
      </w:r>
    </w:p>
    <w:p>
      <w:pPr>
        <w:pStyle w:val="BookText"/>
      </w:pPr>
      <w:r>
        <w:rPr>
          <w:rFonts w:ascii="IRNazanin" w:hAnsi="IRNazanin" w:eastAsia="IRNazanin" w:cs="IRNazanin"/>
          <w:lang w:bidi="fa-IR"/>
          <w:color w:val="111111"/>
          <w:sz w:val="28"/>
          <w:szCs w:val="28"/>
          <w:rtl/>
        </w:rPr>
        <w:t xml:space="preserve">«إنّ الإشراف علی جمیع روایات الرّاوی یستدعی جمعها فی کرّاس واحد، و هذا ما عمله قدیما علماء الحدیث من الجمهور، و سمّوا هذا النوع من الکتب «المسند»، و کان الغرض الأهمّ لهم من هذا العمل، التلاقی مع الرواة فی أحادیثهم. أمّا الشّیعة الإمامیّة فلم یهتمّوا بالمسانید و کان الإمام البروجردی، یحبّذ هذا العمل و یرغّب طلاب العلم بالاشتغال به، و لا ریب أنّه فراغ فی حدیثنا یجب أن یسدّ.</w:t>
      </w:r>
    </w:p>
    <w:p>
      <w:pPr>
        <w:pStyle w:val="BookText"/>
      </w:pPr>
      <w:r>
        <w:rPr>
          <w:rFonts w:ascii="IRNazanin" w:hAnsi="IRNazanin" w:eastAsia="IRNazanin" w:cs="IRNazanin"/>
          <w:lang w:bidi="fa-IR"/>
          <w:color w:val="111111"/>
          <w:sz w:val="28"/>
          <w:szCs w:val="28"/>
          <w:rtl/>
        </w:rPr>
        <w:t xml:space="preserve">[شماره صفحه واقعی : 144]
</w:t>
      </w:r>
    </w:p>
    <w:p>
      <w:pPr>
        <w:sectPr>
          <w:footerReference w:type="default" r:id="rId18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الإمام البروجردی اکتفی من ذلک بجمع أسانید کلّ راو إلی الإمام فقط، و رتّبها فی فهارس کاملة. هذا ما ابتکره الإمام و لم یسبقه فیه غیره.</w:t>
      </w:r>
    </w:p>
    <w:p>
      <w:pPr>
        <w:pStyle w:val="BookText"/>
      </w:pPr>
      <w:r>
        <w:rPr>
          <w:rFonts w:ascii="IRNazanin" w:hAnsi="IRNazanin" w:eastAsia="IRNazanin" w:cs="IRNazanin"/>
          <w:lang w:bidi="fa-IR"/>
          <w:color w:val="111111"/>
          <w:sz w:val="28"/>
          <w:szCs w:val="28"/>
          <w:rtl/>
        </w:rPr>
        <w:t xml:space="preserve">نعم، استخبار طبقة الرواة و شیوخهم و تلامیذهم من سند الأحادیث لم یتغافل عنه السّابقون، کیف و إنّهم یستدلّون بذلک فی کتبهم، و قد أکثر الشیخ محمّد الأردبیلی فی کتابه «جامع الرواة» منه. فإنّه یلتقط فی ترجمة الرجال، جملة من الأسانید من الکتب الأربعة و غیرها، و یستدلّ بها علی شیوخ الراوی و تلامیذهم و طبقته من دون استقصاء.</w:t>
      </w:r>
    </w:p>
    <w:p>
      <w:pPr>
        <w:pStyle w:val="BookText"/>
      </w:pPr>
      <w:r>
        <w:rPr>
          <w:rFonts w:ascii="IRNazanin" w:hAnsi="IRNazanin" w:eastAsia="IRNazanin" w:cs="IRNazanin"/>
          <w:lang w:bidi="fa-IR"/>
          <w:color w:val="111111"/>
          <w:sz w:val="28"/>
          <w:szCs w:val="28"/>
          <w:rtl/>
        </w:rPr>
        <w:t xml:space="preserve">نعم، إنّ البروجردی لیس أوّل من تفطّن و التفت إلی مدی تأثیر الأسانید فی معرفة الرواة و طبقاتهم، و إنّما الأستاذ أوّل من رتّب الأسانید و استقصاه فی فهارس جامعة، و بذلک وضع أمام المحقّقین ذریعة محکمة للاستشراف علی شتّی أسانید للرواة و الانتفاع بها.</w:t>
      </w:r>
    </w:p>
    <w:p>
      <w:pPr>
        <w:pStyle w:val="BookText"/>
      </w:pPr>
      <w:r>
        <w:rPr>
          <w:rFonts w:ascii="IRNazanin" w:hAnsi="IRNazanin" w:eastAsia="IRNazanin" w:cs="IRNazanin"/>
          <w:lang w:bidi="fa-IR"/>
          <w:color w:val="111111"/>
          <w:sz w:val="28"/>
          <w:szCs w:val="28"/>
          <w:rtl/>
        </w:rPr>
        <w:t xml:space="preserve">إنّ الاستاذ لما أحسّ بضرورة استقصاء الأسانید الّتی وقع فیها اسم الراوی، و کانت الأسانید مبعثرة مع أحادیثها فی ثنایا الکتب، بحیث یصعب أو یستحیل الاحاطة بها عادة، تفطّن بأنّه یجب أن یلتقطها من مواضعها فیرتّبها فی قوائم و فهارس.</w:t>
      </w:r>
    </w:p>
    <w:p>
      <w:pPr>
        <w:pStyle w:val="BookText"/>
      </w:pPr>
      <w:r>
        <w:rPr>
          <w:rFonts w:ascii="IRNazanin" w:hAnsi="IRNazanin" w:eastAsia="IRNazanin" w:cs="IRNazanin"/>
          <w:lang w:bidi="fa-IR"/>
          <w:color w:val="111111"/>
          <w:sz w:val="28"/>
          <w:szCs w:val="28"/>
          <w:rtl/>
        </w:rPr>
        <w:t xml:space="preserve">و ابتدأ عمله هذا بأسانید الکتب الأربعة و سمّاها «مرتّب أسانید الکافی»، ثمّ «مرتّب أسانید التّهذیب» و هکذا. ثمّ انصرف إلی الکتب الأربعة الرجالیّة و کثیر من غیرها من کتب الحدیث مراعیا ترتیب الحروف.</w:t>
      </w:r>
    </w:p>
    <w:p>
      <w:pPr>
        <w:pStyle w:val="BookText"/>
      </w:pPr>
      <w:r>
        <w:rPr>
          <w:rFonts w:ascii="IRNazanin" w:hAnsi="IRNazanin" w:eastAsia="IRNazanin" w:cs="IRNazanin"/>
          <w:lang w:bidi="fa-IR"/>
          <w:color w:val="111111"/>
          <w:sz w:val="28"/>
          <w:szCs w:val="28"/>
          <w:rtl/>
        </w:rPr>
        <w:t xml:space="preserve">و ها نحن نعرض نموذجا من عمل الإمام الأکبر حتّی یعرف منها ما تحمّله من المشاقّ فی سدّ هذا الفراغ.</w:t>
      </w:r>
    </w:p>
    <w:p>
      <w:pPr>
        <w:pStyle w:val="BookText"/>
      </w:pPr>
      <w:r>
        <w:rPr>
          <w:rFonts w:ascii="IRNazanin" w:hAnsi="IRNazanin" w:eastAsia="IRNazanin" w:cs="IRNazanin"/>
          <w:lang w:bidi="fa-IR"/>
          <w:color w:val="111111"/>
          <w:sz w:val="28"/>
          <w:szCs w:val="28"/>
          <w:rtl/>
        </w:rPr>
        <w:t xml:space="preserve">و من لاحظ هذا الانموذج، یعرف مدی ما لهذه الفهارس من الأثر فی علم الرّجال کما یقف علی اسلوبها، و لتوضیح حال هذا الانموذج نقول:</w:t>
      </w:r>
    </w:p>
    <w:p>
      <w:pPr>
        <w:pStyle w:val="BookText"/>
      </w:pPr>
      <w:r>
        <w:rPr>
          <w:rFonts w:ascii="IRNazanin" w:hAnsi="IRNazanin" w:eastAsia="IRNazanin" w:cs="IRNazanin"/>
          <w:lang w:bidi="fa-IR"/>
          <w:color w:val="111111"/>
          <w:sz w:val="28"/>
          <w:szCs w:val="28"/>
          <w:rtl/>
        </w:rPr>
        <w:t xml:space="preserve">إنّ الشّیخ الطّوسی مؤلّف «التهذیب و الاستبصار» أخذ جمیع ما یرویه فی</w:t>
      </w:r>
    </w:p>
    <w:p>
      <w:pPr>
        <w:pStyle w:val="BookText"/>
      </w:pPr>
      <w:r>
        <w:rPr>
          <w:rFonts w:ascii="IRNazanin" w:hAnsi="IRNazanin" w:eastAsia="IRNazanin" w:cs="IRNazanin"/>
          <w:lang w:bidi="fa-IR"/>
          <w:color w:val="111111"/>
          <w:sz w:val="28"/>
          <w:szCs w:val="28"/>
          <w:rtl/>
        </w:rPr>
        <w:t xml:space="preserve">[شماره صفحه واقعی : 145]
</w:t>
      </w:r>
    </w:p>
    <w:p>
      <w:pPr>
        <w:sectPr>
          <w:footerReference w:type="default" r:id="rId1801"/>
          <w:footnotePr>
            <w:numStart w:val="1"/>
            <w:numRestart w:val="eachPage"/>
          </w:footnotePr>
          <w:pgSz w:orient="portrait" w:w="11905.511811023622" w:h="16837.79527559055"/>
          <w:pgMar w:top="1440" w:right="1440" w:bottom="1440" w:left="1440" w:header="720" w:footer="720" w:gutter="0"/>
          <w:cols w:num="1" w:space="720"/>
        </w:sectPr>
      </w:pPr>
    </w:p>
    <w:bookmarkStart w:id="950" w:name="pg14411_144183"/>
    <w:bookmarkEnd w:id="950"/>
    <w:p>
      <w:pPr>
        <w:pStyle w:val="BookText"/>
      </w:pPr>
      <w:r>
        <w:rPr>
          <w:rFonts w:ascii="IRNazanin" w:hAnsi="IRNazanin" w:eastAsia="IRNazanin" w:cs="IRNazanin"/>
          <w:lang w:bidi="fa-IR"/>
          <w:color w:val="111111"/>
          <w:sz w:val="28"/>
          <w:szCs w:val="28"/>
          <w:rtl/>
        </w:rPr>
        <w:t xml:space="preserve">هذین الکتابین، من کتب و جوامع ظهرت فی القرن الثانی إلی القرن الرابع الهجری، فیکتفی فی نقل الحدیث باسم صاحب الکتاب فی أوّل السند، ثمّ یذکر طریقه إلی أرباب الکتب فی خاتمة الکتابین، فی باب أسماه المشیخة، و قد سبقه إلی هذا العمل الشّیخ الصّدوق فی «من لا یحضره الفقیه».</w:t>
      </w:r>
    </w:p>
    <w:p>
      <w:pPr>
        <w:pStyle w:val="BookText"/>
      </w:pPr>
      <w:r>
        <w:rPr>
          <w:rFonts w:ascii="IRNazanin" w:hAnsi="IRNazanin" w:eastAsia="IRNazanin" w:cs="IRNazanin"/>
          <w:lang w:bidi="fa-IR"/>
          <w:color w:val="111111"/>
          <w:sz w:val="28"/>
          <w:szCs w:val="28"/>
          <w:rtl/>
        </w:rPr>
        <w:t xml:space="preserve">و ممّن نقل فی التهذیب عنه «الحسن بن محمّد بن سماعة» فقد نقل من کتابه أحادیث کثیرة فی مختلف الأبواب.</w:t>
      </w:r>
    </w:p>
    <w:p>
      <w:pPr>
        <w:pStyle w:val="BookText"/>
      </w:pPr>
      <w:r>
        <w:rPr>
          <w:rFonts w:ascii="IRNazanin" w:hAnsi="IRNazanin" w:eastAsia="IRNazanin" w:cs="IRNazanin"/>
          <w:lang w:bidi="fa-IR"/>
          <w:color w:val="111111"/>
          <w:sz w:val="28"/>
          <w:szCs w:val="28"/>
          <w:rtl/>
        </w:rPr>
        <w:t xml:space="preserve">فالإمام البروجردی ذکر طرق ابن سماعة إلی الأئمّة علی ترتیب الحروف، فیبدأ باسم أحمد بن أبی بشیر، ثمّ أحمد بن الحسن المیثمی، ثمّ إسحاق. فمن تأمّل فی هذا الانموذج یعلم مشایخ ابن سماعة فی التّهذیب و یعلم مشایخ هذه المشایخ و طرقهم إلی الإمام، فإذا ضمّ ترتیب أسانید الحسن بن محمّد بن سماعة فی التّهذیب إلی سائر الکتب یعلم من المجموع مشایخه و مشایخ مشایخه و طبقاتهم، کما یعرف من ملاحظة المتون مقدار تضلّعه فی الحدیث و ضبطه و إتقانه إلی غیر ذلک من الفوائد».</w:t>
      </w:r>
    </w:p>
    <w:p>
      <w:pPr>
        <w:pStyle w:val="Heading6"/>
      </w:pPr>
      <w:bookmarkStart w:id="2807" w:name="_Toc1842"/>
      <w:r>
        <w:t>4 - معجم رجال الحدیث</w:t>
      </w:r>
      <w:bookmarkEnd w:id="2807"/>
    </w:p>
    <w:p>
      <w:pPr>
        <w:pStyle w:val="BookText"/>
      </w:pPr>
      <w:r>
        <w:rPr>
          <w:rFonts w:ascii="IRNazanin" w:hAnsi="IRNazanin" w:eastAsia="IRNazanin" w:cs="IRNazanin"/>
          <w:lang w:bidi="fa-IR"/>
          <w:color w:val="111111"/>
          <w:sz w:val="28"/>
          <w:szCs w:val="28"/>
          <w:rtl/>
        </w:rPr>
        <w:t xml:space="preserve">و أخیرا قام العلاّمة المحقّق الخوئی - دام ظلّه الوارف - بتألیف کتاب أسماه «معجم رجال الحدیث و تفصیل طبقات الرواة» و من خصائص و مزایا هذا الکتاب هی أنّه قد ذکر فی ترجمة کلّ شخص جمیع رواته و من روی هو عنهم فی الکتب الأربعة، و قد یذکر ما فی غیرها أیضا و لا سیّما رجال الکشّی، فقد ذکر أکثر ما فیه من الرواة و المرویّ عنهم، و بذلک خدم علم الرجال خدمة کبیرة.</w:t>
      </w:r>
    </w:p>
    <w:p>
      <w:pPr>
        <w:pStyle w:val="BookText"/>
      </w:pPr>
      <w:r>
        <w:rPr>
          <w:rFonts w:ascii="IRNazanin" w:hAnsi="IRNazanin" w:eastAsia="IRNazanin" w:cs="IRNazanin"/>
          <w:lang w:bidi="fa-IR"/>
          <w:color w:val="111111"/>
          <w:sz w:val="28"/>
          <w:szCs w:val="28"/>
          <w:rtl/>
        </w:rPr>
        <w:t xml:space="preserve">أوّلا: یعرف بالمراجعة إلی تفصیل طبقات الرّواة - أعنی الّذی ذیّل به کلّ جزء من أجزاء کتابه البالغة 23 جزء - طبقات الرواة من حیث العصر و المشایخ و التّلامیذ، و بذلک یقف الانسان علی کمال السّند و نقصانه، و ربّما</w:t>
      </w:r>
    </w:p>
    <w:p>
      <w:pPr>
        <w:pStyle w:val="BookText"/>
      </w:pPr>
      <w:r>
        <w:rPr>
          <w:rFonts w:ascii="IRNazanin" w:hAnsi="IRNazanin" w:eastAsia="IRNazanin" w:cs="IRNazanin"/>
          <w:lang w:bidi="fa-IR"/>
          <w:color w:val="111111"/>
          <w:sz w:val="28"/>
          <w:szCs w:val="28"/>
          <w:rtl/>
        </w:rPr>
        <w:t xml:space="preserve">[شماره صفحه واقعی : 146]
</w:t>
      </w:r>
    </w:p>
    <w:p>
      <w:pPr>
        <w:sectPr>
          <w:footerReference w:type="default" r:id="rId18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یعرف الحلقة المفقودة فی أثنائه إذا کان حافظا للمشایخ و التّلامیذ.</w:t>
      </w:r>
    </w:p>
    <w:p>
      <w:pPr>
        <w:pStyle w:val="BookText"/>
      </w:pPr>
      <w:r>
        <w:rPr>
          <w:rFonts w:ascii="IRNazanin" w:hAnsi="IRNazanin" w:eastAsia="IRNazanin" w:cs="IRNazanin"/>
          <w:lang w:bidi="fa-IR"/>
          <w:color w:val="111111"/>
          <w:sz w:val="28"/>
          <w:szCs w:val="28"/>
          <w:rtl/>
        </w:rPr>
        <w:t xml:space="preserve">ثانیا: یحصل التمییز الکامل بین المشترکات غالبا، فإنّ قسما کبیرا من الرواة مشترک الاسم فی الشّخص و الأب فلا یعرف الانسان أنّه من هو، و لکن بالوقوف علی تفصیل طبقات الرواة یمیّز المشترک و یعیّن الراوی بشخصه، و الکتاب من حسنات الدّهر.</w:t>
      </w:r>
    </w:p>
    <w:p>
      <w:pPr>
        <w:pStyle w:val="BookText"/>
      </w:pPr>
      <w:r>
        <w:rPr>
          <w:rFonts w:ascii="IRNazanin" w:hAnsi="IRNazanin" w:eastAsia="IRNazanin" w:cs="IRNazanin"/>
          <w:lang w:bidi="fa-IR"/>
          <w:color w:val="111111"/>
          <w:sz w:val="28"/>
          <w:szCs w:val="28"/>
          <w:rtl/>
        </w:rPr>
        <w:t xml:space="preserve">رحم اللّه الماضین من علمائنا و حفظ الباقین منهم و جعلنا مقتفین لآثارهم إن شاء اللّه.</w:t>
      </w:r>
    </w:p>
    <w:p>
      <w:pPr>
        <w:pStyle w:val="BookText"/>
      </w:pPr>
      <w:r>
        <w:rPr>
          <w:rFonts w:ascii="IRNazanin" w:hAnsi="IRNazanin" w:eastAsia="IRNazanin" w:cs="IRNazanin"/>
          <w:lang w:bidi="fa-IR"/>
          <w:color w:val="111111"/>
          <w:sz w:val="28"/>
          <w:szCs w:val="28"/>
          <w:rtl/>
        </w:rPr>
        <w:t xml:space="preserve">[شماره صفحه واقعی : 147]
</w:t>
      </w:r>
    </w:p>
    <w:p>
      <w:pPr>
        <w:sectPr>
          <w:footerReference w:type="default" r:id="rId18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148]
</w:t>
      </w:r>
    </w:p>
    <w:p>
      <w:pPr>
        <w:sectPr>
          <w:footerReference w:type="default" r:id="rId1804"/>
          <w:footnotePr>
            <w:numStart w:val="1"/>
            <w:numRestart w:val="eachPage"/>
          </w:footnotePr>
          <w:pgSz w:orient="portrait" w:w="11905.511811023622" w:h="16837.79527559055"/>
          <w:pgMar w:top="1440" w:right="1440" w:bottom="1440" w:left="1440" w:header="720" w:footer="720" w:gutter="0"/>
          <w:cols w:num="1" w:space="720"/>
        </w:sectPr>
      </w:pPr>
    </w:p>
    <w:bookmarkStart w:id="951" w:name="pg14411_144186"/>
    <w:bookmarkEnd w:id="951"/>
    <w:p>
      <w:pPr>
        <w:pStyle w:val="Heading4"/>
      </w:pPr>
      <w:bookmarkStart w:id="2808" w:name="_Toc1843"/>
      <w:r>
        <w:t>الفصل الخامس: التوثیقات الخاصة</w:t>
      </w:r>
      <w:bookmarkEnd w:id="2808"/>
    </w:p>
    <w:p>
      <w:pPr>
        <w:pStyle w:val="Heading5"/>
      </w:pPr>
      <w:bookmarkStart w:id="2809" w:name="_Toc1844"/>
      <w:r>
        <w:t>اشارة</w:t>
      </w:r>
      <w:bookmarkEnd w:id="280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نصّ أحد المعصومین أو الأعلام المتقدّمین أو المتأخّرین.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دعوی الاجماع أو المدح الکاشف.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سعی المستنبط علی جمع القرائن.</w:t>
      </w:r>
    </w:p>
    <w:p>
      <w:pPr>
        <w:pStyle w:val="BookText"/>
      </w:pPr>
      <w:r>
        <w:rPr>
          <w:rFonts w:ascii="IRNazanin" w:hAnsi="IRNazanin" w:eastAsia="IRNazanin" w:cs="IRNazanin"/>
          <w:lang w:bidi="fa-IR"/>
          <w:color w:val="111111"/>
          <w:sz w:val="28"/>
          <w:szCs w:val="28"/>
          <w:rtl/>
        </w:rPr>
        <w:t xml:space="preserve">[شماره صفحه واقعی : 149]
</w:t>
      </w:r>
    </w:p>
    <w:p>
      <w:pPr>
        <w:sectPr>
          <w:footerReference w:type="default" r:id="rId18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150]
</w:t>
      </w:r>
    </w:p>
    <w:p>
      <w:pPr>
        <w:sectPr>
          <w:footerReference w:type="default" r:id="rId1806"/>
          <w:footnotePr>
            <w:numStart w:val="1"/>
            <w:numRestart w:val="eachPage"/>
          </w:footnotePr>
          <w:pgSz w:orient="portrait" w:w="11905.511811023622" w:h="16837.79527559055"/>
          <w:pgMar w:top="1440" w:right="1440" w:bottom="1440" w:left="1440" w:header="720" w:footer="720" w:gutter="0"/>
          <w:cols w:num="1" w:space="720"/>
        </w:sectPr>
      </w:pPr>
    </w:p>
    <w:bookmarkStart w:id="952" w:name="pg14411_144188"/>
    <w:bookmarkEnd w:id="952"/>
    <w:p>
      <w:pPr>
        <w:pStyle w:val="BookText"/>
      </w:pPr>
      <w:r>
        <w:rPr>
          <w:rFonts w:ascii="IRNazanin" w:hAnsi="IRNazanin" w:eastAsia="IRNazanin" w:cs="IRNazanin"/>
          <w:lang w:bidi="fa-IR"/>
          <w:color w:val="111111"/>
          <w:sz w:val="28"/>
          <w:szCs w:val="28"/>
          <w:rtl/>
        </w:rPr>
        <w:t xml:space="preserve">المراد من التّوثیقات الخاصّة، التّوثیق الوارد فی حقّ شخص أو شخصین من دون أن یکون هناک ضابطة خاصّة تعمّهما و غیرهما، و تقابلها التّوثیقات العامّة، و یراد منها توثیق جماعة تحت ضابطة خاصّة و عنوان معیّن، و سنذکرها فی فصل قادم، إن شاء اللّه.</w:t>
      </w:r>
    </w:p>
    <w:p>
      <w:pPr>
        <w:pStyle w:val="BookText"/>
      </w:pPr>
      <w:r>
        <w:rPr>
          <w:rFonts w:ascii="IRNazanin" w:hAnsi="IRNazanin" w:eastAsia="IRNazanin" w:cs="IRNazanin"/>
          <w:lang w:bidi="fa-IR"/>
          <w:color w:val="111111"/>
          <w:sz w:val="28"/>
          <w:szCs w:val="28"/>
          <w:rtl/>
        </w:rPr>
        <w:t xml:space="preserve">و یثبت التوثیق الخاصّ بوجوه نذکرها واحدا بعد آخر:</w:t>
      </w:r>
    </w:p>
    <w:p>
      <w:pPr>
        <w:pStyle w:val="Heading5"/>
      </w:pPr>
      <w:bookmarkStart w:id="2810" w:name="_Toc1845"/>
      <w:r>
        <w:t>الأوّل: نصّ أحد المعصومین علیهم السلام</w:t>
      </w:r>
      <w:bookmarkEnd w:id="2810"/>
    </w:p>
    <w:p>
      <w:pPr>
        <w:pStyle w:val="BookText"/>
      </w:pPr>
      <w:r>
        <w:rPr>
          <w:rFonts w:ascii="IRNazanin" w:hAnsi="IRNazanin" w:eastAsia="IRNazanin" w:cs="IRNazanin"/>
          <w:lang w:bidi="fa-IR"/>
          <w:color w:val="111111"/>
          <w:sz w:val="28"/>
          <w:szCs w:val="28"/>
          <w:rtl/>
        </w:rPr>
        <w:t xml:space="preserve">إذا نصّ أحد المعصومین - علیهم السلام - علی وثاقة الرجل، فإنّ ذلک یثبت وثاقته قطعا، و هذا من أوضح الطّرق و أسماها، و لکن یتوقّف ذلک علی ثبوته بالعلم الوجدانی، أو بروایة معتبرة، و الأوّل غیر متحقّق فی زماننا، إلاّ أنّ الثّانی موجود کثیرا. مثلا؛ روی الکشّی بسند صحیح عن علیّ بن المسیّب قال: «قلت للرّضا - علیه السلام -: شقّتی بعیدة و لست أصل إلیک فی کلّ وقت، فعمّن آخذ معالم دینی؟</w:t>
      </w:r>
    </w:p>
    <w:p>
      <w:pPr>
        <w:pStyle w:val="BookText"/>
      </w:pPr>
      <w:r>
        <w:rPr>
          <w:rFonts w:ascii="IRNazanin" w:hAnsi="IRNazanin" w:eastAsia="IRNazanin" w:cs="IRNazanin"/>
          <w:lang w:bidi="fa-IR"/>
          <w:color w:val="111111"/>
          <w:sz w:val="28"/>
          <w:szCs w:val="28"/>
          <w:rtl/>
        </w:rPr>
        <w:t xml:space="preserve">فقال: من زکریّا بن آدم القمّی، المأمون علی الدّین و الدّنیا»</w:t>
      </w:r>
      <w:r>
        <w:rPr>
          <w:rStyle w:val="FootnoteReference"/>
        </w:rPr>
        <w:footnoteReference w:id="51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151]
</w:t>
      </w:r>
    </w:p>
    <w:p>
      <w:pPr>
        <w:sectPr>
          <w:footerReference w:type="default" r:id="rId18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 یجب أن یصل التّوثیق بسند صحیح، و یترتب علیه أمران:</w:t>
      </w:r>
    </w:p>
    <w:p>
      <w:pPr>
        <w:pStyle w:val="BookText"/>
      </w:pPr>
      <w:r>
        <w:rPr>
          <w:rFonts w:ascii="IRNazanin" w:hAnsi="IRNazanin" w:eastAsia="IRNazanin" w:cs="IRNazanin"/>
          <w:lang w:bidi="fa-IR"/>
          <w:color w:val="111111"/>
          <w:sz w:val="28"/>
          <w:szCs w:val="28"/>
          <w:rtl/>
        </w:rPr>
        <w:t xml:space="preserve">الأول: لا یمکن الاستدلال علی وثاقة شخص بروایة نفسه عن الإمام، فإنّ إثبات وثاقة الشّخص بقوله یستلزم الدّور الواضح، و کان سیدنا الاستاذ الإمام الخمینی</w:t>
      </w:r>
      <w:r>
        <w:rPr>
          <w:rStyle w:val="FootnoteReference"/>
        </w:rPr>
        <w:footnoteReference w:id="5122"/>
      </w:r>
      <w:r>
        <w:rPr>
          <w:rFonts w:ascii="IRNazanin" w:hAnsi="IRNazanin" w:eastAsia="IRNazanin" w:cs="IRNazanin"/>
          <w:lang w:bidi="fa-IR"/>
          <w:color w:val="111111"/>
          <w:sz w:val="28"/>
          <w:szCs w:val="28"/>
          <w:rtl/>
        </w:rPr>
        <w:t xml:space="preserve">- دام ظلّه - یقول: «إذا کان ناقل الوثاقة هو نفس الرّاوی، فإنّ ذلک یثیر سوء الظن به، حیث قام بنقل مدائحه و فضائله فی الملأ الاسلامی».</w:t>
      </w:r>
    </w:p>
    <w:p>
      <w:pPr>
        <w:pStyle w:val="BookText"/>
      </w:pPr>
      <w:r>
        <w:rPr>
          <w:rFonts w:ascii="IRNazanin" w:hAnsi="IRNazanin" w:eastAsia="IRNazanin" w:cs="IRNazanin"/>
          <w:lang w:bidi="fa-IR"/>
          <w:color w:val="111111"/>
          <w:sz w:val="28"/>
          <w:szCs w:val="28"/>
          <w:rtl/>
        </w:rPr>
        <w:t xml:space="preserve">الثانی: لا یمکن إثبات وثاقة الرّجل بالرّوایة الضّعیفة، فإنّ الروایة إذا لم تکن قابلة للاعتماد کیف تثبت بها وثاقة الرّجل؟</w:t>
      </w:r>
    </w:p>
    <w:p>
      <w:pPr>
        <w:pStyle w:val="BookText"/>
      </w:pPr>
      <w:r>
        <w:rPr>
          <w:rFonts w:ascii="IRNazanin" w:hAnsi="IRNazanin" w:eastAsia="IRNazanin" w:cs="IRNazanin"/>
          <w:lang w:bidi="fa-IR"/>
          <w:color w:val="111111"/>
          <w:sz w:val="28"/>
          <w:szCs w:val="28"/>
          <w:rtl/>
        </w:rPr>
        <w:t xml:space="preserve">و ربّما یستدلّ علی صحّة الاستدلال بالخبر الضّعیف لإثبات وثاقة الرّاوی إذا تضمّن وثاقته، بادّعاء انسداد باب العلم فی علم الرّجال، فینتهی الأمر إلی العمل بالظّنّ لا محالة، علی تقدیر انسداد باب العلم إجماعا، و لکنّه مردود بوجهین:</w:t>
      </w:r>
    </w:p>
    <w:p>
      <w:pPr>
        <w:pStyle w:val="BookText"/>
      </w:pPr>
      <w:r>
        <w:rPr>
          <w:rFonts w:ascii="IRNazanin" w:hAnsi="IRNazanin" w:eastAsia="IRNazanin" w:cs="IRNazanin"/>
          <w:lang w:bidi="fa-IR"/>
          <w:color w:val="111111"/>
          <w:sz w:val="28"/>
          <w:szCs w:val="28"/>
          <w:rtl/>
        </w:rPr>
        <w:t xml:space="preserve">الأوّل: باب العلم و العلمیّ بالتّوثیقات غیر منسدّ، لما ورد من التّوثیقات الکثیرة من طرق الأعلام المتقدّمین بل المتأخّرین، لو قلنا بکفایة توثیقاتهم، و فیها غنی و کفایة للمستنبط، خصوصا إذا قمنا بجمع القرائن و الشّواهد علی وثاقة الرّاوی، فإنّ کثرة القرائن توجب الاطمئنان العقلائی علی وثاقة الرّاوی و هو علم عرفیّ، و حجّة بلا إشکال.</w:t>
      </w:r>
    </w:p>
    <w:p>
      <w:pPr>
        <w:pStyle w:val="BookText"/>
      </w:pPr>
      <w:r>
        <w:rPr>
          <w:rFonts w:ascii="IRNazanin" w:hAnsi="IRNazanin" w:eastAsia="IRNazanin" w:cs="IRNazanin"/>
          <w:lang w:bidi="fa-IR"/>
          <w:color w:val="111111"/>
          <w:sz w:val="28"/>
          <w:szCs w:val="28"/>
          <w:rtl/>
        </w:rPr>
        <w:t xml:space="preserve">الثّانی: إنّ ما ذکره یرجع إلی انسداد باب العلم فی موضوع التّوثیقات، و لکن لیس انسداد باب العلم فی کلّ موضوع موجبا لحجّیة الظنّ فی ذلک الموضوع، و إنّما الاعتبار بانسداد باب العلم فی معظم الأحکام الشّرعیّة، فإن ثبت الأخیر کان الظّنّ بالحکم الشرعی من أی مصدر جاء حجّة، سواء کان باب</w:t>
      </w:r>
    </w:p>
    <w:p>
      <w:pPr>
        <w:pStyle w:val="BookText"/>
      </w:pPr>
      <w:r>
        <w:rPr>
          <w:rFonts w:ascii="IRNazanin" w:hAnsi="IRNazanin" w:eastAsia="IRNazanin" w:cs="IRNazanin"/>
          <w:lang w:bidi="fa-IR"/>
          <w:color w:val="111111"/>
          <w:sz w:val="28"/>
          <w:szCs w:val="28"/>
          <w:rtl/>
        </w:rPr>
        <w:t xml:space="preserve">[شماره صفحه واقعی : 152]
</w:t>
      </w:r>
    </w:p>
    <w:p>
      <w:pPr>
        <w:sectPr>
          <w:footerReference w:type="default" r:id="rId1808"/>
          <w:footnotePr>
            <w:numStart w:val="1"/>
            <w:numRestart w:val="eachPage"/>
          </w:footnotePr>
          <w:pgSz w:orient="portrait" w:w="11905.511811023622" w:h="16837.79527559055"/>
          <w:pgMar w:top="1440" w:right="1440" w:bottom="1440" w:left="1440" w:header="720" w:footer="720" w:gutter="0"/>
          <w:cols w:num="1" w:space="720"/>
        </w:sectPr>
      </w:pPr>
    </w:p>
    <w:bookmarkStart w:id="953" w:name="pg14411_144190"/>
    <w:bookmarkEnd w:id="953"/>
    <w:p>
      <w:pPr>
        <w:pStyle w:val="BookText"/>
      </w:pPr>
      <w:r>
        <w:rPr>
          <w:rFonts w:ascii="IRNazanin" w:hAnsi="IRNazanin" w:eastAsia="IRNazanin" w:cs="IRNazanin"/>
          <w:lang w:bidi="fa-IR"/>
          <w:color w:val="111111"/>
          <w:sz w:val="28"/>
          <w:szCs w:val="28"/>
          <w:rtl/>
        </w:rPr>
        <w:t xml:space="preserve">العلم فی الرّجال منسدّا أم لم یکن، و إذا کان باب العلم و العلمیّ بمعظمها مفتوحا، لم یکن الظنّ الرّجالی حجّة سواء کان أیضا باب العلم بالتّوثیقات منسدّا أم لم یکن.</w:t>
      </w:r>
    </w:p>
    <w:p>
      <w:pPr>
        <w:pStyle w:val="BookText"/>
      </w:pPr>
      <w:r>
        <w:rPr>
          <w:rFonts w:ascii="IRNazanin" w:hAnsi="IRNazanin" w:eastAsia="IRNazanin" w:cs="IRNazanin"/>
          <w:lang w:bidi="fa-IR"/>
          <w:color w:val="111111"/>
          <w:sz w:val="28"/>
          <w:szCs w:val="28"/>
          <w:rtl/>
        </w:rPr>
        <w:t xml:space="preserve">و بالجملة؛ انسداد باب العلم و العلمی فی خصوص الأحکام الشرعیّة هو المناط لحجیّة کلّ ظنّ (و منه الظنّ الرجالی) وقع طریقا إلی الأحکام الشرعیّة، أمّا إذا فرضنا باب العلم و العلمیّ مفتوحا فی باب الأحکام، فلا یکون الظنّ الرجالیّ حجّة و إن کان باب العلم و العلمی فیه منسدّا.</w:t>
      </w:r>
    </w:p>
    <w:p>
      <w:pPr>
        <w:pStyle w:val="BookText"/>
      </w:pPr>
      <w:r>
        <w:rPr>
          <w:rFonts w:ascii="IRNazanin" w:hAnsi="IRNazanin" w:eastAsia="IRNazanin" w:cs="IRNazanin"/>
          <w:lang w:bidi="fa-IR"/>
          <w:color w:val="111111"/>
          <w:sz w:val="28"/>
          <w:szCs w:val="28"/>
          <w:rtl/>
        </w:rPr>
        <w:t xml:space="preserve">و قد أشار إلی ما ذکرنا الشیخ الأعظم فی فرائده عند البحث عن حجیة قول اللغوی حیث قال:</w:t>
      </w:r>
    </w:p>
    <w:p>
      <w:pPr>
        <w:pStyle w:val="BookText"/>
      </w:pPr>
      <w:r>
        <w:rPr>
          <w:rFonts w:ascii="IRNazanin" w:hAnsi="IRNazanin" w:eastAsia="IRNazanin" w:cs="IRNazanin"/>
          <w:lang w:bidi="fa-IR"/>
          <w:color w:val="111111"/>
          <w:sz w:val="28"/>
          <w:szCs w:val="28"/>
          <w:rtl/>
        </w:rPr>
        <w:t xml:space="preserve">«إنّ کلّ من عمل بالظنّ فی مطلق الأحکام الشرعیّة، یلزمه العمل بالظنّ بالحکم النّاشی من الظنّ بقول اللّغوی، لکنّه لا یحتاج إلی دعوی انسداد باب العلم فی اللّغات، بل العبرة عندهم بانسداد باب العلم فی معظم الأحکام، فإنّه یوجب الرّجوع إلی الظنّ بالحکم، الحاصل من الظنّ باللّغة، و إن فرض انفتاح باب العلم فی ما عدا هذا المورد من اللّغات»</w:t>
      </w:r>
      <w:r>
        <w:rPr>
          <w:rStyle w:val="FootnoteReference"/>
        </w:rPr>
        <w:footnoteReference w:id="5123"/>
      </w:r>
      <w:r>
        <w:rPr>
          <w:rFonts w:ascii="Times New Roman" w:hAnsi="Times New Roman" w:eastAsia="Times New Roman" w:cs="Times New Roman"/>
          <w:lang w:val="en-US" w:bidi="en-US"/>
          <w:color w:val="111111"/>
          <w:sz w:val="28"/>
          <w:szCs w:val="28"/>
          <w:rtl/>
        </w:rPr>
        <w:t xml:space="preserve">.</w:t>
      </w:r>
    </w:p>
    <w:p>
      <w:pPr>
        <w:pStyle w:val="Heading5"/>
      </w:pPr>
      <w:bookmarkStart w:id="2811" w:name="_Toc1846"/>
      <w:r>
        <w:t>الثانیة: نص أحد أعلام المتقدمین</w:t>
      </w:r>
      <w:bookmarkEnd w:id="2811"/>
    </w:p>
    <w:p>
      <w:pPr>
        <w:pStyle w:val="BookText"/>
      </w:pPr>
      <w:r>
        <w:rPr>
          <w:rFonts w:ascii="IRNazanin" w:hAnsi="IRNazanin" w:eastAsia="IRNazanin" w:cs="IRNazanin"/>
          <w:lang w:bidi="fa-IR"/>
          <w:color w:val="111111"/>
          <w:sz w:val="28"/>
          <w:szCs w:val="28"/>
          <w:rtl/>
        </w:rPr>
        <w:t xml:space="preserve">إذا نصّ أحد أعلام المتقدّمین کالبرقی و الکشّی و ابن قولویه و الصّدوق و المفید و النّجاشی و الشّیخ و أمثالهم علی وثاقة الرّجل، یثبت به حال الرّجل بلا کلام، غیر أنّ هناک بحثا آخر و هو: هل یکتفی بتوثیق واحد منهم أو یحتاج إلی توثیقین؟ و تحقیق المسألة موکول إلی محلّها فی الفقه و خلاصة الکلام هو أنّ حجّیة خبر الثّقة هل یختص بالأحکام الشرعیّة أو تعمّ الموضوعات أیضا؟ فعلی القول الأوّل لا یصحّ الاعتماد علی توثیق واحد، بل یحتاج إلی ضمّ توثیق</w:t>
      </w:r>
    </w:p>
    <w:p>
      <w:pPr>
        <w:pStyle w:val="BookText"/>
      </w:pPr>
      <w:r>
        <w:rPr>
          <w:rFonts w:ascii="IRNazanin" w:hAnsi="IRNazanin" w:eastAsia="IRNazanin" w:cs="IRNazanin"/>
          <w:lang w:bidi="fa-IR"/>
          <w:color w:val="111111"/>
          <w:sz w:val="28"/>
          <w:szCs w:val="28"/>
          <w:rtl/>
        </w:rPr>
        <w:t xml:space="preserve">[شماره صفحه واقعی : 153]
</w:t>
      </w:r>
    </w:p>
    <w:p>
      <w:pPr>
        <w:sectPr>
          <w:footerReference w:type="default" r:id="rId1809"/>
          <w:footnotePr>
            <w:numStart w:val="1"/>
            <w:numRestart w:val="eachPage"/>
          </w:footnotePr>
          <w:pgSz w:orient="portrait" w:w="11905.511811023622" w:h="16837.79527559055"/>
          <w:pgMar w:top="1440" w:right="1440" w:bottom="1440" w:left="1440" w:header="720" w:footer="720" w:gutter="0"/>
          <w:cols w:num="1" w:space="720"/>
        </w:sectPr>
      </w:pPr>
    </w:p>
    <w:bookmarkStart w:id="954" w:name="pg14411_144191"/>
    <w:bookmarkEnd w:id="954"/>
    <w:p>
      <w:pPr>
        <w:pStyle w:val="BookText"/>
      </w:pPr>
      <w:r>
        <w:rPr>
          <w:rFonts w:ascii="IRNazanin" w:hAnsi="IRNazanin" w:eastAsia="IRNazanin" w:cs="IRNazanin"/>
          <w:lang w:bidi="fa-IR"/>
          <w:color w:val="111111"/>
          <w:sz w:val="28"/>
          <w:szCs w:val="28"/>
          <w:rtl/>
        </w:rPr>
        <w:t xml:space="preserve">آخر، و علی الثّانی یکتفی بالتّوثیق الواحد، و یکون خبر الثّقة حجّة فی الأحکام و الموضوعات، إلاّ ما قام الدّلیل علی اعتبار التعدّد فیه، کما فی المرافعات و ثبوت الهلال، و المشهور هو الأوّل، و الأقوی هو الثّانی و سیوافیک بیانه فی آخر البحث.</w:t>
      </w:r>
    </w:p>
    <w:p>
      <w:pPr>
        <w:pStyle w:val="Heading5"/>
      </w:pPr>
      <w:bookmarkStart w:id="2812" w:name="_Toc1847"/>
      <w:r>
        <w:t>الثالثة: نص أحد أعلام المتأخرین</w:t>
      </w:r>
      <w:bookmarkEnd w:id="2812"/>
    </w:p>
    <w:p>
      <w:pPr>
        <w:pStyle w:val="BookText"/>
      </w:pPr>
      <w:r>
        <w:rPr>
          <w:rFonts w:ascii="IRNazanin" w:hAnsi="IRNazanin" w:eastAsia="IRNazanin" w:cs="IRNazanin"/>
          <w:lang w:bidi="fa-IR"/>
          <w:color w:val="111111"/>
          <w:sz w:val="28"/>
          <w:szCs w:val="28"/>
          <w:rtl/>
        </w:rPr>
        <w:t xml:space="preserve">و ممّا تثبت به وثاقة الراوی أو حسن حاله هو نصّ أحد أعلام المتأخّرین عن الشّیخ و ذلک علی قسمین:</w:t>
      </w:r>
    </w:p>
    <w:p>
      <w:pPr>
        <w:pStyle w:val="BookText"/>
      </w:pPr>
      <w:r>
        <w:rPr>
          <w:rFonts w:ascii="IRNazanin" w:hAnsi="IRNazanin" w:eastAsia="IRNazanin" w:cs="IRNazanin"/>
          <w:lang w:bidi="fa-IR"/>
          <w:color w:val="111111"/>
          <w:sz w:val="28"/>
          <w:szCs w:val="28"/>
          <w:rtl/>
        </w:rPr>
        <w:t xml:space="preserve">قسم مستند إلی الحسّ و قسم مستند إلی الحدس.</w:t>
      </w:r>
    </w:p>
    <w:p>
      <w:pPr>
        <w:pStyle w:val="BookText"/>
      </w:pPr>
      <w:r>
        <w:rPr>
          <w:rFonts w:ascii="IRNazanin" w:hAnsi="IRNazanin" w:eastAsia="IRNazanin" w:cs="IRNazanin"/>
          <w:lang w:bidi="fa-IR"/>
          <w:color w:val="111111"/>
          <w:sz w:val="28"/>
          <w:szCs w:val="28"/>
          <w:rtl/>
        </w:rPr>
        <w:t xml:space="preserve">فالأوّل؛ کما فی توثیقات الشّیخ منتجب الدین (المتوفّی بعد عام 585) و ابن شهر آشوب صاحب «معالم العلماء» (المتوفّی عام 588) و غیرهما فإنّهم لأجل قرب عصرهم لعصور الرواة، و وجود الکتب الرجالیّة المؤلّفة فی العصور المتقدّمة بینهم، کانوا یعتمدون فی التّوثیقات و التّضعیفات إلی السّماع، أو الوجدان فی الکتاب المعروف أو إلی الاستفاضة و الاشتهار و دونهما فی الاعتماد ما ینقله ابن داود فی رجاله، و العلاّمة فی خلاصته عن بعض علماء الرجال.</w:t>
      </w:r>
    </w:p>
    <w:p>
      <w:pPr>
        <w:pStyle w:val="BookText"/>
      </w:pPr>
      <w:r>
        <w:rPr>
          <w:rFonts w:ascii="IRNazanin" w:hAnsi="IRNazanin" w:eastAsia="IRNazanin" w:cs="IRNazanin"/>
          <w:lang w:bidi="fa-IR"/>
          <w:color w:val="111111"/>
          <w:sz w:val="28"/>
          <w:szCs w:val="28"/>
          <w:rtl/>
        </w:rPr>
        <w:t xml:space="preserve">و الثانی؛ کالتّوثیقات الواردة فی رجال من تأخّر عنهم، کالمیرزا الاسترآبادی و السیّد التفریشی و الأردبیلی و القهبائی و المجلسی و المحقّق البهبهانی و أضرابهم، فإنّ توثیقاتهم مبنیّة علی الحدس و الاجتهاد، کما تفصح عنه کتبهم، فلو قلنا بأنّ حجّیة قول الرجالی من باب الشّهادة، فلا تعتبر توثیقات المتأخّرین، لأنّ آراءهم فی حقّ الرّواة مبنیّة علی الاجتهاد و الحدس، و لا شکّ فی أنّه یعتبر فی قبول الشّهادة إحراز کونها مستندة إلی الحسّ دون الحدس، کیف و قد ورد فی باب الشّهادة أنّ الصادق - علیه السلام - قال: «لا تشهدنّ بشهادة حتّی تعرفها کما تعرف کفّک»</w:t>
      </w:r>
      <w:r>
        <w:rPr>
          <w:rStyle w:val="FootnoteReference"/>
        </w:rPr>
        <w:footnoteReference w:id="5124"/>
      </w:r>
      <w:r>
        <w:rPr>
          <w:rFonts w:ascii="IRNazanin" w:hAnsi="IRNazanin" w:eastAsia="IRNazanin" w:cs="IRNazanin"/>
          <w:lang w:bidi="fa-IR"/>
          <w:color w:val="111111"/>
          <w:sz w:val="28"/>
          <w:szCs w:val="28"/>
          <w:rtl/>
        </w:rPr>
        <w:t xml:space="preserve">. و فی حدیث عن النّبی</w:t>
      </w:r>
    </w:p>
    <w:p>
      <w:pPr>
        <w:pStyle w:val="BookText"/>
      </w:pPr>
      <w:r>
        <w:rPr>
          <w:rFonts w:ascii="IRNazanin" w:hAnsi="IRNazanin" w:eastAsia="IRNazanin" w:cs="IRNazanin"/>
          <w:lang w:bidi="fa-IR"/>
          <w:color w:val="111111"/>
          <w:sz w:val="28"/>
          <w:szCs w:val="28"/>
          <w:rtl/>
        </w:rPr>
        <w:t xml:space="preserve">[شماره صفحه واقعی : 154]
</w:t>
      </w:r>
    </w:p>
    <w:p>
      <w:pPr>
        <w:sectPr>
          <w:footerReference w:type="default" r:id="rId18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صلی اللّه علیه و آله - و قد سئل عن الشّهادة، قال: «هل تری الشّمس؟ علی مثلها فاشهد أو دع»</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إذا قلنا بأنّ العمل بقول الرجالی من باب الشّهادة، و أمّا إذا قلنا بأنّ الرجوع إلیهم من باب الرّجوع إلی أهل الخبرة، فإجمال الکلام فیه أنّه لا یشترط فی الاعتماد علی قول أهل الخبرة أن یکون نظره مستندا إلی الحسّ، فإنّ قول المقوّم حجّة فی الخسارات و غیرها، و لا شکّ أنّ التّقویم لا یمکن أن یکون مستندا إلی الحسّ فی عامّة الموارد. و علی ذلک فلو کان الرّجوع إلی علماء الرجال من ذاک الباب، فالرّجوع إلی أعلام المتأخّرین المتخصّصین فی تمییز الثّقة عن غیره بالطرق و القرائن المفیدة للاطمئنان ممّا لا بأس به.</w:t>
      </w:r>
    </w:p>
    <w:p>
      <w:pPr>
        <w:pStyle w:val="BookText"/>
      </w:pPr>
      <w:r>
        <w:rPr>
          <w:rFonts w:ascii="IRNazanin" w:hAnsi="IRNazanin" w:eastAsia="IRNazanin" w:cs="IRNazanin"/>
          <w:lang w:bidi="fa-IR"/>
          <w:color w:val="111111"/>
          <w:sz w:val="28"/>
          <w:szCs w:val="28"/>
          <w:rtl/>
        </w:rPr>
        <w:t xml:space="preserve">و ما یقال من أنّ الفقیه غیر معذور فی التّقلید، فیجب علی الفقیه أن یکون بنفسه ذا خبرة فی التعرّف علی أحوال الرّواة، غیر تامّ، لأنّ تحصیل الخبرویّة فی کلّ ما یرجع إلی الاستنباط أمر عسیر، لو لم یکن بمستحیل، فإنّ مقدّمات الاستنباط کثیرة، و قد أنهاها بعضهم إلی أربعة عشر فنّا، و لا یمکن للمجتهد فی هذه الأیّام أن یکون متخصّصا فی کلّ واحد من هذه الفنون، بل یجوز أن یرجع فی بعض المقدّمات البعیدة أو القریبة إلی المتخصّصین الموثوق بهم فی ذاک الفنّ، و قد جرت علی ذلک سیرة الفقهاء، بالأخصّ فی ما یرجع إلی الأدب العربی و لغات القرآن و السنّة و غیر ذلک، و لیکن منها تمییز الثقة عن غیره. هذا علی القول بأنّ الرجوع إلی أهل الرّجال من باب الرجوع إلی أهل الخبرة الموثوق بقولهم.</w:t>
      </w:r>
    </w:p>
    <w:p>
      <w:pPr>
        <w:pStyle w:val="BookText"/>
      </w:pPr>
      <w:r>
        <w:rPr>
          <w:rFonts w:ascii="IRNazanin" w:hAnsi="IRNazanin" w:eastAsia="IRNazanin" w:cs="IRNazanin"/>
          <w:lang w:bidi="fa-IR"/>
          <w:color w:val="111111"/>
          <w:sz w:val="28"/>
          <w:szCs w:val="28"/>
          <w:rtl/>
        </w:rPr>
        <w:t xml:space="preserve">و هناک وجه ثالث فی توثیقات المتأخّرین، و هو أنّ الحجّة هو الخبر الموثوق بصدوره عن المعصوم - علیه السلام - لا خصوص خبر الثّقة، و بینهما فرق واضح، إذ لو قلنا بأنّ الحجّة قول الثّقة یکون المناط وثاقة الرّجل و إن لم یکن نفس الخبر موثوقا بالصّدور.</w:t>
      </w:r>
    </w:p>
    <w:p>
      <w:pPr>
        <w:pStyle w:val="BookText"/>
      </w:pPr>
      <w:r>
        <w:rPr>
          <w:rFonts w:ascii="IRNazanin" w:hAnsi="IRNazanin" w:eastAsia="IRNazanin" w:cs="IRNazanin"/>
          <w:lang w:bidi="fa-IR"/>
          <w:color w:val="111111"/>
          <w:sz w:val="28"/>
          <w:szCs w:val="28"/>
          <w:rtl/>
        </w:rPr>
        <w:t xml:space="preserve">[شماره صفحه واقعی : 155]
</w:t>
      </w:r>
    </w:p>
    <w:p>
      <w:pPr>
        <w:sectPr>
          <w:footerReference w:type="default" r:id="rId1811"/>
          <w:footnotePr>
            <w:numStart w:val="1"/>
            <w:numRestart w:val="eachPage"/>
          </w:footnotePr>
          <w:pgSz w:orient="portrait" w:w="11905.511811023622" w:h="16837.79527559055"/>
          <w:pgMar w:top="1440" w:right="1440" w:bottom="1440" w:left="1440" w:header="720" w:footer="720" w:gutter="0"/>
          <w:cols w:num="1" w:space="720"/>
        </w:sectPr>
      </w:pPr>
    </w:p>
    <w:bookmarkStart w:id="955" w:name="pg14411_144193"/>
    <w:bookmarkEnd w:id="955"/>
    <w:p>
      <w:pPr>
        <w:pStyle w:val="BookText"/>
      </w:pPr>
      <w:r>
        <w:rPr>
          <w:rFonts w:ascii="IRNazanin" w:hAnsi="IRNazanin" w:eastAsia="IRNazanin" w:cs="IRNazanin"/>
          <w:lang w:bidi="fa-IR"/>
          <w:color w:val="111111"/>
          <w:sz w:val="28"/>
          <w:szCs w:val="28"/>
          <w:rtl/>
        </w:rPr>
        <w:t xml:space="preserve">و لا ملازمة بین وثاقة الرّاوی و کون الخبر موثوقا بالصّدور، بل ربّما یکون الراوی ثقة، و لکنّ القرائن و الأمارات تشهد علی عدم صدور الخبر من الإمام - علیه السلام -، و أنّ الثّقة قد التبس علیه الأمر، و هذا بخلاف ما لو قلنا بأنّ المناط هو کون الخبر موثوق الصّدور، إذ عندئذ تکون وثاقة الرّاوی من إحدی الأمارات علی کون الخبر موثوق الصّدور، و لا تنحصر الحجیّة بخبر الثّقة، بل لو لم یحرز وثاقة الراوی و دلّت القرائن علی صدق الخبر و صحّته یجوز الأخذ به.</w:t>
      </w:r>
    </w:p>
    <w:p>
      <w:pPr>
        <w:pStyle w:val="BookText"/>
      </w:pPr>
      <w:r>
        <w:rPr>
          <w:rFonts w:ascii="IRNazanin" w:hAnsi="IRNazanin" w:eastAsia="IRNazanin" w:cs="IRNazanin"/>
          <w:lang w:bidi="fa-IR"/>
          <w:color w:val="111111"/>
          <w:sz w:val="28"/>
          <w:szCs w:val="28"/>
          <w:rtl/>
        </w:rPr>
        <w:t xml:space="preserve">و هذا القول غیر بعید بالنّظر إلی سیرة العقلاء، فقد جرت سیرتهم علی الأخذ بالخبر الموثوق الصّدور، و إن لم تحرز وثاقة المخبر، لأنّ وثاقة المخبر طریق إلی إحراز صدق الخبر، و علی ذلک فیجوز الأخذ بمطلق الموثوق بصدوره إذا شهدت القرائن علیه.</w:t>
      </w:r>
    </w:p>
    <w:p>
      <w:pPr>
        <w:pStyle w:val="BookText"/>
      </w:pPr>
      <w:r>
        <w:rPr>
          <w:rFonts w:ascii="Amiri" w:hAnsi="Amiri" w:eastAsia="Amiri" w:cs="Amiri"/>
          <w:lang w:bidi="ar-SA"/>
          <w:color w:val="111111"/>
          <w:sz w:val="28"/>
          <w:szCs w:val="28"/>
          <w:rtl/>
        </w:rPr>
        <w:t xml:space="preserve">و یوضح هذا مفاد آیة النّبأ و هو لزوم التثبّت و التوقّف حتّی یتبیّن الحال، فإذا تبیّنت و انکشف الواقع انکشافا عقلائیا بحیث یرکن إلیه العقلاء یجوز الرکون إلیه و الاعتماد علیه. فلاحظ قوله سبحانه: یا أَیُّهَا الَّذِینَ آمَنُوا إِنْ جاءَکُمْ فاسِقٌ بِنَبَإٍ فَتَبَیَّنُوا فإنّ ظاهره أنّ المناط هو تبیّن الحال و إن کان الرّاوی غیر ثقة.</w:t>
      </w:r>
    </w:p>
    <w:p>
      <w:pPr>
        <w:pStyle w:val="BookText"/>
      </w:pPr>
      <w:r>
        <w:rPr>
          <w:rFonts w:ascii="IRNazanin" w:hAnsi="IRNazanin" w:eastAsia="IRNazanin" w:cs="IRNazanin"/>
          <w:lang w:bidi="fa-IR"/>
          <w:color w:val="111111"/>
          <w:sz w:val="28"/>
          <w:szCs w:val="28"/>
          <w:rtl/>
        </w:rPr>
        <w:t xml:space="preserve">و علی هذا (أی حجّیة الخبر الموثوق الصّدور) یجوز الرّکون إلی توثیقات المتأخّرین المتخصّصین الماهرین فی هذا الفنّ، إذا کان قولهم و رأیهم أوجب الوثوق بصدور الخبر، خصوصا إذا انضمّ إلیها ما یستخرجه المستنبط من قرائن اخر ممّا یوقفه علی صحّة الخبر و صدوره.</w:t>
      </w:r>
    </w:p>
    <w:p>
      <w:pPr>
        <w:pStyle w:val="Heading5"/>
      </w:pPr>
      <w:bookmarkStart w:id="2813" w:name="_Toc1848"/>
      <w:r>
        <w:t>الرابعة: دعوی الاجماع من قبل الأقدمین</w:t>
      </w:r>
      <w:bookmarkEnd w:id="2813"/>
    </w:p>
    <w:p>
      <w:pPr>
        <w:pStyle w:val="BookText"/>
      </w:pPr>
      <w:r>
        <w:rPr>
          <w:rFonts w:ascii="IRNazanin" w:hAnsi="IRNazanin" w:eastAsia="IRNazanin" w:cs="IRNazanin"/>
          <w:lang w:bidi="fa-IR"/>
          <w:color w:val="111111"/>
          <w:sz w:val="28"/>
          <w:szCs w:val="28"/>
          <w:rtl/>
        </w:rPr>
        <w:t xml:space="preserve">و ممّا تثبت به الوثاقة أو حسن حال الراوی أن یدّعی أحد من الأقدمین، الاجماع علی وثاقة الراوی إجماعا منقولا، فإنّه لا یقصر عن توثیق مدّعی الاجماع بنفسه، و علی ذلک یمکن الاعتماد علی الاجماع المنقول فی حقّ</w:t>
      </w:r>
    </w:p>
    <w:p>
      <w:pPr>
        <w:pStyle w:val="BookText"/>
      </w:pPr>
      <w:r>
        <w:rPr>
          <w:rFonts w:ascii="IRNazanin" w:hAnsi="IRNazanin" w:eastAsia="IRNazanin" w:cs="IRNazanin"/>
          <w:lang w:bidi="fa-IR"/>
          <w:color w:val="111111"/>
          <w:sz w:val="28"/>
          <w:szCs w:val="28"/>
          <w:rtl/>
        </w:rPr>
        <w:t xml:space="preserve">[شماره صفحه واقعی : 156]
</w:t>
      </w:r>
    </w:p>
    <w:p>
      <w:pPr>
        <w:sectPr>
          <w:footerReference w:type="default" r:id="rId1812"/>
          <w:footnotePr>
            <w:numStart w:val="1"/>
            <w:numRestart w:val="eachPage"/>
          </w:footnotePr>
          <w:pgSz w:orient="portrait" w:w="11905.511811023622" w:h="16837.79527559055"/>
          <w:pgMar w:top="1440" w:right="1440" w:bottom="1440" w:left="1440" w:header="720" w:footer="720" w:gutter="0"/>
          <w:cols w:num="1" w:space="720"/>
        </w:sectPr>
      </w:pPr>
    </w:p>
    <w:bookmarkStart w:id="956" w:name="pg14411_144194"/>
    <w:bookmarkEnd w:id="956"/>
    <w:p>
      <w:pPr>
        <w:pStyle w:val="BookText"/>
      </w:pPr>
      <w:r>
        <w:rPr>
          <w:rFonts w:ascii="IRNazanin" w:hAnsi="IRNazanin" w:eastAsia="IRNazanin" w:cs="IRNazanin"/>
          <w:lang w:bidi="fa-IR"/>
          <w:color w:val="111111"/>
          <w:sz w:val="28"/>
          <w:szCs w:val="28"/>
          <w:rtl/>
        </w:rPr>
        <w:t xml:space="preserve">إبراهیم بن هاشم والد علیّ بن إبراهیم القمّی، فقد ادّعی ابن طاووس الاتّفاق علی وثاقته. فهذه الدعوی تکشف عن توثیق بعض القدماء لا محالة و هو یکفی فی إثبات وثاقته.</w:t>
      </w:r>
    </w:p>
    <w:p>
      <w:pPr>
        <w:pStyle w:val="BookText"/>
      </w:pPr>
      <w:r>
        <w:rPr>
          <w:rFonts w:ascii="IRNazanin" w:hAnsi="IRNazanin" w:eastAsia="IRNazanin" w:cs="IRNazanin"/>
          <w:lang w:bidi="fa-IR"/>
          <w:color w:val="111111"/>
          <w:sz w:val="28"/>
          <w:szCs w:val="28"/>
          <w:rtl/>
        </w:rPr>
        <w:t xml:space="preserve">بل یمکن الاعتماد علی مثل تلک الاجماعات المنقولة حتّی إذا کانت فی کلمات المتأخّرین، فإنّه یکشف أیضا عن توثیق بعض القدماء لا محالة.</w:t>
      </w:r>
    </w:p>
    <w:p>
      <w:pPr>
        <w:pStyle w:val="Heading5"/>
      </w:pPr>
      <w:bookmarkStart w:id="2814" w:name="_Toc1849"/>
      <w:r>
        <w:t>الخامسة: المدح الکاشف عن حسن الظاهر</w:t>
      </w:r>
      <w:bookmarkEnd w:id="2814"/>
    </w:p>
    <w:p>
      <w:pPr>
        <w:pStyle w:val="BookText"/>
      </w:pPr>
      <w:r>
        <w:rPr>
          <w:rFonts w:ascii="IRNazanin" w:hAnsi="IRNazanin" w:eastAsia="IRNazanin" w:cs="IRNazanin"/>
          <w:lang w:bidi="fa-IR"/>
          <w:color w:val="111111"/>
          <w:sz w:val="28"/>
          <w:szCs w:val="28"/>
          <w:rtl/>
        </w:rPr>
        <w:t xml:space="preserve">إنّ کثیرا من المدائح الواردة فی لسان الرجالیّین، یکشف عن حسن الظّاهر الکاشف عن ملکة العدالة، فإنّ استکشاف عدالة الراوی لا یختصّ بقولهم: «ثقة أو عدل» بل کثیر من الألفاظ الّتی عدّوها من المدائح، یمکن أن یستکشف بها العدالة، و هذا بحث ضاف سیوافیک شرحه.</w:t>
      </w:r>
    </w:p>
    <w:p>
      <w:pPr>
        <w:pStyle w:val="Heading5"/>
      </w:pPr>
      <w:bookmarkStart w:id="2815" w:name="_Toc1850"/>
      <w:r>
        <w:t>السادسة: سعی المستنبط علی جمع القرائن</w:t>
      </w:r>
      <w:bookmarkEnd w:id="2815"/>
    </w:p>
    <w:p>
      <w:pPr>
        <w:pStyle w:val="BookText"/>
      </w:pPr>
      <w:r>
        <w:rPr>
          <w:rFonts w:ascii="IRNazanin" w:hAnsi="IRNazanin" w:eastAsia="IRNazanin" w:cs="IRNazanin"/>
          <w:lang w:bidi="fa-IR"/>
          <w:color w:val="111111"/>
          <w:sz w:val="28"/>
          <w:szCs w:val="28"/>
          <w:rtl/>
        </w:rPr>
        <w:t xml:space="preserve">إنّ سعی المستنبط علی جمع القرائن و الشّواهد المفیدة للاطمئنان علی وثاقة الرّاوی أو خلافها، من أوثق الطّرق و أسدّها، و لکن سلوک ذاک الطّریق یتوقّف علی وجود قابلیات فی السّالک و صلاحیّات فیه، ألزمها التسلّط علی طبقات الرّواة و الاحاطة علی خصوصیّات الراوی، من حیث المشایخ و التّلامیذ، و کمیّة روایاته من حیث القلّة و الکثرة، و مدی ضبطه، إلی غیر ذلک من الامور الّتی لا تندرج تحت ضابط معیّن، و لکنّها تورث الاطمئنان الذی هو علم عرفا و لا شکّ فی حجّیته، و بما أنّ سلوک هذا الطّریق لا ینفکّ عن تحمّل مشاقّ لا تستسهل، قلّ سالکه و عزّ طارقه، و السائد علی العلماء فی التعرّف علی الرّواة، الرّجوع إلی نقل التوثیقات و التضعیفات.</w:t>
      </w:r>
    </w:p>
    <w:p>
      <w:pPr>
        <w:pStyle w:val="BookText"/>
      </w:pPr>
      <w:r>
        <w:rPr>
          <w:rFonts w:ascii="IRNazanin" w:hAnsi="IRNazanin" w:eastAsia="IRNazanin" w:cs="IRNazanin"/>
          <w:lang w:bidi="fa-IR"/>
          <w:color w:val="111111"/>
          <w:sz w:val="28"/>
          <w:szCs w:val="28"/>
          <w:rtl/>
        </w:rPr>
        <w:t xml:space="preserve">هذه الطّرق ممّا تثبت بها وثاقة الرّاوی بلا کلام و هی طرق خاصّة تثبت بها وثاقة فرد خاصّ، و هناک طرق عامّة توصف بالتّوثیقات العامّة، تثبت بها وثاقة جمع من الرّواة و سیأتی البحث عنها فی الفصل القادم إن شاء اللّه.</w:t>
      </w:r>
    </w:p>
    <w:p>
      <w:pPr>
        <w:pStyle w:val="BookText"/>
      </w:pPr>
      <w:r>
        <w:rPr>
          <w:rFonts w:ascii="IRNazanin" w:hAnsi="IRNazanin" w:eastAsia="IRNazanin" w:cs="IRNazanin"/>
          <w:lang w:bidi="fa-IR"/>
          <w:color w:val="111111"/>
          <w:sz w:val="28"/>
          <w:szCs w:val="28"/>
          <w:rtl/>
        </w:rPr>
        <w:t xml:space="preserve">[شماره صفحه واقعی : 157]
</w:t>
      </w:r>
    </w:p>
    <w:p>
      <w:pPr>
        <w:sectPr>
          <w:footerReference w:type="default" r:id="rId1813"/>
          <w:footnotePr>
            <w:numStart w:val="1"/>
            <w:numRestart w:val="eachPage"/>
          </w:footnotePr>
          <w:pgSz w:orient="portrait" w:w="11905.511811023622" w:h="16837.79527559055"/>
          <w:pgMar w:top="1440" w:right="1440" w:bottom="1440" w:left="1440" w:header="720" w:footer="720" w:gutter="0"/>
          <w:cols w:num="1" w:space="720"/>
        </w:sectPr>
      </w:pPr>
    </w:p>
    <w:bookmarkStart w:id="957" w:name="pg14411_144195"/>
    <w:bookmarkEnd w:id="957"/>
    <w:p>
      <w:pPr>
        <w:pStyle w:val="Heading5"/>
      </w:pPr>
      <w:bookmarkStart w:id="2816" w:name="_Toc1851"/>
      <w:r>
        <w:t>بحث استطرادی و هو هل یکفی تزکیة العدل الواحد؟</w:t>
      </w:r>
      <w:bookmarkEnd w:id="2816"/>
    </w:p>
    <w:p>
      <w:pPr>
        <w:pStyle w:val="BookText"/>
      </w:pPr>
      <w:r>
        <w:rPr>
          <w:rFonts w:ascii="IRNazanin" w:hAnsi="IRNazanin" w:eastAsia="IRNazanin" w:cs="IRNazanin"/>
          <w:lang w:bidi="fa-IR"/>
          <w:color w:val="111111"/>
          <w:sz w:val="28"/>
          <w:szCs w:val="28"/>
          <w:rtl/>
        </w:rPr>
        <w:t xml:space="preserve">قد وقفت علی أنّ کثیرا من العلماء، یعتبرون قول الرّجالی من باب الشّهادة، و عندئذ اختلفوا فی أنّه هل یکتفی فی تزکیة الرّاوی بشهادة العدل الواحد أو لا؟ علی قولین: الأوّل؛ هو المشهور بین أصحابنا المتأخّرین.</w:t>
      </w:r>
    </w:p>
    <w:p>
      <w:pPr>
        <w:pStyle w:val="BookText"/>
      </w:pPr>
      <w:r>
        <w:rPr>
          <w:rFonts w:ascii="IRNazanin" w:hAnsi="IRNazanin" w:eastAsia="IRNazanin" w:cs="IRNazanin"/>
          <w:lang w:bidi="fa-IR"/>
          <w:color w:val="111111"/>
          <w:sz w:val="28"/>
          <w:szCs w:val="28"/>
          <w:rtl/>
        </w:rPr>
        <w:t xml:space="preserve">و الثّانی؛ هو قول جماعة من الاصولیّین و هو مختار المحقّق و صاحب «منتقی الجمان».</w:t>
      </w:r>
    </w:p>
    <w:p>
      <w:pPr>
        <w:pStyle w:val="BookText"/>
      </w:pPr>
      <w:r>
        <w:rPr>
          <w:rFonts w:ascii="IRNazanin" w:hAnsi="IRNazanin" w:eastAsia="IRNazanin" w:cs="IRNazanin"/>
          <w:lang w:bidi="fa-IR"/>
          <w:color w:val="111111"/>
          <w:sz w:val="28"/>
          <w:szCs w:val="28"/>
          <w:rtl/>
        </w:rPr>
        <w:t xml:space="preserve">استدلّ صاحب «المنتقی» للقول الثّانی بأنّ اشتراط العدالة فی الرّاوی، یقتضی اعتبار العلم بها، و ظاهر أنّ تزکیة الواحد لا یفیده بمجرّدها، و الاکتفاء بالعدلین مع عدم إفادتهما العلم، إنّما هو لقیامهما مقامه شرعا، فلا یقاس تزکیة الواحد علیه</w:t>
      </w:r>
      <w:r>
        <w:rPr>
          <w:rStyle w:val="FootnoteReference"/>
        </w:rPr>
        <w:footnoteReference w:id="51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استدلّ المتأخّرون بوجوه. منها: أنّ التّزکیة شرط لقبول الروایة، فلا تزید علی شروطها و قد اکتفی فی أصل الرّوایة بالواحد.</w:t>
      </w:r>
    </w:p>
    <w:p>
      <w:pPr>
        <w:pStyle w:val="BookText"/>
      </w:pPr>
      <w:r>
        <w:rPr>
          <w:rFonts w:ascii="IRNazanin" w:hAnsi="IRNazanin" w:eastAsia="IRNazanin" w:cs="IRNazanin"/>
          <w:lang w:bidi="fa-IR"/>
          <w:color w:val="111111"/>
          <w:sz w:val="28"/>
          <w:szCs w:val="28"/>
          <w:rtl/>
        </w:rPr>
        <w:t xml:space="preserve">و لا یخفی أنّ الاستدلال أشبه شیء بالقیاس، إذ من الممکن أن یکتفی فی أصل الرّوایة بالواحد و لا یکتفی فی إحراز شرطها به.</w:t>
      </w:r>
    </w:p>
    <w:p>
      <w:pPr>
        <w:pStyle w:val="BookText"/>
      </w:pPr>
      <w:r>
        <w:rPr>
          <w:rFonts w:ascii="IRNazanin" w:hAnsi="IRNazanin" w:eastAsia="IRNazanin" w:cs="IRNazanin"/>
          <w:lang w:bidi="fa-IR"/>
          <w:color w:val="111111"/>
          <w:sz w:val="28"/>
          <w:szCs w:val="28"/>
          <w:rtl/>
        </w:rPr>
        <w:t xml:space="preserve">منها: أنّ العلم بالعدالة متعذّر غالبا فلا یناط التّکلیف به2.</w:t>
      </w:r>
    </w:p>
    <w:p>
      <w:pPr>
        <w:pStyle w:val="BookText"/>
      </w:pPr>
      <w:r>
        <w:rPr>
          <w:rFonts w:ascii="IRNazanin" w:hAnsi="IRNazanin" w:eastAsia="IRNazanin" w:cs="IRNazanin"/>
          <w:lang w:bidi="fa-IR"/>
          <w:color w:val="111111"/>
          <w:sz w:val="28"/>
          <w:szCs w:val="28"/>
          <w:rtl/>
        </w:rPr>
        <w:t xml:space="preserve">و فیه أنّه ادّعاء محض مع کفایة العدلین عنه.</w:t>
      </w:r>
    </w:p>
    <w:p>
      <w:pPr>
        <w:pStyle w:val="BookText"/>
      </w:pPr>
      <w:r>
        <w:rPr>
          <w:rFonts w:ascii="IRNazanin" w:hAnsi="IRNazanin" w:eastAsia="IRNazanin" w:cs="IRNazanin"/>
          <w:lang w:bidi="fa-IR"/>
          <w:color w:val="111111"/>
          <w:sz w:val="28"/>
          <w:szCs w:val="28"/>
          <w:rtl/>
        </w:rPr>
        <w:t xml:space="preserve">و لا یخفی أنّ استدلال صاحب «المنتقی متین لو لم یکن هناک إطلاق فی حجیّة خبر الواحد فی الموضوعات و الأحکام جمیعا، و الظّاهر وجود الإطلاق فی حجیّة قول العادل أو حجیّة خبر الثقة فی الموارد کلّها، حکما کان أو موضوعا، من غیر فرق بینهما إلاّ فی التّسمیة، حیث إنّ الأوّل یسمّی بالروایة</w:t>
      </w:r>
    </w:p>
    <w:p>
      <w:pPr>
        <w:pStyle w:val="BookText"/>
      </w:pPr>
      <w:r>
        <w:rPr>
          <w:rFonts w:ascii="IRNazanin" w:hAnsi="IRNazanin" w:eastAsia="IRNazanin" w:cs="IRNazanin"/>
          <w:lang w:bidi="fa-IR"/>
          <w:color w:val="111111"/>
          <w:sz w:val="28"/>
          <w:szCs w:val="28"/>
          <w:rtl/>
        </w:rPr>
        <w:t xml:space="preserve">[شماره صفحه واقعی : 158]
</w:t>
      </w:r>
    </w:p>
    <w:p>
      <w:pPr>
        <w:sectPr>
          <w:footerReference w:type="default" r:id="rId18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الثّانی بالشّهادة. فظاهر الروایات أنّ قول العدل أو الثّقة حجّة إلاّ فی مورد خرج بالدّلیل، کالمرافعة و الهلال الّذی تضافرت الروایات علی لزوم تعدّد الشاهد فیهما</w:t>
      </w:r>
      <w:r>
        <w:rPr>
          <w:rStyle w:val="FootnoteReference"/>
        </w:rPr>
        <w:footnoteReference w:id="51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یدلّ علی ما ذکرنا - أعنی حجیّة قول الشاهد الواحد فی الموضوعات - السیرة العقلائیة القطعیّة، لأنّهم یعتمدون علی أخبار الآحاد فی ما یرجع إلی معاشهم و معادهم، و حیث لم یردع عنها فی الشّریعة المقدّسة تکون ممضاة من قبل الشّارع فی الموضوعات و الأحکام.</w:t>
      </w:r>
    </w:p>
    <w:p>
      <w:pPr>
        <w:pStyle w:val="BookText"/>
      </w:pPr>
      <w:r>
        <w:rPr>
          <w:rFonts w:ascii="IRNazanin" w:hAnsi="IRNazanin" w:eastAsia="IRNazanin" w:cs="IRNazanin"/>
          <w:lang w:bidi="fa-IR"/>
          <w:color w:val="111111"/>
          <w:sz w:val="28"/>
          <w:szCs w:val="28"/>
          <w:rtl/>
        </w:rPr>
        <w:t xml:space="preserve">نعم لا یعتبر الشاهد الواحد فی المرافعات بل یجب تعدّده بضرورة الفقه و النصوص الصّحیحة.</w:t>
      </w:r>
    </w:p>
    <w:p>
      <w:pPr>
        <w:pStyle w:val="BookText"/>
      </w:pPr>
      <w:r>
        <w:rPr>
          <w:rFonts w:ascii="IRNazanin" w:hAnsi="IRNazanin" w:eastAsia="IRNazanin" w:cs="IRNazanin"/>
          <w:lang w:bidi="fa-IR"/>
          <w:color w:val="111111"/>
          <w:sz w:val="28"/>
          <w:szCs w:val="28"/>
          <w:rtl/>
        </w:rPr>
        <w:t xml:space="preserve">و تدلّ علی حجیّة قول الشاهد الواحد فی الموضوعات، مضافا إلی السّیرة العقلائیة الّتی هی أتقن الأدلّة، عدّة من الروایات الّتی نشیر إلی بعضها:</w:t>
      </w:r>
    </w:p>
    <w:p>
      <w:pPr>
        <w:pStyle w:val="BookText"/>
      </w:pPr>
      <w:r>
        <w:rPr>
          <w:rFonts w:ascii="IRNazanin" w:hAnsi="IRNazanin" w:eastAsia="IRNazanin" w:cs="IRNazanin"/>
          <w:lang w:bidi="fa-IR"/>
          <w:color w:val="111111"/>
          <w:sz w:val="28"/>
          <w:szCs w:val="28"/>
          <w:rtl/>
        </w:rPr>
        <w:t xml:space="preserve">1 - روی سماعة عن رجل تزوّج جاریة أو تمتّع بها، فحدّثه رجل ثقة أو غیر ثقة فقال: إنّ هذه امرأتی و لیست لی بیّنة، فقال: إن کان ثقة فلا یقربها و إن کان غیر ثقة فلا یقبل منه</w:t>
      </w:r>
      <w:r>
        <w:rPr>
          <w:rStyle w:val="FootnoteReference"/>
        </w:rPr>
        <w:footnoteReference w:id="51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و روی عیسی بن عبد اللّه الهاشمی عن أبیه، عن جدّه عن علیّ - علیه السلام -، قال: المؤذّن مؤتمن و الإمام ضامن</w:t>
      </w:r>
      <w:r>
        <w:rPr>
          <w:rStyle w:val="FootnoteReference"/>
        </w:rPr>
        <w:footnoteReference w:id="51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روی الصّدوق و قال: قال الصادق - علیه السلام - فی المؤذنین أنّهم الامناء3.</w:t>
      </w:r>
    </w:p>
    <w:p>
      <w:pPr>
        <w:pStyle w:val="BookText"/>
      </w:pPr>
      <w:r>
        <w:rPr>
          <w:rFonts w:ascii="IRNazanin" w:hAnsi="IRNazanin" w:eastAsia="IRNazanin" w:cs="IRNazanin"/>
          <w:lang w:bidi="fa-IR"/>
          <w:color w:val="111111"/>
          <w:sz w:val="28"/>
          <w:szCs w:val="28"/>
          <w:rtl/>
        </w:rPr>
        <w:t xml:space="preserve">4 - و روی أیضا بإسناده عن بلال، قال: سمعت رسول اللّه - صلی اللّه</w:t>
      </w:r>
    </w:p>
    <w:p>
      <w:pPr>
        <w:pStyle w:val="BookText"/>
      </w:pPr>
      <w:r>
        <w:rPr>
          <w:rFonts w:ascii="IRNazanin" w:hAnsi="IRNazanin" w:eastAsia="IRNazanin" w:cs="IRNazanin"/>
          <w:lang w:bidi="fa-IR"/>
          <w:color w:val="111111"/>
          <w:sz w:val="28"/>
          <w:szCs w:val="28"/>
          <w:rtl/>
        </w:rPr>
        <w:t xml:space="preserve">[شماره صفحه واقعی : 159]
</w:t>
      </w:r>
    </w:p>
    <w:p>
      <w:pPr>
        <w:sectPr>
          <w:footerReference w:type="default" r:id="rId18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و آله - یقول: المؤذّنون امناء المؤمنین علی صلاتهم و صومهم و لحومهم و دمائهم</w:t>
      </w:r>
      <w:r>
        <w:rPr>
          <w:rStyle w:val="FootnoteReference"/>
        </w:rPr>
        <w:footnoteReference w:id="51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روی عمر بن یزید قال: سألت أبا عبد اللّه - علیه السلام - عن رجل مات و ترک امرأته و هی حامل، فوضعت بعد موته غلاما، ثمّ مات الغلام بعد ما وقع إلی الأرض، فشهدت المرأة الّتی قبلتها أنّه استهلّ و صاح حین وقع إلی الأرض، ثمّ مات، قال: علی الإمام أن یجیز شهادتها فی ربع میراث الغلام</w:t>
      </w:r>
      <w:r>
        <w:rPr>
          <w:rStyle w:val="FootnoteReference"/>
        </w:rPr>
        <w:footnoteReference w:id="51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و قد تضافرت الروایات علی قبول قول المرأة الواحدة فی ربع الوصیّة. روی الربعی عن أبی عبد اللّه - علیه السلام - فی شهادة امرأة حضرت رجلا یوصی لیس معها رجل، فقال: یجاز ربع ما أوصی بحساب شهادتها.</w:t>
      </w:r>
    </w:p>
    <w:p>
      <w:pPr>
        <w:pStyle w:val="BookText"/>
      </w:pPr>
      <w:r>
        <w:rPr>
          <w:rFonts w:ascii="IRNazanin" w:hAnsi="IRNazanin" w:eastAsia="IRNazanin" w:cs="IRNazanin"/>
          <w:lang w:bidi="fa-IR"/>
          <w:color w:val="111111"/>
          <w:sz w:val="28"/>
          <w:szCs w:val="28"/>
          <w:rtl/>
        </w:rPr>
        <w:t xml:space="preserve">7 - و یشعر بحجّیة قول المؤذّن الواحد ما رواه الفضل بن شاذان فی ما ذکره من العلل لأمر الناس بالأذان</w:t>
      </w:r>
      <w:r>
        <w:rPr>
          <w:rStyle w:val="FootnoteReference"/>
        </w:rPr>
        <w:footnoteReference w:id="51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 کما یشعر بذلک أیضا ما رواه أحمد بن عبد اللّه القزوینی عن أبیه فی مذاکراته مع الفضل بن ربیع</w:t>
      </w:r>
      <w:r>
        <w:rPr>
          <w:rStyle w:val="FootnoteReference"/>
        </w:rPr>
        <w:footnoteReference w:id="51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هذه الروایات (مع إمکان الخدشة فی دلالة بعضها) مع السیرة الرائجة بین العقلاء، تشرف بالفقیه إلی الاذعان بحجیّة قول الثقة فی الموضوعات کحجّیة قوله فی الأحکام، إلاّ ما خرج بالدّلیل، کباب القضاء و المرافعات و هلال الشهر، و التّفصیل موکول إلی محلّه</w:t>
      </w:r>
      <w:r>
        <w:rPr>
          <w:rStyle w:val="FootnoteReference"/>
        </w:rPr>
        <w:footnoteReference w:id="51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160]
</w:t>
      </w:r>
    </w:p>
    <w:p>
      <w:pPr>
        <w:sectPr>
          <w:footerReference w:type="default" r:id="rId1816"/>
          <w:footnotePr>
            <w:numStart w:val="1"/>
            <w:numRestart w:val="eachPage"/>
          </w:footnotePr>
          <w:pgSz w:orient="portrait" w:w="11905.511811023622" w:h="16837.79527559055"/>
          <w:pgMar w:top="1440" w:right="1440" w:bottom="1440" w:left="1440" w:header="720" w:footer="720" w:gutter="0"/>
          <w:cols w:num="1" w:space="720"/>
        </w:sectPr>
      </w:pPr>
    </w:p>
    <w:bookmarkStart w:id="958" w:name="pg14411_144198"/>
    <w:bookmarkEnd w:id="958"/>
    <w:p>
      <w:pPr>
        <w:pStyle w:val="Heading4"/>
      </w:pPr>
      <w:bookmarkStart w:id="2817" w:name="_Toc1852"/>
      <w:r>
        <w:t>الفصل السادس: التوثیقات العامة</w:t>
      </w:r>
      <w:bookmarkEnd w:id="2817"/>
    </w:p>
    <w:p>
      <w:pPr>
        <w:pStyle w:val="Heading5"/>
      </w:pPr>
      <w:bookmarkStart w:id="2818" w:name="_Toc1853"/>
      <w:r>
        <w:t>اشارة</w:t>
      </w:r>
      <w:bookmarkEnd w:id="2818"/>
    </w:p>
    <w:p>
      <w:pPr>
        <w:pStyle w:val="BookText"/>
      </w:pPr>
      <w:r>
        <w:rPr>
          <w:rFonts w:ascii="IRNazanin" w:hAnsi="IRNazanin" w:eastAsia="IRNazanin" w:cs="IRNazanin"/>
          <w:lang w:bidi="fa-IR"/>
          <w:color w:val="111111"/>
          <w:sz w:val="28"/>
          <w:szCs w:val="28"/>
          <w:rtl/>
        </w:rPr>
        <w:t xml:space="preserve">1 - أصحاب الاجماع.</w:t>
      </w:r>
    </w:p>
    <w:p>
      <w:pPr>
        <w:pStyle w:val="BookText"/>
      </w:pPr>
      <w:r>
        <w:rPr>
          <w:rFonts w:ascii="IRNazanin" w:hAnsi="IRNazanin" w:eastAsia="IRNazanin" w:cs="IRNazanin"/>
          <w:lang w:bidi="fa-IR"/>
          <w:color w:val="111111"/>
          <w:sz w:val="28"/>
          <w:szCs w:val="28"/>
          <w:rtl/>
        </w:rPr>
        <w:t xml:space="preserve">2 - مشایخ الثقات.</w:t>
      </w:r>
    </w:p>
    <w:p>
      <w:pPr>
        <w:pStyle w:val="BookText"/>
      </w:pPr>
      <w:r>
        <w:rPr>
          <w:rFonts w:ascii="IRNazanin" w:hAnsi="IRNazanin" w:eastAsia="IRNazanin" w:cs="IRNazanin"/>
          <w:lang w:bidi="fa-IR"/>
          <w:color w:val="111111"/>
          <w:sz w:val="28"/>
          <w:szCs w:val="28"/>
          <w:rtl/>
        </w:rPr>
        <w:t xml:space="preserve">3 - العصابة التی لا یروون إلا عن ثقة.</w:t>
      </w:r>
    </w:p>
    <w:p>
      <w:pPr>
        <w:pStyle w:val="BookText"/>
      </w:pPr>
      <w:r>
        <w:rPr>
          <w:rFonts w:ascii="IRNazanin" w:hAnsi="IRNazanin" w:eastAsia="IRNazanin" w:cs="IRNazanin"/>
          <w:lang w:bidi="fa-IR"/>
          <w:color w:val="111111"/>
          <w:sz w:val="28"/>
          <w:szCs w:val="28"/>
          <w:rtl/>
        </w:rPr>
        <w:t xml:space="preserve">4 - رجال أسانید «نوادر الحکمة».</w:t>
      </w:r>
    </w:p>
    <w:p>
      <w:pPr>
        <w:pStyle w:val="BookText"/>
      </w:pPr>
      <w:r>
        <w:rPr>
          <w:rFonts w:ascii="IRNazanin" w:hAnsi="IRNazanin" w:eastAsia="IRNazanin" w:cs="IRNazanin"/>
          <w:lang w:bidi="fa-IR"/>
          <w:color w:val="111111"/>
          <w:sz w:val="28"/>
          <w:szCs w:val="28"/>
          <w:rtl/>
        </w:rPr>
        <w:t xml:space="preserve">5 - رجال أسانید «کامل الزیارة».</w:t>
      </w:r>
    </w:p>
    <w:p>
      <w:pPr>
        <w:pStyle w:val="BookText"/>
      </w:pPr>
      <w:r>
        <w:rPr>
          <w:rFonts w:ascii="IRNazanin" w:hAnsi="IRNazanin" w:eastAsia="IRNazanin" w:cs="IRNazanin"/>
          <w:lang w:bidi="fa-IR"/>
          <w:color w:val="111111"/>
          <w:sz w:val="28"/>
          <w:szCs w:val="28"/>
          <w:rtl/>
        </w:rPr>
        <w:t xml:space="preserve">6 - رجال أسانید «تفسیر القمّی».</w:t>
      </w:r>
    </w:p>
    <w:p>
      <w:pPr>
        <w:pStyle w:val="BookText"/>
      </w:pPr>
      <w:r>
        <w:rPr>
          <w:rFonts w:ascii="IRNazanin" w:hAnsi="IRNazanin" w:eastAsia="IRNazanin" w:cs="IRNazanin"/>
          <w:lang w:bidi="fa-IR"/>
          <w:color w:val="111111"/>
          <w:sz w:val="28"/>
          <w:szCs w:val="28"/>
          <w:rtl/>
        </w:rPr>
        <w:t xml:space="preserve">7 - أصحاب «الصادق» علیه السلام.</w:t>
      </w:r>
    </w:p>
    <w:p>
      <w:pPr>
        <w:pStyle w:val="BookText"/>
      </w:pPr>
      <w:r>
        <w:rPr>
          <w:rFonts w:ascii="IRNazanin" w:hAnsi="IRNazanin" w:eastAsia="IRNazanin" w:cs="IRNazanin"/>
          <w:lang w:bidi="fa-IR"/>
          <w:color w:val="111111"/>
          <w:sz w:val="28"/>
          <w:szCs w:val="28"/>
          <w:rtl/>
        </w:rPr>
        <w:t xml:space="preserve">8 - شیخوخة الإجازة.</w:t>
      </w:r>
    </w:p>
    <w:p>
      <w:pPr>
        <w:pStyle w:val="BookText"/>
      </w:pPr>
      <w:r>
        <w:rPr>
          <w:rFonts w:ascii="IRNazanin" w:hAnsi="IRNazanin" w:eastAsia="IRNazanin" w:cs="IRNazanin"/>
          <w:lang w:bidi="fa-IR"/>
          <w:color w:val="111111"/>
          <w:sz w:val="28"/>
          <w:szCs w:val="28"/>
          <w:rtl/>
        </w:rPr>
        <w:t xml:space="preserve">9 - الوکالة عن الإمام علیه السلام.</w:t>
      </w:r>
    </w:p>
    <w:p>
      <w:pPr>
        <w:pStyle w:val="BookText"/>
      </w:pPr>
      <w:r>
        <w:rPr>
          <w:rFonts w:ascii="IRNazanin" w:hAnsi="IRNazanin" w:eastAsia="IRNazanin" w:cs="IRNazanin"/>
          <w:lang w:bidi="fa-IR"/>
          <w:color w:val="111111"/>
          <w:sz w:val="28"/>
          <w:szCs w:val="28"/>
          <w:rtl/>
        </w:rPr>
        <w:t xml:space="preserve">10 - کثرة تخریج الثقة عن شخص.</w:t>
      </w:r>
    </w:p>
    <w:p>
      <w:pPr>
        <w:pStyle w:val="BookText"/>
      </w:pPr>
      <w:r>
        <w:rPr>
          <w:rFonts w:ascii="IRNazanin" w:hAnsi="IRNazanin" w:eastAsia="IRNazanin" w:cs="IRNazanin"/>
          <w:lang w:bidi="fa-IR"/>
          <w:color w:val="111111"/>
          <w:sz w:val="28"/>
          <w:szCs w:val="28"/>
          <w:rtl/>
        </w:rPr>
        <w:t xml:space="preserve">[شماره صفحه واقعی : 161]
</w:t>
      </w:r>
    </w:p>
    <w:p>
      <w:pPr>
        <w:sectPr>
          <w:footerReference w:type="default" r:id="rId18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162]
</w:t>
      </w:r>
    </w:p>
    <w:p>
      <w:pPr>
        <w:sectPr>
          <w:footerReference w:type="default" r:id="rId1818"/>
          <w:footnotePr>
            <w:numStart w:val="1"/>
            <w:numRestart w:val="eachPage"/>
          </w:footnotePr>
          <w:pgSz w:orient="portrait" w:w="11905.511811023622" w:h="16837.79527559055"/>
          <w:pgMar w:top="1440" w:right="1440" w:bottom="1440" w:left="1440" w:header="720" w:footer="720" w:gutter="0"/>
          <w:cols w:num="1" w:space="720"/>
        </w:sectPr>
      </w:pPr>
    </w:p>
    <w:bookmarkStart w:id="959" w:name="pg14411_144200"/>
    <w:bookmarkEnd w:id="959"/>
    <w:p>
      <w:pPr>
        <w:pStyle w:val="Heading5"/>
      </w:pPr>
      <w:bookmarkStart w:id="2819" w:name="_Toc1854"/>
      <w:r>
        <w:t>1 - اصحاب الاجماع</w:t>
      </w:r>
      <w:bookmarkEnd w:id="2819"/>
    </w:p>
    <w:p>
      <w:pPr>
        <w:pStyle w:val="Heading6"/>
      </w:pPr>
      <w:bookmarkStart w:id="2820" w:name="_Toc1855"/>
      <w:r>
        <w:t>اشارة</w:t>
      </w:r>
      <w:bookmarkEnd w:id="282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هو الاصل فی ذلک.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«اصحاب الاجماع» اصطلاح جدید.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عددهم و ما نظمه السید بحر العلوم.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کیفیة تلقی الاصحاب هذا الاجماع و حجیته.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مفاد «تصحیح ما یصح عنهم».</w:t>
      </w:r>
    </w:p>
    <w:p>
      <w:pPr>
        <w:pStyle w:val="BookText"/>
      </w:pPr>
      <w:r>
        <w:rPr>
          <w:rFonts w:ascii="IRNazanin" w:hAnsi="IRNazanin" w:eastAsia="IRNazanin" w:cs="IRNazanin"/>
          <w:lang w:bidi="fa-IR"/>
          <w:color w:val="111111"/>
          <w:sz w:val="28"/>
          <w:szCs w:val="28"/>
          <w:rtl/>
        </w:rPr>
        <w:t xml:space="preserve">[شماره صفحه واقعی : 163]
</w:t>
      </w:r>
    </w:p>
    <w:p>
      <w:pPr>
        <w:sectPr>
          <w:footerReference w:type="default" r:id="rId18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164]
</w:t>
      </w:r>
    </w:p>
    <w:p>
      <w:pPr>
        <w:sectPr>
          <w:footerReference w:type="default" r:id="rId1820"/>
          <w:footnotePr>
            <w:numStart w:val="1"/>
            <w:numRestart w:val="eachPage"/>
          </w:footnotePr>
          <w:pgSz w:orient="portrait" w:w="11905.511811023622" w:h="16837.79527559055"/>
          <w:pgMar w:top="1440" w:right="1440" w:bottom="1440" w:left="1440" w:header="720" w:footer="720" w:gutter="0"/>
          <w:cols w:num="1" w:space="720"/>
        </w:sectPr>
      </w:pPr>
    </w:p>
    <w:bookmarkStart w:id="960" w:name="pg14411_144202"/>
    <w:bookmarkEnd w:id="960"/>
    <w:p>
      <w:pPr>
        <w:pStyle w:val="BookText"/>
      </w:pPr>
      <w:r>
        <w:rPr>
          <w:rFonts w:ascii="IRNazanin" w:hAnsi="IRNazanin" w:eastAsia="IRNazanin" w:cs="IRNazanin"/>
          <w:lang w:bidi="fa-IR"/>
          <w:color w:val="111111"/>
          <w:sz w:val="28"/>
          <w:szCs w:val="28"/>
          <w:rtl/>
        </w:rPr>
        <w:t xml:space="preserve">قد وقفت علی الطّرق الّتی تثبت بها وثاقة راو معیّن و هناک طرق تثبت بها وثاقة جمع کثیر تحت ضابطة خاصّة، و إلیک هذه الطّرق واحدا بعد واحد.</w:t>
      </w:r>
    </w:p>
    <w:p>
      <w:pPr>
        <w:pStyle w:val="BookText"/>
      </w:pPr>
      <w:r>
        <w:rPr>
          <w:rFonts w:ascii="IRNazanin" w:hAnsi="IRNazanin" w:eastAsia="IRNazanin" w:cs="IRNazanin"/>
          <w:lang w:bidi="fa-IR"/>
          <w:color w:val="111111"/>
          <w:sz w:val="28"/>
          <w:szCs w:val="28"/>
          <w:rtl/>
        </w:rPr>
        <w:t xml:space="preserve">و أهمّها مسألة أصحاب الإجماع المتداولة فی الألسن و هم ثمانیة عشر رجلا علی المشهور.</w:t>
      </w:r>
    </w:p>
    <w:p>
      <w:pPr>
        <w:pStyle w:val="BookText"/>
      </w:pPr>
      <w:r>
        <w:rPr>
          <w:rFonts w:ascii="IRNazanin" w:hAnsi="IRNazanin" w:eastAsia="IRNazanin" w:cs="IRNazanin"/>
          <w:lang w:bidi="fa-IR"/>
          <w:color w:val="111111"/>
          <w:sz w:val="28"/>
          <w:szCs w:val="28"/>
          <w:rtl/>
        </w:rPr>
        <w:t xml:space="preserve">إنّ البحث عن أصحاب الإجماع من أهمّ أبحاث الرجال، و قد أشار إلیه المحدّث النّوری و قال: «إنّه من مهمّات هذا الفنّ، إذ علی بعض التّقادیر تدخل آلاف من الأحادیث الخارجة عن حریم الصحّة إلی حدودها أو یجری علیها حکمها»</w:t>
      </w:r>
      <w:r>
        <w:rPr>
          <w:rStyle w:val="FootnoteReference"/>
        </w:rPr>
        <w:footnoteReference w:id="5134"/>
      </w:r>
      <w:r>
        <w:rPr>
          <w:rFonts w:ascii="Times New Roman" w:hAnsi="Times New Roman" w:eastAsia="Times New Roman" w:cs="Times New Roman"/>
          <w:lang w:val="en-US" w:bidi="en-US"/>
          <w:color w:val="111111"/>
          <w:sz w:val="28"/>
          <w:szCs w:val="28"/>
          <w:rtl/>
        </w:rPr>
        <w:t xml:space="preserve">.</w:t>
      </w:r>
    </w:p>
    <w:p>
      <w:pPr>
        <w:pStyle w:val="Heading6"/>
      </w:pPr>
      <w:bookmarkStart w:id="2821" w:name="_Toc1856"/>
      <w:r>
        <w:t>و لتحقیق الحال یجب البحث عن امور:</w:t>
      </w:r>
      <w:bookmarkEnd w:id="2821"/>
    </w:p>
    <w:p>
      <w:pPr>
        <w:pStyle w:val="Heading6"/>
      </w:pPr>
      <w:bookmarkStart w:id="2822" w:name="_Toc1857"/>
      <w:r>
        <w:t>الاول: ما هو الاصل فی ذلک؟</w:t>
      </w:r>
      <w:bookmarkEnd w:id="2822"/>
    </w:p>
    <w:p>
      <w:pPr>
        <w:pStyle w:val="BookText"/>
      </w:pPr>
      <w:r>
        <w:rPr>
          <w:rFonts w:ascii="IRNazanin" w:hAnsi="IRNazanin" w:eastAsia="IRNazanin" w:cs="IRNazanin"/>
          <w:lang w:bidi="fa-IR"/>
          <w:color w:val="111111"/>
          <w:sz w:val="28"/>
          <w:szCs w:val="28"/>
          <w:rtl/>
        </w:rPr>
        <w:t xml:space="preserve">الأصل فی ذلک ما نقله الکشّی فی رجاله فی مواضع ثلاثة نأتی بعبارته فی تلک المواضع.</w:t>
      </w:r>
    </w:p>
    <w:p>
      <w:pPr>
        <w:pStyle w:val="BookText"/>
      </w:pPr>
      <w:r>
        <w:rPr>
          <w:rFonts w:ascii="IRNazanin" w:hAnsi="IRNazanin" w:eastAsia="IRNazanin" w:cs="IRNazanin"/>
          <w:lang w:bidi="fa-IR"/>
          <w:color w:val="111111"/>
          <w:sz w:val="28"/>
          <w:szCs w:val="28"/>
          <w:rtl/>
        </w:rPr>
        <w:t xml:space="preserve">1 - «تسمیة الفقهاء من أصحاب أبی جعفر و أبی عبد اللّه - علیهما السلام -:</w:t>
      </w:r>
    </w:p>
    <w:p>
      <w:pPr>
        <w:pStyle w:val="BookText"/>
      </w:pPr>
      <w:r>
        <w:rPr>
          <w:rFonts w:ascii="IRNazanin" w:hAnsi="IRNazanin" w:eastAsia="IRNazanin" w:cs="IRNazanin"/>
          <w:lang w:bidi="fa-IR"/>
          <w:color w:val="111111"/>
          <w:sz w:val="28"/>
          <w:szCs w:val="28"/>
          <w:rtl/>
        </w:rPr>
        <w:t xml:space="preserve">اجتمعت العصابة علی تصدیق هؤلاء الأوّلین من أصحاب أبی جعفر</w:t>
      </w:r>
    </w:p>
    <w:p>
      <w:pPr>
        <w:pStyle w:val="BookText"/>
      </w:pPr>
      <w:r>
        <w:rPr>
          <w:rFonts w:ascii="IRNazanin" w:hAnsi="IRNazanin" w:eastAsia="IRNazanin" w:cs="IRNazanin"/>
          <w:lang w:bidi="fa-IR"/>
          <w:color w:val="111111"/>
          <w:sz w:val="28"/>
          <w:szCs w:val="28"/>
          <w:rtl/>
        </w:rPr>
        <w:t xml:space="preserve">[شماره صفحه واقعی : 165]
</w:t>
      </w:r>
    </w:p>
    <w:p>
      <w:pPr>
        <w:sectPr>
          <w:footerReference w:type="default" r:id="rId18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علیه السلام - و أصحاب أبی عبد اللّه - علیه السلام - و انقادوا لهم بالفقه فقالوا: أفقه الأوّلین ستّة: زرارة، و معروف بن خرّبوذ، و برید، و أبو بصیر الأسدی، و الفضیل بن یسار، و محمّد بن مسلم الطّائفی، قالوا: أفقه الستّة زرارة، و قال بعضهم مکان أبی بصیر الأسدی، أبو بصیر المرادی و هو لیث بن البختری»</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«تسمیة الفقهاء من أصحاب أبی عبد اللّه - علیه السلام -: أجمعت العصابة علی تصحیح ما یصحّ عن هؤلاء و تصدیقهم لما یقولون، و أقرّوا لهم بالفقه من دون اولئک الستّة الذین عددناهم و سمّیناهم</w:t>
      </w:r>
      <w:r>
        <w:rPr>
          <w:rStyle w:val="FootnoteReference"/>
        </w:rPr>
        <w:footnoteReference w:id="5135"/>
      </w:r>
      <w:r>
        <w:rPr>
          <w:rFonts w:ascii="IRNazanin" w:hAnsi="IRNazanin" w:eastAsia="IRNazanin" w:cs="IRNazanin"/>
          <w:lang w:bidi="fa-IR"/>
          <w:color w:val="111111"/>
          <w:sz w:val="28"/>
          <w:szCs w:val="28"/>
          <w:rtl/>
        </w:rPr>
        <w:t xml:space="preserve">و هم ستّة نفر: جمیل بن درّاج، و عبد اللّه بن مسکان، و عبد اللّه بن بکیر، و حمّاد بن عثمان، و حمّاد بن عیسی، و أبان بن عثمان. قالوا: و زعم أبو إسحاق الفقیه و هو ثعلبة بن میمون</w:t>
      </w:r>
      <w:r>
        <w:rPr>
          <w:rStyle w:val="FootnoteReference"/>
        </w:rPr>
        <w:footnoteReference w:id="5136"/>
      </w:r>
      <w:r>
        <w:rPr>
          <w:rFonts w:ascii="IRNazanin" w:hAnsi="IRNazanin" w:eastAsia="IRNazanin" w:cs="IRNazanin"/>
          <w:lang w:bidi="fa-IR"/>
          <w:color w:val="111111"/>
          <w:sz w:val="28"/>
          <w:szCs w:val="28"/>
          <w:rtl/>
        </w:rPr>
        <w:t xml:space="preserve">أنّ أفقه هؤلاء جمیل بن درّاج و هم أحداث أصحاب أبی عبد اللّه - علیه السلام -»</w:t>
      </w:r>
      <w:r>
        <w:rPr>
          <w:rStyle w:val="FootnoteReference"/>
        </w:rPr>
        <w:footnoteReference w:id="51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«تسمیة الفقهاء من أصحاب» أبی إبراهیم و أبی الحسن - علیهما السلام -:</w:t>
      </w:r>
    </w:p>
    <w:p>
      <w:pPr>
        <w:pStyle w:val="BookText"/>
      </w:pPr>
      <w:r>
        <w:rPr>
          <w:rFonts w:ascii="IRNazanin" w:hAnsi="IRNazanin" w:eastAsia="IRNazanin" w:cs="IRNazanin"/>
          <w:lang w:bidi="fa-IR"/>
          <w:color w:val="111111"/>
          <w:sz w:val="28"/>
          <w:szCs w:val="28"/>
          <w:rtl/>
        </w:rPr>
        <w:t xml:space="preserve">أجمع أصحابنا علی تصحیح ما یصحّ عن هؤلاء و تصدیقهم و أقرّوا لهم بالفقه و العلم، و هم ستّة نفر آخر دون ستّة نفر الّذین ذکرناهم</w:t>
      </w:r>
      <w:r>
        <w:rPr>
          <w:rStyle w:val="FootnoteReference"/>
        </w:rPr>
        <w:footnoteReference w:id="5138"/>
      </w:r>
      <w:r>
        <w:rPr>
          <w:rFonts w:ascii="IRNazanin" w:hAnsi="IRNazanin" w:eastAsia="IRNazanin" w:cs="IRNazanin"/>
          <w:lang w:bidi="fa-IR"/>
          <w:color w:val="111111"/>
          <w:sz w:val="28"/>
          <w:szCs w:val="28"/>
          <w:rtl/>
        </w:rPr>
        <w:t xml:space="preserve">فی أصحاب أبی عبد اللّه - علیه السلام - منهم: یونس بن عبد الرّحمان، و صفوان بن یحیی بیّاع السابری، و محمّد بن أبی عمیر، و عبد اللّه بن مغیرة، و الحسن بن محبوب، و أحمد بن محمّد بن أبی نصر، و قال بعضهم مکان الحسن بن</w:t>
      </w:r>
    </w:p>
    <w:p>
      <w:pPr>
        <w:pStyle w:val="BookText"/>
      </w:pPr>
      <w:r>
        <w:rPr>
          <w:rFonts w:ascii="IRNazanin" w:hAnsi="IRNazanin" w:eastAsia="IRNazanin" w:cs="IRNazanin"/>
          <w:lang w:bidi="fa-IR"/>
          <w:color w:val="111111"/>
          <w:sz w:val="28"/>
          <w:szCs w:val="28"/>
          <w:rtl/>
        </w:rPr>
        <w:t xml:space="preserve">[شماره صفحه واقعی : 166]
</w:t>
      </w:r>
    </w:p>
    <w:p>
      <w:pPr>
        <w:sectPr>
          <w:footerReference w:type="default" r:id="rId18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محبوب، الحسن بن علی بن فضال، و فضالة بن أیّوب</w:t>
      </w:r>
      <w:r>
        <w:rPr>
          <w:rStyle w:val="FootnoteReference"/>
        </w:rPr>
        <w:footnoteReference w:id="5139"/>
      </w:r>
      <w:r>
        <w:rPr>
          <w:rFonts w:ascii="IRNazanin" w:hAnsi="IRNazanin" w:eastAsia="IRNazanin" w:cs="IRNazanin"/>
          <w:lang w:bidi="fa-IR"/>
          <w:color w:val="111111"/>
          <w:sz w:val="28"/>
          <w:szCs w:val="28"/>
          <w:rtl/>
        </w:rPr>
        <w:t xml:space="preserve">و قال بعضهم مکان فضالة بن أیّوب، عثمان بن عیسی، و أفقه هؤلاء یونس بن عبد الرّحمان و صفوان بن یحیی</w:t>
      </w:r>
      <w:r>
        <w:rPr>
          <w:rStyle w:val="FootnoteReference"/>
        </w:rPr>
        <w:footnoteReference w:id="51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یظهر من ابن داود فی ترجمة «حمدان بن أحمد» أنّه من جملة من اجتمعت العصابة علی تصحیح ما یصحّ منهم و الإقرار لهم بالفقه</w:t>
      </w:r>
      <w:r>
        <w:rPr>
          <w:rStyle w:val="FootnoteReference"/>
        </w:rPr>
        <w:footnoteReference w:id="5141"/>
      </w:r>
      <w:r>
        <w:rPr>
          <w:rFonts w:ascii="IRNazanin" w:hAnsi="IRNazanin" w:eastAsia="IRNazanin" w:cs="IRNazanin"/>
          <w:lang w:bidi="fa-IR"/>
          <w:color w:val="111111"/>
          <w:sz w:val="28"/>
          <w:szCs w:val="28"/>
          <w:rtl/>
        </w:rPr>
        <w:t xml:space="preserve">و نسخ الکشّی خالیة عنه، و لعلّه أخذه من الاصول، لا من منتخب الشیخ، کما احتمله المحدّث النّوری، لکنّ التأمّل یرشدنا إلی خلاف ذلک و أنّ العبارة کانت متعلّقة ب «حمّاد بن عیسی» المذکور قبل حمدان. و قد سبق قلمه الشریف فخلط هو أو النسّاخ و وجه ذلک أنّه عنون أربعة أشخاص بالترتیب الآتی:</w:t>
      </w:r>
    </w:p>
    <w:p>
      <w:pPr>
        <w:pStyle w:val="BookText"/>
      </w:pPr>
      <w:r>
        <w:rPr>
          <w:rFonts w:ascii="IRNazanin" w:hAnsi="IRNazanin" w:eastAsia="IRNazanin" w:cs="IRNazanin"/>
          <w:lang w:bidi="fa-IR"/>
          <w:color w:val="111111"/>
          <w:sz w:val="28"/>
          <w:szCs w:val="28"/>
          <w:rtl/>
        </w:rPr>
        <w:t xml:space="preserve">1 - حمّاد بن عثمان النّاب. 2 - حمّاد بن عثمان بن عمرو. 3 - حمّاد بن عیسی. 4 - حمدان بن أحمد و صرّح فی ترجمة حمّاد بن عثمان الناب أنّه ممّن اجتمعت العصابة علی تصحیح ما یصح عنهم و أتی بهذا المضمون فی ترجمة حمدان، مع أن اللازم علیه أن یأتی به فی ترجمة ابن عیسی و لعل الجمیع کان مکتوبا فی صفحة واحدة فزاغ البصر، فکتب ما یرجع الی ابن عیسی فی حق حمدان</w:t>
      </w:r>
      <w:r>
        <w:rPr>
          <w:rStyle w:val="FootnoteReference"/>
        </w:rPr>
        <w:footnoteReference w:id="51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أضف الی ذلک أنّ ابن داود نفسه خصّ الفصل الأوّل من خاتمة القسم الأوّل من کتابه بذکر أصحاب الإجماع - کما سیوافیک عبارته - و ذکر أسماءهم</w:t>
      </w:r>
    </w:p>
    <w:p>
      <w:pPr>
        <w:pStyle w:val="BookText"/>
      </w:pPr>
      <w:r>
        <w:rPr>
          <w:rFonts w:ascii="IRNazanin" w:hAnsi="IRNazanin" w:eastAsia="IRNazanin" w:cs="IRNazanin"/>
          <w:lang w:bidi="fa-IR"/>
          <w:color w:val="111111"/>
          <w:sz w:val="28"/>
          <w:szCs w:val="28"/>
          <w:rtl/>
        </w:rPr>
        <w:t xml:space="preserve">[شماره صفحه واقعی : 167]
</w:t>
      </w:r>
    </w:p>
    <w:p>
      <w:pPr>
        <w:sectPr>
          <w:footerReference w:type="default" r:id="rId1823"/>
          <w:footnotePr>
            <w:numStart w:val="1"/>
            <w:numRestart w:val="eachPage"/>
          </w:footnotePr>
          <w:pgSz w:orient="portrait" w:w="11905.511811023622" w:h="16837.79527559055"/>
          <w:pgMar w:top="1440" w:right="1440" w:bottom="1440" w:left="1440" w:header="720" w:footer="720" w:gutter="0"/>
          <w:cols w:num="1" w:space="720"/>
        </w:sectPr>
      </w:pPr>
    </w:p>
    <w:bookmarkStart w:id="961" w:name="pg14411_144205"/>
    <w:bookmarkEnd w:id="961"/>
    <w:p>
      <w:pPr>
        <w:pStyle w:val="BookText"/>
      </w:pPr>
      <w:r>
        <w:rPr>
          <w:rFonts w:ascii="IRNazanin" w:hAnsi="IRNazanin" w:eastAsia="IRNazanin" w:cs="IRNazanin"/>
          <w:lang w:bidi="fa-IR"/>
          <w:color w:val="111111"/>
          <w:sz w:val="28"/>
          <w:szCs w:val="28"/>
          <w:rtl/>
        </w:rPr>
        <w:t xml:space="preserve">مصرّحا بکون حمّاد بن عیسی منهم من دون أن یذکر حمدان بن أحمد.</w:t>
      </w:r>
    </w:p>
    <w:p>
      <w:pPr>
        <w:pStyle w:val="BookText"/>
      </w:pPr>
      <w:r>
        <w:rPr>
          <w:rFonts w:ascii="IRNazanin" w:hAnsi="IRNazanin" w:eastAsia="IRNazanin" w:cs="IRNazanin"/>
          <w:lang w:bidi="fa-IR"/>
          <w:color w:val="111111"/>
          <w:sz w:val="28"/>
          <w:szCs w:val="28"/>
          <w:rtl/>
        </w:rPr>
        <w:t xml:space="preserve">و العجب أنّه ذکر الطبقة الثّالثة بعنوان الطبقة الثانیة و قال: إنّهم من أصحاب أبی عبد اللّه - علیه السلام -، مع أنّه صرّح فی ترجمة کل منهم أنّهم کانوا من أصحاب الرضا - علیه السلام - و بعضهم من أصحاب أبی ابراهیم و أبی جعفر الثانی - علیهما السلام -</w:t>
      </w:r>
      <w:r>
        <w:rPr>
          <w:rStyle w:val="FootnoteReference"/>
        </w:rPr>
        <w:footnoteReference w:id="51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مضافا إلی أنّه لا اعتبار بما انفرد به ابن داود مع اشتمال رجاله علی کثیر من الهفوات.</w:t>
      </w:r>
    </w:p>
    <w:p>
      <w:pPr>
        <w:pStyle w:val="Heading6"/>
      </w:pPr>
      <w:bookmarkStart w:id="2823" w:name="_Toc1858"/>
      <w:r>
        <w:t>الثانی: «أصحاب الاجماع» اصطلاح جدید</w:t>
      </w:r>
      <w:bookmarkEnd w:id="2823"/>
    </w:p>
    <w:p>
      <w:pPr>
        <w:pStyle w:val="BookText"/>
      </w:pPr>
      <w:r>
        <w:rPr>
          <w:rFonts w:ascii="IRNazanin" w:hAnsi="IRNazanin" w:eastAsia="IRNazanin" w:cs="IRNazanin"/>
          <w:lang w:bidi="fa-IR"/>
          <w:color w:val="111111"/>
          <w:sz w:val="28"/>
          <w:szCs w:val="28"/>
          <w:rtl/>
        </w:rPr>
        <w:t xml:space="preserve">إنّ التّعبیر عن هذه الجماعة ب «أصحاب الإجماع» أمر حدث بین المتأخّرین، و جعلوه أحد الموضوعات الّتی یبحث عنها فی مقدّمات الکتب الرّجالیّة أو خواتیمها، و لکنّ الکشّی عبّر عنهم ب «تسمیة الفقهاء من أصحاب الباقرین - علیهما السلام -» أو «تسمیة الفقهاء من أصحاب الصادق - علیه السلام -» أو «تسمیة الفقهاء من أصحاب الکاظم و الرضا - علیهما السلام -» فهو - رحمه اللّه - کان بصدد تسمیة الفقهاء من أصحاب هؤلاء الأئمّة، الّذین لهم شأن کذا و کذا، و الهدف من تسمیتهم دون غیرهم، هو تبیین أنّ الأحادیث الفقهیّة تنتهی إلیهم غالبا، فکأنّ الفقه الإمامیّ مأخوذ منهم، و لو حذف هؤلاء و أحادیثهم من بساط الفقه، لما قام له عمود، و لا اخضرّ له عود، و لتکن علی ذکر من هذا المطلب، فإنّه یفیدک فی المستقبل.</w:t>
      </w:r>
    </w:p>
    <w:p>
      <w:pPr>
        <w:pStyle w:val="Heading6"/>
      </w:pPr>
      <w:bookmarkStart w:id="2824" w:name="_Toc1859"/>
      <w:r>
        <w:t>الثالث: فی عددهم</w:t>
      </w:r>
      <w:bookmarkEnd w:id="2824"/>
    </w:p>
    <w:p>
      <w:pPr>
        <w:pStyle w:val="BookText"/>
      </w:pPr>
      <w:r>
        <w:rPr>
          <w:rFonts w:ascii="IRNazanin" w:hAnsi="IRNazanin" w:eastAsia="IRNazanin" w:cs="IRNazanin"/>
          <w:lang w:bidi="fa-IR"/>
          <w:color w:val="111111"/>
          <w:sz w:val="28"/>
          <w:szCs w:val="28"/>
          <w:rtl/>
        </w:rPr>
        <w:t xml:space="preserve">قد عرفت أنّه لا اعتبار بما هو الموجود فی رجال ابن داود من عدّ «حمدان بن أحمد» من أصحاب الإجماع، فلا بدّ من الرّجوع إلی عبارة</w:t>
      </w:r>
    </w:p>
    <w:p>
      <w:pPr>
        <w:pStyle w:val="BookText"/>
      </w:pPr>
      <w:r>
        <w:rPr>
          <w:rFonts w:ascii="IRNazanin" w:hAnsi="IRNazanin" w:eastAsia="IRNazanin" w:cs="IRNazanin"/>
          <w:lang w:bidi="fa-IR"/>
          <w:color w:val="111111"/>
          <w:sz w:val="28"/>
          <w:szCs w:val="28"/>
          <w:rtl/>
        </w:rPr>
        <w:t xml:space="preserve">[شماره صفحه واقعی : 168]
</w:t>
      </w:r>
    </w:p>
    <w:p>
      <w:pPr>
        <w:sectPr>
          <w:footerReference w:type="default" r:id="rId18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الکشّی، فقد نقل الکشّی اتّفاق العصابة علی ستّة نفر من أصحاب الصادقین - علیهما السلام - و هم: زرارة بن أعین، 2 - معروف بن خرّبوذ، 3 - برید بن معاویة، 4 - أبو بصیر الأسدی، 5 - الفضیل بن یسار، 6 - محمد بن مسلم الطائفی.</w:t>
      </w:r>
    </w:p>
    <w:p>
      <w:pPr>
        <w:pStyle w:val="BookText"/>
      </w:pPr>
      <w:r>
        <w:rPr>
          <w:rFonts w:ascii="IRNazanin" w:hAnsi="IRNazanin" w:eastAsia="IRNazanin" w:cs="IRNazanin"/>
          <w:lang w:bidi="fa-IR"/>
          <w:color w:val="111111"/>
          <w:sz w:val="28"/>
          <w:szCs w:val="28"/>
          <w:rtl/>
        </w:rPr>
        <w:t xml:space="preserve">و نقل أیضا اتّفاقهم علی ستّة من أحداث أصحاب أبی عبد اللّه - علیه السلام - فقط و هم: 7 - جمیل بن درّاج، 8 - عبد اللّه بن مسکان، 9 - عبد اللّه بن بکیر، 10 - حمّاد بن عثمان، 11 - حمّاد بن عیسی، 12 - أبان بن عثمان.</w:t>
      </w:r>
    </w:p>
    <w:p>
      <w:pPr>
        <w:pStyle w:val="BookText"/>
      </w:pPr>
      <w:r>
        <w:rPr>
          <w:rFonts w:ascii="IRNazanin" w:hAnsi="IRNazanin" w:eastAsia="IRNazanin" w:cs="IRNazanin"/>
          <w:lang w:bidi="fa-IR"/>
          <w:color w:val="111111"/>
          <w:sz w:val="28"/>
          <w:szCs w:val="28"/>
          <w:rtl/>
        </w:rPr>
        <w:t xml:space="preserve">کما نقل اتّفاقهم علی ستّة نفر من أصحاب الامامین الکاظم و الرضا - علیهما السلام - و هم: 13 - یونس بن عبد الرّحمان، 14 - صفوان بن یحیی بیّاع السابری، 15 - محمّد بن أبی عمیر، 16 - عبد اللّه بن مغیرة، 17 - الحسن بن محبوب، 18 - أحمد بن محمّد بن أبی نصر.</w:t>
      </w:r>
    </w:p>
    <w:p>
      <w:pPr>
        <w:pStyle w:val="BookText"/>
      </w:pPr>
      <w:r>
        <w:rPr>
          <w:rFonts w:ascii="IRNazanin" w:hAnsi="IRNazanin" w:eastAsia="IRNazanin" w:cs="IRNazanin"/>
          <w:lang w:bidi="fa-IR"/>
          <w:color w:val="111111"/>
          <w:sz w:val="28"/>
          <w:szCs w:val="28"/>
          <w:rtl/>
        </w:rPr>
        <w:t xml:space="preserve">هذا ما اختار الکشّی فی من أجمعت العصابة علیهم، و لکن نقل فی حقّ الستّة الاولی، أنّ بعضهم قال مکان أبی بصیر الأسدی، أبو بصیر المرادی، فالخمسة من الستّة الاولی موضع اتّفاق من الکشّی و غیره، کما أنّ الستّة الثانیة موضع اتّفاق من الجمیع، و أمّا الطبقة الثّالثة فخمسة منهم مورد اتّفاق بینه و بین غیره، حیث قال: «ذکر بعضهم مکان الحسن بن محبوب، الحسن بن علیّ بن فضّال و فضالة بن أیّوب، و ذکر بعضهم مکان فضالة بن أیّوب، عثمان بن عیسی» فیکون خمسة من الطّبقة الثّالثة مورد اتّفاق بینه و بین غیره، و بالنّتیجة یکون ستّة عشر شخصا موضع اتّفاق من الکل، و انفرد الکشّی بنقل الإجماع علی شخصین و هما أبو بصیر الأسدی من الطّبقة الاولی، و الحسن بن محبوب من الثّالثة و نقل الآخرون، الاتّفاق علی أربعة و هم: أبو بصیر المرادی من الستّة الاولی، و الحسن بن علیّ بن فضّال، و فضالة بن أیّوب و عثمان بن عیسی من الثّالثة، فیکون المجموع: اثنین و عشرین شخصا، بین ما اتّفق الکلّ علی</w:t>
      </w:r>
    </w:p>
    <w:p>
      <w:pPr>
        <w:pStyle w:val="BookText"/>
      </w:pPr>
      <w:r>
        <w:rPr>
          <w:rFonts w:ascii="IRNazanin" w:hAnsi="IRNazanin" w:eastAsia="IRNazanin" w:cs="IRNazanin"/>
          <w:lang w:bidi="fa-IR"/>
          <w:color w:val="111111"/>
          <w:sz w:val="28"/>
          <w:szCs w:val="28"/>
          <w:rtl/>
        </w:rPr>
        <w:t xml:space="preserve">[شماره صفحه واقعی : 169]
</w:t>
      </w:r>
    </w:p>
    <w:p>
      <w:pPr>
        <w:sectPr>
          <w:footerReference w:type="default" r:id="rId1825"/>
          <w:footnotePr>
            <w:numStart w:val="1"/>
            <w:numRestart w:val="eachPage"/>
          </w:footnotePr>
          <w:pgSz w:orient="portrait" w:w="11905.511811023622" w:h="16837.79527559055"/>
          <w:pgMar w:top="1440" w:right="1440" w:bottom="1440" w:left="1440" w:header="720" w:footer="720" w:gutter="0"/>
          <w:cols w:num="1" w:space="720"/>
        </w:sectPr>
      </w:pPr>
    </w:p>
    <w:bookmarkStart w:id="962" w:name="pg14411_144207"/>
    <w:bookmarkEnd w:id="962"/>
    <w:p>
      <w:pPr>
        <w:pStyle w:val="BookText"/>
      </w:pPr>
      <w:r>
        <w:rPr>
          <w:rFonts w:ascii="IRNazanin" w:hAnsi="IRNazanin" w:eastAsia="IRNazanin" w:cs="IRNazanin"/>
          <w:lang w:bidi="fa-IR"/>
          <w:color w:val="111111"/>
          <w:sz w:val="28"/>
          <w:szCs w:val="28"/>
          <w:rtl/>
        </w:rPr>
        <w:t xml:space="preserve">کونهم من أصحاب الإجماع، أو قال به الکشّی وحده أو غیره، فالمتیقّن هو 16 - شخصا، و المختلف فیه هو 6 أشخاص.</w:t>
      </w:r>
    </w:p>
    <w:p>
      <w:pPr>
        <w:pStyle w:val="BookText"/>
      </w:pPr>
      <w:r>
        <w:rPr>
          <w:rFonts w:ascii="IRNazanin" w:hAnsi="IRNazanin" w:eastAsia="IRNazanin" w:cs="IRNazanin"/>
          <w:lang w:bidi="fa-IR"/>
          <w:color w:val="111111"/>
          <w:sz w:val="28"/>
          <w:szCs w:val="28"/>
          <w:rtl/>
        </w:rPr>
        <w:t xml:space="preserve">ثمّ إنّ المتتبّع النّوری قد حاول رفع الاختلاف قائلا: «إنّه لا منافاة بین الإجماعین فی محلّ الانفراد، لعدم نفی أحد النّاقلین ما أثبته الآخر، و عدم وجوب کون العدد فی کلّ طبقة ستّة، و إنّما اطّلع کلّ واحد علی ما لم یطّلع علیه الآخر، و الجمع بینهما ممکن، فیکون الجمیع موردا للاجماع.</w:t>
      </w:r>
    </w:p>
    <w:p>
      <w:pPr>
        <w:pStyle w:val="BookText"/>
      </w:pPr>
      <w:r>
        <w:rPr>
          <w:rFonts w:ascii="IRNazanin" w:hAnsi="IRNazanin" w:eastAsia="IRNazanin" w:cs="IRNazanin"/>
          <w:lang w:bidi="fa-IR"/>
          <w:color w:val="111111"/>
          <w:sz w:val="28"/>
          <w:szCs w:val="28"/>
          <w:rtl/>
        </w:rPr>
        <w:t xml:space="preserve">و نقل عن بعض الأجلّة الاشکال علیه، بأنّ الکشّی جعل الستّة الاولی أفقه الأوّلین و قال: «فقالوا أفقه الأوّلین ستّة» و معناه: هؤلاء أفقه من غیرهم و منهم أبو بصیر المرادی. و علیه فالأسدی الّذی هو جزء من الستّة أفقه من أبی بصیر المرادی، و علی القول الآخر یکون المرادی من أفراد الستّة و یکون أفقه من أبی بصیر الأسدی، فیحصل التّکاذب بین النّقلین، فواحد منهم یقول:</w:t>
      </w:r>
    </w:p>
    <w:p>
      <w:pPr>
        <w:pStyle w:val="BookText"/>
      </w:pPr>
      <w:r>
        <w:rPr>
          <w:rFonts w:ascii="IRNazanin" w:hAnsi="IRNazanin" w:eastAsia="IRNazanin" w:cs="IRNazanin"/>
          <w:lang w:bidi="fa-IR"/>
          <w:color w:val="111111"/>
          <w:sz w:val="28"/>
          <w:szCs w:val="28"/>
          <w:rtl/>
        </w:rPr>
        <w:t xml:space="preserve">الأفقه هو الأسدی، و الآخر یقول: الأفقه هو المرادی»</w:t>
      </w:r>
      <w:r>
        <w:rPr>
          <w:rStyle w:val="FootnoteReference"/>
        </w:rPr>
        <w:footnoteReference w:id="51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فیه أوّلا: أنّه یتمّ فی القسم الأوّل من هذه الطّبقات الثّلاث، حیث اشتمل علی جملة «أفقه الأوّلین ستّة» دون سائر الطّبقات، فهی خالیة عن هذا التّعبیر.</w:t>
      </w:r>
    </w:p>
    <w:p>
      <w:pPr>
        <w:pStyle w:val="BookText"/>
      </w:pPr>
      <w:r>
        <w:rPr>
          <w:rFonts w:ascii="IRNazanin" w:hAnsi="IRNazanin" w:eastAsia="IRNazanin" w:cs="IRNazanin"/>
          <w:lang w:bidi="fa-IR"/>
          <w:color w:val="111111"/>
          <w:sz w:val="28"/>
          <w:szCs w:val="28"/>
          <w:rtl/>
        </w:rPr>
        <w:t xml:space="preserve">و ثانیا: أنّه یحتمل أن یکون متعلّق الاجماع هو التّصدیق و الانقیاد لهم بالفقه، لا الأفقهیّة من الکلّ، فلاحظ و تأمّل.</w:t>
      </w:r>
    </w:p>
    <w:p>
      <w:pPr>
        <w:pStyle w:val="Heading6"/>
      </w:pPr>
      <w:bookmarkStart w:id="2825" w:name="_Toc1860"/>
      <w:r>
        <w:t>الرابع: فیما نظمه السید بحر العلوم</w:t>
      </w:r>
      <w:bookmarkEnd w:id="2825"/>
    </w:p>
    <w:p>
      <w:pPr>
        <w:pStyle w:val="BookText"/>
      </w:pPr>
      <w:r>
        <w:rPr>
          <w:rFonts w:ascii="IRNazanin" w:hAnsi="IRNazanin" w:eastAsia="IRNazanin" w:cs="IRNazanin"/>
          <w:lang w:bidi="fa-IR"/>
          <w:color w:val="111111"/>
          <w:sz w:val="28"/>
          <w:szCs w:val="28"/>
          <w:rtl/>
        </w:rPr>
        <w:t xml:space="preserve">إنّ السیّد الجلیل بحر العلوم جمع أسماء من ذکره الکشّی فی المواضع الثّلاثة فی منظومته و خالفه فی أشخاص من الستّة الاولی، قال - قدّس سره -:</w:t>
      </w:r>
    </w:p>
    <w:p>
      <w:pPr>
        <w:pStyle w:val="BookText"/>
      </w:pPr>
      <w:r>
        <w:rPr>
          <w:rFonts w:ascii="IRNazanin" w:hAnsi="IRNazanin" w:eastAsia="IRNazanin" w:cs="IRNazanin"/>
          <w:lang w:bidi="fa-IR"/>
          <w:color w:val="111111"/>
          <w:sz w:val="28"/>
          <w:szCs w:val="28"/>
          <w:rtl/>
        </w:rPr>
        <w:t xml:space="preserve">قد أجمع الکلّ علی تصحیح ما یصحّ عن جماعة فلیعلما</w:t>
      </w:r>
    </w:p>
    <w:p>
      <w:pPr>
        <w:pStyle w:val="BookText"/>
      </w:pPr>
      <w:r>
        <w:rPr>
          <w:rFonts w:ascii="IRNazanin" w:hAnsi="IRNazanin" w:eastAsia="IRNazanin" w:cs="IRNazanin"/>
          <w:lang w:bidi="fa-IR"/>
          <w:color w:val="111111"/>
          <w:sz w:val="28"/>
          <w:szCs w:val="28"/>
          <w:rtl/>
        </w:rPr>
        <w:t xml:space="preserve">[شماره صفحه واقعی : 170]
</w:t>
      </w:r>
    </w:p>
    <w:p>
      <w:pPr>
        <w:sectPr>
          <w:footerReference w:type="default" r:id="rId18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هم أولوا نجابة و رفعة</w:t>
      </w:r>
    </w:p>
    <w:p>
      <w:pPr>
        <w:pStyle w:val="BookText"/>
      </w:pPr>
      <w:r>
        <w:rPr>
          <w:rFonts w:ascii="Amiri" w:hAnsi="Amiri" w:eastAsia="Amiri" w:cs="Amiri"/>
          <w:lang w:bidi="ar-SA"/>
          <w:color w:val="111111"/>
          <w:sz w:val="28"/>
          <w:szCs w:val="28"/>
          <w:rtl/>
        </w:rPr>
        <w:t xml:space="preserve">أربعة و خمسة و تسعة</w:t>
      </w:r>
    </w:p>
    <w:p>
      <w:pPr>
        <w:pStyle w:val="BookText"/>
      </w:pPr>
      <w:r>
        <w:rPr>
          <w:rFonts w:ascii="IRNazanin" w:hAnsi="IRNazanin" w:eastAsia="IRNazanin" w:cs="IRNazanin"/>
          <w:lang w:bidi="fa-IR"/>
          <w:color w:val="111111"/>
          <w:sz w:val="28"/>
          <w:szCs w:val="28"/>
          <w:rtl/>
        </w:rPr>
        <w:t xml:space="preserve">فالستّة الاولی من الأمجاد</w:t>
      </w:r>
    </w:p>
    <w:p>
      <w:pPr>
        <w:pStyle w:val="BookText"/>
      </w:pPr>
      <w:r>
        <w:rPr>
          <w:rFonts w:ascii="Amiri" w:hAnsi="Amiri" w:eastAsia="Amiri" w:cs="Amiri"/>
          <w:lang w:bidi="ar-SA"/>
          <w:color w:val="111111"/>
          <w:sz w:val="28"/>
          <w:szCs w:val="28"/>
          <w:rtl/>
        </w:rPr>
        <w:t xml:space="preserve">أربعة منهم من الأوتاد</w:t>
      </w:r>
    </w:p>
    <w:p>
      <w:pPr>
        <w:pStyle w:val="BookText"/>
      </w:pPr>
      <w:r>
        <w:rPr>
          <w:rFonts w:ascii="IRNazanin" w:hAnsi="IRNazanin" w:eastAsia="IRNazanin" w:cs="IRNazanin"/>
          <w:lang w:bidi="fa-IR"/>
          <w:color w:val="111111"/>
          <w:sz w:val="28"/>
          <w:szCs w:val="28"/>
          <w:rtl/>
        </w:rPr>
        <w:t xml:space="preserve">زرارة کذا برید</w:t>
      </w:r>
      <w:r>
        <w:rPr>
          <w:rStyle w:val="FootnoteReference"/>
        </w:rPr>
        <w:footnoteReference w:id="5145"/>
      </w:r>
      <w:r>
        <w:rPr>
          <w:rFonts w:ascii="IRNazanin" w:hAnsi="IRNazanin" w:eastAsia="IRNazanin" w:cs="IRNazanin"/>
          <w:lang w:bidi="fa-IR"/>
          <w:color w:val="111111"/>
          <w:sz w:val="28"/>
          <w:szCs w:val="28"/>
          <w:rtl/>
        </w:rPr>
        <w:t xml:space="preserve">قد أتی</w:t>
      </w:r>
    </w:p>
    <w:p>
      <w:pPr>
        <w:pStyle w:val="BookText"/>
      </w:pPr>
      <w:r>
        <w:rPr>
          <w:rFonts w:ascii="Amiri" w:hAnsi="Amiri" w:eastAsia="Amiri" w:cs="Amiri"/>
          <w:lang w:bidi="ar-SA"/>
          <w:color w:val="111111"/>
          <w:sz w:val="28"/>
          <w:szCs w:val="28"/>
          <w:rtl/>
        </w:rPr>
        <w:t xml:space="preserve">ثمّ محمّد</w:t>
      </w:r>
      <w:r>
        <w:rPr>
          <w:rStyle w:val="FootnoteReference"/>
        </w:rPr>
        <w:footnoteReference w:id="5146"/>
      </w:r>
      <w:r>
        <w:rPr>
          <w:rFonts w:ascii="IRNazanin" w:hAnsi="IRNazanin" w:eastAsia="IRNazanin" w:cs="IRNazanin"/>
          <w:lang w:bidi="fa-IR"/>
          <w:color w:val="111111"/>
          <w:sz w:val="28"/>
          <w:szCs w:val="28"/>
          <w:rtl/>
        </w:rPr>
        <w:t xml:space="preserve">و لیث</w:t>
      </w:r>
      <w:r>
        <w:rPr>
          <w:rStyle w:val="FootnoteReference"/>
        </w:rPr>
        <w:footnoteReference w:id="5147"/>
      </w:r>
      <w:r>
        <w:rPr>
          <w:rFonts w:ascii="IRNazanin" w:hAnsi="IRNazanin" w:eastAsia="IRNazanin" w:cs="IRNazanin"/>
          <w:lang w:bidi="fa-IR"/>
          <w:color w:val="111111"/>
          <w:sz w:val="28"/>
          <w:szCs w:val="28"/>
          <w:rtl/>
        </w:rPr>
        <w:t xml:space="preserve">یا فتی</w:t>
      </w:r>
    </w:p>
    <w:p>
      <w:pPr>
        <w:pStyle w:val="BookText"/>
      </w:pPr>
      <w:r>
        <w:rPr>
          <w:rFonts w:ascii="IRNazanin" w:hAnsi="IRNazanin" w:eastAsia="IRNazanin" w:cs="IRNazanin"/>
          <w:lang w:bidi="fa-IR"/>
          <w:color w:val="111111"/>
          <w:sz w:val="28"/>
          <w:szCs w:val="28"/>
          <w:rtl/>
        </w:rPr>
        <w:t xml:space="preserve">کذا الفضیل</w:t>
      </w:r>
      <w:r>
        <w:rPr>
          <w:rStyle w:val="FootnoteReference"/>
        </w:rPr>
        <w:footnoteReference w:id="5148"/>
      </w:r>
      <w:r>
        <w:rPr>
          <w:rFonts w:ascii="IRNazanin" w:hAnsi="IRNazanin" w:eastAsia="IRNazanin" w:cs="IRNazanin"/>
          <w:lang w:bidi="fa-IR"/>
          <w:color w:val="111111"/>
          <w:sz w:val="28"/>
          <w:szCs w:val="28"/>
          <w:rtl/>
        </w:rPr>
        <w:t xml:space="preserve">بعده معروف</w:t>
      </w:r>
      <w:r>
        <w:rPr>
          <w:rStyle w:val="FootnoteReference"/>
        </w:rPr>
        <w:footnoteReference w:id="5149"/>
      </w:r>
    </w:p>
    <w:p>
      <w:pPr>
        <w:pStyle w:val="BookText"/>
      </w:pPr>
      <w:r>
        <w:rPr>
          <w:rFonts w:ascii="IRNazanin" w:hAnsi="IRNazanin" w:eastAsia="IRNazanin" w:cs="IRNazanin"/>
          <w:lang w:bidi="fa-IR"/>
          <w:color w:val="111111"/>
          <w:sz w:val="28"/>
          <w:szCs w:val="28"/>
          <w:rtl/>
        </w:rPr>
        <w:t xml:space="preserve">و هو الّذی ما بیننا معروف</w:t>
      </w:r>
    </w:p>
    <w:p>
      <w:pPr>
        <w:pStyle w:val="BookText"/>
      </w:pPr>
      <w:r>
        <w:rPr>
          <w:rFonts w:ascii="IRNazanin" w:hAnsi="IRNazanin" w:eastAsia="IRNazanin" w:cs="IRNazanin"/>
          <w:lang w:bidi="fa-IR"/>
          <w:color w:val="111111"/>
          <w:sz w:val="28"/>
          <w:szCs w:val="28"/>
          <w:rtl/>
        </w:rPr>
        <w:t xml:space="preserve">و الستّة الوسطی اولوا الفضائل</w:t>
      </w:r>
    </w:p>
    <w:p>
      <w:pPr>
        <w:pStyle w:val="BookText"/>
      </w:pPr>
      <w:r>
        <w:rPr>
          <w:rFonts w:ascii="IRNazanin" w:hAnsi="IRNazanin" w:eastAsia="IRNazanin" w:cs="IRNazanin"/>
          <w:lang w:bidi="fa-IR"/>
          <w:color w:val="111111"/>
          <w:sz w:val="28"/>
          <w:szCs w:val="28"/>
          <w:rtl/>
        </w:rPr>
        <w:t xml:space="preserve">رتبتهم أدنی من الأوائل</w:t>
      </w:r>
    </w:p>
    <w:p>
      <w:pPr>
        <w:pStyle w:val="BookText"/>
      </w:pPr>
      <w:r>
        <w:rPr>
          <w:rFonts w:ascii="IRNazanin" w:hAnsi="IRNazanin" w:eastAsia="IRNazanin" w:cs="IRNazanin"/>
          <w:lang w:bidi="fa-IR"/>
          <w:color w:val="111111"/>
          <w:sz w:val="28"/>
          <w:szCs w:val="28"/>
          <w:rtl/>
        </w:rPr>
        <w:t xml:space="preserve">جمیل الجمیل</w:t>
      </w:r>
      <w:r>
        <w:rPr>
          <w:rStyle w:val="FootnoteReference"/>
        </w:rPr>
        <w:footnoteReference w:id="5150"/>
      </w:r>
      <w:r>
        <w:rPr>
          <w:rFonts w:ascii="IRNazanin" w:hAnsi="IRNazanin" w:eastAsia="IRNazanin" w:cs="IRNazanin"/>
          <w:lang w:bidi="fa-IR"/>
          <w:color w:val="111111"/>
          <w:sz w:val="28"/>
          <w:szCs w:val="28"/>
          <w:rtl/>
        </w:rPr>
        <w:t xml:space="preserve">مع أبان</w:t>
      </w:r>
      <w:r>
        <w:rPr>
          <w:rStyle w:val="FootnoteReference"/>
        </w:rPr>
        <w:footnoteReference w:id="5151"/>
      </w:r>
    </w:p>
    <w:p>
      <w:pPr>
        <w:pStyle w:val="BookText"/>
      </w:pPr>
      <w:r>
        <w:rPr>
          <w:rFonts w:ascii="IRNazanin" w:hAnsi="IRNazanin" w:eastAsia="IRNazanin" w:cs="IRNazanin"/>
          <w:lang w:bidi="fa-IR"/>
          <w:color w:val="111111"/>
          <w:sz w:val="28"/>
          <w:szCs w:val="28"/>
          <w:rtl/>
        </w:rPr>
        <w:t xml:space="preserve">و العبدلان</w:t>
      </w:r>
      <w:r>
        <w:rPr>
          <w:rStyle w:val="FootnoteReference"/>
        </w:rPr>
        <w:footnoteReference w:id="5152"/>
      </w:r>
      <w:r>
        <w:rPr>
          <w:rFonts w:ascii="Amiri" w:hAnsi="Amiri" w:eastAsia="Amiri" w:cs="Amiri"/>
          <w:lang w:bidi="ar-SA"/>
          <w:color w:val="111111"/>
          <w:sz w:val="28"/>
          <w:szCs w:val="28"/>
          <w:rtl/>
        </w:rPr>
        <w:t xml:space="preserve">ثمّ حمّادان</w:t>
      </w:r>
      <w:r>
        <w:rPr>
          <w:rStyle w:val="FootnoteReference"/>
        </w:rPr>
        <w:footnoteReference w:id="5153"/>
      </w:r>
    </w:p>
    <w:p>
      <w:pPr>
        <w:pStyle w:val="BookText"/>
      </w:pPr>
      <w:r>
        <w:rPr>
          <w:rFonts w:ascii="IRNazanin" w:hAnsi="IRNazanin" w:eastAsia="IRNazanin" w:cs="IRNazanin"/>
          <w:lang w:bidi="fa-IR"/>
          <w:color w:val="111111"/>
          <w:sz w:val="28"/>
          <w:szCs w:val="28"/>
          <w:rtl/>
        </w:rPr>
        <w:t xml:space="preserve">و السّتة الاخری هم صفوان</w:t>
      </w:r>
      <w:r>
        <w:rPr>
          <w:rStyle w:val="FootnoteReference"/>
        </w:rPr>
        <w:footnoteReference w:id="5154"/>
      </w:r>
    </w:p>
    <w:p>
      <w:pPr>
        <w:pStyle w:val="BookText"/>
      </w:pPr>
      <w:r>
        <w:rPr>
          <w:rFonts w:ascii="IRNazanin" w:hAnsi="IRNazanin" w:eastAsia="IRNazanin" w:cs="IRNazanin"/>
          <w:lang w:bidi="fa-IR"/>
          <w:color w:val="111111"/>
          <w:sz w:val="28"/>
          <w:szCs w:val="28"/>
          <w:rtl/>
        </w:rPr>
        <w:t xml:space="preserve">و یونس</w:t>
      </w:r>
      <w:r>
        <w:rPr>
          <w:rStyle w:val="FootnoteReference"/>
        </w:rPr>
        <w:footnoteReference w:id="5155"/>
      </w:r>
      <w:r>
        <w:rPr>
          <w:rFonts w:ascii="IRNazanin" w:hAnsi="IRNazanin" w:eastAsia="IRNazanin" w:cs="IRNazanin"/>
          <w:lang w:bidi="fa-IR"/>
          <w:color w:val="111111"/>
          <w:sz w:val="28"/>
          <w:szCs w:val="28"/>
          <w:rtl/>
        </w:rPr>
        <w:t xml:space="preserve">علیهما الرضوان</w:t>
      </w:r>
    </w:p>
    <w:p>
      <w:pPr>
        <w:pStyle w:val="BookText"/>
      </w:pPr>
      <w:r>
        <w:rPr>
          <w:rFonts w:ascii="IRNazanin" w:hAnsi="IRNazanin" w:eastAsia="IRNazanin" w:cs="IRNazanin"/>
          <w:lang w:bidi="fa-IR"/>
          <w:color w:val="111111"/>
          <w:sz w:val="28"/>
          <w:szCs w:val="28"/>
          <w:rtl/>
        </w:rPr>
        <w:t xml:space="preserve">ثمّ ابن محبوب</w:t>
      </w:r>
      <w:r>
        <w:rPr>
          <w:rStyle w:val="FootnoteReference"/>
        </w:rPr>
        <w:footnoteReference w:id="5156"/>
      </w:r>
      <w:r>
        <w:rPr>
          <w:rFonts w:ascii="Amiri" w:hAnsi="Amiri" w:eastAsia="Amiri" w:cs="Amiri"/>
          <w:lang w:bidi="ar-SA"/>
          <w:color w:val="111111"/>
          <w:sz w:val="28"/>
          <w:szCs w:val="28"/>
          <w:rtl/>
        </w:rPr>
        <w:t xml:space="preserve">کذا محمّد</w:t>
      </w:r>
      <w:r>
        <w:rPr>
          <w:rStyle w:val="FootnoteReference"/>
        </w:rPr>
        <w:footnoteReference w:id="5157"/>
      </w:r>
    </w:p>
    <w:p>
      <w:pPr>
        <w:pStyle w:val="BookText"/>
      </w:pPr>
      <w:r>
        <w:rPr>
          <w:rFonts w:ascii="IRNazanin" w:hAnsi="IRNazanin" w:eastAsia="IRNazanin" w:cs="IRNazanin"/>
          <w:lang w:bidi="fa-IR"/>
          <w:color w:val="111111"/>
          <w:sz w:val="28"/>
          <w:szCs w:val="28"/>
          <w:rtl/>
        </w:rPr>
        <w:t xml:space="preserve">کذاک عبد اللّه</w:t>
      </w:r>
      <w:r>
        <w:rPr>
          <w:rStyle w:val="FootnoteReference"/>
        </w:rPr>
        <w:footnoteReference w:id="5158"/>
      </w:r>
      <w:r>
        <w:rPr>
          <w:rFonts w:ascii="Amiri" w:hAnsi="Amiri" w:eastAsia="Amiri" w:cs="Amiri"/>
          <w:lang w:bidi="ar-SA"/>
          <w:color w:val="111111"/>
          <w:sz w:val="28"/>
          <w:szCs w:val="28"/>
          <w:rtl/>
        </w:rPr>
        <w:t xml:space="preserve">ثمّ أحمد</w:t>
      </w:r>
      <w:r>
        <w:rPr>
          <w:rStyle w:val="FootnoteReference"/>
        </w:rPr>
        <w:footnoteReference w:id="5159"/>
      </w:r>
    </w:p>
    <w:p>
      <w:pPr>
        <w:pStyle w:val="BookText"/>
      </w:pPr>
      <w:r>
        <w:rPr>
          <w:rFonts w:ascii="IRNazanin" w:hAnsi="IRNazanin" w:eastAsia="IRNazanin" w:cs="IRNazanin"/>
          <w:lang w:bidi="fa-IR"/>
          <w:color w:val="111111"/>
          <w:sz w:val="28"/>
          <w:szCs w:val="28"/>
          <w:rtl/>
        </w:rPr>
        <w:t xml:space="preserve">و ما ذکرناه الأصحّ عندنا</w:t>
      </w:r>
    </w:p>
    <w:p>
      <w:pPr>
        <w:pStyle w:val="BookText"/>
      </w:pPr>
      <w:r>
        <w:rPr>
          <w:rFonts w:ascii="IRNazanin" w:hAnsi="IRNazanin" w:eastAsia="IRNazanin" w:cs="IRNazanin"/>
          <w:lang w:bidi="fa-IR"/>
          <w:color w:val="111111"/>
          <w:sz w:val="28"/>
          <w:szCs w:val="28"/>
          <w:rtl/>
        </w:rPr>
        <w:t xml:space="preserve">و شذّ قول من به خالفنا</w:t>
      </w:r>
      <w:r>
        <w:rPr>
          <w:rStyle w:val="FootnoteReference"/>
        </w:rPr>
        <w:footnoteReference w:id="5160"/>
      </w:r>
    </w:p>
    <w:p>
      <w:pPr>
        <w:pStyle w:val="BookText"/>
      </w:pPr>
      <w:r>
        <w:rPr>
          <w:rFonts w:ascii="IRNazanin" w:hAnsi="IRNazanin" w:eastAsia="IRNazanin" w:cs="IRNazanin"/>
          <w:lang w:bidi="fa-IR"/>
          <w:color w:val="111111"/>
          <w:sz w:val="28"/>
          <w:szCs w:val="28"/>
          <w:rtl/>
        </w:rPr>
        <w:t xml:space="preserve">قوله: «و ما ذکرناه الأصحّ» إشارة إلی الاختلاف الّذی حکاه الکشّی فی عبارته، حیث اختار الکشّی أنّ أبا بصیر الأسدی منهم، و اختار غیره أنّ أبا</w:t>
      </w:r>
    </w:p>
    <w:p>
      <w:pPr>
        <w:pStyle w:val="BookText"/>
      </w:pPr>
      <w:r>
        <w:rPr>
          <w:rFonts w:ascii="IRNazanin" w:hAnsi="IRNazanin" w:eastAsia="IRNazanin" w:cs="IRNazanin"/>
          <w:lang w:bidi="fa-IR"/>
          <w:color w:val="111111"/>
          <w:sz w:val="28"/>
          <w:szCs w:val="28"/>
          <w:rtl/>
        </w:rPr>
        <w:t xml:space="preserve">[شماره صفحه واقعی : 171]
</w:t>
      </w:r>
    </w:p>
    <w:p>
      <w:pPr>
        <w:sectPr>
          <w:footerReference w:type="default" r:id="rId1827"/>
          <w:footnotePr>
            <w:numStart w:val="1"/>
            <w:numRestart w:val="eachPage"/>
          </w:footnotePr>
          <w:pgSz w:orient="portrait" w:w="11905.511811023622" w:h="16837.79527559055"/>
          <w:pgMar w:top="1440" w:right="1440" w:bottom="1440" w:left="1440" w:header="720" w:footer="720" w:gutter="0"/>
          <w:cols w:num="1" w:space="720"/>
        </w:sectPr>
      </w:pPr>
    </w:p>
    <w:bookmarkStart w:id="963" w:name="pg14411_144209"/>
    <w:bookmarkEnd w:id="963"/>
    <w:p>
      <w:pPr>
        <w:pStyle w:val="BookText"/>
      </w:pPr>
      <w:r>
        <w:rPr>
          <w:rFonts w:ascii="IRNazanin" w:hAnsi="IRNazanin" w:eastAsia="IRNazanin" w:cs="IRNazanin"/>
          <w:lang w:bidi="fa-IR"/>
          <w:color w:val="111111"/>
          <w:sz w:val="28"/>
          <w:szCs w:val="28"/>
          <w:rtl/>
        </w:rPr>
        <w:t xml:space="preserve">بصیر المرادی منهم و اختار السیّد بحر العلوم القول الثّانی و نسب القول الأوّل إلی الشّذوذ.</w:t>
      </w:r>
    </w:p>
    <w:p>
      <w:pPr>
        <w:pStyle w:val="Heading6"/>
      </w:pPr>
      <w:bookmarkStart w:id="2826" w:name="_Toc1861"/>
      <w:r>
        <w:t>الخامس: فی کیفیة تلقی الأصحاب هذا الاجماع</w:t>
      </w:r>
      <w:bookmarkEnd w:id="2826"/>
    </w:p>
    <w:p>
      <w:pPr>
        <w:pStyle w:val="BookText"/>
      </w:pPr>
      <w:r>
        <w:rPr>
          <w:rFonts w:ascii="IRNazanin" w:hAnsi="IRNazanin" w:eastAsia="IRNazanin" w:cs="IRNazanin"/>
          <w:lang w:bidi="fa-IR"/>
          <w:color w:val="111111"/>
          <w:sz w:val="28"/>
          <w:szCs w:val="28"/>
          <w:rtl/>
        </w:rPr>
        <w:t xml:space="preserve">إنّ المتتبّع النّوری قد قام یتصفّح کلمات الأصحاب حتّی یستکشف من خلالها کیفیّة تلقّیهم هذا الإجماع المنقول، فاستنتج منها، إنّ الأصحاب قد تلقّوا بالقبول و إلیک الإشارة إلی بعض الکلمات الّتی نقلها المحدّث النّوری فی الفائدة السابعة من خاتمة المستدرک بتحریر منّا حسب القرون:</w:t>
      </w:r>
    </w:p>
    <w:p>
      <w:pPr>
        <w:pStyle w:val="BookText"/>
      </w:pPr>
      <w:r>
        <w:rPr>
          <w:rFonts w:ascii="IRNazanin" w:hAnsi="IRNazanin" w:eastAsia="IRNazanin" w:cs="IRNazanin"/>
          <w:lang w:bidi="fa-IR"/>
          <w:color w:val="111111"/>
          <w:sz w:val="28"/>
          <w:szCs w:val="28"/>
          <w:rtl/>
        </w:rPr>
        <w:t xml:space="preserve">1 - إنّ أوّل من نقله من الأصحاب هو أبو عمرو الکشّی، و هو من علماء القرن الرّابع و کان معاصرا للکلینی (المتوفّی عام 329) و تتلمذ للعیّاشی صاحب التفسیر.</w:t>
      </w:r>
    </w:p>
    <w:p>
      <w:pPr>
        <w:pStyle w:val="BookText"/>
      </w:pPr>
      <w:r>
        <w:rPr>
          <w:rFonts w:ascii="IRNazanin" w:hAnsi="IRNazanin" w:eastAsia="IRNazanin" w:cs="IRNazanin"/>
          <w:lang w:bidi="fa-IR"/>
          <w:color w:val="111111"/>
          <w:sz w:val="28"/>
          <w:szCs w:val="28"/>
          <w:rtl/>
        </w:rPr>
        <w:t xml:space="preserve">2 - و یتلوه فی النّقل، الشّیخ الطّوسی، و هو من علماء القرن الخامس (المتوفّی عام 460) حیث إنّه قام باختصار رجال الکشّی بحذف أغلاطه و هفواته، و أملاه علی تلامیذه و شرع بالإملاء یوم الثلاثاء، السّادس و العشرین من صفر سنة 456، بالمشهد الشریف الغری و نقل سبط الشیخ، السید الأجلّ «علیّ بن طاووس» فی کتاب «فرج المهموم» عن نفس خطّ الشیخ فی أوّل الکتاب أنّه قال: «هذه الأخبار اختصرتها من کتاب الرّجال لأبی عمرو محمّد بن عمر بن عبد العزیز الکشّی و اخترنا ما فیها»</w:t>
      </w:r>
      <w:r>
        <w:rPr>
          <w:rStyle w:val="FootnoteReference"/>
        </w:rPr>
        <w:footnoteReference w:id="5161"/>
      </w:r>
      <w:r>
        <w:rPr>
          <w:rFonts w:ascii="IRNazanin" w:hAnsi="IRNazanin" w:eastAsia="IRNazanin" w:cs="IRNazanin"/>
          <w:lang w:bidi="fa-IR"/>
          <w:color w:val="111111"/>
          <w:sz w:val="28"/>
          <w:szCs w:val="28"/>
          <w:rtl/>
        </w:rPr>
        <w:t xml:space="preserve">و ظاهر کلامه أنّ الموجود فی الکشّی مختاره و مرضیّه.</w:t>
      </w:r>
    </w:p>
    <w:p>
      <w:pPr>
        <w:pStyle w:val="BookText"/>
      </w:pPr>
      <w:r>
        <w:rPr>
          <w:rFonts w:ascii="IRNazanin" w:hAnsi="IRNazanin" w:eastAsia="IRNazanin" w:cs="IRNazanin"/>
          <w:lang w:bidi="fa-IR"/>
          <w:color w:val="111111"/>
          <w:sz w:val="28"/>
          <w:szCs w:val="28"/>
          <w:rtl/>
        </w:rPr>
        <w:t xml:space="preserve">أضف إلی ذلک أنّه یقول فی العدّة: «سوّت الطّائفة بین ما رواه محمّد بن أبی عمیر و صفوان بن یحیی و أحمد بن محمّد بن أبی نصر و غیرهم من الثّقات، الّذین عرفوا بأنّهم لا یروون و لا یرسلون إلاّ ممّن یوثق به، و بین ما</w:t>
      </w:r>
    </w:p>
    <w:p>
      <w:pPr>
        <w:pStyle w:val="BookText"/>
      </w:pPr>
      <w:r>
        <w:rPr>
          <w:rFonts w:ascii="IRNazanin" w:hAnsi="IRNazanin" w:eastAsia="IRNazanin" w:cs="IRNazanin"/>
          <w:lang w:bidi="fa-IR"/>
          <w:color w:val="111111"/>
          <w:sz w:val="28"/>
          <w:szCs w:val="28"/>
          <w:rtl/>
        </w:rPr>
        <w:t xml:space="preserve">[شماره صفحه واقعی : 172]
</w:t>
      </w:r>
    </w:p>
    <w:p>
      <w:pPr>
        <w:sectPr>
          <w:footerReference w:type="default" r:id="rId18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أسنده غیرهم، و لذلک عملوا بمرسلهم إذا انفرد عن روایة غیرهم»</w:t>
      </w:r>
      <w:r>
        <w:rPr>
          <w:rStyle w:val="FootnoteReference"/>
        </w:rPr>
        <w:footnoteReference w:id="51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قوله «و غیرهم من الثّقات الّذین عرفوا بأنّهم لا یروون و لا یرسلون إلاّ ممّن یوثق به» دلیل علی أنّ فیهم جماعة معروفین عند الأصحاب بهذه الفضیلة، و لا تجد فی کتب هذا الفنّ من طبقة الثّقات، عصابة مشترکة فی هذه الفضیلة غیر هؤلاء.</w:t>
      </w:r>
    </w:p>
    <w:p>
      <w:pPr>
        <w:pStyle w:val="BookText"/>
      </w:pPr>
      <w:r>
        <w:rPr>
          <w:rFonts w:ascii="IRNazanin" w:hAnsi="IRNazanin" w:eastAsia="IRNazanin" w:cs="IRNazanin"/>
          <w:lang w:bidi="fa-IR"/>
          <w:color w:val="111111"/>
          <w:sz w:val="28"/>
          <w:szCs w:val="28"/>
          <w:rtl/>
        </w:rPr>
        <w:t xml:space="preserve">3 - و ممّن تلقّاه بالقبول، رشید الدین محمّد بن علیّ بن شهرآشوب من علماء القرن السادس (المتوفّی عام 588) فقد أتی بما ذکره الکشّی فی أحوال الطّبقة الاولی و الثّانیة، و ترک ذکر الثّالثة، و نقل الطّبقتین بتغییر فی العبارة کما سیوافیک وجهه</w:t>
      </w:r>
      <w:r>
        <w:rPr>
          <w:rStyle w:val="FootnoteReference"/>
        </w:rPr>
        <w:footnoteReference w:id="51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و ممّن تلقّاه بالقبول، فقیه الشّیعة، العلاّمة الحلّی من علماء القرن الثامن (المتوفّی عام 726) و قد أشار بما ذکره الکشّی فی خلاصته فی موارد کثیرة کما فی ترجمة «عبد اللّه بن بکیر» و «صفوان بن یحیی» و «البزنطی» و «أبان بن عثمان».</w:t>
      </w:r>
    </w:p>
    <w:p>
      <w:pPr>
        <w:pStyle w:val="BookText"/>
      </w:pPr>
      <w:r>
        <w:rPr>
          <w:rFonts w:ascii="IRNazanin" w:hAnsi="IRNazanin" w:eastAsia="IRNazanin" w:cs="IRNazanin"/>
          <w:lang w:bidi="fa-IR"/>
          <w:color w:val="111111"/>
          <w:sz w:val="28"/>
          <w:szCs w:val="28"/>
          <w:rtl/>
        </w:rPr>
        <w:t xml:space="preserve">5 - و قال ابن داود مؤلّف الرجال و هو من علماء القرن الثّامن، حیث ولد عام 648 و ألّف رجاله عام 707: «أجمعت العصابة علی ثمانیة عشر رجلا فلم یختلفوا فی تعظیمهم غیر أنّهم یتفاوتون ثلاث درج»</w:t>
      </w:r>
      <w:r>
        <w:rPr>
          <w:rStyle w:val="FootnoteReference"/>
        </w:rPr>
        <w:footnoteReference w:id="51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و قال الشهید الأول (المستشهد عام 786) فی «غایة المراد» عند</w:t>
      </w:r>
    </w:p>
    <w:p>
      <w:pPr>
        <w:pStyle w:val="BookText"/>
      </w:pPr>
      <w:r>
        <w:rPr>
          <w:rFonts w:ascii="IRNazanin" w:hAnsi="IRNazanin" w:eastAsia="IRNazanin" w:cs="IRNazanin"/>
          <w:lang w:bidi="fa-IR"/>
          <w:color w:val="111111"/>
          <w:sz w:val="28"/>
          <w:szCs w:val="28"/>
          <w:rtl/>
        </w:rPr>
        <w:t xml:space="preserve">[شماره صفحه واقعی : 173]
</w:t>
      </w:r>
    </w:p>
    <w:p>
      <w:pPr>
        <w:sectPr>
          <w:footerReference w:type="default" r:id="rId18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البحث عن بیع الثمرة بعد نقل حدیث فی سنده الحسن بن محبوب: «و قد قال الکشی: أجمعت العصابة علی تصحیح ما یصحّ عن الحسن بن محبوب».</w:t>
      </w:r>
    </w:p>
    <w:p>
      <w:pPr>
        <w:pStyle w:val="BookText"/>
      </w:pPr>
      <w:r>
        <w:rPr>
          <w:rFonts w:ascii="IRNazanin" w:hAnsi="IRNazanin" w:eastAsia="IRNazanin" w:cs="IRNazanin"/>
          <w:lang w:bidi="fa-IR"/>
          <w:color w:val="111111"/>
          <w:sz w:val="28"/>
          <w:szCs w:val="28"/>
          <w:rtl/>
        </w:rPr>
        <w:t xml:space="preserve">نعم، لم نجد من یذکر هذا الاجماع أو یشیر إلیه من علماء القرن السّابع کالحسن بن زهرة (المتوفّی عام 620)، و نجیب الدین ابن نما (المتوفّی عام 645)، و أحمد بن طاووس (المتوفّی عام 673)، و المحقّق الحلّی (المتوفّی عام 676) و یحیی بن سعید (المتوفّی عام 689).</w:t>
      </w:r>
    </w:p>
    <w:p>
      <w:pPr>
        <w:pStyle w:val="BookText"/>
      </w:pPr>
      <w:r>
        <w:rPr>
          <w:rFonts w:ascii="IRNazanin" w:hAnsi="IRNazanin" w:eastAsia="IRNazanin" w:cs="IRNazanin"/>
          <w:lang w:bidi="fa-IR"/>
          <w:color w:val="111111"/>
          <w:sz w:val="28"/>
          <w:szCs w:val="28"/>
          <w:rtl/>
        </w:rPr>
        <w:t xml:space="preserve">کما لم نجد من یذکره من علماء القرن التّاسع کالفاضل المقداد (المتوفّی عام 826) و ابن فهد الحلّی (المتوفّی عام 841).</w:t>
      </w:r>
    </w:p>
    <w:p>
      <w:pPr>
        <w:pStyle w:val="BookText"/>
      </w:pPr>
      <w:r>
        <w:rPr>
          <w:rFonts w:ascii="IRNazanin" w:hAnsi="IRNazanin" w:eastAsia="IRNazanin" w:cs="IRNazanin"/>
          <w:lang w:bidi="fa-IR"/>
          <w:color w:val="111111"/>
          <w:sz w:val="28"/>
          <w:szCs w:val="28"/>
          <w:rtl/>
        </w:rPr>
        <w:t xml:space="preserve">نعم ذکره الشّهید الثّانی (و هو من علماء القرن العاشر و قد استشهد عام 966) فی شرح الدرایة فی تعریف الصّحیح حیث قال: «نقلوا الإجماع علی تصحیح ما یصحّ عن أبان بن عثمان مع کونه فطحیّا، و هذا کلّه خارج عن تعریف الصّحیح الّذی ذکروه».</w:t>
      </w:r>
    </w:p>
    <w:p>
      <w:pPr>
        <w:pStyle w:val="BookText"/>
      </w:pPr>
      <w:r>
        <w:rPr>
          <w:rFonts w:ascii="IRNazanin" w:hAnsi="IRNazanin" w:eastAsia="IRNazanin" w:cs="IRNazanin"/>
          <w:lang w:bidi="fa-IR"/>
          <w:color w:val="111111"/>
          <w:sz w:val="28"/>
          <w:szCs w:val="28"/>
          <w:rtl/>
        </w:rPr>
        <w:t xml:space="preserve">کما نقل فی الرّوضة البهیّة، فی کتاب الطّلاق عن الشّیخ أنّه قال: «إنّ العصابة أجمعت علی تصحیح ما یصحّ عن عبد اللّه بن بکیر و أقرّوا له بالفقه و الثّقة»</w:t>
      </w:r>
      <w:r>
        <w:rPr>
          <w:rStyle w:val="FootnoteReference"/>
        </w:rPr>
        <w:footnoteReference w:id="51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القرون التالیة، فقد تلقّاه عدّة من علماء القرن الحادی عشر بالقبول کالشیخ البهائی (المتوفّی عام 1031). و المحقّق الداماد (المتوفّی عام 1041)، و المجلسی الأوّل، و فخر الدین الطّریحی (المتوفّی عام 1085) و المحقّق السبزواری (المتوفّی عام 1090) مؤلّف «ذخیرة المعاد فی شرح الإرشاد».</w:t>
      </w:r>
    </w:p>
    <w:p>
      <w:pPr>
        <w:pStyle w:val="BookText"/>
      </w:pPr>
      <w:r>
        <w:rPr>
          <w:rFonts w:ascii="IRNazanin" w:hAnsi="IRNazanin" w:eastAsia="IRNazanin" w:cs="IRNazanin"/>
          <w:lang w:bidi="fa-IR"/>
          <w:color w:val="111111"/>
          <w:sz w:val="28"/>
          <w:szCs w:val="28"/>
          <w:rtl/>
        </w:rPr>
        <w:t xml:space="preserve">کما تلقّاه بالقبول کثیر من علماء القرن الثّانی عشر کالمجلسی الثانی</w:t>
      </w:r>
    </w:p>
    <w:p>
      <w:pPr>
        <w:pStyle w:val="BookText"/>
      </w:pPr>
      <w:r>
        <w:rPr>
          <w:rFonts w:ascii="IRNazanin" w:hAnsi="IRNazanin" w:eastAsia="IRNazanin" w:cs="IRNazanin"/>
          <w:lang w:bidi="fa-IR"/>
          <w:color w:val="111111"/>
          <w:sz w:val="28"/>
          <w:szCs w:val="28"/>
          <w:rtl/>
        </w:rPr>
        <w:t xml:space="preserve">[شماره صفحه واقعی : 174]
</w:t>
      </w:r>
    </w:p>
    <w:p>
      <w:pPr>
        <w:sectPr>
          <w:footerReference w:type="default" r:id="rId1830"/>
          <w:footnotePr>
            <w:numStart w:val="1"/>
            <w:numRestart w:val="eachPage"/>
          </w:footnotePr>
          <w:pgSz w:orient="portrait" w:w="11905.511811023622" w:h="16837.79527559055"/>
          <w:pgMar w:top="1440" w:right="1440" w:bottom="1440" w:left="1440" w:header="720" w:footer="720" w:gutter="0"/>
          <w:cols w:num="1" w:space="720"/>
        </w:sectPr>
      </w:pPr>
    </w:p>
    <w:bookmarkStart w:id="964" w:name="pg14411_144212"/>
    <w:bookmarkEnd w:id="964"/>
    <w:p>
      <w:pPr>
        <w:pStyle w:val="BookText"/>
      </w:pPr>
      <w:r>
        <w:rPr>
          <w:rFonts w:ascii="IRNazanin" w:hAnsi="IRNazanin" w:eastAsia="IRNazanin" w:cs="IRNazanin"/>
          <w:lang w:bidi="fa-IR"/>
          <w:color w:val="111111"/>
          <w:sz w:val="28"/>
          <w:szCs w:val="28"/>
          <w:rtl/>
        </w:rPr>
        <w:t xml:space="preserve">(المتوفّی عام 1110) و علماء القرون التالیة و لا نری حاجة فی ذکر عبائرهم</w:t>
      </w:r>
      <w:r>
        <w:rPr>
          <w:rStyle w:val="FootnoteReference"/>
        </w:rPr>
        <w:footnoteReference w:id="51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إنّ الأصحاب و إن تلقّوه بالقبول، لکن ذلک التلقّی لا یزیدنا شیئا، لأنّهم اعتمدوا علی نقل الکشّی و لولاه لما کان من ذلک الإجماع أثر، و لأجل ذلک نری أنّ الشّیخ لم یذکره فی کتابی الرّجال و الفهرس، و لا نجد منه أثرا فی رجال البرقی و فهرس النّجاشی، و ذکره ابن شهر آشوب تبعا للکشّی و تصرّف فی عبارته، علی أنّ ذکر الشّیخ فی رجال الکشّی لا یدلّ علی کونه مختارا عنده، لأنّه هذّبه عن الأغلاط، لا عن کلّ محتمل للصّدوق و الکذب، و إبقاؤه یکشف عن عدم کونه مردودا عنده، لا کونه مقبولا.</w:t>
      </w:r>
    </w:p>
    <w:p>
      <w:pPr>
        <w:pStyle w:val="Heading6"/>
      </w:pPr>
      <w:bookmarkStart w:id="2827" w:name="_Toc1862"/>
      <w:r>
        <w:t>السادس: فی وجه حجیة ذاک الاجماع</w:t>
      </w:r>
      <w:bookmarkEnd w:id="2827"/>
    </w:p>
    <w:p>
      <w:pPr>
        <w:pStyle w:val="BookText"/>
      </w:pPr>
      <w:r>
        <w:rPr>
          <w:rFonts w:ascii="IRNazanin" w:hAnsi="IRNazanin" w:eastAsia="IRNazanin" w:cs="IRNazanin"/>
          <w:lang w:bidi="fa-IR"/>
          <w:color w:val="111111"/>
          <w:sz w:val="28"/>
          <w:szCs w:val="28"/>
          <w:rtl/>
        </w:rPr>
        <w:t xml:space="preserve">عقد الاصولیّون فی باب حجیّة الظّنون، فصلا خاصّا للبحث عن حجیّة الاجماع المنقول بخبر الواحد و عدمها، فذهب البعض إلی الحجیّة بادّعاء شمول أدلّة حجیّة خبر الواحد له، و اختار المحقّقون و علی رأسهم الشّیخ الأعظم عدمها، قائلا بأنّ أدلّة حجیّة خبر الواحد تختصّ بما إذا نقل قول المعصوم عن حسّ لا عن حدس، و ناقل الإجماع ینقله حدسا لا حسّا و ذلک من ناحیتین:</w:t>
      </w:r>
    </w:p>
    <w:p>
      <w:pPr>
        <w:pStyle w:val="BookText"/>
      </w:pPr>
      <w:r>
        <w:rPr>
          <w:rFonts w:ascii="IRNazanin" w:hAnsi="IRNazanin" w:eastAsia="IRNazanin" w:cs="IRNazanin"/>
          <w:lang w:bidi="fa-IR"/>
          <w:color w:val="111111"/>
          <w:sz w:val="28"/>
          <w:szCs w:val="28"/>
          <w:rtl/>
        </w:rPr>
        <w:t xml:space="preserve">الاولی: من ناحیة السّبب و هو الاتّفاق الملازم عادة لقول الإمام - علیه السلام - و وجه کونه حدسیّا، لا حسّیا، أنّ الجلّ - لولا الکلّ - یکتفون فی إحراز السّبب، باتّفاق عدّة من الفقهاء لا اتّفاق الکلّ، و ینتقلون من اتّفاق عدّة منهم إلی اتّفاق الجمیع.</w:t>
      </w:r>
    </w:p>
    <w:p>
      <w:pPr>
        <w:pStyle w:val="BookText"/>
      </w:pPr>
      <w:r>
        <w:rPr>
          <w:rFonts w:ascii="IRNazanin" w:hAnsi="IRNazanin" w:eastAsia="IRNazanin" w:cs="IRNazanin"/>
          <w:lang w:bidi="fa-IR"/>
          <w:color w:val="111111"/>
          <w:sz w:val="28"/>
          <w:szCs w:val="28"/>
          <w:rtl/>
        </w:rPr>
        <w:t xml:space="preserve">الثانیة: من ناحیة المسبّب، و هو قول الإمام، فإنّهم یجعلون اتّفاق</w:t>
      </w:r>
    </w:p>
    <w:p>
      <w:pPr>
        <w:pStyle w:val="BookText"/>
      </w:pPr>
      <w:r>
        <w:rPr>
          <w:rFonts w:ascii="IRNazanin" w:hAnsi="IRNazanin" w:eastAsia="IRNazanin" w:cs="IRNazanin"/>
          <w:lang w:bidi="fa-IR"/>
          <w:color w:val="111111"/>
          <w:sz w:val="28"/>
          <w:szCs w:val="28"/>
          <w:rtl/>
        </w:rPr>
        <w:t xml:space="preserve">[شماره صفحه واقعی : 175]
</w:t>
      </w:r>
    </w:p>
    <w:p>
      <w:pPr>
        <w:sectPr>
          <w:footerReference w:type="default" r:id="rId18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العلماء دلیلا علی موافقة قولهم لقول الإمام - علیه السلام - حدسا لا حسّا، مع أنّ الملازمة بین ذاک الاتّفاق، و قول الإمام غیر موجودة، و علی ذلک فناقل الإجماع ینقل السّبب (اتّفاق الکلّ) و المسبّب (قول الإمام) حدسا لا حسّا، و هو خارج عن مورد أدلّة الحجیّة.</w:t>
      </w:r>
    </w:p>
    <w:p>
      <w:pPr>
        <w:pStyle w:val="BookText"/>
      </w:pPr>
      <w:r>
        <w:rPr>
          <w:rFonts w:ascii="IRNazanin" w:hAnsi="IRNazanin" w:eastAsia="IRNazanin" w:cs="IRNazanin"/>
          <w:lang w:bidi="fa-IR"/>
          <w:color w:val="111111"/>
          <w:sz w:val="28"/>
          <w:szCs w:val="28"/>
          <w:rtl/>
        </w:rPr>
        <w:t xml:space="preserve">و الاشکال فی ناحیة السّبب، مشترک بین المقام و سائر الاجماعات المنقولة، حیث إنّ المظنون أنّ أبا عمرو الکشّی لم یتفحّص فی نقل إجماع العصابة علی هؤلاء، و إنّما وقف علی آراء معدودة و اکتفی، و هی لا تلازم اتّفاق الکلّ.</w:t>
      </w:r>
    </w:p>
    <w:p>
      <w:pPr>
        <w:pStyle w:val="BookText"/>
      </w:pPr>
      <w:r>
        <w:rPr>
          <w:rFonts w:ascii="IRNazanin" w:hAnsi="IRNazanin" w:eastAsia="IRNazanin" w:cs="IRNazanin"/>
          <w:lang w:bidi="fa-IR"/>
          <w:color w:val="111111"/>
          <w:sz w:val="28"/>
          <w:szCs w:val="28"/>
          <w:rtl/>
        </w:rPr>
        <w:t xml:space="preserve">و هناک إشکال آخر یختصّ بالمقام، و هو أنّ الإجماع المنقول لو قلنا بحجیّته، إنّما هو فیما إذا تعلّق علی الحکم الشرعیّ، لا علی الموضوع، و متعلّق الاجماع فی المقام موضوع من الموضوعات لا حکم من الأحکام، کما تفصح منه عبارة الکشّی: «أجمعت العصابة علی تصحیح ما یصحّ عن جماعة...».</w:t>
      </w:r>
    </w:p>
    <w:p>
      <w:pPr>
        <w:pStyle w:val="BookText"/>
      </w:pPr>
      <w:r>
        <w:rPr>
          <w:rFonts w:ascii="IRNazanin" w:hAnsi="IRNazanin" w:eastAsia="IRNazanin" w:cs="IRNazanin"/>
          <w:lang w:bidi="fa-IR"/>
          <w:color w:val="111111"/>
          <w:sz w:val="28"/>
          <w:szCs w:val="28"/>
          <w:rtl/>
        </w:rPr>
        <w:t xml:space="preserve">و الإجماع علی موضوع و لو کان محصّلا، لیست بحجّة، فکیف إذا کان منقولا.</w:t>
      </w:r>
    </w:p>
    <w:p>
      <w:pPr>
        <w:pStyle w:val="BookText"/>
      </w:pPr>
      <w:r>
        <w:rPr>
          <w:rFonts w:ascii="IRNazanin" w:hAnsi="IRNazanin" w:eastAsia="IRNazanin" w:cs="IRNazanin"/>
          <w:lang w:bidi="fa-IR"/>
          <w:color w:val="111111"/>
          <w:sz w:val="28"/>
          <w:szCs w:val="28"/>
          <w:rtl/>
        </w:rPr>
        <w:t xml:space="preserve">و الجواب عن الإشکال الأوّل مبنیّ علی تعیین المفاد من عبارة الکشّی فی حقّ هؤلاء الثّمانیة عشر، فلو قلنا بأنّ المراد منها هو تصدیق هؤلاء الأعلام فی نفس النّقل و الحکایة الملازم لوثاقتهم - کما هو المختار و یظهر من عبارة المناقب أیضا و غیرها کما ستوافیک - فلا یحتاج فی إثبات وثاقة هؤلاء إلی اتّفاق الکلّ حتّی یقال إنّه أمر حدسیّ، بل یکفی توثیق شخص أو شخصین أو ثلاثة وقف علیه الکشّی عن حسّ، و لیس الاطّلاع علی هذا القدر أمرا عسیرا حتّی یرمی الکشّی فیه إلی الحدس، بل من المقطوع أنّه وقف علیه و علی أزید منه.</w:t>
      </w:r>
    </w:p>
    <w:p>
      <w:pPr>
        <w:pStyle w:val="BookText"/>
      </w:pPr>
      <w:r>
        <w:rPr>
          <w:rFonts w:ascii="IRNazanin" w:hAnsi="IRNazanin" w:eastAsia="IRNazanin" w:cs="IRNazanin"/>
          <w:lang w:bidi="fa-IR"/>
          <w:color w:val="111111"/>
          <w:sz w:val="28"/>
          <w:szCs w:val="28"/>
          <w:rtl/>
        </w:rPr>
        <w:t xml:space="preserve">نعم، لو کان المراد من عبارة الکشّی هو اتّفاق العصابة علی صحّة روایة هؤلاء، بالمعنی المصطلح عند القدماء اعتمادا علی القرائن الخارجیّة،</w:t>
      </w:r>
    </w:p>
    <w:p>
      <w:pPr>
        <w:pStyle w:val="BookText"/>
      </w:pPr>
      <w:r>
        <w:rPr>
          <w:rFonts w:ascii="IRNazanin" w:hAnsi="IRNazanin" w:eastAsia="IRNazanin" w:cs="IRNazanin"/>
          <w:lang w:bidi="fa-IR"/>
          <w:color w:val="111111"/>
          <w:sz w:val="28"/>
          <w:szCs w:val="28"/>
          <w:rtl/>
        </w:rPr>
        <w:t xml:space="preserve">[شماره صفحه واقعی : 176]
</w:t>
      </w:r>
    </w:p>
    <w:p>
      <w:pPr>
        <w:sectPr>
          <w:footerReference w:type="default" r:id="rId18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فالإشکال باق بحاله، لأنّ العلم بالصحّة لیس أمرا محسوسا حتّی تعمّه أدلّة حجیّة خبر الواحد إذا أخبر عنها مخبر، و لیست القرائن الموجبة للعلم بالصحّة، کلّها من قبیل عرض الکتاب علی الإمام - علیه السلام - و تصدیقه إیّاه، أو تکرّر الحدیث فی الاصول المعتمدة، حتّی یقال «إنّها من قبیل الامور الحسیّة، و أنّ المسبّب - أعنی صحّة روایات هؤلاء - و إن کان حدسیّا، لکن أسبابه حسیّة، و لا یلزم فی حجیّة قول العادل کون المخبر به أمرا حسیّا، بل یکفی کون مقدّماته حسیّة»، و ذلک لأنّ القرائن المفیدة لصحّة أخبار هؤلاء لیست حسیّة دائما، و إنّما هی علی قسمین: محسوس و غیر محسوس، و الغالب علیها هو الثانی و قد مرّ الکلام فیه، عند البحث عن شهادة الکلینی فی دیباجة الکافی علی صحّة روایاته.</w:t>
      </w:r>
    </w:p>
    <w:p>
      <w:pPr>
        <w:pStyle w:val="BookText"/>
      </w:pPr>
      <w:r>
        <w:rPr>
          <w:rFonts w:ascii="IRNazanin" w:hAnsi="IRNazanin" w:eastAsia="IRNazanin" w:cs="IRNazanin"/>
          <w:lang w:bidi="fa-IR"/>
          <w:color w:val="111111"/>
          <w:sz w:val="28"/>
          <w:szCs w:val="28"/>
          <w:rtl/>
        </w:rPr>
        <w:t xml:space="preserve">و قد حاول بعض الأجلّة الإجابة عنه (و لو قلنا بأنّ المراد هو تصحیح روایات هؤلاء) بأنّ نقل الکشّی، اتّفاق العصابة علی تصحیح مرویّات هؤلاء بالقرائن الدالّة علی صدق مفهومها أو صدورها، و إن لم یکن کافیا فی إثبات الاتّفاق الحقیقی، لکنّه کاشف عن اتّفاق مجموعة کبیرة منهم علی تصحیح مرویّات هؤلاء، و من البعید أن یکون مصدره ادّعاء واحد أو اثنان من علماء الطّائفة، لأنّ التّساهل فی دعوی الإجماع و إن کان شائعا بین المتأخّرین، لکنّه بین القدماء ممنوع جدا، هذا من جانب.</w:t>
      </w:r>
    </w:p>
    <w:p>
      <w:pPr>
        <w:pStyle w:val="BookText"/>
      </w:pPr>
      <w:r>
        <w:rPr>
          <w:rFonts w:ascii="IRNazanin" w:hAnsi="IRNazanin" w:eastAsia="IRNazanin" w:cs="IRNazanin"/>
          <w:lang w:bidi="fa-IR"/>
          <w:color w:val="111111"/>
          <w:sz w:val="28"/>
          <w:szCs w:val="28"/>
          <w:rtl/>
        </w:rPr>
        <w:t xml:space="preserve">و من جانب آخر، إنّ اتّفاق جماعة علی صحّة روایات هؤلاء العدّة، یورث الاطمئنان بها، و القرائن الّتی تدلّ علی الصحّة و إن کانت علی قسمین:</w:t>
      </w:r>
    </w:p>
    <w:p>
      <w:pPr>
        <w:pStyle w:val="BookText"/>
      </w:pPr>
      <w:r>
        <w:rPr>
          <w:rFonts w:ascii="IRNazanin" w:hAnsi="IRNazanin" w:eastAsia="IRNazanin" w:cs="IRNazanin"/>
          <w:lang w:bidi="fa-IR"/>
          <w:color w:val="111111"/>
          <w:sz w:val="28"/>
          <w:szCs w:val="28"/>
          <w:rtl/>
        </w:rPr>
        <w:t xml:space="preserve">حسیّ و استنباطی، لکن لمّا کان النّظر و الاجتهاد فی تلک الأیّام قلیلة، و کان الأساس فی المسائل الفقهیّة و ما یتّصل بها، هو الحسّ و الشهود، یمکن أن یقال باعتمادهم علی القرائن العامّة الّتی تورث الاطمئنان لکلّ من قامت عنده أیضا، ککونه من کتاب عرض علی الإمام، أو وجد فی أصل معتبر، أو تکرّر فی الاصول، إلی غیر ذلک من القرائن المشهورة.</w:t>
      </w:r>
    </w:p>
    <w:p>
      <w:pPr>
        <w:pStyle w:val="BookText"/>
      </w:pPr>
      <w:r>
        <w:rPr>
          <w:rFonts w:ascii="IRNazanin" w:hAnsi="IRNazanin" w:eastAsia="IRNazanin" w:cs="IRNazanin"/>
          <w:lang w:bidi="fa-IR"/>
          <w:color w:val="111111"/>
          <w:sz w:val="28"/>
          <w:szCs w:val="28"/>
          <w:rtl/>
        </w:rPr>
        <w:t xml:space="preserve">[شماره صفحه واقعی : 177]
</w:t>
      </w:r>
    </w:p>
    <w:p>
      <w:pPr>
        <w:sectPr>
          <w:footerReference w:type="default" r:id="rId1833"/>
          <w:footnotePr>
            <w:numStart w:val="1"/>
            <w:numRestart w:val="eachPage"/>
          </w:footnotePr>
          <w:pgSz w:orient="portrait" w:w="11905.511811023622" w:h="16837.79527559055"/>
          <w:pgMar w:top="1440" w:right="1440" w:bottom="1440" w:left="1440" w:header="720" w:footer="720" w:gutter="0"/>
          <w:cols w:num="1" w:space="720"/>
        </w:sectPr>
      </w:pPr>
    </w:p>
    <w:bookmarkStart w:id="965" w:name="pg14411_144215"/>
    <w:bookmarkEnd w:id="965"/>
    <w:p>
      <w:pPr>
        <w:pStyle w:val="BookText"/>
      </w:pPr>
      <w:r>
        <w:rPr>
          <w:rFonts w:ascii="IRNazanin" w:hAnsi="IRNazanin" w:eastAsia="IRNazanin" w:cs="IRNazanin"/>
          <w:lang w:bidi="fa-IR"/>
          <w:color w:val="111111"/>
          <w:sz w:val="28"/>
          <w:szCs w:val="28"/>
          <w:rtl/>
        </w:rPr>
        <w:t xml:space="preserve">و الحاصل؛ أنّه إذا ثبت ببرکة نقل الکشّی، کون صحّة روایات هؤلاء، أمرا مشهورا بین الطّائفة، یحصل الاطمئنان بها من اتّفاق مشاهیرهم، لکونهم بعداء عن الاعتماد علی القرائن الحدسیّة، بل کانوا یعتمدون علی المحسوسات أو الحدسیّات القریبة منها، لقلّة الاجتهاد و النّظر فی تلک الأعصار.</w:t>
      </w:r>
    </w:p>
    <w:p>
      <w:pPr>
        <w:pStyle w:val="BookText"/>
      </w:pPr>
      <w:r>
        <w:rPr>
          <w:rFonts w:ascii="IRNazanin" w:hAnsi="IRNazanin" w:eastAsia="IRNazanin" w:cs="IRNazanin"/>
          <w:lang w:bidi="fa-IR"/>
          <w:color w:val="111111"/>
          <w:sz w:val="28"/>
          <w:szCs w:val="28"/>
          <w:rtl/>
        </w:rPr>
        <w:t xml:space="preserve">أقول: لو صحّت تلک المحاولة، لصحّت فی ما ادّعاه الکلینی فی دیباجة کتابه، من صحّة روایاته، و مثله الصّدوق فی مقدّمة «الفقیه»، بل الشّیخ حسب ما حکاه المحدّث النّوری بالنّسبة إلی کتابیه «التّهذیب و الاستبصار»، و الاعتماد علی هذه التّصحیحات، بحجّة أنّ النظّر و الاجتهاد یوم ذاک کان قلیلا، و کان الغالب علیها هو الاعتماد علی الامور الحسیّة مشکل جدّا، و قد مرّ إجمال ذلک عند البحث عن أدلّة نفاة الحاجة إلی علم الرّجال فلاحظ، علی أنّ إحراز القرائن الحسیّة بالنّسبة إلی أحادیث هؤلاء مع کثرتها، بعید غایته و سیوافیک بعض الکلام فی ذلک عند تبیین مفاد العبارة.</w:t>
      </w:r>
    </w:p>
    <w:p>
      <w:pPr>
        <w:pStyle w:val="BookText"/>
      </w:pPr>
      <w:r>
        <w:rPr>
          <w:rFonts w:ascii="IRNazanin" w:hAnsi="IRNazanin" w:eastAsia="IRNazanin" w:cs="IRNazanin"/>
          <w:lang w:bidi="fa-IR"/>
          <w:color w:val="111111"/>
          <w:sz w:val="28"/>
          <w:szCs w:val="28"/>
          <w:rtl/>
        </w:rPr>
        <w:t xml:space="preserve">و أمّا الإشکال الثّانی فالإجابة عنه واضحة، لأنّه یکفی فی شمول الأدلّة کون المخبر به ممّا یترتّب علی ثبوته أثر شرعی، و لا یجب أن یکون دائما نفس الحکم الشرعی، فلو ثبت بإخبار الکشّی، اتّفاق العصابة علی وثاقتهم أو صحّة أخبارهم، لکفی ذلک فی شمول أدلّة الحجیّة کما لا یخفی.</w:t>
      </w:r>
    </w:p>
    <w:p>
      <w:pPr>
        <w:pStyle w:val="Heading6"/>
      </w:pPr>
      <w:bookmarkStart w:id="2828" w:name="_Toc1863"/>
      <w:r>
        <w:t>السابع: فی مفاد «تصحیح ما یصح عنهم»</w:t>
      </w:r>
      <w:bookmarkEnd w:id="2828"/>
    </w:p>
    <w:p>
      <w:pPr>
        <w:pStyle w:val="BookText"/>
      </w:pPr>
      <w:r>
        <w:rPr>
          <w:rFonts w:ascii="IRNazanin" w:hAnsi="IRNazanin" w:eastAsia="IRNazanin" w:cs="IRNazanin"/>
          <w:lang w:bidi="fa-IR"/>
          <w:color w:val="111111"/>
          <w:sz w:val="28"/>
          <w:szCs w:val="28"/>
          <w:rtl/>
        </w:rPr>
        <w:t xml:space="preserve">و هذا هو البحث المهمّ الّذی فصّل الکلام فیه المتتبّع النوری فی خاتمة مستدرکه، کما فصّل فی الامور السّابقة - شکر اللّه مساعیه -.</w:t>
      </w:r>
    </w:p>
    <w:p>
      <w:pPr>
        <w:pStyle w:val="BookText"/>
      </w:pPr>
      <w:r>
        <w:rPr>
          <w:rFonts w:ascii="IRNazanin" w:hAnsi="IRNazanin" w:eastAsia="IRNazanin" w:cs="IRNazanin"/>
          <w:lang w:bidi="fa-IR"/>
          <w:color w:val="111111"/>
          <w:sz w:val="28"/>
          <w:szCs w:val="28"/>
          <w:rtl/>
        </w:rPr>
        <w:t xml:space="preserve">و الخلاف مبنیّ علی أنّ المقصود من الموصول فی «ما یصحّ» ما هو؟ فهل المراد، الروایة و الحکایة بالمعنی المصدری، أو أنّ المراد المرویّ و نفس الحدیث؟</w:t>
      </w:r>
    </w:p>
    <w:p>
      <w:pPr>
        <w:pStyle w:val="BookText"/>
      </w:pPr>
      <w:r>
        <w:rPr>
          <w:rFonts w:ascii="IRNazanin" w:hAnsi="IRNazanin" w:eastAsia="IRNazanin" w:cs="IRNazanin"/>
          <w:lang w:bidi="fa-IR"/>
          <w:color w:val="111111"/>
          <w:sz w:val="28"/>
          <w:szCs w:val="28"/>
          <w:rtl/>
        </w:rPr>
        <w:t xml:space="preserve">[شماره صفحه واقعی : 178]
</w:t>
      </w:r>
    </w:p>
    <w:p>
      <w:pPr>
        <w:sectPr>
          <w:footerReference w:type="default" r:id="rId18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فتعیین أحد المعنیین هو المفتاح لحلّ مشکلة العبارة، و أمّا الاحتمالات الاخر، فکلّها من شقوق هذین الاحتمالین و یتلخّص المعنیان فی جملتین:</w:t>
      </w:r>
    </w:p>
    <w:p>
      <w:pPr>
        <w:pStyle w:val="BookText"/>
      </w:pPr>
      <w:r>
        <w:rPr>
          <w:rFonts w:ascii="IRNazanin" w:hAnsi="IRNazanin" w:eastAsia="IRNazanin" w:cs="IRNazanin"/>
          <w:lang w:bidi="fa-IR"/>
          <w:color w:val="111111"/>
          <w:sz w:val="28"/>
          <w:szCs w:val="28"/>
          <w:rtl/>
        </w:rPr>
        <w:t xml:space="preserve">1 - المراد تصدیق حکایاتهم.</w:t>
      </w:r>
    </w:p>
    <w:p>
      <w:pPr>
        <w:pStyle w:val="BookText"/>
      </w:pPr>
      <w:r>
        <w:rPr>
          <w:rFonts w:ascii="IRNazanin" w:hAnsi="IRNazanin" w:eastAsia="IRNazanin" w:cs="IRNazanin"/>
          <w:lang w:bidi="fa-IR"/>
          <w:color w:val="111111"/>
          <w:sz w:val="28"/>
          <w:szCs w:val="28"/>
          <w:rtl/>
        </w:rPr>
        <w:t xml:space="preserve">2 - المراد تصدیق مرویّاتهم.</w:t>
      </w:r>
    </w:p>
    <w:p>
      <w:pPr>
        <w:pStyle w:val="BookText"/>
      </w:pPr>
      <w:r>
        <w:rPr>
          <w:rFonts w:ascii="IRNazanin" w:hAnsi="IRNazanin" w:eastAsia="IRNazanin" w:cs="IRNazanin"/>
          <w:lang w:bidi="fa-IR"/>
          <w:color w:val="111111"/>
          <w:sz w:val="28"/>
          <w:szCs w:val="28"/>
          <w:rtl/>
        </w:rPr>
        <w:t xml:space="preserve">و ان شئت قلت: هل تعلّق الإجماع علی تصحیح نفس الحکایة و أنّ ابن أبی عمیر صادق فی قوله، بأنّه حدّثه ابن اذینة أو عبد اللّه بن مسکان أو غیرهما من مشایخه الکثیرة الناهزة إلی أربعمائة شیخ أو تعلّق بتصحیح نفس الحدیث و المرویّ، و أنّ الروایة قد صدرت عنهم - علیهم السلام -.</w:t>
      </w:r>
    </w:p>
    <w:p>
      <w:pPr>
        <w:pStyle w:val="BookText"/>
      </w:pPr>
      <w:r>
        <w:rPr>
          <w:rFonts w:ascii="IRNazanin" w:hAnsi="IRNazanin" w:eastAsia="IRNazanin" w:cs="IRNazanin"/>
          <w:lang w:bidi="fa-IR"/>
          <w:color w:val="111111"/>
          <w:sz w:val="28"/>
          <w:szCs w:val="28"/>
          <w:rtl/>
        </w:rPr>
        <w:t xml:space="preserve">و بعبارة اخری؛ هل تعلّق بما یرویه بلا واسطة کروایته عن شیخه «ابن اذینة»، أو تعلق بما یرویه مع الواسطة أعنی نفس الحدیث الّذی یرویه عن الإمام بواسطة استاذه.</w:t>
      </w:r>
    </w:p>
    <w:p>
      <w:pPr>
        <w:pStyle w:val="BookText"/>
      </w:pPr>
      <w:r>
        <w:rPr>
          <w:rFonts w:ascii="IRNazanin" w:hAnsi="IRNazanin" w:eastAsia="IRNazanin" w:cs="IRNazanin"/>
          <w:lang w:bidi="fa-IR"/>
          <w:color w:val="111111"/>
          <w:sz w:val="28"/>
          <w:szCs w:val="28"/>
          <w:rtl/>
        </w:rPr>
        <w:t xml:space="preserve">و المعنی الأوّل یلازم توثیق هؤلاء و یدلّ علیه بالدّلالة الالتزامیّة، فإنّ اتّفاق العصابة علی تصدیق هؤلاء فی حکایتهم و تحدّثهم ملازم لکونهم ثقات، فیکون مفاد العبارة هو توثیق هؤلاء لأجل تصدیق العصابة حکایتهم و نقولهم عن مشایخهم.</w:t>
      </w:r>
    </w:p>
    <w:p>
      <w:pPr>
        <w:pStyle w:val="BookText"/>
      </w:pPr>
      <w:r>
        <w:rPr>
          <w:rFonts w:ascii="IRNazanin" w:hAnsi="IRNazanin" w:eastAsia="IRNazanin" w:cs="IRNazanin"/>
          <w:lang w:bidi="fa-IR"/>
          <w:color w:val="111111"/>
          <w:sz w:val="28"/>
          <w:szCs w:val="28"/>
          <w:rtl/>
        </w:rPr>
        <w:t xml:space="preserve">و أمّا المعنی الثانی فله احتمالات:</w:t>
      </w:r>
    </w:p>
    <w:p>
      <w:pPr>
        <w:pStyle w:val="BookText"/>
      </w:pPr>
      <w:r>
        <w:rPr>
          <w:rFonts w:ascii="IRNazanin" w:hAnsi="IRNazanin" w:eastAsia="IRNazanin" w:cs="IRNazanin"/>
          <w:lang w:bidi="fa-IR"/>
          <w:color w:val="111111"/>
          <w:sz w:val="28"/>
          <w:szCs w:val="28"/>
          <w:rtl/>
        </w:rPr>
        <w:t xml:space="preserve">1 - صحّة نفس الحدیث و الرّوایة و إن کانت مرسلة أو مرویّة عن مجهول أو ضعیف لأجل کونها محفوفة بالقرائن.</w:t>
      </w:r>
    </w:p>
    <w:p>
      <w:pPr>
        <w:pStyle w:val="BookText"/>
      </w:pPr>
      <w:r>
        <w:rPr>
          <w:rFonts w:ascii="IRNazanin" w:hAnsi="IRNazanin" w:eastAsia="IRNazanin" w:cs="IRNazanin"/>
          <w:lang w:bidi="fa-IR"/>
          <w:color w:val="111111"/>
          <w:sz w:val="28"/>
          <w:szCs w:val="28"/>
          <w:rtl/>
        </w:rPr>
        <w:t xml:space="preserve">2 - صحّتها لأجل وثاقة خصوص هؤلاء الجماعة فتکون الصحّة نسبیّة لا مطلقة، لاحتمال عدم وثاقة من یروون عنه فیتحد مع المعنی الأول.</w:t>
      </w:r>
    </w:p>
    <w:p>
      <w:pPr>
        <w:pStyle w:val="BookText"/>
      </w:pPr>
      <w:r>
        <w:rPr>
          <w:rFonts w:ascii="IRNazanin" w:hAnsi="IRNazanin" w:eastAsia="IRNazanin" w:cs="IRNazanin"/>
          <w:lang w:bidi="fa-IR"/>
          <w:color w:val="111111"/>
          <w:sz w:val="28"/>
          <w:szCs w:val="28"/>
          <w:rtl/>
        </w:rPr>
        <w:t xml:space="preserve">3 - صحّتها لأجل وثاقتهم و وثاقة من یروون عنهم حتّی یصل إلی الإمام - علیه السلام - فعلی الاحتمال الثالث، تنسلک مجموعة کبیرة من الرواة ممّن</w:t>
      </w:r>
    </w:p>
    <w:p>
      <w:pPr>
        <w:pStyle w:val="BookText"/>
      </w:pPr>
      <w:r>
        <w:rPr>
          <w:rFonts w:ascii="IRNazanin" w:hAnsi="IRNazanin" w:eastAsia="IRNazanin" w:cs="IRNazanin"/>
          <w:lang w:bidi="fa-IR"/>
          <w:color w:val="111111"/>
          <w:sz w:val="28"/>
          <w:szCs w:val="28"/>
          <w:rtl/>
        </w:rPr>
        <w:t xml:space="preserve">[شماره صفحه واقعی : 179]
</w:t>
      </w:r>
    </w:p>
    <w:p>
      <w:pPr>
        <w:sectPr>
          <w:footerReference w:type="default" r:id="rId18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 یوثّقوا خصوصا، فی عداد الثّقات، فإنّ لمحمّد بن أبی عمیر مثلا «645» حدیثا یرویها عن مشایخ کثیرة</w:t>
      </w:r>
      <w:r>
        <w:rPr>
          <w:rStyle w:val="FootnoteReference"/>
        </w:rPr>
        <w:footnoteReference w:id="51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إلیک توضیح هذین المعنیین</w:t>
      </w:r>
      <w:r>
        <w:rPr>
          <w:rStyle w:val="FootnoteReference"/>
        </w:rPr>
        <w:footnoteReference w:id="51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المعنی الأوّل: و هو ما احتمله صاحب الوافی فی المقدّمة الثّالثة من کتابه: «أنّ ما یصحّ عنهم هو الرّوایة لا المرویّ»</w:t>
      </w:r>
      <w:r>
        <w:rPr>
          <w:rStyle w:val="FootnoteReference"/>
        </w:rPr>
        <w:footnoteReference w:id="5169"/>
      </w:r>
      <w:r>
        <w:rPr>
          <w:rFonts w:ascii="IRNazanin" w:hAnsi="IRNazanin" w:eastAsia="IRNazanin" w:cs="IRNazanin"/>
          <w:lang w:bidi="fa-IR"/>
          <w:color w:val="111111"/>
          <w:sz w:val="28"/>
          <w:szCs w:val="28"/>
          <w:rtl/>
        </w:rPr>
        <w:t xml:space="preserve">و علی هذا تکون العبارة کنایة عن الاجماع علی عدالتهم و صدقهم بخلاف غیرهم ممّن لم ینقل الإجماع علی عدالته.</w:t>
      </w:r>
    </w:p>
    <w:p>
      <w:pPr>
        <w:pStyle w:val="BookText"/>
      </w:pPr>
      <w:r>
        <w:rPr>
          <w:rFonts w:ascii="IRNazanin" w:hAnsi="IRNazanin" w:eastAsia="IRNazanin" w:cs="IRNazanin"/>
          <w:lang w:bidi="fa-IR"/>
          <w:color w:val="111111"/>
          <w:sz w:val="28"/>
          <w:szCs w:val="28"/>
          <w:rtl/>
        </w:rPr>
        <w:t xml:space="preserve">و نقل المحدّث النّوری عن السیّد المحقّق الشفتی فی رسالته فی تحقیق حال «أبان» أنّ متعلّق التّصحیح هو الروایة بالمعنی المصدری، أی قولهم أخبرنی، أو حدّثنی، أو سمعت من فلان، و علی هذا فنتیجة العبارة أنّ أحدا من هؤلاء إذا ثبت أنّه قال: حدّثنی، فالعصابة أجمعوا علی أنّه صادق فی اعتقاده.</w:t>
      </w:r>
    </w:p>
    <w:p>
      <w:pPr>
        <w:pStyle w:val="BookText"/>
      </w:pPr>
      <w:r>
        <w:rPr>
          <w:rFonts w:ascii="IRNazanin" w:hAnsi="IRNazanin" w:eastAsia="IRNazanin" w:cs="IRNazanin"/>
          <w:lang w:bidi="fa-IR"/>
          <w:color w:val="111111"/>
          <w:sz w:val="28"/>
          <w:szCs w:val="28"/>
          <w:rtl/>
        </w:rPr>
        <w:t xml:space="preserve">و قد سبقه فی اختیار هذا المعنی رشید الدّین ابن شهر آشوب فی مناقبه، حیث اکتفی بنقل المضمون و ترک العبارة و قال: «اجتمعت العصابة علی تصدیق ستّة من فقهائه (الإمام الصّادق علیه السلام) و هم جمیل بن درّاج، و عبد اللّه بن مسکان.. الخ» فقد فهم من عبارة الکشّی اتّفاق العصابة علی تصدیق هؤلاء و کونهم صادقین فیما یحکون، فیدلّ بالدّلالة الالتزامیة علی وثاقة هؤلاء لا غیر، و التّصدیق مفاد مطابقی، و الوثاقة مفاد التزامی کما لا یخفی.</w:t>
      </w:r>
    </w:p>
    <w:p>
      <w:pPr>
        <w:pStyle w:val="BookText"/>
      </w:pPr>
      <w:r>
        <w:rPr>
          <w:rFonts w:ascii="IRNazanin" w:hAnsi="IRNazanin" w:eastAsia="IRNazanin" w:cs="IRNazanin"/>
          <w:lang w:bidi="fa-IR"/>
          <w:color w:val="111111"/>
          <w:sz w:val="28"/>
          <w:szCs w:val="28"/>
          <w:rtl/>
        </w:rPr>
        <w:t xml:space="preserve">[شماره صفحه واقعی : 180]
</w:t>
      </w:r>
    </w:p>
    <w:p>
      <w:pPr>
        <w:sectPr>
          <w:footerReference w:type="default" r:id="rId18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یظهر ذلک أیضا من استاذ الفنّ، الشیخ عبد اللّه بن حسین التّستری، الّذی کان من مشایخ الشّیخ عنایة اللّه القهبائی مؤلّف «مجمع الرجال»، حیث نقل عن استاذه ما هذا عبارته: «قال الاستاذ مولانا النحریر المدقّق، و الحبر المحقّق المجتهد فی العلم و العمل عبد اللّه بن حسین التّستری - قدّس سرّه -</w:t>
      </w:r>
      <w:r>
        <w:rPr>
          <w:rStyle w:val="FootnoteReference"/>
        </w:rPr>
        <w:footnoteReference w:id="5170"/>
      </w:r>
      <w:r>
        <w:rPr>
          <w:rFonts w:ascii="IRNazanin" w:hAnsi="IRNazanin" w:eastAsia="IRNazanin" w:cs="IRNazanin"/>
          <w:lang w:bidi="fa-IR"/>
          <w:color w:val="111111"/>
          <w:sz w:val="28"/>
          <w:szCs w:val="28"/>
          <w:rtl/>
        </w:rPr>
        <w:t xml:space="preserve">،هکذا: و ربّما یخدش بأنّ حکمهم بتصحیح ما یصحّ عنهم، إنّما یقتضی الحکم بوقوع ما أخبروا به، و هذا لا یقتضی الحکم بوقوع ما أخبر هؤلاء عنه فی الواقع، و الحاصل أنّهم إذا أخبروا أنّ فلانا الفاسق حکم علی رسول اللّه مثلا بما یقتضی کفره (نستغفر اللّه منه) فإنّ ذلک یقتضی حکمهم بصحّة ما أخبروا به، و هو وقوع المکفّر عن الفاسق المنسوب إلیه ذلک لا صحّة ما نسب إلی الفاسق فی نفس الأمر - إلی أن قال: إنّ الجماعة المذکورین فی هذه التّسمیات الثّلاث إذا أخبروا عن غیر معتبر فی النّقل، فإنّه لا یلزم الحکم بصحّة ما أخبروا عنه فی الواقع، نعم یلزم ذلک إذا أخبروا عن معتبر».</w:t>
      </w:r>
    </w:p>
    <w:p>
      <w:pPr>
        <w:pStyle w:val="BookText"/>
      </w:pPr>
      <w:r>
        <w:rPr>
          <w:rFonts w:ascii="IRNazanin" w:hAnsi="IRNazanin" w:eastAsia="IRNazanin" w:cs="IRNazanin"/>
          <w:lang w:bidi="fa-IR"/>
          <w:color w:val="111111"/>
          <w:sz w:val="28"/>
          <w:szCs w:val="28"/>
          <w:rtl/>
        </w:rPr>
        <w:t xml:space="preserve">و أضاف التّلمیذ: «و لا یخفی أنّ المذکورین فی التّسمیات المذکورات هنا لا یروون إلاّ عنهم - علیهم السلام - إلاّ قلیلا، و لا عن غیر معتبر إلاّ نادرا و هذا ظاهر مع أدنی تتبّع، فما أفاد الاستاذ - رحمه اللّه - من المعنی الدقیق و المحمل الصحیح لا یؤثر فیما نفهم منها فی أوّل الامر»</w:t>
      </w:r>
      <w:r>
        <w:rPr>
          <w:rStyle w:val="FootnoteReference"/>
        </w:rPr>
        <w:footnoteReference w:id="5171"/>
      </w:r>
      <w:r>
        <w:rPr>
          <w:rFonts w:ascii="IRNazanin" w:hAnsi="IRNazanin" w:eastAsia="IRNazanin" w:cs="IRNazanin"/>
          <w:lang w:bidi="fa-IR"/>
          <w:color w:val="111111"/>
          <w:sz w:val="28"/>
          <w:szCs w:val="28"/>
          <w:rtl/>
        </w:rPr>
        <w:t xml:space="preserve">و یظهر النّظر فی کلام التّلمیذ فیما سننقله من روایة هؤلاء عن غیر الأئمّة بکثیر فتربّص.</w:t>
      </w:r>
    </w:p>
    <w:p>
      <w:pPr>
        <w:pStyle w:val="BookText"/>
      </w:pPr>
      <w:r>
        <w:rPr>
          <w:rFonts w:ascii="IRNazanin" w:hAnsi="IRNazanin" w:eastAsia="IRNazanin" w:cs="IRNazanin"/>
          <w:lang w:bidi="fa-IR"/>
          <w:color w:val="111111"/>
          <w:sz w:val="28"/>
          <w:szCs w:val="28"/>
          <w:rtl/>
        </w:rPr>
        <w:t xml:space="preserve">و قد نقله أبو علی فی رجاله عن استاذه صاحب الریاض حیث قال:</w:t>
      </w:r>
    </w:p>
    <w:p>
      <w:pPr>
        <w:pStyle w:val="BookText"/>
      </w:pPr>
      <w:r>
        <w:rPr>
          <w:rFonts w:ascii="IRNazanin" w:hAnsi="IRNazanin" w:eastAsia="IRNazanin" w:cs="IRNazanin"/>
          <w:lang w:bidi="fa-IR"/>
          <w:color w:val="111111"/>
          <w:sz w:val="28"/>
          <w:szCs w:val="28"/>
          <w:rtl/>
        </w:rPr>
        <w:t xml:space="preserve">«المراد دعوی الاجماع علی صدق الجماعة، و صحّة ما ترویه إذا لم یکن فی السند من یتوقّف فیه، فإذا قال أحد الجماعة: حدّثنی فلان، یکون الإجماع منعقدا علی صدق دعواه و إذا کان ضعیفا أو غیر معروف، لا یجدیه نفعا،</w:t>
      </w:r>
    </w:p>
    <w:p>
      <w:pPr>
        <w:pStyle w:val="BookText"/>
      </w:pPr>
      <w:r>
        <w:rPr>
          <w:rFonts w:ascii="IRNazanin" w:hAnsi="IRNazanin" w:eastAsia="IRNazanin" w:cs="IRNazanin"/>
          <w:lang w:bidi="fa-IR"/>
          <w:color w:val="111111"/>
          <w:sz w:val="28"/>
          <w:szCs w:val="28"/>
          <w:rtl/>
        </w:rPr>
        <w:t xml:space="preserve">[شماره صفحه واقعی : 181]
</w:t>
      </w:r>
    </w:p>
    <w:p>
      <w:pPr>
        <w:sectPr>
          <w:footerReference w:type="default" r:id="rId18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ذهب إلیه بعض أفاضل العصر و هو السید مهدی الطباطبائی»</w:t>
      </w:r>
      <w:r>
        <w:rPr>
          <w:rStyle w:val="FootnoteReference"/>
        </w:rPr>
        <w:footnoteReference w:id="51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أقول: هذا هو المختار و یؤیدّه امور:</w:t>
      </w:r>
    </w:p>
    <w:p>
      <w:pPr>
        <w:pStyle w:val="BookText"/>
      </w:pPr>
      <w:r>
        <w:rPr>
          <w:rFonts w:ascii="IRNazanin" w:hAnsi="IRNazanin" w:eastAsia="IRNazanin" w:cs="IRNazanin"/>
          <w:lang w:bidi="fa-IR"/>
          <w:color w:val="111111"/>
          <w:sz w:val="28"/>
          <w:szCs w:val="28"/>
          <w:rtl/>
        </w:rPr>
        <w:t xml:space="preserve">1 - إنّ الکشّی اکتفی فی تسمیة الطّبقة الاولی بقوله: «اجتمعت العصابة علی تصدیق هؤلاء الأوّلین من أصحاب أبی جعفر و أبی عبد اللّه - علیهما السلام - و انقادوا لهم بالفقه، فقالوا: أفقه الأوّلین ستّة» و لم یذکر فی حقّهم غیر تلک الجمل، فلو کان المفهوم من قوله «تصحیح ما یصحّ عن جماعة» إجماعهم علی تصدیق مرویّاتهم (لا حکایاتهم)، کان علیه أن یذکر تلک العبارة فی حق الستّة الاولی، لأنّهم فی الدّرجة العالیة بالنّسبة إلی الطّبقتین، و هذا یعرب عن کون المقصود من التّصحیح، هو الحکم بصدقهم و تصویب نفس نقلهم، و بالدّلالة الالتزامیة یدلّ علی وثاقتهم.</w:t>
      </w:r>
    </w:p>
    <w:p>
      <w:pPr>
        <w:pStyle w:val="BookText"/>
      </w:pPr>
      <w:r>
        <w:rPr>
          <w:rFonts w:ascii="IRNazanin" w:hAnsi="IRNazanin" w:eastAsia="IRNazanin" w:cs="IRNazanin"/>
          <w:lang w:bidi="fa-IR"/>
          <w:color w:val="111111"/>
          <w:sz w:val="28"/>
          <w:szCs w:val="28"/>
          <w:rtl/>
        </w:rPr>
        <w:t xml:space="preserve">2 - فهم عدّة من الأعلام ذلک المعنی من العبارة.</w:t>
      </w:r>
    </w:p>
    <w:p>
      <w:pPr>
        <w:pStyle w:val="BookText"/>
      </w:pPr>
      <w:r>
        <w:rPr>
          <w:rFonts w:ascii="IRNazanin" w:hAnsi="IRNazanin" w:eastAsia="IRNazanin" w:cs="IRNazanin"/>
          <w:lang w:bidi="fa-IR"/>
          <w:color w:val="111111"/>
          <w:sz w:val="28"/>
          <w:szCs w:val="28"/>
          <w:rtl/>
        </w:rPr>
        <w:t xml:space="preserve">إنّ ابن شهر آشوب قد فهم من کلام الکشّی نفس ما ذکرناه، و لأجل ذلک حذف کلمة «تصحیح ما یصحّ» عند التعرّض للطّبقة الثّانیة فعبّر عنه بقوله:</w:t>
      </w:r>
    </w:p>
    <w:p>
      <w:pPr>
        <w:pStyle w:val="BookText"/>
      </w:pPr>
      <w:r>
        <w:rPr>
          <w:rFonts w:ascii="IRNazanin" w:hAnsi="IRNazanin" w:eastAsia="IRNazanin" w:cs="IRNazanin"/>
          <w:lang w:bidi="fa-IR"/>
          <w:color w:val="111111"/>
          <w:sz w:val="28"/>
          <w:szCs w:val="28"/>
          <w:rtl/>
        </w:rPr>
        <w:t xml:space="preserve">«اجتمعت العصابة علی تصدیق ستّة من فقهاء أصحاب الإمام الصّادق - علیه السلام - و هم: جمیل بن درّاج - إلی آخره».</w:t>
      </w:r>
    </w:p>
    <w:p>
      <w:pPr>
        <w:pStyle w:val="BookText"/>
      </w:pPr>
      <w:r>
        <w:rPr>
          <w:rFonts w:ascii="IRNazanin" w:hAnsi="IRNazanin" w:eastAsia="IRNazanin" w:cs="IRNazanin"/>
          <w:lang w:bidi="fa-IR"/>
          <w:color w:val="111111"/>
          <w:sz w:val="28"/>
          <w:szCs w:val="28"/>
          <w:rtl/>
        </w:rPr>
        <w:t xml:space="preserve">نری أنّه وضع التّصدیق مکان «تصحیح ما یصحّ عنه» و هذا یعرف عن وحدة المقصود، و یظهر ذلک من بعض کلمات العلاّمة فی المختلف حیث قال: «لا یقال: عبد اللّه بن بکیر فطحی، لأنّا نقول: عبد اللّه بن بکیر و إن کان فطحیّا، إلاّ أنّ المشایخ وثّقوه» و نقل عبارة الکشّی، و قال بنظیره فی ترجمة أبان بن عثمان الأحمر: «...، إلاّ أنّه کان ثقة و قال الکشّی: إنّه ممن أجمعت العصابة علی تصحیح ما یصحّ عنه» و الظّاهر أنّ التمسّک بقول</w:t>
      </w:r>
    </w:p>
    <w:p>
      <w:pPr>
        <w:pStyle w:val="BookText"/>
      </w:pPr>
      <w:r>
        <w:rPr>
          <w:rFonts w:ascii="IRNazanin" w:hAnsi="IRNazanin" w:eastAsia="IRNazanin" w:cs="IRNazanin"/>
          <w:lang w:bidi="fa-IR"/>
          <w:color w:val="111111"/>
          <w:sz w:val="28"/>
          <w:szCs w:val="28"/>
          <w:rtl/>
        </w:rPr>
        <w:t xml:space="preserve">[شماره صفحه واقعی : 182]
</w:t>
      </w:r>
    </w:p>
    <w:p>
      <w:pPr>
        <w:sectPr>
          <w:footerReference w:type="default" r:id="rId18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الکشّی، لأجل الاستدلال علی قوله: «إنّ المشایخ وثّقوه» أو «إلاّ أنّه کان ثقة».</w:t>
      </w:r>
    </w:p>
    <w:p>
      <w:pPr>
        <w:pStyle w:val="BookText"/>
      </w:pPr>
      <w:r>
        <w:rPr>
          <w:rFonts w:ascii="IRNazanin" w:hAnsi="IRNazanin" w:eastAsia="IRNazanin" w:cs="IRNazanin"/>
          <w:lang w:bidi="fa-IR"/>
          <w:color w:val="111111"/>
          <w:sz w:val="28"/>
          <w:szCs w:val="28"/>
          <w:rtl/>
        </w:rPr>
        <w:t xml:space="preserve">کما یظهر ذلک من ابن داود حیث قال: «أجمعت العصابة علی ثمانیة عشر رجلا فلم یختلفوا فی تعظیمهم، غیر أنّهم یتفاوتون ثلاث درج»</w:t>
      </w:r>
      <w:r>
        <w:rPr>
          <w:rStyle w:val="FootnoteReference"/>
        </w:rPr>
        <w:footnoteReference w:id="51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إمعان النّظر فی ما یتبادر من قوله: «ما یصحّ من هؤلاء» فإذا قال الکلینی: «حدّثنا علیّ بن إبراهیم، قال: حدّثنا إبراهیم بن هاشم، قال:</w:t>
      </w:r>
    </w:p>
    <w:p>
      <w:pPr>
        <w:pStyle w:val="BookText"/>
      </w:pPr>
      <w:r>
        <w:rPr>
          <w:rFonts w:ascii="IRNazanin" w:hAnsi="IRNazanin" w:eastAsia="IRNazanin" w:cs="IRNazanin"/>
          <w:lang w:bidi="fa-IR"/>
          <w:color w:val="111111"/>
          <w:sz w:val="28"/>
          <w:szCs w:val="28"/>
          <w:rtl/>
        </w:rPr>
        <w:t xml:space="preserve">حدّثنا ابن أبی عمیر، قال: حدّثنا ابن أذینة قال: قال أبو عبد اللّه - علیه السلام -» فلو فرضنا وثاقة الأوّلین من السّند - کما هو کذلک - فإنّه یقال صحّ عن ابن أبی عمیر کذا، فیجب تصحیح نفس هذا، لا غیر، و بعبارة أخری یجب علینا إمعان النّظر فی أنّه ما هو الّذی صحّ عن ابن أبی عمیر، حتّی یتعلّق به التّصحیح. فهل هو حکایة کلّ واحد عن آخر؟ أو هو نفس الحدیث و متنه؟.</w:t>
      </w:r>
    </w:p>
    <w:p>
      <w:pPr>
        <w:pStyle w:val="BookText"/>
      </w:pPr>
      <w:r>
        <w:rPr>
          <w:rFonts w:ascii="IRNazanin" w:hAnsi="IRNazanin" w:eastAsia="IRNazanin" w:cs="IRNazanin"/>
          <w:lang w:bidi="fa-IR"/>
          <w:color w:val="111111"/>
          <w:sz w:val="28"/>
          <w:szCs w:val="28"/>
          <w:rtl/>
        </w:rPr>
        <w:t xml:space="preserve">لا سبیل إلی الثّانی، لأنّ من صدّر به السند، لا ینقل إلاّ حکایة الثّانی و لا ینقل نفس الحدیث، و إنّما یکون ناقلا لو نقله من الإمام بلا واسطة، و مثله من وقع فی السّند بعده، فإنّه لا ینقل إلاّ حکایة الثّالث له، فعندئذ ما صحّ عن ابن أبی عمیر لیس نفس الحدیث، بل حکایة الاستاذ لتلمیذه، و علیه یکون هذا بنفسه متعلّقا للتّصحیح، و أنّ ابن أبی عمیر مصدّق فی حکایته عن ابن اذینة، و هو صادق فی نقله عنه، و أمّا ثبوت نفس الحدیث، فهو یحتاج إلی کون الناقل لابن أبی عمیر صادقا وثقة و إلاّ فلا یثبت، نعم یثبت بتصحیح ما صحّ عن ابن أبی عمیر کونه ثقة، لکن لا بالدّلالة المطابقیّة، بل بالدّلالة الالتزامیة.</w:t>
      </w:r>
    </w:p>
    <w:p>
      <w:pPr>
        <w:pStyle w:val="BookText"/>
      </w:pPr>
      <w:r>
        <w:rPr>
          <w:rFonts w:ascii="IRNazanin" w:hAnsi="IRNazanin" w:eastAsia="IRNazanin" w:cs="IRNazanin"/>
          <w:lang w:bidi="fa-IR"/>
          <w:color w:val="111111"/>
          <w:sz w:val="28"/>
          <w:szCs w:val="28"/>
          <w:rtl/>
        </w:rPr>
        <w:t xml:space="preserve">و اختار هذا المعنی سیّدنا الاستاذ - دام ظلّه - و قال: «المراد تصدیقهم لما أخبروا به و لیس إخبارهم فی الإخبار مع الواسطة إلاّ الإخبار عن قول</w:t>
      </w:r>
    </w:p>
    <w:p>
      <w:pPr>
        <w:pStyle w:val="BookText"/>
      </w:pPr>
      <w:r>
        <w:rPr>
          <w:rFonts w:ascii="IRNazanin" w:hAnsi="IRNazanin" w:eastAsia="IRNazanin" w:cs="IRNazanin"/>
          <w:lang w:bidi="fa-IR"/>
          <w:color w:val="111111"/>
          <w:sz w:val="28"/>
          <w:szCs w:val="28"/>
          <w:rtl/>
        </w:rPr>
        <w:t xml:space="preserve">[شماره صفحه واقعی : 183]
</w:t>
      </w:r>
    </w:p>
    <w:p>
      <w:pPr>
        <w:sectPr>
          <w:footerReference w:type="default" r:id="rId18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الواسطة و تحدیثه، فاذا قال ابن أبی عمیر «حدّثنی زید النرسی، قال: حدّثنی علیّ بن یزید، قال: قال أبو عبد اللّه - علیه السلام - کذا» لا یکون إخبار ابن أبی عمیر إلاّ تحدیث زید، و هذا فی ما ورد فی الطّبقة الأولی واضح و کذلک الحال فی الطبقتین الأخیرتین أی الاجماع علی تصحیح ما یصحّ عنهم، لأنّ ما یصحّ عنهم لیس متن الحدیث فی الإخبار مع الواسطة لو لم نقل مطلقا، فحینئذ إن کان المراد من الموصول مطلق ما صحّ عنهم یکون لازمه قیام الإجماع علی صحّة مطلق إخبارهم سواء کان مع الواسطة أو لا، إلاّ أنّه فی الإخبار مع الواسطة لا یفید تصدیقهم، و تصحیح ما یصحّ عنهم، غیرهم من الوسائط، فلا بدّ من ملاحظة حالهم و وثاقتهم و عدمها»</w:t>
      </w:r>
      <w:r>
        <w:rPr>
          <w:rStyle w:val="FootnoteReference"/>
        </w:rPr>
        <w:footnoteReference w:id="51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إلی ما ذکر یشیر الفیض فی کلامه السابق و یقول: «ما یصحّ عنهم هو الرّوایة لا المرویّ، و أمّا ما اشتهر فی تفسیر العبارة من العلم بصحّة الحدیث المنقول منهم و نسبته إلی أهل البیت - علیهم السلام - بمجرّد صحّته عنهم، من دون اعتبار العدالة فیمن یروون عنه، حتّی لو رووا عن معروف بالفسق او بوضع، فضلا عمّا لو أرسلوا الحدیث، کان ما نقلوه صحیحا محکوما علی نسبته إلی أهل العصمة، فلیست العبارة صریحة فی ذلک»</w:t>
      </w:r>
      <w:r>
        <w:rPr>
          <w:rStyle w:val="FootnoteReference"/>
        </w:rPr>
        <w:footnoteReference w:id="51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حال الوجه الأوّل و دلائله. غیر أنّ المحدّث النّوری أورد علیه وجوها نذکرها واحدا بعد واحد. الأوّل: إنّ هذا التّفسیر رکیک خصوصا بالنّسبة إلی هؤلاء الأعلام.</w:t>
      </w:r>
    </w:p>
    <w:p>
      <w:pPr>
        <w:pStyle w:val="BookText"/>
      </w:pPr>
      <w:r>
        <w:rPr>
          <w:rFonts w:ascii="IRNazanin" w:hAnsi="IRNazanin" w:eastAsia="IRNazanin" w:cs="IRNazanin"/>
          <w:lang w:bidi="fa-IR"/>
          <w:color w:val="111111"/>
          <w:sz w:val="28"/>
          <w:szCs w:val="28"/>
          <w:rtl/>
        </w:rPr>
        <w:t xml:space="preserve">الثّانی: لو کان المراد ما ذکروه، اکتفی الکشّی بقوله «اجتمعت العصابة علی تصدیقهم».</w:t>
      </w:r>
    </w:p>
    <w:p>
      <w:pPr>
        <w:pStyle w:val="BookText"/>
      </w:pPr>
      <w:r>
        <w:rPr>
          <w:rFonts w:ascii="Amiri" w:hAnsi="Amiri" w:eastAsia="Amiri" w:cs="Amiri"/>
          <w:lang w:bidi="ar-SA"/>
          <w:color w:val="111111"/>
          <w:sz w:val="28"/>
          <w:szCs w:val="28"/>
          <w:rtl/>
        </w:rPr>
        <w:t xml:space="preserve">الثّالث: إنّ أئمّة فنّ الحدیث و الدّرایة صرّحوا بأنّ الصحّة و الضّعف</w:t>
      </w:r>
    </w:p>
    <w:p>
      <w:pPr>
        <w:pStyle w:val="BookText"/>
      </w:pPr>
      <w:r>
        <w:rPr>
          <w:rFonts w:ascii="IRNazanin" w:hAnsi="IRNazanin" w:eastAsia="IRNazanin" w:cs="IRNazanin"/>
          <w:lang w:bidi="fa-IR"/>
          <w:color w:val="111111"/>
          <w:sz w:val="28"/>
          <w:szCs w:val="28"/>
          <w:rtl/>
        </w:rPr>
        <w:t xml:space="preserve">[شماره صفحه واقعی : 184]
</w:t>
      </w:r>
    </w:p>
    <w:p>
      <w:pPr>
        <w:sectPr>
          <w:footerReference w:type="default" r:id="rId18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القوّة و الحسن و غیرها من أوصاف متن الحدیث، تعرضه باعتبار اختلاف حالات رجال السّند، و قد یطلق علی السّند مسامحة، فیقولون: «فی الصّحیح عن ابن أبی عمیر» و هو خروج عن الاصطلاح، فالمراد بالموصول فی «ما یصحّ عنه» هو متن الحدیث، لأنّه الّذی یتّصف بالصحّة و الضّعف.</w:t>
      </w:r>
    </w:p>
    <w:p>
      <w:pPr>
        <w:pStyle w:val="BookText"/>
      </w:pPr>
      <w:r>
        <w:rPr>
          <w:rFonts w:ascii="IRNazanin" w:hAnsi="IRNazanin" w:eastAsia="IRNazanin" w:cs="IRNazanin"/>
          <w:lang w:bidi="fa-IR"/>
          <w:color w:val="111111"/>
          <w:sz w:val="28"/>
          <w:szCs w:val="28"/>
          <w:rtl/>
        </w:rPr>
        <w:t xml:space="preserve">و لکنّ الکلّ غیر واضح، أمّا الأوّل فأیّ رکاکة فی القول بأنّ العصابة اتّفقت علی وثاقة هؤلاء؟ و لو کان رکیکا، فلم ارتکبها نفس الکشّی فی الطّبقة الاولی، حیث اکتفی فیهم مکان «تصحیح ما یصحّ عنهم» بقوله «أجمعت العصابة علی تصدیق هؤلاء الأوّلین من أصحاب الامامین - علیهما السلام -».</w:t>
      </w:r>
    </w:p>
    <w:p>
      <w:pPr>
        <w:pStyle w:val="BookText"/>
      </w:pPr>
      <w:r>
        <w:rPr>
          <w:rFonts w:ascii="IRNazanin" w:hAnsi="IRNazanin" w:eastAsia="IRNazanin" w:cs="IRNazanin"/>
          <w:lang w:bidi="fa-IR"/>
          <w:color w:val="111111"/>
          <w:sz w:val="28"/>
          <w:szCs w:val="28"/>
          <w:rtl/>
        </w:rPr>
        <w:t xml:space="preserve">و أمّا الثّانی، فإنّما یرد لو قدّم قوله «و تصدیقهم» فی الذکر علی قوله «تصحیح ما یصحّ عنهم»، إذ عندئذ لا حاجة إلی الثّانی، و لکنّ الکشّی عکس فی الذکر، فاحتاج الکلام إلی الجملة التّوضیحیّة، فأتی بلفظ «و تصدیقهم».</w:t>
      </w:r>
    </w:p>
    <w:p>
      <w:pPr>
        <w:pStyle w:val="BookText"/>
      </w:pPr>
      <w:r>
        <w:rPr>
          <w:rFonts w:ascii="IRNazanin" w:hAnsi="IRNazanin" w:eastAsia="IRNazanin" w:cs="IRNazanin"/>
          <w:lang w:bidi="fa-IR"/>
          <w:color w:val="111111"/>
          <w:sz w:val="28"/>
          <w:szCs w:val="28"/>
          <w:rtl/>
        </w:rPr>
        <w:t xml:space="preserve">و أمّا الثّالث، فلأنّ الصحّة سواء فسّرت بمعنی التّمامیة أم بمعنی الثبوت، یقع وصفا للسّند و المتن معا إذا کان فی کلّ ملاک للتوصیف به، و لیس للصحّة مصطلح خاصّ حتی نخصّه بالمتن دون السند.</w:t>
      </w:r>
    </w:p>
    <w:p>
      <w:pPr>
        <w:pStyle w:val="BookText"/>
      </w:pPr>
      <w:r>
        <w:rPr>
          <w:rFonts w:ascii="IRNazanin" w:hAnsi="IRNazanin" w:eastAsia="IRNazanin" w:cs="IRNazanin"/>
          <w:lang w:bidi="fa-IR"/>
          <w:color w:val="111111"/>
          <w:sz w:val="28"/>
          <w:szCs w:val="28"/>
          <w:rtl/>
        </w:rPr>
        <w:t xml:space="preserve">و أمّا تخصیص هؤلاء الثمانیة عشر بالذکر دون غیرهم، مع أنّ هناک رواة اتّفقت کلمتهم علی وثاقتهم، فلأجل کونهم مراجع الفقه و مصادر علوم الأئمة - علیهم السلام - و لأجل ذلک أضاف علی قوله «بتصدیقهم»، قوله «و انقادوا لهم بالفقه» و أقرّوا لهم بالفقه و العلم» فلم ینعقد الاتفّاق علی مجرّد وثاقتهم، بل علی فقاهتهم من بین تلامیذ الائمة - علیهم السلام -. فهذه الممیّزات أوجبت تخصیصهم بالذّکر دون غیرهم.</w:t>
      </w:r>
    </w:p>
    <w:p>
      <w:pPr>
        <w:pStyle w:val="BookText"/>
      </w:pPr>
      <w:r>
        <w:rPr>
          <w:rFonts w:ascii="IRNazanin" w:hAnsi="IRNazanin" w:eastAsia="IRNazanin" w:cs="IRNazanin"/>
          <w:lang w:bidi="fa-IR"/>
          <w:color w:val="111111"/>
          <w:sz w:val="28"/>
          <w:szCs w:val="28"/>
          <w:rtl/>
        </w:rPr>
        <w:t xml:space="preserve">علی أنّ الکشّی کما عرفت لم یعنونهم باسم «أصحاب الإجماع» بل هو اصطلاح جدید بین المتأخّرین، بل عنونهم فی مواضع ثلاثة ب «تسمیة الفقهاء</w:t>
      </w:r>
    </w:p>
    <w:p>
      <w:pPr>
        <w:pStyle w:val="BookText"/>
      </w:pPr>
      <w:r>
        <w:rPr>
          <w:rFonts w:ascii="IRNazanin" w:hAnsi="IRNazanin" w:eastAsia="IRNazanin" w:cs="IRNazanin"/>
          <w:lang w:bidi="fa-IR"/>
          <w:color w:val="111111"/>
          <w:sz w:val="28"/>
          <w:szCs w:val="28"/>
          <w:rtl/>
        </w:rPr>
        <w:t xml:space="preserve">[شماره صفحه واقعی : 185]
</w:t>
      </w:r>
    </w:p>
    <w:p>
      <w:pPr>
        <w:sectPr>
          <w:footerReference w:type="default" r:id="rId18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أصحاب الباقرین - علیهما السلام -» و «تسمیة الفقهاء من أصحاب الصادق - علیه السلام -» و «تسمیة الفقهاء من أصحاب الامامین الکاظم و الرضا - علیهما السلام -»، فالسّؤال ساقط من رأسه.</w:t>
      </w:r>
    </w:p>
    <w:p>
      <w:pPr>
        <w:pStyle w:val="BookText"/>
      </w:pPr>
      <w:r>
        <w:rPr>
          <w:rFonts w:ascii="Amiri" w:hAnsi="Amiri" w:eastAsia="Amiri" w:cs="Amiri"/>
          <w:lang w:bidi="ar-SA"/>
          <w:color w:val="111111"/>
          <w:sz w:val="28"/>
          <w:szCs w:val="28"/>
          <w:rtl/>
        </w:rPr>
        <w:t xml:space="preserve">و أمّا التّخصیص بالسّتة فی کلّ طبقة فلأجل فقاهتهم اللاّمعة الّتی لم تتحقّق فی غیرهم فی کلّ طبقة.</w:t>
      </w:r>
    </w:p>
    <w:p>
      <w:pPr>
        <w:pStyle w:val="BookText"/>
      </w:pPr>
      <w:r>
        <w:rPr>
          <w:rFonts w:ascii="IRNazanin" w:hAnsi="IRNazanin" w:eastAsia="IRNazanin" w:cs="IRNazanin"/>
          <w:lang w:bidi="fa-IR"/>
          <w:color w:val="111111"/>
          <w:sz w:val="28"/>
          <w:szCs w:val="28"/>
          <w:rtl/>
        </w:rPr>
        <w:t xml:space="preserve">إلی هنا تبیّن صحّة المعنی الأوّل و أنّه المتعیّن. ثمّ إنّ ما جعله شیخنا النّوری قولا ثانیا و ذکره تحت عنوان «ب»، من أنّ المراد کون الجماعة ثقات، یرجع إلی ذلک القول لبّا و التفاوت بینهما هو أنّ الوثاقة مدلول المعنی بالدّلالة الالتزامیّة فی القول الأوّل، و مدلول المعنی بالدّلالة المطابقیّة فی القول الثانی کما لا یخفی، و لأجل ذلک جعلنا القولین قولا واحدا.</w:t>
      </w:r>
    </w:p>
    <w:p>
      <w:pPr>
        <w:pStyle w:val="BookText"/>
      </w:pPr>
      <w:r>
        <w:rPr>
          <w:rFonts w:ascii="IRNazanin" w:hAnsi="IRNazanin" w:eastAsia="IRNazanin" w:cs="IRNazanin"/>
          <w:lang w:bidi="fa-IR"/>
          <w:color w:val="111111"/>
          <w:sz w:val="28"/>
          <w:szCs w:val="28"/>
          <w:rtl/>
        </w:rPr>
        <w:t xml:space="preserve">إذا عرفت المعنی المختار فإلیک الکلام فی المعنی الثّانی.</w:t>
      </w:r>
    </w:p>
    <w:p>
      <w:pPr>
        <w:pStyle w:val="BookText"/>
      </w:pPr>
      <w:r>
        <w:rPr>
          <w:rFonts w:ascii="IRNazanin" w:hAnsi="IRNazanin" w:eastAsia="IRNazanin" w:cs="IRNazanin"/>
          <w:lang w:bidi="fa-IR"/>
          <w:color w:val="111111"/>
          <w:sz w:val="28"/>
          <w:szCs w:val="28"/>
          <w:rtl/>
        </w:rPr>
        <w:t xml:space="preserve">المعنی الثّانی: قد عرفت أنّ لها احتمالات ثلاثة فنبحث عنها واحدا بعد واحد.</w:t>
      </w:r>
    </w:p>
    <w:p>
      <w:pPr>
        <w:pStyle w:val="BookText"/>
      </w:pPr>
      <w:r>
        <w:rPr>
          <w:rFonts w:ascii="IRNazanin" w:hAnsi="IRNazanin" w:eastAsia="IRNazanin" w:cs="IRNazanin"/>
          <w:lang w:bidi="fa-IR"/>
          <w:color w:val="111111"/>
          <w:sz w:val="28"/>
          <w:szCs w:val="28"/>
          <w:rtl/>
        </w:rPr>
        <w:t xml:space="preserve">الاحتمال الأوّل:</w:t>
      </w:r>
    </w:p>
    <w:p>
      <w:pPr>
        <w:pStyle w:val="BookText"/>
      </w:pPr>
      <w:r>
        <w:rPr>
          <w:rFonts w:ascii="IRNazanin" w:hAnsi="IRNazanin" w:eastAsia="IRNazanin" w:cs="IRNazanin"/>
          <w:lang w:bidi="fa-IR"/>
          <w:color w:val="111111"/>
          <w:sz w:val="28"/>
          <w:szCs w:val="28"/>
          <w:rtl/>
        </w:rPr>
        <w:t xml:space="preserve">هو الحکم بصحّة روایاتهم لأجل القرائن الدّاخلیة أو الخارجیة.</w:t>
      </w:r>
    </w:p>
    <w:p>
      <w:pPr>
        <w:pStyle w:val="BookText"/>
      </w:pPr>
      <w:r>
        <w:rPr>
          <w:rFonts w:ascii="IRNazanin" w:hAnsi="IRNazanin" w:eastAsia="IRNazanin" w:cs="IRNazanin"/>
          <w:lang w:bidi="fa-IR"/>
          <w:color w:val="111111"/>
          <w:sz w:val="28"/>
          <w:szCs w:val="28"/>
          <w:rtl/>
        </w:rPr>
        <w:t xml:space="preserve">و بعبارة أخری؛ المراد من «تصحیح ما یصحّ» هو الحکم بصحّة روایات هؤلاء بالمعنی المعروف عند القدماء، و هو الاطمئنان بصدق روایاتهم من دون توثیق لمشایخهم، و هذا مبنیّ علی أنّ المراد من «الموصول» هو نفس المرویّ و الحدیث، فإذا صحّ المرویّ إلی هؤلاء فیحکم بصحّته و إن کان السّند مرسلا أو مشتملا علی مجهول أو ضعیف فیعمل به.</w:t>
      </w:r>
    </w:p>
    <w:p>
      <w:pPr>
        <w:pStyle w:val="BookText"/>
      </w:pPr>
      <w:r>
        <w:rPr>
          <w:rFonts w:ascii="IRNazanin" w:hAnsi="IRNazanin" w:eastAsia="IRNazanin" w:cs="IRNazanin"/>
          <w:lang w:bidi="fa-IR"/>
          <w:color w:val="111111"/>
          <w:sz w:val="28"/>
          <w:szCs w:val="28"/>
          <w:rtl/>
        </w:rPr>
        <w:t xml:space="preserve">توضیح ذلک؛ أنّ الصّحیح عند المتأخّرین من عصر العلاّمة أو عصر شیخه أحمد بن طاووس الحلّی (المتوفّی عام 673) هو ما کان سنده متّصلا إلی</w:t>
      </w:r>
    </w:p>
    <w:p>
      <w:pPr>
        <w:pStyle w:val="BookText"/>
      </w:pPr>
      <w:r>
        <w:rPr>
          <w:rFonts w:ascii="IRNazanin" w:hAnsi="IRNazanin" w:eastAsia="IRNazanin" w:cs="IRNazanin"/>
          <w:lang w:bidi="fa-IR"/>
          <w:color w:val="111111"/>
          <w:sz w:val="28"/>
          <w:szCs w:val="28"/>
          <w:rtl/>
        </w:rPr>
        <w:t xml:space="preserve">[شماره صفحه واقعی : 186]
</w:t>
      </w:r>
    </w:p>
    <w:p>
      <w:pPr>
        <w:sectPr>
          <w:footerReference w:type="default" r:id="rId18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المعصوم بنقل الامامی العدل الضابط عن مثله فی جمیع الطّبقات. و لکن مصطلح القدماء فیه عبارة عما احتفّت به القرائن الداخلیّة أو الخارجیّة الدالّة علی صدقه، و إن اشتمل سنده علی ضعف، و قد مرّت القرائن الخارجیّة عند البحث عن الحاجة إلی علم الرّجال.</w:t>
      </w:r>
    </w:p>
    <w:p>
      <w:pPr>
        <w:pStyle w:val="BookText"/>
      </w:pPr>
      <w:r>
        <w:rPr>
          <w:rFonts w:ascii="IRNazanin" w:hAnsi="IRNazanin" w:eastAsia="IRNazanin" w:cs="IRNazanin"/>
          <w:lang w:bidi="fa-IR"/>
          <w:color w:val="111111"/>
          <w:sz w:val="28"/>
          <w:szCs w:val="28"/>
          <w:rtl/>
        </w:rPr>
        <w:t xml:space="preserve">و بعبارة اخری؛ إنّ الحدیث فی مصطلح القدماء کان ینقسم إلی قسمین: صحیح و غیر صحیح، بخلافه فی مصطلح المتأخّرین، فإنّه علی أقسام أربعة: الصّحیح و الموثّق و الحسن و الضّعیف.</w:t>
      </w:r>
    </w:p>
    <w:p>
      <w:pPr>
        <w:pStyle w:val="BookText"/>
      </w:pPr>
      <w:r>
        <w:rPr>
          <w:rFonts w:ascii="IRNazanin" w:hAnsi="IRNazanin" w:eastAsia="IRNazanin" w:cs="IRNazanin"/>
          <w:lang w:bidi="fa-IR"/>
          <w:color w:val="111111"/>
          <w:sz w:val="28"/>
          <w:szCs w:val="28"/>
          <w:rtl/>
        </w:rPr>
        <w:t xml:space="preserve">نعم، إنّ من القرائن الدالّة علی صدق الخبر هو کون رواته ثقاتا بالمعنی الأعمّ، أی صدوقا فی النّقل، و لکنّه إحدی القرائن لا القرینة المنحصرة.</w:t>
      </w:r>
    </w:p>
    <w:p>
      <w:pPr>
        <w:pStyle w:val="BookText"/>
      </w:pPr>
      <w:r>
        <w:rPr>
          <w:rFonts w:ascii="IRNazanin" w:hAnsi="IRNazanin" w:eastAsia="IRNazanin" w:cs="IRNazanin"/>
          <w:lang w:bidi="fa-IR"/>
          <w:color w:val="111111"/>
          <w:sz w:val="28"/>
          <w:szCs w:val="28"/>
          <w:rtl/>
        </w:rPr>
        <w:t xml:space="preserve">ثمّ لمّا اندرست تلک القرائن الخارجیّة عمد المتأخّرون فی تمییز المعتبر عن غیره إلی القرائن الدّاخلیّة، من المراجعة إلی أسناد الروایات</w:t>
      </w:r>
      <w:r>
        <w:rPr>
          <w:rStyle w:val="FootnoteReference"/>
        </w:rPr>
        <w:footnoteReference w:id="51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علی هذا فمعنی اتّفاق العصابة علی تصحیح أحادیث هؤلاء، أنّهم وقفوا علی أنّ روایاتهم محفوفة بالقرائن الدّاخلیّة أو الخارجیّة الدالّة علی صدق الخبر و ثبوته، و قد اختار هذا المعنی، المحقّق الداماد فی رواشحه و قال:</w:t>
      </w:r>
    </w:p>
    <w:p>
      <w:pPr>
        <w:pStyle w:val="BookText"/>
      </w:pPr>
      <w:r>
        <w:rPr>
          <w:rFonts w:ascii="IRNazanin" w:hAnsi="IRNazanin" w:eastAsia="IRNazanin" w:cs="IRNazanin"/>
          <w:lang w:bidi="fa-IR"/>
          <w:color w:val="111111"/>
          <w:sz w:val="28"/>
          <w:szCs w:val="28"/>
          <w:rtl/>
        </w:rPr>
        <w:t xml:space="preserve">«أجمعت العصابة علی تصحیح ما یصحّ عنهم، و الاقرار لهم بالفقه و الفضل و الضّبط و الثقة، و إن کانت روایتهم بإرسال أو رفع أو عمّن یسمّونه و هو لیس بمعروف الحال و لمّة منهم فی أنفسهم فاسدو العقیدة، غیر مستقیمی المذهب - إلی أن قال: مراسیل هؤلاء و مرافیعهم و مقاطیعهم و مسانیدهم إلی من یسمّونه من غیر المعروفین، معدودة عند الأصحاب - رضوان اللّه علیهم - من الصّحاح من غیر اکتراث منهم لعدم صدق حدّ الصّحیح علی ما قد علمته (من المتأخرین) علیها»</w:t>
      </w:r>
      <w:r>
        <w:rPr>
          <w:rStyle w:val="FootnoteReference"/>
        </w:rPr>
        <w:footnoteReference w:id="51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187]
</w:t>
      </w:r>
    </w:p>
    <w:p>
      <w:pPr>
        <w:sectPr>
          <w:footerReference w:type="default" r:id="rId18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اختاره المحقّق البهبهانی علی ما فی تعلیقته حیث قال: «المشهور أنّ المراد صحّة ما رواه حیث تصحّ الروایة إلیه، فلا یلاحظ من بعده إلی المعصوم و إن کان فیه ضعیف»</w:t>
      </w:r>
      <w:r>
        <w:rPr>
          <w:rStyle w:val="FootnoteReference"/>
        </w:rPr>
        <w:footnoteReference w:id="51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یترتّب علی هذا الاحتمال ثمرة رجالیّة من توثیق هؤلاء أو توثیق مشایخهم إلی أن ینتهی السّند إلی المعصوم، کترتّبها علی الاحتمال الثانی من المعنی الثانی علی ما سیوافیک. و أقصی ما یترتّب علیه، صحّة الحدیث و جواز العمل به.</w:t>
      </w:r>
    </w:p>
    <w:p>
      <w:pPr>
        <w:pStyle w:val="BookText"/>
      </w:pPr>
      <w:r>
        <w:rPr>
          <w:rFonts w:ascii="IRNazanin" w:hAnsi="IRNazanin" w:eastAsia="IRNazanin" w:cs="IRNazanin"/>
          <w:lang w:bidi="fa-IR"/>
          <w:color w:val="111111"/>
          <w:sz w:val="28"/>
          <w:szCs w:val="28"/>
          <w:rtl/>
        </w:rPr>
        <w:t xml:space="preserve">و قد أورد علیه المحدّث النّوری، بأنّ ذاک التّفسیر مبنیّ علی تغایر الاصطلاحین فی لفظ الصّحیح، و أنّه فی مصطلحهم، الخبر المؤیّد بالقرائن الدالّة علی صدقه، و فی مصطلح المتأخّرین کون الراوی إمامیا عدلا ضابطا و هذا غیر ثابت، بل الصّحیح عند القدماء هو نفسه عند المتأخّرین، عدا کون الراوی إمامیا، فیکفی کونه ثقة بالمعنی الأعمّ، و ما ذکره شیخنا البهائی فی فاتحة «مشرق الشمسین» أو المحقّق صاحب المعالم فی «منتقی الجمان» من أنّ المدار فی توصیف الرّوایة بالصّحة هو الوثوق بالصّدور و لو من جهة القرائن، غیر ثابتة، بل لنا أن نسألهما عن مأخذ هذه النّسبة، فإنّا لم نجد ما یدلّ علی ذلک، بل هی علی خلاف ما نسباهما و من تبعهما، بل وجدناهم یطلقون الصّحیح غالبا علی روایة الثقة و إن کان غیر إمامیّ.</w:t>
      </w:r>
    </w:p>
    <w:p>
      <w:pPr>
        <w:pStyle w:val="BookText"/>
      </w:pPr>
      <w:r>
        <w:rPr>
          <w:rFonts w:ascii="IRNazanin" w:hAnsi="IRNazanin" w:eastAsia="IRNazanin" w:cs="IRNazanin"/>
          <w:lang w:bidi="fa-IR"/>
          <w:color w:val="111111"/>
          <w:sz w:val="28"/>
          <w:szCs w:val="28"/>
          <w:rtl/>
        </w:rPr>
        <w:t xml:space="preserve">و الحاصل أنّ الصّحیح عند القدماء، نفسه عند المتأخّرین من کون الرّاوی ثقة، و لو کان هناک فرق بین المصطلحین فإنّما هو فی شرطیّة المذهب، فالمتأخّرون علی شرطیّته و لزوم کون الراوی إمامیا فی اتّصاف الحدیث بالصحّة، و القدماء علی کفایة الوثاقة فقط.</w:t>
      </w:r>
    </w:p>
    <w:p>
      <w:pPr>
        <w:pStyle w:val="BookText"/>
      </w:pPr>
      <w:r>
        <w:rPr>
          <w:rFonts w:ascii="IRNazanin" w:hAnsi="IRNazanin" w:eastAsia="IRNazanin" w:cs="IRNazanin"/>
          <w:lang w:bidi="fa-IR"/>
          <w:color w:val="111111"/>
          <w:sz w:val="28"/>
          <w:szCs w:val="28"/>
          <w:rtl/>
        </w:rPr>
        <w:t xml:space="preserve">أقول: الظّاهر أنّ توصیف الخبر بالصحّة لأجل القرائن الدّاخلیّة أو</w:t>
      </w:r>
    </w:p>
    <w:p>
      <w:pPr>
        <w:pStyle w:val="BookText"/>
      </w:pPr>
      <w:r>
        <w:rPr>
          <w:rFonts w:ascii="IRNazanin" w:hAnsi="IRNazanin" w:eastAsia="IRNazanin" w:cs="IRNazanin"/>
          <w:lang w:bidi="fa-IR"/>
          <w:color w:val="111111"/>
          <w:sz w:val="28"/>
          <w:szCs w:val="28"/>
          <w:rtl/>
        </w:rPr>
        <w:t xml:space="preserve">[شماره صفحه واقعی : 188]
</w:t>
      </w:r>
    </w:p>
    <w:p>
      <w:pPr>
        <w:sectPr>
          <w:footerReference w:type="default" r:id="rId18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الخارجیة أمر ثابت. أمّا القرینة الدّاخلیة کوثاقة رواته، فعلیه المتأخّرون کلهم، و اعترف به المحدّث نفسه، و أمّا القرائن الخارجیّة، فقد أشار إلیها المحقّق أبو الهدی الکلباسی فی تألیفه المنیف «سماء المقال» و إلیک القول فیه موجزا:</w:t>
      </w:r>
    </w:p>
    <w:p>
      <w:pPr>
        <w:pStyle w:val="BookText"/>
      </w:pPr>
      <w:r>
        <w:rPr>
          <w:rFonts w:ascii="IRNazanin" w:hAnsi="IRNazanin" w:eastAsia="IRNazanin" w:cs="IRNazanin"/>
          <w:lang w:bidi="fa-IR"/>
          <w:color w:val="111111"/>
          <w:sz w:val="28"/>
          <w:szCs w:val="28"/>
          <w:rtl/>
        </w:rPr>
        <w:t xml:space="preserve">1 - العنوان الّذی ذکره الشیخ فی کتاب «العدّة» عند البحث عن التعادل و التراجیح، فإنّه یوضح المراد من الصحّة و أنّ المقصود منها ما یقابل الباطل، لا ما رواه الثقات من الإمام حیث قال: «فی ذکر القرائن الّتی تدلّ علی صحّة أخبار الآحاد أو علی بطلانها».</w:t>
      </w:r>
    </w:p>
    <w:p>
      <w:pPr>
        <w:pStyle w:val="BookText"/>
      </w:pPr>
      <w:r>
        <w:rPr>
          <w:rFonts w:ascii="IRNazanin" w:hAnsi="IRNazanin" w:eastAsia="IRNazanin" w:cs="IRNazanin"/>
          <w:lang w:bidi="fa-IR"/>
          <w:color w:val="111111"/>
          <w:sz w:val="28"/>
          <w:szCs w:val="28"/>
          <w:rtl/>
        </w:rPr>
        <w:t xml:space="preserve">2 - القرائن الّتی تدلّ علی صحّة مضمون أخبار الآحاد و أنّها أربعة.</w:t>
      </w:r>
    </w:p>
    <w:p>
      <w:pPr>
        <w:pStyle w:val="BookText"/>
      </w:pPr>
      <w:r>
        <w:rPr>
          <w:rFonts w:ascii="IRNazanin" w:hAnsi="IRNazanin" w:eastAsia="IRNazanin" w:cs="IRNazanin"/>
          <w:lang w:bidi="fa-IR"/>
          <w:color w:val="111111"/>
          <w:sz w:val="28"/>
          <w:szCs w:val="28"/>
          <w:rtl/>
        </w:rPr>
        <w:t xml:space="preserve">منها: أن یکون موافقا لأدلّة العقل و ما اقتضاه.</w:t>
      </w:r>
    </w:p>
    <w:p>
      <w:pPr>
        <w:pStyle w:val="BookText"/>
      </w:pPr>
      <w:r>
        <w:rPr>
          <w:rFonts w:ascii="IRNazanin" w:hAnsi="IRNazanin" w:eastAsia="IRNazanin" w:cs="IRNazanin"/>
          <w:lang w:bidi="fa-IR"/>
          <w:color w:val="111111"/>
          <w:sz w:val="28"/>
          <w:szCs w:val="28"/>
          <w:rtl/>
        </w:rPr>
        <w:t xml:space="preserve">و منها: أن یکون الخبر مطابقا لنصّ الکتاب.</w:t>
      </w:r>
    </w:p>
    <w:p>
      <w:pPr>
        <w:pStyle w:val="BookText"/>
      </w:pPr>
      <w:r>
        <w:rPr>
          <w:rFonts w:ascii="IRNazanin" w:hAnsi="IRNazanin" w:eastAsia="IRNazanin" w:cs="IRNazanin"/>
          <w:lang w:bidi="fa-IR"/>
          <w:color w:val="111111"/>
          <w:sz w:val="28"/>
          <w:szCs w:val="28"/>
          <w:rtl/>
        </w:rPr>
        <w:t xml:space="preserve">و منها: أن یکون الخبر موافقا للسنّة المقطوع بها من جهة التّواتر.</w:t>
      </w:r>
    </w:p>
    <w:p>
      <w:pPr>
        <w:pStyle w:val="BookText"/>
      </w:pPr>
      <w:r>
        <w:rPr>
          <w:rFonts w:ascii="IRNazanin" w:hAnsi="IRNazanin" w:eastAsia="IRNazanin" w:cs="IRNazanin"/>
          <w:lang w:bidi="fa-IR"/>
          <w:color w:val="111111"/>
          <w:sz w:val="28"/>
          <w:szCs w:val="28"/>
          <w:rtl/>
        </w:rPr>
        <w:t xml:space="preserve">و منها: أن یکون موافقا لما أجمعت علیه الفرقة المحقّة.</w:t>
      </w:r>
    </w:p>
    <w:p>
      <w:pPr>
        <w:pStyle w:val="BookText"/>
      </w:pPr>
      <w:r>
        <w:rPr>
          <w:rFonts w:ascii="IRNazanin" w:hAnsi="IRNazanin" w:eastAsia="IRNazanin" w:cs="IRNazanin"/>
          <w:lang w:bidi="fa-IR"/>
          <w:color w:val="111111"/>
          <w:sz w:val="28"/>
          <w:szCs w:val="28"/>
          <w:rtl/>
        </w:rPr>
        <w:t xml:space="preserve">ثمّ قال: فهذه القرائن کلّها تدلّ علی صحّة متضمّن أخبار الآحاد، و لا تدلّ علی صحّتها أنفسها، لإمکان کونها مصنوعة و إن وافقت الأدلّة، فمتی تجرّد الخبر من واحد من هذه القرائن کان خبر واحد محضا</w:t>
      </w:r>
      <w:r>
        <w:rPr>
          <w:rStyle w:val="FootnoteReference"/>
        </w:rPr>
        <w:footnoteReference w:id="51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نصّ من الشّیخ علی أنّ الخبر فی ظلّ هذه القرائن یوصف بالصحّة من حیث المضمون، کما یتّصف بها ببعض القرائن الاخر من حیث الصّدور، فالقرائن تارة تدعم المضمون و اخری الصّدور، و علی کلّ تقدیر یتّصف بالصحّة</w:t>
      </w:r>
      <w:r>
        <w:rPr>
          <w:rStyle w:val="FootnoteReference"/>
        </w:rPr>
        <w:footnoteReference w:id="51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189]
</w:t>
      </w:r>
    </w:p>
    <w:p>
      <w:pPr>
        <w:sectPr>
          <w:footerReference w:type="default" r:id="rId18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و کذلک القول فیما یرویه المضعّفون، فإن کان هنا ما یعضد روایتهم و یدلّ علی صحّتها، وجب العمل بها، و إن لم یکن ما یشهد لروایتهم بالصحّة وجب التوقّف فی أخبارهم</w:t>
      </w:r>
      <w:r>
        <w:rPr>
          <w:rStyle w:val="FootnoteReference"/>
        </w:rPr>
        <w:footnoteReference w:id="51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إلی غیر ذلک من العبائر الموجودة فی «العدّة»، الحاکیة عن کون الصّحیح عبارة عمّا دلّت القرائن علی صدق مضمونه أو صدوره، لا خصوص ما روته الثّقات.</w:t>
      </w:r>
    </w:p>
    <w:p>
      <w:pPr>
        <w:pStyle w:val="BookText"/>
      </w:pPr>
      <w:r>
        <w:rPr>
          <w:rFonts w:ascii="IRNazanin" w:hAnsi="IRNazanin" w:eastAsia="IRNazanin" w:cs="IRNazanin"/>
          <w:lang w:bidi="fa-IR"/>
          <w:color w:val="111111"/>
          <w:sz w:val="28"/>
          <w:szCs w:val="28"/>
          <w:rtl/>
        </w:rPr>
        <w:t xml:space="preserve">ثمّ إنّ المحدّث النّوری أورد إشکالا آخر و قال: «إنّ العلم باقتران أحادیث هؤلاء بالقرائن مع کثرتها أمر محال عادة، فکیف یحصل العلم بها؟».</w:t>
      </w:r>
    </w:p>
    <w:p>
      <w:pPr>
        <w:pStyle w:val="BookText"/>
      </w:pPr>
      <w:r>
        <w:rPr>
          <w:rFonts w:ascii="IRNazanin" w:hAnsi="IRNazanin" w:eastAsia="IRNazanin" w:cs="IRNazanin"/>
          <w:lang w:bidi="fa-IR"/>
          <w:color w:val="111111"/>
          <w:sz w:val="28"/>
          <w:szCs w:val="28"/>
          <w:rtl/>
        </w:rPr>
        <w:t xml:space="preserve">هذا و سنبیّن ما یمکن الاجابة به علیه عند التعرّض للاحتمال الثّالث الّذی هو مختار المحدّث النّوری نفسه.</w:t>
      </w:r>
    </w:p>
    <w:p>
      <w:pPr>
        <w:pStyle w:val="BookText"/>
      </w:pPr>
      <w:r>
        <w:rPr>
          <w:rFonts w:ascii="IRNazanin" w:hAnsi="IRNazanin" w:eastAsia="IRNazanin" w:cs="IRNazanin"/>
          <w:lang w:bidi="fa-IR"/>
          <w:color w:val="111111"/>
          <w:sz w:val="28"/>
          <w:szCs w:val="28"/>
          <w:rtl/>
        </w:rPr>
        <w:t xml:space="preserve">الاحتمال الثانی و الثالث: الحکم بصحّة روایاتهم استنادا إلی وثاقتهم و وثاقة مشایخهم</w:t>
      </w:r>
      <w:r>
        <w:rPr>
          <w:rStyle w:val="FootnoteReference"/>
        </w:rPr>
        <w:footnoteReference w:id="51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هذین الاحتمالین کما مرّ یتشعبان من المعنی الثّانی و هو القول بأنّ المراد من الموصول «ما یصحّ» هو نفس الحدیث و متنه لکنّ الحکم بصحّة الحدیث لیس لاقترانه بالقرائن الخارجیّة الدالّة علی صدق نفس الحدیث، بل لوثاقة هذه الجماعة و من بعدهم إلی أن ینتهی إلی المعصوم.</w:t>
      </w:r>
    </w:p>
    <w:p>
      <w:pPr>
        <w:pStyle w:val="BookText"/>
      </w:pPr>
      <w:r>
        <w:rPr>
          <w:rFonts w:ascii="IRNazanin" w:hAnsi="IRNazanin" w:eastAsia="IRNazanin" w:cs="IRNazanin"/>
          <w:lang w:bidi="fa-IR"/>
          <w:color w:val="111111"/>
          <w:sz w:val="28"/>
          <w:szCs w:val="28"/>
          <w:rtl/>
        </w:rPr>
        <w:t xml:space="preserve">و هذا الاحتمال یفترق عن المعنی الأوّل، لأنّه یهدف إلی تصدیقهم بالدّلالة المطابقیّة، و إلی وثاقتهم بالدّلالة الالتزامیّة، کما یفترق عن الاحتمال الأوّل للمعنی الثّانی لأنّه یهدف إلی صحّة أحادیثهم (و إن اشتمل السّند علی</w:t>
      </w:r>
    </w:p>
    <w:p>
      <w:pPr>
        <w:pStyle w:val="BookText"/>
      </w:pPr>
      <w:r>
        <w:rPr>
          <w:rFonts w:ascii="IRNazanin" w:hAnsi="IRNazanin" w:eastAsia="IRNazanin" w:cs="IRNazanin"/>
          <w:lang w:bidi="fa-IR"/>
          <w:color w:val="111111"/>
          <w:sz w:val="28"/>
          <w:szCs w:val="28"/>
          <w:rtl/>
        </w:rPr>
        <w:t xml:space="preserve">[شماره صفحه واقعی : 190]
</w:t>
      </w:r>
    </w:p>
    <w:p>
      <w:pPr>
        <w:sectPr>
          <w:footerReference w:type="default" r:id="rId18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ضعف من بعدهم) لأجل القرائن و لا تترتّب علیهما ثمرة رجالیّة حتی علی المعنی الاول لأنّ وثاقة هؤلاء الّتی دلّت العبارة علیها بالدّلالة الالتزامیّة، ثابتة من غیر طریق اتّفاق العصابة، و أمّا علی هذا الاحتمال (الاحتمال الثّانی للمعنی الثّانی) فیترتّب علی ثبوته ثمرة رجالیّة و هو التّعدیل الخاصّ لمشایخ هؤلاء، إلی أن ینتهی إلی الإمام، فتدخل فی عداد الثّقات مجموعة کبیرة من المجاهیل و الضّعاف، فإنّ الستّة الاولی و إن کانوا یروون عن الصادقین - علیهما السلام - بلا واسطة غالبا، لکنّهم یروون عن غیرهما معها بکثیر أیضا، کما أنّ الطّبقتین ترویان عنهما مع الواسطة بکثیر، فلاحظ طبقات المشایخ تجد لهم مشایخ کثیرة.</w:t>
      </w:r>
    </w:p>
    <w:p>
      <w:pPr>
        <w:pStyle w:val="BookText"/>
      </w:pPr>
      <w:r>
        <w:rPr>
          <w:rFonts w:ascii="IRNazanin" w:hAnsi="IRNazanin" w:eastAsia="IRNazanin" w:cs="IRNazanin"/>
          <w:lang w:bidi="fa-IR"/>
          <w:color w:val="111111"/>
          <w:sz w:val="28"/>
          <w:szCs w:val="28"/>
          <w:rtl/>
        </w:rPr>
        <w:t xml:space="preserve">و هذا الاحتمال هو مختار المحدّث النّوری الّذی بسط الکلام فی تقریره و توضیحه، بعد تسلیم أنّ المراد من الموصول هو الحدیث و المرویّ لا الحکایة و الرّوایة، و أنّ الصحّة وصف لمتن الحدیث لا لسنده.</w:t>
      </w:r>
    </w:p>
    <w:p>
      <w:pPr>
        <w:pStyle w:val="BookText"/>
      </w:pPr>
      <w:r>
        <w:rPr>
          <w:rFonts w:ascii="IRNazanin" w:hAnsi="IRNazanin" w:eastAsia="IRNazanin" w:cs="IRNazanin"/>
          <w:lang w:bidi="fa-IR"/>
          <w:color w:val="111111"/>
          <w:sz w:val="28"/>
          <w:szCs w:val="28"/>
          <w:rtl/>
        </w:rPr>
        <w:t xml:space="preserve">و استدلّ علی مختاره بوجوه ثلاثة:</w:t>
      </w:r>
    </w:p>
    <w:p>
      <w:pPr>
        <w:pStyle w:val="BookText"/>
      </w:pPr>
      <w:r>
        <w:rPr>
          <w:rFonts w:ascii="IRNazanin" w:hAnsi="IRNazanin" w:eastAsia="IRNazanin" w:cs="IRNazanin"/>
          <w:lang w:bidi="fa-IR"/>
          <w:color w:val="111111"/>
          <w:sz w:val="28"/>
          <w:szCs w:val="28"/>
          <w:rtl/>
        </w:rPr>
        <w:t xml:space="preserve">الوجه الأوّل: إنّ إحراز صحّة الأحادیث عن طریق القرائن الخارجیّة، أمر محال عادة، فلا بدّ أن یستند ذلک الإحراز إلی القرائن الدّاخلیّة، و لیست هی إلاّ وثاقة هؤلاء و وثاقة من یروون عنه، هذا خلاصته و إلیک تفصیله:</w:t>
      </w:r>
    </w:p>
    <w:p>
      <w:pPr>
        <w:pStyle w:val="BookText"/>
      </w:pPr>
      <w:r>
        <w:rPr>
          <w:rFonts w:ascii="IRNazanin" w:hAnsi="IRNazanin" w:eastAsia="IRNazanin" w:cs="IRNazanin"/>
          <w:lang w:bidi="fa-IR"/>
          <w:color w:val="111111"/>
          <w:sz w:val="28"/>
          <w:szCs w:val="28"/>
          <w:rtl/>
        </w:rPr>
        <w:t xml:space="preserve">إنّ القرائن الّتی تشهد علی صدق الخبر إمّا داخلیة کوثاقة الرواة، و إمّا خارجیّة کوجود الخبر فی کتاب عرض علی الإمام، أو فی أصل معتبر، و لکنّ التّصحیح فی المقام یجب أن یکون مستندا إلی الجهة الاولی لا الثّانیة، لأنّ العلم بوثاقة هؤلاء و أنّهم لا یروون إلاّ عن ثقة أمر سهل، و أمّا الحکم بصحّة روایاتهم من جهة القرائن الخارجیّة، فأمر قریب من المحال حسب العادة، لأنّ العصابة حکموا بصحّة کلّ ما صحّ عن هؤلاء، من غیر تخصیص بکتاب أو أصل أو أحادیث معیّنة، و بالجملة حکموا بتصحیح الکلّ، و ما صحّ عنهم غیر</w:t>
      </w:r>
    </w:p>
    <w:p>
      <w:pPr>
        <w:pStyle w:val="BookText"/>
      </w:pPr>
      <w:r>
        <w:rPr>
          <w:rFonts w:ascii="IRNazanin" w:hAnsi="IRNazanin" w:eastAsia="IRNazanin" w:cs="IRNazanin"/>
          <w:lang w:bidi="fa-IR"/>
          <w:color w:val="111111"/>
          <w:sz w:val="28"/>
          <w:szCs w:val="28"/>
          <w:rtl/>
        </w:rPr>
        <w:t xml:space="preserve">[شماره صفحه واقعی : 191]
</w:t>
      </w:r>
    </w:p>
    <w:p>
      <w:pPr>
        <w:sectPr>
          <w:footerReference w:type="default" r:id="rId18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محصور لعدم انحصار روایاتهم بما فی کتبهم، و العلم باقتران هذه الرّوایات بها أمر مشکل جدّا.</w:t>
      </w:r>
    </w:p>
    <w:p>
      <w:pPr>
        <w:pStyle w:val="BookText"/>
      </w:pPr>
      <w:r>
        <w:rPr>
          <w:rFonts w:ascii="IRNazanin" w:hAnsi="IRNazanin" w:eastAsia="IRNazanin" w:cs="IRNazanin"/>
          <w:lang w:bidi="fa-IR"/>
          <w:color w:val="111111"/>
          <w:sz w:val="28"/>
          <w:szCs w:val="28"/>
          <w:rtl/>
        </w:rPr>
        <w:t xml:space="preserve">و الحاصل أنّ الحکم بصحّة روایات هؤلاء، لو کان مستندا إلی القرائن الدّاخلیة کوثاقة من یروون عنه، لکان لهذه الدعوی الکلیّة وجه، لإمکان إحراز دیدنهم علی أنّهم لا یروون إلاّ عن ثقة، کما هو المشهور فی حقّ ابن أبی عمیر و صفوان و البزنطی، و أمّا لو کان الحکم بالصحّة مستندا إلی القرائن الخارجیّة الّتی تفید الاطمئنان بصدق الخبر، فإحراز تلک القرائن فی عامّة ما یروونه من الأخبار، إنّما یصحّ إذا کانت أحادیثهم محصورة فی کتاب أو عند راو سمعها منهم، یمکن معه الاطّلاع علی الاقتران بالقرائن أو عدمه، و أمّا إذا لم یکن کذلک، فالحکم بصحّة کلّ ما صحّ عن هؤلاء من غیر تخصیص بکتاب أو أصل أو أحادیث معیّنة، یعدّ من المحالات العادیة، و لأجله یکون ذلک الاحتمال ساقطا من الاعتبار.</w:t>
      </w:r>
    </w:p>
    <w:p>
      <w:pPr>
        <w:pStyle w:val="BookText"/>
      </w:pPr>
      <w:r>
        <w:rPr>
          <w:rFonts w:ascii="IRNazanin" w:hAnsi="IRNazanin" w:eastAsia="IRNazanin" w:cs="IRNazanin"/>
          <w:lang w:bidi="fa-IR"/>
          <w:color w:val="111111"/>
          <w:sz w:val="28"/>
          <w:szCs w:val="28"/>
          <w:rtl/>
        </w:rPr>
        <w:t xml:space="preserve">و بعبارة ثالثة؛ إنّه یمکن احراز دیدن جماعة خاصّة و التزامهم بعدم الروایة إلاّ عن ثقة، فإذا صحّ الخبر إلی هؤلاء، یمکن الحکم بالصحّة لوثاقة من یروون عنه، لأجل الالتزام المحرز، و أمّا إحراز کون عامّة أخبارهم مقرونة بالقرائن حتّی یصحّ الحکم بصحّة أخبارهم من هذه الجهة، فإحراز تلک القرائن مع کثرة روایاتهم، و تشّتتها فی مختلف الأبواب و الکتب، محال عادة.</w:t>
      </w:r>
    </w:p>
    <w:p>
      <w:pPr>
        <w:pStyle w:val="BookText"/>
      </w:pPr>
      <w:r>
        <w:rPr>
          <w:rFonts w:ascii="IRNazanin" w:hAnsi="IRNazanin" w:eastAsia="IRNazanin" w:cs="IRNazanin"/>
          <w:lang w:bidi="fa-IR"/>
          <w:color w:val="111111"/>
          <w:sz w:val="28"/>
          <w:szCs w:val="28"/>
          <w:rtl/>
        </w:rPr>
        <w:t xml:space="preserve">و لا یخفی ما فیه، أمّا أولا: فلأنّ معناه أنّ هؤلاء کانوا ملتزمین بنقل الرّوایات الّتی روتها الثّقات لهم، و کانوا یحترزون عن نقل الروایات إذا روتها الضعاف، و علی هذا یجب أن یتحرّزوا عن نقل الروایات المتواترة أو المستفیضة إذا کان رواتها ضعافا، و هذا ممّا لا یمکن المساعدة معه، إذ لا وجه لترک الروایة المتواترة أو المستفیضة و إن کان رواتها ضعافا أو مجاهیل، اذ لا تشترط الوثاقة فیهما، فبطل القول بأنّهم کانوا ملتزمین بنقل الرّوایات الّتی ترویها الثّقات فقط، و عندئذ کیف یمکن الحکم بوثاقة عامّة مشایخهم بمجرّد</w:t>
      </w:r>
    </w:p>
    <w:p>
      <w:pPr>
        <w:pStyle w:val="BookText"/>
      </w:pPr>
      <w:r>
        <w:rPr>
          <w:rFonts w:ascii="IRNazanin" w:hAnsi="IRNazanin" w:eastAsia="IRNazanin" w:cs="IRNazanin"/>
          <w:lang w:bidi="fa-IR"/>
          <w:color w:val="111111"/>
          <w:sz w:val="28"/>
          <w:szCs w:val="28"/>
          <w:rtl/>
        </w:rPr>
        <w:t xml:space="preserve">[شماره صفحه واقعی : 192]
</w:t>
      </w:r>
    </w:p>
    <w:p>
      <w:pPr>
        <w:sectPr>
          <w:footerReference w:type="default" r:id="rId18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الروایة عنهم، من أنّهم رووا عن الضّعاف فیما إذا کانت الروایة متواترة أو مستفیضة، و لا یمکن تفکیک المتواتر و المستفیض فی أیّامنا هذه حتی یقال:</w:t>
      </w:r>
    </w:p>
    <w:p>
      <w:pPr>
        <w:pStyle w:val="BookText"/>
      </w:pPr>
      <w:r>
        <w:rPr>
          <w:rFonts w:ascii="IRNazanin" w:hAnsi="IRNazanin" w:eastAsia="IRNazanin" w:cs="IRNazanin"/>
          <w:lang w:bidi="fa-IR"/>
          <w:color w:val="111111"/>
          <w:sz w:val="28"/>
          <w:szCs w:val="28"/>
          <w:rtl/>
        </w:rPr>
        <w:t xml:space="preserve">إنّ الکلام فی أخبار الآحاد الّتی نقلوها لا غیر، فإنّ الکلّ غالبا یتجلّی بشکل واحد.</w:t>
      </w:r>
    </w:p>
    <w:p>
      <w:pPr>
        <w:pStyle w:val="BookText"/>
      </w:pPr>
      <w:r>
        <w:rPr>
          <w:rFonts w:ascii="IRNazanin" w:hAnsi="IRNazanin" w:eastAsia="IRNazanin" w:cs="IRNazanin"/>
          <w:lang w:bidi="fa-IR"/>
          <w:color w:val="111111"/>
          <w:sz w:val="28"/>
          <w:szCs w:val="28"/>
          <w:rtl/>
        </w:rPr>
        <w:t xml:space="preserve">و ثانیا: کما إنّ حصر وجه الصحّة بالقرائن الخارجیّة بعید، کذلک حصر وجهها بالقرائن الداخلیّة الّتی منها وثاقة الراوی بعید مثله، و القول المتوسّط هو الأدقّ، و هو أنّهم کانوا ملتزمین بنقل الرّوایات الصحّیحة الثابت صدورها عن الإمام، إمّا من جهة القرائن الخارجیّة أو من جهة القرائن الداخلیة، و عندئذ لا یمکن الحکم بوثاقة مشایخهم، أعنی الّذین رووا عنهم إلی أن ینتهی إلی الإمام، لعدم التزامهم بخصوص وثاقة الراوی، بل کانوا یستندون إلی الأعمّ منها و من القرائن المورثة للاطمئنان بالصدور.</w:t>
      </w:r>
    </w:p>
    <w:p>
      <w:pPr>
        <w:pStyle w:val="BookText"/>
      </w:pPr>
      <w:r>
        <w:rPr>
          <w:rFonts w:ascii="IRNazanin" w:hAnsi="IRNazanin" w:eastAsia="IRNazanin" w:cs="IRNazanin"/>
          <w:lang w:bidi="fa-IR"/>
          <w:color w:val="111111"/>
          <w:sz w:val="28"/>
          <w:szCs w:val="28"/>
          <w:rtl/>
        </w:rPr>
        <w:t xml:space="preserve">و الاستبعاد الّذی بسط المحدّث النوری الکلام فیه، إنّما یتّجه لو قلنا باقتصارهم بما دلّت القرائن الخارجیّة علی صحّتها کما لا یخفی.</w:t>
      </w:r>
    </w:p>
    <w:p>
      <w:pPr>
        <w:pStyle w:val="BookText"/>
      </w:pPr>
      <w:r>
        <w:rPr>
          <w:rFonts w:ascii="IRNazanin" w:hAnsi="IRNazanin" w:eastAsia="IRNazanin" w:cs="IRNazanin"/>
          <w:lang w:bidi="fa-IR"/>
          <w:color w:val="111111"/>
          <w:sz w:val="28"/>
          <w:szCs w:val="28"/>
          <w:rtl/>
        </w:rPr>
        <w:t xml:space="preserve">و ثالثا: لو کان المراد هو توثیقهم و توثیق من بعدهم لکان علیه أن یقول، «أجمعت العصابة علی وثاقة من نقل عنه واحد من هؤلاء» أو نحو ذلک من العبارات حتّی لا یشتبه المراد، و ما الدّاعی إلی ذکر تلک العبارة الّتی هی ظاهرة فی خلاف المقصود</w:t>
      </w:r>
      <w:r>
        <w:rPr>
          <w:rStyle w:val="FootnoteReference"/>
        </w:rPr>
        <w:footnoteReference w:id="51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رابعا: فانّ اطّلاع العصابة علی جمیع الأفراد الّذین یروی هؤلاء الجماعة عنهم بلا واسطة و معها بعید فی الغایة لعدم تدوین کتب الحدیث و الرجال فی تلک الأعصار بنحو یصل الکلّ الی الکلّ.</w:t>
      </w:r>
    </w:p>
    <w:p>
      <w:pPr>
        <w:pStyle w:val="BookText"/>
      </w:pPr>
      <w:r>
        <w:rPr>
          <w:rFonts w:ascii="IRNazanin" w:hAnsi="IRNazanin" w:eastAsia="IRNazanin" w:cs="IRNazanin"/>
          <w:lang w:bidi="fa-IR"/>
          <w:color w:val="111111"/>
          <w:sz w:val="28"/>
          <w:szCs w:val="28"/>
          <w:rtl/>
        </w:rPr>
        <w:t xml:space="preserve">الوجه الثانی: إنّ الشیخ قال فی «العدّة»: «و إذا کان أحد الراویین مسندا و الآخر مرسلا، نظر فی حال المرسل، فإن کان ممّن یعلم أنّه لا یرسل</w:t>
      </w:r>
    </w:p>
    <w:p>
      <w:pPr>
        <w:pStyle w:val="BookText"/>
      </w:pPr>
      <w:r>
        <w:rPr>
          <w:rFonts w:ascii="IRNazanin" w:hAnsi="IRNazanin" w:eastAsia="IRNazanin" w:cs="IRNazanin"/>
          <w:lang w:bidi="fa-IR"/>
          <w:color w:val="111111"/>
          <w:sz w:val="28"/>
          <w:szCs w:val="28"/>
          <w:rtl/>
        </w:rPr>
        <w:t xml:space="preserve">[شماره صفحه واقعی : 193]
</w:t>
      </w:r>
    </w:p>
    <w:p>
      <w:pPr>
        <w:sectPr>
          <w:footerReference w:type="default" r:id="rId18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إلا عن ثقة موثوق به فلا ترجیح لخبر غیره علی خبره، و لأجل ذلک سوّت الطّائفة بین ما یرویه محمّد بن أبی عمیر</w:t>
      </w:r>
      <w:r>
        <w:rPr>
          <w:rStyle w:val="FootnoteReference"/>
        </w:rPr>
        <w:footnoteReference w:id="5184"/>
      </w:r>
      <w:r>
        <w:rPr>
          <w:rFonts w:ascii="IRNazanin" w:hAnsi="IRNazanin" w:eastAsia="IRNazanin" w:cs="IRNazanin"/>
          <w:lang w:bidi="fa-IR"/>
          <w:color w:val="111111"/>
          <w:sz w:val="28"/>
          <w:szCs w:val="28"/>
          <w:rtl/>
        </w:rPr>
        <w:t xml:space="preserve">و صفوان بن یحیی</w:t>
      </w:r>
      <w:r>
        <w:rPr>
          <w:rStyle w:val="FootnoteReference"/>
        </w:rPr>
        <w:footnoteReference w:id="5185"/>
      </w:r>
      <w:r>
        <w:rPr>
          <w:rFonts w:ascii="IRNazanin" w:hAnsi="IRNazanin" w:eastAsia="IRNazanin" w:cs="IRNazanin"/>
          <w:lang w:bidi="fa-IR"/>
          <w:color w:val="111111"/>
          <w:sz w:val="28"/>
          <w:szCs w:val="28"/>
          <w:rtl/>
        </w:rPr>
        <w:t xml:space="preserve">و أحمد بن محمّد بن أبی نصر</w:t>
      </w:r>
      <w:r>
        <w:rPr>
          <w:rStyle w:val="FootnoteReference"/>
        </w:rPr>
        <w:footnoteReference w:id="5186"/>
      </w:r>
      <w:r>
        <w:rPr>
          <w:rFonts w:ascii="IRNazanin" w:hAnsi="IRNazanin" w:eastAsia="IRNazanin" w:cs="IRNazanin"/>
          <w:lang w:bidi="fa-IR"/>
          <w:color w:val="111111"/>
          <w:sz w:val="28"/>
          <w:szCs w:val="28"/>
          <w:rtl/>
        </w:rPr>
        <w:t xml:space="preserve">و غیرهم من الثّقات الّذین عرفوا بأنّهم لا یروون و لا یرسلون إلاّ ممّن یوثق به، و بین ما أسنده غیرهم، و لذلک عملوا بمرسلهم إذا انفرد عن روایة غیرهم»</w:t>
      </w:r>
      <w:r>
        <w:rPr>
          <w:rStyle w:val="FootnoteReference"/>
        </w:rPr>
        <w:footnoteReference w:id="51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المحدّث النّوری بعد نقل هذا الکلام: «إنّ المنصف المتأمّل فی هذا الکلام، لا یرتاب فی أنّ المراد من قوله «من الثّقات الّذین... الخ» أصحاب الاجماع المعهودون، إذ لیس فی جمیع ثقات الرواة جماعة معروفون بصفة خاصّة مشترکون فیها، ممتازون بها عن غیرهم، غیر هؤلاء، فإنّ صریح کلامه أنّ فیهم جماعة معروفین عند الأصحاب بهذه الفضیلة، و لا تجد فی کتب هذا الفنّ من طبقة الثقات عصابة مشترکین فی فضیلة غیر هؤلاء، و منه یظهر أن ما اشتهر من أنّ الشّیخ ادّعی الإجماع علی أنّ ابن أبی عمیر و صفوان و البزنطی خاصّة لا یروون و لا یرسلون إلاّ عن ثقة، و شاع فی الکتب حتّی صار من مناقب الثّلاثة و عدّ من فضائلهم، خطأ محض منشأه عدم المراجعة إلی «العدّة» الصّریحة فی أنّ هذا من فضائل جماعة، و ذکر الثّلاثة من باب المثال».</w:t>
      </w:r>
      <w:r>
        <w:rPr>
          <w:rStyle w:val="FootnoteReference"/>
        </w:rPr>
        <w:footnoteReference w:id="5188"/>
      </w:r>
    </w:p>
    <w:p>
      <w:pPr>
        <w:pStyle w:val="BookText"/>
      </w:pPr>
      <w:r>
        <w:rPr>
          <w:rFonts w:ascii="IRNazanin" w:hAnsi="IRNazanin" w:eastAsia="IRNazanin" w:cs="IRNazanin"/>
          <w:lang w:bidi="fa-IR"/>
          <w:color w:val="111111"/>
          <w:sz w:val="28"/>
          <w:szCs w:val="28"/>
          <w:rtl/>
        </w:rPr>
        <w:t xml:space="preserve">أقول: إنّ الاستدلال بعبارة «العدّة» علی أنّ المراد من عبارة الکشّی هو توثیق رجال السند بعد أصحاب الاجماع غیر تامّ. إذ الظّاهر أنّ مراد الشّیخ من</w:t>
      </w:r>
    </w:p>
    <w:p>
      <w:pPr>
        <w:pStyle w:val="BookText"/>
      </w:pPr>
      <w:r>
        <w:rPr>
          <w:rFonts w:ascii="IRNazanin" w:hAnsi="IRNazanin" w:eastAsia="IRNazanin" w:cs="IRNazanin"/>
          <w:lang w:bidi="fa-IR"/>
          <w:color w:val="111111"/>
          <w:sz w:val="28"/>
          <w:szCs w:val="28"/>
          <w:rtl/>
        </w:rPr>
        <w:t xml:space="preserve">[شماره صفحه واقعی : 194]
</w:t>
      </w:r>
    </w:p>
    <w:p>
      <w:pPr>
        <w:sectPr>
          <w:footerReference w:type="default" r:id="rId18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«و غیرهم» هو الجماعة المعروفة بین الأصحاب بأنّهم لا یروون إلاّ عن ثقة و هم عبارة عن: 1 - أحمد بن محمّد بن عیسی. 2 - جعفر بن بشیر البجلی.</w:t>
      </w:r>
    </w:p>
    <w:p>
      <w:pPr>
        <w:pStyle w:val="BookText"/>
      </w:pPr>
      <w:r>
        <w:rPr>
          <w:rFonts w:ascii="IRNazanin" w:hAnsi="IRNazanin" w:eastAsia="IRNazanin" w:cs="IRNazanin"/>
          <w:lang w:bidi="fa-IR"/>
          <w:color w:val="111111"/>
          <w:sz w:val="28"/>
          <w:szCs w:val="28"/>
          <w:rtl/>
        </w:rPr>
        <w:t xml:space="preserve">3 - محمّد بن إسماعیل بن میمون الزعفرانی. 4 - علیّ بن الحسن الطاطری.</w:t>
      </w:r>
    </w:p>
    <w:p>
      <w:pPr>
        <w:pStyle w:val="BookText"/>
      </w:pPr>
      <w:r>
        <w:rPr>
          <w:rFonts w:ascii="IRNazanin" w:hAnsi="IRNazanin" w:eastAsia="IRNazanin" w:cs="IRNazanin"/>
          <w:lang w:bidi="fa-IR"/>
          <w:color w:val="111111"/>
          <w:sz w:val="28"/>
          <w:szCs w:val="28"/>
          <w:rtl/>
        </w:rPr>
        <w:t xml:space="preserve">5 - بنو فضّال کلهم (علی قول) و سیوافیک الکلام عن هؤلاء، و لا نظر لها إلی الفقهاء المعروفین من أصحاب الأئمّة الأربعة، و قد عرفت أنّ کلام الکشّی خال عن هذا العنوان و أنّه عرّفهم بعنوان: «تسمیة الفقهاء من أصحاب الأئمّة» فی مواضع ثلاثة، و إنّما افیض علیهم هذا العنوان فی کلمات المتأخّرین و جعل موضوعا للبحث، و أمّا تخصیص الکشّی هؤلاء الجماعة بالبحث، فلأجل فقاهتهم و تبحّرهم فی الفقه، لما مرّ أنّ أکثر الروایات تنتهی إلیهم، و أمّا عدم ذکره أبا حمزة الثّمالی، و علیّ بن یقطین، و زکریّا بن آدم، و علیّ بن مهزیار فلقلّة روایة الثّلاثة الاول - مع جلالتهم - بالنّسبة إلی أصحاب الاجماع.</w:t>
      </w:r>
    </w:p>
    <w:p>
      <w:pPr>
        <w:pStyle w:val="BookText"/>
      </w:pPr>
      <w:r>
        <w:rPr>
          <w:rFonts w:ascii="IRNazanin" w:hAnsi="IRNazanin" w:eastAsia="IRNazanin" w:cs="IRNazanin"/>
          <w:lang w:bidi="fa-IR"/>
          <w:color w:val="111111"/>
          <w:sz w:val="28"/>
          <w:szCs w:val="28"/>
          <w:rtl/>
        </w:rPr>
        <w:t xml:space="preserve">فظهر من هذا البحث أیضا أنّ الحقّ هو المعنی الأوّل، و أنّ المراد هو تصدیقهم فیما یروون بلا واسطة، و تصدیق حکایاتهم و نقولهم فیما یروون، فهم فقهاء و علماء مصدّقون فی نقولهم، و أنّ لفظ «التّصحیح» مرادف للفظ «التّصدیق» سواء اجتمعا کما فی الطّبقتین الثانیة و الثالثة، أم افترقا کما فی الطّبقة الاولی.</w:t>
      </w:r>
    </w:p>
    <w:p>
      <w:pPr>
        <w:pStyle w:val="BookText"/>
      </w:pPr>
      <w:r>
        <w:rPr>
          <w:rFonts w:ascii="IRNazanin" w:hAnsi="IRNazanin" w:eastAsia="IRNazanin" w:cs="IRNazanin"/>
          <w:lang w:bidi="fa-IR"/>
          <w:color w:val="111111"/>
          <w:sz w:val="28"/>
          <w:szCs w:val="28"/>
          <w:rtl/>
        </w:rPr>
        <w:t xml:space="preserve">و إن أبیت إلاّ عن تغایرهما و أنّ «التصحیح» یفید غیر ما یفیده «التّصدیق»، فالاحتمال الأوّل من المعنی الثانی، من تصحیح روایاتهم و حجّیتها هو المتعیّن، و المراد أنّ العصابة فی ظلّ التفحّص و التتبّع وقفت علی أنّ روایاتهم صحیحة إمّا لوثاقة رجال السّند بعد أصحاب الاجماع، أو لقرائن خارجیّة کما مرّت، و أمّا کون صحّتها لخصوص وثاقة رجال السند إلی أن ینتهی إلی الإمام - کما هو المقصود فی الاحتمال الثانی و الثالث للمعنی الثانی - فلا، و علی هذا فلیست العبارة مفیدة لقاعدة رجالیّة، هی أنّ مشایخ هؤلاء إلی الإمام ثقات.</w:t>
      </w:r>
    </w:p>
    <w:p>
      <w:pPr>
        <w:pStyle w:val="BookText"/>
      </w:pPr>
      <w:r>
        <w:rPr>
          <w:rFonts w:ascii="IRNazanin" w:hAnsi="IRNazanin" w:eastAsia="IRNazanin" w:cs="IRNazanin"/>
          <w:lang w:bidi="fa-IR"/>
          <w:color w:val="111111"/>
          <w:sz w:val="28"/>
          <w:szCs w:val="28"/>
          <w:rtl/>
        </w:rPr>
        <w:t xml:space="preserve">[شماره صفحه واقعی : 195]
</w:t>
      </w:r>
    </w:p>
    <w:p>
      <w:pPr>
        <w:sectPr>
          <w:footerReference w:type="default" r:id="rId18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بعبارة اخری؛ لا یستفاد منها أنّهم لا یروون إلاّ عن ثقة حتّی ینتهی السند إلی الإمام. و علی ذلک فلا یکون روایة أصحاب الاجماع عن شیخ دلیلا علی وثاقته، فإذا وقع ذلک الشیخ فی سند، و کان الراوی عنه غیرهم لا یحکم بوثاقته و صحّة السند، فما اشتهر بین المتأخّرین من تصحیح الإسناد إذا کان الراوی مهملا، بحجّة أنّه من مشایخ أصحاب الاجماع ممّا لا دلیل علیه.</w:t>
      </w:r>
    </w:p>
    <w:p>
      <w:pPr>
        <w:pStyle w:val="BookText"/>
      </w:pPr>
      <w:r>
        <w:rPr>
          <w:rFonts w:ascii="IRNazanin" w:hAnsi="IRNazanin" w:eastAsia="IRNazanin" w:cs="IRNazanin"/>
          <w:lang w:bidi="fa-IR"/>
          <w:color w:val="111111"/>
          <w:sz w:val="28"/>
          <w:szCs w:val="28"/>
          <w:rtl/>
        </w:rPr>
        <w:t xml:space="preserve">تفصیل من العلامة الشفتی</w:t>
      </w:r>
      <w:r>
        <w:rPr>
          <w:rStyle w:val="FootnoteReference"/>
        </w:rPr>
        <w:footnoteReference w:id="5189"/>
      </w:r>
      <w:r>
        <w:rPr>
          <w:rFonts w:ascii="IRNazanin" w:hAnsi="IRNazanin" w:eastAsia="IRNazanin" w:cs="IRNazanin"/>
          <w:lang w:bidi="fa-IR"/>
          <w:color w:val="111111"/>
          <w:sz w:val="28"/>
          <w:szCs w:val="28"/>
          <w:rtl/>
        </w:rPr>
        <w:t xml:space="preserve">: قد عرفت أنّ الکشّی ذکر اتّفاق العصابة علی هؤلاء فی مواطن ثلاثة، و عرفت المحتملات المختلفة حول عبارته المردّدة بین کون المراد: 1 - تصدیق هؤلاء فیما ینقلون 2 - أو تصحیح صدور روایاتهم من المعصوم لأجل القرائن الداخلیة أو الخارجیّة. 3 - أو توثیق مشایخهم إلی أن ینتهی السند، و علی کلّ تقدیر المراد من العبارة فی المواضع الثلاثة واحد.</w:t>
      </w:r>
    </w:p>
    <w:p>
      <w:pPr>
        <w:pStyle w:val="BookText"/>
      </w:pPr>
      <w:r>
        <w:rPr>
          <w:rFonts w:ascii="IRNazanin" w:hAnsi="IRNazanin" w:eastAsia="IRNazanin" w:cs="IRNazanin"/>
          <w:lang w:bidi="fa-IR"/>
          <w:color w:val="111111"/>
          <w:sz w:val="28"/>
          <w:szCs w:val="28"/>
          <w:rtl/>
        </w:rPr>
        <w:t xml:space="preserve">لکن یظهر من المحقّق الشفتی، التّفصیل بین العبارة الاولی و الثانیة و الثالثة، بأنّ المراد من الاولی هو تصحیح الحدیث و من الأخیرتین توثیقهم و توثیق مشایخهم إلی آخر السند، و لأجل ذلک اکتفی فی اولی العبارات بذکر التّصدیق من دون إضافة قول «تصحیح ما یصحّ»، دون الاخیرتین. و إنّما فعل ذلک لأنّ الطّبقة الاولی یروون من الإمام بلا واسطة، و هذا بخلاف الواقعین فی الثّانیة و الثّالثة، فهم یروون بلا واسطة و معها.</w:t>
      </w:r>
    </w:p>
    <w:p>
      <w:pPr>
        <w:pStyle w:val="BookText"/>
      </w:pPr>
      <w:r>
        <w:rPr>
          <w:rFonts w:ascii="IRNazanin" w:hAnsi="IRNazanin" w:eastAsia="IRNazanin" w:cs="IRNazanin"/>
          <w:lang w:bidi="fa-IR"/>
          <w:color w:val="111111"/>
          <w:sz w:val="28"/>
          <w:szCs w:val="28"/>
          <w:rtl/>
        </w:rPr>
        <w:t xml:space="preserve">و قال فی هذا الصّدد: «إنّ نشر الأحادیث لمّا کان فی زمن الصّادقین - علیهما السلام -، و کانت روایات الطّبقة الاولی من أصحابهما غالبا عنهما من غیر واسطة، فیکفی للحکم بصحّة الحدیث تصدیقهم، و أمّا المذکورون فی الطّبقة الثانیة و الثالثة، فقد کانوا من أصحاب الصادق و الکاظم و الرضا - علیه السلام -، و کانت روایة الطّبقة الثانیة عن مولانا الباقر - علیه السلام - مع</w:t>
      </w:r>
    </w:p>
    <w:p>
      <w:pPr>
        <w:pStyle w:val="BookText"/>
      </w:pPr>
      <w:r>
        <w:rPr>
          <w:rFonts w:ascii="IRNazanin" w:hAnsi="IRNazanin" w:eastAsia="IRNazanin" w:cs="IRNazanin"/>
          <w:lang w:bidi="fa-IR"/>
          <w:color w:val="111111"/>
          <w:sz w:val="28"/>
          <w:szCs w:val="28"/>
          <w:rtl/>
        </w:rPr>
        <w:t xml:space="preserve">[شماره صفحه واقعی : 196]
</w:t>
      </w:r>
    </w:p>
    <w:p>
      <w:pPr>
        <w:sectPr>
          <w:footerReference w:type="default" r:id="rId18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الواسطة، و کانت الطبقة الثالثة کذلک بالنسبة الی الصادق - علیه السلام -، و لم یکن الحکم بتصدیقهم کافیا فی الحکم بالصّحة فما اکتفی بالتّصدیق و أضاف: «اجتمعت العصابة علی تصحیح ما یصحّ عنهم» و لمّا روی کلّ من فی الطبقة الثانیة، عن الصادق - علیه السلام -، و الطبقة الثالثة عن الکاظم و الرضا - علیه السلام -، أتی بتصدیقهم أیضا.</w:t>
      </w:r>
    </w:p>
    <w:p>
      <w:pPr>
        <w:pStyle w:val="BookText"/>
      </w:pPr>
      <w:r>
        <w:rPr>
          <w:rFonts w:ascii="IRNazanin" w:hAnsi="IRNazanin" w:eastAsia="IRNazanin" w:cs="IRNazanin"/>
          <w:lang w:bidi="fa-IR"/>
          <w:color w:val="111111"/>
          <w:sz w:val="28"/>
          <w:szCs w:val="28"/>
          <w:rtl/>
        </w:rPr>
        <w:t xml:space="preserve">و الحاصل؛ أن التّصدیق فیما إذا کانت الروایة عن الأئمة - علیهم السلام - من غیر واسطة و التّصحیح إذا کانت معها»</w:t>
      </w:r>
      <w:r>
        <w:rPr>
          <w:rStyle w:val="FootnoteReference"/>
        </w:rPr>
        <w:footnoteReference w:id="51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یخفی أنّه تفسیر ذوقیّ لا یعتمد علی دلیل، بل الدّلیل علی خلافه، ففیه:</w:t>
      </w:r>
    </w:p>
    <w:p>
      <w:pPr>
        <w:pStyle w:val="BookText"/>
      </w:pPr>
      <w:r>
        <w:rPr>
          <w:rFonts w:ascii="IRNazanin" w:hAnsi="IRNazanin" w:eastAsia="IRNazanin" w:cs="IRNazanin"/>
          <w:lang w:bidi="fa-IR"/>
          <w:color w:val="111111"/>
          <w:sz w:val="28"/>
          <w:szCs w:val="28"/>
          <w:rtl/>
        </w:rPr>
        <w:t xml:space="preserve">أولا: إنّ ما ذکره من أنّ روایة الطّبقة الاولی کانت عن الإمام بلا واسطة غالبا، غیر تامّ، یعرف بعد الوقوف علی مشایخهم فی الحدیث من أصحاب الأئمّة المتقدّمین کالسجّاد و من قبله:</w:t>
      </w:r>
    </w:p>
    <w:p>
      <w:pPr>
        <w:pStyle w:val="BookText"/>
      </w:pPr>
      <w:r>
        <w:rPr>
          <w:rFonts w:ascii="IRNazanin" w:hAnsi="IRNazanin" w:eastAsia="IRNazanin" w:cs="IRNazanin"/>
          <w:lang w:bidi="fa-IR"/>
          <w:color w:val="111111"/>
          <w:sz w:val="28"/>
          <w:szCs w:val="28"/>
          <w:rtl/>
        </w:rPr>
        <w:t xml:space="preserve">و هذا زرارة یروی عن ما یقرب من أربعة عشر شیخا و هم:</w:t>
      </w:r>
    </w:p>
    <w:p>
      <w:pPr>
        <w:pStyle w:val="BookText"/>
      </w:pPr>
      <w:r>
        <w:rPr>
          <w:rFonts w:ascii="IRNazanin" w:hAnsi="IRNazanin" w:eastAsia="IRNazanin" w:cs="IRNazanin"/>
          <w:lang w:bidi="fa-IR"/>
          <w:color w:val="111111"/>
          <w:sz w:val="28"/>
          <w:szCs w:val="28"/>
          <w:rtl/>
        </w:rPr>
        <w:t xml:space="preserve">1 - أبو الخطّاب 2 - بکر 3 - الحسن البزّاز 4 - الحسن بن السری 5 - حمران بن أعین 6 - سالم بن أبی حفصة 7 - عبد الکریم بن عتبة الهاشمی 8 - عبد اللّه بن عجلان 9 - عبد الملک 10 - عبد الواحد بن المختار الأنصاری 11 - عمر بن حنظلة 12 - الفضیل 13 - محمّد بن مسلم 14 - الیسع</w:t>
      </w:r>
      <w:r>
        <w:rPr>
          <w:rStyle w:val="FootnoteReference"/>
        </w:rPr>
        <w:footnoteReference w:id="51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محمّد بن مسلم یروی عن ستّة مشایخ و هم:</w:t>
      </w:r>
    </w:p>
    <w:p>
      <w:pPr>
        <w:pStyle w:val="BookText"/>
      </w:pPr>
      <w:r>
        <w:rPr>
          <w:rFonts w:ascii="IRNazanin" w:hAnsi="IRNazanin" w:eastAsia="IRNazanin" w:cs="IRNazanin"/>
          <w:lang w:bidi="fa-IR"/>
          <w:color w:val="111111"/>
          <w:sz w:val="28"/>
          <w:szCs w:val="28"/>
          <w:rtl/>
        </w:rPr>
        <w:t xml:space="preserve">1 - أبو حمزة الثمالی 2 - أبو الصباح 3 - حمدان 4 - زرارة 5 - کامل 6 -</w:t>
      </w:r>
    </w:p>
    <w:p>
      <w:pPr>
        <w:pStyle w:val="BookText"/>
      </w:pPr>
      <w:r>
        <w:rPr>
          <w:rFonts w:ascii="IRNazanin" w:hAnsi="IRNazanin" w:eastAsia="IRNazanin" w:cs="IRNazanin"/>
          <w:lang w:bidi="fa-IR"/>
          <w:color w:val="111111"/>
          <w:sz w:val="28"/>
          <w:szCs w:val="28"/>
          <w:rtl/>
        </w:rPr>
        <w:t xml:space="preserve">[شماره صفحه واقعی : 197]
</w:t>
      </w:r>
    </w:p>
    <w:p>
      <w:pPr>
        <w:sectPr>
          <w:footerReference w:type="default" r:id="rId18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مسعود الطائی</w:t>
      </w:r>
      <w:r>
        <w:rPr>
          <w:rStyle w:val="FootnoteReference"/>
        </w:rPr>
        <w:footnoteReference w:id="51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برید بن معاویة یروی عن شیخ واحد و هو مالک بن اعین</w:t>
      </w:r>
      <w:r>
        <w:rPr>
          <w:rStyle w:val="FootnoteReference"/>
        </w:rPr>
        <w:footnoteReference w:id="51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الفضیل بن یسار یروی عن شیخین و هما: 1 - زکریا النقاض 2 - عبد الواحد بن المختار الأنصاری</w:t>
      </w:r>
      <w:r>
        <w:rPr>
          <w:rStyle w:val="FootnoteReference"/>
        </w:rPr>
        <w:footnoteReference w:id="51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معروف بن خرّبوذ یروی عن شیخین و هما: 1 - أبو الطّفیل 2 - الحکم بن المستور</w:t>
      </w:r>
      <w:r>
        <w:rPr>
          <w:rStyle w:val="FootnoteReference"/>
        </w:rPr>
        <w:footnoteReference w:id="51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أبو بصیر الأسدی (یحیی بن القاسم أو أبی القاسم) یروی عن عمران بن میثم أو صالح بن میثم</w:t>
      </w:r>
      <w:r>
        <w:rPr>
          <w:rStyle w:val="FootnoteReference"/>
        </w:rPr>
        <w:footnoteReference w:id="51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مع ذلک کیف یمکن أن یقال إنّ مرویّاتهم عن الأئمّة بلا واسطة غالبا.</w:t>
      </w:r>
    </w:p>
    <w:p>
      <w:pPr>
        <w:pStyle w:val="BookText"/>
      </w:pPr>
      <w:r>
        <w:rPr>
          <w:rFonts w:ascii="IRNazanin" w:hAnsi="IRNazanin" w:eastAsia="IRNazanin" w:cs="IRNazanin"/>
          <w:lang w:bidi="fa-IR"/>
          <w:color w:val="111111"/>
          <w:sz w:val="28"/>
          <w:szCs w:val="28"/>
          <w:rtl/>
        </w:rPr>
        <w:t xml:space="preserve">و ثانیا: لو کان المراد ما ذکره لوجب علیه التّصریح بذلک، فإنّ ما ذکره لیس أمرا ظاهرا متبادرا من العبارة، و الظّاهر فی الجمیع تصدیقهم فیما یقولون و یحکون.</w:t>
      </w:r>
    </w:p>
    <w:p>
      <w:pPr>
        <w:pStyle w:val="BookText"/>
      </w:pPr>
      <w:r>
        <w:rPr>
          <w:rFonts w:ascii="IRNazanin" w:hAnsi="IRNazanin" w:eastAsia="IRNazanin" w:cs="IRNazanin"/>
          <w:lang w:bidi="fa-IR"/>
          <w:color w:val="111111"/>
          <w:sz w:val="28"/>
          <w:szCs w:val="28"/>
          <w:rtl/>
        </w:rPr>
        <w:t xml:space="preserve">الوجه الثالث: إنّ جماعة من الرواة و صفوا فی کتب الرجال بصحّة الحدیث، کما نجده فی حقّ الأفراد التالیة:</w:t>
      </w:r>
    </w:p>
    <w:p>
      <w:pPr>
        <w:pStyle w:val="BookText"/>
      </w:pPr>
      <w:r>
        <w:rPr>
          <w:rFonts w:ascii="IRNazanin" w:hAnsi="IRNazanin" w:eastAsia="IRNazanin" w:cs="IRNazanin"/>
          <w:lang w:bidi="fa-IR"/>
          <w:color w:val="111111"/>
          <w:sz w:val="28"/>
          <w:szCs w:val="28"/>
          <w:rtl/>
        </w:rPr>
        <w:t xml:space="preserve">1 - إبراهیم بن نصر بن القعقاع الجعفی، روی عن أبی عبد اللّه و أبی</w:t>
      </w:r>
    </w:p>
    <w:p>
      <w:pPr>
        <w:pStyle w:val="BookText"/>
      </w:pPr>
      <w:r>
        <w:rPr>
          <w:rFonts w:ascii="IRNazanin" w:hAnsi="IRNazanin" w:eastAsia="IRNazanin" w:cs="IRNazanin"/>
          <w:lang w:bidi="fa-IR"/>
          <w:color w:val="111111"/>
          <w:sz w:val="28"/>
          <w:szCs w:val="28"/>
          <w:rtl/>
        </w:rPr>
        <w:t xml:space="preserve">[شماره صفحه واقعی : 198]
</w:t>
      </w:r>
    </w:p>
    <w:p>
      <w:pPr>
        <w:sectPr>
          <w:footerReference w:type="default" r:id="rId18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الحسن - علیهما السلام -، ثقة، صحیح الحدیث.</w:t>
      </w:r>
    </w:p>
    <w:p>
      <w:pPr>
        <w:pStyle w:val="BookText"/>
      </w:pPr>
      <w:r>
        <w:rPr>
          <w:rFonts w:ascii="IRNazanin" w:hAnsi="IRNazanin" w:eastAsia="IRNazanin" w:cs="IRNazanin"/>
          <w:lang w:bidi="fa-IR"/>
          <w:color w:val="111111"/>
          <w:sz w:val="28"/>
          <w:szCs w:val="28"/>
          <w:rtl/>
        </w:rPr>
        <w:t xml:space="preserve">2 - أبو عبد اللّه أحمد بن الحسن بن إسماعیل بن شعیب بن میثم التمّار الکوفی، ثقة، صحیح الحدیث.</w:t>
      </w:r>
    </w:p>
    <w:p>
      <w:pPr>
        <w:pStyle w:val="BookText"/>
      </w:pPr>
      <w:r>
        <w:rPr>
          <w:rFonts w:ascii="IRNazanin" w:hAnsi="IRNazanin" w:eastAsia="IRNazanin" w:cs="IRNazanin"/>
          <w:lang w:bidi="fa-IR"/>
          <w:color w:val="111111"/>
          <w:sz w:val="28"/>
          <w:szCs w:val="28"/>
          <w:rtl/>
        </w:rPr>
        <w:t xml:space="preserve">3 - أبو حمزة أنس بن عیاض اللّیثی، ثقة، صحیح الحدیث.</w:t>
      </w:r>
    </w:p>
    <w:p>
      <w:pPr>
        <w:pStyle w:val="BookText"/>
      </w:pPr>
      <w:r>
        <w:rPr>
          <w:rFonts w:ascii="IRNazanin" w:hAnsi="IRNazanin" w:eastAsia="IRNazanin" w:cs="IRNazanin"/>
          <w:lang w:bidi="fa-IR"/>
          <w:color w:val="111111"/>
          <w:sz w:val="28"/>
          <w:szCs w:val="28"/>
          <w:rtl/>
        </w:rPr>
        <w:t xml:space="preserve">4 - أبو سعید جعفر بن أحمد بن أیوب السمرقندی، صحیح الحدیث.</w:t>
      </w:r>
    </w:p>
    <w:p>
      <w:pPr>
        <w:pStyle w:val="BookText"/>
      </w:pPr>
      <w:r>
        <w:rPr>
          <w:rFonts w:ascii="IRNazanin" w:hAnsi="IRNazanin" w:eastAsia="IRNazanin" w:cs="IRNazanin"/>
          <w:lang w:bidi="fa-IR"/>
          <w:color w:val="111111"/>
          <w:sz w:val="28"/>
          <w:szCs w:val="28"/>
          <w:rtl/>
        </w:rPr>
        <w:t xml:space="preserve">5 - الحسن بن علیّ بن بقاح الکوفی، ثقة مشهور، صحیح الحدیث.</w:t>
      </w:r>
    </w:p>
    <w:p>
      <w:pPr>
        <w:pStyle w:val="BookText"/>
      </w:pPr>
      <w:r>
        <w:rPr>
          <w:rFonts w:ascii="IRNazanin" w:hAnsi="IRNazanin" w:eastAsia="IRNazanin" w:cs="IRNazanin"/>
          <w:lang w:bidi="fa-IR"/>
          <w:color w:val="111111"/>
          <w:sz w:val="28"/>
          <w:szCs w:val="28"/>
          <w:rtl/>
        </w:rPr>
        <w:t xml:space="preserve">6 - الحسن بن علیّ بن النعمان الأعلم، ثقة، ثبت، له کتاب نوادر، صحیح الحدیث.</w:t>
      </w:r>
    </w:p>
    <w:p>
      <w:pPr>
        <w:pStyle w:val="BookText"/>
      </w:pPr>
      <w:r>
        <w:rPr>
          <w:rFonts w:ascii="IRNazanin" w:hAnsi="IRNazanin" w:eastAsia="IRNazanin" w:cs="IRNazanin"/>
          <w:lang w:bidi="fa-IR"/>
          <w:color w:val="111111"/>
          <w:sz w:val="28"/>
          <w:szCs w:val="28"/>
          <w:rtl/>
        </w:rPr>
        <w:t xml:space="preserve">7 - سعد بن طریف، صحیح الحدیث.</w:t>
      </w:r>
    </w:p>
    <w:p>
      <w:pPr>
        <w:pStyle w:val="BookText"/>
      </w:pPr>
      <w:r>
        <w:rPr>
          <w:rFonts w:ascii="IRNazanin" w:hAnsi="IRNazanin" w:eastAsia="IRNazanin" w:cs="IRNazanin"/>
          <w:lang w:bidi="fa-IR"/>
          <w:color w:val="111111"/>
          <w:sz w:val="28"/>
          <w:szCs w:val="28"/>
          <w:rtl/>
        </w:rPr>
        <w:t xml:space="preserve">8 - أبو سهل صدقة بن بندار القمّی، ثقة، صحیح الحدیث.</w:t>
      </w:r>
    </w:p>
    <w:p>
      <w:pPr>
        <w:pStyle w:val="BookText"/>
      </w:pPr>
      <w:r>
        <w:rPr>
          <w:rFonts w:ascii="IRNazanin" w:hAnsi="IRNazanin" w:eastAsia="IRNazanin" w:cs="IRNazanin"/>
          <w:lang w:bidi="fa-IR"/>
          <w:color w:val="111111"/>
          <w:sz w:val="28"/>
          <w:szCs w:val="28"/>
          <w:rtl/>
        </w:rPr>
        <w:t xml:space="preserve">9 - أبو الصلت الهروی عبد السلام بن صالح، روی عن الرضا - علیه السلام -، ثقة، صحیح الحدیث.</w:t>
      </w:r>
    </w:p>
    <w:p>
      <w:pPr>
        <w:pStyle w:val="BookText"/>
      </w:pPr>
      <w:r>
        <w:rPr>
          <w:rFonts w:ascii="IRNazanin" w:hAnsi="IRNazanin" w:eastAsia="IRNazanin" w:cs="IRNazanin"/>
          <w:lang w:bidi="fa-IR"/>
          <w:color w:val="111111"/>
          <w:sz w:val="28"/>
          <w:szCs w:val="28"/>
          <w:rtl/>
        </w:rPr>
        <w:t xml:space="preserve">10 - أبو الحسن علیّ بن إبراهیم بن محمّد الجوانی ثقة، صحیح الحدیث.</w:t>
      </w:r>
    </w:p>
    <w:p>
      <w:pPr>
        <w:pStyle w:val="BookText"/>
      </w:pPr>
      <w:r>
        <w:rPr>
          <w:rFonts w:ascii="IRNazanin" w:hAnsi="IRNazanin" w:eastAsia="IRNazanin" w:cs="IRNazanin"/>
          <w:lang w:bidi="fa-IR"/>
          <w:color w:val="111111"/>
          <w:sz w:val="28"/>
          <w:szCs w:val="28"/>
          <w:rtl/>
        </w:rPr>
        <w:t xml:space="preserve">11 - النضر بن سوید الکوفی، ثقة، صحیح الحدیث.</w:t>
      </w:r>
    </w:p>
    <w:p>
      <w:pPr>
        <w:pStyle w:val="BookText"/>
      </w:pPr>
      <w:r>
        <w:rPr>
          <w:rFonts w:ascii="IRNazanin" w:hAnsi="IRNazanin" w:eastAsia="IRNazanin" w:cs="IRNazanin"/>
          <w:lang w:bidi="fa-IR"/>
          <w:color w:val="111111"/>
          <w:sz w:val="28"/>
          <w:szCs w:val="28"/>
          <w:rtl/>
        </w:rPr>
        <w:t xml:space="preserve">12 - یحیی بن عمران بن علی بن أبی شعبة الحلبی ثقة ثقة، صحیح الحدیث.</w:t>
      </w:r>
    </w:p>
    <w:p>
      <w:pPr>
        <w:pStyle w:val="BookText"/>
      </w:pPr>
      <w:r>
        <w:rPr>
          <w:rFonts w:ascii="IRNazanin" w:hAnsi="IRNazanin" w:eastAsia="IRNazanin" w:cs="IRNazanin"/>
          <w:lang w:bidi="fa-IR"/>
          <w:color w:val="111111"/>
          <w:sz w:val="28"/>
          <w:szCs w:val="28"/>
          <w:rtl/>
        </w:rPr>
        <w:t xml:space="preserve">13 - أبو الحسین محمّد بن جعفر الأسدی الرازی، کان ثقة، صحیح الحدیث.</w:t>
      </w:r>
    </w:p>
    <w:p>
      <w:pPr>
        <w:pStyle w:val="BookText"/>
      </w:pPr>
      <w:r>
        <w:rPr>
          <w:rFonts w:ascii="IRNazanin" w:hAnsi="IRNazanin" w:eastAsia="IRNazanin" w:cs="IRNazanin"/>
          <w:lang w:bidi="fa-IR"/>
          <w:color w:val="111111"/>
          <w:sz w:val="28"/>
          <w:szCs w:val="28"/>
          <w:rtl/>
        </w:rPr>
        <w:t xml:space="preserve">هؤلاء الجماعة عرّفوا فی کتب الرجال بصحّة الحدیث، و لا یمکن الحکم بصحّة حدیث راو علی الاطلاق، إلاّ من جهة وثاقته و وثاقة من بعده إلی</w:t>
      </w:r>
    </w:p>
    <w:p>
      <w:pPr>
        <w:pStyle w:val="BookText"/>
      </w:pPr>
      <w:r>
        <w:rPr>
          <w:rFonts w:ascii="IRNazanin" w:hAnsi="IRNazanin" w:eastAsia="IRNazanin" w:cs="IRNazanin"/>
          <w:lang w:bidi="fa-IR"/>
          <w:color w:val="111111"/>
          <w:sz w:val="28"/>
          <w:szCs w:val="28"/>
          <w:rtl/>
        </w:rPr>
        <w:t xml:space="preserve">[شماره صفحه واقعی : 199]
</w:t>
      </w:r>
    </w:p>
    <w:p>
      <w:pPr>
        <w:sectPr>
          <w:footerReference w:type="default" r:id="rId18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المعصوم، و احتمال کونه من جهة القرائن فاسد کما مرّ، و لا فرق بینهم و بین أصحاب الاجماع إلاّ من جهة الاجماع فی هؤلاء دونهم، و هم جماعة أیضا کما عرفت</w:t>
      </w:r>
      <w:r>
        <w:rPr>
          <w:rStyle w:val="FootnoteReference"/>
        </w:rPr>
        <w:footnoteReference w:id="51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أمّا دلالة لفظة «صحیح الحدیث» علی وثاقة نفس هؤلاء فممّا لا یخفی علی أحد، و قد عدّه الشهید الثّانی من الألفاظ الدالّة علی الوثاقة. قال فی بدایة الدرایة و شرحها: «قوله: و هو صحیح الحدیث، یقتضی کونه ثقة ضابطا ففیه زیادة تزکیة». أضف إلیه أنّه غیر محتاج إلیه، لوجود لفظ «ثقة» فی ترجمة هؤلاء إلاّ فی مورد السّمرقندی و ابن طریف. إنّما الکلام فی دلالته علی وثاقة مشایخهم سواء کانت بلا واسطة أو معها. فقد اختار المحدّث النوری دلالتها علی وثاقة المشایخ عامّة.</w:t>
      </w:r>
    </w:p>
    <w:p>
      <w:pPr>
        <w:pStyle w:val="BookText"/>
      </w:pPr>
      <w:r>
        <w:rPr>
          <w:rFonts w:ascii="IRNazanin" w:hAnsi="IRNazanin" w:eastAsia="IRNazanin" w:cs="IRNazanin"/>
          <w:lang w:bidi="fa-IR"/>
          <w:color w:val="111111"/>
          <w:sz w:val="28"/>
          <w:szCs w:val="28"/>
          <w:rtl/>
        </w:rPr>
        <w:t xml:space="preserve">و لکن إنّما یتمّ ما استظهره من قولهم «صحیح الحدیث» إذا لم تکن قرینة علی کون المراد صحّة أحادیث کتبه، لا وثاقة مشایخه، کما ورد فی حقّ الحسین بن عبید اللّه السعدی «له کتب صحیحة الحدیث» فلا بدّ من الحمل علی الموجود فی الکتاب، و مثله إذا قال: «کان ثقة الحدیث إلاّ أنّه یروی عن الضعفاء» کما ورد فی حقّ أبی الحسین الأسدی</w:t>
      </w:r>
      <w:r>
        <w:rPr>
          <w:rStyle w:val="FootnoteReference"/>
        </w:rPr>
        <w:footnoteReference w:id="51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یخفی أنّه لو ثبت ما یدّعیه ذلک المحدّث، لزم تعدیل کثیر من المهملین و المجهولین، فتبلغ عدد المعدّلین بهذه الطریقة إلی مبلغ کبیر و الاعتماد علی ذلک مشکل جدّا.</w:t>
      </w:r>
    </w:p>
    <w:p>
      <w:pPr>
        <w:pStyle w:val="BookText"/>
      </w:pPr>
      <w:r>
        <w:rPr>
          <w:rFonts w:ascii="IRNazanin" w:hAnsi="IRNazanin" w:eastAsia="IRNazanin" w:cs="IRNazanin"/>
          <w:lang w:bidi="fa-IR"/>
          <w:color w:val="111111"/>
          <w:sz w:val="28"/>
          <w:szCs w:val="28"/>
          <w:rtl/>
        </w:rPr>
        <w:t xml:space="preserve">أمّا أولا: فلأنّ صحّة الحدیث کما تحرز عن طریق وثاقة الراوی، تحرز عن طریق القرائن الخارجیّة، فالقول بأنّ إحراز صحّة أحادیث هؤلاء کانت مستندة إلی وثاقة مشایخهم فقط، لیس له وجه، کالقول بأنّ إحرازها کان</w:t>
      </w:r>
    </w:p>
    <w:p>
      <w:pPr>
        <w:pStyle w:val="BookText"/>
      </w:pPr>
      <w:r>
        <w:rPr>
          <w:rFonts w:ascii="IRNazanin" w:hAnsi="IRNazanin" w:eastAsia="IRNazanin" w:cs="IRNazanin"/>
          <w:lang w:bidi="fa-IR"/>
          <w:color w:val="111111"/>
          <w:sz w:val="28"/>
          <w:szCs w:val="28"/>
          <w:rtl/>
        </w:rPr>
        <w:t xml:space="preserve">[شماره صفحه واقعی : 200]
</w:t>
      </w:r>
    </w:p>
    <w:p>
      <w:pPr>
        <w:sectPr>
          <w:footerReference w:type="default" r:id="rId18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مستندا إلی القرائن، بل الحقّ أنّ الاحراز کان مستندا إلی الوثاقة تارة و إلی القرائن اخری، و مع هذا العلم الاجمالی کیف یمکن إحراز وثاقة المشایخ بصحّة الأحادیث مع أنّها أعمّ منها.</w:t>
      </w:r>
    </w:p>
    <w:p>
      <w:pPr>
        <w:pStyle w:val="BookText"/>
      </w:pPr>
      <w:r>
        <w:rPr>
          <w:rFonts w:ascii="IRNazanin" w:hAnsi="IRNazanin" w:eastAsia="IRNazanin" w:cs="IRNazanin"/>
          <w:lang w:bidi="fa-IR"/>
          <w:color w:val="111111"/>
          <w:sz w:val="28"/>
          <w:szCs w:val="28"/>
          <w:rtl/>
        </w:rPr>
        <w:t xml:space="preserve">و ثانیا: إنّ أقصی ما یمکن أن یقال ما أفاده بعض الأجلّة من التفصیل بین الإکثار عن شیخ و عدمه، فإذا کثر نقل الثّقة عن رجل، و وصف أحادیث ذلک الثقة بالصحّة، یستکشف کون الإحراز مستندا إلی وثاقة الشیخ، إذ من البعید إحراز القرینة فی واحد واحد من المجموعة الکبیرة من الأحادیث، و هذا بخلاف ما إذا قلّ النّقل عنه و وصف أحادیثه بالصحّة، فمن الممکن جدّا إحراز القرینة فی العدد القلیل من الأحادیث.</w:t>
      </w:r>
    </w:p>
    <w:p>
      <w:pPr>
        <w:pStyle w:val="BookText"/>
      </w:pPr>
      <w:r>
        <w:rPr>
          <w:rFonts w:ascii="IRNazanin" w:hAnsi="IRNazanin" w:eastAsia="IRNazanin" w:cs="IRNazanin"/>
          <w:lang w:bidi="fa-IR"/>
          <w:color w:val="111111"/>
          <w:sz w:val="28"/>
          <w:szCs w:val="28"/>
          <w:rtl/>
        </w:rPr>
        <w:t xml:space="preserve">هذا کلّه لو قلنا بأنّ الصحّة من أوصاف المتن و المضمون، و إلاّ فمن الممکن القول بأنّها من أوصاف نفس النّقل و التحدّث و الحکایة، و أنّ المقصود منها کونه صدوقا فی النّقل و صادقا فی الحکایة فی کلّ ما یحکیه، کما ذکرناه فی أصحاب الإجماع فلاحظ.</w:t>
      </w:r>
    </w:p>
    <w:p>
      <w:pPr>
        <w:pStyle w:val="BookText"/>
      </w:pPr>
      <w:r>
        <w:rPr>
          <w:rFonts w:ascii="IRNazanin" w:hAnsi="IRNazanin" w:eastAsia="IRNazanin" w:cs="IRNazanin"/>
          <w:lang w:bidi="fa-IR"/>
          <w:color w:val="111111"/>
          <w:sz w:val="28"/>
          <w:szCs w:val="28"/>
          <w:rtl/>
        </w:rPr>
        <w:t xml:space="preserve">ثمّ إنّ الّذی یدفع الاحتمال الثانی للمعنی الثانی روایة أصحاب الإجماع عن الضعفاء و المطعونین، و معها کیف یمکن القول بأنّهم لا یروون إلاّ عن الثقة و إلیک بعض ما یدلّ علی المقصود.</w:t>
      </w:r>
    </w:p>
    <w:p>
      <w:pPr>
        <w:pStyle w:val="BookText"/>
      </w:pPr>
      <w:r>
        <w:rPr>
          <w:rFonts w:ascii="IRNazanin" w:hAnsi="IRNazanin" w:eastAsia="IRNazanin" w:cs="IRNazanin"/>
          <w:lang w:bidi="fa-IR"/>
          <w:color w:val="111111"/>
          <w:sz w:val="28"/>
          <w:szCs w:val="28"/>
          <w:rtl/>
        </w:rPr>
        <w:t xml:space="preserve">1 - روی الکلینی فی «باب من أوصی و علیه دین» و کذا فی «باب إقرار بعض الورثة بدین فی کتاب المیراث» عن جمیل بن درّاج، عن زکریّا بن یحیی الشعیری، عن الحکم بن عتیبة</w:t>
      </w:r>
      <w:r>
        <w:rPr>
          <w:rStyle w:val="FootnoteReference"/>
        </w:rPr>
        <w:footnoteReference w:id="5199"/>
      </w:r>
      <w:r>
        <w:rPr>
          <w:rFonts w:ascii="IRNazanin" w:hAnsi="IRNazanin" w:eastAsia="IRNazanin" w:cs="IRNazanin"/>
          <w:lang w:bidi="fa-IR"/>
          <w:color w:val="111111"/>
          <w:sz w:val="28"/>
          <w:szCs w:val="28"/>
          <w:rtl/>
        </w:rPr>
        <w:t xml:space="preserve">و قد ورد عدّة روایات فی ذمّه</w:t>
      </w:r>
      <w:r>
        <w:rPr>
          <w:rStyle w:val="FootnoteReference"/>
        </w:rPr>
        <w:footnoteReference w:id="52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حکی الشیخ فی الفهرس أنّ یونس بن عبد الرحمن روی کتاب</w:t>
      </w:r>
    </w:p>
    <w:p>
      <w:pPr>
        <w:pStyle w:val="BookText"/>
      </w:pPr>
      <w:r>
        <w:rPr>
          <w:rFonts w:ascii="IRNazanin" w:hAnsi="IRNazanin" w:eastAsia="IRNazanin" w:cs="IRNazanin"/>
          <w:lang w:bidi="fa-IR"/>
          <w:color w:val="111111"/>
          <w:sz w:val="28"/>
          <w:szCs w:val="28"/>
          <w:rtl/>
        </w:rPr>
        <w:t xml:space="preserve">[شماره صفحه واقعی : 201]
</w:t>
      </w:r>
    </w:p>
    <w:p>
      <w:pPr>
        <w:sectPr>
          <w:footerReference w:type="default" r:id="rId18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«عمرو بن جمیع الأزدی البصری قاضی الری»</w:t>
      </w:r>
      <w:r>
        <w:rPr>
          <w:rStyle w:val="FootnoteReference"/>
        </w:rPr>
        <w:footnoteReference w:id="5201"/>
      </w:r>
      <w:r>
        <w:rPr>
          <w:rFonts w:ascii="IRNazanin" w:hAnsi="IRNazanin" w:eastAsia="IRNazanin" w:cs="IRNazanin"/>
          <w:lang w:bidi="fa-IR"/>
          <w:color w:val="111111"/>
          <w:sz w:val="28"/>
          <w:szCs w:val="28"/>
          <w:rtl/>
        </w:rPr>
        <w:t xml:space="preserve">و قد ضعّفه الشیخ و النّجاشی</w:t>
      </w:r>
      <w:r>
        <w:rPr>
          <w:rStyle w:val="FootnoteReference"/>
        </w:rPr>
        <w:footnoteReference w:id="52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سیوافیک بعض القول فی ذلک عند الکلام فی أنّ ابن أبی عمیر و صفوان بن یحیی و أحمد بن محمّد بن أبی نصر البزنطی لا یروون و لا یرسلون إلاّ عن ثقة، فانتظر.</w:t>
      </w:r>
    </w:p>
    <w:p>
      <w:pPr>
        <w:pStyle w:val="BookText"/>
      </w:pPr>
      <w:r>
        <w:rPr>
          <w:rFonts w:ascii="IRNazanin" w:hAnsi="IRNazanin" w:eastAsia="IRNazanin" w:cs="IRNazanin"/>
          <w:lang w:bidi="fa-IR"/>
          <w:color w:val="111111"/>
          <w:sz w:val="28"/>
          <w:szCs w:val="28"/>
          <w:rtl/>
        </w:rPr>
        <w:t xml:space="preserve">[شماره صفحه واقعی : 202]
</w:t>
      </w:r>
    </w:p>
    <w:p>
      <w:pPr>
        <w:sectPr>
          <w:footerReference w:type="default" r:id="rId1858"/>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1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2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2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2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er2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669</w:t>
    </w:r>
  </w:p>
</w:ftr>
</file>

<file path=word/footer2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670</w:t>
    </w:r>
  </w:p>
</w:ftr>
</file>

<file path=word/footer2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671</w:t>
    </w:r>
  </w:p>
</w:ftr>
</file>

<file path=word/footer2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672</w:t>
    </w:r>
  </w:p>
</w:ftr>
</file>

<file path=word/footer2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673</w:t>
    </w:r>
  </w:p>
</w:ftr>
</file>

<file path=word/footer2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674</w:t>
    </w:r>
  </w:p>
</w:ftr>
</file>

<file path=word/footer2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675</w:t>
    </w:r>
  </w:p>
</w:ftr>
</file>

<file path=word/footer2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676</w:t>
    </w:r>
  </w:p>
</w:ftr>
</file>

<file path=word/footer2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677</w:t>
    </w:r>
  </w:p>
</w:ftr>
</file>

<file path=word/footer2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678</w:t>
    </w:r>
  </w:p>
</w:ftr>
</file>

<file path=word/footer20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679</w:t>
    </w:r>
  </w:p>
</w:ftr>
</file>

<file path=word/footer20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680</w:t>
    </w:r>
  </w:p>
</w:ftr>
</file>

<file path=word/footer20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681</w:t>
    </w:r>
  </w:p>
</w:ftr>
</file>

<file path=word/footer20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682</w:t>
    </w:r>
  </w:p>
</w:ftr>
</file>

<file path=word/footer20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683</w:t>
    </w:r>
  </w:p>
</w:ftr>
</file>

<file path=word/footer20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684</w:t>
    </w:r>
  </w:p>
</w:ftr>
</file>

<file path=word/footer20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685</w:t>
    </w:r>
  </w:p>
</w:ftr>
</file>

<file path=word/footer20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686</w:t>
    </w:r>
  </w:p>
</w:ftr>
</file>

<file path=word/footer20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687</w:t>
    </w:r>
  </w:p>
</w:ftr>
</file>

<file path=word/footer20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688</w:t>
    </w:r>
  </w:p>
</w:ftr>
</file>

<file path=word/footer20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689</w:t>
    </w:r>
  </w:p>
</w:ftr>
</file>

<file path=word/footer20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690</w:t>
    </w:r>
  </w:p>
</w:ftr>
</file>

<file path=word/footer20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691</w:t>
    </w:r>
  </w:p>
</w:ftr>
</file>

<file path=word/footer20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692</w:t>
    </w:r>
  </w:p>
</w:ftr>
</file>

<file path=word/footer20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693</w:t>
    </w:r>
  </w:p>
</w:ftr>
</file>

<file path=word/footer20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694</w:t>
    </w:r>
  </w:p>
</w:ftr>
</file>

<file path=word/footer20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695</w:t>
    </w:r>
  </w:p>
</w:ftr>
</file>

<file path=word/footer20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696</w:t>
    </w:r>
  </w:p>
</w:ftr>
</file>

<file path=word/footer20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697</w:t>
    </w:r>
  </w:p>
</w:ftr>
</file>

<file path=word/footer20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698</w:t>
    </w:r>
  </w:p>
</w:ftr>
</file>

<file path=word/footer21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699</w:t>
    </w:r>
  </w:p>
</w:ftr>
</file>

<file path=word/footer21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700</w:t>
    </w:r>
  </w:p>
</w:ftr>
</file>

<file path=word/footer21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701</w:t>
    </w:r>
  </w:p>
</w:ftr>
</file>

<file path=word/footer21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702</w:t>
    </w:r>
  </w:p>
</w:ftr>
</file>

<file path=word/footer21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703</w:t>
    </w:r>
  </w:p>
</w:ftr>
</file>

<file path=word/footer21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704</w:t>
    </w:r>
  </w:p>
</w:ftr>
</file>

<file path=word/footer21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705</w:t>
    </w:r>
  </w:p>
</w:ftr>
</file>

<file path=word/footer21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706</w:t>
    </w:r>
  </w:p>
</w:ftr>
</file>

<file path=word/footer21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707</w:t>
    </w:r>
  </w:p>
</w:ftr>
</file>

<file path=word/footer21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708</w:t>
    </w:r>
  </w:p>
</w:ftr>
</file>

<file path=word/footer21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709</w:t>
    </w:r>
  </w:p>
</w:ftr>
</file>

<file path=word/footer21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710</w:t>
    </w:r>
  </w:p>
</w:ftr>
</file>

<file path=word/footer21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711</w:t>
    </w:r>
  </w:p>
</w:ftr>
</file>

<file path=word/footer21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712</w:t>
    </w:r>
  </w:p>
</w:ftr>
</file>

<file path=word/footer21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713</w:t>
    </w:r>
  </w:p>
</w:ftr>
</file>

<file path=word/footer21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714</w:t>
    </w:r>
  </w:p>
</w:ftr>
</file>

<file path=word/footer21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715</w:t>
    </w:r>
  </w:p>
</w:ftr>
</file>

<file path=word/footer21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716</w:t>
    </w:r>
  </w:p>
</w:ftr>
</file>

<file path=word/footer21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717</w:t>
    </w:r>
  </w:p>
</w:ftr>
</file>

<file path=word/footer21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718</w:t>
    </w:r>
  </w:p>
</w:ftr>
</file>

<file path=word/footer21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719</w:t>
    </w:r>
  </w:p>
</w:ftr>
</file>

<file path=word/footer21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720</w:t>
    </w:r>
  </w:p>
</w:ftr>
</file>

<file path=word/footer21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721</w:t>
    </w:r>
  </w:p>
</w:ftr>
</file>

<file path=word/footer21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722</w:t>
    </w:r>
  </w:p>
</w:ftr>
</file>

<file path=word/footer21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723</w:t>
    </w:r>
  </w:p>
</w:ftr>
</file>

<file path=word/footer21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724</w:t>
    </w:r>
  </w:p>
</w:ftr>
</file>

<file path=word/footer21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725</w:t>
    </w:r>
  </w:p>
</w:ftr>
</file>

<file path=word/footer21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726</w:t>
    </w:r>
  </w:p>
</w:ftr>
</file>

<file path=word/footer21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727</w:t>
    </w:r>
  </w:p>
</w:ftr>
</file>

<file path=word/footer21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728</w:t>
    </w:r>
  </w:p>
</w:ftr>
</file>

<file path=word/footer21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729</w:t>
    </w:r>
  </w:p>
</w:ftr>
</file>

<file path=word/footer21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730</w:t>
    </w:r>
  </w:p>
</w:ftr>
</file>

<file path=word/footer21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731</w:t>
    </w:r>
  </w:p>
</w:ftr>
</file>

<file path=word/footer22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732</w:t>
    </w:r>
  </w:p>
</w:ftr>
</file>

<file path=word/footer22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733</w:t>
    </w:r>
  </w:p>
</w:ftr>
</file>

<file path=word/footer22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734</w:t>
    </w:r>
  </w:p>
</w:ftr>
</file>

<file path=word/footer22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735</w:t>
    </w:r>
  </w:p>
</w:ftr>
</file>

<file path=word/footer22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736</w:t>
    </w:r>
  </w:p>
</w:ftr>
</file>

<file path=word/footer22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737</w:t>
    </w:r>
  </w:p>
</w:ftr>
</file>

<file path=word/footer22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738</w:t>
    </w:r>
  </w:p>
</w:ftr>
</file>

<file path=word/footer22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739</w:t>
    </w:r>
  </w:p>
</w:ftr>
</file>

<file path=word/footer22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740</w:t>
    </w:r>
  </w:p>
</w:ftr>
</file>

<file path=word/footer22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741</w:t>
    </w:r>
  </w:p>
</w:ftr>
</file>

<file path=word/footer22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742</w:t>
    </w:r>
  </w:p>
</w:ftr>
</file>

<file path=word/footer22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743</w:t>
    </w:r>
  </w:p>
</w:ftr>
</file>

<file path=word/footer22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744</w:t>
    </w:r>
  </w:p>
</w:ftr>
</file>

<file path=word/footer22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745</w:t>
    </w:r>
  </w:p>
</w:ftr>
</file>

<file path=word/footer22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746</w:t>
    </w:r>
  </w:p>
</w:ftr>
</file>

<file path=word/footer22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747</w:t>
    </w:r>
  </w:p>
</w:ftr>
</file>

<file path=word/footer22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748</w:t>
    </w:r>
  </w:p>
</w:ftr>
</file>

<file path=word/footer22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749</w:t>
    </w:r>
  </w:p>
</w:ftr>
</file>

<file path=word/footer22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750</w:t>
    </w:r>
  </w:p>
</w:ftr>
</file>

<file path=word/footer22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751</w:t>
    </w:r>
  </w:p>
</w:ftr>
</file>

<file path=word/footer22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752</w:t>
    </w:r>
  </w:p>
</w:ftr>
</file>

<file path=word/footer22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753</w:t>
    </w:r>
  </w:p>
</w:ftr>
</file>

<file path=word/footer22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754</w:t>
    </w:r>
  </w:p>
</w:ftr>
</file>

<file path=word/footer22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755</w:t>
    </w:r>
  </w:p>
</w:ftr>
</file>

<file path=word/footer22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756</w:t>
    </w:r>
  </w:p>
</w:ftr>
</file>

<file path=word/footer22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757</w:t>
    </w:r>
  </w:p>
</w:ftr>
</file>

<file path=word/footer22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758</w:t>
    </w:r>
  </w:p>
</w:ftr>
</file>

<file path=word/footer22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759</w:t>
    </w:r>
  </w:p>
</w:ftr>
</file>

<file path=word/footer22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760</w:t>
    </w:r>
  </w:p>
</w:ftr>
</file>

<file path=word/footer22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761</w:t>
    </w:r>
  </w:p>
</w:ftr>
</file>

<file path=word/footer22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762</w:t>
    </w:r>
  </w:p>
</w:ftr>
</file>

<file path=word/footer22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763</w:t>
    </w:r>
  </w:p>
</w:ftr>
</file>

<file path=word/footer22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764</w:t>
    </w:r>
  </w:p>
</w:ftr>
</file>

<file path=word/footer22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765</w:t>
    </w:r>
  </w:p>
</w:ftr>
</file>

<file path=word/footer23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766</w:t>
    </w:r>
  </w:p>
</w:ftr>
</file>

<file path=word/footer23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767</w:t>
    </w:r>
  </w:p>
</w:ftr>
</file>

<file path=word/footer23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768</w:t>
    </w:r>
  </w:p>
</w:ftr>
</file>

<file path=word/footer23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769</w:t>
    </w:r>
  </w:p>
</w:ftr>
</file>

<file path=word/footer23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770</w:t>
    </w:r>
  </w:p>
</w:ftr>
</file>

<file path=word/footer23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771</w:t>
    </w:r>
  </w:p>
</w:ftr>
</file>

<file path=word/footer23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772</w:t>
    </w:r>
  </w:p>
</w:ftr>
</file>

<file path=word/footer23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773</w:t>
    </w:r>
  </w:p>
</w:ftr>
</file>

<file path=word/footer23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774</w:t>
    </w:r>
  </w:p>
</w:ftr>
</file>

<file path=word/footer23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775</w:t>
    </w:r>
  </w:p>
</w:ftr>
</file>

<file path=word/footer23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776</w:t>
    </w:r>
  </w:p>
</w:ftr>
</file>

<file path=word/footer23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777</w:t>
    </w:r>
  </w:p>
</w:ftr>
</file>

<file path=word/footer23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778</w:t>
    </w:r>
  </w:p>
</w:ftr>
</file>

<file path=word/footer23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779</w:t>
    </w:r>
  </w:p>
</w:ftr>
</file>

<file path=word/footer23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780</w:t>
    </w:r>
  </w:p>
</w:ftr>
</file>

<file path=word/footer23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781</w:t>
    </w:r>
  </w:p>
</w:ftr>
</file>

<file path=word/footer23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782</w:t>
    </w:r>
  </w:p>
</w:ftr>
</file>

<file path=word/footer23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783</w:t>
    </w:r>
  </w:p>
</w:ftr>
</file>

<file path=word/footer23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784</w:t>
    </w:r>
  </w:p>
</w:ftr>
</file>

<file path=word/footer23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785</w:t>
    </w:r>
  </w:p>
</w:ftr>
</file>

<file path=word/footer23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786</w:t>
    </w:r>
  </w:p>
</w:ftr>
</file>

<file path=word/footer23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787</w:t>
    </w:r>
  </w:p>
</w:ftr>
</file>

<file path=word/footer23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788</w:t>
    </w:r>
  </w:p>
</w:ftr>
</file>

<file path=word/footer23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789</w:t>
    </w:r>
  </w:p>
</w:ftr>
</file>

<file path=word/footer23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790</w:t>
    </w:r>
  </w:p>
</w:ftr>
</file>

<file path=word/footer23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791</w:t>
    </w:r>
  </w:p>
</w:ftr>
</file>

<file path=word/footer23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792</w:t>
    </w:r>
  </w:p>
</w:ftr>
</file>

<file path=word/footer23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793</w:t>
    </w:r>
  </w:p>
</w:ftr>
</file>

<file path=word/footer23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794</w:t>
    </w:r>
  </w:p>
</w:ftr>
</file>

<file path=word/footer23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795</w:t>
    </w:r>
  </w:p>
</w:ftr>
</file>

<file path=word/footer23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796</w:t>
    </w:r>
  </w:p>
</w:ftr>
</file>

<file path=word/footer23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797</w:t>
    </w:r>
  </w:p>
</w:ftr>
</file>

<file path=word/footer23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798</w:t>
    </w:r>
  </w:p>
</w:ftr>
</file>

<file path=word/footer24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799</w:t>
    </w:r>
  </w:p>
</w:ftr>
</file>

<file path=word/footer24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800</w:t>
    </w:r>
  </w:p>
</w:ftr>
</file>

<file path=word/footer24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801</w:t>
    </w:r>
  </w:p>
</w:ftr>
</file>

<file path=word/footer24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802</w:t>
    </w:r>
  </w:p>
</w:ftr>
</file>

<file path=word/footer24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803</w:t>
    </w:r>
  </w:p>
</w:ftr>
</file>

<file path=word/footer24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804</w:t>
    </w:r>
  </w:p>
</w:ftr>
</file>

<file path=word/footer24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805</w:t>
    </w:r>
  </w:p>
</w:ftr>
</file>

<file path=word/footer24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806</w:t>
    </w:r>
  </w:p>
</w:ftr>
</file>

<file path=word/footer24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807</w:t>
    </w:r>
  </w:p>
</w:ftr>
</file>

<file path=word/footer24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808</w:t>
    </w:r>
  </w:p>
</w:ftr>
</file>

<file path=word/footer24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809</w:t>
    </w:r>
  </w:p>
</w:ftr>
</file>

<file path=word/footer24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810</w:t>
    </w:r>
  </w:p>
</w:ftr>
</file>

<file path=word/footer24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811</w:t>
    </w:r>
  </w:p>
</w:ftr>
</file>

<file path=word/footer24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812</w:t>
    </w:r>
  </w:p>
</w:ftr>
</file>

<file path=word/footer24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813</w:t>
    </w:r>
  </w:p>
</w:ftr>
</file>

<file path=word/footer24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814</w:t>
    </w:r>
  </w:p>
</w:ftr>
</file>

<file path=word/footer24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815</w:t>
    </w:r>
  </w:p>
</w:ftr>
</file>

<file path=word/footer24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816</w:t>
    </w:r>
  </w:p>
</w:ftr>
</file>

<file path=word/footer24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817</w:t>
    </w:r>
  </w:p>
</w:ftr>
</file>

<file path=word/footer24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818</w:t>
    </w:r>
  </w:p>
</w:ftr>
</file>

<file path=word/footer24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819</w:t>
    </w:r>
  </w:p>
</w:ftr>
</file>

<file path=word/footer24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820</w:t>
    </w:r>
  </w:p>
</w:ftr>
</file>

<file path=word/footer24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821</w:t>
    </w:r>
  </w:p>
</w:ftr>
</file>

<file path=word/footer24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822</w:t>
    </w:r>
  </w:p>
</w:ftr>
</file>

<file path=word/footer24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823</w:t>
    </w:r>
  </w:p>
</w:ftr>
</file>

<file path=word/footer24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824</w:t>
    </w:r>
  </w:p>
</w:ftr>
</file>

<file path=word/footer24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825</w:t>
    </w:r>
  </w:p>
</w:ftr>
</file>

<file path=word/footer24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826</w:t>
    </w:r>
  </w:p>
</w:ftr>
</file>

<file path=word/footer24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827</w:t>
    </w:r>
  </w:p>
</w:ftr>
</file>

<file path=word/footer24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828</w:t>
    </w:r>
  </w:p>
</w:ftr>
</file>

<file path=word/footer24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829</w:t>
    </w:r>
  </w:p>
</w:ftr>
</file>

<file path=word/footer24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830</w:t>
    </w:r>
  </w:p>
</w:ftr>
</file>

<file path=word/footer24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831</w:t>
    </w:r>
  </w:p>
</w:ftr>
</file>

<file path=word/footer25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832</w:t>
    </w:r>
  </w:p>
</w:ftr>
</file>

<file path=word/footer25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833</w:t>
    </w:r>
  </w:p>
</w:ftr>
</file>

<file path=word/footer25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834</w:t>
    </w:r>
  </w:p>
</w:ftr>
</file>

<file path=word/footer25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835</w:t>
    </w:r>
  </w:p>
</w:ftr>
</file>

<file path=word/footer25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836</w:t>
    </w:r>
  </w:p>
</w:ftr>
</file>

<file path=word/footer25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837</w:t>
    </w:r>
  </w:p>
</w:ftr>
</file>

<file path=word/footer25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838</w:t>
    </w:r>
  </w:p>
</w:ftr>
</file>

<file path=word/footer25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839</w:t>
    </w:r>
  </w:p>
</w:ftr>
</file>

<file path=word/footer25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840</w:t>
    </w:r>
  </w:p>
</w:ftr>
</file>

<file path=word/footer25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841</w:t>
    </w:r>
  </w:p>
</w:ftr>
</file>

<file path=word/footer25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842</w:t>
    </w:r>
  </w:p>
</w:ftr>
</file>

<file path=word/footer25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843</w:t>
    </w:r>
  </w:p>
</w:ftr>
</file>

<file path=word/footer25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844</w:t>
    </w:r>
  </w:p>
</w:ftr>
</file>

<file path=word/footer25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845</w:t>
    </w:r>
  </w:p>
</w:ftr>
</file>

<file path=word/footer25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846</w:t>
    </w:r>
  </w:p>
</w:ftr>
</file>

<file path=word/footer25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847</w:t>
    </w:r>
  </w:p>
</w:ftr>
</file>

<file path=word/footer25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848</w:t>
    </w:r>
  </w:p>
</w:ftr>
</file>

<file path=word/footer25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849</w:t>
    </w:r>
  </w:p>
</w:ftr>
</file>

<file path=word/footer25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850</w:t>
    </w:r>
  </w:p>
</w:ftr>
</file>

<file path=word/footer25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851</w:t>
    </w:r>
  </w:p>
</w:ftr>
</file>

<file path=word/footer25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852</w:t>
    </w:r>
  </w:p>
</w:ftr>
</file>

<file path=word/footer25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853</w:t>
    </w:r>
  </w:p>
</w:ftr>
</file>

<file path=word/footer25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854</w:t>
    </w:r>
  </w:p>
</w:ftr>
</file>

<file path=word/footer25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855</w:t>
    </w:r>
  </w:p>
</w:ftr>
</file>

<file path=word/footer25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856</w:t>
    </w:r>
  </w:p>
</w:ftr>
</file>

<file path=word/footer25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857</w:t>
    </w:r>
  </w:p>
</w:ftr>
</file>

<file path=word/footer25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858</w:t>
    </w:r>
  </w:p>
</w:ftr>
</file>

<file path=word/footer25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859</w:t>
    </w:r>
  </w:p>
</w:ftr>
</file>

<file path=word/footer25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860</w:t>
    </w:r>
  </w:p>
</w:ftr>
</file>

<file path=word/footer25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861</w:t>
    </w:r>
  </w:p>
</w:ftr>
</file>

<file path=word/footer25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862</w:t>
    </w:r>
  </w:p>
</w:ftr>
</file>

<file path=word/footer25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863</w:t>
    </w:r>
  </w:p>
</w:ftr>
</file>

<file path=word/footer25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864</w:t>
    </w:r>
  </w:p>
</w:ftr>
</file>

<file path=word/footer25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865</w:t>
    </w:r>
  </w:p>
</w:ftr>
</file>

<file path=word/footer26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866</w:t>
    </w:r>
  </w:p>
</w:ftr>
</file>

<file path=word/footer26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867</w:t>
    </w:r>
  </w:p>
</w:ftr>
</file>

<file path=word/footer26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868</w:t>
    </w:r>
  </w:p>
</w:ftr>
</file>

<file path=word/footer26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869</w:t>
    </w:r>
  </w:p>
</w:ftr>
</file>

<file path=word/footer26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870</w:t>
    </w:r>
  </w:p>
</w:ftr>
</file>

<file path=word/footer26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871</w:t>
    </w:r>
  </w:p>
</w:ftr>
</file>

<file path=word/footer26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872</w:t>
    </w:r>
  </w:p>
</w:ftr>
</file>

<file path=word/footer26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873</w:t>
    </w:r>
  </w:p>
</w:ftr>
</file>

<file path=word/footer26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874</w:t>
    </w:r>
  </w:p>
</w:ftr>
</file>

<file path=word/footer26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875</w:t>
    </w:r>
  </w:p>
</w:ftr>
</file>

<file path=word/footer26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876</w:t>
    </w:r>
  </w:p>
</w:ftr>
</file>

<file path=word/footer26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877</w:t>
    </w:r>
  </w:p>
</w:ftr>
</file>

<file path=word/footer26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878</w:t>
    </w:r>
  </w:p>
</w:ftr>
</file>

<file path=word/footer26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879</w:t>
    </w:r>
  </w:p>
</w:ftr>
</file>

<file path=word/footer26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880</w:t>
    </w:r>
  </w:p>
</w:ftr>
</file>

<file path=word/footer26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881</w:t>
    </w:r>
  </w:p>
</w:ftr>
</file>

<file path=word/footer26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882</w:t>
    </w:r>
  </w:p>
</w:ftr>
</file>

<file path=word/footer26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883</w:t>
    </w:r>
  </w:p>
</w:ftr>
</file>

<file path=word/footer26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884</w:t>
    </w:r>
  </w:p>
</w:ftr>
</file>

<file path=word/footer26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885</w:t>
    </w:r>
  </w:p>
</w:ftr>
</file>

<file path=word/footer26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886</w:t>
    </w:r>
  </w:p>
</w:ftr>
</file>

<file path=word/footer26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887</w:t>
    </w:r>
  </w:p>
</w:ftr>
</file>

<file path=word/footer26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888</w:t>
    </w:r>
  </w:p>
</w:ftr>
</file>

<file path=word/footer26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889</w:t>
    </w:r>
  </w:p>
</w:ftr>
</file>

<file path=word/footer26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890</w:t>
    </w:r>
  </w:p>
</w:ftr>
</file>

<file path=word/footer26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891</w:t>
    </w:r>
  </w:p>
</w:ftr>
</file>

<file path=word/footer26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892</w:t>
    </w:r>
  </w:p>
</w:ftr>
</file>

<file path=word/footer26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893</w:t>
    </w:r>
  </w:p>
</w:ftr>
</file>

<file path=word/footer26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894</w:t>
    </w:r>
  </w:p>
</w:ftr>
</file>

<file path=word/footer26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895</w:t>
    </w:r>
  </w:p>
</w:ftr>
</file>

<file path=word/footer26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896</w:t>
    </w:r>
  </w:p>
</w:ftr>
</file>

<file path=word/footer26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897</w:t>
    </w:r>
  </w:p>
</w:ftr>
</file>

<file path=word/footer26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898</w:t>
    </w:r>
  </w:p>
</w:ftr>
</file>

<file path=word/footer27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899</w:t>
    </w:r>
  </w:p>
</w:ftr>
</file>

<file path=word/footer27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900</w:t>
    </w:r>
  </w:p>
</w:ftr>
</file>

<file path=word/footer27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901</w:t>
    </w:r>
  </w:p>
</w:ftr>
</file>

<file path=word/footer27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902</w:t>
    </w:r>
  </w:p>
</w:ftr>
</file>

<file path=word/footer27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903</w:t>
    </w:r>
  </w:p>
</w:ftr>
</file>

<file path=word/footer27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904</w:t>
    </w:r>
  </w:p>
</w:ftr>
</file>

<file path=word/footer27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905</w:t>
    </w:r>
  </w:p>
</w:ftr>
</file>

<file path=word/footer27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906</w:t>
    </w:r>
  </w:p>
</w:ftr>
</file>

<file path=word/footer27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907</w:t>
    </w:r>
  </w:p>
</w:ftr>
</file>

<file path=word/footer27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908</w:t>
    </w:r>
  </w:p>
</w:ftr>
</file>

<file path=word/footer27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909</w:t>
    </w:r>
  </w:p>
</w:ftr>
</file>

<file path=word/footer27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910</w:t>
    </w:r>
  </w:p>
</w:ftr>
</file>

<file path=word/footer27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911</w:t>
    </w:r>
  </w:p>
</w:ftr>
</file>

<file path=word/footer27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912</w:t>
    </w:r>
  </w:p>
</w:ftr>
</file>

<file path=word/footer27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913</w:t>
    </w:r>
  </w:p>
</w:ftr>
</file>

<file path=word/footer27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914</w:t>
    </w:r>
  </w:p>
</w:ftr>
</file>

<file path=word/footer27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915</w:t>
    </w:r>
  </w:p>
</w:ftr>
</file>

<file path=word/footer27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916</w:t>
    </w:r>
  </w:p>
</w:ftr>
</file>

<file path=word/footer27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917</w:t>
    </w:r>
  </w:p>
</w:ftr>
</file>

<file path=word/footer27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918</w:t>
    </w:r>
  </w:p>
</w:ftr>
</file>

<file path=word/footer27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919</w:t>
    </w:r>
  </w:p>
</w:ftr>
</file>

<file path=word/footer27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920</w:t>
    </w:r>
  </w:p>
</w:ftr>
</file>

<file path=word/footer27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921</w:t>
    </w:r>
  </w:p>
</w:ftr>
</file>

<file path=word/footer27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922</w:t>
    </w:r>
  </w:p>
</w:ftr>
</file>

<file path=word/footer27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923</w:t>
    </w:r>
  </w:p>
</w:ftr>
</file>

<file path=word/footer27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924</w:t>
    </w:r>
  </w:p>
</w:ftr>
</file>

<file path=word/footer27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925</w:t>
    </w:r>
  </w:p>
</w:ftr>
</file>

<file path=word/footer27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926</w:t>
    </w:r>
  </w:p>
</w:ftr>
</file>

<file path=word/footer27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927</w:t>
    </w:r>
  </w:p>
</w:ftr>
</file>

<file path=word/footer27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928</w:t>
    </w:r>
  </w:p>
</w:ftr>
</file>

<file path=word/footer27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929</w:t>
    </w:r>
  </w:p>
</w:ftr>
</file>

<file path=word/footer27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930</w:t>
    </w:r>
  </w:p>
</w:ftr>
</file>

<file path=word/footer27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931</w:t>
    </w:r>
  </w:p>
</w:ftr>
</file>

<file path=word/footer28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932</w:t>
    </w:r>
  </w:p>
</w:ftr>
</file>

<file path=word/footer28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933</w:t>
    </w:r>
  </w:p>
</w:ftr>
</file>

<file path=word/footer28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934</w:t>
    </w:r>
  </w:p>
</w:ftr>
</file>

<file path=word/footer28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935</w:t>
    </w:r>
  </w:p>
</w:ftr>
</file>

<file path=word/footer28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936</w:t>
    </w:r>
  </w:p>
</w:ftr>
</file>

<file path=word/footer28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937</w:t>
    </w:r>
  </w:p>
</w:ftr>
</file>

<file path=word/footer28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938</w:t>
    </w:r>
  </w:p>
</w:ftr>
</file>

<file path=word/footer28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939</w:t>
    </w:r>
  </w:p>
</w:ftr>
</file>

<file path=word/footer28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940</w:t>
    </w:r>
  </w:p>
</w:ftr>
</file>

<file path=word/footer28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941</w:t>
    </w:r>
  </w:p>
</w:ftr>
</file>

<file path=word/footer28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942</w:t>
    </w:r>
  </w:p>
</w:ftr>
</file>

<file path=word/footer28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943</w:t>
    </w:r>
  </w:p>
</w:ftr>
</file>

<file path=word/footer28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944</w:t>
    </w:r>
  </w:p>
</w:ftr>
</file>

<file path=word/footer28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945</w:t>
    </w:r>
  </w:p>
</w:ftr>
</file>

<file path=word/footer28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946</w:t>
    </w:r>
  </w:p>
</w:ftr>
</file>

<file path=word/footer28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947</w:t>
    </w:r>
  </w:p>
</w:ftr>
</file>

<file path=word/footer28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948</w:t>
    </w:r>
  </w:p>
</w:ftr>
</file>

<file path=word/footer28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949</w:t>
    </w:r>
  </w:p>
</w:ftr>
</file>

<file path=word/footer28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950</w:t>
    </w:r>
  </w:p>
</w:ftr>
</file>

<file path=word/footer28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951</w:t>
    </w:r>
  </w:p>
</w:ftr>
</file>

<file path=word/footer28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952</w:t>
    </w:r>
  </w:p>
</w:ftr>
</file>

<file path=word/footer28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953</w:t>
    </w:r>
  </w:p>
</w:ftr>
</file>

<file path=word/footer28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954</w:t>
    </w:r>
  </w:p>
</w:ftr>
</file>

<file path=word/footer28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955</w:t>
    </w:r>
  </w:p>
</w:ftr>
</file>

<file path=word/footer28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956</w:t>
    </w:r>
  </w:p>
</w:ftr>
</file>

<file path=word/footer28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957</w:t>
    </w:r>
  </w:p>
</w:ftr>
</file>

<file path=word/footer28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958</w:t>
    </w:r>
  </w:p>
</w:ftr>
</file>

<file path=word/footer28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959</w:t>
    </w:r>
  </w:p>
</w:ftr>
</file>

<file path=word/footer28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960</w:t>
    </w:r>
  </w:p>
</w:ftr>
</file>

<file path=word/footer28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961</w:t>
    </w:r>
  </w:p>
</w:ftr>
</file>

<file path=word/footer28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962</w:t>
    </w:r>
  </w:p>
</w:ftr>
</file>

<file path=word/footer28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963</w:t>
    </w:r>
  </w:p>
</w:ftr>
</file>

<file path=word/footer28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964</w:t>
    </w:r>
  </w:p>
</w:ftr>
</file>

<file path=word/footer28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965</w:t>
    </w:r>
  </w:p>
</w:ftr>
</file>

<file path=word/footer29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966</w:t>
    </w:r>
  </w:p>
</w:ftr>
</file>

<file path=word/footer29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967</w:t>
    </w:r>
  </w:p>
</w:ftr>
</file>

<file path=word/footer29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968</w:t>
    </w:r>
  </w:p>
</w:ftr>
</file>

<file path=word/footer29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969</w:t>
    </w:r>
  </w:p>
</w:ftr>
</file>

<file path=word/footer29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970</w:t>
    </w:r>
  </w:p>
</w:ftr>
</file>

<file path=word/footer29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971</w:t>
    </w:r>
  </w:p>
</w:ftr>
</file>

<file path=word/footer29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972</w:t>
    </w:r>
  </w:p>
</w:ftr>
</file>

<file path=word/footer29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973</w:t>
    </w:r>
  </w:p>
</w:ftr>
</file>

<file path=word/footer29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974</w:t>
    </w:r>
  </w:p>
</w:ftr>
</file>

<file path=word/footer29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975</w:t>
    </w:r>
  </w:p>
</w:ftr>
</file>

<file path=word/footer29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976</w:t>
    </w:r>
  </w:p>
</w:ftr>
</file>

<file path=word/footer29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977</w:t>
    </w:r>
  </w:p>
</w:ftr>
</file>

<file path=word/footer29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978</w:t>
    </w:r>
  </w:p>
</w:ftr>
</file>

<file path=word/footer29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979</w:t>
    </w:r>
  </w:p>
</w:ftr>
</file>

<file path=word/footer29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980</w:t>
    </w:r>
  </w:p>
</w:ftr>
</file>

<file path=word/footer29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981</w:t>
    </w:r>
  </w:p>
</w:ftr>
</file>

<file path=word/footer29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982</w:t>
    </w:r>
  </w:p>
</w:ftr>
</file>

<file path=word/footer29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983</w:t>
    </w:r>
  </w:p>
</w:ftr>
</file>

<file path=word/footer29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984</w:t>
    </w:r>
  </w:p>
</w:ftr>
</file>

<file path=word/footer29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985</w:t>
    </w:r>
  </w:p>
</w:ftr>
</file>

<file path=word/footer29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986</w:t>
    </w:r>
  </w:p>
</w:ftr>
</file>

<file path=word/footer29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987</w:t>
    </w:r>
  </w:p>
</w:ftr>
</file>

<file path=word/footer29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988</w:t>
    </w:r>
  </w:p>
</w:ftr>
</file>

<file path=word/footer29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989</w:t>
    </w:r>
  </w:p>
</w:ftr>
</file>

<file path=word/footer29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990</w:t>
    </w:r>
  </w:p>
</w:ftr>
</file>

<file path=word/footer29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991</w:t>
    </w:r>
  </w:p>
</w:ftr>
</file>

<file path=word/footer29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992</w:t>
    </w:r>
  </w:p>
</w:ftr>
</file>

<file path=word/footer29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993</w:t>
    </w:r>
  </w:p>
</w:ftr>
</file>

<file path=word/footer29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994</w:t>
    </w:r>
  </w:p>
</w:ftr>
</file>

<file path=word/footer29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995</w:t>
    </w:r>
  </w:p>
</w:ftr>
</file>

<file path=word/footer29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996</w:t>
    </w:r>
  </w:p>
</w:ftr>
</file>

<file path=word/footer29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997</w:t>
    </w:r>
  </w:p>
</w:ftr>
</file>

<file path=word/footer29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998</w:t>
    </w:r>
  </w:p>
</w:ftr>
</file>

<file path=word/footer30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999</w:t>
    </w:r>
  </w:p>
</w:ftr>
</file>

<file path=word/footer30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1000</w:t>
    </w:r>
  </w:p>
</w:ftr>
</file>

<file path=word/footer30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1001</w:t>
    </w:r>
  </w:p>
</w:ftr>
</file>

<file path=word/footer30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1002</w:t>
    </w:r>
  </w:p>
</w:ftr>
</file>

<file path=word/footer30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1003</w:t>
    </w:r>
  </w:p>
</w:ftr>
</file>

<file path=word/footer30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1004</w:t>
    </w:r>
  </w:p>
</w:ftr>
</file>

<file path=word/footer30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1005</w:t>
    </w:r>
  </w:p>
</w:ftr>
</file>

<file path=word/footer30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1006</w:t>
    </w:r>
  </w:p>
</w:ftr>
</file>

<file path=word/footer30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1007</w:t>
    </w:r>
  </w:p>
</w:ftr>
</file>

<file path=word/footer30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1008</w:t>
    </w:r>
  </w:p>
</w:ftr>
</file>

<file path=word/footer30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1009</w:t>
    </w:r>
  </w:p>
</w:ftr>
</file>

<file path=word/footer30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1010</w:t>
    </w:r>
  </w:p>
</w:ftr>
</file>

<file path=word/footer30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1011</w:t>
    </w:r>
  </w:p>
</w:ftr>
</file>

<file path=word/footer30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1012</w:t>
    </w:r>
  </w:p>
</w:ftr>
</file>

<file path=word/footer30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1013</w:t>
    </w:r>
  </w:p>
</w:ftr>
</file>

<file path=word/footer30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1014</w:t>
    </w:r>
  </w:p>
</w:ftr>
</file>

<file path=word/footer30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1015</w:t>
    </w:r>
  </w:p>
</w:ftr>
</file>

<file path=word/footer30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1016</w:t>
    </w:r>
  </w:p>
</w:ftr>
</file>

<file path=word/footer30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1017</w:t>
    </w:r>
  </w:p>
</w:ftr>
</file>

<file path=word/footer30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1018</w:t>
    </w:r>
  </w:p>
</w:ftr>
</file>

<file path=word/footer30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1019</w:t>
    </w:r>
  </w:p>
</w:ftr>
</file>

<file path=word/footer30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1020</w:t>
    </w:r>
  </w:p>
</w:ftr>
</file>

<file path=word/footer30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1021</w:t>
    </w:r>
  </w:p>
</w:ftr>
</file>

<file path=word/footer30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1022</w:t>
    </w:r>
  </w:p>
</w:ftr>
</file>

<file path=word/footer30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1023</w:t>
    </w:r>
  </w:p>
</w:ftr>
</file>

<file path=word/footer30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1024</w:t>
    </w:r>
  </w:p>
</w:ftr>
</file>

<file path=word/footer30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1025</w:t>
    </w:r>
  </w:p>
</w:ftr>
</file>

<file path=word/footer30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1026</w:t>
    </w:r>
  </w:p>
</w:ftr>
</file>

<file path=word/footer30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1027</w:t>
    </w:r>
  </w:p>
</w:ftr>
</file>

<file path=word/footer30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1028</w:t>
    </w:r>
  </w:p>
</w:ftr>
</file>

<file path=word/footer30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1029</w:t>
    </w:r>
  </w:p>
</w:ftr>
</file>

<file path=word/footer30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1030</w:t>
    </w:r>
  </w:p>
</w:ftr>
</file>

<file path=word/footer30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1031</w:t>
    </w:r>
  </w:p>
</w:ftr>
</file>

<file path=word/footer3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1032</w:t>
    </w:r>
  </w:p>
</w:ftr>
</file>

<file path=word/footer3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1033</w:t>
    </w:r>
  </w:p>
</w:ftr>
</file>

<file path=word/footer3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1034</w:t>
    </w:r>
  </w:p>
</w:ftr>
</file>

<file path=word/footer3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1035</w:t>
    </w:r>
  </w:p>
</w:ftr>
</file>

<file path=word/footer3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1036</w:t>
    </w:r>
  </w:p>
</w:ftr>
</file>

<file path=word/footer3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1037</w:t>
    </w:r>
  </w:p>
</w:ftr>
</file>

<file path=word/footer3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1038</w:t>
    </w:r>
  </w:p>
</w:ftr>
</file>

<file path=word/footer3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1039</w:t>
    </w:r>
  </w:p>
</w:ftr>
</file>

<file path=word/footer3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1040</w:t>
    </w:r>
  </w:p>
</w:ftr>
</file>

<file path=word/footer3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1041</w:t>
    </w:r>
  </w:p>
</w:ftr>
</file>

<file path=word/footer3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1042</w:t>
    </w:r>
  </w:p>
</w:ftr>
</file>

<file path=word/footer3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1043</w:t>
    </w:r>
  </w:p>
</w:ftr>
</file>

<file path=word/footer3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1044</w:t>
    </w:r>
  </w:p>
</w:ftr>
</file>

<file path=word/footer3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1045</w:t>
    </w:r>
  </w:p>
</w:ftr>
</file>

<file path=word/footer3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1046</w:t>
    </w:r>
  </w:p>
</w:ftr>
</file>

<file path=word/footer3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1047</w:t>
    </w:r>
  </w:p>
</w:ftr>
</file>

<file path=word/footer3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1048</w:t>
    </w:r>
  </w:p>
</w:ftr>
</file>

<file path=word/footer3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1049</w:t>
    </w:r>
  </w:p>
</w:ftr>
</file>

<file path=word/footer3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1050</w:t>
    </w:r>
  </w:p>
</w:ftr>
</file>

<file path=word/footer3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1051</w:t>
    </w:r>
  </w:p>
</w:ftr>
</file>

<file path=word/footer3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1052</w:t>
    </w:r>
  </w:p>
</w:ftr>
</file>

<file path=word/footer3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1053</w:t>
    </w:r>
  </w:p>
</w:ftr>
</file>

<file path=word/footer3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1054</w:t>
    </w:r>
  </w:p>
</w:ftr>
</file>

<file path=word/footer3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1055</w:t>
    </w:r>
  </w:p>
</w:ftr>
</file>

<file path=word/footer3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1056</w:t>
    </w:r>
  </w:p>
</w:ftr>
</file>

<file path=word/footer3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1057</w:t>
    </w:r>
  </w:p>
</w:ftr>
</file>

<file path=word/footer3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1058</w:t>
    </w:r>
  </w:p>
</w:ftr>
</file>

<file path=word/footer3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1059</w:t>
    </w:r>
  </w:p>
</w:ftr>
</file>

<file path=word/footer3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1060</w:t>
    </w:r>
  </w:p>
</w:ftr>
</file>

<file path=word/footer3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1061</w:t>
    </w:r>
  </w:p>
</w:ftr>
</file>

<file path=word/footer3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1062</w:t>
    </w:r>
  </w:p>
</w:ftr>
</file>

<file path=word/footer3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1063</w:t>
    </w:r>
  </w:p>
</w:ftr>
</file>

<file path=word/footer3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1064</w:t>
    </w:r>
  </w:p>
</w:ftr>
</file>

<file path=word/footer3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1065</w:t>
    </w:r>
  </w:p>
</w:ftr>
</file>

<file path=word/footer3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1066</w:t>
    </w:r>
  </w:p>
</w:ftr>
</file>

<file path=word/footer3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1067</w:t>
    </w:r>
  </w:p>
</w:ftr>
</file>

<file path=word/footer3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1068</w:t>
    </w:r>
  </w:p>
</w:ftr>
</file>

<file path=word/footer3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1069</w:t>
    </w:r>
  </w:p>
</w:ftr>
</file>

<file path=word/footer3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1070</w:t>
    </w:r>
  </w:p>
</w:ftr>
</file>

<file path=word/footer3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1071</w:t>
    </w:r>
  </w:p>
</w:ftr>
</file>

<file path=word/footer3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1072</w:t>
    </w:r>
  </w:p>
</w:ftr>
</file>

<file path=word/footer3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1073</w:t>
    </w:r>
  </w:p>
</w:ftr>
</file>

<file path=word/footer3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1074</w:t>
    </w:r>
  </w:p>
</w:ftr>
</file>

<file path=word/footer3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1075</w:t>
    </w:r>
  </w:p>
</w:ftr>
</file>

<file path=word/footer3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1076</w:t>
    </w:r>
  </w:p>
</w:ftr>
</file>

<file path=word/footer3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1077</w:t>
    </w:r>
  </w:p>
</w:ftr>
</file>

<file path=word/footer3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1078</w:t>
    </w:r>
  </w:p>
</w:ftr>
</file>

<file path=word/footer3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1079</w:t>
    </w:r>
  </w:p>
</w:ftr>
</file>

<file path=word/footer3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1080</w:t>
    </w:r>
  </w:p>
</w:ftr>
</file>

<file path=word/footer3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1081</w:t>
    </w:r>
  </w:p>
</w:ftr>
</file>

<file path=word/footer3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1082</w:t>
    </w:r>
  </w:p>
</w:ftr>
</file>

<file path=word/footer3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1083</w:t>
    </w:r>
  </w:p>
</w:ftr>
</file>

<file path=word/footer3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1084</w:t>
    </w:r>
  </w:p>
</w:ftr>
</file>

<file path=word/footer3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1085</w:t>
    </w:r>
  </w:p>
</w:ftr>
</file>

<file path=word/footer3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1086</w:t>
    </w:r>
  </w:p>
</w:ftr>
</file>

<file path=word/footer3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1087</w:t>
    </w:r>
  </w:p>
</w:ftr>
</file>

<file path=word/footer3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1088</w:t>
    </w:r>
  </w:p>
</w:ftr>
</file>

<file path=word/footer3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1089</w:t>
    </w:r>
  </w:p>
</w:ftr>
</file>

<file path=word/footer3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1090</w:t>
    </w:r>
  </w:p>
</w:ftr>
</file>

<file path=word/footer3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1091</w:t>
    </w:r>
  </w:p>
</w:ftr>
</file>

<file path=word/footer3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1092</w:t>
    </w:r>
  </w:p>
</w:ftr>
</file>

<file path=word/footer3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1093</w:t>
    </w:r>
  </w:p>
</w:ftr>
</file>

<file path=word/footer3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1094</w:t>
    </w:r>
  </w:p>
</w:ftr>
</file>

<file path=word/footer3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1095</w:t>
    </w:r>
  </w:p>
</w:ftr>
</file>

<file path=word/footer3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1096</w:t>
    </w:r>
  </w:p>
</w:ftr>
</file>

<file path=word/footer3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1097</w:t>
    </w:r>
  </w:p>
</w:ftr>
</file>

<file path=word/footer3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1098</w:t>
    </w:r>
  </w:p>
</w:ftr>
</file>

<file path=word/footer3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1099</w:t>
    </w:r>
  </w:p>
</w:ftr>
</file>

<file path=word/footer3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1100</w:t>
    </w:r>
  </w:p>
</w:ftr>
</file>

<file path=word/footer3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1101</w:t>
    </w:r>
  </w:p>
</w:ftr>
</file>

<file path=word/footer3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1102</w:t>
    </w:r>
  </w:p>
</w:ftr>
</file>

<file path=word/footer3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1103</w:t>
    </w:r>
  </w:p>
</w:ftr>
</file>

<file path=word/footer3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1104</w:t>
    </w:r>
  </w:p>
</w:ftr>
</file>

<file path=word/footer3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1105</w:t>
    </w:r>
  </w:p>
</w:ftr>
</file>

<file path=word/footer3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1106</w:t>
    </w:r>
  </w:p>
</w:ftr>
</file>

<file path=word/footer3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1107</w:t>
    </w:r>
  </w:p>
</w:ftr>
</file>

<file path=word/footer3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1108</w:t>
    </w:r>
  </w:p>
</w:ftr>
</file>

<file path=word/footer3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1109</w:t>
    </w:r>
  </w:p>
</w:ftr>
</file>

<file path=word/footer3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1110</w:t>
    </w:r>
  </w:p>
</w:ftr>
</file>

<file path=word/footer3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1111</w:t>
    </w:r>
  </w:p>
</w:ftr>
</file>

<file path=word/footer3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1112</w:t>
    </w:r>
  </w:p>
</w:ftr>
</file>

<file path=word/footer3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1113</w:t>
    </w:r>
  </w:p>
</w:ftr>
</file>

<file path=word/footer3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1114</w:t>
    </w:r>
  </w:p>
</w:ftr>
</file>

<file path=word/footer3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1115</w:t>
    </w:r>
  </w:p>
</w:ftr>
</file>

<file path=word/footer3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1116</w:t>
    </w:r>
  </w:p>
</w:ftr>
</file>

<file path=word/footer3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1117</w:t>
    </w:r>
  </w:p>
</w:ftr>
</file>

<file path=word/footer3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1118</w:t>
    </w:r>
  </w:p>
</w:ftr>
</file>

<file path=word/footer3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1119</w:t>
    </w:r>
  </w:p>
</w:ftr>
</file>

<file path=word/footer3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1120</w:t>
    </w:r>
  </w:p>
</w:ftr>
</file>

<file path=word/footer3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1121</w:t>
    </w:r>
  </w:p>
</w:ftr>
</file>

<file path=word/footer3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1122</w:t>
    </w:r>
  </w:p>
</w:ftr>
</file>

<file path=word/footer3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1123</w:t>
    </w:r>
  </w:p>
</w:ftr>
</file>

<file path=word/footer3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1124</w:t>
    </w:r>
  </w:p>
</w:ftr>
</file>

<file path=word/footer3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1125</w:t>
    </w:r>
  </w:p>
</w:ftr>
</file>

<file path=word/footer3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1126</w:t>
    </w:r>
  </w:p>
</w:ftr>
</file>

<file path=word/footer3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1127</w:t>
    </w:r>
  </w:p>
</w:ftr>
</file>

<file path=word/footer3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1128</w:t>
    </w:r>
  </w:p>
</w:ftr>
</file>

<file path=word/footer3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1129</w:t>
    </w:r>
  </w:p>
</w:ftr>
</file>

<file path=word/footer3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1130</w:t>
    </w:r>
  </w:p>
</w:ftr>
</file>

<file path=word/footer3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1131</w:t>
    </w:r>
  </w:p>
</w:ftr>
</file>

<file path=word/footer3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1132</w:t>
    </w:r>
  </w:p>
</w:ftr>
</file>

<file path=word/footer3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1133</w:t>
    </w:r>
  </w:p>
</w:ftr>
</file>

<file path=word/footer3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1134</w:t>
    </w:r>
  </w:p>
</w:ftr>
</file>

<file path=word/footer3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1135</w:t>
    </w:r>
  </w:p>
</w:ftr>
</file>

<file path=word/footer3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1136</w:t>
    </w:r>
  </w:p>
</w:ftr>
</file>

<file path=word/footer3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1137</w:t>
    </w:r>
  </w:p>
</w:ftr>
</file>

<file path=word/footer3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1138</w:t>
    </w:r>
  </w:p>
</w:ftr>
</file>

<file path=word/footer3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1139</w:t>
    </w:r>
  </w:p>
</w:ftr>
</file>

<file path=word/footer3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1140</w:t>
    </w:r>
  </w:p>
</w:ftr>
</file>

<file path=word/footer3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1141</w:t>
    </w:r>
  </w:p>
</w:ftr>
</file>

<file path=word/footer3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1142</w:t>
    </w:r>
  </w:p>
</w:ftr>
</file>

<file path=word/footer3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1143</w:t>
    </w:r>
  </w:p>
</w:ftr>
</file>

<file path=word/footer3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1144</w:t>
    </w:r>
  </w:p>
</w:ftr>
</file>

<file path=word/footer3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1145</w:t>
    </w:r>
  </w:p>
</w:ftr>
</file>

<file path=word/footer3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1146</w:t>
    </w:r>
  </w:p>
</w:ftr>
</file>

<file path=word/footer3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1147</w:t>
    </w:r>
  </w:p>
</w:ftr>
</file>

<file path=word/footer3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1148</w:t>
    </w:r>
  </w:p>
</w:ftr>
</file>

<file path=word/footer3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1149</w:t>
    </w:r>
  </w:p>
</w:ftr>
</file>

<file path=word/footer3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1150</w:t>
    </w:r>
  </w:p>
</w:ftr>
</file>

<file path=word/footer3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1151</w:t>
    </w:r>
  </w:p>
</w:ftr>
</file>

<file path=word/footer3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1152</w:t>
    </w:r>
  </w:p>
</w:ftr>
</file>

<file path=word/footer3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1153</w:t>
    </w:r>
  </w:p>
</w:ftr>
</file>

<file path=word/footer3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1154</w:t>
    </w:r>
  </w:p>
</w:ftr>
</file>

<file path=word/footer3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1155</w:t>
    </w:r>
  </w:p>
</w:ftr>
</file>

<file path=word/footer3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1156</w:t>
    </w:r>
  </w:p>
</w:ftr>
</file>

<file path=word/footer3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1157</w:t>
    </w:r>
  </w:p>
</w:ftr>
</file>

<file path=word/footer3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1158</w:t>
    </w:r>
  </w:p>
</w:ftr>
</file>

<file path=word/footer3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1159</w:t>
    </w:r>
  </w:p>
</w:ftr>
</file>

<file path=word/footer3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1160</w:t>
    </w:r>
  </w:p>
</w:ftr>
</file>

<file path=word/footer3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1161</w:t>
    </w:r>
  </w:p>
</w:ftr>
</file>

<file path=word/footer3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1162</w:t>
    </w:r>
  </w:p>
</w:ftr>
</file>

<file path=word/footer3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1163</w:t>
    </w:r>
  </w:p>
</w:ftr>
</file>

<file path=word/footer3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1164</w:t>
    </w:r>
  </w:p>
</w:ftr>
</file>

<file path=word/footer3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1165</w:t>
    </w:r>
  </w:p>
</w:ftr>
</file>

<file path=word/footer3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1166</w:t>
    </w:r>
  </w:p>
</w:ftr>
</file>

<file path=word/footer3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1167</w:t>
    </w:r>
  </w:p>
</w:ftr>
</file>

<file path=word/footer3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1168</w:t>
    </w:r>
  </w:p>
</w:ftr>
</file>

<file path=word/footer3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1169</w:t>
    </w:r>
  </w:p>
</w:ftr>
</file>

<file path=word/footer3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1170</w:t>
    </w:r>
  </w:p>
</w:ftr>
</file>

<file path=word/footer3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1171</w:t>
    </w:r>
  </w:p>
</w:ftr>
</file>

<file path=word/footer3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1172</w:t>
    </w:r>
  </w:p>
</w:ftr>
</file>

<file path=word/footer3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1173</w:t>
    </w:r>
  </w:p>
</w:ftr>
</file>

<file path=word/footer3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1174</w:t>
    </w:r>
  </w:p>
</w:ftr>
</file>

<file path=word/footer3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1175</w:t>
    </w:r>
  </w:p>
</w:ftr>
</file>

<file path=word/footer3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1176</w:t>
    </w:r>
  </w:p>
</w:ftr>
</file>

<file path=word/footer3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1177</w:t>
    </w:r>
  </w:p>
</w:ftr>
</file>

<file path=word/footer3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1178</w:t>
    </w:r>
  </w:p>
</w:ftr>
</file>

<file path=word/footer3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1179</w:t>
    </w:r>
  </w:p>
</w:ftr>
</file>

<file path=word/footer3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1180</w:t>
    </w:r>
  </w:p>
</w:ftr>
</file>

<file path=word/footer3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1181</w:t>
    </w:r>
  </w:p>
</w:ftr>
</file>

<file path=word/footer3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1182</w:t>
    </w:r>
  </w:p>
</w:ftr>
</file>

<file path=word/footer3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1183</w:t>
    </w:r>
  </w:p>
</w:ftr>
</file>

<file path=word/footer3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1184</w:t>
    </w:r>
  </w:p>
</w:ftr>
</file>

<file path=word/footer3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1185</w:t>
    </w:r>
  </w:p>
</w:ftr>
</file>

<file path=word/footer3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1186</w:t>
    </w:r>
  </w:p>
</w:ftr>
</file>

<file path=word/footer3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1187</w:t>
    </w:r>
  </w:p>
</w:ftr>
</file>

<file path=word/footer3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1188</w:t>
    </w:r>
  </w:p>
</w:ftr>
</file>

<file path=word/footer3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1189</w:t>
    </w:r>
  </w:p>
</w:ftr>
</file>

<file path=word/footer3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1190</w:t>
    </w:r>
  </w:p>
</w:ftr>
</file>

<file path=word/footer3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1191</w:t>
    </w:r>
  </w:p>
</w:ftr>
</file>

<file path=word/footer3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1192</w:t>
    </w:r>
  </w:p>
</w:ftr>
</file>

<file path=word/footer3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1193</w:t>
    </w:r>
  </w:p>
</w:ftr>
</file>

<file path=word/footer3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1194</w:t>
    </w:r>
  </w:p>
</w:ftr>
</file>

<file path=word/footer3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1195</w:t>
    </w:r>
  </w:p>
</w:ftr>
</file>

<file path=word/footer3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1196</w:t>
    </w:r>
  </w:p>
</w:ftr>
</file>

<file path=word/footer3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1197</w:t>
    </w:r>
  </w:p>
</w:ftr>
</file>

<file path=word/footer3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1198</w:t>
    </w:r>
  </w:p>
</w:ftr>
</file>

<file path=word/footer3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1199</w:t>
    </w:r>
  </w:p>
</w:ftr>
</file>

<file path=word/footer3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1200</w:t>
    </w:r>
  </w:p>
</w:ftr>
</file>

<file path=word/footer3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1201</w:t>
    </w:r>
  </w:p>
</w:ftr>
</file>

<file path=word/footer3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1202</w:t>
    </w:r>
  </w:p>
</w:ftr>
</file>

<file path=word/footer3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1203</w:t>
    </w:r>
  </w:p>
</w:ftr>
</file>

<file path=word/footer3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1204</w:t>
    </w:r>
  </w:p>
</w:ftr>
</file>

<file path=word/footer3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1205</w:t>
    </w:r>
  </w:p>
</w:ftr>
</file>

<file path=word/footer3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1206</w:t>
    </w:r>
  </w:p>
</w:ftr>
</file>

<file path=word/footer3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1207</w:t>
    </w:r>
  </w:p>
</w:ftr>
</file>

<file path=word/footer3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1208</w:t>
    </w:r>
  </w:p>
</w:ftr>
</file>

<file path=word/footer3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1209</w:t>
    </w:r>
  </w:p>
</w:ftr>
</file>

<file path=word/footer3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1210</w:t>
    </w:r>
  </w:p>
</w:ftr>
</file>

<file path=word/footer3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1211</w:t>
    </w:r>
  </w:p>
</w:ftr>
</file>

<file path=word/footer3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1212</w:t>
    </w:r>
  </w:p>
</w:ftr>
</file>

<file path=word/footer3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1213</w:t>
    </w:r>
  </w:p>
</w:ftr>
</file>

<file path=word/footer3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1214</w:t>
    </w:r>
  </w:p>
</w:ftr>
</file>

<file path=word/footer3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1215</w:t>
    </w:r>
  </w:p>
</w:ftr>
</file>

<file path=word/footer3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1216</w:t>
    </w:r>
  </w:p>
</w:ftr>
</file>

<file path=word/footer3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1217</w:t>
    </w:r>
  </w:p>
</w:ftr>
</file>

<file path=word/footer3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1218</w:t>
    </w:r>
  </w:p>
</w:ftr>
</file>

<file path=word/footer3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1219</w:t>
    </w:r>
  </w:p>
</w:ftr>
</file>

<file path=word/footer3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1220</w:t>
    </w:r>
  </w:p>
</w:ftr>
</file>

<file path=word/footer3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1221</w:t>
    </w:r>
  </w:p>
</w:ftr>
</file>

<file path=word/footer3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1222</w:t>
    </w:r>
  </w:p>
</w:ftr>
</file>

<file path=word/footer3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1223</w:t>
    </w:r>
  </w:p>
</w:ftr>
</file>

<file path=word/footer3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1224</w:t>
    </w:r>
  </w:p>
</w:ftr>
</file>

<file path=word/footer3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1225</w:t>
    </w:r>
  </w:p>
</w:ftr>
</file>

<file path=word/footer3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1226</w:t>
    </w:r>
  </w:p>
</w:ftr>
</file>

<file path=word/footer3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1227</w:t>
    </w:r>
  </w:p>
</w:ftr>
</file>

<file path=word/footer3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1228</w:t>
    </w:r>
  </w:p>
</w:ftr>
</file>

<file path=word/footer3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1229</w:t>
    </w:r>
  </w:p>
</w:ftr>
</file>

<file path=word/footer3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1230</w:t>
    </w:r>
  </w:p>
</w:ftr>
</file>

<file path=word/footer3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1231</w:t>
    </w:r>
  </w:p>
</w:ftr>
</file>

<file path=word/footer3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1232</w:t>
    </w:r>
  </w:p>
</w:ftr>
</file>

<file path=word/footer3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1233</w:t>
    </w:r>
  </w:p>
</w:ftr>
</file>

<file path=word/footer3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1234</w:t>
    </w:r>
  </w:p>
</w:ftr>
</file>

<file path=word/footer3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1235</w:t>
    </w:r>
  </w:p>
</w:ftr>
</file>

<file path=word/footer3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1236</w:t>
    </w:r>
  </w:p>
</w:ftr>
</file>

<file path=word/footer3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1237</w:t>
    </w:r>
  </w:p>
</w:ftr>
</file>

<file path=word/footer3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1238</w:t>
    </w:r>
  </w:p>
</w:ftr>
</file>

<file path=word/footer3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1239</w:t>
    </w:r>
  </w:p>
</w:ftr>
</file>

<file path=word/footer3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1240</w:t>
    </w:r>
  </w:p>
</w:ftr>
</file>

<file path=word/footer3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1241</w:t>
    </w:r>
  </w:p>
</w:ftr>
</file>

<file path=word/footer3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1242</w:t>
    </w:r>
  </w:p>
</w:ftr>
</file>

<file path=word/footer3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1243</w:t>
    </w:r>
  </w:p>
</w:ftr>
</file>

<file path=word/footer3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1244</w:t>
    </w:r>
  </w:p>
</w:ftr>
</file>

<file path=word/footer3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1245</w:t>
    </w:r>
  </w:p>
</w:ftr>
</file>

<file path=word/footer3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1246</w:t>
    </w:r>
  </w:p>
</w:ftr>
</file>

<file path=word/footer3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1247</w:t>
    </w:r>
  </w:p>
</w:ftr>
</file>

<file path=word/footer3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1248</w:t>
    </w:r>
  </w:p>
</w:ftr>
</file>

<file path=word/footer3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1249</w:t>
    </w:r>
  </w:p>
</w:ftr>
</file>

<file path=word/footer3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1250</w:t>
    </w:r>
  </w:p>
</w:ftr>
</file>

<file path=word/footer3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1251</w:t>
    </w:r>
  </w:p>
</w:ftr>
</file>

<file path=word/footer3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1252</w:t>
    </w:r>
  </w:p>
</w:ftr>
</file>

<file path=word/footer3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1253</w:t>
    </w:r>
  </w:p>
</w:ftr>
</file>

<file path=word/footer3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1254</w:t>
    </w:r>
  </w:p>
</w:ftr>
</file>

<file path=word/footer3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1255</w:t>
    </w:r>
  </w:p>
</w:ftr>
</file>

<file path=word/footer3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1256</w:t>
    </w:r>
  </w:p>
</w:ftr>
</file>

<file path=word/footer3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1257</w:t>
    </w:r>
  </w:p>
</w:ftr>
</file>

<file path=word/footer3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1258</w:t>
    </w:r>
  </w:p>
</w:ftr>
</file>

<file path=word/footer3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1259</w:t>
    </w:r>
  </w:p>
</w:ftr>
</file>

<file path=word/footer3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1260</w:t>
    </w:r>
  </w:p>
</w:ftr>
</file>

<file path=word/footer3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1261</w:t>
    </w:r>
  </w:p>
</w:ftr>
</file>

<file path=word/footer3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1262</w:t>
    </w:r>
  </w:p>
</w:ftr>
</file>

<file path=word/footer3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1263</w:t>
    </w:r>
  </w:p>
</w:ftr>
</file>

<file path=word/footer3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1264</w:t>
    </w:r>
  </w:p>
</w:ftr>
</file>

<file path=word/footer3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1265</w:t>
    </w:r>
  </w:p>
</w:ftr>
</file>

<file path=word/footer3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1266</w:t>
    </w:r>
  </w:p>
</w:ftr>
</file>

<file path=word/footer3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1267</w:t>
    </w:r>
  </w:p>
</w:ftr>
</file>

<file path=word/footer3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1268</w:t>
    </w:r>
  </w:p>
</w:ftr>
</file>

<file path=word/footer3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1269</w:t>
    </w:r>
  </w:p>
</w:ftr>
</file>

<file path=word/footer3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1270</w:t>
    </w:r>
  </w:p>
</w:ftr>
</file>

<file path=word/footer3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1271</w:t>
    </w:r>
  </w:p>
</w:ftr>
</file>

<file path=word/footer3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1272</w:t>
    </w:r>
  </w:p>
</w:ftr>
</file>

<file path=word/footer3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1273</w:t>
    </w:r>
  </w:p>
</w:ftr>
</file>

<file path=word/footer3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1274</w:t>
    </w:r>
  </w:p>
</w:ftr>
</file>

<file path=word/footer3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1275</w:t>
    </w:r>
  </w:p>
</w:ftr>
</file>

<file path=word/footer3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1276</w:t>
    </w:r>
  </w:p>
</w:ftr>
</file>

<file path=word/footer3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1277</w:t>
    </w:r>
  </w:p>
</w:ftr>
</file>

<file path=word/footer3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1278</w:t>
    </w:r>
  </w:p>
</w:ftr>
</file>

<file path=word/footer3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1279</w:t>
    </w:r>
  </w:p>
</w:ftr>
</file>

<file path=word/footer3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1280</w:t>
    </w:r>
  </w:p>
</w:ftr>
</file>

<file path=word/footer3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1281</w:t>
    </w:r>
  </w:p>
</w:ftr>
</file>

<file path=word/footer3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1282</w:t>
    </w:r>
  </w:p>
</w:ftr>
</file>

<file path=word/footer3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1283</w:t>
    </w:r>
  </w:p>
</w:ftr>
</file>

<file path=word/footer3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1284</w:t>
    </w:r>
  </w:p>
</w:ftr>
</file>

<file path=word/footer3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1285</w:t>
    </w:r>
  </w:p>
</w:ftr>
</file>

<file path=word/footer3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1286</w:t>
    </w:r>
  </w:p>
</w:ftr>
</file>

<file path=word/footer3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1287</w:t>
    </w:r>
  </w:p>
</w:ftr>
</file>

<file path=word/footer3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1288</w:t>
    </w:r>
  </w:p>
</w:ftr>
</file>

<file path=word/footer3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1289</w:t>
    </w:r>
  </w:p>
</w:ftr>
</file>

<file path=word/footer3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1290</w:t>
    </w:r>
  </w:p>
</w:ftr>
</file>

<file path=word/footer3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1291</w:t>
    </w:r>
  </w:p>
</w:ftr>
</file>

<file path=word/footer3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1292</w:t>
    </w:r>
  </w:p>
</w:ftr>
</file>

<file path=word/footer3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1293</w:t>
    </w:r>
  </w:p>
</w:ftr>
</file>

<file path=word/footer3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1294</w:t>
    </w:r>
  </w:p>
</w:ftr>
</file>

<file path=word/footer3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1295</w:t>
    </w:r>
  </w:p>
</w:ftr>
</file>

<file path=word/footer3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1296</w:t>
    </w:r>
  </w:p>
</w:ftr>
</file>

<file path=word/footer3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1297</w:t>
    </w:r>
  </w:p>
</w:ftr>
</file>

<file path=word/footer3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1298</w:t>
    </w:r>
  </w:p>
</w:ftr>
</file>

<file path=word/footer3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1299</w:t>
    </w:r>
  </w:p>
</w:ftr>
</file>

<file path=word/footer3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1300</w:t>
    </w:r>
  </w:p>
</w:ftr>
</file>

<file path=word/footer3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1301</w:t>
    </w:r>
  </w:p>
</w:ftr>
</file>

<file path=word/footer3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1302</w:t>
    </w:r>
  </w:p>
</w:ftr>
</file>

<file path=word/footer3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1303</w:t>
    </w:r>
  </w:p>
</w:ftr>
</file>

<file path=word/footer3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1304</w:t>
    </w:r>
  </w:p>
</w:ftr>
</file>

<file path=word/footer3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1305</w:t>
    </w:r>
  </w:p>
</w:ftr>
</file>

<file path=word/footer3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1306</w:t>
    </w:r>
  </w:p>
</w:ftr>
</file>

<file path=word/footer3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1307</w:t>
    </w:r>
  </w:p>
</w:ftr>
</file>

<file path=word/footer3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1308</w:t>
    </w:r>
  </w:p>
</w:ftr>
</file>

<file path=word/footer3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1309</w:t>
    </w:r>
  </w:p>
</w:ftr>
</file>

<file path=word/footer3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1310</w:t>
    </w:r>
  </w:p>
</w:ftr>
</file>

<file path=word/footer3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1311</w:t>
    </w:r>
  </w:p>
</w:ftr>
</file>

<file path=word/footer3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1312</w:t>
    </w:r>
  </w:p>
</w:ftr>
</file>

<file path=word/footer3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1313</w:t>
    </w:r>
  </w:p>
</w:ftr>
</file>

<file path=word/footer3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1314</w:t>
    </w:r>
  </w:p>
</w:ftr>
</file>

<file path=word/footer3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1315</w:t>
    </w:r>
  </w:p>
</w:ftr>
</file>

<file path=word/footer3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1316</w:t>
    </w:r>
  </w:p>
</w:ftr>
</file>

<file path=word/footer3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1317</w:t>
    </w:r>
  </w:p>
</w:ftr>
</file>

<file path=word/footer3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1318</w:t>
    </w:r>
  </w:p>
</w:ftr>
</file>

<file path=word/footer3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1319</w:t>
    </w:r>
  </w:p>
</w:ftr>
</file>

<file path=word/footer3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1320</w:t>
    </w:r>
  </w:p>
</w:ftr>
</file>

<file path=word/footer3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1321</w:t>
    </w:r>
  </w:p>
</w:ftr>
</file>

<file path=word/footer3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1322</w:t>
    </w:r>
  </w:p>
</w:ftr>
</file>

<file path=word/footer3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1323</w:t>
    </w:r>
  </w:p>
</w:ftr>
</file>

<file path=word/footer3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1324</w:t>
    </w:r>
  </w:p>
</w:ftr>
</file>

<file path=word/footer3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1325</w:t>
    </w:r>
  </w:p>
</w:ftr>
</file>

<file path=word/footer3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1326</w:t>
    </w:r>
  </w:p>
</w:ftr>
</file>

<file path=word/footer3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1327</w:t>
    </w:r>
  </w:p>
</w:ftr>
</file>

<file path=word/footer3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1328</w:t>
    </w:r>
  </w:p>
</w:ftr>
</file>

<file path=word/footer3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1329</w:t>
    </w:r>
  </w:p>
</w:ftr>
</file>

<file path=word/footer3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1330</w:t>
    </w:r>
  </w:p>
</w:ftr>
</file>

<file path=word/footer3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1331</w:t>
    </w:r>
  </w:p>
</w:ftr>
</file>

<file path=word/footer4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1332</w:t>
    </w:r>
  </w:p>
</w:ftr>
</file>

<file path=word/footer4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1333</w:t>
    </w:r>
  </w:p>
</w:ftr>
</file>

<file path=word/footer4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1334</w:t>
    </w:r>
  </w:p>
</w:ftr>
</file>

<file path=word/footer4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1335</w:t>
    </w:r>
  </w:p>
</w:ftr>
</file>

<file path=word/footer4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1336</w:t>
    </w:r>
  </w:p>
</w:ftr>
</file>

<file path=word/footer4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1337</w:t>
    </w:r>
  </w:p>
</w:ftr>
</file>

<file path=word/footer4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1338</w:t>
    </w:r>
  </w:p>
</w:ftr>
</file>

<file path=word/footer4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1339</w:t>
    </w:r>
  </w:p>
</w:ftr>
</file>

<file path=word/footer4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1340</w:t>
    </w:r>
  </w:p>
</w:ftr>
</file>

<file path=word/footer4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1341</w:t>
    </w:r>
  </w:p>
</w:ftr>
</file>

<file path=word/footer4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1342</w:t>
    </w:r>
  </w:p>
</w:ftr>
</file>

<file path=word/footer4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1343</w:t>
    </w:r>
  </w:p>
</w:ftr>
</file>

<file path=word/footer4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1344</w:t>
    </w:r>
  </w:p>
</w:ftr>
</file>

<file path=word/footer4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1345</w:t>
    </w:r>
  </w:p>
</w:ftr>
</file>

<file path=word/footer4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1346</w:t>
    </w:r>
  </w:p>
</w:ftr>
</file>

<file path=word/footer4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1347</w:t>
    </w:r>
  </w:p>
</w:ftr>
</file>

<file path=word/footer4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1348</w:t>
    </w:r>
  </w:p>
</w:ftr>
</file>

<file path=word/footer4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1349</w:t>
    </w:r>
  </w:p>
</w:ftr>
</file>

<file path=word/footer4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1350</w:t>
    </w:r>
  </w:p>
</w:ftr>
</file>

<file path=word/footer4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1351</w:t>
    </w:r>
  </w:p>
</w:ftr>
</file>

<file path=word/footer4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1352</w:t>
    </w:r>
  </w:p>
</w:ftr>
</file>

<file path=word/footer4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1353</w:t>
    </w:r>
  </w:p>
</w:ftr>
</file>

<file path=word/footer4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1354</w:t>
    </w:r>
  </w:p>
</w:ftr>
</file>

<file path=word/footer4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1355</w:t>
    </w:r>
  </w:p>
</w:ftr>
</file>

<file path=word/footer4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1356</w:t>
    </w:r>
  </w:p>
</w:ftr>
</file>

<file path=word/footer4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1357</w:t>
    </w:r>
  </w:p>
</w:ftr>
</file>

<file path=word/footer4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1358</w:t>
    </w:r>
  </w:p>
</w:ftr>
</file>

<file path=word/footer4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1359</w:t>
    </w:r>
  </w:p>
</w:ftr>
</file>

<file path=word/footer4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1360</w:t>
    </w:r>
  </w:p>
</w:ftr>
</file>

<file path=word/footer4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1361</w:t>
    </w:r>
  </w:p>
</w:ftr>
</file>

<file path=word/footer4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1362</w:t>
    </w:r>
  </w:p>
</w:ftr>
</file>

<file path=word/footer4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1363</w:t>
    </w:r>
  </w:p>
</w:ftr>
</file>

<file path=word/footer4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1364</w:t>
    </w:r>
  </w:p>
</w:ftr>
</file>

<file path=word/footer4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1365</w:t>
    </w:r>
  </w:p>
</w:ftr>
</file>

<file path=word/footer4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1366</w:t>
    </w:r>
  </w:p>
</w:ftr>
</file>

<file path=word/footer4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1367</w:t>
    </w:r>
  </w:p>
</w:ftr>
</file>

<file path=word/footer4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1368</w:t>
    </w:r>
  </w:p>
</w:ftr>
</file>

<file path=word/footer4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1369</w:t>
    </w:r>
  </w:p>
</w:ftr>
</file>

<file path=word/footer4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1370</w:t>
    </w:r>
  </w:p>
</w:ftr>
</file>

<file path=word/footer4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1371</w:t>
    </w:r>
  </w:p>
</w:ftr>
</file>

<file path=word/footer4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1372</w:t>
    </w:r>
  </w:p>
</w:ftr>
</file>

<file path=word/footer4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1373</w:t>
    </w:r>
  </w:p>
</w:ftr>
</file>

<file path=word/footer4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1374</w:t>
    </w:r>
  </w:p>
</w:ftr>
</file>

<file path=word/footer4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1375</w:t>
    </w:r>
  </w:p>
</w:ftr>
</file>

<file path=word/footer4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1376</w:t>
    </w:r>
  </w:p>
</w:ftr>
</file>

<file path=word/footer4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1377</w:t>
    </w:r>
  </w:p>
</w:ftr>
</file>

<file path=word/footer4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1378</w:t>
    </w:r>
  </w:p>
</w:ftr>
</file>

<file path=word/footer4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1379</w:t>
    </w:r>
  </w:p>
</w:ftr>
</file>

<file path=word/footer4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1380</w:t>
    </w:r>
  </w:p>
</w:ftr>
</file>

<file path=word/footer4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1381</w:t>
    </w:r>
  </w:p>
</w:ftr>
</file>

<file path=word/footer4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1382</w:t>
    </w:r>
  </w:p>
</w:ftr>
</file>

<file path=word/footer4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1383</w:t>
    </w:r>
  </w:p>
</w:ftr>
</file>

<file path=word/footer4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1384</w:t>
    </w:r>
  </w:p>
</w:ftr>
</file>

<file path=word/footer4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1385</w:t>
    </w:r>
  </w:p>
</w:ftr>
</file>

<file path=word/footer4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1386</w:t>
    </w:r>
  </w:p>
</w:ftr>
</file>

<file path=word/footer4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1387</w:t>
    </w:r>
  </w:p>
</w:ftr>
</file>

<file path=word/footer4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1388</w:t>
    </w:r>
  </w:p>
</w:ftr>
</file>

<file path=word/footer4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1389</w:t>
    </w:r>
  </w:p>
</w:ftr>
</file>

<file path=word/footer4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1390</w:t>
    </w:r>
  </w:p>
</w:ftr>
</file>

<file path=word/footer4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1391</w:t>
    </w:r>
  </w:p>
</w:ftr>
</file>

<file path=word/footer4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1392</w:t>
    </w:r>
  </w:p>
</w:ftr>
</file>

<file path=word/footer4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1393</w:t>
    </w:r>
  </w:p>
</w:ftr>
</file>

<file path=word/footer4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1394</w:t>
    </w:r>
  </w:p>
</w:ftr>
</file>

<file path=word/footer4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1395</w:t>
    </w:r>
  </w:p>
</w:ftr>
</file>

<file path=word/footer4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1396</w:t>
    </w:r>
  </w:p>
</w:ftr>
</file>

<file path=word/footer4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1397</w:t>
    </w:r>
  </w:p>
</w:ftr>
</file>

<file path=word/footer4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1398</w:t>
    </w:r>
  </w:p>
</w:ftr>
</file>

<file path=word/footer4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1399</w:t>
    </w:r>
  </w:p>
</w:ftr>
</file>

<file path=word/footer4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1400</w:t>
    </w:r>
  </w:p>
</w:ftr>
</file>

<file path=word/footer4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1401</w:t>
    </w:r>
  </w:p>
</w:ftr>
</file>

<file path=word/footer4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1402</w:t>
    </w:r>
  </w:p>
</w:ftr>
</file>

<file path=word/footer4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1403</w:t>
    </w:r>
  </w:p>
</w:ftr>
</file>

<file path=word/footer4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1404</w:t>
    </w:r>
  </w:p>
</w:ftr>
</file>

<file path=word/footer4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1405</w:t>
    </w:r>
  </w:p>
</w:ftr>
</file>

<file path=word/footer4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1406</w:t>
    </w:r>
  </w:p>
</w:ftr>
</file>

<file path=word/footer4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1407</w:t>
    </w:r>
  </w:p>
</w:ftr>
</file>

<file path=word/footer4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1408</w:t>
    </w:r>
  </w:p>
</w:ftr>
</file>

<file path=word/footer4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1409</w:t>
    </w:r>
  </w:p>
</w:ftr>
</file>

<file path=word/footer4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1410</w:t>
    </w:r>
  </w:p>
</w:ftr>
</file>

<file path=word/footer4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1411</w:t>
    </w:r>
  </w:p>
</w:ftr>
</file>

<file path=word/footer4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1412</w:t>
    </w:r>
  </w:p>
</w:ftr>
</file>

<file path=word/footer4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1413</w:t>
    </w:r>
  </w:p>
</w:ftr>
</file>

<file path=word/footer4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1414</w:t>
    </w:r>
  </w:p>
</w:ftr>
</file>

<file path=word/footer4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1415</w:t>
    </w:r>
  </w:p>
</w:ftr>
</file>

<file path=word/footer4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1416</w:t>
    </w:r>
  </w:p>
</w:ftr>
</file>

<file path=word/footer4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1417</w:t>
    </w:r>
  </w:p>
</w:ftr>
</file>

<file path=word/footer4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1418</w:t>
    </w:r>
  </w:p>
</w:ftr>
</file>

<file path=word/footer4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1419</w:t>
    </w:r>
  </w:p>
</w:ftr>
</file>

<file path=word/footer4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1420</w:t>
    </w:r>
  </w:p>
</w:ftr>
</file>

<file path=word/footer4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1421</w:t>
    </w:r>
  </w:p>
</w:ftr>
</file>

<file path=word/footer4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1422</w:t>
    </w:r>
  </w:p>
</w:ftr>
</file>

<file path=word/footer4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1423</w:t>
    </w:r>
  </w:p>
</w:ftr>
</file>

<file path=word/footer4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1424</w:t>
    </w:r>
  </w:p>
</w:ftr>
</file>

<file path=word/footer4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1425</w:t>
    </w:r>
  </w:p>
</w:ftr>
</file>

<file path=word/footer4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1426</w:t>
    </w:r>
  </w:p>
</w:ftr>
</file>

<file path=word/footer4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1427</w:t>
    </w:r>
  </w:p>
</w:ftr>
</file>

<file path=word/footer4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1428</w:t>
    </w:r>
  </w:p>
</w:ftr>
</file>

<file path=word/footer4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1429</w:t>
    </w:r>
  </w:p>
</w:ftr>
</file>

<file path=word/footer4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1430</w:t>
    </w:r>
  </w:p>
</w:ftr>
</file>

<file path=word/footer4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1431</w:t>
    </w:r>
  </w:p>
</w:ftr>
</file>

<file path=word/footer4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1432</w:t>
    </w:r>
  </w:p>
</w:ftr>
</file>

<file path=word/footer4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1433</w:t>
    </w:r>
  </w:p>
</w:ftr>
</file>

<file path=word/footer4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1434</w:t>
    </w:r>
  </w:p>
</w:ftr>
</file>

<file path=word/footer4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1435</w:t>
    </w:r>
  </w:p>
</w:ftr>
</file>

<file path=word/footer4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1436</w:t>
    </w:r>
  </w:p>
</w:ftr>
</file>

<file path=word/footer4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1437</w:t>
    </w:r>
  </w:p>
</w:ftr>
</file>

<file path=word/footer4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1438</w:t>
    </w:r>
  </w:p>
</w:ftr>
</file>

<file path=word/footer4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1439</w:t>
    </w:r>
  </w:p>
</w:ftr>
</file>

<file path=word/footer4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1440</w:t>
    </w:r>
  </w:p>
</w:ftr>
</file>

<file path=word/footer4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1441</w:t>
    </w:r>
  </w:p>
</w:ftr>
</file>

<file path=word/footer4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1442</w:t>
    </w:r>
  </w:p>
</w:ftr>
</file>

<file path=word/footer4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1443</w:t>
    </w:r>
  </w:p>
</w:ftr>
</file>

<file path=word/footer4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1444</w:t>
    </w:r>
  </w:p>
</w:ftr>
</file>

<file path=word/footer4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1445</w:t>
    </w:r>
  </w:p>
</w:ftr>
</file>

<file path=word/footer4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1446</w:t>
    </w:r>
  </w:p>
</w:ftr>
</file>

<file path=word/footer4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1447</w:t>
    </w:r>
  </w:p>
</w:ftr>
</file>

<file path=word/footer4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1448</w:t>
    </w:r>
  </w:p>
</w:ftr>
</file>

<file path=word/footer4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1449</w:t>
    </w:r>
  </w:p>
</w:ftr>
</file>

<file path=word/footer4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1450</w:t>
    </w:r>
  </w:p>
</w:ftr>
</file>

<file path=word/footer4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1451</w:t>
    </w:r>
  </w:p>
</w:ftr>
</file>

<file path=word/footer4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1452</w:t>
    </w:r>
  </w:p>
</w:ftr>
</file>

<file path=word/footer4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1453</w:t>
    </w:r>
  </w:p>
</w:ftr>
</file>

<file path=word/footer4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1454</w:t>
    </w:r>
  </w:p>
</w:ftr>
</file>

<file path=word/footer4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1455</w:t>
    </w:r>
  </w:p>
</w:ftr>
</file>

<file path=word/footer4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1456</w:t>
    </w:r>
  </w:p>
</w:ftr>
</file>

<file path=word/footer4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1457</w:t>
    </w:r>
  </w:p>
</w:ftr>
</file>

<file path=word/footer4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1458</w:t>
    </w:r>
  </w:p>
</w:ftr>
</file>

<file path=word/footer4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1459</w:t>
    </w:r>
  </w:p>
</w:ftr>
</file>

<file path=word/footer4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1460</w:t>
    </w:r>
  </w:p>
</w:ftr>
</file>

<file path=word/footer4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1461</w:t>
    </w:r>
  </w:p>
</w:ftr>
</file>

<file path=word/footer4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1462</w:t>
    </w:r>
  </w:p>
</w:ftr>
</file>

<file path=word/footer4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1463</w:t>
    </w:r>
  </w:p>
</w:ftr>
</file>

<file path=word/footer4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1464</w:t>
    </w:r>
  </w:p>
</w:ftr>
</file>

<file path=word/footer4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1465</w:t>
    </w:r>
  </w:p>
</w:ftr>
</file>

<file path=word/footer4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1466</w:t>
    </w:r>
  </w:p>
</w:ftr>
</file>

<file path=word/footer4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1467</w:t>
    </w:r>
  </w:p>
</w:ftr>
</file>

<file path=word/footer4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1468</w:t>
    </w:r>
  </w:p>
</w:ftr>
</file>

<file path=word/footer4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1469</w:t>
    </w:r>
  </w:p>
</w:ftr>
</file>

<file path=word/footer4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1470</w:t>
    </w:r>
  </w:p>
</w:ftr>
</file>

<file path=word/footer4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1471</w:t>
    </w:r>
  </w:p>
</w:ftr>
</file>

<file path=word/footer4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1472</w:t>
    </w:r>
  </w:p>
</w:ftr>
</file>

<file path=word/footer4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1473</w:t>
    </w:r>
  </w:p>
</w:ftr>
</file>

<file path=word/footer4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1474</w:t>
    </w:r>
  </w:p>
</w:ftr>
</file>

<file path=word/footer4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1475</w:t>
    </w:r>
  </w:p>
</w:ftr>
</file>

<file path=word/footer4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1476</w:t>
    </w:r>
  </w:p>
</w:ftr>
</file>

<file path=word/footer4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1477</w:t>
    </w:r>
  </w:p>
</w:ftr>
</file>

<file path=word/footer4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1478</w:t>
    </w:r>
  </w:p>
</w:ftr>
</file>

<file path=word/footer4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1479</w:t>
    </w:r>
  </w:p>
</w:ftr>
</file>

<file path=word/footer4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1480</w:t>
    </w:r>
  </w:p>
</w:ftr>
</file>

<file path=word/footer4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1481</w:t>
    </w:r>
  </w:p>
</w:ftr>
</file>

<file path=word/footer4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1482</w:t>
    </w:r>
  </w:p>
</w:ftr>
</file>

<file path=word/footer4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1483</w:t>
    </w:r>
  </w:p>
</w:ftr>
</file>

<file path=word/footer4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1484</w:t>
    </w:r>
  </w:p>
</w:ftr>
</file>

<file path=word/footer4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1485</w:t>
    </w:r>
  </w:p>
</w:ftr>
</file>

<file path=word/footer4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1486</w:t>
    </w:r>
  </w:p>
</w:ftr>
</file>

<file path=word/footer4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1487</w:t>
    </w:r>
  </w:p>
</w:ftr>
</file>

<file path=word/footer4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1488</w:t>
    </w:r>
  </w:p>
</w:ftr>
</file>

<file path=word/footer4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1489</w:t>
    </w:r>
  </w:p>
</w:ftr>
</file>

<file path=word/footer4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1490</w:t>
    </w:r>
  </w:p>
</w:ftr>
</file>

<file path=word/footer4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1491</w:t>
    </w:r>
  </w:p>
</w:ftr>
</file>

<file path=word/footer4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1492</w:t>
    </w:r>
  </w:p>
</w:ftr>
</file>

<file path=word/footer4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1493</w:t>
    </w:r>
  </w:p>
</w:ftr>
</file>

<file path=word/footer4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1494</w:t>
    </w:r>
  </w:p>
</w:ftr>
</file>

<file path=word/footer4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1495</w:t>
    </w:r>
  </w:p>
</w:ftr>
</file>

<file path=word/footer4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1496</w:t>
    </w:r>
  </w:p>
</w:ftr>
</file>

<file path=word/footer4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1497</w:t>
    </w:r>
  </w:p>
</w:ftr>
</file>

<file path=word/footer4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1498</w:t>
    </w:r>
  </w:p>
</w:ftr>
</file>

<file path=word/footer4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1499</w:t>
    </w:r>
  </w:p>
</w:ftr>
</file>

<file path=word/footer4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1500</w:t>
    </w:r>
  </w:p>
</w:ftr>
</file>

<file path=word/footer4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1501</w:t>
    </w:r>
  </w:p>
</w:ftr>
</file>

<file path=word/footer4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1502</w:t>
    </w:r>
  </w:p>
</w:ftr>
</file>

<file path=word/footer4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1503</w:t>
    </w:r>
  </w:p>
</w:ftr>
</file>

<file path=word/footer4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1504</w:t>
    </w:r>
  </w:p>
</w:ftr>
</file>

<file path=word/footer4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1505</w:t>
    </w:r>
  </w:p>
</w:ftr>
</file>

<file path=word/footer4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1506</w:t>
    </w:r>
  </w:p>
</w:ftr>
</file>

<file path=word/footer4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1507</w:t>
    </w:r>
  </w:p>
</w:ftr>
</file>

<file path=word/footer4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1508</w:t>
    </w:r>
  </w:p>
</w:ftr>
</file>

<file path=word/footer4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1509</w:t>
    </w:r>
  </w:p>
</w:ftr>
</file>

<file path=word/footer4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1510</w:t>
    </w:r>
  </w:p>
</w:ftr>
</file>

<file path=word/footer4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1511</w:t>
    </w:r>
  </w:p>
</w:ftr>
</file>

<file path=word/footer4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1512</w:t>
    </w:r>
  </w:p>
</w:ftr>
</file>

<file path=word/footer4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1513</w:t>
    </w:r>
  </w:p>
</w:ftr>
</file>

<file path=word/footer4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1514</w:t>
    </w:r>
  </w:p>
</w:ftr>
</file>

<file path=word/footer4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1515</w:t>
    </w:r>
  </w:p>
</w:ftr>
</file>

<file path=word/footer4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1516</w:t>
    </w:r>
  </w:p>
</w:ftr>
</file>

<file path=word/footer4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1517</w:t>
    </w:r>
  </w:p>
</w:ftr>
</file>

<file path=word/footer4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1518</w:t>
    </w:r>
  </w:p>
</w:ftr>
</file>

<file path=word/footer4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1519</w:t>
    </w:r>
  </w:p>
</w:ftr>
</file>

<file path=word/footer4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1520</w:t>
    </w:r>
  </w:p>
</w:ftr>
</file>

<file path=word/footer4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1521</w:t>
    </w:r>
  </w:p>
</w:ftr>
</file>

<file path=word/footer4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1522</w:t>
    </w:r>
  </w:p>
</w:ftr>
</file>

<file path=word/footer4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1523</w:t>
    </w:r>
  </w:p>
</w:ftr>
</file>

<file path=word/footer4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1524</w:t>
    </w:r>
  </w:p>
</w:ftr>
</file>

<file path=word/footer4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1525</w:t>
    </w:r>
  </w:p>
</w:ftr>
</file>

<file path=word/footer4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1526</w:t>
    </w:r>
  </w:p>
</w:ftr>
</file>

<file path=word/footer4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1527</w:t>
    </w:r>
  </w:p>
</w:ftr>
</file>

<file path=word/footer4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1528</w:t>
    </w:r>
  </w:p>
</w:ftr>
</file>

<file path=word/footer4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1529</w:t>
    </w:r>
  </w:p>
</w:ftr>
</file>

<file path=word/footer4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1530</w:t>
    </w:r>
  </w:p>
</w:ftr>
</file>

<file path=word/footer4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1531</w:t>
    </w:r>
  </w:p>
</w:ftr>
</file>

<file path=word/footer4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1532</w:t>
    </w:r>
  </w:p>
</w:ftr>
</file>

<file path=word/footer4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1533</w:t>
    </w:r>
  </w:p>
</w:ftr>
</file>

<file path=word/footer4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1534</w:t>
    </w:r>
  </w:p>
</w:ftr>
</file>

<file path=word/footer4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1535</w:t>
    </w:r>
  </w:p>
</w:ftr>
</file>

<file path=word/footer4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1536</w:t>
    </w:r>
  </w:p>
</w:ftr>
</file>

<file path=word/footer4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1537</w:t>
    </w:r>
  </w:p>
</w:ftr>
</file>

<file path=word/footer4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1538</w:t>
    </w:r>
  </w:p>
</w:ftr>
</file>

<file path=word/footer4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1539</w:t>
    </w:r>
  </w:p>
</w:ftr>
</file>

<file path=word/footer4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1540</w:t>
    </w:r>
  </w:p>
</w:ftr>
</file>

<file path=word/footer4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1541</w:t>
    </w:r>
  </w:p>
</w:ftr>
</file>

<file path=word/footer4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1542</w:t>
    </w:r>
  </w:p>
</w:ftr>
</file>

<file path=word/footer4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1543</w:t>
    </w:r>
  </w:p>
</w:ftr>
</file>

<file path=word/footer4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1544</w:t>
    </w:r>
  </w:p>
</w:ftr>
</file>

<file path=word/footer4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1545</w:t>
    </w:r>
  </w:p>
</w:ftr>
</file>

<file path=word/footer4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1546</w:t>
    </w:r>
  </w:p>
</w:ftr>
</file>

<file path=word/footer4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1547</w:t>
    </w:r>
  </w:p>
</w:ftr>
</file>

<file path=word/footer4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1548</w:t>
    </w:r>
  </w:p>
</w:ftr>
</file>

<file path=word/footer4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1549</w:t>
    </w:r>
  </w:p>
</w:ftr>
</file>

<file path=word/footer4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1550</w:t>
    </w:r>
  </w:p>
</w:ftr>
</file>

<file path=word/footer4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1551</w:t>
    </w:r>
  </w:p>
</w:ftr>
</file>

<file path=word/footer4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1552</w:t>
    </w:r>
  </w:p>
</w:ftr>
</file>

<file path=word/footer4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1553</w:t>
    </w:r>
  </w:p>
</w:ftr>
</file>

<file path=word/footer4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1554</w:t>
    </w:r>
  </w:p>
</w:ftr>
</file>

<file path=word/footer4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1555</w:t>
    </w:r>
  </w:p>
</w:ftr>
</file>

<file path=word/footer4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1556</w:t>
    </w:r>
  </w:p>
</w:ftr>
</file>

<file path=word/footer4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1557</w:t>
    </w:r>
  </w:p>
</w:ftr>
</file>

<file path=word/footer4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1558</w:t>
    </w:r>
  </w:p>
</w:ftr>
</file>

<file path=word/footer4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1559</w:t>
    </w:r>
  </w:p>
</w:ftr>
</file>

<file path=word/footer4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1560</w:t>
    </w:r>
  </w:p>
</w:ftr>
</file>

<file path=word/footer4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1561</w:t>
    </w:r>
  </w:p>
</w:ftr>
</file>

<file path=word/footer4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1562</w:t>
    </w:r>
  </w:p>
</w:ftr>
</file>

<file path=word/footer4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1563</w:t>
    </w:r>
  </w:p>
</w:ftr>
</file>

<file path=word/footer4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1564</w:t>
    </w:r>
  </w:p>
</w:ftr>
</file>

<file path=word/footer4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1565</w:t>
    </w:r>
  </w:p>
</w:ftr>
</file>

<file path=word/footer4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1566</w:t>
    </w:r>
  </w:p>
</w:ftr>
</file>

<file path=word/footer4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1567</w:t>
    </w:r>
  </w:p>
</w:ftr>
</file>

<file path=word/footer4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1568</w:t>
    </w:r>
  </w:p>
</w:ftr>
</file>

<file path=word/footer4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1569</w:t>
    </w:r>
  </w:p>
</w:ftr>
</file>

<file path=word/footer4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1570</w:t>
    </w:r>
  </w:p>
</w:ftr>
</file>

<file path=word/footer4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1571</w:t>
    </w:r>
  </w:p>
</w:ftr>
</file>

<file path=word/footer4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1572</w:t>
    </w:r>
  </w:p>
</w:ftr>
</file>

<file path=word/footer4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1573</w:t>
    </w:r>
  </w:p>
</w:ftr>
</file>

<file path=word/footer4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1574</w:t>
    </w:r>
  </w:p>
</w:ftr>
</file>

<file path=word/footer4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1575</w:t>
    </w:r>
  </w:p>
</w:ftr>
</file>

<file path=word/footer4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1576</w:t>
    </w:r>
  </w:p>
</w:ftr>
</file>

<file path=word/footer4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1577</w:t>
    </w:r>
  </w:p>
</w:ftr>
</file>

<file path=word/footer4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1578</w:t>
    </w:r>
  </w:p>
</w:ftr>
</file>

<file path=word/footer4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1579</w:t>
    </w:r>
  </w:p>
</w:ftr>
</file>

<file path=word/footer4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1580</w:t>
    </w:r>
  </w:p>
</w:ftr>
</file>

<file path=word/footer4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1581</w:t>
    </w:r>
  </w:p>
</w:ftr>
</file>

<file path=word/footer4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1582</w:t>
    </w:r>
  </w:p>
</w:ftr>
</file>

<file path=word/footer4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1583</w:t>
    </w:r>
  </w:p>
</w:ftr>
</file>

<file path=word/footer4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1584</w:t>
    </w:r>
  </w:p>
</w:ftr>
</file>

<file path=word/footer4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1585</w:t>
    </w:r>
  </w:p>
</w:ftr>
</file>

<file path=word/footer4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1586</w:t>
    </w:r>
  </w:p>
</w:ftr>
</file>

<file path=word/footer4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1587</w:t>
    </w:r>
  </w:p>
</w:ftr>
</file>

<file path=word/footer4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1588</w:t>
    </w:r>
  </w:p>
</w:ftr>
</file>

<file path=word/footer4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1589</w:t>
    </w:r>
  </w:p>
</w:ftr>
</file>

<file path=word/footer4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1590</w:t>
    </w:r>
  </w:p>
</w:ftr>
</file>

<file path=word/footer4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1591</w:t>
    </w:r>
  </w:p>
</w:ftr>
</file>

<file path=word/footer4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1592</w:t>
    </w:r>
  </w:p>
</w:ftr>
</file>

<file path=word/footer4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1593</w:t>
    </w:r>
  </w:p>
</w:ftr>
</file>

<file path=word/footer4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1594</w:t>
    </w:r>
  </w:p>
</w:ftr>
</file>

<file path=word/footer4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1595</w:t>
    </w:r>
  </w:p>
</w:ftr>
</file>

<file path=word/footer4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1596</w:t>
    </w:r>
  </w:p>
</w:ftr>
</file>

<file path=word/footer4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1597</w:t>
    </w:r>
  </w:p>
</w:ftr>
</file>

<file path=word/footer4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1598</w:t>
    </w:r>
  </w:p>
</w:ftr>
</file>

<file path=word/footer4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1599</w:t>
    </w:r>
  </w:p>
</w:ftr>
</file>

<file path=word/footer4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1600</w:t>
    </w:r>
  </w:p>
</w:ftr>
</file>

<file path=word/footer4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1601</w:t>
    </w:r>
  </w:p>
</w:ftr>
</file>

<file path=word/footer4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1602</w:t>
    </w:r>
  </w:p>
</w:ftr>
</file>

<file path=word/footer4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1603</w:t>
    </w:r>
  </w:p>
</w:ftr>
</file>

<file path=word/footer4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1604</w:t>
    </w:r>
  </w:p>
</w:ftr>
</file>

<file path=word/footer4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1605</w:t>
    </w:r>
  </w:p>
</w:ftr>
</file>

<file path=word/footer4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1606</w:t>
    </w:r>
  </w:p>
</w:ftr>
</file>

<file path=word/footer4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1607</w:t>
    </w:r>
  </w:p>
</w:ftr>
</file>

<file path=word/footer4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1608</w:t>
    </w:r>
  </w:p>
</w:ftr>
</file>

<file path=word/footer4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1609</w:t>
    </w:r>
  </w:p>
</w:ftr>
</file>

<file path=word/footer4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1610</w:t>
    </w:r>
  </w:p>
</w:ftr>
</file>

<file path=word/footer4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1611</w:t>
    </w:r>
  </w:p>
</w:ftr>
</file>

<file path=word/footer4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1612</w:t>
    </w:r>
  </w:p>
</w:ftr>
</file>

<file path=word/footer4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1613</w:t>
    </w:r>
  </w:p>
</w:ftr>
</file>

<file path=word/footer4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1614</w:t>
    </w:r>
  </w:p>
</w:ftr>
</file>

<file path=word/footer4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1615</w:t>
    </w:r>
  </w:p>
</w:ftr>
</file>

<file path=word/footer4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1616</w:t>
    </w:r>
  </w:p>
</w:ftr>
</file>

<file path=word/footer4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1617</w:t>
    </w:r>
  </w:p>
</w:ftr>
</file>

<file path=word/footer4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1618</w:t>
    </w:r>
  </w:p>
</w:ftr>
</file>

<file path=word/footer4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1619</w:t>
    </w:r>
  </w:p>
</w:ftr>
</file>

<file path=word/footer4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1620</w:t>
    </w:r>
  </w:p>
</w:ftr>
</file>

<file path=word/footer4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1621</w:t>
    </w:r>
  </w:p>
</w:ftr>
</file>

<file path=word/footer4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1622</w:t>
    </w:r>
  </w:p>
</w:ftr>
</file>

<file path=word/footer4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1623</w:t>
    </w:r>
  </w:p>
</w:ftr>
</file>

<file path=word/footer4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1624</w:t>
    </w:r>
  </w:p>
</w:ftr>
</file>

<file path=word/footer4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1625</w:t>
    </w:r>
  </w:p>
</w:ftr>
</file>

<file path=word/footer4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1626</w:t>
    </w:r>
  </w:p>
</w:ftr>
</file>

<file path=word/footer4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1627</w:t>
    </w:r>
  </w:p>
</w:ftr>
</file>

<file path=word/footer4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1628</w:t>
    </w:r>
  </w:p>
</w:ftr>
</file>

<file path=word/footer4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1629</w:t>
    </w:r>
  </w:p>
</w:ftr>
</file>

<file path=word/footer4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1630</w:t>
    </w:r>
  </w:p>
</w:ftr>
</file>

<file path=word/footer4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1631</w:t>
    </w:r>
  </w:p>
</w:ftr>
</file>

<file path=word/footer4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1632</w:t>
    </w:r>
  </w:p>
</w:ftr>
</file>

<file path=word/footer4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1633</w:t>
    </w:r>
  </w:p>
</w:ftr>
</file>

<file path=word/footer4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1634</w:t>
    </w:r>
  </w:p>
</w:ftr>
</file>

<file path=word/footer4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1635</w:t>
    </w:r>
  </w:p>
</w:ftr>
</file>

<file path=word/footer4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1636</w:t>
    </w:r>
  </w:p>
</w:ftr>
</file>

<file path=word/footer4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1637</w:t>
    </w:r>
  </w:p>
</w:ftr>
</file>

<file path=word/footer4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1638</w:t>
    </w:r>
  </w:p>
</w:ftr>
</file>

<file path=word/footer4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1639</w:t>
    </w:r>
  </w:p>
</w:ftr>
</file>

<file path=word/footer4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1640</w:t>
    </w:r>
  </w:p>
</w:ftr>
</file>

<file path=word/footer4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1641</w:t>
    </w:r>
  </w:p>
</w:ftr>
</file>

<file path=word/footer4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1642</w:t>
    </w:r>
  </w:p>
</w:ftr>
</file>

<file path=word/footer4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1643</w:t>
    </w:r>
  </w:p>
</w:ftr>
</file>

<file path=word/footer4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1644</w:t>
    </w:r>
  </w:p>
</w:ftr>
</file>

<file path=word/footer4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1645</w:t>
    </w:r>
  </w:p>
</w:ftr>
</file>

<file path=word/footer4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1646</w:t>
    </w:r>
  </w:p>
</w:ftr>
</file>

<file path=word/footer4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1647</w:t>
    </w:r>
  </w:p>
</w:ftr>
</file>

<file path=word/footer4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1648</w:t>
    </w:r>
  </w:p>
</w:ftr>
</file>

<file path=word/footer4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1649</w:t>
    </w:r>
  </w:p>
</w:ftr>
</file>

<file path=word/footer4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1650</w:t>
    </w:r>
  </w:p>
</w:ftr>
</file>

<file path=word/footer4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1651</w:t>
    </w:r>
  </w:p>
</w:ftr>
</file>

<file path=word/footer4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1652</w:t>
    </w:r>
  </w:p>
</w:ftr>
</file>

<file path=word/footer4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1653</w:t>
    </w:r>
  </w:p>
</w:ftr>
</file>

<file path=word/footer4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1654</w:t>
    </w:r>
  </w:p>
</w:ftr>
</file>

<file path=word/footer4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1655</w:t>
    </w:r>
  </w:p>
</w:ftr>
</file>

<file path=word/footer4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1656</w:t>
    </w:r>
  </w:p>
</w:ftr>
</file>

<file path=word/footer4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1657</w:t>
    </w:r>
  </w:p>
</w:ftr>
</file>

<file path=word/footer4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1658</w:t>
    </w:r>
  </w:p>
</w:ftr>
</file>

<file path=word/footer4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1659</w:t>
    </w:r>
  </w:p>
</w:ftr>
</file>

<file path=word/footer4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1660</w:t>
    </w:r>
  </w:p>
</w:ftr>
</file>

<file path=word/footer4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1661</w:t>
    </w:r>
  </w:p>
</w:ftr>
</file>

<file path=word/footer4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1662</w:t>
    </w:r>
  </w:p>
</w:ftr>
</file>

<file path=word/footer4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1663</w:t>
    </w:r>
  </w:p>
</w:ftr>
</file>

<file path=word/footer4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1664</w:t>
    </w:r>
  </w:p>
</w:ftr>
</file>

<file path=word/footer4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1665</w:t>
    </w:r>
  </w:p>
</w:ftr>
</file>

<file path=word/footer5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1666</w:t>
    </w:r>
  </w:p>
</w:ftr>
</file>

<file path=word/footer5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1667</w:t>
    </w:r>
  </w:p>
</w:ftr>
</file>

<file path=word/footer5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1668</w:t>
    </w:r>
  </w:p>
</w:ftr>
</file>

<file path=word/footer5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1669</w:t>
    </w:r>
  </w:p>
</w:ftr>
</file>

<file path=word/footer5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1670</w:t>
    </w:r>
  </w:p>
</w:ftr>
</file>

<file path=word/footer5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1671</w:t>
    </w:r>
  </w:p>
</w:ftr>
</file>

<file path=word/footer5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1672</w:t>
    </w:r>
  </w:p>
</w:ftr>
</file>

<file path=word/footer5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1673</w:t>
    </w:r>
  </w:p>
</w:ftr>
</file>

<file path=word/footer5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1674</w:t>
    </w:r>
  </w:p>
</w:ftr>
</file>

<file path=word/footer5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1675</w:t>
    </w:r>
  </w:p>
</w:ftr>
</file>

<file path=word/footer5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1676</w:t>
    </w:r>
  </w:p>
</w:ftr>
</file>

<file path=word/footer5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1677</w:t>
    </w:r>
  </w:p>
</w:ftr>
</file>

<file path=word/footer5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1678</w:t>
    </w:r>
  </w:p>
</w:ftr>
</file>

<file path=word/footer50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1679</w:t>
    </w:r>
  </w:p>
</w:ftr>
</file>

<file path=word/footer50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1680</w:t>
    </w:r>
  </w:p>
</w:ftr>
</file>

<file path=word/footer50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1681</w:t>
    </w:r>
  </w:p>
</w:ftr>
</file>

<file path=word/footer50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1682</w:t>
    </w:r>
  </w:p>
</w:ftr>
</file>

<file path=word/footer50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1683</w:t>
    </w:r>
  </w:p>
</w:ftr>
</file>

<file path=word/footer50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1684</w:t>
    </w:r>
  </w:p>
</w:ftr>
</file>

<file path=word/footer50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1685</w:t>
    </w:r>
  </w:p>
</w:ftr>
</file>

<file path=word/footer50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1686</w:t>
    </w:r>
  </w:p>
</w:ftr>
</file>

<file path=word/footer50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1687</w:t>
    </w:r>
  </w:p>
</w:ftr>
</file>

<file path=word/footer50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1688</w:t>
    </w:r>
  </w:p>
</w:ftr>
</file>

<file path=word/footer50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1689</w:t>
    </w:r>
  </w:p>
</w:ftr>
</file>

<file path=word/footer50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1690</w:t>
    </w:r>
  </w:p>
</w:ftr>
</file>

<file path=word/footer50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1691</w:t>
    </w:r>
  </w:p>
</w:ftr>
</file>

<file path=word/footer50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1692</w:t>
    </w:r>
  </w:p>
</w:ftr>
</file>

<file path=word/footer50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1693</w:t>
    </w:r>
  </w:p>
</w:ftr>
</file>

<file path=word/footer50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1694</w:t>
    </w:r>
  </w:p>
</w:ftr>
</file>

<file path=word/footer50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1695</w:t>
    </w:r>
  </w:p>
</w:ftr>
</file>

<file path=word/footer50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1696</w:t>
    </w:r>
  </w:p>
</w:ftr>
</file>

<file path=word/footer50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1697</w:t>
    </w:r>
  </w:p>
</w:ftr>
</file>

<file path=word/footer50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1698</w:t>
    </w:r>
  </w:p>
</w:ftr>
</file>

<file path=word/footer51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1699</w:t>
    </w:r>
  </w:p>
</w:ftr>
</file>

<file path=word/footer51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1700</w:t>
    </w:r>
  </w:p>
</w:ftr>
</file>

<file path=word/footer51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1701</w:t>
    </w:r>
  </w:p>
</w:ftr>
</file>

<file path=word/footer51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1702</w:t>
    </w:r>
  </w:p>
</w:ftr>
</file>

<file path=word/footer51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1703</w:t>
    </w:r>
  </w:p>
</w:ftr>
</file>

<file path=word/footer51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1704</w:t>
    </w:r>
  </w:p>
</w:ftr>
</file>

<file path=word/footer51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1705</w:t>
    </w:r>
  </w:p>
</w:ftr>
</file>

<file path=word/footer51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1706</w:t>
    </w:r>
  </w:p>
</w:ftr>
</file>

<file path=word/footer51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1707</w:t>
    </w:r>
  </w:p>
</w:ftr>
</file>

<file path=word/footer51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1708</w:t>
    </w:r>
  </w:p>
</w:ftr>
</file>

<file path=word/footer51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1709</w:t>
    </w:r>
  </w:p>
</w:ftr>
</file>

<file path=word/footer51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1710</w:t>
    </w:r>
  </w:p>
</w:ftr>
</file>

<file path=word/footer51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1711</w:t>
    </w:r>
  </w:p>
</w:ftr>
</file>

<file path=word/footer51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1712</w:t>
    </w:r>
  </w:p>
</w:ftr>
</file>

<file path=word/footer51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1713</w:t>
    </w:r>
  </w:p>
</w:ftr>
</file>

<file path=word/footer51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1714</w:t>
    </w:r>
  </w:p>
</w:ftr>
</file>

<file path=word/footer51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1715</w:t>
    </w:r>
  </w:p>
</w:ftr>
</file>

<file path=word/footer51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1716</w:t>
    </w:r>
  </w:p>
</w:ftr>
</file>

<file path=word/footer51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1717</w:t>
    </w:r>
  </w:p>
</w:ftr>
</file>

<file path=word/footer51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1718</w:t>
    </w:r>
  </w:p>
</w:ftr>
</file>

<file path=word/footer51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1719</w:t>
    </w:r>
  </w:p>
</w:ftr>
</file>

<file path=word/footer51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1720</w:t>
    </w:r>
  </w:p>
</w:ftr>
</file>

<file path=word/footer51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1721</w:t>
    </w:r>
  </w:p>
</w:ftr>
</file>

<file path=word/footer51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1722</w:t>
    </w:r>
  </w:p>
</w:ftr>
</file>

<file path=word/footer51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1723</w:t>
    </w:r>
  </w:p>
</w:ftr>
</file>

<file path=word/footer51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1724</w:t>
    </w:r>
  </w:p>
</w:ftr>
</file>

<file path=word/footer51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1725</w:t>
    </w:r>
  </w:p>
</w:ftr>
</file>

<file path=word/footer51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1726</w:t>
    </w:r>
  </w:p>
</w:ftr>
</file>

<file path=word/footer51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1727</w:t>
    </w:r>
  </w:p>
</w:ftr>
</file>

<file path=word/footer51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1728</w:t>
    </w:r>
  </w:p>
</w:ftr>
</file>

<file path=word/footer51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1729</w:t>
    </w:r>
  </w:p>
</w:ftr>
</file>

<file path=word/footer51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1730</w:t>
    </w:r>
  </w:p>
</w:ftr>
</file>

<file path=word/footer51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1731</w:t>
    </w:r>
  </w:p>
</w:ftr>
</file>

<file path=word/footer52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1732</w:t>
    </w:r>
  </w:p>
</w:ftr>
</file>

<file path=word/footer52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1733</w:t>
    </w:r>
  </w:p>
</w:ftr>
</file>

<file path=word/footer52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1734</w:t>
    </w:r>
  </w:p>
</w:ftr>
</file>

<file path=word/footer52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1735</w:t>
    </w:r>
  </w:p>
</w:ftr>
</file>

<file path=word/footer52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1736</w:t>
    </w:r>
  </w:p>
</w:ftr>
</file>

<file path=word/footer52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1737</w:t>
    </w:r>
  </w:p>
</w:ftr>
</file>

<file path=word/footer52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1738</w:t>
    </w:r>
  </w:p>
</w:ftr>
</file>

<file path=word/footer52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1739</w:t>
    </w:r>
  </w:p>
</w:ftr>
</file>

<file path=word/footer52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1740</w:t>
    </w:r>
  </w:p>
</w:ftr>
</file>

<file path=word/footer52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1741</w:t>
    </w:r>
  </w:p>
</w:ftr>
</file>

<file path=word/footer52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1742</w:t>
    </w:r>
  </w:p>
</w:ftr>
</file>

<file path=word/footer52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1743</w:t>
    </w:r>
  </w:p>
</w:ftr>
</file>

<file path=word/footer52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1744</w:t>
    </w:r>
  </w:p>
</w:ftr>
</file>

<file path=word/footer52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1745</w:t>
    </w:r>
  </w:p>
</w:ftr>
</file>

<file path=word/footer52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1746</w:t>
    </w:r>
  </w:p>
</w:ftr>
</file>

<file path=word/footer52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1747</w:t>
    </w:r>
  </w:p>
</w:ftr>
</file>

<file path=word/footer52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1748</w:t>
    </w:r>
  </w:p>
</w:ftr>
</file>

<file path=word/footer52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1749</w:t>
    </w:r>
  </w:p>
</w:ftr>
</file>

<file path=word/footer52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1750</w:t>
    </w:r>
  </w:p>
</w:ftr>
</file>

<file path=word/footer52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1751</w:t>
    </w:r>
  </w:p>
</w:ftr>
</file>

<file path=word/footer52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1752</w:t>
    </w:r>
  </w:p>
</w:ftr>
</file>

<file path=word/footer52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1753</w:t>
    </w:r>
  </w:p>
</w:ftr>
</file>

<file path=word/footer52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1754</w:t>
    </w:r>
  </w:p>
</w:ftr>
</file>

<file path=word/footer52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1755</w:t>
    </w:r>
  </w:p>
</w:ftr>
</file>

<file path=word/footer52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1756</w:t>
    </w:r>
  </w:p>
</w:ftr>
</file>

<file path=word/footer52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1757</w:t>
    </w:r>
  </w:p>
</w:ftr>
</file>

<file path=word/footer52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1758</w:t>
    </w:r>
  </w:p>
</w:ftr>
</file>

<file path=word/footer52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1759</w:t>
    </w:r>
  </w:p>
</w:ftr>
</file>

<file path=word/footer52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1760</w:t>
    </w:r>
  </w:p>
</w:ftr>
</file>

<file path=word/footer52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1761</w:t>
    </w:r>
  </w:p>
</w:ftr>
</file>

<file path=word/footer52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1762</w:t>
    </w:r>
  </w:p>
</w:ftr>
</file>

<file path=word/footer52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1763</w:t>
    </w:r>
  </w:p>
</w:ftr>
</file>

<file path=word/footer52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1764</w:t>
    </w:r>
  </w:p>
</w:ftr>
</file>

<file path=word/footer52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1765</w:t>
    </w:r>
  </w:p>
</w:ftr>
</file>

<file path=word/footer53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1766</w:t>
    </w:r>
  </w:p>
</w:ftr>
</file>

<file path=word/footer53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1767</w:t>
    </w:r>
  </w:p>
</w:ftr>
</file>

<file path=word/footer53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1768</w:t>
    </w:r>
  </w:p>
</w:ftr>
</file>

<file path=word/footer53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1769</w:t>
    </w:r>
  </w:p>
</w:ftr>
</file>

<file path=word/footer53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1770</w:t>
    </w:r>
  </w:p>
</w:ftr>
</file>

<file path=word/footer53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1771</w:t>
    </w:r>
  </w:p>
</w:ftr>
</file>

<file path=word/footer53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1772</w:t>
    </w:r>
  </w:p>
</w:ftr>
</file>

<file path=word/footer53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1773</w:t>
    </w:r>
  </w:p>
</w:ftr>
</file>

<file path=word/footer53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1774</w:t>
    </w:r>
  </w:p>
</w:ftr>
</file>

<file path=word/footer53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1775</w:t>
    </w:r>
  </w:p>
</w:ftr>
</file>

<file path=word/footer53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1776</w:t>
    </w:r>
  </w:p>
</w:ftr>
</file>

<file path=word/footer53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1777</w:t>
    </w:r>
  </w:p>
</w:ftr>
</file>

<file path=word/footer53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1778</w:t>
    </w:r>
  </w:p>
</w:ftr>
</file>

<file path=word/footer53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1779</w:t>
    </w:r>
  </w:p>
</w:ftr>
</file>

<file path=word/footer53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1780</w:t>
    </w:r>
  </w:p>
</w:ftr>
</file>

<file path=word/footer53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1781</w:t>
    </w:r>
  </w:p>
</w:ftr>
</file>

<file path=word/footer53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1782</w:t>
    </w:r>
  </w:p>
</w:ftr>
</file>

<file path=word/footer53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1783</w:t>
    </w:r>
  </w:p>
</w:ftr>
</file>

<file path=word/footer53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1784</w:t>
    </w:r>
  </w:p>
</w:ftr>
</file>

<file path=word/footer53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1785</w:t>
    </w:r>
  </w:p>
</w:ftr>
</file>

<file path=word/footer53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1786</w:t>
    </w:r>
  </w:p>
</w:ftr>
</file>

<file path=word/footer53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1787</w:t>
    </w:r>
  </w:p>
</w:ftr>
</file>

<file path=word/footer53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1788</w:t>
    </w:r>
  </w:p>
</w:ftr>
</file>

<file path=word/footer53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1789</w:t>
    </w:r>
  </w:p>
</w:ftr>
</file>

<file path=word/footer53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1790</w:t>
    </w:r>
  </w:p>
</w:ftr>
</file>

<file path=word/footer53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1791</w:t>
    </w:r>
  </w:p>
</w:ftr>
</file>

<file path=word/footer53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1792</w:t>
    </w:r>
  </w:p>
</w:ftr>
</file>

<file path=word/footer53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1793</w:t>
    </w:r>
  </w:p>
</w:ftr>
</file>

<file path=word/footer53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1794</w:t>
    </w:r>
  </w:p>
</w:ftr>
</file>

<file path=word/footer53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1795</w:t>
    </w:r>
  </w:p>
</w:ftr>
</file>

<file path=word/footer53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1796</w:t>
    </w:r>
  </w:p>
</w:ftr>
</file>

<file path=word/footer53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1797</w:t>
    </w:r>
  </w:p>
</w:ftr>
</file>

<file path=word/footer53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1798</w:t>
    </w:r>
  </w:p>
</w:ftr>
</file>

<file path=word/footer54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1799</w:t>
    </w:r>
  </w:p>
</w:ftr>
</file>

<file path=word/footer54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1800</w:t>
    </w:r>
  </w:p>
</w:ftr>
</file>

<file path=word/footer54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1801</w:t>
    </w:r>
  </w:p>
</w:ftr>
</file>

<file path=word/footer54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1802</w:t>
    </w:r>
  </w:p>
</w:ftr>
</file>

<file path=word/footer54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1803</w:t>
    </w:r>
  </w:p>
</w:ftr>
</file>

<file path=word/footer54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1804</w:t>
    </w:r>
  </w:p>
</w:ftr>
</file>

<file path=word/footer54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1805</w:t>
    </w:r>
  </w:p>
</w:ftr>
</file>

<file path=word/footer54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1806</w:t>
    </w:r>
  </w:p>
</w:ftr>
</file>

<file path=word/footer54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1807</w:t>
    </w:r>
  </w:p>
</w:ftr>
</file>

<file path=word/footer54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1808</w:t>
    </w:r>
  </w:p>
</w:ftr>
</file>

<file path=word/footer54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1809</w:t>
    </w:r>
  </w:p>
</w:ftr>
</file>

<file path=word/footer54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1810</w:t>
    </w:r>
  </w:p>
</w:ftr>
</file>

<file path=word/footer54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1811</w:t>
    </w:r>
  </w:p>
</w:ftr>
</file>

<file path=word/footer54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1812</w:t>
    </w:r>
  </w:p>
</w:ftr>
</file>

<file path=word/footer54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1813</w:t>
    </w:r>
  </w:p>
</w:ftr>
</file>

<file path=word/footer54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1814</w:t>
    </w:r>
  </w:p>
</w:ftr>
</file>

<file path=word/footer54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1815</w:t>
    </w:r>
  </w:p>
</w:ftr>
</file>

<file path=word/footer54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1816</w:t>
    </w:r>
  </w:p>
</w:ftr>
</file>

<file path=word/footer54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1817</w:t>
    </w:r>
  </w:p>
</w:ftr>
</file>

<file path=word/footer54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1818</w:t>
    </w:r>
  </w:p>
</w:ftr>
</file>

<file path=word/footer54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1819</w:t>
    </w:r>
  </w:p>
</w:ftr>
</file>

<file path=word/footer54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1820</w:t>
    </w:r>
  </w:p>
</w:ftr>
</file>

<file path=word/footer54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1821</w:t>
    </w:r>
  </w:p>
</w:ftr>
</file>

<file path=word/footer54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1822</w:t>
    </w:r>
  </w:p>
</w:ftr>
</file>

<file path=word/footer54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1823</w:t>
    </w:r>
  </w:p>
</w:ftr>
</file>

<file path=word/footer54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1824</w:t>
    </w:r>
  </w:p>
</w:ftr>
</file>

<file path=word/footer54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1825</w:t>
    </w:r>
  </w:p>
</w:ftr>
</file>

<file path=word/footer54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1826</w:t>
    </w:r>
  </w:p>
</w:ftr>
</file>

<file path=word/footer54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1827</w:t>
    </w:r>
  </w:p>
</w:ftr>
</file>

<file path=word/footer54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1828</w:t>
    </w:r>
  </w:p>
</w:ftr>
</file>

<file path=word/footer54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1829</w:t>
    </w:r>
  </w:p>
</w:ftr>
</file>

<file path=word/footer54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1830</w:t>
    </w:r>
  </w:p>
</w:ftr>
</file>

<file path=word/footer54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1831</w:t>
    </w:r>
  </w:p>
</w:ftr>
</file>

<file path=word/footer55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1832</w:t>
    </w:r>
  </w:p>
</w:ftr>
</file>

<file path=word/footer55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1833</w:t>
    </w:r>
  </w:p>
</w:ftr>
</file>

<file path=word/footer55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1834</w:t>
    </w:r>
  </w:p>
</w:ftr>
</file>

<file path=word/footer55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1835</w:t>
    </w:r>
  </w:p>
</w:ftr>
</file>

<file path=word/footer55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1836</w:t>
    </w:r>
  </w:p>
</w:ftr>
</file>

<file path=word/footer55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1837</w:t>
    </w:r>
  </w:p>
</w:ftr>
</file>

<file path=word/footer55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1838</w:t>
    </w:r>
  </w:p>
</w:ftr>
</file>

<file path=word/footer55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1839</w:t>
    </w:r>
  </w:p>
</w:ftr>
</file>

<file path=word/footer55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1840</w:t>
    </w:r>
  </w:p>
</w:ftr>
</file>

<file path=word/footer55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1841</w:t>
    </w:r>
  </w:p>
</w:ftr>
</file>

<file path=word/footer55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1842</w:t>
    </w:r>
  </w:p>
</w:ftr>
</file>

<file path=word/footer55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1843</w:t>
    </w:r>
  </w:p>
</w:ftr>
</file>

<file path=word/footer55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1844</w:t>
    </w:r>
  </w:p>
</w:ftr>
</file>

<file path=word/footer55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1845</w:t>
    </w:r>
  </w:p>
</w:ftr>
</file>

<file path=word/footer55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1846</w:t>
    </w:r>
  </w:p>
</w:ftr>
</file>

<file path=word/footer55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1847</w:t>
    </w:r>
  </w:p>
</w:ftr>
</file>

<file path=word/footer55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1848</w:t>
    </w:r>
  </w:p>
</w:ftr>
</file>

<file path=word/footer55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1849</w:t>
    </w:r>
  </w:p>
</w:ftr>
</file>

<file path=word/footer55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 الخطبة الشریفة فی(ت).</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فی(ه):«بالحکم».</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فی(ر)و(ظ)بدل«متعلّقه»:«الطرف المظنون».</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وردت فی(ظ)و(ه)زیادة،و هی:«و أنّ ما لم یرد اعتباره فی الشرع فهو داخل فی الشکّ،فالمقصود هنا بیان حکم الشکّ بالمعنی الأعمّ من ظنّ غیر ثابت الاعتبار».و کتب فوقها فی(ظ):«زائد».</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غیر(ت)زیادة:«فیه».</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ترد«الوارد»فی(ت)و(ه).</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فی(ر)،(ص)و(ه)زیادة:«حکم».</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الفوائد الحائریة:499،الفائدة 33،فی تعریف المجتهد و الفقیه.</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فی(ر):«و الفرض»،و فی(ظ)و(ه):«و لفرض».</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فی(ر)،(ص)و(ظ):«الدلیل».</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فی(ظ):«أو».</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فی(ر)،(ص)و(ه)زیادة:«حینئذ».</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فی(ت)،(ر)و(ص)زیادة:«بالنسبة إلی أصالة الاحتیاط و التخییر کالعلم رافع للموضوع،و أمّا بالنسبة إلی ما عداهما فهو بنفسه».</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18:127،الباب 12 من أبواب صفات القاضی،الحدیث 60.</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فی(ص):«و کذا».</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مبحث التعادل و التراجیح 4:13.</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فی(ت)،(ص)و(ه)زیادة:«کما سیتّضح إن شاء اللّه».</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فی(ت)،(ص)و(ه)بدل«هذه الرسالة»:«هذا المقصد».</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فی(ت)،(ظ)و(ه):«المتیقّنة السابقة».</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العنوان منّا.</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فی(ظ)بدل«إمّا تحریم مشتبه بغیر الوجوب-إلی-بالوجوب»:«إمّا إیجاب مشتبه بغیره،و إمّا تحریم کذلک».</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فی(ت)و(ظ)،و فی غیرهما:«فلو فرض».</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«إنّ»من(ه).</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البقرة:222.</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17-18.</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القوانین 2:16.</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الناسب هو الوحید البهبهانی،کما سیأتی فی الصفحة 105،و انظر الفصول: 352.</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فی(ت)و(ر):«و بین».</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الصفحة 105-108.</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الطلاق:7.</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الفاضل النراقی فی المناهج:210.</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الطلاق:7.</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5:309.</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النسخ:«یستلزم».</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فی(ر)و(ه):«و الفعل».</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1:163،باب البیان و التعریف و لزوم الحجة،الحدیث 5.و الآیتان من سورة البقرة:286،و الطلاق:7.</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الصفحة 56.</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البقرة:286.</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الإسراء:15.</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فی(ص)زیادة:«فإنّه».</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المحقّق الطوسی فی مبحث اللطف من تجرید الاعتقاد،و أوضحه العلاّمة الحلّی فی شرحه(کشف المراد):327.</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المحقّق القمی علی الوحید البهبهانی قدّس سرّهما الذی عبّر عنه فی القوانین ب: «بعض الأعاظم»،انظر القوانین 2:16-17،و الرسائل الاصولیّة:353، و الفوائد الحائریّة:373.</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18:114و 118،الباب 12 من أبواب صفات القاضی،الحدیث 9 و 23.</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الصفحة 64-67.</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یظهر من الشیخ الطبرسی القول به فی تفسیر مجمع البیان 5:247.</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التوبة:115.</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1:163،باب البیان و التعریف و لزوم الحجّة،الحدیث 3.</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2:115،الحدیث 150.</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التوحید للصدوق:414،باب التعریف و البیان و الحجّة،الحدیث 11.</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23.</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الأنفال:42.</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الانعام:145.</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الوافیة:186.</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الصفحة 55-56.</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الأنعام:119.</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الصفحة 42 و 50.</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فی(ر)و(ظ):«بذلک».</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الخصال:417،باب التسعة،الحدیث 9.</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التوحید للصدوق:353،باب الاستطاعة،الحدیث 24.</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فی(ر)و المصدر،و فی غیرهما زیادة:«أشیاء».</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11:295،باب جملة ممّا عفی عنه،الحدیث الأوّل.</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فی(ظ)،(ه)و نسخة بدل(ص)،و فی غیرها:«فهو کقوله».</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18:119،الباب 12 من أبواب صفات القاضی،الحدیث 28.</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غیر(ر):«و الظاهر أن».</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فی(ر)و(ظ)،و فی(ت)و(ص):«المرفوع».</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المصدر و محتمل(ت)،و فی غیرهما:«یستحلف».</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النسخ،و لکن لیست للحدیث تتمّة.انظر المحاسن 2:70،کتاب العلل، الحدیث 124،و الوسائل 16:136،الباب 12 من کتاب الأیمان،الحدیث 12.</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فی(ص)،و فی غیرها زیادة:«و ما اضطرّوا إلیه».</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البقرة:286.</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فی(ت)و(ر)زیادة:«فی».</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نقف علیه.</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فی(ت)،(ر)و(ص)زیادة:«قطعیّ»،و لکن یحتمل شطبها فی(ت).</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فی(ه):«المخصّص».</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فی(ت)،(ر)،(ص)و(ه):«التخصیص بکثیر».</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ترد«رفع»فی(ر)و(ه).</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ترد«هی»فی(ر)و(ظ).</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فی(ر)،(ص)و(ه):«هناک».</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فی(ر)،(ص)و(ه):«التکلیف إلیه».</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32.</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فی(ر)و(ص)زیادة:«هنا»،و لکن شطب علیها ظاهرا فی(ص).</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فی الصفحة 29.</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فی(ت)و(ه)زیادة:«الإکراه».</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فی(ظ):«بشفة»،و فی(ت)و(ه):«بشفتیه».</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فی(ص):«عن».</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البحار 73:237،باب الحسد.</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المصدر،و فی النسخ«الهندی».</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النسخ،و لکن لیست للحدیث تتمّة.انظر الکافی 2:463،باب ما رفع عن الامّة،الحدیث 2،و الوسائل 11:295،الباب 56 من أبواب جهاد النفس،الحدیث 3.</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58:320،ذیل الحدیث 9.</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یذکر ذلک فی روایة الخصال الآتیة فی الصفحة 40.نعم،فی الوسائل عن حمزة بن حمران،عن أبی عبد اللّه علیه السّلام،قال:«ثلاثة لم ینج منها نبیّ فمن دونه:التفکّر فی الوسوسة فی الخلق،و الطیرة،و الحسد،إلاّ أنّ المؤمن لا یستعمل حسده»الوسائل 11:293،الباب 55 من أبواب جهاد النفس، الحدیث 8.</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2:126.</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فی(ت)و(ه)بدل:«الظنّ بالمؤمن»:«بغض المؤمن»،و فی المصدر:«بغضة المؤمن».</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2:128.</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مجمع البحرین 3:385(مادة طیر).</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58:322،ذیل الحدیث 10،مع تفاوت.</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فی(ص)،(ظ)،(ه)و محتمل(ر)،و فی(ت)و محتمل(ر):«الطیر».</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المجلسی فی مرآة العقول 11:393.</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4:1191،الباب 16 من أبواب الذکر،الحدیث الأوّل.</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4:1192،الباب 16 من أبواب الذکر،الحدیث 4.</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کلمة«اللّه»المبارکة من المصدر.</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2:425،باب الوسوسة و حدیث النفس،الحدیث 3.</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4:1192،الباب 16 من أبواب الذکر،الحدیث 3.</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4:1192،الباب 16 من أبواب الذکر،الحدیث 2.</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فی(ظ)و المصدر،و فی(ت)،(ر)و(ص):«بشفته»،و فی(ه):«بشفتیه».</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الخصال:89،باب الثلاثة،الحدیث 27.</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المصدر،ذیل الحدیث المذکور.</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النمل:47.</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النساء:54.</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المدثر:18-19.</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18:119،الباب 12 من صفات القاضی،الحدیث 28.</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فی(ظ)،و فی غیرها:«من معصیة».</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البلاغة:487،الحکمة 105.</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عوالی اللآلی 1:424،الحدیث 109،و انظر المستدرک 18:20،الباب 12 من أبواب مقدّمات الحدود،الحدیث 4.</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27.</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1:164،باب حجج اللّه علی خلقه،الحدیث 2.</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فی(ه):«المنفی».</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5:344،الباب 30 من أبواب الخلل فی الصلاة،الحدیث الأوّل، مع تفاوت یسیر.</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1:162،باب البیان و التعریف و لزوم الحجة،الحدیث الأوّل.</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27 و 42.</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1:317،الحدیث 937.و انظر الوسائل 4:917،الباب 19 من أبواب القنوت،الحدیث 3.</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1:317،ذیل الحدیث 937.</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 فی أمالی الصدوق،نعم ذکره قدّس سرّه فی اعتقاداته،کما سیأتی فی الصفحة 52.</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ستأتی أدلّة الاحتیاط فی الصفحة 62،فما بعدها.</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النسخ:«یقتضیه».</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المصدر،و فی النسخ:«ینقضی».</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المصدر:«یعذر».</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14:345،الباب 17 من ابواب ما یحرم بالمصاهرة،الحدیث 4.</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فی(ظ)،و فی(ر)،(ص)و(ه):«فهو لیس»،و فی(ت):«و لیس».</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ترد«فیها»فی(ر)و(ظ).</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«و»من(ت)و(ه).</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18:396،الباب 27 من أبواب حد الزنا،الحدیث 3.</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المستدلّ هو الفاضل التونی فی الوافیة:181،و کذا الفاضل النراقی فی المناهج:211.</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الذکری 1:52.</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12:59،الباب 4 من أبواب ما یکتسب به،الحدیث الأوّل.</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الوافیة(مخطوط):247-248،مع تفاوت کثیر.</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فی(ه):«مثّل».</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فی(ص):«إلیه».</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12:60،الباب 4 من أبواب ما یکتسب به،الحدیث 4،مع تفاوت.</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الفاضل النراقی قدّس سرّه فی المناهج.</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مناهج الأحکام:212.</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فی(ه):«ممّا ذکره».</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المورد هو المحقّق القمی قدّس سرّه فی القوانین 2:19.</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«الحرمة»من المصدر.</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القوانین 2:259.</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فی(ص)زیادة:«التحریمیّة».</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ستأتی فی الصفحة 64-67،76-78 و 82.</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فی(ر)و(ظ):«فلا تعارض».</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فی(ر)و(ص):«علی».</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ترد«من حیث هو و لا علی تحریمه»فی(ر).</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56.</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ترد«هو»فی(ت)و(ر).</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«هنا»من(ظ).</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1:9.</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فی(ت)و(ه):«و لم یلتزم».</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فی(ظ)زیادة:«فیه».</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ترد«ما»فی(ت)،(ر)و(ه).</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ترد«فیه»فی(ت)و(ر).</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الاعتقادات للشیخ الصدوق،المطبوع ضمن مصنفات الشیخ المفید 5:114.</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فی(ص):«بل استظهر».</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استظهره المحقّق القمّی فی القوانین 2:16.</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الذریعة 2:809-812،و الغنیة(الجوامع الفقهیة):486.</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الذریعة 2:549،و الغنیة(الجوامع الفقهیة):476.</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العدّة 2:742،و انظر التذکرة باصول الفقه(مصنفات الشیخ المفید):43.</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العدّة 2:750.</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1:46.</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المعارج:212،و انظر المعتبر 1:32.</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نهایة الوصول(مخطوط):424.</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الذکری 1:52،و القواعد و الفوائد 1:132،و تمهید القواعد:271.</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الوحید البهبهانی فی الرسائل الاصولیّة:353.</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المعارج:203 و 216.</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الناسب هو المحقّق القمی فی القوانین 2:15،و انظر المعتبر 1:32.</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الصفحة 93.</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التخصیص من الشیخ حسین الکرکی فی کتاب هدایة الأبرار:266.</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المعارج:216.</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43.</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1:46.</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المعارج:208.</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المسائل المصریّة(الرسائل التسع):216.</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فی(ه):«فإنّما».</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51-53.</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فی(ر)و(ص)زیادة«وجدان».</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المعارج:205-206.</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بعد سطور.</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الصفحة 57،91 و 122-126.</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ترد«به»فی(ظ)و(ه).</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نسخة بدل(ظ)،و فی غیرها:«بها».</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الصفحة 122-126.</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الغنیة(الجوامع الفقهیّة):464.</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کالمحقّق فی المعارج:212-213،و العلاّمة فی نهایة الوصول(مخطوط): 424،و الفاضل التونی فی الوافیة:180،و المحقّق القمّی فی القوانین 2:16.</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کالسید العمیدی فی منیة اللبیب(مخطوط):الورقة 72،و الحاجی و العضدی فی شرح مختصر الاصول:104-105،و انظر مفاتیح الاصول:318.</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فی(ت)،(ص)و(ه)،و فی غیرها:«یکون».</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فی(ظ)و(ه):«لا یصحّ».</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استدل بهذا الوجه صاحب الفصول فی الفصول:352.</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مبحث الاستصحاب 3:13 و 87.</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فی(ظ)بدل«العقاب»:«الاستحقاق».</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کصاحب الفصول فی الفصول:352،370 و 377.</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ترد«بالاستصحاب»فی(ت)و(ظ)،نعم ورد بدلها فی(ت):«به».</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مبحث الاستصحاب 3:291.</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استدل بهذا الوجه السید المجاهد فی المفاتیح:506.</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فی(ف)و فی غیرها:«فهی».</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ترد«المنصوصة»فی(ر)،(ص)و(ظ).</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استدلّ بهذا الوجه-کما قیل-المحقّق جمال الدین الخوانساری فی حاشیته علی شرح المختصر(مخطوط)،و کذا السید المجاهد فی المفاتیح:509.</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العنوان منّا.</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قوله تعالی فی سورة الإسراء:36 وَ لاٰ تَقْفُ مٰا لَیْسَ لَکَ بِهِ عِلْمٌ .</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الذکری(الطبعة الحجریّة):238.</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عمران:102.</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الحج:78.</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التغابن:16.</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البقرة:195.</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النساء:59.</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الذکری 2:444.</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18:9 و 20،الباب 4 و 6 من أبواب صفات القاضی.</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السابقة.</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18:76،الباب 9 من أبواب صفات القاضی،الحدیث الأول.</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تعریض بالفاضل النراقی و تضعیف لما ذکره فی جواب الاستدلال،انظر مناهج الأحکام:214.</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18:67-75،الباب 9 من أبواب صفات القاضی،الحدیث الأوّل.</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18:86،الباب 9 من أبواب صفات القاضی،الحدیث 35.</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18:112،الباب 12 من أبواب صفات القاضی،الحدیث 2.</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18:126،الباب 12 من أبواب صفات القاضی،الحدیث 50.</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18:126،الباب 12 من أبواب صفات القاضی،ذیل الحدیث 50.</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18:115،الباب 12 من أبواب صفات القاضی،الحدیث 13.</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18:116،الباب 12 من أبواب صفات القاضی،الحدیث 15،و فیه مسعدة بن زیاد.</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3:124،الباب 13 من أبواب المواقیت،الحدیث 11،مع تفاوت.</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7:95،الباب 57 من أبواب ما یمسک عنه الصائم،الحدیث 4،مع تفاوت.</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المصدر،و فی(ت)،(ظ)و(ه):«ضلالة»و فی(ر)و(ص): «ضلاله».</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المصدر،و فی(ر)،(ص)و(ه):«فإنّ الکفّ عنده خیر من الضلال و خیر من رکوب الأهوال».</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18:117،الباب 12 من أبواب صفات القاضی،الحدیث 20.</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فی(ص)و المصدر،و فی غیرهما:«نزل».</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فی(ص)و المصدر،و فی غیرهما:«إلی».</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18:12،الباب 4 من أبواب صفات القاضی،الحدیث 14،و الآیة من سورة النحل:43.</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18:118،الباب 12 من أبواب صفات القاضی،الحدیث 23.</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18:123،الباب 12 من صفات القاضی،الحدیث 43.</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18:119،الباب 12 من أبواب صفات القاضی،الحدیث 27.</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18:82،الباب 9 من أبواب صفات القاضی،الحدیث 21.</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18:111،الباب 12 من أبواب صفات القاضی.</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فی(ص):«الجاهل».</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فی(ت)،(ه)و نسخة بدل(ص):«العلمیّة».</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18:115،الباب 12 من أبواب صفات القاضی،الحدیث 11.</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فی(ر)و(ظ):«الوقف».</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18:118،الباب 12 من أبواب صفات القاضی،الحدیث 24.</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18:117،الباب 12 من أبواب صفات القاضی،الحدیث 20.</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18:118،الباب 12 من أبواب صفات القاضی،الحدیث 22.</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18:122،الباب 12 من أبواب صفات القاضی،الحدیث 40.</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18:127،الباب 12 من أبواب صفات القاضی،الحدیث 57.</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فی(ر)،(ص)و(ظ):«أو».</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18:129،الباب 12 من أبواب صفات القاضی،الحدیث 61.</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فی(ت)و(ص):«تکلیف».</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فی(ظ)،و فی غیرها:«کان».</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فی الصفحة 64-66.</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فی(ص)بدل«کالاحتراز عن»:«کارتکاب».</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فی(ر)و(ص):«الهلکة».</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فی(ر)،(ص)و(ظ):«الهلکة».</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فی(ر)و(ص):«الاحتیاط».</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فی الصفحة 64.</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فی الصفحة 64،أیضا.</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فی الصفحة 65.</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فی الصفحة 65،أیضا.</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فی(ت)،(ظ)و المصدر،و فی غیرها:«محرّمة».</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14:193،الباب 157 من أبواب مقدّمات النکاح،الحدیث 2.</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فی(ص)و(ظ)،و فی غیرهما:«لکن».</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الجواب ذکره صاحب الفصول فی الفصول:356،تبعا للمحقّق القمّی فی القوانین 2:21.</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الجواب مذکور فی ضوابط الاصول:323.</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الجواب ذکره المحقّق القمّی فی القوانین 2:21.</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الجواب أیضا ذکره المحقّق القمّی فی القوانین 2:22.</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فی(ظ):«و إنّما تثبت بعد الاعتراف».</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الحدیث فی الصفحة 43.</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فی(ت)،(ر)و(ه):«و ظاهر».</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المحدّث الأسترابادی فی الفوائد المدنیّة:137.</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الجواب للفاضل النراقی فی المناهج:214.</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27 و 50.</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فی(ر)،(ص)و(ظ):«فإن».</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الحدیث فی الصفحة 43.</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فی(ه)،و فی(ت)،(ر)،(ص)و(ظ):«لکن فیوجد».</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«عنه»من المصدر.</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18:111،الباب 12 من أبواب صفات القاضی،الحدیث الأوّل.</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«إلیّ»من المصدر.</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3:129،الباب 16 من أبواب المواقیت،الحدیث 14.</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الأمالی:110،الحدیث 168،و الوسائل 18:123،الباب 12 من أبواب صفات القاضی،الحدیث 41.</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18:127،الباب 12 من أبواب صفات القاضی،الحدیث 54.</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الذکری 2:444،و الوسائل 18:124 و 127،الباب 12 من أبواب صفات القاضی،الحدیث 47 و 56،و سنن النسائی 8:230،و کنز العمال 3: 429،الحدیث 7297.</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الذکری 2:445،و الوسائل 18:127،الباب 12 من أبواب صفات القاضی،الحدیث 58.</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فی(ت)،(ر)و(ص):«ما أرسله عنهم».</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 فی المجامیع الحدیثیّة،نعم رواه المحدّث البحرانی فی الحدائق 1: 76.</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سیأتی ذکرهم فی الصفحة 316.</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فی(ت)و(ه)زیادة:«فیه».</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فی(ت)و(ر):«الغروب».</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نسخه بدل(ت)و(ه):«لزومه».</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ترد«و»فی(ص)و(ه).</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فی(ر)و(ص)بدل«کذلک»:«لک».</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فی(ص)زیادة:«التی».</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التغابن:16.</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فی(ه)و نسخة بدل(ت):«سند».</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المعارج:216.</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فی(ت)،(ر)و(ص):«فلا ریب فیه».</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فی(ر)و(ص):«بالأخذ بالمشهور».</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18:75-76،الباب 9 من أبواب صفات القاضی،الحدیث الأوّل.</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فی(ر)و(ظ):«الریب».</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فی(ر)،(ص)و(ظ):«تخلّص».</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ترد«النبوی»فی(ر)،(ص)و(ظ).</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هی روایة جمیل المتقدّمة فی الصفحة 66-67.</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فی الصفحة 68،و ستأتی فی الصفحة 86.</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69.</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فی(ظ):«للتحذّر».</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27 و 42.</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فی(ظ):«واجبا».</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فی(ر)،(ص)و(ه)زیادة:«منها».</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68.</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الصفحة اللاحقة.</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فی الصفحة 68.</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فی(ر)،(ص)و(ظ):«الوقف».</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4:75،باب نوادر الحدود،الحدیث 5149،و قد تقدّم تخریجها عن الوسائل،راجع الصفحة 68.</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18:124،الباب 12 من أبواب صفات القاضی،الحدیث 47.</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12:52،الباب 63 من أبواب جهاد النفس،الحدیث الأوّل.</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18:118،الباب 12 من أبواب صفات القاضی،الحدیث 25.</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الحشر:7.</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فی(ظ):«یستدعی البراءة»،و فی(ر)و(ص):«یستدعی البراءة الیقینیّة».</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فی(ر)و(ص):«یحتمل».</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النسخ:«لا یوجب».</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النسخ:«قام».</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الصفحة 233.</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فی(ه)،و فی(ت)،(ر)و(ص):«الشبهات».</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نسبه إلیهم المحقّق فی المعارج:203.</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التذکرة باصول الفقه(مصنّفات الشیخ المفید)9:43،و العدّة 2: 742.</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العدّة 2:742</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الغنیة(الجوامع الفقهیّة):476-477.</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فی(ظ)،و فی غیرها:«بأصالة الإباحة».</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الغنیة(الجوامع الفقهیّة):486.</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الذریعة 2:809-812.</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فی(ظ):«العقل».</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العدّة 2:742-743.</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الصفحة 122-126.</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عنه المحقّق القمّی فی القوانین 2:15.</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فی(ت)،(ر)و(ص)زیادة:«المردّدة».</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1:32،مع تفاوت فی العبارة.</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المعارج:212-213.</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1:26.</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المصدر،و فی(ت)،(ر)،(ص)و(ه):«و لیعمل»،و فی(ظ): «و یعمل».</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الفوائد المدنیّة:140-141.</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فی(ر)و(ظ):«شأنیّ».</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94.</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فی(ت)و(ه):«أو».</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فی(ظ):«عامّ».</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ذکره فی کلامه المتقدّم عن المعارج فی الصفحة 94.</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فی(ص)و(ظ):«لعموم».</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الصفحة 99.</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فی(ر)زیادة:«فی کلامه».</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العدّة 2:756.</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الفصول:351،و القوانین 2:13.</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المعتبر 1:252،335،358،359 و 462.</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المعالم:194.</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الزبدة:58.</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المعتبر 1:32،و القواعد و الفوائد 1:132،و تمهید القواعد:271.</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المعارج:208.</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أی:أخبار البراءة المتقدّمة فی الصفحة 28 و 41-45.</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أی:أخبار التوقّف و الاحتیاط و التثلیث.</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فی(ص):«و ظاهر».</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فی(ت)زیادة:«عدم».</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الأنفال:20.</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ترد«و»فی(ر)و(ص).</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هامش(ت)و(ص)زیادة:«هذا کلّه بالنظر إلی الأمر بالاحتیاط،و أمّا-</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68.</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فی(ر)،(ص)و(ظ)بدل«الخاصیة المترتّبة»:«الثواب المترتّب»،و فی (ت):«الثواب»،و فوقها:«الخاصیّة».</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الفوائد الحائریّة:240،و الرسائل الاصولیّة:349-350.</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أی:الوحید البهبهانی.</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الصفحة 82.</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فی(ص)،و فی غیرها:«کونه».</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الفوائد الحائریّة:242،و لکن لیست هذه العبارة«و یخطر بخاطری...» فی نسختنا من الفوائد.</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69.</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مبحث القطع 1:45.</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فی(ت)و(ه):«فی الإقدام».</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جامع المقاصد 1:166،الروضة البهیّة 1:285-286،و تمهید القواعد:270.</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ادّعاه السیّد المرتضی فی الناصریّات:99،و انظر مفاتیح الشرائع 1:69- 70،و مفاتیح الاصول:534.</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ترد«أکل»فی(ر)و(ظ).</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ترد«هنا»فی(ر)و(ظ).</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الشیخ علی،انظر الروضة البهیّة بخطّ عبد الرحیم،طبعة المکتبة العلمیة الإسلامیة،الصفحة 21.</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تمهید القواعد:270،و لکن لیست فیه«کون المحلّلات محصورة».</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المناهج السویّة(مخطوط):الورقة 84.</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فی(ه)،و فی(ت):«فی الطیّبات»،و لم ترد«بالطیّبات»فی(ر)،(ص)و(ظ).</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المائدة:4.</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الأنعام:145.</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17:3،الباب 1 من أبواب الأطعمة و الأشربة،الحدیث 4.</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قیل:هو المحدّث الجزائری.</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الوحید البهبهانی فی الرسائل الاصولیّة:377.</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فی(ت)،و فی غیرها:«التحریم».</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المتوهّم هو المحدّث الحرّ العاملی فی الفوائد الطوسیّة:518،و سیأتی نقل کلامه فی الصفحة 130-135.</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ترد«المذکورة»فی(ر)و(ظ).</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62-96.</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النسخ،و لکن لیست للحدیث تتمّة.انظر عوالی اللآلی 4:133، الحدیث 229،و المستدرک 17:303،الباب 9 من أبواب صفات القاضی، الحدیث 2.</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1:99.</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المعارج:156،و المعالم:253،و الفصول:445،و مفاتیح الاصول: 705.</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نهایة الوصول(مخطوط):458.</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غایة البادئ(مخطوط):289.</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مبادئ الوصول:237،و تهذیب الوصول:99.</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فی(ص)زیادة:«الخبر».</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المعارج:157،و مفاتیح الاصول:708.</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فی غایة المأمول(مخطوط):الورقة 220.</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المقصود ما حکاه السیّد المجاهد عن غایة المأمول،انظر مفاتیح الاصول: 708.</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مفاتیح الاصول:705 و 708.</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فی(ت)و(ص)و محتمل(ه):«فتفارق».</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فی(ر)،(ص)و(ظ):«أو».</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فی(ص)و(ظ)و محتمل(ه)،و فی غیرها:«أو».</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هی روایة مسعدة بن صدقة الآتیة بعد سطور،و لم نعثر علی غیر ذلک فی المجامیع الحدیثیّة.نعم،ورد ما یقرب منه فی الوسائل 16:403،الباب 64 من أبواب الأطعمة المحرّمة،الحدیث 2.</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12:59،الباب 4 من أبواب ما یکتسب به،الحدیث الأوّل.</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التذکرة(الطبعة الحجریّة)1:588.</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12:60،الباب 4 من أبواب ما یکتسب به،الحدیث 4.</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الوحید البهبهانی فی الرسائل الاصولیّة:399،و الفاضل النراقی فی المناهج:211 و 216.</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فی(ظ)،و فی غیرها:«أو».</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فی(ص)زیادة:«باقی».</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فی(ه)و فی غیرها:محصور.</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عمران:157.</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عمران:33.</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الحشر:7.</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سیأتی ذکرهم فی الصفحة 170.</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فی(ر)و(ظ):«الصلاة».</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الصفحة 169-170.</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90.</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فی(ر)و(ص):«کلّما».</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فی(ر)زیادة:«به».</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العدّة 2:742-743.</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البقرة:195.</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 فی العدّة.</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12:60،الباب 4 من أبواب ما یکتسب به،الحدیث 4.</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الذکری(الطبعة الحجریّة):258،و الروض:388،و الذخیرة:409، و کشف الغطاء:272.</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المنتهی 3:34،و المدارک 2:194،و مستند الشیعة 3:380.</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الشرائع 1:210،و المدارک 6:285.</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کالمحدّث البحرانی فی الحدائق 13:171،و السیّد الطباطبائی فی الریاض 1: 329،و الفاضل النراقی فی المستند 10:375،و صاحب الجواهر فی الجواهر 5: 110،و 16:346.</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ترد«مع»فی(ت)،(ظ)و(ه).</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ترد«لذا»فی(ظ).</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غیر(ه)زیادة:«له».</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فی(ت)و هامش(ص)و نسخة بدل(ه)زیادة:«هذا تمام الکلام فی هذا المقام،و قد تقدّم فی الاستدلال علی حجّیّة الظنّ بلزوم دفع الضرر المظنون،ما ینفع نقضا و إبراما،فراجع»،مع اختلاف یسیر بینها.</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 عبارة«فإن قلت-إلی-السکنات»فی(ت)،و کتب علیها فی(ص) و(ه):«زائد».</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أکثر النسخ:«المتردّدة».</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فی(ت)،(ص)و(ه):«غیره».</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فی(ظ):«بقوله».</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6:375،الباب 3 من أبواب الأنفال،الحدیث 2.</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فی(ظ)و(ه):«أو».</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الوجه للسیّد العاملی فی المدارک 2:387.</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الوجه للسیّد الصدر فی شرح الوافیة(مخطوط):365.</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المائدة:3.</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عنون الفقهاء هذه المسألة فی مواضع عدیدة،منها:کتاب الصید و الذباحة،و منها:کتاب الطهارة فی مسألة الجلد المطروح.</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12:59،الباب 4 من أبواب ما یکتسب به،الحدیث الأوّل.</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الفوائد الطوسیّة:518-519،و ما اخترناه من النسخ و أثبتناه أقرب إلی المصدر.</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18:114،الباب 12 من أبواب صفات القاضی،الحدیث 9.</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الفوائد الطوسیّة:519.</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أی:النبویّ المذکور فی أوّل هذه الصفحة:«حلال بیّن و حرام بیّن و شبهات».</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فی(ظ)زیادة:«فیه».</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مبحث الاستصحاب 3:31،44 و 116-117.</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الفوائد الطوسیّة:519-520.</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فی(ت):«الخمریّة».</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الشیخ الحرّ العاملی،راجع الصفحة 134.</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 عبارة«یحتاط-إلی-فلا»فی(ظ)و(ه).</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14:193،الباب 157 من أبواب مقدّمات النکاح و آدابه،الحدیث 1 و 3.</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14:193،الباب 157 من أبواب مقدّمات النکاح و آدابه،الحدیث 2،و قد تقدّم فی الصفحة 72.</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14:227،الباب 25 من أبواب عقد النکاح.</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14:226،الباب 23 من أبواب عقد النکاح،الحدیث الأوّل و الثالث.</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المصدر،الحدیث الثانی.</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14:457،الباب 10 من أبواب المتعة.</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«فیها»من(ت).</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فی(ص):«الحرج».</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12:60،الباب 4 من أبواب ما یکتسب به،الحدیث 4.</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17:91،الباب 61 من أبواب الأطعمة المباحة،الحدیث 2.</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4:75،الباب 48 من کتاب العتق،الحدیث الأوّل.</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2:1071،الباب 50 من أبواب النجاسات،الحدیث 3.</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14:457،الباب 10 من أبواب المتعة،الحدیث 3 و 4،مع تفاوت.</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18:119-120،الباب 12 من أبواب صفات القاضی،ذیل الحدیث 28.</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1:43.</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فی(ت)،(ص)و(ه)زیادة:«به».</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الدرر النجفیّة:25،و الحاکی هو الشیخ محمّد تقی فی هدایة المسترشدین: 444.</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فی(ر)و المصدر:«أرضعت».</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1:68-70.</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18:118،الباب 2 من أبواب صفات القاضی،الحدیث 23. و کنز العمّال 15:855،الحدیث 43403.</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18:124 و 127،الباب 12 من أبواب صفات القاضی،الحدیث 471 و 56.</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الفوائد المدنیّة:138-139.</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فی(ظ):«احتمال».</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النسخ:«ورد».</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الفوائد المدنیّة:162-163.</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94.</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99.</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مبحث الاستصحاب 3:87.</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المعارج:216.</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 فی المعالم،و لا علی الحاکی.</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المبسوط 1:15 و 59.</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الانتصار:103،143،146 و 148،و الغنیة:55،58،59 و 63.</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الصفحة 318.</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فی(ص)،(ظ)و(ه):«أنّها».</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غیر(ظ)زیادة:«أقواهما»،و نقل المحقّق الهمدانی قدّس سرّه عن سیّد مشایخه رحمه اللّه:أنّها لم تثبت فی النسخة المرقومة بخطّ المصنّف رحمه اللّه،و إلیک نصّ عبارته: «حکی سیّد مشایخنا أدام اللّه بقاءه عدم ذکر لفظ"أقواهما"فی النسخة المرقومة بخطّ المصنّف رحمه اللّه،فهو بحسب الظاهر من تحریفات النسّاخ؛و کیف لا؟و من المعلوم من مذهب المصنّف رحمه اللّه جریان الاحتیاط فی العبادات،و الاکتفاء فی صحّة العبادة بحصولها بداعی الأمر المحتمل علی تقدیر مصادفة الاحتمال للواقع»، انظر حاشیة الهمدانی علی الرسائل:68.</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فی(ت)و(ه)زیادة:«أو الظنّ المعتبر».</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69.</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الأنفال:20.</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الذکری 2:444.</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التغابن:16.</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عمران:102.</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المؤمنون:60.</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البقرة:43.</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فی(ت)،(ظ)و نسخة بدل(ه)،و فی غیرها:«ذلک».</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فی(ت)و(ه):«تقییده».</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العنوان منّا.</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1:93،الحدیث 2،و الوسائل 1:60،الباب 18 من أبواب مقدّمة العبادات،الحدیث 3.</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2:256،ذیل الحدیث 3،و حکاه عنه فی هدایة المسترشدین:423.</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النسخ:«فعله»،و ما أثبتناه موافق للمصدر.</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الداعی:12،و الکافی 2:87،باب من بلغه ثواب علی عمل،الحدیث الأوّل،و الوسائل 1:61،الباب 18 من أبواب مقدّمة العبادات،الحدیث 8.</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3:171،و الوسائل 1:61،الباب 18 من أبواب مقدّمة العبادات،الحدیث 9.</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1:59،الباب 18 من أبواب مقدّمة العبادات.</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لتفصیل الأقوال و الایرادات و أجوبتها رسالة«التسامح فی أدلّة السنن» للمصنّف قدّس سرّه.</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102-103.</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1:59،الباب 18 من أبواب مقدّمة العبادات،الحدیث 4 و 7.</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فی(ظ)،و فی غیرها:«فی هذه».</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النساء:13.</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1:429،الباب 76 من أبواب آداب الحمّام،الحدیث الأوّل.</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فی(ت)،و فی غیرها:«مدفوع».</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فی(ظ)،و فی غیرها:«و الغرض».</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فی(ت)،(ه)و محتمل(ص)و(ظ):«بهذا».</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الأنعام:160.</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النسخ:«یظهر».</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ترد«الشرعیّة»فی(ر)و(ظ).</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النسخ،و المناسب:«یلزم به».</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فی(ظ)،و فی غیرها:«إیجابه».</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«به»من(ظ).</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ترد«مسقطا للواجب الآخر أو مباحا»فی(ه).</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فی(ر)و(ه):«التعیّنی».</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فی(ه):«فمتّصف».</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فی(ه)،و فی غیرها:«فتعیین».</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إیضاح الفوائد 1:154.</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142.</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المعارج:208.</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148.</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الفوائد المدنیّة:163.</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1:69 و 70.</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101.</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فی الصفحة 154.</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162.</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الأسترابادی و البحرانی المتقدّمین فی الصفحة 162.</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الفوائد المدنیّة:163،و الحدائق 1:70.</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67-71.</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کمقبولة عمر بن حنظلة المرویّة فی الوسائل 18:75،الباب 9 من أبواب صفات القاضی،الحدیث الأوّل.</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فی الصفحة 115.</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116.</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فی الصفحة 76.</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2:304،و الوسائل 4:967،الباب 13 من أبواب السجود، الحدیث 8.</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فی(ت)و(ظ)،و فی غیرهما:«لا یتمکّن».</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فی(ت)و نسخة بدل(ص)بدل«من جهة»:«لأجل».</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المعارج:156،و نهایة الوصول(مخطوط):458،و المعالم:253.</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فی نهایة الوصول(مخطوط):458،و انظر مفاتیح الاصول:705.</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نهایة الوصول(مخطوط):460،و مفاتیح الاصول:710.</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المعارج:157،و نهایة الوصول(مخطوط):459.</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مفاتیح الاصول:708.</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 فی(ر)و(ظ):«و الحکم فیه البراءة».</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119.</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121.</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الصفحة 173-176.</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مفتاح الکرامة 3:406.</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المقنعة:148 و 149.</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الروضة البهیّة 1:750.</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2:361.</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نهایة الإحکام 1:325.</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الذکری 2:437-438،و المقاصد العلیّة:217.</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الریاض 4:289.</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2:198.</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169-170.</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السیّد بحر العلوم فی المصابیح،کما سیأتی.</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الحاکی عنه هو السیّد العاملی فی مفتاح الکرامة 3:408-409.</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الذخیرة:384.</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«أنّه»من(ت)و(ه).</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الکافی 3:294،الحدیث 10.</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 فی کتاب الصلاة من المصابیح(مخطوط).</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169-170.</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«أصل»من(ت)و(ه).</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5:347،الباب الأوّل من أبواب قضاء الصلوات،باب وجوب قضاء الفریضة الفائتة بعمد أو نسیان أو نوم أو ترک طهارة.</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إرشاد الأذهان 1:270،و مفتاح الکرامة 3:377.</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الفقهیّة للمصنّف:223-224.</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کقوله تعالی: أَقِمِ الصَّلاٰةَ لِدُلُوکِ الشَّمْسِ إِلیٰ غَسَقِ اللَّیْلِ ،الإسراء:78.</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5:350،الباب 2 من أبواب قضاء الصلوات،الحدیث الأوّل.</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نقف علیه فی المجامیع الحدیثیّة.</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3:205،الباب 60 من أبواب المواقیت،الحدیث الأوّل.</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1:330،الباب 42 من أبواب الوضوء،الحدیث 2.</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3:55،الباب 18 من أبواب أعداد الفرائض و نوافلها،الحدیث 2.</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غیر(ت):«اختلف».</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مبحث القطع 1:87.</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وردت عبارة«و مرجعه-إلی-بلا مرجّح»فی(ت)،(ر)و(ه)بعد قوله: «و لا واقعا»،و وردت فی(ظ)فی الهامش.</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ترد«و وجوب-إلی-لا بعینه»فی(ظ)،نعم وردت بدلها:«و التخییر».</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وردت العبارة فی(ظ)هکذا:«أو أحدهما المعیّن لم یکن إشکال».</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17:91،الباب 61 من أبواب الأطعمة المباحة،الحدیث 2.</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18:119،الباب 12 من أبواب صفات القاضی،الحدیث 28.</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الطوسی:669،الحدیث 12/1405.</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فی(ر)و نسخة بدل(ص)بدل«حینئذ»:«الحکم».</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ترد«به»فی(ظ).</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فی(ت):«یبتنی».</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ترد«فی الواقع»فی(ظ).</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فی(ر)و(ص)زیادة:«العادی».</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18:88،الباب 9 من أبواب صفات القاضی،الحدیث 42.</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18:80،الباب 9 من أبواب صفات القاضی،الحدیث 19.</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18:108،الباب 11 من أبواب صفات القاضی،الحدیث 40.</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فی(ت)و(ظ)بدل«تعیینه»:«نفسه».</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وردت فی(ظ)و هامش(ص)،بعنوان«نسخة»زیادة،و هی:«فالأقوی فی المسألة:التوقّف واقعا و ظاهرا؛و أنّ الأخذ بأحدهما قول بما لا یعلم لم یقم علیه دلیل،و العمل علی طبق ما التزمه علی أنّه کذلک لا یخلو من التشریع».</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سیجیء فی الصفحة اللاحقة.</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المعارج:133.</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سلطان العلماء فی حاشیته علی المعالم و تبعه صاحبا القوانین و الفصول،انظر المعالم(الطبعة الحجریّة):181،حاشیة سلطان العلماء المبدوّة بقوله:«هذا ممنوع فی العمل...الخ»،و القوانین 1:383،و الفصول:257.</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فی(ه):«و قال».</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مبحث القطع 1:90.</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ترد«هذا-إلی-فراجع»فی(ر)،(ص)و(ظ)،نعم وردت فی(ر) و(ص)بعد أسطر من قوله:«لو دار الأمر بین الوجوب و الاستحباب».</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«الطرح»من(ص).</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ترد«مخیّرا فیه»فی(ه)،و شطب علیها فی(ت).</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التوقّف فی الصفحة 64-67.</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فی النهایة الاستشهاد بالمرسلتین.</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الحکم:81،الفصل الأوّل،الحکمة 1559.</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فی(ت)و(ظ)زیادة:«بل».</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الحکم:196،الفصل الرابع،الحکمة 225.</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نهایة الوصول(مخطوط):460،و حکاه عنه فی شرح الوافیة(مخطوط):299.</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المدارک 1:333،و مفتاح الکرامة 1:381.</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فی(ظ):«غیر ذات العادة بمجرّد».</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2:537،الباب 3 من أبواب الحیض،الحدیث 2.</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المدارک 1:106،و الجواهر 1:289.</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مصحّحة(ظ)زیادة:«فالأمر دائر بین الواجب و غیر الحرام».</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1:116،الباب 8 من أبواب الماء المطلق،الحدیث 14.</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فی(ظ)زیادة:«بل اللازم إجماعا فی مثل ذلک ارتکاب أحدهما و ترک الآخر».</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فی(ظ)زیادة:«المفروض فیه وجوب المخالفة القطعیّة فی الواجب».</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فی(ر)و(ظ):«فوت».</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فی(ص)و(ظ)و نسخة بدل(ت)بدل«الفوت»:«الوجوب علیه».</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3:15-19،الباب 6 و 7 من أبواب أعداد الفرائض و نوافلها.</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الوافیة(مخطوط):299.</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العبارة فی(ظ)هکذا:«فإنّ العقل إمّا أن یستقلّ بترجیح جانب الحرمة و إمّا أن یستقلّ بالتخییر».</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العبارة فی(ظ)هکذا:«أو بشرط العزم حین الاختیار علی الاستمرار».</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فی(ر)و مصحّحة(ص)،و وردت العبارة فی باقی النسخ مضطربة.</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فی(ر)،(ص)و(ه):«اختیار».</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18:75،الباب 9 من أبواب صفات القاضی،الحدیث 19 و 40.</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18:88،الباب 9 من أبواب صفات القاضی،الحدیث 44.</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نهایة الوصول(مخطوط):460.</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مختصر الاصول:489.</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الإحکام للآمدی 4:259.</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مصححة(ص)،و فی النسخ:«مرجّحا».</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185-186.</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فی الصفحة 189.</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فی(ر)و(ظ):«یثبت».</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مبحث الاستصحاب 3:392.</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صاحب الفصول فی الفصول:363.</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فی(ت)و(ظ):«و الأجنبیّة».</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ترد«فی»فی(ر)،(ص)و(ظ).</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الزیادة و العنوان منّا.</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الزیادة و العنوان منّا.</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العلاّمة المجلسی فی أربعینه:582،علی ما حکاه عنه فی القوانین 2:27.</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فی(ظ)و(ه):«جوازه».</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ترد«و کان حلالا واقعیّا»فی(ر)،و فی(ص)بدل«و کان»:«فکان».</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12:60،الباب 4 من أبواب ما یکتسب به،الحدیث 4.</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12:59،الباب 4 من أبواب ما یکتسب به،الحدیث الأوّل.</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أخبار البراءة المتقدّمة فی الصفحة 28 و 41-44.</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فی(ت)و المصدر زیادة:«لک».</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ترد«نفسه»فی(ر)و(ص)،و لم ترد«بعینه»فی(ظ).</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فی(ظ)،و فی غیرها بدل«حرمته بعینه»:«حرمة نفسه».</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فی(ر)و(ص)زیادة:«أمّا».</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فی(ص):«أو إلی».</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فی(ر)و(ص):«أمّا».</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فی(ت)و(ه)زیادة:«عن حرمته».</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فی(ت)،(ظ)و هامش(ه)،و فی غیرها:«فحینئذ».</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فی(ت):«یرتکبهما».</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فی(ر)و(ص):«بالتکلیف المعیّن»،و فی(ظ):«بالتکلیف بمعیّن».</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فی(ر)،(ص)و(ه):«یسبق».</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فی(ت)،(ر)و(ظ):«تکلیف».</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الصفحة 248.</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16:111،الباب 3 من کتاب الإقرار،الحدیث 2.</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أخبار الحلّ فی الصفحة 200-201.</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فی(ت)،(ر)و(ص):«الودعیّین».</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الصفحة 257-265.</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ترد«کلّ»فی غیر(ت)و(ظ).</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فی(ت)،و فی غیرها:«یخالف».</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فی(ت)و(ص):«الآثار».</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فی(ظ)،و فی غیرها:«و لذلک».</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التذکرة 1:224،و المدارک 1:270.</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نظفر بقائله فی المقام،نعم،حکاه العلاّمة المجلسی فی أربعینه(الصفحة 582) عن بعض الأصحاب،و نسبه فی أوثق الوسائل(الصفحة 323)إلی ابن طاوس.</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جمیع النسخ،و المناسب:«یوهم».</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200.</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الملزم هو صاحب الفصول فی الفصول:181.</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غیر(ظ)و نسخة بدل(ت)زیادة:«إمّا».</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فی(ت):«کذا».</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1:517.</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 نسخة جماعة المدرّسین.</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المدارک 1:107.</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الفوائد الحائریّة:248.</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الوافی فی شرح الوافیة(مخطوط)،الورقة 210.</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کالسیّد العاملی فی المدارک 1:107،و المحقّق السبزواری فی الذخیرة:138، و المحقّق القمی فی القوانین 2:25.</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الکلام عن هذا البعض فی الصفحة 208.</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فی(ر)و(ص):«تنجیز».</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ترد«به»فی(ه).</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فی(ر)و(ه):«فتخیّر».</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فی(ظ)زیادة:«به».</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فی(ظ)زیادة:«عموم».</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ترد«المرویّ»فی(ت)و(ه).</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ما یقرب منه فی البحار 77:166،الحدیث 192.</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مبحث الاستصحاب 3:409.</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فی(ر)،(ص)و(ه)زیادة:«إذا».</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فی(ر)،(ص)و(ه)بدل(أنّه حرام):«الحرام».الوسائل 12:60،الباب 4 من أبواب ما یکتسب به،الحدیث 4.</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فی(ر)،(ص)و(ه):«أو».</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12:59،الباب 4 من أبواب ما یکتسب به،الحدیث الأوّل.</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فی(ر)و(ص):«المشتبهات».</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200-201.</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الفاضل النراقی قدّس سرّه فی مناهج الأحکام.</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مناهج الأحکام:217.</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201-202.</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فی(ص):«ذکره».</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فی(ر)،(ص)و(ه):«الشرع».</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فی(ص)و(ظ)زیادة:«بنفسه أو بضمیمة ما دلّ علی المنع عن ارتکاب الحرام الواقعیّ».</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فی(ر)و(ص):«بینها»،و فی(ظ):«بینهما».</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ترد«علی تقدیر ظهوره فی جواز تناول الجمیع»فی(ظ)،و فی(ص)کتب علیها:«زائد».</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8:104،الباب 52 من أبواب وجوب الحجّ و شرائطه،الحدیث 9.</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فی(ه)زیادة:«البعض الآخر»،و فی(ت)بدل«الباقی»:«البعض الآخر».</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12:431،الباب 5 من أبواب الربا،الحدیث 2 و 3.</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12:60،الباب 4 من أبواب ما یکتسب به،الحدیث 4.</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هی روایة سماعة المتقدّمة فی الصفحة 216-217.</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12:161،الباب 52 من أبواب ما یکتسب به،الحدیث 4.</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12:60،الباب 4 من أبواب ما یکتسب به،الحدیث 6.</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12:161،الباب 52 من أبواب ما یکتسب به،الحدیث 5.</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المستدرک 13:68،الباب 4 من أبواب ما یکتسب به،الحدیث 5.</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الصفحة 211-212.</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210.</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16:403،الباب 64 من أبواب حکم السمن و الجبن،الحدیث الأوّل.</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17:91،الباب 61 من أبواب الأطعمة المباحة،الحدیث 2،و فیه أنّ الراوی ابن سلیمان.</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18:114،الباب 12 من أبواب صفات القاضی،الحدیث 9.</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فی(ظ)زیادة:«لأجل الجهل».</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فی(ر)،(ص)و(ه):«منقصة ذاتیّة».</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فی(ص)و(ظ)زیادة:«عن العلم الإجمالی».</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ترد«لو فرض وجوده»فی(ظ).</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المتقدّمین فی الصفحة 219.</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فی(ه):«بها».</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«فتأمّل»من(ت)و(ه).</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الحدائق 1:503.</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1:116،الباب 8 من أبواب الماء المطلق،الحدیث 14.</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مفتاح الکرامة 1:126-127،و الجواهر 1:290.</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2:1082،الباب 64 من أبواب النجاسات،الحدیث الأوّل.</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2:1006،الباب 7 من أبواب النجاسات،الحدیث 2.</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فی(ت)و(ه)،و فی(ظ):«اجری».</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فی(ص)و(ظ)،و فی(ر)بدل«حلّ الطهارة و الصلاة»:«الحلّ».</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فی(ر)و(ه):«حکم».</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فی(ه)زیادة:«ممّن یستحلّ المیتة».</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12:67،الباب 7 من أبواب ما یکتسب به،الحدیث 1 و 2.</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فی(ت)و(ه)زیادة:«فتدبّر».</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فی(ه):«ممّا».</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العقول:480،الحدیث منقول بالمعنی.</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فی(ظ)زیادة:«کلا».</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المدارک 1:108.</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فی(ظ)،و فی غیرها:«بأنّه».</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1:517.</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سیشیر إلی هذا التأویل فی الصفحة 236.</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1:112،الباب 8 من أبواب الماء المطلق،الحدیث الأوّل.</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ترد«تکلّف»فی(ه).</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فی(ر)،(ص)و(ظ):«عقلها و نقلها».</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 بعینه،نعم ورد ما یقرب منه فی البحار 77:166،الحدیث 192.</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18:114،الباب 12 من أبواب صفات القاضی،الحدیث 9.</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فی(ر)،(ص)و(ظ):«بالإقدام».</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فی(ر)،(ص)و(ظ):«بالإقدام».</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مبحث القطع 1:37.</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الصفحة 306.</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النسخ.</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2:391.</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نهایة الوصول(مخطوط):11 و 94.</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السابقان فی الصفحة 229،یعنی قوله صلّی اللّه علیه و آله:«اترکوا ما لا بأس به...الخ»، و قوله صلّی اللّه علیه و آله:«من ارتکب الشبهات...الخ».</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18:112،الباب 12 من أبواب صفات القاضی،الحدیث 2.</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فی(ظ)،و فی غیرها:«وقوع».</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فی(ر)،(ص)و(ه):«و بین إناء الآخر».</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فی(ظ)،و فی غیرها:«بملک».</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فی(ت)و(ه):«الابتلاء».</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فی(ت)و(ه):«کلّ».</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فی(ص)،و فی(ت)و(ر):«لکلّ»،و فی(ه):«فی کلّ».</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225.</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فی(ظ):«الاحتیاط».</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فی(ص):«ممّا».</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1:112،الباب 8 من أبواب الماء المطلق،الحدیث الأوّل.</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الاستبصار 1:23،الباب 10 من أبواب المیاه،ذیل الحدیث 12.</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الإشارة إلی هذا التأویل فی الصفحة 226.</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فی(ظ)زیادة:«به».</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الأنسب:«تعلیق».</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فی الصفحة 236.</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الغنیة:46،و الآیة من سورة المدّثّر:5.</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1:149،الباب 5 من أبواب الماء المطلق،الحدیث 2،و سیأتی نصّ الروایة فی الصفحة اللاحقة.</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المنتهی 1:178.</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فی(ر)،(ص)و(ظ):«النجس».</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فی(ظ)،و فی غیرها:«فتنجیسه».</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الحدائق 1:514.</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1:149،الباب 5 من أبواب الماء المطلق،الحدیث 2.</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فی(ر)،(ص)و محتمل(ظ):«فیها».</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فی(ظ)و(ه):«المسبّب».</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مبحث الاستصحاب 3:394.</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فی(ت)،(ظ)و(ه)زیادة:«و وارد».</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فی(ر)،(ظ)و(ه):«المسبّب».</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فی(ت)و هامش(ه)،و فی غیرهما:«له».</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مبحث الاستصحاب 3:393.</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233-234.</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توضیحه فی الأمر الثالث،الصفحة 233-234.</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فی(ظ)،و فی غیرها بدل«من»:«فی»،و شطب فی(ت)و(ه)علی: «الحاصلة».</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ترد«الإجمالی»فی(ظ).</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فی(ت)،(ر)و(ص):«إبطال».</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شطب علی«وجوب»فی(ص).</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فی(ت)و(ص):«فتعلم».</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البقرة:222.</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فی(ت):«بهذا الخطاب و کما».</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فی(ر)،و فی غیرها:«أو».</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فی(ص)و(ظ)زیادة عبارة:«و إن قلنا بالرجوع إلی العامّ عند الشکّ فی مصداق ما خرج عنه»،و فی(ر)زیادة عبارة قریبة منها.</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«إجراء»من(ظ).</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فی(ت):«فی صحّة»،و فی(ظ)و(ه):«بصحّة».</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211-212.</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فی(ر)،(ص)و(ه)زیادة:«بالتکلیف».</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ترد«به»فی(ر)و(ص).</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225.</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النور:30.</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النور:31.</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فی(ظ)،و فی(ر)و(ص):«إذ الأصل»،و فی(ت):«و الأصل»،و فی (ه):«أو الأصل».</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فی(ت)و(ه):«متوجّهین».</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فی(ت)و محتمل(ص)و(ظ):«بشیئین».</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غیر(ت)زیادة:«جواز».</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فی(ظ)،و فی غیرها:«بخطابیهما».</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کالمحقّق القمّی فی القوانین 2:26.</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فی(ت):«ما».</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قائله هو الشیخ محمد تقی فی هدایة المسترشدین:221.</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فی(ه):«فیظهر».</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 الجنان:224.</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2:166.</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الفوائد الحائریّة:247.</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کصاحب الریاض فی الریاض(الطبعة الحجریّة)2:297،و السیّد العاملی فی مفتاح الکرامة 2:253.</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کالمحقّق و الشهید الثانیین،فی جامع المقاصد 2:166،و روض الجنان:224.</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١٨٥.</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 ٧٨.</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 «الکلّیة» فی (ر) ، ووردت فی (ص) بعنوان نسخة بدل.</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٥ : ٢٤٦ ، الباب ١٤ من أبواب بقیّة الصلوات المندوبة ، الحدیث الأوّل. و ١٤ : ٧٤ ، الباب ٤٨ من أبواب مقدّمات النکاح ، الحدیث الأوّل.</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ترد«واحدة»فی(ت)و(ه).</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فی(ر)،(ه)و نسخة بدل(ص):«الاحتیاط».</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فی(ظ):«لا یلزم».</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دلیل لزوم المشقّة المتقدّم فی الصفحة 257.</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«فیها»من(ص)و(ظ)،و وردت بدلها فی(ت)و(ه):«منها».</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فی(ت)و(ه):«موردا لابتلاء».</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233-234.</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12:59،الباب 4 من أبواب ما یکتسب به،الحدیث 1،2 و 4.</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18:111،الباب 12 من أبواب صفات القاضی،الحدیث 2،9 و 13.</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فی(ت)و نسخة بدل(ه):«الاحتیاط».</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211-212.</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فی(ت)و(ه)بدل«الغیر-إلی-و أخبار»:«الغیر المحصورة أیضا،لکنّ أخبار»مع اختلاف.</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ترد«إجمالا»فی(ر)و(ظ).</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فی(ت)و(ه):«بغیر».</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فی(ت)و(ظ):«عن».</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2:296،الحدیث 1976،و الوسائل 17:91،الباب 61 من أبواب الأطعمة المباحة،الحدیث 5،و لیست للحدیث تتمّة.</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النسخ،و الأنسب:«و واحد».</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فی(ت)و(ص)،و فی غیرهما:«کلاهما».</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فی الصفحة 262.</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السابقة.</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233-234.</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غیر(ظ):«فی أنّه».</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شطب علی«للحرمة»فی(ت)و(ه).</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روض الجنان:224،و حاشیة الإرشاد للمحقّق الثانی(مخطوط):40، و فوائد الشرائع(مخطوط):الورقة 24،و جامع المقاصد 2:166.</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المیسیّة للشیخ علی المیسی،غیر مطبوع،و لم نعثر علی مخطوطه،نعم حکاه عنه فی مفتاح الکرامة 2:253.</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المدارک 3:253.</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فی(ص)،و فی غیرها:«فما».</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حاشیة الإرشاد(مخطوط):40-41.</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الشرائع(مخطوط):الورقة 24.</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فی(ظ):«الاحتیاط».</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263.</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فی(ر)،(ص)و(ظ):«الاحتیاط».</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265.</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فی(ت)بدل«تمیّزه»:«تمییزه»،و فی(ظ)بدل«غیر المحصورة و تمیّزه»: «تمیّز المحصور عن غیره».</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اللثام 3:349.</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مفتاح الکرامة 2:253.</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فی(ر)،(ظ)و(ه):«لا یؤثّره».</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فی(ت)و(ص):«أو».</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فی(ت)و(ر):«المترتّبة».</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257-265.</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فی(ت)،(ر)،(ص)و(ظ)زیادة:«فلا تعارض احتمال الحرمة»،و شطب علیها فی(ت).</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197.</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فی(ر)بدل«المحصورة»:«الموضوعیّة».</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فی روایة حفص:«الأذان الثالث یوم الجمعة بدعة».الوسائل 5:81، الباب 49 من أبواب صلاة الجمعة،الحدیث 1 و 2.</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نفس المصدر،ذیل الحدیث 2.</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فی(ه):«و مثله».</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2:868،الباب 43 من أبواب الدفن،الحدیث الأوّل.</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تفصیل الأقوال فی الفقیه 1:120-121،ذیل الحدیث 579، و التهذیب 1:459-460،ذیل الحدیث 1497.</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فی(ص):«متباینین».</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فی(ظ)زیادة:«بجمیع أقسامها».</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فی(ت)و(ه)،و فی(ر)و(ظ)بدل«الأکثر-إلی-الأقلّ»:«الأقلّ حینئذ معلوم الحرمة و الشکّ فی حرمة الأکثر».</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العنوان منّا.</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العنوان منّا.</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النسخ:«فیه».</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277.</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مشارق الشموس:267.</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القوانین 2:37.</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أی:حرمة المخالفة القطعیّة.</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فی(ظ):«أقربهما».</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 فی التحریر،نعم ذکره فی المنتهی 4:230.</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الصفحة 284-285.</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فی(ه):«لتوجیه».</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فی(ت)و نسخة بدل(ه):«ضعفا».</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فی(ر)و(ظ):«بترک».</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فی(ظ):«لا تکلیفه».</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«بین»من(ظ).</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السابقة.</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فی الصفحة 76.</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5:365،الباب 11 من أبواب قضاء الصلوات،الحدیث 1 و 2.</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فی(ص)زیادة:«حینئذ».</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غیر(ظ):«بتحریمها».</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«بالأخذ»من(ه).</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فی(ر)و(ظ)زیادة:«و لو إجمالا».</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212-213.</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18:119،الباب 12 من أبواب صفات القاضی،الحدیث 28.</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عوالی اللآلی 1:424،الحدیث 109.</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11:295،الباب 56 من أبواب جهاد النفس،الحدیث 1،2 و 3.</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النسخ.</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مشارق الشموس:282.</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القوانین 2:37.</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فی(ص)و(ظ)بدل«المعیّن»:«المغیّی».</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مشارق الشموس:77.</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فی(ظ)بدل«بالشیء»:به.</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شطبت«إلی»فی(ت)و(ه).</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فی(ر)،(ص)و(ه):«تنجیز».</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فی(ت)،(ظ)و(ه):«فیتصوّر».</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المقرّب هنا أیضا نفس الإطاعة»من(ص)و(ر).</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فی(ت)،(ص)و(ظ):«المعتبرة».</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ترد«حتّی»فی(ظ).</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فی(ت)،(ص)و(ر)،و فی(ظ)،(ه)و نسخة بدل(ت):«لا یقضی بقصده».</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فی(ت)،و فی(ظ)،(ه)و نسخة بدل(ت):«یقضی بوجوب»،و فی(ر) و(ص):«یقتضی لوجوب».</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فی(ت)زیادة:«الواقعی».</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غیر(ه)،و فیها:«بإتیان کلّ منهما عبادة،فیکون کلّ منهما واجبة فی».</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السابقة.</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فی(ت)و(ه)بدل«منها»:«عبادة».</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152-153.</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مطارح الأنظار:71.</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فی(ت)و(ر)بدل«و»:«إذ».</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مبحث الاستصحاب 3:233.</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«بقیّة»من(ظ).</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الصفحة 299.</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فی(ص):«بغیر الحرام».</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البقرة:238.</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3:15،الباب 5 من أبواب أعداد الفرائض،الحدیث 4.</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3:14،الباب 5 من أبواب أعداد الفرائض،الحدیث 1-6، و الباب 2 منها،الحدیث الأوّل.</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فی(ر)و(ص):«توجّه».</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284-288.</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القوانین 2:37.</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مشارق الشموس:77.</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مشارق الشموس:282.</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«أنّه»من(ت).</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المحقّق الخوانساری.</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فی(ظ)،و فی غیرها:«فالمشهور».</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18:87-88،الباب 9 من أبواب صفات القاضی،الحدیث 39،40،41 و 44.</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200.</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القوانین 2:37.</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ترد«تفصیلا»فی(ظ).</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فی(ص):«صلاة».</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5:365،الباب 11 من أبواب قضاء الصلوات،الحدیث 2.</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مفتاح الکرامة 3:405.</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1:184 و 185.</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فی(ر)،(ظ)و(ه):«الترتّب».</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ترد«و هذا-إلی-المجهول»فی(ت)،(ظ)و(ه).</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فی(ت)،و فی غیرها:«تعیینه».</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291.</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ترد«إن احتمل الجنابة»فی(ه).</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فی(ظ):«یرید».</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 فی الصفحة 300.</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101.</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293.</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فی(ص)و(ظ):«من جهة عدم»،و فی(ه):«من عدم».</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294.</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مبحث الاستصحاب 3:233-236.</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231.</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فی(ت)و نسخة بدل(ص)،و فی غیرهما:«عنها».</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فی(ت)،(ظ)،(ه)و نسخة بدل(ص)،و فی غیرها:«الواجب».</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فی(ر)،و فی غیرها:«أو».</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فی(ص)و(ظ)،و فی غیرها:«إن».</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فی(ت)و(ه):«و».</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الصفحة 405.</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فی(ظ):«المتعیّن».</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الموجز الحاوی(الرسائل العشر لابن فهد):66.</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کشف الالتباس(مخطوط):134.</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المسالک 1:158.</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 الجنان:194.</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المقاصد العلیّة:117.</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نهایة الإحکام 1:282.</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المدارک 2:359.</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310.</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فی(ظ):«الترتیب».</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فی(ص)و(ظ)بدل«و»:«فی».</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فی(ت)،و لم ترد«تعیین»فی(ظ)،و فی غیرهما:«تعیّن».</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فی(ر)و(ه):«إتماما».</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فی(ت)و(ه):«تحتمله».</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فی(ر)و(ص):«و أمّا».</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فی(ت)و(ه):«فیرجع».</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فی(ت)و نسخة بدل(ص):«الأقسام».</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المفید الثانی(ولد الشیخ الطوسی)،علی ما حکاه عنه الشهید فی الذکری(الطبعة الحجریّة):191،و انظر مفتاح الکرامة 2:399.</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کالمحقّق السبزواری فی ذخیرة المعاد:273،و شریف العلماء علی ما فی ضوابط الاصول:326،و الشیخ محمد تقی فی هدایة المسترشدین:449،و السید المجاهد فی مفاتیح الاصول:528.</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الانتصار:146 و 148-149.</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الخلاف 1:182،المسألة 138.</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فی(ظ):«کلماته».</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الذریعة 2:833،و العدّة 2:753.</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الإحکام فی اصول الأحکام لابن حزم 5:47،و تفسیر القرطبی 6:84.</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1:85،المسألة 35.</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1:232.</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المعارج:216-217،و المعتبر 1:32،و المختلف 1:495.</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القواعد و الفوائد 1:132،و الذکری 1:53،و تمهید القواعد:271.</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جامع المقاصد 2:219 و 328.</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کالوحید البهبهانی فی الفوائد الحائریة:441-442،و المحقق القمّی فی القوانین 2:30،و صاحب الفصول فی الفصول:51 و 357،و الفاضل النراقی فی المناهج:221.</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عرفت من الانتصار و الذریعة.</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عرفت من الخلاف و العدّة.</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فی(ر)و(ص):«بل الشهیدین»و فی(ظ):«بل الشهید».</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فی(ظ)بدل«غیر طلبیّة»:«مجملة».</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فی(ت)و(ه)،و فی(ر)و(ص):«فیلتزم».</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الصفحة 352.</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فی(ت)و(ص):«غیر مبتنیة».</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فی(ت)و(ه)زیادة:«رأسا».</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فی(ر)و(ص)زیادة:«علی».</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الفصول:237-238.</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کالعلاّمة قدّس سرّه،انظر کشف المراد:348(المسألة الثانیة فی وجوب البعثة)، و 408(المسألة الخامسة فی الثواب و العقاب)،و کذا المحقّق الثانی فی جامع المقاصد 1:201-202.</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قواعد الأحکام 1:269.</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کالمحقّق الثانی فی جامع المقاصد 2:221،و انظر مفتاح الکرامة 2:324- 325.</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فی(ت)و(ه)زیادة:«و إن احرز الواقع».</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فی(ظ)و(ه):«المتوجّه».</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280.</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المدّثّر:3.</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البقرة:238.</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المزّمّل:20.</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الحجّ:77.</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فی البقرة:43،و آل عمران:43.</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59-60.</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ترد«المستقلّ»فی(ظ).</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فی(ظ)و نسخة بدل(ص):«رفع».</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مبحث الظن 1:127-128.</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استدلّ به فی ضوابط الاصول:326،و هدایة المسترشدین:450.</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«مثل»من(ص).</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استدلّ به فی ضوابط الاصول:327.</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أشار إلی هذا الوجه فی ضوابط الاصول:326.</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ترد«و هو العقاب»فی(ظ).</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الوجه أیضا ذکره فی هدایة المسترشدین:450،و ضوابط الاصول:328.</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فی(ظ)بدل«المؤاخذة»:«العقاب».</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فی(ص)زیادة:«عنه».</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321-323.</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فی(ت):«المردّد».</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322-323.</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فی(ر)و(ص):«الإناءین».</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فی(ت)و(ظ)زیادة:«إذا».</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 عبارة«بقی الکلام-إلی-العبادات»فی(ت)و(ه)،و کتب علیها فی (ص):«زائد».</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صاحب الفصول فی الفصول:357.</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28 و 41-44.</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18:119،الباب 12 من أبواب صفات القاضی،الحدیث 28.</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11:295،الباب 56 من أبواب جهاد النفس،الحدیث الأوّل.</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شریف العلماء،انظر تقریرات درسه فی ضوابط الاصول:329.</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الصفحة 335.</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 فی الصفحة 318.</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صاحب الفصول فی الفصول.</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«ثمّ»من(ص).</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الفصول:51.</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293-294.</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326.</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ترد«إثبات»فی(ظ).</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 عبارة«لو فرض-إلی-العقاب»فی(ظ).</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50.</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326.</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فی(ص)زیادة:«کون الواجب هو»</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فی(ظ)بدل«منفیّ»:«ملقی».</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325-326.</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فی(ظ):«یتبیّن».</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الفصول:51.</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الفصول:363.</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فی(ص)زیادة:«أوّل».</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 عبارة«أیضا من-إلی-و غیرها»فی(ظ).</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العدّة 2:753.</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الغنیة(الجوامع الفقهیّة):486.</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المعتبر 1:32،و نهایة الوصول(مخطوط):424.</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الذکری 1:52-53.</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کالفاضل التونی فی الوافیة:199،و صاحب الحدائق فی الحدائق 1:45، و انظر القوانین 2:13،و مناهج الأحکام:207.</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ترد«و لا اختصاص-إلی-الوضعی»فی(ظ).</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الکلام عن ذلک فی الصفحة 28-31.</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فی(ر)و مصحّحة(ص):«الأمر».</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ترد«الأثر الشامل-إلی-و النسیان»فی(ه).</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وردت فی(ظ)بدل«لکنّ تصادق-إلی-فافهم»:«و هنا یجری الأصلان، لکن لا حاجة معهما إلی التمسّک بالنبویّ».</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324.</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فی(ت)و نسخة بدل(ص):«المجهول».</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ترد«و عدمها»فی(ت).</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فی(ه):«لمرکّب مأمور»،و فی(ت):«للمرکّب المأمور».</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سیأتی ذکرهم فی باب الاستصحاب،مبحث الأحکام الوضعیّة 3:125.</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مبحث الاستصحاب 3:121-148.</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ترد:«فله وجه»فی(ظ).</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فی(ه):«بملاحظته».</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فی(ص):«عکن»،و فی(ظ):«عکرة»،و العکنة:ما انطوی و تثنّی من لحم البطن سمنا،و العکرة:من عکر،أی عطف و رجع،و المراد من کلیهما: انطواء بعض البطن و رجوعه علی بعضه الآخر من کثرة السمن.</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318 و 328.</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فی(ت)،(ر)و(ه):«لا تعیّن».</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فی(ظ)،و فی غیرها:«و إذا».</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352.</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الشیخ محمّد تقی فی هدایة المسترشدین:113.</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فی(ر)زیادة:«أنّه».</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السابقة.</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«من»من(ظ).</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340.</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فی(ه)و محتمل(ت)،و فی غیرهما:«لصدق».</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341.</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341.</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فی(ظ)،و فی نسخة بدل(ص):«المقیّد»،و فی غیرهما:«تقییده».</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343.</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فی(ص)و(ه):«المقیّد».</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فی(ت)و(ه)بدل«کالقطع»:«کما یجب القطع»،و فی(ر):«کما یقطع».</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فی(ر)و(ص):«للشروط».</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غیر(ظ)زیادة:«به».</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فی(ظ):«فلا یجوز».</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فی(ت)،(ر)و(ص):«القید».</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فی(ت)و نسخة بدل(ص)،و فی غیرهما بدل«العبادة»:«الصلاة».</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البقرة:43،83 و 110 و غیرها.</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3:29،الباب 11 من أبواب أعداد الفرائض،الحدیث 5.</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3:27،الباب 10 من أبواب أعداد الفرائض،الحدیث 8 و 9.</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فی(ر)و(ص):«هناک».</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غیر(ظ)زیادة:«هو».</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ترد«عدم تقییده»فی(ظ).</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فی(ص):«هناک».</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ترد«هناک»فی(ر)،(ص)و(ظ).</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فی(ر):«هنا».</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ترد«و ترک المتکافئین»فی(ظ).</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 عبارة«فهی-إلی-صرفا»فی(ظ)،و لم ترد«صرفا»فی(ت) و(ه).</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مبحث التعادل و التراجیح 4:147-148.</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«إذا»من(ظ).</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فی(ت)و(ه)بدل«الفعل»:«الغسل».</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فی(ص)،(ظ)و(ه)زیادة:«متعلّق».</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فی(ه)بدل«فیها»:«فیهما»،و فی(ص)بدلها:«فی المسائل المتقدّمة المحکومة بالبراءة فیها»،و فی(ظ)بدلها:«فی المسألتین المتقدّمتین المحکوم فیها بالبراءة».</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فی(ت)و(ر):«لتعلّق».</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فی(ت)و(ص)زیادة:«بما عداه»،و فی(ر)زیادة:«لما عداه».</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315.</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الشکّ فی الجزء الخارجی.</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وردت فی(ت)و(ه)بدل«أمّا الأوّل-إلی-حکمهما»:«و الظاهر اتحاد حکمهما،و الکلام فیه هو الکلام فیما تقدّم»،إلاّ أنّ فی(ت)بدل«فیه»: «فیها».</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 لفظ الجلالة فی(ر)و(ظ).</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غیر(ر)زیادة:«فی».</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نهایة الوصول(مخطوط):174.</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المعترض هو سلطان العلماء فی حاشیته علی المعالم،انظر المعالم(الطبعة الحجریة): 155،الحاشیة المبدوّة بقوله:«الجمع بین الدلیلین لا ینحصر...الخ».</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القوانین:325-326.</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فی(ر)و(ص):«ذکره».</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فی(ت)و(ه)زیادة:«وجود».</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ترد«و»فی(ت).</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القوانین 2:39.</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فی(ر):«بالمتباینین».</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فی(ص):«لهما».</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18:119،الباب 12 من أبواب صفات القاضی،الحدیث 28.</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عوالی اللآلی 1:424،الحدیث 109.</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غیر(ظ):«فالمسألة».</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ترد«ذلک»فی(ر)و(ص).</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فی(ص)و(ظ)زیادة:«الجزئیّة أو».</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فی(ص)،(ظ)و(ه)زیادة:«و الجزئیّة»،لکن کتب فوقها فی(ص):«خ».</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فی(ظ):«أو».</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مجمع البحرین 6:257،و القاموس المحیط 4:229.</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فی المبسوط 1:100،و التذکرة 3:99-100.</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فی جامع المقاصد 2:199،و روض الجنان:249.</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فی(ر)،(ص)و(ظ):«الاختلال».</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العنوان منّا.</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المستدرک 4:158،الباب الأوّل من أبواب القراءة،الحدیث 5.</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5:541،الباب 23 من أبواب صلاة المسافر،الحدیث الأوّل.</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فی(ر)و(ص):«لتوجّه».</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فی(ت)و(ص)زیادة:«إطلاق».</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 فی آخر الصفحة 364.</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الصفحة 372.</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فی(ص):«أو الشرط».</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11:295،الباب 56 من أبواب جهاد النفس،الحدیث الأوّل.</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32-33.</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 عبارة«نعم-إلی-فافهم»فی(ظ).</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صاحب الفصول فی الفصول:357.</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ترد«بها»فی(ت)،(ظ)و(ه).</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4:683،الباب الأوّل من أبواب أفعال الصلاة،الحدیث 14.</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5:346-347،الباب 32 من أبواب الخلل الواقع فی الصلاة، الحدیث 3.</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4:769،الباب 29 من أبواب القراءة،الحدیث 2.</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4:766-771،الباب 27،28،29 و 30 من أبواب القراءة،و الروایات متعدّدة.</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ترد«اشتراط»فی(ر).</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فی(ت)و(ر)زیادة:«ربما».</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4:779،الباب 40 من أبواب القراءة فی الصلاة،الحدیث الأوّل.</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لکنّه قدّس سرّه فیما سیأتی أحاله علی مقام آخر،انظر الصفحة 383.</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فی(ت)،(ص)و(ه)زیادة:«بها».</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ترد«ذلک»فی(ر)و(ظ).</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354.</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2:379.</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استدلّ به الشهید الثانی فی تمهید القواعد:273.</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1:174،أبواب نواقض الوضوء،و 4:1240،الباب الأوّل من أبواب قواطع الصلاة،الحدیث 9،و الصفحة 1244،الباب الثانی منها، الحدیث 16.</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المبسوط 1:117،و السرائر 1:106،و الشرائع 1:17-18 و 91، و قواعد الأحکام 1:280.</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الرادّ هو صاحب الفصول.</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الفصول:50.</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ترد«للصلاة»فی(ر)و(ظ)،نعم ورد بدلها فی(ظ):«للهیئة الاتّصالیّة».</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ترد«إنّ»فی(ت)،(ر)و(ظ).</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فی(ت):«المبتنیة».</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366.</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وردت عبارة«و بما ذکرنا-إلی-النسیان»فی(ر)،(ص)و(ظ)بعد قوله: «و المفروض إحراز عدم زوالها بالاستصحاب»فی الصفحة السابقة.</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محمّد صلّی اللّه علیه و آله:33.</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 الاستدلال بهذه الآیة فی کتب الشیخ و لا فی کتب غیره لإثبات صحّة العبادة عند الشکّ فی طروّ مانع.نعم،استدلّ بها جماعة لإثبات حرمة قطع الصلاة لغیر حاجة،انظر تذکرة الفقهاء 3:299،و الذکری(الطبعة الحجریّة):215،و روض الجنان:338،و الریاض 3:516.و لم نعثر علی الاستدلال بها فی کتب الشیخ مطلقا.</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البقرة:264.</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البقرة:262.</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فی(ص)زیادة:«علیه».</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وَ لاٰ تُبْطِلُوا أَعْمٰالَکُمْ .</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محمّد صلّی اللّه علیه و آله:33.</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الصدوق:486،المجلس 58،الحدیث 14،و ثواب الأعمال:11، و انظر الوسائل 4:1206،الباب 31 من أبواب الذکر،الحدیث 5.</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 الروایة،نعم قال المحقّق الأردبیلی فی مجمع الفائدة(2:246): «و قیل:معناه لا تبطلوا بالکفر».و فی التفسیر الکبیر للرازی(27:72):«أنّ الآیة تحتمل وجوها،أحدها:و لا تشرکوا فتبطل أعمالکم».</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فی(ص)و(ظ)،و فی(ر)و(ه):«لا تمامه».</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فی(ظ)زیادة:«مستحبّا».</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فی(ظ)،و فی غیرها:«و أنّ».</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5:332،الباب 19 من أبواب الخلل الواقع فی الصلاة،الحدیث 2.</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5:332،الباب 19 من أبواب الخلل الواقع فی الصلاة،الحدیث الأوّل.</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نقف علیه فی تفسیر العیاشی،نعم حکاه فی الوسائل عن الخصال،انظر الوسائل 5:532،الباب 17 من أبواب صلاة المسافر،الحدیث 8،و الخصال: 604،باب الواحد إلی المائة،ضمن الحدیث 9.</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4:779،الباب 40 من أبواب القراءة فی الصلاة،الحدیث الأوّل.</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9:438،الباب 34 من أبواب الطواف،الحدیث 11.</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وعد المصنّف سابقا-فی الصفحة 370-أن یبیّن معنی الزیادة فی الصلاة هنا، لکن أحاله هنا-أیضا-علی مقام آخر،انظر کتاب الصلاة للمصنّف 1:399.</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فی(ر)و محتمل(ت)،و فی غیرهما:«الاختلال».</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363.</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4:683،الباب الأوّل من أبواب أفعال الصلاة،الحدیث 14.</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فی(ت)و(ظ):«الاختلال».</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5:346،الباب 32 من أبواب الخلل الواقع فی الصلاة،الحدیث 3.</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ترد«عمدا و»فی(ت)،(ظ)و(ه).</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382-383.</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5:332،الباب 19 من أبواب الخلل الواقع فی الصلاة،الحدیث الأوّل.</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فی(ر):«تعذّر».</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فی(ر)و(ه):«تعذّر».</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فی(ر)و(ص)زیادة:«فیه الأمر».</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ترد«أعنی الکلّ»فی(ر)و(ظ).</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مطارح الأنظار:216،و الفصول:223.</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فی(ظ)و(ه):«و دعوی».</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ترد«أهل»فی(ت)و(ظ).</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فی(ر)و(ص)زیادة:«أعمّ من».</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عوالی اللآلی 4:48،الحدیث 206.</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المصدر،الحدیث 205.</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المصدر،الحدیث 207.</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التنقیح الرائع 1:117،و الریاض 1:222،و 6:201،و الفوائد الحائریّة:437-438،و مفاتیح الاصول:522.</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المناقشة من الفاضل النراقی فی عوائد الأیّام:263.</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المعارضة مذکورة فی العوائد أیضا:263-264.</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القائل هو الفاضل النراقی أیضا فی العوائد:265.</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فی(ت)و(ظ)زیادة:«فی الروایة».</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ترد«سقوط»فی(ت)،(ر)و(ص).</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فی(ظ)بدل«بسبب»:«عند».</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389.</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«عدم»من(ر).</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فی(ص)زیادة:«عقلیّا».</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القائل هو الفاضل النراقی أیضا فی العوائد:265.</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ترد«و»فی(ر)،(ظ)و(ه).</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387-388.</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فی الصفحة 390.</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391.</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389.</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النسخ،و المناسب:«لم تجر».</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الریاض 2:154.</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2:683،الباب 2 من أبواب غسل المیّت،الحدیث 7.</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فی(ر)و(ظ):«فیها».</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وردت عبارة«السدر المفروض-إلی-فتقییده»مختلفة فی النسخ،و ما أثبتناه موافق لنسخة(ف).</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1:327،الباب 39 من أبواب الوضوء،الحدیث 5،و الآیة من سورة الحج:78.</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فی(ظ)و(ه):«لم یکن».</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 فی(ر)و(ظ):«خاصّ».</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النسخ:«أجزائه».</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فی(ر)زیادة:«و ترک الشرط بإتیان جمیع الأجزاء أو بعضها بغیر شرط».</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فی(ت)و(ظ)زیادة:«فی».</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السابقة.</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فی(ر)،(ظ)و(ه):«و».</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نقف علیه.</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فی المعتبر(2:304)عن بعض الأصحاب،و استقربه الشهید فی البیان:162،و الدروس 1:175،و قوّاه الشهید الثانی فی الفوائد الملیّة 2: 390،و انظر مفتاح الکرامة 2:390.</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النسخ،و المناسب:«لا تتعلّق».</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ترد«من العقل و النقل»فی(ت)و(ه)،و فی(ص)بدلها:«من الفعل و الترک».</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فی(ص):«المبیّنة».</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الألفیة و النفلیّة:39،و روض الجنان:248،و القوانین 2:140-144.</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فی(ر)،(ص)و(ه):«فالمتعلّق».</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الصفحة 411،فما بعدها.</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فی(ت)و(ه):«سیر»،و فی(ظ):«سیره».</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فی(ظ)،و فی غیرها:«أو».</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کتاب الطهارة للمصنّف 2:31-35.</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ترد«سائر»فی(ر)و(ظ).</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کتاب الطهارة للمصنّف 2:35.</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کالمحقّق السبزواری فی الذخیرة:23،و المحقّق الخوانساری فی مشارق الشموس:90،و انظر کشف المراد فی شرح تجرید الاعتقاد،المقصد السادس، المسألة الخامسة فی الثواب و العقاب،الصفحة 407-408.</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رسائل الشریف المرتضی 2:383-384،و راجع مبحث القطع 2: 72.</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407.</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الحدائق 5:406.</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1:185.</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فی(ر)و(ظ):«فیها».</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2:1082،الباب 64 من أبواب النجاسات،الحدیث الأوّل.</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فی(ظ):«لم نجوّز».</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غیر(ر)زیادة:«و لو».</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140.</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العنوان منّا.</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التوبة:122،النحل:43.</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1:30،باب فرض العلم،الحدیث 1،2،4 و 5.</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المصدر،الحدیث 6،7،8 و 9.</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1:40،باب سؤال العالم،الحدیث 2 و 5.</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النصّ المذکور مأخوذ من روایتین:الاولی فی من أصابته جنابة و هو مجدور، فغسّلوه فمات،و جاء فیها:«قتلوه،أ لا سألوا؟!ألاّ یمّموه...»،و الثانیة فی من أصابته جنابة علی جرح کان به فامر بالغسل فاغتسل،فکزّ فمات،فقال رسول اللّه صلّی اللّه علیه و آله:«قتلوه قتلهم اللّه...»،انظر الوسائل 2:967،الباب 5 من أبواب التیمّم،الحدیث 1 و 6.</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2:957،الباب 18 من أبواب الأغسال المسنونة،الحدیث الأوّل.</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الأنعام:149.</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الطوسی:9،المجلس الأوّل،و تفسیر الصافی 2:169.</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النساء:97.</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1:149.</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76-78.</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فی الصفحة 76.</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210-211.</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ترد«فی أوّل الأمر»فی(ر).</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وردت فی(ر)و(ص)زیادة،مع اختلاف یسیر،و هی: «فإن قلت:إذا علم المکلّف بعدّة امور من الواجبات و المحرّمات یحتمل انحصار التکلیف فیها،کان الشکّ بالنسبة إلی مجهولاته شکّا فی أصل التکلیف. و بتقریر آخر:إن کان استعلام جملة من الواجبات و المحرّمات تفصیلا موجبا لکون الشکّ فی الباقی شکّا فی أصل التکلیف،فلا مقتضی لوجوب الفحص-</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فی(ر)و(ظ):«مدرک».</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89.</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العدّة 2:742-743.</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الغنیة(الجوامع الفقهیّة):486.</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فی(ر)و(ظ):«لکنّه».</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91.</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فی(ر)و(ص):«شیء».</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412.</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فی(ر)و(ص):«و إنّ».</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فی(ه)زیادة:«و».</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76-77.</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412.</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فی(ظ)و(ه):«المتقدّم».</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2:977،الباب 11 من أبواب التیمّم،الحدیث 8.</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المدارک 2:344-345،و 3:219.</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الفائدة 2:110.</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المحقّق جمال الدین الخوانساری فی حاشیته علی الروضة:345.</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فی(ظ):«المتوجّه».</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المنتهی 4:230،و مفتاح الکرامة 2:160 و 198.</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الشرائع 1:71،و المنتهی 4:300،و مفتاح الکرامة 2:199.</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کالعلاّمة فی نهایة الإحکام 1:341،و التذکرة 2:399.</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فی(ظ)،و فی غیرها:«للوجه».</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فی(ت)و(ر):«أنّه».</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فی(ظ)بدل«امتثال»:«احتمال».</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المدارک 2:345.</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کالمحقّق السبزواری فی الذخیرة:167.</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الوجه الثالث.</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412-413.</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 فی الصفحة 414.</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فی(ت)و(ظ):«مطابقته».</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فی(ظ):«ترتّب».</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فی(ص)،و فی(ر)و(ظ):«فحکمه کما».</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الفاضل النراقی فی المناهج.</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مناهج الأحکام:310.</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فی(ظ)زیادة:«حال».</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غیر(ظ):«ترتّب».</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رسالة«التقلید»للمصنّف:80.</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المحقّق القمّی فی القوانین 2:248،و صاحب الفصول فی الفصول:409 -410.</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فی(ت)و(ظ):«عن اجتهاد أو تقلید».</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فی(ت)بدل«مع»:«من حین».</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1:43،الباب 8 من أبواب مقدّمة العبادات.</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المنتهی 2:8 و 9،و مجمع الفائدة 1:98-99،و المدارک 1:187، و مستند الشیعة 2:47.</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فی(ر)و(ص):«فعل».</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فی(ه)،و فی غیرها:«أو معتقد».</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فی(ر):«و فتواه».</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غیر(ص)بدل«هل»:«إنّ».</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فی(ت)و(ه):«لمن».</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فی(ه)و محتمل(ت)،و فی غیرهما:«لم».</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فی(ت)و(ظ)،و فی(ر)زیادة:«الذی یکون».</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ترد«إلیه»فی(ر)،(ص)و(ظ).</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فی(ر)،و فی غیرها بدل«کونه»:«کون دلیله».</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فی(ظ)بدل«و»:«مثلا».</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فی(ظ)،و فی غیرها:«لا».</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412.</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مفتاح الکرامة 2:384،و 3:601.</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غیر(ه)،و فیها:«مستثنی عنه»،و لعلّ الأنسب:«مستغن عنه».</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421.</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420.</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فی(ت)و(ه):«بالتزام».</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4:766،الباب 26 من أبواب القراءة فی الصلاة،الحدیث الأوّل.</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ترد«فی»فی(ر)،(ص)و(ظ).</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فی(ر)،(ص)و(ظ):«ما».</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فی(ت)و(ر):«معصیته».</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کشف الغطاء:270.</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فی(ص)،(ظ)و(ه):«الترتیب».</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فی(ر)و(ت):«معصیته».</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12:60،الباب 4 من أبواب ما یکتسب به،صدر الحدیث 4.</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ذیل الحدیث المذکور.</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17:91،الباب 61 من أبواب الأطعمة و الأشربة،الحدیث 2.</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17:90 و 92،الباب 61 من أبواب الأطعمة و الأشربة، الحدیث 1 و 7.</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المعالم:201.</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القوانین 1:460.</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السابقة.</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1:210.</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1:151،و قواعد الأحکام 1:340.</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کالشهید الثانی فی المسالک 1:386،و الفاضل النراقی فی مستند الشیعة 9: 156.</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فی(ر)و(ص):«لتحصیل».</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فی(ظ)و(ه)،و فی غیرهما:«تیقّن».</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التحریر 1:62.</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کالعلاّمة فی القواعد 1:340،و الشهید الثانی فی المسالک 1:386،و الفاضل النراقی فی المستند 9:155.</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ترد«بأنّه»فی(ظ)و(ه)،و وردت فی(ت)قبل قوله:«مع عدم».</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التحریر 1:63.</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کلامهما فی الصفحة 442-443.</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ترد«اقتضاء»فی(ر).</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فی(ر)،(ص)و(ه)زیادة:«المقتضی».</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442.</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فی(ظ)و(ه)،و فی(ر)و(ص):«یتمکّن».</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 فی الصفحة 442-443.</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فی(ت)،(ر)و(ص):«وجود».</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ترد«الأمر»فی(ت)،(ظ)و(ه).</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فی(ت)،(ظ)و(ه)بدل«إذ»:«أنّ».</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فی(ظ)زیادة:«واقعا».</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العنوان منّا.</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فی(ت)و(ر):«و أمّا».</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فی(ر)،(ظ)و نسخة بدل(ت)،و فی(ت)و(ص):«عادل»،و فی(ه): «شاهدا عدلا».</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فی(ر)و(ص):«أو».</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کالشهید فی الذکری 1:51،و المحدّث البحرانی فی الحدائق 7:127.</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الوافیة:186-187 و 193.</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ترد«أخر»فی(ر)و(ه).</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فی(ت)بدل«لموضوع حکم»:«لحکم وجودی».</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فی(ص)بدل«و الحجّ»:«لوجوب الحجّ».</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مبحث الاستصحاب 3:393-394.</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180.</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الوافیة:209.</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449.</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القوانین 2:46-47.</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فی(ظ)،و فی غیرها:«النجاسة».</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1:117،الباب 9 من أبواب الماء المطلق،الحدیث 1 و 2 و غیرهما.</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1:117،الباب 9 من أبواب الماء المطلق،الحدیث 4 و 7 و غیرهما.</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فی(ت)،و فی غیرهما:«و لا».</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فی(ظ)و(ه):«فقد».</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هو صاحب الفصول فی الفصول.</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ترد«عدم»فی(ت)و(ه)،و ما أثبتناه موافق للمصدر.</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فی(ظ)و المصدر،و فی غیرهما:«فلا یتنجّس».</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الفصول:365.</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فی(ظ)،و فی غیرها:«الکرّیّة».</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وردت فی(ه)و نسخة بدل(ص)بدل«فیما إذا-إلی-بطاهر»:«فیما إذا تمّم الماء الطاهر کرّا بماء نجس».</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الشریف المرتضی 2:361-362.</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المعتبر 1:52،و المختلف 1:181.</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کالسیّد العاملی فی المدارک 1:42،و المحقّق السبزواری فی الذخیرة:125.</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فی(ظ)بدل«ثبوت»:«حدوث سبب».</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فی(ظ)،و فی(ت):«التنجس»،و فی غیرهما:«النجس».</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فی(ر)و(ص)زیادة:«و».</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17:341،الباب 12 من أبواب إحیاء الموات،الحدیث 3،4 و 5.</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الوافیة:193-194.</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الوافیة:195.</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ترد«بالأمر»فی غیر(ظ).</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العنوان منّا.</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إیضاح الفوائد 2:48.</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13:339،الباب 6 من أحکام الهبات،الحدیث 4،و الصفحة 49،الباب 2 من أبواب بیع الحیوان،الحدیث الأوّل،و 17:319،الباب 5 من أبواب الشفعة،الحدیث الأوّل،و الصفحة 333،الباب 7 من أبواب إحیاء الموات،الحدیث 2،و الصفحة 341،الباب 12 منها،الحدیث 2،و الصفحة 343 الباب 15 منها،الحدیث الأوّل،و 19:179 الباب 8 من أبواب موجبات الضمان،الحدیث 2،و الصفحة 181،الباب 9 منها،الحدیث الأوّل،و الفقیه 4: 334،الحدیث 5718،مضافا إلی الروایات الکثیرة الواردة فی قضیّة سمرة و سیأتی بعضها،و انظر رسالة«نفی الضرر»للمصنّف:14-16.</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22:135،الحدیث 118،و لیست للحدیث تتمّة.</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17:341،الباب 12 من أبواب إحیاء الموات،الحدیث 3،و لیست للحدیث تتمّة.</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2:179-720،مادّة«ضرر».</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النهایة لابن الأثیر 3:81-82،مادّة«ضرر».</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المنیر:360،مادّة«ضرر».</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المحیط 2:75،مادّة«الضرّ».</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فی(ظ)،و فی غیرها:«فینتفی».</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کابن الأثیر فی النهایة 3:81(مادة ضرر).</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فی(ر)و(ص):«ضرر»،و فی(ظ):«ضرّ».</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فی(ر)و(ص):«بالشروط».</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17:319،الباب 5 من أبواب الشفعة،الحدیث الأوّل، و الصفحة 333،الباب 7 من أبواب إحیاء الموات،الحدیث 2،و الصفحة 341، الباب 12 منها،الحدیث 3 و 4.</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الخلاف 3:440،و التذکرة(الطبعة الحجریّة)1:522،و عوائد الأیّام: 51-52.</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کالمحقّق القمّی فی القوانین 2:50،و الفاضل النراقی فی عوائد الأیّام:53 و 57،و کذا صاحب الریاض و المحقّق السبزواری،و سیأتی کلامهما فی الصفحة 468-469.</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العبارة فی(ه)هکذا:«و ما یظهر من غیر واحد کالفاضل النراقی من التعارض».</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فی(ر)،و فی غیرها:«بشهادة».</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ترد«له»فی غیر(ه).</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یتعرّض المصنّف لهذا المطلب فی مبحث تعارض الاستصحابین،بل ذکره فی مبحث التعادل و التراجیح 4:13.</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70:191 و 237.</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فی(ظ)،و فی غیرها:«أو».</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460.</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15:30،الباب 20 من أبواب المهور،ضمن الحدیث 4.</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المائدة:1.</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16:206،الباب 25 من أبواب کتاب النذر و العهد،الحدیث 4.</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فی(ر)و(ص):«من».</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المکاسب 2:86.</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عوالی اللآلی 1:222،الحدیث 9.</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فی(ت)،(ص)و(ه):«الاصول».</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القاضی فی المهذّب 2:31،و المحقّق الثانی فی جامع المقاصد 7:26، و الشهید الثانی فی المسالک(الطبعة الحجریّة)2:290.</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العلاّمة فی القواعد(الطبعة الحجریّة)1:220،و الشهید فی الدروس 3: 60.</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3:272.</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النسخ،و لکنّ الصحیح:«الحلّی»؛لأنّه من جملة من حکی عنهم فی مفتاح الکرامة عدم الخلاف فی المسألة،انظر مفتاح الکرامة 7:22،و السرائر 2:382.</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الغنیة:295.</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التذکرة(الطبعة الحجریّة)2:182.</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الأحکام:241.</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المعترض هو السیّد العاملی فی مفتاح الکرامة.</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الریاض(الطبعة الحجریّة)2:320.</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عوالی اللآلی 1:222،الحدیث 9.</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17:340،الباب 12 من أبواب إحیاء الموات،باب عدم جواز الإضرار بالمسلم.</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 فی الصفحة 458.</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المصدر:«للخبر المشهور».</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مفتاح الکرامة 7:22.</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التحریر 2:138.</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اللمعة:235،و الروضة البهیّة 7:33.</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مفتاح الکرامة 7:22-23.</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فی(ر)و(ص)زیادة:«علی الغیر».</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التذکرة(الطبعة الحجریة)2:391.</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فی(ص):«موارد».</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3:110.</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کصاحب الجواهر فی الجواهر 37:208،و السیّد المراغی فی العناوین 1: 325.</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مفتاح الکرامة 6:287.</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المسالک(الطبعة الحجریة)2:215.</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عبارة«و به نستعین و منه نستمدّ»من(ه).</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المقامین المذکورین فی مبحث البراءة 2:14.</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 هذا التعریف بلفظه فی کتب اللغة،ففی القاموس:«استصحبه: دعاه إلی الصحبة و لازمه»،و فی المصباح:«کلّ شیء لازم شیئا فقد استصحبه، و استصحبت الکتاب و غیره:حملته صحبتی»،و کذا فی الصحاح و مجمع البحرین، مادة«صحب».</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مناهج الأحکام:223،و کذا ضوابط الاصول:346.</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فی(ص):«أن».</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الزبدة:72-73.</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مشارق الشموس:76،و فیه:«إثبات حکم شرعیّ...الخ».</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التعریف للمحقّق القمّی فی القوانین 2:53.</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غایة المأمول فی شرح زبدة الاصول للفاضل الجواد(مخطوط):الورقة 128، و حکاه عنه السیّد المجاهد فی مفاتیح الاصول:634.</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المعالم:231.</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ترد«إلاّ»فی(ت)و(ه).</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القوانین 1:9.</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فی(ر)و(ظ)،و فی غیرهما:«الدلیل العقلی».</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ترد«علی ما کان»فی(ر).</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«لاحقا»من(ه).</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مختصر الاصول 2:453.</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فی(ت)و(ه):«تعریف».</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ترد«منه»فی(ظ).</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الوافیة:200.</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العدّة 2:758.</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السیّد المرتضی فی الذریعة 2:829-832،و السیّد ابن زهرة فی الغنیة (الجوامع الفقهیّة):486.</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المحقّق فی المعارج:206-208،و المعتبر 1:32،و العلاّمة فی مبادئ الوصول: 250 و 251،و تهذیب الوصول:105،و نهایة الوصول(مخطوط):407.</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الشهید الأوّل فی الذکری 1:53،و القواعد و الفوائد 1:132،و الشهید الثانی فی تمهید القواعد:271.</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المعالم:233-234.</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فی(ت)و(ه)زیادة:«من».</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العدّة 2:757-758.</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العدّة هکذا:«إنّ الشیطان یأتی أحدکم فینفخ بین ألیتیه،فیقول:أحدثت أحدثت،فلا ینصرفنّ حتّی یسمع صوتا أو یجد ریحا».</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 بعینه فی المجامیع الحدیثیة من الخاصّة و العامّة.نعم،ورد ما یقرب منه فی عوالی اللآلی 1:380،الحدیث الأوّل.</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1:175،الباب 1 من أبواب نواقض الوضوء،الحدیث 6،و انظر الخصال:609-637.</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العقد الطهماسبی(مخطوط):الورقة 28.</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الذخیرة:44 و 115-116.</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مشارق الشموس:76 و 141-142.</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فی الحدائق 1:142-143،و الفصول:370،و القوانین 2:55.</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1:62.</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فی(ص)و(ه)،و فی غیرهما بدل«عدم نقض الیقین إلاّ بالیقین»: «بنقض الیقین بالیقین».</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فی(ر):«ظاهرة فی»،و فی(ص):«ظاهرة».</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ترد«و الاستقراء»فی(ظ)و(ه)،و شطب علیها فی(ت).</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نقف علیه فی القوانین،نعم ذکر ذلک فی حاشیته،انظر القوانین(طبعة 1291) 1:6،الحاشیة المبدوّة بقوله:«موضوع العلم هو ما یبحث فیه...الخ».</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صاحب الفصول فی الفصول:12.</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فی(ت)و(ه)زیادة:«هی».</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فی الفصول:9،و مناهج الأحکام:1.</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«الواو»من(ت).</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فی(ر)و(ص)بدل«من حیث إنّ»:«لأنّ».</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فی(ظ):«نفی الضرر و الحرج».</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النسخ،و المناسب:«بأنّ إجراءه فی مورده»،کما لا یخفی.</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فی(ظ):«المقلّد».</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فی(ت)،(ظ)و(ه)بدل«عن المقلّد»:«عنه».</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السیّد بحر العلوم فی فوائده.</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الصفحة 276 و 277.</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السید بحر العلوم:116-117.</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1:174،الباب 1 من أبواب نواقض الوضوء،الحدیث الأوّل.</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ترد«الظاهری»فی(ظ).</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الجواهر 2:347.</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فی(ه)و(ت)،و فی غیرهما:«لأدنی متتبّع».</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الحبل المتین:37.</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فی(ر)و نسختی بدل(ت)و(ص)،و هو الأصحّ،و فی(ت)،(ظ)و(ص) و المصدر بدل«منها»:«عنه».</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مشارق الشموس:142.</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الذکری 1:207،مع اختلاف فی بعض الألفاظ.</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ترد«اعتبار الاستصحاب من باب»فی(ظ).</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هو«إبقاء ما کان».</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المحقّق السبزواری فی ذخیرة المعاد:44.</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ترد«عموم»فی(ظ)،و شطب علیها فی(ت)و(ه).</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الصفحة 303.</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فی(ظ)و(ه)زیادة:«إلیه».</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ترد«لسبق الأمر بالطهارة»فی(ظ).</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ترد«لأنّ مجراه الشکّ الحادث بعد الفراغ لا الموجود من قبل»فی(ظ).</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فی(ت)،(ظ)و(ه)بدل«نعم»:«و».</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فی(ظ)بدل«لحدوث-إلی-فافهم»ما یلی:«و لا یجری الاستصحاب؛لأنّ الاستصحاب قبل دخوله فی العمل لم ینعقد؛لعدم الشکّ الفعلی و إن کان غیر عالم بالحال،و بعد الفراغ غیر معتبر؛لورود قاعدة الصحّة علیه،فافهم».</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العنوان منّا.</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فی(ظ):«کوجود».</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فی(ر)بدل«طهارة شیء أو رطوبة ثوب»:«طهارته أو رطوبته»،و فی (ت)،(ص)و(ه):«طهارته أو رطوبة ثوب».</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المحقّق فی المعتبر 1:32،و الشهید الأوّل فی القواعد و الفوائد 1:132، و الشهید الثانی فی تمهید القواعد:271،و الفاضل الجواد فی غایة المأمول (مخطوط):الورقة 128،و المحدّث البحرانی فی الدرر النجفیّة:34،و الحدائق 1:51.</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المحقّق شریف العلماء المازندرانی،انظر تقریرات درسه فی ضوابط الاصول: 351.</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فی(ر)و(ص)بدل«تأمّل»:«خفاء».</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فی(ر):«کثیرة».</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حاشیة شرح مختصر الاصول 2:284،و نقل المصنّف قدّس سرّه عبارة الشرح فی حاشیته علی استصحاب القوانین:51.</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الرسائل الاصولیّة:424-425.</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الصفحة الآتیة.</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فی(ر)و(ص)زیادة:«أیضا».</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النسخ،و لا یخفی زیادة لفظة«ظاهر»فی أحد الموضعین.</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الاستشهاد من ضوابط الاصول:351.</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فی(ر)و(ص)بدل«بظهور»:«بظاهر».</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28.</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الرسائل الاصولیّة:423.</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ما نقله العلاّمة فی نهایة الوصول(مخطوط):407.</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ما نقله العضدی فی شرح مختصر الاصول 2:454.</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النسخ،و المناسب:«لاعتضادها»؛لرجوع الضمیر إلی البیّنة.</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منیة اللبیب؛للعمیدی(مخطوط):الورقة 181.</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المدارک 2:387.</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الصفحة 103.</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الذریعة 2:827،و العدّة 2:752،و المعارج:210،و مبادئ الوصول:251.</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المعارج:208.</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نهایة الوصول(مخطوط):424.</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غایة المأمول(مخطوط):الورقة 128.</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الفوائد المدنیّة:143.</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فی(ظ):«عدم التخصیص و التقیید»،و انظر الحدائق 1:52،و الدرر النجفیّة:34.</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التفتازانی،و قد تقدّم کلامه فی الصفحة 28.</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القوانین 2:57.</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فی(ت)و(ر):«الکلّیة».</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الفوائد المدنیّة:143.</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الفوائد المدنیّة:148.</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الفوائد الطوسیّة:208،و الفصول المهمّة فی اصول الأئمّة:250.</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بین المعقوفتین من المصدر.</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مشارق الشموس:76.</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وجه ما ذکره من النظر فی کلام المحقّق القمی،المتقدّم فی الصفحة السابقة.</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مشارق الشموس:76.</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ذخیرة المعاد:115 و 116.</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کلامه فی الصفحة السابقة.</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الرسائل الاصولیّة:425.</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الوافیة(مخطوط):339،و لکن لم نقف علی هذه الحاشیة فی الموضع المذکور فیما عندنا من نسخة مشارق الشموس،انظر المشارق:281.</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ترد«شرعیا»فی(ت).</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الوافیة:202.</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الصفحة 121-124.</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العنوان منّا.</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المستصفی 1:128.</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الدرر النجفیّة:34.</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فی(ر)و(ص)زیادة:«الشرعی».</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الصفحة 291.</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ترد«الحقیقی»فی(ظ).</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ترد«إمّا من-إلی-معرفته»فی(ت)،(ر)و(ه).</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فی(ه):«و عنوان الموضوع»،و فی(ر)و(ص):«الذی هو عنوان الموضوع».</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فی(ر)و(ص)بدل«موضوعه»:«عنوانه».</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علیه،و قیل:إنّه المحقّق القمّی،انظر أوثق الوسائل:445.</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المعترض هو صاحب الفصول فی الفصول:366.</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فی(ت)و(ه)زیادة:«أمرا».</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فی(ت)،(ر)و(ص):«فیها».</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المعارج:209-210.</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الصفحة 50 و 169.</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مثل:الفاضل الجواد فی غایة المأمول(مخطوط):الورقة 130.</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المعالم:235.</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الذریعة 2:830.</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العدّة 2:756-758.</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الغنیة(الجوامع الفقهیّة):486.</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الذریعة 2:833.</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المعارج:209-210.</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العنوان منّا.</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الحدائق 1:52 و 143،و الدرر النجفیّة:34.</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المصدر،و فی«ص»:«سببا مزیلا لتلک الامور»،و فی سائر النسخ: «سببا مزیلا لنقض تلک الامور»،و لا یخفی ما فیه.</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الفوائد المدنیّة:143.</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أی:الفوائد المکّیة.</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الفوائد المکّیة(مخطوط):الورقة 103،و حکاه عنه الفاضل التونی فی الوافیة: 212،و ورد هذا المضمون فی الفوائد المدنیّة:143،أیضا.</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مختصر الاصول 2:453.</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کلامه فی الصفحة 21.</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به شارح الدروس،المحقّق الخوانساری،انظر الصفحة 22.</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الصفحة 87.</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النسخ،و المناسب:«رافعا له».</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فی المعارج:206.</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الذریعة 2:832 و 833.</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العنوان منّا.</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ترد«شرح»فی(ت).</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35.</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ترد«و هذا هو الذی-إلی-شرح الوافیة»فی(ه)،و کتب فوقها فی (ص):«زائد».و انظر شرح الوافیة(مخطوط):339.</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ترد«التفصیل-إلی-دون الثانی»فی(ظ)،و ورد بدلها:«التفصیل بین الکلّی التکلیفی الغیر التابع للحکم الوضعی و غیره،فلا یعتبر فی الأوّل».</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المعارج:209-210.</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سیأتی کلامه فی الصفحة 165-166.</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سیأتی کلامه فی الصفحة 169-177.</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للوقوف علی سائر الأقوال،انظر«خزائن الاصول»للفاضل الدربندی،فنّ الاستصحاب،الصفحة 16-18،و ادّعی بعضهم:أنّ الأقوال ترتقی إلی نیّف و خمسین،انظر وسیلة الوسائل فی شرح الرسائل للسیّد محمّد باقر الیزدی، الصفحة 12،من مباحث الاستصحاب.</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العنوان منّا.</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عنه فی المعالم:234 و 235.</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عنه الشیخ الطوسی فی العدّة 2:756،و انظر التذکرة باصول الفقه (مصنّفات الشیخ المفید)9:45.</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الذریعة 2:829.</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المعارج:206-210،مع اختلاف یسیر.</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المعالم:235.</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العنوان منّا.</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مبادئ الوصول إلی علم الاصول:251.</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الصفحة 54 و 82.</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نهایة الوصول(مخطوط):410 و 411.</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المعالم:235.</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غایة المأمول(مخطوط):الورقة 130.</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المعارج:210.</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الذریعة 2:829.</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فی(ظ)بدل«من»:«و».</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المعارج:209.</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المستصفی 1:224،و لیس فیه مثال«الخارج من غیر السبیلین»،نعم حکی تمثیله بذلک فی نهایة الوصول،کما سیأتی فی الصفحة 151.</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النسخ،و المناسب:«لتحقّقها»؛لرجوع الضمیر إلی الطهارة.</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الرسائل الاصولیّة:429،و الفوائد الحائریة:277.</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الریاض(الطبعة الحجریّة)1:440،و 2:441.</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زیادة:«و القلب».</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التهذیب،و فی الوسائل:«علی جنبه».</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1:8،الحدیث 11،و الوسائل 1:174،الباب الأوّل من أبواب نواقض الوضوء،الحدیث الأوّل.</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طه:7.</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الزمر:7.</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النمل:40.</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عمران:97.</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الأنعام:89.</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یوسف:77.</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فاطر:4.</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الإیراد محکیّ عن العلاّمة المجلسی،انظر الحاشیة علی استصحاب القوانین للمصنّف:158،و فی شرح الوافیة:«إنّ الإیراد نقله بعض الفضلاء فی رسالته المعمولة فی الاستصحاب عن المجلسی»انظر شرح الوافیة(مخطوط):356.</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فی(ظ)هکذا:«و لو کان اللام للاستغراق کان لاستغراق الأفراد و کان».</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فی(ه):«ظاهرا».</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فی(ت)و(ه)بدل«هو»:«فی».</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قد أشار إلی جملة منها مع أجوبتها الفاضل الدربندی فی خزائن الاصول، فنّ الاستصحاب،الورقة 11.</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ترد«له»فی التهذیب و إحدی روایات الوسائل.</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بدل«بالشکّ»:«الشکّ».</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1:421،الباب 22،الحدیث 1335.و أورده فی الوسائل 2: 1063،الباب 42 من أبواب النجاسات،الحدیث 2،و 1061،الباب 41 من الأبواب،الحدیث الأول،و 1006،الباب 7 من الابواب،الحدیث 2،و 1053، الباب 37 من الأبواب،الحدیث الأوّل،و 1065،الباب 44 من الابواب، الحدیث الأوّل.</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56.</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فی(ه)و(ظ)بدل«صرّح»:«جزم».</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الوافیة(مخطوط):361.</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التخیّل من شریف العلماء(استاذ المصنّف)،انظر تقریرات درسه فی ضوابط الاصول:354.</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فی(ظ)بدل«لعدم الإعادة بملاحظة»:«بموجب».</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«ظاهر»من(ص).</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«الاولی»من(ت)و(ه).</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ترد«معها»فی(ر).</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الدعوی من شریف العلماء أیضا.</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الوافیة(مخطوط):361.</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فی(ر)،(ص)و(ظ):«ینقض».</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5:321،الباب 10 من أبواب الخلل الواقع فی الصلاة،الحدیث 3.</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الوافیة:206.</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الوافیة(مخطوط):361.</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المحدّث البحرانی فی الحدائق 1:143،و الوحید البهبهانی فی الرسائل الاصولیّة:442،و صاحب الفصول فی الفصول:370،و المحقّق القمی فی القوانین 2:58.</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ترد:«من دون-إلی-الرابعة»فی(ظ).</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فی(ص)و التهذیب:«رکع».</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هی موثّقة إسحاق بن عمّار الآتیة فی الصفحة 66.</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الانتصار:49.</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5:318،الباب 8 من أبواب الخلل الواقع فی الصلاة،الحدیث 3.</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هی موثّقة إسحاق بن عمّار الآتیة فی الصفحة 66.</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«هذا»من(ت)،لکن شطب علیها،و المناسب إثباتها.</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النسخ،و لکن فی روایتی الوسائل و التهذیب بدل«صنعته»:«فعلته».</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5:318،الباب 8 من أبواب الخلل الواقع فی الصلاة،الحدیث 3، و التهذیب 2:349،الحدیث 1448.</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السیّد الطباطبائی فی الریاض 4:240،و المحقّق النراقی فی مستند الشیعة 7:146،و صاحب الجواهر فی الجواهر 12:334،و أشار إلیه المحقّق فی المعتبر 2:391،و العلاّمة فی المنتهی(الطبعة الحجریة)1:415-416،و الحرّ العاملی فی الوسائل،ذیل موثّقة إسحاق بن عمّار.</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مثل:موثّقة اسحاق بن عمّار الآتیة فی الصفحة 66،و مثل:المروی عن قرب الإسناد:«رجل صلّی رکعتین و شکّ فی الثالثة،قال یبنی علی الیقین...»، انظر الوسائل 5:319،الباب 9 من أبواب الخلل الواقع فی الصلاة،الحدیث 2.</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الاحتمال من صاحب الفصول فی الفصول:371.</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فی(ه):«یعنی».</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فی(ت)،(ص)و(ظ):«لظواهر».</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الدعوی من صاحب الفصول أیضا فی کلامه المشار إلیه فی الصفحة السابقة، الهامش(1).</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الصفحة 74.</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استدلّ بها-فیما عثرنا-الفاضل الدربندی فی خزائن الاصول،فنّ الاستصحاب،الورقة 13.</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کذا،و الصحیح:«إسحاق بن عمار»کما فی المصادر الحدیثیّة.</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5:318،الباب 8 من أبواب الخلل الواقع فی الصلاة،الحدیث 2.</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5:317-318،الباب 8 من أبواب الخلل الواقع فی الصلاة، الحدیث 1،و فیه بدل«فابن علی الأکثر»:«فخذ بالأکثر».</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64.</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ترد«بعض»فی(ظ).</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مثل:الحرّ العاملی فی الوسائل ذیل الروایة،و الفاضل النراقی فی مستند الشیعة 7:145.</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فی(ظ):«ینتفع».</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ترد«فافهم»فی(ظ).</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الخصال:619،و الوسائل 1:175-176،الباب 4 من أبواب نواقض الوضوء،الحدیث 6.</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المستدرک 1:228،الباب الأوّل من أبواب نواقض الوضوء،الحدیث 4.</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2:272.</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المناسب:«فی عدالته»،کما فی(ت)،و لکن شطب علیها.</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مثل:الوحید البهبهانی فی الرسائل الاصولیة:440،و المحقّق القمی فی القوانین 2:62،و الفاضل النراقی فی مناهج الأحکام:227.</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فی(ت)و(ه)بدل«جزم بما»:«ربما استظهر ما».</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فی(ر)و(ص)ذکرت عبارة«ثمّ لو سلّم-إلی-لإفادة القطع»بعد عبارة «اللّهم إلاّ-إلی-فافهم».</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غیر(ص):«المتقیّدة».</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النسخ،و المناسب:«ظرفها»؛لرجوع الضمیر إلی العدالة.</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ترد«اللّهم إلاّ-إلی-فافهم»فی(ظ).</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فی(ر)،(ص)و(ظ)بدل«فالإنصاف»:«لکن الإنصاف».</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ترد«الروایة سیّما بملاحظة»فی(ص)و(ظ).</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فی(ر)و(ظ)بدل«فإنّ الشکّ لا ینقض الیقین»:«فإنّ الیقین لا ینقض بالشکّ».</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ترد«و»فی غیر(ر).</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 عبارتا«حیث إنّ»و«ظاهرة فی الاستصحاب»فی(ص)و(ظ).</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فی(ت)و(ه)بدل«المعنی الذی»:«بیان القاعدة التی».</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«هذا»من(ت)و(ه).</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خلاصة الأقوال فی معرفة الرجال(رجال العلاّمة الحلّی):389.</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الوحید البهبهانی فی الحاشیة علی منهج المقال:264.</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فی(الوسائل)زیادة:«أسأله».</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7:184،الباب 3 من أبواب أحکام شهر رمضان،الحدیث 13.</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هی الصحاح الثلاثة لزرارة و موثّقة عمّار.</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هی روایتا الخصال و مکاتبة القاسانی.</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2:1095،الباب 74 من أبواب النجاسات،الحدیث 1.</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2:1054،الباب 37 من أبواب النجاسات،الحدیث 4،و فیه: «کلّ شیء نظیف...».</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فی(ه)،(ظ)و(ر)بدل«لأنّ»:«إلاّ أنّ».</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القوانین 2:60.</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السابقة.</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فی(ظ)بدل«فیلزم-إلی-و لا جامع بینهما»:«و قد تفطّن للزوم هذا الاستعمال صاحب القوانین».</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صاحب الفصول.</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الفصول:373.</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73.</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73.</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الوافیة:207.</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17:91،الباب 61 من أبواب الأطعمة المباحة،الحدیث 2.</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1:100،الباب 1 من أبواب الماء المطلق،الحدیث 5،و فیه: «حتّی یعلم».</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موثّقة عمّار المتقدّمة فی الصفحة 72.</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فی(ت)و(ه)زیادة:«فتکون ظاهرة فی إرادة القاعدة کما عرفت».</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1:102،الحدیث 268.</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العنوان منّا.</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الرسائل الاصولیّة:443،و القوانین 2:52.</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مشارق الشموس:76.</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فی(ص)زیادة:«کما فی نواقض الطهارة،و الأقرب إلیه رفع ما له مقتضی الثبوت».و فی(ظ)بدل عبارة«هو رفع الهیئة-إلی-الأمر الثابت»هکذا: «هو رفع الأمر الثابت کما فی نواقض الطهارة و الأقرب إلیه دفع الأمر الغیر الثابت و منع مقتضیه و هو المسمّی بالمانع».</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ترد«و البناء علی عدمه بعد وجوده»فی(ظ).</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بدل(ص):«الرابع».</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فی(ظ):«الأوّل»،و فی نسخة بدل(ص):«الثالث».</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«الاتّصال»من(ت)و(ه).</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فی(ص)بدل«لا یخفی»:«و الظاهر».</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ترد«للأموات»فی(ظ).</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بدل(ص):«الرابع».</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3) تقدّم فی الصفحة 62،ضمن صحیحة زرارة الثالثة.</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الصفحة 71،ضمن مکاتبة القاسانی.</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الحدیث فی الصفحة 68.</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الحدیث فی الصفحة 66.</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5:336،الباب 23 من أبواب الخلل الواقع فی الصلاة،الحدیث 1، و فیه بدل«فدخلت»:«ثمّ دخلت».</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68-69.</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فی(ظ)،و فی غیره بدل«أنّه-إلی-الاستصحاب»:«الإشکال فی ظهوره فی اعتبار الاستصحاب،کقوله:«إذا شککت فابن علی الیقین».</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فی(ظ)و(ه)،و فی غیرهما بدل«التوقّف»:«الوقف».</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5:329،الباب 16 من أبواب الخلل الواقع فی الصلاة،الحدیث 1.</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العنوان منّا.</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المعارج:206 و 207.</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فی(ت)و(ه):«التقدیرین الأوّلین».</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مصحّحة(ه)بدل«الثانی»:«الثالث».</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غایة المأمول(مخطوط):الورقة 128،و کذا القوانین 2:52.</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شرح مختصر الاصول 2:454.</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العلاّمة فی نهایة الوصول(مخطوط):407،و المحقّق القمّی فی القوانین 2: 53.</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الصفحة 87.</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ترد«واقعا»فی(ظ).</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المعارج:209.</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فی(ر)و(ه):«البقاء».</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السابق فی الصفحة 52.</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فی(ر)زیادة:«و إخراجه للمدّعی عن عنوان الاستصحاب».</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المعالم:235.</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الفاضل الجواد فی غایة المأمول(مخطوط):الورقة 130.</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84،الهامش 4 و 5.</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فی(ر):«بمجرّد».</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المحقّق القمّی فی القوانین:493،و الوحید البهبهانی فی الرسائل الاصولیّة: 429-435،و المحقّق الکاظمی فی الوافی(مخطوط):الورقة 29.</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فی الصفحة 21.</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شرح مختصر الاصول 2:454.</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السابقة.</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استظهره صاحب القوانین تبعا للسیّد الشارح للوافیة،کما سیشیر إلیه فی الصفحة 90.</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النسخ و المصدر،و المناسب:«تکون».</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الوافیة(مخطوط):325.</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فی(ت)و(ه)زیادة:«فی بقاء المستصحب».</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فی(ظ)بدل«بینها»:«بینهما».</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بدل(ت):«متشارک»،و فی(ظ)و(ه):«یتشارک».</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فی(ر)و(ظ)بدل«و إن ارید به»:«و من هنا یظهر ضعف».</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أی:کلام السیّد شارح الوافیة المتقدّم فی الصفحة 88.</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القوانین 2:53-54.</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ترد«أیضا»فی(ر)و(ظ).</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89.</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فی(ر)و(ظ)بدل«أو النوع»:«و التأمّل».</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فی(ه):«موارد».</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فی(ر)و(ص):«الجامع».</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فی(ت)و(ظ)،و فی غیرهما:«فیحصل».</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نهایة الوصول(مخطوط):407.</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المحقّق القمّی فی القوانین 2:75،و شریف العلماء فی تقریرات درسه فی ضوابط الاصول:354.</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فی الفصول:369.</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ترد«علی ما کان»فی(ر)،(ص)و(ظ).</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مبحث البراءة 2:59-60.</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العدّة 2:758.</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العنوان منّا.</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الذریعة 2:829-830،و الغنیة(الجوامع الفقهیّة):486،و اللفظ للثانی.</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فی(ت)و(ص):«المفروض».</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فی(ص)زیادة:«فیه».</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المستدرک 2:544،الحدیث 2،و فیه بدل«أو یجد ماء»:«أو یجد الماء».</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86.</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المعارج:209.</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المصدر:«الحال الأوّل».</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الذریعة 2:832.</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4) المعارج:209.</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87.</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1:32.</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فی(ص)و(ظ)بدل«فی أغلب الموارد»:«فی موضع».</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فی(ص)،و فی غیرها بدل«للظنّ بطهارة»:«لطهارة».</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الصفحة 396-397.</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الصفحة 395 و 399.</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ذکرهم فی الصفحة 21،فراجع.</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ترد«لیس»فی(ظ).</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نهایة الوصول(مخطوط):407،و الإحکام للآمدی 4:141،و شرح مختصر الاصول 2:454.</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النسخ،و المناسب:«اعتضدت»؛لرجوع الضمیر إلی«بیّنة».</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مثل:ما فی الفوائد المدنیّة:141-143،و ما حکاه فی القوانین 2:66، و ما نقله الحاجبی و العضدی فی شرح مختصر الاصول 2:453-454،و ما ذکره المحدّث البحرانی فی الدرر النجفیّة:36 و 37.</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العنوان منّا.</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شرح مختصر الاصول 2:453.</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کلام التفتازانی فی الصفحة 28.</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فی(ر)و(ه)بدل«فی»:«و».</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31.</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شرح مختصر الاصول 2:453،و نهایة الوصول(مخطوط):407.</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الذریعة 2:832.</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الدرر النجفیّة للمحدّث البحرانی:36.</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فی(ت):«باستصحاب».</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مبحث الأصل المثبت،الصفحة 233.</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مثل:الفاضل التونی و الوحید البهبهانی و شریف العلماء و المحقّق القمّی و صاحب الفصول و غیرهم.</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مثل:الوحید البهبهانی و شریف العلماء،انظر الفوائد الحائریة:275،و الرسائل الاصولیّة:423،و ضوابط الاصول:374.</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مبحث الأصل المثبت،الصفحة 233.</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ترد«علیه»فی(ر)،و کتب فی(ص)تحت عبارة«إمّا مطلقا...علیه»: «زیادة فی بعض النسخ».</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ترد«من جهة الاستصحاب»فی(ظ)،و فی(ص)کتب علیها:«زائد».</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فی(ظ)بدل«إرث»:«مال».</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حاشیة شرح مختصر الاصول 2:285.</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ترد«و لعلّه المراد-إلی-عن الآخر»فی(ه)،و شطب علیها فی(ت)، و کتب علیها فی(ص):«نسخة».</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ترد«جواز»فی(ظ)،و شطب علیها فی(ص).</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کلام التفتازانی فی الصفحة 28.</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104.</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ترد«قد أشرنا فیما مضی إلی أنّه»فی(ظ).</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مبحث الأصل المثبت،الصفحة 233.</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فی(ظ)و نسخة بدل(ت)بدل«یرد»:«یبقی».</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51.</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فی(ص)بدل«و لا یفترقان فیغنی أحدهما عن الآخر»:«و لا یفترق أحدهما عن الآخر»،و فی نسخة بدله ما أثبتناه.</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فی(ر):«ترتّب».</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97-102.</w:t>
      </w:r>
    </w:p>
  </w:footnote>
  <w:footnote w:id="1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53-55.</w:t>
      </w:r>
    </w:p>
  </w:footnote>
  <w:footnote w:id="1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فی(ر)،(ص)و(ه)زیادة:«بقاء»،و فی(ظ)زیادة:«إبقاء».</w:t>
      </w:r>
    </w:p>
  </w:footnote>
  <w:footnote w:id="1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الصفحة 56،ضمن صحیحة زرارة الاولی.</w:t>
      </w:r>
    </w:p>
  </w:footnote>
  <w:footnote w:id="1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الصفحة 58،ضمن صحیحة زرارة الثانیة.</w:t>
      </w:r>
    </w:p>
  </w:footnote>
  <w:footnote w:id="1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فی(ر)بدل«من جهة استصحابها»:«لاستصحابها».</w:t>
      </w:r>
    </w:p>
  </w:footnote>
  <w:footnote w:id="1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الصفحة 394 و ما بعدها.</w:t>
      </w:r>
    </w:p>
  </w:footnote>
  <w:footnote w:id="1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ترد«یرد علیه أنّه»فی(ظ).</w:t>
      </w:r>
    </w:p>
  </w:footnote>
  <w:footnote w:id="1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فی(ظ)زیادة:«و».</w:t>
      </w:r>
    </w:p>
  </w:footnote>
  <w:footnote w:id="1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مباحث الأصل المثبت،الصفحة 233.</w:t>
      </w:r>
    </w:p>
  </w:footnote>
  <w:footnote w:id="1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مباحث الأصل المثبت،الصفحة 233.</w:t>
      </w:r>
    </w:p>
  </w:footnote>
  <w:footnote w:id="1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فی(ت)و(ه)زیادة:«فافهم و انتظر لبقیّة الکلام».</w:t>
      </w:r>
    </w:p>
  </w:footnote>
  <w:footnote w:id="1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العنوان منّا.</w:t>
      </w:r>
    </w:p>
  </w:footnote>
  <w:footnote w:id="1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فی(ر)و(ه)و نسخة بدل(ص)بدل«ذکره»:«حکاه».</w:t>
      </w:r>
    </w:p>
  </w:footnote>
  <w:footnote w:id="1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النسخ،و الظاهر زیادة«و حکاه».</w:t>
      </w:r>
    </w:p>
  </w:footnote>
  <w:footnote w:id="1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الوافیة(مخطوط):339،و لکن لم نعثر علی تلک الحاشیة فیما بأیدینا من شرح الدروس.</w:t>
      </w:r>
    </w:p>
  </w:footnote>
  <w:footnote w:id="1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القوانین 2:63،و راجع ذخیرة المعاد:115-116.</w:t>
      </w:r>
    </w:p>
  </w:footnote>
  <w:footnote w:id="1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ترد«المشتبهة علی الرعیّة»فی(ظ).</w:t>
      </w:r>
    </w:p>
  </w:footnote>
  <w:footnote w:id="1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فی(ظ):«الشبهات».</w:t>
      </w:r>
    </w:p>
  </w:footnote>
  <w:footnote w:id="1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12:60،الباب 4 من أبواب ما یکتسب به،الحدیث 4.</w:t>
      </w:r>
    </w:p>
  </w:footnote>
  <w:footnote w:id="1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17:90،الباب 61 من أبواب الأطعمة المباحة،الحدیث 1.</w:t>
      </w:r>
    </w:p>
  </w:footnote>
  <w:footnote w:id="1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ترد«علیه»فی(ه).</w:t>
      </w:r>
    </w:p>
  </w:footnote>
  <w:footnote w:id="1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مبحث الاستصحاب التعلیقی،الصفحة 221.</w:t>
      </w:r>
    </w:p>
  </w:footnote>
  <w:footnote w:id="1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فی(ر)،(ه)و نسخة بدل(ص)بدل«موضع»:«مورد».</w:t>
      </w:r>
    </w:p>
  </w:footnote>
  <w:footnote w:id="1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ترد«و لا أقل...ذلک»فی(ر)،و کتب علیها فی(ص):«نسخة».</w:t>
      </w:r>
    </w:p>
  </w:footnote>
  <w:footnote w:id="1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فی(ر)و نسخة بدل(ص)بدل«فالموضوع مشکوک»:«و هی مشکوکة».</w:t>
      </w:r>
    </w:p>
  </w:footnote>
  <w:footnote w:id="1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الصفحة 291.</w:t>
      </w:r>
    </w:p>
  </w:footnote>
  <w:footnote w:id="1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109.</w:t>
      </w:r>
    </w:p>
  </w:footnote>
  <w:footnote w:id="1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289.</w:t>
      </w:r>
    </w:p>
  </w:footnote>
  <w:footnote w:id="1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395.</w:t>
      </w:r>
    </w:p>
  </w:footnote>
  <w:footnote w:id="1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فی(ت)،(ظ)و(ه)بدل«و قد مرّ-إلی-الاستصحابین»:«و قد أشرنا فی ما مرّ و نزید توضیحه فیما سیجیء».</w:t>
      </w:r>
    </w:p>
  </w:footnote>
  <w:footnote w:id="1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العنوان منّا.</w:t>
      </w:r>
    </w:p>
  </w:footnote>
  <w:footnote w:id="1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تصریحه بذلک فی الصفحة 31.</w:t>
      </w:r>
    </w:p>
  </w:footnote>
  <w:footnote w:id="1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الفاضل التونی فی الوافیة:212.</w:t>
      </w:r>
    </w:p>
  </w:footnote>
  <w:footnote w:id="1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الفوائد المدنیّة:143.</w:t>
      </w:r>
    </w:p>
  </w:footnote>
  <w:footnote w:id="1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19:272،الباب 48 من أبواب دیات الأعضاء،الحدیث الأوّل، و راجع لتفصیل الروایات،البحار 26:18-66،باب جهات علومهم....</w:t>
      </w:r>
    </w:p>
  </w:footnote>
  <w:footnote w:id="1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الفوائد المکّیة(مخطوط):الورقة 103.</w:t>
      </w:r>
    </w:p>
  </w:footnote>
  <w:footnote w:id="1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الذریعة 2:830.</w:t>
      </w:r>
    </w:p>
  </w:footnote>
  <w:footnote w:id="1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العدة 2:757.</w:t>
      </w:r>
    </w:p>
  </w:footnote>
  <w:footnote w:id="1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الغنیة(الجوامع الفقهیّة):486.</w:t>
      </w:r>
    </w:p>
  </w:footnote>
  <w:footnote w:id="1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المعتبر 1:32.</w:t>
      </w:r>
    </w:p>
  </w:footnote>
  <w:footnote w:id="1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فی(ت)و(ه)بدل«أهملوا»:«منعوا».</w:t>
      </w:r>
    </w:p>
  </w:footnote>
  <w:footnote w:id="1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71.</w:t>
      </w:r>
    </w:p>
  </w:footnote>
  <w:footnote w:id="1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فی(ص):«الاحتمالین».</w:t>
      </w:r>
    </w:p>
  </w:footnote>
  <w:footnote w:id="1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فی(ت)فوق«مع اتّحاد الموضوع»:«زائد».</w:t>
      </w:r>
    </w:p>
  </w:footnote>
  <w:footnote w:id="1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44.</w:t>
      </w:r>
    </w:p>
  </w:footnote>
  <w:footnote w:id="1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فی(ظ):«ثبوتها».</w:t>
      </w:r>
    </w:p>
  </w:footnote>
  <w:footnote w:id="1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نسخة بدل(ص)،و فی النسخ بدل«إسراء»:«إجراء».</w:t>
      </w:r>
    </w:p>
  </w:footnote>
  <w:footnote w:id="1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فی(ت)و(ه)زیادة:«عدم».</w:t>
      </w:r>
    </w:p>
  </w:footnote>
  <w:footnote w:id="1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مبحث البراءة 2:63-86.</w:t>
      </w:r>
    </w:p>
  </w:footnote>
  <w:footnote w:id="1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الصفحة 391.</w:t>
      </w:r>
    </w:p>
  </w:footnote>
  <w:footnote w:id="1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العنوان منّا.</w:t>
      </w:r>
    </w:p>
  </w:footnote>
  <w:footnote w:id="1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فی(ر)و(ص):«من التأمّل».</w:t>
      </w:r>
    </w:p>
  </w:footnote>
  <w:footnote w:id="1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34-35.</w:t>
      </w:r>
    </w:p>
  </w:footnote>
  <w:footnote w:id="1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فحجّة عدم حجّیته فی الحکم الکلّی هی حجّة القول الخامس المتقدّمة فی الصفحة 116،و حجّة عدم حجّیته فی الامور الخارجیّة هو ما نقله فی بیان الدلیل الرابع فی الصفحة 111،من:أنّ الأخبار لا یظهر شمولها للامور الخارجیّة.</w:t>
      </w:r>
    </w:p>
  </w:footnote>
  <w:footnote w:id="1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العنوان منّا.</w:t>
      </w:r>
    </w:p>
  </w:footnote>
  <w:footnote w:id="1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فی(ه)زیادة:«هو ما ذکره فی الوافیة».</w:t>
      </w:r>
    </w:p>
  </w:footnote>
  <w:footnote w:id="1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ترد«ما ذکره فی کلام طویل له»فی(ت)و(ظ)،و لکن ورد بدلها فی (ت):«هو ما ذکره فی الوافیة».</w:t>
      </w:r>
    </w:p>
  </w:footnote>
  <w:footnote w:id="1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الوافیة:200-203.</w:t>
      </w:r>
    </w:p>
  </w:footnote>
  <w:footnote w:id="1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فی(ص)،و فی غیرها بدل«و إنّما یضر»:«لا».</w:t>
      </w:r>
    </w:p>
  </w:footnote>
  <w:footnote w:id="1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العنوان منّا.</w:t>
      </w:r>
    </w:p>
  </w:footnote>
  <w:footnote w:id="1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منهم:العلاّمة فی النهایة(مخطوط):9،و الشهید الثانی فی تمهید القواعد: 37،و الشیخ البهائی فی الزبدة:30،و الفاضل التونی فی الوافیة:202، و الوحید البهبهانی فی الفوائد الحائریّة:95،و السید بحر العلوم فی فوائده:3، و کذا یظهر من القوانین 2:54 و 1:100،و هدایة المسترشدین:3،و اشارات الاصول:6،و الفصول:2.</w:t>
      </w:r>
    </w:p>
  </w:footnote>
  <w:footnote w:id="1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جملة المشهور:الشهید الأوّل فی الذکری 1:40،و القواعد و الفوائد 1: 30،و المحقّق الخوانساری فی مشارق الشموس:76 و ستأتی عبارته،و شریف العلماء فی تقریرات درسه فی ضوابط الاصول:6،مضافا إلی شارحی الزبدة و الوافیة کما اشیر إلیهما،و غیرهم.</w:t>
      </w:r>
    </w:p>
  </w:footnote>
  <w:footnote w:id="1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غایة المأمول فی شرح زبدة الاصول؛للفاضل الجواد(مخطوط):الورقة 59.</w:t>
      </w:r>
    </w:p>
  </w:footnote>
  <w:footnote w:id="1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الوافیة(مخطوط):350.</w:t>
      </w:r>
    </w:p>
  </w:footnote>
  <w:footnote w:id="1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فی(ت)و(ظ):«التکلیفی».</w:t>
      </w:r>
    </w:p>
  </w:footnote>
  <w:footnote w:id="1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المحقّق الکلباسی فی إشارات الاصول:7.</w:t>
      </w:r>
    </w:p>
  </w:footnote>
  <w:footnote w:id="1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المحقّق الکاظمی المعروف بالسیّد الأعرجی.</w:t>
      </w:r>
    </w:p>
  </w:footnote>
  <w:footnote w:id="1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الإسراء:78.</w:t>
      </w:r>
    </w:p>
  </w:footnote>
  <w:footnote w:id="1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2:546،الباب 7 من أبواب الحیض،الحدیث 2.</w:t>
      </w:r>
    </w:p>
  </w:footnote>
  <w:footnote w:id="1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الوافی فی شرح الوافیة(مخطوط):الورقة 243.</w:t>
      </w:r>
    </w:p>
  </w:footnote>
  <w:footnote w:id="1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فی(ص)زیادة:«الأوّلی».</w:t>
      </w:r>
    </w:p>
  </w:footnote>
  <w:footnote w:id="1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فی(ه)بدل«بأن»:«بل».</w:t>
      </w:r>
    </w:p>
  </w:footnote>
  <w:footnote w:id="1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فی(ص)شطب علی«لا».</w:t>
      </w:r>
    </w:p>
  </w:footnote>
  <w:footnote w:id="1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فی(ت)و(ه)زیادة:«له».</w:t>
      </w:r>
    </w:p>
  </w:footnote>
  <w:footnote w:id="1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فی(ه)زیادة:«فی العادة».</w:t>
      </w:r>
    </w:p>
  </w:footnote>
  <w:footnote w:id="1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إلی مناقشة کلام الفاضل التونی قدّس سرّه.</w:t>
      </w:r>
    </w:p>
  </w:footnote>
  <w:footnote w:id="1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الإیراد للمحقّق الکاظمی فی الوافی(مخطوط):الورقة 244.</w:t>
      </w:r>
    </w:p>
  </w:footnote>
  <w:footnote w:id="1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الإیراد للمحقّق القمّی فی القوانین 2:53.</w:t>
      </w:r>
    </w:p>
  </w:footnote>
  <w:footnote w:id="1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الإیراد للسیّد الصدر فی شرح الوافیة(مخطوط):351.</w:t>
      </w:r>
    </w:p>
  </w:footnote>
  <w:footnote w:id="1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فی(ظ)بدل«شارع»:«آمر».</w:t>
      </w:r>
    </w:p>
  </w:footnote>
  <w:footnote w:id="1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فی(ظ)زیادة:«حیث».</w:t>
      </w:r>
    </w:p>
  </w:footnote>
  <w:footnote w:id="1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فی(ر)،(ظ)و(ه)بدل«حصول التخصیص»:«خصوص المخصّص».</w:t>
      </w:r>
    </w:p>
  </w:footnote>
  <w:footnote w:id="1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کلامه فی الصفحة 28 و 44.</w:t>
      </w:r>
    </w:p>
  </w:footnote>
  <w:footnote w:id="1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فی(ه)و(ت)بدل«النسخ فی»:«ارتفاع»،و فی(ر):«فی نسخ حکم».</w:t>
      </w:r>
    </w:p>
  </w:footnote>
  <w:footnote w:id="1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فی(ظ)زیادة:«دخل فی الاستصحاب المختلف فیه».</w:t>
      </w:r>
    </w:p>
  </w:footnote>
  <w:footnote w:id="1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ترد«فتأمّل»فی(ظ)و شطب علیها فی(ص).</w:t>
      </w:r>
    </w:p>
  </w:footnote>
  <w:footnote w:id="1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فی(ص)بدل«بل»:«و».</w:t>
      </w:r>
    </w:p>
  </w:footnote>
  <w:footnote w:id="1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113-115.</w:t>
      </w:r>
    </w:p>
  </w:footnote>
  <w:footnote w:id="1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فی(ر)و نسخة بدل(ص)بدل«بل قد عرفت فیما مرّ عدم»:«بل یمکن أن یقال بعدم».</w:t>
      </w:r>
    </w:p>
  </w:footnote>
  <w:footnote w:id="1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ترد«موضوعه و هو»فی(ر)،و فی(ص)کتب علیها:«نسخة».</w:t>
      </w:r>
    </w:p>
  </w:footnote>
  <w:footnote w:id="1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ترد«أو عدم المانع»فی(ت)و(ظ).</w:t>
      </w:r>
    </w:p>
  </w:footnote>
  <w:footnote w:id="1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ترد«و عدم المانع»فی(ت)و(ظ).</w:t>
      </w:r>
    </w:p>
  </w:footnote>
  <w:footnote w:id="1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ترد«مع فرض-إلی-المشروط»فی(ظ).</w:t>
      </w:r>
    </w:p>
  </w:footnote>
  <w:footnote w:id="1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الکلام عن الاستصحاب فی الامور الخارجیة فی الصفحة 111.</w:t>
      </w:r>
    </w:p>
  </w:footnote>
  <w:footnote w:id="1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الصفحة 189.</w:t>
      </w:r>
    </w:p>
  </w:footnote>
  <w:footnote w:id="1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بدل(ص)زیادة:«أیضا».</w:t>
      </w:r>
    </w:p>
  </w:footnote>
  <w:footnote w:id="1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فی(ظ)زیادة:«و بقاؤه علی هذا الوجه من التقیید لا یوجب تحقّق القید و إحرازه،و الشکّ فی القید یوجب الشکّ فی المقیّد،فلا یجری الاستصحاب فیه».</w:t>
      </w:r>
    </w:p>
  </w:footnote>
  <w:footnote w:id="1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فی(ظ):«و الصوم».</w:t>
      </w:r>
    </w:p>
  </w:footnote>
  <w:footnote w:id="1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ترد«وجوبه»فی(ظ).</w:t>
      </w:r>
    </w:p>
  </w:footnote>
  <w:footnote w:id="1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233.</w:t>
      </w:r>
    </w:p>
  </w:footnote>
  <w:footnote w:id="1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ترد«مقام»فی(ت).</w:t>
      </w:r>
    </w:p>
  </w:footnote>
  <w:footnote w:id="1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فی(ت)و(ه)بدل«بقاؤه»:«فی إبقائه»،و فی(ظ)و(ص):«بإبقائه».</w:t>
      </w:r>
    </w:p>
  </w:footnote>
  <w:footnote w:id="1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غیر(ص):«إبقاء».</w:t>
      </w:r>
    </w:p>
  </w:footnote>
  <w:footnote w:id="1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«ربما یورد علیه أنّه»من(ظ).</w:t>
      </w:r>
    </w:p>
  </w:footnote>
  <w:footnote w:id="1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فی(ت)،(ص)و(ه):«ببعض ما عرفت».</w:t>
      </w:r>
    </w:p>
  </w:footnote>
  <w:footnote w:id="1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131-132.</w:t>
      </w:r>
    </w:p>
  </w:footnote>
  <w:footnote w:id="1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فی(ص)بدل«فإنّ»:«فالمرجع».</w:t>
      </w:r>
    </w:p>
  </w:footnote>
  <w:footnote w:id="1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ترد«فإنّ فیها البراءة أو وجوب الاحتیاط»فی(ظ)،و کتب علیها فی (ت):«نسخة».</w:t>
      </w:r>
    </w:p>
  </w:footnote>
  <w:footnote w:id="1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ترد«فی الآن الثانی»فی(ظ).</w:t>
      </w:r>
    </w:p>
  </w:footnote>
  <w:footnote w:id="1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فی(ظ)بدل«فهو فی کلّ»:«فکلّ».</w:t>
      </w:r>
    </w:p>
  </w:footnote>
  <w:footnote w:id="1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المحقّق الکاظمی فی الوافی فی شرح الوافیة(مخطوط):الورقة 244.</w:t>
      </w:r>
    </w:p>
  </w:footnote>
  <w:footnote w:id="1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فی(ت)و(ص)زیادة:«لجریانه».</w:t>
      </w:r>
    </w:p>
  </w:footnote>
  <w:footnote w:id="1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هامش(ص)زیادة:«کما هو الظاهر من کلامه».</w:t>
      </w:r>
    </w:p>
  </w:footnote>
  <w:footnote w:id="1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فی(ص)بدل«السببیّة»:«المسبّب»،و فی(ر):«المسبّبیّة».</w:t>
      </w:r>
    </w:p>
  </w:footnote>
  <w:footnote w:id="1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فی(ر)و(ص)زیادة:«الشرط و».</w:t>
      </w:r>
    </w:p>
  </w:footnote>
  <w:footnote w:id="1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ترد«فإنّ شیئا من الأقسام-إلی-ثبوت الحکم»فی(ظ).</w:t>
      </w:r>
    </w:p>
  </w:footnote>
  <w:footnote w:id="1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فی(ت)و(ه)بدل«فإنّ»:«نعم».</w:t>
      </w:r>
    </w:p>
  </w:footnote>
  <w:footnote w:id="1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ترد«و کذا لو شککنا فی أنّ-إلی-زوال العذر»فی(ت)و(ه)،و کتب فوقها فی(ص)و(ظ):«نسخة».</w:t>
      </w:r>
    </w:p>
  </w:footnote>
  <w:footnote w:id="1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فی(ظ)و(ه)،و فی غیرهما:«بقائها».</w:t>
      </w:r>
    </w:p>
  </w:footnote>
  <w:footnote w:id="1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فی الوافیة:184-185،و راجع القواعد و الفوائد 2:85.</w:t>
      </w:r>
    </w:p>
  </w:footnote>
  <w:footnote w:id="1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فی(ت):«أمران اعتباریّان».</w:t>
      </w:r>
    </w:p>
  </w:footnote>
  <w:footnote w:id="1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الصفحة 112 و 292.</w:t>
      </w:r>
    </w:p>
  </w:footnote>
  <w:footnote w:id="1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فی(ه)بدل«بل»:«فإنّ».</w:t>
      </w:r>
    </w:p>
  </w:footnote>
  <w:footnote w:id="1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الصفحة 293.</w:t>
      </w:r>
    </w:p>
  </w:footnote>
  <w:footnote w:id="1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السابقة.</w:t>
      </w:r>
    </w:p>
  </w:footnote>
  <w:footnote w:id="1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الصفحة 289.</w:t>
      </w:r>
    </w:p>
  </w:footnote>
  <w:footnote w:id="1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ترد«و لیس هذا استصحابا-إلی-ببقاء الموضوع فی الاستصحاب»فی (ظ)،و وردت بدلها العبارة التالیة:«فلیس هنا استصحاب لهذا التحریم،فإنّ التحقیق عدم جریان الاستصحاب فی الأحکام التی تستصحب موضوعاتها؛إذ مع استصحابها-کالنجاسة-لا یبقی الشکّ فی وجودها؛فإنّ حقیقة حکم الشارع باستصحاب النجاسة هو حکمه بوجوب الاجتناب،و بدونه لا وجه لاستصحاب الأحکام؛لعدم إحراز الموضوع علی وجه القطع،کما ستعرف اشتراطه».</w:t>
      </w:r>
    </w:p>
  </w:footnote>
  <w:footnote w:id="1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فی(ظ)زیادة:«فی الحالین»،و فی نسخة بدل(ص):«فی الحالتین».</w:t>
      </w:r>
    </w:p>
  </w:footnote>
  <w:footnote w:id="1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ترد«به»فی(ظ).</w:t>
      </w:r>
    </w:p>
  </w:footnote>
  <w:footnote w:id="1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ترد«الوضعی»فی(ظ).</w:t>
      </w:r>
    </w:p>
  </w:footnote>
  <w:footnote w:id="1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فی(ه)و(ت)بدل«أنّ»:«فإنّ».</w:t>
      </w:r>
    </w:p>
  </w:footnote>
  <w:footnote w:id="1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الصفحة 281.</w:t>
      </w:r>
    </w:p>
  </w:footnote>
  <w:footnote w:id="1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الصفحة 205.</w:t>
      </w:r>
    </w:p>
  </w:footnote>
  <w:footnote w:id="1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الصفحة 280.</w:t>
      </w:r>
    </w:p>
  </w:footnote>
  <w:footnote w:id="1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العنوان منّا.</w:t>
      </w:r>
    </w:p>
  </w:footnote>
  <w:footnote w:id="1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التفتازانی فی حاشیة شرح مختصر الاصول:285،و السیّد الصدر فی شرح الوافیة(مخطوط):341،و المحقّق القمّی فی القوانین 2:51،مضافا إلی العلاّمة فی النهایة.</w:t>
      </w:r>
    </w:p>
  </w:footnote>
  <w:footnote w:id="1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نهایة الوصول(مخطوط):407-412.</w:t>
      </w:r>
    </w:p>
  </w:footnote>
  <w:footnote w:id="1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ذلک بعد أسطر.</w:t>
      </w:r>
    </w:p>
  </w:footnote>
  <w:footnote w:id="1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ترد«به»فی(ر)،(ص)و(ه).و فی(ت)زیادة:«کما»،و فی(ص) زیادة:«کما ستعرف فی کلام الشهید».</w:t>
      </w:r>
    </w:p>
  </w:footnote>
  <w:footnote w:id="1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الذکری:5.</w:t>
      </w:r>
    </w:p>
  </w:footnote>
  <w:footnote w:id="1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تمهید القواعد:271.</w:t>
      </w:r>
    </w:p>
  </w:footnote>
  <w:footnote w:id="1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الدرر النجفیّة:34.</w:t>
      </w:r>
    </w:p>
  </w:footnote>
  <w:footnote w:id="1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1:32.</w:t>
      </w:r>
    </w:p>
  </w:footnote>
  <w:footnote w:id="1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المعالم:131.</w:t>
      </w:r>
    </w:p>
  </w:footnote>
  <w:footnote w:id="1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الغنیة(الجوامع الفقهیّة):486،و الذریعة 2:830.</w:t>
      </w:r>
    </w:p>
  </w:footnote>
  <w:footnote w:id="1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نهایة الوصول(مخطوط):412.</w:t>
      </w:r>
    </w:p>
  </w:footnote>
  <w:footnote w:id="1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ترد«من غیر السبیلین»فی النهایة.</w:t>
      </w:r>
    </w:p>
  </w:footnote>
  <w:footnote w:id="1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المستصفی بدل«عدم الخروج-إلی-وجوده»:«العدم لا عند الوجود».</w:t>
      </w:r>
    </w:p>
  </w:footnote>
  <w:footnote w:id="1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فی(ت)و(ر)بدل«بالإجماع»:«الإجماع»،و فی(ظ)و مصحّحة(ص): «إجماعا»،و فی النهایة و المستصفی:«بإجماع».</w:t>
      </w:r>
    </w:p>
  </w:footnote>
  <w:footnote w:id="1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ترد«الخروج و عدم»فی المستصفی.</w:t>
      </w:r>
    </w:p>
  </w:footnote>
  <w:footnote w:id="1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النهایة:«یضادّه».</w:t>
      </w:r>
    </w:p>
  </w:footnote>
  <w:footnote w:id="1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المستدرک 7:316،الباب 2 من أبواب وجوب الصوم،الحدیث الأوّل.</w:t>
      </w:r>
    </w:p>
  </w:footnote>
  <w:footnote w:id="1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المستصفی،و فی النهایة و النسخ:«أخصّه».</w:t>
      </w:r>
    </w:p>
  </w:footnote>
  <w:footnote w:id="1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المستصفی،و لکن فی النسخ و النهایة:«عند العدم».</w:t>
      </w:r>
    </w:p>
  </w:footnote>
  <w:footnote w:id="1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النسخ،و فی النهایة:«لم ینکرون»،و فی المستصفی:«بم تنکرون».</w:t>
      </w:r>
    </w:p>
  </w:footnote>
  <w:footnote w:id="1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المستصفی 1:224-229،مع تفاوت یسیر عمّا حکاه فی النهایة.</w:t>
      </w:r>
    </w:p>
  </w:footnote>
  <w:footnote w:id="1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مختصر الاصول:454.</w:t>
      </w:r>
    </w:p>
  </w:footnote>
  <w:footnote w:id="2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149.</w:t>
      </w:r>
    </w:p>
  </w:footnote>
  <w:footnote w:id="2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فی(ر)و(ص)بدل«عبارته»:«عبارة الغزالی».</w:t>
      </w:r>
    </w:p>
  </w:footnote>
  <w:footnote w:id="2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فی(ر)و(ص)زیادة:«عنه».</w:t>
      </w:r>
    </w:p>
  </w:footnote>
  <w:footnote w:id="2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الوافیة(مخطوط):344.</w:t>
      </w:r>
    </w:p>
  </w:footnote>
  <w:footnote w:id="2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فی(ر)،(ص)و(ظ)زیادة:«أوّلا».</w:t>
      </w:r>
    </w:p>
  </w:footnote>
  <w:footnote w:id="2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بدل(ه):«اختصاص منعه».</w:t>
      </w:r>
    </w:p>
  </w:footnote>
  <w:footnote w:id="2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فی(ت)و(ر)بدل«و»:«نعم».</w:t>
      </w:r>
    </w:p>
  </w:footnote>
  <w:footnote w:id="2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فی(ص)بدل«و قد یفرق»:«و کذا لو فرق»،و فی نسخة بدله:«و یمکن الفرق».</w:t>
      </w:r>
    </w:p>
  </w:footnote>
  <w:footnote w:id="2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فی(ر)،(ظ)،(ه)و نسخة بدل(ت)بدل«نعم»:«مع»،و فی مصحّحة(ص) بدلها:«مع أنّ».</w:t>
      </w:r>
    </w:p>
  </w:footnote>
  <w:footnote w:id="2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الصفحة 295.</w:t>
      </w:r>
    </w:p>
  </w:footnote>
  <w:footnote w:id="2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147.</w:t>
      </w:r>
    </w:p>
  </w:footnote>
  <w:footnote w:id="2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289.</w:t>
      </w:r>
    </w:p>
  </w:footnote>
  <w:footnote w:id="2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51-52.</w:t>
      </w:r>
    </w:p>
  </w:footnote>
  <w:footnote w:id="2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المعارج:209 و 210.</w:t>
      </w:r>
    </w:p>
  </w:footnote>
  <w:footnote w:id="2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فی(ت)کتب علی«لوجود المقتضی»:«زائد».</w:t>
      </w:r>
    </w:p>
  </w:footnote>
  <w:footnote w:id="2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78.</w:t>
      </w:r>
    </w:p>
  </w:footnote>
  <w:footnote w:id="2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ترد«به»فی(ظ).</w:t>
      </w:r>
    </w:p>
  </w:footnote>
  <w:footnote w:id="2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فی(ت)زیادة:«المتیقّن».</w:t>
      </w:r>
    </w:p>
  </w:footnote>
  <w:footnote w:id="2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فی(ظ)،(ه)و نسخة بدل(ت):«یراد».</w:t>
      </w:r>
    </w:p>
  </w:footnote>
  <w:footnote w:id="2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الصفحة 165.</w:t>
      </w:r>
    </w:p>
  </w:footnote>
  <w:footnote w:id="2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4) فی نسخة بدل(ص):«لعقد».</w:t>
      </w:r>
    </w:p>
  </w:footnote>
  <w:footnote w:id="2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فی(ص)و(ظ)زیادة:«و أمّا أصالة عدم التخصیص فهی من الاصول اللفظیّة المتّفق علیها کما هو ظاهر»،و لم ترد کلمة«ظاهر»فی(ظ).</w:t>
      </w:r>
    </w:p>
  </w:footnote>
  <w:footnote w:id="2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3) لم ترد«فی ما نحن فیه»فی(ر).</w:t>
      </w:r>
    </w:p>
  </w:footnote>
  <w:footnote w:id="2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فی(ت)و(ه)زیادة:«و العموم».</w:t>
      </w:r>
    </w:p>
  </w:footnote>
  <w:footnote w:id="2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ترد«هذا و لکن-إلی-بین المثالین»فی(ظ).</w:t>
      </w:r>
    </w:p>
  </w:footnote>
  <w:footnote w:id="2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31.</w:t>
      </w:r>
    </w:p>
  </w:footnote>
  <w:footnote w:id="2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فی(ص)زیادة:«فتأمّل».</w:t>
      </w:r>
    </w:p>
  </w:footnote>
  <w:footnote w:id="2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43.</w:t>
      </w:r>
    </w:p>
  </w:footnote>
  <w:footnote w:id="2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فی(ر)و(ص)زیادة:«معقد».</w:t>
      </w:r>
    </w:p>
  </w:footnote>
  <w:footnote w:id="2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شطب علی«بالاستصحاب»فی(ت)،و کتب فوقها فی(ص):«زائد».</w:t>
      </w:r>
    </w:p>
  </w:footnote>
  <w:footnote w:id="2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الذریعة 2:833.</w:t>
      </w:r>
    </w:p>
  </w:footnote>
  <w:footnote w:id="2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المعارج:207.</w:t>
      </w:r>
    </w:p>
  </w:footnote>
  <w:footnote w:id="2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صاحب الفصول فی الفصول:369.</w:t>
      </w:r>
    </w:p>
  </w:footnote>
  <w:footnote w:id="2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فی(ه)زیادة:«بتنقیح المناط فیه».</w:t>
      </w:r>
    </w:p>
  </w:footnote>
  <w:footnote w:id="2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عنه المحقّق القمی فی القوانین 2:52.</w:t>
      </w:r>
    </w:p>
  </w:footnote>
  <w:footnote w:id="2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الذخیرة و القوانین،و لکن فی النسخ بدل«حصل»:«یعقل».</w:t>
      </w:r>
    </w:p>
  </w:footnote>
  <w:footnote w:id="2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ترد«دون»فی الذخیرة و القوانین.</w:t>
      </w:r>
    </w:p>
  </w:footnote>
  <w:footnote w:id="2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الذخیرة:115-116.</w:t>
      </w:r>
    </w:p>
  </w:footnote>
  <w:footnote w:id="2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ترد«أیضا»فی(ر).</w:t>
      </w:r>
    </w:p>
  </w:footnote>
  <w:footnote w:id="2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فی(ص)بدل«شکّ»:«شیء».</w:t>
      </w:r>
    </w:p>
  </w:footnote>
  <w:footnote w:id="2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فی(ظ)بدل«أخیر»:«آخر».</w:t>
      </w:r>
    </w:p>
  </w:footnote>
  <w:footnote w:id="2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شریف العلماء،انظر ضوابط الاصول:351،و کذا صاحب الفصول فی الفصول:372،و الفاضل النراقی فی مناهج الأحکام:231.</w:t>
      </w:r>
    </w:p>
  </w:footnote>
  <w:footnote w:id="2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فی الصفحة 55.</w:t>
      </w:r>
    </w:p>
  </w:footnote>
  <w:footnote w:id="2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السابقة.</w:t>
      </w:r>
    </w:p>
  </w:footnote>
  <w:footnote w:id="2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فی(ص)زیادة:«فیه».</w:t>
      </w:r>
    </w:p>
  </w:footnote>
  <w:footnote w:id="2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1:227،الباب 13 من أبواب أحکام الخلوة،الحدیث الأوّل.</w:t>
      </w:r>
    </w:p>
  </w:footnote>
  <w:footnote w:id="2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1:223،الباب 9 من أبواب أحکام الخلوة،الحدیث 5.</w:t>
      </w:r>
    </w:p>
  </w:footnote>
  <w:footnote w:id="2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زیادة:«أیضا».</w:t>
      </w:r>
    </w:p>
  </w:footnote>
  <w:footnote w:id="2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زیادة:«فقط».</w:t>
      </w:r>
    </w:p>
  </w:footnote>
  <w:footnote w:id="2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فی(ر)و مصحّحة(ص)بدل«رمناه»:«ادّعیناه»،و فی المصدر:«ذکرنا».</w:t>
      </w:r>
    </w:p>
  </w:footnote>
  <w:footnote w:id="2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2) فی المصدر زیادة:«حجیّة».</w:t>
      </w:r>
    </w:p>
  </w:footnote>
  <w:footnote w:id="2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تخریجهما فی الصفحة 169،الهامش 1 و 2.</w:t>
      </w:r>
    </w:p>
  </w:footnote>
  <w:footnote w:id="2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زیادة:«کما ذکرت فما وجه المنع؟».</w:t>
      </w:r>
    </w:p>
  </w:footnote>
  <w:footnote w:id="2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زیادة:«مثلا».</w:t>
      </w:r>
    </w:p>
  </w:footnote>
  <w:footnote w:id="2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زیادة:«فیها».</w:t>
      </w:r>
    </w:p>
  </w:footnote>
  <w:footnote w:id="2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بدل«و»:«أو».</w:t>
      </w:r>
    </w:p>
  </w:footnote>
  <w:footnote w:id="2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مشارق الشموس:75-76.</w:t>
      </w:r>
    </w:p>
  </w:footnote>
  <w:footnote w:id="2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لیست هذه الحاشیة فی الموضع المذکور فیما عندنا من نسخة مشارق الشموس.</w:t>
      </w:r>
    </w:p>
  </w:footnote>
  <w:footnote w:id="2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بدل«تمسّکوا»:«یتمسّک».</w:t>
      </w:r>
    </w:p>
  </w:footnote>
  <w:footnote w:id="2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بدل«الأصل»:«الحکم».</w:t>
      </w:r>
    </w:p>
  </w:footnote>
  <w:footnote w:id="2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المصدر:«علیها».</w:t>
      </w:r>
    </w:p>
  </w:footnote>
  <w:footnote w:id="2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زیادة:«حینئذ».</w:t>
      </w:r>
    </w:p>
  </w:footnote>
  <w:footnote w:id="2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بدل«الظهور»:«الیقین».</w:t>
      </w:r>
    </w:p>
  </w:footnote>
  <w:footnote w:id="2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الوافیة(مخطوط):339-341.</w:t>
      </w:r>
    </w:p>
  </w:footnote>
  <w:footnote w:id="2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وجه النظر فی الصفحة 33.</w:t>
      </w:r>
    </w:p>
  </w:footnote>
  <w:footnote w:id="2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112.</w:t>
      </w:r>
    </w:p>
  </w:footnote>
  <w:footnote w:id="2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حاشیة(ص)زیادة العبارة التالیة:«و نظیره أدلّة حلّ الأشیاء الواردة فی الشبهة الموضوعیّة کما فی روایة مسعدة بن صدقة الواردة فی الثوب المشتبه بالحرام و المملوک المشتبه بالحرّ و الزوجة المشتبهة بالرضیعة».</w:t>
      </w:r>
    </w:p>
  </w:footnote>
  <w:footnote w:id="2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الزبدة:72-73.</w:t>
      </w:r>
    </w:p>
  </w:footnote>
  <w:footnote w:id="2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بدل(ص)بدل«المغیّا»:«المعیّن».</w:t>
      </w:r>
    </w:p>
  </w:footnote>
  <w:footnote w:id="2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فی(ص)و(ظ)بدل«تمام»:«إتمام».</w:t>
      </w:r>
    </w:p>
  </w:footnote>
  <w:footnote w:id="2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مصحّحة(ص)زیادة:«للاستصحاب لا بدّ أن»،و فی(ظ)بدل«لأنّ المنکر»:«فالمنکر».</w:t>
      </w:r>
    </w:p>
  </w:footnote>
  <w:footnote w:id="2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القوانین 2:67.</w:t>
      </w:r>
    </w:p>
  </w:footnote>
  <w:footnote w:id="2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کذلک فی نسختنا من شرح الوافیة أیضا،انظر شرح الوافیة(مخطوط): 334.</w:t>
      </w:r>
    </w:p>
  </w:footnote>
  <w:footnote w:id="2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«هکذا»من نسخة بدل(ص).</w:t>
      </w:r>
    </w:p>
  </w:footnote>
  <w:footnote w:id="2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هکذا فیما بأیدینا من نسخة مشارق الشموس:76.</w:t>
      </w:r>
    </w:p>
  </w:footnote>
  <w:footnote w:id="2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صاحب الفصول فی الفصول:375.</w:t>
      </w:r>
    </w:p>
  </w:footnote>
  <w:footnote w:id="2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فی(ص)زیادة:«أیضا».</w:t>
      </w:r>
    </w:p>
  </w:footnote>
  <w:footnote w:id="2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بدل«المکلّف»:«التکلیف المذکور».</w:t>
      </w:r>
    </w:p>
  </w:footnote>
  <w:footnote w:id="2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الوافیة(مخطوط):337.</w:t>
      </w:r>
    </w:p>
  </w:footnote>
  <w:footnote w:id="2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مبحث الاشتغال 2:317.</w:t>
      </w:r>
    </w:p>
  </w:footnote>
  <w:footnote w:id="2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قول المحقّق الخوانساری المتقدّم فی الصفحة 171.</w:t>
      </w:r>
    </w:p>
  </w:footnote>
  <w:footnote w:id="2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حاشیة(ص)بدل«لارتفاع»:«ضرورة ارتفاع».</w:t>
      </w:r>
    </w:p>
  </w:footnote>
  <w:footnote w:id="2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المحقّق الخوانساری.</w:t>
      </w:r>
    </w:p>
  </w:footnote>
  <w:footnote w:id="2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فی(ظ)و نسخة بدل(ص)زیادة:«معلوم أنّ شیئا من المقدّمتین لا اقتضاء فیه لوجوب الإمساک فی زمان الشکّ لو خلّی و طبعه حتّی یکون الشکّ من قبیل المانع عنه،مع أنّ».</w:t>
      </w:r>
    </w:p>
  </w:footnote>
  <w:footnote w:id="2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فی(ص)شطب علی«الغایة»،و کتب فوقها:«غایة الشیء،و هی».</w:t>
      </w:r>
    </w:p>
  </w:footnote>
  <w:footnote w:id="2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فی(ت)زیادة:«هی».</w:t>
      </w:r>
    </w:p>
  </w:footnote>
  <w:footnote w:id="2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أی:صحیحة زرارة الاولی المتقدّمة فی الصفحة 55.</w:t>
      </w:r>
    </w:p>
  </w:footnote>
  <w:footnote w:id="2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أی:صحیحة زرارة الثالثة المتقدّمة فی الصفحة 62.</w:t>
      </w:r>
    </w:p>
  </w:footnote>
  <w:footnote w:id="2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62-63.</w:t>
      </w:r>
    </w:p>
  </w:footnote>
  <w:footnote w:id="2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 فی الصفحة 171.</w:t>
      </w:r>
    </w:p>
  </w:footnote>
  <w:footnote w:id="2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ترد«عن الثوب و البدن»فی(ظ)و(ر).</w:t>
      </w:r>
    </w:p>
  </w:footnote>
  <w:footnote w:id="2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المدّثّر:4.</w:t>
      </w:r>
    </w:p>
  </w:footnote>
  <w:footnote w:id="2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1:256،الباب الأول من أبواب الوضوء،الحدیث الأول.</w:t>
      </w:r>
    </w:p>
  </w:footnote>
  <w:footnote w:id="2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فی(ت)و(ظ)زیادة:«بعد ردّ روایتی ابن المغیرة و ابن یعقوب»،لکن شطب علیها فی(ت).</w:t>
      </w:r>
    </w:p>
  </w:footnote>
  <w:footnote w:id="2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 فی الصفحة 172.</w:t>
      </w:r>
    </w:p>
  </w:footnote>
  <w:footnote w:id="2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الصفحة 172-173.</w:t>
      </w:r>
    </w:p>
  </w:footnote>
  <w:footnote w:id="2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 فی الصفحة 173.</w:t>
      </w:r>
    </w:p>
  </w:footnote>
  <w:footnote w:id="2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الصفحة 173.</w:t>
      </w:r>
    </w:p>
  </w:footnote>
  <w:footnote w:id="2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 فی الصفحة 175.</w:t>
      </w:r>
    </w:p>
  </w:footnote>
  <w:footnote w:id="2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فی(ر)،(ص)و(ظ):«فرده».</w:t>
      </w:r>
    </w:p>
  </w:footnote>
  <w:footnote w:id="2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نسبته إلی المشهور باعتبار أنّ من جملة أفراد الإطلاق فی هذا القسم هو الشکّ فی المقتضی،و المصنّف لا یقول بحجیّة الاستصحاب فیه.</w:t>
      </w:r>
    </w:p>
  </w:footnote>
  <w:footnote w:id="2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فی(ت)و(ه)بدل«الباقی»:«الذی یستلزم بقاء الکلّی ذلک الفرد فی الواقع».</w:t>
      </w:r>
    </w:p>
  </w:footnote>
  <w:footnote w:id="2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فی(ر)بدل«وجب»:«فی»،و فی حاشیة التنکابنی(2:691):«و حینئذ یجب».</w:t>
      </w:r>
    </w:p>
  </w:footnote>
  <w:footnote w:id="2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شطب فی(ت)و(ه)علی«هو».</w:t>
      </w:r>
    </w:p>
  </w:footnote>
  <w:footnote w:id="2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ترد«و هو محکوم بالانتفاء بحکم الأصل»فی(ظ).</w:t>
      </w:r>
    </w:p>
  </w:footnote>
  <w:footnote w:id="2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ترد«إمّا لعدم استعداده و إمّا لوجود الرافع»فی(ر).</w:t>
      </w:r>
    </w:p>
  </w:footnote>
  <w:footnote w:id="2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فی(ه)و(ت)بدل«کاندفاع توهّم»:«کتوهّم».</w:t>
      </w:r>
    </w:p>
  </w:footnote>
  <w:footnote w:id="2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فی(ت):«لزم».</w:t>
      </w:r>
    </w:p>
  </w:footnote>
  <w:footnote w:id="2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غیر(ظ)زیادة:«هو».</w:t>
      </w:r>
    </w:p>
  </w:footnote>
  <w:footnote w:id="2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سیجیء الاختلاف فی تحقیق هذا البعض فی الصفحة 260.</w:t>
      </w:r>
    </w:p>
  </w:footnote>
  <w:footnote w:id="2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النسخ،و المناسب:«باستصحابه»لرجوع الضمیر إلی الحیوان.</w:t>
      </w:r>
    </w:p>
  </w:footnote>
  <w:footnote w:id="2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القوانین 2:69-73.</w:t>
      </w:r>
    </w:p>
  </w:footnote>
  <w:footnote w:id="2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فی(ظ)،و فی غیره بدل«شخصه»:«تشخّصه».</w:t>
      </w:r>
    </w:p>
  </w:footnote>
  <w:footnote w:id="2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87.</w:t>
      </w:r>
    </w:p>
  </w:footnote>
  <w:footnote w:id="2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القوانین 2:66.</w:t>
      </w:r>
    </w:p>
  </w:footnote>
  <w:footnote w:id="2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الصفحة 263.</w:t>
      </w:r>
    </w:p>
  </w:footnote>
  <w:footnote w:id="2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«أن»من(ت).</w:t>
      </w:r>
    </w:p>
  </w:footnote>
  <w:footnote w:id="2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فی(ص)زیادة:«علی نحو».</w:t>
      </w:r>
    </w:p>
  </w:footnote>
  <w:footnote w:id="2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فی(ص)علی«بالاستصحاب»:«زائد».</w:t>
      </w:r>
    </w:p>
  </w:footnote>
  <w:footnote w:id="2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فی(ت)بدل«الوجود»:«الموجود».</w:t>
      </w:r>
    </w:p>
  </w:footnote>
  <w:footnote w:id="2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فی(ه)و نسخة بدل(ص)زیادة:«ذلک».</w:t>
      </w:r>
    </w:p>
  </w:footnote>
  <w:footnote w:id="2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فی(ر)و(ه)بدل«فیه»:«فی».</w:t>
      </w:r>
    </w:p>
  </w:footnote>
  <w:footnote w:id="2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قول الأشاعرة:بأنّ شیئا من الأعراض لا یبقی زمانین،انظر أنوار الملکوت فی شرح الیاقوت للعلاّمة الحلّی:27.</w:t>
      </w:r>
    </w:p>
  </w:footnote>
  <w:footnote w:id="2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الصفحة 294-302.</w:t>
      </w:r>
    </w:p>
  </w:footnote>
  <w:footnote w:id="2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بدل«اللازم»:«العارض».</w:t>
      </w:r>
    </w:p>
  </w:footnote>
  <w:footnote w:id="2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زیادة:«فی الوقت الثانی».</w:t>
      </w:r>
    </w:p>
  </w:footnote>
  <w:footnote w:id="2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الوافیة:210.</w:t>
      </w:r>
    </w:p>
  </w:footnote>
  <w:footnote w:id="2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المائدة:3.</w:t>
      </w:r>
    </w:p>
  </w:footnote>
  <w:footnote w:id="2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الأنعام:121.</w:t>
      </w:r>
    </w:p>
  </w:footnote>
  <w:footnote w:id="2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الأنعام:118.</w:t>
      </w:r>
    </w:p>
  </w:footnote>
  <w:footnote w:id="2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3:250،الباب 2 من أبواب لباس المصلّی،الحدیث 1،لکن فی جمیع المصادر الحدیثیّة بدل«الذابح»:«الذبح».</w:t>
      </w:r>
    </w:p>
  </w:footnote>
  <w:footnote w:id="2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غیر(ر)زیادة:«معلّلا».</w:t>
      </w:r>
    </w:p>
  </w:footnote>
  <w:footnote w:id="2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16:215،الباب 5 من أبواب الصید،الحدیث 2.</w:t>
      </w:r>
    </w:p>
  </w:footnote>
  <w:footnote w:id="2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الجواهر 5:297-299.</w:t>
      </w:r>
    </w:p>
  </w:footnote>
  <w:footnote w:id="2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فی(ظ)بدل«موضوع المیتة»:«الموت».</w:t>
      </w:r>
    </w:p>
  </w:footnote>
  <w:footnote w:id="2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شطب فی(ت)علی«بمقتضی أدلّة نجاسة المیتة»،و کتب فی(ه)فوقها: «زائد».</w:t>
      </w:r>
    </w:p>
  </w:footnote>
  <w:footnote w:id="2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فی(ت)زیادة:«و لذا حکم بنجاستها»،و کتب فی(ص)فوقها:«نسخة».</w:t>
      </w:r>
    </w:p>
  </w:footnote>
  <w:footnote w:id="2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مفاتیح الشرائع 1:70،المفتاح 78.</w:t>
      </w:r>
    </w:p>
  </w:footnote>
  <w:footnote w:id="2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فی(ه)زیادة:«هذا».</w:t>
      </w:r>
    </w:p>
  </w:footnote>
  <w:footnote w:id="2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ترد«الثابتة»فی(ت).</w:t>
      </w:r>
    </w:p>
  </w:footnote>
  <w:footnote w:id="2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بدل(ت)بدل«إلی»:«فی».</w:t>
      </w:r>
    </w:p>
  </w:footnote>
  <w:footnote w:id="2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«الموت»من(ظ)و(ص).</w:t>
      </w:r>
    </w:p>
  </w:footnote>
  <w:footnote w:id="2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الوافیة(مخطوط):365.</w:t>
      </w:r>
    </w:p>
  </w:footnote>
  <w:footnote w:id="2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ترد«حیوانه»فی(ظ).</w:t>
      </w:r>
    </w:p>
  </w:footnote>
  <w:footnote w:id="2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فی(ظ)،و فی غیره بدل«و»:«أو».</w:t>
      </w:r>
    </w:p>
  </w:footnote>
  <w:footnote w:id="2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الأنعام:145.</w:t>
      </w:r>
    </w:p>
  </w:footnote>
  <w:footnote w:id="2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«به»من(ت)و(ه).</w:t>
      </w:r>
    </w:p>
  </w:footnote>
  <w:footnote w:id="2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فی(ه):«خصوصیّته».</w:t>
      </w:r>
    </w:p>
  </w:footnote>
  <w:footnote w:id="2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196.</w:t>
      </w:r>
    </w:p>
  </w:footnote>
  <w:footnote w:id="2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الصفحة 280-281.</w:t>
      </w:r>
    </w:p>
  </w:footnote>
  <w:footnote w:id="2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بدل(ص)زیادة:«المقارن».</w:t>
      </w:r>
    </w:p>
  </w:footnote>
  <w:footnote w:id="2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ترد«الوصف بمحلّ-إلی-لذلک»فی(ظ).</w:t>
      </w:r>
    </w:p>
  </w:footnote>
  <w:footnote w:id="2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حیث یستدلّون فی کتاب الصوم باستصحاب اللیل و النهار،انظر اللمعة:56، کفایة الأحکام:46،مشارق الشموس:406،و الجواهر 16:276.</w:t>
      </w:r>
    </w:p>
  </w:footnote>
  <w:footnote w:id="2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44.</w:t>
      </w:r>
    </w:p>
  </w:footnote>
  <w:footnote w:id="2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فی(ت)،و فی غیرها بدل«تحقّقه»:«تجدّده».</w:t>
      </w:r>
    </w:p>
  </w:footnote>
  <w:footnote w:id="2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ترد«أمکن-إلی-أیضا»فی(ر)و(ص).</w:t>
      </w:r>
    </w:p>
  </w:footnote>
  <w:footnote w:id="2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فی(ر)،و فی غیرها بدل«یتصوّره»:«یتصوّر فیه».</w:t>
      </w:r>
    </w:p>
  </w:footnote>
  <w:footnote w:id="2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ترد«له»فی(ت).</w:t>
      </w:r>
    </w:p>
  </w:footnote>
  <w:footnote w:id="2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فی(ظ)بدل«لتعمیم»:«بتعمیم».</w:t>
      </w:r>
    </w:p>
  </w:footnote>
  <w:footnote w:id="2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الصفحة 244.</w:t>
      </w:r>
    </w:p>
  </w:footnote>
  <w:footnote w:id="2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فی(ظ)و مصحّحة(ص)زیادة:«ثمّ إنّ هنا».</w:t>
      </w:r>
    </w:p>
  </w:footnote>
  <w:footnote w:id="2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فی(ت)،و فی غیرها بدل«فی»:«و».</w:t>
      </w:r>
    </w:p>
  </w:footnote>
  <w:footnote w:id="2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فی(ص)زیادة:«و».</w:t>
      </w:r>
    </w:p>
  </w:footnote>
  <w:footnote w:id="2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فی الصفحة 71.</w:t>
      </w:r>
    </w:p>
  </w:footnote>
  <w:footnote w:id="2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فی(ص)و(ظ)زیادة:«أو وجوبه».</w:t>
      </w:r>
    </w:p>
  </w:footnote>
  <w:footnote w:id="2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فی(ه)زیادة:«الخارجیّة».</w:t>
      </w:r>
    </w:p>
  </w:footnote>
  <w:footnote w:id="2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فی(ت):«منها».</w:t>
      </w:r>
    </w:p>
  </w:footnote>
  <w:footnote w:id="2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فی(ه)و مصححة(ت)زیادة:«القسم الثانی من».</w:t>
      </w:r>
    </w:p>
  </w:footnote>
  <w:footnote w:id="2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196.</w:t>
      </w:r>
    </w:p>
  </w:footnote>
  <w:footnote w:id="2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فی(ت):«الموجود».</w:t>
      </w:r>
    </w:p>
  </w:footnote>
  <w:footnote w:id="2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فی(ه)بدل«حدوث»:«حصول».</w:t>
      </w:r>
    </w:p>
  </w:footnote>
  <w:footnote w:id="2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فی(ت)و(ه)بدل«طبیعتها»:«الطبیعة».</w:t>
      </w:r>
    </w:p>
  </w:footnote>
  <w:footnote w:id="2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فی(ص)بدل«طبیعتها لقذف الرحم»:«طبیعة الرحم لقذف».</w:t>
      </w:r>
    </w:p>
  </w:footnote>
  <w:footnote w:id="2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هذا الإشکال و جوابه فی ذیل القول السابع فی الصفحة 145-148.</w:t>
      </w:r>
    </w:p>
  </w:footnote>
  <w:footnote w:id="2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الفاضل النراقی فی مناهج الأحکام.</w:t>
      </w:r>
    </w:p>
  </w:footnote>
  <w:footnote w:id="2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زیادة:«حکم».</w:t>
      </w:r>
    </w:p>
  </w:footnote>
  <w:footnote w:id="2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مناهج الأحکام:237.</w:t>
      </w:r>
    </w:p>
  </w:footnote>
  <w:footnote w:id="2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فی(ر):«الاستصحابات».</w:t>
      </w:r>
    </w:p>
  </w:footnote>
  <w:footnote w:id="2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فی(ت):«أنّه».</w:t>
      </w:r>
    </w:p>
  </w:footnote>
  <w:footnote w:id="2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هکذا:«فاستصحاب حال الشرع فیها،أی استصحاب وجودها».</w:t>
      </w:r>
    </w:p>
  </w:footnote>
  <w:footnote w:id="2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مناهج الأحکام:238.</w:t>
      </w:r>
    </w:p>
  </w:footnote>
  <w:footnote w:id="2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فی(ت)و(ظ)و(ه)زیادة:«الشکّ».</w:t>
      </w:r>
    </w:p>
  </w:footnote>
  <w:footnote w:id="2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فی(ظ)و(ه):«الوجود».</w:t>
      </w:r>
    </w:p>
  </w:footnote>
  <w:footnote w:id="2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ترد«منها»فی(ظ)،و شطب علیها فی(ت).</w:t>
      </w:r>
    </w:p>
  </w:footnote>
  <w:footnote w:id="2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وردت العبارة فی(ظ)هکذا:«لأنّ انتقاض العدم بالوجود المقیّد لا یستلزم انتقاضه بالمطلق».</w:t>
      </w:r>
    </w:p>
  </w:footnote>
  <w:footnote w:id="2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فی(ص)زیادة:«فتأمّل».</w:t>
      </w:r>
    </w:p>
  </w:footnote>
  <w:footnote w:id="2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الصفحة 217.</w:t>
      </w:r>
    </w:p>
  </w:footnote>
  <w:footnote w:id="2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الصفحة 289-291.</w:t>
      </w:r>
    </w:p>
  </w:footnote>
  <w:footnote w:id="2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مصحّحة(ص)زیادة:«الشرعی».</w:t>
      </w:r>
    </w:p>
  </w:footnote>
  <w:footnote w:id="2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النسخ،و المناسب بدل«لکنّ»:«لأنّ».</w:t>
      </w:r>
    </w:p>
  </w:footnote>
  <w:footnote w:id="2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ترد«إن کان-إلی-الضرر»فی(ظ)،و فی(ت)و(ص)کتب فوقها:«نسخة».</w:t>
      </w:r>
    </w:p>
  </w:footnote>
  <w:footnote w:id="2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ترد«فلا یجوز-إلی-مع القطع»فی(ظ)،و فی(ت)و(ص)کتب علیها: «نسخة»،و ورد بدلها فی هذه النسخ ما یلی:«فلا یثبت إلاّ الآثار الشرعیّة المجعولة القابلة للجعل الظاهریّ،و تعبّد الشارع بالحکم العقلی یخرجه عن کونه حکما عقلیّا»،لکن شطب علیها فی(ت).</w:t>
      </w:r>
    </w:p>
  </w:footnote>
  <w:footnote w:id="2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فی(ص):«حکم العقل».</w:t>
      </w:r>
    </w:p>
  </w:footnote>
  <w:footnote w:id="2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ترد«الحرمة»فی(ر).</w:t>
      </w:r>
    </w:p>
  </w:footnote>
  <w:footnote w:id="2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فی(ر)و نسخة بدل(ص)بدل«مع إحراز الضرر»:«بذلک».</w:t>
      </w:r>
    </w:p>
  </w:footnote>
  <w:footnote w:id="2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فی(ر)و(ص)زیادة:«لثبوتها سابقا و لو بواسطة الحکم العقلی»،و فی(ص) بدل«سابقا»:«ظاهرا»،و کتبت علی هذه الزیادة فیها:«نسخة».</w:t>
      </w:r>
    </w:p>
  </w:footnote>
  <w:footnote w:id="2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فی(ت):«الحکم العقلی».</w:t>
      </w:r>
    </w:p>
  </w:footnote>
  <w:footnote w:id="2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نقف علیه،و قیل:إنّه المحقّق القمّی،انظر أوثق الوسائل:445.</w:t>
      </w:r>
    </w:p>
  </w:footnote>
  <w:footnote w:id="2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صاحب الفصول فی الفصول:366.</w:t>
      </w:r>
    </w:p>
  </w:footnote>
  <w:footnote w:id="2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من:عدم إمکان جریان الاستصحاب فی الحکم العقلی،انظر الصفحة 215.</w:t>
      </w:r>
    </w:p>
  </w:footnote>
  <w:footnote w:id="2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سیأتی التنبیه علیه فی الصفحة اللاحقة عند قوله:«لکنّه لا یقضی».</w:t>
      </w:r>
    </w:p>
  </w:footnote>
  <w:footnote w:id="2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هذا الاستدلال فی مبحث البراءة و الاشتغال 2:59 و 325-326.</w:t>
      </w:r>
    </w:p>
  </w:footnote>
  <w:footnote w:id="2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المتوهّم هو صاحب المناهل تبعا لوالده،کما سیأتی.</w:t>
      </w:r>
    </w:p>
  </w:footnote>
  <w:footnote w:id="2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ترد«فالحرمة ثابتة علی تقدیر الغلیان»فی(ظ).</w:t>
      </w:r>
    </w:p>
  </w:footnote>
  <w:footnote w:id="2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السیّد محمّد الطباطبائی،الملقّب بالمجاهد.</w:t>
      </w:r>
    </w:p>
  </w:footnote>
  <w:footnote w:id="2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السیّد علی الطباطبائی،صاحب الریاض.</w:t>
      </w:r>
    </w:p>
  </w:footnote>
  <w:footnote w:id="2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الملقّب ببحر العلوم،انظر المصابیح(مخطوط):447.</w:t>
      </w:r>
    </w:p>
  </w:footnote>
  <w:footnote w:id="2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بدل«أو»:«من».</w:t>
      </w:r>
    </w:p>
  </w:footnote>
  <w:footnote w:id="2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زیادة:«أو موضوع».</w:t>
      </w:r>
    </w:p>
  </w:footnote>
  <w:footnote w:id="2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بدل«و لا»:«فلا».</w:t>
      </w:r>
    </w:p>
  </w:footnote>
  <w:footnote w:id="2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المناهل:652(کتاب الأطعمة و الأشربة).</w:t>
      </w:r>
    </w:p>
  </w:footnote>
  <w:footnote w:id="2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هاتان المناقشتان من صاحب المناهل،انظر المناهل:652 و 653.</w:t>
      </w:r>
    </w:p>
  </w:footnote>
  <w:footnote w:id="2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صاحب الفصول فی الفصول:315.</w:t>
      </w:r>
    </w:p>
  </w:footnote>
  <w:footnote w:id="2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المصدر:«نتمسّک».</w:t>
      </w:r>
    </w:p>
  </w:footnote>
  <w:footnote w:id="2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فی(ف)و(خ)،و فی غیرهما بدل«فإنّ الشریعة-إلی-الاولی»: «و فرض انقراض جمیع أهل الشریعة السابقة عند تجدّد اللاحقة نادر،بل غیر واقع».</w:t>
      </w:r>
    </w:p>
  </w:footnote>
  <w:footnote w:id="2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فی(ر)زیادة:«فإنّ الشریعة اللاحقة لا تحدث عند انقراض أهل الشریعة الاولی»،و وردت هذه الزیادة فی(ه)بعد قوله«قطعا»،و قد کتب علیها: «نسخة».</w:t>
      </w:r>
    </w:p>
  </w:footnote>
  <w:footnote w:id="2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بدل(ص):«المتغیّرة».</w:t>
      </w:r>
    </w:p>
  </w:footnote>
  <w:footnote w:id="2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 فی الصفحة السابقة.</w:t>
      </w:r>
    </w:p>
  </w:footnote>
  <w:footnote w:id="2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الإیراد من صاحب الفصول أیضا،انظر الفصول:315،و کذا مناهج الأحکام:189.</w:t>
      </w:r>
    </w:p>
  </w:footnote>
  <w:footnote w:id="2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بدل(ص)بدل«المعارض»:«معارضة أصالة عدم النسخ فی غیرها».</w:t>
      </w:r>
    </w:p>
  </w:footnote>
  <w:footnote w:id="2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مبحث الاشتغال 2:233.</w:t>
      </w:r>
    </w:p>
  </w:footnote>
  <w:footnote w:id="2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القوانین 1:495.</w:t>
      </w:r>
    </w:p>
  </w:footnote>
  <w:footnote w:id="2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کالمحقّق القمی فی القوانین 1:495،و صاحب الفصول فی الفصول:315.</w:t>
      </w:r>
    </w:p>
  </w:footnote>
  <w:footnote w:id="2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فی(ص):«موارد».</w:t>
      </w:r>
    </w:p>
  </w:footnote>
  <w:footnote w:id="2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تمهید القواعد:239-241.</w:t>
      </w:r>
    </w:p>
  </w:footnote>
  <w:footnote w:id="2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البیّنة:5.</w:t>
      </w:r>
    </w:p>
  </w:footnote>
  <w:footnote w:id="2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کتاب الطهارة للمصنّف 2:11-13.</w:t>
      </w:r>
    </w:p>
  </w:footnote>
  <w:footnote w:id="2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ترد«لا علی وجوب»فی(ظ)،و ورد بدلها:«فإن وجبت علینا وجب فیها».</w:t>
      </w:r>
    </w:p>
  </w:footnote>
  <w:footnote w:id="2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ترد«شرطیّا فی کلّ واجب»فی(ت).</w:t>
      </w:r>
    </w:p>
  </w:footnote>
  <w:footnote w:id="2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فی(ت)و(ص)زیادة:«فتأمّل».</w:t>
      </w:r>
    </w:p>
  </w:footnote>
  <w:footnote w:id="2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یوسف:72.</w:t>
      </w:r>
    </w:p>
  </w:footnote>
  <w:footnote w:id="2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عمران:39.</w:t>
      </w:r>
    </w:p>
  </w:footnote>
  <w:footnote w:id="2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ص:44.</w:t>
      </w:r>
    </w:p>
  </w:footnote>
  <w:footnote w:id="2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المائدة:45.</w:t>
      </w:r>
    </w:p>
  </w:footnote>
  <w:footnote w:id="2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الشرائع 4:236.</w:t>
      </w:r>
    </w:p>
  </w:footnote>
  <w:footnote w:id="2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القصص:27.</w:t>
      </w:r>
    </w:p>
  </w:footnote>
  <w:footnote w:id="2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15:1 و 33،الباب 1 و 22 من أبواب المهور،و غیرهما من الأبواب.</w:t>
      </w:r>
    </w:p>
  </w:footnote>
  <w:footnote w:id="2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النسخ،و المناسب:«فیه»؛لرجوع الضمیر إلی تنزیل الشارع.</w:t>
      </w:r>
    </w:p>
  </w:footnote>
  <w:footnote w:id="2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ترد«حکما»فی(ت)و(ه).</w:t>
      </w:r>
    </w:p>
  </w:footnote>
  <w:footnote w:id="2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مناهج الأحکام:233،و سیأتی التصریح به فی کلمات صاحب الفصول و کاشف الغطاء.</w:t>
      </w:r>
    </w:p>
  </w:footnote>
  <w:footnote w:id="2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فی(ص)بدل«نظیر»:«تشبه فی الجملة».</w:t>
      </w:r>
    </w:p>
  </w:footnote>
  <w:footnote w:id="2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النسخ،و المناسب:«بینه»،لرجوع الضمیر إلی الأمر العادی.</w:t>
      </w:r>
    </w:p>
  </w:footnote>
  <w:footnote w:id="2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«به»من(ظ).</w:t>
      </w:r>
    </w:p>
  </w:footnote>
  <w:footnote w:id="2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حاشیة(ص)زیادة ما یلی:«بیان ذلک أنّ استصحاب الشیء لو اقتضی لازمه الغیر الشرعی عارضه أصالة عدم ذلک اللازم،فیتساقطان فی مورد التعارض،توضیح ذلک:أنّه لو فرضنا ثبوت موت زید باستصحاب حیاة عمرو،عارضه أصالة حیاة زید،فیتساقطان بالنسبة إلی موت زید.نعم،یبقی أصالة حیاة عمرو بالنسبة إلی غیر موت زید سلیما عن المعارض».</w:t>
      </w:r>
    </w:p>
  </w:footnote>
  <w:footnote w:id="2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صاحب الفصول.</w:t>
      </w:r>
    </w:p>
  </w:footnote>
  <w:footnote w:id="2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کشف الغطاء:35.</w:t>
      </w:r>
    </w:p>
  </w:footnote>
  <w:footnote w:id="2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الفصول:378.</w:t>
      </w:r>
    </w:p>
  </w:footnote>
  <w:footnote w:id="2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اعترف به صاحب الفصول فی الفصول:377،و کذا کاشف الغطاء فی کشف الغطاء:35.</w:t>
      </w:r>
    </w:p>
  </w:footnote>
  <w:footnote w:id="2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النسخ،و المناسب:«أصالة».</w:t>
      </w:r>
    </w:p>
  </w:footnote>
  <w:footnote w:id="2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النسخ،و المناسب:«و لو».</w:t>
      </w:r>
    </w:p>
  </w:footnote>
  <w:footnote w:id="2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4:120.</w:t>
      </w:r>
    </w:p>
  </w:footnote>
  <w:footnote w:id="2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المبسوط 8:273،و الوسیلة:225.</w:t>
      </w:r>
    </w:p>
  </w:footnote>
  <w:footnote w:id="2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المسالک(الطبعة الحجریة)2:319،و کشف اللثام 2:361.</w:t>
      </w:r>
    </w:p>
  </w:footnote>
  <w:footnote w:id="2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4:120.</w:t>
      </w:r>
    </w:p>
  </w:footnote>
  <w:footnote w:id="2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التحریر 1:6،و الذکری 1:81،و کشف اللثام 1:276.</w:t>
      </w:r>
    </w:p>
  </w:footnote>
  <w:footnote w:id="2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1:51-52.</w:t>
      </w:r>
    </w:p>
  </w:footnote>
  <w:footnote w:id="2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فی(ت)،(ر)و نسخة بدل(ص):«حین الملاقاة».</w:t>
      </w:r>
    </w:p>
  </w:footnote>
  <w:footnote w:id="2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7:106-107.</w:t>
      </w:r>
    </w:p>
  </w:footnote>
  <w:footnote w:id="2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4:241.</w:t>
      </w:r>
    </w:p>
  </w:footnote>
  <w:footnote w:id="2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التحریر 2:261.</w:t>
      </w:r>
    </w:p>
  </w:footnote>
  <w:footnote w:id="2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w:t>
      </w:r>
    </w:p>
  </w:footnote>
  <w:footnote w:id="2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قواعد الأحکام(الطبعة الحجریّة)2:311.</w:t>
      </w:r>
    </w:p>
  </w:footnote>
  <w:footnote w:id="2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کفخر المحققین فی إیضاح الفوائد 4:652،و المحقق الأردبیلی فی مجمع الفائدة 14:126-128.</w:t>
      </w:r>
    </w:p>
  </w:footnote>
  <w:footnote w:id="2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المسالک(الطبعة الحجریة)2:385.</w:t>
      </w:r>
    </w:p>
  </w:footnote>
  <w:footnote w:id="2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ترد«لکنّه-إلی-فی المسالک»فی(ر)و(ه)،و کتب فوقه فی(ت): «نسخة بدل»،و فی(ص):«نسخة».</w:t>
      </w:r>
    </w:p>
  </w:footnote>
  <w:footnote w:id="2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التحریر 2:261.</w:t>
      </w:r>
    </w:p>
  </w:footnote>
  <w:footnote w:id="2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5:203.</w:t>
      </w:r>
    </w:p>
  </w:footnote>
  <w:footnote w:id="2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المسالک 2:385،و کشف اللثام 2:480،و الجواهر 42:416 و 417.</w:t>
      </w:r>
    </w:p>
  </w:footnote>
  <w:footnote w:id="2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7:106.</w:t>
      </w:r>
    </w:p>
  </w:footnote>
  <w:footnote w:id="2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4:240.</w:t>
      </w:r>
    </w:p>
  </w:footnote>
  <w:footnote w:id="2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به اللّفافة.</w:t>
      </w:r>
    </w:p>
  </w:footnote>
  <w:footnote w:id="2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238.</w:t>
      </w:r>
    </w:p>
  </w:footnote>
  <w:footnote w:id="2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عنه فی الفتاوی،انظر الذکری 1:83،و لم نعثر علیه فی کتب المحقّق قدّس سرّه.</w:t>
      </w:r>
    </w:p>
  </w:footnote>
  <w:footnote w:id="2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المعتبر 1:32.</w:t>
      </w:r>
    </w:p>
  </w:footnote>
  <w:footnote w:id="2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غیر(ص)زیادة:«بالعبادة».</w:t>
      </w:r>
    </w:p>
  </w:footnote>
  <w:footnote w:id="2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فی(ظ)زیادة:«حتّی یترتّب علیه أحکام آخریّة رمضان».</w:t>
      </w:r>
    </w:p>
  </w:footnote>
  <w:footnote w:id="2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المتمسّک هو صاحب الفصول،لکن لیس فی کلامه ذکر الإجماع،انظر الفصول:378.</w:t>
      </w:r>
    </w:p>
  </w:footnote>
  <w:footnote w:id="2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233 و 243.</w:t>
      </w:r>
    </w:p>
  </w:footnote>
  <w:footnote w:id="2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238 و 244.</w:t>
      </w:r>
    </w:p>
  </w:footnote>
  <w:footnote w:id="2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236.</w:t>
      </w:r>
    </w:p>
  </w:footnote>
  <w:footnote w:id="2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فی(ر)زیادة:«ما».</w:t>
      </w:r>
    </w:p>
  </w:footnote>
  <w:footnote w:id="2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مبحث تعارض الاستصحابین،الصفحة 407.</w:t>
      </w:r>
    </w:p>
  </w:footnote>
  <w:footnote w:id="2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فی(ت)و(ص)زیادة:«کون».</w:t>
      </w:r>
    </w:p>
  </w:footnote>
  <w:footnote w:id="2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ترد«تقدّم»فی(ر).</w:t>
      </w:r>
    </w:p>
  </w:footnote>
  <w:footnote w:id="2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توهّمه جماعة،منهم:صاحب الجواهر و شیخه کاشف الغطاء-کما سیأتی- حیث توهّموا جریان أصالة العدم فی المعلوم أیضا،و جعلوا المورد من المتعارضین،کما فی مجهولی التأریخ.</w:t>
      </w:r>
    </w:p>
  </w:footnote>
  <w:footnote w:id="2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«أیضا»من نسخة(حاشیة بارفروش 2:124).</w:t>
      </w:r>
    </w:p>
  </w:footnote>
  <w:footnote w:id="2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8:273.</w:t>
      </w:r>
    </w:p>
  </w:footnote>
  <w:footnote w:id="2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الوسیلة:225.</w:t>
      </w:r>
    </w:p>
  </w:footnote>
  <w:footnote w:id="2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4:120.</w:t>
      </w:r>
    </w:p>
  </w:footnote>
  <w:footnote w:id="2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قواعد الأحکام(الطبعة الحجریّة)2:229،و التحریر 2:300.</w:t>
      </w:r>
    </w:p>
  </w:footnote>
  <w:footnote w:id="2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2:108،و المسالک 2:319.</w:t>
      </w:r>
    </w:p>
  </w:footnote>
  <w:footnote w:id="2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الفاضل الهندی فی کشف اللثام 2:361.</w:t>
      </w:r>
    </w:p>
  </w:footnote>
  <w:footnote w:id="2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3:409.</w:t>
      </w:r>
    </w:p>
  </w:footnote>
  <w:footnote w:id="2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المسالک 4:78.</w:t>
      </w:r>
    </w:p>
  </w:footnote>
  <w:footnote w:id="2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حیث قال فی منظومته فی الفقه-الدرّة النجفیّة:23-: و إن یکن یعلم کلّ منهما مشتبها علیه ما تقدّما فهو علی الأظهر مثل المحدث إلاّ إذا عیّن وقت الحدث</w:t>
      </w:r>
    </w:p>
  </w:footnote>
  <w:footnote w:id="2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صاحب الجواهر فی الجواهر 25:269،و 2:353 و 354.</w:t>
      </w:r>
    </w:p>
  </w:footnote>
  <w:footnote w:id="2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کاشف الغطاء فی کشف الغطاء:102.</w:t>
      </w:r>
    </w:p>
  </w:footnote>
  <w:footnote w:id="2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فی(ص)زیادة:«تحقّق».</w:t>
      </w:r>
    </w:p>
  </w:footnote>
  <w:footnote w:id="2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فی(ظ):«یعلم».</w:t>
      </w:r>
    </w:p>
  </w:footnote>
  <w:footnote w:id="2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251.</w:t>
      </w:r>
    </w:p>
  </w:footnote>
  <w:footnote w:id="2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فی(ص)زیادة:«الاولی».</w:t>
      </w:r>
    </w:p>
  </w:footnote>
  <w:footnote w:id="2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قیل:هو السیّد بحر العلوم،و لکن لم نعثر علیه فی المصابیح.</w:t>
      </w:r>
    </w:p>
  </w:footnote>
  <w:footnote w:id="2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باب تعارض الاستصحابین،الصفحة 406.</w:t>
      </w:r>
    </w:p>
  </w:footnote>
  <w:footnote w:id="2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النسخ،و المناسب:«کانت»؛لرجوع الضمیر إلی صیغة الأمر.</w:t>
      </w:r>
    </w:p>
  </w:footnote>
  <w:footnote w:id="2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13.</w:t>
      </w:r>
    </w:p>
  </w:footnote>
  <w:footnote w:id="2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الخلاف 3:150،و المبسوط 2:147.</w:t>
      </w:r>
    </w:p>
  </w:footnote>
  <w:footnote w:id="2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السرائر 1:220.</w:t>
      </w:r>
    </w:p>
  </w:footnote>
  <w:footnote w:id="2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المعتبر 1:54.</w:t>
      </w:r>
    </w:p>
  </w:footnote>
  <w:footnote w:id="2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نهایة الإحکام 1:538،و تذکرة الفقهاء 1:24.</w:t>
      </w:r>
    </w:p>
  </w:footnote>
  <w:footnote w:id="2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کالشهید الثانی فی تمهید القواعد:273.</w:t>
      </w:r>
    </w:p>
  </w:footnote>
  <w:footnote w:id="2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فی(ط)زیادة:«المتقدّم».</w:t>
      </w:r>
    </w:p>
  </w:footnote>
  <w:footnote w:id="2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کصاحب الفصول فی الفصول:50.</w:t>
      </w:r>
    </w:p>
  </w:footnote>
  <w:footnote w:id="2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أوّل الصفحة السابقة.</w:t>
      </w:r>
    </w:p>
  </w:footnote>
  <w:footnote w:id="2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هذا الاستدلال فی مبحث البراءة 2:380.</w:t>
      </w:r>
    </w:p>
  </w:footnote>
  <w:footnote w:id="2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تمسّک بها غیر واحد تبعا للشیخ،کما تقدّم فی مبحث البراءة 2:376- 377،و الآیة من سورة محمّد:33.</w:t>
      </w:r>
    </w:p>
  </w:footnote>
  <w:footnote w:id="2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مبحث البراءة 2:377-380.</w:t>
      </w:r>
    </w:p>
  </w:footnote>
  <w:footnote w:id="2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فی(ت)و(ص)بدل«الحکم علی ما کان»:«حکما عملیّا».</w:t>
      </w:r>
    </w:p>
  </w:footnote>
  <w:footnote w:id="2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فی(ص)،(ظ)و(ر)زیادة:«به».</w:t>
      </w:r>
    </w:p>
  </w:footnote>
  <w:footnote w:id="2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السیّد باقر القزوینی علی ما نقله الآشتیانی-فی بحر الفوائد 3:150- عن المصنّف،و قیل:إنّه السیّد حسین القزوینی،و قیل:إنّه السیّد محسن الکاظمی، و فی أوثق الوسائل(516)عن رسالة لبعض تلامذة العلاّمة بحر العلوم:أنّ المناظرة جرت بین السیّد بحر العلوم و بین عالم یهودی حین سافر إلی زیارة أبی عبد اللّه الحسین علیه السّلام فی بلدة ذی الکفل،و کانت محل تجمّع الیهود آنذاک، کما أنّه یحتمل تعدّد الواقعة.</w:t>
      </w:r>
    </w:p>
  </w:footnote>
  <w:footnote w:id="2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المحقّق القمی فی القوانین 2:70.</w:t>
      </w:r>
    </w:p>
  </w:footnote>
  <w:footnote w:id="2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النسخ،و المناسب:«نکفر».</w:t>
      </w:r>
    </w:p>
  </w:footnote>
  <w:footnote w:id="2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عیون أخبار الرضا علیه السّلام 1:157،و الاحتجاج 2:202.</w:t>
      </w:r>
    </w:p>
  </w:footnote>
  <w:footnote w:id="2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بدل(ص)زیادة:«فی جواب الجاثلیق».</w:t>
      </w:r>
    </w:p>
  </w:footnote>
  <w:footnote w:id="2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الفاضل النراقی،انظر مناهج الأحکام:237.</w:t>
      </w:r>
    </w:p>
  </w:footnote>
  <w:footnote w:id="2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208-213.</w:t>
      </w:r>
    </w:p>
  </w:footnote>
  <w:footnote w:id="2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القوانین 2:70.</w:t>
      </w:r>
    </w:p>
  </w:footnote>
  <w:footnote w:id="2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194.</w:t>
      </w:r>
    </w:p>
  </w:footnote>
  <w:footnote w:id="2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ترد«من»فی المصدر.</w:t>
      </w:r>
    </w:p>
  </w:footnote>
  <w:footnote w:id="2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المصدر:«استقراءها».</w:t>
      </w:r>
    </w:p>
  </w:footnote>
  <w:footnote w:id="2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القوانین 2:73.</w:t>
      </w:r>
    </w:p>
  </w:footnote>
  <w:footnote w:id="2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فی(ظ)و نسخة بدل(ص)بدل«قضاء التتبّع»:«اکتفاء الشارع».</w:t>
      </w:r>
    </w:p>
  </w:footnote>
  <w:footnote w:id="2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القوانین 2:73.</w:t>
      </w:r>
    </w:p>
  </w:footnote>
  <w:footnote w:id="2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فی(ظ)و(ه):«إحداهما».</w:t>
      </w:r>
    </w:p>
  </w:footnote>
  <w:footnote w:id="2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فی(ظ)و(ص)بدل«ما عداه»:«ما عدا غیرهم».</w:t>
      </w:r>
    </w:p>
  </w:footnote>
  <w:footnote w:id="2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القوانین 2:74.</w:t>
      </w:r>
    </w:p>
  </w:footnote>
  <w:footnote w:id="2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شطب فی(ت)علی:«إذا».</w:t>
      </w:r>
    </w:p>
  </w:footnote>
  <w:footnote w:id="2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فصّلت:6.</w:t>
      </w:r>
    </w:p>
  </w:footnote>
  <w:footnote w:id="2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شرح الألفیّة(رسائل المحقّق الکرکی)3:303،و مفتاح الکرامة 3: 283.</w:t>
      </w:r>
    </w:p>
  </w:footnote>
  <w:footnote w:id="2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الکلام عن عدم معذوریّة الجاهل فی مبحث البراءة 2:412.</w:t>
      </w:r>
    </w:p>
  </w:footnote>
  <w:footnote w:id="2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غیر(ظ)بدل«لا یلزم»:«لا یلتزم».</w:t>
      </w:r>
    </w:p>
  </w:footnote>
  <w:footnote w:id="2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ترد«إلهیّا»فی(ظ).</w:t>
      </w:r>
    </w:p>
  </w:footnote>
  <w:footnote w:id="2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صاحب الفصول فی الفصول:380.</w:t>
      </w:r>
    </w:p>
  </w:footnote>
  <w:footnote w:id="2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ترد«نبوّة نبیّهم»فی(ظ)،و شطب علیها فی(ت)و(ه).</w:t>
      </w:r>
    </w:p>
  </w:footnote>
  <w:footnote w:id="2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87-88.</w:t>
      </w:r>
    </w:p>
  </w:footnote>
  <w:footnote w:id="2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فی(ص)و(ظ)زیادة:«فتأمّل».</w:t>
      </w:r>
    </w:p>
  </w:footnote>
  <w:footnote w:id="2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فی(ت)و(ه)زیادة:«به».</w:t>
      </w:r>
    </w:p>
  </w:footnote>
  <w:footnote w:id="2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الصفّ:6.</w:t>
      </w:r>
    </w:p>
  </w:footnote>
  <w:footnote w:id="2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فی(ر):«المعلوم».</w:t>
      </w:r>
    </w:p>
  </w:footnote>
  <w:footnote w:id="2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ترد«عدلین»فی المصدر.</w:t>
      </w:r>
    </w:p>
  </w:footnote>
  <w:footnote w:id="2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1:156 و 157،و الاحتجاج 2:202.</w:t>
      </w:r>
    </w:p>
  </w:footnote>
  <w:footnote w:id="2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«ما»من(ه)و(ت).</w:t>
      </w:r>
    </w:p>
  </w:footnote>
  <w:footnote w:id="2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ترد«موضوعا-إلی-الأزمان»فی(ظ)،و ورد بدلها:«فردا».</w:t>
      </w:r>
    </w:p>
  </w:footnote>
  <w:footnote w:id="2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فی(ظ)بدل«إذا فرض»:«فإنّ».</w:t>
      </w:r>
    </w:p>
  </w:footnote>
  <w:footnote w:id="2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فی(ص):«من موارد».</w:t>
      </w:r>
    </w:p>
  </w:footnote>
  <w:footnote w:id="2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4:38.</w:t>
      </w:r>
    </w:p>
  </w:footnote>
  <w:footnote w:id="2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کالمحدّث البحرانی فی الحدائق 19:43،و صاحب الجواهر فی الجواهر 22: 476،و 23:43.</w:t>
      </w:r>
    </w:p>
  </w:footnote>
  <w:footnote w:id="2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المسالک 3:190.</w:t>
      </w:r>
    </w:p>
  </w:footnote>
  <w:footnote w:id="2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صاحب الریاض علی ما نقله المصنّف فی خیارات المکاسب(طبعة الشهیدی):242،و انظر الریاض(الطبعة الحجریة)1:521 و 525.</w:t>
      </w:r>
    </w:p>
  </w:footnote>
  <w:footnote w:id="2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فی(ص)زیادة:«علیه».</w:t>
      </w:r>
    </w:p>
  </w:footnote>
  <w:footnote w:id="2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السیّد بحر العلوم.</w:t>
      </w:r>
    </w:p>
  </w:footnote>
  <w:footnote w:id="2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زیادة:«حجّیّة».</w:t>
      </w:r>
    </w:p>
  </w:footnote>
  <w:footnote w:id="2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«به»من المصدر.</w:t>
      </w:r>
    </w:p>
  </w:footnote>
  <w:footnote w:id="2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زیادة:«صورة».</w:t>
      </w:r>
    </w:p>
  </w:footnote>
  <w:footnote w:id="2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فوائد السید بحر العلوم:116-117.</w:t>
      </w:r>
    </w:p>
  </w:footnote>
  <w:footnote w:id="2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صاحب الفصول فی الفصول:214.</w:t>
      </w:r>
    </w:p>
  </w:footnote>
  <w:footnote w:id="2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الصفحة 387.</w:t>
      </w:r>
    </w:p>
  </w:footnote>
  <w:footnote w:id="2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فی(ت)کتب علی«کان استصحاب حرمة العصیر فی»:«نسخة»،و فی(ه) کتب علیها:«زائد»،و ورد بدلها فیهما:«أمکن جعل».</w:t>
      </w:r>
    </w:p>
  </w:footnote>
  <w:footnote w:id="2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ترد«للعمومات»فی(ظ).</w:t>
      </w:r>
    </w:p>
  </w:footnote>
  <w:footnote w:id="2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مبحث البراءة 2:11-13.</w:t>
      </w:r>
    </w:p>
  </w:footnote>
  <w:footnote w:id="2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فی(ف)،و فی غیرها بدل«فلمّا کان»:«فکما أنّ».</w:t>
      </w:r>
    </w:p>
  </w:footnote>
  <w:footnote w:id="2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کالسیّد العاملی فی المدارک 1:205،و صاحب الجواهر فی الجواهر 2: 163.</w:t>
      </w:r>
    </w:p>
  </w:footnote>
  <w:footnote w:id="2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المحدّث البحرانی فی الحدائق 2:245،و المحقّق الخوانساری فی مشارق الشموس:110،و الفاضل النراقی فی مستند الشیعة 2:103،و شریف العلماء فی ضوابط الاصول:374.</w:t>
      </w:r>
    </w:p>
  </w:footnote>
  <w:footnote w:id="2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196.</w:t>
      </w:r>
    </w:p>
  </w:footnote>
  <w:footnote w:id="2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فی(ص)زیادة:«فتأمّل».</w:t>
      </w:r>
    </w:p>
  </w:footnote>
  <w:footnote w:id="2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فی(ظ)زیادة:«و لو مسامحة».</w:t>
      </w:r>
    </w:p>
  </w:footnote>
  <w:footnote w:id="2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فی(ر)و(ه):«اختیارا».</w:t>
      </w:r>
    </w:p>
  </w:footnote>
  <w:footnote w:id="2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فی(ظ)زیادة:«الماء».</w:t>
      </w:r>
    </w:p>
  </w:footnote>
  <w:footnote w:id="2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بدل(ت)و(ص)بدل«و حیث-إلی-من الأخیرین»ما یلی: «و حیث إنّ بناء العرف علی الظاهر علی عدم إجراء الاستصحاب فی فاقد معظم الأجزاء،و علی إلحاق فاقد الشرط لفاقد الجزء فی هذا الحکم،أمکن جعله کاشفا عن عدم استقامة التوجیه الأوّل».</w:t>
      </w:r>
    </w:p>
  </w:footnote>
  <w:footnote w:id="2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فی(ر)و(ص)زیادة:«و قد عرفت أنّه لو لا المسامحة العرفیّة فی المستصحب و موضوعه لم یتمّ شیء من الوجهین»،و فی نسخة بدل(ص)بعد«من الوجهین»زیادة:«و أمّا الوجه الثالث،فهو مبنیّ علی الأصل المثبت،و ستعرف بطلانه،فتعیّن الوجه الثانی».</w:t>
      </w:r>
    </w:p>
  </w:footnote>
  <w:footnote w:id="2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220.</w:t>
      </w:r>
    </w:p>
  </w:footnote>
  <w:footnote w:id="2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196.</w:t>
      </w:r>
    </w:p>
  </w:footnote>
  <w:footnote w:id="2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نسبه الیهما الفاضل النراقی فی عوائد الأیّام:267،و السید المجاهد فی مفاتیح الاصول:522.</w:t>
      </w:r>
    </w:p>
  </w:footnote>
  <w:footnote w:id="2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فی(ظ)و(ه):«و فی».</w:t>
      </w:r>
    </w:p>
  </w:footnote>
  <w:footnote w:id="2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1:144،و المنتهی 2:37،و اللفظ للأوّل.</w:t>
      </w:r>
    </w:p>
  </w:footnote>
  <w:footnote w:id="2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الذکری 2:133.</w:t>
      </w:r>
    </w:p>
  </w:footnote>
  <w:footnote w:id="2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4:1594،مادّة«شکک».</w:t>
      </w:r>
    </w:p>
  </w:footnote>
  <w:footnote w:id="2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المصباح المنیر:320،مادّة«شکک».</w:t>
      </w:r>
    </w:p>
  </w:footnote>
  <w:footnote w:id="2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5:329،الباب 16 من أبواب الخلل الواقع فی الصلاة، الحدیث 2،4،5،و الصفحة 337،الباب 23 منها،الحدیث 9.</w:t>
      </w:r>
    </w:p>
  </w:footnote>
  <w:footnote w:id="2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فی الصفحة 55.</w:t>
      </w:r>
    </w:p>
  </w:footnote>
  <w:footnote w:id="2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فی الصفحة 58.</w:t>
      </w:r>
    </w:p>
  </w:footnote>
  <w:footnote w:id="2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7:184،الباب 3 من أبواب أحکام شهر رمضان،الحدیث 13.</w:t>
      </w:r>
    </w:p>
  </w:footnote>
  <w:footnote w:id="2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فی(ظ):«جیّدا».</w:t>
      </w:r>
    </w:p>
  </w:footnote>
  <w:footnote w:id="2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الذکری 2:207.</w:t>
      </w:r>
    </w:p>
  </w:footnote>
  <w:footnote w:id="2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الإیراد من المحقق الخوانساری فی مشارق الشموس:142.</w:t>
      </w:r>
    </w:p>
  </w:footnote>
  <w:footnote w:id="2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النسخ،و الظاهر زیادة لفظة«المتوهّم».</w:t>
      </w:r>
    </w:p>
  </w:footnote>
  <w:footnote w:id="2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فی(ظ)بدل«مظنونا»:«موهوما».</w:t>
      </w:r>
    </w:p>
  </w:footnote>
  <w:footnote w:id="2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مشارق الشموس:142.</w:t>
      </w:r>
    </w:p>
  </w:footnote>
  <w:footnote w:id="2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فی(ف)،(خ)و(ن)،و فی غیرها:«لعدم».</w:t>
      </w:r>
    </w:p>
  </w:footnote>
  <w:footnote w:id="2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الوافیة:208 و 209،و الفصول:377 و 381،و مناهج الأحکام:232 و 233،و ضوابط الاصول:380 و 388.</w:t>
      </w:r>
    </w:p>
  </w:footnote>
  <w:footnote w:id="2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فی(ظ)و(ه):«المتحقّقة».</w:t>
      </w:r>
    </w:p>
  </w:footnote>
  <w:footnote w:id="2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شریف العلماء قدّس سرّه،انظر ضوابط الاصول:380.</w:t>
      </w:r>
    </w:p>
  </w:footnote>
  <w:footnote w:id="2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إلی ما ذکره صاحب الفصول فی الفصول:381.</w:t>
      </w:r>
    </w:p>
  </w:footnote>
  <w:footnote w:id="2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ترد«حیاة زید-إلی-إثبات الحیاة»فی(ظ).</w:t>
      </w:r>
    </w:p>
  </w:footnote>
  <w:footnote w:id="2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113-115.</w:t>
      </w:r>
    </w:p>
  </w:footnote>
  <w:footnote w:id="2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فی(ت)و(ظ):«حقیقة».</w:t>
      </w:r>
    </w:p>
  </w:footnote>
  <w:footnote w:id="2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ترد«حینئذ»فی(ظ).</w:t>
      </w:r>
    </w:p>
  </w:footnote>
  <w:footnote w:id="2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فی(ت):«لم یجز».</w:t>
      </w:r>
    </w:p>
  </w:footnote>
  <w:footnote w:id="2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فی(ه)،و فی غیرها:«فالتغیّر».</w:t>
      </w:r>
    </w:p>
  </w:footnote>
  <w:footnote w:id="2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281.</w:t>
      </w:r>
    </w:p>
  </w:footnote>
  <w:footnote w:id="2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ترد«الباقی»فی(ظ).</w:t>
      </w:r>
    </w:p>
  </w:footnote>
  <w:footnote w:id="2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فی(ص)زیادة:«إذا».</w:t>
      </w:r>
    </w:p>
  </w:footnote>
  <w:footnote w:id="2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293.</w:t>
      </w:r>
    </w:p>
  </w:footnote>
  <w:footnote w:id="2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ترد«الشکّ من غیر جهة الرافع إذا کان»فی(ظ).</w:t>
      </w:r>
    </w:p>
  </w:footnote>
  <w:footnote w:id="2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فی(ص)،و فی غیره بدل«و اطّلع-إلی-فیحکمون»:«حکم العرف».</w:t>
      </w:r>
    </w:p>
  </w:footnote>
  <w:footnote w:id="2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ترد«بحسب التدقیق»فی(ظ).</w:t>
      </w:r>
    </w:p>
  </w:footnote>
  <w:footnote w:id="2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فی(ظ)و نسخة بدل(ت)،(ص)و(ه)زیادة:«فلا معنی لصدق ارتفاع الأوّل و بقاء الثانی»،و فی(ر)وردت هذه الزیادة بعد کلمة«الحیوانیة».</w:t>
      </w:r>
    </w:p>
  </w:footnote>
  <w:footnote w:id="2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196 و 280.</w:t>
      </w:r>
    </w:p>
  </w:footnote>
  <w:footnote w:id="2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غیر(ه)بدل«بالأعیان»:«بالأشیاء»،و فی المعتبر:«بالأجزاء».</w:t>
      </w:r>
    </w:p>
  </w:footnote>
  <w:footnote w:id="2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1:451،و انظر المنتهی 3:287.</w:t>
      </w:r>
    </w:p>
  </w:footnote>
  <w:footnote w:id="2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إیضاح الفوائد 1:31.</w:t>
      </w:r>
    </w:p>
  </w:footnote>
  <w:footnote w:id="2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المنتهی 3:288.</w:t>
      </w:r>
    </w:p>
  </w:footnote>
  <w:footnote w:id="2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ترد«اعتبار»فی(ر).</w:t>
      </w:r>
    </w:p>
  </w:footnote>
  <w:footnote w:id="2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الفاضل الهندی،و تبعه جماعة،کما سیأتی فی الصفحة 299.</w:t>
      </w:r>
    </w:p>
  </w:footnote>
  <w:footnote w:id="2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فی(ر)،(ص)و(ظ)بدل«لبیان»:«لأداء».</w:t>
      </w:r>
    </w:p>
  </w:footnote>
  <w:footnote w:id="2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فی(ظ)،(ت)و(ه):«للنجس»،و فی نسخة بدل(ص):«للنجاسة».</w:t>
      </w:r>
    </w:p>
  </w:footnote>
  <w:footnote w:id="2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فی(ظ)بدل«و بتقریر آخر»:«و بعبارة اخری».</w:t>
      </w:r>
    </w:p>
  </w:footnote>
  <w:footnote w:id="2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فی(ت)،(ه)و(ظ)بدل«لا شکّ»:«لا إشکال».</w:t>
      </w:r>
    </w:p>
  </w:footnote>
  <w:footnote w:id="2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«ما»من(ر)و(ص).</w:t>
      </w:r>
    </w:p>
  </w:footnote>
  <w:footnote w:id="2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الجواهر 6:270.</w:t>
      </w:r>
    </w:p>
  </w:footnote>
  <w:footnote w:id="2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حکاه فی فقه المعالم:403،و القوانین 2:74.</w:t>
      </w:r>
    </w:p>
  </w:footnote>
  <w:footnote w:id="2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فی(ر)بدل«الجلیّة»:«القطعیّة».</w:t>
      </w:r>
    </w:p>
  </w:footnote>
  <w:footnote w:id="2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صاحب المعالم فی فقه المعالم:403،فی مسألة مطهّریة النار لما أحالته رمادا.</w:t>
      </w:r>
    </w:p>
  </w:footnote>
  <w:footnote w:id="2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المحقّق القمی فی القوانین 2:74،و الفاضل النراقی فی مناهج الأحکام: 233،و مستند الشیعة 1:326،و استشکل فی الحکم المحقّق السبزواری فی الذخیرة:172.</w:t>
      </w:r>
    </w:p>
  </w:footnote>
  <w:footnote w:id="2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المناهج السویّة(مخطوط)،الورقة 124.</w:t>
      </w:r>
    </w:p>
  </w:footnote>
  <w:footnote w:id="2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المناسب:«حتّی تطهر»؛لرجوع الضمیر إلی«المتنجّسات».</w:t>
      </w:r>
    </w:p>
  </w:footnote>
  <w:footnote w:id="2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ترد«بل-إلی-لم یزل»فی(ظ)و(ر).</w:t>
      </w:r>
    </w:p>
  </w:footnote>
  <w:footnote w:id="2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2:1098،الباب 77 من أبواب النجاسات.</w:t>
      </w:r>
    </w:p>
  </w:footnote>
  <w:footnote w:id="2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فی(ظ):«بول المأکول».</w:t>
      </w:r>
    </w:p>
  </w:footnote>
  <w:footnote w:id="2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فی(ص)و نسخة بدل(ت)زیادة:«دودا».</w:t>
      </w:r>
    </w:p>
  </w:footnote>
  <w:footnote w:id="2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أوّل الصفحة السابقة.</w:t>
      </w:r>
    </w:p>
  </w:footnote>
  <w:footnote w:id="2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تتقدم حکایة ذلک عن أهل العلم.نعم،نسبه إلی أکثر أهل العلم فی المنتهی 3:287.</w:t>
      </w:r>
    </w:p>
  </w:footnote>
  <w:footnote w:id="2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العنوان منّا.</w:t>
      </w:r>
    </w:p>
  </w:footnote>
  <w:footnote w:id="2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«الشیء»من(ص).</w:t>
      </w:r>
    </w:p>
  </w:footnote>
  <w:footnote w:id="2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الصفحة 310-313.</w:t>
      </w:r>
    </w:p>
  </w:footnote>
  <w:footnote w:id="2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ترد«مطلقا»فی(ظ).</w:t>
      </w:r>
    </w:p>
  </w:footnote>
  <w:footnote w:id="2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الذخیرة:44.</w:t>
      </w:r>
    </w:p>
  </w:footnote>
  <w:footnote w:id="2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1:104.</w:t>
      </w:r>
    </w:p>
  </w:footnote>
  <w:footnote w:id="2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فقه الرضا:79،و المقنعة:49،و النهایة:17،و الغنیة:61.</w:t>
      </w:r>
    </w:p>
  </w:footnote>
  <w:footnote w:id="2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شریف العلماء فی تقریرات درسه فی ضوابط الاصول:371،و السیّد المجاهد فی مفاتیح الاصول:657،و الفاضل الدربندی فی خزائن الاصول، الورقة 85،من فنّ الاستصحاب.</w:t>
      </w:r>
    </w:p>
  </w:footnote>
  <w:footnote w:id="2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کشریف العلماء و السیّد المجاهد،و فی(ظ)بدل«خصوص الاستصحاب»: «غیره».</w:t>
      </w:r>
    </w:p>
  </w:footnote>
  <w:footnote w:id="2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کالفاضل الدربندی و کذا المحقّق السبزواری.</w:t>
      </w:r>
    </w:p>
  </w:footnote>
  <w:footnote w:id="2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فی(ظ)بدل«القاعدتین»:«الإبقاءین».</w:t>
      </w:r>
    </w:p>
  </w:footnote>
  <w:footnote w:id="2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فی(ظ)بدل«بعد الیقین-إلی-الشیء»:«الشکّ بعد الیقین»،و فی(ص) بدلها:«شکّ بعد یقین».</w:t>
      </w:r>
    </w:p>
  </w:footnote>
  <w:footnote w:id="2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فی(ص)،(ه)و(ت)زیادة:«فی هذا المقام».</w:t>
      </w:r>
    </w:p>
  </w:footnote>
  <w:footnote w:id="2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المستدرک 1:228،الباب الأوّل من أبواب نواقض الوضوء،ضمن الحدیث 4.</w:t>
      </w:r>
    </w:p>
  </w:footnote>
  <w:footnote w:id="2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فی(ه)و(ر)زیادة:«و».</w:t>
      </w:r>
    </w:p>
  </w:footnote>
  <w:footnote w:id="2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ترد«له»فی(ه).</w:t>
      </w:r>
    </w:p>
  </w:footnote>
  <w:footnote w:id="2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ترد«هنا»فی(ص).</w:t>
      </w:r>
    </w:p>
  </w:footnote>
  <w:footnote w:id="2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«تعدّد»من(ت)و(ه).</w:t>
      </w:r>
    </w:p>
  </w:footnote>
  <w:footnote w:id="2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فی(ه):«لشیء».</w:t>
      </w:r>
    </w:p>
  </w:footnote>
  <w:footnote w:id="2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ترد«و بعبارة اخری-إلی-بکلّ منهما شکّ»فی(ر)و(ظ)،و ورد بدلها: «بل المراد الشکّ فی نفس ما تیقّن».</w:t>
      </w:r>
    </w:p>
  </w:footnote>
  <w:footnote w:id="2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فی(ص)علی«کأنّه قال-إلی-السابق»:«نسخة»،و کتب علیها فی (ه):«نسخة بدل». -و فی(ت)و نسخة بدل(ه)زیادة:«یعنی ترتیب آثار عدالة زید فیه، فالمضیّ علی عدالة زید و ترتیب آثاره،یکون تارة بالحکم بعدالته فی الزمان اللاحق،و اخری بالحکم بعدالته فی ذلک الزمان المتیقّن،و هذان لا یجتمعان فی الإرادة». -و فی(آ)زیادة ما یلی:«و إن أردت توضیح الحال،فافرض أنّه قال:من کان علی یقین من عدالة زید یوم الجمعة فشک فیها فلیمض علی یقینه السابق، و المعنی:أنّ من کان علی یقین من شیء و شک فی ذلک الشیء فلیمض علی یقینه بذلک الشیء.فإن اعتبر الیقین السابق متعلّقا بعدالة زید من دون تقییدها بیوم الجمعة،فالشک اللاحق فیها بهذا الاعتبار شکّ فی بقائها،و إن اعتبر متعلّقا بعدالة زید مقیّدة بیوم الجمعة،فالشکّ فیها بهذه الملاحظة شکّ فی حدوثها».</w:t>
      </w:r>
    </w:p>
  </w:footnote>
  <w:footnote w:id="2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فی(ظ)بدل«یجز»:«یجر».</w:t>
      </w:r>
    </w:p>
  </w:footnote>
  <w:footnote w:id="2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210.</w:t>
      </w:r>
    </w:p>
  </w:footnote>
  <w:footnote w:id="2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فی(ص)کتب علی«و المفروض-إلی-تلک الأخبار»:«زائد»،و فی(ه): «نسخة بدل».</w:t>
      </w:r>
    </w:p>
  </w:footnote>
  <w:footnote w:id="2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306.</w:t>
      </w:r>
    </w:p>
  </w:footnote>
  <w:footnote w:id="2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فی(ر)و(ظ)بدل«بما تقدّم من أنّ»:«بأن».</w:t>
      </w:r>
    </w:p>
  </w:footnote>
  <w:footnote w:id="2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فی(ر)و(ص)زیادة:«فإنّه لا یخلو عن دقّة».</w:t>
      </w:r>
    </w:p>
  </w:footnote>
  <w:footnote w:id="2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فی(ر)،(ظ)،(ه)و نسخة بدل(ص):«یختصّ».</w:t>
      </w:r>
    </w:p>
  </w:footnote>
  <w:footnote w:id="2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ترد«من»فی(ت)و(ه).</w:t>
      </w:r>
    </w:p>
  </w:footnote>
  <w:footnote w:id="2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فی(ر)بدل«حتّی لو-إلی-لا یخفی»:«أیضا».</w:t>
      </w:r>
    </w:p>
  </w:footnote>
  <w:footnote w:id="2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فی(ظ)زیادة:«فافهم».</w:t>
      </w:r>
    </w:p>
  </w:footnote>
  <w:footnote w:id="2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73-74.</w:t>
      </w:r>
    </w:p>
  </w:footnote>
  <w:footnote w:id="2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304.</w:t>
      </w:r>
    </w:p>
  </w:footnote>
  <w:footnote w:id="2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الدعوی من شریف العلماء فی تقریرات درسه فی ضوابط الاصول: 371،و کذا السیّد المجاهد فی مفاتیح الاصول:657.</w:t>
      </w:r>
    </w:p>
  </w:footnote>
  <w:footnote w:id="2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العنوان منّا.</w:t>
      </w:r>
    </w:p>
  </w:footnote>
  <w:footnote w:id="2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ترد«عموم»فی(ر)و(ظ).</w:t>
      </w:r>
    </w:p>
  </w:footnote>
  <w:footnote w:id="2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فی(ت)و(ه)زیادة:«لها».</w:t>
      </w:r>
    </w:p>
  </w:footnote>
  <w:footnote w:id="2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النسخ،و المناسب:«علیه».</w:t>
      </w:r>
    </w:p>
  </w:footnote>
  <w:footnote w:id="2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306-308.</w:t>
      </w:r>
    </w:p>
  </w:footnote>
  <w:footnote w:id="2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الصفحة 383.</w:t>
      </w:r>
    </w:p>
  </w:footnote>
  <w:footnote w:id="2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کاشف الغطاء فی کشف الغطاء:102.</w:t>
      </w:r>
    </w:p>
  </w:footnote>
  <w:footnote w:id="2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النسخ،و المناسب:«علیه»،کما لا یخفی.</w:t>
      </w:r>
    </w:p>
  </w:footnote>
  <w:footnote w:id="2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المدارک 8:141.</w:t>
      </w:r>
    </w:p>
  </w:footnote>
  <w:footnote w:id="2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کشف اللثام 5:411.</w:t>
      </w:r>
    </w:p>
  </w:footnote>
  <w:footnote w:id="2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الصفحة 339.</w:t>
      </w:r>
    </w:p>
  </w:footnote>
  <w:footnote w:id="2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الزیادة منّا.</w:t>
      </w:r>
    </w:p>
  </w:footnote>
  <w:footnote w:id="2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فی(ر)و(ظ):«الموارد».</w:t>
      </w:r>
    </w:p>
  </w:footnote>
  <w:footnote w:id="2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ترد«کما ترفع-إلی-الأکثر»فی(ظ).</w:t>
      </w:r>
    </w:p>
  </w:footnote>
  <w:footnote w:id="2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مبحث التعادل و التراجیح 4:13.</w:t>
      </w:r>
    </w:p>
  </w:footnote>
  <w:footnote w:id="2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فی(ظ)زیادة ما یلی:«و حاصله:تنزیل شیء خارج عن موضوع دلیل منزلة ذلک الموضوع فی ترتیب أحکامه علیه،أو داخل فی موضوعه منزلة الخارج منه فی عدم ترتیب أحکامه علیه»،و کتب علیها فی(ص):«نسخة»، و ورد فی(ظ)أیضا بعد ذلک زیادة و هی:«و قد اجتمع کلا الاعتبارین فی حکومة الأدلّة الغیر العملیّة علی الاستصحاب،مثلا:إذا قال الشارع...».</w:t>
      </w:r>
    </w:p>
  </w:footnote>
  <w:footnote w:id="2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ترد«و سیجیء-إلی-ما نحن فیه»فی(ظ).</w:t>
      </w:r>
    </w:p>
  </w:footnote>
  <w:footnote w:id="2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وردت فی(ظ)بدل عبارة«حکم فی-إلی-الطهارة»ما یلی:«جعل الاحتمال المطابق للبیّنة بمنزلة الیقین الذی ینتقض به الیقین السابق،و جعل أیضا الاحتمال المخالف للبیّنة کالمعدوم،فکأنّه لا شکّ حتّی یرجع فیه إلی الاستصحاب،فکأنّه قال:لا یحکم علی هذا الشکّ بحکمه المقرّر فی قاعدة الاستصحاب،و افرضه کالعدم».</w:t>
      </w:r>
    </w:p>
  </w:footnote>
  <w:footnote w:id="2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فی(ت)و(ه)،و فی غیره:«التخصیص».</w:t>
      </w:r>
    </w:p>
  </w:footnote>
  <w:footnote w:id="2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فی(ت)و(ه)زیادة:«المراد به عدم الیقین الظاهری فإنّ...»،لکن فی(ت) بدل«الظاهری»:«الظاهر».</w:t>
      </w:r>
    </w:p>
  </w:footnote>
  <w:footnote w:id="2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النسخ،و المناسب:«بمؤدّاها»،لرجوع الضمیر إلی«الأمارة».</w:t>
      </w:r>
    </w:p>
  </w:footnote>
  <w:footnote w:id="2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الفاضل التونی فی الوافیة:208.</w:t>
      </w:r>
    </w:p>
  </w:footnote>
  <w:footnote w:id="2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ترد«لأنّ مرجع-إلی-و لعلّ»فی(ظ)،و ورد بدلها:«و إن أمکن توجیهه بما یرجع إلی ما ذکرنا،و أمّا ما أورده...».</w:t>
      </w:r>
    </w:p>
  </w:footnote>
  <w:footnote w:id="2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المصدر:«جمهور المتأخّرین».</w:t>
      </w:r>
    </w:p>
  </w:footnote>
  <w:footnote w:id="2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مفتاح الکرامة 8:92.</w:t>
      </w:r>
    </w:p>
  </w:footnote>
  <w:footnote w:id="2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17:583 و 585،الباب 6 من أبواب میراث الخنثی،الحدیث 5 و 9.</w:t>
      </w:r>
    </w:p>
  </w:footnote>
  <w:footnote w:id="2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مفتاح الکرامة 8:92.</w:t>
      </w:r>
    </w:p>
  </w:footnote>
  <w:footnote w:id="2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القوانین 2:75.</w:t>
      </w:r>
    </w:p>
  </w:footnote>
  <w:footnote w:id="2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السابقة.</w:t>
      </w:r>
    </w:p>
  </w:footnote>
  <w:footnote w:id="2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ترد«مبنیّ علی-إلی-لورود ذلک»فی(ظ)،و ورد بدلها:«فلا یعرف له وجه ورود و لذلک».</w:t>
      </w:r>
    </w:p>
  </w:footnote>
  <w:footnote w:id="2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314.</w:t>
      </w:r>
    </w:p>
  </w:footnote>
  <w:footnote w:id="2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مختصر الاصول 2:453.</w:t>
      </w:r>
    </w:p>
  </w:footnote>
  <w:footnote w:id="2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ترد«و لذا ذکر-إلی-مظنون البقاء»فی(ر)،و کتب علیها فی(ص): «نسخة بدل». و فی(ت)،(ه)و حاشیتی(ص)و(ظ)زیادة:«و نظیره فی الأمارات الاجتهادیة (الغلبة)فإنّ إلحاق الشیء بالأعمّ الأغلب إنّما یکون غالبا إذا لم تکن أمارة فی موردها علی الخلاف،لکنّها أیضا واردة علی الاستصحاب،کما یعرف بالوجدان عند المتتبّع فی الشرعیّات و العرفیّات».</w:t>
      </w:r>
    </w:p>
  </w:footnote>
  <w:footnote w:id="2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بدل(ص)زیادة:«کالبیّنة».</w:t>
      </w:r>
    </w:p>
  </w:footnote>
  <w:footnote w:id="2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ترد«و إنّما المقابل-إلی-موت المفقود»فی(ظ).</w:t>
      </w:r>
    </w:p>
  </w:footnote>
  <w:footnote w:id="2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غیر(ص)بدل«بل»:«و».</w:t>
      </w:r>
    </w:p>
  </w:footnote>
  <w:footnote w:id="2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النسخ،و المناسب:«تختفی»لرجوع الضمیر إلی مصادیق.</w:t>
      </w:r>
    </w:p>
  </w:footnote>
  <w:footnote w:id="2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العنوان منّا.</w:t>
      </w:r>
    </w:p>
  </w:footnote>
  <w:footnote w:id="2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فی(ظ)زیادة:«فلا بدّ من إیضاح وجهه».</w:t>
      </w:r>
    </w:p>
  </w:footnote>
  <w:footnote w:id="2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فی(ر)،(ظ)و(ه)بدل«أدلّة»:«دلیل».</w:t>
      </w:r>
    </w:p>
  </w:footnote>
  <w:footnote w:id="2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314.</w:t>
      </w:r>
    </w:p>
  </w:footnote>
  <w:footnote w:id="2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18:215،الباب 25 من أبواب کیفیة الحکم،الحدیث 2.</w:t>
      </w:r>
    </w:p>
  </w:footnote>
  <w:footnote w:id="2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المناسب:«بکونها»،لرجوع الضمیر إلی«العین»،کضمیر«انتقالها».</w:t>
      </w:r>
    </w:p>
  </w:footnote>
  <w:footnote w:id="2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1:121،و الوسائل 18:215،الباب 25 من أبواب کیفیّة الحکم،الحدیث 3.</w:t>
      </w:r>
    </w:p>
  </w:footnote>
  <w:footnote w:id="2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ترد«دعواها علیها السّلام»فی(ظ).</w:t>
      </w:r>
    </w:p>
  </w:footnote>
  <w:footnote w:id="2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ترد«و إن شئت-إلی-الاستصحاب»فی(ظ).</w:t>
      </w:r>
    </w:p>
  </w:footnote>
  <w:footnote w:id="2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18:215،الباب 25 من أبواب کیفیة الحکم،الحدیث 2.</w:t>
      </w:r>
    </w:p>
  </w:footnote>
  <w:footnote w:id="2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فی(ت)و(ه)،و فی غیرهما بدل«البیّنة»:«الغلبة».</w:t>
      </w:r>
    </w:p>
  </w:footnote>
  <w:footnote w:id="2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الذریعة 1:13.</w:t>
      </w:r>
    </w:p>
  </w:footnote>
  <w:footnote w:id="2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ترد«ذلک»فی(ه).</w:t>
      </w:r>
    </w:p>
  </w:footnote>
  <w:footnote w:id="2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1:332،الباب 42 من أبواب الوضوء،الحدیث 7.</w:t>
      </w:r>
    </w:p>
  </w:footnote>
  <w:footnote w:id="2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کذا،و المناسب:«فأقول»کما لا یخفی.</w:t>
      </w:r>
    </w:p>
  </w:footnote>
  <w:footnote w:id="2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5:336،الباب 23 من أبواب الخلل الواقع فی الصلاة،الحدیث الأوّل.</w:t>
      </w:r>
    </w:p>
  </w:footnote>
  <w:footnote w:id="2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4:937،الباب 13 من أبواب الرکوع،الحدیث 4،و فیه بدل «و قد»:«ممّا قد».</w:t>
      </w:r>
    </w:p>
  </w:footnote>
  <w:footnote w:id="2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أی:موثّقة محمد بن مسلم،الوسائل 5:336،الباب 23 من أبواب الخلل الواقع فی الصلاة،الحدیث 3.</w:t>
      </w:r>
    </w:p>
  </w:footnote>
  <w:footnote w:id="2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الوسائل:«فلیس شکّک بشیء».</w:t>
      </w:r>
    </w:p>
  </w:footnote>
  <w:footnote w:id="2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1:331،الباب 42 من أبواب الوضوء،الحدیث 2.</w:t>
      </w:r>
    </w:p>
  </w:footnote>
  <w:footnote w:id="2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النسخ،و الظاهر زیادة:«من قوله علیه السّلام».</w:t>
      </w:r>
    </w:p>
  </w:footnote>
  <w:footnote w:id="2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الحدیث منقول بالمعنی،انظر الوسائل 3:205،الباب 60 من أبواب المواقیت، الحدیث الأوّل.</w:t>
      </w:r>
    </w:p>
  </w:footnote>
  <w:footnote w:id="2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1:331،الباب 42 من أبواب الوضوء،الحدیث 6،و لیس فیه: «کما هو».</w:t>
      </w:r>
    </w:p>
  </w:footnote>
  <w:footnote w:id="2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الحدیث فی الصفحة 325.</w:t>
      </w:r>
    </w:p>
  </w:footnote>
  <w:footnote w:id="2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مثل:ما فی صحیحتی زرارة و محمد بن مسلم المرویّتین فی الوسائل 1:330 و 331،الباب 42 من أبواب الوضوء،الحدیث 1 و 5.</w:t>
      </w:r>
    </w:p>
  </w:footnote>
  <w:footnote w:id="2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ترد«فی استعمال واحد»فی(ظ)و(ت).</w:t>
      </w:r>
    </w:p>
  </w:footnote>
  <w:footnote w:id="2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فی الصفحة 327.</w:t>
      </w:r>
    </w:p>
  </w:footnote>
  <w:footnote w:id="2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فی الصفحة 326.</w:t>
      </w:r>
    </w:p>
  </w:footnote>
  <w:footnote w:id="2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الصفحة 337.</w:t>
      </w:r>
    </w:p>
  </w:footnote>
  <w:footnote w:id="2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ترد«فیه»فی(ر).</w:t>
      </w:r>
    </w:p>
  </w:footnote>
  <w:footnote w:id="2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فی(ه)و نسخة بدل(ت)بدل«یتخیّل»:«یحتمل».</w:t>
      </w:r>
    </w:p>
  </w:footnote>
  <w:footnote w:id="2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قواعد الأحکام 1:206،و التذکرة 1:212.</w:t>
      </w:r>
    </w:p>
  </w:footnote>
  <w:footnote w:id="2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إیضاح الفوائد 1:42.</w:t>
      </w:r>
    </w:p>
  </w:footnote>
  <w:footnote w:id="2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 فیما بأیدینا من کتبهما قدّس سرّه.نعم،حکاه المحقّق الثانی فی جامع المقاصد 1:238 عن بعض فوائد الشهید الأوّل،و لعلّ المراد به حواشیه علی القواعد.</w:t>
      </w:r>
    </w:p>
  </w:footnote>
  <w:footnote w:id="2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1:237.</w:t>
      </w:r>
    </w:p>
  </w:footnote>
  <w:footnote w:id="2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کشف اللثام 1:588،و الجواهر 2:363.</w:t>
      </w:r>
    </w:p>
  </w:footnote>
  <w:footnote w:id="2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ایضاح الفوائد 1:43.</w:t>
      </w:r>
    </w:p>
  </w:footnote>
  <w:footnote w:id="2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الحدیث فی الصفحة 325.</w:t>
      </w:r>
    </w:p>
  </w:footnote>
  <w:footnote w:id="2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الحدیث فی الصفحة 325.</w:t>
      </w:r>
    </w:p>
  </w:footnote>
  <w:footnote w:id="2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الحدیث فی الصفحة 327.</w:t>
      </w:r>
    </w:p>
  </w:footnote>
  <w:footnote w:id="2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الصفحة 337.</w:t>
      </w:r>
    </w:p>
  </w:footnote>
  <w:footnote w:id="2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الحدیث فی الصفحة 327.</w:t>
      </w:r>
    </w:p>
  </w:footnote>
  <w:footnote w:id="2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الحدیث فی الصفحة 326.</w:t>
      </w:r>
    </w:p>
  </w:footnote>
  <w:footnote w:id="2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مفتاح الکرامة 3:305،بل فی الجواهر:«لم أعثر علی مخالف فی وجوب الرجوع»انظر الجواهر 12:320.</w:t>
      </w:r>
    </w:p>
  </w:footnote>
  <w:footnote w:id="2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کصاحبی الذخیرة و الجواهر،انظر الذخیرة:376،و الجواهر 12:316- 321.</w:t>
      </w:r>
    </w:p>
  </w:footnote>
  <w:footnote w:id="2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فی(ظ)زیادة:«له».</w:t>
      </w:r>
    </w:p>
  </w:footnote>
  <w:footnote w:id="2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فی(ه)بدل«القید»:«الغیر».</w:t>
      </w:r>
    </w:p>
  </w:footnote>
  <w:footnote w:id="2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ترد«فی البابین»فی(ت).</w:t>
      </w:r>
    </w:p>
  </w:footnote>
  <w:footnote w:id="2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الحدیث فی الصفحة 325.</w:t>
      </w:r>
    </w:p>
  </w:footnote>
  <w:footnote w:id="2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فی(ه)زیادة:«عمّ»،و فی(ظ)زیادة:«یعمّ».</w:t>
      </w:r>
    </w:p>
  </w:footnote>
  <w:footnote w:id="2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326.</w:t>
      </w:r>
    </w:p>
  </w:footnote>
  <w:footnote w:id="2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المتقدّمتان فی الصفحة 326،و الظاهر أنّ المراد بروایة أبی بصیر هی روایة إسماعیل بن جابر،حیث رواها فی الوافی(8:949،الحدیث 7466-11) عن التهذیب بإسناده عن أبی بصیر عن أبی عبد اللّه علیه السّلام،و لکنّها لیست موجودة بهذا السند فی التهذیب،و انظر الجواهر 12:314.</w:t>
      </w:r>
    </w:p>
  </w:footnote>
  <w:footnote w:id="2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327.</w:t>
      </w:r>
    </w:p>
  </w:footnote>
  <w:footnote w:id="2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الجواهر 2:354.</w:t>
      </w:r>
    </w:p>
  </w:footnote>
  <w:footnote w:id="2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صاحب الریاض فی الریاض 1:277،و لکنّه صرّح بذلک فی الغسل دون التیمّم.</w:t>
      </w:r>
    </w:p>
  </w:footnote>
  <w:footnote w:id="2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1:212،و فی غیر(ر)زیادة:«و ولده».</w:t>
      </w:r>
    </w:p>
  </w:footnote>
  <w:footnote w:id="2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تمهید القواعد:305،و لم نعثر علی ذلک فی ما بأیدینا من کتب الشهید الأوّل قدّس سرّه.</w:t>
      </w:r>
    </w:p>
  </w:footnote>
  <w:footnote w:id="2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1:237.</w:t>
      </w:r>
    </w:p>
  </w:footnote>
  <w:footnote w:id="2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التذکرة 1:212،و جامع المقاصد 1:238.</w:t>
      </w:r>
    </w:p>
  </w:footnote>
  <w:footnote w:id="2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فی الصفحة 326.</w:t>
      </w:r>
    </w:p>
  </w:footnote>
  <w:footnote w:id="2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ترد«ظاهر»فی(ظ).</w:t>
      </w:r>
    </w:p>
  </w:footnote>
  <w:footnote w:id="2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ترد«و القرینة-إلی-أو بعده»فی(ظ).</w:t>
      </w:r>
    </w:p>
  </w:footnote>
  <w:footnote w:id="2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الجاعل هو الشهید الثانی فی روض الجنان:350.</w:t>
      </w:r>
    </w:p>
  </w:footnote>
  <w:footnote w:id="2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332-333.</w:t>
      </w:r>
    </w:p>
  </w:footnote>
  <w:footnote w:id="2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تقدّم فی الصفحة 336.</w:t>
      </w:r>
    </w:p>
  </w:footnote>
  <w:footnote w:id="2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کاشف الغطاء فی کشف الغطاء:278.</w:t>
      </w:r>
    </w:p>
  </w:footnote>
  <w:footnote w:id="2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کصاحب الجواهر فی الجواهر 2:363.</w:t>
      </w:r>
    </w:p>
  </w:footnote>
  <w:footnote w:id="2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الغطاء:102.</w:t>
      </w:r>
    </w:p>
  </w:footnote>
  <w:footnote w:id="2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فی(ت)،(ص)و(ه)زیادة:«کصاحب المدارک و کاشف اللثام»،راجع الصفحة 312.</w:t>
      </w:r>
    </w:p>
  </w:footnote>
  <w:footnote w:id="2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کاشف الغطاء أیضا،انظر کشف الغطاء:102.</w:t>
      </w:r>
    </w:p>
  </w:footnote>
  <w:footnote w:id="2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عبارة«مطلقا و لو لمشروط آخر»من(ه).</w:t>
      </w:r>
    </w:p>
  </w:footnote>
  <w:footnote w:id="2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فی(ر)،(ظ)و(ه)و نسخة بدل(ص)بدل«الستر»:«النیّة»،و فی(ت) شطب علی کلمة«الستر».</w:t>
      </w:r>
    </w:p>
  </w:footnote>
  <w:footnote w:id="2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المناسب:«بعدها»؛لرجوع الضمیر إلی الصلاة.</w:t>
      </w:r>
    </w:p>
  </w:footnote>
  <w:footnote w:id="2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الوسائل:«ذکر».</w:t>
      </w:r>
    </w:p>
  </w:footnote>
  <w:footnote w:id="2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الوسائل زیادة:«و توضّأ».</w:t>
      </w:r>
    </w:p>
  </w:footnote>
  <w:footnote w:id="2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1:333،الباب 44 من أبواب الوضوء،الحدیث 2.</w:t>
      </w:r>
    </w:p>
  </w:footnote>
  <w:footnote w:id="2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فی الصفحة 326.</w:t>
      </w:r>
    </w:p>
  </w:footnote>
  <w:footnote w:id="2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إیضاح الفوائد 1:43.</w:t>
      </w:r>
    </w:p>
  </w:footnote>
  <w:footnote w:id="2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الحدیث فی الصفحة 325.</w:t>
      </w:r>
    </w:p>
  </w:footnote>
  <w:footnote w:id="2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ترد«لأنّ الترک-إلی-الإبراء»فی(ظ).</w:t>
      </w:r>
    </w:p>
  </w:footnote>
  <w:footnote w:id="2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فی(ظ):«موضع».</w:t>
      </w:r>
    </w:p>
  </w:footnote>
  <w:footnote w:id="2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الحدیث فی الصفحة 325.</w:t>
      </w:r>
    </w:p>
  </w:footnote>
  <w:footnote w:id="2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فی(ص)بدل«و»:«إذ»،و فی(ت):«أو».</w:t>
      </w:r>
    </w:p>
  </w:footnote>
  <w:footnote w:id="2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342-343.</w:t>
      </w:r>
    </w:p>
  </w:footnote>
  <w:footnote w:id="2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245.</w:t>
      </w:r>
    </w:p>
  </w:footnote>
  <w:footnote w:id="2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الریاض(الطبعة الحجریة)2:591.</w:t>
      </w:r>
    </w:p>
  </w:footnote>
  <w:footnote w:id="2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ترد«المتّفق علیها عند الشکّ»فی(ر).</w:t>
      </w:r>
    </w:p>
  </w:footnote>
  <w:footnote w:id="2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البقرة:83.</w:t>
      </w:r>
    </w:p>
  </w:footnote>
  <w:footnote w:id="2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2:164،باب الاهتمام بامور المسلمین،الحدیث 9.</w:t>
      </w:r>
    </w:p>
  </w:footnote>
  <w:footnote w:id="2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الحجرات:12.</w:t>
      </w:r>
    </w:p>
  </w:footnote>
  <w:footnote w:id="2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المائدة:1.</w:t>
      </w:r>
    </w:p>
  </w:footnote>
  <w:footnote w:id="2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النساء:29.</w:t>
      </w:r>
    </w:p>
  </w:footnote>
  <w:footnote w:id="2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5:162.</w:t>
      </w:r>
    </w:p>
  </w:footnote>
  <w:footnote w:id="2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8:614،الباب 161 من أبواب أحکام العشرة،الحدیث 3، و الکافی 2:362،باب التهمة و سوء الظن،الحدیث 3،و فیهما بدل«سبیلا»: «محملا».</w:t>
      </w:r>
    </w:p>
  </w:footnote>
  <w:footnote w:id="2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8:609،الباب 157 من أبواب أحکام العشرة،الحدیث 4،و فیه بدل«أنّه قال و قال لم أقل»:«و قال لک قولا».</w:t>
      </w:r>
    </w:p>
  </w:footnote>
  <w:footnote w:id="2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10:100،ضمن الحدیث الأوّل،المعروف ب«حدیث الأربعمائة».</w:t>
      </w:r>
    </w:p>
  </w:footnote>
  <w:footnote w:id="2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8:613،الباب 161 من أبواب أحکام العشرة،الحدیث الأوّل.</w:t>
      </w:r>
    </w:p>
  </w:footnote>
  <w:footnote w:id="2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8:614،الباب 161 من أبواب أحکام العشرة،الحدیث 2.</w:t>
      </w:r>
    </w:p>
  </w:footnote>
  <w:footnote w:id="2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8:563،الباب 130 من أبواب أحکام العشرة،الحدیث 5.</w:t>
      </w:r>
    </w:p>
  </w:footnote>
  <w:footnote w:id="2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8:544،الباب 122 من أبواب أحکام العشرة،الحدیث 7، و الوسائل 8:611،الباب 159 منها،الحدیث 2.</w:t>
      </w:r>
    </w:p>
  </w:footnote>
  <w:footnote w:id="2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8:501،الباب 102 من أبواب أحکام العشرة،الحدیث 1.</w:t>
      </w:r>
    </w:p>
  </w:footnote>
  <w:footnote w:id="2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المصدر:«لم تظهر».</w:t>
      </w:r>
    </w:p>
  </w:footnote>
  <w:footnote w:id="2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بدل«خزیة»:«حوبة».</w:t>
      </w:r>
    </w:p>
  </w:footnote>
  <w:footnote w:id="2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البلاغة:489،الحکمة 114.</w:t>
      </w:r>
    </w:p>
  </w:footnote>
  <w:footnote w:id="2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13:233،الباب 9 من أحکام الودیعة،الحدیث 2.</w:t>
      </w:r>
    </w:p>
  </w:footnote>
  <w:footnote w:id="2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11:137،الباب 13 من أبواب جهاد النفس،الحدیث الأوّل.</w:t>
      </w:r>
    </w:p>
  </w:footnote>
  <w:footnote w:id="2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58:320،ذیل الحدیث 9،و فیه:«ثلاث لا یسلم منها أحد...الخ»، راجع مبحث البراءة 2:37.</w:t>
      </w:r>
    </w:p>
  </w:footnote>
  <w:footnote w:id="2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عوائد الأیّام:221 و 222.</w:t>
      </w:r>
    </w:p>
  </w:footnote>
  <w:footnote w:id="2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الصفحة 374.</w:t>
      </w:r>
    </w:p>
  </w:footnote>
  <w:footnote w:id="2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18:215،الباب 25 من أبواب کیفیّة الحکم،الحدیث 2.</w:t>
      </w:r>
    </w:p>
  </w:footnote>
  <w:footnote w:id="2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المائدة:6،و الحجّ:78.</w:t>
      </w:r>
    </w:p>
  </w:footnote>
  <w:footnote w:id="2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البقرة:286،و انظر روایات نفی الحرج،و روایات التوسعة فی عوائد الأیام: 174-181.</w:t>
      </w:r>
    </w:p>
  </w:footnote>
  <w:footnote w:id="2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2:1071،الباب 50 من أبواب النجاسات،الحدیث 3.</w:t>
      </w:r>
    </w:p>
  </w:footnote>
  <w:footnote w:id="2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فی(ت)و حاشیتی(ص)و(ظ)زیادة،کتب علیها فی(ت):«زائد»،و فی (ص):«نسخة»،و فی(ظ):«صح»،و هی ما یلی:«و یمکن الاستدلال بموثّقة مسعدة بن صدقة عن أبی عبد اللّه علیه السّلام:«کلّ شیء لک حلال حتّی تعلم أنّه حرام بعینه فتدعه من قبل نفسک،مثل الثوب یکون علیک قد اشتریته و هو سرقة،أو مملوک عندک و هو حرّ قد باع نفسه،أو خدع فبیع،أو قهر فبیع،أو امرأة تحتک و هی اختک أو رضیعتک،و الاشیاء کلّها علی هذا حتّی یستبین لک غیر ذلک،أو تقوم به البیّنة». فإنّ الحکم بالحلیّة عند الشک فی الحرمة فی هذه الأشیاء لا یجمعها إلاّ أصالة الحلّ فی تصرفات النّاس و عدم وجوب الاجتناب عنها إلاّ مع العلم أو قیام البیّنة؛و ذلک لأنّ حلّ الثوب الذی اشتراه مع أصالة عدم تملکه له المقتضیة لحرمة التصرف فیه لا وجه له إلاّ اصالة الصحة فی تصرف البائع المقتضیة للملک.فالحکم بالحلّ و عدم الحرمة لیس من جهة مجرد الشک فی حلّ لبس الثوب و حرمته نظیر المشتبه بین الخلّ و الخمر،و إلاّ لکان الأصل فیه التحریم نظیر المشتبه بین زوجته و الاجنبیّة،بل من حیث الاشتباه و الشک فی معاملة الثوب،و ترددها بین الصحیحة المملّکة و غیرها،فموضوع هذا الحکم الظاهری هی المعاملة الواقعة علی الثوب،و إلاّ فلبس الثوب حلال من حیث کونه تصرفا فی ملکه بعد الحکم الظاهری بکون المعاملة مملّکة لا من حیث الشک فی کونه حلالا و حراما. و کذا الکلام فی العبد المشتری،و کذا الحکم بحلّ المرأة المشتبهة بالأخت و الرضیعة لیس من حیث مجرد التردد بین الحلال و الحرام و إلاّ لکان الأصل عدم تحقق الزوجیّة بینهما،بل من حیث الشک فی العقد الواقع و أنّه کان صحیحا أم فاسدا. و الحاصل:أنّ ظاهر الروایة بقرینة الأمثلة إرادة ما یعمّ الحکم بالحلّ من حیث التصرف الموجب لرفع الحرمة الثابتة بأصالة فساد التصرف. فإن قلت:لعلّ الحکم بحلّ التصرف فی الثوب و العبد من جهة الید و فی الامرأة من حیث أصالة عدم النسب و الرضاع،فلا یدلّ علی أصالة الحلّ فی التصرف من حیث هو. قلت:ظاهر الروایة الحکم بثبوت الحلّ ظاهرا من جهة مجرّد التردد بین الجائز و الممنوع،لا من حیث قیام أمارة علی الملک و عدم النسب. فإن قلت:إنّ الروایة کما یشمل ما اذا شک فی حلّ اکل خبز للشک فی صحة شرائه الرافع لحرمة أکله قبل الشراء،أو شک فی حلّ الصلاة فی الثوب المتنجس الذی غسله الغیر للشک فی صحّة غسله،کذلک یشمل حل وطی امرأة ترددت بین الزوجة و الأجنبیة و حلّ التصرف فی أمة ترددت بین أمته و أمة الغیر.و لو بنی علی حکومة اصالة عدم الزوجیة و الملکیة علی مفاد هذه الروایة فی هذین المثالین فلیبن علی أصالة عدمهما فی مورد الروایة،فلا بدّ أن یکون منشأ الحکم بالحلّ فی الروایة أمارة حاکمة علی أصالة العدم،و هی الید فی الثوب و العبد،و أصالة عدم النسب و الرضاع فی المرأة، لا مجرد الشک فی حلّ المعاملة الواقعة علیها و عدمه. قلت:فرق واضح بین مورد الحکم بالحلّ فی المثالین و مورده فی أمثلة الروایة و سائر التصرفات المرددة بین الجائز و المحظور؛فإنّ الشک فی المحل فی المثالین مسبوق بالحرمة المتیقنة سابقا فیستصحب،کما هو شأن تعارض أصل الإباحة مع استصحاب الحرمة،بخلاف الشک فی حلّ المعاملة الواقعة علی الثوب و العبد و المرأة؛فإنّه غیر مسبوق بالحرمة،فالحکم بالروایة بجوازه و نفی الحظر عنه یرفع حرمة التصرف فیها المتیقنة سابقا قبل المعاملة. و الحاصل:أنّ أصالة الحرمة فی مثالی المعترض حاکم علی مؤدی الروایة، و الأمر فی موارد الروایة علی العکس. هذا ما یقتضیه النظر عاجلا إلی أن یقع التأمّل».</w:t>
      </w:r>
    </w:p>
  </w:footnote>
  <w:footnote w:id="2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صحّحناه،و فی النسخ:«بالفارسیّ»،و کذا فیما یلی.</w:t>
      </w:r>
    </w:p>
  </w:footnote>
  <w:footnote w:id="2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صححناه،و فی النسخ:«بالعربیّ»،و کذا فی بعض الموارد فیما یلی.</w:t>
      </w:r>
    </w:p>
  </w:footnote>
  <w:footnote w:id="2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عوائد الأیّام:236.</w:t>
      </w:r>
    </w:p>
  </w:footnote>
  <w:footnote w:id="2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المدارک 7:315.</w:t>
      </w:r>
    </w:p>
  </w:footnote>
  <w:footnote w:id="2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المحقّق القمّی قدّس سرّه،انظر القوانین 1:51،و جامع الشتات 4:371 و 372.</w:t>
      </w:r>
    </w:p>
  </w:footnote>
  <w:footnote w:id="2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التذکرة(الطبعة الحجریة)2:218 و 483.</w:t>
      </w:r>
    </w:p>
  </w:footnote>
  <w:footnote w:id="2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کالشهیدین قدّس سرّهما فی الدروس 1:32،و القواعد و الفوائد 1:138،و تمهید القواعد:312،و المسالک 1:239 و 6:174،و المحقّق الثانی فی جامع المقاصد 5:119 و 10:135،و 12:463.</w:t>
      </w:r>
    </w:p>
  </w:footnote>
  <w:footnote w:id="2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«إلاّ»من(ه).</w:t>
      </w:r>
    </w:p>
  </w:footnote>
  <w:footnote w:id="2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الصفحة 383.</w:t>
      </w:r>
    </w:p>
  </w:footnote>
  <w:footnote w:id="2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ترد«و سیجیء الکلام فیه»فی(ر).</w:t>
      </w:r>
    </w:p>
  </w:footnote>
  <w:footnote w:id="2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5:315.</w:t>
      </w:r>
    </w:p>
  </w:footnote>
  <w:footnote w:id="2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بدل«الشک»:«الاختلاف».</w:t>
      </w:r>
    </w:p>
  </w:footnote>
  <w:footnote w:id="2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بدل«الأصل»:«هذا الاستدلال».</w:t>
      </w:r>
    </w:p>
  </w:footnote>
  <w:footnote w:id="2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7:307 و 308.</w:t>
      </w:r>
    </w:p>
  </w:footnote>
  <w:footnote w:id="2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بدل«الصحّة»:«الأهلیّة».</w:t>
      </w:r>
    </w:p>
  </w:footnote>
  <w:footnote w:id="2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قواعد الأحکام 2:156.</w:t>
      </w:r>
    </w:p>
  </w:footnote>
  <w:footnote w:id="2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بدل«الفعل»:«العقد».</w:t>
      </w:r>
    </w:p>
  </w:footnote>
  <w:footnote w:id="2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بدل«إذ»:«و الظاهر أنّ».</w:t>
      </w:r>
    </w:p>
  </w:footnote>
  <w:footnote w:id="2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التذکرة(الطبعة الحجریة)2:87.</w:t>
      </w:r>
    </w:p>
  </w:footnote>
  <w:footnote w:id="2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العلاّمة،انظر قواعد الأحکام 2:97.</w:t>
      </w:r>
    </w:p>
  </w:footnote>
  <w:footnote w:id="2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المحقّق الثانی،انظر جامع المقاصد 4:452.</w:t>
      </w:r>
    </w:p>
  </w:footnote>
  <w:footnote w:id="2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الشهید عن القطب،کما فی مفتاح الکرامة 5:361،و لم نقف علیه فی کتب الشهید.</w:t>
      </w:r>
    </w:p>
  </w:footnote>
  <w:footnote w:id="2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فی(ص)و(ظ):«و أبقی».</w:t>
      </w:r>
    </w:p>
  </w:footnote>
  <w:footnote w:id="2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فی(ص)بدل«ثمّ»:«مع».</w:t>
      </w:r>
    </w:p>
  </w:footnote>
  <w:footnote w:id="2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فی(ظ)،(ت)و(ص)زیادة ما یلی:«فإن أراد به حرّا معیّنا کزید و عبدا معیّنا کسعید،فإن کان الدعوی علی مجرّد تملیک أحدهما،بأن قال أحدهما لمولی العبد:ملّکتنی عبدک،و قال المولی:ملّکتک زیدا الحرّ،فلا إشکال فی کون القول قول منکر تملیک العبد؛لأنّ صاحبه یدّعی تملیک عبده،فیحلف علی عدمه،و أمّا هو فلا یدّعی علی صاحبه شیئا؛لأنّ دعوی تملیک الحرّ لا یتضمّن مطالبة المدّعی بشیء،و إن أراد به التداعی فی کون أحد العوضین للآخر المملوک حرّا أو عبدا»،و کتب فی(ت)و(ص)علی هذه الزیادة:«زائد».</w:t>
      </w:r>
    </w:p>
  </w:footnote>
  <w:footnote w:id="2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شرائع الإسلام 2:33،و قواعد الأحکام 2:96.</w:t>
      </w:r>
    </w:p>
  </w:footnote>
  <w:footnote w:id="2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المسالک 3:267،و لکن لم نعثر علیه فی ما بأیدینا من کتب الشهید الأوّل.نعم،حکاه صاحب الجواهر فی الجواهر(23:195)عن الحواشی المنسوبة للشهید علی القواعد.و فی(ظ)زیادة:«و سیأتی الکلام فیه إن شاء اللّه».</w:t>
      </w:r>
    </w:p>
  </w:footnote>
  <w:footnote w:id="2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فی(ظ):«یقتضی».</w:t>
      </w:r>
    </w:p>
  </w:footnote>
  <w:footnote w:id="2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فی(ر):«و لذا».</w:t>
      </w:r>
    </w:p>
  </w:footnote>
  <w:footnote w:id="2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صاحب الجواهر،کما سیأتی.</w:t>
      </w:r>
    </w:p>
  </w:footnote>
  <w:footnote w:id="2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نسخة بدل(ت)،و فی غیرها بدل«الإذن»:«الأوّل».</w:t>
      </w:r>
    </w:p>
  </w:footnote>
  <w:footnote w:id="2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«أصالة»من(ص).</w:t>
      </w:r>
    </w:p>
  </w:footnote>
  <w:footnote w:id="2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فی(ص)بدل«أصالة صحة»:«أصالتی صحّتی الإذن». -و فی(ظ)بدل«لم یکونا-إلی-و لا من أصالة صحة»:«یکونان من أصالة صحة الإذن و».</w:t>
      </w:r>
    </w:p>
  </w:footnote>
  <w:footnote w:id="2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فی(خ)،و فی غیره:«بهما»،و الصحیح ما أثبتناه؛إذ لم یتمسّک فی الجواهر بأصالة صحّة الإذن.</w:t>
      </w:r>
    </w:p>
  </w:footnote>
  <w:footnote w:id="2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صاحب الجواهر فی الجواهر 25:267.و فی غیر(ظ)زیادة:«تبعا لبعض».</w:t>
      </w:r>
    </w:p>
  </w:footnote>
  <w:footnote w:id="2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مفتاح الکرامة 5:216.</w:t>
      </w:r>
    </w:p>
  </w:footnote>
  <w:footnote w:id="2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تقدّم،راجع الصفحة 346.</w:t>
      </w:r>
    </w:p>
  </w:footnote>
  <w:footnote w:id="2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363.</w:t>
      </w:r>
    </w:p>
  </w:footnote>
  <w:footnote w:id="2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فی(ظ)بدل«تحقّق»:«لحقیقة».</w:t>
      </w:r>
    </w:p>
  </w:footnote>
  <w:footnote w:id="2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فی(ظ)بدل«تحقّقه»:«الحقیقة».</w:t>
      </w:r>
    </w:p>
  </w:footnote>
  <w:footnote w:id="2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بدل(ص)زیادة:«لهذا یجب علیه مراعاة الأجزاء و الشروط المعتبرة فی المباشر؛و لهذا الاعتبار».</w:t>
      </w:r>
    </w:p>
  </w:footnote>
  <w:footnote w:id="2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نقف علیه.</w:t>
      </w:r>
    </w:p>
  </w:footnote>
  <w:footnote w:id="2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ترد«المعتبرة فی المباشر»فی(ر)،و فی(ص)کتب علیها:«نسخة»،و فی (ه)بدل«المباشر»:«المباشرة».</w:t>
      </w:r>
    </w:p>
  </w:footnote>
  <w:footnote w:id="2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فی(ظ)زیادة:«و کما فی فعل الوکیل و الأجیر الذی لا یعتبر فیه قصد النیابة».</w:t>
      </w:r>
    </w:p>
  </w:footnote>
  <w:footnote w:id="2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فی(ه):«ببدل».</w:t>
      </w:r>
    </w:p>
  </w:footnote>
  <w:footnote w:id="2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ترد«استنابة»فی(ت)،و ورد بدلها فی(ه):«استیجار».</w:t>
      </w:r>
    </w:p>
  </w:footnote>
  <w:footnote w:id="2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ترد«و لو علی وجه-إلی-للحجّ»فی(ظ).</w:t>
      </w:r>
    </w:p>
  </w:footnote>
  <w:footnote w:id="2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فی(ر)و(ه)و نسختی بدل(ت)و(ص)بدل«النائب»:«الفاعل».</w:t>
      </w:r>
    </w:p>
  </w:footnote>
  <w:footnote w:id="2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الفصول:362.</w:t>
      </w:r>
    </w:p>
  </w:footnote>
  <w:footnote w:id="2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340.</w:t>
      </w:r>
    </w:p>
  </w:footnote>
  <w:footnote w:id="2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فی(ت)،(ر)و(ص)زیادة:«إلاّ أن یجری قاعدة الشکّ فی الشیء بعد التجاوز عنه»،لکن شطب علیها فی(ت).</w:t>
      </w:r>
    </w:p>
  </w:footnote>
  <w:footnote w:id="2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قواعد الأحکام 2:310.</w:t>
      </w:r>
    </w:p>
  </w:footnote>
  <w:footnote w:id="2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فی(ت)و(ه)بدل«ما فی معناه»:«نحوه».</w:t>
      </w:r>
    </w:p>
  </w:footnote>
  <w:footnote w:id="2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ترد«لأنّ الشکّ-إلی-بقاء الطهارة»فی(ظ)،و فی(ت)کتب علیها: «نسخة»،و ورد بدلها فیها:«لأنّ هذا الأصل إن کان من الظواهر المعتبرة فهو کالید دلیل اجتهادی لا یقاومه الاستصحاب،و إن کان أصلا تعبّدیّا فهو حاکم علی أصالة الفساد؛لأنّ مرجعها إلی استصحاب عدم تحقّق الأثر عقیب الفعل المشکوک فی تأثیره فإذا ثبت التأثیر شرعا بهذا الأصل فیترک العدم السابق».</w:t>
      </w:r>
    </w:p>
  </w:footnote>
  <w:footnote w:id="2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فقد صرّح فی باب البیع بالرجوع إلی أصالة الصحّة فی مسألة الاختلاف فی البیع بالحرّ أو العبد،انظر قواعد الأحکام 2:96،و بالتوقّف فی مسألة ما لو ادّعی الصغر أو الجنون،انظر نفس المصدر،و بتقدّم أصالة عدم البلوغ علی أصالة الصحّة فی باب الضمان،کما تقدّم فی الصفحة 358-359،و بتعارضهما و الرجوع إلی أصالة البراءة فی بعض کلماته،علی ما حکی عنه القطب،کما تقدّم فی الصفحة 359-360.</w:t>
      </w:r>
    </w:p>
  </w:footnote>
  <w:footnote w:id="2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مثل:المحقّق الثانی،حیث حکم بأصالة الصحّة فی باب البیع فی مسألتی الاختلاف فی البیع بالحرّ أو العبد،و ما لو ادّعی الصغر أو الجنون،کما تقدّم فی الصفحة 359،و بالتفصیل بین استکمال الأرکان و عدمه فی بابی الضمان و الإجارة، کما تقدّم فی الصفحة 357-358،و بالتوقّف فی باب الإقرار فی مسألة الاختلاف فی البلوغ،انظر جامع المقاصد 9:202 و 203.</w:t>
      </w:r>
    </w:p>
  </w:footnote>
  <w:footnote w:id="2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تقدّم فی الصفحة 355.</w:t>
      </w:r>
    </w:p>
  </w:footnote>
  <w:footnote w:id="2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فی(ص)بدل«بحیث»:«علی وجه».</w:t>
      </w:r>
    </w:p>
  </w:footnote>
  <w:footnote w:id="2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ترد«فإن ارید بالصحّة-إلی-نظر»فی(ر)،و فی(ت)کتب علیها: «نسخة بدل».</w:t>
      </w:r>
    </w:p>
  </w:footnote>
  <w:footnote w:id="2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فی(ر)،(ص)و(ه)زیادة:«أصالة عدم البلوغ یوجب الفساد لا من حیث الحکم شرعا بصدور العقد من غیر بالغ،بل من حیث الحکم بعدم صدور عقد من بالغ،فإنّ بقاء الآثار السابقة للعوضین مستند إلی عدم السبب الشرعی، فالحمل...الخ»،و کتب علیها فی(ه):«زائد».</w:t>
      </w:r>
    </w:p>
  </w:footnote>
  <w:footnote w:id="2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ترد«فإن ارید بالصحّة فی قولهم-إلی-یقتضی عدمه»فی(ظ)،و ورد بدلها ما یلی:«و إن جعلناه من الاصول التعبدیّة،فإن استفدنا من ادلتها إثبات مجرّد صفة الصحّة للفعل المشکوک،فهی معارضة لأصالة الفساد؛لأنّها تحقّق عدم ترتب الأثر.لکن الشک فی الفساد لمّا کان مسبّبا دائما عن الشک فی تحقق سبب الصحة،أو أمر خارجیّ له دخل فیها،کان أصالة عدم السبب أو عدم ذلک الأمر حاکمة علی أصالة الصحة؛لأنّها مزیلة للشکّ فی مجراها. هذا بحسب ملاحظة أصالتی الصحّة و الفساد،إلاّ أنّ دلیل أصالة الصحة لمّا کان أخصّ من دلیل أصالة الفساد-أعنی الاستصحاب-و کان اللازم من العمل بعموم الاستصحاب مع الشکّ فی الفساد إلغاء دلیل اصالة الصحة رأسا تعیّن تخصیص عموم الاستصحاب بدلیل أصالة الصحّة. و إن استفدنا من أدلّتها إثبات الفعل الموصوف بالصحة،بأن جعلناها من الاصول الموضوعیة و من مشخّصات الفعل المشکوک فی وقوعه علی وجه یحکم علیه بالصحة،فهی بالنسبة إلی أصالة الفساد-إذا کان الشک من جهة الشک فی</w:t>
      </w:r>
    </w:p>
  </w:footnote>
  <w:footnote w:id="2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فی(ظ)و نسخة بدل(ص)بدل«مظهر-إلی-لمفسدة»:«کاذب فی إظهار الطلب».</w:t>
      </w:r>
    </w:p>
  </w:footnote>
  <w:footnote w:id="2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أکثر النسخ زیادة:«من الداخل»،و لکنّها لم ترد فی(ن)،و شطب علیها فی(خ).</w:t>
      </w:r>
    </w:p>
  </w:footnote>
  <w:footnote w:id="2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فی الصفحة 346-347.</w:t>
      </w:r>
    </w:p>
  </w:footnote>
  <w:footnote w:id="2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مبحث الظنّ 1:291-295.</w:t>
      </w:r>
    </w:p>
  </w:footnote>
  <w:footnote w:id="2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فی(ت)و(ه)بدل«ممّا»:«ما».</w:t>
      </w:r>
    </w:p>
  </w:footnote>
  <w:footnote w:id="2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مبحث الظنّ 1:254-262.</w:t>
      </w:r>
    </w:p>
  </w:footnote>
  <w:footnote w:id="2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381.</w:t>
      </w:r>
    </w:p>
  </w:footnote>
  <w:footnote w:id="2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حاشیة(ص)زیادة،کتب فی آخرها:«نسخة»،و هی ما یلی:«لا یجری فیها الاصول الثلاثة،أعنی:البراءة و الاحتیاط و الاستصحاب،فلو دار المائع بین الخلّ و الخمر،لم یکن موردا للقرعة؛لجریان أصالة البراءة و الإباحة،و کذا الشبهة المحصورة؛لجریان دلیل الاحتیاط،إلاّ إذا تعسّر الاحتیاط،کما هو محمل روایة القرعة الواردة فی قطیع غنم علم بحرمة نعجة فیها،و کذا لو دار الأمر بین الطهارة و الحدث حتّی مع اشتباه المتأخّر».</w:t>
      </w:r>
    </w:p>
  </w:footnote>
  <w:footnote w:id="2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العنوان منّا.</w:t>
      </w:r>
    </w:p>
  </w:footnote>
  <w:footnote w:id="2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ترد«و الاستصحاب وارد علیه»فی(ظ)،و فی(ت)وردت فی الحاشیة مکتوبا علیها:«خ».</w:t>
      </w:r>
    </w:p>
  </w:footnote>
  <w:footnote w:id="2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4:917،الباب 19 من أبواب القنوت،الحدیث 3.</w:t>
      </w:r>
    </w:p>
  </w:footnote>
  <w:footnote w:id="2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فی(ظ)و نسخة بدل(ت)،و فی غیرهما بدل«تغایرها»:«تغیّرها».</w:t>
      </w:r>
    </w:p>
  </w:footnote>
  <w:footnote w:id="2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فی(خ)بدل«فی رفع»:«فیرفع».</w:t>
      </w:r>
    </w:p>
  </w:footnote>
  <w:footnote w:id="2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ترد«فتأمّل»فی(ر).</w:t>
      </w:r>
    </w:p>
  </w:footnote>
  <w:footnote w:id="2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مبحث التعادل و التراجیح 4:13.</w:t>
      </w:r>
    </w:p>
  </w:footnote>
  <w:footnote w:id="2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المصدر:«یکون علیک قد اشتریته».</w:t>
      </w:r>
    </w:p>
  </w:footnote>
  <w:footnote w:id="2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بدل«أو قهر فبیع»:«أو خدع فبیع قهرا».</w:t>
      </w:r>
    </w:p>
  </w:footnote>
  <w:footnote w:id="2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12:60،الباب 4 من أبواب ما یکتسب به،الحدیث 4.</w:t>
      </w:r>
    </w:p>
  </w:footnote>
  <w:footnote w:id="2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التذکرة(الطبعة الحجریّة)1:588.</w:t>
      </w:r>
    </w:p>
  </w:footnote>
  <w:footnote w:id="2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کالوحید البهبهانی فی الرسائل الاصولیّة:399،و الفاضل النراقی فی المناهج: 211 و 216.</w:t>
      </w:r>
    </w:p>
  </w:footnote>
  <w:footnote w:id="2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بدل(ص)بدل«النسب»:«الحلّ».</w:t>
      </w:r>
    </w:p>
  </w:footnote>
  <w:footnote w:id="2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فی(خ)زیادة کتب علیها:«زائد»،و شطب علیها فی(ت)،و هی ما یلی: «إلاّ أن یقال:إنّ إباحة العقد علی الثوب و المملوک و المرأة المستفادة من مثل: أَحَلَّ اللّٰهُ الْبَیْعَ و قوله تعالی: أُحِلَّ لَکُمْ مٰا وَرٰاءَ ذٰلِکُمْ مطابقة لمقتضی الأصل،فالمراد إباحة هذه الأعیان من حیث إباحة تملّکها بالعقد،و یقابله المحرّمات بهذا الاعتبار کالمحارم،و هذا الأصل حاکم علی أصل له عدم تأثر العقد،فافهم».</w:t>
      </w:r>
    </w:p>
  </w:footnote>
  <w:footnote w:id="2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مبحث البراءة 2:120.</w:t>
      </w:r>
    </w:p>
  </w:footnote>
  <w:footnote w:id="2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208.</w:t>
      </w:r>
    </w:p>
  </w:footnote>
  <w:footnote w:id="2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بدل(ت):«موضع».</w:t>
      </w:r>
    </w:p>
  </w:footnote>
  <w:footnote w:id="2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219-220.</w:t>
      </w:r>
    </w:p>
  </w:footnote>
  <w:footnote w:id="2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3) الزیادة منّا.</w:t>
      </w:r>
    </w:p>
  </w:footnote>
  <w:footnote w:id="2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الحدیث فی الصفحة 71.</w:t>
      </w:r>
    </w:p>
  </w:footnote>
  <w:footnote w:id="2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العنوان منّا.</w:t>
      </w:r>
    </w:p>
  </w:footnote>
  <w:footnote w:id="2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ترد«و الفروع»فی(ظ).</w:t>
      </w:r>
    </w:p>
  </w:footnote>
  <w:footnote w:id="2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التوهّم من الفاضل النراقی فی مناهج الأحکام:235،إلاّ أنّه مثّل بالعامّ و الخاصّ المطلقین.</w:t>
      </w:r>
    </w:p>
  </w:footnote>
  <w:footnote w:id="2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سیأتی ذکرهم فی الصفحة 401.</w:t>
      </w:r>
    </w:p>
  </w:footnote>
  <w:footnote w:id="2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401.</w:t>
      </w:r>
    </w:p>
  </w:footnote>
  <w:footnote w:id="2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ترد«و یؤیّده-إلی-العرفیّة»فی(ظ)،و فی(ت)وردت فی الحاشیة مکتوبا علیها:«خ».</w:t>
      </w:r>
    </w:p>
  </w:footnote>
  <w:footnote w:id="2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فی(ظ)بدل«مانع»:«مخرج».</w:t>
      </w:r>
    </w:p>
  </w:footnote>
  <w:footnote w:id="2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فی(ر)،(ظ)و(ت)زیادة:«للعامّ»،و فی(ص)کتب علیه:«خ».</w:t>
      </w:r>
    </w:p>
  </w:footnote>
  <w:footnote w:id="2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فی(ه)،و فی(ص)و(ظ)بدل«به»:«له»،و فی(ت):«لا»،و فی(ر) لم یرد شیء منها.</w:t>
      </w:r>
    </w:p>
  </w:footnote>
  <w:footnote w:id="2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شطب فی(ت)علی:«بالدلیل لا».</w:t>
      </w:r>
    </w:p>
  </w:footnote>
  <w:footnote w:id="2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فی(ت)،(ر)و(ه)بدل«مقتضی»:«معنی».</w:t>
      </w:r>
    </w:p>
  </w:footnote>
  <w:footnote w:id="2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الصفحة 403.</w:t>
      </w:r>
    </w:p>
  </w:footnote>
  <w:footnote w:id="2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شطب علی«به»فی(ه).</w:t>
      </w:r>
    </w:p>
  </w:footnote>
  <w:footnote w:id="2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ترد«و بیان ذلک-إلی-یقین النجاسة»فی(ظ).</w:t>
      </w:r>
    </w:p>
  </w:footnote>
  <w:footnote w:id="2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فی(ت)و(ه)،و فی غیره بدل«بنجاسة الثوب»:«بالنجاسة».</w:t>
      </w:r>
    </w:p>
  </w:footnote>
  <w:footnote w:id="2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فی(ظ)بدل«و قد یشکل»:«فإن قلت بأنّ».</w:t>
      </w:r>
    </w:p>
  </w:footnote>
  <w:footnote w:id="2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ترد«و یدفع-إلی-طبعا»فی(ظ)،و ورد بدلها ما یلی:«قلنا:المقتضی لشمول العامّ للشکّ السببیّ موجود؛لوجود الموضوع-و هو کون القضیّة نقضا للیقین لغیر دلیل-و الشکّ المسبّب لا یصلح للمنع؛لأنّ وجود المقتضی لدخوله-و هو کونه نقضا للیقین لغیر دلیل-موقوف علی عدم ثبوت حکم النقض للشکّ السببی،و المقتضی للأوّل موجود و المانع عنه موقوف علی عدم ثبوت الحکم الأوّل،و المفروض أنّه لا مانع سوی ما ذکر؛فیثبت المقتضی -بالفتح-،و لو لا حکم العقل بهذا لم یکن وجه لتقدیم الدلیل علی الأصل، فدفع توهّم التعارض بین دلیلیهما.و الحاصل:أنّ العامّ إذا توقّف فردیّة شیء له علی عدم ثبوت حکمه لبعض أفراده المعلوم الفردیّة،لم یصلح للدخول تحت العامّ؛لأنّ الشیء إذا توقّف منعه علی عدم ثبوت المقتضی للمقتضی-بالکسر- لم یصلح أن یکون مانعا عنه للزوم الدور».</w:t>
      </w:r>
    </w:p>
  </w:footnote>
  <w:footnote w:id="2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التساقط،کما سیأتی فی الصفحة 407.</w:t>
      </w:r>
    </w:p>
  </w:footnote>
  <w:footnote w:id="2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فی(ص)زیادة:«فیه».</w:t>
      </w:r>
    </w:p>
  </w:footnote>
  <w:footnote w:id="2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292-293.</w:t>
      </w:r>
    </w:p>
  </w:footnote>
  <w:footnote w:id="2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صاحب الفصول،راجع الصفحة 291.</w:t>
      </w:r>
    </w:p>
  </w:footnote>
  <w:footnote w:id="2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المحقّق قدّس سرّه،فی المعتبر 1:32،کما سیأتی فی الصفحة اللاحقة.</w:t>
      </w:r>
    </w:p>
  </w:footnote>
  <w:footnote w:id="2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فی(ر)،(ص)و(ظ)بدل«بالاستصحاب»:«باستصحاب الطهارة».</w:t>
      </w:r>
    </w:p>
  </w:footnote>
  <w:footnote w:id="2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سیأتی ذکرهم فی الصفحة 403-404.</w:t>
      </w:r>
    </w:p>
  </w:footnote>
  <w:footnote w:id="2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1:239.</w:t>
      </w:r>
    </w:p>
  </w:footnote>
  <w:footnote w:id="2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2:598.</w:t>
      </w:r>
    </w:p>
  </w:footnote>
  <w:footnote w:id="2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1:32.</w:t>
      </w:r>
    </w:p>
  </w:footnote>
  <w:footnote w:id="2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581.</w:t>
      </w:r>
    </w:p>
  </w:footnote>
  <w:footnote w:id="2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التحریر:6،و حکاه عنه فی مفتاح الکرامة 1:133.</w:t>
      </w:r>
    </w:p>
  </w:footnote>
  <w:footnote w:id="2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قواعد الأحکام 1:190،و نهایة الإحکام 1:256،و المنتهی 1: 173.</w:t>
      </w:r>
    </w:p>
  </w:footnote>
  <w:footnote w:id="2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الذکری 1:106،و البیان:103،و تمهید القواعد:289-290.</w:t>
      </w:r>
    </w:p>
  </w:footnote>
  <w:footnote w:id="2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فخر الدین فی الإیضاح 1:25،و الفاضل الهندی فی کشف اللثام 1: 379.</w:t>
      </w:r>
    </w:p>
  </w:footnote>
  <w:footnote w:id="2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تقدّم الاستصحاب فی الشکّ السببیّ،راجع الصفحة 394.</w:t>
      </w:r>
    </w:p>
  </w:footnote>
  <w:footnote w:id="2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القائل هو المحقّق الثانی فی جامع المقاصد 1:156.</w:t>
      </w:r>
    </w:p>
  </w:footnote>
  <w:footnote w:id="2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16:215،الباب 5 من أبواب الصید،الحدیث 2.</w:t>
      </w:r>
    </w:p>
  </w:footnote>
  <w:footnote w:id="2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فی(ت)،و فی غیره:«بتذکیته».</w:t>
      </w:r>
    </w:p>
  </w:footnote>
  <w:footnote w:id="2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کالتسمیة،لما ورد من النهی عن الأکل ممّا لم یذکر اسم اللّه علیه فی سورة الأنعام:121.</w:t>
      </w:r>
    </w:p>
  </w:footnote>
  <w:footnote w:id="2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کالعلاّمة فی بعض کتبه کما تقدّم،و المحقق الثانی فی جامع المقاصد 1:156، و السید الصدر فی شرح الوافیة(مخطوط):365-366.</w:t>
      </w:r>
    </w:p>
  </w:footnote>
  <w:footnote w:id="2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فی(ر)،(ظ)و نسخة بدل(ص):«لا معنی».</w:t>
      </w:r>
    </w:p>
  </w:footnote>
  <w:footnote w:id="2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زیادة:«فیه».</w:t>
      </w:r>
    </w:p>
  </w:footnote>
  <w:footnote w:id="2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إیضاح الفوائد 1:24 و 25.</w:t>
      </w:r>
    </w:p>
  </w:footnote>
  <w:footnote w:id="2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المحقّق القمّی فی القوانین 2:76 و 79.</w:t>
      </w:r>
    </w:p>
  </w:footnote>
  <w:footnote w:id="2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السابقة.</w:t>
      </w:r>
    </w:p>
  </w:footnote>
  <w:footnote w:id="2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القوانین 2:79.</w:t>
      </w:r>
    </w:p>
  </w:footnote>
  <w:footnote w:id="2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کفخر الدین و المحقق الثانی و غیرهما،کما تقدّم.</w:t>
      </w:r>
    </w:p>
  </w:footnote>
  <w:footnote w:id="2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الوافیة:210.</w:t>
      </w:r>
    </w:p>
  </w:footnote>
  <w:footnote w:id="2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شریف العلماء،انظر تقریرات درسه فی ضوابط الاصول:386.</w:t>
      </w:r>
    </w:p>
  </w:footnote>
  <w:footnote w:id="2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401.</w:t>
      </w:r>
    </w:p>
  </w:footnote>
  <w:footnote w:id="2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فی(ت)،(ص)و(ظ)زیادة:«بالاستصحاب»،و کتب فوقه فی(ت): «نسخة».</w:t>
      </w:r>
    </w:p>
  </w:footnote>
  <w:footnote w:id="2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فی(ظ)بدل«من الخارج»:«عقلی أو نقلی».</w:t>
      </w:r>
    </w:p>
  </w:footnote>
  <w:footnote w:id="2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فی(ص)،و فی(ه)بدل«کلّ»:«المحل فی کلّ واحد»،و فی(ر): «المحل»،و فی(ت):«المحل فی واحد».</w:t>
      </w:r>
    </w:p>
  </w:footnote>
  <w:footnote w:id="2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ترد«کما فی الماء النجس-إلی-و التخییر»فی(ظ)،و کتب علیها فی (ص):«خ»،و ورد بدلها فی(ظ)ما یلی:«أو لا،فالأوّلان یحکم فیهما بالتساقط،و الثالث یحکم فیه بالجمع،کما إذا شکّ فی تعیین السابق موتا من زید و عمرو الحیّین،أو شکّ فی تعیین الباقی من النجاسة و الطهارة فی الماء النجس المتمّم کرّا بطاهر،أو شکّ فی تعیین النجس من أحد الإنائین المعلوم طروّ النجاسة علی أحدهما.و الأقوی فی هذا هو التساقط و فرض الأصلین کأن لم یکونا،سواء کان مع أحدهما مرجّح أم لا،فلیس فی تعارض الاستصحابین الترجیح و لا التخییر بعد فقد المرجّح،بل الحکم من أوّل الأمر طرحهما.نعم، هذا کلّه إذا لم یمکن الجمع بینهما،بأن یکون الجمع مستلزما لمخالفة تکلیف معلوم،أمّا إذا لم یکن کذلک وجب الجمع بکلیهما،إن ترتّب علی کلّ من المستصحبین أثر شرعی،و إلاّ اختصّ العمل بما له الأثر؛لأنّ مرجع الاستصحاب إلی ترتیب الآثار.فهنا صور ثلاث:الاولی:ما یحکم فیه بالتساقط،و هو کلّ مقام یمکن فیه الجمع للعلم بوجود تکلیف ینافیه،أو قام علی عدم الجمع دلیل عقلیّ،کما فی اشتباه المتقدّم و المتأخّر،أو نقلی کما فی الماء المتمّم کرّا».</w:t>
      </w:r>
    </w:p>
  </w:footnote>
  <w:footnote w:id="2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الهامش 3.</w:t>
      </w:r>
    </w:p>
  </w:footnote>
  <w:footnote w:id="2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تمهید القواعد:288 و 289.</w:t>
      </w:r>
    </w:p>
  </w:footnote>
  <w:footnote w:id="2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المحقّق القمی فی القوانین 2:75،و شریف العلماء فی تقریرات درسه فی ضوابط الاصول:385،و الفاضل التونی فی الوافیة:337.</w:t>
      </w:r>
    </w:p>
  </w:footnote>
  <w:footnote w:id="2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العلاّمة فی النهایة فی مبحث«القول بالأشبه»،انظر نهایة الوصول (مخطوط):439.</w:t>
      </w:r>
    </w:p>
  </w:footnote>
  <w:footnote w:id="2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اللاحقة.</w:t>
      </w:r>
    </w:p>
  </w:footnote>
  <w:footnote w:id="2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فی(ت):«شموله».</w:t>
      </w:r>
    </w:p>
  </w:footnote>
  <w:footnote w:id="2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السیّد المجاهد فی مفاتیح الاصول:83،و سیأتی تفصیله فی مبحث التعادل و التراجیح 4:33.</w:t>
      </w:r>
    </w:p>
  </w:footnote>
  <w:footnote w:id="2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مبحث التعادل و التراجیح 4:37.</w:t>
      </w:r>
    </w:p>
  </w:footnote>
  <w:footnote w:id="2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ترد«إذا کان اعتبارهما من باب التعبّد لا من باب الطریقیّة»فی(ظ).</w:t>
      </w:r>
    </w:p>
  </w:footnote>
  <w:footnote w:id="2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فی(ت)و(ه)،و فی غیرهما بدل«الیقینین»:«الضدّین».</w:t>
      </w:r>
    </w:p>
  </w:footnote>
  <w:footnote w:id="2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مبحث الاشتغال 2:201 و 211.</w:t>
      </w:r>
    </w:p>
  </w:footnote>
  <w:footnote w:id="2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مباحث التعادل و التراجیح 4:35-37.</w:t>
      </w:r>
    </w:p>
  </w:footnote>
  <w:footnote w:id="2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فی(ت)و(ظ)،و فی غیرهما:«عنهما».</w:t>
      </w:r>
    </w:p>
  </w:footnote>
  <w:footnote w:id="2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فی(ه)و(ص)بدل«امتنع شرعا أو عقلا العمل بکلیهما»:«ورد المنع تعبّدا عن الجمع بینهما».</w:t>
      </w:r>
    </w:p>
  </w:footnote>
  <w:footnote w:id="2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ذلک آنفا.</w:t>
      </w:r>
    </w:p>
  </w:footnote>
  <w:footnote w:id="2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فی(ر)و(ظ)و نسخة بدل(ص):«المستصحبین».</w:t>
      </w:r>
    </w:p>
  </w:footnote>
  <w:footnote w:id="2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411.</w:t>
      </w:r>
    </w:p>
  </w:footnote>
  <w:footnote w:id="2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فی(ص)بدل«الید»:«البدن».</w:t>
      </w:r>
    </w:p>
  </w:footnote>
  <w:footnote w:id="2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مبحث القطع 1:84-87.</w:t>
      </w:r>
    </w:p>
  </w:footnote>
  <w:footnote w:id="2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مبحث الاشتغال 2:233-235.</w:t>
      </w:r>
    </w:p>
  </w:footnote>
  <w:footnote w:id="2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فی(ص)بدل«القسم الأوّل»:«إحدی الصورتین الاولیین»،و فی نسخة بدلها کما أثبتنا.</w:t>
      </w:r>
    </w:p>
  </w:footnote>
  <w:footnote w:id="2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فی(ص):«الصورة الثالثة»،و فی نسخة بدلها کما أثبتنا.</w:t>
      </w:r>
    </w:p>
  </w:footnote>
  <w:footnote w:id="2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3:192،لکنّه نسبه إلی الأشهر.</w:t>
      </w:r>
    </w:p>
  </w:footnote>
  <w:footnote w:id="2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الکفایة:89،و حکاه عنه و عن الدروس السیّد المجاهد فی المناهل:286.</w:t>
      </w:r>
    </w:p>
  </w:footnote>
  <w:footnote w:id="2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الغنیة:210.</w:t>
      </w:r>
    </w:p>
  </w:footnote>
  <w:footnote w:id="2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کنز العرفان 2:102.</w:t>
      </w:r>
    </w:p>
  </w:footnote>
  <w:footnote w:id="2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2:73.</w:t>
      </w:r>
    </w:p>
  </w:footnote>
  <w:footnote w:id="2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الغنیة:210.</w:t>
      </w:r>
    </w:p>
  </w:footnote>
  <w:footnote w:id="2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عوالی اللآلی 1:209،الحدیث 48.</w:t>
      </w:r>
    </w:p>
  </w:footnote>
  <w:footnote w:id="2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3:3.</w:t>
      </w:r>
    </w:p>
  </w:footnote>
  <w:footnote w:id="2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3:207.</w:t>
      </w:r>
    </w:p>
  </w:footnote>
  <w:footnote w:id="2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2:145.</w:t>
      </w:r>
    </w:p>
  </w:footnote>
  <w:footnote w:id="2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کالمحقّق الثانی فی جامع المقاصد 7:82،و المحقّق التستری فی مقابس الأنوار:108.</w:t>
      </w:r>
    </w:p>
  </w:footnote>
  <w:footnote w:id="2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فی الحدائق 18:369،و الریاض 1:511،و مقابس الأنوار:108، و الجواهر 22:261 و غیرها.</w:t>
      </w:r>
    </w:p>
  </w:footnote>
  <w:footnote w:id="2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زیادة:و البیع.</w:t>
      </w:r>
    </w:p>
  </w:footnote>
  <w:footnote w:id="2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12:268،الباب 14 من أبواب عقد البیع و شروطه،الحدیث الأوّل،و ذیله.</w:t>
      </w:r>
    </w:p>
  </w:footnote>
  <w:footnote w:id="2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2:495،الحدیث 3،و عنه فی الوسائل 13:143،الباب 2 من أبواب کتاب الحجر،الحدیث 5.</w:t>
      </w:r>
    </w:p>
  </w:footnote>
  <w:footnote w:id="2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12:267،الباب 14 من أبواب عقد البیع و شروطه،و 13: 141 و 142،الباب 1 و 2 من أبواب کتاب الحجر،و الصفحة 428 و 432، الباب 44 و 45 من أبواب کتاب الوصایا و غیرها.</w:t>
      </w:r>
    </w:p>
  </w:footnote>
  <w:footnote w:id="2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روایة ابن سنان المتقدّمة و الروایتین الأُخریین عنه أیضاً فی الوسائل 13: 430 و 431،الباب 44 من أبواب أحکام الوصایا،الحدیث 8 و 11.</w:t>
      </w:r>
    </w:p>
  </w:footnote>
  <w:footnote w:id="2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فی«ف»،«خ»و«ش»و نسخة بدل«ن»،و فی سائر النسخ:متاعه.</w:t>
      </w:r>
    </w:p>
  </w:footnote>
  <w:footnote w:id="2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فی«ف»:قیمة.</w:t>
      </w:r>
    </w:p>
  </w:footnote>
  <w:footnote w:id="2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حکایته عن الغنیة و التذکرة فی أوّل المسألة.</w:t>
      </w:r>
    </w:p>
  </w:footnote>
  <w:footnote w:id="2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2:180.</w:t>
      </w:r>
    </w:p>
  </w:footnote>
  <w:footnote w:id="2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2:171.</w:t>
      </w:r>
    </w:p>
  </w:footnote>
  <w:footnote w:id="2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1:224.</w:t>
      </w:r>
    </w:p>
  </w:footnote>
  <w:footnote w:id="2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التحریر 1:244.</w:t>
      </w:r>
    </w:p>
  </w:footnote>
  <w:footnote w:id="2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1:169.</w:t>
      </w:r>
    </w:p>
  </w:footnote>
  <w:footnote w:id="2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عنه المحقّق التستری فی مقابس الأنوار(الصفحة 110)،و لکنّ الموجود فی الإیضاح(2:55)ذیل عبارة والده هکذا:«و الأقوی عدم الصحّة»،و لم نعثر فیه علی غیره.</w:t>
      </w:r>
    </w:p>
  </w:footnote>
  <w:footnote w:id="2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 الحاکی عنه بهذا النحو،نعم فی المقابس(الصفحة 110):و مال المقدّس الأردبیلی فی کتابه إلی جواز بیعه مع الرشد و إذن الولیّ،انظر مجمع الفائدة 8:152-153.</w:t>
      </w:r>
    </w:p>
  </w:footnote>
  <w:footnote w:id="2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2:80،و فیه:و شراؤه بإذن الولیّ.</w:t>
      </w:r>
    </w:p>
  </w:footnote>
  <w:footnote w:id="2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التحریر 1:218.</w:t>
      </w:r>
    </w:p>
  </w:footnote>
  <w:footnote w:id="2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5:194.</w:t>
      </w:r>
    </w:p>
  </w:footnote>
  <w:footnote w:id="2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حکی المحقّق التستری فی مقابس الأنوار(الصفحة 110)ما نقله العلّامة عن القاضی، و قال:«و مقتضاه صحّة شراء الصبی و بیعه»،انظر المختلف 6:188،و المهذّب 2:20.</w:t>
      </w:r>
    </w:p>
  </w:footnote>
  <w:footnote w:id="2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المراد هو صاحب الجواهر،انظر الجواهر 22:261،و انظر مقابس الأنوار:111-112 أیضاً.</w:t>
      </w:r>
    </w:p>
  </w:footnote>
  <w:footnote w:id="2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2:73.</w:t>
      </w:r>
    </w:p>
  </w:footnote>
  <w:footnote w:id="2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الغنیة:210.</w:t>
      </w:r>
    </w:p>
  </w:footnote>
  <w:footnote w:id="2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السیّد ابن زهرة.</w:t>
      </w:r>
    </w:p>
  </w:footnote>
  <w:footnote w:id="2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أوّل المسألة.</w:t>
      </w:r>
    </w:p>
  </w:footnote>
  <w:footnote w:id="2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ترد«غیرهم خصوصاً»إلّا فی«ف»،«ش»و مصحّحة«ن».</w:t>
      </w:r>
    </w:p>
  </w:footnote>
  <w:footnote w:id="2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کلامهم فی الصفحة 278-280.</w:t>
      </w:r>
    </w:p>
  </w:footnote>
  <w:footnote w:id="2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ترد«فالعمل علی المشهور»فی«ف».</w:t>
      </w:r>
    </w:p>
  </w:footnote>
  <w:footnote w:id="2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فی«ف»:فیمکن.</w:t>
      </w:r>
    </w:p>
  </w:footnote>
  <w:footnote w:id="2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فی«ف»:محمد بن مسلم.</w:t>
      </w:r>
    </w:p>
  </w:footnote>
  <w:footnote w:id="2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19:307،الباب 11 من أبواب العاقلة،الحدیث 2 و 3،و الصفحة 66،الباب 36 من أبواب کتاب القصاص فی النفس،الحدیث 2.</w:t>
      </w:r>
    </w:p>
  </w:footnote>
  <w:footnote w:id="2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1:329.</w:t>
      </w:r>
    </w:p>
  </w:footnote>
  <w:footnote w:id="2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1:636-637.</w:t>
      </w:r>
    </w:p>
  </w:footnote>
  <w:footnote w:id="2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فی«ف»،و فی«ص»بدل«الکفارة فیها»:«حرمتها»،و فی غیرهما جمع بینهما بجعل أحدهما أصلاً و الآخر بدلاً،و فی«ش»جمع بینهما مع عدم الإشارة إلی ذلک.</w:t>
      </w:r>
    </w:p>
  </w:footnote>
  <w:footnote w:id="2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المصدر.</w:t>
      </w:r>
    </w:p>
  </w:footnote>
  <w:footnote w:id="2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فی«ف»زیادة:«إلخ»،و فی سائر النسخ:«اه»،لکنّ المذکور هنا هو المذکور فی المصدر بتمامه.</w:t>
      </w:r>
    </w:p>
  </w:footnote>
  <w:footnote w:id="2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الإسناد:155،الحدیث 569،و عنه فی الوسائل 19:66،الباب 36 من أبواب القصاص فی النفس،الحدیث 2.</w:t>
      </w:r>
    </w:p>
  </w:footnote>
  <w:footnote w:id="2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کذا،و المناسب:بأن یکون معلولاً.</w:t>
      </w:r>
    </w:p>
  </w:footnote>
  <w:footnote w:id="2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کذا،و المناسب تذکیر الضمیر؛لرجوعه إلی«رفع القلم».</w:t>
      </w:r>
    </w:p>
  </w:footnote>
  <w:footnote w:id="2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فی«ش»:و المعلولیّة.</w:t>
      </w:r>
    </w:p>
  </w:footnote>
  <w:footnote w:id="2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فی«م»و«ع»:«بما»،و فی نسخة بدلهما:ممّا.</w:t>
      </w:r>
    </w:p>
  </w:footnote>
  <w:footnote w:id="2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فی«ش»،و فی سائر النسخ:«لها»،و فی مصحّحة«ص»:لهما.</w:t>
      </w:r>
    </w:p>
  </w:footnote>
  <w:footnote w:id="2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عبارة«و لو بعد البلوغ»وردت فی«ف»قبل قوله:«فلا أثر له».</w:t>
      </w:r>
    </w:p>
  </w:footnote>
  <w:footnote w:id="2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فی«ف»بدل«لأجل عدم»:لعدم.</w:t>
      </w:r>
    </w:p>
  </w:footnote>
  <w:footnote w:id="2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غیر«ف»:عن.</w:t>
      </w:r>
    </w:p>
  </w:footnote>
  <w:footnote w:id="2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غیر«ف»:من.</w:t>
      </w:r>
    </w:p>
  </w:footnote>
  <w:footnote w:id="2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فی«ش»:و لکن.</w:t>
      </w:r>
    </w:p>
  </w:footnote>
  <w:footnote w:id="2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السابقة.</w:t>
      </w:r>
    </w:p>
  </w:footnote>
  <w:footnote w:id="2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أوّل المسألة.</w:t>
      </w:r>
    </w:p>
  </w:footnote>
  <w:footnote w:id="2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276-277 و 281.</w:t>
      </w:r>
    </w:p>
  </w:footnote>
  <w:footnote w:id="2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فی«ش»:و قال.</w:t>
      </w:r>
    </w:p>
  </w:footnote>
  <w:footnote w:id="2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السیّد العاملی فی مفتاح الکرامة 4:172 عدّة فروع من التذکرة و نهایة الإحکام،و لم یفرزها،و لکنّ المؤلّف قدّس سرّه نسبها جمیعاً إلی التذکرة.</w:t>
      </w:r>
    </w:p>
  </w:footnote>
  <w:footnote w:id="2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کلمة«هذا»من«ش»و المصدر.</w:t>
      </w:r>
    </w:p>
  </w:footnote>
  <w:footnote w:id="2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نسخة بدل«ش»:قدر.</w:t>
      </w:r>
    </w:p>
  </w:footnote>
  <w:footnote w:id="2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المصدر:علی.</w:t>
      </w:r>
    </w:p>
  </w:footnote>
  <w:footnote w:id="2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فی«ش»و مصحّحة«م»:إلی.</w:t>
      </w:r>
    </w:p>
  </w:footnote>
  <w:footnote w:id="2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فی«ص»،«ش»و المصدر و مصحّحة«ن»،و فی غیرها:للمولی.</w:t>
      </w:r>
    </w:p>
  </w:footnote>
  <w:footnote w:id="2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العبارة للسیّد العاملی فی مفتاح الکرامة.</w:t>
      </w:r>
    </w:p>
  </w:footnote>
  <w:footnote w:id="2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الفرع ذکره العلّامة فی النهایة،و نقله السیّد العاملی بتصرّف.</w:t>
      </w:r>
    </w:p>
  </w:footnote>
  <w:footnote w:id="2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المصدر:أوصل.</w:t>
      </w:r>
    </w:p>
  </w:footnote>
  <w:footnote w:id="2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غیر«ف»و«ش»:من.</w:t>
      </w:r>
    </w:p>
  </w:footnote>
  <w:footnote w:id="2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التذکرة 1:462،و نهایة الإحکام 2:454-455،و مفتاح الکرامة 4:172.</w:t>
      </w:r>
    </w:p>
  </w:footnote>
  <w:footnote w:id="2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2:80.</w:t>
      </w:r>
    </w:p>
  </w:footnote>
  <w:footnote w:id="2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فی«ف»:لما.</w:t>
      </w:r>
    </w:p>
  </w:footnote>
  <w:footnote w:id="2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الشرائع 3:46.</w:t>
      </w:r>
    </w:p>
  </w:footnote>
  <w:footnote w:id="2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فی«ع»و«ص»:«إن»،و فی نسخة بدلهما:لو.</w:t>
      </w:r>
    </w:p>
  </w:footnote>
  <w:footnote w:id="2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12:118،الباب 33 من أبواب ما یکتسب به.</w:t>
      </w:r>
    </w:p>
  </w:footnote>
  <w:footnote w:id="2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فی«ف»بدل«عن»:أو.</w:t>
      </w:r>
    </w:p>
  </w:footnote>
  <w:footnote w:id="2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الریاض 1:511.</w:t>
      </w:r>
    </w:p>
  </w:footnote>
  <w:footnote w:id="2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غیر«ف»:عن.</w:t>
      </w:r>
    </w:p>
  </w:footnote>
  <w:footnote w:id="2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ترد«کثیر من»فی«ش».</w:t>
      </w:r>
    </w:p>
  </w:footnote>
  <w:footnote w:id="2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فی«م»،«ع»،«ص»و«ش»:هذا.</w:t>
      </w:r>
    </w:p>
  </w:footnote>
  <w:footnote w:id="2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ترد«ممّا»فی«ف».</w:t>
      </w:r>
    </w:p>
  </w:footnote>
  <w:footnote w:id="2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فی«ش»:فساده.</w:t>
      </w:r>
    </w:p>
  </w:footnote>
  <w:footnote w:id="2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فی«ن»،«خ»،«م»و«ص»:«ماهر»،لکنّ صُحّح فی«ن»بما أثبتناه فی المتن.</w:t>
      </w:r>
    </w:p>
  </w:footnote>
  <w:footnote w:id="2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فی«ش»و مصحّحة«ص»،و فی سائر النسخ:من بلغ سنتین.</w:t>
      </w:r>
    </w:p>
  </w:footnote>
  <w:footnote w:id="2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النسخ،و المناسب:«ثمانی»،کما فی مصحّحة«ص».</w:t>
      </w:r>
    </w:p>
  </w:footnote>
  <w:footnote w:id="2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285.</w:t>
      </w:r>
    </w:p>
  </w:footnote>
  <w:footnote w:id="2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فی«ف»:من.</w:t>
      </w:r>
    </w:p>
  </w:footnote>
  <w:footnote w:id="2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فی«ن»و«ش»و المصدر،و فی سائر النسخ:المتمیّزین.</w:t>
      </w:r>
    </w:p>
  </w:footnote>
  <w:footnote w:id="2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الغطاء:49-50.</w:t>
      </w:r>
    </w:p>
  </w:footnote>
  <w:footnote w:id="2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ترد«أقول»فی غیر«ف».</w:t>
      </w:r>
    </w:p>
  </w:footnote>
  <w:footnote w:id="2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ترد«سواء کان-إلی-أو المعاطاة»فی«ف».</w:t>
      </w:r>
    </w:p>
  </w:footnote>
  <w:footnote w:id="2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أوّل المسألة.</w:t>
      </w:r>
    </w:p>
  </w:footnote>
  <w:footnote w:id="2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جامع المقاصد 6:65،و المسالک 5:136.</w:t>
      </w:r>
    </w:p>
  </w:footnote>
  <w:footnote w:id="2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المحقّق التستری قدّس سرّه.</w:t>
      </w:r>
    </w:p>
  </w:footnote>
  <w:footnote w:id="2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أکثر النسخ و المصدر،و فی«ش»و مصحّحة«ن»:تعیّن.</w:t>
      </w:r>
    </w:p>
  </w:footnote>
  <w:footnote w:id="2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1:462،و تقدّم عنه فی الصفحة 286.</w:t>
      </w:r>
    </w:p>
  </w:footnote>
  <w:footnote w:id="2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کلمة«و»من«ف»و المصدر.</w:t>
      </w:r>
    </w:p>
  </w:footnote>
  <w:footnote w:id="2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فی«ش»:و کذا.</w:t>
      </w:r>
    </w:p>
  </w:footnote>
  <w:footnote w:id="2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فی«ف»و«ص»و المصدر،و فی سائر النسخ:لهما.</w:t>
      </w:r>
    </w:p>
  </w:footnote>
  <w:footnote w:id="2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مقابس الأنوار:113.</w:t>
      </w:r>
    </w:p>
  </w:footnote>
  <w:footnote w:id="2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النسخ،و المناسب:«هذا»،کما فی مصحّحة«ص».</w:t>
      </w:r>
    </w:p>
  </w:footnote>
  <w:footnote w:id="2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فی«ش»:کان.</w:t>
      </w:r>
    </w:p>
  </w:footnote>
  <w:footnote w:id="2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فی«ف»:ففیه.</w:t>
      </w:r>
    </w:p>
  </w:footnote>
  <w:footnote w:id="2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فی«ش»و نسخة بدل«ن»،و فی«ف»:«یکفی»،و فی مصحّحة «ص»:«أن یکتفی»،و فی سائر النسخ:یکتفی.</w:t>
      </w:r>
    </w:p>
  </w:footnote>
  <w:footnote w:id="2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فی«ص»،و فی غیرها:دفعه.</w:t>
      </w:r>
    </w:p>
  </w:footnote>
  <w:footnote w:id="2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فی«ن»،«ش»و مصحّحة«ص»،و فی سائر النسخ:تملّکاً.</w:t>
      </w:r>
    </w:p>
  </w:footnote>
  <w:footnote w:id="2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غیر«ش»:بصحّتها.</w:t>
      </w:r>
    </w:p>
  </w:footnote>
  <w:footnote w:id="2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فی«ش»:«یکفی».</w:t>
      </w:r>
    </w:p>
  </w:footnote>
  <w:footnote w:id="2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فی«ص»،و فی غیرها:مجرّد.</w:t>
      </w:r>
    </w:p>
  </w:footnote>
  <w:footnote w:id="2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فی«ص»،و فی غیرها:مجرّد.</w:t>
      </w:r>
    </w:p>
  </w:footnote>
  <w:footnote w:id="2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ما ذکره کاشف الغطاء و تلمیذه المحقّق التستری قدّس سرّهما فی تصحیح معاملات الصبیّ.</w:t>
      </w:r>
    </w:p>
  </w:footnote>
  <w:footnote w:id="2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نصّ کلامه فی الصفحة 289.</w:t>
      </w:r>
    </w:p>
  </w:footnote>
  <w:footnote w:id="2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فی«ش»،«ص»و مصحّحة«ن»،و فی مصحّحة«خ»:«أحد الشخصین»،و فی سائر النسخ:الشخصین.</w:t>
      </w:r>
    </w:p>
  </w:footnote>
  <w:footnote w:id="2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غیر«ف»:و قابلاً.</w:t>
      </w:r>
    </w:p>
  </w:footnote>
  <w:footnote w:id="2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فی«ش»،و فی غیره:مجرّد.</w:t>
      </w:r>
    </w:p>
  </w:footnote>
  <w:footnote w:id="2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الواو»من«ف».</w:t>
      </w:r>
    </w:p>
  </w:footnote>
  <w:footnote w:id="2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فی«ص»زیادة«به»تصحیحاً.</w:t>
      </w:r>
    </w:p>
  </w:footnote>
  <w:footnote w:id="2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مصحّحة«ن»:بأن.</w:t>
      </w:r>
    </w:p>
  </w:footnote>
  <w:footnote w:id="2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ترد«فهو»فی«ف».</w:t>
      </w:r>
    </w:p>
  </w:footnote>
  <w:footnote w:id="2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المسالک 3:156،نقلاً بالمعنی.</w:t>
      </w:r>
    </w:p>
  </w:footnote>
  <w:footnote w:id="2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یجیء فی الصفحة 372.</w:t>
      </w:r>
    </w:p>
  </w:footnote>
  <w:footnote w:id="2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یجیء فی الصفحة 307.</w:t>
      </w:r>
    </w:p>
  </w:footnote>
  <w:footnote w:id="2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المحقّق التستری.</w:t>
      </w:r>
    </w:p>
  </w:footnote>
  <w:footnote w:id="2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غیر«ش»:أو الانتقال.</w:t>
      </w:r>
    </w:p>
  </w:footnote>
  <w:footnote w:id="2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المصدر:التلفّظ.</w:t>
      </w:r>
    </w:p>
  </w:footnote>
  <w:footnote w:id="2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فی«ش»و المصدر،و فی مصحّحة«ن»:«منهما»،و فی سائر النسخ: فیهما.</w:t>
      </w:r>
    </w:p>
  </w:footnote>
  <w:footnote w:id="2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کلمة«معیّن»من«ش»و المصدر.</w:t>
      </w:r>
    </w:p>
  </w:footnote>
  <w:footnote w:id="2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فی«ش»:فیه.</w:t>
      </w:r>
    </w:p>
  </w:footnote>
  <w:footnote w:id="2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فی«ش»:«المعروف»،طبقاً للمصدر.</w:t>
      </w:r>
    </w:p>
  </w:footnote>
  <w:footnote w:id="2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عبارة«من الشریعة إلی بعدمه»من«ش»و المصدر.</w:t>
      </w:r>
    </w:p>
  </w:footnote>
  <w:footnote w:id="2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فی«ف»و المصدر،و فی سائر النسخ:اشتری.</w:t>
      </w:r>
    </w:p>
  </w:footnote>
  <w:footnote w:id="2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فی«ش»،و فی سائر النسخ:«تعیین»،إلّا أنّه صُحّح فی«ن»و«ص» بما أثبتناه.</w:t>
      </w:r>
    </w:p>
  </w:footnote>
  <w:footnote w:id="2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المصدر:أحوطها.</w:t>
      </w:r>
    </w:p>
  </w:footnote>
  <w:footnote w:id="2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فی«ش»:المعیّن إذا ما.</w:t>
      </w:r>
    </w:p>
  </w:footnote>
  <w:footnote w:id="2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مقابس الأنوار:115-116.</w:t>
      </w:r>
    </w:p>
  </w:footnote>
  <w:footnote w:id="2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الترحیم من«ف».</w:t>
      </w:r>
    </w:p>
  </w:footnote>
  <w:footnote w:id="2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فی«ف»،«خ»،«ع»و«ص»:و لأنّ.</w:t>
      </w:r>
    </w:p>
  </w:footnote>
  <w:footnote w:id="2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کذا،و المناسب:لا تکون.</w:t>
      </w:r>
    </w:p>
  </w:footnote>
  <w:footnote w:id="2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فی«ف»،«ن»و«ص»،و فی سائر النسخ:فتعیّن.</w:t>
      </w:r>
    </w:p>
  </w:footnote>
  <w:footnote w:id="2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فی«ف»بدل«علی تعیین»:علی اعتبار.</w:t>
      </w:r>
    </w:p>
  </w:footnote>
  <w:footnote w:id="2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فی«ف»:و فی.</w:t>
      </w:r>
    </w:p>
  </w:footnote>
  <w:footnote w:id="2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تفصیل صاحب المقابس،و المراد من الشقّ الأوّل هو ما أفاده بقوله: «إن توقّف تعیّن المالک علی التعیین»،راجع الصفحة 296.</w:t>
      </w:r>
    </w:p>
  </w:footnote>
  <w:footnote w:id="2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إلی ما ذکره صاحب المقابس فی الشقّ الثانی من تفصیله،و هو قوله: «ففی وجوب التعیین أو الإطلاق المنصرف إلیه،أو عدمه مطلقاً،أو التفصیل بین التصریح بالخلاف فیبطل،و عدمه فیصحّ...»،راجع الصفحة 298.</w:t>
      </w:r>
    </w:p>
  </w:footnote>
  <w:footnote w:id="2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فی«ف»و«خ»:العوض.</w:t>
      </w:r>
    </w:p>
  </w:footnote>
  <w:footnote w:id="2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298.</w:t>
      </w:r>
    </w:p>
  </w:footnote>
  <w:footnote w:id="2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القائل به کثیر،منهم:المحقّق القمّی فی الغنائم:554 ناسباً إلی الأکثر،و منهم:کاشف الغطاء فی شرحه علی القواعد،حیث قال-فی ذیل کلام العلّامة:«و کذا لو باع مال غیره ثمّ ملکه»:«و الأقوی عدم الاشتراط»، راجع شرح القواعد(مخطوط):الورقة 61.</w:t>
      </w:r>
    </w:p>
  </w:footnote>
  <w:footnote w:id="2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فی«ف»:بیع مال الغیر لغیره.</w:t>
      </w:r>
    </w:p>
  </w:footnote>
  <w:footnote w:id="2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ترد«أو علی تنزیل الغیر إلی المعاوضة الحقیقیة»فی«ف».</w:t>
      </w:r>
    </w:p>
  </w:footnote>
  <w:footnote w:id="2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فی«ف»:فبیع.</w:t>
      </w:r>
    </w:p>
  </w:footnote>
  <w:footnote w:id="2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1:151 و 166.</w:t>
      </w:r>
    </w:p>
  </w:footnote>
  <w:footnote w:id="2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الشهید فی الدروس 3:211 و 409.</w:t>
      </w:r>
    </w:p>
  </w:footnote>
  <w:footnote w:id="2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کلمة«المخاطب»من«ف»و«ش»و مصحّحة«ن».</w:t>
      </w:r>
    </w:p>
  </w:footnote>
  <w:footnote w:id="2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فی«ف»:الخطاب.</w:t>
      </w:r>
    </w:p>
  </w:footnote>
  <w:footnote w:id="2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فی«ف»بدل«منفعة»:بعته.</w:t>
      </w:r>
    </w:p>
  </w:footnote>
  <w:footnote w:id="2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العبارة فی«ف»هکذا:و یحتمل اعتباره.</w:t>
      </w:r>
    </w:p>
  </w:footnote>
  <w:footnote w:id="2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کلمة«فیما»من«ف»و«ش»و مصحّحة«ن»،نعم ورد فی مصحّحة«خ» و«ص»بدل«فیما»:إذا.</w:t>
      </w:r>
    </w:p>
  </w:footnote>
  <w:footnote w:id="2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فی«ن»،«م»،«ع»و«ش»:الأقوی.</w:t>
      </w:r>
    </w:p>
  </w:footnote>
  <w:footnote w:id="2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فی«ف»،و فی غیرها:الثانی.</w:t>
      </w:r>
    </w:p>
  </w:footnote>
  <w:footnote w:id="2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1:463.</w:t>
      </w:r>
    </w:p>
  </w:footnote>
  <w:footnote w:id="2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فی«خ»،«ع»و«ص»،و فی سائر النسخ:«مبنیّة»،و لا یبعد أن تکون مصحّفة«منبّهٌ»کما فی نسخة بدل«ش».</w:t>
      </w:r>
    </w:p>
  </w:footnote>
  <w:footnote w:id="2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فی«ص»و مصحّحة«ن»،و فی سائر النسخ:باختلافها.</w:t>
      </w:r>
    </w:p>
  </w:footnote>
  <w:footnote w:id="2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فی«ن»:و أنّ.</w:t>
      </w:r>
    </w:p>
  </w:footnote>
  <w:footnote w:id="2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المحقّق التستری فی مقابس الأنوار:115.</w:t>
      </w:r>
    </w:p>
  </w:footnote>
  <w:footnote w:id="2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مصحّحة«ص»:یصلح.</w:t>
      </w:r>
    </w:p>
  </w:footnote>
  <w:footnote w:id="2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کلمة«وجهاً»من«ش»و مصحّحة«ن».</w:t>
      </w:r>
    </w:p>
  </w:footnote>
  <w:footnote w:id="2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الهبة و الوکالة و الوصیّة،علی ما تقدّم فی الصفحة السابقة.</w:t>
      </w:r>
    </w:p>
  </w:footnote>
  <w:footnote w:id="2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 بعینه،نعم حکی السیّد العاملی فی مفتاح الکرامة(4:152) عن شرح الإرشاد لفخر المحقّقین:«أنّ بعت فی لغة العرب بمعنی ملّکت غیری»،کما تقدّم فی الصفحة 12 و غیرها.</w:t>
      </w:r>
    </w:p>
  </w:footnote>
  <w:footnote w:id="2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مصحّحة«ن»:مع.</w:t>
      </w:r>
    </w:p>
  </w:footnote>
  <w:footnote w:id="2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فی«ش»،و فی سائر النسخ:الأصل.</w:t>
      </w:r>
    </w:p>
  </w:footnote>
  <w:footnote w:id="2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ترد«له»فی«ن»و«م».</w:t>
      </w:r>
    </w:p>
  </w:footnote>
  <w:footnote w:id="2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فی«ش»:الموکّل.</w:t>
      </w:r>
    </w:p>
  </w:footnote>
  <w:footnote w:id="2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ضمیر«رجوعه»راجع إلی ما ذکره بقوله:فالأولی فی الفرق ما ذکرنا من أنّ الغالب...إلخ.</w:t>
      </w:r>
    </w:p>
  </w:footnote>
  <w:footnote w:id="2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إلی ما تقدّم فی الصفحة 304 بقوله:«و قد یقال فی الفرق بین البیع و شبهه...إلخ»،و المراد من الاعتراض علیه ما تقدّم فی الصفحة السابقة من قوله:«و علی الوجه الثانی:إنّ معنی بعتک...إلخ».</w:t>
      </w:r>
    </w:p>
  </w:footnote>
  <w:footnote w:id="2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جملة«و اعترضنا علیه»لم ترد فی«ف».</w:t>
      </w:r>
    </w:p>
  </w:footnote>
  <w:footnote w:id="2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النساء:29.</w:t>
      </w:r>
    </w:p>
  </w:footnote>
  <w:footnote w:id="2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عوالی اللآلی 2:113،الحدیث 309.</w:t>
      </w:r>
    </w:p>
  </w:footnote>
  <w:footnote w:id="2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5:345،الباب 30 من أبواب الخلل،الحدیث 2،و 11: 295،الباب 56 من أبواب جهاد النفس،الحدیث الأوّل،و 16:144،الباب 16 من أبواب کتاب الأیمان،الحدیث 3.</w:t>
      </w:r>
    </w:p>
  </w:footnote>
  <w:footnote w:id="2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فی«ف»:بعموم.</w:t>
      </w:r>
    </w:p>
  </w:footnote>
  <w:footnote w:id="2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16:136،الباب 12 من أبواب کتاب الأیمان،الحدیث 12.</w:t>
      </w:r>
    </w:p>
  </w:footnote>
  <w:footnote w:id="2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ترد«بالنبوی»فی«ف».</w:t>
      </w:r>
    </w:p>
  </w:footnote>
  <w:footnote w:id="2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کلمة«رفع»من«ف»فقط.</w:t>
      </w:r>
    </w:p>
  </w:footnote>
  <w:footnote w:id="2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15:331،الباب 37 من أبواب مقدّمات الطلاق،و الصفحة 299،الباب 18 من نفس الأبواب،الحدیث 6.</w:t>
      </w:r>
    </w:p>
  </w:footnote>
  <w:footnote w:id="2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الدروس 3:192،و المسالک 3:156،و الروضة البهیة 3:226-227.</w:t>
      </w:r>
    </w:p>
  </w:footnote>
  <w:footnote w:id="2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وردت العبارة فی«ف»مختصرة هکذا:فالمراد عدم وقوع مضمونه فی الخارج.</w:t>
      </w:r>
    </w:p>
  </w:footnote>
  <w:footnote w:id="2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فی«ف»،و فی غیرها:الکلام.</w:t>
      </w:r>
    </w:p>
  </w:footnote>
  <w:footnote w:id="2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فی«م»و«ش»:لا یستقیم.</w:t>
      </w:r>
    </w:p>
  </w:footnote>
  <w:footnote w:id="2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توهمه عبارة الجماعة،منهم:العلّامة و الشهیدان،و فی مصحّحة«ن»: توهم.</w:t>
      </w:r>
    </w:p>
  </w:footnote>
  <w:footnote w:id="2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ترد«التی لا تستقیم-إلی-مفهوم اللفظ»فی«ف».</w:t>
      </w:r>
    </w:p>
  </w:footnote>
  <w:footnote w:id="2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الروضة البهیّة 6:21،و المسالک 9:22،و نهایة المرام:2:12، و الجواهر 32:15.</w:t>
      </w:r>
    </w:p>
  </w:footnote>
  <w:footnote w:id="2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ادّعی الاتّفاق ظاهراً فی الحدائق 18:373،و الریاض 1:511.و فی مفتاح الکرامة 4:173،و الجواهر 22:267 نسبتها إلی المشهور.</w:t>
      </w:r>
    </w:p>
  </w:footnote>
  <w:footnote w:id="2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فی«ف»زیادة:به.</w:t>
      </w:r>
    </w:p>
  </w:footnote>
  <w:footnote w:id="2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استدلّ به المحقّق النراقی فی المستند 2:364.</w:t>
      </w:r>
    </w:p>
  </w:footnote>
  <w:footnote w:id="2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15:331،الباب 37 من أبواب مقدّمات الطلاق.</w:t>
      </w:r>
    </w:p>
  </w:footnote>
  <w:footnote w:id="2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15:332،الباب 38 من أبواب مقدّمات الطلاق.</w:t>
      </w:r>
    </w:p>
  </w:footnote>
  <w:footnote w:id="2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خالف فی ذلک أبو حنیفة و أصحابه،انظر بدایة المجتهد 2:81،و المغنی لابن قدامة 7:118.</w:t>
      </w:r>
    </w:p>
  </w:footnote>
  <w:footnote w:id="2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تقدّم عنه فی الصفحة 295 و 308.</w:t>
      </w:r>
    </w:p>
  </w:footnote>
  <w:footnote w:id="2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المسالک 9:22.</w:t>
      </w:r>
    </w:p>
  </w:footnote>
  <w:footnote w:id="2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التحریر 2:51.</w:t>
      </w:r>
    </w:p>
  </w:footnote>
  <w:footnote w:id="2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الجواهر 32:15.</w:t>
      </w:r>
    </w:p>
  </w:footnote>
  <w:footnote w:id="2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الصفحة 325.</w:t>
      </w:r>
    </w:p>
  </w:footnote>
  <w:footnote w:id="2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غیر«ف»و«ن»:من.</w:t>
      </w:r>
    </w:p>
  </w:footnote>
  <w:footnote w:id="2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فی«ف»و«ش»،و فی غیرهما:«بتوعید»،و صُحّح فی«ن»بما أثبتناه،إلّا أنّه شطب فیها علی«منه».</w:t>
      </w:r>
    </w:p>
  </w:footnote>
  <w:footnote w:id="2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ترد«ترک»فی«ف».</w:t>
      </w:r>
    </w:p>
  </w:footnote>
  <w:footnote w:id="2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علیه»من«ف»فقط.</w:t>
      </w:r>
    </w:p>
  </w:footnote>
  <w:footnote w:id="2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فی«خ»،«ع»و«ص»:یعتمد.</w:t>
      </w:r>
    </w:p>
  </w:footnote>
  <w:footnote w:id="2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فی«ف»و«ش»،و فی«م»و«ع»:«لا یشقّ»،و فی«ن»،«خ» و«ص»محلّ کلمة«لا»بیاض.</w:t>
      </w:r>
    </w:p>
  </w:footnote>
  <w:footnote w:id="2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غیر«ف»و«ن»زیادة:«به»،و شطب علیه فی«ص».</w:t>
      </w:r>
    </w:p>
  </w:footnote>
  <w:footnote w:id="2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الشهید الثانی فی المسالک 9:18-19 و المحدّث البحرانی فی الحدائق 25:159،و المحقّق النراقی فی المستند 2:364.</w:t>
      </w:r>
    </w:p>
  </w:footnote>
  <w:footnote w:id="3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 حدیث الرفع المتقدّم فی الصفحة 307.</w:t>
      </w:r>
    </w:p>
  </w:footnote>
  <w:footnote w:id="3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15:327،الباب 34 من أبواب مقدّمات الطلاق،الحدیث 3. و الصفحة 331،الباب 37 من نفس الأبواب.و 16:24،الباب 19 من أبواب کتاب العتق.</w:t>
      </w:r>
    </w:p>
  </w:footnote>
  <w:footnote w:id="3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المصدر:«لا یمین فی غضب و لا فی قطیعة رحم».</w:t>
      </w:r>
    </w:p>
  </w:footnote>
  <w:footnote w:id="3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غیر«ص»زیادة:«الخبر»،و الظاهر أنّه لا وجه له؛لأنّ الحدیث مذکور بتمامه.</w:t>
      </w:r>
    </w:p>
  </w:footnote>
  <w:footnote w:id="3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16:143،الباب 16 من أبواب کتاب الأیمان،الحدیث الأوّل.</w:t>
      </w:r>
    </w:p>
  </w:footnote>
  <w:footnote w:id="3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ترد«به»فی«ش».</w:t>
      </w:r>
    </w:p>
  </w:footnote>
  <w:footnote w:id="3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ترد«عنه»فی«ش».</w:t>
      </w:r>
    </w:p>
  </w:footnote>
  <w:footnote w:id="3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فی«ف»بدل«أو»:و.</w:t>
      </w:r>
    </w:p>
  </w:footnote>
  <w:footnote w:id="3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فی«ف»:من.</w:t>
      </w:r>
    </w:p>
  </w:footnote>
  <w:footnote w:id="3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فی«ف»:أمرین.</w:t>
      </w:r>
    </w:p>
  </w:footnote>
  <w:footnote w:id="3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فی«ص»زیادة:«علیه»-استدراکاً-.</w:t>
      </w:r>
    </w:p>
  </w:footnote>
  <w:footnote w:id="3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16:134 و 143،الباب 12 و 16 من أبواب کتاب الأیمان.</w:t>
      </w:r>
    </w:p>
  </w:footnote>
  <w:footnote w:id="3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النحل:106.</w:t>
      </w:r>
    </w:p>
  </w:footnote>
  <w:footnote w:id="3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3:388،و الوسائل 11:476،الباب 29 من أبواب الأمر و النهی،الحدیث 2.</w:t>
      </w:r>
    </w:p>
  </w:footnote>
  <w:footnote w:id="3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ترد«هذا»فی«ص».</w:t>
      </w:r>
    </w:p>
  </w:footnote>
  <w:footnote w:id="3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المحقّق فی الشرائع 3:13،و العلّامة فی التحریر 2:51،و الشهید الثانی فی الروضة 6:20،و السیّد السند فی نهایة المرام 2:11،و المحقّق السبزواری فی الکفایة:198.</w:t>
      </w:r>
    </w:p>
  </w:footnote>
  <w:footnote w:id="3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5:51.</w:t>
      </w:r>
    </w:p>
  </w:footnote>
  <w:footnote w:id="3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فی«م»و«ع»:ما.</w:t>
      </w:r>
    </w:p>
  </w:footnote>
  <w:footnote w:id="3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ترد:«هذا و لکن-إلی-فافهم»فی«ف».</w:t>
      </w:r>
    </w:p>
  </w:footnote>
  <w:footnote w:id="3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فی«ش»:فقد.</w:t>
      </w:r>
    </w:p>
  </w:footnote>
  <w:footnote w:id="3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فی الصفحة 313.</w:t>
      </w:r>
    </w:p>
  </w:footnote>
  <w:footnote w:id="3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عبارة«فی الروایة»من«ف»و مصحّحتی«ن»و«خ».</w:t>
      </w:r>
    </w:p>
  </w:footnote>
  <w:footnote w:id="3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فی«ن»،«خ»،«م»و«ع»:«و هو»،و محلّ«و»فی«ص»بیاض.</w:t>
      </w:r>
    </w:p>
  </w:footnote>
  <w:footnote w:id="3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فی«ف»و«ش»و مصحّحة«ن»،و فی سائر النسخ:ذکر فی تلک الروایة.</w:t>
      </w:r>
    </w:p>
  </w:footnote>
  <w:footnote w:id="3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ترد«فیها»فی«ف».</w:t>
      </w:r>
    </w:p>
  </w:footnote>
  <w:footnote w:id="3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فی«ن»،«ص»و«ش»،و فی«ف»:«نحمل»،و فی سائر النسخ: تحمل.</w:t>
      </w:r>
    </w:p>
  </w:footnote>
  <w:footnote w:id="3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 فی الصفحة 307.</w:t>
      </w:r>
    </w:p>
  </w:footnote>
  <w:footnote w:id="3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مقابس الأنوار:114،و الجواهر 22:265.</w:t>
      </w:r>
    </w:p>
  </w:footnote>
  <w:footnote w:id="3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النساء:29.</w:t>
      </w:r>
    </w:p>
  </w:footnote>
  <w:footnote w:id="3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ترد«مسلم»فی«ف».</w:t>
      </w:r>
    </w:p>
  </w:footnote>
  <w:footnote w:id="3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عوالی اللآلی 2:113،الحدیث 309.</w:t>
      </w:r>
    </w:p>
  </w:footnote>
  <w:footnote w:id="3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15:285،الباب 11 من أبواب مقدّمات الطلاق.</w:t>
      </w:r>
    </w:p>
  </w:footnote>
  <w:footnote w:id="3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فی«ف»بدل«فی فساد»:فی خصوص.</w:t>
      </w:r>
    </w:p>
  </w:footnote>
  <w:footnote w:id="3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15:332،الباب 38 من أبواب مقدّمات الطلاق.</w:t>
      </w:r>
    </w:p>
  </w:footnote>
  <w:footnote w:id="3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کلمة«بینهما»من«ش».</w:t>
      </w:r>
    </w:p>
  </w:footnote>
  <w:footnote w:id="3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فی«ف»:رفع.</w:t>
      </w:r>
    </w:p>
  </w:footnote>
  <w:footnote w:id="3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فی«ف»،و فی غیرها:دفع.</w:t>
      </w:r>
    </w:p>
  </w:footnote>
  <w:footnote w:id="3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فی«ف»:رفع.</w:t>
      </w:r>
    </w:p>
  </w:footnote>
  <w:footnote w:id="3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استشکل فیه العلّامة فی التحریر 2:51،و لم نعثر علی مستشکلٍ غیره،نعم فی المسالک 9:21 و الحدائق 25:162-163 ما یفید هذا.</w:t>
      </w:r>
    </w:p>
  </w:footnote>
  <w:footnote w:id="3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فی«خ»،«م»،«ع»و«ش»:الخصوصیّین.</w:t>
      </w:r>
    </w:p>
  </w:footnote>
  <w:footnote w:id="3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عبارة«علی الآخر»وردت فی«ف»و«ص»و هامش«ع»و مصحّحتی «ن»و«خ»،و لم ترد فی غیرها.</w:t>
      </w:r>
    </w:p>
  </w:footnote>
  <w:footnote w:id="3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فی«ف»:من الإکراه.</w:t>
      </w:r>
    </w:p>
  </w:footnote>
  <w:footnote w:id="3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2:60.</w:t>
      </w:r>
    </w:p>
  </w:footnote>
  <w:footnote w:id="3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المحقّق التستری فی مقابس الأنوار:118 عن بعض الأجلّة،و لکن لم نتحقّقه من هو.</w:t>
      </w:r>
    </w:p>
  </w:footnote>
  <w:footnote w:id="3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کالشهید الثانی فی المسالک 9:21،و الروضة البهیّة 6:21،و سبطه فی نهایة المرام 2:12،و المحدّث البحرانی فی الحدائق 25:163 و غیرهم.</w:t>
      </w:r>
    </w:p>
  </w:footnote>
  <w:footnote w:id="3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فی«ف»:فی جنس الشرب.</w:t>
      </w:r>
    </w:p>
  </w:footnote>
  <w:footnote w:id="3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ترد«و کذا لو أکرهه إلی جنس البیع»فی«ف».</w:t>
      </w:r>
    </w:p>
  </w:footnote>
  <w:footnote w:id="3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فی«ف»:لکن.</w:t>
      </w:r>
    </w:p>
  </w:footnote>
  <w:footnote w:id="3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الواو»من«ف»و«خ»فقط.</w:t>
      </w:r>
    </w:p>
  </w:footnote>
  <w:footnote w:id="3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فی«م»،«ع»،«ص»و«ش»:العقد.</w:t>
      </w:r>
    </w:p>
  </w:footnote>
  <w:footnote w:id="3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ترد«هنا»فی«ف».</w:t>
      </w:r>
    </w:p>
  </w:footnote>
  <w:footnote w:id="3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غیر«ش»زیادة:المالک،إلّا أنّه شطب علیها فی«م».</w:t>
      </w:r>
    </w:p>
  </w:footnote>
  <w:footnote w:id="3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المسالک 9:22.</w:t>
      </w:r>
    </w:p>
  </w:footnote>
  <w:footnote w:id="3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ترد«قال»فی«ف».</w:t>
      </w:r>
    </w:p>
  </w:footnote>
  <w:footnote w:id="3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ترد«أیضاً»فی«ف».</w:t>
      </w:r>
    </w:p>
  </w:footnote>
  <w:footnote w:id="3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المسالک 9:23.</w:t>
      </w:r>
    </w:p>
  </w:footnote>
  <w:footnote w:id="3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یجیء فی الصفحة 332 عند قوله:«و ثانیاً».</w:t>
      </w:r>
    </w:p>
  </w:footnote>
  <w:footnote w:id="3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فی«ف»:مستمرّ بالنقل و الانتقال.</w:t>
      </w:r>
    </w:p>
  </w:footnote>
  <w:footnote w:id="3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فی«ف»بدل«نعم»:ثمّ.</w:t>
      </w:r>
    </w:p>
  </w:footnote>
  <w:footnote w:id="3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ترد«أو مورّیاً»فی«ف».</w:t>
      </w:r>
    </w:p>
  </w:footnote>
  <w:footnote w:id="3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فی«ش»:فرع.</w:t>
      </w:r>
    </w:p>
  </w:footnote>
  <w:footnote w:id="3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فی«ف»و مصحّحة«ن»،و فی سائر النسخ:و لو.</w:t>
      </w:r>
    </w:p>
  </w:footnote>
  <w:footnote w:id="3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1:462.</w:t>
      </w:r>
    </w:p>
  </w:footnote>
  <w:footnote w:id="3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فی«ف»:فباعهما.</w:t>
      </w:r>
    </w:p>
  </w:footnote>
  <w:footnote w:id="3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غیر«ف»و«ش»زیادة:«بعد الإکراه علی الکلّ»،إلّا أنّه أُشیر فی «ن»إلی زیادتها.</w:t>
      </w:r>
    </w:p>
  </w:footnote>
  <w:footnote w:id="3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کلمة«بیع»من«ف»و«ش»و مصحّحة«م»و«ن»،و لم ترد فی غیرها، و فی«ص»بدلها:أن یبیع.</w:t>
      </w:r>
    </w:p>
  </w:footnote>
  <w:footnote w:id="3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311.</w:t>
      </w:r>
    </w:p>
  </w:footnote>
  <w:footnote w:id="3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التحریر 2:51.</w:t>
      </w:r>
    </w:p>
  </w:footnote>
  <w:footnote w:id="3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المسالک 9:22.</w:t>
      </w:r>
    </w:p>
  </w:footnote>
  <w:footnote w:id="3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مصحّحة«ص»و مقابس الأنوار:متحقّق.</w:t>
      </w:r>
    </w:p>
  </w:footnote>
  <w:footnote w:id="3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نهایة المرام 2:12،و حکاه المحقّق التستری فی مقابس الأنوار:117.</w:t>
      </w:r>
    </w:p>
  </w:footnote>
  <w:footnote w:id="3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إلی هنا تمّ ما أفاده بعض الأجلّة،و هو الفاضل الأصبهانی قدّس سرّه فی کشف اللثام 2:119،و باقی الکلمات من الحاکی.</w:t>
      </w:r>
    </w:p>
  </w:footnote>
  <w:footnote w:id="3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أکثر النسخ و المصدر،و فی«ف»:«تحمل علی الإکراه»،و فی مصحّحة «ن»:یحمل علی الإکراه.</w:t>
      </w:r>
    </w:p>
  </w:footnote>
  <w:footnote w:id="3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المحقّق التستری فی مقابس الأنوار:117.</w:t>
      </w:r>
    </w:p>
  </w:footnote>
  <w:footnote w:id="3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صاحب الجواهر قدّس سرّه فی الجواهر 32:15.</w:t>
      </w:r>
    </w:p>
  </w:footnote>
  <w:footnote w:id="3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الفرع عن المسالک فی الصفحة السابقة.</w:t>
      </w:r>
    </w:p>
  </w:footnote>
  <w:footnote w:id="3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310.</w:t>
      </w:r>
    </w:p>
  </w:footnote>
  <w:footnote w:id="3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ترد«مجرّد»فی«ص»،و شطب علیها فی«ع».</w:t>
      </w:r>
    </w:p>
  </w:footnote>
  <w:footnote w:id="3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313،قوله:الذی یظهر من النصوص و الفتاوی...</w:t>
      </w:r>
    </w:p>
  </w:footnote>
  <w:footnote w:id="3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الفرع المنقول عن التحریر.</w:t>
      </w:r>
    </w:p>
  </w:footnote>
  <w:footnote w:id="3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الشهیدی فی شرحه:(رأی)بصیغة الماضی،لا المصدر،هدایة الطالب:261.</w:t>
      </w:r>
    </w:p>
  </w:footnote>
  <w:footnote w:id="3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ما تقدّم عن أبی حنیفة و أصحابه فی هامش الصفحة 310.</w:t>
      </w:r>
    </w:p>
  </w:footnote>
  <w:footnote w:id="3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فی«ف»:علی.</w:t>
      </w:r>
    </w:p>
  </w:footnote>
  <w:footnote w:id="3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فی«ف»و«ش»و نسخة بدل«ص»،و فی سائر النسخ:نفسها.</w:t>
      </w:r>
    </w:p>
  </w:footnote>
  <w:footnote w:id="3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فی«م»،«ع»و«ص»زیادة:«إنّ»،لکن شطب علیها فی«م».</w:t>
      </w:r>
    </w:p>
  </w:footnote>
  <w:footnote w:id="3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کالمحقّق فی الشرائع 2:14.و العلّامة فی القواعد 1:124،و التحریر 1: 164 و غیرهما.و الشهید فی الدروس 3:192،و اللمعة:110.و الشهید الثانی فی المسالک 3:155-156،و الروضة البهیة 3:226.و غیرهم.</w:t>
      </w:r>
    </w:p>
  </w:footnote>
  <w:footnote w:id="3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الریاض 1:511،و فیه:إنّ ظاهرهم الاتّفاق...</w:t>
      </w:r>
    </w:p>
  </w:footnote>
  <w:footnote w:id="3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18:373،و فیه:و ظاهرهم-أیضاً-الاتّفاق...</w:t>
      </w:r>
    </w:p>
  </w:footnote>
  <w:footnote w:id="3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ادّعی ذلک صاحب الجواهر،انظر الجواهر 22:267-268.</w:t>
      </w:r>
    </w:p>
  </w:footnote>
  <w:footnote w:id="3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فی«ف»:العقد.</w:t>
      </w:r>
    </w:p>
  </w:footnote>
  <w:footnote w:id="3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فی«ف»:فی عقده.</w:t>
      </w:r>
    </w:p>
  </w:footnote>
  <w:footnote w:id="3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309 و ما بعدها.</w:t>
      </w:r>
    </w:p>
  </w:footnote>
  <w:footnote w:id="3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فی«م»و«ش»زیادة:به.</w:t>
      </w:r>
    </w:p>
  </w:footnote>
  <w:footnote w:id="3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ترد«لا»فی«ف».</w:t>
      </w:r>
    </w:p>
  </w:footnote>
  <w:footnote w:id="3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308 و ما بعدها.</w:t>
      </w:r>
    </w:p>
  </w:footnote>
  <w:footnote w:id="3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ترد«کما صرّح به بعض»فی«ف»،و المصرّح بذلک هو صاحب الجواهر، انظر الجواهر 22:267.</w:t>
      </w:r>
    </w:p>
  </w:footnote>
  <w:footnote w:id="3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308-309.</w:t>
      </w:r>
    </w:p>
  </w:footnote>
  <w:footnote w:id="3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الکفایة:89،و فیها:فالمسألة محلّ إشکال.</w:t>
      </w:r>
    </w:p>
  </w:footnote>
  <w:footnote w:id="3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الفائدة 8:156،و فیه-بعد نقل الصحّة عن المشهور-:و ما نعرف لها دلیلاً.</w:t>
      </w:r>
    </w:p>
  </w:footnote>
  <w:footnote w:id="3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4:62،و فیه:فللنظر فیها مجال.</w:t>
      </w:r>
    </w:p>
  </w:footnote>
  <w:footnote w:id="3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ترد«عنهم»فی«ف»،و لم نعثر علی هذا البعض.</w:t>
      </w:r>
    </w:p>
  </w:footnote>
  <w:footnote w:id="3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النساء:29.</w:t>
      </w:r>
    </w:p>
  </w:footnote>
  <w:footnote w:id="3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 فی الصفحة 307.</w:t>
      </w:r>
    </w:p>
  </w:footnote>
  <w:footnote w:id="3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النساء:23.</w:t>
      </w:r>
    </w:p>
  </w:footnote>
  <w:footnote w:id="3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ستأتی مسألة بیع الفضولی فی الصفحة 345.</w:t>
      </w:r>
    </w:p>
  </w:footnote>
  <w:footnote w:id="3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نقف علی التصریح به فیما تقدّم.</w:t>
      </w:r>
    </w:p>
  </w:footnote>
  <w:footnote w:id="3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شطب فی«ن»و«م»علی کلمة«أثر».</w:t>
      </w:r>
    </w:p>
  </w:footnote>
  <w:footnote w:id="3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شطب فی«ن»علی«اعتبار عدم»،و شطب فی«م»علی کلمة«عدم».</w:t>
      </w:r>
    </w:p>
  </w:footnote>
  <w:footnote w:id="3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فی«ف»و«ش»و مصحّحة«خ»،و فی سائر النسخ:سبب مستقلّ.</w:t>
      </w:r>
    </w:p>
  </w:footnote>
  <w:footnote w:id="3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 عبارة«إذ المفروض-إلی-بالإکراه»فی«ف».</w:t>
      </w:r>
    </w:p>
  </w:footnote>
  <w:footnote w:id="3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شطب فی«ن»علی کلمة«اعتبار».</w:t>
      </w:r>
    </w:p>
  </w:footnote>
  <w:footnote w:id="3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کلمة«عدم»من«ش»فقط.</w:t>
      </w:r>
    </w:p>
  </w:footnote>
  <w:footnote w:id="3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ترد«و هذا غیر مرتفع بالإکراه»فی«ف».</w:t>
      </w:r>
    </w:p>
  </w:footnote>
  <w:footnote w:id="3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فی«ف»:إنّما یدلّ.</w:t>
      </w:r>
    </w:p>
  </w:footnote>
  <w:footnote w:id="3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فی«ف»و«ن»:سببیّته المستقلّة.</w:t>
      </w:r>
    </w:p>
  </w:footnote>
  <w:footnote w:id="3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وردت عبارة«بل لو کان-إلی-فلا ینفع»فی«ف»و«ش»،و هامش «ن»تصحیحاً.</w:t>
      </w:r>
    </w:p>
  </w:footnote>
  <w:footnote w:id="3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فی«خ»،«ع»و«ش»:المقیّدة.</w:t>
      </w:r>
    </w:p>
  </w:footnote>
  <w:footnote w:id="3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ترد«المفیدة للسببیّة المستقلّة»فی«ف».</w:t>
      </w:r>
    </w:p>
  </w:footnote>
  <w:footnote w:id="3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فی«ص»زیادة:«قبل الرضا»،و وردت فی«خ»و«ع»-أیضاً- استدراکاً.</w:t>
      </w:r>
    </w:p>
  </w:footnote>
  <w:footnote w:id="3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فی«ش»و العبارة فی«ف»هکذا:«بل مقتضی الأدلّة الأربعة بمدخلیّته للرضا»،و فی سائر النسخ:بل تقتضی الأدلّة الأربعة مدخلیّةً للرضا.</w:t>
      </w:r>
    </w:p>
  </w:footnote>
  <w:footnote w:id="3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ترد«المکره علیه»فی«ف».</w:t>
      </w:r>
    </w:p>
  </w:footnote>
  <w:footnote w:id="3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عبارة«أمر عقلیّ غیر مجعول»من«ف»و نسخة بدل«ش».</w:t>
      </w:r>
    </w:p>
  </w:footnote>
  <w:footnote w:id="3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قوله:لأنّ الإکراه..إلی هنا لم یرد فی«ف»،و من قوله:إلّا أن یقال... إلی هنا کتب علیه فی«ن»:زائد،و هذا المقدار لم یرد أیضاً فی«ش»باستثناء عبارة«کما ترفع السببیّة المستقلّة».</w:t>
      </w:r>
    </w:p>
  </w:footnote>
  <w:footnote w:id="3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یجیء فی الصفحة 408-409.</w:t>
      </w:r>
    </w:p>
  </w:footnote>
  <w:footnote w:id="3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 من ادّعی ذلک صریحاً،نعم فی الریاض 1:513 بعد اختیاره ذلک فی الفضولی و جعله موافقاً للأشهر،قال:عملاً بمقتضی الإجازة.</w:t>
      </w:r>
    </w:p>
  </w:footnote>
  <w:footnote w:id="3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ترد«هو»فی«ف».</w:t>
      </w:r>
    </w:p>
  </w:footnote>
  <w:footnote w:id="3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3:22،کتاب البیوع،المسألة 29.</w:t>
      </w:r>
    </w:p>
  </w:footnote>
  <w:footnote w:id="3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فی«ف»:فکان.</w:t>
      </w:r>
    </w:p>
  </w:footnote>
  <w:footnote w:id="3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الصفحة 399 فی بحث«القول فی الإجازة و الردّ»،و 412،فی بحث الثمرة بین النقل و الکشف.</w:t>
      </w:r>
    </w:p>
  </w:footnote>
  <w:footnote w:id="3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الصفحة 399 فی بحث«القول فی الإجازة و الردّ»،و 412،فی بحث الثمرة بین النقل و الکشف.</w:t>
      </w:r>
    </w:p>
  </w:footnote>
  <w:footnote w:id="3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النحل:75.</w:t>
      </w:r>
    </w:p>
  </w:footnote>
  <w:footnote w:id="3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فی«ف»و مصحّحة«ن»-کما فی بعض نسخ الفقیه-،و فی سائر النسخ:فشیء.</w:t>
      </w:r>
    </w:p>
  </w:footnote>
  <w:footnote w:id="3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3:541،الحدیث 4860،و الوسائل 15:343،الباب 45 من أبواب مقدّمات الطلاق.</w:t>
      </w:r>
    </w:p>
  </w:footnote>
  <w:footnote w:id="3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فی«ف»زیادة:لا شیء.</w:t>
      </w:r>
    </w:p>
  </w:footnote>
  <w:footnote w:id="3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فی«ف»و«ش»و مصحّحة«ن»،و فی سائر النسخ:بما وقع له.</w:t>
      </w:r>
    </w:p>
  </w:footnote>
  <w:footnote w:id="3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فی قوله تعالی: «أَوْفُوا بِالْعُقُودِ» ،المائدة:1.</w:t>
      </w:r>
    </w:p>
  </w:footnote>
  <w:footnote w:id="3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کلمة«إلیه»من«ش»و مصحّحة«ن».</w:t>
      </w:r>
    </w:p>
  </w:footnote>
  <w:footnote w:id="3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 فی الصفحة 337.</w:t>
      </w:r>
    </w:p>
  </w:footnote>
  <w:footnote w:id="3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14:523،الباب 24 من أبواب نکاح العبید و الإماء،الحدیث الأوّل،و لفظه:«فإذا أجازه فهو له جائز».</w:t>
      </w:r>
    </w:p>
  </w:footnote>
  <w:footnote w:id="3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فی«ص»و مصحّحة«ن»،و فی«ع»و«ش»:«یشتمل»،و فی سائر النسخ:تشتمل.</w:t>
      </w:r>
    </w:p>
  </w:footnote>
  <w:footnote w:id="3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14:524،الباب 24 من أبواب نکاح العبید و الإماء،الحدیث 2.</w:t>
      </w:r>
    </w:p>
  </w:footnote>
  <w:footnote w:id="3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14:523،الباب 24 من أبواب نکاح العبید و الإماء،الحدیث الأوّل.و انظر-أیضاً-المغنی؛لابن قدامة 6:515،و المجموع 17:249.</w:t>
      </w:r>
    </w:p>
  </w:footnote>
  <w:footnote w:id="3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الجواهر 22:271،و 25:70.</w:t>
      </w:r>
    </w:p>
  </w:footnote>
  <w:footnote w:id="3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فی«ف»:فی أنّ.</w:t>
      </w:r>
    </w:p>
  </w:footnote>
  <w:footnote w:id="3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النسخ،و الأصحّ:مراجعته.</w:t>
      </w:r>
    </w:p>
  </w:footnote>
  <w:footnote w:id="3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فاعله«بعضٌ»فی قوله:«و من ذلک یعرف أنّ استشهاد بعضٍ...»،راجع الصفحة السابقة.</w:t>
      </w:r>
    </w:p>
  </w:footnote>
  <w:footnote w:id="3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فی«ف»:العبد.</w:t>
      </w:r>
    </w:p>
  </w:footnote>
  <w:footnote w:id="3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کذا،و المناسب:قادحة.</w:t>
      </w:r>
    </w:p>
  </w:footnote>
  <w:footnote w:id="3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فی الصفحة 337.</w:t>
      </w:r>
    </w:p>
  </w:footnote>
  <w:footnote w:id="3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14:522،الباب 23 من أبواب نکاح العبید و الإماء، و الصفحة 575،الباب 64 من نفس الأبواب،الحدیث 8.</w:t>
      </w:r>
    </w:p>
  </w:footnote>
  <w:footnote w:id="3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عنه الصیمری فی غایة المرام(مخطوط)273،و صاحب الجواهر، انظر الجواهر 22:271،و لکن لم نعثر علیه فیما بأیدینا من کتب القاضی قدّس سرّه.</w:t>
      </w:r>
    </w:p>
  </w:footnote>
  <w:footnote w:id="3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فی«ف»:أمر.</w:t>
      </w:r>
    </w:p>
  </w:footnote>
  <w:footnote w:id="3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جامع المقاصد 4:68،و المسالک 3:158،و حکاه عنهما و عن غیرهما صاحب الجواهر فی الجواهر 22:272.</w:t>
      </w:r>
    </w:p>
  </w:footnote>
  <w:footnote w:id="3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صاحب الجواهر فی الجواهر 22:271.</w:t>
      </w:r>
    </w:p>
  </w:footnote>
  <w:footnote w:id="3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340.</w:t>
      </w:r>
    </w:p>
  </w:footnote>
  <w:footnote w:id="3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فی«ن»-و هکذا نقله المامقانی فی شرحه(غایة الآمال:350)-و فی سائر النسخ:بأن.</w:t>
      </w:r>
    </w:p>
  </w:footnote>
  <w:footnote w:id="3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1:124.</w:t>
      </w:r>
    </w:p>
  </w:footnote>
  <w:footnote w:id="3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4:68.</w:t>
      </w:r>
    </w:p>
  </w:footnote>
  <w:footnote w:id="3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غیر«ن»و«ش»:غایة المرام،و الاتّفاق المدّعی موجود فیما أثبتناه،انظر غایة المراد:177.</w:t>
      </w:r>
    </w:p>
  </w:footnote>
  <w:footnote w:id="3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غایة المراد:177.</w:t>
      </w:r>
    </w:p>
  </w:footnote>
  <w:footnote w:id="3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نقف علیه.</w:t>
      </w:r>
    </w:p>
  </w:footnote>
  <w:footnote w:id="3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یقال:«البیع الفضولی»،کما عبّر به الشهید فی غایة المراد:177.</w:t>
      </w:r>
    </w:p>
  </w:footnote>
  <w:footnote w:id="3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المامقانی قدّس سرّه:الأولی التعبیر بالبکر-بکسر الباء و سکون الکاف-فإنّه الذی ضبطه أهل اللغة مرادفاً للعذراء،و قد صرّح فی شرح القاموس بأنّ التعبیر عن هذا المعنی بلفظ«الباکرة»غلط،غایة الآمال:352.</w:t>
      </w:r>
    </w:p>
  </w:footnote>
  <w:footnote w:id="3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فی«ص»و«ش»،و فی سائر النسخ:بفساد.</w:t>
      </w:r>
    </w:p>
  </w:footnote>
  <w:footnote w:id="3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14:205،الباب 4 من أبواب عقد النکاح،الحدیث 2. و الصفحة 213،الباب 9 من نفس الأبواب.و الصفحة 458-459،الباب 11 من أبواب المتعة،الحدیث 5 و 12.</w:t>
      </w:r>
    </w:p>
  </w:footnote>
  <w:footnote w:id="3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عوالی اللآلی 3:205،الحدیث 36،و مستدرک الوسائل 13:245،الباب 18 من أبواب عقد البیع و شروطه.</w:t>
      </w:r>
    </w:p>
  </w:footnote>
  <w:footnote w:id="3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فی«ف»و مصحّحة«ن»و«خ»،و فی«ش»:بترتیب،و فی سائر النسخ:یترتّب.</w:t>
      </w:r>
    </w:p>
  </w:footnote>
  <w:footnote w:id="3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قوله تعالی: أَوْفُوا بِالْعُقُودِ ،المائدة:1.</w:t>
      </w:r>
    </w:p>
  </w:footnote>
  <w:footnote w:id="3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النساء:29.</w:t>
      </w:r>
    </w:p>
  </w:footnote>
  <w:footnote w:id="3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عوالی اللآلی 2:113،الحدیث 309.</w:t>
      </w:r>
    </w:p>
  </w:footnote>
  <w:footnote w:id="3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14:525،الباب 26 من أبواب نکاح العبید و الإماء.</w:t>
      </w:r>
    </w:p>
  </w:footnote>
  <w:footnote w:id="3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351.</w:t>
      </w:r>
    </w:p>
  </w:footnote>
  <w:footnote w:id="3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فی«ص»و هامش«خ»،و فی سائر النسخ:منه.</w:t>
      </w:r>
    </w:p>
  </w:footnote>
  <w:footnote w:id="3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فی«ف»:و لأنه.</w:t>
      </w:r>
    </w:p>
  </w:footnote>
  <w:footnote w:id="3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تعرّض للفضولی فی موضعین من التذکرة حسب ما تتبّعناه،و لم نعثر علی نسبة ذلک إلی علمائنا،انظر التذکرة 1:462 و 486.</w:t>
      </w:r>
    </w:p>
  </w:footnote>
  <w:footnote w:id="3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غایة المراد:178.</w:t>
      </w:r>
    </w:p>
  </w:footnote>
  <w:footnote w:id="3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المقنعة:606.</w:t>
      </w:r>
    </w:p>
  </w:footnote>
  <w:footnote w:id="3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الناصریّات(الجوامع الفقهیة):247،المسألة 154.</w:t>
      </w:r>
    </w:p>
  </w:footnote>
  <w:footnote w:id="3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النهایة:385.</w:t>
      </w:r>
    </w:p>
  </w:footnote>
  <w:footnote w:id="3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المراسم:150.</w:t>
      </w:r>
    </w:p>
  </w:footnote>
  <w:footnote w:id="3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فی الفقه:292.</w:t>
      </w:r>
    </w:p>
  </w:footnote>
  <w:footnote w:id="3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2:194-195،216.</w:t>
      </w:r>
    </w:p>
  </w:footnote>
  <w:footnote w:id="3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الوسیلة:249.</w:t>
      </w:r>
    </w:p>
  </w:footnote>
  <w:footnote w:id="3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العلّامة فی المختلف 5:53،و ولده فی الإیضاح 1:416،و ابن فهد فی المقتصر:166.</w:t>
      </w:r>
    </w:p>
  </w:footnote>
  <w:footnote w:id="3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المحقّق فی الشرائع 2:14 و غیره،و ابن سعید الحلیّ فی الجامع للشرائع: 246،و العلّامة فی کتبه و-تقدّم آنفاً عن التذکرة-و الشهید فی الدروس 3: 192 و غیره.</w:t>
      </w:r>
    </w:p>
  </w:footnote>
  <w:footnote w:id="3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الإیضاح 1:417.</w:t>
      </w:r>
    </w:p>
  </w:footnote>
  <w:footnote w:id="3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الفائدة 8:158،و زبدة البیان:428.</w:t>
      </w:r>
    </w:p>
  </w:footnote>
  <w:footnote w:id="3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ضوابط الرضاع(کلمات المحقّقین):56.</w:t>
      </w:r>
    </w:p>
  </w:footnote>
  <w:footnote w:id="3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المحدّث البحرانی فی الحدائق 18:378.</w:t>
      </w:r>
    </w:p>
  </w:footnote>
  <w:footnote w:id="3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فی المختلف 5:54،و الریاض 1:512،و انظر المهذّب البارع 2:356، و المناهل:287.</w:t>
      </w:r>
    </w:p>
  </w:footnote>
  <w:footnote w:id="3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غایة المراد:178.</w:t>
      </w:r>
    </w:p>
  </w:footnote>
  <w:footnote w:id="3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فی«ش»،و فی غیرها:یکتفی،إلّا أنّها صحّحت فی«ن»بما أثبتناه، و استظهرها مصحّح«ص»کذلک.</w:t>
      </w:r>
    </w:p>
  </w:footnote>
  <w:footnote w:id="3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السنن الکبری للبیهقی 6:112،و عوالی اللآلی 3:205،الحدیث 36، و مستدرک الوسائل 13:245،الباب 18 من أبواب عقد البیع و شروطه.</w:t>
      </w:r>
    </w:p>
  </w:footnote>
  <w:footnote w:id="3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فی«ف»زیادة:علیک.</w:t>
      </w:r>
    </w:p>
  </w:footnote>
  <w:footnote w:id="3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ترد«الظاهر»فی«ف».</w:t>
      </w:r>
    </w:p>
  </w:footnote>
  <w:footnote w:id="3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فی«م»و«ع»و«ص»:الفروض،إلّا أنّها صحّحت فی«ع»و«ص»بما أثبتناه.</w:t>
      </w:r>
    </w:p>
  </w:footnote>
  <w:footnote w:id="3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الصفحة 346-347.</w:t>
      </w:r>
    </w:p>
  </w:footnote>
  <w:footnote w:id="3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75 و 112.</w:t>
      </w:r>
    </w:p>
  </w:footnote>
  <w:footnote w:id="3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فی«ف»،«خ»و«ن»،و فی سائر النسخ:الفضولیّین.</w:t>
      </w:r>
    </w:p>
  </w:footnote>
  <w:footnote w:id="3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فی«ش»و مصحّحة«ن»و«ص»،و فی سائر النسخ:دخل.</w:t>
      </w:r>
    </w:p>
  </w:footnote>
  <w:footnote w:id="3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فی الریاض 1:512-513،و مقابس الأنوار:123،و غیرهما.</w:t>
      </w:r>
    </w:p>
  </w:footnote>
  <w:footnote w:id="3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14:591،الباب 88 من أبواب نکاح العبید و الإماء،الحدیث الأوّل،و الحدیث منقول فی الکتب الأربعة.و ما نقله المؤلّف قدّس سرّه أوفق بما فی الکافی 5:211،الحدیث 12.</w:t>
      </w:r>
    </w:p>
  </w:footnote>
  <w:footnote w:id="3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3:233.</w:t>
      </w:r>
    </w:p>
  </w:footnote>
  <w:footnote w:id="3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هی علی ما ذکرها المحقّق المامقانی قدّس سرّه-فی غایة الآمال:357-:أربعة.</w:t>
      </w:r>
    </w:p>
  </w:footnote>
  <w:footnote w:id="3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فی«ش»:بتعیّن.</w:t>
      </w:r>
    </w:p>
  </w:footnote>
  <w:footnote w:id="3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فی«ف»و«ن»و مصحّحة«ص»:و ابنها.</w:t>
      </w:r>
    </w:p>
  </w:footnote>
  <w:footnote w:id="3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فی«ف»و«خ»و مصحّحة«ن»و نسخة بدل«ص»،و فی غیرها: الولید،و فی«ص»:الولیدة.</w:t>
      </w:r>
    </w:p>
  </w:footnote>
  <w:footnote w:id="3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ذکرها فی بیع الحیوان کما تقدّم التخریج فی الصفحة 353.</w:t>
      </w:r>
    </w:p>
  </w:footnote>
  <w:footnote w:id="3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مصحّحة«ن»و«ص»،و فی النسخ:منه.</w:t>
      </w:r>
    </w:p>
  </w:footnote>
  <w:footnote w:id="3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فی المناهل:287،و مقابس الأنوار:121،و الجواهر 22:276.</w:t>
      </w:r>
    </w:p>
  </w:footnote>
  <w:footnote w:id="3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14:211،الباب 7 من أبواب عقد النکاح و أولیاء العقد، الحدیث 3.و الصفحة 221،الباب 13 من الأبواب،الحدیث 3.و الصفحة 523، الباب 24 من أبواب نکاح العبید و الإماء،الحدیث 1 و 2 و غیرها.</w:t>
      </w:r>
    </w:p>
  </w:footnote>
  <w:footnote w:id="3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فی الناصریات(الجوامع الفقهیّة):247،المسألة 154.و السرائر 2: 565.و انظر کشف اللثام 2:22،و الریاض 2:81.</w:t>
      </w:r>
    </w:p>
  </w:footnote>
  <w:footnote w:id="3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14:193،الباب 157 من أبواب مقدّمات النکاح،الحدیث 1 و 3.</w:t>
      </w:r>
    </w:p>
  </w:footnote>
  <w:footnote w:id="3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غایة المراد:178.</w:t>
      </w:r>
    </w:p>
  </w:footnote>
  <w:footnote w:id="3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الریاض 1:512.</w:t>
      </w:r>
    </w:p>
  </w:footnote>
  <w:footnote w:id="3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فی«ش»و مصححة«ن»،و فی غیرهما:منه.</w:t>
      </w:r>
    </w:p>
  </w:footnote>
  <w:footnote w:id="3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13:286-287،الباب 2 من أبواب الوکالة،الحدیث 2.</w:t>
      </w:r>
    </w:p>
  </w:footnote>
  <w:footnote w:id="3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شطب فی«ص»علی«فی»و کتب فوقه«من»،و کذا أثبته العلّامة المامقانی قدّس سرّه فی شرحه(غایة الآمال:360).</w:t>
      </w:r>
    </w:p>
  </w:footnote>
  <w:footnote w:id="3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فی«ن»،«خ»و«م»و نسخة بدل«ص»:«لا یوجب»،و صحّح فی«ن» بما أثبتناه فی المتن.</w:t>
      </w:r>
    </w:p>
  </w:footnote>
  <w:footnote w:id="3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13:182،الباب الأوّل من کتاب المضاربة،الحدیث 9.</w:t>
      </w:r>
    </w:p>
  </w:footnote>
  <w:footnote w:id="3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فی«ن»،«خ»،«م»و«ع»:تلک،و صحّح فی«ن»بما أثبتناه.</w:t>
      </w:r>
    </w:p>
  </w:footnote>
  <w:footnote w:id="3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نقف علیه بعینه،نعم قال السیّد الطباطبائی قدّس سرّه فی الریاض 1:607، -بعد أن ذکر النصوص-:«و هذه النصوص مع اعتبار أسانیدها و استفاضتها و اعتضادها بعمل الأصحاب...»و قال ولده السیّد المجاهد فی المناهل(الصفحة 207):و لهم وجوه منها:ظهور الاتّفاق علیه.</w:t>
      </w:r>
    </w:p>
  </w:footnote>
  <w:footnote w:id="3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المسالک 4:345 و 352-353.</w:t>
      </w:r>
    </w:p>
  </w:footnote>
  <w:footnote w:id="3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الحدائق 21:207،و المناهل:207.</w:t>
      </w:r>
    </w:p>
  </w:footnote>
  <w:footnote w:id="3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مصحّحة«ن»،و فی سائر النسخ:و بمقتضی.</w:t>
      </w:r>
    </w:p>
  </w:footnote>
  <w:footnote w:id="3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قوله تعالی: إِلاّٰ أَنْ تَکُونَ تِجٰارَةً عَنْ تَرٰاضٍ ،و قوله صلّی اللّه علیه و آله و سلم: «لا یحلّ مال امرئ مسلم إلّا عن طیب نفسه»،و غیرهما ممّا تقدّم فی الصفحة 307 و ما بعدها.</w:t>
      </w:r>
    </w:p>
  </w:footnote>
  <w:footnote w:id="3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یدلّ علیه قوله تعالی: لاٰ تَأْکُلُوا أَمْوٰالَکُمْ بَیْنَکُمْ بِالْبٰاطِلِ البقرة:188، و النساء:29.</w:t>
      </w:r>
    </w:p>
  </w:footnote>
  <w:footnote w:id="3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6:57-58،الباب 2 من أبواب من تجب علیه الزکاة، الحدیث 2 و 7 و 8،و 12:191،الباب 75 من أبواب ما یکتسب به، الحدیث 2 و 3.</w:t>
      </w:r>
    </w:p>
  </w:footnote>
  <w:footnote w:id="3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المحقّق الثانی فی جامع المقاصد 3:5،و الشهید الثانی فی المسالک 1:357،و السیّد العاملی فی المدارک 5:20،و المحدّث البحرانی فی الحدائق 12:26.</w:t>
      </w:r>
    </w:p>
  </w:footnote>
  <w:footnote w:id="3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الدروس 1:229.</w:t>
      </w:r>
    </w:p>
  </w:footnote>
  <w:footnote w:id="3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الشیخ فی النهایة:175،و المحقّق فی الشرائع 1:140 و غیرها،و العلّامة فی القواعد 1:51 و غیرها،و قال السیّد الطباطبائی فی الریاض(5:38): و أطلق الماتن و کثیر أنّ الربح للیتیم.</w:t>
      </w:r>
    </w:p>
  </w:footnote>
  <w:footnote w:id="3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فی«ف»و مصحّحة«ن»،و فی«ش»:«یستأنس لها»،و فی مصحّحة «ص»:«یستأنس بها للمسألة»،و فی سائر النسخ:یستأنس بها المسألة.</w:t>
      </w:r>
    </w:p>
  </w:footnote>
  <w:footnote w:id="3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النسخ،لکنّ الموجود فی الروایة-و هی عن أبی جعفر علیه السلام-: «عن عبدٍ لقومٍ،مأذون له فی التجارة،دفع إلیه رجل ألف درهم،فقال:اشترِ بها نسمة و أعتقها عنّی و حجّ عنّی بالباقی،ثمّ مات صاحب الألف،فانطلق العبد فاشتری أباه فأعتقه عن المیّت و دفع إلیه الباقی یحجّ عن المیّت،فحجّ عنه،فبلغ ذلک موالی أبیه و موالیه و ورثة المیّت،فاختصموا جمیعاً فی الألف...».</w:t>
      </w:r>
    </w:p>
  </w:footnote>
  <w:footnote w:id="3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13:53،الباب 25 من أبواب بیع الحیوان.</w:t>
      </w:r>
    </w:p>
  </w:footnote>
  <w:footnote w:id="3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فی«ص»و«ش»:یردّ.</w:t>
      </w:r>
    </w:p>
  </w:footnote>
  <w:footnote w:id="3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12:392،الباب 17 من أبواب أحکام العقود.</w:t>
      </w:r>
    </w:p>
  </w:footnote>
  <w:footnote w:id="3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النسخ،و الصواب:روایة عبد الرحمن بن أبی عبد اللّه-الموثّقة بابن سماعة-عن أبی عبد اللّه علیه السلام.</w:t>
      </w:r>
    </w:p>
  </w:footnote>
  <w:footnote w:id="3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فی«ص»و المصدر،و فی«ش»بدل«فیشتری»:لیشتری،و العبارة فی سائر النسخ هکذا:«فذهب لیشتری المتاع»،و صحّحت فی بعضها بما أثبتناه.</w:t>
      </w:r>
    </w:p>
  </w:footnote>
  <w:footnote w:id="3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12:394،الباب 20 من أبواب أحکام العقود،الحدیث 2.</w:t>
      </w:r>
    </w:p>
  </w:footnote>
  <w:footnote w:id="3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أی:الاشتراء الصادر من السمسار،و صحّحت فی«ن»ب:اشتراء السمسار.</w:t>
      </w:r>
    </w:p>
  </w:footnote>
  <w:footnote w:id="3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فی«ف»:فیوفّیه.</w:t>
      </w:r>
    </w:p>
  </w:footnote>
  <w:footnote w:id="3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14:523-524،الباب 24 من أبواب نکاح العبید و الإماء،الحدیث 1 و 2.</w:t>
      </w:r>
    </w:p>
  </w:footnote>
  <w:footnote w:id="3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العبارة فی«ف»هکذا:إنّ المانع الذی لا یرجی زواله.</w:t>
      </w:r>
    </w:p>
  </w:footnote>
  <w:footnote w:id="3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النساء:29.</w:t>
      </w:r>
    </w:p>
  </w:footnote>
  <w:footnote w:id="3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ترد«الحصر»فی«ف».</w:t>
      </w:r>
    </w:p>
  </w:footnote>
  <w:footnote w:id="3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التبیان 3:178،و مجمع البیان 2:36،و الکشّاف 1:502.</w:t>
      </w:r>
    </w:p>
  </w:footnote>
  <w:footnote w:id="3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فی«ف»و«م»و مصحّحة«ص»،و فی سائر النسخ:لکونه.</w:t>
      </w:r>
    </w:p>
  </w:footnote>
  <w:footnote w:id="3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النساء:23.</w:t>
      </w:r>
    </w:p>
  </w:footnote>
  <w:footnote w:id="3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غیر«ص»:لیکون،و هو سهو.</w:t>
      </w:r>
    </w:p>
  </w:footnote>
  <w:footnote w:id="3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غیر«ف»:یکون.</w:t>
      </w:r>
    </w:p>
  </w:footnote>
  <w:footnote w:id="3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غیر«ص»:یصیر.</w:t>
      </w:r>
    </w:p>
  </w:footnote>
  <w:footnote w:id="3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فی«ف»و المصدر،و فی سائر النسخ:بالتصرّف.</w:t>
      </w:r>
    </w:p>
  </w:footnote>
  <w:footnote w:id="3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2:37.</w:t>
      </w:r>
    </w:p>
  </w:footnote>
  <w:footnote w:id="3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سنن البیهقی 5:267،317 و 339.</w:t>
      </w:r>
    </w:p>
  </w:footnote>
  <w:footnote w:id="3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العمال 9:641،الحدیث 27779،و راجع المستدرک 13:230،الباب الأوّل من أبواب عقد البیع و شروطه،الحدیث 3 و 4.</w:t>
      </w:r>
    </w:p>
  </w:footnote>
  <w:footnote w:id="3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12:252،الباب 2 من أبواب عقد البیع و شروطه.</w:t>
      </w:r>
    </w:p>
  </w:footnote>
  <w:footnote w:id="3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12:251،الباب الأوّل من أبواب عقد البیع و شروطه،الحدیث 8.</w:t>
      </w:r>
    </w:p>
  </w:footnote>
  <w:footnote w:id="3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النیل»بلیدة فی سواد الکوفة یخترقها خلیج کبیر یتخلّج من الفرات الکبیر،حفره الحجّاج بن یوسف و سمّاه بنیل مصر،معجم البلدان 5:334«نیل».</w:t>
      </w:r>
    </w:p>
  </w:footnote>
  <w:footnote w:id="3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مصحّحة«ن»و المصدر:أرضهم.</w:t>
      </w:r>
    </w:p>
  </w:footnote>
  <w:footnote w:id="3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النسخ:«الأسناف»،و فی الکافی و التهذیب و مصحّحة بعض النسخ: «الأستان»،و ما أثبتناه مطابق لما نقله الشهید عن بعض النسخ المصحّحة فی شرحه(هدایة الطالب:274)،و لعلّ ما نقله الشهیدی أقرب إلی الصواب؛لأنّ الأسیاف-کما فی القاموس-جمع سِیف-بالکسر-و هو ساحل البحر و ساحل الوادی،أو کلّ ساحل،فأصحاب السیف هم أصحاب ساحل النیل-الذی تقدّم تفسیره-و یؤیّده قول السائل:«أرض بفم النیل»أی فم الخلیج.</w:t>
      </w:r>
    </w:p>
  </w:footnote>
  <w:footnote w:id="3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12:249،الباب الأوّل من أبواب عقد البیع و شروطه،الحدیث 3 بتفاوت یسیر.</w:t>
      </w:r>
    </w:p>
  </w:footnote>
  <w:footnote w:id="3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مصحّحة«ص»و المصادر الحدیثیة:الفضیل.</w:t>
      </w:r>
    </w:p>
  </w:footnote>
  <w:footnote w:id="3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فی«ف»و«ن»و المصدر،و فی سائر النسخ:«إلیها»،إلّا أنّه صحّح فی بعضها بما أثبتناه.</w:t>
      </w:r>
    </w:p>
  </w:footnote>
  <w:footnote w:id="3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ترد«أنّها»فی غیر«ف»،لکنّها استدرکت فی«م»و«ص»بلفظ: «بأنّها»،و فی«ن»کما أثبتناه.</w:t>
      </w:r>
    </w:p>
  </w:footnote>
  <w:footnote w:id="3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فی«ف»:قد قضت المال و لم تقضه.</w:t>
      </w:r>
    </w:p>
  </w:footnote>
  <w:footnote w:id="3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کلمة«له»من«ن»،«م»و«ص»و المصدر.</w:t>
      </w:r>
    </w:p>
  </w:footnote>
  <w:footnote w:id="3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12:249،الباب الأوّل من أبواب عقد البیع و شروطه،الحدیث 2.</w:t>
      </w:r>
    </w:p>
  </w:footnote>
  <w:footnote w:id="3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13:60،الباب 5 من أبواب السلف.</w:t>
      </w:r>
    </w:p>
  </w:footnote>
  <w:footnote w:id="3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1:463،و حکاه عنه السیّد العاملی فی مفتاح الکرامة 4:186.</w:t>
      </w:r>
    </w:p>
  </w:footnote>
  <w:footnote w:id="3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تأتیان فی الصفحة 447.</w:t>
      </w:r>
    </w:p>
  </w:footnote>
  <w:footnote w:id="3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فی«ف»و«ن»،و فی غیرهما:بإجازة.</w:t>
      </w:r>
    </w:p>
  </w:footnote>
  <w:footnote w:id="3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سیجیء فی الصفحة 447 و 452.</w:t>
      </w:r>
    </w:p>
  </w:footnote>
  <w:footnote w:id="3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350 و ما بعدها.</w:t>
      </w:r>
    </w:p>
  </w:footnote>
  <w:footnote w:id="3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المامقانی قدّس سرّه:الروایتان عبارة عن توقیع العسکری علیه السلام إلی الصفّار،و ما عن الحمیری.(غایة الآمال:364)و استظهر السیّد الیزدی قدّس سرّه أنّ المراد بهما روایتا خالد و یحیی الآتیتان فی بیع الفضولی لنفسه،ثمّ قال:و أمّا دعوی أنّ المراد بهما التوقیعان،فهی کما تری.(حاشیة المکاسب:140)و قال الشهیدی قدّس سرّه أیضاً:یعنی بهما روایتی خالد و یحیی الآتیتین.(هدایة الطالب: 275).</w:t>
      </w:r>
    </w:p>
  </w:footnote>
  <w:footnote w:id="3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بهما:النبویّان السابقان،کما قاله المامقانی قدّس سرّه فی غایة الآمال:364.</w:t>
      </w:r>
    </w:p>
  </w:footnote>
  <w:footnote w:id="3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ترد«بنفسه»فی«ف».</w:t>
      </w:r>
    </w:p>
  </w:footnote>
  <w:footnote w:id="3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2:14.</w:t>
      </w:r>
    </w:p>
  </w:footnote>
  <w:footnote w:id="3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1:124.</w:t>
      </w:r>
    </w:p>
  </w:footnote>
  <w:footnote w:id="3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ظاهر«ف»و مصحّحة«ن»،و فی غیرهما:تخصیصها.</w:t>
      </w:r>
    </w:p>
  </w:footnote>
  <w:footnote w:id="3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أنّه فی المصادر الحدیثیة:الفضیل.</w:t>
      </w:r>
    </w:p>
  </w:footnote>
  <w:footnote w:id="3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فی«ف»و«ص»و مصحّحة«ن»،و فی سائر النسخ:یؤیّد.</w:t>
      </w:r>
    </w:p>
  </w:footnote>
  <w:footnote w:id="3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قوله علیه السلام:«و قد وجب الشراء من البائع علی ما یملک»،راجع الوسائل 12:252،الباب 2 من أبواب عقد البیع و شروطه،الحدیث الأوّل.</w:t>
      </w:r>
    </w:p>
  </w:footnote>
  <w:footnote w:id="3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3:168،کتاب البیوع،المسألة 275.</w:t>
      </w:r>
    </w:p>
  </w:footnote>
  <w:footnote w:id="3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الغنیة:207.</w:t>
      </w:r>
    </w:p>
  </w:footnote>
  <w:footnote w:id="3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2:415.</w:t>
      </w:r>
    </w:p>
  </w:footnote>
  <w:footnote w:id="3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فی«ف»و نسخة بدل«خ»و«ع»،و فی سائر النسخ:«أتباع»،إلّا أنّه صحّح فی«ن»بما أثبتناه.</w:t>
      </w:r>
    </w:p>
  </w:footnote>
  <w:footnote w:id="3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التخریج عنهم جمیعاً فی الصفحة 349-350.</w:t>
      </w:r>
    </w:p>
  </w:footnote>
  <w:footnote w:id="3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2:299،و انظر الوسائل 6:377،الباب 3 من أبواب الأنفال، الحدیث 6 و ذیل الحدیث 7.</w:t>
      </w:r>
    </w:p>
  </w:footnote>
  <w:footnote w:id="3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الإیضاح 1:417،و المناهل:288،و مقابس الأنوار:128.</w:t>
      </w:r>
    </w:p>
  </w:footnote>
  <w:footnote w:id="3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المسالک 3:156.</w:t>
      </w:r>
    </w:p>
  </w:footnote>
  <w:footnote w:id="3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فی«ف»و مصحّحة«ن»،و فی سائر النسخ:رضا المالک.</w:t>
      </w:r>
    </w:p>
  </w:footnote>
  <w:footnote w:id="3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فی«ف»:أنّ.</w:t>
      </w:r>
    </w:p>
  </w:footnote>
  <w:footnote w:id="3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فی«م»و«ش»بدل«أو»:و.</w:t>
      </w:r>
    </w:p>
  </w:footnote>
  <w:footnote w:id="3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یجیء إن شاء اللّٰه فی الجزء الرابع من طبعتنا هذه عند قول المؤلف قدّس سرّه: «الثالث من شروط العوضین القدرة علی التسلیم».</w:t>
      </w:r>
    </w:p>
  </w:footnote>
  <w:footnote w:id="3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فی«ف»:أنّ.</w:t>
      </w:r>
    </w:p>
  </w:footnote>
  <w:footnote w:id="3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إیضاح الفوائد 1:417.</w:t>
      </w:r>
    </w:p>
  </w:footnote>
  <w:footnote w:id="3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البیهقی 7:127.</w:t>
      </w:r>
    </w:p>
  </w:footnote>
  <w:footnote w:id="3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غیر«ف»زیادة«إن»،و شطب علیها فی«م».</w:t>
      </w:r>
    </w:p>
  </w:footnote>
  <w:footnote w:id="3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2:588.</w:t>
      </w:r>
    </w:p>
  </w:footnote>
  <w:footnote w:id="3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مقابس الأنوار:121.</w:t>
      </w:r>
    </w:p>
  </w:footnote>
  <w:footnote w:id="3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النسخ:«حمل»،و الصواب ما أثبتناه،کما فی مصحّحة«ن».</w:t>
      </w:r>
    </w:p>
  </w:footnote>
  <w:footnote w:id="3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ترد«الدالّة»فی«ص».</w:t>
      </w:r>
    </w:p>
  </w:footnote>
  <w:footnote w:id="3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4:69.</w:t>
      </w:r>
    </w:p>
  </w:footnote>
  <w:footnote w:id="3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فی الصفحة 351.</w:t>
      </w:r>
    </w:p>
  </w:footnote>
  <w:footnote w:id="3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جامع المقاصد 8:293،و المسالک 5:300،و مفتاح الکرامة 7: 632.</w:t>
      </w:r>
    </w:p>
  </w:footnote>
  <w:footnote w:id="3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ترد«حینئذ»فی«ف».</w:t>
      </w:r>
    </w:p>
  </w:footnote>
  <w:footnote w:id="3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فی الصفحة 353.</w:t>
      </w:r>
    </w:p>
  </w:footnote>
  <w:footnote w:id="3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14:523 و 525،الباب 24 و 25 من أبواب نکاح العبید و الإماء و غیرهما.</w:t>
      </w:r>
    </w:p>
  </w:footnote>
  <w:footnote w:id="3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فی«م»،«ص»و«ش»زیادة:حینئذٍ.</w:t>
      </w:r>
    </w:p>
  </w:footnote>
  <w:footnote w:id="3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فی الصفحة 360.</w:t>
      </w:r>
    </w:p>
  </w:footnote>
  <w:footnote w:id="3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358-360.</w:t>
      </w:r>
    </w:p>
  </w:footnote>
  <w:footnote w:id="3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فی موثّقة جمیل المتقدّمة فی الصفحة 358.</w:t>
      </w:r>
    </w:p>
  </w:footnote>
  <w:footnote w:id="3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فی«م»و«ش»:ما ذکره.</w:t>
      </w:r>
    </w:p>
  </w:footnote>
  <w:footnote w:id="3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فی الصفحة 361.</w:t>
      </w:r>
    </w:p>
  </w:footnote>
  <w:footnote w:id="3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فی المسألة الأُولی و الثانیة.</w:t>
      </w:r>
    </w:p>
  </w:footnote>
  <w:footnote w:id="3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فی الصفحة 356.</w:t>
      </w:r>
    </w:p>
  </w:footnote>
  <w:footnote w:id="3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358-363.</w:t>
      </w:r>
    </w:p>
  </w:footnote>
  <w:footnote w:id="3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فی الصفحة 353.</w:t>
      </w:r>
    </w:p>
  </w:footnote>
  <w:footnote w:id="3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فی«ف»و مصحّحة«ن»و«ص»،و فی سائر النسخ:علی بیع.</w:t>
      </w:r>
    </w:p>
  </w:footnote>
  <w:footnote w:id="3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تقدّمتا فی الصفحة 365.</w:t>
      </w:r>
    </w:p>
  </w:footnote>
  <w:footnote w:id="3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کلمة«و غیرهما»من مصحّحة«ن»،و قد أثبتها المامقانی قدّس سرّه فی متن شرحه(غایة الآمال:367)و یقتضیها السیاق أیضاً.</w:t>
      </w:r>
    </w:p>
  </w:footnote>
  <w:footnote w:id="3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الصفحة 373.</w:t>
      </w:r>
    </w:p>
  </w:footnote>
  <w:footnote w:id="3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فی«ص»،و فی غیرها:فلم.</w:t>
      </w:r>
    </w:p>
  </w:footnote>
  <w:footnote w:id="3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w:t>
      </w:r>
    </w:p>
  </w:footnote>
  <w:footnote w:id="3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فی«ف»،و العبارة فی غیرها هکذا:و قد أجاب عن هذا المحقّق القمّی رحمه اللّه.</w:t>
      </w:r>
    </w:p>
  </w:footnote>
  <w:footnote w:id="3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الشتات 2:319،و غنائم الأیام:554.</w:t>
      </w:r>
    </w:p>
  </w:footnote>
  <w:footnote w:id="3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جامع الشتات 2:320 و ما بعدها،و غنائم الأیام:555.</w:t>
      </w:r>
    </w:p>
  </w:footnote>
  <w:footnote w:id="3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فی«ش»:بکونه.</w:t>
      </w:r>
    </w:p>
  </w:footnote>
  <w:footnote w:id="3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جامع الشتات 2:276،و فی الصفحة 318 منه نقل هذا القول عن صاحب کشف الرموز وفاقاً لشیخه المحقّق،و انظر أیضاً غنائم الأیام:541 و 554 أیضاً.</w:t>
      </w:r>
    </w:p>
  </w:footnote>
  <w:footnote w:id="3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مصحّحة«ن»زیادة:فی قبوله.</w:t>
      </w:r>
    </w:p>
  </w:footnote>
  <w:footnote w:id="3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غیر«ش»و«ص»:«قول»،و صحّح فی هامش«ن»بما أثبتناه.</w:t>
      </w:r>
    </w:p>
  </w:footnote>
  <w:footnote w:id="3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یحکِ ذلک عن شیخه-و هو المحقّق الحلّی قدّس سرّه-بل حکم نفسه بالملازمة بین القول بعدم لزوم اللفظ فی البیع و کون الإجازة بمثابة عقد ثانٍ فقط.</w:t>
      </w:r>
    </w:p>
  </w:footnote>
  <w:footnote w:id="3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العبارة فی«ش»هکذا:«بیع مستقلّ بغیر لفظ البیع و هو قائم...»،و هکذا فی مصحّحة«ن»إلّا أنّها بلفظ«فهو قائم».</w:t>
      </w:r>
    </w:p>
  </w:footnote>
  <w:footnote w:id="3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غیر«ف»:المقدّم.</w:t>
      </w:r>
    </w:p>
  </w:footnote>
  <w:footnote w:id="3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کشف الرموز 1:445-446.</w:t>
      </w:r>
    </w:p>
  </w:footnote>
  <w:footnote w:id="3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فی«ص»و«ش»و مصحّحة«ن»،و فی سائر النسخ بدل«فلا بدّ له»: «فکذا بدله»،و فی مصحّحة«م»:فکذا لا بدّ من.</w:t>
      </w:r>
    </w:p>
  </w:footnote>
  <w:footnote w:id="3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فی«ص»،و فی غیرها:تردّد.</w:t>
      </w:r>
    </w:p>
  </w:footnote>
  <w:footnote w:id="3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فی«ش»و مصحّحة«ن»،«ع»و«ص»،و فی سائر النسخ:تملیک.</w:t>
      </w:r>
    </w:p>
  </w:footnote>
  <w:footnote w:id="3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فی«ف»:نسبة.</w:t>
      </w:r>
    </w:p>
  </w:footnote>
  <w:footnote w:id="3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فی«ف»و مصحّحة«م»و«ن»،و فی«ش»و مصحّحة«ع»:بتملّک، و فی«خ»و مصحّحة«ص»:تملّک.</w:t>
      </w:r>
    </w:p>
  </w:footnote>
  <w:footnote w:id="3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1:463.</w:t>
      </w:r>
    </w:p>
  </w:footnote>
  <w:footnote w:id="3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فی«ف»:التملیک.</w:t>
      </w:r>
    </w:p>
  </w:footnote>
  <w:footnote w:id="3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مقابس الأنوار:131-132.</w:t>
      </w:r>
    </w:p>
  </w:footnote>
  <w:footnote w:id="3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فی«ف»و«ش»و مصحّحة«ن»،و فی سائر النسخ:توقّف.</w:t>
      </w:r>
    </w:p>
  </w:footnote>
  <w:footnote w:id="3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فی«ع»و نسخة بدل«ن»،«خ»و«م»:«المالک»،و فی نسخة بدل«ع»: الملک.</w:t>
      </w:r>
    </w:p>
  </w:footnote>
  <w:footnote w:id="3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فی«ف»و«خ»و مصحّحة«ع»:للمثمن.</w:t>
      </w:r>
    </w:p>
  </w:footnote>
  <w:footnote w:id="3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فی«ف»،«خ»و«ع»:للمثمن.</w:t>
      </w:r>
    </w:p>
  </w:footnote>
  <w:footnote w:id="3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فی«ف»زیادة:هو.</w:t>
      </w:r>
    </w:p>
  </w:footnote>
  <w:footnote w:id="3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فی«ف»،«خ»و«ع»:المثمن.</w:t>
      </w:r>
    </w:p>
  </w:footnote>
  <w:footnote w:id="3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فی«ف»،«خ»و«ع»:المثمن.</w:t>
      </w:r>
    </w:p>
  </w:footnote>
  <w:footnote w:id="3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فی«ص»و مصحّحتی«م»و«ن»،و فی سائر النسخ:الثمن.</w:t>
      </w:r>
    </w:p>
  </w:footnote>
  <w:footnote w:id="3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شرح القواعد(مخطوط):الورقة 60.</w:t>
      </w:r>
    </w:p>
  </w:footnote>
  <w:footnote w:id="3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المحقّق التستری فی مقابس الأنوار:132.</w:t>
      </w:r>
    </w:p>
  </w:footnote>
  <w:footnote w:id="3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w:t>
      </w:r>
    </w:p>
  </w:footnote>
  <w:footnote w:id="3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فی«ش»بدل«أو»:و.</w:t>
      </w:r>
    </w:p>
  </w:footnote>
  <w:footnote w:id="3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فی«ن»:یملکه.</w:t>
      </w:r>
    </w:p>
  </w:footnote>
  <w:footnote w:id="3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ترد«آن»فی«ش»،و شطب علیها فی«م».</w:t>
      </w:r>
    </w:p>
  </w:footnote>
  <w:footnote w:id="3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فی«ش»بدل«أو»:و.</w:t>
      </w:r>
    </w:p>
  </w:footnote>
  <w:footnote w:id="3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فی«ع»و«ص»:بتملّکه.</w:t>
      </w:r>
    </w:p>
  </w:footnote>
  <w:footnote w:id="3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فی«ف»،«خ»و«ع»:الثمن.</w:t>
      </w:r>
    </w:p>
  </w:footnote>
  <w:footnote w:id="3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فی«ف»زیادة:فی.</w:t>
      </w:r>
    </w:p>
  </w:footnote>
  <w:footnote w:id="3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الصفحة 83 و 85.</w:t>
      </w:r>
    </w:p>
  </w:footnote>
  <w:footnote w:id="3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فی«ص»و«ش»و مصحّحة«ع»،و فی سائر النسخ:یقع.</w:t>
      </w:r>
    </w:p>
  </w:footnote>
  <w:footnote w:id="3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کلمة«قصد»من«ش»و مصحّحة«ن».</w:t>
      </w:r>
    </w:p>
  </w:footnote>
  <w:footnote w:id="3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فی«ف»:المعاوضة.</w:t>
      </w:r>
    </w:p>
  </w:footnote>
  <w:footnote w:id="3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فی«ف»ظاهراً:المبدل.</w:t>
      </w:r>
    </w:p>
  </w:footnote>
  <w:footnote w:id="3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ترد«تأثیر»فی«ف».</w:t>
      </w:r>
    </w:p>
  </w:footnote>
  <w:footnote w:id="3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القواعد 1:151 و 166،و التذکرة 1:473.</w:t>
      </w:r>
    </w:p>
  </w:footnote>
  <w:footnote w:id="3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ادّعاه صاحب الجواهر فی الجواهر 23:174.</w:t>
      </w:r>
    </w:p>
  </w:footnote>
  <w:footnote w:id="3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فی«ف»و«ش»و مصحّحة«ن»،و فی غیرها:بعدم.</w:t>
      </w:r>
    </w:p>
  </w:footnote>
  <w:footnote w:id="3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المبسوط 2:121.</w:t>
      </w:r>
    </w:p>
  </w:footnote>
  <w:footnote w:id="3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2:32.</w:t>
      </w:r>
    </w:p>
  </w:footnote>
  <w:footnote w:id="3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کالقاضی فی المهذّب 1:387،و الشهید الثانی فی المسالک 3:252،و انظر مفتاح الکرامة 4:715.</w:t>
      </w:r>
    </w:p>
  </w:footnote>
  <w:footnote w:id="3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الصفحة 471.</w:t>
      </w:r>
    </w:p>
  </w:footnote>
  <w:footnote w:id="3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فی«ف»و«ش»،و فی غیرهما:«یجعل»،إلّا أنّه صحّح فی أکثر النسخ بما أثبتناه.</w:t>
      </w:r>
    </w:p>
  </w:footnote>
  <w:footnote w:id="3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فی«ش»،و فی غیرها:«تملیک»،لکن صحّح فی«ن»،«م»و«ص» بما أثبتناه.</w:t>
      </w:r>
    </w:p>
  </w:footnote>
  <w:footnote w:id="3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فی«ش»و مصحّحة«ع»:للمثمن.</w:t>
      </w:r>
    </w:p>
  </w:footnote>
  <w:footnote w:id="3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إیضاح الفوائد 1:417.</w:t>
      </w:r>
    </w:p>
  </w:footnote>
  <w:footnote w:id="3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383.</w:t>
      </w:r>
    </w:p>
  </w:footnote>
  <w:footnote w:id="3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حکی ذلک عنهم الفخر فی الإیضاح کما تقدّم آنفاً،و أُنظر مفتاح الکرامة 4:193.</w:t>
      </w:r>
    </w:p>
  </w:footnote>
  <w:footnote w:id="3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ترد«به فیکون البیع بلا ثمن»فی«ف».</w:t>
      </w:r>
    </w:p>
  </w:footnote>
  <w:footnote w:id="3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1:463.</w:t>
      </w:r>
    </w:p>
  </w:footnote>
  <w:footnote w:id="3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بقائه»من«ف»و«ش»و مصحّحة«ن».</w:t>
      </w:r>
    </w:p>
  </w:footnote>
  <w:footnote w:id="3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غیر«ش»:«لأنّ»،لکنّه صحّح فی أکثر النسخ بما أثبتناه.</w:t>
      </w:r>
    </w:p>
  </w:footnote>
  <w:footnote w:id="3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الصفحة 469 و ما بعدها.</w:t>
      </w:r>
    </w:p>
  </w:footnote>
  <w:footnote w:id="3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مصحّحة«ن»:للمالک.</w:t>
      </w:r>
    </w:p>
  </w:footnote>
  <w:footnote w:id="3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فی«ف»:فاسد.</w:t>
      </w:r>
    </w:p>
  </w:footnote>
  <w:footnote w:id="3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الریاض 1:512،و التذکرة 1:463،و تقدّمت عبارة التذکرة فی الصفحة 367.</w:t>
      </w:r>
    </w:p>
  </w:footnote>
  <w:footnote w:id="3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کلمة«دیناً»من«ف»و«ش».</w:t>
      </w:r>
    </w:p>
  </w:footnote>
  <w:footnote w:id="3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غیر«ش»زیادة«کون»،لکن شطب علیها فی«ن».</w:t>
      </w:r>
    </w:p>
  </w:footnote>
  <w:footnote w:id="3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الصفحة 384.</w:t>
      </w:r>
    </w:p>
  </w:footnote>
  <w:footnote w:id="3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فی«ف»،«خ»و«ش»،و فی سائر النسخ:ملکیّته.</w:t>
      </w:r>
    </w:p>
  </w:footnote>
  <w:footnote w:id="3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فی«ف»،«ن»و«خ»زیادة:له.</w:t>
      </w:r>
    </w:p>
  </w:footnote>
  <w:footnote w:id="3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فی«ف»،«ن»و«ع»:العقد.</w:t>
      </w:r>
    </w:p>
  </w:footnote>
  <w:footnote w:id="3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مصحّحة«ن»:بوقوع.</w:t>
      </w:r>
    </w:p>
  </w:footnote>
  <w:footnote w:id="3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2:205.</w:t>
      </w:r>
    </w:p>
  </w:footnote>
  <w:footnote w:id="3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إیضاح الفوائد 2:347.</w:t>
      </w:r>
    </w:p>
  </w:footnote>
  <w:footnote w:id="3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8:251 و 252.</w:t>
      </w:r>
    </w:p>
  </w:footnote>
  <w:footnote w:id="3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نقف علیه فی التنقیح.</w:t>
      </w:r>
    </w:p>
  </w:footnote>
  <w:footnote w:id="3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المسالک 5:300،و انظر المسالک 4:379 أیضاً،و حکاه عنهم المحقّق التستری فی مقابس الأنوار:137.</w:t>
      </w:r>
    </w:p>
  </w:footnote>
  <w:footnote w:id="3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القواعد 1:247.</w:t>
      </w:r>
    </w:p>
  </w:footnote>
  <w:footnote w:id="3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المبسوط 2:386 و غیره من المواضع.</w:t>
      </w:r>
    </w:p>
  </w:footnote>
  <w:footnote w:id="3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نقف علی الناسب،انظر الشرائع 2:142،و القواعد 1:247،و الریاض 1:607،و الجواهر 26:384.</w:t>
      </w:r>
    </w:p>
  </w:footnote>
  <w:footnote w:id="3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غیر«ش»زیادة:«لازم»،إلّا أنّه شطب علیها فی«ن»،«خ»و«م».</w:t>
      </w:r>
    </w:p>
  </w:footnote>
  <w:footnote w:id="3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فی«ص»:لغیره.</w:t>
      </w:r>
    </w:p>
  </w:footnote>
  <w:footnote w:id="3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ترد«یقع»فی غیر«ش»،إلّا أنّها استدرکت فی«ن»،«م»و«ص».</w:t>
      </w:r>
    </w:p>
  </w:footnote>
  <w:footnote w:id="3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فی«ص»و مصحّحة«ن»و«م»،و فی سائر النسخ:لکلّ.</w:t>
      </w:r>
    </w:p>
  </w:footnote>
  <w:footnote w:id="3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المغنی؛لابن قدامة 4:227.</w:t>
      </w:r>
    </w:p>
  </w:footnote>
  <w:footnote w:id="3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فتح العزیز(المطبوع ضمن المجموع)8:122،و المجموع 9:260.</w:t>
      </w:r>
    </w:p>
  </w:footnote>
  <w:footnote w:id="3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المجموع 9:260،و فتح العزیز 8:122 و 123،و حلیة العلماء 4: 77.</w:t>
      </w:r>
    </w:p>
  </w:footnote>
  <w:footnote w:id="3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فی«خ»،«ع»و«ص»:«ینفذ»،لکن صحّح فی«ع»بما فی المتن.</w:t>
      </w:r>
    </w:p>
  </w:footnote>
  <w:footnote w:id="3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1:463.</w:t>
      </w:r>
    </w:p>
  </w:footnote>
  <w:footnote w:id="3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الصفحة 381.</w:t>
      </w:r>
    </w:p>
  </w:footnote>
  <w:footnote w:id="3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فی«ش»و«ص»،و فی غیرهما:«کغیر»،إلّا أنّها صحّحت فی أکثر النسخ بما فی المتن.</w:t>
      </w:r>
    </w:p>
  </w:footnote>
  <w:footnote w:id="3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ترد«قهراً»فی«ف».</w:t>
      </w:r>
    </w:p>
  </w:footnote>
  <w:footnote w:id="3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فی«ش»و مصحّحة«ن»،و فی سائر النسخ بدل:«ففیه مع»:فمع.</w:t>
      </w:r>
    </w:p>
  </w:footnote>
  <w:footnote w:id="3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تقدّما فی الصفحة 391.</w:t>
      </w:r>
    </w:p>
  </w:footnote>
  <w:footnote w:id="3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تقدّما فی الصفحة 391.</w:t>
      </w:r>
    </w:p>
  </w:footnote>
  <w:footnote w:id="3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ما نقله العلّامة عن علمائنا فی الصفحة السابقة،بقوله:«و إن ردّ نفذ عن المباشر».</w:t>
      </w:r>
    </w:p>
  </w:footnote>
  <w:footnote w:id="3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البقرة:275.</w:t>
      </w:r>
    </w:p>
  </w:footnote>
  <w:footnote w:id="3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فی الصفحة 351.</w:t>
      </w:r>
    </w:p>
  </w:footnote>
  <w:footnote w:id="3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استدلّ علی ذلک المحقّق التستری فی مقابس الأنوار:138.</w:t>
      </w:r>
    </w:p>
  </w:footnote>
  <w:footnote w:id="3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ذکره فی المسالک 3:156.</w:t>
      </w:r>
    </w:p>
  </w:footnote>
  <w:footnote w:id="3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القواعد و الفوائد 1:50،القاعدة 17،و 178،القاعدة 47.</w:t>
      </w:r>
    </w:p>
  </w:footnote>
  <w:footnote w:id="3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الفتاوی الهندیة 3:2.</w:t>
      </w:r>
    </w:p>
  </w:footnote>
  <w:footnote w:id="3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ترد«من»فی«ش»،و شطب علیها فی«ص».</w:t>
      </w:r>
    </w:p>
  </w:footnote>
  <w:footnote w:id="3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فی«ش»:العقد.</w:t>
      </w:r>
    </w:p>
  </w:footnote>
  <w:footnote w:id="3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تحقیق ذلک فی أوائل المسألة فی الصفحة 349 و ما بعدها.</w:t>
      </w:r>
    </w:p>
  </w:footnote>
  <w:footnote w:id="3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بدل«ن»:بمالکیة.</w:t>
      </w:r>
    </w:p>
  </w:footnote>
  <w:footnote w:id="3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غیر«ش»وصولها،إلّا أنّه صحّح فی«ن»،«ع»و«ص»بما فی المتن.</w:t>
      </w:r>
    </w:p>
  </w:footnote>
  <w:footnote w:id="3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غیر«ش»:انکشف،و لکن صحّح فی«ن».</w:t>
      </w:r>
    </w:p>
  </w:footnote>
  <w:footnote w:id="3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4:74-75.</w:t>
      </w:r>
    </w:p>
  </w:footnote>
  <w:footnote w:id="3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البهیة 3:229،و حکاه عنهما السیّد المجاهد فی المناهل:290.</w:t>
      </w:r>
    </w:p>
  </w:footnote>
  <w:footnote w:id="3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المائدة:1.</w:t>
      </w:r>
    </w:p>
  </w:footnote>
  <w:footnote w:id="3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فی«ش»:فوجب.</w:t>
      </w:r>
    </w:p>
  </w:footnote>
  <w:footnote w:id="3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غیر«ش»:فهو.</w:t>
      </w:r>
    </w:p>
  </w:footnote>
  <w:footnote w:id="3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استدلّ بهذا السیّد الطباطبائی فی الریاض 1:513،و المحقّق القمی فی جامع الشتات 2:279،و غنائم الأیام:542.</w:t>
      </w:r>
    </w:p>
  </w:footnote>
  <w:footnote w:id="3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إیضاح الفوائد 1:419.</w:t>
      </w:r>
    </w:p>
  </w:footnote>
  <w:footnote w:id="3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غیر«ش»:کونها.</w:t>
      </w:r>
    </w:p>
  </w:footnote>
  <w:footnote w:id="3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غیر«ش»:له.</w:t>
      </w:r>
    </w:p>
  </w:footnote>
  <w:footnote w:id="3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غیر«ش»:قبله.</w:t>
      </w:r>
    </w:p>
  </w:footnote>
  <w:footnote w:id="3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قرّره الشهید فی الروضة البهیة 3:229.</w:t>
      </w:r>
    </w:p>
  </w:footnote>
  <w:footnote w:id="3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غیر«ش»و«ص»:«جامعة»،إلّا أنّها صحّحت فی«ن»بما أثبتناه.</w:t>
      </w:r>
    </w:p>
  </w:footnote>
  <w:footnote w:id="3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ترد«الواو»فی«ف».</w:t>
      </w:r>
    </w:p>
  </w:footnote>
  <w:footnote w:id="3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قوّاه النراقی فی المستند 3:38.</w:t>
      </w:r>
    </w:p>
  </w:footnote>
  <w:footnote w:id="3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فی«ش»زیادة:أنّه.</w:t>
      </w:r>
    </w:p>
  </w:footnote>
  <w:footnote w:id="3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فی«ف»:للأدلّة.</w:t>
      </w:r>
    </w:p>
  </w:footnote>
  <w:footnote w:id="3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فی«ش»:لأنّه.</w:t>
      </w:r>
    </w:p>
  </w:footnote>
  <w:footnote w:id="3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وردت عبارة«اعتبار رضا إلی طیب النفس»فی«ف»هکذا:اعتبار رضا المالک فی زمان التصرّف و أنّه لا یحلّ بدون طیب النفس.</w:t>
      </w:r>
    </w:p>
  </w:footnote>
  <w:footnote w:id="3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احتمله صاحب الجواهر علی ما ذکره السیّد الیزدی فی حاشیته علی المکاسب:148،و انظر الجواهر 22:286-287.</w:t>
      </w:r>
    </w:p>
  </w:footnote>
  <w:footnote w:id="3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الفصول الغرویة:80،و مفتاح الکرامة 4:190،و المستند 2:367.</w:t>
      </w:r>
    </w:p>
  </w:footnote>
  <w:footnote w:id="3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الجواهر 22:288.</w:t>
      </w:r>
    </w:p>
  </w:footnote>
  <w:footnote w:id="3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فی«ف»،و فی سائر النسخ:«ممّا»،و قد صحّح فی«ن»و«ص» بما أثبتناه.</w:t>
      </w:r>
    </w:p>
  </w:footnote>
  <w:footnote w:id="3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الوجه الثانی من وجوه الاستدلال علی کون الإجازة کاشفة،و هو ما ذکره بقوله:«و بأنّ الإجازة متعلّقة بالعقد...إلخ»،راجع الصفحة 400.</w:t>
      </w:r>
    </w:p>
  </w:footnote>
  <w:footnote w:id="3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فی«ف»زیادة:إمضاء.</w:t>
      </w:r>
    </w:p>
  </w:footnote>
  <w:footnote w:id="3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فی«ف»:المجرّد.</w:t>
      </w:r>
    </w:p>
  </w:footnote>
  <w:footnote w:id="3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فی«ش»و مصحّحة«ن»،و فی غیرهما:و أمّا ثانیاً فلأنا.</w:t>
      </w:r>
    </w:p>
  </w:footnote>
  <w:footnote w:id="3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فی«ش»و مصحّحتی«ن»و«ص»،و فی غیرها بدل«جاعلة له»: جاعله.</w:t>
      </w:r>
    </w:p>
  </w:footnote>
  <w:footnote w:id="3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فی«ش»و مصحّحتی«ن»و«ص»،و فی غیرها:لیست.</w:t>
      </w:r>
    </w:p>
  </w:footnote>
  <w:footnote w:id="3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فی«ف»و«ش»،و فی غیرهما:«الإلزام»،إلّا أنّها صحّحت فی أکثر النسخ بما أثبتناه.</w:t>
      </w:r>
    </w:p>
  </w:footnote>
  <w:footnote w:id="3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البقرة:275.</w:t>
      </w:r>
    </w:p>
  </w:footnote>
  <w:footnote w:id="3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فی«ف»:لحلّیة الإجازة.</w:t>
      </w:r>
    </w:p>
  </w:footnote>
  <w:footnote w:id="3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فی«ع»،«ص»و«ش»:فقبل.</w:t>
      </w:r>
    </w:p>
  </w:footnote>
  <w:footnote w:id="3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فی«م»و«ع»زیادة:ماضیاً-ظ.</w:t>
      </w:r>
    </w:p>
  </w:footnote>
  <w:footnote w:id="3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غیر«ف»و«ش»:«فکأنه»،و لکن صحّح فی«خ»و«ن»بما أثبتناه.</w:t>
      </w:r>
    </w:p>
  </w:footnote>
  <w:footnote w:id="3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العبارة فی مصحّحة«ص»هکذا:فإذا صار العقد بالإجازة مؤثّراً ماضیاً...</w:t>
      </w:r>
    </w:p>
  </w:footnote>
  <w:footnote w:id="3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فی«ش»و مصحّحتی«ن»و«ص»،و فی سائر النسخ:إمضائه.</w:t>
      </w:r>
    </w:p>
  </w:footnote>
  <w:footnote w:id="3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فی«ش»و«ص»بدل«أنّ»:إذ.</w:t>
      </w:r>
    </w:p>
  </w:footnote>
  <w:footnote w:id="3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الصفحة 410 و ما بعدها.</w:t>
      </w:r>
    </w:p>
  </w:footnote>
  <w:footnote w:id="3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1:124.</w:t>
      </w:r>
    </w:p>
  </w:footnote>
  <w:footnote w:id="3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غیر«ص»و«ش»:لکلّ.</w:t>
      </w:r>
    </w:p>
  </w:footnote>
  <w:footnote w:id="3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فی«ص»کتب فوق الکلمة:اعترض علیهم-ظ.</w:t>
      </w:r>
    </w:p>
  </w:footnote>
  <w:footnote w:id="3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فی«ف»:حاشیة الروضة.</w:t>
      </w:r>
    </w:p>
  </w:footnote>
  <w:footnote w:id="3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حاشیة الروضة:358.</w:t>
      </w:r>
    </w:p>
  </w:footnote>
  <w:footnote w:id="3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الصفحة 402.</w:t>
      </w:r>
    </w:p>
  </w:footnote>
  <w:footnote w:id="3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1:124.</w:t>
      </w:r>
    </w:p>
  </w:footnote>
  <w:footnote w:id="3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حاشیة الإرشاد(مخطوط):219.</w:t>
      </w:r>
    </w:p>
  </w:footnote>
  <w:footnote w:id="3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الإیضاح 1:420،و حکاه عنه السیّد العاملی فی مفتاح الکرامة 4:189، و قال:و هو الظاهر من الفخر فی الإیضاح.</w:t>
      </w:r>
    </w:p>
  </w:footnote>
  <w:footnote w:id="3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کشف الرموز 1:445-446.</w:t>
      </w:r>
    </w:p>
  </w:footnote>
  <w:footnote w:id="3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الفائدة 8:159.</w:t>
      </w:r>
    </w:p>
  </w:footnote>
  <w:footnote w:id="3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 التصریح بذلک فیه،لکن قال السیّد العاملی فی مفتاح الکرامة (4:189):و إلیه مال صاحب کشف اللثام فی باب النکاح،(انظر کشف اللثام 2:22).</w:t>
      </w:r>
    </w:p>
  </w:footnote>
  <w:footnote w:id="3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فی الصفحة 353.</w:t>
      </w:r>
    </w:p>
  </w:footnote>
  <w:footnote w:id="3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3:233.</w:t>
      </w:r>
    </w:p>
  </w:footnote>
  <w:footnote w:id="3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هی روایات تقدّمت فی الصفحات 358-363.هذا،و فی«ش»شطب علی عبارة:«التی بعدها».</w:t>
      </w:r>
    </w:p>
  </w:footnote>
  <w:footnote w:id="3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17:527،الباب 11 من أبواب میراث الأزواج،الحدیث الأوّل.</w:t>
      </w:r>
    </w:p>
  </w:footnote>
  <w:footnote w:id="3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النسخ،و المناسب:باقیاً.</w:t>
      </w:r>
    </w:p>
  </w:footnote>
  <w:footnote w:id="3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عوالی اللآلی 3:208،الحدیث 49.</w:t>
      </w:r>
    </w:p>
  </w:footnote>
  <w:footnote w:id="3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فی«ص»:فإنّه یظهر.</w:t>
      </w:r>
    </w:p>
  </w:footnote>
  <w:footnote w:id="3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فی«ف»،و الظاهر عدم وروده فی النسخة الأصلیة،حیث کتب فوقه فی«ن»،«خ»،«م»و«ع»العلامة:«ظ».</w:t>
      </w:r>
    </w:p>
  </w:footnote>
  <w:footnote w:id="3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فی«ش»و مصحّحة«ن»،و فی سائر النسخ:قیمته.</w:t>
      </w:r>
    </w:p>
  </w:footnote>
  <w:footnote w:id="3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العبارة هی:«و تظهر الفائدة فی النماء،فإن جعلناها کاشفة،فالنماء المنفصل المتخلّل بین العقد و الإجازة الحاصل من المبیع للمشتری،و نماء الثمن المعیّن للبائع،و لو جعلناها ناقلة فهما للمالک المجیز»الروضة البهیة 3:229-230.</w:t>
      </w:r>
    </w:p>
  </w:footnote>
  <w:footnote w:id="3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وجّهه جمال الدین فی حاشیة الروضة:358 بکون العقد فضولیاً من الطرفین.</w:t>
      </w:r>
    </w:p>
  </w:footnote>
  <w:footnote w:id="3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منه ظاهراً صاحب مفتاح الکرامة و بعض من تبعه-کما فی غایة الآمال:380-و راجع مفتاح الکرامة 4:190،و غنائم الأیام:542-543، و جامع الشتات 2:281.</w:t>
      </w:r>
    </w:p>
  </w:footnote>
  <w:footnote w:id="3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فی«م»،«ع»و«ش»:القائل.</w:t>
      </w:r>
    </w:p>
  </w:footnote>
  <w:footnote w:id="3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 الاعتراض المحقّق القمی فی غنائم الأیام:543،و جامع الشتات 2: 282.</w:t>
      </w:r>
    </w:p>
  </w:footnote>
  <w:footnote w:id="3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6:331.</w:t>
      </w:r>
    </w:p>
  </w:footnote>
  <w:footnote w:id="3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ترد«من»فی«ش».</w:t>
      </w:r>
    </w:p>
  </w:footnote>
  <w:footnote w:id="3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ترد«به»فی«ش».</w:t>
      </w:r>
    </w:p>
  </w:footnote>
  <w:footnote w:id="3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غیر«ف»:و هذا.</w:t>
      </w:r>
    </w:p>
  </w:footnote>
  <w:footnote w:id="3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کنز الفوائد 1:385.</w:t>
      </w:r>
    </w:p>
  </w:footnote>
  <w:footnote w:id="3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السابقة.</w:t>
      </w:r>
    </w:p>
  </w:footnote>
  <w:footnote w:id="3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ترد«له»فی«ف».</w:t>
      </w:r>
    </w:p>
  </w:footnote>
  <w:footnote w:id="3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غیر«ف»:حصل.</w:t>
      </w:r>
    </w:p>
  </w:footnote>
  <w:footnote w:id="3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w:t>
      </w:r>
    </w:p>
  </w:footnote>
  <w:footnote w:id="3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فی«ف»:بعض.</w:t>
      </w:r>
    </w:p>
  </w:footnote>
  <w:footnote w:id="3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فی«ف»،و فی سائر النسخ:العقد.</w:t>
      </w:r>
    </w:p>
  </w:footnote>
  <w:footnote w:id="3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فی«ص»:تنافی.</w:t>
      </w:r>
    </w:p>
  </w:footnote>
  <w:footnote w:id="3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فی«ن»،«خ»و«م»:أو ترکاً.</w:t>
      </w:r>
    </w:p>
  </w:footnote>
  <w:footnote w:id="3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المحقّق فی الشرائع 3:108،و الشهید الأوّل فی الدروس 2:205، و الشهید الثانی فی الروضة البهیة 6:294-296 و المسالک 10:306، و التستری فی مقابس الأنوار:192-193.</w:t>
      </w:r>
    </w:p>
  </w:footnote>
  <w:footnote w:id="3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غیر«ص»:أنّ.</w:t>
      </w:r>
    </w:p>
  </w:footnote>
  <w:footnote w:id="3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فی«ش»و مصحّحة«ن»و المصدر،و فی سائر النسخ:فلا یقع.</w:t>
      </w:r>
    </w:p>
  </w:footnote>
  <w:footnote w:id="3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ترد«هنا»فی غیر«ف»و«ش»،و زیدت فی«ن»تصحیحاً.</w:t>
      </w:r>
    </w:p>
  </w:footnote>
  <w:footnote w:id="3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2:7.</w:t>
      </w:r>
    </w:p>
  </w:footnote>
  <w:footnote w:id="3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اللثام 2:23.</w:t>
      </w:r>
    </w:p>
  </w:footnote>
  <w:footnote w:id="3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فرّع علیه المحقّق الثانی فی جامع المقاصد 12:159،و البحرانی فی الحدائق 23:288-289.</w:t>
      </w:r>
    </w:p>
  </w:footnote>
  <w:footnote w:id="3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ترد«للتنبّه بها»فی«ف».</w:t>
      </w:r>
    </w:p>
  </w:footnote>
  <w:footnote w:id="3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فی«ش»و المصدر،و فی سائر النسخ:الشرط.</w:t>
      </w:r>
    </w:p>
  </w:footnote>
  <w:footnote w:id="3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مصحّحتی«ن»و«ص»:حصل.</w:t>
      </w:r>
    </w:p>
  </w:footnote>
  <w:footnote w:id="3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إلی هنا ینتهی ما ذکره بعض متأخّری المتأخرین-و هو کاشف الغطاء فی شرحه علی القواعد(مخطوط):62-مع تغییر فی العبارة.</w:t>
      </w:r>
    </w:p>
  </w:footnote>
  <w:footnote w:id="3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اعترض علیه صاحب الجواهر فی الجواهر 22:291.</w:t>
      </w:r>
    </w:p>
  </w:footnote>
  <w:footnote w:id="3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فی«ص»:مال.</w:t>
      </w:r>
    </w:p>
  </w:footnote>
  <w:footnote w:id="3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المسالک 3:158،و غنائم الأیام:543،و جامع الشتات 2:282- 283،و مفتاح الکرامة 4:191،و الجواهر 22:292.</w:t>
      </w:r>
    </w:p>
  </w:footnote>
  <w:footnote w:id="3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روایة ابن أشیم،المتقدّمة فی الصفحة 361.</w:t>
      </w:r>
    </w:p>
  </w:footnote>
  <w:footnote w:id="3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 فی الصفحة 409.</w:t>
      </w:r>
    </w:p>
  </w:footnote>
  <w:footnote w:id="3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کلمة«ردّاً»من«ش»و مصحّحة«ن».</w:t>
      </w:r>
    </w:p>
  </w:footnote>
  <w:footnote w:id="3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فی الصفحة 351.</w:t>
      </w:r>
    </w:p>
  </w:footnote>
  <w:footnote w:id="3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النسخ،و المناسب:ذبحها و إتلافها.</w:t>
      </w:r>
    </w:p>
  </w:footnote>
  <w:footnote w:id="3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کاشف الغطاء فی شرحه علی القواعد(مخطوط)،الورقة 62.</w:t>
      </w:r>
    </w:p>
  </w:footnote>
  <w:footnote w:id="3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فی«م»بدل«أو»:و.</w:t>
      </w:r>
    </w:p>
  </w:footnote>
  <w:footnote w:id="3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النسخ،و المناسب:«أن تکون باللفظ الدالّ علیها»کما فی مصحّحة «ص».</w:t>
      </w:r>
    </w:p>
  </w:footnote>
  <w:footnote w:id="3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فی الصفحة 351.</w:t>
      </w:r>
    </w:p>
  </w:footnote>
  <w:footnote w:id="3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النسخ،و المناسب:«علیها»،کما استظهره مصحّح«ص».</w:t>
      </w:r>
    </w:p>
  </w:footnote>
  <w:footnote w:id="3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یجیء فی الصفحة 469 فی الأمر الثالث«الکلام فی المجاز».</w:t>
      </w:r>
    </w:p>
  </w:footnote>
  <w:footnote w:id="3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القواعد 2:8.</w:t>
      </w:r>
    </w:p>
  </w:footnote>
  <w:footnote w:id="3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اعتبره الفاضل المقداد فی التنقیح الرائع 2:27.</w:t>
      </w:r>
    </w:p>
  </w:footnote>
  <w:footnote w:id="3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نسبه السیّد العاملی فی مفتاح الکرامة 4:198.</w:t>
      </w:r>
    </w:p>
  </w:footnote>
  <w:footnote w:id="3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استدلّ علیه الفاضل المقداد فی التنقیح الرائع 2:27.</w:t>
      </w:r>
    </w:p>
  </w:footnote>
  <w:footnote w:id="3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مصحّحة«ص»:بأنّها.</w:t>
      </w:r>
    </w:p>
  </w:footnote>
  <w:footnote w:id="3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مفتاح الکرامة 4:198،و الجواهر 22:293-294.</w:t>
      </w:r>
    </w:p>
  </w:footnote>
  <w:footnote w:id="3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 ما ذکره المقدّس الأردبیلی فی مجمع الفائدة 8:160،و السیّد المجاهد فی المناهل:289،و صاحب الجواهر فی الجواهر 22:294.</w:t>
      </w:r>
    </w:p>
  </w:footnote>
  <w:footnote w:id="3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کالنصوص الآتیة فی إجازة البکر و إجازة المولی و غیرهما.</w:t>
      </w:r>
    </w:p>
  </w:footnote>
  <w:footnote w:id="3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العلّامة فی نهایة الإحکام 2:475-476،و الشهید الثانی فی الروضة 3:234،و صاحب الجواهر فی الجواهر 22:293.</w:t>
      </w:r>
    </w:p>
  </w:footnote>
  <w:footnote w:id="3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السیّد المجاهد فی المناهل:466 عن الغنیة و المختصر النافع و الشرائع و الإرشاد و القواعد و غیرها،و انظر الغنیة:269،و المختصر النافع:155، و الشرائع 2:205،و الإرشاد 1:419،و القواعد 1:259-260،و الریاض 2:12،و الجواهر 27:403.</w:t>
      </w:r>
    </w:p>
  </w:footnote>
  <w:footnote w:id="3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هو المشهور بین الأصحاب کما صرّح به الشهید الثانی فی المسالک 7: 164،و المحدّث البحرانی فی الحدائق 23:263،و الأشهر الأظهر،کما قال فی الریاض 2:82،و نسب الخلاف فیها إلی الحلیّ فقط.</w:t>
      </w:r>
    </w:p>
  </w:footnote>
  <w:footnote w:id="3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المحقّق فی الشرائع 2:14،و العلّامة فی القواعد 1:124 و غیره، و الشهید فی الدروس 3:192 و اللمعة:110.</w:t>
      </w:r>
    </w:p>
  </w:footnote>
  <w:footnote w:id="3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14:221،الباب 14 من أبواب عقد النکاح.</w:t>
      </w:r>
    </w:p>
  </w:footnote>
  <w:footnote w:id="3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400 و 401.</w:t>
      </w:r>
    </w:p>
  </w:footnote>
  <w:footnote w:id="3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الصفحات 351-362.</w:t>
      </w:r>
    </w:p>
  </w:footnote>
  <w:footnote w:id="3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364 و ما بعدها.</w:t>
      </w:r>
    </w:p>
  </w:footnote>
  <w:footnote w:id="3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14:525،الباب 26 من أبواب نکاح العبید و الإماء.</w:t>
      </w:r>
    </w:p>
  </w:footnote>
  <w:footnote w:id="3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14:526،الباب 27 من أبواب نکاح العبید و الإماء.</w:t>
      </w:r>
    </w:p>
  </w:footnote>
  <w:footnote w:id="3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یدلّ علیه ما فی الوسائل 14:523،الباب 24 من أبواب نکاح العبید و الإماء،الحدیث 1 و 2 و غیرهما.</w:t>
      </w:r>
    </w:p>
  </w:footnote>
  <w:footnote w:id="3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12:351-352،الباب 4 من أبواب الخیار.</w:t>
      </w:r>
    </w:p>
  </w:footnote>
  <w:footnote w:id="3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فی«ف»:و رضی.</w:t>
      </w:r>
    </w:p>
  </w:footnote>
  <w:footnote w:id="3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فی«ف»:فاسخاً.</w:t>
      </w:r>
    </w:p>
  </w:footnote>
  <w:footnote w:id="3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فی«ف»بدل«فلا یبقی ما یلحقه الإجازة»:فلا تقع قابلاً.</w:t>
      </w:r>
    </w:p>
  </w:footnote>
  <w:footnote w:id="3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صرّح به صاحب الجواهر فی الجواهر 22:278.</w:t>
      </w:r>
    </w:p>
  </w:footnote>
  <w:footnote w:id="3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فی«ف»:یقوم.</w:t>
      </w:r>
    </w:p>
  </w:footnote>
  <w:footnote w:id="3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فی«ف»:و قد تقرّر فی شروط.</w:t>
      </w:r>
    </w:p>
  </w:footnote>
  <w:footnote w:id="3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فی الصفحة 353.</w:t>
      </w:r>
    </w:p>
  </w:footnote>
  <w:footnote w:id="3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فی«ف»زیادة:من الأصحاب.</w:t>
      </w:r>
    </w:p>
  </w:footnote>
  <w:footnote w:id="3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کذا،و الأنسب:«فلتطرح أو تؤوّل»،کما فی مصحّحة«ص».</w:t>
      </w:r>
    </w:p>
  </w:footnote>
  <w:footnote w:id="3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قالوا:الفرق بینهما یظهر فی إرث الزوجة،و تعدّد الورثة،انظر هدایة الطالب (شرح الشهیدی):296.</w:t>
      </w:r>
    </w:p>
  </w:footnote>
  <w:footnote w:id="3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فی«ف»:من.</w:t>
      </w:r>
    </w:p>
  </w:footnote>
  <w:footnote w:id="3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5:57،المقام السادس من مقامات بیع المغصوب،و انظر النهایة: 402.</w:t>
      </w:r>
    </w:p>
  </w:footnote>
  <w:footnote w:id="3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فی الصفحة 353.</w:t>
      </w:r>
    </w:p>
  </w:footnote>
  <w:footnote w:id="3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354 و ما بعدها.</w:t>
      </w:r>
    </w:p>
  </w:footnote>
  <w:footnote w:id="3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ترد«علی أحد الأمرین»فی«ف».</w:t>
      </w:r>
    </w:p>
  </w:footnote>
  <w:footnote w:id="3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فی«ف»بدل«أو»:و.</w:t>
      </w:r>
    </w:p>
  </w:footnote>
  <w:footnote w:id="3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فی«ف»،«م»،«خ»و«ع»:«البعض»،و فی نسخة بدل الأخیرین مثل ما أثبتناه.</w:t>
      </w:r>
    </w:p>
  </w:footnote>
  <w:footnote w:id="3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عبارة«مجرّداً عن الشرط»من«ش»،و استدرکت فی هامش«م»و«ن».</w:t>
      </w:r>
    </w:p>
  </w:footnote>
  <w:footnote w:id="3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1:124.</w:t>
      </w:r>
    </w:p>
  </w:footnote>
  <w:footnote w:id="3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المستدلّ هو المحقّق الثانی فی جامع المقاصد 4:72.</w:t>
      </w:r>
    </w:p>
  </w:footnote>
  <w:footnote w:id="3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غیر«ن»و«ش»:ما ذکرناه.</w:t>
      </w:r>
    </w:p>
  </w:footnote>
  <w:footnote w:id="3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فی«ف»:فتدارکه.</w:t>
      </w:r>
    </w:p>
  </w:footnote>
  <w:footnote w:id="3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14:207،الباب 6 من أبواب عقد النکاح و أولیاء العقد، الحدیث 2،و 17:527،الباب 11 من أبواب میراث الأزواج.و الظاهر أنّ المراد من الولیّ فی الروایة غیر الأب و الجدّ کما قاله الشهید الثانی فی المسالک 7:160 و 179.</w:t>
      </w:r>
    </w:p>
  </w:footnote>
  <w:footnote w:id="3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ترد«فضولاً»فی«ف».</w:t>
      </w:r>
    </w:p>
  </w:footnote>
  <w:footnote w:id="3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یوجد عندنا کتابه،و لم نعثر علی الحاکی،نعم حکاه السیّد العاملی فی مفتاح الکرامة 4:195 عن غیره.</w:t>
      </w:r>
    </w:p>
  </w:footnote>
  <w:footnote w:id="3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3:193.</w:t>
      </w:r>
    </w:p>
  </w:footnote>
  <w:footnote w:id="3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4:73.</w:t>
      </w:r>
    </w:p>
  </w:footnote>
  <w:footnote w:id="3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الفاضل المقداد فی التنقیح 2:26،و صاحب الجواهر فی الجواهر 22:299.</w:t>
      </w:r>
    </w:p>
  </w:footnote>
  <w:footnote w:id="3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1:124.</w:t>
      </w:r>
    </w:p>
  </w:footnote>
  <w:footnote w:id="3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 القائل.</w:t>
      </w:r>
    </w:p>
  </w:footnote>
  <w:footnote w:id="3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السیّد العاملی فی مفتاح الکرامة 4:195،عن حواشی الشهید.</w:t>
      </w:r>
    </w:p>
  </w:footnote>
  <w:footnote w:id="3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 هذا الانتصار بتمامه،نعم انتصر المحقّق القمی للمعترض فی جامع الشتات 2:314 و غنائم الأیام:553 بوجود النائب.</w:t>
      </w:r>
    </w:p>
  </w:footnote>
  <w:footnote w:id="3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فی«ف»،«خ»،«م»و«ع»:لعدم.</w:t>
      </w:r>
    </w:p>
  </w:footnote>
  <w:footnote w:id="3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إیضاح الفوائد 1:419.</w:t>
      </w:r>
    </w:p>
  </w:footnote>
  <w:footnote w:id="3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4:72.</w:t>
      </w:r>
    </w:p>
  </w:footnote>
  <w:footnote w:id="3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فی«ف»،و فی سائر النسخ:مَن شأنه.</w:t>
      </w:r>
    </w:p>
  </w:footnote>
  <w:footnote w:id="3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کلمة«جواز»من«ف».</w:t>
      </w:r>
    </w:p>
  </w:footnote>
  <w:footnote w:id="3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ترد«لحجر»فی«ف».</w:t>
      </w:r>
    </w:p>
  </w:footnote>
  <w:footnote w:id="3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فی«ف»:فلا ینبغی الإشکال فی صحّة الإجازة.</w:t>
      </w:r>
    </w:p>
  </w:footnote>
  <w:footnote w:id="3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1:465 و 2:50.</w:t>
      </w:r>
    </w:p>
  </w:footnote>
  <w:footnote w:id="3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فی«ف»:کلام.</w:t>
      </w:r>
    </w:p>
  </w:footnote>
  <w:footnote w:id="3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فی القواعد 1:124،و الدروس 3:193،و التنقیح 2:26.</w:t>
      </w:r>
    </w:p>
  </w:footnote>
  <w:footnote w:id="3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فی«ف»:أو المالک.</w:t>
      </w:r>
    </w:p>
  </w:footnote>
  <w:footnote w:id="3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فی«ش»:و یعلم.</w:t>
      </w:r>
    </w:p>
  </w:footnote>
  <w:footnote w:id="3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فی«ف»:نصابه.</w:t>
      </w:r>
    </w:p>
  </w:footnote>
  <w:footnote w:id="3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فی«ف»:یصحّ.</w:t>
      </w:r>
    </w:p>
  </w:footnote>
  <w:footnote w:id="3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المبسوط 1:208.</w:t>
      </w:r>
    </w:p>
  </w:footnote>
  <w:footnote w:id="3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المصدر:غیر مملوکة له.</w:t>
      </w:r>
    </w:p>
  </w:footnote>
  <w:footnote w:id="3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2:563.</w:t>
      </w:r>
    </w:p>
  </w:footnote>
  <w:footnote w:id="3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فی«ف»:تعلّق الزکاة بالعین تعلّق.</w:t>
      </w:r>
    </w:p>
  </w:footnote>
  <w:footnote w:id="3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3:193.</w:t>
      </w:r>
    </w:p>
  </w:footnote>
  <w:footnote w:id="3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المحقّق التستری فی مقابس الأنوار:134،و راجع غایة المرام (مخطوط):275.</w:t>
      </w:r>
    </w:p>
  </w:footnote>
  <w:footnote w:id="3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حاشیة الإرشاد(مخطوط):219،و حکی عنه ذلک المحقّق التستری فی مقابس الأنوار:134.</w:t>
      </w:r>
    </w:p>
  </w:footnote>
  <w:footnote w:id="3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الجواهر 22:298.</w:t>
      </w:r>
    </w:p>
  </w:footnote>
  <w:footnote w:id="3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مقابس الأنوار:134.</w:t>
      </w:r>
    </w:p>
  </w:footnote>
  <w:footnote w:id="3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مصحّحة«ن»:علیها.</w:t>
      </w:r>
    </w:p>
  </w:footnote>
  <w:footnote w:id="3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المحقّق التستری فی مقابس الأنوار:134-135.</w:t>
      </w:r>
    </w:p>
  </w:footnote>
  <w:footnote w:id="3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إیضاح الفوائد 1:419.</w:t>
      </w:r>
    </w:p>
  </w:footnote>
  <w:footnote w:id="3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4:73-74.</w:t>
      </w:r>
    </w:p>
  </w:footnote>
  <w:footnote w:id="3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فی«ش»زیادة:«قد»،و لم ترد فی سائر النسخ،نعم فی بعض النسخ زیادة: «لو»،و فی بعضها الآخر زیادة:«إذا»،استظهاراً أو کنسخة بدل.</w:t>
      </w:r>
    </w:p>
  </w:footnote>
  <w:footnote w:id="3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فی«ش»،و فی أکثر النسخ:«و لا یکفی بحصولها»،و فی«ص»: «و لا یکفی حصولها»،و الأصحّ:«و لا نکتفی بحصولها»،بقرینة«فلا نضایق» کما احتمله مصحّح«ن».</w:t>
      </w:r>
    </w:p>
  </w:footnote>
  <w:footnote w:id="3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ترد«فیه»فی«ف».</w:t>
      </w:r>
    </w:p>
  </w:footnote>
  <w:footnote w:id="3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فی«ف»:نفسه.</w:t>
      </w:r>
    </w:p>
  </w:footnote>
  <w:footnote w:id="3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ترد«له»فی«ف».</w:t>
      </w:r>
    </w:p>
  </w:footnote>
  <w:footnote w:id="3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غیر«ف»:فلا.</w:t>
      </w:r>
    </w:p>
  </w:footnote>
  <w:footnote w:id="3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کذا،و المناسب:مستلزمة،کما فی مصحّحة«ص».</w:t>
      </w:r>
    </w:p>
  </w:footnote>
  <w:footnote w:id="3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غیر«ش»زیادة:ملک.</w:t>
      </w:r>
    </w:p>
  </w:footnote>
  <w:footnote w:id="3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إدامة کلام المحقّق التستری قدّس سرّه.</w:t>
      </w:r>
    </w:p>
  </w:footnote>
  <w:footnote w:id="3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فی«ش»:و المستلزمة.</w:t>
      </w:r>
    </w:p>
  </w:footnote>
  <w:footnote w:id="3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فی«ص»:للید.</w:t>
      </w:r>
    </w:p>
  </w:footnote>
  <w:footnote w:id="3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إلی هنا ینتهی کلام المحقّق التستری،و سوف تأتی تتمّته فی الصفحة 443، عند قوله:«الخامس».</w:t>
      </w:r>
    </w:p>
  </w:footnote>
  <w:footnote w:id="3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فی«ش»و مصحّحة«خ»:العقد.</w:t>
      </w:r>
    </w:p>
  </w:footnote>
  <w:footnote w:id="3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غیر«ص»و«ش»:ممنوعة.</w:t>
      </w:r>
    </w:p>
  </w:footnote>
  <w:footnote w:id="3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مصحّحة«خ»:الفعلی.</w:t>
      </w:r>
    </w:p>
  </w:footnote>
  <w:footnote w:id="3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الصفحة 438.</w:t>
      </w:r>
    </w:p>
  </w:footnote>
  <w:footnote w:id="3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النسخ،و المناسب:«لدفعه»،کما استظهره مصحّح«ص».</w:t>
      </w:r>
    </w:p>
  </w:footnote>
  <w:footnote w:id="3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فی«ف»:و المشتری.</w:t>
      </w:r>
    </w:p>
  </w:footnote>
  <w:footnote w:id="3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غیر«ش»:ملکیّة.</w:t>
      </w:r>
    </w:p>
  </w:footnote>
  <w:footnote w:id="3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النسخ:ملکیّة.</w:t>
      </w:r>
    </w:p>
  </w:footnote>
  <w:footnote w:id="3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فی«ن»،«خ»،«م»و«ع»:«ذلک»،و صحّحت فیما عدا الأخیر ب«ملک».</w:t>
      </w:r>
    </w:p>
  </w:footnote>
  <w:footnote w:id="3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فی«ف»:«لم ینفع»،بدون کلمة«إجازته».</w:t>
      </w:r>
    </w:p>
  </w:footnote>
  <w:footnote w:id="3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فی«ش»:الظاهری.</w:t>
      </w:r>
    </w:p>
  </w:footnote>
  <w:footnote w:id="3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کلمة«کیف»من«ش»و هامش«م».</w:t>
      </w:r>
    </w:p>
  </w:footnote>
  <w:footnote w:id="3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غیر«ش»:الید.</w:t>
      </w:r>
    </w:p>
  </w:footnote>
  <w:footnote w:id="3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غیر«ف»:من.</w:t>
      </w:r>
    </w:p>
  </w:footnote>
  <w:footnote w:id="3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408.</w:t>
      </w:r>
    </w:p>
  </w:footnote>
  <w:footnote w:id="3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تتمّة کلام المحقّق التستری فی المقابس.</w:t>
      </w:r>
    </w:p>
  </w:footnote>
  <w:footnote w:id="3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کلمة«له»من«ف».</w:t>
      </w:r>
    </w:p>
  </w:footnote>
  <w:footnote w:id="3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فی«ش»و المصدر و هامش«ن»،و فی«ف»:العقد،و فی سائر النسخ: العقد و الإجازة.</w:t>
      </w:r>
    </w:p>
  </w:footnote>
  <w:footnote w:id="3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فی«ف»و المصدر و مصحّحة«ن»،و فی سائر النسخ:الأصیل.</w:t>
      </w:r>
    </w:p>
  </w:footnote>
  <w:footnote w:id="3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العبارة فی«ف»هکذا:أو زاد الأوّل مع زیادة؛لانکشاف...</w:t>
      </w:r>
    </w:p>
  </w:footnote>
  <w:footnote w:id="3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ترد«فی ملکه»فی غیر«ش»،إلّا أنّها استدرکت فی«ن»،«خ» و«م».</w:t>
      </w:r>
    </w:p>
  </w:footnote>
  <w:footnote w:id="3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ترد«الثلاثة»فی«ش».</w:t>
      </w:r>
    </w:p>
  </w:footnote>
  <w:footnote w:id="3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إیضاح الفوائد 1:419.</w:t>
      </w:r>
    </w:p>
  </w:footnote>
  <w:footnote w:id="3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جامع المقاصد 4:73-74.</w:t>
      </w:r>
    </w:p>
  </w:footnote>
  <w:footnote w:id="3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فی«ف»:نقل.</w:t>
      </w:r>
    </w:p>
  </w:footnote>
  <w:footnote w:id="3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فی«ف»و«ش»:لوازمها.</w:t>
      </w:r>
    </w:p>
  </w:footnote>
  <w:footnote w:id="3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أکثر النسخ و المصدر،و فی«خ»و«ش»و نسخة بدل«ع»:«و لو»، و فی«ص»:فلمّا.</w:t>
      </w:r>
    </w:p>
  </w:footnote>
  <w:footnote w:id="3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غیر«ش»:ملک.</w:t>
      </w:r>
    </w:p>
  </w:footnote>
  <w:footnote w:id="3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غیر«ف»:کذلک.</w:t>
      </w:r>
    </w:p>
  </w:footnote>
  <w:footnote w:id="3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غیر«ش»بدل«ماله»:«له»،و شطب علی«له»فی«ص».</w:t>
      </w:r>
    </w:p>
  </w:footnote>
  <w:footnote w:id="3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ترد«الفعل»فی«ف».</w:t>
      </w:r>
    </w:p>
  </w:footnote>
  <w:footnote w:id="3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یجیء فی الصفحة 477.</w:t>
      </w:r>
    </w:p>
  </w:footnote>
  <w:footnote w:id="3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الوجوه التی ذکرها المحقّق التستری هی الستّة المتقدّمة،و ما نقله عنه المؤلف قدّس سرّه بعنوان«السابع»لیس فی عداد الوجوه المذکورة،بل هو استدلال من المحقّق التستری قدّس سرّه علی ما اختاره،راجع مقابس الأنوار:134-135. ثمّ إنّ العبارات الآتیة أیضاً تغایر عبارة صاحب المقابس بنحوٍ یشکل إطلاق النقل بالمعنی علیه أیضاً.</w:t>
      </w:r>
    </w:p>
  </w:footnote>
  <w:footnote w:id="3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12:374-375،الباب 7 من أبواب أحکام العقود،الحدیث 2 و 5.</w:t>
      </w:r>
    </w:p>
  </w:footnote>
  <w:footnote w:id="3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368.</w:t>
      </w:r>
    </w:p>
  </w:footnote>
  <w:footnote w:id="3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المامقانی قدّس سرّه:هذه العبارة من المصنّف،و لیست عبارة المقابس هکذا -إلی أن قال:-و لا یظهر وجه لتغییر المصنّف رحمه اللّه عبارته إلی قوله: «المصحّحة إلیه»،و لیس بین یحیی بن الحجّاج و بین أبی عبد اللّه علیه السلام واسطة أصلاً فکیف بالواسطة الغیر المعتبرة!و لیس مؤدّاها إلّا کون الواسطة بینهما ممّن لا یوصف روایته بالصحّة(غایة الآمال:393).</w:t>
      </w:r>
    </w:p>
  </w:footnote>
  <w:footnote w:id="3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غیر«ش»بدل«و لا تواجبه البیع»:«و لا تواجبها»،و لکن صحّح فی «ن»و«ص»بما أثبتناه.</w:t>
      </w:r>
    </w:p>
  </w:footnote>
  <w:footnote w:id="3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12:378،الباب 8 من أبواب أحکام العقود،الحدیث 13.</w:t>
      </w:r>
    </w:p>
  </w:footnote>
  <w:footnote w:id="3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12:376،الباب 8 من أبواب أحکام العقود،الحدیث 4.</w:t>
      </w:r>
    </w:p>
  </w:footnote>
  <w:footnote w:id="3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الوافی 18:700،ذیل الحدیث 18144-7.</w:t>
      </w:r>
    </w:p>
  </w:footnote>
  <w:footnote w:id="3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12:377،الباب 8 من أبواب أحکام العقود،الحدیث 8.</w:t>
      </w:r>
    </w:p>
  </w:footnote>
  <w:footnote w:id="3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12:376،الباب 8 من أبواب أحکام العقود،الحدیث 6.</w:t>
      </w:r>
    </w:p>
  </w:footnote>
  <w:footnote w:id="3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فی«ش»زیادة:منّی.</w:t>
      </w:r>
    </w:p>
  </w:footnote>
  <w:footnote w:id="3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فی«ن»و«ص»،و الظاهر أنّهما مصحّحتان،و فی سائر النسخ:یجتمع.</w:t>
      </w:r>
    </w:p>
  </w:footnote>
  <w:footnote w:id="3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غیر«ش»:«هو مبیعاً»،و فی الوسائل:إن وجد بیعاً هو.</w:t>
      </w:r>
    </w:p>
  </w:footnote>
  <w:footnote w:id="3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العبارة من قوله:«أ یستطیع»إلی هنا مختلفة فی النسخ،و ما أثبتناه من مصحّحة«ن»،طبقاً للوسائل.</w:t>
      </w:r>
    </w:p>
  </w:footnote>
  <w:footnote w:id="3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12:377،الباب 8 من أبواب أحکام العقود،الحدیث 7.</w:t>
      </w:r>
    </w:p>
  </w:footnote>
  <w:footnote w:id="3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المشار إلیها فی الصفحة 446 و ما بعدها.</w:t>
      </w:r>
    </w:p>
  </w:footnote>
  <w:footnote w:id="3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روایة یحیی بن الحجّاج،المتقدّمة فی الصفحة 447.</w:t>
      </w:r>
    </w:p>
  </w:footnote>
  <w:footnote w:id="3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الصفحة 453.</w:t>
      </w:r>
    </w:p>
  </w:footnote>
  <w:footnote w:id="3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فی مورد روایة ابن سنان:«قال:سألت أبا عبد اللّه علیه السلام عن الرجل یأتینی یرید منی طعاماً أو بیعاً نسیاً و لیس عندی،أ یصلح أن أبیعه إیّاه و أقطع له سعره ثمّ أشتریه من مکان آخر فأدفعه إلیه؟قال:لا بأس به»،الوسائل 12:375،الباب 8 من أبواب أحکام العقود،الحدیث 2.</w:t>
      </w:r>
    </w:p>
  </w:footnote>
  <w:footnote w:id="3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نقف علی القائل.</w:t>
      </w:r>
    </w:p>
  </w:footnote>
  <w:footnote w:id="3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فی«ص»:الإجازة.</w:t>
      </w:r>
    </w:p>
  </w:footnote>
  <w:footnote w:id="3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فی الصفحة 447.</w:t>
      </w:r>
    </w:p>
  </w:footnote>
  <w:footnote w:id="3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413-414.</w:t>
      </w:r>
    </w:p>
  </w:footnote>
  <w:footnote w:id="3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خبر یحیی بن الحجّاج،المتقدّم فی الصفحة 447.</w:t>
      </w:r>
    </w:p>
  </w:footnote>
  <w:footnote w:id="3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فی«ف»بدل«علی»:فی.</w:t>
      </w:r>
    </w:p>
  </w:footnote>
  <w:footnote w:id="3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فی«ف»:مع عدم وقوع.</w:t>
      </w:r>
    </w:p>
  </w:footnote>
  <w:footnote w:id="3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نقف علی الخدشة بعینها،نعم فی جامع الشتات 2:331 و غنائم الأیام: 558،ما یلی:و المراد من تلک الأخبار البیع فی الذمّة،و هو کلیّ.</w:t>
      </w:r>
    </w:p>
  </w:footnote>
  <w:footnote w:id="3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فی دلالة الروایات علی عدم وقوع البیع قبل التملّک للبائع.</w:t>
      </w:r>
    </w:p>
  </w:footnote>
  <w:footnote w:id="3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الأخبار المتقدّمة فی الصفحة 446-449.</w:t>
      </w:r>
    </w:p>
  </w:footnote>
  <w:footnote w:id="3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مقابس الأنوار:135.</w:t>
      </w:r>
    </w:p>
  </w:footnote>
  <w:footnote w:id="3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فی«ف»:بسیاقها.</w:t>
      </w:r>
    </w:p>
  </w:footnote>
  <w:footnote w:id="3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تقدّمتا فی الصفحة 447.</w:t>
      </w:r>
    </w:p>
  </w:footnote>
  <w:footnote w:id="3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غیر«ش»:المشتری.</w:t>
      </w:r>
    </w:p>
  </w:footnote>
  <w:footnote w:id="3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12:374،الباب 7 من أبواب أحکام العقود،الحدیث 1 و 3.</w:t>
      </w:r>
    </w:p>
  </w:footnote>
  <w:footnote w:id="3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قوله علیه السلام فی ذیل صحیحة ابن مسلم:«إنّما یشتریه منه بعد ما یملکه»،و قوله علیه السلام فی صحیحة منصور بن حازم:«إنّما البیع بعد ما یشتریه»،راجع الصفحة 448.</w:t>
      </w:r>
    </w:p>
  </w:footnote>
  <w:footnote w:id="3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المصدر:أعتقنی اللّه.</w:t>
      </w:r>
    </w:p>
  </w:footnote>
  <w:footnote w:id="3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14:526،الباب 26 من أبواب أحکام العبید و الإماء،الحدیث 3.</w:t>
      </w:r>
    </w:p>
  </w:footnote>
  <w:footnote w:id="3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ترد«حینئذ»فی«ش».</w:t>
      </w:r>
    </w:p>
  </w:footnote>
  <w:footnote w:id="3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1:463،و فیه:«...سواء کان حالاً أو مؤجّلاً؛فإنّه جائز و کذا لو اشتری عیناً شخصیة غائبة مملوکة للبائع موصوفة بما ترفع الجهالة فإنّه جائز إجماعاً».</w:t>
      </w:r>
    </w:p>
  </w:footnote>
  <w:footnote w:id="3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نقف علیه بعینه،نعم فی مقابس الأنوار:134،بعد نقل عبارة التذکرة، و نسبة البطلان إلی ظاهر التحریر هکذا:و هو الظاهر من المختلف.</w:t>
      </w:r>
    </w:p>
  </w:footnote>
  <w:footnote w:id="3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النسخ،لکن شطب فی مصحّحة«ن»علی کلمة«أیضاً».</w:t>
      </w:r>
    </w:p>
  </w:footnote>
  <w:footnote w:id="3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مصحّحة«ن»:أرادا.</w:t>
      </w:r>
    </w:p>
  </w:footnote>
  <w:footnote w:id="3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3:193.</w:t>
      </w:r>
    </w:p>
  </w:footnote>
  <w:footnote w:id="3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المحقّق التستری فی مقابس الأنوار:134،و راجع المختلف 5:132.</w:t>
      </w:r>
    </w:p>
  </w:footnote>
  <w:footnote w:id="3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فی«ف»:من.</w:t>
      </w:r>
    </w:p>
  </w:footnote>
  <w:footnote w:id="3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فی«ف»:فأجاز.</w:t>
      </w:r>
    </w:p>
  </w:footnote>
  <w:footnote w:id="3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فی«ف»:«لا تعلّق لها»،و فی مصحّحة«ن»:لا یتعلّق بها.</w:t>
      </w:r>
    </w:p>
  </w:footnote>
  <w:footnote w:id="3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فی«ف»:من.</w:t>
      </w:r>
    </w:p>
  </w:footnote>
  <w:footnote w:id="3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الصفحات 378-380.</w:t>
      </w:r>
    </w:p>
  </w:footnote>
  <w:footnote w:id="3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فی«ف»و«ش»و مصحّحة«ن»،و فی سائر النسخ:المالک.</w:t>
      </w:r>
    </w:p>
  </w:footnote>
  <w:footnote w:id="3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فی«ف»بدل«بکون ماله»:بکونه.</w:t>
      </w:r>
    </w:p>
  </w:footnote>
  <w:footnote w:id="3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إیضاح الفوائد 1:419.</w:t>
      </w:r>
    </w:p>
  </w:footnote>
  <w:footnote w:id="3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المحقّق التستری فی مقابس الأنوار:134.</w:t>
      </w:r>
    </w:p>
  </w:footnote>
  <w:footnote w:id="3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المسالک 6:49.</w:t>
      </w:r>
    </w:p>
  </w:footnote>
  <w:footnote w:id="3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436.</w:t>
      </w:r>
    </w:p>
  </w:footnote>
  <w:footnote w:id="3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فی الصفحة 454.</w:t>
      </w:r>
    </w:p>
  </w:footnote>
  <w:footnote w:id="3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فی«ف»:المولی.</w:t>
      </w:r>
    </w:p>
  </w:footnote>
  <w:footnote w:id="3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فی«ش»و مصحّحة«ن»و نسخة بدل«خ»،و فی غیرها:عن البائع.</w:t>
      </w:r>
    </w:p>
  </w:footnote>
  <w:footnote w:id="3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فی«ف»:و انکشف.</w:t>
      </w:r>
    </w:p>
  </w:footnote>
  <w:footnote w:id="3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العلّامة فی المختلف 5:435،و لم نعثر علیه فی المهذّب و غیره من کتب القاضی.</w:t>
      </w:r>
    </w:p>
  </w:footnote>
  <w:footnote w:id="3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غیر«ش»و مصحّحة«ن»:الولی.</w:t>
      </w:r>
    </w:p>
  </w:footnote>
  <w:footnote w:id="3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5:437.</w:t>
      </w:r>
    </w:p>
  </w:footnote>
  <w:footnote w:id="3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377-383.</w:t>
      </w:r>
    </w:p>
  </w:footnote>
  <w:footnote w:id="3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1:275.</w:t>
      </w:r>
    </w:p>
  </w:footnote>
  <w:footnote w:id="3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1:450.</w:t>
      </w:r>
    </w:p>
  </w:footnote>
  <w:footnote w:id="3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و الفوائد 2:238،ذیل القاعدة:238.</w:t>
      </w:r>
    </w:p>
  </w:footnote>
  <w:footnote w:id="3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نهایة الإحکام 2:477.</w:t>
      </w:r>
    </w:p>
  </w:footnote>
  <w:footnote w:id="3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إیضاح الفوائد 1:420.</w:t>
      </w:r>
    </w:p>
  </w:footnote>
  <w:footnote w:id="3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376 و 380.</w:t>
      </w:r>
    </w:p>
  </w:footnote>
  <w:footnote w:id="3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یجیء فی الصفحة الآتیة.</w:t>
      </w:r>
    </w:p>
  </w:footnote>
  <w:footnote w:id="3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فی«ف»:النقل.</w:t>
      </w:r>
    </w:p>
  </w:footnote>
  <w:footnote w:id="3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فی«ف»،«خ»و«ن»:من.</w:t>
      </w:r>
    </w:p>
  </w:footnote>
  <w:footnote w:id="3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الصفحة 372.</w:t>
      </w:r>
    </w:p>
  </w:footnote>
  <w:footnote w:id="3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المحقّق التستری فی مقابس الأنوار:136،عن ظاهر الشهید و غیره.</w:t>
      </w:r>
    </w:p>
  </w:footnote>
  <w:footnote w:id="3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4:76،و المسالک 6:51.</w:t>
      </w:r>
    </w:p>
  </w:footnote>
  <w:footnote w:id="3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4:76.</w:t>
      </w:r>
    </w:p>
  </w:footnote>
  <w:footnote w:id="3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ترد«عدم»فی«ف».</w:t>
      </w:r>
    </w:p>
  </w:footnote>
  <w:footnote w:id="3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العبارة فی«ف»هکذا:القابلة للزوم القصد.</w:t>
      </w:r>
    </w:p>
  </w:footnote>
  <w:footnote w:id="3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مصحّحة«ص»و نسخة بدل«ش»:مال نفسه.</w:t>
      </w:r>
    </w:p>
  </w:footnote>
  <w:footnote w:id="3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بعض النسخ:خطأ.</w:t>
      </w:r>
    </w:p>
  </w:footnote>
  <w:footnote w:id="3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مصحّحة«ص»:و صوابه.</w:t>
      </w:r>
    </w:p>
  </w:footnote>
  <w:footnote w:id="3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فی«ص»زیادة:نقل.</w:t>
      </w:r>
    </w:p>
  </w:footnote>
  <w:footnote w:id="3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التحریر 2:141.</w:t>
      </w:r>
    </w:p>
  </w:footnote>
  <w:footnote w:id="3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یوجد لدینا«حواشی الشهید»،نعم حکاه عنه المحقّق الثانی فی جامع المقاصد 6:233.</w:t>
      </w:r>
    </w:p>
  </w:footnote>
  <w:footnote w:id="3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6:233.</w:t>
      </w:r>
    </w:p>
  </w:footnote>
  <w:footnote w:id="3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4:76.</w:t>
      </w:r>
    </w:p>
  </w:footnote>
  <w:footnote w:id="3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قوّاه المحقّق التستری فی مقابس الأنوار:137.</w:t>
      </w:r>
    </w:p>
  </w:footnote>
  <w:footnote w:id="3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صاحب الجواهر فی الجواهر 22:298.</w:t>
      </w:r>
    </w:p>
  </w:footnote>
  <w:footnote w:id="3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ترد«بالصحّة»فی«ف».</w:t>
      </w:r>
    </w:p>
  </w:footnote>
  <w:footnote w:id="3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النسخ،و المناسب:«غیر متوقّف»،کما فی مصحّحة«ص».</w:t>
      </w:r>
    </w:p>
  </w:footnote>
  <w:footnote w:id="3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الصفحة 371.</w:t>
      </w:r>
    </w:p>
  </w:footnote>
  <w:footnote w:id="3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عبارة«ثمّ یغرم المثمن و إن کان جاهلاً»لم ترد فی«ف»و«ش»،و شطب علیها فی«ن».</w:t>
      </w:r>
    </w:p>
  </w:footnote>
  <w:footnote w:id="3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المحقّق التستری فی مقابس الأنوار:136،فی الخامس من موارد بیع الفضولی.</w:t>
      </w:r>
    </w:p>
  </w:footnote>
  <w:footnote w:id="3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ترد«حینئذٍ»فی«ف»و«ش».</w:t>
      </w:r>
    </w:p>
  </w:footnote>
  <w:footnote w:id="3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کلمة«العبد»من«ش»فقط.</w:t>
      </w:r>
    </w:p>
  </w:footnote>
  <w:footnote w:id="3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فی«ف»و مصحّحة«ن»،و فی سائر النسخ:شروطها.</w:t>
      </w:r>
    </w:p>
  </w:footnote>
  <w:footnote w:id="3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فی«ش»:من المالکین.</w:t>
      </w:r>
    </w:p>
  </w:footnote>
  <w:footnote w:id="3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کذا،و المناسب:إجماعاتهم،کما استظهره مصحّح«ص».</w:t>
      </w:r>
    </w:p>
  </w:footnote>
  <w:footnote w:id="3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فی«ش»و مصحّحة«ن»،و فی سائر النسخ:فیه.</w:t>
      </w:r>
    </w:p>
  </w:footnote>
  <w:footnote w:id="3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فی«ش»و مصحّحة«ن»،و فی سائر النسخ:معناه.</w:t>
      </w:r>
    </w:p>
  </w:footnote>
  <w:footnote w:id="3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ترد«السابق»فی«ف».</w:t>
      </w:r>
    </w:p>
  </w:footnote>
  <w:footnote w:id="3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کذا،و الأنسب:یجتمع،کما استظهره مصحّح«ص».</w:t>
      </w:r>
    </w:p>
  </w:footnote>
  <w:footnote w:id="3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عبارة«یتوقّف لزومها-إلی-و هو الفرس»ساقطة من«ف».</w:t>
      </w:r>
    </w:p>
  </w:footnote>
  <w:footnote w:id="3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فی«ف»و«ع»و نسخة بدل«ن»و فیما یلوح من«ص»:المعوّض.</w:t>
      </w:r>
    </w:p>
  </w:footnote>
  <w:footnote w:id="3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ترد«علی»فی«ف».</w:t>
      </w:r>
    </w:p>
  </w:footnote>
  <w:footnote w:id="3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فی«م»و«ن»:«العوض»،و فی نسخة بدل الأخیر:المعوض.</w:t>
      </w:r>
    </w:p>
  </w:footnote>
  <w:footnote w:id="3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ترد«متعدّدة»فی«خ».</w:t>
      </w:r>
    </w:p>
  </w:footnote>
  <w:footnote w:id="3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ترد«مترتّبة»فی«ف».</w:t>
      </w:r>
    </w:p>
  </w:footnote>
  <w:footnote w:id="3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الإیضاح 1:418.</w:t>
      </w:r>
    </w:p>
  </w:footnote>
  <w:footnote w:id="3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3:193،و حکی ذلک عنهما المحقّق الثانی فی جامع المقاصد 4:70، و السیّد العاملی فی مفتاح الکرامة 4:191،و غیرهما.</w:t>
      </w:r>
    </w:p>
  </w:footnote>
  <w:footnote w:id="3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غیر«ش»زیادة«أنّ»،و لکن شطب علیها فی«ن».</w:t>
      </w:r>
    </w:p>
  </w:footnote>
  <w:footnote w:id="3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جامع المقاصد 4:70،و المسالک 3:159،و الروضة البهیة 3:233.</w:t>
      </w:r>
    </w:p>
  </w:footnote>
  <w:footnote w:id="3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فی«ف»:ها هنا.</w:t>
      </w:r>
    </w:p>
  </w:footnote>
  <w:footnote w:id="3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1:124.</w:t>
      </w:r>
    </w:p>
  </w:footnote>
  <w:footnote w:id="3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یوجد لدینا کتابه،و حکاه عنه السیّد العاملی فی مفتاح الکرامة 4:192.</w:t>
      </w:r>
    </w:p>
  </w:footnote>
  <w:footnote w:id="3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فی«ش»و نسخة بدل«ن»،و فی«ف»:بها،و فی سائر النسخ:فیها.</w:t>
      </w:r>
    </w:p>
  </w:footnote>
  <w:footnote w:id="3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فی«م»و نسخة بدل«خ»و«ع»؛وفاقاً للمحکی عن المصدر،و فی سائر النسخ:المبیع.</w:t>
      </w:r>
    </w:p>
  </w:footnote>
  <w:footnote w:id="3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فی«ش»و نسخة بدل«ص»،و فی سائر النسخ:البیع؛وفاقاً للمحکی عن المصدر.</w:t>
      </w:r>
    </w:p>
  </w:footnote>
  <w:footnote w:id="3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حکی عنه السیّد العاملی فی مفتاح الکرامة 4:192.</w:t>
      </w:r>
    </w:p>
  </w:footnote>
  <w:footnote w:id="3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4:71.</w:t>
      </w:r>
    </w:p>
  </w:footnote>
  <w:footnote w:id="3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کذا،و المناسب:«لکان»کما فی المصدر،و استظهر مصحّح«ص»:یکون.</w:t>
      </w:r>
    </w:p>
  </w:footnote>
  <w:footnote w:id="3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عبارة«و أشقّها علیه»وردت فی«ش»و هامش«ن»فقط.</w:t>
      </w:r>
    </w:p>
  </w:footnote>
  <w:footnote w:id="3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فی«ش»و«ن»و المصدر،و فی سائر النسخ:«مأخوذ»-و لعلّه مصحّف «بأجود»-و صحّح فی«ص»هکذا:«مأخوذ بأحسن».</w:t>
      </w:r>
    </w:p>
  </w:footnote>
  <w:footnote w:id="3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3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الإیضاح 1:417-418.</w:t>
      </w:r>
    </w:p>
  </w:footnote>
  <w:footnote w:id="3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فی«م»و«ص»:«علی ملک»،و فی«ع»:علی مالکه.</w:t>
      </w:r>
    </w:p>
  </w:footnote>
  <w:footnote w:id="3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فی«ص»و مصحّحة«ن»:بمقتضاه.</w:t>
      </w:r>
    </w:p>
  </w:footnote>
  <w:footnote w:id="3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فی«ف»و«ش»و مصحّحة«خ»،و فی سائر النسخ:المالک.</w:t>
      </w:r>
    </w:p>
  </w:footnote>
  <w:footnote w:id="3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مصحّحة«م»:إلی.</w:t>
      </w:r>
    </w:p>
  </w:footnote>
  <w:footnote w:id="3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فی«ص»و«ش»و مصحّحة«ن»،و فی سائر النسخ:علی.</w:t>
      </w:r>
    </w:p>
  </w:footnote>
  <w:footnote w:id="3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نصّ عبارته فی الصفحة السابقة.</w:t>
      </w:r>
    </w:p>
  </w:footnote>
  <w:footnote w:id="3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ترد«له»فی غیر«ش»،لکنّها استدرکت فی«م»و«خ»،و فی«ن» صحّحت العبارة بتبدیل«وجه»ب«وجهه».</w:t>
      </w:r>
    </w:p>
  </w:footnote>
  <w:footnote w:id="3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غیر«ف»و«ش»:«التسلّط»،لکنّه صحّح فی«م»و«ن»بما أثبتناه.</w:t>
      </w:r>
    </w:p>
  </w:footnote>
  <w:footnote w:id="3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غیر«ش»:«التسلّط»،لکن صحّح فی«م»و«ن»بما أثبتناه.</w:t>
      </w:r>
    </w:p>
  </w:footnote>
  <w:footnote w:id="3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غیر«ش»:«التسلّط»،لکن صحّح فی«م»و«ن»بما أثبتناه.</w:t>
      </w:r>
    </w:p>
  </w:footnote>
  <w:footnote w:id="3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غیر«ن»و«ش»:«یخرج»،و صحّح فی«ص»بما أثبتناه.</w:t>
      </w:r>
    </w:p>
  </w:footnote>
  <w:footnote w:id="3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فی«ع»و«ص»:«الدابّة»،و فی نسخة بدل«ص»:الدار.</w:t>
      </w:r>
    </w:p>
  </w:footnote>
  <w:footnote w:id="3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فی«ش»،و فی«ف»:«متناقض»،و فی سائر النسخ:«مناقضة»،إلّا أنّها صحّحت فی«ن»بما أثبتناه.</w:t>
      </w:r>
    </w:p>
  </w:footnote>
  <w:footnote w:id="3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غیر«ش»:«الأخیر»،لکن صحّح فی«ن»بما أثبتناه.</w:t>
      </w:r>
    </w:p>
  </w:footnote>
  <w:footnote w:id="3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فی«ص»و«ش»و مصحّحة«ن»،و فی سائر النسخ:وجه.</w:t>
      </w:r>
    </w:p>
  </w:footnote>
  <w:footnote w:id="3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فی«ن»:«المؤثّرة»،و الظاهر أنّها مصحّحة.</w:t>
      </w:r>
    </w:p>
  </w:footnote>
  <w:footnote w:id="3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غیر«ش»:«وقوعه»،لکن صحّح فی«ن»و«ص»بما أثبتناه.</w:t>
      </w:r>
    </w:p>
  </w:footnote>
  <w:footnote w:id="3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فی«ش»،و فی سائر النسخ:«واقع»،إلّا أنّ فی هامش«ن»:واقعی-خ.</w:t>
      </w:r>
    </w:p>
  </w:footnote>
  <w:footnote w:id="3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غیر«ش»و مصحّحة«ن»بدل«فی»:و.</w:t>
      </w:r>
    </w:p>
  </w:footnote>
  <w:footnote w:id="3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الصفحة 435-436.</w:t>
      </w:r>
    </w:p>
  </w:footnote>
  <w:footnote w:id="3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فی«ف»و«ص»،و فی«ش»:«کتعریض المبیع و البیع الفاسد»،و فی سائر النسخ:«کتعریض المبیع للبیع الفاسد»،لکن صحّح فی هامش«م» و«ن»بما أثبتناه.</w:t>
      </w:r>
    </w:p>
  </w:footnote>
  <w:footnote w:id="3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فی«ف»و«خ»و نسخة بدل«ع»:فی ماله.</w:t>
      </w:r>
    </w:p>
  </w:footnote>
  <w:footnote w:id="3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14:523،الباب 24 من أبواب نکاح العبید و الإماء.</w:t>
      </w:r>
    </w:p>
  </w:footnote>
  <w:footnote w:id="3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فی«ش»و المصدر،و فی سائر النسخ:فعل.</w:t>
      </w:r>
    </w:p>
  </w:footnote>
  <w:footnote w:id="3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14:211،الباب 7 من أبواب عقد النکاح و أولیاء العقد،الحدیث 3.</w:t>
      </w:r>
    </w:p>
  </w:footnote>
  <w:footnote w:id="3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غیر«ش»:«لکیفیة»،لکن صحّحت فی«م»،«ن»و«ص»بما أثبتناه.</w:t>
      </w:r>
    </w:p>
  </w:footnote>
  <w:footnote w:id="3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ادّعاه الشیخ فی المبسوط 2:83،و الحلی فی السرائر 2:248.</w:t>
      </w:r>
    </w:p>
  </w:footnote>
  <w:footnote w:id="3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فی«ش»:فتوقّفهما.</w:t>
      </w:r>
    </w:p>
  </w:footnote>
  <w:footnote w:id="3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فی«ف»زیادة:فیها-خ.</w:t>
      </w:r>
    </w:p>
  </w:footnote>
  <w:footnote w:id="3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بدل«ن»:عن العقد.</w:t>
      </w:r>
    </w:p>
  </w:footnote>
  <w:footnote w:id="3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العبارة فی«ف»هکذا:مع عدم اعتبار صدق الردّ.</w:t>
      </w:r>
    </w:p>
  </w:footnote>
  <w:footnote w:id="3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مثال للمنفیّ،لا النفی.</w:t>
      </w:r>
    </w:p>
  </w:footnote>
  <w:footnote w:id="3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عرفت الأولویة فی الصفحة السابقة.</w:t>
      </w:r>
    </w:p>
  </w:footnote>
  <w:footnote w:id="3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فی«م»و«ش»:هنا.</w:t>
      </w:r>
    </w:p>
  </w:footnote>
  <w:footnote w:id="3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مفتاح الکرامة 4:198.</w:t>
      </w:r>
    </w:p>
  </w:footnote>
  <w:footnote w:id="3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1:259.</w:t>
      </w:r>
    </w:p>
  </w:footnote>
  <w:footnote w:id="3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إیضاح الفوائد 2:354.</w:t>
      </w:r>
    </w:p>
  </w:footnote>
  <w:footnote w:id="3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8:282.</w:t>
      </w:r>
    </w:p>
  </w:footnote>
  <w:footnote w:id="3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فی«ش»،و فی غیرها:المنشئ لمفهوم.</w:t>
      </w:r>
    </w:p>
  </w:footnote>
  <w:footnote w:id="3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البیع»من«ش»فقط.</w:t>
      </w:r>
    </w:p>
  </w:footnote>
  <w:footnote w:id="3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فی«ص»و مصحّحة«ن»،و فی سائر النسخ:المقدّم.</w:t>
      </w:r>
    </w:p>
  </w:footnote>
  <w:footnote w:id="3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201-208(الثالث من الأُمور المتفرّعة علی المقبوض بالعقد الفاسد).</w:t>
      </w:r>
    </w:p>
  </w:footnote>
  <w:footnote w:id="3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العلّامة فی القواعد 1:202 و التذکرة 2:377،و الشهید الثانی فی المسالک(الطبعة الحجریة)2:205،و المحقّق السبزواری فی الکفایة:259.</w:t>
      </w:r>
    </w:p>
  </w:footnote>
  <w:footnote w:id="3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ترد«فیه»فی«ف».</w:t>
      </w:r>
    </w:p>
  </w:footnote>
  <w:footnote w:id="3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فی«ف»:کأن اعترف.</w:t>
      </w:r>
    </w:p>
  </w:footnote>
  <w:footnote w:id="3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1:124 و التذکرة 1:463.</w:t>
      </w:r>
    </w:p>
  </w:footnote>
  <w:footnote w:id="3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إیضاح الفوائد 1:418 و 421.</w:t>
      </w:r>
    </w:p>
  </w:footnote>
  <w:footnote w:id="3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3:193،و اللمعة الدمشقیة:110،و الروضة البهیة 3:234- 235،و المسالک 3:160-161.</w:t>
      </w:r>
    </w:p>
  </w:footnote>
  <w:footnote w:id="3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4:77.</w:t>
      </w:r>
    </w:p>
  </w:footnote>
  <w:footnote w:id="3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 الحاکی بعینه،نعم حکی السیّد العاملی فی مفتاح الکرامة(4: 193-194)ما یظهر منه هذا،و راجع الجواهر 22:305-306.</w:t>
      </w:r>
    </w:p>
  </w:footnote>
  <w:footnote w:id="3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التذکرة 1:463،و المختلف 5:55 56.</w:t>
      </w:r>
    </w:p>
  </w:footnote>
  <w:footnote w:id="3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إیضاح الفوائد 1:421.</w:t>
      </w:r>
    </w:p>
  </w:footnote>
  <w:footnote w:id="3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جامع المقاصد 4:77 و 6:326.</w:t>
      </w:r>
    </w:p>
  </w:footnote>
  <w:footnote w:id="3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المسالک 3:160،و الروضة البهیة 3:235.</w:t>
      </w:r>
    </w:p>
  </w:footnote>
  <w:footnote w:id="3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المحدّث البحرانی فی الحدائق 18:392،و کاشف الغطاء فی شرحه علی القواعد(مخطوط):64 و غیرهما.</w:t>
      </w:r>
    </w:p>
  </w:footnote>
  <w:footnote w:id="3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السرائر 2:226 و 325.</w:t>
      </w:r>
    </w:p>
  </w:footnote>
  <w:footnote w:id="3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التذکرة 1:463 و نهایة الإحکام 2:478.</w:t>
      </w:r>
    </w:p>
  </w:footnote>
  <w:footnote w:id="3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الشهید الثانی فی المسالک 3:160 و الروضة البهیّة 3:235،و السیّد الطباطبائی فی الریاض 1:513،و انظر الجواهر 22:305.</w:t>
      </w:r>
    </w:p>
  </w:footnote>
  <w:footnote w:id="3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فی«ش»:من آخر.</w:t>
      </w:r>
    </w:p>
  </w:footnote>
  <w:footnote w:id="3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کلمة«أیضاً»من«ش»و مصحّحة«ن».</w:t>
      </w:r>
    </w:p>
  </w:footnote>
  <w:footnote w:id="3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عوالی اللآلی 1:389،الحدیث 22.</w:t>
      </w:r>
    </w:p>
  </w:footnote>
  <w:footnote w:id="3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المبسوط 3:85 و 89،و تقدّم فی الصفحة 182 من هذا الکتاب.</w:t>
      </w:r>
    </w:p>
  </w:footnote>
  <w:footnote w:id="3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کالمحقّق الثانی فی جامع المقاصد 4:61 و 6:324،و الشهید الثانی فی المسالک 3:154.</w:t>
      </w:r>
    </w:p>
  </w:footnote>
  <w:footnote w:id="3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13:227،الباب 4 من أبواب کتاب الودیعة.</w:t>
      </w:r>
    </w:p>
  </w:footnote>
  <w:footnote w:id="3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فی«ف»:کالعاریة.</w:t>
      </w:r>
    </w:p>
  </w:footnote>
  <w:footnote w:id="3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13:235 و 239،الباب 1 و 3 من أبواب کتاب العاریة.</w:t>
      </w:r>
    </w:p>
  </w:footnote>
  <w:footnote w:id="3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13:281،الباب 32 من أبواب الإجارة و غیره من الأبواب.</w:t>
      </w:r>
    </w:p>
  </w:footnote>
  <w:footnote w:id="3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فی الهبة الفاسدة علی شیء من الشهید و لا من غیره،و أمّا فی البیع بلا ثمن و فی الإجارة بلا اجرة فقد تقدّم فی مبحث المقبوض بالعقد الفاسد عن الشهیدین و العلّامة عدم الضمان،راجع الصفحة 186.</w:t>
      </w:r>
    </w:p>
  </w:footnote>
  <w:footnote w:id="3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مصحّحة«م»:تسلیطه.</w:t>
      </w:r>
    </w:p>
  </w:footnote>
  <w:footnote w:id="3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فی«ف»زیادة:«و المبادلة»،و فی هامش«ن»:و المبادلة-خ.</w:t>
      </w:r>
    </w:p>
  </w:footnote>
  <w:footnote w:id="3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الصفحة 381 و ما بعدها.</w:t>
      </w:r>
    </w:p>
  </w:footnote>
  <w:footnote w:id="3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غیر«ص»و«ش»:«للثمن»،لکن صحّح فی«ن»بما أثبتناه، و اختلفت النسخ فی هذه الکلمة فی السطور الآتیة أیضاً،أعرضنا عن الإشارة إلیها اعتماداً علی صحّة ما أثبتناه.</w:t>
      </w:r>
    </w:p>
  </w:footnote>
  <w:footnote w:id="3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فی«ش»و نسخة بدل«ن»،و فی سائر النسخ:لملکیّة.</w:t>
      </w:r>
    </w:p>
  </w:footnote>
  <w:footnote w:id="3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فی«ع»و ظاهر«ن»بدل«أنّ»:«إذ»،و فی مصحّحتی«م»و«ن»:أنّ.</w:t>
      </w:r>
    </w:p>
  </w:footnote>
  <w:footnote w:id="3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188-191.</w:t>
      </w:r>
    </w:p>
  </w:footnote>
  <w:footnote w:id="3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486-487.</w:t>
      </w:r>
    </w:p>
  </w:footnote>
  <w:footnote w:id="3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فی«ف»زیادة:أو السلطنة علی إتلافه.</w:t>
      </w:r>
    </w:p>
  </w:footnote>
  <w:footnote w:id="3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القواعد(مخطوط):68.</w:t>
      </w:r>
    </w:p>
  </w:footnote>
  <w:footnote w:id="3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فی«ف»زیادة:مقتضی.</w:t>
      </w:r>
    </w:p>
  </w:footnote>
  <w:footnote w:id="3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إبطاله فی مسألة المقبوض بالعقد الفاسد،راجع الصفحة 186.</w:t>
      </w:r>
    </w:p>
  </w:footnote>
  <w:footnote w:id="3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مصحّحة«م»:البیع.</w:t>
      </w:r>
    </w:p>
  </w:footnote>
  <w:footnote w:id="3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فی«ش»و مصحّحة«ن»،و فی سائر النسخ:فیها.</w:t>
      </w:r>
    </w:p>
  </w:footnote>
  <w:footnote w:id="3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ترد«هنا»فی غیر«ف»و«ش»،و استُدرکت فی«ن».</w:t>
      </w:r>
    </w:p>
  </w:footnote>
  <w:footnote w:id="3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صرّح به المحقّق فی الشرائع 4:78،و العلّامة فی القواعد 2:205،و فی المستند(2:527)هکذا:علی المصرّح به فی کلام الأصحاب بل نفی الخلاف بیننا علیه.</w:t>
      </w:r>
    </w:p>
  </w:footnote>
  <w:footnote w:id="3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عن الشهیدین فی مبحث المقبوض بالعقد الفاسد(راجع الصفحة 186)، و استحسنه السیّد الطباطبائی فی الریاض 2:8 فیما لو اشترط عدم الأُجرة.</w:t>
      </w:r>
    </w:p>
  </w:footnote>
  <w:footnote w:id="3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12:61 و 83،الباب 5 و 14 من أبواب ما یکتسب به، و غیرهما من الأبواب.</w:t>
      </w:r>
    </w:p>
  </w:footnote>
  <w:footnote w:id="3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غیر«ص»و«ش»:«تسلّط»،لکن صحّح فی«ن»و«م»بما أثبتناه.</w:t>
      </w:r>
    </w:p>
  </w:footnote>
  <w:footnote w:id="3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فی«ص»:رفع.</w:t>
      </w:r>
    </w:p>
  </w:footnote>
  <w:footnote w:id="3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نقف علی المصرّح بهذا،نعم نسبه فی جامع المقاصد 4:71 إلی الأصحاب،و فی الجواهر 22:307 نسبة جواز التصرّف إلی ظاهر المحقّق الکرکی و غیره.</w:t>
      </w:r>
    </w:p>
  </w:footnote>
  <w:footnote w:id="3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کلمة«الغاصب»من«ش»و مصحّحة«ن».</w:t>
      </w:r>
    </w:p>
  </w:footnote>
  <w:footnote w:id="3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فی«ف»و«ص»و مصحّحة«ن»،و فی سائر النسخ:من.</w:t>
      </w:r>
    </w:p>
  </w:footnote>
  <w:footnote w:id="3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الریاض 2:307.</w:t>
      </w:r>
    </w:p>
  </w:footnote>
  <w:footnote w:id="3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الکفایة:260،و فیه:«و ذکر الأصحاب...إلخ»،کما نقله عنه السیّد العاملی فی مفتاح الکرامة 4:199.</w:t>
      </w:r>
    </w:p>
  </w:footnote>
  <w:footnote w:id="3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مفتاح الکرامة 4:199.</w:t>
      </w:r>
    </w:p>
  </w:footnote>
  <w:footnote w:id="3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یوجد لدینا،لکن حکاه عنه السیّد العاملی فی مفتاح الکرامة 4:199.</w:t>
      </w:r>
    </w:p>
  </w:footnote>
  <w:footnote w:id="3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غیر«ف»و«ش»بدل«بما»:ما.</w:t>
      </w:r>
    </w:p>
  </w:footnote>
  <w:footnote w:id="3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فی«ش»:یر(رمز التحریر)،و انظر التحریر 2:142.</w:t>
      </w:r>
    </w:p>
  </w:footnote>
  <w:footnote w:id="3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2:493.</w:t>
      </w:r>
    </w:p>
  </w:footnote>
  <w:footnote w:id="3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الواو»من«ف»و«ش».</w:t>
      </w:r>
    </w:p>
  </w:footnote>
  <w:footnote w:id="3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5:340.</w:t>
      </w:r>
    </w:p>
  </w:footnote>
  <w:footnote w:id="3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المسالک 4:205.</w:t>
      </w:r>
    </w:p>
  </w:footnote>
  <w:footnote w:id="3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فی«خ»و«ع»کتب علی«قلعه»:تلفه-خ،و فی«ص»:أتلفه-خ.</w:t>
      </w:r>
    </w:p>
  </w:footnote>
  <w:footnote w:id="3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فی«م»،و فی سائر النسخ:من.</w:t>
      </w:r>
    </w:p>
  </w:footnote>
  <w:footnote w:id="3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14:592،الباب 88 من أبواب نکاح العبید و الإماء،الحدیث 5.</w:t>
      </w:r>
    </w:p>
  </w:footnote>
  <w:footnote w:id="3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فی«ن»،و استظهر فی«ص»،و فی سائر النسخ:لعلّیة.</w:t>
      </w:r>
    </w:p>
  </w:footnote>
  <w:footnote w:id="3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کذا،و المناسب:ما أخذ.</w:t>
      </w:r>
    </w:p>
  </w:footnote>
  <w:footnote w:id="3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فی«ف»:فولد منها.</w:t>
      </w:r>
    </w:p>
  </w:footnote>
  <w:footnote w:id="3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14:592،الباب 88 من أبواب نکاح العبید و الإماء،الحدیث 4.</w:t>
      </w:r>
    </w:p>
  </w:footnote>
  <w:footnote w:id="3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 الحقّ»:الوثیقة التی یُذکر فیها الدین،انظر لسان العرب 7:379، و الإفصاح:1208.</w:t>
      </w:r>
    </w:p>
  </w:footnote>
  <w:footnote w:id="3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الوسائل:منه.</w:t>
      </w:r>
    </w:p>
  </w:footnote>
  <w:footnote w:id="3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الوسائل:الذکر بالحقّ.</w:t>
      </w:r>
    </w:p>
  </w:footnote>
  <w:footnote w:id="3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ترد«ذلک»فی الوسائل،و شطب علیها فی«ص».</w:t>
      </w:r>
    </w:p>
  </w:footnote>
  <w:footnote w:id="3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الوسائل:قد أحدث فیها بناء و غرس.</w:t>
      </w:r>
    </w:p>
  </w:footnote>
  <w:footnote w:id="3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فی«ف»و«خ»و نسخة بدل«ن»،«م»،«ع»و«ش»:نفسه.</w:t>
      </w:r>
    </w:p>
  </w:footnote>
  <w:footnote w:id="3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فی«ف»،«م»و«ع»:ترد.</w:t>
      </w:r>
    </w:p>
  </w:footnote>
  <w:footnote w:id="3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الوسائل و مصحّحة«م»و«ص»:إلی.</w:t>
      </w:r>
    </w:p>
  </w:footnote>
  <w:footnote w:id="3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عبارة«أن یردّ علیه»من الوسائل،و قد استدرکت فی هامش«خ»،«م»، «ص»و«ش».</w:t>
      </w:r>
    </w:p>
  </w:footnote>
  <w:footnote w:id="3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الوسائل و مصحّحة«ص»،و فی النسخ:منه.</w:t>
      </w:r>
    </w:p>
  </w:footnote>
  <w:footnote w:id="3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کلمة«عنها»من الوسائل،و استدرکت فی«م»و«ص».</w:t>
      </w:r>
    </w:p>
  </w:footnote>
  <w:footnote w:id="3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کلمة«فهو»من الوسائل،و استدرکت فی«م»و«ص».</w:t>
      </w:r>
    </w:p>
  </w:footnote>
  <w:footnote w:id="3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النسخ زیادة:«إلخ»،و الظاهر أنّه لا وجه له،لأنّ الحدیث مذکور بتمامه، انظر الوسائل 12:253،الباب 3 من أبواب عقد البیع و شروطه.</w:t>
      </w:r>
    </w:p>
  </w:footnote>
  <w:footnote w:id="3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النسخ،و الظاهر أنّ الصواب:«ورودهما»کما فی مصحّحة«ن».</w:t>
      </w:r>
    </w:p>
  </w:footnote>
  <w:footnote w:id="3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فی«ش»:أنّه.</w:t>
      </w:r>
    </w:p>
  </w:footnote>
  <w:footnote w:id="3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فی«ع»و«ص»:غارماً.</w:t>
      </w:r>
    </w:p>
  </w:footnote>
  <w:footnote w:id="3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کذا،و لعلّ الأولی:أقواهما.</w:t>
      </w:r>
    </w:p>
  </w:footnote>
  <w:footnote w:id="3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السیّد العاملی فی مفتاح الکرامة 4:199 و 6:301 عن موضع من المبسوط،و لم نعثر علیه فیه،و فی الإیضاح(2:191)و التنقیح(4:75)أنّ للشیخ قولین،و لکنّ الشهید الثانی فی المسالک(2:213)الطبعة الحجریة حکی عن الشیخ فی المبسوط:العدم،و مثله المحقّق السبزواری فی الکفایة: 260 و السیّد الطباطبائی فی الریاض 2:307.</w:t>
      </w:r>
    </w:p>
  </w:footnote>
  <w:footnote w:id="3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الشهید الثانی فی المسالک(الطبعة الحجریة)2:213،و السیّد الطباطبائی فی الریاض 2:307 و غیرهما عن متاجر الشرائع،انظر الشرائع 2:14.</w:t>
      </w:r>
    </w:p>
  </w:footnote>
  <w:footnote w:id="3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السیّد العاملی فی مفتاح الکرامة 6:301،عن ظاهر القواعد فی المتاجر،و انظر القواعد 1:124.</w:t>
      </w:r>
    </w:p>
  </w:footnote>
  <w:footnote w:id="3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3:115،و الروضة البهیّة 3:238،و المسالک 3:160.</w:t>
      </w:r>
    </w:p>
  </w:footnote>
  <w:footnote w:id="3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6:326.</w:t>
      </w:r>
    </w:p>
  </w:footnote>
  <w:footnote w:id="3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کفخر المحقّقین فی إیضاح الفوائد 2:191،و المحقّق الأردبیلی فی مجمع الفائدة 8:164،و غیرهما.</w:t>
      </w:r>
    </w:p>
  </w:footnote>
  <w:footnote w:id="3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التنقیح 4:75.</w:t>
      </w:r>
    </w:p>
  </w:footnote>
  <w:footnote w:id="3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الریاض 2:307.</w:t>
      </w:r>
    </w:p>
  </w:footnote>
  <w:footnote w:id="3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صاحب الجواهر فی الجواهر 37:183.</w:t>
      </w:r>
    </w:p>
  </w:footnote>
  <w:footnote w:id="3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نسبه صاحب الجواهر فی الجواهر 37:57.</w:t>
      </w:r>
    </w:p>
  </w:footnote>
  <w:footnote w:id="3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الإیضاح 2:191.</w:t>
      </w:r>
    </w:p>
  </w:footnote>
  <w:footnote w:id="3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 ما تقدّم فی الصفحة 494 و ما بعدها.</w:t>
      </w:r>
    </w:p>
  </w:footnote>
  <w:footnote w:id="3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غیر«ف»و«ن»:«لشهادته»،راجع الوسائل 18:238 و 242، الباب 11 و 14 من أبواب الشهادات.</w:t>
      </w:r>
    </w:p>
  </w:footnote>
  <w:footnote w:id="3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فی«ف»،«ن»و«خ»:قد.</w:t>
      </w:r>
    </w:p>
  </w:footnote>
  <w:footnote w:id="3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فی«ف»،و فی سائر النسخ:«تحقّقها»،لکن صحّحت فی«ن»،«م» و«ص»بما أثبتناه.</w:t>
      </w:r>
    </w:p>
  </w:footnote>
  <w:footnote w:id="3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صاحب الجواهر فی الجواهر 37:183.</w:t>
      </w:r>
    </w:p>
  </w:footnote>
  <w:footnote w:id="3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الریاض 2:307.</w:t>
      </w:r>
    </w:p>
  </w:footnote>
  <w:footnote w:id="3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فی«م»:إتلاف.</w:t>
      </w:r>
    </w:p>
  </w:footnote>
  <w:footnote w:id="3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فی الصفحة 494.</w:t>
      </w:r>
    </w:p>
  </w:footnote>
  <w:footnote w:id="3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3:246.</w:t>
      </w:r>
    </w:p>
  </w:footnote>
  <w:footnote w:id="3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المسالک(الطبعة الحجریة)2:213.</w:t>
      </w:r>
    </w:p>
  </w:footnote>
  <w:footnote w:id="3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فی«خ»،«م»،«ع»و«ص»:«سوی»،و فی الأخیرة مکتوب فوقها: ساوی-ظ.</w:t>
      </w:r>
    </w:p>
  </w:footnote>
  <w:footnote w:id="3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فی«ش»و مصحّحة«ن»،و فی غیرهما:بعشرین.</w:t>
      </w:r>
    </w:p>
  </w:footnote>
  <w:footnote w:id="3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فی«ع»:یغرمه.</w:t>
      </w:r>
    </w:p>
  </w:footnote>
  <w:footnote w:id="3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غیر«ش»بدل المشتری:«البائع»،لکن صحّحت فی«خ»،«م»،«ن» و«ص»بما أثبتناه.</w:t>
      </w:r>
    </w:p>
  </w:footnote>
  <w:footnote w:id="3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ترد«للثمن»فی«ف».</w:t>
      </w:r>
    </w:p>
  </w:footnote>
  <w:footnote w:id="3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المسالک(الطبعة الحجریة)2:213،و الجواهر 37:179.</w:t>
      </w:r>
    </w:p>
  </w:footnote>
  <w:footnote w:id="3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فی«ف»:و توضیح.</w:t>
      </w:r>
    </w:p>
  </w:footnote>
  <w:footnote w:id="3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الصفحة 190-191 و 489.</w:t>
      </w:r>
    </w:p>
  </w:footnote>
  <w:footnote w:id="3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تقدّم فی الصفحة 486،و راجع الصفحة 182 و 188،أیضاً،فی مبحث المقبوض بالعقد الفاسد.</w:t>
      </w:r>
    </w:p>
  </w:footnote>
  <w:footnote w:id="3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تقدّم فی الصفحة 486،و راجع الصفحة 182 و 188،أیضاً،فی مبحث المقبوض بالعقد الفاسد.</w:t>
      </w:r>
    </w:p>
  </w:footnote>
  <w:footnote w:id="3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190-191.</w:t>
      </w:r>
    </w:p>
  </w:footnote>
  <w:footnote w:id="3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فی«ف»:قد تلخّص.</w:t>
      </w:r>
    </w:p>
  </w:footnote>
  <w:footnote w:id="3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فی«ف»و نسخة بدل«ن»،و فی سائر النسخ:إلیه.</w:t>
      </w:r>
    </w:p>
  </w:footnote>
  <w:footnote w:id="3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فی«ف»:الضمان.</w:t>
      </w:r>
    </w:p>
  </w:footnote>
  <w:footnote w:id="3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غیر«ف»و«ش»زیادة:«لا وجه له،و»،و قد شطب علیها فی«ن».</w:t>
      </w:r>
    </w:p>
  </w:footnote>
  <w:footnote w:id="3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فی«ش»،و فی سائر النسخ:«لا یعقل الاستقرار»،لکن صحّح فی«خ» و«ص»ب«لا یعقل استقراره».</w:t>
      </w:r>
    </w:p>
  </w:footnote>
  <w:footnote w:id="3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عوالی اللآلی 1:224،الحدیث 106 و 389،الحدیث 22.</w:t>
      </w:r>
    </w:p>
  </w:footnote>
  <w:footnote w:id="3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غیر«ف»و«ن»:الخروج.</w:t>
      </w:r>
    </w:p>
  </w:footnote>
  <w:footnote w:id="3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عند تلفه»ساقطة من«ف».</w:t>
      </w:r>
    </w:p>
  </w:footnote>
  <w:footnote w:id="3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فی«ش»و مصحّحتی«ن»و«م»،و فی مصحّحتی«خ»و«ص»:أحدهم، و فی نسختی«ف»و«ع»:«أحدهما»،و الظاهر أنّها کانت فی أصل النسخ مثنّاة،ثمّ أُضیف إلیها فی بعض النسخ کلمة«من»قبلها تصحیحاً أو استظهاراً.</w:t>
      </w:r>
    </w:p>
  </w:footnote>
  <w:footnote w:id="3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فی«ص»زیادة:من-خ.</w:t>
      </w:r>
    </w:p>
  </w:footnote>
  <w:footnote w:id="3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فی«ع»و«ص»و مصحّحة«خ»،و فی سائر النسخ:«کونها»،قال الشهیدی:ضمیر«کونها»علی تقدیر صحّة النسخة راجع إلی«الباقی»بلحاظ المعنی،فإنّ المراد منه الأبدال،و الصواب«کونه»بدل«کونها».(هدایة الطالب:311).</w:t>
      </w:r>
    </w:p>
  </w:footnote>
  <w:footnote w:id="3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فی«ف»،و فی«ن»و«خ»قبل التصحیح،و فی سائر النسخ: «فأیّهما»،و الصواب ما أثبتناه،و الضمیر راجع إلی«الأبدال»المستفاد من الکلام.</w:t>
      </w:r>
    </w:p>
  </w:footnote>
  <w:footnote w:id="3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فی«خ»شطب علی«بدله».</w:t>
      </w:r>
    </w:p>
  </w:footnote>
  <w:footnote w:id="3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فی«ف»و«ن»:واحد.</w:t>
      </w:r>
    </w:p>
  </w:footnote>
  <w:footnote w:id="3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غیر«ش»بدل«و»:«إذ»،لکن صحّح فی«ن»بما أثبتناه.</w:t>
      </w:r>
    </w:p>
  </w:footnote>
  <w:footnote w:id="3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المغنی؛لابن قدامة 4:590.</w:t>
      </w:r>
    </w:p>
  </w:footnote>
  <w:footnote w:id="3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نقف علیه.</w:t>
      </w:r>
    </w:p>
  </w:footnote>
  <w:footnote w:id="3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2:92،و فیه:و فی ضمان الأعیان المضمونة و العهدة إشکال،أقربه عندی جواز مطالبة کلٍّ من الضامن و المضمون عنه بالعین المغصوبة.</w:t>
      </w:r>
    </w:p>
  </w:footnote>
  <w:footnote w:id="3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نقف علیه.</w:t>
      </w:r>
    </w:p>
  </w:footnote>
  <w:footnote w:id="3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الوسیلة:281.</w:t>
      </w:r>
    </w:p>
  </w:footnote>
  <w:footnote w:id="3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الإیضاح 2:89.</w:t>
      </w:r>
    </w:p>
  </w:footnote>
  <w:footnote w:id="3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نقف علیه فی کتبه و لا علی من حکی عنه.</w:t>
      </w:r>
    </w:p>
  </w:footnote>
  <w:footnote w:id="3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فی«ش»:دروسه.</w:t>
      </w:r>
    </w:p>
  </w:footnote>
  <w:footnote w:id="3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غیر«ف»:من.</w:t>
      </w:r>
    </w:p>
  </w:footnote>
  <w:footnote w:id="3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غیر«ف»و«ش»زیادة:«له»،لکن شطب علیها فی«ن».</w:t>
      </w:r>
    </w:p>
  </w:footnote>
  <w:footnote w:id="3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فی«خ»و«ع»:إذا.</w:t>
      </w:r>
    </w:p>
  </w:footnote>
  <w:footnote w:id="3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فی«ش»و مصحّحة«ص»،و فی سائر النسخ:قبل فوات المتدارک.</w:t>
      </w:r>
    </w:p>
  </w:footnote>
  <w:footnote w:id="3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فی«ف»:«فیستقل»،و فی«ش»:و یشتغل.</w:t>
      </w:r>
    </w:p>
  </w:footnote>
  <w:footnote w:id="3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فی«ف»:تدارکه.</w:t>
      </w:r>
    </w:p>
  </w:footnote>
  <w:footnote w:id="3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غیر«ن»و«ش»:لشیء.</w:t>
      </w:r>
    </w:p>
  </w:footnote>
  <w:footnote w:id="3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صاحب الجواهر فی الجواهر 37:34.</w:t>
      </w:r>
    </w:p>
  </w:footnote>
  <w:footnote w:id="3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عبارة«إلی من تلف فی یده»ساقطة من«ش».</w:t>
      </w:r>
    </w:p>
  </w:footnote>
  <w:footnote w:id="3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انتهی ما قاله صاحب الجواهر.</w:t>
      </w:r>
    </w:p>
  </w:footnote>
  <w:footnote w:id="3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فی«ف»:أنّ.</w:t>
      </w:r>
    </w:p>
  </w:footnote>
  <w:footnote w:id="3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غیر«ش»:ذمّته،لکن صحّحت فی«ص»و ظاهر«ن»بما أثبتناه.</w:t>
      </w:r>
    </w:p>
  </w:footnote>
  <w:footnote w:id="3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فی«ش»:بمن.</w:t>
      </w:r>
    </w:p>
  </w:footnote>
  <w:footnote w:id="3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مصحّحة«ص»:الأیدی.</w:t>
      </w:r>
    </w:p>
  </w:footnote>
  <w:footnote w:id="3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کلمة«إلی»من«ش»و مصحّحة«ن»،و العبارة فی«ص»:إلّا بمن.</w:t>
      </w:r>
    </w:p>
  </w:footnote>
  <w:footnote w:id="3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483.</w:t>
      </w:r>
    </w:p>
  </w:footnote>
  <w:footnote w:id="3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فی«ف»زیادة:علی.</w:t>
      </w:r>
    </w:p>
  </w:footnote>
  <w:footnote w:id="3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فی«ش»:«استردادها»؛قال الشهیدی قدّس سرّه:و ضمیر«استرداده»راجع إلی«من»فی قوله:ممّن هی فی یده.(هدایة الطالب:311).</w:t>
      </w:r>
    </w:p>
  </w:footnote>
  <w:footnote w:id="3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غیر«ش»:عهدته.</w:t>
      </w:r>
    </w:p>
  </w:footnote>
  <w:footnote w:id="3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غیر«ش»:«علیها»،لکن صحّحت فی«ن»و«ص»بما أثبتناه.</w:t>
      </w:r>
    </w:p>
  </w:footnote>
  <w:footnote w:id="3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فی«ف»:لیباشره.</w:t>
      </w:r>
    </w:p>
  </w:footnote>
  <w:footnote w:id="3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کلمة«بیع»لم ترد فی«ص»،و وردت فی«ن»،«خ»،«م»و«ع» استدراکاً أو کنسخة بدل.</w:t>
      </w:r>
    </w:p>
  </w:footnote>
  <w:footnote w:id="3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السیّد ابن زهرة فی الغنیة:209،و کاشف الغطاء فی شرحه علی القواعد(مخطوط):65،و فی الریاض(1:513)،و الجواهر(22:309):بل ظاهرهم الإجماع علیه.</w:t>
      </w:r>
    </w:p>
  </w:footnote>
  <w:footnote w:id="3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12:252،الباب 2 من أبواب عقد البیع و شروطه،و قد تقدّمت فی الصفحة 365.</w:t>
      </w:r>
    </w:p>
  </w:footnote>
  <w:footnote w:id="3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المبسوط 2:145،و الخلاف 3:144،کتاب البیوع،المسألة 232.</w:t>
      </w:r>
    </w:p>
  </w:footnote>
  <w:footnote w:id="3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الغنیة:209 و 230.</w:t>
      </w:r>
    </w:p>
  </w:footnote>
  <w:footnote w:id="3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2:275.</w:t>
      </w:r>
    </w:p>
  </w:footnote>
  <w:footnote w:id="3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نقف علی من صرّح بهذا من القائلین بالبطلان فی الفضولی،نعم یظهر من المحدّث البحرانی فی الحدائق 18:399-400 و 19:315.</w:t>
      </w:r>
    </w:p>
  </w:footnote>
  <w:footnote w:id="3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یجیء فی الصفحة 531.</w:t>
      </w:r>
    </w:p>
  </w:footnote>
  <w:footnote w:id="3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1:566.</w:t>
      </w:r>
    </w:p>
  </w:footnote>
  <w:footnote w:id="3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 فی الخلاف و لا علی من حکاه عنه،بل أنکره الشیخ فی الخلاف،راجع الخلاف 3:146،المسألة 235،نعم قوّاه فی المبسوط کما هو المحکی فی الجواهر،راجع المبسوط 2:145،و الجواهر 22:316.</w:t>
      </w:r>
    </w:p>
  </w:footnote>
  <w:footnote w:id="3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الغنیة:230.</w:t>
      </w:r>
    </w:p>
  </w:footnote>
  <w:footnote w:id="3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المشار إلیها آنفاً.</w:t>
      </w:r>
    </w:p>
  </w:footnote>
  <w:footnote w:id="3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مفتاح الکرامة 4:207،و الجواهر 22:316.</w:t>
      </w:r>
    </w:p>
  </w:footnote>
  <w:footnote w:id="3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قیّده صاحب الجواهر فی الجواهر 22:309.</w:t>
      </w:r>
    </w:p>
  </w:footnote>
  <w:footnote w:id="3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النسخ،و الظاهر أنّ الصحیح:«فی محلّه»کما استُظهر فی«ص».</w:t>
      </w:r>
    </w:p>
  </w:footnote>
  <w:footnote w:id="3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2:276.</w:t>
      </w:r>
    </w:p>
  </w:footnote>
  <w:footnote w:id="3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فی«ص»و مصحّحة«ن»،و فی سائر النسخ:ثمنها.</w:t>
      </w:r>
    </w:p>
  </w:footnote>
  <w:footnote w:id="3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فی«ف»و مصحّحة«ص»،و فی سائر النسخ:ثلاث.</w:t>
      </w:r>
    </w:p>
  </w:footnote>
  <w:footnote w:id="4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فی«ف»:«الثمن»،و فی هامش«م»زیادة:الثمن-خ ل.</w:t>
      </w:r>
    </w:p>
  </w:footnote>
  <w:footnote w:id="4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1:360.</w:t>
      </w:r>
    </w:p>
  </w:footnote>
  <w:footnote w:id="4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فی«ف»:یرجع إلی.</w:t>
      </w:r>
    </w:p>
  </w:footnote>
  <w:footnote w:id="4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2:15.</w:t>
      </w:r>
    </w:p>
  </w:footnote>
  <w:footnote w:id="4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1:125.</w:t>
      </w:r>
    </w:p>
  </w:footnote>
  <w:footnote w:id="4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اللمعة الدمشقیة:110.</w:t>
      </w:r>
    </w:p>
  </w:footnote>
  <w:footnote w:id="4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فی«ف»،«ع»و«ص»،و فی سائر النسخ:و لذا.</w:t>
      </w:r>
    </w:p>
  </w:footnote>
  <w:footnote w:id="4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فی«ف»:«الثمن»،و فی هامش«م»زیادة:الثمن-خ ل.</w:t>
      </w:r>
    </w:p>
  </w:footnote>
  <w:footnote w:id="4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حاشیة الإرشاد(مخطوط):219.</w:t>
      </w:r>
    </w:p>
  </w:footnote>
  <w:footnote w:id="4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الشهید الثانی فی المسالک 3:162 و الروضة 3:239،و المحدّث البحرانی فی الحدائق 18:402،و السیّد الطباطبائی فی الریاض 1:514،و انظر مفتاح الکرامة 4:204.</w:t>
      </w:r>
    </w:p>
  </w:footnote>
  <w:footnote w:id="4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4:78.</w:t>
      </w:r>
    </w:p>
  </w:footnote>
  <w:footnote w:id="4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غیر«ش»و مصحّحة«ص»:نصف.</w:t>
      </w:r>
    </w:p>
  </w:footnote>
  <w:footnote w:id="4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فی«ش»:المالک.</w:t>
      </w:r>
    </w:p>
  </w:footnote>
  <w:footnote w:id="4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شطب فی«ن»علی«یراد».</w:t>
      </w:r>
    </w:p>
  </w:footnote>
  <w:footnote w:id="4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5:56.</w:t>
      </w:r>
    </w:p>
  </w:footnote>
  <w:footnote w:id="4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الجواهر 25:140.</w:t>
      </w:r>
    </w:p>
  </w:footnote>
  <w:footnote w:id="4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الأصحّ فی العبارة أن یقال:«إلی قیمتهما مجتمعتین»کما نبّه علیه بعض المحشّین،انظر هدایة الطالب:313.</w:t>
      </w:r>
    </w:p>
  </w:footnote>
  <w:footnote w:id="4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النسخ،و الظاهر:«فیرجع»کما فی مصحّحة«ن»و«ص».</w:t>
      </w:r>
    </w:p>
  </w:footnote>
  <w:footnote w:id="4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فی«ص»و«ش»و نسخة بدل«ن»،و فی سائر النسخ:العشرة.</w:t>
      </w:r>
    </w:p>
  </w:footnote>
  <w:footnote w:id="4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فی«ش»:إذا.</w:t>
      </w:r>
    </w:p>
  </w:footnote>
  <w:footnote w:id="4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العبارة فی الصفحة:515-516.</w:t>
      </w:r>
    </w:p>
  </w:footnote>
  <w:footnote w:id="4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نبّه علیه سلطان العلماء فی حاشیته علی الروضة البهیة ذیل قول الشارح: «و إنّما یعتبر قیمتهما»،و حکاه عنه المحقّق الخوانساری فی حواشیه علی الروضة، انظر حاشیة سلطان العلماء علی الروضة:65،و حاشیة الروضة:359.</w:t>
      </w:r>
    </w:p>
  </w:footnote>
  <w:footnote w:id="4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غیر«ف»:هیئته.</w:t>
      </w:r>
    </w:p>
  </w:footnote>
  <w:footnote w:id="4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فی«ص»کتب فوق ملک:ملکه-ظ.</w:t>
      </w:r>
    </w:p>
  </w:footnote>
  <w:footnote w:id="4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غیر«ف»:هیئته الاجتماعیة.</w:t>
      </w:r>
    </w:p>
  </w:footnote>
  <w:footnote w:id="4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مصحّحة«ص»:متعدّداً.</w:t>
      </w:r>
    </w:p>
  </w:footnote>
  <w:footnote w:id="4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فی«ش»،و استظهره مصحّح«ص»،و فی«ف»:«بینها»،و فی سائر النسخ:منها.</w:t>
      </w:r>
    </w:p>
  </w:footnote>
  <w:footnote w:id="4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فی«ف»:و یؤخذ.</w:t>
      </w:r>
    </w:p>
  </w:footnote>
  <w:footnote w:id="4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فی«ش»:«تلک».قال الشهیدی قدّس سرّه:إضافة«الملک»إلی«الدار» بیانیة،و لو ترک المضاف لکان أولی.(هدایة الطالب:313).</w:t>
      </w:r>
    </w:p>
  </w:footnote>
  <w:footnote w:id="4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ترد«غیر»فی«ف».</w:t>
      </w:r>
    </w:p>
  </w:footnote>
  <w:footnote w:id="4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یجیء فی الصفحة 525.</w:t>
      </w:r>
    </w:p>
  </w:footnote>
  <w:footnote w:id="4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الإیضاح 1:421.</w:t>
      </w:r>
    </w:p>
  </w:footnote>
  <w:footnote w:id="4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فی«ف»و«ص»،و فی سائر النسخ:فبقی.</w:t>
      </w:r>
    </w:p>
  </w:footnote>
  <w:footnote w:id="4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فی«ش»و مصحّحة«ن»و«ص»،و فی غیرها:بها.</w:t>
      </w:r>
    </w:p>
  </w:footnote>
  <w:footnote w:id="4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المسالک 3:156.</w:t>
      </w:r>
    </w:p>
  </w:footnote>
  <w:footnote w:id="4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فی«ف»:فیها.</w:t>
      </w:r>
    </w:p>
  </w:footnote>
  <w:footnote w:id="4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فی«ف»:«المنع»،و فی«ش»:المبیع،و استظهره مصحّح«ص»أیضاً.</w:t>
      </w:r>
    </w:p>
  </w:footnote>
  <w:footnote w:id="4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النسخ،و المناسب:معلومة،کما فی مصحّحة«ص».</w:t>
      </w:r>
    </w:p>
  </w:footnote>
  <w:footnote w:id="4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سوی«م»و«ش»:عن.</w:t>
      </w:r>
    </w:p>
  </w:footnote>
  <w:footnote w:id="4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2:330،المسألة العاشرة،و لم نعثر علیه فی کتب العلّامة،نعم ذکره فی القواعد 2:43 علی أحد الاحتمالین.</w:t>
      </w:r>
    </w:p>
  </w:footnote>
  <w:footnote w:id="4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اللمعة الدمشقیة:197،و الروضة البهیة 5:367،و المسالک 8:255.</w:t>
      </w:r>
    </w:p>
  </w:footnote>
  <w:footnote w:id="4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فخر المحقّقین فی الإیضاح 3:233،و المحقّق السبزواری فی الکفایة: 182.و السیّد الطباطبائی فی الریاض 2:146.</w:t>
      </w:r>
    </w:p>
  </w:footnote>
  <w:footnote w:id="4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فی«ن»،«م»و«ع»:إجمالاً.</w:t>
      </w:r>
    </w:p>
  </w:footnote>
  <w:footnote w:id="4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ذکره العلّامة فی القواعد 2:43،و الشهید الثانی فی المسالک 8:255، و الروضة البهیّة 5:368.</w:t>
      </w:r>
    </w:p>
  </w:footnote>
  <w:footnote w:id="4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البقرة:237.</w:t>
      </w:r>
    </w:p>
  </w:footnote>
  <w:footnote w:id="4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غیر«ش»:متساویاً.</w:t>
      </w:r>
    </w:p>
  </w:footnote>
  <w:footnote w:id="4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فی«ش»:و إنّهم.</w:t>
      </w:r>
    </w:p>
  </w:footnote>
  <w:footnote w:id="4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ذکره المحقّق فی الشرائع 2:122،و العلّامة فی القواعد 1:186،و راجع لتفصیل الأقوال مفتاح الکرامة 5:492.</w:t>
      </w:r>
    </w:p>
  </w:footnote>
  <w:footnote w:id="4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فی«ص»:«المصالحة»،و کتب فوقه:المصالح-خ ل.</w:t>
      </w:r>
    </w:p>
  </w:footnote>
  <w:footnote w:id="4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اختاره السیّد المجاهد فی المناهل:358.</w:t>
      </w:r>
    </w:p>
  </w:footnote>
  <w:footnote w:id="4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المسالک 4:272.</w:t>
      </w:r>
    </w:p>
  </w:footnote>
  <w:footnote w:id="4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مجمع الفائدة 9:349.</w:t>
      </w:r>
    </w:p>
  </w:footnote>
  <w:footnote w:id="4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فی«ن»،«خ»،«م»و«ع»:«فوزّع»،لکن صحّح فی«خ»و«ع»بما أثبتناه.</w:t>
      </w:r>
    </w:p>
  </w:footnote>
  <w:footnote w:id="4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هامش«ن»:الظاهر:منّا،بدل منهما.</w:t>
      </w:r>
    </w:p>
  </w:footnote>
  <w:footnote w:id="4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فی«ش»:و هو.</w:t>
      </w:r>
    </w:p>
  </w:footnote>
  <w:footnote w:id="4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w:t>
      </w:r>
    </w:p>
  </w:footnote>
  <w:footnote w:id="4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غیر«ش»زیادة:فی هذا المقام.</w:t>
      </w:r>
    </w:p>
  </w:footnote>
  <w:footnote w:id="4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ترد«لمّا»فی«ش»،و شطب علیها فی«ص»،و الظاهر زیادتها؛لعدم وجود جواب لها فی العبارة.</w:t>
      </w:r>
    </w:p>
  </w:footnote>
  <w:footnote w:id="4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مصحّحة«ن»:فإنّما.</w:t>
      </w:r>
    </w:p>
  </w:footnote>
  <w:footnote w:id="4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أی:هلک و تلف.</w:t>
      </w:r>
    </w:p>
  </w:footnote>
  <w:footnote w:id="4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إیضاح الفوائد 2:468.</w:t>
      </w:r>
    </w:p>
  </w:footnote>
  <w:footnote w:id="4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مصحّحة«ص»زیادة:فإن کان.</w:t>
      </w:r>
    </w:p>
  </w:footnote>
  <w:footnote w:id="4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فی«ش»و مصحّحة«ن»:حصّته.</w:t>
      </w:r>
    </w:p>
  </w:footnote>
  <w:footnote w:id="4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فی«ف»و مصحّحة«ن»،و فی سائر النسخ:عمّا.</w:t>
      </w:r>
    </w:p>
  </w:footnote>
  <w:footnote w:id="4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الشیخ الکلینی فی الکافی 7:166،فی باب الإقرار بوارث آخر.</w:t>
      </w:r>
    </w:p>
  </w:footnote>
  <w:footnote w:id="4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غیر«ش»:کروایة،لکن صحّحت فی أکثرها بما أثبتناه.</w:t>
      </w:r>
    </w:p>
  </w:footnote>
  <w:footnote w:id="4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المحقّق الثانی فی جامع المقاصد 9:356،و المحقّق الخراسانی فی الکفایة: 232.</w:t>
      </w:r>
    </w:p>
  </w:footnote>
  <w:footnote w:id="4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المسالک(الطبعة الحجریة)2:145.</w:t>
      </w:r>
    </w:p>
  </w:footnote>
  <w:footnote w:id="4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یوجد لدینا ما یتعلّق بهذا المبحث من نهایة المرام.</w:t>
      </w:r>
    </w:p>
  </w:footnote>
  <w:footnote w:id="4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الریاض 2:246.</w:t>
      </w:r>
    </w:p>
  </w:footnote>
  <w:footnote w:id="4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فی«ف»:شرح.</w:t>
      </w:r>
    </w:p>
  </w:footnote>
  <w:footnote w:id="4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فی«ش»و المصدر،و فی سائر النسخ:عن وهب بن وهب أبی البختری.</w:t>
      </w:r>
    </w:p>
  </w:footnote>
  <w:footnote w:id="4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فی«ش»و المصدر،و فی سائر النسخ:حقّه.</w:t>
      </w:r>
    </w:p>
  </w:footnote>
  <w:footnote w:id="4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غیر«ف»و«ش»زیادة:کذلک،و شطب علیها فی«ن».</w:t>
      </w:r>
    </w:p>
  </w:footnote>
  <w:footnote w:id="4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عبارة«أُجیز ذلک علی الورثة»لم ترد فی غیر«ش»،لکنّها استدرکت فی هامش«ن»،«خ»و«ص».</w:t>
      </w:r>
    </w:p>
  </w:footnote>
  <w:footnote w:id="4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فی«ف»،«ن»،«خ»،«م»،«ع»و«ص»:حقّهما.</w:t>
      </w:r>
    </w:p>
  </w:footnote>
  <w:footnote w:id="4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عبارة«بقدر ما ورثا»وردت فی«ش»فقط.</w:t>
      </w:r>
    </w:p>
  </w:footnote>
  <w:footnote w:id="4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کلمة«فإنّما»من«ش»و مصحّحة«ن».</w:t>
      </w:r>
    </w:p>
  </w:footnote>
  <w:footnote w:id="4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3:189،الحدیث 3714،و التهذیب 6:198-199،الحدیث 442، و عنهما الوسائل 13:402،الباب 26 من أبواب الوصایا،الحدیث 5 و 6.</w:t>
      </w:r>
    </w:p>
  </w:footnote>
  <w:footnote w:id="4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الإسناد:52،الحدیث 171.</w:t>
      </w:r>
    </w:p>
  </w:footnote>
  <w:footnote w:id="4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فی«ش»:و المیراث.</w:t>
      </w:r>
    </w:p>
  </w:footnote>
  <w:footnote w:id="4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نقف علیه صریحاً،و لعلّه یستفاد ممّا قاله فی مسألة ما لو باع المملوک و غیر المملوک،حیث قال:فلا سبیل إلی القول بالبطلان فی الأخیر عندنا.اُنظر جامع المقاصد 4:432.</w:t>
      </w:r>
    </w:p>
  </w:footnote>
  <w:footnote w:id="4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الغنیة:209.</w:t>
      </w:r>
    </w:p>
  </w:footnote>
  <w:footnote w:id="4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فی الصفحة 365 و 513.</w:t>
      </w:r>
    </w:p>
  </w:footnote>
  <w:footnote w:id="4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4:432.</w:t>
      </w:r>
    </w:p>
  </w:footnote>
  <w:footnote w:id="4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به-ظاهراً-مکاتبة الصفّار المشار إلیها آنفاً.</w:t>
      </w:r>
    </w:p>
  </w:footnote>
  <w:footnote w:id="4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المسالک 3:163.</w:t>
      </w:r>
    </w:p>
  </w:footnote>
  <w:footnote w:id="4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فی«ف»:عن.</w:t>
      </w:r>
    </w:p>
  </w:footnote>
  <w:footnote w:id="4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فی«ش»:حرمة.</w:t>
      </w:r>
    </w:p>
  </w:footnote>
  <w:footnote w:id="4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1:565،و راجع قول الشافعی فی المجموع 9:469 و 473.</w:t>
      </w:r>
    </w:p>
  </w:footnote>
  <w:footnote w:id="4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فی«ف»و نسختی بدل«ن»و«ش»:البیع.</w:t>
      </w:r>
    </w:p>
  </w:footnote>
  <w:footnote w:id="4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فی«م»و«ش»:عن.</w:t>
      </w:r>
    </w:p>
  </w:footnote>
  <w:footnote w:id="4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ترد«أو حکمه»فی«ف»و«ش»،و شطب علیها فی«ن».</w:t>
      </w:r>
    </w:p>
  </w:footnote>
  <w:footnote w:id="4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عنه السیّد العاملی فی مفتاح الکرامة 4:209-210.</w:t>
      </w:r>
    </w:p>
  </w:footnote>
  <w:footnote w:id="4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جامع المقاصد 4:82-83.</w:t>
      </w:r>
    </w:p>
  </w:footnote>
  <w:footnote w:id="4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المسالک 3:164.</w:t>
      </w:r>
    </w:p>
  </w:footnote>
  <w:footnote w:id="4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فی«ف»:هنا.</w:t>
      </w:r>
    </w:p>
  </w:footnote>
  <w:footnote w:id="4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فی«ن»،«خ»،«م»و«ع»بدل«مع»:من.</w:t>
      </w:r>
    </w:p>
  </w:footnote>
  <w:footnote w:id="4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فی«ف»بدل«الغیر»:غیره.</w:t>
      </w:r>
    </w:p>
  </w:footnote>
  <w:footnote w:id="4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جامع المقاصد 4:83،و المسالک 3:163،و مجمع الفائدة 8:163، و مفتاح الکرامة 4:210،و الجواهر 22:321.</w:t>
      </w:r>
    </w:p>
  </w:footnote>
  <w:footnote w:id="4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فی«ف»:أو الخنزیر.</w:t>
      </w:r>
    </w:p>
  </w:footnote>
  <w:footnote w:id="4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مصحّحة«ص»:أنّه.</w:t>
      </w:r>
    </w:p>
  </w:footnote>
  <w:footnote w:id="4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ترد«کالحرّ»فی«ف»و«ش».</w:t>
      </w:r>
    </w:p>
  </w:footnote>
  <w:footnote w:id="4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العنوان منّا.</w:t>
      </w:r>
    </w:p>
  </w:footnote>
  <w:footnote w:id="4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 ما فی الوسائل 12:194 و 198،الباب 78 و 79 من أبواب ما یکتسب به.</w:t>
      </w:r>
    </w:p>
  </w:footnote>
  <w:footnote w:id="4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14:207 و 217،الباب 6 و 11 من أبواب عقد النکاح و أولیاء العقد.</w:t>
      </w:r>
    </w:p>
  </w:footnote>
  <w:footnote w:id="4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2:599،و حکاه عنه السیّد العاملی فی مفتاح الکرامة 5:257.</w:t>
      </w:r>
    </w:p>
  </w:footnote>
  <w:footnote w:id="4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 فی الوسیلة،و لا علی من حکی عنه،نعم اشترط فی تصرّف الولیّ کونه ثقة و فی الوصیّ أن یکون عادلاً.راجع الوسیلة:279،373.</w:t>
      </w:r>
    </w:p>
  </w:footnote>
  <w:footnote w:id="4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إیضاح الفوائد 2:628.</w:t>
      </w:r>
    </w:p>
  </w:footnote>
  <w:footnote w:id="4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فی«ن»،«م»،«ع»و«ص»زیادة:«عن غیره»،لکن شطب علیها فی«ن».</w:t>
      </w:r>
    </w:p>
  </w:footnote>
  <w:footnote w:id="4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المصدر:علی.</w:t>
      </w:r>
    </w:p>
  </w:footnote>
  <w:footnote w:id="4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ترد«انتهی»فی«م»،«ن»و«ص».</w:t>
      </w:r>
    </w:p>
  </w:footnote>
  <w:footnote w:id="4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هود:113.</w:t>
      </w:r>
    </w:p>
  </w:footnote>
  <w:footnote w:id="4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11:275.</w:t>
      </w:r>
    </w:p>
  </w:footnote>
  <w:footnote w:id="4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فی«ف»و«ص»و نسخة بدل«ن»،و فی سائر النسخ و نسخة بدل «ص»:اختلاف.</w:t>
      </w:r>
    </w:p>
  </w:footnote>
  <w:footnote w:id="4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فی«ش»زیادة:أبو.</w:t>
      </w:r>
    </w:p>
  </w:footnote>
  <w:footnote w:id="4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11:276،مع تفاوت فی بعض الکلمات.</w:t>
      </w:r>
    </w:p>
  </w:footnote>
  <w:footnote w:id="4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فی«ف»:«تصرّفها»،و لعلّه مصحّف«تصرّفهما»و هذا هو الأصحّ؛لرجوع الضمیر إلی الأب و الجدّ.</w:t>
      </w:r>
    </w:p>
  </w:footnote>
  <w:footnote w:id="4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12:196،الباب 78 من أبواب ما یکتسب به،الحدیث 4.</w:t>
      </w:r>
    </w:p>
  </w:footnote>
  <w:footnote w:id="4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12:195،الباب 78 من أبواب ما یکتسب به،الحدیث 1 و 2.</w:t>
      </w:r>
    </w:p>
  </w:footnote>
  <w:footnote w:id="4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12:195،الباب 78 من أبواب ما یکتسب به،الحدیث الأوّل.</w:t>
      </w:r>
    </w:p>
  </w:footnote>
  <w:footnote w:id="4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غیر«ش»:و ما فی علل محمد بن سنان.</w:t>
      </w:r>
    </w:p>
  </w:footnote>
  <w:footnote w:id="4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الشرائع:524،الباب 302،و عنه الوسائل 12:197،الباب 78 من أبواب ما یکتسب به،الحدیث 9،و الآیة من سورة الشوری:49.</w:t>
      </w:r>
    </w:p>
  </w:footnote>
  <w:footnote w:id="4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12:195،الباب 78 من أبواب ما یکتسب به،الحدیث 3، و 198،الباب 79 من الأبواب،الحدیث 1 و 2،و 14:543،الباب 40 من أبواب نکاح العبید و الإماء،الأحادیث 1،3 و 4.</w:t>
      </w:r>
    </w:p>
  </w:footnote>
  <w:footnote w:id="4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فی«ص»و المصدر،و فی سائر النسخ:قول.</w:t>
      </w:r>
    </w:p>
  </w:footnote>
  <w:footnote w:id="4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کلمة«و قد»من«ص»و المصدر.</w:t>
      </w:r>
    </w:p>
  </w:footnote>
  <w:footnote w:id="4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غیر«ف»:فقال النبیّ.</w:t>
      </w:r>
    </w:p>
  </w:footnote>
  <w:footnote w:id="4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فی«ص»و المصدر،و فی سائر النسخ:أو کان.</w:t>
      </w:r>
    </w:p>
  </w:footnote>
  <w:footnote w:id="4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12:196-197،الباب 78 من أبواب ما یکتسب به،الحدیث 8.</w:t>
      </w:r>
    </w:p>
  </w:footnote>
  <w:footnote w:id="4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کلمة«لرجل»من«ص»و المصدر.</w:t>
      </w:r>
    </w:p>
  </w:footnote>
  <w:footnote w:id="4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فی«ص»:«ما أُحبّ»،و فی نسخة بدلها:لا نحبّ.</w:t>
      </w:r>
    </w:p>
  </w:footnote>
  <w:footnote w:id="4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12:195،الباب 78 من أبواب ما یکتسب به،الحدیث 2،و الآیة من سورة البقرة:205.</w:t>
      </w:r>
    </w:p>
  </w:footnote>
  <w:footnote w:id="4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الأنعام:152،و الإسراء:34.</w:t>
      </w:r>
    </w:p>
  </w:footnote>
  <w:footnote w:id="4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فی«ف»و مصحّحة«ن»:و فی الأب یتمّ.</w:t>
      </w:r>
    </w:p>
  </w:footnote>
  <w:footnote w:id="4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مفتاح الکرامة 4:217،و فیه:و هذا الحکم إجماعی علی الظاهر.</w:t>
      </w:r>
    </w:p>
  </w:footnote>
  <w:footnote w:id="4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حاشیة القواعد(مخطوط):الورقة 71-ذیل قول العلّامة:مع المصلحة للمولّی علیه-و فیه:و ظاهرهم الإجماع علی ذلک.</w:t>
      </w:r>
    </w:p>
  </w:footnote>
  <w:footnote w:id="4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فی«ف»و المصدر،و فی سائر النسخ زیادة:للأب.</w:t>
      </w:r>
    </w:p>
  </w:footnote>
  <w:footnote w:id="4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2:200.</w:t>
      </w:r>
    </w:p>
  </w:footnote>
  <w:footnote w:id="4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1:441.</w:t>
      </w:r>
    </w:p>
  </w:footnote>
  <w:footnote w:id="4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الشرائع 2:78-79 و 171.</w:t>
      </w:r>
    </w:p>
  </w:footnote>
  <w:footnote w:id="4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1:125،و الإرشاد 1:360.</w:t>
      </w:r>
    </w:p>
  </w:footnote>
  <w:footnote w:id="4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اللمعة الدمشقیة:138،و الدروس 3:318 و 403،و المسالک 3:166، و 4:33 و 35،و 5:136.</w:t>
      </w:r>
    </w:p>
  </w:footnote>
  <w:footnote w:id="4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جامع المقاصد 4:87،و 5:72.</w:t>
      </w:r>
    </w:p>
  </w:footnote>
  <w:footnote w:id="4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المحقّق الأردبیلی فی مجمع الفائدة 4:14،و 6:77،و المحقّق السبزواری فی الکفایة:89،108 و 220.</w:t>
      </w:r>
    </w:p>
  </w:footnote>
  <w:footnote w:id="4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المناهج السویّة(مخطوط):6،فی ذیل قول الشارح:و کذا لو اتجر الولی أو مأذونه للطفل.</w:t>
      </w:r>
    </w:p>
  </w:footnote>
  <w:footnote w:id="4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مفتاح الکرامة 5:260.</w:t>
      </w:r>
    </w:p>
  </w:footnote>
  <w:footnote w:id="4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التذکرة 2:80.</w:t>
      </w:r>
    </w:p>
  </w:footnote>
  <w:footnote w:id="4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السیّد العاملی فی مفتاح الکرامة 4:217.</w:t>
      </w:r>
    </w:p>
  </w:footnote>
  <w:footnote w:id="4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کاشف الغطاء فی شرحه علی القواعد(مخطوط):71،و صاحب الجواهر فی الجواهر 22:332 و 28:297،و غیرهما.</w:t>
      </w:r>
    </w:p>
  </w:footnote>
  <w:footnote w:id="4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تخریجها فی الصفحة 535.</w:t>
      </w:r>
    </w:p>
  </w:footnote>
  <w:footnote w:id="4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فی الصفحة 537.</w:t>
      </w:r>
    </w:p>
  </w:footnote>
  <w:footnote w:id="4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هی قوله تعالی: وَ لاٰ تَقْرَبُوا مٰالَ الْیَتِیمِ إِلاّٰ بِالَّتِی هِیَ أَحْسَنُ الإسراء: 34.</w:t>
      </w:r>
    </w:p>
  </w:footnote>
  <w:footnote w:id="4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فی«ن»،«م»و«ص»:«طفل»،و فی الأخیر کتب فوقه:الطفل-ظ.</w:t>
      </w:r>
    </w:p>
  </w:footnote>
  <w:footnote w:id="4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فی«ف»بدل«فیه»:له.</w:t>
      </w:r>
    </w:p>
  </w:footnote>
  <w:footnote w:id="4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14:219،الباب 11 من أبواب عقد النکاح و أولیاء العقد،الحدیث 8.</w:t>
      </w:r>
    </w:p>
  </w:footnote>
  <w:footnote w:id="4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12:195-197،الباب 78 من أبواب ما یکتسب به،الأحادیث 1،2،8 و 9.</w:t>
      </w:r>
    </w:p>
  </w:footnote>
  <w:footnote w:id="4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14:218،الباب 11 من أبواب عقد النکاح و أولیاء العقد،الحدیث 5.</w:t>
      </w:r>
    </w:p>
  </w:footnote>
  <w:footnote w:id="4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فی الأحادیث المتقدّمة آنفاً.</w:t>
      </w:r>
    </w:p>
  </w:footnote>
  <w:footnote w:id="4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w:t>
      </w:r>
    </w:p>
  </w:footnote>
  <w:footnote w:id="4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المناهل:105،و الجواهر 26:102.</w:t>
      </w:r>
    </w:p>
  </w:footnote>
  <w:footnote w:id="4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تقدّم آنفاً.</w:t>
      </w:r>
    </w:p>
  </w:footnote>
  <w:footnote w:id="4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ترد«و ما دلّ»فی غیر«ف»و«ش»،لکنّه استدرک فی«ن»و«ص».</w:t>
      </w:r>
    </w:p>
  </w:footnote>
  <w:footnote w:id="4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ما تقدّم فی الصفحة السابقة.</w:t>
      </w:r>
    </w:p>
  </w:footnote>
  <w:footnote w:id="4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فی«ع»و«ش»بدل«أو»:«و».</w:t>
      </w:r>
    </w:p>
  </w:footnote>
  <w:footnote w:id="4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السیّد المجاهد فی المناهل:105،و فیه:و یظهر الأوّل من إطلاق الشرائع و النافع.</w:t>
      </w:r>
    </w:p>
  </w:footnote>
  <w:footnote w:id="4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الأنفال:75،و الأحزاب:6.</w:t>
      </w:r>
    </w:p>
  </w:footnote>
  <w:footnote w:id="4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فی«ص»:فینفی.</w:t>
      </w:r>
    </w:p>
  </w:footnote>
  <w:footnote w:id="4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غیر«ف»:و خرج.</w:t>
      </w:r>
    </w:p>
  </w:footnote>
  <w:footnote w:id="4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فی«ف»و«ش»،و فی سائر النسخ:بالأجر.</w:t>
      </w:r>
    </w:p>
  </w:footnote>
  <w:footnote w:id="4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السیّد المجاهد فی المناهل:105.</w:t>
      </w:r>
    </w:p>
  </w:footnote>
  <w:footnote w:id="4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نقف علیه بعینه،نعم فی جامع المقاصد 5:187 هکذا:و هل یکون للجدّ الأعلی مع وجود الأولی ولایة؟فیه نظر.</w:t>
      </w:r>
    </w:p>
  </w:footnote>
  <w:footnote w:id="4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المسالک 7:171.</w:t>
      </w:r>
    </w:p>
  </w:footnote>
  <w:footnote w:id="4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 فی الکفایة.</w:t>
      </w:r>
    </w:p>
  </w:footnote>
  <w:footnote w:id="4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کتاب النکاح و کتاب الحجر.</w:t>
      </w:r>
    </w:p>
  </w:footnote>
  <w:footnote w:id="4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العنوان منّا.</w:t>
      </w:r>
    </w:p>
  </w:footnote>
  <w:footnote w:id="4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ترد«هنا»فی«ف».</w:t>
      </w:r>
    </w:p>
  </w:footnote>
  <w:footnote w:id="4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فی«ف»و«ش»،و فی سائر النسخ:«لأخذ شیء»،لکن صحّحت العبارة فی بعضها بما أثبتناه،و فی بعضها الآخر ورد ما أثبتناه فی الهامش، و صحّحها مصحّح«ص»هکذا:لأحد علی أحد فی شیء.</w:t>
      </w:r>
    </w:p>
  </w:footnote>
  <w:footnote w:id="4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فی«ش»:الأُمور.</w:t>
      </w:r>
    </w:p>
  </w:footnote>
  <w:footnote w:id="4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الأحزاب:6.</w:t>
      </w:r>
    </w:p>
  </w:footnote>
  <w:footnote w:id="4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الأحزاب:36.</w:t>
      </w:r>
    </w:p>
  </w:footnote>
  <w:footnote w:id="4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النور:63.</w:t>
      </w:r>
    </w:p>
  </w:footnote>
  <w:footnote w:id="4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النساء:59.</w:t>
      </w:r>
    </w:p>
  </w:footnote>
  <w:footnote w:id="4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المائدة:55.</w:t>
      </w:r>
    </w:p>
  </w:footnote>
  <w:footnote w:id="4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17:551،الباب 3 من أبواب ولاء ضمان الجریرة و الإمامة، الحدیث 14.</w:t>
      </w:r>
    </w:p>
  </w:footnote>
  <w:footnote w:id="4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الحدیث من المتواترات بین الخاصّة و العامّة،انظر کتاب الغدیر 1:14-158.</w:t>
      </w:r>
    </w:p>
  </w:footnote>
  <w:footnote w:id="4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18:98-99،الباب 11 من أبواب صفات القاضی،الحدیث الأوّل.</w:t>
      </w:r>
    </w:p>
  </w:footnote>
  <w:footnote w:id="4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18:100،الباب 11 من أبواب صفات القاضی،الحدیث 6.</w:t>
      </w:r>
    </w:p>
  </w:footnote>
  <w:footnote w:id="4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الآتی فی الصفحة 555.</w:t>
      </w:r>
    </w:p>
  </w:footnote>
  <w:footnote w:id="4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فی«ش»:طاعته.</w:t>
      </w:r>
    </w:p>
  </w:footnote>
  <w:footnote w:id="4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الکافی 1:185،باب فرض طاعة الأئمة،و 210،باب أنّ أهل الذکر الذین أمر اللّٰه الخلق بسؤالهم هم الأئمة،و البحار 23:172،الباب 9 من کتاب الإمامة،و 283،و کذا الباب 17 منه.</w:t>
      </w:r>
    </w:p>
  </w:footnote>
  <w:footnote w:id="4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الکافی 1:205،باب أنّ الأئمة علیهم السلام ولاة الأمر،و البحار 23: 283،الباب 17 من کتاب الإمامة.</w:t>
      </w:r>
    </w:p>
  </w:footnote>
  <w:footnote w:id="4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فی التوقیع الآتی فی الصفحة 555.</w:t>
      </w:r>
    </w:p>
  </w:footnote>
  <w:footnote w:id="4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فی«ف»:«عاشوا و لا بقوا»،و فی«ش»و المصدر:بقوا و عاشوا.</w:t>
      </w:r>
    </w:p>
  </w:footnote>
  <w:footnote w:id="4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فی«ش»و المصدر،و فی سائر النسخ:لما لا بدّ لهم من أمر.</w:t>
      </w:r>
    </w:p>
  </w:footnote>
  <w:footnote w:id="4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فی«ف»و«خ»و نسخة بدل«ع»:«و هو یعلم»،و فی المصدر:«ممّا یعلم»،و فی مصحّحة«ص»:بلا رئیس و هو یعلم.</w:t>
      </w:r>
    </w:p>
  </w:footnote>
  <w:footnote w:id="4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فی«ف»:أنّهم.</w:t>
      </w:r>
    </w:p>
  </w:footnote>
  <w:footnote w:id="4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ترد«منه»فی غیر«ش».</w:t>
      </w:r>
    </w:p>
  </w:footnote>
  <w:footnote w:id="4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الشرائع:253،الباب 182،ذیل الحدیث 9.</w:t>
      </w:r>
    </w:p>
  </w:footnote>
  <w:footnote w:id="4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18:6،الباب 3 من أبواب صفات القاضی،و 221،الباب 32 من أبواب کیفیة الحکم و الدعوی،الحدیث 3،و 330،الباب 17 من أبواب مقدّمات الحدود،الحدیث 3،و 343،الباب 32 من الأبواب،و 532، الباب الأوّل من أبواب حدّ المحارب،و المستدرک 17:241،الباب 3 من أبواب صفات القاضی،و 18:29،الباب 25 من أبواب مقدّمات الحدود، و غیرها.</w:t>
      </w:r>
    </w:p>
  </w:footnote>
  <w:footnote w:id="4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2:801،الباب 23 من أبواب صلاة الجنازة،الحدیث 4.</w:t>
      </w:r>
    </w:p>
  </w:footnote>
  <w:footnote w:id="4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العبارة فی«ف»هکذا:لأنّها إنّما تنفع مع عدم التمکّن...</w:t>
      </w:r>
    </w:p>
  </w:footnote>
  <w:footnote w:id="4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غیر«ش»زیادة:«ذلک»،لکن شطب علیها فی«ن».</w:t>
      </w:r>
    </w:p>
  </w:footnote>
  <w:footnote w:id="4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فی«ف»و«خ»:«فی بعض الموارد»،لکن صحّح فی الأخیر بما أثبتناه.</w:t>
      </w:r>
    </w:p>
  </w:footnote>
  <w:footnote w:id="4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المصدر.</w:t>
      </w:r>
    </w:p>
  </w:footnote>
  <w:footnote w:id="4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18:53،الباب 8 من أبواب صفات القاضی،الحدیث 2.</w:t>
      </w:r>
    </w:p>
  </w:footnote>
  <w:footnote w:id="4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نقف علیه بهذا اللفظ فی مجامیعنا الحدیثیة،بل ورد فی الکافی(1:33، الحدیث 5):«العلماء أُمناء»،و فی(46،الحدیث 5):«الفقهاء أُمناء الرسل»، نعم ورد بهذا اللفظ فی کنز العمّال 10:183،و 204،الحدیث 28952 و 29083.</w:t>
      </w:r>
    </w:p>
  </w:footnote>
  <w:footnote w:id="4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العقول:238،و عنه فی البحار 100:80،الحدیث 37.</w:t>
      </w:r>
    </w:p>
  </w:footnote>
  <w:footnote w:id="4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عوالی اللآلی 4:77،الحدیث 67،و عنه البحار 2:22،الحدیث 67، و نقله فی المستدرک 17:320،الحدیث 30 عن العلّامة فی التحریر.</w:t>
      </w:r>
    </w:p>
  </w:footnote>
  <w:footnote w:id="4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 هذه الروایة فی«ف».</w:t>
      </w:r>
    </w:p>
  </w:footnote>
  <w:footnote w:id="4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الفقه المنسوب إلی الإمام الرضا علیه السلام:338.و عنه فی البحار 78:346، ذیل الحدیث 4.</w:t>
      </w:r>
    </w:p>
  </w:footnote>
  <w:footnote w:id="4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یرد هذا النصّ فی«ف».</w:t>
      </w:r>
    </w:p>
  </w:footnote>
  <w:footnote w:id="4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البلاغة:484،باب المختار من حِکَم أمیر المؤمنین علیه السلام،الحکمة 96، و الآیة من سورة آل عمران:68.</w:t>
      </w:r>
    </w:p>
  </w:footnote>
  <w:footnote w:id="4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18:100،الباب 11 من أبواب صفات القاضی،الحدیث 7.</w:t>
      </w:r>
    </w:p>
  </w:footnote>
  <w:footnote w:id="4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18:98-99،الباب 11 من أبواب صفات القاضی،الحدیث الأوّل.</w:t>
      </w:r>
    </w:p>
  </w:footnote>
  <w:footnote w:id="4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18:100،الباب 11 من أبواب صفات القاضی،الحدیث 6.</w:t>
      </w:r>
    </w:p>
  </w:footnote>
  <w:footnote w:id="4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ستأتی مصادره فی الصفحة 555.</w:t>
      </w:r>
    </w:p>
  </w:footnote>
  <w:footnote w:id="4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فی«ع»و«ش»:أولی الناس.</w:t>
      </w:r>
    </w:p>
  </w:footnote>
  <w:footnote w:id="4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فی«ف»و«ش»،و فی سائر النسخ:علی إرادة العامّ من الجهة.</w:t>
      </w:r>
    </w:p>
  </w:footnote>
  <w:footnote w:id="4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غیر«ف»و«ش»:«تولیته»،و لکن صحّح فی«ن»بما أثبتناه.</w:t>
      </w:r>
    </w:p>
  </w:footnote>
  <w:footnote w:id="4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الصفحة 551.</w:t>
      </w:r>
    </w:p>
  </w:footnote>
  <w:footnote w:id="4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فی«خ»،«م»،«ع»و«ص»:«و التوقیع»،و فی مصحّحة«خ»و«م» شطب علی الواو.</w:t>
      </w:r>
    </w:p>
  </w:footnote>
  <w:footnote w:id="4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إکمال الدین:484،الباب 45،الحدیث 4.</w:t>
      </w:r>
    </w:p>
  </w:footnote>
  <w:footnote w:id="4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الغیبة:29،الفصل 4،الحدیث 247.</w:t>
      </w:r>
    </w:p>
  </w:footnote>
  <w:footnote w:id="4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2:283،و عن المصادر المتقدّمة الوسائل 18:101،الباب 11 من أبواب صفات القاضی،الحدیث 9.</w:t>
      </w:r>
    </w:p>
  </w:footnote>
  <w:footnote w:id="4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فی«م»و«ش»بدل«أنّی»:أبی.</w:t>
      </w:r>
    </w:p>
  </w:footnote>
  <w:footnote w:id="4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ترد«لی»فی«ش».</w:t>
      </w:r>
    </w:p>
  </w:footnote>
  <w:footnote w:id="4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فی«ف»و«ن»زیادة:«یذکر»،و لکن شطب علیها فی«ن».</w:t>
      </w:r>
    </w:p>
  </w:footnote>
  <w:footnote w:id="4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فی«ش»:فورد التوقیع.</w:t>
      </w:r>
    </w:p>
  </w:footnote>
  <w:footnote w:id="4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551.</w:t>
      </w:r>
    </w:p>
  </w:footnote>
  <w:footnote w:id="4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11:521،الباب الأوّل من أبواب فعل المعروف،الحدیث 5.</w:t>
      </w:r>
    </w:p>
  </w:footnote>
  <w:footnote w:id="4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11:108،الباب 59 من أبواب جهاد العدوّ،الحدیث 2،و فیه: عونک.</w:t>
      </w:r>
    </w:p>
  </w:footnote>
  <w:footnote w:id="4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الوارد فی قوله تعالی: أَطِیعُوا اللّٰهَ ،و تقدّم فی الصفحة 547.</w:t>
      </w:r>
    </w:p>
  </w:footnote>
  <w:footnote w:id="4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فی«ف»:اُولی الأمر.</w:t>
      </w:r>
    </w:p>
  </w:footnote>
  <w:footnote w:id="4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الأحزاب:6.</w:t>
      </w:r>
    </w:p>
  </w:footnote>
  <w:footnote w:id="4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الصفحة 553.</w:t>
      </w:r>
    </w:p>
  </w:footnote>
  <w:footnote w:id="4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غیر«ش»:«نیابته للفقیه»،و صحّحت فی«ن»بما أثبتناه.</w:t>
      </w:r>
    </w:p>
  </w:footnote>
  <w:footnote w:id="4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فی المسالک 7:147،و عوائد الأیام:563،ذیل العائدة:54،و الجواهر 29:188،و راجع الحدیث فی کنز العمّال 16:309،الحدیث 44643 و 44644.</w:t>
      </w:r>
    </w:p>
  </w:footnote>
  <w:footnote w:id="4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ترد«روایة»فی«ف».</w:t>
      </w:r>
    </w:p>
  </w:footnote>
  <w:footnote w:id="4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الشهید قدّس سرّه:منشأ التردید هو الشکّ فی أنّ المتداول فی الألسنة متن الروایة و نقلت باللفظ،أو مضمونها و نقلت بالمعنی(هدایة الطالب:332).</w:t>
      </w:r>
    </w:p>
  </w:footnote>
  <w:footnote w:id="4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551-553.</w:t>
      </w:r>
    </w:p>
  </w:footnote>
  <w:footnote w:id="4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حاشیة الروضة:320،ذیل عبارة:أو إلی نوّابه و هم الفقهاء.</w:t>
      </w:r>
    </w:p>
  </w:footnote>
  <w:footnote w:id="4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النسخ،و المعروف تسمیتها ب«قاطعة اللجاج».</w:t>
      </w:r>
    </w:p>
  </w:footnote>
  <w:footnote w:id="4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فی«ف»،«خ»و«ص»،و فی سائر النسخ:للشکّ.</w:t>
      </w:r>
    </w:p>
  </w:footnote>
  <w:footnote w:id="4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قاطعة اللجاج فی تحقیق حلّ الخراج(رسائل المحقّق الکرکی)1:257.</w:t>
      </w:r>
    </w:p>
  </w:footnote>
  <w:footnote w:id="4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فی«ف»زیادة:علیه السلام.</w:t>
      </w:r>
    </w:p>
  </w:footnote>
  <w:footnote w:id="4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فی«ف»،و فی سائر النسخ:یکن.</w:t>
      </w:r>
    </w:p>
  </w:footnote>
  <w:footnote w:id="4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فی«ص»:فثبتت.</w:t>
      </w:r>
    </w:p>
  </w:footnote>
  <w:footnote w:id="4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عبارة«ولیّ،له علیه»لم ترد فی«م»،و استدرکت فی«ع»و«ص».</w:t>
      </w:r>
    </w:p>
  </w:footnote>
  <w:footnote w:id="4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فی«ش»و مصحّحة«ن»،و فی سائر النسخ:للذی.</w:t>
      </w:r>
    </w:p>
  </w:footnote>
  <w:footnote w:id="4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الضمیر فی«ص»مشطوب علیه.</w:t>
      </w:r>
    </w:p>
  </w:footnote>
  <w:footnote w:id="4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غیر«ش»و«ص»:العدول.</w:t>
      </w:r>
    </w:p>
  </w:footnote>
  <w:footnote w:id="4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فی«ش»و مصحّحة«ن»،و فی سائر النسخ:تولیته.</w:t>
      </w:r>
    </w:p>
  </w:footnote>
  <w:footnote w:id="4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غیر«ش»زیادة:«له»،لکن شطب علیها فی«ن».</w:t>
      </w:r>
    </w:p>
  </w:footnote>
  <w:footnote w:id="4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فی الآیة: وَ لْتَکُنْ منْکُمْ امَّةٌ یَأمُرونَ بِالمَعْروفِ وَ یَنْهَوْنَ عَنِ المُنْکَرِ آل عمران:104،و غیرها من الآیات،و راجع الوسائل 11:393،الباب الأوّل من أبواب الأمر و النهی.</w:t>
      </w:r>
    </w:p>
  </w:footnote>
  <w:footnote w:id="4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فی«ف»:و الإمام.</w:t>
      </w:r>
    </w:p>
  </w:footnote>
  <w:footnote w:id="4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فی«خ»،«ع»و«ص»:الحَرَج.</w:t>
      </w:r>
    </w:p>
  </w:footnote>
  <w:footnote w:id="4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و الفوائد 1:406،القاعدة 148،و الآیة من سورة المائدة:2.</w:t>
      </w:r>
    </w:p>
  </w:footnote>
  <w:footnote w:id="4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فی«ف»:علیه الصلاة و السلام.</w:t>
      </w:r>
    </w:p>
  </w:footnote>
  <w:footnote w:id="4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المستدرک 12:429،الباب 34 من أبواب فعل المعروف،الحدیث 10، و انظر الوسائل 11:586،الباب 29 من أبواب فعل المعروف،الحدیث 2، و فیه:عون المؤمن...عون أخیه.</w:t>
      </w:r>
    </w:p>
  </w:footnote>
  <w:footnote w:id="4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11:522،الباب الأوّل من أبواب فعل المعروف،الحدیث 5.</w:t>
      </w:r>
    </w:p>
  </w:footnote>
  <w:footnote w:id="4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فی«ف»:مستحقّه.</w:t>
      </w:r>
    </w:p>
  </w:footnote>
  <w:footnote w:id="4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زیادة:«و یضمن»،و استدرکها مصحّح«ص».</w:t>
      </w:r>
    </w:p>
  </w:footnote>
  <w:footnote w:id="4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نسخة بدل«ص»:المصالح.</w:t>
      </w:r>
    </w:p>
  </w:footnote>
  <w:footnote w:id="4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و الفوائد 1:406،القاعدة 148.</w:t>
      </w:r>
    </w:p>
  </w:footnote>
  <w:footnote w:id="4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فی المسالک 6:259،و الحدائق 18:323 و 403 و 444،و الریاض 2: 31 و 59،و الجواهر 22:272.</w:t>
      </w:r>
    </w:p>
  </w:footnote>
  <w:footnote w:id="4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فی«ش»بدل«فیها»:بهذا.</w:t>
      </w:r>
    </w:p>
  </w:footnote>
  <w:footnote w:id="4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فی«ش»:الجواری.</w:t>
      </w:r>
    </w:p>
  </w:footnote>
  <w:footnote w:id="4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عبارة«قال فذکرت-إلی-فروج»لم ترد فی غیر«ش»،و استدرکت فی هامش«ص».</w:t>
      </w:r>
    </w:p>
  </w:footnote>
  <w:footnote w:id="4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فی«ص»و«ش»زیادة:به.</w:t>
      </w:r>
    </w:p>
  </w:footnote>
  <w:footnote w:id="4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فی«ص»:أو.</w:t>
      </w:r>
    </w:p>
  </w:footnote>
  <w:footnote w:id="4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12:270،الباب 16 من أبواب عقد البیع و شروطه،الحدیث 2، و فی غیر«ش»زیادة:الخبر.</w:t>
      </w:r>
    </w:p>
  </w:footnote>
  <w:footnote w:id="4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فی«ش»و مصحّحة«ن»،و فی سائر النسخ:و احتمال.</w:t>
      </w:r>
    </w:p>
  </w:footnote>
  <w:footnote w:id="4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فی«ف»:أحدهما.</w:t>
      </w:r>
    </w:p>
  </w:footnote>
  <w:footnote w:id="4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ترد«غلماناً»فی غیر«ش»و«ص».</w:t>
      </w:r>
    </w:p>
  </w:footnote>
  <w:footnote w:id="4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فی«ص»و مصحّحة«ن»:«و یتّخذها»،و فی«ن»،«خ»،«م»و«ع»: «و یجدها»،و فی«ش»:یتخذها.</w:t>
      </w:r>
    </w:p>
  </w:footnote>
  <w:footnote w:id="4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فی«ص»و«ش»زیادة:فقال.</w:t>
      </w:r>
    </w:p>
  </w:footnote>
  <w:footnote w:id="4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فی«ن»شطب علی الواو.</w:t>
      </w:r>
    </w:p>
  </w:footnote>
  <w:footnote w:id="4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ترد«فیهم»فی غیر«ش»،و استدرکت فی«ص».</w:t>
      </w:r>
    </w:p>
  </w:footnote>
  <w:footnote w:id="4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غیر«ص»و«ش»:و یجدها،و لکن صحّحت فی«ن»بما أثبتناه.</w:t>
      </w:r>
    </w:p>
  </w:footnote>
  <w:footnote w:id="4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غیر«ش»زیادة:الخبر،و شطب علیها فی«ص»،و لا وجه لها إذ الحدیث مذکور بتمامه،راجع الوسائل 12:269،الباب 15 من أبواب عقد البیع و شروطه.</w:t>
      </w:r>
    </w:p>
  </w:footnote>
  <w:footnote w:id="4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استدرکت فی«ص»طبقاً للمصادر الحدیثیة،و فی«ش»:و عقر،و لم ترد الکلمة فی سائر النسخ.</w:t>
      </w:r>
    </w:p>
  </w:footnote>
  <w:footnote w:id="4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المصادر الحدیثیة زیادة:«المیراث»،و استدرکت فی مصحّحة«ص».</w:t>
      </w:r>
    </w:p>
  </w:footnote>
  <w:footnote w:id="4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13:474،الباب 88 من أبواب أحکام الوصایا،الحدیث 2.</w:t>
      </w:r>
    </w:p>
  </w:footnote>
  <w:footnote w:id="4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بدل«ن»و«م»و«ع»:متاعهم،و فی نسخة بدل«ص»: خدمهم و متاعهم.</w:t>
      </w:r>
    </w:p>
  </w:footnote>
  <w:footnote w:id="4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الکافی:«لم یستأمره»،و فی التهذیب و الوسائل:لم یستعمله.</w:t>
      </w:r>
    </w:p>
  </w:footnote>
  <w:footnote w:id="4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12:269-270،الباب 16 من أبواب عقد البیع،الحدیث الأوّل.</w:t>
      </w:r>
    </w:p>
  </w:footnote>
  <w:footnote w:id="4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فی«ف»بدل«أو»:«و».</w:t>
      </w:r>
    </w:p>
  </w:footnote>
  <w:footnote w:id="4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11:108،الباب 59 من أبواب جهاد العدوّ،الحدیث 2،و فیه: «عونک للضعیف...».</w:t>
      </w:r>
    </w:p>
  </w:footnote>
  <w:footnote w:id="4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الأنعام:152،و الإسراء:34.</w:t>
      </w:r>
    </w:p>
  </w:footnote>
  <w:footnote w:id="4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564-566.</w:t>
      </w:r>
    </w:p>
  </w:footnote>
  <w:footnote w:id="4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غیر«ص»:لا ترتفع.</w:t>
      </w:r>
    </w:p>
  </w:footnote>
  <w:footnote w:id="4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فی«ف»و نسخة بدل«خ»،و استظهره مصحّح«ص»أیضاً،و فی سائر النسخ:و لا یجوز.</w:t>
      </w:r>
    </w:p>
  </w:footnote>
  <w:footnote w:id="4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ترد«من»فی«ف».</w:t>
      </w:r>
    </w:p>
  </w:footnote>
  <w:footnote w:id="4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فی«ن»،«م»،«ع»و«ص»و نسخة بدل«خ»:للیتیم،و فی نسخة بدل «ع»:للصغیر.</w:t>
      </w:r>
    </w:p>
  </w:footnote>
  <w:footnote w:id="4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ترد«و أمّا»فی«ش»،و فی«ف»:«أمّا»،و شطب علی«أمّا»فی«ن».</w:t>
      </w:r>
    </w:p>
  </w:footnote>
  <w:footnote w:id="4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غیر«ف»و«ش»:شخصه،و صحّحت فی«ن»و«ص»بما أثبتناه.</w:t>
      </w:r>
    </w:p>
  </w:footnote>
  <w:footnote w:id="4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غیر«ش»:«العدول»،و صحّحت فی«ص»بما أثبتناه.</w:t>
      </w:r>
    </w:p>
  </w:footnote>
  <w:footnote w:id="4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کذا،و المناسب«علی»،کما فی مصحّحة«ن».</w:t>
      </w:r>
    </w:p>
  </w:footnote>
  <w:footnote w:id="4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الصفحة 555.</w:t>
      </w:r>
    </w:p>
  </w:footnote>
  <w:footnote w:id="4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فی«ف»،«ن»و«خ»و نسخة بدل«ص»،و فی سائر النسخ:علی.</w:t>
      </w:r>
    </w:p>
  </w:footnote>
  <w:footnote w:id="4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فی الصفحة 551-552.</w:t>
      </w:r>
    </w:p>
  </w:footnote>
  <w:footnote w:id="4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553.</w:t>
      </w:r>
    </w:p>
  </w:footnote>
  <w:footnote w:id="4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فی«ف»،«خ»،«م»و«ع»:یزاحمه.</w:t>
      </w:r>
    </w:p>
  </w:footnote>
  <w:footnote w:id="4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ترد«فهو»فی«ف».</w:t>
      </w:r>
    </w:p>
  </w:footnote>
  <w:footnote w:id="4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فی«ف»:للإمام.</w:t>
      </w:r>
    </w:p>
  </w:footnote>
  <w:footnote w:id="4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فی«ف»بدل«علی»:فی.</w:t>
      </w:r>
    </w:p>
  </w:footnote>
  <w:footnote w:id="4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فی«ش»،و فی«خ»و«ص»:«هذه الأزمان»،و فی سائر النسخ:هذا الأزمان.</w:t>
      </w:r>
    </w:p>
  </w:footnote>
  <w:footnote w:id="4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غیر«ف»و«ش»:أقبض.</w:t>
      </w:r>
    </w:p>
  </w:footnote>
  <w:footnote w:id="4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فی«ف»:عدم جواز.</w:t>
      </w:r>
    </w:p>
  </w:footnote>
  <w:footnote w:id="4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کذا،و فی التعبیر ما لا یخفی.</w:t>
      </w:r>
    </w:p>
  </w:footnote>
  <w:footnote w:id="4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القواعد و الفوائد 1:352،القاعدة 133،و سیأتی نصّ کلامه فی الصفحة 579.</w:t>
      </w:r>
    </w:p>
  </w:footnote>
  <w:footnote w:id="4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فی«خ»و«ص»:ظهر.</w:t>
      </w:r>
    </w:p>
  </w:footnote>
  <w:footnote w:id="4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کلمة«کثیر»وردت فی«ف»و«ش»،و استدرکت فی هامش«ن».</w:t>
      </w:r>
    </w:p>
  </w:footnote>
  <w:footnote w:id="4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مفتاح الکرامة 4:217.</w:t>
      </w:r>
    </w:p>
  </w:footnote>
  <w:footnote w:id="4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استظهره السیّد العاملی فی مفتاح الکرامة 5:260،و انظر التذکرة 2:80.</w:t>
      </w:r>
    </w:p>
  </w:footnote>
  <w:footnote w:id="4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القواعد(مخطوط):الورقة 71.</w:t>
      </w:r>
    </w:p>
  </w:footnote>
  <w:footnote w:id="4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539.</w:t>
      </w:r>
    </w:p>
  </w:footnote>
  <w:footnote w:id="4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الأنعام:152،و الإسراء:34.</w:t>
      </w:r>
    </w:p>
  </w:footnote>
  <w:footnote w:id="4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فی«ف»:معان.</w:t>
      </w:r>
    </w:p>
  </w:footnote>
  <w:footnote w:id="4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فی«ش»و مصحّحة«ن»،و فی سائر النسخ:التقلّب.</w:t>
      </w:r>
    </w:p>
  </w:footnote>
  <w:footnote w:id="4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فی«ف»:البقاء.</w:t>
      </w:r>
    </w:p>
  </w:footnote>
  <w:footnote w:id="4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مصحّحة«ص»:علی حاله و عند.</w:t>
      </w:r>
    </w:p>
  </w:footnote>
  <w:footnote w:id="4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فی«ف»و«خ»و نسخة بدل«ش»:بعد الارتکاب.</w:t>
      </w:r>
    </w:p>
  </w:footnote>
  <w:footnote w:id="4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 قائله.</w:t>
      </w:r>
    </w:p>
  </w:footnote>
  <w:footnote w:id="4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فی«ف»زیادة:لو.</w:t>
      </w:r>
    </w:p>
  </w:footnote>
  <w:footnote w:id="4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النسخ،و کان الأولی الإتیان بکلمة«له»مکان«لأحدهما»،کما أشار إلیه مصحّح«ص».</w:t>
      </w:r>
    </w:p>
  </w:footnote>
  <w:footnote w:id="4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غیر«ف»:فأحد.</w:t>
      </w:r>
    </w:p>
  </w:footnote>
  <w:footnote w:id="4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غیر«ف»و«ش»:«حسن»،و کتب فی«ص»فوقه:حسناً.</w:t>
      </w:r>
    </w:p>
  </w:footnote>
  <w:footnote w:id="4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فی«ص»:عن.</w:t>
      </w:r>
    </w:p>
  </w:footnote>
  <w:footnote w:id="4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فی«ف»و«خ»و نسخة بدل«ع»و«ش»:روایة.</w:t>
      </w:r>
    </w:p>
  </w:footnote>
  <w:footnote w:id="4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غیر«ف»و«خ»:«قال»،و فی مصحّحة«ص»:«قال:قیل».</w:t>
      </w:r>
    </w:p>
  </w:footnote>
  <w:footnote w:id="4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غیر«ف»:لندخل.</w:t>
      </w:r>
    </w:p>
  </w:footnote>
  <w:footnote w:id="4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فی«ص»و«ش»،و فی سائر النسخ:معه.</w:t>
      </w:r>
    </w:p>
  </w:footnote>
  <w:footnote w:id="4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12:183-184،الباب 71 من أبواب ما یکتسب به،الحدیث الأوّل.</w:t>
      </w:r>
    </w:p>
  </w:footnote>
  <w:footnote w:id="4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کذا،و الأولی:«یصرفون»،کما نبّه علیه مصحّح«ص».</w:t>
      </w:r>
    </w:p>
  </w:footnote>
  <w:footnote w:id="4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w:t>
      </w:r>
    </w:p>
  </w:footnote>
  <w:footnote w:id="4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کذا،و الأولی:«ما یصرف»،کما فی مصحّحة«ص».</w:t>
      </w:r>
    </w:p>
  </w:footnote>
  <w:footnote w:id="4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کذا،و الظاهر:«بما یوصل»،کما استظهره مصحّح«ص».</w:t>
      </w:r>
    </w:p>
  </w:footnote>
  <w:footnote w:id="4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فی«ف»:و یعطی.</w:t>
      </w:r>
    </w:p>
  </w:footnote>
  <w:footnote w:id="4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فی«ف»و«خ»و نسخة بدل«ن»و«م»و«ع»بدل«بهذا»:بذا.</w:t>
      </w:r>
    </w:p>
  </w:footnote>
  <w:footnote w:id="4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12:184،الباب 71 من أبواب ما یکتسب به،الحدیث 2.</w:t>
      </w:r>
    </w:p>
  </w:footnote>
  <w:footnote w:id="4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فی«ش»:من.</w:t>
      </w:r>
    </w:p>
  </w:footnote>
  <w:footnote w:id="4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فی«ف»:المهدی إلیه.</w:t>
      </w:r>
    </w:p>
  </w:footnote>
  <w:footnote w:id="4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فی«ش»بدل«من»:أنّ.</w:t>
      </w:r>
    </w:p>
  </w:footnote>
  <w:footnote w:id="4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فی«ف»،«ن»و«م»:المهدی إلیه.</w:t>
      </w:r>
    </w:p>
  </w:footnote>
  <w:footnote w:id="4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عبارة:«و هل یجب مراعاة الأصلح،أم لا؟وجهان»،لم ترد فی«ف».</w:t>
      </w:r>
    </w:p>
  </w:footnote>
  <w:footnote w:id="4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و الفوائد 1:352،القاعدة 133.</w:t>
      </w:r>
    </w:p>
  </w:footnote>
  <w:footnote w:id="4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حرف النفی لم یرد فی غیر«ش»،و فی نسخة بدل«ش»و مصحّحة«ن»، «خ»و«ص»:لا.</w:t>
      </w:r>
    </w:p>
  </w:footnote>
  <w:footnote w:id="4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فی«ش»بدل«إلّا»:لا.</w:t>
      </w:r>
    </w:p>
  </w:footnote>
  <w:footnote w:id="4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فی«ف»و«ن»زیادة:«الترک»،و لکن شطب علیها فی«ن».</w:t>
      </w:r>
    </w:p>
  </w:footnote>
  <w:footnote w:id="4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فی«ش»و مصحّحة«خ»:و لو.</w:t>
      </w:r>
    </w:p>
  </w:footnote>
  <w:footnote w:id="4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السابقة.</w:t>
      </w:r>
    </w:p>
  </w:footnote>
  <w:footnote w:id="4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فی«ش»و مصحّحة«ن»و«خ»،و العبارة فی سائر النسخ هکذا:أو کان بیعه فی بلد آخر مع إعطاء...</w:t>
      </w:r>
    </w:p>
  </w:footnote>
  <w:footnote w:id="4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فی«ص»بعد کلمة«الخسارة»زیادة«أصلح»تصحیحاً.</w:t>
      </w:r>
    </w:p>
  </w:footnote>
  <w:footnote w:id="4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ترد«قد»فی«ص».</w:t>
      </w:r>
    </w:p>
  </w:footnote>
  <w:footnote w:id="4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1:463.</w:t>
      </w:r>
    </w:p>
  </w:footnote>
  <w:footnote w:id="4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الغنیة:210.</w:t>
      </w:r>
    </w:p>
  </w:footnote>
  <w:footnote w:id="4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1:463.</w:t>
      </w:r>
    </w:p>
  </w:footnote>
  <w:footnote w:id="4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سیأتی فی الصفحة 601.</w:t>
      </w:r>
    </w:p>
  </w:footnote>
  <w:footnote w:id="4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التذکرة 1:463،و مفتاح الکرامة 4:175.</w:t>
      </w:r>
    </w:p>
  </w:footnote>
  <w:footnote w:id="4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غیر«ش»و مصحّحة«ن»:لقوله.</w:t>
      </w:r>
    </w:p>
  </w:footnote>
  <w:footnote w:id="4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النساء:141.</w:t>
      </w:r>
    </w:p>
  </w:footnote>
  <w:footnote w:id="4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فی«ش»و مصحّحة«ن»،و فی سائر النسخ:علیه.</w:t>
      </w:r>
    </w:p>
  </w:footnote>
  <w:footnote w:id="4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 عدم جواز إعارة العبد المسلم للکافر،و منها عدم ولایة الکافر علی المسلم، و غیرهما ممّا یقف علیها المتتبّع.اُنظر جامع المقاصد 4:56،و 12:107.</w:t>
      </w:r>
    </w:p>
  </w:footnote>
  <w:footnote w:id="4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فی المبسوط 2:46،و جامع المقاصد 3:463.</w:t>
      </w:r>
    </w:p>
  </w:footnote>
  <w:footnote w:id="4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17:376،الباب الأوّل من أبواب موانع الإرث،الحدیث 11.</w:t>
      </w:r>
    </w:p>
  </w:footnote>
  <w:footnote w:id="4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 عن الغنیة فی الصفحة السابقة.</w:t>
      </w:r>
    </w:p>
  </w:footnote>
  <w:footnote w:id="4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فی«ص»:المعتضدة.</w:t>
      </w:r>
    </w:p>
  </w:footnote>
  <w:footnote w:id="4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فی«خ»و مصحّحة«ص»،و فی سائر النسخ بدل«واو»:أو.</w:t>
      </w:r>
    </w:p>
  </w:footnote>
  <w:footnote w:id="4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العرفان 2:44.</w:t>
      </w:r>
    </w:p>
  </w:footnote>
  <w:footnote w:id="4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فی زبدة البیان:439،و فیه:و احتجّ به أصحابنا.</w:t>
      </w:r>
    </w:p>
  </w:footnote>
  <w:footnote w:id="4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الدلیل الأوّل ممّا استدلّ به للمشهور.</w:t>
      </w:r>
    </w:p>
  </w:footnote>
  <w:footnote w:id="4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فی«ش»و مصحّحة«ن»و«خ»،و فی سائر النسخ:عدم کون.</w:t>
      </w:r>
    </w:p>
  </w:footnote>
  <w:footnote w:id="4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12:282،الباب 28 من أبواب عقد البیع،الحدیث الأوّل.</w:t>
      </w:r>
    </w:p>
  </w:footnote>
  <w:footnote w:id="4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عبارة«و النهی عن إبقائه عنده»لم ترد فی«ف»،و الظاهر زیادتها،لأنّه لا معنی لأن یکون النهی عن الإبقاء داعیاً علی الأمر بالبیع،قال الشهیدی: المناسب تقدیم هذه الجملة علی قوله«هی إزالة ملک الکافر»،و لعلّها مقدّمة فی أصل النسخة و الاشتباه من النسّاخ(هدایة الطالب:337).</w:t>
      </w:r>
    </w:p>
  </w:footnote>
  <w:footnote w:id="4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غیر«ش»:«حمله»،و صحّحت فی«ن»بما أثبتناه.</w:t>
      </w:r>
    </w:p>
  </w:footnote>
  <w:footnote w:id="4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قوله تعالی: فَاللّٰهُ یَحْکُمُ بَیْنَکُمْ یَوْمَ الْقِیٰامَةِ ،النساء:141.</w:t>
      </w:r>
    </w:p>
  </w:footnote>
  <w:footnote w:id="4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ترد«أنّ»فی«ش».</w:t>
      </w:r>
    </w:p>
  </w:footnote>
  <w:footnote w:id="4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2:203،الباب 46،الحدیث 5،و عنه البحار 44:271،الحدیث 4.</w:t>
      </w:r>
    </w:p>
  </w:footnote>
  <w:footnote w:id="4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فی«ف»:صلوات اللّٰه علی رسوله و علیهما و علی أولادهما.</w:t>
      </w:r>
    </w:p>
  </w:footnote>
  <w:footnote w:id="4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فی«ش»بدل«واو»:أو.</w:t>
      </w:r>
    </w:p>
  </w:footnote>
  <w:footnote w:id="4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غیر«ش»:«الجعل»،و لکن صحّحت فی«ن»و«خ»بما أثبتناه.</w:t>
      </w:r>
    </w:p>
  </w:footnote>
  <w:footnote w:id="4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أحَلَّ اللّٰهُ البَیْعَ، البقرة:275.</w:t>
      </w:r>
    </w:p>
  </w:footnote>
  <w:footnote w:id="4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المائدة:1.</w:t>
      </w:r>
    </w:p>
  </w:footnote>
  <w:footnote w:id="4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النساء:29.</w:t>
      </w:r>
    </w:p>
  </w:footnote>
  <w:footnote w:id="4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عوالی اللآلی 1:222،الحدیث 99.</w:t>
      </w:r>
    </w:p>
  </w:footnote>
  <w:footnote w:id="4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المامقانی قدّس سرّه:الظاهر أنّه أشار بذلک إلی الملک القهری کالإرث،و من غیر القهری مثل بیعه علی من ینعتق علیه،و مثل ما لو قال الکافر للمسلم: أعتق عبدک عنّی،و مثل ما لو اشترط عند بیعه علی الکافر عتقه.(غایة الآمال:423).</w:t>
      </w:r>
    </w:p>
  </w:footnote>
  <w:footnote w:id="4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فی«ش»،و فی غیرها:«اقتضت»،و صحّحت فی«ن»و«خ»بما أثبتناه.</w:t>
      </w:r>
    </w:p>
  </w:footnote>
  <w:footnote w:id="4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التذکرة 1:463،الفرع الخامس.</w:t>
      </w:r>
    </w:p>
  </w:footnote>
  <w:footnote w:id="4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نهایة الإحکام 2:457.</w:t>
      </w:r>
    </w:p>
  </w:footnote>
  <w:footnote w:id="4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السیّد العاملی فی مفتاح الکرامة 4:178،و راجع الخلاف 3:190، کتاب البیوع،المسألة 319.</w:t>
      </w:r>
    </w:p>
  </w:footnote>
  <w:footnote w:id="4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یوجد لدینا،و لکن حکاه عنه السیّد العاملی فی مفتاح الکرامة 4:178.</w:t>
      </w:r>
    </w:p>
  </w:footnote>
  <w:footnote w:id="4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4:63.</w:t>
      </w:r>
    </w:p>
  </w:footnote>
  <w:footnote w:id="4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المسالک 3:167.</w:t>
      </w:r>
    </w:p>
  </w:footnote>
  <w:footnote w:id="4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عبارة«کما عن ظاهر الدروس»لم ترد فی«ف»،و شطب علیها فی«ن»، انظر الدروس 3:199.</w:t>
      </w:r>
    </w:p>
  </w:footnote>
  <w:footnote w:id="4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1:124.</w:t>
      </w:r>
    </w:p>
  </w:footnote>
  <w:footnote w:id="4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عبارة«کما هو ظاهر القواعد و محکیّ الإیضاح»لم ترد فی«ف»،و شطب علیها فی«ن»،راجع إیضاح الفوائد 1:413.</w:t>
      </w:r>
    </w:p>
  </w:footnote>
  <w:footnote w:id="4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السابقة.</w:t>
      </w:r>
    </w:p>
  </w:footnote>
  <w:footnote w:id="4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نقله عن مفتاح الکرامة فی الصفحة السابقة.</w:t>
      </w:r>
    </w:p>
  </w:footnote>
  <w:footnote w:id="4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4:63.</w:t>
      </w:r>
    </w:p>
  </w:footnote>
  <w:footnote w:id="4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عنه فی الصفحة السابقة.</w:t>
      </w:r>
    </w:p>
  </w:footnote>
  <w:footnote w:id="4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إیضاح الفوائد 1:413.</w:t>
      </w:r>
    </w:p>
  </w:footnote>
  <w:footnote w:id="4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1:124.</w:t>
      </w:r>
    </w:p>
  </w:footnote>
  <w:footnote w:id="4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إیضاح الفوائد 1:413.</w:t>
      </w:r>
    </w:p>
  </w:footnote>
  <w:footnote w:id="4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غیر«ش»:«تفصیل»،لکن صحّحت فی«خ»بما أثبتناه.</w:t>
      </w:r>
    </w:p>
  </w:footnote>
  <w:footnote w:id="4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3:199.</w:t>
      </w:r>
    </w:p>
  </w:footnote>
  <w:footnote w:id="4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السیّد العاملی فی مفتاح الکرامة 4:179.</w:t>
      </w:r>
    </w:p>
  </w:footnote>
  <w:footnote w:id="4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1:124.</w:t>
      </w:r>
    </w:p>
  </w:footnote>
  <w:footnote w:id="4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إیضاح الفوائد 1:413.</w:t>
      </w:r>
    </w:p>
  </w:footnote>
  <w:footnote w:id="4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2:232.</w:t>
      </w:r>
    </w:p>
  </w:footnote>
  <w:footnote w:id="4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1:158-159.</w:t>
      </w:r>
    </w:p>
  </w:footnote>
  <w:footnote w:id="4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إیضاح الفوائد 2:11.</w:t>
      </w:r>
    </w:p>
  </w:footnote>
  <w:footnote w:id="4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3:390.</w:t>
      </w:r>
    </w:p>
  </w:footnote>
  <w:footnote w:id="4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4:63،و 5:51.</w:t>
      </w:r>
    </w:p>
  </w:footnote>
  <w:footnote w:id="4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المسالک 4:24.</w:t>
      </w:r>
    </w:p>
  </w:footnote>
  <w:footnote w:id="4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فی«ش»بدل«عن»:فی.</w:t>
      </w:r>
    </w:p>
  </w:footnote>
  <w:footnote w:id="4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نقف علی من حکاه عن التذکرة،بل المحکی عنه فی مفتاح الکرامة (4:179)و(5:83)هو المنع،نعم جاء فی مفتاح الکرامة(4:179):فی التذکرة:«فیه وجهان للشافعی»،انظر التذکرة 2:19،الشرط الثالث.</w:t>
      </w:r>
    </w:p>
  </w:footnote>
  <w:footnote w:id="4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1:191.</w:t>
      </w:r>
    </w:p>
  </w:footnote>
  <w:footnote w:id="4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4:65.</w:t>
      </w:r>
    </w:p>
  </w:footnote>
  <w:footnote w:id="4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المسالک 3:167.</w:t>
      </w:r>
    </w:p>
  </w:footnote>
  <w:footnote w:id="4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السیّد العاملی فی مفتاح الکرامة 4:180.</w:t>
      </w:r>
    </w:p>
  </w:footnote>
  <w:footnote w:id="4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نقف علی القائل.</w:t>
      </w:r>
    </w:p>
  </w:footnote>
  <w:footnote w:id="4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1:463.</w:t>
      </w:r>
    </w:p>
  </w:footnote>
  <w:footnote w:id="4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مصحّحة«ص»زیادة«بالآیة».</w:t>
      </w:r>
    </w:p>
  </w:footnote>
  <w:footnote w:id="4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هامش«ن»زیادة:ب لن یجعل .</w:t>
      </w:r>
    </w:p>
  </w:footnote>
  <w:footnote w:id="4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فی«ش»و مصحّحة«خ»،و فی سائر النسخ:«بحصول»،إلّا أنّها صحّحت فی بعض النسخ بما أثبتناه،و فی بعضها ب«لحصول».</w:t>
      </w:r>
    </w:p>
  </w:footnote>
  <w:footnote w:id="4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الفقه علی المذاهب الأربعة 4:223.</w:t>
      </w:r>
    </w:p>
  </w:footnote>
  <w:footnote w:id="4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عبارة«بقوله تعالی»من«ش»،و استدرکت فی هامش«ن»أیضاً.</w:t>
      </w:r>
    </w:p>
  </w:footnote>
  <w:footnote w:id="4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الحجرات:14.</w:t>
      </w:r>
    </w:p>
  </w:footnote>
  <w:footnote w:id="4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یدلّ علیه ما فی الوسائل 1:158،الباب 11 من أبواب الماء المضاف، و ما ورد فی کتاب الحجّة من الکافی،انظر الکافی 1:187،الحدیث 11، و 426،الحدیث 74،و 437،الحدیث 7.</w:t>
      </w:r>
    </w:p>
  </w:footnote>
  <w:footnote w:id="4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یدلّ علیه ما فی الکافی 2:25-26،الحدیث 1 و 3،و الوسائل 14: 433،الباب 12 من أبواب ما یحرم بالکفر و نحوه،الحدیث الأوّل.</w:t>
      </w:r>
    </w:p>
  </w:footnote>
  <w:footnote w:id="4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فی«ص»و الکافی،و فی سائر النسخ:«و».</w:t>
      </w:r>
    </w:p>
  </w:footnote>
  <w:footnote w:id="4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النسخ:«جازت»،و الصواب ما أثبتناه من الکافی و مصحّحة«ص».</w:t>
      </w:r>
    </w:p>
  </w:footnote>
  <w:footnote w:id="4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فی«ف»،و فی سائر النسخ:«لا،بل هما»،و فی الکافی:لا هما.</w:t>
      </w:r>
    </w:p>
  </w:footnote>
  <w:footnote w:id="4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2:26،الحدیث 5.</w:t>
      </w:r>
    </w:p>
  </w:footnote>
  <w:footnote w:id="4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14:423،الباب 10 من أبواب ما یحرم بالکفر و نحوه.</w:t>
      </w:r>
    </w:p>
  </w:footnote>
  <w:footnote w:id="4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1:463.</w:t>
      </w:r>
    </w:p>
  </w:footnote>
  <w:footnote w:id="4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فی«ف»بدل«و تبعه»:و المحقّق فی.</w:t>
      </w:r>
    </w:p>
  </w:footnote>
  <w:footnote w:id="4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4:62-63.</w:t>
      </w:r>
    </w:p>
  </w:footnote>
  <w:footnote w:id="4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المسالک 3:167.</w:t>
      </w:r>
    </w:p>
  </w:footnote>
  <w:footnote w:id="4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نقف علی من حکاه عن الفقیه،نعم حکی ذلک عن المقنعة صاحب الجواهر فی الجواهر 22:340،و السیّد العاملی فی مفتاح الکرامة 4:177، و انظر المقنعة:599.</w:t>
      </w:r>
    </w:p>
  </w:footnote>
  <w:footnote w:id="4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حکی ذلک فی مفتاح الکرامة 4:177،و الجواهر 22:340،و انظر النهایة: 408 و 540.</w:t>
      </w:r>
    </w:p>
  </w:footnote>
  <w:footnote w:id="4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حکی ذلک فی مفتاح الکرامة 4:177،و الجواهر 22:340،و انظر السرائر 2:343،و 3:7.</w:t>
      </w:r>
    </w:p>
  </w:footnote>
  <w:footnote w:id="4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حکی ذلک فی مفتاح الکرامة 4:177،و الجواهر 22:340.</w:t>
      </w:r>
    </w:p>
  </w:footnote>
  <w:footnote w:id="4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2:168،و حکاه عنه و عن القاضی،العلّامة فی المختلف 5:59.</w:t>
      </w:r>
    </w:p>
  </w:footnote>
  <w:footnote w:id="4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جواهر الفقه:60،المسألة 222.</w:t>
      </w:r>
    </w:p>
  </w:footnote>
  <w:footnote w:id="4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عبارة«إلّا أنّ الإنصاف-إلی-غیر منفیّة»لم ترد فی«ف».</w:t>
      </w:r>
    </w:p>
  </w:footnote>
  <w:footnote w:id="4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فی«ش»و«خ»:یمنع.</w:t>
      </w:r>
    </w:p>
  </w:footnote>
  <w:footnote w:id="4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2:168،و الخلاف 3:190،کتاب البیوع،المسألة 317،و حکی ذلک عنهما السیّد العاملی فی مفتاح الکرامة 4:177.</w:t>
      </w:r>
    </w:p>
  </w:footnote>
  <w:footnote w:id="4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3:199.</w:t>
      </w:r>
    </w:p>
  </w:footnote>
  <w:footnote w:id="4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البهیة 3:244.</w:t>
      </w:r>
    </w:p>
  </w:footnote>
  <w:footnote w:id="4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یوجد لدینا،نعم حکاه السیّد العاملی فی مفتاح الکرامة 4:178.</w:t>
      </w:r>
    </w:p>
  </w:footnote>
  <w:footnote w:id="4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فی«ش»:الملکیة.</w:t>
      </w:r>
    </w:p>
  </w:footnote>
  <w:footnote w:id="4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فی«ش»:المسلم.</w:t>
      </w:r>
    </w:p>
  </w:footnote>
  <w:footnote w:id="4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النسخ زیادة:«أو»،و لکن شطب علیها فی«ن»،«خ»و«ص».</w:t>
      </w:r>
    </w:p>
  </w:footnote>
  <w:footnote w:id="4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فی«ش»،و العبارة فی«ف»هکذا:«لکن لمّا ثبت فی الأصل»،و فی سائر النسخ:«لکن لا یثبت بها لأصل»،إلّا أنّها صحّحت فی«ن»و«خ» بما أثبتناه،و فی«ص»:«لا یثبت بها أصل».</w:t>
      </w:r>
    </w:p>
  </w:footnote>
  <w:footnote w:id="4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4:63.</w:t>
      </w:r>
    </w:p>
  </w:footnote>
  <w:footnote w:id="4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فی«ف»و مصحّحة«ن»،و فی غیرهما:أو.</w:t>
      </w:r>
    </w:p>
  </w:footnote>
  <w:footnote w:id="4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12:282،الباب 28 من أبواب عقد البیع.</w:t>
      </w:r>
    </w:p>
  </w:footnote>
  <w:footnote w:id="4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کلمة«فیها»من«ف»و«ش»و مصحّحة«ن»،و لم ترد فی سائر النسخ، و الأنسب:فیهما.</w:t>
      </w:r>
    </w:p>
  </w:footnote>
  <w:footnote w:id="4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المختلف 5:59،و الدروس 3:199،و الروضة البهیّة 3:245، و غیرها.</w:t>
      </w:r>
    </w:p>
  </w:footnote>
  <w:footnote w:id="4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إیضاح الفوائد 1:414.</w:t>
      </w:r>
    </w:p>
  </w:footnote>
  <w:footnote w:id="4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عبارة«فإذا تولّاه المالک بنفسه»لم ترد فی«ف».</w:t>
      </w:r>
    </w:p>
  </w:footnote>
  <w:footnote w:id="4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حواشی الشهید(مخطوط)و لا یوجد لدینا،نعم حکاه عنه السیّد العاملی فی مفتاح الکرامة 4:180.</w:t>
      </w:r>
    </w:p>
  </w:footnote>
  <w:footnote w:id="4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مصحّحة«ن»:بعموم.</w:t>
      </w:r>
    </w:p>
  </w:footnote>
  <w:footnote w:id="4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ترد«غیر»فی«ش».</w:t>
      </w:r>
    </w:p>
  </w:footnote>
  <w:footnote w:id="4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3:199.</w:t>
      </w:r>
    </w:p>
  </w:footnote>
  <w:footnote w:id="4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فی«ش»و المصدر،و فی سائر النسخ بدل«إذا»:«و».</w:t>
      </w:r>
    </w:p>
  </w:footnote>
  <w:footnote w:id="4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4:65.</w:t>
      </w:r>
    </w:p>
  </w:footnote>
  <w:footnote w:id="4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فی«ص»:ذکرا.</w:t>
      </w:r>
    </w:p>
  </w:footnote>
  <w:footnote w:id="4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فی«ف»:فهو.</w:t>
      </w:r>
    </w:p>
  </w:footnote>
  <w:footnote w:id="4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فی«ف»:لیکون.</w:t>
      </w:r>
    </w:p>
  </w:footnote>
  <w:footnote w:id="4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فی«ف»:مسلم.</w:t>
      </w:r>
    </w:p>
  </w:footnote>
  <w:footnote w:id="4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غیر«ف»و مصحّحة«ن»،«م»و«ص»زیادة:التصرّف.</w:t>
      </w:r>
    </w:p>
  </w:footnote>
  <w:footnote w:id="4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فی«ش»و مصحّحة«ن»و المصدر،و فی سائر النسخ:«و لو باعه المسلم»،و فی مصحّحة«ص»:و لو باعه لمسلم.</w:t>
      </w:r>
    </w:p>
  </w:footnote>
  <w:footnote w:id="4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بدل«ش»:الثوب.</w:t>
      </w:r>
    </w:p>
  </w:footnote>
  <w:footnote w:id="4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بدل«ن»و«ش»:الثوب.</w:t>
      </w:r>
    </w:p>
  </w:footnote>
  <w:footnote w:id="4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عبارة«ینشأ من کون الاسترداد تملّکاً للمسلم اختیاراً و»من«ش» و المصدر،و لم ترد فی سائر النسخ،و استدرکه مصحّح«ن»فی الهامش،و قال: کذا فی نسخة من القواعد.</w:t>
      </w:r>
    </w:p>
  </w:footnote>
  <w:footnote w:id="4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1:124.</w:t>
      </w:r>
    </w:p>
  </w:footnote>
  <w:footnote w:id="4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غیر«ش»و مصحّحة«ن»:الثمن.</w:t>
      </w:r>
    </w:p>
  </w:footnote>
  <w:footnote w:id="4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مفتاح الکرامة 4:548،و الجواهر 23:18،و نسب فی الحدائق 19: 16 سقوط خیار المشتری إلی المشهور.</w:t>
      </w:r>
    </w:p>
  </w:footnote>
  <w:footnote w:id="4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2:62.</w:t>
      </w:r>
    </w:p>
  </w:footnote>
  <w:footnote w:id="4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1:334.</w:t>
      </w:r>
    </w:p>
  </w:footnote>
  <w:footnote w:id="4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1:463،و القواعد 1:124،و نهایة الإحکام 2:456،و الإرشاد 1:360.</w:t>
      </w:r>
    </w:p>
  </w:footnote>
  <w:footnote w:id="4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الشهیدان فی الدروس 3:199،و المسالک 3:166،و اللمعة الدمشقیة و شرحها(الروضة البهیّة)3:243،و المحقّق الأردبیلی فی مجمع الفائدة 8:161، و انظر مفتاح الکرامة 4:83 و 176.</w:t>
      </w:r>
    </w:p>
  </w:footnote>
  <w:footnote w:id="4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غیر«ش»:أو ما یجب.</w:t>
      </w:r>
    </w:p>
  </w:footnote>
  <w:footnote w:id="4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عنه العلّامة فی المختلف 5:422.</w:t>
      </w:r>
    </w:p>
  </w:footnote>
  <w:footnote w:id="4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فقد استدلّ بالأوّل الشیخ فی المبسوط 2:62،و المحقّق الأردبیلی فی مجمع الفائدة 8:161،و استدلّ بالثانی صاحب الجواهر فی الجواهر 22:338-339.</w:t>
      </w:r>
    </w:p>
  </w:footnote>
  <w:footnote w:id="4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2:62.</w:t>
      </w:r>
    </w:p>
  </w:footnote>
  <w:footnote w:id="4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1:335.</w:t>
      </w:r>
    </w:p>
  </w:footnote>
  <w:footnote w:id="4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غایة المرام(مخطوط):268،و فیه-بعد نقل المنع عن الشیخ-:و المشهور الکراهیة؛لأصالة الجواز،و لأنّ حرمتها أقلّ من حرمة المصاحف فلا یتعدّی حکم المصاحف إلیها.</w:t>
      </w:r>
    </w:p>
  </w:footnote>
  <w:footnote w:id="4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1:463.</w:t>
      </w:r>
    </w:p>
  </w:footnote>
  <w:footnote w:id="4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علّموا ارقائکم سورة یوسف علیه السّلام فأیّما مسلم تلاها و علّمها اهله و ما ملکت یمینه هوّن اللَّه علیه سکرات الموت و اعطاه القوّه ان لا یحسد مسلما.</w:t>
      </w:r>
    </w:p>
  </w:footnote>
  <w:footnote w:id="4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قرأها فی کلّ لیلة بعثه اللَّه یوم القیامة و جماله مثل جمال یوسف علیه السّلام و لا یصیبه فزع و کان من خیار عباد اللَّه الصالحین.</w:t>
      </w:r>
    </w:p>
  </w:footnote>
  <w:footnote w:id="4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80- فَلَنْ أَبْرَحَ الْأَرْضَ حَتَّی یَأْذَنَ لِی أَبِی.</w:t>
      </w:r>
    </w:p>
  </w:footnote>
  <w:footnote w:id="4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اشمام در اصطلاح نحویان. با لب اشاره کردن به حرکت حرفی است بدون این که صوت شنیده شود، حرف ساکن را بوی ضمّه دادن بطوری که شنیده نشود، بهم آوردن لبها برای تلفّظ ضمّه به طوری که ضمّه تلفّظ نشود. فرهنگ عمید. اشمام.</w:t>
      </w:r>
    </w:p>
  </w:footnote>
  <w:footnote w:id="4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لَمَّا فَصَلَتِ الْعِیرُ، آیه 94.</w:t>
      </w:r>
    </w:p>
  </w:footnote>
  <w:footnote w:id="4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زنان نسبت به او یکپارچه بخشندگی‏اند، و شما نسبت به او سراسر فرومایگی- م.</w:t>
      </w:r>
    </w:p>
  </w:footnote>
  <w:footnote w:id="4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تاللّه ما رأیت کالیوم ذئبا أحلم من هذا: اکل ابنی و لم یمزق علیه قمیصه.</w:t>
      </w:r>
    </w:p>
  </w:footnote>
  <w:footnote w:id="4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نَّما أَشْکُوا بَثِّی وَ حُزْنِی إِلَی اللَّهِ. آیه 86.</w:t>
      </w:r>
    </w:p>
  </w:footnote>
  <w:footnote w:id="4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معنای دیگر: عزیز مصر صاحب نعمت من است- م.</w:t>
      </w:r>
    </w:p>
  </w:footnote>
  <w:footnote w:id="4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سمت وزارت یا نخست وزیری فرعون را داشت، از تفسیر نمونه- م.</w:t>
      </w:r>
    </w:p>
  </w:footnote>
  <w:footnote w:id="4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لمّه به معنای همراه یا همراهان در مسافرت، برای مفرد و جمع. پاورقی استاد گرجی.</w:t>
      </w:r>
    </w:p>
  </w:footnote>
  <w:footnote w:id="4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همین دلیل در آیه: قالَ نِسْوَةٌ گفته شده، و دلیل این که غیر حقیقی است آن است که مراد از این تأنیث جمع بودن است: «کل جمع مؤنّث» و تأنیث جمع، امری لفظی است، و چون در یک اسم، دو تأنیث جمع نمی‏شود، اینجا تأنیث لفظ، تأنیث معنوی (حقیقی) را باطل کرده، چنان که گاهی در جمعهای مذکر از قبیل «رجال» یا «اعراب» و غیره تأنیث لفظی مذکّر بودن معنوی را باطل می‏کند، و حمل می‏شود بر لفظ یا بر معنا، گاهی مذکّر و گاهی مؤنث آورده می‏شود. با تلخیص از مجمع البیان.</w:t>
      </w:r>
    </w:p>
  </w:footnote>
  <w:footnote w:id="4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مصراع اول:</w:t>
      </w:r>
    </w:p>
  </w:footnote>
  <w:footnote w:id="4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گروهی‏اند که به ظواهر آیات چنگ زده و معتقد به تجسّم شده، و از فرق ضالّه‏اند، و سبکی در شرح اصول ابن حاجب می‏گوید: حشویه از راه راست منحرف شده‏اند و آیات الهی را بر ظاهرش حمل می‏کنند و می‏گویند: مراد همین است. وجه تسمیه این فرقه آن است که اول در حلقه درس حسن بصری بودند و بعد که جدا شدند و حرفهایی می‏گفتند که او نپسندید، به شاگردانش گفت: ردّوا هؤلاء الی حشاء الحلقه: اینها را از میان حلقه درس بیرون کنید، به این دلیل به «حشاء» نسبت داده شده و حشویه نامیده شدند، دکتر گرجی نقل از کشّاف، اصطلاحات الفنون، 1/ 396.</w:t>
      </w:r>
    </w:p>
  </w:footnote>
  <w:footnote w:id="4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اصل امرتک بالخیر بوده است.</w:t>
      </w:r>
    </w:p>
  </w:footnote>
  <w:footnote w:id="4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 حمزه ثمالی از امام زین العابدین علیه السّلام ترجمه مجمع البیان.</w:t>
      </w:r>
    </w:p>
  </w:footnote>
  <w:footnote w:id="4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سارق اللیلة اهل الدار یا آخذا مالی و مال جاری‏</w:t>
      </w:r>
    </w:p>
  </w:footnote>
  <w:footnote w:id="4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الحاقه/ 20.</w:t>
      </w:r>
    </w:p>
  </w:footnote>
  <w:footnote w:id="4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19، کشّاف در ذیل آیه می‏نویسد: «فیه» برای بیان است از این رو معلوم می‏شود مصنف در این جا «لام» را به «فیه» در آن آیه تشبیه کرده است.</w:t>
      </w:r>
    </w:p>
  </w:footnote>
  <w:footnote w:id="4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کار جدیّت و کوشش کرد.</w:t>
      </w:r>
    </w:p>
  </w:footnote>
  <w:footnote w:id="4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مفعول مطلق نوعی.</w:t>
      </w:r>
    </w:p>
  </w:footnote>
  <w:footnote w:id="4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مضاف حذف شده و کلمه «دأبا» منصوب به نزع خافض شده- م.</w:t>
      </w:r>
    </w:p>
  </w:footnote>
  <w:footnote w:id="4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زجاج گفته است: حافظا، حال و حفظا تمییز است مجمع البیان.</w:t>
      </w:r>
    </w:p>
  </w:footnote>
  <w:footnote w:id="4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فراق دو فرزند: یوسف و بنیامین- م.</w:t>
      </w:r>
    </w:p>
  </w:footnote>
  <w:footnote w:id="4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وسق بعیر بار شتر (شصت صاع) پاورقیهای استاد گرجی نقل از صحاح.</w:t>
      </w:r>
    </w:p>
  </w:footnote>
  <w:footnote w:id="4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 طبق اصل «ذلک»، اشاره به دور می‏باشد نه به تفسیر قبلی که اشاره به نزدیک بوده- م.</w:t>
      </w:r>
    </w:p>
  </w:footnote>
  <w:footnote w:id="4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راحیل نام زن یعقوب مادر بنیامین و یوسف بود.</w:t>
      </w:r>
    </w:p>
  </w:footnote>
  <w:footnote w:id="4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چند جهت دیگر نیز برای تهمت این دزدی ذکر کرده‏اند که می‏توان به تفاسیر دیگر از جمله مجمع البیان و نمونه و غیره رجوع کرد- م.</w:t>
      </w:r>
    </w:p>
  </w:footnote>
  <w:footnote w:id="4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 وزن تفاعل.</w:t>
      </w:r>
    </w:p>
  </w:footnote>
  <w:footnote w:id="4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 47.</w:t>
      </w:r>
    </w:p>
  </w:footnote>
  <w:footnote w:id="4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گروه‏ها، شب زنده‏دار.</w:t>
      </w:r>
    </w:p>
  </w:footnote>
  <w:footnote w:id="4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 52.</w:t>
      </w:r>
    </w:p>
  </w:footnote>
  <w:footnote w:id="4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«ابرح» به معنای: «لا ابرح» می‏باشد، و مصراع بعدش این است:</w:t>
      </w:r>
    </w:p>
  </w:footnote>
  <w:footnote w:id="4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حرض، بر وزن مرض: چیز فاسد و ناراحت کننده، و در این جا به معنای بیماری و لاغر، و مشرف به مرگ است، پاورقی تفسیر نمونه.</w:t>
      </w:r>
    </w:p>
  </w:footnote>
  <w:footnote w:id="4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87.</w:t>
      </w:r>
    </w:p>
  </w:footnote>
  <w:footnote w:id="4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 ما دوستی کنی یا دشمنی، ما را بر تو ملامتی نیست، و اگر دشمنی هم کنی، کسی دشمن تو نخواهد بود، شاهد مطلب این که «اساء»، و احسن، به «باء» متعدی شده است. در پاورقی استاد گرجی ذیل آیه «طَوْعاً أَوْ کَرْهاً» سوره توبه، و قول کثیر شاعر، تشریح شده است- م.</w:t>
      </w:r>
    </w:p>
  </w:footnote>
  <w:footnote w:id="4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مرد از انصار است و کنیه‏اش ابو منذر، از نویسندگان دوران جاهلیت است و در زمان پیامبر، جزء کتّاب وحی بوده، او دارای قامتی کوتاه و شکمی بزرگ و سر و ریشی سفید بود و هرگز محاسنش را به خضاب رنگ نمی‏کرد و در تاریخ فوتش اختلاف است، بعضی گفته‏اند در خلافت عمر، سال بیست و دو، و برخی گفته‏اند در خلافت عثمان سال سی‏ام فوت شده است، از تصحیح استاد گرجی به نقل از المعارف، ص 261 ط دار الکتب.</w:t>
      </w:r>
    </w:p>
  </w:footnote>
  <w:footnote w:id="4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قرأ سورة الرّعد اعطی من الأجر، عشر حسنات بعدد کل سحاب مضی و کلّ سحاب یکون الی یوم القیامة و کان یوم القیامة من الموفین بعهد اللَّه.</w:t>
      </w:r>
    </w:p>
  </w:footnote>
  <w:footnote w:id="4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اکثر قراءة الرّعد لم یصبه اللَّه بصاعقة ابدا و أدخل الجنّة بغیر حساب.</w:t>
      </w:r>
    </w:p>
  </w:footnote>
  <w:footnote w:id="4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لولا عفو اللَّه و تجاوزه ما هنأ أحدا العیش، و لولا وعید اللَّه و عقابه لاتّکل کلّ واحد.</w:t>
      </w:r>
    </w:p>
  </w:footnote>
  <w:footnote w:id="4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تجلدی للشّامتین أریهم انّی لریب الدهر لا أ تضعضع.</w:t>
      </w:r>
    </w:p>
  </w:footnote>
  <w:footnote w:id="4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أتبع السّیئة الحسنة تمحها.</w:t>
      </w:r>
    </w:p>
  </w:footnote>
  <w:footnote w:id="4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1، ص 209.</w:t>
      </w:r>
    </w:p>
  </w:footnote>
  <w:footnote w:id="4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چنان که یأس از چیزی نتیجه علم به عدم آن است، امید به آن نیز نتیجه عدم خوف از آن می‏باشد.- م.</w:t>
      </w:r>
    </w:p>
  </w:footnote>
  <w:footnote w:id="4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بهتر همان معنای مشهور است که «یأس» را به معنای «علم» به کار برده‏اند و آیه را چنین معنا کرده‏اند: آیا کسانی که ایمان آورده‏اند نمی‏دانند که اگر خدا بخواهد همه مردم را اجبارا هدایت می‏کند.</w:t>
      </w:r>
    </w:p>
  </w:footnote>
  <w:footnote w:id="4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چون حقیقت بهشت با این شگفتیهایش در وصف نمی‏گنجد، لذا از ویژگیهای آن در قرآن تعبیر به مثل فرموده است. خلاصه‏ای از تفسیر نمونه، 10/ 230.</w:t>
      </w:r>
    </w:p>
  </w:footnote>
  <w:footnote w:id="4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چه ظاهر بیان مرحوم طبرسی و دیگران از قبیل کشّاف نشان می‏دهد که این پاسخی به کسانی است که به تعدّد همسران پیامبر ایراد می‏گرفتند، اما این شأن نزول درست به نظر نمی‏آید، چون سوره رعد ظاهرا مکّی است و در مکه تعدّد همسر مطرح نبوده است. تفسیر نمونه، 10/ 239.</w:t>
      </w:r>
    </w:p>
  </w:footnote>
  <w:footnote w:id="4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الملک: 14.</w:t>
      </w:r>
    </w:p>
  </w:footnote>
  <w:footnote w:id="4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الحدید: 25.</w:t>
      </w:r>
    </w:p>
  </w:footnote>
  <w:footnote w:id="4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الرسائل: 68 - 69.</w:t>
      </w:r>
    </w:p>
  </w:footnote>
  <w:footnote w:id="4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کتاب العقل و الجهل، الحدیث 12.</w:t>
      </w:r>
    </w:p>
  </w:footnote>
  <w:footnote w:id="4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40/11.</w:t>
      </w:r>
    </w:p>
  </w:footnote>
  <w:footnote w:id="4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تعالی حکایة عن المشرکین: «وَ الَّذِینَ اتَّخَذُوا مِنْ دُونِهِ أَوْلِیٰاءَ مٰا نَعْبُدُهُمْ إِلاّٰ لِیُقَرِّبُونٰا إِلَی اللّٰهِ زُلْفیٰ» (الزمر: 3).</w:t>
      </w:r>
    </w:p>
  </w:footnote>
  <w:footnote w:id="4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الطبری: 2 / 63، قاله النبی عند دعوة أقاربه إلی الإسلام.</w:t>
      </w:r>
    </w:p>
  </w:footnote>
  <w:footnote w:id="4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للوقوف علی مدارک أدلّة البراهمة، أُنظر: الملل و النحل للشهرستانی: 2 / 250 - 252؛ کشف المراد: 217؛ شرح التجرید للفاضل القوشجی: 358.</w:t>
      </w:r>
    </w:p>
  </w:footnote>
  <w:footnote w:id="4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الأنبیاء: 3.</w:t>
      </w:r>
    </w:p>
  </w:footnote>
  <w:footnote w:id="4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33- 34.</w:t>
      </w:r>
    </w:p>
  </w:footnote>
  <w:footnote w:id="4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إبراهیم: 11.</w:t>
      </w:r>
    </w:p>
  </w:footnote>
  <w:footnote w:id="4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6.</w:t>
      </w:r>
    </w:p>
  </w:footnote>
  <w:footnote w:id="4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التجرید للفاضل القوشجی: 465.</w:t>
      </w:r>
    </w:p>
  </w:footnote>
  <w:footnote w:id="4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النمل: 40.</w:t>
      </w:r>
    </w:p>
  </w:footnote>
  <w:footnote w:id="4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آل عمران: 37.</w:t>
      </w:r>
    </w:p>
  </w:footnote>
  <w:footnote w:id="4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تختصّ المعجزة بدعوی النبوّة، بل یعمّها و دعوی الإمامة و غیرها من الدعاوی الإلهیة، کدعوی المسلم أنّ شریعة الإسلام هی الحق دون غیرها من الشرائع، و یقوم بالمباهلة، فذلک معجزة البتة، فالصحیح فی تعریف المعجزة أن یقال: «هو الفعل الخارق للعادة الّذی یأتی به من یدّعی منصباً أو مقاما إلهیاً شاهداً علی صدق دعواه»؛ راجع: البیان فی تفسیر القرآن: 33.</w:t>
      </w:r>
    </w:p>
  </w:footnote>
  <w:footnote w:id="4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الحق و کشف الصدق: 84.</w:t>
      </w:r>
    </w:p>
  </w:footnote>
  <w:footnote w:id="4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المیزان: 86/1.</w:t>
      </w:r>
    </w:p>
  </w:footnote>
  <w:footnote w:id="4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102.</w:t>
      </w:r>
    </w:p>
  </w:footnote>
  <w:footnote w:id="4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107.</w:t>
      </w:r>
    </w:p>
  </w:footnote>
  <w:footnote w:id="4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108.</w:t>
      </w:r>
    </w:p>
  </w:footnote>
  <w:footnote w:id="4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60.</w:t>
      </w:r>
    </w:p>
  </w:footnote>
  <w:footnote w:id="4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63.</w:t>
      </w:r>
    </w:p>
  </w:footnote>
  <w:footnote w:id="4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49.</w:t>
      </w:r>
    </w:p>
  </w:footnote>
  <w:footnote w:id="4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فی ذلک: معجم مقاییس اللغة: 6 / 93؛ المفردات فی غریب القرآن، مادة «وحی»؛ لسان العرب: 15 / 379.</w:t>
      </w:r>
    </w:p>
  </w:footnote>
  <w:footnote w:id="4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12.</w:t>
      </w:r>
    </w:p>
  </w:footnote>
  <w:footnote w:id="4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68.</w:t>
      </w:r>
    </w:p>
  </w:footnote>
  <w:footnote w:id="4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7.</w:t>
      </w:r>
    </w:p>
  </w:footnote>
  <w:footnote w:id="4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 11.</w:t>
      </w:r>
    </w:p>
  </w:footnote>
  <w:footnote w:id="4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121.</w:t>
      </w:r>
    </w:p>
  </w:footnote>
  <w:footnote w:id="4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193 -194.</w:t>
      </w:r>
    </w:p>
  </w:footnote>
  <w:footnote w:id="4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النظریّة مأثورة عن المستشرق «مونتیه» و فصّلها «إمیل درمنغام»، لاحظ: «الوحی المحمدی»، السید محمّد رشید رضا، ص 66.</w:t>
      </w:r>
    </w:p>
  </w:footnote>
  <w:footnote w:id="4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الأنبیاء: 5.</w:t>
      </w:r>
    </w:p>
  </w:footnote>
  <w:footnote w:id="4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1 -5.</w:t>
      </w:r>
    </w:p>
  </w:footnote>
  <w:footnote w:id="4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11.</w:t>
      </w:r>
    </w:p>
  </w:footnote>
  <w:footnote w:id="4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17.</w:t>
      </w:r>
    </w:p>
  </w:footnote>
  <w:footnote w:id="4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دائرة المعارف لفرید وجدی: 10 / 712 - 716.</w:t>
      </w:r>
    </w:p>
  </w:footnote>
  <w:footnote w:id="4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مقاییس اللغة: 4 / 331؛ المفردات فی غریب القرآن؛ کتاب العین، مادة عصم.</w:t>
      </w:r>
    </w:p>
  </w:footnote>
  <w:footnote w:id="4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المقاصد: 4 / 312؛ ارشاد الطالبین: 130.</w:t>
      </w:r>
    </w:p>
  </w:footnote>
  <w:footnote w:id="4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المواقف: 8 / 280.</w:t>
      </w:r>
    </w:p>
  </w:footnote>
  <w:footnote w:id="4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التعریفات: 65.</w:t>
      </w:r>
    </w:p>
  </w:footnote>
  <w:footnote w:id="4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التعاریف المذکورة للعصمة غیر شاملة للعصمة عن السّهو و الجهل، و إن شئت قلت العصمة العلمیّة، و حقیقتها ترجع الی معرفة کاملة و جامعة بالمعارف و الأحکام الإلهیة و ما یتعلّق بشئون هدایة العباد فی مصالحهم الدینیة و الدنیویة.</w:t>
      </w:r>
    </w:p>
  </w:footnote>
  <w:footnote w:id="4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الجن: 26 - 28.</w:t>
      </w:r>
    </w:p>
  </w:footnote>
  <w:footnote w:id="4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المراد: 274.</w:t>
      </w:r>
    </w:p>
  </w:footnote>
  <w:footnote w:id="4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المیزان: 20 / 57.</w:t>
      </w:r>
    </w:p>
  </w:footnote>
  <w:footnote w:id="4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تنزیه الأنبیاء: 5 بتصرّف قلیل.</w:t>
      </w:r>
    </w:p>
  </w:footnote>
  <w:footnote w:id="4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قد أقام المتکلّمون علی عصمة الأنبیاء دلائل کثیرة، فذکر المحقق الطوسی ثلاثة، و أضاف إلیها القوشجی دلیلین آخرین، و ذکر الإیجی تسعة أدلة، غیر أنّ بعضها لیس دلیلاً عاماً، بل یختص بعصمتهم بعد البعثة، راجع فی ذلک: کشف المراد: 274؛ شرح التجرید: 358؛ المواقف: 2 / 359 -360.</w:t>
      </w:r>
    </w:p>
  </w:footnote>
  <w:footnote w:id="4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90.</w:t>
      </w:r>
    </w:p>
  </w:footnote>
  <w:footnote w:id="4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37.</w:t>
      </w:r>
    </w:p>
  </w:footnote>
  <w:footnote w:id="4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یس: 62.</w:t>
      </w:r>
    </w:p>
  </w:footnote>
  <w:footnote w:id="4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 1 / 234 -235.</w:t>
      </w:r>
    </w:p>
  </w:footnote>
  <w:footnote w:id="4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للوقوف علی أقوالهم راجع: الإلهیات: 2 / 189 - 190.</w:t>
      </w:r>
    </w:p>
  </w:footnote>
  <w:footnote w:id="4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17 / 97 -129، الباب 16.</w:t>
      </w:r>
    </w:p>
  </w:footnote>
  <w:footnote w:id="4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حقّ الیقین: 1 / 124 - 129.</w:t>
      </w:r>
    </w:p>
  </w:footnote>
  <w:footnote w:id="4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مصابیح الأنوار: 2 / 133.</w:t>
      </w:r>
    </w:p>
  </w:footnote>
  <w:footnote w:id="4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قواعد المرام: 127.</w:t>
      </w:r>
    </w:p>
  </w:footnote>
  <w:footnote w:id="4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المیزان: 11 / 163.</w:t>
      </w:r>
    </w:p>
  </w:footnote>
  <w:footnote w:id="4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65.</w:t>
      </w:r>
    </w:p>
  </w:footnote>
  <w:footnote w:id="4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149.</w:t>
      </w:r>
    </w:p>
  </w:footnote>
  <w:footnote w:id="4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5 / 387.</w:t>
      </w:r>
    </w:p>
  </w:footnote>
  <w:footnote w:id="4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هی سبع و ثلاثون آیة من سورة فصّلت.</w:t>
      </w:r>
    </w:p>
  </w:footnote>
  <w:footnote w:id="4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السیرة النبویة لابن هشام: 1 / 294، و القصة طویلة ذکرنا موضع الحاجة منها.</w:t>
      </w:r>
    </w:p>
  </w:footnote>
  <w:footnote w:id="4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26.</w:t>
      </w:r>
    </w:p>
  </w:footnote>
  <w:footnote w:id="4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السیرة النبویة: 1 / 315.</w:t>
      </w:r>
    </w:p>
  </w:footnote>
  <w:footnote w:id="4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السیرة النبویة: 1 / 382 - 383.</w:t>
      </w:r>
    </w:p>
  </w:footnote>
  <w:footnote w:id="4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88.</w:t>
      </w:r>
    </w:p>
  </w:footnote>
  <w:footnote w:id="4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بیان إعجاز القرآن: 21.</w:t>
      </w:r>
    </w:p>
  </w:footnote>
  <w:footnote w:id="4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مناهل العرفان فی علوم القرآن للزرقانی: 2 / 314.</w:t>
      </w:r>
    </w:p>
  </w:footnote>
  <w:footnote w:id="4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الطراز: 3 / 393 - 394، و هناک مناقشات أُخری علی نظریة الصرفة مذکورة فی الإلهیات: 2 / 327 - 322.</w:t>
      </w:r>
    </w:p>
  </w:footnote>
  <w:footnote w:id="4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88.</w:t>
      </w:r>
    </w:p>
  </w:footnote>
  <w:footnote w:id="4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82.</w:t>
      </w:r>
    </w:p>
  </w:footnote>
  <w:footnote w:id="4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المیزان، للسید العلاّمة الطباطبائی قدس سره : 5 / 20.</w:t>
      </w:r>
    </w:p>
  </w:footnote>
  <w:footnote w:id="4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88.</w:t>
      </w:r>
    </w:p>
  </w:footnote>
  <w:footnote w:id="4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23 -24.</w:t>
      </w:r>
    </w:p>
  </w:footnote>
  <w:footnote w:id="4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 1- 4.</w:t>
      </w:r>
    </w:p>
  </w:footnote>
  <w:footnote w:id="4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7.</w:t>
      </w:r>
    </w:p>
  </w:footnote>
  <w:footnote w:id="4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الغیب: 8 / 498.</w:t>
      </w:r>
    </w:p>
  </w:footnote>
  <w:footnote w:id="4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مفاهیم القرآن، لشیخنا الأستاذ السبحانی - مدّ ظلّه - : 3 / 377- 534.</w:t>
      </w:r>
    </w:p>
  </w:footnote>
  <w:footnote w:id="4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2.</w:t>
      </w:r>
    </w:p>
  </w:footnote>
  <w:footnote w:id="4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فی تفسیر القرآن، للعلاّمة السید هاشم البحرانی: 2 / 278.</w:t>
      </w:r>
    </w:p>
  </w:footnote>
  <w:footnote w:id="4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 88.</w:t>
      </w:r>
    </w:p>
  </w:footnote>
  <w:footnote w:id="4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15.</w:t>
      </w:r>
    </w:p>
  </w:footnote>
  <w:footnote w:id="4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فی ذلک: تفسیر سورة الرعد لشیخنا الأستاذ -دام ظلّه -«قرآن و أسرار آفرینش» (فارسی).</w:t>
      </w:r>
    </w:p>
  </w:footnote>
  <w:footnote w:id="4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 59.</w:t>
      </w:r>
    </w:p>
  </w:footnote>
  <w:footnote w:id="4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العنکبوت: 48.</w:t>
      </w:r>
    </w:p>
  </w:footnote>
  <w:footnote w:id="4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فی ذلک: مفاهیم القرآن: 3 / 321 -327.</w:t>
      </w:r>
    </w:p>
  </w:footnote>
  <w:footnote w:id="4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یقول سبحانه: «وَ قٰالُوا أَسٰاطِیرُ الْأَوَّلِینَ اکْتَتَبَهٰا فَهِیَ تُمْلیٰ عَلَیْهِ بُکْرَةً وَ أَصِیلاً) (الفرقان: 5). و یقول: (وَ لَقَدْ نَعْلَمُ أَنَّهُمْ یَقُولُونَ إِنَّمٰا یُعَلِّمُهُ بَشَرٌ» (النحل: 103) و قالوا فیه وجوهاً فعن ابن عباس: قالت قریش إنّما یعلّمه بلعام ، و کان قیناً بمکّة رومیاً نصرانیاً، و قال الضحاک: أراد به سلمان الفارسی، قالوا: إنّه یتعلّم القصص منه، و قیل غیر ذلک. راجع: مجمع البیان: 3 / 386. و الکشّاف: 3 / 218.</w:t>
      </w:r>
    </w:p>
  </w:footnote>
  <w:footnote w:id="4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103.</w:t>
      </w:r>
    </w:p>
  </w:footnote>
  <w:footnote w:id="4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للوقوف علی نماذج من هذه الخرافات و الأباطیل فی بیان قصص الأنبیاء، راجع: الإلهیات: 2 / 361 - 376.</w:t>
      </w:r>
    </w:p>
  </w:footnote>
  <w:footnote w:id="4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المیزان: ج 1، ص 64.</w:t>
      </w:r>
    </w:p>
  </w:footnote>
  <w:footnote w:id="4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40.</w:t>
      </w:r>
    </w:p>
  </w:footnote>
  <w:footnote w:id="4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المقاییس فی اللُّغة: کلمة ختم.</w:t>
      </w:r>
    </w:p>
  </w:footnote>
  <w:footnote w:id="4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البخاری فی صحیحه: 3 / 58؛ و مسلم فی صحیحه: 2 / 323؛ و ابن ماجة فی سننه: 1 / 28؛ و الحاکم فی مستدرکه: 3 / 109؛ و أحمد بن حنبل فی مسنده: 1 / 331 و ج 2 / 369، 437. و أمّا الإمامیّة فقد أصفقوا علی نقله فی مجامعهم الحدیثیة.</w:t>
      </w:r>
    </w:p>
  </w:footnote>
  <w:footnote w:id="4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133.</w:t>
      </w:r>
    </w:p>
  </w:footnote>
  <w:footnote w:id="4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فی ذلک: مفاهیم القرآن: 3 / 148 - 179.</w:t>
      </w:r>
    </w:p>
  </w:footnote>
  <w:footnote w:id="4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للوقوف علیها و علی أجوبتها، لاحظ: المصدر السابق: 185 - 216.</w:t>
      </w:r>
    </w:p>
  </w:footnote>
  <w:footnote w:id="4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35.</w:t>
      </w:r>
    </w:p>
  </w:footnote>
  <w:footnote w:id="4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123.</w:t>
      </w:r>
    </w:p>
  </w:footnote>
  <w:footnote w:id="4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 16.</w:t>
      </w:r>
    </w:p>
  </w:footnote>
  <w:footnote w:id="4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الخطط المقریزیة: 2 / 344.</w:t>
      </w:r>
    </w:p>
  </w:footnote>
  <w:footnote w:id="4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تاریخ حصر الاجتهاد، للعلاّمة الطهرانی، و دائرة المعارف لفرید وجدی، مادة «جهد» و «ذهب».</w:t>
      </w:r>
    </w:p>
  </w:footnote>
  <w:footnote w:id="4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تنبیه الأمة و تنزیه الملَّة: 97.</w:t>
      </w:r>
    </w:p>
  </w:footnote>
  <w:footnote w:id="4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ولایة الفقیه: 63 - 66.</w:t>
      </w:r>
    </w:p>
  </w:footnote>
  <w:footnote w:id="4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78.</w:t>
      </w:r>
    </w:p>
  </w:footnote>
  <w:footnote w:id="4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173.</w:t>
      </w:r>
    </w:p>
  </w:footnote>
  <w:footnote w:id="4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119.</w:t>
      </w:r>
    </w:p>
  </w:footnote>
  <w:footnote w:id="4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106.</w:t>
      </w:r>
    </w:p>
  </w:footnote>
  <w:footnote w:id="4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باب الحکم، رقم 390.</w:t>
      </w:r>
    </w:p>
  </w:footnote>
  <w:footnote w:id="4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کفی فی ذلک أنّ دار التقریب بین المذاهب الإسلامیة قامت بنشر رسالة جمعت فیها مصادر الحدیث، و نذکر من طرقه الکثیرة ما یلی، صحیح مسلم: 7 / 122؛ سنن الترمذی: 2 / 307، مسند أحمد: 3 / 17، 26، 59؛ ج 4، ص 366 و371؛ ج 5، ص 182؛ 189. و قد قام المحدّث الکبیر السید حامد حسین الهندی قدس سره فی کتابه «العبقات» بجمع طرق الحدیث و نقل کلمات الأعاظم حوله، و نشره فی ستة أجزاء.</w:t>
      </w:r>
    </w:p>
  </w:footnote>
  <w:footnote w:id="4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روی المحدثون عن النبیّ صلی الله علیه و آله أنّه قال، «إنّما مثل أهل بیتی فی أمّتی کمثل سفینة نوح، من رکبها نجا، و من تخلّف عنها غرق» مستدرک الحاکم: 2 / 151؛ الخصائص الکبری للسیوطی: 2 / 266. و للحدیث طرق و مسانید کثیرة من أراد الوقوف علیها، فعلیه بتعالیق إحقاق الحق: 9 / 270 - 293.</w:t>
      </w:r>
    </w:p>
  </w:footnote>
  <w:footnote w:id="4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أصله أَءْممِة وزان أمثلة فادغمت المیم فی المیم بعد نقل حرکتها إلی الهمزة و بعض النّحاة یبدّلها یاء للتخفیف.</w:t>
      </w:r>
    </w:p>
  </w:footnote>
  <w:footnote w:id="4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المفردات للراغب، کتاب الألف، مادة أُمّ.</w:t>
      </w:r>
    </w:p>
  </w:footnote>
  <w:footnote w:id="4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هذان التعریفان ذکرهما عضد الدین الإیجی فی کتاب المواقف. انظر: شرح المواقف: 8 / 345.</w:t>
      </w:r>
    </w:p>
  </w:footnote>
  <w:footnote w:id="4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اختاره ابن خلدون فی المقدمة: 191.</w:t>
      </w:r>
    </w:p>
  </w:footnote>
  <w:footnote w:id="4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الاقتصاد فی الاعتقاد: 234.</w:t>
      </w:r>
    </w:p>
  </w:footnote>
  <w:footnote w:id="4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غایة المرام فی علم الکلام: 363.</w:t>
      </w:r>
    </w:p>
  </w:footnote>
  <w:footnote w:id="4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المواقف: 8 / 344.</w:t>
      </w:r>
    </w:p>
  </w:footnote>
  <w:footnote w:id="4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مقدمة ابن خلدون: 465.</w:t>
      </w:r>
    </w:p>
  </w:footnote>
  <w:footnote w:id="4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المقاصد: 5 / 232.</w:t>
      </w:r>
    </w:p>
  </w:footnote>
  <w:footnote w:id="4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الفارق بین المسألة الکلامیّة و الفقهیّة هو موضوعها، فموضوع المسألة الکلامیة هو وجود اللّه تعالی أو صفاته و أفعاله، و موضوع المسألة الفقهیة هو أفعال المکلفین من البشر، و نصب الإمام عند الإمامیة فعل اللّه تعالی، و أما عند أهل السنّة فتعیین الإمام وظیفة المسلمین.</w:t>
      </w:r>
    </w:p>
  </w:footnote>
  <w:footnote w:id="4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أبو منصور البغدادی (المتوفّی 429 ه) فی أُصول الدین: 277.</w:t>
      </w:r>
    </w:p>
  </w:footnote>
  <w:footnote w:id="4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أبو الحسن البغدادی (المتوفّی 450 ه) فی الأحکام السلطانیة: 6.</w:t>
      </w:r>
    </w:p>
  </w:footnote>
  <w:footnote w:id="4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ابن حزم الأندلسی (المتوفّی 456 ه) فی الفصل: 4 / 186.</w:t>
      </w:r>
    </w:p>
  </w:footnote>
  <w:footnote w:id="4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المواقف: 8 / 349 - 350.</w:t>
      </w:r>
    </w:p>
  </w:footnote>
  <w:footnote w:id="4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التمهید: 181. راجع فی ذلک أیضاً: شرح العقیدة الطحاویة: 379؛ و شرح العقائد النسفیة: 185.</w:t>
      </w:r>
    </w:p>
  </w:footnote>
  <w:footnote w:id="4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قواعد المرام: 179 - 180.</w:t>
      </w:r>
    </w:p>
  </w:footnote>
  <w:footnote w:id="4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المواقف: 8 / 351.</w:t>
      </w:r>
    </w:p>
  </w:footnote>
  <w:footnote w:id="4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الأحکام السلطانیة: 6 - 7.</w:t>
      </w:r>
    </w:p>
  </w:footnote>
  <w:footnote w:id="4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الإمامة و السیاسة: 1 / 11.</w:t>
      </w:r>
    </w:p>
  </w:footnote>
  <w:footnote w:id="4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159.</w:t>
      </w:r>
    </w:p>
  </w:footnote>
  <w:footnote w:id="4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الشوری: 38.</w:t>
      </w:r>
    </w:p>
  </w:footnote>
  <w:footnote w:id="4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الرسائل، الرقم 6.</w:t>
      </w:r>
    </w:p>
  </w:footnote>
  <w:footnote w:id="4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وقعة صفّین لنصر بن مزاحم (المتوفّی 212 ه): 29، و قد حذف الرضی فی نهج البلاغة من الرسالة ما لا یهمّه، فإنّ عنایته کانت بالبلاغة فحسب.</w:t>
      </w:r>
    </w:p>
  </w:footnote>
  <w:footnote w:id="4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السیرة النبویة لابن هشام: 2 / 424.</w:t>
      </w:r>
    </w:p>
  </w:footnote>
  <w:footnote w:id="4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124.</w:t>
      </w:r>
    </w:p>
  </w:footnote>
  <w:footnote w:id="4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الإمامة و السیاسة: 1 / 32.</w:t>
      </w:r>
    </w:p>
  </w:footnote>
  <w:footnote w:id="4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حلیة الأولیاء: 1 / 44.</w:t>
      </w:r>
    </w:p>
  </w:footnote>
  <w:footnote w:id="4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الإمامة و السیاسة: 1 / 168.</w:t>
      </w:r>
    </w:p>
  </w:footnote>
  <w:footnote w:id="4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44.</w:t>
      </w:r>
    </w:p>
  </w:footnote>
  <w:footnote w:id="4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105.</w:t>
      </w:r>
    </w:p>
  </w:footnote>
  <w:footnote w:id="4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حیاة محمّد، لمحمّد حسین هیکل: 49 - 50.</w:t>
      </w:r>
    </w:p>
  </w:footnote>
  <w:footnote w:id="4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قسم الحکم، الرقم 147.</w:t>
      </w:r>
    </w:p>
  </w:footnote>
  <w:footnote w:id="4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 178، الحدیث 2.</w:t>
      </w:r>
    </w:p>
  </w:footnote>
  <w:footnote w:id="4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الکامل فی التاریخ: 145/2.</w:t>
      </w:r>
    </w:p>
  </w:footnote>
  <w:footnote w:id="4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48.</w:t>
      </w:r>
    </w:p>
  </w:footnote>
  <w:footnote w:id="4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السیرة النبویة: 2 / 659 - 660.</w:t>
      </w:r>
    </w:p>
  </w:footnote>
  <w:footnote w:id="4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الشفاء الإلهیات، المقالة العاشرة، الفصل الخامس: 564.</w:t>
      </w:r>
    </w:p>
  </w:footnote>
  <w:footnote w:id="4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الذخیرة فی علم الکلام: 410.</w:t>
      </w:r>
    </w:p>
  </w:footnote>
  <w:footnote w:id="4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المراد، المقصد الخامس: 284.</w:t>
      </w:r>
    </w:p>
  </w:footnote>
  <w:footnote w:id="4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285 - 286.</w:t>
      </w:r>
    </w:p>
  </w:footnote>
  <w:footnote w:id="4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کتاب الحجّة، باب الاضطرار الی الحجّة، الحدیث 3.</w:t>
      </w:r>
    </w:p>
  </w:footnote>
  <w:footnote w:id="4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البقرة: 124، و طه: 30.</w:t>
      </w:r>
    </w:p>
  </w:footnote>
  <w:footnote w:id="4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الأُصول لابن أثیر الجزری، 443 الفصل الثانی.</w:t>
      </w:r>
    </w:p>
  </w:footnote>
  <w:footnote w:id="4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المقاصد: 5 / 249.</w:t>
      </w:r>
    </w:p>
  </w:footnote>
  <w:footnote w:id="4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أوائل المقالات: 47، الطبعة الثانیة.</w:t>
      </w:r>
    </w:p>
  </w:footnote>
  <w:footnote w:id="4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74.</w:t>
      </w:r>
    </w:p>
  </w:footnote>
  <w:footnote w:id="4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الصدق: 2 / 7.</w:t>
      </w:r>
    </w:p>
  </w:footnote>
  <w:footnote w:id="4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المقاصد: 5 / 248.</w:t>
      </w:r>
    </w:p>
  </w:footnote>
  <w:footnote w:id="4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124.</w:t>
      </w:r>
    </w:p>
  </w:footnote>
  <w:footnote w:id="4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54.</w:t>
      </w:r>
    </w:p>
  </w:footnote>
  <w:footnote w:id="4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إبراهیم: 39.</w:t>
      </w:r>
    </w:p>
  </w:footnote>
  <w:footnote w:id="4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229.</w:t>
      </w:r>
    </w:p>
  </w:footnote>
  <w:footnote w:id="4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المیزان فی تفسیر القرآن: 1 / 274.</w:t>
      </w:r>
    </w:p>
  </w:footnote>
  <w:footnote w:id="4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59.</w:t>
      </w:r>
    </w:p>
  </w:footnote>
  <w:footnote w:id="4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الغیب: 10 / 144.</w:t>
      </w:r>
    </w:p>
  </w:footnote>
  <w:footnote w:id="4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الإلهیات: 2 / 627 - 631 و 607 - 611.</w:t>
      </w:r>
    </w:p>
  </w:footnote>
  <w:footnote w:id="4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55.</w:t>
      </w:r>
    </w:p>
  </w:footnote>
  <w:footnote w:id="4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الطبری فی تفسیره: 6 / 186؛ و الجصّاص فی أحکام القرآن: /2 446؛ و السیوطی فی الدر المنثور: 2 / 293؛ و غیرهم. و أنشأ حسّان بن ثابت فی ذلک أبیاته المعروفة، و هی، أبا حسن تفدیک نفسی و مهجتی و کلّ بطی فی الهدی و مسارع أ یذهب مدحی و المحبین ضائعاً و ما المدح فی ذات الإله بضائع فأنت الّذی أعطیت إذ أنت راکع فدتک نفوس القوم یا خیر راکع بخاتمک المیمون یا خیر سید و یا خیر شار ثمّ یا خیر بائع فأنزل فیک اللّه خیر ولایة و بیّنها فی محکمات الشرائع</w:t>
      </w:r>
    </w:p>
  </w:footnote>
  <w:footnote w:id="4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الکشاف: 1 / 649.</w:t>
      </w:r>
    </w:p>
  </w:footnote>
  <w:footnote w:id="4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3- 4 / 211.</w:t>
      </w:r>
    </w:p>
  </w:footnote>
  <w:footnote w:id="4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الإشکال للرازی فی مفاتیح الغیب: 12 / 28.</w:t>
      </w:r>
    </w:p>
  </w:footnote>
  <w:footnote w:id="4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المراجعات: 167، الرقم 44.</w:t>
      </w:r>
    </w:p>
  </w:footnote>
  <w:footnote w:id="4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السیرة النبویة لابن هشام: 2 / 519 - 520. و قد نقله من أصحاب الصحاح، البخاری فی غزوة تبوک: 6 / 3؛ و مسلم فی فضائل علی: 7 / 120. و ابن ماجة فی فضائل أصحاب النبیّ: 1 / 55؛ و الإمام أحمد فی غیر مورد من مسنده، لاحظ: 1 / 173، 175، 177، 179، 182، 185 ،230. و رواه کلّ من تعرّض لغزوة تبوک من المحدّثین و أهل السیر و الأخبار، و نقله کلّ من ترجم علیاً من أهل المعاجم فی الرجال من المتقدمین و المتأخرین علی اختلاف مشاربهم و مذاهبهم. و هو من الأحادیث المسلّمة فی کلّ خلف من هذه الأمة. قال ابن عبد البرّ: «هو من أثبت الآثار و أصحّها». و بالجملة فحدیث المنزلة ممّا لا ریب فی ثبوته بإجماع المسلمین علی اختلافهم فی المذاهب و المشارب. انظر: المراجعات، المراجعة 28.</w:t>
      </w:r>
    </w:p>
  </w:footnote>
  <w:footnote w:id="4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29 -32.</w:t>
      </w:r>
    </w:p>
  </w:footnote>
  <w:footnote w:id="4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36.</w:t>
      </w:r>
    </w:p>
  </w:footnote>
  <w:footnote w:id="4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142.</w:t>
      </w:r>
    </w:p>
  </w:footnote>
  <w:footnote w:id="4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قولهم فی کتاب الغدیر، ج 1، موزَّعین حسب قرونهم.</w:t>
      </w:r>
    </w:p>
  </w:footnote>
  <w:footnote w:id="4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370 -383.</w:t>
      </w:r>
    </w:p>
  </w:footnote>
  <w:footnote w:id="4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الإلهیات علی هدی الکتاب و السنة و العقل: 2 / 598 -599 و الغدیر للعلامة الأمینی: 1 / 651 -666. فقد ذکر الأخیر عشرین قرینة متصلة و منفصلة علی ذلک.</w:t>
      </w:r>
    </w:p>
  </w:footnote>
  <w:footnote w:id="4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البخاری فی غیر مورد لاحظ: ج 1، باب کتابة العلم، الحدیث 3، و ج 4 / 70 و ج 6 / 10 من النسخة المطبوعة سنة 1314 ه ؛ و الإمام أحمد فی مسنده: 1 / 355.</w:t>
      </w:r>
    </w:p>
  </w:footnote>
  <w:footnote w:id="4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ابن سعد: 2 / 189 - 192؛ الملل و النحل للشهرستانی: 1 / 23.</w:t>
      </w:r>
    </w:p>
  </w:footnote>
  <w:footnote w:id="4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2 / 81، کتاب الشروط؛ صحیح مسلم: 5 / 175، باب صلح الحدیبیة؛ و الطبقات الکبری لابن سعد: 2 / 114.</w:t>
      </w:r>
    </w:p>
  </w:footnote>
  <w:footnote w:id="4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کتاب النصّ و الاجتهاد للسید الإمام شرف الدین.</w:t>
      </w:r>
    </w:p>
  </w:footnote>
  <w:footnote w:id="4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صحیح البخاری: 9 / 81، باب الاستخلاف ؛ صحیح مسلم: 6 / 3، کتاب الإمارة، باب الناس تبع لقریش ؛ مسند أحمد: 5 / 86 -108؛ مستدرک الحاکم: 3 / 618.</w:t>
      </w:r>
    </w:p>
  </w:footnote>
  <w:footnote w:id="4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ینابیع المودّة: 446، ط استنبول، عام 1302.</w:t>
      </w:r>
    </w:p>
  </w:footnote>
  <w:footnote w:id="4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هم: علی بن أبی طالب، و ابناه الحسن و الحسین سیّدا شباب أهل الجنّة، و علی بن الحسین السجاد، و محمّد بن علی الباقر، و جعفر بن محمّد الصادق، و موسی بن جعفر الکاظم، و علی بن موسی الرضا، و محمّد بن علی التقی، و علی بن محمّد النقی، و الحسن بن علی العسکری، و حجّة العصر المهدی المنتظر -صلوات اللّه و سلامه علیهم أجمعین -.</w:t>
      </w:r>
    </w:p>
  </w:footnote>
  <w:footnote w:id="4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الکافی، ج 1، کتاب الحجّة؛ کفایة الأثر، لعلی بن محمد بن الحسن الخزاز القمی من علماء القرن الرابع؛ إثبات الهداة للشیخ الحرّ العاملی، و هو أجمع کتاب فی هذا الموضوع.</w:t>
      </w:r>
    </w:p>
  </w:footnote>
  <w:footnote w:id="4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مسند أحمد: 1 / 99 و ج 3 / 17 و 70.</w:t>
      </w:r>
    </w:p>
  </w:footnote>
  <w:footnote w:id="4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قد ألّف غیر واحد من أعلام السنّة کتباً حول الإمام المهدی علیه السلام ، منهم، الحافظ أبو نعیم الأصفهانی له کتاب «صفة المهدی» و الکنجی الشافعی له «البیان فی أخبار صاحب الزمان» و ملاّ علی المتّقی له «البرهان فی علامات مهدی آخر الزمان» و عباد بن یعقوب الرواجنی له «أخبار المهدی» و السیوطی له «العرف الوردی فی أخبار المهدی»و ابن حجر له «القول المختصر فی علامات المهدی المنتظر» و الشیخ جمال الدین الدمشقی له «عقد الورد فی أخبار الإمام المنتظر» و غیرهم قدیماً و حدیثاً.</w:t>
      </w:r>
    </w:p>
  </w:footnote>
  <w:footnote w:id="4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أخیراً نشر شخص یدعی أحمد المصری رسالة أسماها (المهدی و المهدویة) قام -بزعمه -بردّ أحادیث المهدی، و أنکر تلک الأحادیث الهائلة البالغة فوق حدّ التواتر، جهلاً منه بالسنّة و الحدیث.</w:t>
      </w:r>
    </w:p>
  </w:footnote>
  <w:footnote w:id="4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1 / 95، باب نزول عیسی.</w:t>
      </w:r>
    </w:p>
  </w:footnote>
  <w:footnote w:id="4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4 / 168، باب نزول عیسی بن مریم.</w:t>
      </w:r>
    </w:p>
  </w:footnote>
  <w:footnote w:id="4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الدکتور عبد الباقی، بین یدی الساعة: 123 -125.</w:t>
      </w:r>
    </w:p>
  </w:footnote>
  <w:footnote w:id="4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الکهف: 65 - 66.</w:t>
      </w:r>
    </w:p>
  </w:footnote>
  <w:footnote w:id="4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للصدوق: 485، الباب 45، الحدیث 4.</w:t>
      </w:r>
    </w:p>
  </w:footnote>
  <w:footnote w:id="4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کمال الدین: 281، الباب 44، الحدیث 8 و9 و10.</w:t>
      </w:r>
    </w:p>
  </w:footnote>
  <w:footnote w:id="4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العنکبوت: 14.</w:t>
      </w:r>
    </w:p>
  </w:footnote>
  <w:footnote w:id="4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التوراة، سفر التکوین، الإصحاح الخامس، الجملة 5، و ذکر هناک أعمار آدم، و شیث و نوح و غیرهم.</w:t>
      </w:r>
    </w:p>
  </w:footnote>
  <w:footnote w:id="4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555.</w:t>
      </w:r>
    </w:p>
  </w:footnote>
  <w:footnote w:id="4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علی صحّة طول عمر الإمام صاحب الزمان، ملحق ب« کنز الفوائد» له أیضاً الجزء الثانی لاحظ فی ذکر المعمّرین: 114 -115.</w:t>
      </w:r>
    </w:p>
  </w:footnote>
  <w:footnote w:id="4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51 / 225 -293.</w:t>
      </w:r>
    </w:p>
  </w:footnote>
  <w:footnote w:id="4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91.</w:t>
      </w:r>
    </w:p>
  </w:footnote>
  <w:footnote w:id="4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مجلة المقتطف، الجزء الثالث من السنة التاسعة و الخمسین.</w:t>
      </w:r>
    </w:p>
  </w:footnote>
  <w:footnote w:id="4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 143 و 144.</w:t>
      </w:r>
    </w:p>
  </w:footnote>
  <w:footnote w:id="4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المهدی: 195.</w:t>
      </w:r>
    </w:p>
  </w:footnote>
  <w:footnote w:id="4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196، 305.</w:t>
      </w:r>
    </w:p>
  </w:footnote>
  <w:footnote w:id="4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198.</w:t>
      </w:r>
    </w:p>
  </w:footnote>
  <w:footnote w:id="4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فی الوقوف علی هذه العلائم، بحار الأنوار: 52 / 181 - 308، الباب 25؛ کتاب المهدی، للسید صدر الدین الصدر؛ و منتخب الأثر للطف اللّه الصافی: 424 - 462.</w:t>
      </w:r>
    </w:p>
  </w:footnote>
  <w:footnote w:id="4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منتخب الأثر: 483.</w:t>
      </w:r>
    </w:p>
  </w:footnote>
  <w:footnote w:id="4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مصنّفات الشیخ المفید: 7 / 32، المسائل السرویة.</w:t>
      </w:r>
    </w:p>
  </w:footnote>
  <w:footnote w:id="4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الشریف المرتضی: 1 / 125.</w:t>
      </w:r>
    </w:p>
  </w:footnote>
  <w:footnote w:id="4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المسائل السرویة: 35.</w:t>
      </w:r>
    </w:p>
  </w:footnote>
  <w:footnote w:id="4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374.</w:t>
      </w:r>
    </w:p>
  </w:footnote>
  <w:footnote w:id="4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 83.</w:t>
      </w:r>
    </w:p>
  </w:footnote>
  <w:footnote w:id="4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الکهف: 47.</w:t>
      </w:r>
    </w:p>
  </w:footnote>
  <w:footnote w:id="4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9 / 102 و 112؛ کنز العمال: 11 / 133؛ کمال الدین: 576.</w:t>
      </w:r>
    </w:p>
  </w:footnote>
  <w:footnote w:id="4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53 / 59، الحدیث 45.</w:t>
      </w:r>
    </w:p>
  </w:footnote>
  <w:footnote w:id="4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99- 100.</w:t>
      </w:r>
    </w:p>
  </w:footnote>
  <w:footnote w:id="4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روح المعانی: 20 / 26.</w:t>
      </w:r>
    </w:p>
  </w:footnote>
  <w:footnote w:id="4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فی ذلک الآیات: آل عمران: 55 -57 ؛ الأعراف: 24، 35، 36؛ إبراهیم: 41؛ الشعراء: 87؛ العنکبوت: 17؛ غافر: 5، 32، 40، 43؛ نوح: 17، 18.</w:t>
      </w:r>
    </w:p>
  </w:footnote>
  <w:footnote w:id="4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115.</w:t>
      </w:r>
    </w:p>
  </w:footnote>
  <w:footnote w:id="4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الدخان: 38 -40.</w:t>
      </w:r>
    </w:p>
  </w:footnote>
  <w:footnote w:id="4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6.</w:t>
      </w:r>
    </w:p>
  </w:footnote>
  <w:footnote w:id="4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الحج: 62 -66؛ لقمان: 30 - 33.</w:t>
      </w:r>
    </w:p>
  </w:footnote>
  <w:footnote w:id="4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هی: إثابة الجمیع، و عقوبة الجمیع، و ترکهم سدی من دون أن یحشروا.</w:t>
      </w:r>
    </w:p>
  </w:footnote>
  <w:footnote w:id="4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قواعد المرام: 146.</w:t>
      </w:r>
    </w:p>
  </w:footnote>
  <w:footnote w:id="4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28.</w:t>
      </w:r>
    </w:p>
  </w:footnote>
  <w:footnote w:id="4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القلم: 35 -36.</w:t>
      </w:r>
    </w:p>
  </w:footnote>
  <w:footnote w:id="4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15.</w:t>
      </w:r>
    </w:p>
  </w:footnote>
  <w:footnote w:id="4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المراد، المقصد السادس، المسألة الرابعة.</w:t>
      </w:r>
    </w:p>
  </w:footnote>
  <w:footnote w:id="4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9.</w:t>
      </w:r>
    </w:p>
  </w:footnote>
  <w:footnote w:id="4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 27.</w:t>
      </w:r>
    </w:p>
  </w:footnote>
  <w:footnote w:id="4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یس: 78 -79.</w:t>
      </w:r>
    </w:p>
  </w:footnote>
  <w:footnote w:id="4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سبأ: 3.</w:t>
      </w:r>
    </w:p>
  </w:footnote>
  <w:footnote w:id="4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6.</w:t>
      </w:r>
    </w:p>
  </w:footnote>
  <w:footnote w:id="4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 3 -4.</w:t>
      </w:r>
    </w:p>
  </w:footnote>
  <w:footnote w:id="4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السجدة: 10.</w:t>
      </w:r>
    </w:p>
  </w:footnote>
  <w:footnote w:id="4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السجدة: 11.</w:t>
      </w:r>
    </w:p>
  </w:footnote>
  <w:footnote w:id="4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شرح الاشارات: 2 / 368 - 371 ؛ الأسفار: 8 / 38؛ أُصول الفلسفة، للعلاّمة الطباطبائی، المقالة 3.</w:t>
      </w:r>
    </w:p>
  </w:footnote>
  <w:footnote w:id="4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42.</w:t>
      </w:r>
    </w:p>
  </w:footnote>
  <w:footnote w:id="4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169- 170.</w:t>
      </w:r>
    </w:p>
  </w:footnote>
  <w:footnote w:id="4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68-73، 243، 259 - 260.</w:t>
      </w:r>
    </w:p>
  </w:footnote>
  <w:footnote w:id="4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25؛ طه: 55؛ الروم: 25؛ نوح: 18.</w:t>
      </w:r>
    </w:p>
  </w:footnote>
  <w:footnote w:id="4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7؛ یس: 51؛ القمر: 7؛ المعارج: 43.</w:t>
      </w:r>
    </w:p>
  </w:footnote>
  <w:footnote w:id="4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24؛ یس: 65؛ فصلت: 41.</w:t>
      </w:r>
    </w:p>
  </w:footnote>
  <w:footnote w:id="4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56؛ محمّد: 15.</w:t>
      </w:r>
    </w:p>
  </w:footnote>
  <w:footnote w:id="4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68.</w:t>
      </w:r>
    </w:p>
  </w:footnote>
  <w:footnote w:id="4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167.</w:t>
      </w:r>
    </w:p>
  </w:footnote>
  <w:footnote w:id="4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 39.</w:t>
      </w:r>
    </w:p>
  </w:footnote>
  <w:footnote w:id="4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تلخیص المحصل: 393 -394.</w:t>
      </w:r>
    </w:p>
  </w:footnote>
  <w:footnote w:id="4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أمّا فرض عوده مع کلّ من الآکل و المأکول فهو ساقط رأساً، لأنّه محال عقلاً.</w:t>
      </w:r>
    </w:p>
  </w:footnote>
  <w:footnote w:id="4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قواعد المرام لابن میثم البحرانی: 144.</w:t>
      </w:r>
    </w:p>
  </w:footnote>
  <w:footnote w:id="4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المراد: المقصد 6، المسألة 4.</w:t>
      </w:r>
    </w:p>
  </w:footnote>
  <w:footnote w:id="4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6، باب أحوال البرزخ، الحدیث 32.</w:t>
      </w:r>
    </w:p>
  </w:footnote>
  <w:footnote w:id="4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یس: 81.</w:t>
      </w:r>
    </w:p>
  </w:footnote>
  <w:footnote w:id="4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56.</w:t>
      </w:r>
    </w:p>
  </w:footnote>
  <w:footnote w:id="4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یس: 81.</w:t>
      </w:r>
    </w:p>
  </w:footnote>
  <w:footnote w:id="4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المقاصد: 5 / 90 - 91.</w:t>
      </w:r>
    </w:p>
  </w:footnote>
  <w:footnote w:id="4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المیزان: 17 / 114.</w:t>
      </w:r>
    </w:p>
  </w:footnote>
  <w:footnote w:id="4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الملل و النحل: 1 / 55.</w:t>
      </w:r>
    </w:p>
  </w:footnote>
  <w:footnote w:id="4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الأسفار: 9 / 10.</w:t>
      </w:r>
    </w:p>
  </w:footnote>
  <w:footnote w:id="4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المقاصد: 3 / 327.</w:t>
      </w:r>
    </w:p>
  </w:footnote>
  <w:footnote w:id="4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المیزان: 1 / 209.</w:t>
      </w:r>
    </w:p>
  </w:footnote>
  <w:footnote w:id="4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فجر الإسلام: 277.</w:t>
      </w:r>
    </w:p>
  </w:footnote>
  <w:footnote w:id="4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الوراء فی الآیة بمعنی الامام کما فی قوله سبحانه: «وَ کٰانَ وَرٰاءَهُمْ مَلِکٌ یَأْخُذُ کُلَّ سَفِینَةٍ غَصْباً» .</w:t>
      </w:r>
    </w:p>
  </w:footnote>
  <w:footnote w:id="4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100.</w:t>
      </w:r>
    </w:p>
  </w:footnote>
  <w:footnote w:id="4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 11.</w:t>
      </w:r>
    </w:p>
  </w:footnote>
  <w:footnote w:id="4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68.</w:t>
      </w:r>
    </w:p>
  </w:footnote>
  <w:footnote w:id="4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یس: 51.</w:t>
      </w:r>
    </w:p>
  </w:footnote>
  <w:footnote w:id="4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الکهف: 99.</w:t>
      </w:r>
    </w:p>
  </w:footnote>
  <w:footnote w:id="4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101.</w:t>
      </w:r>
    </w:p>
  </w:footnote>
  <w:footnote w:id="4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نوح: 25.</w:t>
      </w:r>
    </w:p>
  </w:footnote>
  <w:footnote w:id="4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 46.</w:t>
      </w:r>
    </w:p>
  </w:footnote>
  <w:footnote w:id="4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6 / 169، باب أحوال البرزخ، الحدیث 122؛ ص 270، الحدیث 126.</w:t>
      </w:r>
    </w:p>
  </w:footnote>
  <w:footnote w:id="4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تصحیح الاعتقاد: 45- 46.</w:t>
      </w:r>
    </w:p>
  </w:footnote>
  <w:footnote w:id="4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السنّة: 47؛ و لاحظ: الإبانة للأشعری: 27.</w:t>
      </w:r>
    </w:p>
  </w:footnote>
  <w:footnote w:id="4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الأُصول الخمسة: 730.</w:t>
      </w:r>
    </w:p>
  </w:footnote>
  <w:footnote w:id="4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6 / 277.</w:t>
      </w:r>
    </w:p>
  </w:footnote>
  <w:footnote w:id="4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إبراهیم: 41.</w:t>
      </w:r>
    </w:p>
  </w:footnote>
  <w:footnote w:id="4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 27.</w:t>
      </w:r>
    </w:p>
  </w:footnote>
  <w:footnote w:id="4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78.</w:t>
      </w:r>
    </w:p>
  </w:footnote>
  <w:footnote w:id="4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41.</w:t>
      </w:r>
    </w:p>
  </w:footnote>
  <w:footnote w:id="4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17.</w:t>
      </w:r>
    </w:p>
  </w:footnote>
  <w:footnote w:id="4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الغاشیة: 25 - 26.</w:t>
      </w:r>
    </w:p>
  </w:footnote>
  <w:footnote w:id="4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6.</w:t>
      </w:r>
    </w:p>
  </w:footnote>
  <w:footnote w:id="4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14.</w:t>
      </w:r>
    </w:p>
  </w:footnote>
  <w:footnote w:id="4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21.</w:t>
      </w:r>
    </w:p>
  </w:footnote>
  <w:footnote w:id="4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الاعتقادات للشیخ الصدوق، الباب 28، باب الاعتقاد فی الحساب و الموازین.</w:t>
      </w:r>
    </w:p>
  </w:footnote>
  <w:footnote w:id="4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17.</w:t>
      </w:r>
    </w:p>
  </w:footnote>
  <w:footnote w:id="4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98.</w:t>
      </w:r>
    </w:p>
  </w:footnote>
  <w:footnote w:id="4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89.</w:t>
      </w:r>
    </w:p>
  </w:footnote>
  <w:footnote w:id="4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74 - 75.</w:t>
      </w:r>
    </w:p>
  </w:footnote>
  <w:footnote w:id="4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41.</w:t>
      </w:r>
    </w:p>
  </w:footnote>
  <w:footnote w:id="4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143.</w:t>
      </w:r>
    </w:p>
  </w:footnote>
  <w:footnote w:id="4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225.</w:t>
      </w:r>
    </w:p>
  </w:footnote>
  <w:footnote w:id="4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الثقلین: 1 / 113، الحدیث 409.</w:t>
      </w:r>
    </w:p>
  </w:footnote>
  <w:footnote w:id="4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24.</w:t>
      </w:r>
    </w:p>
  </w:footnote>
  <w:footnote w:id="4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معناها الآیة /65 یس، و الآیة /20 فصّلت.</w:t>
      </w:r>
    </w:p>
  </w:footnote>
  <w:footnote w:id="4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21.</w:t>
      </w:r>
    </w:p>
  </w:footnote>
  <w:footnote w:id="4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المراد: المقصد السادس، المسألة الرابعة عشرة.</w:t>
      </w:r>
    </w:p>
  </w:footnote>
  <w:footnote w:id="4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الحدید: 25.</w:t>
      </w:r>
    </w:p>
  </w:footnote>
  <w:footnote w:id="4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الأسفار: 9 / 299.</w:t>
      </w:r>
    </w:p>
  </w:footnote>
  <w:footnote w:id="4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الأعراف: 9؛ المؤمنون: 103، القارعة: 11.</w:t>
      </w:r>
    </w:p>
  </w:footnote>
  <w:footnote w:id="4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102.</w:t>
      </w:r>
    </w:p>
  </w:footnote>
  <w:footnote w:id="4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المیزان: 8 / 10 - 12.</w:t>
      </w:r>
    </w:p>
  </w:footnote>
  <w:footnote w:id="4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 68 - 71.</w:t>
      </w:r>
    </w:p>
  </w:footnote>
  <w:footnote w:id="4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5.</w:t>
      </w:r>
    </w:p>
  </w:footnote>
  <w:footnote w:id="4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 23.</w:t>
      </w:r>
    </w:p>
  </w:footnote>
  <w:footnote w:id="4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المراد: المقصد السادس، المسألة 14.</w:t>
      </w:r>
    </w:p>
  </w:footnote>
  <w:footnote w:id="4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تصحیح الاعتقاد: 89.</w:t>
      </w:r>
    </w:p>
  </w:footnote>
  <w:footnote w:id="4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107، المجلس 33؛ لاحظ: الدر المنثور: 4 / 291.</w:t>
      </w:r>
    </w:p>
  </w:footnote>
  <w:footnote w:id="4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46.</w:t>
      </w:r>
    </w:p>
  </w:footnote>
  <w:footnote w:id="4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254.</w:t>
      </w:r>
    </w:p>
  </w:footnote>
  <w:footnote w:id="4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المدثر: 46- 48.</w:t>
      </w:r>
    </w:p>
  </w:footnote>
  <w:footnote w:id="4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95.</w:t>
      </w:r>
    </w:p>
  </w:footnote>
  <w:footnote w:id="4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لاحظ: یونس: 18؛ الروم: 13؛ یس: 23؛ الزمر: 43.</w:t>
      </w:r>
    </w:p>
  </w:footnote>
  <w:footnote w:id="4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51.</w:t>
      </w:r>
    </w:p>
  </w:footnote>
  <w:footnote w:id="4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لاحظ: الأنعام: 7؛ السجدة: 4؛ الزمر: 44.</w:t>
      </w:r>
    </w:p>
  </w:footnote>
  <w:footnote w:id="4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109.</w:t>
      </w:r>
    </w:p>
  </w:footnote>
  <w:footnote w:id="4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لاحظ: البقرة: 255؛ یونس: 3؛ مریم: 87؛ سبأ: 23؛ الزخرف: 86.</w:t>
      </w:r>
    </w:p>
  </w:footnote>
  <w:footnote w:id="4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الأنبیاء: 28.</w:t>
      </w:r>
    </w:p>
  </w:footnote>
  <w:footnote w:id="4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26.</w:t>
      </w:r>
    </w:p>
  </w:footnote>
  <w:footnote w:id="4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1 / 42 و 119؛ مسند أحمد: 1 / 301.</w:t>
      </w:r>
    </w:p>
  </w:footnote>
  <w:footnote w:id="4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 3 / 376.</w:t>
      </w:r>
    </w:p>
  </w:footnote>
  <w:footnote w:id="4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للصدوق، باب الثلاثة، الحدیث 169.</w:t>
      </w:r>
    </w:p>
  </w:footnote>
  <w:footnote w:id="4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الصحیفة السجادیة، الدعاء، 42. و من أرد التبسط فلیرجع إلی «مفاهیم القرآن»: 4 / 287 - 311 لشیخنا الأُستاذ -دام ظلّه -.</w:t>
      </w:r>
    </w:p>
  </w:footnote>
  <w:footnote w:id="4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1 / 36؛ مسند أحمد: 2 / 307 و 518.</w:t>
      </w:r>
    </w:p>
  </w:footnote>
  <w:footnote w:id="4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للصدوق: 251.</w:t>
      </w:r>
    </w:p>
  </w:footnote>
  <w:footnote w:id="4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 279، ج 6 / 401.</w:t>
      </w:r>
    </w:p>
  </w:footnote>
  <w:footnote w:id="4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2 / 66.</w:t>
      </w:r>
    </w:p>
  </w:footnote>
  <w:footnote w:id="4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أبی داود: 2 / 537؛ صحیح الترمذی: 4 / 45.</w:t>
      </w:r>
    </w:p>
  </w:footnote>
  <w:footnote w:id="4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أوائل المقالات: 54؛ شرح العقائد النسفیة: 148؛ أنوار التنزیل للبیضاوی: 1 / 152؛ و مفاتیح الغیب للرازی: 3 / 56، و مجموعة الرسائل الکبری، لابن تیمیة: 1 / 403؛ و تفسیر ابن کثیر: 1 / 309.</w:t>
      </w:r>
    </w:p>
  </w:footnote>
  <w:footnote w:id="4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 18.</w:t>
      </w:r>
    </w:p>
  </w:footnote>
  <w:footnote w:id="4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الشبهات لمحمد بن عبد الوهاب: 6.</w:t>
      </w:r>
    </w:p>
  </w:footnote>
  <w:footnote w:id="4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الجن: 18.</w:t>
      </w:r>
    </w:p>
  </w:footnote>
  <w:footnote w:id="4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97 - 98.</w:t>
      </w:r>
    </w:p>
  </w:footnote>
  <w:footnote w:id="4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الحدید: 20.</w:t>
      </w:r>
    </w:p>
  </w:footnote>
  <w:footnote w:id="4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المقاییس فی اللغة: 2 / 129، مادة «حبط»؛ و ج 5، ص 191، مادة «کفر».</w:t>
      </w:r>
    </w:p>
  </w:footnote>
  <w:footnote w:id="4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المراد، المقصد السادس، المسألة 7.</w:t>
      </w:r>
    </w:p>
  </w:footnote>
  <w:footnote w:id="4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w:t>
      </w:r>
    </w:p>
  </w:footnote>
  <w:footnote w:id="4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الزلزلة: 7 - 8.</w:t>
      </w:r>
    </w:p>
  </w:footnote>
  <w:footnote w:id="4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المراد: المقصد السادس، المسألة 7.</w:t>
      </w:r>
    </w:p>
  </w:footnote>
  <w:footnote w:id="4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توضیح الدلیل للعلاّمة الحلی، لاحظ: المصدر المتقدّم.</w:t>
      </w:r>
    </w:p>
  </w:footnote>
  <w:footnote w:id="4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w:t>
      </w:r>
    </w:p>
  </w:footnote>
  <w:footnote w:id="4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3- 4 / 163، لاحظ أیضاً ص 207، تفسیر الآیة 50 المائدة.</w:t>
      </w:r>
    </w:p>
  </w:footnote>
  <w:footnote w:id="4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31.</w:t>
      </w:r>
    </w:p>
  </w:footnote>
  <w:footnote w:id="4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معناها الآیة /29 الأنفال؛ و الآیة /2 محمّد.</w:t>
      </w:r>
    </w:p>
  </w:footnote>
  <w:footnote w:id="4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إبراهیم: 48.</w:t>
      </w:r>
    </w:p>
  </w:footnote>
  <w:footnote w:id="4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المیزان: 12 / 93.</w:t>
      </w:r>
    </w:p>
  </w:footnote>
  <w:footnote w:id="4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56.</w:t>
      </w:r>
    </w:p>
  </w:footnote>
  <w:footnote w:id="4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القلم: 35-36.</w:t>
      </w:r>
    </w:p>
  </w:footnote>
  <w:footnote w:id="4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الأُصول الخمسة: 646.</w:t>
      </w:r>
    </w:p>
  </w:footnote>
  <w:footnote w:id="4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العقائد العضدیة، لجلال الدین الدوانی: 2 / 194.</w:t>
      </w:r>
    </w:p>
  </w:footnote>
  <w:footnote w:id="4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أوائل المقالات: 141 - 142، الطبعة الثانیة؛ و لاحظ: شرح المقاصد: 5 / 108، و شرح التجرید للقوشجی: 507.</w:t>
      </w:r>
    </w:p>
  </w:footnote>
  <w:footnote w:id="4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قواعد المرام: 167.</w:t>
      </w:r>
    </w:p>
  </w:footnote>
  <w:footnote w:id="4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حقائق التأویل: 247.</w:t>
      </w:r>
    </w:p>
  </w:footnote>
  <w:footnote w:id="4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13 - 15.</w:t>
      </w:r>
    </w:p>
  </w:footnote>
  <w:footnote w:id="4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بحار الأنوار: 8 / 119 و196، باب الجنة، الأحادیث 34، 129، 130.</w:t>
      </w:r>
    </w:p>
  </w:footnote>
  <w:footnote w:id="4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گوهر مراد: 661 (فارسی).</w:t>
      </w:r>
    </w:p>
  </w:footnote>
  <w:footnote w:id="4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قواعد المرام: 168.</w:t>
      </w:r>
    </w:p>
  </w:footnote>
  <w:footnote w:id="4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المقاصد: 5 / 111.</w:t>
      </w:r>
    </w:p>
  </w:footnote>
  <w:footnote w:id="4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15.</w:t>
      </w:r>
    </w:p>
  </w:footnote>
  <w:footnote w:id="4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تلخیص المحصل: 395.</w:t>
      </w:r>
    </w:p>
  </w:footnote>
  <w:footnote w:id="4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الذاریات: 22.</w:t>
      </w:r>
    </w:p>
  </w:footnote>
  <w:footnote w:id="4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المیزان: 18 / 375.</w:t>
      </w:r>
    </w:p>
  </w:footnote>
  <w:footnote w:id="4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أوائل المقالات: 53.</w:t>
      </w:r>
    </w:p>
  </w:footnote>
  <w:footnote w:id="4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قواعد المرام: 160.</w:t>
      </w:r>
    </w:p>
  </w:footnote>
  <w:footnote w:id="4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کشف المراد، المقصد 6، المسألة، 8.</w:t>
      </w:r>
    </w:p>
  </w:footnote>
  <w:footnote w:id="4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فی ذلک: الإلهیات: 2 / 906 - 911 الطبعة الأُولی؛ و منشور جاوید: ج 9، فصل 26، و هو تفسیر موضوعی للقرآن الکریم لشیخنا الأُستاذ - دام ظلّه - (فارسی).</w:t>
      </w:r>
    </w:p>
  </w:footnote>
  <w:footnote w:id="4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المیزان: 1 / 415.</w:t>
      </w:r>
    </w:p>
  </w:footnote>
  <w:footnote w:id="4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مقاییس اللغة: 1 / 133.</w:t>
      </w:r>
    </w:p>
  </w:footnote>
  <w:footnote w:id="4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مسلم فی صحیحه: 1 / 53.</w:t>
      </w:r>
    </w:p>
  </w:footnote>
  <w:footnote w:id="4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143.</w:t>
      </w:r>
    </w:p>
  </w:footnote>
  <w:footnote w:id="4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المقاصد: 5 / 178.</w:t>
      </w:r>
    </w:p>
  </w:footnote>
  <w:footnote w:id="4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 14.</w:t>
      </w:r>
    </w:p>
  </w:footnote>
  <w:footnote w:id="4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89.</w:t>
      </w:r>
    </w:p>
  </w:footnote>
  <w:footnote w:id="4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المقاصد: 5 / 176 - 177؛ إرشاد الطالبین: 439.</w:t>
      </w:r>
    </w:p>
  </w:footnote>
  <w:footnote w:id="4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المواقف: 8 / 323.</w:t>
      </w:r>
    </w:p>
  </w:footnote>
  <w:footnote w:id="4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المواقف فی علم الکلام: 384.</w:t>
      </w:r>
    </w:p>
  </w:footnote>
  <w:footnote w:id="4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المقاصد: 5 / 177.</w:t>
      </w:r>
    </w:p>
  </w:footnote>
  <w:footnote w:id="4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الطالبین: 442.</w:t>
      </w:r>
    </w:p>
  </w:footnote>
  <w:footnote w:id="4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المجادلة: 22.</w:t>
      </w:r>
    </w:p>
  </w:footnote>
  <w:footnote w:id="4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12.</w:t>
      </w:r>
    </w:p>
  </w:footnote>
  <w:footnote w:id="4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106.</w:t>
      </w:r>
    </w:p>
  </w:footnote>
  <w:footnote w:id="4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108.</w:t>
      </w:r>
    </w:p>
  </w:footnote>
  <w:footnote w:id="4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7.</w:t>
      </w:r>
    </w:p>
  </w:footnote>
  <w:footnote w:id="4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الوافی، للفیض الکاشانی: 3 / 46، أبواب الکفر و الشرک، باب أصناف الناس.</w:t>
      </w:r>
    </w:p>
  </w:footnote>
  <w:footnote w:id="4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66 / 19.</w:t>
      </w:r>
    </w:p>
  </w:footnote>
  <w:footnote w:id="4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ج 1، باب الإیمان، الحدیث 65؛ خصال الصدوق: باب الثلاثة، الحدیث 207؛ نهج البلاغة: الحکم 227؛ بحار الأنوار: 69 / 18، الباب 30.</w:t>
      </w:r>
    </w:p>
  </w:footnote>
  <w:footnote w:id="4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 40.</w:t>
      </w:r>
    </w:p>
  </w:footnote>
  <w:footnote w:id="4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فی ذلک کتاب «الاعتصام بالکتاب و السنّة» لشیخنا الأُستاذ السبحانی (مدّ ظلّه).</w:t>
      </w:r>
    </w:p>
  </w:footnote>
  <w:footnote w:id="4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لهم علی إبطال مزعمة التحریف وجوه عدیدة یطول المقام بذکرها، راجع فی ذلک، مقدمة تفسیر آلاء الرحمن للعلاّمة البلاغی؛ و تفسیر المیزان للعلاّمة الطباطبائی: 12 / 106 - 137؛ و تفسیر البیان للمحقّق الخوئی: 215 - 254؛ و إظهار الحق للعلاّمة الهندی: 2 / 128؛ و صیانة القرآن عن التحریف للأُستاذ محمد هادی معرفة، فإنّ فیها غنی و کفایة لطالب الحق.</w:t>
      </w:r>
    </w:p>
  </w:footnote>
  <w:footnote w:id="4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الاعتقادات فی دین الإمامیة: 59، الباب 33، باب الاعتقاد فی مبلغ القرآن.</w:t>
      </w:r>
    </w:p>
  </w:footnote>
  <w:footnote w:id="4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المسائل الطرابلسیات.</w:t>
      </w:r>
    </w:p>
  </w:footnote>
  <w:footnote w:id="4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التبیان: 1 / 3.</w:t>
      </w:r>
    </w:p>
  </w:footnote>
  <w:footnote w:id="4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المقدمة.</w:t>
      </w:r>
    </w:p>
  </w:footnote>
  <w:footnote w:id="4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أجوبة المسائل المهنّائیة: المسألة 13.</w:t>
      </w:r>
    </w:p>
  </w:footnote>
  <w:footnote w:id="4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الأُصول: 2 / 165.</w:t>
      </w:r>
    </w:p>
  </w:footnote>
  <w:footnote w:id="4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أوائل المقالات: الباب 81، 59.</w:t>
      </w:r>
    </w:p>
  </w:footnote>
  <w:footnote w:id="4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القرطبی: 14 / 113؛ و لاحظ: الدر المنثور: 5 / 180.</w:t>
      </w:r>
    </w:p>
  </w:footnote>
  <w:footnote w:id="4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9 / 69، باب الشهادة تکون عند الحاکم فی ولایة القضاء.</w:t>
      </w:r>
    </w:p>
  </w:footnote>
  <w:footnote w:id="4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الإتقان: 2 / 30.</w:t>
      </w:r>
    </w:p>
  </w:footnote>
  <w:footnote w:id="4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المنار: 1 / 414، التعلیقة.</w:t>
      </w:r>
    </w:p>
  </w:footnote>
  <w:footnote w:id="4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الإصابة: 1 / 17.</w:t>
      </w:r>
    </w:p>
  </w:footnote>
  <w:footnote w:id="4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المواقف: 8 / 373.</w:t>
      </w:r>
    </w:p>
  </w:footnote>
  <w:footnote w:id="4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المقاصد: 5 / 303.</w:t>
      </w:r>
    </w:p>
  </w:footnote>
  <w:footnote w:id="4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التوبة: 100.</w:t>
      </w:r>
    </w:p>
  </w:footnote>
  <w:footnote w:id="4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الفتح: 18.</w:t>
      </w:r>
    </w:p>
  </w:footnote>
  <w:footnote w:id="4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الحشر: 8.</w:t>
      </w:r>
    </w:p>
  </w:footnote>
  <w:footnote w:id="4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التوبة: 45 -47.</w:t>
      </w:r>
    </w:p>
  </w:footnote>
  <w:footnote w:id="4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154.</w:t>
      </w:r>
    </w:p>
  </w:footnote>
  <w:footnote w:id="4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153.</w:t>
      </w:r>
    </w:p>
  </w:footnote>
  <w:footnote w:id="4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السیرة النبویة: 3 / 114 و ج 4 / 444.</w:t>
      </w:r>
    </w:p>
  </w:footnote>
  <w:footnote w:id="4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الأصول: 11 / 120، رقم الحدیث 7972.</w:t>
      </w:r>
    </w:p>
  </w:footnote>
  <w:footnote w:id="4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الحدیث 7973.</w:t>
      </w:r>
    </w:p>
  </w:footnote>
  <w:footnote w:id="4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6.</w:t>
      </w:r>
    </w:p>
  </w:footnote>
  <w:footnote w:id="4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السجدة: 18. لاحظ: تفسیر الطبری: 21 / 62؛ و تفسیر ابن کثیر: 3 / 452.</w:t>
      </w:r>
    </w:p>
  </w:footnote>
  <w:footnote w:id="4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الکامل لابن الأثیر: 3 / 105 - 107؛ أُسد الغابة: 5 / 91.</w:t>
      </w:r>
    </w:p>
  </w:footnote>
  <w:footnote w:id="4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أُسد الغابة: 4 / 199؛ و سائر الکتب الرجالیة.</w:t>
      </w:r>
    </w:p>
  </w:footnote>
  <w:footnote w:id="4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3 / 312.</w:t>
      </w:r>
    </w:p>
  </w:footnote>
  <w:footnote w:id="4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فی ذلک: صحیح البخاری: 5 / 188، فی تفسیر سورة النور، مشاجرة سعد بن معاذ مع سعد بن عبادة فی قضیة الإفک.</w:t>
      </w:r>
    </w:p>
  </w:footnote>
  <w:footnote w:id="4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الأصول: 9 / 410، کتاب الفضائل، الحدیث 6359.</w:t>
      </w:r>
    </w:p>
  </w:footnote>
  <w:footnote w:id="4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9.</w:t>
      </w:r>
    </w:p>
  </w:footnote>
  <w:footnote w:id="4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جمیع ذلک: فی تفسیر البحر المحیط: 5 / 528.</w:t>
      </w:r>
    </w:p>
  </w:footnote>
  <w:footnote w:id="4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المقاصد: 5 / 310.</w:t>
      </w:r>
    </w:p>
  </w:footnote>
  <w:footnote w:id="4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الأستاذ داود حنفی المصری.</w:t>
      </w:r>
    </w:p>
  </w:footnote>
  <w:footnote w:id="4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بحوث فی الملل و النحل: 1 / 224 - 227.</w:t>
      </w:r>
    </w:p>
  </w:footnote>
  <w:footnote w:id="4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المنافقون: 1.</w:t>
      </w:r>
    </w:p>
  </w:footnote>
  <w:footnote w:id="4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القصص: 20.</w:t>
      </w:r>
    </w:p>
  </w:footnote>
  <w:footnote w:id="4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106.</w:t>
      </w:r>
    </w:p>
  </w:footnote>
  <w:footnote w:id="4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الکشاف: 2 / 430؛ لاحظ ایضاً: مجمع البیان للطبرسی: 3 / 388.</w:t>
      </w:r>
    </w:p>
  </w:footnote>
  <w:footnote w:id="4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لأحکام القرآن: 4 / 57.</w:t>
      </w:r>
    </w:p>
  </w:footnote>
  <w:footnote w:id="4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الخازن: 1 / 277.</w:t>
      </w:r>
    </w:p>
  </w:footnote>
  <w:footnote w:id="4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28.</w:t>
      </w:r>
    </w:p>
  </w:footnote>
  <w:footnote w:id="4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المراغی: 3 / 136؛ و لاحظ: تفسیر الطبری: 3 / 153؛ الکشاف: 1 / 422؛ مفاتیح الغیب: 8 / 13؛ روح المعانی: 3 / 12؛ محاسن التأویل: 4 / 82.</w:t>
      </w:r>
    </w:p>
  </w:footnote>
  <w:footnote w:id="4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الغیب: 8 / 13.</w:t>
      </w:r>
    </w:p>
  </w:footnote>
  <w:footnote w:id="4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المراغی: 3 / 136.</w:t>
      </w:r>
    </w:p>
  </w:footnote>
  <w:footnote w:id="4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الطبری: 7 / 195- 206.</w:t>
      </w:r>
    </w:p>
  </w:footnote>
  <w:footnote w:id="4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کتاب الأمر بالمعروف، الباب 25، الحدیث 6؛ لاحظ: الرسائل، للإمام الخمینی: 171.</w:t>
      </w:r>
    </w:p>
  </w:footnote>
  <w:footnote w:id="4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مجلة المرشد: 3 / 252.</w:t>
      </w:r>
    </w:p>
  </w:footnote>
  <w:footnote w:id="4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108.</w:t>
      </w:r>
    </w:p>
  </w:footnote>
  <w:footnote w:id="4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سیوافیک الفرق بین المهمل و المجهول.</w:t>
      </w:r>
    </w:p>
  </w:footnote>
  <w:footnote w:id="4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 59.</w:t>
      </w:r>
    </w:p>
  </w:footnote>
  <w:footnote w:id="4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الاسراء، 36.</w:t>
      </w:r>
    </w:p>
  </w:footnote>
  <w:footnote w:id="4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 36.</w:t>
      </w:r>
    </w:p>
  </w:footnote>
  <w:footnote w:id="4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المطبوع و الظاهر «فلا تقبل».</w:t>
      </w:r>
    </w:p>
  </w:footnote>
  <w:footnote w:id="4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الرجال، ج 1 الصفحة 25-27.</w:t>
      </w:r>
    </w:p>
  </w:footnote>
  <w:footnote w:id="4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ج 18 کتاب القضاء، الباب التاسع من أبواب صفات القاضی الحدیث الاول، الصفحة 75.</w:t>
      </w:r>
    </w:p>
  </w:footnote>
  <w:footnote w:id="4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الصفحة 195.</w:t>
      </w:r>
    </w:p>
  </w:footnote>
  <w:footnote w:id="4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الصفحة 257.</w:t>
      </w:r>
    </w:p>
  </w:footnote>
  <w:footnote w:id="4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الصفحة 195. ترجمة المغیرة الرقم 103.</w:t>
      </w:r>
    </w:p>
  </w:footnote>
  <w:footnote w:id="4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الاصول، ج 1 للشیخ الطوسی، الصفحة 366.</w:t>
      </w:r>
    </w:p>
  </w:footnote>
  <w:footnote w:id="4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التردید بین الاربعة و الثلاثة، انما هو لاجل التردید فی أن الاستبصار کتاب مستقل أو هو جزء من کتاب التهذیب، و قد نقل شیخنا الوالد (قدس اللّه سره) عن شیخه شیخ الشریعة الاصفهانی، أنه کان یذهب الی أن الاستبصار ذیل لکتاب التهذیب و لیس کتابا مستقلا. و لکن الظاهر من العدة ج 1 الصفحة 356 أنهما کتابان مستقلان.</w:t>
      </w:r>
    </w:p>
  </w:footnote>
  <w:footnote w:id="4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تنقیح المقال ج 1 الصفحة 175، من المقدمة.</w:t>
      </w:r>
    </w:p>
  </w:footnote>
  <w:footnote w:id="4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تنقیح المقال ج 1 الصفحة 176، من المقدمة.</w:t>
      </w:r>
    </w:p>
  </w:footnote>
  <w:footnote w:id="4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القوانین ج 1 الباب السادس فی السّنة الصفحة 474.</w:t>
      </w:r>
    </w:p>
  </w:footnote>
  <w:footnote w:id="4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تنقیح المقال ج 1 الصفحة 176 من المقدمة.</w:t>
      </w:r>
    </w:p>
  </w:footnote>
  <w:footnote w:id="4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عدة الاصول ج 1، الصفحة 366.</w:t>
      </w:r>
    </w:p>
  </w:footnote>
  <w:footnote w:id="4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ترجمة الشیخ فی الرجال، فی الصفحة 495، الرقم 25 و فی الفهرس «الطبعة الأولی» الصفحة 156، تحت الرقم 695، و فی «الطبعة الثانیة» الصفحة 184، تحت الرقم 709.</w:t>
      </w:r>
    </w:p>
  </w:footnote>
  <w:footnote w:id="4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الشیخ، الصفحة 450، ترجمة الشیخ ب «أحمد بن حمدون».</w:t>
      </w:r>
    </w:p>
  </w:footnote>
  <w:footnote w:id="4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 «الطبعة الأولی»، الصفحة 4-6، تحت الرقم 7 و «الطبعة الثانیة»، الصفحة 27-29.</w:t>
      </w:r>
    </w:p>
  </w:footnote>
  <w:footnote w:id="5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ذکره الشیخ فی الرجال، الصفحة 44، الرقم 30 و فی الفهرس «الطبعة الأولی» الصفحة 28،</w:t>
      </w:r>
    </w:p>
  </w:footnote>
  <w:footnote w:id="5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ترجمة النجاشی فی رجاله، تحت الرقم 196، و الشیخ فی الفهرس «الطبعة الأولی» الصفحة 24، تحت الرقم 63، و فی «الطبعة الثانیة» الصفحة 48، تحت الرقم 73، و فی الرجال فی الصفحة 453، الرقم 90.</w:t>
      </w:r>
    </w:p>
  </w:footnote>
  <w:footnote w:id="5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الشیخ، الصفحة 449، الرقم 64، و الفهرس «الطبعة الأولی» الصفحة 33، تحت الرقم 89، و فی «الطبعة الثانیة» الصفحة 57، تحت الرقم 99.</w:t>
      </w:r>
    </w:p>
  </w:footnote>
  <w:footnote w:id="5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ترجمة الشیخ فی رجاله، الصفحة 456، الرقم 108 و فی الفهرس «الطبعة الأولی» الصفحة 37، تحت الرقم 107، و فی «الطبعة الثانیة» الصفحة 61، تحت الرقم 117.</w:t>
      </w:r>
    </w:p>
  </w:footnote>
  <w:footnote w:id="5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ذکره الشیخ فی الرجال، الصفحة 454، و قال فی الفهرس «الطبعة الأولی» بعد ترجمته فی الصفحة 29، تحت الرقم 78: «توفی سنة 346» و یکون فی «الطبعة الثانیة» من الفهرس فی الصفحة 53، تحت الرقم 88.</w:t>
      </w:r>
    </w:p>
  </w:footnote>
  <w:footnote w:id="5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رجال الشیخ الطوسی، الصفحة 347، الرقم 9 و الصفحة 372، الرقم 11 و الفهرس «الطبعة الأولی» الصفحة 46، تحت الرقم 151، و فی «الطبعة الثانیة الصفحة 72، تحت الرقم 162.</w:t>
      </w:r>
    </w:p>
  </w:footnote>
  <w:footnote w:id="5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ذکره النجاشی فی رجاله تحت الرقم 840 و الشیخ فی الفهرس «الطبعة الأولی» الصفحة 124، تحت الرقم 552، و فی «الطبعة الثانیة» الصفحة 150، تحت الرقم 564، و فی الرجال فی الصفحة 420، الرقم 1، و الصفحة 434، الرقم 2.</w:t>
      </w:r>
    </w:p>
  </w:footnote>
  <w:footnote w:id="5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 الصفحة 251، طبع النجف.</w:t>
      </w:r>
    </w:p>
  </w:footnote>
  <w:footnote w:id="5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طبع الکتاب عام 1378.</w:t>
      </w:r>
    </w:p>
  </w:footnote>
  <w:footnote w:id="5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الوافی، الجزء الاول، المقدمة الثانیة، الصفحة 11.</w:t>
      </w:r>
    </w:p>
  </w:footnote>
  <w:footnote w:id="5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الوافی، الجزء الاول، المقدمة الثانیة، الصفحة 11-12.</w:t>
      </w:r>
    </w:p>
  </w:footnote>
  <w:footnote w:id="5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المعروف أن الاصول الرجالیة أربعة أو خمسة بزیادة رجال البرقی، لکن عدها ثمانیة بلحاظ أن الجمیع من تراث القدماء، و ان کان بینها تفاوت فی الوزن و القیمة، فلاحظ.</w:t>
      </w:r>
    </w:p>
  </w:footnote>
  <w:footnote w:id="5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النجاشی: الرقم 1018.</w:t>
      </w:r>
    </w:p>
  </w:footnote>
  <w:footnote w:id="5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 الشیخ: «الطبعة الأولی» الصفحة 141، الرقم 604، و: «الطبعة الثانیة»، الصفحة 167، الرقم 615.</w:t>
      </w:r>
    </w:p>
  </w:footnote>
  <w:footnote w:id="5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الشیخ: الصفحة 497.</w:t>
      </w:r>
    </w:p>
  </w:footnote>
  <w:footnote w:id="5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رجال النجاشی: الرقم 944.</w:t>
      </w:r>
    </w:p>
  </w:footnote>
  <w:footnote w:id="5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ذکره فی «ترتیب رجال الکشی» الذی رتب فیه «اختیار معرفة الرجال» للشیخ علی حروف التهجی، و الکتاب غیر مطبوع بعد، و النسخة الموجودة بخط المؤلف عند المحقق التستری دام ظله.</w:t>
      </w:r>
    </w:p>
  </w:footnote>
  <w:footnote w:id="5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فهرس الشیخ: «الطبعة الأولی» الصفحة 34، الرقم 90، و: «الطبعة الثانیة» الصفحة 58، الرقم 100.</w:t>
      </w:r>
    </w:p>
  </w:footnote>
  <w:footnote w:id="5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الرجال: ج 1 الصفحة 17.</w:t>
      </w:r>
    </w:p>
  </w:footnote>
  <w:footnote w:id="5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یکنی ب «أبی العباس» تارة و ب «أبی الحسین» اخری.</w:t>
      </w:r>
    </w:p>
  </w:footnote>
  <w:footnote w:id="5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الرسالة مرویة فی کشف الریبة و نقلها فی الوسائل فی کتاب التجارة، لاحظ: الجزء 12، الباب 49 من أبواب ما یکتسب به.</w:t>
      </w:r>
    </w:p>
  </w:footnote>
  <w:footnote w:id="5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النجاشی: الرقم 253.</w:t>
      </w:r>
    </w:p>
  </w:footnote>
  <w:footnote w:id="5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النجاشی: الصفحة 3.</w:t>
      </w:r>
    </w:p>
  </w:footnote>
  <w:footnote w:id="5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العلامة: الصفحة 20-21، طبعة النجف.</w:t>
      </w:r>
    </w:p>
  </w:footnote>
  <w:footnote w:id="5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ج 1 الصفحة 92.</w:t>
      </w:r>
    </w:p>
  </w:footnote>
  <w:footnote w:id="5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ترجمة سلیمان بن خالد، الرقم 484، و ترجمة سلامة بن محمد، الرقم 514، فی نفس الکتاب تجد مدی اطلاعه علی احوال الرجال.</w:t>
      </w:r>
    </w:p>
  </w:footnote>
  <w:footnote w:id="5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النجاشی: الرقم 209.</w:t>
      </w:r>
    </w:p>
  </w:footnote>
  <w:footnote w:id="5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فی رجاله بالرقم 206: أحمد بن محمد بن عمران بن موسی، أبو الحسن المعروف ب «ابن الجندی» أستاذنا - رحمه اللّه - ألحقنا بالشیوخ فی زمانه.</w:t>
      </w:r>
    </w:p>
  </w:footnote>
  <w:footnote w:id="5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رجال النجاشی: الرقم 1066.</w:t>
      </w:r>
    </w:p>
  </w:footnote>
  <w:footnote w:id="5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سماء المقال: ج 1 الصفحة 59-66.</w:t>
      </w:r>
    </w:p>
  </w:footnote>
  <w:footnote w:id="5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رجال النجاشی: الرقم 1068.</w:t>
      </w:r>
    </w:p>
  </w:footnote>
  <w:footnote w:id="5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رجال النجاشی: الرقم 1070.</w:t>
      </w:r>
    </w:p>
  </w:footnote>
  <w:footnote w:id="5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الرجال: ج 1، الصفحة 19.</w:t>
      </w:r>
    </w:p>
  </w:footnote>
  <w:footnote w:id="5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سیوافیک الفرق بین الاصل و التصنیف فی الابحاث الاتیة.</w:t>
      </w:r>
    </w:p>
  </w:footnote>
  <w:footnote w:id="5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 «الطبعة الاولی» الصفحة 2 و: «الطبعة الثانیة» الصفحة 24-25.</w:t>
      </w:r>
    </w:p>
  </w:footnote>
  <w:footnote w:id="5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قاموس الرجال: ج 1، الصفحة 18.</w:t>
      </w:r>
    </w:p>
  </w:footnote>
  <w:footnote w:id="5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البرقی: الصفحة 23، 32، 34، 35، 46، 53.</w:t>
      </w:r>
    </w:p>
  </w:footnote>
  <w:footnote w:id="5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البرقی: الصفحة 60، 61.</w:t>
      </w:r>
    </w:p>
  </w:footnote>
  <w:footnote w:id="5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البرقی: الصفحة 57-59.</w:t>
      </w:r>
    </w:p>
  </w:footnote>
  <w:footnote w:id="5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البرقی: الصفحة 50، 54، 55.</w:t>
      </w:r>
    </w:p>
  </w:footnote>
  <w:footnote w:id="5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قاموس الرجال: ج 1 الصفحة 31.</w:t>
      </w:r>
    </w:p>
  </w:footnote>
  <w:footnote w:id="5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فی آل أعین: الصفحة 38، من النسخة المطبوعة مع شرح العلامة الابطحی.</w:t>
      </w:r>
    </w:p>
  </w:footnote>
  <w:footnote w:id="5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فی آل أعین: الصفحة 38.</w:t>
      </w:r>
    </w:p>
  </w:footnote>
  <w:footnote w:id="5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فی آل أعین: الصفحة 45.</w:t>
      </w:r>
    </w:p>
  </w:footnote>
  <w:footnote w:id="5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فی آل أعین: الصفحة 42.</w:t>
      </w:r>
    </w:p>
  </w:footnote>
  <w:footnote w:id="5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الرجال: ج 1 الصفحة 33، و أضاف أن أصل رجال الکشی کان علی الطبقات و الظاهر أنه یکفی فی هذا النوع من التألیف ذکر الاشخاص علی ترتیب الطبقات و ان لم یکن علی طبقات أصحابهم - علیهم السلام -، و الموجود من الکشی هو النمط الاول.</w:t>
      </w:r>
    </w:p>
  </w:footnote>
  <w:footnote w:id="5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النجاشی: الصفحة 3.</w:t>
      </w:r>
    </w:p>
  </w:footnote>
  <w:footnote w:id="5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النجاشی: الصفحة 211.</w:t>
      </w:r>
    </w:p>
  </w:footnote>
  <w:footnote w:id="5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الرجال: ج 1 الصفحة 18.</w:t>
      </w:r>
    </w:p>
  </w:footnote>
  <w:footnote w:id="5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النجاشی: الرقم 166.</w:t>
      </w:r>
    </w:p>
  </w:footnote>
  <w:footnote w:id="5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الشیخ: الصفحة 470، الرقم 52.</w:t>
      </w:r>
    </w:p>
  </w:footnote>
  <w:footnote w:id="5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دیباجة فهرس الشیخ: «الطبعة الاولی» الصفحة 1-2 و فی «الطبعة الثانیة» الصفحة 23-24.</w:t>
      </w:r>
    </w:p>
  </w:footnote>
  <w:footnote w:id="5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النجاشی: الرقم 200.</w:t>
      </w:r>
    </w:p>
  </w:footnote>
  <w:footnote w:id="5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النجاشی: الرقم 676.</w:t>
      </w:r>
    </w:p>
  </w:footnote>
  <w:footnote w:id="5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النجاشی: الرقم 572.</w:t>
      </w:r>
    </w:p>
  </w:footnote>
  <w:footnote w:id="5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النجاشی: الرقم 705.</w:t>
      </w:r>
    </w:p>
  </w:footnote>
  <w:footnote w:id="5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سماء المقال: ج 1 الصفحة 7-15.</w:t>
      </w:r>
    </w:p>
  </w:footnote>
  <w:footnote w:id="5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الذریعة الی تصانیف الشیعة: ج 1 الصفحة 9-288، و ج 10 الصفحة 9-88.</w:t>
      </w:r>
    </w:p>
  </w:footnote>
  <w:footnote w:id="5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 ج 1 الصفحة 10.</w:t>
      </w:r>
    </w:p>
  </w:footnote>
  <w:footnote w:id="5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العلامة: الصفحة 228-229.</w:t>
      </w:r>
    </w:p>
  </w:footnote>
  <w:footnote w:id="5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الرجال: ج 1 الصفحة 22.</w:t>
      </w:r>
    </w:p>
  </w:footnote>
  <w:footnote w:id="5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النجاشی: الرقم 490.</w:t>
      </w:r>
    </w:p>
  </w:footnote>
  <w:footnote w:id="5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العلامة: الصفحة 228-229.</w:t>
      </w:r>
    </w:p>
  </w:footnote>
  <w:footnote w:id="5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سماء المقال: ج 1 الصفحة 7، و قاموس الرجال: ج 1 الصفحة 32.</w:t>
      </w:r>
    </w:p>
  </w:footnote>
  <w:footnote w:id="5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سماء المقال: ج 1 الصفحة 5 فی الهامش. و کان نظام الدین الساوجی نزیل الری و تلمیذ الشیخ البهائی، توفی بعد 1038 بقلیل، و فرغ من تألیف نظام الاقوال فی سنة 1022، و هو بعد مخطوط لم یطبع.</w:t>
      </w:r>
    </w:p>
  </w:footnote>
  <w:footnote w:id="5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الحدیث: ج 1 الصفحة 113-114 من المقدمة طبعة النجف، و الصفحة 101-103 من طبعة لبنان.</w:t>
      </w:r>
    </w:p>
  </w:footnote>
  <w:footnote w:id="5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سماء المقال: ج 1 الصفحة 2.</w:t>
      </w:r>
    </w:p>
  </w:footnote>
  <w:footnote w:id="5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سماء المقال: ج 1 الصفحة 5-6.</w:t>
      </w:r>
    </w:p>
  </w:footnote>
  <w:footnote w:id="5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سماء المقال: ج 1 الصفحة 6-7.</w:t>
      </w:r>
    </w:p>
  </w:footnote>
  <w:footnote w:id="5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دیباجة فهرس الشیخ: «الطبعة الاولی» الصفحة 1-2 و فی «الطبعة الثانیة» الصفحة 4.</w:t>
      </w:r>
    </w:p>
  </w:footnote>
  <w:footnote w:id="5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العلامة: الصفحة 225.</w:t>
      </w:r>
    </w:p>
  </w:footnote>
  <w:footnote w:id="5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الصفحة 241.</w:t>
      </w:r>
    </w:p>
  </w:footnote>
  <w:footnote w:id="5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الصفحة 256.</w:t>
      </w:r>
    </w:p>
  </w:footnote>
  <w:footnote w:id="5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الذریعة: ج 4 الصفحة 288-289، و ج 10 الصفحة 89.</w:t>
      </w:r>
    </w:p>
  </w:footnote>
  <w:footnote w:id="5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مقدمة فهرس الشیخ: «الطبعة الاولی» الصفحة 2، و «الطبعة الثانیة» الصفحة 24.</w:t>
      </w:r>
    </w:p>
  </w:footnote>
  <w:footnote w:id="5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نعم الظاهر من مقدّمة الفهرس للشیخ تعمّد الورثة لاهلاک جمیع آثاره بشهادة لفظة «و غیرهما».</w:t>
      </w:r>
    </w:p>
  </w:footnote>
  <w:footnote w:id="5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الحدیث: ج 1 الصفحة 114 من المقدمة (طبعة النجف) و الصفحة 102 طبعة لبنان.</w:t>
      </w:r>
    </w:p>
  </w:footnote>
  <w:footnote w:id="5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الرجال: ج 1 الصفحة 41-51.</w:t>
      </w:r>
    </w:p>
  </w:footnote>
  <w:footnote w:id="5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الفوائد الرجالیة للوحید البهبهانی: الصفحة 38-39 المطبوعة فی آخر رجال الخاقانی، و الصفحة 8 من المطبوعة فی مقدمة منهج المقال.</w:t>
      </w:r>
    </w:p>
  </w:footnote>
  <w:footnote w:id="5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الصفحة 13 و فیه أحمد بن هلیل الکرخی.</w:t>
      </w:r>
    </w:p>
  </w:footnote>
  <w:footnote w:id="5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 فی رجال السید بحر العلوم «احمد بن هلیک» و فی تنقیح المقال «أحمد بن ملیک» و الظاهر وقوع تصحیف فیه، و الصحیح هو أحمد بن هلال الکرخی العبرتائی، للشواهد التالیة:الاول: کون الحسین بن أحمد المالکی فی سند الخبر الذی هو راو عن احمد بن هلال الکرخی (راجع روضة الکافی: الحدیث 371).الثانی: کون محمد بن سنان فیه، الذی یروی عنه أحمد بن هلال الکرخی (راجع أیضا روضة الکافی: الحدیث 371).الثالث: ان أبا علی بن همام ینقل بعض القضایا المرتبطة بأحمد بن هلال الکرخی کما فی غیبة الشیخ (الصفحة 245) و هو أیضا یذکر تاریخ وفاة أحمد هذا کما نقل عنه السید بن طاووس. أضف الی ذلک أنا لم نعثر علی ترجمة لأحمد بن هلیل، أو هلیک أو ملیک فی کتب الرجال المعروفة.</w:t>
      </w:r>
    </w:p>
  </w:footnote>
  <w:footnote w:id="5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الصفحة 530.</w:t>
      </w:r>
    </w:p>
  </w:footnote>
  <w:footnote w:id="5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الصفحة 516-517.</w:t>
      </w:r>
    </w:p>
  </w:footnote>
  <w:footnote w:id="5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الرجال: ج 1 الصفحة 50-51.</w:t>
      </w:r>
    </w:p>
  </w:footnote>
  <w:footnote w:id="5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25 ص 265-266 الحدیث 6 نقلا عن أمالی الطوسی طبعة النجف الصفحة 264.</w:t>
      </w:r>
    </w:p>
  </w:footnote>
  <w:footnote w:id="5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25 الصفحة 316، الحدیث 82 نقلا عن رجال الکشی: الصفحة 518.</w:t>
      </w:r>
    </w:p>
  </w:footnote>
  <w:footnote w:id="5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25 الصفحة 302، الحدیث 67 نقلا عن رجال الکشی: الصفحة 324.</w:t>
      </w:r>
    </w:p>
  </w:footnote>
  <w:footnote w:id="5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25 الصفحة 309، الحدیث 76 نقلا عن رجال الکشی: الصفحة 478-479.</w:t>
      </w:r>
    </w:p>
  </w:footnote>
  <w:footnote w:id="5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25 الصفحة 345-346، نقلا عن تصحیح الاعتقاد، باب معنی الغلو و التفویض الصفحة 65-66.</w:t>
      </w:r>
    </w:p>
  </w:footnote>
  <w:footnote w:id="5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25 الصفحة 347.</w:t>
      </w:r>
    </w:p>
  </w:footnote>
  <w:footnote w:id="5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الشیخ الصفحة 512 رقم 112، الفهرس: «الطبعة الاولی» الصفحة 143.الرقم 610، و فی «الطبعة الثانیة»: الصفحة 170 الرقم 621، و رجال النجاشی:الرقم 891.</w:t>
      </w:r>
    </w:p>
  </w:footnote>
  <w:footnote w:id="5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 - رحمه اللّه - امورا و اخترنا منها أمرین.</w:t>
      </w:r>
    </w:p>
  </w:footnote>
  <w:footnote w:id="5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النجاشی: الرقم 490.</w:t>
      </w:r>
    </w:p>
  </w:footnote>
  <w:footnote w:id="5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سماء المقال: ج 1، الصفحة 19-21 بتلخیص منّا.</w:t>
      </w:r>
    </w:p>
  </w:footnote>
  <w:footnote w:id="5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الحدیث: ج 1، الصفحة 114 من المقدّمات طبعة النجف، و الصفحة 102 طبعة لبنان.</w:t>
      </w:r>
    </w:p>
  </w:footnote>
  <w:footnote w:id="5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الصفحة 458، الحدیث 3.</w:t>
      </w:r>
    </w:p>
  </w:footnote>
  <w:footnote w:id="5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سماء المقال: الصفحة: 22.</w:t>
      </w:r>
    </w:p>
  </w:footnote>
  <w:footnote w:id="5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ریاض العلماء، ج 4، الصفحة 140-141، و لکنّ التحقیق انه کان حیّا الی عام 600.لاحظ مقال المحقق السید موسی الزنجانی المنشور فی مجموعة حول ذکری العلامة الأمینی - قدس اللّه سره -.</w:t>
      </w:r>
    </w:p>
  </w:footnote>
  <w:footnote w:id="5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أمل الامل: ج 2 الصفحة 194.</w:t>
      </w:r>
    </w:p>
  </w:footnote>
  <w:footnote w:id="5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المدفون ب «ری» المعروف عند الناس بامام زادة یحیی و ربما یحتمل تعدد الرجلین.</w:t>
      </w:r>
    </w:p>
  </w:footnote>
  <w:footnote w:id="5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 الشیخ منتجب الدین: الصفحة 5-6.</w:t>
      </w:r>
    </w:p>
  </w:footnote>
  <w:footnote w:id="5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فی الوقوف علی وصف هذا التاریخ و ما کتبه فی طبقات الإمامیة أیضا «الذریعة الی تصانیف الشیعة» ج 3، ص 219-220 هذا و توفی ابن أبی طی سنة 630 ه.</w:t>
      </w:r>
    </w:p>
  </w:footnote>
  <w:footnote w:id="5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الوافی بالوفیات: ج 4 الصفحة 164.</w:t>
      </w:r>
    </w:p>
  </w:footnote>
  <w:footnote w:id="5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رجال ابن داود: الصفحة 45-46 طبعة النجف.</w:t>
      </w:r>
    </w:p>
  </w:footnote>
  <w:footnote w:id="5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ابن داود: الصفحة 62 طبعة النجف.</w:t>
      </w:r>
    </w:p>
  </w:footnote>
  <w:footnote w:id="5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ریاض العلماء ج 1، ص 258.</w:t>
      </w:r>
    </w:p>
  </w:footnote>
  <w:footnote w:id="5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قد أسماه المؤلف ب «بناء المقالة الفاطمیة فی نقض الرسالة العثمانیة للجاحظ» و یقال اختصارا «البناء».</w:t>
      </w:r>
    </w:p>
  </w:footnote>
  <w:footnote w:id="5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نقض عثمانیة جاحظ المطبوع حدیثا ب «عمان».</w:t>
      </w:r>
    </w:p>
  </w:footnote>
  <w:footnote w:id="5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ریاض العلماء، ج 1، الصفحة 256.</w:t>
      </w:r>
    </w:p>
  </w:footnote>
  <w:footnote w:id="5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الغدیر: ج 6، الصفحة 7.</w:t>
      </w:r>
    </w:p>
  </w:footnote>
  <w:footnote w:id="5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ریاض العلماء مکان «المزیدی»، «المرندی»، و هو تصحیف.</w:t>
      </w:r>
    </w:p>
  </w:footnote>
  <w:footnote w:id="5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الغدیر، ج 6، الصفحة 3-6، و ذکر شطرا منها السید الامین فی أعیان الشیعة ج 22 الصفحة 343.</w:t>
      </w:r>
    </w:p>
  </w:footnote>
  <w:footnote w:id="5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الغدیر نقلا عن روضات الجنات الصفحة 357.</w:t>
      </w:r>
    </w:p>
  </w:footnote>
  <w:footnote w:id="5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العلامة غنی عن الاطراء، و ترجمته تستدعی تألیف رسالة مفردة، و قد کفانا، ما ذکره أصحاب المعاجم و التراجم فی حیاته و فضله و آثاره.</w:t>
      </w:r>
    </w:p>
  </w:footnote>
  <w:footnote w:id="5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الرجال: ج 1 الصفحة 15.</w:t>
      </w:r>
    </w:p>
  </w:footnote>
  <w:footnote w:id="5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الرجال: ج 1 الصفحة 31.</w:t>
      </w:r>
    </w:p>
  </w:footnote>
  <w:footnote w:id="5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المقدمة: الصفحة 4-5 بتصرّف یسیر.</w:t>
      </w:r>
    </w:p>
  </w:footnote>
  <w:footnote w:id="5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الذریعة: ج 4، الصفحة 466.</w:t>
      </w:r>
    </w:p>
  </w:footnote>
  <w:footnote w:id="5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الرواشح: الصفحة 60.</w:t>
      </w:r>
    </w:p>
  </w:footnote>
  <w:footnote w:id="5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الذریعة: ج 4، الصفحة 467 بتصرف و تلخیص.</w:t>
      </w:r>
    </w:p>
  </w:footnote>
  <w:footnote w:id="5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الرسالة، الصفحة 683-685 بتلخیص منّا.</w:t>
      </w:r>
    </w:p>
  </w:footnote>
  <w:footnote w:id="5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الصفحة 496.</w:t>
      </w:r>
    </w:p>
  </w:footnote>
  <w:footnote w:id="5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کان الإمام عند ما یجری القلم علی هذه الصحائف حیّا مرزقا فوافاه الأجل لیلة التاسعة و العشرین من شهر شوال المکرم من شهور عام 1409 فسلام اللّه علیه یوم ولد و یوم مات و یوم یبعث حیّا.</w:t>
      </w:r>
    </w:p>
  </w:footnote>
  <w:footnote w:id="5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الفرائد: بحث حجیة قول اللغوی الصفحة 46-47. طبعة رحمة اللّه.</w:t>
      </w:r>
    </w:p>
  </w:footnote>
  <w:footnote w:id="5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الجزء 18 أبواب الشهادات، الباب 20، الحدیث 1 و 3.</w:t>
      </w:r>
    </w:p>
  </w:footnote>
  <w:footnote w:id="5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منتقی الجمان ج 1 الصفحة 14-15.</w:t>
      </w:r>
    </w:p>
  </w:footnote>
  <w:footnote w:id="5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الجزء 7 کتاب الصوم الباب 11، مضافا الی ما ورد فی باب القضاء.</w:t>
      </w:r>
    </w:p>
  </w:footnote>
  <w:footnote w:id="5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الجزء 14، الباب 23 من أبواب عقد النکاح و اولیاء العقد، الحدیث 2.</w:t>
      </w:r>
    </w:p>
  </w:footnote>
  <w:footnote w:id="5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الجزء 4 ابواب الاذان و الاقامة، الباب 3، الاحادیث 2، 6 و 7.</w:t>
      </w:r>
    </w:p>
  </w:footnote>
  <w:footnote w:id="5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الجزء 18 ابواب الشهادات، الباب 24، الحدیث 6.</w:t>
      </w:r>
    </w:p>
  </w:footnote>
  <w:footnote w:id="5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الجزء 13 کتاب الوصایا، الباب 22، الحدیث 1 الی 5.</w:t>
      </w:r>
    </w:p>
  </w:footnote>
  <w:footnote w:id="5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الجزء 4 أبواب الاذان و الاقامة، الباب 19، الحدیث 14.</w:t>
      </w:r>
    </w:p>
  </w:footnote>
  <w:footnote w:id="5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الجزء 3 ابواب المواقیت، الباب 59، الحدیث 2.</w:t>
      </w:r>
    </w:p>
  </w:footnote>
  <w:footnote w:id="5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من أراد التفصیل فلیرجع الی مقباس الهدایة فی علم الدرایة الصفحة 88-92.</w:t>
      </w:r>
    </w:p>
  </w:footnote>
  <w:footnote w:id="5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3. الصفحة 757.</w:t>
      </w:r>
    </w:p>
  </w:footnote>
  <w:footnote w:id="5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یرید بذلک العبارة المقدمة التی نقلناها آنفا.</w:t>
      </w:r>
    </w:p>
  </w:footnote>
  <w:footnote w:id="5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النجاشی (بالرقم 302): «کان وجها فی أصحابنا قارئا فقیها نحویا لغویا راویة و کان حسن العمل، کثیر العبادة و الزهد، روی عن أبی عبد اللّه و أبی الحسن علیهما السلام».</w:t>
      </w:r>
    </w:p>
  </w:footnote>
  <w:footnote w:id="5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الصفحة 322، و المراد من الأحداث: الشبان.</w:t>
      </w:r>
    </w:p>
  </w:footnote>
  <w:footnote w:id="5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یرید العبارة الثانی التی نقلناها عن رجاله.</w:t>
      </w:r>
    </w:p>
  </w:footnote>
  <w:footnote w:id="5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«الواو» بمعنی «أو» أی أحد هذین، و یحتمل کونها بمعناها فیزداد العدد.</w:t>
      </w:r>
    </w:p>
  </w:footnote>
  <w:footnote w:id="5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بالرقم 1050.</w:t>
      </w:r>
    </w:p>
  </w:footnote>
  <w:footnote w:id="5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ابن داود: الصفحة 84، الرقم 524.</w:t>
      </w:r>
    </w:p>
  </w:footnote>
  <w:footnote w:id="5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الجدیر بالذکر أنّ تغایر حمّادین» الأوّلین محلّ نظر. بل استظهر جمع من أئمة الرجال اتّحادهما و لعله الأصح. راجع قاموس الرجال: ج 3، الصفحة 397-398 و معجم رجال الحدیث: ج 6 الصفحة 212-215.</w:t>
      </w:r>
    </w:p>
  </w:footnote>
  <w:footnote w:id="5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الرجال طبعة النجف الرقم 118، 442، 454، 782، 909 و 1272.</w:t>
      </w:r>
    </w:p>
  </w:footnote>
  <w:footnote w:id="5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الجزء الثالث، الفائدة السابعة الصفحة 757.</w:t>
      </w:r>
    </w:p>
  </w:footnote>
  <w:footnote w:id="5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برید بن معاویة.</w:t>
      </w:r>
    </w:p>
  </w:footnote>
  <w:footnote w:id="5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محمد بن مسلم.</w:t>
      </w:r>
    </w:p>
  </w:footnote>
  <w:footnote w:id="5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 بصیر المرادی و هو لیث بن البختری، و قد خالف فیه مختار الکشی.</w:t>
      </w:r>
    </w:p>
  </w:footnote>
  <w:footnote w:id="5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الفضیل بن یسار.</w:t>
      </w:r>
    </w:p>
  </w:footnote>
  <w:footnote w:id="5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معروف بن خربوذ.</w:t>
      </w:r>
    </w:p>
  </w:footnote>
  <w:footnote w:id="5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جمیل بن دراج.</w:t>
      </w:r>
    </w:p>
  </w:footnote>
  <w:footnote w:id="5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أبان بن عثمان.</w:t>
      </w:r>
    </w:p>
  </w:footnote>
  <w:footnote w:id="5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اللّه بن مسکان و عبد اللّه بن بکیر.</w:t>
      </w:r>
    </w:p>
  </w:footnote>
  <w:footnote w:id="5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حماد بن عثمان و حماد بن عیسی.</w:t>
      </w:r>
    </w:p>
  </w:footnote>
  <w:footnote w:id="5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صفوان بن یحیی. المتوفی عام 220.</w:t>
      </w:r>
    </w:p>
  </w:footnote>
  <w:footnote w:id="5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 بن عبد الرحمن.</w:t>
      </w:r>
    </w:p>
  </w:footnote>
  <w:footnote w:id="5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الحسن بن محبوب.</w:t>
      </w:r>
    </w:p>
  </w:footnote>
  <w:footnote w:id="5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أبی عمیر.</w:t>
      </w:r>
    </w:p>
  </w:footnote>
  <w:footnote w:id="5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اللّه بن المغیرة.</w:t>
      </w:r>
    </w:p>
  </w:footnote>
  <w:footnote w:id="5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أحمد بن محمد بن أبی نصر البزنطی.</w:t>
      </w:r>
    </w:p>
  </w:footnote>
  <w:footnote w:id="5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مضی القولان فی عبارة الکشی.</w:t>
      </w:r>
    </w:p>
  </w:footnote>
  <w:footnote w:id="5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3، الصفحة 757، نقلا عن فرج المهموم.</w:t>
      </w:r>
    </w:p>
  </w:footnote>
  <w:footnote w:id="5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الاصول: ج 1، الصفحة 386، و سیوافیک حق القول فی تفسیر کلام العدة، و تقف علی أن کلام العدة غیر مستنبط من کلام الکشی، و انما ذکرناه فی المقام تبعا للمحدث النوری.</w:t>
      </w:r>
    </w:p>
  </w:footnote>
  <w:footnote w:id="5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ج 4، أحوال الإمام الباقر، الصفحة 211، و الإمام الصادق علیهما السلام، الصفحة 280.</w:t>
      </w:r>
    </w:p>
  </w:footnote>
  <w:footnote w:id="5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ابن داود خاتمة القسم الاول، الفصل الاول، الصفحة 209 طبعة النجف و الصفحة 384 طبعة دانشگاه تهران.</w:t>
      </w:r>
    </w:p>
  </w:footnote>
  <w:footnote w:id="5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البهیة: ج 2، کتاب الطلاق، الصفحة 131.</w:t>
      </w:r>
    </w:p>
  </w:footnote>
  <w:footnote w:id="5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المستدرک: ج 3، الصفحة 758-759 بتحریر و تلخیص و اضافات منا.</w:t>
      </w:r>
    </w:p>
  </w:footnote>
  <w:footnote w:id="5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معجم رجال الحدیث: ج 14، الصفحة 303-304 طبعة النجف.</w:t>
      </w:r>
    </w:p>
  </w:footnote>
  <w:footnote w:id="5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قد ادغمنا الوجه الثانی و الثالث من الاحتمال الثانی فبحثنا عنهما بصفقة واحدة، لان وثاقة هؤلاء لیست موردا للشک و التردید و انما المهم اثبات وثاقة مشائخهم.</w:t>
      </w:r>
    </w:p>
  </w:footnote>
  <w:footnote w:id="5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المقدمة الثالثة، الصفحة 12، و جعل الفیض کونها کنایة عن الاجماع علی عدالتهم و صدقهم فی عرض ذلک الاحتمال، و الظاهر أنه فی طوله، لان تصدیق حکایتهم فی الموارد المجردة عن القرائن غیر منفک عن التصدیق بعدالتهم فلاحظ.</w:t>
      </w:r>
    </w:p>
  </w:footnote>
  <w:footnote w:id="5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توفی مولانا التستری عام 1021، و یظهر من قوله «قدس سره» فی حق استاذه أن المؤلف کان حیا عام وفاته و توفی بعده.</w:t>
      </w:r>
    </w:p>
  </w:footnote>
  <w:footnote w:id="5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تعلیقة مجمع الرجال: ج 1، الصفحة 286.</w:t>
      </w:r>
    </w:p>
  </w:footnote>
  <w:footnote w:id="5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2، الصفحة 760.</w:t>
      </w:r>
    </w:p>
  </w:footnote>
  <w:footnote w:id="5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ابن داود: خاتمة القسم الأول، الفصل الأول الصفحة 209 طبعة النجف، و الصفحة 384 طبعة جامعة طهران.</w:t>
      </w:r>
    </w:p>
  </w:footnote>
  <w:footnote w:id="5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الطهارة: ج 1، صفحة 186-187.</w:t>
      </w:r>
    </w:p>
  </w:footnote>
  <w:footnote w:id="5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المقدمة الثالثة، الصفحة 760.</w:t>
      </w:r>
    </w:p>
  </w:footnote>
  <w:footnote w:id="5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«منتقی الجمان»: ج 1، الصفحة 13، و التکملة للمحقق الکاظمی: ج 1، الصفحة 19-20.</w:t>
      </w:r>
    </w:p>
  </w:footnote>
  <w:footnote w:id="5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الرواشح السماویة: الصفحة 41.</w:t>
      </w:r>
    </w:p>
  </w:footnote>
  <w:footnote w:id="5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3، الصفحة 762.</w:t>
      </w:r>
    </w:p>
  </w:footnote>
  <w:footnote w:id="5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الاصول: الطبعة المحققة المحشاة بحاشیة الشیخ خلیل بن الغازی القزوینی ج 1، الصفحة 267.</w:t>
      </w:r>
    </w:p>
  </w:footnote>
  <w:footnote w:id="5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العجب ان العلامة المحقق الکلباسی لم یستشهد بهذا النص الوارد فی کلام الشیخ.</w:t>
      </w:r>
    </w:p>
  </w:footnote>
  <w:footnote w:id="5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العدة: ج 1، الصفحة 383.</w:t>
      </w:r>
    </w:p>
  </w:footnote>
  <w:footnote w:id="5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هذا المقام بحثنا عن الاحتمالین الثانی و الثالث من المعنی الثانی بصفقة واحدة کما مرّ.</w:t>
      </w:r>
    </w:p>
  </w:footnote>
  <w:footnote w:id="5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الطهارة لسیدنا الاستاذ: ج 1، ص 188.</w:t>
      </w:r>
    </w:p>
  </w:footnote>
  <w:footnote w:id="5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ابی عمیر زیاد بن عیسی أبو أحمد الازدی، بغدادی الاصل و المقام، لقی ابا الحسن موسی بن جعفر - علیهما السلام - و سمع منه احادیث، و روی عن الرضا - علیه السلام - توفی عام 217.</w:t>
      </w:r>
    </w:p>
  </w:footnote>
  <w:footnote w:id="5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صفوان بن یحیی، کوفی ثقة ثقة عین روی عن الرضا - علیه السلام - و قد توکل للرضا و ابی جعفر - علیهما السلام -، مات سنة 210.</w:t>
      </w:r>
    </w:p>
  </w:footnote>
  <w:footnote w:id="5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احمد بن محمد بن عمرو بن ابی نصر لقی الرضا و ابا جعفر علیهما السلام، مات سنة 221.</w:t>
      </w:r>
    </w:p>
  </w:footnote>
  <w:footnote w:id="5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العدة الطبعة الحدیثة: الصفحة 386.</w:t>
      </w:r>
    </w:p>
  </w:footnote>
  <w:footnote w:id="5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3، صفحة: 758.</w:t>
      </w:r>
    </w:p>
  </w:footnote>
  <w:footnote w:id="5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البحث عن هذا التفصیل، کلام معترض واقع بین الوجه الثانی و الوجه الثالث للمحدّث النوری، و سیوافیک ثالث الوجوه من أدلّته بعد هذا التفصیل.</w:t>
      </w:r>
    </w:p>
  </w:footnote>
  <w:footnote w:id="5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3، الصفحة 769. بتصرّف یسیر.</w:t>
      </w:r>
    </w:p>
  </w:footnote>
  <w:footnote w:id="5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الحدیث: ج 7، الصفحة 218-260 الرقم 4663.</w:t>
      </w:r>
    </w:p>
  </w:footnote>
  <w:footnote w:id="5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الحدیث: ج 17، الصفحة 262-286 الرقم 11780 و 11783.</w:t>
      </w:r>
    </w:p>
  </w:footnote>
  <w:footnote w:id="5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الحدیث: ج 3، الصفحة 277 و 278 و 280 و 287، الرقم 1166 و 1174.</w:t>
      </w:r>
    </w:p>
  </w:footnote>
  <w:footnote w:id="5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الحدیث: ج 13، الصفحة 362-368 الرقم 9437.</w:t>
      </w:r>
    </w:p>
  </w:footnote>
  <w:footnote w:id="5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الحدیث: ج 18، الصفحة 231.</w:t>
      </w:r>
    </w:p>
  </w:footnote>
  <w:footnote w:id="5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الحدیث: ج 18، الصفحة 262-265 الرقم 12483. و جامع الرواة: ج 2، باب حدود الزنا، و ایضا فی معجم رجال الحدیث: ج 13، الصفحة 166-167 فی ترجمة عمران بن میثم: روی محمد بن یعقوب بسنده عن ابی بصیر عن عمران بن میثم او صالح بن میثم.</w:t>
      </w:r>
    </w:p>
  </w:footnote>
  <w:footnote w:id="5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1، الصفحة 769 بتصرّف یسیر.</w:t>
      </w:r>
    </w:p>
  </w:footnote>
  <w:footnote w:id="5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مستدرک الوسائل: ج 3، الصفحة 770.</w:t>
      </w:r>
    </w:p>
  </w:footnote>
  <w:footnote w:id="5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الرواة: ج 1 الصفحة 266.</w:t>
      </w:r>
    </w:p>
  </w:footnote>
  <w:footnote w:id="5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رجال الکشی: الصفحة 137.</w:t>
      </w:r>
    </w:p>
  </w:footnote>
  <w:footnote w:id="5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 للشیخ الصفحة 111.</w:t>
      </w:r>
    </w:p>
  </w:footnote>
  <w:footnote w:id="5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الشیخ: الصفحة 249، رجال النجاشی: الصفحة 205.</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3196CC24"/>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er" Target="footer1942.xml"/><Relationship Id="rId655" Type="http://schemas.openxmlformats.org/officeDocument/2006/relationships/footer" Target="footer1945.xml"/><Relationship Id="rId656" Type="http://schemas.openxmlformats.org/officeDocument/2006/relationships/footer" Target="footer1948.xml"/><Relationship Id="rId657" Type="http://schemas.openxmlformats.org/officeDocument/2006/relationships/footer" Target="footer1951.xml"/><Relationship Id="rId658" Type="http://schemas.openxmlformats.org/officeDocument/2006/relationships/footer" Target="footer1954.xml"/><Relationship Id="rId659" Type="http://schemas.openxmlformats.org/officeDocument/2006/relationships/footer" Target="footer1957.xml"/><Relationship Id="rId660" Type="http://schemas.openxmlformats.org/officeDocument/2006/relationships/footer" Target="footer1960.xml"/><Relationship Id="rId661" Type="http://schemas.openxmlformats.org/officeDocument/2006/relationships/footer" Target="footer1963.xml"/><Relationship Id="rId662" Type="http://schemas.openxmlformats.org/officeDocument/2006/relationships/footer" Target="footer1966.xml"/><Relationship Id="rId663" Type="http://schemas.openxmlformats.org/officeDocument/2006/relationships/footer" Target="footer1969.xml"/><Relationship Id="rId664" Type="http://schemas.openxmlformats.org/officeDocument/2006/relationships/footer" Target="footer1972.xml"/><Relationship Id="rId665" Type="http://schemas.openxmlformats.org/officeDocument/2006/relationships/footer" Target="footer1975.xml"/><Relationship Id="rId666" Type="http://schemas.openxmlformats.org/officeDocument/2006/relationships/footer" Target="footer1978.xml"/><Relationship Id="rId667" Type="http://schemas.openxmlformats.org/officeDocument/2006/relationships/footer" Target="footer1981.xml"/><Relationship Id="rId668" Type="http://schemas.openxmlformats.org/officeDocument/2006/relationships/footer" Target="footer1984.xml"/><Relationship Id="rId669" Type="http://schemas.openxmlformats.org/officeDocument/2006/relationships/footer" Target="footer1987.xml"/><Relationship Id="rId670" Type="http://schemas.openxmlformats.org/officeDocument/2006/relationships/footer" Target="footer1990.xml"/><Relationship Id="rId671" Type="http://schemas.openxmlformats.org/officeDocument/2006/relationships/footer" Target="footer1993.xml"/><Relationship Id="rId672" Type="http://schemas.openxmlformats.org/officeDocument/2006/relationships/footer" Target="footer1996.xml"/><Relationship Id="rId673" Type="http://schemas.openxmlformats.org/officeDocument/2006/relationships/footer" Target="footer1999.xml"/><Relationship Id="rId674" Type="http://schemas.openxmlformats.org/officeDocument/2006/relationships/footer" Target="footer2002.xml"/><Relationship Id="rId675" Type="http://schemas.openxmlformats.org/officeDocument/2006/relationships/footer" Target="footer2005.xml"/><Relationship Id="rId676" Type="http://schemas.openxmlformats.org/officeDocument/2006/relationships/footer" Target="footer2008.xml"/><Relationship Id="rId677" Type="http://schemas.openxmlformats.org/officeDocument/2006/relationships/footer" Target="footer2011.xml"/><Relationship Id="rId678" Type="http://schemas.openxmlformats.org/officeDocument/2006/relationships/footer" Target="footer2014.xml"/><Relationship Id="rId679" Type="http://schemas.openxmlformats.org/officeDocument/2006/relationships/footer" Target="footer2017.xml"/><Relationship Id="rId680" Type="http://schemas.openxmlformats.org/officeDocument/2006/relationships/footer" Target="footer2020.xml"/><Relationship Id="rId681" Type="http://schemas.openxmlformats.org/officeDocument/2006/relationships/footer" Target="footer2023.xml"/><Relationship Id="rId682" Type="http://schemas.openxmlformats.org/officeDocument/2006/relationships/footer" Target="footer2026.xml"/><Relationship Id="rId683" Type="http://schemas.openxmlformats.org/officeDocument/2006/relationships/footer" Target="footer2029.xml"/><Relationship Id="rId684" Type="http://schemas.openxmlformats.org/officeDocument/2006/relationships/footer" Target="footer2032.xml"/><Relationship Id="rId685" Type="http://schemas.openxmlformats.org/officeDocument/2006/relationships/footer" Target="footer2035.xml"/><Relationship Id="rId686" Type="http://schemas.openxmlformats.org/officeDocument/2006/relationships/footer" Target="footer2038.xml"/><Relationship Id="rId687" Type="http://schemas.openxmlformats.org/officeDocument/2006/relationships/footer" Target="footer2041.xml"/><Relationship Id="rId688" Type="http://schemas.openxmlformats.org/officeDocument/2006/relationships/footer" Target="footer2044.xml"/><Relationship Id="rId689" Type="http://schemas.openxmlformats.org/officeDocument/2006/relationships/footer" Target="footer2047.xml"/><Relationship Id="rId690" Type="http://schemas.openxmlformats.org/officeDocument/2006/relationships/footer" Target="footer2050.xml"/><Relationship Id="rId691" Type="http://schemas.openxmlformats.org/officeDocument/2006/relationships/footer" Target="footer2053.xml"/><Relationship Id="rId692" Type="http://schemas.openxmlformats.org/officeDocument/2006/relationships/footer" Target="footer2056.xml"/><Relationship Id="rId693" Type="http://schemas.openxmlformats.org/officeDocument/2006/relationships/footer" Target="footer2059.xml"/><Relationship Id="rId694" Type="http://schemas.openxmlformats.org/officeDocument/2006/relationships/footer" Target="footer2062.xml"/><Relationship Id="rId695" Type="http://schemas.openxmlformats.org/officeDocument/2006/relationships/footer" Target="footer2065.xml"/><Relationship Id="rId696" Type="http://schemas.openxmlformats.org/officeDocument/2006/relationships/footer" Target="footer2068.xml"/><Relationship Id="rId697" Type="http://schemas.openxmlformats.org/officeDocument/2006/relationships/footer" Target="footer2071.xml"/><Relationship Id="rId698" Type="http://schemas.openxmlformats.org/officeDocument/2006/relationships/footer" Target="footer2074.xml"/><Relationship Id="rId699" Type="http://schemas.openxmlformats.org/officeDocument/2006/relationships/footer" Target="footer2077.xml"/><Relationship Id="rId700" Type="http://schemas.openxmlformats.org/officeDocument/2006/relationships/footer" Target="footer2080.xml"/><Relationship Id="rId701" Type="http://schemas.openxmlformats.org/officeDocument/2006/relationships/footer" Target="footer2083.xml"/><Relationship Id="rId702" Type="http://schemas.openxmlformats.org/officeDocument/2006/relationships/footer" Target="footer2086.xml"/><Relationship Id="rId703" Type="http://schemas.openxmlformats.org/officeDocument/2006/relationships/footer" Target="footer2089.xml"/><Relationship Id="rId704" Type="http://schemas.openxmlformats.org/officeDocument/2006/relationships/footer" Target="footer2092.xml"/><Relationship Id="rId705" Type="http://schemas.openxmlformats.org/officeDocument/2006/relationships/footer" Target="footer2095.xml"/><Relationship Id="rId706" Type="http://schemas.openxmlformats.org/officeDocument/2006/relationships/footer" Target="footer2098.xml"/><Relationship Id="rId707" Type="http://schemas.openxmlformats.org/officeDocument/2006/relationships/footer" Target="footer2101.xml"/><Relationship Id="rId708" Type="http://schemas.openxmlformats.org/officeDocument/2006/relationships/footer" Target="footer2104.xml"/><Relationship Id="rId709" Type="http://schemas.openxmlformats.org/officeDocument/2006/relationships/footer" Target="footer2107.xml"/><Relationship Id="rId710" Type="http://schemas.openxmlformats.org/officeDocument/2006/relationships/footer" Target="footer2110.xml"/><Relationship Id="rId711" Type="http://schemas.openxmlformats.org/officeDocument/2006/relationships/footer" Target="footer2113.xml"/><Relationship Id="rId712" Type="http://schemas.openxmlformats.org/officeDocument/2006/relationships/footer" Target="footer2116.xml"/><Relationship Id="rId713" Type="http://schemas.openxmlformats.org/officeDocument/2006/relationships/footer" Target="footer2119.xml"/><Relationship Id="rId714" Type="http://schemas.openxmlformats.org/officeDocument/2006/relationships/footer" Target="footer2122.xml"/><Relationship Id="rId715" Type="http://schemas.openxmlformats.org/officeDocument/2006/relationships/footer" Target="footer2125.xml"/><Relationship Id="rId716" Type="http://schemas.openxmlformats.org/officeDocument/2006/relationships/footer" Target="footer2128.xml"/><Relationship Id="rId717" Type="http://schemas.openxmlformats.org/officeDocument/2006/relationships/footer" Target="footer2131.xml"/><Relationship Id="rId718" Type="http://schemas.openxmlformats.org/officeDocument/2006/relationships/footer" Target="footer2134.xml"/><Relationship Id="rId719" Type="http://schemas.openxmlformats.org/officeDocument/2006/relationships/footer" Target="footer2137.xml"/><Relationship Id="rId720" Type="http://schemas.openxmlformats.org/officeDocument/2006/relationships/footer" Target="footer2140.xml"/><Relationship Id="rId721" Type="http://schemas.openxmlformats.org/officeDocument/2006/relationships/footer" Target="footer2143.xml"/><Relationship Id="rId722" Type="http://schemas.openxmlformats.org/officeDocument/2006/relationships/footer" Target="footer2146.xml"/><Relationship Id="rId723" Type="http://schemas.openxmlformats.org/officeDocument/2006/relationships/footer" Target="footer2149.xml"/><Relationship Id="rId724" Type="http://schemas.openxmlformats.org/officeDocument/2006/relationships/footer" Target="footer2152.xml"/><Relationship Id="rId725" Type="http://schemas.openxmlformats.org/officeDocument/2006/relationships/footer" Target="footer2155.xml"/><Relationship Id="rId726" Type="http://schemas.openxmlformats.org/officeDocument/2006/relationships/footer" Target="footer2158.xml"/><Relationship Id="rId727" Type="http://schemas.openxmlformats.org/officeDocument/2006/relationships/footer" Target="footer2161.xml"/><Relationship Id="rId728" Type="http://schemas.openxmlformats.org/officeDocument/2006/relationships/footer" Target="footer2164.xml"/><Relationship Id="rId729" Type="http://schemas.openxmlformats.org/officeDocument/2006/relationships/footer" Target="footer2167.xml"/><Relationship Id="rId730" Type="http://schemas.openxmlformats.org/officeDocument/2006/relationships/footer" Target="footer2170.xml"/><Relationship Id="rId731" Type="http://schemas.openxmlformats.org/officeDocument/2006/relationships/footer" Target="footer2173.xml"/><Relationship Id="rId732" Type="http://schemas.openxmlformats.org/officeDocument/2006/relationships/footer" Target="footer2176.xml"/><Relationship Id="rId733" Type="http://schemas.openxmlformats.org/officeDocument/2006/relationships/footer" Target="footer2179.xml"/><Relationship Id="rId734" Type="http://schemas.openxmlformats.org/officeDocument/2006/relationships/footer" Target="footer2182.xml"/><Relationship Id="rId735" Type="http://schemas.openxmlformats.org/officeDocument/2006/relationships/footer" Target="footer2185.xml"/><Relationship Id="rId736" Type="http://schemas.openxmlformats.org/officeDocument/2006/relationships/footer" Target="footer2188.xml"/><Relationship Id="rId737" Type="http://schemas.openxmlformats.org/officeDocument/2006/relationships/footer" Target="footer2191.xml"/><Relationship Id="rId738" Type="http://schemas.openxmlformats.org/officeDocument/2006/relationships/footer" Target="footer2194.xml"/><Relationship Id="rId739" Type="http://schemas.openxmlformats.org/officeDocument/2006/relationships/footer" Target="footer2197.xml"/><Relationship Id="rId740" Type="http://schemas.openxmlformats.org/officeDocument/2006/relationships/footer" Target="footer2200.xml"/><Relationship Id="rId741" Type="http://schemas.openxmlformats.org/officeDocument/2006/relationships/footer" Target="footer2203.xml"/><Relationship Id="rId742" Type="http://schemas.openxmlformats.org/officeDocument/2006/relationships/footer" Target="footer2206.xml"/><Relationship Id="rId743" Type="http://schemas.openxmlformats.org/officeDocument/2006/relationships/footer" Target="footer2209.xml"/><Relationship Id="rId744" Type="http://schemas.openxmlformats.org/officeDocument/2006/relationships/footer" Target="footer2212.xml"/><Relationship Id="rId745" Type="http://schemas.openxmlformats.org/officeDocument/2006/relationships/footer" Target="footer2215.xml"/><Relationship Id="rId746" Type="http://schemas.openxmlformats.org/officeDocument/2006/relationships/footer" Target="footer2218.xml"/><Relationship Id="rId747" Type="http://schemas.openxmlformats.org/officeDocument/2006/relationships/footer" Target="footer2221.xml"/><Relationship Id="rId748" Type="http://schemas.openxmlformats.org/officeDocument/2006/relationships/footer" Target="footer2224.xml"/><Relationship Id="rId749" Type="http://schemas.openxmlformats.org/officeDocument/2006/relationships/footer" Target="footer2227.xml"/><Relationship Id="rId750" Type="http://schemas.openxmlformats.org/officeDocument/2006/relationships/footer" Target="footer2230.xml"/><Relationship Id="rId751" Type="http://schemas.openxmlformats.org/officeDocument/2006/relationships/footer" Target="footer2233.xml"/><Relationship Id="rId752" Type="http://schemas.openxmlformats.org/officeDocument/2006/relationships/footer" Target="footer2236.xml"/><Relationship Id="rId753" Type="http://schemas.openxmlformats.org/officeDocument/2006/relationships/footer" Target="footer2239.xml"/><Relationship Id="rId754" Type="http://schemas.openxmlformats.org/officeDocument/2006/relationships/footer" Target="footer2242.xml"/><Relationship Id="rId755" Type="http://schemas.openxmlformats.org/officeDocument/2006/relationships/footer" Target="footer2245.xml"/><Relationship Id="rId756" Type="http://schemas.openxmlformats.org/officeDocument/2006/relationships/footer" Target="footer2248.xml"/><Relationship Id="rId757" Type="http://schemas.openxmlformats.org/officeDocument/2006/relationships/footer" Target="footer2251.xml"/><Relationship Id="rId758" Type="http://schemas.openxmlformats.org/officeDocument/2006/relationships/footer" Target="footer2254.xml"/><Relationship Id="rId759" Type="http://schemas.openxmlformats.org/officeDocument/2006/relationships/footer" Target="footer2257.xml"/><Relationship Id="rId760" Type="http://schemas.openxmlformats.org/officeDocument/2006/relationships/footer" Target="footer2260.xml"/><Relationship Id="rId761" Type="http://schemas.openxmlformats.org/officeDocument/2006/relationships/footer" Target="footer2263.xml"/><Relationship Id="rId762" Type="http://schemas.openxmlformats.org/officeDocument/2006/relationships/footer" Target="footer2266.xml"/><Relationship Id="rId763" Type="http://schemas.openxmlformats.org/officeDocument/2006/relationships/footer" Target="footer2269.xml"/><Relationship Id="rId764" Type="http://schemas.openxmlformats.org/officeDocument/2006/relationships/footer" Target="footer2272.xml"/><Relationship Id="rId765" Type="http://schemas.openxmlformats.org/officeDocument/2006/relationships/footer" Target="footer2275.xml"/><Relationship Id="rId766" Type="http://schemas.openxmlformats.org/officeDocument/2006/relationships/footer" Target="footer2278.xml"/><Relationship Id="rId767" Type="http://schemas.openxmlformats.org/officeDocument/2006/relationships/footer" Target="footer2281.xml"/><Relationship Id="rId768" Type="http://schemas.openxmlformats.org/officeDocument/2006/relationships/footer" Target="footer2284.xml"/><Relationship Id="rId769" Type="http://schemas.openxmlformats.org/officeDocument/2006/relationships/footer" Target="footer2287.xml"/><Relationship Id="rId770" Type="http://schemas.openxmlformats.org/officeDocument/2006/relationships/footer" Target="footer2290.xml"/><Relationship Id="rId771" Type="http://schemas.openxmlformats.org/officeDocument/2006/relationships/footer" Target="footer2293.xml"/><Relationship Id="rId772" Type="http://schemas.openxmlformats.org/officeDocument/2006/relationships/footer" Target="footer2296.xml"/><Relationship Id="rId773" Type="http://schemas.openxmlformats.org/officeDocument/2006/relationships/footer" Target="footer2299.xml"/><Relationship Id="rId774" Type="http://schemas.openxmlformats.org/officeDocument/2006/relationships/footer" Target="footer2302.xml"/><Relationship Id="rId775" Type="http://schemas.openxmlformats.org/officeDocument/2006/relationships/footer" Target="footer2305.xml"/><Relationship Id="rId776" Type="http://schemas.openxmlformats.org/officeDocument/2006/relationships/footer" Target="footer2308.xml"/><Relationship Id="rId777" Type="http://schemas.openxmlformats.org/officeDocument/2006/relationships/footer" Target="footer2311.xml"/><Relationship Id="rId778" Type="http://schemas.openxmlformats.org/officeDocument/2006/relationships/footer" Target="footer2314.xml"/><Relationship Id="rId779" Type="http://schemas.openxmlformats.org/officeDocument/2006/relationships/footer" Target="footer2317.xml"/><Relationship Id="rId780" Type="http://schemas.openxmlformats.org/officeDocument/2006/relationships/footer" Target="footer2320.xml"/><Relationship Id="rId781" Type="http://schemas.openxmlformats.org/officeDocument/2006/relationships/footer" Target="footer2323.xml"/><Relationship Id="rId782" Type="http://schemas.openxmlformats.org/officeDocument/2006/relationships/footer" Target="footer2326.xml"/><Relationship Id="rId783" Type="http://schemas.openxmlformats.org/officeDocument/2006/relationships/footer" Target="footer2329.xml"/><Relationship Id="rId784" Type="http://schemas.openxmlformats.org/officeDocument/2006/relationships/footer" Target="footer2332.xml"/><Relationship Id="rId785" Type="http://schemas.openxmlformats.org/officeDocument/2006/relationships/footer" Target="footer2335.xml"/><Relationship Id="rId786" Type="http://schemas.openxmlformats.org/officeDocument/2006/relationships/footer" Target="footer2338.xml"/><Relationship Id="rId787" Type="http://schemas.openxmlformats.org/officeDocument/2006/relationships/footer" Target="footer2341.xml"/><Relationship Id="rId788" Type="http://schemas.openxmlformats.org/officeDocument/2006/relationships/footer" Target="footer2344.xml"/><Relationship Id="rId789" Type="http://schemas.openxmlformats.org/officeDocument/2006/relationships/footer" Target="footer2347.xml"/><Relationship Id="rId790" Type="http://schemas.openxmlformats.org/officeDocument/2006/relationships/footer" Target="footer2350.xml"/><Relationship Id="rId791" Type="http://schemas.openxmlformats.org/officeDocument/2006/relationships/footer" Target="footer2353.xml"/><Relationship Id="rId792" Type="http://schemas.openxmlformats.org/officeDocument/2006/relationships/footer" Target="footer2356.xml"/><Relationship Id="rId793" Type="http://schemas.openxmlformats.org/officeDocument/2006/relationships/footer" Target="footer2359.xml"/><Relationship Id="rId794" Type="http://schemas.openxmlformats.org/officeDocument/2006/relationships/footer" Target="footer2362.xml"/><Relationship Id="rId795" Type="http://schemas.openxmlformats.org/officeDocument/2006/relationships/footer" Target="footer2365.xml"/><Relationship Id="rId796" Type="http://schemas.openxmlformats.org/officeDocument/2006/relationships/footer" Target="footer2368.xml"/><Relationship Id="rId797" Type="http://schemas.openxmlformats.org/officeDocument/2006/relationships/footer" Target="footer2371.xml"/><Relationship Id="rId798" Type="http://schemas.openxmlformats.org/officeDocument/2006/relationships/footer" Target="footer2374.xml"/><Relationship Id="rId799" Type="http://schemas.openxmlformats.org/officeDocument/2006/relationships/footer" Target="footer2377.xml"/><Relationship Id="rId800" Type="http://schemas.openxmlformats.org/officeDocument/2006/relationships/footer" Target="footer2380.xml"/><Relationship Id="rId801" Type="http://schemas.openxmlformats.org/officeDocument/2006/relationships/footer" Target="footer2383.xml"/><Relationship Id="rId802" Type="http://schemas.openxmlformats.org/officeDocument/2006/relationships/footer" Target="footer2386.xml"/><Relationship Id="rId803" Type="http://schemas.openxmlformats.org/officeDocument/2006/relationships/footer" Target="footer2389.xml"/><Relationship Id="rId804" Type="http://schemas.openxmlformats.org/officeDocument/2006/relationships/footer" Target="footer2392.xml"/><Relationship Id="rId805" Type="http://schemas.openxmlformats.org/officeDocument/2006/relationships/footer" Target="footer2395.xml"/><Relationship Id="rId806" Type="http://schemas.openxmlformats.org/officeDocument/2006/relationships/footer" Target="footer2398.xml"/><Relationship Id="rId807" Type="http://schemas.openxmlformats.org/officeDocument/2006/relationships/footer" Target="footer2401.xml"/><Relationship Id="rId808" Type="http://schemas.openxmlformats.org/officeDocument/2006/relationships/footer" Target="footer2404.xml"/><Relationship Id="rId809" Type="http://schemas.openxmlformats.org/officeDocument/2006/relationships/footer" Target="footer2407.xml"/><Relationship Id="rId810" Type="http://schemas.openxmlformats.org/officeDocument/2006/relationships/footer" Target="footer2410.xml"/><Relationship Id="rId811" Type="http://schemas.openxmlformats.org/officeDocument/2006/relationships/footer" Target="footer2413.xml"/><Relationship Id="rId812" Type="http://schemas.openxmlformats.org/officeDocument/2006/relationships/footer" Target="footer2416.xml"/><Relationship Id="rId813" Type="http://schemas.openxmlformats.org/officeDocument/2006/relationships/footer" Target="footer2419.xml"/><Relationship Id="rId814" Type="http://schemas.openxmlformats.org/officeDocument/2006/relationships/footer" Target="footer2422.xml"/><Relationship Id="rId815" Type="http://schemas.openxmlformats.org/officeDocument/2006/relationships/footer" Target="footer2425.xml"/><Relationship Id="rId816" Type="http://schemas.openxmlformats.org/officeDocument/2006/relationships/footer" Target="footer2428.xml"/><Relationship Id="rId817" Type="http://schemas.openxmlformats.org/officeDocument/2006/relationships/footer" Target="footer2431.xml"/><Relationship Id="rId818" Type="http://schemas.openxmlformats.org/officeDocument/2006/relationships/footer" Target="footer2434.xml"/><Relationship Id="rId819" Type="http://schemas.openxmlformats.org/officeDocument/2006/relationships/footer" Target="footer2437.xml"/><Relationship Id="rId820" Type="http://schemas.openxmlformats.org/officeDocument/2006/relationships/footer" Target="footer2440.xml"/><Relationship Id="rId821" Type="http://schemas.openxmlformats.org/officeDocument/2006/relationships/footer" Target="footer2443.xml"/><Relationship Id="rId822" Type="http://schemas.openxmlformats.org/officeDocument/2006/relationships/footer" Target="footer2446.xml"/><Relationship Id="rId823" Type="http://schemas.openxmlformats.org/officeDocument/2006/relationships/footer" Target="footer2449.xml"/><Relationship Id="rId824" Type="http://schemas.openxmlformats.org/officeDocument/2006/relationships/footer" Target="footer2452.xml"/><Relationship Id="rId825" Type="http://schemas.openxmlformats.org/officeDocument/2006/relationships/footer" Target="footer2455.xml"/><Relationship Id="rId826" Type="http://schemas.openxmlformats.org/officeDocument/2006/relationships/footer" Target="footer2458.xml"/><Relationship Id="rId827" Type="http://schemas.openxmlformats.org/officeDocument/2006/relationships/footer" Target="footer2461.xml"/><Relationship Id="rId828" Type="http://schemas.openxmlformats.org/officeDocument/2006/relationships/footer" Target="footer2464.xml"/><Relationship Id="rId829" Type="http://schemas.openxmlformats.org/officeDocument/2006/relationships/footer" Target="footer2467.xml"/><Relationship Id="rId830" Type="http://schemas.openxmlformats.org/officeDocument/2006/relationships/footer" Target="footer2470.xml"/><Relationship Id="rId831" Type="http://schemas.openxmlformats.org/officeDocument/2006/relationships/footer" Target="footer2473.xml"/><Relationship Id="rId832" Type="http://schemas.openxmlformats.org/officeDocument/2006/relationships/footer" Target="footer2476.xml"/><Relationship Id="rId833" Type="http://schemas.openxmlformats.org/officeDocument/2006/relationships/footer" Target="footer2479.xml"/><Relationship Id="rId834" Type="http://schemas.openxmlformats.org/officeDocument/2006/relationships/footer" Target="footer2482.xml"/><Relationship Id="rId835" Type="http://schemas.openxmlformats.org/officeDocument/2006/relationships/footer" Target="footer2485.xml"/><Relationship Id="rId836" Type="http://schemas.openxmlformats.org/officeDocument/2006/relationships/footer" Target="footer2488.xml"/><Relationship Id="rId837" Type="http://schemas.openxmlformats.org/officeDocument/2006/relationships/footer" Target="footer2491.xml"/><Relationship Id="rId838" Type="http://schemas.openxmlformats.org/officeDocument/2006/relationships/footer" Target="footer2494.xml"/><Relationship Id="rId839" Type="http://schemas.openxmlformats.org/officeDocument/2006/relationships/footer" Target="footer2497.xml"/><Relationship Id="rId840" Type="http://schemas.openxmlformats.org/officeDocument/2006/relationships/footer" Target="footer2500.xml"/><Relationship Id="rId841" Type="http://schemas.openxmlformats.org/officeDocument/2006/relationships/footer" Target="footer2503.xml"/><Relationship Id="rId842" Type="http://schemas.openxmlformats.org/officeDocument/2006/relationships/footer" Target="footer2506.xml"/><Relationship Id="rId843" Type="http://schemas.openxmlformats.org/officeDocument/2006/relationships/footer" Target="footer2509.xml"/><Relationship Id="rId844" Type="http://schemas.openxmlformats.org/officeDocument/2006/relationships/footer" Target="footer2512.xml"/><Relationship Id="rId845" Type="http://schemas.openxmlformats.org/officeDocument/2006/relationships/footer" Target="footer2515.xml"/><Relationship Id="rId846" Type="http://schemas.openxmlformats.org/officeDocument/2006/relationships/footer" Target="footer2518.xml"/><Relationship Id="rId847" Type="http://schemas.openxmlformats.org/officeDocument/2006/relationships/footer" Target="footer2521.xml"/><Relationship Id="rId848" Type="http://schemas.openxmlformats.org/officeDocument/2006/relationships/footer" Target="footer2524.xml"/><Relationship Id="rId849" Type="http://schemas.openxmlformats.org/officeDocument/2006/relationships/footer" Target="footer2527.xml"/><Relationship Id="rId850" Type="http://schemas.openxmlformats.org/officeDocument/2006/relationships/footer" Target="footer2530.xml"/><Relationship Id="rId851" Type="http://schemas.openxmlformats.org/officeDocument/2006/relationships/footer" Target="footer2533.xml"/><Relationship Id="rId852" Type="http://schemas.openxmlformats.org/officeDocument/2006/relationships/footer" Target="footer2536.xml"/><Relationship Id="rId853" Type="http://schemas.openxmlformats.org/officeDocument/2006/relationships/footer" Target="footer2539.xml"/><Relationship Id="rId854" Type="http://schemas.openxmlformats.org/officeDocument/2006/relationships/footer" Target="footer2542.xml"/><Relationship Id="rId855" Type="http://schemas.openxmlformats.org/officeDocument/2006/relationships/footer" Target="footer2545.xml"/><Relationship Id="rId856" Type="http://schemas.openxmlformats.org/officeDocument/2006/relationships/footer" Target="footer2548.xml"/><Relationship Id="rId857" Type="http://schemas.openxmlformats.org/officeDocument/2006/relationships/footer" Target="footer2551.xml"/><Relationship Id="rId858" Type="http://schemas.openxmlformats.org/officeDocument/2006/relationships/footer" Target="footer2554.xml"/><Relationship Id="rId859" Type="http://schemas.openxmlformats.org/officeDocument/2006/relationships/footer" Target="footer2557.xml"/><Relationship Id="rId860" Type="http://schemas.openxmlformats.org/officeDocument/2006/relationships/footer" Target="footer2560.xml"/><Relationship Id="rId861" Type="http://schemas.openxmlformats.org/officeDocument/2006/relationships/footer" Target="footer2563.xml"/><Relationship Id="rId862" Type="http://schemas.openxmlformats.org/officeDocument/2006/relationships/footer" Target="footer2566.xml"/><Relationship Id="rId863" Type="http://schemas.openxmlformats.org/officeDocument/2006/relationships/footer" Target="footer2569.xml"/><Relationship Id="rId864" Type="http://schemas.openxmlformats.org/officeDocument/2006/relationships/footer" Target="footer2572.xml"/><Relationship Id="rId865" Type="http://schemas.openxmlformats.org/officeDocument/2006/relationships/footer" Target="footer2575.xml"/><Relationship Id="rId866" Type="http://schemas.openxmlformats.org/officeDocument/2006/relationships/footer" Target="footer2578.xml"/><Relationship Id="rId867" Type="http://schemas.openxmlformats.org/officeDocument/2006/relationships/footer" Target="footer2581.xml"/><Relationship Id="rId868" Type="http://schemas.openxmlformats.org/officeDocument/2006/relationships/footer" Target="footer2584.xml"/><Relationship Id="rId869" Type="http://schemas.openxmlformats.org/officeDocument/2006/relationships/footer" Target="footer2587.xml"/><Relationship Id="rId870" Type="http://schemas.openxmlformats.org/officeDocument/2006/relationships/footer" Target="footer2590.xml"/><Relationship Id="rId871" Type="http://schemas.openxmlformats.org/officeDocument/2006/relationships/footer" Target="footer2593.xml"/><Relationship Id="rId872" Type="http://schemas.openxmlformats.org/officeDocument/2006/relationships/footer" Target="footer2596.xml"/><Relationship Id="rId873" Type="http://schemas.openxmlformats.org/officeDocument/2006/relationships/footer" Target="footer2599.xml"/><Relationship Id="rId874" Type="http://schemas.openxmlformats.org/officeDocument/2006/relationships/footer" Target="footer2602.xml"/><Relationship Id="rId875" Type="http://schemas.openxmlformats.org/officeDocument/2006/relationships/footer" Target="footer2605.xml"/><Relationship Id="rId876" Type="http://schemas.openxmlformats.org/officeDocument/2006/relationships/footer" Target="footer2608.xml"/><Relationship Id="rId877" Type="http://schemas.openxmlformats.org/officeDocument/2006/relationships/footer" Target="footer2611.xml"/><Relationship Id="rId878" Type="http://schemas.openxmlformats.org/officeDocument/2006/relationships/footer" Target="footer2614.xml"/><Relationship Id="rId879" Type="http://schemas.openxmlformats.org/officeDocument/2006/relationships/footer" Target="footer2617.xml"/><Relationship Id="rId880" Type="http://schemas.openxmlformats.org/officeDocument/2006/relationships/footer" Target="footer2620.xml"/><Relationship Id="rId881" Type="http://schemas.openxmlformats.org/officeDocument/2006/relationships/footer" Target="footer2623.xml"/><Relationship Id="rId882" Type="http://schemas.openxmlformats.org/officeDocument/2006/relationships/footer" Target="footer2626.xml"/><Relationship Id="rId883" Type="http://schemas.openxmlformats.org/officeDocument/2006/relationships/footer" Target="footer2629.xml"/><Relationship Id="rId884" Type="http://schemas.openxmlformats.org/officeDocument/2006/relationships/footer" Target="footer2632.xml"/><Relationship Id="rId885" Type="http://schemas.openxmlformats.org/officeDocument/2006/relationships/footer" Target="footer2635.xml"/><Relationship Id="rId886" Type="http://schemas.openxmlformats.org/officeDocument/2006/relationships/footer" Target="footer2638.xml"/><Relationship Id="rId887" Type="http://schemas.openxmlformats.org/officeDocument/2006/relationships/footer" Target="footer2641.xml"/><Relationship Id="rId888" Type="http://schemas.openxmlformats.org/officeDocument/2006/relationships/footer" Target="footer2644.xml"/><Relationship Id="rId889" Type="http://schemas.openxmlformats.org/officeDocument/2006/relationships/footer" Target="footer2647.xml"/><Relationship Id="rId890" Type="http://schemas.openxmlformats.org/officeDocument/2006/relationships/footer" Target="footer2650.xml"/><Relationship Id="rId891" Type="http://schemas.openxmlformats.org/officeDocument/2006/relationships/footer" Target="footer2653.xml"/><Relationship Id="rId892" Type="http://schemas.openxmlformats.org/officeDocument/2006/relationships/footer" Target="footer2656.xml"/><Relationship Id="rId893" Type="http://schemas.openxmlformats.org/officeDocument/2006/relationships/footer" Target="footer2659.xml"/><Relationship Id="rId894" Type="http://schemas.openxmlformats.org/officeDocument/2006/relationships/footer" Target="footer2662.xml"/><Relationship Id="rId895" Type="http://schemas.openxmlformats.org/officeDocument/2006/relationships/footer" Target="footer2665.xml"/><Relationship Id="rId896" Type="http://schemas.openxmlformats.org/officeDocument/2006/relationships/footer" Target="footer2668.xml"/><Relationship Id="rId897" Type="http://schemas.openxmlformats.org/officeDocument/2006/relationships/footer" Target="footer2671.xml"/><Relationship Id="rId898" Type="http://schemas.openxmlformats.org/officeDocument/2006/relationships/footer" Target="footer2674.xml"/><Relationship Id="rId899" Type="http://schemas.openxmlformats.org/officeDocument/2006/relationships/footer" Target="footer2677.xml"/><Relationship Id="rId900" Type="http://schemas.openxmlformats.org/officeDocument/2006/relationships/footer" Target="footer2680.xml"/><Relationship Id="rId901" Type="http://schemas.openxmlformats.org/officeDocument/2006/relationships/footer" Target="footer2683.xml"/><Relationship Id="rId902" Type="http://schemas.openxmlformats.org/officeDocument/2006/relationships/footer" Target="footer2686.xml"/><Relationship Id="rId903" Type="http://schemas.openxmlformats.org/officeDocument/2006/relationships/footer" Target="footer2689.xml"/><Relationship Id="rId904" Type="http://schemas.openxmlformats.org/officeDocument/2006/relationships/footer" Target="footer2692.xml"/><Relationship Id="rId905" Type="http://schemas.openxmlformats.org/officeDocument/2006/relationships/footer" Target="footer2695.xml"/><Relationship Id="rId906" Type="http://schemas.openxmlformats.org/officeDocument/2006/relationships/footer" Target="footer2698.xml"/><Relationship Id="rId907" Type="http://schemas.openxmlformats.org/officeDocument/2006/relationships/footer" Target="footer2701.xml"/><Relationship Id="rId908" Type="http://schemas.openxmlformats.org/officeDocument/2006/relationships/footer" Target="footer2704.xml"/><Relationship Id="rId909" Type="http://schemas.openxmlformats.org/officeDocument/2006/relationships/footer" Target="footer2707.xml"/><Relationship Id="rId910" Type="http://schemas.openxmlformats.org/officeDocument/2006/relationships/footer" Target="footer2710.xml"/><Relationship Id="rId911" Type="http://schemas.openxmlformats.org/officeDocument/2006/relationships/footer" Target="footer2713.xml"/><Relationship Id="rId912" Type="http://schemas.openxmlformats.org/officeDocument/2006/relationships/footer" Target="footer2716.xml"/><Relationship Id="rId913" Type="http://schemas.openxmlformats.org/officeDocument/2006/relationships/footer" Target="footer2719.xml"/><Relationship Id="rId914" Type="http://schemas.openxmlformats.org/officeDocument/2006/relationships/footer" Target="footer2722.xml"/><Relationship Id="rId915" Type="http://schemas.openxmlformats.org/officeDocument/2006/relationships/footer" Target="footer2725.xml"/><Relationship Id="rId916" Type="http://schemas.openxmlformats.org/officeDocument/2006/relationships/footer" Target="footer2728.xml"/><Relationship Id="rId917" Type="http://schemas.openxmlformats.org/officeDocument/2006/relationships/footer" Target="footer2731.xml"/><Relationship Id="rId918" Type="http://schemas.openxmlformats.org/officeDocument/2006/relationships/footer" Target="footer2734.xml"/><Relationship Id="rId919" Type="http://schemas.openxmlformats.org/officeDocument/2006/relationships/footer" Target="footer2737.xml"/><Relationship Id="rId920" Type="http://schemas.openxmlformats.org/officeDocument/2006/relationships/footer" Target="footer2740.xml"/><Relationship Id="rId921" Type="http://schemas.openxmlformats.org/officeDocument/2006/relationships/footer" Target="footer2743.xml"/><Relationship Id="rId922" Type="http://schemas.openxmlformats.org/officeDocument/2006/relationships/footer" Target="footer2746.xml"/><Relationship Id="rId923" Type="http://schemas.openxmlformats.org/officeDocument/2006/relationships/footer" Target="footer2749.xml"/><Relationship Id="rId924" Type="http://schemas.openxmlformats.org/officeDocument/2006/relationships/footer" Target="footer2752.xml"/><Relationship Id="rId925" Type="http://schemas.openxmlformats.org/officeDocument/2006/relationships/footer" Target="footer2755.xml"/><Relationship Id="rId926" Type="http://schemas.openxmlformats.org/officeDocument/2006/relationships/footer" Target="footer2758.xml"/><Relationship Id="rId927" Type="http://schemas.openxmlformats.org/officeDocument/2006/relationships/footer" Target="footer2761.xml"/><Relationship Id="rId928" Type="http://schemas.openxmlformats.org/officeDocument/2006/relationships/footer" Target="footer2764.xml"/><Relationship Id="rId929" Type="http://schemas.openxmlformats.org/officeDocument/2006/relationships/footer" Target="footer2767.xml"/><Relationship Id="rId930" Type="http://schemas.openxmlformats.org/officeDocument/2006/relationships/footer" Target="footer2770.xml"/><Relationship Id="rId931" Type="http://schemas.openxmlformats.org/officeDocument/2006/relationships/footer" Target="footer2773.xml"/><Relationship Id="rId932" Type="http://schemas.openxmlformats.org/officeDocument/2006/relationships/footer" Target="footer2776.xml"/><Relationship Id="rId933" Type="http://schemas.openxmlformats.org/officeDocument/2006/relationships/footer" Target="footer2779.xml"/><Relationship Id="rId934" Type="http://schemas.openxmlformats.org/officeDocument/2006/relationships/footer" Target="footer2782.xml"/><Relationship Id="rId935" Type="http://schemas.openxmlformats.org/officeDocument/2006/relationships/footer" Target="footer2785.xml"/><Relationship Id="rId936" Type="http://schemas.openxmlformats.org/officeDocument/2006/relationships/footer" Target="footer2788.xml"/><Relationship Id="rId937" Type="http://schemas.openxmlformats.org/officeDocument/2006/relationships/footer" Target="footer2791.xml"/><Relationship Id="rId938" Type="http://schemas.openxmlformats.org/officeDocument/2006/relationships/footer" Target="footer2794.xml"/><Relationship Id="rId939" Type="http://schemas.openxmlformats.org/officeDocument/2006/relationships/footer" Target="footer2797.xml"/><Relationship Id="rId940" Type="http://schemas.openxmlformats.org/officeDocument/2006/relationships/footer" Target="footer2800.xml"/><Relationship Id="rId941" Type="http://schemas.openxmlformats.org/officeDocument/2006/relationships/footer" Target="footer2803.xml"/><Relationship Id="rId942" Type="http://schemas.openxmlformats.org/officeDocument/2006/relationships/footer" Target="footer2806.xml"/><Relationship Id="rId943" Type="http://schemas.openxmlformats.org/officeDocument/2006/relationships/footer" Target="footer2809.xml"/><Relationship Id="rId944" Type="http://schemas.openxmlformats.org/officeDocument/2006/relationships/footer" Target="footer2812.xml"/><Relationship Id="rId945" Type="http://schemas.openxmlformats.org/officeDocument/2006/relationships/footer" Target="footer2815.xml"/><Relationship Id="rId946" Type="http://schemas.openxmlformats.org/officeDocument/2006/relationships/footer" Target="footer2818.xml"/><Relationship Id="rId947" Type="http://schemas.openxmlformats.org/officeDocument/2006/relationships/footer" Target="footer2821.xml"/><Relationship Id="rId948" Type="http://schemas.openxmlformats.org/officeDocument/2006/relationships/footer" Target="footer2824.xml"/><Relationship Id="rId949" Type="http://schemas.openxmlformats.org/officeDocument/2006/relationships/footer" Target="footer2827.xml"/><Relationship Id="rId950" Type="http://schemas.openxmlformats.org/officeDocument/2006/relationships/footer" Target="footer2830.xml"/><Relationship Id="rId951" Type="http://schemas.openxmlformats.org/officeDocument/2006/relationships/footer" Target="footer2833.xml"/><Relationship Id="rId952" Type="http://schemas.openxmlformats.org/officeDocument/2006/relationships/footer" Target="footer2836.xml"/><Relationship Id="rId953" Type="http://schemas.openxmlformats.org/officeDocument/2006/relationships/footer" Target="footer2839.xml"/><Relationship Id="rId954" Type="http://schemas.openxmlformats.org/officeDocument/2006/relationships/footer" Target="footer2842.xml"/><Relationship Id="rId955" Type="http://schemas.openxmlformats.org/officeDocument/2006/relationships/footer" Target="footer2845.xml"/><Relationship Id="rId956" Type="http://schemas.openxmlformats.org/officeDocument/2006/relationships/footer" Target="footer2848.xml"/><Relationship Id="rId957" Type="http://schemas.openxmlformats.org/officeDocument/2006/relationships/footer" Target="footer2851.xml"/><Relationship Id="rId958" Type="http://schemas.openxmlformats.org/officeDocument/2006/relationships/footer" Target="footer2854.xml"/><Relationship Id="rId959" Type="http://schemas.openxmlformats.org/officeDocument/2006/relationships/footer" Target="footer2857.xml"/><Relationship Id="rId960" Type="http://schemas.openxmlformats.org/officeDocument/2006/relationships/footer" Target="footer2860.xml"/><Relationship Id="rId961" Type="http://schemas.openxmlformats.org/officeDocument/2006/relationships/footer" Target="footer2863.xml"/><Relationship Id="rId962" Type="http://schemas.openxmlformats.org/officeDocument/2006/relationships/footer" Target="footer2866.xml"/><Relationship Id="rId963" Type="http://schemas.openxmlformats.org/officeDocument/2006/relationships/footer" Target="footer2869.xml"/><Relationship Id="rId964" Type="http://schemas.openxmlformats.org/officeDocument/2006/relationships/footer" Target="footer2872.xml"/><Relationship Id="rId965" Type="http://schemas.openxmlformats.org/officeDocument/2006/relationships/footer" Target="footer2875.xml"/><Relationship Id="rId966" Type="http://schemas.openxmlformats.org/officeDocument/2006/relationships/footer" Target="footer2878.xml"/><Relationship Id="rId967" Type="http://schemas.openxmlformats.org/officeDocument/2006/relationships/footer" Target="footer2881.xml"/><Relationship Id="rId968" Type="http://schemas.openxmlformats.org/officeDocument/2006/relationships/footer" Target="footer2884.xml"/><Relationship Id="rId969" Type="http://schemas.openxmlformats.org/officeDocument/2006/relationships/footer" Target="footer2887.xml"/><Relationship Id="rId970" Type="http://schemas.openxmlformats.org/officeDocument/2006/relationships/footer" Target="footer2890.xml"/><Relationship Id="rId971" Type="http://schemas.openxmlformats.org/officeDocument/2006/relationships/footer" Target="footer2893.xml"/><Relationship Id="rId972" Type="http://schemas.openxmlformats.org/officeDocument/2006/relationships/footer" Target="footer2896.xml"/><Relationship Id="rId973" Type="http://schemas.openxmlformats.org/officeDocument/2006/relationships/footer" Target="footer2899.xml"/><Relationship Id="rId974" Type="http://schemas.openxmlformats.org/officeDocument/2006/relationships/footer" Target="footer2902.xml"/><Relationship Id="rId975" Type="http://schemas.openxmlformats.org/officeDocument/2006/relationships/footer" Target="footer2905.xml"/><Relationship Id="rId976" Type="http://schemas.openxmlformats.org/officeDocument/2006/relationships/footer" Target="footer2908.xml"/><Relationship Id="rId977" Type="http://schemas.openxmlformats.org/officeDocument/2006/relationships/footer" Target="footer2911.xml"/><Relationship Id="rId978" Type="http://schemas.openxmlformats.org/officeDocument/2006/relationships/footer" Target="footer2914.xml"/><Relationship Id="rId979" Type="http://schemas.openxmlformats.org/officeDocument/2006/relationships/footer" Target="footer2917.xml"/><Relationship Id="rId980" Type="http://schemas.openxmlformats.org/officeDocument/2006/relationships/footer" Target="footer2920.xml"/><Relationship Id="rId981" Type="http://schemas.openxmlformats.org/officeDocument/2006/relationships/footer" Target="footer2923.xml"/><Relationship Id="rId982" Type="http://schemas.openxmlformats.org/officeDocument/2006/relationships/footer" Target="footer2926.xml"/><Relationship Id="rId983" Type="http://schemas.openxmlformats.org/officeDocument/2006/relationships/footer" Target="footer2929.xml"/><Relationship Id="rId984" Type="http://schemas.openxmlformats.org/officeDocument/2006/relationships/footer" Target="footer2932.xml"/><Relationship Id="rId985" Type="http://schemas.openxmlformats.org/officeDocument/2006/relationships/footer" Target="footer2935.xml"/><Relationship Id="rId986" Type="http://schemas.openxmlformats.org/officeDocument/2006/relationships/footer" Target="footer2938.xml"/><Relationship Id="rId987" Type="http://schemas.openxmlformats.org/officeDocument/2006/relationships/footer" Target="footer2941.xml"/><Relationship Id="rId988" Type="http://schemas.openxmlformats.org/officeDocument/2006/relationships/footer" Target="footer2944.xml"/><Relationship Id="rId989" Type="http://schemas.openxmlformats.org/officeDocument/2006/relationships/footer" Target="footer2947.xml"/><Relationship Id="rId990" Type="http://schemas.openxmlformats.org/officeDocument/2006/relationships/footer" Target="footer2950.xml"/><Relationship Id="rId991" Type="http://schemas.openxmlformats.org/officeDocument/2006/relationships/footer" Target="footer2953.xml"/><Relationship Id="rId992" Type="http://schemas.openxmlformats.org/officeDocument/2006/relationships/footer" Target="footer2956.xml"/><Relationship Id="rId993" Type="http://schemas.openxmlformats.org/officeDocument/2006/relationships/footer" Target="footer2959.xml"/><Relationship Id="rId994" Type="http://schemas.openxmlformats.org/officeDocument/2006/relationships/footer" Target="footer2962.xml"/><Relationship Id="rId995" Type="http://schemas.openxmlformats.org/officeDocument/2006/relationships/footer" Target="footer2965.xml"/><Relationship Id="rId996" Type="http://schemas.openxmlformats.org/officeDocument/2006/relationships/footer" Target="footer2968.xml"/><Relationship Id="rId997" Type="http://schemas.openxmlformats.org/officeDocument/2006/relationships/footer" Target="footer2971.xml"/><Relationship Id="rId998" Type="http://schemas.openxmlformats.org/officeDocument/2006/relationships/footer" Target="footer2974.xml"/><Relationship Id="rId999" Type="http://schemas.openxmlformats.org/officeDocument/2006/relationships/footer" Target="footer2977.xml"/><Relationship Id="rId1000" Type="http://schemas.openxmlformats.org/officeDocument/2006/relationships/footer" Target="footer2980.xml"/><Relationship Id="rId1001" Type="http://schemas.openxmlformats.org/officeDocument/2006/relationships/footer" Target="footer2983.xml"/><Relationship Id="rId1002" Type="http://schemas.openxmlformats.org/officeDocument/2006/relationships/footer" Target="footer2986.xml"/><Relationship Id="rId1003" Type="http://schemas.openxmlformats.org/officeDocument/2006/relationships/footer" Target="footer2989.xml"/><Relationship Id="rId1004" Type="http://schemas.openxmlformats.org/officeDocument/2006/relationships/footer" Target="footer2992.xml"/><Relationship Id="rId1005" Type="http://schemas.openxmlformats.org/officeDocument/2006/relationships/footer" Target="footer2995.xml"/><Relationship Id="rId1006" Type="http://schemas.openxmlformats.org/officeDocument/2006/relationships/footer" Target="footer2998.xml"/><Relationship Id="rId1007" Type="http://schemas.openxmlformats.org/officeDocument/2006/relationships/footer" Target="footer3001.xml"/><Relationship Id="rId1008" Type="http://schemas.openxmlformats.org/officeDocument/2006/relationships/footer" Target="footer3004.xml"/><Relationship Id="rId1009" Type="http://schemas.openxmlformats.org/officeDocument/2006/relationships/footer" Target="footer3007.xml"/><Relationship Id="rId1010" Type="http://schemas.openxmlformats.org/officeDocument/2006/relationships/footer" Target="footer3010.xml"/><Relationship Id="rId1011" Type="http://schemas.openxmlformats.org/officeDocument/2006/relationships/footer" Target="footer3013.xml"/><Relationship Id="rId1012" Type="http://schemas.openxmlformats.org/officeDocument/2006/relationships/footer" Target="footer3016.xml"/><Relationship Id="rId1013" Type="http://schemas.openxmlformats.org/officeDocument/2006/relationships/footer" Target="footer3019.xml"/><Relationship Id="rId1014" Type="http://schemas.openxmlformats.org/officeDocument/2006/relationships/footer" Target="footer3022.xml"/><Relationship Id="rId1015" Type="http://schemas.openxmlformats.org/officeDocument/2006/relationships/footer" Target="footer3025.xml"/><Relationship Id="rId1016" Type="http://schemas.openxmlformats.org/officeDocument/2006/relationships/footer" Target="footer3028.xml"/><Relationship Id="rId1017" Type="http://schemas.openxmlformats.org/officeDocument/2006/relationships/footer" Target="footer3031.xml"/><Relationship Id="rId1018" Type="http://schemas.openxmlformats.org/officeDocument/2006/relationships/footer" Target="footer3034.xml"/><Relationship Id="rId1019" Type="http://schemas.openxmlformats.org/officeDocument/2006/relationships/footer" Target="footer3037.xml"/><Relationship Id="rId1020" Type="http://schemas.openxmlformats.org/officeDocument/2006/relationships/footer" Target="footer3040.xml"/><Relationship Id="rId1021" Type="http://schemas.openxmlformats.org/officeDocument/2006/relationships/footer" Target="footer3043.xml"/><Relationship Id="rId1022" Type="http://schemas.openxmlformats.org/officeDocument/2006/relationships/footer" Target="footer3046.xml"/><Relationship Id="rId1023" Type="http://schemas.openxmlformats.org/officeDocument/2006/relationships/footer" Target="footer3049.xml"/><Relationship Id="rId1024" Type="http://schemas.openxmlformats.org/officeDocument/2006/relationships/footer" Target="footer3052.xml"/><Relationship Id="rId1025" Type="http://schemas.openxmlformats.org/officeDocument/2006/relationships/footer" Target="footer3055.xml"/><Relationship Id="rId1026" Type="http://schemas.openxmlformats.org/officeDocument/2006/relationships/footer" Target="footer3058.xml"/><Relationship Id="rId1027" Type="http://schemas.openxmlformats.org/officeDocument/2006/relationships/footer" Target="footer3061.xml"/><Relationship Id="rId1028" Type="http://schemas.openxmlformats.org/officeDocument/2006/relationships/footer" Target="footer3064.xml"/><Relationship Id="rId1029" Type="http://schemas.openxmlformats.org/officeDocument/2006/relationships/footer" Target="footer3067.xml"/><Relationship Id="rId1030" Type="http://schemas.openxmlformats.org/officeDocument/2006/relationships/footer" Target="footer3070.xml"/><Relationship Id="rId1031" Type="http://schemas.openxmlformats.org/officeDocument/2006/relationships/footer" Target="footer3073.xml"/><Relationship Id="rId1032" Type="http://schemas.openxmlformats.org/officeDocument/2006/relationships/footer" Target="footer3076.xml"/><Relationship Id="rId1033" Type="http://schemas.openxmlformats.org/officeDocument/2006/relationships/footer" Target="footer3079.xml"/><Relationship Id="rId1034" Type="http://schemas.openxmlformats.org/officeDocument/2006/relationships/footer" Target="footer3082.xml"/><Relationship Id="rId1035" Type="http://schemas.openxmlformats.org/officeDocument/2006/relationships/footer" Target="footer3085.xml"/><Relationship Id="rId1036" Type="http://schemas.openxmlformats.org/officeDocument/2006/relationships/footer" Target="footer3088.xml"/><Relationship Id="rId1037" Type="http://schemas.openxmlformats.org/officeDocument/2006/relationships/footer" Target="footer3091.xml"/><Relationship Id="rId1038" Type="http://schemas.openxmlformats.org/officeDocument/2006/relationships/footer" Target="footer3094.xml"/><Relationship Id="rId1039" Type="http://schemas.openxmlformats.org/officeDocument/2006/relationships/footer" Target="footer3097.xml"/><Relationship Id="rId1040" Type="http://schemas.openxmlformats.org/officeDocument/2006/relationships/footer" Target="footer3100.xml"/><Relationship Id="rId1041" Type="http://schemas.openxmlformats.org/officeDocument/2006/relationships/footer" Target="footer3103.xml"/><Relationship Id="rId1042" Type="http://schemas.openxmlformats.org/officeDocument/2006/relationships/footer" Target="footer3106.xml"/><Relationship Id="rId1043" Type="http://schemas.openxmlformats.org/officeDocument/2006/relationships/footer" Target="footer3109.xml"/><Relationship Id="rId1044" Type="http://schemas.openxmlformats.org/officeDocument/2006/relationships/footer" Target="footer3112.xml"/><Relationship Id="rId1045" Type="http://schemas.openxmlformats.org/officeDocument/2006/relationships/footer" Target="footer3115.xml"/><Relationship Id="rId1046" Type="http://schemas.openxmlformats.org/officeDocument/2006/relationships/footer" Target="footer3118.xml"/><Relationship Id="rId1047" Type="http://schemas.openxmlformats.org/officeDocument/2006/relationships/footer" Target="footer3121.xml"/><Relationship Id="rId1048" Type="http://schemas.openxmlformats.org/officeDocument/2006/relationships/footer" Target="footer3124.xml"/><Relationship Id="rId1049" Type="http://schemas.openxmlformats.org/officeDocument/2006/relationships/footer" Target="footer3127.xml"/><Relationship Id="rId1050" Type="http://schemas.openxmlformats.org/officeDocument/2006/relationships/footer" Target="footer3130.xml"/><Relationship Id="rId1051" Type="http://schemas.openxmlformats.org/officeDocument/2006/relationships/footer" Target="footer3133.xml"/><Relationship Id="rId1052" Type="http://schemas.openxmlformats.org/officeDocument/2006/relationships/footer" Target="footer3136.xml"/><Relationship Id="rId1053" Type="http://schemas.openxmlformats.org/officeDocument/2006/relationships/footer" Target="footer3139.xml"/><Relationship Id="rId1054" Type="http://schemas.openxmlformats.org/officeDocument/2006/relationships/footer" Target="footer3142.xml"/><Relationship Id="rId1055" Type="http://schemas.openxmlformats.org/officeDocument/2006/relationships/footer" Target="footer3145.xml"/><Relationship Id="rId1056" Type="http://schemas.openxmlformats.org/officeDocument/2006/relationships/footer" Target="footer3148.xml"/><Relationship Id="rId1057" Type="http://schemas.openxmlformats.org/officeDocument/2006/relationships/footer" Target="footer3151.xml"/><Relationship Id="rId1058" Type="http://schemas.openxmlformats.org/officeDocument/2006/relationships/footer" Target="footer3154.xml"/><Relationship Id="rId1059" Type="http://schemas.openxmlformats.org/officeDocument/2006/relationships/footer" Target="footer3157.xml"/><Relationship Id="rId1060" Type="http://schemas.openxmlformats.org/officeDocument/2006/relationships/footer" Target="footer3160.xml"/><Relationship Id="rId1061" Type="http://schemas.openxmlformats.org/officeDocument/2006/relationships/footer" Target="footer3163.xml"/><Relationship Id="rId1062" Type="http://schemas.openxmlformats.org/officeDocument/2006/relationships/footer" Target="footer3166.xml"/><Relationship Id="rId1063" Type="http://schemas.openxmlformats.org/officeDocument/2006/relationships/footer" Target="footer3169.xml"/><Relationship Id="rId1064" Type="http://schemas.openxmlformats.org/officeDocument/2006/relationships/footer" Target="footer3172.xml"/><Relationship Id="rId1065" Type="http://schemas.openxmlformats.org/officeDocument/2006/relationships/footer" Target="footer3175.xml"/><Relationship Id="rId1066" Type="http://schemas.openxmlformats.org/officeDocument/2006/relationships/footer" Target="footer3178.xml"/><Relationship Id="rId1067" Type="http://schemas.openxmlformats.org/officeDocument/2006/relationships/footer" Target="footer3181.xml"/><Relationship Id="rId1068" Type="http://schemas.openxmlformats.org/officeDocument/2006/relationships/footer" Target="footer3184.xml"/><Relationship Id="rId1069" Type="http://schemas.openxmlformats.org/officeDocument/2006/relationships/footer" Target="footer3187.xml"/><Relationship Id="rId1070" Type="http://schemas.openxmlformats.org/officeDocument/2006/relationships/footer" Target="footer3190.xml"/><Relationship Id="rId1071" Type="http://schemas.openxmlformats.org/officeDocument/2006/relationships/footer" Target="footer3193.xml"/><Relationship Id="rId1072" Type="http://schemas.openxmlformats.org/officeDocument/2006/relationships/footer" Target="footer3196.xml"/><Relationship Id="rId1073" Type="http://schemas.openxmlformats.org/officeDocument/2006/relationships/footer" Target="footer3199.xml"/><Relationship Id="rId1074" Type="http://schemas.openxmlformats.org/officeDocument/2006/relationships/footer" Target="footer3202.xml"/><Relationship Id="rId1075" Type="http://schemas.openxmlformats.org/officeDocument/2006/relationships/footer" Target="footer3205.xml"/><Relationship Id="rId1076" Type="http://schemas.openxmlformats.org/officeDocument/2006/relationships/footer" Target="footer3208.xml"/><Relationship Id="rId1077" Type="http://schemas.openxmlformats.org/officeDocument/2006/relationships/footer" Target="footer3211.xml"/><Relationship Id="rId1078" Type="http://schemas.openxmlformats.org/officeDocument/2006/relationships/footer" Target="footer3214.xml"/><Relationship Id="rId1079" Type="http://schemas.openxmlformats.org/officeDocument/2006/relationships/footer" Target="footer3217.xml"/><Relationship Id="rId1080" Type="http://schemas.openxmlformats.org/officeDocument/2006/relationships/footer" Target="footer3220.xml"/><Relationship Id="rId1081" Type="http://schemas.openxmlformats.org/officeDocument/2006/relationships/footer" Target="footer3223.xml"/><Relationship Id="rId1082" Type="http://schemas.openxmlformats.org/officeDocument/2006/relationships/footer" Target="footer3226.xml"/><Relationship Id="rId1083" Type="http://schemas.openxmlformats.org/officeDocument/2006/relationships/footer" Target="footer3229.xml"/><Relationship Id="rId1084" Type="http://schemas.openxmlformats.org/officeDocument/2006/relationships/footer" Target="footer3232.xml"/><Relationship Id="rId1085" Type="http://schemas.openxmlformats.org/officeDocument/2006/relationships/footer" Target="footer3235.xml"/><Relationship Id="rId1086" Type="http://schemas.openxmlformats.org/officeDocument/2006/relationships/footer" Target="footer3238.xml"/><Relationship Id="rId1087" Type="http://schemas.openxmlformats.org/officeDocument/2006/relationships/footer" Target="footer3241.xml"/><Relationship Id="rId1088" Type="http://schemas.openxmlformats.org/officeDocument/2006/relationships/footer" Target="footer3244.xml"/><Relationship Id="rId1089" Type="http://schemas.openxmlformats.org/officeDocument/2006/relationships/footer" Target="footer3247.xml"/><Relationship Id="rId1090" Type="http://schemas.openxmlformats.org/officeDocument/2006/relationships/footer" Target="footer3250.xml"/><Relationship Id="rId1091" Type="http://schemas.openxmlformats.org/officeDocument/2006/relationships/footer" Target="footer3253.xml"/><Relationship Id="rId1092" Type="http://schemas.openxmlformats.org/officeDocument/2006/relationships/footer" Target="footer3256.xml"/><Relationship Id="rId1093" Type="http://schemas.openxmlformats.org/officeDocument/2006/relationships/footer" Target="footer3259.xml"/><Relationship Id="rId1094" Type="http://schemas.openxmlformats.org/officeDocument/2006/relationships/footer" Target="footer3262.xml"/><Relationship Id="rId1095" Type="http://schemas.openxmlformats.org/officeDocument/2006/relationships/footer" Target="footer3265.xml"/><Relationship Id="rId1096" Type="http://schemas.openxmlformats.org/officeDocument/2006/relationships/footer" Target="footer3268.xml"/><Relationship Id="rId1097" Type="http://schemas.openxmlformats.org/officeDocument/2006/relationships/footer" Target="footer3271.xml"/><Relationship Id="rId1098" Type="http://schemas.openxmlformats.org/officeDocument/2006/relationships/footer" Target="footer3274.xml"/><Relationship Id="rId1099" Type="http://schemas.openxmlformats.org/officeDocument/2006/relationships/footer" Target="footer3277.xml"/><Relationship Id="rId1100" Type="http://schemas.openxmlformats.org/officeDocument/2006/relationships/footer" Target="footer3280.xml"/><Relationship Id="rId1101" Type="http://schemas.openxmlformats.org/officeDocument/2006/relationships/footer" Target="footer3283.xml"/><Relationship Id="rId1102" Type="http://schemas.openxmlformats.org/officeDocument/2006/relationships/footer" Target="footer3286.xml"/><Relationship Id="rId1103" Type="http://schemas.openxmlformats.org/officeDocument/2006/relationships/footer" Target="footer3289.xml"/><Relationship Id="rId1104" Type="http://schemas.openxmlformats.org/officeDocument/2006/relationships/footer" Target="footer3292.xml"/><Relationship Id="rId1105" Type="http://schemas.openxmlformats.org/officeDocument/2006/relationships/footer" Target="footer3295.xml"/><Relationship Id="rId1106" Type="http://schemas.openxmlformats.org/officeDocument/2006/relationships/footer" Target="footer3298.xml"/><Relationship Id="rId1107" Type="http://schemas.openxmlformats.org/officeDocument/2006/relationships/footer" Target="footer3301.xml"/><Relationship Id="rId1108" Type="http://schemas.openxmlformats.org/officeDocument/2006/relationships/footer" Target="footer3304.xml"/><Relationship Id="rId1109" Type="http://schemas.openxmlformats.org/officeDocument/2006/relationships/footer" Target="footer3307.xml"/><Relationship Id="rId1110" Type="http://schemas.openxmlformats.org/officeDocument/2006/relationships/footer" Target="footer3310.xml"/><Relationship Id="rId1111" Type="http://schemas.openxmlformats.org/officeDocument/2006/relationships/footer" Target="footer3313.xml"/><Relationship Id="rId1112" Type="http://schemas.openxmlformats.org/officeDocument/2006/relationships/footer" Target="footer3316.xml"/><Relationship Id="rId1113" Type="http://schemas.openxmlformats.org/officeDocument/2006/relationships/footer" Target="footer3319.xml"/><Relationship Id="rId1114" Type="http://schemas.openxmlformats.org/officeDocument/2006/relationships/footer" Target="footer3322.xml"/><Relationship Id="rId1115" Type="http://schemas.openxmlformats.org/officeDocument/2006/relationships/footer" Target="footer3325.xml"/><Relationship Id="rId1116" Type="http://schemas.openxmlformats.org/officeDocument/2006/relationships/footer" Target="footer3328.xml"/><Relationship Id="rId1117" Type="http://schemas.openxmlformats.org/officeDocument/2006/relationships/footer" Target="footer3331.xml"/><Relationship Id="rId1118" Type="http://schemas.openxmlformats.org/officeDocument/2006/relationships/footer" Target="footer3334.xml"/><Relationship Id="rId1119" Type="http://schemas.openxmlformats.org/officeDocument/2006/relationships/footer" Target="footer3337.xml"/><Relationship Id="rId1120" Type="http://schemas.openxmlformats.org/officeDocument/2006/relationships/footer" Target="footer3340.xml"/><Relationship Id="rId1121" Type="http://schemas.openxmlformats.org/officeDocument/2006/relationships/footer" Target="footer3343.xml"/><Relationship Id="rId1122" Type="http://schemas.openxmlformats.org/officeDocument/2006/relationships/footer" Target="footer3346.xml"/><Relationship Id="rId1123" Type="http://schemas.openxmlformats.org/officeDocument/2006/relationships/footer" Target="footer3349.xml"/><Relationship Id="rId1124" Type="http://schemas.openxmlformats.org/officeDocument/2006/relationships/footer" Target="footer3352.xml"/><Relationship Id="rId1125" Type="http://schemas.openxmlformats.org/officeDocument/2006/relationships/footer" Target="footer3355.xml"/><Relationship Id="rId1126" Type="http://schemas.openxmlformats.org/officeDocument/2006/relationships/footer" Target="footer3358.xml"/><Relationship Id="rId1127" Type="http://schemas.openxmlformats.org/officeDocument/2006/relationships/footer" Target="footer3361.xml"/><Relationship Id="rId1128" Type="http://schemas.openxmlformats.org/officeDocument/2006/relationships/footer" Target="footer3364.xml"/><Relationship Id="rId1129" Type="http://schemas.openxmlformats.org/officeDocument/2006/relationships/footer" Target="footer3367.xml"/><Relationship Id="rId1130" Type="http://schemas.openxmlformats.org/officeDocument/2006/relationships/footer" Target="footer3370.xml"/><Relationship Id="rId1131" Type="http://schemas.openxmlformats.org/officeDocument/2006/relationships/footer" Target="footer3373.xml"/><Relationship Id="rId1132" Type="http://schemas.openxmlformats.org/officeDocument/2006/relationships/footer" Target="footer3376.xml"/><Relationship Id="rId1133" Type="http://schemas.openxmlformats.org/officeDocument/2006/relationships/footer" Target="footer3379.xml"/><Relationship Id="rId1134" Type="http://schemas.openxmlformats.org/officeDocument/2006/relationships/footer" Target="footer3382.xml"/><Relationship Id="rId1135" Type="http://schemas.openxmlformats.org/officeDocument/2006/relationships/footer" Target="footer3385.xml"/><Relationship Id="rId1136" Type="http://schemas.openxmlformats.org/officeDocument/2006/relationships/footer" Target="footer3388.xml"/><Relationship Id="rId1137" Type="http://schemas.openxmlformats.org/officeDocument/2006/relationships/footer" Target="footer3391.xml"/><Relationship Id="rId1138" Type="http://schemas.openxmlformats.org/officeDocument/2006/relationships/footer" Target="footer3394.xml"/><Relationship Id="rId1139" Type="http://schemas.openxmlformats.org/officeDocument/2006/relationships/footer" Target="footer3397.xml"/><Relationship Id="rId1140" Type="http://schemas.openxmlformats.org/officeDocument/2006/relationships/footer" Target="footer3400.xml"/><Relationship Id="rId1141" Type="http://schemas.openxmlformats.org/officeDocument/2006/relationships/footer" Target="footer3403.xml"/><Relationship Id="rId1142" Type="http://schemas.openxmlformats.org/officeDocument/2006/relationships/footer" Target="footer3406.xml"/><Relationship Id="rId1143" Type="http://schemas.openxmlformats.org/officeDocument/2006/relationships/footer" Target="footer3409.xml"/><Relationship Id="rId1144" Type="http://schemas.openxmlformats.org/officeDocument/2006/relationships/footer" Target="footer3412.xml"/><Relationship Id="rId1145" Type="http://schemas.openxmlformats.org/officeDocument/2006/relationships/footer" Target="footer3415.xml"/><Relationship Id="rId1146" Type="http://schemas.openxmlformats.org/officeDocument/2006/relationships/footer" Target="footer3418.xml"/><Relationship Id="rId1147" Type="http://schemas.openxmlformats.org/officeDocument/2006/relationships/footer" Target="footer3421.xml"/><Relationship Id="rId1148" Type="http://schemas.openxmlformats.org/officeDocument/2006/relationships/footer" Target="footer3424.xml"/><Relationship Id="rId1149" Type="http://schemas.openxmlformats.org/officeDocument/2006/relationships/footer" Target="footer3427.xml"/><Relationship Id="rId1150" Type="http://schemas.openxmlformats.org/officeDocument/2006/relationships/footer" Target="footer3430.xml"/><Relationship Id="rId1151" Type="http://schemas.openxmlformats.org/officeDocument/2006/relationships/footer" Target="footer3433.xml"/><Relationship Id="rId1152" Type="http://schemas.openxmlformats.org/officeDocument/2006/relationships/footer" Target="footer3436.xml"/><Relationship Id="rId1153" Type="http://schemas.openxmlformats.org/officeDocument/2006/relationships/footer" Target="footer3439.xml"/><Relationship Id="rId1154" Type="http://schemas.openxmlformats.org/officeDocument/2006/relationships/footer" Target="footer3442.xml"/><Relationship Id="rId1155" Type="http://schemas.openxmlformats.org/officeDocument/2006/relationships/footer" Target="footer3445.xml"/><Relationship Id="rId1156" Type="http://schemas.openxmlformats.org/officeDocument/2006/relationships/footer" Target="footer3448.xml"/><Relationship Id="rId1157" Type="http://schemas.openxmlformats.org/officeDocument/2006/relationships/footer" Target="footer3451.xml"/><Relationship Id="rId1158" Type="http://schemas.openxmlformats.org/officeDocument/2006/relationships/footer" Target="footer3454.xml"/><Relationship Id="rId1159" Type="http://schemas.openxmlformats.org/officeDocument/2006/relationships/footer" Target="footer3457.xml"/><Relationship Id="rId1160" Type="http://schemas.openxmlformats.org/officeDocument/2006/relationships/footer" Target="footer3460.xml"/><Relationship Id="rId1161" Type="http://schemas.openxmlformats.org/officeDocument/2006/relationships/footer" Target="footer3463.xml"/><Relationship Id="rId1162" Type="http://schemas.openxmlformats.org/officeDocument/2006/relationships/footer" Target="footer3466.xml"/><Relationship Id="rId1163" Type="http://schemas.openxmlformats.org/officeDocument/2006/relationships/footer" Target="footer3469.xml"/><Relationship Id="rId1164" Type="http://schemas.openxmlformats.org/officeDocument/2006/relationships/footer" Target="footer3472.xml"/><Relationship Id="rId1165" Type="http://schemas.openxmlformats.org/officeDocument/2006/relationships/footer" Target="footer3475.xml"/><Relationship Id="rId1166" Type="http://schemas.openxmlformats.org/officeDocument/2006/relationships/footer" Target="footer3478.xml"/><Relationship Id="rId1167" Type="http://schemas.openxmlformats.org/officeDocument/2006/relationships/footer" Target="footer3481.xml"/><Relationship Id="rId1168" Type="http://schemas.openxmlformats.org/officeDocument/2006/relationships/footer" Target="footer3484.xml"/><Relationship Id="rId1169" Type="http://schemas.openxmlformats.org/officeDocument/2006/relationships/footer" Target="footer3487.xml"/><Relationship Id="rId1170" Type="http://schemas.openxmlformats.org/officeDocument/2006/relationships/footer" Target="footer3490.xml"/><Relationship Id="rId1171" Type="http://schemas.openxmlformats.org/officeDocument/2006/relationships/footer" Target="footer3493.xml"/><Relationship Id="rId1172" Type="http://schemas.openxmlformats.org/officeDocument/2006/relationships/footer" Target="footer3496.xml"/><Relationship Id="rId1173" Type="http://schemas.openxmlformats.org/officeDocument/2006/relationships/footer" Target="footer3499.xml"/><Relationship Id="rId1174" Type="http://schemas.openxmlformats.org/officeDocument/2006/relationships/footer" Target="footer3502.xml"/><Relationship Id="rId1175" Type="http://schemas.openxmlformats.org/officeDocument/2006/relationships/footer" Target="footer3505.xml"/><Relationship Id="rId1176" Type="http://schemas.openxmlformats.org/officeDocument/2006/relationships/footer" Target="footer3508.xml"/><Relationship Id="rId1177" Type="http://schemas.openxmlformats.org/officeDocument/2006/relationships/footer" Target="footer3511.xml"/><Relationship Id="rId1178" Type="http://schemas.openxmlformats.org/officeDocument/2006/relationships/footer" Target="footer3514.xml"/><Relationship Id="rId1179" Type="http://schemas.openxmlformats.org/officeDocument/2006/relationships/footer" Target="footer3517.xml"/><Relationship Id="rId1180" Type="http://schemas.openxmlformats.org/officeDocument/2006/relationships/footer" Target="footer3520.xml"/><Relationship Id="rId1181" Type="http://schemas.openxmlformats.org/officeDocument/2006/relationships/footer" Target="footer3523.xml"/><Relationship Id="rId1182" Type="http://schemas.openxmlformats.org/officeDocument/2006/relationships/footer" Target="footer3526.xml"/><Relationship Id="rId1183" Type="http://schemas.openxmlformats.org/officeDocument/2006/relationships/footer" Target="footer3529.xml"/><Relationship Id="rId1184" Type="http://schemas.openxmlformats.org/officeDocument/2006/relationships/footer" Target="footer3532.xml"/><Relationship Id="rId1185" Type="http://schemas.openxmlformats.org/officeDocument/2006/relationships/footer" Target="footer3535.xml"/><Relationship Id="rId1186" Type="http://schemas.openxmlformats.org/officeDocument/2006/relationships/footer" Target="footer3538.xml"/><Relationship Id="rId1187" Type="http://schemas.openxmlformats.org/officeDocument/2006/relationships/footer" Target="footer3541.xml"/><Relationship Id="rId1188" Type="http://schemas.openxmlformats.org/officeDocument/2006/relationships/footer" Target="footer3544.xml"/><Relationship Id="rId1189" Type="http://schemas.openxmlformats.org/officeDocument/2006/relationships/footer" Target="footer3547.xml"/><Relationship Id="rId1190" Type="http://schemas.openxmlformats.org/officeDocument/2006/relationships/footer" Target="footer3550.xml"/><Relationship Id="rId1191" Type="http://schemas.openxmlformats.org/officeDocument/2006/relationships/footer" Target="footer3553.xml"/><Relationship Id="rId1192" Type="http://schemas.openxmlformats.org/officeDocument/2006/relationships/footer" Target="footer3556.xml"/><Relationship Id="rId1193" Type="http://schemas.openxmlformats.org/officeDocument/2006/relationships/footer" Target="footer3559.xml"/><Relationship Id="rId1194" Type="http://schemas.openxmlformats.org/officeDocument/2006/relationships/footer" Target="footer3562.xml"/><Relationship Id="rId1195" Type="http://schemas.openxmlformats.org/officeDocument/2006/relationships/footer" Target="footer3565.xml"/><Relationship Id="rId1196" Type="http://schemas.openxmlformats.org/officeDocument/2006/relationships/footer" Target="footer3568.xml"/><Relationship Id="rId1197" Type="http://schemas.openxmlformats.org/officeDocument/2006/relationships/footer" Target="footer3571.xml"/><Relationship Id="rId1198" Type="http://schemas.openxmlformats.org/officeDocument/2006/relationships/footer" Target="footer3574.xml"/><Relationship Id="rId1199" Type="http://schemas.openxmlformats.org/officeDocument/2006/relationships/footer" Target="footer3577.xml"/><Relationship Id="rId1200" Type="http://schemas.openxmlformats.org/officeDocument/2006/relationships/footer" Target="footer3580.xml"/><Relationship Id="rId1201" Type="http://schemas.openxmlformats.org/officeDocument/2006/relationships/footer" Target="footer3583.xml"/><Relationship Id="rId1202" Type="http://schemas.openxmlformats.org/officeDocument/2006/relationships/footer" Target="footer3586.xml"/><Relationship Id="rId1203" Type="http://schemas.openxmlformats.org/officeDocument/2006/relationships/footer" Target="footer3589.xml"/><Relationship Id="rId1204" Type="http://schemas.openxmlformats.org/officeDocument/2006/relationships/footer" Target="footer3592.xml"/><Relationship Id="rId1205" Type="http://schemas.openxmlformats.org/officeDocument/2006/relationships/footer" Target="footer3595.xml"/><Relationship Id="rId1206" Type="http://schemas.openxmlformats.org/officeDocument/2006/relationships/footer" Target="footer3598.xml"/><Relationship Id="rId1207" Type="http://schemas.openxmlformats.org/officeDocument/2006/relationships/footer" Target="footer3601.xml"/><Relationship Id="rId1208" Type="http://schemas.openxmlformats.org/officeDocument/2006/relationships/footer" Target="footer3604.xml"/><Relationship Id="rId1209" Type="http://schemas.openxmlformats.org/officeDocument/2006/relationships/footer" Target="footer3607.xml"/><Relationship Id="rId1210" Type="http://schemas.openxmlformats.org/officeDocument/2006/relationships/footer" Target="footer3610.xml"/><Relationship Id="rId1211" Type="http://schemas.openxmlformats.org/officeDocument/2006/relationships/footer" Target="footer3613.xml"/><Relationship Id="rId1212" Type="http://schemas.openxmlformats.org/officeDocument/2006/relationships/footer" Target="footer3616.xml"/><Relationship Id="rId1213" Type="http://schemas.openxmlformats.org/officeDocument/2006/relationships/footer" Target="footer3619.xml"/><Relationship Id="rId1214" Type="http://schemas.openxmlformats.org/officeDocument/2006/relationships/footer" Target="footer3622.xml"/><Relationship Id="rId1215" Type="http://schemas.openxmlformats.org/officeDocument/2006/relationships/footer" Target="footer3625.xml"/><Relationship Id="rId1216" Type="http://schemas.openxmlformats.org/officeDocument/2006/relationships/footer" Target="footer3628.xml"/><Relationship Id="rId1217" Type="http://schemas.openxmlformats.org/officeDocument/2006/relationships/footer" Target="footer3631.xml"/><Relationship Id="rId1218" Type="http://schemas.openxmlformats.org/officeDocument/2006/relationships/footer" Target="footer3634.xml"/><Relationship Id="rId1219" Type="http://schemas.openxmlformats.org/officeDocument/2006/relationships/footer" Target="footer3637.xml"/><Relationship Id="rId1220" Type="http://schemas.openxmlformats.org/officeDocument/2006/relationships/footer" Target="footer3640.xml"/><Relationship Id="rId1221" Type="http://schemas.openxmlformats.org/officeDocument/2006/relationships/footer" Target="footer3643.xml"/><Relationship Id="rId1222" Type="http://schemas.openxmlformats.org/officeDocument/2006/relationships/footer" Target="footer3646.xml"/><Relationship Id="rId1223" Type="http://schemas.openxmlformats.org/officeDocument/2006/relationships/footer" Target="footer3649.xml"/><Relationship Id="rId1224" Type="http://schemas.openxmlformats.org/officeDocument/2006/relationships/footer" Target="footer3652.xml"/><Relationship Id="rId1225" Type="http://schemas.openxmlformats.org/officeDocument/2006/relationships/footer" Target="footer3655.xml"/><Relationship Id="rId1226" Type="http://schemas.openxmlformats.org/officeDocument/2006/relationships/footer" Target="footer3658.xml"/><Relationship Id="rId1227" Type="http://schemas.openxmlformats.org/officeDocument/2006/relationships/footer" Target="footer3661.xml"/><Relationship Id="rId1228" Type="http://schemas.openxmlformats.org/officeDocument/2006/relationships/footer" Target="footer3664.xml"/><Relationship Id="rId1229" Type="http://schemas.openxmlformats.org/officeDocument/2006/relationships/footer" Target="footer3667.xml"/><Relationship Id="rId1230" Type="http://schemas.openxmlformats.org/officeDocument/2006/relationships/footer" Target="footer3670.xml"/><Relationship Id="rId1231" Type="http://schemas.openxmlformats.org/officeDocument/2006/relationships/footer" Target="footer3673.xml"/><Relationship Id="rId1232" Type="http://schemas.openxmlformats.org/officeDocument/2006/relationships/footer" Target="footer3676.xml"/><Relationship Id="rId1233" Type="http://schemas.openxmlformats.org/officeDocument/2006/relationships/footer" Target="footer3679.xml"/><Relationship Id="rId1234" Type="http://schemas.openxmlformats.org/officeDocument/2006/relationships/footer" Target="footer3682.xml"/><Relationship Id="rId1235" Type="http://schemas.openxmlformats.org/officeDocument/2006/relationships/footer" Target="footer3685.xml"/><Relationship Id="rId1236" Type="http://schemas.openxmlformats.org/officeDocument/2006/relationships/footer" Target="footer3688.xml"/><Relationship Id="rId1237" Type="http://schemas.openxmlformats.org/officeDocument/2006/relationships/footer" Target="footer3691.xml"/><Relationship Id="rId1238" Type="http://schemas.openxmlformats.org/officeDocument/2006/relationships/footer" Target="footer3694.xml"/><Relationship Id="rId1239" Type="http://schemas.openxmlformats.org/officeDocument/2006/relationships/footer" Target="footer3697.xml"/><Relationship Id="rId1240" Type="http://schemas.openxmlformats.org/officeDocument/2006/relationships/footer" Target="footer3700.xml"/><Relationship Id="rId1241" Type="http://schemas.openxmlformats.org/officeDocument/2006/relationships/footer" Target="footer3703.xml"/><Relationship Id="rId1242" Type="http://schemas.openxmlformats.org/officeDocument/2006/relationships/footer" Target="footer3706.xml"/><Relationship Id="rId1243" Type="http://schemas.openxmlformats.org/officeDocument/2006/relationships/footer" Target="footer3709.xml"/><Relationship Id="rId1244" Type="http://schemas.openxmlformats.org/officeDocument/2006/relationships/footer" Target="footer3712.xml"/><Relationship Id="rId1245" Type="http://schemas.openxmlformats.org/officeDocument/2006/relationships/footer" Target="footer3715.xml"/><Relationship Id="rId1246" Type="http://schemas.openxmlformats.org/officeDocument/2006/relationships/footer" Target="footer3718.xml"/><Relationship Id="rId1247" Type="http://schemas.openxmlformats.org/officeDocument/2006/relationships/footer" Target="footer3721.xml"/><Relationship Id="rId1248" Type="http://schemas.openxmlformats.org/officeDocument/2006/relationships/footer" Target="footer3724.xml"/><Relationship Id="rId1249" Type="http://schemas.openxmlformats.org/officeDocument/2006/relationships/footer" Target="footer3727.xml"/><Relationship Id="rId1250" Type="http://schemas.openxmlformats.org/officeDocument/2006/relationships/footer" Target="footer3730.xml"/><Relationship Id="rId1251" Type="http://schemas.openxmlformats.org/officeDocument/2006/relationships/footer" Target="footer3733.xml"/><Relationship Id="rId1252" Type="http://schemas.openxmlformats.org/officeDocument/2006/relationships/footer" Target="footer3736.xml"/><Relationship Id="rId1253" Type="http://schemas.openxmlformats.org/officeDocument/2006/relationships/footer" Target="footer3739.xml"/><Relationship Id="rId1254" Type="http://schemas.openxmlformats.org/officeDocument/2006/relationships/footer" Target="footer3742.xml"/><Relationship Id="rId1255" Type="http://schemas.openxmlformats.org/officeDocument/2006/relationships/footer" Target="footer3745.xml"/><Relationship Id="rId1256" Type="http://schemas.openxmlformats.org/officeDocument/2006/relationships/footer" Target="footer3748.xml"/><Relationship Id="rId1257" Type="http://schemas.openxmlformats.org/officeDocument/2006/relationships/footer" Target="footer3751.xml"/><Relationship Id="rId1258" Type="http://schemas.openxmlformats.org/officeDocument/2006/relationships/footer" Target="footer3754.xml"/><Relationship Id="rId1259" Type="http://schemas.openxmlformats.org/officeDocument/2006/relationships/footer" Target="footer3757.xml"/><Relationship Id="rId1260" Type="http://schemas.openxmlformats.org/officeDocument/2006/relationships/footer" Target="footer3760.xml"/><Relationship Id="rId1261" Type="http://schemas.openxmlformats.org/officeDocument/2006/relationships/footer" Target="footer3763.xml"/><Relationship Id="rId1262" Type="http://schemas.openxmlformats.org/officeDocument/2006/relationships/footer" Target="footer3766.xml"/><Relationship Id="rId1263" Type="http://schemas.openxmlformats.org/officeDocument/2006/relationships/footer" Target="footer3769.xml"/><Relationship Id="rId1264" Type="http://schemas.openxmlformats.org/officeDocument/2006/relationships/footer" Target="footer3772.xml"/><Relationship Id="rId1265" Type="http://schemas.openxmlformats.org/officeDocument/2006/relationships/footer" Target="footer3775.xml"/><Relationship Id="rId1266" Type="http://schemas.openxmlformats.org/officeDocument/2006/relationships/footer" Target="footer3778.xml"/><Relationship Id="rId1267" Type="http://schemas.openxmlformats.org/officeDocument/2006/relationships/footer" Target="footer3781.xml"/><Relationship Id="rId1268" Type="http://schemas.openxmlformats.org/officeDocument/2006/relationships/footer" Target="footer3784.xml"/><Relationship Id="rId1269" Type="http://schemas.openxmlformats.org/officeDocument/2006/relationships/footer" Target="footer3787.xml"/><Relationship Id="rId1270" Type="http://schemas.openxmlformats.org/officeDocument/2006/relationships/footer" Target="footer3790.xml"/><Relationship Id="rId1271" Type="http://schemas.openxmlformats.org/officeDocument/2006/relationships/footer" Target="footer3793.xml"/><Relationship Id="rId1272" Type="http://schemas.openxmlformats.org/officeDocument/2006/relationships/footer" Target="footer3796.xml"/><Relationship Id="rId1273" Type="http://schemas.openxmlformats.org/officeDocument/2006/relationships/footer" Target="footer3799.xml"/><Relationship Id="rId1274" Type="http://schemas.openxmlformats.org/officeDocument/2006/relationships/footer" Target="footer3802.xml"/><Relationship Id="rId1275" Type="http://schemas.openxmlformats.org/officeDocument/2006/relationships/footer" Target="footer3805.xml"/><Relationship Id="rId1276" Type="http://schemas.openxmlformats.org/officeDocument/2006/relationships/footer" Target="footer3808.xml"/><Relationship Id="rId1277" Type="http://schemas.openxmlformats.org/officeDocument/2006/relationships/footer" Target="footer3811.xml"/><Relationship Id="rId1278" Type="http://schemas.openxmlformats.org/officeDocument/2006/relationships/footer" Target="footer3814.xml"/><Relationship Id="rId1279" Type="http://schemas.openxmlformats.org/officeDocument/2006/relationships/footer" Target="footer3817.xml"/><Relationship Id="rId1280" Type="http://schemas.openxmlformats.org/officeDocument/2006/relationships/footer" Target="footer3820.xml"/><Relationship Id="rId1281" Type="http://schemas.openxmlformats.org/officeDocument/2006/relationships/footer" Target="footer3823.xml"/><Relationship Id="rId1282" Type="http://schemas.openxmlformats.org/officeDocument/2006/relationships/footer" Target="footer3826.xml"/><Relationship Id="rId1283" Type="http://schemas.openxmlformats.org/officeDocument/2006/relationships/footer" Target="footer3829.xml"/><Relationship Id="rId1284" Type="http://schemas.openxmlformats.org/officeDocument/2006/relationships/footer" Target="footer3832.xml"/><Relationship Id="rId1285" Type="http://schemas.openxmlformats.org/officeDocument/2006/relationships/footer" Target="footer3835.xml"/><Relationship Id="rId1286" Type="http://schemas.openxmlformats.org/officeDocument/2006/relationships/footer" Target="footer3838.xml"/><Relationship Id="rId1287" Type="http://schemas.openxmlformats.org/officeDocument/2006/relationships/footer" Target="footer3841.xml"/><Relationship Id="rId1288" Type="http://schemas.openxmlformats.org/officeDocument/2006/relationships/footer" Target="footer3844.xml"/><Relationship Id="rId1289" Type="http://schemas.openxmlformats.org/officeDocument/2006/relationships/footer" Target="footer3847.xml"/><Relationship Id="rId1290" Type="http://schemas.openxmlformats.org/officeDocument/2006/relationships/footer" Target="footer3850.xml"/><Relationship Id="rId1291" Type="http://schemas.openxmlformats.org/officeDocument/2006/relationships/footer" Target="footer3853.xml"/><Relationship Id="rId1292" Type="http://schemas.openxmlformats.org/officeDocument/2006/relationships/footer" Target="footer3856.xml"/><Relationship Id="rId1293" Type="http://schemas.openxmlformats.org/officeDocument/2006/relationships/footer" Target="footer3859.xml"/><Relationship Id="rId1294" Type="http://schemas.openxmlformats.org/officeDocument/2006/relationships/footer" Target="footer3862.xml"/><Relationship Id="rId1295" Type="http://schemas.openxmlformats.org/officeDocument/2006/relationships/footer" Target="footer3865.xml"/><Relationship Id="rId1296" Type="http://schemas.openxmlformats.org/officeDocument/2006/relationships/footer" Target="footer3868.xml"/><Relationship Id="rId1297" Type="http://schemas.openxmlformats.org/officeDocument/2006/relationships/footer" Target="footer3871.xml"/><Relationship Id="rId1298" Type="http://schemas.openxmlformats.org/officeDocument/2006/relationships/footer" Target="footer3874.xml"/><Relationship Id="rId1299" Type="http://schemas.openxmlformats.org/officeDocument/2006/relationships/footer" Target="footer3877.xml"/><Relationship Id="rId1300" Type="http://schemas.openxmlformats.org/officeDocument/2006/relationships/footer" Target="footer3880.xml"/><Relationship Id="rId1301" Type="http://schemas.openxmlformats.org/officeDocument/2006/relationships/footer" Target="footer3883.xml"/><Relationship Id="rId1302" Type="http://schemas.openxmlformats.org/officeDocument/2006/relationships/footer" Target="footer3886.xml"/><Relationship Id="rId1303" Type="http://schemas.openxmlformats.org/officeDocument/2006/relationships/footer" Target="footer3889.xml"/><Relationship Id="rId1304" Type="http://schemas.openxmlformats.org/officeDocument/2006/relationships/footer" Target="footer3892.xml"/><Relationship Id="rId1305" Type="http://schemas.openxmlformats.org/officeDocument/2006/relationships/footer" Target="footer3895.xml"/><Relationship Id="rId1306" Type="http://schemas.openxmlformats.org/officeDocument/2006/relationships/footer" Target="footer3898.xml"/><Relationship Id="rId1307" Type="http://schemas.openxmlformats.org/officeDocument/2006/relationships/footer" Target="footer3901.xml"/><Relationship Id="rId1308" Type="http://schemas.openxmlformats.org/officeDocument/2006/relationships/footer" Target="footer3904.xml"/><Relationship Id="rId1309" Type="http://schemas.openxmlformats.org/officeDocument/2006/relationships/footer" Target="footer3907.xml"/><Relationship Id="rId1310" Type="http://schemas.openxmlformats.org/officeDocument/2006/relationships/footer" Target="footer3910.xml"/><Relationship Id="rId1311" Type="http://schemas.openxmlformats.org/officeDocument/2006/relationships/footer" Target="footer3913.xml"/><Relationship Id="rId1312" Type="http://schemas.openxmlformats.org/officeDocument/2006/relationships/footer" Target="footer3916.xml"/><Relationship Id="rId1313" Type="http://schemas.openxmlformats.org/officeDocument/2006/relationships/footer" Target="footer3919.xml"/><Relationship Id="rId1314" Type="http://schemas.openxmlformats.org/officeDocument/2006/relationships/footer" Target="footer3922.xml"/><Relationship Id="rId1315" Type="http://schemas.openxmlformats.org/officeDocument/2006/relationships/footer" Target="footer3925.xml"/><Relationship Id="rId1316" Type="http://schemas.openxmlformats.org/officeDocument/2006/relationships/footer" Target="footer3928.xml"/><Relationship Id="rId1317" Type="http://schemas.openxmlformats.org/officeDocument/2006/relationships/footer" Target="footer3931.xml"/><Relationship Id="rId1318" Type="http://schemas.openxmlformats.org/officeDocument/2006/relationships/footer" Target="footer3934.xml"/><Relationship Id="rId1319" Type="http://schemas.openxmlformats.org/officeDocument/2006/relationships/footer" Target="footer3937.xml"/><Relationship Id="rId1320" Type="http://schemas.openxmlformats.org/officeDocument/2006/relationships/footer" Target="footer3940.xml"/><Relationship Id="rId1321" Type="http://schemas.openxmlformats.org/officeDocument/2006/relationships/footer" Target="footer3943.xml"/><Relationship Id="rId1322" Type="http://schemas.openxmlformats.org/officeDocument/2006/relationships/footer" Target="footer3946.xml"/><Relationship Id="rId1323" Type="http://schemas.openxmlformats.org/officeDocument/2006/relationships/footer" Target="footer3949.xml"/><Relationship Id="rId1324" Type="http://schemas.openxmlformats.org/officeDocument/2006/relationships/footer" Target="footer3952.xml"/><Relationship Id="rId1325" Type="http://schemas.openxmlformats.org/officeDocument/2006/relationships/footer" Target="footer3955.xml"/><Relationship Id="rId1326" Type="http://schemas.openxmlformats.org/officeDocument/2006/relationships/footer" Target="footer3958.xml"/><Relationship Id="rId1327" Type="http://schemas.openxmlformats.org/officeDocument/2006/relationships/footer" Target="footer3961.xml"/><Relationship Id="rId1328" Type="http://schemas.openxmlformats.org/officeDocument/2006/relationships/footer" Target="footer3964.xml"/><Relationship Id="rId1329" Type="http://schemas.openxmlformats.org/officeDocument/2006/relationships/footer" Target="footer3967.xml"/><Relationship Id="rId1330" Type="http://schemas.openxmlformats.org/officeDocument/2006/relationships/footer" Target="footer3970.xml"/><Relationship Id="rId1331" Type="http://schemas.openxmlformats.org/officeDocument/2006/relationships/footer" Target="footer3973.xml"/><Relationship Id="rId1332" Type="http://schemas.openxmlformats.org/officeDocument/2006/relationships/footer" Target="footer3976.xml"/><Relationship Id="rId1333" Type="http://schemas.openxmlformats.org/officeDocument/2006/relationships/footer" Target="footer3979.xml"/><Relationship Id="rId1334" Type="http://schemas.openxmlformats.org/officeDocument/2006/relationships/footer" Target="footer3982.xml"/><Relationship Id="rId1335" Type="http://schemas.openxmlformats.org/officeDocument/2006/relationships/footer" Target="footer3985.xml"/><Relationship Id="rId1336" Type="http://schemas.openxmlformats.org/officeDocument/2006/relationships/footer" Target="footer3988.xml"/><Relationship Id="rId1337" Type="http://schemas.openxmlformats.org/officeDocument/2006/relationships/footer" Target="footer3991.xml"/><Relationship Id="rId1338" Type="http://schemas.openxmlformats.org/officeDocument/2006/relationships/footer" Target="footer3994.xml"/><Relationship Id="rId1339" Type="http://schemas.openxmlformats.org/officeDocument/2006/relationships/footer" Target="footer3997.xml"/><Relationship Id="rId1340" Type="http://schemas.openxmlformats.org/officeDocument/2006/relationships/footer" Target="footer4000.xml"/><Relationship Id="rId1341" Type="http://schemas.openxmlformats.org/officeDocument/2006/relationships/footer" Target="footer4003.xml"/><Relationship Id="rId1342" Type="http://schemas.openxmlformats.org/officeDocument/2006/relationships/footer" Target="footer4006.xml"/><Relationship Id="rId1343" Type="http://schemas.openxmlformats.org/officeDocument/2006/relationships/footer" Target="footer4009.xml"/><Relationship Id="rId1344" Type="http://schemas.openxmlformats.org/officeDocument/2006/relationships/footer" Target="footer4012.xml"/><Relationship Id="rId1345" Type="http://schemas.openxmlformats.org/officeDocument/2006/relationships/footer" Target="footer4015.xml"/><Relationship Id="rId1346" Type="http://schemas.openxmlformats.org/officeDocument/2006/relationships/footer" Target="footer4018.xml"/><Relationship Id="rId1347" Type="http://schemas.openxmlformats.org/officeDocument/2006/relationships/footer" Target="footer4021.xml"/><Relationship Id="rId1348" Type="http://schemas.openxmlformats.org/officeDocument/2006/relationships/footer" Target="footer4024.xml"/><Relationship Id="rId1349" Type="http://schemas.openxmlformats.org/officeDocument/2006/relationships/footer" Target="footer4027.xml"/><Relationship Id="rId1350" Type="http://schemas.openxmlformats.org/officeDocument/2006/relationships/footer" Target="footer4030.xml"/><Relationship Id="rId1351" Type="http://schemas.openxmlformats.org/officeDocument/2006/relationships/footer" Target="footer4033.xml"/><Relationship Id="rId1352" Type="http://schemas.openxmlformats.org/officeDocument/2006/relationships/footer" Target="footer4036.xml"/><Relationship Id="rId1353" Type="http://schemas.openxmlformats.org/officeDocument/2006/relationships/footer" Target="footer4039.xml"/><Relationship Id="rId1354" Type="http://schemas.openxmlformats.org/officeDocument/2006/relationships/footer" Target="footer4042.xml"/><Relationship Id="rId1355" Type="http://schemas.openxmlformats.org/officeDocument/2006/relationships/footer" Target="footer4045.xml"/><Relationship Id="rId1356" Type="http://schemas.openxmlformats.org/officeDocument/2006/relationships/footer" Target="footer4048.xml"/><Relationship Id="rId1357" Type="http://schemas.openxmlformats.org/officeDocument/2006/relationships/footer" Target="footer4051.xml"/><Relationship Id="rId1358" Type="http://schemas.openxmlformats.org/officeDocument/2006/relationships/footer" Target="footer4054.xml"/><Relationship Id="rId1359" Type="http://schemas.openxmlformats.org/officeDocument/2006/relationships/footer" Target="footer4057.xml"/><Relationship Id="rId1360" Type="http://schemas.openxmlformats.org/officeDocument/2006/relationships/footer" Target="footer4060.xml"/><Relationship Id="rId1361" Type="http://schemas.openxmlformats.org/officeDocument/2006/relationships/footer" Target="footer4063.xml"/><Relationship Id="rId1362" Type="http://schemas.openxmlformats.org/officeDocument/2006/relationships/footer" Target="footer4066.xml"/><Relationship Id="rId1363" Type="http://schemas.openxmlformats.org/officeDocument/2006/relationships/footer" Target="footer4069.xml"/><Relationship Id="rId1364" Type="http://schemas.openxmlformats.org/officeDocument/2006/relationships/footer" Target="footer4072.xml"/><Relationship Id="rId1365" Type="http://schemas.openxmlformats.org/officeDocument/2006/relationships/footer" Target="footer4075.xml"/><Relationship Id="rId1366" Type="http://schemas.openxmlformats.org/officeDocument/2006/relationships/footer" Target="footer4078.xml"/><Relationship Id="rId1367" Type="http://schemas.openxmlformats.org/officeDocument/2006/relationships/footer" Target="footer4081.xml"/><Relationship Id="rId1368" Type="http://schemas.openxmlformats.org/officeDocument/2006/relationships/footer" Target="footer4084.xml"/><Relationship Id="rId1369" Type="http://schemas.openxmlformats.org/officeDocument/2006/relationships/footer" Target="footer4087.xml"/><Relationship Id="rId1370" Type="http://schemas.openxmlformats.org/officeDocument/2006/relationships/footer" Target="footer4090.xml"/><Relationship Id="rId1371" Type="http://schemas.openxmlformats.org/officeDocument/2006/relationships/footer" Target="footer4093.xml"/><Relationship Id="rId1372" Type="http://schemas.openxmlformats.org/officeDocument/2006/relationships/footer" Target="footer4096.xml"/><Relationship Id="rId1373" Type="http://schemas.openxmlformats.org/officeDocument/2006/relationships/footer" Target="footer4099.xml"/><Relationship Id="rId1374" Type="http://schemas.openxmlformats.org/officeDocument/2006/relationships/footer" Target="footer4102.xml"/><Relationship Id="rId1375" Type="http://schemas.openxmlformats.org/officeDocument/2006/relationships/footer" Target="footer4105.xml"/><Relationship Id="rId1376" Type="http://schemas.openxmlformats.org/officeDocument/2006/relationships/footer" Target="footer4108.xml"/><Relationship Id="rId1377" Type="http://schemas.openxmlformats.org/officeDocument/2006/relationships/footer" Target="footer4111.xml"/><Relationship Id="rId1378" Type="http://schemas.openxmlformats.org/officeDocument/2006/relationships/footer" Target="footer4114.xml"/><Relationship Id="rId1379" Type="http://schemas.openxmlformats.org/officeDocument/2006/relationships/footer" Target="footer4117.xml"/><Relationship Id="rId1380" Type="http://schemas.openxmlformats.org/officeDocument/2006/relationships/footer" Target="footer4120.xml"/><Relationship Id="rId1381" Type="http://schemas.openxmlformats.org/officeDocument/2006/relationships/footer" Target="footer4123.xml"/><Relationship Id="rId1382" Type="http://schemas.openxmlformats.org/officeDocument/2006/relationships/footer" Target="footer4126.xml"/><Relationship Id="rId1383" Type="http://schemas.openxmlformats.org/officeDocument/2006/relationships/footer" Target="footer4129.xml"/><Relationship Id="rId1384" Type="http://schemas.openxmlformats.org/officeDocument/2006/relationships/footer" Target="footer4132.xml"/><Relationship Id="rId1385" Type="http://schemas.openxmlformats.org/officeDocument/2006/relationships/footer" Target="footer4135.xml"/><Relationship Id="rId1386" Type="http://schemas.openxmlformats.org/officeDocument/2006/relationships/footer" Target="footer4138.xml"/><Relationship Id="rId1387" Type="http://schemas.openxmlformats.org/officeDocument/2006/relationships/footer" Target="footer4141.xml"/><Relationship Id="rId1388" Type="http://schemas.openxmlformats.org/officeDocument/2006/relationships/footer" Target="footer4144.xml"/><Relationship Id="rId1389" Type="http://schemas.openxmlformats.org/officeDocument/2006/relationships/footer" Target="footer4147.xml"/><Relationship Id="rId1390" Type="http://schemas.openxmlformats.org/officeDocument/2006/relationships/footer" Target="footer4150.xml"/><Relationship Id="rId1391" Type="http://schemas.openxmlformats.org/officeDocument/2006/relationships/footer" Target="footer4153.xml"/><Relationship Id="rId1392" Type="http://schemas.openxmlformats.org/officeDocument/2006/relationships/footer" Target="footer4156.xml"/><Relationship Id="rId1393" Type="http://schemas.openxmlformats.org/officeDocument/2006/relationships/footer" Target="footer4159.xml"/><Relationship Id="rId1394" Type="http://schemas.openxmlformats.org/officeDocument/2006/relationships/footer" Target="footer4162.xml"/><Relationship Id="rId1395" Type="http://schemas.openxmlformats.org/officeDocument/2006/relationships/footer" Target="footer4165.xml"/><Relationship Id="rId1396" Type="http://schemas.openxmlformats.org/officeDocument/2006/relationships/footer" Target="footer4168.xml"/><Relationship Id="rId1397" Type="http://schemas.openxmlformats.org/officeDocument/2006/relationships/footer" Target="footer4171.xml"/><Relationship Id="rId1398" Type="http://schemas.openxmlformats.org/officeDocument/2006/relationships/footer" Target="footer4174.xml"/><Relationship Id="rId1399" Type="http://schemas.openxmlformats.org/officeDocument/2006/relationships/footer" Target="footer4177.xml"/><Relationship Id="rId1400" Type="http://schemas.openxmlformats.org/officeDocument/2006/relationships/footer" Target="footer4180.xml"/><Relationship Id="rId1401" Type="http://schemas.openxmlformats.org/officeDocument/2006/relationships/footer" Target="footer4183.xml"/><Relationship Id="rId1402" Type="http://schemas.openxmlformats.org/officeDocument/2006/relationships/footer" Target="footer4186.xml"/><Relationship Id="rId1403" Type="http://schemas.openxmlformats.org/officeDocument/2006/relationships/footer" Target="footer4189.xml"/><Relationship Id="rId1404" Type="http://schemas.openxmlformats.org/officeDocument/2006/relationships/footer" Target="footer4192.xml"/><Relationship Id="rId1405" Type="http://schemas.openxmlformats.org/officeDocument/2006/relationships/footer" Target="footer4195.xml"/><Relationship Id="rId1406" Type="http://schemas.openxmlformats.org/officeDocument/2006/relationships/footer" Target="footer4198.xml"/><Relationship Id="rId1407" Type="http://schemas.openxmlformats.org/officeDocument/2006/relationships/footer" Target="footer4201.xml"/><Relationship Id="rId1408" Type="http://schemas.openxmlformats.org/officeDocument/2006/relationships/footer" Target="footer4204.xml"/><Relationship Id="rId1409" Type="http://schemas.openxmlformats.org/officeDocument/2006/relationships/footer" Target="footer4207.xml"/><Relationship Id="rId1410" Type="http://schemas.openxmlformats.org/officeDocument/2006/relationships/footer" Target="footer4210.xml"/><Relationship Id="rId1411" Type="http://schemas.openxmlformats.org/officeDocument/2006/relationships/footer" Target="footer4213.xml"/><Relationship Id="rId1412" Type="http://schemas.openxmlformats.org/officeDocument/2006/relationships/footer" Target="footer4216.xml"/><Relationship Id="rId1413" Type="http://schemas.openxmlformats.org/officeDocument/2006/relationships/footer" Target="footer4219.xml"/><Relationship Id="rId1414" Type="http://schemas.openxmlformats.org/officeDocument/2006/relationships/footer" Target="footer4222.xml"/><Relationship Id="rId1415" Type="http://schemas.openxmlformats.org/officeDocument/2006/relationships/footer" Target="footer4225.xml"/><Relationship Id="rId1416" Type="http://schemas.openxmlformats.org/officeDocument/2006/relationships/footer" Target="footer4228.xml"/><Relationship Id="rId1417" Type="http://schemas.openxmlformats.org/officeDocument/2006/relationships/footer" Target="footer4231.xml"/><Relationship Id="rId1418" Type="http://schemas.openxmlformats.org/officeDocument/2006/relationships/footer" Target="footer4234.xml"/><Relationship Id="rId1419" Type="http://schemas.openxmlformats.org/officeDocument/2006/relationships/footer" Target="footer4237.xml"/><Relationship Id="rId1420" Type="http://schemas.openxmlformats.org/officeDocument/2006/relationships/footer" Target="footer4240.xml"/><Relationship Id="rId1421" Type="http://schemas.openxmlformats.org/officeDocument/2006/relationships/footer" Target="footer4243.xml"/><Relationship Id="rId1422" Type="http://schemas.openxmlformats.org/officeDocument/2006/relationships/footer" Target="footer4246.xml"/><Relationship Id="rId1423" Type="http://schemas.openxmlformats.org/officeDocument/2006/relationships/footer" Target="footer4249.xml"/><Relationship Id="rId1424" Type="http://schemas.openxmlformats.org/officeDocument/2006/relationships/footer" Target="footer4252.xml"/><Relationship Id="rId1425" Type="http://schemas.openxmlformats.org/officeDocument/2006/relationships/footer" Target="footer4255.xml"/><Relationship Id="rId1426" Type="http://schemas.openxmlformats.org/officeDocument/2006/relationships/footer" Target="footer4258.xml"/><Relationship Id="rId1427" Type="http://schemas.openxmlformats.org/officeDocument/2006/relationships/footer" Target="footer4261.xml"/><Relationship Id="rId1428" Type="http://schemas.openxmlformats.org/officeDocument/2006/relationships/footer" Target="footer4264.xml"/><Relationship Id="rId1429" Type="http://schemas.openxmlformats.org/officeDocument/2006/relationships/footer" Target="footer4267.xml"/><Relationship Id="rId1430" Type="http://schemas.openxmlformats.org/officeDocument/2006/relationships/footer" Target="footer4270.xml"/><Relationship Id="rId1431" Type="http://schemas.openxmlformats.org/officeDocument/2006/relationships/footer" Target="footer4273.xml"/><Relationship Id="rId1432" Type="http://schemas.openxmlformats.org/officeDocument/2006/relationships/footer" Target="footer4276.xml"/><Relationship Id="rId1433" Type="http://schemas.openxmlformats.org/officeDocument/2006/relationships/footer" Target="footer4279.xml"/><Relationship Id="rId1434" Type="http://schemas.openxmlformats.org/officeDocument/2006/relationships/footer" Target="footer4282.xml"/><Relationship Id="rId1435" Type="http://schemas.openxmlformats.org/officeDocument/2006/relationships/footer" Target="footer4285.xml"/><Relationship Id="rId1436" Type="http://schemas.openxmlformats.org/officeDocument/2006/relationships/footer" Target="footer4288.xml"/><Relationship Id="rId1437" Type="http://schemas.openxmlformats.org/officeDocument/2006/relationships/footer" Target="footer4291.xml"/><Relationship Id="rId1438" Type="http://schemas.openxmlformats.org/officeDocument/2006/relationships/footer" Target="footer4294.xml"/><Relationship Id="rId1439" Type="http://schemas.openxmlformats.org/officeDocument/2006/relationships/footer" Target="footer4297.xml"/><Relationship Id="rId1440" Type="http://schemas.openxmlformats.org/officeDocument/2006/relationships/footer" Target="footer4300.xml"/><Relationship Id="rId1441" Type="http://schemas.openxmlformats.org/officeDocument/2006/relationships/footer" Target="footer4303.xml"/><Relationship Id="rId1442" Type="http://schemas.openxmlformats.org/officeDocument/2006/relationships/footer" Target="footer4306.xml"/><Relationship Id="rId1443" Type="http://schemas.openxmlformats.org/officeDocument/2006/relationships/footer" Target="footer4309.xml"/><Relationship Id="rId1444" Type="http://schemas.openxmlformats.org/officeDocument/2006/relationships/footer" Target="footer4312.xml"/><Relationship Id="rId1445" Type="http://schemas.openxmlformats.org/officeDocument/2006/relationships/footer" Target="footer4315.xml"/><Relationship Id="rId1446" Type="http://schemas.openxmlformats.org/officeDocument/2006/relationships/footer" Target="footer4318.xml"/><Relationship Id="rId1447" Type="http://schemas.openxmlformats.org/officeDocument/2006/relationships/footer" Target="footer4321.xml"/><Relationship Id="rId1448" Type="http://schemas.openxmlformats.org/officeDocument/2006/relationships/footer" Target="footer4324.xml"/><Relationship Id="rId1449" Type="http://schemas.openxmlformats.org/officeDocument/2006/relationships/footer" Target="footer4327.xml"/><Relationship Id="rId1450" Type="http://schemas.openxmlformats.org/officeDocument/2006/relationships/footer" Target="footer4330.xml"/><Relationship Id="rId1451" Type="http://schemas.openxmlformats.org/officeDocument/2006/relationships/footer" Target="footer4333.xml"/><Relationship Id="rId1452" Type="http://schemas.openxmlformats.org/officeDocument/2006/relationships/footer" Target="footer4336.xml"/><Relationship Id="rId1453" Type="http://schemas.openxmlformats.org/officeDocument/2006/relationships/footer" Target="footer4339.xml"/><Relationship Id="rId1454" Type="http://schemas.openxmlformats.org/officeDocument/2006/relationships/footer" Target="footer4342.xml"/><Relationship Id="rId1455" Type="http://schemas.openxmlformats.org/officeDocument/2006/relationships/footer" Target="footer4345.xml"/><Relationship Id="rId1456" Type="http://schemas.openxmlformats.org/officeDocument/2006/relationships/footer" Target="footer4348.xml"/><Relationship Id="rId1457" Type="http://schemas.openxmlformats.org/officeDocument/2006/relationships/footer" Target="footer4351.xml"/><Relationship Id="rId1458" Type="http://schemas.openxmlformats.org/officeDocument/2006/relationships/footer" Target="footer4354.xml"/><Relationship Id="rId1459" Type="http://schemas.openxmlformats.org/officeDocument/2006/relationships/footer" Target="footer4357.xml"/><Relationship Id="rId1460" Type="http://schemas.openxmlformats.org/officeDocument/2006/relationships/footer" Target="footer4360.xml"/><Relationship Id="rId1461" Type="http://schemas.openxmlformats.org/officeDocument/2006/relationships/footer" Target="footer4363.xml"/><Relationship Id="rId1462" Type="http://schemas.openxmlformats.org/officeDocument/2006/relationships/footer" Target="footer4366.xml"/><Relationship Id="rId1463" Type="http://schemas.openxmlformats.org/officeDocument/2006/relationships/footer" Target="footer4369.xml"/><Relationship Id="rId1464" Type="http://schemas.openxmlformats.org/officeDocument/2006/relationships/footer" Target="footer4372.xml"/><Relationship Id="rId1465" Type="http://schemas.openxmlformats.org/officeDocument/2006/relationships/footer" Target="footer4375.xml"/><Relationship Id="rId1466" Type="http://schemas.openxmlformats.org/officeDocument/2006/relationships/footer" Target="footer4378.xml"/><Relationship Id="rId1467" Type="http://schemas.openxmlformats.org/officeDocument/2006/relationships/footer" Target="footer4381.xml"/><Relationship Id="rId1468" Type="http://schemas.openxmlformats.org/officeDocument/2006/relationships/footer" Target="footer4384.xml"/><Relationship Id="rId1469" Type="http://schemas.openxmlformats.org/officeDocument/2006/relationships/footer" Target="footer4387.xml"/><Relationship Id="rId1470" Type="http://schemas.openxmlformats.org/officeDocument/2006/relationships/footer" Target="footer4390.xml"/><Relationship Id="rId1471" Type="http://schemas.openxmlformats.org/officeDocument/2006/relationships/footer" Target="footer4393.xml"/><Relationship Id="rId1472" Type="http://schemas.openxmlformats.org/officeDocument/2006/relationships/footer" Target="footer4396.xml"/><Relationship Id="rId1473" Type="http://schemas.openxmlformats.org/officeDocument/2006/relationships/footer" Target="footer4399.xml"/><Relationship Id="rId1474" Type="http://schemas.openxmlformats.org/officeDocument/2006/relationships/footer" Target="footer4402.xml"/><Relationship Id="rId1475" Type="http://schemas.openxmlformats.org/officeDocument/2006/relationships/footer" Target="footer4405.xml"/><Relationship Id="rId1476" Type="http://schemas.openxmlformats.org/officeDocument/2006/relationships/footer" Target="footer4408.xml"/><Relationship Id="rId1477" Type="http://schemas.openxmlformats.org/officeDocument/2006/relationships/footer" Target="footer4411.xml"/><Relationship Id="rId1478" Type="http://schemas.openxmlformats.org/officeDocument/2006/relationships/footer" Target="footer4414.xml"/><Relationship Id="rId1479" Type="http://schemas.openxmlformats.org/officeDocument/2006/relationships/footer" Target="footer4417.xml"/><Relationship Id="rId1480" Type="http://schemas.openxmlformats.org/officeDocument/2006/relationships/footer" Target="footer4420.xml"/><Relationship Id="rId1481" Type="http://schemas.openxmlformats.org/officeDocument/2006/relationships/footer" Target="footer4423.xml"/><Relationship Id="rId1482" Type="http://schemas.openxmlformats.org/officeDocument/2006/relationships/footer" Target="footer4426.xml"/><Relationship Id="rId1483" Type="http://schemas.openxmlformats.org/officeDocument/2006/relationships/footer" Target="footer4429.xml"/><Relationship Id="rId1484" Type="http://schemas.openxmlformats.org/officeDocument/2006/relationships/footer" Target="footer4432.xml"/><Relationship Id="rId1485" Type="http://schemas.openxmlformats.org/officeDocument/2006/relationships/footer" Target="footer4435.xml"/><Relationship Id="rId1486" Type="http://schemas.openxmlformats.org/officeDocument/2006/relationships/footer" Target="footer4438.xml"/><Relationship Id="rId1487" Type="http://schemas.openxmlformats.org/officeDocument/2006/relationships/footer" Target="footer4441.xml"/><Relationship Id="rId1488" Type="http://schemas.openxmlformats.org/officeDocument/2006/relationships/footer" Target="footer4444.xml"/><Relationship Id="rId1489" Type="http://schemas.openxmlformats.org/officeDocument/2006/relationships/footer" Target="footer4447.xml"/><Relationship Id="rId1490" Type="http://schemas.openxmlformats.org/officeDocument/2006/relationships/footer" Target="footer4450.xml"/><Relationship Id="rId1491" Type="http://schemas.openxmlformats.org/officeDocument/2006/relationships/footer" Target="footer4453.xml"/><Relationship Id="rId1492" Type="http://schemas.openxmlformats.org/officeDocument/2006/relationships/footer" Target="footer4456.xml"/><Relationship Id="rId1493" Type="http://schemas.openxmlformats.org/officeDocument/2006/relationships/footer" Target="footer4459.xml"/><Relationship Id="rId1494" Type="http://schemas.openxmlformats.org/officeDocument/2006/relationships/footer" Target="footer4462.xml"/><Relationship Id="rId1495" Type="http://schemas.openxmlformats.org/officeDocument/2006/relationships/footer" Target="footer4465.xml"/><Relationship Id="rId1496" Type="http://schemas.openxmlformats.org/officeDocument/2006/relationships/footer" Target="footer4468.xml"/><Relationship Id="rId1497" Type="http://schemas.openxmlformats.org/officeDocument/2006/relationships/footer" Target="footer4471.xml"/><Relationship Id="rId1498" Type="http://schemas.openxmlformats.org/officeDocument/2006/relationships/footer" Target="footer4474.xml"/><Relationship Id="rId1499" Type="http://schemas.openxmlformats.org/officeDocument/2006/relationships/footer" Target="footer4477.xml"/><Relationship Id="rId1500" Type="http://schemas.openxmlformats.org/officeDocument/2006/relationships/footer" Target="footer4480.xml"/><Relationship Id="rId1501" Type="http://schemas.openxmlformats.org/officeDocument/2006/relationships/footer" Target="footer4483.xml"/><Relationship Id="rId1502" Type="http://schemas.openxmlformats.org/officeDocument/2006/relationships/footer" Target="footer4486.xml"/><Relationship Id="rId1503" Type="http://schemas.openxmlformats.org/officeDocument/2006/relationships/footer" Target="footer4489.xml"/><Relationship Id="rId1504" Type="http://schemas.openxmlformats.org/officeDocument/2006/relationships/footer" Target="footer4492.xml"/><Relationship Id="rId1505" Type="http://schemas.openxmlformats.org/officeDocument/2006/relationships/footer" Target="footer4495.xml"/><Relationship Id="rId1506" Type="http://schemas.openxmlformats.org/officeDocument/2006/relationships/footer" Target="footer4498.xml"/><Relationship Id="rId1507" Type="http://schemas.openxmlformats.org/officeDocument/2006/relationships/footer" Target="footer4501.xml"/><Relationship Id="rId1508" Type="http://schemas.openxmlformats.org/officeDocument/2006/relationships/footer" Target="footer4504.xml"/><Relationship Id="rId1509" Type="http://schemas.openxmlformats.org/officeDocument/2006/relationships/footer" Target="footer4507.xml"/><Relationship Id="rId1510" Type="http://schemas.openxmlformats.org/officeDocument/2006/relationships/footer" Target="footer4510.xml"/><Relationship Id="rId1511" Type="http://schemas.openxmlformats.org/officeDocument/2006/relationships/footer" Target="footer4513.xml"/><Relationship Id="rId1512" Type="http://schemas.openxmlformats.org/officeDocument/2006/relationships/footer" Target="footer4516.xml"/><Relationship Id="rId1513" Type="http://schemas.openxmlformats.org/officeDocument/2006/relationships/footer" Target="footer4519.xml"/><Relationship Id="rId1514" Type="http://schemas.openxmlformats.org/officeDocument/2006/relationships/footer" Target="footer4522.xml"/><Relationship Id="rId1515" Type="http://schemas.openxmlformats.org/officeDocument/2006/relationships/footer" Target="footer4525.xml"/><Relationship Id="rId1516" Type="http://schemas.openxmlformats.org/officeDocument/2006/relationships/footer" Target="footer4528.xml"/><Relationship Id="rId1517" Type="http://schemas.openxmlformats.org/officeDocument/2006/relationships/footer" Target="footer4531.xml"/><Relationship Id="rId1518" Type="http://schemas.openxmlformats.org/officeDocument/2006/relationships/footer" Target="footer4534.xml"/><Relationship Id="rId1519" Type="http://schemas.openxmlformats.org/officeDocument/2006/relationships/footer" Target="footer4537.xml"/><Relationship Id="rId1520" Type="http://schemas.openxmlformats.org/officeDocument/2006/relationships/footer" Target="footer4540.xml"/><Relationship Id="rId1521" Type="http://schemas.openxmlformats.org/officeDocument/2006/relationships/footer" Target="footer4543.xml"/><Relationship Id="rId1522" Type="http://schemas.openxmlformats.org/officeDocument/2006/relationships/footer" Target="footer4546.xml"/><Relationship Id="rId1523" Type="http://schemas.openxmlformats.org/officeDocument/2006/relationships/footer" Target="footer4549.xml"/><Relationship Id="rId1524" Type="http://schemas.openxmlformats.org/officeDocument/2006/relationships/footer" Target="footer4552.xml"/><Relationship Id="rId1525" Type="http://schemas.openxmlformats.org/officeDocument/2006/relationships/footer" Target="footer4555.xml"/><Relationship Id="rId1526" Type="http://schemas.openxmlformats.org/officeDocument/2006/relationships/footer" Target="footer4558.xml"/><Relationship Id="rId1527" Type="http://schemas.openxmlformats.org/officeDocument/2006/relationships/footer" Target="footer4561.xml"/><Relationship Id="rId1528" Type="http://schemas.openxmlformats.org/officeDocument/2006/relationships/footer" Target="footer4564.xml"/><Relationship Id="rId1529" Type="http://schemas.openxmlformats.org/officeDocument/2006/relationships/footer" Target="footer4567.xml"/><Relationship Id="rId1530" Type="http://schemas.openxmlformats.org/officeDocument/2006/relationships/footer" Target="footer4570.xml"/><Relationship Id="rId1531" Type="http://schemas.openxmlformats.org/officeDocument/2006/relationships/footer" Target="footer4573.xml"/><Relationship Id="rId1532" Type="http://schemas.openxmlformats.org/officeDocument/2006/relationships/footer" Target="footer4576.xml"/><Relationship Id="rId1533" Type="http://schemas.openxmlformats.org/officeDocument/2006/relationships/footer" Target="footer4579.xml"/><Relationship Id="rId1534" Type="http://schemas.openxmlformats.org/officeDocument/2006/relationships/footer" Target="footer4582.xml"/><Relationship Id="rId1535" Type="http://schemas.openxmlformats.org/officeDocument/2006/relationships/footer" Target="footer4585.xml"/><Relationship Id="rId1536" Type="http://schemas.openxmlformats.org/officeDocument/2006/relationships/footer" Target="footer4588.xml"/><Relationship Id="rId1537" Type="http://schemas.openxmlformats.org/officeDocument/2006/relationships/footer" Target="footer4591.xml"/><Relationship Id="rId1538" Type="http://schemas.openxmlformats.org/officeDocument/2006/relationships/footer" Target="footer4594.xml"/><Relationship Id="rId1539" Type="http://schemas.openxmlformats.org/officeDocument/2006/relationships/footer" Target="footer4597.xml"/><Relationship Id="rId1540" Type="http://schemas.openxmlformats.org/officeDocument/2006/relationships/footer" Target="footer4600.xml"/><Relationship Id="rId1541" Type="http://schemas.openxmlformats.org/officeDocument/2006/relationships/footer" Target="footer4603.xml"/><Relationship Id="rId1542" Type="http://schemas.openxmlformats.org/officeDocument/2006/relationships/footer" Target="footer4606.xml"/><Relationship Id="rId1543" Type="http://schemas.openxmlformats.org/officeDocument/2006/relationships/footer" Target="footer4609.xml"/><Relationship Id="rId1544" Type="http://schemas.openxmlformats.org/officeDocument/2006/relationships/footer" Target="footer4612.xml"/><Relationship Id="rId1545" Type="http://schemas.openxmlformats.org/officeDocument/2006/relationships/footer" Target="footer4615.xml"/><Relationship Id="rId1546" Type="http://schemas.openxmlformats.org/officeDocument/2006/relationships/footer" Target="footer4618.xml"/><Relationship Id="rId1547" Type="http://schemas.openxmlformats.org/officeDocument/2006/relationships/footer" Target="footer4621.xml"/><Relationship Id="rId1548" Type="http://schemas.openxmlformats.org/officeDocument/2006/relationships/footer" Target="footer4624.xml"/><Relationship Id="rId1549" Type="http://schemas.openxmlformats.org/officeDocument/2006/relationships/footer" Target="footer4627.xml"/><Relationship Id="rId1550" Type="http://schemas.openxmlformats.org/officeDocument/2006/relationships/footer" Target="footer4630.xml"/><Relationship Id="rId1551" Type="http://schemas.openxmlformats.org/officeDocument/2006/relationships/footer" Target="footer4633.xml"/><Relationship Id="rId1552" Type="http://schemas.openxmlformats.org/officeDocument/2006/relationships/footer" Target="footer4636.xml"/><Relationship Id="rId1553" Type="http://schemas.openxmlformats.org/officeDocument/2006/relationships/footer" Target="footer4639.xml"/><Relationship Id="rId1554" Type="http://schemas.openxmlformats.org/officeDocument/2006/relationships/footer" Target="footer4642.xml"/><Relationship Id="rId1555" Type="http://schemas.openxmlformats.org/officeDocument/2006/relationships/footer" Target="footer4645.xml"/><Relationship Id="rId1556" Type="http://schemas.openxmlformats.org/officeDocument/2006/relationships/footer" Target="footer4648.xml"/><Relationship Id="rId1557" Type="http://schemas.openxmlformats.org/officeDocument/2006/relationships/footer" Target="footer4651.xml"/><Relationship Id="rId1558" Type="http://schemas.openxmlformats.org/officeDocument/2006/relationships/footer" Target="footer4654.xml"/><Relationship Id="rId1559" Type="http://schemas.openxmlformats.org/officeDocument/2006/relationships/footer" Target="footer4657.xml"/><Relationship Id="rId1560" Type="http://schemas.openxmlformats.org/officeDocument/2006/relationships/footer" Target="footer4660.xml"/><Relationship Id="rId1561" Type="http://schemas.openxmlformats.org/officeDocument/2006/relationships/footer" Target="footer4663.xml"/><Relationship Id="rId1562" Type="http://schemas.openxmlformats.org/officeDocument/2006/relationships/footer" Target="footer4666.xml"/><Relationship Id="rId1563" Type="http://schemas.openxmlformats.org/officeDocument/2006/relationships/footer" Target="footer4669.xml"/><Relationship Id="rId1564" Type="http://schemas.openxmlformats.org/officeDocument/2006/relationships/footer" Target="footer4672.xml"/><Relationship Id="rId1565" Type="http://schemas.openxmlformats.org/officeDocument/2006/relationships/footer" Target="footer4675.xml"/><Relationship Id="rId1566" Type="http://schemas.openxmlformats.org/officeDocument/2006/relationships/footer" Target="footer4678.xml"/><Relationship Id="rId1567" Type="http://schemas.openxmlformats.org/officeDocument/2006/relationships/footer" Target="footer4681.xml"/><Relationship Id="rId1568" Type="http://schemas.openxmlformats.org/officeDocument/2006/relationships/footer" Target="footer4684.xml"/><Relationship Id="rId1569" Type="http://schemas.openxmlformats.org/officeDocument/2006/relationships/footer" Target="footer4687.xml"/><Relationship Id="rId1570" Type="http://schemas.openxmlformats.org/officeDocument/2006/relationships/footer" Target="footer4690.xml"/><Relationship Id="rId1571" Type="http://schemas.openxmlformats.org/officeDocument/2006/relationships/footer" Target="footer4693.xml"/><Relationship Id="rId1572" Type="http://schemas.openxmlformats.org/officeDocument/2006/relationships/footer" Target="footer4696.xml"/><Relationship Id="rId1573" Type="http://schemas.openxmlformats.org/officeDocument/2006/relationships/footer" Target="footer4699.xml"/><Relationship Id="rId1574" Type="http://schemas.openxmlformats.org/officeDocument/2006/relationships/footer" Target="footer4702.xml"/><Relationship Id="rId1575" Type="http://schemas.openxmlformats.org/officeDocument/2006/relationships/footer" Target="footer4705.xml"/><Relationship Id="rId1576" Type="http://schemas.openxmlformats.org/officeDocument/2006/relationships/footer" Target="footer4708.xml"/><Relationship Id="rId1577" Type="http://schemas.openxmlformats.org/officeDocument/2006/relationships/footer" Target="footer4711.xml"/><Relationship Id="rId1578" Type="http://schemas.openxmlformats.org/officeDocument/2006/relationships/footer" Target="footer4714.xml"/><Relationship Id="rId1579" Type="http://schemas.openxmlformats.org/officeDocument/2006/relationships/footer" Target="footer4717.xml"/><Relationship Id="rId1580" Type="http://schemas.openxmlformats.org/officeDocument/2006/relationships/footer" Target="footer4720.xml"/><Relationship Id="rId1581" Type="http://schemas.openxmlformats.org/officeDocument/2006/relationships/footer" Target="footer4723.xml"/><Relationship Id="rId1582" Type="http://schemas.openxmlformats.org/officeDocument/2006/relationships/footer" Target="footer4726.xml"/><Relationship Id="rId1583" Type="http://schemas.openxmlformats.org/officeDocument/2006/relationships/footer" Target="footer4729.xml"/><Relationship Id="rId1584" Type="http://schemas.openxmlformats.org/officeDocument/2006/relationships/footer" Target="footer4732.xml"/><Relationship Id="rId1585" Type="http://schemas.openxmlformats.org/officeDocument/2006/relationships/footer" Target="footer4735.xml"/><Relationship Id="rId1586" Type="http://schemas.openxmlformats.org/officeDocument/2006/relationships/footer" Target="footer4738.xml"/><Relationship Id="rId1587" Type="http://schemas.openxmlformats.org/officeDocument/2006/relationships/footer" Target="footer4741.xml"/><Relationship Id="rId1588" Type="http://schemas.openxmlformats.org/officeDocument/2006/relationships/footer" Target="footer4744.xml"/><Relationship Id="rId1589" Type="http://schemas.openxmlformats.org/officeDocument/2006/relationships/footer" Target="footer4747.xml"/><Relationship Id="rId1590" Type="http://schemas.openxmlformats.org/officeDocument/2006/relationships/footer" Target="footer4750.xml"/><Relationship Id="rId1591" Type="http://schemas.openxmlformats.org/officeDocument/2006/relationships/footer" Target="footer4753.xml"/><Relationship Id="rId1592" Type="http://schemas.openxmlformats.org/officeDocument/2006/relationships/footer" Target="footer4756.xml"/><Relationship Id="rId1593" Type="http://schemas.openxmlformats.org/officeDocument/2006/relationships/footer" Target="footer4759.xml"/><Relationship Id="rId1594" Type="http://schemas.openxmlformats.org/officeDocument/2006/relationships/footer" Target="footer4762.xml"/><Relationship Id="rId1595" Type="http://schemas.openxmlformats.org/officeDocument/2006/relationships/footer" Target="footer4765.xml"/><Relationship Id="rId1596" Type="http://schemas.openxmlformats.org/officeDocument/2006/relationships/footer" Target="footer4768.xml"/><Relationship Id="rId1597" Type="http://schemas.openxmlformats.org/officeDocument/2006/relationships/footer" Target="footer4771.xml"/><Relationship Id="rId1598" Type="http://schemas.openxmlformats.org/officeDocument/2006/relationships/footer" Target="footer4774.xml"/><Relationship Id="rId1599" Type="http://schemas.openxmlformats.org/officeDocument/2006/relationships/footer" Target="footer4777.xml"/><Relationship Id="rId1600" Type="http://schemas.openxmlformats.org/officeDocument/2006/relationships/footer" Target="footer4780.xml"/><Relationship Id="rId1601" Type="http://schemas.openxmlformats.org/officeDocument/2006/relationships/footer" Target="footer4783.xml"/><Relationship Id="rId1602" Type="http://schemas.openxmlformats.org/officeDocument/2006/relationships/footer" Target="footer4786.xml"/><Relationship Id="rId1603" Type="http://schemas.openxmlformats.org/officeDocument/2006/relationships/footer" Target="footer4789.xml"/><Relationship Id="rId1604" Type="http://schemas.openxmlformats.org/officeDocument/2006/relationships/footer" Target="footer4792.xml"/><Relationship Id="rId1605" Type="http://schemas.openxmlformats.org/officeDocument/2006/relationships/footer" Target="footer4795.xml"/><Relationship Id="rId1606" Type="http://schemas.openxmlformats.org/officeDocument/2006/relationships/footer" Target="footer4798.xml"/><Relationship Id="rId1607" Type="http://schemas.openxmlformats.org/officeDocument/2006/relationships/footer" Target="footer4801.xml"/><Relationship Id="rId1608" Type="http://schemas.openxmlformats.org/officeDocument/2006/relationships/footer" Target="footer4804.xml"/><Relationship Id="rId1609" Type="http://schemas.openxmlformats.org/officeDocument/2006/relationships/footer" Target="footer4807.xml"/><Relationship Id="rId1610" Type="http://schemas.openxmlformats.org/officeDocument/2006/relationships/footer" Target="footer4810.xml"/><Relationship Id="rId1611" Type="http://schemas.openxmlformats.org/officeDocument/2006/relationships/footer" Target="footer4813.xml"/><Relationship Id="rId1612" Type="http://schemas.openxmlformats.org/officeDocument/2006/relationships/footer" Target="footer4816.xml"/><Relationship Id="rId1613" Type="http://schemas.openxmlformats.org/officeDocument/2006/relationships/footer" Target="footer4819.xml"/><Relationship Id="rId1614" Type="http://schemas.openxmlformats.org/officeDocument/2006/relationships/footer" Target="footer4822.xml"/><Relationship Id="rId1615" Type="http://schemas.openxmlformats.org/officeDocument/2006/relationships/footer" Target="footer4825.xml"/><Relationship Id="rId1616" Type="http://schemas.openxmlformats.org/officeDocument/2006/relationships/footer" Target="footer4828.xml"/><Relationship Id="rId1617" Type="http://schemas.openxmlformats.org/officeDocument/2006/relationships/footer" Target="footer4831.xml"/><Relationship Id="rId1618" Type="http://schemas.openxmlformats.org/officeDocument/2006/relationships/footer" Target="footer4834.xml"/><Relationship Id="rId1619" Type="http://schemas.openxmlformats.org/officeDocument/2006/relationships/footer" Target="footer4837.xml"/><Relationship Id="rId1620" Type="http://schemas.openxmlformats.org/officeDocument/2006/relationships/footer" Target="footer4840.xml"/><Relationship Id="rId1621" Type="http://schemas.openxmlformats.org/officeDocument/2006/relationships/footer" Target="footer4843.xml"/><Relationship Id="rId1622" Type="http://schemas.openxmlformats.org/officeDocument/2006/relationships/footer" Target="footer4846.xml"/><Relationship Id="rId1623" Type="http://schemas.openxmlformats.org/officeDocument/2006/relationships/footer" Target="footer4849.xml"/><Relationship Id="rId1624" Type="http://schemas.openxmlformats.org/officeDocument/2006/relationships/footer" Target="footer4852.xml"/><Relationship Id="rId1625" Type="http://schemas.openxmlformats.org/officeDocument/2006/relationships/footer" Target="footer4855.xml"/><Relationship Id="rId1626" Type="http://schemas.openxmlformats.org/officeDocument/2006/relationships/footer" Target="footer4858.xml"/><Relationship Id="rId1627" Type="http://schemas.openxmlformats.org/officeDocument/2006/relationships/footer" Target="footer4861.xml"/><Relationship Id="rId1628" Type="http://schemas.openxmlformats.org/officeDocument/2006/relationships/footer" Target="footer4864.xml"/><Relationship Id="rId1629" Type="http://schemas.openxmlformats.org/officeDocument/2006/relationships/footer" Target="footer4867.xml"/><Relationship Id="rId1630" Type="http://schemas.openxmlformats.org/officeDocument/2006/relationships/footer" Target="footer4870.xml"/><Relationship Id="rId1631" Type="http://schemas.openxmlformats.org/officeDocument/2006/relationships/footer" Target="footer4873.xml"/><Relationship Id="rId1632" Type="http://schemas.openxmlformats.org/officeDocument/2006/relationships/footer" Target="footer4876.xml"/><Relationship Id="rId1633" Type="http://schemas.openxmlformats.org/officeDocument/2006/relationships/footer" Target="footer4879.xml"/><Relationship Id="rId1634" Type="http://schemas.openxmlformats.org/officeDocument/2006/relationships/footer" Target="footer4882.xml"/><Relationship Id="rId1635" Type="http://schemas.openxmlformats.org/officeDocument/2006/relationships/footer" Target="footer4885.xml"/><Relationship Id="rId1636" Type="http://schemas.openxmlformats.org/officeDocument/2006/relationships/footer" Target="footer4888.xml"/><Relationship Id="rId1637" Type="http://schemas.openxmlformats.org/officeDocument/2006/relationships/footer" Target="footer4891.xml"/><Relationship Id="rId1638" Type="http://schemas.openxmlformats.org/officeDocument/2006/relationships/footer" Target="footer4894.xml"/><Relationship Id="rId1639" Type="http://schemas.openxmlformats.org/officeDocument/2006/relationships/footer" Target="footer4897.xml"/><Relationship Id="rId1640" Type="http://schemas.openxmlformats.org/officeDocument/2006/relationships/footer" Target="footer4900.xml"/><Relationship Id="rId1641" Type="http://schemas.openxmlformats.org/officeDocument/2006/relationships/footer" Target="footer4903.xml"/><Relationship Id="rId1642" Type="http://schemas.openxmlformats.org/officeDocument/2006/relationships/footer" Target="footer4906.xml"/><Relationship Id="rId1643" Type="http://schemas.openxmlformats.org/officeDocument/2006/relationships/footer" Target="footer4909.xml"/><Relationship Id="rId1644" Type="http://schemas.openxmlformats.org/officeDocument/2006/relationships/footer" Target="footer4912.xml"/><Relationship Id="rId1645" Type="http://schemas.openxmlformats.org/officeDocument/2006/relationships/footer" Target="footer4915.xml"/><Relationship Id="rId1646" Type="http://schemas.openxmlformats.org/officeDocument/2006/relationships/footer" Target="footer4918.xml"/><Relationship Id="rId1647" Type="http://schemas.openxmlformats.org/officeDocument/2006/relationships/footer" Target="footer4921.xml"/><Relationship Id="rId1648" Type="http://schemas.openxmlformats.org/officeDocument/2006/relationships/footer" Target="footer4924.xml"/><Relationship Id="rId1649" Type="http://schemas.openxmlformats.org/officeDocument/2006/relationships/footer" Target="footer4927.xml"/><Relationship Id="rId1650" Type="http://schemas.openxmlformats.org/officeDocument/2006/relationships/footer" Target="footer4930.xml"/><Relationship Id="rId1651" Type="http://schemas.openxmlformats.org/officeDocument/2006/relationships/footer" Target="footer4933.xml"/><Relationship Id="rId1652" Type="http://schemas.openxmlformats.org/officeDocument/2006/relationships/footer" Target="footer4936.xml"/><Relationship Id="rId1653" Type="http://schemas.openxmlformats.org/officeDocument/2006/relationships/footer" Target="footer4939.xml"/><Relationship Id="rId1654" Type="http://schemas.openxmlformats.org/officeDocument/2006/relationships/footer" Target="footer4942.xml"/><Relationship Id="rId1655" Type="http://schemas.openxmlformats.org/officeDocument/2006/relationships/footer" Target="footer4945.xml"/><Relationship Id="rId1656" Type="http://schemas.openxmlformats.org/officeDocument/2006/relationships/footer" Target="footer4948.xml"/><Relationship Id="rId1657" Type="http://schemas.openxmlformats.org/officeDocument/2006/relationships/footer" Target="footer4951.xml"/><Relationship Id="rId1658" Type="http://schemas.openxmlformats.org/officeDocument/2006/relationships/footer" Target="footer4954.xml"/><Relationship Id="rId1659" Type="http://schemas.openxmlformats.org/officeDocument/2006/relationships/footer" Target="footer4957.xml"/><Relationship Id="rId1660" Type="http://schemas.openxmlformats.org/officeDocument/2006/relationships/footer" Target="footer4960.xml"/><Relationship Id="rId1661" Type="http://schemas.openxmlformats.org/officeDocument/2006/relationships/footer" Target="footer4963.xml"/><Relationship Id="rId1662" Type="http://schemas.openxmlformats.org/officeDocument/2006/relationships/footer" Target="footer4966.xml"/><Relationship Id="rId1663" Type="http://schemas.openxmlformats.org/officeDocument/2006/relationships/footer" Target="footer4969.xml"/><Relationship Id="rId1664" Type="http://schemas.openxmlformats.org/officeDocument/2006/relationships/footer" Target="footer4972.xml"/><Relationship Id="rId1665" Type="http://schemas.openxmlformats.org/officeDocument/2006/relationships/footer" Target="footer4975.xml"/><Relationship Id="rId1666" Type="http://schemas.openxmlformats.org/officeDocument/2006/relationships/footer" Target="footer4978.xml"/><Relationship Id="rId1667" Type="http://schemas.openxmlformats.org/officeDocument/2006/relationships/footer" Target="footer4981.xml"/><Relationship Id="rId1668" Type="http://schemas.openxmlformats.org/officeDocument/2006/relationships/footer" Target="footer4984.xml"/><Relationship Id="rId1669" Type="http://schemas.openxmlformats.org/officeDocument/2006/relationships/footer" Target="footer4987.xml"/><Relationship Id="rId1670" Type="http://schemas.openxmlformats.org/officeDocument/2006/relationships/footer" Target="footer4990.xml"/><Relationship Id="rId1671" Type="http://schemas.openxmlformats.org/officeDocument/2006/relationships/footer" Target="footer4993.xml"/><Relationship Id="rId1672" Type="http://schemas.openxmlformats.org/officeDocument/2006/relationships/footer" Target="footer4996.xml"/><Relationship Id="rId1673" Type="http://schemas.openxmlformats.org/officeDocument/2006/relationships/footer" Target="footer4999.xml"/><Relationship Id="rId1674" Type="http://schemas.openxmlformats.org/officeDocument/2006/relationships/footer" Target="footer5002.xml"/><Relationship Id="rId1675" Type="http://schemas.openxmlformats.org/officeDocument/2006/relationships/footer" Target="footer5005.xml"/><Relationship Id="rId1676" Type="http://schemas.openxmlformats.org/officeDocument/2006/relationships/footer" Target="footer5008.xml"/><Relationship Id="rId1677" Type="http://schemas.openxmlformats.org/officeDocument/2006/relationships/footer" Target="footer5011.xml"/><Relationship Id="rId1678" Type="http://schemas.openxmlformats.org/officeDocument/2006/relationships/footer" Target="footer5014.xml"/><Relationship Id="rId1679" Type="http://schemas.openxmlformats.org/officeDocument/2006/relationships/footer" Target="footer5017.xml"/><Relationship Id="rId1680" Type="http://schemas.openxmlformats.org/officeDocument/2006/relationships/footer" Target="footer5020.xml"/><Relationship Id="rId1681" Type="http://schemas.openxmlformats.org/officeDocument/2006/relationships/footer" Target="footer5023.xml"/><Relationship Id="rId1682" Type="http://schemas.openxmlformats.org/officeDocument/2006/relationships/footer" Target="footer5026.xml"/><Relationship Id="rId1683" Type="http://schemas.openxmlformats.org/officeDocument/2006/relationships/footer" Target="footer5029.xml"/><Relationship Id="rId1684" Type="http://schemas.openxmlformats.org/officeDocument/2006/relationships/footer" Target="footer5032.xml"/><Relationship Id="rId1685" Type="http://schemas.openxmlformats.org/officeDocument/2006/relationships/footer" Target="footer5035.xml"/><Relationship Id="rId1686" Type="http://schemas.openxmlformats.org/officeDocument/2006/relationships/footer" Target="footer5038.xml"/><Relationship Id="rId1687" Type="http://schemas.openxmlformats.org/officeDocument/2006/relationships/footer" Target="footer5041.xml"/><Relationship Id="rId1688" Type="http://schemas.openxmlformats.org/officeDocument/2006/relationships/footer" Target="footer5044.xml"/><Relationship Id="rId1689" Type="http://schemas.openxmlformats.org/officeDocument/2006/relationships/footer" Target="footer5047.xml"/><Relationship Id="rId1690" Type="http://schemas.openxmlformats.org/officeDocument/2006/relationships/footer" Target="footer5050.xml"/><Relationship Id="rId1691" Type="http://schemas.openxmlformats.org/officeDocument/2006/relationships/footer" Target="footer5053.xml"/><Relationship Id="rId1692" Type="http://schemas.openxmlformats.org/officeDocument/2006/relationships/footer" Target="footer5056.xml"/><Relationship Id="rId1693" Type="http://schemas.openxmlformats.org/officeDocument/2006/relationships/footer" Target="footer5059.xml"/><Relationship Id="rId1694" Type="http://schemas.openxmlformats.org/officeDocument/2006/relationships/footer" Target="footer5062.xml"/><Relationship Id="rId1695" Type="http://schemas.openxmlformats.org/officeDocument/2006/relationships/footer" Target="footer5065.xml"/><Relationship Id="rId1696" Type="http://schemas.openxmlformats.org/officeDocument/2006/relationships/footer" Target="footer5068.xml"/><Relationship Id="rId1697" Type="http://schemas.openxmlformats.org/officeDocument/2006/relationships/footer" Target="footer5071.xml"/><Relationship Id="rId1698" Type="http://schemas.openxmlformats.org/officeDocument/2006/relationships/footer" Target="footer5074.xml"/><Relationship Id="rId1699" Type="http://schemas.openxmlformats.org/officeDocument/2006/relationships/footer" Target="footer5077.xml"/><Relationship Id="rId1700" Type="http://schemas.openxmlformats.org/officeDocument/2006/relationships/footer" Target="footer5080.xml"/><Relationship Id="rId1701" Type="http://schemas.openxmlformats.org/officeDocument/2006/relationships/footer" Target="footer5083.xml"/><Relationship Id="rId1702" Type="http://schemas.openxmlformats.org/officeDocument/2006/relationships/footer" Target="footer5086.xml"/><Relationship Id="rId1703" Type="http://schemas.openxmlformats.org/officeDocument/2006/relationships/footer" Target="footer5089.xml"/><Relationship Id="rId1704" Type="http://schemas.openxmlformats.org/officeDocument/2006/relationships/footer" Target="footer5092.xml"/><Relationship Id="rId1705" Type="http://schemas.openxmlformats.org/officeDocument/2006/relationships/footer" Target="footer5095.xml"/><Relationship Id="rId1706" Type="http://schemas.openxmlformats.org/officeDocument/2006/relationships/footer" Target="footer5098.xml"/><Relationship Id="rId1707" Type="http://schemas.openxmlformats.org/officeDocument/2006/relationships/footer" Target="footer5101.xml"/><Relationship Id="rId1708" Type="http://schemas.openxmlformats.org/officeDocument/2006/relationships/footer" Target="footer5104.xml"/><Relationship Id="rId1709" Type="http://schemas.openxmlformats.org/officeDocument/2006/relationships/footer" Target="footer5107.xml"/><Relationship Id="rId1710" Type="http://schemas.openxmlformats.org/officeDocument/2006/relationships/footer" Target="footer5110.xml"/><Relationship Id="rId1711" Type="http://schemas.openxmlformats.org/officeDocument/2006/relationships/footer" Target="footer5113.xml"/><Relationship Id="rId1712" Type="http://schemas.openxmlformats.org/officeDocument/2006/relationships/footer" Target="footer5116.xml"/><Relationship Id="rId1713" Type="http://schemas.openxmlformats.org/officeDocument/2006/relationships/footer" Target="footer5119.xml"/><Relationship Id="rId1714" Type="http://schemas.openxmlformats.org/officeDocument/2006/relationships/footer" Target="footer5122.xml"/><Relationship Id="rId1715" Type="http://schemas.openxmlformats.org/officeDocument/2006/relationships/footer" Target="footer5125.xml"/><Relationship Id="rId1716" Type="http://schemas.openxmlformats.org/officeDocument/2006/relationships/footer" Target="footer5128.xml"/><Relationship Id="rId1717" Type="http://schemas.openxmlformats.org/officeDocument/2006/relationships/footer" Target="footer5131.xml"/><Relationship Id="rId1718" Type="http://schemas.openxmlformats.org/officeDocument/2006/relationships/footer" Target="footer5134.xml"/><Relationship Id="rId1719" Type="http://schemas.openxmlformats.org/officeDocument/2006/relationships/footer" Target="footer5137.xml"/><Relationship Id="rId1720" Type="http://schemas.openxmlformats.org/officeDocument/2006/relationships/footer" Target="footer5140.xml"/><Relationship Id="rId1721" Type="http://schemas.openxmlformats.org/officeDocument/2006/relationships/footer" Target="footer5143.xml"/><Relationship Id="rId1722" Type="http://schemas.openxmlformats.org/officeDocument/2006/relationships/footer" Target="footer5146.xml"/><Relationship Id="rId1723" Type="http://schemas.openxmlformats.org/officeDocument/2006/relationships/footer" Target="footer5149.xml"/><Relationship Id="rId1724" Type="http://schemas.openxmlformats.org/officeDocument/2006/relationships/footer" Target="footer5152.xml"/><Relationship Id="rId1725" Type="http://schemas.openxmlformats.org/officeDocument/2006/relationships/footer" Target="footer5155.xml"/><Relationship Id="rId1726" Type="http://schemas.openxmlformats.org/officeDocument/2006/relationships/footer" Target="footer5158.xml"/><Relationship Id="rId1727" Type="http://schemas.openxmlformats.org/officeDocument/2006/relationships/footer" Target="footer5161.xml"/><Relationship Id="rId1728" Type="http://schemas.openxmlformats.org/officeDocument/2006/relationships/footer" Target="footer5164.xml"/><Relationship Id="rId1729" Type="http://schemas.openxmlformats.org/officeDocument/2006/relationships/footer" Target="footer5167.xml"/><Relationship Id="rId1730" Type="http://schemas.openxmlformats.org/officeDocument/2006/relationships/footer" Target="footer5170.xml"/><Relationship Id="rId1731" Type="http://schemas.openxmlformats.org/officeDocument/2006/relationships/footer" Target="footer5173.xml"/><Relationship Id="rId1732" Type="http://schemas.openxmlformats.org/officeDocument/2006/relationships/footer" Target="footer5176.xml"/><Relationship Id="rId1733" Type="http://schemas.openxmlformats.org/officeDocument/2006/relationships/footer" Target="footer5179.xml"/><Relationship Id="rId1734" Type="http://schemas.openxmlformats.org/officeDocument/2006/relationships/footer" Target="footer5182.xml"/><Relationship Id="rId1735" Type="http://schemas.openxmlformats.org/officeDocument/2006/relationships/footer" Target="footer5185.xml"/><Relationship Id="rId1736" Type="http://schemas.openxmlformats.org/officeDocument/2006/relationships/footer" Target="footer5188.xml"/><Relationship Id="rId1737" Type="http://schemas.openxmlformats.org/officeDocument/2006/relationships/footer" Target="footer5191.xml"/><Relationship Id="rId1738" Type="http://schemas.openxmlformats.org/officeDocument/2006/relationships/footer" Target="footer5194.xml"/><Relationship Id="rId1739" Type="http://schemas.openxmlformats.org/officeDocument/2006/relationships/footer" Target="footer5197.xml"/><Relationship Id="rId1740" Type="http://schemas.openxmlformats.org/officeDocument/2006/relationships/footer" Target="footer5200.xml"/><Relationship Id="rId1741" Type="http://schemas.openxmlformats.org/officeDocument/2006/relationships/footer" Target="footer5203.xml"/><Relationship Id="rId1742" Type="http://schemas.openxmlformats.org/officeDocument/2006/relationships/footer" Target="footer5206.xml"/><Relationship Id="rId1743" Type="http://schemas.openxmlformats.org/officeDocument/2006/relationships/footer" Target="footer5209.xml"/><Relationship Id="rId1744" Type="http://schemas.openxmlformats.org/officeDocument/2006/relationships/footer" Target="footer5212.xml"/><Relationship Id="rId1745" Type="http://schemas.openxmlformats.org/officeDocument/2006/relationships/footer" Target="footer5215.xml"/><Relationship Id="rId1746" Type="http://schemas.openxmlformats.org/officeDocument/2006/relationships/footer" Target="footer5218.xml"/><Relationship Id="rId1747" Type="http://schemas.openxmlformats.org/officeDocument/2006/relationships/footer" Target="footer5221.xml"/><Relationship Id="rId1748" Type="http://schemas.openxmlformats.org/officeDocument/2006/relationships/footer" Target="footer5224.xml"/><Relationship Id="rId1749" Type="http://schemas.openxmlformats.org/officeDocument/2006/relationships/footer" Target="footer5227.xml"/><Relationship Id="rId1750" Type="http://schemas.openxmlformats.org/officeDocument/2006/relationships/footer" Target="footer5230.xml"/><Relationship Id="rId1751" Type="http://schemas.openxmlformats.org/officeDocument/2006/relationships/footer" Target="footer5233.xml"/><Relationship Id="rId1752" Type="http://schemas.openxmlformats.org/officeDocument/2006/relationships/footer" Target="footer5236.xml"/><Relationship Id="rId1753" Type="http://schemas.openxmlformats.org/officeDocument/2006/relationships/footer" Target="footer5239.xml"/><Relationship Id="rId1754" Type="http://schemas.openxmlformats.org/officeDocument/2006/relationships/footer" Target="footer5242.xml"/><Relationship Id="rId1755" Type="http://schemas.openxmlformats.org/officeDocument/2006/relationships/footer" Target="footer5245.xml"/><Relationship Id="rId1756" Type="http://schemas.openxmlformats.org/officeDocument/2006/relationships/footer" Target="footer5248.xml"/><Relationship Id="rId1757" Type="http://schemas.openxmlformats.org/officeDocument/2006/relationships/footer" Target="footer5251.xml"/><Relationship Id="rId1758" Type="http://schemas.openxmlformats.org/officeDocument/2006/relationships/footer" Target="footer5254.xml"/><Relationship Id="rId1759" Type="http://schemas.openxmlformats.org/officeDocument/2006/relationships/footer" Target="footer5257.xml"/><Relationship Id="rId1760" Type="http://schemas.openxmlformats.org/officeDocument/2006/relationships/footer" Target="footer5260.xml"/><Relationship Id="rId1761" Type="http://schemas.openxmlformats.org/officeDocument/2006/relationships/footer" Target="footer5263.xml"/><Relationship Id="rId1762" Type="http://schemas.openxmlformats.org/officeDocument/2006/relationships/footer" Target="footer5266.xml"/><Relationship Id="rId1763" Type="http://schemas.openxmlformats.org/officeDocument/2006/relationships/footer" Target="footer5269.xml"/><Relationship Id="rId1764" Type="http://schemas.openxmlformats.org/officeDocument/2006/relationships/footer" Target="footer5272.xml"/><Relationship Id="rId1765" Type="http://schemas.openxmlformats.org/officeDocument/2006/relationships/footer" Target="footer5275.xml"/><Relationship Id="rId1766" Type="http://schemas.openxmlformats.org/officeDocument/2006/relationships/footer" Target="footer5278.xml"/><Relationship Id="rId1767" Type="http://schemas.openxmlformats.org/officeDocument/2006/relationships/footer" Target="footer5281.xml"/><Relationship Id="rId1768" Type="http://schemas.openxmlformats.org/officeDocument/2006/relationships/footer" Target="footer5284.xml"/><Relationship Id="rId1769" Type="http://schemas.openxmlformats.org/officeDocument/2006/relationships/footer" Target="footer5287.xml"/><Relationship Id="rId1770" Type="http://schemas.openxmlformats.org/officeDocument/2006/relationships/footer" Target="footer5290.xml"/><Relationship Id="rId1771" Type="http://schemas.openxmlformats.org/officeDocument/2006/relationships/footer" Target="footer5293.xml"/><Relationship Id="rId1772" Type="http://schemas.openxmlformats.org/officeDocument/2006/relationships/footer" Target="footer5296.xml"/><Relationship Id="rId1773" Type="http://schemas.openxmlformats.org/officeDocument/2006/relationships/footer" Target="footer5299.xml"/><Relationship Id="rId1774" Type="http://schemas.openxmlformats.org/officeDocument/2006/relationships/footer" Target="footer5302.xml"/><Relationship Id="rId1775" Type="http://schemas.openxmlformats.org/officeDocument/2006/relationships/footer" Target="footer5305.xml"/><Relationship Id="rId1776" Type="http://schemas.openxmlformats.org/officeDocument/2006/relationships/footer" Target="footer5308.xml"/><Relationship Id="rId1777" Type="http://schemas.openxmlformats.org/officeDocument/2006/relationships/footer" Target="footer5311.xml"/><Relationship Id="rId1778" Type="http://schemas.openxmlformats.org/officeDocument/2006/relationships/footer" Target="footer5314.xml"/><Relationship Id="rId1779" Type="http://schemas.openxmlformats.org/officeDocument/2006/relationships/footer" Target="footer5317.xml"/><Relationship Id="rId1780" Type="http://schemas.openxmlformats.org/officeDocument/2006/relationships/footer" Target="footer5320.xml"/><Relationship Id="rId1781" Type="http://schemas.openxmlformats.org/officeDocument/2006/relationships/footer" Target="footer5323.xml"/><Relationship Id="rId1782" Type="http://schemas.openxmlformats.org/officeDocument/2006/relationships/footer" Target="footer5326.xml"/><Relationship Id="rId1783" Type="http://schemas.openxmlformats.org/officeDocument/2006/relationships/footer" Target="footer5329.xml"/><Relationship Id="rId1784" Type="http://schemas.openxmlformats.org/officeDocument/2006/relationships/footer" Target="footer5332.xml"/><Relationship Id="rId1785" Type="http://schemas.openxmlformats.org/officeDocument/2006/relationships/footer" Target="footer5335.xml"/><Relationship Id="rId1786" Type="http://schemas.openxmlformats.org/officeDocument/2006/relationships/footer" Target="footer5338.xml"/><Relationship Id="rId1787" Type="http://schemas.openxmlformats.org/officeDocument/2006/relationships/footer" Target="footer5341.xml"/><Relationship Id="rId1788" Type="http://schemas.openxmlformats.org/officeDocument/2006/relationships/footer" Target="footer5344.xml"/><Relationship Id="rId1789" Type="http://schemas.openxmlformats.org/officeDocument/2006/relationships/footer" Target="footer5347.xml"/><Relationship Id="rId1790" Type="http://schemas.openxmlformats.org/officeDocument/2006/relationships/footer" Target="footer5350.xml"/><Relationship Id="rId1791" Type="http://schemas.openxmlformats.org/officeDocument/2006/relationships/footer" Target="footer5353.xml"/><Relationship Id="rId1792" Type="http://schemas.openxmlformats.org/officeDocument/2006/relationships/footer" Target="footer5356.xml"/><Relationship Id="rId1793" Type="http://schemas.openxmlformats.org/officeDocument/2006/relationships/footer" Target="footer5359.xml"/><Relationship Id="rId1794" Type="http://schemas.openxmlformats.org/officeDocument/2006/relationships/footer" Target="footer5362.xml"/><Relationship Id="rId1795" Type="http://schemas.openxmlformats.org/officeDocument/2006/relationships/footer" Target="footer5365.xml"/><Relationship Id="rId1796" Type="http://schemas.openxmlformats.org/officeDocument/2006/relationships/footer" Target="footer5368.xml"/><Relationship Id="rId1797" Type="http://schemas.openxmlformats.org/officeDocument/2006/relationships/footer" Target="footer5371.xml"/><Relationship Id="rId1798" Type="http://schemas.openxmlformats.org/officeDocument/2006/relationships/footer" Target="footer5374.xml"/><Relationship Id="rId1799" Type="http://schemas.openxmlformats.org/officeDocument/2006/relationships/footer" Target="footer5377.xml"/><Relationship Id="rId1800" Type="http://schemas.openxmlformats.org/officeDocument/2006/relationships/footer" Target="footer5380.xml"/><Relationship Id="rId1801" Type="http://schemas.openxmlformats.org/officeDocument/2006/relationships/footer" Target="footer5383.xml"/><Relationship Id="rId1802" Type="http://schemas.openxmlformats.org/officeDocument/2006/relationships/footer" Target="footer5386.xml"/><Relationship Id="rId1803" Type="http://schemas.openxmlformats.org/officeDocument/2006/relationships/footer" Target="footer5389.xml"/><Relationship Id="rId1804" Type="http://schemas.openxmlformats.org/officeDocument/2006/relationships/footer" Target="footer5392.xml"/><Relationship Id="rId1805" Type="http://schemas.openxmlformats.org/officeDocument/2006/relationships/footer" Target="footer5395.xml"/><Relationship Id="rId1806" Type="http://schemas.openxmlformats.org/officeDocument/2006/relationships/footer" Target="footer5398.xml"/><Relationship Id="rId1807" Type="http://schemas.openxmlformats.org/officeDocument/2006/relationships/footer" Target="footer5401.xml"/><Relationship Id="rId1808" Type="http://schemas.openxmlformats.org/officeDocument/2006/relationships/footer" Target="footer5404.xml"/><Relationship Id="rId1809" Type="http://schemas.openxmlformats.org/officeDocument/2006/relationships/footer" Target="footer5407.xml"/><Relationship Id="rId1810" Type="http://schemas.openxmlformats.org/officeDocument/2006/relationships/footer" Target="footer5410.xml"/><Relationship Id="rId1811" Type="http://schemas.openxmlformats.org/officeDocument/2006/relationships/footer" Target="footer5413.xml"/><Relationship Id="rId1812" Type="http://schemas.openxmlformats.org/officeDocument/2006/relationships/footer" Target="footer5416.xml"/><Relationship Id="rId1813" Type="http://schemas.openxmlformats.org/officeDocument/2006/relationships/footer" Target="footer5419.xml"/><Relationship Id="rId1814" Type="http://schemas.openxmlformats.org/officeDocument/2006/relationships/footer" Target="footer5422.xml"/><Relationship Id="rId1815" Type="http://schemas.openxmlformats.org/officeDocument/2006/relationships/footer" Target="footer5425.xml"/><Relationship Id="rId1816" Type="http://schemas.openxmlformats.org/officeDocument/2006/relationships/footer" Target="footer5428.xml"/><Relationship Id="rId1817" Type="http://schemas.openxmlformats.org/officeDocument/2006/relationships/footer" Target="footer5431.xml"/><Relationship Id="rId1818" Type="http://schemas.openxmlformats.org/officeDocument/2006/relationships/footer" Target="footer5434.xml"/><Relationship Id="rId1819" Type="http://schemas.openxmlformats.org/officeDocument/2006/relationships/footer" Target="footer5437.xml"/><Relationship Id="rId1820" Type="http://schemas.openxmlformats.org/officeDocument/2006/relationships/footer" Target="footer5440.xml"/><Relationship Id="rId1821" Type="http://schemas.openxmlformats.org/officeDocument/2006/relationships/footer" Target="footer5443.xml"/><Relationship Id="rId1822" Type="http://schemas.openxmlformats.org/officeDocument/2006/relationships/footer" Target="footer5446.xml"/><Relationship Id="rId1823" Type="http://schemas.openxmlformats.org/officeDocument/2006/relationships/footer" Target="footer5449.xml"/><Relationship Id="rId1824" Type="http://schemas.openxmlformats.org/officeDocument/2006/relationships/footer" Target="footer5452.xml"/><Relationship Id="rId1825" Type="http://schemas.openxmlformats.org/officeDocument/2006/relationships/footer" Target="footer5455.xml"/><Relationship Id="rId1826" Type="http://schemas.openxmlformats.org/officeDocument/2006/relationships/footer" Target="footer5458.xml"/><Relationship Id="rId1827" Type="http://schemas.openxmlformats.org/officeDocument/2006/relationships/footer" Target="footer5461.xml"/><Relationship Id="rId1828" Type="http://schemas.openxmlformats.org/officeDocument/2006/relationships/footer" Target="footer5464.xml"/><Relationship Id="rId1829" Type="http://schemas.openxmlformats.org/officeDocument/2006/relationships/footer" Target="footer5467.xml"/><Relationship Id="rId1830" Type="http://schemas.openxmlformats.org/officeDocument/2006/relationships/footer" Target="footer5470.xml"/><Relationship Id="rId1831" Type="http://schemas.openxmlformats.org/officeDocument/2006/relationships/footer" Target="footer5473.xml"/><Relationship Id="rId1832" Type="http://schemas.openxmlformats.org/officeDocument/2006/relationships/footer" Target="footer5476.xml"/><Relationship Id="rId1833" Type="http://schemas.openxmlformats.org/officeDocument/2006/relationships/footer" Target="footer5479.xml"/><Relationship Id="rId1834" Type="http://schemas.openxmlformats.org/officeDocument/2006/relationships/footer" Target="footer5482.xml"/><Relationship Id="rId1835" Type="http://schemas.openxmlformats.org/officeDocument/2006/relationships/footer" Target="footer5485.xml"/><Relationship Id="rId1836" Type="http://schemas.openxmlformats.org/officeDocument/2006/relationships/footer" Target="footer5488.xml"/><Relationship Id="rId1837" Type="http://schemas.openxmlformats.org/officeDocument/2006/relationships/footer" Target="footer5491.xml"/><Relationship Id="rId1838" Type="http://schemas.openxmlformats.org/officeDocument/2006/relationships/footer" Target="footer5494.xml"/><Relationship Id="rId1839" Type="http://schemas.openxmlformats.org/officeDocument/2006/relationships/footer" Target="footer5497.xml"/><Relationship Id="rId1840" Type="http://schemas.openxmlformats.org/officeDocument/2006/relationships/footer" Target="footer5500.xml"/><Relationship Id="rId1841" Type="http://schemas.openxmlformats.org/officeDocument/2006/relationships/footer" Target="footer5503.xml"/><Relationship Id="rId1842" Type="http://schemas.openxmlformats.org/officeDocument/2006/relationships/footer" Target="footer5506.xml"/><Relationship Id="rId1843" Type="http://schemas.openxmlformats.org/officeDocument/2006/relationships/footer" Target="footer5509.xml"/><Relationship Id="rId1844" Type="http://schemas.openxmlformats.org/officeDocument/2006/relationships/footer" Target="footer5512.xml"/><Relationship Id="rId1845" Type="http://schemas.openxmlformats.org/officeDocument/2006/relationships/footer" Target="footer5515.xml"/><Relationship Id="rId1846" Type="http://schemas.openxmlformats.org/officeDocument/2006/relationships/footer" Target="footer5518.xml"/><Relationship Id="rId1847" Type="http://schemas.openxmlformats.org/officeDocument/2006/relationships/footer" Target="footer5521.xml"/><Relationship Id="rId1848" Type="http://schemas.openxmlformats.org/officeDocument/2006/relationships/footer" Target="footer5524.xml"/><Relationship Id="rId1849" Type="http://schemas.openxmlformats.org/officeDocument/2006/relationships/footer" Target="footer5527.xml"/><Relationship Id="rId1850" Type="http://schemas.openxmlformats.org/officeDocument/2006/relationships/footer" Target="footer5530.xml"/><Relationship Id="rId1851" Type="http://schemas.openxmlformats.org/officeDocument/2006/relationships/footer" Target="footer5533.xml"/><Relationship Id="rId1852" Type="http://schemas.openxmlformats.org/officeDocument/2006/relationships/footer" Target="footer5536.xml"/><Relationship Id="rId1853" Type="http://schemas.openxmlformats.org/officeDocument/2006/relationships/footer" Target="footer5539.xml"/><Relationship Id="rId1854" Type="http://schemas.openxmlformats.org/officeDocument/2006/relationships/footer" Target="footer5542.xml"/><Relationship Id="rId1855" Type="http://schemas.openxmlformats.org/officeDocument/2006/relationships/footer" Target="footer5545.xml"/><Relationship Id="rId1856" Type="http://schemas.openxmlformats.org/officeDocument/2006/relationships/footer" Target="footer5548.xml"/><Relationship Id="rId1857" Type="http://schemas.openxmlformats.org/officeDocument/2006/relationships/footer" Target="footer5551.xml"/><Relationship Id="rId1858" Type="http://schemas.openxmlformats.org/officeDocument/2006/relationships/footer" Target="footer5554.xml"/><Relationship Id="rId185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دروس حوزه علمیه جدید پایه اول تا دهم جلد 8</dc:title>
  <dc:description/>
  <dc:subject/>
  <cp:keywords/>
  <cp:category/>
  <cp:lastModifiedBy/>
  <dcterms:created xsi:type="dcterms:W3CDTF">2026-08-28T19:01:09+03:30</dcterms:created>
  <dcterms:modified xsi:type="dcterms:W3CDTF">2026-08-28T19:01:09+03:30</dcterms:modified>
</cp:coreProperties>
</file>

<file path=docProps/custom.xml><?xml version="1.0" encoding="utf-8"?>
<Properties xmlns="http://schemas.openxmlformats.org/officeDocument/2006/custom-properties" xmlns:vt="http://schemas.openxmlformats.org/officeDocument/2006/docPropsVTypes"/>
</file>